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7481AD42" w:rsidR="00B01489" w:rsidRPr="0039592B" w:rsidRDefault="00D8394F" w:rsidP="0039592B">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r w:rsidRPr="0039592B">
        <w:rPr>
          <w:b/>
          <w:color w:val="002060"/>
          <w:sz w:val="32"/>
          <w:szCs w:val="32"/>
        </w:rPr>
        <w:t>I</w:t>
      </w:r>
      <w:r w:rsidR="00133A18" w:rsidRPr="0039592B">
        <w:rPr>
          <w:b/>
          <w:color w:val="002060"/>
          <w:sz w:val="32"/>
          <w:szCs w:val="32"/>
        </w:rPr>
        <w:t xml:space="preserve">. </w:t>
      </w:r>
      <w:r w:rsidR="00294F16" w:rsidRPr="0039592B">
        <w:rPr>
          <w:b/>
          <w:color w:val="002060"/>
          <w:sz w:val="32"/>
          <w:szCs w:val="32"/>
        </w:rPr>
        <w:t>C</w:t>
      </w:r>
      <w:r w:rsidR="007324C4" w:rsidRPr="0039592B">
        <w:rPr>
          <w:b/>
          <w:color w:val="002060"/>
          <w:sz w:val="32"/>
          <w:szCs w:val="32"/>
        </w:rPr>
        <w:t>ONDICIONES GENERALES DE LA ECONOMÍA</w:t>
      </w:r>
    </w:p>
    <w:p w14:paraId="491FAD4B" w14:textId="77777777" w:rsidR="00FF280E" w:rsidRPr="0039592B" w:rsidRDefault="002116B7" w:rsidP="00F54740">
      <w:pPr>
        <w:spacing w:after="360" w:line="360" w:lineRule="auto"/>
        <w:ind w:right="-159"/>
        <w:jc w:val="both"/>
        <w:rPr>
          <w:b/>
          <w:color w:val="0000FF"/>
          <w:sz w:val="28"/>
          <w:szCs w:val="28"/>
        </w:rPr>
      </w:pPr>
      <w:bookmarkStart w:id="3" w:name="OLE_LINK3"/>
      <w:bookmarkStart w:id="4" w:name="OLE_LINK4"/>
      <w:bookmarkEnd w:id="0"/>
      <w:bookmarkEnd w:id="1"/>
      <w:bookmarkEnd w:id="2"/>
      <w:r w:rsidRPr="0039592B">
        <w:rPr>
          <w:b/>
          <w:color w:val="0000FF"/>
          <w:sz w:val="28"/>
          <w:szCs w:val="28"/>
        </w:rPr>
        <w:t>EVOLUCIÓN ECONÓMICA DE MÉXICO</w:t>
      </w:r>
    </w:p>
    <w:p w14:paraId="1EEF0FDC" w14:textId="77777777" w:rsidR="00D067C7" w:rsidRPr="00D067C7" w:rsidRDefault="00D067C7" w:rsidP="00D067C7">
      <w:pPr>
        <w:spacing w:after="360" w:line="360" w:lineRule="auto"/>
        <w:ind w:right="-159"/>
        <w:jc w:val="both"/>
        <w:rPr>
          <w:rFonts w:eastAsia="Calibri"/>
          <w:b/>
          <w:sz w:val="26"/>
          <w:szCs w:val="26"/>
          <w:lang w:eastAsia="en-US"/>
        </w:rPr>
      </w:pPr>
      <w:r w:rsidRPr="00D067C7">
        <w:rPr>
          <w:rFonts w:eastAsia="Calibri"/>
          <w:b/>
          <w:sz w:val="26"/>
          <w:szCs w:val="26"/>
          <w:lang w:eastAsia="en-US"/>
        </w:rPr>
        <w:t>Indicador Global de la Actividad Económica (INEGI)</w:t>
      </w:r>
    </w:p>
    <w:p w14:paraId="54402A63" w14:textId="3FBD67F4" w:rsidR="00D067C7" w:rsidRPr="00D067C7" w:rsidRDefault="00D067C7" w:rsidP="00D067C7">
      <w:pPr>
        <w:spacing w:after="360" w:line="360" w:lineRule="auto"/>
        <w:ind w:right="-159"/>
        <w:jc w:val="both"/>
        <w:rPr>
          <w:rFonts w:eastAsia="Calibri"/>
          <w:sz w:val="26"/>
          <w:szCs w:val="26"/>
          <w:lang w:eastAsia="en-US"/>
        </w:rPr>
      </w:pPr>
      <w:r w:rsidRPr="00D067C7">
        <w:rPr>
          <w:rFonts w:eastAsia="Calibri"/>
          <w:sz w:val="26"/>
          <w:szCs w:val="26"/>
          <w:lang w:eastAsia="en-US"/>
        </w:rPr>
        <w:t>El 2</w:t>
      </w:r>
      <w:r w:rsidR="00CC0B6A">
        <w:rPr>
          <w:rFonts w:eastAsia="Calibri"/>
          <w:sz w:val="26"/>
          <w:szCs w:val="26"/>
          <w:lang w:eastAsia="en-US"/>
        </w:rPr>
        <w:t>3</w:t>
      </w:r>
      <w:r w:rsidRPr="00D067C7">
        <w:rPr>
          <w:rFonts w:eastAsia="Calibri"/>
          <w:sz w:val="26"/>
          <w:szCs w:val="26"/>
          <w:lang w:eastAsia="en-US"/>
        </w:rPr>
        <w:t xml:space="preserve"> de a</w:t>
      </w:r>
      <w:r w:rsidR="00CC0B6A">
        <w:rPr>
          <w:rFonts w:eastAsia="Calibri"/>
          <w:sz w:val="26"/>
          <w:szCs w:val="26"/>
          <w:lang w:eastAsia="en-US"/>
        </w:rPr>
        <w:t>b</w:t>
      </w:r>
      <w:r w:rsidRPr="00D067C7">
        <w:rPr>
          <w:rFonts w:eastAsia="Calibri"/>
          <w:sz w:val="26"/>
          <w:szCs w:val="26"/>
          <w:lang w:eastAsia="en-US"/>
        </w:rPr>
        <w:t>r</w:t>
      </w:r>
      <w:r w:rsidR="00CC0B6A">
        <w:rPr>
          <w:rFonts w:eastAsia="Calibri"/>
          <w:sz w:val="26"/>
          <w:szCs w:val="26"/>
          <w:lang w:eastAsia="en-US"/>
        </w:rPr>
        <w:t>il</w:t>
      </w:r>
      <w:r w:rsidRPr="00D067C7">
        <w:rPr>
          <w:rFonts w:eastAsia="Calibri"/>
          <w:sz w:val="26"/>
          <w:szCs w:val="26"/>
          <w:lang w:eastAsia="en-US"/>
        </w:rPr>
        <w:t xml:space="preserve"> de 2015, el Instituto Nacional de Estadística y Geografía (INEGI) inform</w:t>
      </w:r>
      <w:r w:rsidR="008C6CAD">
        <w:rPr>
          <w:rFonts w:eastAsia="Calibri"/>
          <w:sz w:val="26"/>
          <w:szCs w:val="26"/>
          <w:lang w:eastAsia="en-US"/>
        </w:rPr>
        <w:t>ó</w:t>
      </w:r>
      <w:r w:rsidRPr="00D067C7">
        <w:rPr>
          <w:rFonts w:eastAsia="Calibri"/>
          <w:sz w:val="26"/>
          <w:szCs w:val="26"/>
          <w:lang w:eastAsia="en-US"/>
        </w:rPr>
        <w:t xml:space="preserve">, con base en datos desestacionalizados, que el Indicador Global de la Actividad Económica (IGAE) </w:t>
      </w:r>
      <w:r w:rsidR="00CC0B6A">
        <w:rPr>
          <w:rFonts w:eastAsia="Calibri"/>
          <w:sz w:val="26"/>
          <w:szCs w:val="26"/>
          <w:lang w:eastAsia="en-US"/>
        </w:rPr>
        <w:t>se mantuvo sin cambio durante febrero de 2015 con relación al mes inmediato anterior</w:t>
      </w:r>
      <w:r w:rsidRPr="00D067C7">
        <w:rPr>
          <w:rFonts w:eastAsia="Calibri"/>
          <w:sz w:val="26"/>
          <w:szCs w:val="26"/>
          <w:lang w:eastAsia="en-US"/>
        </w:rPr>
        <w:t>.</w:t>
      </w:r>
    </w:p>
    <w:tbl>
      <w:tblPr>
        <w:tblW w:w="0" w:type="auto"/>
        <w:jc w:val="center"/>
        <w:tblLayout w:type="fixed"/>
        <w:tblLook w:val="04A0" w:firstRow="1" w:lastRow="0" w:firstColumn="1" w:lastColumn="0" w:noHBand="0" w:noVBand="1"/>
      </w:tblPr>
      <w:tblGrid>
        <w:gridCol w:w="2805"/>
        <w:gridCol w:w="2156"/>
        <w:gridCol w:w="2268"/>
      </w:tblGrid>
      <w:tr w:rsidR="00D067C7" w:rsidRPr="00D067C7" w14:paraId="6AB9E777" w14:textId="77777777" w:rsidTr="008D28ED">
        <w:trPr>
          <w:jc w:val="center"/>
        </w:trPr>
        <w:tc>
          <w:tcPr>
            <w:tcW w:w="7229" w:type="dxa"/>
            <w:gridSpan w:val="3"/>
            <w:tcBorders>
              <w:top w:val="nil"/>
              <w:left w:val="nil"/>
              <w:bottom w:val="single" w:sz="4" w:space="0" w:color="auto"/>
              <w:right w:val="nil"/>
            </w:tcBorders>
          </w:tcPr>
          <w:p w14:paraId="3CA6EC09" w14:textId="5413F492" w:rsidR="00D067C7" w:rsidRPr="00D067C7" w:rsidRDefault="00D067C7" w:rsidP="00CC0B6A">
            <w:pPr>
              <w:jc w:val="center"/>
              <w:rPr>
                <w:rFonts w:eastAsia="Calibri"/>
                <w:b/>
                <w:sz w:val="22"/>
                <w:szCs w:val="22"/>
                <w:lang w:eastAsia="en-US"/>
              </w:rPr>
            </w:pPr>
            <w:r w:rsidRPr="00D067C7">
              <w:rPr>
                <w:rFonts w:eastAsia="Calibri"/>
                <w:b/>
                <w:sz w:val="22"/>
                <w:szCs w:val="22"/>
                <w:lang w:eastAsia="en-US"/>
              </w:rPr>
              <w:t xml:space="preserve">INDICADOR GLOBAL DE LA ACTIVIDAD ECONÓMICA DURANTE </w:t>
            </w:r>
            <w:r w:rsidR="00CC0B6A">
              <w:rPr>
                <w:rFonts w:eastAsia="Calibri"/>
                <w:b/>
                <w:sz w:val="22"/>
                <w:szCs w:val="22"/>
                <w:lang w:eastAsia="en-US"/>
              </w:rPr>
              <w:t>FEBRERO</w:t>
            </w:r>
            <w:r w:rsidRPr="00D067C7">
              <w:rPr>
                <w:rFonts w:eastAsia="Calibri"/>
                <w:b/>
                <w:sz w:val="22"/>
                <w:szCs w:val="22"/>
                <w:lang w:eastAsia="en-US"/>
              </w:rPr>
              <w:t xml:space="preserve"> DE 2015 CIFRAS DESESTACIONALIZADAS POR GRANDES GRUPOS DE ACTIVIDADES ECONÓMICAS</w:t>
            </w:r>
          </w:p>
        </w:tc>
      </w:tr>
      <w:tr w:rsidR="00D067C7" w:rsidRPr="00D067C7" w14:paraId="7EC1D8C9" w14:textId="77777777" w:rsidTr="008D28ED">
        <w:trPr>
          <w:jc w:val="center"/>
        </w:trPr>
        <w:tc>
          <w:tcPr>
            <w:tcW w:w="2805" w:type="dxa"/>
            <w:tcBorders>
              <w:top w:val="single" w:sz="4" w:space="0" w:color="auto"/>
              <w:left w:val="single" w:sz="4" w:space="0" w:color="auto"/>
              <w:bottom w:val="single" w:sz="4" w:space="0" w:color="auto"/>
              <w:right w:val="single" w:sz="4" w:space="0" w:color="auto"/>
            </w:tcBorders>
            <w:vAlign w:val="center"/>
          </w:tcPr>
          <w:p w14:paraId="78F1A408" w14:textId="77777777" w:rsidR="00D067C7" w:rsidRPr="00D067C7" w:rsidRDefault="00D067C7" w:rsidP="00D067C7">
            <w:pPr>
              <w:ind w:right="-159"/>
              <w:jc w:val="center"/>
              <w:rPr>
                <w:rFonts w:eastAsia="Calibri"/>
                <w:b/>
                <w:sz w:val="20"/>
                <w:szCs w:val="20"/>
                <w:lang w:eastAsia="en-US"/>
              </w:rPr>
            </w:pPr>
            <w:r w:rsidRPr="00D067C7">
              <w:rPr>
                <w:rFonts w:eastAsia="Calibri"/>
                <w:b/>
                <w:sz w:val="20"/>
                <w:szCs w:val="20"/>
                <w:lang w:eastAsia="en-US"/>
              </w:rPr>
              <w:t>Concepto</w:t>
            </w:r>
          </w:p>
        </w:tc>
        <w:tc>
          <w:tcPr>
            <w:tcW w:w="2156" w:type="dxa"/>
            <w:tcBorders>
              <w:top w:val="single" w:sz="4" w:space="0" w:color="auto"/>
              <w:left w:val="single" w:sz="4" w:space="0" w:color="auto"/>
              <w:bottom w:val="single" w:sz="4" w:space="0" w:color="auto"/>
              <w:right w:val="single" w:sz="4" w:space="0" w:color="auto"/>
            </w:tcBorders>
            <w:vAlign w:val="center"/>
          </w:tcPr>
          <w:p w14:paraId="692EC502" w14:textId="77777777" w:rsidR="00D067C7" w:rsidRPr="00D067C7" w:rsidRDefault="00D067C7" w:rsidP="00D067C7">
            <w:pPr>
              <w:jc w:val="center"/>
              <w:rPr>
                <w:rFonts w:eastAsia="Calibri"/>
                <w:b/>
                <w:sz w:val="20"/>
                <w:szCs w:val="20"/>
                <w:lang w:eastAsia="en-US"/>
              </w:rPr>
            </w:pPr>
            <w:r w:rsidRPr="00D067C7">
              <w:rPr>
                <w:rFonts w:eastAsia="Calibri"/>
                <w:b/>
                <w:sz w:val="20"/>
                <w:szCs w:val="20"/>
                <w:lang w:eastAsia="en-US"/>
              </w:rPr>
              <w:t>Variación % respecto al mes previo</w:t>
            </w:r>
          </w:p>
        </w:tc>
        <w:tc>
          <w:tcPr>
            <w:tcW w:w="2268" w:type="dxa"/>
            <w:tcBorders>
              <w:top w:val="single" w:sz="4" w:space="0" w:color="auto"/>
              <w:left w:val="single" w:sz="4" w:space="0" w:color="auto"/>
              <w:bottom w:val="single" w:sz="4" w:space="0" w:color="auto"/>
              <w:right w:val="single" w:sz="4" w:space="0" w:color="auto"/>
            </w:tcBorders>
            <w:vAlign w:val="center"/>
          </w:tcPr>
          <w:p w14:paraId="4248D28A" w14:textId="1366657C" w:rsidR="00D067C7" w:rsidRPr="00D067C7" w:rsidRDefault="00D067C7" w:rsidP="00D067C7">
            <w:pPr>
              <w:jc w:val="center"/>
              <w:rPr>
                <w:rFonts w:eastAsia="Calibri"/>
                <w:b/>
                <w:sz w:val="20"/>
                <w:szCs w:val="20"/>
                <w:lang w:eastAsia="en-US"/>
              </w:rPr>
            </w:pPr>
            <w:r w:rsidRPr="00D067C7">
              <w:rPr>
                <w:rFonts w:eastAsia="Calibri"/>
                <w:b/>
                <w:sz w:val="20"/>
                <w:szCs w:val="20"/>
                <w:lang w:eastAsia="en-US"/>
              </w:rPr>
              <w:t>Variación % respecto a igual mes de 2014</w:t>
            </w:r>
          </w:p>
        </w:tc>
      </w:tr>
      <w:tr w:rsidR="00D067C7" w:rsidRPr="00D067C7" w14:paraId="7521C252" w14:textId="77777777" w:rsidTr="008D28ED">
        <w:trPr>
          <w:jc w:val="center"/>
        </w:trPr>
        <w:tc>
          <w:tcPr>
            <w:tcW w:w="2805" w:type="dxa"/>
            <w:tcBorders>
              <w:top w:val="single" w:sz="4" w:space="0" w:color="auto"/>
              <w:left w:val="single" w:sz="4" w:space="0" w:color="auto"/>
              <w:bottom w:val="nil"/>
              <w:right w:val="single" w:sz="4" w:space="0" w:color="auto"/>
            </w:tcBorders>
          </w:tcPr>
          <w:p w14:paraId="6DA6A35C" w14:textId="77777777" w:rsidR="00D067C7" w:rsidRPr="00D067C7" w:rsidRDefault="00D067C7" w:rsidP="00D067C7">
            <w:pPr>
              <w:ind w:right="-159"/>
              <w:jc w:val="both"/>
              <w:rPr>
                <w:rFonts w:eastAsia="Calibri"/>
                <w:b/>
                <w:sz w:val="20"/>
                <w:szCs w:val="20"/>
                <w:lang w:eastAsia="en-US"/>
              </w:rPr>
            </w:pPr>
            <w:r w:rsidRPr="00D067C7">
              <w:rPr>
                <w:rFonts w:eastAsia="Calibri"/>
                <w:b/>
                <w:sz w:val="20"/>
                <w:szCs w:val="20"/>
                <w:lang w:eastAsia="en-US"/>
              </w:rPr>
              <w:t>Actividad Económica Global</w:t>
            </w:r>
          </w:p>
        </w:tc>
        <w:tc>
          <w:tcPr>
            <w:tcW w:w="2156" w:type="dxa"/>
            <w:tcBorders>
              <w:top w:val="single" w:sz="4" w:space="0" w:color="auto"/>
              <w:left w:val="single" w:sz="4" w:space="0" w:color="auto"/>
              <w:bottom w:val="nil"/>
              <w:right w:val="single" w:sz="4" w:space="0" w:color="auto"/>
            </w:tcBorders>
          </w:tcPr>
          <w:p w14:paraId="2CD5E281" w14:textId="2E361D04" w:rsidR="00D067C7" w:rsidRPr="00D067C7" w:rsidRDefault="00D067C7" w:rsidP="00CC0B6A">
            <w:pPr>
              <w:ind w:right="851"/>
              <w:jc w:val="right"/>
              <w:rPr>
                <w:rFonts w:eastAsia="Calibri"/>
                <w:b/>
                <w:sz w:val="20"/>
                <w:szCs w:val="20"/>
                <w:lang w:eastAsia="en-US"/>
              </w:rPr>
            </w:pPr>
            <w:r w:rsidRPr="00D067C7">
              <w:rPr>
                <w:rFonts w:eastAsia="Calibri"/>
                <w:b/>
                <w:sz w:val="20"/>
                <w:szCs w:val="20"/>
                <w:lang w:eastAsia="en-US"/>
              </w:rPr>
              <w:t>0.</w:t>
            </w:r>
            <w:r w:rsidR="00CC0B6A">
              <w:rPr>
                <w:rFonts w:eastAsia="Calibri"/>
                <w:b/>
                <w:sz w:val="20"/>
                <w:szCs w:val="20"/>
                <w:lang w:eastAsia="en-US"/>
              </w:rPr>
              <w:t>0</w:t>
            </w:r>
          </w:p>
        </w:tc>
        <w:tc>
          <w:tcPr>
            <w:tcW w:w="2268" w:type="dxa"/>
            <w:tcBorders>
              <w:top w:val="single" w:sz="4" w:space="0" w:color="auto"/>
              <w:left w:val="single" w:sz="4" w:space="0" w:color="auto"/>
              <w:bottom w:val="nil"/>
              <w:right w:val="single" w:sz="4" w:space="0" w:color="auto"/>
            </w:tcBorders>
          </w:tcPr>
          <w:p w14:paraId="245F3FDD" w14:textId="3E88F7B5" w:rsidR="00D067C7" w:rsidRPr="00D067C7" w:rsidRDefault="00D067C7" w:rsidP="00CC0B6A">
            <w:pPr>
              <w:ind w:right="964"/>
              <w:jc w:val="right"/>
              <w:rPr>
                <w:rFonts w:eastAsia="Calibri"/>
                <w:b/>
                <w:sz w:val="20"/>
                <w:szCs w:val="20"/>
                <w:lang w:eastAsia="en-US"/>
              </w:rPr>
            </w:pPr>
            <w:r w:rsidRPr="00D067C7">
              <w:rPr>
                <w:rFonts w:eastAsia="Calibri"/>
                <w:b/>
                <w:sz w:val="20"/>
                <w:szCs w:val="20"/>
                <w:lang w:eastAsia="en-US"/>
              </w:rPr>
              <w:t>2.</w:t>
            </w:r>
            <w:r w:rsidR="00CC0B6A">
              <w:rPr>
                <w:rFonts w:eastAsia="Calibri"/>
                <w:b/>
                <w:sz w:val="20"/>
                <w:szCs w:val="20"/>
                <w:lang w:eastAsia="en-US"/>
              </w:rPr>
              <w:t>2</w:t>
            </w:r>
          </w:p>
        </w:tc>
      </w:tr>
      <w:tr w:rsidR="00D067C7" w:rsidRPr="00D067C7" w14:paraId="30720694" w14:textId="77777777" w:rsidTr="008D28ED">
        <w:trPr>
          <w:jc w:val="center"/>
        </w:trPr>
        <w:tc>
          <w:tcPr>
            <w:tcW w:w="2805" w:type="dxa"/>
            <w:tcBorders>
              <w:top w:val="nil"/>
              <w:left w:val="single" w:sz="4" w:space="0" w:color="auto"/>
              <w:bottom w:val="nil"/>
              <w:right w:val="single" w:sz="4" w:space="0" w:color="auto"/>
            </w:tcBorders>
          </w:tcPr>
          <w:p w14:paraId="2B28B71B" w14:textId="77777777" w:rsidR="00D067C7" w:rsidRPr="00D067C7" w:rsidRDefault="00D067C7" w:rsidP="00D067C7">
            <w:pPr>
              <w:ind w:left="284" w:right="-159"/>
              <w:jc w:val="both"/>
              <w:rPr>
                <w:rFonts w:eastAsia="Calibri"/>
                <w:sz w:val="20"/>
                <w:szCs w:val="20"/>
                <w:lang w:eastAsia="en-US"/>
              </w:rPr>
            </w:pPr>
            <w:r w:rsidRPr="00D067C7">
              <w:rPr>
                <w:rFonts w:eastAsia="Calibri"/>
                <w:sz w:val="20"/>
                <w:szCs w:val="20"/>
                <w:lang w:eastAsia="en-US"/>
              </w:rPr>
              <w:t>Actividades Primarias</w:t>
            </w:r>
          </w:p>
        </w:tc>
        <w:tc>
          <w:tcPr>
            <w:tcW w:w="2156" w:type="dxa"/>
            <w:tcBorders>
              <w:top w:val="nil"/>
              <w:left w:val="single" w:sz="4" w:space="0" w:color="auto"/>
              <w:bottom w:val="nil"/>
              <w:right w:val="single" w:sz="4" w:space="0" w:color="auto"/>
            </w:tcBorders>
          </w:tcPr>
          <w:p w14:paraId="54054F43" w14:textId="1CE16B22" w:rsidR="00D067C7" w:rsidRPr="00D067C7" w:rsidRDefault="00CC0B6A" w:rsidP="00CC0B6A">
            <w:pPr>
              <w:ind w:right="851"/>
              <w:jc w:val="right"/>
              <w:rPr>
                <w:rFonts w:eastAsia="Calibri"/>
                <w:sz w:val="20"/>
                <w:szCs w:val="20"/>
                <w:lang w:eastAsia="en-US"/>
              </w:rPr>
            </w:pPr>
            <w:r>
              <w:rPr>
                <w:rFonts w:eastAsia="Calibri"/>
                <w:sz w:val="20"/>
                <w:szCs w:val="20"/>
                <w:lang w:eastAsia="en-US"/>
              </w:rPr>
              <w:t>-5.1</w:t>
            </w:r>
          </w:p>
        </w:tc>
        <w:tc>
          <w:tcPr>
            <w:tcW w:w="2268" w:type="dxa"/>
            <w:tcBorders>
              <w:top w:val="nil"/>
              <w:left w:val="single" w:sz="4" w:space="0" w:color="auto"/>
              <w:bottom w:val="nil"/>
              <w:right w:val="single" w:sz="4" w:space="0" w:color="auto"/>
            </w:tcBorders>
          </w:tcPr>
          <w:p w14:paraId="6ABEAFFA" w14:textId="17174445" w:rsidR="00D067C7" w:rsidRPr="00D067C7" w:rsidRDefault="00CC0B6A" w:rsidP="00CC0B6A">
            <w:pPr>
              <w:ind w:right="964"/>
              <w:jc w:val="right"/>
              <w:rPr>
                <w:rFonts w:eastAsia="Calibri"/>
                <w:sz w:val="20"/>
                <w:szCs w:val="20"/>
                <w:lang w:eastAsia="en-US"/>
              </w:rPr>
            </w:pPr>
            <w:r>
              <w:rPr>
                <w:rFonts w:eastAsia="Calibri"/>
                <w:sz w:val="20"/>
                <w:szCs w:val="20"/>
                <w:lang w:eastAsia="en-US"/>
              </w:rPr>
              <w:t>2.8</w:t>
            </w:r>
          </w:p>
        </w:tc>
      </w:tr>
      <w:tr w:rsidR="00D067C7" w:rsidRPr="00D067C7" w14:paraId="325034A0" w14:textId="77777777" w:rsidTr="008D28ED">
        <w:trPr>
          <w:jc w:val="center"/>
        </w:trPr>
        <w:tc>
          <w:tcPr>
            <w:tcW w:w="2805" w:type="dxa"/>
            <w:tcBorders>
              <w:top w:val="nil"/>
              <w:left w:val="single" w:sz="4" w:space="0" w:color="auto"/>
              <w:bottom w:val="nil"/>
              <w:right w:val="single" w:sz="4" w:space="0" w:color="auto"/>
            </w:tcBorders>
          </w:tcPr>
          <w:p w14:paraId="21731FCD" w14:textId="77777777" w:rsidR="00D067C7" w:rsidRPr="00D067C7" w:rsidRDefault="00D067C7" w:rsidP="00D067C7">
            <w:pPr>
              <w:ind w:left="284" w:right="-159"/>
              <w:jc w:val="both"/>
              <w:rPr>
                <w:rFonts w:eastAsia="Calibri"/>
                <w:sz w:val="20"/>
                <w:szCs w:val="20"/>
                <w:lang w:eastAsia="en-US"/>
              </w:rPr>
            </w:pPr>
            <w:r w:rsidRPr="00D067C7">
              <w:rPr>
                <w:rFonts w:eastAsia="Calibri"/>
                <w:sz w:val="20"/>
                <w:szCs w:val="20"/>
                <w:lang w:eastAsia="en-US"/>
              </w:rPr>
              <w:t>Actividades Secundarias</w:t>
            </w:r>
          </w:p>
        </w:tc>
        <w:tc>
          <w:tcPr>
            <w:tcW w:w="2156" w:type="dxa"/>
            <w:tcBorders>
              <w:top w:val="nil"/>
              <w:left w:val="single" w:sz="4" w:space="0" w:color="auto"/>
              <w:bottom w:val="nil"/>
              <w:right w:val="single" w:sz="4" w:space="0" w:color="auto"/>
            </w:tcBorders>
          </w:tcPr>
          <w:p w14:paraId="5897D29D" w14:textId="5E27C644" w:rsidR="00D067C7" w:rsidRPr="00D067C7" w:rsidRDefault="00D067C7" w:rsidP="00CC0B6A">
            <w:pPr>
              <w:ind w:right="851"/>
              <w:jc w:val="right"/>
              <w:rPr>
                <w:rFonts w:eastAsia="Calibri"/>
                <w:sz w:val="20"/>
                <w:szCs w:val="20"/>
                <w:lang w:eastAsia="en-US"/>
              </w:rPr>
            </w:pPr>
            <w:r w:rsidRPr="00D067C7">
              <w:rPr>
                <w:rFonts w:eastAsia="Calibri"/>
                <w:sz w:val="20"/>
                <w:szCs w:val="20"/>
                <w:lang w:eastAsia="en-US"/>
              </w:rPr>
              <w:t>0.</w:t>
            </w:r>
            <w:r w:rsidR="00CC0B6A">
              <w:rPr>
                <w:rFonts w:eastAsia="Calibri"/>
                <w:sz w:val="20"/>
                <w:szCs w:val="20"/>
                <w:lang w:eastAsia="en-US"/>
              </w:rPr>
              <w:t>2</w:t>
            </w:r>
          </w:p>
        </w:tc>
        <w:tc>
          <w:tcPr>
            <w:tcW w:w="2268" w:type="dxa"/>
            <w:tcBorders>
              <w:top w:val="nil"/>
              <w:left w:val="single" w:sz="4" w:space="0" w:color="auto"/>
              <w:bottom w:val="nil"/>
              <w:right w:val="single" w:sz="4" w:space="0" w:color="auto"/>
            </w:tcBorders>
          </w:tcPr>
          <w:p w14:paraId="5377B464" w14:textId="57D5BB81" w:rsidR="00D067C7" w:rsidRPr="00D067C7" w:rsidRDefault="00CC0B6A" w:rsidP="00CC0B6A">
            <w:pPr>
              <w:ind w:right="964"/>
              <w:jc w:val="right"/>
              <w:rPr>
                <w:rFonts w:eastAsia="Calibri"/>
                <w:sz w:val="20"/>
                <w:szCs w:val="20"/>
                <w:lang w:eastAsia="en-US"/>
              </w:rPr>
            </w:pPr>
            <w:r>
              <w:rPr>
                <w:rFonts w:eastAsia="Calibri"/>
                <w:sz w:val="20"/>
                <w:szCs w:val="20"/>
                <w:lang w:eastAsia="en-US"/>
              </w:rPr>
              <w:t>1.6</w:t>
            </w:r>
          </w:p>
        </w:tc>
      </w:tr>
      <w:tr w:rsidR="00D067C7" w:rsidRPr="00D067C7" w14:paraId="739CD7A5" w14:textId="77777777" w:rsidTr="008D28ED">
        <w:trPr>
          <w:jc w:val="center"/>
        </w:trPr>
        <w:tc>
          <w:tcPr>
            <w:tcW w:w="2805" w:type="dxa"/>
            <w:tcBorders>
              <w:top w:val="nil"/>
              <w:left w:val="single" w:sz="4" w:space="0" w:color="auto"/>
              <w:bottom w:val="single" w:sz="4" w:space="0" w:color="auto"/>
              <w:right w:val="single" w:sz="4" w:space="0" w:color="auto"/>
            </w:tcBorders>
          </w:tcPr>
          <w:p w14:paraId="49FF9EDD" w14:textId="77777777" w:rsidR="00D067C7" w:rsidRPr="00D067C7" w:rsidRDefault="00D067C7" w:rsidP="00D067C7">
            <w:pPr>
              <w:ind w:left="284" w:right="-159"/>
              <w:jc w:val="both"/>
              <w:rPr>
                <w:rFonts w:eastAsia="Calibri"/>
                <w:sz w:val="20"/>
                <w:szCs w:val="20"/>
                <w:lang w:eastAsia="en-US"/>
              </w:rPr>
            </w:pPr>
            <w:r w:rsidRPr="00D067C7">
              <w:rPr>
                <w:rFonts w:eastAsia="Calibri"/>
                <w:sz w:val="20"/>
                <w:szCs w:val="20"/>
                <w:lang w:eastAsia="en-US"/>
              </w:rPr>
              <w:t>Actividades Terciarias</w:t>
            </w:r>
          </w:p>
        </w:tc>
        <w:tc>
          <w:tcPr>
            <w:tcW w:w="2156" w:type="dxa"/>
            <w:tcBorders>
              <w:top w:val="nil"/>
              <w:left w:val="single" w:sz="4" w:space="0" w:color="auto"/>
              <w:bottom w:val="single" w:sz="4" w:space="0" w:color="auto"/>
              <w:right w:val="single" w:sz="4" w:space="0" w:color="auto"/>
            </w:tcBorders>
          </w:tcPr>
          <w:p w14:paraId="6E7E5BB9" w14:textId="6239B71C" w:rsidR="00D067C7" w:rsidRPr="00D067C7" w:rsidRDefault="00D067C7" w:rsidP="00CC0B6A">
            <w:pPr>
              <w:ind w:right="851"/>
              <w:jc w:val="right"/>
              <w:rPr>
                <w:rFonts w:eastAsia="Calibri"/>
                <w:sz w:val="20"/>
                <w:szCs w:val="20"/>
                <w:lang w:eastAsia="en-US"/>
              </w:rPr>
            </w:pPr>
            <w:r w:rsidRPr="00D067C7">
              <w:rPr>
                <w:rFonts w:eastAsia="Calibri"/>
                <w:sz w:val="20"/>
                <w:szCs w:val="20"/>
                <w:lang w:eastAsia="en-US"/>
              </w:rPr>
              <w:t>0.</w:t>
            </w:r>
            <w:r w:rsidR="00CC0B6A">
              <w:rPr>
                <w:rFonts w:eastAsia="Calibri"/>
                <w:sz w:val="20"/>
                <w:szCs w:val="20"/>
                <w:lang w:eastAsia="en-US"/>
              </w:rPr>
              <w:t>0</w:t>
            </w:r>
          </w:p>
        </w:tc>
        <w:tc>
          <w:tcPr>
            <w:tcW w:w="2268" w:type="dxa"/>
            <w:tcBorders>
              <w:top w:val="nil"/>
              <w:left w:val="single" w:sz="4" w:space="0" w:color="auto"/>
              <w:bottom w:val="single" w:sz="4" w:space="0" w:color="auto"/>
              <w:right w:val="single" w:sz="4" w:space="0" w:color="auto"/>
            </w:tcBorders>
          </w:tcPr>
          <w:p w14:paraId="0091C771" w14:textId="6D48A9FC" w:rsidR="00D067C7" w:rsidRPr="00D067C7" w:rsidRDefault="00CC0B6A" w:rsidP="00CC0B6A">
            <w:pPr>
              <w:ind w:right="964"/>
              <w:jc w:val="right"/>
              <w:rPr>
                <w:rFonts w:eastAsia="Calibri"/>
                <w:sz w:val="20"/>
                <w:szCs w:val="20"/>
                <w:lang w:eastAsia="en-US"/>
              </w:rPr>
            </w:pPr>
            <w:r>
              <w:rPr>
                <w:rFonts w:eastAsia="Calibri"/>
                <w:sz w:val="20"/>
                <w:szCs w:val="20"/>
                <w:lang w:eastAsia="en-US"/>
              </w:rPr>
              <w:t>2.6</w:t>
            </w:r>
          </w:p>
        </w:tc>
      </w:tr>
      <w:tr w:rsidR="00D067C7" w:rsidRPr="00D067C7" w14:paraId="09CFFA57" w14:textId="77777777" w:rsidTr="0090608F">
        <w:trPr>
          <w:jc w:val="center"/>
        </w:trPr>
        <w:tc>
          <w:tcPr>
            <w:tcW w:w="7229" w:type="dxa"/>
            <w:gridSpan w:val="3"/>
            <w:tcBorders>
              <w:left w:val="nil"/>
              <w:bottom w:val="nil"/>
              <w:right w:val="nil"/>
            </w:tcBorders>
          </w:tcPr>
          <w:p w14:paraId="6309CB7A" w14:textId="442FC6BD" w:rsidR="00D067C7" w:rsidRPr="00D067C7" w:rsidRDefault="00D067C7" w:rsidP="00D067C7">
            <w:pPr>
              <w:jc w:val="both"/>
              <w:rPr>
                <w:rFonts w:eastAsia="Calibri"/>
                <w:sz w:val="20"/>
                <w:szCs w:val="20"/>
                <w:lang w:eastAsia="en-US"/>
              </w:rPr>
            </w:pPr>
            <w:r w:rsidRPr="00D067C7">
              <w:rPr>
                <w:rFonts w:eastAsia="Calibri"/>
                <w:sz w:val="20"/>
                <w:szCs w:val="20"/>
                <w:lang w:eastAsia="en-US"/>
              </w:rPr>
              <w:t>FUENTE: INEGI.</w:t>
            </w:r>
          </w:p>
        </w:tc>
      </w:tr>
    </w:tbl>
    <w:p w14:paraId="0AC3881E" w14:textId="77E813E7" w:rsidR="00D067C7" w:rsidRDefault="00570084" w:rsidP="00D067C7">
      <w:pPr>
        <w:spacing w:after="360" w:line="360" w:lineRule="auto"/>
        <w:ind w:right="-159"/>
        <w:jc w:val="center"/>
        <w:rPr>
          <w:rFonts w:eastAsia="Calibri"/>
          <w:sz w:val="26"/>
          <w:szCs w:val="26"/>
          <w:lang w:eastAsia="en-US"/>
        </w:rPr>
      </w:pPr>
      <w:r w:rsidRPr="00570084">
        <w:rPr>
          <w:rFonts w:eastAsia="Calibri"/>
          <w:noProof/>
          <w:sz w:val="26"/>
          <w:szCs w:val="26"/>
          <w:lang w:eastAsia="es-MX"/>
        </w:rPr>
        <mc:AlternateContent>
          <mc:Choice Requires="wps">
            <w:drawing>
              <wp:anchor distT="45720" distB="45720" distL="114300" distR="114300" simplePos="0" relativeHeight="251680768" behindDoc="0" locked="0" layoutInCell="1" allowOverlap="1" wp14:anchorId="7BA52810" wp14:editId="3AC96A04">
                <wp:simplePos x="0" y="0"/>
                <wp:positionH relativeFrom="column">
                  <wp:posOffset>3623593</wp:posOffset>
                </wp:positionH>
                <wp:positionV relativeFrom="page">
                  <wp:posOffset>9353152</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41145FF9" w14:textId="429654DD" w:rsidR="00570084" w:rsidRDefault="00570084" w:rsidP="00570084">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7BA52810" id="_x0000_t202" coordsize="21600,21600" o:spt="202" path="m,l,21600r21600,l21600,xe">
                <v:stroke joinstyle="miter"/>
                <v:path gradientshapeok="t" o:connecttype="rect"/>
              </v:shapetype>
              <v:shape id="Cuadro de texto 2" o:spid="_x0000_s1026" type="#_x0000_t202" style="position:absolute;left:0;text-align:left;margin-left:285.3pt;margin-top:736.45pt;width:185.9pt;height:21.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" stroked="f">
                <v:textbox style="mso-fit-shape-to-text:t">
                  <w:txbxContent>
                    <w:p w14:paraId="41145FF9" w14:textId="429654DD" w:rsidR="00570084" w:rsidRDefault="00570084" w:rsidP="00570084">
                      <w:pPr>
                        <w:tabs>
                          <w:tab w:val="center" w:pos="4252"/>
                          <w:tab w:val="right" w:pos="8504"/>
                        </w:tabs>
                        <w:jc w:val="right"/>
                      </w:pPr>
                      <w:r w:rsidRPr="00570084">
                        <w:rPr>
                          <w:rFonts w:eastAsia="Times New Roman"/>
                          <w:lang w:val="es-ES"/>
                        </w:rPr>
                        <w:t xml:space="preserve">F1 P-07-02 </w:t>
                      </w:r>
                      <w:bookmarkStart w:id="6" w:name="_GoBack"/>
                      <w:r w:rsidRPr="00570084">
                        <w:rPr>
                          <w:rFonts w:eastAsia="Times New Roman"/>
                          <w:lang w:val="es-ES"/>
                        </w:rPr>
                        <w:t xml:space="preserve"> Rev.00</w:t>
                      </w:r>
                      <w:bookmarkEnd w:id="6"/>
                    </w:p>
                  </w:txbxContent>
                </v:textbox>
                <w10:wrap type="square" anchory="page"/>
              </v:shape>
            </w:pict>
          </mc:Fallback>
        </mc:AlternateContent>
      </w:r>
    </w:p>
    <w:p w14:paraId="4418ED88" w14:textId="7DDC6BE1" w:rsidR="00D067C7" w:rsidRPr="00D067C7" w:rsidRDefault="00CC0B6A" w:rsidP="00D067C7">
      <w:pPr>
        <w:spacing w:after="360" w:line="360" w:lineRule="auto"/>
        <w:ind w:right="-159"/>
        <w:jc w:val="center"/>
      </w:pPr>
      <w:r w:rsidRPr="00CC0B6A">
        <w:rPr>
          <w:rFonts w:ascii="Calibri" w:eastAsia="Calibri" w:hAnsi="Calibri"/>
          <w:sz w:val="22"/>
          <w:szCs w:val="22"/>
          <w:lang w:eastAsia="en-US"/>
        </w:rPr>
        <w:lastRenderedPageBreak/>
        <w:fldChar w:fldCharType="begin"/>
      </w:r>
      <w:r w:rsidRPr="00CC0B6A">
        <w:rPr>
          <w:rFonts w:ascii="Calibri" w:eastAsia="Calibri" w:hAnsi="Calibri"/>
          <w:sz w:val="22"/>
          <w:szCs w:val="22"/>
          <w:lang w:eastAsia="en-US"/>
        </w:rPr>
        <w:instrText xml:space="preserve"> LINK PowerPoint.Slide.8 "D:\\2015\\ABRIL\\GRÁFICAS POWER POINT\\34.- GRÁFICAS II IGAE.pptx!265" "" \a \p </w:instrText>
      </w:r>
      <w:r w:rsidRPr="00CC0B6A">
        <w:rPr>
          <w:rFonts w:ascii="Calibri" w:eastAsia="Calibri" w:hAnsi="Calibri"/>
          <w:sz w:val="22"/>
          <w:szCs w:val="22"/>
          <w:lang w:eastAsia="en-US"/>
        </w:rPr>
        <w:fldChar w:fldCharType="separate"/>
      </w:r>
      <w:r w:rsidRPr="00CC0B6A">
        <w:rPr>
          <w:rFonts w:ascii="Calibri" w:eastAsia="Calibri" w:hAnsi="Calibri"/>
          <w:noProof/>
          <w:sz w:val="22"/>
          <w:szCs w:val="22"/>
          <w:lang w:eastAsia="es-MX"/>
        </w:rPr>
        <w:drawing>
          <wp:inline distT="0" distB="0" distL="0" distR="0" wp14:anchorId="58890936" wp14:editId="179D052E">
            <wp:extent cx="4646295" cy="3324225"/>
            <wp:effectExtent l="0" t="0" r="1905" b="9525"/>
            <wp:docPr id="1913" name="Imagen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8" cstate="print">
                      <a:extLst>
                        <a:ext uri="{28A0092B-C50C-407E-A947-70E740481C1C}">
                          <a14:useLocalDpi xmlns:a14="http://schemas.microsoft.com/office/drawing/2010/main" val="0"/>
                        </a:ext>
                      </a:extLst>
                    </a:blip>
                    <a:srcRect l="11676" t="2985" r="11896"/>
                    <a:stretch>
                      <a:fillRect/>
                    </a:stretch>
                  </pic:blipFill>
                  <pic:spPr bwMode="auto">
                    <a:xfrm>
                      <a:off x="0" y="0"/>
                      <a:ext cx="4646295" cy="3324225"/>
                    </a:xfrm>
                    <a:prstGeom prst="rect">
                      <a:avLst/>
                    </a:prstGeom>
                    <a:noFill/>
                    <a:ln>
                      <a:noFill/>
                    </a:ln>
                  </pic:spPr>
                </pic:pic>
              </a:graphicData>
            </a:graphic>
          </wp:inline>
        </w:drawing>
      </w:r>
      <w:r w:rsidRPr="00CC0B6A">
        <w:rPr>
          <w:rFonts w:ascii="Calibri" w:eastAsia="Calibri" w:hAnsi="Calibri"/>
          <w:sz w:val="22"/>
          <w:szCs w:val="22"/>
          <w:lang w:eastAsia="en-US"/>
        </w:rPr>
        <w:fldChar w:fldCharType="end"/>
      </w:r>
    </w:p>
    <w:p w14:paraId="0B5D4C28" w14:textId="5AE92E41" w:rsidR="00D067C7" w:rsidRPr="00D067C7" w:rsidRDefault="00D067C7" w:rsidP="00D067C7">
      <w:pPr>
        <w:spacing w:after="360" w:line="360" w:lineRule="auto"/>
        <w:ind w:right="-159"/>
        <w:jc w:val="both"/>
        <w:rPr>
          <w:rFonts w:eastAsia="Calibri"/>
          <w:sz w:val="26"/>
          <w:szCs w:val="26"/>
          <w:lang w:eastAsia="en-US"/>
        </w:rPr>
      </w:pPr>
      <w:r w:rsidRPr="00D067C7">
        <w:rPr>
          <w:rFonts w:eastAsia="Calibri"/>
          <w:sz w:val="26"/>
          <w:szCs w:val="26"/>
          <w:lang w:eastAsia="en-US"/>
        </w:rPr>
        <w:t xml:space="preserve">Por grandes grupos de actividades, las Primarias </w:t>
      </w:r>
      <w:r w:rsidR="00CC0B6A">
        <w:rPr>
          <w:rFonts w:eastAsia="Calibri"/>
          <w:sz w:val="26"/>
          <w:szCs w:val="26"/>
          <w:lang w:eastAsia="en-US"/>
        </w:rPr>
        <w:t>disminuyeron</w:t>
      </w:r>
      <w:r w:rsidRPr="00D067C7">
        <w:rPr>
          <w:rFonts w:eastAsia="Calibri"/>
          <w:sz w:val="26"/>
          <w:szCs w:val="26"/>
          <w:lang w:eastAsia="en-US"/>
        </w:rPr>
        <w:t xml:space="preserve"> </w:t>
      </w:r>
      <w:r w:rsidR="00CC0B6A">
        <w:rPr>
          <w:rFonts w:eastAsia="Calibri"/>
          <w:sz w:val="26"/>
          <w:szCs w:val="26"/>
          <w:lang w:eastAsia="en-US"/>
        </w:rPr>
        <w:t>5.1</w:t>
      </w:r>
      <w:r w:rsidRPr="00D067C7">
        <w:rPr>
          <w:rFonts w:eastAsia="Calibri"/>
          <w:sz w:val="26"/>
          <w:szCs w:val="26"/>
          <w:lang w:eastAsia="en-US"/>
        </w:rPr>
        <w:t xml:space="preserve">% y las </w:t>
      </w:r>
      <w:r w:rsidR="00CC0B6A">
        <w:rPr>
          <w:rFonts w:eastAsia="Calibri"/>
          <w:sz w:val="26"/>
          <w:szCs w:val="26"/>
          <w:lang w:eastAsia="en-US"/>
        </w:rPr>
        <w:t xml:space="preserve">Secundarias crecieron 0.2%; en tanto que las Actividades </w:t>
      </w:r>
      <w:r w:rsidRPr="00D067C7">
        <w:rPr>
          <w:rFonts w:eastAsia="Calibri"/>
          <w:sz w:val="26"/>
          <w:szCs w:val="26"/>
          <w:lang w:eastAsia="en-US"/>
        </w:rPr>
        <w:t xml:space="preserve">Terciarias </w:t>
      </w:r>
      <w:r w:rsidR="00CC0B6A">
        <w:rPr>
          <w:rFonts w:eastAsia="Calibri"/>
          <w:sz w:val="26"/>
          <w:szCs w:val="26"/>
          <w:lang w:eastAsia="en-US"/>
        </w:rPr>
        <w:t>no presentaron variación en el segundo mes de este año respecto a enero pasado</w:t>
      </w:r>
      <w:r w:rsidRPr="00D067C7">
        <w:rPr>
          <w:rFonts w:eastAsia="Calibri"/>
          <w:sz w:val="26"/>
          <w:szCs w:val="26"/>
          <w:lang w:eastAsia="en-US"/>
        </w:rPr>
        <w:t>.</w:t>
      </w:r>
    </w:p>
    <w:p w14:paraId="518A5AA7" w14:textId="00021D57" w:rsidR="00CC0B6A" w:rsidRPr="00CC0B6A" w:rsidRDefault="00CC0B6A" w:rsidP="00CC0B6A">
      <w:pPr>
        <w:spacing w:after="160" w:line="259" w:lineRule="auto"/>
        <w:jc w:val="center"/>
        <w:rPr>
          <w:rFonts w:ascii="Calibri" w:eastAsia="Calibri" w:hAnsi="Calibri"/>
          <w:sz w:val="22"/>
          <w:szCs w:val="22"/>
          <w:lang w:eastAsia="en-US"/>
        </w:rPr>
      </w:pPr>
      <w:r w:rsidRPr="00CC0B6A">
        <w:rPr>
          <w:rFonts w:ascii="Calibri" w:eastAsia="Calibri" w:hAnsi="Calibri"/>
          <w:sz w:val="22"/>
          <w:szCs w:val="22"/>
          <w:lang w:eastAsia="en-US"/>
        </w:rPr>
        <w:fldChar w:fldCharType="begin"/>
      </w:r>
      <w:r w:rsidRPr="00CC0B6A">
        <w:rPr>
          <w:rFonts w:ascii="Calibri" w:eastAsia="Calibri" w:hAnsi="Calibri"/>
          <w:sz w:val="22"/>
          <w:szCs w:val="22"/>
          <w:lang w:eastAsia="en-US"/>
        </w:rPr>
        <w:instrText xml:space="preserve"> LINK PowerPoint.Slide.8 "D:\\2015\\ABRIL\\GRÁFICAS POWER POINT\\34.- GRÁFICAS II IGAE.pptx!275" "" \a \p </w:instrText>
      </w:r>
      <w:r w:rsidRPr="00CC0B6A">
        <w:rPr>
          <w:rFonts w:ascii="Calibri" w:eastAsia="Calibri" w:hAnsi="Calibri"/>
          <w:sz w:val="22"/>
          <w:szCs w:val="22"/>
          <w:lang w:eastAsia="en-US"/>
        </w:rPr>
        <w:fldChar w:fldCharType="separate"/>
      </w:r>
      <w:r w:rsidRPr="00CC0B6A">
        <w:rPr>
          <w:rFonts w:ascii="Calibri" w:eastAsia="Calibri" w:hAnsi="Calibri"/>
          <w:noProof/>
          <w:sz w:val="22"/>
          <w:szCs w:val="22"/>
          <w:lang w:eastAsia="es-MX"/>
        </w:rPr>
        <w:drawing>
          <wp:inline distT="0" distB="0" distL="0" distR="0" wp14:anchorId="086873BE" wp14:editId="7C98765F">
            <wp:extent cx="4714240" cy="3422650"/>
            <wp:effectExtent l="0" t="0" r="0" b="6350"/>
            <wp:docPr id="1916" name="Imagen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8"/>
                    <pic:cNvPicPr>
                      <a:picLocks noChangeAspect="1" noChangeArrowheads="1"/>
                    </pic:cNvPicPr>
                  </pic:nvPicPr>
                  <pic:blipFill>
                    <a:blip r:embed="rId9" cstate="print">
                      <a:extLst>
                        <a:ext uri="{28A0092B-C50C-407E-A947-70E740481C1C}">
                          <a14:useLocalDpi xmlns:a14="http://schemas.microsoft.com/office/drawing/2010/main" val="0"/>
                        </a:ext>
                      </a:extLst>
                    </a:blip>
                    <a:srcRect l="11896" r="10548"/>
                    <a:stretch>
                      <a:fillRect/>
                    </a:stretch>
                  </pic:blipFill>
                  <pic:spPr bwMode="auto">
                    <a:xfrm>
                      <a:off x="0" y="0"/>
                      <a:ext cx="4714240" cy="3422650"/>
                    </a:xfrm>
                    <a:prstGeom prst="rect">
                      <a:avLst/>
                    </a:prstGeom>
                    <a:noFill/>
                    <a:ln>
                      <a:noFill/>
                    </a:ln>
                  </pic:spPr>
                </pic:pic>
              </a:graphicData>
            </a:graphic>
          </wp:inline>
        </w:drawing>
      </w:r>
      <w:r w:rsidRPr="00CC0B6A">
        <w:rPr>
          <w:rFonts w:ascii="Calibri" w:eastAsia="Calibri" w:hAnsi="Calibri"/>
          <w:sz w:val="22"/>
          <w:szCs w:val="22"/>
          <w:lang w:eastAsia="en-US"/>
        </w:rPr>
        <w:fldChar w:fldCharType="end"/>
      </w:r>
    </w:p>
    <w:p w14:paraId="43C48A0A" w14:textId="77777777" w:rsidR="00CC0B6A" w:rsidRPr="00CC0B6A" w:rsidRDefault="00CC0B6A" w:rsidP="00CC0B6A">
      <w:pPr>
        <w:spacing w:after="160" w:line="259" w:lineRule="auto"/>
        <w:jc w:val="center"/>
        <w:rPr>
          <w:rFonts w:ascii="Calibri" w:eastAsia="Calibri" w:hAnsi="Calibri"/>
          <w:sz w:val="22"/>
          <w:szCs w:val="22"/>
          <w:lang w:eastAsia="en-US"/>
        </w:rPr>
      </w:pPr>
    </w:p>
    <w:bookmarkStart w:id="5" w:name="_GoBack"/>
    <w:bookmarkEnd w:id="5"/>
    <w:p w14:paraId="65F08583" w14:textId="1C0FC200" w:rsidR="00CC0B6A" w:rsidRPr="00CC0B6A" w:rsidRDefault="00CC0B6A" w:rsidP="00CC0B6A">
      <w:pPr>
        <w:spacing w:after="160" w:line="259" w:lineRule="auto"/>
        <w:jc w:val="center"/>
        <w:rPr>
          <w:rFonts w:ascii="Calibri" w:eastAsia="Calibri" w:hAnsi="Calibri"/>
          <w:sz w:val="22"/>
          <w:szCs w:val="22"/>
          <w:lang w:eastAsia="en-US"/>
        </w:rPr>
      </w:pPr>
      <w:r w:rsidRPr="00CC0B6A">
        <w:rPr>
          <w:rFonts w:ascii="Calibri" w:eastAsia="Calibri" w:hAnsi="Calibri"/>
          <w:sz w:val="22"/>
          <w:szCs w:val="22"/>
          <w:lang w:eastAsia="en-US"/>
        </w:rPr>
        <w:fldChar w:fldCharType="begin"/>
      </w:r>
      <w:r w:rsidRPr="00CC0B6A">
        <w:rPr>
          <w:rFonts w:ascii="Calibri" w:eastAsia="Calibri" w:hAnsi="Calibri"/>
          <w:sz w:val="22"/>
          <w:szCs w:val="22"/>
          <w:lang w:eastAsia="en-US"/>
        </w:rPr>
        <w:instrText xml:space="preserve"> LINK PowerPoint.Slide.8 "D:\\2015\\ABRIL\\GRÁFICAS POWER POINT\\34.- GRÁFICAS II IGAE.pptx!276" "" \a \p </w:instrText>
      </w:r>
      <w:r w:rsidRPr="00CC0B6A">
        <w:rPr>
          <w:rFonts w:ascii="Calibri" w:eastAsia="Calibri" w:hAnsi="Calibri"/>
          <w:sz w:val="22"/>
          <w:szCs w:val="22"/>
          <w:lang w:eastAsia="en-US"/>
        </w:rPr>
        <w:fldChar w:fldCharType="separate"/>
      </w:r>
      <w:r w:rsidRPr="00CC0B6A">
        <w:rPr>
          <w:rFonts w:ascii="Calibri" w:eastAsia="Calibri" w:hAnsi="Calibri"/>
          <w:noProof/>
          <w:sz w:val="22"/>
          <w:szCs w:val="22"/>
          <w:lang w:eastAsia="es-MX"/>
        </w:rPr>
        <w:drawing>
          <wp:inline distT="0" distB="0" distL="0" distR="0" wp14:anchorId="2A2CEC75" wp14:editId="29D2EE61">
            <wp:extent cx="4646295" cy="3342640"/>
            <wp:effectExtent l="0" t="0" r="1905" b="0"/>
            <wp:docPr id="1915" name="Imagen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9"/>
                    <pic:cNvPicPr>
                      <a:picLocks noChangeAspect="1" noChangeArrowheads="1"/>
                    </pic:cNvPicPr>
                  </pic:nvPicPr>
                  <pic:blipFill>
                    <a:blip r:embed="rId10" cstate="print">
                      <a:extLst>
                        <a:ext uri="{28A0092B-C50C-407E-A947-70E740481C1C}">
                          <a14:useLocalDpi xmlns:a14="http://schemas.microsoft.com/office/drawing/2010/main" val="0"/>
                        </a:ext>
                      </a:extLst>
                    </a:blip>
                    <a:srcRect l="11331" t="2391" r="12230"/>
                    <a:stretch>
                      <a:fillRect/>
                    </a:stretch>
                  </pic:blipFill>
                  <pic:spPr bwMode="auto">
                    <a:xfrm>
                      <a:off x="0" y="0"/>
                      <a:ext cx="4646295" cy="3342640"/>
                    </a:xfrm>
                    <a:prstGeom prst="rect">
                      <a:avLst/>
                    </a:prstGeom>
                    <a:noFill/>
                    <a:ln>
                      <a:noFill/>
                    </a:ln>
                  </pic:spPr>
                </pic:pic>
              </a:graphicData>
            </a:graphic>
          </wp:inline>
        </w:drawing>
      </w:r>
      <w:r w:rsidRPr="00CC0B6A">
        <w:rPr>
          <w:rFonts w:ascii="Calibri" w:eastAsia="Calibri" w:hAnsi="Calibri"/>
          <w:sz w:val="22"/>
          <w:szCs w:val="22"/>
          <w:lang w:eastAsia="en-US"/>
        </w:rPr>
        <w:fldChar w:fldCharType="end"/>
      </w:r>
    </w:p>
    <w:p w14:paraId="573ED14C" w14:textId="77777777" w:rsidR="00CC0B6A" w:rsidRPr="00CC0B6A" w:rsidRDefault="00CC0B6A" w:rsidP="00CC0B6A">
      <w:pPr>
        <w:spacing w:after="160" w:line="259" w:lineRule="auto"/>
        <w:jc w:val="center"/>
        <w:rPr>
          <w:rFonts w:ascii="Calibri" w:eastAsia="Calibri" w:hAnsi="Calibri"/>
          <w:sz w:val="22"/>
          <w:szCs w:val="22"/>
          <w:lang w:eastAsia="en-US"/>
        </w:rPr>
      </w:pPr>
    </w:p>
    <w:p w14:paraId="1FF0413B" w14:textId="4727CC6E" w:rsidR="00CC0B6A" w:rsidRPr="00CC0B6A" w:rsidRDefault="00CC0B6A" w:rsidP="00CC0B6A">
      <w:pPr>
        <w:spacing w:after="160" w:line="259" w:lineRule="auto"/>
        <w:jc w:val="center"/>
        <w:rPr>
          <w:rFonts w:ascii="Calibri" w:eastAsia="Calibri" w:hAnsi="Calibri"/>
          <w:sz w:val="22"/>
          <w:szCs w:val="22"/>
          <w:lang w:eastAsia="en-US"/>
        </w:rPr>
      </w:pPr>
      <w:r w:rsidRPr="00CC0B6A">
        <w:rPr>
          <w:rFonts w:ascii="Calibri" w:eastAsia="Calibri" w:hAnsi="Calibri"/>
          <w:sz w:val="22"/>
          <w:szCs w:val="22"/>
          <w:lang w:eastAsia="en-US"/>
        </w:rPr>
        <w:fldChar w:fldCharType="begin"/>
      </w:r>
      <w:r w:rsidRPr="00CC0B6A">
        <w:rPr>
          <w:rFonts w:ascii="Calibri" w:eastAsia="Calibri" w:hAnsi="Calibri"/>
          <w:sz w:val="22"/>
          <w:szCs w:val="22"/>
          <w:lang w:eastAsia="en-US"/>
        </w:rPr>
        <w:instrText xml:space="preserve"> LINK PowerPoint.Slide.8 "D:\\2015\\ABRIL\\GRÁFICAS POWER POINT\\34.- GRÁFICAS II IGAE.pptx!277" "" \a \p </w:instrText>
      </w:r>
      <w:r w:rsidRPr="00CC0B6A">
        <w:rPr>
          <w:rFonts w:ascii="Calibri" w:eastAsia="Calibri" w:hAnsi="Calibri"/>
          <w:sz w:val="22"/>
          <w:szCs w:val="22"/>
          <w:lang w:eastAsia="en-US"/>
        </w:rPr>
        <w:fldChar w:fldCharType="separate"/>
      </w:r>
      <w:r w:rsidRPr="00CC0B6A">
        <w:rPr>
          <w:rFonts w:ascii="Calibri" w:eastAsia="Calibri" w:hAnsi="Calibri"/>
          <w:noProof/>
          <w:sz w:val="22"/>
          <w:szCs w:val="22"/>
          <w:lang w:eastAsia="es-MX"/>
        </w:rPr>
        <w:drawing>
          <wp:inline distT="0" distB="0" distL="0" distR="0" wp14:anchorId="18781355" wp14:editId="54792907">
            <wp:extent cx="4547235" cy="3422650"/>
            <wp:effectExtent l="0" t="0" r="5715" b="6350"/>
            <wp:docPr id="1914" name="Imagen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11" cstate="print">
                      <a:extLst>
                        <a:ext uri="{28A0092B-C50C-407E-A947-70E740481C1C}">
                          <a14:useLocalDpi xmlns:a14="http://schemas.microsoft.com/office/drawing/2010/main" val="0"/>
                        </a:ext>
                      </a:extLst>
                    </a:blip>
                    <a:srcRect l="12679" r="12459"/>
                    <a:stretch>
                      <a:fillRect/>
                    </a:stretch>
                  </pic:blipFill>
                  <pic:spPr bwMode="auto">
                    <a:xfrm>
                      <a:off x="0" y="0"/>
                      <a:ext cx="4547235" cy="3422650"/>
                    </a:xfrm>
                    <a:prstGeom prst="rect">
                      <a:avLst/>
                    </a:prstGeom>
                    <a:noFill/>
                    <a:ln>
                      <a:noFill/>
                    </a:ln>
                  </pic:spPr>
                </pic:pic>
              </a:graphicData>
            </a:graphic>
          </wp:inline>
        </w:drawing>
      </w:r>
      <w:r w:rsidRPr="00CC0B6A">
        <w:rPr>
          <w:rFonts w:ascii="Calibri" w:eastAsia="Calibri" w:hAnsi="Calibri"/>
          <w:sz w:val="22"/>
          <w:szCs w:val="22"/>
          <w:lang w:eastAsia="en-US"/>
        </w:rPr>
        <w:fldChar w:fldCharType="end"/>
      </w:r>
    </w:p>
    <w:p w14:paraId="4E5F2ED8" w14:textId="77777777" w:rsidR="00C5736D" w:rsidRDefault="00C5736D" w:rsidP="00D067C7">
      <w:pPr>
        <w:spacing w:after="360" w:line="360" w:lineRule="auto"/>
        <w:ind w:right="-159"/>
        <w:jc w:val="both"/>
        <w:rPr>
          <w:rFonts w:eastAsia="Calibri"/>
          <w:b/>
          <w:sz w:val="26"/>
          <w:szCs w:val="26"/>
          <w:lang w:eastAsia="en-US"/>
        </w:rPr>
      </w:pPr>
    </w:p>
    <w:p w14:paraId="6A075BFE" w14:textId="77777777" w:rsidR="00D067C7" w:rsidRPr="00D067C7" w:rsidRDefault="00D067C7" w:rsidP="00D067C7">
      <w:pPr>
        <w:spacing w:after="360" w:line="360" w:lineRule="auto"/>
        <w:ind w:right="-159"/>
        <w:jc w:val="both"/>
        <w:rPr>
          <w:rFonts w:eastAsia="Calibri"/>
          <w:b/>
          <w:sz w:val="26"/>
          <w:szCs w:val="26"/>
          <w:lang w:eastAsia="en-US"/>
        </w:rPr>
      </w:pPr>
      <w:r w:rsidRPr="00D067C7">
        <w:rPr>
          <w:rFonts w:eastAsia="Calibri"/>
          <w:b/>
          <w:sz w:val="26"/>
          <w:szCs w:val="26"/>
          <w:lang w:eastAsia="en-US"/>
        </w:rPr>
        <w:lastRenderedPageBreak/>
        <w:t>Cifras Originales</w:t>
      </w:r>
    </w:p>
    <w:p w14:paraId="37610F38" w14:textId="77777777" w:rsidR="00D067C7" w:rsidRPr="00D067C7" w:rsidRDefault="00D067C7" w:rsidP="00D067C7">
      <w:pPr>
        <w:spacing w:after="360" w:line="360" w:lineRule="auto"/>
        <w:ind w:right="-159"/>
        <w:jc w:val="both"/>
        <w:rPr>
          <w:rFonts w:eastAsia="Calibri"/>
          <w:sz w:val="26"/>
          <w:szCs w:val="26"/>
          <w:lang w:eastAsia="en-US"/>
        </w:rPr>
      </w:pPr>
      <w:r w:rsidRPr="00D067C7">
        <w:rPr>
          <w:rFonts w:eastAsia="Calibri"/>
          <w:sz w:val="26"/>
          <w:szCs w:val="26"/>
          <w:lang w:eastAsia="en-US"/>
        </w:rPr>
        <w:t>En la siguiente gráfica se presentan los resultados originales del IGAE y el de los tres grandes grupos de actividades que lo conforman.</w:t>
      </w:r>
    </w:p>
    <w:p w14:paraId="2191990F" w14:textId="27C0651F" w:rsidR="00D067C7" w:rsidRPr="00D067C7" w:rsidRDefault="00CC0B6A" w:rsidP="00D067C7">
      <w:pPr>
        <w:spacing w:after="160" w:line="259" w:lineRule="auto"/>
        <w:jc w:val="center"/>
        <w:rPr>
          <w:rFonts w:ascii="Calibri" w:eastAsia="Calibri" w:hAnsi="Calibri"/>
          <w:sz w:val="22"/>
          <w:szCs w:val="22"/>
          <w:lang w:eastAsia="en-US"/>
        </w:rPr>
      </w:pPr>
      <w:r>
        <w:fldChar w:fldCharType="begin"/>
      </w:r>
      <w:r>
        <w:instrText xml:space="preserve"> LINK PowerPoint.Slide.8 "D:\\2015\\ABRIL\\GRÁFICAS POWER POINT\\34.- GRÁFICAS II IGAE.pptx!263" "" \a \p </w:instrText>
      </w:r>
      <w:r>
        <w:fldChar w:fldCharType="separate"/>
      </w:r>
      <w:r>
        <w:rPr>
          <w:noProof/>
          <w:lang w:eastAsia="es-MX"/>
        </w:rPr>
        <w:drawing>
          <wp:inline distT="0" distB="0" distL="0" distR="0" wp14:anchorId="3CF644C2" wp14:editId="5650FB38">
            <wp:extent cx="4979670" cy="2996588"/>
            <wp:effectExtent l="0" t="0" r="0" b="0"/>
            <wp:docPr id="1918" name="Imagen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12" cstate="print">
                      <a:extLst>
                        <a:ext uri="{28A0092B-C50C-407E-A947-70E740481C1C}">
                          <a14:useLocalDpi xmlns:a14="http://schemas.microsoft.com/office/drawing/2010/main" val="0"/>
                        </a:ext>
                      </a:extLst>
                    </a:blip>
                    <a:srcRect l="10109" t="2985" r="7968" b="3188"/>
                    <a:stretch>
                      <a:fillRect/>
                    </a:stretch>
                  </pic:blipFill>
                  <pic:spPr bwMode="auto">
                    <a:xfrm>
                      <a:off x="0" y="0"/>
                      <a:ext cx="4981809" cy="2997875"/>
                    </a:xfrm>
                    <a:prstGeom prst="rect">
                      <a:avLst/>
                    </a:prstGeom>
                    <a:noFill/>
                    <a:ln>
                      <a:noFill/>
                    </a:ln>
                  </pic:spPr>
                </pic:pic>
              </a:graphicData>
            </a:graphic>
          </wp:inline>
        </w:drawing>
      </w:r>
      <w:r>
        <w:fldChar w:fldCharType="end"/>
      </w:r>
    </w:p>
    <w:p w14:paraId="29882CFC" w14:textId="77777777" w:rsidR="00D067C7" w:rsidRPr="00D067C7" w:rsidRDefault="00D067C7" w:rsidP="00D067C7">
      <w:pPr>
        <w:spacing w:after="160" w:line="259" w:lineRule="auto"/>
        <w:jc w:val="center"/>
        <w:rPr>
          <w:rFonts w:ascii="Calibri" w:eastAsia="Calibri" w:hAnsi="Calibri"/>
          <w:sz w:val="22"/>
          <w:szCs w:val="22"/>
          <w:lang w:eastAsia="en-US"/>
        </w:rPr>
      </w:pPr>
    </w:p>
    <w:p w14:paraId="6832883A" w14:textId="5B12C380" w:rsidR="00D067C7" w:rsidRPr="00D067C7" w:rsidRDefault="00CC0B6A" w:rsidP="00D067C7">
      <w:pPr>
        <w:spacing w:after="160" w:line="259" w:lineRule="auto"/>
        <w:jc w:val="center"/>
        <w:rPr>
          <w:rFonts w:ascii="Calibri" w:eastAsia="Calibri" w:hAnsi="Calibri"/>
          <w:sz w:val="22"/>
          <w:szCs w:val="22"/>
          <w:lang w:eastAsia="en-US"/>
        </w:rPr>
      </w:pPr>
      <w:r w:rsidRPr="00CC0B6A">
        <w:rPr>
          <w:rFonts w:ascii="Calibri" w:eastAsia="Calibri" w:hAnsi="Calibri"/>
          <w:sz w:val="22"/>
          <w:szCs w:val="22"/>
          <w:lang w:eastAsia="en-US"/>
        </w:rPr>
        <w:fldChar w:fldCharType="begin"/>
      </w:r>
      <w:r w:rsidRPr="00CC0B6A">
        <w:rPr>
          <w:rFonts w:ascii="Calibri" w:eastAsia="Calibri" w:hAnsi="Calibri"/>
          <w:sz w:val="22"/>
          <w:szCs w:val="22"/>
          <w:lang w:eastAsia="en-US"/>
        </w:rPr>
        <w:instrText xml:space="preserve"> LINK PowerPoint.Slide.8 "D:\\2015\\ABRIL\\GRÁFICAS POWER POINT\\34.- GRÁFICAS II IGAE.pptx!264" "" \a \p </w:instrText>
      </w:r>
      <w:r w:rsidRPr="00CC0B6A">
        <w:rPr>
          <w:rFonts w:ascii="Calibri" w:eastAsia="Calibri" w:hAnsi="Calibri"/>
          <w:sz w:val="22"/>
          <w:szCs w:val="22"/>
          <w:lang w:eastAsia="en-US"/>
        </w:rPr>
        <w:fldChar w:fldCharType="separate"/>
      </w:r>
      <w:r w:rsidRPr="00CC0B6A">
        <w:rPr>
          <w:rFonts w:ascii="Calibri" w:eastAsia="Calibri" w:hAnsi="Calibri"/>
          <w:noProof/>
          <w:sz w:val="22"/>
          <w:szCs w:val="22"/>
          <w:lang w:eastAsia="es-MX"/>
        </w:rPr>
        <w:drawing>
          <wp:inline distT="0" distB="0" distL="0" distR="0" wp14:anchorId="6AB43560" wp14:editId="1D368441">
            <wp:extent cx="4584065" cy="2974554"/>
            <wp:effectExtent l="0" t="0" r="6985" b="0"/>
            <wp:docPr id="1917" name="Imagen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7"/>
                    <pic:cNvPicPr>
                      <a:picLocks noChangeAspect="1" noChangeArrowheads="1"/>
                    </pic:cNvPicPr>
                  </pic:nvPicPr>
                  <pic:blipFill>
                    <a:blip r:embed="rId13" cstate="print">
                      <a:extLst>
                        <a:ext uri="{28A0092B-C50C-407E-A947-70E740481C1C}">
                          <a14:useLocalDpi xmlns:a14="http://schemas.microsoft.com/office/drawing/2010/main" val="0"/>
                        </a:ext>
                      </a:extLst>
                    </a:blip>
                    <a:srcRect l="12012" t="3189" r="12564" b="3577"/>
                    <a:stretch>
                      <a:fillRect/>
                    </a:stretch>
                  </pic:blipFill>
                  <pic:spPr bwMode="auto">
                    <a:xfrm>
                      <a:off x="0" y="0"/>
                      <a:ext cx="4584788" cy="2975023"/>
                    </a:xfrm>
                    <a:prstGeom prst="rect">
                      <a:avLst/>
                    </a:prstGeom>
                    <a:noFill/>
                    <a:ln>
                      <a:noFill/>
                    </a:ln>
                  </pic:spPr>
                </pic:pic>
              </a:graphicData>
            </a:graphic>
          </wp:inline>
        </w:drawing>
      </w:r>
      <w:r w:rsidRPr="00CC0B6A">
        <w:rPr>
          <w:rFonts w:ascii="Calibri" w:eastAsia="Calibri" w:hAnsi="Calibri"/>
          <w:sz w:val="22"/>
          <w:szCs w:val="22"/>
          <w:lang w:eastAsia="en-US"/>
        </w:rPr>
        <w:fldChar w:fldCharType="end"/>
      </w:r>
    </w:p>
    <w:p w14:paraId="3BAD59A5" w14:textId="77777777" w:rsidR="00D067C7" w:rsidRPr="00D067C7" w:rsidRDefault="00D067C7" w:rsidP="00D067C7">
      <w:pPr>
        <w:ind w:right="-159"/>
        <w:jc w:val="both"/>
        <w:rPr>
          <w:rFonts w:eastAsia="Calibri"/>
          <w:b/>
          <w:sz w:val="20"/>
          <w:szCs w:val="20"/>
          <w:lang w:eastAsia="en-US"/>
        </w:rPr>
      </w:pPr>
      <w:r w:rsidRPr="00D067C7">
        <w:rPr>
          <w:rFonts w:eastAsia="Calibri"/>
          <w:b/>
          <w:sz w:val="20"/>
          <w:szCs w:val="20"/>
          <w:lang w:eastAsia="en-US"/>
        </w:rPr>
        <w:t>Fuente de información:</w:t>
      </w:r>
    </w:p>
    <w:p w14:paraId="0454D41B" w14:textId="7266B310" w:rsidR="00D067C7" w:rsidRPr="00D067C7" w:rsidRDefault="0045651A" w:rsidP="00D067C7">
      <w:pPr>
        <w:ind w:right="-159"/>
        <w:jc w:val="both"/>
        <w:rPr>
          <w:rFonts w:eastAsia="Calibri"/>
          <w:sz w:val="12"/>
          <w:szCs w:val="20"/>
          <w:lang w:eastAsia="en-US"/>
        </w:rPr>
      </w:pPr>
      <w:hyperlink r:id="rId14" w:history="1">
        <w:r w:rsidR="00C5736D" w:rsidRPr="008660DD">
          <w:rPr>
            <w:rStyle w:val="Hipervnculo"/>
            <w:sz w:val="20"/>
          </w:rPr>
          <w:t>http://www.inegi.org.mx/saladeprensa/boletines/2015/igae/igae2015_04.pdf</w:t>
        </w:r>
      </w:hyperlink>
      <w:r w:rsidR="00D067C7" w:rsidRPr="00D067C7">
        <w:rPr>
          <w:sz w:val="20"/>
        </w:rPr>
        <w:t xml:space="preserve"> </w:t>
      </w:r>
    </w:p>
    <w:p w14:paraId="3B1EF0B8" w14:textId="4F7C6996" w:rsidR="002829A0" w:rsidRDefault="005F651D" w:rsidP="00C5736D">
      <w:pPr>
        <w:spacing w:after="360"/>
        <w:rPr>
          <w:b/>
          <w:sz w:val="26"/>
          <w:szCs w:val="26"/>
        </w:rPr>
      </w:pPr>
      <w:r>
        <w:rPr>
          <w:b/>
          <w:sz w:val="26"/>
          <w:szCs w:val="26"/>
        </w:rPr>
        <w:br w:type="page"/>
      </w:r>
      <w:r w:rsidR="002829A0" w:rsidRPr="002829A0">
        <w:rPr>
          <w:b/>
          <w:sz w:val="26"/>
          <w:szCs w:val="26"/>
        </w:rPr>
        <w:lastRenderedPageBreak/>
        <w:t>Sistema de Indicadores Cíclicos, a enero de 2015 (INEGI)</w:t>
      </w:r>
    </w:p>
    <w:p w14:paraId="72EB6D44" w14:textId="77777777" w:rsidR="00C5736D" w:rsidRPr="002829A0" w:rsidRDefault="00C5736D" w:rsidP="00C5736D">
      <w:pPr>
        <w:rPr>
          <w:b/>
          <w:sz w:val="26"/>
          <w:szCs w:val="26"/>
        </w:rPr>
      </w:pPr>
    </w:p>
    <w:p w14:paraId="2D0591E5" w14:textId="1F05AE43"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El 6 de abril de 2015, el Instituto Nacional de Estadística y Geografía (INEGI) present</w:t>
      </w:r>
      <w:r w:rsidR="008C6CAD">
        <w:rPr>
          <w:rFonts w:eastAsia="Times New Roman"/>
          <w:sz w:val="26"/>
          <w:szCs w:val="26"/>
        </w:rPr>
        <w:t>ó</w:t>
      </w:r>
      <w:r w:rsidRPr="002829A0">
        <w:rPr>
          <w:rFonts w:eastAsia="Times New Roman"/>
          <w:sz w:val="26"/>
          <w:szCs w:val="26"/>
        </w:rPr>
        <w:t xml:space="preserve"> los resultados del Sistema de Indicadores Cíclicos que genera mediante una metodología compatible con la utilizada por la Organización para la Cooperación y el Desarrollo Económicos (OCDE).</w:t>
      </w:r>
    </w:p>
    <w:p w14:paraId="49BAC9DE"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El Sistema de Indicadores Cíclicos está conformado por dos indicadores compuestos que se denominan coincidente y adelantado. El indicador coincidente refleja el estado general de la economía, mientras que el Adelantado busca señalar anticipadamente la trayectoria del Indicador Coincidente, particularmente los puntos de giro: picos y valles, con base en la información con la que se dispone de sus componentes a una fecha determinada.</w:t>
      </w:r>
    </w:p>
    <w:p w14:paraId="1DDF3506"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 xml:space="preserve">El enfoque de “Ciclo de crecimiento” identifica a los ciclos económicos como las desviaciones de la economía respecto a su tendencia de largo plazo. Por tanto, el componente cíclico de las variables que lo conforman cada indicador compuesto se calcula como la desviación de su respectiva tendencia de largo plazo y la del indicador compuesto se obtiene por agregación. </w:t>
      </w:r>
    </w:p>
    <w:p w14:paraId="1701E5D3" w14:textId="77777777" w:rsidR="002829A0" w:rsidRPr="002829A0" w:rsidRDefault="002829A0" w:rsidP="002829A0">
      <w:pPr>
        <w:spacing w:after="360" w:line="360" w:lineRule="auto"/>
        <w:ind w:right="-159"/>
        <w:jc w:val="both"/>
        <w:rPr>
          <w:rFonts w:eastAsia="Times New Roman"/>
          <w:b/>
          <w:sz w:val="26"/>
          <w:szCs w:val="26"/>
        </w:rPr>
      </w:pPr>
      <w:r w:rsidRPr="002829A0">
        <w:rPr>
          <w:rFonts w:eastAsia="Times New Roman"/>
          <w:b/>
          <w:sz w:val="26"/>
          <w:szCs w:val="26"/>
        </w:rPr>
        <w:t>Interpretación de los indicadores cíclicos con enfoque del ciclo de crecimiento</w:t>
      </w:r>
    </w:p>
    <w:p w14:paraId="3EDA7D6F" w14:textId="77777777" w:rsid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El valor de los Indicadores Coincidente y Adelantado, así como su tendencia de largo plazo representada por una línea horizontal igual a 100, permiten identificar cuatro fases del ciclo económico. A partir de ahora, al igual que lo ha hecho la OCDE, se modifica la denominación de las fases del ciclo económico: por arriba o por debajo de su tendencia de largo plazo, creciendo o decreciendo.</w:t>
      </w:r>
    </w:p>
    <w:p w14:paraId="644D361E" w14:textId="77777777" w:rsidR="00512C3D" w:rsidRPr="002829A0" w:rsidRDefault="00512C3D" w:rsidP="002829A0">
      <w:pPr>
        <w:spacing w:after="360" w:line="360" w:lineRule="auto"/>
        <w:ind w:right="-159"/>
        <w:jc w:val="both"/>
        <w:rPr>
          <w:rFonts w:eastAsia="Times New Roman"/>
          <w:sz w:val="26"/>
          <w:szCs w:val="26"/>
        </w:rPr>
      </w:pPr>
    </w:p>
    <w:p w14:paraId="5F0AE47D" w14:textId="77777777" w:rsidR="002829A0" w:rsidRPr="002829A0" w:rsidRDefault="002829A0" w:rsidP="00472665">
      <w:pPr>
        <w:spacing w:after="360" w:line="360" w:lineRule="auto"/>
        <w:ind w:left="714" w:right="-159"/>
        <w:jc w:val="both"/>
        <w:rPr>
          <w:rFonts w:eastAsia="Times New Roman"/>
          <w:sz w:val="26"/>
          <w:szCs w:val="26"/>
        </w:rPr>
      </w:pPr>
      <w:r w:rsidRPr="00472665">
        <w:rPr>
          <w:rFonts w:eastAsia="Times New Roman"/>
          <w:noProof/>
          <w:sz w:val="26"/>
          <w:szCs w:val="26"/>
          <w:lang w:eastAsia="es-MX"/>
        </w:rPr>
        <w:lastRenderedPageBreak/>
        <mc:AlternateContent>
          <mc:Choice Requires="wps">
            <w:drawing>
              <wp:anchor distT="0" distB="0" distL="114300" distR="114300" simplePos="0" relativeHeight="251667456" behindDoc="0" locked="0" layoutInCell="1" allowOverlap="1" wp14:anchorId="59299EBD" wp14:editId="2CBB8F5B">
                <wp:simplePos x="0" y="0"/>
                <wp:positionH relativeFrom="column">
                  <wp:posOffset>-31750</wp:posOffset>
                </wp:positionH>
                <wp:positionV relativeFrom="paragraph">
                  <wp:posOffset>8890</wp:posOffset>
                </wp:positionV>
                <wp:extent cx="222421" cy="148281"/>
                <wp:effectExtent l="0" t="0" r="25400" b="23495"/>
                <wp:wrapNone/>
                <wp:docPr id="1473" name="Rectángulo 1473"/>
                <wp:cNvGraphicFramePr/>
                <a:graphic xmlns:a="http://schemas.openxmlformats.org/drawingml/2006/main">
                  <a:graphicData uri="http://schemas.microsoft.com/office/word/2010/wordprocessingShape">
                    <wps:wsp>
                      <wps:cNvSpPr/>
                      <wps:spPr>
                        <a:xfrm>
                          <a:off x="0" y="0"/>
                          <a:ext cx="222421" cy="148281"/>
                        </a:xfrm>
                        <a:prstGeom prst="rect">
                          <a:avLst/>
                        </a:prstGeom>
                        <a:solidFill>
                          <a:srgbClr val="33CC33"/>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1CAC06" id="Rectángulo 1473" o:spid="_x0000_s1026" style="position:absolute;margin-left:-2.5pt;margin-top:.7pt;width:17.5pt;height:11.7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" fillcolor="#3c3" strokecolor="#41719c" strokeweight="1pt"/>
            </w:pict>
          </mc:Fallback>
        </mc:AlternateContent>
      </w:r>
      <w:r w:rsidRPr="002829A0">
        <w:rPr>
          <w:rFonts w:eastAsia="Times New Roman"/>
          <w:sz w:val="26"/>
          <w:szCs w:val="26"/>
        </w:rPr>
        <w:t xml:space="preserve">Cuando el indicador (su componente cíclico) está creciendo y se ubica por arriba de su tendencia de largo plazo. </w:t>
      </w:r>
    </w:p>
    <w:p w14:paraId="3FEC6F18" w14:textId="77777777" w:rsidR="002829A0" w:rsidRPr="002829A0" w:rsidRDefault="002829A0" w:rsidP="00472665">
      <w:pPr>
        <w:spacing w:after="360" w:line="360" w:lineRule="auto"/>
        <w:ind w:left="714" w:right="-159"/>
        <w:jc w:val="both"/>
        <w:rPr>
          <w:rFonts w:eastAsia="Times New Roman"/>
          <w:sz w:val="26"/>
          <w:szCs w:val="26"/>
        </w:rPr>
      </w:pPr>
      <w:r w:rsidRPr="002829A0">
        <w:rPr>
          <w:rFonts w:eastAsia="Times New Roman"/>
          <w:b/>
          <w:noProof/>
          <w:sz w:val="26"/>
          <w:szCs w:val="26"/>
          <w:lang w:eastAsia="es-MX"/>
        </w:rPr>
        <mc:AlternateContent>
          <mc:Choice Requires="wps">
            <w:drawing>
              <wp:anchor distT="0" distB="0" distL="114300" distR="114300" simplePos="0" relativeHeight="251668480" behindDoc="0" locked="0" layoutInCell="1" allowOverlap="1" wp14:anchorId="32774F9B" wp14:editId="2635B3F8">
                <wp:simplePos x="0" y="0"/>
                <wp:positionH relativeFrom="column">
                  <wp:posOffset>-13335</wp:posOffset>
                </wp:positionH>
                <wp:positionV relativeFrom="paragraph">
                  <wp:posOffset>46355</wp:posOffset>
                </wp:positionV>
                <wp:extent cx="222250" cy="147955"/>
                <wp:effectExtent l="0" t="0" r="25400" b="23495"/>
                <wp:wrapNone/>
                <wp:docPr id="1474" name="Rectángulo 1474"/>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FF66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23F9F0" id="Rectángulo 1474" o:spid="_x0000_s1026" style="position:absolute;margin-left:-1.05pt;margin-top:3.65pt;width:17.5pt;height:11.6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" fillcolor="#f60" strokecolor="#41719c" strokeweight="1pt"/>
            </w:pict>
          </mc:Fallback>
        </mc:AlternateContent>
      </w:r>
      <w:r w:rsidRPr="002829A0">
        <w:rPr>
          <w:rFonts w:eastAsia="Times New Roman"/>
          <w:sz w:val="26"/>
          <w:szCs w:val="26"/>
        </w:rPr>
        <w:t xml:space="preserve">Cuando el componente cíclico del indicador está decreciendo y se ubica por arriba de su tendencia de largo plazo. </w:t>
      </w:r>
    </w:p>
    <w:p w14:paraId="6C6EC3D5" w14:textId="77777777" w:rsidR="002829A0" w:rsidRPr="002829A0" w:rsidRDefault="002829A0" w:rsidP="00472665">
      <w:pPr>
        <w:spacing w:after="360" w:line="360" w:lineRule="auto"/>
        <w:ind w:left="714" w:right="-159"/>
        <w:jc w:val="both"/>
        <w:rPr>
          <w:rFonts w:eastAsia="Times New Roman"/>
          <w:sz w:val="26"/>
          <w:szCs w:val="26"/>
        </w:rPr>
      </w:pPr>
      <w:r w:rsidRPr="002829A0">
        <w:rPr>
          <w:rFonts w:eastAsia="Times New Roman"/>
          <w:b/>
          <w:noProof/>
          <w:sz w:val="26"/>
          <w:szCs w:val="26"/>
          <w:lang w:eastAsia="es-MX"/>
        </w:rPr>
        <mc:AlternateContent>
          <mc:Choice Requires="wps">
            <w:drawing>
              <wp:anchor distT="0" distB="0" distL="114300" distR="114300" simplePos="0" relativeHeight="251669504" behindDoc="0" locked="0" layoutInCell="1" allowOverlap="1" wp14:anchorId="7545EF95" wp14:editId="170513B4">
                <wp:simplePos x="0" y="0"/>
                <wp:positionH relativeFrom="column">
                  <wp:posOffset>-23495</wp:posOffset>
                </wp:positionH>
                <wp:positionV relativeFrom="paragraph">
                  <wp:posOffset>49530</wp:posOffset>
                </wp:positionV>
                <wp:extent cx="222250" cy="147955"/>
                <wp:effectExtent l="0" t="0" r="25400" b="23495"/>
                <wp:wrapNone/>
                <wp:docPr id="1475" name="Rectángulo 1475"/>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00B0F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05A4B4" id="Rectángulo 1475" o:spid="_x0000_s1026" style="position:absolute;margin-left:-1.85pt;margin-top:3.9pt;width:17.5pt;height:11.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" fillcolor="#00b0f0" strokecolor="#41719c" strokeweight="1pt"/>
            </w:pict>
          </mc:Fallback>
        </mc:AlternateContent>
      </w:r>
      <w:r w:rsidRPr="002829A0">
        <w:rPr>
          <w:rFonts w:eastAsia="Times New Roman"/>
          <w:b/>
          <w:noProof/>
          <w:sz w:val="26"/>
          <w:szCs w:val="26"/>
          <w:lang w:eastAsia="es-MX"/>
        </w:rPr>
        <mc:AlternateContent>
          <mc:Choice Requires="wps">
            <w:drawing>
              <wp:anchor distT="0" distB="0" distL="114300" distR="114300" simplePos="0" relativeHeight="251670528" behindDoc="0" locked="0" layoutInCell="1" allowOverlap="1" wp14:anchorId="38D19B83" wp14:editId="5C47B021">
                <wp:simplePos x="0" y="0"/>
                <wp:positionH relativeFrom="column">
                  <wp:posOffset>-21590</wp:posOffset>
                </wp:positionH>
                <wp:positionV relativeFrom="paragraph">
                  <wp:posOffset>851535</wp:posOffset>
                </wp:positionV>
                <wp:extent cx="222250" cy="147955"/>
                <wp:effectExtent l="0" t="0" r="25400" b="23495"/>
                <wp:wrapNone/>
                <wp:docPr id="1476" name="Rectángulo 1476"/>
                <wp:cNvGraphicFramePr/>
                <a:graphic xmlns:a="http://schemas.openxmlformats.org/drawingml/2006/main">
                  <a:graphicData uri="http://schemas.microsoft.com/office/word/2010/wordprocessingShape">
                    <wps:wsp>
                      <wps:cNvSpPr/>
                      <wps:spPr>
                        <a:xfrm>
                          <a:off x="0" y="0"/>
                          <a:ext cx="222250" cy="147955"/>
                        </a:xfrm>
                        <a:prstGeom prst="rect">
                          <a:avLst/>
                        </a:prstGeom>
                        <a:solidFill>
                          <a:srgbClr val="E12FBF"/>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27BC3" id="Rectángulo 1476" o:spid="_x0000_s1026" style="position:absolute;margin-left:-1.7pt;margin-top:67.05pt;width:17.5pt;height:11.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" fillcolor="#e12fbf" strokecolor="#41719c" strokeweight="1pt"/>
            </w:pict>
          </mc:Fallback>
        </mc:AlternateContent>
      </w:r>
      <w:r w:rsidRPr="002829A0">
        <w:rPr>
          <w:rFonts w:eastAsia="Times New Roman"/>
          <w:sz w:val="26"/>
          <w:szCs w:val="26"/>
        </w:rPr>
        <w:t xml:space="preserve">Cuando el componente cíclico del indicador está decreciendo y se ubica por debajo de su tendencia de largo plazo. </w:t>
      </w:r>
    </w:p>
    <w:p w14:paraId="705BB398" w14:textId="77777777" w:rsidR="002829A0" w:rsidRPr="002829A0" w:rsidRDefault="002829A0" w:rsidP="00472665">
      <w:pPr>
        <w:spacing w:after="360" w:line="360" w:lineRule="auto"/>
        <w:ind w:left="714" w:right="-159"/>
        <w:jc w:val="both"/>
        <w:rPr>
          <w:rFonts w:eastAsia="Times New Roman"/>
          <w:sz w:val="26"/>
          <w:szCs w:val="26"/>
        </w:rPr>
      </w:pPr>
      <w:r w:rsidRPr="002829A0">
        <w:rPr>
          <w:rFonts w:eastAsia="Times New Roman"/>
          <w:sz w:val="26"/>
          <w:szCs w:val="26"/>
        </w:rPr>
        <w:t>Cuando el componente cíclico del indicador está creciendo y se ubica por debajo de su tendencia de largo plazo.</w:t>
      </w:r>
    </w:p>
    <w:p w14:paraId="0905B9BF" w14:textId="697A1B3D" w:rsidR="002829A0" w:rsidRPr="002829A0" w:rsidRDefault="00BA61DD" w:rsidP="00BA61DD">
      <w:pPr>
        <w:spacing w:after="360" w:line="360" w:lineRule="auto"/>
        <w:ind w:right="-159"/>
        <w:jc w:val="center"/>
        <w:rPr>
          <w:rFonts w:eastAsia="Times New Roman"/>
          <w:sz w:val="26"/>
          <w:szCs w:val="26"/>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POINT\\11.- GRÁFICAS DE IND. CÍCLICOS.pptx!260"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23C28F46" wp14:editId="0F77295A">
            <wp:extent cx="4559935" cy="2286000"/>
            <wp:effectExtent l="0" t="0" r="0" b="0"/>
            <wp:docPr id="1472" name="Imagen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5" cstate="print">
                      <a:extLst>
                        <a:ext uri="{28A0092B-C50C-407E-A947-70E740481C1C}">
                          <a14:useLocalDpi xmlns:a14="http://schemas.microsoft.com/office/drawing/2010/main" val="0"/>
                        </a:ext>
                      </a:extLst>
                    </a:blip>
                    <a:srcRect b="33333"/>
                    <a:stretch>
                      <a:fillRect/>
                    </a:stretch>
                  </pic:blipFill>
                  <pic:spPr bwMode="auto">
                    <a:xfrm>
                      <a:off x="0" y="0"/>
                      <a:ext cx="4559935" cy="228600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3BB37AAD"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 xml:space="preserve">Cabe destacar que con estos elementos es posible distinguir la etapa del ciclo económico en la que se encuentra la economía del país, sin embargo no se establece la magnitud de su crecimiento. </w:t>
      </w:r>
    </w:p>
    <w:p w14:paraId="6F7611B7"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 xml:space="preserve">Como es del conocimiento de los usuarios, en el 2010 se difundió por primera vez el “Sistema de Indicadores Cíclicos (SIC)” bajo el enfoque del ciclo de crecimiento con el objetivo de facilitar el seguimiento de la evolución de la economía mexicana, particularmente la detección temprana de posibles puntos de giro. Dado el constante y normal cambio presente en las economías de los países, es necesario vigilar que se siga </w:t>
      </w:r>
      <w:r w:rsidRPr="002829A0">
        <w:rPr>
          <w:rFonts w:eastAsia="Times New Roman"/>
          <w:sz w:val="26"/>
          <w:szCs w:val="26"/>
        </w:rPr>
        <w:lastRenderedPageBreak/>
        <w:t xml:space="preserve">observando el comportamiento coincidente o adelantado de los indicadores que conforman el sistema. Después de poco más de cuatro años desde su publicación, el INEGI realizó la revisión y análisis de las variables que conforman los indicadores compuestos Coincidente y Adelantado en consulta con usuarios y analistas especializados. Como resultado de lo anterior, se llevó a cabo una actualización de los componentes que se presentan a continuación:  </w:t>
      </w:r>
    </w:p>
    <w:p w14:paraId="1F9295A4"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Derivado de la evaluación de los componentes de los indicadores compuestos, el Indicador Coincidente incorpora al Indicador Global de la Actividad Económica en sustitución del Indicador de la Actividad Económica Mensual y el resto de sus componentes se mantienen. En el Indicador Adelantado, por su parte, se reemplaza el Tipo de Cambio Real (Multilateral) por el Tipo de Cambio Real Bilateral México – Estados Unidos de Norteamérica; se incorpora el Indicador de Confianza Empresarial:</w:t>
      </w:r>
    </w:p>
    <w:p w14:paraId="5583674E" w14:textId="77777777" w:rsidR="002829A0" w:rsidRP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 xml:space="preserve">Momento Adecuado para Invertir; se mantienen la Tendencia del Empleo en las Manufacturas, el Índice de Precios y Cotizaciones de la Bolsa Mexicana de Valores en términos reales, la Tasa de Interés Interbancaria de Equilibrio y el Índice </w:t>
      </w:r>
      <w:r w:rsidRPr="002829A0">
        <w:rPr>
          <w:rFonts w:eastAsia="Times New Roman"/>
          <w:i/>
          <w:sz w:val="26"/>
          <w:szCs w:val="26"/>
        </w:rPr>
        <w:t>Standard &amp; Poor's</w:t>
      </w:r>
      <w:r w:rsidRPr="002829A0">
        <w:rPr>
          <w:rFonts w:eastAsia="Times New Roman"/>
          <w:sz w:val="26"/>
          <w:szCs w:val="26"/>
        </w:rPr>
        <w:t xml:space="preserve"> 500 (índice bursátil de Estados Unidos de Norteamérica); se excluyen las Exportaciones No Petroleras.</w:t>
      </w:r>
    </w:p>
    <w:p w14:paraId="2D1EF40D" w14:textId="77777777" w:rsidR="002829A0" w:rsidRPr="002829A0" w:rsidRDefault="002829A0" w:rsidP="002829A0">
      <w:pPr>
        <w:spacing w:after="360" w:line="360" w:lineRule="auto"/>
        <w:ind w:right="-159"/>
        <w:jc w:val="both"/>
        <w:rPr>
          <w:rFonts w:eastAsia="Times New Roman"/>
          <w:b/>
          <w:sz w:val="26"/>
          <w:szCs w:val="26"/>
        </w:rPr>
      </w:pPr>
      <w:r w:rsidRPr="002829A0">
        <w:rPr>
          <w:rFonts w:eastAsia="Times New Roman"/>
          <w:b/>
          <w:sz w:val="26"/>
          <w:szCs w:val="26"/>
        </w:rPr>
        <w:t>Resultados del enfoque del ciclo de crecimiento: componentes ciclicos</w:t>
      </w:r>
    </w:p>
    <w:p w14:paraId="178572F6" w14:textId="77777777" w:rsidR="002829A0" w:rsidRPr="002829A0" w:rsidRDefault="002829A0" w:rsidP="002829A0">
      <w:pPr>
        <w:spacing w:after="360" w:line="360" w:lineRule="auto"/>
        <w:ind w:right="-159"/>
        <w:jc w:val="both"/>
        <w:rPr>
          <w:rFonts w:eastAsia="Times New Roman"/>
          <w:b/>
          <w:sz w:val="26"/>
          <w:szCs w:val="26"/>
        </w:rPr>
      </w:pPr>
      <w:r w:rsidRPr="002829A0">
        <w:rPr>
          <w:rFonts w:eastAsia="Times New Roman"/>
          <w:b/>
          <w:sz w:val="26"/>
          <w:szCs w:val="26"/>
        </w:rPr>
        <w:t>Indicador Coincidente</w:t>
      </w:r>
    </w:p>
    <w:p w14:paraId="759811D8" w14:textId="77777777" w:rsidR="002829A0" w:rsidRDefault="002829A0" w:rsidP="002829A0">
      <w:pPr>
        <w:spacing w:after="360" w:line="360" w:lineRule="auto"/>
        <w:ind w:right="-159"/>
        <w:jc w:val="both"/>
        <w:rPr>
          <w:rFonts w:eastAsia="Times New Roman"/>
          <w:sz w:val="26"/>
          <w:szCs w:val="26"/>
        </w:rPr>
      </w:pPr>
      <w:r w:rsidRPr="002829A0">
        <w:rPr>
          <w:rFonts w:eastAsia="Times New Roman"/>
          <w:sz w:val="26"/>
          <w:szCs w:val="26"/>
        </w:rPr>
        <w:t>En enero de 2015, el Indicador Coincidente se localizó alrededor del nivel de su tendencia de largo plazo al registrar un valor de 100.0 puntos y una variación negativa de 0.03 puntos respecto al mes anterior.</w:t>
      </w:r>
    </w:p>
    <w:p w14:paraId="546C2990" w14:textId="77777777" w:rsidR="00BA61DD" w:rsidRDefault="00BA61DD" w:rsidP="002829A0">
      <w:pPr>
        <w:spacing w:after="360" w:line="360" w:lineRule="auto"/>
        <w:ind w:right="-159"/>
        <w:jc w:val="both"/>
        <w:rPr>
          <w:rFonts w:eastAsia="Times New Roman"/>
          <w:sz w:val="26"/>
          <w:szCs w:val="26"/>
        </w:rPr>
      </w:pPr>
    </w:p>
    <w:p w14:paraId="65F17A70" w14:textId="77777777" w:rsidR="002829A0" w:rsidRPr="002829A0" w:rsidRDefault="002829A0" w:rsidP="002829A0">
      <w:pPr>
        <w:jc w:val="center"/>
        <w:rPr>
          <w:b/>
          <w:sz w:val="22"/>
          <w:szCs w:val="22"/>
        </w:rPr>
      </w:pPr>
      <w:r w:rsidRPr="002829A0">
        <w:rPr>
          <w:b/>
          <w:sz w:val="22"/>
          <w:szCs w:val="22"/>
        </w:rPr>
        <w:lastRenderedPageBreak/>
        <w:t>INDICADOR COINCIDENTE</w:t>
      </w:r>
    </w:p>
    <w:p w14:paraId="7BF2F4F9" w14:textId="77777777" w:rsidR="002829A0" w:rsidRPr="002829A0" w:rsidRDefault="002829A0" w:rsidP="002829A0">
      <w:pPr>
        <w:jc w:val="center"/>
        <w:rPr>
          <w:sz w:val="22"/>
          <w:szCs w:val="22"/>
        </w:rPr>
      </w:pPr>
      <w:r w:rsidRPr="002829A0">
        <w:rPr>
          <w:b/>
          <w:sz w:val="22"/>
          <w:szCs w:val="22"/>
        </w:rPr>
        <w:t>-Diferencia en puntos respecto al mes inmediato anterior-</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710"/>
        <w:gridCol w:w="766"/>
        <w:gridCol w:w="787"/>
        <w:gridCol w:w="631"/>
        <w:gridCol w:w="717"/>
        <w:gridCol w:w="706"/>
        <w:gridCol w:w="707"/>
        <w:gridCol w:w="643"/>
        <w:gridCol w:w="708"/>
        <w:gridCol w:w="708"/>
        <w:gridCol w:w="731"/>
      </w:tblGrid>
      <w:tr w:rsidR="002829A0" w:rsidRPr="002829A0" w14:paraId="04045B75" w14:textId="77777777" w:rsidTr="00BA61DD">
        <w:trPr>
          <w:jc w:val="center"/>
        </w:trPr>
        <w:tc>
          <w:tcPr>
            <w:tcW w:w="7792" w:type="dxa"/>
            <w:gridSpan w:val="11"/>
          </w:tcPr>
          <w:p w14:paraId="32ACEFF1" w14:textId="77777777" w:rsidR="002829A0" w:rsidRPr="002829A0" w:rsidRDefault="002829A0" w:rsidP="002829A0">
            <w:pPr>
              <w:jc w:val="center"/>
              <w:rPr>
                <w:b/>
                <w:sz w:val="20"/>
                <w:szCs w:val="20"/>
                <w:lang w:val="es-ES"/>
              </w:rPr>
            </w:pPr>
            <w:r w:rsidRPr="002829A0">
              <w:rPr>
                <w:b/>
                <w:sz w:val="20"/>
                <w:szCs w:val="20"/>
                <w:lang w:val="es-ES"/>
              </w:rPr>
              <w:t>2014</w:t>
            </w:r>
          </w:p>
        </w:tc>
        <w:tc>
          <w:tcPr>
            <w:tcW w:w="731" w:type="dxa"/>
          </w:tcPr>
          <w:p w14:paraId="2F7DB137" w14:textId="77777777" w:rsidR="002829A0" w:rsidRPr="002829A0" w:rsidRDefault="002829A0" w:rsidP="002829A0">
            <w:pPr>
              <w:jc w:val="center"/>
              <w:rPr>
                <w:b/>
                <w:sz w:val="20"/>
                <w:szCs w:val="20"/>
                <w:lang w:val="es-ES"/>
              </w:rPr>
            </w:pPr>
            <w:r w:rsidRPr="002829A0">
              <w:rPr>
                <w:b/>
                <w:sz w:val="20"/>
                <w:szCs w:val="20"/>
                <w:lang w:val="es-ES"/>
              </w:rPr>
              <w:t>2015</w:t>
            </w:r>
          </w:p>
        </w:tc>
      </w:tr>
      <w:tr w:rsidR="002829A0" w:rsidRPr="002829A0" w14:paraId="47C1FBCC" w14:textId="77777777" w:rsidTr="00BA61DD">
        <w:trPr>
          <w:trHeight w:val="50"/>
          <w:jc w:val="center"/>
        </w:trPr>
        <w:tc>
          <w:tcPr>
            <w:tcW w:w="709" w:type="dxa"/>
          </w:tcPr>
          <w:p w14:paraId="36354E21" w14:textId="77777777" w:rsidR="002829A0" w:rsidRPr="002829A0" w:rsidRDefault="002829A0" w:rsidP="002829A0">
            <w:pPr>
              <w:jc w:val="center"/>
              <w:rPr>
                <w:b/>
                <w:sz w:val="20"/>
                <w:szCs w:val="20"/>
              </w:rPr>
            </w:pPr>
            <w:r w:rsidRPr="002829A0">
              <w:rPr>
                <w:b/>
                <w:sz w:val="20"/>
                <w:szCs w:val="20"/>
              </w:rPr>
              <w:t>Feb.</w:t>
            </w:r>
          </w:p>
        </w:tc>
        <w:tc>
          <w:tcPr>
            <w:tcW w:w="710" w:type="dxa"/>
          </w:tcPr>
          <w:p w14:paraId="36030B6D" w14:textId="77777777" w:rsidR="002829A0" w:rsidRPr="002829A0" w:rsidRDefault="002829A0" w:rsidP="002829A0">
            <w:pPr>
              <w:jc w:val="center"/>
              <w:rPr>
                <w:b/>
                <w:sz w:val="20"/>
                <w:szCs w:val="20"/>
              </w:rPr>
            </w:pPr>
            <w:r w:rsidRPr="002829A0">
              <w:rPr>
                <w:b/>
                <w:sz w:val="20"/>
                <w:szCs w:val="20"/>
              </w:rPr>
              <w:t>Mar.</w:t>
            </w:r>
          </w:p>
        </w:tc>
        <w:tc>
          <w:tcPr>
            <w:tcW w:w="766" w:type="dxa"/>
          </w:tcPr>
          <w:p w14:paraId="2DDA1A5B" w14:textId="77777777" w:rsidR="002829A0" w:rsidRPr="002829A0" w:rsidRDefault="002829A0" w:rsidP="002829A0">
            <w:pPr>
              <w:jc w:val="center"/>
              <w:rPr>
                <w:b/>
                <w:sz w:val="20"/>
                <w:szCs w:val="20"/>
              </w:rPr>
            </w:pPr>
            <w:r w:rsidRPr="002829A0">
              <w:rPr>
                <w:b/>
                <w:sz w:val="20"/>
                <w:szCs w:val="20"/>
              </w:rPr>
              <w:t>Abr.</w:t>
            </w:r>
          </w:p>
        </w:tc>
        <w:tc>
          <w:tcPr>
            <w:tcW w:w="787" w:type="dxa"/>
          </w:tcPr>
          <w:p w14:paraId="2331F305" w14:textId="77777777" w:rsidR="002829A0" w:rsidRPr="002829A0" w:rsidRDefault="002829A0" w:rsidP="002829A0">
            <w:pPr>
              <w:jc w:val="center"/>
              <w:rPr>
                <w:b/>
                <w:sz w:val="20"/>
                <w:szCs w:val="20"/>
              </w:rPr>
            </w:pPr>
            <w:r w:rsidRPr="002829A0">
              <w:rPr>
                <w:b/>
                <w:sz w:val="20"/>
                <w:szCs w:val="20"/>
              </w:rPr>
              <w:t>May.</w:t>
            </w:r>
          </w:p>
        </w:tc>
        <w:tc>
          <w:tcPr>
            <w:tcW w:w="631" w:type="dxa"/>
          </w:tcPr>
          <w:p w14:paraId="4E44D81D" w14:textId="77777777" w:rsidR="002829A0" w:rsidRPr="002829A0" w:rsidRDefault="002829A0" w:rsidP="002829A0">
            <w:pPr>
              <w:jc w:val="center"/>
              <w:rPr>
                <w:b/>
                <w:sz w:val="20"/>
                <w:szCs w:val="20"/>
              </w:rPr>
            </w:pPr>
            <w:r w:rsidRPr="002829A0">
              <w:rPr>
                <w:b/>
                <w:sz w:val="20"/>
                <w:szCs w:val="20"/>
              </w:rPr>
              <w:t>Jun.</w:t>
            </w:r>
          </w:p>
        </w:tc>
        <w:tc>
          <w:tcPr>
            <w:tcW w:w="717" w:type="dxa"/>
          </w:tcPr>
          <w:p w14:paraId="4223AD72" w14:textId="77777777" w:rsidR="002829A0" w:rsidRPr="002829A0" w:rsidRDefault="002829A0" w:rsidP="002829A0">
            <w:pPr>
              <w:jc w:val="center"/>
              <w:rPr>
                <w:b/>
                <w:sz w:val="20"/>
                <w:szCs w:val="20"/>
              </w:rPr>
            </w:pPr>
            <w:r w:rsidRPr="002829A0">
              <w:rPr>
                <w:b/>
                <w:sz w:val="20"/>
                <w:szCs w:val="20"/>
              </w:rPr>
              <w:t>Jul.</w:t>
            </w:r>
          </w:p>
        </w:tc>
        <w:tc>
          <w:tcPr>
            <w:tcW w:w="706" w:type="dxa"/>
          </w:tcPr>
          <w:p w14:paraId="6DC1D13E" w14:textId="77777777" w:rsidR="002829A0" w:rsidRPr="002829A0" w:rsidRDefault="002829A0" w:rsidP="002829A0">
            <w:pPr>
              <w:jc w:val="center"/>
              <w:rPr>
                <w:b/>
                <w:sz w:val="20"/>
                <w:szCs w:val="20"/>
              </w:rPr>
            </w:pPr>
            <w:r w:rsidRPr="002829A0">
              <w:rPr>
                <w:b/>
                <w:sz w:val="20"/>
                <w:szCs w:val="20"/>
              </w:rPr>
              <w:t>Ago.</w:t>
            </w:r>
          </w:p>
        </w:tc>
        <w:tc>
          <w:tcPr>
            <w:tcW w:w="707" w:type="dxa"/>
          </w:tcPr>
          <w:p w14:paraId="3F8527C4" w14:textId="77777777" w:rsidR="002829A0" w:rsidRPr="002829A0" w:rsidRDefault="002829A0" w:rsidP="002829A0">
            <w:pPr>
              <w:jc w:val="center"/>
              <w:rPr>
                <w:b/>
                <w:sz w:val="20"/>
                <w:szCs w:val="20"/>
              </w:rPr>
            </w:pPr>
            <w:r w:rsidRPr="002829A0">
              <w:rPr>
                <w:b/>
                <w:sz w:val="20"/>
                <w:szCs w:val="20"/>
              </w:rPr>
              <w:t>Sep.</w:t>
            </w:r>
          </w:p>
        </w:tc>
        <w:tc>
          <w:tcPr>
            <w:tcW w:w="643" w:type="dxa"/>
          </w:tcPr>
          <w:p w14:paraId="725367F0" w14:textId="77777777" w:rsidR="002829A0" w:rsidRPr="002829A0" w:rsidRDefault="002829A0" w:rsidP="002829A0">
            <w:pPr>
              <w:jc w:val="center"/>
              <w:rPr>
                <w:b/>
                <w:sz w:val="20"/>
                <w:szCs w:val="20"/>
              </w:rPr>
            </w:pPr>
            <w:r w:rsidRPr="002829A0">
              <w:rPr>
                <w:b/>
                <w:sz w:val="20"/>
                <w:szCs w:val="20"/>
              </w:rPr>
              <w:t>Oct.</w:t>
            </w:r>
          </w:p>
        </w:tc>
        <w:tc>
          <w:tcPr>
            <w:tcW w:w="708" w:type="dxa"/>
          </w:tcPr>
          <w:p w14:paraId="04C744F2" w14:textId="77777777" w:rsidR="002829A0" w:rsidRPr="002829A0" w:rsidRDefault="002829A0" w:rsidP="002829A0">
            <w:pPr>
              <w:jc w:val="center"/>
              <w:rPr>
                <w:b/>
                <w:sz w:val="20"/>
                <w:szCs w:val="20"/>
              </w:rPr>
            </w:pPr>
            <w:r w:rsidRPr="002829A0">
              <w:rPr>
                <w:b/>
                <w:sz w:val="20"/>
                <w:szCs w:val="20"/>
              </w:rPr>
              <w:t>Nov.</w:t>
            </w:r>
          </w:p>
        </w:tc>
        <w:tc>
          <w:tcPr>
            <w:tcW w:w="708" w:type="dxa"/>
          </w:tcPr>
          <w:p w14:paraId="6BACBAF9" w14:textId="77777777" w:rsidR="002829A0" w:rsidRPr="002829A0" w:rsidRDefault="002829A0" w:rsidP="002829A0">
            <w:pPr>
              <w:jc w:val="center"/>
              <w:rPr>
                <w:b/>
                <w:sz w:val="20"/>
                <w:szCs w:val="20"/>
              </w:rPr>
            </w:pPr>
            <w:r w:rsidRPr="002829A0">
              <w:rPr>
                <w:b/>
                <w:sz w:val="20"/>
                <w:szCs w:val="20"/>
              </w:rPr>
              <w:t>Dic.</w:t>
            </w:r>
          </w:p>
        </w:tc>
        <w:tc>
          <w:tcPr>
            <w:tcW w:w="731" w:type="dxa"/>
          </w:tcPr>
          <w:p w14:paraId="5C8DD219" w14:textId="77777777" w:rsidR="002829A0" w:rsidRPr="002829A0" w:rsidRDefault="002829A0" w:rsidP="002829A0">
            <w:pPr>
              <w:jc w:val="center"/>
              <w:rPr>
                <w:b/>
                <w:sz w:val="20"/>
                <w:szCs w:val="20"/>
              </w:rPr>
            </w:pPr>
            <w:r w:rsidRPr="002829A0">
              <w:rPr>
                <w:b/>
                <w:sz w:val="20"/>
                <w:szCs w:val="20"/>
              </w:rPr>
              <w:t>Ene.</w:t>
            </w:r>
          </w:p>
        </w:tc>
      </w:tr>
      <w:tr w:rsidR="002829A0" w:rsidRPr="002829A0" w14:paraId="01209B59" w14:textId="77777777" w:rsidTr="00BA61DD">
        <w:trPr>
          <w:jc w:val="center"/>
        </w:trPr>
        <w:tc>
          <w:tcPr>
            <w:tcW w:w="709" w:type="dxa"/>
            <w:tcBorders>
              <w:bottom w:val="single" w:sz="4" w:space="0" w:color="auto"/>
            </w:tcBorders>
          </w:tcPr>
          <w:p w14:paraId="77E59E78" w14:textId="77777777" w:rsidR="002829A0" w:rsidRPr="002829A0" w:rsidRDefault="002829A0" w:rsidP="002829A0">
            <w:pPr>
              <w:jc w:val="center"/>
              <w:rPr>
                <w:sz w:val="20"/>
                <w:szCs w:val="20"/>
              </w:rPr>
            </w:pPr>
            <w:r w:rsidRPr="002829A0">
              <w:rPr>
                <w:sz w:val="20"/>
                <w:szCs w:val="20"/>
              </w:rPr>
              <w:t>-0.01</w:t>
            </w:r>
          </w:p>
        </w:tc>
        <w:tc>
          <w:tcPr>
            <w:tcW w:w="710" w:type="dxa"/>
            <w:tcBorders>
              <w:bottom w:val="single" w:sz="4" w:space="0" w:color="auto"/>
            </w:tcBorders>
          </w:tcPr>
          <w:p w14:paraId="3EFD47DF" w14:textId="77777777" w:rsidR="002829A0" w:rsidRPr="002829A0" w:rsidRDefault="002829A0" w:rsidP="002829A0">
            <w:pPr>
              <w:jc w:val="center"/>
              <w:rPr>
                <w:sz w:val="20"/>
                <w:szCs w:val="20"/>
              </w:rPr>
            </w:pPr>
            <w:r w:rsidRPr="002829A0">
              <w:rPr>
                <w:sz w:val="20"/>
                <w:szCs w:val="20"/>
              </w:rPr>
              <w:t>0.01</w:t>
            </w:r>
          </w:p>
        </w:tc>
        <w:tc>
          <w:tcPr>
            <w:tcW w:w="766" w:type="dxa"/>
            <w:tcBorders>
              <w:bottom w:val="single" w:sz="4" w:space="0" w:color="auto"/>
            </w:tcBorders>
          </w:tcPr>
          <w:p w14:paraId="15BB0D9B" w14:textId="77777777" w:rsidR="002829A0" w:rsidRPr="002829A0" w:rsidRDefault="002829A0" w:rsidP="002829A0">
            <w:pPr>
              <w:jc w:val="center"/>
              <w:rPr>
                <w:sz w:val="20"/>
                <w:szCs w:val="20"/>
              </w:rPr>
            </w:pPr>
            <w:r w:rsidRPr="002829A0">
              <w:rPr>
                <w:sz w:val="20"/>
                <w:szCs w:val="20"/>
              </w:rPr>
              <w:t>0.02</w:t>
            </w:r>
          </w:p>
        </w:tc>
        <w:tc>
          <w:tcPr>
            <w:tcW w:w="787" w:type="dxa"/>
            <w:tcBorders>
              <w:bottom w:val="single" w:sz="4" w:space="0" w:color="auto"/>
            </w:tcBorders>
          </w:tcPr>
          <w:p w14:paraId="4405B3BF" w14:textId="77777777" w:rsidR="002829A0" w:rsidRPr="002829A0" w:rsidRDefault="002829A0" w:rsidP="002829A0">
            <w:pPr>
              <w:jc w:val="center"/>
              <w:rPr>
                <w:sz w:val="20"/>
                <w:szCs w:val="20"/>
              </w:rPr>
            </w:pPr>
            <w:r w:rsidRPr="002829A0">
              <w:rPr>
                <w:sz w:val="20"/>
                <w:szCs w:val="20"/>
              </w:rPr>
              <w:t>0.03</w:t>
            </w:r>
          </w:p>
        </w:tc>
        <w:tc>
          <w:tcPr>
            <w:tcW w:w="631" w:type="dxa"/>
            <w:tcBorders>
              <w:bottom w:val="single" w:sz="4" w:space="0" w:color="auto"/>
            </w:tcBorders>
          </w:tcPr>
          <w:p w14:paraId="29CD8852" w14:textId="77777777" w:rsidR="002829A0" w:rsidRPr="002829A0" w:rsidRDefault="002829A0" w:rsidP="002829A0">
            <w:pPr>
              <w:jc w:val="center"/>
              <w:rPr>
                <w:sz w:val="20"/>
                <w:szCs w:val="20"/>
              </w:rPr>
            </w:pPr>
            <w:r w:rsidRPr="002829A0">
              <w:rPr>
                <w:sz w:val="20"/>
                <w:szCs w:val="20"/>
              </w:rPr>
              <w:t>0.03</w:t>
            </w:r>
          </w:p>
        </w:tc>
        <w:tc>
          <w:tcPr>
            <w:tcW w:w="717" w:type="dxa"/>
            <w:tcBorders>
              <w:bottom w:val="single" w:sz="4" w:space="0" w:color="auto"/>
            </w:tcBorders>
          </w:tcPr>
          <w:p w14:paraId="4CF374C6" w14:textId="77777777" w:rsidR="002829A0" w:rsidRPr="002829A0" w:rsidRDefault="002829A0" w:rsidP="002829A0">
            <w:pPr>
              <w:jc w:val="center"/>
              <w:rPr>
                <w:sz w:val="20"/>
                <w:szCs w:val="20"/>
              </w:rPr>
            </w:pPr>
            <w:r w:rsidRPr="002829A0">
              <w:rPr>
                <w:sz w:val="20"/>
                <w:szCs w:val="20"/>
              </w:rPr>
              <w:t>0.03</w:t>
            </w:r>
          </w:p>
        </w:tc>
        <w:tc>
          <w:tcPr>
            <w:tcW w:w="706" w:type="dxa"/>
            <w:tcBorders>
              <w:bottom w:val="single" w:sz="4" w:space="0" w:color="auto"/>
            </w:tcBorders>
          </w:tcPr>
          <w:p w14:paraId="32D3B89B" w14:textId="77777777" w:rsidR="002829A0" w:rsidRPr="002829A0" w:rsidRDefault="002829A0" w:rsidP="002829A0">
            <w:pPr>
              <w:jc w:val="center"/>
              <w:rPr>
                <w:sz w:val="20"/>
                <w:szCs w:val="20"/>
              </w:rPr>
            </w:pPr>
            <w:r w:rsidRPr="002829A0">
              <w:rPr>
                <w:sz w:val="20"/>
                <w:szCs w:val="20"/>
              </w:rPr>
              <w:t>0.03</w:t>
            </w:r>
          </w:p>
        </w:tc>
        <w:tc>
          <w:tcPr>
            <w:tcW w:w="707" w:type="dxa"/>
            <w:tcBorders>
              <w:bottom w:val="single" w:sz="4" w:space="0" w:color="auto"/>
            </w:tcBorders>
          </w:tcPr>
          <w:p w14:paraId="7F5DE2A1" w14:textId="77777777" w:rsidR="002829A0" w:rsidRPr="002829A0" w:rsidRDefault="002829A0" w:rsidP="002829A0">
            <w:pPr>
              <w:jc w:val="center"/>
              <w:rPr>
                <w:sz w:val="20"/>
                <w:szCs w:val="20"/>
              </w:rPr>
            </w:pPr>
            <w:r w:rsidRPr="002829A0">
              <w:rPr>
                <w:sz w:val="20"/>
                <w:szCs w:val="20"/>
              </w:rPr>
              <w:t>0.03</w:t>
            </w:r>
          </w:p>
        </w:tc>
        <w:tc>
          <w:tcPr>
            <w:tcW w:w="643" w:type="dxa"/>
            <w:tcBorders>
              <w:bottom w:val="single" w:sz="4" w:space="0" w:color="auto"/>
            </w:tcBorders>
          </w:tcPr>
          <w:p w14:paraId="4FCC2FE6" w14:textId="77777777" w:rsidR="002829A0" w:rsidRPr="002829A0" w:rsidRDefault="002829A0" w:rsidP="002829A0">
            <w:pPr>
              <w:jc w:val="center"/>
              <w:rPr>
                <w:sz w:val="20"/>
                <w:szCs w:val="20"/>
              </w:rPr>
            </w:pPr>
            <w:r w:rsidRPr="002829A0">
              <w:rPr>
                <w:sz w:val="20"/>
                <w:szCs w:val="20"/>
              </w:rPr>
              <w:t>0.03</w:t>
            </w:r>
          </w:p>
        </w:tc>
        <w:tc>
          <w:tcPr>
            <w:tcW w:w="708" w:type="dxa"/>
            <w:tcBorders>
              <w:bottom w:val="single" w:sz="4" w:space="0" w:color="auto"/>
            </w:tcBorders>
          </w:tcPr>
          <w:p w14:paraId="67567CAB" w14:textId="77777777" w:rsidR="002829A0" w:rsidRPr="002829A0" w:rsidRDefault="002829A0" w:rsidP="002829A0">
            <w:pPr>
              <w:jc w:val="center"/>
              <w:rPr>
                <w:sz w:val="20"/>
                <w:szCs w:val="20"/>
              </w:rPr>
            </w:pPr>
            <w:r w:rsidRPr="002829A0">
              <w:rPr>
                <w:sz w:val="20"/>
                <w:szCs w:val="20"/>
              </w:rPr>
              <w:t>0.02</w:t>
            </w:r>
          </w:p>
        </w:tc>
        <w:tc>
          <w:tcPr>
            <w:tcW w:w="708" w:type="dxa"/>
            <w:tcBorders>
              <w:bottom w:val="single" w:sz="4" w:space="0" w:color="auto"/>
            </w:tcBorders>
          </w:tcPr>
          <w:p w14:paraId="7BF99E75" w14:textId="77777777" w:rsidR="002829A0" w:rsidRPr="002829A0" w:rsidRDefault="002829A0" w:rsidP="002829A0">
            <w:pPr>
              <w:jc w:val="center"/>
              <w:rPr>
                <w:sz w:val="20"/>
                <w:szCs w:val="20"/>
              </w:rPr>
            </w:pPr>
            <w:r w:rsidRPr="002829A0">
              <w:rPr>
                <w:sz w:val="20"/>
                <w:szCs w:val="20"/>
              </w:rPr>
              <w:t>-0.01</w:t>
            </w:r>
          </w:p>
        </w:tc>
        <w:tc>
          <w:tcPr>
            <w:tcW w:w="731" w:type="dxa"/>
            <w:tcBorders>
              <w:bottom w:val="single" w:sz="4" w:space="0" w:color="auto"/>
            </w:tcBorders>
          </w:tcPr>
          <w:p w14:paraId="3240F5C0" w14:textId="77777777" w:rsidR="002829A0" w:rsidRPr="002829A0" w:rsidRDefault="002829A0" w:rsidP="002829A0">
            <w:pPr>
              <w:jc w:val="center"/>
              <w:rPr>
                <w:sz w:val="20"/>
                <w:szCs w:val="20"/>
              </w:rPr>
            </w:pPr>
            <w:r w:rsidRPr="002829A0">
              <w:rPr>
                <w:sz w:val="20"/>
                <w:szCs w:val="20"/>
              </w:rPr>
              <w:t>-0.03</w:t>
            </w:r>
          </w:p>
        </w:tc>
      </w:tr>
    </w:tbl>
    <w:p w14:paraId="5AF45B94" w14:textId="77777777" w:rsidR="002829A0" w:rsidRPr="002829A0" w:rsidRDefault="002829A0" w:rsidP="002829A0">
      <w:pPr>
        <w:spacing w:after="360" w:line="360" w:lineRule="auto"/>
        <w:ind w:right="-159"/>
        <w:jc w:val="both"/>
        <w:rPr>
          <w:rFonts w:eastAsia="Times New Roman"/>
          <w:sz w:val="20"/>
          <w:szCs w:val="20"/>
          <w:lang w:val="es-ES"/>
        </w:rPr>
      </w:pPr>
      <w:r w:rsidRPr="002829A0">
        <w:rPr>
          <w:rFonts w:eastAsia="Times New Roman"/>
          <w:sz w:val="20"/>
          <w:szCs w:val="20"/>
          <w:lang w:val="es-ES"/>
        </w:rPr>
        <w:t xml:space="preserve">   FUENTE: INEGI.</w:t>
      </w:r>
    </w:p>
    <w:p w14:paraId="6B6A2A16" w14:textId="0DDD07D9" w:rsidR="002829A0" w:rsidRDefault="002829A0" w:rsidP="002829A0">
      <w:pPr>
        <w:spacing w:after="360" w:line="360" w:lineRule="auto"/>
        <w:ind w:right="-159"/>
        <w:jc w:val="center"/>
        <w:rPr>
          <w:sz w:val="26"/>
          <w:szCs w:val="26"/>
        </w:rPr>
      </w:pPr>
    </w:p>
    <w:p w14:paraId="7382BA8A" w14:textId="60BCAA25" w:rsidR="00BA61DD" w:rsidRPr="002829A0" w:rsidRDefault="00BA61DD" w:rsidP="002829A0">
      <w:pPr>
        <w:spacing w:after="360" w:line="360" w:lineRule="auto"/>
        <w:ind w:right="-159"/>
        <w:jc w:val="center"/>
        <w:rPr>
          <w:sz w:val="26"/>
          <w:szCs w:val="26"/>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CICLICOS.pptx!312"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7E63CF20" wp14:editId="12EE72F4">
            <wp:extent cx="5047615" cy="3429000"/>
            <wp:effectExtent l="0" t="0" r="635" b="0"/>
            <wp:docPr id="1477" name="Imagen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6" cstate="print">
                      <a:extLst>
                        <a:ext uri="{28A0092B-C50C-407E-A947-70E740481C1C}">
                          <a14:useLocalDpi xmlns:a14="http://schemas.microsoft.com/office/drawing/2010/main" val="0"/>
                        </a:ext>
                      </a:extLst>
                    </a:blip>
                    <a:srcRect l="3600" r="13458"/>
                    <a:stretch>
                      <a:fillRect/>
                    </a:stretch>
                  </pic:blipFill>
                  <pic:spPr bwMode="auto">
                    <a:xfrm>
                      <a:off x="0" y="0"/>
                      <a:ext cx="5047615" cy="342900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62DD73D1" w14:textId="77777777" w:rsidR="002829A0" w:rsidRDefault="002829A0" w:rsidP="002829A0">
      <w:pPr>
        <w:spacing w:after="360" w:line="360" w:lineRule="auto"/>
        <w:ind w:right="-159"/>
        <w:jc w:val="both"/>
        <w:rPr>
          <w:sz w:val="26"/>
          <w:szCs w:val="26"/>
        </w:rPr>
      </w:pPr>
      <w:r w:rsidRPr="002829A0">
        <w:rPr>
          <w:sz w:val="26"/>
          <w:szCs w:val="26"/>
        </w:rPr>
        <w:t>El comportamiento del Indicador Coincidente en el pasado mes de enero fue resultado de la evolución de los componentes cíclicos que lo integran, los cuales se presentan en el cuadro y las gráficas siguientes.</w:t>
      </w:r>
    </w:p>
    <w:p w14:paraId="40D82D6D" w14:textId="77777777" w:rsidR="00BA61DD" w:rsidRDefault="00BA61DD" w:rsidP="002829A0">
      <w:pPr>
        <w:spacing w:after="360" w:line="360" w:lineRule="auto"/>
        <w:ind w:right="-159"/>
        <w:jc w:val="both"/>
        <w:rPr>
          <w:sz w:val="26"/>
          <w:szCs w:val="26"/>
        </w:rPr>
      </w:pPr>
    </w:p>
    <w:p w14:paraId="01220487" w14:textId="77777777" w:rsidR="00512C3D" w:rsidRDefault="00512C3D" w:rsidP="002829A0">
      <w:pPr>
        <w:spacing w:after="360" w:line="360" w:lineRule="auto"/>
        <w:ind w:right="-159"/>
        <w:jc w:val="both"/>
        <w:rPr>
          <w:sz w:val="26"/>
          <w:szCs w:val="26"/>
        </w:rPr>
      </w:pPr>
    </w:p>
    <w:p w14:paraId="40537C39" w14:textId="77777777" w:rsidR="00BA61DD" w:rsidRPr="002829A0" w:rsidRDefault="00BA61DD" w:rsidP="002829A0">
      <w:pPr>
        <w:spacing w:after="360" w:line="360" w:lineRule="auto"/>
        <w:ind w:right="-15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
        <w:gridCol w:w="602"/>
        <w:gridCol w:w="1096"/>
        <w:gridCol w:w="987"/>
        <w:gridCol w:w="1553"/>
        <w:gridCol w:w="1215"/>
        <w:gridCol w:w="1159"/>
        <w:gridCol w:w="1203"/>
      </w:tblGrid>
      <w:tr w:rsidR="002829A0" w:rsidRPr="002829A0" w14:paraId="4C263518" w14:textId="77777777" w:rsidTr="00BA61DD">
        <w:trPr>
          <w:jc w:val="center"/>
        </w:trPr>
        <w:tc>
          <w:tcPr>
            <w:tcW w:w="8422" w:type="dxa"/>
            <w:gridSpan w:val="8"/>
            <w:tcBorders>
              <w:top w:val="nil"/>
              <w:left w:val="nil"/>
              <w:bottom w:val="single" w:sz="4" w:space="0" w:color="auto"/>
              <w:right w:val="nil"/>
            </w:tcBorders>
          </w:tcPr>
          <w:p w14:paraId="64B1136E" w14:textId="77777777" w:rsidR="002829A0" w:rsidRPr="002829A0" w:rsidRDefault="002829A0" w:rsidP="002829A0">
            <w:pPr>
              <w:jc w:val="center"/>
              <w:rPr>
                <w:rFonts w:eastAsia="Times New Roman"/>
                <w:b/>
                <w:lang w:val="es-ES"/>
              </w:rPr>
            </w:pPr>
            <w:r w:rsidRPr="002829A0">
              <w:rPr>
                <w:sz w:val="26"/>
                <w:szCs w:val="26"/>
              </w:rPr>
              <w:lastRenderedPageBreak/>
              <w:br w:type="page"/>
            </w:r>
            <w:r w:rsidRPr="002829A0">
              <w:rPr>
                <w:rFonts w:eastAsia="Times New Roman"/>
                <w:b/>
                <w:sz w:val="22"/>
                <w:szCs w:val="22"/>
                <w:lang w:val="es-ES"/>
              </w:rPr>
              <w:t>COMPONENTES DEL INDICADOR COINCIDENTE</w:t>
            </w:r>
          </w:p>
          <w:p w14:paraId="7843627C" w14:textId="77777777" w:rsidR="002829A0" w:rsidRPr="002829A0" w:rsidRDefault="002829A0" w:rsidP="002829A0">
            <w:pPr>
              <w:jc w:val="center"/>
              <w:rPr>
                <w:rFonts w:eastAsia="Times New Roman"/>
                <w:b/>
                <w:lang w:val="es-ES"/>
              </w:rPr>
            </w:pPr>
            <w:r w:rsidRPr="002829A0">
              <w:rPr>
                <w:rFonts w:eastAsia="Times New Roman"/>
                <w:b/>
                <w:sz w:val="22"/>
                <w:szCs w:val="22"/>
                <w:lang w:val="es-ES"/>
              </w:rPr>
              <w:t>-Diferencia en puntos respecto al mes inmediato anterior -</w:t>
            </w:r>
          </w:p>
        </w:tc>
      </w:tr>
      <w:tr w:rsidR="002829A0" w:rsidRPr="002829A0" w14:paraId="0E4CDCB7" w14:textId="77777777" w:rsidTr="00BA61DD">
        <w:trPr>
          <w:jc w:val="center"/>
        </w:trPr>
        <w:tc>
          <w:tcPr>
            <w:tcW w:w="607" w:type="dxa"/>
            <w:tcBorders>
              <w:top w:val="single" w:sz="4" w:space="0" w:color="auto"/>
              <w:left w:val="single" w:sz="4" w:space="0" w:color="auto"/>
              <w:bottom w:val="single" w:sz="4" w:space="0" w:color="auto"/>
              <w:right w:val="single" w:sz="4" w:space="0" w:color="auto"/>
            </w:tcBorders>
            <w:vAlign w:val="center"/>
          </w:tcPr>
          <w:p w14:paraId="70CFB1E8"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Año</w:t>
            </w:r>
          </w:p>
        </w:tc>
        <w:tc>
          <w:tcPr>
            <w:tcW w:w="602" w:type="dxa"/>
            <w:tcBorders>
              <w:top w:val="single" w:sz="4" w:space="0" w:color="auto"/>
              <w:left w:val="single" w:sz="4" w:space="0" w:color="auto"/>
              <w:bottom w:val="single" w:sz="4" w:space="0" w:color="auto"/>
              <w:right w:val="single" w:sz="4" w:space="0" w:color="auto"/>
            </w:tcBorders>
            <w:vAlign w:val="center"/>
          </w:tcPr>
          <w:p w14:paraId="6AE90977"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Mes</w:t>
            </w:r>
          </w:p>
        </w:tc>
        <w:tc>
          <w:tcPr>
            <w:tcW w:w="1096" w:type="dxa"/>
            <w:tcBorders>
              <w:top w:val="single" w:sz="4" w:space="0" w:color="auto"/>
              <w:left w:val="single" w:sz="4" w:space="0" w:color="auto"/>
              <w:bottom w:val="single" w:sz="4" w:space="0" w:color="auto"/>
              <w:right w:val="single" w:sz="4" w:space="0" w:color="auto"/>
            </w:tcBorders>
            <w:vAlign w:val="center"/>
          </w:tcPr>
          <w:p w14:paraId="091D018F"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Indicador Global de la Actividad Económica*</w:t>
            </w:r>
          </w:p>
        </w:tc>
        <w:tc>
          <w:tcPr>
            <w:tcW w:w="987" w:type="dxa"/>
            <w:tcBorders>
              <w:top w:val="single" w:sz="4" w:space="0" w:color="auto"/>
              <w:left w:val="single" w:sz="4" w:space="0" w:color="auto"/>
              <w:bottom w:val="single" w:sz="4" w:space="0" w:color="auto"/>
              <w:right w:val="single" w:sz="4" w:space="0" w:color="auto"/>
            </w:tcBorders>
            <w:vAlign w:val="center"/>
          </w:tcPr>
          <w:p w14:paraId="38D19102"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Indicador de la Actividad Industrial</w:t>
            </w:r>
          </w:p>
        </w:tc>
        <w:tc>
          <w:tcPr>
            <w:tcW w:w="1553" w:type="dxa"/>
            <w:tcBorders>
              <w:top w:val="single" w:sz="4" w:space="0" w:color="auto"/>
              <w:left w:val="single" w:sz="4" w:space="0" w:color="auto"/>
              <w:bottom w:val="single" w:sz="4" w:space="0" w:color="auto"/>
              <w:right w:val="single" w:sz="4" w:space="0" w:color="auto"/>
            </w:tcBorders>
            <w:vAlign w:val="center"/>
          </w:tcPr>
          <w:p w14:paraId="5AB4CD32"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Índice de Ingresos por Suministro de Bienes y Servicios al por menor</w:t>
            </w:r>
          </w:p>
        </w:tc>
        <w:tc>
          <w:tcPr>
            <w:tcW w:w="1215" w:type="dxa"/>
            <w:tcBorders>
              <w:top w:val="single" w:sz="4" w:space="0" w:color="auto"/>
              <w:left w:val="single" w:sz="4" w:space="0" w:color="auto"/>
              <w:bottom w:val="single" w:sz="4" w:space="0" w:color="auto"/>
              <w:right w:val="single" w:sz="4" w:space="0" w:color="auto"/>
            </w:tcBorders>
            <w:vAlign w:val="center"/>
          </w:tcPr>
          <w:p w14:paraId="6530DE57"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Número de Asegurados Permanentes en el IMSS</w:t>
            </w:r>
          </w:p>
        </w:tc>
        <w:tc>
          <w:tcPr>
            <w:tcW w:w="1159" w:type="dxa"/>
            <w:tcBorders>
              <w:top w:val="single" w:sz="4" w:space="0" w:color="auto"/>
              <w:left w:val="single" w:sz="4" w:space="0" w:color="auto"/>
              <w:bottom w:val="single" w:sz="4" w:space="0" w:color="auto"/>
              <w:right w:val="single" w:sz="4" w:space="0" w:color="auto"/>
            </w:tcBorders>
            <w:vAlign w:val="center"/>
          </w:tcPr>
          <w:p w14:paraId="1ECE8E04"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Tasa de Desocupación Urbana</w:t>
            </w:r>
          </w:p>
        </w:tc>
        <w:tc>
          <w:tcPr>
            <w:tcW w:w="1203" w:type="dxa"/>
            <w:tcBorders>
              <w:top w:val="single" w:sz="4" w:space="0" w:color="auto"/>
              <w:left w:val="single" w:sz="4" w:space="0" w:color="auto"/>
              <w:bottom w:val="single" w:sz="4" w:space="0" w:color="auto"/>
              <w:right w:val="single" w:sz="4" w:space="0" w:color="auto"/>
            </w:tcBorders>
            <w:vAlign w:val="center"/>
          </w:tcPr>
          <w:p w14:paraId="752B0432"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Importaciones Totales</w:t>
            </w:r>
          </w:p>
        </w:tc>
      </w:tr>
      <w:tr w:rsidR="002829A0" w:rsidRPr="002829A0" w14:paraId="2DBA72C7" w14:textId="77777777" w:rsidTr="00BA61DD">
        <w:trPr>
          <w:jc w:val="center"/>
        </w:trPr>
        <w:tc>
          <w:tcPr>
            <w:tcW w:w="607" w:type="dxa"/>
            <w:vMerge w:val="restart"/>
            <w:tcBorders>
              <w:top w:val="single" w:sz="4" w:space="0" w:color="auto"/>
              <w:left w:val="single" w:sz="4" w:space="0" w:color="auto"/>
              <w:right w:val="single" w:sz="4" w:space="0" w:color="auto"/>
            </w:tcBorders>
            <w:shd w:val="clear" w:color="auto" w:fill="auto"/>
            <w:vAlign w:val="center"/>
          </w:tcPr>
          <w:p w14:paraId="35BC1759"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2014</w:t>
            </w:r>
          </w:p>
        </w:tc>
        <w:tc>
          <w:tcPr>
            <w:tcW w:w="602" w:type="dxa"/>
            <w:tcBorders>
              <w:top w:val="single" w:sz="4" w:space="0" w:color="auto"/>
              <w:left w:val="single" w:sz="4" w:space="0" w:color="auto"/>
              <w:bottom w:val="nil"/>
              <w:right w:val="single" w:sz="4" w:space="0" w:color="auto"/>
            </w:tcBorders>
          </w:tcPr>
          <w:p w14:paraId="0BD87406"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Feb</w:t>
            </w:r>
          </w:p>
        </w:tc>
        <w:tc>
          <w:tcPr>
            <w:tcW w:w="1096" w:type="dxa"/>
            <w:tcBorders>
              <w:top w:val="single" w:sz="4" w:space="0" w:color="auto"/>
              <w:left w:val="single" w:sz="4" w:space="0" w:color="auto"/>
              <w:bottom w:val="nil"/>
              <w:right w:val="single" w:sz="4" w:space="0" w:color="auto"/>
            </w:tcBorders>
          </w:tcPr>
          <w:p w14:paraId="09E7B09F"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987" w:type="dxa"/>
            <w:tcBorders>
              <w:top w:val="single" w:sz="4" w:space="0" w:color="auto"/>
              <w:left w:val="single" w:sz="4" w:space="0" w:color="auto"/>
              <w:bottom w:val="nil"/>
              <w:right w:val="single" w:sz="4" w:space="0" w:color="auto"/>
            </w:tcBorders>
          </w:tcPr>
          <w:p w14:paraId="186F7E35"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0.07</w:t>
            </w:r>
          </w:p>
        </w:tc>
        <w:tc>
          <w:tcPr>
            <w:tcW w:w="1553" w:type="dxa"/>
            <w:tcBorders>
              <w:top w:val="single" w:sz="4" w:space="0" w:color="auto"/>
              <w:left w:val="single" w:sz="4" w:space="0" w:color="auto"/>
              <w:bottom w:val="nil"/>
              <w:right w:val="single" w:sz="4" w:space="0" w:color="auto"/>
            </w:tcBorders>
          </w:tcPr>
          <w:p w14:paraId="084984CF"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0.01</w:t>
            </w:r>
          </w:p>
        </w:tc>
        <w:tc>
          <w:tcPr>
            <w:tcW w:w="1215" w:type="dxa"/>
            <w:tcBorders>
              <w:top w:val="single" w:sz="4" w:space="0" w:color="auto"/>
              <w:left w:val="single" w:sz="4" w:space="0" w:color="auto"/>
              <w:bottom w:val="nil"/>
              <w:right w:val="single" w:sz="4" w:space="0" w:color="auto"/>
            </w:tcBorders>
          </w:tcPr>
          <w:p w14:paraId="0778AC9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-0.03</w:t>
            </w:r>
          </w:p>
        </w:tc>
        <w:tc>
          <w:tcPr>
            <w:tcW w:w="1159" w:type="dxa"/>
            <w:tcBorders>
              <w:top w:val="single" w:sz="4" w:space="0" w:color="auto"/>
              <w:left w:val="single" w:sz="4" w:space="0" w:color="auto"/>
              <w:bottom w:val="nil"/>
              <w:right w:val="single" w:sz="4" w:space="0" w:color="auto"/>
            </w:tcBorders>
          </w:tcPr>
          <w:p w14:paraId="3B825AA6"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0.15</w:t>
            </w:r>
          </w:p>
        </w:tc>
        <w:tc>
          <w:tcPr>
            <w:tcW w:w="1203" w:type="dxa"/>
            <w:tcBorders>
              <w:top w:val="single" w:sz="4" w:space="0" w:color="auto"/>
              <w:left w:val="single" w:sz="4" w:space="0" w:color="auto"/>
              <w:bottom w:val="nil"/>
              <w:right w:val="single" w:sz="4" w:space="0" w:color="auto"/>
            </w:tcBorders>
          </w:tcPr>
          <w:p w14:paraId="12DC6FD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0.07</w:t>
            </w:r>
          </w:p>
        </w:tc>
      </w:tr>
      <w:tr w:rsidR="002829A0" w:rsidRPr="002829A0" w14:paraId="04176EB9" w14:textId="77777777" w:rsidTr="00BA61DD">
        <w:trPr>
          <w:jc w:val="center"/>
        </w:trPr>
        <w:tc>
          <w:tcPr>
            <w:tcW w:w="607" w:type="dxa"/>
            <w:vMerge/>
            <w:tcBorders>
              <w:left w:val="single" w:sz="4" w:space="0" w:color="auto"/>
              <w:right w:val="single" w:sz="4" w:space="0" w:color="auto"/>
            </w:tcBorders>
            <w:shd w:val="clear" w:color="auto" w:fill="auto"/>
          </w:tcPr>
          <w:p w14:paraId="64D20B91"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69129A42"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Mar.</w:t>
            </w:r>
          </w:p>
        </w:tc>
        <w:tc>
          <w:tcPr>
            <w:tcW w:w="1096" w:type="dxa"/>
            <w:tcBorders>
              <w:top w:val="nil"/>
              <w:left w:val="single" w:sz="4" w:space="0" w:color="auto"/>
              <w:bottom w:val="nil"/>
              <w:right w:val="single" w:sz="4" w:space="0" w:color="auto"/>
            </w:tcBorders>
          </w:tcPr>
          <w:p w14:paraId="09B4B4FD"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74900DAC"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0.06</w:t>
            </w:r>
          </w:p>
        </w:tc>
        <w:tc>
          <w:tcPr>
            <w:tcW w:w="1553" w:type="dxa"/>
            <w:tcBorders>
              <w:top w:val="nil"/>
              <w:left w:val="single" w:sz="4" w:space="0" w:color="auto"/>
              <w:bottom w:val="nil"/>
              <w:right w:val="single" w:sz="4" w:space="0" w:color="auto"/>
            </w:tcBorders>
          </w:tcPr>
          <w:p w14:paraId="55696F6D"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48E490D3"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1159" w:type="dxa"/>
            <w:tcBorders>
              <w:top w:val="nil"/>
              <w:left w:val="single" w:sz="4" w:space="0" w:color="auto"/>
              <w:bottom w:val="nil"/>
              <w:right w:val="single" w:sz="4" w:space="0" w:color="auto"/>
            </w:tcBorders>
          </w:tcPr>
          <w:p w14:paraId="0394BB88"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0.11</w:t>
            </w:r>
          </w:p>
        </w:tc>
        <w:tc>
          <w:tcPr>
            <w:tcW w:w="1203" w:type="dxa"/>
            <w:tcBorders>
              <w:top w:val="nil"/>
              <w:left w:val="single" w:sz="4" w:space="0" w:color="auto"/>
              <w:bottom w:val="nil"/>
              <w:right w:val="single" w:sz="4" w:space="0" w:color="auto"/>
            </w:tcBorders>
          </w:tcPr>
          <w:p w14:paraId="7BEB11D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0.07</w:t>
            </w:r>
          </w:p>
        </w:tc>
      </w:tr>
      <w:tr w:rsidR="002829A0" w:rsidRPr="002829A0" w14:paraId="1C3613AD" w14:textId="77777777" w:rsidTr="00BA61DD">
        <w:trPr>
          <w:jc w:val="center"/>
        </w:trPr>
        <w:tc>
          <w:tcPr>
            <w:tcW w:w="607" w:type="dxa"/>
            <w:vMerge/>
            <w:tcBorders>
              <w:left w:val="single" w:sz="4" w:space="0" w:color="auto"/>
              <w:right w:val="single" w:sz="4" w:space="0" w:color="auto"/>
            </w:tcBorders>
            <w:shd w:val="clear" w:color="auto" w:fill="auto"/>
          </w:tcPr>
          <w:p w14:paraId="11FF62FC"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0D8524B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Abr.</w:t>
            </w:r>
          </w:p>
        </w:tc>
        <w:tc>
          <w:tcPr>
            <w:tcW w:w="1096" w:type="dxa"/>
            <w:tcBorders>
              <w:top w:val="nil"/>
              <w:left w:val="single" w:sz="4" w:space="0" w:color="auto"/>
              <w:bottom w:val="nil"/>
              <w:right w:val="single" w:sz="4" w:space="0" w:color="auto"/>
            </w:tcBorders>
          </w:tcPr>
          <w:p w14:paraId="47DEE2D7"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4CB121D4"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0.06</w:t>
            </w:r>
          </w:p>
        </w:tc>
        <w:tc>
          <w:tcPr>
            <w:tcW w:w="1553" w:type="dxa"/>
            <w:tcBorders>
              <w:top w:val="nil"/>
              <w:left w:val="single" w:sz="4" w:space="0" w:color="auto"/>
              <w:bottom w:val="nil"/>
              <w:right w:val="single" w:sz="4" w:space="0" w:color="auto"/>
            </w:tcBorders>
          </w:tcPr>
          <w:p w14:paraId="426BA60C"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0.04</w:t>
            </w:r>
          </w:p>
        </w:tc>
        <w:tc>
          <w:tcPr>
            <w:tcW w:w="1215" w:type="dxa"/>
            <w:tcBorders>
              <w:top w:val="nil"/>
              <w:left w:val="single" w:sz="4" w:space="0" w:color="auto"/>
              <w:bottom w:val="nil"/>
              <w:right w:val="single" w:sz="4" w:space="0" w:color="auto"/>
            </w:tcBorders>
          </w:tcPr>
          <w:p w14:paraId="36CDE0A5"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132FDBF5"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c>
          <w:tcPr>
            <w:tcW w:w="1203" w:type="dxa"/>
            <w:tcBorders>
              <w:top w:val="nil"/>
              <w:left w:val="single" w:sz="4" w:space="0" w:color="auto"/>
              <w:bottom w:val="nil"/>
              <w:right w:val="single" w:sz="4" w:space="0" w:color="auto"/>
            </w:tcBorders>
          </w:tcPr>
          <w:p w14:paraId="2E15FA75"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r>
      <w:tr w:rsidR="002829A0" w:rsidRPr="002829A0" w14:paraId="2B19E45E" w14:textId="77777777" w:rsidTr="00BA61DD">
        <w:trPr>
          <w:jc w:val="center"/>
        </w:trPr>
        <w:tc>
          <w:tcPr>
            <w:tcW w:w="607" w:type="dxa"/>
            <w:vMerge/>
            <w:tcBorders>
              <w:left w:val="single" w:sz="4" w:space="0" w:color="auto"/>
              <w:right w:val="single" w:sz="4" w:space="0" w:color="auto"/>
            </w:tcBorders>
            <w:shd w:val="clear" w:color="auto" w:fill="auto"/>
            <w:vAlign w:val="center"/>
          </w:tcPr>
          <w:p w14:paraId="619D9E06"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76C445A3"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May.</w:t>
            </w:r>
          </w:p>
        </w:tc>
        <w:tc>
          <w:tcPr>
            <w:tcW w:w="1096" w:type="dxa"/>
            <w:tcBorders>
              <w:top w:val="nil"/>
              <w:left w:val="single" w:sz="4" w:space="0" w:color="auto"/>
              <w:bottom w:val="nil"/>
              <w:right w:val="single" w:sz="4" w:space="0" w:color="auto"/>
            </w:tcBorders>
          </w:tcPr>
          <w:p w14:paraId="62B068E9"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987" w:type="dxa"/>
            <w:tcBorders>
              <w:top w:val="nil"/>
              <w:left w:val="single" w:sz="4" w:space="0" w:color="auto"/>
              <w:bottom w:val="nil"/>
              <w:right w:val="single" w:sz="4" w:space="0" w:color="auto"/>
            </w:tcBorders>
          </w:tcPr>
          <w:p w14:paraId="24B5A5A9"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0.05</w:t>
            </w:r>
          </w:p>
        </w:tc>
        <w:tc>
          <w:tcPr>
            <w:tcW w:w="1553" w:type="dxa"/>
            <w:tcBorders>
              <w:top w:val="nil"/>
              <w:left w:val="single" w:sz="4" w:space="0" w:color="auto"/>
              <w:bottom w:val="nil"/>
              <w:right w:val="single" w:sz="4" w:space="0" w:color="auto"/>
            </w:tcBorders>
          </w:tcPr>
          <w:p w14:paraId="67A11743"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0.05</w:t>
            </w:r>
          </w:p>
        </w:tc>
        <w:tc>
          <w:tcPr>
            <w:tcW w:w="1215" w:type="dxa"/>
            <w:tcBorders>
              <w:top w:val="nil"/>
              <w:left w:val="single" w:sz="4" w:space="0" w:color="auto"/>
              <w:bottom w:val="nil"/>
              <w:right w:val="single" w:sz="4" w:space="0" w:color="auto"/>
            </w:tcBorders>
          </w:tcPr>
          <w:p w14:paraId="2A06617F"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51D71E27"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203" w:type="dxa"/>
            <w:tcBorders>
              <w:top w:val="nil"/>
              <w:left w:val="single" w:sz="4" w:space="0" w:color="auto"/>
              <w:bottom w:val="nil"/>
              <w:right w:val="single" w:sz="4" w:space="0" w:color="auto"/>
            </w:tcBorders>
          </w:tcPr>
          <w:p w14:paraId="44AC8FE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0.03</w:t>
            </w:r>
          </w:p>
        </w:tc>
      </w:tr>
      <w:tr w:rsidR="002829A0" w:rsidRPr="002829A0" w14:paraId="28A82AAF" w14:textId="77777777" w:rsidTr="00BA61DD">
        <w:trPr>
          <w:jc w:val="center"/>
        </w:trPr>
        <w:tc>
          <w:tcPr>
            <w:tcW w:w="607" w:type="dxa"/>
            <w:vMerge/>
            <w:tcBorders>
              <w:left w:val="single" w:sz="4" w:space="0" w:color="auto"/>
              <w:right w:val="single" w:sz="4" w:space="0" w:color="auto"/>
            </w:tcBorders>
            <w:shd w:val="clear" w:color="auto" w:fill="auto"/>
          </w:tcPr>
          <w:p w14:paraId="1B5AB441"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01C1EDBF"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Jun.</w:t>
            </w:r>
          </w:p>
        </w:tc>
        <w:tc>
          <w:tcPr>
            <w:tcW w:w="1096" w:type="dxa"/>
            <w:tcBorders>
              <w:top w:val="nil"/>
              <w:left w:val="single" w:sz="4" w:space="0" w:color="auto"/>
              <w:bottom w:val="nil"/>
              <w:right w:val="single" w:sz="4" w:space="0" w:color="auto"/>
            </w:tcBorders>
          </w:tcPr>
          <w:p w14:paraId="07CA5A7C"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987" w:type="dxa"/>
            <w:tcBorders>
              <w:top w:val="nil"/>
              <w:left w:val="single" w:sz="4" w:space="0" w:color="auto"/>
              <w:bottom w:val="nil"/>
              <w:right w:val="single" w:sz="4" w:space="0" w:color="auto"/>
            </w:tcBorders>
          </w:tcPr>
          <w:p w14:paraId="78FDECF6"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0.03</w:t>
            </w:r>
          </w:p>
        </w:tc>
        <w:tc>
          <w:tcPr>
            <w:tcW w:w="1553" w:type="dxa"/>
            <w:tcBorders>
              <w:top w:val="nil"/>
              <w:left w:val="single" w:sz="4" w:space="0" w:color="auto"/>
              <w:bottom w:val="nil"/>
              <w:right w:val="single" w:sz="4" w:space="0" w:color="auto"/>
            </w:tcBorders>
          </w:tcPr>
          <w:p w14:paraId="407886C1"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0.06</w:t>
            </w:r>
          </w:p>
        </w:tc>
        <w:tc>
          <w:tcPr>
            <w:tcW w:w="1215" w:type="dxa"/>
            <w:tcBorders>
              <w:top w:val="nil"/>
              <w:left w:val="single" w:sz="4" w:space="0" w:color="auto"/>
              <w:bottom w:val="nil"/>
              <w:right w:val="single" w:sz="4" w:space="0" w:color="auto"/>
            </w:tcBorders>
          </w:tcPr>
          <w:p w14:paraId="6AD66C4F"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3F05F68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-0.04</w:t>
            </w:r>
          </w:p>
        </w:tc>
        <w:tc>
          <w:tcPr>
            <w:tcW w:w="1203" w:type="dxa"/>
            <w:tcBorders>
              <w:top w:val="nil"/>
              <w:left w:val="single" w:sz="4" w:space="0" w:color="auto"/>
              <w:bottom w:val="nil"/>
              <w:right w:val="single" w:sz="4" w:space="0" w:color="auto"/>
            </w:tcBorders>
          </w:tcPr>
          <w:p w14:paraId="62CE8A9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r>
      <w:tr w:rsidR="002829A0" w:rsidRPr="002829A0" w14:paraId="70BA1F6E" w14:textId="77777777" w:rsidTr="00BA61DD">
        <w:trPr>
          <w:jc w:val="center"/>
        </w:trPr>
        <w:tc>
          <w:tcPr>
            <w:tcW w:w="607" w:type="dxa"/>
            <w:vMerge/>
            <w:tcBorders>
              <w:left w:val="single" w:sz="4" w:space="0" w:color="auto"/>
              <w:right w:val="single" w:sz="4" w:space="0" w:color="auto"/>
            </w:tcBorders>
            <w:shd w:val="clear" w:color="auto" w:fill="auto"/>
          </w:tcPr>
          <w:p w14:paraId="567A5543"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2E25D571"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Jul.</w:t>
            </w:r>
          </w:p>
        </w:tc>
        <w:tc>
          <w:tcPr>
            <w:tcW w:w="1096" w:type="dxa"/>
            <w:tcBorders>
              <w:top w:val="nil"/>
              <w:left w:val="single" w:sz="4" w:space="0" w:color="auto"/>
              <w:bottom w:val="nil"/>
              <w:right w:val="single" w:sz="4" w:space="0" w:color="auto"/>
            </w:tcBorders>
          </w:tcPr>
          <w:p w14:paraId="7C7A0B5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71111643"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0.02</w:t>
            </w:r>
          </w:p>
        </w:tc>
        <w:tc>
          <w:tcPr>
            <w:tcW w:w="1553" w:type="dxa"/>
            <w:tcBorders>
              <w:top w:val="nil"/>
              <w:left w:val="single" w:sz="4" w:space="0" w:color="auto"/>
              <w:bottom w:val="nil"/>
              <w:right w:val="single" w:sz="4" w:space="0" w:color="auto"/>
            </w:tcBorders>
          </w:tcPr>
          <w:p w14:paraId="379001A6"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0.06</w:t>
            </w:r>
          </w:p>
        </w:tc>
        <w:tc>
          <w:tcPr>
            <w:tcW w:w="1215" w:type="dxa"/>
            <w:tcBorders>
              <w:top w:val="nil"/>
              <w:left w:val="single" w:sz="4" w:space="0" w:color="auto"/>
              <w:bottom w:val="nil"/>
              <w:right w:val="single" w:sz="4" w:space="0" w:color="auto"/>
            </w:tcBorders>
          </w:tcPr>
          <w:p w14:paraId="2A9C1A24"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41A3B2F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-0.09</w:t>
            </w:r>
          </w:p>
        </w:tc>
        <w:tc>
          <w:tcPr>
            <w:tcW w:w="1203" w:type="dxa"/>
            <w:tcBorders>
              <w:top w:val="nil"/>
              <w:left w:val="single" w:sz="4" w:space="0" w:color="auto"/>
              <w:bottom w:val="nil"/>
              <w:right w:val="single" w:sz="4" w:space="0" w:color="auto"/>
            </w:tcBorders>
          </w:tcPr>
          <w:p w14:paraId="4014958D"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r>
      <w:tr w:rsidR="002829A0" w:rsidRPr="002829A0" w14:paraId="230A26CF" w14:textId="77777777" w:rsidTr="00BA61DD">
        <w:trPr>
          <w:jc w:val="center"/>
        </w:trPr>
        <w:tc>
          <w:tcPr>
            <w:tcW w:w="607" w:type="dxa"/>
            <w:vMerge/>
            <w:tcBorders>
              <w:left w:val="single" w:sz="4" w:space="0" w:color="auto"/>
              <w:right w:val="single" w:sz="4" w:space="0" w:color="auto"/>
            </w:tcBorders>
            <w:shd w:val="clear" w:color="auto" w:fill="auto"/>
          </w:tcPr>
          <w:p w14:paraId="2F54BDAB"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60FD0297"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Ago.</w:t>
            </w:r>
          </w:p>
        </w:tc>
        <w:tc>
          <w:tcPr>
            <w:tcW w:w="1096" w:type="dxa"/>
            <w:tcBorders>
              <w:top w:val="nil"/>
              <w:left w:val="single" w:sz="4" w:space="0" w:color="auto"/>
              <w:bottom w:val="nil"/>
              <w:right w:val="single" w:sz="4" w:space="0" w:color="auto"/>
            </w:tcBorders>
          </w:tcPr>
          <w:p w14:paraId="655940E8"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2C1BED42"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0.00</w:t>
            </w:r>
          </w:p>
        </w:tc>
        <w:tc>
          <w:tcPr>
            <w:tcW w:w="1553" w:type="dxa"/>
            <w:tcBorders>
              <w:top w:val="nil"/>
              <w:left w:val="single" w:sz="4" w:space="0" w:color="auto"/>
              <w:bottom w:val="nil"/>
              <w:right w:val="single" w:sz="4" w:space="0" w:color="auto"/>
            </w:tcBorders>
          </w:tcPr>
          <w:p w14:paraId="4669C2CF"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0.04</w:t>
            </w:r>
          </w:p>
        </w:tc>
        <w:tc>
          <w:tcPr>
            <w:tcW w:w="1215" w:type="dxa"/>
            <w:tcBorders>
              <w:top w:val="nil"/>
              <w:left w:val="single" w:sz="4" w:space="0" w:color="auto"/>
              <w:bottom w:val="nil"/>
              <w:right w:val="single" w:sz="4" w:space="0" w:color="auto"/>
            </w:tcBorders>
          </w:tcPr>
          <w:p w14:paraId="62636420"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159" w:type="dxa"/>
            <w:tcBorders>
              <w:top w:val="nil"/>
              <w:left w:val="single" w:sz="4" w:space="0" w:color="auto"/>
              <w:bottom w:val="nil"/>
              <w:right w:val="single" w:sz="4" w:space="0" w:color="auto"/>
            </w:tcBorders>
          </w:tcPr>
          <w:p w14:paraId="1A05132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-0.16</w:t>
            </w:r>
          </w:p>
        </w:tc>
        <w:tc>
          <w:tcPr>
            <w:tcW w:w="1203" w:type="dxa"/>
            <w:tcBorders>
              <w:top w:val="nil"/>
              <w:left w:val="single" w:sz="4" w:space="0" w:color="auto"/>
              <w:bottom w:val="nil"/>
              <w:right w:val="single" w:sz="4" w:space="0" w:color="auto"/>
            </w:tcBorders>
          </w:tcPr>
          <w:p w14:paraId="4FBD0F8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-0.04</w:t>
            </w:r>
          </w:p>
        </w:tc>
      </w:tr>
      <w:tr w:rsidR="002829A0" w:rsidRPr="002829A0" w14:paraId="1CBAFA60" w14:textId="77777777" w:rsidTr="00BA61DD">
        <w:trPr>
          <w:trHeight w:val="180"/>
          <w:jc w:val="center"/>
        </w:trPr>
        <w:tc>
          <w:tcPr>
            <w:tcW w:w="607" w:type="dxa"/>
            <w:vMerge/>
            <w:tcBorders>
              <w:left w:val="single" w:sz="4" w:space="0" w:color="auto"/>
              <w:right w:val="single" w:sz="4" w:space="0" w:color="auto"/>
            </w:tcBorders>
            <w:shd w:val="clear" w:color="auto" w:fill="auto"/>
          </w:tcPr>
          <w:p w14:paraId="577F8879"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52A3696A"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Sep.</w:t>
            </w:r>
          </w:p>
        </w:tc>
        <w:tc>
          <w:tcPr>
            <w:tcW w:w="1096" w:type="dxa"/>
            <w:tcBorders>
              <w:top w:val="nil"/>
              <w:left w:val="single" w:sz="4" w:space="0" w:color="auto"/>
              <w:bottom w:val="nil"/>
              <w:right w:val="single" w:sz="4" w:space="0" w:color="auto"/>
            </w:tcBorders>
          </w:tcPr>
          <w:p w14:paraId="620FF114"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18A089D9"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-0.02</w:t>
            </w:r>
          </w:p>
        </w:tc>
        <w:tc>
          <w:tcPr>
            <w:tcW w:w="1553" w:type="dxa"/>
            <w:tcBorders>
              <w:top w:val="nil"/>
              <w:left w:val="single" w:sz="4" w:space="0" w:color="auto"/>
              <w:bottom w:val="nil"/>
              <w:right w:val="single" w:sz="4" w:space="0" w:color="auto"/>
            </w:tcBorders>
          </w:tcPr>
          <w:p w14:paraId="61D50DCA"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457EF4E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3286C2D9"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-0.21</w:t>
            </w:r>
          </w:p>
        </w:tc>
        <w:tc>
          <w:tcPr>
            <w:tcW w:w="1203" w:type="dxa"/>
            <w:tcBorders>
              <w:top w:val="nil"/>
              <w:left w:val="single" w:sz="4" w:space="0" w:color="auto"/>
              <w:bottom w:val="nil"/>
              <w:right w:val="single" w:sz="4" w:space="0" w:color="auto"/>
            </w:tcBorders>
          </w:tcPr>
          <w:p w14:paraId="76EDD2C0"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r>
      <w:tr w:rsidR="002829A0" w:rsidRPr="002829A0" w14:paraId="0280F2B2" w14:textId="77777777" w:rsidTr="00BA61DD">
        <w:trPr>
          <w:jc w:val="center"/>
        </w:trPr>
        <w:tc>
          <w:tcPr>
            <w:tcW w:w="607" w:type="dxa"/>
            <w:vMerge/>
            <w:tcBorders>
              <w:left w:val="single" w:sz="4" w:space="0" w:color="auto"/>
              <w:right w:val="single" w:sz="4" w:space="0" w:color="auto"/>
            </w:tcBorders>
            <w:shd w:val="clear" w:color="auto" w:fill="auto"/>
          </w:tcPr>
          <w:p w14:paraId="4C23FAA2"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1B52F6D0"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Oct.</w:t>
            </w:r>
          </w:p>
        </w:tc>
        <w:tc>
          <w:tcPr>
            <w:tcW w:w="1096" w:type="dxa"/>
            <w:tcBorders>
              <w:top w:val="nil"/>
              <w:left w:val="single" w:sz="4" w:space="0" w:color="auto"/>
              <w:bottom w:val="nil"/>
              <w:right w:val="single" w:sz="4" w:space="0" w:color="auto"/>
            </w:tcBorders>
          </w:tcPr>
          <w:p w14:paraId="58D35ADC"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3F5186D5"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-0.04</w:t>
            </w:r>
          </w:p>
        </w:tc>
        <w:tc>
          <w:tcPr>
            <w:tcW w:w="1553" w:type="dxa"/>
            <w:tcBorders>
              <w:top w:val="nil"/>
              <w:left w:val="single" w:sz="4" w:space="0" w:color="auto"/>
              <w:bottom w:val="nil"/>
              <w:right w:val="single" w:sz="4" w:space="0" w:color="auto"/>
            </w:tcBorders>
          </w:tcPr>
          <w:p w14:paraId="35AE7C36"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01DFED80"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159" w:type="dxa"/>
            <w:tcBorders>
              <w:top w:val="nil"/>
              <w:left w:val="single" w:sz="4" w:space="0" w:color="auto"/>
              <w:bottom w:val="nil"/>
              <w:right w:val="single" w:sz="4" w:space="0" w:color="auto"/>
            </w:tcBorders>
          </w:tcPr>
          <w:p w14:paraId="06A6FEB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-0.24</w:t>
            </w:r>
          </w:p>
        </w:tc>
        <w:tc>
          <w:tcPr>
            <w:tcW w:w="1203" w:type="dxa"/>
            <w:tcBorders>
              <w:top w:val="nil"/>
              <w:left w:val="single" w:sz="4" w:space="0" w:color="auto"/>
              <w:bottom w:val="nil"/>
              <w:right w:val="single" w:sz="4" w:space="0" w:color="auto"/>
            </w:tcBorders>
          </w:tcPr>
          <w:p w14:paraId="4F86D407"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r>
      <w:tr w:rsidR="002829A0" w:rsidRPr="002829A0" w14:paraId="6882BEFB" w14:textId="77777777" w:rsidTr="00BA61DD">
        <w:trPr>
          <w:jc w:val="center"/>
        </w:trPr>
        <w:tc>
          <w:tcPr>
            <w:tcW w:w="607" w:type="dxa"/>
            <w:vMerge/>
            <w:tcBorders>
              <w:left w:val="single" w:sz="4" w:space="0" w:color="auto"/>
              <w:right w:val="single" w:sz="4" w:space="0" w:color="auto"/>
            </w:tcBorders>
            <w:shd w:val="clear" w:color="auto" w:fill="auto"/>
          </w:tcPr>
          <w:p w14:paraId="27EB38E8"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nil"/>
              <w:right w:val="single" w:sz="4" w:space="0" w:color="auto"/>
            </w:tcBorders>
          </w:tcPr>
          <w:p w14:paraId="05F2F680"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Nov.</w:t>
            </w:r>
          </w:p>
        </w:tc>
        <w:tc>
          <w:tcPr>
            <w:tcW w:w="1096" w:type="dxa"/>
            <w:tcBorders>
              <w:top w:val="nil"/>
              <w:left w:val="single" w:sz="4" w:space="0" w:color="auto"/>
              <w:bottom w:val="nil"/>
              <w:right w:val="single" w:sz="4" w:space="0" w:color="auto"/>
            </w:tcBorders>
          </w:tcPr>
          <w:p w14:paraId="54E74B4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987" w:type="dxa"/>
            <w:tcBorders>
              <w:top w:val="nil"/>
              <w:left w:val="single" w:sz="4" w:space="0" w:color="auto"/>
              <w:bottom w:val="nil"/>
              <w:right w:val="single" w:sz="4" w:space="0" w:color="auto"/>
            </w:tcBorders>
          </w:tcPr>
          <w:p w14:paraId="484037F7"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-0.07</w:t>
            </w:r>
          </w:p>
        </w:tc>
        <w:tc>
          <w:tcPr>
            <w:tcW w:w="1553" w:type="dxa"/>
            <w:tcBorders>
              <w:top w:val="nil"/>
              <w:left w:val="single" w:sz="4" w:space="0" w:color="auto"/>
              <w:bottom w:val="nil"/>
              <w:right w:val="single" w:sz="4" w:space="0" w:color="auto"/>
            </w:tcBorders>
          </w:tcPr>
          <w:p w14:paraId="62AFCFA7"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0.02</w:t>
            </w:r>
          </w:p>
        </w:tc>
        <w:tc>
          <w:tcPr>
            <w:tcW w:w="1215" w:type="dxa"/>
            <w:tcBorders>
              <w:top w:val="nil"/>
              <w:left w:val="single" w:sz="4" w:space="0" w:color="auto"/>
              <w:bottom w:val="nil"/>
              <w:right w:val="single" w:sz="4" w:space="0" w:color="auto"/>
            </w:tcBorders>
          </w:tcPr>
          <w:p w14:paraId="0DBE1A1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0.00</w:t>
            </w:r>
          </w:p>
        </w:tc>
        <w:tc>
          <w:tcPr>
            <w:tcW w:w="1159" w:type="dxa"/>
            <w:tcBorders>
              <w:top w:val="nil"/>
              <w:left w:val="single" w:sz="4" w:space="0" w:color="auto"/>
              <w:bottom w:val="nil"/>
              <w:right w:val="single" w:sz="4" w:space="0" w:color="auto"/>
            </w:tcBorders>
          </w:tcPr>
          <w:p w14:paraId="50FC2884"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-0.24</w:t>
            </w:r>
          </w:p>
        </w:tc>
        <w:tc>
          <w:tcPr>
            <w:tcW w:w="1203" w:type="dxa"/>
            <w:tcBorders>
              <w:top w:val="nil"/>
              <w:left w:val="single" w:sz="4" w:space="0" w:color="auto"/>
              <w:bottom w:val="nil"/>
              <w:right w:val="single" w:sz="4" w:space="0" w:color="auto"/>
            </w:tcBorders>
          </w:tcPr>
          <w:p w14:paraId="74AB3E52"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-0.09</w:t>
            </w:r>
          </w:p>
        </w:tc>
      </w:tr>
      <w:tr w:rsidR="002829A0" w:rsidRPr="002829A0" w14:paraId="53DC8F43" w14:textId="77777777" w:rsidTr="00BA61DD">
        <w:trPr>
          <w:jc w:val="center"/>
        </w:trPr>
        <w:tc>
          <w:tcPr>
            <w:tcW w:w="607" w:type="dxa"/>
            <w:vMerge/>
            <w:tcBorders>
              <w:left w:val="single" w:sz="4" w:space="0" w:color="auto"/>
              <w:right w:val="single" w:sz="4" w:space="0" w:color="auto"/>
            </w:tcBorders>
            <w:shd w:val="clear" w:color="auto" w:fill="auto"/>
          </w:tcPr>
          <w:p w14:paraId="7AE5924D" w14:textId="77777777" w:rsidR="002829A0" w:rsidRPr="002829A0" w:rsidRDefault="002829A0" w:rsidP="002829A0">
            <w:pPr>
              <w:rPr>
                <w:rFonts w:eastAsia="Times New Roman"/>
                <w:sz w:val="16"/>
                <w:szCs w:val="16"/>
                <w:lang w:val="es-ES"/>
              </w:rPr>
            </w:pPr>
          </w:p>
        </w:tc>
        <w:tc>
          <w:tcPr>
            <w:tcW w:w="602" w:type="dxa"/>
            <w:tcBorders>
              <w:top w:val="nil"/>
              <w:left w:val="single" w:sz="4" w:space="0" w:color="auto"/>
              <w:bottom w:val="single" w:sz="4" w:space="0" w:color="auto"/>
              <w:right w:val="single" w:sz="4" w:space="0" w:color="auto"/>
            </w:tcBorders>
          </w:tcPr>
          <w:p w14:paraId="542A7C1F"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Dic.</w:t>
            </w:r>
          </w:p>
        </w:tc>
        <w:tc>
          <w:tcPr>
            <w:tcW w:w="1096" w:type="dxa"/>
            <w:tcBorders>
              <w:top w:val="nil"/>
              <w:left w:val="single" w:sz="4" w:space="0" w:color="auto"/>
              <w:bottom w:val="single" w:sz="4" w:space="0" w:color="auto"/>
              <w:right w:val="single" w:sz="4" w:space="0" w:color="auto"/>
            </w:tcBorders>
          </w:tcPr>
          <w:p w14:paraId="7CE89DAE"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987" w:type="dxa"/>
            <w:tcBorders>
              <w:top w:val="nil"/>
              <w:left w:val="single" w:sz="4" w:space="0" w:color="auto"/>
              <w:bottom w:val="single" w:sz="4" w:space="0" w:color="auto"/>
              <w:right w:val="single" w:sz="4" w:space="0" w:color="auto"/>
            </w:tcBorders>
          </w:tcPr>
          <w:p w14:paraId="02F6160C"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-0.10</w:t>
            </w:r>
          </w:p>
        </w:tc>
        <w:tc>
          <w:tcPr>
            <w:tcW w:w="1553" w:type="dxa"/>
            <w:tcBorders>
              <w:top w:val="nil"/>
              <w:left w:val="single" w:sz="4" w:space="0" w:color="auto"/>
              <w:bottom w:val="single" w:sz="4" w:space="0" w:color="auto"/>
              <w:right w:val="single" w:sz="4" w:space="0" w:color="auto"/>
            </w:tcBorders>
          </w:tcPr>
          <w:p w14:paraId="35B88B53"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0.03</w:t>
            </w:r>
          </w:p>
        </w:tc>
        <w:tc>
          <w:tcPr>
            <w:tcW w:w="1215" w:type="dxa"/>
            <w:tcBorders>
              <w:top w:val="nil"/>
              <w:left w:val="single" w:sz="4" w:space="0" w:color="auto"/>
              <w:bottom w:val="single" w:sz="4" w:space="0" w:color="auto"/>
              <w:right w:val="single" w:sz="4" w:space="0" w:color="auto"/>
            </w:tcBorders>
          </w:tcPr>
          <w:p w14:paraId="03C5B524"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159" w:type="dxa"/>
            <w:tcBorders>
              <w:top w:val="nil"/>
              <w:left w:val="single" w:sz="4" w:space="0" w:color="auto"/>
              <w:bottom w:val="single" w:sz="4" w:space="0" w:color="auto"/>
              <w:right w:val="single" w:sz="4" w:space="0" w:color="auto"/>
            </w:tcBorders>
          </w:tcPr>
          <w:p w14:paraId="52C2E338"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-0.20</w:t>
            </w:r>
          </w:p>
        </w:tc>
        <w:tc>
          <w:tcPr>
            <w:tcW w:w="1203" w:type="dxa"/>
            <w:tcBorders>
              <w:top w:val="nil"/>
              <w:left w:val="single" w:sz="4" w:space="0" w:color="auto"/>
              <w:bottom w:val="single" w:sz="4" w:space="0" w:color="auto"/>
              <w:right w:val="single" w:sz="4" w:space="0" w:color="auto"/>
            </w:tcBorders>
          </w:tcPr>
          <w:p w14:paraId="1993BD94"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-0.13</w:t>
            </w:r>
          </w:p>
        </w:tc>
      </w:tr>
      <w:tr w:rsidR="002829A0" w:rsidRPr="002829A0" w14:paraId="6FD7B768" w14:textId="77777777" w:rsidTr="00BA61DD">
        <w:trPr>
          <w:jc w:val="center"/>
        </w:trPr>
        <w:tc>
          <w:tcPr>
            <w:tcW w:w="607" w:type="dxa"/>
            <w:tcBorders>
              <w:left w:val="single" w:sz="4" w:space="0" w:color="auto"/>
              <w:bottom w:val="single" w:sz="4" w:space="0" w:color="auto"/>
              <w:right w:val="single" w:sz="4" w:space="0" w:color="auto"/>
            </w:tcBorders>
            <w:shd w:val="clear" w:color="auto" w:fill="auto"/>
          </w:tcPr>
          <w:p w14:paraId="4F70D588"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2015</w:t>
            </w:r>
          </w:p>
        </w:tc>
        <w:tc>
          <w:tcPr>
            <w:tcW w:w="602" w:type="dxa"/>
            <w:tcBorders>
              <w:top w:val="single" w:sz="4" w:space="0" w:color="auto"/>
              <w:left w:val="single" w:sz="4" w:space="0" w:color="auto"/>
              <w:bottom w:val="single" w:sz="4" w:space="0" w:color="auto"/>
              <w:right w:val="single" w:sz="4" w:space="0" w:color="auto"/>
            </w:tcBorders>
          </w:tcPr>
          <w:p w14:paraId="36BC943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Ene.</w:t>
            </w:r>
          </w:p>
        </w:tc>
        <w:tc>
          <w:tcPr>
            <w:tcW w:w="1096" w:type="dxa"/>
            <w:tcBorders>
              <w:top w:val="single" w:sz="4" w:space="0" w:color="auto"/>
              <w:left w:val="single" w:sz="4" w:space="0" w:color="auto"/>
              <w:bottom w:val="single" w:sz="4" w:space="0" w:color="auto"/>
              <w:right w:val="single" w:sz="4" w:space="0" w:color="auto"/>
            </w:tcBorders>
          </w:tcPr>
          <w:p w14:paraId="7B8F5C65"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-0.03</w:t>
            </w:r>
          </w:p>
        </w:tc>
        <w:tc>
          <w:tcPr>
            <w:tcW w:w="987" w:type="dxa"/>
            <w:tcBorders>
              <w:top w:val="single" w:sz="4" w:space="0" w:color="auto"/>
              <w:left w:val="single" w:sz="4" w:space="0" w:color="auto"/>
              <w:bottom w:val="single" w:sz="4" w:space="0" w:color="auto"/>
              <w:right w:val="single" w:sz="4" w:space="0" w:color="auto"/>
            </w:tcBorders>
          </w:tcPr>
          <w:p w14:paraId="45D87B0A" w14:textId="77777777" w:rsidR="002829A0" w:rsidRPr="002829A0" w:rsidRDefault="002829A0" w:rsidP="002829A0">
            <w:pPr>
              <w:ind w:right="227"/>
              <w:jc w:val="right"/>
              <w:rPr>
                <w:rFonts w:eastAsia="Times New Roman"/>
                <w:sz w:val="16"/>
                <w:szCs w:val="16"/>
                <w:lang w:val="es-ES"/>
              </w:rPr>
            </w:pPr>
            <w:r w:rsidRPr="002829A0">
              <w:rPr>
                <w:rFonts w:eastAsia="Times New Roman"/>
                <w:sz w:val="16"/>
                <w:szCs w:val="16"/>
                <w:lang w:val="es-ES"/>
              </w:rPr>
              <w:t>-0.12</w:t>
            </w:r>
          </w:p>
        </w:tc>
        <w:tc>
          <w:tcPr>
            <w:tcW w:w="1553" w:type="dxa"/>
            <w:tcBorders>
              <w:top w:val="single" w:sz="4" w:space="0" w:color="auto"/>
              <w:left w:val="single" w:sz="4" w:space="0" w:color="auto"/>
              <w:bottom w:val="single" w:sz="4" w:space="0" w:color="auto"/>
              <w:right w:val="single" w:sz="4" w:space="0" w:color="auto"/>
            </w:tcBorders>
          </w:tcPr>
          <w:p w14:paraId="1CF4FB49" w14:textId="77777777" w:rsidR="002829A0" w:rsidRPr="002829A0" w:rsidRDefault="002829A0" w:rsidP="002829A0">
            <w:pPr>
              <w:jc w:val="center"/>
              <w:rPr>
                <w:rFonts w:eastAsia="Times New Roman"/>
                <w:sz w:val="16"/>
                <w:szCs w:val="16"/>
                <w:lang w:val="es-ES"/>
              </w:rPr>
            </w:pPr>
            <w:r w:rsidRPr="002829A0">
              <w:rPr>
                <w:rFonts w:eastAsia="Times New Roman"/>
                <w:sz w:val="16"/>
                <w:szCs w:val="16"/>
                <w:lang w:val="es-ES"/>
              </w:rPr>
              <w:t>0.04</w:t>
            </w:r>
          </w:p>
        </w:tc>
        <w:tc>
          <w:tcPr>
            <w:tcW w:w="1215" w:type="dxa"/>
            <w:tcBorders>
              <w:top w:val="single" w:sz="4" w:space="0" w:color="auto"/>
              <w:left w:val="single" w:sz="4" w:space="0" w:color="auto"/>
              <w:bottom w:val="single" w:sz="4" w:space="0" w:color="auto"/>
              <w:right w:val="single" w:sz="4" w:space="0" w:color="auto"/>
            </w:tcBorders>
          </w:tcPr>
          <w:p w14:paraId="7D58F263"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159" w:type="dxa"/>
            <w:tcBorders>
              <w:top w:val="single" w:sz="4" w:space="0" w:color="auto"/>
              <w:left w:val="single" w:sz="4" w:space="0" w:color="auto"/>
              <w:bottom w:val="single" w:sz="4" w:space="0" w:color="auto"/>
              <w:right w:val="single" w:sz="4" w:space="0" w:color="auto"/>
            </w:tcBorders>
          </w:tcPr>
          <w:p w14:paraId="5857BC1F"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-0.13</w:t>
            </w:r>
          </w:p>
        </w:tc>
        <w:tc>
          <w:tcPr>
            <w:tcW w:w="1203" w:type="dxa"/>
            <w:tcBorders>
              <w:top w:val="single" w:sz="4" w:space="0" w:color="auto"/>
              <w:left w:val="single" w:sz="4" w:space="0" w:color="auto"/>
              <w:bottom w:val="single" w:sz="4" w:space="0" w:color="auto"/>
              <w:right w:val="single" w:sz="4" w:space="0" w:color="auto"/>
            </w:tcBorders>
          </w:tcPr>
          <w:p w14:paraId="38D8CA5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-0.16</w:t>
            </w:r>
          </w:p>
        </w:tc>
      </w:tr>
      <w:tr w:rsidR="002829A0" w:rsidRPr="002829A0" w14:paraId="61040B1A" w14:textId="77777777" w:rsidTr="00BA61DD">
        <w:trPr>
          <w:jc w:val="center"/>
        </w:trPr>
        <w:tc>
          <w:tcPr>
            <w:tcW w:w="8422" w:type="dxa"/>
            <w:gridSpan w:val="8"/>
            <w:tcBorders>
              <w:top w:val="single" w:sz="4" w:space="0" w:color="auto"/>
              <w:left w:val="nil"/>
              <w:bottom w:val="nil"/>
              <w:right w:val="nil"/>
            </w:tcBorders>
          </w:tcPr>
          <w:p w14:paraId="41A41362" w14:textId="77777777" w:rsidR="002829A0" w:rsidRPr="002829A0" w:rsidRDefault="002829A0" w:rsidP="002829A0">
            <w:pPr>
              <w:ind w:left="142" w:hanging="142"/>
              <w:jc w:val="both"/>
              <w:rPr>
                <w:rFonts w:eastAsia="Times New Roman"/>
                <w:sz w:val="16"/>
                <w:szCs w:val="16"/>
                <w:lang w:val="es-ES"/>
              </w:rPr>
            </w:pPr>
            <w:r w:rsidRPr="002829A0">
              <w:rPr>
                <w:rFonts w:eastAsia="Times New Roman"/>
                <w:sz w:val="16"/>
                <w:szCs w:val="16"/>
                <w:lang w:val="es-ES"/>
              </w:rPr>
              <w:t>* Derivado de la evaluación de los componentes del Indicador Coincidente, a partir del actual boletín de prensa el Indicador Global de la Actividad Económica sustituye al Indicador de la Actividad Económica Mensual.</w:t>
            </w:r>
          </w:p>
          <w:p w14:paraId="4E886128"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FUENTE: INEGI.</w:t>
            </w:r>
          </w:p>
        </w:tc>
      </w:tr>
    </w:tbl>
    <w:p w14:paraId="732AE0E6" w14:textId="77777777" w:rsidR="002829A0" w:rsidRPr="002829A0" w:rsidRDefault="002829A0" w:rsidP="002829A0">
      <w:pPr>
        <w:spacing w:after="360" w:line="360" w:lineRule="auto"/>
        <w:ind w:right="159"/>
        <w:jc w:val="center"/>
        <w:rPr>
          <w:rFonts w:eastAsia="Calibri"/>
          <w:sz w:val="22"/>
          <w:szCs w:val="22"/>
          <w:lang w:eastAsia="en-U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A61DD" w:rsidRPr="00BA61DD" w14:paraId="6D1A0C95" w14:textId="77777777" w:rsidTr="00BA61DD">
        <w:tc>
          <w:tcPr>
            <w:tcW w:w="8838" w:type="dxa"/>
          </w:tcPr>
          <w:p w14:paraId="23AADE2C" w14:textId="3A44A0D1" w:rsidR="00BA61DD" w:rsidRP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CICLICOS.pptx!308"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2E7DD885" wp14:editId="0BD9B6C0">
                  <wp:extent cx="5480050" cy="2286000"/>
                  <wp:effectExtent l="0" t="0" r="6350" b="0"/>
                  <wp:docPr id="1480" name="Imagen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7" cstate="print">
                            <a:extLst>
                              <a:ext uri="{28A0092B-C50C-407E-A947-70E740481C1C}">
                                <a14:useLocalDpi xmlns:a14="http://schemas.microsoft.com/office/drawing/2010/main" val="0"/>
                              </a:ext>
                            </a:extLst>
                          </a:blip>
                          <a:srcRect l="4852" t="11111" r="5165" b="22223"/>
                          <a:stretch>
                            <a:fillRect/>
                          </a:stretch>
                        </pic:blipFill>
                        <pic:spPr bwMode="auto">
                          <a:xfrm>
                            <a:off x="0" y="0"/>
                            <a:ext cx="5480050" cy="228600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tc>
      </w:tr>
      <w:tr w:rsidR="00BA61DD" w:rsidRPr="00BA61DD" w14:paraId="0B12FCF2" w14:textId="77777777" w:rsidTr="00BA61DD">
        <w:tc>
          <w:tcPr>
            <w:tcW w:w="8838" w:type="dxa"/>
          </w:tcPr>
          <w:p w14:paraId="1B619EBA" w14:textId="7FFECAC8" w:rsidR="00BA61DD" w:rsidRP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CICLICOS.pptx!313"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2CE8403B" wp14:editId="25246336">
                  <wp:extent cx="5467985" cy="2162175"/>
                  <wp:effectExtent l="0" t="0" r="0" b="9525"/>
                  <wp:docPr id="1479" name="Imagen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8" cstate="print">
                            <a:extLst>
                              <a:ext uri="{28A0092B-C50C-407E-A947-70E740481C1C}">
                                <a14:useLocalDpi xmlns:a14="http://schemas.microsoft.com/office/drawing/2010/main" val="0"/>
                              </a:ext>
                            </a:extLst>
                          </a:blip>
                          <a:srcRect l="5008" t="14722" r="5164" b="22223"/>
                          <a:stretch>
                            <a:fillRect/>
                          </a:stretch>
                        </pic:blipFill>
                        <pic:spPr bwMode="auto">
                          <a:xfrm>
                            <a:off x="0" y="0"/>
                            <a:ext cx="5467985" cy="2162175"/>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tc>
      </w:tr>
      <w:tr w:rsidR="00BA61DD" w:rsidRPr="00BA61DD" w14:paraId="7BD9759B" w14:textId="77777777" w:rsidTr="00BA61DD">
        <w:tc>
          <w:tcPr>
            <w:tcW w:w="8838" w:type="dxa"/>
          </w:tcPr>
          <w:p w14:paraId="727E8C4E" w14:textId="322D63BD" w:rsidR="00BA61DD" w:rsidRP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lastRenderedPageBreak/>
              <w:fldChar w:fldCharType="begin"/>
            </w:r>
            <w:r w:rsidRPr="00BA61DD">
              <w:rPr>
                <w:rFonts w:ascii="Calibri" w:eastAsia="Calibri" w:hAnsi="Calibri"/>
                <w:sz w:val="22"/>
                <w:szCs w:val="22"/>
                <w:lang w:eastAsia="en-US"/>
              </w:rPr>
              <w:instrText xml:space="preserve"> LINK PowerPoint.Slide.8 "D:\\2015\\ABRIL\\GRÁFICAS POWER POINT\\12.- GRÁFICAS II DE IND. CICLICOS.pptx!314"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64F4F012" wp14:editId="587596F7">
                  <wp:extent cx="5486400" cy="2267585"/>
                  <wp:effectExtent l="0" t="0" r="0" b="0"/>
                  <wp:docPr id="1478" name="Imagen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9" cstate="print">
                            <a:extLst>
                              <a:ext uri="{28A0092B-C50C-407E-A947-70E740481C1C}">
                                <a14:useLocalDpi xmlns:a14="http://schemas.microsoft.com/office/drawing/2010/main" val="0"/>
                              </a:ext>
                            </a:extLst>
                          </a:blip>
                          <a:srcRect l="4851" t="19444" r="5008" b="14444"/>
                          <a:stretch>
                            <a:fillRect/>
                          </a:stretch>
                        </pic:blipFill>
                        <pic:spPr bwMode="auto">
                          <a:xfrm>
                            <a:off x="0" y="0"/>
                            <a:ext cx="5486400" cy="2267585"/>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tc>
      </w:tr>
    </w:tbl>
    <w:p w14:paraId="4F02CC71" w14:textId="3C7DCE01" w:rsidR="002829A0" w:rsidRPr="002829A0" w:rsidRDefault="002829A0" w:rsidP="002829A0">
      <w:pPr>
        <w:spacing w:after="360" w:line="360" w:lineRule="auto"/>
        <w:ind w:right="159"/>
        <w:jc w:val="center"/>
        <w:rPr>
          <w:rFonts w:eastAsia="Calibri"/>
          <w:sz w:val="22"/>
          <w:szCs w:val="22"/>
          <w:lang w:eastAsia="en-US"/>
        </w:rPr>
      </w:pPr>
    </w:p>
    <w:p w14:paraId="3969F2AD" w14:textId="77777777" w:rsidR="002829A0" w:rsidRPr="002829A0" w:rsidRDefault="002829A0" w:rsidP="002829A0">
      <w:pPr>
        <w:spacing w:after="360" w:line="360" w:lineRule="auto"/>
        <w:ind w:right="-159"/>
        <w:jc w:val="both"/>
        <w:rPr>
          <w:sz w:val="26"/>
          <w:szCs w:val="26"/>
        </w:rPr>
      </w:pPr>
      <w:r w:rsidRPr="002829A0">
        <w:rPr>
          <w:sz w:val="26"/>
          <w:szCs w:val="26"/>
        </w:rPr>
        <w:t>Al incorporar la información de enero de 2015, el Indicador Coincidente modificó su trayectoria respecto a lo calculado el mes anterior. Esto se puede apreciar en la siguiente gráfica.</w:t>
      </w:r>
    </w:p>
    <w:p w14:paraId="308FB8B5" w14:textId="69383D44" w:rsidR="002829A0" w:rsidRPr="002829A0" w:rsidRDefault="00BA61DD" w:rsidP="00BA61DD">
      <w:pPr>
        <w:spacing w:after="360" w:line="360" w:lineRule="auto"/>
        <w:ind w:right="-159"/>
        <w:jc w:val="center"/>
        <w:rPr>
          <w:sz w:val="26"/>
          <w:szCs w:val="26"/>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POINT\\11.- GRÁFICAS DE IND. CÍCLICOS.pptx!257"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6B147126" wp14:editId="12C34B9B">
            <wp:extent cx="4219575" cy="3206750"/>
            <wp:effectExtent l="0" t="0" r="9525" b="0"/>
            <wp:docPr id="1481" name="Imagen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20" cstate="print">
                      <a:extLst>
                        <a:ext uri="{28A0092B-C50C-407E-A947-70E740481C1C}">
                          <a14:useLocalDpi xmlns:a14="http://schemas.microsoft.com/office/drawing/2010/main" val="0"/>
                        </a:ext>
                      </a:extLst>
                    </a:blip>
                    <a:srcRect l="5011" r="2505" b="6389"/>
                    <a:stretch>
                      <a:fillRect/>
                    </a:stretch>
                  </pic:blipFill>
                  <pic:spPr bwMode="auto">
                    <a:xfrm>
                      <a:off x="0" y="0"/>
                      <a:ext cx="4219575" cy="320675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2D93503E" w14:textId="77777777" w:rsidR="00BA61DD" w:rsidRDefault="00BA61DD" w:rsidP="002829A0">
      <w:pPr>
        <w:spacing w:after="360" w:line="360" w:lineRule="auto"/>
        <w:ind w:right="-159"/>
        <w:jc w:val="both"/>
        <w:rPr>
          <w:b/>
          <w:sz w:val="26"/>
          <w:szCs w:val="26"/>
        </w:rPr>
      </w:pPr>
    </w:p>
    <w:p w14:paraId="077A1BA4" w14:textId="77777777" w:rsidR="00BA61DD" w:rsidRDefault="00BA61DD" w:rsidP="002829A0">
      <w:pPr>
        <w:spacing w:after="360" w:line="360" w:lineRule="auto"/>
        <w:ind w:right="-159"/>
        <w:jc w:val="both"/>
        <w:rPr>
          <w:b/>
          <w:sz w:val="26"/>
          <w:szCs w:val="26"/>
        </w:rPr>
      </w:pPr>
    </w:p>
    <w:p w14:paraId="14ADB3C6" w14:textId="77777777" w:rsidR="002829A0" w:rsidRPr="002829A0" w:rsidRDefault="002829A0" w:rsidP="002829A0">
      <w:pPr>
        <w:spacing w:after="360" w:line="360" w:lineRule="auto"/>
        <w:ind w:right="-159"/>
        <w:jc w:val="both"/>
        <w:rPr>
          <w:b/>
          <w:sz w:val="26"/>
          <w:szCs w:val="26"/>
        </w:rPr>
      </w:pPr>
      <w:r w:rsidRPr="002829A0">
        <w:rPr>
          <w:b/>
          <w:sz w:val="26"/>
          <w:szCs w:val="26"/>
        </w:rPr>
        <w:lastRenderedPageBreak/>
        <w:t xml:space="preserve">Indicador Adelantado </w:t>
      </w:r>
    </w:p>
    <w:p w14:paraId="66D6795C" w14:textId="77777777" w:rsidR="002829A0" w:rsidRPr="002829A0" w:rsidRDefault="002829A0" w:rsidP="002829A0">
      <w:pPr>
        <w:spacing w:after="360" w:line="360" w:lineRule="auto"/>
        <w:ind w:right="-159"/>
        <w:jc w:val="both"/>
        <w:rPr>
          <w:sz w:val="26"/>
          <w:szCs w:val="26"/>
        </w:rPr>
      </w:pPr>
      <w:r w:rsidRPr="002829A0">
        <w:rPr>
          <w:sz w:val="26"/>
          <w:szCs w:val="26"/>
        </w:rPr>
        <w:t>La cifra del Indicador Adelantado para febrero del año en curso, indica que éste se ubica ligeramente por debajo de su tendencia de largo plazo al registrar un valor de                   99.9 puntos y una reducción de 0.09 puntos con respecto al pasado mes de enero.</w:t>
      </w:r>
    </w:p>
    <w:tbl>
      <w:tblPr>
        <w:tblW w:w="9498" w:type="dxa"/>
        <w:jc w:val="center"/>
        <w:tblLayout w:type="fixed"/>
        <w:tblLook w:val="04A0" w:firstRow="1" w:lastRow="0" w:firstColumn="1" w:lastColumn="0" w:noHBand="0" w:noVBand="1"/>
      </w:tblPr>
      <w:tblGrid>
        <w:gridCol w:w="709"/>
        <w:gridCol w:w="806"/>
        <w:gridCol w:w="712"/>
        <w:gridCol w:w="750"/>
        <w:gridCol w:w="811"/>
        <w:gridCol w:w="748"/>
        <w:gridCol w:w="709"/>
        <w:gridCol w:w="673"/>
        <w:gridCol w:w="745"/>
        <w:gridCol w:w="708"/>
        <w:gridCol w:w="709"/>
        <w:gridCol w:w="709"/>
        <w:gridCol w:w="709"/>
      </w:tblGrid>
      <w:tr w:rsidR="002829A0" w:rsidRPr="002829A0" w14:paraId="6281BEEE" w14:textId="77777777" w:rsidTr="00BA61DD">
        <w:trPr>
          <w:jc w:val="center"/>
        </w:trPr>
        <w:tc>
          <w:tcPr>
            <w:tcW w:w="9498" w:type="dxa"/>
            <w:gridSpan w:val="13"/>
            <w:tcBorders>
              <w:top w:val="nil"/>
              <w:left w:val="nil"/>
              <w:bottom w:val="single" w:sz="4" w:space="0" w:color="auto"/>
              <w:right w:val="nil"/>
            </w:tcBorders>
          </w:tcPr>
          <w:p w14:paraId="4CFAB4BC" w14:textId="77777777" w:rsidR="002829A0" w:rsidRPr="002829A0" w:rsidRDefault="002829A0" w:rsidP="002829A0">
            <w:pPr>
              <w:tabs>
                <w:tab w:val="left" w:pos="1250"/>
              </w:tabs>
              <w:ind w:right="57"/>
              <w:jc w:val="center"/>
              <w:rPr>
                <w:b/>
                <w:sz w:val="22"/>
                <w:szCs w:val="22"/>
              </w:rPr>
            </w:pPr>
            <w:r w:rsidRPr="002829A0">
              <w:rPr>
                <w:b/>
                <w:sz w:val="22"/>
                <w:szCs w:val="22"/>
              </w:rPr>
              <w:t>INDICADOR ADELANTADO</w:t>
            </w:r>
          </w:p>
          <w:p w14:paraId="48F462DE" w14:textId="77777777" w:rsidR="002829A0" w:rsidRPr="002829A0" w:rsidRDefault="002829A0" w:rsidP="002829A0">
            <w:pPr>
              <w:tabs>
                <w:tab w:val="left" w:pos="1250"/>
              </w:tabs>
              <w:ind w:right="57"/>
              <w:jc w:val="center"/>
              <w:rPr>
                <w:b/>
                <w:sz w:val="22"/>
                <w:szCs w:val="22"/>
              </w:rPr>
            </w:pPr>
            <w:r w:rsidRPr="002829A0">
              <w:rPr>
                <w:b/>
                <w:sz w:val="22"/>
                <w:szCs w:val="22"/>
              </w:rPr>
              <w:t>-Diferencia en puntos respecto al mes inmediato anterior-</w:t>
            </w:r>
          </w:p>
        </w:tc>
      </w:tr>
      <w:tr w:rsidR="002829A0" w:rsidRPr="002829A0" w14:paraId="21816F7B" w14:textId="77777777" w:rsidTr="00BA61DD">
        <w:trPr>
          <w:jc w:val="center"/>
        </w:trPr>
        <w:tc>
          <w:tcPr>
            <w:tcW w:w="8080" w:type="dxa"/>
            <w:gridSpan w:val="11"/>
            <w:tcBorders>
              <w:top w:val="single" w:sz="4" w:space="0" w:color="auto"/>
              <w:left w:val="single" w:sz="4" w:space="0" w:color="auto"/>
              <w:bottom w:val="single" w:sz="4" w:space="0" w:color="auto"/>
              <w:right w:val="single" w:sz="4" w:space="0" w:color="auto"/>
            </w:tcBorders>
          </w:tcPr>
          <w:p w14:paraId="268699F6" w14:textId="77777777" w:rsidR="002829A0" w:rsidRPr="002829A0" w:rsidRDefault="002829A0" w:rsidP="002829A0">
            <w:pPr>
              <w:tabs>
                <w:tab w:val="left" w:pos="1250"/>
              </w:tabs>
              <w:ind w:right="57"/>
              <w:jc w:val="center"/>
              <w:rPr>
                <w:b/>
                <w:sz w:val="20"/>
                <w:szCs w:val="20"/>
              </w:rPr>
            </w:pPr>
            <w:r w:rsidRPr="002829A0">
              <w:rPr>
                <w:b/>
                <w:sz w:val="20"/>
                <w:szCs w:val="20"/>
              </w:rPr>
              <w:t>2014</w:t>
            </w:r>
          </w:p>
        </w:tc>
        <w:tc>
          <w:tcPr>
            <w:tcW w:w="1418" w:type="dxa"/>
            <w:gridSpan w:val="2"/>
            <w:tcBorders>
              <w:top w:val="single" w:sz="4" w:space="0" w:color="auto"/>
              <w:left w:val="single" w:sz="4" w:space="0" w:color="auto"/>
              <w:bottom w:val="single" w:sz="4" w:space="0" w:color="auto"/>
              <w:right w:val="single" w:sz="4" w:space="0" w:color="auto"/>
            </w:tcBorders>
          </w:tcPr>
          <w:p w14:paraId="14CD429E" w14:textId="77777777" w:rsidR="002829A0" w:rsidRPr="002829A0" w:rsidRDefault="002829A0" w:rsidP="002829A0">
            <w:pPr>
              <w:tabs>
                <w:tab w:val="left" w:pos="1250"/>
              </w:tabs>
              <w:ind w:right="57"/>
              <w:jc w:val="center"/>
              <w:rPr>
                <w:b/>
                <w:sz w:val="20"/>
                <w:szCs w:val="20"/>
              </w:rPr>
            </w:pPr>
            <w:r w:rsidRPr="002829A0">
              <w:rPr>
                <w:b/>
                <w:sz w:val="20"/>
                <w:szCs w:val="20"/>
              </w:rPr>
              <w:t>2015</w:t>
            </w:r>
          </w:p>
        </w:tc>
      </w:tr>
      <w:tr w:rsidR="002829A0" w:rsidRPr="002829A0" w14:paraId="221DD336" w14:textId="77777777" w:rsidTr="00BA61DD">
        <w:trPr>
          <w:jc w:val="center"/>
        </w:trPr>
        <w:tc>
          <w:tcPr>
            <w:tcW w:w="709" w:type="dxa"/>
            <w:tcBorders>
              <w:top w:val="single" w:sz="4" w:space="0" w:color="auto"/>
              <w:left w:val="single" w:sz="4" w:space="0" w:color="auto"/>
              <w:bottom w:val="single" w:sz="4" w:space="0" w:color="auto"/>
              <w:right w:val="single" w:sz="4" w:space="0" w:color="auto"/>
            </w:tcBorders>
          </w:tcPr>
          <w:p w14:paraId="7D9E917B" w14:textId="77777777" w:rsidR="002829A0" w:rsidRPr="002829A0" w:rsidRDefault="002829A0" w:rsidP="002829A0">
            <w:pPr>
              <w:tabs>
                <w:tab w:val="left" w:pos="1250"/>
              </w:tabs>
              <w:ind w:right="57"/>
              <w:jc w:val="center"/>
              <w:rPr>
                <w:b/>
                <w:sz w:val="20"/>
                <w:szCs w:val="20"/>
              </w:rPr>
            </w:pPr>
            <w:r w:rsidRPr="002829A0">
              <w:rPr>
                <w:b/>
                <w:sz w:val="20"/>
                <w:szCs w:val="20"/>
              </w:rPr>
              <w:t>Feb.</w:t>
            </w:r>
          </w:p>
        </w:tc>
        <w:tc>
          <w:tcPr>
            <w:tcW w:w="806" w:type="dxa"/>
            <w:tcBorders>
              <w:top w:val="single" w:sz="4" w:space="0" w:color="auto"/>
              <w:left w:val="single" w:sz="4" w:space="0" w:color="auto"/>
              <w:bottom w:val="single" w:sz="4" w:space="0" w:color="auto"/>
              <w:right w:val="single" w:sz="4" w:space="0" w:color="auto"/>
            </w:tcBorders>
          </w:tcPr>
          <w:p w14:paraId="474006AE" w14:textId="77777777" w:rsidR="002829A0" w:rsidRPr="002829A0" w:rsidRDefault="002829A0" w:rsidP="002829A0">
            <w:pPr>
              <w:tabs>
                <w:tab w:val="left" w:pos="1250"/>
              </w:tabs>
              <w:ind w:right="57"/>
              <w:jc w:val="center"/>
              <w:rPr>
                <w:b/>
                <w:sz w:val="20"/>
                <w:szCs w:val="20"/>
              </w:rPr>
            </w:pPr>
            <w:r w:rsidRPr="002829A0">
              <w:rPr>
                <w:b/>
                <w:sz w:val="20"/>
                <w:szCs w:val="20"/>
              </w:rPr>
              <w:t>Mar.</w:t>
            </w:r>
          </w:p>
        </w:tc>
        <w:tc>
          <w:tcPr>
            <w:tcW w:w="712" w:type="dxa"/>
            <w:tcBorders>
              <w:top w:val="single" w:sz="4" w:space="0" w:color="auto"/>
              <w:left w:val="single" w:sz="4" w:space="0" w:color="auto"/>
              <w:bottom w:val="single" w:sz="4" w:space="0" w:color="auto"/>
              <w:right w:val="single" w:sz="4" w:space="0" w:color="auto"/>
            </w:tcBorders>
          </w:tcPr>
          <w:p w14:paraId="7E4D29BC" w14:textId="77777777" w:rsidR="002829A0" w:rsidRPr="002829A0" w:rsidRDefault="002829A0" w:rsidP="002829A0">
            <w:pPr>
              <w:tabs>
                <w:tab w:val="left" w:pos="1250"/>
              </w:tabs>
              <w:ind w:right="57"/>
              <w:jc w:val="center"/>
              <w:rPr>
                <w:b/>
                <w:sz w:val="20"/>
                <w:szCs w:val="20"/>
              </w:rPr>
            </w:pPr>
            <w:r w:rsidRPr="002829A0">
              <w:rPr>
                <w:b/>
                <w:sz w:val="20"/>
                <w:szCs w:val="20"/>
              </w:rPr>
              <w:t>Abr.</w:t>
            </w:r>
          </w:p>
        </w:tc>
        <w:tc>
          <w:tcPr>
            <w:tcW w:w="750" w:type="dxa"/>
            <w:tcBorders>
              <w:top w:val="single" w:sz="4" w:space="0" w:color="auto"/>
              <w:left w:val="single" w:sz="4" w:space="0" w:color="auto"/>
              <w:bottom w:val="single" w:sz="4" w:space="0" w:color="auto"/>
              <w:right w:val="single" w:sz="4" w:space="0" w:color="auto"/>
            </w:tcBorders>
          </w:tcPr>
          <w:p w14:paraId="7146FA0B" w14:textId="77777777" w:rsidR="002829A0" w:rsidRPr="002829A0" w:rsidRDefault="002829A0" w:rsidP="002829A0">
            <w:pPr>
              <w:tabs>
                <w:tab w:val="left" w:pos="1250"/>
              </w:tabs>
              <w:ind w:right="57"/>
              <w:jc w:val="center"/>
              <w:rPr>
                <w:b/>
                <w:sz w:val="20"/>
                <w:szCs w:val="20"/>
              </w:rPr>
            </w:pPr>
            <w:r w:rsidRPr="002829A0">
              <w:rPr>
                <w:b/>
                <w:sz w:val="20"/>
                <w:szCs w:val="20"/>
              </w:rPr>
              <w:t>May.</w:t>
            </w:r>
          </w:p>
        </w:tc>
        <w:tc>
          <w:tcPr>
            <w:tcW w:w="811" w:type="dxa"/>
            <w:tcBorders>
              <w:top w:val="single" w:sz="4" w:space="0" w:color="auto"/>
              <w:left w:val="single" w:sz="4" w:space="0" w:color="auto"/>
              <w:bottom w:val="single" w:sz="4" w:space="0" w:color="auto"/>
              <w:right w:val="single" w:sz="4" w:space="0" w:color="auto"/>
            </w:tcBorders>
          </w:tcPr>
          <w:p w14:paraId="4AF375CD" w14:textId="77777777" w:rsidR="002829A0" w:rsidRPr="002829A0" w:rsidRDefault="002829A0" w:rsidP="002829A0">
            <w:pPr>
              <w:tabs>
                <w:tab w:val="left" w:pos="1250"/>
              </w:tabs>
              <w:ind w:right="57"/>
              <w:jc w:val="center"/>
              <w:rPr>
                <w:b/>
                <w:sz w:val="20"/>
                <w:szCs w:val="20"/>
              </w:rPr>
            </w:pPr>
            <w:r w:rsidRPr="002829A0">
              <w:rPr>
                <w:b/>
                <w:sz w:val="20"/>
                <w:szCs w:val="20"/>
              </w:rPr>
              <w:t>Jun.</w:t>
            </w:r>
          </w:p>
        </w:tc>
        <w:tc>
          <w:tcPr>
            <w:tcW w:w="748" w:type="dxa"/>
            <w:tcBorders>
              <w:top w:val="single" w:sz="4" w:space="0" w:color="auto"/>
              <w:left w:val="single" w:sz="4" w:space="0" w:color="auto"/>
              <w:bottom w:val="single" w:sz="4" w:space="0" w:color="auto"/>
              <w:right w:val="single" w:sz="4" w:space="0" w:color="auto"/>
            </w:tcBorders>
          </w:tcPr>
          <w:p w14:paraId="78FB1269" w14:textId="77777777" w:rsidR="002829A0" w:rsidRPr="002829A0" w:rsidRDefault="002829A0" w:rsidP="002829A0">
            <w:pPr>
              <w:tabs>
                <w:tab w:val="left" w:pos="1250"/>
              </w:tabs>
              <w:ind w:right="57"/>
              <w:jc w:val="center"/>
              <w:rPr>
                <w:b/>
                <w:sz w:val="20"/>
                <w:szCs w:val="20"/>
              </w:rPr>
            </w:pPr>
            <w:r w:rsidRPr="002829A0">
              <w:rPr>
                <w:b/>
                <w:sz w:val="20"/>
                <w:szCs w:val="20"/>
              </w:rPr>
              <w:t>Jul.</w:t>
            </w:r>
          </w:p>
        </w:tc>
        <w:tc>
          <w:tcPr>
            <w:tcW w:w="709" w:type="dxa"/>
            <w:tcBorders>
              <w:top w:val="single" w:sz="4" w:space="0" w:color="auto"/>
              <w:left w:val="single" w:sz="4" w:space="0" w:color="auto"/>
              <w:bottom w:val="single" w:sz="4" w:space="0" w:color="auto"/>
              <w:right w:val="single" w:sz="4" w:space="0" w:color="auto"/>
            </w:tcBorders>
          </w:tcPr>
          <w:p w14:paraId="52FE3749" w14:textId="77777777" w:rsidR="002829A0" w:rsidRPr="002829A0" w:rsidRDefault="002829A0" w:rsidP="002829A0">
            <w:pPr>
              <w:tabs>
                <w:tab w:val="left" w:pos="1250"/>
              </w:tabs>
              <w:ind w:right="57"/>
              <w:jc w:val="center"/>
              <w:rPr>
                <w:b/>
                <w:sz w:val="20"/>
                <w:szCs w:val="20"/>
              </w:rPr>
            </w:pPr>
            <w:r w:rsidRPr="002829A0">
              <w:rPr>
                <w:b/>
                <w:sz w:val="20"/>
                <w:szCs w:val="20"/>
              </w:rPr>
              <w:t>Ago.</w:t>
            </w:r>
          </w:p>
        </w:tc>
        <w:tc>
          <w:tcPr>
            <w:tcW w:w="673" w:type="dxa"/>
            <w:tcBorders>
              <w:top w:val="single" w:sz="4" w:space="0" w:color="auto"/>
              <w:left w:val="single" w:sz="4" w:space="0" w:color="auto"/>
              <w:bottom w:val="single" w:sz="4" w:space="0" w:color="auto"/>
              <w:right w:val="single" w:sz="4" w:space="0" w:color="auto"/>
            </w:tcBorders>
          </w:tcPr>
          <w:p w14:paraId="7D9BD025" w14:textId="77777777" w:rsidR="002829A0" w:rsidRPr="002829A0" w:rsidRDefault="002829A0" w:rsidP="002829A0">
            <w:pPr>
              <w:tabs>
                <w:tab w:val="left" w:pos="1250"/>
              </w:tabs>
              <w:ind w:right="57"/>
              <w:jc w:val="center"/>
              <w:rPr>
                <w:b/>
                <w:sz w:val="20"/>
                <w:szCs w:val="20"/>
              </w:rPr>
            </w:pPr>
            <w:r w:rsidRPr="002829A0">
              <w:rPr>
                <w:b/>
                <w:sz w:val="20"/>
                <w:szCs w:val="20"/>
              </w:rPr>
              <w:t>Sep.</w:t>
            </w:r>
          </w:p>
        </w:tc>
        <w:tc>
          <w:tcPr>
            <w:tcW w:w="745" w:type="dxa"/>
            <w:tcBorders>
              <w:top w:val="single" w:sz="4" w:space="0" w:color="auto"/>
              <w:left w:val="single" w:sz="4" w:space="0" w:color="auto"/>
              <w:bottom w:val="single" w:sz="4" w:space="0" w:color="auto"/>
              <w:right w:val="single" w:sz="4" w:space="0" w:color="auto"/>
            </w:tcBorders>
          </w:tcPr>
          <w:p w14:paraId="5D8D1978" w14:textId="77777777" w:rsidR="002829A0" w:rsidRPr="002829A0" w:rsidRDefault="002829A0" w:rsidP="002829A0">
            <w:pPr>
              <w:tabs>
                <w:tab w:val="left" w:pos="1250"/>
              </w:tabs>
              <w:ind w:right="57"/>
              <w:jc w:val="center"/>
              <w:rPr>
                <w:b/>
                <w:sz w:val="20"/>
                <w:szCs w:val="20"/>
              </w:rPr>
            </w:pPr>
            <w:r w:rsidRPr="002829A0">
              <w:rPr>
                <w:b/>
                <w:sz w:val="20"/>
                <w:szCs w:val="20"/>
              </w:rPr>
              <w:t>Oct.</w:t>
            </w:r>
          </w:p>
        </w:tc>
        <w:tc>
          <w:tcPr>
            <w:tcW w:w="708" w:type="dxa"/>
            <w:tcBorders>
              <w:top w:val="single" w:sz="4" w:space="0" w:color="auto"/>
              <w:left w:val="single" w:sz="4" w:space="0" w:color="auto"/>
              <w:bottom w:val="single" w:sz="4" w:space="0" w:color="auto"/>
              <w:right w:val="single" w:sz="4" w:space="0" w:color="auto"/>
            </w:tcBorders>
          </w:tcPr>
          <w:p w14:paraId="0916FE84" w14:textId="77777777" w:rsidR="002829A0" w:rsidRPr="002829A0" w:rsidRDefault="002829A0" w:rsidP="002829A0">
            <w:pPr>
              <w:tabs>
                <w:tab w:val="left" w:pos="1250"/>
              </w:tabs>
              <w:ind w:right="57"/>
              <w:jc w:val="center"/>
              <w:rPr>
                <w:b/>
                <w:sz w:val="20"/>
                <w:szCs w:val="20"/>
              </w:rPr>
            </w:pPr>
            <w:r w:rsidRPr="002829A0">
              <w:rPr>
                <w:b/>
                <w:sz w:val="20"/>
                <w:szCs w:val="20"/>
              </w:rPr>
              <w:t>Nov.</w:t>
            </w:r>
          </w:p>
        </w:tc>
        <w:tc>
          <w:tcPr>
            <w:tcW w:w="709" w:type="dxa"/>
            <w:tcBorders>
              <w:top w:val="single" w:sz="4" w:space="0" w:color="auto"/>
              <w:left w:val="single" w:sz="4" w:space="0" w:color="auto"/>
              <w:bottom w:val="single" w:sz="4" w:space="0" w:color="auto"/>
              <w:right w:val="single" w:sz="4" w:space="0" w:color="auto"/>
            </w:tcBorders>
          </w:tcPr>
          <w:p w14:paraId="522ED356" w14:textId="77777777" w:rsidR="002829A0" w:rsidRPr="002829A0" w:rsidRDefault="002829A0" w:rsidP="002829A0">
            <w:pPr>
              <w:tabs>
                <w:tab w:val="left" w:pos="1250"/>
              </w:tabs>
              <w:ind w:right="57"/>
              <w:jc w:val="center"/>
              <w:rPr>
                <w:b/>
                <w:sz w:val="20"/>
                <w:szCs w:val="20"/>
              </w:rPr>
            </w:pPr>
            <w:r w:rsidRPr="002829A0">
              <w:rPr>
                <w:b/>
                <w:sz w:val="20"/>
                <w:szCs w:val="20"/>
              </w:rPr>
              <w:t>Dic.</w:t>
            </w:r>
          </w:p>
        </w:tc>
        <w:tc>
          <w:tcPr>
            <w:tcW w:w="709" w:type="dxa"/>
            <w:tcBorders>
              <w:top w:val="single" w:sz="4" w:space="0" w:color="auto"/>
              <w:left w:val="single" w:sz="4" w:space="0" w:color="auto"/>
              <w:bottom w:val="single" w:sz="4" w:space="0" w:color="auto"/>
              <w:right w:val="single" w:sz="4" w:space="0" w:color="auto"/>
            </w:tcBorders>
          </w:tcPr>
          <w:p w14:paraId="696E6BB9" w14:textId="77777777" w:rsidR="002829A0" w:rsidRPr="002829A0" w:rsidRDefault="002829A0" w:rsidP="002829A0">
            <w:pPr>
              <w:tabs>
                <w:tab w:val="left" w:pos="1250"/>
              </w:tabs>
              <w:ind w:right="57"/>
              <w:jc w:val="center"/>
              <w:rPr>
                <w:b/>
                <w:sz w:val="20"/>
                <w:szCs w:val="20"/>
              </w:rPr>
            </w:pPr>
            <w:r w:rsidRPr="002829A0">
              <w:rPr>
                <w:b/>
                <w:sz w:val="20"/>
                <w:szCs w:val="20"/>
              </w:rPr>
              <w:t>Ene.</w:t>
            </w:r>
          </w:p>
        </w:tc>
        <w:tc>
          <w:tcPr>
            <w:tcW w:w="709" w:type="dxa"/>
            <w:tcBorders>
              <w:top w:val="single" w:sz="4" w:space="0" w:color="auto"/>
              <w:left w:val="single" w:sz="4" w:space="0" w:color="auto"/>
              <w:bottom w:val="single" w:sz="4" w:space="0" w:color="auto"/>
              <w:right w:val="single" w:sz="4" w:space="0" w:color="auto"/>
            </w:tcBorders>
          </w:tcPr>
          <w:p w14:paraId="4C277E1C" w14:textId="77777777" w:rsidR="002829A0" w:rsidRPr="002829A0" w:rsidRDefault="002829A0" w:rsidP="002829A0">
            <w:pPr>
              <w:tabs>
                <w:tab w:val="left" w:pos="1250"/>
              </w:tabs>
              <w:ind w:right="57"/>
              <w:jc w:val="center"/>
              <w:rPr>
                <w:b/>
                <w:sz w:val="20"/>
                <w:szCs w:val="20"/>
              </w:rPr>
            </w:pPr>
            <w:r w:rsidRPr="002829A0">
              <w:rPr>
                <w:b/>
                <w:sz w:val="20"/>
                <w:szCs w:val="20"/>
              </w:rPr>
              <w:t>Feb.</w:t>
            </w:r>
          </w:p>
        </w:tc>
      </w:tr>
      <w:tr w:rsidR="002829A0" w:rsidRPr="002829A0" w14:paraId="37457B8D" w14:textId="77777777" w:rsidTr="00BA61DD">
        <w:trPr>
          <w:jc w:val="center"/>
        </w:trPr>
        <w:tc>
          <w:tcPr>
            <w:tcW w:w="709" w:type="dxa"/>
            <w:tcBorders>
              <w:top w:val="single" w:sz="4" w:space="0" w:color="auto"/>
              <w:left w:val="single" w:sz="4" w:space="0" w:color="auto"/>
              <w:bottom w:val="single" w:sz="4" w:space="0" w:color="auto"/>
              <w:right w:val="single" w:sz="4" w:space="0" w:color="auto"/>
            </w:tcBorders>
          </w:tcPr>
          <w:p w14:paraId="6D3C8CB1" w14:textId="77777777" w:rsidR="002829A0" w:rsidRPr="002829A0" w:rsidRDefault="002829A0" w:rsidP="002829A0">
            <w:pPr>
              <w:tabs>
                <w:tab w:val="left" w:pos="1250"/>
              </w:tabs>
              <w:ind w:right="57"/>
              <w:jc w:val="center"/>
              <w:rPr>
                <w:sz w:val="20"/>
                <w:szCs w:val="20"/>
              </w:rPr>
            </w:pPr>
            <w:r w:rsidRPr="002829A0">
              <w:rPr>
                <w:sz w:val="20"/>
                <w:szCs w:val="20"/>
              </w:rPr>
              <w:t>-0.02</w:t>
            </w:r>
          </w:p>
        </w:tc>
        <w:tc>
          <w:tcPr>
            <w:tcW w:w="806" w:type="dxa"/>
            <w:tcBorders>
              <w:top w:val="single" w:sz="4" w:space="0" w:color="auto"/>
              <w:left w:val="single" w:sz="4" w:space="0" w:color="auto"/>
              <w:bottom w:val="single" w:sz="4" w:space="0" w:color="auto"/>
              <w:right w:val="single" w:sz="4" w:space="0" w:color="auto"/>
            </w:tcBorders>
          </w:tcPr>
          <w:p w14:paraId="46EE467B" w14:textId="77777777" w:rsidR="002829A0" w:rsidRPr="002829A0" w:rsidRDefault="002829A0" w:rsidP="002829A0">
            <w:pPr>
              <w:tabs>
                <w:tab w:val="left" w:pos="1250"/>
              </w:tabs>
              <w:ind w:right="57"/>
              <w:jc w:val="center"/>
              <w:rPr>
                <w:sz w:val="20"/>
                <w:szCs w:val="20"/>
              </w:rPr>
            </w:pPr>
            <w:r w:rsidRPr="002829A0">
              <w:rPr>
                <w:sz w:val="20"/>
                <w:szCs w:val="20"/>
              </w:rPr>
              <w:t>0.02</w:t>
            </w:r>
          </w:p>
        </w:tc>
        <w:tc>
          <w:tcPr>
            <w:tcW w:w="712" w:type="dxa"/>
            <w:tcBorders>
              <w:top w:val="single" w:sz="4" w:space="0" w:color="auto"/>
              <w:left w:val="single" w:sz="4" w:space="0" w:color="auto"/>
              <w:bottom w:val="single" w:sz="4" w:space="0" w:color="auto"/>
              <w:right w:val="single" w:sz="4" w:space="0" w:color="auto"/>
            </w:tcBorders>
          </w:tcPr>
          <w:p w14:paraId="3E12B0FA" w14:textId="77777777" w:rsidR="002829A0" w:rsidRPr="002829A0" w:rsidRDefault="002829A0" w:rsidP="002829A0">
            <w:pPr>
              <w:tabs>
                <w:tab w:val="left" w:pos="1250"/>
              </w:tabs>
              <w:ind w:right="57"/>
              <w:jc w:val="center"/>
              <w:rPr>
                <w:sz w:val="20"/>
                <w:szCs w:val="20"/>
              </w:rPr>
            </w:pPr>
            <w:r w:rsidRPr="002829A0">
              <w:rPr>
                <w:sz w:val="20"/>
                <w:szCs w:val="20"/>
              </w:rPr>
              <w:t>0.06</w:t>
            </w:r>
          </w:p>
        </w:tc>
        <w:tc>
          <w:tcPr>
            <w:tcW w:w="750" w:type="dxa"/>
            <w:tcBorders>
              <w:top w:val="single" w:sz="4" w:space="0" w:color="auto"/>
              <w:left w:val="single" w:sz="4" w:space="0" w:color="auto"/>
              <w:bottom w:val="single" w:sz="4" w:space="0" w:color="auto"/>
              <w:right w:val="single" w:sz="4" w:space="0" w:color="auto"/>
            </w:tcBorders>
          </w:tcPr>
          <w:p w14:paraId="6E1C4DEB" w14:textId="77777777" w:rsidR="002829A0" w:rsidRPr="002829A0" w:rsidRDefault="002829A0" w:rsidP="002829A0">
            <w:pPr>
              <w:tabs>
                <w:tab w:val="left" w:pos="1250"/>
              </w:tabs>
              <w:ind w:right="57"/>
              <w:jc w:val="center"/>
              <w:rPr>
                <w:sz w:val="20"/>
                <w:szCs w:val="20"/>
              </w:rPr>
            </w:pPr>
            <w:r w:rsidRPr="002829A0">
              <w:rPr>
                <w:sz w:val="20"/>
                <w:szCs w:val="20"/>
              </w:rPr>
              <w:t>0.08</w:t>
            </w:r>
          </w:p>
        </w:tc>
        <w:tc>
          <w:tcPr>
            <w:tcW w:w="811" w:type="dxa"/>
            <w:tcBorders>
              <w:top w:val="single" w:sz="4" w:space="0" w:color="auto"/>
              <w:left w:val="single" w:sz="4" w:space="0" w:color="auto"/>
              <w:bottom w:val="single" w:sz="4" w:space="0" w:color="auto"/>
              <w:right w:val="single" w:sz="4" w:space="0" w:color="auto"/>
            </w:tcBorders>
          </w:tcPr>
          <w:p w14:paraId="4EE62E2D" w14:textId="77777777" w:rsidR="002829A0" w:rsidRPr="002829A0" w:rsidRDefault="002829A0" w:rsidP="002829A0">
            <w:pPr>
              <w:tabs>
                <w:tab w:val="left" w:pos="1250"/>
              </w:tabs>
              <w:ind w:right="57"/>
              <w:jc w:val="center"/>
              <w:rPr>
                <w:sz w:val="20"/>
                <w:szCs w:val="20"/>
              </w:rPr>
            </w:pPr>
            <w:r w:rsidRPr="002829A0">
              <w:rPr>
                <w:sz w:val="20"/>
                <w:szCs w:val="20"/>
              </w:rPr>
              <w:t>0.09</w:t>
            </w:r>
          </w:p>
        </w:tc>
        <w:tc>
          <w:tcPr>
            <w:tcW w:w="748" w:type="dxa"/>
            <w:tcBorders>
              <w:top w:val="single" w:sz="4" w:space="0" w:color="auto"/>
              <w:left w:val="single" w:sz="4" w:space="0" w:color="auto"/>
              <w:bottom w:val="single" w:sz="4" w:space="0" w:color="auto"/>
              <w:right w:val="single" w:sz="4" w:space="0" w:color="auto"/>
            </w:tcBorders>
          </w:tcPr>
          <w:p w14:paraId="6F864D49" w14:textId="77777777" w:rsidR="002829A0" w:rsidRPr="002829A0" w:rsidRDefault="002829A0" w:rsidP="002829A0">
            <w:pPr>
              <w:tabs>
                <w:tab w:val="left" w:pos="1250"/>
              </w:tabs>
              <w:ind w:right="57"/>
              <w:jc w:val="center"/>
              <w:rPr>
                <w:sz w:val="20"/>
                <w:szCs w:val="20"/>
              </w:rPr>
            </w:pPr>
            <w:r w:rsidRPr="002829A0">
              <w:rPr>
                <w:sz w:val="20"/>
                <w:szCs w:val="20"/>
              </w:rPr>
              <w:t>0.08</w:t>
            </w:r>
          </w:p>
        </w:tc>
        <w:tc>
          <w:tcPr>
            <w:tcW w:w="709" w:type="dxa"/>
            <w:tcBorders>
              <w:top w:val="single" w:sz="4" w:space="0" w:color="auto"/>
              <w:left w:val="single" w:sz="4" w:space="0" w:color="auto"/>
              <w:bottom w:val="single" w:sz="4" w:space="0" w:color="auto"/>
              <w:right w:val="single" w:sz="4" w:space="0" w:color="auto"/>
            </w:tcBorders>
          </w:tcPr>
          <w:p w14:paraId="0E4FDAAA" w14:textId="77777777" w:rsidR="002829A0" w:rsidRPr="002829A0" w:rsidRDefault="002829A0" w:rsidP="002829A0">
            <w:pPr>
              <w:tabs>
                <w:tab w:val="left" w:pos="1250"/>
              </w:tabs>
              <w:ind w:right="57"/>
              <w:jc w:val="center"/>
              <w:rPr>
                <w:sz w:val="20"/>
                <w:szCs w:val="20"/>
              </w:rPr>
            </w:pPr>
            <w:r w:rsidRPr="002829A0">
              <w:rPr>
                <w:sz w:val="20"/>
                <w:szCs w:val="20"/>
              </w:rPr>
              <w:t>0.04</w:t>
            </w:r>
          </w:p>
        </w:tc>
        <w:tc>
          <w:tcPr>
            <w:tcW w:w="673" w:type="dxa"/>
            <w:tcBorders>
              <w:top w:val="single" w:sz="4" w:space="0" w:color="auto"/>
              <w:left w:val="single" w:sz="4" w:space="0" w:color="auto"/>
              <w:bottom w:val="single" w:sz="4" w:space="0" w:color="auto"/>
              <w:right w:val="single" w:sz="4" w:space="0" w:color="auto"/>
            </w:tcBorders>
          </w:tcPr>
          <w:p w14:paraId="28846A06" w14:textId="77777777" w:rsidR="002829A0" w:rsidRPr="002829A0" w:rsidRDefault="002829A0" w:rsidP="002829A0">
            <w:pPr>
              <w:tabs>
                <w:tab w:val="left" w:pos="1250"/>
              </w:tabs>
              <w:jc w:val="center"/>
              <w:rPr>
                <w:sz w:val="20"/>
                <w:szCs w:val="20"/>
              </w:rPr>
            </w:pPr>
            <w:r w:rsidRPr="002829A0">
              <w:rPr>
                <w:sz w:val="20"/>
                <w:szCs w:val="20"/>
              </w:rPr>
              <w:t>-0.01</w:t>
            </w:r>
          </w:p>
        </w:tc>
        <w:tc>
          <w:tcPr>
            <w:tcW w:w="745" w:type="dxa"/>
            <w:tcBorders>
              <w:top w:val="single" w:sz="4" w:space="0" w:color="auto"/>
              <w:left w:val="single" w:sz="4" w:space="0" w:color="auto"/>
              <w:bottom w:val="single" w:sz="4" w:space="0" w:color="auto"/>
              <w:right w:val="single" w:sz="4" w:space="0" w:color="auto"/>
            </w:tcBorders>
          </w:tcPr>
          <w:p w14:paraId="7AE43FD8" w14:textId="77777777" w:rsidR="002829A0" w:rsidRPr="002829A0" w:rsidRDefault="002829A0" w:rsidP="002829A0">
            <w:pPr>
              <w:tabs>
                <w:tab w:val="left" w:pos="1250"/>
              </w:tabs>
              <w:ind w:right="57"/>
              <w:jc w:val="center"/>
              <w:rPr>
                <w:sz w:val="20"/>
                <w:szCs w:val="20"/>
              </w:rPr>
            </w:pPr>
            <w:r w:rsidRPr="002829A0">
              <w:rPr>
                <w:sz w:val="20"/>
                <w:szCs w:val="20"/>
              </w:rPr>
              <w:t>-0.07</w:t>
            </w:r>
          </w:p>
        </w:tc>
        <w:tc>
          <w:tcPr>
            <w:tcW w:w="708" w:type="dxa"/>
            <w:tcBorders>
              <w:top w:val="single" w:sz="4" w:space="0" w:color="auto"/>
              <w:left w:val="single" w:sz="4" w:space="0" w:color="auto"/>
              <w:bottom w:val="single" w:sz="4" w:space="0" w:color="auto"/>
              <w:right w:val="single" w:sz="4" w:space="0" w:color="auto"/>
            </w:tcBorders>
          </w:tcPr>
          <w:p w14:paraId="21722F3E" w14:textId="77777777" w:rsidR="002829A0" w:rsidRPr="002829A0" w:rsidRDefault="002829A0" w:rsidP="002829A0">
            <w:pPr>
              <w:tabs>
                <w:tab w:val="left" w:pos="1250"/>
              </w:tabs>
              <w:ind w:right="57"/>
              <w:jc w:val="center"/>
              <w:rPr>
                <w:sz w:val="20"/>
                <w:szCs w:val="20"/>
              </w:rPr>
            </w:pPr>
            <w:r w:rsidRPr="002829A0">
              <w:rPr>
                <w:sz w:val="20"/>
                <w:szCs w:val="20"/>
              </w:rPr>
              <w:t>-0.12</w:t>
            </w:r>
          </w:p>
        </w:tc>
        <w:tc>
          <w:tcPr>
            <w:tcW w:w="709" w:type="dxa"/>
            <w:tcBorders>
              <w:top w:val="single" w:sz="4" w:space="0" w:color="auto"/>
              <w:left w:val="single" w:sz="4" w:space="0" w:color="auto"/>
              <w:bottom w:val="single" w:sz="4" w:space="0" w:color="auto"/>
              <w:right w:val="single" w:sz="4" w:space="0" w:color="auto"/>
            </w:tcBorders>
          </w:tcPr>
          <w:p w14:paraId="348B150C" w14:textId="77777777" w:rsidR="002829A0" w:rsidRPr="002829A0" w:rsidRDefault="002829A0" w:rsidP="002829A0">
            <w:pPr>
              <w:tabs>
                <w:tab w:val="left" w:pos="1250"/>
              </w:tabs>
              <w:ind w:right="57"/>
              <w:jc w:val="center"/>
              <w:rPr>
                <w:sz w:val="20"/>
                <w:szCs w:val="20"/>
              </w:rPr>
            </w:pPr>
            <w:r w:rsidRPr="002829A0">
              <w:rPr>
                <w:sz w:val="20"/>
                <w:szCs w:val="20"/>
              </w:rPr>
              <w:t>-0.14</w:t>
            </w:r>
          </w:p>
        </w:tc>
        <w:tc>
          <w:tcPr>
            <w:tcW w:w="709" w:type="dxa"/>
            <w:tcBorders>
              <w:top w:val="single" w:sz="4" w:space="0" w:color="auto"/>
              <w:left w:val="single" w:sz="4" w:space="0" w:color="auto"/>
              <w:bottom w:val="single" w:sz="4" w:space="0" w:color="auto"/>
              <w:right w:val="single" w:sz="4" w:space="0" w:color="auto"/>
            </w:tcBorders>
          </w:tcPr>
          <w:p w14:paraId="56B337B0" w14:textId="77777777" w:rsidR="002829A0" w:rsidRPr="002829A0" w:rsidRDefault="002829A0" w:rsidP="002829A0">
            <w:pPr>
              <w:tabs>
                <w:tab w:val="left" w:pos="1250"/>
              </w:tabs>
              <w:ind w:right="57"/>
              <w:jc w:val="center"/>
              <w:rPr>
                <w:sz w:val="20"/>
                <w:szCs w:val="20"/>
              </w:rPr>
            </w:pPr>
            <w:r w:rsidRPr="002829A0">
              <w:rPr>
                <w:sz w:val="20"/>
                <w:szCs w:val="20"/>
              </w:rPr>
              <w:t>-0.11</w:t>
            </w:r>
          </w:p>
        </w:tc>
        <w:tc>
          <w:tcPr>
            <w:tcW w:w="709" w:type="dxa"/>
            <w:tcBorders>
              <w:top w:val="single" w:sz="4" w:space="0" w:color="auto"/>
              <w:left w:val="single" w:sz="4" w:space="0" w:color="auto"/>
              <w:bottom w:val="single" w:sz="4" w:space="0" w:color="auto"/>
              <w:right w:val="single" w:sz="4" w:space="0" w:color="auto"/>
            </w:tcBorders>
          </w:tcPr>
          <w:p w14:paraId="346C3BF8" w14:textId="77777777" w:rsidR="002829A0" w:rsidRPr="002829A0" w:rsidRDefault="002829A0" w:rsidP="002829A0">
            <w:pPr>
              <w:tabs>
                <w:tab w:val="left" w:pos="1250"/>
              </w:tabs>
              <w:ind w:right="57"/>
              <w:jc w:val="center"/>
              <w:rPr>
                <w:sz w:val="20"/>
                <w:szCs w:val="20"/>
              </w:rPr>
            </w:pPr>
            <w:r w:rsidRPr="002829A0">
              <w:rPr>
                <w:sz w:val="20"/>
                <w:szCs w:val="20"/>
              </w:rPr>
              <w:t>-0.09</w:t>
            </w:r>
          </w:p>
        </w:tc>
      </w:tr>
      <w:tr w:rsidR="002829A0" w:rsidRPr="002829A0" w14:paraId="16983997" w14:textId="77777777" w:rsidTr="00BA61DD">
        <w:trPr>
          <w:jc w:val="center"/>
        </w:trPr>
        <w:tc>
          <w:tcPr>
            <w:tcW w:w="9498" w:type="dxa"/>
            <w:gridSpan w:val="13"/>
            <w:tcBorders>
              <w:left w:val="nil"/>
              <w:bottom w:val="nil"/>
              <w:right w:val="nil"/>
            </w:tcBorders>
          </w:tcPr>
          <w:p w14:paraId="7FA19D9F" w14:textId="77777777" w:rsidR="002829A0" w:rsidRPr="002829A0" w:rsidRDefault="002829A0" w:rsidP="002829A0">
            <w:pPr>
              <w:tabs>
                <w:tab w:val="left" w:pos="1250"/>
              </w:tabs>
              <w:ind w:right="57"/>
              <w:rPr>
                <w:sz w:val="20"/>
                <w:szCs w:val="20"/>
              </w:rPr>
            </w:pPr>
            <w:r w:rsidRPr="002829A0">
              <w:rPr>
                <w:sz w:val="20"/>
                <w:szCs w:val="20"/>
              </w:rPr>
              <w:t>FUENTE: INEGI.</w:t>
            </w:r>
          </w:p>
          <w:p w14:paraId="7628CEF3" w14:textId="77777777" w:rsidR="002829A0" w:rsidRPr="002829A0" w:rsidRDefault="002829A0" w:rsidP="002829A0">
            <w:pPr>
              <w:tabs>
                <w:tab w:val="left" w:pos="1250"/>
              </w:tabs>
              <w:ind w:right="57"/>
              <w:rPr>
                <w:sz w:val="20"/>
                <w:szCs w:val="20"/>
              </w:rPr>
            </w:pPr>
          </w:p>
        </w:tc>
      </w:tr>
    </w:tbl>
    <w:p w14:paraId="38C08694" w14:textId="77777777" w:rsidR="00BA61DD" w:rsidRDefault="00BA61DD" w:rsidP="002829A0">
      <w:pPr>
        <w:spacing w:after="360" w:line="360" w:lineRule="auto"/>
        <w:ind w:right="-159"/>
        <w:jc w:val="center"/>
        <w:rPr>
          <w:noProof/>
          <w:lang w:eastAsia="es-MX"/>
        </w:rPr>
      </w:pPr>
    </w:p>
    <w:p w14:paraId="68E60C53" w14:textId="61884166" w:rsidR="002829A0" w:rsidRPr="002829A0" w:rsidRDefault="00BA61DD" w:rsidP="002829A0">
      <w:pPr>
        <w:spacing w:after="360" w:line="360" w:lineRule="auto"/>
        <w:ind w:right="-159"/>
        <w:jc w:val="center"/>
        <w:rPr>
          <w:sz w:val="26"/>
          <w:szCs w:val="26"/>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CICLICOS.pptx!311"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400B9783" wp14:editId="34F62222">
            <wp:extent cx="4979670" cy="3429000"/>
            <wp:effectExtent l="0" t="0" r="0" b="0"/>
            <wp:docPr id="1482" name="Imagen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21" cstate="print">
                      <a:extLst>
                        <a:ext uri="{28A0092B-C50C-407E-A947-70E740481C1C}">
                          <a14:useLocalDpi xmlns:a14="http://schemas.microsoft.com/office/drawing/2010/main" val="0"/>
                        </a:ext>
                      </a:extLst>
                    </a:blip>
                    <a:srcRect l="6259" r="11894"/>
                    <a:stretch>
                      <a:fillRect/>
                    </a:stretch>
                  </pic:blipFill>
                  <pic:spPr bwMode="auto">
                    <a:xfrm>
                      <a:off x="0" y="0"/>
                      <a:ext cx="4979670" cy="342900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5C73CE60" w14:textId="77777777" w:rsidR="002829A0" w:rsidRDefault="002829A0" w:rsidP="002829A0">
      <w:pPr>
        <w:spacing w:after="360" w:line="360" w:lineRule="auto"/>
        <w:ind w:right="-159"/>
        <w:jc w:val="both"/>
        <w:rPr>
          <w:sz w:val="26"/>
          <w:szCs w:val="26"/>
        </w:rPr>
      </w:pPr>
      <w:r w:rsidRPr="002829A0">
        <w:rPr>
          <w:sz w:val="26"/>
          <w:szCs w:val="26"/>
        </w:rPr>
        <w:t>La evolución del Indicador Adelantado en febrero fue consecuencia del desempeño de los componentes que lo conforman, cuyos resultados se muestran en el cuadro y las gráficas siguientes.</w:t>
      </w:r>
    </w:p>
    <w:p w14:paraId="4341D818" w14:textId="77777777" w:rsidR="00BA61DD" w:rsidRPr="002829A0" w:rsidRDefault="00BA61DD" w:rsidP="002829A0">
      <w:pPr>
        <w:spacing w:after="360" w:line="360" w:lineRule="auto"/>
        <w:ind w:right="-15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3"/>
        <w:gridCol w:w="592"/>
        <w:gridCol w:w="1185"/>
        <w:gridCol w:w="1189"/>
        <w:gridCol w:w="1389"/>
        <w:gridCol w:w="1286"/>
        <w:gridCol w:w="1294"/>
        <w:gridCol w:w="1312"/>
      </w:tblGrid>
      <w:tr w:rsidR="002829A0" w:rsidRPr="002829A0" w14:paraId="2824C6DB" w14:textId="77777777" w:rsidTr="00BA61DD">
        <w:trPr>
          <w:jc w:val="center"/>
        </w:trPr>
        <w:tc>
          <w:tcPr>
            <w:tcW w:w="8838" w:type="dxa"/>
            <w:gridSpan w:val="8"/>
            <w:tcBorders>
              <w:top w:val="nil"/>
              <w:left w:val="nil"/>
              <w:bottom w:val="single" w:sz="4" w:space="0" w:color="auto"/>
              <w:right w:val="nil"/>
            </w:tcBorders>
          </w:tcPr>
          <w:p w14:paraId="61C12D3D" w14:textId="77777777" w:rsidR="002829A0" w:rsidRPr="002829A0" w:rsidRDefault="002829A0" w:rsidP="002829A0">
            <w:pPr>
              <w:jc w:val="center"/>
              <w:rPr>
                <w:rFonts w:eastAsia="Times New Roman"/>
                <w:b/>
                <w:lang w:val="es-ES"/>
              </w:rPr>
            </w:pPr>
            <w:r w:rsidRPr="002829A0">
              <w:rPr>
                <w:rFonts w:eastAsia="Times New Roman"/>
                <w:b/>
                <w:sz w:val="22"/>
                <w:szCs w:val="22"/>
                <w:lang w:val="es-ES"/>
              </w:rPr>
              <w:lastRenderedPageBreak/>
              <w:t>COMPONENTES DEL INDICADOR ADELANTADO</w:t>
            </w:r>
          </w:p>
          <w:p w14:paraId="4AF15A5F" w14:textId="77777777" w:rsidR="002829A0" w:rsidRPr="002829A0" w:rsidRDefault="002829A0" w:rsidP="002829A0">
            <w:pPr>
              <w:jc w:val="center"/>
              <w:rPr>
                <w:rFonts w:eastAsia="Times New Roman"/>
                <w:b/>
                <w:lang w:val="es-ES"/>
              </w:rPr>
            </w:pPr>
            <w:r w:rsidRPr="002829A0">
              <w:rPr>
                <w:rFonts w:eastAsia="Times New Roman"/>
                <w:b/>
                <w:sz w:val="22"/>
                <w:szCs w:val="22"/>
                <w:lang w:val="es-ES"/>
              </w:rPr>
              <w:t>-Diferencia en puntos respecto al mes inmediato anterior-</w:t>
            </w:r>
          </w:p>
        </w:tc>
      </w:tr>
      <w:tr w:rsidR="002829A0" w:rsidRPr="002829A0" w14:paraId="41DC767B" w14:textId="77777777" w:rsidTr="00BA61DD">
        <w:trPr>
          <w:jc w:val="center"/>
        </w:trPr>
        <w:tc>
          <w:tcPr>
            <w:tcW w:w="598" w:type="dxa"/>
            <w:tcBorders>
              <w:bottom w:val="single" w:sz="4" w:space="0" w:color="auto"/>
              <w:right w:val="single" w:sz="4" w:space="0" w:color="auto"/>
            </w:tcBorders>
            <w:vAlign w:val="center"/>
          </w:tcPr>
          <w:p w14:paraId="25ED78F5"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Año</w:t>
            </w:r>
          </w:p>
        </w:tc>
        <w:tc>
          <w:tcPr>
            <w:tcW w:w="595" w:type="dxa"/>
            <w:tcBorders>
              <w:left w:val="single" w:sz="4" w:space="0" w:color="auto"/>
              <w:bottom w:val="single" w:sz="4" w:space="0" w:color="auto"/>
              <w:right w:val="single" w:sz="4" w:space="0" w:color="auto"/>
            </w:tcBorders>
            <w:vAlign w:val="center"/>
          </w:tcPr>
          <w:p w14:paraId="224607BA"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Mes</w:t>
            </w:r>
          </w:p>
        </w:tc>
        <w:tc>
          <w:tcPr>
            <w:tcW w:w="1185" w:type="dxa"/>
            <w:tcBorders>
              <w:left w:val="single" w:sz="4" w:space="0" w:color="auto"/>
              <w:bottom w:val="single" w:sz="4" w:space="0" w:color="auto"/>
              <w:right w:val="single" w:sz="4" w:space="0" w:color="auto"/>
            </w:tcBorders>
            <w:vAlign w:val="center"/>
          </w:tcPr>
          <w:p w14:paraId="73A3314D"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Tendencia del Empleo en las Manufacturas</w:t>
            </w:r>
          </w:p>
        </w:tc>
        <w:tc>
          <w:tcPr>
            <w:tcW w:w="1194" w:type="dxa"/>
            <w:tcBorders>
              <w:left w:val="single" w:sz="4" w:space="0" w:color="auto"/>
              <w:bottom w:val="single" w:sz="4" w:space="0" w:color="auto"/>
              <w:right w:val="single" w:sz="4" w:space="0" w:color="auto"/>
            </w:tcBorders>
            <w:vAlign w:val="center"/>
          </w:tcPr>
          <w:p w14:paraId="56A742CB"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Indicador de Confianza Empresarial: Momento Adecuado para Invertir</w:t>
            </w:r>
            <w:r w:rsidRPr="002829A0">
              <w:rPr>
                <w:rFonts w:eastAsia="Times New Roman"/>
                <w:b/>
                <w:sz w:val="16"/>
                <w:szCs w:val="16"/>
                <w:u w:val="single"/>
                <w:vertAlign w:val="superscript"/>
                <w:lang w:val="es-ES"/>
              </w:rPr>
              <w:t>*</w:t>
            </w:r>
            <w:r w:rsidRPr="002829A0">
              <w:rPr>
                <w:rFonts w:eastAsia="Times New Roman"/>
                <w:b/>
                <w:sz w:val="16"/>
                <w:szCs w:val="16"/>
                <w:vertAlign w:val="superscript"/>
                <w:lang w:val="es-ES"/>
              </w:rPr>
              <w:t>/</w:t>
            </w:r>
          </w:p>
        </w:tc>
        <w:tc>
          <w:tcPr>
            <w:tcW w:w="1412" w:type="dxa"/>
            <w:tcBorders>
              <w:left w:val="single" w:sz="4" w:space="0" w:color="auto"/>
              <w:bottom w:val="single" w:sz="4" w:space="0" w:color="auto"/>
              <w:right w:val="single" w:sz="4" w:space="0" w:color="auto"/>
            </w:tcBorders>
            <w:vAlign w:val="center"/>
          </w:tcPr>
          <w:p w14:paraId="69BA4E45"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 xml:space="preserve">Índice de Precios y Cotizaciones de </w:t>
            </w:r>
            <w:smartTag w:uri="urn:schemas-microsoft-com:office:smarttags" w:element="PersonName">
              <w:smartTagPr>
                <w:attr w:name="ProductID" w:val="la Bolsa Mexicana"/>
              </w:smartTagPr>
              <w:r w:rsidRPr="002829A0">
                <w:rPr>
                  <w:rFonts w:eastAsia="Times New Roman"/>
                  <w:b/>
                  <w:sz w:val="16"/>
                  <w:szCs w:val="16"/>
                  <w:lang w:val="es-ES"/>
                </w:rPr>
                <w:t>la Bolsa Mexicana</w:t>
              </w:r>
            </w:smartTag>
            <w:r w:rsidRPr="002829A0">
              <w:rPr>
                <w:rFonts w:eastAsia="Times New Roman"/>
                <w:b/>
                <w:sz w:val="16"/>
                <w:szCs w:val="16"/>
                <w:lang w:val="es-ES"/>
              </w:rPr>
              <w:t xml:space="preserve"> de Valores en términos reales</w:t>
            </w:r>
          </w:p>
        </w:tc>
        <w:tc>
          <w:tcPr>
            <w:tcW w:w="1232" w:type="dxa"/>
            <w:tcBorders>
              <w:left w:val="single" w:sz="4" w:space="0" w:color="auto"/>
              <w:bottom w:val="single" w:sz="4" w:space="0" w:color="auto"/>
              <w:right w:val="single" w:sz="4" w:space="0" w:color="auto"/>
            </w:tcBorders>
            <w:vAlign w:val="center"/>
          </w:tcPr>
          <w:p w14:paraId="2B5995D1"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Tipo de Cambio Real Bilateral México-Estados Unidos de Norteamérica</w:t>
            </w:r>
            <w:r w:rsidRPr="002829A0">
              <w:rPr>
                <w:rFonts w:eastAsia="Times New Roman"/>
                <w:b/>
                <w:sz w:val="16"/>
                <w:szCs w:val="16"/>
                <w:u w:val="single"/>
                <w:vertAlign w:val="superscript"/>
                <w:lang w:val="es-ES"/>
              </w:rPr>
              <w:t>**</w:t>
            </w:r>
            <w:r w:rsidRPr="002829A0">
              <w:rPr>
                <w:rFonts w:eastAsia="Times New Roman"/>
                <w:b/>
                <w:sz w:val="16"/>
                <w:szCs w:val="16"/>
                <w:vertAlign w:val="superscript"/>
                <w:lang w:val="es-ES"/>
              </w:rPr>
              <w:t>/</w:t>
            </w:r>
          </w:p>
        </w:tc>
        <w:tc>
          <w:tcPr>
            <w:tcW w:w="1303" w:type="dxa"/>
            <w:tcBorders>
              <w:left w:val="single" w:sz="4" w:space="0" w:color="auto"/>
              <w:bottom w:val="single" w:sz="4" w:space="0" w:color="auto"/>
              <w:right w:val="single" w:sz="4" w:space="0" w:color="auto"/>
            </w:tcBorders>
            <w:vAlign w:val="center"/>
          </w:tcPr>
          <w:p w14:paraId="26D54A38"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Tasa de Interés Interbancaria de Equilibrio</w:t>
            </w:r>
          </w:p>
        </w:tc>
        <w:tc>
          <w:tcPr>
            <w:tcW w:w="1319" w:type="dxa"/>
            <w:tcBorders>
              <w:left w:val="single" w:sz="4" w:space="0" w:color="auto"/>
              <w:bottom w:val="single" w:sz="4" w:space="0" w:color="auto"/>
            </w:tcBorders>
            <w:vAlign w:val="center"/>
          </w:tcPr>
          <w:p w14:paraId="5F8D1145" w14:textId="77777777" w:rsidR="002829A0" w:rsidRPr="002829A0" w:rsidRDefault="002829A0" w:rsidP="002829A0">
            <w:pPr>
              <w:jc w:val="center"/>
              <w:rPr>
                <w:rFonts w:eastAsia="Times New Roman"/>
                <w:b/>
                <w:sz w:val="16"/>
                <w:szCs w:val="16"/>
                <w:lang w:val="es-ES"/>
              </w:rPr>
            </w:pPr>
            <w:r w:rsidRPr="002829A0">
              <w:rPr>
                <w:rFonts w:eastAsia="Times New Roman"/>
                <w:b/>
                <w:sz w:val="16"/>
                <w:szCs w:val="16"/>
                <w:lang w:val="es-ES"/>
              </w:rPr>
              <w:t>Índice Standard &amp; Poor’s 500 (Índice bursátil de Estados Unidos de Norteamérica)</w:t>
            </w:r>
          </w:p>
        </w:tc>
      </w:tr>
      <w:tr w:rsidR="002829A0" w:rsidRPr="002829A0" w14:paraId="45A8A24A" w14:textId="77777777" w:rsidTr="00BA61DD">
        <w:trPr>
          <w:jc w:val="center"/>
        </w:trPr>
        <w:tc>
          <w:tcPr>
            <w:tcW w:w="598" w:type="dxa"/>
            <w:vMerge w:val="restart"/>
            <w:tcBorders>
              <w:right w:val="single" w:sz="4" w:space="0" w:color="auto"/>
            </w:tcBorders>
            <w:shd w:val="clear" w:color="auto" w:fill="auto"/>
            <w:vAlign w:val="center"/>
          </w:tcPr>
          <w:p w14:paraId="41BA3489"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2014</w:t>
            </w:r>
          </w:p>
        </w:tc>
        <w:tc>
          <w:tcPr>
            <w:tcW w:w="595" w:type="dxa"/>
            <w:tcBorders>
              <w:top w:val="single" w:sz="4" w:space="0" w:color="auto"/>
              <w:left w:val="single" w:sz="4" w:space="0" w:color="auto"/>
              <w:bottom w:val="nil"/>
              <w:right w:val="single" w:sz="4" w:space="0" w:color="auto"/>
            </w:tcBorders>
          </w:tcPr>
          <w:p w14:paraId="1F7E3C2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Feb.</w:t>
            </w:r>
          </w:p>
        </w:tc>
        <w:tc>
          <w:tcPr>
            <w:tcW w:w="1185" w:type="dxa"/>
            <w:tcBorders>
              <w:top w:val="single" w:sz="4" w:space="0" w:color="auto"/>
              <w:left w:val="single" w:sz="4" w:space="0" w:color="auto"/>
              <w:bottom w:val="nil"/>
              <w:right w:val="single" w:sz="4" w:space="0" w:color="auto"/>
            </w:tcBorders>
          </w:tcPr>
          <w:p w14:paraId="48D713A3"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-0.05</w:t>
            </w:r>
          </w:p>
        </w:tc>
        <w:tc>
          <w:tcPr>
            <w:tcW w:w="1194" w:type="dxa"/>
            <w:tcBorders>
              <w:top w:val="single" w:sz="4" w:space="0" w:color="auto"/>
              <w:left w:val="single" w:sz="4" w:space="0" w:color="auto"/>
              <w:bottom w:val="nil"/>
              <w:right w:val="single" w:sz="4" w:space="0" w:color="auto"/>
            </w:tcBorders>
          </w:tcPr>
          <w:p w14:paraId="7E194222"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412" w:type="dxa"/>
            <w:tcBorders>
              <w:top w:val="single" w:sz="4" w:space="0" w:color="auto"/>
              <w:left w:val="single" w:sz="4" w:space="0" w:color="auto"/>
              <w:bottom w:val="nil"/>
              <w:right w:val="single" w:sz="4" w:space="0" w:color="auto"/>
            </w:tcBorders>
          </w:tcPr>
          <w:p w14:paraId="2A0AFE1A"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-0.04</w:t>
            </w:r>
          </w:p>
        </w:tc>
        <w:tc>
          <w:tcPr>
            <w:tcW w:w="1232" w:type="dxa"/>
            <w:tcBorders>
              <w:top w:val="single" w:sz="4" w:space="0" w:color="auto"/>
              <w:left w:val="single" w:sz="4" w:space="0" w:color="auto"/>
              <w:bottom w:val="nil"/>
              <w:right w:val="single" w:sz="4" w:space="0" w:color="auto"/>
            </w:tcBorders>
          </w:tcPr>
          <w:p w14:paraId="02C2E6B8"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-0.01</w:t>
            </w:r>
          </w:p>
        </w:tc>
        <w:tc>
          <w:tcPr>
            <w:tcW w:w="1303" w:type="dxa"/>
            <w:tcBorders>
              <w:top w:val="single" w:sz="4" w:space="0" w:color="auto"/>
              <w:left w:val="single" w:sz="4" w:space="0" w:color="auto"/>
              <w:bottom w:val="nil"/>
              <w:right w:val="single" w:sz="4" w:space="0" w:color="auto"/>
            </w:tcBorders>
          </w:tcPr>
          <w:p w14:paraId="0A19C7F6"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-0.01</w:t>
            </w:r>
          </w:p>
        </w:tc>
        <w:tc>
          <w:tcPr>
            <w:tcW w:w="1319" w:type="dxa"/>
            <w:tcBorders>
              <w:top w:val="single" w:sz="4" w:space="0" w:color="auto"/>
              <w:left w:val="single" w:sz="4" w:space="0" w:color="auto"/>
              <w:bottom w:val="nil"/>
            </w:tcBorders>
          </w:tcPr>
          <w:p w14:paraId="1A18D4CE"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4996FF95" w14:textId="77777777" w:rsidTr="00BA61DD">
        <w:trPr>
          <w:jc w:val="center"/>
        </w:trPr>
        <w:tc>
          <w:tcPr>
            <w:tcW w:w="598" w:type="dxa"/>
            <w:vMerge/>
            <w:tcBorders>
              <w:right w:val="single" w:sz="4" w:space="0" w:color="auto"/>
            </w:tcBorders>
            <w:shd w:val="clear" w:color="auto" w:fill="auto"/>
          </w:tcPr>
          <w:p w14:paraId="7166DC11"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12155EF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Mar.</w:t>
            </w:r>
          </w:p>
        </w:tc>
        <w:tc>
          <w:tcPr>
            <w:tcW w:w="1185" w:type="dxa"/>
            <w:tcBorders>
              <w:top w:val="nil"/>
              <w:left w:val="single" w:sz="4" w:space="0" w:color="auto"/>
              <w:bottom w:val="nil"/>
              <w:right w:val="single" w:sz="4" w:space="0" w:color="auto"/>
            </w:tcBorders>
          </w:tcPr>
          <w:p w14:paraId="58E97EC0"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0.03</w:t>
            </w:r>
          </w:p>
        </w:tc>
        <w:tc>
          <w:tcPr>
            <w:tcW w:w="1194" w:type="dxa"/>
            <w:tcBorders>
              <w:top w:val="nil"/>
              <w:left w:val="single" w:sz="4" w:space="0" w:color="auto"/>
              <w:bottom w:val="nil"/>
              <w:right w:val="single" w:sz="4" w:space="0" w:color="auto"/>
            </w:tcBorders>
          </w:tcPr>
          <w:p w14:paraId="10B0751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0.02</w:t>
            </w:r>
          </w:p>
        </w:tc>
        <w:tc>
          <w:tcPr>
            <w:tcW w:w="1412" w:type="dxa"/>
            <w:tcBorders>
              <w:top w:val="nil"/>
              <w:left w:val="single" w:sz="4" w:space="0" w:color="auto"/>
              <w:bottom w:val="nil"/>
              <w:right w:val="single" w:sz="4" w:space="0" w:color="auto"/>
            </w:tcBorders>
          </w:tcPr>
          <w:p w14:paraId="5C8928C1"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0.00</w:t>
            </w:r>
          </w:p>
        </w:tc>
        <w:tc>
          <w:tcPr>
            <w:tcW w:w="1232" w:type="dxa"/>
            <w:tcBorders>
              <w:top w:val="nil"/>
              <w:left w:val="single" w:sz="4" w:space="0" w:color="auto"/>
              <w:bottom w:val="nil"/>
              <w:right w:val="single" w:sz="4" w:space="0" w:color="auto"/>
            </w:tcBorders>
          </w:tcPr>
          <w:p w14:paraId="14ED6ACD"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-0.02</w:t>
            </w:r>
          </w:p>
        </w:tc>
        <w:tc>
          <w:tcPr>
            <w:tcW w:w="1303" w:type="dxa"/>
            <w:tcBorders>
              <w:top w:val="nil"/>
              <w:left w:val="single" w:sz="4" w:space="0" w:color="auto"/>
              <w:bottom w:val="nil"/>
              <w:right w:val="single" w:sz="4" w:space="0" w:color="auto"/>
            </w:tcBorders>
          </w:tcPr>
          <w:p w14:paraId="73270985"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-0.01</w:t>
            </w:r>
          </w:p>
        </w:tc>
        <w:tc>
          <w:tcPr>
            <w:tcW w:w="1319" w:type="dxa"/>
            <w:tcBorders>
              <w:top w:val="nil"/>
              <w:left w:val="single" w:sz="4" w:space="0" w:color="auto"/>
              <w:bottom w:val="nil"/>
            </w:tcBorders>
          </w:tcPr>
          <w:p w14:paraId="3BA5255C"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24138E41" w14:textId="77777777" w:rsidTr="00BA61DD">
        <w:trPr>
          <w:jc w:val="center"/>
        </w:trPr>
        <w:tc>
          <w:tcPr>
            <w:tcW w:w="598" w:type="dxa"/>
            <w:vMerge/>
            <w:tcBorders>
              <w:right w:val="single" w:sz="4" w:space="0" w:color="auto"/>
            </w:tcBorders>
            <w:shd w:val="clear" w:color="auto" w:fill="auto"/>
          </w:tcPr>
          <w:p w14:paraId="40D7C3B5"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307BC2A8"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Abr.</w:t>
            </w:r>
          </w:p>
        </w:tc>
        <w:tc>
          <w:tcPr>
            <w:tcW w:w="1185" w:type="dxa"/>
            <w:tcBorders>
              <w:top w:val="nil"/>
              <w:left w:val="single" w:sz="4" w:space="0" w:color="auto"/>
              <w:bottom w:val="nil"/>
              <w:right w:val="single" w:sz="4" w:space="0" w:color="auto"/>
            </w:tcBorders>
          </w:tcPr>
          <w:p w14:paraId="16E780F3"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0.07</w:t>
            </w:r>
          </w:p>
        </w:tc>
        <w:tc>
          <w:tcPr>
            <w:tcW w:w="1194" w:type="dxa"/>
            <w:tcBorders>
              <w:top w:val="nil"/>
              <w:left w:val="single" w:sz="4" w:space="0" w:color="auto"/>
              <w:bottom w:val="nil"/>
              <w:right w:val="single" w:sz="4" w:space="0" w:color="auto"/>
            </w:tcBorders>
          </w:tcPr>
          <w:p w14:paraId="4A4A9C8E"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0.04</w:t>
            </w:r>
          </w:p>
        </w:tc>
        <w:tc>
          <w:tcPr>
            <w:tcW w:w="1412" w:type="dxa"/>
            <w:tcBorders>
              <w:top w:val="nil"/>
              <w:left w:val="single" w:sz="4" w:space="0" w:color="auto"/>
              <w:bottom w:val="nil"/>
              <w:right w:val="single" w:sz="4" w:space="0" w:color="auto"/>
            </w:tcBorders>
          </w:tcPr>
          <w:p w14:paraId="2B64C8DB"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0.04</w:t>
            </w:r>
          </w:p>
        </w:tc>
        <w:tc>
          <w:tcPr>
            <w:tcW w:w="1232" w:type="dxa"/>
            <w:tcBorders>
              <w:top w:val="nil"/>
              <w:left w:val="single" w:sz="4" w:space="0" w:color="auto"/>
              <w:bottom w:val="nil"/>
              <w:right w:val="single" w:sz="4" w:space="0" w:color="auto"/>
            </w:tcBorders>
          </w:tcPr>
          <w:p w14:paraId="547A4828"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-0.02</w:t>
            </w:r>
          </w:p>
        </w:tc>
        <w:tc>
          <w:tcPr>
            <w:tcW w:w="1303" w:type="dxa"/>
            <w:tcBorders>
              <w:top w:val="nil"/>
              <w:left w:val="single" w:sz="4" w:space="0" w:color="auto"/>
              <w:bottom w:val="nil"/>
              <w:right w:val="single" w:sz="4" w:space="0" w:color="auto"/>
            </w:tcBorders>
          </w:tcPr>
          <w:p w14:paraId="722F151F"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-0.04</w:t>
            </w:r>
          </w:p>
        </w:tc>
        <w:tc>
          <w:tcPr>
            <w:tcW w:w="1319" w:type="dxa"/>
            <w:tcBorders>
              <w:top w:val="nil"/>
              <w:left w:val="single" w:sz="4" w:space="0" w:color="auto"/>
              <w:bottom w:val="nil"/>
            </w:tcBorders>
          </w:tcPr>
          <w:p w14:paraId="134A4A5D"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48EF0771" w14:textId="77777777" w:rsidTr="00BA61DD">
        <w:trPr>
          <w:jc w:val="center"/>
        </w:trPr>
        <w:tc>
          <w:tcPr>
            <w:tcW w:w="598" w:type="dxa"/>
            <w:vMerge/>
            <w:tcBorders>
              <w:right w:val="single" w:sz="4" w:space="0" w:color="auto"/>
            </w:tcBorders>
            <w:shd w:val="clear" w:color="auto" w:fill="auto"/>
            <w:vAlign w:val="center"/>
          </w:tcPr>
          <w:p w14:paraId="1D451D7F"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7F89485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May.</w:t>
            </w:r>
          </w:p>
        </w:tc>
        <w:tc>
          <w:tcPr>
            <w:tcW w:w="1185" w:type="dxa"/>
            <w:tcBorders>
              <w:top w:val="nil"/>
              <w:left w:val="single" w:sz="4" w:space="0" w:color="auto"/>
              <w:bottom w:val="nil"/>
              <w:right w:val="single" w:sz="4" w:space="0" w:color="auto"/>
            </w:tcBorders>
          </w:tcPr>
          <w:p w14:paraId="50A9C63D"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0.08</w:t>
            </w:r>
          </w:p>
        </w:tc>
        <w:tc>
          <w:tcPr>
            <w:tcW w:w="1194" w:type="dxa"/>
            <w:tcBorders>
              <w:top w:val="nil"/>
              <w:left w:val="single" w:sz="4" w:space="0" w:color="auto"/>
              <w:bottom w:val="nil"/>
              <w:right w:val="single" w:sz="4" w:space="0" w:color="auto"/>
            </w:tcBorders>
          </w:tcPr>
          <w:p w14:paraId="1C2703AE"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c>
          <w:tcPr>
            <w:tcW w:w="1412" w:type="dxa"/>
            <w:tcBorders>
              <w:top w:val="nil"/>
              <w:left w:val="single" w:sz="4" w:space="0" w:color="auto"/>
              <w:bottom w:val="nil"/>
              <w:right w:val="single" w:sz="4" w:space="0" w:color="auto"/>
            </w:tcBorders>
          </w:tcPr>
          <w:p w14:paraId="1FC4E4CF"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0.07</w:t>
            </w:r>
          </w:p>
        </w:tc>
        <w:tc>
          <w:tcPr>
            <w:tcW w:w="1232" w:type="dxa"/>
            <w:tcBorders>
              <w:top w:val="nil"/>
              <w:left w:val="single" w:sz="4" w:space="0" w:color="auto"/>
              <w:bottom w:val="nil"/>
              <w:right w:val="single" w:sz="4" w:space="0" w:color="auto"/>
            </w:tcBorders>
          </w:tcPr>
          <w:p w14:paraId="5F8A8E52"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-0.01</w:t>
            </w:r>
          </w:p>
        </w:tc>
        <w:tc>
          <w:tcPr>
            <w:tcW w:w="1303" w:type="dxa"/>
            <w:tcBorders>
              <w:top w:val="nil"/>
              <w:left w:val="single" w:sz="4" w:space="0" w:color="auto"/>
              <w:bottom w:val="nil"/>
              <w:right w:val="single" w:sz="4" w:space="0" w:color="auto"/>
            </w:tcBorders>
          </w:tcPr>
          <w:p w14:paraId="6182D7AC"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-0.07</w:t>
            </w:r>
          </w:p>
        </w:tc>
        <w:tc>
          <w:tcPr>
            <w:tcW w:w="1319" w:type="dxa"/>
            <w:tcBorders>
              <w:top w:val="nil"/>
              <w:left w:val="single" w:sz="4" w:space="0" w:color="auto"/>
              <w:bottom w:val="nil"/>
            </w:tcBorders>
          </w:tcPr>
          <w:p w14:paraId="7398D34C"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70DBB088" w14:textId="77777777" w:rsidTr="00BA61DD">
        <w:trPr>
          <w:jc w:val="center"/>
        </w:trPr>
        <w:tc>
          <w:tcPr>
            <w:tcW w:w="598" w:type="dxa"/>
            <w:vMerge/>
            <w:tcBorders>
              <w:right w:val="single" w:sz="4" w:space="0" w:color="auto"/>
            </w:tcBorders>
            <w:shd w:val="clear" w:color="auto" w:fill="auto"/>
          </w:tcPr>
          <w:p w14:paraId="14FD4535"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5354BCD9"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Jun.</w:t>
            </w:r>
          </w:p>
        </w:tc>
        <w:tc>
          <w:tcPr>
            <w:tcW w:w="1185" w:type="dxa"/>
            <w:tcBorders>
              <w:top w:val="nil"/>
              <w:left w:val="single" w:sz="4" w:space="0" w:color="auto"/>
              <w:bottom w:val="nil"/>
              <w:right w:val="single" w:sz="4" w:space="0" w:color="auto"/>
            </w:tcBorders>
          </w:tcPr>
          <w:p w14:paraId="74DDAC51"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7728974F"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0.08</w:t>
            </w:r>
          </w:p>
        </w:tc>
        <w:tc>
          <w:tcPr>
            <w:tcW w:w="1412" w:type="dxa"/>
            <w:tcBorders>
              <w:top w:val="nil"/>
              <w:left w:val="single" w:sz="4" w:space="0" w:color="auto"/>
              <w:bottom w:val="nil"/>
              <w:right w:val="single" w:sz="4" w:space="0" w:color="auto"/>
            </w:tcBorders>
          </w:tcPr>
          <w:p w14:paraId="6B41A383"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0.08</w:t>
            </w:r>
          </w:p>
        </w:tc>
        <w:tc>
          <w:tcPr>
            <w:tcW w:w="1232" w:type="dxa"/>
            <w:tcBorders>
              <w:top w:val="nil"/>
              <w:left w:val="single" w:sz="4" w:space="0" w:color="auto"/>
              <w:bottom w:val="nil"/>
              <w:right w:val="single" w:sz="4" w:space="0" w:color="auto"/>
            </w:tcBorders>
          </w:tcPr>
          <w:p w14:paraId="502AD57F"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0.00</w:t>
            </w:r>
          </w:p>
        </w:tc>
        <w:tc>
          <w:tcPr>
            <w:tcW w:w="1303" w:type="dxa"/>
            <w:tcBorders>
              <w:top w:val="nil"/>
              <w:left w:val="single" w:sz="4" w:space="0" w:color="auto"/>
              <w:bottom w:val="nil"/>
              <w:right w:val="single" w:sz="4" w:space="0" w:color="auto"/>
            </w:tcBorders>
          </w:tcPr>
          <w:p w14:paraId="164D3B30"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-0.10</w:t>
            </w:r>
          </w:p>
        </w:tc>
        <w:tc>
          <w:tcPr>
            <w:tcW w:w="1319" w:type="dxa"/>
            <w:tcBorders>
              <w:top w:val="nil"/>
              <w:left w:val="single" w:sz="4" w:space="0" w:color="auto"/>
              <w:bottom w:val="nil"/>
            </w:tcBorders>
          </w:tcPr>
          <w:p w14:paraId="2BE44FF2"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143F667E" w14:textId="77777777" w:rsidTr="00BA61DD">
        <w:trPr>
          <w:jc w:val="center"/>
        </w:trPr>
        <w:tc>
          <w:tcPr>
            <w:tcW w:w="598" w:type="dxa"/>
            <w:vMerge/>
            <w:tcBorders>
              <w:right w:val="single" w:sz="4" w:space="0" w:color="auto"/>
            </w:tcBorders>
            <w:shd w:val="clear" w:color="auto" w:fill="auto"/>
          </w:tcPr>
          <w:p w14:paraId="37104565"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0643146D"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Jul.</w:t>
            </w:r>
          </w:p>
        </w:tc>
        <w:tc>
          <w:tcPr>
            <w:tcW w:w="1185" w:type="dxa"/>
            <w:tcBorders>
              <w:top w:val="nil"/>
              <w:left w:val="single" w:sz="4" w:space="0" w:color="auto"/>
              <w:bottom w:val="nil"/>
              <w:right w:val="single" w:sz="4" w:space="0" w:color="auto"/>
            </w:tcBorders>
          </w:tcPr>
          <w:p w14:paraId="5673602E"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233DA299"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0.09</w:t>
            </w:r>
          </w:p>
        </w:tc>
        <w:tc>
          <w:tcPr>
            <w:tcW w:w="1412" w:type="dxa"/>
            <w:tcBorders>
              <w:top w:val="nil"/>
              <w:left w:val="single" w:sz="4" w:space="0" w:color="auto"/>
              <w:bottom w:val="nil"/>
              <w:right w:val="single" w:sz="4" w:space="0" w:color="auto"/>
            </w:tcBorders>
          </w:tcPr>
          <w:p w14:paraId="0E9391EA"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0.08</w:t>
            </w:r>
          </w:p>
        </w:tc>
        <w:tc>
          <w:tcPr>
            <w:tcW w:w="1232" w:type="dxa"/>
            <w:tcBorders>
              <w:top w:val="nil"/>
              <w:left w:val="single" w:sz="4" w:space="0" w:color="auto"/>
              <w:bottom w:val="nil"/>
              <w:right w:val="single" w:sz="4" w:space="0" w:color="auto"/>
            </w:tcBorders>
          </w:tcPr>
          <w:p w14:paraId="4E5178AD"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0.03</w:t>
            </w:r>
          </w:p>
        </w:tc>
        <w:tc>
          <w:tcPr>
            <w:tcW w:w="1303" w:type="dxa"/>
            <w:tcBorders>
              <w:top w:val="nil"/>
              <w:left w:val="single" w:sz="4" w:space="0" w:color="auto"/>
              <w:bottom w:val="nil"/>
              <w:right w:val="single" w:sz="4" w:space="0" w:color="auto"/>
            </w:tcBorders>
          </w:tcPr>
          <w:p w14:paraId="268F674E"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-0.09</w:t>
            </w:r>
          </w:p>
        </w:tc>
        <w:tc>
          <w:tcPr>
            <w:tcW w:w="1319" w:type="dxa"/>
            <w:tcBorders>
              <w:top w:val="nil"/>
              <w:left w:val="single" w:sz="4" w:space="0" w:color="auto"/>
              <w:bottom w:val="nil"/>
            </w:tcBorders>
          </w:tcPr>
          <w:p w14:paraId="667AE8BC"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-0.01</w:t>
            </w:r>
          </w:p>
        </w:tc>
      </w:tr>
      <w:tr w:rsidR="002829A0" w:rsidRPr="002829A0" w14:paraId="40B16CEC" w14:textId="77777777" w:rsidTr="00BA61DD">
        <w:trPr>
          <w:jc w:val="center"/>
        </w:trPr>
        <w:tc>
          <w:tcPr>
            <w:tcW w:w="598" w:type="dxa"/>
            <w:vMerge/>
            <w:tcBorders>
              <w:right w:val="single" w:sz="4" w:space="0" w:color="auto"/>
            </w:tcBorders>
            <w:shd w:val="clear" w:color="auto" w:fill="auto"/>
          </w:tcPr>
          <w:p w14:paraId="5F4B9C5B"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72BA2BD1"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Ago.</w:t>
            </w:r>
          </w:p>
        </w:tc>
        <w:tc>
          <w:tcPr>
            <w:tcW w:w="1185" w:type="dxa"/>
            <w:tcBorders>
              <w:top w:val="nil"/>
              <w:left w:val="single" w:sz="4" w:space="0" w:color="auto"/>
              <w:bottom w:val="nil"/>
              <w:right w:val="single" w:sz="4" w:space="0" w:color="auto"/>
            </w:tcBorders>
          </w:tcPr>
          <w:p w14:paraId="6B2FEC2E"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0.09</w:t>
            </w:r>
          </w:p>
        </w:tc>
        <w:tc>
          <w:tcPr>
            <w:tcW w:w="1194" w:type="dxa"/>
            <w:tcBorders>
              <w:top w:val="nil"/>
              <w:left w:val="single" w:sz="4" w:space="0" w:color="auto"/>
              <w:bottom w:val="nil"/>
              <w:right w:val="single" w:sz="4" w:space="0" w:color="auto"/>
            </w:tcBorders>
          </w:tcPr>
          <w:p w14:paraId="28849946"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0.06</w:t>
            </w:r>
          </w:p>
        </w:tc>
        <w:tc>
          <w:tcPr>
            <w:tcW w:w="1412" w:type="dxa"/>
            <w:tcBorders>
              <w:top w:val="nil"/>
              <w:left w:val="single" w:sz="4" w:space="0" w:color="auto"/>
              <w:bottom w:val="nil"/>
              <w:right w:val="single" w:sz="4" w:space="0" w:color="auto"/>
            </w:tcBorders>
          </w:tcPr>
          <w:p w14:paraId="01F8CFF3"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0.05</w:t>
            </w:r>
          </w:p>
        </w:tc>
        <w:tc>
          <w:tcPr>
            <w:tcW w:w="1232" w:type="dxa"/>
            <w:tcBorders>
              <w:top w:val="nil"/>
              <w:left w:val="single" w:sz="4" w:space="0" w:color="auto"/>
              <w:bottom w:val="nil"/>
              <w:right w:val="single" w:sz="4" w:space="0" w:color="auto"/>
            </w:tcBorders>
          </w:tcPr>
          <w:p w14:paraId="414E55A0"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0.06</w:t>
            </w:r>
          </w:p>
        </w:tc>
        <w:tc>
          <w:tcPr>
            <w:tcW w:w="1303" w:type="dxa"/>
            <w:tcBorders>
              <w:top w:val="nil"/>
              <w:left w:val="single" w:sz="4" w:space="0" w:color="auto"/>
              <w:bottom w:val="nil"/>
              <w:right w:val="single" w:sz="4" w:space="0" w:color="auto"/>
            </w:tcBorders>
          </w:tcPr>
          <w:p w14:paraId="7537A561"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-0.06</w:t>
            </w:r>
          </w:p>
        </w:tc>
        <w:tc>
          <w:tcPr>
            <w:tcW w:w="1319" w:type="dxa"/>
            <w:tcBorders>
              <w:top w:val="nil"/>
              <w:left w:val="single" w:sz="4" w:space="0" w:color="auto"/>
              <w:bottom w:val="nil"/>
            </w:tcBorders>
          </w:tcPr>
          <w:p w14:paraId="72D06B4D"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-0.03</w:t>
            </w:r>
          </w:p>
        </w:tc>
      </w:tr>
      <w:tr w:rsidR="002829A0" w:rsidRPr="002829A0" w14:paraId="6891801F" w14:textId="77777777" w:rsidTr="00BA61DD">
        <w:trPr>
          <w:jc w:val="center"/>
        </w:trPr>
        <w:tc>
          <w:tcPr>
            <w:tcW w:w="598" w:type="dxa"/>
            <w:vMerge/>
            <w:tcBorders>
              <w:right w:val="single" w:sz="4" w:space="0" w:color="auto"/>
            </w:tcBorders>
            <w:shd w:val="clear" w:color="auto" w:fill="auto"/>
          </w:tcPr>
          <w:p w14:paraId="71AC6EA0"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7F1CE89B"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Sep.</w:t>
            </w:r>
          </w:p>
        </w:tc>
        <w:tc>
          <w:tcPr>
            <w:tcW w:w="1185" w:type="dxa"/>
            <w:tcBorders>
              <w:top w:val="nil"/>
              <w:left w:val="single" w:sz="4" w:space="0" w:color="auto"/>
              <w:bottom w:val="nil"/>
              <w:right w:val="single" w:sz="4" w:space="0" w:color="auto"/>
            </w:tcBorders>
          </w:tcPr>
          <w:p w14:paraId="13148583"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0.05</w:t>
            </w:r>
          </w:p>
        </w:tc>
        <w:tc>
          <w:tcPr>
            <w:tcW w:w="1194" w:type="dxa"/>
            <w:tcBorders>
              <w:top w:val="nil"/>
              <w:left w:val="single" w:sz="4" w:space="0" w:color="auto"/>
              <w:bottom w:val="nil"/>
              <w:right w:val="single" w:sz="4" w:space="0" w:color="auto"/>
            </w:tcBorders>
          </w:tcPr>
          <w:p w14:paraId="1552A82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0.01</w:t>
            </w:r>
          </w:p>
        </w:tc>
        <w:tc>
          <w:tcPr>
            <w:tcW w:w="1412" w:type="dxa"/>
            <w:tcBorders>
              <w:top w:val="nil"/>
              <w:left w:val="single" w:sz="4" w:space="0" w:color="auto"/>
              <w:bottom w:val="nil"/>
              <w:right w:val="single" w:sz="4" w:space="0" w:color="auto"/>
            </w:tcBorders>
          </w:tcPr>
          <w:p w14:paraId="1F0A283B"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0.01</w:t>
            </w:r>
          </w:p>
        </w:tc>
        <w:tc>
          <w:tcPr>
            <w:tcW w:w="1232" w:type="dxa"/>
            <w:tcBorders>
              <w:top w:val="nil"/>
              <w:left w:val="single" w:sz="4" w:space="0" w:color="auto"/>
              <w:bottom w:val="nil"/>
              <w:right w:val="single" w:sz="4" w:space="0" w:color="auto"/>
            </w:tcBorders>
          </w:tcPr>
          <w:p w14:paraId="63B61228"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0.10</w:t>
            </w:r>
          </w:p>
        </w:tc>
        <w:tc>
          <w:tcPr>
            <w:tcW w:w="1303" w:type="dxa"/>
            <w:tcBorders>
              <w:top w:val="nil"/>
              <w:left w:val="single" w:sz="4" w:space="0" w:color="auto"/>
              <w:bottom w:val="nil"/>
              <w:right w:val="single" w:sz="4" w:space="0" w:color="auto"/>
            </w:tcBorders>
          </w:tcPr>
          <w:p w14:paraId="5AE3879C"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-0.02</w:t>
            </w:r>
          </w:p>
        </w:tc>
        <w:tc>
          <w:tcPr>
            <w:tcW w:w="1319" w:type="dxa"/>
            <w:tcBorders>
              <w:top w:val="nil"/>
              <w:left w:val="single" w:sz="4" w:space="0" w:color="auto"/>
              <w:bottom w:val="nil"/>
            </w:tcBorders>
          </w:tcPr>
          <w:p w14:paraId="65D647E8"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-0.04</w:t>
            </w:r>
          </w:p>
        </w:tc>
      </w:tr>
      <w:tr w:rsidR="002829A0" w:rsidRPr="002829A0" w14:paraId="56B726A2" w14:textId="77777777" w:rsidTr="00BA61DD">
        <w:trPr>
          <w:jc w:val="center"/>
        </w:trPr>
        <w:tc>
          <w:tcPr>
            <w:tcW w:w="598" w:type="dxa"/>
            <w:vMerge/>
            <w:tcBorders>
              <w:right w:val="single" w:sz="4" w:space="0" w:color="auto"/>
            </w:tcBorders>
            <w:shd w:val="clear" w:color="auto" w:fill="auto"/>
          </w:tcPr>
          <w:p w14:paraId="30ED143B"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122DF5A6"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Oct.</w:t>
            </w:r>
          </w:p>
        </w:tc>
        <w:tc>
          <w:tcPr>
            <w:tcW w:w="1185" w:type="dxa"/>
            <w:tcBorders>
              <w:top w:val="nil"/>
              <w:left w:val="single" w:sz="4" w:space="0" w:color="auto"/>
              <w:bottom w:val="nil"/>
              <w:right w:val="single" w:sz="4" w:space="0" w:color="auto"/>
            </w:tcBorders>
          </w:tcPr>
          <w:p w14:paraId="0835AF75"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0.00</w:t>
            </w:r>
          </w:p>
        </w:tc>
        <w:tc>
          <w:tcPr>
            <w:tcW w:w="1194" w:type="dxa"/>
            <w:tcBorders>
              <w:top w:val="nil"/>
              <w:left w:val="single" w:sz="4" w:space="0" w:color="auto"/>
              <w:bottom w:val="nil"/>
              <w:right w:val="single" w:sz="4" w:space="0" w:color="auto"/>
            </w:tcBorders>
          </w:tcPr>
          <w:p w14:paraId="0E98E04B"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-0.05</w:t>
            </w:r>
          </w:p>
        </w:tc>
        <w:tc>
          <w:tcPr>
            <w:tcW w:w="1412" w:type="dxa"/>
            <w:tcBorders>
              <w:top w:val="nil"/>
              <w:left w:val="single" w:sz="4" w:space="0" w:color="auto"/>
              <w:bottom w:val="nil"/>
              <w:right w:val="single" w:sz="4" w:space="0" w:color="auto"/>
            </w:tcBorders>
          </w:tcPr>
          <w:p w14:paraId="19E146FC"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-0.03</w:t>
            </w:r>
          </w:p>
        </w:tc>
        <w:tc>
          <w:tcPr>
            <w:tcW w:w="1232" w:type="dxa"/>
            <w:tcBorders>
              <w:top w:val="nil"/>
              <w:left w:val="single" w:sz="4" w:space="0" w:color="auto"/>
              <w:bottom w:val="nil"/>
              <w:right w:val="single" w:sz="4" w:space="0" w:color="auto"/>
            </w:tcBorders>
          </w:tcPr>
          <w:p w14:paraId="726CEBB0"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0.15</w:t>
            </w:r>
          </w:p>
        </w:tc>
        <w:tc>
          <w:tcPr>
            <w:tcW w:w="1303" w:type="dxa"/>
            <w:tcBorders>
              <w:top w:val="nil"/>
              <w:left w:val="single" w:sz="4" w:space="0" w:color="auto"/>
              <w:bottom w:val="nil"/>
              <w:right w:val="single" w:sz="4" w:space="0" w:color="auto"/>
            </w:tcBorders>
          </w:tcPr>
          <w:p w14:paraId="579ABD57"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0.01</w:t>
            </w:r>
          </w:p>
        </w:tc>
        <w:tc>
          <w:tcPr>
            <w:tcW w:w="1319" w:type="dxa"/>
            <w:tcBorders>
              <w:top w:val="nil"/>
              <w:left w:val="single" w:sz="4" w:space="0" w:color="auto"/>
              <w:bottom w:val="nil"/>
            </w:tcBorders>
          </w:tcPr>
          <w:p w14:paraId="665E9CED"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-0.04</w:t>
            </w:r>
          </w:p>
        </w:tc>
      </w:tr>
      <w:tr w:rsidR="002829A0" w:rsidRPr="002829A0" w14:paraId="2A8B98F2" w14:textId="77777777" w:rsidTr="00BA61DD">
        <w:trPr>
          <w:jc w:val="center"/>
        </w:trPr>
        <w:tc>
          <w:tcPr>
            <w:tcW w:w="598" w:type="dxa"/>
            <w:vMerge/>
            <w:tcBorders>
              <w:right w:val="single" w:sz="4" w:space="0" w:color="auto"/>
            </w:tcBorders>
            <w:shd w:val="clear" w:color="auto" w:fill="auto"/>
          </w:tcPr>
          <w:p w14:paraId="4B51FC54"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2349F670"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Nov.</w:t>
            </w:r>
          </w:p>
        </w:tc>
        <w:tc>
          <w:tcPr>
            <w:tcW w:w="1185" w:type="dxa"/>
            <w:tcBorders>
              <w:top w:val="nil"/>
              <w:left w:val="single" w:sz="4" w:space="0" w:color="auto"/>
              <w:bottom w:val="nil"/>
              <w:right w:val="single" w:sz="4" w:space="0" w:color="auto"/>
            </w:tcBorders>
          </w:tcPr>
          <w:p w14:paraId="677FEAF2"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-0.02</w:t>
            </w:r>
          </w:p>
        </w:tc>
        <w:tc>
          <w:tcPr>
            <w:tcW w:w="1194" w:type="dxa"/>
            <w:tcBorders>
              <w:top w:val="nil"/>
              <w:left w:val="single" w:sz="4" w:space="0" w:color="auto"/>
              <w:bottom w:val="nil"/>
              <w:right w:val="single" w:sz="4" w:space="0" w:color="auto"/>
            </w:tcBorders>
          </w:tcPr>
          <w:p w14:paraId="316531F6"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-0.13</w:t>
            </w:r>
          </w:p>
        </w:tc>
        <w:tc>
          <w:tcPr>
            <w:tcW w:w="1412" w:type="dxa"/>
            <w:tcBorders>
              <w:top w:val="nil"/>
              <w:left w:val="single" w:sz="4" w:space="0" w:color="auto"/>
              <w:bottom w:val="nil"/>
              <w:right w:val="single" w:sz="4" w:space="0" w:color="auto"/>
            </w:tcBorders>
          </w:tcPr>
          <w:p w14:paraId="123A815D"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-0.06</w:t>
            </w:r>
          </w:p>
        </w:tc>
        <w:tc>
          <w:tcPr>
            <w:tcW w:w="1232" w:type="dxa"/>
            <w:tcBorders>
              <w:top w:val="nil"/>
              <w:left w:val="single" w:sz="4" w:space="0" w:color="auto"/>
              <w:bottom w:val="nil"/>
              <w:right w:val="single" w:sz="4" w:space="0" w:color="auto"/>
            </w:tcBorders>
          </w:tcPr>
          <w:p w14:paraId="69817BD7"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0.20</w:t>
            </w:r>
          </w:p>
        </w:tc>
        <w:tc>
          <w:tcPr>
            <w:tcW w:w="1303" w:type="dxa"/>
            <w:tcBorders>
              <w:top w:val="nil"/>
              <w:left w:val="single" w:sz="4" w:space="0" w:color="auto"/>
              <w:bottom w:val="nil"/>
              <w:right w:val="single" w:sz="4" w:space="0" w:color="auto"/>
            </w:tcBorders>
          </w:tcPr>
          <w:p w14:paraId="2778C3A5"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0.04</w:t>
            </w:r>
          </w:p>
        </w:tc>
        <w:tc>
          <w:tcPr>
            <w:tcW w:w="1319" w:type="dxa"/>
            <w:tcBorders>
              <w:top w:val="nil"/>
              <w:left w:val="single" w:sz="4" w:space="0" w:color="auto"/>
              <w:bottom w:val="nil"/>
            </w:tcBorders>
          </w:tcPr>
          <w:p w14:paraId="5EF650EE"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-0.03</w:t>
            </w:r>
          </w:p>
        </w:tc>
      </w:tr>
      <w:tr w:rsidR="002829A0" w:rsidRPr="002829A0" w14:paraId="41A3BB7E" w14:textId="77777777" w:rsidTr="00BA61DD">
        <w:trPr>
          <w:jc w:val="center"/>
        </w:trPr>
        <w:tc>
          <w:tcPr>
            <w:tcW w:w="598" w:type="dxa"/>
            <w:vMerge/>
            <w:tcBorders>
              <w:right w:val="single" w:sz="4" w:space="0" w:color="auto"/>
            </w:tcBorders>
            <w:shd w:val="clear" w:color="auto" w:fill="auto"/>
          </w:tcPr>
          <w:p w14:paraId="487757A0"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single" w:sz="4" w:space="0" w:color="auto"/>
              <w:right w:val="single" w:sz="4" w:space="0" w:color="auto"/>
            </w:tcBorders>
          </w:tcPr>
          <w:p w14:paraId="25697B8E"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Dic.</w:t>
            </w:r>
          </w:p>
        </w:tc>
        <w:tc>
          <w:tcPr>
            <w:tcW w:w="1185" w:type="dxa"/>
            <w:tcBorders>
              <w:top w:val="nil"/>
              <w:left w:val="single" w:sz="4" w:space="0" w:color="auto"/>
              <w:bottom w:val="single" w:sz="4" w:space="0" w:color="auto"/>
              <w:right w:val="single" w:sz="4" w:space="0" w:color="auto"/>
            </w:tcBorders>
          </w:tcPr>
          <w:p w14:paraId="5AB5B5AD"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0.06</w:t>
            </w:r>
          </w:p>
        </w:tc>
        <w:tc>
          <w:tcPr>
            <w:tcW w:w="1194" w:type="dxa"/>
            <w:tcBorders>
              <w:top w:val="nil"/>
              <w:left w:val="single" w:sz="4" w:space="0" w:color="auto"/>
              <w:bottom w:val="single" w:sz="4" w:space="0" w:color="auto"/>
              <w:right w:val="single" w:sz="4" w:space="0" w:color="auto"/>
            </w:tcBorders>
          </w:tcPr>
          <w:p w14:paraId="08078571"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-0.20</w:t>
            </w:r>
          </w:p>
        </w:tc>
        <w:tc>
          <w:tcPr>
            <w:tcW w:w="1412" w:type="dxa"/>
            <w:tcBorders>
              <w:top w:val="nil"/>
              <w:left w:val="single" w:sz="4" w:space="0" w:color="auto"/>
              <w:bottom w:val="single" w:sz="4" w:space="0" w:color="auto"/>
              <w:right w:val="single" w:sz="4" w:space="0" w:color="auto"/>
            </w:tcBorders>
          </w:tcPr>
          <w:p w14:paraId="2397007E"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-0.06</w:t>
            </w:r>
          </w:p>
        </w:tc>
        <w:tc>
          <w:tcPr>
            <w:tcW w:w="1232" w:type="dxa"/>
            <w:tcBorders>
              <w:top w:val="nil"/>
              <w:left w:val="single" w:sz="4" w:space="0" w:color="auto"/>
              <w:bottom w:val="single" w:sz="4" w:space="0" w:color="auto"/>
              <w:right w:val="single" w:sz="4" w:space="0" w:color="auto"/>
            </w:tcBorders>
          </w:tcPr>
          <w:p w14:paraId="72FA9D57"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0.25</w:t>
            </w:r>
          </w:p>
        </w:tc>
        <w:tc>
          <w:tcPr>
            <w:tcW w:w="1303" w:type="dxa"/>
            <w:tcBorders>
              <w:top w:val="nil"/>
              <w:left w:val="single" w:sz="4" w:space="0" w:color="auto"/>
              <w:bottom w:val="single" w:sz="4" w:space="0" w:color="auto"/>
              <w:right w:val="single" w:sz="4" w:space="0" w:color="auto"/>
            </w:tcBorders>
          </w:tcPr>
          <w:p w14:paraId="1372FBF5"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0.06</w:t>
            </w:r>
          </w:p>
        </w:tc>
        <w:tc>
          <w:tcPr>
            <w:tcW w:w="1319" w:type="dxa"/>
            <w:tcBorders>
              <w:top w:val="nil"/>
              <w:left w:val="single" w:sz="4" w:space="0" w:color="auto"/>
              <w:bottom w:val="single" w:sz="4" w:space="0" w:color="auto"/>
            </w:tcBorders>
          </w:tcPr>
          <w:p w14:paraId="3D38A877"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-0.04</w:t>
            </w:r>
          </w:p>
        </w:tc>
      </w:tr>
      <w:tr w:rsidR="002829A0" w:rsidRPr="002829A0" w14:paraId="60B26875" w14:textId="77777777" w:rsidTr="00BA61DD">
        <w:trPr>
          <w:jc w:val="center"/>
        </w:trPr>
        <w:tc>
          <w:tcPr>
            <w:tcW w:w="598" w:type="dxa"/>
            <w:vMerge w:val="restart"/>
            <w:tcBorders>
              <w:right w:val="single" w:sz="4" w:space="0" w:color="auto"/>
            </w:tcBorders>
            <w:shd w:val="clear" w:color="auto" w:fill="auto"/>
            <w:vAlign w:val="center"/>
          </w:tcPr>
          <w:p w14:paraId="415C9795"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2015</w:t>
            </w:r>
          </w:p>
        </w:tc>
        <w:tc>
          <w:tcPr>
            <w:tcW w:w="595" w:type="dxa"/>
            <w:tcBorders>
              <w:top w:val="single" w:sz="4" w:space="0" w:color="auto"/>
              <w:left w:val="single" w:sz="4" w:space="0" w:color="auto"/>
              <w:bottom w:val="nil"/>
              <w:right w:val="single" w:sz="4" w:space="0" w:color="auto"/>
            </w:tcBorders>
          </w:tcPr>
          <w:p w14:paraId="182FFB8F"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Ene.</w:t>
            </w:r>
          </w:p>
        </w:tc>
        <w:tc>
          <w:tcPr>
            <w:tcW w:w="1185" w:type="dxa"/>
            <w:tcBorders>
              <w:top w:val="single" w:sz="4" w:space="0" w:color="auto"/>
              <w:left w:val="single" w:sz="4" w:space="0" w:color="auto"/>
              <w:bottom w:val="nil"/>
              <w:right w:val="single" w:sz="4" w:space="0" w:color="auto"/>
            </w:tcBorders>
          </w:tcPr>
          <w:p w14:paraId="03D25AEB"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0.21</w:t>
            </w:r>
          </w:p>
        </w:tc>
        <w:tc>
          <w:tcPr>
            <w:tcW w:w="1194" w:type="dxa"/>
            <w:tcBorders>
              <w:top w:val="single" w:sz="4" w:space="0" w:color="auto"/>
              <w:left w:val="single" w:sz="4" w:space="0" w:color="auto"/>
              <w:bottom w:val="nil"/>
              <w:right w:val="single" w:sz="4" w:space="0" w:color="auto"/>
            </w:tcBorders>
          </w:tcPr>
          <w:p w14:paraId="37F6A52A"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-0.24</w:t>
            </w:r>
          </w:p>
        </w:tc>
        <w:tc>
          <w:tcPr>
            <w:tcW w:w="1412" w:type="dxa"/>
            <w:tcBorders>
              <w:top w:val="single" w:sz="4" w:space="0" w:color="auto"/>
              <w:left w:val="single" w:sz="4" w:space="0" w:color="auto"/>
              <w:bottom w:val="nil"/>
              <w:right w:val="single" w:sz="4" w:space="0" w:color="auto"/>
            </w:tcBorders>
          </w:tcPr>
          <w:p w14:paraId="0C2B1427"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-0.04</w:t>
            </w:r>
          </w:p>
        </w:tc>
        <w:tc>
          <w:tcPr>
            <w:tcW w:w="1232" w:type="dxa"/>
            <w:tcBorders>
              <w:top w:val="single" w:sz="4" w:space="0" w:color="auto"/>
              <w:left w:val="single" w:sz="4" w:space="0" w:color="auto"/>
              <w:bottom w:val="nil"/>
              <w:right w:val="single" w:sz="4" w:space="0" w:color="auto"/>
            </w:tcBorders>
          </w:tcPr>
          <w:p w14:paraId="6BB0D21D"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0.27</w:t>
            </w:r>
          </w:p>
        </w:tc>
        <w:tc>
          <w:tcPr>
            <w:tcW w:w="1303" w:type="dxa"/>
            <w:tcBorders>
              <w:top w:val="single" w:sz="4" w:space="0" w:color="auto"/>
              <w:left w:val="single" w:sz="4" w:space="0" w:color="auto"/>
              <w:bottom w:val="nil"/>
              <w:right w:val="single" w:sz="4" w:space="0" w:color="auto"/>
            </w:tcBorders>
          </w:tcPr>
          <w:p w14:paraId="79799A58"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0.06</w:t>
            </w:r>
          </w:p>
        </w:tc>
        <w:tc>
          <w:tcPr>
            <w:tcW w:w="1319" w:type="dxa"/>
            <w:tcBorders>
              <w:top w:val="single" w:sz="4" w:space="0" w:color="auto"/>
              <w:left w:val="single" w:sz="4" w:space="0" w:color="auto"/>
              <w:bottom w:val="nil"/>
            </w:tcBorders>
          </w:tcPr>
          <w:p w14:paraId="49230CE4"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-0.05</w:t>
            </w:r>
          </w:p>
        </w:tc>
      </w:tr>
      <w:tr w:rsidR="002829A0" w:rsidRPr="002829A0" w14:paraId="2119C206" w14:textId="77777777" w:rsidTr="00BA61DD">
        <w:trPr>
          <w:jc w:val="center"/>
        </w:trPr>
        <w:tc>
          <w:tcPr>
            <w:tcW w:w="598" w:type="dxa"/>
            <w:vMerge/>
            <w:tcBorders>
              <w:bottom w:val="single" w:sz="4" w:space="0" w:color="auto"/>
              <w:right w:val="single" w:sz="4" w:space="0" w:color="auto"/>
            </w:tcBorders>
            <w:shd w:val="clear" w:color="auto" w:fill="auto"/>
          </w:tcPr>
          <w:p w14:paraId="375E4458" w14:textId="77777777" w:rsidR="002829A0" w:rsidRPr="002829A0" w:rsidRDefault="002829A0" w:rsidP="002829A0">
            <w:pPr>
              <w:rPr>
                <w:rFonts w:eastAsia="Times New Roman"/>
                <w:sz w:val="16"/>
                <w:szCs w:val="16"/>
                <w:lang w:val="es-ES"/>
              </w:rPr>
            </w:pPr>
          </w:p>
        </w:tc>
        <w:tc>
          <w:tcPr>
            <w:tcW w:w="595" w:type="dxa"/>
            <w:tcBorders>
              <w:top w:val="nil"/>
              <w:left w:val="single" w:sz="4" w:space="0" w:color="auto"/>
              <w:bottom w:val="nil"/>
              <w:right w:val="single" w:sz="4" w:space="0" w:color="auto"/>
            </w:tcBorders>
          </w:tcPr>
          <w:p w14:paraId="3670B6C4"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Feb.</w:t>
            </w:r>
          </w:p>
        </w:tc>
        <w:tc>
          <w:tcPr>
            <w:tcW w:w="1185" w:type="dxa"/>
            <w:tcBorders>
              <w:top w:val="nil"/>
              <w:left w:val="single" w:sz="4" w:space="0" w:color="auto"/>
              <w:bottom w:val="nil"/>
              <w:right w:val="single" w:sz="4" w:space="0" w:color="auto"/>
            </w:tcBorders>
          </w:tcPr>
          <w:p w14:paraId="1D204C08" w14:textId="77777777" w:rsidR="002829A0" w:rsidRPr="002829A0" w:rsidRDefault="002829A0" w:rsidP="002829A0">
            <w:pPr>
              <w:ind w:right="284"/>
              <w:jc w:val="right"/>
              <w:rPr>
                <w:rFonts w:eastAsia="Times New Roman"/>
                <w:sz w:val="16"/>
                <w:szCs w:val="16"/>
                <w:lang w:val="es-ES"/>
              </w:rPr>
            </w:pPr>
            <w:r w:rsidRPr="002829A0">
              <w:rPr>
                <w:rFonts w:eastAsia="Times New Roman"/>
                <w:sz w:val="16"/>
                <w:szCs w:val="16"/>
                <w:lang w:val="es-ES"/>
              </w:rPr>
              <w:t>0.31</w:t>
            </w:r>
          </w:p>
        </w:tc>
        <w:tc>
          <w:tcPr>
            <w:tcW w:w="1194" w:type="dxa"/>
            <w:tcBorders>
              <w:top w:val="nil"/>
              <w:left w:val="single" w:sz="4" w:space="0" w:color="auto"/>
              <w:bottom w:val="nil"/>
              <w:right w:val="single" w:sz="4" w:space="0" w:color="auto"/>
            </w:tcBorders>
          </w:tcPr>
          <w:p w14:paraId="7B1185AD" w14:textId="77777777" w:rsidR="002829A0" w:rsidRPr="002829A0" w:rsidRDefault="002829A0" w:rsidP="002829A0">
            <w:pPr>
              <w:ind w:right="340"/>
              <w:jc w:val="right"/>
              <w:rPr>
                <w:rFonts w:eastAsia="Times New Roman"/>
                <w:sz w:val="16"/>
                <w:szCs w:val="16"/>
                <w:lang w:val="es-ES"/>
              </w:rPr>
            </w:pPr>
            <w:r w:rsidRPr="002829A0">
              <w:rPr>
                <w:rFonts w:eastAsia="Times New Roman"/>
                <w:sz w:val="16"/>
                <w:szCs w:val="16"/>
                <w:lang w:val="es-ES"/>
              </w:rPr>
              <w:t>-0.27</w:t>
            </w:r>
          </w:p>
        </w:tc>
        <w:tc>
          <w:tcPr>
            <w:tcW w:w="1412" w:type="dxa"/>
            <w:tcBorders>
              <w:top w:val="nil"/>
              <w:left w:val="single" w:sz="4" w:space="0" w:color="auto"/>
              <w:bottom w:val="nil"/>
              <w:right w:val="single" w:sz="4" w:space="0" w:color="auto"/>
            </w:tcBorders>
          </w:tcPr>
          <w:p w14:paraId="6A423595" w14:textId="77777777" w:rsidR="002829A0" w:rsidRPr="002829A0" w:rsidRDefault="002829A0" w:rsidP="002829A0">
            <w:pPr>
              <w:ind w:left="-5216" w:right="454"/>
              <w:jc w:val="right"/>
              <w:rPr>
                <w:rFonts w:eastAsia="Times New Roman"/>
                <w:sz w:val="16"/>
                <w:szCs w:val="16"/>
                <w:lang w:val="es-ES"/>
              </w:rPr>
            </w:pPr>
            <w:r w:rsidRPr="002829A0">
              <w:rPr>
                <w:rFonts w:eastAsia="Times New Roman"/>
                <w:sz w:val="16"/>
                <w:szCs w:val="16"/>
                <w:lang w:val="es-ES"/>
              </w:rPr>
              <w:t>-0.01</w:t>
            </w:r>
          </w:p>
        </w:tc>
        <w:tc>
          <w:tcPr>
            <w:tcW w:w="1232" w:type="dxa"/>
            <w:tcBorders>
              <w:top w:val="nil"/>
              <w:left w:val="single" w:sz="4" w:space="0" w:color="auto"/>
              <w:bottom w:val="nil"/>
              <w:right w:val="single" w:sz="4" w:space="0" w:color="auto"/>
            </w:tcBorders>
          </w:tcPr>
          <w:p w14:paraId="090E7929" w14:textId="77777777" w:rsidR="002829A0" w:rsidRPr="002829A0" w:rsidRDefault="002829A0" w:rsidP="002829A0">
            <w:pPr>
              <w:ind w:left="-2155" w:right="397"/>
              <w:jc w:val="right"/>
              <w:rPr>
                <w:rFonts w:eastAsia="Times New Roman"/>
                <w:sz w:val="16"/>
                <w:szCs w:val="16"/>
                <w:lang w:val="es-ES"/>
              </w:rPr>
            </w:pPr>
            <w:r w:rsidRPr="002829A0">
              <w:rPr>
                <w:rFonts w:eastAsia="Times New Roman"/>
                <w:sz w:val="16"/>
                <w:szCs w:val="16"/>
                <w:lang w:val="es-ES"/>
              </w:rPr>
              <w:t>0.28</w:t>
            </w:r>
          </w:p>
        </w:tc>
        <w:tc>
          <w:tcPr>
            <w:tcW w:w="1303" w:type="dxa"/>
            <w:tcBorders>
              <w:top w:val="nil"/>
              <w:left w:val="single" w:sz="4" w:space="0" w:color="auto"/>
              <w:bottom w:val="nil"/>
              <w:right w:val="single" w:sz="4" w:space="0" w:color="auto"/>
            </w:tcBorders>
          </w:tcPr>
          <w:p w14:paraId="0B4AE02E" w14:textId="77777777" w:rsidR="002829A0" w:rsidRPr="002829A0" w:rsidRDefault="002829A0" w:rsidP="002829A0">
            <w:pPr>
              <w:ind w:left="-2948" w:right="397"/>
              <w:jc w:val="right"/>
              <w:rPr>
                <w:rFonts w:eastAsia="Times New Roman"/>
                <w:sz w:val="16"/>
                <w:szCs w:val="16"/>
                <w:lang w:val="es-ES"/>
              </w:rPr>
            </w:pPr>
            <w:r w:rsidRPr="002829A0">
              <w:rPr>
                <w:rFonts w:eastAsia="Times New Roman"/>
                <w:sz w:val="16"/>
                <w:szCs w:val="16"/>
                <w:lang w:val="es-ES"/>
              </w:rPr>
              <w:t>0.07</w:t>
            </w:r>
          </w:p>
        </w:tc>
        <w:tc>
          <w:tcPr>
            <w:tcW w:w="1319" w:type="dxa"/>
            <w:tcBorders>
              <w:top w:val="nil"/>
              <w:left w:val="single" w:sz="4" w:space="0" w:color="auto"/>
              <w:bottom w:val="nil"/>
            </w:tcBorders>
          </w:tcPr>
          <w:p w14:paraId="528706B9" w14:textId="77777777" w:rsidR="002829A0" w:rsidRPr="002829A0" w:rsidRDefault="002829A0" w:rsidP="002829A0">
            <w:pPr>
              <w:ind w:left="-1588" w:right="397"/>
              <w:jc w:val="right"/>
              <w:rPr>
                <w:rFonts w:eastAsia="Times New Roman"/>
                <w:sz w:val="16"/>
                <w:szCs w:val="16"/>
                <w:lang w:val="es-ES"/>
              </w:rPr>
            </w:pPr>
            <w:r w:rsidRPr="002829A0">
              <w:rPr>
                <w:rFonts w:eastAsia="Times New Roman"/>
                <w:sz w:val="16"/>
                <w:szCs w:val="16"/>
                <w:lang w:val="es-ES"/>
              </w:rPr>
              <w:t>-0.05</w:t>
            </w:r>
          </w:p>
        </w:tc>
      </w:tr>
      <w:tr w:rsidR="002829A0" w:rsidRPr="002829A0" w14:paraId="20B76D09" w14:textId="77777777" w:rsidTr="00BA61DD">
        <w:trPr>
          <w:jc w:val="center"/>
        </w:trPr>
        <w:tc>
          <w:tcPr>
            <w:tcW w:w="8838" w:type="dxa"/>
            <w:gridSpan w:val="8"/>
            <w:tcBorders>
              <w:left w:val="nil"/>
              <w:bottom w:val="nil"/>
              <w:right w:val="nil"/>
            </w:tcBorders>
          </w:tcPr>
          <w:p w14:paraId="74351959" w14:textId="77777777" w:rsidR="002829A0" w:rsidRPr="002829A0" w:rsidRDefault="002829A0" w:rsidP="002829A0">
            <w:pPr>
              <w:ind w:left="170" w:hanging="170"/>
              <w:jc w:val="both"/>
              <w:rPr>
                <w:rFonts w:eastAsia="Times New Roman"/>
                <w:sz w:val="16"/>
                <w:szCs w:val="16"/>
                <w:lang w:val="es-ES"/>
              </w:rPr>
            </w:pPr>
            <w:r w:rsidRPr="002829A0">
              <w:rPr>
                <w:rFonts w:eastAsia="Times New Roman"/>
                <w:sz w:val="16"/>
                <w:szCs w:val="16"/>
                <w:u w:val="single"/>
                <w:lang w:val="es-ES"/>
              </w:rPr>
              <w:t>*</w:t>
            </w:r>
            <w:r w:rsidRPr="002829A0">
              <w:rPr>
                <w:rFonts w:eastAsia="Times New Roman"/>
                <w:sz w:val="16"/>
                <w:szCs w:val="16"/>
                <w:lang w:val="es-ES"/>
              </w:rPr>
              <w:t>/ Derivado de la evaluación de los componentes, a partir del actual boletín de prensa en el Indicador Adelantado se incluye el Indicador de Confianza Empresarial: Momento Adecuado para Invertir. Asimismo, se excluyen las Exportaciones No Petroleras.</w:t>
            </w:r>
          </w:p>
          <w:p w14:paraId="341A5BE0" w14:textId="77777777" w:rsidR="002829A0" w:rsidRPr="002829A0" w:rsidRDefault="002829A0" w:rsidP="002829A0">
            <w:pPr>
              <w:ind w:left="227" w:hanging="227"/>
              <w:jc w:val="both"/>
              <w:rPr>
                <w:rFonts w:eastAsia="Times New Roman"/>
                <w:sz w:val="16"/>
                <w:szCs w:val="16"/>
                <w:lang w:val="es-ES"/>
              </w:rPr>
            </w:pPr>
            <w:r w:rsidRPr="002829A0">
              <w:rPr>
                <w:rFonts w:eastAsia="Times New Roman"/>
                <w:sz w:val="16"/>
                <w:szCs w:val="16"/>
                <w:u w:val="single"/>
                <w:lang w:val="es-ES"/>
              </w:rPr>
              <w:t>**</w:t>
            </w:r>
            <w:r w:rsidRPr="002829A0">
              <w:rPr>
                <w:rFonts w:eastAsia="Times New Roman"/>
                <w:sz w:val="16"/>
                <w:szCs w:val="16"/>
                <w:lang w:val="es-ES"/>
              </w:rPr>
              <w:t>/ A partir del actual boletín de prensa el Tipo de Cambio Real Bilateral México – Estados Unidos de Norteamérica sustituye al Tipo de Cambio Real (Multilateral).</w:t>
            </w:r>
          </w:p>
          <w:p w14:paraId="7243739E" w14:textId="77777777" w:rsidR="002829A0" w:rsidRPr="002829A0" w:rsidRDefault="002829A0" w:rsidP="002829A0">
            <w:pPr>
              <w:rPr>
                <w:rFonts w:eastAsia="Times New Roman"/>
                <w:sz w:val="16"/>
                <w:szCs w:val="16"/>
                <w:lang w:val="es-ES"/>
              </w:rPr>
            </w:pPr>
            <w:r w:rsidRPr="002829A0">
              <w:rPr>
                <w:rFonts w:eastAsia="Times New Roman"/>
                <w:sz w:val="16"/>
                <w:szCs w:val="16"/>
                <w:lang w:val="es-ES"/>
              </w:rPr>
              <w:t>FUENTE: INEGI.</w:t>
            </w:r>
          </w:p>
        </w:tc>
      </w:tr>
    </w:tbl>
    <w:p w14:paraId="37DEB6D4" w14:textId="77777777" w:rsidR="002829A0" w:rsidRPr="002829A0" w:rsidRDefault="002829A0" w:rsidP="002829A0">
      <w:pPr>
        <w:spacing w:after="360" w:line="360" w:lineRule="auto"/>
        <w:ind w:right="-159"/>
        <w:jc w:val="cente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A61DD" w:rsidRPr="00BA61DD" w14:paraId="3AE07100" w14:textId="77777777" w:rsidTr="00BA61DD">
        <w:tc>
          <w:tcPr>
            <w:tcW w:w="8838" w:type="dxa"/>
          </w:tcPr>
          <w:p w14:paraId="5E6DF1C1" w14:textId="73684953" w:rsidR="00BA61DD" w:rsidRP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CICLICOS.pptx!298"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0FACD4AB" wp14:editId="71B622F7">
                  <wp:extent cx="5449570" cy="2353945"/>
                  <wp:effectExtent l="0" t="0" r="0" b="8255"/>
                  <wp:docPr id="1485" name="Imagen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22" cstate="print">
                            <a:extLst>
                              <a:ext uri="{28A0092B-C50C-407E-A947-70E740481C1C}">
                                <a14:useLocalDpi xmlns:a14="http://schemas.microsoft.com/office/drawing/2010/main" val="0"/>
                              </a:ext>
                            </a:extLst>
                          </a:blip>
                          <a:srcRect l="5008" t="9166" r="5478" b="22223"/>
                          <a:stretch>
                            <a:fillRect/>
                          </a:stretch>
                        </pic:blipFill>
                        <pic:spPr bwMode="auto">
                          <a:xfrm>
                            <a:off x="0" y="0"/>
                            <a:ext cx="5449570" cy="2353945"/>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tc>
      </w:tr>
      <w:tr w:rsidR="00BA61DD" w:rsidRPr="00BA61DD" w14:paraId="118BB09C" w14:textId="77777777" w:rsidTr="00BA61DD">
        <w:tc>
          <w:tcPr>
            <w:tcW w:w="8838" w:type="dxa"/>
          </w:tcPr>
          <w:p w14:paraId="4C8C115A" w14:textId="77777777" w:rsid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lastRenderedPageBreak/>
              <w:fldChar w:fldCharType="begin"/>
            </w:r>
            <w:r w:rsidRPr="00BA61DD">
              <w:rPr>
                <w:rFonts w:ascii="Calibri" w:eastAsia="Calibri" w:hAnsi="Calibri"/>
                <w:sz w:val="22"/>
                <w:szCs w:val="22"/>
                <w:lang w:eastAsia="en-US"/>
              </w:rPr>
              <w:instrText xml:space="preserve"> LINK PowerPoint.Slide.8 "D:\\2015\\ABRIL\\GRÁFICAS POWER POINT\\12.- GRÁFICAS II DE IND. CICLICOS.pptx!315"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74676634" wp14:editId="6486DACD">
                  <wp:extent cx="5467985" cy="2125345"/>
                  <wp:effectExtent l="0" t="0" r="0" b="8255"/>
                  <wp:docPr id="1484" name="Imagen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23" cstate="print">
                            <a:extLst>
                              <a:ext uri="{28A0092B-C50C-407E-A947-70E740481C1C}">
                                <a14:useLocalDpi xmlns:a14="http://schemas.microsoft.com/office/drawing/2010/main" val="0"/>
                              </a:ext>
                            </a:extLst>
                          </a:blip>
                          <a:srcRect l="4695" t="15833" r="5478" b="22223"/>
                          <a:stretch>
                            <a:fillRect/>
                          </a:stretch>
                        </pic:blipFill>
                        <pic:spPr bwMode="auto">
                          <a:xfrm>
                            <a:off x="0" y="0"/>
                            <a:ext cx="5467985" cy="2125345"/>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4F5BD874" w14:textId="2484E0F0" w:rsidR="00472665" w:rsidRPr="00BA61DD" w:rsidRDefault="00472665" w:rsidP="00BA61DD">
            <w:pPr>
              <w:jc w:val="center"/>
              <w:rPr>
                <w:rFonts w:ascii="Calibri" w:eastAsia="Calibri" w:hAnsi="Calibri"/>
                <w:sz w:val="22"/>
                <w:szCs w:val="22"/>
                <w:lang w:eastAsia="en-US"/>
              </w:rPr>
            </w:pPr>
          </w:p>
        </w:tc>
      </w:tr>
      <w:tr w:rsidR="00BA61DD" w:rsidRPr="00BA61DD" w14:paraId="0D498EDF" w14:textId="77777777" w:rsidTr="00BA61DD">
        <w:tc>
          <w:tcPr>
            <w:tcW w:w="8838" w:type="dxa"/>
          </w:tcPr>
          <w:p w14:paraId="37031BAD" w14:textId="05B15862" w:rsidR="00BA61DD" w:rsidRPr="00BA61DD" w:rsidRDefault="00BA61DD" w:rsidP="00BA61DD">
            <w:pPr>
              <w:jc w:val="center"/>
              <w:rPr>
                <w:rFonts w:ascii="Calibri" w:eastAsia="Calibri" w:hAnsi="Calibri"/>
                <w:sz w:val="22"/>
                <w:szCs w:val="22"/>
                <w:lang w:eastAsia="en-US"/>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CICLICOS.pptx!316"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3DC8E109" wp14:editId="65AF0074">
                  <wp:extent cx="5535930" cy="2428240"/>
                  <wp:effectExtent l="0" t="0" r="7620" b="0"/>
                  <wp:docPr id="1483" name="Imagen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24" cstate="print">
                            <a:extLst>
                              <a:ext uri="{28A0092B-C50C-407E-A947-70E740481C1C}">
                                <a14:useLocalDpi xmlns:a14="http://schemas.microsoft.com/office/drawing/2010/main" val="0"/>
                              </a:ext>
                            </a:extLst>
                          </a:blip>
                          <a:srcRect l="4538" t="3055" r="4538" b="26111"/>
                          <a:stretch>
                            <a:fillRect/>
                          </a:stretch>
                        </pic:blipFill>
                        <pic:spPr bwMode="auto">
                          <a:xfrm>
                            <a:off x="0" y="0"/>
                            <a:ext cx="5535930" cy="242824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tc>
      </w:tr>
    </w:tbl>
    <w:p w14:paraId="7618C492" w14:textId="00EF3675" w:rsidR="002829A0" w:rsidRPr="002829A0" w:rsidRDefault="002829A0" w:rsidP="002829A0">
      <w:pPr>
        <w:spacing w:after="360" w:line="360" w:lineRule="auto"/>
        <w:ind w:right="-159"/>
        <w:jc w:val="center"/>
      </w:pPr>
    </w:p>
    <w:p w14:paraId="2F3A01E9" w14:textId="77777777" w:rsidR="002829A0" w:rsidRPr="002829A0" w:rsidRDefault="002829A0" w:rsidP="002829A0">
      <w:pPr>
        <w:spacing w:after="360" w:line="360" w:lineRule="auto"/>
        <w:ind w:right="-159"/>
        <w:jc w:val="both"/>
        <w:rPr>
          <w:sz w:val="26"/>
          <w:szCs w:val="26"/>
        </w:rPr>
      </w:pPr>
      <w:r w:rsidRPr="002829A0">
        <w:rPr>
          <w:sz w:val="26"/>
          <w:szCs w:val="26"/>
        </w:rPr>
        <w:t>Al incorporar la información de febrero de 2015, el Indicador Adelantado mantiene un comportamiento similar al del mes precedente. Esto se puede apreciar en la siguiente gráfica.</w:t>
      </w:r>
    </w:p>
    <w:p w14:paraId="2CA4843D" w14:textId="138C2D35" w:rsidR="00BA61DD" w:rsidRPr="00BA61DD" w:rsidRDefault="00BA61DD" w:rsidP="00BA61DD">
      <w:pPr>
        <w:spacing w:after="160" w:line="259" w:lineRule="auto"/>
        <w:jc w:val="center"/>
        <w:rPr>
          <w:rFonts w:ascii="Calibri" w:eastAsia="Calibri" w:hAnsi="Calibri"/>
          <w:sz w:val="22"/>
          <w:szCs w:val="22"/>
          <w:lang w:eastAsia="en-US"/>
        </w:rPr>
      </w:pPr>
      <w:r w:rsidRPr="00BA61DD">
        <w:rPr>
          <w:rFonts w:ascii="Calibri" w:eastAsia="Calibri" w:hAnsi="Calibri"/>
          <w:sz w:val="22"/>
          <w:szCs w:val="22"/>
          <w:lang w:eastAsia="en-US"/>
        </w:rPr>
        <w:lastRenderedPageBreak/>
        <w:fldChar w:fldCharType="begin"/>
      </w:r>
      <w:r w:rsidRPr="00BA61DD">
        <w:rPr>
          <w:rFonts w:ascii="Calibri" w:eastAsia="Calibri" w:hAnsi="Calibri"/>
          <w:sz w:val="22"/>
          <w:szCs w:val="22"/>
          <w:lang w:eastAsia="en-US"/>
        </w:rPr>
        <w:instrText xml:space="preserve"> LINK PowerPoint.Slide.8 "D:\\2015\\ABRIL\\GRÁFICAS POWER POINT\\11.- GRÁFICAS DE IND. CÍCLICOS.pptx!262"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56802562" wp14:editId="50F64A46">
            <wp:extent cx="4411345" cy="3114040"/>
            <wp:effectExtent l="0" t="0" r="8255" b="0"/>
            <wp:docPr id="1487" name="Imagen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3"/>
                    <pic:cNvPicPr>
                      <a:picLocks noChangeAspect="1" noChangeArrowheads="1"/>
                    </pic:cNvPicPr>
                  </pic:nvPicPr>
                  <pic:blipFill>
                    <a:blip r:embed="rId25" cstate="print">
                      <a:extLst>
                        <a:ext uri="{28A0092B-C50C-407E-A947-70E740481C1C}">
                          <a14:useLocalDpi xmlns:a14="http://schemas.microsoft.com/office/drawing/2010/main" val="0"/>
                        </a:ext>
                      </a:extLst>
                    </a:blip>
                    <a:srcRect l="1462" r="1878" b="9166"/>
                    <a:stretch>
                      <a:fillRect/>
                    </a:stretch>
                  </pic:blipFill>
                  <pic:spPr bwMode="auto">
                    <a:xfrm>
                      <a:off x="0" y="0"/>
                      <a:ext cx="4411345" cy="311404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3E71F05A" w14:textId="77777777" w:rsidR="00BA61DD" w:rsidRPr="00BA61DD" w:rsidRDefault="00BA61DD" w:rsidP="00BA61DD">
      <w:pPr>
        <w:spacing w:after="160" w:line="259" w:lineRule="auto"/>
        <w:jc w:val="center"/>
        <w:rPr>
          <w:rFonts w:ascii="Calibri" w:eastAsia="Calibri" w:hAnsi="Calibri"/>
          <w:sz w:val="22"/>
          <w:szCs w:val="22"/>
          <w:lang w:eastAsia="en-US"/>
        </w:rPr>
      </w:pPr>
    </w:p>
    <w:p w14:paraId="341E7E85" w14:textId="77777777" w:rsidR="00BA61DD" w:rsidRPr="00BA61DD" w:rsidRDefault="00BA61DD" w:rsidP="00BA61DD">
      <w:pPr>
        <w:spacing w:after="160" w:line="259" w:lineRule="auto"/>
        <w:jc w:val="center"/>
        <w:rPr>
          <w:rFonts w:ascii="Calibri" w:eastAsia="Calibri" w:hAnsi="Calibri"/>
          <w:sz w:val="22"/>
          <w:szCs w:val="22"/>
          <w:lang w:eastAsia="en-US"/>
        </w:rPr>
      </w:pPr>
    </w:p>
    <w:p w14:paraId="10E87548" w14:textId="61E83705" w:rsidR="00BA61DD" w:rsidRPr="00BA61DD" w:rsidRDefault="00BA61DD" w:rsidP="00BA61DD">
      <w:pPr>
        <w:spacing w:after="160" w:line="259" w:lineRule="auto"/>
        <w:jc w:val="center"/>
        <w:rPr>
          <w:rFonts w:ascii="Calibri" w:eastAsia="Calibri" w:hAnsi="Calibri"/>
          <w:sz w:val="22"/>
          <w:szCs w:val="22"/>
          <w:lang w:eastAsia="en-US"/>
        </w:rPr>
      </w:pPr>
      <w:r w:rsidRPr="00BA61DD">
        <w:rPr>
          <w:rFonts w:ascii="Calibri" w:eastAsia="Calibri" w:hAnsi="Calibri"/>
          <w:sz w:val="22"/>
          <w:szCs w:val="22"/>
          <w:lang w:eastAsia="en-US"/>
        </w:rPr>
        <w:fldChar w:fldCharType="begin"/>
      </w:r>
      <w:r w:rsidRPr="00BA61DD">
        <w:rPr>
          <w:rFonts w:ascii="Calibri" w:eastAsia="Calibri" w:hAnsi="Calibri"/>
          <w:sz w:val="22"/>
          <w:szCs w:val="22"/>
          <w:lang w:eastAsia="en-US"/>
        </w:rPr>
        <w:instrText xml:space="preserve"> LINK PowerPoint.Slide.8 "D:\\2015\\ABRIL\\GRÁFICAS POWER POINT\\12.- GRÁFICAS II DE IND. CICLICOS.pptx!269" "" \a \p </w:instrText>
      </w:r>
      <w:r w:rsidRPr="00BA61DD">
        <w:rPr>
          <w:rFonts w:ascii="Calibri" w:eastAsia="Calibri" w:hAnsi="Calibri"/>
          <w:sz w:val="22"/>
          <w:szCs w:val="22"/>
          <w:lang w:eastAsia="en-US"/>
        </w:rPr>
        <w:fldChar w:fldCharType="separate"/>
      </w:r>
      <w:r w:rsidRPr="00BA61DD">
        <w:rPr>
          <w:rFonts w:ascii="Calibri" w:eastAsia="Calibri" w:hAnsi="Calibri"/>
          <w:noProof/>
          <w:sz w:val="22"/>
          <w:szCs w:val="22"/>
          <w:lang w:eastAsia="es-MX"/>
        </w:rPr>
        <w:drawing>
          <wp:inline distT="0" distB="0" distL="0" distR="0" wp14:anchorId="0D2702D6" wp14:editId="2F9E2B19">
            <wp:extent cx="5047615" cy="3429000"/>
            <wp:effectExtent l="0" t="0" r="635" b="0"/>
            <wp:docPr id="1486" name="Imagen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4"/>
                    <pic:cNvPicPr>
                      <a:picLocks noChangeAspect="1" noChangeArrowheads="1"/>
                    </pic:cNvPicPr>
                  </pic:nvPicPr>
                  <pic:blipFill>
                    <a:blip r:embed="rId26" cstate="print">
                      <a:extLst>
                        <a:ext uri="{28A0092B-C50C-407E-A947-70E740481C1C}">
                          <a14:useLocalDpi xmlns:a14="http://schemas.microsoft.com/office/drawing/2010/main" val="0"/>
                        </a:ext>
                      </a:extLst>
                    </a:blip>
                    <a:srcRect l="3912" r="13145"/>
                    <a:stretch>
                      <a:fillRect/>
                    </a:stretch>
                  </pic:blipFill>
                  <pic:spPr bwMode="auto">
                    <a:xfrm>
                      <a:off x="0" y="0"/>
                      <a:ext cx="5047615" cy="3429000"/>
                    </a:xfrm>
                    <a:prstGeom prst="rect">
                      <a:avLst/>
                    </a:prstGeom>
                    <a:noFill/>
                    <a:ln>
                      <a:noFill/>
                    </a:ln>
                  </pic:spPr>
                </pic:pic>
              </a:graphicData>
            </a:graphic>
          </wp:inline>
        </w:drawing>
      </w:r>
      <w:r w:rsidRPr="00BA61DD">
        <w:rPr>
          <w:rFonts w:ascii="Calibri" w:eastAsia="Calibri" w:hAnsi="Calibri"/>
          <w:sz w:val="22"/>
          <w:szCs w:val="22"/>
          <w:lang w:eastAsia="en-US"/>
        </w:rPr>
        <w:fldChar w:fldCharType="end"/>
      </w:r>
    </w:p>
    <w:p w14:paraId="02D1EF11" w14:textId="77777777" w:rsidR="00BA61DD" w:rsidRDefault="00BA61DD" w:rsidP="00BA61DD">
      <w:pPr>
        <w:spacing w:after="360" w:line="360" w:lineRule="auto"/>
        <w:ind w:right="-159"/>
        <w:jc w:val="center"/>
        <w:rPr>
          <w:sz w:val="26"/>
          <w:szCs w:val="26"/>
        </w:rPr>
      </w:pPr>
    </w:p>
    <w:p w14:paraId="6E67DCA6" w14:textId="77777777" w:rsidR="00BA61DD" w:rsidRDefault="00BA61DD" w:rsidP="002829A0">
      <w:pPr>
        <w:spacing w:after="360" w:line="360" w:lineRule="auto"/>
        <w:ind w:right="-159"/>
        <w:jc w:val="both"/>
        <w:rPr>
          <w:b/>
          <w:sz w:val="26"/>
          <w:szCs w:val="26"/>
        </w:rPr>
      </w:pPr>
    </w:p>
    <w:p w14:paraId="285FAB64" w14:textId="77777777" w:rsidR="002829A0" w:rsidRPr="002829A0" w:rsidRDefault="002829A0" w:rsidP="002829A0">
      <w:pPr>
        <w:spacing w:after="360" w:line="360" w:lineRule="auto"/>
        <w:ind w:right="-159"/>
        <w:jc w:val="both"/>
        <w:rPr>
          <w:b/>
          <w:sz w:val="26"/>
          <w:szCs w:val="26"/>
        </w:rPr>
      </w:pPr>
      <w:r w:rsidRPr="002829A0">
        <w:rPr>
          <w:b/>
          <w:sz w:val="26"/>
          <w:szCs w:val="26"/>
        </w:rPr>
        <w:lastRenderedPageBreak/>
        <w:t>Interpretación del indicador coincidente con enfoque del ciclo de negocios o clásico</w:t>
      </w:r>
    </w:p>
    <w:p w14:paraId="793EDB50" w14:textId="77777777" w:rsidR="002829A0" w:rsidRPr="002829A0" w:rsidRDefault="002829A0" w:rsidP="002829A0">
      <w:pPr>
        <w:spacing w:after="360" w:line="360" w:lineRule="auto"/>
        <w:ind w:right="-159"/>
        <w:jc w:val="both"/>
        <w:rPr>
          <w:sz w:val="26"/>
          <w:szCs w:val="26"/>
        </w:rPr>
      </w:pPr>
      <w:r w:rsidRPr="002829A0">
        <w:rPr>
          <w:sz w:val="26"/>
          <w:szCs w:val="26"/>
        </w:rPr>
        <w:t>En la gráfica siguiente se presenta la serie histórica del Indicador Coincidente desde 1980, lo que permite identificar los ciclos de negocios o clásicos de la historia económica reciente del país. Bajo este enfoque, una recesión es un período entre un pico y un valle y una expansión es un período entre un valle y un pico; adicionalmente, una recesión implica una caída significativa y generalizada de la actividad económica.</w:t>
      </w:r>
    </w:p>
    <w:p w14:paraId="7B7090E8" w14:textId="716C8FCC" w:rsidR="002829A0" w:rsidRPr="002829A0" w:rsidRDefault="003A7A11" w:rsidP="00BA61DD">
      <w:pPr>
        <w:spacing w:after="360" w:line="360" w:lineRule="auto"/>
        <w:ind w:right="-159"/>
        <w:jc w:val="center"/>
        <w:rPr>
          <w:sz w:val="26"/>
          <w:szCs w:val="26"/>
        </w:rPr>
      </w:pPr>
      <w:r w:rsidRPr="003A7A11">
        <w:rPr>
          <w:rFonts w:ascii="Calibri" w:eastAsia="Calibri" w:hAnsi="Calibri"/>
          <w:sz w:val="22"/>
          <w:szCs w:val="22"/>
          <w:lang w:eastAsia="en-US"/>
        </w:rPr>
        <w:fldChar w:fldCharType="begin"/>
      </w:r>
      <w:r w:rsidRPr="003A7A11">
        <w:rPr>
          <w:rFonts w:ascii="Calibri" w:eastAsia="Calibri" w:hAnsi="Calibri"/>
          <w:sz w:val="22"/>
          <w:szCs w:val="22"/>
          <w:lang w:eastAsia="en-US"/>
        </w:rPr>
        <w:instrText xml:space="preserve"> LINK PowerPoint.Slide.8 "D:\\2015\\ABRIL\\GRÁFICAS POWER POINT\\12.- GRÁFICAS II DE IND. CICLICOS.pptx!271" "" \a \p </w:instrText>
      </w:r>
      <w:r w:rsidRPr="003A7A11">
        <w:rPr>
          <w:rFonts w:ascii="Calibri" w:eastAsia="Calibri" w:hAnsi="Calibri"/>
          <w:sz w:val="22"/>
          <w:szCs w:val="22"/>
          <w:lang w:eastAsia="en-US"/>
        </w:rPr>
        <w:fldChar w:fldCharType="separate"/>
      </w:r>
      <w:r w:rsidRPr="003A7A11">
        <w:rPr>
          <w:rFonts w:ascii="Calibri" w:eastAsia="Calibri" w:hAnsi="Calibri"/>
          <w:noProof/>
          <w:sz w:val="22"/>
          <w:szCs w:val="22"/>
          <w:lang w:eastAsia="es-MX"/>
        </w:rPr>
        <w:drawing>
          <wp:inline distT="0" distB="0" distL="0" distR="0" wp14:anchorId="3448FC58" wp14:editId="082AEA56">
            <wp:extent cx="5047615" cy="3429000"/>
            <wp:effectExtent l="0" t="0" r="635" b="0"/>
            <wp:docPr id="1488" name="Imagen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0"/>
                    <pic:cNvPicPr>
                      <a:picLocks noChangeAspect="1" noChangeArrowheads="1"/>
                    </pic:cNvPicPr>
                  </pic:nvPicPr>
                  <pic:blipFill>
                    <a:blip r:embed="rId27" cstate="print">
                      <a:extLst>
                        <a:ext uri="{28A0092B-C50C-407E-A947-70E740481C1C}">
                          <a14:useLocalDpi xmlns:a14="http://schemas.microsoft.com/office/drawing/2010/main" val="0"/>
                        </a:ext>
                      </a:extLst>
                    </a:blip>
                    <a:srcRect l="4851" r="12207"/>
                    <a:stretch>
                      <a:fillRect/>
                    </a:stretch>
                  </pic:blipFill>
                  <pic:spPr bwMode="auto">
                    <a:xfrm>
                      <a:off x="0" y="0"/>
                      <a:ext cx="5047615" cy="3429000"/>
                    </a:xfrm>
                    <a:prstGeom prst="rect">
                      <a:avLst/>
                    </a:prstGeom>
                    <a:noFill/>
                    <a:ln>
                      <a:noFill/>
                    </a:ln>
                  </pic:spPr>
                </pic:pic>
              </a:graphicData>
            </a:graphic>
          </wp:inline>
        </w:drawing>
      </w:r>
      <w:r w:rsidRPr="003A7A11">
        <w:rPr>
          <w:rFonts w:ascii="Calibri" w:eastAsia="Calibri" w:hAnsi="Calibri"/>
          <w:sz w:val="22"/>
          <w:szCs w:val="22"/>
          <w:lang w:eastAsia="en-US"/>
        </w:rPr>
        <w:fldChar w:fldCharType="end"/>
      </w:r>
    </w:p>
    <w:p w14:paraId="2874166F" w14:textId="77777777" w:rsidR="002829A0" w:rsidRPr="002829A0" w:rsidRDefault="002829A0" w:rsidP="002829A0">
      <w:pPr>
        <w:spacing w:after="360" w:line="360" w:lineRule="auto"/>
        <w:ind w:right="-159"/>
        <w:jc w:val="both"/>
        <w:rPr>
          <w:sz w:val="26"/>
          <w:szCs w:val="26"/>
        </w:rPr>
      </w:pPr>
      <w:r w:rsidRPr="002829A0">
        <w:rPr>
          <w:sz w:val="26"/>
          <w:szCs w:val="26"/>
        </w:rPr>
        <w:t>En la siguiente gráfica se presenta el Indicador coincidente bajo los dos enfoques: ciclo clásico o de negocios y ciclo de crecimiento.</w:t>
      </w:r>
    </w:p>
    <w:p w14:paraId="088D676F" w14:textId="11479BDD" w:rsidR="002829A0" w:rsidRPr="002829A0" w:rsidRDefault="00DF4FDD" w:rsidP="003A7A11">
      <w:pPr>
        <w:spacing w:after="360" w:line="360" w:lineRule="auto"/>
        <w:ind w:right="-159"/>
        <w:jc w:val="center"/>
        <w:rPr>
          <w:sz w:val="26"/>
          <w:szCs w:val="26"/>
        </w:rPr>
      </w:pPr>
      <w:r w:rsidRPr="00DF4FDD">
        <w:rPr>
          <w:rFonts w:ascii="Calibri" w:eastAsia="Calibri" w:hAnsi="Calibri"/>
          <w:sz w:val="22"/>
          <w:szCs w:val="22"/>
          <w:lang w:eastAsia="en-US"/>
        </w:rPr>
        <w:lastRenderedPageBreak/>
        <w:fldChar w:fldCharType="begin"/>
      </w:r>
      <w:r w:rsidRPr="00DF4FDD">
        <w:rPr>
          <w:rFonts w:ascii="Calibri" w:eastAsia="Calibri" w:hAnsi="Calibri"/>
          <w:sz w:val="22"/>
          <w:szCs w:val="22"/>
          <w:lang w:eastAsia="en-US"/>
        </w:rPr>
        <w:instrText xml:space="preserve"> LINK PowerPoint.Slide.8 "D:\\2015\\ABRIL\\GRÁFICAS POWER POINT\\12.- GRÁFICAS II DE IND. CICLICOS.pptx!317" "" \a \p </w:instrText>
      </w:r>
      <w:r w:rsidRPr="00DF4FDD">
        <w:rPr>
          <w:rFonts w:ascii="Calibri" w:eastAsia="Calibri" w:hAnsi="Calibri"/>
          <w:sz w:val="22"/>
          <w:szCs w:val="22"/>
          <w:lang w:eastAsia="en-US"/>
        </w:rPr>
        <w:fldChar w:fldCharType="separate"/>
      </w:r>
      <w:r w:rsidRPr="00DF4FDD">
        <w:rPr>
          <w:rFonts w:ascii="Calibri" w:eastAsia="Calibri" w:hAnsi="Calibri"/>
          <w:noProof/>
          <w:sz w:val="22"/>
          <w:szCs w:val="22"/>
          <w:lang w:eastAsia="es-MX"/>
        </w:rPr>
        <w:drawing>
          <wp:inline distT="0" distB="0" distL="0" distR="0" wp14:anchorId="1F45A532" wp14:editId="3ECB1DEB">
            <wp:extent cx="4967605" cy="3422650"/>
            <wp:effectExtent l="0" t="0" r="4445" b="6350"/>
            <wp:docPr id="1777" name="Imagen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ChangeAspect="1" noChangeArrowheads="1"/>
                    </pic:cNvPicPr>
                  </pic:nvPicPr>
                  <pic:blipFill>
                    <a:blip r:embed="rId28" cstate="print">
                      <a:extLst>
                        <a:ext uri="{28A0092B-C50C-407E-A947-70E740481C1C}">
                          <a14:useLocalDpi xmlns:a14="http://schemas.microsoft.com/office/drawing/2010/main" val="0"/>
                        </a:ext>
                      </a:extLst>
                    </a:blip>
                    <a:srcRect l="7516" r="10786"/>
                    <a:stretch>
                      <a:fillRect/>
                    </a:stretch>
                  </pic:blipFill>
                  <pic:spPr bwMode="auto">
                    <a:xfrm>
                      <a:off x="0" y="0"/>
                      <a:ext cx="4967605" cy="3422650"/>
                    </a:xfrm>
                    <a:prstGeom prst="rect">
                      <a:avLst/>
                    </a:prstGeom>
                    <a:noFill/>
                    <a:ln>
                      <a:noFill/>
                    </a:ln>
                  </pic:spPr>
                </pic:pic>
              </a:graphicData>
            </a:graphic>
          </wp:inline>
        </w:drawing>
      </w:r>
      <w:r w:rsidRPr="00DF4FDD">
        <w:rPr>
          <w:rFonts w:ascii="Calibri" w:eastAsia="Calibri" w:hAnsi="Calibri"/>
          <w:sz w:val="22"/>
          <w:szCs w:val="22"/>
          <w:lang w:eastAsia="en-US"/>
        </w:rPr>
        <w:fldChar w:fldCharType="end"/>
      </w:r>
    </w:p>
    <w:p w14:paraId="33C5CF43" w14:textId="77777777" w:rsidR="002829A0" w:rsidRPr="002829A0" w:rsidRDefault="002829A0" w:rsidP="002829A0">
      <w:pPr>
        <w:spacing w:after="360" w:line="360" w:lineRule="auto"/>
        <w:ind w:right="-159"/>
        <w:jc w:val="both"/>
        <w:rPr>
          <w:sz w:val="26"/>
          <w:szCs w:val="26"/>
        </w:rPr>
      </w:pPr>
      <w:r w:rsidRPr="002829A0">
        <w:rPr>
          <w:sz w:val="26"/>
          <w:szCs w:val="26"/>
        </w:rPr>
        <w:t>En esta gráfica, el indicador coincidente del ciclo clásico (que considera la tendencia de largo plazo y el componente cíclico en el mismo indicador) continúa creciendo y se ubica en el nivel de su tendencia de largo plazo; mientras que el Indicador Coincidente del ciclo de crecimiento (que considera solamente el componente cíclico) sigue recuperándose, con un valor ligeramente por debajo de su tendencia de largo plazo. Cabe señalar que la posición de ambos indicadores con relación a su tendencia de largo plazo puede diferir debido a los distintos procedimientos de cálculo utilizados.</w:t>
      </w:r>
    </w:p>
    <w:p w14:paraId="46AD112F" w14:textId="77777777" w:rsidR="002829A0" w:rsidRPr="002829A0" w:rsidRDefault="002829A0" w:rsidP="002829A0">
      <w:pPr>
        <w:ind w:right="-159"/>
        <w:jc w:val="both"/>
        <w:rPr>
          <w:b/>
          <w:sz w:val="20"/>
          <w:szCs w:val="20"/>
        </w:rPr>
      </w:pPr>
      <w:r w:rsidRPr="002829A0">
        <w:rPr>
          <w:b/>
          <w:sz w:val="20"/>
          <w:szCs w:val="20"/>
        </w:rPr>
        <w:t>Fuente de información:</w:t>
      </w:r>
    </w:p>
    <w:p w14:paraId="78791BBA" w14:textId="77777777" w:rsidR="002829A0" w:rsidRPr="00AF4B25" w:rsidRDefault="0045651A" w:rsidP="00AF4B25">
      <w:pPr>
        <w:spacing w:after="720"/>
        <w:rPr>
          <w:color w:val="0000FF"/>
          <w:sz w:val="20"/>
          <w:szCs w:val="20"/>
        </w:rPr>
      </w:pPr>
      <w:hyperlink r:id="rId29" w:history="1">
        <w:r w:rsidR="002829A0" w:rsidRPr="00AF4B25">
          <w:rPr>
            <w:color w:val="0000FF"/>
            <w:sz w:val="20"/>
            <w:szCs w:val="20"/>
            <w:u w:val="single"/>
          </w:rPr>
          <w:t>http://www.inegi.org.mx/saladeprensa/boletines/2015/sic_cya/sic_cya2015_04.pdf</w:t>
        </w:r>
      </w:hyperlink>
      <w:r w:rsidR="002829A0" w:rsidRPr="00AF4B25">
        <w:rPr>
          <w:color w:val="0000FF"/>
          <w:sz w:val="20"/>
          <w:szCs w:val="20"/>
        </w:rPr>
        <w:t xml:space="preserve"> </w:t>
      </w:r>
    </w:p>
    <w:p w14:paraId="587A94C6" w14:textId="77777777" w:rsidR="008A4BDF" w:rsidRPr="008A4BDF" w:rsidRDefault="008A4BDF" w:rsidP="008A4BDF">
      <w:pPr>
        <w:spacing w:after="360" w:line="360" w:lineRule="auto"/>
        <w:ind w:right="-159"/>
        <w:jc w:val="both"/>
        <w:rPr>
          <w:rFonts w:eastAsia="Calibri"/>
          <w:b/>
          <w:sz w:val="26"/>
          <w:szCs w:val="26"/>
          <w:lang w:eastAsia="en-US"/>
        </w:rPr>
      </w:pPr>
      <w:r w:rsidRPr="008A4BDF">
        <w:rPr>
          <w:rFonts w:eastAsia="Calibri"/>
          <w:b/>
          <w:sz w:val="26"/>
          <w:szCs w:val="26"/>
          <w:lang w:eastAsia="en-US"/>
        </w:rPr>
        <w:t>Análisis Económico Ejecutivo (CEESP)</w:t>
      </w:r>
    </w:p>
    <w:p w14:paraId="71AA5215"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El 23 de marzo de 2015, el Centro de Estudios Económicos del Sector Privado A.C. (CEESP) publicó su “Análisis Económico Ejecutivo”, el cual se presenta a continuación.</w:t>
      </w:r>
    </w:p>
    <w:p w14:paraId="2E1BEDE2" w14:textId="77777777" w:rsidR="008A4BDF" w:rsidRPr="008A4BDF" w:rsidRDefault="008A4BDF" w:rsidP="008A4BDF">
      <w:pPr>
        <w:spacing w:after="360" w:line="360" w:lineRule="auto"/>
        <w:ind w:right="-159"/>
        <w:jc w:val="both"/>
        <w:rPr>
          <w:rFonts w:eastAsia="Calibri"/>
          <w:b/>
          <w:sz w:val="26"/>
          <w:szCs w:val="26"/>
          <w:lang w:val="es-ES" w:eastAsia="en-US"/>
        </w:rPr>
      </w:pPr>
      <w:r w:rsidRPr="008A4BDF">
        <w:rPr>
          <w:rFonts w:eastAsia="Calibri"/>
          <w:b/>
          <w:sz w:val="26"/>
          <w:szCs w:val="26"/>
          <w:lang w:val="es-ES" w:eastAsia="en-US"/>
        </w:rPr>
        <w:lastRenderedPageBreak/>
        <w:t>Panorama General</w:t>
      </w:r>
    </w:p>
    <w:p w14:paraId="0081D37E" w14:textId="77777777" w:rsidR="008A4BDF" w:rsidRPr="008A4BDF" w:rsidRDefault="008A4BDF" w:rsidP="008A4BDF">
      <w:pPr>
        <w:spacing w:after="360" w:line="360" w:lineRule="auto"/>
        <w:ind w:right="-159"/>
        <w:jc w:val="both"/>
        <w:rPr>
          <w:rFonts w:eastAsia="Calibri"/>
          <w:b/>
          <w:sz w:val="26"/>
          <w:szCs w:val="26"/>
          <w:lang w:val="es-ES" w:eastAsia="en-US"/>
        </w:rPr>
      </w:pPr>
      <w:r w:rsidRPr="008A4BDF">
        <w:rPr>
          <w:rFonts w:eastAsia="Calibri"/>
          <w:b/>
          <w:sz w:val="26"/>
          <w:szCs w:val="26"/>
          <w:lang w:val="es-ES" w:eastAsia="en-US"/>
        </w:rPr>
        <w:t>La Reserva Federal pospone el aumento a sus tasas de interés</w:t>
      </w:r>
    </w:p>
    <w:p w14:paraId="0F9B3AD4"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En su reciente reunión, la Reserva Federal informó que mantendrá sin cambio sus tasas de interés, lo que sin duda hará que la incertidumbre por la que pasan los mercados se modere en el corto plazo. Sin embargo, esto no quiere decir que la Reserva Federal no vaya a concretar esta medida, aunque anticipó que esto no sucederá tampoco en su próxima reunión de abril, sino hasta que considere que el entorno lo permite tras estar segura de que se cumplen sus objetivos de máximo empleo y de que la inflación vuelva a niveles de largo plazo de 2.0 por ciento.</w:t>
      </w:r>
    </w:p>
    <w:p w14:paraId="512C9761"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Ante esto, la expectativa de los mercados apunta a que el aumento de tasas podría darse ya sea en la reunión de la Reserva Federal que será en junio, o posiblemente hasta septiembre. Si bien esto relaja la presión de los mercados, toda vez que les ofrece un mayor tiempo de preparación para un posible efecto, la preocupación no se centra en cuándo aumentarán las tasas, sino en cuánto lo harán.</w:t>
      </w:r>
    </w:p>
    <w:p w14:paraId="36B84AB4"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Algo que se deberá tener en cuenta y que igualmente puede matizar el temor al alza de tasas, es que la Reserva Federal deberá ser muy cautelosa en el momento en el que decida hacerlo, sobre todo cuando percibe que recientemente la actividad económica del país ha moderado su dinamismo. Incluso, ajustó a la baja sus pronósticos de crecimiento del Producto Interno Bruto (PIB) para el 2015, 2016 y 2017.</w:t>
      </w:r>
    </w:p>
    <w:tbl>
      <w:tblPr>
        <w:tblW w:w="0" w:type="auto"/>
        <w:jc w:val="center"/>
        <w:tblLook w:val="04A0" w:firstRow="1" w:lastRow="0" w:firstColumn="1" w:lastColumn="0" w:noHBand="0" w:noVBand="1"/>
      </w:tblPr>
      <w:tblGrid>
        <w:gridCol w:w="1985"/>
        <w:gridCol w:w="2410"/>
        <w:gridCol w:w="2268"/>
      </w:tblGrid>
      <w:tr w:rsidR="008A4BDF" w:rsidRPr="008A4BDF" w14:paraId="3570A29A" w14:textId="77777777" w:rsidTr="00216674">
        <w:trPr>
          <w:jc w:val="center"/>
        </w:trPr>
        <w:tc>
          <w:tcPr>
            <w:tcW w:w="6663" w:type="dxa"/>
            <w:gridSpan w:val="3"/>
            <w:tcBorders>
              <w:top w:val="nil"/>
              <w:left w:val="nil"/>
              <w:bottom w:val="single" w:sz="4" w:space="0" w:color="auto"/>
              <w:right w:val="nil"/>
            </w:tcBorders>
          </w:tcPr>
          <w:p w14:paraId="1C955139" w14:textId="77777777" w:rsidR="008A4BDF" w:rsidRPr="008A4BDF" w:rsidRDefault="008A4BDF" w:rsidP="00EA3974">
            <w:pPr>
              <w:jc w:val="center"/>
              <w:rPr>
                <w:rFonts w:eastAsia="Calibri"/>
                <w:b/>
                <w:sz w:val="22"/>
                <w:szCs w:val="22"/>
                <w:lang w:eastAsia="en-US"/>
              </w:rPr>
            </w:pPr>
            <w:r w:rsidRPr="008A4BDF">
              <w:rPr>
                <w:rFonts w:eastAsia="Calibri"/>
                <w:b/>
                <w:sz w:val="22"/>
                <w:szCs w:val="22"/>
                <w:lang w:eastAsia="en-US"/>
              </w:rPr>
              <w:t xml:space="preserve">ESTADOS UNIDOS DE NORTEAMÉRICA: PRONÓSTICOS </w:t>
            </w:r>
          </w:p>
          <w:p w14:paraId="2759A737" w14:textId="77777777" w:rsidR="008A4BDF" w:rsidRPr="008A4BDF" w:rsidRDefault="008A4BDF" w:rsidP="00EA3974">
            <w:pPr>
              <w:jc w:val="center"/>
              <w:rPr>
                <w:rFonts w:eastAsia="Calibri"/>
                <w:b/>
                <w:sz w:val="22"/>
                <w:szCs w:val="22"/>
                <w:lang w:eastAsia="en-US"/>
              </w:rPr>
            </w:pPr>
            <w:r w:rsidRPr="008A4BDF">
              <w:rPr>
                <w:rFonts w:eastAsia="Calibri"/>
                <w:b/>
                <w:sz w:val="22"/>
                <w:szCs w:val="22"/>
                <w:lang w:eastAsia="en-US"/>
              </w:rPr>
              <w:t>DE CRECIMIENTO</w:t>
            </w:r>
          </w:p>
        </w:tc>
      </w:tr>
      <w:tr w:rsidR="008A4BDF" w:rsidRPr="008A4BDF" w14:paraId="70DC1979" w14:textId="77777777" w:rsidTr="00216674">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3D1ABB92" w14:textId="77777777" w:rsidR="008A4BDF" w:rsidRPr="008A4BDF" w:rsidRDefault="008A4BDF" w:rsidP="00EA3974">
            <w:pPr>
              <w:jc w:val="both"/>
              <w:rPr>
                <w:rFonts w:eastAsia="Calibri"/>
                <w:sz w:val="18"/>
                <w:szCs w:val="18"/>
                <w:highlight w:val="yellow"/>
                <w:lang w:val="es-ES"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9AB0C5"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Proyección diciembre 2014</w:t>
            </w:r>
          </w:p>
        </w:tc>
        <w:tc>
          <w:tcPr>
            <w:tcW w:w="2268" w:type="dxa"/>
            <w:tcBorders>
              <w:top w:val="single" w:sz="4" w:space="0" w:color="auto"/>
              <w:left w:val="single" w:sz="4" w:space="0" w:color="auto"/>
              <w:bottom w:val="single" w:sz="4" w:space="0" w:color="auto"/>
              <w:right w:val="single" w:sz="4" w:space="0" w:color="auto"/>
            </w:tcBorders>
            <w:vAlign w:val="center"/>
          </w:tcPr>
          <w:p w14:paraId="5A7C6283"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Proyección marzo 2015</w:t>
            </w:r>
          </w:p>
        </w:tc>
      </w:tr>
      <w:tr w:rsidR="008A4BDF" w:rsidRPr="008A4BDF" w14:paraId="6B4E7D6D" w14:textId="77777777" w:rsidTr="00E6455F">
        <w:trPr>
          <w:jc w:val="center"/>
        </w:trPr>
        <w:tc>
          <w:tcPr>
            <w:tcW w:w="1985" w:type="dxa"/>
            <w:tcBorders>
              <w:top w:val="single" w:sz="4" w:space="0" w:color="auto"/>
              <w:left w:val="single" w:sz="4" w:space="0" w:color="auto"/>
              <w:right w:val="single" w:sz="4" w:space="0" w:color="auto"/>
            </w:tcBorders>
            <w:vAlign w:val="center"/>
          </w:tcPr>
          <w:p w14:paraId="46CA27A6"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2015</w:t>
            </w:r>
          </w:p>
        </w:tc>
        <w:tc>
          <w:tcPr>
            <w:tcW w:w="2410" w:type="dxa"/>
            <w:tcBorders>
              <w:top w:val="single" w:sz="4" w:space="0" w:color="auto"/>
              <w:left w:val="single" w:sz="4" w:space="0" w:color="auto"/>
              <w:right w:val="single" w:sz="4" w:space="0" w:color="auto"/>
            </w:tcBorders>
            <w:vAlign w:val="center"/>
          </w:tcPr>
          <w:p w14:paraId="545FEC56"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2.6 – 3.0</w:t>
            </w:r>
          </w:p>
        </w:tc>
        <w:tc>
          <w:tcPr>
            <w:tcW w:w="2268" w:type="dxa"/>
            <w:tcBorders>
              <w:top w:val="single" w:sz="4" w:space="0" w:color="auto"/>
              <w:left w:val="single" w:sz="4" w:space="0" w:color="auto"/>
              <w:right w:val="single" w:sz="4" w:space="0" w:color="auto"/>
            </w:tcBorders>
            <w:vAlign w:val="center"/>
          </w:tcPr>
          <w:p w14:paraId="7EFA81B2"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2.3 – 2.7</w:t>
            </w:r>
          </w:p>
        </w:tc>
      </w:tr>
      <w:tr w:rsidR="008A4BDF" w:rsidRPr="008A4BDF" w14:paraId="74F241C7" w14:textId="77777777" w:rsidTr="00E6455F">
        <w:trPr>
          <w:jc w:val="center"/>
        </w:trPr>
        <w:tc>
          <w:tcPr>
            <w:tcW w:w="1985" w:type="dxa"/>
            <w:tcBorders>
              <w:left w:val="single" w:sz="4" w:space="0" w:color="auto"/>
              <w:right w:val="single" w:sz="4" w:space="0" w:color="auto"/>
            </w:tcBorders>
            <w:vAlign w:val="center"/>
          </w:tcPr>
          <w:p w14:paraId="3D2EB0DD"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2016</w:t>
            </w:r>
          </w:p>
        </w:tc>
        <w:tc>
          <w:tcPr>
            <w:tcW w:w="2410" w:type="dxa"/>
            <w:tcBorders>
              <w:left w:val="single" w:sz="4" w:space="0" w:color="auto"/>
              <w:right w:val="single" w:sz="4" w:space="0" w:color="auto"/>
            </w:tcBorders>
            <w:vAlign w:val="center"/>
          </w:tcPr>
          <w:p w14:paraId="4343E846"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2.5 – 3.0</w:t>
            </w:r>
          </w:p>
        </w:tc>
        <w:tc>
          <w:tcPr>
            <w:tcW w:w="2268" w:type="dxa"/>
            <w:tcBorders>
              <w:left w:val="single" w:sz="4" w:space="0" w:color="auto"/>
              <w:right w:val="single" w:sz="4" w:space="0" w:color="auto"/>
            </w:tcBorders>
            <w:vAlign w:val="center"/>
          </w:tcPr>
          <w:p w14:paraId="1F32A50A"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2.3 – 2.7</w:t>
            </w:r>
          </w:p>
        </w:tc>
      </w:tr>
      <w:tr w:rsidR="008A4BDF" w:rsidRPr="008A4BDF" w14:paraId="5565079C" w14:textId="77777777" w:rsidTr="00E6455F">
        <w:trPr>
          <w:jc w:val="center"/>
        </w:trPr>
        <w:tc>
          <w:tcPr>
            <w:tcW w:w="1985" w:type="dxa"/>
            <w:tcBorders>
              <w:left w:val="single" w:sz="4" w:space="0" w:color="auto"/>
              <w:bottom w:val="single" w:sz="4" w:space="0" w:color="auto"/>
              <w:right w:val="single" w:sz="4" w:space="0" w:color="auto"/>
            </w:tcBorders>
            <w:vAlign w:val="center"/>
          </w:tcPr>
          <w:p w14:paraId="0CD264A2"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2017</w:t>
            </w:r>
          </w:p>
        </w:tc>
        <w:tc>
          <w:tcPr>
            <w:tcW w:w="2410" w:type="dxa"/>
            <w:tcBorders>
              <w:left w:val="single" w:sz="4" w:space="0" w:color="auto"/>
              <w:bottom w:val="single" w:sz="4" w:space="0" w:color="auto"/>
              <w:right w:val="single" w:sz="4" w:space="0" w:color="auto"/>
            </w:tcBorders>
            <w:vAlign w:val="center"/>
          </w:tcPr>
          <w:p w14:paraId="7E6B5FB5"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2.3 – 2.5</w:t>
            </w:r>
          </w:p>
        </w:tc>
        <w:tc>
          <w:tcPr>
            <w:tcW w:w="2268" w:type="dxa"/>
            <w:tcBorders>
              <w:left w:val="single" w:sz="4" w:space="0" w:color="auto"/>
              <w:bottom w:val="single" w:sz="4" w:space="0" w:color="auto"/>
              <w:right w:val="single" w:sz="4" w:space="0" w:color="auto"/>
            </w:tcBorders>
            <w:vAlign w:val="center"/>
          </w:tcPr>
          <w:p w14:paraId="7843A02E" w14:textId="77777777" w:rsidR="008A4BDF" w:rsidRPr="008A4BDF" w:rsidRDefault="008A4BDF" w:rsidP="00EA3974">
            <w:pPr>
              <w:jc w:val="center"/>
              <w:rPr>
                <w:rFonts w:eastAsia="Calibri"/>
                <w:sz w:val="18"/>
                <w:szCs w:val="18"/>
                <w:lang w:val="es-ES" w:eastAsia="en-US"/>
              </w:rPr>
            </w:pPr>
            <w:r w:rsidRPr="008A4BDF">
              <w:rPr>
                <w:rFonts w:eastAsia="Calibri"/>
                <w:sz w:val="18"/>
                <w:szCs w:val="18"/>
                <w:lang w:val="es-ES" w:eastAsia="en-US"/>
              </w:rPr>
              <w:t>2.0 – 2.4</w:t>
            </w:r>
          </w:p>
        </w:tc>
      </w:tr>
      <w:tr w:rsidR="008A4BDF" w:rsidRPr="008A4BDF" w14:paraId="3545EE89" w14:textId="77777777" w:rsidTr="00EA3974">
        <w:trPr>
          <w:jc w:val="center"/>
        </w:trPr>
        <w:tc>
          <w:tcPr>
            <w:tcW w:w="6663" w:type="dxa"/>
            <w:gridSpan w:val="3"/>
            <w:tcBorders>
              <w:top w:val="single" w:sz="4" w:space="0" w:color="auto"/>
              <w:left w:val="nil"/>
              <w:bottom w:val="nil"/>
              <w:right w:val="nil"/>
            </w:tcBorders>
            <w:vAlign w:val="center"/>
          </w:tcPr>
          <w:p w14:paraId="1FE1D21A" w14:textId="77777777" w:rsidR="008A4BDF" w:rsidRPr="008A4BDF" w:rsidRDefault="008A4BDF" w:rsidP="00EA3974">
            <w:pPr>
              <w:jc w:val="both"/>
              <w:rPr>
                <w:rFonts w:eastAsia="Calibri"/>
                <w:sz w:val="20"/>
                <w:szCs w:val="20"/>
                <w:lang w:val="es-ES" w:eastAsia="en-US"/>
              </w:rPr>
            </w:pPr>
            <w:r w:rsidRPr="008A4BDF">
              <w:rPr>
                <w:rFonts w:eastAsia="Calibri"/>
                <w:sz w:val="20"/>
                <w:szCs w:val="20"/>
                <w:lang w:val="es-ES" w:eastAsia="en-US"/>
              </w:rPr>
              <w:t>FUENTE: Elaborado por el CEESP con datos de la Reserva Federal.</w:t>
            </w:r>
          </w:p>
        </w:tc>
      </w:tr>
    </w:tbl>
    <w:p w14:paraId="56DCD55C" w14:textId="77777777" w:rsidR="008A4BDF" w:rsidRPr="008A4BDF" w:rsidRDefault="008A4BDF" w:rsidP="008A4BDF">
      <w:pPr>
        <w:spacing w:after="360" w:line="360" w:lineRule="auto"/>
        <w:ind w:right="-159"/>
        <w:jc w:val="both"/>
        <w:rPr>
          <w:rFonts w:eastAsia="Calibri"/>
          <w:sz w:val="26"/>
          <w:szCs w:val="26"/>
          <w:highlight w:val="yellow"/>
          <w:lang w:val="es-ES" w:eastAsia="en-US"/>
        </w:rPr>
      </w:pPr>
    </w:p>
    <w:p w14:paraId="70F21139"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lastRenderedPageBreak/>
        <w:t>En este contexto, se espera que cuando la Reserva Federal decida elevar sus tasas lo hará de forma modesta, quizá en un cuarto de punto porcentual, o en un máximo de medio punto.</w:t>
      </w:r>
    </w:p>
    <w:p w14:paraId="118B99A4"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El entorno que se percibe después de la reunión de la Reserva Federal puede tranquilizar a los mercados, ya que además de prácticamente anunciar cuándo se podría dar el ajuste en tasas, también se infiere en cuánto. Después de esto, el mercado cambiario de nuestro país reaccionó positivamente, claro está, también como consecuencia de las subastas de dólares que está realizando el Banco de México.</w:t>
      </w:r>
    </w:p>
    <w:p w14:paraId="3391EBA4"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Evidentemente, el Banco de México cuenta ahora con mayor información para hacer frente a cualquier tipo de desequilibrio.</w:t>
      </w:r>
    </w:p>
    <w:p w14:paraId="0009BBDD"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El hecho es que una vez que la Reserva Federal aumente sus tasas, México también tendrá que hacerlo, aunque la ventaja es que el diferencial es todavía favorable para nuestro país. De esta manera, no habrá salida de capitales, además de que la deuda de corto plazo de nuestro país es reducida, No obstante, donde sí podría ver alguna afectación es en el costo financiero de la deuda mexicana, que pudiese incidir negativamente en las finanzas públicas, por lo que las autoridades deberán ajustarse a una política de endeudamiento responsable.</w:t>
      </w:r>
    </w:p>
    <w:p w14:paraId="1078B321"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Aunque hay opiniones que consideran que el Banco de México debería adelantarse en el aumento de tasas, el CEESP opina, tomando en cuenta costos y beneficios, que es más prudente esperar a que la Reserva Federal tome las decisiones. Los riesgos de anticipar dicha medida no se minimizan cuando no sabemos ni cuándo ni en cuánto será el ajuste. Sobre todo en un entorno de debilidad de la economía mexicana.</w:t>
      </w:r>
    </w:p>
    <w:p w14:paraId="017CA20E"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 xml:space="preserve">México está en el momento en que debe aprovechar la coyuntura para acelerar la instrumentación de las reformas aprobadas y de las medidas complementarias para generar el ambiente de negocios favorable para impulsar el crecimiento y la generación </w:t>
      </w:r>
      <w:r w:rsidRPr="008A4BDF">
        <w:rPr>
          <w:rFonts w:eastAsia="Calibri"/>
          <w:sz w:val="26"/>
          <w:szCs w:val="26"/>
          <w:lang w:val="es-ES" w:eastAsia="en-US"/>
        </w:rPr>
        <w:lastRenderedPageBreak/>
        <w:t>de empleos. Esto contribuirá a fortalecer su estabilidad macroeconómica y blindarse contra cualquier efecto proveniente del exterior, sobre todo ahora que el mercado petrolero mundial atraviesa por momentos difíciles y la expectativa sobre movimientos en los merados financieros están latentes.</w:t>
      </w:r>
    </w:p>
    <w:p w14:paraId="2561A289"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Estar a poco tiempo de un período electoral, no deberá ser motivo de distracción para continuar con los esfuerzos para fortalecer la inversión.</w:t>
      </w:r>
    </w:p>
    <w:p w14:paraId="2DA532F0" w14:textId="77777777" w:rsidR="008A4BDF" w:rsidRPr="008A4BDF" w:rsidRDefault="008A4BDF" w:rsidP="008A4BDF">
      <w:pPr>
        <w:spacing w:after="360" w:line="360" w:lineRule="auto"/>
        <w:ind w:right="-159"/>
        <w:jc w:val="both"/>
        <w:rPr>
          <w:rFonts w:eastAsia="Calibri"/>
          <w:b/>
          <w:sz w:val="26"/>
          <w:szCs w:val="26"/>
          <w:lang w:val="es-ES" w:eastAsia="en-US"/>
        </w:rPr>
      </w:pPr>
      <w:r w:rsidRPr="008A4BDF">
        <w:rPr>
          <w:rFonts w:eastAsia="Calibri"/>
          <w:b/>
          <w:sz w:val="26"/>
          <w:szCs w:val="26"/>
          <w:lang w:val="es-ES" w:eastAsia="en-US"/>
        </w:rPr>
        <w:t>México</w:t>
      </w:r>
    </w:p>
    <w:p w14:paraId="359FF3CC"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Las cifras del Instituto Nacional de Estadística y Geografía (INEGI) dan señales de que el consumo de la población tuvo un inicio de año favorable. El reporte señala que durante enero, las cifras desestacionalizadas muestran que el indicador de ingresos por suministro de bienes y servicios al menudeo tuvo un incremento mensual de 2.1%, lo que significó el mayor avance en los últimos 14 meses.</w:t>
      </w:r>
    </w:p>
    <w:p w14:paraId="5458A9B2" w14:textId="77777777" w:rsid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Este comportamiento propició que la actividad del sector minorista tuviese un crecimiento de 4.9% respecto al mismo mes del año pasado, después reportara aumentos de 1.9 y 2.0%, respectivamente, pese a ser meses considerados de altas ventas por la temporada navideña.</w:t>
      </w:r>
    </w:p>
    <w:p w14:paraId="11146A8A" w14:textId="77777777" w:rsidR="00512C3D" w:rsidRDefault="00512C3D" w:rsidP="008A4BDF">
      <w:pPr>
        <w:spacing w:after="360" w:line="360" w:lineRule="auto"/>
        <w:ind w:right="-159"/>
        <w:jc w:val="both"/>
        <w:rPr>
          <w:rFonts w:eastAsia="Calibri"/>
          <w:sz w:val="26"/>
          <w:szCs w:val="26"/>
          <w:lang w:val="es-ES" w:eastAsia="en-US"/>
        </w:rPr>
      </w:pPr>
    </w:p>
    <w:p w14:paraId="5747EC27" w14:textId="77777777" w:rsidR="00512C3D" w:rsidRDefault="00512C3D" w:rsidP="008A4BDF">
      <w:pPr>
        <w:spacing w:after="360" w:line="360" w:lineRule="auto"/>
        <w:ind w:right="-159"/>
        <w:jc w:val="both"/>
        <w:rPr>
          <w:rFonts w:eastAsia="Calibri"/>
          <w:sz w:val="26"/>
          <w:szCs w:val="26"/>
          <w:lang w:val="es-ES" w:eastAsia="en-US"/>
        </w:rPr>
      </w:pPr>
    </w:p>
    <w:p w14:paraId="7D3B6619" w14:textId="77777777" w:rsidR="00512C3D" w:rsidRDefault="00512C3D" w:rsidP="008A4BDF">
      <w:pPr>
        <w:spacing w:after="360" w:line="360" w:lineRule="auto"/>
        <w:ind w:right="-159"/>
        <w:jc w:val="both"/>
        <w:rPr>
          <w:rFonts w:eastAsia="Calibri"/>
          <w:sz w:val="26"/>
          <w:szCs w:val="26"/>
          <w:lang w:val="es-ES" w:eastAsia="en-US"/>
        </w:rPr>
      </w:pPr>
    </w:p>
    <w:p w14:paraId="6AC8D201" w14:textId="77777777" w:rsidR="00512C3D" w:rsidRDefault="00512C3D" w:rsidP="008A4BDF">
      <w:pPr>
        <w:spacing w:after="360" w:line="360" w:lineRule="auto"/>
        <w:ind w:right="-159"/>
        <w:jc w:val="both"/>
        <w:rPr>
          <w:rFonts w:eastAsia="Calibri"/>
          <w:sz w:val="26"/>
          <w:szCs w:val="26"/>
          <w:lang w:val="es-ES" w:eastAsia="en-US"/>
        </w:rPr>
      </w:pPr>
    </w:p>
    <w:p w14:paraId="352D5332" w14:textId="77777777" w:rsidR="00512C3D" w:rsidRPr="008A4BDF" w:rsidRDefault="00512C3D" w:rsidP="008A4BDF">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8A4BDF" w:rsidRPr="008A4BDF" w14:paraId="7A686156" w14:textId="77777777" w:rsidTr="00EA3974">
        <w:tc>
          <w:tcPr>
            <w:tcW w:w="9209" w:type="dxa"/>
          </w:tcPr>
          <w:p w14:paraId="1B8BAC5D" w14:textId="77777777" w:rsidR="008A4BDF" w:rsidRPr="008A4BDF" w:rsidRDefault="008A4BDF" w:rsidP="00EA3974">
            <w:pPr>
              <w:jc w:val="center"/>
              <w:rPr>
                <w:rFonts w:eastAsia="Calibri"/>
                <w:b/>
                <w:sz w:val="22"/>
                <w:szCs w:val="26"/>
                <w:lang w:val="es-ES" w:eastAsia="en-US"/>
              </w:rPr>
            </w:pPr>
            <w:r w:rsidRPr="008A4BDF">
              <w:rPr>
                <w:rFonts w:eastAsia="Calibri"/>
                <w:b/>
                <w:sz w:val="22"/>
                <w:szCs w:val="26"/>
                <w:lang w:val="es-ES" w:eastAsia="en-US"/>
              </w:rPr>
              <w:lastRenderedPageBreak/>
              <w:t>VENTAS AL MENUDEO</w:t>
            </w:r>
          </w:p>
          <w:p w14:paraId="58601DE9" w14:textId="77777777" w:rsidR="008A4BDF" w:rsidRPr="008A4BDF" w:rsidRDefault="008A4BDF" w:rsidP="00EA3974">
            <w:pPr>
              <w:jc w:val="center"/>
              <w:rPr>
                <w:rFonts w:eastAsia="Calibri"/>
                <w:b/>
                <w:sz w:val="22"/>
                <w:szCs w:val="26"/>
                <w:lang w:val="es-ES" w:eastAsia="en-US"/>
              </w:rPr>
            </w:pPr>
            <w:r w:rsidRPr="008A4BDF">
              <w:rPr>
                <w:rFonts w:eastAsia="Calibri"/>
                <w:b/>
                <w:sz w:val="22"/>
                <w:szCs w:val="26"/>
                <w:lang w:val="es-ES" w:eastAsia="en-US"/>
              </w:rPr>
              <w:t>-Series desestacionalizadas, porcentaje-</w:t>
            </w:r>
          </w:p>
        </w:tc>
      </w:tr>
      <w:tr w:rsidR="008A4BDF" w:rsidRPr="008A4BDF" w14:paraId="55558C55" w14:textId="77777777" w:rsidTr="00EA3974">
        <w:tc>
          <w:tcPr>
            <w:tcW w:w="9209" w:type="dxa"/>
          </w:tcPr>
          <w:p w14:paraId="116B1D73" w14:textId="77777777" w:rsidR="008A4BDF" w:rsidRPr="008A4BDF" w:rsidRDefault="008A4BDF" w:rsidP="00EA3974">
            <w:pPr>
              <w:jc w:val="center"/>
              <w:rPr>
                <w:rFonts w:eastAsia="Calibri"/>
                <w:sz w:val="22"/>
                <w:szCs w:val="26"/>
                <w:lang w:val="es-ES" w:eastAsia="en-US"/>
              </w:rPr>
            </w:pPr>
            <w:r w:rsidRPr="008A4BDF">
              <w:rPr>
                <w:rFonts w:eastAsia="Calibri"/>
                <w:noProof/>
                <w:sz w:val="22"/>
                <w:szCs w:val="26"/>
                <w:lang w:eastAsia="es-MX"/>
              </w:rPr>
              <w:drawing>
                <wp:inline distT="0" distB="0" distL="0" distR="0" wp14:anchorId="65BD8CD4" wp14:editId="33D094A2">
                  <wp:extent cx="5198694" cy="28800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479" b="1028"/>
                          <a:stretch/>
                        </pic:blipFill>
                        <pic:spPr bwMode="auto">
                          <a:xfrm>
                            <a:off x="0" y="0"/>
                            <a:ext cx="5198694"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A4BDF" w:rsidRPr="008A4BDF" w14:paraId="5EEDCF9B" w14:textId="77777777" w:rsidTr="00EA3974">
        <w:tc>
          <w:tcPr>
            <w:tcW w:w="9209" w:type="dxa"/>
          </w:tcPr>
          <w:p w14:paraId="4DF584A0" w14:textId="77777777" w:rsidR="008A4BDF" w:rsidRPr="008A4BDF" w:rsidRDefault="008A4BDF" w:rsidP="00EA3974">
            <w:pPr>
              <w:ind w:firstLine="738"/>
              <w:jc w:val="both"/>
              <w:rPr>
                <w:rFonts w:eastAsia="Calibri"/>
                <w:sz w:val="20"/>
                <w:szCs w:val="26"/>
                <w:lang w:val="es-ES" w:eastAsia="en-US"/>
              </w:rPr>
            </w:pPr>
            <w:r w:rsidRPr="008A4BDF">
              <w:rPr>
                <w:rFonts w:eastAsia="Calibri"/>
                <w:sz w:val="20"/>
                <w:szCs w:val="26"/>
                <w:lang w:val="es-ES" w:eastAsia="en-US"/>
              </w:rPr>
              <w:t>FUENTE: Elaborado por el CEESP con datos del INEGI.</w:t>
            </w:r>
          </w:p>
        </w:tc>
      </w:tr>
    </w:tbl>
    <w:p w14:paraId="64425336" w14:textId="77777777" w:rsidR="008A4BDF" w:rsidRPr="008A4BDF" w:rsidRDefault="008A4BDF" w:rsidP="008A4BDF">
      <w:pPr>
        <w:spacing w:after="360" w:line="360" w:lineRule="auto"/>
        <w:ind w:right="-159"/>
        <w:jc w:val="both"/>
        <w:rPr>
          <w:rFonts w:eastAsia="Calibri"/>
          <w:sz w:val="26"/>
          <w:szCs w:val="26"/>
          <w:lang w:val="es-ES" w:eastAsia="en-US"/>
        </w:rPr>
      </w:pPr>
    </w:p>
    <w:p w14:paraId="5F7F19A7" w14:textId="77777777" w:rsid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El avance mensual del indicador de ingresos por suministro de bienes y servicios al menudeo, respondió al impulso generado por el incremento que tuvieron seis de los nueves rubros generales que lo integran, sobresaliendo el avance mensual de 9.7% en las ventas de productos textiles, del aumento de 5.5% en el de abarrotes, alimentos, bebidas, hielo y tabaco.</w:t>
      </w:r>
    </w:p>
    <w:tbl>
      <w:tblPr>
        <w:tblW w:w="0" w:type="auto"/>
        <w:jc w:val="center"/>
        <w:tblLayout w:type="fixed"/>
        <w:tblLook w:val="04A0" w:firstRow="1" w:lastRow="0" w:firstColumn="1" w:lastColumn="0" w:noHBand="0" w:noVBand="1"/>
      </w:tblPr>
      <w:tblGrid>
        <w:gridCol w:w="4820"/>
        <w:gridCol w:w="1559"/>
        <w:gridCol w:w="1559"/>
      </w:tblGrid>
      <w:tr w:rsidR="008A4BDF" w:rsidRPr="008A4BDF" w14:paraId="57F82121" w14:textId="77777777" w:rsidTr="008D28ED">
        <w:trPr>
          <w:jc w:val="center"/>
        </w:trPr>
        <w:tc>
          <w:tcPr>
            <w:tcW w:w="7938" w:type="dxa"/>
            <w:gridSpan w:val="3"/>
            <w:tcBorders>
              <w:top w:val="nil"/>
              <w:left w:val="nil"/>
              <w:bottom w:val="single" w:sz="4" w:space="0" w:color="auto"/>
              <w:right w:val="nil"/>
            </w:tcBorders>
          </w:tcPr>
          <w:p w14:paraId="2A08101C" w14:textId="77777777" w:rsidR="008A4BDF" w:rsidRPr="008A4BDF" w:rsidRDefault="008A4BDF" w:rsidP="00EA3974">
            <w:pPr>
              <w:jc w:val="center"/>
              <w:rPr>
                <w:rFonts w:eastAsia="Calibri"/>
                <w:b/>
                <w:sz w:val="22"/>
                <w:szCs w:val="22"/>
                <w:lang w:eastAsia="en-US"/>
              </w:rPr>
            </w:pPr>
            <w:r w:rsidRPr="008A4BDF">
              <w:rPr>
                <w:rFonts w:eastAsia="Calibri"/>
                <w:b/>
                <w:sz w:val="22"/>
                <w:szCs w:val="22"/>
                <w:lang w:eastAsia="en-US"/>
              </w:rPr>
              <w:t>VENTAS AL MENUDEO ENERO 2015</w:t>
            </w:r>
          </w:p>
          <w:p w14:paraId="125EBFFE" w14:textId="77777777" w:rsidR="008A4BDF" w:rsidRPr="008A4BDF" w:rsidRDefault="008A4BDF" w:rsidP="00EA3974">
            <w:pPr>
              <w:jc w:val="center"/>
              <w:rPr>
                <w:rFonts w:eastAsia="Calibri"/>
                <w:b/>
                <w:sz w:val="22"/>
                <w:szCs w:val="22"/>
                <w:lang w:eastAsia="en-US"/>
              </w:rPr>
            </w:pPr>
            <w:r w:rsidRPr="008A4BDF">
              <w:rPr>
                <w:rFonts w:eastAsia="Calibri"/>
                <w:b/>
                <w:sz w:val="22"/>
                <w:szCs w:val="22"/>
                <w:lang w:eastAsia="en-US"/>
              </w:rPr>
              <w:t>-Series desestacionalizadas-</w:t>
            </w:r>
          </w:p>
        </w:tc>
      </w:tr>
      <w:tr w:rsidR="008A4BDF" w:rsidRPr="008A4BDF" w14:paraId="637CEF4D" w14:textId="77777777" w:rsidTr="008D28ED">
        <w:trPr>
          <w:jc w:val="center"/>
        </w:trPr>
        <w:tc>
          <w:tcPr>
            <w:tcW w:w="4820" w:type="dxa"/>
            <w:tcBorders>
              <w:top w:val="single" w:sz="4" w:space="0" w:color="auto"/>
              <w:left w:val="single" w:sz="4" w:space="0" w:color="auto"/>
              <w:bottom w:val="single" w:sz="4" w:space="0" w:color="auto"/>
              <w:right w:val="single" w:sz="4" w:space="0" w:color="auto"/>
            </w:tcBorders>
            <w:vAlign w:val="center"/>
          </w:tcPr>
          <w:p w14:paraId="651BCF1F" w14:textId="77777777" w:rsidR="008A4BDF" w:rsidRPr="008A4BDF" w:rsidRDefault="008A4BDF" w:rsidP="00EA3974">
            <w:pPr>
              <w:jc w:val="both"/>
              <w:rPr>
                <w:rFonts w:eastAsia="Calibri"/>
                <w:sz w:val="18"/>
                <w:szCs w:val="18"/>
                <w:highlight w:val="yellow"/>
                <w:lang w:val="es-ES"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76E5B3D2"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Variación %</w:t>
            </w:r>
          </w:p>
          <w:p w14:paraId="65307E24"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mensual</w:t>
            </w:r>
          </w:p>
        </w:tc>
        <w:tc>
          <w:tcPr>
            <w:tcW w:w="1559" w:type="dxa"/>
            <w:tcBorders>
              <w:top w:val="single" w:sz="4" w:space="0" w:color="auto"/>
              <w:left w:val="single" w:sz="4" w:space="0" w:color="auto"/>
              <w:bottom w:val="single" w:sz="4" w:space="0" w:color="auto"/>
              <w:right w:val="single" w:sz="4" w:space="0" w:color="auto"/>
            </w:tcBorders>
            <w:vAlign w:val="center"/>
          </w:tcPr>
          <w:p w14:paraId="106418DA"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Variación %</w:t>
            </w:r>
          </w:p>
          <w:p w14:paraId="6B1A1AA4" w14:textId="77777777" w:rsidR="008A4BDF" w:rsidRPr="008A4BDF" w:rsidRDefault="008A4BDF" w:rsidP="00EA3974">
            <w:pPr>
              <w:jc w:val="center"/>
              <w:rPr>
                <w:rFonts w:eastAsia="Calibri"/>
                <w:b/>
                <w:sz w:val="18"/>
                <w:szCs w:val="18"/>
                <w:lang w:val="es-ES" w:eastAsia="en-US"/>
              </w:rPr>
            </w:pPr>
            <w:r w:rsidRPr="008A4BDF">
              <w:rPr>
                <w:rFonts w:eastAsia="Calibri"/>
                <w:b/>
                <w:sz w:val="18"/>
                <w:szCs w:val="18"/>
                <w:lang w:val="es-ES" w:eastAsia="en-US"/>
              </w:rPr>
              <w:t>anual</w:t>
            </w:r>
          </w:p>
        </w:tc>
      </w:tr>
      <w:tr w:rsidR="008A4BDF" w:rsidRPr="008A4BDF" w14:paraId="42896C7C" w14:textId="77777777" w:rsidTr="008D28ED">
        <w:trPr>
          <w:jc w:val="center"/>
        </w:trPr>
        <w:tc>
          <w:tcPr>
            <w:tcW w:w="4820" w:type="dxa"/>
            <w:tcBorders>
              <w:top w:val="single" w:sz="4" w:space="0" w:color="auto"/>
              <w:left w:val="single" w:sz="4" w:space="0" w:color="auto"/>
              <w:bottom w:val="nil"/>
              <w:right w:val="single" w:sz="4" w:space="0" w:color="auto"/>
            </w:tcBorders>
            <w:vAlign w:val="center"/>
          </w:tcPr>
          <w:p w14:paraId="4AF54233"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 xml:space="preserve">Abarrotes, alimentos, bebidas, hielo y tabaco                                                </w:t>
            </w:r>
          </w:p>
        </w:tc>
        <w:tc>
          <w:tcPr>
            <w:tcW w:w="1559" w:type="dxa"/>
            <w:tcBorders>
              <w:top w:val="single" w:sz="4" w:space="0" w:color="auto"/>
              <w:left w:val="single" w:sz="4" w:space="0" w:color="auto"/>
              <w:bottom w:val="nil"/>
              <w:right w:val="single" w:sz="4" w:space="0" w:color="auto"/>
            </w:tcBorders>
            <w:vAlign w:val="center"/>
          </w:tcPr>
          <w:p w14:paraId="3DF98794"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5.5</w:t>
            </w:r>
          </w:p>
        </w:tc>
        <w:tc>
          <w:tcPr>
            <w:tcW w:w="1559" w:type="dxa"/>
            <w:tcBorders>
              <w:top w:val="single" w:sz="4" w:space="0" w:color="auto"/>
              <w:left w:val="single" w:sz="4" w:space="0" w:color="auto"/>
              <w:bottom w:val="nil"/>
              <w:right w:val="single" w:sz="4" w:space="0" w:color="auto"/>
            </w:tcBorders>
            <w:vAlign w:val="center"/>
          </w:tcPr>
          <w:p w14:paraId="28D30592"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13.3</w:t>
            </w:r>
          </w:p>
        </w:tc>
      </w:tr>
      <w:tr w:rsidR="008A4BDF" w:rsidRPr="008A4BDF" w14:paraId="754688C7" w14:textId="77777777" w:rsidTr="008D28ED">
        <w:trPr>
          <w:jc w:val="center"/>
        </w:trPr>
        <w:tc>
          <w:tcPr>
            <w:tcW w:w="4820" w:type="dxa"/>
            <w:tcBorders>
              <w:top w:val="nil"/>
              <w:left w:val="single" w:sz="4" w:space="0" w:color="auto"/>
              <w:bottom w:val="nil"/>
              <w:right w:val="single" w:sz="4" w:space="0" w:color="auto"/>
            </w:tcBorders>
            <w:vAlign w:val="center"/>
          </w:tcPr>
          <w:p w14:paraId="2D139E99"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En tiendas de autoservicio y departamentales</w:t>
            </w:r>
          </w:p>
        </w:tc>
        <w:tc>
          <w:tcPr>
            <w:tcW w:w="1559" w:type="dxa"/>
            <w:tcBorders>
              <w:top w:val="nil"/>
              <w:left w:val="single" w:sz="4" w:space="0" w:color="auto"/>
              <w:bottom w:val="nil"/>
              <w:right w:val="single" w:sz="4" w:space="0" w:color="auto"/>
            </w:tcBorders>
            <w:vAlign w:val="center"/>
          </w:tcPr>
          <w:p w14:paraId="64B82D58"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1.6</w:t>
            </w:r>
          </w:p>
        </w:tc>
        <w:tc>
          <w:tcPr>
            <w:tcW w:w="1559" w:type="dxa"/>
            <w:tcBorders>
              <w:top w:val="nil"/>
              <w:left w:val="single" w:sz="4" w:space="0" w:color="auto"/>
              <w:bottom w:val="nil"/>
              <w:right w:val="single" w:sz="4" w:space="0" w:color="auto"/>
            </w:tcBorders>
            <w:vAlign w:val="center"/>
          </w:tcPr>
          <w:p w14:paraId="08B07A0A"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6.4</w:t>
            </w:r>
          </w:p>
        </w:tc>
      </w:tr>
      <w:tr w:rsidR="008A4BDF" w:rsidRPr="008A4BDF" w14:paraId="4304E1AE" w14:textId="77777777" w:rsidTr="008D28ED">
        <w:trPr>
          <w:jc w:val="center"/>
        </w:trPr>
        <w:tc>
          <w:tcPr>
            <w:tcW w:w="4820" w:type="dxa"/>
            <w:tcBorders>
              <w:top w:val="nil"/>
              <w:left w:val="single" w:sz="4" w:space="0" w:color="auto"/>
              <w:bottom w:val="nil"/>
              <w:right w:val="single" w:sz="4" w:space="0" w:color="auto"/>
            </w:tcBorders>
            <w:vAlign w:val="center"/>
          </w:tcPr>
          <w:p w14:paraId="2DFA2E82"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 xml:space="preserve">Productos textiles, bisutería,  accesorios de vestir y calzado                       </w:t>
            </w:r>
          </w:p>
        </w:tc>
        <w:tc>
          <w:tcPr>
            <w:tcW w:w="1559" w:type="dxa"/>
            <w:tcBorders>
              <w:top w:val="nil"/>
              <w:left w:val="single" w:sz="4" w:space="0" w:color="auto"/>
              <w:bottom w:val="nil"/>
              <w:right w:val="single" w:sz="4" w:space="0" w:color="auto"/>
            </w:tcBorders>
            <w:vAlign w:val="center"/>
          </w:tcPr>
          <w:p w14:paraId="71D70093"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9.7</w:t>
            </w:r>
          </w:p>
        </w:tc>
        <w:tc>
          <w:tcPr>
            <w:tcW w:w="1559" w:type="dxa"/>
            <w:tcBorders>
              <w:top w:val="nil"/>
              <w:left w:val="single" w:sz="4" w:space="0" w:color="auto"/>
              <w:bottom w:val="nil"/>
              <w:right w:val="single" w:sz="4" w:space="0" w:color="auto"/>
            </w:tcBorders>
            <w:vAlign w:val="center"/>
          </w:tcPr>
          <w:p w14:paraId="603DEEF4"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7.7</w:t>
            </w:r>
          </w:p>
        </w:tc>
      </w:tr>
      <w:tr w:rsidR="008A4BDF" w:rsidRPr="008A4BDF" w14:paraId="0C8E8606" w14:textId="77777777" w:rsidTr="008D28ED">
        <w:trPr>
          <w:jc w:val="center"/>
        </w:trPr>
        <w:tc>
          <w:tcPr>
            <w:tcW w:w="4820" w:type="dxa"/>
            <w:tcBorders>
              <w:top w:val="nil"/>
              <w:left w:val="single" w:sz="4" w:space="0" w:color="auto"/>
              <w:bottom w:val="nil"/>
              <w:right w:val="single" w:sz="4" w:space="0" w:color="auto"/>
            </w:tcBorders>
            <w:vAlign w:val="center"/>
          </w:tcPr>
          <w:p w14:paraId="2D529E4A"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Artículos  para el cuidado de la salud</w:t>
            </w:r>
          </w:p>
        </w:tc>
        <w:tc>
          <w:tcPr>
            <w:tcW w:w="1559" w:type="dxa"/>
            <w:tcBorders>
              <w:top w:val="nil"/>
              <w:left w:val="single" w:sz="4" w:space="0" w:color="auto"/>
              <w:bottom w:val="nil"/>
              <w:right w:val="single" w:sz="4" w:space="0" w:color="auto"/>
            </w:tcBorders>
            <w:vAlign w:val="center"/>
          </w:tcPr>
          <w:p w14:paraId="558F3AB3"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-0.7</w:t>
            </w:r>
          </w:p>
        </w:tc>
        <w:tc>
          <w:tcPr>
            <w:tcW w:w="1559" w:type="dxa"/>
            <w:tcBorders>
              <w:top w:val="nil"/>
              <w:left w:val="single" w:sz="4" w:space="0" w:color="auto"/>
              <w:bottom w:val="nil"/>
              <w:right w:val="single" w:sz="4" w:space="0" w:color="auto"/>
            </w:tcBorders>
            <w:vAlign w:val="center"/>
          </w:tcPr>
          <w:p w14:paraId="72CBB93E"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2.7</w:t>
            </w:r>
          </w:p>
        </w:tc>
      </w:tr>
      <w:tr w:rsidR="008A4BDF" w:rsidRPr="008A4BDF" w14:paraId="2A6166C0" w14:textId="77777777" w:rsidTr="008D28ED">
        <w:trPr>
          <w:jc w:val="center"/>
        </w:trPr>
        <w:tc>
          <w:tcPr>
            <w:tcW w:w="4820" w:type="dxa"/>
            <w:tcBorders>
              <w:top w:val="nil"/>
              <w:left w:val="single" w:sz="4" w:space="0" w:color="auto"/>
              <w:bottom w:val="nil"/>
              <w:right w:val="single" w:sz="4" w:space="0" w:color="auto"/>
            </w:tcBorders>
            <w:vAlign w:val="center"/>
          </w:tcPr>
          <w:p w14:paraId="52B84974"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 xml:space="preserve">Artículos de papelería, p/esparc.  y otros de uso personal                     </w:t>
            </w:r>
          </w:p>
        </w:tc>
        <w:tc>
          <w:tcPr>
            <w:tcW w:w="1559" w:type="dxa"/>
            <w:tcBorders>
              <w:top w:val="nil"/>
              <w:left w:val="single" w:sz="4" w:space="0" w:color="auto"/>
              <w:bottom w:val="nil"/>
              <w:right w:val="single" w:sz="4" w:space="0" w:color="auto"/>
            </w:tcBorders>
            <w:vAlign w:val="center"/>
          </w:tcPr>
          <w:p w14:paraId="02E6C69A"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4.6</w:t>
            </w:r>
          </w:p>
        </w:tc>
        <w:tc>
          <w:tcPr>
            <w:tcW w:w="1559" w:type="dxa"/>
            <w:tcBorders>
              <w:top w:val="nil"/>
              <w:left w:val="single" w:sz="4" w:space="0" w:color="auto"/>
              <w:bottom w:val="nil"/>
              <w:right w:val="single" w:sz="4" w:space="0" w:color="auto"/>
            </w:tcBorders>
            <w:vAlign w:val="center"/>
          </w:tcPr>
          <w:p w14:paraId="6A5DC527"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2.7</w:t>
            </w:r>
          </w:p>
        </w:tc>
      </w:tr>
      <w:tr w:rsidR="008A4BDF" w:rsidRPr="008A4BDF" w14:paraId="5BAEB045" w14:textId="77777777" w:rsidTr="008D28ED">
        <w:trPr>
          <w:jc w:val="center"/>
        </w:trPr>
        <w:tc>
          <w:tcPr>
            <w:tcW w:w="4820" w:type="dxa"/>
            <w:tcBorders>
              <w:top w:val="nil"/>
              <w:left w:val="single" w:sz="4" w:space="0" w:color="auto"/>
              <w:bottom w:val="nil"/>
              <w:right w:val="single" w:sz="4" w:space="0" w:color="auto"/>
            </w:tcBorders>
            <w:vAlign w:val="center"/>
          </w:tcPr>
          <w:p w14:paraId="75AFAEB6"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Enseres domésticos, computadoras, artículos  para la</w:t>
            </w:r>
          </w:p>
          <w:p w14:paraId="6FCE6996"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decoración de interiores  y artículos  usados</w:t>
            </w:r>
          </w:p>
        </w:tc>
        <w:tc>
          <w:tcPr>
            <w:tcW w:w="1559" w:type="dxa"/>
            <w:tcBorders>
              <w:top w:val="nil"/>
              <w:left w:val="single" w:sz="4" w:space="0" w:color="auto"/>
              <w:bottom w:val="nil"/>
              <w:right w:val="single" w:sz="4" w:space="0" w:color="auto"/>
            </w:tcBorders>
            <w:vAlign w:val="center"/>
          </w:tcPr>
          <w:p w14:paraId="5CB587DE"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2.3</w:t>
            </w:r>
          </w:p>
        </w:tc>
        <w:tc>
          <w:tcPr>
            <w:tcW w:w="1559" w:type="dxa"/>
            <w:tcBorders>
              <w:top w:val="nil"/>
              <w:left w:val="single" w:sz="4" w:space="0" w:color="auto"/>
              <w:bottom w:val="nil"/>
              <w:right w:val="single" w:sz="4" w:space="0" w:color="auto"/>
            </w:tcBorders>
            <w:vAlign w:val="center"/>
          </w:tcPr>
          <w:p w14:paraId="3B2A2A89"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-13.2</w:t>
            </w:r>
          </w:p>
        </w:tc>
      </w:tr>
      <w:tr w:rsidR="008A4BDF" w:rsidRPr="008A4BDF" w14:paraId="7F69D26A" w14:textId="77777777" w:rsidTr="008D28ED">
        <w:trPr>
          <w:jc w:val="center"/>
        </w:trPr>
        <w:tc>
          <w:tcPr>
            <w:tcW w:w="4820" w:type="dxa"/>
            <w:tcBorders>
              <w:top w:val="nil"/>
              <w:left w:val="single" w:sz="4" w:space="0" w:color="auto"/>
              <w:bottom w:val="nil"/>
              <w:right w:val="single" w:sz="4" w:space="0" w:color="auto"/>
            </w:tcBorders>
            <w:vAlign w:val="center"/>
          </w:tcPr>
          <w:p w14:paraId="57AD337D"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Artículos  de ferretería, tlapalería  y vidrios</w:t>
            </w:r>
          </w:p>
        </w:tc>
        <w:tc>
          <w:tcPr>
            <w:tcW w:w="1559" w:type="dxa"/>
            <w:tcBorders>
              <w:top w:val="nil"/>
              <w:left w:val="single" w:sz="4" w:space="0" w:color="auto"/>
              <w:bottom w:val="nil"/>
              <w:right w:val="single" w:sz="4" w:space="0" w:color="auto"/>
            </w:tcBorders>
            <w:vAlign w:val="center"/>
          </w:tcPr>
          <w:p w14:paraId="2A9D15E2"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-0.7</w:t>
            </w:r>
          </w:p>
        </w:tc>
        <w:tc>
          <w:tcPr>
            <w:tcW w:w="1559" w:type="dxa"/>
            <w:tcBorders>
              <w:top w:val="nil"/>
              <w:left w:val="single" w:sz="4" w:space="0" w:color="auto"/>
              <w:bottom w:val="nil"/>
              <w:right w:val="single" w:sz="4" w:space="0" w:color="auto"/>
            </w:tcBorders>
            <w:vAlign w:val="center"/>
          </w:tcPr>
          <w:p w14:paraId="675D3FEA"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9.5</w:t>
            </w:r>
          </w:p>
        </w:tc>
      </w:tr>
      <w:tr w:rsidR="008A4BDF" w:rsidRPr="008A4BDF" w14:paraId="39C16742" w14:textId="77777777" w:rsidTr="008D28ED">
        <w:trPr>
          <w:jc w:val="center"/>
        </w:trPr>
        <w:tc>
          <w:tcPr>
            <w:tcW w:w="4820" w:type="dxa"/>
            <w:tcBorders>
              <w:top w:val="nil"/>
              <w:left w:val="single" w:sz="4" w:space="0" w:color="auto"/>
              <w:bottom w:val="nil"/>
              <w:right w:val="single" w:sz="4" w:space="0" w:color="auto"/>
            </w:tcBorders>
            <w:vAlign w:val="center"/>
          </w:tcPr>
          <w:p w14:paraId="19BA279E"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 xml:space="preserve">Vehículos  de motor, refacciones, combustibles y lubricantes     </w:t>
            </w:r>
          </w:p>
        </w:tc>
        <w:tc>
          <w:tcPr>
            <w:tcW w:w="1559" w:type="dxa"/>
            <w:tcBorders>
              <w:top w:val="nil"/>
              <w:left w:val="single" w:sz="4" w:space="0" w:color="auto"/>
              <w:bottom w:val="nil"/>
              <w:right w:val="single" w:sz="4" w:space="0" w:color="auto"/>
            </w:tcBorders>
            <w:vAlign w:val="center"/>
          </w:tcPr>
          <w:p w14:paraId="158E9CA9"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1.5</w:t>
            </w:r>
          </w:p>
        </w:tc>
        <w:tc>
          <w:tcPr>
            <w:tcW w:w="1559" w:type="dxa"/>
            <w:tcBorders>
              <w:top w:val="nil"/>
              <w:left w:val="single" w:sz="4" w:space="0" w:color="auto"/>
              <w:bottom w:val="nil"/>
              <w:right w:val="single" w:sz="4" w:space="0" w:color="auto"/>
            </w:tcBorders>
            <w:vAlign w:val="center"/>
          </w:tcPr>
          <w:p w14:paraId="1B1CC515"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2.5</w:t>
            </w:r>
          </w:p>
        </w:tc>
      </w:tr>
      <w:tr w:rsidR="008A4BDF" w:rsidRPr="008A4BDF" w14:paraId="75ECD3B7" w14:textId="77777777" w:rsidTr="008D28ED">
        <w:trPr>
          <w:jc w:val="center"/>
        </w:trPr>
        <w:tc>
          <w:tcPr>
            <w:tcW w:w="4820" w:type="dxa"/>
            <w:tcBorders>
              <w:top w:val="nil"/>
              <w:left w:val="single" w:sz="4" w:space="0" w:color="auto"/>
              <w:bottom w:val="single" w:sz="4" w:space="0" w:color="auto"/>
              <w:right w:val="single" w:sz="4" w:space="0" w:color="auto"/>
            </w:tcBorders>
            <w:vAlign w:val="center"/>
          </w:tcPr>
          <w:p w14:paraId="4BA32465" w14:textId="77777777" w:rsidR="008A4BDF" w:rsidRPr="008A4BDF" w:rsidRDefault="008A4BDF" w:rsidP="00EA3974">
            <w:pPr>
              <w:rPr>
                <w:rFonts w:eastAsia="Calibri"/>
                <w:sz w:val="18"/>
                <w:szCs w:val="18"/>
                <w:lang w:val="es-ES" w:eastAsia="en-US"/>
              </w:rPr>
            </w:pPr>
            <w:r w:rsidRPr="008A4BDF">
              <w:rPr>
                <w:rFonts w:eastAsia="Calibri"/>
                <w:sz w:val="18"/>
                <w:szCs w:val="18"/>
                <w:lang w:val="es-ES" w:eastAsia="en-US"/>
              </w:rPr>
              <w:t>Exclusivamente a través de Internet,  y catálogos impresos, televisión y similares</w:t>
            </w:r>
          </w:p>
        </w:tc>
        <w:tc>
          <w:tcPr>
            <w:tcW w:w="1559" w:type="dxa"/>
            <w:tcBorders>
              <w:top w:val="nil"/>
              <w:left w:val="single" w:sz="4" w:space="0" w:color="auto"/>
              <w:bottom w:val="single" w:sz="4" w:space="0" w:color="auto"/>
              <w:right w:val="single" w:sz="4" w:space="0" w:color="auto"/>
            </w:tcBorders>
            <w:vAlign w:val="center"/>
          </w:tcPr>
          <w:p w14:paraId="4CB8133A"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-4.2</w:t>
            </w:r>
          </w:p>
        </w:tc>
        <w:tc>
          <w:tcPr>
            <w:tcW w:w="1559" w:type="dxa"/>
            <w:tcBorders>
              <w:top w:val="nil"/>
              <w:left w:val="single" w:sz="4" w:space="0" w:color="auto"/>
              <w:bottom w:val="single" w:sz="4" w:space="0" w:color="auto"/>
              <w:right w:val="single" w:sz="4" w:space="0" w:color="auto"/>
            </w:tcBorders>
            <w:vAlign w:val="center"/>
          </w:tcPr>
          <w:p w14:paraId="4CC67E6C" w14:textId="77777777" w:rsidR="008A4BDF" w:rsidRPr="008A4BDF" w:rsidRDefault="008A4BDF" w:rsidP="008D28ED">
            <w:pPr>
              <w:ind w:right="510"/>
              <w:jc w:val="right"/>
              <w:rPr>
                <w:rFonts w:eastAsia="Calibri"/>
                <w:sz w:val="18"/>
                <w:szCs w:val="18"/>
                <w:lang w:val="es-ES" w:eastAsia="en-US"/>
              </w:rPr>
            </w:pPr>
            <w:r w:rsidRPr="008A4BDF">
              <w:rPr>
                <w:rFonts w:eastAsia="Calibri"/>
                <w:sz w:val="18"/>
                <w:szCs w:val="18"/>
                <w:lang w:val="es-ES" w:eastAsia="en-US"/>
              </w:rPr>
              <w:t>86.3</w:t>
            </w:r>
          </w:p>
        </w:tc>
      </w:tr>
      <w:tr w:rsidR="008A4BDF" w:rsidRPr="008A4BDF" w14:paraId="54DECF03" w14:textId="77777777" w:rsidTr="00EA3974">
        <w:trPr>
          <w:jc w:val="center"/>
        </w:trPr>
        <w:tc>
          <w:tcPr>
            <w:tcW w:w="7938" w:type="dxa"/>
            <w:gridSpan w:val="3"/>
            <w:tcBorders>
              <w:top w:val="single" w:sz="4" w:space="0" w:color="auto"/>
              <w:left w:val="nil"/>
              <w:bottom w:val="nil"/>
              <w:right w:val="nil"/>
            </w:tcBorders>
            <w:vAlign w:val="center"/>
          </w:tcPr>
          <w:p w14:paraId="1983158F" w14:textId="77777777" w:rsidR="008A4BDF" w:rsidRPr="008A4BDF" w:rsidRDefault="008A4BDF" w:rsidP="00EA3974">
            <w:pPr>
              <w:jc w:val="both"/>
              <w:rPr>
                <w:rFonts w:eastAsia="Calibri"/>
                <w:sz w:val="20"/>
                <w:szCs w:val="20"/>
                <w:lang w:val="es-ES" w:eastAsia="en-US"/>
              </w:rPr>
            </w:pPr>
            <w:r w:rsidRPr="008A4BDF">
              <w:rPr>
                <w:rFonts w:eastAsia="Calibri"/>
                <w:sz w:val="20"/>
                <w:szCs w:val="20"/>
                <w:lang w:val="es-ES" w:eastAsia="en-US"/>
              </w:rPr>
              <w:t>FUENTE: Elaborado por el CEESP con datos del INEGI.</w:t>
            </w:r>
          </w:p>
        </w:tc>
      </w:tr>
    </w:tbl>
    <w:p w14:paraId="02B88B8C" w14:textId="77777777" w:rsidR="008A4BDF" w:rsidRPr="008A4BDF" w:rsidRDefault="008A4BDF" w:rsidP="008A4BDF">
      <w:pPr>
        <w:spacing w:after="360" w:line="360" w:lineRule="auto"/>
        <w:ind w:right="-159"/>
        <w:jc w:val="both"/>
        <w:rPr>
          <w:rFonts w:eastAsia="Calibri"/>
          <w:sz w:val="26"/>
          <w:szCs w:val="26"/>
          <w:lang w:val="es-ES" w:eastAsia="en-US"/>
        </w:rPr>
      </w:pPr>
    </w:p>
    <w:p w14:paraId="7CCE2B15" w14:textId="77777777" w:rsidR="008A4BDF" w:rsidRP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lastRenderedPageBreak/>
        <w:t>Por el contrario, el segmento con el resultado menos favorable fue el de ventas exclusivamente a través de Internet, catálogos impresos, televisión y similares, que reportó una caída mensual de 4.2 por ciento.</w:t>
      </w:r>
    </w:p>
    <w:p w14:paraId="0C57D1CD" w14:textId="77777777" w:rsidR="008A4BDF" w:rsidRPr="008A4BDF" w:rsidRDefault="008A4BDF" w:rsidP="008A4BDF">
      <w:pPr>
        <w:spacing w:after="360" w:line="360" w:lineRule="auto"/>
        <w:ind w:right="-159"/>
        <w:jc w:val="both"/>
        <w:rPr>
          <w:rFonts w:eastAsia="Calibri"/>
          <w:b/>
          <w:sz w:val="26"/>
          <w:szCs w:val="26"/>
          <w:lang w:val="es-ES" w:eastAsia="en-US"/>
        </w:rPr>
      </w:pPr>
      <w:r w:rsidRPr="008A4BDF">
        <w:rPr>
          <w:rFonts w:eastAsia="Calibri"/>
          <w:b/>
          <w:sz w:val="26"/>
          <w:szCs w:val="26"/>
          <w:lang w:val="es-ES" w:eastAsia="en-US"/>
        </w:rPr>
        <w:t xml:space="preserve">Estados Unidos de Norteamérica </w:t>
      </w:r>
    </w:p>
    <w:p w14:paraId="201851C2" w14:textId="6602C9FE" w:rsid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t>De acuerdo con la Reserva Federal, durante febrero la actividad industrial del país creció a un rimo mensual de 0.1%, lo que significó su primera variación positiva después de dos meses consecutivos a la baja. Se puede decir mucho sobre el efecto negativo que tuvieron las condiciones climáticas en la evolución de la actividad productiva durante febrero, pero también es justo decir que estas mismas condiciones igualmente tuvieron efectos positivos que incluso fueron suficientes para que el indicador general reportara una variación positiva, lo cual se refleja en el incremento mensual de 7.3% en el rubro de servicios públicos, que fue suficiente para contrarrestar los efectos de la caída de 2.5% en la minería y de 0.2% en la producción manufacturera.</w:t>
      </w:r>
    </w:p>
    <w:tbl>
      <w:tblPr>
        <w:tblW w:w="9209" w:type="dxa"/>
        <w:tblLook w:val="04A0" w:firstRow="1" w:lastRow="0" w:firstColumn="1" w:lastColumn="0" w:noHBand="0" w:noVBand="1"/>
      </w:tblPr>
      <w:tblGrid>
        <w:gridCol w:w="9209"/>
      </w:tblGrid>
      <w:tr w:rsidR="008A4BDF" w:rsidRPr="008A4BDF" w14:paraId="4483152A" w14:textId="77777777" w:rsidTr="00EA3974">
        <w:tc>
          <w:tcPr>
            <w:tcW w:w="9209" w:type="dxa"/>
          </w:tcPr>
          <w:p w14:paraId="6005405D" w14:textId="77777777" w:rsidR="008A4BDF" w:rsidRPr="008A4BDF" w:rsidRDefault="008A4BDF" w:rsidP="00EA3974">
            <w:pPr>
              <w:jc w:val="center"/>
              <w:rPr>
                <w:rFonts w:eastAsia="Calibri"/>
                <w:b/>
                <w:sz w:val="22"/>
                <w:szCs w:val="26"/>
                <w:lang w:val="es-ES" w:eastAsia="en-US"/>
              </w:rPr>
            </w:pPr>
            <w:r w:rsidRPr="008A4BDF">
              <w:rPr>
                <w:rFonts w:eastAsia="Calibri"/>
                <w:b/>
                <w:sz w:val="22"/>
                <w:szCs w:val="26"/>
                <w:lang w:val="es-ES" w:eastAsia="en-US"/>
              </w:rPr>
              <w:t>ESTADOS UNIDOS DE NORTEAMÉRICA: PRODUCCIÓN INDUSTRIAL</w:t>
            </w:r>
          </w:p>
        </w:tc>
      </w:tr>
      <w:tr w:rsidR="008A4BDF" w:rsidRPr="008A4BDF" w14:paraId="038DEEAA" w14:textId="77777777" w:rsidTr="00EA3974">
        <w:tc>
          <w:tcPr>
            <w:tcW w:w="9209" w:type="dxa"/>
          </w:tcPr>
          <w:p w14:paraId="73CFBCE1" w14:textId="77777777" w:rsidR="008A4BDF" w:rsidRPr="008A4BDF" w:rsidRDefault="008A4BDF" w:rsidP="00EA3974">
            <w:pPr>
              <w:jc w:val="center"/>
              <w:rPr>
                <w:rFonts w:eastAsia="Calibri"/>
                <w:sz w:val="22"/>
                <w:szCs w:val="26"/>
                <w:lang w:val="es-ES" w:eastAsia="en-US"/>
              </w:rPr>
            </w:pPr>
            <w:r w:rsidRPr="008A4BDF">
              <w:rPr>
                <w:rFonts w:eastAsia="Calibri"/>
                <w:noProof/>
                <w:sz w:val="22"/>
                <w:szCs w:val="26"/>
                <w:lang w:eastAsia="es-MX"/>
              </w:rPr>
              <w:drawing>
                <wp:inline distT="0" distB="0" distL="0" distR="0" wp14:anchorId="63E2C8BE" wp14:editId="0E3BFC37">
                  <wp:extent cx="5031816" cy="2880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5222" b="1342"/>
                          <a:stretch/>
                        </pic:blipFill>
                        <pic:spPr bwMode="auto">
                          <a:xfrm>
                            <a:off x="0" y="0"/>
                            <a:ext cx="5031816"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A4BDF" w:rsidRPr="008A4BDF" w14:paraId="48F2F905" w14:textId="77777777" w:rsidTr="00EA3974">
        <w:tc>
          <w:tcPr>
            <w:tcW w:w="9209" w:type="dxa"/>
          </w:tcPr>
          <w:p w14:paraId="7709AB06" w14:textId="77777777" w:rsidR="008A4BDF" w:rsidRPr="008A4BDF" w:rsidRDefault="008A4BDF" w:rsidP="00EA3974">
            <w:pPr>
              <w:ind w:firstLine="738"/>
              <w:jc w:val="both"/>
              <w:rPr>
                <w:rFonts w:eastAsia="Calibri"/>
                <w:sz w:val="20"/>
                <w:szCs w:val="26"/>
                <w:lang w:val="es-ES" w:eastAsia="en-US"/>
              </w:rPr>
            </w:pPr>
            <w:r w:rsidRPr="008A4BDF">
              <w:rPr>
                <w:rFonts w:eastAsia="Calibri"/>
                <w:sz w:val="20"/>
                <w:szCs w:val="26"/>
                <w:lang w:val="es-ES" w:eastAsia="en-US"/>
              </w:rPr>
              <w:t>FUENTE: Elaborado por el CEESP con datos de la Reserva Federal.</w:t>
            </w:r>
          </w:p>
        </w:tc>
      </w:tr>
    </w:tbl>
    <w:p w14:paraId="2C4807C3" w14:textId="77777777" w:rsidR="008A4BDF" w:rsidRPr="008A4BDF" w:rsidRDefault="008A4BDF" w:rsidP="008A4BDF">
      <w:pPr>
        <w:spacing w:after="360" w:line="360" w:lineRule="auto"/>
        <w:ind w:right="-159"/>
        <w:jc w:val="both"/>
        <w:rPr>
          <w:rFonts w:eastAsia="Calibri"/>
          <w:sz w:val="26"/>
          <w:szCs w:val="26"/>
          <w:lang w:val="es-ES" w:eastAsia="en-US"/>
        </w:rPr>
      </w:pPr>
    </w:p>
    <w:p w14:paraId="625EA099" w14:textId="37F5DB05" w:rsidR="008A4BDF" w:rsidRDefault="008A4BDF" w:rsidP="008A4BDF">
      <w:pPr>
        <w:spacing w:after="360" w:line="360" w:lineRule="auto"/>
        <w:ind w:right="-159"/>
        <w:jc w:val="both"/>
        <w:rPr>
          <w:rFonts w:eastAsia="Calibri"/>
          <w:sz w:val="26"/>
          <w:szCs w:val="26"/>
          <w:lang w:val="es-ES" w:eastAsia="en-US"/>
        </w:rPr>
      </w:pPr>
      <w:r w:rsidRPr="008A4BDF">
        <w:rPr>
          <w:rFonts w:eastAsia="Calibri"/>
          <w:sz w:val="26"/>
          <w:szCs w:val="26"/>
          <w:lang w:val="es-ES" w:eastAsia="en-US"/>
        </w:rPr>
        <w:lastRenderedPageBreak/>
        <w:t>Por su parte, el Departamento de Vivienda y Desarrollo Urbano señaló que con base en cifras anualizadas, en febrero se inició la construcción de 897 mil viviendas, cifra que significó una caída de 17.0% respecto al mes previo y una disminución de 3.3% si se compara con el dato de febrero del 2014. Este comportamiento podría estar ligado a los efectos negativos generados por las malas condiciones climatológicas. Sin embargo, el número de permisos solicitados para la construcción de vivienda sumaron 1 millón 92 mil en el mes, lo que representó un avance mensual de 3.0% y uno anual de 7.7 por ciento.</w:t>
      </w:r>
    </w:p>
    <w:tbl>
      <w:tblPr>
        <w:tblW w:w="9209" w:type="dxa"/>
        <w:tblLook w:val="04A0" w:firstRow="1" w:lastRow="0" w:firstColumn="1" w:lastColumn="0" w:noHBand="0" w:noVBand="1"/>
      </w:tblPr>
      <w:tblGrid>
        <w:gridCol w:w="9209"/>
      </w:tblGrid>
      <w:tr w:rsidR="008A4BDF" w:rsidRPr="008A4BDF" w14:paraId="4C4077E8" w14:textId="77777777" w:rsidTr="00EA3974">
        <w:tc>
          <w:tcPr>
            <w:tcW w:w="9209" w:type="dxa"/>
          </w:tcPr>
          <w:p w14:paraId="634408D6" w14:textId="77777777" w:rsidR="008A4BDF" w:rsidRPr="008A4BDF" w:rsidRDefault="008A4BDF" w:rsidP="00EA3974">
            <w:pPr>
              <w:jc w:val="center"/>
              <w:rPr>
                <w:rFonts w:eastAsia="Calibri"/>
                <w:b/>
                <w:sz w:val="22"/>
                <w:szCs w:val="26"/>
                <w:lang w:val="es-ES" w:eastAsia="en-US"/>
              </w:rPr>
            </w:pPr>
            <w:r w:rsidRPr="008A4BDF">
              <w:rPr>
                <w:rFonts w:eastAsia="Calibri"/>
                <w:b/>
                <w:sz w:val="22"/>
                <w:szCs w:val="26"/>
                <w:lang w:val="es-ES" w:eastAsia="en-US"/>
              </w:rPr>
              <w:t>SECTOR INMOBILIARIO</w:t>
            </w:r>
          </w:p>
          <w:p w14:paraId="4413F23A" w14:textId="77777777" w:rsidR="008A4BDF" w:rsidRPr="008A4BDF" w:rsidRDefault="008A4BDF" w:rsidP="00EA3974">
            <w:pPr>
              <w:jc w:val="center"/>
              <w:rPr>
                <w:rFonts w:eastAsia="Calibri"/>
                <w:b/>
                <w:sz w:val="22"/>
                <w:szCs w:val="26"/>
                <w:lang w:val="es-ES" w:eastAsia="en-US"/>
              </w:rPr>
            </w:pPr>
            <w:r w:rsidRPr="008A4BDF">
              <w:rPr>
                <w:rFonts w:eastAsia="Calibri"/>
                <w:b/>
                <w:sz w:val="22"/>
                <w:szCs w:val="26"/>
                <w:lang w:val="es-ES" w:eastAsia="en-US"/>
              </w:rPr>
              <w:t>-Miles-</w:t>
            </w:r>
          </w:p>
        </w:tc>
      </w:tr>
      <w:tr w:rsidR="008A4BDF" w:rsidRPr="008A4BDF" w14:paraId="4C97E871" w14:textId="77777777" w:rsidTr="00EA3974">
        <w:tc>
          <w:tcPr>
            <w:tcW w:w="9209" w:type="dxa"/>
          </w:tcPr>
          <w:p w14:paraId="6044DB24" w14:textId="77777777" w:rsidR="008A4BDF" w:rsidRPr="008A4BDF" w:rsidRDefault="008A4BDF" w:rsidP="00EA3974">
            <w:pPr>
              <w:jc w:val="center"/>
              <w:rPr>
                <w:rFonts w:eastAsia="Calibri"/>
                <w:sz w:val="22"/>
                <w:szCs w:val="26"/>
                <w:lang w:val="es-ES" w:eastAsia="en-US"/>
              </w:rPr>
            </w:pPr>
            <w:r w:rsidRPr="008A4BDF">
              <w:rPr>
                <w:rFonts w:eastAsia="Calibri"/>
                <w:noProof/>
                <w:sz w:val="22"/>
                <w:szCs w:val="26"/>
                <w:lang w:eastAsia="es-MX"/>
              </w:rPr>
              <w:drawing>
                <wp:inline distT="0" distB="0" distL="0" distR="0" wp14:anchorId="2E477FA1" wp14:editId="07F81F6E">
                  <wp:extent cx="5074553" cy="28800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437" b="1545"/>
                          <a:stretch/>
                        </pic:blipFill>
                        <pic:spPr bwMode="auto">
                          <a:xfrm>
                            <a:off x="0" y="0"/>
                            <a:ext cx="5074553"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A4BDF" w:rsidRPr="008A4BDF" w14:paraId="42BF26AE" w14:textId="77777777" w:rsidTr="00EA3974">
        <w:tc>
          <w:tcPr>
            <w:tcW w:w="9209" w:type="dxa"/>
          </w:tcPr>
          <w:p w14:paraId="7ABD1442" w14:textId="77777777" w:rsidR="008A4BDF" w:rsidRPr="008A4BDF" w:rsidRDefault="008A4BDF" w:rsidP="00EA3974">
            <w:pPr>
              <w:ind w:firstLine="738"/>
              <w:jc w:val="both"/>
              <w:rPr>
                <w:rFonts w:eastAsia="Calibri"/>
                <w:sz w:val="20"/>
                <w:szCs w:val="26"/>
                <w:lang w:val="es-ES" w:eastAsia="en-US"/>
              </w:rPr>
            </w:pPr>
            <w:r w:rsidRPr="008A4BDF">
              <w:rPr>
                <w:rFonts w:eastAsia="Calibri"/>
                <w:sz w:val="20"/>
                <w:szCs w:val="26"/>
                <w:lang w:val="es-ES" w:eastAsia="en-US"/>
              </w:rPr>
              <w:t>FUENTE: Elaborado por el CEESP con datos del Census Bureau.</w:t>
            </w:r>
          </w:p>
        </w:tc>
      </w:tr>
    </w:tbl>
    <w:p w14:paraId="3A3BC10B" w14:textId="77777777" w:rsidR="008A4BDF" w:rsidRPr="008A4BDF" w:rsidRDefault="008A4BDF" w:rsidP="008A4BDF">
      <w:pPr>
        <w:spacing w:after="360" w:line="360" w:lineRule="auto"/>
        <w:ind w:right="-159"/>
        <w:jc w:val="both"/>
        <w:rPr>
          <w:rFonts w:eastAsia="Calibri"/>
          <w:sz w:val="26"/>
          <w:szCs w:val="26"/>
          <w:lang w:val="es-ES" w:eastAsia="en-US"/>
        </w:rPr>
      </w:pPr>
    </w:p>
    <w:p w14:paraId="2169A90D" w14:textId="77777777" w:rsidR="008A4BDF" w:rsidRPr="008A4BDF" w:rsidRDefault="008A4BDF" w:rsidP="008A4BDF">
      <w:pPr>
        <w:ind w:right="-159"/>
        <w:jc w:val="both"/>
        <w:rPr>
          <w:rFonts w:eastAsia="Calibri"/>
          <w:b/>
          <w:sz w:val="20"/>
          <w:szCs w:val="20"/>
          <w:lang w:val="es-ES" w:eastAsia="en-US"/>
        </w:rPr>
      </w:pPr>
      <w:r w:rsidRPr="008A4BDF">
        <w:rPr>
          <w:rFonts w:eastAsia="Calibri"/>
          <w:b/>
          <w:sz w:val="20"/>
          <w:szCs w:val="20"/>
          <w:lang w:val="es-ES" w:eastAsia="en-US"/>
        </w:rPr>
        <w:t>Fuente de información:</w:t>
      </w:r>
    </w:p>
    <w:p w14:paraId="6D871A55" w14:textId="77777777" w:rsidR="008A4BDF" w:rsidRPr="00AF4B25" w:rsidRDefault="0045651A" w:rsidP="008A4BDF">
      <w:pPr>
        <w:ind w:right="-159"/>
        <w:jc w:val="both"/>
        <w:rPr>
          <w:rFonts w:eastAsia="Calibri"/>
          <w:b/>
          <w:color w:val="0000FF"/>
          <w:sz w:val="20"/>
          <w:szCs w:val="20"/>
          <w:lang w:val="es-ES" w:eastAsia="en-US"/>
        </w:rPr>
      </w:pPr>
      <w:hyperlink r:id="rId33" w:history="1">
        <w:r w:rsidR="008A4BDF" w:rsidRPr="00AF4B25">
          <w:rPr>
            <w:rFonts w:eastAsia="Calibri"/>
            <w:color w:val="0000FF"/>
            <w:sz w:val="20"/>
            <w:szCs w:val="20"/>
            <w:u w:val="single"/>
            <w:lang w:val="es-ES" w:eastAsia="en-US"/>
          </w:rPr>
          <w:t>http://ceesp.org.mx/aeje/AEJE_23Mar2015.pdf</w:t>
        </w:r>
      </w:hyperlink>
    </w:p>
    <w:p w14:paraId="730A1B13" w14:textId="77777777" w:rsidR="008A4BDF" w:rsidRDefault="008A4BDF" w:rsidP="008A4BDF">
      <w:pPr>
        <w:tabs>
          <w:tab w:val="left" w:pos="9072"/>
        </w:tabs>
        <w:spacing w:after="360" w:line="360" w:lineRule="auto"/>
        <w:ind w:right="-159"/>
        <w:jc w:val="both"/>
        <w:rPr>
          <w:sz w:val="26"/>
          <w:szCs w:val="26"/>
          <w:lang w:val="es-ES"/>
        </w:rPr>
      </w:pPr>
    </w:p>
    <w:p w14:paraId="0A47D3D3" w14:textId="77777777" w:rsidR="009940FA" w:rsidRDefault="009940FA" w:rsidP="008A4BDF">
      <w:pPr>
        <w:tabs>
          <w:tab w:val="left" w:pos="9072"/>
        </w:tabs>
        <w:spacing w:after="360" w:line="360" w:lineRule="auto"/>
        <w:ind w:right="-159"/>
        <w:jc w:val="both"/>
        <w:rPr>
          <w:sz w:val="26"/>
          <w:szCs w:val="26"/>
          <w:lang w:val="es-ES"/>
        </w:rPr>
      </w:pPr>
    </w:p>
    <w:p w14:paraId="00960B57" w14:textId="77777777" w:rsidR="009940FA" w:rsidRDefault="009940FA" w:rsidP="008A4BDF">
      <w:pPr>
        <w:tabs>
          <w:tab w:val="left" w:pos="9072"/>
        </w:tabs>
        <w:spacing w:after="360" w:line="360" w:lineRule="auto"/>
        <w:ind w:right="-159"/>
        <w:jc w:val="both"/>
        <w:rPr>
          <w:sz w:val="26"/>
          <w:szCs w:val="26"/>
          <w:lang w:val="es-ES"/>
        </w:rPr>
      </w:pPr>
    </w:p>
    <w:p w14:paraId="55CC2F55" w14:textId="77777777" w:rsidR="00606E43" w:rsidRPr="00606E43" w:rsidRDefault="00606E43" w:rsidP="00606E43">
      <w:pPr>
        <w:spacing w:after="360"/>
        <w:ind w:right="2693"/>
        <w:jc w:val="both"/>
        <w:rPr>
          <w:rFonts w:eastAsia="Calibri"/>
          <w:b/>
          <w:sz w:val="26"/>
          <w:szCs w:val="26"/>
          <w:lang w:eastAsia="en-US"/>
        </w:rPr>
      </w:pPr>
      <w:r w:rsidRPr="00606E43">
        <w:rPr>
          <w:rFonts w:eastAsia="Calibri"/>
          <w:b/>
          <w:sz w:val="26"/>
          <w:szCs w:val="26"/>
          <w:lang w:eastAsia="en-US"/>
        </w:rPr>
        <w:lastRenderedPageBreak/>
        <w:t>Expertos opinan: Medidas puntuales para elevar el crecimiento ante la caída del precio del petróleo y la expectativa de un incremento en las tasas de interés en Estados Unidos de Norteamérica (México ¿cómo vamos?)</w:t>
      </w:r>
    </w:p>
    <w:p w14:paraId="1540B915" w14:textId="4A973FDB"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 xml:space="preserve">El 13 de abril de 2015, el observatorio económico </w:t>
      </w:r>
      <w:r w:rsidRPr="00606E43">
        <w:rPr>
          <w:rFonts w:eastAsia="Calibri"/>
          <w:i/>
          <w:sz w:val="26"/>
          <w:szCs w:val="26"/>
          <w:lang w:val="es-ES" w:eastAsia="en-US"/>
        </w:rPr>
        <w:t>México ¿cómo vamos?</w:t>
      </w:r>
      <w:r w:rsidRPr="00606E43">
        <w:rPr>
          <w:rFonts w:eastAsia="Calibri"/>
          <w:sz w:val="26"/>
          <w:szCs w:val="26"/>
          <w:lang w:val="es-ES" w:eastAsia="en-US"/>
        </w:rPr>
        <w:t xml:space="preserve"> indicó que es imprescindible mejorar la calidad del gasto público e incentivar únicamente proyectos de alta rentabilidad e indispensable implementar medidas fiscales que incentiven la inversión.</w:t>
      </w:r>
    </w:p>
    <w:p w14:paraId="6F090F00" w14:textId="7777777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Los expertos de este foro consideran que ante la caída del precio del petróleo y la expectativa de un incremento en las tasas de interés de Estados Unidos de Norteamérica es prioritario (1) hacer el gasto público más eficiente; (2) modificar el sistema fiscal para promover la inversión privada; (3) apostarle más a las exportaciones; (4) ampliar la capacitación para el trabajo; y (5) fortalecer el sistema de justicia.</w:t>
      </w:r>
    </w:p>
    <w:p w14:paraId="499171EE" w14:textId="7777777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 xml:space="preserve">En su pregunta quincenal el observatorio económico </w:t>
      </w:r>
      <w:r w:rsidRPr="00606E43">
        <w:rPr>
          <w:rFonts w:eastAsia="Calibri"/>
          <w:i/>
          <w:sz w:val="26"/>
          <w:szCs w:val="26"/>
          <w:lang w:val="es-ES" w:eastAsia="en-US"/>
        </w:rPr>
        <w:t>México ¿cómo vamos?</w:t>
      </w:r>
      <w:r w:rsidRPr="00606E43">
        <w:rPr>
          <w:rFonts w:eastAsia="Calibri"/>
          <w:sz w:val="26"/>
          <w:szCs w:val="26"/>
          <w:lang w:val="es-ES" w:eastAsia="en-US"/>
        </w:rPr>
        <w:t xml:space="preserve"> consultó a los expertos en economía y política pública que lo conforman sobre las medidas que recomendarían a la presente Administración para elevar el crecimiento económico; 21 especialistas respondieron y sus recomendaciones se centran en cinco medidas.</w:t>
      </w:r>
    </w:p>
    <w:p w14:paraId="6BCC85E9" w14:textId="7777777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 xml:space="preserve">Primero, enfocarse en un gasto público más eficiente. Al respecto, destacan las propuestas hechas por un economista quien sugiere “evitar que nóminas bajo control de los sindicatos sigan pagando a personas que no prestan servicio alguno”. Por su parte, un profesor del Instituto Tecnológico Autónomo de México (ITAM), propone “eliminar programas con rentabilidad social negativa y programas regresivos“. Un académico de la Universidad Nacional Autónoma de México (UNAM) y un miembro de la Comisión Económica para América Latina y el Caribe (CEPAL) invitan a re-direccionar el gasto a inversión y mantener en marcha sólo proyectos que inciden en forma importante en el crecimiento. En palabras de una representante del ITAM es </w:t>
      </w:r>
      <w:r w:rsidRPr="00606E43">
        <w:rPr>
          <w:rFonts w:eastAsia="Calibri"/>
          <w:sz w:val="26"/>
          <w:szCs w:val="26"/>
          <w:lang w:val="es-ES" w:eastAsia="en-US"/>
        </w:rPr>
        <w:lastRenderedPageBreak/>
        <w:t>necesario que “el recorte se vaya primordialmente a gasto corriente no-indispensable y tratar de no afectar el gasto en inversión e infraestructura, siempre que se trate de inversiones financieramente rentables.”</w:t>
      </w:r>
    </w:p>
    <w:p w14:paraId="203A1C4E" w14:textId="303B934B"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 xml:space="preserve">Segundo, promover la inversión mediante una modificación del sistema fiscal. Así, el rector del </w:t>
      </w:r>
      <w:r>
        <w:rPr>
          <w:rFonts w:eastAsia="Calibri"/>
          <w:sz w:val="26"/>
          <w:szCs w:val="26"/>
          <w:lang w:val="es-ES" w:eastAsia="en-US"/>
        </w:rPr>
        <w:t>Instituto Tecnológico Autónomo de México (</w:t>
      </w:r>
      <w:r w:rsidRPr="00606E43">
        <w:rPr>
          <w:rFonts w:eastAsia="Calibri"/>
          <w:sz w:val="26"/>
          <w:szCs w:val="26"/>
          <w:lang w:val="es-ES" w:eastAsia="en-US"/>
        </w:rPr>
        <w:t>ITAM</w:t>
      </w:r>
      <w:r>
        <w:rPr>
          <w:rFonts w:eastAsia="Calibri"/>
          <w:sz w:val="26"/>
          <w:szCs w:val="26"/>
          <w:lang w:val="es-ES" w:eastAsia="en-US"/>
        </w:rPr>
        <w:t>)</w:t>
      </w:r>
      <w:r w:rsidRPr="00606E43">
        <w:rPr>
          <w:rFonts w:eastAsia="Calibri"/>
          <w:sz w:val="26"/>
          <w:szCs w:val="26"/>
          <w:lang w:val="es-ES" w:eastAsia="en-US"/>
        </w:rPr>
        <w:t>, plantea “una futura y paulatina reducción de la tasa del Impuesto sobre la Renta (ISR) del 35 al 30% y la eliminación del ISR especial a los dividendos”. Por su parte, un miembro del Centro de Estudios Espinosa Yglesias (CEEY) pide “revisar aquellas medidas que claramente inhibieron la inversión y darles un período más largo de implementación”; mientras que un experto de GNP, sugiere “reestablecer la deducción de inversiones para efectos fiscales.”</w:t>
      </w:r>
    </w:p>
    <w:p w14:paraId="705C9C19" w14:textId="287B0C6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 xml:space="preserve">Tercero, fomento a las exportaciones. Dos expertos de la </w:t>
      </w:r>
      <w:r>
        <w:rPr>
          <w:rFonts w:eastAsia="Calibri"/>
          <w:sz w:val="26"/>
          <w:szCs w:val="26"/>
          <w:lang w:val="es-ES" w:eastAsia="en-US"/>
        </w:rPr>
        <w:t xml:space="preserve">Universidad </w:t>
      </w:r>
      <w:r w:rsidR="00AC0105">
        <w:rPr>
          <w:rFonts w:eastAsia="Calibri"/>
          <w:sz w:val="26"/>
          <w:szCs w:val="26"/>
          <w:lang w:val="es-ES" w:eastAsia="en-US"/>
        </w:rPr>
        <w:t>N</w:t>
      </w:r>
      <w:r>
        <w:rPr>
          <w:rFonts w:eastAsia="Calibri"/>
          <w:sz w:val="26"/>
          <w:szCs w:val="26"/>
          <w:lang w:val="es-ES" w:eastAsia="en-US"/>
        </w:rPr>
        <w:t>acional Autómoma de México (</w:t>
      </w:r>
      <w:r w:rsidRPr="00606E43">
        <w:rPr>
          <w:rFonts w:eastAsia="Calibri"/>
          <w:sz w:val="26"/>
          <w:szCs w:val="26"/>
          <w:lang w:val="es-ES" w:eastAsia="en-US"/>
        </w:rPr>
        <w:t>UNAM</w:t>
      </w:r>
      <w:r>
        <w:rPr>
          <w:rFonts w:eastAsia="Calibri"/>
          <w:sz w:val="26"/>
          <w:szCs w:val="26"/>
          <w:lang w:val="es-ES" w:eastAsia="en-US"/>
        </w:rPr>
        <w:t>)</w:t>
      </w:r>
      <w:r w:rsidRPr="00606E43">
        <w:rPr>
          <w:rFonts w:eastAsia="Calibri"/>
          <w:sz w:val="26"/>
          <w:szCs w:val="26"/>
          <w:lang w:val="es-ES" w:eastAsia="en-US"/>
        </w:rPr>
        <w:t xml:space="preserve"> coinciden en implementar medidas especiales que favorezcan las exportaciones a fin de poder aprovechar la devaluación del peso para impulsar el sector exportador.</w:t>
      </w:r>
    </w:p>
    <w:p w14:paraId="2BDD5B07" w14:textId="7777777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Cuarto, ampliar la capacitación para el trabajo a fin de fomentar el empleo y la productividad. El representante del Banco Interamericano de Desarrollo (BID) considera que la clave está en proteger el empleo y sugiere que es momento de “implementar medidas como becas de capacitación laboral a los buscadores de empleo o el programa de empleo temporal”.</w:t>
      </w:r>
    </w:p>
    <w:p w14:paraId="65F9DD67" w14:textId="13978364"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t>Finalmente, fortalecer el sistema de justicia. El profesor del ITAM destacó la necesidad de fortalecer garantías judiciales para el cumplimiento de los contratos; mientras que el analista del CEEY pide “tomarse muy en serio el Sistema Nacional Anticorrupción, para recuperar la credibilidad”. Otro profesor subrayó la necesidad de “hacer realidad el estado de derecho” a fin de elevar la competitividad de la economía mexicana”.</w:t>
      </w:r>
    </w:p>
    <w:p w14:paraId="3DAFABA8" w14:textId="77777777" w:rsidR="00606E43" w:rsidRPr="00606E43" w:rsidRDefault="00606E43" w:rsidP="00606E43">
      <w:pPr>
        <w:spacing w:after="360" w:line="360" w:lineRule="auto"/>
        <w:ind w:right="-159"/>
        <w:jc w:val="both"/>
        <w:rPr>
          <w:rFonts w:eastAsia="Calibri"/>
          <w:sz w:val="26"/>
          <w:szCs w:val="26"/>
          <w:lang w:val="es-ES" w:eastAsia="en-US"/>
        </w:rPr>
      </w:pPr>
      <w:r w:rsidRPr="00606E43">
        <w:rPr>
          <w:rFonts w:eastAsia="Calibri"/>
          <w:sz w:val="26"/>
          <w:szCs w:val="26"/>
          <w:lang w:val="es-ES" w:eastAsia="en-US"/>
        </w:rPr>
        <w:lastRenderedPageBreak/>
        <w:t xml:space="preserve">Por último, la directora del observatorio destacó que “la disminución del precio del petróleo y el inminente aumento de las tasas de interés de Estados Unidos de Norteamérica es preocupante porque muestra que tenemos un sistema fiscal que recauda poco y de pocas personas, y un gasto público ineficiente y dependiente del petróleo” y concluyó enfatizando que “éste es el momento de atrevernos a comenzar a cobrar impuestos al consumo y al capital en vez del trabajo, y de atacar de frente la corrupción que reduce la productividad de los proyectos públicos”. </w:t>
      </w:r>
    </w:p>
    <w:p w14:paraId="175933CF" w14:textId="77777777" w:rsidR="00606E43" w:rsidRPr="00606E43" w:rsidRDefault="00606E43" w:rsidP="00606E43">
      <w:pPr>
        <w:ind w:right="-159"/>
        <w:jc w:val="both"/>
        <w:rPr>
          <w:rFonts w:eastAsia="Calibri"/>
          <w:b/>
          <w:sz w:val="20"/>
          <w:szCs w:val="20"/>
          <w:lang w:eastAsia="en-US"/>
        </w:rPr>
      </w:pPr>
      <w:r w:rsidRPr="00606E43">
        <w:rPr>
          <w:rFonts w:eastAsia="Calibri"/>
          <w:b/>
          <w:sz w:val="20"/>
          <w:szCs w:val="20"/>
          <w:lang w:eastAsia="en-US"/>
        </w:rPr>
        <w:t>Fuente de información:</w:t>
      </w:r>
    </w:p>
    <w:p w14:paraId="542555A1" w14:textId="77777777" w:rsidR="00606E43" w:rsidRPr="00AF4B25" w:rsidRDefault="0045651A" w:rsidP="00AF4B25">
      <w:pPr>
        <w:spacing w:after="720"/>
        <w:ind w:right="-159"/>
        <w:jc w:val="both"/>
        <w:rPr>
          <w:rFonts w:eastAsia="Calibri"/>
          <w:b/>
          <w:color w:val="0000FF"/>
          <w:sz w:val="20"/>
          <w:szCs w:val="20"/>
          <w:lang w:eastAsia="en-US"/>
        </w:rPr>
      </w:pPr>
      <w:hyperlink r:id="rId34" w:history="1">
        <w:r w:rsidR="00606E43" w:rsidRPr="00AF4B25">
          <w:rPr>
            <w:rFonts w:eastAsia="Calibri"/>
            <w:color w:val="0000FF"/>
            <w:sz w:val="20"/>
            <w:szCs w:val="20"/>
            <w:u w:val="single"/>
            <w:lang w:eastAsia="en-US"/>
          </w:rPr>
          <w:t>http://www.mexicocomovamos.mx/expertos-opinan-medidas-puntuales-para-elevar-el-crecimiento-ante-la-caida-del-precio-del-petroleo-y-la-expectativa-de-un-incremento-en-las-tasas-de-interes-en-eua/</w:t>
        </w:r>
      </w:hyperlink>
    </w:p>
    <w:p w14:paraId="4375F61A" w14:textId="77777777" w:rsidR="003D29BB" w:rsidRPr="003D29BB" w:rsidRDefault="003D29BB" w:rsidP="003D29BB">
      <w:pPr>
        <w:ind w:right="-159"/>
        <w:jc w:val="both"/>
        <w:rPr>
          <w:rFonts w:eastAsia="Calibri"/>
          <w:b/>
          <w:sz w:val="26"/>
          <w:szCs w:val="26"/>
          <w:lang w:eastAsia="en-US"/>
        </w:rPr>
      </w:pPr>
      <w:r w:rsidRPr="003D29BB">
        <w:rPr>
          <w:rFonts w:eastAsia="Calibri"/>
          <w:b/>
          <w:sz w:val="26"/>
          <w:szCs w:val="26"/>
          <w:lang w:eastAsia="en-US"/>
        </w:rPr>
        <w:t xml:space="preserve">Se reconoce el esfuerzo y la labor del Congreso </w:t>
      </w:r>
    </w:p>
    <w:p w14:paraId="1F6F13FF" w14:textId="77777777" w:rsidR="003D29BB" w:rsidRPr="003D29BB" w:rsidRDefault="003D29BB" w:rsidP="003D29BB">
      <w:pPr>
        <w:ind w:right="-159"/>
        <w:jc w:val="both"/>
        <w:rPr>
          <w:rFonts w:eastAsia="Calibri"/>
          <w:b/>
          <w:sz w:val="26"/>
          <w:szCs w:val="26"/>
          <w:lang w:eastAsia="en-US"/>
        </w:rPr>
      </w:pPr>
      <w:r w:rsidRPr="003D29BB">
        <w:rPr>
          <w:rFonts w:eastAsia="Calibri"/>
          <w:b/>
          <w:sz w:val="26"/>
          <w:szCs w:val="26"/>
          <w:lang w:eastAsia="en-US"/>
        </w:rPr>
        <w:t xml:space="preserve">por  aprobar  ley  que permitirá  el impulso del </w:t>
      </w:r>
    </w:p>
    <w:p w14:paraId="035EDB3B" w14:textId="77777777" w:rsidR="003D29BB" w:rsidRPr="003D29BB" w:rsidRDefault="003D29BB" w:rsidP="003D29BB">
      <w:pPr>
        <w:spacing w:after="360" w:line="360" w:lineRule="auto"/>
        <w:ind w:right="-159"/>
        <w:jc w:val="both"/>
        <w:rPr>
          <w:rFonts w:eastAsia="Calibri"/>
          <w:b/>
          <w:sz w:val="26"/>
          <w:szCs w:val="26"/>
          <w:lang w:eastAsia="en-US"/>
        </w:rPr>
      </w:pPr>
      <w:r w:rsidRPr="003D29BB">
        <w:rPr>
          <w:rFonts w:eastAsia="Calibri"/>
          <w:b/>
          <w:sz w:val="26"/>
          <w:szCs w:val="26"/>
          <w:lang w:eastAsia="en-US"/>
        </w:rPr>
        <w:t>desarrollo económico de México (SHCP)</w:t>
      </w:r>
    </w:p>
    <w:p w14:paraId="690D25BF" w14:textId="77777777" w:rsidR="003D29BB" w:rsidRPr="003D29BB" w:rsidRDefault="003D29BB" w:rsidP="003D29BB">
      <w:pPr>
        <w:spacing w:after="360" w:line="360" w:lineRule="auto"/>
        <w:ind w:right="-159"/>
        <w:jc w:val="both"/>
        <w:rPr>
          <w:rFonts w:eastAsia="Calibri"/>
          <w:sz w:val="26"/>
          <w:szCs w:val="26"/>
          <w:lang w:eastAsia="en-US"/>
        </w:rPr>
      </w:pPr>
      <w:r w:rsidRPr="003D29BB">
        <w:rPr>
          <w:rFonts w:eastAsia="Calibri"/>
          <w:sz w:val="26"/>
          <w:szCs w:val="26"/>
          <w:lang w:eastAsia="en-US"/>
        </w:rPr>
        <w:t>El 23 de marzo de 2015, la Secretaría de Hacienda y Crédito Público (SHCP) dio a conocer que reconoce el esfuerzo y la labor del Congreso por aprobar ley que permitirá el impulso del desarrollo económico de México. A continuación se presenta la información.</w:t>
      </w:r>
    </w:p>
    <w:p w14:paraId="386DFCE2" w14:textId="77777777" w:rsidR="003D29BB" w:rsidRPr="003D29BB" w:rsidRDefault="003D29BB" w:rsidP="003D29BB">
      <w:pPr>
        <w:spacing w:after="360" w:line="360" w:lineRule="auto"/>
        <w:ind w:right="-159"/>
        <w:jc w:val="both"/>
        <w:rPr>
          <w:rFonts w:eastAsia="Calibri"/>
          <w:sz w:val="26"/>
          <w:szCs w:val="26"/>
          <w:lang w:eastAsia="en-US"/>
        </w:rPr>
      </w:pPr>
      <w:r w:rsidRPr="003D29BB">
        <w:rPr>
          <w:rFonts w:eastAsia="Calibri"/>
          <w:sz w:val="26"/>
          <w:szCs w:val="26"/>
          <w:lang w:eastAsia="en-US"/>
        </w:rPr>
        <w:t>El Senado de la República aprobó por unanimidad la “Ley para Impulsar el Crecimiento Sostenido de la Productividad y la Competitividad de la Economía Nacional”.</w:t>
      </w:r>
    </w:p>
    <w:p w14:paraId="6E8B448A" w14:textId="77777777" w:rsidR="003D29BB" w:rsidRPr="003D29BB" w:rsidRDefault="003D29BB" w:rsidP="003D29BB">
      <w:pPr>
        <w:spacing w:after="360" w:line="360" w:lineRule="auto"/>
        <w:ind w:right="-159"/>
        <w:jc w:val="both"/>
        <w:rPr>
          <w:rFonts w:eastAsia="Calibri"/>
          <w:sz w:val="26"/>
          <w:szCs w:val="26"/>
          <w:lang w:eastAsia="en-US"/>
        </w:rPr>
      </w:pPr>
      <w:r w:rsidRPr="003D29BB">
        <w:rPr>
          <w:rFonts w:eastAsia="Calibri"/>
          <w:sz w:val="26"/>
          <w:szCs w:val="26"/>
          <w:lang w:eastAsia="en-US"/>
        </w:rPr>
        <w:t xml:space="preserve">Algunos de los objetivos de la nueva ley son: impulsar una política nacional de fomento económico que promueva la transformación de la estructura productiva hacia sectores económicos de elevada productividad; fortalecer el mercado interno y fomentar la creación de empleos formales; impulsar un mayor flujo de capital y financiamiento hacia proyectos o actividades con alto potencial productivo; impulsar el emprendimiento y la integración de Pequeñas y Medianas Empresas (PyMEs) a las </w:t>
      </w:r>
      <w:r w:rsidRPr="003D29BB">
        <w:rPr>
          <w:rFonts w:eastAsia="Calibri"/>
          <w:sz w:val="26"/>
          <w:szCs w:val="26"/>
          <w:lang w:eastAsia="en-US"/>
        </w:rPr>
        <w:lastRenderedPageBreak/>
        <w:t>cadenas productivas; y promover la proveeduría nacional y buscar valor agregado a las exportaciones.</w:t>
      </w:r>
    </w:p>
    <w:p w14:paraId="6FD1452F" w14:textId="77777777" w:rsidR="003D29BB" w:rsidRPr="003D29BB" w:rsidRDefault="003D29BB" w:rsidP="003D29BB">
      <w:pPr>
        <w:spacing w:after="360" w:line="360" w:lineRule="auto"/>
        <w:ind w:right="-159"/>
        <w:jc w:val="both"/>
        <w:rPr>
          <w:rFonts w:eastAsia="Calibri"/>
          <w:sz w:val="26"/>
          <w:szCs w:val="26"/>
          <w:lang w:eastAsia="en-US"/>
        </w:rPr>
      </w:pPr>
      <w:r w:rsidRPr="003D29BB">
        <w:rPr>
          <w:rFonts w:eastAsia="Calibri"/>
          <w:sz w:val="26"/>
          <w:szCs w:val="26"/>
          <w:lang w:eastAsia="en-US"/>
        </w:rPr>
        <w:t>Esta ley contempla la elaboración del Programa Especial para la Productividad y la Competitividad; la orientación de los programas presupuestarios hacia el incremento de la productividad y la competitividad de la economía nacional; y el fortalecimiento del Comité Nacional de Productividad que integra a los sectores gubernamental, empresarial, laboral y académico.</w:t>
      </w:r>
    </w:p>
    <w:p w14:paraId="4A58215F" w14:textId="77777777" w:rsidR="003D29BB" w:rsidRPr="003D29BB" w:rsidRDefault="003D29BB" w:rsidP="003D29BB">
      <w:pPr>
        <w:spacing w:after="360" w:line="360" w:lineRule="auto"/>
        <w:ind w:right="-159"/>
        <w:jc w:val="both"/>
        <w:rPr>
          <w:rFonts w:eastAsia="Calibri"/>
          <w:sz w:val="26"/>
          <w:szCs w:val="26"/>
          <w:lang w:eastAsia="en-US"/>
        </w:rPr>
      </w:pPr>
      <w:r w:rsidRPr="003D29BB">
        <w:rPr>
          <w:rFonts w:eastAsia="Calibri"/>
          <w:sz w:val="26"/>
          <w:szCs w:val="26"/>
          <w:lang w:eastAsia="en-US"/>
        </w:rPr>
        <w:t>La SHCP reconoce el esfuerzo y la labor del Congreso al enriquecer, fortalecer y aprobar la iniciativa, enviada por el Ejecutivo Federal a la Cámara de Diputados el pasado 30 de septiembre. Además, hace énfasis en su convicción de que los aumentos sostenidos de la productividad y la competitividad de la economía nacional elevarán el bienestar de las familias mexicanas. Por esta razón, siguiendo el mandato del Presidente de la República, trabajará para que la democratización de la productividad sea una estrategia transversal de los programas de gobierno.</w:t>
      </w:r>
    </w:p>
    <w:p w14:paraId="320518BF" w14:textId="77777777" w:rsidR="003D29BB" w:rsidRPr="003D29BB" w:rsidRDefault="003D29BB" w:rsidP="003D29BB">
      <w:pPr>
        <w:ind w:right="-159"/>
        <w:jc w:val="both"/>
        <w:rPr>
          <w:rFonts w:eastAsia="Calibri"/>
          <w:b/>
          <w:sz w:val="20"/>
          <w:szCs w:val="20"/>
          <w:lang w:eastAsia="en-US"/>
        </w:rPr>
      </w:pPr>
      <w:r w:rsidRPr="003D29BB">
        <w:rPr>
          <w:rFonts w:eastAsia="Calibri"/>
          <w:b/>
          <w:sz w:val="20"/>
          <w:szCs w:val="20"/>
          <w:lang w:eastAsia="en-US"/>
        </w:rPr>
        <w:t>Fuente de información:</w:t>
      </w:r>
    </w:p>
    <w:p w14:paraId="08932C0F" w14:textId="77777777" w:rsidR="003D29BB" w:rsidRPr="00AF4B25" w:rsidRDefault="0045651A" w:rsidP="00AF4B25">
      <w:pPr>
        <w:spacing w:after="720"/>
        <w:ind w:right="-159"/>
        <w:jc w:val="both"/>
        <w:rPr>
          <w:rFonts w:eastAsia="Calibri"/>
          <w:color w:val="0000FF"/>
          <w:sz w:val="20"/>
          <w:szCs w:val="20"/>
          <w:lang w:eastAsia="en-US"/>
        </w:rPr>
      </w:pPr>
      <w:hyperlink r:id="rId35" w:history="1">
        <w:r w:rsidR="003D29BB" w:rsidRPr="00AF4B25">
          <w:rPr>
            <w:rFonts w:eastAsia="Calibri"/>
            <w:color w:val="0000FF"/>
            <w:sz w:val="20"/>
            <w:szCs w:val="20"/>
            <w:u w:val="single"/>
            <w:lang w:eastAsia="en-US"/>
          </w:rPr>
          <w:t>http://www.shcp.gob.mx/SALAPRENSA/doc_comunicados_prensa/2015/marzo/comunicado_024_2015.pdf</w:t>
        </w:r>
      </w:hyperlink>
    </w:p>
    <w:p w14:paraId="110DF8AB" w14:textId="77777777" w:rsidR="003D29BB" w:rsidRPr="003D29BB" w:rsidRDefault="003D29BB" w:rsidP="003D29BB">
      <w:pPr>
        <w:spacing w:after="360" w:line="360" w:lineRule="auto"/>
        <w:ind w:right="-159"/>
        <w:jc w:val="both"/>
        <w:rPr>
          <w:rFonts w:eastAsia="Calibri"/>
          <w:sz w:val="26"/>
          <w:szCs w:val="26"/>
          <w:lang w:eastAsia="en-US"/>
        </w:rPr>
      </w:pPr>
    </w:p>
    <w:p w14:paraId="60097AF5" w14:textId="77777777" w:rsidR="003D29BB" w:rsidRPr="003D29BB" w:rsidRDefault="003D29BB" w:rsidP="003D29BB">
      <w:pPr>
        <w:spacing w:after="360" w:line="360" w:lineRule="auto"/>
        <w:ind w:right="-159"/>
        <w:jc w:val="both"/>
        <w:rPr>
          <w:rFonts w:eastAsia="Calibri"/>
          <w:sz w:val="26"/>
          <w:szCs w:val="26"/>
          <w:lang w:eastAsia="en-US"/>
        </w:rPr>
      </w:pPr>
    </w:p>
    <w:p w14:paraId="1E53B460" w14:textId="54F050D6" w:rsidR="00512C3D" w:rsidRDefault="00512C3D">
      <w:pPr>
        <w:rPr>
          <w:rFonts w:eastAsia="Calibri"/>
          <w:sz w:val="26"/>
          <w:szCs w:val="26"/>
          <w:lang w:eastAsia="en-US"/>
        </w:rPr>
      </w:pPr>
      <w:r>
        <w:rPr>
          <w:rFonts w:eastAsia="Calibri"/>
          <w:sz w:val="26"/>
          <w:szCs w:val="26"/>
          <w:lang w:eastAsia="en-US"/>
        </w:rPr>
        <w:br w:type="page"/>
      </w:r>
    </w:p>
    <w:p w14:paraId="50D078F9" w14:textId="68BDDA92" w:rsidR="0069103C" w:rsidRPr="0039592B" w:rsidRDefault="0069103C" w:rsidP="0069103C">
      <w:pPr>
        <w:spacing w:after="360" w:line="360" w:lineRule="auto"/>
        <w:ind w:right="-159"/>
        <w:jc w:val="both"/>
        <w:rPr>
          <w:rFonts w:eastAsia="Times New Roman"/>
          <w:b/>
          <w:color w:val="0000FF"/>
          <w:sz w:val="28"/>
          <w:szCs w:val="28"/>
          <w:lang w:eastAsia="en-US"/>
        </w:rPr>
      </w:pPr>
      <w:r w:rsidRPr="0039592B">
        <w:rPr>
          <w:rFonts w:eastAsia="Times New Roman"/>
          <w:b/>
          <w:color w:val="0000FF"/>
          <w:sz w:val="28"/>
          <w:szCs w:val="28"/>
          <w:lang w:eastAsia="en-US"/>
        </w:rPr>
        <w:lastRenderedPageBreak/>
        <w:t>SECTOR PRIMARIO</w:t>
      </w:r>
    </w:p>
    <w:p w14:paraId="545E53FC" w14:textId="1BBFE97B" w:rsidR="00B46740" w:rsidRDefault="00B46740" w:rsidP="00B46740">
      <w:pPr>
        <w:autoSpaceDE w:val="0"/>
        <w:autoSpaceDN w:val="0"/>
        <w:adjustRightInd w:val="0"/>
        <w:spacing w:after="360" w:line="360" w:lineRule="auto"/>
        <w:ind w:right="-159"/>
        <w:jc w:val="both"/>
        <w:rPr>
          <w:rFonts w:eastAsia="Calibri"/>
          <w:b/>
          <w:sz w:val="26"/>
          <w:szCs w:val="26"/>
          <w:lang w:eastAsia="en-US"/>
        </w:rPr>
      </w:pPr>
      <w:r w:rsidRPr="000E3A45">
        <w:rPr>
          <w:rFonts w:eastAsia="Calibri"/>
          <w:b/>
          <w:sz w:val="26"/>
          <w:szCs w:val="26"/>
          <w:lang w:eastAsia="en-US"/>
        </w:rPr>
        <w:t>Subsector agrícola</w:t>
      </w:r>
    </w:p>
    <w:p w14:paraId="4BD0E226" w14:textId="77777777" w:rsidR="00F8193F" w:rsidRPr="00F8193F" w:rsidRDefault="00F8193F" w:rsidP="00F8193F">
      <w:pPr>
        <w:rPr>
          <w:rFonts w:eastAsia="Calibri"/>
          <w:b/>
          <w:sz w:val="26"/>
          <w:szCs w:val="26"/>
          <w:lang w:eastAsia="en-US"/>
        </w:rPr>
      </w:pPr>
      <w:r w:rsidRPr="00F8193F">
        <w:rPr>
          <w:rFonts w:eastAsia="Calibri"/>
          <w:b/>
          <w:sz w:val="26"/>
          <w:szCs w:val="26"/>
          <w:lang w:eastAsia="en-US"/>
        </w:rPr>
        <w:t>Anuncian apertura de ventanillas para incentivos a</w:t>
      </w:r>
    </w:p>
    <w:p w14:paraId="27809696" w14:textId="3999C4CA" w:rsidR="00F8193F" w:rsidRPr="00F8193F" w:rsidRDefault="00F8193F" w:rsidP="00F8193F">
      <w:pPr>
        <w:rPr>
          <w:rFonts w:eastAsia="Calibri"/>
          <w:b/>
          <w:sz w:val="26"/>
          <w:szCs w:val="26"/>
          <w:lang w:eastAsia="en-US"/>
        </w:rPr>
      </w:pPr>
      <w:r w:rsidRPr="00F8193F">
        <w:rPr>
          <w:rFonts w:eastAsia="Calibri"/>
          <w:b/>
          <w:sz w:val="26"/>
          <w:szCs w:val="26"/>
          <w:lang w:eastAsia="en-US"/>
        </w:rPr>
        <w:t xml:space="preserve">problemas específicos de </w:t>
      </w:r>
      <w:r w:rsidR="008D28ED">
        <w:rPr>
          <w:rFonts w:eastAsia="Calibri"/>
          <w:b/>
          <w:sz w:val="26"/>
          <w:szCs w:val="26"/>
          <w:lang w:eastAsia="en-US"/>
        </w:rPr>
        <w:t xml:space="preserve"> </w:t>
      </w:r>
      <w:r w:rsidRPr="00F8193F">
        <w:rPr>
          <w:rFonts w:eastAsia="Calibri"/>
          <w:b/>
          <w:sz w:val="26"/>
          <w:szCs w:val="26"/>
          <w:lang w:eastAsia="en-US"/>
        </w:rPr>
        <w:t>comercialización de maíz,</w:t>
      </w:r>
    </w:p>
    <w:p w14:paraId="0B1DB69C" w14:textId="77777777" w:rsidR="00F8193F" w:rsidRPr="00F8193F" w:rsidRDefault="00F8193F" w:rsidP="00F8193F">
      <w:pPr>
        <w:spacing w:after="360" w:line="360" w:lineRule="auto"/>
        <w:ind w:right="-159"/>
        <w:jc w:val="both"/>
        <w:rPr>
          <w:rFonts w:eastAsia="Calibri"/>
          <w:b/>
          <w:sz w:val="26"/>
          <w:szCs w:val="26"/>
          <w:lang w:eastAsia="en-US"/>
        </w:rPr>
      </w:pPr>
      <w:r w:rsidRPr="00F8193F">
        <w:rPr>
          <w:rFonts w:eastAsia="Calibri"/>
          <w:b/>
          <w:sz w:val="26"/>
          <w:szCs w:val="26"/>
          <w:lang w:eastAsia="en-US"/>
        </w:rPr>
        <w:t>sorgo, soya y trigo (SAGARPA)</w:t>
      </w:r>
    </w:p>
    <w:p w14:paraId="0DF34868"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El 25 de marzo de 2015, la Secretaría de Agricultura, Ganadería, Desarrollo Rural, Pesca y Alimentación (SAGARPA) comunicó que con el fin de atender la problemática de comercialización derivada de los bajos precios de los granos en los mercados nacionales e internacionales ha establecido un incentivo de 250 pesos por tonelada de maíz, sorgo, soya y trigo de las entidades participantes por un volumen total de hasta dos millones 263 mil 700 toneladas. A continuación se presenta la información.</w:t>
      </w:r>
    </w:p>
    <w:p w14:paraId="492D6711"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La SAGARPA, a través de la Agencia de Servicios a la Comercialización y Desarrollo de Mercados Agropecuarios (ASERCA), anunció la apertura de ventanillas para el programa de Incentivos para Resolver Problemas Específicos de Comercialización de maíz, sorgo, soya y trigo del ciclo primavera-verano 2014 en 25 estados de la República.</w:t>
      </w:r>
    </w:p>
    <w:p w14:paraId="6DD7D43C"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Con el fin de atender la problemática de comercialización derivada de los bajos precios de los granos en los mercados nacionales e internacionales, que ha repercutido en la rentabilidad de los productores, la SAGARPA ha establecido un incentivo de 250 pesos por tonelada de maíz, sorgo, soya y trigo de las entidades participantes por un volumen total de hasta dos millones 263 mil 700 toneladas.</w:t>
      </w:r>
    </w:p>
    <w:p w14:paraId="0BF5F291"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 xml:space="preserve">La población objetivo de este programa son los productores que hayan producido maíz y/o sorgo y/o soya en los estados de Baja California, Sonora, Campeche, Chiapas, Chihuahua, Durango, Guanajuato, Guerrero, Hidalgo, Jalisco, México, Michoacán, Morelos, Nayarit, Nuevo León, Oaxaca, Puebla, Querétaro, Quintana Roo, San Luis </w:t>
      </w:r>
      <w:r w:rsidRPr="00F8193F">
        <w:rPr>
          <w:rFonts w:eastAsia="Calibri"/>
          <w:sz w:val="26"/>
          <w:szCs w:val="26"/>
          <w:lang w:eastAsia="en-US"/>
        </w:rPr>
        <w:lastRenderedPageBreak/>
        <w:t>Potosí, Tamaulipas, Yucatán, Veracruz y Zacatecas, así como los de trigo de Tlaxcala, exceptuando los volúmenes que provengan de agricultura por contrato en dicho ciclo.</w:t>
      </w:r>
    </w:p>
    <w:p w14:paraId="75676663"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El aviso publicado en el Diario Oficial de la Federación</w:t>
      </w:r>
      <w:r w:rsidRPr="00F8193F">
        <w:rPr>
          <w:rFonts w:eastAsia="Calibri"/>
          <w:sz w:val="26"/>
          <w:szCs w:val="26"/>
          <w:vertAlign w:val="superscript"/>
          <w:lang w:eastAsia="en-US"/>
        </w:rPr>
        <w:footnoteReference w:id="1"/>
      </w:r>
      <w:r w:rsidRPr="00F8193F">
        <w:rPr>
          <w:rFonts w:eastAsia="Calibri"/>
          <w:sz w:val="26"/>
          <w:szCs w:val="26"/>
          <w:lang w:eastAsia="en-US"/>
        </w:rPr>
        <w:t xml:space="preserve"> establece que los productores tendrán un plazo de 30 días hábiles para entregar las correspondientes solicitudes de inscripción y pago del incentivo en la direcciones regionales y Unidades Estatales de ASERCA, en las Delegaciones de SAGARPA, los Distritos de Desarrollo Rural (DDR) y centros de Apoyo al Desarrollo Rural (CADER), así como en otras instancias públicas o particulares que se establezcan con base en convenios con cada una de las direcciones regionales.</w:t>
      </w:r>
    </w:p>
    <w:p w14:paraId="1ACFC945"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El programa establece en principio un volumen total de un millón 367 mil 600 toneladas de maíz, 718 mil 400 toneladas de sorgo, 150 mil 700 toneladas de soya, y 27 mil toneladas de trigo del estado de Tlaxcala.</w:t>
      </w:r>
    </w:p>
    <w:p w14:paraId="306925B9" w14:textId="77777777" w:rsidR="00F8193F" w:rsidRP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Cabe mencionar que los precios del maíz, a partir de septiembre de 2012 y hasta septiembre de 2014, registraron en la Bolsa de Valores de Chicago una disminución de 62%, al pasar durante ese lapso de 333 a 126 dólares por tonelada, asimismo los precios del trigo durante el mismo período registraron una disminución de 38%, al pasar de 333 a 206 dólares por tonelada, y los correspondientes a soya disminuyeron 41%, al pasar de 615 a 362 dólares por tonelada.</w:t>
      </w:r>
    </w:p>
    <w:p w14:paraId="4CD8F2E3" w14:textId="77777777" w:rsidR="00F8193F" w:rsidRDefault="00F8193F" w:rsidP="00F8193F">
      <w:pPr>
        <w:spacing w:after="360" w:line="360" w:lineRule="auto"/>
        <w:ind w:right="-159"/>
        <w:jc w:val="both"/>
        <w:rPr>
          <w:rFonts w:eastAsia="Calibri"/>
          <w:sz w:val="26"/>
          <w:szCs w:val="26"/>
          <w:lang w:eastAsia="en-US"/>
        </w:rPr>
      </w:pPr>
      <w:r w:rsidRPr="00F8193F">
        <w:rPr>
          <w:rFonts w:eastAsia="Calibri"/>
          <w:sz w:val="26"/>
          <w:szCs w:val="26"/>
          <w:lang w:eastAsia="en-US"/>
        </w:rPr>
        <w:t>Este programa forma parte de las estrategias orientadas a impulsar la productividad en el sector agroalimentario y a regular los mercados mediante la planeación de la oferta y la demanda de los productos agrícolas.</w:t>
      </w:r>
    </w:p>
    <w:p w14:paraId="20ADDCC4" w14:textId="77777777" w:rsidR="00512C3D" w:rsidRDefault="00512C3D" w:rsidP="00F8193F">
      <w:pPr>
        <w:spacing w:after="360" w:line="360" w:lineRule="auto"/>
        <w:ind w:right="-159"/>
        <w:jc w:val="both"/>
        <w:rPr>
          <w:rFonts w:eastAsia="Calibri"/>
          <w:sz w:val="26"/>
          <w:szCs w:val="26"/>
          <w:lang w:eastAsia="en-US"/>
        </w:rPr>
      </w:pPr>
    </w:p>
    <w:p w14:paraId="5B1F3B2B" w14:textId="77777777" w:rsidR="008D28ED" w:rsidRPr="00F8193F" w:rsidRDefault="008D28ED" w:rsidP="00F8193F">
      <w:pPr>
        <w:spacing w:after="360" w:line="360" w:lineRule="auto"/>
        <w:ind w:right="-159"/>
        <w:jc w:val="both"/>
        <w:rPr>
          <w:rFonts w:eastAsia="Calibri"/>
          <w:sz w:val="26"/>
          <w:szCs w:val="26"/>
          <w:lang w:eastAsia="en-US"/>
        </w:rPr>
      </w:pPr>
    </w:p>
    <w:tbl>
      <w:tblPr>
        <w:tblW w:w="6815"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2772"/>
        <w:gridCol w:w="1116"/>
        <w:gridCol w:w="961"/>
        <w:gridCol w:w="1005"/>
        <w:gridCol w:w="961"/>
      </w:tblGrid>
      <w:tr w:rsidR="00F8193F" w:rsidRPr="00F8193F" w14:paraId="67C0C8FE" w14:textId="77777777" w:rsidTr="00F8193F">
        <w:trPr>
          <w:trHeight w:val="106"/>
          <w:jc w:val="center"/>
        </w:trPr>
        <w:tc>
          <w:tcPr>
            <w:tcW w:w="6815" w:type="dxa"/>
            <w:gridSpan w:val="5"/>
            <w:tcBorders>
              <w:top w:val="nil"/>
              <w:left w:val="nil"/>
              <w:bottom w:val="single" w:sz="2" w:space="0" w:color="auto"/>
              <w:right w:val="nil"/>
            </w:tcBorders>
            <w:shd w:val="clear" w:color="auto" w:fill="auto"/>
            <w:vAlign w:val="center"/>
          </w:tcPr>
          <w:p w14:paraId="39EACFA6" w14:textId="77777777" w:rsidR="00F8193F" w:rsidRPr="00F8193F" w:rsidRDefault="00F8193F" w:rsidP="00F8193F">
            <w:pPr>
              <w:autoSpaceDE w:val="0"/>
              <w:autoSpaceDN w:val="0"/>
              <w:adjustRightInd w:val="0"/>
              <w:jc w:val="center"/>
              <w:rPr>
                <w:rFonts w:eastAsia="Calibri"/>
                <w:b/>
                <w:bCs/>
                <w:sz w:val="22"/>
                <w:szCs w:val="22"/>
                <w:lang w:eastAsia="en-US"/>
              </w:rPr>
            </w:pPr>
            <w:r w:rsidRPr="00F8193F">
              <w:rPr>
                <w:rFonts w:eastAsia="Calibri"/>
                <w:b/>
                <w:bCs/>
                <w:sz w:val="22"/>
                <w:szCs w:val="22"/>
                <w:lang w:eastAsia="en-US"/>
              </w:rPr>
              <w:t>DISTRIBUACIÓN DEL PROGRAMA PARA CADA UNA DE</w:t>
            </w:r>
          </w:p>
          <w:p w14:paraId="002CDD57" w14:textId="77777777" w:rsidR="00F8193F" w:rsidRPr="00F8193F" w:rsidRDefault="00F8193F" w:rsidP="00F8193F">
            <w:pPr>
              <w:autoSpaceDE w:val="0"/>
              <w:autoSpaceDN w:val="0"/>
              <w:adjustRightInd w:val="0"/>
              <w:jc w:val="center"/>
              <w:rPr>
                <w:rFonts w:eastAsia="Calibri"/>
                <w:b/>
                <w:bCs/>
                <w:sz w:val="22"/>
                <w:szCs w:val="22"/>
                <w:lang w:eastAsia="en-US"/>
              </w:rPr>
            </w:pPr>
            <w:r w:rsidRPr="00F8193F">
              <w:rPr>
                <w:rFonts w:eastAsia="Calibri"/>
                <w:b/>
                <w:bCs/>
                <w:sz w:val="22"/>
                <w:szCs w:val="22"/>
                <w:lang w:eastAsia="en-US"/>
              </w:rPr>
              <w:t>LAS ENTIDADES FEDERATIVAS PARTICIPANTES</w:t>
            </w:r>
          </w:p>
          <w:p w14:paraId="5433F166" w14:textId="77777777" w:rsidR="00F8193F" w:rsidRPr="00F8193F" w:rsidRDefault="00F8193F" w:rsidP="00F8193F">
            <w:pPr>
              <w:spacing w:after="160" w:line="259" w:lineRule="auto"/>
              <w:jc w:val="center"/>
              <w:rPr>
                <w:rFonts w:eastAsia="Calibri"/>
                <w:b/>
                <w:sz w:val="22"/>
                <w:szCs w:val="22"/>
                <w:lang w:eastAsia="en-US"/>
              </w:rPr>
            </w:pPr>
            <w:r w:rsidRPr="00F8193F">
              <w:rPr>
                <w:rFonts w:eastAsia="Calibri"/>
                <w:b/>
                <w:sz w:val="22"/>
                <w:szCs w:val="22"/>
                <w:lang w:eastAsia="en-US"/>
              </w:rPr>
              <w:t>-Cifras en toneladas-</w:t>
            </w:r>
          </w:p>
        </w:tc>
      </w:tr>
      <w:tr w:rsidR="00F8193F" w:rsidRPr="00F8193F" w14:paraId="1760E764" w14:textId="77777777" w:rsidTr="00F8193F">
        <w:trPr>
          <w:trHeight w:val="106"/>
          <w:jc w:val="center"/>
        </w:trPr>
        <w:tc>
          <w:tcPr>
            <w:tcW w:w="2772" w:type="dxa"/>
            <w:tcBorders>
              <w:top w:val="single" w:sz="2" w:space="0" w:color="auto"/>
              <w:left w:val="single" w:sz="2" w:space="0" w:color="auto"/>
              <w:bottom w:val="single" w:sz="2" w:space="0" w:color="auto"/>
              <w:right w:val="single" w:sz="2" w:space="0" w:color="auto"/>
            </w:tcBorders>
            <w:shd w:val="clear" w:color="auto" w:fill="auto"/>
            <w:vAlign w:val="center"/>
          </w:tcPr>
          <w:p w14:paraId="69EBB8EC" w14:textId="77777777" w:rsidR="00F8193F" w:rsidRPr="008D28ED" w:rsidRDefault="00F8193F" w:rsidP="008D28ED">
            <w:pPr>
              <w:autoSpaceDE w:val="0"/>
              <w:autoSpaceDN w:val="0"/>
              <w:adjustRightInd w:val="0"/>
              <w:spacing w:before="60" w:after="60"/>
              <w:jc w:val="center"/>
              <w:rPr>
                <w:rFonts w:eastAsia="Calibri"/>
                <w:b/>
                <w:bCs/>
                <w:sz w:val="20"/>
                <w:szCs w:val="20"/>
                <w:lang w:eastAsia="en-US"/>
              </w:rPr>
            </w:pPr>
            <w:r w:rsidRPr="008D28ED">
              <w:rPr>
                <w:rFonts w:eastAsia="Calibri"/>
                <w:b/>
                <w:bCs/>
                <w:sz w:val="20"/>
                <w:szCs w:val="20"/>
                <w:lang w:eastAsia="en-US"/>
              </w:rPr>
              <w:t>Entidades federativas</w:t>
            </w:r>
          </w:p>
        </w:tc>
        <w:tc>
          <w:tcPr>
            <w:tcW w:w="1116" w:type="dxa"/>
            <w:tcBorders>
              <w:top w:val="single" w:sz="2" w:space="0" w:color="auto"/>
              <w:left w:val="single" w:sz="2" w:space="0" w:color="auto"/>
              <w:bottom w:val="single" w:sz="2" w:space="0" w:color="auto"/>
              <w:right w:val="single" w:sz="2" w:space="0" w:color="auto"/>
            </w:tcBorders>
            <w:shd w:val="clear" w:color="auto" w:fill="auto"/>
            <w:vAlign w:val="center"/>
          </w:tcPr>
          <w:p w14:paraId="13223138" w14:textId="77777777" w:rsidR="00F8193F" w:rsidRPr="00F8193F" w:rsidRDefault="00F8193F" w:rsidP="00F8193F">
            <w:pPr>
              <w:autoSpaceDE w:val="0"/>
              <w:autoSpaceDN w:val="0"/>
              <w:adjustRightInd w:val="0"/>
              <w:spacing w:before="60" w:after="60"/>
              <w:jc w:val="center"/>
              <w:rPr>
                <w:rFonts w:eastAsia="Calibri"/>
                <w:b/>
                <w:sz w:val="20"/>
                <w:szCs w:val="20"/>
                <w:lang w:eastAsia="en-US"/>
              </w:rPr>
            </w:pPr>
            <w:r w:rsidRPr="00F8193F">
              <w:rPr>
                <w:rFonts w:eastAsia="Calibri"/>
                <w:b/>
                <w:sz w:val="20"/>
                <w:szCs w:val="20"/>
                <w:lang w:eastAsia="en-US"/>
              </w:rPr>
              <w:t>Maíz</w:t>
            </w:r>
          </w:p>
        </w:tc>
        <w:tc>
          <w:tcPr>
            <w:tcW w:w="961" w:type="dxa"/>
            <w:tcBorders>
              <w:top w:val="single" w:sz="2" w:space="0" w:color="auto"/>
              <w:left w:val="single" w:sz="2" w:space="0" w:color="auto"/>
              <w:bottom w:val="single" w:sz="2" w:space="0" w:color="auto"/>
              <w:right w:val="single" w:sz="2" w:space="0" w:color="auto"/>
            </w:tcBorders>
            <w:shd w:val="clear" w:color="auto" w:fill="auto"/>
            <w:vAlign w:val="center"/>
          </w:tcPr>
          <w:p w14:paraId="21C6F202" w14:textId="77777777" w:rsidR="00F8193F" w:rsidRPr="00F8193F" w:rsidRDefault="00F8193F" w:rsidP="00F8193F">
            <w:pPr>
              <w:autoSpaceDE w:val="0"/>
              <w:autoSpaceDN w:val="0"/>
              <w:adjustRightInd w:val="0"/>
              <w:spacing w:before="60" w:after="60"/>
              <w:jc w:val="center"/>
              <w:rPr>
                <w:rFonts w:eastAsia="Calibri"/>
                <w:b/>
                <w:sz w:val="20"/>
                <w:szCs w:val="20"/>
                <w:lang w:eastAsia="en-US"/>
              </w:rPr>
            </w:pPr>
            <w:r w:rsidRPr="00F8193F">
              <w:rPr>
                <w:rFonts w:eastAsia="Calibri"/>
                <w:b/>
                <w:sz w:val="20"/>
                <w:szCs w:val="20"/>
                <w:lang w:eastAsia="en-US"/>
              </w:rPr>
              <w:t>Sorgo</w:t>
            </w:r>
          </w:p>
        </w:tc>
        <w:tc>
          <w:tcPr>
            <w:tcW w:w="1005" w:type="dxa"/>
            <w:tcBorders>
              <w:top w:val="single" w:sz="2" w:space="0" w:color="auto"/>
              <w:left w:val="single" w:sz="2" w:space="0" w:color="auto"/>
              <w:bottom w:val="single" w:sz="2" w:space="0" w:color="auto"/>
              <w:right w:val="single" w:sz="2" w:space="0" w:color="auto"/>
            </w:tcBorders>
            <w:shd w:val="clear" w:color="auto" w:fill="auto"/>
            <w:vAlign w:val="center"/>
          </w:tcPr>
          <w:p w14:paraId="683F0733" w14:textId="77777777" w:rsidR="00F8193F" w:rsidRPr="00F8193F" w:rsidRDefault="00F8193F" w:rsidP="00F8193F">
            <w:pPr>
              <w:autoSpaceDE w:val="0"/>
              <w:autoSpaceDN w:val="0"/>
              <w:adjustRightInd w:val="0"/>
              <w:spacing w:before="60" w:after="60"/>
              <w:jc w:val="center"/>
              <w:rPr>
                <w:rFonts w:eastAsia="Calibri"/>
                <w:b/>
                <w:sz w:val="20"/>
                <w:szCs w:val="20"/>
                <w:lang w:eastAsia="en-US"/>
              </w:rPr>
            </w:pPr>
            <w:r w:rsidRPr="00F8193F">
              <w:rPr>
                <w:rFonts w:eastAsia="Calibri"/>
                <w:b/>
                <w:sz w:val="20"/>
                <w:szCs w:val="20"/>
                <w:lang w:eastAsia="en-US"/>
              </w:rPr>
              <w:t>Soya</w:t>
            </w:r>
          </w:p>
        </w:tc>
        <w:tc>
          <w:tcPr>
            <w:tcW w:w="961" w:type="dxa"/>
            <w:tcBorders>
              <w:top w:val="single" w:sz="2" w:space="0" w:color="auto"/>
              <w:left w:val="single" w:sz="2" w:space="0" w:color="auto"/>
              <w:bottom w:val="single" w:sz="2" w:space="0" w:color="auto"/>
              <w:right w:val="single" w:sz="2" w:space="0" w:color="auto"/>
            </w:tcBorders>
            <w:shd w:val="clear" w:color="auto" w:fill="auto"/>
            <w:vAlign w:val="center"/>
          </w:tcPr>
          <w:p w14:paraId="55040C83" w14:textId="77777777" w:rsidR="00F8193F" w:rsidRPr="00F8193F" w:rsidRDefault="00F8193F" w:rsidP="00F8193F">
            <w:pPr>
              <w:autoSpaceDE w:val="0"/>
              <w:autoSpaceDN w:val="0"/>
              <w:adjustRightInd w:val="0"/>
              <w:spacing w:before="60" w:after="60"/>
              <w:jc w:val="center"/>
              <w:rPr>
                <w:rFonts w:eastAsia="Calibri"/>
                <w:b/>
                <w:sz w:val="20"/>
                <w:szCs w:val="20"/>
                <w:lang w:eastAsia="en-US"/>
              </w:rPr>
            </w:pPr>
            <w:r w:rsidRPr="00F8193F">
              <w:rPr>
                <w:rFonts w:eastAsia="Calibri"/>
                <w:b/>
                <w:sz w:val="20"/>
                <w:szCs w:val="20"/>
                <w:lang w:eastAsia="en-US"/>
              </w:rPr>
              <w:t>Trigo</w:t>
            </w:r>
          </w:p>
        </w:tc>
      </w:tr>
      <w:tr w:rsidR="00F8193F" w:rsidRPr="00F8193F" w14:paraId="2653F34B" w14:textId="77777777" w:rsidTr="00F8193F">
        <w:trPr>
          <w:trHeight w:val="106"/>
          <w:jc w:val="center"/>
        </w:trPr>
        <w:tc>
          <w:tcPr>
            <w:tcW w:w="2772" w:type="dxa"/>
            <w:tcBorders>
              <w:top w:val="single" w:sz="2" w:space="0" w:color="auto"/>
              <w:left w:val="single" w:sz="2" w:space="0" w:color="auto"/>
              <w:bottom w:val="nil"/>
              <w:right w:val="single" w:sz="2" w:space="0" w:color="auto"/>
            </w:tcBorders>
            <w:shd w:val="clear" w:color="auto" w:fill="auto"/>
            <w:vAlign w:val="center"/>
          </w:tcPr>
          <w:p w14:paraId="7B99AD15" w14:textId="77777777" w:rsidR="00F8193F" w:rsidRPr="00F8193F" w:rsidRDefault="00F8193F" w:rsidP="00F8193F">
            <w:pPr>
              <w:autoSpaceDE w:val="0"/>
              <w:autoSpaceDN w:val="0"/>
              <w:adjustRightInd w:val="0"/>
              <w:jc w:val="both"/>
              <w:rPr>
                <w:rFonts w:eastAsia="Calibri"/>
                <w:sz w:val="20"/>
                <w:szCs w:val="20"/>
                <w:lang w:eastAsia="en-US"/>
              </w:rPr>
            </w:pPr>
            <w:r w:rsidRPr="00F8193F">
              <w:rPr>
                <w:rFonts w:eastAsia="Calibri"/>
                <w:bCs/>
                <w:sz w:val="20"/>
                <w:szCs w:val="20"/>
                <w:lang w:eastAsia="en-US"/>
              </w:rPr>
              <w:t xml:space="preserve">Baja California </w:t>
            </w:r>
            <w:r w:rsidRPr="00F8193F">
              <w:rPr>
                <w:rFonts w:eastAsia="Calibri"/>
                <w:sz w:val="20"/>
                <w:szCs w:val="20"/>
                <w:lang w:eastAsia="en-US"/>
              </w:rPr>
              <w:t>San Luis Río Colorado Sonora</w:t>
            </w:r>
          </w:p>
        </w:tc>
        <w:tc>
          <w:tcPr>
            <w:tcW w:w="1116" w:type="dxa"/>
            <w:tcBorders>
              <w:top w:val="single" w:sz="2" w:space="0" w:color="auto"/>
              <w:left w:val="single" w:sz="2" w:space="0" w:color="auto"/>
              <w:bottom w:val="nil"/>
              <w:right w:val="single" w:sz="2" w:space="0" w:color="auto"/>
            </w:tcBorders>
            <w:shd w:val="clear" w:color="auto" w:fill="auto"/>
            <w:vAlign w:val="center"/>
          </w:tcPr>
          <w:p w14:paraId="519202F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single" w:sz="2" w:space="0" w:color="auto"/>
              <w:left w:val="single" w:sz="2" w:space="0" w:color="auto"/>
              <w:bottom w:val="nil"/>
              <w:right w:val="single" w:sz="2" w:space="0" w:color="auto"/>
            </w:tcBorders>
            <w:shd w:val="clear" w:color="auto" w:fill="auto"/>
            <w:vAlign w:val="center"/>
          </w:tcPr>
          <w:p w14:paraId="69881C1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22 200</w:t>
            </w:r>
          </w:p>
        </w:tc>
        <w:tc>
          <w:tcPr>
            <w:tcW w:w="1005" w:type="dxa"/>
            <w:tcBorders>
              <w:top w:val="single" w:sz="2" w:space="0" w:color="auto"/>
              <w:left w:val="single" w:sz="2" w:space="0" w:color="auto"/>
              <w:bottom w:val="nil"/>
              <w:right w:val="single" w:sz="2" w:space="0" w:color="auto"/>
            </w:tcBorders>
            <w:shd w:val="clear" w:color="auto" w:fill="auto"/>
            <w:vAlign w:val="center"/>
          </w:tcPr>
          <w:p w14:paraId="25AA62D8"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single" w:sz="2" w:space="0" w:color="auto"/>
              <w:left w:val="single" w:sz="2" w:space="0" w:color="auto"/>
              <w:bottom w:val="nil"/>
              <w:right w:val="single" w:sz="2" w:space="0" w:color="auto"/>
            </w:tcBorders>
            <w:shd w:val="clear" w:color="auto" w:fill="auto"/>
            <w:vAlign w:val="center"/>
          </w:tcPr>
          <w:p w14:paraId="149EACB2"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323957E5"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7DA95AC9"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Campeche</w:t>
            </w:r>
          </w:p>
        </w:tc>
        <w:tc>
          <w:tcPr>
            <w:tcW w:w="1116" w:type="dxa"/>
            <w:tcBorders>
              <w:top w:val="nil"/>
              <w:left w:val="single" w:sz="2" w:space="0" w:color="auto"/>
              <w:bottom w:val="nil"/>
              <w:right w:val="single" w:sz="2" w:space="0" w:color="auto"/>
            </w:tcBorders>
            <w:shd w:val="clear" w:color="auto" w:fill="auto"/>
            <w:vAlign w:val="center"/>
          </w:tcPr>
          <w:p w14:paraId="650CC95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56 900</w:t>
            </w:r>
          </w:p>
        </w:tc>
        <w:tc>
          <w:tcPr>
            <w:tcW w:w="961" w:type="dxa"/>
            <w:tcBorders>
              <w:top w:val="nil"/>
              <w:left w:val="single" w:sz="2" w:space="0" w:color="auto"/>
              <w:bottom w:val="nil"/>
              <w:right w:val="single" w:sz="2" w:space="0" w:color="auto"/>
            </w:tcBorders>
            <w:shd w:val="clear" w:color="auto" w:fill="auto"/>
            <w:vAlign w:val="center"/>
          </w:tcPr>
          <w:p w14:paraId="3695771C"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19 700</w:t>
            </w:r>
          </w:p>
        </w:tc>
        <w:tc>
          <w:tcPr>
            <w:tcW w:w="1005" w:type="dxa"/>
            <w:tcBorders>
              <w:top w:val="nil"/>
              <w:left w:val="single" w:sz="2" w:space="0" w:color="auto"/>
              <w:bottom w:val="nil"/>
              <w:right w:val="single" w:sz="2" w:space="0" w:color="auto"/>
            </w:tcBorders>
            <w:shd w:val="clear" w:color="auto" w:fill="auto"/>
            <w:vAlign w:val="center"/>
          </w:tcPr>
          <w:p w14:paraId="1F0738D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30 000</w:t>
            </w:r>
          </w:p>
        </w:tc>
        <w:tc>
          <w:tcPr>
            <w:tcW w:w="961" w:type="dxa"/>
            <w:tcBorders>
              <w:top w:val="nil"/>
              <w:left w:val="single" w:sz="2" w:space="0" w:color="auto"/>
              <w:bottom w:val="nil"/>
              <w:right w:val="single" w:sz="2" w:space="0" w:color="auto"/>
            </w:tcBorders>
            <w:shd w:val="clear" w:color="auto" w:fill="auto"/>
            <w:vAlign w:val="center"/>
          </w:tcPr>
          <w:p w14:paraId="731CC83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25FE6484"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5CEDC056"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Chiapas</w:t>
            </w:r>
          </w:p>
        </w:tc>
        <w:tc>
          <w:tcPr>
            <w:tcW w:w="1116" w:type="dxa"/>
            <w:tcBorders>
              <w:top w:val="nil"/>
              <w:left w:val="single" w:sz="2" w:space="0" w:color="auto"/>
              <w:bottom w:val="nil"/>
              <w:right w:val="single" w:sz="2" w:space="0" w:color="auto"/>
            </w:tcBorders>
            <w:shd w:val="clear" w:color="auto" w:fill="auto"/>
            <w:vAlign w:val="center"/>
          </w:tcPr>
          <w:p w14:paraId="27F87C6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151 500</w:t>
            </w:r>
          </w:p>
        </w:tc>
        <w:tc>
          <w:tcPr>
            <w:tcW w:w="961" w:type="dxa"/>
            <w:tcBorders>
              <w:top w:val="nil"/>
              <w:left w:val="single" w:sz="2" w:space="0" w:color="auto"/>
              <w:bottom w:val="nil"/>
              <w:right w:val="single" w:sz="2" w:space="0" w:color="auto"/>
            </w:tcBorders>
            <w:shd w:val="clear" w:color="auto" w:fill="auto"/>
            <w:vAlign w:val="center"/>
          </w:tcPr>
          <w:p w14:paraId="02C98178"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5 000</w:t>
            </w:r>
          </w:p>
        </w:tc>
        <w:tc>
          <w:tcPr>
            <w:tcW w:w="1005" w:type="dxa"/>
            <w:tcBorders>
              <w:top w:val="nil"/>
              <w:left w:val="single" w:sz="2" w:space="0" w:color="auto"/>
              <w:bottom w:val="nil"/>
              <w:right w:val="single" w:sz="2" w:space="0" w:color="auto"/>
            </w:tcBorders>
            <w:shd w:val="clear" w:color="auto" w:fill="auto"/>
            <w:vAlign w:val="center"/>
          </w:tcPr>
          <w:p w14:paraId="07788A5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9 400</w:t>
            </w:r>
          </w:p>
        </w:tc>
        <w:tc>
          <w:tcPr>
            <w:tcW w:w="961" w:type="dxa"/>
            <w:tcBorders>
              <w:top w:val="nil"/>
              <w:left w:val="single" w:sz="2" w:space="0" w:color="auto"/>
              <w:bottom w:val="nil"/>
              <w:right w:val="single" w:sz="2" w:space="0" w:color="auto"/>
            </w:tcBorders>
            <w:shd w:val="clear" w:color="auto" w:fill="auto"/>
            <w:vAlign w:val="center"/>
          </w:tcPr>
          <w:p w14:paraId="3660433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64CE4B4"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2B62EF93"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Chihuahua</w:t>
            </w:r>
          </w:p>
        </w:tc>
        <w:tc>
          <w:tcPr>
            <w:tcW w:w="1116" w:type="dxa"/>
            <w:tcBorders>
              <w:top w:val="nil"/>
              <w:left w:val="single" w:sz="2" w:space="0" w:color="auto"/>
              <w:bottom w:val="nil"/>
              <w:right w:val="single" w:sz="2" w:space="0" w:color="auto"/>
            </w:tcBorders>
            <w:shd w:val="clear" w:color="auto" w:fill="auto"/>
            <w:vAlign w:val="center"/>
          </w:tcPr>
          <w:p w14:paraId="0D8DA928"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64 500</w:t>
            </w:r>
          </w:p>
        </w:tc>
        <w:tc>
          <w:tcPr>
            <w:tcW w:w="961" w:type="dxa"/>
            <w:tcBorders>
              <w:top w:val="nil"/>
              <w:left w:val="single" w:sz="2" w:space="0" w:color="auto"/>
              <w:bottom w:val="nil"/>
              <w:right w:val="single" w:sz="2" w:space="0" w:color="auto"/>
            </w:tcBorders>
            <w:shd w:val="clear" w:color="auto" w:fill="auto"/>
            <w:vAlign w:val="center"/>
          </w:tcPr>
          <w:p w14:paraId="0E9F135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25 500</w:t>
            </w:r>
          </w:p>
        </w:tc>
        <w:tc>
          <w:tcPr>
            <w:tcW w:w="1005" w:type="dxa"/>
            <w:tcBorders>
              <w:top w:val="nil"/>
              <w:left w:val="single" w:sz="2" w:space="0" w:color="auto"/>
              <w:bottom w:val="nil"/>
              <w:right w:val="single" w:sz="2" w:space="0" w:color="auto"/>
            </w:tcBorders>
            <w:shd w:val="clear" w:color="auto" w:fill="auto"/>
            <w:vAlign w:val="center"/>
          </w:tcPr>
          <w:p w14:paraId="07B59FB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600</w:t>
            </w:r>
          </w:p>
        </w:tc>
        <w:tc>
          <w:tcPr>
            <w:tcW w:w="961" w:type="dxa"/>
            <w:tcBorders>
              <w:top w:val="nil"/>
              <w:left w:val="single" w:sz="2" w:space="0" w:color="auto"/>
              <w:bottom w:val="nil"/>
              <w:right w:val="single" w:sz="2" w:space="0" w:color="auto"/>
            </w:tcBorders>
            <w:shd w:val="clear" w:color="auto" w:fill="auto"/>
            <w:vAlign w:val="center"/>
          </w:tcPr>
          <w:p w14:paraId="5DBDD2C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1AF99D5C"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5EEEAC40"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Durango</w:t>
            </w:r>
          </w:p>
        </w:tc>
        <w:tc>
          <w:tcPr>
            <w:tcW w:w="1116" w:type="dxa"/>
            <w:tcBorders>
              <w:top w:val="nil"/>
              <w:left w:val="single" w:sz="2" w:space="0" w:color="auto"/>
              <w:bottom w:val="nil"/>
              <w:right w:val="single" w:sz="2" w:space="0" w:color="auto"/>
            </w:tcBorders>
            <w:shd w:val="clear" w:color="auto" w:fill="auto"/>
            <w:vAlign w:val="center"/>
          </w:tcPr>
          <w:p w14:paraId="0552EB72"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19 700</w:t>
            </w:r>
          </w:p>
        </w:tc>
        <w:tc>
          <w:tcPr>
            <w:tcW w:w="961" w:type="dxa"/>
            <w:tcBorders>
              <w:top w:val="nil"/>
              <w:left w:val="single" w:sz="2" w:space="0" w:color="auto"/>
              <w:bottom w:val="nil"/>
              <w:right w:val="single" w:sz="2" w:space="0" w:color="auto"/>
            </w:tcBorders>
            <w:shd w:val="clear" w:color="auto" w:fill="auto"/>
            <w:vAlign w:val="center"/>
          </w:tcPr>
          <w:p w14:paraId="591F1FD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1A16955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6F6BF09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19E64EE"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7516976E"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Guanajuato</w:t>
            </w:r>
          </w:p>
        </w:tc>
        <w:tc>
          <w:tcPr>
            <w:tcW w:w="1116" w:type="dxa"/>
            <w:tcBorders>
              <w:top w:val="nil"/>
              <w:left w:val="single" w:sz="2" w:space="0" w:color="auto"/>
              <w:bottom w:val="nil"/>
              <w:right w:val="single" w:sz="2" w:space="0" w:color="auto"/>
            </w:tcBorders>
            <w:shd w:val="clear" w:color="auto" w:fill="auto"/>
            <w:vAlign w:val="center"/>
          </w:tcPr>
          <w:p w14:paraId="7EBC3BF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252 600</w:t>
            </w:r>
          </w:p>
        </w:tc>
        <w:tc>
          <w:tcPr>
            <w:tcW w:w="961" w:type="dxa"/>
            <w:tcBorders>
              <w:top w:val="nil"/>
              <w:left w:val="single" w:sz="2" w:space="0" w:color="auto"/>
              <w:bottom w:val="nil"/>
              <w:right w:val="single" w:sz="2" w:space="0" w:color="auto"/>
            </w:tcBorders>
            <w:shd w:val="clear" w:color="auto" w:fill="auto"/>
            <w:vAlign w:val="center"/>
          </w:tcPr>
          <w:p w14:paraId="165546E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608CD89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165EE5B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681D99A1"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4492F00D"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Guerrero</w:t>
            </w:r>
          </w:p>
        </w:tc>
        <w:tc>
          <w:tcPr>
            <w:tcW w:w="1116" w:type="dxa"/>
            <w:tcBorders>
              <w:top w:val="nil"/>
              <w:left w:val="single" w:sz="2" w:space="0" w:color="auto"/>
              <w:bottom w:val="nil"/>
              <w:right w:val="single" w:sz="2" w:space="0" w:color="auto"/>
            </w:tcBorders>
            <w:shd w:val="clear" w:color="auto" w:fill="auto"/>
            <w:vAlign w:val="center"/>
          </w:tcPr>
          <w:p w14:paraId="54100AA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50 000</w:t>
            </w:r>
          </w:p>
        </w:tc>
        <w:tc>
          <w:tcPr>
            <w:tcW w:w="961" w:type="dxa"/>
            <w:tcBorders>
              <w:top w:val="nil"/>
              <w:left w:val="single" w:sz="2" w:space="0" w:color="auto"/>
              <w:bottom w:val="nil"/>
              <w:right w:val="single" w:sz="2" w:space="0" w:color="auto"/>
            </w:tcBorders>
            <w:shd w:val="clear" w:color="auto" w:fill="auto"/>
            <w:vAlign w:val="center"/>
          </w:tcPr>
          <w:p w14:paraId="067559A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5EFDED6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4E889088"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3323EF34"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529BA8BA"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Hidalgo</w:t>
            </w:r>
          </w:p>
        </w:tc>
        <w:tc>
          <w:tcPr>
            <w:tcW w:w="1116" w:type="dxa"/>
            <w:tcBorders>
              <w:top w:val="nil"/>
              <w:left w:val="single" w:sz="2" w:space="0" w:color="auto"/>
              <w:bottom w:val="nil"/>
              <w:right w:val="single" w:sz="2" w:space="0" w:color="auto"/>
            </w:tcBorders>
            <w:shd w:val="clear" w:color="auto" w:fill="auto"/>
            <w:vAlign w:val="center"/>
          </w:tcPr>
          <w:p w14:paraId="38A4CF5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30 000</w:t>
            </w:r>
          </w:p>
        </w:tc>
        <w:tc>
          <w:tcPr>
            <w:tcW w:w="961" w:type="dxa"/>
            <w:tcBorders>
              <w:top w:val="nil"/>
              <w:left w:val="single" w:sz="2" w:space="0" w:color="auto"/>
              <w:bottom w:val="nil"/>
              <w:right w:val="single" w:sz="2" w:space="0" w:color="auto"/>
            </w:tcBorders>
            <w:shd w:val="clear" w:color="auto" w:fill="auto"/>
            <w:vAlign w:val="center"/>
          </w:tcPr>
          <w:p w14:paraId="25B352C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6B7ADCF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637C505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60FEDA6"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049C7B8E"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Jalisco</w:t>
            </w:r>
          </w:p>
        </w:tc>
        <w:tc>
          <w:tcPr>
            <w:tcW w:w="1116" w:type="dxa"/>
            <w:tcBorders>
              <w:top w:val="nil"/>
              <w:left w:val="single" w:sz="2" w:space="0" w:color="auto"/>
              <w:bottom w:val="nil"/>
              <w:right w:val="single" w:sz="2" w:space="0" w:color="auto"/>
            </w:tcBorders>
            <w:shd w:val="clear" w:color="auto" w:fill="auto"/>
            <w:vAlign w:val="center"/>
          </w:tcPr>
          <w:p w14:paraId="023CAC0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100 000</w:t>
            </w:r>
          </w:p>
        </w:tc>
        <w:tc>
          <w:tcPr>
            <w:tcW w:w="961" w:type="dxa"/>
            <w:tcBorders>
              <w:top w:val="nil"/>
              <w:left w:val="single" w:sz="2" w:space="0" w:color="auto"/>
              <w:bottom w:val="nil"/>
              <w:right w:val="single" w:sz="2" w:space="0" w:color="auto"/>
            </w:tcBorders>
            <w:shd w:val="clear" w:color="auto" w:fill="auto"/>
            <w:vAlign w:val="center"/>
          </w:tcPr>
          <w:p w14:paraId="6C9FB61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13 500</w:t>
            </w:r>
          </w:p>
        </w:tc>
        <w:tc>
          <w:tcPr>
            <w:tcW w:w="1005" w:type="dxa"/>
            <w:tcBorders>
              <w:top w:val="nil"/>
              <w:left w:val="single" w:sz="2" w:space="0" w:color="auto"/>
              <w:bottom w:val="nil"/>
              <w:right w:val="single" w:sz="2" w:space="0" w:color="auto"/>
            </w:tcBorders>
            <w:shd w:val="clear" w:color="auto" w:fill="auto"/>
            <w:vAlign w:val="center"/>
          </w:tcPr>
          <w:p w14:paraId="461AA49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07294A3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4575A4F4"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3C1CEDD2"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México</w:t>
            </w:r>
          </w:p>
        </w:tc>
        <w:tc>
          <w:tcPr>
            <w:tcW w:w="1116" w:type="dxa"/>
            <w:tcBorders>
              <w:top w:val="nil"/>
              <w:left w:val="single" w:sz="2" w:space="0" w:color="auto"/>
              <w:bottom w:val="nil"/>
              <w:right w:val="single" w:sz="2" w:space="0" w:color="auto"/>
            </w:tcBorders>
            <w:shd w:val="clear" w:color="auto" w:fill="auto"/>
            <w:vAlign w:val="center"/>
          </w:tcPr>
          <w:p w14:paraId="3CDC561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300 000</w:t>
            </w:r>
          </w:p>
        </w:tc>
        <w:tc>
          <w:tcPr>
            <w:tcW w:w="961" w:type="dxa"/>
            <w:tcBorders>
              <w:top w:val="nil"/>
              <w:left w:val="single" w:sz="2" w:space="0" w:color="auto"/>
              <w:bottom w:val="nil"/>
              <w:right w:val="single" w:sz="2" w:space="0" w:color="auto"/>
            </w:tcBorders>
            <w:shd w:val="clear" w:color="auto" w:fill="auto"/>
            <w:vAlign w:val="center"/>
          </w:tcPr>
          <w:p w14:paraId="6BDEE70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6150CB82"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739C124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48C36175"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4D45EDFF"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Michoacán</w:t>
            </w:r>
          </w:p>
        </w:tc>
        <w:tc>
          <w:tcPr>
            <w:tcW w:w="1116" w:type="dxa"/>
            <w:tcBorders>
              <w:top w:val="nil"/>
              <w:left w:val="single" w:sz="2" w:space="0" w:color="auto"/>
              <w:bottom w:val="nil"/>
              <w:right w:val="single" w:sz="2" w:space="0" w:color="auto"/>
            </w:tcBorders>
            <w:shd w:val="clear" w:color="auto" w:fill="auto"/>
            <w:vAlign w:val="center"/>
          </w:tcPr>
          <w:p w14:paraId="0EC822C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101 700</w:t>
            </w:r>
          </w:p>
        </w:tc>
        <w:tc>
          <w:tcPr>
            <w:tcW w:w="961" w:type="dxa"/>
            <w:tcBorders>
              <w:top w:val="nil"/>
              <w:left w:val="single" w:sz="2" w:space="0" w:color="auto"/>
              <w:bottom w:val="nil"/>
              <w:right w:val="single" w:sz="2" w:space="0" w:color="auto"/>
            </w:tcBorders>
            <w:shd w:val="clear" w:color="auto" w:fill="auto"/>
            <w:vAlign w:val="center"/>
          </w:tcPr>
          <w:p w14:paraId="2EEC2A8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173 500</w:t>
            </w:r>
          </w:p>
        </w:tc>
        <w:tc>
          <w:tcPr>
            <w:tcW w:w="1005" w:type="dxa"/>
            <w:tcBorders>
              <w:top w:val="nil"/>
              <w:left w:val="single" w:sz="2" w:space="0" w:color="auto"/>
              <w:bottom w:val="nil"/>
              <w:right w:val="single" w:sz="2" w:space="0" w:color="auto"/>
            </w:tcBorders>
            <w:shd w:val="clear" w:color="auto" w:fill="auto"/>
            <w:vAlign w:val="center"/>
          </w:tcPr>
          <w:p w14:paraId="35275F6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428378F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21B12A55"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0A7EB048"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Morelos</w:t>
            </w:r>
          </w:p>
        </w:tc>
        <w:tc>
          <w:tcPr>
            <w:tcW w:w="1116" w:type="dxa"/>
            <w:tcBorders>
              <w:top w:val="nil"/>
              <w:left w:val="single" w:sz="2" w:space="0" w:color="auto"/>
              <w:bottom w:val="nil"/>
              <w:right w:val="single" w:sz="2" w:space="0" w:color="auto"/>
            </w:tcBorders>
            <w:shd w:val="clear" w:color="auto" w:fill="auto"/>
            <w:vAlign w:val="center"/>
          </w:tcPr>
          <w:p w14:paraId="393D676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15 200</w:t>
            </w:r>
          </w:p>
        </w:tc>
        <w:tc>
          <w:tcPr>
            <w:tcW w:w="961" w:type="dxa"/>
            <w:tcBorders>
              <w:top w:val="nil"/>
              <w:left w:val="single" w:sz="2" w:space="0" w:color="auto"/>
              <w:bottom w:val="nil"/>
              <w:right w:val="single" w:sz="2" w:space="0" w:color="auto"/>
            </w:tcBorders>
            <w:shd w:val="clear" w:color="auto" w:fill="auto"/>
            <w:vAlign w:val="center"/>
          </w:tcPr>
          <w:p w14:paraId="03B51C4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126 500</w:t>
            </w:r>
          </w:p>
        </w:tc>
        <w:tc>
          <w:tcPr>
            <w:tcW w:w="1005" w:type="dxa"/>
            <w:tcBorders>
              <w:top w:val="nil"/>
              <w:left w:val="single" w:sz="2" w:space="0" w:color="auto"/>
              <w:bottom w:val="nil"/>
              <w:right w:val="single" w:sz="2" w:space="0" w:color="auto"/>
            </w:tcBorders>
            <w:shd w:val="clear" w:color="auto" w:fill="auto"/>
            <w:vAlign w:val="center"/>
          </w:tcPr>
          <w:p w14:paraId="5609E62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54CEEEE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6702CC5"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24B1BAC0"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Nayarit</w:t>
            </w:r>
          </w:p>
        </w:tc>
        <w:tc>
          <w:tcPr>
            <w:tcW w:w="1116" w:type="dxa"/>
            <w:tcBorders>
              <w:top w:val="nil"/>
              <w:left w:val="single" w:sz="2" w:space="0" w:color="auto"/>
              <w:bottom w:val="nil"/>
              <w:right w:val="single" w:sz="2" w:space="0" w:color="auto"/>
            </w:tcBorders>
            <w:shd w:val="clear" w:color="auto" w:fill="auto"/>
            <w:vAlign w:val="center"/>
          </w:tcPr>
          <w:p w14:paraId="5156103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98 200</w:t>
            </w:r>
          </w:p>
        </w:tc>
        <w:tc>
          <w:tcPr>
            <w:tcW w:w="961" w:type="dxa"/>
            <w:tcBorders>
              <w:top w:val="nil"/>
              <w:left w:val="single" w:sz="2" w:space="0" w:color="auto"/>
              <w:bottom w:val="nil"/>
              <w:right w:val="single" w:sz="2" w:space="0" w:color="auto"/>
            </w:tcBorders>
            <w:shd w:val="clear" w:color="auto" w:fill="auto"/>
            <w:vAlign w:val="center"/>
          </w:tcPr>
          <w:p w14:paraId="6DBA191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1760E61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7B67C15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942C4DA"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28727495"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Nuevo León</w:t>
            </w:r>
          </w:p>
        </w:tc>
        <w:tc>
          <w:tcPr>
            <w:tcW w:w="1116" w:type="dxa"/>
            <w:tcBorders>
              <w:top w:val="nil"/>
              <w:left w:val="single" w:sz="2" w:space="0" w:color="auto"/>
              <w:bottom w:val="nil"/>
              <w:right w:val="single" w:sz="2" w:space="0" w:color="auto"/>
            </w:tcBorders>
            <w:shd w:val="clear" w:color="auto" w:fill="auto"/>
            <w:vAlign w:val="center"/>
          </w:tcPr>
          <w:p w14:paraId="49EF4B0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10 900</w:t>
            </w:r>
          </w:p>
        </w:tc>
        <w:tc>
          <w:tcPr>
            <w:tcW w:w="961" w:type="dxa"/>
            <w:tcBorders>
              <w:top w:val="nil"/>
              <w:left w:val="single" w:sz="2" w:space="0" w:color="auto"/>
              <w:bottom w:val="nil"/>
              <w:right w:val="single" w:sz="2" w:space="0" w:color="auto"/>
            </w:tcBorders>
            <w:shd w:val="clear" w:color="auto" w:fill="auto"/>
            <w:vAlign w:val="center"/>
          </w:tcPr>
          <w:p w14:paraId="7C1D14C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8 400</w:t>
            </w:r>
          </w:p>
        </w:tc>
        <w:tc>
          <w:tcPr>
            <w:tcW w:w="1005" w:type="dxa"/>
            <w:tcBorders>
              <w:top w:val="nil"/>
              <w:left w:val="single" w:sz="2" w:space="0" w:color="auto"/>
              <w:bottom w:val="nil"/>
              <w:right w:val="single" w:sz="2" w:space="0" w:color="auto"/>
            </w:tcBorders>
            <w:shd w:val="clear" w:color="auto" w:fill="auto"/>
            <w:vAlign w:val="center"/>
          </w:tcPr>
          <w:p w14:paraId="02B388C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3C92729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66274847"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7186C04D"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Oaxaca</w:t>
            </w:r>
          </w:p>
        </w:tc>
        <w:tc>
          <w:tcPr>
            <w:tcW w:w="1116" w:type="dxa"/>
            <w:tcBorders>
              <w:top w:val="nil"/>
              <w:left w:val="single" w:sz="2" w:space="0" w:color="auto"/>
              <w:bottom w:val="nil"/>
              <w:right w:val="single" w:sz="2" w:space="0" w:color="auto"/>
            </w:tcBorders>
            <w:shd w:val="clear" w:color="auto" w:fill="auto"/>
            <w:vAlign w:val="center"/>
          </w:tcPr>
          <w:p w14:paraId="598C336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729C9968"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20 000</w:t>
            </w:r>
          </w:p>
        </w:tc>
        <w:tc>
          <w:tcPr>
            <w:tcW w:w="1005" w:type="dxa"/>
            <w:tcBorders>
              <w:top w:val="nil"/>
              <w:left w:val="single" w:sz="2" w:space="0" w:color="auto"/>
              <w:bottom w:val="nil"/>
              <w:right w:val="single" w:sz="2" w:space="0" w:color="auto"/>
            </w:tcBorders>
            <w:shd w:val="clear" w:color="auto" w:fill="auto"/>
            <w:vAlign w:val="center"/>
          </w:tcPr>
          <w:p w14:paraId="7CB6245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729C02E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67CAE5CF"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0C0CC435"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Puebla</w:t>
            </w:r>
          </w:p>
        </w:tc>
        <w:tc>
          <w:tcPr>
            <w:tcW w:w="1116" w:type="dxa"/>
            <w:tcBorders>
              <w:top w:val="nil"/>
              <w:left w:val="single" w:sz="2" w:space="0" w:color="auto"/>
              <w:bottom w:val="nil"/>
              <w:right w:val="single" w:sz="2" w:space="0" w:color="auto"/>
            </w:tcBorders>
            <w:shd w:val="clear" w:color="auto" w:fill="auto"/>
            <w:vAlign w:val="center"/>
          </w:tcPr>
          <w:p w14:paraId="60CFD4C2"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14 700</w:t>
            </w:r>
          </w:p>
        </w:tc>
        <w:tc>
          <w:tcPr>
            <w:tcW w:w="961" w:type="dxa"/>
            <w:tcBorders>
              <w:top w:val="nil"/>
              <w:left w:val="single" w:sz="2" w:space="0" w:color="auto"/>
              <w:bottom w:val="nil"/>
              <w:right w:val="single" w:sz="2" w:space="0" w:color="auto"/>
            </w:tcBorders>
            <w:shd w:val="clear" w:color="auto" w:fill="auto"/>
            <w:vAlign w:val="center"/>
          </w:tcPr>
          <w:p w14:paraId="2021F67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33 000</w:t>
            </w:r>
          </w:p>
        </w:tc>
        <w:tc>
          <w:tcPr>
            <w:tcW w:w="1005" w:type="dxa"/>
            <w:tcBorders>
              <w:top w:val="nil"/>
              <w:left w:val="single" w:sz="2" w:space="0" w:color="auto"/>
              <w:bottom w:val="nil"/>
              <w:right w:val="single" w:sz="2" w:space="0" w:color="auto"/>
            </w:tcBorders>
            <w:shd w:val="clear" w:color="auto" w:fill="auto"/>
            <w:vAlign w:val="center"/>
          </w:tcPr>
          <w:p w14:paraId="51F8DA7E"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52E2F48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1B034336"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6DDF1415"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Querétaro</w:t>
            </w:r>
          </w:p>
        </w:tc>
        <w:tc>
          <w:tcPr>
            <w:tcW w:w="1116" w:type="dxa"/>
            <w:tcBorders>
              <w:top w:val="nil"/>
              <w:left w:val="single" w:sz="2" w:space="0" w:color="auto"/>
              <w:bottom w:val="nil"/>
              <w:right w:val="single" w:sz="2" w:space="0" w:color="auto"/>
            </w:tcBorders>
            <w:shd w:val="clear" w:color="auto" w:fill="auto"/>
            <w:vAlign w:val="center"/>
          </w:tcPr>
          <w:p w14:paraId="22125A5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28 300</w:t>
            </w:r>
          </w:p>
        </w:tc>
        <w:tc>
          <w:tcPr>
            <w:tcW w:w="961" w:type="dxa"/>
            <w:tcBorders>
              <w:top w:val="nil"/>
              <w:left w:val="single" w:sz="2" w:space="0" w:color="auto"/>
              <w:bottom w:val="nil"/>
              <w:right w:val="single" w:sz="2" w:space="0" w:color="auto"/>
            </w:tcBorders>
            <w:shd w:val="clear" w:color="auto" w:fill="auto"/>
            <w:vAlign w:val="center"/>
          </w:tcPr>
          <w:p w14:paraId="351FDCD2"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4 600</w:t>
            </w:r>
          </w:p>
        </w:tc>
        <w:tc>
          <w:tcPr>
            <w:tcW w:w="1005" w:type="dxa"/>
            <w:tcBorders>
              <w:top w:val="nil"/>
              <w:left w:val="single" w:sz="2" w:space="0" w:color="auto"/>
              <w:bottom w:val="nil"/>
              <w:right w:val="single" w:sz="2" w:space="0" w:color="auto"/>
            </w:tcBorders>
            <w:shd w:val="clear" w:color="auto" w:fill="auto"/>
            <w:vAlign w:val="center"/>
          </w:tcPr>
          <w:p w14:paraId="226746B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6F11DAC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3798E9EE"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67364190"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Quintana Roo</w:t>
            </w:r>
          </w:p>
        </w:tc>
        <w:tc>
          <w:tcPr>
            <w:tcW w:w="1116" w:type="dxa"/>
            <w:tcBorders>
              <w:top w:val="nil"/>
              <w:left w:val="single" w:sz="2" w:space="0" w:color="auto"/>
              <w:bottom w:val="nil"/>
              <w:right w:val="single" w:sz="2" w:space="0" w:color="auto"/>
            </w:tcBorders>
            <w:shd w:val="clear" w:color="auto" w:fill="auto"/>
            <w:vAlign w:val="center"/>
          </w:tcPr>
          <w:p w14:paraId="277E0E1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29EEC3CC"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47DA3B3B"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1 900</w:t>
            </w:r>
          </w:p>
        </w:tc>
        <w:tc>
          <w:tcPr>
            <w:tcW w:w="961" w:type="dxa"/>
            <w:tcBorders>
              <w:top w:val="nil"/>
              <w:left w:val="single" w:sz="2" w:space="0" w:color="auto"/>
              <w:bottom w:val="nil"/>
              <w:right w:val="single" w:sz="2" w:space="0" w:color="auto"/>
            </w:tcBorders>
            <w:shd w:val="clear" w:color="auto" w:fill="auto"/>
            <w:vAlign w:val="center"/>
          </w:tcPr>
          <w:p w14:paraId="1A1F234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4624FAB9"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00531D77"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San Luis Potosí</w:t>
            </w:r>
          </w:p>
        </w:tc>
        <w:tc>
          <w:tcPr>
            <w:tcW w:w="1116" w:type="dxa"/>
            <w:tcBorders>
              <w:top w:val="nil"/>
              <w:left w:val="single" w:sz="2" w:space="0" w:color="auto"/>
              <w:bottom w:val="nil"/>
              <w:right w:val="single" w:sz="2" w:space="0" w:color="auto"/>
            </w:tcBorders>
            <w:shd w:val="clear" w:color="auto" w:fill="auto"/>
            <w:vAlign w:val="center"/>
          </w:tcPr>
          <w:p w14:paraId="0F9E151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20 000</w:t>
            </w:r>
          </w:p>
        </w:tc>
        <w:tc>
          <w:tcPr>
            <w:tcW w:w="961" w:type="dxa"/>
            <w:tcBorders>
              <w:top w:val="nil"/>
              <w:left w:val="single" w:sz="2" w:space="0" w:color="auto"/>
              <w:bottom w:val="nil"/>
              <w:right w:val="single" w:sz="2" w:space="0" w:color="auto"/>
            </w:tcBorders>
            <w:shd w:val="clear" w:color="auto" w:fill="auto"/>
            <w:vAlign w:val="center"/>
          </w:tcPr>
          <w:p w14:paraId="3E9B789C"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10 000</w:t>
            </w:r>
          </w:p>
        </w:tc>
        <w:tc>
          <w:tcPr>
            <w:tcW w:w="1005" w:type="dxa"/>
            <w:tcBorders>
              <w:top w:val="nil"/>
              <w:left w:val="single" w:sz="2" w:space="0" w:color="auto"/>
              <w:bottom w:val="nil"/>
              <w:right w:val="single" w:sz="2" w:space="0" w:color="auto"/>
            </w:tcBorders>
            <w:shd w:val="clear" w:color="auto" w:fill="auto"/>
            <w:vAlign w:val="center"/>
          </w:tcPr>
          <w:p w14:paraId="6D6EC06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20 000</w:t>
            </w:r>
          </w:p>
        </w:tc>
        <w:tc>
          <w:tcPr>
            <w:tcW w:w="961" w:type="dxa"/>
            <w:tcBorders>
              <w:top w:val="nil"/>
              <w:left w:val="single" w:sz="2" w:space="0" w:color="auto"/>
              <w:bottom w:val="nil"/>
              <w:right w:val="single" w:sz="2" w:space="0" w:color="auto"/>
            </w:tcBorders>
            <w:shd w:val="clear" w:color="auto" w:fill="auto"/>
            <w:vAlign w:val="center"/>
          </w:tcPr>
          <w:p w14:paraId="4CD9447B"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02488DA1"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13B37575"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Tamaulipas</w:t>
            </w:r>
          </w:p>
        </w:tc>
        <w:tc>
          <w:tcPr>
            <w:tcW w:w="1116" w:type="dxa"/>
            <w:tcBorders>
              <w:top w:val="nil"/>
              <w:left w:val="single" w:sz="2" w:space="0" w:color="auto"/>
              <w:bottom w:val="nil"/>
              <w:right w:val="single" w:sz="2" w:space="0" w:color="auto"/>
            </w:tcBorders>
            <w:shd w:val="clear" w:color="auto" w:fill="auto"/>
            <w:vAlign w:val="center"/>
          </w:tcPr>
          <w:p w14:paraId="66ADD2B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3579555A"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256 500</w:t>
            </w:r>
          </w:p>
        </w:tc>
        <w:tc>
          <w:tcPr>
            <w:tcW w:w="1005" w:type="dxa"/>
            <w:tcBorders>
              <w:top w:val="nil"/>
              <w:left w:val="single" w:sz="2" w:space="0" w:color="auto"/>
              <w:bottom w:val="nil"/>
              <w:right w:val="single" w:sz="2" w:space="0" w:color="auto"/>
            </w:tcBorders>
            <w:shd w:val="clear" w:color="auto" w:fill="auto"/>
            <w:vAlign w:val="center"/>
          </w:tcPr>
          <w:p w14:paraId="0ACC313E"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75 000</w:t>
            </w:r>
          </w:p>
        </w:tc>
        <w:tc>
          <w:tcPr>
            <w:tcW w:w="961" w:type="dxa"/>
            <w:tcBorders>
              <w:top w:val="nil"/>
              <w:left w:val="single" w:sz="2" w:space="0" w:color="auto"/>
              <w:bottom w:val="nil"/>
              <w:right w:val="single" w:sz="2" w:space="0" w:color="auto"/>
            </w:tcBorders>
            <w:shd w:val="clear" w:color="auto" w:fill="auto"/>
            <w:vAlign w:val="center"/>
          </w:tcPr>
          <w:p w14:paraId="5689DF4E"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1457AB5"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346E083F"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Sonora</w:t>
            </w:r>
          </w:p>
        </w:tc>
        <w:tc>
          <w:tcPr>
            <w:tcW w:w="1116" w:type="dxa"/>
            <w:tcBorders>
              <w:top w:val="nil"/>
              <w:left w:val="single" w:sz="2" w:space="0" w:color="auto"/>
              <w:bottom w:val="nil"/>
              <w:right w:val="single" w:sz="2" w:space="0" w:color="auto"/>
            </w:tcBorders>
            <w:shd w:val="clear" w:color="auto" w:fill="auto"/>
            <w:vAlign w:val="center"/>
          </w:tcPr>
          <w:p w14:paraId="7C3F198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1BC41DB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4DB43005"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7 500</w:t>
            </w:r>
          </w:p>
        </w:tc>
        <w:tc>
          <w:tcPr>
            <w:tcW w:w="961" w:type="dxa"/>
            <w:tcBorders>
              <w:top w:val="nil"/>
              <w:left w:val="single" w:sz="2" w:space="0" w:color="auto"/>
              <w:bottom w:val="nil"/>
              <w:right w:val="single" w:sz="2" w:space="0" w:color="auto"/>
            </w:tcBorders>
            <w:shd w:val="clear" w:color="auto" w:fill="auto"/>
            <w:vAlign w:val="center"/>
          </w:tcPr>
          <w:p w14:paraId="14A3216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0D004104"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7181491E"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Tlaxcala</w:t>
            </w:r>
          </w:p>
        </w:tc>
        <w:tc>
          <w:tcPr>
            <w:tcW w:w="1116" w:type="dxa"/>
            <w:tcBorders>
              <w:top w:val="nil"/>
              <w:left w:val="single" w:sz="2" w:space="0" w:color="auto"/>
              <w:bottom w:val="nil"/>
              <w:right w:val="single" w:sz="2" w:space="0" w:color="auto"/>
            </w:tcBorders>
            <w:shd w:val="clear" w:color="auto" w:fill="auto"/>
            <w:vAlign w:val="center"/>
          </w:tcPr>
          <w:p w14:paraId="07DEFC29"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19 000</w:t>
            </w:r>
          </w:p>
        </w:tc>
        <w:tc>
          <w:tcPr>
            <w:tcW w:w="961" w:type="dxa"/>
            <w:tcBorders>
              <w:top w:val="nil"/>
              <w:left w:val="single" w:sz="2" w:space="0" w:color="auto"/>
              <w:bottom w:val="nil"/>
              <w:right w:val="single" w:sz="2" w:space="0" w:color="auto"/>
            </w:tcBorders>
            <w:shd w:val="clear" w:color="auto" w:fill="auto"/>
            <w:vAlign w:val="center"/>
          </w:tcPr>
          <w:p w14:paraId="107C78E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1236FEC0"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62D7D48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27 000</w:t>
            </w:r>
          </w:p>
        </w:tc>
      </w:tr>
      <w:tr w:rsidR="00F8193F" w:rsidRPr="00F8193F" w14:paraId="360F5911"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5DCAFC5C"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Veracruz</w:t>
            </w:r>
          </w:p>
        </w:tc>
        <w:tc>
          <w:tcPr>
            <w:tcW w:w="1116" w:type="dxa"/>
            <w:tcBorders>
              <w:top w:val="nil"/>
              <w:left w:val="single" w:sz="2" w:space="0" w:color="auto"/>
              <w:bottom w:val="nil"/>
              <w:right w:val="single" w:sz="2" w:space="0" w:color="auto"/>
            </w:tcBorders>
            <w:shd w:val="clear" w:color="auto" w:fill="auto"/>
            <w:vAlign w:val="center"/>
          </w:tcPr>
          <w:p w14:paraId="4F40415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6F16AFD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5464CF21"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3 600</w:t>
            </w:r>
          </w:p>
        </w:tc>
        <w:tc>
          <w:tcPr>
            <w:tcW w:w="961" w:type="dxa"/>
            <w:tcBorders>
              <w:top w:val="nil"/>
              <w:left w:val="single" w:sz="2" w:space="0" w:color="auto"/>
              <w:bottom w:val="nil"/>
              <w:right w:val="single" w:sz="2" w:space="0" w:color="auto"/>
            </w:tcBorders>
            <w:shd w:val="clear" w:color="auto" w:fill="auto"/>
            <w:vAlign w:val="center"/>
          </w:tcPr>
          <w:p w14:paraId="3A6B00ED"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3D116AB8"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05D8BA45"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Yucatán</w:t>
            </w:r>
          </w:p>
        </w:tc>
        <w:tc>
          <w:tcPr>
            <w:tcW w:w="1116" w:type="dxa"/>
            <w:tcBorders>
              <w:top w:val="nil"/>
              <w:left w:val="single" w:sz="2" w:space="0" w:color="auto"/>
              <w:bottom w:val="nil"/>
              <w:right w:val="single" w:sz="2" w:space="0" w:color="auto"/>
            </w:tcBorders>
            <w:shd w:val="clear" w:color="auto" w:fill="auto"/>
            <w:vAlign w:val="center"/>
          </w:tcPr>
          <w:p w14:paraId="666E9B6B"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3C4D341C"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78D4E0A6"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2 700</w:t>
            </w:r>
          </w:p>
        </w:tc>
        <w:tc>
          <w:tcPr>
            <w:tcW w:w="961" w:type="dxa"/>
            <w:tcBorders>
              <w:top w:val="nil"/>
              <w:left w:val="single" w:sz="2" w:space="0" w:color="auto"/>
              <w:bottom w:val="nil"/>
              <w:right w:val="single" w:sz="2" w:space="0" w:color="auto"/>
            </w:tcBorders>
            <w:shd w:val="clear" w:color="auto" w:fill="auto"/>
            <w:vAlign w:val="center"/>
          </w:tcPr>
          <w:p w14:paraId="19BB2F47"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5D33F9E9" w14:textId="77777777" w:rsidTr="00F8193F">
        <w:trPr>
          <w:trHeight w:val="106"/>
          <w:jc w:val="center"/>
        </w:trPr>
        <w:tc>
          <w:tcPr>
            <w:tcW w:w="2772" w:type="dxa"/>
            <w:tcBorders>
              <w:top w:val="nil"/>
              <w:left w:val="single" w:sz="2" w:space="0" w:color="auto"/>
              <w:bottom w:val="nil"/>
              <w:right w:val="single" w:sz="2" w:space="0" w:color="auto"/>
            </w:tcBorders>
            <w:shd w:val="clear" w:color="auto" w:fill="auto"/>
            <w:vAlign w:val="center"/>
          </w:tcPr>
          <w:p w14:paraId="6037E9F6" w14:textId="77777777" w:rsidR="00F8193F" w:rsidRPr="00F8193F" w:rsidRDefault="00F8193F" w:rsidP="00F8193F">
            <w:pPr>
              <w:autoSpaceDE w:val="0"/>
              <w:autoSpaceDN w:val="0"/>
              <w:adjustRightInd w:val="0"/>
              <w:jc w:val="both"/>
              <w:rPr>
                <w:rFonts w:eastAsia="Calibri"/>
                <w:bCs/>
                <w:sz w:val="20"/>
                <w:szCs w:val="20"/>
                <w:lang w:eastAsia="en-US"/>
              </w:rPr>
            </w:pPr>
            <w:r w:rsidRPr="00F8193F">
              <w:rPr>
                <w:rFonts w:eastAsia="Calibri"/>
                <w:bCs/>
                <w:sz w:val="20"/>
                <w:szCs w:val="20"/>
                <w:lang w:eastAsia="en-US"/>
              </w:rPr>
              <w:t>Zacatecas</w:t>
            </w:r>
          </w:p>
        </w:tc>
        <w:tc>
          <w:tcPr>
            <w:tcW w:w="1116" w:type="dxa"/>
            <w:tcBorders>
              <w:top w:val="nil"/>
              <w:left w:val="single" w:sz="2" w:space="0" w:color="auto"/>
              <w:bottom w:val="nil"/>
              <w:right w:val="single" w:sz="2" w:space="0" w:color="auto"/>
            </w:tcBorders>
            <w:shd w:val="clear" w:color="auto" w:fill="auto"/>
            <w:vAlign w:val="center"/>
          </w:tcPr>
          <w:p w14:paraId="5C176964"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34 400</w:t>
            </w:r>
          </w:p>
        </w:tc>
        <w:tc>
          <w:tcPr>
            <w:tcW w:w="961" w:type="dxa"/>
            <w:tcBorders>
              <w:top w:val="nil"/>
              <w:left w:val="single" w:sz="2" w:space="0" w:color="auto"/>
              <w:bottom w:val="nil"/>
              <w:right w:val="single" w:sz="2" w:space="0" w:color="auto"/>
            </w:tcBorders>
            <w:shd w:val="clear" w:color="auto" w:fill="auto"/>
            <w:vAlign w:val="center"/>
          </w:tcPr>
          <w:p w14:paraId="0933182B"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1005" w:type="dxa"/>
            <w:tcBorders>
              <w:top w:val="nil"/>
              <w:left w:val="single" w:sz="2" w:space="0" w:color="auto"/>
              <w:bottom w:val="nil"/>
              <w:right w:val="single" w:sz="2" w:space="0" w:color="auto"/>
            </w:tcBorders>
            <w:shd w:val="clear" w:color="auto" w:fill="auto"/>
            <w:vAlign w:val="center"/>
          </w:tcPr>
          <w:p w14:paraId="0832E03F"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c>
          <w:tcPr>
            <w:tcW w:w="961" w:type="dxa"/>
            <w:tcBorders>
              <w:top w:val="nil"/>
              <w:left w:val="single" w:sz="2" w:space="0" w:color="auto"/>
              <w:bottom w:val="nil"/>
              <w:right w:val="single" w:sz="2" w:space="0" w:color="auto"/>
            </w:tcBorders>
            <w:shd w:val="clear" w:color="auto" w:fill="auto"/>
            <w:vAlign w:val="center"/>
          </w:tcPr>
          <w:p w14:paraId="22D19453" w14:textId="77777777" w:rsidR="00F8193F" w:rsidRPr="00F8193F" w:rsidRDefault="00F8193F" w:rsidP="00F8193F">
            <w:pPr>
              <w:autoSpaceDE w:val="0"/>
              <w:autoSpaceDN w:val="0"/>
              <w:adjustRightInd w:val="0"/>
              <w:jc w:val="right"/>
              <w:rPr>
                <w:rFonts w:eastAsia="Calibri"/>
                <w:sz w:val="20"/>
                <w:szCs w:val="20"/>
                <w:lang w:eastAsia="en-US"/>
              </w:rPr>
            </w:pPr>
            <w:r w:rsidRPr="00F8193F">
              <w:rPr>
                <w:rFonts w:eastAsia="Calibri"/>
                <w:sz w:val="20"/>
                <w:szCs w:val="20"/>
                <w:lang w:eastAsia="en-US"/>
              </w:rPr>
              <w:t>—</w:t>
            </w:r>
          </w:p>
        </w:tc>
      </w:tr>
      <w:tr w:rsidR="00F8193F" w:rsidRPr="00F8193F" w14:paraId="64839CA7" w14:textId="77777777" w:rsidTr="00F8193F">
        <w:trPr>
          <w:trHeight w:val="106"/>
          <w:jc w:val="center"/>
        </w:trPr>
        <w:tc>
          <w:tcPr>
            <w:tcW w:w="2772" w:type="dxa"/>
            <w:tcBorders>
              <w:top w:val="nil"/>
              <w:left w:val="single" w:sz="2" w:space="0" w:color="auto"/>
              <w:bottom w:val="single" w:sz="2" w:space="0" w:color="auto"/>
              <w:right w:val="single" w:sz="2" w:space="0" w:color="auto"/>
            </w:tcBorders>
            <w:shd w:val="clear" w:color="auto" w:fill="auto"/>
            <w:vAlign w:val="center"/>
          </w:tcPr>
          <w:p w14:paraId="2E073D9B" w14:textId="77777777" w:rsidR="00F8193F" w:rsidRPr="00F8193F" w:rsidRDefault="00F8193F" w:rsidP="00F8193F">
            <w:pPr>
              <w:autoSpaceDE w:val="0"/>
              <w:autoSpaceDN w:val="0"/>
              <w:adjustRightInd w:val="0"/>
              <w:jc w:val="both"/>
              <w:rPr>
                <w:rFonts w:eastAsia="Calibri"/>
                <w:b/>
                <w:bCs/>
                <w:sz w:val="20"/>
                <w:szCs w:val="20"/>
                <w:lang w:eastAsia="en-US"/>
              </w:rPr>
            </w:pPr>
            <w:r w:rsidRPr="00F8193F">
              <w:rPr>
                <w:rFonts w:eastAsia="Calibri"/>
                <w:b/>
                <w:bCs/>
                <w:sz w:val="20"/>
                <w:szCs w:val="20"/>
                <w:lang w:eastAsia="en-US"/>
              </w:rPr>
              <w:t>Total</w:t>
            </w:r>
          </w:p>
        </w:tc>
        <w:tc>
          <w:tcPr>
            <w:tcW w:w="1116" w:type="dxa"/>
            <w:tcBorders>
              <w:top w:val="nil"/>
              <w:left w:val="single" w:sz="2" w:space="0" w:color="auto"/>
              <w:bottom w:val="single" w:sz="2" w:space="0" w:color="auto"/>
              <w:right w:val="single" w:sz="2" w:space="0" w:color="auto"/>
            </w:tcBorders>
            <w:shd w:val="clear" w:color="auto" w:fill="auto"/>
            <w:vAlign w:val="center"/>
          </w:tcPr>
          <w:p w14:paraId="66D3349B" w14:textId="77777777" w:rsidR="00F8193F" w:rsidRPr="00F8193F" w:rsidRDefault="00F8193F" w:rsidP="00F8193F">
            <w:pPr>
              <w:autoSpaceDE w:val="0"/>
              <w:autoSpaceDN w:val="0"/>
              <w:adjustRightInd w:val="0"/>
              <w:jc w:val="right"/>
              <w:rPr>
                <w:rFonts w:eastAsia="Calibri"/>
                <w:b/>
                <w:sz w:val="20"/>
                <w:szCs w:val="20"/>
                <w:lang w:eastAsia="en-US"/>
              </w:rPr>
            </w:pPr>
            <w:r w:rsidRPr="00F8193F">
              <w:rPr>
                <w:rFonts w:eastAsia="Calibri"/>
                <w:b/>
                <w:sz w:val="20"/>
                <w:szCs w:val="20"/>
                <w:lang w:eastAsia="en-US"/>
              </w:rPr>
              <w:t>1 367 600</w:t>
            </w:r>
          </w:p>
        </w:tc>
        <w:tc>
          <w:tcPr>
            <w:tcW w:w="961" w:type="dxa"/>
            <w:tcBorders>
              <w:top w:val="nil"/>
              <w:left w:val="single" w:sz="2" w:space="0" w:color="auto"/>
              <w:bottom w:val="single" w:sz="2" w:space="0" w:color="auto"/>
              <w:right w:val="single" w:sz="2" w:space="0" w:color="auto"/>
            </w:tcBorders>
            <w:shd w:val="clear" w:color="auto" w:fill="auto"/>
            <w:vAlign w:val="center"/>
          </w:tcPr>
          <w:p w14:paraId="4F95FB38" w14:textId="77777777" w:rsidR="00F8193F" w:rsidRPr="00F8193F" w:rsidRDefault="00F8193F" w:rsidP="00F8193F">
            <w:pPr>
              <w:autoSpaceDE w:val="0"/>
              <w:autoSpaceDN w:val="0"/>
              <w:adjustRightInd w:val="0"/>
              <w:jc w:val="right"/>
              <w:rPr>
                <w:rFonts w:eastAsia="Calibri"/>
                <w:b/>
                <w:sz w:val="20"/>
                <w:szCs w:val="20"/>
                <w:lang w:eastAsia="en-US"/>
              </w:rPr>
            </w:pPr>
            <w:r w:rsidRPr="00F8193F">
              <w:rPr>
                <w:rFonts w:eastAsia="Calibri"/>
                <w:b/>
                <w:sz w:val="20"/>
                <w:szCs w:val="20"/>
                <w:lang w:eastAsia="en-US"/>
              </w:rPr>
              <w:t>718 400</w:t>
            </w:r>
          </w:p>
        </w:tc>
        <w:tc>
          <w:tcPr>
            <w:tcW w:w="1005" w:type="dxa"/>
            <w:tcBorders>
              <w:top w:val="nil"/>
              <w:left w:val="single" w:sz="2" w:space="0" w:color="auto"/>
              <w:bottom w:val="single" w:sz="2" w:space="0" w:color="auto"/>
              <w:right w:val="single" w:sz="2" w:space="0" w:color="auto"/>
            </w:tcBorders>
            <w:shd w:val="clear" w:color="auto" w:fill="auto"/>
            <w:vAlign w:val="center"/>
          </w:tcPr>
          <w:p w14:paraId="47D3762D" w14:textId="77777777" w:rsidR="00F8193F" w:rsidRPr="00F8193F" w:rsidRDefault="00F8193F" w:rsidP="00F8193F">
            <w:pPr>
              <w:autoSpaceDE w:val="0"/>
              <w:autoSpaceDN w:val="0"/>
              <w:adjustRightInd w:val="0"/>
              <w:jc w:val="right"/>
              <w:rPr>
                <w:rFonts w:eastAsia="Calibri"/>
                <w:b/>
                <w:sz w:val="20"/>
                <w:szCs w:val="20"/>
                <w:lang w:eastAsia="en-US"/>
              </w:rPr>
            </w:pPr>
            <w:r w:rsidRPr="00F8193F">
              <w:rPr>
                <w:rFonts w:eastAsia="Calibri"/>
                <w:b/>
                <w:sz w:val="20"/>
                <w:szCs w:val="20"/>
                <w:lang w:eastAsia="en-US"/>
              </w:rPr>
              <w:t>150 700</w:t>
            </w:r>
          </w:p>
        </w:tc>
        <w:tc>
          <w:tcPr>
            <w:tcW w:w="961" w:type="dxa"/>
            <w:tcBorders>
              <w:top w:val="nil"/>
              <w:left w:val="single" w:sz="2" w:space="0" w:color="auto"/>
              <w:bottom w:val="single" w:sz="2" w:space="0" w:color="auto"/>
              <w:right w:val="single" w:sz="2" w:space="0" w:color="auto"/>
            </w:tcBorders>
            <w:shd w:val="clear" w:color="auto" w:fill="auto"/>
            <w:vAlign w:val="center"/>
          </w:tcPr>
          <w:p w14:paraId="1669663B" w14:textId="77777777" w:rsidR="00F8193F" w:rsidRPr="00F8193F" w:rsidRDefault="00F8193F" w:rsidP="00F8193F">
            <w:pPr>
              <w:autoSpaceDE w:val="0"/>
              <w:autoSpaceDN w:val="0"/>
              <w:adjustRightInd w:val="0"/>
              <w:jc w:val="right"/>
              <w:rPr>
                <w:rFonts w:eastAsia="Calibri"/>
                <w:b/>
                <w:sz w:val="20"/>
                <w:szCs w:val="20"/>
                <w:lang w:eastAsia="en-US"/>
              </w:rPr>
            </w:pPr>
            <w:r w:rsidRPr="00F8193F">
              <w:rPr>
                <w:rFonts w:eastAsia="Calibri"/>
                <w:b/>
                <w:sz w:val="20"/>
                <w:szCs w:val="20"/>
                <w:lang w:eastAsia="en-US"/>
              </w:rPr>
              <w:t>27 000</w:t>
            </w:r>
          </w:p>
        </w:tc>
      </w:tr>
      <w:tr w:rsidR="00F8193F" w:rsidRPr="00F8193F" w14:paraId="15A34F5A" w14:textId="77777777" w:rsidTr="00F8193F">
        <w:trPr>
          <w:trHeight w:val="106"/>
          <w:jc w:val="center"/>
        </w:trPr>
        <w:tc>
          <w:tcPr>
            <w:tcW w:w="6815" w:type="dxa"/>
            <w:gridSpan w:val="5"/>
            <w:tcBorders>
              <w:top w:val="single" w:sz="2" w:space="0" w:color="auto"/>
              <w:left w:val="nil"/>
              <w:bottom w:val="nil"/>
              <w:right w:val="nil"/>
            </w:tcBorders>
            <w:shd w:val="clear" w:color="auto" w:fill="auto"/>
            <w:vAlign w:val="center"/>
          </w:tcPr>
          <w:p w14:paraId="281DADDA" w14:textId="77777777" w:rsidR="00F8193F" w:rsidRPr="00F8193F" w:rsidRDefault="00F8193F" w:rsidP="00F8193F">
            <w:pPr>
              <w:autoSpaceDE w:val="0"/>
              <w:autoSpaceDN w:val="0"/>
              <w:adjustRightInd w:val="0"/>
              <w:spacing w:before="120"/>
              <w:ind w:right="-159"/>
              <w:jc w:val="both"/>
              <w:rPr>
                <w:rFonts w:eastAsia="Calibri"/>
                <w:bCs/>
                <w:sz w:val="20"/>
                <w:szCs w:val="20"/>
                <w:lang w:eastAsia="en-US"/>
              </w:rPr>
            </w:pPr>
            <w:r w:rsidRPr="00F8193F">
              <w:rPr>
                <w:rFonts w:eastAsia="Calibri"/>
                <w:bCs/>
                <w:sz w:val="20"/>
                <w:szCs w:val="20"/>
                <w:lang w:eastAsia="en-US"/>
              </w:rPr>
              <w:t>FUENTE: SAGARPA</w:t>
            </w:r>
          </w:p>
        </w:tc>
      </w:tr>
    </w:tbl>
    <w:p w14:paraId="3527EA4A" w14:textId="77777777" w:rsidR="00F8193F" w:rsidRPr="00F8193F" w:rsidRDefault="00F8193F" w:rsidP="00F8193F">
      <w:pPr>
        <w:spacing w:after="360" w:line="360" w:lineRule="auto"/>
        <w:ind w:right="-159"/>
        <w:jc w:val="both"/>
        <w:rPr>
          <w:rFonts w:eastAsia="Calibri"/>
          <w:sz w:val="26"/>
          <w:szCs w:val="26"/>
          <w:lang w:eastAsia="en-US"/>
        </w:rPr>
      </w:pPr>
    </w:p>
    <w:p w14:paraId="5753F45F" w14:textId="77777777" w:rsidR="00F8193F" w:rsidRPr="00F8193F" w:rsidRDefault="00F8193F" w:rsidP="00F8193F">
      <w:pPr>
        <w:ind w:right="-159"/>
        <w:jc w:val="both"/>
        <w:rPr>
          <w:rFonts w:eastAsia="Calibri"/>
          <w:sz w:val="20"/>
          <w:szCs w:val="20"/>
          <w:lang w:eastAsia="en-US"/>
        </w:rPr>
      </w:pPr>
      <w:r w:rsidRPr="00F8193F">
        <w:rPr>
          <w:rFonts w:eastAsia="Calibri"/>
          <w:b/>
          <w:sz w:val="20"/>
          <w:szCs w:val="20"/>
          <w:lang w:eastAsia="en-US"/>
        </w:rPr>
        <w:t>Fuente de información</w:t>
      </w:r>
      <w:r w:rsidRPr="00F8193F">
        <w:rPr>
          <w:rFonts w:eastAsia="Calibri"/>
          <w:sz w:val="20"/>
          <w:szCs w:val="20"/>
          <w:lang w:eastAsia="en-US"/>
        </w:rPr>
        <w:t>:</w:t>
      </w:r>
    </w:p>
    <w:p w14:paraId="4AD2B209" w14:textId="77777777" w:rsidR="00F8193F" w:rsidRPr="00AF4B25" w:rsidRDefault="0045651A" w:rsidP="00F8193F">
      <w:pPr>
        <w:ind w:right="-159"/>
        <w:jc w:val="both"/>
        <w:rPr>
          <w:rFonts w:eastAsia="Calibri"/>
          <w:color w:val="0000FF"/>
          <w:sz w:val="20"/>
          <w:szCs w:val="20"/>
          <w:u w:val="single"/>
          <w:lang w:eastAsia="en-US"/>
        </w:rPr>
      </w:pPr>
      <w:hyperlink r:id="rId36" w:history="1">
        <w:r w:rsidR="00F8193F" w:rsidRPr="00AF4B25">
          <w:rPr>
            <w:rFonts w:eastAsia="Calibri"/>
            <w:color w:val="0000FF"/>
            <w:sz w:val="20"/>
            <w:szCs w:val="20"/>
            <w:u w:val="single"/>
            <w:lang w:eastAsia="en-US"/>
          </w:rPr>
          <w:t>http://www.sagarpa.gob.mx/saladeprensa/2012/Paginas/2015B219.aspx</w:t>
        </w:r>
      </w:hyperlink>
    </w:p>
    <w:p w14:paraId="1004CEBA" w14:textId="77777777" w:rsidR="00F8193F" w:rsidRPr="00AF4B25" w:rsidRDefault="00F8193F" w:rsidP="00F8193F">
      <w:pPr>
        <w:ind w:right="-159"/>
        <w:jc w:val="both"/>
        <w:rPr>
          <w:rFonts w:eastAsia="Calibri"/>
          <w:color w:val="0000FF"/>
          <w:sz w:val="20"/>
          <w:szCs w:val="20"/>
          <w:lang w:eastAsia="en-US"/>
        </w:rPr>
      </w:pPr>
      <w:r w:rsidRPr="00AF4B25">
        <w:rPr>
          <w:rFonts w:eastAsia="Calibri"/>
          <w:color w:val="0000FF"/>
          <w:sz w:val="20"/>
          <w:szCs w:val="20"/>
          <w:lang w:eastAsia="en-US"/>
        </w:rPr>
        <w:t>Para tener acceso al aviso publicado en el Diario Oficial de la Federación visite:</w:t>
      </w:r>
    </w:p>
    <w:p w14:paraId="237B65AD" w14:textId="77777777" w:rsidR="00F8193F" w:rsidRPr="00AF4B25" w:rsidRDefault="00F8193F" w:rsidP="00AF4B25">
      <w:pPr>
        <w:spacing w:after="720"/>
        <w:ind w:right="-159"/>
        <w:jc w:val="both"/>
        <w:rPr>
          <w:rFonts w:eastAsia="Calibri"/>
          <w:color w:val="0000FF"/>
          <w:sz w:val="20"/>
          <w:szCs w:val="20"/>
          <w:u w:val="single"/>
          <w:lang w:eastAsia="en-US"/>
        </w:rPr>
      </w:pPr>
      <w:r w:rsidRPr="00AF4B25">
        <w:rPr>
          <w:rFonts w:eastAsia="Calibri"/>
          <w:color w:val="0000FF"/>
          <w:sz w:val="20"/>
          <w:szCs w:val="20"/>
          <w:u w:val="single"/>
          <w:lang w:eastAsia="en-US"/>
        </w:rPr>
        <w:t>http://www.dof.gob.mx/nota_detalle.php?codigo=5386422&amp;fecha=24/03/2015</w:t>
      </w:r>
    </w:p>
    <w:p w14:paraId="384C32DC" w14:textId="77777777" w:rsidR="00F8193F" w:rsidRDefault="00F8193F" w:rsidP="00B46740">
      <w:pPr>
        <w:autoSpaceDE w:val="0"/>
        <w:autoSpaceDN w:val="0"/>
        <w:adjustRightInd w:val="0"/>
        <w:spacing w:after="360" w:line="360" w:lineRule="auto"/>
        <w:ind w:right="-159"/>
        <w:jc w:val="both"/>
        <w:rPr>
          <w:rFonts w:eastAsia="Calibri"/>
          <w:sz w:val="26"/>
          <w:szCs w:val="26"/>
          <w:lang w:eastAsia="en-US"/>
        </w:rPr>
      </w:pPr>
    </w:p>
    <w:p w14:paraId="48FB1EBF" w14:textId="77777777" w:rsidR="00512C3D" w:rsidRDefault="00512C3D" w:rsidP="00B46740">
      <w:pPr>
        <w:autoSpaceDE w:val="0"/>
        <w:autoSpaceDN w:val="0"/>
        <w:adjustRightInd w:val="0"/>
        <w:spacing w:after="360" w:line="360" w:lineRule="auto"/>
        <w:ind w:right="-159"/>
        <w:jc w:val="both"/>
        <w:rPr>
          <w:rFonts w:eastAsia="Calibri"/>
          <w:sz w:val="26"/>
          <w:szCs w:val="26"/>
          <w:lang w:eastAsia="en-US"/>
        </w:rPr>
      </w:pPr>
    </w:p>
    <w:p w14:paraId="6BF6BC81" w14:textId="77777777" w:rsidR="00057831" w:rsidRPr="00057831" w:rsidRDefault="00057831" w:rsidP="00057831">
      <w:pPr>
        <w:rPr>
          <w:rFonts w:eastAsia="Calibri"/>
          <w:b/>
          <w:sz w:val="26"/>
          <w:szCs w:val="26"/>
          <w:lang w:eastAsia="en-US"/>
        </w:rPr>
      </w:pPr>
      <w:r w:rsidRPr="00057831">
        <w:rPr>
          <w:rFonts w:eastAsia="Calibri"/>
          <w:b/>
          <w:sz w:val="26"/>
          <w:szCs w:val="26"/>
          <w:lang w:eastAsia="en-US"/>
        </w:rPr>
        <w:lastRenderedPageBreak/>
        <w:t>Quieren dedicar mayores fondos a la nutrición</w:t>
      </w:r>
    </w:p>
    <w:p w14:paraId="73AA8D95" w14:textId="77777777" w:rsidR="00057831" w:rsidRPr="00057831" w:rsidRDefault="00057831" w:rsidP="00057831">
      <w:pPr>
        <w:spacing w:after="360" w:line="360" w:lineRule="auto"/>
        <w:ind w:right="-159"/>
        <w:jc w:val="both"/>
        <w:rPr>
          <w:rFonts w:eastAsia="Calibri"/>
          <w:b/>
          <w:sz w:val="26"/>
          <w:szCs w:val="26"/>
          <w:lang w:eastAsia="en-US"/>
        </w:rPr>
      </w:pPr>
      <w:r w:rsidRPr="00057831">
        <w:rPr>
          <w:rFonts w:eastAsia="Calibri"/>
          <w:b/>
          <w:sz w:val="26"/>
          <w:szCs w:val="26"/>
          <w:lang w:eastAsia="en-US"/>
        </w:rPr>
        <w:t>y al cambio climático (FAO)</w:t>
      </w:r>
    </w:p>
    <w:p w14:paraId="71067C8B" w14:textId="7851FDAC"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 xml:space="preserve">El 23 de marzo de 2015, el Director General de la Organización de las Naciones Unidas para la Alimentación y la Agricultura (FAO) inauguró el Consejo de la FAO y pidió alcanzar un consenso sobre el Programa de trabajo y presupuesto. A continuación </w:t>
      </w:r>
      <w:r w:rsidR="008D28ED">
        <w:rPr>
          <w:rFonts w:eastAsia="Calibri"/>
          <w:sz w:val="26"/>
          <w:szCs w:val="26"/>
          <w:lang w:eastAsia="en-US"/>
        </w:rPr>
        <w:t xml:space="preserve">se presentan </w:t>
      </w:r>
      <w:r w:rsidRPr="00057831">
        <w:rPr>
          <w:rFonts w:eastAsia="Calibri"/>
          <w:sz w:val="26"/>
          <w:szCs w:val="26"/>
          <w:lang w:eastAsia="en-US"/>
        </w:rPr>
        <w:t>los detalles.</w:t>
      </w:r>
    </w:p>
    <w:p w14:paraId="20E4E499"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El Director General de la FAO inauguró la semana de sesiones del consejo ejecutivo de la Organización, con un llamado para que sus miembros aprueben una propuesta que incluye más fondos destinados a las cuestiones de la nutrición y el cambio climático.</w:t>
      </w:r>
    </w:p>
    <w:p w14:paraId="08227E0E"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Expresó confianza en que los países miembros de la FAO lleguen a un consenso esta semana sobre el Programa de trabajo y presupuesto, que luego deberá ser aprobado formalmente por todos los miembros en la Conferencia de la FAO en junio.</w:t>
      </w:r>
    </w:p>
    <w:p w14:paraId="2E4A829A"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El presupuesto del Programa de trabajo de la FAO para 2016-2017 es de 1 mil 44 millones de dólares. Los miembros de la FAO reconocen los avances en eficiencia sin precedentes logrados por el Director General de la FAO desde que éste asumió el cargo en enero de 2012. El Director General advirtió, sin embargo, que sería “irresponsable” afirmar que la Organización puede seguir llevando a cabo su programa de trabajo en la misma manera, si no se pone freno a la tendencia a los recortes presupuestarios.</w:t>
      </w:r>
    </w:p>
    <w:p w14:paraId="7B812B87"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“No les estoy pidiendo que tiren el dinero. Les estoy pidiendo que inviertan en su organización, para que podamos hacer lo que nos piden hacer, en beneficio de todos, en especial, los pobres, hambrientos y vulnerables”, aseguró el Director General de la FAO al dirigirse a los delegados.</w:t>
      </w:r>
    </w:p>
    <w:p w14:paraId="256FD53A"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 xml:space="preserve">Manifestó que el proyecto de presupuesto representa un aumento real de financiamiento de 6.1 millones de dólares, el equivalente a 0.6% del presupuesto actual. Este monto se </w:t>
      </w:r>
      <w:r w:rsidRPr="00057831">
        <w:rPr>
          <w:rFonts w:eastAsia="Calibri"/>
          <w:sz w:val="26"/>
          <w:szCs w:val="26"/>
          <w:lang w:eastAsia="en-US"/>
        </w:rPr>
        <w:lastRenderedPageBreak/>
        <w:t>destinará íntegramente al Programa de Cooperación Técnica de la FAO para incrementar la ayuda a los pequeños Estados insulares en desarrollo a adaptarse al cambio climático.</w:t>
      </w:r>
    </w:p>
    <w:p w14:paraId="4E53DD39"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“La devastación causada por el ciclón Pam en Vanuatu hace una semana –recordó– ha puesto de relieve de forma dolorosa la importancia de este apoyo”.</w:t>
      </w:r>
    </w:p>
    <w:p w14:paraId="025AB4AB" w14:textId="77777777" w:rsidR="00057831" w:rsidRPr="00057831" w:rsidRDefault="00057831" w:rsidP="00057831">
      <w:pPr>
        <w:spacing w:after="360" w:line="360" w:lineRule="auto"/>
        <w:ind w:right="-159"/>
        <w:jc w:val="both"/>
        <w:rPr>
          <w:rFonts w:eastAsia="Calibri"/>
          <w:b/>
          <w:sz w:val="26"/>
          <w:szCs w:val="26"/>
          <w:lang w:eastAsia="en-US"/>
        </w:rPr>
      </w:pPr>
      <w:r w:rsidRPr="00057831">
        <w:rPr>
          <w:rFonts w:eastAsia="Calibri"/>
          <w:b/>
          <w:sz w:val="26"/>
          <w:szCs w:val="26"/>
          <w:lang w:eastAsia="en-US"/>
        </w:rPr>
        <w:t>Cambio transformacional en la FAO</w:t>
      </w:r>
    </w:p>
    <w:p w14:paraId="6CD1B93E"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El Director General de la FAO dijo a los delegados que desde que asumió el cargo en 2012, “la transformación ha sido un elemento central de mi trabajo”.</w:t>
      </w:r>
    </w:p>
    <w:p w14:paraId="44BC7769"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“Ahora, consolidación con flexibilidad son las palabras clave”, añadió.</w:t>
      </w:r>
    </w:p>
    <w:p w14:paraId="0D3DD9AE" w14:textId="77777777" w:rsidR="00057831" w:rsidRPr="00057831" w:rsidRDefault="00057831" w:rsidP="00057831">
      <w:pPr>
        <w:spacing w:after="360" w:line="360" w:lineRule="auto"/>
        <w:ind w:right="-159"/>
        <w:jc w:val="both"/>
        <w:rPr>
          <w:rFonts w:eastAsia="Calibri"/>
          <w:sz w:val="26"/>
          <w:szCs w:val="26"/>
          <w:lang w:eastAsia="en-US"/>
        </w:rPr>
      </w:pPr>
      <w:r w:rsidRPr="00057831">
        <w:rPr>
          <w:rFonts w:eastAsia="Calibri"/>
          <w:sz w:val="26"/>
          <w:szCs w:val="26"/>
          <w:lang w:eastAsia="en-US"/>
        </w:rPr>
        <w:t>Subrayó cómo se ha fortalecido la confianza en la Organización y cómo ésta se ha centrado más en sus objetivos, un hecho reconocido en un reciente informe de la Red de Evaluación del Desempeño de Organizaciones Multilaterales, integrada por un conjunto de 19 países donantes.</w:t>
      </w:r>
    </w:p>
    <w:p w14:paraId="18D49638" w14:textId="77777777" w:rsidR="00057831" w:rsidRPr="00057831" w:rsidRDefault="00057831" w:rsidP="00057831">
      <w:pPr>
        <w:ind w:right="-159"/>
        <w:jc w:val="both"/>
        <w:rPr>
          <w:rFonts w:eastAsia="Calibri"/>
          <w:sz w:val="20"/>
          <w:szCs w:val="20"/>
          <w:lang w:eastAsia="en-US"/>
        </w:rPr>
      </w:pPr>
      <w:r w:rsidRPr="00057831">
        <w:rPr>
          <w:rFonts w:eastAsia="Calibri"/>
          <w:b/>
          <w:sz w:val="20"/>
          <w:szCs w:val="20"/>
          <w:lang w:eastAsia="en-US"/>
        </w:rPr>
        <w:t>Fuente de información</w:t>
      </w:r>
      <w:r w:rsidRPr="00057831">
        <w:rPr>
          <w:rFonts w:eastAsia="Calibri"/>
          <w:sz w:val="20"/>
          <w:szCs w:val="20"/>
          <w:lang w:eastAsia="en-US"/>
        </w:rPr>
        <w:t>:</w:t>
      </w:r>
    </w:p>
    <w:p w14:paraId="2E93AA0D" w14:textId="77777777" w:rsidR="00057831" w:rsidRPr="00AF4B25" w:rsidRDefault="0045651A" w:rsidP="00AF4B25">
      <w:pPr>
        <w:spacing w:after="720"/>
        <w:ind w:right="-159"/>
        <w:jc w:val="both"/>
        <w:rPr>
          <w:rFonts w:eastAsia="Calibri"/>
          <w:color w:val="0000FF"/>
          <w:sz w:val="20"/>
          <w:szCs w:val="20"/>
          <w:lang w:eastAsia="en-US"/>
        </w:rPr>
      </w:pPr>
      <w:hyperlink r:id="rId37" w:history="1">
        <w:r w:rsidR="00057831" w:rsidRPr="00AF4B25">
          <w:rPr>
            <w:rFonts w:eastAsia="Calibri"/>
            <w:color w:val="0000FF"/>
            <w:sz w:val="20"/>
            <w:szCs w:val="20"/>
            <w:u w:val="single"/>
            <w:lang w:eastAsia="en-US"/>
          </w:rPr>
          <w:t>http://www.fao.org/news/story/es/item/281796/icode/</w:t>
        </w:r>
      </w:hyperlink>
    </w:p>
    <w:p w14:paraId="2D143AF7" w14:textId="77777777" w:rsidR="003B27F8" w:rsidRPr="003B27F8" w:rsidRDefault="003B27F8" w:rsidP="003B27F8">
      <w:pPr>
        <w:autoSpaceDE w:val="0"/>
        <w:autoSpaceDN w:val="0"/>
        <w:adjustRightInd w:val="0"/>
        <w:spacing w:after="360" w:line="360" w:lineRule="auto"/>
        <w:ind w:right="-159"/>
        <w:jc w:val="both"/>
        <w:rPr>
          <w:b/>
          <w:sz w:val="28"/>
          <w:szCs w:val="28"/>
        </w:rPr>
      </w:pPr>
      <w:r w:rsidRPr="003B27F8">
        <w:rPr>
          <w:rFonts w:eastAsia="Calibri"/>
          <w:b/>
          <w:sz w:val="26"/>
          <w:szCs w:val="26"/>
          <w:lang w:eastAsia="en-US"/>
        </w:rPr>
        <w:t>Subsector Pecuario (SAGARPA)</w:t>
      </w:r>
    </w:p>
    <w:p w14:paraId="7C26D4E4" w14:textId="7A09177E" w:rsidR="003B27F8" w:rsidRPr="003B27F8" w:rsidRDefault="003B27F8" w:rsidP="003B27F8">
      <w:pPr>
        <w:spacing w:after="360" w:line="360" w:lineRule="auto"/>
        <w:ind w:right="-159"/>
        <w:jc w:val="both"/>
        <w:rPr>
          <w:sz w:val="26"/>
          <w:szCs w:val="26"/>
        </w:rPr>
      </w:pPr>
      <w:r w:rsidRPr="003B27F8">
        <w:rPr>
          <w:sz w:val="26"/>
          <w:szCs w:val="26"/>
        </w:rPr>
        <w:t xml:space="preserve">Información del Sistema de Información Agropecuaria (SIAP) de la Secretaría de Agricultura, Ganadería, Desarrollo Rural, Pesca y Alimentación (SAGARPA) durante </w:t>
      </w:r>
      <w:r w:rsidR="00251E61">
        <w:rPr>
          <w:sz w:val="26"/>
          <w:szCs w:val="26"/>
        </w:rPr>
        <w:t>el primer bimestre</w:t>
      </w:r>
      <w:r w:rsidRPr="003B27F8">
        <w:rPr>
          <w:sz w:val="26"/>
          <w:szCs w:val="26"/>
        </w:rPr>
        <w:t xml:space="preserve"> de 2015, la producción de leche de bovino y caprino fue de un millón 784 mil 199 litros, cantidad que significó un aumento de 2.1% con relación a febrero del año anterior. Específicamente, la producción de leche de bovino registró un aumento de 2.1% y contribuyó con el 98.6% del total del rubro, mientras que la de caprino creció 1.3% y participó con el 1.4% restante.</w:t>
      </w:r>
    </w:p>
    <w:p w14:paraId="78C233BF" w14:textId="619E70BD" w:rsidR="003B27F8" w:rsidRPr="003B27F8" w:rsidRDefault="003B27F8" w:rsidP="003B27F8">
      <w:pPr>
        <w:spacing w:after="360" w:line="400" w:lineRule="exact"/>
        <w:ind w:right="-159"/>
        <w:jc w:val="both"/>
        <w:rPr>
          <w:sz w:val="26"/>
          <w:szCs w:val="26"/>
        </w:rPr>
      </w:pPr>
      <w:r w:rsidRPr="003B27F8">
        <w:rPr>
          <w:sz w:val="26"/>
          <w:szCs w:val="26"/>
        </w:rPr>
        <w:lastRenderedPageBreak/>
        <w:t xml:space="preserve">En </w:t>
      </w:r>
      <w:r w:rsidR="00251E61">
        <w:rPr>
          <w:sz w:val="26"/>
          <w:szCs w:val="26"/>
        </w:rPr>
        <w:t>el período enero-</w:t>
      </w:r>
      <w:r w:rsidRPr="003B27F8">
        <w:rPr>
          <w:sz w:val="26"/>
          <w:szCs w:val="26"/>
        </w:rPr>
        <w:t xml:space="preserve">febrero del presente año, la producción total de carne en canal fue 999 mil 101 toneladas, cantidad 2.1% mayor a la observada en igual período de 2014. En particular, la producción de carne de aves fue de 470 mil 734 toneladas, lo que representó un aumento de 2.3% respecto a lo reportado en el mismo período del año anterior, y contribuyó con el 47.1% del total del rubro; por su parte, la producción de carne de porcino aumentó 2.6% y la de ovino 2.1%, participando con el 21.4 y 0.9%, en cada caso. Asimismo, la de carne de bovino registró un incremento de 1.7%, con una participación de 29.7%. Por el contrario la producción de carne de caprino disminuyó en 0.5%, con una participación de 0.6% y la </w:t>
      </w:r>
      <w:r w:rsidR="000F24E2">
        <w:rPr>
          <w:sz w:val="26"/>
          <w:szCs w:val="26"/>
        </w:rPr>
        <w:t>d</w:t>
      </w:r>
      <w:r w:rsidRPr="003B27F8">
        <w:rPr>
          <w:sz w:val="26"/>
          <w:szCs w:val="26"/>
        </w:rPr>
        <w:t>e guajolote disminuyó en 2.9%</w:t>
      </w:r>
      <w:r w:rsidR="000F24E2">
        <w:rPr>
          <w:sz w:val="26"/>
          <w:szCs w:val="26"/>
        </w:rPr>
        <w:t xml:space="preserve">, aportando el </w:t>
      </w:r>
      <w:r w:rsidRPr="003B27F8">
        <w:rPr>
          <w:sz w:val="26"/>
          <w:szCs w:val="26"/>
        </w:rPr>
        <w:t>0.2% del total.</w:t>
      </w:r>
    </w:p>
    <w:p w14:paraId="4D482F94" w14:textId="607BEC94" w:rsidR="003B27F8" w:rsidRDefault="003B27F8" w:rsidP="003B27F8">
      <w:pPr>
        <w:spacing w:after="360" w:line="360" w:lineRule="auto"/>
        <w:ind w:right="-159"/>
        <w:jc w:val="both"/>
        <w:rPr>
          <w:sz w:val="26"/>
          <w:szCs w:val="26"/>
        </w:rPr>
      </w:pPr>
      <w:r w:rsidRPr="003B27F8">
        <w:rPr>
          <w:sz w:val="26"/>
          <w:szCs w:val="26"/>
        </w:rPr>
        <w:t xml:space="preserve">Por otro lado, en </w:t>
      </w:r>
      <w:r w:rsidR="00251E61">
        <w:rPr>
          <w:sz w:val="26"/>
          <w:szCs w:val="26"/>
        </w:rPr>
        <w:t>el primer bimestre</w:t>
      </w:r>
      <w:r w:rsidRPr="003B27F8">
        <w:rPr>
          <w:sz w:val="26"/>
          <w:szCs w:val="26"/>
        </w:rPr>
        <w:t xml:space="preserve"> de 2015, la producción de lana sucia aumentó 18.2%, la de huevo para plato aumentó 2.7% y la de miel aumentó 0.8%. Por el contrario la producción de cera en greña disminuyó en 5.9</w:t>
      </w:r>
      <w:r w:rsidR="00251E61">
        <w:rPr>
          <w:sz w:val="26"/>
          <w:szCs w:val="26"/>
        </w:rPr>
        <w:t xml:space="preserve"> por ciento</w:t>
      </w:r>
      <w:r w:rsidRPr="003B27F8">
        <w:rPr>
          <w:sz w:val="26"/>
          <w:szCs w:val="26"/>
        </w:rPr>
        <w:t>.</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3"/>
        <w:gridCol w:w="1515"/>
        <w:gridCol w:w="1453"/>
        <w:gridCol w:w="1440"/>
        <w:gridCol w:w="1080"/>
        <w:gridCol w:w="1080"/>
      </w:tblGrid>
      <w:tr w:rsidR="003B27F8" w:rsidRPr="003B27F8" w14:paraId="24D3D576" w14:textId="77777777" w:rsidTr="00F44802">
        <w:trPr>
          <w:jc w:val="center"/>
        </w:trPr>
        <w:tc>
          <w:tcPr>
            <w:tcW w:w="8841" w:type="dxa"/>
            <w:gridSpan w:val="6"/>
            <w:tcBorders>
              <w:top w:val="nil"/>
              <w:left w:val="nil"/>
              <w:bottom w:val="single" w:sz="4" w:space="0" w:color="auto"/>
              <w:right w:val="nil"/>
            </w:tcBorders>
          </w:tcPr>
          <w:p w14:paraId="65563115" w14:textId="77777777" w:rsidR="003B27F8" w:rsidRPr="003B27F8" w:rsidRDefault="003B27F8" w:rsidP="003B27F8">
            <w:pPr>
              <w:jc w:val="center"/>
              <w:rPr>
                <w:b/>
                <w:sz w:val="22"/>
                <w:szCs w:val="22"/>
              </w:rPr>
            </w:pPr>
            <w:r w:rsidRPr="003B27F8">
              <w:rPr>
                <w:b/>
                <w:sz w:val="22"/>
                <w:szCs w:val="22"/>
              </w:rPr>
              <w:t>PRODUCCIÓN PECUARIA</w:t>
            </w:r>
          </w:p>
          <w:p w14:paraId="36A5D72F" w14:textId="005DF5B8" w:rsidR="003B27F8" w:rsidRPr="003B27F8" w:rsidRDefault="00251E61" w:rsidP="003B27F8">
            <w:pPr>
              <w:jc w:val="center"/>
              <w:rPr>
                <w:b/>
                <w:sz w:val="22"/>
                <w:szCs w:val="22"/>
              </w:rPr>
            </w:pPr>
            <w:r>
              <w:rPr>
                <w:b/>
                <w:sz w:val="22"/>
                <w:szCs w:val="22"/>
              </w:rPr>
              <w:t>Enero-</w:t>
            </w:r>
            <w:r w:rsidR="003B27F8" w:rsidRPr="003B27F8">
              <w:rPr>
                <w:b/>
                <w:sz w:val="22"/>
                <w:szCs w:val="22"/>
              </w:rPr>
              <w:t>Febrero 2014-2015</w:t>
            </w:r>
          </w:p>
          <w:p w14:paraId="133CF6C6" w14:textId="77777777" w:rsidR="003B27F8" w:rsidRPr="003B27F8" w:rsidRDefault="003B27F8" w:rsidP="003B27F8">
            <w:pPr>
              <w:ind w:right="-159"/>
              <w:jc w:val="center"/>
              <w:rPr>
                <w:b/>
                <w:sz w:val="20"/>
                <w:szCs w:val="20"/>
              </w:rPr>
            </w:pPr>
            <w:r w:rsidRPr="003B27F8">
              <w:rPr>
                <w:b/>
                <w:sz w:val="22"/>
                <w:szCs w:val="22"/>
              </w:rPr>
              <w:t>-Toneladas-</w:t>
            </w:r>
          </w:p>
        </w:tc>
      </w:tr>
      <w:tr w:rsidR="003B27F8" w:rsidRPr="003B27F8" w14:paraId="4D754DD2" w14:textId="77777777" w:rsidTr="00F44802">
        <w:trPr>
          <w:jc w:val="center"/>
        </w:trPr>
        <w:tc>
          <w:tcPr>
            <w:tcW w:w="2273" w:type="dxa"/>
            <w:vMerge w:val="restart"/>
            <w:tcBorders>
              <w:top w:val="single" w:sz="4" w:space="0" w:color="auto"/>
              <w:left w:val="single" w:sz="4" w:space="0" w:color="auto"/>
              <w:bottom w:val="nil"/>
              <w:right w:val="single" w:sz="4" w:space="0" w:color="auto"/>
            </w:tcBorders>
            <w:vAlign w:val="center"/>
          </w:tcPr>
          <w:p w14:paraId="6DB0C6F0" w14:textId="77777777" w:rsidR="003B27F8" w:rsidRPr="003B27F8" w:rsidRDefault="003B27F8" w:rsidP="003B27F8">
            <w:pPr>
              <w:jc w:val="center"/>
              <w:rPr>
                <w:b/>
                <w:sz w:val="20"/>
                <w:szCs w:val="20"/>
              </w:rPr>
            </w:pPr>
            <w:bookmarkStart w:id="6" w:name="_Hlk259467240"/>
            <w:bookmarkStart w:id="7" w:name="_Hlk289423212"/>
            <w:bookmarkStart w:id="8" w:name="_Hlk297548133"/>
            <w:bookmarkStart w:id="9" w:name="_Hlk224117081"/>
            <w:r w:rsidRPr="003B27F8">
              <w:rPr>
                <w:b/>
                <w:sz w:val="20"/>
                <w:szCs w:val="20"/>
              </w:rPr>
              <w:t>Concepto</w:t>
            </w:r>
          </w:p>
        </w:tc>
        <w:tc>
          <w:tcPr>
            <w:tcW w:w="1515" w:type="dxa"/>
            <w:vMerge w:val="restart"/>
            <w:tcBorders>
              <w:top w:val="single" w:sz="4" w:space="0" w:color="auto"/>
              <w:left w:val="single" w:sz="4" w:space="0" w:color="auto"/>
              <w:bottom w:val="nil"/>
              <w:right w:val="single" w:sz="4" w:space="0" w:color="auto"/>
            </w:tcBorders>
            <w:vAlign w:val="center"/>
          </w:tcPr>
          <w:p w14:paraId="31CCD26F" w14:textId="77777777" w:rsidR="003B27F8" w:rsidRPr="003B27F8" w:rsidRDefault="003B27F8" w:rsidP="003B27F8">
            <w:pPr>
              <w:jc w:val="center"/>
              <w:rPr>
                <w:b/>
                <w:sz w:val="20"/>
                <w:szCs w:val="20"/>
              </w:rPr>
            </w:pPr>
            <w:r w:rsidRPr="003B27F8">
              <w:rPr>
                <w:b/>
                <w:sz w:val="20"/>
                <w:szCs w:val="20"/>
              </w:rPr>
              <w:t>Pronóstico</w:t>
            </w:r>
          </w:p>
          <w:p w14:paraId="19B1BFDF" w14:textId="77777777" w:rsidR="003B27F8" w:rsidRPr="003B27F8" w:rsidRDefault="003B27F8" w:rsidP="003B27F8">
            <w:pPr>
              <w:jc w:val="center"/>
              <w:rPr>
                <w:b/>
                <w:sz w:val="20"/>
                <w:szCs w:val="20"/>
              </w:rPr>
            </w:pPr>
            <w:r w:rsidRPr="003B27F8">
              <w:rPr>
                <w:b/>
                <w:sz w:val="20"/>
                <w:szCs w:val="20"/>
              </w:rPr>
              <w:t>2015</w:t>
            </w:r>
          </w:p>
        </w:tc>
        <w:tc>
          <w:tcPr>
            <w:tcW w:w="2893" w:type="dxa"/>
            <w:gridSpan w:val="2"/>
            <w:tcBorders>
              <w:top w:val="single" w:sz="4" w:space="0" w:color="auto"/>
              <w:left w:val="single" w:sz="4" w:space="0" w:color="auto"/>
              <w:bottom w:val="single" w:sz="4" w:space="0" w:color="auto"/>
              <w:right w:val="single" w:sz="4" w:space="0" w:color="auto"/>
            </w:tcBorders>
          </w:tcPr>
          <w:p w14:paraId="531A95CB" w14:textId="0D2FDDD5" w:rsidR="003B27F8" w:rsidRPr="003B27F8" w:rsidRDefault="003B27F8" w:rsidP="003B27F8">
            <w:pPr>
              <w:jc w:val="center"/>
              <w:rPr>
                <w:b/>
                <w:sz w:val="20"/>
                <w:szCs w:val="20"/>
              </w:rPr>
            </w:pPr>
            <w:r w:rsidRPr="003B27F8">
              <w:rPr>
                <w:b/>
                <w:sz w:val="20"/>
                <w:szCs w:val="20"/>
              </w:rPr>
              <w:t>Enero</w:t>
            </w:r>
            <w:r w:rsidR="00251E61">
              <w:rPr>
                <w:b/>
                <w:sz w:val="20"/>
                <w:szCs w:val="20"/>
              </w:rPr>
              <w:t>-Febrero</w:t>
            </w:r>
          </w:p>
        </w:tc>
        <w:tc>
          <w:tcPr>
            <w:tcW w:w="1080" w:type="dxa"/>
            <w:vMerge w:val="restart"/>
            <w:tcBorders>
              <w:top w:val="single" w:sz="4" w:space="0" w:color="auto"/>
              <w:left w:val="single" w:sz="4" w:space="0" w:color="auto"/>
              <w:right w:val="single" w:sz="4" w:space="0" w:color="auto"/>
            </w:tcBorders>
          </w:tcPr>
          <w:p w14:paraId="3DF16709" w14:textId="77777777" w:rsidR="003B27F8" w:rsidRPr="003B27F8" w:rsidRDefault="003B27F8" w:rsidP="003B27F8">
            <w:pPr>
              <w:jc w:val="center"/>
              <w:rPr>
                <w:b/>
                <w:sz w:val="20"/>
                <w:szCs w:val="20"/>
              </w:rPr>
            </w:pPr>
            <w:r w:rsidRPr="003B27F8">
              <w:rPr>
                <w:b/>
                <w:sz w:val="20"/>
                <w:szCs w:val="20"/>
              </w:rPr>
              <w:t>Variación %</w:t>
            </w:r>
          </w:p>
        </w:tc>
        <w:tc>
          <w:tcPr>
            <w:tcW w:w="1080" w:type="dxa"/>
            <w:vMerge w:val="restart"/>
            <w:tcBorders>
              <w:top w:val="single" w:sz="4" w:space="0" w:color="auto"/>
              <w:left w:val="single" w:sz="4" w:space="0" w:color="auto"/>
              <w:right w:val="single" w:sz="4" w:space="0" w:color="auto"/>
            </w:tcBorders>
            <w:vAlign w:val="center"/>
          </w:tcPr>
          <w:p w14:paraId="710A9963" w14:textId="77777777" w:rsidR="003B27F8" w:rsidRPr="003B27F8" w:rsidRDefault="003B27F8" w:rsidP="003B27F8">
            <w:pPr>
              <w:jc w:val="center"/>
              <w:rPr>
                <w:b/>
                <w:sz w:val="20"/>
                <w:szCs w:val="20"/>
              </w:rPr>
            </w:pPr>
            <w:r w:rsidRPr="003B27F8">
              <w:rPr>
                <w:b/>
                <w:sz w:val="20"/>
                <w:szCs w:val="20"/>
              </w:rPr>
              <w:t>% de</w:t>
            </w:r>
          </w:p>
          <w:p w14:paraId="3EAB51FE" w14:textId="77777777" w:rsidR="003B27F8" w:rsidRPr="003B27F8" w:rsidRDefault="003B27F8" w:rsidP="003B27F8">
            <w:pPr>
              <w:jc w:val="center"/>
              <w:rPr>
                <w:b/>
                <w:sz w:val="20"/>
                <w:szCs w:val="20"/>
              </w:rPr>
            </w:pPr>
            <w:r w:rsidRPr="003B27F8">
              <w:rPr>
                <w:b/>
                <w:sz w:val="20"/>
                <w:szCs w:val="20"/>
              </w:rPr>
              <w:t>Avance</w:t>
            </w:r>
          </w:p>
        </w:tc>
      </w:tr>
      <w:tr w:rsidR="003B27F8" w:rsidRPr="003B27F8" w14:paraId="425A8352" w14:textId="77777777" w:rsidTr="00F44802">
        <w:trPr>
          <w:jc w:val="center"/>
        </w:trPr>
        <w:tc>
          <w:tcPr>
            <w:tcW w:w="2273" w:type="dxa"/>
            <w:vMerge/>
            <w:tcBorders>
              <w:top w:val="nil"/>
              <w:left w:val="single" w:sz="4" w:space="0" w:color="auto"/>
              <w:bottom w:val="nil"/>
              <w:right w:val="single" w:sz="4" w:space="0" w:color="auto"/>
            </w:tcBorders>
          </w:tcPr>
          <w:p w14:paraId="2837553F" w14:textId="77777777" w:rsidR="003B27F8" w:rsidRPr="003B27F8" w:rsidRDefault="003B27F8" w:rsidP="003B27F8">
            <w:pPr>
              <w:jc w:val="center"/>
              <w:rPr>
                <w:b/>
                <w:sz w:val="20"/>
                <w:szCs w:val="20"/>
              </w:rPr>
            </w:pPr>
          </w:p>
        </w:tc>
        <w:tc>
          <w:tcPr>
            <w:tcW w:w="1515" w:type="dxa"/>
            <w:vMerge/>
            <w:tcBorders>
              <w:top w:val="nil"/>
              <w:left w:val="single" w:sz="4" w:space="0" w:color="auto"/>
              <w:bottom w:val="nil"/>
              <w:right w:val="single" w:sz="4" w:space="0" w:color="auto"/>
            </w:tcBorders>
            <w:vAlign w:val="center"/>
          </w:tcPr>
          <w:p w14:paraId="6DCE1133" w14:textId="77777777" w:rsidR="003B27F8" w:rsidRPr="003B27F8" w:rsidRDefault="003B27F8" w:rsidP="003B27F8">
            <w:pPr>
              <w:jc w:val="center"/>
              <w:rPr>
                <w:b/>
                <w:sz w:val="20"/>
                <w:szCs w:val="20"/>
              </w:rPr>
            </w:pPr>
          </w:p>
        </w:tc>
        <w:tc>
          <w:tcPr>
            <w:tcW w:w="1453" w:type="dxa"/>
            <w:tcBorders>
              <w:top w:val="single" w:sz="4" w:space="0" w:color="auto"/>
              <w:left w:val="single" w:sz="4" w:space="0" w:color="auto"/>
              <w:bottom w:val="nil"/>
              <w:right w:val="single" w:sz="4" w:space="0" w:color="auto"/>
            </w:tcBorders>
          </w:tcPr>
          <w:p w14:paraId="1576BE07" w14:textId="77777777" w:rsidR="003B27F8" w:rsidRPr="003B27F8" w:rsidRDefault="003B27F8" w:rsidP="003B27F8">
            <w:pPr>
              <w:jc w:val="center"/>
              <w:rPr>
                <w:b/>
                <w:sz w:val="20"/>
                <w:szCs w:val="20"/>
              </w:rPr>
            </w:pPr>
            <w:r w:rsidRPr="003B27F8">
              <w:rPr>
                <w:b/>
                <w:sz w:val="20"/>
                <w:szCs w:val="20"/>
              </w:rPr>
              <w:t>2014</w:t>
            </w:r>
          </w:p>
        </w:tc>
        <w:tc>
          <w:tcPr>
            <w:tcW w:w="1440" w:type="dxa"/>
            <w:tcBorders>
              <w:top w:val="single" w:sz="4" w:space="0" w:color="auto"/>
              <w:left w:val="single" w:sz="4" w:space="0" w:color="auto"/>
              <w:bottom w:val="nil"/>
              <w:right w:val="single" w:sz="4" w:space="0" w:color="auto"/>
            </w:tcBorders>
          </w:tcPr>
          <w:p w14:paraId="0764C69F" w14:textId="77777777" w:rsidR="003B27F8" w:rsidRPr="003B27F8" w:rsidRDefault="003B27F8" w:rsidP="003B27F8">
            <w:pPr>
              <w:jc w:val="center"/>
              <w:rPr>
                <w:b/>
                <w:sz w:val="20"/>
                <w:szCs w:val="20"/>
              </w:rPr>
            </w:pPr>
            <w:r w:rsidRPr="003B27F8">
              <w:rPr>
                <w:b/>
                <w:sz w:val="20"/>
                <w:szCs w:val="20"/>
              </w:rPr>
              <w:t>2015*</w:t>
            </w:r>
          </w:p>
        </w:tc>
        <w:tc>
          <w:tcPr>
            <w:tcW w:w="1080" w:type="dxa"/>
            <w:vMerge/>
            <w:tcBorders>
              <w:left w:val="single" w:sz="4" w:space="0" w:color="auto"/>
              <w:bottom w:val="nil"/>
              <w:right w:val="single" w:sz="4" w:space="0" w:color="auto"/>
            </w:tcBorders>
          </w:tcPr>
          <w:p w14:paraId="40247E74" w14:textId="77777777" w:rsidR="003B27F8" w:rsidRPr="003B27F8" w:rsidRDefault="003B27F8" w:rsidP="003B27F8">
            <w:pPr>
              <w:jc w:val="center"/>
              <w:rPr>
                <w:b/>
                <w:sz w:val="20"/>
                <w:szCs w:val="20"/>
              </w:rPr>
            </w:pPr>
          </w:p>
        </w:tc>
        <w:tc>
          <w:tcPr>
            <w:tcW w:w="1080" w:type="dxa"/>
            <w:vMerge/>
            <w:tcBorders>
              <w:left w:val="single" w:sz="4" w:space="0" w:color="auto"/>
              <w:right w:val="single" w:sz="4" w:space="0" w:color="auto"/>
            </w:tcBorders>
          </w:tcPr>
          <w:p w14:paraId="531406ED" w14:textId="77777777" w:rsidR="003B27F8" w:rsidRPr="003B27F8" w:rsidRDefault="003B27F8" w:rsidP="003B27F8">
            <w:pPr>
              <w:jc w:val="center"/>
              <w:rPr>
                <w:b/>
                <w:sz w:val="20"/>
                <w:szCs w:val="20"/>
              </w:rPr>
            </w:pPr>
          </w:p>
        </w:tc>
      </w:tr>
      <w:tr w:rsidR="003B27F8" w:rsidRPr="003B27F8" w14:paraId="6C8209EF" w14:textId="77777777" w:rsidTr="00F44802">
        <w:trPr>
          <w:jc w:val="center"/>
        </w:trPr>
        <w:tc>
          <w:tcPr>
            <w:tcW w:w="2273" w:type="dxa"/>
            <w:vMerge/>
            <w:tcBorders>
              <w:top w:val="nil"/>
              <w:left w:val="single" w:sz="4" w:space="0" w:color="auto"/>
              <w:bottom w:val="single" w:sz="4" w:space="0" w:color="auto"/>
              <w:right w:val="single" w:sz="4" w:space="0" w:color="auto"/>
            </w:tcBorders>
          </w:tcPr>
          <w:p w14:paraId="256CB6BC" w14:textId="77777777" w:rsidR="003B27F8" w:rsidRPr="003B27F8" w:rsidRDefault="003B27F8" w:rsidP="003B27F8">
            <w:pPr>
              <w:jc w:val="center"/>
              <w:rPr>
                <w:b/>
                <w:sz w:val="20"/>
                <w:szCs w:val="20"/>
              </w:rPr>
            </w:pPr>
          </w:p>
        </w:tc>
        <w:tc>
          <w:tcPr>
            <w:tcW w:w="1515" w:type="dxa"/>
            <w:vMerge/>
            <w:tcBorders>
              <w:top w:val="nil"/>
              <w:left w:val="single" w:sz="4" w:space="0" w:color="auto"/>
              <w:bottom w:val="single" w:sz="4" w:space="0" w:color="auto"/>
              <w:right w:val="single" w:sz="4" w:space="0" w:color="auto"/>
            </w:tcBorders>
            <w:vAlign w:val="center"/>
          </w:tcPr>
          <w:p w14:paraId="56AB0AE2" w14:textId="77777777" w:rsidR="003B27F8" w:rsidRPr="003B27F8" w:rsidRDefault="003B27F8" w:rsidP="003B27F8">
            <w:pPr>
              <w:jc w:val="center"/>
              <w:rPr>
                <w:b/>
                <w:sz w:val="20"/>
                <w:szCs w:val="20"/>
              </w:rPr>
            </w:pPr>
          </w:p>
        </w:tc>
        <w:tc>
          <w:tcPr>
            <w:tcW w:w="1453" w:type="dxa"/>
            <w:tcBorders>
              <w:top w:val="nil"/>
              <w:left w:val="single" w:sz="4" w:space="0" w:color="auto"/>
              <w:bottom w:val="single" w:sz="4" w:space="0" w:color="auto"/>
              <w:right w:val="single" w:sz="4" w:space="0" w:color="auto"/>
            </w:tcBorders>
          </w:tcPr>
          <w:p w14:paraId="7ACD6FF7" w14:textId="77777777" w:rsidR="003B27F8" w:rsidRPr="003B27F8" w:rsidRDefault="003B27F8" w:rsidP="003B27F8">
            <w:pPr>
              <w:jc w:val="center"/>
              <w:rPr>
                <w:b/>
                <w:sz w:val="20"/>
                <w:szCs w:val="20"/>
              </w:rPr>
            </w:pPr>
            <w:r w:rsidRPr="003B27F8">
              <w:rPr>
                <w:b/>
                <w:sz w:val="20"/>
                <w:szCs w:val="20"/>
              </w:rPr>
              <w:t>(a)</w:t>
            </w:r>
          </w:p>
        </w:tc>
        <w:tc>
          <w:tcPr>
            <w:tcW w:w="1440" w:type="dxa"/>
            <w:tcBorders>
              <w:top w:val="nil"/>
              <w:left w:val="single" w:sz="4" w:space="0" w:color="auto"/>
              <w:bottom w:val="single" w:sz="4" w:space="0" w:color="auto"/>
              <w:right w:val="single" w:sz="4" w:space="0" w:color="auto"/>
            </w:tcBorders>
          </w:tcPr>
          <w:p w14:paraId="364D5E34" w14:textId="77777777" w:rsidR="003B27F8" w:rsidRPr="003B27F8" w:rsidRDefault="003B27F8" w:rsidP="003B27F8">
            <w:pPr>
              <w:jc w:val="center"/>
              <w:rPr>
                <w:b/>
                <w:sz w:val="20"/>
                <w:szCs w:val="20"/>
              </w:rPr>
            </w:pPr>
            <w:r w:rsidRPr="003B27F8">
              <w:rPr>
                <w:b/>
                <w:sz w:val="20"/>
                <w:szCs w:val="20"/>
              </w:rPr>
              <w:t>(b)</w:t>
            </w:r>
          </w:p>
        </w:tc>
        <w:tc>
          <w:tcPr>
            <w:tcW w:w="1080" w:type="dxa"/>
            <w:tcBorders>
              <w:top w:val="nil"/>
              <w:left w:val="single" w:sz="4" w:space="0" w:color="auto"/>
              <w:bottom w:val="single" w:sz="4" w:space="0" w:color="auto"/>
              <w:right w:val="single" w:sz="4" w:space="0" w:color="auto"/>
            </w:tcBorders>
          </w:tcPr>
          <w:p w14:paraId="5123B3F3" w14:textId="77777777" w:rsidR="003B27F8" w:rsidRPr="003B27F8" w:rsidRDefault="003B27F8" w:rsidP="003B27F8">
            <w:pPr>
              <w:jc w:val="center"/>
              <w:rPr>
                <w:b/>
                <w:sz w:val="20"/>
                <w:szCs w:val="20"/>
              </w:rPr>
            </w:pPr>
            <w:r w:rsidRPr="003B27F8">
              <w:rPr>
                <w:b/>
                <w:sz w:val="20"/>
                <w:szCs w:val="20"/>
              </w:rPr>
              <w:t>(b)/(a)</w:t>
            </w:r>
          </w:p>
        </w:tc>
        <w:tc>
          <w:tcPr>
            <w:tcW w:w="1080" w:type="dxa"/>
            <w:vMerge/>
            <w:tcBorders>
              <w:left w:val="single" w:sz="4" w:space="0" w:color="auto"/>
              <w:bottom w:val="single" w:sz="4" w:space="0" w:color="auto"/>
              <w:right w:val="single" w:sz="4" w:space="0" w:color="auto"/>
            </w:tcBorders>
          </w:tcPr>
          <w:p w14:paraId="61BB60EB" w14:textId="77777777" w:rsidR="003B27F8" w:rsidRPr="003B27F8" w:rsidRDefault="003B27F8" w:rsidP="003B27F8">
            <w:pPr>
              <w:jc w:val="center"/>
              <w:rPr>
                <w:b/>
                <w:sz w:val="20"/>
                <w:szCs w:val="20"/>
              </w:rPr>
            </w:pPr>
          </w:p>
        </w:tc>
      </w:tr>
      <w:tr w:rsidR="003B27F8" w:rsidRPr="003B27F8" w14:paraId="5D3D8975" w14:textId="77777777" w:rsidTr="00F44802">
        <w:trPr>
          <w:jc w:val="center"/>
        </w:trPr>
        <w:tc>
          <w:tcPr>
            <w:tcW w:w="2273" w:type="dxa"/>
            <w:tcBorders>
              <w:top w:val="single" w:sz="4" w:space="0" w:color="auto"/>
              <w:left w:val="single" w:sz="4" w:space="0" w:color="auto"/>
              <w:bottom w:val="nil"/>
              <w:right w:val="single" w:sz="4" w:space="0" w:color="auto"/>
            </w:tcBorders>
          </w:tcPr>
          <w:p w14:paraId="53C40B9C" w14:textId="77777777" w:rsidR="003B27F8" w:rsidRPr="003B27F8" w:rsidRDefault="003B27F8" w:rsidP="003B27F8">
            <w:pPr>
              <w:rPr>
                <w:b/>
                <w:sz w:val="20"/>
                <w:szCs w:val="20"/>
              </w:rPr>
            </w:pPr>
            <w:bookmarkStart w:id="10" w:name="_Hlk204668249"/>
            <w:bookmarkEnd w:id="6"/>
            <w:r w:rsidRPr="003B27F8">
              <w:rPr>
                <w:b/>
                <w:sz w:val="20"/>
                <w:szCs w:val="20"/>
              </w:rPr>
              <w:t>Leche (miles de litros)</w:t>
            </w:r>
          </w:p>
        </w:tc>
        <w:tc>
          <w:tcPr>
            <w:tcW w:w="1515" w:type="dxa"/>
            <w:tcBorders>
              <w:top w:val="single" w:sz="4" w:space="0" w:color="auto"/>
              <w:left w:val="single" w:sz="4" w:space="0" w:color="auto"/>
              <w:bottom w:val="nil"/>
              <w:right w:val="single" w:sz="4" w:space="0" w:color="auto"/>
            </w:tcBorders>
          </w:tcPr>
          <w:p w14:paraId="22FE4E31" w14:textId="77777777" w:rsidR="003B27F8" w:rsidRPr="003B27F8" w:rsidRDefault="003B27F8" w:rsidP="003B27F8">
            <w:pPr>
              <w:ind w:right="227"/>
              <w:jc w:val="right"/>
              <w:rPr>
                <w:b/>
                <w:sz w:val="20"/>
                <w:szCs w:val="20"/>
              </w:rPr>
            </w:pPr>
            <w:r w:rsidRPr="003B27F8">
              <w:rPr>
                <w:b/>
                <w:sz w:val="20"/>
                <w:szCs w:val="20"/>
              </w:rPr>
              <w:t>11 497 988</w:t>
            </w:r>
          </w:p>
        </w:tc>
        <w:tc>
          <w:tcPr>
            <w:tcW w:w="1453" w:type="dxa"/>
            <w:tcBorders>
              <w:top w:val="single" w:sz="4" w:space="0" w:color="auto"/>
              <w:left w:val="single" w:sz="4" w:space="0" w:color="auto"/>
              <w:bottom w:val="nil"/>
              <w:right w:val="single" w:sz="4" w:space="0" w:color="auto"/>
            </w:tcBorders>
          </w:tcPr>
          <w:p w14:paraId="110A8492" w14:textId="77777777" w:rsidR="003B27F8" w:rsidRPr="003B27F8" w:rsidRDefault="003B27F8" w:rsidP="003B27F8">
            <w:pPr>
              <w:ind w:right="227"/>
              <w:jc w:val="right"/>
              <w:rPr>
                <w:b/>
                <w:sz w:val="20"/>
                <w:szCs w:val="20"/>
              </w:rPr>
            </w:pPr>
            <w:r w:rsidRPr="003B27F8">
              <w:rPr>
                <w:b/>
                <w:sz w:val="20"/>
                <w:szCs w:val="20"/>
              </w:rPr>
              <w:t>1 747 640</w:t>
            </w:r>
          </w:p>
        </w:tc>
        <w:tc>
          <w:tcPr>
            <w:tcW w:w="1440" w:type="dxa"/>
            <w:tcBorders>
              <w:top w:val="single" w:sz="4" w:space="0" w:color="auto"/>
              <w:left w:val="single" w:sz="4" w:space="0" w:color="auto"/>
              <w:bottom w:val="nil"/>
              <w:right w:val="single" w:sz="4" w:space="0" w:color="auto"/>
            </w:tcBorders>
          </w:tcPr>
          <w:p w14:paraId="5B8C958D" w14:textId="77777777" w:rsidR="003B27F8" w:rsidRPr="003B27F8" w:rsidRDefault="003B27F8" w:rsidP="003B27F8">
            <w:pPr>
              <w:ind w:right="227"/>
              <w:jc w:val="right"/>
              <w:rPr>
                <w:b/>
                <w:sz w:val="20"/>
                <w:szCs w:val="20"/>
              </w:rPr>
            </w:pPr>
            <w:r w:rsidRPr="003B27F8">
              <w:rPr>
                <w:b/>
                <w:sz w:val="20"/>
                <w:szCs w:val="20"/>
              </w:rPr>
              <w:t>1 784 199</w:t>
            </w:r>
          </w:p>
        </w:tc>
        <w:tc>
          <w:tcPr>
            <w:tcW w:w="1080" w:type="dxa"/>
            <w:tcBorders>
              <w:top w:val="single" w:sz="4" w:space="0" w:color="auto"/>
              <w:left w:val="single" w:sz="4" w:space="0" w:color="auto"/>
              <w:bottom w:val="nil"/>
              <w:right w:val="single" w:sz="4" w:space="0" w:color="auto"/>
            </w:tcBorders>
          </w:tcPr>
          <w:p w14:paraId="3B522B1F" w14:textId="77777777" w:rsidR="003B27F8" w:rsidRPr="003B27F8" w:rsidRDefault="003B27F8" w:rsidP="003B27F8">
            <w:pPr>
              <w:ind w:right="284"/>
              <w:jc w:val="right"/>
              <w:rPr>
                <w:b/>
                <w:sz w:val="20"/>
                <w:szCs w:val="20"/>
              </w:rPr>
            </w:pPr>
            <w:r w:rsidRPr="003B27F8">
              <w:rPr>
                <w:b/>
                <w:sz w:val="20"/>
                <w:szCs w:val="20"/>
              </w:rPr>
              <w:t>2.1</w:t>
            </w:r>
          </w:p>
        </w:tc>
        <w:tc>
          <w:tcPr>
            <w:tcW w:w="1080" w:type="dxa"/>
            <w:tcBorders>
              <w:top w:val="single" w:sz="4" w:space="0" w:color="auto"/>
              <w:left w:val="single" w:sz="4" w:space="0" w:color="auto"/>
              <w:bottom w:val="nil"/>
              <w:right w:val="single" w:sz="4" w:space="0" w:color="auto"/>
            </w:tcBorders>
          </w:tcPr>
          <w:p w14:paraId="5A4D297D" w14:textId="77777777" w:rsidR="003B27F8" w:rsidRPr="003B27F8" w:rsidRDefault="003B27F8" w:rsidP="003B27F8">
            <w:pPr>
              <w:ind w:right="284"/>
              <w:jc w:val="right"/>
              <w:rPr>
                <w:b/>
                <w:sz w:val="20"/>
                <w:szCs w:val="20"/>
              </w:rPr>
            </w:pPr>
            <w:r w:rsidRPr="003B27F8">
              <w:rPr>
                <w:b/>
                <w:sz w:val="20"/>
                <w:szCs w:val="20"/>
              </w:rPr>
              <w:t>15.5</w:t>
            </w:r>
          </w:p>
        </w:tc>
      </w:tr>
      <w:tr w:rsidR="003B27F8" w:rsidRPr="003B27F8" w14:paraId="5E23140B" w14:textId="77777777" w:rsidTr="00F44802">
        <w:trPr>
          <w:jc w:val="center"/>
        </w:trPr>
        <w:tc>
          <w:tcPr>
            <w:tcW w:w="2273" w:type="dxa"/>
            <w:tcBorders>
              <w:top w:val="nil"/>
              <w:left w:val="single" w:sz="4" w:space="0" w:color="auto"/>
              <w:bottom w:val="nil"/>
              <w:right w:val="single" w:sz="4" w:space="0" w:color="auto"/>
            </w:tcBorders>
          </w:tcPr>
          <w:p w14:paraId="1CCF40AC" w14:textId="77777777" w:rsidR="003B27F8" w:rsidRPr="003B27F8" w:rsidRDefault="003B27F8" w:rsidP="003B27F8">
            <w:pPr>
              <w:ind w:left="113"/>
              <w:rPr>
                <w:sz w:val="20"/>
                <w:szCs w:val="20"/>
              </w:rPr>
            </w:pPr>
            <w:r w:rsidRPr="003B27F8">
              <w:rPr>
                <w:sz w:val="20"/>
                <w:szCs w:val="20"/>
              </w:rPr>
              <w:t>Bovino</w:t>
            </w:r>
          </w:p>
        </w:tc>
        <w:tc>
          <w:tcPr>
            <w:tcW w:w="1515" w:type="dxa"/>
            <w:tcBorders>
              <w:top w:val="nil"/>
              <w:left w:val="single" w:sz="4" w:space="0" w:color="auto"/>
              <w:bottom w:val="nil"/>
              <w:right w:val="single" w:sz="4" w:space="0" w:color="auto"/>
            </w:tcBorders>
          </w:tcPr>
          <w:p w14:paraId="55F0C0ED" w14:textId="77777777" w:rsidR="003B27F8" w:rsidRPr="003B27F8" w:rsidRDefault="003B27F8" w:rsidP="003B27F8">
            <w:pPr>
              <w:ind w:right="227"/>
              <w:jc w:val="right"/>
              <w:rPr>
                <w:sz w:val="20"/>
                <w:szCs w:val="20"/>
              </w:rPr>
            </w:pPr>
            <w:r w:rsidRPr="003B27F8">
              <w:rPr>
                <w:sz w:val="20"/>
                <w:szCs w:val="20"/>
              </w:rPr>
              <w:t>11 342 273</w:t>
            </w:r>
          </w:p>
        </w:tc>
        <w:tc>
          <w:tcPr>
            <w:tcW w:w="1453" w:type="dxa"/>
            <w:tcBorders>
              <w:top w:val="nil"/>
              <w:left w:val="single" w:sz="4" w:space="0" w:color="auto"/>
              <w:bottom w:val="nil"/>
              <w:right w:val="single" w:sz="4" w:space="0" w:color="auto"/>
            </w:tcBorders>
          </w:tcPr>
          <w:p w14:paraId="10263804" w14:textId="77777777" w:rsidR="003B27F8" w:rsidRPr="003B27F8" w:rsidRDefault="003B27F8" w:rsidP="003B27F8">
            <w:pPr>
              <w:ind w:right="227"/>
              <w:jc w:val="right"/>
              <w:rPr>
                <w:sz w:val="20"/>
                <w:szCs w:val="20"/>
              </w:rPr>
            </w:pPr>
            <w:r w:rsidRPr="003B27F8">
              <w:rPr>
                <w:sz w:val="20"/>
                <w:szCs w:val="20"/>
              </w:rPr>
              <w:t>1 723 556</w:t>
            </w:r>
          </w:p>
        </w:tc>
        <w:tc>
          <w:tcPr>
            <w:tcW w:w="1440" w:type="dxa"/>
            <w:tcBorders>
              <w:top w:val="nil"/>
              <w:left w:val="single" w:sz="4" w:space="0" w:color="auto"/>
              <w:bottom w:val="nil"/>
              <w:right w:val="single" w:sz="4" w:space="0" w:color="auto"/>
            </w:tcBorders>
          </w:tcPr>
          <w:p w14:paraId="253FA4DB" w14:textId="77777777" w:rsidR="003B27F8" w:rsidRPr="003B27F8" w:rsidRDefault="003B27F8" w:rsidP="003B27F8">
            <w:pPr>
              <w:ind w:right="227"/>
              <w:jc w:val="right"/>
              <w:rPr>
                <w:sz w:val="20"/>
                <w:szCs w:val="20"/>
              </w:rPr>
            </w:pPr>
            <w:r w:rsidRPr="003B27F8">
              <w:rPr>
                <w:sz w:val="20"/>
                <w:szCs w:val="20"/>
              </w:rPr>
              <w:t>1 759 803</w:t>
            </w:r>
          </w:p>
        </w:tc>
        <w:tc>
          <w:tcPr>
            <w:tcW w:w="1080" w:type="dxa"/>
            <w:tcBorders>
              <w:top w:val="nil"/>
              <w:left w:val="single" w:sz="4" w:space="0" w:color="auto"/>
              <w:bottom w:val="nil"/>
              <w:right w:val="single" w:sz="4" w:space="0" w:color="auto"/>
            </w:tcBorders>
          </w:tcPr>
          <w:p w14:paraId="15A43044" w14:textId="77777777" w:rsidR="003B27F8" w:rsidRPr="003B27F8" w:rsidRDefault="003B27F8" w:rsidP="003B27F8">
            <w:pPr>
              <w:ind w:right="284"/>
              <w:jc w:val="right"/>
              <w:rPr>
                <w:sz w:val="20"/>
                <w:szCs w:val="20"/>
              </w:rPr>
            </w:pPr>
            <w:r w:rsidRPr="003B27F8">
              <w:rPr>
                <w:sz w:val="20"/>
                <w:szCs w:val="20"/>
              </w:rPr>
              <w:t>2.1</w:t>
            </w:r>
          </w:p>
        </w:tc>
        <w:tc>
          <w:tcPr>
            <w:tcW w:w="1080" w:type="dxa"/>
            <w:tcBorders>
              <w:top w:val="nil"/>
              <w:left w:val="single" w:sz="4" w:space="0" w:color="auto"/>
              <w:bottom w:val="nil"/>
              <w:right w:val="single" w:sz="4" w:space="0" w:color="auto"/>
            </w:tcBorders>
          </w:tcPr>
          <w:p w14:paraId="56DC57D9" w14:textId="77777777" w:rsidR="003B27F8" w:rsidRPr="003B27F8" w:rsidRDefault="003B27F8" w:rsidP="003B27F8">
            <w:pPr>
              <w:ind w:right="284"/>
              <w:jc w:val="right"/>
              <w:rPr>
                <w:sz w:val="20"/>
                <w:szCs w:val="20"/>
              </w:rPr>
            </w:pPr>
            <w:r w:rsidRPr="003B27F8">
              <w:rPr>
                <w:sz w:val="20"/>
                <w:szCs w:val="20"/>
              </w:rPr>
              <w:t>15.5</w:t>
            </w:r>
          </w:p>
        </w:tc>
      </w:tr>
      <w:tr w:rsidR="003B27F8" w:rsidRPr="003B27F8" w14:paraId="69ECAFB2" w14:textId="77777777" w:rsidTr="00F44802">
        <w:trPr>
          <w:jc w:val="center"/>
        </w:trPr>
        <w:tc>
          <w:tcPr>
            <w:tcW w:w="2273" w:type="dxa"/>
            <w:tcBorders>
              <w:top w:val="nil"/>
              <w:left w:val="single" w:sz="4" w:space="0" w:color="auto"/>
              <w:bottom w:val="nil"/>
              <w:right w:val="single" w:sz="4" w:space="0" w:color="auto"/>
            </w:tcBorders>
          </w:tcPr>
          <w:p w14:paraId="02C4DFA3" w14:textId="77777777" w:rsidR="003B27F8" w:rsidRPr="003B27F8" w:rsidRDefault="003B27F8" w:rsidP="003B27F8">
            <w:pPr>
              <w:ind w:left="113"/>
              <w:rPr>
                <w:sz w:val="20"/>
                <w:szCs w:val="20"/>
              </w:rPr>
            </w:pPr>
            <w:r w:rsidRPr="003B27F8">
              <w:rPr>
                <w:sz w:val="20"/>
                <w:szCs w:val="20"/>
              </w:rPr>
              <w:t>Caprino</w:t>
            </w:r>
          </w:p>
        </w:tc>
        <w:tc>
          <w:tcPr>
            <w:tcW w:w="1515" w:type="dxa"/>
            <w:tcBorders>
              <w:top w:val="nil"/>
              <w:left w:val="single" w:sz="4" w:space="0" w:color="auto"/>
              <w:bottom w:val="nil"/>
              <w:right w:val="single" w:sz="4" w:space="0" w:color="auto"/>
            </w:tcBorders>
          </w:tcPr>
          <w:p w14:paraId="55C42A6F" w14:textId="77777777" w:rsidR="003B27F8" w:rsidRPr="003B27F8" w:rsidRDefault="003B27F8" w:rsidP="003B27F8">
            <w:pPr>
              <w:ind w:right="227"/>
              <w:jc w:val="right"/>
              <w:rPr>
                <w:sz w:val="20"/>
                <w:szCs w:val="20"/>
              </w:rPr>
            </w:pPr>
            <w:r w:rsidRPr="003B27F8">
              <w:rPr>
                <w:sz w:val="20"/>
                <w:szCs w:val="20"/>
              </w:rPr>
              <w:t>155 715</w:t>
            </w:r>
          </w:p>
        </w:tc>
        <w:tc>
          <w:tcPr>
            <w:tcW w:w="1453" w:type="dxa"/>
            <w:tcBorders>
              <w:top w:val="nil"/>
              <w:left w:val="single" w:sz="4" w:space="0" w:color="auto"/>
              <w:bottom w:val="nil"/>
              <w:right w:val="single" w:sz="4" w:space="0" w:color="auto"/>
            </w:tcBorders>
          </w:tcPr>
          <w:p w14:paraId="619CC355" w14:textId="77777777" w:rsidR="003B27F8" w:rsidRPr="003B27F8" w:rsidRDefault="003B27F8" w:rsidP="003B27F8">
            <w:pPr>
              <w:ind w:right="227"/>
              <w:jc w:val="right"/>
              <w:rPr>
                <w:sz w:val="20"/>
                <w:szCs w:val="20"/>
              </w:rPr>
            </w:pPr>
            <w:r w:rsidRPr="003B27F8">
              <w:rPr>
                <w:sz w:val="20"/>
                <w:szCs w:val="20"/>
              </w:rPr>
              <w:t>24 085</w:t>
            </w:r>
          </w:p>
        </w:tc>
        <w:tc>
          <w:tcPr>
            <w:tcW w:w="1440" w:type="dxa"/>
            <w:tcBorders>
              <w:top w:val="nil"/>
              <w:left w:val="single" w:sz="4" w:space="0" w:color="auto"/>
              <w:bottom w:val="nil"/>
              <w:right w:val="single" w:sz="4" w:space="0" w:color="auto"/>
            </w:tcBorders>
          </w:tcPr>
          <w:p w14:paraId="55FE9102" w14:textId="77777777" w:rsidR="003B27F8" w:rsidRPr="003B27F8" w:rsidRDefault="003B27F8" w:rsidP="003B27F8">
            <w:pPr>
              <w:ind w:right="227"/>
              <w:jc w:val="right"/>
              <w:rPr>
                <w:sz w:val="20"/>
                <w:szCs w:val="20"/>
              </w:rPr>
            </w:pPr>
            <w:r w:rsidRPr="003B27F8">
              <w:rPr>
                <w:sz w:val="20"/>
                <w:szCs w:val="20"/>
              </w:rPr>
              <w:t>24 396</w:t>
            </w:r>
          </w:p>
        </w:tc>
        <w:tc>
          <w:tcPr>
            <w:tcW w:w="1080" w:type="dxa"/>
            <w:tcBorders>
              <w:top w:val="nil"/>
              <w:left w:val="single" w:sz="4" w:space="0" w:color="auto"/>
              <w:bottom w:val="nil"/>
              <w:right w:val="single" w:sz="4" w:space="0" w:color="auto"/>
            </w:tcBorders>
          </w:tcPr>
          <w:p w14:paraId="220DE09B" w14:textId="77777777" w:rsidR="003B27F8" w:rsidRPr="003B27F8" w:rsidRDefault="003B27F8" w:rsidP="003B27F8">
            <w:pPr>
              <w:ind w:right="284"/>
              <w:jc w:val="right"/>
              <w:rPr>
                <w:sz w:val="20"/>
                <w:szCs w:val="20"/>
              </w:rPr>
            </w:pPr>
            <w:r w:rsidRPr="003B27F8">
              <w:rPr>
                <w:sz w:val="20"/>
                <w:szCs w:val="20"/>
              </w:rPr>
              <w:t>1.3</w:t>
            </w:r>
          </w:p>
        </w:tc>
        <w:tc>
          <w:tcPr>
            <w:tcW w:w="1080" w:type="dxa"/>
            <w:tcBorders>
              <w:top w:val="nil"/>
              <w:left w:val="single" w:sz="4" w:space="0" w:color="auto"/>
              <w:bottom w:val="nil"/>
              <w:right w:val="single" w:sz="4" w:space="0" w:color="auto"/>
            </w:tcBorders>
          </w:tcPr>
          <w:p w14:paraId="096E5CD9" w14:textId="77777777" w:rsidR="003B27F8" w:rsidRPr="003B27F8" w:rsidRDefault="003B27F8" w:rsidP="003B27F8">
            <w:pPr>
              <w:ind w:right="284"/>
              <w:jc w:val="right"/>
              <w:rPr>
                <w:sz w:val="20"/>
                <w:szCs w:val="20"/>
              </w:rPr>
            </w:pPr>
            <w:r w:rsidRPr="003B27F8">
              <w:rPr>
                <w:sz w:val="20"/>
                <w:szCs w:val="20"/>
              </w:rPr>
              <w:t>15.7</w:t>
            </w:r>
          </w:p>
        </w:tc>
      </w:tr>
      <w:tr w:rsidR="003B27F8" w:rsidRPr="003B27F8" w14:paraId="70DCB545" w14:textId="77777777" w:rsidTr="00F44802">
        <w:trPr>
          <w:jc w:val="center"/>
        </w:trPr>
        <w:tc>
          <w:tcPr>
            <w:tcW w:w="2273" w:type="dxa"/>
            <w:tcBorders>
              <w:top w:val="nil"/>
              <w:left w:val="single" w:sz="4" w:space="0" w:color="auto"/>
              <w:bottom w:val="nil"/>
              <w:right w:val="single" w:sz="4" w:space="0" w:color="auto"/>
            </w:tcBorders>
          </w:tcPr>
          <w:p w14:paraId="381D28B7" w14:textId="77777777" w:rsidR="003B27F8" w:rsidRPr="003B27F8" w:rsidRDefault="003B27F8" w:rsidP="003B27F8">
            <w:pPr>
              <w:rPr>
                <w:b/>
                <w:sz w:val="20"/>
                <w:szCs w:val="20"/>
              </w:rPr>
            </w:pPr>
            <w:r w:rsidRPr="003B27F8">
              <w:rPr>
                <w:b/>
                <w:sz w:val="20"/>
                <w:szCs w:val="20"/>
              </w:rPr>
              <w:t>Carne en canal</w:t>
            </w:r>
          </w:p>
        </w:tc>
        <w:tc>
          <w:tcPr>
            <w:tcW w:w="1515" w:type="dxa"/>
            <w:tcBorders>
              <w:top w:val="nil"/>
              <w:left w:val="single" w:sz="4" w:space="0" w:color="auto"/>
              <w:bottom w:val="nil"/>
              <w:right w:val="single" w:sz="4" w:space="0" w:color="auto"/>
            </w:tcBorders>
          </w:tcPr>
          <w:p w14:paraId="51AFC148" w14:textId="77777777" w:rsidR="003B27F8" w:rsidRPr="003B27F8" w:rsidRDefault="003B27F8" w:rsidP="003B27F8">
            <w:pPr>
              <w:ind w:right="227"/>
              <w:jc w:val="right"/>
              <w:rPr>
                <w:b/>
                <w:sz w:val="20"/>
                <w:szCs w:val="20"/>
              </w:rPr>
            </w:pPr>
            <w:r w:rsidRPr="003B27F8">
              <w:rPr>
                <w:b/>
                <w:sz w:val="20"/>
                <w:szCs w:val="20"/>
              </w:rPr>
              <w:t>6 254 475</w:t>
            </w:r>
          </w:p>
        </w:tc>
        <w:tc>
          <w:tcPr>
            <w:tcW w:w="1453" w:type="dxa"/>
            <w:tcBorders>
              <w:top w:val="nil"/>
              <w:left w:val="single" w:sz="4" w:space="0" w:color="auto"/>
              <w:bottom w:val="nil"/>
              <w:right w:val="single" w:sz="4" w:space="0" w:color="auto"/>
            </w:tcBorders>
          </w:tcPr>
          <w:p w14:paraId="5E96C7F6" w14:textId="77777777" w:rsidR="003B27F8" w:rsidRPr="003B27F8" w:rsidRDefault="003B27F8" w:rsidP="003B27F8">
            <w:pPr>
              <w:ind w:right="227"/>
              <w:jc w:val="right"/>
              <w:rPr>
                <w:b/>
                <w:sz w:val="20"/>
                <w:szCs w:val="20"/>
              </w:rPr>
            </w:pPr>
            <w:r w:rsidRPr="003B27F8">
              <w:rPr>
                <w:b/>
                <w:sz w:val="20"/>
                <w:szCs w:val="20"/>
              </w:rPr>
              <w:t>978 174</w:t>
            </w:r>
          </w:p>
        </w:tc>
        <w:tc>
          <w:tcPr>
            <w:tcW w:w="1440" w:type="dxa"/>
            <w:tcBorders>
              <w:top w:val="nil"/>
              <w:left w:val="single" w:sz="4" w:space="0" w:color="auto"/>
              <w:bottom w:val="nil"/>
              <w:right w:val="single" w:sz="4" w:space="0" w:color="auto"/>
            </w:tcBorders>
          </w:tcPr>
          <w:p w14:paraId="59821C48" w14:textId="77777777" w:rsidR="003B27F8" w:rsidRPr="003B27F8" w:rsidRDefault="003B27F8" w:rsidP="003B27F8">
            <w:pPr>
              <w:ind w:right="227"/>
              <w:jc w:val="right"/>
              <w:rPr>
                <w:b/>
                <w:sz w:val="20"/>
                <w:szCs w:val="20"/>
              </w:rPr>
            </w:pPr>
            <w:r w:rsidRPr="003B27F8">
              <w:rPr>
                <w:b/>
                <w:sz w:val="20"/>
                <w:szCs w:val="20"/>
              </w:rPr>
              <w:t>999 101</w:t>
            </w:r>
          </w:p>
        </w:tc>
        <w:tc>
          <w:tcPr>
            <w:tcW w:w="1080" w:type="dxa"/>
            <w:tcBorders>
              <w:top w:val="nil"/>
              <w:left w:val="single" w:sz="4" w:space="0" w:color="auto"/>
              <w:bottom w:val="nil"/>
              <w:right w:val="single" w:sz="4" w:space="0" w:color="auto"/>
            </w:tcBorders>
          </w:tcPr>
          <w:p w14:paraId="6F83CFEB" w14:textId="77777777" w:rsidR="003B27F8" w:rsidRPr="003B27F8" w:rsidRDefault="003B27F8" w:rsidP="003B27F8">
            <w:pPr>
              <w:ind w:right="284"/>
              <w:jc w:val="right"/>
              <w:rPr>
                <w:b/>
                <w:sz w:val="20"/>
                <w:szCs w:val="20"/>
              </w:rPr>
            </w:pPr>
            <w:r w:rsidRPr="003B27F8">
              <w:rPr>
                <w:b/>
                <w:sz w:val="20"/>
                <w:szCs w:val="20"/>
              </w:rPr>
              <w:t>2.1</w:t>
            </w:r>
          </w:p>
        </w:tc>
        <w:tc>
          <w:tcPr>
            <w:tcW w:w="1080" w:type="dxa"/>
            <w:tcBorders>
              <w:top w:val="nil"/>
              <w:left w:val="single" w:sz="4" w:space="0" w:color="auto"/>
              <w:bottom w:val="nil"/>
              <w:right w:val="single" w:sz="4" w:space="0" w:color="auto"/>
            </w:tcBorders>
          </w:tcPr>
          <w:p w14:paraId="2ECC5B70" w14:textId="77777777" w:rsidR="003B27F8" w:rsidRPr="003B27F8" w:rsidRDefault="003B27F8" w:rsidP="003B27F8">
            <w:pPr>
              <w:ind w:right="284"/>
              <w:jc w:val="right"/>
              <w:rPr>
                <w:b/>
                <w:sz w:val="20"/>
                <w:szCs w:val="20"/>
              </w:rPr>
            </w:pPr>
            <w:r w:rsidRPr="003B27F8">
              <w:rPr>
                <w:b/>
                <w:sz w:val="20"/>
                <w:szCs w:val="20"/>
              </w:rPr>
              <w:t>16.0</w:t>
            </w:r>
          </w:p>
        </w:tc>
      </w:tr>
      <w:tr w:rsidR="003B27F8" w:rsidRPr="003B27F8" w14:paraId="00D708F2" w14:textId="77777777" w:rsidTr="00F44802">
        <w:trPr>
          <w:jc w:val="center"/>
        </w:trPr>
        <w:tc>
          <w:tcPr>
            <w:tcW w:w="2273" w:type="dxa"/>
            <w:tcBorders>
              <w:top w:val="nil"/>
              <w:left w:val="single" w:sz="4" w:space="0" w:color="auto"/>
              <w:bottom w:val="nil"/>
              <w:right w:val="single" w:sz="4" w:space="0" w:color="auto"/>
            </w:tcBorders>
          </w:tcPr>
          <w:p w14:paraId="5E23133F" w14:textId="77777777" w:rsidR="003B27F8" w:rsidRPr="003B27F8" w:rsidRDefault="003B27F8" w:rsidP="003B27F8">
            <w:pPr>
              <w:ind w:left="113"/>
              <w:rPr>
                <w:sz w:val="20"/>
                <w:szCs w:val="20"/>
              </w:rPr>
            </w:pPr>
            <w:r w:rsidRPr="003B27F8">
              <w:rPr>
                <w:sz w:val="20"/>
                <w:szCs w:val="20"/>
              </w:rPr>
              <w:t>Bovino</w:t>
            </w:r>
          </w:p>
        </w:tc>
        <w:tc>
          <w:tcPr>
            <w:tcW w:w="1515" w:type="dxa"/>
            <w:tcBorders>
              <w:top w:val="nil"/>
              <w:left w:val="single" w:sz="4" w:space="0" w:color="auto"/>
              <w:bottom w:val="nil"/>
              <w:right w:val="single" w:sz="4" w:space="0" w:color="auto"/>
            </w:tcBorders>
          </w:tcPr>
          <w:p w14:paraId="02A64968" w14:textId="77777777" w:rsidR="003B27F8" w:rsidRPr="003B27F8" w:rsidRDefault="003B27F8" w:rsidP="003B27F8">
            <w:pPr>
              <w:ind w:right="227"/>
              <w:jc w:val="right"/>
              <w:rPr>
                <w:sz w:val="20"/>
                <w:szCs w:val="20"/>
              </w:rPr>
            </w:pPr>
            <w:r w:rsidRPr="003B27F8">
              <w:rPr>
                <w:sz w:val="20"/>
                <w:szCs w:val="20"/>
              </w:rPr>
              <w:t>1 878 989</w:t>
            </w:r>
          </w:p>
        </w:tc>
        <w:tc>
          <w:tcPr>
            <w:tcW w:w="1453" w:type="dxa"/>
            <w:tcBorders>
              <w:top w:val="nil"/>
              <w:left w:val="single" w:sz="4" w:space="0" w:color="auto"/>
              <w:bottom w:val="nil"/>
              <w:right w:val="single" w:sz="4" w:space="0" w:color="auto"/>
            </w:tcBorders>
          </w:tcPr>
          <w:p w14:paraId="405AD560" w14:textId="77777777" w:rsidR="003B27F8" w:rsidRPr="003B27F8" w:rsidRDefault="003B27F8" w:rsidP="003B27F8">
            <w:pPr>
              <w:ind w:right="227"/>
              <w:jc w:val="right"/>
              <w:rPr>
                <w:sz w:val="20"/>
                <w:szCs w:val="20"/>
              </w:rPr>
            </w:pPr>
            <w:r w:rsidRPr="003B27F8">
              <w:rPr>
                <w:sz w:val="20"/>
                <w:szCs w:val="20"/>
              </w:rPr>
              <w:t>292 409</w:t>
            </w:r>
          </w:p>
        </w:tc>
        <w:tc>
          <w:tcPr>
            <w:tcW w:w="1440" w:type="dxa"/>
            <w:tcBorders>
              <w:top w:val="nil"/>
              <w:left w:val="single" w:sz="4" w:space="0" w:color="auto"/>
              <w:bottom w:val="nil"/>
              <w:right w:val="single" w:sz="4" w:space="0" w:color="auto"/>
            </w:tcBorders>
          </w:tcPr>
          <w:p w14:paraId="77B89F5D" w14:textId="77777777" w:rsidR="003B27F8" w:rsidRPr="003B27F8" w:rsidRDefault="003B27F8" w:rsidP="003B27F8">
            <w:pPr>
              <w:ind w:right="227"/>
              <w:jc w:val="right"/>
              <w:rPr>
                <w:sz w:val="20"/>
                <w:szCs w:val="20"/>
              </w:rPr>
            </w:pPr>
            <w:r w:rsidRPr="003B27F8">
              <w:rPr>
                <w:sz w:val="20"/>
                <w:szCs w:val="20"/>
              </w:rPr>
              <w:t>296 914</w:t>
            </w:r>
          </w:p>
        </w:tc>
        <w:tc>
          <w:tcPr>
            <w:tcW w:w="1080" w:type="dxa"/>
            <w:tcBorders>
              <w:top w:val="nil"/>
              <w:left w:val="single" w:sz="4" w:space="0" w:color="auto"/>
              <w:bottom w:val="nil"/>
              <w:right w:val="single" w:sz="4" w:space="0" w:color="auto"/>
            </w:tcBorders>
          </w:tcPr>
          <w:p w14:paraId="00C69B50" w14:textId="77777777" w:rsidR="003B27F8" w:rsidRPr="003B27F8" w:rsidRDefault="003B27F8" w:rsidP="003B27F8">
            <w:pPr>
              <w:ind w:right="284"/>
              <w:jc w:val="right"/>
              <w:rPr>
                <w:sz w:val="20"/>
                <w:szCs w:val="20"/>
              </w:rPr>
            </w:pPr>
            <w:r w:rsidRPr="003B27F8">
              <w:rPr>
                <w:sz w:val="20"/>
                <w:szCs w:val="20"/>
              </w:rPr>
              <w:t>1.7</w:t>
            </w:r>
          </w:p>
        </w:tc>
        <w:tc>
          <w:tcPr>
            <w:tcW w:w="1080" w:type="dxa"/>
            <w:tcBorders>
              <w:top w:val="nil"/>
              <w:left w:val="single" w:sz="4" w:space="0" w:color="auto"/>
              <w:bottom w:val="nil"/>
              <w:right w:val="single" w:sz="4" w:space="0" w:color="auto"/>
            </w:tcBorders>
          </w:tcPr>
          <w:p w14:paraId="5E410E86" w14:textId="77777777" w:rsidR="003B27F8" w:rsidRPr="003B27F8" w:rsidRDefault="003B27F8" w:rsidP="003B27F8">
            <w:pPr>
              <w:ind w:right="284"/>
              <w:jc w:val="right"/>
              <w:rPr>
                <w:sz w:val="20"/>
                <w:szCs w:val="20"/>
              </w:rPr>
            </w:pPr>
            <w:r w:rsidRPr="003B27F8">
              <w:rPr>
                <w:sz w:val="20"/>
                <w:szCs w:val="20"/>
              </w:rPr>
              <w:t>15.8</w:t>
            </w:r>
          </w:p>
        </w:tc>
      </w:tr>
      <w:tr w:rsidR="003B27F8" w:rsidRPr="003B27F8" w14:paraId="279D0105" w14:textId="77777777" w:rsidTr="00F44802">
        <w:trPr>
          <w:jc w:val="center"/>
        </w:trPr>
        <w:tc>
          <w:tcPr>
            <w:tcW w:w="2273" w:type="dxa"/>
            <w:tcBorders>
              <w:top w:val="nil"/>
              <w:left w:val="single" w:sz="4" w:space="0" w:color="auto"/>
              <w:bottom w:val="nil"/>
              <w:right w:val="single" w:sz="4" w:space="0" w:color="auto"/>
            </w:tcBorders>
          </w:tcPr>
          <w:p w14:paraId="547ED7D2" w14:textId="77777777" w:rsidR="003B27F8" w:rsidRPr="003B27F8" w:rsidRDefault="003B27F8" w:rsidP="003B27F8">
            <w:pPr>
              <w:ind w:left="113"/>
              <w:rPr>
                <w:sz w:val="20"/>
                <w:szCs w:val="20"/>
              </w:rPr>
            </w:pPr>
            <w:r w:rsidRPr="003B27F8">
              <w:rPr>
                <w:sz w:val="20"/>
                <w:szCs w:val="20"/>
              </w:rPr>
              <w:t>Porcino</w:t>
            </w:r>
          </w:p>
        </w:tc>
        <w:tc>
          <w:tcPr>
            <w:tcW w:w="1515" w:type="dxa"/>
            <w:tcBorders>
              <w:top w:val="nil"/>
              <w:left w:val="single" w:sz="4" w:space="0" w:color="auto"/>
              <w:bottom w:val="nil"/>
              <w:right w:val="single" w:sz="4" w:space="0" w:color="auto"/>
            </w:tcBorders>
          </w:tcPr>
          <w:p w14:paraId="212A7E11" w14:textId="77777777" w:rsidR="003B27F8" w:rsidRPr="003B27F8" w:rsidRDefault="003B27F8" w:rsidP="003B27F8">
            <w:pPr>
              <w:ind w:right="227"/>
              <w:jc w:val="right"/>
              <w:rPr>
                <w:sz w:val="20"/>
                <w:szCs w:val="20"/>
              </w:rPr>
            </w:pPr>
            <w:r w:rsidRPr="003B27F8">
              <w:rPr>
                <w:sz w:val="20"/>
                <w:szCs w:val="20"/>
              </w:rPr>
              <w:t>1 315 794</w:t>
            </w:r>
          </w:p>
        </w:tc>
        <w:tc>
          <w:tcPr>
            <w:tcW w:w="1453" w:type="dxa"/>
            <w:tcBorders>
              <w:top w:val="nil"/>
              <w:left w:val="single" w:sz="4" w:space="0" w:color="auto"/>
              <w:bottom w:val="nil"/>
              <w:right w:val="single" w:sz="4" w:space="0" w:color="auto"/>
            </w:tcBorders>
          </w:tcPr>
          <w:p w14:paraId="76330AE5" w14:textId="77777777" w:rsidR="003B27F8" w:rsidRPr="003B27F8" w:rsidRDefault="003B27F8" w:rsidP="003B27F8">
            <w:pPr>
              <w:ind w:right="227"/>
              <w:jc w:val="right"/>
              <w:rPr>
                <w:sz w:val="20"/>
                <w:szCs w:val="20"/>
              </w:rPr>
            </w:pPr>
            <w:r w:rsidRPr="003B27F8">
              <w:rPr>
                <w:sz w:val="20"/>
                <w:szCs w:val="20"/>
              </w:rPr>
              <w:t>208 409</w:t>
            </w:r>
          </w:p>
        </w:tc>
        <w:tc>
          <w:tcPr>
            <w:tcW w:w="1440" w:type="dxa"/>
            <w:tcBorders>
              <w:top w:val="nil"/>
              <w:left w:val="single" w:sz="4" w:space="0" w:color="auto"/>
              <w:bottom w:val="nil"/>
              <w:right w:val="single" w:sz="4" w:space="0" w:color="auto"/>
            </w:tcBorders>
          </w:tcPr>
          <w:p w14:paraId="1F35E04A" w14:textId="77777777" w:rsidR="003B27F8" w:rsidRPr="003B27F8" w:rsidRDefault="003B27F8" w:rsidP="003B27F8">
            <w:pPr>
              <w:ind w:right="227"/>
              <w:jc w:val="right"/>
              <w:rPr>
                <w:sz w:val="20"/>
                <w:szCs w:val="20"/>
              </w:rPr>
            </w:pPr>
            <w:r w:rsidRPr="003B27F8">
              <w:rPr>
                <w:sz w:val="20"/>
                <w:szCs w:val="20"/>
              </w:rPr>
              <w:t>213 774</w:t>
            </w:r>
          </w:p>
        </w:tc>
        <w:tc>
          <w:tcPr>
            <w:tcW w:w="1080" w:type="dxa"/>
            <w:tcBorders>
              <w:top w:val="nil"/>
              <w:left w:val="single" w:sz="4" w:space="0" w:color="auto"/>
              <w:bottom w:val="nil"/>
              <w:right w:val="single" w:sz="4" w:space="0" w:color="auto"/>
            </w:tcBorders>
          </w:tcPr>
          <w:p w14:paraId="70EA3C57" w14:textId="77777777" w:rsidR="003B27F8" w:rsidRPr="003B27F8" w:rsidRDefault="003B27F8" w:rsidP="003B27F8">
            <w:pPr>
              <w:ind w:right="284"/>
              <w:jc w:val="right"/>
              <w:rPr>
                <w:sz w:val="20"/>
                <w:szCs w:val="20"/>
              </w:rPr>
            </w:pPr>
            <w:r w:rsidRPr="003B27F8">
              <w:rPr>
                <w:sz w:val="20"/>
                <w:szCs w:val="20"/>
              </w:rPr>
              <w:t>2.6</w:t>
            </w:r>
          </w:p>
        </w:tc>
        <w:tc>
          <w:tcPr>
            <w:tcW w:w="1080" w:type="dxa"/>
            <w:tcBorders>
              <w:top w:val="nil"/>
              <w:left w:val="single" w:sz="4" w:space="0" w:color="auto"/>
              <w:bottom w:val="nil"/>
              <w:right w:val="single" w:sz="4" w:space="0" w:color="auto"/>
            </w:tcBorders>
          </w:tcPr>
          <w:p w14:paraId="6519BE0E" w14:textId="77777777" w:rsidR="003B27F8" w:rsidRPr="003B27F8" w:rsidRDefault="003B27F8" w:rsidP="003B27F8">
            <w:pPr>
              <w:ind w:right="284"/>
              <w:jc w:val="right"/>
              <w:rPr>
                <w:sz w:val="20"/>
                <w:szCs w:val="20"/>
              </w:rPr>
            </w:pPr>
            <w:r w:rsidRPr="003B27F8">
              <w:rPr>
                <w:sz w:val="20"/>
                <w:szCs w:val="20"/>
              </w:rPr>
              <w:t>16.2</w:t>
            </w:r>
          </w:p>
        </w:tc>
      </w:tr>
      <w:tr w:rsidR="003B27F8" w:rsidRPr="003B27F8" w14:paraId="20BEAF8B" w14:textId="77777777" w:rsidTr="00F44802">
        <w:trPr>
          <w:jc w:val="center"/>
        </w:trPr>
        <w:tc>
          <w:tcPr>
            <w:tcW w:w="2273" w:type="dxa"/>
            <w:tcBorders>
              <w:top w:val="nil"/>
              <w:left w:val="single" w:sz="4" w:space="0" w:color="auto"/>
              <w:bottom w:val="nil"/>
              <w:right w:val="single" w:sz="4" w:space="0" w:color="auto"/>
            </w:tcBorders>
          </w:tcPr>
          <w:p w14:paraId="4D3CDFCD" w14:textId="77777777" w:rsidR="003B27F8" w:rsidRPr="003B27F8" w:rsidRDefault="003B27F8" w:rsidP="003B27F8">
            <w:pPr>
              <w:ind w:left="113"/>
              <w:rPr>
                <w:sz w:val="20"/>
                <w:szCs w:val="20"/>
              </w:rPr>
            </w:pPr>
            <w:r w:rsidRPr="003B27F8">
              <w:rPr>
                <w:sz w:val="20"/>
                <w:szCs w:val="20"/>
              </w:rPr>
              <w:t>Ovino</w:t>
            </w:r>
          </w:p>
        </w:tc>
        <w:tc>
          <w:tcPr>
            <w:tcW w:w="1515" w:type="dxa"/>
            <w:tcBorders>
              <w:top w:val="nil"/>
              <w:left w:val="single" w:sz="4" w:space="0" w:color="auto"/>
              <w:bottom w:val="nil"/>
              <w:right w:val="single" w:sz="4" w:space="0" w:color="auto"/>
            </w:tcBorders>
          </w:tcPr>
          <w:p w14:paraId="3362A426" w14:textId="77777777" w:rsidR="003B27F8" w:rsidRPr="003B27F8" w:rsidRDefault="003B27F8" w:rsidP="003B27F8">
            <w:pPr>
              <w:ind w:right="227"/>
              <w:jc w:val="right"/>
              <w:rPr>
                <w:sz w:val="20"/>
                <w:szCs w:val="20"/>
              </w:rPr>
            </w:pPr>
            <w:r w:rsidRPr="003B27F8">
              <w:rPr>
                <w:sz w:val="20"/>
                <w:szCs w:val="20"/>
              </w:rPr>
              <w:t>59 632</w:t>
            </w:r>
          </w:p>
        </w:tc>
        <w:tc>
          <w:tcPr>
            <w:tcW w:w="1453" w:type="dxa"/>
            <w:tcBorders>
              <w:top w:val="nil"/>
              <w:left w:val="single" w:sz="4" w:space="0" w:color="auto"/>
              <w:bottom w:val="nil"/>
              <w:right w:val="single" w:sz="4" w:space="0" w:color="auto"/>
            </w:tcBorders>
          </w:tcPr>
          <w:p w14:paraId="6A401620" w14:textId="77777777" w:rsidR="003B27F8" w:rsidRPr="003B27F8" w:rsidRDefault="003B27F8" w:rsidP="003B27F8">
            <w:pPr>
              <w:ind w:right="227"/>
              <w:jc w:val="right"/>
              <w:rPr>
                <w:sz w:val="20"/>
                <w:szCs w:val="20"/>
              </w:rPr>
            </w:pPr>
            <w:r w:rsidRPr="003B27F8">
              <w:rPr>
                <w:sz w:val="20"/>
                <w:szCs w:val="20"/>
              </w:rPr>
              <w:t>9 026</w:t>
            </w:r>
          </w:p>
        </w:tc>
        <w:tc>
          <w:tcPr>
            <w:tcW w:w="1440" w:type="dxa"/>
            <w:tcBorders>
              <w:top w:val="nil"/>
              <w:left w:val="single" w:sz="4" w:space="0" w:color="auto"/>
              <w:bottom w:val="nil"/>
              <w:right w:val="single" w:sz="4" w:space="0" w:color="auto"/>
            </w:tcBorders>
          </w:tcPr>
          <w:p w14:paraId="379DBF0A" w14:textId="77777777" w:rsidR="003B27F8" w:rsidRPr="003B27F8" w:rsidRDefault="003B27F8" w:rsidP="003B27F8">
            <w:pPr>
              <w:ind w:right="227"/>
              <w:jc w:val="right"/>
              <w:rPr>
                <w:sz w:val="20"/>
                <w:szCs w:val="20"/>
              </w:rPr>
            </w:pPr>
            <w:r w:rsidRPr="003B27F8">
              <w:rPr>
                <w:sz w:val="20"/>
                <w:szCs w:val="20"/>
              </w:rPr>
              <w:t>9 213</w:t>
            </w:r>
          </w:p>
        </w:tc>
        <w:tc>
          <w:tcPr>
            <w:tcW w:w="1080" w:type="dxa"/>
            <w:tcBorders>
              <w:top w:val="nil"/>
              <w:left w:val="single" w:sz="4" w:space="0" w:color="auto"/>
              <w:bottom w:val="nil"/>
              <w:right w:val="single" w:sz="4" w:space="0" w:color="auto"/>
            </w:tcBorders>
          </w:tcPr>
          <w:p w14:paraId="39B6AE50" w14:textId="77777777" w:rsidR="003B27F8" w:rsidRPr="003B27F8" w:rsidRDefault="003B27F8" w:rsidP="003B27F8">
            <w:pPr>
              <w:ind w:right="284"/>
              <w:jc w:val="right"/>
              <w:rPr>
                <w:sz w:val="20"/>
                <w:szCs w:val="20"/>
              </w:rPr>
            </w:pPr>
            <w:r w:rsidRPr="003B27F8">
              <w:rPr>
                <w:sz w:val="20"/>
                <w:szCs w:val="20"/>
              </w:rPr>
              <w:t>2.1</w:t>
            </w:r>
          </w:p>
        </w:tc>
        <w:tc>
          <w:tcPr>
            <w:tcW w:w="1080" w:type="dxa"/>
            <w:tcBorders>
              <w:top w:val="nil"/>
              <w:left w:val="single" w:sz="4" w:space="0" w:color="auto"/>
              <w:bottom w:val="nil"/>
              <w:right w:val="single" w:sz="4" w:space="0" w:color="auto"/>
            </w:tcBorders>
          </w:tcPr>
          <w:p w14:paraId="3049F813" w14:textId="77777777" w:rsidR="003B27F8" w:rsidRPr="003B27F8" w:rsidRDefault="003B27F8" w:rsidP="003B27F8">
            <w:pPr>
              <w:ind w:right="284"/>
              <w:jc w:val="right"/>
              <w:rPr>
                <w:sz w:val="20"/>
                <w:szCs w:val="20"/>
              </w:rPr>
            </w:pPr>
            <w:r w:rsidRPr="003B27F8">
              <w:rPr>
                <w:sz w:val="20"/>
                <w:szCs w:val="20"/>
              </w:rPr>
              <w:t>15.4</w:t>
            </w:r>
          </w:p>
        </w:tc>
      </w:tr>
      <w:tr w:rsidR="003B27F8" w:rsidRPr="003B27F8" w14:paraId="065E3A58" w14:textId="77777777" w:rsidTr="00F44802">
        <w:trPr>
          <w:jc w:val="center"/>
        </w:trPr>
        <w:tc>
          <w:tcPr>
            <w:tcW w:w="2273" w:type="dxa"/>
            <w:tcBorders>
              <w:top w:val="nil"/>
              <w:left w:val="single" w:sz="4" w:space="0" w:color="auto"/>
              <w:bottom w:val="nil"/>
              <w:right w:val="single" w:sz="4" w:space="0" w:color="auto"/>
            </w:tcBorders>
          </w:tcPr>
          <w:p w14:paraId="4E613BA4" w14:textId="77777777" w:rsidR="003B27F8" w:rsidRPr="003B27F8" w:rsidRDefault="003B27F8" w:rsidP="003B27F8">
            <w:pPr>
              <w:ind w:left="113"/>
              <w:rPr>
                <w:sz w:val="20"/>
                <w:szCs w:val="20"/>
              </w:rPr>
            </w:pPr>
            <w:r w:rsidRPr="003B27F8">
              <w:rPr>
                <w:sz w:val="20"/>
                <w:szCs w:val="20"/>
              </w:rPr>
              <w:t>Caprino</w:t>
            </w:r>
          </w:p>
        </w:tc>
        <w:tc>
          <w:tcPr>
            <w:tcW w:w="1515" w:type="dxa"/>
            <w:tcBorders>
              <w:top w:val="nil"/>
              <w:left w:val="single" w:sz="4" w:space="0" w:color="auto"/>
              <w:bottom w:val="nil"/>
              <w:right w:val="single" w:sz="4" w:space="0" w:color="auto"/>
            </w:tcBorders>
          </w:tcPr>
          <w:p w14:paraId="0339DBBF" w14:textId="77777777" w:rsidR="003B27F8" w:rsidRPr="003B27F8" w:rsidRDefault="003B27F8" w:rsidP="003B27F8">
            <w:pPr>
              <w:ind w:right="227"/>
              <w:jc w:val="right"/>
              <w:rPr>
                <w:sz w:val="20"/>
                <w:szCs w:val="20"/>
              </w:rPr>
            </w:pPr>
            <w:r w:rsidRPr="003B27F8">
              <w:rPr>
                <w:sz w:val="20"/>
                <w:szCs w:val="20"/>
              </w:rPr>
              <w:t>40 161</w:t>
            </w:r>
          </w:p>
        </w:tc>
        <w:tc>
          <w:tcPr>
            <w:tcW w:w="1453" w:type="dxa"/>
            <w:tcBorders>
              <w:top w:val="nil"/>
              <w:left w:val="single" w:sz="4" w:space="0" w:color="auto"/>
              <w:bottom w:val="nil"/>
              <w:right w:val="single" w:sz="4" w:space="0" w:color="auto"/>
            </w:tcBorders>
          </w:tcPr>
          <w:p w14:paraId="5DAFE7B5" w14:textId="77777777" w:rsidR="003B27F8" w:rsidRPr="003B27F8" w:rsidRDefault="003B27F8" w:rsidP="003B27F8">
            <w:pPr>
              <w:ind w:right="227"/>
              <w:jc w:val="right"/>
              <w:rPr>
                <w:sz w:val="20"/>
                <w:szCs w:val="20"/>
              </w:rPr>
            </w:pPr>
            <w:r w:rsidRPr="003B27F8">
              <w:rPr>
                <w:sz w:val="20"/>
                <w:szCs w:val="20"/>
              </w:rPr>
              <w:t>6 171</w:t>
            </w:r>
          </w:p>
        </w:tc>
        <w:tc>
          <w:tcPr>
            <w:tcW w:w="1440" w:type="dxa"/>
            <w:tcBorders>
              <w:top w:val="nil"/>
              <w:left w:val="single" w:sz="4" w:space="0" w:color="auto"/>
              <w:bottom w:val="nil"/>
              <w:right w:val="single" w:sz="4" w:space="0" w:color="auto"/>
            </w:tcBorders>
          </w:tcPr>
          <w:p w14:paraId="4058E2DF" w14:textId="77777777" w:rsidR="003B27F8" w:rsidRPr="003B27F8" w:rsidRDefault="003B27F8" w:rsidP="003B27F8">
            <w:pPr>
              <w:ind w:right="227"/>
              <w:jc w:val="right"/>
              <w:rPr>
                <w:sz w:val="20"/>
                <w:szCs w:val="20"/>
              </w:rPr>
            </w:pPr>
            <w:r w:rsidRPr="003B27F8">
              <w:rPr>
                <w:sz w:val="20"/>
                <w:szCs w:val="20"/>
              </w:rPr>
              <w:t>6 141</w:t>
            </w:r>
          </w:p>
        </w:tc>
        <w:tc>
          <w:tcPr>
            <w:tcW w:w="1080" w:type="dxa"/>
            <w:tcBorders>
              <w:top w:val="nil"/>
              <w:left w:val="single" w:sz="4" w:space="0" w:color="auto"/>
              <w:bottom w:val="nil"/>
              <w:right w:val="single" w:sz="4" w:space="0" w:color="auto"/>
            </w:tcBorders>
          </w:tcPr>
          <w:p w14:paraId="2D0466DF" w14:textId="77777777" w:rsidR="003B27F8" w:rsidRPr="003B27F8" w:rsidRDefault="003B27F8" w:rsidP="003B27F8">
            <w:pPr>
              <w:ind w:right="284"/>
              <w:jc w:val="right"/>
              <w:rPr>
                <w:sz w:val="20"/>
                <w:szCs w:val="20"/>
              </w:rPr>
            </w:pPr>
            <w:r w:rsidRPr="003B27F8">
              <w:rPr>
                <w:sz w:val="20"/>
                <w:szCs w:val="20"/>
              </w:rPr>
              <w:t>-0.5</w:t>
            </w:r>
          </w:p>
        </w:tc>
        <w:tc>
          <w:tcPr>
            <w:tcW w:w="1080" w:type="dxa"/>
            <w:tcBorders>
              <w:top w:val="nil"/>
              <w:left w:val="single" w:sz="4" w:space="0" w:color="auto"/>
              <w:bottom w:val="nil"/>
              <w:right w:val="single" w:sz="4" w:space="0" w:color="auto"/>
            </w:tcBorders>
          </w:tcPr>
          <w:p w14:paraId="1CEB3508" w14:textId="77777777" w:rsidR="003B27F8" w:rsidRPr="003B27F8" w:rsidRDefault="003B27F8" w:rsidP="003B27F8">
            <w:pPr>
              <w:ind w:right="284"/>
              <w:jc w:val="right"/>
              <w:rPr>
                <w:sz w:val="20"/>
                <w:szCs w:val="20"/>
              </w:rPr>
            </w:pPr>
            <w:r w:rsidRPr="003B27F8">
              <w:rPr>
                <w:sz w:val="20"/>
                <w:szCs w:val="20"/>
              </w:rPr>
              <w:t>15.3</w:t>
            </w:r>
          </w:p>
        </w:tc>
      </w:tr>
      <w:tr w:rsidR="003B27F8" w:rsidRPr="003B27F8" w14:paraId="7F4E8BFD" w14:textId="77777777" w:rsidTr="00F44802">
        <w:trPr>
          <w:jc w:val="center"/>
        </w:trPr>
        <w:tc>
          <w:tcPr>
            <w:tcW w:w="2273" w:type="dxa"/>
            <w:tcBorders>
              <w:top w:val="nil"/>
              <w:left w:val="single" w:sz="4" w:space="0" w:color="auto"/>
              <w:bottom w:val="nil"/>
              <w:right w:val="single" w:sz="4" w:space="0" w:color="auto"/>
            </w:tcBorders>
          </w:tcPr>
          <w:p w14:paraId="67F0EB8D" w14:textId="77777777" w:rsidR="003B27F8" w:rsidRPr="003B27F8" w:rsidRDefault="003B27F8" w:rsidP="003B27F8">
            <w:pPr>
              <w:ind w:left="113"/>
              <w:rPr>
                <w:sz w:val="20"/>
                <w:szCs w:val="20"/>
              </w:rPr>
            </w:pPr>
            <w:r w:rsidRPr="003B27F8">
              <w:rPr>
                <w:sz w:val="20"/>
                <w:szCs w:val="20"/>
              </w:rPr>
              <w:t>Ave</w:t>
            </w:r>
            <w:r w:rsidRPr="003B27F8">
              <w:rPr>
                <w:sz w:val="20"/>
                <w:szCs w:val="20"/>
                <w:u w:val="single"/>
                <w:vertAlign w:val="superscript"/>
              </w:rPr>
              <w:t>1</w:t>
            </w:r>
            <w:r w:rsidRPr="003B27F8">
              <w:rPr>
                <w:sz w:val="20"/>
                <w:szCs w:val="20"/>
                <w:vertAlign w:val="superscript"/>
              </w:rPr>
              <w:t>/</w:t>
            </w:r>
          </w:p>
        </w:tc>
        <w:tc>
          <w:tcPr>
            <w:tcW w:w="1515" w:type="dxa"/>
            <w:tcBorders>
              <w:top w:val="nil"/>
              <w:left w:val="single" w:sz="4" w:space="0" w:color="auto"/>
              <w:bottom w:val="nil"/>
              <w:right w:val="single" w:sz="4" w:space="0" w:color="auto"/>
            </w:tcBorders>
          </w:tcPr>
          <w:p w14:paraId="20897929" w14:textId="77777777" w:rsidR="003B27F8" w:rsidRPr="003B27F8" w:rsidRDefault="003B27F8" w:rsidP="003B27F8">
            <w:pPr>
              <w:ind w:right="227"/>
              <w:jc w:val="right"/>
              <w:rPr>
                <w:sz w:val="20"/>
                <w:szCs w:val="20"/>
              </w:rPr>
            </w:pPr>
            <w:r w:rsidRPr="003B27F8">
              <w:rPr>
                <w:sz w:val="20"/>
                <w:szCs w:val="20"/>
              </w:rPr>
              <w:t>2 940 386</w:t>
            </w:r>
          </w:p>
        </w:tc>
        <w:tc>
          <w:tcPr>
            <w:tcW w:w="1453" w:type="dxa"/>
            <w:tcBorders>
              <w:top w:val="nil"/>
              <w:left w:val="single" w:sz="4" w:space="0" w:color="auto"/>
              <w:bottom w:val="nil"/>
              <w:right w:val="single" w:sz="4" w:space="0" w:color="auto"/>
            </w:tcBorders>
          </w:tcPr>
          <w:p w14:paraId="54F9D3D0" w14:textId="77777777" w:rsidR="003B27F8" w:rsidRPr="003B27F8" w:rsidRDefault="003B27F8" w:rsidP="003B27F8">
            <w:pPr>
              <w:ind w:right="227"/>
              <w:jc w:val="right"/>
              <w:rPr>
                <w:sz w:val="20"/>
                <w:szCs w:val="20"/>
              </w:rPr>
            </w:pPr>
            <w:r w:rsidRPr="003B27F8">
              <w:rPr>
                <w:sz w:val="20"/>
                <w:szCs w:val="20"/>
              </w:rPr>
              <w:t>460 164</w:t>
            </w:r>
          </w:p>
        </w:tc>
        <w:tc>
          <w:tcPr>
            <w:tcW w:w="1440" w:type="dxa"/>
            <w:tcBorders>
              <w:top w:val="nil"/>
              <w:left w:val="single" w:sz="4" w:space="0" w:color="auto"/>
              <w:bottom w:val="nil"/>
              <w:right w:val="single" w:sz="4" w:space="0" w:color="auto"/>
            </w:tcBorders>
          </w:tcPr>
          <w:p w14:paraId="0F3FBC11" w14:textId="77777777" w:rsidR="003B27F8" w:rsidRPr="003B27F8" w:rsidRDefault="003B27F8" w:rsidP="003B27F8">
            <w:pPr>
              <w:ind w:right="227"/>
              <w:jc w:val="right"/>
              <w:rPr>
                <w:sz w:val="20"/>
                <w:szCs w:val="20"/>
              </w:rPr>
            </w:pPr>
            <w:r w:rsidRPr="003B27F8">
              <w:rPr>
                <w:sz w:val="20"/>
                <w:szCs w:val="20"/>
              </w:rPr>
              <w:t>470 734</w:t>
            </w:r>
          </w:p>
        </w:tc>
        <w:tc>
          <w:tcPr>
            <w:tcW w:w="1080" w:type="dxa"/>
            <w:tcBorders>
              <w:top w:val="nil"/>
              <w:left w:val="single" w:sz="4" w:space="0" w:color="auto"/>
              <w:bottom w:val="nil"/>
              <w:right w:val="single" w:sz="4" w:space="0" w:color="auto"/>
            </w:tcBorders>
          </w:tcPr>
          <w:p w14:paraId="1B1E8210" w14:textId="77777777" w:rsidR="003B27F8" w:rsidRPr="003B27F8" w:rsidRDefault="003B27F8" w:rsidP="003B27F8">
            <w:pPr>
              <w:ind w:right="284"/>
              <w:jc w:val="right"/>
              <w:rPr>
                <w:sz w:val="20"/>
                <w:szCs w:val="20"/>
              </w:rPr>
            </w:pPr>
            <w:r w:rsidRPr="003B27F8">
              <w:rPr>
                <w:sz w:val="20"/>
                <w:szCs w:val="20"/>
              </w:rPr>
              <w:t>2.3</w:t>
            </w:r>
          </w:p>
        </w:tc>
        <w:tc>
          <w:tcPr>
            <w:tcW w:w="1080" w:type="dxa"/>
            <w:tcBorders>
              <w:top w:val="nil"/>
              <w:left w:val="single" w:sz="4" w:space="0" w:color="auto"/>
              <w:bottom w:val="nil"/>
              <w:right w:val="single" w:sz="4" w:space="0" w:color="auto"/>
            </w:tcBorders>
          </w:tcPr>
          <w:p w14:paraId="7C7067E4" w14:textId="77777777" w:rsidR="003B27F8" w:rsidRPr="003B27F8" w:rsidRDefault="003B27F8" w:rsidP="003B27F8">
            <w:pPr>
              <w:ind w:right="284"/>
              <w:jc w:val="right"/>
              <w:rPr>
                <w:sz w:val="20"/>
                <w:szCs w:val="20"/>
              </w:rPr>
            </w:pPr>
            <w:r w:rsidRPr="003B27F8">
              <w:rPr>
                <w:sz w:val="20"/>
                <w:szCs w:val="20"/>
              </w:rPr>
              <w:t>16.0</w:t>
            </w:r>
          </w:p>
        </w:tc>
      </w:tr>
      <w:tr w:rsidR="003B27F8" w:rsidRPr="003B27F8" w14:paraId="3F3BDD51" w14:textId="77777777" w:rsidTr="00F44802">
        <w:trPr>
          <w:jc w:val="center"/>
        </w:trPr>
        <w:tc>
          <w:tcPr>
            <w:tcW w:w="2273" w:type="dxa"/>
            <w:tcBorders>
              <w:top w:val="nil"/>
              <w:left w:val="single" w:sz="4" w:space="0" w:color="auto"/>
              <w:bottom w:val="nil"/>
              <w:right w:val="single" w:sz="4" w:space="0" w:color="auto"/>
            </w:tcBorders>
          </w:tcPr>
          <w:p w14:paraId="035D53FD" w14:textId="77777777" w:rsidR="003B27F8" w:rsidRPr="003B27F8" w:rsidRDefault="003B27F8" w:rsidP="003B27F8">
            <w:pPr>
              <w:ind w:left="113"/>
              <w:rPr>
                <w:sz w:val="20"/>
                <w:szCs w:val="20"/>
              </w:rPr>
            </w:pPr>
            <w:r w:rsidRPr="003B27F8">
              <w:rPr>
                <w:sz w:val="20"/>
                <w:szCs w:val="20"/>
              </w:rPr>
              <w:t>Guajolote</w:t>
            </w:r>
          </w:p>
        </w:tc>
        <w:tc>
          <w:tcPr>
            <w:tcW w:w="1515" w:type="dxa"/>
            <w:tcBorders>
              <w:top w:val="nil"/>
              <w:left w:val="single" w:sz="4" w:space="0" w:color="auto"/>
              <w:bottom w:val="nil"/>
              <w:right w:val="single" w:sz="4" w:space="0" w:color="auto"/>
            </w:tcBorders>
          </w:tcPr>
          <w:p w14:paraId="2E6BB3C1" w14:textId="77777777" w:rsidR="003B27F8" w:rsidRPr="003B27F8" w:rsidRDefault="003B27F8" w:rsidP="003B27F8">
            <w:pPr>
              <w:ind w:right="227"/>
              <w:jc w:val="right"/>
              <w:rPr>
                <w:sz w:val="20"/>
                <w:szCs w:val="20"/>
              </w:rPr>
            </w:pPr>
            <w:r w:rsidRPr="003B27F8">
              <w:rPr>
                <w:sz w:val="20"/>
                <w:szCs w:val="20"/>
              </w:rPr>
              <w:t>19 512</w:t>
            </w:r>
          </w:p>
        </w:tc>
        <w:tc>
          <w:tcPr>
            <w:tcW w:w="1453" w:type="dxa"/>
            <w:tcBorders>
              <w:top w:val="nil"/>
              <w:left w:val="single" w:sz="4" w:space="0" w:color="auto"/>
              <w:bottom w:val="nil"/>
              <w:right w:val="single" w:sz="4" w:space="0" w:color="auto"/>
            </w:tcBorders>
          </w:tcPr>
          <w:p w14:paraId="74DBB858" w14:textId="77777777" w:rsidR="003B27F8" w:rsidRPr="003B27F8" w:rsidRDefault="003B27F8" w:rsidP="003B27F8">
            <w:pPr>
              <w:ind w:right="227"/>
              <w:jc w:val="right"/>
              <w:rPr>
                <w:sz w:val="20"/>
                <w:szCs w:val="20"/>
              </w:rPr>
            </w:pPr>
            <w:r w:rsidRPr="003B27F8">
              <w:rPr>
                <w:sz w:val="20"/>
                <w:szCs w:val="20"/>
              </w:rPr>
              <w:t>2 395</w:t>
            </w:r>
          </w:p>
        </w:tc>
        <w:tc>
          <w:tcPr>
            <w:tcW w:w="1440" w:type="dxa"/>
            <w:tcBorders>
              <w:top w:val="nil"/>
              <w:left w:val="single" w:sz="4" w:space="0" w:color="auto"/>
              <w:bottom w:val="nil"/>
              <w:right w:val="single" w:sz="4" w:space="0" w:color="auto"/>
            </w:tcBorders>
          </w:tcPr>
          <w:p w14:paraId="2C3C01E1" w14:textId="77777777" w:rsidR="003B27F8" w:rsidRPr="003B27F8" w:rsidRDefault="003B27F8" w:rsidP="003B27F8">
            <w:pPr>
              <w:ind w:right="227"/>
              <w:jc w:val="right"/>
              <w:rPr>
                <w:sz w:val="20"/>
                <w:szCs w:val="20"/>
              </w:rPr>
            </w:pPr>
            <w:r w:rsidRPr="003B27F8">
              <w:rPr>
                <w:sz w:val="20"/>
                <w:szCs w:val="20"/>
              </w:rPr>
              <w:t>2 325</w:t>
            </w:r>
          </w:p>
        </w:tc>
        <w:tc>
          <w:tcPr>
            <w:tcW w:w="1080" w:type="dxa"/>
            <w:tcBorders>
              <w:top w:val="nil"/>
              <w:left w:val="single" w:sz="4" w:space="0" w:color="auto"/>
              <w:bottom w:val="nil"/>
              <w:right w:val="single" w:sz="4" w:space="0" w:color="auto"/>
            </w:tcBorders>
          </w:tcPr>
          <w:p w14:paraId="1520DC99" w14:textId="77777777" w:rsidR="003B27F8" w:rsidRPr="003B27F8" w:rsidRDefault="003B27F8" w:rsidP="003B27F8">
            <w:pPr>
              <w:ind w:right="284"/>
              <w:jc w:val="right"/>
              <w:rPr>
                <w:sz w:val="20"/>
                <w:szCs w:val="20"/>
              </w:rPr>
            </w:pPr>
            <w:r w:rsidRPr="003B27F8">
              <w:rPr>
                <w:sz w:val="20"/>
                <w:szCs w:val="20"/>
              </w:rPr>
              <w:t>-2.9</w:t>
            </w:r>
          </w:p>
        </w:tc>
        <w:tc>
          <w:tcPr>
            <w:tcW w:w="1080" w:type="dxa"/>
            <w:tcBorders>
              <w:top w:val="nil"/>
              <w:left w:val="single" w:sz="4" w:space="0" w:color="auto"/>
              <w:bottom w:val="nil"/>
              <w:right w:val="single" w:sz="4" w:space="0" w:color="auto"/>
            </w:tcBorders>
          </w:tcPr>
          <w:p w14:paraId="28BB947A" w14:textId="77777777" w:rsidR="003B27F8" w:rsidRPr="003B27F8" w:rsidRDefault="003B27F8" w:rsidP="003B27F8">
            <w:pPr>
              <w:ind w:right="284"/>
              <w:jc w:val="right"/>
              <w:rPr>
                <w:sz w:val="20"/>
                <w:szCs w:val="20"/>
              </w:rPr>
            </w:pPr>
            <w:r w:rsidRPr="003B27F8">
              <w:rPr>
                <w:sz w:val="20"/>
                <w:szCs w:val="20"/>
              </w:rPr>
              <w:t>11.9</w:t>
            </w:r>
          </w:p>
        </w:tc>
      </w:tr>
      <w:bookmarkEnd w:id="10"/>
      <w:tr w:rsidR="003B27F8" w:rsidRPr="003B27F8" w14:paraId="75578BDC" w14:textId="77777777" w:rsidTr="00F44802">
        <w:trPr>
          <w:jc w:val="center"/>
        </w:trPr>
        <w:tc>
          <w:tcPr>
            <w:tcW w:w="2273" w:type="dxa"/>
            <w:tcBorders>
              <w:top w:val="nil"/>
              <w:left w:val="single" w:sz="4" w:space="0" w:color="auto"/>
              <w:bottom w:val="nil"/>
              <w:right w:val="single" w:sz="4" w:space="0" w:color="auto"/>
            </w:tcBorders>
          </w:tcPr>
          <w:p w14:paraId="76A653D3" w14:textId="77777777" w:rsidR="003B27F8" w:rsidRPr="003B27F8" w:rsidRDefault="003B27F8" w:rsidP="003B27F8">
            <w:pPr>
              <w:rPr>
                <w:sz w:val="20"/>
                <w:szCs w:val="20"/>
              </w:rPr>
            </w:pPr>
            <w:r w:rsidRPr="003B27F8">
              <w:rPr>
                <w:sz w:val="20"/>
                <w:szCs w:val="20"/>
              </w:rPr>
              <w:t>Huevo para plato</w:t>
            </w:r>
          </w:p>
        </w:tc>
        <w:tc>
          <w:tcPr>
            <w:tcW w:w="1515" w:type="dxa"/>
            <w:tcBorders>
              <w:top w:val="nil"/>
              <w:left w:val="single" w:sz="4" w:space="0" w:color="auto"/>
              <w:bottom w:val="nil"/>
              <w:right w:val="single" w:sz="4" w:space="0" w:color="auto"/>
            </w:tcBorders>
          </w:tcPr>
          <w:p w14:paraId="65EAB8F7" w14:textId="77777777" w:rsidR="003B27F8" w:rsidRPr="003B27F8" w:rsidRDefault="003B27F8" w:rsidP="003B27F8">
            <w:pPr>
              <w:ind w:right="227"/>
              <w:jc w:val="right"/>
              <w:rPr>
                <w:sz w:val="20"/>
                <w:szCs w:val="20"/>
              </w:rPr>
            </w:pPr>
            <w:r w:rsidRPr="003B27F8">
              <w:rPr>
                <w:sz w:val="20"/>
                <w:szCs w:val="20"/>
              </w:rPr>
              <w:t>2 618 795</w:t>
            </w:r>
          </w:p>
        </w:tc>
        <w:tc>
          <w:tcPr>
            <w:tcW w:w="1453" w:type="dxa"/>
            <w:tcBorders>
              <w:top w:val="nil"/>
              <w:left w:val="single" w:sz="4" w:space="0" w:color="auto"/>
              <w:bottom w:val="nil"/>
              <w:right w:val="single" w:sz="4" w:space="0" w:color="auto"/>
            </w:tcBorders>
          </w:tcPr>
          <w:p w14:paraId="78C6CA8C" w14:textId="77777777" w:rsidR="003B27F8" w:rsidRPr="003B27F8" w:rsidRDefault="003B27F8" w:rsidP="003B27F8">
            <w:pPr>
              <w:ind w:right="227"/>
              <w:jc w:val="right"/>
              <w:rPr>
                <w:sz w:val="20"/>
                <w:szCs w:val="20"/>
              </w:rPr>
            </w:pPr>
            <w:r w:rsidRPr="003B27F8">
              <w:rPr>
                <w:sz w:val="20"/>
                <w:szCs w:val="20"/>
              </w:rPr>
              <w:t>399 385</w:t>
            </w:r>
          </w:p>
        </w:tc>
        <w:tc>
          <w:tcPr>
            <w:tcW w:w="1440" w:type="dxa"/>
            <w:tcBorders>
              <w:top w:val="nil"/>
              <w:left w:val="single" w:sz="4" w:space="0" w:color="auto"/>
              <w:bottom w:val="nil"/>
              <w:right w:val="single" w:sz="4" w:space="0" w:color="auto"/>
            </w:tcBorders>
          </w:tcPr>
          <w:p w14:paraId="7D554F7F" w14:textId="77777777" w:rsidR="003B27F8" w:rsidRPr="003B27F8" w:rsidRDefault="003B27F8" w:rsidP="003B27F8">
            <w:pPr>
              <w:ind w:right="227"/>
              <w:jc w:val="right"/>
              <w:rPr>
                <w:sz w:val="20"/>
                <w:szCs w:val="20"/>
              </w:rPr>
            </w:pPr>
            <w:r w:rsidRPr="003B27F8">
              <w:rPr>
                <w:sz w:val="20"/>
                <w:szCs w:val="20"/>
              </w:rPr>
              <w:t>410 015</w:t>
            </w:r>
          </w:p>
        </w:tc>
        <w:tc>
          <w:tcPr>
            <w:tcW w:w="1080" w:type="dxa"/>
            <w:tcBorders>
              <w:top w:val="nil"/>
              <w:left w:val="single" w:sz="4" w:space="0" w:color="auto"/>
              <w:bottom w:val="nil"/>
              <w:right w:val="single" w:sz="4" w:space="0" w:color="auto"/>
            </w:tcBorders>
          </w:tcPr>
          <w:p w14:paraId="4CD7B80B" w14:textId="77777777" w:rsidR="003B27F8" w:rsidRPr="003B27F8" w:rsidRDefault="003B27F8" w:rsidP="003B27F8">
            <w:pPr>
              <w:ind w:right="284"/>
              <w:jc w:val="right"/>
              <w:rPr>
                <w:sz w:val="20"/>
                <w:szCs w:val="20"/>
              </w:rPr>
            </w:pPr>
            <w:r w:rsidRPr="003B27F8">
              <w:rPr>
                <w:sz w:val="20"/>
                <w:szCs w:val="20"/>
              </w:rPr>
              <w:t>2.7</w:t>
            </w:r>
          </w:p>
        </w:tc>
        <w:tc>
          <w:tcPr>
            <w:tcW w:w="1080" w:type="dxa"/>
            <w:tcBorders>
              <w:top w:val="nil"/>
              <w:left w:val="single" w:sz="4" w:space="0" w:color="auto"/>
              <w:bottom w:val="nil"/>
              <w:right w:val="single" w:sz="4" w:space="0" w:color="auto"/>
            </w:tcBorders>
          </w:tcPr>
          <w:p w14:paraId="0ABC500C" w14:textId="77777777" w:rsidR="003B27F8" w:rsidRPr="003B27F8" w:rsidRDefault="003B27F8" w:rsidP="003B27F8">
            <w:pPr>
              <w:ind w:right="284"/>
              <w:jc w:val="right"/>
              <w:rPr>
                <w:sz w:val="20"/>
                <w:szCs w:val="20"/>
              </w:rPr>
            </w:pPr>
            <w:r w:rsidRPr="003B27F8">
              <w:rPr>
                <w:sz w:val="20"/>
                <w:szCs w:val="20"/>
              </w:rPr>
              <w:t>15.7</w:t>
            </w:r>
          </w:p>
        </w:tc>
      </w:tr>
      <w:tr w:rsidR="003B27F8" w:rsidRPr="003B27F8" w14:paraId="5CEFE3FB" w14:textId="77777777" w:rsidTr="00F44802">
        <w:trPr>
          <w:jc w:val="center"/>
        </w:trPr>
        <w:tc>
          <w:tcPr>
            <w:tcW w:w="2273" w:type="dxa"/>
            <w:tcBorders>
              <w:top w:val="nil"/>
              <w:left w:val="single" w:sz="4" w:space="0" w:color="auto"/>
              <w:bottom w:val="nil"/>
              <w:right w:val="single" w:sz="4" w:space="0" w:color="auto"/>
            </w:tcBorders>
          </w:tcPr>
          <w:p w14:paraId="3A9D7D45" w14:textId="77777777" w:rsidR="003B27F8" w:rsidRPr="003B27F8" w:rsidRDefault="003B27F8" w:rsidP="003B27F8">
            <w:pPr>
              <w:rPr>
                <w:sz w:val="20"/>
                <w:szCs w:val="20"/>
              </w:rPr>
            </w:pPr>
            <w:r w:rsidRPr="003B27F8">
              <w:rPr>
                <w:sz w:val="20"/>
                <w:szCs w:val="20"/>
              </w:rPr>
              <w:t>Miel</w:t>
            </w:r>
          </w:p>
        </w:tc>
        <w:tc>
          <w:tcPr>
            <w:tcW w:w="1515" w:type="dxa"/>
            <w:tcBorders>
              <w:top w:val="nil"/>
              <w:left w:val="single" w:sz="4" w:space="0" w:color="auto"/>
              <w:bottom w:val="nil"/>
              <w:right w:val="single" w:sz="4" w:space="0" w:color="auto"/>
            </w:tcBorders>
          </w:tcPr>
          <w:p w14:paraId="46DB8DC4" w14:textId="77777777" w:rsidR="003B27F8" w:rsidRPr="003B27F8" w:rsidRDefault="003B27F8" w:rsidP="003B27F8">
            <w:pPr>
              <w:ind w:right="227"/>
              <w:jc w:val="right"/>
              <w:rPr>
                <w:sz w:val="20"/>
                <w:szCs w:val="20"/>
              </w:rPr>
            </w:pPr>
            <w:r w:rsidRPr="003B27F8">
              <w:rPr>
                <w:sz w:val="20"/>
                <w:szCs w:val="20"/>
              </w:rPr>
              <w:t>64 436</w:t>
            </w:r>
          </w:p>
        </w:tc>
        <w:tc>
          <w:tcPr>
            <w:tcW w:w="1453" w:type="dxa"/>
            <w:tcBorders>
              <w:top w:val="nil"/>
              <w:left w:val="single" w:sz="4" w:space="0" w:color="auto"/>
              <w:bottom w:val="nil"/>
              <w:right w:val="single" w:sz="4" w:space="0" w:color="auto"/>
            </w:tcBorders>
          </w:tcPr>
          <w:p w14:paraId="6FDA7FE7" w14:textId="77777777" w:rsidR="003B27F8" w:rsidRPr="003B27F8" w:rsidRDefault="003B27F8" w:rsidP="003B27F8">
            <w:pPr>
              <w:ind w:right="227"/>
              <w:jc w:val="right"/>
              <w:rPr>
                <w:sz w:val="20"/>
                <w:szCs w:val="20"/>
              </w:rPr>
            </w:pPr>
            <w:r w:rsidRPr="003B27F8">
              <w:rPr>
                <w:sz w:val="20"/>
                <w:szCs w:val="20"/>
              </w:rPr>
              <w:t>5 631</w:t>
            </w:r>
          </w:p>
        </w:tc>
        <w:tc>
          <w:tcPr>
            <w:tcW w:w="1440" w:type="dxa"/>
            <w:tcBorders>
              <w:top w:val="nil"/>
              <w:left w:val="single" w:sz="4" w:space="0" w:color="auto"/>
              <w:bottom w:val="nil"/>
              <w:right w:val="single" w:sz="4" w:space="0" w:color="auto"/>
            </w:tcBorders>
          </w:tcPr>
          <w:p w14:paraId="2C69A9BF" w14:textId="77777777" w:rsidR="003B27F8" w:rsidRPr="003B27F8" w:rsidRDefault="003B27F8" w:rsidP="003B27F8">
            <w:pPr>
              <w:ind w:right="227"/>
              <w:jc w:val="right"/>
              <w:rPr>
                <w:sz w:val="20"/>
                <w:szCs w:val="20"/>
              </w:rPr>
            </w:pPr>
            <w:r w:rsidRPr="003B27F8">
              <w:rPr>
                <w:sz w:val="20"/>
                <w:szCs w:val="20"/>
              </w:rPr>
              <w:t>5 675</w:t>
            </w:r>
          </w:p>
        </w:tc>
        <w:tc>
          <w:tcPr>
            <w:tcW w:w="1080" w:type="dxa"/>
            <w:tcBorders>
              <w:top w:val="nil"/>
              <w:left w:val="single" w:sz="4" w:space="0" w:color="auto"/>
              <w:bottom w:val="nil"/>
              <w:right w:val="single" w:sz="4" w:space="0" w:color="auto"/>
            </w:tcBorders>
          </w:tcPr>
          <w:p w14:paraId="6CA1BC5B" w14:textId="77777777" w:rsidR="003B27F8" w:rsidRPr="003B27F8" w:rsidRDefault="003B27F8" w:rsidP="003B27F8">
            <w:pPr>
              <w:ind w:right="284"/>
              <w:jc w:val="right"/>
              <w:rPr>
                <w:sz w:val="20"/>
                <w:szCs w:val="20"/>
              </w:rPr>
            </w:pPr>
            <w:r w:rsidRPr="003B27F8">
              <w:rPr>
                <w:sz w:val="20"/>
                <w:szCs w:val="20"/>
              </w:rPr>
              <w:t>0.8</w:t>
            </w:r>
          </w:p>
        </w:tc>
        <w:tc>
          <w:tcPr>
            <w:tcW w:w="1080" w:type="dxa"/>
            <w:tcBorders>
              <w:top w:val="nil"/>
              <w:left w:val="single" w:sz="4" w:space="0" w:color="auto"/>
              <w:bottom w:val="nil"/>
              <w:right w:val="single" w:sz="4" w:space="0" w:color="auto"/>
            </w:tcBorders>
          </w:tcPr>
          <w:p w14:paraId="13C3E333" w14:textId="77777777" w:rsidR="003B27F8" w:rsidRPr="003B27F8" w:rsidRDefault="003B27F8" w:rsidP="003B27F8">
            <w:pPr>
              <w:ind w:right="284"/>
              <w:jc w:val="right"/>
              <w:rPr>
                <w:sz w:val="20"/>
                <w:szCs w:val="20"/>
              </w:rPr>
            </w:pPr>
            <w:r w:rsidRPr="003B27F8">
              <w:rPr>
                <w:sz w:val="20"/>
                <w:szCs w:val="20"/>
              </w:rPr>
              <w:t>8.8</w:t>
            </w:r>
          </w:p>
        </w:tc>
      </w:tr>
      <w:tr w:rsidR="003B27F8" w:rsidRPr="003B27F8" w14:paraId="470FC187" w14:textId="77777777" w:rsidTr="00F44802">
        <w:trPr>
          <w:jc w:val="center"/>
        </w:trPr>
        <w:tc>
          <w:tcPr>
            <w:tcW w:w="2273" w:type="dxa"/>
            <w:tcBorders>
              <w:top w:val="nil"/>
              <w:left w:val="single" w:sz="4" w:space="0" w:color="auto"/>
              <w:bottom w:val="nil"/>
              <w:right w:val="single" w:sz="4" w:space="0" w:color="auto"/>
            </w:tcBorders>
          </w:tcPr>
          <w:p w14:paraId="7A0A06D2" w14:textId="77777777" w:rsidR="003B27F8" w:rsidRPr="003B27F8" w:rsidRDefault="003B27F8" w:rsidP="003B27F8">
            <w:pPr>
              <w:rPr>
                <w:sz w:val="20"/>
                <w:szCs w:val="20"/>
              </w:rPr>
            </w:pPr>
            <w:r w:rsidRPr="003B27F8">
              <w:rPr>
                <w:sz w:val="20"/>
                <w:szCs w:val="20"/>
              </w:rPr>
              <w:t>Cera en greña</w:t>
            </w:r>
          </w:p>
        </w:tc>
        <w:tc>
          <w:tcPr>
            <w:tcW w:w="1515" w:type="dxa"/>
            <w:tcBorders>
              <w:top w:val="nil"/>
              <w:left w:val="single" w:sz="4" w:space="0" w:color="auto"/>
              <w:bottom w:val="nil"/>
              <w:right w:val="single" w:sz="4" w:space="0" w:color="auto"/>
            </w:tcBorders>
          </w:tcPr>
          <w:p w14:paraId="6DB4A30B" w14:textId="77777777" w:rsidR="003B27F8" w:rsidRPr="003B27F8" w:rsidRDefault="003B27F8" w:rsidP="003B27F8">
            <w:pPr>
              <w:ind w:right="227"/>
              <w:jc w:val="right"/>
              <w:rPr>
                <w:sz w:val="20"/>
                <w:szCs w:val="20"/>
              </w:rPr>
            </w:pPr>
            <w:r w:rsidRPr="003B27F8">
              <w:rPr>
                <w:sz w:val="20"/>
                <w:szCs w:val="20"/>
              </w:rPr>
              <w:t>2 125</w:t>
            </w:r>
          </w:p>
        </w:tc>
        <w:tc>
          <w:tcPr>
            <w:tcW w:w="1453" w:type="dxa"/>
            <w:tcBorders>
              <w:top w:val="nil"/>
              <w:left w:val="single" w:sz="4" w:space="0" w:color="auto"/>
              <w:bottom w:val="nil"/>
              <w:right w:val="single" w:sz="4" w:space="0" w:color="auto"/>
            </w:tcBorders>
          </w:tcPr>
          <w:p w14:paraId="45DFC778" w14:textId="77777777" w:rsidR="003B27F8" w:rsidRPr="003B27F8" w:rsidRDefault="003B27F8" w:rsidP="003B27F8">
            <w:pPr>
              <w:ind w:right="227"/>
              <w:jc w:val="right"/>
              <w:rPr>
                <w:sz w:val="20"/>
                <w:szCs w:val="20"/>
              </w:rPr>
            </w:pPr>
            <w:r w:rsidRPr="003B27F8">
              <w:rPr>
                <w:sz w:val="20"/>
                <w:szCs w:val="20"/>
              </w:rPr>
              <w:t>135</w:t>
            </w:r>
          </w:p>
        </w:tc>
        <w:tc>
          <w:tcPr>
            <w:tcW w:w="1440" w:type="dxa"/>
            <w:tcBorders>
              <w:top w:val="nil"/>
              <w:left w:val="single" w:sz="4" w:space="0" w:color="auto"/>
              <w:bottom w:val="nil"/>
              <w:right w:val="single" w:sz="4" w:space="0" w:color="auto"/>
            </w:tcBorders>
          </w:tcPr>
          <w:p w14:paraId="34F424C8" w14:textId="77777777" w:rsidR="003B27F8" w:rsidRPr="003B27F8" w:rsidRDefault="003B27F8" w:rsidP="003B27F8">
            <w:pPr>
              <w:ind w:right="227"/>
              <w:jc w:val="right"/>
              <w:rPr>
                <w:sz w:val="20"/>
                <w:szCs w:val="20"/>
              </w:rPr>
            </w:pPr>
            <w:r w:rsidRPr="003B27F8">
              <w:rPr>
                <w:sz w:val="20"/>
                <w:szCs w:val="20"/>
              </w:rPr>
              <w:t>127</w:t>
            </w:r>
          </w:p>
        </w:tc>
        <w:tc>
          <w:tcPr>
            <w:tcW w:w="1080" w:type="dxa"/>
            <w:tcBorders>
              <w:top w:val="nil"/>
              <w:left w:val="single" w:sz="4" w:space="0" w:color="auto"/>
              <w:bottom w:val="nil"/>
              <w:right w:val="single" w:sz="4" w:space="0" w:color="auto"/>
            </w:tcBorders>
          </w:tcPr>
          <w:p w14:paraId="1533CC80" w14:textId="77777777" w:rsidR="003B27F8" w:rsidRPr="003B27F8" w:rsidRDefault="003B27F8" w:rsidP="003B27F8">
            <w:pPr>
              <w:ind w:right="284"/>
              <w:jc w:val="right"/>
              <w:rPr>
                <w:sz w:val="20"/>
                <w:szCs w:val="20"/>
              </w:rPr>
            </w:pPr>
            <w:r w:rsidRPr="003B27F8">
              <w:rPr>
                <w:sz w:val="20"/>
                <w:szCs w:val="20"/>
              </w:rPr>
              <w:t>-5.9</w:t>
            </w:r>
          </w:p>
        </w:tc>
        <w:tc>
          <w:tcPr>
            <w:tcW w:w="1080" w:type="dxa"/>
            <w:tcBorders>
              <w:top w:val="nil"/>
              <w:left w:val="single" w:sz="4" w:space="0" w:color="auto"/>
              <w:bottom w:val="nil"/>
              <w:right w:val="single" w:sz="4" w:space="0" w:color="auto"/>
            </w:tcBorders>
          </w:tcPr>
          <w:p w14:paraId="7F38F4AE" w14:textId="77777777" w:rsidR="003B27F8" w:rsidRPr="003B27F8" w:rsidRDefault="003B27F8" w:rsidP="003B27F8">
            <w:pPr>
              <w:ind w:right="284"/>
              <w:jc w:val="right"/>
              <w:rPr>
                <w:sz w:val="20"/>
                <w:szCs w:val="20"/>
              </w:rPr>
            </w:pPr>
            <w:r w:rsidRPr="003B27F8">
              <w:rPr>
                <w:sz w:val="20"/>
                <w:szCs w:val="20"/>
              </w:rPr>
              <w:t>6.0</w:t>
            </w:r>
          </w:p>
        </w:tc>
      </w:tr>
      <w:tr w:rsidR="003B27F8" w:rsidRPr="003B27F8" w14:paraId="4241A008" w14:textId="77777777" w:rsidTr="00F44802">
        <w:trPr>
          <w:jc w:val="center"/>
        </w:trPr>
        <w:tc>
          <w:tcPr>
            <w:tcW w:w="2273" w:type="dxa"/>
            <w:tcBorders>
              <w:top w:val="nil"/>
              <w:left w:val="single" w:sz="4" w:space="0" w:color="auto"/>
              <w:bottom w:val="single" w:sz="4" w:space="0" w:color="auto"/>
              <w:right w:val="single" w:sz="4" w:space="0" w:color="auto"/>
            </w:tcBorders>
          </w:tcPr>
          <w:p w14:paraId="42803DDF" w14:textId="77777777" w:rsidR="003B27F8" w:rsidRPr="003B27F8" w:rsidRDefault="003B27F8" w:rsidP="003B27F8">
            <w:pPr>
              <w:rPr>
                <w:sz w:val="20"/>
                <w:szCs w:val="20"/>
              </w:rPr>
            </w:pPr>
            <w:r w:rsidRPr="003B27F8">
              <w:rPr>
                <w:sz w:val="20"/>
                <w:szCs w:val="20"/>
              </w:rPr>
              <w:t>Lana sucia</w:t>
            </w:r>
          </w:p>
        </w:tc>
        <w:tc>
          <w:tcPr>
            <w:tcW w:w="1515" w:type="dxa"/>
            <w:tcBorders>
              <w:top w:val="nil"/>
              <w:left w:val="single" w:sz="4" w:space="0" w:color="auto"/>
              <w:bottom w:val="single" w:sz="4" w:space="0" w:color="auto"/>
              <w:right w:val="single" w:sz="4" w:space="0" w:color="auto"/>
            </w:tcBorders>
          </w:tcPr>
          <w:p w14:paraId="4CD26815" w14:textId="77777777" w:rsidR="003B27F8" w:rsidRPr="003B27F8" w:rsidRDefault="003B27F8" w:rsidP="003B27F8">
            <w:pPr>
              <w:ind w:right="227"/>
              <w:jc w:val="right"/>
              <w:rPr>
                <w:sz w:val="20"/>
                <w:szCs w:val="20"/>
              </w:rPr>
            </w:pPr>
            <w:r w:rsidRPr="003B27F8">
              <w:rPr>
                <w:sz w:val="20"/>
                <w:szCs w:val="20"/>
              </w:rPr>
              <w:t>5 084</w:t>
            </w:r>
          </w:p>
        </w:tc>
        <w:tc>
          <w:tcPr>
            <w:tcW w:w="1453" w:type="dxa"/>
            <w:tcBorders>
              <w:top w:val="nil"/>
              <w:left w:val="single" w:sz="4" w:space="0" w:color="auto"/>
              <w:bottom w:val="single" w:sz="4" w:space="0" w:color="auto"/>
              <w:right w:val="single" w:sz="4" w:space="0" w:color="auto"/>
            </w:tcBorders>
          </w:tcPr>
          <w:p w14:paraId="3EEFBFD3" w14:textId="77777777" w:rsidR="003B27F8" w:rsidRPr="003B27F8" w:rsidRDefault="003B27F8" w:rsidP="003B27F8">
            <w:pPr>
              <w:ind w:right="227"/>
              <w:jc w:val="right"/>
              <w:rPr>
                <w:sz w:val="20"/>
                <w:szCs w:val="20"/>
              </w:rPr>
            </w:pPr>
            <w:r w:rsidRPr="003B27F8">
              <w:rPr>
                <w:sz w:val="20"/>
                <w:szCs w:val="20"/>
              </w:rPr>
              <w:t>46</w:t>
            </w:r>
          </w:p>
        </w:tc>
        <w:tc>
          <w:tcPr>
            <w:tcW w:w="1440" w:type="dxa"/>
            <w:tcBorders>
              <w:top w:val="nil"/>
              <w:left w:val="single" w:sz="4" w:space="0" w:color="auto"/>
              <w:bottom w:val="single" w:sz="4" w:space="0" w:color="auto"/>
              <w:right w:val="single" w:sz="4" w:space="0" w:color="auto"/>
            </w:tcBorders>
          </w:tcPr>
          <w:p w14:paraId="0E9EE576" w14:textId="77777777" w:rsidR="003B27F8" w:rsidRPr="003B27F8" w:rsidRDefault="003B27F8" w:rsidP="003B27F8">
            <w:pPr>
              <w:ind w:right="227"/>
              <w:jc w:val="right"/>
              <w:rPr>
                <w:sz w:val="20"/>
                <w:szCs w:val="20"/>
              </w:rPr>
            </w:pPr>
            <w:r w:rsidRPr="003B27F8">
              <w:rPr>
                <w:sz w:val="20"/>
                <w:szCs w:val="20"/>
              </w:rPr>
              <w:t>54</w:t>
            </w:r>
          </w:p>
        </w:tc>
        <w:tc>
          <w:tcPr>
            <w:tcW w:w="1080" w:type="dxa"/>
            <w:tcBorders>
              <w:top w:val="nil"/>
              <w:left w:val="single" w:sz="4" w:space="0" w:color="auto"/>
              <w:bottom w:val="single" w:sz="4" w:space="0" w:color="auto"/>
              <w:right w:val="single" w:sz="4" w:space="0" w:color="auto"/>
            </w:tcBorders>
          </w:tcPr>
          <w:p w14:paraId="00D59140" w14:textId="77777777" w:rsidR="003B27F8" w:rsidRPr="003B27F8" w:rsidRDefault="003B27F8" w:rsidP="003B27F8">
            <w:pPr>
              <w:ind w:right="284"/>
              <w:jc w:val="right"/>
              <w:rPr>
                <w:sz w:val="20"/>
                <w:szCs w:val="20"/>
              </w:rPr>
            </w:pPr>
            <w:r w:rsidRPr="003B27F8">
              <w:rPr>
                <w:sz w:val="20"/>
                <w:szCs w:val="20"/>
              </w:rPr>
              <w:t>18.2</w:t>
            </w:r>
          </w:p>
        </w:tc>
        <w:tc>
          <w:tcPr>
            <w:tcW w:w="1080" w:type="dxa"/>
            <w:tcBorders>
              <w:top w:val="nil"/>
              <w:left w:val="single" w:sz="4" w:space="0" w:color="auto"/>
              <w:bottom w:val="single" w:sz="4" w:space="0" w:color="auto"/>
              <w:right w:val="single" w:sz="4" w:space="0" w:color="auto"/>
            </w:tcBorders>
          </w:tcPr>
          <w:p w14:paraId="1C31EC44" w14:textId="77777777" w:rsidR="003B27F8" w:rsidRPr="003B27F8" w:rsidRDefault="003B27F8" w:rsidP="003B27F8">
            <w:pPr>
              <w:ind w:right="284"/>
              <w:jc w:val="right"/>
              <w:rPr>
                <w:sz w:val="20"/>
                <w:szCs w:val="20"/>
              </w:rPr>
            </w:pPr>
            <w:r w:rsidRPr="003B27F8">
              <w:rPr>
                <w:sz w:val="20"/>
                <w:szCs w:val="20"/>
              </w:rPr>
              <w:t>1.1</w:t>
            </w:r>
          </w:p>
        </w:tc>
      </w:tr>
      <w:tr w:rsidR="003B27F8" w:rsidRPr="003B27F8" w14:paraId="1A017CD2" w14:textId="77777777" w:rsidTr="00F44802">
        <w:trPr>
          <w:jc w:val="center"/>
        </w:trPr>
        <w:tc>
          <w:tcPr>
            <w:tcW w:w="8841" w:type="dxa"/>
            <w:gridSpan w:val="6"/>
            <w:tcBorders>
              <w:top w:val="single" w:sz="4" w:space="0" w:color="auto"/>
              <w:left w:val="nil"/>
              <w:bottom w:val="nil"/>
              <w:right w:val="nil"/>
            </w:tcBorders>
          </w:tcPr>
          <w:p w14:paraId="6AA52224" w14:textId="77777777" w:rsidR="003B27F8" w:rsidRPr="003B27F8" w:rsidRDefault="003B27F8" w:rsidP="003B27F8">
            <w:pPr>
              <w:ind w:left="510" w:hanging="510"/>
              <w:jc w:val="both"/>
              <w:rPr>
                <w:sz w:val="20"/>
                <w:szCs w:val="20"/>
              </w:rPr>
            </w:pPr>
            <w:r w:rsidRPr="003B27F8">
              <w:rPr>
                <w:sz w:val="20"/>
                <w:szCs w:val="20"/>
              </w:rPr>
              <w:t>Nota: Los totales de leche y carne en canal podrían no coincidir con la suma de las cifras por producto debido a que los decimales están redondeados a enteros.</w:t>
            </w:r>
          </w:p>
          <w:p w14:paraId="5C1BAF52" w14:textId="77777777" w:rsidR="003B27F8" w:rsidRPr="003B27F8" w:rsidRDefault="003B27F8" w:rsidP="003B27F8">
            <w:pPr>
              <w:jc w:val="both"/>
              <w:rPr>
                <w:sz w:val="20"/>
                <w:szCs w:val="20"/>
              </w:rPr>
            </w:pPr>
            <w:r w:rsidRPr="003B27F8">
              <w:rPr>
                <w:sz w:val="20"/>
                <w:szCs w:val="20"/>
              </w:rPr>
              <w:t>*   Cifras preliminares.</w:t>
            </w:r>
          </w:p>
          <w:p w14:paraId="2D21BA60" w14:textId="77777777" w:rsidR="003B27F8" w:rsidRPr="003B27F8" w:rsidRDefault="003B27F8" w:rsidP="003B27F8">
            <w:pPr>
              <w:jc w:val="both"/>
              <w:rPr>
                <w:sz w:val="20"/>
                <w:szCs w:val="20"/>
              </w:rPr>
            </w:pPr>
            <w:r w:rsidRPr="003B27F8">
              <w:rPr>
                <w:sz w:val="20"/>
                <w:szCs w:val="20"/>
                <w:u w:val="single"/>
              </w:rPr>
              <w:t>1</w:t>
            </w:r>
            <w:r w:rsidRPr="003B27F8">
              <w:rPr>
                <w:sz w:val="20"/>
                <w:szCs w:val="20"/>
              </w:rPr>
              <w:t>/  Se refiere a pollo, gallina ligera y pesada que ha finalizado su ciclo productivo.</w:t>
            </w:r>
          </w:p>
          <w:p w14:paraId="01F7C9B3" w14:textId="77777777" w:rsidR="003B27F8" w:rsidRPr="003B27F8" w:rsidRDefault="003B27F8" w:rsidP="003B27F8">
            <w:pPr>
              <w:ind w:left="936" w:right="340" w:hanging="936"/>
              <w:jc w:val="both"/>
              <w:rPr>
                <w:sz w:val="20"/>
                <w:szCs w:val="20"/>
              </w:rPr>
            </w:pPr>
            <w:r w:rsidRPr="003B27F8">
              <w:rPr>
                <w:sz w:val="20"/>
                <w:szCs w:val="20"/>
              </w:rPr>
              <w:t>FUENTE: Servicio de Información Agroalimentaria y Pesquera (SIAP) con información de las Delegaciones de la SAGARPA.</w:t>
            </w:r>
          </w:p>
        </w:tc>
      </w:tr>
      <w:bookmarkEnd w:id="7"/>
      <w:bookmarkEnd w:id="8"/>
      <w:bookmarkEnd w:id="9"/>
    </w:tbl>
    <w:p w14:paraId="461E3EE3" w14:textId="77777777" w:rsidR="003B27F8" w:rsidRPr="003B27F8" w:rsidRDefault="003B27F8" w:rsidP="003B27F8">
      <w:pPr>
        <w:spacing w:after="120"/>
        <w:ind w:right="-159"/>
        <w:jc w:val="both"/>
        <w:rPr>
          <w:b/>
          <w:sz w:val="20"/>
          <w:szCs w:val="20"/>
        </w:rPr>
      </w:pPr>
    </w:p>
    <w:p w14:paraId="115F5698" w14:textId="77777777" w:rsidR="003B27F8" w:rsidRPr="003B27F8" w:rsidRDefault="003B27F8" w:rsidP="003B27F8">
      <w:pPr>
        <w:ind w:right="-159"/>
        <w:jc w:val="both"/>
        <w:rPr>
          <w:b/>
          <w:sz w:val="20"/>
          <w:szCs w:val="20"/>
        </w:rPr>
      </w:pPr>
      <w:r w:rsidRPr="003B27F8">
        <w:rPr>
          <w:b/>
          <w:sz w:val="20"/>
          <w:szCs w:val="20"/>
        </w:rPr>
        <w:t xml:space="preserve">Fuente de información: </w:t>
      </w:r>
    </w:p>
    <w:p w14:paraId="1189CDAD" w14:textId="77777777" w:rsidR="003B27F8" w:rsidRPr="00AF4B25" w:rsidRDefault="0045651A" w:rsidP="00AF4B25">
      <w:pPr>
        <w:spacing w:after="720" w:line="360" w:lineRule="auto"/>
        <w:ind w:right="-159"/>
        <w:jc w:val="both"/>
        <w:rPr>
          <w:color w:val="0000FF"/>
          <w:sz w:val="20"/>
          <w:szCs w:val="20"/>
          <w:lang w:val="es-ES"/>
        </w:rPr>
      </w:pPr>
      <w:hyperlink r:id="rId38" w:history="1">
        <w:r w:rsidR="003B27F8" w:rsidRPr="00AF4B25">
          <w:rPr>
            <w:color w:val="0000FF"/>
            <w:sz w:val="20"/>
            <w:szCs w:val="20"/>
            <w:u w:val="single"/>
          </w:rPr>
          <w:t>http://www.siap.gob.mx/ganaderia-avance-comparativo/</w:t>
        </w:r>
      </w:hyperlink>
      <w:r w:rsidR="003B27F8" w:rsidRPr="00AF4B25">
        <w:rPr>
          <w:color w:val="0000FF"/>
          <w:sz w:val="20"/>
          <w:szCs w:val="20"/>
        </w:rPr>
        <w:t xml:space="preserve"> </w:t>
      </w:r>
    </w:p>
    <w:bookmarkEnd w:id="3"/>
    <w:bookmarkEnd w:id="4"/>
    <w:p w14:paraId="2988EF13" w14:textId="77777777" w:rsidR="00DF468F" w:rsidRPr="0039592B" w:rsidRDefault="00DF468F" w:rsidP="008B714D">
      <w:pPr>
        <w:spacing w:after="360" w:line="360" w:lineRule="auto"/>
        <w:ind w:right="-159"/>
        <w:jc w:val="both"/>
        <w:rPr>
          <w:b/>
          <w:color w:val="0000FF"/>
          <w:sz w:val="28"/>
          <w:szCs w:val="28"/>
        </w:rPr>
      </w:pPr>
      <w:r w:rsidRPr="0039592B">
        <w:rPr>
          <w:b/>
          <w:color w:val="0000FF"/>
          <w:sz w:val="28"/>
          <w:szCs w:val="28"/>
        </w:rPr>
        <w:lastRenderedPageBreak/>
        <w:t>SECTOR SECUNDARIO</w:t>
      </w:r>
    </w:p>
    <w:p w14:paraId="57366E9D" w14:textId="525BB1D8" w:rsidR="007A186D" w:rsidRPr="007A186D" w:rsidRDefault="007A186D" w:rsidP="007A186D">
      <w:pPr>
        <w:spacing w:after="360" w:line="360" w:lineRule="auto"/>
        <w:ind w:right="-159"/>
        <w:jc w:val="both"/>
        <w:rPr>
          <w:b/>
          <w:sz w:val="28"/>
          <w:szCs w:val="28"/>
        </w:rPr>
      </w:pPr>
      <w:r w:rsidRPr="007A186D">
        <w:rPr>
          <w:b/>
          <w:sz w:val="28"/>
          <w:szCs w:val="28"/>
        </w:rPr>
        <w:t xml:space="preserve">Actividad Industrial en México, durante </w:t>
      </w:r>
      <w:r w:rsidR="00AC0105">
        <w:rPr>
          <w:b/>
          <w:sz w:val="28"/>
          <w:szCs w:val="28"/>
        </w:rPr>
        <w:t>f</w:t>
      </w:r>
      <w:r w:rsidRPr="007A186D">
        <w:rPr>
          <w:b/>
          <w:sz w:val="28"/>
          <w:szCs w:val="28"/>
        </w:rPr>
        <w:t>ebrero de 2015 (INEGI)</w:t>
      </w:r>
    </w:p>
    <w:p w14:paraId="5E3E5719" w14:textId="77777777" w:rsidR="007A186D" w:rsidRPr="007A186D" w:rsidRDefault="007A186D" w:rsidP="007A186D">
      <w:pPr>
        <w:spacing w:after="360" w:line="360" w:lineRule="auto"/>
        <w:ind w:right="-159"/>
        <w:jc w:val="both"/>
        <w:rPr>
          <w:rFonts w:eastAsia="Calibri"/>
          <w:sz w:val="26"/>
          <w:szCs w:val="26"/>
          <w:lang w:eastAsia="en-US"/>
        </w:rPr>
      </w:pPr>
      <w:r w:rsidRPr="007A186D">
        <w:rPr>
          <w:rFonts w:eastAsia="Calibri"/>
          <w:sz w:val="26"/>
          <w:szCs w:val="26"/>
          <w:lang w:eastAsia="en-US"/>
        </w:rPr>
        <w:t>El 10 de abril de 2015, el Instituto Nacional de Estadística y Geografía (INEGI) dio a conocer la “Información Oportuna sobre la Actividad Industrial en México durante febrero de 2015”, a continuación se presenta la información.</w:t>
      </w:r>
    </w:p>
    <w:tbl>
      <w:tblPr>
        <w:tblStyle w:val="Tablaconcuadrcula"/>
        <w:tblW w:w="0" w:type="auto"/>
        <w:jc w:val="center"/>
        <w:tblLook w:val="04A0" w:firstRow="1" w:lastRow="0" w:firstColumn="1" w:lastColumn="0" w:noHBand="0" w:noVBand="1"/>
      </w:tblPr>
      <w:tblGrid>
        <w:gridCol w:w="3402"/>
        <w:gridCol w:w="1407"/>
        <w:gridCol w:w="1570"/>
      </w:tblGrid>
      <w:tr w:rsidR="007A186D" w:rsidRPr="007A186D" w14:paraId="05C8DE96" w14:textId="77777777" w:rsidTr="00835D95">
        <w:trPr>
          <w:jc w:val="center"/>
        </w:trPr>
        <w:tc>
          <w:tcPr>
            <w:tcW w:w="6379" w:type="dxa"/>
            <w:gridSpan w:val="3"/>
            <w:tcBorders>
              <w:top w:val="nil"/>
              <w:left w:val="nil"/>
              <w:right w:val="nil"/>
            </w:tcBorders>
          </w:tcPr>
          <w:p w14:paraId="18A040A9" w14:textId="77777777" w:rsidR="007A186D" w:rsidRPr="007A186D" w:rsidRDefault="007A186D" w:rsidP="007A186D">
            <w:pPr>
              <w:jc w:val="center"/>
              <w:rPr>
                <w:rFonts w:eastAsia="Calibri"/>
                <w:b/>
                <w:sz w:val="22"/>
                <w:szCs w:val="22"/>
                <w:lang w:val="es-ES_tradnl" w:eastAsia="en-US"/>
              </w:rPr>
            </w:pPr>
            <w:r w:rsidRPr="007A186D">
              <w:rPr>
                <w:rFonts w:eastAsia="Calibri"/>
                <w:b/>
                <w:sz w:val="22"/>
                <w:szCs w:val="22"/>
                <w:lang w:val="es-ES_tradnl" w:eastAsia="en-US"/>
              </w:rPr>
              <w:t>PRODUCCIÓN INDUSTRIAL A FEBRERO DE 2015</w:t>
            </w:r>
          </w:p>
          <w:p w14:paraId="56DD606B" w14:textId="77777777" w:rsidR="007A186D" w:rsidRPr="007A186D" w:rsidRDefault="007A186D" w:rsidP="007A186D">
            <w:pPr>
              <w:jc w:val="center"/>
              <w:rPr>
                <w:rFonts w:eastAsia="Calibri"/>
                <w:b/>
                <w:sz w:val="22"/>
                <w:szCs w:val="22"/>
                <w:lang w:val="es-ES_tradnl" w:eastAsia="en-US"/>
              </w:rPr>
            </w:pPr>
            <w:r w:rsidRPr="007A186D">
              <w:rPr>
                <w:rFonts w:eastAsia="Calibri"/>
                <w:b/>
                <w:sz w:val="22"/>
                <w:szCs w:val="22"/>
                <w:lang w:val="es-ES_tradnl" w:eastAsia="en-US"/>
              </w:rPr>
              <w:t>Cifras desestacionalizadas</w:t>
            </w:r>
          </w:p>
        </w:tc>
      </w:tr>
      <w:tr w:rsidR="007A186D" w:rsidRPr="007A186D" w14:paraId="030B748E" w14:textId="77777777" w:rsidTr="00835D95">
        <w:trPr>
          <w:jc w:val="center"/>
        </w:trPr>
        <w:tc>
          <w:tcPr>
            <w:tcW w:w="3402" w:type="dxa"/>
            <w:tcBorders>
              <w:bottom w:val="single" w:sz="4" w:space="0" w:color="auto"/>
            </w:tcBorders>
            <w:vAlign w:val="center"/>
          </w:tcPr>
          <w:p w14:paraId="060FE1AF" w14:textId="77777777" w:rsidR="007A186D" w:rsidRPr="007A186D" w:rsidRDefault="007A186D" w:rsidP="00E6455F">
            <w:pPr>
              <w:jc w:val="center"/>
              <w:rPr>
                <w:rFonts w:eastAsia="Calibri"/>
                <w:b/>
                <w:sz w:val="20"/>
                <w:szCs w:val="20"/>
                <w:lang w:val="es-ES_tradnl" w:eastAsia="en-US"/>
              </w:rPr>
            </w:pPr>
            <w:r w:rsidRPr="007A186D">
              <w:rPr>
                <w:rFonts w:eastAsia="Calibri"/>
                <w:b/>
                <w:sz w:val="20"/>
                <w:szCs w:val="20"/>
                <w:lang w:val="es-ES_tradnl" w:eastAsia="en-US"/>
              </w:rPr>
              <w:t>Concepto</w:t>
            </w:r>
          </w:p>
        </w:tc>
        <w:tc>
          <w:tcPr>
            <w:tcW w:w="1407" w:type="dxa"/>
            <w:tcBorders>
              <w:bottom w:val="single" w:sz="4" w:space="0" w:color="auto"/>
            </w:tcBorders>
          </w:tcPr>
          <w:p w14:paraId="2A51AB1A" w14:textId="77777777" w:rsidR="007A186D" w:rsidRPr="007A186D" w:rsidRDefault="007A186D" w:rsidP="007A186D">
            <w:pPr>
              <w:jc w:val="center"/>
              <w:rPr>
                <w:rFonts w:eastAsia="Calibri"/>
                <w:b/>
                <w:sz w:val="20"/>
                <w:szCs w:val="20"/>
                <w:lang w:val="es-ES_tradnl" w:eastAsia="en-US"/>
              </w:rPr>
            </w:pPr>
            <w:r w:rsidRPr="007A186D">
              <w:rPr>
                <w:rFonts w:eastAsia="Calibri"/>
                <w:b/>
                <w:sz w:val="20"/>
                <w:szCs w:val="20"/>
                <w:lang w:val="es-ES_tradnl" w:eastAsia="en-US"/>
              </w:rPr>
              <w:t>Variación % respecto al mes previo</w:t>
            </w:r>
          </w:p>
        </w:tc>
        <w:tc>
          <w:tcPr>
            <w:tcW w:w="1570" w:type="dxa"/>
            <w:tcBorders>
              <w:bottom w:val="single" w:sz="4" w:space="0" w:color="auto"/>
            </w:tcBorders>
          </w:tcPr>
          <w:p w14:paraId="1A1DC496" w14:textId="77777777" w:rsidR="007A186D" w:rsidRPr="007A186D" w:rsidRDefault="007A186D" w:rsidP="007A186D">
            <w:pPr>
              <w:jc w:val="center"/>
              <w:rPr>
                <w:rFonts w:eastAsia="Calibri"/>
                <w:b/>
                <w:sz w:val="20"/>
                <w:szCs w:val="20"/>
                <w:lang w:val="es-ES_tradnl" w:eastAsia="en-US"/>
              </w:rPr>
            </w:pPr>
            <w:r w:rsidRPr="007A186D">
              <w:rPr>
                <w:rFonts w:eastAsia="Calibri"/>
                <w:b/>
                <w:sz w:val="20"/>
                <w:szCs w:val="20"/>
                <w:lang w:val="es-ES_tradnl" w:eastAsia="en-US"/>
              </w:rPr>
              <w:t>Variación % respecto a igual mes de 2014</w:t>
            </w:r>
          </w:p>
        </w:tc>
      </w:tr>
      <w:tr w:rsidR="007A186D" w:rsidRPr="007A186D" w14:paraId="1B4D2DFA" w14:textId="77777777" w:rsidTr="00835D95">
        <w:trPr>
          <w:jc w:val="center"/>
        </w:trPr>
        <w:tc>
          <w:tcPr>
            <w:tcW w:w="3402" w:type="dxa"/>
            <w:tcBorders>
              <w:bottom w:val="nil"/>
            </w:tcBorders>
          </w:tcPr>
          <w:p w14:paraId="698318B1" w14:textId="77777777" w:rsidR="007A186D" w:rsidRPr="007A186D" w:rsidRDefault="007A186D" w:rsidP="007A186D">
            <w:pPr>
              <w:jc w:val="both"/>
              <w:rPr>
                <w:rFonts w:eastAsia="Calibri"/>
                <w:b/>
                <w:sz w:val="20"/>
                <w:szCs w:val="20"/>
                <w:lang w:val="es-ES_tradnl" w:eastAsia="en-US"/>
              </w:rPr>
            </w:pPr>
            <w:r w:rsidRPr="007A186D">
              <w:rPr>
                <w:rFonts w:eastAsia="Calibri"/>
                <w:b/>
                <w:sz w:val="20"/>
                <w:szCs w:val="20"/>
                <w:lang w:val="es-ES_tradnl" w:eastAsia="en-US"/>
              </w:rPr>
              <w:t>Actividad Industrial Total</w:t>
            </w:r>
          </w:p>
        </w:tc>
        <w:tc>
          <w:tcPr>
            <w:tcW w:w="1407" w:type="dxa"/>
            <w:tcBorders>
              <w:bottom w:val="nil"/>
            </w:tcBorders>
          </w:tcPr>
          <w:p w14:paraId="6557257A" w14:textId="77777777" w:rsidR="007A186D" w:rsidRPr="007A186D" w:rsidRDefault="007A186D" w:rsidP="007A186D">
            <w:pPr>
              <w:ind w:right="510"/>
              <w:jc w:val="right"/>
              <w:rPr>
                <w:rFonts w:eastAsia="Calibri"/>
                <w:b/>
                <w:sz w:val="20"/>
                <w:szCs w:val="20"/>
                <w:lang w:val="es-ES_tradnl" w:eastAsia="en-US"/>
              </w:rPr>
            </w:pPr>
            <w:r w:rsidRPr="007A186D">
              <w:rPr>
                <w:rFonts w:eastAsia="Calibri"/>
                <w:b/>
                <w:sz w:val="20"/>
                <w:szCs w:val="20"/>
                <w:lang w:val="es-ES_tradnl" w:eastAsia="en-US"/>
              </w:rPr>
              <w:t>0.2</w:t>
            </w:r>
          </w:p>
        </w:tc>
        <w:tc>
          <w:tcPr>
            <w:tcW w:w="1570" w:type="dxa"/>
            <w:tcBorders>
              <w:bottom w:val="nil"/>
            </w:tcBorders>
          </w:tcPr>
          <w:p w14:paraId="5B45AEBB" w14:textId="77777777" w:rsidR="007A186D" w:rsidRPr="007A186D" w:rsidRDefault="007A186D" w:rsidP="007A186D">
            <w:pPr>
              <w:ind w:right="567"/>
              <w:jc w:val="right"/>
              <w:rPr>
                <w:rFonts w:eastAsia="Calibri"/>
                <w:b/>
                <w:sz w:val="20"/>
                <w:szCs w:val="20"/>
                <w:lang w:val="es-ES_tradnl" w:eastAsia="en-US"/>
              </w:rPr>
            </w:pPr>
            <w:r w:rsidRPr="007A186D">
              <w:rPr>
                <w:rFonts w:eastAsia="Calibri"/>
                <w:b/>
                <w:sz w:val="20"/>
                <w:szCs w:val="20"/>
                <w:lang w:val="es-ES_tradnl" w:eastAsia="en-US"/>
              </w:rPr>
              <w:t>1.6</w:t>
            </w:r>
          </w:p>
        </w:tc>
      </w:tr>
      <w:tr w:rsidR="007A186D" w:rsidRPr="007A186D" w14:paraId="76B57B9B" w14:textId="77777777" w:rsidTr="00835D95">
        <w:trPr>
          <w:jc w:val="center"/>
        </w:trPr>
        <w:tc>
          <w:tcPr>
            <w:tcW w:w="3402" w:type="dxa"/>
            <w:tcBorders>
              <w:top w:val="nil"/>
              <w:bottom w:val="nil"/>
            </w:tcBorders>
          </w:tcPr>
          <w:p w14:paraId="7AE994D3"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Minería</w:t>
            </w:r>
          </w:p>
        </w:tc>
        <w:tc>
          <w:tcPr>
            <w:tcW w:w="1407" w:type="dxa"/>
            <w:tcBorders>
              <w:top w:val="nil"/>
              <w:bottom w:val="nil"/>
            </w:tcBorders>
          </w:tcPr>
          <w:p w14:paraId="6DFF6E04" w14:textId="77777777" w:rsidR="007A186D" w:rsidRPr="007A186D" w:rsidRDefault="007A186D" w:rsidP="007A186D">
            <w:pPr>
              <w:ind w:right="510"/>
              <w:jc w:val="right"/>
              <w:rPr>
                <w:rFonts w:eastAsia="Calibri"/>
                <w:sz w:val="20"/>
                <w:szCs w:val="20"/>
                <w:lang w:val="es-ES_tradnl" w:eastAsia="en-US"/>
              </w:rPr>
            </w:pPr>
            <w:r w:rsidRPr="007A186D">
              <w:rPr>
                <w:rFonts w:eastAsia="Calibri"/>
                <w:sz w:val="20"/>
                <w:szCs w:val="20"/>
                <w:lang w:val="es-ES_tradnl" w:eastAsia="en-US"/>
              </w:rPr>
              <w:t>1.5</w:t>
            </w:r>
          </w:p>
        </w:tc>
        <w:tc>
          <w:tcPr>
            <w:tcW w:w="1570" w:type="dxa"/>
            <w:tcBorders>
              <w:top w:val="nil"/>
              <w:bottom w:val="nil"/>
            </w:tcBorders>
          </w:tcPr>
          <w:p w14:paraId="7B2C89F5" w14:textId="77777777" w:rsidR="007A186D" w:rsidRPr="007A186D" w:rsidRDefault="007A186D" w:rsidP="007A186D">
            <w:pPr>
              <w:ind w:right="567"/>
              <w:jc w:val="right"/>
              <w:rPr>
                <w:rFonts w:eastAsia="Calibri"/>
                <w:sz w:val="20"/>
                <w:szCs w:val="20"/>
                <w:lang w:val="es-ES_tradnl" w:eastAsia="en-US"/>
              </w:rPr>
            </w:pPr>
            <w:r w:rsidRPr="007A186D">
              <w:rPr>
                <w:rFonts w:eastAsia="Calibri"/>
                <w:sz w:val="20"/>
                <w:szCs w:val="20"/>
                <w:lang w:val="es-ES_tradnl" w:eastAsia="en-US"/>
              </w:rPr>
              <w:t>-3.9</w:t>
            </w:r>
          </w:p>
        </w:tc>
      </w:tr>
      <w:tr w:rsidR="007A186D" w:rsidRPr="007A186D" w14:paraId="6524081B" w14:textId="77777777" w:rsidTr="00835D95">
        <w:trPr>
          <w:jc w:val="center"/>
        </w:trPr>
        <w:tc>
          <w:tcPr>
            <w:tcW w:w="3402" w:type="dxa"/>
            <w:tcBorders>
              <w:top w:val="nil"/>
              <w:bottom w:val="nil"/>
            </w:tcBorders>
          </w:tcPr>
          <w:p w14:paraId="2B53D009"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Generación, transmisión y distribución de energía eléctrica, suministro de agua y de gas por ductos al consumidor final</w:t>
            </w:r>
          </w:p>
        </w:tc>
        <w:tc>
          <w:tcPr>
            <w:tcW w:w="1407" w:type="dxa"/>
            <w:tcBorders>
              <w:top w:val="nil"/>
              <w:bottom w:val="nil"/>
            </w:tcBorders>
            <w:vAlign w:val="center"/>
          </w:tcPr>
          <w:p w14:paraId="4960C44F" w14:textId="77777777" w:rsidR="007A186D" w:rsidRPr="007A186D" w:rsidRDefault="007A186D" w:rsidP="007A186D">
            <w:pPr>
              <w:ind w:right="510"/>
              <w:jc w:val="right"/>
              <w:rPr>
                <w:rFonts w:eastAsia="Calibri"/>
                <w:sz w:val="20"/>
                <w:szCs w:val="20"/>
                <w:lang w:val="es-ES_tradnl" w:eastAsia="en-US"/>
              </w:rPr>
            </w:pPr>
            <w:r w:rsidRPr="007A186D">
              <w:rPr>
                <w:rFonts w:eastAsia="Calibri"/>
                <w:sz w:val="20"/>
                <w:szCs w:val="20"/>
                <w:lang w:val="es-ES_tradnl" w:eastAsia="en-US"/>
              </w:rPr>
              <w:t>0.1</w:t>
            </w:r>
          </w:p>
        </w:tc>
        <w:tc>
          <w:tcPr>
            <w:tcW w:w="1570" w:type="dxa"/>
            <w:tcBorders>
              <w:top w:val="nil"/>
              <w:bottom w:val="nil"/>
            </w:tcBorders>
            <w:vAlign w:val="center"/>
          </w:tcPr>
          <w:p w14:paraId="2057D8C7" w14:textId="77777777" w:rsidR="007A186D" w:rsidRPr="007A186D" w:rsidRDefault="007A186D" w:rsidP="007A186D">
            <w:pPr>
              <w:ind w:right="567"/>
              <w:jc w:val="right"/>
              <w:rPr>
                <w:rFonts w:eastAsia="Calibri"/>
                <w:sz w:val="20"/>
                <w:szCs w:val="20"/>
                <w:lang w:val="es-ES_tradnl" w:eastAsia="en-US"/>
              </w:rPr>
            </w:pPr>
            <w:r w:rsidRPr="007A186D">
              <w:rPr>
                <w:rFonts w:eastAsia="Calibri"/>
                <w:sz w:val="20"/>
                <w:szCs w:val="20"/>
                <w:lang w:val="es-ES_tradnl" w:eastAsia="en-US"/>
              </w:rPr>
              <w:t>3.8</w:t>
            </w:r>
          </w:p>
        </w:tc>
      </w:tr>
      <w:tr w:rsidR="007A186D" w:rsidRPr="007A186D" w14:paraId="53A4D89A" w14:textId="77777777" w:rsidTr="00835D95">
        <w:trPr>
          <w:jc w:val="center"/>
        </w:trPr>
        <w:tc>
          <w:tcPr>
            <w:tcW w:w="3402" w:type="dxa"/>
            <w:tcBorders>
              <w:top w:val="nil"/>
              <w:bottom w:val="nil"/>
            </w:tcBorders>
          </w:tcPr>
          <w:p w14:paraId="3257EE64"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Construcción</w:t>
            </w:r>
          </w:p>
        </w:tc>
        <w:tc>
          <w:tcPr>
            <w:tcW w:w="1407" w:type="dxa"/>
            <w:tcBorders>
              <w:top w:val="nil"/>
              <w:bottom w:val="nil"/>
            </w:tcBorders>
          </w:tcPr>
          <w:p w14:paraId="72615275" w14:textId="77777777" w:rsidR="007A186D" w:rsidRPr="007A186D" w:rsidRDefault="007A186D" w:rsidP="007A186D">
            <w:pPr>
              <w:ind w:right="510"/>
              <w:jc w:val="right"/>
              <w:rPr>
                <w:rFonts w:eastAsia="Calibri"/>
                <w:sz w:val="20"/>
                <w:szCs w:val="20"/>
                <w:lang w:val="es-ES_tradnl" w:eastAsia="en-US"/>
              </w:rPr>
            </w:pPr>
            <w:r w:rsidRPr="007A186D">
              <w:rPr>
                <w:rFonts w:eastAsia="Calibri"/>
                <w:sz w:val="20"/>
                <w:szCs w:val="20"/>
                <w:lang w:val="es-ES_tradnl" w:eastAsia="en-US"/>
              </w:rPr>
              <w:t>-2.2</w:t>
            </w:r>
          </w:p>
        </w:tc>
        <w:tc>
          <w:tcPr>
            <w:tcW w:w="1570" w:type="dxa"/>
            <w:tcBorders>
              <w:top w:val="nil"/>
              <w:bottom w:val="nil"/>
            </w:tcBorders>
          </w:tcPr>
          <w:p w14:paraId="1AA5546F" w14:textId="77777777" w:rsidR="007A186D" w:rsidRPr="007A186D" w:rsidRDefault="007A186D" w:rsidP="007A186D">
            <w:pPr>
              <w:ind w:right="567"/>
              <w:jc w:val="right"/>
              <w:rPr>
                <w:rFonts w:eastAsia="Calibri"/>
                <w:sz w:val="20"/>
                <w:szCs w:val="20"/>
                <w:lang w:val="es-ES_tradnl" w:eastAsia="en-US"/>
              </w:rPr>
            </w:pPr>
            <w:r w:rsidRPr="007A186D">
              <w:rPr>
                <w:rFonts w:eastAsia="Calibri"/>
                <w:sz w:val="20"/>
                <w:szCs w:val="20"/>
                <w:lang w:val="es-ES_tradnl" w:eastAsia="en-US"/>
              </w:rPr>
              <w:t>1.4</w:t>
            </w:r>
          </w:p>
        </w:tc>
      </w:tr>
      <w:tr w:rsidR="007A186D" w:rsidRPr="007A186D" w14:paraId="2BA10408" w14:textId="77777777" w:rsidTr="00835D95">
        <w:trPr>
          <w:jc w:val="center"/>
        </w:trPr>
        <w:tc>
          <w:tcPr>
            <w:tcW w:w="3402" w:type="dxa"/>
            <w:tcBorders>
              <w:top w:val="nil"/>
              <w:bottom w:val="single" w:sz="4" w:space="0" w:color="auto"/>
            </w:tcBorders>
          </w:tcPr>
          <w:p w14:paraId="76166136"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Industrias Manufacturera</w:t>
            </w:r>
          </w:p>
        </w:tc>
        <w:tc>
          <w:tcPr>
            <w:tcW w:w="1407" w:type="dxa"/>
            <w:tcBorders>
              <w:top w:val="nil"/>
              <w:bottom w:val="single" w:sz="4" w:space="0" w:color="auto"/>
            </w:tcBorders>
          </w:tcPr>
          <w:p w14:paraId="539C4994" w14:textId="77777777" w:rsidR="007A186D" w:rsidRPr="007A186D" w:rsidRDefault="007A186D" w:rsidP="007A186D">
            <w:pPr>
              <w:ind w:right="510"/>
              <w:jc w:val="right"/>
              <w:rPr>
                <w:rFonts w:eastAsia="Calibri"/>
                <w:sz w:val="20"/>
                <w:szCs w:val="20"/>
                <w:lang w:val="es-ES_tradnl" w:eastAsia="en-US"/>
              </w:rPr>
            </w:pPr>
            <w:r w:rsidRPr="007A186D">
              <w:rPr>
                <w:rFonts w:eastAsia="Calibri"/>
                <w:sz w:val="20"/>
                <w:szCs w:val="20"/>
                <w:lang w:val="es-ES_tradnl" w:eastAsia="en-US"/>
              </w:rPr>
              <w:t>1.0</w:t>
            </w:r>
          </w:p>
        </w:tc>
        <w:tc>
          <w:tcPr>
            <w:tcW w:w="1570" w:type="dxa"/>
            <w:tcBorders>
              <w:top w:val="nil"/>
              <w:bottom w:val="single" w:sz="4" w:space="0" w:color="auto"/>
            </w:tcBorders>
          </w:tcPr>
          <w:p w14:paraId="2DBFA170" w14:textId="77777777" w:rsidR="007A186D" w:rsidRPr="007A186D" w:rsidRDefault="007A186D" w:rsidP="007A186D">
            <w:pPr>
              <w:ind w:right="567"/>
              <w:jc w:val="right"/>
              <w:rPr>
                <w:rFonts w:eastAsia="Calibri"/>
                <w:sz w:val="20"/>
                <w:szCs w:val="20"/>
                <w:lang w:val="es-ES_tradnl" w:eastAsia="en-US"/>
              </w:rPr>
            </w:pPr>
            <w:r w:rsidRPr="007A186D">
              <w:rPr>
                <w:rFonts w:eastAsia="Calibri"/>
                <w:sz w:val="20"/>
                <w:szCs w:val="20"/>
                <w:lang w:val="es-ES_tradnl" w:eastAsia="en-US"/>
              </w:rPr>
              <w:t>3.9</w:t>
            </w:r>
          </w:p>
        </w:tc>
      </w:tr>
      <w:tr w:rsidR="007A186D" w:rsidRPr="007A186D" w14:paraId="26D256D3" w14:textId="77777777" w:rsidTr="00835D95">
        <w:trPr>
          <w:jc w:val="center"/>
        </w:trPr>
        <w:tc>
          <w:tcPr>
            <w:tcW w:w="6379" w:type="dxa"/>
            <w:gridSpan w:val="3"/>
            <w:tcBorders>
              <w:left w:val="nil"/>
              <w:bottom w:val="nil"/>
              <w:right w:val="nil"/>
            </w:tcBorders>
          </w:tcPr>
          <w:p w14:paraId="5B245F2D" w14:textId="77777777" w:rsidR="007A186D" w:rsidRPr="007A186D" w:rsidRDefault="007A186D" w:rsidP="007A186D">
            <w:pPr>
              <w:ind w:left="510" w:hanging="510"/>
              <w:jc w:val="both"/>
              <w:rPr>
                <w:rFonts w:eastAsia="Calibri"/>
                <w:sz w:val="20"/>
                <w:szCs w:val="20"/>
                <w:lang w:val="es-ES_tradnl" w:eastAsia="en-US"/>
              </w:rPr>
            </w:pPr>
            <w:r w:rsidRPr="007A186D">
              <w:rPr>
                <w:rFonts w:eastAsia="Calibri"/>
                <w:sz w:val="20"/>
                <w:szCs w:val="20"/>
                <w:lang w:val="es-ES_tradnl" w:eastAsia="en-US"/>
              </w:rPr>
              <w:t>Nota: La serie desestacionalizada de la Actividad Industrial Total se calcula de manera independiente a la de sus componentes.</w:t>
            </w:r>
          </w:p>
          <w:p w14:paraId="1D642B00"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FUENTE: INEGI.</w:t>
            </w:r>
          </w:p>
        </w:tc>
      </w:tr>
    </w:tbl>
    <w:p w14:paraId="6E599C7D" w14:textId="77777777" w:rsidR="007A186D" w:rsidRPr="007A186D" w:rsidRDefault="007A186D" w:rsidP="007A186D">
      <w:pPr>
        <w:spacing w:after="360" w:line="360" w:lineRule="auto"/>
        <w:ind w:right="-159"/>
        <w:jc w:val="both"/>
        <w:rPr>
          <w:rFonts w:eastAsia="Calibri"/>
          <w:sz w:val="26"/>
          <w:szCs w:val="26"/>
          <w:lang w:eastAsia="en-US"/>
        </w:rPr>
      </w:pPr>
    </w:p>
    <w:p w14:paraId="7ED55E51" w14:textId="77777777" w:rsidR="007A186D" w:rsidRPr="007A186D" w:rsidRDefault="007A186D" w:rsidP="007A186D">
      <w:pPr>
        <w:spacing w:after="360" w:line="360" w:lineRule="auto"/>
        <w:ind w:right="-159"/>
        <w:jc w:val="both"/>
        <w:rPr>
          <w:rFonts w:eastAsia="Calibri"/>
          <w:b/>
          <w:sz w:val="26"/>
          <w:szCs w:val="26"/>
          <w:lang w:eastAsia="en-US"/>
        </w:rPr>
      </w:pPr>
      <w:r w:rsidRPr="007A186D">
        <w:rPr>
          <w:rFonts w:eastAsia="Calibri"/>
          <w:b/>
          <w:sz w:val="26"/>
          <w:szCs w:val="26"/>
          <w:lang w:eastAsia="en-US"/>
        </w:rPr>
        <w:t>Principales resultados</w:t>
      </w:r>
    </w:p>
    <w:p w14:paraId="5A9053D1" w14:textId="77777777" w:rsidR="007A186D" w:rsidRPr="007A186D" w:rsidRDefault="007A186D" w:rsidP="007A186D">
      <w:pPr>
        <w:spacing w:after="360" w:line="360" w:lineRule="auto"/>
        <w:ind w:right="-159"/>
        <w:jc w:val="both"/>
        <w:rPr>
          <w:rFonts w:eastAsia="Calibri"/>
          <w:sz w:val="26"/>
          <w:szCs w:val="26"/>
          <w:lang w:eastAsia="en-US"/>
        </w:rPr>
      </w:pPr>
      <w:r w:rsidRPr="007A186D">
        <w:rPr>
          <w:rFonts w:eastAsia="Calibri"/>
          <w:sz w:val="26"/>
          <w:szCs w:val="26"/>
          <w:lang w:eastAsia="en-US"/>
        </w:rPr>
        <w:t>Con base en cifras desestacionalizadas, la Actividad Industrial en México (Minería; Generación, transmisión y distribución de energía eléctrica, suministro de agua y de gas por ductos al consumidor final; Construcción, y las Industrias manufactureras) mostró una variación de 0.2% durante el segundo mes de 2015, respecto al mes previo.</w:t>
      </w:r>
    </w:p>
    <w:p w14:paraId="6DEC65A5" w14:textId="77777777" w:rsidR="007A186D" w:rsidRPr="007A186D" w:rsidRDefault="007A186D" w:rsidP="007A186D">
      <w:pPr>
        <w:spacing w:after="360" w:line="360" w:lineRule="auto"/>
        <w:ind w:right="-159"/>
        <w:jc w:val="center"/>
        <w:rPr>
          <w:rFonts w:eastAsia="Calibri"/>
          <w:sz w:val="26"/>
          <w:szCs w:val="26"/>
          <w:lang w:eastAsia="en-US"/>
        </w:rPr>
      </w:pPr>
      <w:r w:rsidRPr="007A186D">
        <w:rPr>
          <w:rFonts w:ascii="Calibri" w:eastAsia="Calibri" w:hAnsi="Calibri"/>
          <w:sz w:val="22"/>
          <w:szCs w:val="22"/>
          <w:lang w:eastAsia="en-US"/>
        </w:rPr>
        <w:lastRenderedPageBreak/>
        <w:fldChar w:fldCharType="begin"/>
      </w:r>
      <w:r w:rsidRPr="007A186D">
        <w:rPr>
          <w:rFonts w:ascii="Calibri" w:eastAsia="Calibri" w:hAnsi="Calibri"/>
          <w:sz w:val="22"/>
          <w:szCs w:val="22"/>
          <w:lang w:eastAsia="en-US"/>
        </w:rPr>
        <w:instrText xml:space="preserve"> LINK PowerPoint.Slide.8 "D:\\2015\\ABRIL\\GRÁFICAS POWER POINT\\22.- GRÁFICAS ACTIVIDAD INDUSTRIAL.pptx!268" "" \a \p </w:instrText>
      </w:r>
      <w:r w:rsidRPr="007A186D">
        <w:rPr>
          <w:rFonts w:ascii="Calibri" w:eastAsia="Calibri" w:hAnsi="Calibri"/>
          <w:sz w:val="22"/>
          <w:szCs w:val="22"/>
          <w:lang w:eastAsia="en-US"/>
        </w:rPr>
        <w:fldChar w:fldCharType="separate"/>
      </w:r>
      <w:r w:rsidRPr="007A186D">
        <w:rPr>
          <w:rFonts w:ascii="Calibri" w:eastAsia="Calibri" w:hAnsi="Calibri"/>
          <w:noProof/>
          <w:sz w:val="22"/>
          <w:szCs w:val="22"/>
          <w:lang w:eastAsia="es-MX"/>
        </w:rPr>
        <w:drawing>
          <wp:inline distT="0" distB="0" distL="0" distR="0" wp14:anchorId="55C62F83" wp14:editId="2F19994B">
            <wp:extent cx="4559935" cy="3200400"/>
            <wp:effectExtent l="0" t="0" r="0" b="0"/>
            <wp:docPr id="1722" name="Imagen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9" cstate="print">
                      <a:extLst>
                        <a:ext uri="{28A0092B-C50C-407E-A947-70E740481C1C}">
                          <a14:useLocalDpi xmlns:a14="http://schemas.microsoft.com/office/drawing/2010/main" val="0"/>
                        </a:ext>
                      </a:extLst>
                    </a:blip>
                    <a:srcRect l="10358" t="1761" r="14618" b="4784"/>
                    <a:stretch>
                      <a:fillRect/>
                    </a:stretch>
                  </pic:blipFill>
                  <pic:spPr bwMode="auto">
                    <a:xfrm>
                      <a:off x="0" y="0"/>
                      <a:ext cx="4559935" cy="3200400"/>
                    </a:xfrm>
                    <a:prstGeom prst="rect">
                      <a:avLst/>
                    </a:prstGeom>
                    <a:noFill/>
                    <a:ln>
                      <a:noFill/>
                    </a:ln>
                  </pic:spPr>
                </pic:pic>
              </a:graphicData>
            </a:graphic>
          </wp:inline>
        </w:drawing>
      </w:r>
      <w:r w:rsidRPr="007A186D">
        <w:rPr>
          <w:rFonts w:ascii="Calibri" w:eastAsia="Calibri" w:hAnsi="Calibri"/>
          <w:sz w:val="22"/>
          <w:szCs w:val="22"/>
          <w:lang w:eastAsia="en-US"/>
        </w:rPr>
        <w:fldChar w:fldCharType="end"/>
      </w:r>
    </w:p>
    <w:p w14:paraId="21045A49"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 xml:space="preserve">Por sector de actividad económica, la Minería avanzó 1.5%, las Industrias manufactureras 1.0% y la Generación, transmisión y distribución de energía eléctrica, suministro de agua y de gas por ductos al consumidor final 0.1%; mientras que la Construcción descendió 2.2% en el segundo mes de 2015 frente al mes precedente. </w:t>
      </w:r>
    </w:p>
    <w:p w14:paraId="3F08795D" w14:textId="77777777" w:rsidR="007A186D" w:rsidRPr="007A186D" w:rsidRDefault="007A186D" w:rsidP="007A186D">
      <w:pPr>
        <w:spacing w:after="160" w:line="259" w:lineRule="auto"/>
        <w:jc w:val="center"/>
        <w:rPr>
          <w:rFonts w:ascii="Calibri" w:eastAsia="Calibri" w:hAnsi="Calibri"/>
          <w:sz w:val="22"/>
          <w:szCs w:val="22"/>
          <w:lang w:eastAsia="en-US"/>
        </w:rPr>
      </w:pPr>
      <w:r w:rsidRPr="007A186D">
        <w:rPr>
          <w:rFonts w:ascii="Calibri" w:eastAsia="Calibri" w:hAnsi="Calibri"/>
          <w:sz w:val="22"/>
          <w:szCs w:val="22"/>
          <w:lang w:eastAsia="en-US"/>
        </w:rPr>
        <w:fldChar w:fldCharType="begin"/>
      </w:r>
      <w:r w:rsidRPr="007A186D">
        <w:rPr>
          <w:rFonts w:ascii="Calibri" w:eastAsia="Calibri" w:hAnsi="Calibri"/>
          <w:sz w:val="22"/>
          <w:szCs w:val="22"/>
          <w:lang w:eastAsia="en-US"/>
        </w:rPr>
        <w:instrText xml:space="preserve"> LINK PowerPoint.Slide.8 "D:\\2015\\ABRIL\\GRÁFICAS POWER POINT\\22.- GRÁFICAS ACTIVIDAD INDUSTRIAL.pptx!271" "" \a \p </w:instrText>
      </w:r>
      <w:r w:rsidRPr="007A186D">
        <w:rPr>
          <w:rFonts w:ascii="Calibri" w:eastAsia="Calibri" w:hAnsi="Calibri"/>
          <w:sz w:val="22"/>
          <w:szCs w:val="22"/>
          <w:lang w:eastAsia="en-US"/>
        </w:rPr>
        <w:fldChar w:fldCharType="separate"/>
      </w:r>
      <w:r w:rsidRPr="007A186D">
        <w:rPr>
          <w:rFonts w:ascii="Calibri" w:eastAsia="Calibri" w:hAnsi="Calibri"/>
          <w:noProof/>
          <w:sz w:val="22"/>
          <w:szCs w:val="22"/>
          <w:lang w:eastAsia="es-MX"/>
        </w:rPr>
        <w:drawing>
          <wp:inline distT="0" distB="0" distL="0" distR="0" wp14:anchorId="041AB0E2" wp14:editId="0F009164">
            <wp:extent cx="4646295" cy="3237230"/>
            <wp:effectExtent l="0" t="0" r="1905" b="1270"/>
            <wp:docPr id="1723" name="Imagen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0" cstate="print">
                      <a:extLst>
                        <a:ext uri="{28A0092B-C50C-407E-A947-70E740481C1C}">
                          <a14:useLocalDpi xmlns:a14="http://schemas.microsoft.com/office/drawing/2010/main" val="0"/>
                        </a:ext>
                      </a:extLst>
                    </a:blip>
                    <a:srcRect l="8655" t="1260" r="14900" b="4283"/>
                    <a:stretch>
                      <a:fillRect/>
                    </a:stretch>
                  </pic:blipFill>
                  <pic:spPr bwMode="auto">
                    <a:xfrm>
                      <a:off x="0" y="0"/>
                      <a:ext cx="4646295" cy="3237230"/>
                    </a:xfrm>
                    <a:prstGeom prst="rect">
                      <a:avLst/>
                    </a:prstGeom>
                    <a:noFill/>
                    <a:ln>
                      <a:noFill/>
                    </a:ln>
                  </pic:spPr>
                </pic:pic>
              </a:graphicData>
            </a:graphic>
          </wp:inline>
        </w:drawing>
      </w:r>
      <w:r w:rsidRPr="007A186D">
        <w:rPr>
          <w:rFonts w:ascii="Calibri" w:eastAsia="Calibri" w:hAnsi="Calibri"/>
          <w:sz w:val="22"/>
          <w:szCs w:val="22"/>
          <w:lang w:eastAsia="en-US"/>
        </w:rPr>
        <w:fldChar w:fldCharType="end"/>
      </w:r>
    </w:p>
    <w:p w14:paraId="4324AC44" w14:textId="77777777" w:rsidR="007A186D" w:rsidRPr="007A186D" w:rsidRDefault="007A186D" w:rsidP="007A186D">
      <w:pPr>
        <w:spacing w:after="160" w:line="259" w:lineRule="auto"/>
        <w:jc w:val="center"/>
        <w:rPr>
          <w:rFonts w:ascii="Calibri" w:eastAsia="Calibri" w:hAnsi="Calibri"/>
          <w:sz w:val="22"/>
          <w:szCs w:val="22"/>
          <w:lang w:eastAsia="en-US"/>
        </w:rPr>
      </w:pPr>
    </w:p>
    <w:p w14:paraId="70F1917B" w14:textId="77777777" w:rsidR="007A186D" w:rsidRPr="007A186D" w:rsidRDefault="007A186D" w:rsidP="007A186D">
      <w:pPr>
        <w:spacing w:after="160" w:line="259" w:lineRule="auto"/>
        <w:jc w:val="center"/>
        <w:rPr>
          <w:rFonts w:ascii="Calibri" w:eastAsia="Calibri" w:hAnsi="Calibri"/>
          <w:sz w:val="22"/>
          <w:szCs w:val="22"/>
          <w:lang w:eastAsia="en-US"/>
        </w:rPr>
      </w:pPr>
      <w:r w:rsidRPr="007A186D">
        <w:rPr>
          <w:rFonts w:ascii="Calibri" w:eastAsia="Calibri" w:hAnsi="Calibri"/>
          <w:sz w:val="22"/>
          <w:szCs w:val="22"/>
          <w:lang w:eastAsia="en-US"/>
        </w:rPr>
        <w:fldChar w:fldCharType="begin"/>
      </w:r>
      <w:r w:rsidRPr="007A186D">
        <w:rPr>
          <w:rFonts w:ascii="Calibri" w:eastAsia="Calibri" w:hAnsi="Calibri"/>
          <w:sz w:val="22"/>
          <w:szCs w:val="22"/>
          <w:lang w:eastAsia="en-US"/>
        </w:rPr>
        <w:instrText xml:space="preserve"> LINK PowerPoint.Slide.8 "D:\\2015\\ABRIL\\GRÁFICAS POWER POINT\\22.- GRÁFICAS ACTIVIDAD INDUSTRIAL.pptx!274" "" \a \p </w:instrText>
      </w:r>
      <w:r w:rsidRPr="007A186D">
        <w:rPr>
          <w:rFonts w:ascii="Calibri" w:eastAsia="Calibri" w:hAnsi="Calibri"/>
          <w:sz w:val="22"/>
          <w:szCs w:val="22"/>
          <w:lang w:eastAsia="en-US"/>
        </w:rPr>
        <w:fldChar w:fldCharType="separate"/>
      </w:r>
      <w:r w:rsidRPr="007A186D">
        <w:rPr>
          <w:rFonts w:ascii="Calibri" w:eastAsia="Calibri" w:hAnsi="Calibri"/>
          <w:noProof/>
          <w:sz w:val="22"/>
          <w:szCs w:val="22"/>
          <w:lang w:eastAsia="es-MX"/>
        </w:rPr>
        <w:drawing>
          <wp:inline distT="0" distB="0" distL="0" distR="0" wp14:anchorId="23D66127" wp14:editId="7259D501">
            <wp:extent cx="4596765" cy="3422650"/>
            <wp:effectExtent l="0" t="0" r="0" b="6350"/>
            <wp:docPr id="1724" name="Imagen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41" cstate="print">
                      <a:extLst>
                        <a:ext uri="{28A0092B-C50C-407E-A947-70E740481C1C}">
                          <a14:useLocalDpi xmlns:a14="http://schemas.microsoft.com/office/drawing/2010/main" val="0"/>
                        </a:ext>
                      </a:extLst>
                    </a:blip>
                    <a:srcRect l="10066" r="14326"/>
                    <a:stretch>
                      <a:fillRect/>
                    </a:stretch>
                  </pic:blipFill>
                  <pic:spPr bwMode="auto">
                    <a:xfrm>
                      <a:off x="0" y="0"/>
                      <a:ext cx="4596765" cy="3422650"/>
                    </a:xfrm>
                    <a:prstGeom prst="rect">
                      <a:avLst/>
                    </a:prstGeom>
                    <a:noFill/>
                    <a:ln>
                      <a:noFill/>
                    </a:ln>
                  </pic:spPr>
                </pic:pic>
              </a:graphicData>
            </a:graphic>
          </wp:inline>
        </w:drawing>
      </w:r>
      <w:r w:rsidRPr="007A186D">
        <w:rPr>
          <w:rFonts w:ascii="Calibri" w:eastAsia="Calibri" w:hAnsi="Calibri"/>
          <w:sz w:val="22"/>
          <w:szCs w:val="22"/>
          <w:lang w:eastAsia="en-US"/>
        </w:rPr>
        <w:fldChar w:fldCharType="end"/>
      </w:r>
    </w:p>
    <w:p w14:paraId="7E670148" w14:textId="77777777" w:rsidR="007A186D" w:rsidRPr="007A186D" w:rsidRDefault="007A186D" w:rsidP="007A186D">
      <w:pPr>
        <w:spacing w:after="160" w:line="259" w:lineRule="auto"/>
        <w:jc w:val="center"/>
        <w:rPr>
          <w:rFonts w:ascii="Calibri" w:eastAsia="Calibri" w:hAnsi="Calibri"/>
          <w:sz w:val="22"/>
          <w:szCs w:val="22"/>
          <w:lang w:eastAsia="en-US"/>
        </w:rPr>
      </w:pPr>
    </w:p>
    <w:p w14:paraId="50A9330C" w14:textId="77777777" w:rsidR="007A186D" w:rsidRPr="007A186D" w:rsidRDefault="007A186D" w:rsidP="007A186D">
      <w:pPr>
        <w:spacing w:after="160" w:line="259" w:lineRule="auto"/>
        <w:jc w:val="center"/>
        <w:rPr>
          <w:rFonts w:ascii="Calibri" w:eastAsia="Calibri" w:hAnsi="Calibri"/>
          <w:sz w:val="22"/>
          <w:szCs w:val="22"/>
          <w:lang w:eastAsia="en-US"/>
        </w:rPr>
      </w:pPr>
      <w:r w:rsidRPr="007A186D">
        <w:rPr>
          <w:rFonts w:ascii="Calibri" w:eastAsia="Calibri" w:hAnsi="Calibri"/>
          <w:sz w:val="22"/>
          <w:szCs w:val="22"/>
          <w:lang w:eastAsia="en-US"/>
        </w:rPr>
        <w:fldChar w:fldCharType="begin"/>
      </w:r>
      <w:r w:rsidRPr="007A186D">
        <w:rPr>
          <w:rFonts w:ascii="Calibri" w:eastAsia="Calibri" w:hAnsi="Calibri"/>
          <w:sz w:val="22"/>
          <w:szCs w:val="22"/>
          <w:lang w:eastAsia="en-US"/>
        </w:rPr>
        <w:instrText xml:space="preserve"> LINK PowerPoint.Slide.8 "D:\\2015\\ABRIL\\GRÁFICAS POWER POINT\\22.- GRÁFICAS ACTIVIDAD INDUSTRIAL.pptx!272" "" \a \p </w:instrText>
      </w:r>
      <w:r w:rsidRPr="007A186D">
        <w:rPr>
          <w:rFonts w:ascii="Calibri" w:eastAsia="Calibri" w:hAnsi="Calibri"/>
          <w:sz w:val="22"/>
          <w:szCs w:val="22"/>
          <w:lang w:eastAsia="en-US"/>
        </w:rPr>
        <w:fldChar w:fldCharType="separate"/>
      </w:r>
      <w:r w:rsidRPr="007A186D">
        <w:rPr>
          <w:rFonts w:ascii="Calibri" w:eastAsia="Calibri" w:hAnsi="Calibri"/>
          <w:noProof/>
          <w:sz w:val="22"/>
          <w:szCs w:val="22"/>
          <w:lang w:eastAsia="es-MX"/>
        </w:rPr>
        <w:drawing>
          <wp:inline distT="0" distB="0" distL="0" distR="0" wp14:anchorId="7B4D7E45" wp14:editId="66F22775">
            <wp:extent cx="4559935" cy="3256280"/>
            <wp:effectExtent l="0" t="0" r="0" b="1270"/>
            <wp:docPr id="1725" name="Imagen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42" cstate="print">
                      <a:extLst>
                        <a:ext uri="{28A0092B-C50C-407E-A947-70E740481C1C}">
                          <a14:useLocalDpi xmlns:a14="http://schemas.microsoft.com/office/drawing/2010/main" val="0"/>
                        </a:ext>
                      </a:extLst>
                    </a:blip>
                    <a:srcRect l="10077" r="14890" b="5043"/>
                    <a:stretch>
                      <a:fillRect/>
                    </a:stretch>
                  </pic:blipFill>
                  <pic:spPr bwMode="auto">
                    <a:xfrm>
                      <a:off x="0" y="0"/>
                      <a:ext cx="4559935" cy="3256280"/>
                    </a:xfrm>
                    <a:prstGeom prst="rect">
                      <a:avLst/>
                    </a:prstGeom>
                    <a:noFill/>
                    <a:ln>
                      <a:noFill/>
                    </a:ln>
                  </pic:spPr>
                </pic:pic>
              </a:graphicData>
            </a:graphic>
          </wp:inline>
        </w:drawing>
      </w:r>
      <w:r w:rsidRPr="007A186D">
        <w:rPr>
          <w:rFonts w:ascii="Calibri" w:eastAsia="Calibri" w:hAnsi="Calibri"/>
          <w:sz w:val="22"/>
          <w:szCs w:val="22"/>
          <w:lang w:eastAsia="en-US"/>
        </w:rPr>
        <w:fldChar w:fldCharType="end"/>
      </w:r>
    </w:p>
    <w:p w14:paraId="061831FF" w14:textId="77777777" w:rsidR="007A186D" w:rsidRPr="007A186D" w:rsidRDefault="007A186D" w:rsidP="007A186D">
      <w:pPr>
        <w:spacing w:after="160" w:line="259" w:lineRule="auto"/>
        <w:jc w:val="center"/>
        <w:rPr>
          <w:rFonts w:ascii="Calibri" w:eastAsia="Calibri" w:hAnsi="Calibri"/>
          <w:sz w:val="22"/>
          <w:szCs w:val="22"/>
          <w:lang w:eastAsia="en-US"/>
        </w:rPr>
      </w:pPr>
    </w:p>
    <w:p w14:paraId="6942C6EC" w14:textId="77777777" w:rsidR="007A186D" w:rsidRPr="007A186D" w:rsidRDefault="007A186D" w:rsidP="007A186D">
      <w:pPr>
        <w:spacing w:after="160" w:line="259" w:lineRule="auto"/>
        <w:jc w:val="center"/>
        <w:rPr>
          <w:rFonts w:ascii="Calibri" w:eastAsia="Calibri" w:hAnsi="Calibri"/>
          <w:sz w:val="22"/>
          <w:szCs w:val="22"/>
          <w:lang w:eastAsia="en-US"/>
        </w:rPr>
      </w:pPr>
      <w:r w:rsidRPr="007A186D">
        <w:rPr>
          <w:rFonts w:ascii="Calibri" w:eastAsia="Calibri" w:hAnsi="Calibri"/>
          <w:sz w:val="22"/>
          <w:szCs w:val="22"/>
          <w:lang w:eastAsia="en-US"/>
        </w:rPr>
        <w:lastRenderedPageBreak/>
        <w:fldChar w:fldCharType="begin"/>
      </w:r>
      <w:r w:rsidRPr="007A186D">
        <w:rPr>
          <w:rFonts w:ascii="Calibri" w:eastAsia="Calibri" w:hAnsi="Calibri"/>
          <w:sz w:val="22"/>
          <w:szCs w:val="22"/>
          <w:lang w:eastAsia="en-US"/>
        </w:rPr>
        <w:instrText xml:space="preserve"> LINK PowerPoint.Slide.8 "D:\\2015\\ABRIL\\GRÁFICAS POWER POINT\\22.- GRÁFICAS ACTIVIDAD INDUSTRIAL.pptx!273" "" \a \p </w:instrText>
      </w:r>
      <w:r w:rsidRPr="007A186D">
        <w:rPr>
          <w:rFonts w:ascii="Calibri" w:eastAsia="Calibri" w:hAnsi="Calibri"/>
          <w:sz w:val="22"/>
          <w:szCs w:val="22"/>
          <w:lang w:eastAsia="en-US"/>
        </w:rPr>
        <w:fldChar w:fldCharType="separate"/>
      </w:r>
      <w:r w:rsidRPr="007A186D">
        <w:rPr>
          <w:rFonts w:ascii="Calibri" w:eastAsia="Calibri" w:hAnsi="Calibri"/>
          <w:noProof/>
          <w:sz w:val="22"/>
          <w:szCs w:val="22"/>
          <w:lang w:eastAsia="es-MX"/>
        </w:rPr>
        <w:drawing>
          <wp:inline distT="0" distB="0" distL="0" distR="0" wp14:anchorId="72E0A039" wp14:editId="2E6F9A0D">
            <wp:extent cx="4633595" cy="3218815"/>
            <wp:effectExtent l="0" t="0" r="0" b="635"/>
            <wp:docPr id="1726" name="Imagen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43" cstate="print">
                      <a:extLst>
                        <a:ext uri="{28A0092B-C50C-407E-A947-70E740481C1C}">
                          <a14:useLocalDpi xmlns:a14="http://schemas.microsoft.com/office/drawing/2010/main" val="0"/>
                        </a:ext>
                      </a:extLst>
                    </a:blip>
                    <a:srcRect l="9366" t="1520" r="14471" b="4524"/>
                    <a:stretch>
                      <a:fillRect/>
                    </a:stretch>
                  </pic:blipFill>
                  <pic:spPr bwMode="auto">
                    <a:xfrm>
                      <a:off x="0" y="0"/>
                      <a:ext cx="4633595" cy="3218815"/>
                    </a:xfrm>
                    <a:prstGeom prst="rect">
                      <a:avLst/>
                    </a:prstGeom>
                    <a:noFill/>
                    <a:ln>
                      <a:noFill/>
                    </a:ln>
                  </pic:spPr>
                </pic:pic>
              </a:graphicData>
            </a:graphic>
          </wp:inline>
        </w:drawing>
      </w:r>
      <w:r w:rsidRPr="007A186D">
        <w:rPr>
          <w:rFonts w:ascii="Calibri" w:eastAsia="Calibri" w:hAnsi="Calibri"/>
          <w:sz w:val="22"/>
          <w:szCs w:val="22"/>
          <w:lang w:eastAsia="en-US"/>
        </w:rPr>
        <w:fldChar w:fldCharType="end"/>
      </w:r>
    </w:p>
    <w:p w14:paraId="41D629EB" w14:textId="77777777" w:rsidR="007A186D" w:rsidRPr="007A186D" w:rsidRDefault="007A186D" w:rsidP="007A186D">
      <w:pPr>
        <w:spacing w:after="360" w:line="360" w:lineRule="auto"/>
        <w:ind w:right="-159"/>
        <w:jc w:val="center"/>
        <w:rPr>
          <w:rFonts w:eastAsia="Calibri"/>
          <w:sz w:val="26"/>
          <w:szCs w:val="26"/>
          <w:lang w:val="es-ES_tradnl" w:eastAsia="en-US"/>
        </w:rPr>
      </w:pPr>
    </w:p>
    <w:p w14:paraId="50130293" w14:textId="77777777" w:rsidR="007A186D" w:rsidRPr="007A186D" w:rsidRDefault="007A186D" w:rsidP="007A186D">
      <w:pPr>
        <w:spacing w:after="360" w:line="360" w:lineRule="auto"/>
        <w:ind w:right="-159"/>
        <w:jc w:val="both"/>
        <w:rPr>
          <w:rFonts w:eastAsia="Calibri"/>
          <w:b/>
          <w:sz w:val="26"/>
          <w:szCs w:val="26"/>
          <w:lang w:val="es-ES_tradnl" w:eastAsia="en-US"/>
        </w:rPr>
      </w:pPr>
      <w:r w:rsidRPr="007A186D">
        <w:rPr>
          <w:rFonts w:eastAsia="Calibri"/>
          <w:b/>
          <w:sz w:val="26"/>
          <w:szCs w:val="26"/>
          <w:lang w:val="es-ES_tradnl" w:eastAsia="en-US"/>
        </w:rPr>
        <w:t xml:space="preserve">Cifras originales </w:t>
      </w:r>
    </w:p>
    <w:p w14:paraId="045691F4"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En su comparación anual y con cifras originales, la Actividad Industrial avanzó 1.6% en términos reales durante el segundo mes de 2015, respecto a igual mes del año anterior, debido a los incrementos mostrados en tres de los cuatro sectores que la conforman.</w:t>
      </w:r>
    </w:p>
    <w:p w14:paraId="0829FB3C" w14:textId="77777777" w:rsidR="007A186D" w:rsidRPr="007A186D" w:rsidRDefault="007A186D" w:rsidP="007A186D">
      <w:pPr>
        <w:spacing w:after="360" w:line="360" w:lineRule="auto"/>
        <w:ind w:right="-159"/>
        <w:jc w:val="center"/>
        <w:rPr>
          <w:rFonts w:eastAsia="Calibri"/>
          <w:sz w:val="26"/>
          <w:szCs w:val="26"/>
          <w:lang w:val="es-ES_tradnl" w:eastAsia="en-US"/>
        </w:rPr>
      </w:pPr>
      <w:r w:rsidRPr="007A186D">
        <w:rPr>
          <w:rFonts w:eastAsia="Calibri"/>
          <w:color w:val="FF0000"/>
          <w:sz w:val="52"/>
          <w:szCs w:val="52"/>
          <w:lang w:eastAsia="en-US"/>
        </w:rPr>
        <w:lastRenderedPageBreak/>
        <w:fldChar w:fldCharType="begin"/>
      </w:r>
      <w:r w:rsidRPr="007A186D">
        <w:rPr>
          <w:rFonts w:eastAsia="Calibri"/>
          <w:color w:val="FF0000"/>
          <w:sz w:val="52"/>
          <w:szCs w:val="52"/>
          <w:lang w:eastAsia="en-US"/>
        </w:rPr>
        <w:instrText xml:space="preserve"> LINK PowerPoint.Slide.8 "D:\\2015\\ABRIL\\GRÁFICAS POWER POINT\\23.-GRÁFICAS DE ACTIVIDAD INDUSTRIAL II.pptx!290" "" \a \p </w:instrText>
      </w:r>
      <w:r w:rsidRPr="007A186D">
        <w:rPr>
          <w:rFonts w:eastAsia="Calibri"/>
          <w:color w:val="FF0000"/>
          <w:sz w:val="52"/>
          <w:szCs w:val="52"/>
          <w:lang w:eastAsia="en-US"/>
        </w:rPr>
        <w:fldChar w:fldCharType="separate"/>
      </w:r>
      <w:r w:rsidRPr="007A186D">
        <w:rPr>
          <w:rFonts w:eastAsia="Calibri"/>
          <w:noProof/>
          <w:color w:val="FF0000"/>
          <w:sz w:val="52"/>
          <w:szCs w:val="52"/>
          <w:lang w:eastAsia="es-MX"/>
        </w:rPr>
        <w:drawing>
          <wp:inline distT="0" distB="0" distL="0" distR="0" wp14:anchorId="0A75BB91" wp14:editId="61A97128">
            <wp:extent cx="4380230" cy="3064510"/>
            <wp:effectExtent l="0" t="0" r="1270" b="2540"/>
            <wp:docPr id="1727" name="Imagen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44" cstate="print">
                      <a:extLst>
                        <a:ext uri="{28A0092B-C50C-407E-A947-70E740481C1C}">
                          <a14:useLocalDpi xmlns:a14="http://schemas.microsoft.com/office/drawing/2010/main" val="0"/>
                        </a:ext>
                      </a:extLst>
                    </a:blip>
                    <a:srcRect l="2074" t="2504" r="1892" b="8049"/>
                    <a:stretch>
                      <a:fillRect/>
                    </a:stretch>
                  </pic:blipFill>
                  <pic:spPr bwMode="auto">
                    <a:xfrm>
                      <a:off x="0" y="0"/>
                      <a:ext cx="4380230" cy="3064510"/>
                    </a:xfrm>
                    <a:prstGeom prst="rect">
                      <a:avLst/>
                    </a:prstGeom>
                    <a:noFill/>
                    <a:ln>
                      <a:noFill/>
                    </a:ln>
                  </pic:spPr>
                </pic:pic>
              </a:graphicData>
            </a:graphic>
          </wp:inline>
        </w:drawing>
      </w:r>
      <w:r w:rsidRPr="007A186D">
        <w:rPr>
          <w:rFonts w:eastAsia="Calibri"/>
          <w:color w:val="FF0000"/>
          <w:sz w:val="52"/>
          <w:szCs w:val="52"/>
          <w:lang w:eastAsia="en-US"/>
        </w:rPr>
        <w:fldChar w:fldCharType="end"/>
      </w:r>
    </w:p>
    <w:p w14:paraId="4D97EC1C" w14:textId="77777777" w:rsidR="007A186D" w:rsidRPr="007A186D" w:rsidRDefault="007A186D" w:rsidP="007A186D">
      <w:pPr>
        <w:spacing w:after="360" w:line="360" w:lineRule="auto"/>
        <w:ind w:right="-159"/>
        <w:jc w:val="center"/>
        <w:rPr>
          <w:rFonts w:eastAsia="Calibri"/>
          <w:sz w:val="26"/>
          <w:szCs w:val="26"/>
          <w:lang w:val="es-ES_tradnl" w:eastAsia="en-US"/>
        </w:rPr>
      </w:pPr>
    </w:p>
    <w:p w14:paraId="5849DAAB" w14:textId="09298EFF" w:rsidR="007A186D" w:rsidRPr="007A186D" w:rsidRDefault="009D28D6" w:rsidP="007A186D">
      <w:pPr>
        <w:spacing w:after="360" w:line="360" w:lineRule="auto"/>
        <w:ind w:right="-159"/>
        <w:jc w:val="center"/>
        <w:rPr>
          <w:rFonts w:eastAsia="Calibri"/>
          <w:sz w:val="26"/>
          <w:szCs w:val="26"/>
          <w:lang w:val="es-ES_tradnl" w:eastAsia="en-US"/>
        </w:rPr>
      </w:pPr>
      <w:r w:rsidRPr="009D28D6">
        <w:rPr>
          <w:rFonts w:ascii="Calibri" w:eastAsia="Calibri" w:hAnsi="Calibri"/>
          <w:sz w:val="22"/>
          <w:szCs w:val="22"/>
          <w:lang w:eastAsia="en-US"/>
        </w:rPr>
        <w:fldChar w:fldCharType="begin"/>
      </w:r>
      <w:r w:rsidRPr="009D28D6">
        <w:rPr>
          <w:rFonts w:ascii="Calibri" w:eastAsia="Calibri" w:hAnsi="Calibri"/>
          <w:sz w:val="22"/>
          <w:szCs w:val="22"/>
          <w:lang w:eastAsia="en-US"/>
        </w:rPr>
        <w:instrText xml:space="preserve"> LINK PowerPoint.Slide.8 "D:\\2015\\ABRIL\\GRÁFICAS POWER POINT\\23.-GRÁFICAS DE ACTIVIDAD INDUSTRIAL II.pptx!292" "" \a \p </w:instrText>
      </w:r>
      <w:r w:rsidRPr="009D28D6">
        <w:rPr>
          <w:rFonts w:ascii="Calibri" w:eastAsia="Calibri" w:hAnsi="Calibri"/>
          <w:sz w:val="22"/>
          <w:szCs w:val="22"/>
          <w:lang w:eastAsia="en-US"/>
        </w:rPr>
        <w:fldChar w:fldCharType="separate"/>
      </w:r>
      <w:r w:rsidRPr="009D28D6">
        <w:rPr>
          <w:rFonts w:ascii="Calibri" w:eastAsia="Calibri" w:hAnsi="Calibri"/>
          <w:noProof/>
          <w:sz w:val="22"/>
          <w:szCs w:val="22"/>
          <w:lang w:eastAsia="es-MX"/>
        </w:rPr>
        <w:drawing>
          <wp:inline distT="0" distB="0" distL="0" distR="0" wp14:anchorId="7D0B44A0" wp14:editId="428526AD">
            <wp:extent cx="3966210" cy="3392170"/>
            <wp:effectExtent l="0" t="0" r="0" b="0"/>
            <wp:docPr id="1799" name="Imagen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45" cstate="print">
                      <a:extLst>
                        <a:ext uri="{28A0092B-C50C-407E-A947-70E740481C1C}">
                          <a14:useLocalDpi xmlns:a14="http://schemas.microsoft.com/office/drawing/2010/main" val="0"/>
                        </a:ext>
                      </a:extLst>
                    </a:blip>
                    <a:srcRect l="2963" r="10101" b="926"/>
                    <a:stretch>
                      <a:fillRect/>
                    </a:stretch>
                  </pic:blipFill>
                  <pic:spPr bwMode="auto">
                    <a:xfrm>
                      <a:off x="0" y="0"/>
                      <a:ext cx="3966210" cy="3392170"/>
                    </a:xfrm>
                    <a:prstGeom prst="rect">
                      <a:avLst/>
                    </a:prstGeom>
                    <a:noFill/>
                    <a:ln>
                      <a:noFill/>
                    </a:ln>
                  </pic:spPr>
                </pic:pic>
              </a:graphicData>
            </a:graphic>
          </wp:inline>
        </w:drawing>
      </w:r>
      <w:r w:rsidRPr="009D28D6">
        <w:rPr>
          <w:rFonts w:ascii="Calibri" w:eastAsia="Calibri" w:hAnsi="Calibri"/>
          <w:sz w:val="22"/>
          <w:szCs w:val="22"/>
          <w:lang w:eastAsia="en-US"/>
        </w:rPr>
        <w:fldChar w:fldCharType="end"/>
      </w:r>
    </w:p>
    <w:p w14:paraId="2456AC90" w14:textId="77777777" w:rsidR="007A186D" w:rsidRPr="007A186D" w:rsidRDefault="007A186D" w:rsidP="007A186D">
      <w:pPr>
        <w:spacing w:after="360" w:line="360" w:lineRule="auto"/>
        <w:ind w:right="-159"/>
        <w:jc w:val="center"/>
        <w:rPr>
          <w:rFonts w:eastAsia="Calibri"/>
          <w:sz w:val="26"/>
          <w:szCs w:val="26"/>
          <w:lang w:val="es-ES_tradnl" w:eastAsia="en-US"/>
        </w:rPr>
      </w:pPr>
    </w:p>
    <w:p w14:paraId="2C26CD02" w14:textId="77777777" w:rsidR="007A186D" w:rsidRPr="007A186D" w:rsidRDefault="007A186D" w:rsidP="007A186D">
      <w:pPr>
        <w:spacing w:after="360" w:line="360" w:lineRule="auto"/>
        <w:ind w:right="-159"/>
        <w:jc w:val="both"/>
        <w:rPr>
          <w:rFonts w:eastAsia="Calibri"/>
          <w:b/>
          <w:sz w:val="26"/>
          <w:szCs w:val="26"/>
          <w:lang w:val="es-ES_tradnl" w:eastAsia="en-US"/>
        </w:rPr>
      </w:pPr>
      <w:r w:rsidRPr="007A186D">
        <w:rPr>
          <w:rFonts w:eastAsia="Calibri"/>
          <w:b/>
          <w:sz w:val="26"/>
          <w:szCs w:val="26"/>
          <w:lang w:val="es-ES_tradnl" w:eastAsia="en-US"/>
        </w:rPr>
        <w:lastRenderedPageBreak/>
        <w:t xml:space="preserve">Industrias Manufactureras </w:t>
      </w:r>
    </w:p>
    <w:p w14:paraId="67937E25"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El sector de las Industrias Manufactureras aumentó 4.0% a tasa anual durante febrero del 2015, con relación al mismo mes del año previo.</w:t>
      </w:r>
    </w:p>
    <w:p w14:paraId="205B4907" w14:textId="77777777" w:rsidR="007A186D" w:rsidRPr="007A186D" w:rsidRDefault="007A186D" w:rsidP="007A186D">
      <w:pPr>
        <w:spacing w:after="360" w:line="360" w:lineRule="auto"/>
        <w:ind w:right="-159"/>
        <w:jc w:val="center"/>
        <w:rPr>
          <w:rFonts w:eastAsia="Calibri"/>
          <w:sz w:val="26"/>
          <w:szCs w:val="26"/>
          <w:lang w:val="es-ES_tradnl" w:eastAsia="en-US"/>
        </w:rPr>
      </w:pPr>
      <w:r w:rsidRPr="007A186D">
        <w:rPr>
          <w:rFonts w:eastAsia="Calibri"/>
          <w:color w:val="FF0000"/>
          <w:sz w:val="28"/>
          <w:szCs w:val="28"/>
          <w:lang w:eastAsia="en-US"/>
        </w:rPr>
        <w:fldChar w:fldCharType="begin"/>
      </w:r>
      <w:r w:rsidRPr="007A186D">
        <w:rPr>
          <w:rFonts w:eastAsia="Calibri"/>
          <w:color w:val="FF0000"/>
          <w:sz w:val="28"/>
          <w:szCs w:val="28"/>
          <w:lang w:eastAsia="en-US"/>
        </w:rPr>
        <w:instrText xml:space="preserve"> LINK PowerPoint.Slide.8 "D:\\2015\\ABRIL\\GRÁFICAS POWER POINT\\23.-GRÁFICAS DE ACTIVIDAD INDUSTRIAL II.pptx!335" "" \a \p </w:instrText>
      </w:r>
      <w:r w:rsidRPr="007A186D">
        <w:rPr>
          <w:rFonts w:eastAsia="Calibri"/>
          <w:color w:val="FF0000"/>
          <w:sz w:val="28"/>
          <w:szCs w:val="28"/>
          <w:lang w:eastAsia="en-US"/>
        </w:rPr>
        <w:fldChar w:fldCharType="separate"/>
      </w:r>
      <w:r w:rsidRPr="007A186D">
        <w:rPr>
          <w:rFonts w:eastAsia="Calibri"/>
          <w:noProof/>
          <w:color w:val="FF0000"/>
          <w:sz w:val="28"/>
          <w:szCs w:val="28"/>
          <w:lang w:eastAsia="es-MX"/>
        </w:rPr>
        <w:drawing>
          <wp:inline distT="0" distB="0" distL="0" distR="0" wp14:anchorId="1AFF2B81" wp14:editId="4A34AC0F">
            <wp:extent cx="4355465" cy="3089275"/>
            <wp:effectExtent l="0" t="0" r="6985" b="0"/>
            <wp:docPr id="1729" name="Imagen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46" cstate="print">
                      <a:extLst>
                        <a:ext uri="{28A0092B-C50C-407E-A947-70E740481C1C}">
                          <a14:useLocalDpi xmlns:a14="http://schemas.microsoft.com/office/drawing/2010/main" val="0"/>
                        </a:ext>
                      </a:extLst>
                    </a:blip>
                    <a:srcRect l="2449" t="2263" r="2087" b="7547"/>
                    <a:stretch>
                      <a:fillRect/>
                    </a:stretch>
                  </pic:blipFill>
                  <pic:spPr bwMode="auto">
                    <a:xfrm>
                      <a:off x="0" y="0"/>
                      <a:ext cx="4355465" cy="3089275"/>
                    </a:xfrm>
                    <a:prstGeom prst="rect">
                      <a:avLst/>
                    </a:prstGeom>
                    <a:noFill/>
                    <a:ln>
                      <a:noFill/>
                    </a:ln>
                  </pic:spPr>
                </pic:pic>
              </a:graphicData>
            </a:graphic>
          </wp:inline>
        </w:drawing>
      </w:r>
      <w:r w:rsidRPr="007A186D">
        <w:rPr>
          <w:rFonts w:eastAsia="Calibri"/>
          <w:color w:val="FF0000"/>
          <w:sz w:val="28"/>
          <w:szCs w:val="28"/>
          <w:lang w:eastAsia="en-US"/>
        </w:rPr>
        <w:fldChar w:fldCharType="end"/>
      </w:r>
    </w:p>
    <w:p w14:paraId="690D677C" w14:textId="77777777" w:rsidR="007A186D" w:rsidRPr="007A186D" w:rsidRDefault="007A186D" w:rsidP="007A186D">
      <w:pPr>
        <w:ind w:right="-159"/>
        <w:jc w:val="both"/>
        <w:rPr>
          <w:rFonts w:eastAsia="Calibri"/>
          <w:b/>
          <w:sz w:val="26"/>
          <w:szCs w:val="26"/>
          <w:lang w:val="es-ES_tradnl" w:eastAsia="en-US"/>
        </w:rPr>
      </w:pPr>
      <w:r w:rsidRPr="007A186D">
        <w:rPr>
          <w:rFonts w:eastAsia="Calibri"/>
          <w:b/>
          <w:sz w:val="26"/>
          <w:szCs w:val="26"/>
          <w:lang w:val="es-ES_tradnl" w:eastAsia="en-US"/>
        </w:rPr>
        <w:t>Generación, transmisión y distribución de energía eléctrica, suministro de agua y de gas por ductos al consumidor final</w:t>
      </w:r>
    </w:p>
    <w:p w14:paraId="4247E700" w14:textId="77777777" w:rsidR="007A186D" w:rsidRPr="007A186D" w:rsidRDefault="007A186D" w:rsidP="007A186D">
      <w:pPr>
        <w:ind w:right="-159"/>
        <w:jc w:val="both"/>
        <w:rPr>
          <w:rFonts w:eastAsia="Calibri"/>
          <w:b/>
          <w:sz w:val="26"/>
          <w:szCs w:val="26"/>
          <w:lang w:val="es-ES_tradnl" w:eastAsia="en-US"/>
        </w:rPr>
      </w:pPr>
    </w:p>
    <w:p w14:paraId="5B75B481"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La Generación, transmisión y distribución de energía eléctrica, suministro de agua y de gas por ductos al consumidor final observó un crecimiento de 3.8% a tasa anual en febrero de 2015.</w:t>
      </w:r>
    </w:p>
    <w:p w14:paraId="4D9A99F8" w14:textId="77777777" w:rsidR="007A186D" w:rsidRPr="007A186D" w:rsidRDefault="007A186D" w:rsidP="007A186D">
      <w:pPr>
        <w:spacing w:after="360" w:line="360" w:lineRule="auto"/>
        <w:ind w:right="-159"/>
        <w:jc w:val="center"/>
        <w:rPr>
          <w:rFonts w:eastAsia="Calibri"/>
          <w:sz w:val="26"/>
          <w:szCs w:val="26"/>
          <w:lang w:val="es-ES_tradnl" w:eastAsia="en-US"/>
        </w:rPr>
      </w:pPr>
      <w:r w:rsidRPr="007A186D">
        <w:rPr>
          <w:rFonts w:eastAsia="Calibri"/>
          <w:color w:val="FF0000"/>
          <w:sz w:val="28"/>
          <w:szCs w:val="28"/>
          <w:lang w:eastAsia="en-US"/>
        </w:rPr>
        <w:lastRenderedPageBreak/>
        <w:fldChar w:fldCharType="begin"/>
      </w:r>
      <w:r w:rsidRPr="007A186D">
        <w:rPr>
          <w:rFonts w:eastAsia="Calibri"/>
          <w:color w:val="FF0000"/>
          <w:sz w:val="28"/>
          <w:szCs w:val="28"/>
          <w:lang w:eastAsia="en-US"/>
        </w:rPr>
        <w:instrText xml:space="preserve"> LINK PowerPoint.Slide.8 "D:\\2015\\ABRIL\\GRÁFICAS POWER POINT\\23.-GRÁFICAS DE ACTIVIDAD INDUSTRIAL II.pptx!336" "" \a \p </w:instrText>
      </w:r>
      <w:r w:rsidRPr="007A186D">
        <w:rPr>
          <w:rFonts w:eastAsia="Calibri"/>
          <w:color w:val="FF0000"/>
          <w:sz w:val="28"/>
          <w:szCs w:val="28"/>
          <w:lang w:eastAsia="en-US"/>
        </w:rPr>
        <w:fldChar w:fldCharType="separate"/>
      </w:r>
      <w:r w:rsidRPr="007A186D">
        <w:rPr>
          <w:rFonts w:eastAsia="Calibri"/>
          <w:noProof/>
          <w:color w:val="FF0000"/>
          <w:sz w:val="28"/>
          <w:szCs w:val="28"/>
          <w:lang w:eastAsia="es-MX"/>
        </w:rPr>
        <w:drawing>
          <wp:inline distT="0" distB="0" distL="0" distR="0" wp14:anchorId="61B99E21" wp14:editId="28F43A4C">
            <wp:extent cx="4355465" cy="3169285"/>
            <wp:effectExtent l="0" t="0" r="6985" b="0"/>
            <wp:docPr id="1730" name="Imagen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47" cstate="print">
                      <a:extLst>
                        <a:ext uri="{28A0092B-C50C-407E-A947-70E740481C1C}">
                          <a14:useLocalDpi xmlns:a14="http://schemas.microsoft.com/office/drawing/2010/main" val="0"/>
                        </a:ext>
                      </a:extLst>
                    </a:blip>
                    <a:srcRect l="2087" r="2449" b="7547"/>
                    <a:stretch>
                      <a:fillRect/>
                    </a:stretch>
                  </pic:blipFill>
                  <pic:spPr bwMode="auto">
                    <a:xfrm>
                      <a:off x="0" y="0"/>
                      <a:ext cx="4355465" cy="3169285"/>
                    </a:xfrm>
                    <a:prstGeom prst="rect">
                      <a:avLst/>
                    </a:prstGeom>
                    <a:noFill/>
                    <a:ln>
                      <a:noFill/>
                    </a:ln>
                  </pic:spPr>
                </pic:pic>
              </a:graphicData>
            </a:graphic>
          </wp:inline>
        </w:drawing>
      </w:r>
      <w:r w:rsidRPr="007A186D">
        <w:rPr>
          <w:rFonts w:eastAsia="Calibri"/>
          <w:color w:val="FF0000"/>
          <w:sz w:val="28"/>
          <w:szCs w:val="28"/>
          <w:lang w:eastAsia="en-US"/>
        </w:rPr>
        <w:fldChar w:fldCharType="end"/>
      </w:r>
    </w:p>
    <w:p w14:paraId="3F11A885" w14:textId="77777777" w:rsidR="007A186D" w:rsidRPr="007A186D" w:rsidRDefault="007A186D" w:rsidP="007A186D">
      <w:pPr>
        <w:spacing w:after="360" w:line="360" w:lineRule="auto"/>
        <w:ind w:right="-159"/>
        <w:jc w:val="both"/>
        <w:rPr>
          <w:rFonts w:eastAsia="Calibri"/>
          <w:b/>
          <w:sz w:val="26"/>
          <w:szCs w:val="26"/>
          <w:lang w:val="es-ES_tradnl" w:eastAsia="en-US"/>
        </w:rPr>
      </w:pPr>
      <w:r w:rsidRPr="007A186D">
        <w:rPr>
          <w:rFonts w:eastAsia="Calibri"/>
          <w:b/>
          <w:sz w:val="26"/>
          <w:szCs w:val="26"/>
          <w:lang w:val="es-ES_tradnl" w:eastAsia="en-US"/>
        </w:rPr>
        <w:t>Industria de la Construcción</w:t>
      </w:r>
    </w:p>
    <w:p w14:paraId="237ABF99"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En febrero de 2015, la Industria de la Construcción creció 1.1% con respecto al mismo mes de 2014.</w:t>
      </w:r>
    </w:p>
    <w:p w14:paraId="37151CC9" w14:textId="77777777" w:rsidR="007A186D" w:rsidRPr="007A186D" w:rsidRDefault="007A186D" w:rsidP="007A186D">
      <w:pPr>
        <w:spacing w:after="360" w:line="360" w:lineRule="auto"/>
        <w:ind w:right="-159"/>
        <w:jc w:val="center"/>
        <w:rPr>
          <w:rFonts w:eastAsia="Calibri"/>
          <w:sz w:val="26"/>
          <w:szCs w:val="26"/>
          <w:lang w:val="es-ES_tradnl" w:eastAsia="en-US"/>
        </w:rPr>
      </w:pPr>
      <w:r w:rsidRPr="007A186D">
        <w:rPr>
          <w:rFonts w:eastAsia="Calibri"/>
          <w:color w:val="FF0000"/>
          <w:sz w:val="28"/>
          <w:szCs w:val="28"/>
          <w:lang w:eastAsia="en-US"/>
        </w:rPr>
        <w:fldChar w:fldCharType="begin"/>
      </w:r>
      <w:r w:rsidRPr="007A186D">
        <w:rPr>
          <w:rFonts w:eastAsia="Calibri"/>
          <w:color w:val="FF0000"/>
          <w:sz w:val="28"/>
          <w:szCs w:val="28"/>
          <w:lang w:eastAsia="en-US"/>
        </w:rPr>
        <w:instrText xml:space="preserve"> LINK PowerPoint.Slide.8 "D:\\2015\\ABRIL\\GRÁFICAS POWER POINT\\23.-GRÁFICAS DE ACTIVIDAD INDUSTRIAL II.pptx!334" "" \a \p </w:instrText>
      </w:r>
      <w:r w:rsidRPr="007A186D">
        <w:rPr>
          <w:rFonts w:eastAsia="Calibri"/>
          <w:color w:val="FF0000"/>
          <w:sz w:val="28"/>
          <w:szCs w:val="28"/>
          <w:lang w:eastAsia="en-US"/>
        </w:rPr>
        <w:fldChar w:fldCharType="separate"/>
      </w:r>
      <w:r w:rsidRPr="007A186D">
        <w:rPr>
          <w:rFonts w:eastAsia="Calibri"/>
          <w:noProof/>
          <w:color w:val="FF0000"/>
          <w:sz w:val="28"/>
          <w:szCs w:val="28"/>
          <w:lang w:eastAsia="es-MX"/>
        </w:rPr>
        <w:drawing>
          <wp:inline distT="0" distB="0" distL="0" distR="0" wp14:anchorId="3C6D3513" wp14:editId="4499EDF9">
            <wp:extent cx="4331335" cy="3107690"/>
            <wp:effectExtent l="0" t="0" r="0" b="0"/>
            <wp:docPr id="1731" name="Imagen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48" cstate="print">
                      <a:extLst>
                        <a:ext uri="{28A0092B-C50C-407E-A947-70E740481C1C}">
                          <a14:useLocalDpi xmlns:a14="http://schemas.microsoft.com/office/drawing/2010/main" val="0"/>
                        </a:ext>
                      </a:extLst>
                    </a:blip>
                    <a:srcRect l="2449" t="1501" r="2644" b="7806"/>
                    <a:stretch>
                      <a:fillRect/>
                    </a:stretch>
                  </pic:blipFill>
                  <pic:spPr bwMode="auto">
                    <a:xfrm>
                      <a:off x="0" y="0"/>
                      <a:ext cx="4331335" cy="3107690"/>
                    </a:xfrm>
                    <a:prstGeom prst="rect">
                      <a:avLst/>
                    </a:prstGeom>
                    <a:noFill/>
                    <a:ln>
                      <a:noFill/>
                    </a:ln>
                  </pic:spPr>
                </pic:pic>
              </a:graphicData>
            </a:graphic>
          </wp:inline>
        </w:drawing>
      </w:r>
      <w:r w:rsidRPr="007A186D">
        <w:rPr>
          <w:rFonts w:eastAsia="Calibri"/>
          <w:color w:val="FF0000"/>
          <w:sz w:val="28"/>
          <w:szCs w:val="28"/>
          <w:lang w:eastAsia="en-US"/>
        </w:rPr>
        <w:fldChar w:fldCharType="end"/>
      </w:r>
    </w:p>
    <w:p w14:paraId="12494F93" w14:textId="77777777" w:rsidR="007A186D" w:rsidRPr="007A186D" w:rsidRDefault="007A186D" w:rsidP="007A186D">
      <w:pPr>
        <w:spacing w:after="360" w:line="360" w:lineRule="auto"/>
        <w:ind w:right="-159"/>
        <w:jc w:val="both"/>
        <w:rPr>
          <w:rFonts w:eastAsia="Calibri"/>
          <w:b/>
          <w:sz w:val="26"/>
          <w:szCs w:val="26"/>
          <w:lang w:val="es-ES_tradnl" w:eastAsia="en-US"/>
        </w:rPr>
      </w:pPr>
      <w:r w:rsidRPr="007A186D">
        <w:rPr>
          <w:rFonts w:eastAsia="Calibri"/>
          <w:b/>
          <w:sz w:val="26"/>
          <w:szCs w:val="26"/>
          <w:lang w:val="es-ES_tradnl" w:eastAsia="en-US"/>
        </w:rPr>
        <w:lastRenderedPageBreak/>
        <w:t>Minería</w:t>
      </w:r>
    </w:p>
    <w:p w14:paraId="217E6ACF" w14:textId="77777777" w:rsidR="007A186D" w:rsidRP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La Minería cayó 3.8% en el segundo mes de 2015 respecto al mismo mes del año anterior, como consecuencia del descenso reportado en la minería petrolera de 4.9%; en tanto que la no petrolera avanzó 0.4 por ciento.</w:t>
      </w:r>
    </w:p>
    <w:p w14:paraId="09D447B7" w14:textId="77777777" w:rsidR="007A186D" w:rsidRPr="007A186D" w:rsidRDefault="007A186D" w:rsidP="007A186D">
      <w:pPr>
        <w:spacing w:after="360" w:line="360" w:lineRule="auto"/>
        <w:ind w:right="-159"/>
        <w:jc w:val="center"/>
        <w:rPr>
          <w:rFonts w:eastAsia="Calibri"/>
          <w:sz w:val="26"/>
          <w:szCs w:val="26"/>
          <w:lang w:val="es-ES_tradnl" w:eastAsia="en-US"/>
        </w:rPr>
      </w:pPr>
      <w:r w:rsidRPr="007A186D">
        <w:rPr>
          <w:rFonts w:eastAsia="Calibri"/>
          <w:color w:val="FF0000"/>
          <w:sz w:val="28"/>
          <w:szCs w:val="28"/>
          <w:lang w:eastAsia="en-US"/>
        </w:rPr>
        <w:fldChar w:fldCharType="begin"/>
      </w:r>
      <w:r w:rsidRPr="007A186D">
        <w:rPr>
          <w:rFonts w:eastAsia="Calibri"/>
          <w:color w:val="FF0000"/>
          <w:sz w:val="28"/>
          <w:szCs w:val="28"/>
          <w:lang w:eastAsia="en-US"/>
        </w:rPr>
        <w:instrText xml:space="preserve"> LINK PowerPoint.Slide.8 "D:\\2015\\ABRIL\\GRÁFICAS POWER POINT\\23.-GRÁFICAS DE ACTIVIDAD INDUSTRIAL II.pptx!338" "" \a \p </w:instrText>
      </w:r>
      <w:r w:rsidRPr="007A186D">
        <w:rPr>
          <w:rFonts w:eastAsia="Calibri"/>
          <w:color w:val="FF0000"/>
          <w:sz w:val="28"/>
          <w:szCs w:val="28"/>
          <w:lang w:eastAsia="en-US"/>
        </w:rPr>
        <w:fldChar w:fldCharType="separate"/>
      </w:r>
      <w:r w:rsidRPr="007A186D">
        <w:rPr>
          <w:rFonts w:eastAsia="Calibri"/>
          <w:noProof/>
          <w:color w:val="FF0000"/>
          <w:sz w:val="28"/>
          <w:szCs w:val="28"/>
          <w:lang w:eastAsia="es-MX"/>
        </w:rPr>
        <w:drawing>
          <wp:inline distT="0" distB="0" distL="0" distR="0" wp14:anchorId="604B3BA7" wp14:editId="413C5979">
            <wp:extent cx="4349750" cy="2990215"/>
            <wp:effectExtent l="0" t="0" r="0" b="635"/>
            <wp:docPr id="1732" name="Imagen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49" cstate="print">
                      <a:extLst>
                        <a:ext uri="{28A0092B-C50C-407E-A947-70E740481C1C}">
                          <a14:useLocalDpi xmlns:a14="http://schemas.microsoft.com/office/drawing/2010/main" val="0"/>
                        </a:ext>
                      </a:extLst>
                    </a:blip>
                    <a:srcRect l="2644" t="1521" r="2087" b="11070"/>
                    <a:stretch>
                      <a:fillRect/>
                    </a:stretch>
                  </pic:blipFill>
                  <pic:spPr bwMode="auto">
                    <a:xfrm>
                      <a:off x="0" y="0"/>
                      <a:ext cx="4349750" cy="2990215"/>
                    </a:xfrm>
                    <a:prstGeom prst="rect">
                      <a:avLst/>
                    </a:prstGeom>
                    <a:noFill/>
                    <a:ln>
                      <a:noFill/>
                    </a:ln>
                  </pic:spPr>
                </pic:pic>
              </a:graphicData>
            </a:graphic>
          </wp:inline>
        </w:drawing>
      </w:r>
      <w:r w:rsidRPr="007A186D">
        <w:rPr>
          <w:rFonts w:eastAsia="Calibri"/>
          <w:color w:val="FF0000"/>
          <w:sz w:val="28"/>
          <w:szCs w:val="28"/>
          <w:lang w:eastAsia="en-US"/>
        </w:rPr>
        <w:fldChar w:fldCharType="end"/>
      </w:r>
    </w:p>
    <w:p w14:paraId="2FCFFA05" w14:textId="77777777" w:rsidR="007A186D" w:rsidRPr="007A186D" w:rsidRDefault="007A186D" w:rsidP="007A186D">
      <w:pPr>
        <w:spacing w:after="360" w:line="360" w:lineRule="auto"/>
        <w:ind w:right="-159"/>
        <w:jc w:val="both"/>
        <w:rPr>
          <w:rFonts w:eastAsia="Calibri"/>
          <w:b/>
          <w:sz w:val="26"/>
          <w:szCs w:val="26"/>
          <w:lang w:val="es-ES_tradnl" w:eastAsia="en-US"/>
        </w:rPr>
      </w:pPr>
      <w:r w:rsidRPr="007A186D">
        <w:rPr>
          <w:rFonts w:eastAsia="Calibri"/>
          <w:b/>
          <w:sz w:val="26"/>
          <w:szCs w:val="26"/>
          <w:lang w:val="es-ES_tradnl" w:eastAsia="en-US"/>
        </w:rPr>
        <w:t xml:space="preserve">Resultados durante enero-febrero de 2015 </w:t>
      </w:r>
    </w:p>
    <w:p w14:paraId="58B750AE" w14:textId="77777777" w:rsidR="007A186D" w:rsidRDefault="007A186D" w:rsidP="007A186D">
      <w:pPr>
        <w:spacing w:after="360" w:line="360" w:lineRule="auto"/>
        <w:ind w:right="-159"/>
        <w:jc w:val="both"/>
        <w:rPr>
          <w:rFonts w:eastAsia="Calibri"/>
          <w:sz w:val="26"/>
          <w:szCs w:val="26"/>
          <w:lang w:val="es-ES_tradnl" w:eastAsia="en-US"/>
        </w:rPr>
      </w:pPr>
      <w:r w:rsidRPr="007A186D">
        <w:rPr>
          <w:rFonts w:eastAsia="Calibri"/>
          <w:sz w:val="26"/>
          <w:szCs w:val="26"/>
          <w:lang w:val="es-ES_tradnl" w:eastAsia="en-US"/>
        </w:rPr>
        <w:t>En los primeros dos meses del año, la Actividad Industrial avanzó 1.2% en términos reales con relación a igual período de 2014, producto del crecimiento de tres de los cuatro sectores que la integran. La Construcción aumento en 3.6%, la Generación, transmisión y distribución de energía eléctrica, suministro de agua y de gas por ductos al consumidor final 3.4% y las Industrias manufactureras se elevaron 2.7% en el mismo lapso; en tanto la Minería disminuyó 4.8 por ciento.</w:t>
      </w:r>
    </w:p>
    <w:p w14:paraId="2224219D" w14:textId="77777777" w:rsidR="004A5A17" w:rsidRPr="007A186D" w:rsidRDefault="004A5A17" w:rsidP="007A186D">
      <w:pPr>
        <w:spacing w:after="360" w:line="360" w:lineRule="auto"/>
        <w:ind w:right="-159"/>
        <w:jc w:val="both"/>
        <w:rPr>
          <w:rFonts w:eastAsia="Calibri"/>
          <w:sz w:val="26"/>
          <w:szCs w:val="26"/>
          <w:lang w:val="es-ES_tradnl" w:eastAsia="en-US"/>
        </w:rPr>
      </w:pPr>
    </w:p>
    <w:p w14:paraId="0B9F0C44" w14:textId="77777777" w:rsidR="007A186D" w:rsidRPr="007A186D" w:rsidRDefault="007A186D" w:rsidP="007A186D">
      <w:pPr>
        <w:spacing w:after="360" w:line="360" w:lineRule="auto"/>
        <w:ind w:right="-159"/>
        <w:jc w:val="both"/>
        <w:rPr>
          <w:rFonts w:eastAsia="Calibri"/>
          <w:sz w:val="26"/>
          <w:szCs w:val="26"/>
          <w:lang w:val="es-ES_tradnl" w:eastAsia="en-US"/>
        </w:rPr>
      </w:pPr>
    </w:p>
    <w:tbl>
      <w:tblPr>
        <w:tblStyle w:val="Tablaconcuadrcula"/>
        <w:tblW w:w="0" w:type="auto"/>
        <w:jc w:val="center"/>
        <w:tblLayout w:type="fixed"/>
        <w:tblLook w:val="04A0" w:firstRow="1" w:lastRow="0" w:firstColumn="1" w:lastColumn="0" w:noHBand="0" w:noVBand="1"/>
      </w:tblPr>
      <w:tblGrid>
        <w:gridCol w:w="5104"/>
        <w:gridCol w:w="1133"/>
        <w:gridCol w:w="993"/>
      </w:tblGrid>
      <w:tr w:rsidR="007A186D" w:rsidRPr="007A186D" w14:paraId="1134EE05" w14:textId="77777777" w:rsidTr="00835D95">
        <w:trPr>
          <w:jc w:val="center"/>
        </w:trPr>
        <w:tc>
          <w:tcPr>
            <w:tcW w:w="7230" w:type="dxa"/>
            <w:gridSpan w:val="3"/>
            <w:tcBorders>
              <w:top w:val="nil"/>
              <w:left w:val="nil"/>
              <w:right w:val="nil"/>
            </w:tcBorders>
          </w:tcPr>
          <w:p w14:paraId="6FA63324" w14:textId="77777777" w:rsidR="007A186D" w:rsidRPr="007A186D" w:rsidRDefault="007A186D" w:rsidP="007A186D">
            <w:pPr>
              <w:jc w:val="center"/>
              <w:rPr>
                <w:rFonts w:eastAsia="Calibri"/>
                <w:b/>
                <w:sz w:val="22"/>
                <w:szCs w:val="22"/>
                <w:lang w:val="es-ES_tradnl" w:eastAsia="en-US"/>
              </w:rPr>
            </w:pPr>
            <w:r w:rsidRPr="007A186D">
              <w:rPr>
                <w:rFonts w:eastAsia="Calibri"/>
                <w:b/>
                <w:sz w:val="22"/>
                <w:szCs w:val="22"/>
                <w:lang w:val="es-ES_tradnl" w:eastAsia="en-US"/>
              </w:rPr>
              <w:lastRenderedPageBreak/>
              <w:t>PRODUCCIÓN INDUSTRIAL A FEBRERO DE 2015</w:t>
            </w:r>
          </w:p>
          <w:p w14:paraId="5604CCE2" w14:textId="77777777" w:rsidR="007A186D" w:rsidRPr="007A186D" w:rsidRDefault="007A186D" w:rsidP="007A186D">
            <w:pPr>
              <w:jc w:val="center"/>
              <w:rPr>
                <w:rFonts w:eastAsia="Calibri"/>
                <w:b/>
                <w:sz w:val="22"/>
                <w:szCs w:val="22"/>
                <w:lang w:val="es-ES_tradnl" w:eastAsia="en-US"/>
              </w:rPr>
            </w:pPr>
            <w:r w:rsidRPr="007A186D">
              <w:rPr>
                <w:rFonts w:eastAsia="Calibri"/>
                <w:b/>
                <w:sz w:val="22"/>
                <w:szCs w:val="22"/>
                <w:lang w:val="es-ES_tradnl" w:eastAsia="en-US"/>
              </w:rPr>
              <w:t>-Variación porcentual real respecto al mismo período del año anterior-</w:t>
            </w:r>
          </w:p>
        </w:tc>
      </w:tr>
      <w:tr w:rsidR="007A186D" w:rsidRPr="007A186D" w14:paraId="7F0011DC" w14:textId="77777777" w:rsidTr="00835D95">
        <w:trPr>
          <w:jc w:val="center"/>
        </w:trPr>
        <w:tc>
          <w:tcPr>
            <w:tcW w:w="5104" w:type="dxa"/>
            <w:tcBorders>
              <w:bottom w:val="single" w:sz="4" w:space="0" w:color="auto"/>
            </w:tcBorders>
          </w:tcPr>
          <w:p w14:paraId="369BE938" w14:textId="77777777" w:rsidR="007A186D" w:rsidRPr="007A186D" w:rsidRDefault="007A186D" w:rsidP="00D97E73">
            <w:pPr>
              <w:jc w:val="center"/>
              <w:rPr>
                <w:rFonts w:eastAsia="Calibri"/>
                <w:b/>
                <w:sz w:val="20"/>
                <w:szCs w:val="20"/>
                <w:lang w:val="es-ES_tradnl" w:eastAsia="en-US"/>
              </w:rPr>
            </w:pPr>
            <w:r w:rsidRPr="007A186D">
              <w:rPr>
                <w:rFonts w:eastAsia="Calibri"/>
                <w:b/>
                <w:sz w:val="20"/>
                <w:szCs w:val="20"/>
                <w:lang w:val="es-ES_tradnl" w:eastAsia="en-US"/>
              </w:rPr>
              <w:t>Concepto</w:t>
            </w:r>
          </w:p>
        </w:tc>
        <w:tc>
          <w:tcPr>
            <w:tcW w:w="1133" w:type="dxa"/>
            <w:tcBorders>
              <w:bottom w:val="single" w:sz="4" w:space="0" w:color="auto"/>
            </w:tcBorders>
          </w:tcPr>
          <w:p w14:paraId="164ED40D" w14:textId="77777777" w:rsidR="007A186D" w:rsidRPr="007A186D" w:rsidRDefault="007A186D" w:rsidP="007A186D">
            <w:pPr>
              <w:jc w:val="center"/>
              <w:rPr>
                <w:rFonts w:eastAsia="Calibri"/>
                <w:b/>
                <w:sz w:val="20"/>
                <w:szCs w:val="20"/>
                <w:lang w:val="es-ES_tradnl" w:eastAsia="en-US"/>
              </w:rPr>
            </w:pPr>
            <w:r w:rsidRPr="007A186D">
              <w:rPr>
                <w:rFonts w:eastAsia="Calibri"/>
                <w:b/>
                <w:sz w:val="20"/>
                <w:szCs w:val="20"/>
                <w:lang w:val="es-ES_tradnl" w:eastAsia="en-US"/>
              </w:rPr>
              <w:t>Febrero</w:t>
            </w:r>
            <w:r w:rsidRPr="007A186D">
              <w:rPr>
                <w:rFonts w:eastAsia="Calibri"/>
                <w:b/>
                <w:sz w:val="20"/>
                <w:szCs w:val="20"/>
                <w:u w:val="single"/>
                <w:vertAlign w:val="superscript"/>
                <w:lang w:val="es-ES_tradnl" w:eastAsia="en-US"/>
              </w:rPr>
              <w:t>p</w:t>
            </w:r>
            <w:r w:rsidRPr="007A186D">
              <w:rPr>
                <w:rFonts w:eastAsia="Calibri"/>
                <w:b/>
                <w:sz w:val="20"/>
                <w:szCs w:val="20"/>
                <w:vertAlign w:val="superscript"/>
                <w:lang w:val="es-ES_tradnl" w:eastAsia="en-US"/>
              </w:rPr>
              <w:t>/</w:t>
            </w:r>
          </w:p>
        </w:tc>
        <w:tc>
          <w:tcPr>
            <w:tcW w:w="993" w:type="dxa"/>
            <w:tcBorders>
              <w:bottom w:val="single" w:sz="4" w:space="0" w:color="auto"/>
            </w:tcBorders>
          </w:tcPr>
          <w:p w14:paraId="6929ADDE" w14:textId="77777777" w:rsidR="007A186D" w:rsidRPr="007A186D" w:rsidRDefault="007A186D" w:rsidP="007A186D">
            <w:pPr>
              <w:jc w:val="center"/>
              <w:rPr>
                <w:rFonts w:eastAsia="Calibri"/>
                <w:b/>
                <w:sz w:val="20"/>
                <w:szCs w:val="20"/>
                <w:lang w:val="es-ES_tradnl" w:eastAsia="en-US"/>
              </w:rPr>
            </w:pPr>
            <w:r w:rsidRPr="007A186D">
              <w:rPr>
                <w:rFonts w:eastAsia="Calibri"/>
                <w:b/>
                <w:sz w:val="20"/>
                <w:szCs w:val="20"/>
                <w:lang w:val="es-ES_tradnl" w:eastAsia="en-US"/>
              </w:rPr>
              <w:t>Ene-Feb</w:t>
            </w:r>
          </w:p>
        </w:tc>
      </w:tr>
      <w:tr w:rsidR="007A186D" w:rsidRPr="007A186D" w14:paraId="2BB59C6B" w14:textId="77777777" w:rsidTr="00835D95">
        <w:trPr>
          <w:jc w:val="center"/>
        </w:trPr>
        <w:tc>
          <w:tcPr>
            <w:tcW w:w="5104" w:type="dxa"/>
            <w:tcBorders>
              <w:bottom w:val="nil"/>
            </w:tcBorders>
          </w:tcPr>
          <w:p w14:paraId="40BA1A8F" w14:textId="77777777" w:rsidR="007A186D" w:rsidRPr="007A186D" w:rsidRDefault="007A186D" w:rsidP="007A186D">
            <w:pPr>
              <w:jc w:val="both"/>
              <w:rPr>
                <w:rFonts w:eastAsia="Calibri"/>
                <w:b/>
                <w:sz w:val="20"/>
                <w:szCs w:val="20"/>
                <w:lang w:val="es-ES_tradnl" w:eastAsia="en-US"/>
              </w:rPr>
            </w:pPr>
            <w:r w:rsidRPr="007A186D">
              <w:rPr>
                <w:rFonts w:eastAsia="Calibri"/>
                <w:b/>
                <w:sz w:val="20"/>
                <w:szCs w:val="20"/>
                <w:lang w:val="es-ES_tradnl" w:eastAsia="en-US"/>
              </w:rPr>
              <w:t>Actividad Industrial Total</w:t>
            </w:r>
          </w:p>
        </w:tc>
        <w:tc>
          <w:tcPr>
            <w:tcW w:w="1133" w:type="dxa"/>
            <w:tcBorders>
              <w:bottom w:val="nil"/>
            </w:tcBorders>
          </w:tcPr>
          <w:p w14:paraId="3E99C0AF" w14:textId="77777777" w:rsidR="007A186D" w:rsidRPr="007A186D" w:rsidRDefault="007A186D" w:rsidP="007A186D">
            <w:pPr>
              <w:ind w:right="340"/>
              <w:jc w:val="right"/>
              <w:rPr>
                <w:rFonts w:eastAsia="Calibri"/>
                <w:b/>
                <w:sz w:val="20"/>
                <w:szCs w:val="20"/>
                <w:lang w:val="es-ES_tradnl" w:eastAsia="en-US"/>
              </w:rPr>
            </w:pPr>
            <w:r w:rsidRPr="007A186D">
              <w:rPr>
                <w:rFonts w:eastAsia="Calibri"/>
                <w:b/>
                <w:sz w:val="20"/>
                <w:szCs w:val="20"/>
                <w:lang w:val="es-ES_tradnl" w:eastAsia="en-US"/>
              </w:rPr>
              <w:t>1.6</w:t>
            </w:r>
          </w:p>
        </w:tc>
        <w:tc>
          <w:tcPr>
            <w:tcW w:w="993" w:type="dxa"/>
            <w:tcBorders>
              <w:bottom w:val="nil"/>
            </w:tcBorders>
          </w:tcPr>
          <w:p w14:paraId="2B81C029" w14:textId="77777777" w:rsidR="007A186D" w:rsidRPr="007A186D" w:rsidRDefault="007A186D" w:rsidP="007A186D">
            <w:pPr>
              <w:ind w:right="284"/>
              <w:jc w:val="right"/>
              <w:rPr>
                <w:rFonts w:eastAsia="Calibri"/>
                <w:b/>
                <w:sz w:val="20"/>
                <w:szCs w:val="20"/>
                <w:lang w:val="es-ES_tradnl" w:eastAsia="en-US"/>
              </w:rPr>
            </w:pPr>
            <w:r w:rsidRPr="007A186D">
              <w:rPr>
                <w:rFonts w:eastAsia="Calibri"/>
                <w:b/>
                <w:sz w:val="20"/>
                <w:szCs w:val="20"/>
                <w:lang w:val="es-ES_tradnl" w:eastAsia="en-US"/>
              </w:rPr>
              <w:t>1.2</w:t>
            </w:r>
          </w:p>
        </w:tc>
      </w:tr>
      <w:tr w:rsidR="007A186D" w:rsidRPr="007A186D" w14:paraId="69343B0D" w14:textId="77777777" w:rsidTr="00835D95">
        <w:trPr>
          <w:jc w:val="center"/>
        </w:trPr>
        <w:tc>
          <w:tcPr>
            <w:tcW w:w="5104" w:type="dxa"/>
            <w:tcBorders>
              <w:top w:val="nil"/>
              <w:bottom w:val="nil"/>
            </w:tcBorders>
          </w:tcPr>
          <w:p w14:paraId="713E7F33"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Minería</w:t>
            </w:r>
          </w:p>
        </w:tc>
        <w:tc>
          <w:tcPr>
            <w:tcW w:w="1133" w:type="dxa"/>
            <w:tcBorders>
              <w:top w:val="nil"/>
              <w:bottom w:val="nil"/>
            </w:tcBorders>
          </w:tcPr>
          <w:p w14:paraId="05A2A890"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-3.8</w:t>
            </w:r>
          </w:p>
        </w:tc>
        <w:tc>
          <w:tcPr>
            <w:tcW w:w="993" w:type="dxa"/>
            <w:tcBorders>
              <w:top w:val="nil"/>
              <w:bottom w:val="nil"/>
            </w:tcBorders>
          </w:tcPr>
          <w:p w14:paraId="4C29587B"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-4.8</w:t>
            </w:r>
          </w:p>
        </w:tc>
      </w:tr>
      <w:tr w:rsidR="007A186D" w:rsidRPr="007A186D" w14:paraId="09D57C2A" w14:textId="77777777" w:rsidTr="00835D95">
        <w:trPr>
          <w:jc w:val="center"/>
        </w:trPr>
        <w:tc>
          <w:tcPr>
            <w:tcW w:w="5104" w:type="dxa"/>
            <w:tcBorders>
              <w:top w:val="nil"/>
              <w:bottom w:val="nil"/>
            </w:tcBorders>
          </w:tcPr>
          <w:p w14:paraId="13CA4FCC" w14:textId="77777777" w:rsidR="007A186D" w:rsidRPr="007A186D" w:rsidRDefault="007A186D" w:rsidP="007A186D">
            <w:pPr>
              <w:ind w:left="284"/>
              <w:jc w:val="both"/>
              <w:rPr>
                <w:rFonts w:eastAsia="Calibri"/>
                <w:sz w:val="20"/>
                <w:szCs w:val="20"/>
                <w:lang w:val="es-ES_tradnl" w:eastAsia="en-US"/>
              </w:rPr>
            </w:pPr>
            <w:r w:rsidRPr="007A186D">
              <w:rPr>
                <w:rFonts w:eastAsia="Calibri"/>
                <w:sz w:val="20"/>
                <w:szCs w:val="20"/>
                <w:lang w:val="es-ES_tradnl" w:eastAsia="en-US"/>
              </w:rPr>
              <w:t>Petrolera</w:t>
            </w:r>
          </w:p>
        </w:tc>
        <w:tc>
          <w:tcPr>
            <w:tcW w:w="1133" w:type="dxa"/>
            <w:tcBorders>
              <w:top w:val="nil"/>
              <w:bottom w:val="nil"/>
            </w:tcBorders>
          </w:tcPr>
          <w:p w14:paraId="5363F211"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-4.9</w:t>
            </w:r>
          </w:p>
        </w:tc>
        <w:tc>
          <w:tcPr>
            <w:tcW w:w="993" w:type="dxa"/>
            <w:tcBorders>
              <w:top w:val="nil"/>
              <w:bottom w:val="nil"/>
            </w:tcBorders>
          </w:tcPr>
          <w:p w14:paraId="3C4A4F6A"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-6.3</w:t>
            </w:r>
          </w:p>
        </w:tc>
      </w:tr>
      <w:tr w:rsidR="007A186D" w:rsidRPr="007A186D" w14:paraId="6470E174" w14:textId="77777777" w:rsidTr="00835D95">
        <w:trPr>
          <w:jc w:val="center"/>
        </w:trPr>
        <w:tc>
          <w:tcPr>
            <w:tcW w:w="5104" w:type="dxa"/>
            <w:tcBorders>
              <w:top w:val="nil"/>
              <w:bottom w:val="nil"/>
            </w:tcBorders>
          </w:tcPr>
          <w:p w14:paraId="5E0904E3" w14:textId="77777777" w:rsidR="007A186D" w:rsidRPr="007A186D" w:rsidRDefault="007A186D" w:rsidP="007A186D">
            <w:pPr>
              <w:ind w:left="284"/>
              <w:jc w:val="both"/>
              <w:rPr>
                <w:rFonts w:eastAsia="Calibri"/>
                <w:sz w:val="20"/>
                <w:szCs w:val="20"/>
                <w:lang w:val="es-ES_tradnl" w:eastAsia="en-US"/>
              </w:rPr>
            </w:pPr>
            <w:r w:rsidRPr="007A186D">
              <w:rPr>
                <w:rFonts w:eastAsia="Calibri"/>
                <w:sz w:val="20"/>
                <w:szCs w:val="20"/>
                <w:lang w:val="es-ES_tradnl" w:eastAsia="en-US"/>
              </w:rPr>
              <w:t>No petrolera</w:t>
            </w:r>
          </w:p>
        </w:tc>
        <w:tc>
          <w:tcPr>
            <w:tcW w:w="1133" w:type="dxa"/>
            <w:tcBorders>
              <w:top w:val="nil"/>
              <w:bottom w:val="nil"/>
            </w:tcBorders>
          </w:tcPr>
          <w:p w14:paraId="1B0D6A0F"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0.4</w:t>
            </w:r>
          </w:p>
        </w:tc>
        <w:tc>
          <w:tcPr>
            <w:tcW w:w="993" w:type="dxa"/>
            <w:tcBorders>
              <w:top w:val="nil"/>
              <w:bottom w:val="nil"/>
            </w:tcBorders>
          </w:tcPr>
          <w:p w14:paraId="6CAA8302"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0.8</w:t>
            </w:r>
          </w:p>
        </w:tc>
      </w:tr>
      <w:tr w:rsidR="007A186D" w:rsidRPr="007A186D" w14:paraId="7CD0033A" w14:textId="77777777" w:rsidTr="00835D95">
        <w:trPr>
          <w:jc w:val="center"/>
        </w:trPr>
        <w:tc>
          <w:tcPr>
            <w:tcW w:w="5104" w:type="dxa"/>
            <w:tcBorders>
              <w:top w:val="nil"/>
              <w:bottom w:val="nil"/>
            </w:tcBorders>
          </w:tcPr>
          <w:p w14:paraId="5986178D"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Generación, transmisión y distribución de energía eléctrica, suministro de agua y de gas por ductos al consumidor final</w:t>
            </w:r>
          </w:p>
        </w:tc>
        <w:tc>
          <w:tcPr>
            <w:tcW w:w="1133" w:type="dxa"/>
            <w:tcBorders>
              <w:top w:val="nil"/>
              <w:bottom w:val="nil"/>
            </w:tcBorders>
            <w:vAlign w:val="center"/>
          </w:tcPr>
          <w:p w14:paraId="08425218"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3.8</w:t>
            </w:r>
          </w:p>
        </w:tc>
        <w:tc>
          <w:tcPr>
            <w:tcW w:w="993" w:type="dxa"/>
            <w:tcBorders>
              <w:top w:val="nil"/>
              <w:bottom w:val="nil"/>
            </w:tcBorders>
          </w:tcPr>
          <w:p w14:paraId="73541C56"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3.4</w:t>
            </w:r>
          </w:p>
        </w:tc>
      </w:tr>
      <w:tr w:rsidR="007A186D" w:rsidRPr="007A186D" w14:paraId="498511A9" w14:textId="77777777" w:rsidTr="00835D95">
        <w:trPr>
          <w:jc w:val="center"/>
        </w:trPr>
        <w:tc>
          <w:tcPr>
            <w:tcW w:w="5104" w:type="dxa"/>
            <w:tcBorders>
              <w:top w:val="nil"/>
              <w:bottom w:val="nil"/>
            </w:tcBorders>
          </w:tcPr>
          <w:p w14:paraId="5318CF2A"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Construcción</w:t>
            </w:r>
          </w:p>
        </w:tc>
        <w:tc>
          <w:tcPr>
            <w:tcW w:w="1133" w:type="dxa"/>
            <w:tcBorders>
              <w:top w:val="nil"/>
              <w:bottom w:val="nil"/>
            </w:tcBorders>
          </w:tcPr>
          <w:p w14:paraId="79D06B46"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1.1</w:t>
            </w:r>
          </w:p>
        </w:tc>
        <w:tc>
          <w:tcPr>
            <w:tcW w:w="993" w:type="dxa"/>
            <w:tcBorders>
              <w:top w:val="nil"/>
              <w:bottom w:val="nil"/>
            </w:tcBorders>
          </w:tcPr>
          <w:p w14:paraId="4BB067A5"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3.6</w:t>
            </w:r>
          </w:p>
        </w:tc>
      </w:tr>
      <w:tr w:rsidR="007A186D" w:rsidRPr="007A186D" w14:paraId="2BBEC8F8" w14:textId="77777777" w:rsidTr="00835D95">
        <w:trPr>
          <w:jc w:val="center"/>
        </w:trPr>
        <w:tc>
          <w:tcPr>
            <w:tcW w:w="5104" w:type="dxa"/>
            <w:tcBorders>
              <w:top w:val="nil"/>
              <w:bottom w:val="single" w:sz="4" w:space="0" w:color="auto"/>
            </w:tcBorders>
          </w:tcPr>
          <w:p w14:paraId="11036FBE"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lang w:val="es-ES_tradnl" w:eastAsia="en-US"/>
              </w:rPr>
              <w:t>Industrias Manufacturera</w:t>
            </w:r>
          </w:p>
        </w:tc>
        <w:tc>
          <w:tcPr>
            <w:tcW w:w="1133" w:type="dxa"/>
            <w:tcBorders>
              <w:top w:val="nil"/>
              <w:bottom w:val="single" w:sz="4" w:space="0" w:color="auto"/>
            </w:tcBorders>
          </w:tcPr>
          <w:p w14:paraId="4BE27C5A" w14:textId="77777777" w:rsidR="007A186D" w:rsidRPr="007A186D" w:rsidRDefault="007A186D" w:rsidP="007A186D">
            <w:pPr>
              <w:ind w:right="340"/>
              <w:jc w:val="right"/>
              <w:rPr>
                <w:rFonts w:eastAsia="Calibri"/>
                <w:sz w:val="20"/>
                <w:szCs w:val="20"/>
                <w:lang w:val="es-ES_tradnl" w:eastAsia="en-US"/>
              </w:rPr>
            </w:pPr>
            <w:r w:rsidRPr="007A186D">
              <w:rPr>
                <w:rFonts w:eastAsia="Calibri"/>
                <w:sz w:val="20"/>
                <w:szCs w:val="20"/>
                <w:lang w:val="es-ES_tradnl" w:eastAsia="en-US"/>
              </w:rPr>
              <w:t>4.0</w:t>
            </w:r>
          </w:p>
        </w:tc>
        <w:tc>
          <w:tcPr>
            <w:tcW w:w="993" w:type="dxa"/>
            <w:tcBorders>
              <w:top w:val="nil"/>
              <w:bottom w:val="single" w:sz="4" w:space="0" w:color="auto"/>
            </w:tcBorders>
          </w:tcPr>
          <w:p w14:paraId="4AC9689A" w14:textId="77777777" w:rsidR="007A186D" w:rsidRPr="007A186D" w:rsidRDefault="007A186D" w:rsidP="007A186D">
            <w:pPr>
              <w:ind w:right="284"/>
              <w:jc w:val="right"/>
              <w:rPr>
                <w:rFonts w:eastAsia="Calibri"/>
                <w:sz w:val="20"/>
                <w:szCs w:val="20"/>
                <w:lang w:val="es-ES_tradnl" w:eastAsia="en-US"/>
              </w:rPr>
            </w:pPr>
            <w:r w:rsidRPr="007A186D">
              <w:rPr>
                <w:rFonts w:eastAsia="Calibri"/>
                <w:sz w:val="20"/>
                <w:szCs w:val="20"/>
                <w:lang w:val="es-ES_tradnl" w:eastAsia="en-US"/>
              </w:rPr>
              <w:t>2.7</w:t>
            </w:r>
          </w:p>
        </w:tc>
      </w:tr>
      <w:tr w:rsidR="007A186D" w:rsidRPr="007A186D" w14:paraId="3BE7046F" w14:textId="77777777" w:rsidTr="00835D95">
        <w:trPr>
          <w:jc w:val="center"/>
        </w:trPr>
        <w:tc>
          <w:tcPr>
            <w:tcW w:w="7230" w:type="dxa"/>
            <w:gridSpan w:val="3"/>
            <w:tcBorders>
              <w:left w:val="nil"/>
              <w:bottom w:val="nil"/>
              <w:right w:val="nil"/>
            </w:tcBorders>
          </w:tcPr>
          <w:p w14:paraId="51309095" w14:textId="77777777" w:rsidR="007A186D" w:rsidRPr="007A186D" w:rsidRDefault="007A186D" w:rsidP="007A186D">
            <w:pPr>
              <w:jc w:val="both"/>
              <w:rPr>
                <w:rFonts w:eastAsia="Calibri"/>
                <w:sz w:val="20"/>
                <w:szCs w:val="20"/>
                <w:lang w:val="es-ES_tradnl" w:eastAsia="en-US"/>
              </w:rPr>
            </w:pPr>
            <w:r w:rsidRPr="007A186D">
              <w:rPr>
                <w:rFonts w:eastAsia="Calibri"/>
                <w:sz w:val="20"/>
                <w:szCs w:val="20"/>
                <w:u w:val="single"/>
                <w:lang w:val="es-ES_tradnl" w:eastAsia="en-US"/>
              </w:rPr>
              <w:t>p</w:t>
            </w:r>
            <w:r w:rsidRPr="007A186D">
              <w:rPr>
                <w:rFonts w:eastAsia="Calibri"/>
                <w:sz w:val="20"/>
                <w:szCs w:val="20"/>
                <w:lang w:val="es-ES_tradnl" w:eastAsia="en-US"/>
              </w:rPr>
              <w:t>/ Cifras preliminares.</w:t>
            </w:r>
          </w:p>
          <w:p w14:paraId="4F2790B3" w14:textId="77777777" w:rsidR="007A186D" w:rsidRPr="007A186D" w:rsidRDefault="007A186D" w:rsidP="007A186D">
            <w:pPr>
              <w:jc w:val="both"/>
              <w:rPr>
                <w:rFonts w:eastAsia="Calibri"/>
                <w:sz w:val="20"/>
                <w:szCs w:val="20"/>
                <w:u w:val="single"/>
                <w:lang w:val="es-ES_tradnl" w:eastAsia="en-US"/>
              </w:rPr>
            </w:pPr>
            <w:r w:rsidRPr="007A186D">
              <w:rPr>
                <w:rFonts w:eastAsia="Calibri"/>
                <w:sz w:val="20"/>
                <w:szCs w:val="20"/>
                <w:lang w:val="es-ES_tradnl" w:eastAsia="en-US"/>
              </w:rPr>
              <w:t>FUENTE: INEGI.</w:t>
            </w:r>
          </w:p>
        </w:tc>
      </w:tr>
    </w:tbl>
    <w:p w14:paraId="28A1F543" w14:textId="77777777" w:rsidR="007A186D" w:rsidRPr="007A186D" w:rsidRDefault="007A186D" w:rsidP="007A186D">
      <w:pPr>
        <w:spacing w:after="360" w:line="360" w:lineRule="auto"/>
        <w:ind w:right="-159"/>
        <w:jc w:val="both"/>
        <w:rPr>
          <w:rFonts w:eastAsia="Calibri"/>
          <w:sz w:val="26"/>
          <w:szCs w:val="26"/>
          <w:lang w:val="es-ES_tradnl" w:eastAsia="en-US"/>
        </w:rPr>
      </w:pPr>
    </w:p>
    <w:p w14:paraId="1753406B" w14:textId="77777777" w:rsidR="007A186D" w:rsidRPr="007A186D" w:rsidRDefault="007A186D" w:rsidP="007A186D">
      <w:pPr>
        <w:ind w:right="-159"/>
        <w:jc w:val="both"/>
        <w:rPr>
          <w:rFonts w:eastAsia="Calibri"/>
          <w:b/>
          <w:sz w:val="20"/>
          <w:szCs w:val="20"/>
          <w:lang w:val="es-ES_tradnl" w:eastAsia="en-US"/>
        </w:rPr>
      </w:pPr>
      <w:r w:rsidRPr="007A186D">
        <w:rPr>
          <w:rFonts w:eastAsia="Calibri"/>
          <w:b/>
          <w:sz w:val="20"/>
          <w:szCs w:val="20"/>
          <w:lang w:val="es-ES_tradnl" w:eastAsia="en-US"/>
        </w:rPr>
        <w:t>Fuente de información:</w:t>
      </w:r>
    </w:p>
    <w:p w14:paraId="6FDB0A35" w14:textId="77777777" w:rsidR="007A186D" w:rsidRPr="00372137" w:rsidRDefault="0045651A" w:rsidP="00372137">
      <w:pPr>
        <w:spacing w:after="720"/>
        <w:rPr>
          <w:color w:val="0000FF"/>
          <w:sz w:val="20"/>
          <w:szCs w:val="20"/>
        </w:rPr>
      </w:pPr>
      <w:hyperlink r:id="rId50" w:history="1">
        <w:r w:rsidR="007A186D" w:rsidRPr="00372137">
          <w:rPr>
            <w:color w:val="0000FF"/>
            <w:sz w:val="20"/>
            <w:szCs w:val="20"/>
            <w:u w:val="single"/>
          </w:rPr>
          <w:t>http://www.inegi.org.mx/saladeprensa/boletines/2015/actind/actind2015_04.pdf</w:t>
        </w:r>
      </w:hyperlink>
      <w:r w:rsidR="007A186D" w:rsidRPr="00372137">
        <w:rPr>
          <w:color w:val="0000FF"/>
          <w:sz w:val="20"/>
          <w:szCs w:val="20"/>
        </w:rPr>
        <w:t xml:space="preserve"> </w:t>
      </w:r>
    </w:p>
    <w:p w14:paraId="6CEEB0EA" w14:textId="77777777" w:rsidR="00CF5217" w:rsidRPr="00CF5217" w:rsidRDefault="00CF5217" w:rsidP="00CF5217">
      <w:pPr>
        <w:ind w:right="-159"/>
        <w:jc w:val="both"/>
        <w:rPr>
          <w:rFonts w:eastAsia="Calibri"/>
          <w:b/>
          <w:sz w:val="26"/>
          <w:szCs w:val="26"/>
          <w:lang w:eastAsia="en-US"/>
        </w:rPr>
      </w:pPr>
      <w:r w:rsidRPr="00CF5217">
        <w:rPr>
          <w:rFonts w:eastAsia="Calibri"/>
          <w:b/>
          <w:sz w:val="26"/>
          <w:szCs w:val="26"/>
          <w:lang w:eastAsia="en-US"/>
        </w:rPr>
        <w:t>Instalan  mesa de  coordinación  “México</w:t>
      </w:r>
    </w:p>
    <w:p w14:paraId="1C05F85F" w14:textId="77777777" w:rsidR="00CF5217" w:rsidRPr="00CF5217" w:rsidRDefault="00CF5217" w:rsidP="00CF5217">
      <w:pPr>
        <w:spacing w:after="360" w:line="360" w:lineRule="auto"/>
        <w:ind w:right="-159"/>
        <w:jc w:val="both"/>
        <w:rPr>
          <w:rFonts w:eastAsia="Calibri"/>
          <w:b/>
          <w:sz w:val="26"/>
          <w:szCs w:val="26"/>
          <w:lang w:eastAsia="en-US"/>
        </w:rPr>
      </w:pPr>
      <w:r w:rsidRPr="00CF5217">
        <w:rPr>
          <w:rFonts w:eastAsia="Calibri"/>
          <w:b/>
          <w:sz w:val="26"/>
          <w:szCs w:val="26"/>
          <w:lang w:eastAsia="en-US"/>
        </w:rPr>
        <w:t>Conectado” (Presidencia de la República)</w:t>
      </w:r>
    </w:p>
    <w:p w14:paraId="2C1615A0"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 xml:space="preserve">El 6 de abril de 2015, la Presidencia de la República comunicó que en el marco de la instalación de la Mesa de Coordinación México Conectado, en el Estado de Nuevo León, el Primer Mandatario atestiguó la firma del Convenio Marco de Coordinación del Proyecto México Conectado, entre la Secretaría de Comunicaciones y Transportes (SCT) y el Gobierno del Estado de Nuevo León. A continuación se presentan los detalles. </w:t>
      </w:r>
    </w:p>
    <w:p w14:paraId="66486F0B"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El Presidente de la República afirmó que mayor conectividad y mayor acceso a las tecnologías de la información, así como el uso de estas herramientas, “nos van a permitir seguir avanzando, paso a paso, en lo que todos queremos: un México de mayores oportunidades para su gente, y más próspero para todos los mexicanos”.</w:t>
      </w:r>
    </w:p>
    <w:p w14:paraId="03D8E3A0"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 xml:space="preserve">Al encabezar la instalación de la Mesa de Coordinación México Conectado, en Nuevo León, el Primer Mandatario aseveró que las nuevas herramientas tecnológicas brindarán </w:t>
      </w:r>
      <w:r w:rsidRPr="00CF5217">
        <w:rPr>
          <w:rFonts w:eastAsia="Calibri"/>
          <w:sz w:val="26"/>
          <w:szCs w:val="26"/>
          <w:lang w:eastAsia="en-US"/>
        </w:rPr>
        <w:lastRenderedPageBreak/>
        <w:t>los medios “para que cada mexicano pueda trazarse una ruta de vida, una ruta digna que les depare otro gran objetivo que tenemos como país: el de un México próspero”.</w:t>
      </w:r>
    </w:p>
    <w:p w14:paraId="32A11072"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En el evento, en el que atestiguó la firma del Convenio Marco de Coordinación del Proyecto México Conectado, entre la Secretaría de Comunicaciones y Transportes y el Gobierno del Estado de Nuevo León, el Presidente de la República informó que como consecuencia de la Reforma en Telecomunicaciones, a la fecha ya hay 65 mil espacios públicos conectados de manera gratuita a la red de internet de banda ancha. La meta para este año es alcanzar 100 mil espacios públicos conectados, y 250 mil al final de la Administración.</w:t>
      </w:r>
    </w:p>
    <w:p w14:paraId="6800BC67"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Apuntó que en poco más de un año, a partir de la Reforma en Telecomunicaciones, el país registró un incremento de 16% en los usuarios de internet. Hoy 47.4 millones de mexicanos tienen acceso a esta herramienta. Añadió que en los últimos dos años la conexión a la banda ancha móvil pasó de 21 a 40% de la población.</w:t>
      </w:r>
    </w:p>
    <w:p w14:paraId="7F48B732" w14:textId="2FA8564E"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Agregó que con los espacios públicos conectados a internet de banda ancha</w:t>
      </w:r>
      <w:r w:rsidR="00251E61">
        <w:rPr>
          <w:rFonts w:eastAsia="Calibri"/>
          <w:sz w:val="26"/>
          <w:szCs w:val="26"/>
          <w:lang w:eastAsia="en-US"/>
        </w:rPr>
        <w:t>,</w:t>
      </w:r>
      <w:r w:rsidRPr="00CF5217">
        <w:rPr>
          <w:rFonts w:eastAsia="Calibri"/>
          <w:sz w:val="26"/>
          <w:szCs w:val="26"/>
          <w:lang w:eastAsia="en-US"/>
        </w:rPr>
        <w:t xml:space="preserve"> México está mejor conectado y más población tiene acceso a estos servicios, pero además “puede acceder a ellos de manera gratuita o también lo pueden hacer a través de los medios que ofrecen distintas empresas proveedoras a mejores precios”.</w:t>
      </w:r>
    </w:p>
    <w:p w14:paraId="23A8FC11" w14:textId="74CCDEC6"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 xml:space="preserve">De hecho, continuó, “el acceso al internet móvil, al que tienen en sus celulares, ha crecido de manera muy importante y ha habido una reducción en los precios que hoy se ofertan, del 17%. </w:t>
      </w:r>
      <w:r w:rsidR="00251E61">
        <w:rPr>
          <w:rFonts w:eastAsia="Calibri"/>
          <w:sz w:val="26"/>
          <w:szCs w:val="26"/>
          <w:lang w:eastAsia="en-US"/>
        </w:rPr>
        <w:t>É</w:t>
      </w:r>
      <w:r w:rsidRPr="00CF5217">
        <w:rPr>
          <w:rFonts w:eastAsia="Calibri"/>
          <w:sz w:val="26"/>
          <w:szCs w:val="26"/>
          <w:lang w:eastAsia="en-US"/>
        </w:rPr>
        <w:t>stos son beneficios para la población que no pueden pasar desapercibidos; éstas son las reformas en acción y muy particularmente la Reforma en Telecomunicaciones para lograr el México Conectado”.</w:t>
      </w:r>
    </w:p>
    <w:p w14:paraId="24DAD83E"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 xml:space="preserve">Recordó que en cada entidad federativa se establecerán los Puntos México Conectado, “en donde hoy no sólo se da a la población la oportunidad de tener acceso a internet de </w:t>
      </w:r>
      <w:r w:rsidRPr="00CF5217">
        <w:rPr>
          <w:rFonts w:eastAsia="Calibri"/>
          <w:sz w:val="26"/>
          <w:szCs w:val="26"/>
          <w:lang w:eastAsia="en-US"/>
        </w:rPr>
        <w:lastRenderedPageBreak/>
        <w:t>forma gratuita, sino además de prepararse, educarse y formarse en el uso de estas tecnologías”.</w:t>
      </w:r>
    </w:p>
    <w:p w14:paraId="7AA6819C"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Junto a ello, añadió, “no es menor el esfuerzo que en materia educativa el Gobierno de la República viene desplegando”, y por eso la entrega de tabletas con acceso a internet a los niños de quinto y sexto de primaria “para que también se formen en el acceso de las tecnologías de la información”.</w:t>
      </w:r>
    </w:p>
    <w:p w14:paraId="60C73BA0"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Dio indicaciones al titular de la SCT para evaluar, auditar y supervisar el funcionamiento de todos los espacios públicos conectados a internet de banda ancha.</w:t>
      </w:r>
    </w:p>
    <w:p w14:paraId="56475000"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Precisó que todo este esfuerzo que despliega el Gobierno de la República, atendiendo el mandato constitucional para lograr un México Conectado, tiene como fin cerrar la brecha digital que hay en nuestro país y alcanzar lo que sin duda es el reto de nuestro siglo: “la alfabetización digital, el lograr que todos los mexicanos tengan acceso a las tecnologías de la información”.</w:t>
      </w:r>
    </w:p>
    <w:p w14:paraId="08D4F8E7" w14:textId="77777777" w:rsidR="00CF5217" w:rsidRPr="00CF5217" w:rsidRDefault="00CF5217" w:rsidP="00CF5217">
      <w:pPr>
        <w:spacing w:after="360" w:line="360" w:lineRule="auto"/>
        <w:ind w:right="-159"/>
        <w:jc w:val="both"/>
        <w:rPr>
          <w:rFonts w:eastAsia="Calibri"/>
          <w:b/>
          <w:sz w:val="26"/>
          <w:szCs w:val="26"/>
          <w:lang w:eastAsia="en-US"/>
        </w:rPr>
      </w:pPr>
      <w:r w:rsidRPr="00CF5217">
        <w:rPr>
          <w:rFonts w:eastAsia="Calibri"/>
          <w:b/>
          <w:sz w:val="26"/>
          <w:szCs w:val="26"/>
          <w:lang w:eastAsia="en-US"/>
        </w:rPr>
        <w:t>Diversas intervenciones</w:t>
      </w:r>
    </w:p>
    <w:p w14:paraId="6D5D74C8" w14:textId="77777777" w:rsidR="00CF5217" w:rsidRPr="00CF5217" w:rsidRDefault="00CF5217" w:rsidP="00762467">
      <w:pPr>
        <w:numPr>
          <w:ilvl w:val="0"/>
          <w:numId w:val="60"/>
        </w:numPr>
        <w:spacing w:after="360"/>
        <w:ind w:left="357" w:right="-159" w:hanging="357"/>
        <w:jc w:val="both"/>
        <w:rPr>
          <w:rFonts w:eastAsia="Calibri"/>
          <w:b/>
          <w:sz w:val="26"/>
          <w:szCs w:val="26"/>
          <w:lang w:eastAsia="en-US"/>
        </w:rPr>
      </w:pPr>
      <w:r w:rsidRPr="00CF5217">
        <w:rPr>
          <w:rFonts w:eastAsia="Calibri"/>
          <w:b/>
          <w:sz w:val="26"/>
          <w:szCs w:val="26"/>
          <w:lang w:eastAsia="en-US"/>
        </w:rPr>
        <w:t>La Reforma en Telecomunicaciones está haciendo realidad el derecho a la banda ancha y al internet cambiando la vida de millones de mexicanos</w:t>
      </w:r>
    </w:p>
    <w:p w14:paraId="355605B5"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El Secretario de Comunicaciones y Transportes</w:t>
      </w:r>
      <w:r w:rsidRPr="00CF5217">
        <w:rPr>
          <w:rFonts w:eastAsia="Calibri"/>
          <w:sz w:val="26"/>
          <w:szCs w:val="26"/>
          <w:vertAlign w:val="superscript"/>
          <w:lang w:eastAsia="en-US"/>
        </w:rPr>
        <w:footnoteReference w:id="2"/>
      </w:r>
      <w:r w:rsidRPr="00CF5217">
        <w:rPr>
          <w:rFonts w:eastAsia="Calibri"/>
          <w:sz w:val="26"/>
          <w:szCs w:val="26"/>
          <w:lang w:eastAsia="en-US"/>
        </w:rPr>
        <w:t xml:space="preserve"> destacó que la Reforma en Telecomunicaciones impulsada por el Presidente de la República “es mucho más que un logro político y técnico; es un logro que está cambiando la vida de millones de mexicanos”, y está haciendo realidad el nuevo derecho a la banda ancha y al Internet con el apoyo del proyecto México Conectado, aseguró.</w:t>
      </w:r>
    </w:p>
    <w:p w14:paraId="4025BDB5"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lastRenderedPageBreak/>
        <w:t>Refirió que la misma Reforma ordena poner en marcha un programa de banda ancha en sitios públicos hasta alcanzar la cobertura universal, éste es el Proyecto México Conectado, precisó.</w:t>
      </w:r>
    </w:p>
    <w:p w14:paraId="222BB107"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Comentó que de acuerdo con datos del Instituto Federal de Telecomunicaciones, de diciembre de 2012 a junio de 2014, la penetración de la banda ancha inalámbrica se duplicó, ubicando a México en niveles superiores a países como Hungría, Portugal y Turquía que antes de la mencionada Reforma no superaba.</w:t>
      </w:r>
    </w:p>
    <w:p w14:paraId="01330DB3" w14:textId="0E39ECFE"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 xml:space="preserve">Asimismo, con respecto a América Latina, hasta hace poco México estaba rezagado en penetración de banda ancha. Hoy sólo es superado por Chile, indicó. Gracias a la Reforma en Telecomunicaciones, añadió, “México es hoy uno de los países de la </w:t>
      </w:r>
      <w:r w:rsidR="00CA7282">
        <w:rPr>
          <w:rFonts w:eastAsia="Calibri"/>
          <w:sz w:val="26"/>
          <w:szCs w:val="26"/>
          <w:lang w:eastAsia="en-US"/>
        </w:rPr>
        <w:t>Organización para la Cooperación y el Desarrollo Económicos (</w:t>
      </w:r>
      <w:r w:rsidRPr="00CF5217">
        <w:rPr>
          <w:rFonts w:eastAsia="Calibri"/>
          <w:sz w:val="26"/>
          <w:szCs w:val="26"/>
          <w:lang w:eastAsia="en-US"/>
        </w:rPr>
        <w:t>OCDE</w:t>
      </w:r>
      <w:r w:rsidR="00CA7282">
        <w:rPr>
          <w:rFonts w:eastAsia="Calibri"/>
          <w:sz w:val="26"/>
          <w:szCs w:val="26"/>
          <w:lang w:eastAsia="en-US"/>
        </w:rPr>
        <w:t>)</w:t>
      </w:r>
      <w:r w:rsidRPr="00CF5217">
        <w:rPr>
          <w:rFonts w:eastAsia="Calibri"/>
          <w:sz w:val="26"/>
          <w:szCs w:val="26"/>
          <w:lang w:eastAsia="en-US"/>
        </w:rPr>
        <w:t xml:space="preserve"> con una regulación menos restrictiva, cuando antes estábamos en los últimos lugares”.</w:t>
      </w:r>
    </w:p>
    <w:p w14:paraId="1EA14054" w14:textId="77777777" w:rsidR="00CF5217" w:rsidRPr="00CF5217" w:rsidRDefault="00CF5217" w:rsidP="00762467">
      <w:pPr>
        <w:numPr>
          <w:ilvl w:val="0"/>
          <w:numId w:val="60"/>
        </w:numPr>
        <w:spacing w:after="360"/>
        <w:ind w:left="357" w:right="-159" w:hanging="357"/>
        <w:jc w:val="both"/>
        <w:rPr>
          <w:rFonts w:eastAsia="Calibri"/>
          <w:b/>
          <w:sz w:val="26"/>
          <w:szCs w:val="26"/>
          <w:lang w:eastAsia="en-US"/>
        </w:rPr>
      </w:pPr>
      <w:r w:rsidRPr="00CF5217">
        <w:rPr>
          <w:rFonts w:eastAsia="Calibri"/>
          <w:b/>
          <w:sz w:val="26"/>
          <w:szCs w:val="26"/>
          <w:lang w:eastAsia="en-US"/>
        </w:rPr>
        <w:t>El proyecto México conectado ayudará a construir una sociedad más informada, libre y competitiva</w:t>
      </w:r>
    </w:p>
    <w:p w14:paraId="2B2DA81E"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El Gobernador del estado de Nuevo León aseguró que esta entidad se suma a la política del Gobierno de la República de combate al analfabetismo digital. Indicó que el proyecto México Conectado colocará al país en una escala más alta de satisfactores alcanzados por nuestra sociedad, y sin duda, “va a ayudar a construir una sociedad mejor y más informada, libre y competitiva, en el horizonte del México que queremos y estamos destinados a ser”.</w:t>
      </w:r>
    </w:p>
    <w:p w14:paraId="11973E76"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Aseveró que “el Gobierno de la República planteó un cambio de paradigma para aprovechar los potenciales y las riquezas de nuestro país, y el día de hoy somos testigos de uno de muchos resultados de este cambio, de cómo una vez más se cumple de manera objetiva y tangible, un compromiso importante que cambiará la vida de muchos mexicanos”.</w:t>
      </w:r>
    </w:p>
    <w:p w14:paraId="7243EF7F"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lastRenderedPageBreak/>
        <w:t>Agregó que las Reformas que México emprendió en los sectores de telecomunicaciones, energía, educación, trabajo y previsión social, entre otras, se empiezan a traducir en una mejor calidad de vida para todos; y enfatizó que “México se encuentra hoy en el umbral de una profunda transformación histórica, gracias al gran proceso transformador y reformador impulsado por nuestro Presidente”.</w:t>
      </w:r>
    </w:p>
    <w:p w14:paraId="3347CD4B" w14:textId="77777777" w:rsidR="00CF5217" w:rsidRPr="00CF5217" w:rsidRDefault="00CF5217" w:rsidP="00762467">
      <w:pPr>
        <w:numPr>
          <w:ilvl w:val="0"/>
          <w:numId w:val="60"/>
        </w:numPr>
        <w:spacing w:after="360"/>
        <w:ind w:left="357" w:right="-159" w:hanging="357"/>
        <w:jc w:val="both"/>
        <w:rPr>
          <w:rFonts w:eastAsia="Calibri"/>
          <w:b/>
          <w:sz w:val="26"/>
          <w:szCs w:val="26"/>
          <w:lang w:eastAsia="en-US"/>
        </w:rPr>
      </w:pPr>
      <w:r w:rsidRPr="00CF5217">
        <w:rPr>
          <w:rFonts w:eastAsia="Calibri"/>
          <w:b/>
          <w:sz w:val="26"/>
          <w:szCs w:val="26"/>
          <w:lang w:eastAsia="en-US"/>
        </w:rPr>
        <w:t>México conectado democratiza el acceso a internet</w:t>
      </w:r>
    </w:p>
    <w:p w14:paraId="649B7290"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La Coordinadora de la Sociedad de la Información y el Conocimiento de la SCT afirmó que México Conectado “está democratizando el acceso a Internet en todo el territorio nacional”, ya que llega a localidades marginadas y de difícil acceso, en las cuales no existe un modelo de rentabilidad para que los operadores comerciales presten esos servicios.</w:t>
      </w:r>
    </w:p>
    <w:p w14:paraId="3A86E09E"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Dijo que la brecha digital separa personas, regiones y países; de ahí que, para disminuirla, la Reforma de Telecomunicaciones impulsó acciones que están reduciendo los precios de los servicios y haciéndolos más accesibles a la población.</w:t>
      </w:r>
    </w:p>
    <w:p w14:paraId="6363F339" w14:textId="77777777" w:rsid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t>Explicó que acercar el acceso a Internet a quienes hoy no lo tienen, es una acción indispensable para construir una verdadera igualdad de oportunidades entre los mexicanos. “Es así como México Conectado surge como una vía para que toda la población tenga la opción de tener acceso a Internet de manera gratuita a través de un sitio público”, expresó.</w:t>
      </w:r>
    </w:p>
    <w:p w14:paraId="387802B2" w14:textId="77777777" w:rsidR="00512C3D" w:rsidRDefault="00512C3D" w:rsidP="00CF5217">
      <w:pPr>
        <w:spacing w:after="360" w:line="360" w:lineRule="auto"/>
        <w:ind w:right="-159"/>
        <w:jc w:val="both"/>
        <w:rPr>
          <w:rFonts w:eastAsia="Calibri"/>
          <w:sz w:val="26"/>
          <w:szCs w:val="26"/>
          <w:lang w:eastAsia="en-US"/>
        </w:rPr>
      </w:pPr>
    </w:p>
    <w:p w14:paraId="6F0C3BC8" w14:textId="77777777" w:rsidR="00512C3D" w:rsidRDefault="00512C3D" w:rsidP="00CF5217">
      <w:pPr>
        <w:spacing w:after="360" w:line="360" w:lineRule="auto"/>
        <w:ind w:right="-159"/>
        <w:jc w:val="both"/>
        <w:rPr>
          <w:rFonts w:eastAsia="Calibri"/>
          <w:sz w:val="26"/>
          <w:szCs w:val="26"/>
          <w:lang w:eastAsia="en-US"/>
        </w:rPr>
      </w:pPr>
    </w:p>
    <w:p w14:paraId="435E4EAF" w14:textId="77777777" w:rsidR="00512C3D" w:rsidRPr="00CF5217" w:rsidRDefault="00512C3D" w:rsidP="00CF5217">
      <w:pPr>
        <w:spacing w:after="360" w:line="360" w:lineRule="auto"/>
        <w:ind w:right="-159"/>
        <w:jc w:val="both"/>
        <w:rPr>
          <w:rFonts w:eastAsia="Calibri"/>
          <w:sz w:val="26"/>
          <w:szCs w:val="26"/>
          <w:lang w:eastAsia="en-US"/>
        </w:rPr>
      </w:pPr>
    </w:p>
    <w:p w14:paraId="0C76CC25" w14:textId="77777777" w:rsidR="00CF5217" w:rsidRPr="00CF5217" w:rsidRDefault="00CF5217" w:rsidP="00CF5217">
      <w:pPr>
        <w:spacing w:after="360" w:line="360" w:lineRule="auto"/>
        <w:ind w:right="-159"/>
        <w:jc w:val="both"/>
        <w:rPr>
          <w:rFonts w:eastAsia="Calibri"/>
          <w:sz w:val="26"/>
          <w:szCs w:val="26"/>
          <w:lang w:eastAsia="en-US"/>
        </w:rPr>
      </w:pPr>
      <w:r w:rsidRPr="00CF5217">
        <w:rPr>
          <w:rFonts w:eastAsia="Calibri"/>
          <w:sz w:val="26"/>
          <w:szCs w:val="26"/>
          <w:lang w:eastAsia="en-US"/>
        </w:rPr>
        <w:lastRenderedPageBreak/>
        <w:t>Dio a conocer al Presidente de México que la Mesa de Coordinación que hoy se instaló en Nuevo León, es la número 15 desde la primera que instaló el Secretario de Comunicaciones y Transportes, en Morelos, en diciembre de 2013, e informó que esa instancia establecerá los criterios para definir el inventario de los sitios a conectar, así como los requerimientos técnicos para cada uno de ellos, tomando en cuenta las opiniones y las necesidades de la sociedad de la entidad.</w:t>
      </w:r>
    </w:p>
    <w:p w14:paraId="44825346" w14:textId="77777777" w:rsidR="00CF5217" w:rsidRPr="00CF5217" w:rsidRDefault="00CF5217" w:rsidP="00CF5217">
      <w:pPr>
        <w:ind w:right="-159"/>
        <w:jc w:val="both"/>
        <w:rPr>
          <w:rFonts w:eastAsia="Calibri"/>
          <w:sz w:val="20"/>
          <w:szCs w:val="20"/>
          <w:lang w:eastAsia="en-US"/>
        </w:rPr>
      </w:pPr>
      <w:r w:rsidRPr="00CF5217">
        <w:rPr>
          <w:rFonts w:eastAsia="Calibri"/>
          <w:b/>
          <w:sz w:val="20"/>
          <w:szCs w:val="20"/>
          <w:lang w:eastAsia="en-US"/>
        </w:rPr>
        <w:t>Fuente de información</w:t>
      </w:r>
      <w:r w:rsidRPr="00CF5217">
        <w:rPr>
          <w:rFonts w:eastAsia="Calibri"/>
          <w:sz w:val="20"/>
          <w:szCs w:val="20"/>
          <w:lang w:eastAsia="en-US"/>
        </w:rPr>
        <w:t>:</w:t>
      </w:r>
    </w:p>
    <w:p w14:paraId="56C1883C" w14:textId="77777777" w:rsidR="00CF5217" w:rsidRPr="00372137" w:rsidRDefault="0045651A" w:rsidP="00372137">
      <w:pPr>
        <w:spacing w:after="720"/>
        <w:ind w:right="-159"/>
        <w:jc w:val="both"/>
        <w:rPr>
          <w:rFonts w:eastAsia="Calibri"/>
          <w:color w:val="0000FF"/>
          <w:sz w:val="20"/>
          <w:szCs w:val="20"/>
          <w:u w:val="single"/>
          <w:lang w:eastAsia="en-US"/>
        </w:rPr>
      </w:pPr>
      <w:hyperlink r:id="rId51" w:history="1">
        <w:r w:rsidR="00CF5217" w:rsidRPr="00372137">
          <w:rPr>
            <w:rFonts w:eastAsia="Calibri"/>
            <w:color w:val="0000FF"/>
            <w:sz w:val="20"/>
            <w:szCs w:val="20"/>
            <w:u w:val="single"/>
            <w:lang w:eastAsia="en-US"/>
          </w:rPr>
          <w:t>http://www.presidencia.gob.mx/articulos-prensa/mayor-conectividad-y-el-uso-de-nuevas-herramientas-tecnologicas-permitiran-alcanzar-el-mexico-prospero-que-todos-queremos-enrique-pena-nieto/</w:t>
        </w:r>
      </w:hyperlink>
    </w:p>
    <w:p w14:paraId="61767CB5" w14:textId="77777777" w:rsidR="0043709E" w:rsidRPr="0043709E" w:rsidRDefault="0043709E" w:rsidP="0043709E">
      <w:pPr>
        <w:ind w:right="-159"/>
        <w:jc w:val="both"/>
        <w:rPr>
          <w:rFonts w:eastAsia="Times New Roman"/>
          <w:b/>
          <w:bCs/>
          <w:sz w:val="26"/>
          <w:szCs w:val="26"/>
          <w:lang w:val="es-ES"/>
        </w:rPr>
      </w:pPr>
      <w:r w:rsidRPr="0043709E">
        <w:rPr>
          <w:rFonts w:eastAsia="Times New Roman"/>
          <w:b/>
          <w:bCs/>
          <w:sz w:val="26"/>
          <w:szCs w:val="26"/>
          <w:lang w:val="es-ES"/>
        </w:rPr>
        <w:t>Informe de Resultados de la Política</w:t>
      </w:r>
    </w:p>
    <w:p w14:paraId="199B06B8" w14:textId="77777777" w:rsidR="0043709E" w:rsidRPr="0043709E" w:rsidRDefault="0043709E" w:rsidP="0043709E">
      <w:pPr>
        <w:spacing w:after="360" w:line="360" w:lineRule="auto"/>
        <w:ind w:right="-159"/>
        <w:jc w:val="both"/>
        <w:rPr>
          <w:rFonts w:eastAsia="Times New Roman"/>
          <w:b/>
          <w:bCs/>
          <w:sz w:val="26"/>
          <w:szCs w:val="26"/>
          <w:lang w:val="es-ES"/>
        </w:rPr>
      </w:pPr>
      <w:r w:rsidRPr="0043709E">
        <w:rPr>
          <w:rFonts w:eastAsia="Times New Roman"/>
          <w:b/>
          <w:bCs/>
          <w:sz w:val="26"/>
          <w:szCs w:val="26"/>
          <w:lang w:val="es-ES"/>
        </w:rPr>
        <w:t>Nacional   de   Vivienda   (SEDATU)</w:t>
      </w:r>
    </w:p>
    <w:p w14:paraId="6B5D87F3" w14:textId="728B3FEC"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 xml:space="preserve">El 23 de marzo de 2015, </w:t>
      </w:r>
      <w:r w:rsidR="00FA12BF" w:rsidRPr="0043709E">
        <w:rPr>
          <w:rFonts w:eastAsia="Times New Roman"/>
          <w:bCs/>
          <w:sz w:val="26"/>
          <w:szCs w:val="26"/>
          <w:lang w:val="es-ES"/>
        </w:rPr>
        <w:t xml:space="preserve">el </w:t>
      </w:r>
      <w:r w:rsidR="00FA12BF">
        <w:rPr>
          <w:rFonts w:eastAsia="Times New Roman"/>
          <w:bCs/>
          <w:sz w:val="26"/>
          <w:szCs w:val="26"/>
          <w:lang w:val="es-ES"/>
        </w:rPr>
        <w:t>T</w:t>
      </w:r>
      <w:r w:rsidR="00FA12BF" w:rsidRPr="0043709E">
        <w:rPr>
          <w:rFonts w:eastAsia="Times New Roman"/>
          <w:bCs/>
          <w:sz w:val="26"/>
          <w:szCs w:val="26"/>
          <w:lang w:val="es-ES"/>
        </w:rPr>
        <w:t>itular de la Secretaría de Desarrollo Agrario, Territorial y Urbano (SEDATU)</w:t>
      </w:r>
      <w:r w:rsidR="00FA12BF">
        <w:rPr>
          <w:rFonts w:eastAsia="Times New Roman"/>
          <w:bCs/>
          <w:sz w:val="26"/>
          <w:szCs w:val="26"/>
          <w:lang w:val="es-ES"/>
        </w:rPr>
        <w:t xml:space="preserve"> presentó el Informe de Resultados de la Política Nacional de Vivienda en el documento se afirma que </w:t>
      </w:r>
      <w:r w:rsidRPr="0043709E">
        <w:rPr>
          <w:rFonts w:eastAsia="Times New Roman"/>
          <w:bCs/>
          <w:sz w:val="26"/>
          <w:szCs w:val="26"/>
          <w:lang w:val="es-ES"/>
        </w:rPr>
        <w:t>como parte de las reformas estructurales instrumentadas en la Administración del Presidente de la República, la Política Nacional de Vivienda, es la primera en dar resultados claros y medibles. A más dos años de transformaciones, se ha mejorado la calidad de las casas que se construyen y aumentó el número de mexicanos con acceso a financiamiento y subsidio para comprar, ampliar, remodelar e incluso rentar una vivienda</w:t>
      </w:r>
      <w:r w:rsidR="00FA12BF">
        <w:rPr>
          <w:rFonts w:eastAsia="Times New Roman"/>
          <w:bCs/>
          <w:sz w:val="26"/>
          <w:szCs w:val="26"/>
          <w:lang w:val="es-ES"/>
        </w:rPr>
        <w:t>.</w:t>
      </w:r>
      <w:r w:rsidRPr="0043709E">
        <w:rPr>
          <w:rFonts w:eastAsia="Times New Roman"/>
          <w:bCs/>
          <w:sz w:val="26"/>
          <w:szCs w:val="26"/>
          <w:lang w:val="es-ES"/>
        </w:rPr>
        <w:t xml:space="preserve"> </w:t>
      </w:r>
    </w:p>
    <w:p w14:paraId="7E355D93" w14:textId="309C7915"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 xml:space="preserve">Hoy tenemos un sector fuerte y profesional con una actividad económica dinámica que está sustentada en los indicadores, todos comprobables, los cuales muestran que las reformas aplicadas permitieron que el año pasado la vivienda se convirtiera en el segundo aportador al </w:t>
      </w:r>
      <w:r w:rsidR="008D28ED">
        <w:rPr>
          <w:rFonts w:eastAsia="Times New Roman"/>
          <w:bCs/>
          <w:sz w:val="26"/>
          <w:szCs w:val="26"/>
          <w:lang w:val="es-ES"/>
        </w:rPr>
        <w:t>P</w:t>
      </w:r>
      <w:r w:rsidRPr="0043709E">
        <w:rPr>
          <w:rFonts w:eastAsia="Times New Roman"/>
          <w:bCs/>
          <w:sz w:val="26"/>
          <w:szCs w:val="26"/>
          <w:lang w:val="es-ES"/>
        </w:rPr>
        <w:t xml:space="preserve">roducto </w:t>
      </w:r>
      <w:r w:rsidR="008D28ED">
        <w:rPr>
          <w:rFonts w:eastAsia="Times New Roman"/>
          <w:bCs/>
          <w:sz w:val="26"/>
          <w:szCs w:val="26"/>
          <w:lang w:val="es-ES"/>
        </w:rPr>
        <w:t>I</w:t>
      </w:r>
      <w:r w:rsidRPr="0043709E">
        <w:rPr>
          <w:rFonts w:eastAsia="Times New Roman"/>
          <w:bCs/>
          <w:sz w:val="26"/>
          <w:szCs w:val="26"/>
          <w:lang w:val="es-ES"/>
        </w:rPr>
        <w:t xml:space="preserve">nterno </w:t>
      </w:r>
      <w:r w:rsidR="008D28ED">
        <w:rPr>
          <w:rFonts w:eastAsia="Times New Roman"/>
          <w:bCs/>
          <w:sz w:val="26"/>
          <w:szCs w:val="26"/>
          <w:lang w:val="es-ES"/>
        </w:rPr>
        <w:t>B</w:t>
      </w:r>
      <w:r w:rsidRPr="0043709E">
        <w:rPr>
          <w:rFonts w:eastAsia="Times New Roman"/>
          <w:bCs/>
          <w:sz w:val="26"/>
          <w:szCs w:val="26"/>
          <w:lang w:val="es-ES"/>
        </w:rPr>
        <w:t>ruto (PIB) del país y el primer lugar nacional en la creación de empleos.</w:t>
      </w:r>
    </w:p>
    <w:p w14:paraId="6053CA9C" w14:textId="6C22BF0F"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lastRenderedPageBreak/>
        <w:t>La creación del desarrollo que se refleja en el PIB y la generación de muchos empleos son el primer gran resultado de las reformas que inició el Presidente de la República hace dos años, subrayó</w:t>
      </w:r>
      <w:r w:rsidR="00FA12BF">
        <w:rPr>
          <w:rFonts w:eastAsia="Times New Roman"/>
          <w:bCs/>
          <w:sz w:val="26"/>
          <w:szCs w:val="26"/>
          <w:lang w:val="es-ES"/>
        </w:rPr>
        <w:t xml:space="preserve"> el funcionario</w:t>
      </w:r>
      <w:r w:rsidRPr="0043709E">
        <w:rPr>
          <w:rFonts w:eastAsia="Times New Roman"/>
          <w:bCs/>
          <w:sz w:val="26"/>
          <w:szCs w:val="26"/>
          <w:lang w:val="es-ES"/>
        </w:rPr>
        <w:t>.</w:t>
      </w:r>
    </w:p>
    <w:p w14:paraId="0990A668"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Los datos no son producto del optimismo, sino de la realidad medida y clara, por ello “vamos a mantener el paso y a cambiar la cara a la parte más difícil y dolorosa de nuestra nación, la pobreza”, agregó.</w:t>
      </w:r>
    </w:p>
    <w:p w14:paraId="0D4C8E32"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El funcionario resaltó que el mérito es de quienes le antecedieron en el cargo, de los organismos nacionales de vivienda, de los desarrolladores y de todos quienes participan en esta gran industria de la construcción y es, sin duda, la primera Reforma que hizo el Gobierno de la República y de la que menos se habla.</w:t>
      </w:r>
    </w:p>
    <w:p w14:paraId="4CF7C04C"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Precisó que la reforma visionaria del Presidente de México llega al corazón del problema, al tener como objetivo primordial eliminar desigualdades y abatir la miseria. Las casas, dijo, se construyen con dignidad, en tierra firme y segura, y con una planeación que nos va a permitir un desarrollo urbano sustentable.</w:t>
      </w:r>
    </w:p>
    <w:p w14:paraId="5798FCEC"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Las acciones de vivienda se materializan con el concepto de vida social más amplio, que es mantener la cohesión de las familias, de construir un México en paz y con seguridad.</w:t>
      </w:r>
    </w:p>
    <w:p w14:paraId="232BD75B"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En esa satisfacción de las familias que hoy tienen una vivienda digna, está el caso de Fevita Pérez Pérez, una jefa de familia con tres hijos, del municipio de Aquixtla, en la Sierra Norte de Puebla, quien en tres meses vio levantada su casa, con subsidios del Fideicomiso Fondo Nacional de Habitaciones Populares (FOHNAPO), que opera el Programa de Vivienda Digna.</w:t>
      </w:r>
    </w:p>
    <w:p w14:paraId="63F18DEE"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 xml:space="preserve">Esta mujer de menos de 35 años comentó que su casa es de concreto, con dos recámaras, sala comedor, cocina, baño, con los servicios básicos y precisó que no extraña nada de </w:t>
      </w:r>
      <w:r w:rsidRPr="0043709E">
        <w:rPr>
          <w:rFonts w:eastAsia="Times New Roman"/>
          <w:bCs/>
          <w:sz w:val="26"/>
          <w:szCs w:val="26"/>
          <w:lang w:val="es-ES"/>
        </w:rPr>
        <w:lastRenderedPageBreak/>
        <w:t>su antigua morada hecha de cartón, con techo de lámina. “Mis hijos andaban corriendo porque tenían que poner la cubeta en cada gotera que filtraba el agua cuando llovía, hoy se enferman menos y tienen la esperanza de una vida mejor, tenemos un lugar más calientito donde vivir y estamos más protegidos”, concluyó.</w:t>
      </w:r>
    </w:p>
    <w:p w14:paraId="44DED56D"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El responsable de la SEDATU destacó, en su informe, que existe una mayor y mejor coordinación interinstitucional y la meta es transitar hacia un modelo de desarrollo urbano sustentable e inteligente, reducir el rezago de vivienda y lo más importante, procurar una vivienda digna para los mexicanos, que se refleja en hogares mejor ubicados, espaciosos y mejor construidos.</w:t>
      </w:r>
    </w:p>
    <w:p w14:paraId="33AE9B01"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En los avances del sector, dados a conocer por la Directora de la Comisión Nacional de Vivienda (CONAVI), se informó que en 2014 se realizó una inversión de 350 mil millones de pesos, recursos que generaron más de un millón de acciones de vivienda.</w:t>
      </w:r>
    </w:p>
    <w:p w14:paraId="4C7D3820"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La Política Nacional de Vivienda ha diversificado la oferta de productos y la cobertura se ha extendido a sectores no atendidos en otras administraciones, como el de las Fuerzas Armadas, jefas de familia y jóvenes.</w:t>
      </w:r>
    </w:p>
    <w:p w14:paraId="7ADEF764"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Los programas de vivienda que ya están en operación, buscan beneficiar a 20 mil mujeres que son jefas de familia, a 15 mil jóvenes y el apoyo a las familias de militares suma más de 26 mil acciones de vivienda.</w:t>
      </w:r>
    </w:p>
    <w:p w14:paraId="56C5BA60" w14:textId="63203373"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 xml:space="preserve">El </w:t>
      </w:r>
      <w:r w:rsidR="00D97227">
        <w:rPr>
          <w:rFonts w:eastAsia="Times New Roman"/>
          <w:bCs/>
          <w:sz w:val="26"/>
          <w:szCs w:val="26"/>
          <w:lang w:val="es-ES"/>
        </w:rPr>
        <w:t xml:space="preserve">Instituto del Fondo Nacional </w:t>
      </w:r>
      <w:r w:rsidR="004F5993">
        <w:rPr>
          <w:rFonts w:eastAsia="Times New Roman"/>
          <w:bCs/>
          <w:sz w:val="26"/>
          <w:szCs w:val="26"/>
          <w:lang w:val="es-ES"/>
        </w:rPr>
        <w:t>de</w:t>
      </w:r>
      <w:r w:rsidR="00D97227">
        <w:rPr>
          <w:rFonts w:eastAsia="Times New Roman"/>
          <w:bCs/>
          <w:sz w:val="26"/>
          <w:szCs w:val="26"/>
          <w:lang w:val="es-ES"/>
        </w:rPr>
        <w:t xml:space="preserve"> la Vivienda </w:t>
      </w:r>
      <w:r w:rsidR="004F5993">
        <w:rPr>
          <w:rFonts w:eastAsia="Times New Roman"/>
          <w:bCs/>
          <w:sz w:val="26"/>
          <w:szCs w:val="26"/>
          <w:lang w:val="es-ES"/>
        </w:rPr>
        <w:t>para</w:t>
      </w:r>
      <w:r w:rsidR="00D97227">
        <w:rPr>
          <w:rFonts w:eastAsia="Times New Roman"/>
          <w:bCs/>
          <w:sz w:val="26"/>
          <w:szCs w:val="26"/>
          <w:lang w:val="es-ES"/>
        </w:rPr>
        <w:t xml:space="preserve"> los Trabajadores (</w:t>
      </w:r>
      <w:r w:rsidRPr="0043709E">
        <w:rPr>
          <w:rFonts w:eastAsia="Times New Roman"/>
          <w:bCs/>
          <w:sz w:val="26"/>
          <w:szCs w:val="26"/>
          <w:lang w:val="es-ES"/>
        </w:rPr>
        <w:t>INFONAVIT</w:t>
      </w:r>
      <w:r w:rsidR="00D97227">
        <w:rPr>
          <w:rFonts w:eastAsia="Times New Roman"/>
          <w:bCs/>
          <w:sz w:val="26"/>
          <w:szCs w:val="26"/>
          <w:lang w:val="es-ES"/>
        </w:rPr>
        <w:t>)</w:t>
      </w:r>
      <w:r w:rsidRPr="0043709E">
        <w:rPr>
          <w:rFonts w:eastAsia="Times New Roman"/>
          <w:bCs/>
          <w:sz w:val="26"/>
          <w:szCs w:val="26"/>
          <w:lang w:val="es-ES"/>
        </w:rPr>
        <w:t xml:space="preserve"> en los últimos dos años ha otorgado un millón 352 mil créditos por un monto aproximado de 282 mil 216 millones de pesos, esto permitió que los créditos hipotecarios sumarán 856 mil 971 acciones</w:t>
      </w:r>
      <w:r w:rsidR="00251E61">
        <w:rPr>
          <w:rFonts w:eastAsia="Times New Roman"/>
          <w:bCs/>
          <w:sz w:val="26"/>
          <w:szCs w:val="26"/>
          <w:lang w:val="es-ES"/>
        </w:rPr>
        <w:t>,</w:t>
      </w:r>
      <w:r w:rsidRPr="0043709E">
        <w:rPr>
          <w:rFonts w:eastAsia="Times New Roman"/>
          <w:bCs/>
          <w:sz w:val="26"/>
          <w:szCs w:val="26"/>
          <w:lang w:val="es-ES"/>
        </w:rPr>
        <w:t xml:space="preserve"> de las cuales, el 66.4% se destinaron para vivienda nueva.</w:t>
      </w:r>
    </w:p>
    <w:p w14:paraId="7A8BE93C" w14:textId="45D1903A"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lastRenderedPageBreak/>
        <w:t>Por lo que hace al</w:t>
      </w:r>
      <w:r w:rsidR="00D97227">
        <w:rPr>
          <w:rFonts w:eastAsia="Times New Roman"/>
          <w:bCs/>
          <w:sz w:val="26"/>
          <w:szCs w:val="26"/>
          <w:lang w:val="es-ES"/>
        </w:rPr>
        <w:t xml:space="preserve"> Fondo de Vivienda del </w:t>
      </w:r>
      <w:r w:rsidR="004F5993">
        <w:rPr>
          <w:rFonts w:eastAsia="Times New Roman"/>
          <w:bCs/>
          <w:sz w:val="26"/>
          <w:szCs w:val="26"/>
          <w:lang w:val="es-ES"/>
        </w:rPr>
        <w:t>Instituto de Seguridad y Servicios Sociales de los Trabajadores del Estado</w:t>
      </w:r>
      <w:r w:rsidRPr="0043709E">
        <w:rPr>
          <w:rFonts w:eastAsia="Times New Roman"/>
          <w:bCs/>
          <w:sz w:val="26"/>
          <w:szCs w:val="26"/>
          <w:lang w:val="es-ES"/>
        </w:rPr>
        <w:t xml:space="preserve"> </w:t>
      </w:r>
      <w:r w:rsidR="00D97227">
        <w:rPr>
          <w:rFonts w:eastAsia="Times New Roman"/>
          <w:bCs/>
          <w:sz w:val="26"/>
          <w:szCs w:val="26"/>
          <w:lang w:val="es-ES"/>
        </w:rPr>
        <w:t>(</w:t>
      </w:r>
      <w:r w:rsidRPr="0043709E">
        <w:rPr>
          <w:rFonts w:eastAsia="Times New Roman"/>
          <w:bCs/>
          <w:sz w:val="26"/>
          <w:szCs w:val="26"/>
          <w:lang w:val="es-ES"/>
        </w:rPr>
        <w:t>FOVISSSTE</w:t>
      </w:r>
      <w:r w:rsidR="00D97227">
        <w:rPr>
          <w:rFonts w:eastAsia="Times New Roman"/>
          <w:bCs/>
          <w:sz w:val="26"/>
          <w:szCs w:val="26"/>
          <w:lang w:val="es-ES"/>
        </w:rPr>
        <w:t>)</w:t>
      </w:r>
      <w:r w:rsidRPr="0043709E">
        <w:rPr>
          <w:rFonts w:eastAsia="Times New Roman"/>
          <w:bCs/>
          <w:sz w:val="26"/>
          <w:szCs w:val="26"/>
          <w:lang w:val="es-ES"/>
        </w:rPr>
        <w:t>, incrementó el monto del crédito hipotecario de 557 mil pesos a casi 630 mil. Al cierre de 2014, la inversión de crédito fue de 38 mil 310 millones de pesos, superando en más de 4 mil 200 millones la inversión realizada durante 2013.</w:t>
      </w:r>
    </w:p>
    <w:p w14:paraId="647FA65E"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La vivienda que genera el Fideicomiso Fondo Nacional de Habitaciones Populares (FONHAPO), en 2014 ejerció más de 3 mil millones de pesos, para otorgar 101 mil 316 subsidios, casi 35% más que en el año anterior. De la totalidad de subsidios, el 80% fueron para mejoramiento y ampliaciones de vivienda, y el resto para vivienda nueva.</w:t>
      </w:r>
    </w:p>
    <w:p w14:paraId="101E62DB"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Como evidencia de estos avances en política de vivienda, se escucharon dos testimonios de beneficiarios, Clara Téllez Mendoza, jefa de familia del municipio de Temascaltepec, en el Estado de México, compartió su experiencia, pues después de 17 años de que compró su terreno, pudo construir su casa con subsidio de la CONAVI.</w:t>
      </w:r>
    </w:p>
    <w:p w14:paraId="78C324F3"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Relató que el trámite le llevó tres meses, pero la construcción de su casa solo uno, ahora está feliz y gracias al programa de autoconstrucción tiene un patrimonio que dejar a sus hijos y la certeza de que su hogar es un espacio digno y próspero.</w:t>
      </w:r>
    </w:p>
    <w:p w14:paraId="716D83B9" w14:textId="77777777" w:rsid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t>A la presentación del informe de la Política Nacional de Gobierno, asistieron legisladores, empresarios, representantes del sector obrero, los titulares de los organismos nacionales de vivienda, como el titular del INFONAVIT, el vocal ejecutivo de FOVISSSTE, el Director del Instituto de Seguridad Social para las Fuerzas Armadas Mexicanas (ISSFAM) y representante de la Secretaría de la Defensa Nacional.</w:t>
      </w:r>
    </w:p>
    <w:p w14:paraId="5F2A4ED0" w14:textId="77777777" w:rsidR="004A5A17" w:rsidRDefault="004A5A17" w:rsidP="0043709E">
      <w:pPr>
        <w:spacing w:after="360" w:line="360" w:lineRule="auto"/>
        <w:ind w:right="-159"/>
        <w:jc w:val="both"/>
        <w:rPr>
          <w:rFonts w:eastAsia="Times New Roman"/>
          <w:bCs/>
          <w:sz w:val="26"/>
          <w:szCs w:val="26"/>
          <w:lang w:val="es-ES"/>
        </w:rPr>
      </w:pPr>
    </w:p>
    <w:p w14:paraId="751E660A" w14:textId="77777777" w:rsidR="004A5A17" w:rsidRPr="0043709E" w:rsidRDefault="004A5A17" w:rsidP="0043709E">
      <w:pPr>
        <w:spacing w:after="360" w:line="360" w:lineRule="auto"/>
        <w:ind w:right="-159"/>
        <w:jc w:val="both"/>
        <w:rPr>
          <w:rFonts w:eastAsia="Times New Roman"/>
          <w:bCs/>
          <w:sz w:val="26"/>
          <w:szCs w:val="26"/>
          <w:lang w:val="es-ES"/>
        </w:rPr>
      </w:pPr>
    </w:p>
    <w:p w14:paraId="11633D61" w14:textId="77777777" w:rsidR="0043709E" w:rsidRPr="0043709E" w:rsidRDefault="0043709E" w:rsidP="0043709E">
      <w:pPr>
        <w:spacing w:after="360" w:line="360" w:lineRule="auto"/>
        <w:ind w:right="-159"/>
        <w:jc w:val="both"/>
        <w:rPr>
          <w:rFonts w:eastAsia="Times New Roman"/>
          <w:bCs/>
          <w:sz w:val="26"/>
          <w:szCs w:val="26"/>
          <w:lang w:val="es-ES"/>
        </w:rPr>
      </w:pPr>
      <w:r w:rsidRPr="0043709E">
        <w:rPr>
          <w:rFonts w:eastAsia="Times New Roman"/>
          <w:bCs/>
          <w:sz w:val="26"/>
          <w:szCs w:val="26"/>
          <w:lang w:val="es-ES"/>
        </w:rPr>
        <w:lastRenderedPageBreak/>
        <w:t>También estuvieron los titulares de los organismos sectorizados de la SEDATU (FONHAPO, Comisión para la Regularización de la Tenencia de la Tierra, Fideicomiso Fondo Nacional de Fomento Ejidal) así como los subsecretarios de Ordenamiento Territorial y de Desarrollo Urbano y Vivienda de la SEDATU.</w:t>
      </w:r>
    </w:p>
    <w:p w14:paraId="27367EBE" w14:textId="77777777" w:rsidR="0043709E" w:rsidRPr="0043709E" w:rsidRDefault="0043709E" w:rsidP="0043709E">
      <w:pPr>
        <w:ind w:right="-159"/>
        <w:jc w:val="both"/>
        <w:rPr>
          <w:rFonts w:eastAsia="Calibri"/>
          <w:b/>
          <w:sz w:val="20"/>
          <w:szCs w:val="20"/>
          <w:lang w:val="es-ES" w:eastAsia="en-US"/>
        </w:rPr>
      </w:pPr>
      <w:r w:rsidRPr="0043709E">
        <w:rPr>
          <w:rFonts w:eastAsia="Calibri"/>
          <w:b/>
          <w:sz w:val="20"/>
          <w:szCs w:val="20"/>
          <w:lang w:val="es-ES" w:eastAsia="en-US"/>
        </w:rPr>
        <w:t>Fuente de información:</w:t>
      </w:r>
    </w:p>
    <w:p w14:paraId="70A903F4" w14:textId="77777777" w:rsidR="0043709E" w:rsidRPr="00372137" w:rsidRDefault="0045651A" w:rsidP="0043709E">
      <w:pPr>
        <w:ind w:right="-159"/>
        <w:jc w:val="both"/>
        <w:rPr>
          <w:rFonts w:eastAsia="Calibri"/>
          <w:color w:val="0000FF"/>
          <w:sz w:val="20"/>
          <w:szCs w:val="20"/>
          <w:lang w:val="es-ES" w:eastAsia="en-US"/>
        </w:rPr>
      </w:pPr>
      <w:hyperlink r:id="rId52" w:history="1">
        <w:r w:rsidR="0043709E" w:rsidRPr="00372137">
          <w:rPr>
            <w:rFonts w:eastAsia="Calibri"/>
            <w:color w:val="0000FF"/>
            <w:sz w:val="20"/>
            <w:szCs w:val="20"/>
            <w:u w:val="single"/>
            <w:lang w:eastAsia="en-US"/>
          </w:rPr>
          <w:t>http://www.sedatu.gob.mx/sraweb/noticias/noticias-2015/marzo-2015/21187/</w:t>
        </w:r>
      </w:hyperlink>
    </w:p>
    <w:p w14:paraId="1F09AC0B" w14:textId="77777777" w:rsidR="0043709E" w:rsidRPr="0043709E" w:rsidRDefault="0043709E" w:rsidP="0043709E">
      <w:pPr>
        <w:ind w:right="-159"/>
        <w:jc w:val="both"/>
        <w:rPr>
          <w:rFonts w:eastAsia="Calibri"/>
          <w:sz w:val="20"/>
          <w:szCs w:val="20"/>
          <w:lang w:val="es-ES" w:eastAsia="en-US"/>
        </w:rPr>
      </w:pPr>
      <w:r w:rsidRPr="0043709E">
        <w:rPr>
          <w:rFonts w:eastAsia="Calibri"/>
          <w:sz w:val="20"/>
          <w:szCs w:val="20"/>
          <w:lang w:val="es-ES" w:eastAsia="en-US"/>
        </w:rPr>
        <w:t>Para tener acceso a información relacionada visite:</w:t>
      </w:r>
    </w:p>
    <w:p w14:paraId="5119D3F9" w14:textId="77777777" w:rsidR="0043709E" w:rsidRPr="00372137" w:rsidRDefault="0045651A" w:rsidP="00372137">
      <w:pPr>
        <w:spacing w:after="720"/>
        <w:ind w:right="-159"/>
        <w:jc w:val="both"/>
        <w:rPr>
          <w:rFonts w:eastAsia="Calibri"/>
          <w:color w:val="0000FF"/>
          <w:sz w:val="20"/>
          <w:szCs w:val="20"/>
          <w:lang w:eastAsia="en-US"/>
        </w:rPr>
      </w:pPr>
      <w:hyperlink r:id="rId53" w:history="1">
        <w:r w:rsidR="0043709E" w:rsidRPr="00372137">
          <w:rPr>
            <w:rFonts w:eastAsia="Calibri"/>
            <w:color w:val="0000FF"/>
            <w:sz w:val="20"/>
            <w:szCs w:val="20"/>
            <w:u w:val="single"/>
            <w:lang w:eastAsia="en-US"/>
          </w:rPr>
          <w:t>http://www.sedatu.gob.mx/sraweb/discursos/discursos-2015/marzo-2015-discursos-2015/21204/</w:t>
        </w:r>
      </w:hyperlink>
      <w:r w:rsidR="0043709E" w:rsidRPr="00372137">
        <w:rPr>
          <w:rFonts w:eastAsia="Calibri"/>
          <w:color w:val="0000FF"/>
          <w:sz w:val="20"/>
          <w:szCs w:val="20"/>
          <w:lang w:eastAsia="en-US"/>
        </w:rPr>
        <w:t xml:space="preserve"> </w:t>
      </w:r>
    </w:p>
    <w:p w14:paraId="574D69B6" w14:textId="77777777" w:rsidR="00D82731" w:rsidRPr="00D82731" w:rsidRDefault="00D82731" w:rsidP="00D82731">
      <w:pPr>
        <w:spacing w:after="360" w:line="360" w:lineRule="auto"/>
        <w:ind w:right="-159"/>
        <w:jc w:val="both"/>
        <w:rPr>
          <w:rFonts w:eastAsia="Calibri"/>
          <w:b/>
          <w:sz w:val="26"/>
          <w:szCs w:val="26"/>
          <w:lang w:eastAsia="en-US"/>
        </w:rPr>
      </w:pPr>
      <w:r w:rsidRPr="00D82731">
        <w:rPr>
          <w:rFonts w:eastAsia="Calibri"/>
          <w:b/>
          <w:sz w:val="26"/>
          <w:szCs w:val="26"/>
          <w:lang w:eastAsia="en-US"/>
        </w:rPr>
        <w:t>Industria Minerometalúrgica, cifras a enero de 2015 (INEGI)</w:t>
      </w:r>
    </w:p>
    <w:p w14:paraId="4FDD4B53" w14:textId="77777777" w:rsidR="00D82731" w:rsidRPr="00D82731" w:rsidRDefault="00D82731" w:rsidP="00D82731">
      <w:pPr>
        <w:spacing w:after="360" w:line="360" w:lineRule="auto"/>
        <w:ind w:right="-159"/>
        <w:jc w:val="both"/>
        <w:rPr>
          <w:rFonts w:eastAsia="Calibri"/>
          <w:sz w:val="26"/>
          <w:szCs w:val="26"/>
          <w:lang w:eastAsia="en-US"/>
        </w:rPr>
      </w:pPr>
      <w:r w:rsidRPr="00D82731">
        <w:rPr>
          <w:rFonts w:eastAsia="Calibri"/>
          <w:sz w:val="26"/>
          <w:szCs w:val="26"/>
          <w:lang w:eastAsia="en-US"/>
        </w:rPr>
        <w:t>El 31 de marzo de 2015, el Instituto Nacional de Estadística y Geografía (INEGI) publicó la “Estadística de la Industria Minerometalúrgica con cifras a enero de 2015”. A continuación se presenta la información.</w:t>
      </w:r>
    </w:p>
    <w:p w14:paraId="779F91AE" w14:textId="77777777" w:rsidR="00D82731" w:rsidRPr="00D82731" w:rsidRDefault="00D82731" w:rsidP="00D82731">
      <w:pPr>
        <w:spacing w:after="360" w:line="360" w:lineRule="auto"/>
        <w:ind w:right="-159"/>
        <w:jc w:val="both"/>
        <w:rPr>
          <w:rFonts w:eastAsia="Calibri"/>
          <w:sz w:val="26"/>
          <w:szCs w:val="26"/>
          <w:lang w:eastAsia="en-US"/>
        </w:rPr>
      </w:pPr>
      <w:r w:rsidRPr="00D82731">
        <w:rPr>
          <w:rFonts w:eastAsia="Calibri"/>
          <w:sz w:val="26"/>
          <w:szCs w:val="26"/>
          <w:lang w:eastAsia="en-US"/>
        </w:rPr>
        <w:t>El índice de volumen físico de la Producción Minerometalúrgica del país (referida a las actividades de extracción, beneficio, fundición y afinación de minerales metálicos y no metálicos) disminuyó 3.7% con base en cifras desestacionalizadas</w:t>
      </w:r>
      <w:r w:rsidRPr="00D82731">
        <w:rPr>
          <w:rFonts w:ascii="Calibri" w:eastAsia="Calibri" w:hAnsi="Calibri"/>
          <w:bCs/>
          <w:sz w:val="26"/>
          <w:szCs w:val="26"/>
          <w:vertAlign w:val="superscript"/>
          <w:lang w:eastAsia="en-US"/>
        </w:rPr>
        <w:footnoteReference w:id="3"/>
      </w:r>
      <w:r w:rsidRPr="00D82731">
        <w:rPr>
          <w:rFonts w:eastAsia="Calibri"/>
          <w:sz w:val="26"/>
          <w:szCs w:val="26"/>
          <w:lang w:eastAsia="en-US"/>
        </w:rPr>
        <w:t xml:space="preserve"> en el primer mes de 2015 frente al mes inmediato anterior.</w:t>
      </w:r>
    </w:p>
    <w:p w14:paraId="3FA4BAF2" w14:textId="77BA8E89" w:rsidR="00D82731" w:rsidRPr="00D82731" w:rsidRDefault="00D82731" w:rsidP="00D82731">
      <w:pPr>
        <w:spacing w:after="360" w:line="360" w:lineRule="auto"/>
        <w:ind w:right="-159"/>
        <w:jc w:val="center"/>
        <w:rPr>
          <w:rFonts w:eastAsia="Calibri"/>
          <w:sz w:val="26"/>
          <w:szCs w:val="26"/>
          <w:lang w:eastAsia="en-US"/>
        </w:rPr>
      </w:pPr>
      <w:r w:rsidRPr="00D82731">
        <w:rPr>
          <w:rFonts w:eastAsia="Calibri"/>
          <w:sz w:val="26"/>
          <w:szCs w:val="26"/>
          <w:lang w:eastAsia="en-US"/>
        </w:rPr>
        <w:lastRenderedPageBreak/>
        <w:fldChar w:fldCharType="begin"/>
      </w:r>
      <w:r w:rsidRPr="00D82731">
        <w:rPr>
          <w:rFonts w:eastAsia="Calibri"/>
          <w:sz w:val="26"/>
          <w:szCs w:val="26"/>
          <w:lang w:eastAsia="en-US"/>
        </w:rPr>
        <w:instrText xml:space="preserve"> LINK PowerPoint.Slide.8 "D:\\2015\\ABRIL\\GRÁFICAS POWER POINT\\19.- GRÁFICAS DE MINERÍA.pptx!264" "" \a \p </w:instrText>
      </w:r>
      <w:r w:rsidRPr="00D82731">
        <w:rPr>
          <w:rFonts w:eastAsia="Calibri"/>
          <w:sz w:val="26"/>
          <w:szCs w:val="26"/>
          <w:lang w:eastAsia="en-US"/>
        </w:rPr>
        <w:fldChar w:fldCharType="separate"/>
      </w:r>
      <w:r w:rsidRPr="00D82731">
        <w:rPr>
          <w:rFonts w:eastAsia="Calibri"/>
          <w:noProof/>
          <w:sz w:val="26"/>
          <w:szCs w:val="26"/>
          <w:lang w:eastAsia="es-MX"/>
        </w:rPr>
        <w:drawing>
          <wp:inline distT="0" distB="0" distL="0" distR="0" wp14:anchorId="42C647FF" wp14:editId="08B3E08F">
            <wp:extent cx="4794250" cy="3132455"/>
            <wp:effectExtent l="0" t="0" r="6350" b="0"/>
            <wp:docPr id="1496" name="Imagen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4"/>
                    <pic:cNvPicPr>
                      <a:picLocks noChangeAspect="1" noChangeArrowheads="1"/>
                    </pic:cNvPicPr>
                  </pic:nvPicPr>
                  <pic:blipFill>
                    <a:blip r:embed="rId54" cstate="print">
                      <a:extLst>
                        <a:ext uri="{28A0092B-C50C-407E-A947-70E740481C1C}">
                          <a14:useLocalDpi xmlns:a14="http://schemas.microsoft.com/office/drawing/2010/main" val="0"/>
                        </a:ext>
                      </a:extLst>
                    </a:blip>
                    <a:srcRect l="9076" r="12207" b="8611"/>
                    <a:stretch>
                      <a:fillRect/>
                    </a:stretch>
                  </pic:blipFill>
                  <pic:spPr bwMode="auto">
                    <a:xfrm>
                      <a:off x="0" y="0"/>
                      <a:ext cx="4794250" cy="3132455"/>
                    </a:xfrm>
                    <a:prstGeom prst="rect">
                      <a:avLst/>
                    </a:prstGeom>
                    <a:noFill/>
                    <a:ln>
                      <a:noFill/>
                    </a:ln>
                  </pic:spPr>
                </pic:pic>
              </a:graphicData>
            </a:graphic>
          </wp:inline>
        </w:drawing>
      </w:r>
      <w:r w:rsidRPr="00D82731">
        <w:rPr>
          <w:rFonts w:eastAsia="Calibri"/>
          <w:sz w:val="26"/>
          <w:szCs w:val="26"/>
          <w:lang w:eastAsia="en-US"/>
        </w:rPr>
        <w:fldChar w:fldCharType="end"/>
      </w:r>
    </w:p>
    <w:p w14:paraId="2DA49DC6" w14:textId="77777777" w:rsidR="00D82731" w:rsidRPr="00D82731" w:rsidRDefault="00D82731" w:rsidP="00D82731">
      <w:pPr>
        <w:spacing w:after="360" w:line="360" w:lineRule="auto"/>
        <w:ind w:right="-159"/>
        <w:jc w:val="both"/>
        <w:rPr>
          <w:rFonts w:eastAsia="Calibri"/>
          <w:sz w:val="26"/>
          <w:szCs w:val="26"/>
          <w:lang w:eastAsia="en-US"/>
        </w:rPr>
      </w:pPr>
      <w:r w:rsidRPr="00D82731">
        <w:rPr>
          <w:rFonts w:eastAsia="Calibri"/>
          <w:sz w:val="26"/>
          <w:szCs w:val="26"/>
          <w:lang w:eastAsia="en-US"/>
        </w:rPr>
        <w:t>Con datos anuales</w:t>
      </w:r>
      <w:r w:rsidRPr="00D82731">
        <w:rPr>
          <w:rFonts w:ascii="Calibri" w:eastAsia="Calibri" w:hAnsi="Calibri"/>
          <w:bCs/>
          <w:sz w:val="26"/>
          <w:szCs w:val="26"/>
          <w:vertAlign w:val="superscript"/>
          <w:lang w:eastAsia="en-US"/>
        </w:rPr>
        <w:footnoteReference w:id="4"/>
      </w:r>
      <w:r w:rsidRPr="00D82731">
        <w:rPr>
          <w:rFonts w:eastAsia="Calibri"/>
          <w:sz w:val="26"/>
          <w:szCs w:val="26"/>
          <w:lang w:eastAsia="en-US"/>
        </w:rPr>
        <w:t xml:space="preserve"> el avance fue de 10.2% durante enero de 2015 respecto igual mes de un año antes.</w:t>
      </w:r>
    </w:p>
    <w:p w14:paraId="1F456FD3" w14:textId="4666DCA9" w:rsidR="00D82731" w:rsidRPr="00D82731" w:rsidRDefault="00D82731" w:rsidP="00D82731">
      <w:pPr>
        <w:spacing w:after="360" w:line="360" w:lineRule="auto"/>
        <w:ind w:right="-159"/>
        <w:jc w:val="center"/>
        <w:rPr>
          <w:rFonts w:eastAsia="Calibri"/>
          <w:sz w:val="26"/>
          <w:szCs w:val="26"/>
          <w:lang w:eastAsia="en-US"/>
        </w:rPr>
      </w:pPr>
      <w:r w:rsidRPr="00D82731">
        <w:rPr>
          <w:rFonts w:eastAsia="Calibri"/>
          <w:sz w:val="26"/>
          <w:szCs w:val="26"/>
          <w:lang w:eastAsia="en-US"/>
        </w:rPr>
        <w:fldChar w:fldCharType="begin"/>
      </w:r>
      <w:r w:rsidRPr="00D82731">
        <w:rPr>
          <w:rFonts w:eastAsia="Calibri"/>
          <w:sz w:val="26"/>
          <w:szCs w:val="26"/>
          <w:lang w:eastAsia="en-US"/>
        </w:rPr>
        <w:instrText xml:space="preserve"> LINK PowerPoint.Slide.8 "D:\\2015\\ABRIL\\GRÁFICAS POWER POINT\\19.- GRÁFICAS DE MINERÍA.pptx!262" "" \a \p </w:instrText>
      </w:r>
      <w:r w:rsidRPr="00D82731">
        <w:rPr>
          <w:rFonts w:eastAsia="Calibri"/>
          <w:sz w:val="26"/>
          <w:szCs w:val="26"/>
          <w:lang w:eastAsia="en-US"/>
        </w:rPr>
        <w:fldChar w:fldCharType="separate"/>
      </w:r>
      <w:r w:rsidRPr="00D82731">
        <w:rPr>
          <w:rFonts w:eastAsia="Calibri"/>
          <w:noProof/>
          <w:sz w:val="26"/>
          <w:szCs w:val="26"/>
          <w:lang w:eastAsia="es-MX"/>
        </w:rPr>
        <w:drawing>
          <wp:inline distT="0" distB="0" distL="0" distR="0" wp14:anchorId="4BC4C885" wp14:editId="58BF853A">
            <wp:extent cx="5251450" cy="3132455"/>
            <wp:effectExtent l="0" t="0" r="6350" b="0"/>
            <wp:docPr id="1495" name="Imagen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5"/>
                    <pic:cNvPicPr>
                      <a:picLocks noChangeAspect="1" noChangeArrowheads="1"/>
                    </pic:cNvPicPr>
                  </pic:nvPicPr>
                  <pic:blipFill>
                    <a:blip r:embed="rId55" cstate="print">
                      <a:extLst>
                        <a:ext uri="{28A0092B-C50C-407E-A947-70E740481C1C}">
                          <a14:useLocalDpi xmlns:a14="http://schemas.microsoft.com/office/drawing/2010/main" val="0"/>
                        </a:ext>
                      </a:extLst>
                    </a:blip>
                    <a:srcRect l="6104" r="6886" b="7777"/>
                    <a:stretch>
                      <a:fillRect/>
                    </a:stretch>
                  </pic:blipFill>
                  <pic:spPr bwMode="auto">
                    <a:xfrm>
                      <a:off x="0" y="0"/>
                      <a:ext cx="5251450" cy="3132455"/>
                    </a:xfrm>
                    <a:prstGeom prst="rect">
                      <a:avLst/>
                    </a:prstGeom>
                    <a:noFill/>
                    <a:ln>
                      <a:noFill/>
                    </a:ln>
                  </pic:spPr>
                </pic:pic>
              </a:graphicData>
            </a:graphic>
          </wp:inline>
        </w:drawing>
      </w:r>
      <w:r w:rsidRPr="00D82731">
        <w:rPr>
          <w:rFonts w:eastAsia="Calibri"/>
          <w:sz w:val="26"/>
          <w:szCs w:val="26"/>
          <w:lang w:eastAsia="en-US"/>
        </w:rPr>
        <w:fldChar w:fldCharType="end"/>
      </w:r>
    </w:p>
    <w:p w14:paraId="45DFC2A6" w14:textId="77777777" w:rsidR="00D82731" w:rsidRDefault="00D82731" w:rsidP="00D82731">
      <w:pPr>
        <w:spacing w:after="360" w:line="360" w:lineRule="auto"/>
        <w:ind w:right="-159"/>
        <w:jc w:val="both"/>
        <w:rPr>
          <w:rFonts w:eastAsia="Calibri"/>
          <w:sz w:val="26"/>
          <w:szCs w:val="26"/>
          <w:lang w:eastAsia="en-US"/>
        </w:rPr>
      </w:pPr>
      <w:r w:rsidRPr="00D82731">
        <w:rPr>
          <w:rFonts w:eastAsia="Calibri"/>
          <w:sz w:val="26"/>
          <w:szCs w:val="26"/>
          <w:lang w:eastAsia="en-US"/>
        </w:rPr>
        <w:lastRenderedPageBreak/>
        <w:t>En su comparación anual, la producción minerometalúrgica en cifras originales reportó una variación en términos reales de 9.7% para enero de 2015 con relación a igual mes de 2014. A su interior, aumentó la producción de cobre, pellets de fierro, oro, carbón no coquizable, plata y fluorita; en tanto que descendió la de coque, azufre, zinc, plomo y la de yeso.</w:t>
      </w:r>
    </w:p>
    <w:tbl>
      <w:tblPr>
        <w:tblW w:w="3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150"/>
        <w:gridCol w:w="1646"/>
        <w:gridCol w:w="1511"/>
        <w:gridCol w:w="1235"/>
      </w:tblGrid>
      <w:tr w:rsidR="00D82731" w:rsidRPr="00D82731" w14:paraId="2633AD23" w14:textId="77777777" w:rsidTr="00D82731">
        <w:trPr>
          <w:trHeight w:val="561"/>
          <w:jc w:val="center"/>
        </w:trPr>
        <w:tc>
          <w:tcPr>
            <w:tcW w:w="5000" w:type="pct"/>
            <w:gridSpan w:val="4"/>
            <w:tcBorders>
              <w:top w:val="nil"/>
              <w:left w:val="nil"/>
              <w:bottom w:val="single" w:sz="4" w:space="0" w:color="auto"/>
              <w:right w:val="nil"/>
            </w:tcBorders>
            <w:shd w:val="clear" w:color="auto" w:fill="auto"/>
            <w:hideMark/>
          </w:tcPr>
          <w:p w14:paraId="343B41B5" w14:textId="77777777" w:rsidR="00D82731" w:rsidRPr="00D82731" w:rsidRDefault="00D82731" w:rsidP="00D82731">
            <w:pPr>
              <w:autoSpaceDE w:val="0"/>
              <w:autoSpaceDN w:val="0"/>
              <w:adjustRightInd w:val="0"/>
              <w:spacing w:line="276" w:lineRule="auto"/>
              <w:jc w:val="center"/>
              <w:rPr>
                <w:rFonts w:eastAsia="Calibri"/>
                <w:b/>
                <w:bCs/>
                <w:sz w:val="22"/>
                <w:szCs w:val="22"/>
                <w:lang w:eastAsia="en-US"/>
              </w:rPr>
            </w:pPr>
            <w:r w:rsidRPr="00D82731">
              <w:rPr>
                <w:rFonts w:eastAsia="Calibri"/>
                <w:b/>
                <w:bCs/>
                <w:sz w:val="22"/>
                <w:szCs w:val="22"/>
                <w:lang w:eastAsia="en-US"/>
              </w:rPr>
              <w:t>PRODUCCIÓN MINEROMETALÚRGICA</w:t>
            </w:r>
          </w:p>
          <w:p w14:paraId="605489B4" w14:textId="77777777" w:rsidR="00D82731" w:rsidRPr="00D82731" w:rsidRDefault="00D82731" w:rsidP="00D82731">
            <w:pPr>
              <w:autoSpaceDE w:val="0"/>
              <w:autoSpaceDN w:val="0"/>
              <w:adjustRightInd w:val="0"/>
              <w:spacing w:line="276" w:lineRule="auto"/>
              <w:jc w:val="center"/>
              <w:rPr>
                <w:rFonts w:eastAsia="Calibri"/>
                <w:b/>
                <w:sz w:val="20"/>
                <w:szCs w:val="20"/>
                <w:lang w:eastAsia="en-US"/>
              </w:rPr>
            </w:pPr>
            <w:r w:rsidRPr="00D82731">
              <w:rPr>
                <w:rFonts w:eastAsia="Calibri"/>
                <w:b/>
                <w:sz w:val="22"/>
                <w:szCs w:val="22"/>
                <w:lang w:eastAsia="en-US"/>
              </w:rPr>
              <w:t xml:space="preserve">-Toneladas </w:t>
            </w:r>
            <w:r w:rsidRPr="00D82731">
              <w:rPr>
                <w:rFonts w:eastAsia="Calibri"/>
                <w:b/>
                <w:sz w:val="22"/>
                <w:szCs w:val="22"/>
                <w:u w:val="single"/>
                <w:vertAlign w:val="superscript"/>
                <w:lang w:eastAsia="en-US"/>
              </w:rPr>
              <w:t>1</w:t>
            </w:r>
            <w:r w:rsidRPr="00D82731">
              <w:rPr>
                <w:rFonts w:eastAsia="Calibri"/>
                <w:b/>
                <w:sz w:val="22"/>
                <w:szCs w:val="22"/>
                <w:vertAlign w:val="superscript"/>
                <w:lang w:eastAsia="en-US"/>
              </w:rPr>
              <w:t>/</w:t>
            </w:r>
            <w:r w:rsidRPr="00D82731">
              <w:rPr>
                <w:rFonts w:eastAsia="Calibri"/>
                <w:b/>
                <w:sz w:val="22"/>
                <w:szCs w:val="22"/>
                <w:lang w:eastAsia="en-US"/>
              </w:rPr>
              <w:t>-</w:t>
            </w:r>
          </w:p>
        </w:tc>
      </w:tr>
      <w:tr w:rsidR="00D82731" w:rsidRPr="00D82731" w14:paraId="78DE0BD0" w14:textId="77777777" w:rsidTr="00D82731">
        <w:trPr>
          <w:trHeight w:val="419"/>
          <w:jc w:val="center"/>
        </w:trPr>
        <w:tc>
          <w:tcPr>
            <w:tcW w:w="1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85DD06" w14:textId="77777777" w:rsidR="00D82731" w:rsidRPr="00D82731" w:rsidRDefault="00D82731" w:rsidP="008D28ED">
            <w:pPr>
              <w:jc w:val="center"/>
              <w:rPr>
                <w:rFonts w:eastAsia="Calibri"/>
                <w:b/>
                <w:sz w:val="20"/>
                <w:szCs w:val="20"/>
                <w:lang w:eastAsia="en-US"/>
              </w:rPr>
            </w:pPr>
            <w:r w:rsidRPr="00D82731">
              <w:rPr>
                <w:rFonts w:eastAsia="Calibri"/>
                <w:b/>
                <w:sz w:val="20"/>
                <w:szCs w:val="20"/>
                <w:lang w:eastAsia="en-US"/>
              </w:rPr>
              <w:t>Mineral</w:t>
            </w:r>
          </w:p>
        </w:tc>
        <w:tc>
          <w:tcPr>
            <w:tcW w:w="241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7D09B1" w14:textId="77777777" w:rsidR="00D82731" w:rsidRPr="00D82731" w:rsidRDefault="00D82731" w:rsidP="00D82731">
            <w:pPr>
              <w:jc w:val="center"/>
              <w:rPr>
                <w:rFonts w:eastAsia="Calibri"/>
                <w:b/>
                <w:sz w:val="20"/>
                <w:szCs w:val="20"/>
                <w:lang w:eastAsia="en-US"/>
              </w:rPr>
            </w:pPr>
            <w:r w:rsidRPr="00D82731">
              <w:rPr>
                <w:rFonts w:eastAsia="Calibri"/>
                <w:b/>
                <w:sz w:val="20"/>
                <w:szCs w:val="20"/>
                <w:lang w:eastAsia="en-US"/>
              </w:rPr>
              <w:t>Enero</w:t>
            </w:r>
          </w:p>
        </w:tc>
        <w:tc>
          <w:tcPr>
            <w:tcW w:w="9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E9B553" w14:textId="77777777" w:rsidR="00D82731" w:rsidRPr="00D82731" w:rsidRDefault="00D82731" w:rsidP="00D82731">
            <w:pPr>
              <w:jc w:val="center"/>
              <w:rPr>
                <w:rFonts w:eastAsia="Calibri"/>
                <w:b/>
                <w:sz w:val="20"/>
                <w:szCs w:val="20"/>
                <w:lang w:eastAsia="en-US"/>
              </w:rPr>
            </w:pPr>
            <w:r w:rsidRPr="00D82731">
              <w:rPr>
                <w:rFonts w:eastAsia="Calibri"/>
                <w:b/>
                <w:sz w:val="20"/>
                <w:szCs w:val="20"/>
                <w:lang w:eastAsia="en-US"/>
              </w:rPr>
              <w:t>Variación porcentual anual</w:t>
            </w:r>
          </w:p>
        </w:tc>
      </w:tr>
      <w:tr w:rsidR="00D82731" w:rsidRPr="00D82731" w14:paraId="579A4437" w14:textId="77777777" w:rsidTr="00D82731">
        <w:trPr>
          <w:trHeight w:val="52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782285" w14:textId="77777777" w:rsidR="00D82731" w:rsidRPr="00D82731" w:rsidRDefault="00D82731" w:rsidP="00D82731">
            <w:pPr>
              <w:rPr>
                <w:rFonts w:eastAsia="Calibri"/>
                <w:b/>
                <w:sz w:val="20"/>
                <w:szCs w:val="20"/>
                <w:lang w:eastAsia="en-US"/>
              </w:rPr>
            </w:pPr>
          </w:p>
        </w:tc>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1412E" w14:textId="77777777" w:rsidR="00D82731" w:rsidRPr="00D82731" w:rsidRDefault="00D82731" w:rsidP="00D82731">
            <w:pPr>
              <w:jc w:val="center"/>
              <w:rPr>
                <w:rFonts w:eastAsia="Calibri"/>
                <w:b/>
                <w:sz w:val="20"/>
                <w:szCs w:val="20"/>
                <w:lang w:eastAsia="en-US"/>
              </w:rPr>
            </w:pPr>
            <w:r w:rsidRPr="00D82731">
              <w:rPr>
                <w:rFonts w:eastAsia="Calibri"/>
                <w:b/>
                <w:sz w:val="20"/>
                <w:szCs w:val="20"/>
                <w:lang w:eastAsia="en-US"/>
              </w:rPr>
              <w:t>2014</w:t>
            </w:r>
          </w:p>
        </w:tc>
        <w:tc>
          <w:tcPr>
            <w:tcW w:w="11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BE34BD" w14:textId="77777777" w:rsidR="00D82731" w:rsidRPr="00D82731" w:rsidRDefault="00D82731" w:rsidP="00D82731">
            <w:pPr>
              <w:jc w:val="center"/>
              <w:rPr>
                <w:rFonts w:eastAsia="Calibri"/>
                <w:b/>
                <w:sz w:val="20"/>
                <w:szCs w:val="20"/>
                <w:lang w:eastAsia="en-US"/>
              </w:rPr>
            </w:pPr>
            <w:r w:rsidRPr="00D82731">
              <w:rPr>
                <w:rFonts w:eastAsia="Calibri"/>
                <w:b/>
                <w:sz w:val="20"/>
                <w:szCs w:val="20"/>
                <w:lang w:eastAsia="en-US"/>
              </w:rPr>
              <w:t>2015</w:t>
            </w:r>
            <w:r w:rsidRPr="00D82731">
              <w:rPr>
                <w:rFonts w:eastAsia="Calibri"/>
                <w:b/>
                <w:sz w:val="20"/>
                <w:szCs w:val="20"/>
                <w:u w:val="single"/>
                <w:vertAlign w:val="superscript"/>
                <w:lang w:eastAsia="en-US"/>
              </w:rPr>
              <w:t>p</w:t>
            </w:r>
            <w:r w:rsidRPr="00D82731">
              <w:rPr>
                <w:rFonts w:eastAsia="Calibri"/>
                <w:b/>
                <w:sz w:val="20"/>
                <w:szCs w:val="20"/>
                <w:vertAlign w:val="superscript"/>
                <w:lang w:eastAsia="en-US"/>
              </w:rPr>
              <w:t>/</w:t>
            </w:r>
            <w:r w:rsidRPr="00D82731">
              <w:rPr>
                <w:rFonts w:eastAsia="Calibri"/>
                <w:b/>
                <w:sz w:val="20"/>
                <w:szCs w:val="20"/>
                <w:lang w:eastAsia="en-US"/>
              </w:rPr>
              <w:t xml:space="preserve"> </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FA04E4" w14:textId="77777777" w:rsidR="00D82731" w:rsidRPr="00D82731" w:rsidRDefault="00D82731" w:rsidP="00D82731">
            <w:pPr>
              <w:rPr>
                <w:rFonts w:eastAsia="Calibri"/>
                <w:b/>
                <w:sz w:val="20"/>
                <w:szCs w:val="20"/>
                <w:lang w:eastAsia="en-US"/>
              </w:rPr>
            </w:pPr>
          </w:p>
        </w:tc>
      </w:tr>
      <w:tr w:rsidR="00D82731" w:rsidRPr="00D82731" w14:paraId="5F964CCE" w14:textId="77777777" w:rsidTr="00D82731">
        <w:trPr>
          <w:trHeight w:val="148"/>
          <w:jc w:val="center"/>
        </w:trPr>
        <w:tc>
          <w:tcPr>
            <w:tcW w:w="1643" w:type="pct"/>
            <w:tcBorders>
              <w:top w:val="single" w:sz="4" w:space="0" w:color="auto"/>
              <w:left w:val="single" w:sz="4" w:space="0" w:color="auto"/>
              <w:bottom w:val="nil"/>
              <w:right w:val="single" w:sz="4" w:space="0" w:color="auto"/>
            </w:tcBorders>
            <w:shd w:val="clear" w:color="auto" w:fill="auto"/>
            <w:vAlign w:val="center"/>
          </w:tcPr>
          <w:p w14:paraId="5437E452" w14:textId="77777777" w:rsidR="00D82731" w:rsidRPr="00D82731" w:rsidRDefault="00D82731" w:rsidP="00D82731">
            <w:pPr>
              <w:rPr>
                <w:rFonts w:eastAsia="Calibri"/>
                <w:sz w:val="20"/>
                <w:szCs w:val="20"/>
                <w:lang w:eastAsia="en-US"/>
              </w:rPr>
            </w:pPr>
            <w:r w:rsidRPr="00D82731">
              <w:rPr>
                <w:rFonts w:eastAsia="Calibri"/>
                <w:sz w:val="20"/>
                <w:szCs w:val="20"/>
                <w:lang w:eastAsia="en-US"/>
              </w:rPr>
              <w:t>Cobre</w:t>
            </w:r>
          </w:p>
        </w:tc>
        <w:tc>
          <w:tcPr>
            <w:tcW w:w="1258" w:type="pct"/>
            <w:tcBorders>
              <w:top w:val="single" w:sz="4" w:space="0" w:color="auto"/>
              <w:left w:val="single" w:sz="4" w:space="0" w:color="auto"/>
              <w:bottom w:val="nil"/>
              <w:right w:val="single" w:sz="4" w:space="0" w:color="auto"/>
            </w:tcBorders>
            <w:shd w:val="clear" w:color="auto" w:fill="auto"/>
          </w:tcPr>
          <w:p w14:paraId="7F3EFEAB"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34 706</w:t>
            </w:r>
          </w:p>
        </w:tc>
        <w:tc>
          <w:tcPr>
            <w:tcW w:w="1155" w:type="pct"/>
            <w:tcBorders>
              <w:top w:val="single" w:sz="4" w:space="0" w:color="auto"/>
              <w:left w:val="single" w:sz="4" w:space="0" w:color="auto"/>
              <w:bottom w:val="nil"/>
              <w:right w:val="single" w:sz="4" w:space="0" w:color="auto"/>
            </w:tcBorders>
            <w:shd w:val="clear" w:color="auto" w:fill="auto"/>
          </w:tcPr>
          <w:p w14:paraId="2EBCE101"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38 115</w:t>
            </w:r>
          </w:p>
        </w:tc>
        <w:tc>
          <w:tcPr>
            <w:tcW w:w="944" w:type="pct"/>
            <w:tcBorders>
              <w:top w:val="single" w:sz="4" w:space="0" w:color="auto"/>
              <w:left w:val="single" w:sz="4" w:space="0" w:color="auto"/>
              <w:bottom w:val="nil"/>
              <w:right w:val="single" w:sz="4" w:space="0" w:color="auto"/>
            </w:tcBorders>
            <w:shd w:val="clear" w:color="auto" w:fill="auto"/>
          </w:tcPr>
          <w:p w14:paraId="1F10B902"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9.8</w:t>
            </w:r>
          </w:p>
        </w:tc>
      </w:tr>
      <w:tr w:rsidR="00D82731" w:rsidRPr="00D82731" w14:paraId="1DA9B9AD"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240D54D4" w14:textId="77777777" w:rsidR="00D82731" w:rsidRPr="00D82731" w:rsidRDefault="00D82731" w:rsidP="00D82731">
            <w:pPr>
              <w:rPr>
                <w:rFonts w:eastAsia="Calibri"/>
                <w:sz w:val="20"/>
                <w:szCs w:val="20"/>
                <w:lang w:eastAsia="en-US"/>
              </w:rPr>
            </w:pPr>
            <w:r w:rsidRPr="00D82731">
              <w:rPr>
                <w:rFonts w:eastAsia="Calibri"/>
                <w:sz w:val="20"/>
                <w:szCs w:val="20"/>
                <w:lang w:eastAsia="en-US"/>
              </w:rPr>
              <w:t>Pellets de fierro</w:t>
            </w:r>
          </w:p>
        </w:tc>
        <w:tc>
          <w:tcPr>
            <w:tcW w:w="1258" w:type="pct"/>
            <w:tcBorders>
              <w:top w:val="nil"/>
              <w:left w:val="single" w:sz="4" w:space="0" w:color="auto"/>
              <w:bottom w:val="nil"/>
              <w:right w:val="single" w:sz="4" w:space="0" w:color="auto"/>
            </w:tcBorders>
            <w:shd w:val="clear" w:color="auto" w:fill="auto"/>
          </w:tcPr>
          <w:p w14:paraId="2E7C0243"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635 992</w:t>
            </w:r>
          </w:p>
        </w:tc>
        <w:tc>
          <w:tcPr>
            <w:tcW w:w="1155" w:type="pct"/>
            <w:tcBorders>
              <w:top w:val="nil"/>
              <w:left w:val="single" w:sz="4" w:space="0" w:color="auto"/>
              <w:bottom w:val="nil"/>
              <w:right w:val="single" w:sz="4" w:space="0" w:color="auto"/>
            </w:tcBorders>
            <w:shd w:val="clear" w:color="auto" w:fill="auto"/>
          </w:tcPr>
          <w:p w14:paraId="666F957C"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687 470</w:t>
            </w:r>
          </w:p>
        </w:tc>
        <w:tc>
          <w:tcPr>
            <w:tcW w:w="944" w:type="pct"/>
            <w:tcBorders>
              <w:top w:val="nil"/>
              <w:left w:val="single" w:sz="4" w:space="0" w:color="auto"/>
              <w:bottom w:val="nil"/>
              <w:right w:val="single" w:sz="4" w:space="0" w:color="auto"/>
            </w:tcBorders>
            <w:shd w:val="clear" w:color="auto" w:fill="auto"/>
          </w:tcPr>
          <w:p w14:paraId="61C6AB62"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8.1</w:t>
            </w:r>
          </w:p>
        </w:tc>
      </w:tr>
      <w:tr w:rsidR="00D82731" w:rsidRPr="00D82731" w14:paraId="24CDFE1A"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1344EAFB" w14:textId="77777777" w:rsidR="00D82731" w:rsidRPr="00D82731" w:rsidRDefault="00D82731" w:rsidP="00D82731">
            <w:pPr>
              <w:rPr>
                <w:rFonts w:eastAsia="Calibri"/>
                <w:sz w:val="20"/>
                <w:szCs w:val="20"/>
                <w:lang w:eastAsia="en-US"/>
              </w:rPr>
            </w:pPr>
            <w:r w:rsidRPr="00D82731">
              <w:rPr>
                <w:rFonts w:eastAsia="Calibri"/>
                <w:sz w:val="20"/>
                <w:szCs w:val="20"/>
                <w:lang w:eastAsia="en-US"/>
              </w:rPr>
              <w:t>Oro</w:t>
            </w:r>
          </w:p>
        </w:tc>
        <w:tc>
          <w:tcPr>
            <w:tcW w:w="1258" w:type="pct"/>
            <w:tcBorders>
              <w:top w:val="nil"/>
              <w:left w:val="single" w:sz="4" w:space="0" w:color="auto"/>
              <w:bottom w:val="nil"/>
              <w:right w:val="single" w:sz="4" w:space="0" w:color="auto"/>
            </w:tcBorders>
            <w:shd w:val="clear" w:color="auto" w:fill="auto"/>
          </w:tcPr>
          <w:p w14:paraId="55F75D73"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6 606</w:t>
            </w:r>
          </w:p>
        </w:tc>
        <w:tc>
          <w:tcPr>
            <w:tcW w:w="1155" w:type="pct"/>
            <w:tcBorders>
              <w:top w:val="nil"/>
              <w:left w:val="single" w:sz="4" w:space="0" w:color="auto"/>
              <w:bottom w:val="nil"/>
              <w:right w:val="single" w:sz="4" w:space="0" w:color="auto"/>
            </w:tcBorders>
            <w:shd w:val="clear" w:color="auto" w:fill="auto"/>
          </w:tcPr>
          <w:p w14:paraId="0DC8DC72"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7 120</w:t>
            </w:r>
          </w:p>
        </w:tc>
        <w:tc>
          <w:tcPr>
            <w:tcW w:w="944" w:type="pct"/>
            <w:tcBorders>
              <w:top w:val="nil"/>
              <w:left w:val="single" w:sz="4" w:space="0" w:color="auto"/>
              <w:bottom w:val="nil"/>
              <w:right w:val="single" w:sz="4" w:space="0" w:color="auto"/>
            </w:tcBorders>
            <w:shd w:val="clear" w:color="auto" w:fill="auto"/>
          </w:tcPr>
          <w:p w14:paraId="6DBDC8D1"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7.8</w:t>
            </w:r>
          </w:p>
        </w:tc>
      </w:tr>
      <w:tr w:rsidR="00D82731" w:rsidRPr="00D82731" w14:paraId="14569B9A"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0D99EECF" w14:textId="77777777" w:rsidR="00D82731" w:rsidRPr="00D82731" w:rsidRDefault="00D82731" w:rsidP="00D82731">
            <w:pPr>
              <w:rPr>
                <w:rFonts w:eastAsia="Calibri"/>
                <w:sz w:val="20"/>
                <w:szCs w:val="20"/>
                <w:lang w:eastAsia="en-US"/>
              </w:rPr>
            </w:pPr>
            <w:r w:rsidRPr="00D82731">
              <w:rPr>
                <w:rFonts w:eastAsia="Calibri"/>
                <w:sz w:val="20"/>
                <w:szCs w:val="20"/>
                <w:lang w:eastAsia="en-US"/>
              </w:rPr>
              <w:t>Carbón no coquizable</w:t>
            </w:r>
          </w:p>
        </w:tc>
        <w:tc>
          <w:tcPr>
            <w:tcW w:w="1258" w:type="pct"/>
            <w:tcBorders>
              <w:top w:val="nil"/>
              <w:left w:val="single" w:sz="4" w:space="0" w:color="auto"/>
              <w:bottom w:val="nil"/>
              <w:right w:val="single" w:sz="4" w:space="0" w:color="auto"/>
            </w:tcBorders>
            <w:shd w:val="clear" w:color="auto" w:fill="auto"/>
          </w:tcPr>
          <w:p w14:paraId="656B39FD"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909 066</w:t>
            </w:r>
          </w:p>
        </w:tc>
        <w:tc>
          <w:tcPr>
            <w:tcW w:w="1155" w:type="pct"/>
            <w:tcBorders>
              <w:top w:val="nil"/>
              <w:left w:val="single" w:sz="4" w:space="0" w:color="auto"/>
              <w:bottom w:val="nil"/>
              <w:right w:val="single" w:sz="4" w:space="0" w:color="auto"/>
            </w:tcBorders>
            <w:shd w:val="clear" w:color="auto" w:fill="auto"/>
          </w:tcPr>
          <w:p w14:paraId="5D9C80FD"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964 380</w:t>
            </w:r>
          </w:p>
        </w:tc>
        <w:tc>
          <w:tcPr>
            <w:tcW w:w="944" w:type="pct"/>
            <w:tcBorders>
              <w:top w:val="nil"/>
              <w:left w:val="single" w:sz="4" w:space="0" w:color="auto"/>
              <w:bottom w:val="nil"/>
              <w:right w:val="single" w:sz="4" w:space="0" w:color="auto"/>
            </w:tcBorders>
            <w:shd w:val="clear" w:color="auto" w:fill="auto"/>
          </w:tcPr>
          <w:p w14:paraId="580D6132"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6.1</w:t>
            </w:r>
          </w:p>
        </w:tc>
      </w:tr>
      <w:tr w:rsidR="00D82731" w:rsidRPr="00D82731" w14:paraId="31C5A2B3"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599C0DA7" w14:textId="77777777" w:rsidR="00D82731" w:rsidRPr="00D82731" w:rsidRDefault="00D82731" w:rsidP="00D82731">
            <w:pPr>
              <w:rPr>
                <w:rFonts w:eastAsia="Calibri"/>
                <w:sz w:val="20"/>
                <w:szCs w:val="20"/>
                <w:lang w:eastAsia="en-US"/>
              </w:rPr>
            </w:pPr>
            <w:r w:rsidRPr="00D82731">
              <w:rPr>
                <w:rFonts w:eastAsia="Calibri"/>
                <w:sz w:val="20"/>
                <w:szCs w:val="20"/>
                <w:lang w:eastAsia="en-US"/>
              </w:rPr>
              <w:t>Plata</w:t>
            </w:r>
          </w:p>
        </w:tc>
        <w:tc>
          <w:tcPr>
            <w:tcW w:w="1258" w:type="pct"/>
            <w:tcBorders>
              <w:top w:val="nil"/>
              <w:left w:val="single" w:sz="4" w:space="0" w:color="auto"/>
              <w:bottom w:val="nil"/>
              <w:right w:val="single" w:sz="4" w:space="0" w:color="auto"/>
            </w:tcBorders>
            <w:shd w:val="clear" w:color="auto" w:fill="auto"/>
          </w:tcPr>
          <w:p w14:paraId="52C4AE09"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366 703</w:t>
            </w:r>
          </w:p>
        </w:tc>
        <w:tc>
          <w:tcPr>
            <w:tcW w:w="1155" w:type="pct"/>
            <w:tcBorders>
              <w:top w:val="nil"/>
              <w:left w:val="single" w:sz="4" w:space="0" w:color="auto"/>
              <w:bottom w:val="nil"/>
              <w:right w:val="single" w:sz="4" w:space="0" w:color="auto"/>
            </w:tcBorders>
            <w:shd w:val="clear" w:color="auto" w:fill="auto"/>
          </w:tcPr>
          <w:p w14:paraId="5E557E76"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388 283</w:t>
            </w:r>
          </w:p>
        </w:tc>
        <w:tc>
          <w:tcPr>
            <w:tcW w:w="944" w:type="pct"/>
            <w:tcBorders>
              <w:top w:val="nil"/>
              <w:left w:val="single" w:sz="4" w:space="0" w:color="auto"/>
              <w:bottom w:val="nil"/>
              <w:right w:val="single" w:sz="4" w:space="0" w:color="auto"/>
            </w:tcBorders>
            <w:shd w:val="clear" w:color="auto" w:fill="auto"/>
          </w:tcPr>
          <w:p w14:paraId="10E163FD"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5.9</w:t>
            </w:r>
          </w:p>
        </w:tc>
      </w:tr>
      <w:tr w:rsidR="00D82731" w:rsidRPr="00D82731" w14:paraId="0CD4F3CA"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05FF72F0" w14:textId="77777777" w:rsidR="00D82731" w:rsidRPr="00D82731" w:rsidRDefault="00D82731" w:rsidP="00D82731">
            <w:pPr>
              <w:rPr>
                <w:rFonts w:eastAsia="Calibri"/>
                <w:sz w:val="20"/>
                <w:szCs w:val="20"/>
                <w:lang w:eastAsia="en-US"/>
              </w:rPr>
            </w:pPr>
            <w:r w:rsidRPr="00D82731">
              <w:rPr>
                <w:rFonts w:eastAsia="Calibri"/>
                <w:sz w:val="20"/>
                <w:szCs w:val="20"/>
                <w:lang w:eastAsia="en-US"/>
              </w:rPr>
              <w:t>Fluorita</w:t>
            </w:r>
          </w:p>
        </w:tc>
        <w:tc>
          <w:tcPr>
            <w:tcW w:w="1258" w:type="pct"/>
            <w:tcBorders>
              <w:top w:val="nil"/>
              <w:left w:val="single" w:sz="4" w:space="0" w:color="auto"/>
              <w:bottom w:val="nil"/>
              <w:right w:val="single" w:sz="4" w:space="0" w:color="auto"/>
            </w:tcBorders>
            <w:shd w:val="clear" w:color="auto" w:fill="auto"/>
          </w:tcPr>
          <w:p w14:paraId="33E926B9"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93 938</w:t>
            </w:r>
          </w:p>
        </w:tc>
        <w:tc>
          <w:tcPr>
            <w:tcW w:w="1155" w:type="pct"/>
            <w:tcBorders>
              <w:top w:val="nil"/>
              <w:left w:val="single" w:sz="4" w:space="0" w:color="auto"/>
              <w:bottom w:val="nil"/>
              <w:right w:val="single" w:sz="4" w:space="0" w:color="auto"/>
            </w:tcBorders>
            <w:shd w:val="clear" w:color="auto" w:fill="auto"/>
          </w:tcPr>
          <w:p w14:paraId="127F5044"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96 314</w:t>
            </w:r>
          </w:p>
        </w:tc>
        <w:tc>
          <w:tcPr>
            <w:tcW w:w="944" w:type="pct"/>
            <w:tcBorders>
              <w:top w:val="nil"/>
              <w:left w:val="single" w:sz="4" w:space="0" w:color="auto"/>
              <w:bottom w:val="nil"/>
              <w:right w:val="single" w:sz="4" w:space="0" w:color="auto"/>
            </w:tcBorders>
            <w:shd w:val="clear" w:color="auto" w:fill="auto"/>
          </w:tcPr>
          <w:p w14:paraId="3936F800"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2.5</w:t>
            </w:r>
          </w:p>
        </w:tc>
      </w:tr>
      <w:tr w:rsidR="00D82731" w:rsidRPr="00D82731" w14:paraId="71A4485B"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6099536A" w14:textId="77777777" w:rsidR="00D82731" w:rsidRPr="00D82731" w:rsidRDefault="00D82731" w:rsidP="00D82731">
            <w:pPr>
              <w:rPr>
                <w:rFonts w:eastAsia="Calibri"/>
                <w:sz w:val="20"/>
                <w:szCs w:val="20"/>
                <w:lang w:eastAsia="en-US"/>
              </w:rPr>
            </w:pPr>
            <w:r w:rsidRPr="00D82731">
              <w:rPr>
                <w:rFonts w:eastAsia="Calibri"/>
                <w:sz w:val="20"/>
                <w:szCs w:val="20"/>
                <w:lang w:eastAsia="en-US"/>
              </w:rPr>
              <w:t>Yeso</w:t>
            </w:r>
          </w:p>
        </w:tc>
        <w:tc>
          <w:tcPr>
            <w:tcW w:w="1258" w:type="pct"/>
            <w:tcBorders>
              <w:top w:val="nil"/>
              <w:left w:val="single" w:sz="4" w:space="0" w:color="auto"/>
              <w:bottom w:val="nil"/>
              <w:right w:val="single" w:sz="4" w:space="0" w:color="auto"/>
            </w:tcBorders>
            <w:shd w:val="clear" w:color="auto" w:fill="auto"/>
            <w:vAlign w:val="center"/>
          </w:tcPr>
          <w:p w14:paraId="7521EAD6"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446 384</w:t>
            </w:r>
          </w:p>
        </w:tc>
        <w:tc>
          <w:tcPr>
            <w:tcW w:w="1155" w:type="pct"/>
            <w:tcBorders>
              <w:top w:val="nil"/>
              <w:left w:val="single" w:sz="4" w:space="0" w:color="auto"/>
              <w:bottom w:val="nil"/>
              <w:right w:val="single" w:sz="4" w:space="0" w:color="auto"/>
            </w:tcBorders>
            <w:shd w:val="clear" w:color="auto" w:fill="auto"/>
            <w:vAlign w:val="center"/>
          </w:tcPr>
          <w:p w14:paraId="313B1213"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434 709</w:t>
            </w:r>
          </w:p>
        </w:tc>
        <w:tc>
          <w:tcPr>
            <w:tcW w:w="944" w:type="pct"/>
            <w:tcBorders>
              <w:top w:val="nil"/>
              <w:left w:val="single" w:sz="4" w:space="0" w:color="auto"/>
              <w:bottom w:val="nil"/>
              <w:right w:val="single" w:sz="4" w:space="0" w:color="auto"/>
            </w:tcBorders>
            <w:shd w:val="clear" w:color="auto" w:fill="auto"/>
          </w:tcPr>
          <w:p w14:paraId="42311FF8"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-2.6</w:t>
            </w:r>
          </w:p>
        </w:tc>
      </w:tr>
      <w:tr w:rsidR="00D82731" w:rsidRPr="00D82731" w14:paraId="7EDE6BB0"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4678AE0A" w14:textId="77777777" w:rsidR="00D82731" w:rsidRPr="00D82731" w:rsidRDefault="00D82731" w:rsidP="00D82731">
            <w:pPr>
              <w:rPr>
                <w:rFonts w:eastAsia="Calibri"/>
                <w:sz w:val="20"/>
                <w:szCs w:val="20"/>
                <w:lang w:eastAsia="en-US"/>
              </w:rPr>
            </w:pPr>
            <w:r w:rsidRPr="00D82731">
              <w:rPr>
                <w:rFonts w:eastAsia="Calibri"/>
                <w:sz w:val="20"/>
                <w:szCs w:val="20"/>
                <w:lang w:eastAsia="en-US"/>
              </w:rPr>
              <w:t>Plomo</w:t>
            </w:r>
          </w:p>
        </w:tc>
        <w:tc>
          <w:tcPr>
            <w:tcW w:w="1258" w:type="pct"/>
            <w:tcBorders>
              <w:top w:val="nil"/>
              <w:left w:val="single" w:sz="4" w:space="0" w:color="auto"/>
              <w:bottom w:val="nil"/>
              <w:right w:val="single" w:sz="4" w:space="0" w:color="auto"/>
            </w:tcBorders>
            <w:shd w:val="clear" w:color="auto" w:fill="auto"/>
          </w:tcPr>
          <w:p w14:paraId="1EB98D87"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16 287</w:t>
            </w:r>
          </w:p>
        </w:tc>
        <w:tc>
          <w:tcPr>
            <w:tcW w:w="1155" w:type="pct"/>
            <w:tcBorders>
              <w:top w:val="nil"/>
              <w:left w:val="single" w:sz="4" w:space="0" w:color="auto"/>
              <w:bottom w:val="nil"/>
              <w:right w:val="single" w:sz="4" w:space="0" w:color="auto"/>
            </w:tcBorders>
            <w:shd w:val="clear" w:color="auto" w:fill="auto"/>
          </w:tcPr>
          <w:p w14:paraId="4F7729FE"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15 840</w:t>
            </w:r>
          </w:p>
        </w:tc>
        <w:tc>
          <w:tcPr>
            <w:tcW w:w="944" w:type="pct"/>
            <w:tcBorders>
              <w:top w:val="nil"/>
              <w:left w:val="single" w:sz="4" w:space="0" w:color="auto"/>
              <w:bottom w:val="nil"/>
              <w:right w:val="single" w:sz="4" w:space="0" w:color="auto"/>
            </w:tcBorders>
            <w:shd w:val="clear" w:color="auto" w:fill="auto"/>
          </w:tcPr>
          <w:p w14:paraId="2992C6B9"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-2.7</w:t>
            </w:r>
          </w:p>
        </w:tc>
      </w:tr>
      <w:tr w:rsidR="00D82731" w:rsidRPr="00D82731" w14:paraId="63BA10FB"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35D63FE4" w14:textId="77777777" w:rsidR="00D82731" w:rsidRPr="00D82731" w:rsidRDefault="00D82731" w:rsidP="00D82731">
            <w:pPr>
              <w:rPr>
                <w:rFonts w:ascii="Calibri" w:eastAsia="Calibri" w:hAnsi="Calibri"/>
                <w:sz w:val="22"/>
                <w:szCs w:val="22"/>
                <w:lang w:eastAsia="en-US"/>
              </w:rPr>
            </w:pPr>
            <w:r w:rsidRPr="00D82731">
              <w:rPr>
                <w:rFonts w:eastAsia="Calibri"/>
                <w:sz w:val="20"/>
                <w:szCs w:val="20"/>
                <w:lang w:eastAsia="en-US"/>
              </w:rPr>
              <w:t>Zinc</w:t>
            </w:r>
          </w:p>
        </w:tc>
        <w:tc>
          <w:tcPr>
            <w:tcW w:w="1258" w:type="pct"/>
            <w:tcBorders>
              <w:top w:val="nil"/>
              <w:left w:val="single" w:sz="4" w:space="0" w:color="auto"/>
              <w:bottom w:val="nil"/>
              <w:right w:val="single" w:sz="4" w:space="0" w:color="auto"/>
            </w:tcBorders>
            <w:shd w:val="clear" w:color="auto" w:fill="auto"/>
          </w:tcPr>
          <w:p w14:paraId="775DD887"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35 246</w:t>
            </w:r>
          </w:p>
        </w:tc>
        <w:tc>
          <w:tcPr>
            <w:tcW w:w="1155" w:type="pct"/>
            <w:tcBorders>
              <w:top w:val="nil"/>
              <w:left w:val="single" w:sz="4" w:space="0" w:color="auto"/>
              <w:bottom w:val="nil"/>
              <w:right w:val="single" w:sz="4" w:space="0" w:color="auto"/>
            </w:tcBorders>
            <w:shd w:val="clear" w:color="auto" w:fill="auto"/>
          </w:tcPr>
          <w:p w14:paraId="6648B6EA"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32 268</w:t>
            </w:r>
          </w:p>
        </w:tc>
        <w:tc>
          <w:tcPr>
            <w:tcW w:w="944" w:type="pct"/>
            <w:tcBorders>
              <w:top w:val="nil"/>
              <w:left w:val="single" w:sz="4" w:space="0" w:color="auto"/>
              <w:bottom w:val="nil"/>
              <w:right w:val="single" w:sz="4" w:space="0" w:color="auto"/>
            </w:tcBorders>
            <w:shd w:val="clear" w:color="auto" w:fill="auto"/>
          </w:tcPr>
          <w:p w14:paraId="0E9E233A"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-8.4</w:t>
            </w:r>
          </w:p>
        </w:tc>
      </w:tr>
      <w:tr w:rsidR="00D82731" w:rsidRPr="00D82731" w14:paraId="41B76BCE" w14:textId="77777777" w:rsidTr="00D82731">
        <w:trPr>
          <w:trHeight w:val="148"/>
          <w:jc w:val="center"/>
        </w:trPr>
        <w:tc>
          <w:tcPr>
            <w:tcW w:w="1643" w:type="pct"/>
            <w:tcBorders>
              <w:top w:val="nil"/>
              <w:left w:val="single" w:sz="4" w:space="0" w:color="auto"/>
              <w:bottom w:val="nil"/>
              <w:right w:val="single" w:sz="4" w:space="0" w:color="auto"/>
            </w:tcBorders>
            <w:shd w:val="clear" w:color="auto" w:fill="auto"/>
            <w:vAlign w:val="center"/>
          </w:tcPr>
          <w:p w14:paraId="742A4DC3" w14:textId="77777777" w:rsidR="00D82731" w:rsidRPr="00D82731" w:rsidRDefault="00D82731" w:rsidP="00D82731">
            <w:pPr>
              <w:rPr>
                <w:rFonts w:eastAsia="Calibri"/>
                <w:sz w:val="20"/>
                <w:szCs w:val="20"/>
                <w:lang w:eastAsia="en-US"/>
              </w:rPr>
            </w:pPr>
            <w:r w:rsidRPr="00D82731">
              <w:rPr>
                <w:rFonts w:eastAsia="Calibri"/>
                <w:sz w:val="20"/>
                <w:szCs w:val="20"/>
                <w:lang w:eastAsia="en-US"/>
              </w:rPr>
              <w:t>Azufre</w:t>
            </w:r>
          </w:p>
        </w:tc>
        <w:tc>
          <w:tcPr>
            <w:tcW w:w="1258" w:type="pct"/>
            <w:tcBorders>
              <w:top w:val="nil"/>
              <w:left w:val="single" w:sz="4" w:space="0" w:color="auto"/>
              <w:bottom w:val="nil"/>
              <w:right w:val="single" w:sz="4" w:space="0" w:color="auto"/>
            </w:tcBorders>
            <w:shd w:val="clear" w:color="auto" w:fill="auto"/>
          </w:tcPr>
          <w:p w14:paraId="15F63737"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87 799</w:t>
            </w:r>
          </w:p>
        </w:tc>
        <w:tc>
          <w:tcPr>
            <w:tcW w:w="1155" w:type="pct"/>
            <w:tcBorders>
              <w:top w:val="nil"/>
              <w:left w:val="single" w:sz="4" w:space="0" w:color="auto"/>
              <w:bottom w:val="nil"/>
              <w:right w:val="single" w:sz="4" w:space="0" w:color="auto"/>
            </w:tcBorders>
            <w:shd w:val="clear" w:color="auto" w:fill="auto"/>
          </w:tcPr>
          <w:p w14:paraId="21B0F8BF"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80 116</w:t>
            </w:r>
          </w:p>
        </w:tc>
        <w:tc>
          <w:tcPr>
            <w:tcW w:w="944" w:type="pct"/>
            <w:tcBorders>
              <w:top w:val="nil"/>
              <w:left w:val="single" w:sz="4" w:space="0" w:color="auto"/>
              <w:bottom w:val="nil"/>
              <w:right w:val="single" w:sz="4" w:space="0" w:color="auto"/>
            </w:tcBorders>
            <w:shd w:val="clear" w:color="auto" w:fill="auto"/>
          </w:tcPr>
          <w:p w14:paraId="1D4380F8"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-8.8</w:t>
            </w:r>
          </w:p>
        </w:tc>
      </w:tr>
      <w:tr w:rsidR="00D82731" w:rsidRPr="00D82731" w14:paraId="43F67564" w14:textId="77777777" w:rsidTr="00D82731">
        <w:trPr>
          <w:trHeight w:val="148"/>
          <w:jc w:val="center"/>
        </w:trPr>
        <w:tc>
          <w:tcPr>
            <w:tcW w:w="1643" w:type="pct"/>
            <w:tcBorders>
              <w:top w:val="nil"/>
              <w:left w:val="single" w:sz="4" w:space="0" w:color="auto"/>
              <w:bottom w:val="single" w:sz="4" w:space="0" w:color="auto"/>
              <w:right w:val="single" w:sz="4" w:space="0" w:color="auto"/>
            </w:tcBorders>
            <w:shd w:val="clear" w:color="auto" w:fill="auto"/>
            <w:vAlign w:val="center"/>
          </w:tcPr>
          <w:p w14:paraId="34AFA324" w14:textId="77777777" w:rsidR="00D82731" w:rsidRPr="00D82731" w:rsidRDefault="00D82731" w:rsidP="00D82731">
            <w:pPr>
              <w:rPr>
                <w:rFonts w:eastAsia="Calibri"/>
                <w:sz w:val="20"/>
                <w:szCs w:val="20"/>
                <w:lang w:eastAsia="en-US"/>
              </w:rPr>
            </w:pPr>
            <w:r w:rsidRPr="00D82731">
              <w:rPr>
                <w:rFonts w:eastAsia="Calibri"/>
                <w:sz w:val="20"/>
                <w:szCs w:val="20"/>
                <w:lang w:eastAsia="en-US"/>
              </w:rPr>
              <w:t>Coque</w:t>
            </w:r>
          </w:p>
        </w:tc>
        <w:tc>
          <w:tcPr>
            <w:tcW w:w="1258" w:type="pct"/>
            <w:tcBorders>
              <w:top w:val="nil"/>
              <w:left w:val="single" w:sz="4" w:space="0" w:color="auto"/>
              <w:bottom w:val="single" w:sz="4" w:space="0" w:color="auto"/>
              <w:right w:val="single" w:sz="4" w:space="0" w:color="auto"/>
            </w:tcBorders>
            <w:shd w:val="clear" w:color="auto" w:fill="auto"/>
          </w:tcPr>
          <w:p w14:paraId="511265BB" w14:textId="77777777" w:rsidR="00D82731" w:rsidRPr="00D82731" w:rsidRDefault="00D82731" w:rsidP="00D82731">
            <w:pPr>
              <w:ind w:right="340"/>
              <w:jc w:val="right"/>
              <w:rPr>
                <w:rFonts w:eastAsia="Calibri"/>
                <w:sz w:val="20"/>
                <w:szCs w:val="20"/>
                <w:lang w:eastAsia="en-US"/>
              </w:rPr>
            </w:pPr>
            <w:r w:rsidRPr="00D82731">
              <w:rPr>
                <w:rFonts w:eastAsia="Calibri"/>
                <w:sz w:val="20"/>
                <w:szCs w:val="20"/>
                <w:lang w:eastAsia="en-US"/>
              </w:rPr>
              <w:t>197 562</w:t>
            </w:r>
          </w:p>
        </w:tc>
        <w:tc>
          <w:tcPr>
            <w:tcW w:w="1155" w:type="pct"/>
            <w:tcBorders>
              <w:top w:val="nil"/>
              <w:left w:val="single" w:sz="4" w:space="0" w:color="auto"/>
              <w:bottom w:val="single" w:sz="4" w:space="0" w:color="auto"/>
              <w:right w:val="single" w:sz="4" w:space="0" w:color="auto"/>
            </w:tcBorders>
            <w:shd w:val="clear" w:color="auto" w:fill="auto"/>
          </w:tcPr>
          <w:p w14:paraId="49D5A5FA" w14:textId="77777777" w:rsidR="00D82731" w:rsidRPr="00D82731" w:rsidRDefault="00D82731" w:rsidP="00D82731">
            <w:pPr>
              <w:ind w:right="284"/>
              <w:jc w:val="right"/>
              <w:rPr>
                <w:rFonts w:eastAsia="Calibri"/>
                <w:sz w:val="20"/>
                <w:szCs w:val="20"/>
                <w:lang w:eastAsia="en-US"/>
              </w:rPr>
            </w:pPr>
            <w:r w:rsidRPr="00D82731">
              <w:rPr>
                <w:rFonts w:eastAsia="Calibri"/>
                <w:sz w:val="20"/>
                <w:szCs w:val="20"/>
                <w:lang w:eastAsia="en-US"/>
              </w:rPr>
              <w:t>176 337</w:t>
            </w:r>
          </w:p>
        </w:tc>
        <w:tc>
          <w:tcPr>
            <w:tcW w:w="944" w:type="pct"/>
            <w:tcBorders>
              <w:top w:val="nil"/>
              <w:left w:val="single" w:sz="4" w:space="0" w:color="auto"/>
              <w:bottom w:val="single" w:sz="4" w:space="0" w:color="auto"/>
              <w:right w:val="single" w:sz="4" w:space="0" w:color="auto"/>
            </w:tcBorders>
            <w:shd w:val="clear" w:color="auto" w:fill="auto"/>
          </w:tcPr>
          <w:p w14:paraId="244D4901" w14:textId="77777777" w:rsidR="00D82731" w:rsidRPr="00D82731" w:rsidRDefault="00D82731" w:rsidP="00D82731">
            <w:pPr>
              <w:ind w:right="397"/>
              <w:jc w:val="right"/>
              <w:rPr>
                <w:rFonts w:eastAsia="Calibri"/>
                <w:sz w:val="20"/>
                <w:szCs w:val="20"/>
                <w:lang w:eastAsia="en-US"/>
              </w:rPr>
            </w:pPr>
            <w:r w:rsidRPr="00D82731">
              <w:rPr>
                <w:rFonts w:eastAsia="Calibri"/>
                <w:sz w:val="20"/>
                <w:szCs w:val="20"/>
                <w:lang w:eastAsia="en-US"/>
              </w:rPr>
              <w:t>-10.7</w:t>
            </w:r>
          </w:p>
        </w:tc>
      </w:tr>
      <w:tr w:rsidR="00D82731" w:rsidRPr="00D82731" w14:paraId="761D774A" w14:textId="77777777" w:rsidTr="00D82731">
        <w:trPr>
          <w:trHeight w:val="148"/>
          <w:jc w:val="center"/>
        </w:trPr>
        <w:tc>
          <w:tcPr>
            <w:tcW w:w="5000" w:type="pct"/>
            <w:gridSpan w:val="4"/>
            <w:tcBorders>
              <w:top w:val="single" w:sz="4" w:space="0" w:color="auto"/>
              <w:left w:val="nil"/>
              <w:bottom w:val="nil"/>
              <w:right w:val="nil"/>
            </w:tcBorders>
            <w:shd w:val="clear" w:color="auto" w:fill="auto"/>
            <w:hideMark/>
          </w:tcPr>
          <w:p w14:paraId="610268D9" w14:textId="77777777" w:rsidR="00D82731" w:rsidRPr="00D82731" w:rsidRDefault="00D82731" w:rsidP="00D82731">
            <w:pPr>
              <w:spacing w:before="120"/>
              <w:jc w:val="both"/>
              <w:rPr>
                <w:rFonts w:eastAsia="Calibri"/>
                <w:sz w:val="20"/>
                <w:szCs w:val="20"/>
                <w:u w:val="single"/>
                <w:lang w:eastAsia="en-US"/>
              </w:rPr>
            </w:pPr>
            <w:r w:rsidRPr="00D82731">
              <w:rPr>
                <w:rFonts w:eastAsia="Calibri"/>
                <w:sz w:val="20"/>
                <w:szCs w:val="20"/>
                <w:u w:val="single"/>
                <w:lang w:eastAsia="en-US"/>
              </w:rPr>
              <w:t>p</w:t>
            </w:r>
            <w:r w:rsidRPr="00D82731">
              <w:rPr>
                <w:rFonts w:eastAsia="Calibri"/>
                <w:sz w:val="20"/>
                <w:szCs w:val="20"/>
                <w:lang w:eastAsia="en-US"/>
              </w:rPr>
              <w:t>/ Cifras preliminares.</w:t>
            </w:r>
          </w:p>
          <w:p w14:paraId="347D3FC6" w14:textId="77777777" w:rsidR="00D82731" w:rsidRPr="00D82731" w:rsidRDefault="00D82731" w:rsidP="00D82731">
            <w:pPr>
              <w:jc w:val="both"/>
              <w:rPr>
                <w:rFonts w:eastAsia="Calibri"/>
                <w:sz w:val="20"/>
                <w:szCs w:val="20"/>
                <w:lang w:eastAsia="en-US"/>
              </w:rPr>
            </w:pPr>
            <w:r w:rsidRPr="00D82731">
              <w:rPr>
                <w:rFonts w:eastAsia="Calibri"/>
                <w:sz w:val="20"/>
                <w:szCs w:val="20"/>
                <w:u w:val="single"/>
                <w:lang w:eastAsia="en-US"/>
              </w:rPr>
              <w:t>1</w:t>
            </w:r>
            <w:r w:rsidRPr="00D82731">
              <w:rPr>
                <w:rFonts w:eastAsia="Calibri"/>
                <w:sz w:val="20"/>
                <w:szCs w:val="20"/>
                <w:lang w:eastAsia="en-US"/>
              </w:rPr>
              <w:t>/ Excepto el oro y la plata que son kilogramos.</w:t>
            </w:r>
          </w:p>
          <w:p w14:paraId="44045AD5" w14:textId="14D2FA69" w:rsidR="00D82731" w:rsidRPr="00D82731" w:rsidRDefault="00D82731" w:rsidP="00512C3D">
            <w:pPr>
              <w:jc w:val="both"/>
              <w:rPr>
                <w:rFonts w:eastAsia="Calibri"/>
                <w:sz w:val="20"/>
                <w:szCs w:val="20"/>
                <w:lang w:eastAsia="en-US"/>
              </w:rPr>
            </w:pPr>
            <w:r w:rsidRPr="00D82731">
              <w:rPr>
                <w:rFonts w:eastAsia="Calibri"/>
                <w:sz w:val="20"/>
                <w:szCs w:val="20"/>
                <w:lang w:eastAsia="en-US"/>
              </w:rPr>
              <w:t>FUENTE: INEGI.</w:t>
            </w:r>
          </w:p>
        </w:tc>
      </w:tr>
    </w:tbl>
    <w:p w14:paraId="513FF020" w14:textId="77777777" w:rsidR="00716684" w:rsidRDefault="00716684" w:rsidP="00D82731">
      <w:pPr>
        <w:spacing w:after="360" w:line="360" w:lineRule="auto"/>
        <w:ind w:right="-159"/>
        <w:jc w:val="both"/>
        <w:rPr>
          <w:rFonts w:eastAsia="Calibri"/>
          <w:sz w:val="26"/>
          <w:szCs w:val="26"/>
          <w:lang w:eastAsia="en-US"/>
        </w:rPr>
      </w:pPr>
    </w:p>
    <w:p w14:paraId="2A3D7DBA" w14:textId="77777777" w:rsidR="004A5A17" w:rsidRDefault="004A5A17" w:rsidP="00D82731">
      <w:pPr>
        <w:spacing w:after="360" w:line="360" w:lineRule="auto"/>
        <w:ind w:right="-159"/>
        <w:jc w:val="both"/>
        <w:rPr>
          <w:rFonts w:eastAsia="Calibri"/>
          <w:sz w:val="26"/>
          <w:szCs w:val="26"/>
          <w:lang w:eastAsia="en-US"/>
        </w:rPr>
      </w:pPr>
    </w:p>
    <w:p w14:paraId="140D1839" w14:textId="77777777" w:rsidR="004A5A17" w:rsidRDefault="004A5A17" w:rsidP="00D82731">
      <w:pPr>
        <w:spacing w:after="360" w:line="360" w:lineRule="auto"/>
        <w:ind w:right="-159"/>
        <w:jc w:val="both"/>
        <w:rPr>
          <w:rFonts w:eastAsia="Calibri"/>
          <w:sz w:val="26"/>
          <w:szCs w:val="26"/>
          <w:lang w:eastAsia="en-US"/>
        </w:rPr>
      </w:pPr>
    </w:p>
    <w:p w14:paraId="5566F967" w14:textId="77777777" w:rsidR="004A5A17" w:rsidRDefault="004A5A17" w:rsidP="00D82731">
      <w:pPr>
        <w:spacing w:after="360" w:line="360" w:lineRule="auto"/>
        <w:ind w:right="-159"/>
        <w:jc w:val="both"/>
        <w:rPr>
          <w:rFonts w:eastAsia="Calibri"/>
          <w:sz w:val="26"/>
          <w:szCs w:val="26"/>
          <w:lang w:eastAsia="en-US"/>
        </w:rPr>
      </w:pPr>
    </w:p>
    <w:p w14:paraId="6A7AD52F" w14:textId="77777777" w:rsidR="004A5A17" w:rsidRDefault="004A5A17" w:rsidP="00D82731">
      <w:pPr>
        <w:spacing w:after="360" w:line="360" w:lineRule="auto"/>
        <w:ind w:right="-159"/>
        <w:jc w:val="both"/>
        <w:rPr>
          <w:rFonts w:eastAsia="Calibri"/>
          <w:sz w:val="26"/>
          <w:szCs w:val="26"/>
          <w:lang w:eastAsia="en-US"/>
        </w:rPr>
      </w:pPr>
    </w:p>
    <w:p w14:paraId="05515414" w14:textId="77777777" w:rsidR="004A5A17" w:rsidRDefault="004A5A17" w:rsidP="00D82731">
      <w:pPr>
        <w:spacing w:after="360" w:line="360" w:lineRule="auto"/>
        <w:ind w:right="-159"/>
        <w:jc w:val="both"/>
        <w:rPr>
          <w:rFonts w:eastAsia="Calibri"/>
          <w:sz w:val="26"/>
          <w:szCs w:val="26"/>
          <w:lang w:eastAsia="en-US"/>
        </w:rPr>
      </w:pPr>
    </w:p>
    <w:p w14:paraId="1C133B3D" w14:textId="77777777" w:rsidR="004A5A17" w:rsidRDefault="004A5A17" w:rsidP="00D82731">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922"/>
        <w:gridCol w:w="1418"/>
        <w:gridCol w:w="1330"/>
        <w:gridCol w:w="1679"/>
      </w:tblGrid>
      <w:tr w:rsidR="00716684" w:rsidRPr="00D82731" w14:paraId="69AB5798" w14:textId="77777777" w:rsidTr="001C7810">
        <w:trPr>
          <w:trHeight w:val="602"/>
          <w:jc w:val="center"/>
        </w:trPr>
        <w:tc>
          <w:tcPr>
            <w:tcW w:w="7349" w:type="dxa"/>
            <w:gridSpan w:val="4"/>
            <w:tcBorders>
              <w:top w:val="nil"/>
              <w:left w:val="nil"/>
              <w:bottom w:val="single" w:sz="4" w:space="0" w:color="auto"/>
              <w:right w:val="nil"/>
            </w:tcBorders>
          </w:tcPr>
          <w:p w14:paraId="1D5C5904" w14:textId="77777777" w:rsidR="00716684" w:rsidRPr="00D82731" w:rsidRDefault="00716684" w:rsidP="001C7810">
            <w:pPr>
              <w:autoSpaceDE w:val="0"/>
              <w:autoSpaceDN w:val="0"/>
              <w:adjustRightInd w:val="0"/>
              <w:spacing w:line="0" w:lineRule="atLeast"/>
              <w:jc w:val="center"/>
              <w:rPr>
                <w:rFonts w:eastAsia="Calibri"/>
                <w:b/>
                <w:bCs/>
                <w:sz w:val="20"/>
                <w:szCs w:val="20"/>
                <w:lang w:eastAsia="en-US"/>
              </w:rPr>
            </w:pPr>
            <w:r w:rsidRPr="00D82731">
              <w:rPr>
                <w:rFonts w:eastAsia="Calibri"/>
                <w:b/>
                <w:bCs/>
                <w:sz w:val="20"/>
                <w:szCs w:val="20"/>
                <w:lang w:eastAsia="en-US"/>
              </w:rPr>
              <w:lastRenderedPageBreak/>
              <w:t>PRODUCCIÓN MINERA SEGÚN</w:t>
            </w:r>
          </w:p>
          <w:p w14:paraId="7ACFBE2C" w14:textId="77777777" w:rsidR="00716684" w:rsidRPr="00D82731" w:rsidRDefault="00716684" w:rsidP="001C7810">
            <w:pPr>
              <w:autoSpaceDE w:val="0"/>
              <w:autoSpaceDN w:val="0"/>
              <w:adjustRightInd w:val="0"/>
              <w:spacing w:line="0" w:lineRule="atLeast"/>
              <w:jc w:val="center"/>
              <w:rPr>
                <w:rFonts w:eastAsia="Calibri"/>
                <w:b/>
                <w:bCs/>
                <w:sz w:val="20"/>
                <w:szCs w:val="20"/>
                <w:lang w:eastAsia="en-US"/>
              </w:rPr>
            </w:pPr>
            <w:r w:rsidRPr="00D82731">
              <w:rPr>
                <w:rFonts w:eastAsia="Calibri"/>
                <w:b/>
                <w:bCs/>
                <w:sz w:val="20"/>
                <w:szCs w:val="20"/>
                <w:lang w:eastAsia="en-US"/>
              </w:rPr>
              <w:t>PRINCIPALES ESTADOS PRODUCTORES</w:t>
            </w:r>
          </w:p>
          <w:p w14:paraId="0EBFA861" w14:textId="77777777" w:rsidR="00716684" w:rsidRPr="00D82731" w:rsidRDefault="00716684" w:rsidP="001C7810">
            <w:pPr>
              <w:jc w:val="center"/>
              <w:rPr>
                <w:rFonts w:eastAsia="Calibri"/>
                <w:sz w:val="20"/>
                <w:szCs w:val="20"/>
                <w:lang w:eastAsia="en-US"/>
              </w:rPr>
            </w:pPr>
            <w:r w:rsidRPr="00D82731">
              <w:rPr>
                <w:rFonts w:eastAsia="Calibri"/>
                <w:b/>
                <w:sz w:val="20"/>
                <w:szCs w:val="20"/>
                <w:lang w:eastAsia="en-US"/>
              </w:rPr>
              <w:t xml:space="preserve">-Toneladas </w:t>
            </w:r>
            <w:r w:rsidRPr="00D82731">
              <w:rPr>
                <w:rFonts w:eastAsia="Calibri"/>
                <w:b/>
                <w:sz w:val="20"/>
                <w:szCs w:val="20"/>
                <w:u w:val="single"/>
                <w:vertAlign w:val="superscript"/>
                <w:lang w:eastAsia="en-US"/>
              </w:rPr>
              <w:t>1</w:t>
            </w:r>
            <w:r w:rsidRPr="00D82731">
              <w:rPr>
                <w:rFonts w:eastAsia="Calibri"/>
                <w:b/>
                <w:sz w:val="20"/>
                <w:szCs w:val="20"/>
                <w:vertAlign w:val="superscript"/>
                <w:lang w:eastAsia="en-US"/>
              </w:rPr>
              <w:t>/</w:t>
            </w:r>
            <w:r w:rsidRPr="00D82731">
              <w:rPr>
                <w:rFonts w:eastAsia="Calibri"/>
                <w:b/>
                <w:sz w:val="20"/>
                <w:szCs w:val="20"/>
                <w:lang w:eastAsia="en-US"/>
              </w:rPr>
              <w:t>-</w:t>
            </w:r>
          </w:p>
        </w:tc>
      </w:tr>
      <w:tr w:rsidR="00716684" w:rsidRPr="00D82731" w14:paraId="6E83E9F5" w14:textId="77777777" w:rsidTr="001C7810">
        <w:trPr>
          <w:jc w:val="center"/>
        </w:trPr>
        <w:tc>
          <w:tcPr>
            <w:tcW w:w="2922" w:type="dxa"/>
            <w:vMerge w:val="restart"/>
            <w:tcBorders>
              <w:top w:val="single" w:sz="4" w:space="0" w:color="auto"/>
              <w:left w:val="single" w:sz="4" w:space="0" w:color="auto"/>
              <w:bottom w:val="single" w:sz="4" w:space="0" w:color="auto"/>
              <w:right w:val="single" w:sz="4" w:space="0" w:color="auto"/>
            </w:tcBorders>
            <w:vAlign w:val="center"/>
          </w:tcPr>
          <w:p w14:paraId="6D4C518F" w14:textId="77777777" w:rsidR="00716684" w:rsidRPr="00D82731" w:rsidRDefault="00716684" w:rsidP="008D28ED">
            <w:pPr>
              <w:jc w:val="center"/>
              <w:rPr>
                <w:rFonts w:eastAsia="Calibri"/>
                <w:sz w:val="18"/>
                <w:szCs w:val="18"/>
                <w:lang w:eastAsia="en-US"/>
              </w:rPr>
            </w:pPr>
            <w:r w:rsidRPr="00D82731">
              <w:rPr>
                <w:rFonts w:eastAsia="Calibri"/>
                <w:b/>
                <w:sz w:val="18"/>
                <w:szCs w:val="18"/>
                <w:lang w:eastAsia="en-US"/>
              </w:rPr>
              <w:t>Mineral/Estado</w:t>
            </w:r>
          </w:p>
        </w:tc>
        <w:tc>
          <w:tcPr>
            <w:tcW w:w="2748" w:type="dxa"/>
            <w:gridSpan w:val="2"/>
            <w:tcBorders>
              <w:top w:val="single" w:sz="4" w:space="0" w:color="auto"/>
              <w:left w:val="single" w:sz="4" w:space="0" w:color="auto"/>
              <w:bottom w:val="single" w:sz="4" w:space="0" w:color="auto"/>
              <w:right w:val="single" w:sz="4" w:space="0" w:color="auto"/>
            </w:tcBorders>
            <w:vAlign w:val="center"/>
          </w:tcPr>
          <w:p w14:paraId="23E1D802" w14:textId="77777777" w:rsidR="00716684" w:rsidRPr="00D82731" w:rsidRDefault="00716684" w:rsidP="001C7810">
            <w:pPr>
              <w:jc w:val="center"/>
              <w:rPr>
                <w:rFonts w:eastAsia="Calibri"/>
                <w:b/>
                <w:sz w:val="18"/>
                <w:szCs w:val="18"/>
                <w:lang w:eastAsia="en-US"/>
              </w:rPr>
            </w:pPr>
            <w:r w:rsidRPr="00D82731">
              <w:rPr>
                <w:rFonts w:eastAsia="Calibri"/>
                <w:b/>
                <w:sz w:val="18"/>
                <w:szCs w:val="18"/>
                <w:lang w:eastAsia="en-US"/>
              </w:rPr>
              <w:t>Enero</w:t>
            </w:r>
          </w:p>
        </w:tc>
        <w:tc>
          <w:tcPr>
            <w:tcW w:w="1679" w:type="dxa"/>
            <w:vMerge w:val="restart"/>
            <w:tcBorders>
              <w:top w:val="single" w:sz="4" w:space="0" w:color="auto"/>
              <w:left w:val="single" w:sz="4" w:space="0" w:color="auto"/>
              <w:bottom w:val="single" w:sz="4" w:space="0" w:color="auto"/>
              <w:right w:val="single" w:sz="4" w:space="0" w:color="auto"/>
            </w:tcBorders>
            <w:vAlign w:val="center"/>
          </w:tcPr>
          <w:p w14:paraId="2A287E59" w14:textId="77777777" w:rsidR="00716684" w:rsidRPr="00D82731" w:rsidRDefault="00716684" w:rsidP="001C7810">
            <w:pPr>
              <w:jc w:val="center"/>
              <w:rPr>
                <w:rFonts w:eastAsia="Calibri"/>
                <w:b/>
                <w:sz w:val="18"/>
                <w:szCs w:val="18"/>
                <w:lang w:eastAsia="en-US"/>
              </w:rPr>
            </w:pPr>
            <w:r w:rsidRPr="00D82731">
              <w:rPr>
                <w:rFonts w:eastAsia="Calibri"/>
                <w:b/>
                <w:sz w:val="18"/>
                <w:szCs w:val="18"/>
                <w:lang w:eastAsia="en-US"/>
              </w:rPr>
              <w:t>Variación porcentual anual</w:t>
            </w:r>
          </w:p>
        </w:tc>
      </w:tr>
      <w:tr w:rsidR="00716684" w:rsidRPr="00D82731" w14:paraId="7E66E243" w14:textId="77777777" w:rsidTr="001C7810">
        <w:trPr>
          <w:jc w:val="center"/>
        </w:trPr>
        <w:tc>
          <w:tcPr>
            <w:tcW w:w="2922" w:type="dxa"/>
            <w:vMerge/>
            <w:tcBorders>
              <w:top w:val="single" w:sz="4" w:space="0" w:color="auto"/>
              <w:left w:val="single" w:sz="4" w:space="0" w:color="auto"/>
              <w:bottom w:val="single" w:sz="4" w:space="0" w:color="auto"/>
              <w:right w:val="single" w:sz="4" w:space="0" w:color="auto"/>
            </w:tcBorders>
          </w:tcPr>
          <w:p w14:paraId="55B33CBC" w14:textId="77777777" w:rsidR="00716684" w:rsidRPr="00D82731" w:rsidRDefault="00716684" w:rsidP="001C7810">
            <w:pPr>
              <w:rPr>
                <w:rFonts w:eastAsia="Calibri"/>
                <w:sz w:val="18"/>
                <w:szCs w:val="18"/>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582DE551" w14:textId="77777777" w:rsidR="00716684" w:rsidRPr="00D82731" w:rsidRDefault="00716684" w:rsidP="001C7810">
            <w:pPr>
              <w:jc w:val="center"/>
              <w:rPr>
                <w:rFonts w:eastAsia="Calibri"/>
                <w:b/>
                <w:sz w:val="18"/>
                <w:szCs w:val="18"/>
                <w:lang w:eastAsia="en-US"/>
              </w:rPr>
            </w:pPr>
            <w:r w:rsidRPr="00D82731">
              <w:rPr>
                <w:rFonts w:eastAsia="Calibri"/>
                <w:b/>
                <w:sz w:val="18"/>
                <w:szCs w:val="18"/>
                <w:lang w:eastAsia="en-US"/>
              </w:rPr>
              <w:t>2014</w:t>
            </w:r>
          </w:p>
        </w:tc>
        <w:tc>
          <w:tcPr>
            <w:tcW w:w="1330" w:type="dxa"/>
            <w:tcBorders>
              <w:top w:val="single" w:sz="4" w:space="0" w:color="auto"/>
              <w:left w:val="single" w:sz="4" w:space="0" w:color="auto"/>
              <w:bottom w:val="single" w:sz="4" w:space="0" w:color="auto"/>
              <w:right w:val="single" w:sz="4" w:space="0" w:color="auto"/>
            </w:tcBorders>
            <w:vAlign w:val="center"/>
          </w:tcPr>
          <w:p w14:paraId="73C33947" w14:textId="77777777" w:rsidR="00716684" w:rsidRPr="00D82731" w:rsidRDefault="00716684" w:rsidP="001C7810">
            <w:pPr>
              <w:jc w:val="center"/>
              <w:rPr>
                <w:rFonts w:eastAsia="Calibri"/>
                <w:b/>
                <w:sz w:val="18"/>
                <w:szCs w:val="18"/>
                <w:lang w:eastAsia="en-US"/>
              </w:rPr>
            </w:pPr>
            <w:r w:rsidRPr="00D82731">
              <w:rPr>
                <w:rFonts w:eastAsia="Calibri"/>
                <w:b/>
                <w:sz w:val="18"/>
                <w:szCs w:val="18"/>
                <w:lang w:eastAsia="en-US"/>
              </w:rPr>
              <w:t>2015</w:t>
            </w:r>
            <w:r w:rsidRPr="00D82731">
              <w:rPr>
                <w:rFonts w:eastAsia="Calibri"/>
                <w:b/>
                <w:sz w:val="20"/>
                <w:szCs w:val="20"/>
                <w:vertAlign w:val="superscript"/>
                <w:lang w:eastAsia="en-US"/>
              </w:rPr>
              <w:t xml:space="preserve"> </w:t>
            </w:r>
            <w:r w:rsidRPr="00D82731">
              <w:rPr>
                <w:rFonts w:eastAsia="Calibri"/>
                <w:b/>
                <w:sz w:val="20"/>
                <w:szCs w:val="20"/>
                <w:u w:val="single"/>
                <w:vertAlign w:val="superscript"/>
                <w:lang w:eastAsia="en-US"/>
              </w:rPr>
              <w:t>p</w:t>
            </w:r>
            <w:r w:rsidRPr="00D82731">
              <w:rPr>
                <w:rFonts w:eastAsia="Calibri"/>
                <w:b/>
                <w:sz w:val="20"/>
                <w:szCs w:val="20"/>
                <w:vertAlign w:val="superscript"/>
                <w:lang w:eastAsia="en-US"/>
              </w:rPr>
              <w:t>/</w:t>
            </w:r>
          </w:p>
        </w:tc>
        <w:tc>
          <w:tcPr>
            <w:tcW w:w="1679" w:type="dxa"/>
            <w:vMerge/>
            <w:tcBorders>
              <w:top w:val="single" w:sz="4" w:space="0" w:color="auto"/>
              <w:left w:val="single" w:sz="4" w:space="0" w:color="auto"/>
              <w:bottom w:val="single" w:sz="4" w:space="0" w:color="auto"/>
              <w:right w:val="single" w:sz="4" w:space="0" w:color="auto"/>
            </w:tcBorders>
          </w:tcPr>
          <w:p w14:paraId="2379455E" w14:textId="77777777" w:rsidR="00716684" w:rsidRPr="00D82731" w:rsidRDefault="00716684" w:rsidP="001C7810">
            <w:pPr>
              <w:rPr>
                <w:rFonts w:eastAsia="Calibri"/>
                <w:sz w:val="18"/>
                <w:szCs w:val="18"/>
                <w:lang w:eastAsia="en-US"/>
              </w:rPr>
            </w:pPr>
          </w:p>
        </w:tc>
      </w:tr>
      <w:tr w:rsidR="00716684" w:rsidRPr="00D82731" w14:paraId="7CA08395" w14:textId="77777777" w:rsidTr="001C7810">
        <w:trPr>
          <w:jc w:val="center"/>
        </w:trPr>
        <w:tc>
          <w:tcPr>
            <w:tcW w:w="2922" w:type="dxa"/>
            <w:tcBorders>
              <w:top w:val="single" w:sz="4" w:space="0" w:color="auto"/>
              <w:left w:val="single" w:sz="4" w:space="0" w:color="auto"/>
              <w:right w:val="single" w:sz="4" w:space="0" w:color="auto"/>
            </w:tcBorders>
            <w:vAlign w:val="center"/>
          </w:tcPr>
          <w:p w14:paraId="4C03309B"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Oro</w:t>
            </w:r>
          </w:p>
        </w:tc>
        <w:tc>
          <w:tcPr>
            <w:tcW w:w="1418" w:type="dxa"/>
            <w:tcBorders>
              <w:top w:val="single" w:sz="4" w:space="0" w:color="auto"/>
              <w:left w:val="single" w:sz="4" w:space="0" w:color="auto"/>
              <w:right w:val="single" w:sz="4" w:space="0" w:color="auto"/>
            </w:tcBorders>
            <w:vAlign w:val="center"/>
          </w:tcPr>
          <w:p w14:paraId="316C8559"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9 643</w:t>
            </w:r>
          </w:p>
        </w:tc>
        <w:tc>
          <w:tcPr>
            <w:tcW w:w="1330" w:type="dxa"/>
            <w:tcBorders>
              <w:top w:val="single" w:sz="4" w:space="0" w:color="auto"/>
              <w:left w:val="single" w:sz="4" w:space="0" w:color="auto"/>
              <w:right w:val="single" w:sz="4" w:space="0" w:color="auto"/>
            </w:tcBorders>
          </w:tcPr>
          <w:p w14:paraId="2B447569"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10 079</w:t>
            </w:r>
          </w:p>
        </w:tc>
        <w:tc>
          <w:tcPr>
            <w:tcW w:w="1679" w:type="dxa"/>
            <w:tcBorders>
              <w:top w:val="single" w:sz="4" w:space="0" w:color="auto"/>
              <w:left w:val="single" w:sz="4" w:space="0" w:color="auto"/>
              <w:right w:val="single" w:sz="4" w:space="0" w:color="auto"/>
            </w:tcBorders>
          </w:tcPr>
          <w:p w14:paraId="7C58FAF5"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4.5</w:t>
            </w:r>
          </w:p>
        </w:tc>
      </w:tr>
      <w:tr w:rsidR="00716684" w:rsidRPr="00D82731" w14:paraId="271A9D4B" w14:textId="77777777" w:rsidTr="001C7810">
        <w:trPr>
          <w:jc w:val="center"/>
        </w:trPr>
        <w:tc>
          <w:tcPr>
            <w:tcW w:w="2922" w:type="dxa"/>
            <w:tcBorders>
              <w:left w:val="single" w:sz="4" w:space="0" w:color="auto"/>
              <w:right w:val="single" w:sz="4" w:space="0" w:color="auto"/>
            </w:tcBorders>
            <w:vAlign w:val="center"/>
          </w:tcPr>
          <w:p w14:paraId="34E4F1A0"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Sonora</w:t>
            </w:r>
          </w:p>
        </w:tc>
        <w:tc>
          <w:tcPr>
            <w:tcW w:w="1418" w:type="dxa"/>
            <w:tcBorders>
              <w:left w:val="single" w:sz="4" w:space="0" w:color="auto"/>
              <w:right w:val="single" w:sz="4" w:space="0" w:color="auto"/>
            </w:tcBorders>
            <w:vAlign w:val="center"/>
          </w:tcPr>
          <w:p w14:paraId="4E1662C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2 872</w:t>
            </w:r>
          </w:p>
        </w:tc>
        <w:tc>
          <w:tcPr>
            <w:tcW w:w="1330" w:type="dxa"/>
            <w:tcBorders>
              <w:left w:val="single" w:sz="4" w:space="0" w:color="auto"/>
              <w:right w:val="single" w:sz="4" w:space="0" w:color="auto"/>
            </w:tcBorders>
          </w:tcPr>
          <w:p w14:paraId="4BD7B24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2 713</w:t>
            </w:r>
          </w:p>
        </w:tc>
        <w:tc>
          <w:tcPr>
            <w:tcW w:w="1679" w:type="dxa"/>
            <w:tcBorders>
              <w:left w:val="single" w:sz="4" w:space="0" w:color="auto"/>
              <w:right w:val="single" w:sz="4" w:space="0" w:color="auto"/>
            </w:tcBorders>
          </w:tcPr>
          <w:p w14:paraId="2CDFF72F"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-5.5</w:t>
            </w:r>
          </w:p>
        </w:tc>
      </w:tr>
      <w:tr w:rsidR="00716684" w:rsidRPr="00D82731" w14:paraId="538592C8" w14:textId="77777777" w:rsidTr="001C7810">
        <w:trPr>
          <w:jc w:val="center"/>
        </w:trPr>
        <w:tc>
          <w:tcPr>
            <w:tcW w:w="2922" w:type="dxa"/>
            <w:tcBorders>
              <w:left w:val="single" w:sz="4" w:space="0" w:color="auto"/>
              <w:right w:val="single" w:sz="4" w:space="0" w:color="auto"/>
            </w:tcBorders>
            <w:vAlign w:val="center"/>
          </w:tcPr>
          <w:p w14:paraId="43110A3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Zacatecas</w:t>
            </w:r>
          </w:p>
        </w:tc>
        <w:tc>
          <w:tcPr>
            <w:tcW w:w="1418" w:type="dxa"/>
            <w:tcBorders>
              <w:left w:val="single" w:sz="4" w:space="0" w:color="auto"/>
              <w:right w:val="single" w:sz="4" w:space="0" w:color="auto"/>
            </w:tcBorders>
          </w:tcPr>
          <w:p w14:paraId="7FC1636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1 713</w:t>
            </w:r>
          </w:p>
        </w:tc>
        <w:tc>
          <w:tcPr>
            <w:tcW w:w="1330" w:type="dxa"/>
            <w:tcBorders>
              <w:left w:val="single" w:sz="4" w:space="0" w:color="auto"/>
              <w:right w:val="single" w:sz="4" w:space="0" w:color="auto"/>
            </w:tcBorders>
          </w:tcPr>
          <w:p w14:paraId="3910341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2 188</w:t>
            </w:r>
          </w:p>
        </w:tc>
        <w:tc>
          <w:tcPr>
            <w:tcW w:w="1679" w:type="dxa"/>
            <w:tcBorders>
              <w:left w:val="single" w:sz="4" w:space="0" w:color="auto"/>
              <w:right w:val="single" w:sz="4" w:space="0" w:color="auto"/>
            </w:tcBorders>
          </w:tcPr>
          <w:p w14:paraId="3DAA90E6"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27.7</w:t>
            </w:r>
          </w:p>
        </w:tc>
      </w:tr>
      <w:tr w:rsidR="00716684" w:rsidRPr="00D82731" w14:paraId="045C74A1" w14:textId="77777777" w:rsidTr="001C7810">
        <w:trPr>
          <w:jc w:val="center"/>
        </w:trPr>
        <w:tc>
          <w:tcPr>
            <w:tcW w:w="2922" w:type="dxa"/>
            <w:tcBorders>
              <w:left w:val="single" w:sz="4" w:space="0" w:color="auto"/>
              <w:right w:val="single" w:sz="4" w:space="0" w:color="auto"/>
            </w:tcBorders>
            <w:vAlign w:val="center"/>
          </w:tcPr>
          <w:p w14:paraId="465CEA9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Chihuahua</w:t>
            </w:r>
          </w:p>
        </w:tc>
        <w:tc>
          <w:tcPr>
            <w:tcW w:w="1418" w:type="dxa"/>
            <w:tcBorders>
              <w:left w:val="single" w:sz="4" w:space="0" w:color="auto"/>
              <w:right w:val="single" w:sz="4" w:space="0" w:color="auto"/>
            </w:tcBorders>
            <w:vAlign w:val="center"/>
          </w:tcPr>
          <w:p w14:paraId="75A02D7E"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2 153</w:t>
            </w:r>
          </w:p>
        </w:tc>
        <w:tc>
          <w:tcPr>
            <w:tcW w:w="1330" w:type="dxa"/>
            <w:tcBorders>
              <w:left w:val="single" w:sz="4" w:space="0" w:color="auto"/>
              <w:right w:val="single" w:sz="4" w:space="0" w:color="auto"/>
            </w:tcBorders>
            <w:vAlign w:val="center"/>
          </w:tcPr>
          <w:p w14:paraId="1CFE330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1 786</w:t>
            </w:r>
          </w:p>
        </w:tc>
        <w:tc>
          <w:tcPr>
            <w:tcW w:w="1679" w:type="dxa"/>
            <w:tcBorders>
              <w:left w:val="single" w:sz="4" w:space="0" w:color="auto"/>
              <w:right w:val="single" w:sz="4" w:space="0" w:color="auto"/>
            </w:tcBorders>
            <w:vAlign w:val="center"/>
          </w:tcPr>
          <w:p w14:paraId="5EF8A846"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-17.0</w:t>
            </w:r>
          </w:p>
        </w:tc>
      </w:tr>
      <w:tr w:rsidR="00716684" w:rsidRPr="00D82731" w14:paraId="1C955039" w14:textId="77777777" w:rsidTr="001C7810">
        <w:trPr>
          <w:jc w:val="center"/>
        </w:trPr>
        <w:tc>
          <w:tcPr>
            <w:tcW w:w="2922" w:type="dxa"/>
            <w:tcBorders>
              <w:left w:val="single" w:sz="4" w:space="0" w:color="auto"/>
              <w:right w:val="single" w:sz="4" w:space="0" w:color="auto"/>
            </w:tcBorders>
            <w:vAlign w:val="center"/>
          </w:tcPr>
          <w:p w14:paraId="69F2E6E1"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Durango</w:t>
            </w:r>
          </w:p>
        </w:tc>
        <w:tc>
          <w:tcPr>
            <w:tcW w:w="1418" w:type="dxa"/>
            <w:tcBorders>
              <w:left w:val="single" w:sz="4" w:space="0" w:color="auto"/>
              <w:right w:val="single" w:sz="4" w:space="0" w:color="auto"/>
            </w:tcBorders>
          </w:tcPr>
          <w:p w14:paraId="26902DE4"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863</w:t>
            </w:r>
          </w:p>
        </w:tc>
        <w:tc>
          <w:tcPr>
            <w:tcW w:w="1330" w:type="dxa"/>
            <w:tcBorders>
              <w:left w:val="single" w:sz="4" w:space="0" w:color="auto"/>
              <w:right w:val="single" w:sz="4" w:space="0" w:color="auto"/>
            </w:tcBorders>
          </w:tcPr>
          <w:p w14:paraId="043D49BD"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1 218</w:t>
            </w:r>
          </w:p>
        </w:tc>
        <w:tc>
          <w:tcPr>
            <w:tcW w:w="1679" w:type="dxa"/>
            <w:tcBorders>
              <w:left w:val="single" w:sz="4" w:space="0" w:color="auto"/>
              <w:right w:val="single" w:sz="4" w:space="0" w:color="auto"/>
            </w:tcBorders>
          </w:tcPr>
          <w:p w14:paraId="3E429D32"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41.2</w:t>
            </w:r>
          </w:p>
        </w:tc>
      </w:tr>
      <w:tr w:rsidR="00716684" w:rsidRPr="00D82731" w14:paraId="5D16F3E3" w14:textId="77777777" w:rsidTr="001C7810">
        <w:trPr>
          <w:jc w:val="center"/>
        </w:trPr>
        <w:tc>
          <w:tcPr>
            <w:tcW w:w="2922" w:type="dxa"/>
            <w:tcBorders>
              <w:left w:val="single" w:sz="4" w:space="0" w:color="auto"/>
              <w:right w:val="single" w:sz="4" w:space="0" w:color="auto"/>
            </w:tcBorders>
            <w:vAlign w:val="center"/>
          </w:tcPr>
          <w:p w14:paraId="27335202"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Guerrero</w:t>
            </w:r>
          </w:p>
        </w:tc>
        <w:tc>
          <w:tcPr>
            <w:tcW w:w="1418" w:type="dxa"/>
            <w:tcBorders>
              <w:left w:val="single" w:sz="4" w:space="0" w:color="auto"/>
              <w:right w:val="single" w:sz="4" w:space="0" w:color="auto"/>
            </w:tcBorders>
          </w:tcPr>
          <w:p w14:paraId="76DDCC26"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812</w:t>
            </w:r>
          </w:p>
        </w:tc>
        <w:tc>
          <w:tcPr>
            <w:tcW w:w="1330" w:type="dxa"/>
            <w:tcBorders>
              <w:left w:val="single" w:sz="4" w:space="0" w:color="auto"/>
              <w:right w:val="single" w:sz="4" w:space="0" w:color="auto"/>
            </w:tcBorders>
          </w:tcPr>
          <w:p w14:paraId="35EDBB3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760</w:t>
            </w:r>
          </w:p>
        </w:tc>
        <w:tc>
          <w:tcPr>
            <w:tcW w:w="1679" w:type="dxa"/>
            <w:tcBorders>
              <w:left w:val="single" w:sz="4" w:space="0" w:color="auto"/>
              <w:right w:val="single" w:sz="4" w:space="0" w:color="auto"/>
            </w:tcBorders>
          </w:tcPr>
          <w:p w14:paraId="7C3374DB"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-6.3</w:t>
            </w:r>
          </w:p>
        </w:tc>
      </w:tr>
      <w:tr w:rsidR="00716684" w:rsidRPr="00D82731" w14:paraId="70E7D49B" w14:textId="77777777" w:rsidTr="001C7810">
        <w:trPr>
          <w:jc w:val="center"/>
        </w:trPr>
        <w:tc>
          <w:tcPr>
            <w:tcW w:w="2922" w:type="dxa"/>
            <w:tcBorders>
              <w:left w:val="single" w:sz="4" w:space="0" w:color="auto"/>
              <w:right w:val="single" w:sz="4" w:space="0" w:color="auto"/>
            </w:tcBorders>
            <w:vAlign w:val="center"/>
          </w:tcPr>
          <w:p w14:paraId="54972EE5"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Plata</w:t>
            </w:r>
          </w:p>
        </w:tc>
        <w:tc>
          <w:tcPr>
            <w:tcW w:w="1418" w:type="dxa"/>
            <w:tcBorders>
              <w:left w:val="single" w:sz="4" w:space="0" w:color="auto"/>
              <w:right w:val="single" w:sz="4" w:space="0" w:color="auto"/>
            </w:tcBorders>
          </w:tcPr>
          <w:p w14:paraId="46EEE274" w14:textId="0CD66644" w:rsidR="00716684" w:rsidRPr="00D82731" w:rsidRDefault="00716684" w:rsidP="00CA7282">
            <w:pPr>
              <w:spacing w:line="0" w:lineRule="atLeast"/>
              <w:ind w:right="227"/>
              <w:jc w:val="right"/>
              <w:rPr>
                <w:rFonts w:eastAsia="Calibri"/>
                <w:b/>
                <w:sz w:val="18"/>
                <w:szCs w:val="18"/>
                <w:lang w:eastAsia="en-US"/>
              </w:rPr>
            </w:pPr>
            <w:r w:rsidRPr="00D82731">
              <w:rPr>
                <w:rFonts w:eastAsia="Calibri"/>
                <w:b/>
                <w:sz w:val="18"/>
                <w:szCs w:val="18"/>
                <w:lang w:eastAsia="en-US"/>
              </w:rPr>
              <w:t>466 287</w:t>
            </w:r>
          </w:p>
        </w:tc>
        <w:tc>
          <w:tcPr>
            <w:tcW w:w="1330" w:type="dxa"/>
            <w:tcBorders>
              <w:left w:val="single" w:sz="4" w:space="0" w:color="auto"/>
              <w:right w:val="single" w:sz="4" w:space="0" w:color="auto"/>
            </w:tcBorders>
          </w:tcPr>
          <w:p w14:paraId="55725F1F"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468 742</w:t>
            </w:r>
          </w:p>
        </w:tc>
        <w:tc>
          <w:tcPr>
            <w:tcW w:w="1679" w:type="dxa"/>
            <w:tcBorders>
              <w:left w:val="single" w:sz="4" w:space="0" w:color="auto"/>
              <w:right w:val="single" w:sz="4" w:space="0" w:color="auto"/>
            </w:tcBorders>
          </w:tcPr>
          <w:p w14:paraId="1FB80014"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0.5</w:t>
            </w:r>
          </w:p>
        </w:tc>
      </w:tr>
      <w:tr w:rsidR="00716684" w:rsidRPr="00D82731" w14:paraId="216AB906" w14:textId="77777777" w:rsidTr="001C7810">
        <w:trPr>
          <w:jc w:val="center"/>
        </w:trPr>
        <w:tc>
          <w:tcPr>
            <w:tcW w:w="2922" w:type="dxa"/>
            <w:tcBorders>
              <w:left w:val="single" w:sz="4" w:space="0" w:color="auto"/>
              <w:right w:val="single" w:sz="4" w:space="0" w:color="auto"/>
            </w:tcBorders>
            <w:vAlign w:val="center"/>
          </w:tcPr>
          <w:p w14:paraId="08D43A3E"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Zacatecas</w:t>
            </w:r>
          </w:p>
        </w:tc>
        <w:tc>
          <w:tcPr>
            <w:tcW w:w="1418" w:type="dxa"/>
            <w:tcBorders>
              <w:left w:val="single" w:sz="4" w:space="0" w:color="auto"/>
              <w:right w:val="single" w:sz="4" w:space="0" w:color="auto"/>
            </w:tcBorders>
          </w:tcPr>
          <w:p w14:paraId="50CB20C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200 207</w:t>
            </w:r>
          </w:p>
        </w:tc>
        <w:tc>
          <w:tcPr>
            <w:tcW w:w="1330" w:type="dxa"/>
            <w:tcBorders>
              <w:left w:val="single" w:sz="4" w:space="0" w:color="auto"/>
              <w:right w:val="single" w:sz="4" w:space="0" w:color="auto"/>
            </w:tcBorders>
          </w:tcPr>
          <w:p w14:paraId="1BB584B5"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188 794</w:t>
            </w:r>
          </w:p>
        </w:tc>
        <w:tc>
          <w:tcPr>
            <w:tcW w:w="1679" w:type="dxa"/>
            <w:tcBorders>
              <w:left w:val="single" w:sz="4" w:space="0" w:color="auto"/>
              <w:right w:val="single" w:sz="4" w:space="0" w:color="auto"/>
            </w:tcBorders>
          </w:tcPr>
          <w:p w14:paraId="1DB0C463"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-5.7</w:t>
            </w:r>
          </w:p>
        </w:tc>
      </w:tr>
      <w:tr w:rsidR="00716684" w:rsidRPr="00D82731" w14:paraId="7488FE23" w14:textId="77777777" w:rsidTr="001C7810">
        <w:trPr>
          <w:jc w:val="center"/>
        </w:trPr>
        <w:tc>
          <w:tcPr>
            <w:tcW w:w="2922" w:type="dxa"/>
            <w:tcBorders>
              <w:left w:val="single" w:sz="4" w:space="0" w:color="auto"/>
              <w:right w:val="single" w:sz="4" w:space="0" w:color="auto"/>
            </w:tcBorders>
            <w:vAlign w:val="center"/>
          </w:tcPr>
          <w:p w14:paraId="1648D15B"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Chihuahua</w:t>
            </w:r>
          </w:p>
        </w:tc>
        <w:tc>
          <w:tcPr>
            <w:tcW w:w="1418" w:type="dxa"/>
            <w:tcBorders>
              <w:left w:val="single" w:sz="4" w:space="0" w:color="auto"/>
              <w:right w:val="single" w:sz="4" w:space="0" w:color="auto"/>
            </w:tcBorders>
          </w:tcPr>
          <w:p w14:paraId="0294500D"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84 438</w:t>
            </w:r>
          </w:p>
        </w:tc>
        <w:tc>
          <w:tcPr>
            <w:tcW w:w="1330" w:type="dxa"/>
            <w:tcBorders>
              <w:left w:val="single" w:sz="4" w:space="0" w:color="auto"/>
              <w:right w:val="single" w:sz="4" w:space="0" w:color="auto"/>
            </w:tcBorders>
          </w:tcPr>
          <w:p w14:paraId="0ECFBAD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84 651</w:t>
            </w:r>
          </w:p>
        </w:tc>
        <w:tc>
          <w:tcPr>
            <w:tcW w:w="1679" w:type="dxa"/>
            <w:tcBorders>
              <w:left w:val="single" w:sz="4" w:space="0" w:color="auto"/>
              <w:right w:val="single" w:sz="4" w:space="0" w:color="auto"/>
            </w:tcBorders>
          </w:tcPr>
          <w:p w14:paraId="523FCC2F"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0.3</w:t>
            </w:r>
          </w:p>
        </w:tc>
      </w:tr>
      <w:tr w:rsidR="00716684" w:rsidRPr="00D82731" w14:paraId="726E4A4D" w14:textId="77777777" w:rsidTr="001C7810">
        <w:trPr>
          <w:jc w:val="center"/>
        </w:trPr>
        <w:tc>
          <w:tcPr>
            <w:tcW w:w="2922" w:type="dxa"/>
            <w:tcBorders>
              <w:left w:val="single" w:sz="4" w:space="0" w:color="auto"/>
              <w:right w:val="single" w:sz="4" w:space="0" w:color="auto"/>
            </w:tcBorders>
            <w:vAlign w:val="center"/>
          </w:tcPr>
          <w:p w14:paraId="468A8777"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Durango</w:t>
            </w:r>
          </w:p>
        </w:tc>
        <w:tc>
          <w:tcPr>
            <w:tcW w:w="1418" w:type="dxa"/>
            <w:tcBorders>
              <w:left w:val="single" w:sz="4" w:space="0" w:color="auto"/>
              <w:right w:val="single" w:sz="4" w:space="0" w:color="auto"/>
            </w:tcBorders>
          </w:tcPr>
          <w:p w14:paraId="4B7BB8B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56 703</w:t>
            </w:r>
          </w:p>
        </w:tc>
        <w:tc>
          <w:tcPr>
            <w:tcW w:w="1330" w:type="dxa"/>
            <w:tcBorders>
              <w:left w:val="single" w:sz="4" w:space="0" w:color="auto"/>
              <w:right w:val="single" w:sz="4" w:space="0" w:color="auto"/>
            </w:tcBorders>
          </w:tcPr>
          <w:p w14:paraId="646A588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61 130</w:t>
            </w:r>
          </w:p>
        </w:tc>
        <w:tc>
          <w:tcPr>
            <w:tcW w:w="1679" w:type="dxa"/>
            <w:tcBorders>
              <w:left w:val="single" w:sz="4" w:space="0" w:color="auto"/>
              <w:right w:val="single" w:sz="4" w:space="0" w:color="auto"/>
            </w:tcBorders>
          </w:tcPr>
          <w:p w14:paraId="5ED37CF9"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7.8</w:t>
            </w:r>
          </w:p>
        </w:tc>
      </w:tr>
      <w:tr w:rsidR="00716684" w:rsidRPr="00D82731" w14:paraId="76E021A9" w14:textId="77777777" w:rsidTr="001C7810">
        <w:trPr>
          <w:jc w:val="center"/>
        </w:trPr>
        <w:tc>
          <w:tcPr>
            <w:tcW w:w="2922" w:type="dxa"/>
            <w:tcBorders>
              <w:left w:val="single" w:sz="4" w:space="0" w:color="auto"/>
              <w:right w:val="single" w:sz="4" w:space="0" w:color="auto"/>
            </w:tcBorders>
            <w:vAlign w:val="center"/>
          </w:tcPr>
          <w:p w14:paraId="0C2550C1"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Sonora</w:t>
            </w:r>
          </w:p>
        </w:tc>
        <w:tc>
          <w:tcPr>
            <w:tcW w:w="1418" w:type="dxa"/>
            <w:tcBorders>
              <w:left w:val="single" w:sz="4" w:space="0" w:color="auto"/>
              <w:right w:val="single" w:sz="4" w:space="0" w:color="auto"/>
            </w:tcBorders>
          </w:tcPr>
          <w:p w14:paraId="0E97BB6E"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23 677</w:t>
            </w:r>
          </w:p>
        </w:tc>
        <w:tc>
          <w:tcPr>
            <w:tcW w:w="1330" w:type="dxa"/>
            <w:tcBorders>
              <w:left w:val="single" w:sz="4" w:space="0" w:color="auto"/>
              <w:right w:val="single" w:sz="4" w:space="0" w:color="auto"/>
            </w:tcBorders>
          </w:tcPr>
          <w:p w14:paraId="6DFE3117"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32 437</w:t>
            </w:r>
          </w:p>
        </w:tc>
        <w:tc>
          <w:tcPr>
            <w:tcW w:w="1679" w:type="dxa"/>
            <w:tcBorders>
              <w:left w:val="single" w:sz="4" w:space="0" w:color="auto"/>
              <w:right w:val="single" w:sz="4" w:space="0" w:color="auto"/>
            </w:tcBorders>
          </w:tcPr>
          <w:p w14:paraId="4BAE4028"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37.0</w:t>
            </w:r>
          </w:p>
        </w:tc>
      </w:tr>
      <w:tr w:rsidR="00716684" w:rsidRPr="00D82731" w14:paraId="446B51C2" w14:textId="77777777" w:rsidTr="001C7810">
        <w:trPr>
          <w:jc w:val="center"/>
        </w:trPr>
        <w:tc>
          <w:tcPr>
            <w:tcW w:w="2922" w:type="dxa"/>
            <w:tcBorders>
              <w:left w:val="single" w:sz="4" w:space="0" w:color="auto"/>
              <w:right w:val="single" w:sz="4" w:space="0" w:color="auto"/>
            </w:tcBorders>
            <w:vAlign w:val="center"/>
          </w:tcPr>
          <w:p w14:paraId="0F783627"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Oaxaca</w:t>
            </w:r>
          </w:p>
        </w:tc>
        <w:tc>
          <w:tcPr>
            <w:tcW w:w="1418" w:type="dxa"/>
            <w:tcBorders>
              <w:left w:val="single" w:sz="4" w:space="0" w:color="auto"/>
              <w:right w:val="single" w:sz="4" w:space="0" w:color="auto"/>
            </w:tcBorders>
          </w:tcPr>
          <w:p w14:paraId="11C21D0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17 750</w:t>
            </w:r>
          </w:p>
        </w:tc>
        <w:tc>
          <w:tcPr>
            <w:tcW w:w="1330" w:type="dxa"/>
            <w:tcBorders>
              <w:left w:val="single" w:sz="4" w:space="0" w:color="auto"/>
              <w:right w:val="single" w:sz="4" w:space="0" w:color="auto"/>
            </w:tcBorders>
          </w:tcPr>
          <w:p w14:paraId="5EE18657"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17 771</w:t>
            </w:r>
          </w:p>
        </w:tc>
        <w:tc>
          <w:tcPr>
            <w:tcW w:w="1679" w:type="dxa"/>
            <w:tcBorders>
              <w:left w:val="single" w:sz="4" w:space="0" w:color="auto"/>
              <w:right w:val="single" w:sz="4" w:space="0" w:color="auto"/>
            </w:tcBorders>
          </w:tcPr>
          <w:p w14:paraId="0CEB92CC"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0.1</w:t>
            </w:r>
          </w:p>
        </w:tc>
      </w:tr>
      <w:tr w:rsidR="00716684" w:rsidRPr="00D82731" w14:paraId="64B05F29" w14:textId="77777777" w:rsidTr="001C7810">
        <w:trPr>
          <w:jc w:val="center"/>
        </w:trPr>
        <w:tc>
          <w:tcPr>
            <w:tcW w:w="2922" w:type="dxa"/>
            <w:tcBorders>
              <w:left w:val="single" w:sz="4" w:space="0" w:color="auto"/>
              <w:right w:val="single" w:sz="4" w:space="0" w:color="auto"/>
            </w:tcBorders>
            <w:vAlign w:val="center"/>
          </w:tcPr>
          <w:p w14:paraId="642C5B69"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Estado de México</w:t>
            </w:r>
          </w:p>
        </w:tc>
        <w:tc>
          <w:tcPr>
            <w:tcW w:w="1418" w:type="dxa"/>
            <w:tcBorders>
              <w:left w:val="single" w:sz="4" w:space="0" w:color="auto"/>
              <w:right w:val="single" w:sz="4" w:space="0" w:color="auto"/>
            </w:tcBorders>
          </w:tcPr>
          <w:p w14:paraId="14BBC67B"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18 523</w:t>
            </w:r>
          </w:p>
        </w:tc>
        <w:tc>
          <w:tcPr>
            <w:tcW w:w="1330" w:type="dxa"/>
            <w:tcBorders>
              <w:left w:val="single" w:sz="4" w:space="0" w:color="auto"/>
              <w:right w:val="single" w:sz="4" w:space="0" w:color="auto"/>
            </w:tcBorders>
          </w:tcPr>
          <w:p w14:paraId="02BA0F6A"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16 447</w:t>
            </w:r>
          </w:p>
        </w:tc>
        <w:tc>
          <w:tcPr>
            <w:tcW w:w="1679" w:type="dxa"/>
            <w:tcBorders>
              <w:left w:val="single" w:sz="4" w:space="0" w:color="auto"/>
              <w:right w:val="single" w:sz="4" w:space="0" w:color="auto"/>
            </w:tcBorders>
          </w:tcPr>
          <w:p w14:paraId="36EE07DC"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-11.2</w:t>
            </w:r>
          </w:p>
        </w:tc>
      </w:tr>
      <w:tr w:rsidR="00716684" w:rsidRPr="00D82731" w14:paraId="27F5ACD2" w14:textId="77777777" w:rsidTr="001C7810">
        <w:trPr>
          <w:jc w:val="center"/>
        </w:trPr>
        <w:tc>
          <w:tcPr>
            <w:tcW w:w="2922" w:type="dxa"/>
            <w:tcBorders>
              <w:left w:val="single" w:sz="4" w:space="0" w:color="auto"/>
              <w:right w:val="single" w:sz="4" w:space="0" w:color="auto"/>
            </w:tcBorders>
            <w:vAlign w:val="center"/>
          </w:tcPr>
          <w:p w14:paraId="5D3F8960"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Guanajuato</w:t>
            </w:r>
          </w:p>
        </w:tc>
        <w:tc>
          <w:tcPr>
            <w:tcW w:w="1418" w:type="dxa"/>
            <w:tcBorders>
              <w:left w:val="single" w:sz="4" w:space="0" w:color="auto"/>
              <w:right w:val="single" w:sz="4" w:space="0" w:color="auto"/>
            </w:tcBorders>
          </w:tcPr>
          <w:p w14:paraId="69860DC6"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14 778</w:t>
            </w:r>
          </w:p>
        </w:tc>
        <w:tc>
          <w:tcPr>
            <w:tcW w:w="1330" w:type="dxa"/>
            <w:tcBorders>
              <w:left w:val="single" w:sz="4" w:space="0" w:color="auto"/>
              <w:right w:val="single" w:sz="4" w:space="0" w:color="auto"/>
            </w:tcBorders>
          </w:tcPr>
          <w:p w14:paraId="56CB6654"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15 356</w:t>
            </w:r>
          </w:p>
        </w:tc>
        <w:tc>
          <w:tcPr>
            <w:tcW w:w="1679" w:type="dxa"/>
            <w:tcBorders>
              <w:left w:val="single" w:sz="4" w:space="0" w:color="auto"/>
              <w:right w:val="single" w:sz="4" w:space="0" w:color="auto"/>
            </w:tcBorders>
          </w:tcPr>
          <w:p w14:paraId="542198F4"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3.9</w:t>
            </w:r>
          </w:p>
        </w:tc>
      </w:tr>
      <w:tr w:rsidR="00716684" w:rsidRPr="00D82731" w14:paraId="70CFC609" w14:textId="77777777" w:rsidTr="001C7810">
        <w:trPr>
          <w:jc w:val="center"/>
        </w:trPr>
        <w:tc>
          <w:tcPr>
            <w:tcW w:w="2922" w:type="dxa"/>
            <w:tcBorders>
              <w:left w:val="single" w:sz="4" w:space="0" w:color="auto"/>
              <w:right w:val="single" w:sz="4" w:space="0" w:color="auto"/>
            </w:tcBorders>
            <w:vAlign w:val="center"/>
          </w:tcPr>
          <w:p w14:paraId="16F3C883"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Plomo</w:t>
            </w:r>
          </w:p>
        </w:tc>
        <w:tc>
          <w:tcPr>
            <w:tcW w:w="1418" w:type="dxa"/>
            <w:tcBorders>
              <w:left w:val="single" w:sz="4" w:space="0" w:color="auto"/>
              <w:right w:val="single" w:sz="4" w:space="0" w:color="auto"/>
            </w:tcBorders>
            <w:vAlign w:val="center"/>
          </w:tcPr>
          <w:p w14:paraId="2160035D"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21 114</w:t>
            </w:r>
          </w:p>
        </w:tc>
        <w:tc>
          <w:tcPr>
            <w:tcW w:w="1330" w:type="dxa"/>
            <w:tcBorders>
              <w:left w:val="single" w:sz="4" w:space="0" w:color="auto"/>
              <w:right w:val="single" w:sz="4" w:space="0" w:color="auto"/>
            </w:tcBorders>
          </w:tcPr>
          <w:p w14:paraId="7B6DBBFB"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19 289</w:t>
            </w:r>
          </w:p>
        </w:tc>
        <w:tc>
          <w:tcPr>
            <w:tcW w:w="1679" w:type="dxa"/>
            <w:tcBorders>
              <w:left w:val="single" w:sz="4" w:space="0" w:color="auto"/>
              <w:right w:val="single" w:sz="4" w:space="0" w:color="auto"/>
            </w:tcBorders>
          </w:tcPr>
          <w:p w14:paraId="3BD18B0A"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-8.6</w:t>
            </w:r>
          </w:p>
        </w:tc>
      </w:tr>
      <w:tr w:rsidR="00716684" w:rsidRPr="00D82731" w14:paraId="280057EF" w14:textId="77777777" w:rsidTr="001C7810">
        <w:trPr>
          <w:jc w:val="center"/>
        </w:trPr>
        <w:tc>
          <w:tcPr>
            <w:tcW w:w="2922" w:type="dxa"/>
            <w:tcBorders>
              <w:left w:val="single" w:sz="4" w:space="0" w:color="auto"/>
              <w:right w:val="single" w:sz="4" w:space="0" w:color="auto"/>
            </w:tcBorders>
            <w:vAlign w:val="center"/>
          </w:tcPr>
          <w:p w14:paraId="6DED4B71"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Zacatecas</w:t>
            </w:r>
          </w:p>
        </w:tc>
        <w:tc>
          <w:tcPr>
            <w:tcW w:w="1418" w:type="dxa"/>
            <w:tcBorders>
              <w:left w:val="single" w:sz="4" w:space="0" w:color="auto"/>
              <w:right w:val="single" w:sz="4" w:space="0" w:color="auto"/>
            </w:tcBorders>
            <w:vAlign w:val="center"/>
          </w:tcPr>
          <w:p w14:paraId="437417C6"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11 145</w:t>
            </w:r>
          </w:p>
        </w:tc>
        <w:tc>
          <w:tcPr>
            <w:tcW w:w="1330" w:type="dxa"/>
            <w:tcBorders>
              <w:left w:val="single" w:sz="4" w:space="0" w:color="auto"/>
              <w:right w:val="single" w:sz="4" w:space="0" w:color="auto"/>
            </w:tcBorders>
          </w:tcPr>
          <w:p w14:paraId="57C0EC2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10 994</w:t>
            </w:r>
          </w:p>
        </w:tc>
        <w:tc>
          <w:tcPr>
            <w:tcW w:w="1679" w:type="dxa"/>
            <w:tcBorders>
              <w:left w:val="single" w:sz="4" w:space="0" w:color="auto"/>
              <w:right w:val="single" w:sz="4" w:space="0" w:color="auto"/>
            </w:tcBorders>
          </w:tcPr>
          <w:p w14:paraId="1F30A395"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-1.4</w:t>
            </w:r>
          </w:p>
        </w:tc>
      </w:tr>
      <w:tr w:rsidR="00716684" w:rsidRPr="00D82731" w14:paraId="12EE14E1" w14:textId="77777777" w:rsidTr="001C7810">
        <w:trPr>
          <w:jc w:val="center"/>
        </w:trPr>
        <w:tc>
          <w:tcPr>
            <w:tcW w:w="2922" w:type="dxa"/>
            <w:tcBorders>
              <w:left w:val="single" w:sz="4" w:space="0" w:color="auto"/>
              <w:right w:val="single" w:sz="4" w:space="0" w:color="auto"/>
            </w:tcBorders>
            <w:vAlign w:val="center"/>
          </w:tcPr>
          <w:p w14:paraId="303A264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Chihuahua</w:t>
            </w:r>
          </w:p>
        </w:tc>
        <w:tc>
          <w:tcPr>
            <w:tcW w:w="1418" w:type="dxa"/>
            <w:tcBorders>
              <w:left w:val="single" w:sz="4" w:space="0" w:color="auto"/>
              <w:right w:val="single" w:sz="4" w:space="0" w:color="auto"/>
            </w:tcBorders>
          </w:tcPr>
          <w:p w14:paraId="41DAF29E"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5 056</w:t>
            </w:r>
          </w:p>
        </w:tc>
        <w:tc>
          <w:tcPr>
            <w:tcW w:w="1330" w:type="dxa"/>
            <w:tcBorders>
              <w:left w:val="single" w:sz="4" w:space="0" w:color="auto"/>
              <w:right w:val="single" w:sz="4" w:space="0" w:color="auto"/>
            </w:tcBorders>
          </w:tcPr>
          <w:p w14:paraId="079A712B"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4 330</w:t>
            </w:r>
          </w:p>
        </w:tc>
        <w:tc>
          <w:tcPr>
            <w:tcW w:w="1679" w:type="dxa"/>
            <w:tcBorders>
              <w:left w:val="single" w:sz="4" w:space="0" w:color="auto"/>
              <w:right w:val="single" w:sz="4" w:space="0" w:color="auto"/>
            </w:tcBorders>
          </w:tcPr>
          <w:p w14:paraId="4AF422F6"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-14.4</w:t>
            </w:r>
          </w:p>
        </w:tc>
      </w:tr>
      <w:tr w:rsidR="00716684" w:rsidRPr="00D82731" w14:paraId="3B007D6F" w14:textId="77777777" w:rsidTr="001C7810">
        <w:trPr>
          <w:jc w:val="center"/>
        </w:trPr>
        <w:tc>
          <w:tcPr>
            <w:tcW w:w="2922" w:type="dxa"/>
            <w:tcBorders>
              <w:left w:val="single" w:sz="4" w:space="0" w:color="auto"/>
              <w:right w:val="single" w:sz="4" w:space="0" w:color="auto"/>
            </w:tcBorders>
            <w:vAlign w:val="center"/>
          </w:tcPr>
          <w:p w14:paraId="52A3C997" w14:textId="77777777" w:rsidR="00716684" w:rsidRPr="00D82731" w:rsidRDefault="00716684" w:rsidP="001C7810">
            <w:pPr>
              <w:spacing w:line="0" w:lineRule="atLeast"/>
              <w:rPr>
                <w:rFonts w:eastAsia="Calibri"/>
                <w:b/>
                <w:sz w:val="18"/>
                <w:szCs w:val="18"/>
                <w:lang w:eastAsia="en-US"/>
              </w:rPr>
            </w:pPr>
            <w:r w:rsidRPr="00D82731">
              <w:rPr>
                <w:rFonts w:eastAsia="Calibri"/>
                <w:sz w:val="18"/>
                <w:szCs w:val="18"/>
                <w:lang w:eastAsia="en-US"/>
              </w:rPr>
              <w:t>Durango</w:t>
            </w:r>
          </w:p>
        </w:tc>
        <w:tc>
          <w:tcPr>
            <w:tcW w:w="1418" w:type="dxa"/>
            <w:tcBorders>
              <w:left w:val="single" w:sz="4" w:space="0" w:color="auto"/>
              <w:right w:val="single" w:sz="4" w:space="0" w:color="auto"/>
            </w:tcBorders>
            <w:vAlign w:val="center"/>
          </w:tcPr>
          <w:p w14:paraId="70797521"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1 764</w:t>
            </w:r>
          </w:p>
        </w:tc>
        <w:tc>
          <w:tcPr>
            <w:tcW w:w="1330" w:type="dxa"/>
            <w:tcBorders>
              <w:left w:val="single" w:sz="4" w:space="0" w:color="auto"/>
              <w:right w:val="single" w:sz="4" w:space="0" w:color="auto"/>
            </w:tcBorders>
            <w:vAlign w:val="center"/>
          </w:tcPr>
          <w:p w14:paraId="7E8F5391"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1 707</w:t>
            </w:r>
          </w:p>
        </w:tc>
        <w:tc>
          <w:tcPr>
            <w:tcW w:w="1679" w:type="dxa"/>
            <w:tcBorders>
              <w:left w:val="single" w:sz="4" w:space="0" w:color="auto"/>
              <w:right w:val="single" w:sz="4" w:space="0" w:color="auto"/>
            </w:tcBorders>
            <w:vAlign w:val="center"/>
          </w:tcPr>
          <w:p w14:paraId="5B85E71F"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-3.2</w:t>
            </w:r>
          </w:p>
        </w:tc>
      </w:tr>
      <w:tr w:rsidR="00716684" w:rsidRPr="00D82731" w14:paraId="7964B4EF" w14:textId="77777777" w:rsidTr="001C7810">
        <w:trPr>
          <w:jc w:val="center"/>
        </w:trPr>
        <w:tc>
          <w:tcPr>
            <w:tcW w:w="2922" w:type="dxa"/>
            <w:tcBorders>
              <w:left w:val="single" w:sz="4" w:space="0" w:color="auto"/>
              <w:right w:val="single" w:sz="4" w:space="0" w:color="auto"/>
            </w:tcBorders>
            <w:vAlign w:val="center"/>
          </w:tcPr>
          <w:p w14:paraId="1CD8D7C1"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Cobre</w:t>
            </w:r>
          </w:p>
        </w:tc>
        <w:tc>
          <w:tcPr>
            <w:tcW w:w="1418" w:type="dxa"/>
            <w:tcBorders>
              <w:left w:val="single" w:sz="4" w:space="0" w:color="auto"/>
              <w:right w:val="single" w:sz="4" w:space="0" w:color="auto"/>
            </w:tcBorders>
            <w:vAlign w:val="center"/>
          </w:tcPr>
          <w:p w14:paraId="45D9C514"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42 334</w:t>
            </w:r>
          </w:p>
        </w:tc>
        <w:tc>
          <w:tcPr>
            <w:tcW w:w="1330" w:type="dxa"/>
            <w:tcBorders>
              <w:left w:val="single" w:sz="4" w:space="0" w:color="auto"/>
              <w:right w:val="single" w:sz="4" w:space="0" w:color="auto"/>
            </w:tcBorders>
            <w:vAlign w:val="center"/>
          </w:tcPr>
          <w:p w14:paraId="4E6A726C"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43 858</w:t>
            </w:r>
          </w:p>
        </w:tc>
        <w:tc>
          <w:tcPr>
            <w:tcW w:w="1679" w:type="dxa"/>
            <w:tcBorders>
              <w:left w:val="single" w:sz="4" w:space="0" w:color="auto"/>
              <w:right w:val="single" w:sz="4" w:space="0" w:color="auto"/>
            </w:tcBorders>
            <w:vAlign w:val="center"/>
          </w:tcPr>
          <w:p w14:paraId="64B47120"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3.6</w:t>
            </w:r>
          </w:p>
        </w:tc>
      </w:tr>
      <w:tr w:rsidR="00716684" w:rsidRPr="00D82731" w14:paraId="0F01815E" w14:textId="77777777" w:rsidTr="001C7810">
        <w:trPr>
          <w:jc w:val="center"/>
        </w:trPr>
        <w:tc>
          <w:tcPr>
            <w:tcW w:w="2922" w:type="dxa"/>
            <w:tcBorders>
              <w:left w:val="single" w:sz="4" w:space="0" w:color="auto"/>
              <w:right w:val="single" w:sz="4" w:space="0" w:color="auto"/>
            </w:tcBorders>
            <w:vAlign w:val="center"/>
          </w:tcPr>
          <w:p w14:paraId="277E2CA3"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Sonora</w:t>
            </w:r>
          </w:p>
        </w:tc>
        <w:tc>
          <w:tcPr>
            <w:tcW w:w="1418" w:type="dxa"/>
            <w:tcBorders>
              <w:left w:val="single" w:sz="4" w:space="0" w:color="auto"/>
              <w:right w:val="single" w:sz="4" w:space="0" w:color="auto"/>
            </w:tcBorders>
          </w:tcPr>
          <w:p w14:paraId="2E832DC7"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32 806</w:t>
            </w:r>
          </w:p>
        </w:tc>
        <w:tc>
          <w:tcPr>
            <w:tcW w:w="1330" w:type="dxa"/>
            <w:tcBorders>
              <w:left w:val="single" w:sz="4" w:space="0" w:color="auto"/>
              <w:right w:val="single" w:sz="4" w:space="0" w:color="auto"/>
            </w:tcBorders>
          </w:tcPr>
          <w:p w14:paraId="797FE67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35 319</w:t>
            </w:r>
          </w:p>
        </w:tc>
        <w:tc>
          <w:tcPr>
            <w:tcW w:w="1679" w:type="dxa"/>
            <w:tcBorders>
              <w:left w:val="single" w:sz="4" w:space="0" w:color="auto"/>
              <w:right w:val="single" w:sz="4" w:space="0" w:color="auto"/>
            </w:tcBorders>
          </w:tcPr>
          <w:p w14:paraId="3ABA0FEB"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7.7</w:t>
            </w:r>
          </w:p>
        </w:tc>
      </w:tr>
      <w:tr w:rsidR="00716684" w:rsidRPr="00D82731" w14:paraId="3261148E" w14:textId="77777777" w:rsidTr="001C7810">
        <w:trPr>
          <w:jc w:val="center"/>
        </w:trPr>
        <w:tc>
          <w:tcPr>
            <w:tcW w:w="2922" w:type="dxa"/>
            <w:tcBorders>
              <w:left w:val="single" w:sz="4" w:space="0" w:color="auto"/>
              <w:right w:val="single" w:sz="4" w:space="0" w:color="auto"/>
            </w:tcBorders>
            <w:vAlign w:val="center"/>
          </w:tcPr>
          <w:p w14:paraId="47CCA234"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Zacatecas</w:t>
            </w:r>
          </w:p>
        </w:tc>
        <w:tc>
          <w:tcPr>
            <w:tcW w:w="1418" w:type="dxa"/>
            <w:tcBorders>
              <w:left w:val="single" w:sz="4" w:space="0" w:color="auto"/>
              <w:right w:val="single" w:sz="4" w:space="0" w:color="auto"/>
            </w:tcBorders>
          </w:tcPr>
          <w:p w14:paraId="1077816E"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4 187</w:t>
            </w:r>
          </w:p>
        </w:tc>
        <w:tc>
          <w:tcPr>
            <w:tcW w:w="1330" w:type="dxa"/>
            <w:tcBorders>
              <w:left w:val="single" w:sz="4" w:space="0" w:color="auto"/>
              <w:right w:val="single" w:sz="4" w:space="0" w:color="auto"/>
            </w:tcBorders>
          </w:tcPr>
          <w:p w14:paraId="53AD18F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3 526</w:t>
            </w:r>
          </w:p>
        </w:tc>
        <w:tc>
          <w:tcPr>
            <w:tcW w:w="1679" w:type="dxa"/>
            <w:tcBorders>
              <w:left w:val="single" w:sz="4" w:space="0" w:color="auto"/>
              <w:right w:val="single" w:sz="4" w:space="0" w:color="auto"/>
            </w:tcBorders>
          </w:tcPr>
          <w:p w14:paraId="32A300C3"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-15.8</w:t>
            </w:r>
          </w:p>
        </w:tc>
      </w:tr>
      <w:tr w:rsidR="00716684" w:rsidRPr="00D82731" w14:paraId="3D3290C1" w14:textId="77777777" w:rsidTr="001C7810">
        <w:trPr>
          <w:jc w:val="center"/>
        </w:trPr>
        <w:tc>
          <w:tcPr>
            <w:tcW w:w="2922" w:type="dxa"/>
            <w:tcBorders>
              <w:left w:val="single" w:sz="4" w:space="0" w:color="auto"/>
              <w:right w:val="single" w:sz="4" w:space="0" w:color="auto"/>
            </w:tcBorders>
            <w:vAlign w:val="center"/>
          </w:tcPr>
          <w:p w14:paraId="515E4BA6"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San Luis Potosí</w:t>
            </w:r>
          </w:p>
        </w:tc>
        <w:tc>
          <w:tcPr>
            <w:tcW w:w="1418" w:type="dxa"/>
            <w:tcBorders>
              <w:left w:val="single" w:sz="4" w:space="0" w:color="auto"/>
              <w:right w:val="single" w:sz="4" w:space="0" w:color="auto"/>
            </w:tcBorders>
          </w:tcPr>
          <w:p w14:paraId="298904C2"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1 600</w:t>
            </w:r>
          </w:p>
        </w:tc>
        <w:tc>
          <w:tcPr>
            <w:tcW w:w="1330" w:type="dxa"/>
            <w:tcBorders>
              <w:left w:val="single" w:sz="4" w:space="0" w:color="auto"/>
              <w:right w:val="single" w:sz="4" w:space="0" w:color="auto"/>
            </w:tcBorders>
          </w:tcPr>
          <w:p w14:paraId="08885E12"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2 267</w:t>
            </w:r>
          </w:p>
        </w:tc>
        <w:tc>
          <w:tcPr>
            <w:tcW w:w="1679" w:type="dxa"/>
            <w:tcBorders>
              <w:left w:val="single" w:sz="4" w:space="0" w:color="auto"/>
              <w:right w:val="single" w:sz="4" w:space="0" w:color="auto"/>
            </w:tcBorders>
          </w:tcPr>
          <w:p w14:paraId="728D98FA"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41.7</w:t>
            </w:r>
          </w:p>
        </w:tc>
      </w:tr>
      <w:tr w:rsidR="00716684" w:rsidRPr="00D82731" w14:paraId="7F268698" w14:textId="77777777" w:rsidTr="001C7810">
        <w:trPr>
          <w:jc w:val="center"/>
        </w:trPr>
        <w:tc>
          <w:tcPr>
            <w:tcW w:w="2922" w:type="dxa"/>
            <w:tcBorders>
              <w:left w:val="single" w:sz="4" w:space="0" w:color="auto"/>
              <w:right w:val="single" w:sz="4" w:space="0" w:color="auto"/>
            </w:tcBorders>
            <w:vAlign w:val="center"/>
          </w:tcPr>
          <w:p w14:paraId="57E7FF2C"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Zinc</w:t>
            </w:r>
          </w:p>
        </w:tc>
        <w:tc>
          <w:tcPr>
            <w:tcW w:w="1418" w:type="dxa"/>
            <w:tcBorders>
              <w:left w:val="single" w:sz="4" w:space="0" w:color="auto"/>
              <w:right w:val="single" w:sz="4" w:space="0" w:color="auto"/>
            </w:tcBorders>
          </w:tcPr>
          <w:p w14:paraId="7A352AA0"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55 188</w:t>
            </w:r>
          </w:p>
        </w:tc>
        <w:tc>
          <w:tcPr>
            <w:tcW w:w="1330" w:type="dxa"/>
            <w:tcBorders>
              <w:left w:val="single" w:sz="4" w:space="0" w:color="auto"/>
              <w:right w:val="single" w:sz="4" w:space="0" w:color="auto"/>
            </w:tcBorders>
          </w:tcPr>
          <w:p w14:paraId="64B12EB0"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55 087</w:t>
            </w:r>
          </w:p>
        </w:tc>
        <w:tc>
          <w:tcPr>
            <w:tcW w:w="1679" w:type="dxa"/>
            <w:tcBorders>
              <w:left w:val="single" w:sz="4" w:space="0" w:color="auto"/>
              <w:right w:val="single" w:sz="4" w:space="0" w:color="auto"/>
            </w:tcBorders>
          </w:tcPr>
          <w:p w14:paraId="7C590BCC"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-0.2</w:t>
            </w:r>
          </w:p>
        </w:tc>
      </w:tr>
      <w:tr w:rsidR="00716684" w:rsidRPr="00D82731" w14:paraId="0D542CA7" w14:textId="77777777" w:rsidTr="001C7810">
        <w:trPr>
          <w:jc w:val="center"/>
        </w:trPr>
        <w:tc>
          <w:tcPr>
            <w:tcW w:w="2922" w:type="dxa"/>
            <w:tcBorders>
              <w:left w:val="single" w:sz="4" w:space="0" w:color="auto"/>
              <w:right w:val="single" w:sz="4" w:space="0" w:color="auto"/>
            </w:tcBorders>
            <w:vAlign w:val="center"/>
          </w:tcPr>
          <w:p w14:paraId="04066E3B"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Zacatecas</w:t>
            </w:r>
          </w:p>
        </w:tc>
        <w:tc>
          <w:tcPr>
            <w:tcW w:w="1418" w:type="dxa"/>
            <w:tcBorders>
              <w:left w:val="single" w:sz="4" w:space="0" w:color="auto"/>
              <w:right w:val="single" w:sz="4" w:space="0" w:color="auto"/>
            </w:tcBorders>
          </w:tcPr>
          <w:p w14:paraId="05BF8E66"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21 668</w:t>
            </w:r>
          </w:p>
        </w:tc>
        <w:tc>
          <w:tcPr>
            <w:tcW w:w="1330" w:type="dxa"/>
            <w:tcBorders>
              <w:left w:val="single" w:sz="4" w:space="0" w:color="auto"/>
              <w:right w:val="single" w:sz="4" w:space="0" w:color="auto"/>
            </w:tcBorders>
          </w:tcPr>
          <w:p w14:paraId="20C6A50A"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23 651</w:t>
            </w:r>
          </w:p>
        </w:tc>
        <w:tc>
          <w:tcPr>
            <w:tcW w:w="1679" w:type="dxa"/>
            <w:tcBorders>
              <w:left w:val="single" w:sz="4" w:space="0" w:color="auto"/>
              <w:right w:val="single" w:sz="4" w:space="0" w:color="auto"/>
            </w:tcBorders>
          </w:tcPr>
          <w:p w14:paraId="7FB63D22"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9.2</w:t>
            </w:r>
          </w:p>
        </w:tc>
      </w:tr>
      <w:tr w:rsidR="00716684" w:rsidRPr="00D82731" w14:paraId="261EE1D9" w14:textId="77777777" w:rsidTr="001C7810">
        <w:trPr>
          <w:jc w:val="center"/>
        </w:trPr>
        <w:tc>
          <w:tcPr>
            <w:tcW w:w="2922" w:type="dxa"/>
            <w:tcBorders>
              <w:left w:val="single" w:sz="4" w:space="0" w:color="auto"/>
              <w:right w:val="single" w:sz="4" w:space="0" w:color="auto"/>
            </w:tcBorders>
            <w:vAlign w:val="center"/>
          </w:tcPr>
          <w:p w14:paraId="7141BA56"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Chihuahua</w:t>
            </w:r>
          </w:p>
        </w:tc>
        <w:tc>
          <w:tcPr>
            <w:tcW w:w="1418" w:type="dxa"/>
            <w:tcBorders>
              <w:left w:val="single" w:sz="4" w:space="0" w:color="auto"/>
              <w:right w:val="single" w:sz="4" w:space="0" w:color="auto"/>
            </w:tcBorders>
          </w:tcPr>
          <w:p w14:paraId="019673E0"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11 283</w:t>
            </w:r>
          </w:p>
        </w:tc>
        <w:tc>
          <w:tcPr>
            <w:tcW w:w="1330" w:type="dxa"/>
            <w:tcBorders>
              <w:left w:val="single" w:sz="4" w:space="0" w:color="auto"/>
              <w:right w:val="single" w:sz="4" w:space="0" w:color="auto"/>
            </w:tcBorders>
            <w:vAlign w:val="center"/>
          </w:tcPr>
          <w:p w14:paraId="03E80AF5"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11 725</w:t>
            </w:r>
          </w:p>
        </w:tc>
        <w:tc>
          <w:tcPr>
            <w:tcW w:w="1679" w:type="dxa"/>
            <w:tcBorders>
              <w:left w:val="single" w:sz="4" w:space="0" w:color="auto"/>
              <w:right w:val="single" w:sz="4" w:space="0" w:color="auto"/>
            </w:tcBorders>
            <w:vAlign w:val="center"/>
          </w:tcPr>
          <w:p w14:paraId="77F8FD6B"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3.9</w:t>
            </w:r>
          </w:p>
        </w:tc>
      </w:tr>
      <w:tr w:rsidR="00716684" w:rsidRPr="00D82731" w14:paraId="276325D8" w14:textId="77777777" w:rsidTr="001C7810">
        <w:trPr>
          <w:jc w:val="center"/>
        </w:trPr>
        <w:tc>
          <w:tcPr>
            <w:tcW w:w="2922" w:type="dxa"/>
            <w:tcBorders>
              <w:left w:val="single" w:sz="4" w:space="0" w:color="auto"/>
              <w:right w:val="single" w:sz="4" w:space="0" w:color="auto"/>
            </w:tcBorders>
            <w:vAlign w:val="center"/>
          </w:tcPr>
          <w:p w14:paraId="09CB12AF"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Durango</w:t>
            </w:r>
          </w:p>
        </w:tc>
        <w:tc>
          <w:tcPr>
            <w:tcW w:w="1418" w:type="dxa"/>
            <w:tcBorders>
              <w:left w:val="single" w:sz="4" w:space="0" w:color="auto"/>
              <w:right w:val="single" w:sz="4" w:space="0" w:color="auto"/>
            </w:tcBorders>
          </w:tcPr>
          <w:p w14:paraId="4E9876AD"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7 631</w:t>
            </w:r>
          </w:p>
        </w:tc>
        <w:tc>
          <w:tcPr>
            <w:tcW w:w="1330" w:type="dxa"/>
            <w:tcBorders>
              <w:left w:val="single" w:sz="4" w:space="0" w:color="auto"/>
              <w:right w:val="single" w:sz="4" w:space="0" w:color="auto"/>
            </w:tcBorders>
          </w:tcPr>
          <w:p w14:paraId="4A0DA00A"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8 520</w:t>
            </w:r>
          </w:p>
        </w:tc>
        <w:tc>
          <w:tcPr>
            <w:tcW w:w="1679" w:type="dxa"/>
            <w:tcBorders>
              <w:left w:val="single" w:sz="4" w:space="0" w:color="auto"/>
              <w:right w:val="single" w:sz="4" w:space="0" w:color="auto"/>
            </w:tcBorders>
          </w:tcPr>
          <w:p w14:paraId="07C18DA2"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11.6</w:t>
            </w:r>
          </w:p>
        </w:tc>
      </w:tr>
      <w:tr w:rsidR="00716684" w:rsidRPr="00D82731" w14:paraId="7D151E9C" w14:textId="77777777" w:rsidTr="001C7810">
        <w:trPr>
          <w:jc w:val="center"/>
        </w:trPr>
        <w:tc>
          <w:tcPr>
            <w:tcW w:w="2922" w:type="dxa"/>
            <w:tcBorders>
              <w:left w:val="single" w:sz="4" w:space="0" w:color="auto"/>
              <w:right w:val="single" w:sz="4" w:space="0" w:color="auto"/>
            </w:tcBorders>
            <w:vAlign w:val="center"/>
          </w:tcPr>
          <w:p w14:paraId="21AF8678"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Estado de México</w:t>
            </w:r>
          </w:p>
        </w:tc>
        <w:tc>
          <w:tcPr>
            <w:tcW w:w="1418" w:type="dxa"/>
            <w:tcBorders>
              <w:left w:val="single" w:sz="4" w:space="0" w:color="auto"/>
              <w:right w:val="single" w:sz="4" w:space="0" w:color="auto"/>
            </w:tcBorders>
          </w:tcPr>
          <w:p w14:paraId="65C66981"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3 476</w:t>
            </w:r>
          </w:p>
        </w:tc>
        <w:tc>
          <w:tcPr>
            <w:tcW w:w="1330" w:type="dxa"/>
            <w:tcBorders>
              <w:left w:val="single" w:sz="4" w:space="0" w:color="auto"/>
              <w:right w:val="single" w:sz="4" w:space="0" w:color="auto"/>
            </w:tcBorders>
          </w:tcPr>
          <w:p w14:paraId="07CA77B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3 436</w:t>
            </w:r>
          </w:p>
        </w:tc>
        <w:tc>
          <w:tcPr>
            <w:tcW w:w="1679" w:type="dxa"/>
            <w:tcBorders>
              <w:left w:val="single" w:sz="4" w:space="0" w:color="auto"/>
              <w:right w:val="single" w:sz="4" w:space="0" w:color="auto"/>
            </w:tcBorders>
          </w:tcPr>
          <w:p w14:paraId="7D6093DA"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-1.2</w:t>
            </w:r>
          </w:p>
        </w:tc>
      </w:tr>
      <w:tr w:rsidR="00716684" w:rsidRPr="00D82731" w14:paraId="345F7E20" w14:textId="77777777" w:rsidTr="001C7810">
        <w:trPr>
          <w:jc w:val="center"/>
        </w:trPr>
        <w:tc>
          <w:tcPr>
            <w:tcW w:w="2922" w:type="dxa"/>
            <w:tcBorders>
              <w:left w:val="single" w:sz="4" w:space="0" w:color="auto"/>
              <w:right w:val="single" w:sz="4" w:space="0" w:color="auto"/>
            </w:tcBorders>
            <w:vAlign w:val="center"/>
          </w:tcPr>
          <w:p w14:paraId="2E442FCC"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San Luis Potosí</w:t>
            </w:r>
          </w:p>
        </w:tc>
        <w:tc>
          <w:tcPr>
            <w:tcW w:w="1418" w:type="dxa"/>
            <w:tcBorders>
              <w:left w:val="single" w:sz="4" w:space="0" w:color="auto"/>
              <w:right w:val="single" w:sz="4" w:space="0" w:color="auto"/>
            </w:tcBorders>
          </w:tcPr>
          <w:p w14:paraId="08EA78F5"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3 140</w:t>
            </w:r>
          </w:p>
        </w:tc>
        <w:tc>
          <w:tcPr>
            <w:tcW w:w="1330" w:type="dxa"/>
            <w:tcBorders>
              <w:left w:val="single" w:sz="4" w:space="0" w:color="auto"/>
              <w:right w:val="single" w:sz="4" w:space="0" w:color="auto"/>
            </w:tcBorders>
          </w:tcPr>
          <w:p w14:paraId="262F0C4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2 642</w:t>
            </w:r>
          </w:p>
        </w:tc>
        <w:tc>
          <w:tcPr>
            <w:tcW w:w="1679" w:type="dxa"/>
            <w:tcBorders>
              <w:left w:val="single" w:sz="4" w:space="0" w:color="auto"/>
              <w:right w:val="single" w:sz="4" w:space="0" w:color="auto"/>
            </w:tcBorders>
          </w:tcPr>
          <w:p w14:paraId="75F78969"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-15.9</w:t>
            </w:r>
          </w:p>
        </w:tc>
      </w:tr>
      <w:tr w:rsidR="00716684" w:rsidRPr="00D82731" w14:paraId="5714D36C" w14:textId="77777777" w:rsidTr="001C7810">
        <w:trPr>
          <w:jc w:val="center"/>
        </w:trPr>
        <w:tc>
          <w:tcPr>
            <w:tcW w:w="2922" w:type="dxa"/>
            <w:tcBorders>
              <w:left w:val="single" w:sz="4" w:space="0" w:color="auto"/>
              <w:right w:val="single" w:sz="4" w:space="0" w:color="auto"/>
            </w:tcBorders>
            <w:vAlign w:val="center"/>
          </w:tcPr>
          <w:p w14:paraId="4E766A90"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Coque</w:t>
            </w:r>
          </w:p>
        </w:tc>
        <w:tc>
          <w:tcPr>
            <w:tcW w:w="1418" w:type="dxa"/>
            <w:tcBorders>
              <w:left w:val="single" w:sz="4" w:space="0" w:color="auto"/>
              <w:right w:val="single" w:sz="4" w:space="0" w:color="auto"/>
            </w:tcBorders>
          </w:tcPr>
          <w:p w14:paraId="2FE30775"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197 562</w:t>
            </w:r>
          </w:p>
        </w:tc>
        <w:tc>
          <w:tcPr>
            <w:tcW w:w="1330" w:type="dxa"/>
            <w:tcBorders>
              <w:left w:val="single" w:sz="4" w:space="0" w:color="auto"/>
              <w:right w:val="single" w:sz="4" w:space="0" w:color="auto"/>
            </w:tcBorders>
          </w:tcPr>
          <w:p w14:paraId="33A1D19F"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176 337</w:t>
            </w:r>
          </w:p>
        </w:tc>
        <w:tc>
          <w:tcPr>
            <w:tcW w:w="1679" w:type="dxa"/>
            <w:tcBorders>
              <w:left w:val="single" w:sz="4" w:space="0" w:color="auto"/>
              <w:right w:val="single" w:sz="4" w:space="0" w:color="auto"/>
            </w:tcBorders>
          </w:tcPr>
          <w:p w14:paraId="61F38A7D"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-10.7</w:t>
            </w:r>
          </w:p>
        </w:tc>
      </w:tr>
      <w:tr w:rsidR="00716684" w:rsidRPr="00D82731" w14:paraId="55CEE013" w14:textId="77777777" w:rsidTr="001C7810">
        <w:trPr>
          <w:jc w:val="center"/>
        </w:trPr>
        <w:tc>
          <w:tcPr>
            <w:tcW w:w="2922" w:type="dxa"/>
            <w:tcBorders>
              <w:left w:val="single" w:sz="4" w:space="0" w:color="auto"/>
              <w:right w:val="single" w:sz="4" w:space="0" w:color="auto"/>
            </w:tcBorders>
            <w:vAlign w:val="center"/>
          </w:tcPr>
          <w:p w14:paraId="54FFB34B"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Coahuila de Zaragoza</w:t>
            </w:r>
          </w:p>
        </w:tc>
        <w:tc>
          <w:tcPr>
            <w:tcW w:w="1418" w:type="dxa"/>
            <w:tcBorders>
              <w:left w:val="single" w:sz="4" w:space="0" w:color="auto"/>
              <w:right w:val="single" w:sz="4" w:space="0" w:color="auto"/>
            </w:tcBorders>
          </w:tcPr>
          <w:p w14:paraId="708E350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160 241</w:t>
            </w:r>
          </w:p>
        </w:tc>
        <w:tc>
          <w:tcPr>
            <w:tcW w:w="1330" w:type="dxa"/>
            <w:tcBorders>
              <w:left w:val="single" w:sz="4" w:space="0" w:color="auto"/>
              <w:right w:val="single" w:sz="4" w:space="0" w:color="auto"/>
            </w:tcBorders>
          </w:tcPr>
          <w:p w14:paraId="1A949C1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146 015</w:t>
            </w:r>
          </w:p>
        </w:tc>
        <w:tc>
          <w:tcPr>
            <w:tcW w:w="1679" w:type="dxa"/>
            <w:tcBorders>
              <w:left w:val="single" w:sz="4" w:space="0" w:color="auto"/>
              <w:right w:val="single" w:sz="4" w:space="0" w:color="auto"/>
            </w:tcBorders>
          </w:tcPr>
          <w:p w14:paraId="5234FCB0"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-8.9</w:t>
            </w:r>
          </w:p>
        </w:tc>
      </w:tr>
      <w:tr w:rsidR="00716684" w:rsidRPr="00D82731" w14:paraId="5F7F0566" w14:textId="77777777" w:rsidTr="001C7810">
        <w:trPr>
          <w:jc w:val="center"/>
        </w:trPr>
        <w:tc>
          <w:tcPr>
            <w:tcW w:w="2922" w:type="dxa"/>
            <w:tcBorders>
              <w:left w:val="single" w:sz="4" w:space="0" w:color="auto"/>
              <w:right w:val="single" w:sz="4" w:space="0" w:color="auto"/>
            </w:tcBorders>
            <w:vAlign w:val="center"/>
          </w:tcPr>
          <w:p w14:paraId="7C772791"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Michoacán de Ocampo</w:t>
            </w:r>
          </w:p>
        </w:tc>
        <w:tc>
          <w:tcPr>
            <w:tcW w:w="1418" w:type="dxa"/>
            <w:tcBorders>
              <w:left w:val="single" w:sz="4" w:space="0" w:color="auto"/>
              <w:right w:val="single" w:sz="4" w:space="0" w:color="auto"/>
            </w:tcBorders>
          </w:tcPr>
          <w:p w14:paraId="0235F0B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37 321</w:t>
            </w:r>
          </w:p>
        </w:tc>
        <w:tc>
          <w:tcPr>
            <w:tcW w:w="1330" w:type="dxa"/>
            <w:tcBorders>
              <w:left w:val="single" w:sz="4" w:space="0" w:color="auto"/>
              <w:right w:val="single" w:sz="4" w:space="0" w:color="auto"/>
            </w:tcBorders>
          </w:tcPr>
          <w:p w14:paraId="6A6187A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30 322</w:t>
            </w:r>
          </w:p>
        </w:tc>
        <w:tc>
          <w:tcPr>
            <w:tcW w:w="1679" w:type="dxa"/>
            <w:tcBorders>
              <w:left w:val="single" w:sz="4" w:space="0" w:color="auto"/>
              <w:right w:val="single" w:sz="4" w:space="0" w:color="auto"/>
            </w:tcBorders>
          </w:tcPr>
          <w:p w14:paraId="3A9E21AF"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-18.8</w:t>
            </w:r>
          </w:p>
        </w:tc>
      </w:tr>
      <w:tr w:rsidR="00716684" w:rsidRPr="00D82731" w14:paraId="155F93E5" w14:textId="77777777" w:rsidTr="001C7810">
        <w:trPr>
          <w:jc w:val="center"/>
        </w:trPr>
        <w:tc>
          <w:tcPr>
            <w:tcW w:w="2922" w:type="dxa"/>
            <w:tcBorders>
              <w:left w:val="single" w:sz="4" w:space="0" w:color="auto"/>
              <w:right w:val="single" w:sz="4" w:space="0" w:color="auto"/>
            </w:tcBorders>
            <w:vAlign w:val="center"/>
          </w:tcPr>
          <w:p w14:paraId="26FEF731"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Fierro</w:t>
            </w:r>
          </w:p>
        </w:tc>
        <w:tc>
          <w:tcPr>
            <w:tcW w:w="1418" w:type="dxa"/>
            <w:tcBorders>
              <w:left w:val="single" w:sz="4" w:space="0" w:color="auto"/>
              <w:right w:val="single" w:sz="4" w:space="0" w:color="auto"/>
            </w:tcBorders>
          </w:tcPr>
          <w:p w14:paraId="1E5DE42D"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1 370 145</w:t>
            </w:r>
          </w:p>
        </w:tc>
        <w:tc>
          <w:tcPr>
            <w:tcW w:w="1330" w:type="dxa"/>
            <w:tcBorders>
              <w:left w:val="single" w:sz="4" w:space="0" w:color="auto"/>
              <w:right w:val="single" w:sz="4" w:space="0" w:color="auto"/>
            </w:tcBorders>
          </w:tcPr>
          <w:p w14:paraId="13074FDE"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1 268 214</w:t>
            </w:r>
          </w:p>
        </w:tc>
        <w:tc>
          <w:tcPr>
            <w:tcW w:w="1679" w:type="dxa"/>
            <w:tcBorders>
              <w:left w:val="single" w:sz="4" w:space="0" w:color="auto"/>
              <w:right w:val="single" w:sz="4" w:space="0" w:color="auto"/>
            </w:tcBorders>
          </w:tcPr>
          <w:p w14:paraId="1A8FAFFF"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-7.4</w:t>
            </w:r>
          </w:p>
        </w:tc>
      </w:tr>
      <w:tr w:rsidR="00716684" w:rsidRPr="00D82731" w14:paraId="26C9886A" w14:textId="77777777" w:rsidTr="001C7810">
        <w:trPr>
          <w:jc w:val="center"/>
        </w:trPr>
        <w:tc>
          <w:tcPr>
            <w:tcW w:w="2922" w:type="dxa"/>
            <w:tcBorders>
              <w:left w:val="single" w:sz="4" w:space="0" w:color="auto"/>
              <w:right w:val="single" w:sz="4" w:space="0" w:color="auto"/>
            </w:tcBorders>
            <w:vAlign w:val="center"/>
          </w:tcPr>
          <w:p w14:paraId="0EB96BE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Michoacán de Ocampo</w:t>
            </w:r>
          </w:p>
        </w:tc>
        <w:tc>
          <w:tcPr>
            <w:tcW w:w="1418" w:type="dxa"/>
            <w:tcBorders>
              <w:left w:val="single" w:sz="4" w:space="0" w:color="auto"/>
              <w:right w:val="single" w:sz="4" w:space="0" w:color="auto"/>
            </w:tcBorders>
          </w:tcPr>
          <w:p w14:paraId="7A6CF067"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4 99 124</w:t>
            </w:r>
          </w:p>
        </w:tc>
        <w:tc>
          <w:tcPr>
            <w:tcW w:w="1330" w:type="dxa"/>
            <w:tcBorders>
              <w:left w:val="single" w:sz="4" w:space="0" w:color="auto"/>
              <w:right w:val="single" w:sz="4" w:space="0" w:color="auto"/>
            </w:tcBorders>
          </w:tcPr>
          <w:p w14:paraId="404F92C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431 103</w:t>
            </w:r>
          </w:p>
        </w:tc>
        <w:tc>
          <w:tcPr>
            <w:tcW w:w="1679" w:type="dxa"/>
            <w:tcBorders>
              <w:left w:val="single" w:sz="4" w:space="0" w:color="auto"/>
              <w:right w:val="single" w:sz="4" w:space="0" w:color="auto"/>
            </w:tcBorders>
          </w:tcPr>
          <w:p w14:paraId="47BFDE8C"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-13.6</w:t>
            </w:r>
          </w:p>
        </w:tc>
      </w:tr>
      <w:tr w:rsidR="00716684" w:rsidRPr="00D82731" w14:paraId="55C1D499" w14:textId="77777777" w:rsidTr="001C7810">
        <w:trPr>
          <w:jc w:val="center"/>
        </w:trPr>
        <w:tc>
          <w:tcPr>
            <w:tcW w:w="2922" w:type="dxa"/>
            <w:tcBorders>
              <w:left w:val="single" w:sz="4" w:space="0" w:color="auto"/>
              <w:right w:val="single" w:sz="4" w:space="0" w:color="auto"/>
            </w:tcBorders>
            <w:vAlign w:val="center"/>
          </w:tcPr>
          <w:p w14:paraId="1C82FF09"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Coahuila de Zaragoza</w:t>
            </w:r>
          </w:p>
        </w:tc>
        <w:tc>
          <w:tcPr>
            <w:tcW w:w="1418" w:type="dxa"/>
            <w:tcBorders>
              <w:left w:val="single" w:sz="4" w:space="0" w:color="auto"/>
              <w:right w:val="single" w:sz="4" w:space="0" w:color="auto"/>
            </w:tcBorders>
          </w:tcPr>
          <w:p w14:paraId="687EBC68"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246 223</w:t>
            </w:r>
          </w:p>
        </w:tc>
        <w:tc>
          <w:tcPr>
            <w:tcW w:w="1330" w:type="dxa"/>
            <w:tcBorders>
              <w:left w:val="single" w:sz="4" w:space="0" w:color="auto"/>
              <w:right w:val="single" w:sz="4" w:space="0" w:color="auto"/>
            </w:tcBorders>
          </w:tcPr>
          <w:p w14:paraId="610ECE3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268 970</w:t>
            </w:r>
          </w:p>
        </w:tc>
        <w:tc>
          <w:tcPr>
            <w:tcW w:w="1679" w:type="dxa"/>
            <w:tcBorders>
              <w:left w:val="single" w:sz="4" w:space="0" w:color="auto"/>
              <w:right w:val="single" w:sz="4" w:space="0" w:color="auto"/>
            </w:tcBorders>
          </w:tcPr>
          <w:p w14:paraId="1009745D"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9.2</w:t>
            </w:r>
          </w:p>
        </w:tc>
      </w:tr>
      <w:tr w:rsidR="00716684" w:rsidRPr="00D82731" w14:paraId="59BB2761" w14:textId="77777777" w:rsidTr="001C7810">
        <w:trPr>
          <w:jc w:val="center"/>
        </w:trPr>
        <w:tc>
          <w:tcPr>
            <w:tcW w:w="2922" w:type="dxa"/>
            <w:tcBorders>
              <w:left w:val="single" w:sz="4" w:space="0" w:color="auto"/>
              <w:right w:val="single" w:sz="4" w:space="0" w:color="auto"/>
            </w:tcBorders>
            <w:vAlign w:val="center"/>
          </w:tcPr>
          <w:p w14:paraId="0805CFFF"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Colima</w:t>
            </w:r>
          </w:p>
        </w:tc>
        <w:tc>
          <w:tcPr>
            <w:tcW w:w="1418" w:type="dxa"/>
            <w:tcBorders>
              <w:left w:val="single" w:sz="4" w:space="0" w:color="auto"/>
              <w:right w:val="single" w:sz="4" w:space="0" w:color="auto"/>
            </w:tcBorders>
          </w:tcPr>
          <w:p w14:paraId="62091804"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282 661</w:t>
            </w:r>
          </w:p>
        </w:tc>
        <w:tc>
          <w:tcPr>
            <w:tcW w:w="1330" w:type="dxa"/>
            <w:tcBorders>
              <w:left w:val="single" w:sz="4" w:space="0" w:color="auto"/>
              <w:right w:val="single" w:sz="4" w:space="0" w:color="auto"/>
            </w:tcBorders>
          </w:tcPr>
          <w:p w14:paraId="11EB3C01"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125 621</w:t>
            </w:r>
          </w:p>
        </w:tc>
        <w:tc>
          <w:tcPr>
            <w:tcW w:w="1679" w:type="dxa"/>
            <w:tcBorders>
              <w:left w:val="single" w:sz="4" w:space="0" w:color="auto"/>
              <w:right w:val="single" w:sz="4" w:space="0" w:color="auto"/>
            </w:tcBorders>
          </w:tcPr>
          <w:p w14:paraId="0869B115"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-55.6</w:t>
            </w:r>
          </w:p>
        </w:tc>
      </w:tr>
      <w:tr w:rsidR="00716684" w:rsidRPr="00D82731" w14:paraId="4C4B5531" w14:textId="77777777" w:rsidTr="001C7810">
        <w:trPr>
          <w:jc w:val="center"/>
        </w:trPr>
        <w:tc>
          <w:tcPr>
            <w:tcW w:w="2922" w:type="dxa"/>
            <w:tcBorders>
              <w:left w:val="single" w:sz="4" w:space="0" w:color="auto"/>
              <w:right w:val="single" w:sz="4" w:space="0" w:color="auto"/>
            </w:tcBorders>
            <w:vAlign w:val="center"/>
          </w:tcPr>
          <w:p w14:paraId="7BE28947"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Durango</w:t>
            </w:r>
          </w:p>
        </w:tc>
        <w:tc>
          <w:tcPr>
            <w:tcW w:w="1418" w:type="dxa"/>
            <w:tcBorders>
              <w:left w:val="single" w:sz="4" w:space="0" w:color="auto"/>
              <w:right w:val="single" w:sz="4" w:space="0" w:color="auto"/>
            </w:tcBorders>
          </w:tcPr>
          <w:p w14:paraId="3CB96F37"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87 781</w:t>
            </w:r>
          </w:p>
        </w:tc>
        <w:tc>
          <w:tcPr>
            <w:tcW w:w="1330" w:type="dxa"/>
            <w:tcBorders>
              <w:left w:val="single" w:sz="4" w:space="0" w:color="auto"/>
              <w:right w:val="single" w:sz="4" w:space="0" w:color="auto"/>
            </w:tcBorders>
          </w:tcPr>
          <w:p w14:paraId="30EC65BA"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122 220</w:t>
            </w:r>
          </w:p>
        </w:tc>
        <w:tc>
          <w:tcPr>
            <w:tcW w:w="1679" w:type="dxa"/>
            <w:tcBorders>
              <w:left w:val="single" w:sz="4" w:space="0" w:color="auto"/>
              <w:right w:val="single" w:sz="4" w:space="0" w:color="auto"/>
            </w:tcBorders>
          </w:tcPr>
          <w:p w14:paraId="780754C1"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39.2</w:t>
            </w:r>
          </w:p>
        </w:tc>
      </w:tr>
      <w:tr w:rsidR="00716684" w:rsidRPr="00D82731" w14:paraId="757A7371" w14:textId="77777777" w:rsidTr="001C7810">
        <w:trPr>
          <w:jc w:val="center"/>
        </w:trPr>
        <w:tc>
          <w:tcPr>
            <w:tcW w:w="2922" w:type="dxa"/>
            <w:tcBorders>
              <w:left w:val="single" w:sz="4" w:space="0" w:color="auto"/>
              <w:right w:val="single" w:sz="4" w:space="0" w:color="auto"/>
            </w:tcBorders>
            <w:vAlign w:val="center"/>
          </w:tcPr>
          <w:p w14:paraId="011013FE"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Chihuahua</w:t>
            </w:r>
          </w:p>
        </w:tc>
        <w:tc>
          <w:tcPr>
            <w:tcW w:w="1418" w:type="dxa"/>
            <w:tcBorders>
              <w:left w:val="single" w:sz="4" w:space="0" w:color="auto"/>
              <w:right w:val="single" w:sz="4" w:space="0" w:color="auto"/>
            </w:tcBorders>
          </w:tcPr>
          <w:p w14:paraId="60DBACE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23 316</w:t>
            </w:r>
          </w:p>
        </w:tc>
        <w:tc>
          <w:tcPr>
            <w:tcW w:w="1330" w:type="dxa"/>
            <w:tcBorders>
              <w:left w:val="single" w:sz="4" w:space="0" w:color="auto"/>
              <w:right w:val="single" w:sz="4" w:space="0" w:color="auto"/>
            </w:tcBorders>
          </w:tcPr>
          <w:p w14:paraId="6685B5AC"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26 100</w:t>
            </w:r>
          </w:p>
        </w:tc>
        <w:tc>
          <w:tcPr>
            <w:tcW w:w="1679" w:type="dxa"/>
            <w:tcBorders>
              <w:left w:val="single" w:sz="4" w:space="0" w:color="auto"/>
              <w:right w:val="single" w:sz="4" w:space="0" w:color="auto"/>
            </w:tcBorders>
          </w:tcPr>
          <w:p w14:paraId="329767EB"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11.9</w:t>
            </w:r>
          </w:p>
        </w:tc>
      </w:tr>
      <w:tr w:rsidR="00716684" w:rsidRPr="00D82731" w14:paraId="1082C10A" w14:textId="77777777" w:rsidTr="001C7810">
        <w:trPr>
          <w:jc w:val="center"/>
        </w:trPr>
        <w:tc>
          <w:tcPr>
            <w:tcW w:w="2922" w:type="dxa"/>
            <w:tcBorders>
              <w:left w:val="single" w:sz="4" w:space="0" w:color="auto"/>
              <w:right w:val="single" w:sz="4" w:space="0" w:color="auto"/>
            </w:tcBorders>
            <w:vAlign w:val="center"/>
          </w:tcPr>
          <w:p w14:paraId="75ABA46B"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Azufre</w:t>
            </w:r>
          </w:p>
        </w:tc>
        <w:tc>
          <w:tcPr>
            <w:tcW w:w="1418" w:type="dxa"/>
            <w:tcBorders>
              <w:left w:val="single" w:sz="4" w:space="0" w:color="auto"/>
              <w:right w:val="single" w:sz="4" w:space="0" w:color="auto"/>
            </w:tcBorders>
          </w:tcPr>
          <w:p w14:paraId="54CF8C23"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87 799</w:t>
            </w:r>
          </w:p>
        </w:tc>
        <w:tc>
          <w:tcPr>
            <w:tcW w:w="1330" w:type="dxa"/>
            <w:tcBorders>
              <w:left w:val="single" w:sz="4" w:space="0" w:color="auto"/>
              <w:right w:val="single" w:sz="4" w:space="0" w:color="auto"/>
            </w:tcBorders>
          </w:tcPr>
          <w:p w14:paraId="394010E1"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80 116</w:t>
            </w:r>
          </w:p>
        </w:tc>
        <w:tc>
          <w:tcPr>
            <w:tcW w:w="1679" w:type="dxa"/>
            <w:tcBorders>
              <w:left w:val="single" w:sz="4" w:space="0" w:color="auto"/>
              <w:right w:val="single" w:sz="4" w:space="0" w:color="auto"/>
            </w:tcBorders>
          </w:tcPr>
          <w:p w14:paraId="69D44C5F"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-8.8</w:t>
            </w:r>
          </w:p>
        </w:tc>
      </w:tr>
      <w:tr w:rsidR="00716684" w:rsidRPr="00D82731" w14:paraId="263E804E" w14:textId="77777777" w:rsidTr="001C7810">
        <w:trPr>
          <w:jc w:val="center"/>
        </w:trPr>
        <w:tc>
          <w:tcPr>
            <w:tcW w:w="2922" w:type="dxa"/>
            <w:tcBorders>
              <w:left w:val="single" w:sz="4" w:space="0" w:color="auto"/>
              <w:right w:val="single" w:sz="4" w:space="0" w:color="auto"/>
            </w:tcBorders>
            <w:vAlign w:val="center"/>
          </w:tcPr>
          <w:p w14:paraId="03345F06"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Chiapas</w:t>
            </w:r>
          </w:p>
        </w:tc>
        <w:tc>
          <w:tcPr>
            <w:tcW w:w="1418" w:type="dxa"/>
            <w:tcBorders>
              <w:left w:val="single" w:sz="4" w:space="0" w:color="auto"/>
              <w:right w:val="single" w:sz="4" w:space="0" w:color="auto"/>
            </w:tcBorders>
          </w:tcPr>
          <w:p w14:paraId="0B2E1A1D"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24 542</w:t>
            </w:r>
          </w:p>
        </w:tc>
        <w:tc>
          <w:tcPr>
            <w:tcW w:w="1330" w:type="dxa"/>
            <w:tcBorders>
              <w:left w:val="single" w:sz="4" w:space="0" w:color="auto"/>
              <w:right w:val="single" w:sz="4" w:space="0" w:color="auto"/>
            </w:tcBorders>
            <w:vAlign w:val="center"/>
          </w:tcPr>
          <w:p w14:paraId="02AC6F1B"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22 934</w:t>
            </w:r>
          </w:p>
        </w:tc>
        <w:tc>
          <w:tcPr>
            <w:tcW w:w="1679" w:type="dxa"/>
            <w:tcBorders>
              <w:left w:val="single" w:sz="4" w:space="0" w:color="auto"/>
              <w:right w:val="single" w:sz="4" w:space="0" w:color="auto"/>
            </w:tcBorders>
          </w:tcPr>
          <w:p w14:paraId="2C2F1B7E"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-6.6</w:t>
            </w:r>
          </w:p>
        </w:tc>
      </w:tr>
      <w:tr w:rsidR="00716684" w:rsidRPr="00D82731" w14:paraId="0E803D8F" w14:textId="77777777" w:rsidTr="001C7810">
        <w:trPr>
          <w:jc w:val="center"/>
        </w:trPr>
        <w:tc>
          <w:tcPr>
            <w:tcW w:w="2922" w:type="dxa"/>
            <w:tcBorders>
              <w:left w:val="single" w:sz="4" w:space="0" w:color="auto"/>
              <w:right w:val="single" w:sz="4" w:space="0" w:color="auto"/>
            </w:tcBorders>
            <w:vAlign w:val="center"/>
          </w:tcPr>
          <w:p w14:paraId="46CCF78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Tabasco</w:t>
            </w:r>
          </w:p>
        </w:tc>
        <w:tc>
          <w:tcPr>
            <w:tcW w:w="1418" w:type="dxa"/>
            <w:tcBorders>
              <w:left w:val="single" w:sz="4" w:space="0" w:color="auto"/>
              <w:right w:val="single" w:sz="4" w:space="0" w:color="auto"/>
            </w:tcBorders>
            <w:vAlign w:val="center"/>
          </w:tcPr>
          <w:p w14:paraId="4040723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25 392</w:t>
            </w:r>
          </w:p>
        </w:tc>
        <w:tc>
          <w:tcPr>
            <w:tcW w:w="1330" w:type="dxa"/>
            <w:tcBorders>
              <w:left w:val="single" w:sz="4" w:space="0" w:color="auto"/>
              <w:right w:val="single" w:sz="4" w:space="0" w:color="auto"/>
            </w:tcBorders>
          </w:tcPr>
          <w:p w14:paraId="036AC46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22 629</w:t>
            </w:r>
          </w:p>
        </w:tc>
        <w:tc>
          <w:tcPr>
            <w:tcW w:w="1679" w:type="dxa"/>
            <w:tcBorders>
              <w:left w:val="single" w:sz="4" w:space="0" w:color="auto"/>
              <w:right w:val="single" w:sz="4" w:space="0" w:color="auto"/>
            </w:tcBorders>
            <w:vAlign w:val="center"/>
          </w:tcPr>
          <w:p w14:paraId="31FE93FE"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-10.9</w:t>
            </w:r>
          </w:p>
        </w:tc>
      </w:tr>
      <w:tr w:rsidR="00716684" w:rsidRPr="00D82731" w14:paraId="342C2246" w14:textId="77777777" w:rsidTr="001C7810">
        <w:trPr>
          <w:jc w:val="center"/>
        </w:trPr>
        <w:tc>
          <w:tcPr>
            <w:tcW w:w="2922" w:type="dxa"/>
            <w:tcBorders>
              <w:left w:val="single" w:sz="4" w:space="0" w:color="auto"/>
              <w:right w:val="single" w:sz="4" w:space="0" w:color="auto"/>
            </w:tcBorders>
            <w:vAlign w:val="center"/>
          </w:tcPr>
          <w:p w14:paraId="68C658F5"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Veracruz de Ignacio de la llave</w:t>
            </w:r>
          </w:p>
        </w:tc>
        <w:tc>
          <w:tcPr>
            <w:tcW w:w="1418" w:type="dxa"/>
            <w:tcBorders>
              <w:left w:val="single" w:sz="4" w:space="0" w:color="auto"/>
              <w:right w:val="single" w:sz="4" w:space="0" w:color="auto"/>
            </w:tcBorders>
            <w:vAlign w:val="center"/>
          </w:tcPr>
          <w:p w14:paraId="1C4FB02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8 980</w:t>
            </w:r>
          </w:p>
        </w:tc>
        <w:tc>
          <w:tcPr>
            <w:tcW w:w="1330" w:type="dxa"/>
            <w:tcBorders>
              <w:left w:val="single" w:sz="4" w:space="0" w:color="auto"/>
              <w:right w:val="single" w:sz="4" w:space="0" w:color="auto"/>
            </w:tcBorders>
            <w:vAlign w:val="center"/>
          </w:tcPr>
          <w:p w14:paraId="3826B43F"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9 751</w:t>
            </w:r>
          </w:p>
        </w:tc>
        <w:tc>
          <w:tcPr>
            <w:tcW w:w="1679" w:type="dxa"/>
            <w:tcBorders>
              <w:left w:val="single" w:sz="4" w:space="0" w:color="auto"/>
              <w:right w:val="single" w:sz="4" w:space="0" w:color="auto"/>
            </w:tcBorders>
            <w:vAlign w:val="center"/>
          </w:tcPr>
          <w:p w14:paraId="3FDD9F11"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8.6</w:t>
            </w:r>
          </w:p>
        </w:tc>
      </w:tr>
      <w:tr w:rsidR="00716684" w:rsidRPr="00D82731" w14:paraId="09215822" w14:textId="77777777" w:rsidTr="001C7810">
        <w:trPr>
          <w:jc w:val="center"/>
        </w:trPr>
        <w:tc>
          <w:tcPr>
            <w:tcW w:w="2922" w:type="dxa"/>
            <w:tcBorders>
              <w:left w:val="single" w:sz="4" w:space="0" w:color="auto"/>
              <w:right w:val="single" w:sz="4" w:space="0" w:color="auto"/>
            </w:tcBorders>
            <w:vAlign w:val="center"/>
          </w:tcPr>
          <w:p w14:paraId="1C2B9BC4"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Nuevo León</w:t>
            </w:r>
          </w:p>
        </w:tc>
        <w:tc>
          <w:tcPr>
            <w:tcW w:w="1418" w:type="dxa"/>
            <w:tcBorders>
              <w:left w:val="single" w:sz="4" w:space="0" w:color="auto"/>
              <w:right w:val="single" w:sz="4" w:space="0" w:color="auto"/>
            </w:tcBorders>
            <w:vAlign w:val="center"/>
          </w:tcPr>
          <w:p w14:paraId="50037ADB"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8 846</w:t>
            </w:r>
          </w:p>
        </w:tc>
        <w:tc>
          <w:tcPr>
            <w:tcW w:w="1330" w:type="dxa"/>
            <w:tcBorders>
              <w:left w:val="single" w:sz="4" w:space="0" w:color="auto"/>
              <w:right w:val="single" w:sz="4" w:space="0" w:color="auto"/>
            </w:tcBorders>
            <w:vAlign w:val="center"/>
          </w:tcPr>
          <w:p w14:paraId="308CF66E"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8 582</w:t>
            </w:r>
          </w:p>
        </w:tc>
        <w:tc>
          <w:tcPr>
            <w:tcW w:w="1679" w:type="dxa"/>
            <w:tcBorders>
              <w:left w:val="single" w:sz="4" w:space="0" w:color="auto"/>
              <w:right w:val="single" w:sz="4" w:space="0" w:color="auto"/>
            </w:tcBorders>
            <w:vAlign w:val="center"/>
          </w:tcPr>
          <w:p w14:paraId="2AD6AFC1"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-3.0</w:t>
            </w:r>
          </w:p>
        </w:tc>
      </w:tr>
      <w:tr w:rsidR="00716684" w:rsidRPr="00D82731" w14:paraId="1C019EED" w14:textId="77777777" w:rsidTr="001C7810">
        <w:trPr>
          <w:jc w:val="center"/>
        </w:trPr>
        <w:tc>
          <w:tcPr>
            <w:tcW w:w="2922" w:type="dxa"/>
            <w:tcBorders>
              <w:left w:val="single" w:sz="4" w:space="0" w:color="auto"/>
              <w:right w:val="single" w:sz="4" w:space="0" w:color="auto"/>
            </w:tcBorders>
            <w:vAlign w:val="center"/>
          </w:tcPr>
          <w:p w14:paraId="5F3EBBBC"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Tamaulipas</w:t>
            </w:r>
          </w:p>
        </w:tc>
        <w:tc>
          <w:tcPr>
            <w:tcW w:w="1418" w:type="dxa"/>
            <w:tcBorders>
              <w:left w:val="single" w:sz="4" w:space="0" w:color="auto"/>
              <w:right w:val="single" w:sz="4" w:space="0" w:color="auto"/>
            </w:tcBorders>
            <w:vAlign w:val="center"/>
          </w:tcPr>
          <w:p w14:paraId="04B4FBA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9 459</w:t>
            </w:r>
          </w:p>
        </w:tc>
        <w:tc>
          <w:tcPr>
            <w:tcW w:w="1330" w:type="dxa"/>
            <w:tcBorders>
              <w:left w:val="single" w:sz="4" w:space="0" w:color="auto"/>
              <w:right w:val="single" w:sz="4" w:space="0" w:color="auto"/>
            </w:tcBorders>
            <w:vAlign w:val="center"/>
          </w:tcPr>
          <w:p w14:paraId="2E27262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7 190</w:t>
            </w:r>
          </w:p>
        </w:tc>
        <w:tc>
          <w:tcPr>
            <w:tcW w:w="1679" w:type="dxa"/>
            <w:tcBorders>
              <w:left w:val="single" w:sz="4" w:space="0" w:color="auto"/>
              <w:right w:val="single" w:sz="4" w:space="0" w:color="auto"/>
            </w:tcBorders>
            <w:vAlign w:val="center"/>
          </w:tcPr>
          <w:p w14:paraId="2EEED8D8"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-24.0</w:t>
            </w:r>
          </w:p>
        </w:tc>
      </w:tr>
      <w:tr w:rsidR="00716684" w:rsidRPr="00D82731" w14:paraId="506B8FD9" w14:textId="77777777" w:rsidTr="001C7810">
        <w:trPr>
          <w:jc w:val="center"/>
        </w:trPr>
        <w:tc>
          <w:tcPr>
            <w:tcW w:w="2922" w:type="dxa"/>
            <w:tcBorders>
              <w:left w:val="single" w:sz="4" w:space="0" w:color="auto"/>
              <w:right w:val="single" w:sz="4" w:space="0" w:color="auto"/>
            </w:tcBorders>
            <w:vAlign w:val="center"/>
          </w:tcPr>
          <w:p w14:paraId="053AB661" w14:textId="77777777" w:rsidR="00716684" w:rsidRPr="00D82731" w:rsidRDefault="00716684" w:rsidP="001C7810">
            <w:pPr>
              <w:spacing w:line="0" w:lineRule="atLeast"/>
              <w:rPr>
                <w:rFonts w:eastAsia="Calibri"/>
                <w:b/>
                <w:sz w:val="18"/>
                <w:szCs w:val="18"/>
                <w:lang w:eastAsia="en-US"/>
              </w:rPr>
            </w:pPr>
            <w:r w:rsidRPr="00D82731">
              <w:rPr>
                <w:rFonts w:eastAsia="Calibri"/>
                <w:b/>
                <w:sz w:val="18"/>
                <w:szCs w:val="18"/>
                <w:lang w:eastAsia="en-US"/>
              </w:rPr>
              <w:t>Fluorita</w:t>
            </w:r>
          </w:p>
        </w:tc>
        <w:tc>
          <w:tcPr>
            <w:tcW w:w="1418" w:type="dxa"/>
            <w:tcBorders>
              <w:left w:val="single" w:sz="4" w:space="0" w:color="auto"/>
              <w:right w:val="single" w:sz="4" w:space="0" w:color="auto"/>
            </w:tcBorders>
            <w:vAlign w:val="center"/>
          </w:tcPr>
          <w:p w14:paraId="38735745"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93 938</w:t>
            </w:r>
          </w:p>
        </w:tc>
        <w:tc>
          <w:tcPr>
            <w:tcW w:w="1330" w:type="dxa"/>
            <w:tcBorders>
              <w:left w:val="single" w:sz="4" w:space="0" w:color="auto"/>
              <w:right w:val="single" w:sz="4" w:space="0" w:color="auto"/>
            </w:tcBorders>
            <w:vAlign w:val="center"/>
          </w:tcPr>
          <w:p w14:paraId="3BE7B61A" w14:textId="77777777" w:rsidR="00716684" w:rsidRPr="00D82731" w:rsidRDefault="00716684" w:rsidP="001C7810">
            <w:pPr>
              <w:spacing w:line="0" w:lineRule="atLeast"/>
              <w:ind w:right="227"/>
              <w:jc w:val="right"/>
              <w:rPr>
                <w:rFonts w:eastAsia="Calibri"/>
                <w:b/>
                <w:sz w:val="18"/>
                <w:szCs w:val="18"/>
                <w:lang w:eastAsia="en-US"/>
              </w:rPr>
            </w:pPr>
            <w:r w:rsidRPr="00D82731">
              <w:rPr>
                <w:rFonts w:eastAsia="Calibri"/>
                <w:b/>
                <w:sz w:val="18"/>
                <w:szCs w:val="18"/>
                <w:lang w:eastAsia="en-US"/>
              </w:rPr>
              <w:t>96 314</w:t>
            </w:r>
          </w:p>
        </w:tc>
        <w:tc>
          <w:tcPr>
            <w:tcW w:w="1679" w:type="dxa"/>
            <w:tcBorders>
              <w:left w:val="single" w:sz="4" w:space="0" w:color="auto"/>
              <w:right w:val="single" w:sz="4" w:space="0" w:color="auto"/>
            </w:tcBorders>
          </w:tcPr>
          <w:p w14:paraId="4341DA96" w14:textId="77777777" w:rsidR="00716684" w:rsidRPr="00D82731" w:rsidRDefault="00716684" w:rsidP="001C7810">
            <w:pPr>
              <w:spacing w:line="0" w:lineRule="atLeast"/>
              <w:ind w:right="510"/>
              <w:jc w:val="right"/>
              <w:rPr>
                <w:rFonts w:eastAsia="Calibri"/>
                <w:b/>
                <w:sz w:val="18"/>
                <w:szCs w:val="18"/>
                <w:lang w:eastAsia="en-US"/>
              </w:rPr>
            </w:pPr>
            <w:r w:rsidRPr="00D82731">
              <w:rPr>
                <w:rFonts w:eastAsia="Calibri"/>
                <w:b/>
                <w:sz w:val="18"/>
                <w:szCs w:val="18"/>
                <w:lang w:eastAsia="en-US"/>
              </w:rPr>
              <w:t>2.5</w:t>
            </w:r>
          </w:p>
        </w:tc>
      </w:tr>
      <w:tr w:rsidR="00716684" w:rsidRPr="00D82731" w14:paraId="1511CEB0" w14:textId="77777777" w:rsidTr="001C7810">
        <w:trPr>
          <w:jc w:val="center"/>
        </w:trPr>
        <w:tc>
          <w:tcPr>
            <w:tcW w:w="2922" w:type="dxa"/>
            <w:tcBorders>
              <w:left w:val="single" w:sz="4" w:space="0" w:color="auto"/>
              <w:right w:val="single" w:sz="4" w:space="0" w:color="auto"/>
            </w:tcBorders>
            <w:vAlign w:val="center"/>
          </w:tcPr>
          <w:p w14:paraId="497A4C20"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San Luis Potosí</w:t>
            </w:r>
          </w:p>
        </w:tc>
        <w:tc>
          <w:tcPr>
            <w:tcW w:w="1418" w:type="dxa"/>
            <w:tcBorders>
              <w:left w:val="single" w:sz="4" w:space="0" w:color="auto"/>
              <w:right w:val="single" w:sz="4" w:space="0" w:color="auto"/>
            </w:tcBorders>
          </w:tcPr>
          <w:p w14:paraId="73C74EB9"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86 047</w:t>
            </w:r>
          </w:p>
        </w:tc>
        <w:tc>
          <w:tcPr>
            <w:tcW w:w="1330" w:type="dxa"/>
            <w:tcBorders>
              <w:left w:val="single" w:sz="4" w:space="0" w:color="auto"/>
              <w:right w:val="single" w:sz="4" w:space="0" w:color="auto"/>
            </w:tcBorders>
          </w:tcPr>
          <w:p w14:paraId="40240D0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91 324</w:t>
            </w:r>
          </w:p>
        </w:tc>
        <w:tc>
          <w:tcPr>
            <w:tcW w:w="1679" w:type="dxa"/>
            <w:tcBorders>
              <w:left w:val="single" w:sz="4" w:space="0" w:color="auto"/>
              <w:right w:val="single" w:sz="4" w:space="0" w:color="auto"/>
            </w:tcBorders>
          </w:tcPr>
          <w:p w14:paraId="42140508"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6.1</w:t>
            </w:r>
          </w:p>
        </w:tc>
      </w:tr>
      <w:tr w:rsidR="00716684" w:rsidRPr="00D82731" w14:paraId="5C45FAA2" w14:textId="77777777" w:rsidTr="001C7810">
        <w:trPr>
          <w:jc w:val="center"/>
        </w:trPr>
        <w:tc>
          <w:tcPr>
            <w:tcW w:w="2922" w:type="dxa"/>
            <w:tcBorders>
              <w:left w:val="single" w:sz="4" w:space="0" w:color="auto"/>
              <w:bottom w:val="single" w:sz="4" w:space="0" w:color="auto"/>
              <w:right w:val="single" w:sz="4" w:space="0" w:color="auto"/>
            </w:tcBorders>
            <w:vAlign w:val="center"/>
          </w:tcPr>
          <w:p w14:paraId="6732F40D" w14:textId="77777777" w:rsidR="00716684" w:rsidRPr="00D82731" w:rsidRDefault="00716684" w:rsidP="001C7810">
            <w:pPr>
              <w:spacing w:line="0" w:lineRule="atLeast"/>
              <w:rPr>
                <w:rFonts w:eastAsia="Calibri"/>
                <w:sz w:val="18"/>
                <w:szCs w:val="18"/>
                <w:lang w:eastAsia="en-US"/>
              </w:rPr>
            </w:pPr>
            <w:r w:rsidRPr="00D82731">
              <w:rPr>
                <w:rFonts w:eastAsia="Calibri"/>
                <w:sz w:val="18"/>
                <w:szCs w:val="18"/>
                <w:lang w:eastAsia="en-US"/>
              </w:rPr>
              <w:t>Coahuila de Zaragoza</w:t>
            </w:r>
          </w:p>
        </w:tc>
        <w:tc>
          <w:tcPr>
            <w:tcW w:w="1418" w:type="dxa"/>
            <w:tcBorders>
              <w:left w:val="single" w:sz="4" w:space="0" w:color="auto"/>
              <w:bottom w:val="single" w:sz="4" w:space="0" w:color="auto"/>
              <w:right w:val="single" w:sz="4" w:space="0" w:color="auto"/>
            </w:tcBorders>
          </w:tcPr>
          <w:p w14:paraId="28C986D1"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7 878</w:t>
            </w:r>
          </w:p>
        </w:tc>
        <w:tc>
          <w:tcPr>
            <w:tcW w:w="1330" w:type="dxa"/>
            <w:tcBorders>
              <w:left w:val="single" w:sz="4" w:space="0" w:color="auto"/>
              <w:bottom w:val="single" w:sz="4" w:space="0" w:color="auto"/>
              <w:right w:val="single" w:sz="4" w:space="0" w:color="auto"/>
            </w:tcBorders>
          </w:tcPr>
          <w:p w14:paraId="5645CF93" w14:textId="77777777" w:rsidR="00716684" w:rsidRPr="00D82731" w:rsidRDefault="00716684" w:rsidP="001C7810">
            <w:pPr>
              <w:spacing w:line="0" w:lineRule="atLeast"/>
              <w:ind w:right="227"/>
              <w:jc w:val="right"/>
              <w:rPr>
                <w:rFonts w:eastAsia="Calibri"/>
                <w:sz w:val="18"/>
                <w:szCs w:val="18"/>
                <w:lang w:eastAsia="en-US"/>
              </w:rPr>
            </w:pPr>
            <w:r w:rsidRPr="00D82731">
              <w:rPr>
                <w:rFonts w:eastAsia="Calibri"/>
                <w:sz w:val="18"/>
                <w:szCs w:val="18"/>
                <w:lang w:eastAsia="en-US"/>
              </w:rPr>
              <w:t>4 951</w:t>
            </w:r>
          </w:p>
        </w:tc>
        <w:tc>
          <w:tcPr>
            <w:tcW w:w="1679" w:type="dxa"/>
            <w:tcBorders>
              <w:left w:val="single" w:sz="4" w:space="0" w:color="auto"/>
              <w:bottom w:val="single" w:sz="4" w:space="0" w:color="auto"/>
              <w:right w:val="single" w:sz="4" w:space="0" w:color="auto"/>
            </w:tcBorders>
          </w:tcPr>
          <w:p w14:paraId="4F391776" w14:textId="77777777" w:rsidR="00716684" w:rsidRPr="00D82731" w:rsidRDefault="00716684" w:rsidP="001C7810">
            <w:pPr>
              <w:spacing w:line="0" w:lineRule="atLeast"/>
              <w:ind w:right="510"/>
              <w:jc w:val="right"/>
              <w:rPr>
                <w:rFonts w:eastAsia="Calibri"/>
                <w:sz w:val="18"/>
                <w:szCs w:val="18"/>
                <w:lang w:eastAsia="en-US"/>
              </w:rPr>
            </w:pPr>
            <w:r w:rsidRPr="00D82731">
              <w:rPr>
                <w:rFonts w:eastAsia="Calibri"/>
                <w:sz w:val="18"/>
                <w:szCs w:val="18"/>
                <w:lang w:eastAsia="en-US"/>
              </w:rPr>
              <w:t>-37.2</w:t>
            </w:r>
          </w:p>
        </w:tc>
      </w:tr>
      <w:tr w:rsidR="00716684" w:rsidRPr="00D82731" w14:paraId="49627761" w14:textId="77777777" w:rsidTr="001C7810">
        <w:trPr>
          <w:jc w:val="center"/>
        </w:trPr>
        <w:tc>
          <w:tcPr>
            <w:tcW w:w="7349" w:type="dxa"/>
            <w:gridSpan w:val="4"/>
            <w:tcBorders>
              <w:top w:val="single" w:sz="4" w:space="0" w:color="auto"/>
              <w:left w:val="nil"/>
              <w:bottom w:val="nil"/>
              <w:right w:val="nil"/>
            </w:tcBorders>
            <w:vAlign w:val="center"/>
          </w:tcPr>
          <w:p w14:paraId="03AD00DB" w14:textId="77777777" w:rsidR="00716684" w:rsidRPr="00D82731" w:rsidRDefault="00716684" w:rsidP="001C7810">
            <w:pPr>
              <w:spacing w:line="0" w:lineRule="atLeast"/>
              <w:jc w:val="both"/>
              <w:rPr>
                <w:rFonts w:eastAsia="Calibri"/>
                <w:sz w:val="18"/>
                <w:szCs w:val="18"/>
                <w:u w:val="single"/>
                <w:lang w:eastAsia="en-US"/>
              </w:rPr>
            </w:pPr>
            <w:r w:rsidRPr="00D82731">
              <w:rPr>
                <w:rFonts w:eastAsia="Calibri"/>
                <w:sz w:val="18"/>
                <w:szCs w:val="18"/>
                <w:u w:val="single"/>
                <w:lang w:eastAsia="en-US"/>
              </w:rPr>
              <w:t>p</w:t>
            </w:r>
            <w:r w:rsidRPr="00D82731">
              <w:rPr>
                <w:rFonts w:eastAsia="Calibri"/>
                <w:sz w:val="18"/>
                <w:szCs w:val="18"/>
                <w:lang w:eastAsia="en-US"/>
              </w:rPr>
              <w:t>/ Cifras preliminares.</w:t>
            </w:r>
          </w:p>
          <w:p w14:paraId="1F068988" w14:textId="77777777" w:rsidR="00716684" w:rsidRPr="00D82731" w:rsidRDefault="00716684" w:rsidP="001C7810">
            <w:pPr>
              <w:spacing w:line="0" w:lineRule="atLeast"/>
              <w:jc w:val="both"/>
              <w:rPr>
                <w:rFonts w:eastAsia="Calibri"/>
                <w:sz w:val="18"/>
                <w:szCs w:val="18"/>
                <w:lang w:eastAsia="en-US"/>
              </w:rPr>
            </w:pPr>
            <w:r w:rsidRPr="00251E61">
              <w:rPr>
                <w:rFonts w:eastAsia="Calibri"/>
                <w:sz w:val="18"/>
                <w:szCs w:val="18"/>
                <w:u w:val="single"/>
                <w:lang w:eastAsia="en-US"/>
              </w:rPr>
              <w:t>1</w:t>
            </w:r>
            <w:r w:rsidRPr="00251E61">
              <w:rPr>
                <w:rFonts w:eastAsia="Calibri"/>
                <w:sz w:val="18"/>
                <w:szCs w:val="18"/>
                <w:lang w:eastAsia="en-US"/>
              </w:rPr>
              <w:t>/</w:t>
            </w:r>
            <w:r w:rsidRPr="00D82731">
              <w:rPr>
                <w:rFonts w:eastAsia="Calibri"/>
                <w:sz w:val="18"/>
                <w:szCs w:val="18"/>
                <w:lang w:eastAsia="en-US"/>
              </w:rPr>
              <w:t xml:space="preserve"> Excepto el oro y la plata que son kilogramos.</w:t>
            </w:r>
          </w:p>
          <w:p w14:paraId="58D6F42E" w14:textId="77777777" w:rsidR="00716684" w:rsidRPr="00D82731" w:rsidRDefault="00716684" w:rsidP="001C7810">
            <w:pPr>
              <w:spacing w:line="0" w:lineRule="atLeast"/>
              <w:jc w:val="both"/>
              <w:rPr>
                <w:rFonts w:eastAsia="Calibri"/>
                <w:sz w:val="18"/>
                <w:szCs w:val="18"/>
                <w:lang w:eastAsia="en-US"/>
              </w:rPr>
            </w:pPr>
            <w:r w:rsidRPr="00D82731">
              <w:rPr>
                <w:rFonts w:eastAsia="Calibri"/>
                <w:sz w:val="18"/>
                <w:szCs w:val="18"/>
                <w:lang w:eastAsia="en-US"/>
              </w:rPr>
              <w:t>FUENTE: INEGI.</w:t>
            </w:r>
          </w:p>
        </w:tc>
      </w:tr>
    </w:tbl>
    <w:p w14:paraId="618AA8F1" w14:textId="77777777" w:rsidR="00716684" w:rsidRPr="00D82731" w:rsidRDefault="00716684" w:rsidP="00716684">
      <w:pPr>
        <w:spacing w:after="360" w:line="360" w:lineRule="auto"/>
        <w:ind w:right="-159"/>
        <w:jc w:val="both"/>
        <w:rPr>
          <w:rFonts w:eastAsia="Calibri"/>
          <w:sz w:val="26"/>
          <w:szCs w:val="26"/>
          <w:lang w:eastAsia="en-US"/>
        </w:rPr>
      </w:pPr>
    </w:p>
    <w:p w14:paraId="574677D4" w14:textId="77777777" w:rsidR="00D82731" w:rsidRPr="00D82731" w:rsidRDefault="00D82731" w:rsidP="00D82731">
      <w:pPr>
        <w:spacing w:after="360" w:line="360" w:lineRule="auto"/>
        <w:ind w:right="-159"/>
        <w:jc w:val="both"/>
        <w:rPr>
          <w:rFonts w:eastAsia="Calibri"/>
          <w:sz w:val="26"/>
          <w:szCs w:val="26"/>
          <w:lang w:eastAsia="en-US"/>
        </w:rPr>
      </w:pPr>
      <w:r w:rsidRPr="00D82731">
        <w:rPr>
          <w:rFonts w:eastAsia="Calibri"/>
          <w:sz w:val="26"/>
          <w:szCs w:val="26"/>
          <w:lang w:eastAsia="en-US"/>
        </w:rPr>
        <w:lastRenderedPageBreak/>
        <w:t>La Producción Minera por Entidad Federativa (referida únicamente a las actividades de extracción y beneficio de minerales metálicos y no metálicos) mostró los siguientes resultados en el mes en cuestión, de los principales metales y minerales.</w:t>
      </w:r>
    </w:p>
    <w:p w14:paraId="456FDE47" w14:textId="77777777" w:rsidR="00D82731" w:rsidRPr="00D82731" w:rsidRDefault="00D82731" w:rsidP="00D82731">
      <w:pPr>
        <w:jc w:val="both"/>
        <w:rPr>
          <w:rFonts w:eastAsia="Calibri"/>
          <w:b/>
          <w:sz w:val="20"/>
          <w:szCs w:val="20"/>
          <w:lang w:eastAsia="en-US"/>
        </w:rPr>
      </w:pPr>
      <w:r w:rsidRPr="00D82731">
        <w:rPr>
          <w:rFonts w:eastAsia="Calibri"/>
          <w:b/>
          <w:sz w:val="20"/>
          <w:szCs w:val="20"/>
          <w:lang w:eastAsia="en-US"/>
        </w:rPr>
        <w:t>Fuente de información:</w:t>
      </w:r>
    </w:p>
    <w:p w14:paraId="6FAF1099" w14:textId="77777777" w:rsidR="00D82731" w:rsidRPr="00372137" w:rsidRDefault="0045651A" w:rsidP="00372137">
      <w:pPr>
        <w:spacing w:after="720"/>
        <w:jc w:val="both"/>
        <w:rPr>
          <w:rFonts w:eastAsia="Calibri"/>
          <w:color w:val="0000FF"/>
          <w:sz w:val="20"/>
          <w:szCs w:val="20"/>
          <w:lang w:eastAsia="en-US"/>
        </w:rPr>
      </w:pPr>
      <w:hyperlink r:id="rId56" w:history="1">
        <w:r w:rsidR="00D82731" w:rsidRPr="00372137">
          <w:rPr>
            <w:rFonts w:eastAsia="Calibri"/>
            <w:color w:val="0000FF"/>
            <w:sz w:val="20"/>
            <w:szCs w:val="20"/>
            <w:u w:val="single"/>
            <w:lang w:eastAsia="en-US"/>
          </w:rPr>
          <w:t>http://www.inegi.org.mx/saladeprensa/notasinformativas/2015/ind_miner/ind_miner2015_03.pdf</w:t>
        </w:r>
      </w:hyperlink>
    </w:p>
    <w:p w14:paraId="13AD324E" w14:textId="5F83BD33" w:rsidR="0069103C" w:rsidRDefault="0069103C" w:rsidP="004D0324">
      <w:pPr>
        <w:spacing w:after="360" w:line="360" w:lineRule="auto"/>
        <w:ind w:right="-159"/>
        <w:jc w:val="both"/>
        <w:rPr>
          <w:rFonts w:eastAsia="Calibri"/>
          <w:b/>
          <w:sz w:val="28"/>
          <w:szCs w:val="28"/>
          <w:lang w:eastAsia="en-US"/>
        </w:rPr>
      </w:pPr>
      <w:r w:rsidRPr="000E3A45">
        <w:rPr>
          <w:rFonts w:eastAsia="Calibri"/>
          <w:b/>
          <w:sz w:val="28"/>
          <w:szCs w:val="28"/>
          <w:lang w:eastAsia="en-US"/>
        </w:rPr>
        <w:t>I</w:t>
      </w:r>
      <w:r w:rsidR="00372137">
        <w:rPr>
          <w:rFonts w:eastAsia="Calibri"/>
          <w:b/>
          <w:sz w:val="28"/>
          <w:szCs w:val="28"/>
          <w:lang w:eastAsia="en-US"/>
        </w:rPr>
        <w:t>nversión Pública y Privada en Infraestructura</w:t>
      </w:r>
    </w:p>
    <w:p w14:paraId="2D3B1A93" w14:textId="77777777" w:rsidR="00A55790" w:rsidRPr="00A55790" w:rsidRDefault="00A55790" w:rsidP="00A55790">
      <w:pPr>
        <w:rPr>
          <w:rFonts w:eastAsia="Calibri"/>
          <w:b/>
          <w:sz w:val="26"/>
          <w:szCs w:val="26"/>
          <w:lang w:eastAsia="en-US"/>
        </w:rPr>
      </w:pPr>
      <w:r w:rsidRPr="00A55790">
        <w:rPr>
          <w:rFonts w:eastAsia="Calibri"/>
          <w:b/>
          <w:sz w:val="26"/>
          <w:szCs w:val="26"/>
          <w:lang w:eastAsia="en-US"/>
        </w:rPr>
        <w:t>En México hay seguridad jurídica, certidumbre y confianza</w:t>
      </w:r>
    </w:p>
    <w:p w14:paraId="4F774381" w14:textId="77777777" w:rsidR="00A55790" w:rsidRPr="00A55790" w:rsidRDefault="00A55790" w:rsidP="00A55790">
      <w:pPr>
        <w:rPr>
          <w:rFonts w:eastAsia="Calibri"/>
          <w:b/>
          <w:sz w:val="26"/>
          <w:szCs w:val="26"/>
          <w:lang w:eastAsia="en-US"/>
        </w:rPr>
      </w:pPr>
      <w:r w:rsidRPr="00A55790">
        <w:rPr>
          <w:rFonts w:eastAsia="Calibri"/>
          <w:b/>
          <w:sz w:val="26"/>
          <w:szCs w:val="26"/>
          <w:lang w:eastAsia="en-US"/>
        </w:rPr>
        <w:t>en el rumbo del país, condiciones que favorecen la inversión</w:t>
      </w:r>
    </w:p>
    <w:p w14:paraId="2D659E5B" w14:textId="77777777" w:rsidR="00A55790" w:rsidRPr="00A55790" w:rsidRDefault="00A55790" w:rsidP="00A55790">
      <w:pPr>
        <w:spacing w:after="360" w:line="360" w:lineRule="auto"/>
        <w:ind w:right="-159"/>
        <w:jc w:val="both"/>
        <w:rPr>
          <w:rFonts w:eastAsia="Calibri"/>
          <w:b/>
          <w:sz w:val="26"/>
          <w:szCs w:val="26"/>
          <w:lang w:eastAsia="en-US"/>
        </w:rPr>
      </w:pPr>
      <w:r w:rsidRPr="00A55790">
        <w:rPr>
          <w:rFonts w:eastAsia="Calibri"/>
          <w:b/>
          <w:sz w:val="26"/>
          <w:szCs w:val="26"/>
          <w:lang w:eastAsia="en-US"/>
        </w:rPr>
        <w:t>(Presidencia de la República)</w:t>
      </w:r>
    </w:p>
    <w:p w14:paraId="2E78D184" w14:textId="454247A8"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El 15 de abril de 2015, la Presidencia de la República dio a conocer al entregar el </w:t>
      </w:r>
      <w:r w:rsidR="00AC0105">
        <w:rPr>
          <w:rFonts w:eastAsia="Calibri"/>
          <w:sz w:val="26"/>
          <w:szCs w:val="26"/>
          <w:lang w:eastAsia="en-US"/>
        </w:rPr>
        <w:t xml:space="preserve">Primer Mandatario el </w:t>
      </w:r>
      <w:r w:rsidRPr="00A55790">
        <w:rPr>
          <w:rFonts w:eastAsia="Calibri"/>
          <w:sz w:val="26"/>
          <w:szCs w:val="26"/>
          <w:lang w:eastAsia="en-US"/>
        </w:rPr>
        <w:t>Libramiento Oriente de Chihuahua</w:t>
      </w:r>
      <w:r w:rsidR="00AC0105">
        <w:rPr>
          <w:rFonts w:eastAsia="Calibri"/>
          <w:sz w:val="26"/>
          <w:szCs w:val="26"/>
          <w:lang w:eastAsia="en-US"/>
        </w:rPr>
        <w:t>,</w:t>
      </w:r>
      <w:r w:rsidRPr="00A55790">
        <w:rPr>
          <w:rFonts w:eastAsia="Calibri"/>
          <w:sz w:val="26"/>
          <w:szCs w:val="26"/>
          <w:lang w:eastAsia="en-US"/>
        </w:rPr>
        <w:t xml:space="preserve"> que “para que lleguen las inversiones, además de tener un marco legal de mayor certidumbre y de mayor legalidad, también es importante tener infraestructura desarrollada que haga más productivas a las empresas que aquí se asienten”. A continuación se presentan los detalles.</w:t>
      </w:r>
    </w:p>
    <w:p w14:paraId="6C0A813A"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Presidente de la República afirmó que las empresas globales vienen a invertir a México, no “por casualidad ni porque tengamos buena suerte”, sino porque “hay condiciones que favorecen a la inversión, porque hay seguridad jurídica, certidumbre, confianza en el rumbo que lleva el país”.</w:t>
      </w:r>
    </w:p>
    <w:p w14:paraId="6A0C8AD3"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“Las fortalezas, las ventajas comparativas que México ofrece a cualquier inversionista ante las opciones que pueden tener con otros países hacen que nuestro país se vuelva muy atractivo, gracias a lo que hemos venido logrando entre todos, en su conjunto, entre sociedad y Gobierno”, subrayó.</w:t>
      </w:r>
    </w:p>
    <w:p w14:paraId="7E36AB1F" w14:textId="74D39D03"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lastRenderedPageBreak/>
        <w:t xml:space="preserve">Al entregar el Libramiento Oriente de Chihuahua, una obra de más de 42 kilómetros y que requirió una inversión de más de </w:t>
      </w:r>
      <w:r w:rsidR="00432922">
        <w:rPr>
          <w:rFonts w:eastAsia="Calibri"/>
          <w:sz w:val="26"/>
          <w:szCs w:val="26"/>
          <w:lang w:eastAsia="en-US"/>
        </w:rPr>
        <w:t xml:space="preserve">un </w:t>
      </w:r>
      <w:r w:rsidRPr="00A55790">
        <w:rPr>
          <w:rFonts w:eastAsia="Calibri"/>
          <w:sz w:val="26"/>
          <w:szCs w:val="26"/>
          <w:lang w:eastAsia="en-US"/>
        </w:rPr>
        <w:t>mil 600 millones de pesos, el Primer Mandatario precisó que “para que lleguen las inversiones, además de tener un marco legal de mayor certidumbre y de mayor legalidad, también es importante tener infraestructura desarrollada que haga más productivas a las empresas que aquí se asienten”.</w:t>
      </w:r>
    </w:p>
    <w:p w14:paraId="124FC8BD"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Agregó que para asegurar que vengan más inversiones a esta entidad fronteriza, en distintos sectores de la economía, “hay que generar las condiciones óptimas que hagan atractivo al estado de Chihuahua”.</w:t>
      </w:r>
    </w:p>
    <w:p w14:paraId="19D4B389"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Ante la Gobernadora de Nuevo México, quien asistió como invitada al evento, el Presidente de la República dijo que “la relación que estamos construyendo entre Estados Unidos de Norteamérica y México está significada por la cordialidad, por una buena relación de acercamiento y de trabajar en distintos frentes”.</w:t>
      </w:r>
    </w:p>
    <w:p w14:paraId="0FF83D14"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“De haber roto un paradigma, una relación monotemática centrada especialmente en el ámbito de la seguridad y en la cooperación para la seguridad de ambas naciones y nuestras fronteras, a una que depare a México y a Estados Unidos de Norteamérica una mayor competitividad y eleve la productividad de toda Norteamérica”, resaltó.</w:t>
      </w:r>
    </w:p>
    <w:p w14:paraId="414BE57B"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Indicó que la conectividad, como la que ahora permite el nuevo Libramiento de Oriente, hace posible también que “la comercialización de los productos se haga de manera más rápida, más segura, y que se reduzcan los costos”.</w:t>
      </w:r>
    </w:p>
    <w:p w14:paraId="17AF88E3"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Titular del Ejecutivo Federal refirió que las reformas estructurales que se han alcanzado en el país “habrán de depararle a los mexicanos mayor prosperidad y desarrollo económico, y sobre todo un horizonte mucho más confiable”.</w:t>
      </w:r>
    </w:p>
    <w:p w14:paraId="442320D7"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lastRenderedPageBreak/>
        <w:t>“Trabajamos para que los jóvenes encuentren un espacio digno donde desempeñarse y donde construir un futuro muy esperanzador. Lo estamos haciendo de distintas formas. Ahí están las reformas, que posibilitan que haya mayor desarrollo y productividad para el país”, dijo.</w:t>
      </w:r>
    </w:p>
    <w:p w14:paraId="12AFB0AC" w14:textId="77777777" w:rsidR="00A55790" w:rsidRPr="00A55790" w:rsidRDefault="00A55790" w:rsidP="00A55790">
      <w:pPr>
        <w:spacing w:after="360" w:line="360" w:lineRule="auto"/>
        <w:ind w:right="-159"/>
        <w:jc w:val="both"/>
        <w:rPr>
          <w:rFonts w:eastAsia="Calibri"/>
          <w:b/>
          <w:sz w:val="26"/>
          <w:szCs w:val="26"/>
          <w:lang w:eastAsia="en-US"/>
        </w:rPr>
      </w:pPr>
      <w:r w:rsidRPr="00A55790">
        <w:rPr>
          <w:rFonts w:eastAsia="Calibri"/>
          <w:b/>
          <w:sz w:val="26"/>
          <w:szCs w:val="26"/>
          <w:lang w:eastAsia="en-US"/>
        </w:rPr>
        <w:t>Diversas intervenciones:</w:t>
      </w:r>
    </w:p>
    <w:p w14:paraId="791984C8" w14:textId="77777777" w:rsidR="00A55790" w:rsidRPr="00A55790" w:rsidRDefault="00A55790" w:rsidP="003518F4">
      <w:pPr>
        <w:numPr>
          <w:ilvl w:val="0"/>
          <w:numId w:val="131"/>
        </w:numPr>
        <w:spacing w:after="360" w:line="360" w:lineRule="auto"/>
        <w:ind w:left="357" w:right="-159" w:hanging="357"/>
        <w:jc w:val="both"/>
        <w:rPr>
          <w:rFonts w:eastAsia="Calibri"/>
          <w:b/>
          <w:sz w:val="26"/>
          <w:szCs w:val="26"/>
          <w:lang w:eastAsia="en-US"/>
        </w:rPr>
      </w:pPr>
      <w:r w:rsidRPr="00A55790">
        <w:rPr>
          <w:rFonts w:eastAsia="Calibri"/>
          <w:b/>
          <w:sz w:val="26"/>
          <w:szCs w:val="26"/>
          <w:lang w:eastAsia="en-US"/>
        </w:rPr>
        <w:t>Esta obra se traduce en la entrega rápida y oportuna de bienes y productos</w:t>
      </w:r>
    </w:p>
    <w:p w14:paraId="6307E5BD"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Secretario de Comunicaciones y Transportes</w:t>
      </w:r>
      <w:r w:rsidRPr="00A55790">
        <w:rPr>
          <w:rFonts w:eastAsia="Calibri"/>
          <w:sz w:val="26"/>
          <w:szCs w:val="26"/>
          <w:vertAlign w:val="superscript"/>
          <w:lang w:eastAsia="en-US"/>
        </w:rPr>
        <w:footnoteReference w:id="5"/>
      </w:r>
      <w:r w:rsidRPr="00A55790">
        <w:rPr>
          <w:rFonts w:eastAsia="Calibri"/>
          <w:sz w:val="26"/>
          <w:szCs w:val="26"/>
          <w:lang w:eastAsia="en-US"/>
        </w:rPr>
        <w:t xml:space="preserve"> señaló que el Libramiento Oriente es una obra de gran impacto regional y nacional que fortalece el sistema carretero de altas especificaciones de la zona norte de la República, al dar continuidad al eje troncal México-Querétaro-Ciudad Juárez, uno de los más importantes del país.</w:t>
      </w:r>
    </w:p>
    <w:p w14:paraId="410571E1"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La obra, que requirió una inversión de 1 mil 600 millones de pesos y generó más de 500 empleos directos y más de 1 mil 300 indirectos, agiliza los flujos comerciales internacionales provenientes del centro del país hacia la frontera, y de ésta hacia el centro de la República, que se traduce en la entrega rápida y oportuna de bienes y productos, refirió.</w:t>
      </w:r>
    </w:p>
    <w:p w14:paraId="08EEA600"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Libramiento está construido a base de concreto hidráulico a efecto de lograr una mayor resistencia y durabilidad. Cuenta con dos carriles de circulación, amplios acotamientos de 2.5 metros cada uno; tiene 13 pasos inferiores vehiculares, cinco puentes vehiculares superiores, cuatro entronques y un paso ferroviario para un tránsito promedio de más de tres 1 mil 400 vehículos diarios, detalló.</w:t>
      </w:r>
    </w:p>
    <w:p w14:paraId="4662F8A2"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lastRenderedPageBreak/>
        <w:t>El funcionario de la SCT añadió que con ésta suman 14 las autopistas que se han construido y puesto en operación en la Administración del Presidente Peña Nieto, con una longitud de 934 kilómetros y una inversión de más de 56 mil millones de pesos.</w:t>
      </w:r>
    </w:p>
    <w:p w14:paraId="5DE94640" w14:textId="77777777" w:rsidR="00A55790" w:rsidRPr="00A55790" w:rsidRDefault="00A55790" w:rsidP="003518F4">
      <w:pPr>
        <w:numPr>
          <w:ilvl w:val="0"/>
          <w:numId w:val="131"/>
        </w:numPr>
        <w:spacing w:after="360"/>
        <w:ind w:left="357" w:right="-159" w:hanging="357"/>
        <w:jc w:val="both"/>
        <w:rPr>
          <w:rFonts w:eastAsia="Calibri"/>
          <w:b/>
          <w:sz w:val="26"/>
          <w:szCs w:val="26"/>
          <w:lang w:eastAsia="en-US"/>
        </w:rPr>
      </w:pPr>
      <w:r w:rsidRPr="00A55790">
        <w:rPr>
          <w:rFonts w:eastAsia="Calibri"/>
          <w:b/>
          <w:sz w:val="26"/>
          <w:szCs w:val="26"/>
          <w:lang w:eastAsia="en-US"/>
        </w:rPr>
        <w:t>El libramiento potencia la capacidad logística de Chihuahua y su desarrollo fronterizo</w:t>
      </w:r>
    </w:p>
    <w:p w14:paraId="5938F890"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Gobernador del estado de Chihuahua expresó que la obra inaugurada era un anhelo muy antiguo de esta capital y de todo Chihuahua. Permitirá a la ciudad desarrollar servicios y comercio, y brindará un ahorro de entre una hora y media a dos horas en el transporte que llega de toda la República hacia esta frontera.</w:t>
      </w:r>
    </w:p>
    <w:p w14:paraId="79A49B0E" w14:textId="65C4622E"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Subrayó que la obra incrementará el desarrollo de la ciudad y potenciará sus capacidades logísticas por su ubicación geográfica. Indicó que luego de estar detenido cerca de ocho años, el libramiento significa para la capital del estado alivianar el tráfico local, y particularmente avenidas por las que cruzan entre </w:t>
      </w:r>
      <w:r w:rsidR="00432922">
        <w:rPr>
          <w:rFonts w:eastAsia="Calibri"/>
          <w:sz w:val="26"/>
          <w:szCs w:val="26"/>
          <w:lang w:eastAsia="en-US"/>
        </w:rPr>
        <w:t>3</w:t>
      </w:r>
      <w:r w:rsidRPr="00A55790">
        <w:rPr>
          <w:rFonts w:eastAsia="Calibri"/>
          <w:sz w:val="26"/>
          <w:szCs w:val="26"/>
          <w:lang w:eastAsia="en-US"/>
        </w:rPr>
        <w:t xml:space="preserve"> mil 500 y </w:t>
      </w:r>
      <w:r w:rsidR="00432922">
        <w:rPr>
          <w:rFonts w:eastAsia="Calibri"/>
          <w:sz w:val="26"/>
          <w:szCs w:val="26"/>
          <w:lang w:eastAsia="en-US"/>
        </w:rPr>
        <w:t>4</w:t>
      </w:r>
      <w:r w:rsidRPr="00A55790">
        <w:rPr>
          <w:rFonts w:eastAsia="Calibri"/>
          <w:sz w:val="26"/>
          <w:szCs w:val="26"/>
          <w:lang w:eastAsia="en-US"/>
        </w:rPr>
        <w:t xml:space="preserve"> mil camiones diarios.</w:t>
      </w:r>
    </w:p>
    <w:p w14:paraId="3ADD53C2"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Adelantó que con el puente fronterizo Guadalupe Tornillo, que pronto se inaugurará, se incrementará el tránsito de más de cien camiones por hora en las aduanas; “esa es la gran fortaleza para que Chihuahua siga creciendo”, afirmó.</w:t>
      </w:r>
    </w:p>
    <w:p w14:paraId="57E31410" w14:textId="77777777" w:rsidR="00A55790" w:rsidRPr="00A55790" w:rsidRDefault="00A55790" w:rsidP="003518F4">
      <w:pPr>
        <w:numPr>
          <w:ilvl w:val="0"/>
          <w:numId w:val="131"/>
        </w:numPr>
        <w:spacing w:after="360"/>
        <w:ind w:left="357" w:right="-159" w:hanging="357"/>
        <w:jc w:val="both"/>
        <w:rPr>
          <w:rFonts w:eastAsia="Calibri"/>
          <w:b/>
          <w:sz w:val="26"/>
          <w:szCs w:val="26"/>
          <w:lang w:eastAsia="en-US"/>
        </w:rPr>
      </w:pPr>
      <w:r w:rsidRPr="00A55790">
        <w:rPr>
          <w:rFonts w:eastAsia="Calibri"/>
          <w:b/>
          <w:sz w:val="26"/>
          <w:szCs w:val="26"/>
          <w:lang w:eastAsia="en-US"/>
        </w:rPr>
        <w:t>Más infraestructura, igual a más servicios, riqueza y bienestar; ecuación certera para la productividad</w:t>
      </w:r>
    </w:p>
    <w:p w14:paraId="3D859ACE"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La ecuación más certera para la productividad en México se constata con más infraestructura, más servicio, más riqueza; lo que es igual a mayor bienestar para los mexicanos, aseveró Manuel Sotelo Suárez, empresario transportista beneficiado con el nuevo Libramiento Oriente de Chihuahua.</w:t>
      </w:r>
    </w:p>
    <w:p w14:paraId="4990A761"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Aseguró que en lo que va de la presente Administración federal, muchos mexicanos como él se han convencido de que “ser fuertes como país implica estar unidos y trabajar </w:t>
      </w:r>
      <w:r w:rsidRPr="00A55790">
        <w:rPr>
          <w:rFonts w:eastAsia="Calibri"/>
          <w:sz w:val="26"/>
          <w:szCs w:val="26"/>
          <w:lang w:eastAsia="en-US"/>
        </w:rPr>
        <w:lastRenderedPageBreak/>
        <w:t>en proyectos conjuntos que consoliden el desarrollo y crecimiento de las regiones. Este libramiento es un ejemplo de ello”. De igual forma, agradeció al Gobierno de la República por el Programa de Modernización de Aduanas, lo cual ha aumentado la capacidad y productividad del país.</w:t>
      </w:r>
    </w:p>
    <w:p w14:paraId="4D720636" w14:textId="77777777" w:rsidR="00A55790" w:rsidRPr="00A55790" w:rsidRDefault="00A55790" w:rsidP="00A55790">
      <w:pPr>
        <w:ind w:right="-159"/>
        <w:jc w:val="both"/>
        <w:rPr>
          <w:rFonts w:eastAsia="Calibri"/>
          <w:sz w:val="20"/>
          <w:szCs w:val="20"/>
          <w:lang w:eastAsia="en-US"/>
        </w:rPr>
      </w:pPr>
      <w:r w:rsidRPr="00A55790">
        <w:rPr>
          <w:rFonts w:eastAsia="Calibri"/>
          <w:b/>
          <w:sz w:val="20"/>
          <w:szCs w:val="20"/>
          <w:lang w:eastAsia="en-US"/>
        </w:rPr>
        <w:t>Fuente de información</w:t>
      </w:r>
      <w:r w:rsidRPr="00A55790">
        <w:rPr>
          <w:rFonts w:eastAsia="Calibri"/>
          <w:sz w:val="20"/>
          <w:szCs w:val="20"/>
          <w:lang w:eastAsia="en-US"/>
        </w:rPr>
        <w:t>:</w:t>
      </w:r>
    </w:p>
    <w:p w14:paraId="2A651485" w14:textId="77777777" w:rsidR="00A55790" w:rsidRPr="00372137" w:rsidRDefault="0045651A" w:rsidP="00372137">
      <w:pPr>
        <w:spacing w:after="720"/>
        <w:ind w:right="-159"/>
        <w:jc w:val="both"/>
        <w:rPr>
          <w:rFonts w:eastAsia="Calibri"/>
          <w:color w:val="0000FF"/>
          <w:sz w:val="20"/>
          <w:szCs w:val="20"/>
          <w:lang w:eastAsia="en-US"/>
        </w:rPr>
      </w:pPr>
      <w:hyperlink r:id="rId57" w:history="1">
        <w:r w:rsidR="00A55790" w:rsidRPr="00372137">
          <w:rPr>
            <w:rFonts w:eastAsia="Calibri"/>
            <w:color w:val="0000FF"/>
            <w:sz w:val="20"/>
            <w:szCs w:val="20"/>
            <w:u w:val="single"/>
            <w:lang w:eastAsia="en-US"/>
          </w:rPr>
          <w:t>http://www.presidencia.gob.mx/articulos-prensa/en-mexico-hay-seguridad-juridica-certidumbre-y-confianza-en-el-rumbo-que-lleva-el-pais-condiciones-que-favorecen-a-la-inversion-enrique-pena-nieto/</w:t>
        </w:r>
      </w:hyperlink>
    </w:p>
    <w:p w14:paraId="7578FE60" w14:textId="40462F4D" w:rsidR="008117B7" w:rsidRPr="008117B7" w:rsidRDefault="008117B7" w:rsidP="008117B7">
      <w:pPr>
        <w:rPr>
          <w:rFonts w:eastAsia="Calibri"/>
          <w:b/>
          <w:sz w:val="26"/>
          <w:szCs w:val="26"/>
          <w:lang w:eastAsia="en-US"/>
        </w:rPr>
      </w:pPr>
      <w:r w:rsidRPr="008117B7">
        <w:rPr>
          <w:rFonts w:eastAsia="Calibri"/>
          <w:b/>
          <w:sz w:val="26"/>
          <w:szCs w:val="26"/>
          <w:lang w:eastAsia="en-US"/>
        </w:rPr>
        <w:t xml:space="preserve">Entregan </w:t>
      </w:r>
      <w:r w:rsidR="00D97227">
        <w:rPr>
          <w:rFonts w:eastAsia="Calibri"/>
          <w:b/>
          <w:sz w:val="26"/>
          <w:szCs w:val="26"/>
          <w:lang w:eastAsia="en-US"/>
        </w:rPr>
        <w:t>L</w:t>
      </w:r>
      <w:r w:rsidRPr="008117B7">
        <w:rPr>
          <w:rFonts w:eastAsia="Calibri"/>
          <w:b/>
          <w:sz w:val="26"/>
          <w:szCs w:val="26"/>
          <w:lang w:eastAsia="en-US"/>
        </w:rPr>
        <w:t>ibramiento de Tlaxcala</w:t>
      </w:r>
    </w:p>
    <w:p w14:paraId="3DC397D8" w14:textId="77777777" w:rsidR="008117B7" w:rsidRPr="008117B7" w:rsidRDefault="008117B7" w:rsidP="008117B7">
      <w:pPr>
        <w:spacing w:after="360" w:line="360" w:lineRule="auto"/>
        <w:ind w:right="-159"/>
        <w:jc w:val="both"/>
        <w:rPr>
          <w:rFonts w:eastAsia="Calibri"/>
          <w:b/>
          <w:sz w:val="26"/>
          <w:szCs w:val="26"/>
          <w:lang w:eastAsia="en-US"/>
        </w:rPr>
      </w:pPr>
      <w:r w:rsidRPr="008117B7">
        <w:rPr>
          <w:rFonts w:eastAsia="Calibri"/>
          <w:b/>
          <w:sz w:val="26"/>
          <w:szCs w:val="26"/>
          <w:lang w:eastAsia="en-US"/>
        </w:rPr>
        <w:t>(Presidencia de la República)</w:t>
      </w:r>
    </w:p>
    <w:p w14:paraId="13A513C3" w14:textId="680F77AF"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 xml:space="preserve">El 26 de marzo de 2015, la Presidencia de la República informó que el Presidente de México inauguró el </w:t>
      </w:r>
      <w:r w:rsidR="00D97227">
        <w:rPr>
          <w:rFonts w:eastAsia="Calibri"/>
          <w:sz w:val="26"/>
          <w:szCs w:val="26"/>
          <w:lang w:eastAsia="en-US"/>
        </w:rPr>
        <w:t>L</w:t>
      </w:r>
      <w:r w:rsidRPr="008117B7">
        <w:rPr>
          <w:rFonts w:eastAsia="Calibri"/>
          <w:sz w:val="26"/>
          <w:szCs w:val="26"/>
          <w:lang w:eastAsia="en-US"/>
        </w:rPr>
        <w:t>ibramiento de Tlaxcala, una obra demandada por la población desde hace más de una década y que ahora contribuye a mejorar la conectividad de la entidad. A continuación se presenta la información.</w:t>
      </w:r>
    </w:p>
    <w:p w14:paraId="3EF3CE98"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El Presidente de la República mencionó que la conectividad de Tlaxcala y Puebla, y el corredor que va entre ambas entidades, “la hacen ser ya la cuarta zona metropolitana más importante del país, y por ello la necesidad de seguir invirtiendo y acrecentando la infraestructura en materia de comunicaciones en este estado”.</w:t>
      </w:r>
    </w:p>
    <w:p w14:paraId="2A49843F" w14:textId="77777777" w:rsid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Refirió que el Gobierno de la República suma esfuerzos con las autoridades estatales para acrecentar la infraestructura en el país. “Esto es una muy buena noticia para Tlaxcala, porque al final de cuentas, como lo hacemos por Tlaxcala, lo hacemos por todo México”, subrayó.</w:t>
      </w:r>
    </w:p>
    <w:p w14:paraId="3C200069" w14:textId="77777777" w:rsidR="009940FA" w:rsidRDefault="009940FA" w:rsidP="008117B7">
      <w:pPr>
        <w:spacing w:after="360" w:line="360" w:lineRule="auto"/>
        <w:ind w:right="-159"/>
        <w:jc w:val="both"/>
        <w:rPr>
          <w:rFonts w:eastAsia="Calibri"/>
          <w:sz w:val="26"/>
          <w:szCs w:val="26"/>
          <w:lang w:eastAsia="en-US"/>
        </w:rPr>
      </w:pPr>
    </w:p>
    <w:p w14:paraId="051835A6" w14:textId="77777777" w:rsidR="009940FA" w:rsidRDefault="009940FA" w:rsidP="008117B7">
      <w:pPr>
        <w:spacing w:after="360" w:line="360" w:lineRule="auto"/>
        <w:ind w:right="-159"/>
        <w:jc w:val="both"/>
        <w:rPr>
          <w:rFonts w:eastAsia="Calibri"/>
          <w:sz w:val="26"/>
          <w:szCs w:val="26"/>
          <w:lang w:eastAsia="en-US"/>
        </w:rPr>
      </w:pPr>
    </w:p>
    <w:p w14:paraId="6163355C" w14:textId="77777777" w:rsidR="008117B7" w:rsidRPr="008117B7" w:rsidRDefault="008117B7" w:rsidP="008117B7">
      <w:pPr>
        <w:spacing w:after="360" w:line="360" w:lineRule="auto"/>
        <w:ind w:right="-159"/>
        <w:jc w:val="both"/>
        <w:rPr>
          <w:rFonts w:eastAsia="Calibri"/>
          <w:b/>
          <w:sz w:val="26"/>
          <w:szCs w:val="26"/>
          <w:lang w:eastAsia="en-US"/>
        </w:rPr>
      </w:pPr>
      <w:r w:rsidRPr="008117B7">
        <w:rPr>
          <w:rFonts w:eastAsia="Calibri"/>
          <w:b/>
          <w:sz w:val="26"/>
          <w:szCs w:val="26"/>
          <w:lang w:eastAsia="en-US"/>
        </w:rPr>
        <w:lastRenderedPageBreak/>
        <w:t>Diversas intervenciones:</w:t>
      </w:r>
    </w:p>
    <w:p w14:paraId="3602E769" w14:textId="77777777" w:rsidR="008117B7" w:rsidRPr="008117B7" w:rsidRDefault="008117B7" w:rsidP="003B27DE">
      <w:pPr>
        <w:numPr>
          <w:ilvl w:val="0"/>
          <w:numId w:val="40"/>
        </w:numPr>
        <w:spacing w:after="360" w:line="360" w:lineRule="auto"/>
        <w:ind w:left="357" w:right="-159" w:hanging="357"/>
        <w:jc w:val="both"/>
        <w:rPr>
          <w:rFonts w:eastAsia="Calibri"/>
          <w:b/>
          <w:sz w:val="26"/>
          <w:szCs w:val="26"/>
          <w:lang w:eastAsia="en-US"/>
        </w:rPr>
      </w:pPr>
      <w:r w:rsidRPr="008117B7">
        <w:rPr>
          <w:rFonts w:eastAsia="Calibri"/>
          <w:b/>
          <w:sz w:val="26"/>
          <w:szCs w:val="26"/>
          <w:lang w:eastAsia="en-US"/>
        </w:rPr>
        <w:t>En Tlaxcala se invierte en infraestructura carretera sin precedente</w:t>
      </w:r>
    </w:p>
    <w:p w14:paraId="28746A95"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El Subsecretario de Infraestructura de la Secretaría de Comunicaciones y Transportes (SCT)</w:t>
      </w:r>
      <w:r w:rsidRPr="008117B7">
        <w:rPr>
          <w:rFonts w:eastAsia="Calibri"/>
          <w:sz w:val="26"/>
          <w:szCs w:val="26"/>
          <w:vertAlign w:val="superscript"/>
          <w:lang w:eastAsia="en-US"/>
        </w:rPr>
        <w:footnoteReference w:id="6"/>
      </w:r>
      <w:r w:rsidRPr="008117B7">
        <w:rPr>
          <w:rFonts w:eastAsia="Calibri"/>
          <w:sz w:val="26"/>
          <w:szCs w:val="26"/>
          <w:lang w:eastAsia="en-US"/>
        </w:rPr>
        <w:t xml:space="preserve"> aseveró que la inversión realizada en el estado de Tlaxcala, “representa una inversión en infraestructura carretera sin precedente”.</w:t>
      </w:r>
    </w:p>
    <w:p w14:paraId="15299BE4" w14:textId="65CB8093"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 xml:space="preserve">Indicó que el nuevo libramiento de Tlaxcala, “es una obra que consistió en construir un cuerpo nuevo de 12 kilómetros de extensión, lo cual permite alojar cuatro carriles de circulación, dos por sentido, y las estimaciones que tenemos es que va a atender más de </w:t>
      </w:r>
      <w:r w:rsidR="00D97227">
        <w:rPr>
          <w:rFonts w:eastAsia="Calibri"/>
          <w:sz w:val="26"/>
          <w:szCs w:val="26"/>
          <w:lang w:eastAsia="en-US"/>
        </w:rPr>
        <w:t>8</w:t>
      </w:r>
      <w:r w:rsidRPr="008117B7">
        <w:rPr>
          <w:rFonts w:eastAsia="Calibri"/>
          <w:sz w:val="26"/>
          <w:szCs w:val="26"/>
          <w:lang w:eastAsia="en-US"/>
        </w:rPr>
        <w:t xml:space="preserve"> mil 200 vehículos por día”.</w:t>
      </w:r>
    </w:p>
    <w:p w14:paraId="784E316C" w14:textId="6562A036"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Resaltó que esta obra “se realizó con una inversión de más de 967 millones de pesos a través de un puente, un viaducto de 220 metros de extensión, cinco entronques y seis pasos vehiculares”.</w:t>
      </w:r>
    </w:p>
    <w:p w14:paraId="6ACAF3E4"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“Estamos ciertos que esto va a contribuir a mejorar la convivencia del transporte carretero con las poblaciones de la zona metropolitana de la capital del estado, en beneficio de más de 250 mil habitantes de los municipios de Tlaxcala, Totolac, Panotla, Tlaltelulco y Santa Ana Chiautempan”, dijo.</w:t>
      </w:r>
    </w:p>
    <w:p w14:paraId="06FB752E"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Informó que adicionalmente la SCT moderniza la Carretera de Ciudad Industrial Xicoténcatl 1 a Huamantla, con una inversión de 750 millones de pesos, y por otro lado el tramo de Mena a Ciudad Industrial Xicoténcatl, con una inversión de 159 millones de pesos, así como obras de construcción y modernización en 13 caminos rurales que van a apoyar la productividad en el campo, con una inversión de 100 millones de pesos.</w:t>
      </w:r>
    </w:p>
    <w:p w14:paraId="77CB2938" w14:textId="77777777" w:rsidR="008117B7" w:rsidRPr="008117B7" w:rsidRDefault="008117B7" w:rsidP="003B27DE">
      <w:pPr>
        <w:numPr>
          <w:ilvl w:val="0"/>
          <w:numId w:val="40"/>
        </w:numPr>
        <w:spacing w:after="360" w:line="360" w:lineRule="auto"/>
        <w:ind w:left="357" w:right="-159" w:hanging="357"/>
        <w:jc w:val="both"/>
        <w:rPr>
          <w:rFonts w:eastAsia="Calibri"/>
          <w:b/>
          <w:sz w:val="26"/>
          <w:szCs w:val="26"/>
          <w:lang w:eastAsia="en-US"/>
        </w:rPr>
      </w:pPr>
      <w:r w:rsidRPr="008117B7">
        <w:rPr>
          <w:rFonts w:eastAsia="Calibri"/>
          <w:b/>
          <w:sz w:val="26"/>
          <w:szCs w:val="26"/>
          <w:lang w:eastAsia="en-US"/>
        </w:rPr>
        <w:lastRenderedPageBreak/>
        <w:t>Con el apoyo del Gobierno Federal Tlaxcala atrae más inversión</w:t>
      </w:r>
    </w:p>
    <w:p w14:paraId="47F93C6F"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El Gobernador de Tlaxcala destacó que el “estado recibe más inversión privada, nuevas empresas llegan a nuestro territorio, extranjeras y nacionales, atraídas por las condiciones favorables que con el apoyo del Gobierno Federal han generado en la entidad”.</w:t>
      </w:r>
    </w:p>
    <w:p w14:paraId="3F90482A"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Enfatizó que con las obras entregadas por el Presidente de México “se favorece el crecimiento intermunicipal, el movimiento económico y el flujo de las zonas conurbadas se vuelve más productivo”.</w:t>
      </w:r>
    </w:p>
    <w:p w14:paraId="1D2D44EF" w14:textId="77777777" w:rsidR="008117B7" w:rsidRPr="008117B7" w:rsidRDefault="008117B7" w:rsidP="008117B7">
      <w:pPr>
        <w:spacing w:after="360" w:line="360" w:lineRule="auto"/>
        <w:ind w:right="-159"/>
        <w:jc w:val="both"/>
        <w:rPr>
          <w:rFonts w:eastAsia="Calibri"/>
          <w:sz w:val="26"/>
          <w:szCs w:val="26"/>
          <w:lang w:eastAsia="en-US"/>
        </w:rPr>
      </w:pPr>
      <w:r w:rsidRPr="008117B7">
        <w:rPr>
          <w:rFonts w:eastAsia="Calibri"/>
          <w:sz w:val="26"/>
          <w:szCs w:val="26"/>
          <w:lang w:eastAsia="en-US"/>
        </w:rPr>
        <w:t>Añadió que Tlaxcala “avanza con obras y acciones de alto impacto que generan un auténtico impulso modernizador para el desarrollo de la región con la mejora y ampliación de la red carretera”.</w:t>
      </w:r>
    </w:p>
    <w:p w14:paraId="6CBA37D9" w14:textId="77777777" w:rsidR="008117B7" w:rsidRPr="008117B7" w:rsidRDefault="008117B7" w:rsidP="008117B7">
      <w:pPr>
        <w:ind w:right="-159"/>
        <w:jc w:val="both"/>
        <w:rPr>
          <w:rFonts w:eastAsia="Calibri"/>
          <w:sz w:val="20"/>
          <w:szCs w:val="20"/>
          <w:lang w:eastAsia="en-US"/>
        </w:rPr>
      </w:pPr>
      <w:r w:rsidRPr="008117B7">
        <w:rPr>
          <w:rFonts w:eastAsia="Calibri"/>
          <w:b/>
          <w:sz w:val="20"/>
          <w:szCs w:val="20"/>
          <w:lang w:eastAsia="en-US"/>
        </w:rPr>
        <w:t>Fuente de información</w:t>
      </w:r>
      <w:r w:rsidRPr="008117B7">
        <w:rPr>
          <w:rFonts w:eastAsia="Calibri"/>
          <w:sz w:val="20"/>
          <w:szCs w:val="20"/>
          <w:lang w:eastAsia="en-US"/>
        </w:rPr>
        <w:t>:</w:t>
      </w:r>
    </w:p>
    <w:p w14:paraId="3EFD746C" w14:textId="77777777" w:rsidR="008117B7" w:rsidRPr="00372137" w:rsidRDefault="0045651A" w:rsidP="00372137">
      <w:pPr>
        <w:spacing w:after="720"/>
        <w:ind w:right="-159"/>
        <w:jc w:val="both"/>
        <w:rPr>
          <w:rFonts w:eastAsia="Calibri"/>
          <w:color w:val="0000FF"/>
          <w:sz w:val="20"/>
          <w:szCs w:val="20"/>
          <w:lang w:eastAsia="en-US"/>
        </w:rPr>
      </w:pPr>
      <w:hyperlink r:id="rId58" w:history="1">
        <w:r w:rsidR="008117B7" w:rsidRPr="00372137">
          <w:rPr>
            <w:rFonts w:eastAsia="Calibri"/>
            <w:color w:val="0000FF"/>
            <w:sz w:val="20"/>
            <w:szCs w:val="20"/>
            <w:u w:val="single"/>
            <w:lang w:eastAsia="en-US"/>
          </w:rPr>
          <w:t>http://www.presidencia.gob.mx/articulos-prensa/entrego-el-presidente-enrique-pena-nieto-el-libramiento-de-tlaxcala/</w:t>
        </w:r>
      </w:hyperlink>
    </w:p>
    <w:p w14:paraId="3D30F18A" w14:textId="77777777" w:rsidR="00ED2EA1" w:rsidRPr="00ED2EA1" w:rsidRDefault="00ED2EA1" w:rsidP="00ED2EA1">
      <w:pPr>
        <w:spacing w:after="360" w:line="360" w:lineRule="auto"/>
        <w:ind w:right="-159"/>
        <w:rPr>
          <w:rFonts w:eastAsia="Calibri"/>
          <w:b/>
          <w:sz w:val="26"/>
          <w:szCs w:val="26"/>
          <w:lang w:eastAsia="en-US"/>
        </w:rPr>
      </w:pPr>
      <w:r w:rsidRPr="00ED2EA1">
        <w:rPr>
          <w:rFonts w:eastAsia="Calibri"/>
          <w:b/>
          <w:sz w:val="26"/>
          <w:szCs w:val="26"/>
          <w:lang w:eastAsia="en-US"/>
        </w:rPr>
        <w:t>10º Foro Capital Privado en México (SE)</w:t>
      </w:r>
    </w:p>
    <w:p w14:paraId="19AF1ECA"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t>El 26 de marzo de 2015, el Titular de la Secretaría de Economía (SE) participó en la mesa de discusión “México y su Perspectiva Global” en el 10º Foro Capital Privado en México.</w:t>
      </w:r>
    </w:p>
    <w:p w14:paraId="6E3CF52F"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t>El funcionario de Economía manifestó que las Reformas Estructurales consolidan un paquete fundamental de transformación que permite que la apertura hacia el exterior sea efectiva y los éxitos no se queden sólo en las grandes empresas, sino que permeen a las pequeñas y medianas, aumentando las cadenas de valor en el contexto internacional.</w:t>
      </w:r>
    </w:p>
    <w:p w14:paraId="3397090E"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lastRenderedPageBreak/>
        <w:t>Destacó que la competencia global obliga a tener acciones de política pública que permitan desregular los mercados internos y den la capacidad de poder hacer efectivas esas inversiones. Mencionó que México es una plataforma natural para el desarrollo de cadenas de valor. “Pero para que esa plataforma sea efectiva era necesario hacer una tarea que no hicimos hace 20 años: abrirnos no era suficiente, la tarea de fondo era hacer la economía mexicana más competitiva”.</w:t>
      </w:r>
    </w:p>
    <w:p w14:paraId="44433707"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t>Acompañado de Luis de la Calle, moderador en el evento, y del Presidente del Consejo Coordinador Empresarial, el Secretario de Economía expresó que se debe seguir fomentando el desarrollo de los recursos humanos, porque de no hacerlo se perderá competitividad en una de las áreas importantes del desarrollo de la industria y los servicios en México.</w:t>
      </w:r>
    </w:p>
    <w:p w14:paraId="61A2D252"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t>Al Foro, acaecido del 25 al 27 de marzo, asistieron empresarios, inversionistas y especialistas de capital privado.</w:t>
      </w:r>
    </w:p>
    <w:p w14:paraId="3E6B7845" w14:textId="77777777" w:rsidR="00ED2EA1" w:rsidRPr="00ED2EA1" w:rsidRDefault="00ED2EA1" w:rsidP="00ED2EA1">
      <w:pPr>
        <w:spacing w:after="360" w:line="360" w:lineRule="auto"/>
        <w:ind w:right="-159"/>
        <w:jc w:val="both"/>
        <w:rPr>
          <w:rFonts w:eastAsia="Calibri"/>
          <w:sz w:val="26"/>
          <w:szCs w:val="26"/>
          <w:lang w:eastAsia="en-US"/>
        </w:rPr>
      </w:pPr>
      <w:r w:rsidRPr="00ED2EA1">
        <w:rPr>
          <w:rFonts w:eastAsia="Calibri"/>
          <w:sz w:val="26"/>
          <w:szCs w:val="26"/>
          <w:lang w:eastAsia="en-US"/>
        </w:rPr>
        <w:t>El objetivo del evento es generar nuevas redes de negocios que fructifiquen en oportunidades de inversión para generar un mayor crecimiento y desarrollo económico en México.</w:t>
      </w:r>
    </w:p>
    <w:p w14:paraId="3BF1B8CC" w14:textId="77777777" w:rsidR="00ED2EA1" w:rsidRPr="00ED2EA1" w:rsidRDefault="00ED2EA1" w:rsidP="00ED2EA1">
      <w:pPr>
        <w:ind w:right="-159"/>
        <w:jc w:val="both"/>
        <w:rPr>
          <w:rFonts w:eastAsia="Calibri"/>
          <w:sz w:val="20"/>
          <w:szCs w:val="20"/>
          <w:lang w:eastAsia="en-US"/>
        </w:rPr>
      </w:pPr>
      <w:r w:rsidRPr="00ED2EA1">
        <w:rPr>
          <w:rFonts w:eastAsia="Calibri"/>
          <w:b/>
          <w:sz w:val="20"/>
          <w:szCs w:val="20"/>
          <w:lang w:eastAsia="en-US"/>
        </w:rPr>
        <w:t>Fuente de información</w:t>
      </w:r>
      <w:r w:rsidRPr="00ED2EA1">
        <w:rPr>
          <w:rFonts w:eastAsia="Calibri"/>
          <w:sz w:val="20"/>
          <w:szCs w:val="20"/>
          <w:lang w:eastAsia="en-US"/>
        </w:rPr>
        <w:t>:</w:t>
      </w:r>
    </w:p>
    <w:p w14:paraId="434B39C2" w14:textId="77777777" w:rsidR="00ED2EA1" w:rsidRPr="00372137" w:rsidRDefault="0045651A" w:rsidP="00372137">
      <w:pPr>
        <w:spacing w:after="720"/>
        <w:ind w:right="-159"/>
        <w:jc w:val="both"/>
        <w:rPr>
          <w:rFonts w:eastAsia="Calibri"/>
          <w:color w:val="0000FF"/>
          <w:sz w:val="20"/>
          <w:szCs w:val="20"/>
          <w:lang w:eastAsia="en-US"/>
        </w:rPr>
      </w:pPr>
      <w:hyperlink r:id="rId59" w:history="1">
        <w:r w:rsidR="00ED2EA1" w:rsidRPr="00372137">
          <w:rPr>
            <w:rFonts w:eastAsia="Calibri"/>
            <w:color w:val="0000FF"/>
            <w:sz w:val="20"/>
            <w:szCs w:val="20"/>
            <w:u w:val="single"/>
            <w:lang w:eastAsia="en-US"/>
          </w:rPr>
          <w:t>http://www.economia.gob.mx/eventos-noticias/sala-de-prensa/comunicados/10978-comunicado15-030</w:t>
        </w:r>
      </w:hyperlink>
    </w:p>
    <w:p w14:paraId="72E581CE" w14:textId="77777777" w:rsidR="00D14E2E" w:rsidRPr="00D14E2E" w:rsidRDefault="00D14E2E" w:rsidP="00D14E2E">
      <w:pPr>
        <w:ind w:right="-159"/>
        <w:jc w:val="both"/>
        <w:rPr>
          <w:rFonts w:eastAsia="Calibri"/>
          <w:b/>
          <w:i/>
          <w:sz w:val="26"/>
          <w:szCs w:val="26"/>
          <w:lang w:eastAsia="en-US"/>
        </w:rPr>
      </w:pPr>
      <w:r w:rsidRPr="00D14E2E">
        <w:rPr>
          <w:rFonts w:eastAsia="Calibri"/>
          <w:b/>
          <w:sz w:val="26"/>
          <w:szCs w:val="26"/>
          <w:lang w:eastAsia="en-US"/>
        </w:rPr>
        <w:t xml:space="preserve">Firman   Petróleos   Mexicanos   y   </w:t>
      </w:r>
      <w:r w:rsidRPr="00D14E2E">
        <w:rPr>
          <w:rFonts w:eastAsia="Calibri"/>
          <w:b/>
          <w:i/>
          <w:sz w:val="26"/>
          <w:szCs w:val="26"/>
          <w:lang w:eastAsia="en-US"/>
        </w:rPr>
        <w:t>First</w:t>
      </w:r>
    </w:p>
    <w:p w14:paraId="69B1B66B"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i/>
          <w:sz w:val="26"/>
          <w:szCs w:val="26"/>
          <w:lang w:eastAsia="en-US"/>
        </w:rPr>
        <w:t>Reserve</w:t>
      </w:r>
      <w:r w:rsidRPr="00D14E2E">
        <w:rPr>
          <w:rFonts w:eastAsia="Calibri"/>
          <w:b/>
          <w:sz w:val="26"/>
          <w:szCs w:val="26"/>
          <w:lang w:eastAsia="en-US"/>
        </w:rPr>
        <w:t xml:space="preserve"> acuerdo de cooperación (Pemex)</w:t>
      </w:r>
    </w:p>
    <w:p w14:paraId="61B00701" w14:textId="03C21F68" w:rsidR="00D14E2E" w:rsidRPr="00D14E2E" w:rsidRDefault="00D14E2E" w:rsidP="00D14E2E">
      <w:pPr>
        <w:spacing w:after="360" w:line="360" w:lineRule="auto"/>
        <w:ind w:right="-159"/>
        <w:jc w:val="both"/>
        <w:rPr>
          <w:rFonts w:eastAsia="Calibri"/>
          <w:sz w:val="26"/>
          <w:szCs w:val="26"/>
          <w:lang w:eastAsia="en-US"/>
        </w:rPr>
      </w:pPr>
      <w:r w:rsidRPr="00D14E2E">
        <w:rPr>
          <w:rFonts w:eastAsia="Calibri"/>
          <w:sz w:val="26"/>
          <w:szCs w:val="26"/>
          <w:lang w:eastAsia="en-US"/>
        </w:rPr>
        <w:t xml:space="preserve">El 7 de abril de 2015, Petróleos Mexicanos (Pemex) informó que el Director General de Pemex y el CEO del fondo de inversión </w:t>
      </w:r>
      <w:r w:rsidRPr="00D14E2E">
        <w:rPr>
          <w:rFonts w:eastAsia="Calibri"/>
          <w:i/>
          <w:sz w:val="26"/>
          <w:szCs w:val="26"/>
          <w:lang w:eastAsia="en-US"/>
        </w:rPr>
        <w:t>First Reserve</w:t>
      </w:r>
      <w:r w:rsidRPr="00D14E2E">
        <w:rPr>
          <w:rFonts w:eastAsia="Calibri"/>
          <w:sz w:val="26"/>
          <w:szCs w:val="26"/>
          <w:lang w:eastAsia="en-US"/>
        </w:rPr>
        <w:t xml:space="preserve"> firmaron un memor</w:t>
      </w:r>
      <w:r w:rsidR="00251E61">
        <w:rPr>
          <w:rFonts w:eastAsia="Calibri"/>
          <w:sz w:val="26"/>
          <w:szCs w:val="26"/>
          <w:lang w:eastAsia="en-US"/>
        </w:rPr>
        <w:t>á</w:t>
      </w:r>
      <w:r w:rsidRPr="00D14E2E">
        <w:rPr>
          <w:rFonts w:eastAsia="Calibri"/>
          <w:sz w:val="26"/>
          <w:szCs w:val="26"/>
          <w:lang w:eastAsia="en-US"/>
        </w:rPr>
        <w:t>ndum de entendimiento y cooperación para explorar nuevas oportunidades de trabajo conjunto en diversos proyectos de Pemex.</w:t>
      </w:r>
    </w:p>
    <w:p w14:paraId="39098CED" w14:textId="77777777" w:rsidR="00D14E2E" w:rsidRPr="00D14E2E" w:rsidRDefault="00D14E2E" w:rsidP="00D14E2E">
      <w:pPr>
        <w:spacing w:after="360" w:line="360" w:lineRule="auto"/>
        <w:ind w:right="-159"/>
        <w:jc w:val="both"/>
        <w:rPr>
          <w:rFonts w:eastAsia="Calibri"/>
          <w:sz w:val="26"/>
          <w:szCs w:val="26"/>
          <w:lang w:eastAsia="en-US"/>
        </w:rPr>
      </w:pPr>
      <w:r w:rsidRPr="00D14E2E">
        <w:rPr>
          <w:rFonts w:eastAsia="Calibri"/>
          <w:sz w:val="26"/>
          <w:szCs w:val="26"/>
          <w:lang w:eastAsia="en-US"/>
        </w:rPr>
        <w:lastRenderedPageBreak/>
        <w:t>Luego del anuncio sobre la inversión conjunta en el proyecto Los Ramones, ambas empresas han acordado trabajar en esquemas similares de inversión que permitan a Pemex contar con financiamiento e intercambiar experiencias técnicas y operacionales.</w:t>
      </w:r>
    </w:p>
    <w:p w14:paraId="3E703897" w14:textId="77777777" w:rsidR="00D14E2E" w:rsidRPr="00D14E2E" w:rsidRDefault="00D14E2E" w:rsidP="00D14E2E">
      <w:pPr>
        <w:spacing w:after="360" w:line="360" w:lineRule="auto"/>
        <w:ind w:right="-159"/>
        <w:jc w:val="both"/>
        <w:rPr>
          <w:rFonts w:eastAsia="Calibri"/>
          <w:sz w:val="26"/>
          <w:szCs w:val="26"/>
          <w:lang w:eastAsia="en-US"/>
        </w:rPr>
      </w:pPr>
      <w:r w:rsidRPr="00D14E2E">
        <w:rPr>
          <w:rFonts w:eastAsia="Calibri"/>
          <w:sz w:val="26"/>
          <w:szCs w:val="26"/>
          <w:lang w:eastAsia="en-US"/>
        </w:rPr>
        <w:t>En principio, el acuerdo contempla una inversión de hasta mil millones de dólares en proyectos potenciales relacionados con infraestructura, transporte marítimo, cogeneración y procesamiento, entre otros.</w:t>
      </w:r>
    </w:p>
    <w:p w14:paraId="7237C02F" w14:textId="77777777" w:rsidR="00D14E2E" w:rsidRPr="00D14E2E" w:rsidRDefault="00D14E2E" w:rsidP="00D14E2E">
      <w:pPr>
        <w:ind w:right="-159"/>
        <w:jc w:val="both"/>
        <w:rPr>
          <w:rFonts w:eastAsia="Calibri"/>
          <w:b/>
          <w:sz w:val="20"/>
          <w:szCs w:val="26"/>
          <w:lang w:eastAsia="en-US"/>
        </w:rPr>
      </w:pPr>
      <w:r w:rsidRPr="00D14E2E">
        <w:rPr>
          <w:rFonts w:eastAsia="Calibri"/>
          <w:b/>
          <w:sz w:val="20"/>
          <w:szCs w:val="26"/>
          <w:lang w:eastAsia="en-US"/>
        </w:rPr>
        <w:t>Fuente de información:</w:t>
      </w:r>
    </w:p>
    <w:p w14:paraId="5FD4C847" w14:textId="77777777" w:rsidR="00D14E2E" w:rsidRPr="00372137" w:rsidRDefault="0045651A" w:rsidP="00372137">
      <w:pPr>
        <w:spacing w:after="720"/>
        <w:ind w:right="-159"/>
        <w:jc w:val="both"/>
        <w:rPr>
          <w:rFonts w:eastAsia="Calibri"/>
          <w:color w:val="0000FF"/>
          <w:sz w:val="20"/>
          <w:szCs w:val="20"/>
          <w:lang w:eastAsia="en-US"/>
        </w:rPr>
      </w:pPr>
      <w:hyperlink r:id="rId60" w:history="1">
        <w:r w:rsidR="00D14E2E" w:rsidRPr="00372137">
          <w:rPr>
            <w:rFonts w:eastAsia="Calibri"/>
            <w:color w:val="0000FF"/>
            <w:sz w:val="20"/>
            <w:szCs w:val="20"/>
            <w:u w:val="single"/>
            <w:lang w:eastAsia="en-US"/>
          </w:rPr>
          <w:t>http://www.pemex.com/saladeprensa/boletines_nacionales/Paginas/2015-035-nacional.aspx</w:t>
        </w:r>
      </w:hyperlink>
      <w:r w:rsidR="00D14E2E" w:rsidRPr="00372137">
        <w:rPr>
          <w:rFonts w:eastAsia="Calibri"/>
          <w:color w:val="0000FF"/>
          <w:sz w:val="20"/>
          <w:szCs w:val="20"/>
          <w:lang w:eastAsia="en-US"/>
        </w:rPr>
        <w:t xml:space="preserve"> </w:t>
      </w:r>
    </w:p>
    <w:p w14:paraId="6BA3441C" w14:textId="77777777" w:rsidR="002E2A66" w:rsidRPr="002E2A66" w:rsidRDefault="002E2A66" w:rsidP="002E2A66">
      <w:pPr>
        <w:ind w:right="-159"/>
        <w:jc w:val="both"/>
        <w:rPr>
          <w:rFonts w:eastAsia="Calibri"/>
          <w:b/>
          <w:sz w:val="26"/>
          <w:szCs w:val="26"/>
          <w:lang w:eastAsia="en-US"/>
        </w:rPr>
      </w:pPr>
      <w:r w:rsidRPr="002E2A66">
        <w:rPr>
          <w:rFonts w:eastAsia="Calibri"/>
          <w:b/>
          <w:sz w:val="26"/>
          <w:szCs w:val="26"/>
          <w:lang w:eastAsia="en-US"/>
        </w:rPr>
        <w:t>Mejora el clima para las APP de inversión</w:t>
      </w:r>
    </w:p>
    <w:p w14:paraId="7178DC1B" w14:textId="77777777" w:rsidR="002E2A66" w:rsidRPr="002E2A66" w:rsidRDefault="002E2A66" w:rsidP="002E2A66">
      <w:pPr>
        <w:ind w:right="-159"/>
        <w:jc w:val="both"/>
        <w:rPr>
          <w:rFonts w:eastAsia="Calibri"/>
          <w:b/>
          <w:sz w:val="26"/>
          <w:szCs w:val="26"/>
          <w:lang w:eastAsia="en-US"/>
        </w:rPr>
      </w:pPr>
      <w:r w:rsidRPr="002E2A66">
        <w:rPr>
          <w:rFonts w:eastAsia="Calibri"/>
          <w:b/>
          <w:sz w:val="26"/>
          <w:szCs w:val="26"/>
          <w:lang w:eastAsia="en-US"/>
        </w:rPr>
        <w:t>en infraestructura en América Latina y el</w:t>
      </w:r>
    </w:p>
    <w:p w14:paraId="44A0F46A" w14:textId="77777777" w:rsidR="002E2A66" w:rsidRPr="002E2A66" w:rsidRDefault="002E2A66" w:rsidP="002E2A66">
      <w:pPr>
        <w:spacing w:after="360" w:line="360" w:lineRule="auto"/>
        <w:ind w:right="-159"/>
        <w:jc w:val="both"/>
        <w:rPr>
          <w:rFonts w:eastAsia="Calibri"/>
          <w:b/>
          <w:sz w:val="26"/>
          <w:szCs w:val="26"/>
          <w:lang w:eastAsia="en-US"/>
        </w:rPr>
      </w:pPr>
      <w:r w:rsidRPr="002E2A66">
        <w:rPr>
          <w:rFonts w:eastAsia="Calibri"/>
          <w:b/>
          <w:sz w:val="26"/>
          <w:szCs w:val="26"/>
          <w:lang w:eastAsia="en-US"/>
        </w:rPr>
        <w:t>Caribe (BID)</w:t>
      </w:r>
    </w:p>
    <w:p w14:paraId="6DCD630B"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El 14 de abril de 2015, el Banco de Interamericano de Desarrollo (BID) informó que mejora el clima para las APP de inversión en infraestructura en América Latina y el Caribe. A continuación se presenta la información.</w:t>
      </w:r>
    </w:p>
    <w:p w14:paraId="7B5D8358"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El clima para la inversión privada en infraestructura a través de Asociaciones      Público-Privadas (APP) ha mejorado en América Latina y el Caribe en los últimos años. Chile, Brasil, Perú, México y Colombia encabezan la lista de los países con un entorno más favorable para las APP en la región, según el informe Infrascopio 2014.</w:t>
      </w:r>
    </w:p>
    <w:p w14:paraId="4D84CBF7"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 xml:space="preserve">Infrascopio 2014: Evaluando el entorno para asociaciones público-privadas en América Latina y el Caribe fue producido por el </w:t>
      </w:r>
      <w:r w:rsidRPr="002E2A66">
        <w:rPr>
          <w:rFonts w:eastAsia="Calibri"/>
          <w:i/>
          <w:sz w:val="26"/>
          <w:szCs w:val="26"/>
          <w:lang w:eastAsia="en-US"/>
        </w:rPr>
        <w:t>Economist Intelligence Unit</w:t>
      </w:r>
      <w:r w:rsidRPr="002E2A66">
        <w:rPr>
          <w:rFonts w:eastAsia="Calibri"/>
          <w:sz w:val="26"/>
          <w:szCs w:val="26"/>
          <w:lang w:eastAsia="en-US"/>
        </w:rPr>
        <w:t>, por encargo del Fondo Multilateral de Inversiones (FOMIN), miembro del BID. Este informe bianual mide la capacidad de 19 países para movilizar inversión privada en infraestructura, a través de APP. Esta última versión del Infrascopio se lanzó hoy en la Conferencia PPP Américas organizada por el FOMIN.</w:t>
      </w:r>
    </w:p>
    <w:p w14:paraId="7A91AC73"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lastRenderedPageBreak/>
        <w:t>“Las asociaciones público-privadas contienen una promesa de prosperidad para la región, al permitir combinar la gestión privada y financiamiento de la infraestructura con la planificación de su desarrollo como bien público”, dijo el Gerente General interino del FOMIN. “Es saludable que el sector público y privado compartan riesgos y responsabilidades”.</w:t>
      </w:r>
    </w:p>
    <w:p w14:paraId="4191C34B"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América Latina y el Caribe aún enfrenta un déficit de inversión en infraestructura. Aunque para cubrirlo necesitaría destinar a esta área un 5% de su Producto Interno Bruto (PIB), la región solamente invirtió entre un 2 y un 3% del PIB en el desarrollo de infraestructura en el último decenio, según estimaciones del BID incluidas en el Infrascopio 2014.</w:t>
      </w:r>
    </w:p>
    <w:p w14:paraId="0FFDF67B"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El informe señala que el clima de la región para la inversión privada en infraestructura se ha fortalecido y que el entorno global para las APP ha mejorado desde 2012, cuando se lanzó la anterior versión del Infrascopio. Esto se debe a que muchos países han actualizado sus leyes de APP y concesiones, y a la creación de nuevas agencias gubernamentales, o unidades especializadas dentro de las instituciones gubernamentales existentes, que estructuran las APP.</w:t>
      </w:r>
    </w:p>
    <w:p w14:paraId="1CE5852F"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Jamaica, Paraguay y Ecuador mostraron las mayores mejoras, aumentando su clasificación desde 2012. Chile siguió liderando en los temas de predisposición y capacidad para APP, posicionándose entre los primeros lugares en casi todas las categorías. Quedó a la cabeza de la categoría de “clima de inversión”, mientras que Uruguay ocupa el segundo lugar. Brasil y México, por su parte, lideran la región en la actividad subnacional de APP (a nivel regional y local).</w:t>
      </w:r>
    </w:p>
    <w:p w14:paraId="2C330DE7" w14:textId="77777777"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 xml:space="preserve">Por otro lado, el Infrascopio 2014 señala que las facilidades financieras que apoyan las APP experimentaron la tasa más lenta de progreso, por lo que es difícil para las APP encontrar opciones de financiamiento. Como resultado, el informe señala que los mercados de capitales locales y las facilidades financieras para la inversión privada se </w:t>
      </w:r>
      <w:r w:rsidRPr="002E2A66">
        <w:rPr>
          <w:rFonts w:eastAsia="Calibri"/>
          <w:sz w:val="26"/>
          <w:szCs w:val="26"/>
          <w:lang w:eastAsia="en-US"/>
        </w:rPr>
        <w:lastRenderedPageBreak/>
        <w:t>deben desarrollar, y los gobiernos deben simplificar sus operaciones para ser más eficientes. Al mismo tiempo, deben mejorar las finanzas públicas y su supervisión de la gestión de las APP.</w:t>
      </w:r>
    </w:p>
    <w:p w14:paraId="3DA928BD" w14:textId="77777777" w:rsidR="002E2A66" w:rsidRPr="002E2A66" w:rsidRDefault="002E2A66" w:rsidP="002E2A66">
      <w:pPr>
        <w:spacing w:after="360" w:line="360" w:lineRule="auto"/>
        <w:ind w:right="-159"/>
        <w:jc w:val="both"/>
        <w:rPr>
          <w:rFonts w:eastAsia="Calibri"/>
          <w:b/>
          <w:sz w:val="26"/>
          <w:szCs w:val="26"/>
          <w:lang w:eastAsia="en-US"/>
        </w:rPr>
      </w:pPr>
      <w:r w:rsidRPr="002E2A66">
        <w:rPr>
          <w:rFonts w:eastAsia="Calibri"/>
          <w:b/>
          <w:sz w:val="26"/>
          <w:szCs w:val="26"/>
          <w:lang w:eastAsia="en-US"/>
        </w:rPr>
        <w:t>Acerca del FOMIN</w:t>
      </w:r>
    </w:p>
    <w:p w14:paraId="1D8CC1FD" w14:textId="1AC3C2BD" w:rsidR="002E2A66" w:rsidRPr="002E2A66" w:rsidRDefault="002E2A66" w:rsidP="002E2A66">
      <w:pPr>
        <w:spacing w:after="360" w:line="360" w:lineRule="auto"/>
        <w:ind w:right="-159"/>
        <w:jc w:val="both"/>
        <w:rPr>
          <w:rFonts w:eastAsia="Calibri"/>
          <w:sz w:val="26"/>
          <w:szCs w:val="26"/>
          <w:lang w:eastAsia="en-US"/>
        </w:rPr>
      </w:pPr>
      <w:r w:rsidRPr="002E2A66">
        <w:rPr>
          <w:rFonts w:eastAsia="Calibri"/>
          <w:sz w:val="26"/>
          <w:szCs w:val="26"/>
          <w:lang w:eastAsia="en-US"/>
        </w:rPr>
        <w:t>El Fondo Multilateral de Inversiones (FOMIN) del grupo BID apoya el desarrollo del sector privado, beneficiando la población de bajos recursos, sus negocios, establecimientos rurales y hogares. Tiene por objetivo proporcionar las herramientas para incrementar sus ingresos, asegurar el acceso a mercados y capacidades para competir en esos mercados, el acceso a financiamiento y a servicios básicos, incluyendo el uso de tecnologías verdes. La misión central del FOMIN es actuar como laboratorio, experimentando, siendo pionero y asumiendo riesgos para construir y sostener modelos de negocios éxitos.</w:t>
      </w:r>
    </w:p>
    <w:p w14:paraId="3BFACCE5" w14:textId="77777777" w:rsidR="002E2A66" w:rsidRPr="002E2A66" w:rsidRDefault="002E2A66" w:rsidP="002E2A66">
      <w:pPr>
        <w:ind w:right="-159"/>
        <w:jc w:val="both"/>
        <w:rPr>
          <w:rFonts w:eastAsia="Calibri"/>
          <w:b/>
          <w:sz w:val="20"/>
          <w:szCs w:val="26"/>
          <w:lang w:eastAsia="en-US"/>
        </w:rPr>
      </w:pPr>
      <w:r w:rsidRPr="002E2A66">
        <w:rPr>
          <w:rFonts w:eastAsia="Calibri"/>
          <w:b/>
          <w:sz w:val="20"/>
          <w:szCs w:val="26"/>
          <w:lang w:eastAsia="en-US"/>
        </w:rPr>
        <w:t>Fuente de información:</w:t>
      </w:r>
    </w:p>
    <w:p w14:paraId="1F9339B2" w14:textId="77777777" w:rsidR="002E2A66" w:rsidRPr="00372137" w:rsidRDefault="0045651A" w:rsidP="00372137">
      <w:pPr>
        <w:spacing w:after="720"/>
        <w:ind w:right="-159"/>
        <w:jc w:val="both"/>
        <w:rPr>
          <w:rFonts w:eastAsia="Calibri"/>
          <w:color w:val="0000FF"/>
          <w:sz w:val="20"/>
          <w:szCs w:val="20"/>
          <w:lang w:eastAsia="en-US"/>
        </w:rPr>
      </w:pPr>
      <w:hyperlink r:id="rId61" w:history="1">
        <w:r w:rsidR="002E2A66" w:rsidRPr="00372137">
          <w:rPr>
            <w:rFonts w:eastAsia="Calibri"/>
            <w:color w:val="0000FF"/>
            <w:sz w:val="20"/>
            <w:szCs w:val="20"/>
            <w:u w:val="single"/>
            <w:lang w:eastAsia="en-US"/>
          </w:rPr>
          <w:t>http://www.iadb.org/es/noticias/comunicados-de-prensa/2015-04-14/informe-infrascopio-2014-clima-para-app-ha-mejorado,11132.html</w:t>
        </w:r>
      </w:hyperlink>
      <w:r w:rsidR="002E2A66" w:rsidRPr="00372137">
        <w:rPr>
          <w:rFonts w:eastAsia="Calibri"/>
          <w:color w:val="0000FF"/>
          <w:sz w:val="20"/>
          <w:szCs w:val="20"/>
          <w:lang w:eastAsia="en-US"/>
        </w:rPr>
        <w:t xml:space="preserve"> </w:t>
      </w:r>
    </w:p>
    <w:p w14:paraId="41F04975" w14:textId="77777777" w:rsidR="00CE1681" w:rsidRPr="00CE1681" w:rsidRDefault="00CE1681" w:rsidP="00CE1681">
      <w:pPr>
        <w:spacing w:after="360" w:line="360" w:lineRule="auto"/>
        <w:ind w:right="-159"/>
        <w:jc w:val="both"/>
        <w:rPr>
          <w:rFonts w:eastAsia="Calibri"/>
          <w:b/>
          <w:sz w:val="26"/>
          <w:szCs w:val="26"/>
          <w:lang w:eastAsia="en-US"/>
        </w:rPr>
      </w:pPr>
      <w:r w:rsidRPr="00CE1681">
        <w:rPr>
          <w:rFonts w:eastAsia="Calibri"/>
          <w:b/>
          <w:sz w:val="26"/>
          <w:szCs w:val="26"/>
          <w:lang w:eastAsia="en-US"/>
        </w:rPr>
        <w:t xml:space="preserve">Los nueve estados preferidos para invertir en 2015 (Forbes México) </w:t>
      </w:r>
    </w:p>
    <w:p w14:paraId="3A3ED716" w14:textId="125CCB5C"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El 17 de abril de 2015, la edición online de la revista de negocios Forbes México in</w:t>
      </w:r>
      <w:r>
        <w:rPr>
          <w:rFonts w:eastAsia="Calibri"/>
          <w:sz w:val="26"/>
          <w:szCs w:val="26"/>
          <w:lang w:val="es-ES" w:eastAsia="en-US"/>
        </w:rPr>
        <w:t>formó</w:t>
      </w:r>
      <w:r w:rsidRPr="00CE1681">
        <w:rPr>
          <w:rFonts w:eastAsia="Calibri"/>
          <w:sz w:val="26"/>
          <w:szCs w:val="26"/>
          <w:lang w:val="es-ES" w:eastAsia="en-US"/>
        </w:rPr>
        <w:t xml:space="preserve"> que Querétaro, Nuevo León y Jalisco encabezan la lista de las nueve entidades del país donde las empresas planean expandirse durante los próximos tres años. La mayoría de los empresarios no detendrá sus planes, pese al difícil panorama económico y a los riesgos para la competitividad que tienen enfrente.</w:t>
      </w:r>
    </w:p>
    <w:p w14:paraId="17CE28B5"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La mayoría de las empresas mexicanas expandirá sus operaciones en varios estados del país durante los próximos tres años, pese a la incertidumbre económica y financiera actual y a los diversos riesgos que se erigen para la competitividad.</w:t>
      </w:r>
    </w:p>
    <w:p w14:paraId="5AFC66B1"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lastRenderedPageBreak/>
        <w:t>La volatilidad financiera no cede debido a la cada vez más cercana alza de tasas de la Reserva Federal de Estados Unidos de Norteamérica. Además, las reformas estructurales han provocado decepción entre los empresarios, quienes piensan que la actuación del gobierno como promotor de la competitividad ha sido mala o muy mala.</w:t>
      </w:r>
    </w:p>
    <w:p w14:paraId="1FFC8452"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Para 69% de los empresarios mexicanos, la actuación del gobierno ha tenido un impacto negativo en la competitividad de sus empresas, en especial debido a la disminución en el consumo interno (49%) y a que se han incrementado la extorsión y la inseguridad tras un cambio de prioridades del gobierno federal (25%), según datos del estudio Perspectivas de la Alta Dirección 2015, realizado por la consultoría de negocios KMPG México, adelantado a Forbes México.</w:t>
      </w:r>
    </w:p>
    <w:p w14:paraId="356D0678"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Las perspectivas de los 716 líderes empresariales entrevistados no son muy optimistas, pues apenas 51% espera que la economía del país mejore este año respecto a 2014, cuando el año pasado 58% veía de forma más positiva el futuro.</w:t>
      </w:r>
    </w:p>
    <w:p w14:paraId="329E0AC7"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Respecto a la posibilidad de caer en una nueva recesión este año, 40% de los directivos opina que sí existe, pero 60% dice que no.</w:t>
      </w:r>
    </w:p>
    <w:p w14:paraId="74103E52" w14:textId="77777777" w:rsidR="00CE1681" w:rsidRPr="00CE1681" w:rsidRDefault="00CE1681" w:rsidP="00CE1681">
      <w:pPr>
        <w:spacing w:after="360" w:line="360" w:lineRule="auto"/>
        <w:ind w:right="-159"/>
        <w:jc w:val="both"/>
        <w:rPr>
          <w:rFonts w:eastAsia="Calibri"/>
          <w:b/>
          <w:sz w:val="26"/>
          <w:szCs w:val="26"/>
          <w:lang w:val="es-ES" w:eastAsia="en-US"/>
        </w:rPr>
      </w:pPr>
      <w:r w:rsidRPr="00CE1681">
        <w:rPr>
          <w:rFonts w:eastAsia="Calibri"/>
          <w:b/>
          <w:sz w:val="26"/>
          <w:szCs w:val="26"/>
          <w:lang w:val="es-ES" w:eastAsia="en-US"/>
        </w:rPr>
        <w:t>Y sin embargo…</w:t>
      </w:r>
    </w:p>
    <w:p w14:paraId="2E33BB50"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Pese a este entorno adverso, 63% de las empresas planea expandir sus operaciones durante los próximos tres años, sobre todo en nueve entidades de la República Mexicana, encabezadas por Querétaro, Nuevo León y Jalisco, destaca el estudio dirigido por el socio líder de Industrias y Mercado de KPMG México, que se realiza por décimo año consecutivo.</w:t>
      </w:r>
    </w:p>
    <w:p w14:paraId="11A5B8B8"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Estas son las nueve entidades preferidas por las empresas para invertir durante los próximos tres años:</w:t>
      </w:r>
    </w:p>
    <w:tbl>
      <w:tblPr>
        <w:tblW w:w="0" w:type="auto"/>
        <w:jc w:val="center"/>
        <w:tblLayout w:type="fixed"/>
        <w:tblLook w:val="04A0" w:firstRow="1" w:lastRow="0" w:firstColumn="1" w:lastColumn="0" w:noHBand="0" w:noVBand="1"/>
      </w:tblPr>
      <w:tblGrid>
        <w:gridCol w:w="1696"/>
        <w:gridCol w:w="3021"/>
        <w:gridCol w:w="1520"/>
      </w:tblGrid>
      <w:tr w:rsidR="00CE1681" w:rsidRPr="00CE1681" w14:paraId="5DF46D6C" w14:textId="77777777" w:rsidTr="00CE1681">
        <w:trPr>
          <w:jc w:val="center"/>
        </w:trPr>
        <w:tc>
          <w:tcPr>
            <w:tcW w:w="6237" w:type="dxa"/>
            <w:gridSpan w:val="3"/>
            <w:tcBorders>
              <w:top w:val="nil"/>
              <w:left w:val="nil"/>
              <w:bottom w:val="single" w:sz="4" w:space="0" w:color="auto"/>
              <w:right w:val="nil"/>
            </w:tcBorders>
            <w:vAlign w:val="center"/>
          </w:tcPr>
          <w:p w14:paraId="1DAC175B" w14:textId="77777777" w:rsidR="00CE1681" w:rsidRPr="00CE1681" w:rsidRDefault="00CE1681" w:rsidP="00CE1681">
            <w:pPr>
              <w:jc w:val="center"/>
              <w:rPr>
                <w:rFonts w:eastAsia="Calibri"/>
                <w:b/>
                <w:sz w:val="22"/>
                <w:szCs w:val="22"/>
                <w:lang w:val="es-ES" w:eastAsia="en-US"/>
              </w:rPr>
            </w:pPr>
            <w:r w:rsidRPr="00CE1681">
              <w:rPr>
                <w:rFonts w:eastAsia="Calibri"/>
                <w:b/>
                <w:sz w:val="22"/>
                <w:szCs w:val="22"/>
                <w:lang w:val="es-ES" w:eastAsia="en-US"/>
              </w:rPr>
              <w:lastRenderedPageBreak/>
              <w:t>ENTIDADES PREFERIDAS POR LAS EMPRESAS</w:t>
            </w:r>
          </w:p>
          <w:p w14:paraId="6E08AD7C" w14:textId="77777777" w:rsidR="00CE1681" w:rsidRPr="00CE1681" w:rsidRDefault="00CE1681" w:rsidP="00CE1681">
            <w:pPr>
              <w:jc w:val="center"/>
              <w:rPr>
                <w:rFonts w:eastAsia="Calibri"/>
                <w:b/>
                <w:sz w:val="22"/>
                <w:szCs w:val="22"/>
                <w:lang w:val="es-ES" w:eastAsia="en-US"/>
              </w:rPr>
            </w:pPr>
            <w:r w:rsidRPr="00CE1681">
              <w:rPr>
                <w:rFonts w:eastAsia="Calibri"/>
                <w:b/>
                <w:sz w:val="22"/>
                <w:szCs w:val="22"/>
                <w:lang w:val="es-ES" w:eastAsia="en-US"/>
              </w:rPr>
              <w:t xml:space="preserve"> PARA INVERTIR</w:t>
            </w:r>
          </w:p>
        </w:tc>
      </w:tr>
      <w:tr w:rsidR="00CE1681" w:rsidRPr="00CE1681" w14:paraId="6CB82648" w14:textId="77777777" w:rsidTr="00CE1681">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0516C059" w14:textId="77777777" w:rsidR="00CE1681" w:rsidRPr="00CE1681" w:rsidRDefault="00CE1681" w:rsidP="00CE1681">
            <w:pPr>
              <w:jc w:val="center"/>
              <w:rPr>
                <w:rFonts w:eastAsia="Calibri"/>
                <w:b/>
                <w:sz w:val="18"/>
                <w:szCs w:val="18"/>
                <w:lang w:val="es-ES" w:eastAsia="en-US"/>
              </w:rPr>
            </w:pPr>
            <w:r w:rsidRPr="00CE1681">
              <w:rPr>
                <w:rFonts w:eastAsia="Calibri"/>
                <w:b/>
                <w:sz w:val="18"/>
                <w:szCs w:val="18"/>
                <w:lang w:val="es-ES" w:eastAsia="en-US"/>
              </w:rPr>
              <w:t>Lugar</w:t>
            </w:r>
          </w:p>
        </w:tc>
        <w:tc>
          <w:tcPr>
            <w:tcW w:w="3021" w:type="dxa"/>
            <w:tcBorders>
              <w:top w:val="single" w:sz="4" w:space="0" w:color="auto"/>
              <w:left w:val="single" w:sz="4" w:space="0" w:color="auto"/>
              <w:bottom w:val="single" w:sz="4" w:space="0" w:color="auto"/>
              <w:right w:val="single" w:sz="4" w:space="0" w:color="auto"/>
            </w:tcBorders>
            <w:vAlign w:val="center"/>
          </w:tcPr>
          <w:p w14:paraId="54DDD053" w14:textId="77777777" w:rsidR="00CE1681" w:rsidRPr="00CE1681" w:rsidRDefault="00CE1681" w:rsidP="00CE1681">
            <w:pPr>
              <w:jc w:val="center"/>
              <w:rPr>
                <w:rFonts w:eastAsia="Calibri"/>
                <w:b/>
                <w:sz w:val="18"/>
                <w:szCs w:val="18"/>
                <w:lang w:val="es-ES" w:eastAsia="en-US"/>
              </w:rPr>
            </w:pPr>
            <w:r w:rsidRPr="00CE1681">
              <w:rPr>
                <w:rFonts w:eastAsia="Calibri"/>
                <w:b/>
                <w:sz w:val="18"/>
                <w:szCs w:val="18"/>
                <w:lang w:val="es-ES" w:eastAsia="en-US"/>
              </w:rPr>
              <w:t>Entidad Federativa</w:t>
            </w:r>
          </w:p>
        </w:tc>
        <w:tc>
          <w:tcPr>
            <w:tcW w:w="1520" w:type="dxa"/>
            <w:tcBorders>
              <w:top w:val="single" w:sz="4" w:space="0" w:color="auto"/>
              <w:left w:val="single" w:sz="4" w:space="0" w:color="auto"/>
              <w:bottom w:val="single" w:sz="4" w:space="0" w:color="auto"/>
              <w:right w:val="single" w:sz="4" w:space="0" w:color="auto"/>
            </w:tcBorders>
            <w:vAlign w:val="center"/>
          </w:tcPr>
          <w:p w14:paraId="5C8DF09E" w14:textId="77777777" w:rsidR="00CE1681" w:rsidRPr="00CE1681" w:rsidRDefault="00CE1681" w:rsidP="00CE1681">
            <w:pPr>
              <w:jc w:val="center"/>
              <w:rPr>
                <w:rFonts w:eastAsia="Calibri"/>
                <w:b/>
                <w:sz w:val="18"/>
                <w:szCs w:val="18"/>
                <w:lang w:val="es-ES" w:eastAsia="en-US"/>
              </w:rPr>
            </w:pPr>
            <w:r w:rsidRPr="00CE1681">
              <w:rPr>
                <w:rFonts w:eastAsia="Calibri"/>
                <w:b/>
                <w:sz w:val="18"/>
                <w:szCs w:val="18"/>
                <w:lang w:val="es-ES" w:eastAsia="en-US"/>
              </w:rPr>
              <w:t>Preferencia</w:t>
            </w:r>
          </w:p>
          <w:p w14:paraId="4C54CFE3" w14:textId="77777777" w:rsidR="00CE1681" w:rsidRPr="00CE1681" w:rsidRDefault="00CE1681" w:rsidP="00CE1681">
            <w:pPr>
              <w:jc w:val="center"/>
              <w:rPr>
                <w:rFonts w:eastAsia="Calibri"/>
                <w:b/>
                <w:sz w:val="18"/>
                <w:szCs w:val="18"/>
                <w:lang w:val="es-ES" w:eastAsia="en-US"/>
              </w:rPr>
            </w:pPr>
            <w:r w:rsidRPr="00CE1681">
              <w:rPr>
                <w:rFonts w:eastAsia="Calibri"/>
                <w:b/>
                <w:sz w:val="18"/>
                <w:szCs w:val="18"/>
                <w:lang w:val="es-ES" w:eastAsia="en-US"/>
              </w:rPr>
              <w:t>%</w:t>
            </w:r>
          </w:p>
        </w:tc>
      </w:tr>
      <w:tr w:rsidR="00CE1681" w:rsidRPr="00CE1681" w14:paraId="2ECC145A" w14:textId="77777777" w:rsidTr="00CE1681">
        <w:trPr>
          <w:jc w:val="center"/>
        </w:trPr>
        <w:tc>
          <w:tcPr>
            <w:tcW w:w="1696" w:type="dxa"/>
            <w:tcBorders>
              <w:top w:val="single" w:sz="4" w:space="0" w:color="auto"/>
              <w:left w:val="single" w:sz="4" w:space="0" w:color="auto"/>
              <w:bottom w:val="nil"/>
              <w:right w:val="single" w:sz="4" w:space="0" w:color="auto"/>
            </w:tcBorders>
            <w:vAlign w:val="center"/>
          </w:tcPr>
          <w:p w14:paraId="6FA18ACB"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1</w:t>
            </w:r>
          </w:p>
        </w:tc>
        <w:tc>
          <w:tcPr>
            <w:tcW w:w="3021" w:type="dxa"/>
            <w:tcBorders>
              <w:top w:val="single" w:sz="4" w:space="0" w:color="auto"/>
              <w:left w:val="single" w:sz="4" w:space="0" w:color="auto"/>
              <w:bottom w:val="nil"/>
              <w:right w:val="single" w:sz="4" w:space="0" w:color="auto"/>
            </w:tcBorders>
            <w:vAlign w:val="center"/>
          </w:tcPr>
          <w:p w14:paraId="23568AA7"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 xml:space="preserve">Querétaro </w:t>
            </w:r>
          </w:p>
        </w:tc>
        <w:tc>
          <w:tcPr>
            <w:tcW w:w="1520" w:type="dxa"/>
            <w:tcBorders>
              <w:top w:val="single" w:sz="4" w:space="0" w:color="auto"/>
              <w:left w:val="single" w:sz="4" w:space="0" w:color="auto"/>
              <w:bottom w:val="nil"/>
              <w:right w:val="single" w:sz="4" w:space="0" w:color="auto"/>
            </w:tcBorders>
            <w:vAlign w:val="center"/>
          </w:tcPr>
          <w:p w14:paraId="4A11FAB7"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24</w:t>
            </w:r>
          </w:p>
        </w:tc>
      </w:tr>
      <w:tr w:rsidR="00CE1681" w:rsidRPr="00CE1681" w14:paraId="76B09115" w14:textId="77777777" w:rsidTr="00CE1681">
        <w:trPr>
          <w:jc w:val="center"/>
        </w:trPr>
        <w:tc>
          <w:tcPr>
            <w:tcW w:w="1696" w:type="dxa"/>
            <w:tcBorders>
              <w:top w:val="nil"/>
              <w:left w:val="single" w:sz="4" w:space="0" w:color="auto"/>
              <w:bottom w:val="nil"/>
              <w:right w:val="single" w:sz="4" w:space="0" w:color="auto"/>
            </w:tcBorders>
            <w:vAlign w:val="center"/>
          </w:tcPr>
          <w:p w14:paraId="66357A50"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w:t>
            </w:r>
          </w:p>
        </w:tc>
        <w:tc>
          <w:tcPr>
            <w:tcW w:w="3021" w:type="dxa"/>
            <w:tcBorders>
              <w:top w:val="nil"/>
              <w:left w:val="single" w:sz="4" w:space="0" w:color="auto"/>
              <w:bottom w:val="nil"/>
              <w:right w:val="single" w:sz="4" w:space="0" w:color="auto"/>
            </w:tcBorders>
            <w:vAlign w:val="center"/>
          </w:tcPr>
          <w:p w14:paraId="2CA2430E"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Nuevo León</w:t>
            </w:r>
          </w:p>
        </w:tc>
        <w:tc>
          <w:tcPr>
            <w:tcW w:w="1520" w:type="dxa"/>
            <w:tcBorders>
              <w:top w:val="nil"/>
              <w:left w:val="single" w:sz="4" w:space="0" w:color="auto"/>
              <w:bottom w:val="nil"/>
              <w:right w:val="single" w:sz="4" w:space="0" w:color="auto"/>
            </w:tcBorders>
            <w:vAlign w:val="center"/>
          </w:tcPr>
          <w:p w14:paraId="67F32A74"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23</w:t>
            </w:r>
          </w:p>
        </w:tc>
      </w:tr>
      <w:tr w:rsidR="00CE1681" w:rsidRPr="00CE1681" w14:paraId="567AF678" w14:textId="77777777" w:rsidTr="00CE1681">
        <w:trPr>
          <w:jc w:val="center"/>
        </w:trPr>
        <w:tc>
          <w:tcPr>
            <w:tcW w:w="1696" w:type="dxa"/>
            <w:tcBorders>
              <w:top w:val="nil"/>
              <w:left w:val="single" w:sz="4" w:space="0" w:color="auto"/>
              <w:bottom w:val="nil"/>
              <w:right w:val="single" w:sz="4" w:space="0" w:color="auto"/>
            </w:tcBorders>
            <w:vAlign w:val="center"/>
          </w:tcPr>
          <w:p w14:paraId="6EBAD6E0"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3</w:t>
            </w:r>
          </w:p>
        </w:tc>
        <w:tc>
          <w:tcPr>
            <w:tcW w:w="3021" w:type="dxa"/>
            <w:tcBorders>
              <w:top w:val="nil"/>
              <w:left w:val="single" w:sz="4" w:space="0" w:color="auto"/>
              <w:bottom w:val="nil"/>
              <w:right w:val="single" w:sz="4" w:space="0" w:color="auto"/>
            </w:tcBorders>
            <w:vAlign w:val="center"/>
          </w:tcPr>
          <w:p w14:paraId="10D24025"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 xml:space="preserve">Jalisco </w:t>
            </w:r>
          </w:p>
        </w:tc>
        <w:tc>
          <w:tcPr>
            <w:tcW w:w="1520" w:type="dxa"/>
            <w:tcBorders>
              <w:top w:val="nil"/>
              <w:left w:val="single" w:sz="4" w:space="0" w:color="auto"/>
              <w:bottom w:val="nil"/>
              <w:right w:val="single" w:sz="4" w:space="0" w:color="auto"/>
            </w:tcBorders>
            <w:vAlign w:val="center"/>
          </w:tcPr>
          <w:p w14:paraId="6CF38D27"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22</w:t>
            </w:r>
          </w:p>
        </w:tc>
      </w:tr>
      <w:tr w:rsidR="00CE1681" w:rsidRPr="00CE1681" w14:paraId="369CB0CA" w14:textId="77777777" w:rsidTr="00CE1681">
        <w:trPr>
          <w:jc w:val="center"/>
        </w:trPr>
        <w:tc>
          <w:tcPr>
            <w:tcW w:w="1696" w:type="dxa"/>
            <w:tcBorders>
              <w:top w:val="nil"/>
              <w:left w:val="single" w:sz="4" w:space="0" w:color="auto"/>
              <w:bottom w:val="nil"/>
              <w:right w:val="single" w:sz="4" w:space="0" w:color="auto"/>
            </w:tcBorders>
            <w:vAlign w:val="center"/>
          </w:tcPr>
          <w:p w14:paraId="464E499D"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4</w:t>
            </w:r>
          </w:p>
        </w:tc>
        <w:tc>
          <w:tcPr>
            <w:tcW w:w="3021" w:type="dxa"/>
            <w:tcBorders>
              <w:top w:val="nil"/>
              <w:left w:val="single" w:sz="4" w:space="0" w:color="auto"/>
              <w:bottom w:val="nil"/>
              <w:right w:val="single" w:sz="4" w:space="0" w:color="auto"/>
            </w:tcBorders>
            <w:vAlign w:val="center"/>
          </w:tcPr>
          <w:p w14:paraId="446AD4B7"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Estado de México</w:t>
            </w:r>
          </w:p>
        </w:tc>
        <w:tc>
          <w:tcPr>
            <w:tcW w:w="1520" w:type="dxa"/>
            <w:tcBorders>
              <w:top w:val="nil"/>
              <w:left w:val="single" w:sz="4" w:space="0" w:color="auto"/>
              <w:bottom w:val="nil"/>
              <w:right w:val="single" w:sz="4" w:space="0" w:color="auto"/>
            </w:tcBorders>
            <w:vAlign w:val="center"/>
          </w:tcPr>
          <w:p w14:paraId="516F51A9"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21</w:t>
            </w:r>
          </w:p>
        </w:tc>
      </w:tr>
      <w:tr w:rsidR="00CE1681" w:rsidRPr="00CE1681" w14:paraId="08D997C1" w14:textId="77777777" w:rsidTr="00CE1681">
        <w:trPr>
          <w:jc w:val="center"/>
        </w:trPr>
        <w:tc>
          <w:tcPr>
            <w:tcW w:w="1696" w:type="dxa"/>
            <w:tcBorders>
              <w:top w:val="nil"/>
              <w:left w:val="single" w:sz="4" w:space="0" w:color="auto"/>
              <w:bottom w:val="nil"/>
              <w:right w:val="single" w:sz="4" w:space="0" w:color="auto"/>
            </w:tcBorders>
            <w:vAlign w:val="center"/>
          </w:tcPr>
          <w:p w14:paraId="3436FA8B"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5</w:t>
            </w:r>
          </w:p>
        </w:tc>
        <w:tc>
          <w:tcPr>
            <w:tcW w:w="3021" w:type="dxa"/>
            <w:tcBorders>
              <w:top w:val="nil"/>
              <w:left w:val="single" w:sz="4" w:space="0" w:color="auto"/>
              <w:bottom w:val="nil"/>
              <w:right w:val="single" w:sz="4" w:space="0" w:color="auto"/>
            </w:tcBorders>
            <w:vAlign w:val="center"/>
          </w:tcPr>
          <w:p w14:paraId="3C367313"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Guanajuato</w:t>
            </w:r>
          </w:p>
        </w:tc>
        <w:tc>
          <w:tcPr>
            <w:tcW w:w="1520" w:type="dxa"/>
            <w:tcBorders>
              <w:top w:val="nil"/>
              <w:left w:val="single" w:sz="4" w:space="0" w:color="auto"/>
              <w:bottom w:val="nil"/>
              <w:right w:val="single" w:sz="4" w:space="0" w:color="auto"/>
            </w:tcBorders>
            <w:vAlign w:val="center"/>
          </w:tcPr>
          <w:p w14:paraId="0FE96BCF"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20</w:t>
            </w:r>
          </w:p>
        </w:tc>
      </w:tr>
      <w:tr w:rsidR="00CE1681" w:rsidRPr="00CE1681" w14:paraId="70C0954D" w14:textId="77777777" w:rsidTr="00CE1681">
        <w:trPr>
          <w:jc w:val="center"/>
        </w:trPr>
        <w:tc>
          <w:tcPr>
            <w:tcW w:w="1696" w:type="dxa"/>
            <w:tcBorders>
              <w:top w:val="nil"/>
              <w:left w:val="single" w:sz="4" w:space="0" w:color="auto"/>
              <w:bottom w:val="nil"/>
              <w:right w:val="single" w:sz="4" w:space="0" w:color="auto"/>
            </w:tcBorders>
            <w:vAlign w:val="center"/>
          </w:tcPr>
          <w:p w14:paraId="1E9F7964"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6</w:t>
            </w:r>
          </w:p>
        </w:tc>
        <w:tc>
          <w:tcPr>
            <w:tcW w:w="3021" w:type="dxa"/>
            <w:tcBorders>
              <w:top w:val="nil"/>
              <w:left w:val="single" w:sz="4" w:space="0" w:color="auto"/>
              <w:bottom w:val="nil"/>
              <w:right w:val="single" w:sz="4" w:space="0" w:color="auto"/>
            </w:tcBorders>
            <w:vAlign w:val="center"/>
          </w:tcPr>
          <w:p w14:paraId="6700C698"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Distrito Federal</w:t>
            </w:r>
          </w:p>
        </w:tc>
        <w:tc>
          <w:tcPr>
            <w:tcW w:w="1520" w:type="dxa"/>
            <w:tcBorders>
              <w:top w:val="nil"/>
              <w:left w:val="single" w:sz="4" w:space="0" w:color="auto"/>
              <w:bottom w:val="nil"/>
              <w:right w:val="single" w:sz="4" w:space="0" w:color="auto"/>
            </w:tcBorders>
            <w:vAlign w:val="center"/>
          </w:tcPr>
          <w:p w14:paraId="23CFAA2F"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18</w:t>
            </w:r>
          </w:p>
        </w:tc>
      </w:tr>
      <w:tr w:rsidR="00CE1681" w:rsidRPr="00CE1681" w14:paraId="4BA57010" w14:textId="77777777" w:rsidTr="00CE1681">
        <w:trPr>
          <w:jc w:val="center"/>
        </w:trPr>
        <w:tc>
          <w:tcPr>
            <w:tcW w:w="1696" w:type="dxa"/>
            <w:tcBorders>
              <w:top w:val="nil"/>
              <w:left w:val="single" w:sz="4" w:space="0" w:color="auto"/>
              <w:bottom w:val="nil"/>
              <w:right w:val="single" w:sz="4" w:space="0" w:color="auto"/>
            </w:tcBorders>
            <w:vAlign w:val="center"/>
          </w:tcPr>
          <w:p w14:paraId="272CAF13"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7</w:t>
            </w:r>
          </w:p>
        </w:tc>
        <w:tc>
          <w:tcPr>
            <w:tcW w:w="3021" w:type="dxa"/>
            <w:tcBorders>
              <w:top w:val="nil"/>
              <w:left w:val="single" w:sz="4" w:space="0" w:color="auto"/>
              <w:bottom w:val="nil"/>
              <w:right w:val="single" w:sz="4" w:space="0" w:color="auto"/>
            </w:tcBorders>
            <w:vAlign w:val="center"/>
          </w:tcPr>
          <w:p w14:paraId="7845285E"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Baja California</w:t>
            </w:r>
          </w:p>
        </w:tc>
        <w:tc>
          <w:tcPr>
            <w:tcW w:w="1520" w:type="dxa"/>
            <w:tcBorders>
              <w:top w:val="nil"/>
              <w:left w:val="single" w:sz="4" w:space="0" w:color="auto"/>
              <w:bottom w:val="nil"/>
              <w:right w:val="single" w:sz="4" w:space="0" w:color="auto"/>
            </w:tcBorders>
            <w:vAlign w:val="center"/>
          </w:tcPr>
          <w:p w14:paraId="102A8E65"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12</w:t>
            </w:r>
          </w:p>
        </w:tc>
      </w:tr>
      <w:tr w:rsidR="00CE1681" w:rsidRPr="00CE1681" w14:paraId="6C72A9FD" w14:textId="77777777" w:rsidTr="00CE1681">
        <w:trPr>
          <w:jc w:val="center"/>
        </w:trPr>
        <w:tc>
          <w:tcPr>
            <w:tcW w:w="1696" w:type="dxa"/>
            <w:tcBorders>
              <w:top w:val="nil"/>
              <w:left w:val="single" w:sz="4" w:space="0" w:color="auto"/>
              <w:bottom w:val="nil"/>
              <w:right w:val="single" w:sz="4" w:space="0" w:color="auto"/>
            </w:tcBorders>
            <w:vAlign w:val="center"/>
          </w:tcPr>
          <w:p w14:paraId="24C8F892"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8</w:t>
            </w:r>
          </w:p>
        </w:tc>
        <w:tc>
          <w:tcPr>
            <w:tcW w:w="3021" w:type="dxa"/>
            <w:tcBorders>
              <w:top w:val="nil"/>
              <w:left w:val="single" w:sz="4" w:space="0" w:color="auto"/>
              <w:bottom w:val="nil"/>
              <w:right w:val="single" w:sz="4" w:space="0" w:color="auto"/>
            </w:tcBorders>
            <w:vAlign w:val="center"/>
          </w:tcPr>
          <w:p w14:paraId="4CF4BBF3"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Puebla</w:t>
            </w:r>
          </w:p>
        </w:tc>
        <w:tc>
          <w:tcPr>
            <w:tcW w:w="1520" w:type="dxa"/>
            <w:tcBorders>
              <w:top w:val="nil"/>
              <w:left w:val="single" w:sz="4" w:space="0" w:color="auto"/>
              <w:bottom w:val="nil"/>
              <w:right w:val="single" w:sz="4" w:space="0" w:color="auto"/>
            </w:tcBorders>
            <w:vAlign w:val="center"/>
          </w:tcPr>
          <w:p w14:paraId="63DB3AFB"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12</w:t>
            </w:r>
          </w:p>
        </w:tc>
      </w:tr>
      <w:tr w:rsidR="00CE1681" w:rsidRPr="00CE1681" w14:paraId="33B694E3" w14:textId="77777777" w:rsidTr="00CE1681">
        <w:trPr>
          <w:jc w:val="center"/>
        </w:trPr>
        <w:tc>
          <w:tcPr>
            <w:tcW w:w="1696" w:type="dxa"/>
            <w:tcBorders>
              <w:top w:val="nil"/>
              <w:left w:val="single" w:sz="4" w:space="0" w:color="auto"/>
              <w:bottom w:val="single" w:sz="4" w:space="0" w:color="auto"/>
              <w:right w:val="single" w:sz="4" w:space="0" w:color="auto"/>
            </w:tcBorders>
            <w:vAlign w:val="center"/>
          </w:tcPr>
          <w:p w14:paraId="05F043F4"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9</w:t>
            </w:r>
          </w:p>
        </w:tc>
        <w:tc>
          <w:tcPr>
            <w:tcW w:w="3021" w:type="dxa"/>
            <w:tcBorders>
              <w:top w:val="nil"/>
              <w:left w:val="single" w:sz="4" w:space="0" w:color="auto"/>
              <w:bottom w:val="single" w:sz="4" w:space="0" w:color="auto"/>
              <w:right w:val="single" w:sz="4" w:space="0" w:color="auto"/>
            </w:tcBorders>
            <w:vAlign w:val="center"/>
          </w:tcPr>
          <w:p w14:paraId="6D6B90A0" w14:textId="77777777" w:rsidR="00CE1681" w:rsidRPr="00CE1681" w:rsidRDefault="00CE1681" w:rsidP="00CE1681">
            <w:pPr>
              <w:jc w:val="both"/>
              <w:rPr>
                <w:rFonts w:eastAsia="Calibri"/>
                <w:sz w:val="18"/>
                <w:szCs w:val="18"/>
                <w:lang w:val="es-ES" w:eastAsia="en-US"/>
              </w:rPr>
            </w:pPr>
            <w:r w:rsidRPr="00CE1681">
              <w:rPr>
                <w:rFonts w:eastAsia="Calibri"/>
                <w:sz w:val="18"/>
                <w:szCs w:val="18"/>
                <w:lang w:val="es-ES" w:eastAsia="en-US"/>
              </w:rPr>
              <w:t xml:space="preserve">Veracruz </w:t>
            </w:r>
          </w:p>
        </w:tc>
        <w:tc>
          <w:tcPr>
            <w:tcW w:w="1520" w:type="dxa"/>
            <w:tcBorders>
              <w:top w:val="nil"/>
              <w:left w:val="single" w:sz="4" w:space="0" w:color="auto"/>
              <w:bottom w:val="single" w:sz="4" w:space="0" w:color="auto"/>
              <w:right w:val="single" w:sz="4" w:space="0" w:color="auto"/>
            </w:tcBorders>
            <w:vAlign w:val="center"/>
          </w:tcPr>
          <w:p w14:paraId="529831AD" w14:textId="77777777" w:rsidR="00CE1681" w:rsidRPr="00CE1681" w:rsidRDefault="00CE1681" w:rsidP="00CE1681">
            <w:pPr>
              <w:jc w:val="center"/>
              <w:rPr>
                <w:rFonts w:eastAsia="Calibri"/>
                <w:sz w:val="18"/>
                <w:szCs w:val="18"/>
                <w:lang w:val="es-ES" w:eastAsia="en-US"/>
              </w:rPr>
            </w:pPr>
            <w:r w:rsidRPr="00CE1681">
              <w:rPr>
                <w:rFonts w:eastAsia="Calibri"/>
                <w:sz w:val="18"/>
                <w:szCs w:val="18"/>
                <w:lang w:val="es-ES" w:eastAsia="en-US"/>
              </w:rPr>
              <w:t>12</w:t>
            </w:r>
          </w:p>
        </w:tc>
      </w:tr>
      <w:tr w:rsidR="00CE1681" w:rsidRPr="00CE1681" w14:paraId="3FEE1050" w14:textId="77777777" w:rsidTr="00DE4CC5">
        <w:trPr>
          <w:jc w:val="center"/>
        </w:trPr>
        <w:tc>
          <w:tcPr>
            <w:tcW w:w="6237" w:type="dxa"/>
            <w:gridSpan w:val="3"/>
            <w:tcBorders>
              <w:top w:val="single" w:sz="4" w:space="0" w:color="auto"/>
              <w:left w:val="nil"/>
              <w:bottom w:val="nil"/>
              <w:right w:val="nil"/>
            </w:tcBorders>
            <w:vAlign w:val="center"/>
          </w:tcPr>
          <w:p w14:paraId="7E7A9689" w14:textId="77777777" w:rsidR="00CE1681" w:rsidRPr="00CE1681" w:rsidRDefault="00CE1681" w:rsidP="00CE1681">
            <w:pPr>
              <w:jc w:val="both"/>
              <w:rPr>
                <w:rFonts w:eastAsia="Calibri"/>
                <w:sz w:val="20"/>
                <w:szCs w:val="20"/>
                <w:lang w:val="es-ES" w:eastAsia="en-US"/>
              </w:rPr>
            </w:pPr>
            <w:r w:rsidRPr="00CE1681">
              <w:rPr>
                <w:rFonts w:eastAsia="Calibri"/>
                <w:sz w:val="20"/>
                <w:szCs w:val="20"/>
                <w:lang w:val="es-ES" w:eastAsia="en-US"/>
              </w:rPr>
              <w:t>FUENTE: FORBES.</w:t>
            </w:r>
          </w:p>
        </w:tc>
      </w:tr>
    </w:tbl>
    <w:p w14:paraId="2AF4A15C" w14:textId="77777777" w:rsidR="00CE1681" w:rsidRPr="00CE1681" w:rsidRDefault="00CE1681" w:rsidP="00CE1681">
      <w:pPr>
        <w:spacing w:after="360" w:line="360" w:lineRule="auto"/>
        <w:ind w:right="-159"/>
        <w:jc w:val="both"/>
        <w:rPr>
          <w:rFonts w:eastAsia="Calibri"/>
          <w:sz w:val="26"/>
          <w:szCs w:val="26"/>
          <w:lang w:val="es-ES" w:eastAsia="en-US"/>
        </w:rPr>
      </w:pPr>
    </w:p>
    <w:p w14:paraId="05DF072A"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En el reporte, que se presentará a los medios de comunicación este 17 de abril, los especialistas de KPMG aclaran que en el mediano plazo podría cambiar esta lista, debido a los planes del gobierno para desarrollar tres zonas económicas: Istmo de Tehuantepec, en Oaxaca; Chiapas, y Lázaro Cárdenas, que abarcaría partes de Michoacán y Guerrero.</w:t>
      </w:r>
    </w:p>
    <w:p w14:paraId="58228756"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“También habrá que esperar que la licitación de los primeros campos petroleros impulse el desarrollo en los estados del Golfo de México, y en la región fronteriza, donde se encuentra el potencial de gas y petróleo shale”, señalan los autores del estudio.</w:t>
      </w:r>
    </w:p>
    <w:p w14:paraId="3FAEC71C" w14:textId="77777777"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A pesar de los contrastes que muestra el estudio, la mayor parte de las empresas (70%) prevé crecer este año en un dígito, mientras sólo 16% anticipa un avance de dos dígitos, 12% no crecerá y 2% decrecerá.</w:t>
      </w:r>
    </w:p>
    <w:p w14:paraId="41CB9CE8" w14:textId="77777777" w:rsidR="005F651D"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t xml:space="preserve">Aunque la complicada situación actual no detiene sus planes de expansión dentro del país, sí tiene un efecto negativo en la estrategia para crecer en el extranjero, ya que 64% no planea expandirse fuera de México en los próximos tres años. </w:t>
      </w:r>
    </w:p>
    <w:p w14:paraId="6D9BC4C2" w14:textId="77777777" w:rsidR="005F651D" w:rsidRDefault="005F651D" w:rsidP="00CE1681">
      <w:pPr>
        <w:spacing w:after="360" w:line="360" w:lineRule="auto"/>
        <w:ind w:right="-159"/>
        <w:jc w:val="both"/>
        <w:rPr>
          <w:rFonts w:eastAsia="Calibri"/>
          <w:sz w:val="26"/>
          <w:szCs w:val="26"/>
          <w:lang w:val="es-ES" w:eastAsia="en-US"/>
        </w:rPr>
      </w:pPr>
    </w:p>
    <w:p w14:paraId="2F1940FC" w14:textId="3B4F55CF" w:rsidR="00CE1681" w:rsidRPr="00CE1681" w:rsidRDefault="00CE1681" w:rsidP="00CE1681">
      <w:pPr>
        <w:spacing w:after="360" w:line="360" w:lineRule="auto"/>
        <w:ind w:right="-159"/>
        <w:jc w:val="both"/>
        <w:rPr>
          <w:rFonts w:eastAsia="Calibri"/>
          <w:sz w:val="26"/>
          <w:szCs w:val="26"/>
          <w:lang w:val="es-ES" w:eastAsia="en-US"/>
        </w:rPr>
      </w:pPr>
      <w:r w:rsidRPr="00CE1681">
        <w:rPr>
          <w:rFonts w:eastAsia="Calibri"/>
          <w:sz w:val="26"/>
          <w:szCs w:val="26"/>
          <w:lang w:val="es-ES" w:eastAsia="en-US"/>
        </w:rPr>
        <w:lastRenderedPageBreak/>
        <w:t>Del 36% que sí lo hará, los destinos preferidos para invertir son: Estados Unidos de Norteamérica (37%), Colombia (29%), Perú (26%), Centroamérica (14% [Panamá, 12%]), Brasil (14%) y Chile (13%).</w:t>
      </w:r>
    </w:p>
    <w:p w14:paraId="76DEC5C8" w14:textId="77777777" w:rsidR="00CE1681" w:rsidRPr="00CE1681" w:rsidRDefault="00CE1681" w:rsidP="00CE1681">
      <w:pPr>
        <w:ind w:right="-159"/>
        <w:jc w:val="both"/>
        <w:rPr>
          <w:rFonts w:eastAsia="Calibri"/>
          <w:b/>
          <w:sz w:val="20"/>
          <w:szCs w:val="20"/>
          <w:lang w:eastAsia="en-US"/>
        </w:rPr>
      </w:pPr>
      <w:r w:rsidRPr="00CE1681">
        <w:rPr>
          <w:rFonts w:eastAsia="Calibri"/>
          <w:b/>
          <w:sz w:val="20"/>
          <w:szCs w:val="20"/>
          <w:lang w:eastAsia="en-US"/>
        </w:rPr>
        <w:t>Fuente de información:</w:t>
      </w:r>
    </w:p>
    <w:p w14:paraId="5B56795F" w14:textId="77777777" w:rsidR="00CE1681" w:rsidRPr="00372137" w:rsidRDefault="0045651A" w:rsidP="00372137">
      <w:pPr>
        <w:spacing w:after="720"/>
        <w:ind w:right="-159"/>
        <w:jc w:val="both"/>
        <w:rPr>
          <w:rFonts w:eastAsia="Calibri"/>
          <w:color w:val="0000FF"/>
          <w:sz w:val="20"/>
          <w:szCs w:val="20"/>
          <w:lang w:val="es-ES" w:eastAsia="en-US"/>
        </w:rPr>
      </w:pPr>
      <w:hyperlink r:id="rId62" w:history="1">
        <w:r w:rsidR="00CE1681" w:rsidRPr="00372137">
          <w:rPr>
            <w:rFonts w:eastAsia="Calibri"/>
            <w:color w:val="0000FF"/>
            <w:sz w:val="20"/>
            <w:szCs w:val="20"/>
            <w:u w:val="single"/>
            <w:lang w:val="es-ES" w:eastAsia="en-US"/>
          </w:rPr>
          <w:t>http://www.forbes.com.mx/los-9-estados-preferidos-para-invertir-en-2015/</w:t>
        </w:r>
      </w:hyperlink>
    </w:p>
    <w:p w14:paraId="19DA114D" w14:textId="77777777" w:rsidR="00FE2F2C" w:rsidRPr="00FE2F2C" w:rsidRDefault="00FE2F2C" w:rsidP="00FE2F2C">
      <w:pPr>
        <w:ind w:right="-159"/>
        <w:jc w:val="both"/>
        <w:rPr>
          <w:rFonts w:eastAsia="Calibri"/>
          <w:b/>
          <w:sz w:val="26"/>
          <w:szCs w:val="26"/>
          <w:lang w:eastAsia="en-US"/>
        </w:rPr>
      </w:pPr>
      <w:r w:rsidRPr="00FE2F2C">
        <w:rPr>
          <w:rFonts w:eastAsia="Calibri"/>
          <w:b/>
          <w:sz w:val="26"/>
          <w:szCs w:val="26"/>
          <w:lang w:eastAsia="en-US"/>
        </w:rPr>
        <w:t>Inversión, la pieza que falta para crecer en</w:t>
      </w:r>
    </w:p>
    <w:p w14:paraId="5DD669EC" w14:textId="4E584CDC" w:rsidR="00FE2F2C" w:rsidRPr="00FE2F2C" w:rsidRDefault="00FE2F2C" w:rsidP="00FE2F2C">
      <w:pPr>
        <w:spacing w:after="360" w:line="360" w:lineRule="auto"/>
        <w:ind w:right="-159"/>
        <w:jc w:val="both"/>
        <w:rPr>
          <w:rFonts w:eastAsia="Calibri"/>
          <w:b/>
          <w:sz w:val="26"/>
          <w:szCs w:val="26"/>
          <w:lang w:eastAsia="en-US"/>
        </w:rPr>
      </w:pPr>
      <w:r w:rsidRPr="00FE2F2C">
        <w:rPr>
          <w:rFonts w:eastAsia="Calibri"/>
          <w:b/>
          <w:sz w:val="26"/>
          <w:szCs w:val="26"/>
          <w:lang w:eastAsia="en-US"/>
        </w:rPr>
        <w:t xml:space="preserve">México </w:t>
      </w:r>
      <w:r w:rsidR="00BC2DD8">
        <w:rPr>
          <w:rFonts w:eastAsia="Calibri"/>
          <w:b/>
          <w:sz w:val="26"/>
          <w:szCs w:val="26"/>
          <w:lang w:eastAsia="en-US"/>
        </w:rPr>
        <w:t xml:space="preserve"> </w:t>
      </w:r>
      <w:r w:rsidRPr="00FE2F2C">
        <w:rPr>
          <w:rFonts w:eastAsia="Calibri"/>
          <w:b/>
          <w:sz w:val="26"/>
          <w:szCs w:val="26"/>
          <w:lang w:eastAsia="en-US"/>
        </w:rPr>
        <w:t>y América Latina (Forbes México)</w:t>
      </w:r>
    </w:p>
    <w:p w14:paraId="05AA705C"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21 de abril de 2015, la edición online de la revista de negocios Forbes México indicó que la recuperación en México y América Latina no provendrá de las exportaciones ni del mercado interno; sólo queda el camino de la inversión. Pero el dinero privado, local y foráneo no llegará mientras haya instituciones y regulación débiles.</w:t>
      </w:r>
    </w:p>
    <w:p w14:paraId="76A522EE"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 inversión es fundamental para cualquier economía moderna. La cantidad de inversión como proporción del Producto Interno Bruto (PIB) en Latinoamérica apenas supera el 20%. Es un nivel bajo si se considera que en Asia supera el 40% del PIB regional. Para las economías latinoamericanas, México incluido, este modesto nivel de inversión se manifiesta en una capacidad productiva limitada, incapacidad crónica para generar empleos e ingresos crecientes, así como en impedimentos para desarrollar innovación e incorporar nuevas tecnologías.</w:t>
      </w:r>
    </w:p>
    <w:p w14:paraId="3839F66D"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 evolución de las economías latinoamericanas en 2014 mostró que aquellos países que registraron aumentos significativos en inversión tuvieron también un mejor desempeño económico. Panamá, Colombia, Ecuador y Bolivia, países donde la inversión aumentó por arriba del 5%, registraron tasas de crecimiento de entre 4.5 y 6 por ciento.</w:t>
      </w:r>
    </w:p>
    <w:p w14:paraId="22AF981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Del mismo modo, la pérdida de dinamismo de las economías latinoamericanas más importantes se explica, en gran medida, por la contracción de la inversión. No es de </w:t>
      </w:r>
      <w:r w:rsidRPr="00FE2F2C">
        <w:rPr>
          <w:rFonts w:eastAsia="Calibri"/>
          <w:sz w:val="26"/>
          <w:szCs w:val="26"/>
          <w:lang w:val="es-ES" w:eastAsia="en-US"/>
        </w:rPr>
        <w:lastRenderedPageBreak/>
        <w:t>sorprender que en 2014 se registraran tasas de crecimiento débil en Brasil (0.2%), Chile (1.8%), México (2.1%) y Perú (2.8%). La evidencia es clara: mayor inversión significa mayor crecimiento económico.</w:t>
      </w:r>
    </w:p>
    <w:p w14:paraId="456A00FF"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 Comisión Económica para América Latina y el Caribe (CEPAL) subraya que la inversión en la región presenta un comportamiento preocupante. En 2010, la tasa de crecimiento de la inversión en América Latina fue de 3.1%, mientras que en 2014 hubo una caída estimada de 1.1%. Al mismo tiempo, se observa una reducción en la inversión como porcentaje del PIB regional, al pasar de 20.5% en 2011-2013 a 19.2% en 2014.</w:t>
      </w:r>
    </w:p>
    <w:p w14:paraId="0EB5064A"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Si esta tendencia prevalece, afectará el desempeño económico regional y la capacidad de los países latinoamericanos para generar crecimiento económico y mejorar las condiciones de vida de sus habitantes.</w:t>
      </w:r>
    </w:p>
    <w:p w14:paraId="51BEFB9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problema anterior se agudiza debido al bajo nivel de ahorro interno latinoamericano, que apenas absorbe 20.5% del PIB regional y que es insuficiente para financiar con recursos propios la inversión requerida. Con ello, la región es vulnerable a shocks externos, dependiente de flujos de inversión externos y de créditos internacionales para financiar grandes proyectos de inversión.</w:t>
      </w:r>
    </w:p>
    <w:p w14:paraId="26C64D89" w14:textId="77777777" w:rsidR="00FE2F2C" w:rsidRPr="00FE2F2C" w:rsidRDefault="00FE2F2C" w:rsidP="00FE2F2C">
      <w:pPr>
        <w:spacing w:after="360" w:line="360" w:lineRule="auto"/>
        <w:ind w:right="-159"/>
        <w:jc w:val="both"/>
        <w:rPr>
          <w:rFonts w:eastAsia="Calibri"/>
          <w:b/>
          <w:sz w:val="26"/>
          <w:szCs w:val="26"/>
          <w:lang w:val="es-ES" w:eastAsia="en-US"/>
        </w:rPr>
      </w:pPr>
      <w:r w:rsidRPr="00FE2F2C">
        <w:rPr>
          <w:rFonts w:eastAsia="Calibri"/>
          <w:b/>
          <w:sz w:val="26"/>
          <w:szCs w:val="26"/>
          <w:lang w:val="es-ES" w:eastAsia="en-US"/>
        </w:rPr>
        <w:t xml:space="preserve">La inversión en México, ¿es un motor para el crecimiento? </w:t>
      </w:r>
    </w:p>
    <w:p w14:paraId="20994269"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En la década de 1990, la inversión en México como porcentaje del PIB promedió 19.9%, mientras que el crecimiento de la economía fue de 3.5% anual. En contraste, el país con uno de los modelos económicos más sobresalientes de América Latina, Chile, creció 6.3% anual, con un nivel de inversión de 26.5% de su PIB.</w:t>
      </w:r>
    </w:p>
    <w:p w14:paraId="32956E1E"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En la siguiente década, la economía chilena creció en promedio 4%, mientras que la mexicana apenas 1.8%. En 2009, el año más severo de la crisis financiera internacional, tanto la economía chilena como la mexicana se contrajeron; sin embargo, en México la </w:t>
      </w:r>
      <w:r w:rsidRPr="00FE2F2C">
        <w:rPr>
          <w:rFonts w:eastAsia="Calibri"/>
          <w:sz w:val="26"/>
          <w:szCs w:val="26"/>
          <w:lang w:val="es-ES" w:eastAsia="en-US"/>
        </w:rPr>
        <w:lastRenderedPageBreak/>
        <w:t>economía cayó cerca de 5.0%, mientras que en Chile se contrajo únicamente 1.0 por ciento.</w:t>
      </w:r>
    </w:p>
    <w:p w14:paraId="29AE42AD"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México no ha hecho de la inversión una fuente de crecimiento. Estudios de la CEPAL indican que para alcanzar la mítica tasa de crecimiento de 6% anual y elevar en 4.9% el ingreso de cada mexicano, nuestro país requeriría de un nivel de inversión igual o superior al 28% del PIB actual.</w:t>
      </w:r>
    </w:p>
    <w:p w14:paraId="1D40AF2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¿Tiene la actual administración del presidente mexicano una estrategia clara para convertir la inversión en un motor de crecimiento económico?, ¿las políticas públicas promovidas por el gobierno federal son coherentes para promover la inversión?</w:t>
      </w:r>
    </w:p>
    <w:tbl>
      <w:tblPr>
        <w:tblW w:w="7230" w:type="dxa"/>
        <w:jc w:val="center"/>
        <w:tblLayout w:type="fixed"/>
        <w:tblLook w:val="04A0" w:firstRow="1" w:lastRow="0" w:firstColumn="1" w:lastColumn="0" w:noHBand="0" w:noVBand="1"/>
      </w:tblPr>
      <w:tblGrid>
        <w:gridCol w:w="2694"/>
        <w:gridCol w:w="1701"/>
        <w:gridCol w:w="1418"/>
        <w:gridCol w:w="1417"/>
      </w:tblGrid>
      <w:tr w:rsidR="00FE2F2C" w:rsidRPr="00FE2F2C" w14:paraId="02E0FCA6" w14:textId="77777777" w:rsidTr="00BC2DD8">
        <w:trPr>
          <w:jc w:val="center"/>
        </w:trPr>
        <w:tc>
          <w:tcPr>
            <w:tcW w:w="7230" w:type="dxa"/>
            <w:gridSpan w:val="4"/>
            <w:tcBorders>
              <w:top w:val="nil"/>
              <w:left w:val="nil"/>
              <w:bottom w:val="single" w:sz="4" w:space="0" w:color="auto"/>
              <w:right w:val="nil"/>
            </w:tcBorders>
            <w:vAlign w:val="center"/>
          </w:tcPr>
          <w:p w14:paraId="558C4FDF" w14:textId="77777777" w:rsidR="00FE2F2C" w:rsidRPr="00FE2F2C" w:rsidRDefault="00FE2F2C" w:rsidP="00FE2F2C">
            <w:pPr>
              <w:spacing w:before="20" w:after="20" w:line="276" w:lineRule="auto"/>
              <w:jc w:val="center"/>
              <w:rPr>
                <w:rFonts w:eastAsia="Calibri"/>
                <w:b/>
                <w:sz w:val="22"/>
                <w:szCs w:val="22"/>
                <w:lang w:val="es-ES" w:eastAsia="en-US"/>
              </w:rPr>
            </w:pPr>
            <w:r w:rsidRPr="00FE2F2C">
              <w:rPr>
                <w:rFonts w:eastAsia="Calibri"/>
                <w:b/>
                <w:sz w:val="22"/>
                <w:szCs w:val="22"/>
                <w:lang w:val="es-ES" w:eastAsia="en-US"/>
              </w:rPr>
              <w:t>PLAN NACIONAL DE INFRAESTRUCTURA: INVERSIÓN PROGRAMADA Y NÚMERO DE PROYECTOS</w:t>
            </w:r>
          </w:p>
        </w:tc>
      </w:tr>
      <w:tr w:rsidR="00FE2F2C" w:rsidRPr="00FE2F2C" w14:paraId="67A7ECB2" w14:textId="77777777" w:rsidTr="00BC2DD8">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0C492F98" w14:textId="77777777" w:rsidR="00FE2F2C" w:rsidRPr="00FE2F2C" w:rsidRDefault="00FE2F2C" w:rsidP="00FE2F2C">
            <w:pPr>
              <w:spacing w:before="20" w:after="20" w:line="276" w:lineRule="auto"/>
              <w:jc w:val="center"/>
              <w:rPr>
                <w:rFonts w:eastAsia="Calibri"/>
                <w:b/>
                <w:sz w:val="18"/>
                <w:szCs w:val="18"/>
                <w:lang w:val="es-ES" w:eastAsia="en-US"/>
              </w:rPr>
            </w:pPr>
            <w:r w:rsidRPr="00FE2F2C">
              <w:rPr>
                <w:rFonts w:eastAsia="Calibri"/>
                <w:b/>
                <w:sz w:val="18"/>
                <w:szCs w:val="18"/>
                <w:lang w:val="es-ES" w:eastAsia="en-US"/>
              </w:rPr>
              <w:t>Sector Estratégico</w:t>
            </w:r>
          </w:p>
        </w:tc>
        <w:tc>
          <w:tcPr>
            <w:tcW w:w="1701" w:type="dxa"/>
            <w:tcBorders>
              <w:top w:val="single" w:sz="4" w:space="0" w:color="auto"/>
              <w:left w:val="single" w:sz="4" w:space="0" w:color="auto"/>
              <w:bottom w:val="single" w:sz="4" w:space="0" w:color="auto"/>
              <w:right w:val="single" w:sz="4" w:space="0" w:color="auto"/>
            </w:tcBorders>
            <w:vAlign w:val="center"/>
          </w:tcPr>
          <w:p w14:paraId="6EB3920A" w14:textId="77777777" w:rsidR="00FE2F2C" w:rsidRPr="00FE2F2C" w:rsidRDefault="00FE2F2C" w:rsidP="00FE2F2C">
            <w:pPr>
              <w:spacing w:before="20" w:after="20" w:line="276" w:lineRule="auto"/>
              <w:jc w:val="center"/>
              <w:rPr>
                <w:rFonts w:eastAsia="Calibri"/>
                <w:b/>
                <w:sz w:val="18"/>
                <w:szCs w:val="18"/>
                <w:lang w:val="es-ES" w:eastAsia="en-US"/>
              </w:rPr>
            </w:pPr>
            <w:r w:rsidRPr="00FE2F2C">
              <w:rPr>
                <w:rFonts w:eastAsia="Calibri"/>
                <w:b/>
                <w:sz w:val="18"/>
                <w:szCs w:val="18"/>
                <w:lang w:val="es-ES" w:eastAsia="en-US"/>
              </w:rPr>
              <w:t>Inversión pública</w:t>
            </w:r>
          </w:p>
          <w:p w14:paraId="79F686D3" w14:textId="77777777" w:rsidR="00FE2F2C" w:rsidRPr="00FE2F2C" w:rsidRDefault="00FE2F2C" w:rsidP="00FE2F2C">
            <w:pPr>
              <w:spacing w:before="20" w:after="20" w:line="276" w:lineRule="auto"/>
              <w:jc w:val="center"/>
              <w:rPr>
                <w:rFonts w:eastAsia="Calibri"/>
                <w:b/>
                <w:sz w:val="18"/>
                <w:szCs w:val="18"/>
                <w:lang w:val="es-ES" w:eastAsia="en-US"/>
              </w:rPr>
            </w:pPr>
            <w:r w:rsidRPr="00FE2F2C">
              <w:rPr>
                <w:rFonts w:eastAsia="Calibri"/>
                <w:b/>
                <w:sz w:val="18"/>
                <w:szCs w:val="18"/>
                <w:lang w:val="es-ES" w:eastAsia="en-US"/>
              </w:rPr>
              <w:t>(millones de pesos)</w:t>
            </w:r>
          </w:p>
        </w:tc>
        <w:tc>
          <w:tcPr>
            <w:tcW w:w="1418" w:type="dxa"/>
            <w:tcBorders>
              <w:top w:val="single" w:sz="4" w:space="0" w:color="auto"/>
              <w:left w:val="single" w:sz="4" w:space="0" w:color="auto"/>
              <w:bottom w:val="single" w:sz="4" w:space="0" w:color="auto"/>
              <w:right w:val="single" w:sz="4" w:space="0" w:color="auto"/>
            </w:tcBorders>
            <w:vAlign w:val="center"/>
          </w:tcPr>
          <w:p w14:paraId="019F51A7" w14:textId="77777777" w:rsidR="00FE2F2C" w:rsidRPr="00FE2F2C" w:rsidRDefault="00FE2F2C" w:rsidP="00FE2F2C">
            <w:pPr>
              <w:spacing w:before="20" w:after="20" w:line="276" w:lineRule="auto"/>
              <w:jc w:val="center"/>
              <w:rPr>
                <w:rFonts w:eastAsia="Calibri"/>
                <w:b/>
                <w:sz w:val="18"/>
                <w:szCs w:val="18"/>
                <w:lang w:val="es-ES" w:eastAsia="en-US"/>
              </w:rPr>
            </w:pPr>
            <w:r w:rsidRPr="00FE2F2C">
              <w:rPr>
                <w:rFonts w:eastAsia="Calibri"/>
                <w:b/>
                <w:sz w:val="18"/>
                <w:szCs w:val="18"/>
                <w:lang w:val="es-ES" w:eastAsia="en-US"/>
              </w:rPr>
              <w:t>Porcentaje</w:t>
            </w:r>
          </w:p>
        </w:tc>
        <w:tc>
          <w:tcPr>
            <w:tcW w:w="1417" w:type="dxa"/>
            <w:tcBorders>
              <w:top w:val="single" w:sz="4" w:space="0" w:color="auto"/>
              <w:left w:val="single" w:sz="4" w:space="0" w:color="auto"/>
              <w:bottom w:val="single" w:sz="4" w:space="0" w:color="auto"/>
              <w:right w:val="single" w:sz="4" w:space="0" w:color="auto"/>
            </w:tcBorders>
            <w:vAlign w:val="center"/>
          </w:tcPr>
          <w:p w14:paraId="580C3707" w14:textId="77777777" w:rsidR="00FE2F2C" w:rsidRPr="00FE2F2C" w:rsidRDefault="00FE2F2C" w:rsidP="00FE2F2C">
            <w:pPr>
              <w:spacing w:before="20" w:after="20" w:line="276" w:lineRule="auto"/>
              <w:jc w:val="center"/>
              <w:rPr>
                <w:rFonts w:eastAsia="Calibri"/>
                <w:b/>
                <w:sz w:val="18"/>
                <w:szCs w:val="18"/>
                <w:lang w:val="es-ES" w:eastAsia="en-US"/>
              </w:rPr>
            </w:pPr>
            <w:r w:rsidRPr="00FE2F2C">
              <w:rPr>
                <w:rFonts w:eastAsia="Calibri"/>
                <w:b/>
                <w:sz w:val="18"/>
                <w:szCs w:val="18"/>
                <w:lang w:val="es-ES" w:eastAsia="en-US"/>
              </w:rPr>
              <w:t>Número de Proyectos</w:t>
            </w:r>
          </w:p>
        </w:tc>
      </w:tr>
      <w:tr w:rsidR="00FE2F2C" w:rsidRPr="00FE2F2C" w14:paraId="5A59C30F" w14:textId="77777777" w:rsidTr="00BC2DD8">
        <w:trPr>
          <w:jc w:val="center"/>
        </w:trPr>
        <w:tc>
          <w:tcPr>
            <w:tcW w:w="2694" w:type="dxa"/>
            <w:tcBorders>
              <w:top w:val="single" w:sz="4" w:space="0" w:color="auto"/>
              <w:left w:val="single" w:sz="4" w:space="0" w:color="auto"/>
              <w:bottom w:val="nil"/>
              <w:right w:val="single" w:sz="4" w:space="0" w:color="auto"/>
            </w:tcBorders>
            <w:vAlign w:val="center"/>
          </w:tcPr>
          <w:p w14:paraId="30305636"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Energía (Pemex y CFE)</w:t>
            </w:r>
          </w:p>
        </w:tc>
        <w:tc>
          <w:tcPr>
            <w:tcW w:w="1701" w:type="dxa"/>
            <w:tcBorders>
              <w:top w:val="single" w:sz="4" w:space="0" w:color="auto"/>
              <w:left w:val="single" w:sz="4" w:space="0" w:color="auto"/>
              <w:bottom w:val="nil"/>
              <w:right w:val="single" w:sz="4" w:space="0" w:color="auto"/>
            </w:tcBorders>
            <w:vAlign w:val="center"/>
          </w:tcPr>
          <w:p w14:paraId="49681E86"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3 897 902</w:t>
            </w:r>
          </w:p>
        </w:tc>
        <w:tc>
          <w:tcPr>
            <w:tcW w:w="1418" w:type="dxa"/>
            <w:tcBorders>
              <w:top w:val="single" w:sz="4" w:space="0" w:color="auto"/>
              <w:left w:val="single" w:sz="4" w:space="0" w:color="auto"/>
              <w:bottom w:val="nil"/>
              <w:right w:val="single" w:sz="4" w:space="0" w:color="auto"/>
            </w:tcBorders>
            <w:vAlign w:val="center"/>
          </w:tcPr>
          <w:p w14:paraId="3A67CA67"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50.3</w:t>
            </w:r>
          </w:p>
        </w:tc>
        <w:tc>
          <w:tcPr>
            <w:tcW w:w="1417" w:type="dxa"/>
            <w:tcBorders>
              <w:top w:val="single" w:sz="4" w:space="0" w:color="auto"/>
              <w:left w:val="single" w:sz="4" w:space="0" w:color="auto"/>
              <w:bottom w:val="nil"/>
              <w:right w:val="single" w:sz="4" w:space="0" w:color="auto"/>
            </w:tcBorders>
            <w:vAlign w:val="center"/>
          </w:tcPr>
          <w:p w14:paraId="3ACCB573"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262</w:t>
            </w:r>
          </w:p>
        </w:tc>
      </w:tr>
      <w:tr w:rsidR="00FE2F2C" w:rsidRPr="00FE2F2C" w14:paraId="294576B3" w14:textId="77777777" w:rsidTr="00BC2DD8">
        <w:trPr>
          <w:jc w:val="center"/>
        </w:trPr>
        <w:tc>
          <w:tcPr>
            <w:tcW w:w="2694" w:type="dxa"/>
            <w:tcBorders>
              <w:top w:val="nil"/>
              <w:left w:val="single" w:sz="4" w:space="0" w:color="auto"/>
              <w:bottom w:val="nil"/>
              <w:right w:val="single" w:sz="4" w:space="0" w:color="auto"/>
            </w:tcBorders>
            <w:vAlign w:val="center"/>
          </w:tcPr>
          <w:p w14:paraId="409CFED3"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Desarrollo urbano y vivienda</w:t>
            </w:r>
          </w:p>
        </w:tc>
        <w:tc>
          <w:tcPr>
            <w:tcW w:w="1701" w:type="dxa"/>
            <w:tcBorders>
              <w:top w:val="nil"/>
              <w:left w:val="single" w:sz="4" w:space="0" w:color="auto"/>
              <w:bottom w:val="nil"/>
              <w:right w:val="single" w:sz="4" w:space="0" w:color="auto"/>
            </w:tcBorders>
            <w:vAlign w:val="center"/>
          </w:tcPr>
          <w:p w14:paraId="61E8BF77"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1 860 741</w:t>
            </w:r>
          </w:p>
        </w:tc>
        <w:tc>
          <w:tcPr>
            <w:tcW w:w="1418" w:type="dxa"/>
            <w:tcBorders>
              <w:top w:val="nil"/>
              <w:left w:val="single" w:sz="4" w:space="0" w:color="auto"/>
              <w:bottom w:val="nil"/>
              <w:right w:val="single" w:sz="4" w:space="0" w:color="auto"/>
            </w:tcBorders>
            <w:vAlign w:val="center"/>
          </w:tcPr>
          <w:p w14:paraId="390617C4"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24.0</w:t>
            </w:r>
          </w:p>
        </w:tc>
        <w:tc>
          <w:tcPr>
            <w:tcW w:w="1417" w:type="dxa"/>
            <w:tcBorders>
              <w:top w:val="nil"/>
              <w:left w:val="single" w:sz="4" w:space="0" w:color="auto"/>
              <w:bottom w:val="nil"/>
              <w:right w:val="single" w:sz="4" w:space="0" w:color="auto"/>
            </w:tcBorders>
            <w:vAlign w:val="center"/>
          </w:tcPr>
          <w:p w14:paraId="39CA8462"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4</w:t>
            </w:r>
          </w:p>
        </w:tc>
      </w:tr>
      <w:tr w:rsidR="00FE2F2C" w:rsidRPr="00FE2F2C" w14:paraId="1AAA8D1E" w14:textId="77777777" w:rsidTr="00BC2DD8">
        <w:trPr>
          <w:jc w:val="center"/>
        </w:trPr>
        <w:tc>
          <w:tcPr>
            <w:tcW w:w="2694" w:type="dxa"/>
            <w:tcBorders>
              <w:top w:val="nil"/>
              <w:left w:val="single" w:sz="4" w:space="0" w:color="auto"/>
              <w:bottom w:val="nil"/>
              <w:right w:val="single" w:sz="4" w:space="0" w:color="auto"/>
            </w:tcBorders>
            <w:vAlign w:val="center"/>
          </w:tcPr>
          <w:p w14:paraId="68E7755C"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Comunicaciones y transportes</w:t>
            </w:r>
          </w:p>
        </w:tc>
        <w:tc>
          <w:tcPr>
            <w:tcW w:w="1701" w:type="dxa"/>
            <w:tcBorders>
              <w:top w:val="nil"/>
              <w:left w:val="single" w:sz="4" w:space="0" w:color="auto"/>
              <w:bottom w:val="nil"/>
              <w:right w:val="single" w:sz="4" w:space="0" w:color="auto"/>
            </w:tcBorders>
            <w:vAlign w:val="center"/>
          </w:tcPr>
          <w:p w14:paraId="128E3D71"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1 320 109</w:t>
            </w:r>
          </w:p>
        </w:tc>
        <w:tc>
          <w:tcPr>
            <w:tcW w:w="1418" w:type="dxa"/>
            <w:tcBorders>
              <w:top w:val="nil"/>
              <w:left w:val="single" w:sz="4" w:space="0" w:color="auto"/>
              <w:bottom w:val="nil"/>
              <w:right w:val="single" w:sz="4" w:space="0" w:color="auto"/>
            </w:tcBorders>
            <w:vAlign w:val="center"/>
          </w:tcPr>
          <w:p w14:paraId="75D7C48E"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17.0</w:t>
            </w:r>
          </w:p>
        </w:tc>
        <w:tc>
          <w:tcPr>
            <w:tcW w:w="1417" w:type="dxa"/>
            <w:tcBorders>
              <w:top w:val="nil"/>
              <w:left w:val="single" w:sz="4" w:space="0" w:color="auto"/>
              <w:bottom w:val="nil"/>
              <w:right w:val="single" w:sz="4" w:space="0" w:color="auto"/>
            </w:tcBorders>
            <w:vAlign w:val="center"/>
          </w:tcPr>
          <w:p w14:paraId="719C77BD"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223</w:t>
            </w:r>
          </w:p>
        </w:tc>
      </w:tr>
      <w:tr w:rsidR="00FE2F2C" w:rsidRPr="00FE2F2C" w14:paraId="0947D0E9" w14:textId="77777777" w:rsidTr="00BC2DD8">
        <w:trPr>
          <w:jc w:val="center"/>
        </w:trPr>
        <w:tc>
          <w:tcPr>
            <w:tcW w:w="2694" w:type="dxa"/>
            <w:tcBorders>
              <w:top w:val="nil"/>
              <w:left w:val="single" w:sz="4" w:space="0" w:color="auto"/>
              <w:bottom w:val="nil"/>
              <w:right w:val="single" w:sz="4" w:space="0" w:color="auto"/>
            </w:tcBorders>
            <w:vAlign w:val="center"/>
          </w:tcPr>
          <w:p w14:paraId="1BF46A54"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 xml:space="preserve">Hidráulico </w:t>
            </w:r>
          </w:p>
        </w:tc>
        <w:tc>
          <w:tcPr>
            <w:tcW w:w="1701" w:type="dxa"/>
            <w:tcBorders>
              <w:top w:val="nil"/>
              <w:left w:val="single" w:sz="4" w:space="0" w:color="auto"/>
              <w:bottom w:val="nil"/>
              <w:right w:val="single" w:sz="4" w:space="0" w:color="auto"/>
            </w:tcBorders>
            <w:vAlign w:val="center"/>
          </w:tcPr>
          <w:p w14:paraId="0A9FD55C"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417 756</w:t>
            </w:r>
          </w:p>
        </w:tc>
        <w:tc>
          <w:tcPr>
            <w:tcW w:w="1418" w:type="dxa"/>
            <w:tcBorders>
              <w:top w:val="nil"/>
              <w:left w:val="single" w:sz="4" w:space="0" w:color="auto"/>
              <w:bottom w:val="nil"/>
              <w:right w:val="single" w:sz="4" w:space="0" w:color="auto"/>
            </w:tcBorders>
            <w:vAlign w:val="center"/>
          </w:tcPr>
          <w:p w14:paraId="30C8F0C8"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5.4</w:t>
            </w:r>
          </w:p>
        </w:tc>
        <w:tc>
          <w:tcPr>
            <w:tcW w:w="1417" w:type="dxa"/>
            <w:tcBorders>
              <w:top w:val="nil"/>
              <w:left w:val="single" w:sz="4" w:space="0" w:color="auto"/>
              <w:bottom w:val="nil"/>
              <w:right w:val="single" w:sz="4" w:space="0" w:color="auto"/>
            </w:tcBorders>
            <w:vAlign w:val="center"/>
          </w:tcPr>
          <w:p w14:paraId="27C9F1A3"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84</w:t>
            </w:r>
          </w:p>
        </w:tc>
      </w:tr>
      <w:tr w:rsidR="00FE2F2C" w:rsidRPr="00FE2F2C" w14:paraId="035293E6" w14:textId="77777777" w:rsidTr="00BC2DD8">
        <w:trPr>
          <w:jc w:val="center"/>
        </w:trPr>
        <w:tc>
          <w:tcPr>
            <w:tcW w:w="2694" w:type="dxa"/>
            <w:tcBorders>
              <w:top w:val="nil"/>
              <w:left w:val="single" w:sz="4" w:space="0" w:color="auto"/>
              <w:bottom w:val="nil"/>
              <w:right w:val="single" w:sz="4" w:space="0" w:color="auto"/>
            </w:tcBorders>
            <w:vAlign w:val="center"/>
          </w:tcPr>
          <w:p w14:paraId="23263431"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 xml:space="preserve">Turismo </w:t>
            </w:r>
          </w:p>
        </w:tc>
        <w:tc>
          <w:tcPr>
            <w:tcW w:w="1701" w:type="dxa"/>
            <w:tcBorders>
              <w:top w:val="nil"/>
              <w:left w:val="single" w:sz="4" w:space="0" w:color="auto"/>
              <w:bottom w:val="nil"/>
              <w:right w:val="single" w:sz="4" w:space="0" w:color="auto"/>
            </w:tcBorders>
            <w:vAlign w:val="center"/>
          </w:tcPr>
          <w:p w14:paraId="0BAD0276"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181 242</w:t>
            </w:r>
          </w:p>
        </w:tc>
        <w:tc>
          <w:tcPr>
            <w:tcW w:w="1418" w:type="dxa"/>
            <w:tcBorders>
              <w:top w:val="nil"/>
              <w:left w:val="single" w:sz="4" w:space="0" w:color="auto"/>
              <w:bottom w:val="nil"/>
              <w:right w:val="single" w:sz="4" w:space="0" w:color="auto"/>
            </w:tcBorders>
            <w:vAlign w:val="center"/>
          </w:tcPr>
          <w:p w14:paraId="0744275C"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2.3</w:t>
            </w:r>
          </w:p>
        </w:tc>
        <w:tc>
          <w:tcPr>
            <w:tcW w:w="1417" w:type="dxa"/>
            <w:tcBorders>
              <w:top w:val="nil"/>
              <w:left w:val="single" w:sz="4" w:space="0" w:color="auto"/>
              <w:bottom w:val="nil"/>
              <w:right w:val="single" w:sz="4" w:space="0" w:color="auto"/>
            </w:tcBorders>
            <w:vAlign w:val="center"/>
          </w:tcPr>
          <w:p w14:paraId="5CA6BAA1"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83</w:t>
            </w:r>
          </w:p>
        </w:tc>
      </w:tr>
      <w:tr w:rsidR="00FE2F2C" w:rsidRPr="00FE2F2C" w14:paraId="13B6F0C2" w14:textId="77777777" w:rsidTr="00BC2DD8">
        <w:trPr>
          <w:jc w:val="center"/>
        </w:trPr>
        <w:tc>
          <w:tcPr>
            <w:tcW w:w="2694" w:type="dxa"/>
            <w:tcBorders>
              <w:top w:val="nil"/>
              <w:left w:val="single" w:sz="4" w:space="0" w:color="auto"/>
              <w:bottom w:val="nil"/>
              <w:right w:val="single" w:sz="4" w:space="0" w:color="auto"/>
            </w:tcBorders>
            <w:vAlign w:val="center"/>
          </w:tcPr>
          <w:p w14:paraId="12009721"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 xml:space="preserve">Salud </w:t>
            </w:r>
          </w:p>
        </w:tc>
        <w:tc>
          <w:tcPr>
            <w:tcW w:w="1701" w:type="dxa"/>
            <w:tcBorders>
              <w:top w:val="nil"/>
              <w:left w:val="single" w:sz="4" w:space="0" w:color="auto"/>
              <w:bottom w:val="nil"/>
              <w:right w:val="single" w:sz="4" w:space="0" w:color="auto"/>
            </w:tcBorders>
            <w:vAlign w:val="center"/>
          </w:tcPr>
          <w:p w14:paraId="3BB285C9"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72 801</w:t>
            </w:r>
          </w:p>
        </w:tc>
        <w:tc>
          <w:tcPr>
            <w:tcW w:w="1418" w:type="dxa"/>
            <w:tcBorders>
              <w:top w:val="nil"/>
              <w:left w:val="single" w:sz="4" w:space="0" w:color="auto"/>
              <w:bottom w:val="nil"/>
              <w:right w:val="single" w:sz="4" w:space="0" w:color="auto"/>
            </w:tcBorders>
            <w:vAlign w:val="center"/>
          </w:tcPr>
          <w:p w14:paraId="4AC354B9"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1.0</w:t>
            </w:r>
          </w:p>
        </w:tc>
        <w:tc>
          <w:tcPr>
            <w:tcW w:w="1417" w:type="dxa"/>
            <w:tcBorders>
              <w:top w:val="nil"/>
              <w:left w:val="single" w:sz="4" w:space="0" w:color="auto"/>
              <w:bottom w:val="nil"/>
              <w:right w:val="single" w:sz="4" w:space="0" w:color="auto"/>
            </w:tcBorders>
            <w:vAlign w:val="center"/>
          </w:tcPr>
          <w:p w14:paraId="42961BD7"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87</w:t>
            </w:r>
          </w:p>
        </w:tc>
      </w:tr>
      <w:tr w:rsidR="00FE2F2C" w:rsidRPr="00FE2F2C" w14:paraId="6DA1124D" w14:textId="77777777" w:rsidTr="00BC2DD8">
        <w:trPr>
          <w:jc w:val="center"/>
        </w:trPr>
        <w:tc>
          <w:tcPr>
            <w:tcW w:w="2694" w:type="dxa"/>
            <w:tcBorders>
              <w:top w:val="nil"/>
              <w:left w:val="single" w:sz="4" w:space="0" w:color="auto"/>
              <w:bottom w:val="single" w:sz="4" w:space="0" w:color="auto"/>
              <w:right w:val="single" w:sz="4" w:space="0" w:color="auto"/>
            </w:tcBorders>
            <w:vAlign w:val="center"/>
          </w:tcPr>
          <w:p w14:paraId="6C3EFA4C" w14:textId="77777777" w:rsidR="00FE2F2C" w:rsidRPr="00FE2F2C" w:rsidRDefault="00FE2F2C" w:rsidP="00FE2F2C">
            <w:pPr>
              <w:spacing w:before="20" w:after="20" w:line="276" w:lineRule="auto"/>
              <w:jc w:val="both"/>
              <w:rPr>
                <w:rFonts w:eastAsia="Calibri"/>
                <w:sz w:val="18"/>
                <w:szCs w:val="18"/>
                <w:lang w:val="es-ES" w:eastAsia="en-US"/>
              </w:rPr>
            </w:pPr>
            <w:r w:rsidRPr="00FE2F2C">
              <w:rPr>
                <w:rFonts w:eastAsia="Calibri"/>
                <w:sz w:val="18"/>
                <w:szCs w:val="18"/>
                <w:lang w:val="es-ES" w:eastAsia="en-US"/>
              </w:rPr>
              <w:t xml:space="preserve">Total </w:t>
            </w:r>
          </w:p>
        </w:tc>
        <w:tc>
          <w:tcPr>
            <w:tcW w:w="1701" w:type="dxa"/>
            <w:tcBorders>
              <w:top w:val="nil"/>
              <w:left w:val="single" w:sz="4" w:space="0" w:color="auto"/>
              <w:bottom w:val="single" w:sz="4" w:space="0" w:color="auto"/>
              <w:right w:val="single" w:sz="4" w:space="0" w:color="auto"/>
            </w:tcBorders>
            <w:vAlign w:val="center"/>
          </w:tcPr>
          <w:p w14:paraId="47151BD0" w14:textId="77777777" w:rsidR="00FE2F2C" w:rsidRPr="00FE2F2C" w:rsidRDefault="00FE2F2C" w:rsidP="00FE2F2C">
            <w:pPr>
              <w:spacing w:before="20" w:after="20" w:line="276" w:lineRule="auto"/>
              <w:ind w:right="318"/>
              <w:jc w:val="right"/>
              <w:rPr>
                <w:rFonts w:eastAsia="Calibri"/>
                <w:sz w:val="18"/>
                <w:szCs w:val="18"/>
                <w:lang w:val="es-ES" w:eastAsia="en-US"/>
              </w:rPr>
            </w:pPr>
            <w:r w:rsidRPr="00FE2F2C">
              <w:rPr>
                <w:rFonts w:eastAsia="Calibri"/>
                <w:sz w:val="18"/>
                <w:szCs w:val="18"/>
                <w:lang w:val="es-ES" w:eastAsia="en-US"/>
              </w:rPr>
              <w:t>7 750 551</w:t>
            </w:r>
          </w:p>
        </w:tc>
        <w:tc>
          <w:tcPr>
            <w:tcW w:w="1418" w:type="dxa"/>
            <w:tcBorders>
              <w:top w:val="nil"/>
              <w:left w:val="single" w:sz="4" w:space="0" w:color="auto"/>
              <w:bottom w:val="single" w:sz="4" w:space="0" w:color="auto"/>
              <w:right w:val="single" w:sz="4" w:space="0" w:color="auto"/>
            </w:tcBorders>
            <w:vAlign w:val="center"/>
          </w:tcPr>
          <w:p w14:paraId="0FD8CB1D" w14:textId="77777777" w:rsidR="00FE2F2C" w:rsidRPr="00FE2F2C" w:rsidRDefault="00FE2F2C" w:rsidP="00FE2F2C">
            <w:pPr>
              <w:spacing w:before="20" w:after="20" w:line="276" w:lineRule="auto"/>
              <w:ind w:right="382"/>
              <w:jc w:val="right"/>
              <w:rPr>
                <w:rFonts w:eastAsia="Calibri"/>
                <w:sz w:val="18"/>
                <w:szCs w:val="18"/>
                <w:lang w:val="es-ES" w:eastAsia="en-US"/>
              </w:rPr>
            </w:pPr>
            <w:r w:rsidRPr="00FE2F2C">
              <w:rPr>
                <w:rFonts w:eastAsia="Calibri"/>
                <w:sz w:val="18"/>
                <w:szCs w:val="18"/>
                <w:lang w:val="es-ES" w:eastAsia="en-US"/>
              </w:rPr>
              <w:t>100.0</w:t>
            </w:r>
          </w:p>
        </w:tc>
        <w:tc>
          <w:tcPr>
            <w:tcW w:w="1417" w:type="dxa"/>
            <w:tcBorders>
              <w:top w:val="nil"/>
              <w:left w:val="single" w:sz="4" w:space="0" w:color="auto"/>
              <w:bottom w:val="single" w:sz="4" w:space="0" w:color="auto"/>
              <w:right w:val="single" w:sz="4" w:space="0" w:color="auto"/>
            </w:tcBorders>
            <w:vAlign w:val="center"/>
          </w:tcPr>
          <w:p w14:paraId="0AF4D521" w14:textId="77777777" w:rsidR="00FE2F2C" w:rsidRPr="00FE2F2C" w:rsidRDefault="00FE2F2C" w:rsidP="00FE2F2C">
            <w:pPr>
              <w:spacing w:before="20" w:after="20" w:line="276" w:lineRule="auto"/>
              <w:ind w:right="381"/>
              <w:jc w:val="right"/>
              <w:rPr>
                <w:rFonts w:eastAsia="Calibri"/>
                <w:sz w:val="18"/>
                <w:szCs w:val="18"/>
                <w:lang w:val="es-ES" w:eastAsia="en-US"/>
              </w:rPr>
            </w:pPr>
            <w:r w:rsidRPr="00FE2F2C">
              <w:rPr>
                <w:rFonts w:eastAsia="Calibri"/>
                <w:sz w:val="18"/>
                <w:szCs w:val="18"/>
                <w:lang w:val="es-ES" w:eastAsia="en-US"/>
              </w:rPr>
              <w:t>743</w:t>
            </w:r>
          </w:p>
        </w:tc>
      </w:tr>
      <w:tr w:rsidR="00FE2F2C" w:rsidRPr="00FE2F2C" w14:paraId="0046D609" w14:textId="77777777" w:rsidTr="001D740F">
        <w:trPr>
          <w:jc w:val="center"/>
        </w:trPr>
        <w:tc>
          <w:tcPr>
            <w:tcW w:w="7230" w:type="dxa"/>
            <w:gridSpan w:val="4"/>
            <w:tcBorders>
              <w:top w:val="single" w:sz="4" w:space="0" w:color="auto"/>
              <w:left w:val="nil"/>
              <w:bottom w:val="nil"/>
              <w:right w:val="nil"/>
            </w:tcBorders>
            <w:vAlign w:val="center"/>
          </w:tcPr>
          <w:p w14:paraId="57480078" w14:textId="77777777" w:rsidR="00FE2F2C" w:rsidRPr="00FE2F2C" w:rsidRDefault="00FE2F2C" w:rsidP="00FE2F2C">
            <w:pPr>
              <w:spacing w:before="20" w:after="20" w:line="276" w:lineRule="auto"/>
              <w:jc w:val="both"/>
              <w:rPr>
                <w:rFonts w:eastAsia="Calibri"/>
                <w:sz w:val="20"/>
                <w:szCs w:val="20"/>
                <w:lang w:val="es-ES" w:eastAsia="en-US"/>
              </w:rPr>
            </w:pPr>
            <w:r w:rsidRPr="00FE2F2C">
              <w:rPr>
                <w:rFonts w:eastAsia="Calibri"/>
                <w:sz w:val="20"/>
                <w:szCs w:val="20"/>
                <w:lang w:val="es-ES" w:eastAsia="en-US"/>
              </w:rPr>
              <w:t>FUENTE: DOF. Plan Nacional de Infraestructura.</w:t>
            </w:r>
          </w:p>
        </w:tc>
      </w:tr>
    </w:tbl>
    <w:p w14:paraId="388DD3F6" w14:textId="77777777" w:rsidR="00FE2F2C" w:rsidRPr="00FE2F2C" w:rsidRDefault="00FE2F2C" w:rsidP="00FE2F2C">
      <w:pPr>
        <w:spacing w:after="360" w:line="360" w:lineRule="auto"/>
        <w:ind w:right="-159"/>
        <w:jc w:val="both"/>
        <w:rPr>
          <w:rFonts w:eastAsia="Calibri"/>
          <w:sz w:val="26"/>
          <w:szCs w:val="26"/>
          <w:lang w:val="es-ES" w:eastAsia="en-US"/>
        </w:rPr>
      </w:pPr>
    </w:p>
    <w:p w14:paraId="34096327" w14:textId="77777777" w:rsidR="00FE2F2C" w:rsidRPr="00FE2F2C" w:rsidRDefault="00FE2F2C" w:rsidP="00FE2F2C">
      <w:pPr>
        <w:spacing w:after="360" w:line="360" w:lineRule="auto"/>
        <w:ind w:right="-159"/>
        <w:jc w:val="both"/>
        <w:rPr>
          <w:rFonts w:eastAsia="Calibri"/>
          <w:b/>
          <w:sz w:val="26"/>
          <w:szCs w:val="26"/>
          <w:lang w:val="es-ES" w:eastAsia="en-US"/>
        </w:rPr>
      </w:pPr>
      <w:r w:rsidRPr="00FE2F2C">
        <w:rPr>
          <w:rFonts w:eastAsia="Calibri"/>
          <w:b/>
          <w:sz w:val="26"/>
          <w:szCs w:val="26"/>
          <w:lang w:val="es-ES" w:eastAsia="en-US"/>
        </w:rPr>
        <w:t xml:space="preserve">La estrategia del gobierno federal </w:t>
      </w:r>
    </w:p>
    <w:p w14:paraId="672DAEC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Programa Nacional para Democratizar la Productividad (PNDP) establece las acciones de gobierno encaminadas a eliminar los obstáculos que limitan el potencial productivo del país, incentivando el uso eficiente de los recursos productivos y, con ello, el aumento de la inversión interna y externa.</w:t>
      </w:r>
    </w:p>
    <w:p w14:paraId="5E96D970"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lastRenderedPageBreak/>
        <w:t>El diagnóstico que acompaña al PNDP señala que “dentro de los factores que explican el bajo crecimiento de la economía mexicana se identifican la insuficiente inversión en capital humano y en infraestructura”. Posteriormente, se arguye que “el lento crecimiento de México no es resultado de una inadecuada acumulación de factores”, ya que “la principal causa detrás de la modesta expansión de nuestra economía es la baja productividad”.</w:t>
      </w:r>
    </w:p>
    <w:p w14:paraId="5C20930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Esta paradoja de conceptos es similar a saber qué fue primero, ¿el huevo o la gallina? La claridad es fundamental para desarrollar una visión y una estrategia efectivas para detonar el crecimiento. En el caso de México, la baja productividad y, por tanto, el bajo crecimiento de la economía están relacionados a una reducida acumulación de factores (inversión), sobre todo a su deficiente calidad.</w:t>
      </w:r>
    </w:p>
    <w:p w14:paraId="68B53840"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bajo nivel de capital humano en México es resultado de la pobre inversión en educación y capacitación. El PNDP argumenta que “México ha logrado que el aumento en los años de escolaridad promedio de su población, de casi siete años entre 1950 y 2010, sea comparable al observado en Corea y sea superior al de países como Brasil, Chile y Estados Unidos de Norteamérica”.</w:t>
      </w:r>
    </w:p>
    <w:p w14:paraId="0B3BDEBF"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Esta comparación es ociosa cuando la productividad de la mano de obra mexicana, medida a través del PIB generado por hora, es cinco veces menor a la de Estados Unidos de Norteamérica. Aumentar los años de educación no es suficiente. Al mismo tiempo, se necesita invertir para desarrollar capital humano con habilidades especializadas, capaz de generar conocimiento e innovación, que mejore la productividad de la economía y otros aspectos fundamentales para el bienestar de la sociedad.</w:t>
      </w:r>
    </w:p>
    <w:p w14:paraId="12DD03A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Por otro lado, la lenta acumulación de capital físico y tecnológico existente redunda en una economía poco productiva y limitada para expandirse. México ocupa en el Índice Global de Competitividad 2014-2015 el lugar 65 de 144 en infraestructura, el 61 en innovación y el 79 en cuanto a disponibilidad de tecnología.</w:t>
      </w:r>
    </w:p>
    <w:p w14:paraId="43E1F55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lastRenderedPageBreak/>
        <w:t>La meta de inversión pública para este sexenio, según lo establecido en el Programa Nacional de Infraestructura, es de 7.75 billones de pesos, equivalente a 8.3% del PIB.</w:t>
      </w:r>
    </w:p>
    <w:p w14:paraId="4E8DABA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Bajo el actual contexto económico, es difícil que esta meta pueda alcanzarse. Resulta evidente que la caída en los precios del petróleo impone severas presiones a las finanzas públicas en el corto y mediano plazos. Por lo pronto, el recorte al gasto público por 124 mil millones de pesos —anunciado a finales de enero— necesariamente incluyó la postergación o cancelación de algunos proyectos de inversión, tales como el Tren México-Querétaro y el Tren Transpeninsular en Yucatán.</w:t>
      </w:r>
    </w:p>
    <w:p w14:paraId="2BFEDD1E" w14:textId="60E2BA1B"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Sin embargo, destaca la reducción del gasto en 72 mil millones de pesos para proyectos de Petróleos Mexicanos (Pemex) y la Comisión Federal de Electricidad (CFE). </w:t>
      </w:r>
      <w:r w:rsidR="00372137">
        <w:rPr>
          <w:rFonts w:eastAsia="Calibri"/>
          <w:sz w:val="26"/>
          <w:szCs w:val="26"/>
          <w:lang w:val="es-ES" w:eastAsia="en-US"/>
        </w:rPr>
        <w:t>É</w:t>
      </w:r>
      <w:r w:rsidRPr="00FE2F2C">
        <w:rPr>
          <w:rFonts w:eastAsia="Calibri"/>
          <w:sz w:val="26"/>
          <w:szCs w:val="26"/>
          <w:lang w:val="es-ES" w:eastAsia="en-US"/>
        </w:rPr>
        <w:t>sta es una afectación importante si se considera que dentro del Plan Nacional de Infraestructura, el 50% de los recursos destinados a inversión pertenece al sector energético.</w:t>
      </w:r>
    </w:p>
    <w:p w14:paraId="6B758B4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 pregunta es ¿cómo elevar la inversión en una época de incertidumbre económica? Sin duda, la mejor opción es la complementariedad entre la inversión pública y privada, sobre todo, para desarrollar proyectos que promuevan el aumento de capacidades competitivas de nuestra economía.</w:t>
      </w:r>
    </w:p>
    <w:p w14:paraId="176C482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Sin embargo, detonar el potencial y los beneficios de estas asociaciones de inversión depende de importantes aspectos institucionales. México aún requiere desarrollar un capital institucional que brinde certidumbre sobre los derechos de propiedad y genere condiciones de seguridad y confianza, a fin de que el sector privado pueda arriesgar montos sustanciales de recursos en este tipo de proyectos de inversión.</w:t>
      </w:r>
    </w:p>
    <w:p w14:paraId="3017FC3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En el país se han eliminado grandes obstáculos constitucionales a la inversión en sectores clave. Sin embargo, persisten debilidades críticas en aspectos institucionales y </w:t>
      </w:r>
      <w:r w:rsidRPr="00FE2F2C">
        <w:rPr>
          <w:rFonts w:eastAsia="Calibri"/>
          <w:sz w:val="26"/>
          <w:szCs w:val="26"/>
          <w:lang w:val="es-ES" w:eastAsia="en-US"/>
        </w:rPr>
        <w:lastRenderedPageBreak/>
        <w:t>regulatorios que impiden crear condiciones óptimas para que la inversión sea un detonante real del crecimiento.</w:t>
      </w:r>
    </w:p>
    <w:p w14:paraId="2333CF3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Finalmente, reforzar el espectro institucional es fundamental para que los beneficios de la inversión se expandan hacia el resto de la economía y para que ganancias provenientes de las grandes reformas estructurales no se concentren en unos cuantos sectores, tal como ocurrió en el pasado.</w:t>
      </w:r>
    </w:p>
    <w:p w14:paraId="15A0D61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Sólo así será posible elevar la eficiencia total de la economía.</w:t>
      </w:r>
    </w:p>
    <w:p w14:paraId="5641B573" w14:textId="77777777" w:rsidR="00FE2F2C" w:rsidRPr="00FE2F2C" w:rsidRDefault="00FE2F2C" w:rsidP="00FE2F2C">
      <w:pPr>
        <w:ind w:right="-159"/>
        <w:jc w:val="both"/>
        <w:rPr>
          <w:rFonts w:eastAsia="Calibri"/>
          <w:b/>
          <w:sz w:val="20"/>
          <w:szCs w:val="20"/>
          <w:lang w:eastAsia="en-US"/>
        </w:rPr>
      </w:pPr>
      <w:r w:rsidRPr="00FE2F2C">
        <w:rPr>
          <w:rFonts w:eastAsia="Calibri"/>
          <w:b/>
          <w:sz w:val="20"/>
          <w:szCs w:val="20"/>
          <w:lang w:eastAsia="en-US"/>
        </w:rPr>
        <w:t>Fuente de información:</w:t>
      </w:r>
    </w:p>
    <w:p w14:paraId="31DAE41B" w14:textId="77777777" w:rsidR="00FE2F2C" w:rsidRPr="00372137" w:rsidRDefault="0045651A" w:rsidP="00372137">
      <w:pPr>
        <w:spacing w:after="720"/>
        <w:ind w:right="-159"/>
        <w:jc w:val="both"/>
        <w:rPr>
          <w:rFonts w:eastAsia="Calibri"/>
          <w:b/>
          <w:color w:val="0000FF"/>
          <w:sz w:val="20"/>
          <w:szCs w:val="20"/>
          <w:lang w:val="es-ES" w:eastAsia="en-US"/>
        </w:rPr>
      </w:pPr>
      <w:hyperlink r:id="rId63" w:history="1">
        <w:r w:rsidR="00FE2F2C" w:rsidRPr="00372137">
          <w:rPr>
            <w:rFonts w:eastAsia="Calibri"/>
            <w:color w:val="0000FF"/>
            <w:sz w:val="20"/>
            <w:szCs w:val="20"/>
            <w:u w:val="single"/>
            <w:lang w:val="es-ES" w:eastAsia="en-US"/>
          </w:rPr>
          <w:t>http://www.forbes.com.mx/inversion-la-pieza-que-falta-para-crecer-en-mexico-y-al/</w:t>
        </w:r>
      </w:hyperlink>
    </w:p>
    <w:p w14:paraId="366F68AD"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Reporte del Sistema de Ahorro para el Retiro en México (Amafore)</w:t>
      </w:r>
    </w:p>
    <w:p w14:paraId="6B0F7B5A"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El 16 de abril de 2015, la Asociación Mexicana de Afores (Amafore) dio a conocer el “Reporte del Sistema de Ahorro para el Retiro en México”, el cual se presenta a continuación.</w:t>
      </w:r>
    </w:p>
    <w:p w14:paraId="4BFC28FA"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Desempeño del Sistema</w:t>
      </w:r>
    </w:p>
    <w:p w14:paraId="23BCCD46"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Al cierre de marzo de 2015, el SAR administra un total de 2.44 billones de pesos, que representan el 14.3% del Producto Interno Bruto (PIB). Respecto del mismo período del año en 2014, los Activos Netos registraron un crecimiento de 15.2% y un incremento de 322 mil millones de pesos en términos netos.</w:t>
      </w:r>
    </w:p>
    <w:p w14:paraId="1D1BB0BA"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Durante el mismo período, el SAR administra 52.9 millones de Cuentas Individuales. Dicha cifra tuvo un crecimiento de 4.2% con respecto al cierre de marzo de 2014, así como un incremento neto de 2.2 millones de cuentas. Además, durante el sexto bimestre de 2014 se observa una Densidad de Contribución de 92.7% de los trabajadores activos cotizantes al Instituto Mexicano del Seguro Social (IMSS), con una aportación </w:t>
      </w:r>
      <w:r w:rsidRPr="001B6399">
        <w:rPr>
          <w:rFonts w:eastAsia="Calibri"/>
          <w:sz w:val="26"/>
          <w:szCs w:val="26"/>
          <w:lang w:eastAsia="en-US"/>
        </w:rPr>
        <w:lastRenderedPageBreak/>
        <w:t>promedio en el Sistema de un mil 199 pesos bimestrales, lo cual equivale a 0.29 salarios mínimos (SM) mensuales.</w:t>
      </w:r>
    </w:p>
    <w:p w14:paraId="4A578F2F" w14:textId="23686E9E"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En marzo de 2015</w:t>
      </w:r>
      <w:r w:rsidR="00372137">
        <w:rPr>
          <w:rFonts w:eastAsia="Calibri"/>
          <w:sz w:val="26"/>
          <w:szCs w:val="26"/>
          <w:lang w:eastAsia="en-US"/>
        </w:rPr>
        <w:t>,</w:t>
      </w:r>
      <w:r w:rsidRPr="001B6399">
        <w:rPr>
          <w:rFonts w:eastAsia="Calibri"/>
          <w:sz w:val="26"/>
          <w:szCs w:val="26"/>
          <w:lang w:eastAsia="en-US"/>
        </w:rPr>
        <w:t xml:space="preserve"> el SAR registra un rendimiento ponderado histórico anual de 11.8% nominal y 5.6% real.</w:t>
      </w:r>
    </w:p>
    <w:p w14:paraId="1C1CE015"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Fuentes de Financiamiento en la Vejez</w:t>
      </w:r>
    </w:p>
    <w:p w14:paraId="1ACD4F96"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De acuerdo con la encuesta “Ahorro y Futuro: ¿cómo se preparan los mexicanos para su retiro?”, los ahorros distintos a la pensión representan la principal fuente de ingreso en la vejez para personas que tienen un ingreso entre 3 mil y 12 mil 999 pesos mensuales. Para personas con un ingreso superior a este monto, la principal fuente de financiamiento será la pensión. Para personas con un ingreso menor a 3 mil pesos su principal fuente de financiamiento serán los ingresos por seguir trabajando.</w:t>
      </w:r>
    </w:p>
    <w:p w14:paraId="5172EBAF"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Este último grupo de personas será el que más requiera de ayuda de familiares o amigos para financiar su vejez, mientras aproximadamente el 25% de la población con ingresos entre 3 mil y 20 mil necesitará esta ayuda. Por su parte, el 12% de personas con ingresos superiores a 20 mil también lo requerirá.</w:t>
      </w:r>
    </w:p>
    <w:p w14:paraId="40C86946"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lastRenderedPageBreak/>
        <w:drawing>
          <wp:inline distT="0" distB="0" distL="0" distR="0" wp14:anchorId="1D5C8EEE" wp14:editId="02E40ED7">
            <wp:extent cx="5612130" cy="3627543"/>
            <wp:effectExtent l="0" t="0" r="0" b="0"/>
            <wp:docPr id="1902" name="Imagen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12130" cy="3627543"/>
                    </a:xfrm>
                    <a:prstGeom prst="rect">
                      <a:avLst/>
                    </a:prstGeom>
                    <a:noFill/>
                    <a:ln>
                      <a:noFill/>
                    </a:ln>
                  </pic:spPr>
                </pic:pic>
              </a:graphicData>
            </a:graphic>
          </wp:inline>
        </w:drawing>
      </w:r>
    </w:p>
    <w:p w14:paraId="637B6DF5"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Activos Netos</w:t>
      </w:r>
    </w:p>
    <w:p w14:paraId="11362D71"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Al cierre de marzo de 2015, el SAR administra un total de 2.4 billones de pesos, los cuales son invertidos en una cartera diversificada por cada Sociedad de Inversión Especializada en Fondos para el Retiro (Siefore).</w:t>
      </w:r>
    </w:p>
    <w:p w14:paraId="667A0EEE"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Históricamente, la mayor proporción de inversión de Activos Netos con respecto al total se realiza en Deuda Gubernamental, seguida de Deuda Privada Nacional y Renta Variable Internacional. En menor proporción se invierte en Renta Variable Nacional, Estructurados, Deuda Internacional y Mercancías. </w:t>
      </w:r>
    </w:p>
    <w:p w14:paraId="739BBA37"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A pesar de que la proporción de inversión en Deuda Gubernamental ha ido disminuyendo año con año, al cierre de marzo de 2015 se invirtió el 50.8% del total de la cartera. Esto equivale a 1.24 billones de pesos y a 7.28% del PIB.</w:t>
      </w:r>
    </w:p>
    <w:p w14:paraId="3843D68D" w14:textId="7868742B"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lastRenderedPageBreak/>
        <w:t>Durante el mismo período</w:t>
      </w:r>
      <w:r w:rsidR="00372137">
        <w:rPr>
          <w:rFonts w:eastAsia="Calibri"/>
          <w:sz w:val="26"/>
          <w:szCs w:val="26"/>
          <w:lang w:eastAsia="en-US"/>
        </w:rPr>
        <w:t>,</w:t>
      </w:r>
      <w:r w:rsidRPr="001B6399">
        <w:rPr>
          <w:rFonts w:eastAsia="Calibri"/>
          <w:sz w:val="26"/>
          <w:szCs w:val="26"/>
          <w:lang w:eastAsia="en-US"/>
        </w:rPr>
        <w:t xml:space="preserve"> las inversiones en Deuda Privada Nacional ascienden a      0.46 billones de pesos, Renta Variable Internacional con 0.42 billones de pesos, Renta Variable Nacional con 0.17 billones, Estructurados con 0.13 billones y Deuda Internacional y Mercancías con 0.03 billones. </w:t>
      </w:r>
    </w:p>
    <w:p w14:paraId="1D8AC1C1"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El crecimiento de los Activos Netos en marzo de 2015 respecto de diciembre de 2014 fue de 3.0 por ciento.</w:t>
      </w:r>
    </w:p>
    <w:p w14:paraId="6F37DD7B"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021A016F" wp14:editId="3AB5C310">
            <wp:extent cx="5245735" cy="3373120"/>
            <wp:effectExtent l="0" t="0" r="0" b="0"/>
            <wp:docPr id="1903" name="Imagen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45735" cy="3373120"/>
                    </a:xfrm>
                    <a:prstGeom prst="rect">
                      <a:avLst/>
                    </a:prstGeom>
                    <a:noFill/>
                    <a:ln>
                      <a:noFill/>
                    </a:ln>
                  </pic:spPr>
                </pic:pic>
              </a:graphicData>
            </a:graphic>
          </wp:inline>
        </w:drawing>
      </w:r>
    </w:p>
    <w:p w14:paraId="113BB083"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 xml:space="preserve">Rendimientos </w:t>
      </w:r>
    </w:p>
    <w:p w14:paraId="39EF4B6F"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El Índice de Rendimiento permite conocer la evolución de las plusvalías acumuladas por la inversión de los recursos acumulados en el SAR en el largo plazo. En la gráfica siguiente se aprecia la evolución de los rendimientos acumulados del SAR en contraste con los obtenidos por la Renta Variable (IPC) y la Deuda Gubernamental en los últimos cinco años.</w:t>
      </w:r>
    </w:p>
    <w:p w14:paraId="2C2DC3DB"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lastRenderedPageBreak/>
        <w:t>Históricamente, los rendimientos de las Siefores han resultado competitivos con respecto a otras alternativas de inversión.</w:t>
      </w:r>
    </w:p>
    <w:p w14:paraId="72BF7CED" w14:textId="068FDE14"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Si se toma como referencia una inversión iniciada el 31 de diciembre de 2009, se observa que los rendimientos del SAR han tenido mejor desempeño que la Deuda Gubernamental y la Renta Variable, situación que se explica por la alta volatilidad que </w:t>
      </w:r>
      <w:r w:rsidR="00372137">
        <w:rPr>
          <w:rFonts w:eastAsia="Calibri"/>
          <w:sz w:val="26"/>
          <w:szCs w:val="26"/>
          <w:lang w:eastAsia="en-US"/>
        </w:rPr>
        <w:t>e</w:t>
      </w:r>
      <w:r w:rsidRPr="001B6399">
        <w:rPr>
          <w:rFonts w:eastAsia="Calibri"/>
          <w:sz w:val="26"/>
          <w:szCs w:val="26"/>
          <w:lang w:eastAsia="en-US"/>
        </w:rPr>
        <w:t>sta última ha presentado en los últimos años.</w:t>
      </w:r>
    </w:p>
    <w:p w14:paraId="37287E2B"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De enero de 2010 a marzo de 2015, las Siefore alcanzan un rendimiento nominal anual promedio de 9.9% (antes de comisiones), mientras que la Deuda Gubernamental alcanzó 6.5% y la Bolsa 6.2% nominal. </w:t>
      </w:r>
    </w:p>
    <w:p w14:paraId="277D0B05"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En contraste, los rendimientos históricos del SAR, desde julio de 1997 al cierre de marzo de 2015, fueron de 11.8% nominal anual y 5.6% real anual.</w:t>
      </w:r>
    </w:p>
    <w:p w14:paraId="031C78AA"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lastRenderedPageBreak/>
        <w:drawing>
          <wp:inline distT="0" distB="0" distL="0" distR="0" wp14:anchorId="6A090F14" wp14:editId="78945565">
            <wp:extent cx="5085080" cy="4460875"/>
            <wp:effectExtent l="0" t="0" r="1270" b="0"/>
            <wp:docPr id="1904" name="Imagen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85080" cy="4460875"/>
                    </a:xfrm>
                    <a:prstGeom prst="rect">
                      <a:avLst/>
                    </a:prstGeom>
                    <a:noFill/>
                    <a:ln>
                      <a:noFill/>
                    </a:ln>
                  </pic:spPr>
                </pic:pic>
              </a:graphicData>
            </a:graphic>
          </wp:inline>
        </w:drawing>
      </w:r>
    </w:p>
    <w:p w14:paraId="764DCDEC" w14:textId="77777777" w:rsidR="001B6399" w:rsidRPr="001B6399" w:rsidRDefault="001B6399" w:rsidP="001B6399">
      <w:pPr>
        <w:spacing w:after="360" w:line="360" w:lineRule="auto"/>
        <w:ind w:right="-159"/>
        <w:jc w:val="both"/>
        <w:rPr>
          <w:rFonts w:eastAsia="Calibri"/>
          <w:b/>
          <w:sz w:val="26"/>
          <w:szCs w:val="26"/>
          <w:lang w:eastAsia="en-US"/>
        </w:rPr>
      </w:pPr>
    </w:p>
    <w:p w14:paraId="21E1D179" w14:textId="77777777" w:rsidR="001B6399" w:rsidRPr="001B6399" w:rsidRDefault="001B6399" w:rsidP="001B6399">
      <w:pPr>
        <w:spacing w:after="360" w:line="360" w:lineRule="auto"/>
        <w:ind w:right="-159"/>
        <w:jc w:val="center"/>
        <w:rPr>
          <w:rFonts w:eastAsia="Calibri"/>
          <w:b/>
          <w:sz w:val="26"/>
          <w:szCs w:val="26"/>
          <w:lang w:eastAsia="en-US"/>
        </w:rPr>
      </w:pPr>
      <w:r w:rsidRPr="001B6399">
        <w:rPr>
          <w:rFonts w:ascii="Calibri" w:eastAsia="Calibri" w:hAnsi="Calibri"/>
          <w:noProof/>
          <w:sz w:val="22"/>
          <w:szCs w:val="22"/>
          <w:lang w:eastAsia="es-MX"/>
        </w:rPr>
        <w:drawing>
          <wp:inline distT="0" distB="0" distL="0" distR="0" wp14:anchorId="6D9CE971" wp14:editId="37B487AA">
            <wp:extent cx="3663744" cy="2051572"/>
            <wp:effectExtent l="0" t="0" r="0" b="0"/>
            <wp:docPr id="1905" name="Imagen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73835" cy="2057222"/>
                    </a:xfrm>
                    <a:prstGeom prst="rect">
                      <a:avLst/>
                    </a:prstGeom>
                    <a:noFill/>
                    <a:ln>
                      <a:noFill/>
                    </a:ln>
                  </pic:spPr>
                </pic:pic>
              </a:graphicData>
            </a:graphic>
          </wp:inline>
        </w:drawing>
      </w:r>
    </w:p>
    <w:p w14:paraId="6F2DC760" w14:textId="77777777" w:rsidR="001B6399" w:rsidRPr="001B6399" w:rsidRDefault="001B6399" w:rsidP="001B6399">
      <w:pPr>
        <w:spacing w:after="360" w:line="360" w:lineRule="auto"/>
        <w:ind w:right="-159"/>
        <w:jc w:val="both"/>
        <w:rPr>
          <w:rFonts w:eastAsia="Calibri"/>
          <w:b/>
          <w:sz w:val="26"/>
          <w:szCs w:val="26"/>
          <w:lang w:eastAsia="en-US"/>
        </w:rPr>
      </w:pPr>
    </w:p>
    <w:p w14:paraId="4A46A576"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lastRenderedPageBreak/>
        <w:t>Estructura por Edad de la Población</w:t>
      </w:r>
    </w:p>
    <w:p w14:paraId="134675D0"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A partir de julio de 1997, el régimen pensionario vigente hasta esa fecha (Sistema de Reparto) fue sustituido por el nuevo Sistema de Capitalización Individual o de Beneficio Definido. </w:t>
      </w:r>
    </w:p>
    <w:p w14:paraId="11226D27"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En el régimen de Capitalización Individual cada trabajador formal debe tener una cuenta personal, donde se depositarán los recursos con los cuales se financiará su jubilación. A los trabajadores Independientes también se les permite disponer de una Cuenta Individual. </w:t>
      </w:r>
    </w:p>
    <w:p w14:paraId="70C23AAC"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De acuerdo con datos del IMSS, al cierre de diciembre de 2012, la mayor proporción de trabajadores de transición tiene entre 39 y 40 años de edad, comparada con los trabajadores de la generación “Ley 97”, en donde la mayor proporción de trabajadores tiene entre 24 y 30 años de edad.</w:t>
      </w:r>
    </w:p>
    <w:p w14:paraId="6651B997"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En 2015, la generación “Ley 97” tiene una oportunidad de capitalizar su ahorro en el SAR por alrededor de 35 años, en promedio.</w:t>
      </w:r>
    </w:p>
    <w:p w14:paraId="6849BF47"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23C56917" wp14:editId="675D5325">
            <wp:extent cx="5612130" cy="2552468"/>
            <wp:effectExtent l="0" t="0" r="0" b="0"/>
            <wp:docPr id="1906" name="Imagen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12130" cy="2552468"/>
                    </a:xfrm>
                    <a:prstGeom prst="rect">
                      <a:avLst/>
                    </a:prstGeom>
                    <a:noFill/>
                    <a:ln>
                      <a:noFill/>
                    </a:ln>
                  </pic:spPr>
                </pic:pic>
              </a:graphicData>
            </a:graphic>
          </wp:inline>
        </w:drawing>
      </w:r>
    </w:p>
    <w:p w14:paraId="703BF66F" w14:textId="77777777" w:rsidR="001B6399" w:rsidRPr="001B6399" w:rsidRDefault="001B6399" w:rsidP="001B6399">
      <w:pPr>
        <w:spacing w:after="360" w:line="360" w:lineRule="auto"/>
        <w:ind w:right="-159"/>
        <w:jc w:val="both"/>
        <w:rPr>
          <w:rFonts w:eastAsia="Calibri"/>
          <w:b/>
          <w:sz w:val="26"/>
          <w:szCs w:val="26"/>
          <w:lang w:eastAsia="en-US"/>
        </w:rPr>
      </w:pPr>
    </w:p>
    <w:p w14:paraId="4769F2E4"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lastRenderedPageBreak/>
        <w:t>Cuentas IMSS- ISSSTE</w:t>
      </w:r>
    </w:p>
    <w:p w14:paraId="4697E454"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Del total de 52.9 millones de Cuentas Administradas por el Sistema en marzo de 2015, 31.2% corresponde a trabajadores asignados, mientras que 68.8%, a trabajadores registrados. De las 36.4 millones de cuentas registradas que administran las Administradoras de Fondos para el Retiro (Afores), 34.9 millones corresponden a trabajadores IMSS, 1.3 millones a trabajadores del Instituto de Seguridad y Servicios Sociales de los Trabajadores del Estado (ISSSTE) y 0.3 millones a trabajadores Independientes. De acuerdo con el Instituto Nacional de Estadística y Geografía (INEGI), sólo cuatro de cada 10 trabajadores en México desempeña actividades en la formalidad.</w:t>
      </w:r>
    </w:p>
    <w:p w14:paraId="4C1F39A4"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A pesar de que en el SAR se permite a los trabajadores independientes tener una Cuenta Individual, sólo 0.3 millones la tienen, por lo que se deben impulsar campañas de información para dar a conocer a estos trabajadores los beneficios de participar en el SAR.</w:t>
      </w:r>
    </w:p>
    <w:p w14:paraId="64F31B39"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024BB0B3" wp14:editId="2CC678FA">
            <wp:extent cx="5612130" cy="2508508"/>
            <wp:effectExtent l="0" t="0" r="0" b="0"/>
            <wp:docPr id="1907" name="Imagen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12130" cy="2508508"/>
                    </a:xfrm>
                    <a:prstGeom prst="rect">
                      <a:avLst/>
                    </a:prstGeom>
                    <a:noFill/>
                    <a:ln>
                      <a:noFill/>
                    </a:ln>
                  </pic:spPr>
                </pic:pic>
              </a:graphicData>
            </a:graphic>
          </wp:inline>
        </w:drawing>
      </w:r>
    </w:p>
    <w:p w14:paraId="5D6840F5" w14:textId="77777777" w:rsidR="001B6399" w:rsidRPr="001B6399" w:rsidRDefault="001B6399" w:rsidP="001B6399">
      <w:pPr>
        <w:spacing w:after="360" w:line="360" w:lineRule="auto"/>
        <w:ind w:right="-159"/>
        <w:jc w:val="both"/>
        <w:rPr>
          <w:rFonts w:eastAsia="Calibri"/>
          <w:b/>
          <w:sz w:val="26"/>
          <w:szCs w:val="26"/>
          <w:lang w:eastAsia="en-US"/>
        </w:rPr>
      </w:pPr>
    </w:p>
    <w:p w14:paraId="0390DC63" w14:textId="77777777" w:rsidR="001B6399" w:rsidRPr="001B6399" w:rsidRDefault="001B6399" w:rsidP="001B6399">
      <w:pPr>
        <w:spacing w:after="360" w:line="360" w:lineRule="auto"/>
        <w:ind w:right="-159"/>
        <w:jc w:val="both"/>
        <w:rPr>
          <w:rFonts w:eastAsia="Calibri"/>
          <w:b/>
          <w:sz w:val="26"/>
          <w:szCs w:val="26"/>
          <w:lang w:eastAsia="en-US"/>
        </w:rPr>
      </w:pPr>
    </w:p>
    <w:p w14:paraId="67636C39"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lastRenderedPageBreak/>
        <w:t>Cuentas Activas</w:t>
      </w:r>
    </w:p>
    <w:p w14:paraId="6C3BB1A1"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El número de Cuentas Activas en el SAR se encuentra directamente relacionado con la tasa de formalidad y ésta, a su vez, con la economía del país. </w:t>
      </w:r>
    </w:p>
    <w:p w14:paraId="491A4F0B"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El SAR registra en los últimos tres años una tasa de crecimiento positiva en el número de Cuentas Activas. </w:t>
      </w:r>
    </w:p>
    <w:p w14:paraId="11574605"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Al cierre de diciembre de 2014, el SAR registra un total de 17.7 millones de Cuentas Activas, en contraste con 17 millones registradas el mismo período un año atrás. </w:t>
      </w:r>
    </w:p>
    <w:p w14:paraId="5C25EC4E"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Lo anterior representa un incremento de 4.3% en dicho período. A partir de diciembre de 2011 se ha tenido un crecimiento promedio anual de 4.10 por ciento.</w:t>
      </w:r>
    </w:p>
    <w:p w14:paraId="35E758E8"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551BE045" wp14:editId="2977928E">
            <wp:extent cx="3840360" cy="2947086"/>
            <wp:effectExtent l="0" t="0" r="8255" b="0"/>
            <wp:docPr id="1908" name="Imagen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r="12924"/>
                    <a:stretch/>
                  </pic:blipFill>
                  <pic:spPr bwMode="auto">
                    <a:xfrm>
                      <a:off x="0" y="0"/>
                      <a:ext cx="3844259" cy="2950078"/>
                    </a:xfrm>
                    <a:prstGeom prst="rect">
                      <a:avLst/>
                    </a:prstGeom>
                    <a:noFill/>
                    <a:ln>
                      <a:noFill/>
                    </a:ln>
                    <a:extLst>
                      <a:ext uri="{53640926-AAD7-44D8-BBD7-CCE9431645EC}">
                        <a14:shadowObscured xmlns:a14="http://schemas.microsoft.com/office/drawing/2010/main"/>
                      </a:ext>
                    </a:extLst>
                  </pic:spPr>
                </pic:pic>
              </a:graphicData>
            </a:graphic>
          </wp:inline>
        </w:drawing>
      </w:r>
    </w:p>
    <w:p w14:paraId="074A9DB1"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Densidad de Contribución</w:t>
      </w:r>
    </w:p>
    <w:p w14:paraId="549047DF"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La Densidad de Contribución nos permite determinar la proporción de aportaciones que realizan los trabajadores activos cotizantes al IMSS con respecto del total de aportaciones posibles en el período.</w:t>
      </w:r>
    </w:p>
    <w:p w14:paraId="3E22152C"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lastRenderedPageBreak/>
        <w:t>Durante el sexto bimestre de 2014, la Densidad de Contribución resultante alcanzó el 92.7%. En promedio, los trabajadores cotizaron 56.5 días, en contraste con 55.1 días durante el quinto bimestre de 2014.</w:t>
      </w:r>
    </w:p>
    <w:p w14:paraId="3C9306B0"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Por un lado, la variabilidad en la Densidad de Contribución está influida por la inestabilidad laboral de los trabajadores. El paso de la informalidad a la formalidad y viceversa repercute directamente en el tiempo de cotización mínimo que un trabajador debe tener para alcanzar una pensión determinada.</w:t>
      </w:r>
    </w:p>
    <w:p w14:paraId="6F744F46"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Por otro lado, se observa que los trabajadores con menores ingresos presentan una Densidad de Contribución menor a la de trabajadores con ingresos superiores.</w:t>
      </w:r>
    </w:p>
    <w:tbl>
      <w:tblPr>
        <w:tblW w:w="0" w:type="auto"/>
        <w:jc w:val="center"/>
        <w:tblLayout w:type="fixed"/>
        <w:tblLook w:val="04A0" w:firstRow="1" w:lastRow="0" w:firstColumn="1" w:lastColumn="0" w:noHBand="0" w:noVBand="1"/>
      </w:tblPr>
      <w:tblGrid>
        <w:gridCol w:w="2126"/>
        <w:gridCol w:w="2552"/>
        <w:gridCol w:w="1838"/>
      </w:tblGrid>
      <w:tr w:rsidR="001B6399" w:rsidRPr="001B6399" w14:paraId="70053F8A" w14:textId="77777777" w:rsidTr="00AF7C3F">
        <w:trPr>
          <w:jc w:val="center"/>
        </w:trPr>
        <w:tc>
          <w:tcPr>
            <w:tcW w:w="2126" w:type="dxa"/>
            <w:tcBorders>
              <w:top w:val="single" w:sz="4" w:space="0" w:color="auto"/>
              <w:left w:val="single" w:sz="4" w:space="0" w:color="auto"/>
              <w:bottom w:val="single" w:sz="4" w:space="0" w:color="auto"/>
              <w:right w:val="single" w:sz="4" w:space="0" w:color="auto"/>
            </w:tcBorders>
          </w:tcPr>
          <w:p w14:paraId="5C121941"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Ingreso</w:t>
            </w:r>
          </w:p>
          <w:p w14:paraId="3D5FB0F3"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(Salarios Mínimos)</w:t>
            </w:r>
          </w:p>
        </w:tc>
        <w:tc>
          <w:tcPr>
            <w:tcW w:w="2552" w:type="dxa"/>
            <w:tcBorders>
              <w:top w:val="single" w:sz="4" w:space="0" w:color="auto"/>
              <w:left w:val="single" w:sz="4" w:space="0" w:color="auto"/>
              <w:bottom w:val="single" w:sz="4" w:space="0" w:color="auto"/>
              <w:right w:val="single" w:sz="4" w:space="0" w:color="auto"/>
            </w:tcBorders>
          </w:tcPr>
          <w:p w14:paraId="1B14280E"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Días Cotizados Promedio</w:t>
            </w:r>
          </w:p>
          <w:p w14:paraId="6F516964"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(61 días–6º  Bimestre 2014)</w:t>
            </w:r>
          </w:p>
        </w:tc>
        <w:tc>
          <w:tcPr>
            <w:tcW w:w="1838" w:type="dxa"/>
            <w:tcBorders>
              <w:top w:val="single" w:sz="4" w:space="0" w:color="auto"/>
              <w:left w:val="single" w:sz="4" w:space="0" w:color="auto"/>
              <w:bottom w:val="single" w:sz="4" w:space="0" w:color="auto"/>
              <w:right w:val="single" w:sz="4" w:space="0" w:color="auto"/>
            </w:tcBorders>
          </w:tcPr>
          <w:p w14:paraId="21450609"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Densidad de Contribución (%)</w:t>
            </w:r>
          </w:p>
        </w:tc>
      </w:tr>
      <w:tr w:rsidR="001B6399" w:rsidRPr="001B6399" w14:paraId="535EC907" w14:textId="77777777" w:rsidTr="00AF7C3F">
        <w:trPr>
          <w:jc w:val="center"/>
        </w:trPr>
        <w:tc>
          <w:tcPr>
            <w:tcW w:w="2126" w:type="dxa"/>
            <w:tcBorders>
              <w:top w:val="single" w:sz="4" w:space="0" w:color="auto"/>
              <w:left w:val="single" w:sz="4" w:space="0" w:color="auto"/>
              <w:right w:val="single" w:sz="4" w:space="0" w:color="auto"/>
            </w:tcBorders>
          </w:tcPr>
          <w:p w14:paraId="14637AC9"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Total Sistema</w:t>
            </w:r>
          </w:p>
        </w:tc>
        <w:tc>
          <w:tcPr>
            <w:tcW w:w="2552" w:type="dxa"/>
            <w:tcBorders>
              <w:top w:val="single" w:sz="4" w:space="0" w:color="auto"/>
              <w:left w:val="single" w:sz="4" w:space="0" w:color="auto"/>
              <w:right w:val="single" w:sz="4" w:space="0" w:color="auto"/>
            </w:tcBorders>
          </w:tcPr>
          <w:p w14:paraId="476A28FE"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56.5</w:t>
            </w:r>
          </w:p>
        </w:tc>
        <w:tc>
          <w:tcPr>
            <w:tcW w:w="1838" w:type="dxa"/>
            <w:tcBorders>
              <w:top w:val="single" w:sz="4" w:space="0" w:color="auto"/>
              <w:left w:val="single" w:sz="4" w:space="0" w:color="auto"/>
              <w:right w:val="single" w:sz="4" w:space="0" w:color="auto"/>
            </w:tcBorders>
          </w:tcPr>
          <w:p w14:paraId="4EB3660C" w14:textId="77777777" w:rsidR="001B6399" w:rsidRPr="001B6399" w:rsidRDefault="001B6399" w:rsidP="001B6399">
            <w:pPr>
              <w:jc w:val="center"/>
              <w:rPr>
                <w:rFonts w:eastAsia="Calibri"/>
                <w:b/>
                <w:sz w:val="20"/>
                <w:szCs w:val="20"/>
                <w:lang w:eastAsia="en-US"/>
              </w:rPr>
            </w:pPr>
            <w:r w:rsidRPr="001B6399">
              <w:rPr>
                <w:rFonts w:eastAsia="Calibri"/>
                <w:b/>
                <w:sz w:val="20"/>
                <w:szCs w:val="20"/>
                <w:lang w:eastAsia="en-US"/>
              </w:rPr>
              <w:t>92.7</w:t>
            </w:r>
          </w:p>
        </w:tc>
      </w:tr>
      <w:tr w:rsidR="001B6399" w:rsidRPr="001B6399" w14:paraId="65B2B1C9" w14:textId="77777777" w:rsidTr="00AF7C3F">
        <w:trPr>
          <w:jc w:val="center"/>
        </w:trPr>
        <w:tc>
          <w:tcPr>
            <w:tcW w:w="2126" w:type="dxa"/>
            <w:tcBorders>
              <w:left w:val="single" w:sz="4" w:space="0" w:color="auto"/>
              <w:right w:val="single" w:sz="4" w:space="0" w:color="auto"/>
            </w:tcBorders>
          </w:tcPr>
          <w:p w14:paraId="7652F63E"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0 – 1</w:t>
            </w:r>
          </w:p>
        </w:tc>
        <w:tc>
          <w:tcPr>
            <w:tcW w:w="2552" w:type="dxa"/>
            <w:tcBorders>
              <w:left w:val="single" w:sz="4" w:space="0" w:color="auto"/>
              <w:right w:val="single" w:sz="4" w:space="0" w:color="auto"/>
            </w:tcBorders>
          </w:tcPr>
          <w:p w14:paraId="67BDAD85"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47.6</w:t>
            </w:r>
          </w:p>
        </w:tc>
        <w:tc>
          <w:tcPr>
            <w:tcW w:w="1838" w:type="dxa"/>
            <w:tcBorders>
              <w:left w:val="single" w:sz="4" w:space="0" w:color="auto"/>
              <w:right w:val="single" w:sz="4" w:space="0" w:color="auto"/>
            </w:tcBorders>
          </w:tcPr>
          <w:p w14:paraId="72B6B10A"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78.0</w:t>
            </w:r>
          </w:p>
        </w:tc>
      </w:tr>
      <w:tr w:rsidR="001B6399" w:rsidRPr="001B6399" w14:paraId="5B408F9B" w14:textId="77777777" w:rsidTr="00AF7C3F">
        <w:trPr>
          <w:jc w:val="center"/>
        </w:trPr>
        <w:tc>
          <w:tcPr>
            <w:tcW w:w="2126" w:type="dxa"/>
            <w:tcBorders>
              <w:left w:val="single" w:sz="4" w:space="0" w:color="auto"/>
              <w:right w:val="single" w:sz="4" w:space="0" w:color="auto"/>
            </w:tcBorders>
          </w:tcPr>
          <w:p w14:paraId="135B4E41"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1 – 3</w:t>
            </w:r>
          </w:p>
        </w:tc>
        <w:tc>
          <w:tcPr>
            <w:tcW w:w="2552" w:type="dxa"/>
            <w:tcBorders>
              <w:left w:val="single" w:sz="4" w:space="0" w:color="auto"/>
              <w:right w:val="single" w:sz="4" w:space="0" w:color="auto"/>
            </w:tcBorders>
          </w:tcPr>
          <w:p w14:paraId="30D5CC1C"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55.1</w:t>
            </w:r>
          </w:p>
        </w:tc>
        <w:tc>
          <w:tcPr>
            <w:tcW w:w="1838" w:type="dxa"/>
            <w:tcBorders>
              <w:left w:val="single" w:sz="4" w:space="0" w:color="auto"/>
              <w:right w:val="single" w:sz="4" w:space="0" w:color="auto"/>
            </w:tcBorders>
          </w:tcPr>
          <w:p w14:paraId="1504265E"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90.3</w:t>
            </w:r>
          </w:p>
        </w:tc>
      </w:tr>
      <w:tr w:rsidR="001B6399" w:rsidRPr="001B6399" w14:paraId="1BD773D8" w14:textId="77777777" w:rsidTr="00AF7C3F">
        <w:trPr>
          <w:jc w:val="center"/>
        </w:trPr>
        <w:tc>
          <w:tcPr>
            <w:tcW w:w="2126" w:type="dxa"/>
            <w:tcBorders>
              <w:left w:val="single" w:sz="4" w:space="0" w:color="auto"/>
              <w:right w:val="single" w:sz="4" w:space="0" w:color="auto"/>
            </w:tcBorders>
          </w:tcPr>
          <w:p w14:paraId="56D214A2"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3 – 5</w:t>
            </w:r>
          </w:p>
        </w:tc>
        <w:tc>
          <w:tcPr>
            <w:tcW w:w="2552" w:type="dxa"/>
            <w:tcBorders>
              <w:left w:val="single" w:sz="4" w:space="0" w:color="auto"/>
              <w:right w:val="single" w:sz="4" w:space="0" w:color="auto"/>
            </w:tcBorders>
          </w:tcPr>
          <w:p w14:paraId="546E7732"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58.0</w:t>
            </w:r>
          </w:p>
        </w:tc>
        <w:tc>
          <w:tcPr>
            <w:tcW w:w="1838" w:type="dxa"/>
            <w:tcBorders>
              <w:left w:val="single" w:sz="4" w:space="0" w:color="auto"/>
              <w:right w:val="single" w:sz="4" w:space="0" w:color="auto"/>
            </w:tcBorders>
          </w:tcPr>
          <w:p w14:paraId="2CDFAC08"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95.1</w:t>
            </w:r>
          </w:p>
        </w:tc>
      </w:tr>
      <w:tr w:rsidR="001B6399" w:rsidRPr="001B6399" w14:paraId="396513AF" w14:textId="77777777" w:rsidTr="00AF7C3F">
        <w:trPr>
          <w:jc w:val="center"/>
        </w:trPr>
        <w:tc>
          <w:tcPr>
            <w:tcW w:w="2126" w:type="dxa"/>
            <w:tcBorders>
              <w:left w:val="single" w:sz="4" w:space="0" w:color="auto"/>
              <w:right w:val="single" w:sz="4" w:space="0" w:color="auto"/>
            </w:tcBorders>
          </w:tcPr>
          <w:p w14:paraId="3383DD24"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 – 10</w:t>
            </w:r>
          </w:p>
        </w:tc>
        <w:tc>
          <w:tcPr>
            <w:tcW w:w="2552" w:type="dxa"/>
            <w:tcBorders>
              <w:left w:val="single" w:sz="4" w:space="0" w:color="auto"/>
              <w:right w:val="single" w:sz="4" w:space="0" w:color="auto"/>
            </w:tcBorders>
          </w:tcPr>
          <w:p w14:paraId="64C78657"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59.1</w:t>
            </w:r>
          </w:p>
        </w:tc>
        <w:tc>
          <w:tcPr>
            <w:tcW w:w="1838" w:type="dxa"/>
            <w:tcBorders>
              <w:left w:val="single" w:sz="4" w:space="0" w:color="auto"/>
              <w:right w:val="single" w:sz="4" w:space="0" w:color="auto"/>
            </w:tcBorders>
          </w:tcPr>
          <w:p w14:paraId="5579B6C2"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96.9</w:t>
            </w:r>
          </w:p>
        </w:tc>
      </w:tr>
      <w:tr w:rsidR="001B6399" w:rsidRPr="001B6399" w14:paraId="6A273AB1" w14:textId="77777777" w:rsidTr="00AF7C3F">
        <w:trPr>
          <w:jc w:val="center"/>
        </w:trPr>
        <w:tc>
          <w:tcPr>
            <w:tcW w:w="2126" w:type="dxa"/>
            <w:tcBorders>
              <w:left w:val="single" w:sz="4" w:space="0" w:color="auto"/>
              <w:right w:val="single" w:sz="4" w:space="0" w:color="auto"/>
            </w:tcBorders>
          </w:tcPr>
          <w:p w14:paraId="75B0E6EE"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10 – 15</w:t>
            </w:r>
          </w:p>
        </w:tc>
        <w:tc>
          <w:tcPr>
            <w:tcW w:w="2552" w:type="dxa"/>
            <w:tcBorders>
              <w:left w:val="single" w:sz="4" w:space="0" w:color="auto"/>
              <w:right w:val="single" w:sz="4" w:space="0" w:color="auto"/>
            </w:tcBorders>
          </w:tcPr>
          <w:p w14:paraId="1E9827CF"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59.6</w:t>
            </w:r>
          </w:p>
        </w:tc>
        <w:tc>
          <w:tcPr>
            <w:tcW w:w="1838" w:type="dxa"/>
            <w:tcBorders>
              <w:left w:val="single" w:sz="4" w:space="0" w:color="auto"/>
              <w:right w:val="single" w:sz="4" w:space="0" w:color="auto"/>
            </w:tcBorders>
          </w:tcPr>
          <w:p w14:paraId="4E3BE0AD"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97.7</w:t>
            </w:r>
          </w:p>
        </w:tc>
      </w:tr>
      <w:tr w:rsidR="001B6399" w:rsidRPr="001B6399" w14:paraId="229C53E9" w14:textId="77777777" w:rsidTr="00AF7C3F">
        <w:trPr>
          <w:jc w:val="center"/>
        </w:trPr>
        <w:tc>
          <w:tcPr>
            <w:tcW w:w="2126" w:type="dxa"/>
            <w:tcBorders>
              <w:left w:val="single" w:sz="4" w:space="0" w:color="auto"/>
              <w:right w:val="single" w:sz="4" w:space="0" w:color="auto"/>
            </w:tcBorders>
          </w:tcPr>
          <w:p w14:paraId="7E037D13"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15 – 25</w:t>
            </w:r>
          </w:p>
        </w:tc>
        <w:tc>
          <w:tcPr>
            <w:tcW w:w="2552" w:type="dxa"/>
            <w:tcBorders>
              <w:left w:val="single" w:sz="4" w:space="0" w:color="auto"/>
              <w:right w:val="single" w:sz="4" w:space="0" w:color="auto"/>
            </w:tcBorders>
          </w:tcPr>
          <w:p w14:paraId="66E24DDE"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59.8</w:t>
            </w:r>
          </w:p>
        </w:tc>
        <w:tc>
          <w:tcPr>
            <w:tcW w:w="1838" w:type="dxa"/>
            <w:tcBorders>
              <w:left w:val="single" w:sz="4" w:space="0" w:color="auto"/>
              <w:right w:val="single" w:sz="4" w:space="0" w:color="auto"/>
            </w:tcBorders>
          </w:tcPr>
          <w:p w14:paraId="12D2232E"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98.0</w:t>
            </w:r>
          </w:p>
        </w:tc>
      </w:tr>
      <w:tr w:rsidR="001B6399" w:rsidRPr="001B6399" w14:paraId="65624521" w14:textId="77777777" w:rsidTr="00AF7C3F">
        <w:trPr>
          <w:jc w:val="center"/>
        </w:trPr>
        <w:tc>
          <w:tcPr>
            <w:tcW w:w="2126" w:type="dxa"/>
            <w:tcBorders>
              <w:left w:val="single" w:sz="4" w:space="0" w:color="auto"/>
              <w:bottom w:val="single" w:sz="4" w:space="0" w:color="auto"/>
              <w:right w:val="single" w:sz="4" w:space="0" w:color="auto"/>
            </w:tcBorders>
          </w:tcPr>
          <w:p w14:paraId="624BCDF6"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25 o más</w:t>
            </w:r>
          </w:p>
        </w:tc>
        <w:tc>
          <w:tcPr>
            <w:tcW w:w="2552" w:type="dxa"/>
            <w:tcBorders>
              <w:left w:val="single" w:sz="4" w:space="0" w:color="auto"/>
              <w:bottom w:val="single" w:sz="4" w:space="0" w:color="auto"/>
              <w:right w:val="single" w:sz="4" w:space="0" w:color="auto"/>
            </w:tcBorders>
          </w:tcPr>
          <w:p w14:paraId="112938AD"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59.5</w:t>
            </w:r>
          </w:p>
        </w:tc>
        <w:tc>
          <w:tcPr>
            <w:tcW w:w="1838" w:type="dxa"/>
            <w:tcBorders>
              <w:left w:val="single" w:sz="4" w:space="0" w:color="auto"/>
              <w:bottom w:val="single" w:sz="4" w:space="0" w:color="auto"/>
              <w:right w:val="single" w:sz="4" w:space="0" w:color="auto"/>
            </w:tcBorders>
          </w:tcPr>
          <w:p w14:paraId="7570044F" w14:textId="77777777" w:rsidR="001B6399" w:rsidRPr="001B6399" w:rsidRDefault="001B6399" w:rsidP="001B6399">
            <w:pPr>
              <w:jc w:val="center"/>
              <w:rPr>
                <w:rFonts w:eastAsia="Calibri"/>
                <w:sz w:val="20"/>
                <w:szCs w:val="20"/>
                <w:lang w:eastAsia="en-US"/>
              </w:rPr>
            </w:pPr>
            <w:r w:rsidRPr="001B6399">
              <w:rPr>
                <w:rFonts w:eastAsia="Calibri"/>
                <w:sz w:val="20"/>
                <w:szCs w:val="20"/>
                <w:lang w:eastAsia="en-US"/>
              </w:rPr>
              <w:t>97.6</w:t>
            </w:r>
          </w:p>
        </w:tc>
      </w:tr>
      <w:tr w:rsidR="001B6399" w:rsidRPr="001B6399" w14:paraId="3B7ECD68" w14:textId="77777777" w:rsidTr="00AF7C3F">
        <w:trPr>
          <w:jc w:val="center"/>
        </w:trPr>
        <w:tc>
          <w:tcPr>
            <w:tcW w:w="6516" w:type="dxa"/>
            <w:gridSpan w:val="3"/>
            <w:tcBorders>
              <w:top w:val="single" w:sz="4" w:space="0" w:color="auto"/>
            </w:tcBorders>
          </w:tcPr>
          <w:p w14:paraId="0602FBB4" w14:textId="77777777" w:rsidR="001B6399" w:rsidRPr="001B6399" w:rsidRDefault="001B6399" w:rsidP="001B6399">
            <w:pPr>
              <w:ind w:left="907" w:hanging="907"/>
              <w:jc w:val="both"/>
              <w:rPr>
                <w:rFonts w:eastAsia="Calibri"/>
                <w:sz w:val="20"/>
                <w:szCs w:val="20"/>
                <w:lang w:eastAsia="en-US"/>
              </w:rPr>
            </w:pPr>
            <w:r w:rsidRPr="001B6399">
              <w:rPr>
                <w:rFonts w:eastAsia="Calibri"/>
                <w:sz w:val="20"/>
                <w:szCs w:val="20"/>
                <w:lang w:eastAsia="en-US"/>
              </w:rPr>
              <w:t>FUENTE: Elaboración Amafore. No incluye información de trabajadores ISSSTE.</w:t>
            </w:r>
          </w:p>
        </w:tc>
      </w:tr>
    </w:tbl>
    <w:p w14:paraId="0A9ADE49" w14:textId="77777777" w:rsidR="001B6399" w:rsidRPr="001B6399" w:rsidRDefault="001B6399" w:rsidP="001B6399">
      <w:pPr>
        <w:spacing w:after="360" w:line="360" w:lineRule="auto"/>
        <w:ind w:right="-159"/>
        <w:jc w:val="both"/>
        <w:rPr>
          <w:rFonts w:eastAsia="Calibri"/>
          <w:sz w:val="26"/>
          <w:szCs w:val="26"/>
          <w:lang w:eastAsia="en-US"/>
        </w:rPr>
      </w:pPr>
    </w:p>
    <w:p w14:paraId="724E3F47"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Aportación Promedio</w:t>
      </w:r>
    </w:p>
    <w:p w14:paraId="3EDE7FCD"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Las aportaciones a una Cuenta Individual, al igual que la Densidad de Contribución, dependen, en gran medida, de la volatilidad del sector formal al informal de los trabajadores.</w:t>
      </w:r>
    </w:p>
    <w:p w14:paraId="78D9C2CC"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Si un trabajador tiene períodos de empleo formal alternado con períodos de empleo informal, es altamente probable que las cotizaciones a su Cuenta Individual sean menores que las de un trabajador con una trayectoria laboral en la formalidad.</w:t>
      </w:r>
    </w:p>
    <w:p w14:paraId="5512F874"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lastRenderedPageBreak/>
        <w:t>Durante el sexto bimestre de 2014 se observa una aportación promedio de un mil 199 pesos en Cuenta Individual, lo cual equivale a 0.29 SM mensuales. Dicha aportación presenta un aumento de 2.6% respecto del mismo período del año previo, el cual incluye el ajuste al salario mínimo realizado cada año.</w:t>
      </w:r>
    </w:p>
    <w:p w14:paraId="53D26D28"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6B3E231B" wp14:editId="49D5B4A0">
            <wp:extent cx="4442460" cy="3249930"/>
            <wp:effectExtent l="0" t="0" r="0" b="0"/>
            <wp:docPr id="1909" name="Imagen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442460" cy="3249930"/>
                    </a:xfrm>
                    <a:prstGeom prst="rect">
                      <a:avLst/>
                    </a:prstGeom>
                    <a:noFill/>
                    <a:ln>
                      <a:noFill/>
                    </a:ln>
                  </pic:spPr>
                </pic:pic>
              </a:graphicData>
            </a:graphic>
          </wp:inline>
        </w:drawing>
      </w:r>
    </w:p>
    <w:p w14:paraId="4AB26A67"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Ahorro Voluntario</w:t>
      </w:r>
    </w:p>
    <w:p w14:paraId="39A8C736"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El Ahorro Voluntario es aquel que un trabajador realiza a través de diversos medios hacia su Cuenta Individual. Este tipo de ahorro resulta significativo para incrementar el monto de la pensión de cada trabajador.</w:t>
      </w:r>
    </w:p>
    <w:p w14:paraId="1AEF3BA2"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Las aportaciones tripartitas efectuadas por el trabajador, patrón y gobierno apenas alcanzan una Tasa de Contribución del 6.5% del salario base de cotización.</w:t>
      </w:r>
    </w:p>
    <w:p w14:paraId="66CF8799"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La Tasa de Reemplazo obtenida con esta distribución se encontrará por debajo de la media de la Organización para la Cooperación y el Desarrollo Económicos (OCDE). </w:t>
      </w:r>
    </w:p>
    <w:p w14:paraId="4291D8F1"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lastRenderedPageBreak/>
        <w:t xml:space="preserve">Por lo anterior, es importante generar conciencia entre los trabajadores acerca de la importancia del Ahorro Voluntario, el cual se puede efectuar desde una aportación de 50 pesos en tiendas de conveniencia, hasta aportaciones por domiciliación a través de una cuenta bancaria. </w:t>
      </w:r>
    </w:p>
    <w:p w14:paraId="703C5FA7"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Cada vez son más las herramientas disponibles para efectuar este tipo de ahorro. </w:t>
      </w:r>
    </w:p>
    <w:p w14:paraId="572E7C28"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Al cierre de febrero de 2015 se registra en el SAR un saldo de 28 mil 130 millones de pesos por concepto de Ahorro Voluntario. Dicho monto tuvo un incremento de 48.5% respecto de febrero de 2014, y 8.3% respecto del cierre de 2014.</w:t>
      </w:r>
    </w:p>
    <w:p w14:paraId="2D5DF95A"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En términos netos, el Ahorro Voluntario presenta un crecimiento de 2 mil 145 millones de pesos con respecto del cierre de 2014. </w:t>
      </w:r>
    </w:p>
    <w:p w14:paraId="0933BDFA"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Durante el primer bimestre de 2015 se registran un mil 895 millones de pesos por concepto de aportaciones de Ahorro Voluntario y Solidario, en contraste con 891 millones durante el primer bimestre de 2014.</w:t>
      </w:r>
    </w:p>
    <w:p w14:paraId="210BCFDA"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lastRenderedPageBreak/>
        <w:drawing>
          <wp:inline distT="0" distB="0" distL="0" distR="0" wp14:anchorId="267F34AB" wp14:editId="79145617">
            <wp:extent cx="5612130" cy="3491826"/>
            <wp:effectExtent l="0" t="0" r="7620" b="0"/>
            <wp:docPr id="1910" name="Imagen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12130" cy="3491826"/>
                    </a:xfrm>
                    <a:prstGeom prst="rect">
                      <a:avLst/>
                    </a:prstGeom>
                    <a:noFill/>
                    <a:ln>
                      <a:noFill/>
                    </a:ln>
                  </pic:spPr>
                </pic:pic>
              </a:graphicData>
            </a:graphic>
          </wp:inline>
        </w:drawing>
      </w:r>
    </w:p>
    <w:p w14:paraId="5D31A23B" w14:textId="77777777" w:rsidR="001B6399" w:rsidRPr="001B6399" w:rsidRDefault="001B6399" w:rsidP="001B6399">
      <w:pPr>
        <w:spacing w:after="360" w:line="360" w:lineRule="auto"/>
        <w:ind w:right="-159"/>
        <w:jc w:val="both"/>
        <w:rPr>
          <w:rFonts w:eastAsia="Calibri"/>
          <w:b/>
          <w:sz w:val="26"/>
          <w:szCs w:val="26"/>
          <w:lang w:eastAsia="en-US"/>
        </w:rPr>
      </w:pPr>
      <w:r w:rsidRPr="001B6399">
        <w:rPr>
          <w:rFonts w:eastAsia="Calibri"/>
          <w:b/>
          <w:sz w:val="26"/>
          <w:szCs w:val="26"/>
          <w:lang w:eastAsia="en-US"/>
        </w:rPr>
        <w:t>Retiros parciales por desempleo y matrimonio</w:t>
      </w:r>
    </w:p>
    <w:p w14:paraId="54298893" w14:textId="58474D20"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Los trabajadores cotizantes al IMSS que poseen una Cuenta Individual pueden realizar retiros parciales por conceptos de matrimonio y desempleo, una vez en su vida, en caso de matrimonio, y al menos una vez cada cinco años como ayuda por desempleo, los trabajadores podrán disfrutar de estos beneficios.</w:t>
      </w:r>
    </w:p>
    <w:p w14:paraId="586952C2" w14:textId="77777777"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En febrero de 2015, el SAR registró 77 mil retiros por desempleo, con un retiro promedio en el mes de 9 mil 412 pesos, equivalentes a 4.80 SM mensuales. </w:t>
      </w:r>
    </w:p>
    <w:p w14:paraId="5B98B0C5" w14:textId="4266B6BE"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En el caso de matrimonio se efectuaron 8 mil 962 retiros, de un mil 911 pesos, en promedio, o 0.97 SM mensuales, para el mismo período.</w:t>
      </w:r>
    </w:p>
    <w:p w14:paraId="0BC25CAC" w14:textId="797D62FF" w:rsidR="001B6399" w:rsidRPr="001B6399" w:rsidRDefault="001B6399" w:rsidP="001B6399">
      <w:pPr>
        <w:spacing w:after="360" w:line="360" w:lineRule="auto"/>
        <w:ind w:right="-159"/>
        <w:jc w:val="both"/>
        <w:rPr>
          <w:rFonts w:eastAsia="Calibri"/>
          <w:sz w:val="26"/>
          <w:szCs w:val="26"/>
          <w:lang w:eastAsia="en-US"/>
        </w:rPr>
      </w:pPr>
      <w:r w:rsidRPr="001B6399">
        <w:rPr>
          <w:rFonts w:eastAsia="Calibri"/>
          <w:sz w:val="26"/>
          <w:szCs w:val="26"/>
          <w:lang w:eastAsia="en-US"/>
        </w:rPr>
        <w:t xml:space="preserve">Durante el primer bimestre de 2014 (enero-febrero) se realizaron 147 mil y 12 mil retiros por desempleo y matrimonio, respectivamente. Las cifras de 2015 tuvieron un </w:t>
      </w:r>
      <w:r w:rsidRPr="001B6399">
        <w:rPr>
          <w:rFonts w:eastAsia="Calibri"/>
          <w:sz w:val="26"/>
          <w:szCs w:val="26"/>
          <w:lang w:eastAsia="en-US"/>
        </w:rPr>
        <w:lastRenderedPageBreak/>
        <w:t>decremento de 6.9% en el caso de desempleo y un incremento de 5.3% en el caso de matrimonio, respecto del primer bimestre de 2014.</w:t>
      </w:r>
    </w:p>
    <w:p w14:paraId="3A69E390"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1C37A59F" wp14:editId="1DD98294">
            <wp:extent cx="4033915" cy="2714096"/>
            <wp:effectExtent l="0" t="0" r="5080" b="0"/>
            <wp:docPr id="1911" name="Imagen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43467" cy="2720523"/>
                    </a:xfrm>
                    <a:prstGeom prst="rect">
                      <a:avLst/>
                    </a:prstGeom>
                    <a:noFill/>
                    <a:ln>
                      <a:noFill/>
                    </a:ln>
                  </pic:spPr>
                </pic:pic>
              </a:graphicData>
            </a:graphic>
          </wp:inline>
        </w:drawing>
      </w:r>
    </w:p>
    <w:p w14:paraId="0B4BE42E" w14:textId="77777777" w:rsidR="001B6399" w:rsidRPr="001B6399" w:rsidRDefault="001B6399" w:rsidP="001B6399">
      <w:pPr>
        <w:spacing w:after="360" w:line="360" w:lineRule="auto"/>
        <w:ind w:right="-159"/>
        <w:jc w:val="center"/>
        <w:rPr>
          <w:rFonts w:eastAsia="Calibri"/>
          <w:sz w:val="26"/>
          <w:szCs w:val="26"/>
          <w:lang w:eastAsia="en-US"/>
        </w:rPr>
      </w:pPr>
      <w:r w:rsidRPr="001B6399">
        <w:rPr>
          <w:rFonts w:ascii="Calibri" w:eastAsia="Calibri" w:hAnsi="Calibri"/>
          <w:noProof/>
          <w:sz w:val="22"/>
          <w:szCs w:val="22"/>
          <w:lang w:eastAsia="es-MX"/>
        </w:rPr>
        <w:drawing>
          <wp:inline distT="0" distB="0" distL="0" distR="0" wp14:anchorId="3C733BFC" wp14:editId="2BD112AE">
            <wp:extent cx="4312680" cy="2989508"/>
            <wp:effectExtent l="0" t="0" r="0" b="0"/>
            <wp:docPr id="1912" name="Imagen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318987" cy="2993880"/>
                    </a:xfrm>
                    <a:prstGeom prst="rect">
                      <a:avLst/>
                    </a:prstGeom>
                    <a:noFill/>
                    <a:ln>
                      <a:noFill/>
                    </a:ln>
                  </pic:spPr>
                </pic:pic>
              </a:graphicData>
            </a:graphic>
          </wp:inline>
        </w:drawing>
      </w:r>
    </w:p>
    <w:p w14:paraId="797D7C85" w14:textId="77777777" w:rsidR="001B6399" w:rsidRPr="001B6399" w:rsidRDefault="001B6399" w:rsidP="001B6399">
      <w:pPr>
        <w:spacing w:after="360" w:line="360" w:lineRule="auto"/>
        <w:ind w:right="-159"/>
        <w:jc w:val="both"/>
        <w:rPr>
          <w:rFonts w:eastAsia="Calibri"/>
          <w:sz w:val="26"/>
          <w:szCs w:val="26"/>
          <w:lang w:eastAsia="en-US"/>
        </w:rPr>
      </w:pPr>
    </w:p>
    <w:p w14:paraId="5E1EE2EA" w14:textId="77777777" w:rsidR="001B6399" w:rsidRPr="001B6399" w:rsidRDefault="001B6399" w:rsidP="001B6399">
      <w:pPr>
        <w:spacing w:after="360" w:line="360" w:lineRule="auto"/>
        <w:ind w:right="-159"/>
        <w:jc w:val="both"/>
        <w:rPr>
          <w:rFonts w:eastAsia="Calibri"/>
          <w:sz w:val="26"/>
          <w:szCs w:val="26"/>
          <w:lang w:eastAsia="en-US"/>
        </w:rPr>
      </w:pPr>
    </w:p>
    <w:tbl>
      <w:tblPr>
        <w:tblW w:w="10328" w:type="dxa"/>
        <w:jc w:val="center"/>
        <w:tblBorders>
          <w:top w:val="nil"/>
          <w:left w:val="nil"/>
          <w:bottom w:val="nil"/>
          <w:right w:val="nil"/>
        </w:tblBorders>
        <w:tblLayout w:type="fixed"/>
        <w:tblLook w:val="0000" w:firstRow="0" w:lastRow="0" w:firstColumn="0" w:lastColumn="0" w:noHBand="0" w:noVBand="0"/>
      </w:tblPr>
      <w:tblGrid>
        <w:gridCol w:w="1803"/>
        <w:gridCol w:w="1147"/>
        <w:gridCol w:w="1810"/>
        <w:gridCol w:w="714"/>
        <w:gridCol w:w="561"/>
        <w:gridCol w:w="4280"/>
        <w:gridCol w:w="13"/>
      </w:tblGrid>
      <w:tr w:rsidR="001B6399" w:rsidRPr="001B6399" w14:paraId="6CB224BD" w14:textId="77777777" w:rsidTr="005F651D">
        <w:trPr>
          <w:gridAfter w:val="1"/>
          <w:wAfter w:w="13" w:type="dxa"/>
          <w:trHeight w:val="93"/>
          <w:jc w:val="center"/>
        </w:trPr>
        <w:tc>
          <w:tcPr>
            <w:tcW w:w="10315" w:type="dxa"/>
            <w:gridSpan w:val="6"/>
            <w:tcBorders>
              <w:top w:val="nil"/>
              <w:left w:val="nil"/>
              <w:bottom w:val="single" w:sz="4" w:space="0" w:color="auto"/>
              <w:right w:val="nil"/>
            </w:tcBorders>
            <w:shd w:val="clear" w:color="auto" w:fill="auto"/>
            <w:vAlign w:val="center"/>
          </w:tcPr>
          <w:p w14:paraId="61F41AB9" w14:textId="77777777" w:rsidR="001B6399" w:rsidRPr="001B6399" w:rsidRDefault="001B6399" w:rsidP="001B6399">
            <w:pPr>
              <w:autoSpaceDE w:val="0"/>
              <w:autoSpaceDN w:val="0"/>
              <w:adjustRightInd w:val="0"/>
              <w:jc w:val="center"/>
              <w:rPr>
                <w:rFonts w:eastAsia="Calibri"/>
                <w:b/>
                <w:bCs/>
                <w:sz w:val="18"/>
                <w:szCs w:val="18"/>
                <w:lang w:eastAsia="en-US"/>
              </w:rPr>
            </w:pPr>
            <w:r w:rsidRPr="001B6399">
              <w:rPr>
                <w:rFonts w:eastAsia="Calibri"/>
                <w:b/>
                <w:bCs/>
                <w:sz w:val="18"/>
                <w:szCs w:val="18"/>
                <w:lang w:eastAsia="en-US"/>
              </w:rPr>
              <w:lastRenderedPageBreak/>
              <w:t>RESUMEN DE INDICADORES SAR</w:t>
            </w:r>
          </w:p>
        </w:tc>
      </w:tr>
      <w:tr w:rsidR="001B6399" w:rsidRPr="001B6399" w14:paraId="584C4EBD" w14:textId="77777777" w:rsidTr="005F651D">
        <w:trPr>
          <w:gridAfter w:val="1"/>
          <w:wAfter w:w="13" w:type="dxa"/>
          <w:trHeight w:val="93"/>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9385854"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b/>
                <w:bCs/>
                <w:sz w:val="16"/>
                <w:szCs w:val="16"/>
                <w:lang w:eastAsia="en-US"/>
              </w:rPr>
              <w:t>Indicador</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1A1571F"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b/>
                <w:bCs/>
                <w:sz w:val="16"/>
                <w:szCs w:val="16"/>
                <w:lang w:eastAsia="en-US"/>
              </w:rPr>
              <w:t>Período</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981A7A"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b/>
                <w:bCs/>
                <w:sz w:val="16"/>
                <w:szCs w:val="16"/>
                <w:lang w:eastAsia="en-US"/>
              </w:rPr>
              <w:t>Valor</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273C8879"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b/>
                <w:bCs/>
                <w:sz w:val="16"/>
                <w:szCs w:val="16"/>
                <w:lang w:eastAsia="en-US"/>
              </w:rPr>
              <w:t>Definición</w:t>
            </w:r>
          </w:p>
        </w:tc>
      </w:tr>
      <w:tr w:rsidR="001B6399" w:rsidRPr="001B6399" w14:paraId="6A077811" w14:textId="77777777" w:rsidTr="005F651D">
        <w:trPr>
          <w:gridAfter w:val="1"/>
          <w:wAfter w:w="13" w:type="dxa"/>
          <w:trHeight w:val="294"/>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2759F20"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Activos Netos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756648C4"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Marzo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02859B"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2.44 billones de pesos </w:t>
            </w:r>
          </w:p>
          <w:p w14:paraId="2BCC8C90"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(14.3% PIB) </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61393086"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Recursos administrados por las Afores conformados por el ahorro de las cuentas individuales de los trabajadores. </w:t>
            </w:r>
          </w:p>
        </w:tc>
      </w:tr>
      <w:tr w:rsidR="001B6399" w:rsidRPr="001B6399" w14:paraId="6335413A" w14:textId="77777777" w:rsidTr="005F651D">
        <w:trPr>
          <w:gridAfter w:val="1"/>
          <w:wAfter w:w="13" w:type="dxa"/>
          <w:trHeight w:val="290"/>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3B9619E4"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Cuentas Administradas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086C0105"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Marzo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6FD158"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52.9 millones de cuentas </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06BEDD1C"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Número total de cuentas administradas por las Afores, indica el nivel de cobertura que el SAR tiene sobre la población mexicana. </w:t>
            </w:r>
          </w:p>
        </w:tc>
      </w:tr>
      <w:tr w:rsidR="001B6399" w:rsidRPr="001B6399" w14:paraId="52439CC3" w14:textId="77777777" w:rsidTr="005F651D">
        <w:trPr>
          <w:gridAfter w:val="1"/>
          <w:wAfter w:w="13" w:type="dxa"/>
          <w:trHeight w:val="666"/>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D1447E8"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Rendimientos Nominales del Sistema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E175018"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Marzo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688721"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11.8% </w:t>
            </w:r>
          </w:p>
          <w:p w14:paraId="2814D1BC"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(histórico anual) </w:t>
            </w:r>
          </w:p>
        </w:tc>
        <w:tc>
          <w:tcPr>
            <w:tcW w:w="42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BEDD7B"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Intereses generados por la inversión de los recursos de las Cuentas Individuales en favor de los trabajadores, anualizado y después de cobro de comisiones. El período de evaluación es desde el inicio de operación del Sistema a la fecha. </w:t>
            </w:r>
          </w:p>
        </w:tc>
      </w:tr>
      <w:tr w:rsidR="001B6399" w:rsidRPr="001B6399" w14:paraId="1B6FB581" w14:textId="77777777" w:rsidTr="005F651D">
        <w:trPr>
          <w:gridAfter w:val="1"/>
          <w:wAfter w:w="13" w:type="dxa"/>
          <w:trHeight w:val="290"/>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6E1BFF5"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Rendimientos Reales del Sistema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1D8DC8B0"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Marzo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58C1A1"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5.6% </w:t>
            </w:r>
          </w:p>
          <w:p w14:paraId="5F093872"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(histórico anual)</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C74A06"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139862FB" w14:textId="77777777" w:rsidTr="005F651D">
        <w:trPr>
          <w:gridAfter w:val="1"/>
          <w:wAfter w:w="13" w:type="dxa"/>
          <w:trHeight w:val="69"/>
          <w:jc w:val="center"/>
        </w:trPr>
        <w:tc>
          <w:tcPr>
            <w:tcW w:w="18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92C9F1"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Composición de las Inversiones </w:t>
            </w:r>
          </w:p>
        </w:tc>
        <w:tc>
          <w:tcPr>
            <w:tcW w:w="11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59DF3E"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Marzo 2015</w:t>
            </w: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23D62C4F" w14:textId="77777777" w:rsidR="001B6399" w:rsidRPr="001B6399" w:rsidRDefault="001B6399" w:rsidP="001B6399">
            <w:pPr>
              <w:autoSpaceDE w:val="0"/>
              <w:autoSpaceDN w:val="0"/>
              <w:adjustRightInd w:val="0"/>
              <w:jc w:val="center"/>
              <w:rPr>
                <w:rFonts w:eastAsia="Calibri"/>
                <w:b/>
                <w:sz w:val="16"/>
                <w:szCs w:val="16"/>
                <w:lang w:eastAsia="en-US"/>
              </w:rPr>
            </w:pPr>
            <w:r w:rsidRPr="001B6399">
              <w:rPr>
                <w:rFonts w:eastAsia="Calibri"/>
                <w:b/>
                <w:sz w:val="16"/>
                <w:szCs w:val="16"/>
                <w:lang w:eastAsia="en-US"/>
              </w:rPr>
              <w:t>Instrumento</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6A6EA3EB" w14:textId="77777777" w:rsidR="001B6399" w:rsidRPr="001B6399" w:rsidRDefault="001B6399" w:rsidP="001B6399">
            <w:pPr>
              <w:autoSpaceDE w:val="0"/>
              <w:autoSpaceDN w:val="0"/>
              <w:adjustRightInd w:val="0"/>
              <w:ind w:left="-57" w:right="-57"/>
              <w:jc w:val="center"/>
              <w:rPr>
                <w:rFonts w:eastAsia="Calibri"/>
                <w:b/>
                <w:sz w:val="16"/>
                <w:szCs w:val="16"/>
                <w:lang w:eastAsia="en-US"/>
              </w:rPr>
            </w:pPr>
            <w:r w:rsidRPr="001B6399">
              <w:rPr>
                <w:rFonts w:eastAsia="Calibri"/>
                <w:b/>
                <w:sz w:val="16"/>
                <w:szCs w:val="16"/>
                <w:lang w:eastAsia="en-US"/>
              </w:rPr>
              <w:t>Billones</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31936AAE" w14:textId="77777777" w:rsidR="001B6399" w:rsidRPr="001B6399" w:rsidRDefault="001B6399" w:rsidP="001B6399">
            <w:pPr>
              <w:autoSpaceDE w:val="0"/>
              <w:autoSpaceDN w:val="0"/>
              <w:adjustRightInd w:val="0"/>
              <w:ind w:left="-57" w:right="-57"/>
              <w:jc w:val="center"/>
              <w:rPr>
                <w:rFonts w:eastAsia="Calibri"/>
                <w:b/>
                <w:sz w:val="16"/>
                <w:szCs w:val="16"/>
                <w:lang w:eastAsia="en-US"/>
              </w:rPr>
            </w:pPr>
            <w:r w:rsidRPr="001B6399">
              <w:rPr>
                <w:rFonts w:eastAsia="Calibri"/>
                <w:b/>
                <w:sz w:val="16"/>
                <w:szCs w:val="16"/>
                <w:lang w:eastAsia="en-US"/>
              </w:rPr>
              <w:t>% AN</w:t>
            </w:r>
          </w:p>
        </w:tc>
        <w:tc>
          <w:tcPr>
            <w:tcW w:w="4280" w:type="dxa"/>
            <w:tcBorders>
              <w:top w:val="single" w:sz="4" w:space="0" w:color="auto"/>
              <w:left w:val="single" w:sz="4" w:space="0" w:color="auto"/>
              <w:bottom w:val="nil"/>
              <w:right w:val="single" w:sz="4" w:space="0" w:color="auto"/>
            </w:tcBorders>
            <w:shd w:val="clear" w:color="auto" w:fill="auto"/>
            <w:vAlign w:val="center"/>
          </w:tcPr>
          <w:p w14:paraId="7F7055CC"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0C0F2218"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19F200"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665DA64"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3C7819DA" w14:textId="77777777" w:rsidR="001B6399" w:rsidRPr="001B6399" w:rsidRDefault="001B6399" w:rsidP="001B6399">
            <w:pPr>
              <w:autoSpaceDE w:val="0"/>
              <w:autoSpaceDN w:val="0"/>
              <w:adjustRightInd w:val="0"/>
              <w:rPr>
                <w:rFonts w:eastAsia="Calibri"/>
                <w:sz w:val="14"/>
                <w:szCs w:val="14"/>
                <w:lang w:eastAsia="en-US"/>
              </w:rPr>
            </w:pPr>
            <w:r w:rsidRPr="001B6399">
              <w:rPr>
                <w:rFonts w:eastAsia="Calibri"/>
                <w:sz w:val="14"/>
                <w:szCs w:val="14"/>
                <w:lang w:eastAsia="en-US"/>
              </w:rPr>
              <w:t>Renta Variable Nacional</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66848CD8"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0.17</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061C33B5"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6.9</w:t>
            </w:r>
          </w:p>
        </w:tc>
        <w:tc>
          <w:tcPr>
            <w:tcW w:w="4293" w:type="dxa"/>
            <w:gridSpan w:val="2"/>
            <w:vMerge w:val="restart"/>
            <w:tcBorders>
              <w:top w:val="nil"/>
              <w:left w:val="single" w:sz="4" w:space="0" w:color="auto"/>
              <w:bottom w:val="single" w:sz="4" w:space="0" w:color="auto"/>
              <w:right w:val="single" w:sz="4" w:space="0" w:color="auto"/>
            </w:tcBorders>
            <w:shd w:val="clear" w:color="auto" w:fill="auto"/>
          </w:tcPr>
          <w:p w14:paraId="02F85630" w14:textId="77777777" w:rsidR="001B6399" w:rsidRPr="001B6399" w:rsidRDefault="001B6399" w:rsidP="001B6399">
            <w:pPr>
              <w:autoSpaceDE w:val="0"/>
              <w:autoSpaceDN w:val="0"/>
              <w:adjustRightInd w:val="0"/>
              <w:spacing w:before="400"/>
              <w:jc w:val="both"/>
              <w:rPr>
                <w:rFonts w:eastAsia="Calibri"/>
                <w:sz w:val="16"/>
                <w:szCs w:val="16"/>
                <w:lang w:eastAsia="en-US"/>
              </w:rPr>
            </w:pPr>
            <w:r w:rsidRPr="001B6399">
              <w:rPr>
                <w:rFonts w:eastAsia="Calibri"/>
                <w:sz w:val="16"/>
                <w:szCs w:val="16"/>
                <w:lang w:eastAsia="en-US"/>
              </w:rPr>
              <w:t>Distintos instrumentos que conforman la cartera de inversión con la que operan las Siefores.</w:t>
            </w:r>
          </w:p>
        </w:tc>
      </w:tr>
      <w:tr w:rsidR="001B6399" w:rsidRPr="001B6399" w14:paraId="3F60F599"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B9E1B"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0D42CC"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03C8643B" w14:textId="77777777" w:rsidR="001B6399" w:rsidRPr="001B6399" w:rsidRDefault="001B6399" w:rsidP="001B6399">
            <w:pPr>
              <w:autoSpaceDE w:val="0"/>
              <w:autoSpaceDN w:val="0"/>
              <w:adjustRightInd w:val="0"/>
              <w:ind w:right="-57"/>
              <w:jc w:val="both"/>
              <w:rPr>
                <w:rFonts w:eastAsia="Calibri"/>
                <w:sz w:val="14"/>
                <w:szCs w:val="14"/>
                <w:lang w:eastAsia="en-US"/>
              </w:rPr>
            </w:pPr>
            <w:r w:rsidRPr="001B6399">
              <w:rPr>
                <w:rFonts w:eastAsia="Calibri"/>
                <w:sz w:val="14"/>
                <w:szCs w:val="14"/>
                <w:lang w:eastAsia="en-US"/>
              </w:rPr>
              <w:t>Renta Variable Internacional</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39B9CFED"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0.42</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86A7C2F"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17.0</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82ADCAF"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41B15A2D"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5BAC820"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99C296C"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26EDFE1C" w14:textId="77777777" w:rsidR="001B6399" w:rsidRPr="001B6399" w:rsidRDefault="001B6399" w:rsidP="001B6399">
            <w:pPr>
              <w:autoSpaceDE w:val="0"/>
              <w:autoSpaceDN w:val="0"/>
              <w:adjustRightInd w:val="0"/>
              <w:jc w:val="both"/>
              <w:rPr>
                <w:rFonts w:eastAsia="Calibri"/>
                <w:sz w:val="14"/>
                <w:szCs w:val="14"/>
                <w:lang w:eastAsia="en-US"/>
              </w:rPr>
            </w:pPr>
            <w:r w:rsidRPr="001B6399">
              <w:rPr>
                <w:rFonts w:eastAsia="Calibri"/>
                <w:sz w:val="14"/>
                <w:szCs w:val="14"/>
                <w:lang w:eastAsia="en-US"/>
              </w:rPr>
              <w:t>Deuda Privada Nacional</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133A44E7"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0.46</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3D720565"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18.9</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A45C55D"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6486EB93"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DD3E93"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B65929"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4B871F82" w14:textId="77777777" w:rsidR="001B6399" w:rsidRPr="001B6399" w:rsidRDefault="001B6399" w:rsidP="001B6399">
            <w:pPr>
              <w:autoSpaceDE w:val="0"/>
              <w:autoSpaceDN w:val="0"/>
              <w:adjustRightInd w:val="0"/>
              <w:jc w:val="both"/>
              <w:rPr>
                <w:rFonts w:eastAsia="Calibri"/>
                <w:sz w:val="14"/>
                <w:szCs w:val="14"/>
                <w:lang w:eastAsia="en-US"/>
              </w:rPr>
            </w:pPr>
            <w:r w:rsidRPr="001B6399">
              <w:rPr>
                <w:rFonts w:eastAsia="Calibri"/>
                <w:sz w:val="14"/>
                <w:szCs w:val="14"/>
                <w:lang w:eastAsia="en-US"/>
              </w:rPr>
              <w:t>Estructurados</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19D09F1D"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0.13</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7374E0B1"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5.2</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5DCD93D"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60320B2F"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084E41"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AEE404"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446E1D1C" w14:textId="77777777" w:rsidR="001B6399" w:rsidRPr="001B6399" w:rsidRDefault="001B6399" w:rsidP="001B6399">
            <w:pPr>
              <w:autoSpaceDE w:val="0"/>
              <w:autoSpaceDN w:val="0"/>
              <w:adjustRightInd w:val="0"/>
              <w:jc w:val="both"/>
              <w:rPr>
                <w:rFonts w:eastAsia="Calibri"/>
                <w:sz w:val="14"/>
                <w:szCs w:val="14"/>
                <w:lang w:eastAsia="en-US"/>
              </w:rPr>
            </w:pPr>
            <w:r w:rsidRPr="001B6399">
              <w:rPr>
                <w:rFonts w:eastAsia="Calibri"/>
                <w:sz w:val="14"/>
                <w:szCs w:val="14"/>
                <w:lang w:eastAsia="en-US"/>
              </w:rPr>
              <w:t>Deuda Internacional</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4F5F82BA"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0.03</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E270552"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1.1</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A03D5E8"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4621B4E"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E3E51C"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D9579D"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1402E001" w14:textId="77777777" w:rsidR="001B6399" w:rsidRPr="001B6399" w:rsidRDefault="001B6399" w:rsidP="001B6399">
            <w:pPr>
              <w:autoSpaceDE w:val="0"/>
              <w:autoSpaceDN w:val="0"/>
              <w:adjustRightInd w:val="0"/>
              <w:jc w:val="both"/>
              <w:rPr>
                <w:rFonts w:eastAsia="Calibri"/>
                <w:sz w:val="14"/>
                <w:szCs w:val="14"/>
                <w:lang w:eastAsia="en-US"/>
              </w:rPr>
            </w:pPr>
            <w:r w:rsidRPr="001B6399">
              <w:rPr>
                <w:rFonts w:eastAsia="Calibri"/>
                <w:sz w:val="14"/>
                <w:szCs w:val="14"/>
                <w:lang w:eastAsia="en-US"/>
              </w:rPr>
              <w:t>Deuda Gubernamental</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4D584228"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1.24</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4DEED06C"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50.8</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DBE9B8B"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4130DE2" w14:textId="77777777" w:rsidTr="005F651D">
        <w:trPr>
          <w:trHeight w:val="64"/>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BE6A2E"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C67D1"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27276F34" w14:textId="77777777" w:rsidR="001B6399" w:rsidRPr="001B6399" w:rsidRDefault="001B6399" w:rsidP="001B6399">
            <w:pPr>
              <w:autoSpaceDE w:val="0"/>
              <w:autoSpaceDN w:val="0"/>
              <w:adjustRightInd w:val="0"/>
              <w:jc w:val="both"/>
              <w:rPr>
                <w:rFonts w:eastAsia="Calibri"/>
                <w:sz w:val="14"/>
                <w:szCs w:val="14"/>
                <w:lang w:eastAsia="en-US"/>
              </w:rPr>
            </w:pPr>
            <w:r w:rsidRPr="001B6399">
              <w:rPr>
                <w:rFonts w:eastAsia="Calibri"/>
                <w:sz w:val="14"/>
                <w:szCs w:val="14"/>
                <w:lang w:eastAsia="en-US"/>
              </w:rPr>
              <w:t>Mercancías</w:t>
            </w:r>
          </w:p>
        </w:tc>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2EE1F329" w14:textId="77777777" w:rsidR="001B6399" w:rsidRPr="001B6399" w:rsidRDefault="001B6399" w:rsidP="001B6399">
            <w:pPr>
              <w:autoSpaceDE w:val="0"/>
              <w:autoSpaceDN w:val="0"/>
              <w:adjustRightInd w:val="0"/>
              <w:jc w:val="center"/>
              <w:rPr>
                <w:rFonts w:eastAsia="Calibri"/>
                <w:sz w:val="14"/>
                <w:szCs w:val="14"/>
                <w:lang w:eastAsia="en-US"/>
              </w:rPr>
            </w:pPr>
            <w:r w:rsidRPr="001B6399">
              <w:rPr>
                <w:rFonts w:eastAsia="Calibri"/>
                <w:sz w:val="14"/>
                <w:szCs w:val="14"/>
                <w:lang w:eastAsia="en-US"/>
              </w:rPr>
              <w:t>0.00</w:t>
            </w:r>
          </w:p>
        </w:tc>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2D3A3A7F" w14:textId="77777777" w:rsidR="001B6399" w:rsidRPr="001B6399" w:rsidRDefault="001B6399" w:rsidP="001B6399">
            <w:pPr>
              <w:autoSpaceDE w:val="0"/>
              <w:autoSpaceDN w:val="0"/>
              <w:adjustRightInd w:val="0"/>
              <w:ind w:left="-57" w:right="57"/>
              <w:jc w:val="right"/>
              <w:rPr>
                <w:rFonts w:eastAsia="Calibri"/>
                <w:sz w:val="14"/>
                <w:szCs w:val="14"/>
                <w:lang w:eastAsia="en-US"/>
              </w:rPr>
            </w:pPr>
            <w:r w:rsidRPr="001B6399">
              <w:rPr>
                <w:rFonts w:eastAsia="Calibri"/>
                <w:sz w:val="14"/>
                <w:szCs w:val="14"/>
                <w:lang w:eastAsia="en-US"/>
              </w:rPr>
              <w:t>0.1</w:t>
            </w:r>
          </w:p>
        </w:tc>
        <w:tc>
          <w:tcPr>
            <w:tcW w:w="4293"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DE2E25E"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10A637C5" w14:textId="77777777" w:rsidTr="005F651D">
        <w:trPr>
          <w:gridAfter w:val="1"/>
          <w:wAfter w:w="13" w:type="dxa"/>
          <w:trHeight w:val="292"/>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1A0879DC"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Cuentas Activas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5237AFFB"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6º bimestre 2014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671FD4"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17.7 Millones de cuentas </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383CD438"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Cuentas de trabajadores del IMSS que registraron al menos una aportación en el período de análisis</w:t>
            </w:r>
            <w:r w:rsidRPr="001B6399">
              <w:rPr>
                <w:rFonts w:eastAsia="Calibri"/>
                <w:sz w:val="16"/>
                <w:szCs w:val="16"/>
                <w:u w:val="single"/>
                <w:vertAlign w:val="superscript"/>
                <w:lang w:eastAsia="en-US"/>
              </w:rPr>
              <w:t>1</w:t>
            </w:r>
            <w:r w:rsidRPr="001B6399">
              <w:rPr>
                <w:rFonts w:eastAsia="Calibri"/>
                <w:sz w:val="16"/>
                <w:szCs w:val="16"/>
                <w:vertAlign w:val="superscript"/>
                <w:lang w:eastAsia="en-US"/>
              </w:rPr>
              <w:t>/</w:t>
            </w:r>
            <w:r w:rsidRPr="001B6399">
              <w:rPr>
                <w:rFonts w:eastAsia="Calibri"/>
                <w:sz w:val="16"/>
                <w:szCs w:val="16"/>
                <w:lang w:eastAsia="en-US"/>
              </w:rPr>
              <w:t xml:space="preserve">. </w:t>
            </w:r>
          </w:p>
        </w:tc>
      </w:tr>
      <w:tr w:rsidR="001B6399" w:rsidRPr="001B6399" w14:paraId="63FC595D" w14:textId="77777777" w:rsidTr="005F651D">
        <w:trPr>
          <w:gridAfter w:val="1"/>
          <w:wAfter w:w="13" w:type="dxa"/>
          <w:trHeight w:val="108"/>
          <w:jc w:val="center"/>
        </w:trPr>
        <w:tc>
          <w:tcPr>
            <w:tcW w:w="180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B648B9"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Densidad de Contribución </w:t>
            </w:r>
          </w:p>
        </w:tc>
        <w:tc>
          <w:tcPr>
            <w:tcW w:w="11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10B7FA"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6º bimestre 2014 </w:t>
            </w: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036EB256"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0 - 1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BC4FC7"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78.0%</w:t>
            </w:r>
          </w:p>
        </w:tc>
        <w:tc>
          <w:tcPr>
            <w:tcW w:w="42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4D6A85"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Aportaciones efectivas realizadas por trabajadores del IMSS en días, como proporción del total de aportaciones posibles en días en el bimestre</w:t>
            </w:r>
            <w:r w:rsidRPr="001B6399">
              <w:rPr>
                <w:rFonts w:eastAsia="Calibri"/>
                <w:sz w:val="16"/>
                <w:szCs w:val="16"/>
                <w:u w:val="single"/>
                <w:vertAlign w:val="superscript"/>
                <w:lang w:eastAsia="en-US"/>
              </w:rPr>
              <w:t>1</w:t>
            </w:r>
            <w:r w:rsidRPr="001B6399">
              <w:rPr>
                <w:rFonts w:eastAsia="Calibri"/>
                <w:sz w:val="16"/>
                <w:szCs w:val="16"/>
                <w:vertAlign w:val="superscript"/>
                <w:lang w:eastAsia="en-US"/>
              </w:rPr>
              <w:t>/</w:t>
            </w:r>
            <w:r w:rsidRPr="001B6399">
              <w:rPr>
                <w:rFonts w:eastAsia="Calibri"/>
                <w:sz w:val="16"/>
                <w:szCs w:val="16"/>
                <w:lang w:eastAsia="en-US"/>
              </w:rPr>
              <w:t xml:space="preserve">. </w:t>
            </w:r>
          </w:p>
        </w:tc>
      </w:tr>
      <w:tr w:rsidR="001B6399" w:rsidRPr="001B6399" w14:paraId="7CBFAB51"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FD3819"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5E05D4"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5D125B53"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1 - 3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4659AB"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90.3%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EAB8C8"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2D91F7B8"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1C3A62"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5F8BA76"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22161A2F"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3 - 5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74455"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95.1%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D0540C0"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2493FB9"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D90BE2"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A9C63A"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342672D7"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5 - 10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07ECB"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96.9%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DCFFAD"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67702E0"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1E9F07"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C7D570"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11541A4F"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10 - 15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81FC66"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97.7%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BCBBA2"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CECDD7C"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B64116"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0EBD09E"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31AF1F42"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15 - 25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4EE2FF"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98.0%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671712"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4F74DED9" w14:textId="77777777" w:rsidTr="005F651D">
        <w:trPr>
          <w:gridAfter w:val="1"/>
          <w:wAfter w:w="13" w:type="dxa"/>
          <w:trHeight w:val="102"/>
          <w:jc w:val="center"/>
        </w:trPr>
        <w:tc>
          <w:tcPr>
            <w:tcW w:w="180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5F9D6FC"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CB93B9D" w14:textId="77777777" w:rsidR="001B6399" w:rsidRPr="001B6399" w:rsidRDefault="001B6399" w:rsidP="001B6399">
            <w:pPr>
              <w:autoSpaceDE w:val="0"/>
              <w:autoSpaceDN w:val="0"/>
              <w:adjustRightInd w:val="0"/>
              <w:rPr>
                <w:rFonts w:eastAsia="Calibri"/>
                <w:sz w:val="16"/>
                <w:szCs w:val="16"/>
                <w:lang w:eastAsia="en-US"/>
              </w:rPr>
            </w:pPr>
          </w:p>
        </w:tc>
        <w:tc>
          <w:tcPr>
            <w:tcW w:w="1810" w:type="dxa"/>
            <w:tcBorders>
              <w:top w:val="single" w:sz="4" w:space="0" w:color="auto"/>
              <w:left w:val="single" w:sz="4" w:space="0" w:color="auto"/>
              <w:bottom w:val="single" w:sz="4" w:space="0" w:color="auto"/>
              <w:right w:val="single" w:sz="4" w:space="0" w:color="auto"/>
            </w:tcBorders>
            <w:shd w:val="clear" w:color="auto" w:fill="auto"/>
            <w:vAlign w:val="center"/>
          </w:tcPr>
          <w:p w14:paraId="6930ED78" w14:textId="77777777" w:rsidR="001B6399" w:rsidRPr="001B6399" w:rsidRDefault="001B6399" w:rsidP="001B6399">
            <w:pPr>
              <w:autoSpaceDE w:val="0"/>
              <w:autoSpaceDN w:val="0"/>
              <w:adjustRightInd w:val="0"/>
              <w:jc w:val="center"/>
              <w:rPr>
                <w:rFonts w:eastAsia="Calibri"/>
                <w:sz w:val="16"/>
                <w:szCs w:val="16"/>
                <w:lang w:eastAsia="en-US"/>
              </w:rPr>
            </w:pPr>
            <w:r w:rsidRPr="001B6399">
              <w:rPr>
                <w:rFonts w:eastAsia="Calibri"/>
                <w:sz w:val="16"/>
                <w:szCs w:val="16"/>
                <w:lang w:eastAsia="en-US"/>
              </w:rPr>
              <w:t>+25 SM</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3031E" w14:textId="77777777" w:rsidR="001B6399" w:rsidRPr="001B6399" w:rsidRDefault="001B6399" w:rsidP="001B6399">
            <w:pPr>
              <w:autoSpaceDE w:val="0"/>
              <w:autoSpaceDN w:val="0"/>
              <w:adjustRightInd w:val="0"/>
              <w:ind w:right="454"/>
              <w:jc w:val="right"/>
              <w:rPr>
                <w:rFonts w:eastAsia="Calibri"/>
                <w:sz w:val="16"/>
                <w:szCs w:val="16"/>
                <w:lang w:eastAsia="en-US"/>
              </w:rPr>
            </w:pPr>
            <w:r w:rsidRPr="001B6399">
              <w:rPr>
                <w:rFonts w:eastAsia="Calibri"/>
                <w:sz w:val="16"/>
                <w:szCs w:val="16"/>
                <w:lang w:eastAsia="en-US"/>
              </w:rPr>
              <w:t xml:space="preserve">97.6% </w:t>
            </w:r>
          </w:p>
        </w:tc>
        <w:tc>
          <w:tcPr>
            <w:tcW w:w="42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6B464E"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41DF206F" w14:textId="77777777" w:rsidTr="005F651D">
        <w:trPr>
          <w:gridAfter w:val="1"/>
          <w:wAfter w:w="13" w:type="dxa"/>
          <w:trHeight w:val="290"/>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519613BB"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Aportación Promedio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057FD22A"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6º bimestre 2014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AE57F2"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1 199 pesos </w:t>
            </w:r>
          </w:p>
          <w:p w14:paraId="2270ABB8"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(0.29 SM mensuales) </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57786C49"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Recursos que se depositan en la cuenta individual de cada trabajador. </w:t>
            </w:r>
          </w:p>
        </w:tc>
      </w:tr>
      <w:tr w:rsidR="001B6399" w:rsidRPr="001B6399" w14:paraId="3DC69CFB" w14:textId="77777777" w:rsidTr="005F651D">
        <w:trPr>
          <w:gridAfter w:val="1"/>
          <w:wAfter w:w="13" w:type="dxa"/>
          <w:trHeight w:val="398"/>
          <w:jc w:val="center"/>
        </w:trPr>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7EC1C17"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 xml:space="preserve">Ahorro Voluntario </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tcPr>
          <w:p w14:paraId="27FE6910"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Febrero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1141F5"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28 130 mdp </w:t>
            </w:r>
          </w:p>
          <w:p w14:paraId="3F1C4838"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(1.2% de los Activos Netos) </w:t>
            </w:r>
          </w:p>
        </w:tc>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3B0B5B9E"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Histórico de aportaciones adicionales a las obligatorias que los trabajadores realizan y que sirven para incrementar el saldo en su Cuenta Individual. </w:t>
            </w:r>
          </w:p>
        </w:tc>
      </w:tr>
      <w:tr w:rsidR="001B6399" w:rsidRPr="001B6399" w14:paraId="72F3688E" w14:textId="77777777" w:rsidTr="005F651D">
        <w:trPr>
          <w:gridAfter w:val="1"/>
          <w:wAfter w:w="13" w:type="dxa"/>
          <w:trHeight w:val="239"/>
          <w:jc w:val="center"/>
        </w:trPr>
        <w:tc>
          <w:tcPr>
            <w:tcW w:w="1803" w:type="dxa"/>
            <w:vMerge w:val="restart"/>
            <w:tcBorders>
              <w:top w:val="single" w:sz="4" w:space="0" w:color="auto"/>
              <w:left w:val="single" w:sz="4" w:space="0" w:color="auto"/>
              <w:right w:val="single" w:sz="4" w:space="0" w:color="auto"/>
            </w:tcBorders>
            <w:shd w:val="clear" w:color="auto" w:fill="auto"/>
            <w:vAlign w:val="center"/>
          </w:tcPr>
          <w:p w14:paraId="07812832"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Retiro Parcial por Desempleo</w:t>
            </w:r>
            <w:r w:rsidRPr="001B6399">
              <w:rPr>
                <w:rFonts w:eastAsia="Calibri"/>
                <w:b/>
                <w:bCs/>
                <w:sz w:val="16"/>
                <w:szCs w:val="16"/>
                <w:u w:val="single"/>
                <w:vertAlign w:val="superscript"/>
                <w:lang w:eastAsia="en-US"/>
              </w:rPr>
              <w:t>2</w:t>
            </w:r>
            <w:r w:rsidRPr="001B6399">
              <w:rPr>
                <w:rFonts w:eastAsia="Calibri"/>
                <w:b/>
                <w:bCs/>
                <w:sz w:val="16"/>
                <w:szCs w:val="16"/>
                <w:vertAlign w:val="superscript"/>
                <w:lang w:eastAsia="en-US"/>
              </w:rPr>
              <w:t>/</w:t>
            </w:r>
            <w:r w:rsidRPr="001B6399">
              <w:rPr>
                <w:rFonts w:eastAsia="Calibri"/>
                <w:b/>
                <w:bCs/>
                <w:sz w:val="16"/>
                <w:szCs w:val="16"/>
                <w:lang w:eastAsia="en-US"/>
              </w:rPr>
              <w:t xml:space="preserve"> </w:t>
            </w:r>
          </w:p>
        </w:tc>
        <w:tc>
          <w:tcPr>
            <w:tcW w:w="1147" w:type="dxa"/>
            <w:vMerge w:val="restart"/>
            <w:tcBorders>
              <w:top w:val="single" w:sz="4" w:space="0" w:color="auto"/>
              <w:left w:val="single" w:sz="4" w:space="0" w:color="auto"/>
              <w:right w:val="single" w:sz="4" w:space="0" w:color="auto"/>
            </w:tcBorders>
            <w:shd w:val="clear" w:color="auto" w:fill="auto"/>
            <w:vAlign w:val="center"/>
          </w:tcPr>
          <w:p w14:paraId="00EFC5EF"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Febrero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89050B"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77 022 retiros parciales </w:t>
            </w:r>
          </w:p>
        </w:tc>
        <w:tc>
          <w:tcPr>
            <w:tcW w:w="4280" w:type="dxa"/>
            <w:vMerge w:val="restart"/>
            <w:tcBorders>
              <w:top w:val="single" w:sz="4" w:space="0" w:color="auto"/>
              <w:left w:val="single" w:sz="4" w:space="0" w:color="auto"/>
              <w:right w:val="single" w:sz="4" w:space="0" w:color="auto"/>
            </w:tcBorders>
            <w:shd w:val="clear" w:color="auto" w:fill="auto"/>
            <w:vAlign w:val="center"/>
          </w:tcPr>
          <w:p w14:paraId="689338B5"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Número de solicitudes recibidas para realizar retiros parciales por concepto de desempleo, el cual se puede realizar a los 45 días naturales posteriores al término de una relación laboral, según la legislación vigente. </w:t>
            </w:r>
          </w:p>
        </w:tc>
      </w:tr>
      <w:tr w:rsidR="001B6399" w:rsidRPr="001B6399" w14:paraId="25D7D829" w14:textId="77777777" w:rsidTr="005F651D">
        <w:trPr>
          <w:gridAfter w:val="1"/>
          <w:wAfter w:w="13" w:type="dxa"/>
          <w:trHeight w:val="238"/>
          <w:jc w:val="center"/>
        </w:trPr>
        <w:tc>
          <w:tcPr>
            <w:tcW w:w="1803" w:type="dxa"/>
            <w:vMerge/>
            <w:tcBorders>
              <w:left w:val="single" w:sz="4" w:space="0" w:color="auto"/>
              <w:bottom w:val="single" w:sz="4" w:space="0" w:color="auto"/>
              <w:right w:val="single" w:sz="4" w:space="0" w:color="auto"/>
            </w:tcBorders>
            <w:shd w:val="clear" w:color="auto" w:fill="auto"/>
            <w:vAlign w:val="center"/>
          </w:tcPr>
          <w:p w14:paraId="7EFF0E36"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left w:val="single" w:sz="4" w:space="0" w:color="auto"/>
              <w:bottom w:val="single" w:sz="4" w:space="0" w:color="auto"/>
              <w:right w:val="single" w:sz="4" w:space="0" w:color="auto"/>
            </w:tcBorders>
            <w:shd w:val="clear" w:color="auto" w:fill="auto"/>
            <w:vAlign w:val="center"/>
          </w:tcPr>
          <w:p w14:paraId="19D12CEC" w14:textId="77777777" w:rsidR="001B6399" w:rsidRPr="001B6399" w:rsidRDefault="001B6399" w:rsidP="001B6399">
            <w:pPr>
              <w:autoSpaceDE w:val="0"/>
              <w:autoSpaceDN w:val="0"/>
              <w:adjustRightInd w:val="0"/>
              <w:rPr>
                <w:rFonts w:eastAsia="Calibri"/>
                <w:sz w:val="16"/>
                <w:szCs w:val="16"/>
                <w:lang w:eastAsia="en-US"/>
              </w:rPr>
            </w:pP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B52497"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Retiro promedio 9 412 pesos (4.80 SM)</w:t>
            </w:r>
          </w:p>
        </w:tc>
        <w:tc>
          <w:tcPr>
            <w:tcW w:w="4280" w:type="dxa"/>
            <w:vMerge/>
            <w:tcBorders>
              <w:left w:val="single" w:sz="4" w:space="0" w:color="auto"/>
              <w:bottom w:val="single" w:sz="4" w:space="0" w:color="auto"/>
              <w:right w:val="single" w:sz="4" w:space="0" w:color="auto"/>
            </w:tcBorders>
            <w:shd w:val="clear" w:color="auto" w:fill="auto"/>
            <w:vAlign w:val="center"/>
          </w:tcPr>
          <w:p w14:paraId="284979F1"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2BFE6C96" w14:textId="77777777" w:rsidTr="005F651D">
        <w:trPr>
          <w:gridAfter w:val="1"/>
          <w:wAfter w:w="13" w:type="dxa"/>
          <w:trHeight w:val="120"/>
          <w:jc w:val="center"/>
        </w:trPr>
        <w:tc>
          <w:tcPr>
            <w:tcW w:w="1803" w:type="dxa"/>
            <w:vMerge w:val="restart"/>
            <w:tcBorders>
              <w:top w:val="single" w:sz="4" w:space="0" w:color="auto"/>
              <w:left w:val="single" w:sz="4" w:space="0" w:color="auto"/>
              <w:right w:val="single" w:sz="4" w:space="0" w:color="auto"/>
            </w:tcBorders>
            <w:shd w:val="clear" w:color="auto" w:fill="auto"/>
            <w:vAlign w:val="center"/>
          </w:tcPr>
          <w:p w14:paraId="648C6CEB"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b/>
                <w:bCs/>
                <w:sz w:val="16"/>
                <w:szCs w:val="16"/>
                <w:lang w:eastAsia="en-US"/>
              </w:rPr>
              <w:t>Retiros Parciales por Matrimonio</w:t>
            </w:r>
            <w:r w:rsidRPr="001B6399">
              <w:rPr>
                <w:rFonts w:eastAsia="Calibri"/>
                <w:b/>
                <w:bCs/>
                <w:sz w:val="16"/>
                <w:szCs w:val="16"/>
                <w:u w:val="single"/>
                <w:vertAlign w:val="superscript"/>
                <w:lang w:eastAsia="en-US"/>
              </w:rPr>
              <w:t>2</w:t>
            </w:r>
            <w:r w:rsidRPr="001B6399">
              <w:rPr>
                <w:rFonts w:eastAsia="Calibri"/>
                <w:b/>
                <w:bCs/>
                <w:sz w:val="16"/>
                <w:szCs w:val="16"/>
                <w:vertAlign w:val="superscript"/>
                <w:lang w:eastAsia="en-US"/>
              </w:rPr>
              <w:t>/</w:t>
            </w:r>
            <w:r w:rsidRPr="001B6399">
              <w:rPr>
                <w:rFonts w:eastAsia="Calibri"/>
                <w:b/>
                <w:bCs/>
                <w:sz w:val="16"/>
                <w:szCs w:val="16"/>
                <w:lang w:eastAsia="en-US"/>
              </w:rPr>
              <w:t xml:space="preserve"> </w:t>
            </w:r>
          </w:p>
        </w:tc>
        <w:tc>
          <w:tcPr>
            <w:tcW w:w="1147" w:type="dxa"/>
            <w:vMerge w:val="restart"/>
            <w:tcBorders>
              <w:top w:val="single" w:sz="4" w:space="0" w:color="auto"/>
              <w:left w:val="single" w:sz="4" w:space="0" w:color="auto"/>
              <w:right w:val="single" w:sz="4" w:space="0" w:color="auto"/>
            </w:tcBorders>
            <w:shd w:val="clear" w:color="auto" w:fill="auto"/>
            <w:vAlign w:val="center"/>
          </w:tcPr>
          <w:p w14:paraId="7A3B4CE8" w14:textId="77777777" w:rsidR="001B6399" w:rsidRPr="001B6399" w:rsidRDefault="001B6399" w:rsidP="001B6399">
            <w:pPr>
              <w:autoSpaceDE w:val="0"/>
              <w:autoSpaceDN w:val="0"/>
              <w:adjustRightInd w:val="0"/>
              <w:rPr>
                <w:rFonts w:eastAsia="Calibri"/>
                <w:sz w:val="16"/>
                <w:szCs w:val="16"/>
                <w:lang w:eastAsia="en-US"/>
              </w:rPr>
            </w:pPr>
            <w:r w:rsidRPr="001B6399">
              <w:rPr>
                <w:rFonts w:eastAsia="Calibri"/>
                <w:sz w:val="16"/>
                <w:szCs w:val="16"/>
                <w:lang w:eastAsia="en-US"/>
              </w:rPr>
              <w:t xml:space="preserve">Febrero 2015 </w:t>
            </w: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0262CE"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8 962 retiros parciales </w:t>
            </w:r>
          </w:p>
        </w:tc>
        <w:tc>
          <w:tcPr>
            <w:tcW w:w="4280" w:type="dxa"/>
            <w:vMerge w:val="restart"/>
            <w:tcBorders>
              <w:top w:val="single" w:sz="4" w:space="0" w:color="auto"/>
              <w:left w:val="single" w:sz="4" w:space="0" w:color="auto"/>
              <w:right w:val="single" w:sz="4" w:space="0" w:color="auto"/>
            </w:tcBorders>
            <w:shd w:val="clear" w:color="auto" w:fill="auto"/>
            <w:vAlign w:val="center"/>
          </w:tcPr>
          <w:p w14:paraId="069562DD"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 xml:space="preserve">Número de solicitudes recibidas para realizar retiros parciales por concepto de matrimonio. </w:t>
            </w:r>
          </w:p>
        </w:tc>
      </w:tr>
      <w:tr w:rsidR="001B6399" w:rsidRPr="001B6399" w14:paraId="4CF7CC81" w14:textId="77777777" w:rsidTr="005F651D">
        <w:trPr>
          <w:gridAfter w:val="1"/>
          <w:wAfter w:w="13" w:type="dxa"/>
          <w:trHeight w:val="120"/>
          <w:jc w:val="center"/>
        </w:trPr>
        <w:tc>
          <w:tcPr>
            <w:tcW w:w="1803" w:type="dxa"/>
            <w:vMerge/>
            <w:tcBorders>
              <w:left w:val="single" w:sz="4" w:space="0" w:color="auto"/>
              <w:right w:val="single" w:sz="4" w:space="0" w:color="auto"/>
            </w:tcBorders>
            <w:shd w:val="clear" w:color="auto" w:fill="auto"/>
            <w:vAlign w:val="center"/>
          </w:tcPr>
          <w:p w14:paraId="5A988816"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left w:val="single" w:sz="4" w:space="0" w:color="auto"/>
              <w:right w:val="single" w:sz="4" w:space="0" w:color="auto"/>
            </w:tcBorders>
            <w:shd w:val="clear" w:color="auto" w:fill="auto"/>
            <w:vAlign w:val="center"/>
          </w:tcPr>
          <w:p w14:paraId="28A9ACC7" w14:textId="77777777" w:rsidR="001B6399" w:rsidRPr="001B6399" w:rsidRDefault="001B6399" w:rsidP="001B6399">
            <w:pPr>
              <w:autoSpaceDE w:val="0"/>
              <w:autoSpaceDN w:val="0"/>
              <w:adjustRightInd w:val="0"/>
              <w:rPr>
                <w:rFonts w:eastAsia="Calibri"/>
                <w:sz w:val="16"/>
                <w:szCs w:val="16"/>
                <w:lang w:eastAsia="en-US"/>
              </w:rPr>
            </w:pP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5620A4"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Retiro promedio 1 911 pesos (0.97 SM)</w:t>
            </w:r>
          </w:p>
        </w:tc>
        <w:tc>
          <w:tcPr>
            <w:tcW w:w="4280" w:type="dxa"/>
            <w:vMerge/>
            <w:tcBorders>
              <w:left w:val="single" w:sz="4" w:space="0" w:color="auto"/>
              <w:right w:val="single" w:sz="4" w:space="0" w:color="auto"/>
            </w:tcBorders>
            <w:shd w:val="clear" w:color="auto" w:fill="auto"/>
            <w:vAlign w:val="center"/>
          </w:tcPr>
          <w:p w14:paraId="532EFEF5"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84469E2" w14:textId="77777777" w:rsidTr="005F651D">
        <w:trPr>
          <w:gridAfter w:val="1"/>
          <w:wAfter w:w="13" w:type="dxa"/>
          <w:trHeight w:val="120"/>
          <w:jc w:val="center"/>
        </w:trPr>
        <w:tc>
          <w:tcPr>
            <w:tcW w:w="1803" w:type="dxa"/>
            <w:vMerge/>
            <w:tcBorders>
              <w:left w:val="single" w:sz="4" w:space="0" w:color="auto"/>
              <w:bottom w:val="single" w:sz="4" w:space="0" w:color="auto"/>
              <w:right w:val="single" w:sz="4" w:space="0" w:color="auto"/>
            </w:tcBorders>
            <w:shd w:val="clear" w:color="auto" w:fill="auto"/>
            <w:vAlign w:val="center"/>
          </w:tcPr>
          <w:p w14:paraId="596D3FFD" w14:textId="77777777" w:rsidR="001B6399" w:rsidRPr="001B6399" w:rsidRDefault="001B6399" w:rsidP="001B6399">
            <w:pPr>
              <w:autoSpaceDE w:val="0"/>
              <w:autoSpaceDN w:val="0"/>
              <w:adjustRightInd w:val="0"/>
              <w:rPr>
                <w:rFonts w:eastAsia="Calibri"/>
                <w:b/>
                <w:bCs/>
                <w:sz w:val="16"/>
                <w:szCs w:val="16"/>
                <w:lang w:eastAsia="en-US"/>
              </w:rPr>
            </w:pPr>
          </w:p>
        </w:tc>
        <w:tc>
          <w:tcPr>
            <w:tcW w:w="1147" w:type="dxa"/>
            <w:vMerge/>
            <w:tcBorders>
              <w:left w:val="single" w:sz="4" w:space="0" w:color="auto"/>
              <w:bottom w:val="single" w:sz="4" w:space="0" w:color="auto"/>
              <w:right w:val="single" w:sz="4" w:space="0" w:color="auto"/>
            </w:tcBorders>
            <w:shd w:val="clear" w:color="auto" w:fill="auto"/>
            <w:vAlign w:val="center"/>
          </w:tcPr>
          <w:p w14:paraId="4F3C9F8E" w14:textId="77777777" w:rsidR="001B6399" w:rsidRPr="001B6399" w:rsidRDefault="001B6399" w:rsidP="001B6399">
            <w:pPr>
              <w:autoSpaceDE w:val="0"/>
              <w:autoSpaceDN w:val="0"/>
              <w:adjustRightInd w:val="0"/>
              <w:rPr>
                <w:rFonts w:eastAsia="Calibri"/>
                <w:sz w:val="16"/>
                <w:szCs w:val="16"/>
                <w:lang w:eastAsia="en-US"/>
              </w:rPr>
            </w:pPr>
          </w:p>
        </w:tc>
        <w:tc>
          <w:tcPr>
            <w:tcW w:w="308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1F1D6"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Retiro total 17.13 mdp</w:t>
            </w:r>
          </w:p>
        </w:tc>
        <w:tc>
          <w:tcPr>
            <w:tcW w:w="4280" w:type="dxa"/>
            <w:vMerge/>
            <w:tcBorders>
              <w:left w:val="single" w:sz="4" w:space="0" w:color="auto"/>
              <w:bottom w:val="single" w:sz="4" w:space="0" w:color="auto"/>
              <w:right w:val="single" w:sz="4" w:space="0" w:color="auto"/>
            </w:tcBorders>
            <w:shd w:val="clear" w:color="auto" w:fill="auto"/>
            <w:vAlign w:val="center"/>
          </w:tcPr>
          <w:p w14:paraId="2267841F" w14:textId="77777777" w:rsidR="001B6399" w:rsidRPr="001B6399" w:rsidRDefault="001B6399" w:rsidP="001B6399">
            <w:pPr>
              <w:autoSpaceDE w:val="0"/>
              <w:autoSpaceDN w:val="0"/>
              <w:adjustRightInd w:val="0"/>
              <w:jc w:val="both"/>
              <w:rPr>
                <w:rFonts w:eastAsia="Calibri"/>
                <w:sz w:val="16"/>
                <w:szCs w:val="16"/>
                <w:lang w:eastAsia="en-US"/>
              </w:rPr>
            </w:pPr>
          </w:p>
        </w:tc>
      </w:tr>
      <w:tr w:rsidR="001B6399" w:rsidRPr="001B6399" w14:paraId="775E30AC" w14:textId="77777777" w:rsidTr="005F651D">
        <w:trPr>
          <w:gridAfter w:val="1"/>
          <w:wAfter w:w="13" w:type="dxa"/>
          <w:trHeight w:val="440"/>
          <w:jc w:val="center"/>
        </w:trPr>
        <w:tc>
          <w:tcPr>
            <w:tcW w:w="10315" w:type="dxa"/>
            <w:gridSpan w:val="6"/>
            <w:tcBorders>
              <w:top w:val="single" w:sz="4" w:space="0" w:color="auto"/>
              <w:left w:val="nil"/>
              <w:bottom w:val="nil"/>
              <w:right w:val="nil"/>
            </w:tcBorders>
            <w:shd w:val="clear" w:color="auto" w:fill="auto"/>
            <w:vAlign w:val="center"/>
          </w:tcPr>
          <w:p w14:paraId="739EEE05"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lang w:eastAsia="en-US"/>
              </w:rPr>
              <w:t>Cifras sujetas a revisión.</w:t>
            </w:r>
          </w:p>
          <w:p w14:paraId="331E3DD0"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u w:val="single"/>
                <w:lang w:eastAsia="en-US"/>
              </w:rPr>
              <w:t>1</w:t>
            </w:r>
            <w:r w:rsidRPr="001B6399">
              <w:rPr>
                <w:rFonts w:eastAsia="Calibri"/>
                <w:sz w:val="16"/>
                <w:szCs w:val="16"/>
                <w:lang w:eastAsia="en-US"/>
              </w:rPr>
              <w:t xml:space="preserve">/ Sobre Trabajadores que realizaron al menos una aportación efectiva en el periodo de referencia. </w:t>
            </w:r>
          </w:p>
          <w:p w14:paraId="2A36221D" w14:textId="77777777" w:rsidR="001B6399" w:rsidRPr="001B6399" w:rsidRDefault="001B6399" w:rsidP="001B6399">
            <w:pPr>
              <w:autoSpaceDE w:val="0"/>
              <w:autoSpaceDN w:val="0"/>
              <w:adjustRightInd w:val="0"/>
              <w:jc w:val="both"/>
              <w:rPr>
                <w:rFonts w:eastAsia="Calibri"/>
                <w:sz w:val="16"/>
                <w:szCs w:val="16"/>
                <w:lang w:eastAsia="en-US"/>
              </w:rPr>
            </w:pPr>
            <w:r w:rsidRPr="001B6399">
              <w:rPr>
                <w:rFonts w:eastAsia="Calibri"/>
                <w:sz w:val="16"/>
                <w:szCs w:val="16"/>
                <w:u w:val="single"/>
                <w:lang w:eastAsia="en-US"/>
              </w:rPr>
              <w:t>2</w:t>
            </w:r>
            <w:r w:rsidRPr="001B6399">
              <w:rPr>
                <w:rFonts w:eastAsia="Calibri"/>
                <w:sz w:val="16"/>
                <w:szCs w:val="16"/>
                <w:lang w:eastAsia="en-US"/>
              </w:rPr>
              <w:t>/ No incluye información de Afore Coppel, cifras en revisión.</w:t>
            </w:r>
          </w:p>
          <w:p w14:paraId="79C78C4C" w14:textId="77777777" w:rsidR="001B6399" w:rsidRPr="001B6399" w:rsidRDefault="001B6399" w:rsidP="001B6399">
            <w:pPr>
              <w:autoSpaceDE w:val="0"/>
              <w:autoSpaceDN w:val="0"/>
              <w:adjustRightInd w:val="0"/>
              <w:ind w:left="709" w:hanging="709"/>
              <w:jc w:val="both"/>
              <w:rPr>
                <w:rFonts w:eastAsia="Calibri"/>
                <w:sz w:val="16"/>
                <w:szCs w:val="16"/>
                <w:lang w:eastAsia="en-US"/>
              </w:rPr>
            </w:pPr>
            <w:r w:rsidRPr="001B6399">
              <w:rPr>
                <w:rFonts w:eastAsia="Calibri"/>
                <w:sz w:val="16"/>
                <w:szCs w:val="16"/>
                <w:lang w:eastAsia="en-US"/>
              </w:rPr>
              <w:t>FUENTE: Con información de Consar, Banxico, Instituto Nacional de Estadística e Informática (INEGI), Infosel, última información disponible de la fuente.</w:t>
            </w:r>
          </w:p>
        </w:tc>
      </w:tr>
    </w:tbl>
    <w:p w14:paraId="737E3A6E" w14:textId="77777777" w:rsidR="001B6399" w:rsidRPr="001B6399" w:rsidRDefault="001B6399" w:rsidP="001B6399">
      <w:pPr>
        <w:spacing w:after="360" w:line="360" w:lineRule="auto"/>
        <w:ind w:right="-159"/>
        <w:jc w:val="both"/>
        <w:rPr>
          <w:rFonts w:eastAsia="Calibri"/>
          <w:sz w:val="26"/>
          <w:szCs w:val="26"/>
          <w:lang w:eastAsia="en-US"/>
        </w:rPr>
      </w:pPr>
    </w:p>
    <w:p w14:paraId="4C948938" w14:textId="77777777" w:rsidR="001B6399" w:rsidRPr="001B6399" w:rsidRDefault="001B6399" w:rsidP="001B6399">
      <w:pPr>
        <w:ind w:right="-159"/>
        <w:jc w:val="both"/>
        <w:rPr>
          <w:rFonts w:eastAsia="Calibri"/>
          <w:b/>
          <w:sz w:val="20"/>
          <w:szCs w:val="20"/>
          <w:lang w:eastAsia="en-US"/>
        </w:rPr>
      </w:pPr>
      <w:r w:rsidRPr="001B6399">
        <w:rPr>
          <w:rFonts w:eastAsia="Calibri"/>
          <w:b/>
          <w:sz w:val="20"/>
          <w:szCs w:val="20"/>
          <w:lang w:eastAsia="en-US"/>
        </w:rPr>
        <w:t>Fuente de información:</w:t>
      </w:r>
    </w:p>
    <w:p w14:paraId="7960FB89" w14:textId="77777777" w:rsidR="001B6399" w:rsidRPr="00372137" w:rsidRDefault="0045651A" w:rsidP="001B6399">
      <w:pPr>
        <w:ind w:right="-159"/>
        <w:jc w:val="both"/>
        <w:rPr>
          <w:rFonts w:eastAsia="Calibri"/>
          <w:color w:val="0000FF"/>
          <w:sz w:val="20"/>
          <w:szCs w:val="20"/>
          <w:lang w:eastAsia="en-US"/>
        </w:rPr>
      </w:pPr>
      <w:hyperlink r:id="rId75" w:history="1">
        <w:r w:rsidR="001B6399" w:rsidRPr="00372137">
          <w:rPr>
            <w:rFonts w:eastAsia="Calibri"/>
            <w:color w:val="0000FF"/>
            <w:sz w:val="20"/>
            <w:szCs w:val="20"/>
            <w:u w:val="single"/>
            <w:lang w:eastAsia="en-US"/>
          </w:rPr>
          <w:t>http://www.amafore.org/sites/default/files/Amafore_BoletinSARMexico_Vol2_No2_Abril2015.pdf</w:t>
        </w:r>
      </w:hyperlink>
    </w:p>
    <w:p w14:paraId="189EC0F1" w14:textId="77777777" w:rsidR="001B6399" w:rsidRDefault="001B6399" w:rsidP="001B6399">
      <w:pPr>
        <w:spacing w:after="360" w:line="360" w:lineRule="auto"/>
        <w:ind w:right="-159"/>
        <w:jc w:val="both"/>
        <w:rPr>
          <w:rFonts w:eastAsia="Calibri"/>
          <w:sz w:val="26"/>
          <w:szCs w:val="26"/>
          <w:lang w:eastAsia="en-US"/>
        </w:rPr>
      </w:pPr>
    </w:p>
    <w:p w14:paraId="0BD82929" w14:textId="77777777" w:rsidR="005F651D" w:rsidRDefault="005F651D" w:rsidP="001B6399">
      <w:pPr>
        <w:spacing w:after="360" w:line="360" w:lineRule="auto"/>
        <w:ind w:right="-159"/>
        <w:jc w:val="both"/>
        <w:rPr>
          <w:rFonts w:eastAsia="Calibri"/>
          <w:sz w:val="26"/>
          <w:szCs w:val="26"/>
          <w:lang w:eastAsia="en-US"/>
        </w:rPr>
      </w:pPr>
    </w:p>
    <w:p w14:paraId="7EAFC5E9" w14:textId="77777777" w:rsidR="005F651D" w:rsidRDefault="005F651D" w:rsidP="001B6399">
      <w:pPr>
        <w:spacing w:after="360" w:line="360" w:lineRule="auto"/>
        <w:ind w:right="-159"/>
        <w:jc w:val="both"/>
        <w:rPr>
          <w:rFonts w:eastAsia="Calibri"/>
          <w:sz w:val="26"/>
          <w:szCs w:val="26"/>
          <w:lang w:eastAsia="en-US"/>
        </w:rPr>
      </w:pPr>
    </w:p>
    <w:p w14:paraId="38486871" w14:textId="77777777" w:rsidR="005F651D" w:rsidRPr="001B6399" w:rsidRDefault="005F651D" w:rsidP="001B6399">
      <w:pPr>
        <w:spacing w:after="360" w:line="360" w:lineRule="auto"/>
        <w:ind w:right="-159"/>
        <w:jc w:val="both"/>
        <w:rPr>
          <w:rFonts w:eastAsia="Calibri"/>
          <w:sz w:val="26"/>
          <w:szCs w:val="26"/>
          <w:lang w:eastAsia="en-US"/>
        </w:rPr>
      </w:pPr>
    </w:p>
    <w:p w14:paraId="3E24B430" w14:textId="354CA856" w:rsidR="00A60DAA" w:rsidRPr="00A60DAA" w:rsidRDefault="00A60DAA" w:rsidP="00A60DAA">
      <w:pPr>
        <w:ind w:right="-159"/>
        <w:jc w:val="both"/>
        <w:rPr>
          <w:rFonts w:eastAsia="Times New Roman"/>
          <w:b/>
          <w:sz w:val="26"/>
          <w:szCs w:val="26"/>
          <w:lang w:val="es-ES"/>
        </w:rPr>
      </w:pPr>
      <w:r w:rsidRPr="00A60DAA">
        <w:rPr>
          <w:rFonts w:eastAsia="Times New Roman"/>
          <w:b/>
          <w:sz w:val="26"/>
          <w:szCs w:val="26"/>
          <w:lang w:val="es-ES"/>
        </w:rPr>
        <w:lastRenderedPageBreak/>
        <w:t xml:space="preserve">Indicador </w:t>
      </w:r>
      <w:r>
        <w:rPr>
          <w:rFonts w:eastAsia="Times New Roman"/>
          <w:b/>
          <w:sz w:val="26"/>
          <w:szCs w:val="26"/>
          <w:lang w:val="es-ES"/>
        </w:rPr>
        <w:t xml:space="preserve">    </w:t>
      </w:r>
      <w:r w:rsidR="006C5C36">
        <w:rPr>
          <w:rFonts w:eastAsia="Times New Roman"/>
          <w:b/>
          <w:sz w:val="26"/>
          <w:szCs w:val="26"/>
          <w:lang w:val="es-ES"/>
        </w:rPr>
        <w:t>M</w:t>
      </w:r>
      <w:r w:rsidRPr="00A60DAA">
        <w:rPr>
          <w:rFonts w:eastAsia="Times New Roman"/>
          <w:b/>
          <w:sz w:val="26"/>
          <w:szCs w:val="26"/>
          <w:lang w:val="es-ES"/>
        </w:rPr>
        <w:t xml:space="preserve">ensual </w:t>
      </w:r>
      <w:r>
        <w:rPr>
          <w:rFonts w:eastAsia="Times New Roman"/>
          <w:b/>
          <w:sz w:val="26"/>
          <w:szCs w:val="26"/>
          <w:lang w:val="es-ES"/>
        </w:rPr>
        <w:t xml:space="preserve">     </w:t>
      </w:r>
      <w:r w:rsidRPr="00A60DAA">
        <w:rPr>
          <w:rFonts w:eastAsia="Times New Roman"/>
          <w:b/>
          <w:sz w:val="26"/>
          <w:szCs w:val="26"/>
          <w:lang w:val="es-ES"/>
        </w:rPr>
        <w:t xml:space="preserve">del </w:t>
      </w:r>
      <w:r>
        <w:rPr>
          <w:rFonts w:eastAsia="Times New Roman"/>
          <w:b/>
          <w:sz w:val="26"/>
          <w:szCs w:val="26"/>
          <w:lang w:val="es-ES"/>
        </w:rPr>
        <w:t xml:space="preserve">    </w:t>
      </w:r>
      <w:r w:rsidR="006C5C36">
        <w:rPr>
          <w:rFonts w:eastAsia="Times New Roman"/>
          <w:b/>
          <w:sz w:val="26"/>
          <w:szCs w:val="26"/>
          <w:lang w:val="es-ES"/>
        </w:rPr>
        <w:t>C</w:t>
      </w:r>
      <w:r w:rsidRPr="00A60DAA">
        <w:rPr>
          <w:rFonts w:eastAsia="Times New Roman"/>
          <w:b/>
          <w:sz w:val="26"/>
          <w:szCs w:val="26"/>
          <w:lang w:val="es-ES"/>
        </w:rPr>
        <w:t>onsumo</w:t>
      </w:r>
    </w:p>
    <w:p w14:paraId="21216910" w14:textId="5CA13326" w:rsidR="00A60DAA" w:rsidRPr="00A60DAA" w:rsidRDefault="006C5C36" w:rsidP="00A60DAA">
      <w:pPr>
        <w:spacing w:after="360" w:line="360" w:lineRule="auto"/>
        <w:ind w:right="-159"/>
        <w:jc w:val="both"/>
        <w:rPr>
          <w:rFonts w:eastAsia="Times New Roman"/>
          <w:b/>
          <w:sz w:val="26"/>
          <w:szCs w:val="26"/>
          <w:lang w:val="es-ES"/>
        </w:rPr>
      </w:pPr>
      <w:r>
        <w:rPr>
          <w:rFonts w:eastAsia="Times New Roman"/>
          <w:b/>
          <w:sz w:val="26"/>
          <w:szCs w:val="26"/>
          <w:lang w:val="es-ES"/>
        </w:rPr>
        <w:t>P</w:t>
      </w:r>
      <w:r w:rsidR="00A60DAA">
        <w:rPr>
          <w:rFonts w:eastAsia="Times New Roman"/>
          <w:b/>
          <w:sz w:val="26"/>
          <w:szCs w:val="26"/>
          <w:lang w:val="es-ES"/>
        </w:rPr>
        <w:t xml:space="preserve">rivado </w:t>
      </w:r>
      <w:r w:rsidR="00A60DAA" w:rsidRPr="00A60DAA">
        <w:rPr>
          <w:rFonts w:eastAsia="Times New Roman"/>
          <w:b/>
          <w:sz w:val="26"/>
          <w:szCs w:val="26"/>
          <w:lang w:val="es-ES"/>
        </w:rPr>
        <w:t>en el</w:t>
      </w:r>
      <w:r w:rsidR="00A60DAA">
        <w:rPr>
          <w:rFonts w:eastAsia="Times New Roman"/>
          <w:b/>
          <w:sz w:val="26"/>
          <w:szCs w:val="26"/>
          <w:lang w:val="es-ES"/>
        </w:rPr>
        <w:t xml:space="preserve"> </w:t>
      </w:r>
      <w:r>
        <w:rPr>
          <w:rFonts w:eastAsia="Times New Roman"/>
          <w:b/>
          <w:sz w:val="26"/>
          <w:szCs w:val="26"/>
          <w:lang w:val="es-ES"/>
        </w:rPr>
        <w:t>M</w:t>
      </w:r>
      <w:r w:rsidR="00A60DAA" w:rsidRPr="00A60DAA">
        <w:rPr>
          <w:rFonts w:eastAsia="Times New Roman"/>
          <w:b/>
          <w:sz w:val="26"/>
          <w:szCs w:val="26"/>
          <w:lang w:val="es-ES"/>
        </w:rPr>
        <w:t xml:space="preserve">ercado </w:t>
      </w:r>
      <w:r>
        <w:rPr>
          <w:rFonts w:eastAsia="Times New Roman"/>
          <w:b/>
          <w:sz w:val="26"/>
          <w:szCs w:val="26"/>
          <w:lang w:val="es-ES"/>
        </w:rPr>
        <w:t>I</w:t>
      </w:r>
      <w:r w:rsidR="00A60DAA" w:rsidRPr="00A60DAA">
        <w:rPr>
          <w:rFonts w:eastAsia="Times New Roman"/>
          <w:b/>
          <w:sz w:val="26"/>
          <w:szCs w:val="26"/>
          <w:lang w:val="es-ES"/>
        </w:rPr>
        <w:t>nterior (INEGI)</w:t>
      </w:r>
    </w:p>
    <w:p w14:paraId="1AFFAA3E" w14:textId="19034AD4" w:rsidR="007F2EDE" w:rsidRPr="007F2EDE" w:rsidRDefault="007F2EDE" w:rsidP="007F2EDE">
      <w:pPr>
        <w:spacing w:after="360" w:line="360" w:lineRule="auto"/>
        <w:ind w:right="-159"/>
        <w:jc w:val="both"/>
        <w:rPr>
          <w:rFonts w:eastAsia="Times New Roman"/>
          <w:bCs/>
          <w:sz w:val="26"/>
          <w:szCs w:val="26"/>
        </w:rPr>
      </w:pPr>
      <w:r w:rsidRPr="007F2EDE">
        <w:rPr>
          <w:rFonts w:eastAsia="Times New Roman"/>
          <w:sz w:val="26"/>
          <w:szCs w:val="26"/>
        </w:rPr>
        <w:t xml:space="preserve">El </w:t>
      </w:r>
      <w:r w:rsidRPr="007F2EDE">
        <w:rPr>
          <w:rFonts w:eastAsia="Times New Roman"/>
          <w:bCs/>
          <w:sz w:val="26"/>
          <w:szCs w:val="26"/>
        </w:rPr>
        <w:t xml:space="preserve">8 de abril de 2015, el Instituto Nacional de Estadística y Geografía (INEGI) publicó </w:t>
      </w:r>
      <w:r w:rsidRPr="007F2EDE">
        <w:rPr>
          <w:rFonts w:eastAsia="Times New Roman"/>
          <w:bCs/>
          <w:iCs/>
          <w:sz w:val="26"/>
          <w:szCs w:val="26"/>
        </w:rPr>
        <w:t>cifras desestacionalizadas</w:t>
      </w:r>
      <w:r w:rsidRPr="007F2EDE">
        <w:rPr>
          <w:rFonts w:eastAsia="Times New Roman"/>
          <w:bCs/>
          <w:sz w:val="26"/>
          <w:szCs w:val="26"/>
        </w:rPr>
        <w:t xml:space="preserve"> del </w:t>
      </w:r>
      <w:r w:rsidR="006C5C36">
        <w:rPr>
          <w:rFonts w:eastAsia="Times New Roman"/>
          <w:bCs/>
          <w:sz w:val="26"/>
          <w:szCs w:val="26"/>
        </w:rPr>
        <w:t>“</w:t>
      </w:r>
      <w:r w:rsidRPr="007F2EDE">
        <w:rPr>
          <w:rFonts w:eastAsia="Times New Roman"/>
          <w:bCs/>
          <w:sz w:val="26"/>
          <w:szCs w:val="26"/>
        </w:rPr>
        <w:t xml:space="preserve">Indicador </w:t>
      </w:r>
      <w:r w:rsidR="006C5C36">
        <w:rPr>
          <w:rFonts w:eastAsia="Times New Roman"/>
          <w:bCs/>
          <w:sz w:val="26"/>
          <w:szCs w:val="26"/>
        </w:rPr>
        <w:t>M</w:t>
      </w:r>
      <w:r w:rsidRPr="007F2EDE">
        <w:rPr>
          <w:rFonts w:eastAsia="Times New Roman"/>
          <w:bCs/>
          <w:sz w:val="26"/>
          <w:szCs w:val="26"/>
        </w:rPr>
        <w:t xml:space="preserve">ensual del </w:t>
      </w:r>
      <w:r w:rsidR="006C5C36">
        <w:rPr>
          <w:rFonts w:eastAsia="Times New Roman"/>
          <w:bCs/>
          <w:sz w:val="26"/>
          <w:szCs w:val="26"/>
        </w:rPr>
        <w:t>C</w:t>
      </w:r>
      <w:r w:rsidRPr="007F2EDE">
        <w:rPr>
          <w:rFonts w:eastAsia="Times New Roman"/>
          <w:bCs/>
          <w:sz w:val="26"/>
          <w:szCs w:val="26"/>
        </w:rPr>
        <w:t xml:space="preserve">onsumo </w:t>
      </w:r>
      <w:r w:rsidR="006C5C36">
        <w:rPr>
          <w:rFonts w:eastAsia="Times New Roman"/>
          <w:bCs/>
          <w:sz w:val="26"/>
          <w:szCs w:val="26"/>
        </w:rPr>
        <w:t>P</w:t>
      </w:r>
      <w:r w:rsidRPr="007F2EDE">
        <w:rPr>
          <w:rFonts w:eastAsia="Times New Roman"/>
          <w:bCs/>
          <w:sz w:val="26"/>
          <w:szCs w:val="26"/>
        </w:rPr>
        <w:t xml:space="preserve">rivado en el </w:t>
      </w:r>
      <w:r w:rsidR="006C5C36">
        <w:rPr>
          <w:rFonts w:eastAsia="Times New Roman"/>
          <w:bCs/>
          <w:sz w:val="26"/>
          <w:szCs w:val="26"/>
        </w:rPr>
        <w:t>M</w:t>
      </w:r>
      <w:r w:rsidRPr="007F2EDE">
        <w:rPr>
          <w:rFonts w:eastAsia="Times New Roman"/>
          <w:bCs/>
          <w:sz w:val="26"/>
          <w:szCs w:val="26"/>
        </w:rPr>
        <w:t xml:space="preserve">ercado </w:t>
      </w:r>
      <w:r w:rsidR="006C5C36">
        <w:rPr>
          <w:rFonts w:eastAsia="Times New Roman"/>
          <w:bCs/>
          <w:sz w:val="26"/>
          <w:szCs w:val="26"/>
        </w:rPr>
        <w:t>I</w:t>
      </w:r>
      <w:r w:rsidRPr="007F2EDE">
        <w:rPr>
          <w:rFonts w:eastAsia="Times New Roman"/>
          <w:bCs/>
          <w:sz w:val="26"/>
          <w:szCs w:val="26"/>
        </w:rPr>
        <w:t>nterior</w:t>
      </w:r>
      <w:r w:rsidRPr="007F2EDE">
        <w:rPr>
          <w:rFonts w:eastAsia="Times New Roman"/>
          <w:sz w:val="26"/>
          <w:szCs w:val="26"/>
          <w:vertAlign w:val="superscript"/>
          <w:lang w:val="es-ES"/>
        </w:rPr>
        <w:footnoteReference w:id="7"/>
      </w:r>
      <w:r w:rsidRPr="007F2EDE">
        <w:rPr>
          <w:rFonts w:eastAsia="Times New Roman"/>
          <w:bCs/>
          <w:sz w:val="26"/>
          <w:szCs w:val="26"/>
        </w:rPr>
        <w:t xml:space="preserve"> durante enero de 2015. Los aspectos más relevantes son:</w:t>
      </w:r>
    </w:p>
    <w:p w14:paraId="5D32CAB6" w14:textId="706E36B8" w:rsidR="007F2EDE" w:rsidRPr="007F2EDE" w:rsidRDefault="007F2EDE" w:rsidP="002D3902">
      <w:pPr>
        <w:numPr>
          <w:ilvl w:val="0"/>
          <w:numId w:val="105"/>
        </w:numPr>
        <w:spacing w:after="360" w:line="360" w:lineRule="auto"/>
        <w:ind w:left="714" w:right="-159" w:hanging="357"/>
        <w:jc w:val="both"/>
        <w:rPr>
          <w:rFonts w:eastAsia="Times New Roman"/>
          <w:bCs/>
          <w:sz w:val="26"/>
          <w:szCs w:val="26"/>
          <w:lang w:val="es-ES"/>
        </w:rPr>
      </w:pPr>
      <w:r w:rsidRPr="007F2EDE">
        <w:rPr>
          <w:rFonts w:eastAsia="Times New Roman"/>
          <w:bCs/>
          <w:sz w:val="26"/>
          <w:szCs w:val="26"/>
          <w:lang w:val="es-ES"/>
        </w:rPr>
        <w:t>El Indicador mensual del consumo privado en el mercado interior (IMCPMI) aumentó 1.6% durante enero de este año frente al mes inmediato anterior, con cifras desestacionalizadas</w:t>
      </w:r>
      <w:r w:rsidRPr="007F2EDE">
        <w:rPr>
          <w:rFonts w:eastAsia="Times New Roman"/>
          <w:sz w:val="26"/>
          <w:szCs w:val="26"/>
          <w:vertAlign w:val="superscript"/>
          <w:lang w:val="es-ES"/>
        </w:rPr>
        <w:footnoteReference w:id="8"/>
      </w:r>
      <w:r w:rsidR="00D97E73">
        <w:rPr>
          <w:rFonts w:eastAsia="Times New Roman"/>
          <w:bCs/>
          <w:sz w:val="26"/>
          <w:szCs w:val="26"/>
          <w:lang w:val="es-ES"/>
        </w:rPr>
        <w:t>.</w:t>
      </w:r>
    </w:p>
    <w:p w14:paraId="00979F2F" w14:textId="77777777" w:rsidR="007F2EDE" w:rsidRPr="007F2EDE" w:rsidRDefault="007F2EDE" w:rsidP="002D3902">
      <w:pPr>
        <w:numPr>
          <w:ilvl w:val="0"/>
          <w:numId w:val="105"/>
        </w:numPr>
        <w:spacing w:after="360" w:line="360" w:lineRule="auto"/>
        <w:ind w:left="714" w:right="-159" w:hanging="357"/>
        <w:jc w:val="both"/>
        <w:rPr>
          <w:rFonts w:eastAsia="Times New Roman"/>
          <w:bCs/>
          <w:sz w:val="26"/>
          <w:szCs w:val="26"/>
          <w:lang w:val="es-ES"/>
        </w:rPr>
      </w:pPr>
      <w:r w:rsidRPr="007F2EDE">
        <w:rPr>
          <w:rFonts w:eastAsia="Times New Roman"/>
          <w:bCs/>
          <w:sz w:val="26"/>
          <w:szCs w:val="26"/>
          <w:lang w:val="es-ES"/>
        </w:rPr>
        <w:t>Por componentes, el consumo de Bienes de origen importado fue superior en 2.7% y el consumo de Bienes y Servicios de origen nacional en 1.6% en el primer mes de 2015 respecto al mes precedente, según datos ajustados por estacionalidad.</w:t>
      </w:r>
    </w:p>
    <w:p w14:paraId="53C2733D" w14:textId="2D5BD5C4" w:rsidR="007F2EDE" w:rsidRDefault="007F2EDE" w:rsidP="002D3902">
      <w:pPr>
        <w:numPr>
          <w:ilvl w:val="0"/>
          <w:numId w:val="105"/>
        </w:numPr>
        <w:spacing w:after="360" w:line="360" w:lineRule="auto"/>
        <w:ind w:left="714" w:right="-159" w:hanging="357"/>
        <w:jc w:val="both"/>
        <w:rPr>
          <w:rFonts w:eastAsia="Times New Roman"/>
          <w:bCs/>
          <w:sz w:val="26"/>
          <w:szCs w:val="26"/>
          <w:lang w:val="es-ES"/>
        </w:rPr>
      </w:pPr>
      <w:r w:rsidRPr="007F2EDE">
        <w:rPr>
          <w:rFonts w:eastAsia="Times New Roman"/>
          <w:bCs/>
          <w:sz w:val="26"/>
          <w:szCs w:val="26"/>
          <w:lang w:val="es-ES"/>
        </w:rPr>
        <w:t>En su comparación anual</w:t>
      </w:r>
      <w:r w:rsidRPr="007F2EDE">
        <w:rPr>
          <w:rFonts w:eastAsia="Times New Roman"/>
          <w:sz w:val="26"/>
          <w:szCs w:val="26"/>
          <w:vertAlign w:val="superscript"/>
          <w:lang w:val="es-ES"/>
        </w:rPr>
        <w:footnoteReference w:id="9"/>
      </w:r>
      <w:r w:rsidR="00D97E73">
        <w:rPr>
          <w:rFonts w:eastAsia="Times New Roman"/>
          <w:bCs/>
          <w:sz w:val="26"/>
          <w:szCs w:val="26"/>
          <w:lang w:val="es-ES"/>
        </w:rPr>
        <w:t>,</w:t>
      </w:r>
      <w:r w:rsidRPr="007F2EDE">
        <w:rPr>
          <w:rFonts w:eastAsia="Times New Roman"/>
          <w:bCs/>
          <w:sz w:val="26"/>
          <w:szCs w:val="26"/>
          <w:lang w:val="es-ES"/>
        </w:rPr>
        <w:t xml:space="preserve"> el IMCPMI avanzó 3.5% en términos reales en el mes en cuestión. A su interior, los gastos en Bienes importados se incrementaron 5.5% y los gastos en Bienes y Servicios de origen nacional crecieron 3.5% (los de Bienes fueron mayores en 4.7% y los de Servicios en 2.3%).</w:t>
      </w:r>
    </w:p>
    <w:p w14:paraId="4CDB8700" w14:textId="77777777" w:rsidR="005F651D" w:rsidRDefault="005F651D" w:rsidP="005F651D">
      <w:pPr>
        <w:spacing w:after="360" w:line="360" w:lineRule="auto"/>
        <w:ind w:right="-159"/>
        <w:jc w:val="both"/>
        <w:rPr>
          <w:rFonts w:eastAsia="Times New Roman"/>
          <w:bCs/>
          <w:sz w:val="26"/>
          <w:szCs w:val="26"/>
          <w:lang w:val="es-ES"/>
        </w:rPr>
      </w:pPr>
    </w:p>
    <w:p w14:paraId="1CD6DD93" w14:textId="77777777" w:rsidR="005F651D" w:rsidRPr="007F2EDE" w:rsidRDefault="005F651D" w:rsidP="005F651D">
      <w:pPr>
        <w:spacing w:after="360" w:line="360" w:lineRule="auto"/>
        <w:ind w:right="-159"/>
        <w:jc w:val="both"/>
        <w:rPr>
          <w:rFonts w:eastAsia="Times New Roman"/>
          <w:bCs/>
          <w:sz w:val="26"/>
          <w:szCs w:val="26"/>
          <w:lang w:val="es-ES"/>
        </w:rPr>
      </w:pPr>
    </w:p>
    <w:tbl>
      <w:tblPr>
        <w:tblW w:w="0" w:type="auto"/>
        <w:jc w:val="center"/>
        <w:tblLayout w:type="fixed"/>
        <w:tblCellMar>
          <w:left w:w="107" w:type="dxa"/>
          <w:right w:w="107" w:type="dxa"/>
        </w:tblCellMar>
        <w:tblLook w:val="0000" w:firstRow="0" w:lastRow="0" w:firstColumn="0" w:lastColumn="0" w:noHBand="0" w:noVBand="0"/>
      </w:tblPr>
      <w:tblGrid>
        <w:gridCol w:w="2694"/>
        <w:gridCol w:w="2111"/>
        <w:gridCol w:w="2141"/>
      </w:tblGrid>
      <w:tr w:rsidR="007F2EDE" w:rsidRPr="007F2EDE" w14:paraId="37C99A59" w14:textId="77777777" w:rsidTr="006C5C36">
        <w:trPr>
          <w:cantSplit/>
          <w:trHeight w:val="558"/>
          <w:jc w:val="center"/>
        </w:trPr>
        <w:tc>
          <w:tcPr>
            <w:tcW w:w="6946" w:type="dxa"/>
            <w:gridSpan w:val="3"/>
            <w:tcBorders>
              <w:bottom w:val="single" w:sz="2" w:space="0" w:color="auto"/>
            </w:tcBorders>
            <w:shd w:val="clear" w:color="auto" w:fill="auto"/>
            <w:vAlign w:val="center"/>
          </w:tcPr>
          <w:p w14:paraId="6A74679A" w14:textId="77777777" w:rsidR="007F2EDE" w:rsidRPr="006C5C36" w:rsidRDefault="007F2EDE" w:rsidP="006C5C36">
            <w:pPr>
              <w:widowControl w:val="0"/>
              <w:jc w:val="center"/>
              <w:rPr>
                <w:rFonts w:eastAsia="Times New Roman"/>
                <w:b/>
                <w:smallCaps/>
                <w:sz w:val="22"/>
                <w:szCs w:val="22"/>
              </w:rPr>
            </w:pPr>
            <w:r w:rsidRPr="006C5C36">
              <w:rPr>
                <w:rFonts w:eastAsia="Times New Roman"/>
                <w:b/>
                <w:smallCaps/>
                <w:sz w:val="22"/>
                <w:szCs w:val="22"/>
              </w:rPr>
              <w:lastRenderedPageBreak/>
              <w:t>INDICADOR MENSUAL DEL CONSUMO PRIVADO</w:t>
            </w:r>
          </w:p>
          <w:p w14:paraId="0EB77470" w14:textId="77777777" w:rsidR="007F2EDE" w:rsidRPr="006C5C36" w:rsidRDefault="007F2EDE" w:rsidP="006C5C36">
            <w:pPr>
              <w:widowControl w:val="0"/>
              <w:jc w:val="center"/>
              <w:rPr>
                <w:rFonts w:eastAsia="Times New Roman"/>
                <w:b/>
                <w:smallCaps/>
                <w:sz w:val="22"/>
                <w:szCs w:val="22"/>
              </w:rPr>
            </w:pPr>
            <w:r w:rsidRPr="006C5C36">
              <w:rPr>
                <w:rFonts w:eastAsia="Times New Roman"/>
                <w:b/>
                <w:smallCaps/>
                <w:sz w:val="22"/>
                <w:szCs w:val="22"/>
              </w:rPr>
              <w:t>EN EL MERCADO INTERIOR A ENERO DE 2015*</w:t>
            </w:r>
          </w:p>
          <w:p w14:paraId="2EFA98F9" w14:textId="77777777" w:rsidR="007F2EDE" w:rsidRPr="006C5C36" w:rsidRDefault="007F2EDE" w:rsidP="006C5C36">
            <w:pPr>
              <w:widowControl w:val="0"/>
              <w:jc w:val="center"/>
              <w:rPr>
                <w:rFonts w:eastAsia="Times New Roman"/>
                <w:b/>
                <w:sz w:val="22"/>
                <w:szCs w:val="22"/>
              </w:rPr>
            </w:pPr>
            <w:r w:rsidRPr="006C5C36">
              <w:rPr>
                <w:rFonts w:eastAsia="Times New Roman"/>
                <w:b/>
                <w:smallCaps/>
                <w:sz w:val="22"/>
                <w:szCs w:val="22"/>
              </w:rPr>
              <w:t>-</w:t>
            </w:r>
            <w:r w:rsidRPr="006C5C36">
              <w:rPr>
                <w:rFonts w:eastAsia="Times New Roman"/>
                <w:b/>
                <w:sz w:val="22"/>
                <w:szCs w:val="22"/>
              </w:rPr>
              <w:t>Cifras desestacionalizadas por componente-</w:t>
            </w:r>
          </w:p>
          <w:p w14:paraId="5ECB4958" w14:textId="77777777" w:rsidR="007F2EDE" w:rsidRPr="006C5C36" w:rsidRDefault="007F2EDE" w:rsidP="006C5C36">
            <w:pPr>
              <w:keepNext/>
              <w:widowControl w:val="0"/>
              <w:jc w:val="center"/>
              <w:rPr>
                <w:rFonts w:eastAsia="Times New Roman"/>
                <w:sz w:val="22"/>
                <w:szCs w:val="22"/>
              </w:rPr>
            </w:pPr>
          </w:p>
        </w:tc>
      </w:tr>
      <w:tr w:rsidR="007F2EDE" w:rsidRPr="007F2EDE" w14:paraId="6A78BD84" w14:textId="77777777" w:rsidTr="006C5C36">
        <w:trPr>
          <w:cantSplit/>
          <w:trHeight w:val="20"/>
          <w:jc w:val="center"/>
        </w:trPr>
        <w:tc>
          <w:tcPr>
            <w:tcW w:w="2694" w:type="dxa"/>
            <w:tcBorders>
              <w:top w:val="single" w:sz="2" w:space="0" w:color="auto"/>
              <w:left w:val="single" w:sz="2" w:space="0" w:color="auto"/>
              <w:bottom w:val="single" w:sz="2" w:space="0" w:color="auto"/>
              <w:right w:val="single" w:sz="2" w:space="0" w:color="auto"/>
            </w:tcBorders>
            <w:shd w:val="clear" w:color="auto" w:fill="auto"/>
            <w:vAlign w:val="center"/>
          </w:tcPr>
          <w:p w14:paraId="4C3318F4" w14:textId="77777777" w:rsidR="007F2EDE" w:rsidRPr="006C5C36" w:rsidRDefault="007F2EDE" w:rsidP="006C5C36">
            <w:pPr>
              <w:widowControl w:val="0"/>
              <w:tabs>
                <w:tab w:val="left" w:pos="546"/>
              </w:tabs>
              <w:jc w:val="center"/>
              <w:rPr>
                <w:rFonts w:eastAsia="Times New Roman"/>
                <w:b/>
                <w:sz w:val="20"/>
                <w:szCs w:val="20"/>
              </w:rPr>
            </w:pPr>
            <w:r w:rsidRPr="006C5C36">
              <w:rPr>
                <w:rFonts w:eastAsia="Times New Roman"/>
                <w:b/>
                <w:sz w:val="20"/>
                <w:szCs w:val="20"/>
              </w:rPr>
              <w:t>Concepto</w:t>
            </w:r>
          </w:p>
        </w:tc>
        <w:tc>
          <w:tcPr>
            <w:tcW w:w="2111" w:type="dxa"/>
            <w:tcBorders>
              <w:top w:val="single" w:sz="2" w:space="0" w:color="auto"/>
              <w:left w:val="single" w:sz="2" w:space="0" w:color="auto"/>
              <w:bottom w:val="single" w:sz="2" w:space="0" w:color="auto"/>
              <w:right w:val="single" w:sz="2" w:space="0" w:color="auto"/>
            </w:tcBorders>
            <w:shd w:val="clear" w:color="auto" w:fill="auto"/>
          </w:tcPr>
          <w:p w14:paraId="5F513390" w14:textId="77777777" w:rsidR="007F2EDE" w:rsidRPr="006C5C36" w:rsidRDefault="007F2EDE" w:rsidP="006C5C36">
            <w:pPr>
              <w:keepNext/>
              <w:widowControl w:val="0"/>
              <w:jc w:val="center"/>
              <w:rPr>
                <w:rFonts w:eastAsia="Times New Roman"/>
                <w:b/>
                <w:sz w:val="20"/>
                <w:szCs w:val="20"/>
              </w:rPr>
            </w:pPr>
            <w:r w:rsidRPr="006C5C36">
              <w:rPr>
                <w:rFonts w:eastAsia="Times New Roman"/>
                <w:b/>
                <w:sz w:val="20"/>
                <w:szCs w:val="20"/>
              </w:rPr>
              <w:t>Variación % respecto al mes previo</w:t>
            </w:r>
          </w:p>
        </w:tc>
        <w:tc>
          <w:tcPr>
            <w:tcW w:w="2141" w:type="dxa"/>
            <w:tcBorders>
              <w:top w:val="single" w:sz="2" w:space="0" w:color="auto"/>
              <w:left w:val="single" w:sz="2" w:space="0" w:color="auto"/>
              <w:bottom w:val="single" w:sz="2" w:space="0" w:color="auto"/>
              <w:right w:val="single" w:sz="2" w:space="0" w:color="auto"/>
            </w:tcBorders>
            <w:shd w:val="clear" w:color="auto" w:fill="auto"/>
          </w:tcPr>
          <w:p w14:paraId="4933FCDE" w14:textId="77777777" w:rsidR="007F2EDE" w:rsidRPr="006C5C36" w:rsidRDefault="007F2EDE" w:rsidP="006C5C36">
            <w:pPr>
              <w:keepNext/>
              <w:widowControl w:val="0"/>
              <w:jc w:val="center"/>
              <w:rPr>
                <w:rFonts w:eastAsia="Times New Roman"/>
                <w:b/>
                <w:sz w:val="20"/>
                <w:szCs w:val="20"/>
              </w:rPr>
            </w:pPr>
            <w:r w:rsidRPr="006C5C36">
              <w:rPr>
                <w:rFonts w:eastAsia="Times New Roman"/>
                <w:b/>
                <w:sz w:val="20"/>
                <w:szCs w:val="20"/>
              </w:rPr>
              <w:t>Variación % respecto a igual mes de 2014</w:t>
            </w:r>
          </w:p>
        </w:tc>
      </w:tr>
      <w:tr w:rsidR="007F2EDE" w:rsidRPr="007F2EDE" w14:paraId="73257978" w14:textId="77777777" w:rsidTr="006C5C36">
        <w:trPr>
          <w:cantSplit/>
          <w:trHeight w:val="20"/>
          <w:jc w:val="center"/>
        </w:trPr>
        <w:tc>
          <w:tcPr>
            <w:tcW w:w="2694" w:type="dxa"/>
            <w:tcBorders>
              <w:top w:val="single" w:sz="2" w:space="0" w:color="auto"/>
              <w:left w:val="single" w:sz="2" w:space="0" w:color="auto"/>
              <w:right w:val="single" w:sz="2" w:space="0" w:color="auto"/>
            </w:tcBorders>
            <w:shd w:val="clear" w:color="auto" w:fill="auto"/>
          </w:tcPr>
          <w:p w14:paraId="350B6E3C" w14:textId="77777777" w:rsidR="007F2EDE" w:rsidRPr="006C5C36" w:rsidRDefault="007F2EDE" w:rsidP="006C5C36">
            <w:pPr>
              <w:widowControl w:val="0"/>
              <w:jc w:val="both"/>
              <w:rPr>
                <w:rFonts w:eastAsia="Times New Roman"/>
                <w:b/>
                <w:sz w:val="20"/>
                <w:szCs w:val="20"/>
              </w:rPr>
            </w:pPr>
            <w:r w:rsidRPr="006C5C36">
              <w:rPr>
                <w:rFonts w:eastAsia="Times New Roman"/>
                <w:sz w:val="20"/>
                <w:szCs w:val="20"/>
              </w:rPr>
              <w:br w:type="page"/>
            </w:r>
            <w:r w:rsidRPr="006C5C36">
              <w:rPr>
                <w:rFonts w:eastAsia="Times New Roman"/>
                <w:b/>
                <w:sz w:val="20"/>
                <w:szCs w:val="20"/>
              </w:rPr>
              <w:t>Total</w:t>
            </w:r>
          </w:p>
        </w:tc>
        <w:tc>
          <w:tcPr>
            <w:tcW w:w="2111" w:type="dxa"/>
            <w:tcBorders>
              <w:top w:val="single" w:sz="2" w:space="0" w:color="auto"/>
              <w:left w:val="single" w:sz="2" w:space="0" w:color="auto"/>
              <w:right w:val="single" w:sz="2" w:space="0" w:color="auto"/>
            </w:tcBorders>
            <w:shd w:val="clear" w:color="auto" w:fill="auto"/>
          </w:tcPr>
          <w:p w14:paraId="1290C240"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1.6</w:t>
            </w:r>
          </w:p>
        </w:tc>
        <w:tc>
          <w:tcPr>
            <w:tcW w:w="2141" w:type="dxa"/>
            <w:tcBorders>
              <w:top w:val="single" w:sz="2" w:space="0" w:color="auto"/>
              <w:left w:val="single" w:sz="2" w:space="0" w:color="auto"/>
              <w:right w:val="single" w:sz="2" w:space="0" w:color="auto"/>
            </w:tcBorders>
            <w:shd w:val="clear" w:color="auto" w:fill="auto"/>
          </w:tcPr>
          <w:p w14:paraId="5678CB8B"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3.5</w:t>
            </w:r>
          </w:p>
        </w:tc>
      </w:tr>
      <w:tr w:rsidR="007F2EDE" w:rsidRPr="007F2EDE" w14:paraId="486B558E" w14:textId="77777777" w:rsidTr="006C5C36">
        <w:trPr>
          <w:cantSplit/>
          <w:trHeight w:val="20"/>
          <w:jc w:val="center"/>
        </w:trPr>
        <w:tc>
          <w:tcPr>
            <w:tcW w:w="2694" w:type="dxa"/>
            <w:tcBorders>
              <w:left w:val="single" w:sz="2" w:space="0" w:color="auto"/>
              <w:right w:val="single" w:sz="2" w:space="0" w:color="auto"/>
            </w:tcBorders>
            <w:shd w:val="clear" w:color="auto" w:fill="auto"/>
          </w:tcPr>
          <w:p w14:paraId="7FB1F8F6" w14:textId="77777777" w:rsidR="007F2EDE" w:rsidRPr="006C5C36" w:rsidRDefault="007F2EDE" w:rsidP="006C5C36">
            <w:pPr>
              <w:widowControl w:val="0"/>
              <w:jc w:val="both"/>
              <w:rPr>
                <w:rFonts w:eastAsia="Times New Roman"/>
                <w:b/>
                <w:sz w:val="20"/>
                <w:szCs w:val="20"/>
              </w:rPr>
            </w:pPr>
            <w:r w:rsidRPr="006C5C36">
              <w:rPr>
                <w:rFonts w:eastAsia="Times New Roman"/>
                <w:b/>
                <w:sz w:val="20"/>
                <w:szCs w:val="20"/>
              </w:rPr>
              <w:t>Nacional</w:t>
            </w:r>
          </w:p>
        </w:tc>
        <w:tc>
          <w:tcPr>
            <w:tcW w:w="2111" w:type="dxa"/>
            <w:tcBorders>
              <w:left w:val="single" w:sz="2" w:space="0" w:color="auto"/>
              <w:right w:val="single" w:sz="2" w:space="0" w:color="auto"/>
            </w:tcBorders>
            <w:shd w:val="clear" w:color="auto" w:fill="auto"/>
          </w:tcPr>
          <w:p w14:paraId="69A8E5AF" w14:textId="77777777" w:rsidR="007F2EDE" w:rsidRPr="006C5C36" w:rsidRDefault="007F2EDE" w:rsidP="006C5C36">
            <w:pPr>
              <w:tabs>
                <w:tab w:val="left" w:pos="307"/>
              </w:tabs>
              <w:ind w:right="680"/>
              <w:jc w:val="right"/>
              <w:rPr>
                <w:rFonts w:eastAsia="Calibri"/>
                <w:b/>
                <w:sz w:val="20"/>
                <w:szCs w:val="20"/>
                <w:lang w:eastAsia="en-US"/>
              </w:rPr>
            </w:pPr>
            <w:r w:rsidRPr="006C5C36">
              <w:rPr>
                <w:rFonts w:eastAsia="Calibri"/>
                <w:b/>
                <w:sz w:val="20"/>
                <w:szCs w:val="20"/>
                <w:lang w:eastAsia="en-US"/>
              </w:rPr>
              <w:t>1.6</w:t>
            </w:r>
          </w:p>
        </w:tc>
        <w:tc>
          <w:tcPr>
            <w:tcW w:w="2141" w:type="dxa"/>
            <w:tcBorders>
              <w:left w:val="single" w:sz="2" w:space="0" w:color="auto"/>
              <w:right w:val="single" w:sz="2" w:space="0" w:color="auto"/>
            </w:tcBorders>
            <w:shd w:val="clear" w:color="auto" w:fill="auto"/>
          </w:tcPr>
          <w:p w14:paraId="0F804F35"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3.5</w:t>
            </w:r>
          </w:p>
        </w:tc>
      </w:tr>
      <w:tr w:rsidR="007F2EDE" w:rsidRPr="007F2EDE" w14:paraId="0CEAC5AB" w14:textId="77777777" w:rsidTr="006C5C36">
        <w:trPr>
          <w:cantSplit/>
          <w:trHeight w:val="20"/>
          <w:jc w:val="center"/>
        </w:trPr>
        <w:tc>
          <w:tcPr>
            <w:tcW w:w="2694" w:type="dxa"/>
            <w:tcBorders>
              <w:left w:val="single" w:sz="2" w:space="0" w:color="auto"/>
              <w:right w:val="single" w:sz="2" w:space="0" w:color="auto"/>
            </w:tcBorders>
            <w:shd w:val="clear" w:color="auto" w:fill="auto"/>
          </w:tcPr>
          <w:p w14:paraId="58BE165B"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Bienes</w:t>
            </w:r>
          </w:p>
        </w:tc>
        <w:tc>
          <w:tcPr>
            <w:tcW w:w="2111" w:type="dxa"/>
            <w:tcBorders>
              <w:left w:val="single" w:sz="2" w:space="0" w:color="auto"/>
              <w:right w:val="single" w:sz="2" w:space="0" w:color="auto"/>
            </w:tcBorders>
            <w:shd w:val="clear" w:color="auto" w:fill="auto"/>
          </w:tcPr>
          <w:p w14:paraId="0F6C7EDF" w14:textId="77777777" w:rsidR="007F2EDE" w:rsidRPr="006C5C36" w:rsidRDefault="007F2EDE" w:rsidP="006C5C36">
            <w:pPr>
              <w:tabs>
                <w:tab w:val="left" w:pos="307"/>
              </w:tabs>
              <w:ind w:right="680"/>
              <w:jc w:val="right"/>
              <w:rPr>
                <w:rFonts w:eastAsia="Calibri"/>
                <w:sz w:val="20"/>
                <w:szCs w:val="20"/>
                <w:lang w:eastAsia="en-US"/>
              </w:rPr>
            </w:pPr>
            <w:r w:rsidRPr="006C5C36">
              <w:rPr>
                <w:rFonts w:eastAsia="Calibri"/>
                <w:sz w:val="20"/>
                <w:szCs w:val="20"/>
                <w:lang w:eastAsia="en-US"/>
              </w:rPr>
              <w:t>1.8</w:t>
            </w:r>
          </w:p>
        </w:tc>
        <w:tc>
          <w:tcPr>
            <w:tcW w:w="2141" w:type="dxa"/>
            <w:tcBorders>
              <w:left w:val="single" w:sz="2" w:space="0" w:color="auto"/>
              <w:right w:val="single" w:sz="2" w:space="0" w:color="auto"/>
            </w:tcBorders>
            <w:shd w:val="clear" w:color="auto" w:fill="auto"/>
          </w:tcPr>
          <w:p w14:paraId="504BF45F" w14:textId="77777777" w:rsidR="007F2EDE" w:rsidRPr="006C5C36" w:rsidRDefault="007F2EDE" w:rsidP="006C5C36">
            <w:pPr>
              <w:tabs>
                <w:tab w:val="left" w:pos="307"/>
                <w:tab w:val="decimal" w:pos="881"/>
              </w:tabs>
              <w:ind w:right="680"/>
              <w:jc w:val="right"/>
              <w:rPr>
                <w:rFonts w:eastAsia="Calibri"/>
                <w:sz w:val="20"/>
                <w:szCs w:val="20"/>
                <w:lang w:eastAsia="en-US"/>
              </w:rPr>
            </w:pPr>
            <w:r w:rsidRPr="006C5C36">
              <w:rPr>
                <w:rFonts w:eastAsia="Calibri"/>
                <w:sz w:val="20"/>
                <w:szCs w:val="20"/>
                <w:lang w:eastAsia="en-US"/>
              </w:rPr>
              <w:t>4.7</w:t>
            </w:r>
          </w:p>
        </w:tc>
      </w:tr>
      <w:tr w:rsidR="007F2EDE" w:rsidRPr="007F2EDE" w14:paraId="6E0FB0E4" w14:textId="77777777" w:rsidTr="006C5C36">
        <w:trPr>
          <w:cantSplit/>
          <w:trHeight w:val="20"/>
          <w:jc w:val="center"/>
        </w:trPr>
        <w:tc>
          <w:tcPr>
            <w:tcW w:w="2694" w:type="dxa"/>
            <w:tcBorders>
              <w:left w:val="single" w:sz="2" w:space="0" w:color="auto"/>
              <w:right w:val="single" w:sz="2" w:space="0" w:color="auto"/>
            </w:tcBorders>
            <w:shd w:val="clear" w:color="auto" w:fill="auto"/>
          </w:tcPr>
          <w:p w14:paraId="25ADECD7"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Servicios</w:t>
            </w:r>
          </w:p>
        </w:tc>
        <w:tc>
          <w:tcPr>
            <w:tcW w:w="2111" w:type="dxa"/>
            <w:tcBorders>
              <w:left w:val="single" w:sz="2" w:space="0" w:color="auto"/>
              <w:right w:val="single" w:sz="2" w:space="0" w:color="auto"/>
            </w:tcBorders>
            <w:shd w:val="clear" w:color="auto" w:fill="auto"/>
          </w:tcPr>
          <w:p w14:paraId="1C63C508" w14:textId="77777777" w:rsidR="007F2EDE" w:rsidRPr="006C5C36" w:rsidRDefault="007F2EDE" w:rsidP="006C5C36">
            <w:pPr>
              <w:tabs>
                <w:tab w:val="left" w:pos="307"/>
              </w:tabs>
              <w:ind w:right="680"/>
              <w:jc w:val="right"/>
              <w:rPr>
                <w:rFonts w:eastAsia="Calibri"/>
                <w:sz w:val="20"/>
                <w:szCs w:val="20"/>
                <w:lang w:eastAsia="en-US"/>
              </w:rPr>
            </w:pPr>
            <w:r w:rsidRPr="006C5C36">
              <w:rPr>
                <w:rFonts w:eastAsia="Calibri"/>
                <w:sz w:val="20"/>
                <w:szCs w:val="20"/>
                <w:lang w:eastAsia="en-US"/>
              </w:rPr>
              <w:t>0.9</w:t>
            </w:r>
          </w:p>
        </w:tc>
        <w:tc>
          <w:tcPr>
            <w:tcW w:w="2141" w:type="dxa"/>
            <w:tcBorders>
              <w:left w:val="single" w:sz="2" w:space="0" w:color="auto"/>
              <w:right w:val="single" w:sz="2" w:space="0" w:color="auto"/>
            </w:tcBorders>
            <w:shd w:val="clear" w:color="auto" w:fill="auto"/>
          </w:tcPr>
          <w:p w14:paraId="3A8A7DFA" w14:textId="77777777" w:rsidR="007F2EDE" w:rsidRPr="006C5C36" w:rsidRDefault="007F2EDE" w:rsidP="006C5C36">
            <w:pPr>
              <w:tabs>
                <w:tab w:val="left" w:pos="307"/>
                <w:tab w:val="decimal" w:pos="881"/>
              </w:tabs>
              <w:ind w:right="680"/>
              <w:jc w:val="right"/>
              <w:rPr>
                <w:rFonts w:eastAsia="Calibri"/>
                <w:sz w:val="20"/>
                <w:szCs w:val="20"/>
                <w:lang w:eastAsia="en-US"/>
              </w:rPr>
            </w:pPr>
            <w:r w:rsidRPr="006C5C36">
              <w:rPr>
                <w:rFonts w:eastAsia="Calibri"/>
                <w:sz w:val="20"/>
                <w:szCs w:val="20"/>
                <w:lang w:eastAsia="en-US"/>
              </w:rPr>
              <w:t>2.3</w:t>
            </w:r>
          </w:p>
        </w:tc>
      </w:tr>
      <w:tr w:rsidR="007F2EDE" w:rsidRPr="007F2EDE" w14:paraId="1744BC43" w14:textId="77777777" w:rsidTr="006C5C36">
        <w:trPr>
          <w:cantSplit/>
          <w:trHeight w:val="20"/>
          <w:jc w:val="center"/>
        </w:trPr>
        <w:tc>
          <w:tcPr>
            <w:tcW w:w="2694" w:type="dxa"/>
            <w:tcBorders>
              <w:left w:val="single" w:sz="2" w:space="0" w:color="auto"/>
              <w:right w:val="single" w:sz="2" w:space="0" w:color="auto"/>
            </w:tcBorders>
            <w:shd w:val="clear" w:color="auto" w:fill="auto"/>
          </w:tcPr>
          <w:p w14:paraId="6B020932" w14:textId="77777777" w:rsidR="007F2EDE" w:rsidRPr="006C5C36" w:rsidRDefault="007F2EDE" w:rsidP="006C5C36">
            <w:pPr>
              <w:widowControl w:val="0"/>
              <w:jc w:val="both"/>
              <w:rPr>
                <w:rFonts w:eastAsia="Times New Roman"/>
                <w:b/>
                <w:sz w:val="20"/>
                <w:szCs w:val="20"/>
              </w:rPr>
            </w:pPr>
            <w:r w:rsidRPr="006C5C36">
              <w:rPr>
                <w:rFonts w:eastAsia="Times New Roman"/>
                <w:b/>
                <w:sz w:val="20"/>
                <w:szCs w:val="20"/>
              </w:rPr>
              <w:t>Importado</w:t>
            </w:r>
          </w:p>
        </w:tc>
        <w:tc>
          <w:tcPr>
            <w:tcW w:w="2111" w:type="dxa"/>
            <w:tcBorders>
              <w:left w:val="single" w:sz="2" w:space="0" w:color="auto"/>
              <w:right w:val="single" w:sz="2" w:space="0" w:color="auto"/>
            </w:tcBorders>
            <w:shd w:val="clear" w:color="auto" w:fill="auto"/>
          </w:tcPr>
          <w:p w14:paraId="4827B26F"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2.7</w:t>
            </w:r>
          </w:p>
        </w:tc>
        <w:tc>
          <w:tcPr>
            <w:tcW w:w="2141" w:type="dxa"/>
            <w:tcBorders>
              <w:left w:val="single" w:sz="2" w:space="0" w:color="auto"/>
              <w:right w:val="single" w:sz="2" w:space="0" w:color="auto"/>
            </w:tcBorders>
            <w:shd w:val="clear" w:color="auto" w:fill="auto"/>
          </w:tcPr>
          <w:p w14:paraId="35F51C20"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5.5</w:t>
            </w:r>
          </w:p>
        </w:tc>
      </w:tr>
      <w:tr w:rsidR="007F2EDE" w:rsidRPr="007F2EDE" w14:paraId="0E5C1C6E" w14:textId="77777777" w:rsidTr="006C5C36">
        <w:trPr>
          <w:cantSplit/>
          <w:trHeight w:val="20"/>
          <w:jc w:val="center"/>
        </w:trPr>
        <w:tc>
          <w:tcPr>
            <w:tcW w:w="2694" w:type="dxa"/>
            <w:tcBorders>
              <w:left w:val="single" w:sz="2" w:space="0" w:color="auto"/>
              <w:bottom w:val="single" w:sz="2" w:space="0" w:color="auto"/>
              <w:right w:val="single" w:sz="2" w:space="0" w:color="auto"/>
            </w:tcBorders>
            <w:shd w:val="clear" w:color="auto" w:fill="auto"/>
          </w:tcPr>
          <w:p w14:paraId="42F71880"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Bienes</w:t>
            </w:r>
          </w:p>
        </w:tc>
        <w:tc>
          <w:tcPr>
            <w:tcW w:w="2111" w:type="dxa"/>
            <w:tcBorders>
              <w:left w:val="single" w:sz="2" w:space="0" w:color="auto"/>
              <w:bottom w:val="single" w:sz="2" w:space="0" w:color="auto"/>
              <w:right w:val="single" w:sz="2" w:space="0" w:color="auto"/>
            </w:tcBorders>
            <w:shd w:val="clear" w:color="auto" w:fill="auto"/>
          </w:tcPr>
          <w:p w14:paraId="1C73CF41"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2.7</w:t>
            </w:r>
          </w:p>
        </w:tc>
        <w:tc>
          <w:tcPr>
            <w:tcW w:w="2141" w:type="dxa"/>
            <w:tcBorders>
              <w:left w:val="single" w:sz="2" w:space="0" w:color="auto"/>
              <w:bottom w:val="single" w:sz="2" w:space="0" w:color="auto"/>
              <w:right w:val="single" w:sz="2" w:space="0" w:color="auto"/>
            </w:tcBorders>
            <w:shd w:val="clear" w:color="auto" w:fill="auto"/>
          </w:tcPr>
          <w:p w14:paraId="21E2A18B" w14:textId="77777777" w:rsidR="007F2EDE" w:rsidRPr="006C5C36" w:rsidRDefault="007F2EDE" w:rsidP="006C5C36">
            <w:pPr>
              <w:tabs>
                <w:tab w:val="left" w:pos="307"/>
                <w:tab w:val="decimal" w:pos="881"/>
              </w:tabs>
              <w:ind w:right="680"/>
              <w:jc w:val="right"/>
              <w:rPr>
                <w:rFonts w:eastAsia="Calibri"/>
                <w:b/>
                <w:sz w:val="20"/>
                <w:szCs w:val="20"/>
                <w:lang w:eastAsia="en-US"/>
              </w:rPr>
            </w:pPr>
            <w:r w:rsidRPr="006C5C36">
              <w:rPr>
                <w:rFonts w:eastAsia="Calibri"/>
                <w:b/>
                <w:sz w:val="20"/>
                <w:szCs w:val="20"/>
                <w:lang w:eastAsia="en-US"/>
              </w:rPr>
              <w:t>5.5</w:t>
            </w:r>
          </w:p>
        </w:tc>
      </w:tr>
      <w:tr w:rsidR="007F2EDE" w:rsidRPr="007F2EDE" w14:paraId="4F64EC14" w14:textId="77777777" w:rsidTr="006C5C36">
        <w:trPr>
          <w:cantSplit/>
          <w:trHeight w:val="20"/>
          <w:jc w:val="center"/>
        </w:trPr>
        <w:tc>
          <w:tcPr>
            <w:tcW w:w="6946" w:type="dxa"/>
            <w:gridSpan w:val="3"/>
            <w:tcBorders>
              <w:top w:val="single" w:sz="2" w:space="0" w:color="auto"/>
            </w:tcBorders>
            <w:shd w:val="clear" w:color="auto" w:fill="auto"/>
          </w:tcPr>
          <w:p w14:paraId="7EBB4DA5" w14:textId="77777777" w:rsidR="007F2EDE" w:rsidRPr="006C5C36" w:rsidRDefault="007F2EDE" w:rsidP="002D3902">
            <w:pPr>
              <w:numPr>
                <w:ilvl w:val="0"/>
                <w:numId w:val="100"/>
              </w:numPr>
              <w:jc w:val="both"/>
              <w:rPr>
                <w:rFonts w:eastAsia="Times New Roman"/>
                <w:sz w:val="20"/>
                <w:szCs w:val="20"/>
                <w:lang w:val="es-ES"/>
              </w:rPr>
            </w:pPr>
            <w:r w:rsidRPr="006C5C36">
              <w:rPr>
                <w:rFonts w:eastAsia="Times New Roman"/>
                <w:sz w:val="20"/>
                <w:szCs w:val="20"/>
                <w:lang w:val="es-ES"/>
              </w:rPr>
              <w:t>La serie desestacionalizada del Indicador Mensual del Consumo Privado en el Mercado Interior se calcula de manera independiente a la de sus componentes.</w:t>
            </w:r>
          </w:p>
          <w:p w14:paraId="729EC127" w14:textId="77777777" w:rsidR="007F2EDE" w:rsidRPr="006C5C36" w:rsidRDefault="007F2EDE" w:rsidP="006C5C36">
            <w:pPr>
              <w:jc w:val="both"/>
              <w:rPr>
                <w:rFonts w:eastAsia="Times New Roman"/>
                <w:sz w:val="20"/>
                <w:szCs w:val="20"/>
                <w:lang w:val="es-ES"/>
              </w:rPr>
            </w:pPr>
            <w:r w:rsidRPr="006C5C36">
              <w:rPr>
                <w:rFonts w:eastAsia="Times New Roman"/>
                <w:sz w:val="20"/>
                <w:szCs w:val="20"/>
                <w:lang w:val="es-ES"/>
              </w:rPr>
              <w:t>FUENTE: INEGI.</w:t>
            </w:r>
          </w:p>
        </w:tc>
      </w:tr>
    </w:tbl>
    <w:p w14:paraId="6DC19F4B" w14:textId="77777777" w:rsidR="007F2EDE" w:rsidRPr="007F2EDE" w:rsidRDefault="007F2EDE" w:rsidP="007F2EDE">
      <w:pPr>
        <w:spacing w:before="360" w:after="360" w:line="360" w:lineRule="auto"/>
        <w:ind w:right="-159"/>
        <w:jc w:val="both"/>
        <w:rPr>
          <w:rFonts w:eastAsia="Times New Roman"/>
          <w:b/>
          <w:sz w:val="26"/>
          <w:szCs w:val="26"/>
          <w:lang w:val="es-ES"/>
        </w:rPr>
      </w:pPr>
      <w:r w:rsidRPr="007F2EDE">
        <w:rPr>
          <w:rFonts w:eastAsia="Times New Roman"/>
          <w:b/>
          <w:sz w:val="26"/>
          <w:szCs w:val="26"/>
          <w:lang w:val="es-ES"/>
        </w:rPr>
        <w:t>Principales resultados</w:t>
      </w:r>
    </w:p>
    <w:p w14:paraId="3808ECE5" w14:textId="77777777" w:rsidR="007F2EDE" w:rsidRPr="007F2EDE" w:rsidRDefault="007F2EDE" w:rsidP="007F2EDE">
      <w:pPr>
        <w:spacing w:after="360" w:line="360" w:lineRule="auto"/>
        <w:ind w:right="-159"/>
        <w:jc w:val="both"/>
        <w:rPr>
          <w:rFonts w:eastAsia="Times New Roman"/>
          <w:sz w:val="26"/>
          <w:szCs w:val="26"/>
          <w:lang w:val="es-ES"/>
        </w:rPr>
      </w:pPr>
      <w:r w:rsidRPr="007F2EDE">
        <w:rPr>
          <w:rFonts w:eastAsia="Times New Roman"/>
          <w:sz w:val="26"/>
          <w:szCs w:val="26"/>
          <w:lang w:val="es-ES"/>
        </w:rPr>
        <w:t>Con base en cifras desestacionalizadas, el Indicador Mensual del Consumo Privado en el Mercado Interior (IMCPMI) mostró una variación de 1.6% durante enero de 2015 con relación al nivel registrado en el mes inmediato anterior.</w:t>
      </w:r>
    </w:p>
    <w:p w14:paraId="4974CF5A" w14:textId="77777777" w:rsidR="007F2EDE" w:rsidRPr="007F2EDE" w:rsidRDefault="007F2EDE" w:rsidP="007F2EDE">
      <w:pPr>
        <w:spacing w:after="360" w:line="360" w:lineRule="auto"/>
        <w:ind w:right="-159"/>
        <w:jc w:val="center"/>
        <w:rPr>
          <w:rFonts w:eastAsia="Times New Roman"/>
          <w:sz w:val="26"/>
          <w:szCs w:val="26"/>
          <w:lang w:val="es-ES"/>
        </w:rPr>
      </w:pPr>
      <w:r w:rsidRPr="007F2EDE">
        <w:rPr>
          <w:rFonts w:ascii="Arial" w:eastAsia="Times New Roman" w:hAnsi="Arial" w:cs="Arial"/>
          <w:noProof/>
          <w:sz w:val="18"/>
          <w:szCs w:val="20"/>
          <w:lang w:eastAsia="es-MX"/>
        </w:rPr>
        <w:drawing>
          <wp:inline distT="0" distB="0" distL="0" distR="0" wp14:anchorId="30332F07" wp14:editId="369FDE1C">
            <wp:extent cx="4559075" cy="3046443"/>
            <wp:effectExtent l="0" t="0" r="0" b="1905"/>
            <wp:docPr id="1736" name="Imagen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860" b="10326"/>
                    <a:stretch/>
                  </pic:blipFill>
                  <pic:spPr bwMode="auto">
                    <a:xfrm>
                      <a:off x="0" y="0"/>
                      <a:ext cx="4559300" cy="3046594"/>
                    </a:xfrm>
                    <a:prstGeom prst="rect">
                      <a:avLst/>
                    </a:prstGeom>
                    <a:noFill/>
                    <a:ln>
                      <a:noFill/>
                    </a:ln>
                    <a:extLst>
                      <a:ext uri="{53640926-AAD7-44D8-BBD7-CCE9431645EC}">
                        <a14:shadowObscured xmlns:a14="http://schemas.microsoft.com/office/drawing/2010/main"/>
                      </a:ext>
                    </a:extLst>
                  </pic:spPr>
                </pic:pic>
              </a:graphicData>
            </a:graphic>
          </wp:inline>
        </w:drawing>
      </w:r>
    </w:p>
    <w:p w14:paraId="21439872" w14:textId="77777777" w:rsidR="007F2EDE" w:rsidRPr="007F2EDE" w:rsidRDefault="007F2EDE" w:rsidP="007F2EDE">
      <w:pPr>
        <w:spacing w:after="360" w:line="360" w:lineRule="auto"/>
        <w:ind w:right="-159"/>
        <w:jc w:val="both"/>
        <w:rPr>
          <w:rFonts w:eastAsia="Times New Roman"/>
          <w:sz w:val="26"/>
          <w:szCs w:val="26"/>
          <w:lang w:val="es-ES"/>
        </w:rPr>
      </w:pPr>
      <w:r w:rsidRPr="007F2EDE">
        <w:rPr>
          <w:rFonts w:eastAsia="Times New Roman"/>
          <w:sz w:val="26"/>
          <w:szCs w:val="26"/>
        </w:rPr>
        <w:lastRenderedPageBreak/>
        <w:t>Por componentes, el consumo de Bienes de origen importado fue superior en 2.7% y el consumo de Bienes y Servicios de origen nacional en 1.6% en el primer mes de 2015 respecto al mes precedente, según datos ajustados por estacionalidad.</w:t>
      </w:r>
    </w:p>
    <w:p w14:paraId="393C24B5" w14:textId="77777777" w:rsidR="007F2EDE" w:rsidRPr="007F2EDE" w:rsidRDefault="007F2EDE" w:rsidP="007F2EDE">
      <w:pPr>
        <w:spacing w:after="360" w:line="360" w:lineRule="auto"/>
        <w:ind w:right="-159"/>
        <w:jc w:val="center"/>
        <w:rPr>
          <w:rFonts w:eastAsia="Times New Roman"/>
          <w:sz w:val="26"/>
          <w:szCs w:val="26"/>
          <w:lang w:val="es-ES"/>
        </w:rPr>
      </w:pPr>
      <w:r w:rsidRPr="007F2EDE">
        <w:rPr>
          <w:rFonts w:ascii="Arial" w:eastAsia="Times New Roman" w:hAnsi="Arial" w:cs="Arial"/>
          <w:noProof/>
          <w:sz w:val="18"/>
          <w:szCs w:val="20"/>
          <w:lang w:eastAsia="es-MX"/>
        </w:rPr>
        <w:drawing>
          <wp:inline distT="0" distB="0" distL="0" distR="0" wp14:anchorId="2E18A559" wp14:editId="028C249F">
            <wp:extent cx="4559300" cy="3021313"/>
            <wp:effectExtent l="0" t="0" r="0" b="8255"/>
            <wp:docPr id="1737" name="Imagen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1922"/>
                    <a:stretch/>
                  </pic:blipFill>
                  <pic:spPr bwMode="auto">
                    <a:xfrm>
                      <a:off x="0" y="0"/>
                      <a:ext cx="4559300" cy="3021313"/>
                    </a:xfrm>
                    <a:prstGeom prst="rect">
                      <a:avLst/>
                    </a:prstGeom>
                    <a:noFill/>
                    <a:ln>
                      <a:noFill/>
                    </a:ln>
                    <a:extLst>
                      <a:ext uri="{53640926-AAD7-44D8-BBD7-CCE9431645EC}">
                        <a14:shadowObscured xmlns:a14="http://schemas.microsoft.com/office/drawing/2010/main"/>
                      </a:ext>
                    </a:extLst>
                  </pic:spPr>
                </pic:pic>
              </a:graphicData>
            </a:graphic>
          </wp:inline>
        </w:drawing>
      </w:r>
    </w:p>
    <w:p w14:paraId="5358FEAE" w14:textId="77777777" w:rsidR="007F2EDE" w:rsidRPr="007F2EDE" w:rsidRDefault="007F2EDE" w:rsidP="007F2EDE">
      <w:pPr>
        <w:spacing w:after="360" w:line="360" w:lineRule="auto"/>
        <w:ind w:right="-159"/>
        <w:jc w:val="center"/>
        <w:rPr>
          <w:rFonts w:eastAsia="Times New Roman"/>
          <w:sz w:val="26"/>
          <w:szCs w:val="26"/>
          <w:lang w:val="es-ES"/>
        </w:rPr>
      </w:pPr>
    </w:p>
    <w:p w14:paraId="182F4BA1" w14:textId="7B1707DF" w:rsidR="007F2EDE" w:rsidRPr="007F2EDE" w:rsidRDefault="00780E44" w:rsidP="007F2EDE">
      <w:pPr>
        <w:spacing w:after="360" w:line="360" w:lineRule="auto"/>
        <w:ind w:right="-159"/>
        <w:jc w:val="center"/>
        <w:rPr>
          <w:rFonts w:eastAsia="Times New Roman"/>
          <w:sz w:val="26"/>
          <w:szCs w:val="26"/>
          <w:lang w:val="es-ES"/>
        </w:rPr>
      </w:pPr>
      <w:r w:rsidRPr="00780E44">
        <w:rPr>
          <w:rFonts w:ascii="Calibri" w:eastAsia="Calibri" w:hAnsi="Calibri"/>
          <w:noProof/>
          <w:sz w:val="22"/>
          <w:szCs w:val="22"/>
          <w:lang w:eastAsia="es-MX"/>
        </w:rPr>
        <w:drawing>
          <wp:inline distT="0" distB="0" distL="0" distR="0" wp14:anchorId="3D95F564" wp14:editId="3CF3CF13">
            <wp:extent cx="4559300" cy="2856974"/>
            <wp:effectExtent l="0" t="0" r="0" b="635"/>
            <wp:docPr id="1800" name="Imagen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6713"/>
                    <a:stretch/>
                  </pic:blipFill>
                  <pic:spPr bwMode="auto">
                    <a:xfrm>
                      <a:off x="0" y="0"/>
                      <a:ext cx="4559300" cy="2856974"/>
                    </a:xfrm>
                    <a:prstGeom prst="rect">
                      <a:avLst/>
                    </a:prstGeom>
                    <a:noFill/>
                    <a:ln>
                      <a:noFill/>
                    </a:ln>
                    <a:extLst>
                      <a:ext uri="{53640926-AAD7-44D8-BBD7-CCE9431645EC}">
                        <a14:shadowObscured xmlns:a14="http://schemas.microsoft.com/office/drawing/2010/main"/>
                      </a:ext>
                    </a:extLst>
                  </pic:spPr>
                </pic:pic>
              </a:graphicData>
            </a:graphic>
          </wp:inline>
        </w:drawing>
      </w:r>
    </w:p>
    <w:p w14:paraId="697520F9" w14:textId="77777777" w:rsidR="007F2EDE" w:rsidRPr="007F2EDE" w:rsidRDefault="007F2EDE" w:rsidP="007F2EDE">
      <w:pPr>
        <w:spacing w:after="360" w:line="360" w:lineRule="auto"/>
        <w:ind w:right="-159"/>
        <w:jc w:val="both"/>
        <w:rPr>
          <w:rFonts w:eastAsia="Times New Roman"/>
          <w:b/>
          <w:sz w:val="26"/>
          <w:szCs w:val="26"/>
          <w:lang w:val="es-ES"/>
        </w:rPr>
      </w:pPr>
      <w:r w:rsidRPr="007F2EDE">
        <w:rPr>
          <w:rFonts w:eastAsia="Times New Roman"/>
          <w:b/>
          <w:sz w:val="26"/>
          <w:szCs w:val="26"/>
          <w:lang w:val="es-ES"/>
        </w:rPr>
        <w:lastRenderedPageBreak/>
        <w:t>Cifras originales</w:t>
      </w:r>
    </w:p>
    <w:tbl>
      <w:tblPr>
        <w:tblW w:w="0" w:type="auto"/>
        <w:jc w:val="center"/>
        <w:tblLayout w:type="fixed"/>
        <w:tblCellMar>
          <w:left w:w="107" w:type="dxa"/>
          <w:right w:w="107" w:type="dxa"/>
        </w:tblCellMar>
        <w:tblLook w:val="0000" w:firstRow="0" w:lastRow="0" w:firstColumn="0" w:lastColumn="0" w:noHBand="0" w:noVBand="0"/>
      </w:tblPr>
      <w:tblGrid>
        <w:gridCol w:w="3261"/>
        <w:gridCol w:w="3685"/>
      </w:tblGrid>
      <w:tr w:rsidR="007F2EDE" w:rsidRPr="007F2EDE" w14:paraId="7640C753" w14:textId="77777777" w:rsidTr="006C5C36">
        <w:trPr>
          <w:cantSplit/>
          <w:trHeight w:val="558"/>
          <w:jc w:val="center"/>
        </w:trPr>
        <w:tc>
          <w:tcPr>
            <w:tcW w:w="6946" w:type="dxa"/>
            <w:gridSpan w:val="2"/>
            <w:tcBorders>
              <w:bottom w:val="single" w:sz="2" w:space="0" w:color="auto"/>
            </w:tcBorders>
            <w:shd w:val="clear" w:color="auto" w:fill="auto"/>
            <w:vAlign w:val="center"/>
          </w:tcPr>
          <w:p w14:paraId="4D7EE738" w14:textId="77777777" w:rsidR="007F2EDE" w:rsidRPr="006C5C36" w:rsidRDefault="007F2EDE" w:rsidP="006C5C36">
            <w:pPr>
              <w:widowControl w:val="0"/>
              <w:jc w:val="center"/>
              <w:rPr>
                <w:rFonts w:eastAsia="Times New Roman"/>
                <w:b/>
                <w:smallCaps/>
                <w:sz w:val="22"/>
                <w:szCs w:val="22"/>
              </w:rPr>
            </w:pPr>
            <w:r w:rsidRPr="006C5C36">
              <w:rPr>
                <w:rFonts w:eastAsia="Times New Roman"/>
                <w:b/>
                <w:smallCaps/>
                <w:sz w:val="22"/>
                <w:szCs w:val="22"/>
              </w:rPr>
              <w:t>INDICADOR MENSUAL DEL CONSUMO PRIVADO</w:t>
            </w:r>
          </w:p>
          <w:p w14:paraId="1879255D" w14:textId="58576A0C" w:rsidR="007F2EDE" w:rsidRPr="006C5C36" w:rsidRDefault="007F2EDE" w:rsidP="006C5C36">
            <w:pPr>
              <w:widowControl w:val="0"/>
              <w:jc w:val="center"/>
              <w:rPr>
                <w:rFonts w:eastAsia="Times New Roman"/>
                <w:b/>
                <w:smallCaps/>
                <w:sz w:val="22"/>
                <w:szCs w:val="22"/>
              </w:rPr>
            </w:pPr>
            <w:r w:rsidRPr="006C5C36">
              <w:rPr>
                <w:rFonts w:eastAsia="Times New Roman"/>
                <w:b/>
                <w:smallCaps/>
                <w:sz w:val="22"/>
                <w:szCs w:val="22"/>
              </w:rPr>
              <w:t xml:space="preserve">EN EL MERCADO INTERIOR A </w:t>
            </w:r>
            <w:r w:rsidRPr="006C5C36">
              <w:rPr>
                <w:rFonts w:eastAsia="Times New Roman"/>
                <w:b/>
                <w:bCs/>
                <w:smallCaps/>
                <w:sz w:val="22"/>
                <w:szCs w:val="22"/>
              </w:rPr>
              <w:t>ENERO DE 201</w:t>
            </w:r>
            <w:r w:rsidR="00AC0105">
              <w:rPr>
                <w:rFonts w:eastAsia="Times New Roman"/>
                <w:b/>
                <w:bCs/>
                <w:smallCaps/>
                <w:sz w:val="22"/>
                <w:szCs w:val="22"/>
              </w:rPr>
              <w:t>5</w:t>
            </w:r>
          </w:p>
          <w:p w14:paraId="7A9B2857" w14:textId="5181495B" w:rsidR="007F2EDE" w:rsidRPr="006C5C36" w:rsidRDefault="007F2EDE" w:rsidP="006C5C36">
            <w:pPr>
              <w:widowControl w:val="0"/>
              <w:jc w:val="center"/>
              <w:rPr>
                <w:rFonts w:eastAsia="Times New Roman"/>
                <w:b/>
                <w:sz w:val="22"/>
                <w:szCs w:val="22"/>
              </w:rPr>
            </w:pPr>
            <w:r w:rsidRPr="006C5C36">
              <w:rPr>
                <w:rFonts w:eastAsia="Times New Roman"/>
                <w:b/>
                <w:smallCaps/>
                <w:sz w:val="22"/>
                <w:szCs w:val="22"/>
              </w:rPr>
              <w:t>-</w:t>
            </w:r>
            <w:r w:rsidRPr="006C5C36">
              <w:rPr>
                <w:rFonts w:eastAsia="Times New Roman"/>
                <w:b/>
                <w:sz w:val="22"/>
                <w:szCs w:val="22"/>
              </w:rPr>
              <w:t xml:space="preserve">Variación porcentual real respecto al mismo </w:t>
            </w:r>
            <w:r w:rsidR="00AC0105">
              <w:rPr>
                <w:rFonts w:eastAsia="Times New Roman"/>
                <w:b/>
                <w:sz w:val="22"/>
                <w:szCs w:val="22"/>
              </w:rPr>
              <w:t>mes</w:t>
            </w:r>
            <w:r w:rsidRPr="006C5C36">
              <w:rPr>
                <w:rFonts w:eastAsia="Times New Roman"/>
                <w:b/>
                <w:sz w:val="22"/>
                <w:szCs w:val="22"/>
              </w:rPr>
              <w:t xml:space="preserve"> del año anterior-</w:t>
            </w:r>
          </w:p>
          <w:p w14:paraId="2D677D5B" w14:textId="77777777" w:rsidR="007F2EDE" w:rsidRPr="006C5C36" w:rsidRDefault="007F2EDE" w:rsidP="006C5C36">
            <w:pPr>
              <w:keepNext/>
              <w:widowControl w:val="0"/>
              <w:jc w:val="center"/>
              <w:rPr>
                <w:rFonts w:eastAsia="Times New Roman"/>
                <w:sz w:val="22"/>
                <w:szCs w:val="22"/>
              </w:rPr>
            </w:pPr>
          </w:p>
        </w:tc>
      </w:tr>
      <w:tr w:rsidR="007F2EDE" w:rsidRPr="007F2EDE" w14:paraId="5C05561B" w14:textId="77777777" w:rsidTr="006C5C36">
        <w:trPr>
          <w:cantSplit/>
          <w:trHeight w:val="20"/>
          <w:jc w:val="center"/>
        </w:trPr>
        <w:tc>
          <w:tcPr>
            <w:tcW w:w="3261" w:type="dxa"/>
            <w:tcBorders>
              <w:top w:val="single" w:sz="2" w:space="0" w:color="auto"/>
              <w:left w:val="single" w:sz="2" w:space="0" w:color="auto"/>
              <w:bottom w:val="single" w:sz="2" w:space="0" w:color="auto"/>
              <w:right w:val="single" w:sz="2" w:space="0" w:color="auto"/>
            </w:tcBorders>
            <w:shd w:val="clear" w:color="auto" w:fill="auto"/>
            <w:vAlign w:val="center"/>
          </w:tcPr>
          <w:p w14:paraId="2E2BAEFE" w14:textId="77777777" w:rsidR="007F2EDE" w:rsidRPr="006C5C36" w:rsidRDefault="007F2EDE" w:rsidP="006C5C36">
            <w:pPr>
              <w:widowControl w:val="0"/>
              <w:tabs>
                <w:tab w:val="left" w:pos="546"/>
              </w:tabs>
              <w:jc w:val="center"/>
              <w:rPr>
                <w:rFonts w:eastAsia="Times New Roman"/>
                <w:b/>
                <w:sz w:val="20"/>
                <w:szCs w:val="20"/>
              </w:rPr>
            </w:pPr>
            <w:r w:rsidRPr="006C5C36">
              <w:rPr>
                <w:rFonts w:eastAsia="Times New Roman"/>
                <w:b/>
                <w:sz w:val="20"/>
                <w:szCs w:val="20"/>
              </w:rPr>
              <w:t>Concepto</w:t>
            </w:r>
          </w:p>
        </w:tc>
        <w:tc>
          <w:tcPr>
            <w:tcW w:w="3685" w:type="dxa"/>
            <w:tcBorders>
              <w:top w:val="single" w:sz="2" w:space="0" w:color="auto"/>
              <w:left w:val="single" w:sz="2" w:space="0" w:color="auto"/>
              <w:bottom w:val="single" w:sz="2" w:space="0" w:color="auto"/>
              <w:right w:val="single" w:sz="2" w:space="0" w:color="auto"/>
            </w:tcBorders>
            <w:shd w:val="clear" w:color="auto" w:fill="auto"/>
          </w:tcPr>
          <w:p w14:paraId="5CE51938" w14:textId="77777777" w:rsidR="007F2EDE" w:rsidRPr="006C5C36" w:rsidRDefault="007F2EDE" w:rsidP="006C5C36">
            <w:pPr>
              <w:keepNext/>
              <w:widowControl w:val="0"/>
              <w:jc w:val="center"/>
              <w:rPr>
                <w:rFonts w:eastAsia="Times New Roman"/>
                <w:b/>
                <w:sz w:val="20"/>
                <w:szCs w:val="20"/>
              </w:rPr>
            </w:pPr>
            <w:r w:rsidRPr="006C5C36">
              <w:rPr>
                <w:rFonts w:eastAsia="Times New Roman"/>
                <w:b/>
                <w:sz w:val="20"/>
                <w:szCs w:val="20"/>
              </w:rPr>
              <w:t xml:space="preserve">Enero </w:t>
            </w:r>
            <w:r w:rsidRPr="006C5C36">
              <w:rPr>
                <w:rFonts w:eastAsia="Times New Roman"/>
                <w:b/>
                <w:sz w:val="20"/>
                <w:szCs w:val="20"/>
                <w:u w:val="single"/>
                <w:vertAlign w:val="superscript"/>
              </w:rPr>
              <w:t>p</w:t>
            </w:r>
            <w:r w:rsidRPr="006C5C36">
              <w:rPr>
                <w:rFonts w:eastAsia="Times New Roman"/>
                <w:b/>
                <w:sz w:val="20"/>
                <w:szCs w:val="20"/>
                <w:vertAlign w:val="superscript"/>
              </w:rPr>
              <w:t>/</w:t>
            </w:r>
          </w:p>
        </w:tc>
      </w:tr>
      <w:tr w:rsidR="007F2EDE" w:rsidRPr="007F2EDE" w14:paraId="0FA1CB6E" w14:textId="77777777" w:rsidTr="006C5C36">
        <w:trPr>
          <w:cantSplit/>
          <w:trHeight w:val="20"/>
          <w:jc w:val="center"/>
        </w:trPr>
        <w:tc>
          <w:tcPr>
            <w:tcW w:w="3261" w:type="dxa"/>
            <w:tcBorders>
              <w:top w:val="single" w:sz="2" w:space="0" w:color="auto"/>
              <w:left w:val="single" w:sz="2" w:space="0" w:color="auto"/>
              <w:right w:val="single" w:sz="2" w:space="0" w:color="auto"/>
            </w:tcBorders>
            <w:shd w:val="clear" w:color="auto" w:fill="auto"/>
          </w:tcPr>
          <w:p w14:paraId="53C51EB4" w14:textId="77777777" w:rsidR="007F2EDE" w:rsidRPr="006C5C36" w:rsidRDefault="007F2EDE" w:rsidP="006C5C36">
            <w:pPr>
              <w:widowControl w:val="0"/>
              <w:jc w:val="both"/>
              <w:rPr>
                <w:rFonts w:eastAsia="Times New Roman"/>
                <w:b/>
                <w:sz w:val="20"/>
                <w:szCs w:val="20"/>
              </w:rPr>
            </w:pPr>
            <w:r w:rsidRPr="006C5C36">
              <w:rPr>
                <w:rFonts w:eastAsia="Times New Roman"/>
                <w:sz w:val="20"/>
                <w:szCs w:val="20"/>
              </w:rPr>
              <w:br w:type="page"/>
            </w:r>
            <w:r w:rsidRPr="006C5C36">
              <w:rPr>
                <w:rFonts w:eastAsia="Times New Roman"/>
                <w:b/>
                <w:sz w:val="20"/>
                <w:szCs w:val="20"/>
              </w:rPr>
              <w:t>Total</w:t>
            </w:r>
          </w:p>
        </w:tc>
        <w:tc>
          <w:tcPr>
            <w:tcW w:w="3685" w:type="dxa"/>
            <w:tcBorders>
              <w:top w:val="single" w:sz="2" w:space="0" w:color="auto"/>
              <w:left w:val="single" w:sz="2" w:space="0" w:color="auto"/>
              <w:right w:val="single" w:sz="2" w:space="0" w:color="auto"/>
            </w:tcBorders>
            <w:shd w:val="clear" w:color="auto" w:fill="auto"/>
          </w:tcPr>
          <w:p w14:paraId="4C37B183" w14:textId="77777777" w:rsidR="007F2EDE" w:rsidRPr="006C5C36" w:rsidRDefault="007F2EDE" w:rsidP="006C5C36">
            <w:pPr>
              <w:tabs>
                <w:tab w:val="left" w:pos="307"/>
                <w:tab w:val="decimal" w:pos="881"/>
              </w:tabs>
              <w:jc w:val="center"/>
              <w:rPr>
                <w:rFonts w:eastAsia="Calibri"/>
                <w:b/>
                <w:sz w:val="20"/>
                <w:szCs w:val="20"/>
                <w:lang w:eastAsia="en-US"/>
              </w:rPr>
            </w:pPr>
            <w:r w:rsidRPr="006C5C36">
              <w:rPr>
                <w:rFonts w:eastAsia="Calibri"/>
                <w:b/>
                <w:sz w:val="20"/>
                <w:szCs w:val="20"/>
                <w:lang w:eastAsia="en-US"/>
              </w:rPr>
              <w:t>3.0</w:t>
            </w:r>
          </w:p>
        </w:tc>
      </w:tr>
      <w:tr w:rsidR="007F2EDE" w:rsidRPr="007F2EDE" w14:paraId="67829DDB" w14:textId="77777777" w:rsidTr="006C5C36">
        <w:trPr>
          <w:cantSplit/>
          <w:trHeight w:val="20"/>
          <w:jc w:val="center"/>
        </w:trPr>
        <w:tc>
          <w:tcPr>
            <w:tcW w:w="3261" w:type="dxa"/>
            <w:tcBorders>
              <w:left w:val="single" w:sz="2" w:space="0" w:color="auto"/>
              <w:right w:val="single" w:sz="2" w:space="0" w:color="auto"/>
            </w:tcBorders>
            <w:shd w:val="clear" w:color="auto" w:fill="auto"/>
          </w:tcPr>
          <w:p w14:paraId="4D05F076" w14:textId="77777777" w:rsidR="007F2EDE" w:rsidRPr="006C5C36" w:rsidRDefault="007F2EDE" w:rsidP="006C5C36">
            <w:pPr>
              <w:widowControl w:val="0"/>
              <w:jc w:val="both"/>
              <w:rPr>
                <w:rFonts w:eastAsia="Times New Roman"/>
                <w:b/>
                <w:sz w:val="20"/>
                <w:szCs w:val="20"/>
              </w:rPr>
            </w:pPr>
            <w:r w:rsidRPr="006C5C36">
              <w:rPr>
                <w:rFonts w:eastAsia="Times New Roman"/>
                <w:b/>
                <w:sz w:val="20"/>
                <w:szCs w:val="20"/>
              </w:rPr>
              <w:t>Nacional</w:t>
            </w:r>
          </w:p>
        </w:tc>
        <w:tc>
          <w:tcPr>
            <w:tcW w:w="3685" w:type="dxa"/>
            <w:tcBorders>
              <w:left w:val="single" w:sz="2" w:space="0" w:color="auto"/>
              <w:right w:val="single" w:sz="2" w:space="0" w:color="auto"/>
            </w:tcBorders>
            <w:shd w:val="clear" w:color="auto" w:fill="auto"/>
          </w:tcPr>
          <w:p w14:paraId="77E6ACDD" w14:textId="77777777" w:rsidR="007F2EDE" w:rsidRPr="006C5C36" w:rsidRDefault="007F2EDE" w:rsidP="006C5C36">
            <w:pPr>
              <w:tabs>
                <w:tab w:val="left" w:pos="307"/>
                <w:tab w:val="decimal" w:pos="881"/>
              </w:tabs>
              <w:jc w:val="center"/>
              <w:rPr>
                <w:rFonts w:eastAsia="Calibri"/>
                <w:b/>
                <w:sz w:val="20"/>
                <w:szCs w:val="20"/>
                <w:lang w:eastAsia="en-US"/>
              </w:rPr>
            </w:pPr>
            <w:r w:rsidRPr="006C5C36">
              <w:rPr>
                <w:rFonts w:eastAsia="Calibri"/>
                <w:b/>
                <w:sz w:val="20"/>
                <w:szCs w:val="20"/>
                <w:lang w:eastAsia="en-US"/>
              </w:rPr>
              <w:t>3.2</w:t>
            </w:r>
          </w:p>
        </w:tc>
      </w:tr>
      <w:tr w:rsidR="007F2EDE" w:rsidRPr="007F2EDE" w14:paraId="29DD012B" w14:textId="77777777" w:rsidTr="006C5C36">
        <w:trPr>
          <w:cantSplit/>
          <w:trHeight w:val="20"/>
          <w:jc w:val="center"/>
        </w:trPr>
        <w:tc>
          <w:tcPr>
            <w:tcW w:w="3261" w:type="dxa"/>
            <w:tcBorders>
              <w:left w:val="single" w:sz="2" w:space="0" w:color="auto"/>
              <w:right w:val="single" w:sz="2" w:space="0" w:color="auto"/>
            </w:tcBorders>
            <w:shd w:val="clear" w:color="auto" w:fill="auto"/>
          </w:tcPr>
          <w:p w14:paraId="18EED944"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Bienes</w:t>
            </w:r>
          </w:p>
        </w:tc>
        <w:tc>
          <w:tcPr>
            <w:tcW w:w="3685" w:type="dxa"/>
            <w:tcBorders>
              <w:left w:val="single" w:sz="2" w:space="0" w:color="auto"/>
              <w:right w:val="single" w:sz="2" w:space="0" w:color="auto"/>
            </w:tcBorders>
            <w:shd w:val="clear" w:color="auto" w:fill="auto"/>
          </w:tcPr>
          <w:p w14:paraId="1E11BF1A" w14:textId="77777777" w:rsidR="007F2EDE" w:rsidRPr="006C5C36" w:rsidRDefault="007F2EDE" w:rsidP="006C5C36">
            <w:pPr>
              <w:tabs>
                <w:tab w:val="left" w:pos="307"/>
                <w:tab w:val="decimal" w:pos="881"/>
              </w:tabs>
              <w:jc w:val="center"/>
              <w:rPr>
                <w:rFonts w:eastAsia="Calibri"/>
                <w:sz w:val="20"/>
                <w:szCs w:val="20"/>
                <w:lang w:eastAsia="en-US"/>
              </w:rPr>
            </w:pPr>
            <w:r w:rsidRPr="006C5C36">
              <w:rPr>
                <w:rFonts w:eastAsia="Calibri"/>
                <w:sz w:val="20"/>
                <w:szCs w:val="20"/>
                <w:lang w:eastAsia="en-US"/>
              </w:rPr>
              <w:t>4.2</w:t>
            </w:r>
          </w:p>
        </w:tc>
      </w:tr>
      <w:tr w:rsidR="007F2EDE" w:rsidRPr="007F2EDE" w14:paraId="66B07567" w14:textId="77777777" w:rsidTr="006C5C36">
        <w:trPr>
          <w:cantSplit/>
          <w:trHeight w:val="20"/>
          <w:jc w:val="center"/>
        </w:trPr>
        <w:tc>
          <w:tcPr>
            <w:tcW w:w="3261" w:type="dxa"/>
            <w:tcBorders>
              <w:left w:val="single" w:sz="2" w:space="0" w:color="auto"/>
              <w:right w:val="single" w:sz="2" w:space="0" w:color="auto"/>
            </w:tcBorders>
            <w:shd w:val="clear" w:color="auto" w:fill="auto"/>
          </w:tcPr>
          <w:p w14:paraId="1E82955B"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Servicios</w:t>
            </w:r>
          </w:p>
        </w:tc>
        <w:tc>
          <w:tcPr>
            <w:tcW w:w="3685" w:type="dxa"/>
            <w:tcBorders>
              <w:left w:val="single" w:sz="2" w:space="0" w:color="auto"/>
              <w:right w:val="single" w:sz="2" w:space="0" w:color="auto"/>
            </w:tcBorders>
            <w:shd w:val="clear" w:color="auto" w:fill="auto"/>
          </w:tcPr>
          <w:p w14:paraId="12A88985" w14:textId="77777777" w:rsidR="007F2EDE" w:rsidRPr="006C5C36" w:rsidRDefault="007F2EDE" w:rsidP="006C5C36">
            <w:pPr>
              <w:tabs>
                <w:tab w:val="left" w:pos="307"/>
                <w:tab w:val="decimal" w:pos="881"/>
              </w:tabs>
              <w:jc w:val="center"/>
              <w:rPr>
                <w:rFonts w:eastAsia="Calibri"/>
                <w:sz w:val="20"/>
                <w:szCs w:val="20"/>
                <w:lang w:eastAsia="en-US"/>
              </w:rPr>
            </w:pPr>
            <w:r w:rsidRPr="006C5C36">
              <w:rPr>
                <w:rFonts w:eastAsia="Calibri"/>
                <w:sz w:val="20"/>
                <w:szCs w:val="20"/>
                <w:lang w:eastAsia="en-US"/>
              </w:rPr>
              <w:t>2.2</w:t>
            </w:r>
          </w:p>
        </w:tc>
      </w:tr>
      <w:tr w:rsidR="007F2EDE" w:rsidRPr="007F2EDE" w14:paraId="685FED1A" w14:textId="77777777" w:rsidTr="006C5C36">
        <w:trPr>
          <w:cantSplit/>
          <w:trHeight w:val="20"/>
          <w:jc w:val="center"/>
        </w:trPr>
        <w:tc>
          <w:tcPr>
            <w:tcW w:w="3261" w:type="dxa"/>
            <w:tcBorders>
              <w:left w:val="single" w:sz="2" w:space="0" w:color="auto"/>
              <w:right w:val="single" w:sz="2" w:space="0" w:color="auto"/>
            </w:tcBorders>
            <w:shd w:val="clear" w:color="auto" w:fill="auto"/>
          </w:tcPr>
          <w:p w14:paraId="1A94D234" w14:textId="77777777" w:rsidR="007F2EDE" w:rsidRPr="006C5C36" w:rsidRDefault="007F2EDE" w:rsidP="006C5C36">
            <w:pPr>
              <w:widowControl w:val="0"/>
              <w:jc w:val="both"/>
              <w:rPr>
                <w:rFonts w:eastAsia="Times New Roman"/>
                <w:b/>
                <w:sz w:val="20"/>
                <w:szCs w:val="20"/>
              </w:rPr>
            </w:pPr>
            <w:r w:rsidRPr="006C5C36">
              <w:rPr>
                <w:rFonts w:eastAsia="Times New Roman"/>
                <w:b/>
                <w:sz w:val="20"/>
                <w:szCs w:val="20"/>
              </w:rPr>
              <w:t>Importado</w:t>
            </w:r>
          </w:p>
        </w:tc>
        <w:tc>
          <w:tcPr>
            <w:tcW w:w="3685" w:type="dxa"/>
            <w:tcBorders>
              <w:left w:val="single" w:sz="2" w:space="0" w:color="auto"/>
              <w:right w:val="single" w:sz="2" w:space="0" w:color="auto"/>
            </w:tcBorders>
            <w:shd w:val="clear" w:color="auto" w:fill="auto"/>
          </w:tcPr>
          <w:p w14:paraId="5A50C9F0" w14:textId="77777777" w:rsidR="007F2EDE" w:rsidRPr="006C5C36" w:rsidRDefault="007F2EDE" w:rsidP="006C5C36">
            <w:pPr>
              <w:tabs>
                <w:tab w:val="left" w:pos="307"/>
                <w:tab w:val="decimal" w:pos="881"/>
              </w:tabs>
              <w:jc w:val="center"/>
              <w:rPr>
                <w:rFonts w:eastAsia="Calibri"/>
                <w:b/>
                <w:sz w:val="20"/>
                <w:szCs w:val="20"/>
                <w:lang w:eastAsia="en-US"/>
              </w:rPr>
            </w:pPr>
            <w:r w:rsidRPr="006C5C36">
              <w:rPr>
                <w:rFonts w:eastAsia="Calibri"/>
                <w:b/>
                <w:sz w:val="20"/>
                <w:szCs w:val="20"/>
                <w:lang w:eastAsia="en-US"/>
              </w:rPr>
              <w:t>1.0</w:t>
            </w:r>
          </w:p>
        </w:tc>
      </w:tr>
      <w:tr w:rsidR="007F2EDE" w:rsidRPr="007F2EDE" w14:paraId="72D76030" w14:textId="77777777" w:rsidTr="006C5C36">
        <w:trPr>
          <w:cantSplit/>
          <w:trHeight w:val="20"/>
          <w:jc w:val="center"/>
        </w:trPr>
        <w:tc>
          <w:tcPr>
            <w:tcW w:w="3261" w:type="dxa"/>
            <w:tcBorders>
              <w:left w:val="single" w:sz="2" w:space="0" w:color="auto"/>
              <w:bottom w:val="single" w:sz="2" w:space="0" w:color="auto"/>
              <w:right w:val="single" w:sz="2" w:space="0" w:color="auto"/>
            </w:tcBorders>
            <w:shd w:val="clear" w:color="auto" w:fill="auto"/>
          </w:tcPr>
          <w:p w14:paraId="4317F462" w14:textId="77777777" w:rsidR="007F2EDE" w:rsidRPr="006C5C36" w:rsidRDefault="007F2EDE" w:rsidP="002D3902">
            <w:pPr>
              <w:widowControl w:val="0"/>
              <w:numPr>
                <w:ilvl w:val="0"/>
                <w:numId w:val="99"/>
              </w:numPr>
              <w:ind w:left="454" w:hanging="284"/>
              <w:jc w:val="both"/>
              <w:rPr>
                <w:rFonts w:eastAsia="Times New Roman"/>
                <w:sz w:val="20"/>
                <w:szCs w:val="20"/>
              </w:rPr>
            </w:pPr>
            <w:r w:rsidRPr="006C5C36">
              <w:rPr>
                <w:rFonts w:eastAsia="Times New Roman"/>
                <w:sz w:val="20"/>
                <w:szCs w:val="20"/>
              </w:rPr>
              <w:t>Bienes</w:t>
            </w:r>
          </w:p>
        </w:tc>
        <w:tc>
          <w:tcPr>
            <w:tcW w:w="3685" w:type="dxa"/>
            <w:tcBorders>
              <w:left w:val="single" w:sz="2" w:space="0" w:color="auto"/>
              <w:bottom w:val="single" w:sz="2" w:space="0" w:color="auto"/>
              <w:right w:val="single" w:sz="2" w:space="0" w:color="auto"/>
            </w:tcBorders>
            <w:shd w:val="clear" w:color="auto" w:fill="auto"/>
          </w:tcPr>
          <w:p w14:paraId="090729B3" w14:textId="77777777" w:rsidR="007F2EDE" w:rsidRPr="006C5C36" w:rsidRDefault="007F2EDE" w:rsidP="006C5C36">
            <w:pPr>
              <w:tabs>
                <w:tab w:val="left" w:pos="307"/>
                <w:tab w:val="decimal" w:pos="881"/>
              </w:tabs>
              <w:jc w:val="center"/>
              <w:rPr>
                <w:rFonts w:eastAsia="Calibri"/>
                <w:sz w:val="20"/>
                <w:szCs w:val="20"/>
                <w:lang w:eastAsia="en-US"/>
              </w:rPr>
            </w:pPr>
            <w:r w:rsidRPr="006C5C36">
              <w:rPr>
                <w:rFonts w:eastAsia="Calibri"/>
                <w:sz w:val="20"/>
                <w:szCs w:val="20"/>
                <w:lang w:eastAsia="en-US"/>
              </w:rPr>
              <w:t>1.0</w:t>
            </w:r>
          </w:p>
        </w:tc>
      </w:tr>
      <w:tr w:rsidR="007F2EDE" w:rsidRPr="007F2EDE" w14:paraId="15B1AE60" w14:textId="77777777" w:rsidTr="006C5C36">
        <w:trPr>
          <w:cantSplit/>
          <w:trHeight w:val="20"/>
          <w:jc w:val="center"/>
        </w:trPr>
        <w:tc>
          <w:tcPr>
            <w:tcW w:w="6946" w:type="dxa"/>
            <w:gridSpan w:val="2"/>
            <w:tcBorders>
              <w:top w:val="single" w:sz="2" w:space="0" w:color="auto"/>
            </w:tcBorders>
            <w:shd w:val="clear" w:color="auto" w:fill="auto"/>
          </w:tcPr>
          <w:p w14:paraId="4B91F910" w14:textId="77777777" w:rsidR="007F2EDE" w:rsidRPr="006C5C36" w:rsidRDefault="007F2EDE" w:rsidP="006C5C36">
            <w:pPr>
              <w:ind w:right="-91"/>
              <w:outlineLvl w:val="3"/>
              <w:rPr>
                <w:rFonts w:eastAsia="Calibri"/>
                <w:sz w:val="20"/>
                <w:szCs w:val="20"/>
                <w:lang w:eastAsia="en-US"/>
              </w:rPr>
            </w:pPr>
            <w:r w:rsidRPr="006C5C36">
              <w:rPr>
                <w:rFonts w:eastAsia="Calibri"/>
                <w:sz w:val="20"/>
                <w:szCs w:val="20"/>
                <w:u w:val="single"/>
                <w:lang w:eastAsia="en-US"/>
              </w:rPr>
              <w:t>p</w:t>
            </w:r>
            <w:r w:rsidRPr="006C5C36">
              <w:rPr>
                <w:rFonts w:eastAsia="Calibri"/>
                <w:sz w:val="20"/>
                <w:szCs w:val="20"/>
                <w:lang w:eastAsia="en-US"/>
              </w:rPr>
              <w:t>/ Cifras preliminares.</w:t>
            </w:r>
          </w:p>
          <w:p w14:paraId="3A0CBCBF" w14:textId="77777777" w:rsidR="007F2EDE" w:rsidRPr="006C5C36" w:rsidRDefault="007F2EDE" w:rsidP="006C5C36">
            <w:pPr>
              <w:keepNext/>
              <w:keepLines/>
              <w:ind w:right="584"/>
              <w:rPr>
                <w:rFonts w:eastAsia="Times New Roman"/>
                <w:sz w:val="20"/>
                <w:szCs w:val="20"/>
                <w:lang w:val="es-ES_tradnl"/>
              </w:rPr>
            </w:pPr>
            <w:r w:rsidRPr="006C5C36">
              <w:rPr>
                <w:rFonts w:eastAsia="Times New Roman"/>
                <w:sz w:val="20"/>
                <w:szCs w:val="20"/>
                <w:lang w:val="es-ES_tradnl"/>
              </w:rPr>
              <w:t>FUENTE: INEGI.</w:t>
            </w:r>
          </w:p>
        </w:tc>
      </w:tr>
    </w:tbl>
    <w:p w14:paraId="5C7B5B2F" w14:textId="77777777" w:rsidR="007F2EDE" w:rsidRPr="007F2EDE" w:rsidRDefault="007F2EDE" w:rsidP="007F2EDE">
      <w:pPr>
        <w:spacing w:after="360" w:line="360" w:lineRule="auto"/>
        <w:ind w:right="-159"/>
        <w:jc w:val="both"/>
        <w:rPr>
          <w:rFonts w:eastAsia="Times New Roman"/>
          <w:sz w:val="26"/>
          <w:szCs w:val="26"/>
          <w:lang w:val="es-ES"/>
        </w:rPr>
      </w:pPr>
    </w:p>
    <w:p w14:paraId="4C3E4070" w14:textId="77777777" w:rsidR="007F2EDE" w:rsidRPr="007F2EDE" w:rsidRDefault="007F2EDE" w:rsidP="007F2EDE">
      <w:pPr>
        <w:ind w:right="-159"/>
        <w:jc w:val="both"/>
        <w:rPr>
          <w:rFonts w:eastAsia="Calibri"/>
          <w:b/>
          <w:sz w:val="20"/>
          <w:szCs w:val="20"/>
          <w:lang w:val="es-ES" w:eastAsia="en-US"/>
        </w:rPr>
      </w:pPr>
      <w:r w:rsidRPr="007F2EDE">
        <w:rPr>
          <w:rFonts w:eastAsia="Calibri"/>
          <w:b/>
          <w:sz w:val="20"/>
          <w:szCs w:val="20"/>
          <w:lang w:val="es-ES" w:eastAsia="en-US"/>
        </w:rPr>
        <w:t>Fuente de información:</w:t>
      </w:r>
    </w:p>
    <w:p w14:paraId="0B3ADA70" w14:textId="77777777" w:rsidR="007F2EDE" w:rsidRPr="00372137" w:rsidRDefault="0045651A" w:rsidP="007F2EDE">
      <w:pPr>
        <w:ind w:right="-159"/>
        <w:jc w:val="both"/>
        <w:rPr>
          <w:rFonts w:eastAsia="Calibri"/>
          <w:color w:val="0000FF"/>
          <w:sz w:val="20"/>
          <w:szCs w:val="20"/>
          <w:lang w:eastAsia="en-US"/>
        </w:rPr>
      </w:pPr>
      <w:hyperlink r:id="rId79" w:history="1">
        <w:r w:rsidR="007F2EDE" w:rsidRPr="00372137">
          <w:rPr>
            <w:rFonts w:eastAsia="Calibri"/>
            <w:color w:val="0000FF"/>
            <w:sz w:val="20"/>
            <w:szCs w:val="20"/>
            <w:u w:val="single"/>
            <w:lang w:eastAsia="en-US"/>
          </w:rPr>
          <w:t>http://www.inegi.org.mx/saladeprensa/boletines/2015/imcpmi/imcpmi2015_04.pdf</w:t>
        </w:r>
      </w:hyperlink>
      <w:r w:rsidR="007F2EDE" w:rsidRPr="00372137">
        <w:rPr>
          <w:rFonts w:eastAsia="Calibri"/>
          <w:color w:val="0000FF"/>
          <w:sz w:val="20"/>
          <w:szCs w:val="20"/>
          <w:lang w:eastAsia="en-US"/>
        </w:rPr>
        <w:t xml:space="preserve"> </w:t>
      </w:r>
    </w:p>
    <w:p w14:paraId="6BDAB4AE" w14:textId="77777777" w:rsidR="007F2EDE" w:rsidRPr="00372137" w:rsidRDefault="007F2EDE" w:rsidP="007F2EDE">
      <w:pPr>
        <w:ind w:right="-159"/>
        <w:jc w:val="both"/>
        <w:rPr>
          <w:rFonts w:eastAsia="Calibri"/>
          <w:sz w:val="20"/>
          <w:szCs w:val="20"/>
          <w:lang w:eastAsia="en-US"/>
        </w:rPr>
      </w:pPr>
      <w:r w:rsidRPr="00372137">
        <w:rPr>
          <w:rFonts w:eastAsia="Calibri"/>
          <w:sz w:val="20"/>
          <w:szCs w:val="20"/>
          <w:lang w:eastAsia="en-US"/>
        </w:rPr>
        <w:t>Para tener acceso a información relacionada visite:</w:t>
      </w:r>
    </w:p>
    <w:p w14:paraId="405267AE" w14:textId="77777777" w:rsidR="007F2EDE" w:rsidRPr="00372137" w:rsidRDefault="007F2EDE" w:rsidP="007F2EDE">
      <w:pPr>
        <w:ind w:right="-159"/>
        <w:jc w:val="both"/>
        <w:rPr>
          <w:rFonts w:eastAsia="Calibri"/>
          <w:sz w:val="20"/>
          <w:szCs w:val="20"/>
          <w:lang w:eastAsia="en-US"/>
        </w:rPr>
      </w:pPr>
      <w:r w:rsidRPr="00372137">
        <w:rPr>
          <w:rFonts w:eastAsia="Calibri"/>
          <w:sz w:val="20"/>
          <w:szCs w:val="20"/>
          <w:lang w:eastAsia="en-US"/>
        </w:rPr>
        <w:t>Para tener acceso al “</w:t>
      </w:r>
      <w:r w:rsidRPr="00372137">
        <w:rPr>
          <w:rFonts w:eastAsia="Calibri"/>
          <w:sz w:val="20"/>
          <w:szCs w:val="20"/>
          <w:lang w:val="es-ES" w:eastAsia="en-US"/>
        </w:rPr>
        <w:t>Tabulado resumen del indicador mensual del consumo privado en el mercado interior” ‏visite:</w:t>
      </w:r>
    </w:p>
    <w:p w14:paraId="34604A6A" w14:textId="77777777" w:rsidR="007F2EDE" w:rsidRPr="00372137" w:rsidRDefault="0045651A" w:rsidP="007F2EDE">
      <w:pPr>
        <w:ind w:right="-159"/>
        <w:jc w:val="both"/>
        <w:rPr>
          <w:rFonts w:eastAsia="Calibri"/>
          <w:color w:val="0000FF"/>
          <w:sz w:val="20"/>
          <w:szCs w:val="20"/>
          <w:lang w:eastAsia="en-US"/>
        </w:rPr>
      </w:pPr>
      <w:hyperlink r:id="rId80" w:history="1">
        <w:r w:rsidR="007F2EDE" w:rsidRPr="00372137">
          <w:rPr>
            <w:rFonts w:eastAsia="Calibri"/>
            <w:color w:val="0000FF"/>
            <w:sz w:val="20"/>
            <w:szCs w:val="20"/>
            <w:u w:val="single"/>
            <w:lang w:eastAsia="en-US"/>
          </w:rPr>
          <w:t>http://www.inegi.org.mx/saladeprensa/boletines/2015/imcpmi/imcpmi2015_03.xls</w:t>
        </w:r>
      </w:hyperlink>
      <w:r w:rsidR="007F2EDE" w:rsidRPr="00372137">
        <w:rPr>
          <w:rFonts w:eastAsia="Calibri"/>
          <w:color w:val="0000FF"/>
          <w:sz w:val="20"/>
          <w:szCs w:val="20"/>
          <w:lang w:eastAsia="en-US"/>
        </w:rPr>
        <w:t xml:space="preserve"> </w:t>
      </w:r>
    </w:p>
    <w:p w14:paraId="6D1393EE" w14:textId="77777777" w:rsidR="007F2EDE" w:rsidRPr="00372137" w:rsidRDefault="007F2EDE" w:rsidP="007F2EDE">
      <w:pPr>
        <w:ind w:right="-159"/>
        <w:jc w:val="both"/>
        <w:rPr>
          <w:rFonts w:eastAsia="Calibri"/>
          <w:sz w:val="20"/>
          <w:szCs w:val="20"/>
          <w:lang w:eastAsia="en-US"/>
        </w:rPr>
      </w:pPr>
      <w:r w:rsidRPr="00372137">
        <w:rPr>
          <w:rFonts w:eastAsia="Calibri"/>
          <w:sz w:val="20"/>
          <w:szCs w:val="20"/>
          <w:lang w:eastAsia="en-US"/>
        </w:rPr>
        <w:t>Para tener acceso a información adicional visite:</w:t>
      </w:r>
    </w:p>
    <w:p w14:paraId="231EFFFB" w14:textId="77777777" w:rsidR="007F2EDE" w:rsidRPr="00372137" w:rsidRDefault="0045651A" w:rsidP="00372137">
      <w:pPr>
        <w:spacing w:after="720"/>
        <w:ind w:right="-159"/>
        <w:jc w:val="both"/>
        <w:rPr>
          <w:rFonts w:eastAsia="Calibri"/>
          <w:color w:val="0000FF"/>
          <w:sz w:val="20"/>
          <w:szCs w:val="20"/>
          <w:lang w:eastAsia="en-US"/>
        </w:rPr>
      </w:pPr>
      <w:hyperlink r:id="rId81" w:history="1">
        <w:r w:rsidR="007F2EDE" w:rsidRPr="00372137">
          <w:rPr>
            <w:rFonts w:eastAsia="Calibri"/>
            <w:color w:val="0000FF"/>
            <w:sz w:val="20"/>
            <w:szCs w:val="20"/>
            <w:u w:val="single"/>
            <w:lang w:eastAsia="en-US"/>
          </w:rPr>
          <w:t>http://www.inegi.org.mx/est/contenidos/proyectos/graficas_temas/economia/Graficas/imcpmi/cptotal1.htm?s=est&amp;c=34000</w:t>
        </w:r>
      </w:hyperlink>
      <w:r w:rsidR="007F2EDE" w:rsidRPr="00372137">
        <w:rPr>
          <w:rFonts w:eastAsia="Calibri"/>
          <w:color w:val="0000FF"/>
          <w:sz w:val="20"/>
          <w:szCs w:val="20"/>
          <w:lang w:eastAsia="en-US"/>
        </w:rPr>
        <w:t xml:space="preserve"> </w:t>
      </w:r>
    </w:p>
    <w:p w14:paraId="0924ECA5" w14:textId="77777777" w:rsidR="004B0E95" w:rsidRPr="004B0E95" w:rsidRDefault="004B0E95" w:rsidP="004B0E95">
      <w:pPr>
        <w:ind w:right="-159"/>
        <w:jc w:val="both"/>
        <w:rPr>
          <w:rFonts w:eastAsia="Times New Roman"/>
          <w:b/>
          <w:sz w:val="26"/>
          <w:szCs w:val="26"/>
          <w:lang w:eastAsia="es-MX"/>
        </w:rPr>
      </w:pPr>
      <w:r w:rsidRPr="004B0E95">
        <w:rPr>
          <w:rFonts w:eastAsia="Times New Roman"/>
          <w:b/>
          <w:sz w:val="26"/>
          <w:szCs w:val="26"/>
          <w:lang w:eastAsia="es-MX"/>
        </w:rPr>
        <w:t xml:space="preserve">Oferta y demanda global de bienes y servicios </w:t>
      </w:r>
    </w:p>
    <w:p w14:paraId="68973015" w14:textId="38009A3D" w:rsidR="004B0E95" w:rsidRPr="004B0E95" w:rsidRDefault="004B0E95" w:rsidP="004B0E95">
      <w:pPr>
        <w:spacing w:after="360" w:line="360" w:lineRule="auto"/>
        <w:ind w:right="-159"/>
        <w:jc w:val="both"/>
        <w:rPr>
          <w:rFonts w:eastAsia="Times New Roman"/>
          <w:b/>
          <w:sz w:val="26"/>
          <w:szCs w:val="26"/>
          <w:lang w:eastAsia="es-MX"/>
        </w:rPr>
      </w:pPr>
      <w:r w:rsidRPr="004B0E95">
        <w:rPr>
          <w:rFonts w:eastAsia="Times New Roman"/>
          <w:b/>
          <w:sz w:val="26"/>
          <w:szCs w:val="26"/>
          <w:lang w:eastAsia="es-MX"/>
        </w:rPr>
        <w:t xml:space="preserve">durante  el  cuarto </w:t>
      </w:r>
      <w:r w:rsidR="008D28ED">
        <w:rPr>
          <w:rFonts w:eastAsia="Times New Roman"/>
          <w:b/>
          <w:sz w:val="26"/>
          <w:szCs w:val="26"/>
          <w:lang w:eastAsia="es-MX"/>
        </w:rPr>
        <w:t xml:space="preserve"> </w:t>
      </w:r>
      <w:r w:rsidRPr="004B0E95">
        <w:rPr>
          <w:rFonts w:eastAsia="Times New Roman"/>
          <w:b/>
          <w:sz w:val="26"/>
          <w:szCs w:val="26"/>
          <w:lang w:eastAsia="es-MX"/>
        </w:rPr>
        <w:t>trimestre de 2014 (INEGI)</w:t>
      </w:r>
    </w:p>
    <w:p w14:paraId="0B1C9409" w14:textId="37929E91" w:rsidR="004B0E95" w:rsidRP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El 23 de marzo de 2015, el Instituto Nacional de Estadística y Geografía (INEGI) di</w:t>
      </w:r>
      <w:r w:rsidR="00251E61">
        <w:rPr>
          <w:rFonts w:eastAsia="Times New Roman"/>
          <w:sz w:val="26"/>
          <w:szCs w:val="26"/>
          <w:lang w:eastAsia="es-MX"/>
        </w:rPr>
        <w:t>ó</w:t>
      </w:r>
      <w:r w:rsidRPr="004B0E95">
        <w:rPr>
          <w:rFonts w:eastAsia="Times New Roman"/>
          <w:sz w:val="26"/>
          <w:szCs w:val="26"/>
          <w:lang w:eastAsia="es-MX"/>
        </w:rPr>
        <w:t xml:space="preserve"> a conocer la oferta y demanda global de bienes y servicios durante el cuarto trimestre de 2014, a continuación se presenta la información.</w:t>
      </w:r>
    </w:p>
    <w:p w14:paraId="6267E127" w14:textId="77777777" w:rsid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El INEGI informa los resultados de la Oferta y Demanda Global de bienes y servicios, provenientes del Sistema de Cuentas Nacionales de México (SCNM), base 2008.</w:t>
      </w:r>
    </w:p>
    <w:p w14:paraId="4FD2FAA2" w14:textId="77777777" w:rsidR="009940FA" w:rsidRDefault="009940FA" w:rsidP="004B0E95">
      <w:pPr>
        <w:spacing w:after="360" w:line="360" w:lineRule="auto"/>
        <w:ind w:right="-159"/>
        <w:jc w:val="both"/>
        <w:rPr>
          <w:rFonts w:eastAsia="Times New Roman"/>
          <w:sz w:val="26"/>
          <w:szCs w:val="26"/>
          <w:lang w:eastAsia="es-MX"/>
        </w:rPr>
      </w:pPr>
    </w:p>
    <w:p w14:paraId="6BE600ED" w14:textId="77777777" w:rsidR="009940FA" w:rsidRPr="004B0E95" w:rsidRDefault="009940FA" w:rsidP="004B0E95">
      <w:pPr>
        <w:spacing w:after="360" w:line="360" w:lineRule="auto"/>
        <w:ind w:right="-159"/>
        <w:jc w:val="both"/>
        <w:rPr>
          <w:rFonts w:eastAsia="Times New Roman"/>
          <w:sz w:val="26"/>
          <w:szCs w:val="26"/>
          <w:lang w:eastAsia="es-MX"/>
        </w:rPr>
      </w:pPr>
    </w:p>
    <w:p w14:paraId="463584BC" w14:textId="77777777" w:rsidR="004B0E95" w:rsidRPr="004B0E95" w:rsidRDefault="004B0E95" w:rsidP="004B0E95">
      <w:pPr>
        <w:spacing w:after="360" w:line="360" w:lineRule="auto"/>
        <w:ind w:right="-159"/>
        <w:jc w:val="both"/>
        <w:rPr>
          <w:rFonts w:eastAsia="Times New Roman"/>
          <w:b/>
          <w:sz w:val="26"/>
          <w:szCs w:val="26"/>
          <w:lang w:eastAsia="es-MX"/>
        </w:rPr>
      </w:pPr>
      <w:r w:rsidRPr="004B0E95">
        <w:rPr>
          <w:rFonts w:eastAsia="Times New Roman"/>
          <w:b/>
          <w:sz w:val="26"/>
          <w:szCs w:val="26"/>
          <w:lang w:eastAsia="es-MX"/>
        </w:rPr>
        <w:lastRenderedPageBreak/>
        <w:t>Cifras Desestacionalizadas:</w:t>
      </w:r>
    </w:p>
    <w:p w14:paraId="0E320BE6" w14:textId="77777777" w:rsidR="004B0E95" w:rsidRP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La Oferta Global (igual a la Demanda Global) de Bienes y Servicios creció 1.0% con series desestacionalizadas durante el cuarto trimestre de 2014, respecto al trimestre inmediato anterior.</w:t>
      </w:r>
    </w:p>
    <w:p w14:paraId="30FF23BD" w14:textId="04785E9A" w:rsidR="004B0E95" w:rsidRPr="004B0E95" w:rsidRDefault="003B7C68" w:rsidP="003B7C68">
      <w:pPr>
        <w:spacing w:after="360" w:line="360" w:lineRule="auto"/>
        <w:ind w:right="-159"/>
        <w:jc w:val="center"/>
        <w:rPr>
          <w:rFonts w:eastAsia="Times New Roman"/>
          <w:sz w:val="26"/>
          <w:szCs w:val="26"/>
          <w:lang w:eastAsia="es-MX"/>
        </w:rPr>
      </w:pPr>
      <w:r w:rsidRPr="003B7C68">
        <w:rPr>
          <w:rFonts w:ascii="Calibri" w:eastAsia="Calibri" w:hAnsi="Calibri"/>
          <w:sz w:val="22"/>
          <w:szCs w:val="22"/>
          <w:lang w:eastAsia="en-US"/>
        </w:rPr>
        <w:fldChar w:fldCharType="begin"/>
      </w:r>
      <w:r w:rsidRPr="003B7C68">
        <w:rPr>
          <w:rFonts w:ascii="Calibri" w:eastAsia="Calibri" w:hAnsi="Calibri"/>
          <w:sz w:val="22"/>
          <w:szCs w:val="22"/>
          <w:lang w:eastAsia="en-US"/>
        </w:rPr>
        <w:instrText xml:space="preserve"> LINK PowerPoint.Slide.8 "D:\\2015\\ABRIL\\GRÁFICAS POWER POINT\\9.- GRÁFICAS DE OFERTA Y DEMANDA.pptx!274"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0CC0CD11" wp14:editId="65DA583F">
            <wp:extent cx="5436870" cy="3329940"/>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82" cstate="print">
                      <a:extLst>
                        <a:ext uri="{28A0092B-C50C-407E-A947-70E740481C1C}">
                          <a14:useLocalDpi xmlns:a14="http://schemas.microsoft.com/office/drawing/2010/main" val="0"/>
                        </a:ext>
                      </a:extLst>
                    </a:blip>
                    <a:srcRect l="3442" r="7199" b="2777"/>
                    <a:stretch>
                      <a:fillRect/>
                    </a:stretch>
                  </pic:blipFill>
                  <pic:spPr bwMode="auto">
                    <a:xfrm>
                      <a:off x="0" y="0"/>
                      <a:ext cx="5436870" cy="332994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470AD171" w14:textId="77777777" w:rsidR="004B0E95" w:rsidRP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Al interior de la Oferta, el Producto Interno Bruto (PIB) se incrementó 0.7% y las Importaciones de Bienes y Servicios fueron mayores en 3.9% frente a las observadas en el trimestre previo.</w:t>
      </w:r>
    </w:p>
    <w:p w14:paraId="2D88EFDB" w14:textId="1D8A02E4"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lastRenderedPageBreak/>
        <w:fldChar w:fldCharType="begin"/>
      </w:r>
      <w:r w:rsidRPr="003B7C68">
        <w:rPr>
          <w:rFonts w:ascii="Calibri" w:eastAsia="Calibri" w:hAnsi="Calibri"/>
          <w:sz w:val="22"/>
          <w:szCs w:val="22"/>
          <w:lang w:eastAsia="en-US"/>
        </w:rPr>
        <w:instrText xml:space="preserve"> LINK PowerPoint.Slide.8 "D:\\2015\\ABRIL\\GRÁFICAS POWER POINT\\9.- GRÁFICAS DE OFERTA Y DEMANDA.pptx!275"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5F0DEE25" wp14:editId="62DEEF2A">
            <wp:extent cx="5344160" cy="3392170"/>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83" cstate="print">
                      <a:extLst>
                        <a:ext uri="{28A0092B-C50C-407E-A947-70E740481C1C}">
                          <a14:useLocalDpi xmlns:a14="http://schemas.microsoft.com/office/drawing/2010/main" val="0"/>
                        </a:ext>
                      </a:extLst>
                    </a:blip>
                    <a:srcRect l="4382" r="7825" b="1111"/>
                    <a:stretch>
                      <a:fillRect/>
                    </a:stretch>
                  </pic:blipFill>
                  <pic:spPr bwMode="auto">
                    <a:xfrm>
                      <a:off x="0" y="0"/>
                      <a:ext cx="5344160" cy="339217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79667E8B" w14:textId="77777777" w:rsidR="003B7C68" w:rsidRPr="003B7C68" w:rsidRDefault="003B7C68" w:rsidP="003B7C68">
      <w:pPr>
        <w:spacing w:after="160" w:line="259" w:lineRule="auto"/>
        <w:jc w:val="center"/>
        <w:rPr>
          <w:rFonts w:ascii="Calibri" w:eastAsia="Calibri" w:hAnsi="Calibri"/>
          <w:sz w:val="22"/>
          <w:szCs w:val="22"/>
          <w:lang w:eastAsia="en-US"/>
        </w:rPr>
      </w:pPr>
    </w:p>
    <w:p w14:paraId="6C11A077" w14:textId="19668732"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fldChar w:fldCharType="begin"/>
      </w:r>
      <w:r w:rsidRPr="003B7C68">
        <w:rPr>
          <w:rFonts w:ascii="Calibri" w:eastAsia="Calibri" w:hAnsi="Calibri"/>
          <w:sz w:val="22"/>
          <w:szCs w:val="22"/>
          <w:lang w:eastAsia="en-US"/>
        </w:rPr>
        <w:instrText xml:space="preserve"> LINK PowerPoint.Slide.8 "D:\\2015\\ABRIL\\GRÁFICAS POWER POINT\\9.- GRÁFICAS DE OFERTA Y DEMANDA.pptx!276"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3475FD73" wp14:editId="28427A9C">
            <wp:extent cx="5350510" cy="3379470"/>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84" cstate="print">
                      <a:extLst>
                        <a:ext uri="{28A0092B-C50C-407E-A947-70E740481C1C}">
                          <a14:useLocalDpi xmlns:a14="http://schemas.microsoft.com/office/drawing/2010/main" val="0"/>
                        </a:ext>
                      </a:extLst>
                    </a:blip>
                    <a:srcRect l="3755" r="8295" b="1389"/>
                    <a:stretch>
                      <a:fillRect/>
                    </a:stretch>
                  </pic:blipFill>
                  <pic:spPr bwMode="auto">
                    <a:xfrm>
                      <a:off x="0" y="0"/>
                      <a:ext cx="5350510" cy="337947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71BE6966" w14:textId="77777777" w:rsidR="009940FA" w:rsidRDefault="009940FA" w:rsidP="004B0E95">
      <w:pPr>
        <w:spacing w:after="360" w:line="360" w:lineRule="auto"/>
        <w:ind w:right="-159"/>
        <w:jc w:val="both"/>
        <w:rPr>
          <w:rFonts w:eastAsia="Times New Roman"/>
          <w:b/>
          <w:sz w:val="26"/>
          <w:szCs w:val="26"/>
          <w:lang w:eastAsia="es-MX"/>
        </w:rPr>
      </w:pPr>
    </w:p>
    <w:p w14:paraId="30DE5E13" w14:textId="77777777" w:rsidR="009940FA" w:rsidRDefault="009940FA" w:rsidP="004B0E95">
      <w:pPr>
        <w:spacing w:after="360" w:line="360" w:lineRule="auto"/>
        <w:ind w:right="-159"/>
        <w:jc w:val="both"/>
        <w:rPr>
          <w:rFonts w:eastAsia="Times New Roman"/>
          <w:b/>
          <w:sz w:val="26"/>
          <w:szCs w:val="26"/>
          <w:lang w:eastAsia="es-MX"/>
        </w:rPr>
      </w:pPr>
    </w:p>
    <w:p w14:paraId="22C82C3C" w14:textId="77777777" w:rsidR="004B0E95" w:rsidRPr="004B0E95" w:rsidRDefault="004B0E95" w:rsidP="004B0E95">
      <w:pPr>
        <w:spacing w:after="360" w:line="360" w:lineRule="auto"/>
        <w:ind w:right="-159"/>
        <w:jc w:val="both"/>
        <w:rPr>
          <w:rFonts w:eastAsia="Times New Roman"/>
          <w:b/>
          <w:sz w:val="26"/>
          <w:szCs w:val="26"/>
          <w:lang w:eastAsia="es-MX"/>
        </w:rPr>
      </w:pPr>
      <w:r w:rsidRPr="004B0E95">
        <w:rPr>
          <w:rFonts w:eastAsia="Times New Roman"/>
          <w:b/>
          <w:sz w:val="26"/>
          <w:szCs w:val="26"/>
          <w:lang w:eastAsia="es-MX"/>
        </w:rPr>
        <w:lastRenderedPageBreak/>
        <w:t>Demanda Global</w:t>
      </w:r>
    </w:p>
    <w:p w14:paraId="7455CA44" w14:textId="77777777" w:rsidR="004B0E95" w:rsidRP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Por su parte, los componentes de la Demanda Global mostraron los siguientes resultados en el lapso de referencia: las Exportaciones de Bienes y Servicios aumentaron 3.5%, la Formación Bruta de Capital Fijo 1.4% y el Consumo Privado 0.5%; mientras que el Consumo de Gobierno disminuyó 0.8% frente al trimestre precedente, con cifras desestacionalizadas.</w:t>
      </w:r>
    </w:p>
    <w:p w14:paraId="7EF198F7" w14:textId="2ADC536B"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fldChar w:fldCharType="begin"/>
      </w:r>
      <w:r w:rsidRPr="003B7C68">
        <w:rPr>
          <w:rFonts w:ascii="Calibri" w:eastAsia="Calibri" w:hAnsi="Calibri"/>
          <w:sz w:val="22"/>
          <w:szCs w:val="22"/>
          <w:lang w:eastAsia="en-US"/>
        </w:rPr>
        <w:instrText xml:space="preserve"> LINK PowerPoint.Slide.8 "D:\\2015\\ABRIL\\GRÁFICAS POWER POINT\\9.- GRÁFICAS DE OFERTA Y DEMANDA.pptx!277"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01839D79" wp14:editId="3C01C481">
            <wp:extent cx="5319395" cy="3429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85" cstate="print">
                      <a:extLst>
                        <a:ext uri="{28A0092B-C50C-407E-A947-70E740481C1C}">
                          <a14:useLocalDpi xmlns:a14="http://schemas.microsoft.com/office/drawing/2010/main" val="0"/>
                        </a:ext>
                      </a:extLst>
                    </a:blip>
                    <a:srcRect l="4851" r="7668"/>
                    <a:stretch>
                      <a:fillRect/>
                    </a:stretch>
                  </pic:blipFill>
                  <pic:spPr bwMode="auto">
                    <a:xfrm>
                      <a:off x="0" y="0"/>
                      <a:ext cx="5319395" cy="342900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15862FB9" w14:textId="77777777" w:rsidR="003B7C68" w:rsidRPr="003B7C68" w:rsidRDefault="003B7C68" w:rsidP="003B7C68">
      <w:pPr>
        <w:spacing w:after="160" w:line="259" w:lineRule="auto"/>
        <w:jc w:val="center"/>
        <w:rPr>
          <w:rFonts w:ascii="Calibri" w:eastAsia="Calibri" w:hAnsi="Calibri"/>
          <w:sz w:val="22"/>
          <w:szCs w:val="22"/>
          <w:lang w:eastAsia="en-US"/>
        </w:rPr>
      </w:pPr>
    </w:p>
    <w:p w14:paraId="57E18693" w14:textId="505A1AEA"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lastRenderedPageBreak/>
        <w:fldChar w:fldCharType="begin"/>
      </w:r>
      <w:r w:rsidRPr="003B7C68">
        <w:rPr>
          <w:rFonts w:ascii="Calibri" w:eastAsia="Calibri" w:hAnsi="Calibri"/>
          <w:sz w:val="22"/>
          <w:szCs w:val="22"/>
          <w:lang w:eastAsia="en-US"/>
        </w:rPr>
        <w:instrText xml:space="preserve"> LINK PowerPoint.Slide.8 "D:\\2015\\ABRIL\\GRÁFICAS POWER POINT\\9.- GRÁFICAS DE OFERTA Y DEMANDA.pptx!278"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313CEAA6" wp14:editId="7EFD23FA">
            <wp:extent cx="5368925" cy="3429000"/>
            <wp:effectExtent l="0" t="0" r="317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86" cstate="print">
                      <a:extLst>
                        <a:ext uri="{28A0092B-C50C-407E-A947-70E740481C1C}">
                          <a14:useLocalDpi xmlns:a14="http://schemas.microsoft.com/office/drawing/2010/main" val="0"/>
                        </a:ext>
                      </a:extLst>
                    </a:blip>
                    <a:srcRect l="4070" r="7668"/>
                    <a:stretch>
                      <a:fillRect/>
                    </a:stretch>
                  </pic:blipFill>
                  <pic:spPr bwMode="auto">
                    <a:xfrm>
                      <a:off x="0" y="0"/>
                      <a:ext cx="5368925" cy="342900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21050E38" w14:textId="77777777" w:rsidR="003B7C68" w:rsidRPr="003B7C68" w:rsidRDefault="003B7C68" w:rsidP="003B7C68">
      <w:pPr>
        <w:spacing w:after="160" w:line="259" w:lineRule="auto"/>
        <w:jc w:val="center"/>
        <w:rPr>
          <w:rFonts w:ascii="Calibri" w:eastAsia="Calibri" w:hAnsi="Calibri"/>
          <w:sz w:val="22"/>
          <w:szCs w:val="22"/>
          <w:lang w:eastAsia="en-US"/>
        </w:rPr>
      </w:pPr>
    </w:p>
    <w:p w14:paraId="59FF44AC" w14:textId="268126AF"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fldChar w:fldCharType="begin"/>
      </w:r>
      <w:r w:rsidRPr="003B7C68">
        <w:rPr>
          <w:rFonts w:ascii="Calibri" w:eastAsia="Calibri" w:hAnsi="Calibri"/>
          <w:sz w:val="22"/>
          <w:szCs w:val="22"/>
          <w:lang w:eastAsia="en-US"/>
        </w:rPr>
        <w:instrText xml:space="preserve"> LINK PowerPoint.Slide.8 "D:\\2015\\ABRIL\\GRÁFICAS POWER POINT\\9.- GRÁFICAS DE OFERTA Y DEMANDA.pptx!279"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0902A4EC" wp14:editId="41D51486">
            <wp:extent cx="5264150" cy="334264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87" cstate="print">
                      <a:extLst>
                        <a:ext uri="{28A0092B-C50C-407E-A947-70E740481C1C}">
                          <a14:useLocalDpi xmlns:a14="http://schemas.microsoft.com/office/drawing/2010/main" val="0"/>
                        </a:ext>
                      </a:extLst>
                    </a:blip>
                    <a:srcRect l="5791" r="7668" b="2499"/>
                    <a:stretch>
                      <a:fillRect/>
                    </a:stretch>
                  </pic:blipFill>
                  <pic:spPr bwMode="auto">
                    <a:xfrm>
                      <a:off x="0" y="0"/>
                      <a:ext cx="5264150" cy="3342640"/>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30FA7285" w14:textId="77777777" w:rsidR="003B7C68" w:rsidRPr="003B7C68" w:rsidRDefault="003B7C68" w:rsidP="003B7C68">
      <w:pPr>
        <w:spacing w:after="160" w:line="259" w:lineRule="auto"/>
        <w:jc w:val="center"/>
        <w:rPr>
          <w:rFonts w:ascii="Calibri" w:eastAsia="Calibri" w:hAnsi="Calibri"/>
          <w:sz w:val="22"/>
          <w:szCs w:val="22"/>
          <w:lang w:eastAsia="en-US"/>
        </w:rPr>
      </w:pPr>
    </w:p>
    <w:p w14:paraId="130831B5" w14:textId="0D97F258" w:rsidR="003B7C68" w:rsidRPr="003B7C68" w:rsidRDefault="003B7C68" w:rsidP="003B7C68">
      <w:pPr>
        <w:spacing w:after="160" w:line="259" w:lineRule="auto"/>
        <w:jc w:val="center"/>
        <w:rPr>
          <w:rFonts w:ascii="Calibri" w:eastAsia="Calibri" w:hAnsi="Calibri"/>
          <w:sz w:val="22"/>
          <w:szCs w:val="22"/>
          <w:lang w:eastAsia="en-US"/>
        </w:rPr>
      </w:pPr>
      <w:r w:rsidRPr="003B7C68">
        <w:rPr>
          <w:rFonts w:ascii="Calibri" w:eastAsia="Calibri" w:hAnsi="Calibri"/>
          <w:sz w:val="22"/>
          <w:szCs w:val="22"/>
          <w:lang w:eastAsia="en-US"/>
        </w:rPr>
        <w:lastRenderedPageBreak/>
        <w:fldChar w:fldCharType="begin"/>
      </w:r>
      <w:r w:rsidRPr="003B7C68">
        <w:rPr>
          <w:rFonts w:ascii="Calibri" w:eastAsia="Calibri" w:hAnsi="Calibri"/>
          <w:sz w:val="22"/>
          <w:szCs w:val="22"/>
          <w:lang w:eastAsia="en-US"/>
        </w:rPr>
        <w:instrText xml:space="preserve"> LINK PowerPoint.Slide.8 "D:\\2015\\ABRIL\\GRÁFICAS POWER POINT\\9.- GRÁFICAS DE OFERTA Y DEMANDA.pptx!280" "" \a \p </w:instrText>
      </w:r>
      <w:r w:rsidRPr="003B7C68">
        <w:rPr>
          <w:rFonts w:ascii="Calibri" w:eastAsia="Calibri" w:hAnsi="Calibri"/>
          <w:sz w:val="22"/>
          <w:szCs w:val="22"/>
          <w:lang w:eastAsia="en-US"/>
        </w:rPr>
        <w:fldChar w:fldCharType="separate"/>
      </w:r>
      <w:r w:rsidRPr="003B7C68">
        <w:rPr>
          <w:rFonts w:ascii="Calibri" w:eastAsia="Calibri" w:hAnsi="Calibri"/>
          <w:noProof/>
          <w:sz w:val="22"/>
          <w:szCs w:val="22"/>
          <w:lang w:eastAsia="es-MX"/>
        </w:rPr>
        <w:drawing>
          <wp:inline distT="0" distB="0" distL="0" distR="0" wp14:anchorId="457D9CB5" wp14:editId="676E4D4A">
            <wp:extent cx="5381625" cy="3361055"/>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88" cstate="print">
                      <a:extLst>
                        <a:ext uri="{28A0092B-C50C-407E-A947-70E740481C1C}">
                          <a14:useLocalDpi xmlns:a14="http://schemas.microsoft.com/office/drawing/2010/main" val="0"/>
                        </a:ext>
                      </a:extLst>
                    </a:blip>
                    <a:srcRect l="4538" r="7042" b="1944"/>
                    <a:stretch>
                      <a:fillRect/>
                    </a:stretch>
                  </pic:blipFill>
                  <pic:spPr bwMode="auto">
                    <a:xfrm>
                      <a:off x="0" y="0"/>
                      <a:ext cx="5381625" cy="3361055"/>
                    </a:xfrm>
                    <a:prstGeom prst="rect">
                      <a:avLst/>
                    </a:prstGeom>
                    <a:noFill/>
                    <a:ln>
                      <a:noFill/>
                    </a:ln>
                  </pic:spPr>
                </pic:pic>
              </a:graphicData>
            </a:graphic>
          </wp:inline>
        </w:drawing>
      </w:r>
      <w:r w:rsidRPr="003B7C68">
        <w:rPr>
          <w:rFonts w:ascii="Calibri" w:eastAsia="Calibri" w:hAnsi="Calibri"/>
          <w:sz w:val="22"/>
          <w:szCs w:val="22"/>
          <w:lang w:eastAsia="en-US"/>
        </w:rPr>
        <w:fldChar w:fldCharType="end"/>
      </w:r>
    </w:p>
    <w:p w14:paraId="204A6C50" w14:textId="487A2A9E" w:rsidR="004B0E95" w:rsidRPr="004B0E95" w:rsidRDefault="004B0E95" w:rsidP="00C17C57">
      <w:pPr>
        <w:spacing w:after="360" w:line="360" w:lineRule="auto"/>
        <w:ind w:right="-159"/>
        <w:jc w:val="both"/>
        <w:rPr>
          <w:rFonts w:eastAsia="Times New Roman"/>
          <w:sz w:val="26"/>
          <w:szCs w:val="26"/>
          <w:lang w:eastAsia="es-MX"/>
        </w:rPr>
      </w:pPr>
    </w:p>
    <w:tbl>
      <w:tblPr>
        <w:tblW w:w="6663" w:type="dxa"/>
        <w:jc w:val="center"/>
        <w:tblLayout w:type="fixed"/>
        <w:tblLook w:val="04A0" w:firstRow="1" w:lastRow="0" w:firstColumn="1" w:lastColumn="0" w:noHBand="0" w:noVBand="1"/>
      </w:tblPr>
      <w:tblGrid>
        <w:gridCol w:w="2976"/>
        <w:gridCol w:w="1702"/>
        <w:gridCol w:w="1783"/>
        <w:gridCol w:w="202"/>
      </w:tblGrid>
      <w:tr w:rsidR="004B0E95" w:rsidRPr="004B0E95" w14:paraId="6F88AA5E" w14:textId="77777777" w:rsidTr="004B0E95">
        <w:trPr>
          <w:gridAfter w:val="1"/>
          <w:wAfter w:w="202" w:type="dxa"/>
          <w:jc w:val="center"/>
        </w:trPr>
        <w:tc>
          <w:tcPr>
            <w:tcW w:w="6461" w:type="dxa"/>
            <w:gridSpan w:val="3"/>
            <w:tcBorders>
              <w:top w:val="nil"/>
              <w:left w:val="nil"/>
              <w:right w:val="nil"/>
            </w:tcBorders>
          </w:tcPr>
          <w:p w14:paraId="6229EC89"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OFERTA Y DEMANDA GLOBAL DE BIENES Y SERVICOS</w:t>
            </w:r>
          </w:p>
          <w:p w14:paraId="7D643BCD"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AL CUARTO TRIMESTRE DE 2014</w:t>
            </w:r>
          </w:p>
          <w:p w14:paraId="0957273B" w14:textId="77777777" w:rsidR="004B0E95" w:rsidRPr="004B0E95" w:rsidRDefault="004B0E95" w:rsidP="004B0E95">
            <w:pPr>
              <w:tabs>
                <w:tab w:val="left" w:pos="1250"/>
              </w:tabs>
              <w:ind w:right="57"/>
              <w:jc w:val="center"/>
              <w:rPr>
                <w:rFonts w:eastAsia="Times New Roman"/>
                <w:sz w:val="20"/>
                <w:szCs w:val="20"/>
                <w:lang w:eastAsia="es-MX"/>
              </w:rPr>
            </w:pPr>
            <w:r w:rsidRPr="004B0E95">
              <w:rPr>
                <w:rFonts w:eastAsia="Times New Roman"/>
                <w:b/>
                <w:sz w:val="22"/>
                <w:szCs w:val="22"/>
                <w:lang w:eastAsia="es-MX"/>
              </w:rPr>
              <w:t>-Cifras desestacionalizadas-</w:t>
            </w:r>
          </w:p>
        </w:tc>
      </w:tr>
      <w:tr w:rsidR="004B0E95" w:rsidRPr="004B0E95" w14:paraId="3D000218" w14:textId="77777777" w:rsidTr="00C17C57">
        <w:trPr>
          <w:trHeight w:val="480"/>
          <w:jc w:val="center"/>
        </w:trPr>
        <w:tc>
          <w:tcPr>
            <w:tcW w:w="2976" w:type="dxa"/>
            <w:tcBorders>
              <w:top w:val="single" w:sz="4" w:space="0" w:color="auto"/>
              <w:left w:val="single" w:sz="4" w:space="0" w:color="auto"/>
              <w:bottom w:val="single" w:sz="4" w:space="0" w:color="auto"/>
              <w:right w:val="single" w:sz="4" w:space="0" w:color="auto"/>
            </w:tcBorders>
            <w:vAlign w:val="center"/>
          </w:tcPr>
          <w:p w14:paraId="68FCD13B"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Concepto</w:t>
            </w:r>
          </w:p>
        </w:tc>
        <w:tc>
          <w:tcPr>
            <w:tcW w:w="1702" w:type="dxa"/>
            <w:tcBorders>
              <w:top w:val="single" w:sz="4" w:space="0" w:color="auto"/>
              <w:left w:val="single" w:sz="4" w:space="0" w:color="auto"/>
              <w:bottom w:val="single" w:sz="4" w:space="0" w:color="auto"/>
              <w:right w:val="single" w:sz="4" w:space="0" w:color="auto"/>
            </w:tcBorders>
          </w:tcPr>
          <w:p w14:paraId="45F3B2A7"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Variación % respecto al trimestre previo</w:t>
            </w:r>
          </w:p>
        </w:tc>
        <w:tc>
          <w:tcPr>
            <w:tcW w:w="1985" w:type="dxa"/>
            <w:gridSpan w:val="2"/>
            <w:tcBorders>
              <w:top w:val="single" w:sz="4" w:space="0" w:color="auto"/>
              <w:left w:val="single" w:sz="4" w:space="0" w:color="auto"/>
              <w:bottom w:val="single" w:sz="4" w:space="0" w:color="auto"/>
              <w:right w:val="single" w:sz="4" w:space="0" w:color="auto"/>
            </w:tcBorders>
          </w:tcPr>
          <w:p w14:paraId="311991ED"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Variación % respecto a igual trimestre de 2013</w:t>
            </w:r>
          </w:p>
        </w:tc>
      </w:tr>
      <w:tr w:rsidR="004B0E95" w:rsidRPr="004B0E95" w14:paraId="39A08718" w14:textId="77777777" w:rsidTr="00C17C57">
        <w:trPr>
          <w:jc w:val="center"/>
        </w:trPr>
        <w:tc>
          <w:tcPr>
            <w:tcW w:w="2976" w:type="dxa"/>
            <w:tcBorders>
              <w:top w:val="single" w:sz="4" w:space="0" w:color="auto"/>
              <w:left w:val="single" w:sz="4" w:space="0" w:color="auto"/>
              <w:bottom w:val="nil"/>
              <w:right w:val="single" w:sz="4" w:space="0" w:color="auto"/>
            </w:tcBorders>
          </w:tcPr>
          <w:p w14:paraId="445D3A1F"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Producto Interno Bruto </w:t>
            </w:r>
          </w:p>
        </w:tc>
        <w:tc>
          <w:tcPr>
            <w:tcW w:w="1702" w:type="dxa"/>
            <w:tcBorders>
              <w:top w:val="single" w:sz="4" w:space="0" w:color="auto"/>
              <w:left w:val="single" w:sz="4" w:space="0" w:color="auto"/>
              <w:bottom w:val="nil"/>
              <w:right w:val="single" w:sz="4" w:space="0" w:color="auto"/>
            </w:tcBorders>
          </w:tcPr>
          <w:p w14:paraId="478B8437"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0.7</w:t>
            </w:r>
          </w:p>
        </w:tc>
        <w:tc>
          <w:tcPr>
            <w:tcW w:w="1985" w:type="dxa"/>
            <w:gridSpan w:val="2"/>
            <w:tcBorders>
              <w:top w:val="single" w:sz="4" w:space="0" w:color="auto"/>
              <w:left w:val="single" w:sz="4" w:space="0" w:color="auto"/>
              <w:bottom w:val="nil"/>
              <w:right w:val="single" w:sz="4" w:space="0" w:color="auto"/>
            </w:tcBorders>
          </w:tcPr>
          <w:p w14:paraId="4E5BFA5C"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2.6</w:t>
            </w:r>
          </w:p>
        </w:tc>
      </w:tr>
      <w:tr w:rsidR="004B0E95" w:rsidRPr="004B0E95" w14:paraId="76EA3937" w14:textId="77777777" w:rsidTr="00C17C57">
        <w:trPr>
          <w:jc w:val="center"/>
        </w:trPr>
        <w:tc>
          <w:tcPr>
            <w:tcW w:w="2976" w:type="dxa"/>
            <w:tcBorders>
              <w:top w:val="nil"/>
              <w:left w:val="single" w:sz="4" w:space="0" w:color="auto"/>
              <w:bottom w:val="nil"/>
              <w:right w:val="single" w:sz="4" w:space="0" w:color="auto"/>
            </w:tcBorders>
          </w:tcPr>
          <w:p w14:paraId="5E6B7E3B"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Importación de bienes y servicios</w:t>
            </w:r>
          </w:p>
        </w:tc>
        <w:tc>
          <w:tcPr>
            <w:tcW w:w="1702" w:type="dxa"/>
            <w:tcBorders>
              <w:top w:val="nil"/>
              <w:left w:val="single" w:sz="4" w:space="0" w:color="auto"/>
              <w:bottom w:val="nil"/>
              <w:right w:val="single" w:sz="4" w:space="0" w:color="auto"/>
            </w:tcBorders>
          </w:tcPr>
          <w:p w14:paraId="5CD68775"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3.9</w:t>
            </w:r>
          </w:p>
        </w:tc>
        <w:tc>
          <w:tcPr>
            <w:tcW w:w="1985" w:type="dxa"/>
            <w:gridSpan w:val="2"/>
            <w:tcBorders>
              <w:top w:val="nil"/>
              <w:left w:val="single" w:sz="4" w:space="0" w:color="auto"/>
              <w:bottom w:val="nil"/>
              <w:right w:val="single" w:sz="4" w:space="0" w:color="auto"/>
            </w:tcBorders>
          </w:tcPr>
          <w:p w14:paraId="2D176E2B"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10.8</w:t>
            </w:r>
          </w:p>
        </w:tc>
      </w:tr>
      <w:tr w:rsidR="004B0E95" w:rsidRPr="004B0E95" w14:paraId="168DAF72" w14:textId="77777777" w:rsidTr="00C17C57">
        <w:trPr>
          <w:jc w:val="center"/>
        </w:trPr>
        <w:tc>
          <w:tcPr>
            <w:tcW w:w="2976" w:type="dxa"/>
            <w:tcBorders>
              <w:top w:val="nil"/>
              <w:left w:val="single" w:sz="4" w:space="0" w:color="auto"/>
              <w:bottom w:val="nil"/>
              <w:right w:val="single" w:sz="4" w:space="0" w:color="auto"/>
            </w:tcBorders>
          </w:tcPr>
          <w:p w14:paraId="12A1EBC5"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Oferta y Demanda</w:t>
            </w:r>
          </w:p>
        </w:tc>
        <w:tc>
          <w:tcPr>
            <w:tcW w:w="1702" w:type="dxa"/>
            <w:tcBorders>
              <w:top w:val="nil"/>
              <w:left w:val="single" w:sz="4" w:space="0" w:color="auto"/>
              <w:bottom w:val="nil"/>
              <w:right w:val="single" w:sz="4" w:space="0" w:color="auto"/>
            </w:tcBorders>
          </w:tcPr>
          <w:p w14:paraId="68DE908C" w14:textId="77777777" w:rsidR="004B0E95" w:rsidRPr="004B0E95" w:rsidRDefault="004B0E95" w:rsidP="004B0E95">
            <w:pPr>
              <w:tabs>
                <w:tab w:val="left" w:pos="1250"/>
              </w:tabs>
              <w:ind w:right="624"/>
              <w:jc w:val="right"/>
              <w:rPr>
                <w:rFonts w:eastAsia="Times New Roman"/>
                <w:b/>
                <w:sz w:val="20"/>
                <w:szCs w:val="20"/>
                <w:lang w:eastAsia="es-MX"/>
              </w:rPr>
            </w:pPr>
            <w:r w:rsidRPr="004B0E95">
              <w:rPr>
                <w:rFonts w:eastAsia="Times New Roman"/>
                <w:b/>
                <w:sz w:val="20"/>
                <w:szCs w:val="20"/>
                <w:lang w:eastAsia="es-MX"/>
              </w:rPr>
              <w:t>1.0</w:t>
            </w:r>
          </w:p>
        </w:tc>
        <w:tc>
          <w:tcPr>
            <w:tcW w:w="1985" w:type="dxa"/>
            <w:gridSpan w:val="2"/>
            <w:tcBorders>
              <w:top w:val="nil"/>
              <w:left w:val="single" w:sz="4" w:space="0" w:color="auto"/>
              <w:bottom w:val="nil"/>
              <w:right w:val="single" w:sz="4" w:space="0" w:color="auto"/>
            </w:tcBorders>
          </w:tcPr>
          <w:p w14:paraId="3D5C3C9A" w14:textId="77777777" w:rsidR="004B0E95" w:rsidRPr="004B0E95" w:rsidRDefault="004B0E95" w:rsidP="004B0E95">
            <w:pPr>
              <w:tabs>
                <w:tab w:val="left" w:pos="1250"/>
              </w:tabs>
              <w:ind w:right="737"/>
              <w:jc w:val="right"/>
              <w:rPr>
                <w:rFonts w:eastAsia="Times New Roman"/>
                <w:b/>
                <w:sz w:val="20"/>
                <w:szCs w:val="20"/>
                <w:lang w:eastAsia="es-MX"/>
              </w:rPr>
            </w:pPr>
            <w:r w:rsidRPr="004B0E95">
              <w:rPr>
                <w:rFonts w:eastAsia="Times New Roman"/>
                <w:b/>
                <w:sz w:val="20"/>
                <w:szCs w:val="20"/>
                <w:lang w:eastAsia="es-MX"/>
              </w:rPr>
              <w:t>3.9</w:t>
            </w:r>
          </w:p>
        </w:tc>
      </w:tr>
      <w:tr w:rsidR="004B0E95" w:rsidRPr="004B0E95" w14:paraId="72B4C1DF" w14:textId="77777777" w:rsidTr="00C17C57">
        <w:trPr>
          <w:jc w:val="center"/>
        </w:trPr>
        <w:tc>
          <w:tcPr>
            <w:tcW w:w="2976" w:type="dxa"/>
            <w:tcBorders>
              <w:top w:val="nil"/>
              <w:left w:val="single" w:sz="4" w:space="0" w:color="auto"/>
              <w:bottom w:val="nil"/>
              <w:right w:val="single" w:sz="4" w:space="0" w:color="auto"/>
            </w:tcBorders>
          </w:tcPr>
          <w:p w14:paraId="5490778A"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Privado</w:t>
            </w:r>
          </w:p>
        </w:tc>
        <w:tc>
          <w:tcPr>
            <w:tcW w:w="1702" w:type="dxa"/>
            <w:tcBorders>
              <w:top w:val="nil"/>
              <w:left w:val="single" w:sz="4" w:space="0" w:color="auto"/>
              <w:bottom w:val="nil"/>
              <w:right w:val="single" w:sz="4" w:space="0" w:color="auto"/>
            </w:tcBorders>
          </w:tcPr>
          <w:p w14:paraId="4546BBC7"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0.5</w:t>
            </w:r>
          </w:p>
        </w:tc>
        <w:tc>
          <w:tcPr>
            <w:tcW w:w="1985" w:type="dxa"/>
            <w:gridSpan w:val="2"/>
            <w:tcBorders>
              <w:top w:val="nil"/>
              <w:left w:val="single" w:sz="4" w:space="0" w:color="auto"/>
              <w:bottom w:val="nil"/>
              <w:right w:val="single" w:sz="4" w:space="0" w:color="auto"/>
            </w:tcBorders>
          </w:tcPr>
          <w:p w14:paraId="459EA88B"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2.7</w:t>
            </w:r>
          </w:p>
        </w:tc>
      </w:tr>
      <w:tr w:rsidR="004B0E95" w:rsidRPr="004B0E95" w14:paraId="7DBB53BB" w14:textId="77777777" w:rsidTr="00C17C57">
        <w:trPr>
          <w:jc w:val="center"/>
        </w:trPr>
        <w:tc>
          <w:tcPr>
            <w:tcW w:w="2976" w:type="dxa"/>
            <w:tcBorders>
              <w:top w:val="nil"/>
              <w:left w:val="single" w:sz="4" w:space="0" w:color="auto"/>
              <w:bottom w:val="nil"/>
              <w:right w:val="single" w:sz="4" w:space="0" w:color="auto"/>
            </w:tcBorders>
          </w:tcPr>
          <w:p w14:paraId="1B7E7F00"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de Gobierno</w:t>
            </w:r>
          </w:p>
        </w:tc>
        <w:tc>
          <w:tcPr>
            <w:tcW w:w="1702" w:type="dxa"/>
            <w:tcBorders>
              <w:top w:val="nil"/>
              <w:left w:val="single" w:sz="4" w:space="0" w:color="auto"/>
              <w:bottom w:val="nil"/>
              <w:right w:val="single" w:sz="4" w:space="0" w:color="auto"/>
            </w:tcBorders>
          </w:tcPr>
          <w:p w14:paraId="5EDAE78F"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-0.8</w:t>
            </w:r>
          </w:p>
        </w:tc>
        <w:tc>
          <w:tcPr>
            <w:tcW w:w="1985" w:type="dxa"/>
            <w:gridSpan w:val="2"/>
            <w:tcBorders>
              <w:top w:val="nil"/>
              <w:left w:val="single" w:sz="4" w:space="0" w:color="auto"/>
              <w:bottom w:val="nil"/>
              <w:right w:val="single" w:sz="4" w:space="0" w:color="auto"/>
            </w:tcBorders>
          </w:tcPr>
          <w:p w14:paraId="0EF23A82"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1.8</w:t>
            </w:r>
          </w:p>
        </w:tc>
      </w:tr>
      <w:tr w:rsidR="004B0E95" w:rsidRPr="004B0E95" w14:paraId="01523D62" w14:textId="77777777" w:rsidTr="00C17C57">
        <w:trPr>
          <w:jc w:val="center"/>
        </w:trPr>
        <w:tc>
          <w:tcPr>
            <w:tcW w:w="2976" w:type="dxa"/>
            <w:tcBorders>
              <w:top w:val="nil"/>
              <w:left w:val="single" w:sz="4" w:space="0" w:color="auto"/>
              <w:bottom w:val="nil"/>
              <w:right w:val="single" w:sz="4" w:space="0" w:color="auto"/>
            </w:tcBorders>
          </w:tcPr>
          <w:p w14:paraId="16882A37"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Formación Bruta de Capital Fijo</w:t>
            </w:r>
          </w:p>
        </w:tc>
        <w:tc>
          <w:tcPr>
            <w:tcW w:w="1702" w:type="dxa"/>
            <w:tcBorders>
              <w:top w:val="nil"/>
              <w:left w:val="single" w:sz="4" w:space="0" w:color="auto"/>
              <w:bottom w:val="nil"/>
              <w:right w:val="single" w:sz="4" w:space="0" w:color="auto"/>
            </w:tcBorders>
          </w:tcPr>
          <w:p w14:paraId="00C84E6F"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1.4</w:t>
            </w:r>
          </w:p>
        </w:tc>
        <w:tc>
          <w:tcPr>
            <w:tcW w:w="1985" w:type="dxa"/>
            <w:gridSpan w:val="2"/>
            <w:tcBorders>
              <w:top w:val="nil"/>
              <w:left w:val="single" w:sz="4" w:space="0" w:color="auto"/>
              <w:bottom w:val="nil"/>
              <w:right w:val="single" w:sz="4" w:space="0" w:color="auto"/>
            </w:tcBorders>
          </w:tcPr>
          <w:p w14:paraId="1F75B29F"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5.7</w:t>
            </w:r>
          </w:p>
        </w:tc>
      </w:tr>
      <w:tr w:rsidR="004B0E95" w:rsidRPr="004B0E95" w14:paraId="3221A98D" w14:textId="77777777" w:rsidTr="00C17C57">
        <w:trPr>
          <w:jc w:val="center"/>
        </w:trPr>
        <w:tc>
          <w:tcPr>
            <w:tcW w:w="2976" w:type="dxa"/>
            <w:tcBorders>
              <w:top w:val="nil"/>
              <w:left w:val="single" w:sz="4" w:space="0" w:color="auto"/>
              <w:bottom w:val="nil"/>
              <w:right w:val="single" w:sz="4" w:space="0" w:color="auto"/>
            </w:tcBorders>
          </w:tcPr>
          <w:p w14:paraId="4B097962"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Variación de existencias</w:t>
            </w:r>
          </w:p>
        </w:tc>
        <w:tc>
          <w:tcPr>
            <w:tcW w:w="1702" w:type="dxa"/>
            <w:tcBorders>
              <w:top w:val="nil"/>
              <w:left w:val="single" w:sz="4" w:space="0" w:color="auto"/>
              <w:bottom w:val="nil"/>
              <w:right w:val="single" w:sz="4" w:space="0" w:color="auto"/>
            </w:tcBorders>
          </w:tcPr>
          <w:p w14:paraId="45827D35"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NA</w:t>
            </w:r>
          </w:p>
        </w:tc>
        <w:tc>
          <w:tcPr>
            <w:tcW w:w="1985" w:type="dxa"/>
            <w:gridSpan w:val="2"/>
            <w:tcBorders>
              <w:top w:val="nil"/>
              <w:left w:val="single" w:sz="4" w:space="0" w:color="auto"/>
              <w:bottom w:val="nil"/>
              <w:right w:val="single" w:sz="4" w:space="0" w:color="auto"/>
            </w:tcBorders>
          </w:tcPr>
          <w:p w14:paraId="3A0A245C"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337CECDF" w14:textId="77777777" w:rsidTr="00C17C57">
        <w:trPr>
          <w:jc w:val="center"/>
        </w:trPr>
        <w:tc>
          <w:tcPr>
            <w:tcW w:w="2976" w:type="dxa"/>
            <w:tcBorders>
              <w:top w:val="nil"/>
              <w:left w:val="single" w:sz="4" w:space="0" w:color="auto"/>
              <w:bottom w:val="nil"/>
              <w:right w:val="single" w:sz="4" w:space="0" w:color="auto"/>
            </w:tcBorders>
          </w:tcPr>
          <w:p w14:paraId="50724EAD"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Exportación de bienes y servicios</w:t>
            </w:r>
          </w:p>
        </w:tc>
        <w:tc>
          <w:tcPr>
            <w:tcW w:w="1702" w:type="dxa"/>
            <w:tcBorders>
              <w:top w:val="nil"/>
              <w:left w:val="single" w:sz="4" w:space="0" w:color="auto"/>
              <w:bottom w:val="nil"/>
              <w:right w:val="single" w:sz="4" w:space="0" w:color="auto"/>
            </w:tcBorders>
          </w:tcPr>
          <w:p w14:paraId="4C41357D"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3.5</w:t>
            </w:r>
          </w:p>
        </w:tc>
        <w:tc>
          <w:tcPr>
            <w:tcW w:w="1985" w:type="dxa"/>
            <w:gridSpan w:val="2"/>
            <w:tcBorders>
              <w:top w:val="nil"/>
              <w:left w:val="single" w:sz="4" w:space="0" w:color="auto"/>
              <w:bottom w:val="nil"/>
              <w:right w:val="single" w:sz="4" w:space="0" w:color="auto"/>
            </w:tcBorders>
          </w:tcPr>
          <w:p w14:paraId="7CADD2CD"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10.2</w:t>
            </w:r>
          </w:p>
        </w:tc>
      </w:tr>
      <w:tr w:rsidR="004B0E95" w:rsidRPr="004B0E95" w14:paraId="50C2488F" w14:textId="77777777" w:rsidTr="00C17C57">
        <w:trPr>
          <w:jc w:val="center"/>
        </w:trPr>
        <w:tc>
          <w:tcPr>
            <w:tcW w:w="2976" w:type="dxa"/>
            <w:tcBorders>
              <w:top w:val="nil"/>
              <w:left w:val="single" w:sz="4" w:space="0" w:color="auto"/>
              <w:bottom w:val="single" w:sz="4" w:space="0" w:color="auto"/>
              <w:right w:val="single" w:sz="4" w:space="0" w:color="auto"/>
            </w:tcBorders>
          </w:tcPr>
          <w:p w14:paraId="5A97FE27"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Discrepancia estadística</w:t>
            </w:r>
          </w:p>
        </w:tc>
        <w:tc>
          <w:tcPr>
            <w:tcW w:w="1702" w:type="dxa"/>
            <w:tcBorders>
              <w:top w:val="nil"/>
              <w:left w:val="single" w:sz="4" w:space="0" w:color="auto"/>
              <w:bottom w:val="single" w:sz="4" w:space="0" w:color="auto"/>
              <w:right w:val="single" w:sz="4" w:space="0" w:color="auto"/>
            </w:tcBorders>
          </w:tcPr>
          <w:p w14:paraId="13FE0187" w14:textId="77777777" w:rsidR="004B0E95" w:rsidRPr="004B0E95" w:rsidRDefault="004B0E95" w:rsidP="004B0E95">
            <w:pPr>
              <w:tabs>
                <w:tab w:val="left" w:pos="1250"/>
              </w:tabs>
              <w:ind w:right="624"/>
              <w:jc w:val="right"/>
              <w:rPr>
                <w:rFonts w:eastAsia="Times New Roman"/>
                <w:sz w:val="20"/>
                <w:szCs w:val="20"/>
                <w:lang w:eastAsia="es-MX"/>
              </w:rPr>
            </w:pPr>
            <w:r w:rsidRPr="004B0E95">
              <w:rPr>
                <w:rFonts w:eastAsia="Times New Roman"/>
                <w:sz w:val="20"/>
                <w:szCs w:val="20"/>
                <w:lang w:eastAsia="es-MX"/>
              </w:rPr>
              <w:t>NA</w:t>
            </w:r>
          </w:p>
        </w:tc>
        <w:tc>
          <w:tcPr>
            <w:tcW w:w="1985" w:type="dxa"/>
            <w:gridSpan w:val="2"/>
            <w:tcBorders>
              <w:top w:val="nil"/>
              <w:left w:val="single" w:sz="4" w:space="0" w:color="auto"/>
              <w:bottom w:val="single" w:sz="4" w:space="0" w:color="auto"/>
              <w:right w:val="single" w:sz="4" w:space="0" w:color="auto"/>
            </w:tcBorders>
          </w:tcPr>
          <w:p w14:paraId="128D45FA" w14:textId="77777777" w:rsidR="004B0E95" w:rsidRPr="004B0E95" w:rsidRDefault="004B0E95" w:rsidP="004B0E95">
            <w:pPr>
              <w:tabs>
                <w:tab w:val="left" w:pos="1250"/>
              </w:tabs>
              <w:ind w:right="737"/>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1C7F6E32" w14:textId="77777777" w:rsidTr="004B0E95">
        <w:trPr>
          <w:gridAfter w:val="1"/>
          <w:wAfter w:w="202" w:type="dxa"/>
          <w:jc w:val="center"/>
        </w:trPr>
        <w:tc>
          <w:tcPr>
            <w:tcW w:w="6461" w:type="dxa"/>
            <w:gridSpan w:val="3"/>
            <w:tcBorders>
              <w:left w:val="nil"/>
              <w:bottom w:val="nil"/>
              <w:right w:val="nil"/>
            </w:tcBorders>
          </w:tcPr>
          <w:p w14:paraId="48666D64"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NA: No aplica.</w:t>
            </w:r>
          </w:p>
        </w:tc>
      </w:tr>
      <w:tr w:rsidR="004B0E95" w:rsidRPr="004B0E95" w14:paraId="7977340E" w14:textId="77777777" w:rsidTr="004B0E95">
        <w:trPr>
          <w:gridAfter w:val="1"/>
          <w:wAfter w:w="202" w:type="dxa"/>
          <w:jc w:val="center"/>
        </w:trPr>
        <w:tc>
          <w:tcPr>
            <w:tcW w:w="6461" w:type="dxa"/>
            <w:gridSpan w:val="3"/>
            <w:tcBorders>
              <w:top w:val="nil"/>
              <w:left w:val="nil"/>
              <w:bottom w:val="nil"/>
              <w:right w:val="nil"/>
            </w:tcBorders>
          </w:tcPr>
          <w:p w14:paraId="5FB337F9"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FUENTE: INEGI.</w:t>
            </w:r>
          </w:p>
        </w:tc>
      </w:tr>
    </w:tbl>
    <w:p w14:paraId="6D14ECCD" w14:textId="77777777" w:rsidR="004B0E95" w:rsidRDefault="004B0E95" w:rsidP="004B0E95">
      <w:pPr>
        <w:spacing w:after="360" w:line="360" w:lineRule="auto"/>
        <w:ind w:right="-159"/>
        <w:jc w:val="both"/>
        <w:rPr>
          <w:rFonts w:eastAsia="Times New Roman"/>
          <w:sz w:val="26"/>
          <w:szCs w:val="26"/>
          <w:lang w:val="es-ES_tradnl" w:eastAsia="es-MX"/>
        </w:rPr>
      </w:pPr>
    </w:p>
    <w:p w14:paraId="58FB3B7D" w14:textId="77777777" w:rsidR="00512C3D" w:rsidRDefault="00512C3D" w:rsidP="004B0E95">
      <w:pPr>
        <w:spacing w:after="360" w:line="360" w:lineRule="auto"/>
        <w:ind w:right="-159"/>
        <w:jc w:val="both"/>
        <w:rPr>
          <w:rFonts w:eastAsia="Times New Roman"/>
          <w:sz w:val="26"/>
          <w:szCs w:val="26"/>
          <w:lang w:val="es-ES_tradnl" w:eastAsia="es-MX"/>
        </w:rPr>
      </w:pPr>
    </w:p>
    <w:p w14:paraId="39261077" w14:textId="77777777" w:rsidR="00512C3D" w:rsidRDefault="00512C3D" w:rsidP="004B0E95">
      <w:pPr>
        <w:spacing w:after="360" w:line="360" w:lineRule="auto"/>
        <w:ind w:right="-159"/>
        <w:jc w:val="both"/>
        <w:rPr>
          <w:rFonts w:eastAsia="Times New Roman"/>
          <w:sz w:val="26"/>
          <w:szCs w:val="26"/>
          <w:lang w:val="es-ES_tradnl" w:eastAsia="es-MX"/>
        </w:rPr>
      </w:pPr>
    </w:p>
    <w:p w14:paraId="56CD6E15" w14:textId="77777777" w:rsidR="004B0E95" w:rsidRDefault="004B0E95" w:rsidP="004B0E95">
      <w:pPr>
        <w:spacing w:after="360" w:line="360" w:lineRule="auto"/>
        <w:ind w:right="-159"/>
        <w:jc w:val="both"/>
        <w:rPr>
          <w:rFonts w:eastAsia="Times New Roman"/>
          <w:b/>
          <w:sz w:val="26"/>
          <w:szCs w:val="26"/>
          <w:lang w:val="es-ES_tradnl" w:eastAsia="es-MX"/>
        </w:rPr>
      </w:pPr>
      <w:r w:rsidRPr="004B0E95">
        <w:rPr>
          <w:rFonts w:eastAsia="Times New Roman"/>
          <w:b/>
          <w:sz w:val="26"/>
          <w:szCs w:val="26"/>
          <w:lang w:val="es-ES_tradnl" w:eastAsia="es-MX"/>
        </w:rPr>
        <w:lastRenderedPageBreak/>
        <w:t>Cifras originales:</w:t>
      </w:r>
    </w:p>
    <w:p w14:paraId="124BB061" w14:textId="3DDDDFB9" w:rsidR="003B7C68" w:rsidRDefault="00C17C57" w:rsidP="004B0E95">
      <w:pPr>
        <w:spacing w:after="360" w:line="360" w:lineRule="auto"/>
        <w:ind w:right="-159"/>
        <w:jc w:val="both"/>
        <w:rPr>
          <w:rFonts w:eastAsia="Times New Roman"/>
          <w:sz w:val="26"/>
          <w:szCs w:val="26"/>
          <w:lang w:val="es-ES_tradnl" w:eastAsia="es-MX"/>
        </w:rPr>
      </w:pPr>
      <w:r>
        <w:rPr>
          <w:rFonts w:eastAsia="Times New Roman"/>
          <w:sz w:val="26"/>
          <w:szCs w:val="26"/>
          <w:lang w:val="es-ES_tradnl" w:eastAsia="es-MX"/>
        </w:rPr>
        <w:t>E</w:t>
      </w:r>
      <w:r w:rsidR="00913569" w:rsidRPr="00913569">
        <w:rPr>
          <w:rFonts w:eastAsia="Times New Roman"/>
          <w:sz w:val="26"/>
          <w:szCs w:val="26"/>
          <w:lang w:val="es-ES_tradnl" w:eastAsia="es-MX"/>
        </w:rPr>
        <w:t xml:space="preserve">l Consumo Privado presentó un avance de </w:t>
      </w:r>
      <w:r w:rsidR="00913569">
        <w:rPr>
          <w:rFonts w:eastAsia="Times New Roman"/>
          <w:sz w:val="26"/>
          <w:szCs w:val="26"/>
          <w:lang w:val="es-ES_tradnl" w:eastAsia="es-MX"/>
        </w:rPr>
        <w:t>2.7</w:t>
      </w:r>
      <w:r w:rsidR="00913569" w:rsidRPr="00913569">
        <w:rPr>
          <w:rFonts w:eastAsia="Times New Roman"/>
          <w:sz w:val="26"/>
          <w:szCs w:val="26"/>
          <w:lang w:val="es-ES_tradnl" w:eastAsia="es-MX"/>
        </w:rPr>
        <w:t xml:space="preserve">% </w:t>
      </w:r>
      <w:r>
        <w:rPr>
          <w:rFonts w:eastAsia="Times New Roman"/>
          <w:sz w:val="26"/>
          <w:szCs w:val="26"/>
          <w:lang w:val="es-ES_tradnl" w:eastAsia="es-MX"/>
        </w:rPr>
        <w:t xml:space="preserve">y el Consumo de Gobierno creció 1.9% </w:t>
      </w:r>
      <w:r w:rsidR="00913569" w:rsidRPr="00913569">
        <w:rPr>
          <w:rFonts w:eastAsia="Times New Roman"/>
          <w:sz w:val="26"/>
          <w:szCs w:val="26"/>
          <w:lang w:val="es-ES_tradnl" w:eastAsia="es-MX"/>
        </w:rPr>
        <w:t>en el trimestre octubre-diciembre de 201</w:t>
      </w:r>
      <w:r w:rsidR="00913569">
        <w:rPr>
          <w:rFonts w:eastAsia="Times New Roman"/>
          <w:sz w:val="26"/>
          <w:szCs w:val="26"/>
          <w:lang w:val="es-ES_tradnl" w:eastAsia="es-MX"/>
        </w:rPr>
        <w:t>4</w:t>
      </w:r>
      <w:r w:rsidR="00913569" w:rsidRPr="00913569">
        <w:rPr>
          <w:rFonts w:eastAsia="Times New Roman"/>
          <w:sz w:val="26"/>
          <w:szCs w:val="26"/>
          <w:lang w:val="es-ES_tradnl" w:eastAsia="es-MX"/>
        </w:rPr>
        <w:t xml:space="preserve"> con relación al mismo trimestre del año anterior</w:t>
      </w:r>
      <w:r>
        <w:rPr>
          <w:rFonts w:eastAsia="Times New Roman"/>
          <w:sz w:val="26"/>
          <w:szCs w:val="26"/>
          <w:lang w:val="es-ES_tradnl" w:eastAsia="es-MX"/>
        </w:rPr>
        <w:t>.</w:t>
      </w:r>
    </w:p>
    <w:p w14:paraId="71669599" w14:textId="56BB3A46" w:rsidR="00BC4818" w:rsidRDefault="00BC4818" w:rsidP="00BC4818">
      <w:pPr>
        <w:spacing w:after="360" w:line="360" w:lineRule="auto"/>
        <w:ind w:right="-159"/>
        <w:jc w:val="center"/>
        <w:rPr>
          <w:rFonts w:eastAsia="Times New Roman"/>
          <w:sz w:val="26"/>
          <w:szCs w:val="26"/>
          <w:lang w:val="es-ES_tradnl" w:eastAsia="es-MX"/>
        </w:rPr>
      </w:pPr>
      <w:r w:rsidRPr="009C7217">
        <w:rPr>
          <w:rFonts w:ascii="Calibri" w:eastAsia="Calibri" w:hAnsi="Calibri"/>
          <w:sz w:val="22"/>
          <w:szCs w:val="22"/>
          <w:lang w:eastAsia="en-US"/>
        </w:rPr>
        <w:fldChar w:fldCharType="begin"/>
      </w:r>
      <w:r w:rsidRPr="009C7217">
        <w:rPr>
          <w:rFonts w:ascii="Calibri" w:eastAsia="Calibri" w:hAnsi="Calibri"/>
          <w:sz w:val="22"/>
          <w:szCs w:val="22"/>
          <w:lang w:eastAsia="en-US"/>
        </w:rPr>
        <w:instrText xml:space="preserve"> LINK PowerPoint.Slide.8 "D:\\2015\\ABRIL\\GRÁFICAS POWER POINT\\9.- GRÁFICAS DE OFERTA Y DEMANDA.pptx!258" "" \a \p </w:instrText>
      </w:r>
      <w:r w:rsidRPr="009C7217">
        <w:rPr>
          <w:rFonts w:ascii="Calibri" w:eastAsia="Calibri" w:hAnsi="Calibri"/>
          <w:sz w:val="22"/>
          <w:szCs w:val="22"/>
          <w:lang w:eastAsia="en-US"/>
        </w:rPr>
        <w:fldChar w:fldCharType="separate"/>
      </w:r>
      <w:r w:rsidRPr="009C7217">
        <w:rPr>
          <w:rFonts w:ascii="Calibri" w:eastAsia="Calibri" w:hAnsi="Calibri"/>
          <w:noProof/>
          <w:sz w:val="22"/>
          <w:szCs w:val="22"/>
          <w:lang w:eastAsia="es-MX"/>
        </w:rPr>
        <w:drawing>
          <wp:inline distT="0" distB="0" distL="0" distR="0" wp14:anchorId="67B77A20" wp14:editId="04D510A5">
            <wp:extent cx="4782185" cy="34290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89" cstate="print">
                      <a:extLst>
                        <a:ext uri="{28A0092B-C50C-407E-A947-70E740481C1C}">
                          <a14:useLocalDpi xmlns:a14="http://schemas.microsoft.com/office/drawing/2010/main" val="0"/>
                        </a:ext>
                      </a:extLst>
                    </a:blip>
                    <a:srcRect l="10016" r="11424"/>
                    <a:stretch>
                      <a:fillRect/>
                    </a:stretch>
                  </pic:blipFill>
                  <pic:spPr bwMode="auto">
                    <a:xfrm>
                      <a:off x="0" y="0"/>
                      <a:ext cx="4782185" cy="3429000"/>
                    </a:xfrm>
                    <a:prstGeom prst="rect">
                      <a:avLst/>
                    </a:prstGeom>
                    <a:noFill/>
                    <a:ln>
                      <a:noFill/>
                    </a:ln>
                  </pic:spPr>
                </pic:pic>
              </a:graphicData>
            </a:graphic>
          </wp:inline>
        </w:drawing>
      </w:r>
      <w:r w:rsidRPr="009C7217">
        <w:rPr>
          <w:rFonts w:ascii="Calibri" w:eastAsia="Calibri" w:hAnsi="Calibri"/>
          <w:sz w:val="22"/>
          <w:szCs w:val="22"/>
          <w:lang w:eastAsia="en-US"/>
        </w:rPr>
        <w:fldChar w:fldCharType="end"/>
      </w:r>
    </w:p>
    <w:p w14:paraId="4B87ACFB" w14:textId="77777777" w:rsidR="00BC4818" w:rsidRDefault="00BC4818" w:rsidP="00BC4818">
      <w:pPr>
        <w:spacing w:after="360" w:line="360" w:lineRule="auto"/>
        <w:ind w:right="-159"/>
        <w:jc w:val="center"/>
        <w:rPr>
          <w:rFonts w:eastAsia="Times New Roman"/>
          <w:sz w:val="26"/>
          <w:szCs w:val="26"/>
          <w:lang w:val="es-ES_tradnl" w:eastAsia="es-MX"/>
        </w:rPr>
      </w:pPr>
    </w:p>
    <w:p w14:paraId="11C1DA06" w14:textId="77777777" w:rsidR="00C17C57" w:rsidRDefault="00C17C57" w:rsidP="00BC4818">
      <w:pPr>
        <w:spacing w:after="360" w:line="360" w:lineRule="auto"/>
        <w:ind w:right="-159"/>
        <w:jc w:val="center"/>
        <w:rPr>
          <w:rFonts w:eastAsia="Times New Roman"/>
          <w:sz w:val="26"/>
          <w:szCs w:val="26"/>
          <w:lang w:val="es-ES_tradnl" w:eastAsia="es-MX"/>
        </w:rPr>
      </w:pPr>
    </w:p>
    <w:p w14:paraId="54D5DDDD" w14:textId="77777777" w:rsidR="00C17C57" w:rsidRDefault="00C17C57" w:rsidP="00BC4818">
      <w:pPr>
        <w:spacing w:after="360" w:line="360" w:lineRule="auto"/>
        <w:ind w:right="-159"/>
        <w:jc w:val="center"/>
        <w:rPr>
          <w:rFonts w:eastAsia="Times New Roman"/>
          <w:sz w:val="26"/>
          <w:szCs w:val="26"/>
          <w:lang w:val="es-ES_tradnl" w:eastAsia="es-MX"/>
        </w:rPr>
      </w:pPr>
    </w:p>
    <w:p w14:paraId="2BAD3E47" w14:textId="77777777" w:rsidR="00C17C57" w:rsidRDefault="00C17C57" w:rsidP="00BC4818">
      <w:pPr>
        <w:spacing w:after="360" w:line="360" w:lineRule="auto"/>
        <w:ind w:right="-159"/>
        <w:jc w:val="center"/>
        <w:rPr>
          <w:rFonts w:eastAsia="Times New Roman"/>
          <w:sz w:val="26"/>
          <w:szCs w:val="26"/>
          <w:lang w:val="es-ES_tradnl" w:eastAsia="es-MX"/>
        </w:rPr>
      </w:pPr>
    </w:p>
    <w:p w14:paraId="303AFF36" w14:textId="77777777" w:rsidR="00C17C57" w:rsidRDefault="00C17C57" w:rsidP="00BC4818">
      <w:pPr>
        <w:spacing w:after="360" w:line="360" w:lineRule="auto"/>
        <w:ind w:right="-159"/>
        <w:jc w:val="center"/>
        <w:rPr>
          <w:rFonts w:eastAsia="Times New Roman"/>
          <w:sz w:val="26"/>
          <w:szCs w:val="26"/>
          <w:lang w:val="es-ES_tradnl" w:eastAsia="es-MX"/>
        </w:rPr>
      </w:pPr>
    </w:p>
    <w:p w14:paraId="625D9727" w14:textId="77777777" w:rsidR="00C17C57" w:rsidRDefault="00C17C57" w:rsidP="00BC4818">
      <w:pPr>
        <w:spacing w:after="360" w:line="360" w:lineRule="auto"/>
        <w:ind w:right="-159"/>
        <w:jc w:val="center"/>
        <w:rPr>
          <w:rFonts w:eastAsia="Times New Roman"/>
          <w:sz w:val="26"/>
          <w:szCs w:val="26"/>
          <w:lang w:val="es-ES_tradnl" w:eastAsia="es-MX"/>
        </w:rPr>
      </w:pPr>
    </w:p>
    <w:p w14:paraId="3B7C9985" w14:textId="77777777" w:rsidR="00C17C57" w:rsidRPr="003B7C68" w:rsidRDefault="00C17C57" w:rsidP="00BC4818">
      <w:pPr>
        <w:spacing w:after="360" w:line="360" w:lineRule="auto"/>
        <w:ind w:right="-159"/>
        <w:jc w:val="center"/>
        <w:rPr>
          <w:rFonts w:eastAsia="Times New Roman"/>
          <w:sz w:val="26"/>
          <w:szCs w:val="26"/>
          <w:lang w:val="es-ES_tradnl" w:eastAsia="es-MX"/>
        </w:rPr>
      </w:pPr>
    </w:p>
    <w:tbl>
      <w:tblPr>
        <w:tblW w:w="6662" w:type="dxa"/>
        <w:jc w:val="center"/>
        <w:tblLayout w:type="fixed"/>
        <w:tblLook w:val="04A0" w:firstRow="1" w:lastRow="0" w:firstColumn="1" w:lastColumn="0" w:noHBand="0" w:noVBand="1"/>
      </w:tblPr>
      <w:tblGrid>
        <w:gridCol w:w="3119"/>
        <w:gridCol w:w="850"/>
        <w:gridCol w:w="851"/>
        <w:gridCol w:w="850"/>
        <w:gridCol w:w="981"/>
        <w:gridCol w:w="11"/>
      </w:tblGrid>
      <w:tr w:rsidR="004B0E95" w:rsidRPr="004B0E95" w14:paraId="082472AC" w14:textId="77777777" w:rsidTr="004B0E95">
        <w:trPr>
          <w:gridAfter w:val="1"/>
          <w:wAfter w:w="11" w:type="dxa"/>
          <w:jc w:val="center"/>
        </w:trPr>
        <w:tc>
          <w:tcPr>
            <w:tcW w:w="6651" w:type="dxa"/>
            <w:gridSpan w:val="5"/>
            <w:tcBorders>
              <w:top w:val="nil"/>
              <w:left w:val="nil"/>
              <w:right w:val="nil"/>
            </w:tcBorders>
          </w:tcPr>
          <w:p w14:paraId="2204EDFA"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 xml:space="preserve">OFERTA Y DEMANDA GLOBAL DE BIENES Y SERVICIOS </w:t>
            </w:r>
          </w:p>
          <w:p w14:paraId="322A5B33"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AL CUARTO TRIMESTRE DE 2014</w:t>
            </w:r>
          </w:p>
          <w:p w14:paraId="1DF98307" w14:textId="77777777" w:rsidR="004B0E95" w:rsidRPr="004B0E95" w:rsidRDefault="004B0E95" w:rsidP="004B0E95">
            <w:pPr>
              <w:tabs>
                <w:tab w:val="left" w:pos="1250"/>
              </w:tabs>
              <w:ind w:right="57"/>
              <w:jc w:val="center"/>
              <w:rPr>
                <w:rFonts w:eastAsia="Times New Roman"/>
                <w:sz w:val="20"/>
                <w:szCs w:val="20"/>
                <w:lang w:eastAsia="es-MX"/>
              </w:rPr>
            </w:pPr>
            <w:r w:rsidRPr="004B0E95">
              <w:rPr>
                <w:rFonts w:eastAsia="Times New Roman"/>
                <w:b/>
                <w:sz w:val="22"/>
                <w:szCs w:val="22"/>
                <w:lang w:eastAsia="es-MX"/>
              </w:rPr>
              <w:t>-Variación porcentual real respecto al mismo período del año anterior-</w:t>
            </w:r>
          </w:p>
        </w:tc>
      </w:tr>
      <w:tr w:rsidR="004B0E95" w:rsidRPr="004B0E95" w14:paraId="18FD71AC" w14:textId="77777777" w:rsidTr="00C17C57">
        <w:trPr>
          <w:jc w:val="center"/>
        </w:trPr>
        <w:tc>
          <w:tcPr>
            <w:tcW w:w="3119" w:type="dxa"/>
            <w:vMerge w:val="restart"/>
            <w:tcBorders>
              <w:top w:val="single" w:sz="4" w:space="0" w:color="auto"/>
              <w:left w:val="single" w:sz="4" w:space="0" w:color="auto"/>
              <w:bottom w:val="single" w:sz="4" w:space="0" w:color="auto"/>
              <w:right w:val="single" w:sz="4" w:space="0" w:color="auto"/>
            </w:tcBorders>
            <w:vAlign w:val="center"/>
          </w:tcPr>
          <w:p w14:paraId="794FDCC4"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Concepto</w:t>
            </w:r>
          </w:p>
        </w:tc>
        <w:tc>
          <w:tcPr>
            <w:tcW w:w="3543" w:type="dxa"/>
            <w:gridSpan w:val="5"/>
            <w:tcBorders>
              <w:top w:val="single" w:sz="4" w:space="0" w:color="auto"/>
              <w:left w:val="single" w:sz="4" w:space="0" w:color="auto"/>
              <w:bottom w:val="single" w:sz="4" w:space="0" w:color="auto"/>
              <w:right w:val="single" w:sz="4" w:space="0" w:color="auto"/>
            </w:tcBorders>
          </w:tcPr>
          <w:p w14:paraId="07D53275"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2014</w:t>
            </w:r>
            <w:r w:rsidRPr="004B0E95">
              <w:rPr>
                <w:rFonts w:eastAsia="Times New Roman"/>
                <w:b/>
                <w:sz w:val="20"/>
                <w:szCs w:val="20"/>
                <w:u w:val="single"/>
                <w:vertAlign w:val="superscript"/>
                <w:lang w:eastAsia="es-MX"/>
              </w:rPr>
              <w:t>R</w:t>
            </w:r>
            <w:r w:rsidRPr="004B0E95">
              <w:rPr>
                <w:rFonts w:eastAsia="Times New Roman"/>
                <w:b/>
                <w:sz w:val="20"/>
                <w:szCs w:val="20"/>
                <w:vertAlign w:val="superscript"/>
                <w:lang w:eastAsia="es-MX"/>
              </w:rPr>
              <w:t>/</w:t>
            </w:r>
          </w:p>
        </w:tc>
      </w:tr>
      <w:tr w:rsidR="004B0E95" w:rsidRPr="004B0E95" w14:paraId="4A1FCB2E" w14:textId="77777777" w:rsidTr="00C17C57">
        <w:trPr>
          <w:jc w:val="center"/>
        </w:trPr>
        <w:tc>
          <w:tcPr>
            <w:tcW w:w="3119" w:type="dxa"/>
            <w:vMerge/>
            <w:tcBorders>
              <w:top w:val="single" w:sz="4" w:space="0" w:color="auto"/>
              <w:left w:val="single" w:sz="4" w:space="0" w:color="auto"/>
              <w:bottom w:val="single" w:sz="4" w:space="0" w:color="auto"/>
              <w:right w:val="single" w:sz="4" w:space="0" w:color="auto"/>
            </w:tcBorders>
          </w:tcPr>
          <w:p w14:paraId="4DFE8BAE" w14:textId="77777777" w:rsidR="004B0E95" w:rsidRPr="004B0E95" w:rsidRDefault="004B0E95" w:rsidP="004B0E95">
            <w:pPr>
              <w:tabs>
                <w:tab w:val="left" w:pos="1250"/>
              </w:tabs>
              <w:ind w:right="57"/>
              <w:rPr>
                <w:rFonts w:eastAsia="Times New Roman"/>
                <w:b/>
                <w:sz w:val="20"/>
                <w:szCs w:val="20"/>
                <w:lang w:eastAsia="es-MX"/>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394174E4"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Trimestres</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tcPr>
          <w:p w14:paraId="1F2E3123"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Anual</w:t>
            </w:r>
          </w:p>
        </w:tc>
      </w:tr>
      <w:tr w:rsidR="004B0E95" w:rsidRPr="004B0E95" w14:paraId="01B19CBF" w14:textId="77777777" w:rsidTr="00C17C57">
        <w:trPr>
          <w:jc w:val="center"/>
        </w:trPr>
        <w:tc>
          <w:tcPr>
            <w:tcW w:w="3119" w:type="dxa"/>
            <w:vMerge/>
            <w:tcBorders>
              <w:top w:val="single" w:sz="4" w:space="0" w:color="auto"/>
              <w:left w:val="single" w:sz="4" w:space="0" w:color="auto"/>
              <w:bottom w:val="single" w:sz="4" w:space="0" w:color="auto"/>
              <w:right w:val="single" w:sz="4" w:space="0" w:color="auto"/>
            </w:tcBorders>
          </w:tcPr>
          <w:p w14:paraId="40C277C8" w14:textId="77777777" w:rsidR="004B0E95" w:rsidRPr="004B0E95" w:rsidRDefault="004B0E95" w:rsidP="004B0E95">
            <w:pPr>
              <w:tabs>
                <w:tab w:val="left" w:pos="1250"/>
              </w:tabs>
              <w:ind w:right="57"/>
              <w:rPr>
                <w:rFonts w:eastAsia="Times New Roman"/>
                <w:sz w:val="20"/>
                <w:szCs w:val="20"/>
                <w:lang w:eastAsia="es-MX"/>
              </w:rPr>
            </w:pPr>
          </w:p>
        </w:tc>
        <w:tc>
          <w:tcPr>
            <w:tcW w:w="850" w:type="dxa"/>
            <w:tcBorders>
              <w:top w:val="single" w:sz="4" w:space="0" w:color="auto"/>
              <w:left w:val="single" w:sz="4" w:space="0" w:color="auto"/>
              <w:bottom w:val="single" w:sz="4" w:space="0" w:color="auto"/>
              <w:right w:val="single" w:sz="4" w:space="0" w:color="auto"/>
            </w:tcBorders>
          </w:tcPr>
          <w:p w14:paraId="7F7A05D9" w14:textId="77777777" w:rsidR="004B0E95" w:rsidRPr="004B0E95" w:rsidRDefault="004B0E95" w:rsidP="004B0E95">
            <w:pPr>
              <w:tabs>
                <w:tab w:val="left" w:pos="1250"/>
              </w:tabs>
              <w:jc w:val="center"/>
              <w:rPr>
                <w:rFonts w:eastAsia="Times New Roman"/>
                <w:b/>
                <w:sz w:val="20"/>
                <w:szCs w:val="20"/>
                <w:lang w:eastAsia="es-MX"/>
              </w:rPr>
            </w:pPr>
            <w:r w:rsidRPr="004B0E95">
              <w:rPr>
                <w:rFonts w:eastAsia="Times New Roman"/>
                <w:b/>
                <w:sz w:val="20"/>
                <w:szCs w:val="20"/>
                <w:lang w:eastAsia="es-MX"/>
              </w:rPr>
              <w:t>II</w:t>
            </w:r>
          </w:p>
        </w:tc>
        <w:tc>
          <w:tcPr>
            <w:tcW w:w="851" w:type="dxa"/>
            <w:tcBorders>
              <w:top w:val="single" w:sz="4" w:space="0" w:color="auto"/>
              <w:left w:val="single" w:sz="4" w:space="0" w:color="auto"/>
              <w:bottom w:val="single" w:sz="4" w:space="0" w:color="auto"/>
              <w:right w:val="single" w:sz="4" w:space="0" w:color="auto"/>
            </w:tcBorders>
          </w:tcPr>
          <w:p w14:paraId="073F6001" w14:textId="77777777" w:rsidR="004B0E95" w:rsidRPr="004B0E95" w:rsidRDefault="004B0E95" w:rsidP="004B0E95">
            <w:pPr>
              <w:tabs>
                <w:tab w:val="left" w:pos="1250"/>
              </w:tabs>
              <w:jc w:val="center"/>
              <w:rPr>
                <w:rFonts w:eastAsia="Times New Roman"/>
                <w:b/>
                <w:sz w:val="20"/>
                <w:szCs w:val="20"/>
                <w:lang w:eastAsia="es-MX"/>
              </w:rPr>
            </w:pPr>
            <w:r w:rsidRPr="004B0E95">
              <w:rPr>
                <w:rFonts w:eastAsia="Times New Roman"/>
                <w:b/>
                <w:sz w:val="20"/>
                <w:szCs w:val="20"/>
                <w:lang w:eastAsia="es-MX"/>
              </w:rPr>
              <w:t>III</w:t>
            </w:r>
          </w:p>
        </w:tc>
        <w:tc>
          <w:tcPr>
            <w:tcW w:w="850" w:type="dxa"/>
            <w:tcBorders>
              <w:top w:val="single" w:sz="4" w:space="0" w:color="auto"/>
              <w:left w:val="single" w:sz="4" w:space="0" w:color="auto"/>
              <w:bottom w:val="single" w:sz="4" w:space="0" w:color="auto"/>
              <w:right w:val="single" w:sz="4" w:space="0" w:color="auto"/>
            </w:tcBorders>
          </w:tcPr>
          <w:p w14:paraId="2552B7BE" w14:textId="77777777" w:rsidR="004B0E95" w:rsidRPr="004B0E95" w:rsidRDefault="004B0E95" w:rsidP="004B0E95">
            <w:pPr>
              <w:tabs>
                <w:tab w:val="left" w:pos="1250"/>
              </w:tabs>
              <w:jc w:val="center"/>
              <w:rPr>
                <w:rFonts w:eastAsia="Times New Roman"/>
                <w:b/>
                <w:sz w:val="20"/>
                <w:szCs w:val="20"/>
                <w:lang w:eastAsia="es-MX"/>
              </w:rPr>
            </w:pPr>
            <w:r w:rsidRPr="004B0E95">
              <w:rPr>
                <w:rFonts w:eastAsia="Times New Roman"/>
                <w:b/>
                <w:sz w:val="20"/>
                <w:szCs w:val="20"/>
                <w:lang w:eastAsia="es-MX"/>
              </w:rPr>
              <w:t>IV</w:t>
            </w:r>
            <w:r w:rsidRPr="004B0E95">
              <w:rPr>
                <w:rFonts w:eastAsia="Times New Roman"/>
                <w:b/>
                <w:sz w:val="20"/>
                <w:szCs w:val="20"/>
                <w:u w:val="single"/>
                <w:vertAlign w:val="superscript"/>
                <w:lang w:eastAsia="es-MX"/>
              </w:rPr>
              <w:t>p</w:t>
            </w:r>
            <w:r w:rsidRPr="004B0E95">
              <w:rPr>
                <w:rFonts w:eastAsia="Times New Roman"/>
                <w:b/>
                <w:sz w:val="20"/>
                <w:szCs w:val="20"/>
                <w:vertAlign w:val="superscript"/>
                <w:lang w:eastAsia="es-MX"/>
              </w:rPr>
              <w:t>/</w:t>
            </w:r>
          </w:p>
        </w:tc>
        <w:tc>
          <w:tcPr>
            <w:tcW w:w="992" w:type="dxa"/>
            <w:gridSpan w:val="2"/>
            <w:vMerge/>
            <w:tcBorders>
              <w:top w:val="single" w:sz="4" w:space="0" w:color="auto"/>
              <w:left w:val="single" w:sz="4" w:space="0" w:color="auto"/>
              <w:bottom w:val="single" w:sz="4" w:space="0" w:color="auto"/>
              <w:right w:val="single" w:sz="4" w:space="0" w:color="auto"/>
            </w:tcBorders>
          </w:tcPr>
          <w:p w14:paraId="715FC265" w14:textId="77777777" w:rsidR="004B0E95" w:rsidRPr="004B0E95" w:rsidRDefault="004B0E95" w:rsidP="004B0E95">
            <w:pPr>
              <w:tabs>
                <w:tab w:val="left" w:pos="1250"/>
              </w:tabs>
              <w:ind w:right="57"/>
              <w:jc w:val="center"/>
              <w:rPr>
                <w:rFonts w:eastAsia="Times New Roman"/>
                <w:b/>
                <w:sz w:val="20"/>
                <w:szCs w:val="20"/>
                <w:lang w:eastAsia="es-MX"/>
              </w:rPr>
            </w:pPr>
          </w:p>
        </w:tc>
      </w:tr>
      <w:tr w:rsidR="004B0E95" w:rsidRPr="004B0E95" w14:paraId="47EC2F63" w14:textId="77777777" w:rsidTr="00C17C57">
        <w:trPr>
          <w:jc w:val="center"/>
        </w:trPr>
        <w:tc>
          <w:tcPr>
            <w:tcW w:w="3119" w:type="dxa"/>
            <w:tcBorders>
              <w:top w:val="single" w:sz="4" w:space="0" w:color="auto"/>
              <w:left w:val="single" w:sz="4" w:space="0" w:color="auto"/>
              <w:bottom w:val="nil"/>
              <w:right w:val="single" w:sz="4" w:space="0" w:color="auto"/>
            </w:tcBorders>
          </w:tcPr>
          <w:p w14:paraId="15D70F33"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Producto Interno Bruto </w:t>
            </w:r>
          </w:p>
        </w:tc>
        <w:tc>
          <w:tcPr>
            <w:tcW w:w="850" w:type="dxa"/>
            <w:tcBorders>
              <w:top w:val="single" w:sz="4" w:space="0" w:color="auto"/>
              <w:left w:val="single" w:sz="4" w:space="0" w:color="auto"/>
              <w:bottom w:val="nil"/>
              <w:right w:val="single" w:sz="4" w:space="0" w:color="auto"/>
            </w:tcBorders>
          </w:tcPr>
          <w:p w14:paraId="766ED9C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1.6</w:t>
            </w:r>
          </w:p>
        </w:tc>
        <w:tc>
          <w:tcPr>
            <w:tcW w:w="851" w:type="dxa"/>
            <w:tcBorders>
              <w:top w:val="single" w:sz="4" w:space="0" w:color="auto"/>
              <w:left w:val="single" w:sz="4" w:space="0" w:color="auto"/>
              <w:bottom w:val="nil"/>
              <w:right w:val="single" w:sz="4" w:space="0" w:color="auto"/>
            </w:tcBorders>
          </w:tcPr>
          <w:p w14:paraId="15A51490"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2.2</w:t>
            </w:r>
          </w:p>
        </w:tc>
        <w:tc>
          <w:tcPr>
            <w:tcW w:w="850" w:type="dxa"/>
            <w:tcBorders>
              <w:top w:val="single" w:sz="4" w:space="0" w:color="auto"/>
              <w:left w:val="single" w:sz="4" w:space="0" w:color="auto"/>
              <w:bottom w:val="nil"/>
              <w:right w:val="single" w:sz="4" w:space="0" w:color="auto"/>
            </w:tcBorders>
          </w:tcPr>
          <w:p w14:paraId="7912A290"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2.6</w:t>
            </w:r>
          </w:p>
        </w:tc>
        <w:tc>
          <w:tcPr>
            <w:tcW w:w="992" w:type="dxa"/>
            <w:gridSpan w:val="2"/>
            <w:tcBorders>
              <w:top w:val="single" w:sz="4" w:space="0" w:color="auto"/>
              <w:left w:val="single" w:sz="4" w:space="0" w:color="auto"/>
              <w:bottom w:val="nil"/>
              <w:right w:val="single" w:sz="4" w:space="0" w:color="auto"/>
            </w:tcBorders>
          </w:tcPr>
          <w:p w14:paraId="5AF36EBD" w14:textId="77777777" w:rsidR="004B0E95" w:rsidRPr="004B0E95" w:rsidRDefault="004B0E95" w:rsidP="004B0E95">
            <w:pPr>
              <w:tabs>
                <w:tab w:val="left" w:pos="1250"/>
              </w:tabs>
              <w:ind w:right="284"/>
              <w:jc w:val="right"/>
              <w:rPr>
                <w:rFonts w:eastAsia="Times New Roman"/>
                <w:b/>
                <w:sz w:val="20"/>
                <w:szCs w:val="20"/>
                <w:lang w:eastAsia="es-MX"/>
              </w:rPr>
            </w:pPr>
            <w:r w:rsidRPr="004B0E95">
              <w:rPr>
                <w:rFonts w:eastAsia="Times New Roman"/>
                <w:b/>
                <w:sz w:val="20"/>
                <w:szCs w:val="20"/>
                <w:lang w:eastAsia="es-MX"/>
              </w:rPr>
              <w:t>2.1</w:t>
            </w:r>
          </w:p>
        </w:tc>
      </w:tr>
      <w:tr w:rsidR="004B0E95" w:rsidRPr="004B0E95" w14:paraId="2C5B8150" w14:textId="77777777" w:rsidTr="00C17C57">
        <w:trPr>
          <w:jc w:val="center"/>
        </w:trPr>
        <w:tc>
          <w:tcPr>
            <w:tcW w:w="3119" w:type="dxa"/>
            <w:tcBorders>
              <w:top w:val="nil"/>
              <w:left w:val="single" w:sz="4" w:space="0" w:color="auto"/>
              <w:bottom w:val="nil"/>
              <w:right w:val="single" w:sz="4" w:space="0" w:color="auto"/>
            </w:tcBorders>
          </w:tcPr>
          <w:p w14:paraId="4AE2C3ED"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Importación de bienes y servicios</w:t>
            </w:r>
          </w:p>
        </w:tc>
        <w:tc>
          <w:tcPr>
            <w:tcW w:w="850" w:type="dxa"/>
            <w:tcBorders>
              <w:top w:val="nil"/>
              <w:left w:val="single" w:sz="4" w:space="0" w:color="auto"/>
              <w:bottom w:val="nil"/>
              <w:right w:val="single" w:sz="4" w:space="0" w:color="auto"/>
            </w:tcBorders>
          </w:tcPr>
          <w:p w14:paraId="78834891"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3.3</w:t>
            </w:r>
          </w:p>
        </w:tc>
        <w:tc>
          <w:tcPr>
            <w:tcW w:w="851" w:type="dxa"/>
            <w:tcBorders>
              <w:top w:val="nil"/>
              <w:left w:val="single" w:sz="4" w:space="0" w:color="auto"/>
              <w:bottom w:val="nil"/>
              <w:right w:val="single" w:sz="4" w:space="0" w:color="auto"/>
            </w:tcBorders>
          </w:tcPr>
          <w:p w14:paraId="5F83CAF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6.0</w:t>
            </w:r>
          </w:p>
        </w:tc>
        <w:tc>
          <w:tcPr>
            <w:tcW w:w="850" w:type="dxa"/>
            <w:tcBorders>
              <w:top w:val="nil"/>
              <w:left w:val="single" w:sz="4" w:space="0" w:color="auto"/>
              <w:bottom w:val="nil"/>
              <w:right w:val="single" w:sz="4" w:space="0" w:color="auto"/>
            </w:tcBorders>
          </w:tcPr>
          <w:p w14:paraId="5E0EACAA"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8.1</w:t>
            </w:r>
          </w:p>
        </w:tc>
        <w:tc>
          <w:tcPr>
            <w:tcW w:w="992" w:type="dxa"/>
            <w:gridSpan w:val="2"/>
            <w:tcBorders>
              <w:top w:val="nil"/>
              <w:left w:val="single" w:sz="4" w:space="0" w:color="auto"/>
              <w:bottom w:val="nil"/>
              <w:right w:val="single" w:sz="4" w:space="0" w:color="auto"/>
            </w:tcBorders>
          </w:tcPr>
          <w:p w14:paraId="7402D969"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5.7</w:t>
            </w:r>
          </w:p>
        </w:tc>
      </w:tr>
      <w:tr w:rsidR="004B0E95" w:rsidRPr="004B0E95" w14:paraId="3B272BCA" w14:textId="77777777" w:rsidTr="00C17C57">
        <w:trPr>
          <w:jc w:val="center"/>
        </w:trPr>
        <w:tc>
          <w:tcPr>
            <w:tcW w:w="3119" w:type="dxa"/>
            <w:tcBorders>
              <w:top w:val="nil"/>
              <w:left w:val="single" w:sz="4" w:space="0" w:color="auto"/>
              <w:bottom w:val="nil"/>
              <w:right w:val="single" w:sz="4" w:space="0" w:color="auto"/>
            </w:tcBorders>
          </w:tcPr>
          <w:p w14:paraId="4D7CB0C1"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Oferta y Demanda</w:t>
            </w:r>
          </w:p>
        </w:tc>
        <w:tc>
          <w:tcPr>
            <w:tcW w:w="850" w:type="dxa"/>
            <w:tcBorders>
              <w:top w:val="nil"/>
              <w:left w:val="single" w:sz="4" w:space="0" w:color="auto"/>
              <w:bottom w:val="nil"/>
              <w:right w:val="single" w:sz="4" w:space="0" w:color="auto"/>
            </w:tcBorders>
          </w:tcPr>
          <w:p w14:paraId="4395BC06"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2.0</w:t>
            </w:r>
          </w:p>
        </w:tc>
        <w:tc>
          <w:tcPr>
            <w:tcW w:w="851" w:type="dxa"/>
            <w:tcBorders>
              <w:top w:val="nil"/>
              <w:left w:val="single" w:sz="4" w:space="0" w:color="auto"/>
              <w:bottom w:val="nil"/>
              <w:right w:val="single" w:sz="4" w:space="0" w:color="auto"/>
            </w:tcBorders>
          </w:tcPr>
          <w:p w14:paraId="625AF8D6"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3.2</w:t>
            </w:r>
          </w:p>
        </w:tc>
        <w:tc>
          <w:tcPr>
            <w:tcW w:w="850" w:type="dxa"/>
            <w:tcBorders>
              <w:top w:val="nil"/>
              <w:left w:val="single" w:sz="4" w:space="0" w:color="auto"/>
              <w:bottom w:val="nil"/>
              <w:right w:val="single" w:sz="4" w:space="0" w:color="auto"/>
            </w:tcBorders>
          </w:tcPr>
          <w:p w14:paraId="57090E98"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4.0</w:t>
            </w:r>
          </w:p>
        </w:tc>
        <w:tc>
          <w:tcPr>
            <w:tcW w:w="992" w:type="dxa"/>
            <w:gridSpan w:val="2"/>
            <w:tcBorders>
              <w:top w:val="nil"/>
              <w:left w:val="single" w:sz="4" w:space="0" w:color="auto"/>
              <w:bottom w:val="nil"/>
              <w:right w:val="single" w:sz="4" w:space="0" w:color="auto"/>
            </w:tcBorders>
          </w:tcPr>
          <w:p w14:paraId="1181C9CB"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3.0</w:t>
            </w:r>
          </w:p>
        </w:tc>
      </w:tr>
      <w:tr w:rsidR="004B0E95" w:rsidRPr="004B0E95" w14:paraId="0CE0B16A" w14:textId="77777777" w:rsidTr="00C17C57">
        <w:trPr>
          <w:jc w:val="center"/>
        </w:trPr>
        <w:tc>
          <w:tcPr>
            <w:tcW w:w="3119" w:type="dxa"/>
            <w:tcBorders>
              <w:top w:val="nil"/>
              <w:left w:val="single" w:sz="4" w:space="0" w:color="auto"/>
              <w:bottom w:val="nil"/>
              <w:right w:val="single" w:sz="4" w:space="0" w:color="auto"/>
            </w:tcBorders>
          </w:tcPr>
          <w:p w14:paraId="68C7C351"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Privado</w:t>
            </w:r>
          </w:p>
        </w:tc>
        <w:tc>
          <w:tcPr>
            <w:tcW w:w="850" w:type="dxa"/>
            <w:tcBorders>
              <w:top w:val="nil"/>
              <w:left w:val="single" w:sz="4" w:space="0" w:color="auto"/>
              <w:bottom w:val="nil"/>
              <w:right w:val="single" w:sz="4" w:space="0" w:color="auto"/>
            </w:tcBorders>
          </w:tcPr>
          <w:p w14:paraId="529CD995"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1.3</w:t>
            </w:r>
          </w:p>
        </w:tc>
        <w:tc>
          <w:tcPr>
            <w:tcW w:w="851" w:type="dxa"/>
            <w:tcBorders>
              <w:top w:val="nil"/>
              <w:left w:val="single" w:sz="4" w:space="0" w:color="auto"/>
              <w:bottom w:val="nil"/>
              <w:right w:val="single" w:sz="4" w:space="0" w:color="auto"/>
            </w:tcBorders>
          </w:tcPr>
          <w:p w14:paraId="66541D31"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2.2</w:t>
            </w:r>
          </w:p>
        </w:tc>
        <w:tc>
          <w:tcPr>
            <w:tcW w:w="850" w:type="dxa"/>
            <w:tcBorders>
              <w:top w:val="nil"/>
              <w:left w:val="single" w:sz="4" w:space="0" w:color="auto"/>
              <w:bottom w:val="nil"/>
              <w:right w:val="single" w:sz="4" w:space="0" w:color="auto"/>
            </w:tcBorders>
          </w:tcPr>
          <w:p w14:paraId="43F0C880"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2.7</w:t>
            </w:r>
          </w:p>
        </w:tc>
        <w:tc>
          <w:tcPr>
            <w:tcW w:w="992" w:type="dxa"/>
            <w:gridSpan w:val="2"/>
            <w:tcBorders>
              <w:top w:val="nil"/>
              <w:left w:val="single" w:sz="4" w:space="0" w:color="auto"/>
              <w:bottom w:val="nil"/>
              <w:right w:val="single" w:sz="4" w:space="0" w:color="auto"/>
            </w:tcBorders>
          </w:tcPr>
          <w:p w14:paraId="0748BF54"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2.0</w:t>
            </w:r>
          </w:p>
        </w:tc>
      </w:tr>
      <w:tr w:rsidR="004B0E95" w:rsidRPr="004B0E95" w14:paraId="2010963E" w14:textId="77777777" w:rsidTr="00C17C57">
        <w:trPr>
          <w:jc w:val="center"/>
        </w:trPr>
        <w:tc>
          <w:tcPr>
            <w:tcW w:w="3119" w:type="dxa"/>
            <w:tcBorders>
              <w:top w:val="nil"/>
              <w:left w:val="single" w:sz="4" w:space="0" w:color="auto"/>
              <w:bottom w:val="nil"/>
              <w:right w:val="single" w:sz="4" w:space="0" w:color="auto"/>
            </w:tcBorders>
          </w:tcPr>
          <w:p w14:paraId="2302F651"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de Gobierno</w:t>
            </w:r>
          </w:p>
        </w:tc>
        <w:tc>
          <w:tcPr>
            <w:tcW w:w="850" w:type="dxa"/>
            <w:tcBorders>
              <w:top w:val="nil"/>
              <w:left w:val="single" w:sz="4" w:space="0" w:color="auto"/>
              <w:bottom w:val="nil"/>
              <w:right w:val="single" w:sz="4" w:space="0" w:color="auto"/>
            </w:tcBorders>
          </w:tcPr>
          <w:p w14:paraId="43B04DDA"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1.9</w:t>
            </w:r>
          </w:p>
        </w:tc>
        <w:tc>
          <w:tcPr>
            <w:tcW w:w="851" w:type="dxa"/>
            <w:tcBorders>
              <w:top w:val="nil"/>
              <w:left w:val="single" w:sz="4" w:space="0" w:color="auto"/>
              <w:bottom w:val="nil"/>
              <w:right w:val="single" w:sz="4" w:space="0" w:color="auto"/>
            </w:tcBorders>
          </w:tcPr>
          <w:p w14:paraId="5DA78886"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3.2</w:t>
            </w:r>
          </w:p>
        </w:tc>
        <w:tc>
          <w:tcPr>
            <w:tcW w:w="850" w:type="dxa"/>
            <w:tcBorders>
              <w:top w:val="nil"/>
              <w:left w:val="single" w:sz="4" w:space="0" w:color="auto"/>
              <w:bottom w:val="nil"/>
              <w:right w:val="single" w:sz="4" w:space="0" w:color="auto"/>
            </w:tcBorders>
          </w:tcPr>
          <w:p w14:paraId="7F2D5ED5"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1.9</w:t>
            </w:r>
          </w:p>
        </w:tc>
        <w:tc>
          <w:tcPr>
            <w:tcW w:w="992" w:type="dxa"/>
            <w:gridSpan w:val="2"/>
            <w:tcBorders>
              <w:top w:val="nil"/>
              <w:left w:val="single" w:sz="4" w:space="0" w:color="auto"/>
              <w:bottom w:val="nil"/>
              <w:right w:val="single" w:sz="4" w:space="0" w:color="auto"/>
            </w:tcBorders>
          </w:tcPr>
          <w:p w14:paraId="0A9C0FA3"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2.5</w:t>
            </w:r>
          </w:p>
        </w:tc>
      </w:tr>
      <w:tr w:rsidR="004B0E95" w:rsidRPr="004B0E95" w14:paraId="6527C9C8" w14:textId="77777777" w:rsidTr="00C17C57">
        <w:trPr>
          <w:jc w:val="center"/>
        </w:trPr>
        <w:tc>
          <w:tcPr>
            <w:tcW w:w="3119" w:type="dxa"/>
            <w:tcBorders>
              <w:top w:val="nil"/>
              <w:left w:val="single" w:sz="4" w:space="0" w:color="auto"/>
              <w:bottom w:val="nil"/>
              <w:right w:val="single" w:sz="4" w:space="0" w:color="auto"/>
            </w:tcBorders>
          </w:tcPr>
          <w:p w14:paraId="37607A94"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Formación Bruta de Capital Fijo</w:t>
            </w:r>
          </w:p>
        </w:tc>
        <w:tc>
          <w:tcPr>
            <w:tcW w:w="850" w:type="dxa"/>
            <w:tcBorders>
              <w:top w:val="nil"/>
              <w:left w:val="single" w:sz="4" w:space="0" w:color="auto"/>
              <w:bottom w:val="nil"/>
              <w:right w:val="single" w:sz="4" w:space="0" w:color="auto"/>
            </w:tcBorders>
          </w:tcPr>
          <w:p w14:paraId="0B4B4022"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-0.7</w:t>
            </w:r>
          </w:p>
        </w:tc>
        <w:tc>
          <w:tcPr>
            <w:tcW w:w="851" w:type="dxa"/>
            <w:tcBorders>
              <w:top w:val="nil"/>
              <w:left w:val="single" w:sz="4" w:space="0" w:color="auto"/>
              <w:bottom w:val="nil"/>
              <w:right w:val="single" w:sz="4" w:space="0" w:color="auto"/>
            </w:tcBorders>
          </w:tcPr>
          <w:p w14:paraId="60E80CF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4.3</w:t>
            </w:r>
          </w:p>
        </w:tc>
        <w:tc>
          <w:tcPr>
            <w:tcW w:w="850" w:type="dxa"/>
            <w:tcBorders>
              <w:top w:val="nil"/>
              <w:left w:val="single" w:sz="4" w:space="0" w:color="auto"/>
              <w:bottom w:val="nil"/>
              <w:right w:val="single" w:sz="4" w:space="0" w:color="auto"/>
            </w:tcBorders>
          </w:tcPr>
          <w:p w14:paraId="4145B3B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5.8</w:t>
            </w:r>
          </w:p>
        </w:tc>
        <w:tc>
          <w:tcPr>
            <w:tcW w:w="992" w:type="dxa"/>
            <w:gridSpan w:val="2"/>
            <w:tcBorders>
              <w:top w:val="nil"/>
              <w:left w:val="single" w:sz="4" w:space="0" w:color="auto"/>
              <w:bottom w:val="nil"/>
              <w:right w:val="single" w:sz="4" w:space="0" w:color="auto"/>
            </w:tcBorders>
          </w:tcPr>
          <w:p w14:paraId="2A0D8EB0"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2.3</w:t>
            </w:r>
          </w:p>
        </w:tc>
      </w:tr>
      <w:tr w:rsidR="004B0E95" w:rsidRPr="004B0E95" w14:paraId="7571D631" w14:textId="77777777" w:rsidTr="00C17C57">
        <w:trPr>
          <w:jc w:val="center"/>
        </w:trPr>
        <w:tc>
          <w:tcPr>
            <w:tcW w:w="3119" w:type="dxa"/>
            <w:tcBorders>
              <w:top w:val="nil"/>
              <w:left w:val="single" w:sz="4" w:space="0" w:color="auto"/>
              <w:bottom w:val="nil"/>
              <w:right w:val="single" w:sz="4" w:space="0" w:color="auto"/>
            </w:tcBorders>
          </w:tcPr>
          <w:p w14:paraId="4274E150"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Variación de existencias</w:t>
            </w:r>
          </w:p>
        </w:tc>
        <w:tc>
          <w:tcPr>
            <w:tcW w:w="850" w:type="dxa"/>
            <w:tcBorders>
              <w:top w:val="nil"/>
              <w:left w:val="single" w:sz="4" w:space="0" w:color="auto"/>
              <w:bottom w:val="nil"/>
              <w:right w:val="single" w:sz="4" w:space="0" w:color="auto"/>
            </w:tcBorders>
          </w:tcPr>
          <w:p w14:paraId="18F483D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1" w:type="dxa"/>
            <w:tcBorders>
              <w:top w:val="nil"/>
              <w:left w:val="single" w:sz="4" w:space="0" w:color="auto"/>
              <w:bottom w:val="nil"/>
              <w:right w:val="single" w:sz="4" w:space="0" w:color="auto"/>
            </w:tcBorders>
          </w:tcPr>
          <w:p w14:paraId="7773B24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0" w:type="dxa"/>
            <w:tcBorders>
              <w:top w:val="nil"/>
              <w:left w:val="single" w:sz="4" w:space="0" w:color="auto"/>
              <w:bottom w:val="nil"/>
              <w:right w:val="single" w:sz="4" w:space="0" w:color="auto"/>
            </w:tcBorders>
          </w:tcPr>
          <w:p w14:paraId="2C8AB3A5"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992" w:type="dxa"/>
            <w:gridSpan w:val="2"/>
            <w:tcBorders>
              <w:top w:val="nil"/>
              <w:left w:val="single" w:sz="4" w:space="0" w:color="auto"/>
              <w:bottom w:val="nil"/>
              <w:right w:val="single" w:sz="4" w:space="0" w:color="auto"/>
            </w:tcBorders>
          </w:tcPr>
          <w:p w14:paraId="601A8BCB"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40445690" w14:textId="77777777" w:rsidTr="00C17C57">
        <w:trPr>
          <w:jc w:val="center"/>
        </w:trPr>
        <w:tc>
          <w:tcPr>
            <w:tcW w:w="3119" w:type="dxa"/>
            <w:tcBorders>
              <w:top w:val="nil"/>
              <w:left w:val="single" w:sz="4" w:space="0" w:color="auto"/>
              <w:right w:val="single" w:sz="4" w:space="0" w:color="auto"/>
            </w:tcBorders>
          </w:tcPr>
          <w:p w14:paraId="2B3301C6"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Exportación de bienes y servicios</w:t>
            </w:r>
          </w:p>
        </w:tc>
        <w:tc>
          <w:tcPr>
            <w:tcW w:w="850" w:type="dxa"/>
            <w:tcBorders>
              <w:top w:val="nil"/>
              <w:left w:val="single" w:sz="4" w:space="0" w:color="auto"/>
              <w:right w:val="single" w:sz="4" w:space="0" w:color="auto"/>
            </w:tcBorders>
          </w:tcPr>
          <w:p w14:paraId="5ED7D907"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5.0</w:t>
            </w:r>
          </w:p>
        </w:tc>
        <w:tc>
          <w:tcPr>
            <w:tcW w:w="851" w:type="dxa"/>
            <w:tcBorders>
              <w:top w:val="nil"/>
              <w:left w:val="single" w:sz="4" w:space="0" w:color="auto"/>
              <w:right w:val="single" w:sz="4" w:space="0" w:color="auto"/>
            </w:tcBorders>
          </w:tcPr>
          <w:p w14:paraId="19ADC20E"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7.1</w:t>
            </w:r>
          </w:p>
        </w:tc>
        <w:tc>
          <w:tcPr>
            <w:tcW w:w="850" w:type="dxa"/>
            <w:tcBorders>
              <w:top w:val="nil"/>
              <w:left w:val="single" w:sz="4" w:space="0" w:color="auto"/>
              <w:right w:val="single" w:sz="4" w:space="0" w:color="auto"/>
            </w:tcBorders>
          </w:tcPr>
          <w:p w14:paraId="39FA44C4"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10.3</w:t>
            </w:r>
          </w:p>
        </w:tc>
        <w:tc>
          <w:tcPr>
            <w:tcW w:w="992" w:type="dxa"/>
            <w:gridSpan w:val="2"/>
            <w:tcBorders>
              <w:top w:val="nil"/>
              <w:left w:val="single" w:sz="4" w:space="0" w:color="auto"/>
              <w:right w:val="single" w:sz="4" w:space="0" w:color="auto"/>
            </w:tcBorders>
          </w:tcPr>
          <w:p w14:paraId="512CD716"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7.3</w:t>
            </w:r>
          </w:p>
        </w:tc>
      </w:tr>
      <w:tr w:rsidR="004B0E95" w:rsidRPr="004B0E95" w14:paraId="3F5519D7" w14:textId="77777777" w:rsidTr="00C17C57">
        <w:trPr>
          <w:jc w:val="center"/>
        </w:trPr>
        <w:tc>
          <w:tcPr>
            <w:tcW w:w="3119" w:type="dxa"/>
            <w:tcBorders>
              <w:left w:val="single" w:sz="4" w:space="0" w:color="auto"/>
              <w:bottom w:val="single" w:sz="4" w:space="0" w:color="auto"/>
              <w:right w:val="single" w:sz="4" w:space="0" w:color="auto"/>
            </w:tcBorders>
          </w:tcPr>
          <w:p w14:paraId="18B9978D"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Discrepancia estadística</w:t>
            </w:r>
          </w:p>
        </w:tc>
        <w:tc>
          <w:tcPr>
            <w:tcW w:w="850" w:type="dxa"/>
            <w:tcBorders>
              <w:left w:val="single" w:sz="4" w:space="0" w:color="auto"/>
              <w:bottom w:val="single" w:sz="4" w:space="0" w:color="auto"/>
              <w:right w:val="single" w:sz="4" w:space="0" w:color="auto"/>
            </w:tcBorders>
          </w:tcPr>
          <w:p w14:paraId="22F7A968"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1" w:type="dxa"/>
            <w:tcBorders>
              <w:left w:val="single" w:sz="4" w:space="0" w:color="auto"/>
              <w:bottom w:val="single" w:sz="4" w:space="0" w:color="auto"/>
              <w:right w:val="single" w:sz="4" w:space="0" w:color="auto"/>
            </w:tcBorders>
          </w:tcPr>
          <w:p w14:paraId="122AC291"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0" w:type="dxa"/>
            <w:tcBorders>
              <w:left w:val="single" w:sz="4" w:space="0" w:color="auto"/>
              <w:bottom w:val="single" w:sz="4" w:space="0" w:color="auto"/>
              <w:right w:val="single" w:sz="4" w:space="0" w:color="auto"/>
            </w:tcBorders>
          </w:tcPr>
          <w:p w14:paraId="0D76E89B"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992" w:type="dxa"/>
            <w:gridSpan w:val="2"/>
            <w:tcBorders>
              <w:left w:val="single" w:sz="4" w:space="0" w:color="auto"/>
              <w:bottom w:val="single" w:sz="4" w:space="0" w:color="auto"/>
              <w:right w:val="single" w:sz="4" w:space="0" w:color="auto"/>
            </w:tcBorders>
          </w:tcPr>
          <w:p w14:paraId="25C63111"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2BCEE4FC" w14:textId="77777777" w:rsidTr="004B0E95">
        <w:trPr>
          <w:gridAfter w:val="1"/>
          <w:wAfter w:w="11" w:type="dxa"/>
          <w:jc w:val="center"/>
        </w:trPr>
        <w:tc>
          <w:tcPr>
            <w:tcW w:w="6651" w:type="dxa"/>
            <w:gridSpan w:val="5"/>
            <w:tcBorders>
              <w:left w:val="nil"/>
              <w:bottom w:val="nil"/>
              <w:right w:val="nil"/>
            </w:tcBorders>
          </w:tcPr>
          <w:p w14:paraId="3ECD1D94"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p</w:t>
            </w:r>
            <w:r w:rsidRPr="004B0E95">
              <w:rPr>
                <w:rFonts w:eastAsia="Times New Roman"/>
                <w:sz w:val="20"/>
                <w:szCs w:val="20"/>
                <w:lang w:eastAsia="es-MX"/>
              </w:rPr>
              <w:t>/ Cifras preliminares.</w:t>
            </w:r>
          </w:p>
          <w:p w14:paraId="5DF493C0"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R</w:t>
            </w:r>
            <w:r w:rsidRPr="004B0E95">
              <w:rPr>
                <w:rFonts w:eastAsia="Times New Roman"/>
                <w:sz w:val="20"/>
                <w:szCs w:val="20"/>
                <w:lang w:eastAsia="es-MX"/>
              </w:rPr>
              <w:t>/ Cifras revisadas.</w:t>
            </w:r>
          </w:p>
          <w:p w14:paraId="0AD5168D"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NA: No aplica.</w:t>
            </w:r>
          </w:p>
        </w:tc>
      </w:tr>
      <w:tr w:rsidR="004B0E95" w:rsidRPr="004B0E95" w14:paraId="3A700FBD" w14:textId="77777777" w:rsidTr="004B0E95">
        <w:trPr>
          <w:gridAfter w:val="1"/>
          <w:wAfter w:w="11" w:type="dxa"/>
          <w:jc w:val="center"/>
        </w:trPr>
        <w:tc>
          <w:tcPr>
            <w:tcW w:w="6651" w:type="dxa"/>
            <w:gridSpan w:val="5"/>
            <w:tcBorders>
              <w:top w:val="nil"/>
              <w:left w:val="nil"/>
              <w:bottom w:val="nil"/>
              <w:right w:val="nil"/>
            </w:tcBorders>
          </w:tcPr>
          <w:p w14:paraId="3B334F25"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FUENTE: INEGI.</w:t>
            </w:r>
          </w:p>
        </w:tc>
      </w:tr>
    </w:tbl>
    <w:p w14:paraId="7818A291" w14:textId="77777777" w:rsidR="004B0E95" w:rsidRPr="004B0E95" w:rsidRDefault="004B0E95" w:rsidP="004B0E95">
      <w:pPr>
        <w:spacing w:after="360" w:line="360" w:lineRule="auto"/>
        <w:ind w:right="-159"/>
        <w:jc w:val="both"/>
        <w:rPr>
          <w:rFonts w:eastAsia="Times New Roman"/>
          <w:sz w:val="26"/>
          <w:szCs w:val="26"/>
          <w:lang w:eastAsia="es-MX"/>
        </w:rPr>
      </w:pPr>
    </w:p>
    <w:tbl>
      <w:tblPr>
        <w:tblW w:w="0" w:type="auto"/>
        <w:jc w:val="center"/>
        <w:tblLayout w:type="fixed"/>
        <w:tblLook w:val="04A0" w:firstRow="1" w:lastRow="0" w:firstColumn="1" w:lastColumn="0" w:noHBand="0" w:noVBand="1"/>
      </w:tblPr>
      <w:tblGrid>
        <w:gridCol w:w="5529"/>
        <w:gridCol w:w="1275"/>
        <w:gridCol w:w="993"/>
      </w:tblGrid>
      <w:tr w:rsidR="004B0E95" w:rsidRPr="004B0E95" w14:paraId="69001148" w14:textId="77777777" w:rsidTr="00C17C57">
        <w:trPr>
          <w:jc w:val="center"/>
        </w:trPr>
        <w:tc>
          <w:tcPr>
            <w:tcW w:w="7797" w:type="dxa"/>
            <w:gridSpan w:val="3"/>
            <w:tcBorders>
              <w:top w:val="nil"/>
              <w:left w:val="nil"/>
              <w:bottom w:val="single" w:sz="4" w:space="0" w:color="auto"/>
              <w:right w:val="nil"/>
            </w:tcBorders>
          </w:tcPr>
          <w:p w14:paraId="64219DDE"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FUENTES DEL CRECIMIENTO DEL PIB SEGÚN COMPONENTES DE LA DEMANDA FINAL</w:t>
            </w:r>
          </w:p>
          <w:p w14:paraId="78B23DF6"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2"/>
                <w:szCs w:val="22"/>
                <w:lang w:eastAsia="es-MX"/>
              </w:rPr>
              <w:t>-Variación porcentual real ponderada respecto al mismo período del año anterior-</w:t>
            </w:r>
          </w:p>
        </w:tc>
      </w:tr>
      <w:tr w:rsidR="004B0E95" w:rsidRPr="004B0E95" w14:paraId="5ED30D3A" w14:textId="77777777" w:rsidTr="00C17C57">
        <w:trPr>
          <w:jc w:val="center"/>
        </w:trPr>
        <w:tc>
          <w:tcPr>
            <w:tcW w:w="5529" w:type="dxa"/>
            <w:vMerge w:val="restart"/>
            <w:tcBorders>
              <w:top w:val="single" w:sz="4" w:space="0" w:color="auto"/>
              <w:left w:val="single" w:sz="4" w:space="0" w:color="auto"/>
              <w:bottom w:val="single" w:sz="4" w:space="0" w:color="auto"/>
              <w:right w:val="single" w:sz="4" w:space="0" w:color="auto"/>
            </w:tcBorders>
            <w:vAlign w:val="center"/>
          </w:tcPr>
          <w:p w14:paraId="42A3EE5E"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Concepto</w:t>
            </w:r>
          </w:p>
        </w:tc>
        <w:tc>
          <w:tcPr>
            <w:tcW w:w="2268" w:type="dxa"/>
            <w:gridSpan w:val="2"/>
            <w:tcBorders>
              <w:top w:val="single" w:sz="4" w:space="0" w:color="auto"/>
              <w:left w:val="single" w:sz="4" w:space="0" w:color="auto"/>
              <w:bottom w:val="single" w:sz="4" w:space="0" w:color="auto"/>
              <w:right w:val="single" w:sz="4" w:space="0" w:color="auto"/>
            </w:tcBorders>
          </w:tcPr>
          <w:p w14:paraId="25FC659D"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2014</w:t>
            </w:r>
          </w:p>
        </w:tc>
      </w:tr>
      <w:tr w:rsidR="004B0E95" w:rsidRPr="004B0E95" w14:paraId="07E2DDB3" w14:textId="77777777" w:rsidTr="00C17C57">
        <w:trPr>
          <w:jc w:val="center"/>
        </w:trPr>
        <w:tc>
          <w:tcPr>
            <w:tcW w:w="5529" w:type="dxa"/>
            <w:vMerge/>
            <w:tcBorders>
              <w:top w:val="single" w:sz="4" w:space="0" w:color="auto"/>
              <w:left w:val="single" w:sz="4" w:space="0" w:color="auto"/>
              <w:bottom w:val="single" w:sz="4" w:space="0" w:color="auto"/>
              <w:right w:val="single" w:sz="4" w:space="0" w:color="auto"/>
            </w:tcBorders>
          </w:tcPr>
          <w:p w14:paraId="61AF5810" w14:textId="77777777" w:rsidR="004B0E95" w:rsidRPr="004B0E95" w:rsidRDefault="004B0E95" w:rsidP="004B0E95">
            <w:pPr>
              <w:tabs>
                <w:tab w:val="left" w:pos="1250"/>
              </w:tabs>
              <w:ind w:right="57"/>
              <w:rPr>
                <w:rFonts w:eastAsia="Times New Roman"/>
                <w:b/>
                <w:sz w:val="20"/>
                <w:szCs w:val="20"/>
                <w:lang w:eastAsia="es-MX"/>
              </w:rPr>
            </w:pPr>
          </w:p>
        </w:tc>
        <w:tc>
          <w:tcPr>
            <w:tcW w:w="1275" w:type="dxa"/>
            <w:tcBorders>
              <w:top w:val="single" w:sz="4" w:space="0" w:color="auto"/>
              <w:left w:val="single" w:sz="4" w:space="0" w:color="auto"/>
              <w:bottom w:val="single" w:sz="4" w:space="0" w:color="auto"/>
              <w:right w:val="single" w:sz="4" w:space="0" w:color="auto"/>
            </w:tcBorders>
          </w:tcPr>
          <w:p w14:paraId="1ED25088"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4</w:t>
            </w:r>
            <w:r w:rsidRPr="004B0E95">
              <w:rPr>
                <w:rFonts w:eastAsia="Times New Roman"/>
                <w:b/>
                <w:sz w:val="20"/>
                <w:szCs w:val="20"/>
                <w:vertAlign w:val="superscript"/>
                <w:lang w:eastAsia="es-MX"/>
              </w:rPr>
              <w:t>to</w:t>
            </w:r>
            <w:r w:rsidRPr="004B0E95">
              <w:rPr>
                <w:rFonts w:eastAsia="Times New Roman"/>
                <w:b/>
                <w:sz w:val="20"/>
                <w:szCs w:val="20"/>
                <w:lang w:eastAsia="es-MX"/>
              </w:rPr>
              <w:t xml:space="preserve"> Trimestre</w:t>
            </w:r>
          </w:p>
        </w:tc>
        <w:tc>
          <w:tcPr>
            <w:tcW w:w="993" w:type="dxa"/>
            <w:tcBorders>
              <w:top w:val="single" w:sz="4" w:space="0" w:color="auto"/>
              <w:left w:val="single" w:sz="4" w:space="0" w:color="auto"/>
              <w:bottom w:val="single" w:sz="4" w:space="0" w:color="auto"/>
              <w:right w:val="single" w:sz="4" w:space="0" w:color="auto"/>
            </w:tcBorders>
            <w:vAlign w:val="center"/>
          </w:tcPr>
          <w:p w14:paraId="05682868"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Anual</w:t>
            </w:r>
          </w:p>
        </w:tc>
      </w:tr>
      <w:tr w:rsidR="004B0E95" w:rsidRPr="004B0E95" w14:paraId="183E5AD6" w14:textId="77777777" w:rsidTr="00C17C57">
        <w:trPr>
          <w:jc w:val="center"/>
        </w:trPr>
        <w:tc>
          <w:tcPr>
            <w:tcW w:w="5529" w:type="dxa"/>
            <w:tcBorders>
              <w:top w:val="single" w:sz="4" w:space="0" w:color="auto"/>
              <w:left w:val="single" w:sz="4" w:space="0" w:color="auto"/>
              <w:right w:val="single" w:sz="4" w:space="0" w:color="auto"/>
            </w:tcBorders>
          </w:tcPr>
          <w:p w14:paraId="255FCD2F"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Contribución en puntos porcentuales al crecimiento del PIB, proveniente de la variación del</w:t>
            </w:r>
            <w:r w:rsidRPr="004B0E95">
              <w:rPr>
                <w:rFonts w:eastAsia="Times New Roman"/>
                <w:b/>
                <w:sz w:val="20"/>
                <w:szCs w:val="20"/>
                <w:u w:val="single"/>
                <w:vertAlign w:val="superscript"/>
                <w:lang w:eastAsia="es-MX"/>
              </w:rPr>
              <w:t>1</w:t>
            </w:r>
            <w:r w:rsidRPr="004B0E95">
              <w:rPr>
                <w:rFonts w:eastAsia="Times New Roman"/>
                <w:b/>
                <w:sz w:val="20"/>
                <w:szCs w:val="20"/>
                <w:vertAlign w:val="superscript"/>
                <w:lang w:eastAsia="es-MX"/>
              </w:rPr>
              <w:t>/</w:t>
            </w:r>
            <w:r w:rsidRPr="004B0E95">
              <w:rPr>
                <w:rFonts w:eastAsia="Times New Roman"/>
                <w:b/>
                <w:sz w:val="20"/>
                <w:szCs w:val="20"/>
                <w:lang w:eastAsia="es-MX"/>
              </w:rPr>
              <w:t>:</w:t>
            </w:r>
          </w:p>
        </w:tc>
        <w:tc>
          <w:tcPr>
            <w:tcW w:w="1275" w:type="dxa"/>
            <w:tcBorders>
              <w:top w:val="single" w:sz="4" w:space="0" w:color="auto"/>
              <w:left w:val="single" w:sz="4" w:space="0" w:color="auto"/>
              <w:right w:val="single" w:sz="4" w:space="0" w:color="auto"/>
            </w:tcBorders>
          </w:tcPr>
          <w:p w14:paraId="674F3D8B" w14:textId="77777777" w:rsidR="004B0E95" w:rsidRPr="004B0E95" w:rsidRDefault="004B0E95" w:rsidP="004B0E95">
            <w:pPr>
              <w:tabs>
                <w:tab w:val="left" w:pos="1250"/>
              </w:tabs>
              <w:ind w:right="397"/>
              <w:jc w:val="right"/>
              <w:rPr>
                <w:rFonts w:eastAsia="Times New Roman"/>
                <w:b/>
                <w:sz w:val="20"/>
                <w:szCs w:val="20"/>
                <w:lang w:eastAsia="es-MX"/>
              </w:rPr>
            </w:pPr>
          </w:p>
        </w:tc>
        <w:tc>
          <w:tcPr>
            <w:tcW w:w="993" w:type="dxa"/>
            <w:tcBorders>
              <w:top w:val="single" w:sz="4" w:space="0" w:color="auto"/>
              <w:left w:val="single" w:sz="4" w:space="0" w:color="auto"/>
              <w:right w:val="single" w:sz="4" w:space="0" w:color="auto"/>
            </w:tcBorders>
          </w:tcPr>
          <w:p w14:paraId="65F8E38C" w14:textId="77777777" w:rsidR="004B0E95" w:rsidRPr="004B0E95" w:rsidRDefault="004B0E95" w:rsidP="004B0E95">
            <w:pPr>
              <w:tabs>
                <w:tab w:val="left" w:pos="1250"/>
              </w:tabs>
              <w:ind w:right="397"/>
              <w:jc w:val="right"/>
              <w:rPr>
                <w:rFonts w:eastAsia="Times New Roman"/>
                <w:b/>
                <w:sz w:val="20"/>
                <w:szCs w:val="20"/>
                <w:lang w:eastAsia="es-MX"/>
              </w:rPr>
            </w:pPr>
          </w:p>
        </w:tc>
      </w:tr>
      <w:tr w:rsidR="004B0E95" w:rsidRPr="004B0E95" w14:paraId="4E6F115F" w14:textId="77777777" w:rsidTr="00C17C57">
        <w:trPr>
          <w:jc w:val="center"/>
        </w:trPr>
        <w:tc>
          <w:tcPr>
            <w:tcW w:w="5529" w:type="dxa"/>
            <w:tcBorders>
              <w:left w:val="single" w:sz="4" w:space="0" w:color="auto"/>
              <w:bottom w:val="nil"/>
              <w:right w:val="single" w:sz="4" w:space="0" w:color="auto"/>
            </w:tcBorders>
          </w:tcPr>
          <w:p w14:paraId="2B2F8994"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     Consumo Privado</w:t>
            </w:r>
          </w:p>
        </w:tc>
        <w:tc>
          <w:tcPr>
            <w:tcW w:w="1275" w:type="dxa"/>
            <w:tcBorders>
              <w:left w:val="single" w:sz="4" w:space="0" w:color="auto"/>
              <w:bottom w:val="nil"/>
              <w:right w:val="single" w:sz="4" w:space="0" w:color="auto"/>
            </w:tcBorders>
          </w:tcPr>
          <w:p w14:paraId="59BDB154" w14:textId="77777777" w:rsidR="004B0E95" w:rsidRPr="004B0E95" w:rsidRDefault="004B0E95" w:rsidP="004B0E95">
            <w:pPr>
              <w:tabs>
                <w:tab w:val="left" w:pos="1250"/>
              </w:tabs>
              <w:ind w:right="397"/>
              <w:jc w:val="right"/>
              <w:rPr>
                <w:rFonts w:eastAsia="Times New Roman"/>
                <w:sz w:val="20"/>
                <w:szCs w:val="20"/>
                <w:lang w:eastAsia="es-MX"/>
              </w:rPr>
            </w:pPr>
            <w:r w:rsidRPr="004B0E95">
              <w:rPr>
                <w:rFonts w:eastAsia="Times New Roman"/>
                <w:sz w:val="20"/>
                <w:szCs w:val="20"/>
                <w:lang w:eastAsia="es-MX"/>
              </w:rPr>
              <w:t>1.8</w:t>
            </w:r>
          </w:p>
        </w:tc>
        <w:tc>
          <w:tcPr>
            <w:tcW w:w="993" w:type="dxa"/>
            <w:tcBorders>
              <w:left w:val="single" w:sz="4" w:space="0" w:color="auto"/>
              <w:bottom w:val="nil"/>
              <w:right w:val="single" w:sz="4" w:space="0" w:color="auto"/>
            </w:tcBorders>
          </w:tcPr>
          <w:p w14:paraId="5D48D70E"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1.3</w:t>
            </w:r>
          </w:p>
        </w:tc>
      </w:tr>
      <w:tr w:rsidR="004B0E95" w:rsidRPr="004B0E95" w14:paraId="749FBB28" w14:textId="77777777" w:rsidTr="00C17C57">
        <w:trPr>
          <w:jc w:val="center"/>
        </w:trPr>
        <w:tc>
          <w:tcPr>
            <w:tcW w:w="5529" w:type="dxa"/>
            <w:tcBorders>
              <w:top w:val="nil"/>
              <w:left w:val="single" w:sz="4" w:space="0" w:color="auto"/>
              <w:bottom w:val="nil"/>
              <w:right w:val="single" w:sz="4" w:space="0" w:color="auto"/>
            </w:tcBorders>
          </w:tcPr>
          <w:p w14:paraId="15FA48D3"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     Consumo de Gobierno</w:t>
            </w:r>
          </w:p>
        </w:tc>
        <w:tc>
          <w:tcPr>
            <w:tcW w:w="1275" w:type="dxa"/>
            <w:tcBorders>
              <w:top w:val="nil"/>
              <w:left w:val="single" w:sz="4" w:space="0" w:color="auto"/>
              <w:bottom w:val="nil"/>
              <w:right w:val="single" w:sz="4" w:space="0" w:color="auto"/>
            </w:tcBorders>
          </w:tcPr>
          <w:p w14:paraId="3DC87BED" w14:textId="77777777" w:rsidR="004B0E95" w:rsidRPr="004B0E95" w:rsidRDefault="004B0E95" w:rsidP="004B0E95">
            <w:pPr>
              <w:tabs>
                <w:tab w:val="left" w:pos="1250"/>
              </w:tabs>
              <w:ind w:right="397"/>
              <w:jc w:val="right"/>
              <w:rPr>
                <w:rFonts w:eastAsia="Times New Roman"/>
                <w:sz w:val="20"/>
                <w:szCs w:val="20"/>
                <w:lang w:eastAsia="es-MX"/>
              </w:rPr>
            </w:pPr>
            <w:r w:rsidRPr="004B0E95">
              <w:rPr>
                <w:rFonts w:eastAsia="Times New Roman"/>
                <w:sz w:val="20"/>
                <w:szCs w:val="20"/>
                <w:lang w:eastAsia="es-MX"/>
              </w:rPr>
              <w:t>0.2</w:t>
            </w:r>
          </w:p>
        </w:tc>
        <w:tc>
          <w:tcPr>
            <w:tcW w:w="993" w:type="dxa"/>
            <w:tcBorders>
              <w:top w:val="nil"/>
              <w:left w:val="single" w:sz="4" w:space="0" w:color="auto"/>
              <w:bottom w:val="nil"/>
              <w:right w:val="single" w:sz="4" w:space="0" w:color="auto"/>
            </w:tcBorders>
          </w:tcPr>
          <w:p w14:paraId="4F47128E"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0.3</w:t>
            </w:r>
          </w:p>
        </w:tc>
      </w:tr>
      <w:tr w:rsidR="004B0E95" w:rsidRPr="004B0E95" w14:paraId="60B8C92C" w14:textId="77777777" w:rsidTr="00C17C57">
        <w:trPr>
          <w:jc w:val="center"/>
        </w:trPr>
        <w:tc>
          <w:tcPr>
            <w:tcW w:w="5529" w:type="dxa"/>
            <w:tcBorders>
              <w:top w:val="nil"/>
              <w:left w:val="single" w:sz="4" w:space="0" w:color="auto"/>
              <w:bottom w:val="nil"/>
              <w:right w:val="single" w:sz="4" w:space="0" w:color="auto"/>
            </w:tcBorders>
          </w:tcPr>
          <w:p w14:paraId="2EDBEB1D"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     Formación Bruta de Capital Fijo</w:t>
            </w:r>
          </w:p>
        </w:tc>
        <w:tc>
          <w:tcPr>
            <w:tcW w:w="1275" w:type="dxa"/>
            <w:tcBorders>
              <w:top w:val="nil"/>
              <w:left w:val="single" w:sz="4" w:space="0" w:color="auto"/>
              <w:bottom w:val="nil"/>
              <w:right w:val="single" w:sz="4" w:space="0" w:color="auto"/>
            </w:tcBorders>
          </w:tcPr>
          <w:p w14:paraId="45D77B7F" w14:textId="77777777" w:rsidR="004B0E95" w:rsidRPr="004B0E95" w:rsidRDefault="004B0E95" w:rsidP="004B0E95">
            <w:pPr>
              <w:tabs>
                <w:tab w:val="left" w:pos="1250"/>
              </w:tabs>
              <w:ind w:right="397"/>
              <w:jc w:val="right"/>
              <w:rPr>
                <w:rFonts w:eastAsia="Times New Roman"/>
                <w:sz w:val="20"/>
                <w:szCs w:val="20"/>
                <w:lang w:eastAsia="es-MX"/>
              </w:rPr>
            </w:pPr>
            <w:r w:rsidRPr="004B0E95">
              <w:rPr>
                <w:rFonts w:eastAsia="Times New Roman"/>
                <w:sz w:val="20"/>
                <w:szCs w:val="20"/>
                <w:lang w:eastAsia="es-MX"/>
              </w:rPr>
              <w:t>1.3</w:t>
            </w:r>
          </w:p>
        </w:tc>
        <w:tc>
          <w:tcPr>
            <w:tcW w:w="993" w:type="dxa"/>
            <w:tcBorders>
              <w:top w:val="nil"/>
              <w:left w:val="single" w:sz="4" w:space="0" w:color="auto"/>
              <w:bottom w:val="nil"/>
              <w:right w:val="single" w:sz="4" w:space="0" w:color="auto"/>
            </w:tcBorders>
          </w:tcPr>
          <w:p w14:paraId="76A9874F"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0.5</w:t>
            </w:r>
          </w:p>
        </w:tc>
      </w:tr>
      <w:tr w:rsidR="004B0E95" w:rsidRPr="004B0E95" w14:paraId="4A7F5DB9" w14:textId="77777777" w:rsidTr="00C17C57">
        <w:trPr>
          <w:jc w:val="center"/>
        </w:trPr>
        <w:tc>
          <w:tcPr>
            <w:tcW w:w="5529" w:type="dxa"/>
            <w:tcBorders>
              <w:top w:val="nil"/>
              <w:left w:val="single" w:sz="4" w:space="0" w:color="auto"/>
              <w:bottom w:val="nil"/>
              <w:right w:val="single" w:sz="4" w:space="0" w:color="auto"/>
            </w:tcBorders>
          </w:tcPr>
          <w:p w14:paraId="2C0A9758"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     Exportación de Bienes y Servicios</w:t>
            </w:r>
          </w:p>
        </w:tc>
        <w:tc>
          <w:tcPr>
            <w:tcW w:w="1275" w:type="dxa"/>
            <w:tcBorders>
              <w:top w:val="nil"/>
              <w:left w:val="single" w:sz="4" w:space="0" w:color="auto"/>
              <w:bottom w:val="nil"/>
              <w:right w:val="single" w:sz="4" w:space="0" w:color="auto"/>
            </w:tcBorders>
          </w:tcPr>
          <w:p w14:paraId="2D5CD633" w14:textId="77777777" w:rsidR="004B0E95" w:rsidRPr="004B0E95" w:rsidRDefault="004B0E95" w:rsidP="004B0E95">
            <w:pPr>
              <w:tabs>
                <w:tab w:val="left" w:pos="1250"/>
              </w:tabs>
              <w:ind w:right="397"/>
              <w:jc w:val="right"/>
              <w:rPr>
                <w:rFonts w:eastAsia="Times New Roman"/>
                <w:sz w:val="20"/>
                <w:szCs w:val="20"/>
                <w:lang w:eastAsia="es-MX"/>
              </w:rPr>
            </w:pPr>
            <w:r w:rsidRPr="004B0E95">
              <w:rPr>
                <w:rFonts w:eastAsia="Times New Roman"/>
                <w:sz w:val="20"/>
                <w:szCs w:val="20"/>
                <w:lang w:eastAsia="es-MX"/>
              </w:rPr>
              <w:t>3.3</w:t>
            </w:r>
          </w:p>
        </w:tc>
        <w:tc>
          <w:tcPr>
            <w:tcW w:w="993" w:type="dxa"/>
            <w:tcBorders>
              <w:top w:val="nil"/>
              <w:left w:val="single" w:sz="4" w:space="0" w:color="auto"/>
              <w:bottom w:val="nil"/>
              <w:right w:val="single" w:sz="4" w:space="0" w:color="auto"/>
            </w:tcBorders>
          </w:tcPr>
          <w:p w14:paraId="5D922417"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2.3</w:t>
            </w:r>
          </w:p>
        </w:tc>
      </w:tr>
      <w:tr w:rsidR="004B0E95" w:rsidRPr="004B0E95" w14:paraId="268A3258" w14:textId="77777777" w:rsidTr="00C17C57">
        <w:trPr>
          <w:jc w:val="center"/>
        </w:trPr>
        <w:tc>
          <w:tcPr>
            <w:tcW w:w="5529" w:type="dxa"/>
            <w:tcBorders>
              <w:top w:val="nil"/>
              <w:left w:val="single" w:sz="4" w:space="0" w:color="auto"/>
              <w:bottom w:val="nil"/>
              <w:right w:val="single" w:sz="4" w:space="0" w:color="auto"/>
            </w:tcBorders>
          </w:tcPr>
          <w:p w14:paraId="133B541B"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 xml:space="preserve">     (-) Importación de Bienes y Servicios</w:t>
            </w:r>
          </w:p>
        </w:tc>
        <w:tc>
          <w:tcPr>
            <w:tcW w:w="1275" w:type="dxa"/>
            <w:tcBorders>
              <w:top w:val="nil"/>
              <w:left w:val="single" w:sz="4" w:space="0" w:color="auto"/>
              <w:bottom w:val="nil"/>
              <w:right w:val="single" w:sz="4" w:space="0" w:color="auto"/>
            </w:tcBorders>
          </w:tcPr>
          <w:p w14:paraId="661657BD" w14:textId="77777777" w:rsidR="004B0E95" w:rsidRPr="004B0E95" w:rsidRDefault="004B0E95" w:rsidP="004B0E95">
            <w:pPr>
              <w:tabs>
                <w:tab w:val="left" w:pos="1250"/>
              </w:tabs>
              <w:ind w:right="397"/>
              <w:jc w:val="right"/>
              <w:rPr>
                <w:rFonts w:eastAsia="Times New Roman"/>
                <w:sz w:val="20"/>
                <w:szCs w:val="20"/>
                <w:lang w:eastAsia="es-MX"/>
              </w:rPr>
            </w:pPr>
            <w:r w:rsidRPr="004B0E95">
              <w:rPr>
                <w:rFonts w:eastAsia="Times New Roman"/>
                <w:sz w:val="20"/>
                <w:szCs w:val="20"/>
                <w:lang w:eastAsia="es-MX"/>
              </w:rPr>
              <w:t>-2.6</w:t>
            </w:r>
          </w:p>
        </w:tc>
        <w:tc>
          <w:tcPr>
            <w:tcW w:w="993" w:type="dxa"/>
            <w:tcBorders>
              <w:top w:val="nil"/>
              <w:left w:val="single" w:sz="4" w:space="0" w:color="auto"/>
              <w:bottom w:val="nil"/>
              <w:right w:val="single" w:sz="4" w:space="0" w:color="auto"/>
            </w:tcBorders>
          </w:tcPr>
          <w:p w14:paraId="0230D5E4"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-1.8</w:t>
            </w:r>
          </w:p>
        </w:tc>
      </w:tr>
      <w:tr w:rsidR="004B0E95" w:rsidRPr="004B0E95" w14:paraId="5B29D0F9" w14:textId="77777777" w:rsidTr="000F24E2">
        <w:trPr>
          <w:jc w:val="center"/>
        </w:trPr>
        <w:tc>
          <w:tcPr>
            <w:tcW w:w="5529" w:type="dxa"/>
            <w:tcBorders>
              <w:top w:val="nil"/>
              <w:left w:val="single" w:sz="4" w:space="0" w:color="auto"/>
              <w:bottom w:val="single" w:sz="4" w:space="0" w:color="auto"/>
              <w:right w:val="single" w:sz="4" w:space="0" w:color="auto"/>
            </w:tcBorders>
          </w:tcPr>
          <w:p w14:paraId="1EBA1B63"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 xml:space="preserve">     SUMA</w:t>
            </w:r>
          </w:p>
        </w:tc>
        <w:tc>
          <w:tcPr>
            <w:tcW w:w="1275" w:type="dxa"/>
            <w:tcBorders>
              <w:top w:val="nil"/>
              <w:left w:val="single" w:sz="4" w:space="0" w:color="auto"/>
              <w:bottom w:val="single" w:sz="4" w:space="0" w:color="auto"/>
              <w:right w:val="single" w:sz="4" w:space="0" w:color="auto"/>
            </w:tcBorders>
          </w:tcPr>
          <w:p w14:paraId="64B95F08" w14:textId="77777777" w:rsidR="004B0E95" w:rsidRPr="004B0E95" w:rsidRDefault="004B0E95" w:rsidP="004B0E95">
            <w:pPr>
              <w:tabs>
                <w:tab w:val="left" w:pos="1250"/>
              </w:tabs>
              <w:ind w:right="397"/>
              <w:jc w:val="right"/>
              <w:rPr>
                <w:rFonts w:eastAsia="Times New Roman"/>
                <w:b/>
                <w:sz w:val="20"/>
                <w:szCs w:val="20"/>
                <w:lang w:eastAsia="es-MX"/>
              </w:rPr>
            </w:pPr>
            <w:r w:rsidRPr="004B0E95">
              <w:rPr>
                <w:rFonts w:eastAsia="Times New Roman"/>
                <w:b/>
                <w:sz w:val="20"/>
                <w:szCs w:val="20"/>
                <w:lang w:eastAsia="es-MX"/>
              </w:rPr>
              <w:t>2.6</w:t>
            </w:r>
          </w:p>
        </w:tc>
        <w:tc>
          <w:tcPr>
            <w:tcW w:w="993" w:type="dxa"/>
            <w:tcBorders>
              <w:top w:val="nil"/>
              <w:left w:val="single" w:sz="4" w:space="0" w:color="auto"/>
              <w:bottom w:val="single" w:sz="4" w:space="0" w:color="auto"/>
              <w:right w:val="single" w:sz="4" w:space="0" w:color="auto"/>
            </w:tcBorders>
          </w:tcPr>
          <w:p w14:paraId="367FAD58" w14:textId="77777777" w:rsidR="004B0E95" w:rsidRPr="004B0E95" w:rsidRDefault="004B0E95" w:rsidP="004B0E95">
            <w:pPr>
              <w:tabs>
                <w:tab w:val="left" w:pos="1250"/>
              </w:tabs>
              <w:ind w:right="284"/>
              <w:jc w:val="right"/>
              <w:rPr>
                <w:rFonts w:eastAsia="Times New Roman"/>
                <w:b/>
                <w:sz w:val="20"/>
                <w:szCs w:val="20"/>
                <w:lang w:eastAsia="es-MX"/>
              </w:rPr>
            </w:pPr>
            <w:r w:rsidRPr="004B0E95">
              <w:rPr>
                <w:rFonts w:eastAsia="Times New Roman"/>
                <w:b/>
                <w:sz w:val="20"/>
                <w:szCs w:val="20"/>
                <w:lang w:eastAsia="es-MX"/>
              </w:rPr>
              <w:t>2.1</w:t>
            </w:r>
          </w:p>
        </w:tc>
      </w:tr>
      <w:tr w:rsidR="004B0E95" w:rsidRPr="004B0E95" w14:paraId="1425026D" w14:textId="77777777" w:rsidTr="000F24E2">
        <w:trPr>
          <w:jc w:val="center"/>
        </w:trPr>
        <w:tc>
          <w:tcPr>
            <w:tcW w:w="7797" w:type="dxa"/>
            <w:gridSpan w:val="3"/>
            <w:tcBorders>
              <w:top w:val="single" w:sz="4" w:space="0" w:color="auto"/>
            </w:tcBorders>
          </w:tcPr>
          <w:p w14:paraId="6E42CFA6" w14:textId="77777777" w:rsidR="004B0E95" w:rsidRPr="004B0E95" w:rsidRDefault="004B0E95" w:rsidP="004B0E95">
            <w:pPr>
              <w:tabs>
                <w:tab w:val="left" w:pos="1250"/>
              </w:tabs>
              <w:ind w:left="227" w:right="57" w:hanging="227"/>
              <w:rPr>
                <w:rFonts w:eastAsia="Times New Roman"/>
                <w:sz w:val="20"/>
                <w:szCs w:val="20"/>
                <w:u w:val="single"/>
                <w:lang w:eastAsia="es-MX"/>
              </w:rPr>
            </w:pPr>
            <w:r w:rsidRPr="004B0E95">
              <w:rPr>
                <w:rFonts w:eastAsia="Times New Roman"/>
                <w:sz w:val="20"/>
                <w:szCs w:val="20"/>
                <w:u w:val="single"/>
                <w:lang w:eastAsia="es-MX"/>
              </w:rPr>
              <w:t>1</w:t>
            </w:r>
            <w:r w:rsidRPr="004B0E95">
              <w:rPr>
                <w:rFonts w:eastAsia="Times New Roman"/>
                <w:sz w:val="20"/>
                <w:szCs w:val="20"/>
                <w:lang w:eastAsia="es-MX"/>
              </w:rPr>
              <w:t>/ La suma de las contribuciones difiere del total del crecimiento del PIB debido a que no se incluye la variación de existencias ni la discrepancia estadística.</w:t>
            </w:r>
          </w:p>
        </w:tc>
      </w:tr>
      <w:tr w:rsidR="004B0E95" w:rsidRPr="004B0E95" w14:paraId="67A268BE" w14:textId="77777777" w:rsidTr="000F24E2">
        <w:trPr>
          <w:jc w:val="center"/>
        </w:trPr>
        <w:tc>
          <w:tcPr>
            <w:tcW w:w="7797" w:type="dxa"/>
            <w:gridSpan w:val="3"/>
            <w:tcBorders>
              <w:left w:val="nil"/>
              <w:bottom w:val="nil"/>
              <w:right w:val="nil"/>
            </w:tcBorders>
          </w:tcPr>
          <w:p w14:paraId="6ADAD175"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FUENTE: INEGI.</w:t>
            </w:r>
          </w:p>
        </w:tc>
      </w:tr>
    </w:tbl>
    <w:p w14:paraId="5C9928F3" w14:textId="77777777" w:rsidR="004B0E95" w:rsidRDefault="004B0E95" w:rsidP="004B0E95">
      <w:pPr>
        <w:spacing w:after="360" w:line="360" w:lineRule="auto"/>
        <w:ind w:right="-159"/>
        <w:jc w:val="both"/>
        <w:rPr>
          <w:rFonts w:eastAsia="Times New Roman"/>
          <w:sz w:val="26"/>
          <w:szCs w:val="26"/>
          <w:lang w:eastAsia="es-MX"/>
        </w:rPr>
      </w:pPr>
    </w:p>
    <w:p w14:paraId="34CB842D" w14:textId="77777777" w:rsidR="00840078" w:rsidRDefault="00840078" w:rsidP="004B0E95">
      <w:pPr>
        <w:spacing w:after="360" w:line="360" w:lineRule="auto"/>
        <w:ind w:right="-159"/>
        <w:jc w:val="both"/>
        <w:rPr>
          <w:rFonts w:eastAsia="Times New Roman"/>
          <w:sz w:val="26"/>
          <w:szCs w:val="26"/>
          <w:lang w:eastAsia="es-MX"/>
        </w:rPr>
      </w:pPr>
    </w:p>
    <w:p w14:paraId="7E9A9134" w14:textId="77777777" w:rsidR="00840078" w:rsidRPr="004B0E95" w:rsidRDefault="00840078" w:rsidP="004B0E95">
      <w:pPr>
        <w:spacing w:after="360" w:line="360" w:lineRule="auto"/>
        <w:ind w:right="-159"/>
        <w:jc w:val="both"/>
        <w:rPr>
          <w:rFonts w:eastAsia="Times New Roman"/>
          <w:sz w:val="26"/>
          <w:szCs w:val="26"/>
          <w:lang w:eastAsia="es-MX"/>
        </w:rPr>
      </w:pPr>
    </w:p>
    <w:p w14:paraId="7AC4C9A4" w14:textId="77777777" w:rsidR="004B0E95" w:rsidRPr="004B0E95" w:rsidRDefault="004B0E95" w:rsidP="004B0E95">
      <w:pPr>
        <w:spacing w:after="360" w:line="360" w:lineRule="auto"/>
        <w:ind w:right="-159"/>
        <w:jc w:val="both"/>
        <w:rPr>
          <w:rFonts w:eastAsia="Times New Roman"/>
          <w:b/>
          <w:sz w:val="26"/>
          <w:szCs w:val="26"/>
          <w:lang w:eastAsia="es-MX"/>
        </w:rPr>
      </w:pPr>
      <w:r w:rsidRPr="004B0E95">
        <w:rPr>
          <w:rFonts w:eastAsia="Times New Roman"/>
          <w:b/>
          <w:sz w:val="26"/>
          <w:szCs w:val="26"/>
          <w:lang w:eastAsia="es-MX"/>
        </w:rPr>
        <w:lastRenderedPageBreak/>
        <w:t>Oferta y Demanda Global en pesos corrientes (cifras originales)</w:t>
      </w:r>
    </w:p>
    <w:p w14:paraId="6A7890D6" w14:textId="77777777" w:rsidR="004B0E95" w:rsidRP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 xml:space="preserve">La Oferta Global (igual a la Demanda Global) de Bienes y Servicios a precios corrientes sumó 23 billones 997 miles de millones 99 millones de pesos (23.997 billones de pesos) en el cuarto trimestre de 2014. </w:t>
      </w:r>
    </w:p>
    <w:tbl>
      <w:tblPr>
        <w:tblW w:w="6520" w:type="dxa"/>
        <w:jc w:val="center"/>
        <w:tblLayout w:type="fixed"/>
        <w:tblLook w:val="04A0" w:firstRow="1" w:lastRow="0" w:firstColumn="1" w:lastColumn="0" w:noHBand="0" w:noVBand="1"/>
      </w:tblPr>
      <w:tblGrid>
        <w:gridCol w:w="2977"/>
        <w:gridCol w:w="850"/>
        <w:gridCol w:w="851"/>
        <w:gridCol w:w="850"/>
        <w:gridCol w:w="992"/>
      </w:tblGrid>
      <w:tr w:rsidR="004B0E95" w:rsidRPr="004B0E95" w14:paraId="13F4A512" w14:textId="77777777" w:rsidTr="00267DEA">
        <w:trPr>
          <w:jc w:val="center"/>
        </w:trPr>
        <w:tc>
          <w:tcPr>
            <w:tcW w:w="6520" w:type="dxa"/>
            <w:gridSpan w:val="5"/>
            <w:tcBorders>
              <w:top w:val="nil"/>
              <w:left w:val="nil"/>
              <w:bottom w:val="single" w:sz="4" w:space="0" w:color="auto"/>
              <w:right w:val="nil"/>
            </w:tcBorders>
          </w:tcPr>
          <w:p w14:paraId="2E59501D"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 xml:space="preserve">OFERTA Y DEMANDA GLOBAL DE BIENES Y SERVICIOS </w:t>
            </w:r>
          </w:p>
          <w:p w14:paraId="3363315E"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t>AL CUARTO TRIMESTRE DE 2014</w:t>
            </w:r>
          </w:p>
          <w:p w14:paraId="7F69ABE6" w14:textId="77777777" w:rsidR="004B0E95" w:rsidRPr="004B0E95" w:rsidRDefault="004B0E95" w:rsidP="004B0E95">
            <w:pPr>
              <w:tabs>
                <w:tab w:val="left" w:pos="1250"/>
              </w:tabs>
              <w:ind w:right="57"/>
              <w:jc w:val="center"/>
              <w:rPr>
                <w:rFonts w:eastAsia="Times New Roman"/>
                <w:sz w:val="20"/>
                <w:szCs w:val="20"/>
                <w:lang w:eastAsia="es-MX"/>
              </w:rPr>
            </w:pPr>
            <w:r w:rsidRPr="004B0E95">
              <w:rPr>
                <w:rFonts w:eastAsia="Times New Roman"/>
                <w:b/>
                <w:sz w:val="22"/>
                <w:szCs w:val="22"/>
                <w:lang w:eastAsia="es-MX"/>
              </w:rPr>
              <w:t>-Estructura porcentual-</w:t>
            </w:r>
          </w:p>
        </w:tc>
      </w:tr>
      <w:tr w:rsidR="004B0E95" w:rsidRPr="004B0E95" w14:paraId="7C1E67E5" w14:textId="77777777" w:rsidTr="008D28ED">
        <w:trPr>
          <w:jc w:val="center"/>
        </w:trPr>
        <w:tc>
          <w:tcPr>
            <w:tcW w:w="2977" w:type="dxa"/>
            <w:vMerge w:val="restart"/>
            <w:tcBorders>
              <w:top w:val="single" w:sz="4" w:space="0" w:color="auto"/>
              <w:left w:val="single" w:sz="4" w:space="0" w:color="auto"/>
              <w:bottom w:val="single" w:sz="4" w:space="0" w:color="auto"/>
              <w:right w:val="single" w:sz="4" w:space="0" w:color="auto"/>
            </w:tcBorders>
            <w:vAlign w:val="center"/>
          </w:tcPr>
          <w:p w14:paraId="2B6D6999"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Concepto</w:t>
            </w:r>
          </w:p>
        </w:tc>
        <w:tc>
          <w:tcPr>
            <w:tcW w:w="3543" w:type="dxa"/>
            <w:gridSpan w:val="4"/>
            <w:tcBorders>
              <w:top w:val="single" w:sz="4" w:space="0" w:color="auto"/>
              <w:left w:val="single" w:sz="4" w:space="0" w:color="auto"/>
              <w:bottom w:val="single" w:sz="4" w:space="0" w:color="auto"/>
              <w:right w:val="single" w:sz="4" w:space="0" w:color="auto"/>
            </w:tcBorders>
          </w:tcPr>
          <w:p w14:paraId="1F78E60E"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2014</w:t>
            </w:r>
            <w:r w:rsidRPr="004B0E95">
              <w:rPr>
                <w:rFonts w:eastAsia="Times New Roman"/>
                <w:b/>
                <w:sz w:val="20"/>
                <w:szCs w:val="20"/>
                <w:u w:val="single"/>
                <w:vertAlign w:val="superscript"/>
                <w:lang w:eastAsia="es-MX"/>
              </w:rPr>
              <w:t>R</w:t>
            </w:r>
            <w:r w:rsidRPr="004B0E95">
              <w:rPr>
                <w:rFonts w:eastAsia="Times New Roman"/>
                <w:b/>
                <w:sz w:val="20"/>
                <w:szCs w:val="20"/>
                <w:vertAlign w:val="superscript"/>
                <w:lang w:eastAsia="es-MX"/>
              </w:rPr>
              <w:t>/</w:t>
            </w:r>
          </w:p>
        </w:tc>
      </w:tr>
      <w:tr w:rsidR="004B0E95" w:rsidRPr="004B0E95" w14:paraId="6161EDF1" w14:textId="77777777" w:rsidTr="008D28ED">
        <w:trPr>
          <w:jc w:val="center"/>
        </w:trPr>
        <w:tc>
          <w:tcPr>
            <w:tcW w:w="2977" w:type="dxa"/>
            <w:vMerge/>
            <w:tcBorders>
              <w:top w:val="single" w:sz="4" w:space="0" w:color="auto"/>
              <w:left w:val="single" w:sz="4" w:space="0" w:color="auto"/>
              <w:bottom w:val="single" w:sz="4" w:space="0" w:color="auto"/>
              <w:right w:val="single" w:sz="4" w:space="0" w:color="auto"/>
            </w:tcBorders>
          </w:tcPr>
          <w:p w14:paraId="3584C0F7" w14:textId="77777777" w:rsidR="004B0E95" w:rsidRPr="004B0E95" w:rsidRDefault="004B0E95" w:rsidP="004B0E95">
            <w:pPr>
              <w:tabs>
                <w:tab w:val="left" w:pos="1250"/>
              </w:tabs>
              <w:ind w:right="57"/>
              <w:rPr>
                <w:rFonts w:eastAsia="Times New Roman"/>
                <w:b/>
                <w:sz w:val="20"/>
                <w:szCs w:val="20"/>
                <w:lang w:eastAsia="es-MX"/>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40EB987A"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Trimestre</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29454482"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Anual</w:t>
            </w:r>
          </w:p>
        </w:tc>
      </w:tr>
      <w:tr w:rsidR="004B0E95" w:rsidRPr="004B0E95" w14:paraId="0C43E2F1" w14:textId="77777777" w:rsidTr="008D28ED">
        <w:trPr>
          <w:jc w:val="center"/>
        </w:trPr>
        <w:tc>
          <w:tcPr>
            <w:tcW w:w="2977" w:type="dxa"/>
            <w:vMerge/>
            <w:tcBorders>
              <w:top w:val="single" w:sz="4" w:space="0" w:color="auto"/>
              <w:left w:val="single" w:sz="4" w:space="0" w:color="auto"/>
              <w:bottom w:val="single" w:sz="4" w:space="0" w:color="auto"/>
              <w:right w:val="single" w:sz="4" w:space="0" w:color="auto"/>
            </w:tcBorders>
          </w:tcPr>
          <w:p w14:paraId="04F211AB" w14:textId="77777777" w:rsidR="004B0E95" w:rsidRPr="004B0E95" w:rsidRDefault="004B0E95" w:rsidP="004B0E95">
            <w:pPr>
              <w:tabs>
                <w:tab w:val="left" w:pos="1250"/>
              </w:tabs>
              <w:ind w:right="57"/>
              <w:rPr>
                <w:rFonts w:eastAsia="Times New Roman"/>
                <w:sz w:val="20"/>
                <w:szCs w:val="20"/>
                <w:lang w:eastAsia="es-MX"/>
              </w:rPr>
            </w:pPr>
          </w:p>
        </w:tc>
        <w:tc>
          <w:tcPr>
            <w:tcW w:w="850" w:type="dxa"/>
            <w:tcBorders>
              <w:top w:val="single" w:sz="4" w:space="0" w:color="auto"/>
              <w:left w:val="single" w:sz="4" w:space="0" w:color="auto"/>
              <w:bottom w:val="single" w:sz="4" w:space="0" w:color="auto"/>
              <w:right w:val="single" w:sz="4" w:space="0" w:color="auto"/>
            </w:tcBorders>
          </w:tcPr>
          <w:p w14:paraId="559C7BCD"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II</w:t>
            </w:r>
          </w:p>
        </w:tc>
        <w:tc>
          <w:tcPr>
            <w:tcW w:w="851" w:type="dxa"/>
            <w:tcBorders>
              <w:top w:val="single" w:sz="4" w:space="0" w:color="auto"/>
              <w:left w:val="single" w:sz="4" w:space="0" w:color="auto"/>
              <w:bottom w:val="single" w:sz="4" w:space="0" w:color="auto"/>
              <w:right w:val="single" w:sz="4" w:space="0" w:color="auto"/>
            </w:tcBorders>
          </w:tcPr>
          <w:p w14:paraId="6F464787"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III</w:t>
            </w:r>
          </w:p>
        </w:tc>
        <w:tc>
          <w:tcPr>
            <w:tcW w:w="850" w:type="dxa"/>
            <w:tcBorders>
              <w:top w:val="single" w:sz="4" w:space="0" w:color="auto"/>
              <w:left w:val="single" w:sz="4" w:space="0" w:color="auto"/>
              <w:bottom w:val="single" w:sz="4" w:space="0" w:color="auto"/>
              <w:right w:val="single" w:sz="4" w:space="0" w:color="auto"/>
            </w:tcBorders>
          </w:tcPr>
          <w:p w14:paraId="763300FF"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IV</w:t>
            </w:r>
            <w:r w:rsidRPr="004B0E95">
              <w:rPr>
                <w:rFonts w:eastAsia="Times New Roman"/>
                <w:b/>
                <w:sz w:val="20"/>
                <w:szCs w:val="20"/>
                <w:u w:val="single"/>
                <w:vertAlign w:val="superscript"/>
                <w:lang w:eastAsia="es-MX"/>
              </w:rPr>
              <w:t>p</w:t>
            </w:r>
            <w:r w:rsidRPr="004B0E95">
              <w:rPr>
                <w:rFonts w:eastAsia="Times New Roman"/>
                <w:b/>
                <w:sz w:val="20"/>
                <w:szCs w:val="20"/>
                <w:vertAlign w:val="superscript"/>
                <w:lang w:eastAsia="es-MX"/>
              </w:rPr>
              <w:t>/</w:t>
            </w:r>
          </w:p>
        </w:tc>
        <w:tc>
          <w:tcPr>
            <w:tcW w:w="992" w:type="dxa"/>
            <w:vMerge/>
            <w:tcBorders>
              <w:top w:val="single" w:sz="4" w:space="0" w:color="auto"/>
              <w:left w:val="single" w:sz="4" w:space="0" w:color="auto"/>
              <w:bottom w:val="single" w:sz="4" w:space="0" w:color="auto"/>
              <w:right w:val="single" w:sz="4" w:space="0" w:color="auto"/>
            </w:tcBorders>
          </w:tcPr>
          <w:p w14:paraId="1DBA39B0" w14:textId="77777777" w:rsidR="004B0E95" w:rsidRPr="004B0E95" w:rsidRDefault="004B0E95" w:rsidP="004B0E95">
            <w:pPr>
              <w:tabs>
                <w:tab w:val="left" w:pos="1250"/>
              </w:tabs>
              <w:ind w:right="57"/>
              <w:jc w:val="center"/>
              <w:rPr>
                <w:rFonts w:eastAsia="Times New Roman"/>
                <w:sz w:val="20"/>
                <w:szCs w:val="20"/>
                <w:lang w:eastAsia="es-MX"/>
              </w:rPr>
            </w:pPr>
          </w:p>
        </w:tc>
      </w:tr>
      <w:tr w:rsidR="004B0E95" w:rsidRPr="004B0E95" w14:paraId="3B0B7147" w14:textId="77777777" w:rsidTr="008D28ED">
        <w:trPr>
          <w:jc w:val="center"/>
        </w:trPr>
        <w:tc>
          <w:tcPr>
            <w:tcW w:w="2977" w:type="dxa"/>
            <w:tcBorders>
              <w:top w:val="single" w:sz="4" w:space="0" w:color="auto"/>
              <w:left w:val="single" w:sz="4" w:space="0" w:color="auto"/>
              <w:bottom w:val="nil"/>
              <w:right w:val="single" w:sz="4" w:space="0" w:color="auto"/>
            </w:tcBorders>
          </w:tcPr>
          <w:p w14:paraId="2365EE66"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Producto Interno Bruto</w:t>
            </w:r>
          </w:p>
        </w:tc>
        <w:tc>
          <w:tcPr>
            <w:tcW w:w="850" w:type="dxa"/>
            <w:tcBorders>
              <w:top w:val="single" w:sz="4" w:space="0" w:color="auto"/>
              <w:left w:val="single" w:sz="4" w:space="0" w:color="auto"/>
              <w:bottom w:val="nil"/>
              <w:right w:val="single" w:sz="4" w:space="0" w:color="auto"/>
            </w:tcBorders>
          </w:tcPr>
          <w:p w14:paraId="18779766"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74.8</w:t>
            </w:r>
          </w:p>
        </w:tc>
        <w:tc>
          <w:tcPr>
            <w:tcW w:w="851" w:type="dxa"/>
            <w:tcBorders>
              <w:top w:val="single" w:sz="4" w:space="0" w:color="auto"/>
              <w:left w:val="single" w:sz="4" w:space="0" w:color="auto"/>
              <w:bottom w:val="nil"/>
              <w:right w:val="single" w:sz="4" w:space="0" w:color="auto"/>
            </w:tcBorders>
          </w:tcPr>
          <w:p w14:paraId="3EF7DD7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74.4</w:t>
            </w:r>
          </w:p>
        </w:tc>
        <w:tc>
          <w:tcPr>
            <w:tcW w:w="850" w:type="dxa"/>
            <w:tcBorders>
              <w:top w:val="single" w:sz="4" w:space="0" w:color="auto"/>
              <w:left w:val="single" w:sz="4" w:space="0" w:color="auto"/>
              <w:bottom w:val="nil"/>
              <w:right w:val="single" w:sz="4" w:space="0" w:color="auto"/>
            </w:tcBorders>
          </w:tcPr>
          <w:p w14:paraId="45F763DC"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74.2</w:t>
            </w:r>
          </w:p>
        </w:tc>
        <w:tc>
          <w:tcPr>
            <w:tcW w:w="992" w:type="dxa"/>
            <w:tcBorders>
              <w:top w:val="single" w:sz="4" w:space="0" w:color="auto"/>
              <w:left w:val="single" w:sz="4" w:space="0" w:color="auto"/>
              <w:bottom w:val="nil"/>
              <w:right w:val="single" w:sz="4" w:space="0" w:color="auto"/>
            </w:tcBorders>
          </w:tcPr>
          <w:p w14:paraId="3EBEDC05"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74.8</w:t>
            </w:r>
          </w:p>
        </w:tc>
      </w:tr>
      <w:tr w:rsidR="004B0E95" w:rsidRPr="004B0E95" w14:paraId="56C76BA3" w14:textId="77777777" w:rsidTr="00267DEA">
        <w:trPr>
          <w:jc w:val="center"/>
        </w:trPr>
        <w:tc>
          <w:tcPr>
            <w:tcW w:w="2977" w:type="dxa"/>
            <w:tcBorders>
              <w:top w:val="nil"/>
              <w:left w:val="single" w:sz="4" w:space="0" w:color="auto"/>
              <w:bottom w:val="nil"/>
              <w:right w:val="single" w:sz="4" w:space="0" w:color="auto"/>
            </w:tcBorders>
          </w:tcPr>
          <w:p w14:paraId="410572E1"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Importación de bienes y servicios</w:t>
            </w:r>
          </w:p>
        </w:tc>
        <w:tc>
          <w:tcPr>
            <w:tcW w:w="850" w:type="dxa"/>
            <w:tcBorders>
              <w:top w:val="nil"/>
              <w:left w:val="single" w:sz="4" w:space="0" w:color="auto"/>
              <w:bottom w:val="nil"/>
              <w:right w:val="single" w:sz="4" w:space="0" w:color="auto"/>
            </w:tcBorders>
          </w:tcPr>
          <w:p w14:paraId="09150386"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25.2</w:t>
            </w:r>
          </w:p>
        </w:tc>
        <w:tc>
          <w:tcPr>
            <w:tcW w:w="851" w:type="dxa"/>
            <w:tcBorders>
              <w:top w:val="nil"/>
              <w:left w:val="single" w:sz="4" w:space="0" w:color="auto"/>
              <w:bottom w:val="nil"/>
              <w:right w:val="single" w:sz="4" w:space="0" w:color="auto"/>
            </w:tcBorders>
          </w:tcPr>
          <w:p w14:paraId="0634E0BC"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25.6</w:t>
            </w:r>
          </w:p>
        </w:tc>
        <w:tc>
          <w:tcPr>
            <w:tcW w:w="850" w:type="dxa"/>
            <w:tcBorders>
              <w:top w:val="nil"/>
              <w:left w:val="single" w:sz="4" w:space="0" w:color="auto"/>
              <w:bottom w:val="nil"/>
              <w:right w:val="single" w:sz="4" w:space="0" w:color="auto"/>
            </w:tcBorders>
          </w:tcPr>
          <w:p w14:paraId="359E307D"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25.8</w:t>
            </w:r>
          </w:p>
        </w:tc>
        <w:tc>
          <w:tcPr>
            <w:tcW w:w="992" w:type="dxa"/>
            <w:tcBorders>
              <w:top w:val="nil"/>
              <w:left w:val="single" w:sz="4" w:space="0" w:color="auto"/>
              <w:bottom w:val="nil"/>
              <w:right w:val="single" w:sz="4" w:space="0" w:color="auto"/>
            </w:tcBorders>
          </w:tcPr>
          <w:p w14:paraId="10B6FAFD"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25.2</w:t>
            </w:r>
          </w:p>
        </w:tc>
      </w:tr>
      <w:tr w:rsidR="004B0E95" w:rsidRPr="004B0E95" w14:paraId="682ED130" w14:textId="77777777" w:rsidTr="00267DEA">
        <w:trPr>
          <w:jc w:val="center"/>
        </w:trPr>
        <w:tc>
          <w:tcPr>
            <w:tcW w:w="2977" w:type="dxa"/>
            <w:tcBorders>
              <w:top w:val="nil"/>
              <w:left w:val="single" w:sz="4" w:space="0" w:color="auto"/>
              <w:bottom w:val="nil"/>
              <w:right w:val="single" w:sz="4" w:space="0" w:color="auto"/>
            </w:tcBorders>
          </w:tcPr>
          <w:p w14:paraId="3B79411B"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Oferta y Demanda</w:t>
            </w:r>
          </w:p>
        </w:tc>
        <w:tc>
          <w:tcPr>
            <w:tcW w:w="850" w:type="dxa"/>
            <w:tcBorders>
              <w:top w:val="nil"/>
              <w:left w:val="single" w:sz="4" w:space="0" w:color="auto"/>
              <w:bottom w:val="nil"/>
              <w:right w:val="single" w:sz="4" w:space="0" w:color="auto"/>
            </w:tcBorders>
          </w:tcPr>
          <w:p w14:paraId="35C36A12"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100.0</w:t>
            </w:r>
          </w:p>
        </w:tc>
        <w:tc>
          <w:tcPr>
            <w:tcW w:w="851" w:type="dxa"/>
            <w:tcBorders>
              <w:top w:val="nil"/>
              <w:left w:val="single" w:sz="4" w:space="0" w:color="auto"/>
              <w:bottom w:val="nil"/>
              <w:right w:val="single" w:sz="4" w:space="0" w:color="auto"/>
            </w:tcBorders>
          </w:tcPr>
          <w:p w14:paraId="24C91666"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100.0</w:t>
            </w:r>
          </w:p>
        </w:tc>
        <w:tc>
          <w:tcPr>
            <w:tcW w:w="850" w:type="dxa"/>
            <w:tcBorders>
              <w:top w:val="nil"/>
              <w:left w:val="single" w:sz="4" w:space="0" w:color="auto"/>
              <w:bottom w:val="nil"/>
              <w:right w:val="single" w:sz="4" w:space="0" w:color="auto"/>
            </w:tcBorders>
          </w:tcPr>
          <w:p w14:paraId="516D0312"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100.0</w:t>
            </w:r>
          </w:p>
        </w:tc>
        <w:tc>
          <w:tcPr>
            <w:tcW w:w="992" w:type="dxa"/>
            <w:tcBorders>
              <w:top w:val="nil"/>
              <w:left w:val="single" w:sz="4" w:space="0" w:color="auto"/>
              <w:bottom w:val="nil"/>
              <w:right w:val="single" w:sz="4" w:space="0" w:color="auto"/>
            </w:tcBorders>
          </w:tcPr>
          <w:p w14:paraId="5E1BB655" w14:textId="77777777" w:rsidR="004B0E95" w:rsidRPr="004B0E95" w:rsidRDefault="004B0E95" w:rsidP="004B0E95">
            <w:pPr>
              <w:tabs>
                <w:tab w:val="left" w:pos="1250"/>
              </w:tabs>
              <w:ind w:right="227"/>
              <w:jc w:val="right"/>
              <w:rPr>
                <w:rFonts w:eastAsia="Times New Roman"/>
                <w:b/>
                <w:sz w:val="20"/>
                <w:szCs w:val="20"/>
                <w:lang w:eastAsia="es-MX"/>
              </w:rPr>
            </w:pPr>
            <w:r w:rsidRPr="004B0E95">
              <w:rPr>
                <w:rFonts w:eastAsia="Times New Roman"/>
                <w:b/>
                <w:sz w:val="20"/>
                <w:szCs w:val="20"/>
                <w:lang w:eastAsia="es-MX"/>
              </w:rPr>
              <w:t>100.0</w:t>
            </w:r>
          </w:p>
        </w:tc>
      </w:tr>
      <w:tr w:rsidR="004B0E95" w:rsidRPr="004B0E95" w14:paraId="019D68EA" w14:textId="77777777" w:rsidTr="00267DEA">
        <w:trPr>
          <w:jc w:val="center"/>
        </w:trPr>
        <w:tc>
          <w:tcPr>
            <w:tcW w:w="2977" w:type="dxa"/>
            <w:tcBorders>
              <w:top w:val="nil"/>
              <w:left w:val="single" w:sz="4" w:space="0" w:color="auto"/>
              <w:bottom w:val="nil"/>
              <w:right w:val="single" w:sz="4" w:space="0" w:color="auto"/>
            </w:tcBorders>
          </w:tcPr>
          <w:p w14:paraId="671C175F"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Privado</w:t>
            </w:r>
          </w:p>
        </w:tc>
        <w:tc>
          <w:tcPr>
            <w:tcW w:w="850" w:type="dxa"/>
            <w:tcBorders>
              <w:top w:val="nil"/>
              <w:left w:val="single" w:sz="4" w:space="0" w:color="auto"/>
              <w:bottom w:val="nil"/>
              <w:right w:val="single" w:sz="4" w:space="0" w:color="auto"/>
            </w:tcBorders>
          </w:tcPr>
          <w:p w14:paraId="3BB977CC"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50.5</w:t>
            </w:r>
          </w:p>
        </w:tc>
        <w:tc>
          <w:tcPr>
            <w:tcW w:w="851" w:type="dxa"/>
            <w:tcBorders>
              <w:top w:val="nil"/>
              <w:left w:val="single" w:sz="4" w:space="0" w:color="auto"/>
              <w:bottom w:val="nil"/>
              <w:right w:val="single" w:sz="4" w:space="0" w:color="auto"/>
            </w:tcBorders>
          </w:tcPr>
          <w:p w14:paraId="5535903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51.5</w:t>
            </w:r>
          </w:p>
        </w:tc>
        <w:tc>
          <w:tcPr>
            <w:tcW w:w="850" w:type="dxa"/>
            <w:tcBorders>
              <w:top w:val="nil"/>
              <w:left w:val="single" w:sz="4" w:space="0" w:color="auto"/>
              <w:bottom w:val="nil"/>
              <w:right w:val="single" w:sz="4" w:space="0" w:color="auto"/>
            </w:tcBorders>
          </w:tcPr>
          <w:p w14:paraId="02EB9124"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51.7</w:t>
            </w:r>
          </w:p>
        </w:tc>
        <w:tc>
          <w:tcPr>
            <w:tcW w:w="992" w:type="dxa"/>
            <w:tcBorders>
              <w:top w:val="nil"/>
              <w:left w:val="single" w:sz="4" w:space="0" w:color="auto"/>
              <w:bottom w:val="nil"/>
              <w:right w:val="single" w:sz="4" w:space="0" w:color="auto"/>
            </w:tcBorders>
          </w:tcPr>
          <w:p w14:paraId="222BB3CC"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51.3</w:t>
            </w:r>
          </w:p>
        </w:tc>
      </w:tr>
      <w:tr w:rsidR="004B0E95" w:rsidRPr="004B0E95" w14:paraId="3DDF70B8" w14:textId="77777777" w:rsidTr="00267DEA">
        <w:trPr>
          <w:jc w:val="center"/>
        </w:trPr>
        <w:tc>
          <w:tcPr>
            <w:tcW w:w="2977" w:type="dxa"/>
            <w:tcBorders>
              <w:top w:val="nil"/>
              <w:left w:val="single" w:sz="4" w:space="0" w:color="auto"/>
              <w:bottom w:val="nil"/>
              <w:right w:val="single" w:sz="4" w:space="0" w:color="auto"/>
            </w:tcBorders>
          </w:tcPr>
          <w:p w14:paraId="0ECE8E49"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de Gobierno</w:t>
            </w:r>
          </w:p>
        </w:tc>
        <w:tc>
          <w:tcPr>
            <w:tcW w:w="850" w:type="dxa"/>
            <w:tcBorders>
              <w:top w:val="nil"/>
              <w:left w:val="single" w:sz="4" w:space="0" w:color="auto"/>
              <w:bottom w:val="nil"/>
              <w:right w:val="single" w:sz="4" w:space="0" w:color="auto"/>
            </w:tcBorders>
          </w:tcPr>
          <w:p w14:paraId="25353F9E"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9.0</w:t>
            </w:r>
          </w:p>
        </w:tc>
        <w:tc>
          <w:tcPr>
            <w:tcW w:w="851" w:type="dxa"/>
            <w:tcBorders>
              <w:top w:val="nil"/>
              <w:left w:val="single" w:sz="4" w:space="0" w:color="auto"/>
              <w:bottom w:val="nil"/>
              <w:right w:val="single" w:sz="4" w:space="0" w:color="auto"/>
            </w:tcBorders>
          </w:tcPr>
          <w:p w14:paraId="06D65F1D"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9.1</w:t>
            </w:r>
          </w:p>
        </w:tc>
        <w:tc>
          <w:tcPr>
            <w:tcW w:w="850" w:type="dxa"/>
            <w:tcBorders>
              <w:top w:val="nil"/>
              <w:left w:val="single" w:sz="4" w:space="0" w:color="auto"/>
              <w:bottom w:val="nil"/>
              <w:right w:val="single" w:sz="4" w:space="0" w:color="auto"/>
            </w:tcBorders>
          </w:tcPr>
          <w:p w14:paraId="690B9B0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9.2</w:t>
            </w:r>
          </w:p>
        </w:tc>
        <w:tc>
          <w:tcPr>
            <w:tcW w:w="992" w:type="dxa"/>
            <w:tcBorders>
              <w:top w:val="nil"/>
              <w:left w:val="single" w:sz="4" w:space="0" w:color="auto"/>
              <w:bottom w:val="nil"/>
              <w:right w:val="single" w:sz="4" w:space="0" w:color="auto"/>
            </w:tcBorders>
          </w:tcPr>
          <w:p w14:paraId="7D479300"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9.2</w:t>
            </w:r>
          </w:p>
        </w:tc>
      </w:tr>
      <w:tr w:rsidR="004B0E95" w:rsidRPr="004B0E95" w14:paraId="689A35C0" w14:textId="77777777" w:rsidTr="00267DEA">
        <w:trPr>
          <w:jc w:val="center"/>
        </w:trPr>
        <w:tc>
          <w:tcPr>
            <w:tcW w:w="2977" w:type="dxa"/>
            <w:tcBorders>
              <w:top w:val="nil"/>
              <w:left w:val="single" w:sz="4" w:space="0" w:color="auto"/>
              <w:bottom w:val="nil"/>
              <w:right w:val="single" w:sz="4" w:space="0" w:color="auto"/>
            </w:tcBorders>
          </w:tcPr>
          <w:p w14:paraId="3FF4174A"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Formación Bruta de Capital Fijo</w:t>
            </w:r>
          </w:p>
        </w:tc>
        <w:tc>
          <w:tcPr>
            <w:tcW w:w="850" w:type="dxa"/>
            <w:tcBorders>
              <w:top w:val="nil"/>
              <w:left w:val="single" w:sz="4" w:space="0" w:color="auto"/>
              <w:bottom w:val="nil"/>
              <w:right w:val="single" w:sz="4" w:space="0" w:color="auto"/>
            </w:tcBorders>
          </w:tcPr>
          <w:p w14:paraId="122E4090"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15.3</w:t>
            </w:r>
          </w:p>
        </w:tc>
        <w:tc>
          <w:tcPr>
            <w:tcW w:w="851" w:type="dxa"/>
            <w:tcBorders>
              <w:top w:val="nil"/>
              <w:left w:val="single" w:sz="4" w:space="0" w:color="auto"/>
              <w:bottom w:val="nil"/>
              <w:right w:val="single" w:sz="4" w:space="0" w:color="auto"/>
            </w:tcBorders>
          </w:tcPr>
          <w:p w14:paraId="136F7D27"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15.9</w:t>
            </w:r>
          </w:p>
        </w:tc>
        <w:tc>
          <w:tcPr>
            <w:tcW w:w="850" w:type="dxa"/>
            <w:tcBorders>
              <w:top w:val="nil"/>
              <w:left w:val="single" w:sz="4" w:space="0" w:color="auto"/>
              <w:bottom w:val="nil"/>
              <w:right w:val="single" w:sz="4" w:space="0" w:color="auto"/>
            </w:tcBorders>
          </w:tcPr>
          <w:p w14:paraId="3720F46B"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16.6</w:t>
            </w:r>
          </w:p>
        </w:tc>
        <w:tc>
          <w:tcPr>
            <w:tcW w:w="992" w:type="dxa"/>
            <w:tcBorders>
              <w:top w:val="nil"/>
              <w:left w:val="single" w:sz="4" w:space="0" w:color="auto"/>
              <w:bottom w:val="nil"/>
              <w:right w:val="single" w:sz="4" w:space="0" w:color="auto"/>
            </w:tcBorders>
          </w:tcPr>
          <w:p w14:paraId="064D9001"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15.7</w:t>
            </w:r>
          </w:p>
        </w:tc>
      </w:tr>
      <w:tr w:rsidR="004B0E95" w:rsidRPr="004B0E95" w14:paraId="277BE69E" w14:textId="77777777" w:rsidTr="00267DEA">
        <w:trPr>
          <w:jc w:val="center"/>
        </w:trPr>
        <w:tc>
          <w:tcPr>
            <w:tcW w:w="2977" w:type="dxa"/>
            <w:tcBorders>
              <w:top w:val="nil"/>
              <w:left w:val="single" w:sz="4" w:space="0" w:color="auto"/>
              <w:bottom w:val="nil"/>
              <w:right w:val="single" w:sz="4" w:space="0" w:color="auto"/>
            </w:tcBorders>
          </w:tcPr>
          <w:p w14:paraId="7F0CFA36"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Variación de Existencias</w:t>
            </w:r>
          </w:p>
        </w:tc>
        <w:tc>
          <w:tcPr>
            <w:tcW w:w="850" w:type="dxa"/>
            <w:tcBorders>
              <w:top w:val="nil"/>
              <w:left w:val="single" w:sz="4" w:space="0" w:color="auto"/>
              <w:bottom w:val="nil"/>
              <w:right w:val="single" w:sz="4" w:space="0" w:color="auto"/>
            </w:tcBorders>
          </w:tcPr>
          <w:p w14:paraId="2FE7E64D"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0.9</w:t>
            </w:r>
          </w:p>
        </w:tc>
        <w:tc>
          <w:tcPr>
            <w:tcW w:w="851" w:type="dxa"/>
            <w:tcBorders>
              <w:top w:val="nil"/>
              <w:left w:val="single" w:sz="4" w:space="0" w:color="auto"/>
              <w:bottom w:val="nil"/>
              <w:right w:val="single" w:sz="4" w:space="0" w:color="auto"/>
            </w:tcBorders>
          </w:tcPr>
          <w:p w14:paraId="6E7AD50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0.3</w:t>
            </w:r>
          </w:p>
        </w:tc>
        <w:tc>
          <w:tcPr>
            <w:tcW w:w="850" w:type="dxa"/>
            <w:tcBorders>
              <w:top w:val="nil"/>
              <w:left w:val="single" w:sz="4" w:space="0" w:color="auto"/>
              <w:bottom w:val="nil"/>
              <w:right w:val="single" w:sz="4" w:space="0" w:color="auto"/>
            </w:tcBorders>
          </w:tcPr>
          <w:p w14:paraId="794BBBE4"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0.7</w:t>
            </w:r>
          </w:p>
        </w:tc>
        <w:tc>
          <w:tcPr>
            <w:tcW w:w="992" w:type="dxa"/>
            <w:tcBorders>
              <w:top w:val="nil"/>
              <w:left w:val="single" w:sz="4" w:space="0" w:color="auto"/>
              <w:bottom w:val="nil"/>
              <w:right w:val="single" w:sz="4" w:space="0" w:color="auto"/>
            </w:tcBorders>
          </w:tcPr>
          <w:p w14:paraId="69742352"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0.7</w:t>
            </w:r>
          </w:p>
        </w:tc>
      </w:tr>
      <w:tr w:rsidR="004B0E95" w:rsidRPr="004B0E95" w14:paraId="772B4AAE" w14:textId="77777777" w:rsidTr="00267DEA">
        <w:trPr>
          <w:jc w:val="center"/>
        </w:trPr>
        <w:tc>
          <w:tcPr>
            <w:tcW w:w="2977" w:type="dxa"/>
            <w:tcBorders>
              <w:top w:val="nil"/>
              <w:left w:val="single" w:sz="4" w:space="0" w:color="auto"/>
              <w:bottom w:val="nil"/>
              <w:right w:val="single" w:sz="4" w:space="0" w:color="auto"/>
            </w:tcBorders>
          </w:tcPr>
          <w:p w14:paraId="574B0F78"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Exportación de bienes y servicios</w:t>
            </w:r>
          </w:p>
        </w:tc>
        <w:tc>
          <w:tcPr>
            <w:tcW w:w="850" w:type="dxa"/>
            <w:tcBorders>
              <w:top w:val="nil"/>
              <w:left w:val="single" w:sz="4" w:space="0" w:color="auto"/>
              <w:bottom w:val="nil"/>
              <w:right w:val="single" w:sz="4" w:space="0" w:color="auto"/>
            </w:tcBorders>
          </w:tcPr>
          <w:p w14:paraId="759D40CA"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24.8</w:t>
            </w:r>
          </w:p>
        </w:tc>
        <w:tc>
          <w:tcPr>
            <w:tcW w:w="851" w:type="dxa"/>
            <w:tcBorders>
              <w:top w:val="nil"/>
              <w:left w:val="single" w:sz="4" w:space="0" w:color="auto"/>
              <w:bottom w:val="nil"/>
              <w:right w:val="single" w:sz="4" w:space="0" w:color="auto"/>
            </w:tcBorders>
          </w:tcPr>
          <w:p w14:paraId="2CCB6930"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24.5</w:t>
            </w:r>
          </w:p>
        </w:tc>
        <w:tc>
          <w:tcPr>
            <w:tcW w:w="850" w:type="dxa"/>
            <w:tcBorders>
              <w:top w:val="nil"/>
              <w:left w:val="single" w:sz="4" w:space="0" w:color="auto"/>
              <w:bottom w:val="nil"/>
              <w:right w:val="single" w:sz="4" w:space="0" w:color="auto"/>
            </w:tcBorders>
          </w:tcPr>
          <w:p w14:paraId="128F2E2E"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25.2</w:t>
            </w:r>
          </w:p>
        </w:tc>
        <w:tc>
          <w:tcPr>
            <w:tcW w:w="992" w:type="dxa"/>
            <w:tcBorders>
              <w:top w:val="nil"/>
              <w:left w:val="single" w:sz="4" w:space="0" w:color="auto"/>
              <w:bottom w:val="nil"/>
              <w:right w:val="single" w:sz="4" w:space="0" w:color="auto"/>
            </w:tcBorders>
          </w:tcPr>
          <w:p w14:paraId="19EB6917"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24.5</w:t>
            </w:r>
          </w:p>
        </w:tc>
      </w:tr>
      <w:tr w:rsidR="004B0E95" w:rsidRPr="004B0E95" w14:paraId="7EE6BA84" w14:textId="77777777" w:rsidTr="00267DEA">
        <w:trPr>
          <w:jc w:val="center"/>
        </w:trPr>
        <w:tc>
          <w:tcPr>
            <w:tcW w:w="2977" w:type="dxa"/>
            <w:tcBorders>
              <w:top w:val="nil"/>
              <w:left w:val="single" w:sz="4" w:space="0" w:color="auto"/>
              <w:bottom w:val="single" w:sz="4" w:space="0" w:color="auto"/>
              <w:right w:val="single" w:sz="4" w:space="0" w:color="auto"/>
            </w:tcBorders>
          </w:tcPr>
          <w:p w14:paraId="52DCDF4F"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Discrepancia Estadística</w:t>
            </w:r>
          </w:p>
        </w:tc>
        <w:tc>
          <w:tcPr>
            <w:tcW w:w="850" w:type="dxa"/>
            <w:tcBorders>
              <w:top w:val="nil"/>
              <w:left w:val="single" w:sz="4" w:space="0" w:color="auto"/>
              <w:bottom w:val="single" w:sz="4" w:space="0" w:color="auto"/>
              <w:right w:val="single" w:sz="4" w:space="0" w:color="auto"/>
            </w:tcBorders>
          </w:tcPr>
          <w:p w14:paraId="7E6FBB54"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-0.6</w:t>
            </w:r>
          </w:p>
        </w:tc>
        <w:tc>
          <w:tcPr>
            <w:tcW w:w="851" w:type="dxa"/>
            <w:tcBorders>
              <w:top w:val="nil"/>
              <w:left w:val="single" w:sz="4" w:space="0" w:color="auto"/>
              <w:bottom w:val="single" w:sz="4" w:space="0" w:color="auto"/>
              <w:right w:val="single" w:sz="4" w:space="0" w:color="auto"/>
            </w:tcBorders>
          </w:tcPr>
          <w:p w14:paraId="1F72795B"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-1.4</w:t>
            </w:r>
          </w:p>
        </w:tc>
        <w:tc>
          <w:tcPr>
            <w:tcW w:w="850" w:type="dxa"/>
            <w:tcBorders>
              <w:top w:val="nil"/>
              <w:left w:val="single" w:sz="4" w:space="0" w:color="auto"/>
              <w:bottom w:val="single" w:sz="4" w:space="0" w:color="auto"/>
              <w:right w:val="single" w:sz="4" w:space="0" w:color="auto"/>
            </w:tcBorders>
          </w:tcPr>
          <w:p w14:paraId="05A66B02"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-3.4</w:t>
            </w:r>
          </w:p>
        </w:tc>
        <w:tc>
          <w:tcPr>
            <w:tcW w:w="992" w:type="dxa"/>
            <w:tcBorders>
              <w:top w:val="nil"/>
              <w:left w:val="single" w:sz="4" w:space="0" w:color="auto"/>
              <w:bottom w:val="single" w:sz="4" w:space="0" w:color="auto"/>
              <w:right w:val="single" w:sz="4" w:space="0" w:color="auto"/>
            </w:tcBorders>
          </w:tcPr>
          <w:p w14:paraId="5C63E220" w14:textId="77777777" w:rsidR="004B0E95" w:rsidRPr="004B0E95" w:rsidRDefault="004B0E95" w:rsidP="004B0E95">
            <w:pPr>
              <w:tabs>
                <w:tab w:val="left" w:pos="1250"/>
              </w:tabs>
              <w:ind w:right="227"/>
              <w:jc w:val="right"/>
              <w:rPr>
                <w:rFonts w:eastAsia="Times New Roman"/>
                <w:sz w:val="20"/>
                <w:szCs w:val="20"/>
                <w:lang w:eastAsia="es-MX"/>
              </w:rPr>
            </w:pPr>
            <w:r w:rsidRPr="004B0E95">
              <w:rPr>
                <w:rFonts w:eastAsia="Times New Roman"/>
                <w:sz w:val="20"/>
                <w:szCs w:val="20"/>
                <w:lang w:eastAsia="es-MX"/>
              </w:rPr>
              <w:t>-1.4</w:t>
            </w:r>
          </w:p>
        </w:tc>
      </w:tr>
      <w:tr w:rsidR="004B0E95" w:rsidRPr="004B0E95" w14:paraId="2EAAD95E" w14:textId="77777777" w:rsidTr="004B0E95">
        <w:trPr>
          <w:jc w:val="center"/>
        </w:trPr>
        <w:tc>
          <w:tcPr>
            <w:tcW w:w="6520" w:type="dxa"/>
            <w:gridSpan w:val="5"/>
            <w:tcBorders>
              <w:left w:val="nil"/>
              <w:bottom w:val="nil"/>
              <w:right w:val="nil"/>
            </w:tcBorders>
          </w:tcPr>
          <w:p w14:paraId="748E526F" w14:textId="77777777" w:rsidR="004B0E95" w:rsidRPr="004B0E95" w:rsidRDefault="004B0E95" w:rsidP="004B0E95">
            <w:pPr>
              <w:tabs>
                <w:tab w:val="left" w:pos="1250"/>
              </w:tabs>
              <w:ind w:left="510" w:right="57" w:hanging="510"/>
              <w:rPr>
                <w:rFonts w:eastAsia="Times New Roman"/>
                <w:sz w:val="20"/>
                <w:szCs w:val="20"/>
                <w:lang w:eastAsia="es-MX"/>
              </w:rPr>
            </w:pPr>
            <w:r w:rsidRPr="004B0E95">
              <w:rPr>
                <w:rFonts w:eastAsia="Times New Roman"/>
                <w:sz w:val="20"/>
                <w:szCs w:val="20"/>
                <w:lang w:eastAsia="es-MX"/>
              </w:rPr>
              <w:t>Nota: La sumatoria de los porcentajes puede no coincidir por el redondeo de las cifras.</w:t>
            </w:r>
          </w:p>
          <w:p w14:paraId="12FD6F87"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p</w:t>
            </w:r>
            <w:r w:rsidRPr="004B0E95">
              <w:rPr>
                <w:rFonts w:eastAsia="Times New Roman"/>
                <w:sz w:val="20"/>
                <w:szCs w:val="20"/>
                <w:lang w:eastAsia="es-MX"/>
              </w:rPr>
              <w:t>/ Cifras preliminares.</w:t>
            </w:r>
          </w:p>
          <w:p w14:paraId="1FAC439E"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R</w:t>
            </w:r>
            <w:r w:rsidRPr="004B0E95">
              <w:rPr>
                <w:rFonts w:eastAsia="Times New Roman"/>
                <w:sz w:val="20"/>
                <w:szCs w:val="20"/>
                <w:lang w:eastAsia="es-MX"/>
              </w:rPr>
              <w:t>/ Cifras revisadas.</w:t>
            </w:r>
          </w:p>
        </w:tc>
      </w:tr>
      <w:tr w:rsidR="004B0E95" w:rsidRPr="004B0E95" w14:paraId="20B230E1" w14:textId="77777777" w:rsidTr="004B0E95">
        <w:trPr>
          <w:jc w:val="center"/>
        </w:trPr>
        <w:tc>
          <w:tcPr>
            <w:tcW w:w="6520" w:type="dxa"/>
            <w:gridSpan w:val="5"/>
            <w:tcBorders>
              <w:top w:val="nil"/>
              <w:left w:val="nil"/>
              <w:bottom w:val="nil"/>
              <w:right w:val="nil"/>
            </w:tcBorders>
          </w:tcPr>
          <w:p w14:paraId="6B61C43C"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FUENTE: INEGI.</w:t>
            </w:r>
          </w:p>
        </w:tc>
      </w:tr>
    </w:tbl>
    <w:p w14:paraId="6F09DD9C" w14:textId="77777777" w:rsidR="004B0E95" w:rsidRPr="004B0E95" w:rsidRDefault="004B0E95" w:rsidP="004B0E95">
      <w:pPr>
        <w:spacing w:after="360" w:line="360" w:lineRule="auto"/>
        <w:ind w:right="-159"/>
        <w:jc w:val="both"/>
        <w:rPr>
          <w:rFonts w:eastAsia="Times New Roman"/>
          <w:sz w:val="26"/>
          <w:szCs w:val="26"/>
          <w:lang w:eastAsia="es-MX"/>
        </w:rPr>
      </w:pPr>
    </w:p>
    <w:p w14:paraId="68879A83" w14:textId="77777777" w:rsidR="004B0E95" w:rsidRDefault="004B0E95" w:rsidP="004B0E95">
      <w:pPr>
        <w:spacing w:after="360" w:line="360" w:lineRule="auto"/>
        <w:ind w:right="-159"/>
        <w:jc w:val="both"/>
        <w:rPr>
          <w:rFonts w:eastAsia="Times New Roman"/>
          <w:sz w:val="26"/>
          <w:szCs w:val="26"/>
          <w:lang w:eastAsia="es-MX"/>
        </w:rPr>
      </w:pPr>
      <w:r w:rsidRPr="004B0E95">
        <w:rPr>
          <w:rFonts w:eastAsia="Times New Roman"/>
          <w:sz w:val="26"/>
          <w:szCs w:val="26"/>
          <w:lang w:eastAsia="es-MX"/>
        </w:rPr>
        <w:t>En el cuadro siguiente se muestra el comportamiento de los precios implícitos de los componentes de la Oferta y Demanda Global de Bienes y Servicios.</w:t>
      </w:r>
    </w:p>
    <w:p w14:paraId="491720E6" w14:textId="77777777" w:rsidR="00C17C57" w:rsidRDefault="00C17C57" w:rsidP="004B0E95">
      <w:pPr>
        <w:spacing w:after="360" w:line="360" w:lineRule="auto"/>
        <w:ind w:right="-159"/>
        <w:jc w:val="both"/>
        <w:rPr>
          <w:rFonts w:eastAsia="Times New Roman"/>
          <w:sz w:val="26"/>
          <w:szCs w:val="26"/>
          <w:lang w:eastAsia="es-MX"/>
        </w:rPr>
      </w:pPr>
    </w:p>
    <w:p w14:paraId="1755F6DE" w14:textId="77777777" w:rsidR="00C17C57" w:rsidRDefault="00C17C57" w:rsidP="004B0E95">
      <w:pPr>
        <w:spacing w:after="360" w:line="360" w:lineRule="auto"/>
        <w:ind w:right="-159"/>
        <w:jc w:val="both"/>
        <w:rPr>
          <w:rFonts w:eastAsia="Times New Roman"/>
          <w:sz w:val="26"/>
          <w:szCs w:val="26"/>
          <w:lang w:eastAsia="es-MX"/>
        </w:rPr>
      </w:pPr>
    </w:p>
    <w:p w14:paraId="08D393AB" w14:textId="77777777" w:rsidR="00E6455F" w:rsidRDefault="00E6455F" w:rsidP="004B0E95">
      <w:pPr>
        <w:spacing w:after="360" w:line="360" w:lineRule="auto"/>
        <w:ind w:right="-159"/>
        <w:jc w:val="both"/>
        <w:rPr>
          <w:rFonts w:eastAsia="Times New Roman"/>
          <w:sz w:val="26"/>
          <w:szCs w:val="26"/>
          <w:lang w:eastAsia="es-MX"/>
        </w:rPr>
      </w:pPr>
    </w:p>
    <w:p w14:paraId="37D4AFE2" w14:textId="77777777" w:rsidR="00E6455F" w:rsidRDefault="00E6455F" w:rsidP="004B0E95">
      <w:pPr>
        <w:spacing w:after="360" w:line="360" w:lineRule="auto"/>
        <w:ind w:right="-159"/>
        <w:jc w:val="both"/>
        <w:rPr>
          <w:rFonts w:eastAsia="Times New Roman"/>
          <w:sz w:val="26"/>
          <w:szCs w:val="26"/>
          <w:lang w:eastAsia="es-MX"/>
        </w:rPr>
      </w:pPr>
    </w:p>
    <w:p w14:paraId="20F5D832" w14:textId="77777777" w:rsidR="00C17C57" w:rsidRPr="004B0E95" w:rsidRDefault="00C17C57" w:rsidP="004B0E95">
      <w:pPr>
        <w:spacing w:after="360" w:line="360" w:lineRule="auto"/>
        <w:ind w:right="-159"/>
        <w:jc w:val="both"/>
        <w:rPr>
          <w:rFonts w:eastAsia="Times New Roman"/>
          <w:sz w:val="26"/>
          <w:szCs w:val="26"/>
          <w:lang w:eastAsia="es-MX"/>
        </w:rPr>
      </w:pPr>
    </w:p>
    <w:tbl>
      <w:tblPr>
        <w:tblW w:w="6521" w:type="dxa"/>
        <w:jc w:val="center"/>
        <w:tblLayout w:type="fixed"/>
        <w:tblLook w:val="04A0" w:firstRow="1" w:lastRow="0" w:firstColumn="1" w:lastColumn="0" w:noHBand="0" w:noVBand="1"/>
      </w:tblPr>
      <w:tblGrid>
        <w:gridCol w:w="3035"/>
        <w:gridCol w:w="851"/>
        <w:gridCol w:w="850"/>
        <w:gridCol w:w="793"/>
        <w:gridCol w:w="992"/>
      </w:tblGrid>
      <w:tr w:rsidR="004B0E95" w:rsidRPr="004B0E95" w14:paraId="199B2731" w14:textId="77777777" w:rsidTr="00BA537E">
        <w:trPr>
          <w:jc w:val="center"/>
        </w:trPr>
        <w:tc>
          <w:tcPr>
            <w:tcW w:w="6521" w:type="dxa"/>
            <w:gridSpan w:val="5"/>
            <w:tcBorders>
              <w:top w:val="nil"/>
              <w:left w:val="nil"/>
              <w:bottom w:val="single" w:sz="4" w:space="0" w:color="auto"/>
              <w:right w:val="nil"/>
            </w:tcBorders>
          </w:tcPr>
          <w:p w14:paraId="353F82B6" w14:textId="77777777" w:rsidR="004B0E95" w:rsidRPr="004B0E95" w:rsidRDefault="004B0E95" w:rsidP="004B0E95">
            <w:pPr>
              <w:tabs>
                <w:tab w:val="left" w:pos="1250"/>
              </w:tabs>
              <w:ind w:right="57"/>
              <w:jc w:val="center"/>
              <w:rPr>
                <w:rFonts w:eastAsia="Times New Roman"/>
                <w:b/>
                <w:sz w:val="22"/>
                <w:szCs w:val="22"/>
                <w:lang w:eastAsia="es-MX"/>
              </w:rPr>
            </w:pPr>
            <w:r w:rsidRPr="004B0E95">
              <w:rPr>
                <w:rFonts w:eastAsia="Times New Roman"/>
                <w:b/>
                <w:sz w:val="22"/>
                <w:szCs w:val="22"/>
                <w:lang w:eastAsia="es-MX"/>
              </w:rPr>
              <w:lastRenderedPageBreak/>
              <w:t>PRECIOS IMPLÍCITOS DE LA OFERTA Y DEMANDA GLOBAL DE BIENES Y SERVICIOS AL CUARTO TRIMESTRE DE 2014</w:t>
            </w:r>
          </w:p>
          <w:p w14:paraId="608641E7" w14:textId="77777777" w:rsidR="004B0E95" w:rsidRPr="004B0E95" w:rsidRDefault="004B0E95" w:rsidP="004B0E95">
            <w:pPr>
              <w:tabs>
                <w:tab w:val="left" w:pos="1250"/>
              </w:tabs>
              <w:ind w:right="57"/>
              <w:jc w:val="center"/>
              <w:rPr>
                <w:rFonts w:eastAsia="Times New Roman"/>
                <w:sz w:val="20"/>
                <w:szCs w:val="20"/>
                <w:lang w:eastAsia="es-MX"/>
              </w:rPr>
            </w:pPr>
            <w:r w:rsidRPr="004B0E95">
              <w:rPr>
                <w:rFonts w:eastAsia="Times New Roman"/>
                <w:b/>
                <w:sz w:val="22"/>
                <w:szCs w:val="22"/>
                <w:lang w:eastAsia="es-MX"/>
              </w:rPr>
              <w:t>-Variación porcentual respecto al mismo período del año anterior-</w:t>
            </w:r>
          </w:p>
        </w:tc>
      </w:tr>
      <w:tr w:rsidR="004B0E95" w:rsidRPr="004B0E95" w14:paraId="5DA74558" w14:textId="77777777" w:rsidTr="00BA537E">
        <w:trPr>
          <w:jc w:val="center"/>
        </w:trPr>
        <w:tc>
          <w:tcPr>
            <w:tcW w:w="3035" w:type="dxa"/>
            <w:vMerge w:val="restart"/>
            <w:tcBorders>
              <w:top w:val="single" w:sz="4" w:space="0" w:color="auto"/>
              <w:left w:val="single" w:sz="4" w:space="0" w:color="auto"/>
              <w:bottom w:val="single" w:sz="4" w:space="0" w:color="auto"/>
              <w:right w:val="single" w:sz="4" w:space="0" w:color="auto"/>
            </w:tcBorders>
            <w:vAlign w:val="center"/>
          </w:tcPr>
          <w:p w14:paraId="703B4855"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Concepto</w:t>
            </w:r>
          </w:p>
        </w:tc>
        <w:tc>
          <w:tcPr>
            <w:tcW w:w="3486" w:type="dxa"/>
            <w:gridSpan w:val="4"/>
            <w:tcBorders>
              <w:top w:val="single" w:sz="4" w:space="0" w:color="auto"/>
              <w:left w:val="single" w:sz="4" w:space="0" w:color="auto"/>
              <w:bottom w:val="single" w:sz="4" w:space="0" w:color="auto"/>
              <w:right w:val="single" w:sz="4" w:space="0" w:color="auto"/>
            </w:tcBorders>
          </w:tcPr>
          <w:p w14:paraId="2D52D44C"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2014</w:t>
            </w:r>
            <w:r w:rsidRPr="004B0E95">
              <w:rPr>
                <w:rFonts w:eastAsia="Times New Roman"/>
                <w:b/>
                <w:sz w:val="20"/>
                <w:szCs w:val="20"/>
                <w:u w:val="single"/>
                <w:vertAlign w:val="superscript"/>
                <w:lang w:eastAsia="es-MX"/>
              </w:rPr>
              <w:t>R</w:t>
            </w:r>
            <w:r w:rsidRPr="004B0E95">
              <w:rPr>
                <w:rFonts w:eastAsia="Times New Roman"/>
                <w:b/>
                <w:sz w:val="20"/>
                <w:szCs w:val="20"/>
                <w:vertAlign w:val="superscript"/>
                <w:lang w:eastAsia="es-MX"/>
              </w:rPr>
              <w:t>/</w:t>
            </w:r>
          </w:p>
        </w:tc>
      </w:tr>
      <w:tr w:rsidR="004B0E95" w:rsidRPr="004B0E95" w14:paraId="69C4A1A4" w14:textId="77777777" w:rsidTr="00E6455F">
        <w:trPr>
          <w:jc w:val="center"/>
        </w:trPr>
        <w:tc>
          <w:tcPr>
            <w:tcW w:w="3035" w:type="dxa"/>
            <w:vMerge/>
            <w:tcBorders>
              <w:top w:val="single" w:sz="4" w:space="0" w:color="auto"/>
              <w:left w:val="single" w:sz="4" w:space="0" w:color="auto"/>
              <w:bottom w:val="single" w:sz="4" w:space="0" w:color="auto"/>
              <w:right w:val="single" w:sz="4" w:space="0" w:color="auto"/>
            </w:tcBorders>
          </w:tcPr>
          <w:p w14:paraId="751C23B9" w14:textId="77777777" w:rsidR="004B0E95" w:rsidRPr="004B0E95" w:rsidRDefault="004B0E95" w:rsidP="004B0E95">
            <w:pPr>
              <w:tabs>
                <w:tab w:val="left" w:pos="1250"/>
              </w:tabs>
              <w:ind w:right="57"/>
              <w:rPr>
                <w:rFonts w:eastAsia="Times New Roman"/>
                <w:b/>
                <w:sz w:val="20"/>
                <w:szCs w:val="20"/>
                <w:lang w:eastAsia="es-MX"/>
              </w:rPr>
            </w:pP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393597B"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Trimestre</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56DCA577"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Anual</w:t>
            </w:r>
          </w:p>
        </w:tc>
      </w:tr>
      <w:tr w:rsidR="004B0E95" w:rsidRPr="004B0E95" w14:paraId="5C230D3F" w14:textId="77777777" w:rsidTr="00E6455F">
        <w:trPr>
          <w:jc w:val="center"/>
        </w:trPr>
        <w:tc>
          <w:tcPr>
            <w:tcW w:w="3035" w:type="dxa"/>
            <w:vMerge/>
            <w:tcBorders>
              <w:top w:val="single" w:sz="4" w:space="0" w:color="auto"/>
              <w:left w:val="single" w:sz="4" w:space="0" w:color="auto"/>
              <w:bottom w:val="single" w:sz="4" w:space="0" w:color="auto"/>
              <w:right w:val="single" w:sz="4" w:space="0" w:color="auto"/>
            </w:tcBorders>
          </w:tcPr>
          <w:p w14:paraId="377A017F" w14:textId="77777777" w:rsidR="004B0E95" w:rsidRPr="004B0E95" w:rsidRDefault="004B0E95" w:rsidP="004B0E95">
            <w:pPr>
              <w:tabs>
                <w:tab w:val="left" w:pos="1250"/>
              </w:tabs>
              <w:ind w:right="57"/>
              <w:rPr>
                <w:rFonts w:eastAsia="Times New Roman"/>
                <w:sz w:val="20"/>
                <w:szCs w:val="20"/>
                <w:lang w:eastAsia="es-MX"/>
              </w:rPr>
            </w:pPr>
          </w:p>
        </w:tc>
        <w:tc>
          <w:tcPr>
            <w:tcW w:w="851" w:type="dxa"/>
            <w:tcBorders>
              <w:top w:val="single" w:sz="4" w:space="0" w:color="auto"/>
              <w:left w:val="single" w:sz="4" w:space="0" w:color="auto"/>
              <w:bottom w:val="single" w:sz="4" w:space="0" w:color="auto"/>
              <w:right w:val="single" w:sz="4" w:space="0" w:color="auto"/>
            </w:tcBorders>
          </w:tcPr>
          <w:p w14:paraId="5E9834B6"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II</w:t>
            </w:r>
          </w:p>
        </w:tc>
        <w:tc>
          <w:tcPr>
            <w:tcW w:w="850" w:type="dxa"/>
            <w:tcBorders>
              <w:top w:val="single" w:sz="4" w:space="0" w:color="auto"/>
              <w:left w:val="single" w:sz="4" w:space="0" w:color="auto"/>
              <w:bottom w:val="single" w:sz="4" w:space="0" w:color="auto"/>
              <w:right w:val="single" w:sz="4" w:space="0" w:color="auto"/>
            </w:tcBorders>
          </w:tcPr>
          <w:p w14:paraId="102B0037"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III</w:t>
            </w:r>
          </w:p>
        </w:tc>
        <w:tc>
          <w:tcPr>
            <w:tcW w:w="793" w:type="dxa"/>
            <w:tcBorders>
              <w:top w:val="single" w:sz="4" w:space="0" w:color="auto"/>
              <w:left w:val="single" w:sz="4" w:space="0" w:color="auto"/>
              <w:bottom w:val="single" w:sz="4" w:space="0" w:color="auto"/>
              <w:right w:val="single" w:sz="4" w:space="0" w:color="auto"/>
            </w:tcBorders>
          </w:tcPr>
          <w:p w14:paraId="5CB3E624" w14:textId="77777777" w:rsidR="004B0E95" w:rsidRPr="004B0E95" w:rsidRDefault="004B0E95" w:rsidP="004B0E95">
            <w:pPr>
              <w:tabs>
                <w:tab w:val="left" w:pos="1250"/>
              </w:tabs>
              <w:ind w:right="57"/>
              <w:jc w:val="center"/>
              <w:rPr>
                <w:rFonts w:eastAsia="Times New Roman"/>
                <w:b/>
                <w:sz w:val="20"/>
                <w:szCs w:val="20"/>
                <w:lang w:eastAsia="es-MX"/>
              </w:rPr>
            </w:pPr>
            <w:r w:rsidRPr="004B0E95">
              <w:rPr>
                <w:rFonts w:eastAsia="Times New Roman"/>
                <w:b/>
                <w:sz w:val="20"/>
                <w:szCs w:val="20"/>
                <w:lang w:eastAsia="es-MX"/>
              </w:rPr>
              <w:t>IV</w:t>
            </w:r>
            <w:r w:rsidRPr="004B0E95">
              <w:rPr>
                <w:rFonts w:eastAsia="Times New Roman"/>
                <w:b/>
                <w:sz w:val="20"/>
                <w:szCs w:val="20"/>
                <w:u w:val="single"/>
                <w:vertAlign w:val="superscript"/>
                <w:lang w:eastAsia="es-MX"/>
              </w:rPr>
              <w:t>p</w:t>
            </w:r>
            <w:r w:rsidRPr="004B0E95">
              <w:rPr>
                <w:rFonts w:eastAsia="Times New Roman"/>
                <w:b/>
                <w:sz w:val="20"/>
                <w:szCs w:val="20"/>
                <w:vertAlign w:val="superscript"/>
                <w:lang w:eastAsia="es-MX"/>
              </w:rPr>
              <w:t>/</w:t>
            </w:r>
          </w:p>
        </w:tc>
        <w:tc>
          <w:tcPr>
            <w:tcW w:w="992" w:type="dxa"/>
            <w:vMerge/>
            <w:tcBorders>
              <w:top w:val="single" w:sz="4" w:space="0" w:color="auto"/>
              <w:left w:val="single" w:sz="4" w:space="0" w:color="auto"/>
              <w:bottom w:val="single" w:sz="4" w:space="0" w:color="auto"/>
              <w:right w:val="single" w:sz="4" w:space="0" w:color="auto"/>
            </w:tcBorders>
          </w:tcPr>
          <w:p w14:paraId="7C90DAB3" w14:textId="77777777" w:rsidR="004B0E95" w:rsidRPr="004B0E95" w:rsidRDefault="004B0E95" w:rsidP="004B0E95">
            <w:pPr>
              <w:tabs>
                <w:tab w:val="left" w:pos="1250"/>
              </w:tabs>
              <w:ind w:right="57"/>
              <w:jc w:val="center"/>
              <w:rPr>
                <w:rFonts w:eastAsia="Times New Roman"/>
                <w:sz w:val="20"/>
                <w:szCs w:val="20"/>
                <w:lang w:eastAsia="es-MX"/>
              </w:rPr>
            </w:pPr>
          </w:p>
        </w:tc>
      </w:tr>
      <w:tr w:rsidR="004B0E95" w:rsidRPr="004B0E95" w14:paraId="5D9E5158" w14:textId="77777777" w:rsidTr="00E6455F">
        <w:trPr>
          <w:jc w:val="center"/>
        </w:trPr>
        <w:tc>
          <w:tcPr>
            <w:tcW w:w="3035" w:type="dxa"/>
            <w:tcBorders>
              <w:top w:val="single" w:sz="4" w:space="0" w:color="auto"/>
              <w:left w:val="single" w:sz="4" w:space="0" w:color="auto"/>
              <w:bottom w:val="nil"/>
              <w:right w:val="single" w:sz="4" w:space="0" w:color="auto"/>
            </w:tcBorders>
          </w:tcPr>
          <w:p w14:paraId="47C00C6B"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Producto Interno Bruto</w:t>
            </w:r>
          </w:p>
        </w:tc>
        <w:tc>
          <w:tcPr>
            <w:tcW w:w="851" w:type="dxa"/>
            <w:tcBorders>
              <w:top w:val="single" w:sz="4" w:space="0" w:color="auto"/>
              <w:left w:val="single" w:sz="4" w:space="0" w:color="auto"/>
              <w:bottom w:val="nil"/>
              <w:right w:val="single" w:sz="4" w:space="0" w:color="auto"/>
            </w:tcBorders>
          </w:tcPr>
          <w:p w14:paraId="2DA9393E"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4.2</w:t>
            </w:r>
          </w:p>
        </w:tc>
        <w:tc>
          <w:tcPr>
            <w:tcW w:w="850" w:type="dxa"/>
            <w:tcBorders>
              <w:top w:val="single" w:sz="4" w:space="0" w:color="auto"/>
              <w:left w:val="single" w:sz="4" w:space="0" w:color="auto"/>
              <w:bottom w:val="nil"/>
              <w:right w:val="single" w:sz="4" w:space="0" w:color="auto"/>
            </w:tcBorders>
          </w:tcPr>
          <w:p w14:paraId="5005C73B"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3.6</w:t>
            </w:r>
          </w:p>
        </w:tc>
        <w:tc>
          <w:tcPr>
            <w:tcW w:w="793" w:type="dxa"/>
            <w:tcBorders>
              <w:top w:val="single" w:sz="4" w:space="0" w:color="auto"/>
              <w:left w:val="single" w:sz="4" w:space="0" w:color="auto"/>
              <w:bottom w:val="nil"/>
              <w:right w:val="single" w:sz="4" w:space="0" w:color="auto"/>
            </w:tcBorders>
          </w:tcPr>
          <w:p w14:paraId="08B8F5C2"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3.4</w:t>
            </w:r>
          </w:p>
        </w:tc>
        <w:tc>
          <w:tcPr>
            <w:tcW w:w="992" w:type="dxa"/>
            <w:tcBorders>
              <w:top w:val="single" w:sz="4" w:space="0" w:color="auto"/>
              <w:left w:val="single" w:sz="4" w:space="0" w:color="auto"/>
              <w:bottom w:val="nil"/>
              <w:right w:val="single" w:sz="4" w:space="0" w:color="auto"/>
            </w:tcBorders>
          </w:tcPr>
          <w:p w14:paraId="3AB8C65B"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3.6</w:t>
            </w:r>
          </w:p>
        </w:tc>
      </w:tr>
      <w:tr w:rsidR="004B0E95" w:rsidRPr="004B0E95" w14:paraId="660623C7" w14:textId="77777777" w:rsidTr="00C17C57">
        <w:trPr>
          <w:jc w:val="center"/>
        </w:trPr>
        <w:tc>
          <w:tcPr>
            <w:tcW w:w="3035" w:type="dxa"/>
            <w:tcBorders>
              <w:top w:val="nil"/>
              <w:left w:val="single" w:sz="4" w:space="0" w:color="auto"/>
              <w:bottom w:val="nil"/>
              <w:right w:val="single" w:sz="4" w:space="0" w:color="auto"/>
            </w:tcBorders>
          </w:tcPr>
          <w:p w14:paraId="1DA39754"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Importación de bienes y servicios</w:t>
            </w:r>
          </w:p>
        </w:tc>
        <w:tc>
          <w:tcPr>
            <w:tcW w:w="851" w:type="dxa"/>
            <w:tcBorders>
              <w:top w:val="nil"/>
              <w:left w:val="single" w:sz="4" w:space="0" w:color="auto"/>
              <w:bottom w:val="nil"/>
              <w:right w:val="single" w:sz="4" w:space="0" w:color="auto"/>
            </w:tcBorders>
          </w:tcPr>
          <w:p w14:paraId="27F13CB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4.0</w:t>
            </w:r>
          </w:p>
        </w:tc>
        <w:tc>
          <w:tcPr>
            <w:tcW w:w="850" w:type="dxa"/>
            <w:tcBorders>
              <w:top w:val="nil"/>
              <w:left w:val="single" w:sz="4" w:space="0" w:color="auto"/>
              <w:bottom w:val="nil"/>
              <w:right w:val="single" w:sz="4" w:space="0" w:color="auto"/>
            </w:tcBorders>
          </w:tcPr>
          <w:p w14:paraId="6CB42CF2"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1.3</w:t>
            </w:r>
          </w:p>
        </w:tc>
        <w:tc>
          <w:tcPr>
            <w:tcW w:w="793" w:type="dxa"/>
            <w:tcBorders>
              <w:top w:val="nil"/>
              <w:left w:val="single" w:sz="4" w:space="0" w:color="auto"/>
              <w:bottom w:val="nil"/>
              <w:right w:val="single" w:sz="4" w:space="0" w:color="auto"/>
            </w:tcBorders>
          </w:tcPr>
          <w:p w14:paraId="572D3DA5"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5.0</w:t>
            </w:r>
          </w:p>
        </w:tc>
        <w:tc>
          <w:tcPr>
            <w:tcW w:w="992" w:type="dxa"/>
            <w:tcBorders>
              <w:top w:val="nil"/>
              <w:left w:val="single" w:sz="4" w:space="0" w:color="auto"/>
              <w:bottom w:val="nil"/>
              <w:right w:val="single" w:sz="4" w:space="0" w:color="auto"/>
            </w:tcBorders>
          </w:tcPr>
          <w:p w14:paraId="7DA2B4FC"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3.3</w:t>
            </w:r>
          </w:p>
        </w:tc>
      </w:tr>
      <w:tr w:rsidR="004B0E95" w:rsidRPr="004B0E95" w14:paraId="5EF9A79F" w14:textId="77777777" w:rsidTr="00C17C57">
        <w:trPr>
          <w:jc w:val="center"/>
        </w:trPr>
        <w:tc>
          <w:tcPr>
            <w:tcW w:w="3035" w:type="dxa"/>
            <w:tcBorders>
              <w:top w:val="nil"/>
              <w:left w:val="single" w:sz="4" w:space="0" w:color="auto"/>
              <w:bottom w:val="nil"/>
              <w:right w:val="single" w:sz="4" w:space="0" w:color="auto"/>
            </w:tcBorders>
          </w:tcPr>
          <w:p w14:paraId="1497696E" w14:textId="77777777" w:rsidR="004B0E95" w:rsidRPr="004B0E95" w:rsidRDefault="004B0E95" w:rsidP="004B0E95">
            <w:pPr>
              <w:tabs>
                <w:tab w:val="left" w:pos="1250"/>
              </w:tabs>
              <w:ind w:right="57"/>
              <w:rPr>
                <w:rFonts w:eastAsia="Times New Roman"/>
                <w:b/>
                <w:sz w:val="20"/>
                <w:szCs w:val="20"/>
                <w:lang w:eastAsia="es-MX"/>
              </w:rPr>
            </w:pPr>
            <w:r w:rsidRPr="004B0E95">
              <w:rPr>
                <w:rFonts w:eastAsia="Times New Roman"/>
                <w:b/>
                <w:sz w:val="20"/>
                <w:szCs w:val="20"/>
                <w:lang w:eastAsia="es-MX"/>
              </w:rPr>
              <w:t>Oferta y Demanda</w:t>
            </w:r>
          </w:p>
        </w:tc>
        <w:tc>
          <w:tcPr>
            <w:tcW w:w="851" w:type="dxa"/>
            <w:tcBorders>
              <w:top w:val="nil"/>
              <w:left w:val="single" w:sz="4" w:space="0" w:color="auto"/>
              <w:bottom w:val="nil"/>
              <w:right w:val="single" w:sz="4" w:space="0" w:color="auto"/>
            </w:tcBorders>
          </w:tcPr>
          <w:p w14:paraId="0FB4562A"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4.1</w:t>
            </w:r>
          </w:p>
        </w:tc>
        <w:tc>
          <w:tcPr>
            <w:tcW w:w="850" w:type="dxa"/>
            <w:tcBorders>
              <w:top w:val="nil"/>
              <w:left w:val="single" w:sz="4" w:space="0" w:color="auto"/>
              <w:bottom w:val="nil"/>
              <w:right w:val="single" w:sz="4" w:space="0" w:color="auto"/>
            </w:tcBorders>
          </w:tcPr>
          <w:p w14:paraId="145A3B63"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3.0</w:t>
            </w:r>
          </w:p>
        </w:tc>
        <w:tc>
          <w:tcPr>
            <w:tcW w:w="793" w:type="dxa"/>
            <w:tcBorders>
              <w:top w:val="nil"/>
              <w:left w:val="single" w:sz="4" w:space="0" w:color="auto"/>
              <w:bottom w:val="nil"/>
              <w:right w:val="single" w:sz="4" w:space="0" w:color="auto"/>
            </w:tcBorders>
          </w:tcPr>
          <w:p w14:paraId="64A50C4B" w14:textId="77777777" w:rsidR="004B0E95" w:rsidRPr="004B0E95" w:rsidRDefault="004B0E95" w:rsidP="004B0E95">
            <w:pPr>
              <w:tabs>
                <w:tab w:val="left" w:pos="1250"/>
              </w:tabs>
              <w:ind w:right="170"/>
              <w:jc w:val="right"/>
              <w:rPr>
                <w:rFonts w:eastAsia="Times New Roman"/>
                <w:b/>
                <w:sz w:val="20"/>
                <w:szCs w:val="20"/>
                <w:lang w:eastAsia="es-MX"/>
              </w:rPr>
            </w:pPr>
            <w:r w:rsidRPr="004B0E95">
              <w:rPr>
                <w:rFonts w:eastAsia="Times New Roman"/>
                <w:b/>
                <w:sz w:val="20"/>
                <w:szCs w:val="20"/>
                <w:lang w:eastAsia="es-MX"/>
              </w:rPr>
              <w:t>3.8</w:t>
            </w:r>
          </w:p>
        </w:tc>
        <w:tc>
          <w:tcPr>
            <w:tcW w:w="992" w:type="dxa"/>
            <w:tcBorders>
              <w:top w:val="nil"/>
              <w:left w:val="single" w:sz="4" w:space="0" w:color="auto"/>
              <w:bottom w:val="nil"/>
              <w:right w:val="single" w:sz="4" w:space="0" w:color="auto"/>
            </w:tcBorders>
          </w:tcPr>
          <w:p w14:paraId="2AD59674" w14:textId="77777777" w:rsidR="004B0E95" w:rsidRPr="004B0E95" w:rsidRDefault="004B0E95" w:rsidP="004B0E95">
            <w:pPr>
              <w:tabs>
                <w:tab w:val="left" w:pos="1250"/>
              </w:tabs>
              <w:ind w:right="284"/>
              <w:jc w:val="right"/>
              <w:rPr>
                <w:rFonts w:eastAsia="Times New Roman"/>
                <w:b/>
                <w:sz w:val="20"/>
                <w:szCs w:val="20"/>
                <w:lang w:eastAsia="es-MX"/>
              </w:rPr>
            </w:pPr>
            <w:r w:rsidRPr="004B0E95">
              <w:rPr>
                <w:rFonts w:eastAsia="Times New Roman"/>
                <w:b/>
                <w:sz w:val="20"/>
                <w:szCs w:val="20"/>
                <w:lang w:eastAsia="es-MX"/>
              </w:rPr>
              <w:t>3.5</w:t>
            </w:r>
          </w:p>
        </w:tc>
      </w:tr>
      <w:tr w:rsidR="004B0E95" w:rsidRPr="004B0E95" w14:paraId="31DD3BEB" w14:textId="77777777" w:rsidTr="00C17C57">
        <w:trPr>
          <w:jc w:val="center"/>
        </w:trPr>
        <w:tc>
          <w:tcPr>
            <w:tcW w:w="3035" w:type="dxa"/>
            <w:tcBorders>
              <w:top w:val="nil"/>
              <w:left w:val="single" w:sz="4" w:space="0" w:color="auto"/>
              <w:bottom w:val="nil"/>
              <w:right w:val="single" w:sz="4" w:space="0" w:color="auto"/>
            </w:tcBorders>
          </w:tcPr>
          <w:p w14:paraId="2AA0638B"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Privado</w:t>
            </w:r>
          </w:p>
        </w:tc>
        <w:tc>
          <w:tcPr>
            <w:tcW w:w="851" w:type="dxa"/>
            <w:tcBorders>
              <w:top w:val="nil"/>
              <w:left w:val="single" w:sz="4" w:space="0" w:color="auto"/>
              <w:bottom w:val="nil"/>
              <w:right w:val="single" w:sz="4" w:space="0" w:color="auto"/>
            </w:tcBorders>
          </w:tcPr>
          <w:p w14:paraId="66178ABC"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3.5</w:t>
            </w:r>
          </w:p>
        </w:tc>
        <w:tc>
          <w:tcPr>
            <w:tcW w:w="850" w:type="dxa"/>
            <w:tcBorders>
              <w:top w:val="nil"/>
              <w:left w:val="single" w:sz="4" w:space="0" w:color="auto"/>
              <w:bottom w:val="nil"/>
              <w:right w:val="single" w:sz="4" w:space="0" w:color="auto"/>
            </w:tcBorders>
          </w:tcPr>
          <w:p w14:paraId="303233D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3.6</w:t>
            </w:r>
          </w:p>
        </w:tc>
        <w:tc>
          <w:tcPr>
            <w:tcW w:w="793" w:type="dxa"/>
            <w:tcBorders>
              <w:top w:val="nil"/>
              <w:left w:val="single" w:sz="4" w:space="0" w:color="auto"/>
              <w:bottom w:val="nil"/>
              <w:right w:val="single" w:sz="4" w:space="0" w:color="auto"/>
            </w:tcBorders>
          </w:tcPr>
          <w:p w14:paraId="10FB0437"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3.9</w:t>
            </w:r>
          </w:p>
        </w:tc>
        <w:tc>
          <w:tcPr>
            <w:tcW w:w="992" w:type="dxa"/>
            <w:tcBorders>
              <w:top w:val="nil"/>
              <w:left w:val="single" w:sz="4" w:space="0" w:color="auto"/>
              <w:bottom w:val="nil"/>
              <w:right w:val="single" w:sz="4" w:space="0" w:color="auto"/>
            </w:tcBorders>
          </w:tcPr>
          <w:p w14:paraId="08DD6E4D"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3.7</w:t>
            </w:r>
          </w:p>
        </w:tc>
      </w:tr>
      <w:tr w:rsidR="004B0E95" w:rsidRPr="004B0E95" w14:paraId="77224FED" w14:textId="77777777" w:rsidTr="00C17C57">
        <w:trPr>
          <w:jc w:val="center"/>
        </w:trPr>
        <w:tc>
          <w:tcPr>
            <w:tcW w:w="3035" w:type="dxa"/>
            <w:tcBorders>
              <w:top w:val="nil"/>
              <w:left w:val="single" w:sz="4" w:space="0" w:color="auto"/>
              <w:bottom w:val="nil"/>
              <w:right w:val="single" w:sz="4" w:space="0" w:color="auto"/>
            </w:tcBorders>
          </w:tcPr>
          <w:p w14:paraId="0F5065D7"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Consumo de Gobierno</w:t>
            </w:r>
          </w:p>
        </w:tc>
        <w:tc>
          <w:tcPr>
            <w:tcW w:w="851" w:type="dxa"/>
            <w:tcBorders>
              <w:top w:val="nil"/>
              <w:left w:val="single" w:sz="4" w:space="0" w:color="auto"/>
              <w:bottom w:val="nil"/>
              <w:right w:val="single" w:sz="4" w:space="0" w:color="auto"/>
            </w:tcBorders>
          </w:tcPr>
          <w:p w14:paraId="1A5F96D0"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3.9</w:t>
            </w:r>
          </w:p>
        </w:tc>
        <w:tc>
          <w:tcPr>
            <w:tcW w:w="850" w:type="dxa"/>
            <w:tcBorders>
              <w:top w:val="nil"/>
              <w:left w:val="single" w:sz="4" w:space="0" w:color="auto"/>
              <w:bottom w:val="nil"/>
              <w:right w:val="single" w:sz="4" w:space="0" w:color="auto"/>
            </w:tcBorders>
          </w:tcPr>
          <w:p w14:paraId="60297BC2"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4.1</w:t>
            </w:r>
          </w:p>
        </w:tc>
        <w:tc>
          <w:tcPr>
            <w:tcW w:w="793" w:type="dxa"/>
            <w:tcBorders>
              <w:top w:val="nil"/>
              <w:left w:val="single" w:sz="4" w:space="0" w:color="auto"/>
              <w:bottom w:val="nil"/>
              <w:right w:val="single" w:sz="4" w:space="0" w:color="auto"/>
            </w:tcBorders>
          </w:tcPr>
          <w:p w14:paraId="327DA548"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4.1</w:t>
            </w:r>
          </w:p>
        </w:tc>
        <w:tc>
          <w:tcPr>
            <w:tcW w:w="992" w:type="dxa"/>
            <w:tcBorders>
              <w:top w:val="nil"/>
              <w:left w:val="single" w:sz="4" w:space="0" w:color="auto"/>
              <w:bottom w:val="nil"/>
              <w:right w:val="single" w:sz="4" w:space="0" w:color="auto"/>
            </w:tcBorders>
          </w:tcPr>
          <w:p w14:paraId="193A92E6"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4.1</w:t>
            </w:r>
          </w:p>
        </w:tc>
      </w:tr>
      <w:tr w:rsidR="004B0E95" w:rsidRPr="004B0E95" w14:paraId="18B5BEF1" w14:textId="77777777" w:rsidTr="00C17C57">
        <w:trPr>
          <w:jc w:val="center"/>
        </w:trPr>
        <w:tc>
          <w:tcPr>
            <w:tcW w:w="3035" w:type="dxa"/>
            <w:tcBorders>
              <w:top w:val="nil"/>
              <w:left w:val="single" w:sz="4" w:space="0" w:color="auto"/>
              <w:bottom w:val="nil"/>
              <w:right w:val="single" w:sz="4" w:space="0" w:color="auto"/>
            </w:tcBorders>
          </w:tcPr>
          <w:p w14:paraId="7A613726"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Formación Bruta de Capital Fijo</w:t>
            </w:r>
          </w:p>
        </w:tc>
        <w:tc>
          <w:tcPr>
            <w:tcW w:w="851" w:type="dxa"/>
            <w:tcBorders>
              <w:top w:val="nil"/>
              <w:left w:val="single" w:sz="4" w:space="0" w:color="auto"/>
              <w:bottom w:val="nil"/>
              <w:right w:val="single" w:sz="4" w:space="0" w:color="auto"/>
            </w:tcBorders>
          </w:tcPr>
          <w:p w14:paraId="7E8D96F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3.1</w:t>
            </w:r>
          </w:p>
        </w:tc>
        <w:tc>
          <w:tcPr>
            <w:tcW w:w="850" w:type="dxa"/>
            <w:tcBorders>
              <w:top w:val="nil"/>
              <w:left w:val="single" w:sz="4" w:space="0" w:color="auto"/>
              <w:bottom w:val="nil"/>
              <w:right w:val="single" w:sz="4" w:space="0" w:color="auto"/>
            </w:tcBorders>
          </w:tcPr>
          <w:p w14:paraId="18E5DD7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2.8</w:t>
            </w:r>
          </w:p>
        </w:tc>
        <w:tc>
          <w:tcPr>
            <w:tcW w:w="793" w:type="dxa"/>
            <w:tcBorders>
              <w:top w:val="nil"/>
              <w:left w:val="single" w:sz="4" w:space="0" w:color="auto"/>
              <w:bottom w:val="nil"/>
              <w:right w:val="single" w:sz="4" w:space="0" w:color="auto"/>
            </w:tcBorders>
          </w:tcPr>
          <w:p w14:paraId="456F218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4.3</w:t>
            </w:r>
          </w:p>
        </w:tc>
        <w:tc>
          <w:tcPr>
            <w:tcW w:w="992" w:type="dxa"/>
            <w:tcBorders>
              <w:top w:val="nil"/>
              <w:left w:val="single" w:sz="4" w:space="0" w:color="auto"/>
              <w:bottom w:val="nil"/>
              <w:right w:val="single" w:sz="4" w:space="0" w:color="auto"/>
            </w:tcBorders>
          </w:tcPr>
          <w:p w14:paraId="53665AC9"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3.1</w:t>
            </w:r>
          </w:p>
        </w:tc>
      </w:tr>
      <w:tr w:rsidR="004B0E95" w:rsidRPr="004B0E95" w14:paraId="1E68A120" w14:textId="77777777" w:rsidTr="00C17C57">
        <w:trPr>
          <w:jc w:val="center"/>
        </w:trPr>
        <w:tc>
          <w:tcPr>
            <w:tcW w:w="3035" w:type="dxa"/>
            <w:tcBorders>
              <w:top w:val="nil"/>
              <w:left w:val="single" w:sz="4" w:space="0" w:color="auto"/>
              <w:bottom w:val="nil"/>
              <w:right w:val="single" w:sz="4" w:space="0" w:color="auto"/>
            </w:tcBorders>
          </w:tcPr>
          <w:p w14:paraId="0F6AE8F0"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Variación de Existencias</w:t>
            </w:r>
          </w:p>
        </w:tc>
        <w:tc>
          <w:tcPr>
            <w:tcW w:w="851" w:type="dxa"/>
            <w:tcBorders>
              <w:top w:val="nil"/>
              <w:left w:val="single" w:sz="4" w:space="0" w:color="auto"/>
              <w:bottom w:val="nil"/>
              <w:right w:val="single" w:sz="4" w:space="0" w:color="auto"/>
            </w:tcBorders>
          </w:tcPr>
          <w:p w14:paraId="1376FA4F"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0" w:type="dxa"/>
            <w:tcBorders>
              <w:top w:val="nil"/>
              <w:left w:val="single" w:sz="4" w:space="0" w:color="auto"/>
              <w:bottom w:val="nil"/>
              <w:right w:val="single" w:sz="4" w:space="0" w:color="auto"/>
            </w:tcBorders>
          </w:tcPr>
          <w:p w14:paraId="566D683D"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793" w:type="dxa"/>
            <w:tcBorders>
              <w:top w:val="nil"/>
              <w:left w:val="single" w:sz="4" w:space="0" w:color="auto"/>
              <w:bottom w:val="nil"/>
              <w:right w:val="single" w:sz="4" w:space="0" w:color="auto"/>
            </w:tcBorders>
          </w:tcPr>
          <w:p w14:paraId="3E44C733"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992" w:type="dxa"/>
            <w:tcBorders>
              <w:top w:val="nil"/>
              <w:left w:val="single" w:sz="4" w:space="0" w:color="auto"/>
              <w:bottom w:val="nil"/>
              <w:right w:val="single" w:sz="4" w:space="0" w:color="auto"/>
            </w:tcBorders>
          </w:tcPr>
          <w:p w14:paraId="6F9ABD9A"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428FEA19" w14:textId="77777777" w:rsidTr="00C17C57">
        <w:trPr>
          <w:jc w:val="center"/>
        </w:trPr>
        <w:tc>
          <w:tcPr>
            <w:tcW w:w="3035" w:type="dxa"/>
            <w:tcBorders>
              <w:top w:val="nil"/>
              <w:left w:val="single" w:sz="4" w:space="0" w:color="auto"/>
              <w:bottom w:val="nil"/>
              <w:right w:val="single" w:sz="4" w:space="0" w:color="auto"/>
            </w:tcBorders>
          </w:tcPr>
          <w:p w14:paraId="2EFA1CEC"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Exportación de bienes y servicios</w:t>
            </w:r>
          </w:p>
        </w:tc>
        <w:tc>
          <w:tcPr>
            <w:tcW w:w="851" w:type="dxa"/>
            <w:tcBorders>
              <w:top w:val="nil"/>
              <w:left w:val="single" w:sz="4" w:space="0" w:color="auto"/>
              <w:bottom w:val="nil"/>
              <w:right w:val="single" w:sz="4" w:space="0" w:color="auto"/>
            </w:tcBorders>
          </w:tcPr>
          <w:p w14:paraId="4C344A7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3.0</w:t>
            </w:r>
          </w:p>
        </w:tc>
        <w:tc>
          <w:tcPr>
            <w:tcW w:w="850" w:type="dxa"/>
            <w:tcBorders>
              <w:top w:val="nil"/>
              <w:left w:val="single" w:sz="4" w:space="0" w:color="auto"/>
              <w:bottom w:val="nil"/>
              <w:right w:val="single" w:sz="4" w:space="0" w:color="auto"/>
            </w:tcBorders>
          </w:tcPr>
          <w:p w14:paraId="0D19DB67"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0.8</w:t>
            </w:r>
          </w:p>
        </w:tc>
        <w:tc>
          <w:tcPr>
            <w:tcW w:w="793" w:type="dxa"/>
            <w:tcBorders>
              <w:top w:val="nil"/>
              <w:left w:val="single" w:sz="4" w:space="0" w:color="auto"/>
              <w:bottom w:val="nil"/>
              <w:right w:val="single" w:sz="4" w:space="0" w:color="auto"/>
            </w:tcBorders>
          </w:tcPr>
          <w:p w14:paraId="3402B0EC"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1.2</w:t>
            </w:r>
          </w:p>
        </w:tc>
        <w:tc>
          <w:tcPr>
            <w:tcW w:w="992" w:type="dxa"/>
            <w:tcBorders>
              <w:top w:val="nil"/>
              <w:left w:val="single" w:sz="4" w:space="0" w:color="auto"/>
              <w:bottom w:val="nil"/>
              <w:right w:val="single" w:sz="4" w:space="0" w:color="auto"/>
            </w:tcBorders>
          </w:tcPr>
          <w:p w14:paraId="664A118B"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1.7</w:t>
            </w:r>
          </w:p>
        </w:tc>
      </w:tr>
      <w:tr w:rsidR="004B0E95" w:rsidRPr="004B0E95" w14:paraId="2F019BF7" w14:textId="77777777" w:rsidTr="00C17C57">
        <w:trPr>
          <w:jc w:val="center"/>
        </w:trPr>
        <w:tc>
          <w:tcPr>
            <w:tcW w:w="3035" w:type="dxa"/>
            <w:tcBorders>
              <w:top w:val="nil"/>
              <w:left w:val="single" w:sz="4" w:space="0" w:color="auto"/>
              <w:bottom w:val="single" w:sz="4" w:space="0" w:color="auto"/>
              <w:right w:val="single" w:sz="4" w:space="0" w:color="auto"/>
            </w:tcBorders>
          </w:tcPr>
          <w:p w14:paraId="26148A70"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Discrepancia Estadística</w:t>
            </w:r>
          </w:p>
        </w:tc>
        <w:tc>
          <w:tcPr>
            <w:tcW w:w="851" w:type="dxa"/>
            <w:tcBorders>
              <w:top w:val="nil"/>
              <w:left w:val="single" w:sz="4" w:space="0" w:color="auto"/>
              <w:bottom w:val="single" w:sz="4" w:space="0" w:color="auto"/>
              <w:right w:val="single" w:sz="4" w:space="0" w:color="auto"/>
            </w:tcBorders>
          </w:tcPr>
          <w:p w14:paraId="7D0FBDDB"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850" w:type="dxa"/>
            <w:tcBorders>
              <w:top w:val="nil"/>
              <w:left w:val="single" w:sz="4" w:space="0" w:color="auto"/>
              <w:bottom w:val="single" w:sz="4" w:space="0" w:color="auto"/>
              <w:right w:val="single" w:sz="4" w:space="0" w:color="auto"/>
            </w:tcBorders>
          </w:tcPr>
          <w:p w14:paraId="5FF36C39"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793" w:type="dxa"/>
            <w:tcBorders>
              <w:top w:val="nil"/>
              <w:left w:val="single" w:sz="4" w:space="0" w:color="auto"/>
              <w:bottom w:val="single" w:sz="4" w:space="0" w:color="auto"/>
              <w:right w:val="single" w:sz="4" w:space="0" w:color="auto"/>
            </w:tcBorders>
          </w:tcPr>
          <w:p w14:paraId="188BB5AE" w14:textId="77777777" w:rsidR="004B0E95" w:rsidRPr="004B0E95" w:rsidRDefault="004B0E95" w:rsidP="004B0E95">
            <w:pPr>
              <w:tabs>
                <w:tab w:val="left" w:pos="1250"/>
              </w:tabs>
              <w:ind w:right="170"/>
              <w:jc w:val="right"/>
              <w:rPr>
                <w:rFonts w:eastAsia="Times New Roman"/>
                <w:sz w:val="20"/>
                <w:szCs w:val="20"/>
                <w:lang w:eastAsia="es-MX"/>
              </w:rPr>
            </w:pPr>
            <w:r w:rsidRPr="004B0E95">
              <w:rPr>
                <w:rFonts w:eastAsia="Times New Roman"/>
                <w:sz w:val="20"/>
                <w:szCs w:val="20"/>
                <w:lang w:eastAsia="es-MX"/>
              </w:rPr>
              <w:t>NA</w:t>
            </w:r>
          </w:p>
        </w:tc>
        <w:tc>
          <w:tcPr>
            <w:tcW w:w="992" w:type="dxa"/>
            <w:tcBorders>
              <w:top w:val="nil"/>
              <w:left w:val="single" w:sz="4" w:space="0" w:color="auto"/>
              <w:bottom w:val="single" w:sz="4" w:space="0" w:color="auto"/>
              <w:right w:val="single" w:sz="4" w:space="0" w:color="auto"/>
            </w:tcBorders>
          </w:tcPr>
          <w:p w14:paraId="42C58810" w14:textId="77777777" w:rsidR="004B0E95" w:rsidRPr="004B0E95" w:rsidRDefault="004B0E95" w:rsidP="004B0E95">
            <w:pPr>
              <w:tabs>
                <w:tab w:val="left" w:pos="1250"/>
              </w:tabs>
              <w:ind w:right="284"/>
              <w:jc w:val="right"/>
              <w:rPr>
                <w:rFonts w:eastAsia="Times New Roman"/>
                <w:sz w:val="20"/>
                <w:szCs w:val="20"/>
                <w:lang w:eastAsia="es-MX"/>
              </w:rPr>
            </w:pPr>
            <w:r w:rsidRPr="004B0E95">
              <w:rPr>
                <w:rFonts w:eastAsia="Times New Roman"/>
                <w:sz w:val="20"/>
                <w:szCs w:val="20"/>
                <w:lang w:eastAsia="es-MX"/>
              </w:rPr>
              <w:t>NA</w:t>
            </w:r>
          </w:p>
        </w:tc>
      </w:tr>
      <w:tr w:rsidR="004B0E95" w:rsidRPr="004B0E95" w14:paraId="11820159" w14:textId="77777777" w:rsidTr="004B0E95">
        <w:trPr>
          <w:jc w:val="center"/>
        </w:trPr>
        <w:tc>
          <w:tcPr>
            <w:tcW w:w="6521" w:type="dxa"/>
            <w:gridSpan w:val="5"/>
            <w:tcBorders>
              <w:left w:val="nil"/>
              <w:bottom w:val="nil"/>
              <w:right w:val="nil"/>
            </w:tcBorders>
          </w:tcPr>
          <w:p w14:paraId="6BC91783"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p</w:t>
            </w:r>
            <w:r w:rsidRPr="004B0E95">
              <w:rPr>
                <w:rFonts w:eastAsia="Times New Roman"/>
                <w:sz w:val="20"/>
                <w:szCs w:val="20"/>
                <w:lang w:eastAsia="es-MX"/>
              </w:rPr>
              <w:t>/ Cifras preliminares.</w:t>
            </w:r>
          </w:p>
          <w:p w14:paraId="1C97F30E"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u w:val="single"/>
                <w:lang w:eastAsia="es-MX"/>
              </w:rPr>
              <w:t>R</w:t>
            </w:r>
            <w:r w:rsidRPr="004B0E95">
              <w:rPr>
                <w:rFonts w:eastAsia="Times New Roman"/>
                <w:sz w:val="20"/>
                <w:szCs w:val="20"/>
                <w:lang w:eastAsia="es-MX"/>
              </w:rPr>
              <w:t>/ Cifras revisadas.</w:t>
            </w:r>
          </w:p>
          <w:p w14:paraId="0C541A4F"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NA: No aplica.</w:t>
            </w:r>
          </w:p>
        </w:tc>
      </w:tr>
      <w:tr w:rsidR="004B0E95" w:rsidRPr="004B0E95" w14:paraId="4B9E4FA9" w14:textId="77777777" w:rsidTr="004B0E95">
        <w:trPr>
          <w:jc w:val="center"/>
        </w:trPr>
        <w:tc>
          <w:tcPr>
            <w:tcW w:w="6521" w:type="dxa"/>
            <w:gridSpan w:val="5"/>
            <w:tcBorders>
              <w:top w:val="nil"/>
              <w:left w:val="nil"/>
              <w:bottom w:val="nil"/>
              <w:right w:val="nil"/>
            </w:tcBorders>
          </w:tcPr>
          <w:p w14:paraId="437A7319" w14:textId="77777777" w:rsidR="004B0E95" w:rsidRPr="004B0E95" w:rsidRDefault="004B0E95" w:rsidP="004B0E95">
            <w:pPr>
              <w:tabs>
                <w:tab w:val="left" w:pos="1250"/>
              </w:tabs>
              <w:ind w:right="57"/>
              <w:rPr>
                <w:rFonts w:eastAsia="Times New Roman"/>
                <w:sz w:val="20"/>
                <w:szCs w:val="20"/>
                <w:lang w:eastAsia="es-MX"/>
              </w:rPr>
            </w:pPr>
            <w:r w:rsidRPr="004B0E95">
              <w:rPr>
                <w:rFonts w:eastAsia="Times New Roman"/>
                <w:sz w:val="20"/>
                <w:szCs w:val="20"/>
                <w:lang w:eastAsia="es-MX"/>
              </w:rPr>
              <w:t>FUENTE: INEGI.</w:t>
            </w:r>
          </w:p>
        </w:tc>
      </w:tr>
    </w:tbl>
    <w:p w14:paraId="1362EE79" w14:textId="77777777" w:rsidR="004B0E95" w:rsidRDefault="004B0E95" w:rsidP="004B0E95">
      <w:pPr>
        <w:spacing w:after="360" w:line="360" w:lineRule="auto"/>
        <w:ind w:right="-159"/>
        <w:jc w:val="both"/>
        <w:rPr>
          <w:rFonts w:eastAsia="Times New Roman"/>
          <w:sz w:val="26"/>
          <w:szCs w:val="26"/>
          <w:lang w:eastAsia="es-MX"/>
        </w:rPr>
      </w:pPr>
    </w:p>
    <w:p w14:paraId="556356E5" w14:textId="77777777" w:rsidR="004B0E95" w:rsidRPr="004B0E95" w:rsidRDefault="004B0E95" w:rsidP="004B0E95">
      <w:pPr>
        <w:ind w:right="-159"/>
        <w:jc w:val="both"/>
        <w:rPr>
          <w:rFonts w:eastAsia="Times New Roman"/>
          <w:b/>
          <w:sz w:val="20"/>
          <w:szCs w:val="20"/>
          <w:lang w:eastAsia="es-MX"/>
        </w:rPr>
      </w:pPr>
      <w:r w:rsidRPr="004B0E95">
        <w:rPr>
          <w:rFonts w:eastAsia="Times New Roman"/>
          <w:b/>
          <w:sz w:val="20"/>
          <w:szCs w:val="20"/>
          <w:lang w:eastAsia="es-MX"/>
        </w:rPr>
        <w:t>Fuente de información:</w:t>
      </w:r>
    </w:p>
    <w:p w14:paraId="0F3E4B75" w14:textId="53A41B4A" w:rsidR="004B0E95" w:rsidRPr="00372137" w:rsidRDefault="0045651A" w:rsidP="00372137">
      <w:pPr>
        <w:spacing w:after="720"/>
        <w:ind w:right="-159"/>
        <w:jc w:val="both"/>
        <w:rPr>
          <w:rFonts w:eastAsia="Times New Roman"/>
          <w:color w:val="0000FF"/>
          <w:sz w:val="20"/>
          <w:szCs w:val="20"/>
          <w:lang w:eastAsia="es-MX"/>
        </w:rPr>
      </w:pPr>
      <w:hyperlink r:id="rId90" w:history="1">
        <w:r w:rsidR="004B0E95" w:rsidRPr="00372137">
          <w:rPr>
            <w:rStyle w:val="Hipervnculo"/>
            <w:rFonts w:eastAsia="Times New Roman"/>
            <w:sz w:val="20"/>
            <w:szCs w:val="20"/>
            <w:lang w:eastAsia="es-MX"/>
          </w:rPr>
          <w:t>http://www.inegi.org.mx/saladeprensa/notasinformativas/2015/ofe_deman/ofe_deman2015_03.pdf</w:t>
        </w:r>
      </w:hyperlink>
    </w:p>
    <w:p w14:paraId="1FFA07E0" w14:textId="77777777" w:rsidR="003D29BB" w:rsidRPr="003D29BB" w:rsidRDefault="003D29BB" w:rsidP="003D29BB">
      <w:pPr>
        <w:spacing w:after="360" w:line="360" w:lineRule="auto"/>
        <w:ind w:right="-159"/>
        <w:jc w:val="both"/>
        <w:rPr>
          <w:rFonts w:eastAsia="Times New Roman"/>
          <w:b/>
          <w:sz w:val="26"/>
          <w:szCs w:val="26"/>
        </w:rPr>
      </w:pPr>
      <w:r w:rsidRPr="003D29BB">
        <w:rPr>
          <w:rFonts w:eastAsia="Times New Roman"/>
          <w:b/>
          <w:sz w:val="26"/>
          <w:szCs w:val="26"/>
        </w:rPr>
        <w:t>Inversión Fija Bruta, durante enero de 2015 (INEGI)</w:t>
      </w:r>
    </w:p>
    <w:p w14:paraId="560CD638" w14:textId="77777777" w:rsidR="003D29BB" w:rsidRDefault="003D29BB" w:rsidP="003D29BB">
      <w:pPr>
        <w:spacing w:after="360" w:line="360" w:lineRule="auto"/>
        <w:ind w:right="-159"/>
        <w:jc w:val="both"/>
        <w:rPr>
          <w:rFonts w:eastAsia="Times New Roman"/>
          <w:sz w:val="26"/>
          <w:szCs w:val="26"/>
        </w:rPr>
      </w:pPr>
      <w:r w:rsidRPr="003D29BB">
        <w:rPr>
          <w:rFonts w:eastAsia="Times New Roman"/>
          <w:sz w:val="26"/>
          <w:szCs w:val="26"/>
        </w:rPr>
        <w:t>El 1° de abril de 2015, el Instituto Nacional de Estadística y Geografía (INEGI) dio a conocer el “Indicador Mensual de la Inversión Fija Bruta en México”, con cifras durante enero de 2015</w:t>
      </w:r>
      <w:r w:rsidRPr="003D29BB">
        <w:rPr>
          <w:rFonts w:eastAsia="Times New Roman"/>
          <w:i/>
          <w:sz w:val="26"/>
          <w:szCs w:val="26"/>
        </w:rPr>
        <w:t>.</w:t>
      </w:r>
      <w:r w:rsidRPr="003D29BB">
        <w:rPr>
          <w:rFonts w:eastAsia="Times New Roman"/>
          <w:sz w:val="26"/>
          <w:szCs w:val="26"/>
        </w:rPr>
        <w:t xml:space="preserve"> A continuación se presenta la información.</w:t>
      </w:r>
    </w:p>
    <w:tbl>
      <w:tblPr>
        <w:tblW w:w="0" w:type="auto"/>
        <w:jc w:val="center"/>
        <w:tblLayout w:type="fixed"/>
        <w:tblLook w:val="04A0" w:firstRow="1" w:lastRow="0" w:firstColumn="1" w:lastColumn="0" w:noHBand="0" w:noVBand="1"/>
      </w:tblPr>
      <w:tblGrid>
        <w:gridCol w:w="2268"/>
        <w:gridCol w:w="2127"/>
        <w:gridCol w:w="2126"/>
      </w:tblGrid>
      <w:tr w:rsidR="003D29BB" w:rsidRPr="003D29BB" w14:paraId="27D43C18" w14:textId="77777777" w:rsidTr="00E6455F">
        <w:trPr>
          <w:jc w:val="center"/>
        </w:trPr>
        <w:tc>
          <w:tcPr>
            <w:tcW w:w="6521" w:type="dxa"/>
            <w:gridSpan w:val="3"/>
            <w:tcBorders>
              <w:top w:val="nil"/>
              <w:left w:val="nil"/>
              <w:bottom w:val="single" w:sz="4" w:space="0" w:color="auto"/>
              <w:right w:val="nil"/>
            </w:tcBorders>
          </w:tcPr>
          <w:p w14:paraId="458304E0" w14:textId="77777777" w:rsidR="003D29BB" w:rsidRPr="003D29BB" w:rsidRDefault="003D29BB" w:rsidP="003D29BB">
            <w:pPr>
              <w:jc w:val="center"/>
              <w:rPr>
                <w:rFonts w:eastAsia="Times New Roman"/>
                <w:b/>
                <w:sz w:val="22"/>
                <w:szCs w:val="26"/>
              </w:rPr>
            </w:pPr>
            <w:r w:rsidRPr="003D29BB">
              <w:rPr>
                <w:rFonts w:eastAsia="Times New Roman"/>
                <w:b/>
                <w:sz w:val="22"/>
                <w:szCs w:val="26"/>
              </w:rPr>
              <w:t>INVERSIÓN FIJA BRUTA PARA ENERO DE 2015</w:t>
            </w:r>
          </w:p>
          <w:p w14:paraId="4E5ED9BE" w14:textId="77777777" w:rsidR="003D29BB" w:rsidRPr="003D29BB" w:rsidRDefault="003D29BB" w:rsidP="003D29BB">
            <w:pPr>
              <w:jc w:val="center"/>
              <w:rPr>
                <w:rFonts w:eastAsia="Times New Roman"/>
                <w:b/>
                <w:sz w:val="22"/>
                <w:szCs w:val="26"/>
              </w:rPr>
            </w:pPr>
            <w:r w:rsidRPr="003D29BB">
              <w:rPr>
                <w:rFonts w:eastAsia="Times New Roman"/>
                <w:b/>
                <w:sz w:val="22"/>
                <w:szCs w:val="26"/>
              </w:rPr>
              <w:t>Cifras desestacionalizadas por componente</w:t>
            </w:r>
          </w:p>
        </w:tc>
      </w:tr>
      <w:tr w:rsidR="003D29BB" w:rsidRPr="003D29BB" w14:paraId="2055EAC1" w14:textId="77777777" w:rsidTr="00E6455F">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1412380B" w14:textId="77777777" w:rsidR="003D29BB" w:rsidRPr="003D29BB" w:rsidRDefault="003D29BB" w:rsidP="003D29BB">
            <w:pPr>
              <w:jc w:val="center"/>
              <w:rPr>
                <w:rFonts w:eastAsia="Times New Roman"/>
                <w:b/>
                <w:sz w:val="20"/>
                <w:szCs w:val="26"/>
              </w:rPr>
            </w:pPr>
            <w:r w:rsidRPr="003D29BB">
              <w:rPr>
                <w:rFonts w:eastAsia="Times New Roman"/>
                <w:b/>
                <w:sz w:val="20"/>
                <w:szCs w:val="26"/>
              </w:rPr>
              <w:t>Concepto</w:t>
            </w:r>
          </w:p>
        </w:tc>
        <w:tc>
          <w:tcPr>
            <w:tcW w:w="2127" w:type="dxa"/>
            <w:tcBorders>
              <w:top w:val="single" w:sz="4" w:space="0" w:color="auto"/>
              <w:left w:val="single" w:sz="4" w:space="0" w:color="auto"/>
              <w:bottom w:val="single" w:sz="4" w:space="0" w:color="auto"/>
              <w:right w:val="single" w:sz="4" w:space="0" w:color="auto"/>
            </w:tcBorders>
          </w:tcPr>
          <w:p w14:paraId="19FCB0E0" w14:textId="77777777" w:rsidR="003D29BB" w:rsidRPr="003D29BB" w:rsidRDefault="003D29BB" w:rsidP="003D29BB">
            <w:pPr>
              <w:jc w:val="center"/>
              <w:rPr>
                <w:rFonts w:eastAsia="Times New Roman"/>
                <w:b/>
                <w:sz w:val="20"/>
                <w:szCs w:val="26"/>
              </w:rPr>
            </w:pPr>
            <w:r w:rsidRPr="003D29BB">
              <w:rPr>
                <w:rFonts w:eastAsia="Times New Roman"/>
                <w:b/>
                <w:sz w:val="20"/>
                <w:szCs w:val="26"/>
              </w:rPr>
              <w:t>Variación % respecto al mes previo</w:t>
            </w:r>
          </w:p>
        </w:tc>
        <w:tc>
          <w:tcPr>
            <w:tcW w:w="2126" w:type="dxa"/>
            <w:tcBorders>
              <w:top w:val="single" w:sz="4" w:space="0" w:color="auto"/>
              <w:left w:val="single" w:sz="4" w:space="0" w:color="auto"/>
              <w:bottom w:val="single" w:sz="4" w:space="0" w:color="auto"/>
              <w:right w:val="single" w:sz="4" w:space="0" w:color="auto"/>
            </w:tcBorders>
          </w:tcPr>
          <w:p w14:paraId="0E1A41AB" w14:textId="77777777" w:rsidR="003D29BB" w:rsidRPr="003D29BB" w:rsidRDefault="003D29BB" w:rsidP="003D29BB">
            <w:pPr>
              <w:jc w:val="center"/>
              <w:rPr>
                <w:rFonts w:eastAsia="Times New Roman"/>
                <w:b/>
                <w:sz w:val="20"/>
                <w:szCs w:val="26"/>
              </w:rPr>
            </w:pPr>
            <w:r w:rsidRPr="003D29BB">
              <w:rPr>
                <w:rFonts w:eastAsia="Times New Roman"/>
                <w:b/>
                <w:sz w:val="20"/>
                <w:szCs w:val="26"/>
              </w:rPr>
              <w:t>Variación % respecto a igual mes de 2013</w:t>
            </w:r>
          </w:p>
        </w:tc>
      </w:tr>
      <w:tr w:rsidR="003D29BB" w:rsidRPr="003D29BB" w14:paraId="4CE9ABD3" w14:textId="77777777" w:rsidTr="00E6455F">
        <w:trPr>
          <w:jc w:val="center"/>
        </w:trPr>
        <w:tc>
          <w:tcPr>
            <w:tcW w:w="2268" w:type="dxa"/>
            <w:tcBorders>
              <w:top w:val="single" w:sz="4" w:space="0" w:color="auto"/>
              <w:left w:val="single" w:sz="4" w:space="0" w:color="auto"/>
              <w:right w:val="single" w:sz="4" w:space="0" w:color="auto"/>
            </w:tcBorders>
          </w:tcPr>
          <w:p w14:paraId="1B1BB958" w14:textId="77777777" w:rsidR="003D29BB" w:rsidRPr="003D29BB" w:rsidRDefault="003D29BB" w:rsidP="003D29BB">
            <w:pPr>
              <w:jc w:val="both"/>
              <w:rPr>
                <w:rFonts w:eastAsia="Times New Roman"/>
                <w:b/>
                <w:sz w:val="20"/>
                <w:szCs w:val="26"/>
              </w:rPr>
            </w:pPr>
            <w:r w:rsidRPr="003D29BB">
              <w:rPr>
                <w:rFonts w:eastAsia="Times New Roman"/>
                <w:b/>
                <w:sz w:val="20"/>
                <w:szCs w:val="26"/>
              </w:rPr>
              <w:t>Inversión Fija Bruta</w:t>
            </w:r>
          </w:p>
        </w:tc>
        <w:tc>
          <w:tcPr>
            <w:tcW w:w="2127" w:type="dxa"/>
            <w:tcBorders>
              <w:top w:val="single" w:sz="4" w:space="0" w:color="auto"/>
              <w:left w:val="single" w:sz="4" w:space="0" w:color="auto"/>
              <w:right w:val="single" w:sz="4" w:space="0" w:color="auto"/>
            </w:tcBorders>
          </w:tcPr>
          <w:p w14:paraId="11A22689" w14:textId="77777777" w:rsidR="003D29BB" w:rsidRPr="003D29BB" w:rsidRDefault="003D29BB" w:rsidP="003D29BB">
            <w:pPr>
              <w:jc w:val="center"/>
              <w:rPr>
                <w:rFonts w:eastAsia="Times New Roman"/>
                <w:b/>
                <w:sz w:val="20"/>
                <w:szCs w:val="26"/>
              </w:rPr>
            </w:pPr>
            <w:r w:rsidRPr="003D29BB">
              <w:rPr>
                <w:rFonts w:eastAsia="Times New Roman"/>
                <w:b/>
                <w:sz w:val="20"/>
                <w:szCs w:val="26"/>
              </w:rPr>
              <w:t>1.5</w:t>
            </w:r>
          </w:p>
        </w:tc>
        <w:tc>
          <w:tcPr>
            <w:tcW w:w="2126" w:type="dxa"/>
            <w:tcBorders>
              <w:top w:val="single" w:sz="4" w:space="0" w:color="auto"/>
              <w:left w:val="single" w:sz="4" w:space="0" w:color="auto"/>
              <w:right w:val="single" w:sz="4" w:space="0" w:color="auto"/>
            </w:tcBorders>
          </w:tcPr>
          <w:p w14:paraId="14AD06C7" w14:textId="77777777" w:rsidR="003D29BB" w:rsidRPr="003D29BB" w:rsidRDefault="003D29BB" w:rsidP="003D29BB">
            <w:pPr>
              <w:ind w:right="851"/>
              <w:jc w:val="right"/>
              <w:rPr>
                <w:rFonts w:eastAsia="Times New Roman"/>
                <w:b/>
                <w:sz w:val="20"/>
                <w:szCs w:val="26"/>
              </w:rPr>
            </w:pPr>
            <w:r w:rsidRPr="003D29BB">
              <w:rPr>
                <w:rFonts w:eastAsia="Times New Roman"/>
                <w:b/>
                <w:sz w:val="20"/>
                <w:szCs w:val="26"/>
              </w:rPr>
              <w:t>8.4</w:t>
            </w:r>
          </w:p>
        </w:tc>
      </w:tr>
      <w:tr w:rsidR="003D29BB" w:rsidRPr="003D29BB" w14:paraId="06FB286C" w14:textId="77777777" w:rsidTr="00E56C5B">
        <w:trPr>
          <w:jc w:val="center"/>
        </w:trPr>
        <w:tc>
          <w:tcPr>
            <w:tcW w:w="2268" w:type="dxa"/>
            <w:tcBorders>
              <w:left w:val="single" w:sz="4" w:space="0" w:color="auto"/>
              <w:right w:val="single" w:sz="4" w:space="0" w:color="auto"/>
            </w:tcBorders>
          </w:tcPr>
          <w:p w14:paraId="3B71ABF3" w14:textId="77777777" w:rsidR="003D29BB" w:rsidRPr="003D29BB" w:rsidRDefault="003D29BB" w:rsidP="003D29BB">
            <w:pPr>
              <w:jc w:val="both"/>
              <w:rPr>
                <w:rFonts w:eastAsia="Times New Roman"/>
                <w:b/>
                <w:sz w:val="20"/>
                <w:szCs w:val="26"/>
              </w:rPr>
            </w:pPr>
            <w:r w:rsidRPr="003D29BB">
              <w:rPr>
                <w:rFonts w:eastAsia="Times New Roman"/>
                <w:b/>
                <w:sz w:val="20"/>
                <w:szCs w:val="26"/>
              </w:rPr>
              <w:t>Construcción</w:t>
            </w:r>
          </w:p>
        </w:tc>
        <w:tc>
          <w:tcPr>
            <w:tcW w:w="2127" w:type="dxa"/>
            <w:tcBorders>
              <w:left w:val="single" w:sz="4" w:space="0" w:color="auto"/>
              <w:right w:val="single" w:sz="4" w:space="0" w:color="auto"/>
            </w:tcBorders>
          </w:tcPr>
          <w:p w14:paraId="12DE4B24" w14:textId="77777777" w:rsidR="003D29BB" w:rsidRPr="003D29BB" w:rsidRDefault="003D29BB" w:rsidP="003D29BB">
            <w:pPr>
              <w:jc w:val="center"/>
              <w:rPr>
                <w:rFonts w:eastAsia="Times New Roman"/>
                <w:b/>
                <w:sz w:val="20"/>
                <w:szCs w:val="26"/>
              </w:rPr>
            </w:pPr>
            <w:r w:rsidRPr="003D29BB">
              <w:rPr>
                <w:rFonts w:eastAsia="Times New Roman"/>
                <w:b/>
                <w:sz w:val="20"/>
                <w:szCs w:val="26"/>
              </w:rPr>
              <w:t>-0.1</w:t>
            </w:r>
          </w:p>
        </w:tc>
        <w:tc>
          <w:tcPr>
            <w:tcW w:w="2126" w:type="dxa"/>
            <w:tcBorders>
              <w:left w:val="single" w:sz="4" w:space="0" w:color="auto"/>
              <w:right w:val="single" w:sz="4" w:space="0" w:color="auto"/>
            </w:tcBorders>
          </w:tcPr>
          <w:p w14:paraId="74F570F4" w14:textId="77777777" w:rsidR="003D29BB" w:rsidRPr="003D29BB" w:rsidRDefault="003D29BB" w:rsidP="003D29BB">
            <w:pPr>
              <w:ind w:right="851"/>
              <w:jc w:val="right"/>
              <w:rPr>
                <w:rFonts w:eastAsia="Times New Roman"/>
                <w:b/>
                <w:sz w:val="20"/>
                <w:szCs w:val="26"/>
              </w:rPr>
            </w:pPr>
            <w:r w:rsidRPr="003D29BB">
              <w:rPr>
                <w:rFonts w:eastAsia="Times New Roman"/>
                <w:b/>
                <w:sz w:val="20"/>
                <w:szCs w:val="26"/>
              </w:rPr>
              <w:t>4.0</w:t>
            </w:r>
          </w:p>
        </w:tc>
      </w:tr>
      <w:tr w:rsidR="003D29BB" w:rsidRPr="003D29BB" w14:paraId="44053507" w14:textId="77777777" w:rsidTr="00E56C5B">
        <w:trPr>
          <w:jc w:val="center"/>
        </w:trPr>
        <w:tc>
          <w:tcPr>
            <w:tcW w:w="2268" w:type="dxa"/>
            <w:tcBorders>
              <w:left w:val="single" w:sz="4" w:space="0" w:color="auto"/>
              <w:right w:val="single" w:sz="4" w:space="0" w:color="auto"/>
            </w:tcBorders>
          </w:tcPr>
          <w:p w14:paraId="6C4A5A60" w14:textId="77777777" w:rsidR="003D29BB" w:rsidRPr="003D29BB" w:rsidRDefault="003D29BB" w:rsidP="003D29BB">
            <w:pPr>
              <w:ind w:left="170"/>
              <w:jc w:val="both"/>
              <w:rPr>
                <w:rFonts w:eastAsia="Times New Roman"/>
                <w:sz w:val="20"/>
                <w:szCs w:val="26"/>
              </w:rPr>
            </w:pPr>
            <w:r w:rsidRPr="003D29BB">
              <w:rPr>
                <w:rFonts w:eastAsia="Times New Roman"/>
                <w:sz w:val="20"/>
                <w:szCs w:val="26"/>
              </w:rPr>
              <w:t>Residencial</w:t>
            </w:r>
          </w:p>
        </w:tc>
        <w:tc>
          <w:tcPr>
            <w:tcW w:w="2127" w:type="dxa"/>
            <w:tcBorders>
              <w:left w:val="single" w:sz="4" w:space="0" w:color="auto"/>
              <w:right w:val="single" w:sz="4" w:space="0" w:color="auto"/>
            </w:tcBorders>
          </w:tcPr>
          <w:p w14:paraId="7B79F5FB" w14:textId="77777777" w:rsidR="003D29BB" w:rsidRPr="003D29BB" w:rsidRDefault="003D29BB" w:rsidP="003D29BB">
            <w:pPr>
              <w:jc w:val="center"/>
              <w:rPr>
                <w:rFonts w:eastAsia="Times New Roman"/>
                <w:sz w:val="20"/>
                <w:szCs w:val="26"/>
              </w:rPr>
            </w:pPr>
            <w:r w:rsidRPr="003D29BB">
              <w:rPr>
                <w:rFonts w:eastAsia="Times New Roman"/>
                <w:sz w:val="20"/>
                <w:szCs w:val="26"/>
              </w:rPr>
              <w:t>-3.0</w:t>
            </w:r>
          </w:p>
        </w:tc>
        <w:tc>
          <w:tcPr>
            <w:tcW w:w="2126" w:type="dxa"/>
            <w:tcBorders>
              <w:left w:val="single" w:sz="4" w:space="0" w:color="auto"/>
              <w:right w:val="single" w:sz="4" w:space="0" w:color="auto"/>
            </w:tcBorders>
          </w:tcPr>
          <w:p w14:paraId="10DE879C" w14:textId="77777777" w:rsidR="003D29BB" w:rsidRPr="003D29BB" w:rsidRDefault="003D29BB" w:rsidP="003D29BB">
            <w:pPr>
              <w:ind w:right="851"/>
              <w:jc w:val="right"/>
              <w:rPr>
                <w:rFonts w:eastAsia="Times New Roman"/>
                <w:sz w:val="20"/>
                <w:szCs w:val="26"/>
              </w:rPr>
            </w:pPr>
            <w:r w:rsidRPr="003D29BB">
              <w:rPr>
                <w:rFonts w:eastAsia="Times New Roman"/>
                <w:sz w:val="20"/>
                <w:szCs w:val="26"/>
              </w:rPr>
              <w:t>6.6</w:t>
            </w:r>
          </w:p>
        </w:tc>
      </w:tr>
      <w:tr w:rsidR="003D29BB" w:rsidRPr="003D29BB" w14:paraId="4F40AE78" w14:textId="77777777" w:rsidTr="00E56C5B">
        <w:trPr>
          <w:jc w:val="center"/>
        </w:trPr>
        <w:tc>
          <w:tcPr>
            <w:tcW w:w="2268" w:type="dxa"/>
            <w:tcBorders>
              <w:left w:val="single" w:sz="4" w:space="0" w:color="auto"/>
              <w:right w:val="single" w:sz="4" w:space="0" w:color="auto"/>
            </w:tcBorders>
          </w:tcPr>
          <w:p w14:paraId="16D020B7" w14:textId="77777777" w:rsidR="003D29BB" w:rsidRPr="003D29BB" w:rsidRDefault="003D29BB" w:rsidP="003D29BB">
            <w:pPr>
              <w:ind w:left="170"/>
              <w:jc w:val="both"/>
              <w:rPr>
                <w:rFonts w:eastAsia="Times New Roman"/>
                <w:sz w:val="20"/>
                <w:szCs w:val="26"/>
              </w:rPr>
            </w:pPr>
            <w:r w:rsidRPr="003D29BB">
              <w:rPr>
                <w:rFonts w:eastAsia="Times New Roman"/>
                <w:sz w:val="20"/>
                <w:szCs w:val="26"/>
              </w:rPr>
              <w:t>No residencial</w:t>
            </w:r>
          </w:p>
        </w:tc>
        <w:tc>
          <w:tcPr>
            <w:tcW w:w="2127" w:type="dxa"/>
            <w:tcBorders>
              <w:left w:val="single" w:sz="4" w:space="0" w:color="auto"/>
              <w:right w:val="single" w:sz="4" w:space="0" w:color="auto"/>
            </w:tcBorders>
          </w:tcPr>
          <w:p w14:paraId="4983D7C8" w14:textId="77777777" w:rsidR="003D29BB" w:rsidRPr="003D29BB" w:rsidRDefault="003D29BB" w:rsidP="003D29BB">
            <w:pPr>
              <w:jc w:val="center"/>
              <w:rPr>
                <w:rFonts w:eastAsia="Times New Roman"/>
                <w:sz w:val="20"/>
                <w:szCs w:val="26"/>
              </w:rPr>
            </w:pPr>
            <w:r w:rsidRPr="003D29BB">
              <w:rPr>
                <w:rFonts w:eastAsia="Times New Roman"/>
                <w:sz w:val="20"/>
                <w:szCs w:val="26"/>
              </w:rPr>
              <w:t>0.7</w:t>
            </w:r>
          </w:p>
        </w:tc>
        <w:tc>
          <w:tcPr>
            <w:tcW w:w="2126" w:type="dxa"/>
            <w:tcBorders>
              <w:left w:val="single" w:sz="4" w:space="0" w:color="auto"/>
              <w:right w:val="single" w:sz="4" w:space="0" w:color="auto"/>
            </w:tcBorders>
          </w:tcPr>
          <w:p w14:paraId="61FA028C" w14:textId="77777777" w:rsidR="003D29BB" w:rsidRPr="003D29BB" w:rsidRDefault="003D29BB" w:rsidP="003D29BB">
            <w:pPr>
              <w:ind w:right="851"/>
              <w:jc w:val="right"/>
              <w:rPr>
                <w:rFonts w:eastAsia="Times New Roman"/>
                <w:sz w:val="20"/>
                <w:szCs w:val="26"/>
              </w:rPr>
            </w:pPr>
            <w:r w:rsidRPr="003D29BB">
              <w:rPr>
                <w:rFonts w:eastAsia="Times New Roman"/>
                <w:sz w:val="20"/>
                <w:szCs w:val="26"/>
              </w:rPr>
              <w:t>1.1</w:t>
            </w:r>
          </w:p>
        </w:tc>
      </w:tr>
      <w:tr w:rsidR="003D29BB" w:rsidRPr="003D29BB" w14:paraId="3FBA6829" w14:textId="77777777" w:rsidTr="00E56C5B">
        <w:trPr>
          <w:jc w:val="center"/>
        </w:trPr>
        <w:tc>
          <w:tcPr>
            <w:tcW w:w="2268" w:type="dxa"/>
            <w:tcBorders>
              <w:left w:val="single" w:sz="4" w:space="0" w:color="auto"/>
              <w:right w:val="single" w:sz="4" w:space="0" w:color="auto"/>
            </w:tcBorders>
          </w:tcPr>
          <w:p w14:paraId="7F7203DD" w14:textId="77777777" w:rsidR="003D29BB" w:rsidRPr="003D29BB" w:rsidRDefault="003D29BB" w:rsidP="003D29BB">
            <w:pPr>
              <w:jc w:val="both"/>
              <w:rPr>
                <w:rFonts w:eastAsia="Times New Roman"/>
                <w:b/>
                <w:sz w:val="20"/>
                <w:szCs w:val="26"/>
              </w:rPr>
            </w:pPr>
            <w:r w:rsidRPr="003D29BB">
              <w:rPr>
                <w:rFonts w:eastAsia="Times New Roman"/>
                <w:b/>
                <w:sz w:val="20"/>
                <w:szCs w:val="26"/>
              </w:rPr>
              <w:t>Maquinaria y Equipo</w:t>
            </w:r>
          </w:p>
        </w:tc>
        <w:tc>
          <w:tcPr>
            <w:tcW w:w="2127" w:type="dxa"/>
            <w:tcBorders>
              <w:left w:val="single" w:sz="4" w:space="0" w:color="auto"/>
              <w:right w:val="single" w:sz="4" w:space="0" w:color="auto"/>
            </w:tcBorders>
          </w:tcPr>
          <w:p w14:paraId="540B200F" w14:textId="77777777" w:rsidR="003D29BB" w:rsidRPr="003D29BB" w:rsidRDefault="003D29BB" w:rsidP="003D29BB">
            <w:pPr>
              <w:jc w:val="center"/>
              <w:rPr>
                <w:rFonts w:eastAsia="Times New Roman"/>
                <w:b/>
                <w:sz w:val="20"/>
                <w:szCs w:val="26"/>
              </w:rPr>
            </w:pPr>
            <w:r w:rsidRPr="003D29BB">
              <w:rPr>
                <w:rFonts w:eastAsia="Times New Roman"/>
                <w:b/>
                <w:sz w:val="20"/>
                <w:szCs w:val="26"/>
              </w:rPr>
              <w:t>6.4</w:t>
            </w:r>
          </w:p>
        </w:tc>
        <w:tc>
          <w:tcPr>
            <w:tcW w:w="2126" w:type="dxa"/>
            <w:tcBorders>
              <w:left w:val="single" w:sz="4" w:space="0" w:color="auto"/>
              <w:right w:val="single" w:sz="4" w:space="0" w:color="auto"/>
            </w:tcBorders>
          </w:tcPr>
          <w:p w14:paraId="49D9B325" w14:textId="77777777" w:rsidR="003D29BB" w:rsidRPr="003D29BB" w:rsidRDefault="003D29BB" w:rsidP="003D29BB">
            <w:pPr>
              <w:ind w:right="851"/>
              <w:jc w:val="right"/>
              <w:rPr>
                <w:rFonts w:eastAsia="Times New Roman"/>
                <w:b/>
                <w:sz w:val="20"/>
                <w:szCs w:val="26"/>
              </w:rPr>
            </w:pPr>
            <w:r w:rsidRPr="003D29BB">
              <w:rPr>
                <w:rFonts w:eastAsia="Times New Roman"/>
                <w:b/>
                <w:sz w:val="20"/>
                <w:szCs w:val="26"/>
              </w:rPr>
              <w:t>16.8</w:t>
            </w:r>
          </w:p>
        </w:tc>
      </w:tr>
      <w:tr w:rsidR="003D29BB" w:rsidRPr="003D29BB" w14:paraId="298F27EE" w14:textId="77777777" w:rsidTr="00E56C5B">
        <w:trPr>
          <w:jc w:val="center"/>
        </w:trPr>
        <w:tc>
          <w:tcPr>
            <w:tcW w:w="2268" w:type="dxa"/>
            <w:tcBorders>
              <w:left w:val="single" w:sz="4" w:space="0" w:color="auto"/>
              <w:right w:val="single" w:sz="4" w:space="0" w:color="auto"/>
            </w:tcBorders>
          </w:tcPr>
          <w:p w14:paraId="6D3ABEF0" w14:textId="77777777" w:rsidR="003D29BB" w:rsidRPr="003D29BB" w:rsidRDefault="003D29BB" w:rsidP="003D29BB">
            <w:pPr>
              <w:ind w:left="170"/>
              <w:jc w:val="both"/>
              <w:rPr>
                <w:rFonts w:eastAsia="Times New Roman"/>
                <w:sz w:val="20"/>
                <w:szCs w:val="26"/>
              </w:rPr>
            </w:pPr>
            <w:r w:rsidRPr="003D29BB">
              <w:rPr>
                <w:rFonts w:eastAsia="Times New Roman"/>
                <w:sz w:val="20"/>
                <w:szCs w:val="26"/>
              </w:rPr>
              <w:t>Nacional</w:t>
            </w:r>
          </w:p>
        </w:tc>
        <w:tc>
          <w:tcPr>
            <w:tcW w:w="2127" w:type="dxa"/>
            <w:tcBorders>
              <w:left w:val="single" w:sz="4" w:space="0" w:color="auto"/>
              <w:right w:val="single" w:sz="4" w:space="0" w:color="auto"/>
            </w:tcBorders>
          </w:tcPr>
          <w:p w14:paraId="01BBF96C" w14:textId="77777777" w:rsidR="003D29BB" w:rsidRPr="003D29BB" w:rsidRDefault="003D29BB" w:rsidP="003D29BB">
            <w:pPr>
              <w:jc w:val="center"/>
              <w:rPr>
                <w:rFonts w:eastAsia="Times New Roman"/>
                <w:sz w:val="20"/>
                <w:szCs w:val="26"/>
              </w:rPr>
            </w:pPr>
            <w:r w:rsidRPr="003D29BB">
              <w:rPr>
                <w:rFonts w:eastAsia="Times New Roman"/>
                <w:sz w:val="20"/>
                <w:szCs w:val="26"/>
              </w:rPr>
              <w:t>1.9</w:t>
            </w:r>
          </w:p>
        </w:tc>
        <w:tc>
          <w:tcPr>
            <w:tcW w:w="2126" w:type="dxa"/>
            <w:tcBorders>
              <w:left w:val="single" w:sz="4" w:space="0" w:color="auto"/>
              <w:right w:val="single" w:sz="4" w:space="0" w:color="auto"/>
            </w:tcBorders>
          </w:tcPr>
          <w:p w14:paraId="235C5E02" w14:textId="77777777" w:rsidR="003D29BB" w:rsidRPr="003D29BB" w:rsidRDefault="003D29BB" w:rsidP="003D29BB">
            <w:pPr>
              <w:ind w:right="851"/>
              <w:jc w:val="right"/>
              <w:rPr>
                <w:rFonts w:eastAsia="Times New Roman"/>
                <w:sz w:val="20"/>
                <w:szCs w:val="26"/>
              </w:rPr>
            </w:pPr>
            <w:r w:rsidRPr="003D29BB">
              <w:rPr>
                <w:rFonts w:eastAsia="Times New Roman"/>
                <w:sz w:val="20"/>
                <w:szCs w:val="26"/>
              </w:rPr>
              <w:t>15.0</w:t>
            </w:r>
          </w:p>
        </w:tc>
      </w:tr>
      <w:tr w:rsidR="003D29BB" w:rsidRPr="003D29BB" w14:paraId="740BD2C1" w14:textId="77777777" w:rsidTr="00E56C5B">
        <w:trPr>
          <w:jc w:val="center"/>
        </w:trPr>
        <w:tc>
          <w:tcPr>
            <w:tcW w:w="2268" w:type="dxa"/>
            <w:tcBorders>
              <w:left w:val="single" w:sz="4" w:space="0" w:color="auto"/>
              <w:bottom w:val="single" w:sz="4" w:space="0" w:color="auto"/>
              <w:right w:val="single" w:sz="4" w:space="0" w:color="auto"/>
            </w:tcBorders>
          </w:tcPr>
          <w:p w14:paraId="73FB9E97" w14:textId="77777777" w:rsidR="003D29BB" w:rsidRPr="003D29BB" w:rsidRDefault="003D29BB" w:rsidP="003D29BB">
            <w:pPr>
              <w:ind w:left="170"/>
              <w:jc w:val="both"/>
              <w:rPr>
                <w:rFonts w:eastAsia="Times New Roman"/>
                <w:sz w:val="20"/>
                <w:szCs w:val="26"/>
              </w:rPr>
            </w:pPr>
            <w:r w:rsidRPr="003D29BB">
              <w:rPr>
                <w:rFonts w:eastAsia="Times New Roman"/>
                <w:sz w:val="20"/>
                <w:szCs w:val="26"/>
              </w:rPr>
              <w:t>Importado</w:t>
            </w:r>
          </w:p>
        </w:tc>
        <w:tc>
          <w:tcPr>
            <w:tcW w:w="2127" w:type="dxa"/>
            <w:tcBorders>
              <w:left w:val="single" w:sz="4" w:space="0" w:color="auto"/>
              <w:bottom w:val="single" w:sz="4" w:space="0" w:color="auto"/>
              <w:right w:val="single" w:sz="4" w:space="0" w:color="auto"/>
            </w:tcBorders>
          </w:tcPr>
          <w:p w14:paraId="16FFEB7D" w14:textId="77777777" w:rsidR="003D29BB" w:rsidRPr="003D29BB" w:rsidRDefault="003D29BB" w:rsidP="003D29BB">
            <w:pPr>
              <w:jc w:val="center"/>
              <w:rPr>
                <w:rFonts w:eastAsia="Times New Roman"/>
                <w:sz w:val="20"/>
                <w:szCs w:val="26"/>
              </w:rPr>
            </w:pPr>
            <w:r w:rsidRPr="003D29BB">
              <w:rPr>
                <w:rFonts w:eastAsia="Times New Roman"/>
                <w:sz w:val="20"/>
                <w:szCs w:val="26"/>
              </w:rPr>
              <w:t>8.6</w:t>
            </w:r>
          </w:p>
        </w:tc>
        <w:tc>
          <w:tcPr>
            <w:tcW w:w="2126" w:type="dxa"/>
            <w:tcBorders>
              <w:left w:val="single" w:sz="4" w:space="0" w:color="auto"/>
              <w:bottom w:val="single" w:sz="4" w:space="0" w:color="auto"/>
              <w:right w:val="single" w:sz="4" w:space="0" w:color="auto"/>
            </w:tcBorders>
          </w:tcPr>
          <w:p w14:paraId="72F9CBC9" w14:textId="77777777" w:rsidR="003D29BB" w:rsidRPr="003D29BB" w:rsidRDefault="003D29BB" w:rsidP="003D29BB">
            <w:pPr>
              <w:ind w:right="851"/>
              <w:jc w:val="right"/>
              <w:rPr>
                <w:rFonts w:eastAsia="Times New Roman"/>
                <w:sz w:val="20"/>
                <w:szCs w:val="26"/>
              </w:rPr>
            </w:pPr>
            <w:r w:rsidRPr="003D29BB">
              <w:rPr>
                <w:rFonts w:eastAsia="Times New Roman"/>
                <w:sz w:val="20"/>
                <w:szCs w:val="26"/>
              </w:rPr>
              <w:t>18.0</w:t>
            </w:r>
          </w:p>
        </w:tc>
      </w:tr>
      <w:tr w:rsidR="003D29BB" w:rsidRPr="003D29BB" w14:paraId="18F3DF58" w14:textId="77777777" w:rsidTr="00BA61DD">
        <w:trPr>
          <w:jc w:val="center"/>
        </w:trPr>
        <w:tc>
          <w:tcPr>
            <w:tcW w:w="6521" w:type="dxa"/>
            <w:gridSpan w:val="3"/>
            <w:tcBorders>
              <w:left w:val="nil"/>
              <w:bottom w:val="nil"/>
              <w:right w:val="nil"/>
            </w:tcBorders>
          </w:tcPr>
          <w:p w14:paraId="04A13652" w14:textId="77777777" w:rsidR="003D29BB" w:rsidRPr="003D29BB" w:rsidRDefault="003D29BB" w:rsidP="003D29BB">
            <w:pPr>
              <w:ind w:left="510" w:hanging="510"/>
              <w:jc w:val="both"/>
              <w:rPr>
                <w:rFonts w:eastAsia="Times New Roman"/>
                <w:sz w:val="20"/>
                <w:szCs w:val="26"/>
              </w:rPr>
            </w:pPr>
            <w:r w:rsidRPr="003D29BB">
              <w:rPr>
                <w:rFonts w:eastAsia="Times New Roman"/>
                <w:sz w:val="20"/>
                <w:szCs w:val="26"/>
              </w:rPr>
              <w:t>Nota: Cabe señalar que la serie desestacionalizada de la Inversión Fija Bruta se calcula de manera independiente a la de sus componentes.</w:t>
            </w:r>
          </w:p>
          <w:p w14:paraId="37AD932C" w14:textId="77777777" w:rsidR="003D29BB" w:rsidRPr="003D29BB" w:rsidRDefault="003D29BB" w:rsidP="003D29BB">
            <w:pPr>
              <w:jc w:val="both"/>
              <w:rPr>
                <w:rFonts w:eastAsia="Times New Roman"/>
                <w:sz w:val="20"/>
                <w:szCs w:val="26"/>
              </w:rPr>
            </w:pPr>
            <w:r w:rsidRPr="003D29BB">
              <w:rPr>
                <w:rFonts w:eastAsia="Times New Roman"/>
                <w:sz w:val="20"/>
                <w:szCs w:val="26"/>
              </w:rPr>
              <w:t>FUENTE: INEGI.</w:t>
            </w:r>
          </w:p>
        </w:tc>
      </w:tr>
    </w:tbl>
    <w:p w14:paraId="5ECBFD12" w14:textId="77777777" w:rsidR="003D29BB" w:rsidRPr="003D29BB" w:rsidRDefault="003D29BB" w:rsidP="003D29BB">
      <w:pPr>
        <w:spacing w:after="360" w:line="360" w:lineRule="auto"/>
        <w:ind w:right="-159"/>
        <w:jc w:val="both"/>
        <w:rPr>
          <w:rFonts w:eastAsia="Times New Roman"/>
          <w:sz w:val="26"/>
          <w:szCs w:val="26"/>
        </w:rPr>
      </w:pPr>
    </w:p>
    <w:p w14:paraId="52B88E07" w14:textId="77777777" w:rsidR="003D29BB" w:rsidRPr="003D29BB" w:rsidRDefault="003D29BB" w:rsidP="003D29BB">
      <w:pPr>
        <w:spacing w:after="360" w:line="360" w:lineRule="auto"/>
        <w:ind w:right="-159"/>
        <w:jc w:val="both"/>
        <w:rPr>
          <w:rFonts w:eastAsia="Times New Roman"/>
          <w:b/>
          <w:sz w:val="26"/>
          <w:szCs w:val="26"/>
        </w:rPr>
      </w:pPr>
      <w:r w:rsidRPr="003D29BB">
        <w:rPr>
          <w:rFonts w:eastAsia="Times New Roman"/>
          <w:b/>
          <w:sz w:val="26"/>
          <w:szCs w:val="26"/>
        </w:rPr>
        <w:lastRenderedPageBreak/>
        <w:t>Principales Resultados</w:t>
      </w:r>
    </w:p>
    <w:p w14:paraId="0D2D915E" w14:textId="77777777" w:rsidR="003D29BB" w:rsidRPr="003D29BB" w:rsidRDefault="003D29BB" w:rsidP="003D29BB">
      <w:pPr>
        <w:spacing w:after="360" w:line="360" w:lineRule="auto"/>
        <w:ind w:right="-159"/>
        <w:jc w:val="both"/>
        <w:rPr>
          <w:rFonts w:eastAsia="Times New Roman"/>
          <w:sz w:val="26"/>
          <w:szCs w:val="26"/>
        </w:rPr>
      </w:pPr>
      <w:r w:rsidRPr="003D29BB">
        <w:rPr>
          <w:rFonts w:eastAsia="Times New Roman"/>
          <w:sz w:val="26"/>
          <w:szCs w:val="26"/>
        </w:rPr>
        <w:t xml:space="preserve">Con base en cifras desestacionalizadas, la Inversión Fija Bruta (Formación Bruta de Capital Fijo) mostró un avance de 1.5% durante enero de 2015 respecto al nivel registrado en el mes inmediato anterior. </w:t>
      </w:r>
    </w:p>
    <w:p w14:paraId="282E6910" w14:textId="77777777" w:rsidR="003D29BB" w:rsidRPr="003D29BB" w:rsidRDefault="003D29BB" w:rsidP="003D29BB">
      <w:pPr>
        <w:spacing w:after="360" w:line="360" w:lineRule="auto"/>
        <w:ind w:right="-159"/>
        <w:jc w:val="center"/>
        <w:rPr>
          <w:rFonts w:eastAsia="Times New Roman"/>
          <w:sz w:val="26"/>
          <w:szCs w:val="26"/>
        </w:rPr>
      </w:pPr>
      <w:r w:rsidRPr="003D29BB">
        <w:fldChar w:fldCharType="begin"/>
      </w:r>
      <w:r w:rsidRPr="003D29BB">
        <w:instrText xml:space="preserve"> LINK PowerPoint.Slide.8 "D:\\2015\\ABRIL\\GRÁFICAS POWER POINT\\10.- GRÁFICAS IFB.pptx!267" "" \a \p </w:instrText>
      </w:r>
      <w:r w:rsidRPr="003D29BB">
        <w:fldChar w:fldCharType="separate"/>
      </w:r>
      <w:r w:rsidRPr="003D29BB">
        <w:rPr>
          <w:noProof/>
          <w:lang w:eastAsia="es-MX"/>
        </w:rPr>
        <w:drawing>
          <wp:inline distT="0" distB="0" distL="0" distR="0" wp14:anchorId="61FFBDE4" wp14:editId="2B24C0C7">
            <wp:extent cx="4831715" cy="3126105"/>
            <wp:effectExtent l="0" t="0" r="6985" b="0"/>
            <wp:docPr id="1649" name="Imagen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91" cstate="print">
                      <a:extLst>
                        <a:ext uri="{28A0092B-C50C-407E-A947-70E740481C1C}">
                          <a14:useLocalDpi xmlns:a14="http://schemas.microsoft.com/office/drawing/2010/main" val="0"/>
                        </a:ext>
                      </a:extLst>
                    </a:blip>
                    <a:srcRect l="7512" t="5556" r="13145" b="3334"/>
                    <a:stretch>
                      <a:fillRect/>
                    </a:stretch>
                  </pic:blipFill>
                  <pic:spPr bwMode="auto">
                    <a:xfrm>
                      <a:off x="0" y="0"/>
                      <a:ext cx="4831715" cy="3126105"/>
                    </a:xfrm>
                    <a:prstGeom prst="rect">
                      <a:avLst/>
                    </a:prstGeom>
                    <a:noFill/>
                    <a:ln>
                      <a:noFill/>
                    </a:ln>
                  </pic:spPr>
                </pic:pic>
              </a:graphicData>
            </a:graphic>
          </wp:inline>
        </w:drawing>
      </w:r>
      <w:r w:rsidRPr="003D29BB">
        <w:fldChar w:fldCharType="end"/>
      </w:r>
    </w:p>
    <w:p w14:paraId="17816135" w14:textId="77777777" w:rsidR="003D29BB" w:rsidRPr="003D29BB" w:rsidRDefault="003D29BB" w:rsidP="003D29BB">
      <w:pPr>
        <w:spacing w:after="360" w:line="360" w:lineRule="auto"/>
        <w:ind w:right="-159"/>
        <w:jc w:val="both"/>
        <w:rPr>
          <w:rFonts w:eastAsia="Times New Roman"/>
          <w:sz w:val="26"/>
          <w:szCs w:val="26"/>
        </w:rPr>
      </w:pPr>
      <w:r w:rsidRPr="003D29BB">
        <w:rPr>
          <w:rFonts w:eastAsia="Times New Roman"/>
          <w:sz w:val="26"/>
          <w:szCs w:val="26"/>
        </w:rPr>
        <w:t xml:space="preserve">Por componentes, los gastos efectuados en Maquinaria y equipo total crecieron 6.4% y los de la Construcción retrocedieron 0.1% para enero del presente año frente a los del mes precedente, según datos ajustados por estacionalidad. </w:t>
      </w:r>
    </w:p>
    <w:p w14:paraId="597AF24A" w14:textId="77777777" w:rsidR="003D29BB" w:rsidRPr="003D29BB" w:rsidRDefault="003D29BB" w:rsidP="003D29BB">
      <w:pPr>
        <w:spacing w:after="160" w:line="259" w:lineRule="auto"/>
        <w:jc w:val="center"/>
        <w:rPr>
          <w:rFonts w:ascii="Calibri" w:eastAsia="Calibri" w:hAnsi="Calibri"/>
          <w:sz w:val="22"/>
          <w:szCs w:val="22"/>
          <w:lang w:eastAsia="en-US"/>
        </w:rPr>
      </w:pPr>
      <w:r w:rsidRPr="003D29BB">
        <w:rPr>
          <w:rFonts w:ascii="Calibri" w:eastAsia="Calibri" w:hAnsi="Calibri"/>
          <w:sz w:val="22"/>
          <w:szCs w:val="22"/>
          <w:lang w:eastAsia="en-US"/>
        </w:rPr>
        <w:lastRenderedPageBreak/>
        <w:fldChar w:fldCharType="begin"/>
      </w:r>
      <w:r w:rsidRPr="003D29BB">
        <w:rPr>
          <w:rFonts w:ascii="Calibri" w:eastAsia="Calibri" w:hAnsi="Calibri"/>
          <w:sz w:val="22"/>
          <w:szCs w:val="22"/>
          <w:lang w:eastAsia="en-US"/>
        </w:rPr>
        <w:instrText xml:space="preserve"> LINK PowerPoint.Slide.8 "D:\\2015\\ABRIL\\GRÁFICAS POWER POINT\\10.- GRÁFICAS IFB.pptx!273" "" \a \p </w:instrText>
      </w:r>
      <w:r w:rsidRPr="003D29BB">
        <w:rPr>
          <w:rFonts w:ascii="Calibri" w:eastAsia="Calibri" w:hAnsi="Calibri"/>
          <w:sz w:val="22"/>
          <w:szCs w:val="22"/>
          <w:lang w:eastAsia="en-US"/>
        </w:rPr>
        <w:fldChar w:fldCharType="separate"/>
      </w:r>
      <w:r w:rsidRPr="003D29BB">
        <w:rPr>
          <w:rFonts w:ascii="Calibri" w:eastAsia="Calibri" w:hAnsi="Calibri"/>
          <w:noProof/>
          <w:sz w:val="22"/>
          <w:szCs w:val="22"/>
          <w:lang w:eastAsia="es-MX"/>
        </w:rPr>
        <w:drawing>
          <wp:inline distT="0" distB="0" distL="0" distR="0" wp14:anchorId="3C0449D1" wp14:editId="0B90A142">
            <wp:extent cx="4911725" cy="3163570"/>
            <wp:effectExtent l="0" t="0" r="3175" b="0"/>
            <wp:docPr id="1650" name="Imagen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92" cstate="print">
                      <a:extLst>
                        <a:ext uri="{28A0092B-C50C-407E-A947-70E740481C1C}">
                          <a14:useLocalDpi xmlns:a14="http://schemas.microsoft.com/office/drawing/2010/main" val="0"/>
                        </a:ext>
                      </a:extLst>
                    </a:blip>
                    <a:srcRect l="7042" t="4167" r="12207" b="3612"/>
                    <a:stretch>
                      <a:fillRect/>
                    </a:stretch>
                  </pic:blipFill>
                  <pic:spPr bwMode="auto">
                    <a:xfrm>
                      <a:off x="0" y="0"/>
                      <a:ext cx="4911725" cy="3163570"/>
                    </a:xfrm>
                    <a:prstGeom prst="rect">
                      <a:avLst/>
                    </a:prstGeom>
                    <a:noFill/>
                    <a:ln>
                      <a:noFill/>
                    </a:ln>
                  </pic:spPr>
                </pic:pic>
              </a:graphicData>
            </a:graphic>
          </wp:inline>
        </w:drawing>
      </w:r>
      <w:r w:rsidRPr="003D29BB">
        <w:rPr>
          <w:rFonts w:ascii="Calibri" w:eastAsia="Calibri" w:hAnsi="Calibri"/>
          <w:sz w:val="22"/>
          <w:szCs w:val="22"/>
          <w:lang w:eastAsia="en-US"/>
        </w:rPr>
        <w:fldChar w:fldCharType="end"/>
      </w:r>
    </w:p>
    <w:p w14:paraId="1445418A" w14:textId="77777777" w:rsidR="003D29BB" w:rsidRPr="003D29BB" w:rsidRDefault="003D29BB" w:rsidP="003D29BB">
      <w:pPr>
        <w:spacing w:after="160" w:line="259" w:lineRule="auto"/>
        <w:jc w:val="center"/>
        <w:rPr>
          <w:rFonts w:ascii="Calibri" w:eastAsia="Calibri" w:hAnsi="Calibri"/>
          <w:sz w:val="22"/>
          <w:szCs w:val="22"/>
          <w:lang w:eastAsia="en-US"/>
        </w:rPr>
      </w:pPr>
    </w:p>
    <w:p w14:paraId="3FEFF910" w14:textId="77777777" w:rsidR="003D29BB" w:rsidRPr="003D29BB" w:rsidRDefault="003D29BB" w:rsidP="003D29BB">
      <w:pPr>
        <w:spacing w:after="160" w:line="259" w:lineRule="auto"/>
        <w:jc w:val="center"/>
        <w:rPr>
          <w:rFonts w:ascii="Calibri" w:eastAsia="Calibri" w:hAnsi="Calibri"/>
          <w:sz w:val="22"/>
          <w:szCs w:val="22"/>
          <w:lang w:eastAsia="en-US"/>
        </w:rPr>
      </w:pPr>
      <w:r w:rsidRPr="003D29BB">
        <w:rPr>
          <w:rFonts w:ascii="Calibri" w:eastAsia="Calibri" w:hAnsi="Calibri"/>
          <w:sz w:val="22"/>
          <w:szCs w:val="22"/>
          <w:lang w:eastAsia="en-US"/>
        </w:rPr>
        <w:fldChar w:fldCharType="begin"/>
      </w:r>
      <w:r w:rsidRPr="003D29BB">
        <w:rPr>
          <w:rFonts w:ascii="Calibri" w:eastAsia="Calibri" w:hAnsi="Calibri"/>
          <w:sz w:val="22"/>
          <w:szCs w:val="22"/>
          <w:lang w:eastAsia="en-US"/>
        </w:rPr>
        <w:instrText xml:space="preserve"> LINK PowerPoint.Slide.8 "D:\\2015\\ABRIL\\GRÁFICAS POWER POINT\\10.- GRÁFICAS IFB.pptx!274" "" \a \p </w:instrText>
      </w:r>
      <w:r w:rsidRPr="003D29BB">
        <w:rPr>
          <w:rFonts w:ascii="Calibri" w:eastAsia="Calibri" w:hAnsi="Calibri"/>
          <w:sz w:val="22"/>
          <w:szCs w:val="22"/>
          <w:lang w:eastAsia="en-US"/>
        </w:rPr>
        <w:fldChar w:fldCharType="separate"/>
      </w:r>
      <w:r w:rsidRPr="003D29BB">
        <w:rPr>
          <w:rFonts w:ascii="Calibri" w:eastAsia="Calibri" w:hAnsi="Calibri"/>
          <w:noProof/>
          <w:sz w:val="22"/>
          <w:szCs w:val="22"/>
          <w:lang w:eastAsia="es-MX"/>
        </w:rPr>
        <w:drawing>
          <wp:inline distT="0" distB="0" distL="0" distR="0" wp14:anchorId="46871BA5" wp14:editId="483C6B66">
            <wp:extent cx="4924425" cy="3194050"/>
            <wp:effectExtent l="0" t="0" r="9525" b="6350"/>
            <wp:docPr id="1651" name="Imagen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93" cstate="print">
                      <a:extLst>
                        <a:ext uri="{28A0092B-C50C-407E-A947-70E740481C1C}">
                          <a14:useLocalDpi xmlns:a14="http://schemas.microsoft.com/office/drawing/2010/main" val="0"/>
                        </a:ext>
                      </a:extLst>
                    </a:blip>
                    <a:srcRect l="7042" t="4445" r="12050" b="2499"/>
                    <a:stretch>
                      <a:fillRect/>
                    </a:stretch>
                  </pic:blipFill>
                  <pic:spPr bwMode="auto">
                    <a:xfrm>
                      <a:off x="0" y="0"/>
                      <a:ext cx="4924425" cy="3194050"/>
                    </a:xfrm>
                    <a:prstGeom prst="rect">
                      <a:avLst/>
                    </a:prstGeom>
                    <a:noFill/>
                    <a:ln>
                      <a:noFill/>
                    </a:ln>
                  </pic:spPr>
                </pic:pic>
              </a:graphicData>
            </a:graphic>
          </wp:inline>
        </w:drawing>
      </w:r>
      <w:r w:rsidRPr="003D29BB">
        <w:rPr>
          <w:rFonts w:ascii="Calibri" w:eastAsia="Calibri" w:hAnsi="Calibri"/>
          <w:sz w:val="22"/>
          <w:szCs w:val="22"/>
          <w:lang w:eastAsia="en-US"/>
        </w:rPr>
        <w:fldChar w:fldCharType="end"/>
      </w:r>
    </w:p>
    <w:p w14:paraId="1777C38F" w14:textId="77777777" w:rsidR="009940FA" w:rsidRDefault="009940FA" w:rsidP="009940FA">
      <w:pPr>
        <w:spacing w:before="360" w:after="360" w:line="360" w:lineRule="auto"/>
        <w:ind w:right="-159"/>
        <w:jc w:val="both"/>
        <w:rPr>
          <w:rFonts w:eastAsia="Times New Roman"/>
          <w:b/>
          <w:sz w:val="26"/>
          <w:szCs w:val="26"/>
        </w:rPr>
      </w:pPr>
    </w:p>
    <w:p w14:paraId="6895F820" w14:textId="77777777" w:rsidR="009940FA" w:rsidRDefault="009940FA" w:rsidP="009940FA">
      <w:pPr>
        <w:spacing w:before="360" w:after="360" w:line="360" w:lineRule="auto"/>
        <w:ind w:right="-159"/>
        <w:jc w:val="both"/>
        <w:rPr>
          <w:rFonts w:eastAsia="Times New Roman"/>
          <w:b/>
          <w:sz w:val="26"/>
          <w:szCs w:val="26"/>
        </w:rPr>
      </w:pPr>
    </w:p>
    <w:p w14:paraId="5C5CBFC9" w14:textId="77777777" w:rsidR="009940FA" w:rsidRDefault="009940FA" w:rsidP="009940FA">
      <w:pPr>
        <w:spacing w:before="360" w:after="360" w:line="360" w:lineRule="auto"/>
        <w:ind w:right="-159"/>
        <w:jc w:val="both"/>
        <w:rPr>
          <w:rFonts w:eastAsia="Times New Roman"/>
          <w:b/>
          <w:sz w:val="26"/>
          <w:szCs w:val="26"/>
        </w:rPr>
      </w:pPr>
    </w:p>
    <w:p w14:paraId="7432C1E9" w14:textId="77777777" w:rsidR="003D29BB" w:rsidRPr="003D29BB" w:rsidRDefault="003D29BB" w:rsidP="009940FA">
      <w:pPr>
        <w:spacing w:before="360" w:after="360" w:line="360" w:lineRule="auto"/>
        <w:ind w:right="-159"/>
        <w:jc w:val="both"/>
        <w:rPr>
          <w:rFonts w:eastAsia="Times New Roman"/>
          <w:b/>
          <w:sz w:val="26"/>
          <w:szCs w:val="26"/>
        </w:rPr>
      </w:pPr>
      <w:r w:rsidRPr="003D29BB">
        <w:rPr>
          <w:rFonts w:eastAsia="Times New Roman"/>
          <w:b/>
          <w:sz w:val="26"/>
          <w:szCs w:val="26"/>
        </w:rPr>
        <w:lastRenderedPageBreak/>
        <w:t>Cifras originales</w:t>
      </w:r>
    </w:p>
    <w:p w14:paraId="5A460573" w14:textId="77777777" w:rsidR="003D29BB" w:rsidRPr="003D29BB" w:rsidRDefault="003D29BB" w:rsidP="003D29BB">
      <w:pPr>
        <w:spacing w:after="360" w:line="360" w:lineRule="auto"/>
        <w:ind w:right="-159"/>
        <w:jc w:val="both"/>
        <w:rPr>
          <w:rFonts w:eastAsia="Times New Roman"/>
          <w:sz w:val="26"/>
          <w:szCs w:val="26"/>
        </w:rPr>
      </w:pPr>
      <w:r w:rsidRPr="003D29BB">
        <w:rPr>
          <w:rFonts w:eastAsia="Times New Roman"/>
          <w:sz w:val="26"/>
          <w:szCs w:val="26"/>
        </w:rPr>
        <w:t>En su comparación anual y con cifras originales, la Inversión Fija Bruta creció 7.3% durante enero de 2015, respecto a la de igual mes de 2014. Con ello, se acumulan nueve meses consecutivos de crecimiento de la inversión.</w:t>
      </w:r>
    </w:p>
    <w:p w14:paraId="4B4BE5B8" w14:textId="34633741" w:rsidR="003D29BB" w:rsidRPr="003D29BB" w:rsidRDefault="00E9660C" w:rsidP="003D29BB">
      <w:pPr>
        <w:spacing w:after="360" w:line="360" w:lineRule="auto"/>
        <w:ind w:right="-159"/>
        <w:jc w:val="center"/>
        <w:rPr>
          <w:rFonts w:eastAsia="Times New Roman"/>
          <w:sz w:val="26"/>
          <w:szCs w:val="26"/>
        </w:rPr>
      </w:pPr>
      <w:r w:rsidRPr="00E9660C">
        <w:rPr>
          <w:rFonts w:ascii="Calibri" w:eastAsia="Calibri" w:hAnsi="Calibri"/>
          <w:sz w:val="22"/>
          <w:szCs w:val="22"/>
          <w:lang w:eastAsia="en-US"/>
        </w:rPr>
        <w:fldChar w:fldCharType="begin"/>
      </w:r>
      <w:r w:rsidRPr="00E9660C">
        <w:rPr>
          <w:rFonts w:ascii="Calibri" w:eastAsia="Calibri" w:hAnsi="Calibri"/>
          <w:sz w:val="22"/>
          <w:szCs w:val="22"/>
          <w:lang w:eastAsia="en-US"/>
        </w:rPr>
        <w:instrText xml:space="preserve"> LINK PowerPoint.Slide.8 "D:\\2015\\ABRIL\\GRÁFICAS POWER POINT\\10.- GRÁFICAS IFB.pptx!268" "" \a \p </w:instrText>
      </w:r>
      <w:r w:rsidRPr="00E9660C">
        <w:rPr>
          <w:rFonts w:ascii="Calibri" w:eastAsia="Calibri" w:hAnsi="Calibri"/>
          <w:sz w:val="22"/>
          <w:szCs w:val="22"/>
          <w:lang w:eastAsia="en-US"/>
        </w:rPr>
        <w:fldChar w:fldCharType="separate"/>
      </w:r>
      <w:r w:rsidRPr="00E9660C">
        <w:rPr>
          <w:rFonts w:ascii="Calibri" w:eastAsia="Calibri" w:hAnsi="Calibri"/>
          <w:noProof/>
          <w:sz w:val="22"/>
          <w:szCs w:val="22"/>
          <w:lang w:eastAsia="es-MX"/>
        </w:rPr>
        <w:drawing>
          <wp:inline distT="0" distB="0" distL="0" distR="0" wp14:anchorId="370B460C" wp14:editId="453243E3">
            <wp:extent cx="5035550" cy="3256280"/>
            <wp:effectExtent l="0" t="0" r="0" b="1270"/>
            <wp:docPr id="1778" name="Imagen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94" cstate="print">
                      <a:extLst>
                        <a:ext uri="{28A0092B-C50C-407E-A947-70E740481C1C}">
                          <a14:useLocalDpi xmlns:a14="http://schemas.microsoft.com/office/drawing/2010/main" val="0"/>
                        </a:ext>
                      </a:extLst>
                    </a:blip>
                    <a:srcRect l="9073" t="5043" r="8092"/>
                    <a:stretch>
                      <a:fillRect/>
                    </a:stretch>
                  </pic:blipFill>
                  <pic:spPr bwMode="auto">
                    <a:xfrm>
                      <a:off x="0" y="0"/>
                      <a:ext cx="5035550" cy="3256280"/>
                    </a:xfrm>
                    <a:prstGeom prst="rect">
                      <a:avLst/>
                    </a:prstGeom>
                    <a:noFill/>
                    <a:ln>
                      <a:noFill/>
                    </a:ln>
                  </pic:spPr>
                </pic:pic>
              </a:graphicData>
            </a:graphic>
          </wp:inline>
        </w:drawing>
      </w:r>
      <w:r w:rsidRPr="00E9660C">
        <w:rPr>
          <w:rFonts w:ascii="Calibri" w:eastAsia="Calibri" w:hAnsi="Calibri"/>
          <w:sz w:val="22"/>
          <w:szCs w:val="22"/>
          <w:lang w:eastAsia="en-US"/>
        </w:rPr>
        <w:fldChar w:fldCharType="end"/>
      </w:r>
    </w:p>
    <w:p w14:paraId="39B88E9F" w14:textId="77777777" w:rsidR="003D29BB" w:rsidRPr="003D29BB" w:rsidRDefault="003D29BB" w:rsidP="003D29BB">
      <w:pPr>
        <w:spacing w:after="360" w:line="360" w:lineRule="auto"/>
        <w:ind w:right="-159"/>
        <w:jc w:val="both"/>
        <w:rPr>
          <w:rFonts w:eastAsia="Times New Roman"/>
          <w:sz w:val="26"/>
          <w:szCs w:val="26"/>
        </w:rPr>
      </w:pPr>
      <w:r w:rsidRPr="003D29BB">
        <w:rPr>
          <w:rFonts w:eastAsia="Times New Roman"/>
          <w:sz w:val="26"/>
          <w:szCs w:val="26"/>
        </w:rPr>
        <w:t>La Inversión Fija Bruta creció 7.3% en enero de 2015, producto de los resultados por componentes que fueron los siguientes: los gastos de inversión en Maquinaria y equipo total se incrementaron 13.7% (los de origen importado aumentaron 14.1% y los nacionales 12.8%) y los de Construcción 3.4% derivado del avance de 6.3% en la residencial y del aumento de 1.2% en la no residencial.</w:t>
      </w:r>
    </w:p>
    <w:p w14:paraId="78444E3D" w14:textId="77777777" w:rsidR="003D29BB" w:rsidRPr="003D29BB" w:rsidRDefault="003D29BB" w:rsidP="003D29BB">
      <w:pPr>
        <w:spacing w:after="360" w:line="360" w:lineRule="auto"/>
        <w:ind w:right="-159"/>
        <w:jc w:val="center"/>
        <w:rPr>
          <w:rFonts w:eastAsia="Times New Roman"/>
          <w:sz w:val="26"/>
          <w:szCs w:val="26"/>
        </w:rPr>
      </w:pPr>
      <w:r w:rsidRPr="003D29BB">
        <w:lastRenderedPageBreak/>
        <w:fldChar w:fldCharType="begin"/>
      </w:r>
      <w:r w:rsidRPr="003D29BB">
        <w:instrText xml:space="preserve"> LINK PowerPoint.Slide.8 "D:\\2015\\ABRIL\\GRÁFICAS POWER POINT\\10.- GRÁFICAS IFB.pptx!269" "" \a \p </w:instrText>
      </w:r>
      <w:r w:rsidRPr="003D29BB">
        <w:fldChar w:fldCharType="separate"/>
      </w:r>
      <w:r w:rsidRPr="003D29BB">
        <w:rPr>
          <w:noProof/>
          <w:lang w:eastAsia="es-MX"/>
        </w:rPr>
        <w:drawing>
          <wp:inline distT="0" distB="0" distL="0" distR="0" wp14:anchorId="32A770D3" wp14:editId="5CA02B6A">
            <wp:extent cx="4639945" cy="3429000"/>
            <wp:effectExtent l="0" t="0" r="8255" b="0"/>
            <wp:docPr id="1653" name="Imagen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95" cstate="print">
                      <a:extLst>
                        <a:ext uri="{28A0092B-C50C-407E-A947-70E740481C1C}">
                          <a14:useLocalDpi xmlns:a14="http://schemas.microsoft.com/office/drawing/2010/main" val="0"/>
                        </a:ext>
                      </a:extLst>
                    </a:blip>
                    <a:srcRect l="11737" r="12050"/>
                    <a:stretch>
                      <a:fillRect/>
                    </a:stretch>
                  </pic:blipFill>
                  <pic:spPr bwMode="auto">
                    <a:xfrm>
                      <a:off x="0" y="0"/>
                      <a:ext cx="4639945" cy="3429000"/>
                    </a:xfrm>
                    <a:prstGeom prst="rect">
                      <a:avLst/>
                    </a:prstGeom>
                    <a:noFill/>
                    <a:ln>
                      <a:noFill/>
                    </a:ln>
                  </pic:spPr>
                </pic:pic>
              </a:graphicData>
            </a:graphic>
          </wp:inline>
        </w:drawing>
      </w:r>
      <w:r w:rsidRPr="003D29BB">
        <w:fldChar w:fldCharType="end"/>
      </w:r>
    </w:p>
    <w:p w14:paraId="6F7A6A40" w14:textId="77777777" w:rsidR="003D29BB" w:rsidRPr="003D29BB" w:rsidRDefault="003D29BB" w:rsidP="003D29BB">
      <w:pPr>
        <w:spacing w:after="360" w:line="360" w:lineRule="auto"/>
        <w:ind w:right="-159"/>
        <w:jc w:val="both"/>
        <w:rPr>
          <w:rFonts w:eastAsia="Times New Roman"/>
          <w:b/>
          <w:sz w:val="26"/>
          <w:szCs w:val="26"/>
        </w:rPr>
      </w:pPr>
    </w:p>
    <w:tbl>
      <w:tblPr>
        <w:tblW w:w="0" w:type="auto"/>
        <w:jc w:val="center"/>
        <w:tblLayout w:type="fixed"/>
        <w:tblLook w:val="04A0" w:firstRow="1" w:lastRow="0" w:firstColumn="1" w:lastColumn="0" w:noHBand="0" w:noVBand="1"/>
      </w:tblPr>
      <w:tblGrid>
        <w:gridCol w:w="3539"/>
        <w:gridCol w:w="1139"/>
      </w:tblGrid>
      <w:tr w:rsidR="003D29BB" w:rsidRPr="003D29BB" w14:paraId="24BCCBB2" w14:textId="77777777" w:rsidTr="00BA61DD">
        <w:trPr>
          <w:jc w:val="center"/>
        </w:trPr>
        <w:tc>
          <w:tcPr>
            <w:tcW w:w="4678" w:type="dxa"/>
            <w:gridSpan w:val="2"/>
            <w:tcBorders>
              <w:top w:val="nil"/>
              <w:left w:val="nil"/>
              <w:bottom w:val="single" w:sz="4" w:space="0" w:color="auto"/>
              <w:right w:val="nil"/>
            </w:tcBorders>
          </w:tcPr>
          <w:p w14:paraId="464B0F43" w14:textId="77777777" w:rsidR="003D29BB" w:rsidRPr="003D29BB" w:rsidRDefault="003D29BB" w:rsidP="003D29BB">
            <w:pPr>
              <w:jc w:val="center"/>
              <w:rPr>
                <w:rFonts w:eastAsia="Times New Roman"/>
                <w:b/>
                <w:sz w:val="22"/>
                <w:szCs w:val="22"/>
              </w:rPr>
            </w:pPr>
            <w:r w:rsidRPr="003D29BB">
              <w:rPr>
                <w:rFonts w:eastAsia="Times New Roman"/>
                <w:b/>
                <w:sz w:val="22"/>
                <w:szCs w:val="22"/>
              </w:rPr>
              <w:t>INVERSIÓN FIJA BRUTA DURANTE ENERO DE 2015</w:t>
            </w:r>
          </w:p>
          <w:p w14:paraId="48955A7A" w14:textId="77777777" w:rsidR="003D29BB" w:rsidRPr="003D29BB" w:rsidRDefault="003D29BB" w:rsidP="003D29BB">
            <w:pPr>
              <w:jc w:val="center"/>
              <w:rPr>
                <w:rFonts w:eastAsia="Times New Roman"/>
                <w:b/>
                <w:sz w:val="20"/>
                <w:szCs w:val="20"/>
              </w:rPr>
            </w:pPr>
            <w:r w:rsidRPr="003D29BB">
              <w:rPr>
                <w:rFonts w:eastAsia="Times New Roman"/>
                <w:b/>
                <w:sz w:val="22"/>
                <w:szCs w:val="22"/>
              </w:rPr>
              <w:t>-Variación porcentual real respecto al mismo período del año anterior-</w:t>
            </w:r>
          </w:p>
        </w:tc>
      </w:tr>
      <w:tr w:rsidR="003D29BB" w:rsidRPr="003D29BB" w14:paraId="68B9017C" w14:textId="77777777" w:rsidTr="00BA61DD">
        <w:trPr>
          <w:jc w:val="center"/>
        </w:trPr>
        <w:tc>
          <w:tcPr>
            <w:tcW w:w="3539" w:type="dxa"/>
            <w:tcBorders>
              <w:top w:val="single" w:sz="4" w:space="0" w:color="auto"/>
              <w:left w:val="single" w:sz="4" w:space="0" w:color="auto"/>
              <w:bottom w:val="single" w:sz="4" w:space="0" w:color="auto"/>
              <w:right w:val="single" w:sz="4" w:space="0" w:color="auto"/>
            </w:tcBorders>
          </w:tcPr>
          <w:p w14:paraId="79DF292D" w14:textId="77777777" w:rsidR="003D29BB" w:rsidRPr="003D29BB" w:rsidRDefault="003D29BB" w:rsidP="003D29BB">
            <w:pPr>
              <w:jc w:val="center"/>
              <w:rPr>
                <w:rFonts w:eastAsia="Times New Roman"/>
                <w:b/>
                <w:sz w:val="20"/>
                <w:szCs w:val="20"/>
              </w:rPr>
            </w:pPr>
            <w:r w:rsidRPr="003D29BB">
              <w:rPr>
                <w:rFonts w:eastAsia="Times New Roman"/>
                <w:b/>
                <w:sz w:val="20"/>
                <w:szCs w:val="20"/>
              </w:rPr>
              <w:t>Concepto</w:t>
            </w:r>
          </w:p>
        </w:tc>
        <w:tc>
          <w:tcPr>
            <w:tcW w:w="1139" w:type="dxa"/>
            <w:tcBorders>
              <w:top w:val="single" w:sz="4" w:space="0" w:color="auto"/>
              <w:left w:val="single" w:sz="4" w:space="0" w:color="auto"/>
              <w:bottom w:val="single" w:sz="4" w:space="0" w:color="auto"/>
              <w:right w:val="single" w:sz="4" w:space="0" w:color="auto"/>
            </w:tcBorders>
          </w:tcPr>
          <w:p w14:paraId="013BA86D" w14:textId="77777777" w:rsidR="003D29BB" w:rsidRPr="003D29BB" w:rsidRDefault="003D29BB" w:rsidP="003D29BB">
            <w:pPr>
              <w:jc w:val="center"/>
              <w:rPr>
                <w:rFonts w:eastAsia="Times New Roman"/>
                <w:b/>
                <w:sz w:val="20"/>
                <w:szCs w:val="20"/>
              </w:rPr>
            </w:pPr>
            <w:r w:rsidRPr="003D29BB">
              <w:rPr>
                <w:rFonts w:eastAsia="Times New Roman"/>
                <w:b/>
                <w:sz w:val="20"/>
                <w:szCs w:val="20"/>
              </w:rPr>
              <w:t>Enero</w:t>
            </w:r>
            <w:r w:rsidRPr="003D29BB">
              <w:rPr>
                <w:rFonts w:eastAsia="Times New Roman"/>
                <w:b/>
                <w:sz w:val="20"/>
                <w:szCs w:val="20"/>
                <w:u w:val="single"/>
                <w:vertAlign w:val="superscript"/>
              </w:rPr>
              <w:t>p</w:t>
            </w:r>
            <w:r w:rsidRPr="003D29BB">
              <w:rPr>
                <w:rFonts w:eastAsia="Times New Roman"/>
                <w:b/>
                <w:sz w:val="20"/>
                <w:szCs w:val="20"/>
                <w:vertAlign w:val="superscript"/>
              </w:rPr>
              <w:t>/</w:t>
            </w:r>
          </w:p>
        </w:tc>
      </w:tr>
      <w:tr w:rsidR="003D29BB" w:rsidRPr="003D29BB" w14:paraId="41810B02" w14:textId="77777777" w:rsidTr="00BA61DD">
        <w:trPr>
          <w:jc w:val="center"/>
        </w:trPr>
        <w:tc>
          <w:tcPr>
            <w:tcW w:w="3539" w:type="dxa"/>
            <w:tcBorders>
              <w:top w:val="single" w:sz="4" w:space="0" w:color="auto"/>
              <w:left w:val="single" w:sz="4" w:space="0" w:color="auto"/>
              <w:bottom w:val="nil"/>
              <w:right w:val="single" w:sz="4" w:space="0" w:color="auto"/>
            </w:tcBorders>
          </w:tcPr>
          <w:p w14:paraId="1C7AF27A" w14:textId="77777777" w:rsidR="003D29BB" w:rsidRPr="003D29BB" w:rsidRDefault="003D29BB" w:rsidP="003D29BB">
            <w:pPr>
              <w:jc w:val="both"/>
              <w:rPr>
                <w:rFonts w:eastAsia="Times New Roman"/>
                <w:b/>
                <w:sz w:val="20"/>
                <w:szCs w:val="20"/>
              </w:rPr>
            </w:pPr>
            <w:r w:rsidRPr="003D29BB">
              <w:rPr>
                <w:rFonts w:eastAsia="Times New Roman"/>
                <w:b/>
                <w:sz w:val="20"/>
                <w:szCs w:val="20"/>
              </w:rPr>
              <w:t>Inversión Fija Bruta</w:t>
            </w:r>
          </w:p>
        </w:tc>
        <w:tc>
          <w:tcPr>
            <w:tcW w:w="1139" w:type="dxa"/>
            <w:tcBorders>
              <w:top w:val="single" w:sz="4" w:space="0" w:color="auto"/>
              <w:left w:val="single" w:sz="4" w:space="0" w:color="auto"/>
              <w:bottom w:val="nil"/>
              <w:right w:val="single" w:sz="4" w:space="0" w:color="auto"/>
            </w:tcBorders>
          </w:tcPr>
          <w:p w14:paraId="33B4FE00" w14:textId="77777777" w:rsidR="003D29BB" w:rsidRPr="003D29BB" w:rsidRDefault="003D29BB" w:rsidP="003D29BB">
            <w:pPr>
              <w:ind w:right="340"/>
              <w:jc w:val="right"/>
              <w:rPr>
                <w:rFonts w:eastAsia="Times New Roman"/>
                <w:b/>
                <w:sz w:val="20"/>
                <w:szCs w:val="20"/>
              </w:rPr>
            </w:pPr>
            <w:r w:rsidRPr="003D29BB">
              <w:rPr>
                <w:rFonts w:eastAsia="Times New Roman"/>
                <w:b/>
                <w:sz w:val="20"/>
                <w:szCs w:val="20"/>
              </w:rPr>
              <w:t>7.3</w:t>
            </w:r>
          </w:p>
        </w:tc>
      </w:tr>
      <w:tr w:rsidR="003D29BB" w:rsidRPr="003D29BB" w14:paraId="3BE8BA6E" w14:textId="77777777" w:rsidTr="00BA61DD">
        <w:trPr>
          <w:jc w:val="center"/>
        </w:trPr>
        <w:tc>
          <w:tcPr>
            <w:tcW w:w="3539" w:type="dxa"/>
            <w:tcBorders>
              <w:top w:val="nil"/>
              <w:left w:val="single" w:sz="4" w:space="0" w:color="auto"/>
              <w:bottom w:val="nil"/>
              <w:right w:val="single" w:sz="4" w:space="0" w:color="auto"/>
            </w:tcBorders>
          </w:tcPr>
          <w:p w14:paraId="0E9030BC" w14:textId="77777777" w:rsidR="003D29BB" w:rsidRPr="003D29BB" w:rsidRDefault="003D29BB" w:rsidP="003D29BB">
            <w:pPr>
              <w:ind w:left="170"/>
              <w:jc w:val="both"/>
              <w:rPr>
                <w:rFonts w:eastAsia="Times New Roman"/>
                <w:b/>
                <w:sz w:val="20"/>
                <w:szCs w:val="20"/>
              </w:rPr>
            </w:pPr>
            <w:r w:rsidRPr="003D29BB">
              <w:rPr>
                <w:rFonts w:eastAsia="Times New Roman"/>
                <w:b/>
                <w:sz w:val="20"/>
                <w:szCs w:val="20"/>
              </w:rPr>
              <w:t>Construcción</w:t>
            </w:r>
          </w:p>
        </w:tc>
        <w:tc>
          <w:tcPr>
            <w:tcW w:w="1139" w:type="dxa"/>
            <w:tcBorders>
              <w:top w:val="nil"/>
              <w:left w:val="single" w:sz="4" w:space="0" w:color="auto"/>
              <w:bottom w:val="nil"/>
              <w:right w:val="single" w:sz="4" w:space="0" w:color="auto"/>
            </w:tcBorders>
          </w:tcPr>
          <w:p w14:paraId="4CAA4A14" w14:textId="77777777" w:rsidR="003D29BB" w:rsidRPr="003D29BB" w:rsidRDefault="003D29BB" w:rsidP="003D29BB">
            <w:pPr>
              <w:ind w:right="340"/>
              <w:jc w:val="right"/>
              <w:rPr>
                <w:rFonts w:eastAsia="Times New Roman"/>
                <w:b/>
                <w:sz w:val="20"/>
                <w:szCs w:val="20"/>
              </w:rPr>
            </w:pPr>
            <w:r w:rsidRPr="003D29BB">
              <w:rPr>
                <w:rFonts w:eastAsia="Times New Roman"/>
                <w:b/>
                <w:sz w:val="20"/>
                <w:szCs w:val="20"/>
              </w:rPr>
              <w:t>3.4</w:t>
            </w:r>
          </w:p>
        </w:tc>
      </w:tr>
      <w:tr w:rsidR="003D29BB" w:rsidRPr="003D29BB" w14:paraId="3178294E" w14:textId="77777777" w:rsidTr="00BA61DD">
        <w:trPr>
          <w:jc w:val="center"/>
        </w:trPr>
        <w:tc>
          <w:tcPr>
            <w:tcW w:w="3539" w:type="dxa"/>
            <w:tcBorders>
              <w:top w:val="nil"/>
              <w:left w:val="single" w:sz="4" w:space="0" w:color="auto"/>
              <w:bottom w:val="nil"/>
              <w:right w:val="single" w:sz="4" w:space="0" w:color="auto"/>
            </w:tcBorders>
          </w:tcPr>
          <w:p w14:paraId="6A44EDA4" w14:textId="77777777" w:rsidR="003D29BB" w:rsidRPr="003D29BB" w:rsidRDefault="003D29BB" w:rsidP="003D29BB">
            <w:pPr>
              <w:ind w:left="284"/>
              <w:jc w:val="both"/>
              <w:rPr>
                <w:rFonts w:eastAsia="Times New Roman"/>
                <w:sz w:val="20"/>
                <w:szCs w:val="20"/>
              </w:rPr>
            </w:pPr>
            <w:r w:rsidRPr="003D29BB">
              <w:rPr>
                <w:rFonts w:eastAsia="Times New Roman"/>
                <w:sz w:val="20"/>
                <w:szCs w:val="20"/>
              </w:rPr>
              <w:t>Residencial</w:t>
            </w:r>
          </w:p>
        </w:tc>
        <w:tc>
          <w:tcPr>
            <w:tcW w:w="1139" w:type="dxa"/>
            <w:tcBorders>
              <w:top w:val="nil"/>
              <w:left w:val="single" w:sz="4" w:space="0" w:color="auto"/>
              <w:bottom w:val="nil"/>
              <w:right w:val="single" w:sz="4" w:space="0" w:color="auto"/>
            </w:tcBorders>
          </w:tcPr>
          <w:p w14:paraId="715DAB0E"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6.3</w:t>
            </w:r>
          </w:p>
        </w:tc>
      </w:tr>
      <w:tr w:rsidR="003D29BB" w:rsidRPr="003D29BB" w14:paraId="7125E661" w14:textId="77777777" w:rsidTr="00BA61DD">
        <w:trPr>
          <w:jc w:val="center"/>
        </w:trPr>
        <w:tc>
          <w:tcPr>
            <w:tcW w:w="3539" w:type="dxa"/>
            <w:tcBorders>
              <w:top w:val="nil"/>
              <w:left w:val="single" w:sz="4" w:space="0" w:color="auto"/>
              <w:bottom w:val="nil"/>
              <w:right w:val="single" w:sz="4" w:space="0" w:color="auto"/>
            </w:tcBorders>
          </w:tcPr>
          <w:p w14:paraId="69D55A7E" w14:textId="77777777" w:rsidR="003D29BB" w:rsidRPr="003D29BB" w:rsidRDefault="003D29BB" w:rsidP="003D29BB">
            <w:pPr>
              <w:ind w:left="284"/>
              <w:jc w:val="both"/>
              <w:rPr>
                <w:rFonts w:eastAsia="Times New Roman"/>
                <w:sz w:val="20"/>
                <w:szCs w:val="20"/>
              </w:rPr>
            </w:pPr>
            <w:r w:rsidRPr="003D29BB">
              <w:rPr>
                <w:rFonts w:eastAsia="Times New Roman"/>
                <w:sz w:val="20"/>
                <w:szCs w:val="20"/>
              </w:rPr>
              <w:t>No residencial</w:t>
            </w:r>
          </w:p>
        </w:tc>
        <w:tc>
          <w:tcPr>
            <w:tcW w:w="1139" w:type="dxa"/>
            <w:tcBorders>
              <w:top w:val="nil"/>
              <w:left w:val="single" w:sz="4" w:space="0" w:color="auto"/>
              <w:bottom w:val="nil"/>
              <w:right w:val="single" w:sz="4" w:space="0" w:color="auto"/>
            </w:tcBorders>
          </w:tcPr>
          <w:p w14:paraId="38FD86B7"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1.2</w:t>
            </w:r>
          </w:p>
        </w:tc>
      </w:tr>
      <w:tr w:rsidR="003D29BB" w:rsidRPr="003D29BB" w14:paraId="04EECB7E" w14:textId="77777777" w:rsidTr="00BA61DD">
        <w:trPr>
          <w:jc w:val="center"/>
        </w:trPr>
        <w:tc>
          <w:tcPr>
            <w:tcW w:w="3539" w:type="dxa"/>
            <w:tcBorders>
              <w:top w:val="nil"/>
              <w:left w:val="single" w:sz="4" w:space="0" w:color="auto"/>
              <w:bottom w:val="nil"/>
              <w:right w:val="single" w:sz="4" w:space="0" w:color="auto"/>
            </w:tcBorders>
          </w:tcPr>
          <w:p w14:paraId="56041784" w14:textId="77777777" w:rsidR="003D29BB" w:rsidRPr="003D29BB" w:rsidRDefault="003D29BB" w:rsidP="003D29BB">
            <w:pPr>
              <w:ind w:left="170"/>
              <w:jc w:val="both"/>
              <w:rPr>
                <w:rFonts w:eastAsia="Times New Roman"/>
                <w:b/>
                <w:sz w:val="20"/>
                <w:szCs w:val="20"/>
              </w:rPr>
            </w:pPr>
            <w:r w:rsidRPr="003D29BB">
              <w:rPr>
                <w:rFonts w:eastAsia="Times New Roman"/>
                <w:b/>
                <w:sz w:val="20"/>
                <w:szCs w:val="20"/>
              </w:rPr>
              <w:t>Maquinaria y Equipo</w:t>
            </w:r>
          </w:p>
        </w:tc>
        <w:tc>
          <w:tcPr>
            <w:tcW w:w="1139" w:type="dxa"/>
            <w:tcBorders>
              <w:top w:val="nil"/>
              <w:left w:val="single" w:sz="4" w:space="0" w:color="auto"/>
              <w:bottom w:val="nil"/>
              <w:right w:val="single" w:sz="4" w:space="0" w:color="auto"/>
            </w:tcBorders>
          </w:tcPr>
          <w:p w14:paraId="7606FB97" w14:textId="77777777" w:rsidR="003D29BB" w:rsidRPr="003D29BB" w:rsidRDefault="003D29BB" w:rsidP="003D29BB">
            <w:pPr>
              <w:ind w:right="340"/>
              <w:jc w:val="right"/>
              <w:rPr>
                <w:rFonts w:eastAsia="Times New Roman"/>
                <w:b/>
                <w:sz w:val="20"/>
                <w:szCs w:val="20"/>
              </w:rPr>
            </w:pPr>
            <w:r w:rsidRPr="003D29BB">
              <w:rPr>
                <w:rFonts w:eastAsia="Times New Roman"/>
                <w:b/>
                <w:sz w:val="20"/>
                <w:szCs w:val="20"/>
              </w:rPr>
              <w:t>13.7</w:t>
            </w:r>
          </w:p>
        </w:tc>
      </w:tr>
      <w:tr w:rsidR="003D29BB" w:rsidRPr="003D29BB" w14:paraId="451DBB4E" w14:textId="77777777" w:rsidTr="00BA61DD">
        <w:trPr>
          <w:jc w:val="center"/>
        </w:trPr>
        <w:tc>
          <w:tcPr>
            <w:tcW w:w="3539" w:type="dxa"/>
            <w:tcBorders>
              <w:top w:val="nil"/>
              <w:left w:val="single" w:sz="4" w:space="0" w:color="auto"/>
              <w:bottom w:val="nil"/>
              <w:right w:val="single" w:sz="4" w:space="0" w:color="auto"/>
            </w:tcBorders>
          </w:tcPr>
          <w:p w14:paraId="58014929" w14:textId="77777777" w:rsidR="003D29BB" w:rsidRPr="003D29BB" w:rsidRDefault="003D29BB" w:rsidP="003D29BB">
            <w:pPr>
              <w:ind w:left="284"/>
              <w:jc w:val="both"/>
              <w:rPr>
                <w:rFonts w:eastAsia="Times New Roman"/>
                <w:sz w:val="20"/>
                <w:szCs w:val="20"/>
              </w:rPr>
            </w:pPr>
            <w:r w:rsidRPr="003D29BB">
              <w:rPr>
                <w:rFonts w:eastAsia="Times New Roman"/>
                <w:sz w:val="20"/>
                <w:szCs w:val="20"/>
              </w:rPr>
              <w:t>Nacional</w:t>
            </w:r>
          </w:p>
        </w:tc>
        <w:tc>
          <w:tcPr>
            <w:tcW w:w="1139" w:type="dxa"/>
            <w:tcBorders>
              <w:top w:val="nil"/>
              <w:left w:val="single" w:sz="4" w:space="0" w:color="auto"/>
              <w:bottom w:val="nil"/>
              <w:right w:val="single" w:sz="4" w:space="0" w:color="auto"/>
            </w:tcBorders>
          </w:tcPr>
          <w:p w14:paraId="44608010"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12.8</w:t>
            </w:r>
          </w:p>
        </w:tc>
      </w:tr>
      <w:tr w:rsidR="003D29BB" w:rsidRPr="003D29BB" w14:paraId="78D74619" w14:textId="77777777" w:rsidTr="00BA61DD">
        <w:trPr>
          <w:jc w:val="center"/>
        </w:trPr>
        <w:tc>
          <w:tcPr>
            <w:tcW w:w="3539" w:type="dxa"/>
            <w:tcBorders>
              <w:top w:val="nil"/>
              <w:left w:val="single" w:sz="4" w:space="0" w:color="auto"/>
              <w:bottom w:val="nil"/>
              <w:right w:val="single" w:sz="4" w:space="0" w:color="auto"/>
            </w:tcBorders>
          </w:tcPr>
          <w:p w14:paraId="20A782D8" w14:textId="77777777" w:rsidR="003D29BB" w:rsidRPr="003D29BB" w:rsidRDefault="003D29BB" w:rsidP="003D29BB">
            <w:pPr>
              <w:ind w:left="397"/>
              <w:jc w:val="both"/>
              <w:rPr>
                <w:rFonts w:eastAsia="Times New Roman"/>
                <w:sz w:val="20"/>
                <w:szCs w:val="20"/>
              </w:rPr>
            </w:pPr>
            <w:r w:rsidRPr="003D29BB">
              <w:rPr>
                <w:rFonts w:eastAsia="Times New Roman"/>
                <w:sz w:val="20"/>
                <w:szCs w:val="20"/>
              </w:rPr>
              <w:t>Equipo de transporte</w:t>
            </w:r>
          </w:p>
        </w:tc>
        <w:tc>
          <w:tcPr>
            <w:tcW w:w="1139" w:type="dxa"/>
            <w:tcBorders>
              <w:top w:val="nil"/>
              <w:left w:val="single" w:sz="4" w:space="0" w:color="auto"/>
              <w:bottom w:val="nil"/>
              <w:right w:val="single" w:sz="4" w:space="0" w:color="auto"/>
            </w:tcBorders>
          </w:tcPr>
          <w:p w14:paraId="55535456"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15.4</w:t>
            </w:r>
          </w:p>
        </w:tc>
      </w:tr>
      <w:tr w:rsidR="003D29BB" w:rsidRPr="003D29BB" w14:paraId="5A84C68A" w14:textId="77777777" w:rsidTr="00BA61DD">
        <w:trPr>
          <w:jc w:val="center"/>
        </w:trPr>
        <w:tc>
          <w:tcPr>
            <w:tcW w:w="3539" w:type="dxa"/>
            <w:tcBorders>
              <w:top w:val="nil"/>
              <w:left w:val="single" w:sz="4" w:space="0" w:color="auto"/>
              <w:bottom w:val="nil"/>
              <w:right w:val="single" w:sz="4" w:space="0" w:color="auto"/>
            </w:tcBorders>
          </w:tcPr>
          <w:p w14:paraId="75A92BA2" w14:textId="77777777" w:rsidR="003D29BB" w:rsidRPr="003D29BB" w:rsidRDefault="003D29BB" w:rsidP="003D29BB">
            <w:pPr>
              <w:ind w:left="397"/>
              <w:jc w:val="both"/>
              <w:rPr>
                <w:rFonts w:eastAsia="Times New Roman"/>
                <w:sz w:val="20"/>
                <w:szCs w:val="20"/>
              </w:rPr>
            </w:pPr>
            <w:r w:rsidRPr="003D29BB">
              <w:rPr>
                <w:rFonts w:eastAsia="Times New Roman"/>
                <w:sz w:val="20"/>
                <w:szCs w:val="20"/>
              </w:rPr>
              <w:t>Maquinaria, equipo y otros bienes</w:t>
            </w:r>
          </w:p>
        </w:tc>
        <w:tc>
          <w:tcPr>
            <w:tcW w:w="1139" w:type="dxa"/>
            <w:tcBorders>
              <w:top w:val="nil"/>
              <w:left w:val="single" w:sz="4" w:space="0" w:color="auto"/>
              <w:bottom w:val="nil"/>
              <w:right w:val="single" w:sz="4" w:space="0" w:color="auto"/>
            </w:tcBorders>
          </w:tcPr>
          <w:p w14:paraId="75FBDE1C"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10.8</w:t>
            </w:r>
          </w:p>
        </w:tc>
      </w:tr>
      <w:tr w:rsidR="003D29BB" w:rsidRPr="003D29BB" w14:paraId="18444F1C" w14:textId="77777777" w:rsidTr="00BA61DD">
        <w:trPr>
          <w:jc w:val="center"/>
        </w:trPr>
        <w:tc>
          <w:tcPr>
            <w:tcW w:w="3539" w:type="dxa"/>
            <w:tcBorders>
              <w:top w:val="nil"/>
              <w:left w:val="single" w:sz="4" w:space="0" w:color="auto"/>
              <w:bottom w:val="nil"/>
              <w:right w:val="single" w:sz="4" w:space="0" w:color="auto"/>
            </w:tcBorders>
          </w:tcPr>
          <w:p w14:paraId="32C18B67" w14:textId="77777777" w:rsidR="003D29BB" w:rsidRPr="003D29BB" w:rsidRDefault="003D29BB" w:rsidP="003D29BB">
            <w:pPr>
              <w:ind w:left="284"/>
              <w:jc w:val="both"/>
              <w:rPr>
                <w:rFonts w:eastAsia="Times New Roman"/>
                <w:sz w:val="20"/>
                <w:szCs w:val="20"/>
              </w:rPr>
            </w:pPr>
            <w:r w:rsidRPr="003D29BB">
              <w:rPr>
                <w:rFonts w:eastAsia="Times New Roman"/>
                <w:sz w:val="20"/>
                <w:szCs w:val="20"/>
              </w:rPr>
              <w:t>Importado</w:t>
            </w:r>
          </w:p>
        </w:tc>
        <w:tc>
          <w:tcPr>
            <w:tcW w:w="1139" w:type="dxa"/>
            <w:tcBorders>
              <w:top w:val="nil"/>
              <w:left w:val="single" w:sz="4" w:space="0" w:color="auto"/>
              <w:bottom w:val="nil"/>
              <w:right w:val="single" w:sz="4" w:space="0" w:color="auto"/>
            </w:tcBorders>
          </w:tcPr>
          <w:p w14:paraId="460DBE24"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14.1</w:t>
            </w:r>
          </w:p>
        </w:tc>
      </w:tr>
      <w:tr w:rsidR="003D29BB" w:rsidRPr="003D29BB" w14:paraId="3795C7C4" w14:textId="77777777" w:rsidTr="00BA61DD">
        <w:trPr>
          <w:jc w:val="center"/>
        </w:trPr>
        <w:tc>
          <w:tcPr>
            <w:tcW w:w="3539" w:type="dxa"/>
            <w:tcBorders>
              <w:top w:val="nil"/>
              <w:left w:val="single" w:sz="4" w:space="0" w:color="auto"/>
              <w:bottom w:val="nil"/>
              <w:right w:val="single" w:sz="4" w:space="0" w:color="auto"/>
            </w:tcBorders>
          </w:tcPr>
          <w:p w14:paraId="0F9BAB75" w14:textId="77777777" w:rsidR="003D29BB" w:rsidRPr="003D29BB" w:rsidRDefault="003D29BB" w:rsidP="003D29BB">
            <w:pPr>
              <w:ind w:left="397"/>
              <w:jc w:val="both"/>
              <w:rPr>
                <w:rFonts w:eastAsia="Times New Roman"/>
                <w:sz w:val="20"/>
                <w:szCs w:val="20"/>
              </w:rPr>
            </w:pPr>
            <w:r w:rsidRPr="003D29BB">
              <w:rPr>
                <w:rFonts w:eastAsia="Times New Roman"/>
                <w:sz w:val="20"/>
                <w:szCs w:val="20"/>
              </w:rPr>
              <w:t>Equipo de transporte</w:t>
            </w:r>
          </w:p>
        </w:tc>
        <w:tc>
          <w:tcPr>
            <w:tcW w:w="1139" w:type="dxa"/>
            <w:tcBorders>
              <w:top w:val="nil"/>
              <w:left w:val="single" w:sz="4" w:space="0" w:color="auto"/>
              <w:bottom w:val="nil"/>
              <w:right w:val="single" w:sz="4" w:space="0" w:color="auto"/>
            </w:tcBorders>
          </w:tcPr>
          <w:p w14:paraId="620D6984"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-11.1</w:t>
            </w:r>
          </w:p>
        </w:tc>
      </w:tr>
      <w:tr w:rsidR="003D29BB" w:rsidRPr="003D29BB" w14:paraId="7799C833" w14:textId="77777777" w:rsidTr="00BA61DD">
        <w:trPr>
          <w:jc w:val="center"/>
        </w:trPr>
        <w:tc>
          <w:tcPr>
            <w:tcW w:w="3539" w:type="dxa"/>
            <w:tcBorders>
              <w:top w:val="nil"/>
              <w:left w:val="single" w:sz="4" w:space="0" w:color="auto"/>
              <w:bottom w:val="single" w:sz="4" w:space="0" w:color="auto"/>
              <w:right w:val="single" w:sz="4" w:space="0" w:color="auto"/>
            </w:tcBorders>
          </w:tcPr>
          <w:p w14:paraId="081D89BE" w14:textId="77777777" w:rsidR="003D29BB" w:rsidRPr="003D29BB" w:rsidRDefault="003D29BB" w:rsidP="003D29BB">
            <w:pPr>
              <w:ind w:left="397"/>
              <w:jc w:val="both"/>
              <w:rPr>
                <w:rFonts w:eastAsia="Times New Roman"/>
                <w:sz w:val="20"/>
                <w:szCs w:val="20"/>
              </w:rPr>
            </w:pPr>
            <w:r w:rsidRPr="003D29BB">
              <w:rPr>
                <w:rFonts w:eastAsia="Times New Roman"/>
                <w:sz w:val="20"/>
                <w:szCs w:val="20"/>
              </w:rPr>
              <w:t>Maquinaria, equipo y otros bienes</w:t>
            </w:r>
          </w:p>
        </w:tc>
        <w:tc>
          <w:tcPr>
            <w:tcW w:w="1139" w:type="dxa"/>
            <w:tcBorders>
              <w:top w:val="nil"/>
              <w:left w:val="single" w:sz="4" w:space="0" w:color="auto"/>
              <w:bottom w:val="single" w:sz="4" w:space="0" w:color="auto"/>
              <w:right w:val="single" w:sz="4" w:space="0" w:color="auto"/>
            </w:tcBorders>
          </w:tcPr>
          <w:p w14:paraId="7039E1D6" w14:textId="77777777" w:rsidR="003D29BB" w:rsidRPr="003D29BB" w:rsidRDefault="003D29BB" w:rsidP="003D29BB">
            <w:pPr>
              <w:ind w:right="340"/>
              <w:jc w:val="right"/>
              <w:rPr>
                <w:rFonts w:eastAsia="Times New Roman"/>
                <w:sz w:val="20"/>
                <w:szCs w:val="20"/>
              </w:rPr>
            </w:pPr>
            <w:r w:rsidRPr="003D29BB">
              <w:rPr>
                <w:rFonts w:eastAsia="Times New Roman"/>
                <w:sz w:val="20"/>
                <w:szCs w:val="20"/>
              </w:rPr>
              <w:t>17.9</w:t>
            </w:r>
          </w:p>
        </w:tc>
      </w:tr>
      <w:tr w:rsidR="003D29BB" w:rsidRPr="003D29BB" w14:paraId="04C66DD8" w14:textId="77777777" w:rsidTr="00BA61DD">
        <w:trPr>
          <w:jc w:val="center"/>
        </w:trPr>
        <w:tc>
          <w:tcPr>
            <w:tcW w:w="4678" w:type="dxa"/>
            <w:gridSpan w:val="2"/>
            <w:tcBorders>
              <w:left w:val="nil"/>
              <w:bottom w:val="nil"/>
              <w:right w:val="nil"/>
            </w:tcBorders>
          </w:tcPr>
          <w:p w14:paraId="61A2374C" w14:textId="77777777" w:rsidR="003D29BB" w:rsidRPr="003D29BB" w:rsidRDefault="003D29BB" w:rsidP="003D29BB">
            <w:pPr>
              <w:jc w:val="both"/>
              <w:rPr>
                <w:rFonts w:eastAsia="Times New Roman"/>
                <w:sz w:val="20"/>
                <w:szCs w:val="20"/>
              </w:rPr>
            </w:pPr>
            <w:r w:rsidRPr="003D29BB">
              <w:rPr>
                <w:rFonts w:eastAsia="Times New Roman"/>
                <w:sz w:val="20"/>
                <w:szCs w:val="20"/>
                <w:u w:val="single"/>
              </w:rPr>
              <w:t>p</w:t>
            </w:r>
            <w:r w:rsidRPr="003D29BB">
              <w:rPr>
                <w:rFonts w:eastAsia="Times New Roman"/>
                <w:sz w:val="20"/>
                <w:szCs w:val="20"/>
              </w:rPr>
              <w:t>/ Cifras preliminares.</w:t>
            </w:r>
          </w:p>
          <w:p w14:paraId="273058AB" w14:textId="77777777" w:rsidR="003D29BB" w:rsidRPr="003D29BB" w:rsidRDefault="003D29BB" w:rsidP="003D29BB">
            <w:pPr>
              <w:jc w:val="both"/>
              <w:rPr>
                <w:rFonts w:eastAsia="Times New Roman"/>
                <w:sz w:val="20"/>
                <w:szCs w:val="20"/>
              </w:rPr>
            </w:pPr>
            <w:r w:rsidRPr="003D29BB">
              <w:rPr>
                <w:rFonts w:eastAsia="Times New Roman"/>
                <w:sz w:val="20"/>
                <w:szCs w:val="20"/>
              </w:rPr>
              <w:t>FUENTE. INEGI.</w:t>
            </w:r>
          </w:p>
        </w:tc>
      </w:tr>
    </w:tbl>
    <w:p w14:paraId="3B2FE509" w14:textId="77777777" w:rsidR="003D29BB" w:rsidRPr="003D29BB" w:rsidRDefault="003D29BB" w:rsidP="003D29BB"/>
    <w:p w14:paraId="37726A41" w14:textId="77777777" w:rsidR="003D29BB" w:rsidRPr="003D29BB" w:rsidRDefault="003D29BB" w:rsidP="003D29BB">
      <w:pPr>
        <w:rPr>
          <w:b/>
          <w:sz w:val="20"/>
          <w:szCs w:val="20"/>
        </w:rPr>
      </w:pPr>
      <w:r w:rsidRPr="003D29BB">
        <w:rPr>
          <w:b/>
          <w:sz w:val="20"/>
          <w:szCs w:val="20"/>
        </w:rPr>
        <w:t>Fuente de información:</w:t>
      </w:r>
    </w:p>
    <w:p w14:paraId="3B630D3D" w14:textId="77777777" w:rsidR="003D29BB" w:rsidRPr="00372137" w:rsidRDefault="0045651A" w:rsidP="003D29BB">
      <w:pPr>
        <w:rPr>
          <w:color w:val="0000FF"/>
          <w:sz w:val="20"/>
          <w:szCs w:val="20"/>
        </w:rPr>
      </w:pPr>
      <w:hyperlink r:id="rId96" w:history="1">
        <w:r w:rsidR="003D29BB" w:rsidRPr="00372137">
          <w:rPr>
            <w:color w:val="0000FF"/>
            <w:sz w:val="20"/>
            <w:szCs w:val="20"/>
            <w:u w:val="single"/>
          </w:rPr>
          <w:t>http://www.inegi.org.mx/saladeprensa/boletines/2015/invfibu/invfibu2015_04.pdf</w:t>
        </w:r>
      </w:hyperlink>
      <w:r w:rsidR="003D29BB" w:rsidRPr="00372137">
        <w:rPr>
          <w:color w:val="0000FF"/>
          <w:sz w:val="20"/>
          <w:szCs w:val="20"/>
        </w:rPr>
        <w:t xml:space="preserve"> </w:t>
      </w:r>
    </w:p>
    <w:p w14:paraId="315EDDEF" w14:textId="2A8A8AC2" w:rsidR="004E5D04" w:rsidRDefault="004E5D04" w:rsidP="004E5D04">
      <w:pPr>
        <w:spacing w:after="360" w:line="360" w:lineRule="auto"/>
        <w:ind w:right="-159"/>
        <w:jc w:val="both"/>
        <w:rPr>
          <w:rFonts w:eastAsia="Times New Roman"/>
          <w:sz w:val="26"/>
          <w:szCs w:val="26"/>
        </w:rPr>
      </w:pPr>
    </w:p>
    <w:p w14:paraId="767AD46D" w14:textId="68668F4D" w:rsidR="00512C3D" w:rsidRDefault="00512C3D">
      <w:pPr>
        <w:rPr>
          <w:rFonts w:eastAsia="Times New Roman"/>
          <w:sz w:val="26"/>
          <w:szCs w:val="26"/>
        </w:rPr>
      </w:pPr>
      <w:r>
        <w:rPr>
          <w:rFonts w:eastAsia="Times New Roman"/>
          <w:sz w:val="26"/>
          <w:szCs w:val="26"/>
        </w:rPr>
        <w:br w:type="page"/>
      </w:r>
    </w:p>
    <w:p w14:paraId="788534FD" w14:textId="1C5A9853" w:rsidR="000C1D7E" w:rsidRPr="000E3A45" w:rsidRDefault="000C1D7E" w:rsidP="005C15CE">
      <w:pPr>
        <w:spacing w:after="360" w:line="360" w:lineRule="auto"/>
        <w:ind w:right="-159"/>
        <w:rPr>
          <w:rFonts w:eastAsia="Times New Roman"/>
          <w:b/>
          <w:sz w:val="26"/>
        </w:rPr>
      </w:pPr>
      <w:r w:rsidRPr="000E3A45">
        <w:rPr>
          <w:rFonts w:eastAsia="Times New Roman"/>
          <w:b/>
          <w:sz w:val="26"/>
        </w:rPr>
        <w:lastRenderedPageBreak/>
        <w:t xml:space="preserve">Indicadores de Opinión del Sector Manufacturero, </w:t>
      </w:r>
      <w:r w:rsidR="00F20067">
        <w:rPr>
          <w:rFonts w:eastAsia="Times New Roman"/>
          <w:b/>
          <w:sz w:val="26"/>
        </w:rPr>
        <w:t>marzo</w:t>
      </w:r>
      <w:r w:rsidR="00556FDD" w:rsidRPr="000E3A45">
        <w:rPr>
          <w:rFonts w:eastAsia="Times New Roman"/>
          <w:b/>
          <w:sz w:val="26"/>
        </w:rPr>
        <w:t xml:space="preserve"> </w:t>
      </w:r>
      <w:r w:rsidRPr="000E3A45">
        <w:rPr>
          <w:rFonts w:eastAsia="Times New Roman"/>
          <w:b/>
          <w:sz w:val="26"/>
        </w:rPr>
        <w:t>de 201</w:t>
      </w:r>
      <w:r w:rsidR="0061291B">
        <w:rPr>
          <w:rFonts w:eastAsia="Times New Roman"/>
          <w:b/>
          <w:sz w:val="26"/>
        </w:rPr>
        <w:t>5</w:t>
      </w:r>
      <w:r w:rsidRPr="000E3A45">
        <w:rPr>
          <w:rFonts w:eastAsia="Times New Roman"/>
          <w:b/>
          <w:sz w:val="26"/>
        </w:rPr>
        <w:t xml:space="preserve"> (INEGI)</w:t>
      </w:r>
    </w:p>
    <w:p w14:paraId="46FB27FC" w14:textId="77777777" w:rsidR="00F41EA1" w:rsidRPr="00F41EA1" w:rsidRDefault="00F41EA1" w:rsidP="00F41EA1">
      <w:pPr>
        <w:ind w:right="-159"/>
        <w:jc w:val="both"/>
        <w:rPr>
          <w:rFonts w:eastAsia="Times New Roman"/>
          <w:b/>
          <w:sz w:val="26"/>
          <w:szCs w:val="26"/>
        </w:rPr>
      </w:pPr>
      <w:r w:rsidRPr="00F41EA1">
        <w:rPr>
          <w:rFonts w:eastAsia="Times New Roman"/>
          <w:b/>
          <w:sz w:val="26"/>
          <w:szCs w:val="26"/>
        </w:rPr>
        <w:t>Indicadores de Expectativas Empresariales</w:t>
      </w:r>
    </w:p>
    <w:p w14:paraId="2C39CD7C" w14:textId="77777777" w:rsidR="00F41EA1" w:rsidRPr="00F41EA1" w:rsidRDefault="00F41EA1" w:rsidP="00F41EA1">
      <w:pPr>
        <w:spacing w:after="360" w:line="360" w:lineRule="auto"/>
        <w:ind w:right="-159"/>
        <w:jc w:val="both"/>
        <w:rPr>
          <w:rFonts w:eastAsia="Times New Roman"/>
          <w:b/>
          <w:sz w:val="26"/>
          <w:szCs w:val="26"/>
        </w:rPr>
      </w:pPr>
      <w:r w:rsidRPr="00F41EA1">
        <w:rPr>
          <w:rFonts w:eastAsia="Times New Roman"/>
          <w:b/>
          <w:sz w:val="26"/>
          <w:szCs w:val="26"/>
        </w:rPr>
        <w:t>cifras   durante   marzo   de  2015  (INEGI)</w:t>
      </w:r>
    </w:p>
    <w:p w14:paraId="408CC6D8" w14:textId="77777777" w:rsidR="00F41EA1" w:rsidRPr="00F41EA1" w:rsidRDefault="00F41EA1" w:rsidP="00F41EA1">
      <w:pPr>
        <w:spacing w:after="360" w:line="360" w:lineRule="auto"/>
        <w:ind w:right="-159"/>
        <w:jc w:val="both"/>
        <w:rPr>
          <w:rFonts w:eastAsia="Times New Roman"/>
          <w:sz w:val="26"/>
          <w:szCs w:val="26"/>
        </w:rPr>
      </w:pPr>
      <w:r w:rsidRPr="00F41EA1">
        <w:rPr>
          <w:rFonts w:eastAsia="Times New Roman"/>
          <w:sz w:val="26"/>
          <w:szCs w:val="26"/>
        </w:rPr>
        <w:t>El 6 de abril de 2015, el Instituto Nacional de Estadística y Geografía (INEGI) dio a conocer las Expectativas Empresariales (EE) constituidas por la opinión del directivo empresarial, del sector manufacturero, de la construcción y del comercio sobre la situación que presenta su empresa con relación a variables puntuales (en los establecimientos manufactureros sobre la producción, utilización de planta y equipo, demanda nacional de sus productos, exportaciones, personal ocupado, inversión en planta y equipo, inventarios de productos terminados, precios de venta y precios de insumos; en la construcción sobre el valor de las obras ejecutadas como contratista principal, valor de las obras ejecutadas como subcontratista, total de contratos y subcontratos, y personal ocupado, y en el comercio sobre ventas netas, ingresos por consignación y/o comisión, compras netas, inventario de mercancías y personal ocupado).</w:t>
      </w:r>
    </w:p>
    <w:p w14:paraId="73B51A2B" w14:textId="77777777" w:rsidR="00F41EA1" w:rsidRPr="00F41EA1" w:rsidRDefault="00F41EA1" w:rsidP="00F41EA1">
      <w:pPr>
        <w:spacing w:after="360" w:line="360" w:lineRule="auto"/>
        <w:ind w:right="-159"/>
        <w:jc w:val="both"/>
        <w:rPr>
          <w:rFonts w:eastAsia="Times New Roman"/>
          <w:sz w:val="26"/>
          <w:szCs w:val="26"/>
        </w:rPr>
      </w:pPr>
      <w:r w:rsidRPr="00F41EA1">
        <w:rPr>
          <w:rFonts w:eastAsia="Times New Roman"/>
          <w:sz w:val="26"/>
          <w:szCs w:val="26"/>
        </w:rPr>
        <w:t xml:space="preserve">La periodicidad de estos indicadores es mensual y se elabora con base en los resultados de la Encuesta Mensual de Opinión Empresarial (EMOE). </w:t>
      </w:r>
    </w:p>
    <w:p w14:paraId="05B9CB53" w14:textId="77777777" w:rsidR="00F41EA1" w:rsidRPr="00F41EA1" w:rsidRDefault="00F41EA1" w:rsidP="00F41EA1">
      <w:pPr>
        <w:spacing w:after="360" w:line="360" w:lineRule="auto"/>
        <w:ind w:right="-159"/>
        <w:jc w:val="both"/>
        <w:rPr>
          <w:rFonts w:eastAsia="Times New Roman"/>
          <w:sz w:val="26"/>
          <w:szCs w:val="26"/>
        </w:rPr>
      </w:pPr>
      <w:r w:rsidRPr="00F41EA1">
        <w:rPr>
          <w:rFonts w:eastAsia="Times New Roman"/>
          <w:sz w:val="26"/>
          <w:szCs w:val="26"/>
        </w:rPr>
        <w:t>En su comparación mensual, las Expectativas Empresariales del Sector Manufacturero durante el tercer mes de 2015 presentaron el siguiente comportamiento</w:t>
      </w:r>
      <w:r w:rsidRPr="00F41EA1">
        <w:rPr>
          <w:rFonts w:eastAsia="Times New Roman"/>
          <w:sz w:val="26"/>
          <w:szCs w:val="26"/>
          <w:vertAlign w:val="superscript"/>
        </w:rPr>
        <w:footnoteReference w:id="10"/>
      </w:r>
      <w:r w:rsidRPr="00F41EA1">
        <w:rPr>
          <w:rFonts w:eastAsia="Times New Roman"/>
          <w:sz w:val="26"/>
          <w:szCs w:val="26"/>
        </w:rPr>
        <w:t>:</w:t>
      </w:r>
    </w:p>
    <w:p w14:paraId="4F76F24B" w14:textId="77777777" w:rsidR="00F41EA1" w:rsidRPr="00F41EA1" w:rsidRDefault="00F41EA1" w:rsidP="00F41EA1">
      <w:pPr>
        <w:spacing w:after="360" w:line="360" w:lineRule="auto"/>
        <w:ind w:right="-159"/>
        <w:jc w:val="both"/>
        <w:rPr>
          <w:rFonts w:eastAsia="Times New Roman"/>
          <w:sz w:val="26"/>
          <w:szCs w:val="26"/>
        </w:rPr>
      </w:pPr>
    </w:p>
    <w:p w14:paraId="213A146B" w14:textId="77777777" w:rsidR="00F41EA1" w:rsidRPr="00F41EA1" w:rsidRDefault="00F41EA1" w:rsidP="00F41EA1">
      <w:pPr>
        <w:spacing w:after="360" w:line="360" w:lineRule="auto"/>
        <w:ind w:right="-159"/>
        <w:jc w:val="both"/>
        <w:rPr>
          <w:rFonts w:eastAsia="Times New Roman"/>
          <w:sz w:val="26"/>
          <w:szCs w:val="26"/>
        </w:rPr>
      </w:pPr>
    </w:p>
    <w:tbl>
      <w:tblPr>
        <w:tblW w:w="9212" w:type="dxa"/>
        <w:jc w:val="center"/>
        <w:tblLayout w:type="fixed"/>
        <w:tblLook w:val="04A0" w:firstRow="1" w:lastRow="0" w:firstColumn="1" w:lastColumn="0" w:noHBand="0" w:noVBand="1"/>
      </w:tblPr>
      <w:tblGrid>
        <w:gridCol w:w="4077"/>
        <w:gridCol w:w="1168"/>
        <w:gridCol w:w="1276"/>
        <w:gridCol w:w="1192"/>
        <w:gridCol w:w="1499"/>
      </w:tblGrid>
      <w:tr w:rsidR="00F41EA1" w:rsidRPr="00F41EA1" w14:paraId="02F818DD" w14:textId="77777777" w:rsidTr="00BA61DD">
        <w:trPr>
          <w:jc w:val="center"/>
        </w:trPr>
        <w:tc>
          <w:tcPr>
            <w:tcW w:w="9212" w:type="dxa"/>
            <w:gridSpan w:val="5"/>
            <w:tcBorders>
              <w:top w:val="nil"/>
              <w:left w:val="nil"/>
              <w:bottom w:val="single" w:sz="4" w:space="0" w:color="auto"/>
              <w:right w:val="nil"/>
            </w:tcBorders>
          </w:tcPr>
          <w:p w14:paraId="4C2E194C" w14:textId="77777777" w:rsidR="00F41EA1" w:rsidRPr="00F41EA1" w:rsidRDefault="00F41EA1" w:rsidP="00F41EA1">
            <w:pPr>
              <w:jc w:val="center"/>
              <w:rPr>
                <w:rFonts w:eastAsia="Times New Roman"/>
                <w:b/>
                <w:noProof/>
                <w:sz w:val="22"/>
                <w:szCs w:val="22"/>
                <w:lang w:eastAsia="es-MX"/>
              </w:rPr>
            </w:pPr>
            <w:r w:rsidRPr="00F41EA1">
              <w:rPr>
                <w:rFonts w:eastAsia="Times New Roman"/>
                <w:b/>
                <w:noProof/>
                <w:sz w:val="22"/>
                <w:szCs w:val="22"/>
                <w:lang w:eastAsia="es-MX"/>
              </w:rPr>
              <w:lastRenderedPageBreak/>
              <w:t xml:space="preserve">EXPECTATIVAS EMPRESARIALES DEL SECTOR MANUFACTURERO, </w:t>
            </w:r>
          </w:p>
          <w:p w14:paraId="1F8D5CF1" w14:textId="77777777" w:rsidR="00F41EA1" w:rsidRPr="00F41EA1" w:rsidRDefault="00F41EA1" w:rsidP="00F41EA1">
            <w:pPr>
              <w:jc w:val="center"/>
              <w:rPr>
                <w:rFonts w:eastAsia="Times New Roman"/>
                <w:b/>
                <w:noProof/>
                <w:sz w:val="22"/>
                <w:szCs w:val="22"/>
                <w:lang w:eastAsia="es-MX"/>
              </w:rPr>
            </w:pPr>
            <w:r w:rsidRPr="00F41EA1">
              <w:rPr>
                <w:rFonts w:eastAsia="Times New Roman"/>
                <w:b/>
                <w:noProof/>
                <w:sz w:val="22"/>
                <w:szCs w:val="22"/>
                <w:lang w:eastAsia="es-MX"/>
              </w:rPr>
              <w:t xml:space="preserve">A MARZO DE 2015 </w:t>
            </w:r>
          </w:p>
          <w:p w14:paraId="0D334559" w14:textId="77777777" w:rsidR="00F41EA1" w:rsidRPr="00F41EA1" w:rsidRDefault="00F41EA1" w:rsidP="00F41EA1">
            <w:pPr>
              <w:jc w:val="center"/>
              <w:rPr>
                <w:rFonts w:eastAsia="Times New Roman"/>
                <w:b/>
                <w:noProof/>
                <w:sz w:val="22"/>
                <w:szCs w:val="22"/>
                <w:lang w:eastAsia="es-MX"/>
              </w:rPr>
            </w:pPr>
            <w:r w:rsidRPr="00F41EA1">
              <w:rPr>
                <w:rFonts w:eastAsia="Times New Roman"/>
                <w:b/>
                <w:noProof/>
                <w:sz w:val="22"/>
                <w:szCs w:val="22"/>
                <w:lang w:eastAsia="es-MX"/>
              </w:rPr>
              <w:t>CIFRAS DESESTACIONALIZADAS</w:t>
            </w:r>
          </w:p>
        </w:tc>
      </w:tr>
      <w:tr w:rsidR="00F41EA1" w:rsidRPr="00F41EA1" w14:paraId="64E787D3" w14:textId="77777777" w:rsidTr="00BA61DD">
        <w:trPr>
          <w:trHeight w:val="1610"/>
          <w:jc w:val="center"/>
        </w:trPr>
        <w:tc>
          <w:tcPr>
            <w:tcW w:w="4077" w:type="dxa"/>
            <w:tcBorders>
              <w:top w:val="single" w:sz="4" w:space="0" w:color="auto"/>
              <w:left w:val="single" w:sz="4" w:space="0" w:color="auto"/>
              <w:bottom w:val="single" w:sz="4" w:space="0" w:color="auto"/>
              <w:right w:val="single" w:sz="4" w:space="0" w:color="auto"/>
            </w:tcBorders>
            <w:vAlign w:val="center"/>
          </w:tcPr>
          <w:p w14:paraId="02DE8C3D" w14:textId="77777777" w:rsidR="00F41EA1" w:rsidRPr="00F41EA1" w:rsidRDefault="00F41EA1" w:rsidP="00F41EA1">
            <w:pPr>
              <w:jc w:val="center"/>
              <w:rPr>
                <w:rFonts w:eastAsia="Times New Roman"/>
                <w:b/>
                <w:noProof/>
                <w:sz w:val="22"/>
                <w:szCs w:val="22"/>
                <w:lang w:eastAsia="es-MX"/>
              </w:rPr>
            </w:pPr>
            <w:r w:rsidRPr="00F41EA1">
              <w:rPr>
                <w:rFonts w:eastAsia="Times New Roman"/>
                <w:b/>
                <w:noProof/>
                <w:sz w:val="20"/>
                <w:szCs w:val="20"/>
                <w:lang w:eastAsia="es-MX"/>
              </w:rPr>
              <w:t>Indicadores</w:t>
            </w:r>
          </w:p>
        </w:tc>
        <w:tc>
          <w:tcPr>
            <w:tcW w:w="1168" w:type="dxa"/>
            <w:tcBorders>
              <w:top w:val="single" w:sz="4" w:space="0" w:color="auto"/>
              <w:left w:val="single" w:sz="4" w:space="0" w:color="auto"/>
              <w:bottom w:val="single" w:sz="4" w:space="0" w:color="auto"/>
              <w:right w:val="single" w:sz="4" w:space="0" w:color="auto"/>
            </w:tcBorders>
            <w:vAlign w:val="center"/>
          </w:tcPr>
          <w:p w14:paraId="2EB6AB3F" w14:textId="77777777" w:rsidR="00F41EA1" w:rsidRPr="00F41EA1" w:rsidRDefault="00F41EA1" w:rsidP="00F41EA1">
            <w:pPr>
              <w:jc w:val="center"/>
              <w:rPr>
                <w:rFonts w:eastAsia="Times New Roman"/>
                <w:b/>
                <w:noProof/>
                <w:sz w:val="20"/>
                <w:szCs w:val="20"/>
                <w:lang w:eastAsia="es-MX"/>
              </w:rPr>
            </w:pPr>
            <w:r w:rsidRPr="00F41EA1">
              <w:rPr>
                <w:rFonts w:eastAsia="Times New Roman"/>
                <w:b/>
                <w:noProof/>
                <w:sz w:val="20"/>
                <w:szCs w:val="20"/>
                <w:lang w:eastAsia="es-MX"/>
              </w:rPr>
              <w:t>Febrero de 2015</w:t>
            </w:r>
          </w:p>
        </w:tc>
        <w:tc>
          <w:tcPr>
            <w:tcW w:w="1276" w:type="dxa"/>
            <w:tcBorders>
              <w:top w:val="single" w:sz="4" w:space="0" w:color="auto"/>
              <w:left w:val="single" w:sz="4" w:space="0" w:color="auto"/>
              <w:bottom w:val="single" w:sz="4" w:space="0" w:color="auto"/>
              <w:right w:val="single" w:sz="4" w:space="0" w:color="auto"/>
            </w:tcBorders>
            <w:vAlign w:val="center"/>
          </w:tcPr>
          <w:p w14:paraId="30D46B5F" w14:textId="77777777" w:rsidR="00F41EA1" w:rsidRPr="00F41EA1" w:rsidRDefault="00F41EA1" w:rsidP="00F41EA1">
            <w:pPr>
              <w:jc w:val="center"/>
              <w:rPr>
                <w:rFonts w:eastAsia="Times New Roman"/>
                <w:b/>
                <w:noProof/>
                <w:sz w:val="20"/>
                <w:szCs w:val="20"/>
                <w:lang w:eastAsia="es-MX"/>
              </w:rPr>
            </w:pPr>
            <w:r w:rsidRPr="00F41EA1">
              <w:rPr>
                <w:rFonts w:eastAsia="Times New Roman"/>
                <w:b/>
                <w:noProof/>
                <w:sz w:val="20"/>
                <w:szCs w:val="20"/>
                <w:lang w:eastAsia="es-MX"/>
              </w:rPr>
              <w:t>Marzo de 2015</w:t>
            </w:r>
          </w:p>
        </w:tc>
        <w:tc>
          <w:tcPr>
            <w:tcW w:w="1192" w:type="dxa"/>
            <w:tcBorders>
              <w:top w:val="single" w:sz="4" w:space="0" w:color="auto"/>
              <w:left w:val="single" w:sz="4" w:space="0" w:color="auto"/>
              <w:bottom w:val="single" w:sz="4" w:space="0" w:color="auto"/>
              <w:right w:val="single" w:sz="4" w:space="0" w:color="auto"/>
            </w:tcBorders>
            <w:vAlign w:val="center"/>
          </w:tcPr>
          <w:p w14:paraId="6027E564" w14:textId="77777777" w:rsidR="00F41EA1" w:rsidRPr="00F41EA1" w:rsidRDefault="00F41EA1" w:rsidP="00F41EA1">
            <w:pPr>
              <w:ind w:right="-57"/>
              <w:jc w:val="center"/>
              <w:rPr>
                <w:rFonts w:eastAsia="Times New Roman"/>
                <w:b/>
                <w:noProof/>
                <w:sz w:val="22"/>
                <w:szCs w:val="22"/>
                <w:lang w:eastAsia="es-MX"/>
              </w:rPr>
            </w:pPr>
            <w:r w:rsidRPr="00F41EA1">
              <w:rPr>
                <w:rFonts w:eastAsia="Times New Roman"/>
                <w:b/>
                <w:noProof/>
                <w:sz w:val="20"/>
                <w:szCs w:val="20"/>
                <w:lang w:eastAsia="es-MX"/>
              </w:rPr>
              <w:t>Diferencia</w:t>
            </w:r>
            <w:r w:rsidRPr="00F41EA1">
              <w:rPr>
                <w:rFonts w:eastAsia="Times New Roman"/>
                <w:b/>
                <w:noProof/>
                <w:sz w:val="20"/>
                <w:szCs w:val="20"/>
                <w:u w:val="single"/>
                <w:vertAlign w:val="superscript"/>
                <w:lang w:eastAsia="es-MX"/>
              </w:rPr>
              <w:t>1</w:t>
            </w:r>
            <w:r w:rsidRPr="00F41EA1">
              <w:rPr>
                <w:rFonts w:eastAsia="Times New Roman"/>
                <w:b/>
                <w:noProof/>
                <w:sz w:val="20"/>
                <w:szCs w:val="20"/>
                <w:vertAlign w:val="superscript"/>
                <w:lang w:eastAsia="es-MX"/>
              </w:rPr>
              <w:t>/</w:t>
            </w:r>
          </w:p>
        </w:tc>
        <w:tc>
          <w:tcPr>
            <w:tcW w:w="1499" w:type="dxa"/>
            <w:tcBorders>
              <w:top w:val="single" w:sz="4" w:space="0" w:color="auto"/>
              <w:left w:val="single" w:sz="4" w:space="0" w:color="auto"/>
              <w:bottom w:val="single" w:sz="4" w:space="0" w:color="auto"/>
              <w:right w:val="single" w:sz="4" w:space="0" w:color="auto"/>
            </w:tcBorders>
            <w:vAlign w:val="center"/>
          </w:tcPr>
          <w:p w14:paraId="75980AE9" w14:textId="77777777" w:rsidR="00F41EA1" w:rsidRPr="00F41EA1" w:rsidRDefault="00F41EA1" w:rsidP="00F41EA1">
            <w:pPr>
              <w:jc w:val="center"/>
              <w:rPr>
                <w:rFonts w:eastAsia="Times New Roman"/>
                <w:b/>
                <w:noProof/>
                <w:sz w:val="22"/>
                <w:szCs w:val="22"/>
                <w:lang w:eastAsia="es-MX"/>
              </w:rPr>
            </w:pPr>
            <w:r w:rsidRPr="00F41EA1">
              <w:rPr>
                <w:rFonts w:eastAsia="Times New Roman"/>
                <w:b/>
                <w:noProof/>
                <w:sz w:val="20"/>
                <w:szCs w:val="20"/>
                <w:lang w:eastAsia="es-MX"/>
              </w:rPr>
              <w:t>Número de meses consecutivos por arriba o por debajo del umbral de 50 puntos</w:t>
            </w:r>
          </w:p>
        </w:tc>
      </w:tr>
      <w:tr w:rsidR="00F41EA1" w:rsidRPr="00F41EA1" w14:paraId="797538FA" w14:textId="77777777" w:rsidTr="00BA61DD">
        <w:trPr>
          <w:jc w:val="center"/>
        </w:trPr>
        <w:tc>
          <w:tcPr>
            <w:tcW w:w="4077" w:type="dxa"/>
            <w:tcBorders>
              <w:top w:val="single" w:sz="4" w:space="0" w:color="auto"/>
              <w:left w:val="single" w:sz="4" w:space="0" w:color="auto"/>
              <w:bottom w:val="nil"/>
              <w:right w:val="single" w:sz="4" w:space="0" w:color="auto"/>
            </w:tcBorders>
          </w:tcPr>
          <w:p w14:paraId="21529B2C" w14:textId="77777777" w:rsidR="00F41EA1" w:rsidRPr="00F41EA1" w:rsidRDefault="00F41EA1" w:rsidP="00F41EA1">
            <w:pPr>
              <w:jc w:val="both"/>
              <w:rPr>
                <w:rFonts w:eastAsia="Times New Roman"/>
                <w:b/>
                <w:noProof/>
                <w:sz w:val="20"/>
                <w:szCs w:val="20"/>
                <w:lang w:eastAsia="es-MX"/>
              </w:rPr>
            </w:pPr>
            <w:r w:rsidRPr="00F41EA1">
              <w:rPr>
                <w:rFonts w:eastAsia="Times New Roman"/>
                <w:b/>
                <w:noProof/>
                <w:sz w:val="20"/>
                <w:szCs w:val="20"/>
                <w:lang w:eastAsia="es-MX"/>
              </w:rPr>
              <w:t>Expectativas Empresariales del Sector Manufacturero</w:t>
            </w:r>
          </w:p>
        </w:tc>
        <w:tc>
          <w:tcPr>
            <w:tcW w:w="1168" w:type="dxa"/>
            <w:tcBorders>
              <w:top w:val="single" w:sz="4" w:space="0" w:color="auto"/>
              <w:left w:val="single" w:sz="4" w:space="0" w:color="auto"/>
              <w:bottom w:val="nil"/>
              <w:right w:val="single" w:sz="4" w:space="0" w:color="auto"/>
            </w:tcBorders>
          </w:tcPr>
          <w:p w14:paraId="7917A193" w14:textId="77777777" w:rsidR="00F41EA1" w:rsidRPr="00F41EA1" w:rsidRDefault="00F41EA1" w:rsidP="00F41EA1">
            <w:pPr>
              <w:jc w:val="center"/>
              <w:rPr>
                <w:rFonts w:eastAsia="Times New Roman"/>
                <w:noProof/>
                <w:sz w:val="20"/>
                <w:szCs w:val="20"/>
                <w:lang w:eastAsia="es-MX"/>
              </w:rPr>
            </w:pPr>
          </w:p>
        </w:tc>
        <w:tc>
          <w:tcPr>
            <w:tcW w:w="1276" w:type="dxa"/>
            <w:tcBorders>
              <w:top w:val="single" w:sz="4" w:space="0" w:color="auto"/>
              <w:left w:val="single" w:sz="4" w:space="0" w:color="auto"/>
              <w:bottom w:val="nil"/>
              <w:right w:val="single" w:sz="4" w:space="0" w:color="auto"/>
            </w:tcBorders>
          </w:tcPr>
          <w:p w14:paraId="1A9E8641" w14:textId="77777777" w:rsidR="00F41EA1" w:rsidRPr="00F41EA1" w:rsidRDefault="00F41EA1" w:rsidP="00F41EA1">
            <w:pPr>
              <w:jc w:val="center"/>
              <w:rPr>
                <w:rFonts w:eastAsia="Times New Roman"/>
                <w:noProof/>
                <w:sz w:val="20"/>
                <w:szCs w:val="20"/>
                <w:lang w:eastAsia="es-MX"/>
              </w:rPr>
            </w:pPr>
          </w:p>
        </w:tc>
        <w:tc>
          <w:tcPr>
            <w:tcW w:w="1192" w:type="dxa"/>
            <w:tcBorders>
              <w:top w:val="single" w:sz="4" w:space="0" w:color="auto"/>
              <w:left w:val="single" w:sz="4" w:space="0" w:color="auto"/>
              <w:bottom w:val="nil"/>
              <w:right w:val="single" w:sz="4" w:space="0" w:color="auto"/>
            </w:tcBorders>
          </w:tcPr>
          <w:p w14:paraId="4E913D36" w14:textId="77777777" w:rsidR="00F41EA1" w:rsidRPr="00F41EA1" w:rsidRDefault="00F41EA1" w:rsidP="00F41EA1">
            <w:pPr>
              <w:ind w:right="340"/>
              <w:jc w:val="right"/>
              <w:rPr>
                <w:rFonts w:eastAsia="Times New Roman"/>
                <w:noProof/>
                <w:sz w:val="20"/>
                <w:szCs w:val="20"/>
                <w:lang w:eastAsia="es-MX"/>
              </w:rPr>
            </w:pPr>
          </w:p>
        </w:tc>
        <w:tc>
          <w:tcPr>
            <w:tcW w:w="1499" w:type="dxa"/>
            <w:tcBorders>
              <w:top w:val="single" w:sz="4" w:space="0" w:color="auto"/>
              <w:left w:val="single" w:sz="4" w:space="0" w:color="auto"/>
              <w:bottom w:val="nil"/>
              <w:right w:val="single" w:sz="4" w:space="0" w:color="auto"/>
            </w:tcBorders>
          </w:tcPr>
          <w:p w14:paraId="34E6130A" w14:textId="77777777" w:rsidR="00F41EA1" w:rsidRPr="00F41EA1" w:rsidRDefault="00F41EA1" w:rsidP="00F41EA1">
            <w:pPr>
              <w:ind w:right="113"/>
              <w:jc w:val="right"/>
              <w:rPr>
                <w:rFonts w:eastAsia="Times New Roman"/>
                <w:noProof/>
                <w:sz w:val="20"/>
                <w:szCs w:val="20"/>
                <w:lang w:eastAsia="es-MX"/>
              </w:rPr>
            </w:pPr>
          </w:p>
        </w:tc>
      </w:tr>
      <w:tr w:rsidR="00F41EA1" w:rsidRPr="00F41EA1" w14:paraId="30AC435B" w14:textId="77777777" w:rsidTr="00BA61DD">
        <w:trPr>
          <w:jc w:val="center"/>
        </w:trPr>
        <w:tc>
          <w:tcPr>
            <w:tcW w:w="4077" w:type="dxa"/>
            <w:tcBorders>
              <w:top w:val="nil"/>
              <w:left w:val="single" w:sz="4" w:space="0" w:color="auto"/>
              <w:bottom w:val="nil"/>
              <w:right w:val="single" w:sz="4" w:space="0" w:color="auto"/>
            </w:tcBorders>
          </w:tcPr>
          <w:p w14:paraId="2117C090"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Producción</w:t>
            </w:r>
          </w:p>
        </w:tc>
        <w:tc>
          <w:tcPr>
            <w:tcW w:w="1168" w:type="dxa"/>
            <w:tcBorders>
              <w:top w:val="nil"/>
              <w:left w:val="single" w:sz="4" w:space="0" w:color="auto"/>
              <w:bottom w:val="nil"/>
              <w:right w:val="single" w:sz="4" w:space="0" w:color="auto"/>
            </w:tcBorders>
          </w:tcPr>
          <w:p w14:paraId="274323F7"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54.4</w:t>
            </w:r>
          </w:p>
        </w:tc>
        <w:tc>
          <w:tcPr>
            <w:tcW w:w="1276" w:type="dxa"/>
            <w:tcBorders>
              <w:top w:val="nil"/>
              <w:left w:val="single" w:sz="4" w:space="0" w:color="auto"/>
              <w:bottom w:val="nil"/>
              <w:right w:val="single" w:sz="4" w:space="0" w:color="auto"/>
            </w:tcBorders>
          </w:tcPr>
          <w:p w14:paraId="55C7716D"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53.5</w:t>
            </w:r>
          </w:p>
        </w:tc>
        <w:tc>
          <w:tcPr>
            <w:tcW w:w="1192" w:type="dxa"/>
            <w:tcBorders>
              <w:top w:val="nil"/>
              <w:left w:val="single" w:sz="4" w:space="0" w:color="auto"/>
              <w:bottom w:val="nil"/>
              <w:right w:val="single" w:sz="4" w:space="0" w:color="auto"/>
            </w:tcBorders>
          </w:tcPr>
          <w:p w14:paraId="5F57535D"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-0.87</w:t>
            </w:r>
          </w:p>
        </w:tc>
        <w:tc>
          <w:tcPr>
            <w:tcW w:w="1499" w:type="dxa"/>
            <w:tcBorders>
              <w:top w:val="nil"/>
              <w:left w:val="single" w:sz="4" w:space="0" w:color="auto"/>
              <w:bottom w:val="nil"/>
              <w:right w:val="single" w:sz="4" w:space="0" w:color="auto"/>
            </w:tcBorders>
          </w:tcPr>
          <w:p w14:paraId="3425FEC9"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 xml:space="preserve">51 por arriba </w:t>
            </w:r>
          </w:p>
        </w:tc>
      </w:tr>
      <w:tr w:rsidR="00F41EA1" w:rsidRPr="00F41EA1" w14:paraId="30E0F500" w14:textId="77777777" w:rsidTr="00BA61DD">
        <w:trPr>
          <w:jc w:val="center"/>
        </w:trPr>
        <w:tc>
          <w:tcPr>
            <w:tcW w:w="4077" w:type="dxa"/>
            <w:tcBorders>
              <w:top w:val="nil"/>
              <w:left w:val="single" w:sz="4" w:space="0" w:color="auto"/>
              <w:bottom w:val="nil"/>
              <w:right w:val="single" w:sz="4" w:space="0" w:color="auto"/>
            </w:tcBorders>
          </w:tcPr>
          <w:p w14:paraId="5BA0C7D5"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Utilización de planta y equipo</w:t>
            </w:r>
          </w:p>
        </w:tc>
        <w:tc>
          <w:tcPr>
            <w:tcW w:w="1168" w:type="dxa"/>
            <w:tcBorders>
              <w:top w:val="nil"/>
              <w:left w:val="single" w:sz="4" w:space="0" w:color="auto"/>
              <w:bottom w:val="nil"/>
              <w:right w:val="single" w:sz="4" w:space="0" w:color="auto"/>
            </w:tcBorders>
          </w:tcPr>
          <w:p w14:paraId="421F250C"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53.4</w:t>
            </w:r>
          </w:p>
        </w:tc>
        <w:tc>
          <w:tcPr>
            <w:tcW w:w="1276" w:type="dxa"/>
            <w:tcBorders>
              <w:top w:val="nil"/>
              <w:left w:val="single" w:sz="4" w:space="0" w:color="auto"/>
              <w:bottom w:val="nil"/>
              <w:right w:val="single" w:sz="4" w:space="0" w:color="auto"/>
            </w:tcBorders>
          </w:tcPr>
          <w:p w14:paraId="3FDD2210"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51.4</w:t>
            </w:r>
          </w:p>
        </w:tc>
        <w:tc>
          <w:tcPr>
            <w:tcW w:w="1192" w:type="dxa"/>
            <w:tcBorders>
              <w:top w:val="nil"/>
              <w:left w:val="single" w:sz="4" w:space="0" w:color="auto"/>
              <w:bottom w:val="nil"/>
              <w:right w:val="single" w:sz="4" w:space="0" w:color="auto"/>
            </w:tcBorders>
          </w:tcPr>
          <w:p w14:paraId="21709E73"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-1.99</w:t>
            </w:r>
          </w:p>
        </w:tc>
        <w:tc>
          <w:tcPr>
            <w:tcW w:w="1499" w:type="dxa"/>
            <w:tcBorders>
              <w:top w:val="nil"/>
              <w:left w:val="single" w:sz="4" w:space="0" w:color="auto"/>
              <w:bottom w:val="nil"/>
              <w:right w:val="single" w:sz="4" w:space="0" w:color="auto"/>
            </w:tcBorders>
          </w:tcPr>
          <w:p w14:paraId="787B650F"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49 por arriba</w:t>
            </w:r>
          </w:p>
        </w:tc>
      </w:tr>
      <w:tr w:rsidR="00F41EA1" w:rsidRPr="00F41EA1" w14:paraId="7B2F046A" w14:textId="77777777" w:rsidTr="00BA61DD">
        <w:trPr>
          <w:jc w:val="center"/>
        </w:trPr>
        <w:tc>
          <w:tcPr>
            <w:tcW w:w="4077" w:type="dxa"/>
            <w:tcBorders>
              <w:top w:val="nil"/>
              <w:left w:val="single" w:sz="4" w:space="0" w:color="auto"/>
              <w:bottom w:val="nil"/>
              <w:right w:val="single" w:sz="4" w:space="0" w:color="auto"/>
            </w:tcBorders>
          </w:tcPr>
          <w:p w14:paraId="4123C0EA"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Demanda nacional de sus productos</w:t>
            </w:r>
          </w:p>
        </w:tc>
        <w:tc>
          <w:tcPr>
            <w:tcW w:w="1168" w:type="dxa"/>
            <w:tcBorders>
              <w:top w:val="nil"/>
              <w:left w:val="single" w:sz="4" w:space="0" w:color="auto"/>
              <w:bottom w:val="nil"/>
              <w:right w:val="single" w:sz="4" w:space="0" w:color="auto"/>
            </w:tcBorders>
          </w:tcPr>
          <w:p w14:paraId="13ACA887"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55.2</w:t>
            </w:r>
          </w:p>
        </w:tc>
        <w:tc>
          <w:tcPr>
            <w:tcW w:w="1276" w:type="dxa"/>
            <w:tcBorders>
              <w:top w:val="nil"/>
              <w:left w:val="single" w:sz="4" w:space="0" w:color="auto"/>
              <w:bottom w:val="nil"/>
              <w:right w:val="single" w:sz="4" w:space="0" w:color="auto"/>
            </w:tcBorders>
            <w:vAlign w:val="center"/>
          </w:tcPr>
          <w:p w14:paraId="61C9FC83"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53.0</w:t>
            </w:r>
          </w:p>
        </w:tc>
        <w:tc>
          <w:tcPr>
            <w:tcW w:w="1192" w:type="dxa"/>
            <w:tcBorders>
              <w:top w:val="nil"/>
              <w:left w:val="single" w:sz="4" w:space="0" w:color="auto"/>
              <w:bottom w:val="nil"/>
              <w:right w:val="single" w:sz="4" w:space="0" w:color="auto"/>
            </w:tcBorders>
          </w:tcPr>
          <w:p w14:paraId="1CE913A5"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-2.19</w:t>
            </w:r>
          </w:p>
        </w:tc>
        <w:tc>
          <w:tcPr>
            <w:tcW w:w="1499" w:type="dxa"/>
            <w:tcBorders>
              <w:top w:val="nil"/>
              <w:left w:val="single" w:sz="4" w:space="0" w:color="auto"/>
              <w:bottom w:val="nil"/>
              <w:right w:val="single" w:sz="4" w:space="0" w:color="auto"/>
            </w:tcBorders>
          </w:tcPr>
          <w:p w14:paraId="34A3638E"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68 por arriba</w:t>
            </w:r>
          </w:p>
        </w:tc>
      </w:tr>
      <w:tr w:rsidR="00F41EA1" w:rsidRPr="00F41EA1" w14:paraId="2BE26905" w14:textId="77777777" w:rsidTr="00BA61DD">
        <w:trPr>
          <w:jc w:val="center"/>
        </w:trPr>
        <w:tc>
          <w:tcPr>
            <w:tcW w:w="4077" w:type="dxa"/>
            <w:tcBorders>
              <w:top w:val="nil"/>
              <w:left w:val="single" w:sz="4" w:space="0" w:color="auto"/>
              <w:bottom w:val="nil"/>
              <w:right w:val="single" w:sz="4" w:space="0" w:color="auto"/>
            </w:tcBorders>
          </w:tcPr>
          <w:p w14:paraId="55C961CC"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Exportaciones</w:t>
            </w:r>
          </w:p>
        </w:tc>
        <w:tc>
          <w:tcPr>
            <w:tcW w:w="1168" w:type="dxa"/>
            <w:tcBorders>
              <w:top w:val="nil"/>
              <w:left w:val="single" w:sz="4" w:space="0" w:color="auto"/>
              <w:bottom w:val="nil"/>
              <w:right w:val="single" w:sz="4" w:space="0" w:color="auto"/>
            </w:tcBorders>
            <w:vAlign w:val="center"/>
          </w:tcPr>
          <w:p w14:paraId="29B9C2BA"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54.3</w:t>
            </w:r>
          </w:p>
        </w:tc>
        <w:tc>
          <w:tcPr>
            <w:tcW w:w="1276" w:type="dxa"/>
            <w:tcBorders>
              <w:top w:val="nil"/>
              <w:left w:val="single" w:sz="4" w:space="0" w:color="auto"/>
              <w:bottom w:val="nil"/>
              <w:right w:val="single" w:sz="4" w:space="0" w:color="auto"/>
            </w:tcBorders>
          </w:tcPr>
          <w:p w14:paraId="56701776"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52.8</w:t>
            </w:r>
          </w:p>
        </w:tc>
        <w:tc>
          <w:tcPr>
            <w:tcW w:w="1192" w:type="dxa"/>
            <w:tcBorders>
              <w:top w:val="nil"/>
              <w:left w:val="single" w:sz="4" w:space="0" w:color="auto"/>
              <w:bottom w:val="nil"/>
              <w:right w:val="single" w:sz="4" w:space="0" w:color="auto"/>
            </w:tcBorders>
            <w:vAlign w:val="center"/>
          </w:tcPr>
          <w:p w14:paraId="2540E50F"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-1.50</w:t>
            </w:r>
          </w:p>
        </w:tc>
        <w:tc>
          <w:tcPr>
            <w:tcW w:w="1499" w:type="dxa"/>
            <w:tcBorders>
              <w:top w:val="nil"/>
              <w:left w:val="single" w:sz="4" w:space="0" w:color="auto"/>
              <w:bottom w:val="nil"/>
              <w:right w:val="single" w:sz="4" w:space="0" w:color="auto"/>
            </w:tcBorders>
            <w:vAlign w:val="center"/>
          </w:tcPr>
          <w:p w14:paraId="45A02619"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71 por arriba</w:t>
            </w:r>
          </w:p>
        </w:tc>
      </w:tr>
      <w:tr w:rsidR="00F41EA1" w:rsidRPr="00F41EA1" w14:paraId="676FD99D" w14:textId="77777777" w:rsidTr="00BA61DD">
        <w:trPr>
          <w:jc w:val="center"/>
        </w:trPr>
        <w:tc>
          <w:tcPr>
            <w:tcW w:w="4077" w:type="dxa"/>
            <w:tcBorders>
              <w:top w:val="nil"/>
              <w:left w:val="single" w:sz="4" w:space="0" w:color="auto"/>
              <w:bottom w:val="nil"/>
              <w:right w:val="single" w:sz="4" w:space="0" w:color="auto"/>
            </w:tcBorders>
          </w:tcPr>
          <w:p w14:paraId="27E3B9C9"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Personal ocupado</w:t>
            </w:r>
          </w:p>
        </w:tc>
        <w:tc>
          <w:tcPr>
            <w:tcW w:w="1168" w:type="dxa"/>
            <w:tcBorders>
              <w:top w:val="nil"/>
              <w:left w:val="single" w:sz="4" w:space="0" w:color="auto"/>
              <w:bottom w:val="nil"/>
              <w:right w:val="single" w:sz="4" w:space="0" w:color="auto"/>
            </w:tcBorders>
          </w:tcPr>
          <w:p w14:paraId="665B2D1B"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51.8</w:t>
            </w:r>
          </w:p>
        </w:tc>
        <w:tc>
          <w:tcPr>
            <w:tcW w:w="1276" w:type="dxa"/>
            <w:tcBorders>
              <w:top w:val="nil"/>
              <w:left w:val="single" w:sz="4" w:space="0" w:color="auto"/>
              <w:bottom w:val="nil"/>
              <w:right w:val="single" w:sz="4" w:space="0" w:color="auto"/>
            </w:tcBorders>
          </w:tcPr>
          <w:p w14:paraId="52DE63E3"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52.1</w:t>
            </w:r>
          </w:p>
        </w:tc>
        <w:tc>
          <w:tcPr>
            <w:tcW w:w="1192" w:type="dxa"/>
            <w:tcBorders>
              <w:top w:val="nil"/>
              <w:left w:val="single" w:sz="4" w:space="0" w:color="auto"/>
              <w:bottom w:val="nil"/>
              <w:right w:val="single" w:sz="4" w:space="0" w:color="auto"/>
            </w:tcBorders>
          </w:tcPr>
          <w:p w14:paraId="38AAD7B4"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0.23</w:t>
            </w:r>
          </w:p>
        </w:tc>
        <w:tc>
          <w:tcPr>
            <w:tcW w:w="1499" w:type="dxa"/>
            <w:tcBorders>
              <w:top w:val="nil"/>
              <w:left w:val="single" w:sz="4" w:space="0" w:color="auto"/>
              <w:bottom w:val="nil"/>
              <w:right w:val="single" w:sz="4" w:space="0" w:color="auto"/>
            </w:tcBorders>
          </w:tcPr>
          <w:p w14:paraId="0D21DEDF"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68 por arriba</w:t>
            </w:r>
          </w:p>
        </w:tc>
      </w:tr>
      <w:tr w:rsidR="00F41EA1" w:rsidRPr="00F41EA1" w14:paraId="5B2F7402" w14:textId="77777777" w:rsidTr="00BA61DD">
        <w:trPr>
          <w:jc w:val="center"/>
        </w:trPr>
        <w:tc>
          <w:tcPr>
            <w:tcW w:w="4077" w:type="dxa"/>
            <w:tcBorders>
              <w:top w:val="nil"/>
              <w:left w:val="single" w:sz="4" w:space="0" w:color="auto"/>
              <w:bottom w:val="nil"/>
              <w:right w:val="single" w:sz="4" w:space="0" w:color="auto"/>
            </w:tcBorders>
          </w:tcPr>
          <w:p w14:paraId="48FC5C9D"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Inversión en planta y equipo</w:t>
            </w:r>
          </w:p>
        </w:tc>
        <w:tc>
          <w:tcPr>
            <w:tcW w:w="1168" w:type="dxa"/>
            <w:tcBorders>
              <w:top w:val="nil"/>
              <w:left w:val="single" w:sz="4" w:space="0" w:color="auto"/>
              <w:bottom w:val="nil"/>
              <w:right w:val="single" w:sz="4" w:space="0" w:color="auto"/>
            </w:tcBorders>
          </w:tcPr>
          <w:p w14:paraId="1479C130"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54.9</w:t>
            </w:r>
          </w:p>
        </w:tc>
        <w:tc>
          <w:tcPr>
            <w:tcW w:w="1276" w:type="dxa"/>
            <w:tcBorders>
              <w:top w:val="nil"/>
              <w:left w:val="single" w:sz="4" w:space="0" w:color="auto"/>
              <w:bottom w:val="nil"/>
              <w:right w:val="single" w:sz="4" w:space="0" w:color="auto"/>
            </w:tcBorders>
          </w:tcPr>
          <w:p w14:paraId="1DF51339"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53.0</w:t>
            </w:r>
          </w:p>
        </w:tc>
        <w:tc>
          <w:tcPr>
            <w:tcW w:w="1192" w:type="dxa"/>
            <w:tcBorders>
              <w:top w:val="nil"/>
              <w:left w:val="single" w:sz="4" w:space="0" w:color="auto"/>
              <w:bottom w:val="nil"/>
              <w:right w:val="single" w:sz="4" w:space="0" w:color="auto"/>
            </w:tcBorders>
          </w:tcPr>
          <w:p w14:paraId="5DEF41CE"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-1.99</w:t>
            </w:r>
          </w:p>
        </w:tc>
        <w:tc>
          <w:tcPr>
            <w:tcW w:w="1499" w:type="dxa"/>
            <w:tcBorders>
              <w:top w:val="nil"/>
              <w:left w:val="single" w:sz="4" w:space="0" w:color="auto"/>
              <w:bottom w:val="nil"/>
              <w:right w:val="single" w:sz="4" w:space="0" w:color="auto"/>
            </w:tcBorders>
          </w:tcPr>
          <w:p w14:paraId="3EBC5C58"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53 por arriba</w:t>
            </w:r>
          </w:p>
        </w:tc>
      </w:tr>
      <w:tr w:rsidR="00F41EA1" w:rsidRPr="00F41EA1" w14:paraId="41C6B5C1" w14:textId="77777777" w:rsidTr="00BA61DD">
        <w:trPr>
          <w:jc w:val="center"/>
        </w:trPr>
        <w:tc>
          <w:tcPr>
            <w:tcW w:w="4077" w:type="dxa"/>
            <w:tcBorders>
              <w:top w:val="nil"/>
              <w:left w:val="single" w:sz="4" w:space="0" w:color="auto"/>
              <w:bottom w:val="nil"/>
              <w:right w:val="single" w:sz="4" w:space="0" w:color="auto"/>
            </w:tcBorders>
          </w:tcPr>
          <w:p w14:paraId="46825AFA"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Inventarios de productos terminados</w:t>
            </w:r>
          </w:p>
        </w:tc>
        <w:tc>
          <w:tcPr>
            <w:tcW w:w="1168" w:type="dxa"/>
            <w:tcBorders>
              <w:top w:val="nil"/>
              <w:left w:val="single" w:sz="4" w:space="0" w:color="auto"/>
              <w:bottom w:val="nil"/>
              <w:right w:val="single" w:sz="4" w:space="0" w:color="auto"/>
            </w:tcBorders>
          </w:tcPr>
          <w:p w14:paraId="11E8F207"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52.9</w:t>
            </w:r>
          </w:p>
        </w:tc>
        <w:tc>
          <w:tcPr>
            <w:tcW w:w="1276" w:type="dxa"/>
            <w:tcBorders>
              <w:top w:val="nil"/>
              <w:left w:val="single" w:sz="4" w:space="0" w:color="auto"/>
              <w:bottom w:val="nil"/>
              <w:right w:val="single" w:sz="4" w:space="0" w:color="auto"/>
            </w:tcBorders>
          </w:tcPr>
          <w:p w14:paraId="3099BBC7"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51.4</w:t>
            </w:r>
          </w:p>
        </w:tc>
        <w:tc>
          <w:tcPr>
            <w:tcW w:w="1192" w:type="dxa"/>
            <w:tcBorders>
              <w:top w:val="nil"/>
              <w:left w:val="single" w:sz="4" w:space="0" w:color="auto"/>
              <w:bottom w:val="nil"/>
              <w:right w:val="single" w:sz="4" w:space="0" w:color="auto"/>
            </w:tcBorders>
          </w:tcPr>
          <w:p w14:paraId="14C594D7"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-1.51</w:t>
            </w:r>
          </w:p>
        </w:tc>
        <w:tc>
          <w:tcPr>
            <w:tcW w:w="1499" w:type="dxa"/>
            <w:tcBorders>
              <w:top w:val="nil"/>
              <w:left w:val="single" w:sz="4" w:space="0" w:color="auto"/>
              <w:bottom w:val="nil"/>
              <w:right w:val="single" w:sz="4" w:space="0" w:color="auto"/>
            </w:tcBorders>
          </w:tcPr>
          <w:p w14:paraId="7AEBC3E2"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38 por arriba</w:t>
            </w:r>
          </w:p>
        </w:tc>
      </w:tr>
      <w:tr w:rsidR="00F41EA1" w:rsidRPr="00F41EA1" w14:paraId="0FF8A071" w14:textId="77777777" w:rsidTr="00BA61DD">
        <w:trPr>
          <w:jc w:val="center"/>
        </w:trPr>
        <w:tc>
          <w:tcPr>
            <w:tcW w:w="4077" w:type="dxa"/>
            <w:tcBorders>
              <w:top w:val="nil"/>
              <w:left w:val="single" w:sz="4" w:space="0" w:color="auto"/>
              <w:bottom w:val="nil"/>
              <w:right w:val="single" w:sz="4" w:space="0" w:color="auto"/>
            </w:tcBorders>
          </w:tcPr>
          <w:p w14:paraId="7F37824E"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Precios de venta</w:t>
            </w:r>
          </w:p>
        </w:tc>
        <w:tc>
          <w:tcPr>
            <w:tcW w:w="1168" w:type="dxa"/>
            <w:tcBorders>
              <w:top w:val="nil"/>
              <w:left w:val="single" w:sz="4" w:space="0" w:color="auto"/>
              <w:bottom w:val="nil"/>
              <w:right w:val="single" w:sz="4" w:space="0" w:color="auto"/>
            </w:tcBorders>
          </w:tcPr>
          <w:p w14:paraId="0F8ED855"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54.1</w:t>
            </w:r>
          </w:p>
        </w:tc>
        <w:tc>
          <w:tcPr>
            <w:tcW w:w="1276" w:type="dxa"/>
            <w:tcBorders>
              <w:top w:val="nil"/>
              <w:left w:val="single" w:sz="4" w:space="0" w:color="auto"/>
              <w:bottom w:val="nil"/>
              <w:right w:val="single" w:sz="4" w:space="0" w:color="auto"/>
            </w:tcBorders>
          </w:tcPr>
          <w:p w14:paraId="760E013A"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54.5</w:t>
            </w:r>
          </w:p>
        </w:tc>
        <w:tc>
          <w:tcPr>
            <w:tcW w:w="1192" w:type="dxa"/>
            <w:tcBorders>
              <w:top w:val="nil"/>
              <w:left w:val="single" w:sz="4" w:space="0" w:color="auto"/>
              <w:bottom w:val="nil"/>
              <w:right w:val="single" w:sz="4" w:space="0" w:color="auto"/>
            </w:tcBorders>
          </w:tcPr>
          <w:p w14:paraId="125211CC"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0.43</w:t>
            </w:r>
          </w:p>
        </w:tc>
        <w:tc>
          <w:tcPr>
            <w:tcW w:w="1499" w:type="dxa"/>
            <w:tcBorders>
              <w:top w:val="nil"/>
              <w:left w:val="single" w:sz="4" w:space="0" w:color="auto"/>
              <w:bottom w:val="nil"/>
              <w:right w:val="single" w:sz="4" w:space="0" w:color="auto"/>
            </w:tcBorders>
          </w:tcPr>
          <w:p w14:paraId="71817F2C"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135 por arriba</w:t>
            </w:r>
          </w:p>
        </w:tc>
      </w:tr>
      <w:tr w:rsidR="00F41EA1" w:rsidRPr="00F41EA1" w14:paraId="4000DE9B" w14:textId="77777777" w:rsidTr="00BA61DD">
        <w:trPr>
          <w:jc w:val="center"/>
        </w:trPr>
        <w:tc>
          <w:tcPr>
            <w:tcW w:w="4077" w:type="dxa"/>
            <w:tcBorders>
              <w:top w:val="nil"/>
              <w:left w:val="single" w:sz="4" w:space="0" w:color="auto"/>
              <w:bottom w:val="single" w:sz="4" w:space="0" w:color="auto"/>
              <w:right w:val="single" w:sz="4" w:space="0" w:color="auto"/>
            </w:tcBorders>
          </w:tcPr>
          <w:p w14:paraId="502FC06E" w14:textId="77777777" w:rsidR="00F41EA1" w:rsidRPr="00F41EA1" w:rsidRDefault="00F41EA1" w:rsidP="003B27DE">
            <w:pPr>
              <w:numPr>
                <w:ilvl w:val="0"/>
                <w:numId w:val="49"/>
              </w:numPr>
              <w:contextualSpacing/>
              <w:jc w:val="both"/>
              <w:rPr>
                <w:rFonts w:eastAsia="Times New Roman"/>
                <w:noProof/>
                <w:sz w:val="20"/>
                <w:szCs w:val="20"/>
                <w:lang w:eastAsia="es-MX"/>
              </w:rPr>
            </w:pPr>
            <w:r w:rsidRPr="00F41EA1">
              <w:rPr>
                <w:rFonts w:eastAsia="Times New Roman"/>
                <w:noProof/>
                <w:sz w:val="20"/>
                <w:szCs w:val="20"/>
                <w:lang w:eastAsia="es-MX"/>
              </w:rPr>
              <w:t>Precios de insumos</w:t>
            </w:r>
          </w:p>
        </w:tc>
        <w:tc>
          <w:tcPr>
            <w:tcW w:w="1168" w:type="dxa"/>
            <w:tcBorders>
              <w:top w:val="nil"/>
              <w:left w:val="single" w:sz="4" w:space="0" w:color="auto"/>
              <w:bottom w:val="single" w:sz="4" w:space="0" w:color="auto"/>
              <w:right w:val="single" w:sz="4" w:space="0" w:color="auto"/>
            </w:tcBorders>
          </w:tcPr>
          <w:p w14:paraId="52F60A56"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54.5</w:t>
            </w:r>
          </w:p>
        </w:tc>
        <w:tc>
          <w:tcPr>
            <w:tcW w:w="1276" w:type="dxa"/>
            <w:tcBorders>
              <w:top w:val="nil"/>
              <w:left w:val="single" w:sz="4" w:space="0" w:color="auto"/>
              <w:bottom w:val="single" w:sz="4" w:space="0" w:color="auto"/>
              <w:right w:val="single" w:sz="4" w:space="0" w:color="auto"/>
            </w:tcBorders>
          </w:tcPr>
          <w:p w14:paraId="43F75EEE" w14:textId="77777777" w:rsidR="00F41EA1" w:rsidRPr="00F41EA1" w:rsidRDefault="00F41EA1" w:rsidP="00F41EA1">
            <w:pPr>
              <w:jc w:val="center"/>
              <w:rPr>
                <w:rFonts w:eastAsia="Times New Roman"/>
                <w:noProof/>
                <w:sz w:val="20"/>
                <w:szCs w:val="20"/>
                <w:lang w:eastAsia="es-MX"/>
              </w:rPr>
            </w:pPr>
            <w:r w:rsidRPr="00F41EA1">
              <w:rPr>
                <w:rFonts w:eastAsia="Times New Roman"/>
                <w:noProof/>
                <w:sz w:val="20"/>
                <w:szCs w:val="20"/>
                <w:lang w:eastAsia="es-MX"/>
              </w:rPr>
              <w:t>55.0</w:t>
            </w:r>
          </w:p>
        </w:tc>
        <w:tc>
          <w:tcPr>
            <w:tcW w:w="1192" w:type="dxa"/>
            <w:tcBorders>
              <w:top w:val="nil"/>
              <w:left w:val="single" w:sz="4" w:space="0" w:color="auto"/>
              <w:bottom w:val="single" w:sz="4" w:space="0" w:color="auto"/>
              <w:right w:val="single" w:sz="4" w:space="0" w:color="auto"/>
            </w:tcBorders>
          </w:tcPr>
          <w:p w14:paraId="0401BA90" w14:textId="77777777" w:rsidR="00F41EA1" w:rsidRPr="00F41EA1" w:rsidRDefault="00F41EA1" w:rsidP="00F41EA1">
            <w:pPr>
              <w:ind w:right="340"/>
              <w:jc w:val="right"/>
              <w:rPr>
                <w:rFonts w:eastAsia="Times New Roman"/>
                <w:noProof/>
                <w:sz w:val="20"/>
                <w:szCs w:val="20"/>
                <w:lang w:eastAsia="es-MX"/>
              </w:rPr>
            </w:pPr>
            <w:r w:rsidRPr="00F41EA1">
              <w:rPr>
                <w:rFonts w:eastAsia="Times New Roman"/>
                <w:noProof/>
                <w:sz w:val="20"/>
                <w:szCs w:val="20"/>
                <w:lang w:eastAsia="es-MX"/>
              </w:rPr>
              <w:t>0.55</w:t>
            </w:r>
          </w:p>
        </w:tc>
        <w:tc>
          <w:tcPr>
            <w:tcW w:w="1499" w:type="dxa"/>
            <w:tcBorders>
              <w:top w:val="nil"/>
              <w:left w:val="single" w:sz="4" w:space="0" w:color="auto"/>
              <w:bottom w:val="single" w:sz="4" w:space="0" w:color="auto"/>
              <w:right w:val="single" w:sz="4" w:space="0" w:color="auto"/>
            </w:tcBorders>
          </w:tcPr>
          <w:p w14:paraId="515EE194" w14:textId="77777777" w:rsidR="00F41EA1" w:rsidRPr="00F41EA1" w:rsidRDefault="00F41EA1" w:rsidP="00F41EA1">
            <w:pPr>
              <w:ind w:right="113"/>
              <w:jc w:val="right"/>
              <w:rPr>
                <w:rFonts w:eastAsia="Times New Roman"/>
                <w:noProof/>
                <w:sz w:val="20"/>
                <w:szCs w:val="20"/>
                <w:lang w:eastAsia="es-MX"/>
              </w:rPr>
            </w:pPr>
            <w:r w:rsidRPr="00F41EA1">
              <w:rPr>
                <w:rFonts w:eastAsia="Times New Roman"/>
                <w:noProof/>
                <w:sz w:val="20"/>
                <w:szCs w:val="20"/>
                <w:lang w:eastAsia="es-MX"/>
              </w:rPr>
              <w:t>111 por arriba</w:t>
            </w:r>
          </w:p>
        </w:tc>
      </w:tr>
      <w:tr w:rsidR="00F41EA1" w:rsidRPr="00F41EA1" w14:paraId="14F31B49" w14:textId="77777777" w:rsidTr="00BA61DD">
        <w:trPr>
          <w:jc w:val="center"/>
        </w:trPr>
        <w:tc>
          <w:tcPr>
            <w:tcW w:w="9212" w:type="dxa"/>
            <w:gridSpan w:val="5"/>
            <w:tcBorders>
              <w:left w:val="nil"/>
              <w:bottom w:val="nil"/>
              <w:right w:val="nil"/>
            </w:tcBorders>
          </w:tcPr>
          <w:p w14:paraId="7C68B31A" w14:textId="77777777" w:rsidR="00F41EA1" w:rsidRPr="00F41EA1" w:rsidRDefault="00F41EA1" w:rsidP="00F41EA1">
            <w:pPr>
              <w:ind w:left="510" w:hanging="510"/>
              <w:jc w:val="both"/>
              <w:rPr>
                <w:rFonts w:eastAsia="Times New Roman"/>
                <w:noProof/>
                <w:sz w:val="20"/>
                <w:szCs w:val="20"/>
                <w:lang w:eastAsia="es-MX"/>
              </w:rPr>
            </w:pPr>
            <w:r w:rsidRPr="00F41EA1">
              <w:rPr>
                <w:rFonts w:eastAsia="Times New Roman"/>
                <w:noProof/>
                <w:sz w:val="20"/>
                <w:szCs w:val="20"/>
                <w:lang w:eastAsia="es-MX"/>
              </w:rPr>
              <w:t>Nota:</w:t>
            </w:r>
            <w:r w:rsidRPr="00F41EA1">
              <w:t xml:space="preserve"> </w:t>
            </w:r>
            <w:r w:rsidRPr="00F41EA1">
              <w:rPr>
                <w:rFonts w:eastAsia="Times New Roman"/>
                <w:noProof/>
                <w:sz w:val="20"/>
                <w:szCs w:val="20"/>
                <w:lang w:eastAsia="es-MX"/>
              </w:rPr>
              <w:t>Los indicadores se generan con los datos referidos al mes anterior del mes de la entrevista con excepción del último dato de la serie, el cual está referido al mes en que ocurre dicha entrevista.</w:t>
            </w:r>
          </w:p>
          <w:p w14:paraId="57ABE1A2" w14:textId="77777777" w:rsidR="00F41EA1" w:rsidRPr="00F41EA1" w:rsidRDefault="00F41EA1" w:rsidP="00F41EA1">
            <w:pPr>
              <w:jc w:val="both"/>
              <w:rPr>
                <w:rFonts w:eastAsia="Times New Roman"/>
                <w:noProof/>
                <w:sz w:val="20"/>
                <w:szCs w:val="20"/>
                <w:lang w:eastAsia="es-MX"/>
              </w:rPr>
            </w:pPr>
            <w:r w:rsidRPr="00F41EA1">
              <w:rPr>
                <w:rFonts w:eastAsia="Times New Roman"/>
                <w:noProof/>
                <w:sz w:val="20"/>
                <w:szCs w:val="20"/>
                <w:u w:val="single"/>
                <w:lang w:eastAsia="es-MX"/>
              </w:rPr>
              <w:t>1</w:t>
            </w:r>
            <w:r w:rsidRPr="00F41EA1">
              <w:rPr>
                <w:rFonts w:eastAsia="Times New Roman"/>
                <w:noProof/>
                <w:sz w:val="20"/>
                <w:szCs w:val="20"/>
                <w:lang w:eastAsia="es-MX"/>
              </w:rPr>
              <w:t>/ Las diferencias en puntos se obtienen de los respectivos indicadores considerando todos sus decimales.</w:t>
            </w:r>
          </w:p>
          <w:p w14:paraId="77FBE0FC" w14:textId="77777777" w:rsidR="00F41EA1" w:rsidRPr="00F41EA1" w:rsidRDefault="00F41EA1" w:rsidP="00F41EA1">
            <w:pPr>
              <w:jc w:val="both"/>
              <w:rPr>
                <w:rFonts w:eastAsia="Times New Roman"/>
                <w:noProof/>
                <w:sz w:val="20"/>
                <w:szCs w:val="20"/>
                <w:lang w:eastAsia="es-MX"/>
              </w:rPr>
            </w:pPr>
            <w:r w:rsidRPr="00F41EA1">
              <w:rPr>
                <w:rFonts w:eastAsia="Times New Roman"/>
                <w:noProof/>
                <w:sz w:val="20"/>
                <w:szCs w:val="20"/>
                <w:lang w:eastAsia="es-MX"/>
              </w:rPr>
              <w:t>FUENTE: INEGI.</w:t>
            </w:r>
          </w:p>
        </w:tc>
      </w:tr>
    </w:tbl>
    <w:p w14:paraId="4D6A7D2F" w14:textId="77777777" w:rsidR="00F41EA1" w:rsidRPr="00F41EA1" w:rsidRDefault="00F41EA1" w:rsidP="00F41EA1">
      <w:pPr>
        <w:spacing w:after="360" w:line="360" w:lineRule="auto"/>
        <w:ind w:right="-159"/>
        <w:jc w:val="both"/>
        <w:rPr>
          <w:rFonts w:eastAsia="Times New Roman"/>
          <w:sz w:val="26"/>
          <w:szCs w:val="26"/>
        </w:rPr>
      </w:pPr>
    </w:p>
    <w:tbl>
      <w:tblPr>
        <w:tblW w:w="0" w:type="auto"/>
        <w:tblLook w:val="04A0" w:firstRow="1" w:lastRow="0" w:firstColumn="1" w:lastColumn="0" w:noHBand="0" w:noVBand="1"/>
      </w:tblPr>
      <w:tblGrid>
        <w:gridCol w:w="8828"/>
      </w:tblGrid>
      <w:tr w:rsidR="00F41EA1" w:rsidRPr="00F41EA1" w14:paraId="11F85B39" w14:textId="77777777" w:rsidTr="00BA61DD">
        <w:tc>
          <w:tcPr>
            <w:tcW w:w="8828" w:type="dxa"/>
          </w:tcPr>
          <w:p w14:paraId="095160B9" w14:textId="77777777" w:rsidR="00F41EA1" w:rsidRPr="00F41EA1" w:rsidRDefault="00F41EA1" w:rsidP="00F41EA1">
            <w:pPr>
              <w:jc w:val="center"/>
              <w:rPr>
                <w:rFonts w:ascii="Calibri" w:eastAsia="Calibri" w:hAnsi="Calibri"/>
                <w:sz w:val="22"/>
                <w:szCs w:val="22"/>
                <w:lang w:eastAsia="en-US"/>
              </w:rPr>
            </w:pPr>
            <w:r w:rsidRPr="00F41EA1">
              <w:rPr>
                <w:rFonts w:ascii="Calibri" w:eastAsia="Calibri" w:hAnsi="Calibri"/>
                <w:sz w:val="22"/>
                <w:szCs w:val="22"/>
                <w:lang w:eastAsia="en-US"/>
              </w:rPr>
              <w:fldChar w:fldCharType="begin"/>
            </w:r>
            <w:r w:rsidRPr="00F41EA1">
              <w:rPr>
                <w:rFonts w:ascii="Calibri" w:eastAsia="Calibri" w:hAnsi="Calibri"/>
                <w:sz w:val="22"/>
                <w:szCs w:val="22"/>
                <w:lang w:eastAsia="en-US"/>
              </w:rPr>
              <w:instrText xml:space="preserve"> LINK PowerPoint.Slide.8 "D:\\2015\\ABRIL\\GRÁFICAS POWER POINT\\18.- GRÁFICAS DE EXPECTATIVAS EMPRESARIALES.pptx!258" "" \a \p </w:instrText>
            </w:r>
            <w:r w:rsidRPr="00F41EA1">
              <w:rPr>
                <w:rFonts w:ascii="Calibri" w:eastAsia="Calibri" w:hAnsi="Calibri"/>
                <w:sz w:val="22"/>
                <w:szCs w:val="22"/>
                <w:lang w:eastAsia="en-US"/>
              </w:rPr>
              <w:fldChar w:fldCharType="separate"/>
            </w:r>
            <w:r w:rsidRPr="00F41EA1">
              <w:rPr>
                <w:rFonts w:ascii="Calibri" w:eastAsia="Calibri" w:hAnsi="Calibri"/>
                <w:noProof/>
                <w:sz w:val="22"/>
                <w:szCs w:val="22"/>
                <w:lang w:eastAsia="es-MX"/>
              </w:rPr>
              <w:drawing>
                <wp:inline distT="0" distB="0" distL="0" distR="0" wp14:anchorId="4600C16E" wp14:editId="260970DB">
                  <wp:extent cx="5467985" cy="3200400"/>
                  <wp:effectExtent l="0" t="0" r="0" b="0"/>
                  <wp:docPr id="1654" name="Imagen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97" cstate="print">
                            <a:extLst>
                              <a:ext uri="{28A0092B-C50C-407E-A947-70E740481C1C}">
                                <a14:useLocalDpi xmlns:a14="http://schemas.microsoft.com/office/drawing/2010/main" val="0"/>
                              </a:ext>
                            </a:extLst>
                          </a:blip>
                          <a:srcRect l="938" t="2777" r="7355" b="1944"/>
                          <a:stretch>
                            <a:fillRect/>
                          </a:stretch>
                        </pic:blipFill>
                        <pic:spPr bwMode="auto">
                          <a:xfrm>
                            <a:off x="0" y="0"/>
                            <a:ext cx="5467985" cy="3200400"/>
                          </a:xfrm>
                          <a:prstGeom prst="rect">
                            <a:avLst/>
                          </a:prstGeom>
                          <a:noFill/>
                          <a:ln>
                            <a:noFill/>
                          </a:ln>
                        </pic:spPr>
                      </pic:pic>
                    </a:graphicData>
                  </a:graphic>
                </wp:inline>
              </w:drawing>
            </w:r>
            <w:r w:rsidRPr="00F41EA1">
              <w:rPr>
                <w:rFonts w:ascii="Calibri" w:eastAsia="Calibri" w:hAnsi="Calibri"/>
                <w:sz w:val="22"/>
                <w:szCs w:val="22"/>
                <w:lang w:eastAsia="en-US"/>
              </w:rPr>
              <w:fldChar w:fldCharType="end"/>
            </w:r>
          </w:p>
        </w:tc>
      </w:tr>
      <w:tr w:rsidR="00F41EA1" w:rsidRPr="00F41EA1" w14:paraId="75533410" w14:textId="77777777" w:rsidTr="00BA61DD">
        <w:tc>
          <w:tcPr>
            <w:tcW w:w="8828" w:type="dxa"/>
          </w:tcPr>
          <w:p w14:paraId="7FD04E27" w14:textId="77777777" w:rsidR="00F41EA1" w:rsidRPr="00F41EA1" w:rsidRDefault="00F41EA1" w:rsidP="00F41EA1">
            <w:pPr>
              <w:jc w:val="center"/>
              <w:rPr>
                <w:rFonts w:ascii="Calibri" w:eastAsia="Calibri" w:hAnsi="Calibri"/>
                <w:sz w:val="22"/>
                <w:szCs w:val="22"/>
                <w:lang w:eastAsia="en-US"/>
              </w:rPr>
            </w:pPr>
            <w:r w:rsidRPr="00F41EA1">
              <w:rPr>
                <w:rFonts w:ascii="Calibri" w:eastAsia="Calibri" w:hAnsi="Calibri"/>
                <w:sz w:val="22"/>
                <w:szCs w:val="22"/>
                <w:lang w:eastAsia="en-US"/>
              </w:rPr>
              <w:lastRenderedPageBreak/>
              <w:fldChar w:fldCharType="begin"/>
            </w:r>
            <w:r w:rsidRPr="00F41EA1">
              <w:rPr>
                <w:rFonts w:ascii="Calibri" w:eastAsia="Calibri" w:hAnsi="Calibri"/>
                <w:sz w:val="22"/>
                <w:szCs w:val="22"/>
                <w:lang w:eastAsia="en-US"/>
              </w:rPr>
              <w:instrText xml:space="preserve"> LINK PowerPoint.Slide.8 "D:\\2015\\ABRIL\\GRÁFICAS POWER POINT\\18.- GRÁFICAS DE EXPECTATIVAS EMPRESARIALES.pptx!270" "" \a \p </w:instrText>
            </w:r>
            <w:r w:rsidRPr="00F41EA1">
              <w:rPr>
                <w:rFonts w:ascii="Calibri" w:eastAsia="Calibri" w:hAnsi="Calibri"/>
                <w:sz w:val="22"/>
                <w:szCs w:val="22"/>
                <w:lang w:eastAsia="en-US"/>
              </w:rPr>
              <w:fldChar w:fldCharType="separate"/>
            </w:r>
            <w:r w:rsidRPr="00F41EA1">
              <w:rPr>
                <w:rFonts w:ascii="Calibri" w:eastAsia="Calibri" w:hAnsi="Calibri"/>
                <w:noProof/>
                <w:sz w:val="22"/>
                <w:szCs w:val="22"/>
                <w:lang w:eastAsia="es-MX"/>
              </w:rPr>
              <w:drawing>
                <wp:inline distT="0" distB="0" distL="0" distR="0" wp14:anchorId="533B3782" wp14:editId="21CD47AD">
                  <wp:extent cx="5400040" cy="2724785"/>
                  <wp:effectExtent l="0" t="0" r="0" b="0"/>
                  <wp:docPr id="1655" name="Imagen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98" cstate="print">
                            <a:extLst>
                              <a:ext uri="{28A0092B-C50C-407E-A947-70E740481C1C}">
                                <a14:useLocalDpi xmlns:a14="http://schemas.microsoft.com/office/drawing/2010/main" val="0"/>
                              </a:ext>
                            </a:extLst>
                          </a:blip>
                          <a:srcRect l="783" t="18889" r="8607"/>
                          <a:stretch>
                            <a:fillRect/>
                          </a:stretch>
                        </pic:blipFill>
                        <pic:spPr bwMode="auto">
                          <a:xfrm>
                            <a:off x="0" y="0"/>
                            <a:ext cx="5400040" cy="2724785"/>
                          </a:xfrm>
                          <a:prstGeom prst="rect">
                            <a:avLst/>
                          </a:prstGeom>
                          <a:noFill/>
                          <a:ln>
                            <a:noFill/>
                          </a:ln>
                        </pic:spPr>
                      </pic:pic>
                    </a:graphicData>
                  </a:graphic>
                </wp:inline>
              </w:drawing>
            </w:r>
            <w:r w:rsidRPr="00F41EA1">
              <w:rPr>
                <w:rFonts w:ascii="Calibri" w:eastAsia="Calibri" w:hAnsi="Calibri"/>
                <w:sz w:val="22"/>
                <w:szCs w:val="22"/>
                <w:lang w:eastAsia="en-US"/>
              </w:rPr>
              <w:fldChar w:fldCharType="end"/>
            </w:r>
          </w:p>
        </w:tc>
      </w:tr>
      <w:tr w:rsidR="00F41EA1" w:rsidRPr="00F41EA1" w14:paraId="0E2B681A" w14:textId="77777777" w:rsidTr="00BA61DD">
        <w:tc>
          <w:tcPr>
            <w:tcW w:w="8828" w:type="dxa"/>
          </w:tcPr>
          <w:p w14:paraId="14013A6F" w14:textId="77777777" w:rsidR="00F41EA1" w:rsidRPr="00F41EA1" w:rsidRDefault="00F41EA1" w:rsidP="00F41EA1">
            <w:pPr>
              <w:jc w:val="center"/>
              <w:rPr>
                <w:rFonts w:ascii="Calibri" w:eastAsia="Calibri" w:hAnsi="Calibri"/>
                <w:sz w:val="22"/>
                <w:szCs w:val="22"/>
                <w:lang w:eastAsia="en-US"/>
              </w:rPr>
            </w:pPr>
            <w:r w:rsidRPr="00F41EA1">
              <w:rPr>
                <w:rFonts w:ascii="Calibri" w:eastAsia="Calibri" w:hAnsi="Calibri"/>
                <w:sz w:val="22"/>
                <w:szCs w:val="22"/>
                <w:lang w:eastAsia="en-US"/>
              </w:rPr>
              <w:fldChar w:fldCharType="begin"/>
            </w:r>
            <w:r w:rsidRPr="00F41EA1">
              <w:rPr>
                <w:rFonts w:ascii="Calibri" w:eastAsia="Calibri" w:hAnsi="Calibri"/>
                <w:sz w:val="22"/>
                <w:szCs w:val="22"/>
                <w:lang w:eastAsia="en-US"/>
              </w:rPr>
              <w:instrText xml:space="preserve"> LINK PowerPoint.Slide.8 "D:\\2015\\ABRIL\\GRÁFICAS POWER POINT\\18.- GRÁFICAS DE EXPECTATIVAS EMPRESARIALES.pptx!269" "" \a \p </w:instrText>
            </w:r>
            <w:r w:rsidRPr="00F41EA1">
              <w:rPr>
                <w:rFonts w:ascii="Calibri" w:eastAsia="Calibri" w:hAnsi="Calibri"/>
                <w:sz w:val="22"/>
                <w:szCs w:val="22"/>
                <w:lang w:eastAsia="en-US"/>
              </w:rPr>
              <w:fldChar w:fldCharType="separate"/>
            </w:r>
            <w:r w:rsidRPr="00F41EA1">
              <w:rPr>
                <w:rFonts w:ascii="Calibri" w:eastAsia="Calibri" w:hAnsi="Calibri"/>
                <w:noProof/>
                <w:sz w:val="22"/>
                <w:szCs w:val="22"/>
                <w:lang w:eastAsia="es-MX"/>
              </w:rPr>
              <w:drawing>
                <wp:inline distT="0" distB="0" distL="0" distR="0" wp14:anchorId="5B437C55" wp14:editId="4705A378">
                  <wp:extent cx="4763770" cy="1724025"/>
                  <wp:effectExtent l="0" t="0" r="0" b="9525"/>
                  <wp:docPr id="1656" name="Imagen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99" cstate="print">
                            <a:extLst>
                              <a:ext uri="{28A0092B-C50C-407E-A947-70E740481C1C}">
                                <a14:useLocalDpi xmlns:a14="http://schemas.microsoft.com/office/drawing/2010/main" val="0"/>
                              </a:ext>
                            </a:extLst>
                          </a:blip>
                          <a:srcRect l="7668" t="20833" r="14084" b="28889"/>
                          <a:stretch>
                            <a:fillRect/>
                          </a:stretch>
                        </pic:blipFill>
                        <pic:spPr bwMode="auto">
                          <a:xfrm>
                            <a:off x="0" y="0"/>
                            <a:ext cx="4763770" cy="1724025"/>
                          </a:xfrm>
                          <a:prstGeom prst="rect">
                            <a:avLst/>
                          </a:prstGeom>
                          <a:noFill/>
                          <a:ln>
                            <a:noFill/>
                          </a:ln>
                        </pic:spPr>
                      </pic:pic>
                    </a:graphicData>
                  </a:graphic>
                </wp:inline>
              </w:drawing>
            </w:r>
            <w:r w:rsidRPr="00F41EA1">
              <w:rPr>
                <w:rFonts w:ascii="Calibri" w:eastAsia="Calibri" w:hAnsi="Calibri"/>
                <w:sz w:val="22"/>
                <w:szCs w:val="22"/>
                <w:lang w:eastAsia="en-US"/>
              </w:rPr>
              <w:fldChar w:fldCharType="end"/>
            </w:r>
          </w:p>
        </w:tc>
      </w:tr>
    </w:tbl>
    <w:p w14:paraId="324574A1" w14:textId="77777777" w:rsidR="00F41EA1" w:rsidRPr="00F41EA1" w:rsidRDefault="00F41EA1" w:rsidP="00F41EA1">
      <w:pPr>
        <w:spacing w:after="160" w:line="259" w:lineRule="auto"/>
        <w:jc w:val="center"/>
        <w:rPr>
          <w:rFonts w:ascii="Calibri" w:eastAsia="Calibri" w:hAnsi="Calibri"/>
          <w:sz w:val="22"/>
          <w:szCs w:val="22"/>
          <w:lang w:eastAsia="en-US"/>
        </w:rPr>
      </w:pPr>
    </w:p>
    <w:p w14:paraId="2D980D65" w14:textId="77777777" w:rsidR="00F41EA1" w:rsidRPr="00F41EA1" w:rsidRDefault="00F41EA1" w:rsidP="00F41EA1">
      <w:pPr>
        <w:spacing w:after="160" w:line="259" w:lineRule="auto"/>
        <w:jc w:val="center"/>
        <w:rPr>
          <w:rFonts w:ascii="Calibri" w:eastAsia="Calibri" w:hAnsi="Calibri"/>
          <w:sz w:val="22"/>
          <w:szCs w:val="22"/>
          <w:lang w:eastAsia="en-US"/>
        </w:rPr>
      </w:pPr>
    </w:p>
    <w:p w14:paraId="3D46AB6A" w14:textId="77777777" w:rsidR="00F41EA1" w:rsidRPr="00F41EA1" w:rsidRDefault="00F41EA1" w:rsidP="00F41EA1">
      <w:pPr>
        <w:spacing w:after="360" w:line="360" w:lineRule="auto"/>
        <w:ind w:right="-159"/>
        <w:jc w:val="both"/>
        <w:rPr>
          <w:rFonts w:eastAsia="Times New Roman"/>
          <w:sz w:val="26"/>
          <w:szCs w:val="26"/>
        </w:rPr>
      </w:pPr>
      <w:r w:rsidRPr="00F41EA1">
        <w:rPr>
          <w:rFonts w:eastAsia="Times New Roman"/>
          <w:sz w:val="26"/>
          <w:szCs w:val="26"/>
        </w:rPr>
        <w:t>El comparativo anual de las expectativas empresariales sobre variables relevantes de los tres sectores se presenta en el cuadro siguiente:</w:t>
      </w:r>
    </w:p>
    <w:p w14:paraId="5B2AE589" w14:textId="77777777" w:rsidR="00F41EA1" w:rsidRPr="00F41EA1" w:rsidRDefault="00F41EA1" w:rsidP="00F41EA1">
      <w:pPr>
        <w:spacing w:after="360" w:line="360" w:lineRule="auto"/>
        <w:ind w:right="-159"/>
        <w:jc w:val="both"/>
        <w:rPr>
          <w:rFonts w:eastAsia="Times New Roman"/>
          <w:sz w:val="26"/>
          <w:szCs w:val="26"/>
        </w:rPr>
      </w:pPr>
    </w:p>
    <w:p w14:paraId="17B4A56B" w14:textId="77777777" w:rsidR="00F41EA1" w:rsidRPr="00F41EA1" w:rsidRDefault="00F41EA1" w:rsidP="00F41EA1">
      <w:pPr>
        <w:spacing w:after="360" w:line="360" w:lineRule="auto"/>
        <w:ind w:right="-159"/>
        <w:jc w:val="both"/>
        <w:rPr>
          <w:rFonts w:eastAsia="Times New Roman"/>
          <w:sz w:val="26"/>
          <w:szCs w:val="26"/>
        </w:rPr>
      </w:pPr>
    </w:p>
    <w:p w14:paraId="083ABBE3" w14:textId="77777777" w:rsidR="00F41EA1" w:rsidRPr="00F41EA1" w:rsidRDefault="00F41EA1" w:rsidP="00F41EA1">
      <w:pPr>
        <w:spacing w:after="360" w:line="360" w:lineRule="auto"/>
        <w:ind w:right="-159"/>
        <w:jc w:val="both"/>
        <w:rPr>
          <w:rFonts w:eastAsia="Times New Roman"/>
          <w:sz w:val="26"/>
          <w:szCs w:val="26"/>
        </w:rPr>
      </w:pPr>
    </w:p>
    <w:p w14:paraId="5046A7EA" w14:textId="77777777" w:rsidR="00F41EA1" w:rsidRPr="00F41EA1" w:rsidRDefault="00F41EA1" w:rsidP="00F41EA1">
      <w:pPr>
        <w:spacing w:after="360" w:line="360" w:lineRule="auto"/>
        <w:ind w:right="-159"/>
        <w:jc w:val="both"/>
        <w:rPr>
          <w:rFonts w:eastAsia="Times New Roman"/>
          <w:sz w:val="26"/>
          <w:szCs w:val="26"/>
        </w:rPr>
      </w:pPr>
    </w:p>
    <w:p w14:paraId="41A49B8B" w14:textId="77777777" w:rsidR="00F41EA1" w:rsidRPr="00F41EA1" w:rsidRDefault="00F41EA1" w:rsidP="00F41EA1">
      <w:pPr>
        <w:spacing w:after="360" w:line="360" w:lineRule="auto"/>
        <w:ind w:right="-159"/>
        <w:jc w:val="both"/>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54"/>
        <w:gridCol w:w="850"/>
        <w:gridCol w:w="725"/>
        <w:gridCol w:w="1335"/>
      </w:tblGrid>
      <w:tr w:rsidR="00F41EA1" w:rsidRPr="00F41EA1" w14:paraId="5BF8803F" w14:textId="77777777" w:rsidTr="00BA61DD">
        <w:trPr>
          <w:jc w:val="center"/>
        </w:trPr>
        <w:tc>
          <w:tcPr>
            <w:tcW w:w="8364" w:type="dxa"/>
            <w:gridSpan w:val="4"/>
            <w:tcBorders>
              <w:top w:val="nil"/>
              <w:left w:val="nil"/>
              <w:right w:val="nil"/>
            </w:tcBorders>
          </w:tcPr>
          <w:p w14:paraId="62EFEDAC" w14:textId="77777777" w:rsidR="00F41EA1" w:rsidRPr="00F41EA1" w:rsidRDefault="00F41EA1" w:rsidP="00F41EA1">
            <w:pPr>
              <w:jc w:val="center"/>
              <w:rPr>
                <w:rFonts w:eastAsia="Times New Roman"/>
                <w:b/>
                <w:sz w:val="22"/>
                <w:szCs w:val="22"/>
              </w:rPr>
            </w:pPr>
            <w:r w:rsidRPr="00F41EA1">
              <w:rPr>
                <w:rFonts w:eastAsia="Times New Roman"/>
                <w:b/>
                <w:sz w:val="22"/>
                <w:szCs w:val="22"/>
              </w:rPr>
              <w:lastRenderedPageBreak/>
              <w:t>EXPECTATIVAS EMPRESARIALES A NIVEL DE SECTOR</w:t>
            </w:r>
          </w:p>
          <w:p w14:paraId="297DD8F2" w14:textId="77777777" w:rsidR="00F41EA1" w:rsidRPr="00F41EA1" w:rsidRDefault="00F41EA1" w:rsidP="00F41EA1">
            <w:pPr>
              <w:jc w:val="center"/>
              <w:rPr>
                <w:rFonts w:eastAsia="Times New Roman"/>
                <w:b/>
                <w:sz w:val="22"/>
                <w:szCs w:val="22"/>
              </w:rPr>
            </w:pPr>
            <w:r w:rsidRPr="00F41EA1">
              <w:rPr>
                <w:rFonts w:eastAsia="Times New Roman"/>
                <w:b/>
                <w:sz w:val="22"/>
                <w:szCs w:val="22"/>
              </w:rPr>
              <w:t>CIFRAS ORIGINALES</w:t>
            </w:r>
          </w:p>
        </w:tc>
      </w:tr>
      <w:tr w:rsidR="00F41EA1" w:rsidRPr="00F41EA1" w14:paraId="7CD5C56F" w14:textId="77777777" w:rsidTr="00BA61DD">
        <w:trPr>
          <w:jc w:val="center"/>
        </w:trPr>
        <w:tc>
          <w:tcPr>
            <w:tcW w:w="5454" w:type="dxa"/>
            <w:vMerge w:val="restart"/>
            <w:vAlign w:val="center"/>
          </w:tcPr>
          <w:p w14:paraId="675CE3E6" w14:textId="77777777" w:rsidR="00F41EA1" w:rsidRPr="00F41EA1" w:rsidRDefault="00F41EA1" w:rsidP="00F41EA1">
            <w:pPr>
              <w:jc w:val="center"/>
              <w:rPr>
                <w:rFonts w:eastAsia="Times New Roman"/>
                <w:b/>
                <w:sz w:val="20"/>
                <w:szCs w:val="20"/>
              </w:rPr>
            </w:pPr>
            <w:r w:rsidRPr="00F41EA1">
              <w:rPr>
                <w:rFonts w:eastAsia="Times New Roman"/>
                <w:b/>
                <w:sz w:val="20"/>
                <w:szCs w:val="20"/>
              </w:rPr>
              <w:t>Indicadores</w:t>
            </w:r>
          </w:p>
        </w:tc>
        <w:tc>
          <w:tcPr>
            <w:tcW w:w="1575" w:type="dxa"/>
            <w:gridSpan w:val="2"/>
          </w:tcPr>
          <w:p w14:paraId="719FE7C9" w14:textId="77777777" w:rsidR="00F41EA1" w:rsidRPr="00F41EA1" w:rsidRDefault="00F41EA1" w:rsidP="00F41EA1">
            <w:pPr>
              <w:jc w:val="center"/>
              <w:rPr>
                <w:rFonts w:eastAsia="Times New Roman"/>
                <w:b/>
                <w:sz w:val="20"/>
                <w:szCs w:val="20"/>
              </w:rPr>
            </w:pPr>
            <w:r w:rsidRPr="00F41EA1">
              <w:rPr>
                <w:rFonts w:eastAsia="Times New Roman"/>
                <w:b/>
                <w:sz w:val="20"/>
                <w:szCs w:val="20"/>
              </w:rPr>
              <w:t>Marzo</w:t>
            </w:r>
          </w:p>
        </w:tc>
        <w:tc>
          <w:tcPr>
            <w:tcW w:w="1335" w:type="dxa"/>
            <w:vMerge w:val="restart"/>
          </w:tcPr>
          <w:p w14:paraId="1E8C062E" w14:textId="77777777" w:rsidR="00F41EA1" w:rsidRPr="00F41EA1" w:rsidRDefault="00F41EA1" w:rsidP="00F41EA1">
            <w:pPr>
              <w:jc w:val="center"/>
              <w:rPr>
                <w:rFonts w:eastAsia="Times New Roman"/>
                <w:b/>
                <w:sz w:val="20"/>
                <w:szCs w:val="20"/>
              </w:rPr>
            </w:pPr>
            <w:r w:rsidRPr="00F41EA1">
              <w:rPr>
                <w:rFonts w:eastAsia="Times New Roman"/>
                <w:b/>
                <w:sz w:val="20"/>
                <w:szCs w:val="20"/>
              </w:rPr>
              <w:t>Diferencia en puntos</w:t>
            </w:r>
            <w:r w:rsidRPr="00F41EA1">
              <w:rPr>
                <w:rFonts w:eastAsia="Times New Roman"/>
                <w:b/>
                <w:sz w:val="20"/>
                <w:szCs w:val="20"/>
                <w:u w:val="single"/>
                <w:vertAlign w:val="superscript"/>
              </w:rPr>
              <w:t>1</w:t>
            </w:r>
            <w:r w:rsidRPr="00F41EA1">
              <w:rPr>
                <w:rFonts w:eastAsia="Times New Roman"/>
                <w:b/>
                <w:sz w:val="20"/>
                <w:szCs w:val="20"/>
                <w:vertAlign w:val="superscript"/>
              </w:rPr>
              <w:t>/</w:t>
            </w:r>
          </w:p>
        </w:tc>
      </w:tr>
      <w:tr w:rsidR="00F41EA1" w:rsidRPr="00F41EA1" w14:paraId="7D711260" w14:textId="77777777" w:rsidTr="00BA61DD">
        <w:trPr>
          <w:jc w:val="center"/>
        </w:trPr>
        <w:tc>
          <w:tcPr>
            <w:tcW w:w="5454" w:type="dxa"/>
            <w:vMerge/>
            <w:tcBorders>
              <w:bottom w:val="single" w:sz="4" w:space="0" w:color="auto"/>
            </w:tcBorders>
          </w:tcPr>
          <w:p w14:paraId="30043267" w14:textId="77777777" w:rsidR="00F41EA1" w:rsidRPr="00F41EA1" w:rsidRDefault="00F41EA1" w:rsidP="00F41EA1">
            <w:pPr>
              <w:jc w:val="both"/>
              <w:rPr>
                <w:rFonts w:eastAsia="Times New Roman"/>
                <w:b/>
                <w:sz w:val="20"/>
                <w:szCs w:val="20"/>
              </w:rPr>
            </w:pPr>
          </w:p>
        </w:tc>
        <w:tc>
          <w:tcPr>
            <w:tcW w:w="850" w:type="dxa"/>
            <w:tcBorders>
              <w:bottom w:val="single" w:sz="4" w:space="0" w:color="auto"/>
            </w:tcBorders>
            <w:vAlign w:val="center"/>
          </w:tcPr>
          <w:p w14:paraId="2C0E75A8" w14:textId="77777777" w:rsidR="00F41EA1" w:rsidRPr="00F41EA1" w:rsidRDefault="00F41EA1" w:rsidP="00F41EA1">
            <w:pPr>
              <w:jc w:val="center"/>
              <w:rPr>
                <w:rFonts w:eastAsia="Times New Roman"/>
                <w:b/>
                <w:sz w:val="20"/>
                <w:szCs w:val="20"/>
              </w:rPr>
            </w:pPr>
            <w:r w:rsidRPr="00F41EA1">
              <w:rPr>
                <w:rFonts w:eastAsia="Times New Roman"/>
                <w:b/>
                <w:sz w:val="20"/>
                <w:szCs w:val="20"/>
              </w:rPr>
              <w:t>2014</w:t>
            </w:r>
          </w:p>
        </w:tc>
        <w:tc>
          <w:tcPr>
            <w:tcW w:w="725" w:type="dxa"/>
            <w:tcBorders>
              <w:bottom w:val="single" w:sz="4" w:space="0" w:color="auto"/>
            </w:tcBorders>
            <w:vAlign w:val="center"/>
          </w:tcPr>
          <w:p w14:paraId="41C47883" w14:textId="77777777" w:rsidR="00F41EA1" w:rsidRPr="00F41EA1" w:rsidRDefault="00F41EA1" w:rsidP="00F41EA1">
            <w:pPr>
              <w:jc w:val="center"/>
              <w:rPr>
                <w:rFonts w:eastAsia="Times New Roman"/>
                <w:b/>
                <w:sz w:val="20"/>
                <w:szCs w:val="20"/>
              </w:rPr>
            </w:pPr>
            <w:r w:rsidRPr="00F41EA1">
              <w:rPr>
                <w:rFonts w:eastAsia="Times New Roman"/>
                <w:b/>
                <w:sz w:val="20"/>
                <w:szCs w:val="20"/>
              </w:rPr>
              <w:t>2015</w:t>
            </w:r>
            <w:r w:rsidRPr="00F41EA1">
              <w:rPr>
                <w:rFonts w:eastAsia="Times New Roman"/>
                <w:b/>
                <w:sz w:val="20"/>
                <w:szCs w:val="20"/>
                <w:u w:val="single"/>
                <w:vertAlign w:val="superscript"/>
              </w:rPr>
              <w:t>p</w:t>
            </w:r>
            <w:r w:rsidRPr="00F41EA1">
              <w:rPr>
                <w:rFonts w:eastAsia="Times New Roman"/>
                <w:b/>
                <w:sz w:val="20"/>
                <w:szCs w:val="20"/>
                <w:vertAlign w:val="superscript"/>
              </w:rPr>
              <w:t>/</w:t>
            </w:r>
          </w:p>
        </w:tc>
        <w:tc>
          <w:tcPr>
            <w:tcW w:w="1335" w:type="dxa"/>
            <w:vMerge/>
            <w:tcBorders>
              <w:bottom w:val="single" w:sz="4" w:space="0" w:color="auto"/>
            </w:tcBorders>
          </w:tcPr>
          <w:p w14:paraId="29500232" w14:textId="77777777" w:rsidR="00F41EA1" w:rsidRPr="00F41EA1" w:rsidRDefault="00F41EA1" w:rsidP="00F41EA1">
            <w:pPr>
              <w:jc w:val="center"/>
              <w:rPr>
                <w:rFonts w:eastAsia="Times New Roman"/>
                <w:b/>
                <w:sz w:val="20"/>
                <w:szCs w:val="20"/>
              </w:rPr>
            </w:pPr>
          </w:p>
        </w:tc>
      </w:tr>
      <w:tr w:rsidR="00F41EA1" w:rsidRPr="00F41EA1" w14:paraId="6182648E" w14:textId="77777777" w:rsidTr="00BA61DD">
        <w:trPr>
          <w:jc w:val="center"/>
        </w:trPr>
        <w:tc>
          <w:tcPr>
            <w:tcW w:w="5454" w:type="dxa"/>
            <w:tcBorders>
              <w:bottom w:val="nil"/>
            </w:tcBorders>
          </w:tcPr>
          <w:p w14:paraId="75DAE163" w14:textId="77777777" w:rsidR="00F41EA1" w:rsidRPr="00F41EA1" w:rsidRDefault="00F41EA1" w:rsidP="00F41EA1">
            <w:pPr>
              <w:rPr>
                <w:rFonts w:eastAsia="Times New Roman"/>
                <w:b/>
                <w:sz w:val="20"/>
                <w:szCs w:val="20"/>
              </w:rPr>
            </w:pPr>
            <w:r w:rsidRPr="00F41EA1">
              <w:rPr>
                <w:rFonts w:eastAsia="Times New Roman"/>
                <w:b/>
                <w:sz w:val="20"/>
                <w:szCs w:val="20"/>
              </w:rPr>
              <w:t>Expectativas Empresariales del Sector Manufacturero</w:t>
            </w:r>
          </w:p>
        </w:tc>
        <w:tc>
          <w:tcPr>
            <w:tcW w:w="850" w:type="dxa"/>
            <w:tcBorders>
              <w:bottom w:val="nil"/>
            </w:tcBorders>
          </w:tcPr>
          <w:p w14:paraId="69057E2F" w14:textId="77777777" w:rsidR="00F41EA1" w:rsidRPr="00F41EA1" w:rsidRDefault="00F41EA1" w:rsidP="00F41EA1">
            <w:pPr>
              <w:jc w:val="center"/>
              <w:rPr>
                <w:rFonts w:eastAsia="Times New Roman"/>
                <w:sz w:val="20"/>
                <w:szCs w:val="20"/>
              </w:rPr>
            </w:pPr>
          </w:p>
        </w:tc>
        <w:tc>
          <w:tcPr>
            <w:tcW w:w="725" w:type="dxa"/>
            <w:tcBorders>
              <w:bottom w:val="nil"/>
            </w:tcBorders>
          </w:tcPr>
          <w:p w14:paraId="12C6CE95" w14:textId="77777777" w:rsidR="00F41EA1" w:rsidRPr="00F41EA1" w:rsidRDefault="00F41EA1" w:rsidP="00F41EA1">
            <w:pPr>
              <w:jc w:val="center"/>
              <w:rPr>
                <w:rFonts w:eastAsia="Times New Roman"/>
                <w:sz w:val="20"/>
                <w:szCs w:val="20"/>
              </w:rPr>
            </w:pPr>
          </w:p>
        </w:tc>
        <w:tc>
          <w:tcPr>
            <w:tcW w:w="1335" w:type="dxa"/>
            <w:tcBorders>
              <w:bottom w:val="nil"/>
            </w:tcBorders>
          </w:tcPr>
          <w:p w14:paraId="6FEFE71E" w14:textId="77777777" w:rsidR="00F41EA1" w:rsidRPr="00F41EA1" w:rsidRDefault="00F41EA1" w:rsidP="00F41EA1">
            <w:pPr>
              <w:ind w:right="284"/>
              <w:jc w:val="right"/>
              <w:rPr>
                <w:rFonts w:eastAsia="Times New Roman"/>
                <w:sz w:val="20"/>
                <w:szCs w:val="20"/>
              </w:rPr>
            </w:pPr>
          </w:p>
        </w:tc>
      </w:tr>
      <w:tr w:rsidR="00F41EA1" w:rsidRPr="00F41EA1" w14:paraId="39C3A73D" w14:textId="77777777" w:rsidTr="00BA61DD">
        <w:trPr>
          <w:jc w:val="center"/>
        </w:trPr>
        <w:tc>
          <w:tcPr>
            <w:tcW w:w="5454" w:type="dxa"/>
            <w:tcBorders>
              <w:top w:val="nil"/>
              <w:bottom w:val="nil"/>
            </w:tcBorders>
          </w:tcPr>
          <w:p w14:paraId="625882C3"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Producción</w:t>
            </w:r>
          </w:p>
        </w:tc>
        <w:tc>
          <w:tcPr>
            <w:tcW w:w="850" w:type="dxa"/>
            <w:tcBorders>
              <w:top w:val="nil"/>
              <w:bottom w:val="nil"/>
            </w:tcBorders>
          </w:tcPr>
          <w:p w14:paraId="789D513F" w14:textId="77777777" w:rsidR="00F41EA1" w:rsidRPr="00F41EA1" w:rsidRDefault="00F41EA1" w:rsidP="00F41EA1">
            <w:pPr>
              <w:jc w:val="center"/>
              <w:rPr>
                <w:rFonts w:eastAsia="Times New Roman"/>
                <w:sz w:val="20"/>
                <w:szCs w:val="20"/>
              </w:rPr>
            </w:pPr>
            <w:r w:rsidRPr="00F41EA1">
              <w:rPr>
                <w:rFonts w:eastAsia="Times New Roman"/>
                <w:sz w:val="20"/>
                <w:szCs w:val="20"/>
              </w:rPr>
              <w:t>56.7</w:t>
            </w:r>
          </w:p>
        </w:tc>
        <w:tc>
          <w:tcPr>
            <w:tcW w:w="725" w:type="dxa"/>
            <w:tcBorders>
              <w:top w:val="nil"/>
              <w:bottom w:val="nil"/>
            </w:tcBorders>
          </w:tcPr>
          <w:p w14:paraId="4642D8FE" w14:textId="77777777" w:rsidR="00F41EA1" w:rsidRPr="00F41EA1" w:rsidRDefault="00F41EA1" w:rsidP="00F41EA1">
            <w:pPr>
              <w:jc w:val="center"/>
              <w:rPr>
                <w:rFonts w:eastAsia="Times New Roman"/>
                <w:sz w:val="20"/>
                <w:szCs w:val="20"/>
              </w:rPr>
            </w:pPr>
            <w:r w:rsidRPr="00F41EA1">
              <w:rPr>
                <w:rFonts w:eastAsia="Times New Roman"/>
                <w:sz w:val="20"/>
                <w:szCs w:val="20"/>
              </w:rPr>
              <w:t>55.6</w:t>
            </w:r>
          </w:p>
        </w:tc>
        <w:tc>
          <w:tcPr>
            <w:tcW w:w="1335" w:type="dxa"/>
            <w:tcBorders>
              <w:top w:val="nil"/>
              <w:bottom w:val="nil"/>
            </w:tcBorders>
          </w:tcPr>
          <w:p w14:paraId="0D8B72E6"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-2.1</w:t>
            </w:r>
          </w:p>
        </w:tc>
      </w:tr>
      <w:tr w:rsidR="00F41EA1" w:rsidRPr="00F41EA1" w14:paraId="05604FAE" w14:textId="77777777" w:rsidTr="00BA61DD">
        <w:trPr>
          <w:jc w:val="center"/>
        </w:trPr>
        <w:tc>
          <w:tcPr>
            <w:tcW w:w="5454" w:type="dxa"/>
            <w:tcBorders>
              <w:top w:val="nil"/>
              <w:bottom w:val="nil"/>
            </w:tcBorders>
          </w:tcPr>
          <w:p w14:paraId="21F3A627"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Utilización de planta y equipo</w:t>
            </w:r>
          </w:p>
        </w:tc>
        <w:tc>
          <w:tcPr>
            <w:tcW w:w="850" w:type="dxa"/>
            <w:tcBorders>
              <w:top w:val="nil"/>
              <w:bottom w:val="nil"/>
            </w:tcBorders>
          </w:tcPr>
          <w:p w14:paraId="1B39FB97" w14:textId="77777777" w:rsidR="00F41EA1" w:rsidRPr="00F41EA1" w:rsidRDefault="00F41EA1" w:rsidP="00F41EA1">
            <w:pPr>
              <w:jc w:val="center"/>
              <w:rPr>
                <w:rFonts w:eastAsia="Times New Roman"/>
                <w:sz w:val="20"/>
                <w:szCs w:val="20"/>
              </w:rPr>
            </w:pPr>
            <w:r w:rsidRPr="00F41EA1">
              <w:rPr>
                <w:rFonts w:eastAsia="Times New Roman"/>
                <w:sz w:val="20"/>
                <w:szCs w:val="20"/>
              </w:rPr>
              <w:t>55.8</w:t>
            </w:r>
          </w:p>
        </w:tc>
        <w:tc>
          <w:tcPr>
            <w:tcW w:w="725" w:type="dxa"/>
            <w:tcBorders>
              <w:top w:val="nil"/>
              <w:bottom w:val="nil"/>
            </w:tcBorders>
          </w:tcPr>
          <w:p w14:paraId="1A758608" w14:textId="77777777" w:rsidR="00F41EA1" w:rsidRPr="00F41EA1" w:rsidRDefault="00F41EA1" w:rsidP="00F41EA1">
            <w:pPr>
              <w:jc w:val="center"/>
              <w:rPr>
                <w:rFonts w:eastAsia="Times New Roman"/>
                <w:sz w:val="20"/>
                <w:szCs w:val="20"/>
              </w:rPr>
            </w:pPr>
            <w:r w:rsidRPr="00F41EA1">
              <w:rPr>
                <w:rFonts w:eastAsia="Times New Roman"/>
                <w:sz w:val="20"/>
                <w:szCs w:val="20"/>
              </w:rPr>
              <w:t>55.1</w:t>
            </w:r>
          </w:p>
        </w:tc>
        <w:tc>
          <w:tcPr>
            <w:tcW w:w="1335" w:type="dxa"/>
            <w:tcBorders>
              <w:top w:val="nil"/>
              <w:bottom w:val="nil"/>
            </w:tcBorders>
          </w:tcPr>
          <w:p w14:paraId="29A3A0E6"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-0.7</w:t>
            </w:r>
          </w:p>
        </w:tc>
      </w:tr>
      <w:tr w:rsidR="00F41EA1" w:rsidRPr="00F41EA1" w14:paraId="1ED53F5B" w14:textId="77777777" w:rsidTr="00BA61DD">
        <w:trPr>
          <w:jc w:val="center"/>
        </w:trPr>
        <w:tc>
          <w:tcPr>
            <w:tcW w:w="5454" w:type="dxa"/>
            <w:tcBorders>
              <w:top w:val="nil"/>
              <w:bottom w:val="nil"/>
            </w:tcBorders>
          </w:tcPr>
          <w:p w14:paraId="5ADD7B8F"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Demanda nacional de sus productos</w:t>
            </w:r>
          </w:p>
        </w:tc>
        <w:tc>
          <w:tcPr>
            <w:tcW w:w="850" w:type="dxa"/>
            <w:tcBorders>
              <w:top w:val="nil"/>
              <w:bottom w:val="nil"/>
            </w:tcBorders>
          </w:tcPr>
          <w:p w14:paraId="7DDA035F" w14:textId="77777777" w:rsidR="00F41EA1" w:rsidRPr="00F41EA1" w:rsidRDefault="00F41EA1" w:rsidP="00F41EA1">
            <w:pPr>
              <w:jc w:val="center"/>
              <w:rPr>
                <w:rFonts w:eastAsia="Times New Roman"/>
                <w:sz w:val="20"/>
                <w:szCs w:val="20"/>
              </w:rPr>
            </w:pPr>
            <w:r w:rsidRPr="00F41EA1">
              <w:rPr>
                <w:rFonts w:eastAsia="Times New Roman"/>
                <w:sz w:val="20"/>
                <w:szCs w:val="20"/>
              </w:rPr>
              <w:t>56.3</w:t>
            </w:r>
          </w:p>
        </w:tc>
        <w:tc>
          <w:tcPr>
            <w:tcW w:w="725" w:type="dxa"/>
            <w:tcBorders>
              <w:top w:val="nil"/>
              <w:bottom w:val="nil"/>
            </w:tcBorders>
          </w:tcPr>
          <w:p w14:paraId="2FC05F54" w14:textId="77777777" w:rsidR="00F41EA1" w:rsidRPr="00F41EA1" w:rsidRDefault="00F41EA1" w:rsidP="00F41EA1">
            <w:pPr>
              <w:jc w:val="center"/>
              <w:rPr>
                <w:rFonts w:eastAsia="Times New Roman"/>
                <w:sz w:val="20"/>
                <w:szCs w:val="20"/>
              </w:rPr>
            </w:pPr>
            <w:r w:rsidRPr="00F41EA1">
              <w:rPr>
                <w:rFonts w:eastAsia="Times New Roman"/>
                <w:sz w:val="20"/>
                <w:szCs w:val="20"/>
              </w:rPr>
              <w:t>55.0</w:t>
            </w:r>
          </w:p>
        </w:tc>
        <w:tc>
          <w:tcPr>
            <w:tcW w:w="1335" w:type="dxa"/>
            <w:tcBorders>
              <w:top w:val="nil"/>
              <w:bottom w:val="nil"/>
            </w:tcBorders>
          </w:tcPr>
          <w:p w14:paraId="0215F143"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-1.3</w:t>
            </w:r>
          </w:p>
        </w:tc>
      </w:tr>
      <w:tr w:rsidR="00F41EA1" w:rsidRPr="00F41EA1" w14:paraId="147E66F4" w14:textId="77777777" w:rsidTr="00BA61DD">
        <w:trPr>
          <w:jc w:val="center"/>
        </w:trPr>
        <w:tc>
          <w:tcPr>
            <w:tcW w:w="5454" w:type="dxa"/>
            <w:tcBorders>
              <w:top w:val="nil"/>
              <w:bottom w:val="nil"/>
            </w:tcBorders>
          </w:tcPr>
          <w:p w14:paraId="75EC3962"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Exportaciones</w:t>
            </w:r>
          </w:p>
        </w:tc>
        <w:tc>
          <w:tcPr>
            <w:tcW w:w="850" w:type="dxa"/>
            <w:tcBorders>
              <w:top w:val="nil"/>
              <w:bottom w:val="nil"/>
            </w:tcBorders>
          </w:tcPr>
          <w:p w14:paraId="026265B5" w14:textId="77777777" w:rsidR="00F41EA1" w:rsidRPr="00F41EA1" w:rsidRDefault="00F41EA1" w:rsidP="00F41EA1">
            <w:pPr>
              <w:jc w:val="center"/>
              <w:rPr>
                <w:rFonts w:eastAsia="Times New Roman"/>
                <w:sz w:val="20"/>
                <w:szCs w:val="20"/>
              </w:rPr>
            </w:pPr>
            <w:r w:rsidRPr="00F41EA1">
              <w:rPr>
                <w:rFonts w:eastAsia="Times New Roman"/>
                <w:sz w:val="20"/>
                <w:szCs w:val="20"/>
              </w:rPr>
              <w:t>54.6</w:t>
            </w:r>
          </w:p>
        </w:tc>
        <w:tc>
          <w:tcPr>
            <w:tcW w:w="725" w:type="dxa"/>
            <w:tcBorders>
              <w:top w:val="nil"/>
              <w:bottom w:val="nil"/>
            </w:tcBorders>
          </w:tcPr>
          <w:p w14:paraId="13E48309" w14:textId="77777777" w:rsidR="00F41EA1" w:rsidRPr="00F41EA1" w:rsidRDefault="00F41EA1" w:rsidP="00F41EA1">
            <w:pPr>
              <w:jc w:val="center"/>
              <w:rPr>
                <w:rFonts w:eastAsia="Times New Roman"/>
                <w:sz w:val="20"/>
                <w:szCs w:val="20"/>
              </w:rPr>
            </w:pPr>
            <w:r w:rsidRPr="00F41EA1">
              <w:rPr>
                <w:rFonts w:eastAsia="Times New Roman"/>
                <w:sz w:val="20"/>
                <w:szCs w:val="20"/>
              </w:rPr>
              <w:t>55.1</w:t>
            </w:r>
          </w:p>
        </w:tc>
        <w:tc>
          <w:tcPr>
            <w:tcW w:w="1335" w:type="dxa"/>
            <w:tcBorders>
              <w:top w:val="nil"/>
              <w:bottom w:val="nil"/>
            </w:tcBorders>
          </w:tcPr>
          <w:p w14:paraId="40839F2D"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0.5</w:t>
            </w:r>
          </w:p>
        </w:tc>
      </w:tr>
      <w:tr w:rsidR="00F41EA1" w:rsidRPr="00F41EA1" w14:paraId="32A4A8C1" w14:textId="77777777" w:rsidTr="00BA61DD">
        <w:trPr>
          <w:jc w:val="center"/>
        </w:trPr>
        <w:tc>
          <w:tcPr>
            <w:tcW w:w="5454" w:type="dxa"/>
            <w:tcBorders>
              <w:top w:val="nil"/>
              <w:bottom w:val="nil"/>
            </w:tcBorders>
          </w:tcPr>
          <w:p w14:paraId="50405DCE"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Personal ocupado</w:t>
            </w:r>
          </w:p>
        </w:tc>
        <w:tc>
          <w:tcPr>
            <w:tcW w:w="850" w:type="dxa"/>
            <w:tcBorders>
              <w:top w:val="nil"/>
              <w:bottom w:val="nil"/>
            </w:tcBorders>
          </w:tcPr>
          <w:p w14:paraId="505B8665" w14:textId="77777777" w:rsidR="00F41EA1" w:rsidRPr="00F41EA1" w:rsidRDefault="00F41EA1" w:rsidP="00F41EA1">
            <w:pPr>
              <w:jc w:val="center"/>
              <w:rPr>
                <w:rFonts w:eastAsia="Times New Roman"/>
                <w:sz w:val="20"/>
                <w:szCs w:val="20"/>
              </w:rPr>
            </w:pPr>
            <w:r w:rsidRPr="00F41EA1">
              <w:rPr>
                <w:rFonts w:eastAsia="Times New Roman"/>
                <w:sz w:val="20"/>
                <w:szCs w:val="20"/>
              </w:rPr>
              <w:t>51.6</w:t>
            </w:r>
          </w:p>
        </w:tc>
        <w:tc>
          <w:tcPr>
            <w:tcW w:w="725" w:type="dxa"/>
            <w:tcBorders>
              <w:top w:val="nil"/>
              <w:bottom w:val="nil"/>
            </w:tcBorders>
          </w:tcPr>
          <w:p w14:paraId="623FB35F" w14:textId="77777777" w:rsidR="00F41EA1" w:rsidRPr="00F41EA1" w:rsidRDefault="00F41EA1" w:rsidP="00F41EA1">
            <w:pPr>
              <w:jc w:val="center"/>
              <w:rPr>
                <w:rFonts w:eastAsia="Times New Roman"/>
                <w:sz w:val="20"/>
                <w:szCs w:val="20"/>
              </w:rPr>
            </w:pPr>
            <w:r w:rsidRPr="00F41EA1">
              <w:rPr>
                <w:rFonts w:eastAsia="Times New Roman"/>
                <w:sz w:val="20"/>
                <w:szCs w:val="20"/>
              </w:rPr>
              <w:t>52.8</w:t>
            </w:r>
          </w:p>
        </w:tc>
        <w:tc>
          <w:tcPr>
            <w:tcW w:w="1335" w:type="dxa"/>
            <w:tcBorders>
              <w:top w:val="nil"/>
              <w:bottom w:val="nil"/>
            </w:tcBorders>
          </w:tcPr>
          <w:p w14:paraId="40D125D1"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1.1</w:t>
            </w:r>
          </w:p>
        </w:tc>
      </w:tr>
      <w:tr w:rsidR="00F41EA1" w:rsidRPr="00F41EA1" w14:paraId="22494162" w14:textId="77777777" w:rsidTr="00BA61DD">
        <w:trPr>
          <w:jc w:val="center"/>
        </w:trPr>
        <w:tc>
          <w:tcPr>
            <w:tcW w:w="5454" w:type="dxa"/>
            <w:tcBorders>
              <w:top w:val="nil"/>
              <w:bottom w:val="nil"/>
            </w:tcBorders>
          </w:tcPr>
          <w:p w14:paraId="71EAC82E"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Inversión en planta y equipo</w:t>
            </w:r>
          </w:p>
        </w:tc>
        <w:tc>
          <w:tcPr>
            <w:tcW w:w="850" w:type="dxa"/>
            <w:tcBorders>
              <w:top w:val="nil"/>
              <w:bottom w:val="nil"/>
            </w:tcBorders>
          </w:tcPr>
          <w:p w14:paraId="570E8545" w14:textId="77777777" w:rsidR="00F41EA1" w:rsidRPr="00F41EA1" w:rsidRDefault="00F41EA1" w:rsidP="00F41EA1">
            <w:pPr>
              <w:jc w:val="center"/>
              <w:rPr>
                <w:rFonts w:eastAsia="Times New Roman"/>
                <w:sz w:val="20"/>
                <w:szCs w:val="20"/>
              </w:rPr>
            </w:pPr>
            <w:r w:rsidRPr="00F41EA1">
              <w:rPr>
                <w:rFonts w:eastAsia="Times New Roman"/>
                <w:sz w:val="20"/>
                <w:szCs w:val="20"/>
              </w:rPr>
              <w:t>55.1</w:t>
            </w:r>
          </w:p>
        </w:tc>
        <w:tc>
          <w:tcPr>
            <w:tcW w:w="725" w:type="dxa"/>
            <w:tcBorders>
              <w:top w:val="nil"/>
              <w:bottom w:val="nil"/>
            </w:tcBorders>
          </w:tcPr>
          <w:p w14:paraId="631B8BF2" w14:textId="77777777" w:rsidR="00F41EA1" w:rsidRPr="00F41EA1" w:rsidRDefault="00F41EA1" w:rsidP="00F41EA1">
            <w:pPr>
              <w:jc w:val="center"/>
              <w:rPr>
                <w:rFonts w:eastAsia="Times New Roman"/>
                <w:sz w:val="20"/>
                <w:szCs w:val="20"/>
              </w:rPr>
            </w:pPr>
            <w:r w:rsidRPr="00F41EA1">
              <w:rPr>
                <w:rFonts w:eastAsia="Times New Roman"/>
                <w:sz w:val="20"/>
                <w:szCs w:val="20"/>
              </w:rPr>
              <w:t>52.9</w:t>
            </w:r>
          </w:p>
        </w:tc>
        <w:tc>
          <w:tcPr>
            <w:tcW w:w="1335" w:type="dxa"/>
            <w:tcBorders>
              <w:top w:val="nil"/>
              <w:bottom w:val="nil"/>
            </w:tcBorders>
          </w:tcPr>
          <w:p w14:paraId="32D4A1A0"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-2.2</w:t>
            </w:r>
          </w:p>
        </w:tc>
      </w:tr>
      <w:tr w:rsidR="00F41EA1" w:rsidRPr="00F41EA1" w14:paraId="4CC35B06" w14:textId="77777777" w:rsidTr="00BA61DD">
        <w:trPr>
          <w:jc w:val="center"/>
        </w:trPr>
        <w:tc>
          <w:tcPr>
            <w:tcW w:w="5454" w:type="dxa"/>
            <w:tcBorders>
              <w:top w:val="nil"/>
              <w:bottom w:val="nil"/>
            </w:tcBorders>
          </w:tcPr>
          <w:p w14:paraId="6F5E004D"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Inventarios de productos terminados</w:t>
            </w:r>
          </w:p>
        </w:tc>
        <w:tc>
          <w:tcPr>
            <w:tcW w:w="850" w:type="dxa"/>
            <w:tcBorders>
              <w:top w:val="nil"/>
              <w:bottom w:val="nil"/>
            </w:tcBorders>
          </w:tcPr>
          <w:p w14:paraId="043E708E" w14:textId="77777777" w:rsidR="00F41EA1" w:rsidRPr="00F41EA1" w:rsidRDefault="00F41EA1" w:rsidP="00F41EA1">
            <w:pPr>
              <w:jc w:val="center"/>
              <w:rPr>
                <w:rFonts w:eastAsia="Times New Roman"/>
                <w:sz w:val="20"/>
                <w:szCs w:val="20"/>
              </w:rPr>
            </w:pPr>
            <w:r w:rsidRPr="00F41EA1">
              <w:rPr>
                <w:rFonts w:eastAsia="Times New Roman"/>
                <w:sz w:val="20"/>
                <w:szCs w:val="20"/>
              </w:rPr>
              <w:t>53.8</w:t>
            </w:r>
          </w:p>
        </w:tc>
        <w:tc>
          <w:tcPr>
            <w:tcW w:w="725" w:type="dxa"/>
            <w:tcBorders>
              <w:top w:val="nil"/>
              <w:bottom w:val="nil"/>
            </w:tcBorders>
          </w:tcPr>
          <w:p w14:paraId="6A709E52" w14:textId="77777777" w:rsidR="00F41EA1" w:rsidRPr="00F41EA1" w:rsidRDefault="00F41EA1" w:rsidP="00F41EA1">
            <w:pPr>
              <w:jc w:val="center"/>
              <w:rPr>
                <w:rFonts w:eastAsia="Times New Roman"/>
                <w:sz w:val="20"/>
                <w:szCs w:val="20"/>
              </w:rPr>
            </w:pPr>
            <w:r w:rsidRPr="00F41EA1">
              <w:rPr>
                <w:rFonts w:eastAsia="Times New Roman"/>
                <w:sz w:val="20"/>
                <w:szCs w:val="20"/>
              </w:rPr>
              <w:t>52.6</w:t>
            </w:r>
          </w:p>
        </w:tc>
        <w:tc>
          <w:tcPr>
            <w:tcW w:w="1335" w:type="dxa"/>
            <w:tcBorders>
              <w:top w:val="nil"/>
              <w:bottom w:val="nil"/>
            </w:tcBorders>
          </w:tcPr>
          <w:p w14:paraId="7D76AC77"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-1.1</w:t>
            </w:r>
          </w:p>
        </w:tc>
      </w:tr>
      <w:tr w:rsidR="00F41EA1" w:rsidRPr="00F41EA1" w14:paraId="7CBCFBF0" w14:textId="77777777" w:rsidTr="00BA61DD">
        <w:trPr>
          <w:jc w:val="center"/>
        </w:trPr>
        <w:tc>
          <w:tcPr>
            <w:tcW w:w="5454" w:type="dxa"/>
            <w:tcBorders>
              <w:top w:val="nil"/>
              <w:bottom w:val="nil"/>
            </w:tcBorders>
          </w:tcPr>
          <w:p w14:paraId="7D87D084"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 xml:space="preserve">Precios de venta </w:t>
            </w:r>
          </w:p>
        </w:tc>
        <w:tc>
          <w:tcPr>
            <w:tcW w:w="850" w:type="dxa"/>
            <w:tcBorders>
              <w:top w:val="nil"/>
              <w:bottom w:val="nil"/>
            </w:tcBorders>
          </w:tcPr>
          <w:p w14:paraId="5E5741E6" w14:textId="77777777" w:rsidR="00F41EA1" w:rsidRPr="00F41EA1" w:rsidRDefault="00F41EA1" w:rsidP="00F41EA1">
            <w:pPr>
              <w:jc w:val="center"/>
              <w:rPr>
                <w:rFonts w:eastAsia="Times New Roman"/>
                <w:sz w:val="20"/>
                <w:szCs w:val="20"/>
              </w:rPr>
            </w:pPr>
            <w:r w:rsidRPr="00F41EA1">
              <w:rPr>
                <w:rFonts w:eastAsia="Times New Roman"/>
                <w:sz w:val="20"/>
                <w:szCs w:val="20"/>
              </w:rPr>
              <w:t>53.5</w:t>
            </w:r>
          </w:p>
        </w:tc>
        <w:tc>
          <w:tcPr>
            <w:tcW w:w="725" w:type="dxa"/>
            <w:tcBorders>
              <w:top w:val="nil"/>
              <w:bottom w:val="nil"/>
            </w:tcBorders>
          </w:tcPr>
          <w:p w14:paraId="54880EC3" w14:textId="77777777" w:rsidR="00F41EA1" w:rsidRPr="00F41EA1" w:rsidRDefault="00F41EA1" w:rsidP="00F41EA1">
            <w:pPr>
              <w:jc w:val="center"/>
              <w:rPr>
                <w:rFonts w:eastAsia="Times New Roman"/>
                <w:sz w:val="20"/>
                <w:szCs w:val="20"/>
              </w:rPr>
            </w:pPr>
            <w:r w:rsidRPr="00F41EA1">
              <w:rPr>
                <w:rFonts w:eastAsia="Times New Roman"/>
                <w:sz w:val="20"/>
                <w:szCs w:val="20"/>
              </w:rPr>
              <w:t>54.7</w:t>
            </w:r>
          </w:p>
        </w:tc>
        <w:tc>
          <w:tcPr>
            <w:tcW w:w="1335" w:type="dxa"/>
            <w:tcBorders>
              <w:top w:val="nil"/>
              <w:bottom w:val="nil"/>
            </w:tcBorders>
          </w:tcPr>
          <w:p w14:paraId="02AB3280"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1.2</w:t>
            </w:r>
          </w:p>
        </w:tc>
      </w:tr>
      <w:tr w:rsidR="00F41EA1" w:rsidRPr="00F41EA1" w14:paraId="2BB57DB0" w14:textId="77777777" w:rsidTr="00BA61DD">
        <w:trPr>
          <w:jc w:val="center"/>
        </w:trPr>
        <w:tc>
          <w:tcPr>
            <w:tcW w:w="5454" w:type="dxa"/>
            <w:tcBorders>
              <w:top w:val="nil"/>
              <w:bottom w:val="nil"/>
            </w:tcBorders>
          </w:tcPr>
          <w:p w14:paraId="791A232B" w14:textId="77777777" w:rsidR="00F41EA1" w:rsidRPr="00F41EA1" w:rsidRDefault="00F41EA1" w:rsidP="003B27DE">
            <w:pPr>
              <w:numPr>
                <w:ilvl w:val="0"/>
                <w:numId w:val="49"/>
              </w:numPr>
              <w:rPr>
                <w:rFonts w:eastAsia="Times New Roman"/>
                <w:sz w:val="20"/>
                <w:szCs w:val="20"/>
              </w:rPr>
            </w:pPr>
            <w:r w:rsidRPr="00F41EA1">
              <w:rPr>
                <w:rFonts w:eastAsia="Times New Roman"/>
                <w:sz w:val="20"/>
                <w:szCs w:val="20"/>
              </w:rPr>
              <w:t>Precios de insumos</w:t>
            </w:r>
          </w:p>
        </w:tc>
        <w:tc>
          <w:tcPr>
            <w:tcW w:w="850" w:type="dxa"/>
            <w:tcBorders>
              <w:top w:val="nil"/>
              <w:bottom w:val="nil"/>
            </w:tcBorders>
          </w:tcPr>
          <w:p w14:paraId="7AC418A3" w14:textId="77777777" w:rsidR="00F41EA1" w:rsidRPr="00F41EA1" w:rsidRDefault="00F41EA1" w:rsidP="00F41EA1">
            <w:pPr>
              <w:jc w:val="center"/>
              <w:rPr>
                <w:rFonts w:eastAsia="Times New Roman"/>
                <w:sz w:val="20"/>
                <w:szCs w:val="20"/>
              </w:rPr>
            </w:pPr>
            <w:r w:rsidRPr="00F41EA1">
              <w:rPr>
                <w:rFonts w:eastAsia="Times New Roman"/>
                <w:sz w:val="20"/>
                <w:szCs w:val="20"/>
              </w:rPr>
              <w:t>53.8</w:t>
            </w:r>
          </w:p>
        </w:tc>
        <w:tc>
          <w:tcPr>
            <w:tcW w:w="725" w:type="dxa"/>
            <w:tcBorders>
              <w:top w:val="nil"/>
              <w:bottom w:val="nil"/>
            </w:tcBorders>
          </w:tcPr>
          <w:p w14:paraId="4FF21455" w14:textId="77777777" w:rsidR="00F41EA1" w:rsidRPr="00F41EA1" w:rsidRDefault="00F41EA1" w:rsidP="00F41EA1">
            <w:pPr>
              <w:jc w:val="center"/>
              <w:rPr>
                <w:rFonts w:eastAsia="Times New Roman"/>
                <w:sz w:val="20"/>
                <w:szCs w:val="20"/>
              </w:rPr>
            </w:pPr>
            <w:r w:rsidRPr="00F41EA1">
              <w:rPr>
                <w:rFonts w:eastAsia="Times New Roman"/>
                <w:sz w:val="20"/>
                <w:szCs w:val="20"/>
              </w:rPr>
              <w:t>55.4</w:t>
            </w:r>
          </w:p>
        </w:tc>
        <w:tc>
          <w:tcPr>
            <w:tcW w:w="1335" w:type="dxa"/>
            <w:tcBorders>
              <w:top w:val="nil"/>
              <w:bottom w:val="nil"/>
            </w:tcBorders>
          </w:tcPr>
          <w:p w14:paraId="1502E91B"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1.7</w:t>
            </w:r>
          </w:p>
        </w:tc>
      </w:tr>
      <w:tr w:rsidR="00F41EA1" w:rsidRPr="00F41EA1" w14:paraId="1BF801DF" w14:textId="77777777" w:rsidTr="00BA61DD">
        <w:trPr>
          <w:jc w:val="center"/>
        </w:trPr>
        <w:tc>
          <w:tcPr>
            <w:tcW w:w="5454" w:type="dxa"/>
            <w:tcBorders>
              <w:top w:val="nil"/>
              <w:bottom w:val="nil"/>
            </w:tcBorders>
          </w:tcPr>
          <w:p w14:paraId="6CA38A59" w14:textId="77777777" w:rsidR="00F41EA1" w:rsidRPr="00F41EA1" w:rsidRDefault="00F41EA1" w:rsidP="00F41EA1">
            <w:pPr>
              <w:rPr>
                <w:rFonts w:eastAsia="Times New Roman"/>
                <w:b/>
                <w:sz w:val="20"/>
                <w:szCs w:val="20"/>
              </w:rPr>
            </w:pPr>
            <w:r w:rsidRPr="00F41EA1">
              <w:rPr>
                <w:rFonts w:eastAsia="Times New Roman"/>
                <w:b/>
                <w:sz w:val="20"/>
                <w:szCs w:val="20"/>
              </w:rPr>
              <w:t>Expectativas Empresariales del Sector Construcción</w:t>
            </w:r>
          </w:p>
        </w:tc>
        <w:tc>
          <w:tcPr>
            <w:tcW w:w="850" w:type="dxa"/>
            <w:tcBorders>
              <w:top w:val="nil"/>
              <w:bottom w:val="nil"/>
            </w:tcBorders>
          </w:tcPr>
          <w:p w14:paraId="58FF6820" w14:textId="77777777" w:rsidR="00F41EA1" w:rsidRPr="00F41EA1" w:rsidRDefault="00F41EA1" w:rsidP="00F41EA1">
            <w:pPr>
              <w:jc w:val="center"/>
              <w:rPr>
                <w:rFonts w:eastAsia="Times New Roman"/>
                <w:sz w:val="20"/>
                <w:szCs w:val="20"/>
              </w:rPr>
            </w:pPr>
          </w:p>
        </w:tc>
        <w:tc>
          <w:tcPr>
            <w:tcW w:w="725" w:type="dxa"/>
            <w:tcBorders>
              <w:top w:val="nil"/>
              <w:bottom w:val="nil"/>
            </w:tcBorders>
          </w:tcPr>
          <w:p w14:paraId="594A6DC3" w14:textId="77777777" w:rsidR="00F41EA1" w:rsidRPr="00F41EA1" w:rsidRDefault="00F41EA1" w:rsidP="00F41EA1">
            <w:pPr>
              <w:jc w:val="center"/>
              <w:rPr>
                <w:rFonts w:eastAsia="Times New Roman"/>
                <w:sz w:val="20"/>
                <w:szCs w:val="20"/>
              </w:rPr>
            </w:pPr>
          </w:p>
        </w:tc>
        <w:tc>
          <w:tcPr>
            <w:tcW w:w="1335" w:type="dxa"/>
            <w:tcBorders>
              <w:top w:val="nil"/>
              <w:bottom w:val="nil"/>
            </w:tcBorders>
          </w:tcPr>
          <w:p w14:paraId="1761BF63" w14:textId="77777777" w:rsidR="00F41EA1" w:rsidRPr="00F41EA1" w:rsidRDefault="00F41EA1" w:rsidP="00F41EA1">
            <w:pPr>
              <w:ind w:right="454"/>
              <w:jc w:val="right"/>
              <w:rPr>
                <w:rFonts w:eastAsia="Times New Roman"/>
                <w:sz w:val="20"/>
                <w:szCs w:val="20"/>
              </w:rPr>
            </w:pPr>
          </w:p>
        </w:tc>
      </w:tr>
      <w:tr w:rsidR="00F41EA1" w:rsidRPr="00F41EA1" w14:paraId="1B9194F0" w14:textId="77777777" w:rsidTr="00BA61DD">
        <w:trPr>
          <w:jc w:val="center"/>
        </w:trPr>
        <w:tc>
          <w:tcPr>
            <w:tcW w:w="5454" w:type="dxa"/>
            <w:tcBorders>
              <w:top w:val="nil"/>
              <w:bottom w:val="nil"/>
            </w:tcBorders>
          </w:tcPr>
          <w:p w14:paraId="146C97BD" w14:textId="77777777" w:rsidR="00F41EA1" w:rsidRPr="00F41EA1" w:rsidRDefault="00F41EA1" w:rsidP="003B27DE">
            <w:pPr>
              <w:numPr>
                <w:ilvl w:val="0"/>
                <w:numId w:val="50"/>
              </w:numPr>
              <w:contextualSpacing/>
              <w:rPr>
                <w:rFonts w:eastAsia="Times New Roman"/>
                <w:sz w:val="20"/>
                <w:szCs w:val="20"/>
              </w:rPr>
            </w:pPr>
            <w:r w:rsidRPr="00F41EA1">
              <w:rPr>
                <w:rFonts w:eastAsia="Times New Roman"/>
                <w:sz w:val="20"/>
                <w:szCs w:val="20"/>
              </w:rPr>
              <w:t>Valor de las obras ejecutadas como contratista principal</w:t>
            </w:r>
          </w:p>
        </w:tc>
        <w:tc>
          <w:tcPr>
            <w:tcW w:w="850" w:type="dxa"/>
            <w:tcBorders>
              <w:top w:val="nil"/>
              <w:bottom w:val="nil"/>
            </w:tcBorders>
            <w:vAlign w:val="center"/>
          </w:tcPr>
          <w:p w14:paraId="2505EB54" w14:textId="77777777" w:rsidR="00F41EA1" w:rsidRPr="00F41EA1" w:rsidRDefault="00F41EA1" w:rsidP="00F41EA1">
            <w:pPr>
              <w:jc w:val="center"/>
              <w:rPr>
                <w:rFonts w:eastAsia="Times New Roman"/>
                <w:sz w:val="20"/>
                <w:szCs w:val="20"/>
              </w:rPr>
            </w:pPr>
            <w:r w:rsidRPr="00F41EA1">
              <w:rPr>
                <w:rFonts w:eastAsia="Times New Roman"/>
                <w:sz w:val="20"/>
                <w:szCs w:val="20"/>
              </w:rPr>
              <w:t>57.2</w:t>
            </w:r>
          </w:p>
        </w:tc>
        <w:tc>
          <w:tcPr>
            <w:tcW w:w="725" w:type="dxa"/>
            <w:tcBorders>
              <w:top w:val="nil"/>
              <w:bottom w:val="nil"/>
            </w:tcBorders>
            <w:vAlign w:val="center"/>
          </w:tcPr>
          <w:p w14:paraId="6F21BBCC" w14:textId="77777777" w:rsidR="00F41EA1" w:rsidRPr="00F41EA1" w:rsidRDefault="00F41EA1" w:rsidP="00F41EA1">
            <w:pPr>
              <w:jc w:val="center"/>
              <w:rPr>
                <w:rFonts w:eastAsia="Times New Roman"/>
                <w:sz w:val="20"/>
                <w:szCs w:val="20"/>
              </w:rPr>
            </w:pPr>
            <w:r w:rsidRPr="00F41EA1">
              <w:rPr>
                <w:rFonts w:eastAsia="Times New Roman"/>
                <w:sz w:val="20"/>
                <w:szCs w:val="20"/>
              </w:rPr>
              <w:t>56.1</w:t>
            </w:r>
          </w:p>
        </w:tc>
        <w:tc>
          <w:tcPr>
            <w:tcW w:w="1335" w:type="dxa"/>
            <w:tcBorders>
              <w:top w:val="nil"/>
              <w:bottom w:val="nil"/>
            </w:tcBorders>
            <w:vAlign w:val="center"/>
          </w:tcPr>
          <w:p w14:paraId="7C2E697B"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-1.2</w:t>
            </w:r>
          </w:p>
        </w:tc>
      </w:tr>
      <w:tr w:rsidR="00F41EA1" w:rsidRPr="00F41EA1" w14:paraId="6F3F1237" w14:textId="77777777" w:rsidTr="00BA61DD">
        <w:trPr>
          <w:jc w:val="center"/>
        </w:trPr>
        <w:tc>
          <w:tcPr>
            <w:tcW w:w="5454" w:type="dxa"/>
            <w:tcBorders>
              <w:top w:val="nil"/>
              <w:bottom w:val="nil"/>
            </w:tcBorders>
          </w:tcPr>
          <w:p w14:paraId="3B0B7B67" w14:textId="77777777" w:rsidR="00F41EA1" w:rsidRPr="00F41EA1" w:rsidRDefault="00F41EA1" w:rsidP="003B27DE">
            <w:pPr>
              <w:numPr>
                <w:ilvl w:val="0"/>
                <w:numId w:val="50"/>
              </w:numPr>
              <w:contextualSpacing/>
              <w:rPr>
                <w:rFonts w:eastAsia="Times New Roman"/>
                <w:sz w:val="20"/>
                <w:szCs w:val="20"/>
              </w:rPr>
            </w:pPr>
            <w:r w:rsidRPr="00F41EA1">
              <w:rPr>
                <w:rFonts w:eastAsia="Times New Roman"/>
                <w:sz w:val="20"/>
                <w:szCs w:val="20"/>
              </w:rPr>
              <w:t>Valor de las obras ejecutadas como subcontratista</w:t>
            </w:r>
          </w:p>
        </w:tc>
        <w:tc>
          <w:tcPr>
            <w:tcW w:w="850" w:type="dxa"/>
            <w:tcBorders>
              <w:top w:val="nil"/>
              <w:bottom w:val="nil"/>
            </w:tcBorders>
          </w:tcPr>
          <w:p w14:paraId="4289EB72" w14:textId="77777777" w:rsidR="00F41EA1" w:rsidRPr="00F41EA1" w:rsidRDefault="00F41EA1" w:rsidP="00F41EA1">
            <w:pPr>
              <w:jc w:val="center"/>
              <w:rPr>
                <w:rFonts w:eastAsia="Times New Roman"/>
                <w:sz w:val="20"/>
                <w:szCs w:val="20"/>
              </w:rPr>
            </w:pPr>
            <w:r w:rsidRPr="00F41EA1">
              <w:rPr>
                <w:rFonts w:eastAsia="Times New Roman"/>
                <w:sz w:val="20"/>
                <w:szCs w:val="20"/>
              </w:rPr>
              <w:t>54.0</w:t>
            </w:r>
          </w:p>
        </w:tc>
        <w:tc>
          <w:tcPr>
            <w:tcW w:w="725" w:type="dxa"/>
            <w:tcBorders>
              <w:top w:val="nil"/>
              <w:bottom w:val="nil"/>
            </w:tcBorders>
          </w:tcPr>
          <w:p w14:paraId="401A43C3" w14:textId="77777777" w:rsidR="00F41EA1" w:rsidRPr="00F41EA1" w:rsidRDefault="00F41EA1" w:rsidP="00F41EA1">
            <w:pPr>
              <w:jc w:val="center"/>
              <w:rPr>
                <w:rFonts w:eastAsia="Times New Roman"/>
                <w:sz w:val="20"/>
                <w:szCs w:val="20"/>
              </w:rPr>
            </w:pPr>
            <w:r w:rsidRPr="00F41EA1">
              <w:rPr>
                <w:rFonts w:eastAsia="Times New Roman"/>
                <w:sz w:val="20"/>
                <w:szCs w:val="20"/>
              </w:rPr>
              <w:t>54.3</w:t>
            </w:r>
          </w:p>
        </w:tc>
        <w:tc>
          <w:tcPr>
            <w:tcW w:w="1335" w:type="dxa"/>
            <w:tcBorders>
              <w:top w:val="nil"/>
              <w:bottom w:val="nil"/>
            </w:tcBorders>
          </w:tcPr>
          <w:p w14:paraId="4AA67764"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0.2</w:t>
            </w:r>
          </w:p>
        </w:tc>
      </w:tr>
      <w:tr w:rsidR="00F41EA1" w:rsidRPr="00F41EA1" w14:paraId="3731D63F" w14:textId="77777777" w:rsidTr="00BA61DD">
        <w:trPr>
          <w:jc w:val="center"/>
        </w:trPr>
        <w:tc>
          <w:tcPr>
            <w:tcW w:w="5454" w:type="dxa"/>
            <w:tcBorders>
              <w:top w:val="nil"/>
              <w:bottom w:val="nil"/>
            </w:tcBorders>
          </w:tcPr>
          <w:p w14:paraId="61AAAE7B" w14:textId="77777777" w:rsidR="00F41EA1" w:rsidRPr="00F41EA1" w:rsidRDefault="00F41EA1" w:rsidP="003B27DE">
            <w:pPr>
              <w:numPr>
                <w:ilvl w:val="0"/>
                <w:numId w:val="50"/>
              </w:numPr>
              <w:contextualSpacing/>
              <w:rPr>
                <w:rFonts w:eastAsia="Times New Roman"/>
                <w:sz w:val="20"/>
                <w:szCs w:val="20"/>
              </w:rPr>
            </w:pPr>
            <w:r w:rsidRPr="00F41EA1">
              <w:rPr>
                <w:rFonts w:eastAsia="Times New Roman"/>
                <w:sz w:val="20"/>
                <w:szCs w:val="20"/>
              </w:rPr>
              <w:t>Total de contratos y subcontratos</w:t>
            </w:r>
          </w:p>
        </w:tc>
        <w:tc>
          <w:tcPr>
            <w:tcW w:w="850" w:type="dxa"/>
            <w:tcBorders>
              <w:top w:val="nil"/>
              <w:bottom w:val="nil"/>
            </w:tcBorders>
          </w:tcPr>
          <w:p w14:paraId="6BF4911A" w14:textId="77777777" w:rsidR="00F41EA1" w:rsidRPr="00F41EA1" w:rsidRDefault="00F41EA1" w:rsidP="00F41EA1">
            <w:pPr>
              <w:jc w:val="center"/>
              <w:rPr>
                <w:rFonts w:eastAsia="Times New Roman"/>
                <w:sz w:val="20"/>
                <w:szCs w:val="20"/>
              </w:rPr>
            </w:pPr>
            <w:r w:rsidRPr="00F41EA1">
              <w:rPr>
                <w:rFonts w:eastAsia="Times New Roman"/>
                <w:sz w:val="20"/>
                <w:szCs w:val="20"/>
              </w:rPr>
              <w:t>51.6</w:t>
            </w:r>
          </w:p>
        </w:tc>
        <w:tc>
          <w:tcPr>
            <w:tcW w:w="725" w:type="dxa"/>
            <w:tcBorders>
              <w:top w:val="nil"/>
              <w:bottom w:val="nil"/>
            </w:tcBorders>
          </w:tcPr>
          <w:p w14:paraId="206F8C48" w14:textId="77777777" w:rsidR="00F41EA1" w:rsidRPr="00F41EA1" w:rsidRDefault="00F41EA1" w:rsidP="00F41EA1">
            <w:pPr>
              <w:jc w:val="center"/>
              <w:rPr>
                <w:rFonts w:eastAsia="Times New Roman"/>
                <w:sz w:val="20"/>
                <w:szCs w:val="20"/>
              </w:rPr>
            </w:pPr>
            <w:r w:rsidRPr="00F41EA1">
              <w:rPr>
                <w:rFonts w:eastAsia="Times New Roman"/>
                <w:sz w:val="20"/>
                <w:szCs w:val="20"/>
              </w:rPr>
              <w:t>54.1</w:t>
            </w:r>
          </w:p>
        </w:tc>
        <w:tc>
          <w:tcPr>
            <w:tcW w:w="1335" w:type="dxa"/>
            <w:tcBorders>
              <w:top w:val="nil"/>
              <w:bottom w:val="nil"/>
            </w:tcBorders>
          </w:tcPr>
          <w:p w14:paraId="7265671E"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2.4</w:t>
            </w:r>
          </w:p>
        </w:tc>
      </w:tr>
      <w:tr w:rsidR="00F41EA1" w:rsidRPr="00F41EA1" w14:paraId="718F339A" w14:textId="77777777" w:rsidTr="00BA61DD">
        <w:trPr>
          <w:jc w:val="center"/>
        </w:trPr>
        <w:tc>
          <w:tcPr>
            <w:tcW w:w="5454" w:type="dxa"/>
            <w:tcBorders>
              <w:top w:val="nil"/>
              <w:bottom w:val="nil"/>
            </w:tcBorders>
          </w:tcPr>
          <w:p w14:paraId="0DF4FB8B" w14:textId="77777777" w:rsidR="00F41EA1" w:rsidRPr="00F41EA1" w:rsidRDefault="00F41EA1" w:rsidP="003B27DE">
            <w:pPr>
              <w:numPr>
                <w:ilvl w:val="0"/>
                <w:numId w:val="50"/>
              </w:numPr>
              <w:contextualSpacing/>
              <w:rPr>
                <w:rFonts w:eastAsia="Times New Roman"/>
                <w:sz w:val="20"/>
                <w:szCs w:val="20"/>
              </w:rPr>
            </w:pPr>
            <w:r w:rsidRPr="00F41EA1">
              <w:rPr>
                <w:rFonts w:eastAsia="Times New Roman"/>
                <w:sz w:val="20"/>
                <w:szCs w:val="20"/>
              </w:rPr>
              <w:t>Personal ocupado</w:t>
            </w:r>
          </w:p>
        </w:tc>
        <w:tc>
          <w:tcPr>
            <w:tcW w:w="850" w:type="dxa"/>
            <w:tcBorders>
              <w:top w:val="nil"/>
              <w:bottom w:val="nil"/>
            </w:tcBorders>
          </w:tcPr>
          <w:p w14:paraId="0A62B002" w14:textId="77777777" w:rsidR="00F41EA1" w:rsidRPr="00F41EA1" w:rsidRDefault="00F41EA1" w:rsidP="00F41EA1">
            <w:pPr>
              <w:jc w:val="center"/>
              <w:rPr>
                <w:rFonts w:eastAsia="Times New Roman"/>
                <w:sz w:val="20"/>
                <w:szCs w:val="20"/>
              </w:rPr>
            </w:pPr>
            <w:r w:rsidRPr="00F41EA1">
              <w:rPr>
                <w:rFonts w:eastAsia="Times New Roman"/>
                <w:sz w:val="20"/>
                <w:szCs w:val="20"/>
              </w:rPr>
              <w:t>50.2</w:t>
            </w:r>
          </w:p>
        </w:tc>
        <w:tc>
          <w:tcPr>
            <w:tcW w:w="725" w:type="dxa"/>
            <w:tcBorders>
              <w:top w:val="nil"/>
              <w:bottom w:val="nil"/>
            </w:tcBorders>
          </w:tcPr>
          <w:p w14:paraId="0706EC29" w14:textId="77777777" w:rsidR="00F41EA1" w:rsidRPr="00F41EA1" w:rsidRDefault="00F41EA1" w:rsidP="00F41EA1">
            <w:pPr>
              <w:jc w:val="center"/>
              <w:rPr>
                <w:rFonts w:eastAsia="Times New Roman"/>
                <w:sz w:val="20"/>
                <w:szCs w:val="20"/>
              </w:rPr>
            </w:pPr>
            <w:r w:rsidRPr="00F41EA1">
              <w:rPr>
                <w:rFonts w:eastAsia="Times New Roman"/>
                <w:sz w:val="20"/>
                <w:szCs w:val="20"/>
              </w:rPr>
              <w:t>51.7</w:t>
            </w:r>
          </w:p>
        </w:tc>
        <w:tc>
          <w:tcPr>
            <w:tcW w:w="1335" w:type="dxa"/>
            <w:tcBorders>
              <w:top w:val="nil"/>
              <w:bottom w:val="nil"/>
            </w:tcBorders>
          </w:tcPr>
          <w:p w14:paraId="2F9E938C"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1.5</w:t>
            </w:r>
          </w:p>
        </w:tc>
      </w:tr>
      <w:tr w:rsidR="00F41EA1" w:rsidRPr="00F41EA1" w14:paraId="30EC143B" w14:textId="77777777" w:rsidTr="00BA61DD">
        <w:trPr>
          <w:jc w:val="center"/>
        </w:trPr>
        <w:tc>
          <w:tcPr>
            <w:tcW w:w="5454" w:type="dxa"/>
            <w:tcBorders>
              <w:top w:val="nil"/>
              <w:bottom w:val="nil"/>
            </w:tcBorders>
          </w:tcPr>
          <w:p w14:paraId="1DBBA1AB" w14:textId="77777777" w:rsidR="00F41EA1" w:rsidRPr="00F41EA1" w:rsidRDefault="00F41EA1" w:rsidP="00F41EA1">
            <w:pPr>
              <w:rPr>
                <w:rFonts w:eastAsia="Times New Roman"/>
                <w:b/>
                <w:sz w:val="20"/>
                <w:szCs w:val="20"/>
              </w:rPr>
            </w:pPr>
            <w:r w:rsidRPr="00F41EA1">
              <w:rPr>
                <w:rFonts w:eastAsia="Times New Roman"/>
                <w:b/>
                <w:sz w:val="20"/>
                <w:szCs w:val="20"/>
              </w:rPr>
              <w:t>Expectativas Empresariales del Sector Comercio</w:t>
            </w:r>
          </w:p>
        </w:tc>
        <w:tc>
          <w:tcPr>
            <w:tcW w:w="850" w:type="dxa"/>
            <w:tcBorders>
              <w:top w:val="nil"/>
              <w:bottom w:val="nil"/>
            </w:tcBorders>
          </w:tcPr>
          <w:p w14:paraId="4235E760" w14:textId="77777777" w:rsidR="00F41EA1" w:rsidRPr="00F41EA1" w:rsidRDefault="00F41EA1" w:rsidP="00F41EA1">
            <w:pPr>
              <w:jc w:val="center"/>
              <w:rPr>
                <w:rFonts w:eastAsia="Times New Roman"/>
                <w:sz w:val="20"/>
                <w:szCs w:val="20"/>
              </w:rPr>
            </w:pPr>
          </w:p>
        </w:tc>
        <w:tc>
          <w:tcPr>
            <w:tcW w:w="725" w:type="dxa"/>
            <w:tcBorders>
              <w:top w:val="nil"/>
              <w:bottom w:val="nil"/>
            </w:tcBorders>
          </w:tcPr>
          <w:p w14:paraId="28FA27F1" w14:textId="77777777" w:rsidR="00F41EA1" w:rsidRPr="00F41EA1" w:rsidRDefault="00F41EA1" w:rsidP="00F41EA1">
            <w:pPr>
              <w:jc w:val="center"/>
              <w:rPr>
                <w:rFonts w:eastAsia="Times New Roman"/>
                <w:sz w:val="20"/>
                <w:szCs w:val="20"/>
              </w:rPr>
            </w:pPr>
          </w:p>
        </w:tc>
        <w:tc>
          <w:tcPr>
            <w:tcW w:w="1335" w:type="dxa"/>
            <w:tcBorders>
              <w:top w:val="nil"/>
              <w:bottom w:val="nil"/>
            </w:tcBorders>
          </w:tcPr>
          <w:p w14:paraId="1FDB08C4" w14:textId="77777777" w:rsidR="00F41EA1" w:rsidRPr="00F41EA1" w:rsidRDefault="00F41EA1" w:rsidP="00F41EA1">
            <w:pPr>
              <w:ind w:right="454"/>
              <w:jc w:val="right"/>
              <w:rPr>
                <w:rFonts w:eastAsia="Times New Roman"/>
                <w:sz w:val="20"/>
                <w:szCs w:val="20"/>
              </w:rPr>
            </w:pPr>
          </w:p>
        </w:tc>
      </w:tr>
      <w:tr w:rsidR="00F41EA1" w:rsidRPr="00F41EA1" w14:paraId="50F2C2F8" w14:textId="77777777" w:rsidTr="00BA61DD">
        <w:trPr>
          <w:jc w:val="center"/>
        </w:trPr>
        <w:tc>
          <w:tcPr>
            <w:tcW w:w="5454" w:type="dxa"/>
            <w:tcBorders>
              <w:top w:val="nil"/>
              <w:bottom w:val="nil"/>
            </w:tcBorders>
          </w:tcPr>
          <w:p w14:paraId="6BD0EAC8" w14:textId="77777777" w:rsidR="00F41EA1" w:rsidRPr="00F41EA1" w:rsidRDefault="00F41EA1" w:rsidP="003B27DE">
            <w:pPr>
              <w:numPr>
                <w:ilvl w:val="0"/>
                <w:numId w:val="51"/>
              </w:numPr>
              <w:ind w:left="714" w:hanging="357"/>
              <w:contextualSpacing/>
              <w:rPr>
                <w:rFonts w:eastAsia="Times New Roman"/>
                <w:sz w:val="20"/>
                <w:szCs w:val="20"/>
              </w:rPr>
            </w:pPr>
            <w:r w:rsidRPr="00F41EA1">
              <w:rPr>
                <w:rFonts w:eastAsia="Times New Roman"/>
                <w:sz w:val="20"/>
                <w:szCs w:val="20"/>
              </w:rPr>
              <w:t>Ventas netas</w:t>
            </w:r>
          </w:p>
        </w:tc>
        <w:tc>
          <w:tcPr>
            <w:tcW w:w="850" w:type="dxa"/>
            <w:tcBorders>
              <w:top w:val="nil"/>
              <w:bottom w:val="nil"/>
            </w:tcBorders>
          </w:tcPr>
          <w:p w14:paraId="48CBE235" w14:textId="77777777" w:rsidR="00F41EA1" w:rsidRPr="00F41EA1" w:rsidRDefault="00F41EA1" w:rsidP="00F41EA1">
            <w:pPr>
              <w:jc w:val="center"/>
              <w:rPr>
                <w:rFonts w:eastAsia="Times New Roman"/>
                <w:sz w:val="20"/>
                <w:szCs w:val="20"/>
              </w:rPr>
            </w:pPr>
            <w:r w:rsidRPr="00F41EA1">
              <w:rPr>
                <w:rFonts w:eastAsia="Times New Roman"/>
                <w:sz w:val="20"/>
                <w:szCs w:val="20"/>
              </w:rPr>
              <w:t>59.2</w:t>
            </w:r>
          </w:p>
        </w:tc>
        <w:tc>
          <w:tcPr>
            <w:tcW w:w="725" w:type="dxa"/>
            <w:tcBorders>
              <w:top w:val="nil"/>
              <w:bottom w:val="nil"/>
            </w:tcBorders>
          </w:tcPr>
          <w:p w14:paraId="50B1E64B" w14:textId="77777777" w:rsidR="00F41EA1" w:rsidRPr="00F41EA1" w:rsidRDefault="00F41EA1" w:rsidP="00F41EA1">
            <w:pPr>
              <w:jc w:val="center"/>
              <w:rPr>
                <w:rFonts w:eastAsia="Times New Roman"/>
                <w:sz w:val="20"/>
                <w:szCs w:val="20"/>
              </w:rPr>
            </w:pPr>
            <w:r w:rsidRPr="00F41EA1">
              <w:rPr>
                <w:rFonts w:eastAsia="Times New Roman"/>
                <w:sz w:val="20"/>
                <w:szCs w:val="20"/>
              </w:rPr>
              <w:t>55.6</w:t>
            </w:r>
          </w:p>
        </w:tc>
        <w:tc>
          <w:tcPr>
            <w:tcW w:w="1335" w:type="dxa"/>
            <w:tcBorders>
              <w:top w:val="nil"/>
              <w:bottom w:val="nil"/>
            </w:tcBorders>
          </w:tcPr>
          <w:p w14:paraId="53DC9952"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-3.6</w:t>
            </w:r>
          </w:p>
        </w:tc>
      </w:tr>
      <w:tr w:rsidR="00F41EA1" w:rsidRPr="00F41EA1" w14:paraId="733AEEE2" w14:textId="77777777" w:rsidTr="00BA61DD">
        <w:trPr>
          <w:jc w:val="center"/>
        </w:trPr>
        <w:tc>
          <w:tcPr>
            <w:tcW w:w="5454" w:type="dxa"/>
            <w:tcBorders>
              <w:top w:val="nil"/>
              <w:bottom w:val="nil"/>
            </w:tcBorders>
          </w:tcPr>
          <w:p w14:paraId="0C2E7851" w14:textId="77777777" w:rsidR="00F41EA1" w:rsidRPr="00F41EA1" w:rsidRDefault="00F41EA1" w:rsidP="003B27DE">
            <w:pPr>
              <w:numPr>
                <w:ilvl w:val="0"/>
                <w:numId w:val="51"/>
              </w:numPr>
              <w:ind w:left="714" w:hanging="357"/>
              <w:contextualSpacing/>
              <w:rPr>
                <w:rFonts w:eastAsia="Times New Roman"/>
                <w:sz w:val="20"/>
                <w:szCs w:val="20"/>
              </w:rPr>
            </w:pPr>
            <w:r w:rsidRPr="00F41EA1">
              <w:rPr>
                <w:rFonts w:eastAsia="Times New Roman"/>
                <w:sz w:val="20"/>
                <w:szCs w:val="20"/>
              </w:rPr>
              <w:t>Ingresos por consignación y/o comisión</w:t>
            </w:r>
          </w:p>
        </w:tc>
        <w:tc>
          <w:tcPr>
            <w:tcW w:w="850" w:type="dxa"/>
            <w:tcBorders>
              <w:top w:val="nil"/>
              <w:bottom w:val="nil"/>
            </w:tcBorders>
          </w:tcPr>
          <w:p w14:paraId="6DCA7531" w14:textId="77777777" w:rsidR="00F41EA1" w:rsidRPr="00F41EA1" w:rsidRDefault="00F41EA1" w:rsidP="00F41EA1">
            <w:pPr>
              <w:jc w:val="center"/>
              <w:rPr>
                <w:rFonts w:eastAsia="Times New Roman"/>
                <w:sz w:val="20"/>
                <w:szCs w:val="20"/>
              </w:rPr>
            </w:pPr>
            <w:r w:rsidRPr="00F41EA1">
              <w:rPr>
                <w:rFonts w:eastAsia="Times New Roman"/>
                <w:sz w:val="20"/>
                <w:szCs w:val="20"/>
              </w:rPr>
              <w:t>55.4</w:t>
            </w:r>
          </w:p>
        </w:tc>
        <w:tc>
          <w:tcPr>
            <w:tcW w:w="725" w:type="dxa"/>
            <w:tcBorders>
              <w:top w:val="nil"/>
              <w:bottom w:val="nil"/>
            </w:tcBorders>
          </w:tcPr>
          <w:p w14:paraId="0AFEDABB" w14:textId="77777777" w:rsidR="00F41EA1" w:rsidRPr="00F41EA1" w:rsidRDefault="00F41EA1" w:rsidP="00F41EA1">
            <w:pPr>
              <w:jc w:val="center"/>
              <w:rPr>
                <w:rFonts w:eastAsia="Times New Roman"/>
                <w:sz w:val="20"/>
                <w:szCs w:val="20"/>
              </w:rPr>
            </w:pPr>
            <w:r w:rsidRPr="00F41EA1">
              <w:rPr>
                <w:rFonts w:eastAsia="Times New Roman"/>
                <w:sz w:val="20"/>
                <w:szCs w:val="20"/>
              </w:rPr>
              <w:t>55.5</w:t>
            </w:r>
          </w:p>
        </w:tc>
        <w:tc>
          <w:tcPr>
            <w:tcW w:w="1335" w:type="dxa"/>
            <w:tcBorders>
              <w:top w:val="nil"/>
              <w:bottom w:val="nil"/>
            </w:tcBorders>
          </w:tcPr>
          <w:p w14:paraId="6E19EA35"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0.1</w:t>
            </w:r>
          </w:p>
        </w:tc>
      </w:tr>
      <w:tr w:rsidR="00F41EA1" w:rsidRPr="00F41EA1" w14:paraId="547511B6" w14:textId="77777777" w:rsidTr="00BA61DD">
        <w:trPr>
          <w:jc w:val="center"/>
        </w:trPr>
        <w:tc>
          <w:tcPr>
            <w:tcW w:w="5454" w:type="dxa"/>
            <w:tcBorders>
              <w:top w:val="nil"/>
              <w:bottom w:val="nil"/>
            </w:tcBorders>
          </w:tcPr>
          <w:p w14:paraId="36EB4937" w14:textId="77777777" w:rsidR="00F41EA1" w:rsidRPr="00F41EA1" w:rsidRDefault="00F41EA1" w:rsidP="003B27DE">
            <w:pPr>
              <w:numPr>
                <w:ilvl w:val="0"/>
                <w:numId w:val="51"/>
              </w:numPr>
              <w:ind w:left="714" w:hanging="357"/>
              <w:contextualSpacing/>
              <w:rPr>
                <w:rFonts w:eastAsia="Times New Roman"/>
                <w:sz w:val="20"/>
                <w:szCs w:val="20"/>
              </w:rPr>
            </w:pPr>
            <w:r w:rsidRPr="00F41EA1">
              <w:rPr>
                <w:rFonts w:eastAsia="Times New Roman"/>
                <w:sz w:val="20"/>
                <w:szCs w:val="20"/>
              </w:rPr>
              <w:t>Compras netas</w:t>
            </w:r>
          </w:p>
        </w:tc>
        <w:tc>
          <w:tcPr>
            <w:tcW w:w="850" w:type="dxa"/>
            <w:tcBorders>
              <w:top w:val="nil"/>
              <w:bottom w:val="nil"/>
            </w:tcBorders>
          </w:tcPr>
          <w:p w14:paraId="7B649938" w14:textId="77777777" w:rsidR="00F41EA1" w:rsidRPr="00F41EA1" w:rsidRDefault="00F41EA1" w:rsidP="00F41EA1">
            <w:pPr>
              <w:jc w:val="center"/>
              <w:rPr>
                <w:rFonts w:eastAsia="Times New Roman"/>
                <w:sz w:val="20"/>
                <w:szCs w:val="20"/>
              </w:rPr>
            </w:pPr>
            <w:r w:rsidRPr="00F41EA1">
              <w:rPr>
                <w:rFonts w:eastAsia="Times New Roman"/>
                <w:sz w:val="20"/>
                <w:szCs w:val="20"/>
              </w:rPr>
              <w:t>57.5</w:t>
            </w:r>
          </w:p>
        </w:tc>
        <w:tc>
          <w:tcPr>
            <w:tcW w:w="725" w:type="dxa"/>
            <w:tcBorders>
              <w:top w:val="nil"/>
              <w:bottom w:val="nil"/>
            </w:tcBorders>
          </w:tcPr>
          <w:p w14:paraId="5D56FC2B" w14:textId="77777777" w:rsidR="00F41EA1" w:rsidRPr="00F41EA1" w:rsidRDefault="00F41EA1" w:rsidP="00F41EA1">
            <w:pPr>
              <w:jc w:val="center"/>
              <w:rPr>
                <w:rFonts w:eastAsia="Times New Roman"/>
                <w:sz w:val="20"/>
                <w:szCs w:val="20"/>
              </w:rPr>
            </w:pPr>
            <w:r w:rsidRPr="00F41EA1">
              <w:rPr>
                <w:rFonts w:eastAsia="Times New Roman"/>
                <w:sz w:val="20"/>
                <w:szCs w:val="20"/>
              </w:rPr>
              <w:t>56.3</w:t>
            </w:r>
          </w:p>
        </w:tc>
        <w:tc>
          <w:tcPr>
            <w:tcW w:w="1335" w:type="dxa"/>
            <w:tcBorders>
              <w:top w:val="nil"/>
              <w:bottom w:val="nil"/>
            </w:tcBorders>
          </w:tcPr>
          <w:p w14:paraId="6D14DD27"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-1.2</w:t>
            </w:r>
          </w:p>
        </w:tc>
      </w:tr>
      <w:tr w:rsidR="00F41EA1" w:rsidRPr="00F41EA1" w14:paraId="51A4AD3F" w14:textId="77777777" w:rsidTr="00BA61DD">
        <w:trPr>
          <w:jc w:val="center"/>
        </w:trPr>
        <w:tc>
          <w:tcPr>
            <w:tcW w:w="5454" w:type="dxa"/>
            <w:tcBorders>
              <w:top w:val="nil"/>
              <w:bottom w:val="nil"/>
            </w:tcBorders>
          </w:tcPr>
          <w:p w14:paraId="2A35465D" w14:textId="77777777" w:rsidR="00F41EA1" w:rsidRPr="00F41EA1" w:rsidRDefault="00F41EA1" w:rsidP="003B27DE">
            <w:pPr>
              <w:numPr>
                <w:ilvl w:val="0"/>
                <w:numId w:val="51"/>
              </w:numPr>
              <w:ind w:left="714" w:hanging="357"/>
              <w:contextualSpacing/>
              <w:rPr>
                <w:rFonts w:eastAsia="Times New Roman"/>
                <w:sz w:val="20"/>
                <w:szCs w:val="20"/>
              </w:rPr>
            </w:pPr>
            <w:r w:rsidRPr="00F41EA1">
              <w:rPr>
                <w:rFonts w:eastAsia="Times New Roman"/>
                <w:sz w:val="20"/>
                <w:szCs w:val="20"/>
              </w:rPr>
              <w:t>Inventario de mercancías</w:t>
            </w:r>
          </w:p>
        </w:tc>
        <w:tc>
          <w:tcPr>
            <w:tcW w:w="850" w:type="dxa"/>
            <w:tcBorders>
              <w:top w:val="nil"/>
              <w:bottom w:val="nil"/>
            </w:tcBorders>
          </w:tcPr>
          <w:p w14:paraId="58D9300E" w14:textId="77777777" w:rsidR="00F41EA1" w:rsidRPr="00F41EA1" w:rsidRDefault="00F41EA1" w:rsidP="00F41EA1">
            <w:pPr>
              <w:jc w:val="center"/>
              <w:rPr>
                <w:rFonts w:eastAsia="Times New Roman"/>
                <w:sz w:val="20"/>
                <w:szCs w:val="20"/>
              </w:rPr>
            </w:pPr>
            <w:r w:rsidRPr="00F41EA1">
              <w:rPr>
                <w:rFonts w:eastAsia="Times New Roman"/>
                <w:sz w:val="20"/>
                <w:szCs w:val="20"/>
              </w:rPr>
              <w:t>55.0</w:t>
            </w:r>
          </w:p>
        </w:tc>
        <w:tc>
          <w:tcPr>
            <w:tcW w:w="725" w:type="dxa"/>
            <w:tcBorders>
              <w:top w:val="nil"/>
              <w:bottom w:val="nil"/>
            </w:tcBorders>
          </w:tcPr>
          <w:p w14:paraId="1F1573DC" w14:textId="77777777" w:rsidR="00F41EA1" w:rsidRPr="00F41EA1" w:rsidRDefault="00F41EA1" w:rsidP="00F41EA1">
            <w:pPr>
              <w:jc w:val="center"/>
              <w:rPr>
                <w:rFonts w:eastAsia="Times New Roman"/>
                <w:sz w:val="20"/>
                <w:szCs w:val="20"/>
              </w:rPr>
            </w:pPr>
            <w:r w:rsidRPr="00F41EA1">
              <w:rPr>
                <w:rFonts w:eastAsia="Times New Roman"/>
                <w:sz w:val="20"/>
                <w:szCs w:val="20"/>
              </w:rPr>
              <w:t>56.3</w:t>
            </w:r>
          </w:p>
        </w:tc>
        <w:tc>
          <w:tcPr>
            <w:tcW w:w="1335" w:type="dxa"/>
            <w:tcBorders>
              <w:top w:val="nil"/>
              <w:bottom w:val="nil"/>
            </w:tcBorders>
          </w:tcPr>
          <w:p w14:paraId="150A928B"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1.4</w:t>
            </w:r>
          </w:p>
        </w:tc>
      </w:tr>
      <w:tr w:rsidR="00F41EA1" w:rsidRPr="00F41EA1" w14:paraId="2F8F2D79" w14:textId="77777777" w:rsidTr="00BA61DD">
        <w:trPr>
          <w:jc w:val="center"/>
        </w:trPr>
        <w:tc>
          <w:tcPr>
            <w:tcW w:w="5454" w:type="dxa"/>
            <w:tcBorders>
              <w:top w:val="nil"/>
              <w:bottom w:val="single" w:sz="4" w:space="0" w:color="auto"/>
            </w:tcBorders>
          </w:tcPr>
          <w:p w14:paraId="3597200E" w14:textId="77777777" w:rsidR="00F41EA1" w:rsidRPr="00F41EA1" w:rsidRDefault="00F41EA1" w:rsidP="003B27DE">
            <w:pPr>
              <w:numPr>
                <w:ilvl w:val="0"/>
                <w:numId w:val="51"/>
              </w:numPr>
              <w:ind w:left="714" w:hanging="357"/>
              <w:contextualSpacing/>
              <w:rPr>
                <w:rFonts w:eastAsia="Times New Roman"/>
                <w:sz w:val="20"/>
                <w:szCs w:val="20"/>
              </w:rPr>
            </w:pPr>
            <w:r w:rsidRPr="00F41EA1">
              <w:rPr>
                <w:rFonts w:eastAsia="Times New Roman"/>
                <w:sz w:val="20"/>
                <w:szCs w:val="20"/>
              </w:rPr>
              <w:t>Personal Ocupado</w:t>
            </w:r>
          </w:p>
        </w:tc>
        <w:tc>
          <w:tcPr>
            <w:tcW w:w="850" w:type="dxa"/>
            <w:tcBorders>
              <w:top w:val="nil"/>
              <w:bottom w:val="single" w:sz="4" w:space="0" w:color="auto"/>
            </w:tcBorders>
          </w:tcPr>
          <w:p w14:paraId="01B58E95" w14:textId="77777777" w:rsidR="00F41EA1" w:rsidRPr="00F41EA1" w:rsidRDefault="00F41EA1" w:rsidP="00F41EA1">
            <w:pPr>
              <w:jc w:val="center"/>
              <w:rPr>
                <w:rFonts w:eastAsia="Times New Roman"/>
                <w:sz w:val="20"/>
                <w:szCs w:val="20"/>
              </w:rPr>
            </w:pPr>
            <w:r w:rsidRPr="00F41EA1">
              <w:rPr>
                <w:rFonts w:eastAsia="Times New Roman"/>
                <w:sz w:val="20"/>
                <w:szCs w:val="20"/>
              </w:rPr>
              <w:t>54.1</w:t>
            </w:r>
          </w:p>
        </w:tc>
        <w:tc>
          <w:tcPr>
            <w:tcW w:w="725" w:type="dxa"/>
            <w:tcBorders>
              <w:top w:val="nil"/>
              <w:bottom w:val="single" w:sz="4" w:space="0" w:color="auto"/>
            </w:tcBorders>
          </w:tcPr>
          <w:p w14:paraId="2D2BA746" w14:textId="77777777" w:rsidR="00F41EA1" w:rsidRPr="00F41EA1" w:rsidRDefault="00F41EA1" w:rsidP="00F41EA1">
            <w:pPr>
              <w:jc w:val="center"/>
              <w:rPr>
                <w:rFonts w:eastAsia="Times New Roman"/>
                <w:sz w:val="20"/>
                <w:szCs w:val="20"/>
              </w:rPr>
            </w:pPr>
            <w:r w:rsidRPr="00F41EA1">
              <w:rPr>
                <w:rFonts w:eastAsia="Times New Roman"/>
                <w:sz w:val="20"/>
                <w:szCs w:val="20"/>
              </w:rPr>
              <w:t>55.5</w:t>
            </w:r>
          </w:p>
        </w:tc>
        <w:tc>
          <w:tcPr>
            <w:tcW w:w="1335" w:type="dxa"/>
            <w:tcBorders>
              <w:top w:val="nil"/>
              <w:bottom w:val="single" w:sz="4" w:space="0" w:color="auto"/>
            </w:tcBorders>
          </w:tcPr>
          <w:p w14:paraId="7EBCE44C" w14:textId="77777777" w:rsidR="00F41EA1" w:rsidRPr="00F41EA1" w:rsidRDefault="00F41EA1" w:rsidP="00F41EA1">
            <w:pPr>
              <w:ind w:right="454"/>
              <w:jc w:val="right"/>
              <w:rPr>
                <w:rFonts w:eastAsia="Times New Roman"/>
                <w:sz w:val="20"/>
                <w:szCs w:val="20"/>
              </w:rPr>
            </w:pPr>
            <w:r w:rsidRPr="00F41EA1">
              <w:rPr>
                <w:rFonts w:eastAsia="Times New Roman"/>
                <w:sz w:val="20"/>
                <w:szCs w:val="20"/>
              </w:rPr>
              <w:t>1.4</w:t>
            </w:r>
          </w:p>
        </w:tc>
      </w:tr>
      <w:tr w:rsidR="00F41EA1" w:rsidRPr="00F41EA1" w14:paraId="50D026D9" w14:textId="77777777" w:rsidTr="00BA61DD">
        <w:trPr>
          <w:jc w:val="center"/>
        </w:trPr>
        <w:tc>
          <w:tcPr>
            <w:tcW w:w="8364" w:type="dxa"/>
            <w:gridSpan w:val="4"/>
            <w:tcBorders>
              <w:left w:val="nil"/>
              <w:bottom w:val="nil"/>
              <w:right w:val="nil"/>
            </w:tcBorders>
          </w:tcPr>
          <w:p w14:paraId="22D04A29" w14:textId="77777777" w:rsidR="00F41EA1" w:rsidRPr="00F41EA1" w:rsidRDefault="00F41EA1" w:rsidP="00E055D6">
            <w:pPr>
              <w:ind w:left="510" w:hanging="510"/>
              <w:jc w:val="both"/>
              <w:rPr>
                <w:rFonts w:eastAsia="Times New Roman"/>
                <w:sz w:val="20"/>
                <w:szCs w:val="20"/>
              </w:rPr>
            </w:pPr>
            <w:r w:rsidRPr="00F41EA1">
              <w:rPr>
                <w:rFonts w:eastAsia="Times New Roman"/>
                <w:sz w:val="20"/>
                <w:szCs w:val="20"/>
              </w:rPr>
              <w:t>Nota: Los indicadores se generan con los datos referidos al mes anterior del mes de la entrevista con excepción del último dato de la serie, el cual está referido al mes en que ocurre dicha entrevista.</w:t>
            </w:r>
          </w:p>
          <w:p w14:paraId="2BB9BA26" w14:textId="77777777" w:rsidR="00F41EA1" w:rsidRPr="00F41EA1" w:rsidRDefault="00F41EA1" w:rsidP="00F41EA1">
            <w:pPr>
              <w:ind w:left="227" w:hanging="227"/>
              <w:jc w:val="both"/>
              <w:rPr>
                <w:rFonts w:eastAsia="Times New Roman"/>
                <w:sz w:val="20"/>
                <w:szCs w:val="20"/>
              </w:rPr>
            </w:pPr>
            <w:r w:rsidRPr="00F41EA1">
              <w:rPr>
                <w:rFonts w:eastAsia="Times New Roman"/>
                <w:sz w:val="20"/>
                <w:szCs w:val="20"/>
                <w:u w:val="single"/>
              </w:rPr>
              <w:t>1</w:t>
            </w:r>
            <w:r w:rsidRPr="00F41EA1">
              <w:rPr>
                <w:rFonts w:eastAsia="Times New Roman"/>
                <w:sz w:val="20"/>
                <w:szCs w:val="20"/>
              </w:rPr>
              <w:t>/ Las diferencias en puntos se obtienen de los respectivos indicadores considerando todos sus decimales.</w:t>
            </w:r>
          </w:p>
          <w:p w14:paraId="0F270093" w14:textId="77777777" w:rsidR="00F41EA1" w:rsidRPr="00F41EA1" w:rsidRDefault="00F41EA1" w:rsidP="00F41EA1">
            <w:pPr>
              <w:jc w:val="both"/>
              <w:rPr>
                <w:rFonts w:eastAsia="Times New Roman"/>
                <w:sz w:val="20"/>
                <w:szCs w:val="20"/>
              </w:rPr>
            </w:pPr>
            <w:r w:rsidRPr="00F41EA1">
              <w:rPr>
                <w:rFonts w:eastAsia="Times New Roman"/>
                <w:sz w:val="20"/>
                <w:szCs w:val="20"/>
                <w:u w:val="single"/>
              </w:rPr>
              <w:t>p</w:t>
            </w:r>
            <w:r w:rsidRPr="00F41EA1">
              <w:rPr>
                <w:rFonts w:eastAsia="Times New Roman"/>
                <w:sz w:val="20"/>
                <w:szCs w:val="20"/>
              </w:rPr>
              <w:t>/ Dato preliminar.</w:t>
            </w:r>
          </w:p>
          <w:p w14:paraId="664DC6CA" w14:textId="77777777" w:rsidR="00F41EA1" w:rsidRPr="00F41EA1" w:rsidRDefault="00F41EA1" w:rsidP="00F41EA1">
            <w:pPr>
              <w:jc w:val="both"/>
              <w:rPr>
                <w:rFonts w:eastAsia="Times New Roman"/>
                <w:sz w:val="20"/>
                <w:szCs w:val="20"/>
              </w:rPr>
            </w:pPr>
            <w:r w:rsidRPr="00F41EA1">
              <w:rPr>
                <w:rFonts w:eastAsia="Times New Roman"/>
                <w:sz w:val="20"/>
                <w:szCs w:val="20"/>
              </w:rPr>
              <w:t>FUENTE: INEGI.</w:t>
            </w:r>
          </w:p>
        </w:tc>
      </w:tr>
    </w:tbl>
    <w:p w14:paraId="5C6F2926" w14:textId="77777777" w:rsidR="00F41EA1" w:rsidRPr="00F41EA1" w:rsidRDefault="00F41EA1" w:rsidP="00F41EA1">
      <w:pPr>
        <w:spacing w:after="360" w:line="360" w:lineRule="auto"/>
        <w:ind w:right="-159"/>
        <w:jc w:val="both"/>
        <w:rPr>
          <w:rFonts w:eastAsia="Times New Roman"/>
          <w:b/>
          <w:sz w:val="26"/>
          <w:szCs w:val="26"/>
        </w:rPr>
      </w:pPr>
    </w:p>
    <w:p w14:paraId="2F8A7A3C" w14:textId="77777777" w:rsidR="00F41EA1" w:rsidRPr="00F41EA1" w:rsidRDefault="00F41EA1" w:rsidP="00F41EA1">
      <w:pPr>
        <w:ind w:right="-159"/>
        <w:jc w:val="both"/>
        <w:rPr>
          <w:rFonts w:eastAsia="Times New Roman"/>
          <w:b/>
          <w:sz w:val="20"/>
          <w:szCs w:val="20"/>
        </w:rPr>
      </w:pPr>
      <w:r w:rsidRPr="00F41EA1">
        <w:rPr>
          <w:rFonts w:eastAsia="Times New Roman"/>
          <w:b/>
          <w:sz w:val="20"/>
          <w:szCs w:val="20"/>
        </w:rPr>
        <w:t>Fuente de información:</w:t>
      </w:r>
    </w:p>
    <w:p w14:paraId="6E802B0F" w14:textId="77777777" w:rsidR="00F41EA1" w:rsidRPr="00372137" w:rsidRDefault="0045651A" w:rsidP="00372137">
      <w:pPr>
        <w:spacing w:after="720"/>
        <w:rPr>
          <w:color w:val="0000FF"/>
          <w:sz w:val="20"/>
          <w:szCs w:val="20"/>
        </w:rPr>
      </w:pPr>
      <w:hyperlink r:id="rId100" w:history="1">
        <w:r w:rsidR="00F41EA1" w:rsidRPr="00372137">
          <w:rPr>
            <w:color w:val="0000FF"/>
            <w:sz w:val="20"/>
            <w:szCs w:val="20"/>
            <w:u w:val="single"/>
          </w:rPr>
          <w:t>http://www.inegi.org.mx/saladeprensa/boletines/2015/ee/ee2015_04.pdf</w:t>
        </w:r>
      </w:hyperlink>
      <w:r w:rsidR="00F41EA1" w:rsidRPr="00372137">
        <w:rPr>
          <w:color w:val="0000FF"/>
          <w:sz w:val="20"/>
          <w:szCs w:val="20"/>
        </w:rPr>
        <w:t xml:space="preserve"> </w:t>
      </w:r>
    </w:p>
    <w:p w14:paraId="182DE3F1" w14:textId="77777777" w:rsidR="009624DA" w:rsidRPr="009624DA" w:rsidRDefault="009624DA" w:rsidP="009624DA">
      <w:pPr>
        <w:spacing w:after="360" w:line="360" w:lineRule="auto"/>
        <w:ind w:right="-159"/>
        <w:jc w:val="both"/>
        <w:rPr>
          <w:rFonts w:eastAsia="Times New Roman"/>
          <w:b/>
          <w:sz w:val="26"/>
          <w:szCs w:val="26"/>
        </w:rPr>
      </w:pPr>
      <w:r w:rsidRPr="009624DA">
        <w:rPr>
          <w:rFonts w:eastAsia="Times New Roman"/>
          <w:b/>
          <w:sz w:val="26"/>
          <w:szCs w:val="26"/>
        </w:rPr>
        <w:t>Indicadores de Confianza Empresarial durante marzo de 2015 (INEGI)</w:t>
      </w:r>
    </w:p>
    <w:p w14:paraId="338E57D6"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El 6 de abril de 2015, el Instituto Nacional de Estadística y Geografía (INEGI) dio a conocer los Indicadores de Confianza Empresarial (ICE) que están constituidos por la percepción que tienen los directivos empresariales del sector manufacturero, de la construcción y del comercio sobre la situación económica que se presenta en el país y en sus empresas, así como sus expectativas para el futuro. Su periodicidad es mensual y se elabora con base en los resultados de la Encuesta Mensual de Opinión Empresarial (EMOE).</w:t>
      </w:r>
    </w:p>
    <w:p w14:paraId="76CC8AED"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lastRenderedPageBreak/>
        <w:t>En su comparación mensual, el Indicador de Confianza Empresarial (ICE) Manufacturero se ubicó en 48.2 puntos en el tercer mes de 2015, cifra que significó un descenso de 1.16 puntos respecto a la del mes inmediato anterior, de 49.4 puntos, según cifras desestacionalizadas. Con este dato el Indicador de Confianza Empresarial Manufacturero se estableció por segundo mes consecutivo por debajo del umbral de  los 50 puntos.</w:t>
      </w:r>
    </w:p>
    <w:p w14:paraId="1FFA8C4D" w14:textId="77777777" w:rsidR="009624DA" w:rsidRPr="009624DA" w:rsidRDefault="009624DA" w:rsidP="009624DA">
      <w:pPr>
        <w:spacing w:after="360" w:line="360" w:lineRule="auto"/>
        <w:ind w:right="-159"/>
        <w:jc w:val="center"/>
        <w:rPr>
          <w:rFonts w:eastAsia="Times New Roman"/>
          <w:sz w:val="26"/>
          <w:szCs w:val="26"/>
        </w:rPr>
      </w:pPr>
      <w:r w:rsidRPr="009624DA">
        <w:fldChar w:fldCharType="begin"/>
      </w:r>
      <w:r w:rsidRPr="009624DA">
        <w:instrText xml:space="preserve"> LINK PowerPoint.Slide.8 "D:\\2015\\ABRIL\\GRÁFICAS POWER POINT\\17.- GRÁFICAS DEL IND DE CONFIANZA EMPRESARIAL.pptx!258" "" \a \p </w:instrText>
      </w:r>
      <w:r w:rsidRPr="009624DA">
        <w:fldChar w:fldCharType="separate"/>
      </w:r>
      <w:r w:rsidRPr="009624DA">
        <w:rPr>
          <w:noProof/>
          <w:lang w:eastAsia="es-MX"/>
        </w:rPr>
        <w:drawing>
          <wp:inline distT="0" distB="0" distL="0" distR="0" wp14:anchorId="6FB7398F" wp14:editId="632826F9">
            <wp:extent cx="4732655" cy="3181985"/>
            <wp:effectExtent l="0" t="0" r="0" b="0"/>
            <wp:docPr id="1657" name="Imagen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01" cstate="print">
                      <a:extLst>
                        <a:ext uri="{28A0092B-C50C-407E-A947-70E740481C1C}">
                          <a14:useLocalDpi xmlns:a14="http://schemas.microsoft.com/office/drawing/2010/main" val="0"/>
                        </a:ext>
                      </a:extLst>
                    </a:blip>
                    <a:srcRect l="10641" t="1944" r="11580" b="5278"/>
                    <a:stretch>
                      <a:fillRect/>
                    </a:stretch>
                  </pic:blipFill>
                  <pic:spPr bwMode="auto">
                    <a:xfrm>
                      <a:off x="0" y="0"/>
                      <a:ext cx="4732655" cy="3181985"/>
                    </a:xfrm>
                    <a:prstGeom prst="rect">
                      <a:avLst/>
                    </a:prstGeom>
                    <a:noFill/>
                    <a:ln>
                      <a:noFill/>
                    </a:ln>
                  </pic:spPr>
                </pic:pic>
              </a:graphicData>
            </a:graphic>
          </wp:inline>
        </w:drawing>
      </w:r>
      <w:r w:rsidRPr="009624DA">
        <w:fldChar w:fldCharType="end"/>
      </w:r>
    </w:p>
    <w:p w14:paraId="69E53685" w14:textId="77777777" w:rsidR="009624DA" w:rsidRDefault="009624DA" w:rsidP="009624DA">
      <w:pPr>
        <w:spacing w:after="360" w:line="360" w:lineRule="auto"/>
        <w:ind w:right="-159"/>
        <w:jc w:val="both"/>
        <w:rPr>
          <w:rFonts w:eastAsia="Times New Roman"/>
          <w:noProof/>
          <w:sz w:val="26"/>
          <w:szCs w:val="26"/>
          <w:lang w:eastAsia="es-MX"/>
        </w:rPr>
      </w:pPr>
      <w:r w:rsidRPr="009624DA">
        <w:rPr>
          <w:rFonts w:eastAsia="Times New Roman"/>
          <w:noProof/>
          <w:sz w:val="26"/>
          <w:szCs w:val="26"/>
          <w:lang w:eastAsia="es-MX"/>
        </w:rPr>
        <w:t>El cuadro siguiente muestra el comportamiento mensual del Indicador de Confianza Empresarial Manufacturero y sus componentes a marzo de 2015.</w:t>
      </w:r>
      <w:r w:rsidRPr="009624DA">
        <w:rPr>
          <w:rFonts w:eastAsia="Times New Roman"/>
          <w:noProof/>
          <w:sz w:val="26"/>
          <w:szCs w:val="26"/>
          <w:lang w:eastAsia="es-MX"/>
        </w:rPr>
        <w:tab/>
      </w:r>
    </w:p>
    <w:p w14:paraId="6D497E01" w14:textId="77777777" w:rsidR="00512C3D" w:rsidRDefault="00512C3D" w:rsidP="009624DA">
      <w:pPr>
        <w:spacing w:after="360" w:line="360" w:lineRule="auto"/>
        <w:ind w:right="-159"/>
        <w:jc w:val="both"/>
        <w:rPr>
          <w:rFonts w:eastAsia="Times New Roman"/>
          <w:noProof/>
          <w:sz w:val="26"/>
          <w:szCs w:val="26"/>
          <w:lang w:eastAsia="es-MX"/>
        </w:rPr>
      </w:pPr>
    </w:p>
    <w:p w14:paraId="3773CBBF" w14:textId="77777777" w:rsidR="00512C3D" w:rsidRDefault="00512C3D" w:rsidP="009624DA">
      <w:pPr>
        <w:spacing w:after="360" w:line="360" w:lineRule="auto"/>
        <w:ind w:right="-159"/>
        <w:jc w:val="both"/>
        <w:rPr>
          <w:rFonts w:eastAsia="Times New Roman"/>
          <w:noProof/>
          <w:sz w:val="26"/>
          <w:szCs w:val="26"/>
          <w:lang w:eastAsia="es-MX"/>
        </w:rPr>
      </w:pPr>
    </w:p>
    <w:p w14:paraId="1402D8DE" w14:textId="77777777" w:rsidR="00372137" w:rsidRDefault="00372137" w:rsidP="009624DA">
      <w:pPr>
        <w:spacing w:after="360" w:line="360" w:lineRule="auto"/>
        <w:ind w:right="-159"/>
        <w:jc w:val="both"/>
        <w:rPr>
          <w:rFonts w:eastAsia="Times New Roman"/>
          <w:noProof/>
          <w:sz w:val="26"/>
          <w:szCs w:val="26"/>
          <w:lang w:eastAsia="es-MX"/>
        </w:rPr>
      </w:pPr>
    </w:p>
    <w:p w14:paraId="705C4111" w14:textId="77777777" w:rsidR="00512C3D" w:rsidRPr="009624DA" w:rsidRDefault="00512C3D" w:rsidP="009624DA">
      <w:pPr>
        <w:spacing w:after="360" w:line="360" w:lineRule="auto"/>
        <w:ind w:right="-159"/>
        <w:jc w:val="both"/>
        <w:rPr>
          <w:rFonts w:eastAsia="Times New Roman"/>
          <w:noProof/>
          <w:sz w:val="26"/>
          <w:szCs w:val="26"/>
          <w:lang w:eastAsia="es-MX"/>
        </w:rPr>
      </w:pPr>
    </w:p>
    <w:tbl>
      <w:tblPr>
        <w:tblW w:w="9464" w:type="dxa"/>
        <w:tblLayout w:type="fixed"/>
        <w:tblLook w:val="04A0" w:firstRow="1" w:lastRow="0" w:firstColumn="1" w:lastColumn="0" w:noHBand="0" w:noVBand="1"/>
      </w:tblPr>
      <w:tblGrid>
        <w:gridCol w:w="4219"/>
        <w:gridCol w:w="1168"/>
        <w:gridCol w:w="1242"/>
        <w:gridCol w:w="1276"/>
        <w:gridCol w:w="1559"/>
      </w:tblGrid>
      <w:tr w:rsidR="009624DA" w:rsidRPr="009624DA" w14:paraId="7D41C5C0" w14:textId="77777777" w:rsidTr="00BA61DD">
        <w:tc>
          <w:tcPr>
            <w:tcW w:w="9464" w:type="dxa"/>
            <w:gridSpan w:val="5"/>
            <w:tcBorders>
              <w:top w:val="nil"/>
              <w:left w:val="nil"/>
              <w:bottom w:val="single" w:sz="4" w:space="0" w:color="auto"/>
              <w:right w:val="nil"/>
            </w:tcBorders>
          </w:tcPr>
          <w:p w14:paraId="19697046" w14:textId="77777777" w:rsidR="009624DA" w:rsidRPr="009624DA" w:rsidRDefault="009624DA" w:rsidP="009624DA">
            <w:pPr>
              <w:jc w:val="center"/>
              <w:rPr>
                <w:rFonts w:eastAsia="Times New Roman"/>
                <w:b/>
                <w:noProof/>
                <w:sz w:val="22"/>
                <w:szCs w:val="22"/>
                <w:lang w:eastAsia="es-MX"/>
              </w:rPr>
            </w:pPr>
            <w:r w:rsidRPr="009624DA">
              <w:rPr>
                <w:rFonts w:eastAsia="Times New Roman"/>
                <w:b/>
                <w:noProof/>
                <w:sz w:val="22"/>
                <w:szCs w:val="22"/>
                <w:lang w:eastAsia="es-MX"/>
              </w:rPr>
              <w:lastRenderedPageBreak/>
              <w:t xml:space="preserve">INDICADOR DE CONFIANZA EMPRESARIAL MANUFACTURERO </w:t>
            </w:r>
          </w:p>
          <w:p w14:paraId="7D04ECBE" w14:textId="77777777" w:rsidR="009624DA" w:rsidRPr="009624DA" w:rsidRDefault="009624DA" w:rsidP="009624DA">
            <w:pPr>
              <w:jc w:val="center"/>
              <w:rPr>
                <w:rFonts w:eastAsia="Times New Roman"/>
                <w:b/>
                <w:noProof/>
                <w:sz w:val="22"/>
                <w:szCs w:val="22"/>
                <w:lang w:eastAsia="es-MX"/>
              </w:rPr>
            </w:pPr>
            <w:r w:rsidRPr="009624DA">
              <w:rPr>
                <w:rFonts w:eastAsia="Times New Roman"/>
                <w:b/>
                <w:noProof/>
                <w:sz w:val="22"/>
                <w:szCs w:val="22"/>
                <w:lang w:eastAsia="es-MX"/>
              </w:rPr>
              <w:t xml:space="preserve">Y SUS COMPONENTES </w:t>
            </w:r>
          </w:p>
          <w:p w14:paraId="40FB2185" w14:textId="77777777" w:rsidR="009624DA" w:rsidRPr="009624DA" w:rsidRDefault="009624DA" w:rsidP="009624DA">
            <w:pPr>
              <w:jc w:val="center"/>
              <w:rPr>
                <w:rFonts w:eastAsia="Times New Roman"/>
                <w:b/>
                <w:noProof/>
                <w:sz w:val="22"/>
                <w:szCs w:val="22"/>
                <w:lang w:eastAsia="es-MX"/>
              </w:rPr>
            </w:pPr>
            <w:r w:rsidRPr="009624DA">
              <w:rPr>
                <w:rFonts w:eastAsia="Times New Roman"/>
                <w:b/>
                <w:noProof/>
                <w:sz w:val="22"/>
                <w:szCs w:val="22"/>
                <w:lang w:eastAsia="es-MX"/>
              </w:rPr>
              <w:t>SERIES DESESTACIONALIZADAS</w:t>
            </w:r>
          </w:p>
        </w:tc>
      </w:tr>
      <w:tr w:rsidR="009624DA" w:rsidRPr="009624DA" w14:paraId="0B1F7921" w14:textId="77777777" w:rsidTr="00BA61DD">
        <w:tc>
          <w:tcPr>
            <w:tcW w:w="4219" w:type="dxa"/>
            <w:tcBorders>
              <w:top w:val="single" w:sz="4" w:space="0" w:color="auto"/>
              <w:left w:val="single" w:sz="4" w:space="0" w:color="auto"/>
              <w:bottom w:val="single" w:sz="4" w:space="0" w:color="auto"/>
              <w:right w:val="single" w:sz="4" w:space="0" w:color="auto"/>
            </w:tcBorders>
            <w:vAlign w:val="center"/>
          </w:tcPr>
          <w:p w14:paraId="5F4C602B"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Indicadores</w:t>
            </w:r>
          </w:p>
        </w:tc>
        <w:tc>
          <w:tcPr>
            <w:tcW w:w="1168" w:type="dxa"/>
            <w:tcBorders>
              <w:top w:val="single" w:sz="4" w:space="0" w:color="auto"/>
              <w:left w:val="single" w:sz="4" w:space="0" w:color="auto"/>
              <w:bottom w:val="single" w:sz="4" w:space="0" w:color="auto"/>
              <w:right w:val="single" w:sz="4" w:space="0" w:color="auto"/>
            </w:tcBorders>
            <w:vAlign w:val="center"/>
          </w:tcPr>
          <w:p w14:paraId="1012308F"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Febrero de 2015</w:t>
            </w:r>
          </w:p>
        </w:tc>
        <w:tc>
          <w:tcPr>
            <w:tcW w:w="1242" w:type="dxa"/>
            <w:tcBorders>
              <w:top w:val="single" w:sz="4" w:space="0" w:color="auto"/>
              <w:left w:val="single" w:sz="4" w:space="0" w:color="auto"/>
              <w:bottom w:val="single" w:sz="4" w:space="0" w:color="auto"/>
              <w:right w:val="single" w:sz="4" w:space="0" w:color="auto"/>
            </w:tcBorders>
            <w:vAlign w:val="center"/>
          </w:tcPr>
          <w:p w14:paraId="24DD96BF"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Marzo de 2015</w:t>
            </w:r>
          </w:p>
        </w:tc>
        <w:tc>
          <w:tcPr>
            <w:tcW w:w="1276" w:type="dxa"/>
            <w:tcBorders>
              <w:top w:val="single" w:sz="4" w:space="0" w:color="auto"/>
              <w:left w:val="single" w:sz="4" w:space="0" w:color="auto"/>
              <w:bottom w:val="single" w:sz="4" w:space="0" w:color="auto"/>
              <w:right w:val="single" w:sz="4" w:space="0" w:color="auto"/>
            </w:tcBorders>
            <w:vAlign w:val="center"/>
          </w:tcPr>
          <w:p w14:paraId="63ECEB16"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Diferencia</w:t>
            </w:r>
            <w:r w:rsidRPr="009624DA">
              <w:rPr>
                <w:rFonts w:eastAsia="Times New Roman"/>
                <w:b/>
                <w:noProof/>
                <w:sz w:val="20"/>
                <w:szCs w:val="20"/>
                <w:u w:val="single"/>
                <w:vertAlign w:val="superscript"/>
                <w:lang w:eastAsia="es-MX"/>
              </w:rPr>
              <w:t>1</w:t>
            </w:r>
            <w:r w:rsidRPr="009624DA">
              <w:rPr>
                <w:rFonts w:eastAsia="Times New Roman"/>
                <w:b/>
                <w:noProof/>
                <w:sz w:val="20"/>
                <w:szCs w:val="20"/>
                <w:vertAlign w:val="superscript"/>
                <w:lang w:eastAsia="es-MX"/>
              </w:rPr>
              <w:t>/</w:t>
            </w:r>
          </w:p>
        </w:tc>
        <w:tc>
          <w:tcPr>
            <w:tcW w:w="1559" w:type="dxa"/>
            <w:tcBorders>
              <w:top w:val="single" w:sz="4" w:space="0" w:color="auto"/>
              <w:left w:val="single" w:sz="4" w:space="0" w:color="auto"/>
              <w:bottom w:val="single" w:sz="4" w:space="0" w:color="auto"/>
              <w:right w:val="single" w:sz="4" w:space="0" w:color="auto"/>
            </w:tcBorders>
            <w:vAlign w:val="center"/>
          </w:tcPr>
          <w:p w14:paraId="130392B2"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Número de meses consecutivos por arriba o por debajo del umbral de 50 puntos</w:t>
            </w:r>
          </w:p>
        </w:tc>
      </w:tr>
      <w:tr w:rsidR="009624DA" w:rsidRPr="009624DA" w14:paraId="450BC4A7" w14:textId="77777777" w:rsidTr="00BA61DD">
        <w:tc>
          <w:tcPr>
            <w:tcW w:w="4219" w:type="dxa"/>
            <w:tcBorders>
              <w:top w:val="single" w:sz="4" w:space="0" w:color="auto"/>
              <w:left w:val="single" w:sz="4" w:space="0" w:color="auto"/>
              <w:bottom w:val="nil"/>
              <w:right w:val="single" w:sz="4" w:space="0" w:color="auto"/>
            </w:tcBorders>
          </w:tcPr>
          <w:p w14:paraId="51769EE2" w14:textId="77777777" w:rsidR="009624DA" w:rsidRPr="009624DA" w:rsidRDefault="009624DA" w:rsidP="009624DA">
            <w:pPr>
              <w:jc w:val="both"/>
              <w:rPr>
                <w:rFonts w:eastAsia="Times New Roman"/>
                <w:b/>
                <w:noProof/>
                <w:sz w:val="20"/>
                <w:szCs w:val="20"/>
                <w:lang w:eastAsia="es-MX"/>
              </w:rPr>
            </w:pPr>
            <w:r w:rsidRPr="009624DA">
              <w:rPr>
                <w:rFonts w:eastAsia="Times New Roman"/>
                <w:b/>
                <w:noProof/>
                <w:sz w:val="20"/>
                <w:szCs w:val="20"/>
                <w:lang w:eastAsia="es-MX"/>
              </w:rPr>
              <w:t>Indicador de Confianza Empresarial Manufacturero</w:t>
            </w:r>
          </w:p>
        </w:tc>
        <w:tc>
          <w:tcPr>
            <w:tcW w:w="1168" w:type="dxa"/>
            <w:tcBorders>
              <w:top w:val="single" w:sz="4" w:space="0" w:color="auto"/>
              <w:left w:val="single" w:sz="4" w:space="0" w:color="auto"/>
              <w:bottom w:val="nil"/>
              <w:right w:val="single" w:sz="4" w:space="0" w:color="auto"/>
            </w:tcBorders>
            <w:vAlign w:val="center"/>
          </w:tcPr>
          <w:p w14:paraId="4EBA3146"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49.4</w:t>
            </w:r>
          </w:p>
        </w:tc>
        <w:tc>
          <w:tcPr>
            <w:tcW w:w="1242" w:type="dxa"/>
            <w:tcBorders>
              <w:top w:val="single" w:sz="4" w:space="0" w:color="auto"/>
              <w:left w:val="single" w:sz="4" w:space="0" w:color="auto"/>
              <w:bottom w:val="nil"/>
              <w:right w:val="single" w:sz="4" w:space="0" w:color="auto"/>
            </w:tcBorders>
            <w:vAlign w:val="center"/>
          </w:tcPr>
          <w:p w14:paraId="580116DB" w14:textId="77777777" w:rsidR="009624DA" w:rsidRPr="009624DA" w:rsidRDefault="009624DA" w:rsidP="009624DA">
            <w:pPr>
              <w:jc w:val="center"/>
              <w:rPr>
                <w:rFonts w:eastAsia="Times New Roman"/>
                <w:b/>
                <w:noProof/>
                <w:sz w:val="20"/>
                <w:szCs w:val="20"/>
                <w:lang w:eastAsia="es-MX"/>
              </w:rPr>
            </w:pPr>
            <w:r w:rsidRPr="009624DA">
              <w:rPr>
                <w:rFonts w:eastAsia="Times New Roman"/>
                <w:b/>
                <w:noProof/>
                <w:sz w:val="20"/>
                <w:szCs w:val="20"/>
                <w:lang w:eastAsia="es-MX"/>
              </w:rPr>
              <w:t>48.2</w:t>
            </w:r>
          </w:p>
        </w:tc>
        <w:tc>
          <w:tcPr>
            <w:tcW w:w="1276" w:type="dxa"/>
            <w:tcBorders>
              <w:top w:val="single" w:sz="4" w:space="0" w:color="auto"/>
              <w:left w:val="single" w:sz="4" w:space="0" w:color="auto"/>
              <w:bottom w:val="nil"/>
              <w:right w:val="single" w:sz="4" w:space="0" w:color="auto"/>
            </w:tcBorders>
            <w:vAlign w:val="center"/>
          </w:tcPr>
          <w:p w14:paraId="3CD6B3E3" w14:textId="77777777" w:rsidR="009624DA" w:rsidRPr="009624DA" w:rsidRDefault="009624DA" w:rsidP="009624DA">
            <w:pPr>
              <w:ind w:right="340"/>
              <w:jc w:val="right"/>
              <w:rPr>
                <w:rFonts w:eastAsia="Times New Roman"/>
                <w:b/>
                <w:noProof/>
                <w:sz w:val="20"/>
                <w:szCs w:val="20"/>
                <w:lang w:eastAsia="es-MX"/>
              </w:rPr>
            </w:pPr>
            <w:r w:rsidRPr="009624DA">
              <w:rPr>
                <w:rFonts w:eastAsia="Times New Roman"/>
                <w:b/>
                <w:noProof/>
                <w:sz w:val="20"/>
                <w:szCs w:val="20"/>
                <w:lang w:eastAsia="es-MX"/>
              </w:rPr>
              <w:t>-1.16</w:t>
            </w:r>
          </w:p>
        </w:tc>
        <w:tc>
          <w:tcPr>
            <w:tcW w:w="1559" w:type="dxa"/>
            <w:tcBorders>
              <w:top w:val="single" w:sz="4" w:space="0" w:color="auto"/>
              <w:left w:val="single" w:sz="4" w:space="0" w:color="auto"/>
              <w:bottom w:val="nil"/>
              <w:right w:val="single" w:sz="4" w:space="0" w:color="auto"/>
            </w:tcBorders>
            <w:vAlign w:val="center"/>
          </w:tcPr>
          <w:p w14:paraId="13BFEDA0" w14:textId="77777777" w:rsidR="009624DA" w:rsidRPr="009624DA" w:rsidRDefault="009624DA" w:rsidP="009624DA">
            <w:pPr>
              <w:ind w:right="57"/>
              <w:jc w:val="right"/>
              <w:rPr>
                <w:rFonts w:eastAsia="Times New Roman"/>
                <w:b/>
                <w:noProof/>
                <w:sz w:val="20"/>
                <w:szCs w:val="20"/>
                <w:lang w:eastAsia="es-MX"/>
              </w:rPr>
            </w:pPr>
            <w:r w:rsidRPr="009624DA">
              <w:rPr>
                <w:rFonts w:eastAsia="Times New Roman"/>
                <w:b/>
                <w:noProof/>
                <w:sz w:val="20"/>
                <w:szCs w:val="20"/>
                <w:lang w:eastAsia="es-MX"/>
              </w:rPr>
              <w:t>2 por debajo</w:t>
            </w:r>
          </w:p>
        </w:tc>
      </w:tr>
      <w:tr w:rsidR="009624DA" w:rsidRPr="009624DA" w14:paraId="648F1936" w14:textId="77777777" w:rsidTr="00BA61DD">
        <w:tc>
          <w:tcPr>
            <w:tcW w:w="4219" w:type="dxa"/>
            <w:tcBorders>
              <w:top w:val="nil"/>
              <w:left w:val="single" w:sz="4" w:space="0" w:color="auto"/>
              <w:bottom w:val="nil"/>
              <w:right w:val="single" w:sz="4" w:space="0" w:color="auto"/>
            </w:tcBorders>
          </w:tcPr>
          <w:p w14:paraId="6F8416FA"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a) Momento adecuado para invertir</w:t>
            </w:r>
          </w:p>
        </w:tc>
        <w:tc>
          <w:tcPr>
            <w:tcW w:w="1168" w:type="dxa"/>
            <w:tcBorders>
              <w:top w:val="nil"/>
              <w:left w:val="single" w:sz="4" w:space="0" w:color="auto"/>
              <w:bottom w:val="nil"/>
              <w:right w:val="single" w:sz="4" w:space="0" w:color="auto"/>
            </w:tcBorders>
          </w:tcPr>
          <w:p w14:paraId="39726CA2"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38.9</w:t>
            </w:r>
          </w:p>
        </w:tc>
        <w:tc>
          <w:tcPr>
            <w:tcW w:w="1242" w:type="dxa"/>
            <w:tcBorders>
              <w:top w:val="nil"/>
              <w:left w:val="single" w:sz="4" w:space="0" w:color="auto"/>
              <w:bottom w:val="nil"/>
              <w:right w:val="single" w:sz="4" w:space="0" w:color="auto"/>
            </w:tcBorders>
          </w:tcPr>
          <w:p w14:paraId="75BE4768"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37.4</w:t>
            </w:r>
          </w:p>
        </w:tc>
        <w:tc>
          <w:tcPr>
            <w:tcW w:w="1276" w:type="dxa"/>
            <w:tcBorders>
              <w:top w:val="nil"/>
              <w:left w:val="single" w:sz="4" w:space="0" w:color="auto"/>
              <w:bottom w:val="nil"/>
              <w:right w:val="single" w:sz="4" w:space="0" w:color="auto"/>
            </w:tcBorders>
          </w:tcPr>
          <w:p w14:paraId="1FC668B4" w14:textId="77777777" w:rsidR="009624DA" w:rsidRPr="009624DA" w:rsidRDefault="009624DA" w:rsidP="009624DA">
            <w:pPr>
              <w:ind w:right="340"/>
              <w:jc w:val="right"/>
              <w:rPr>
                <w:rFonts w:eastAsia="Times New Roman"/>
                <w:noProof/>
                <w:sz w:val="20"/>
                <w:szCs w:val="20"/>
                <w:lang w:eastAsia="es-MX"/>
              </w:rPr>
            </w:pPr>
            <w:r w:rsidRPr="009624DA">
              <w:rPr>
                <w:rFonts w:eastAsia="Times New Roman"/>
                <w:noProof/>
                <w:sz w:val="20"/>
                <w:szCs w:val="20"/>
                <w:lang w:eastAsia="es-MX"/>
              </w:rPr>
              <w:t>-1.54</w:t>
            </w:r>
          </w:p>
        </w:tc>
        <w:tc>
          <w:tcPr>
            <w:tcW w:w="1559" w:type="dxa"/>
            <w:tcBorders>
              <w:top w:val="nil"/>
              <w:left w:val="single" w:sz="4" w:space="0" w:color="auto"/>
              <w:bottom w:val="nil"/>
              <w:right w:val="single" w:sz="4" w:space="0" w:color="auto"/>
            </w:tcBorders>
          </w:tcPr>
          <w:p w14:paraId="19AB880D" w14:textId="77777777" w:rsidR="009624DA" w:rsidRPr="009624DA" w:rsidRDefault="009624DA" w:rsidP="009624DA">
            <w:pPr>
              <w:ind w:right="113"/>
              <w:jc w:val="right"/>
              <w:rPr>
                <w:rFonts w:eastAsia="Times New Roman"/>
                <w:noProof/>
                <w:sz w:val="20"/>
                <w:szCs w:val="20"/>
                <w:lang w:eastAsia="es-MX"/>
              </w:rPr>
            </w:pPr>
            <w:r w:rsidRPr="009624DA">
              <w:rPr>
                <w:rFonts w:eastAsia="Times New Roman"/>
                <w:noProof/>
                <w:sz w:val="20"/>
                <w:szCs w:val="20"/>
                <w:lang w:eastAsia="es-MX"/>
              </w:rPr>
              <w:t>88 por debajo</w:t>
            </w:r>
          </w:p>
        </w:tc>
      </w:tr>
      <w:tr w:rsidR="009624DA" w:rsidRPr="009624DA" w14:paraId="6ABE31EE" w14:textId="77777777" w:rsidTr="00BA61DD">
        <w:tc>
          <w:tcPr>
            <w:tcW w:w="4219" w:type="dxa"/>
            <w:tcBorders>
              <w:top w:val="nil"/>
              <w:left w:val="single" w:sz="4" w:space="0" w:color="auto"/>
              <w:bottom w:val="nil"/>
              <w:right w:val="single" w:sz="4" w:space="0" w:color="auto"/>
            </w:tcBorders>
          </w:tcPr>
          <w:p w14:paraId="60C71930"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b) Situación económica presente del país</w:t>
            </w:r>
          </w:p>
        </w:tc>
        <w:tc>
          <w:tcPr>
            <w:tcW w:w="1168" w:type="dxa"/>
            <w:tcBorders>
              <w:top w:val="nil"/>
              <w:left w:val="single" w:sz="4" w:space="0" w:color="auto"/>
              <w:bottom w:val="nil"/>
              <w:right w:val="single" w:sz="4" w:space="0" w:color="auto"/>
            </w:tcBorders>
          </w:tcPr>
          <w:p w14:paraId="511E27D8"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45.8</w:t>
            </w:r>
          </w:p>
        </w:tc>
        <w:tc>
          <w:tcPr>
            <w:tcW w:w="1242" w:type="dxa"/>
            <w:tcBorders>
              <w:top w:val="nil"/>
              <w:left w:val="single" w:sz="4" w:space="0" w:color="auto"/>
              <w:bottom w:val="nil"/>
              <w:right w:val="single" w:sz="4" w:space="0" w:color="auto"/>
            </w:tcBorders>
          </w:tcPr>
          <w:p w14:paraId="0CEB6868"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44.3</w:t>
            </w:r>
          </w:p>
        </w:tc>
        <w:tc>
          <w:tcPr>
            <w:tcW w:w="1276" w:type="dxa"/>
            <w:tcBorders>
              <w:top w:val="nil"/>
              <w:left w:val="single" w:sz="4" w:space="0" w:color="auto"/>
              <w:bottom w:val="nil"/>
              <w:right w:val="single" w:sz="4" w:space="0" w:color="auto"/>
            </w:tcBorders>
          </w:tcPr>
          <w:p w14:paraId="3E111694" w14:textId="77777777" w:rsidR="009624DA" w:rsidRPr="009624DA" w:rsidRDefault="009624DA" w:rsidP="009624DA">
            <w:pPr>
              <w:ind w:right="340"/>
              <w:jc w:val="right"/>
              <w:rPr>
                <w:rFonts w:eastAsia="Times New Roman"/>
                <w:noProof/>
                <w:sz w:val="20"/>
                <w:szCs w:val="20"/>
                <w:lang w:eastAsia="es-MX"/>
              </w:rPr>
            </w:pPr>
            <w:r w:rsidRPr="009624DA">
              <w:rPr>
                <w:rFonts w:eastAsia="Times New Roman"/>
                <w:noProof/>
                <w:sz w:val="20"/>
                <w:szCs w:val="20"/>
                <w:lang w:eastAsia="es-MX"/>
              </w:rPr>
              <w:t>-1.52</w:t>
            </w:r>
          </w:p>
        </w:tc>
        <w:tc>
          <w:tcPr>
            <w:tcW w:w="1559" w:type="dxa"/>
            <w:tcBorders>
              <w:top w:val="nil"/>
              <w:left w:val="single" w:sz="4" w:space="0" w:color="auto"/>
              <w:bottom w:val="nil"/>
              <w:right w:val="single" w:sz="4" w:space="0" w:color="auto"/>
            </w:tcBorders>
          </w:tcPr>
          <w:p w14:paraId="309BF978" w14:textId="77777777" w:rsidR="009624DA" w:rsidRPr="009624DA" w:rsidRDefault="009624DA" w:rsidP="009624DA">
            <w:pPr>
              <w:ind w:right="113"/>
              <w:jc w:val="right"/>
              <w:rPr>
                <w:rFonts w:eastAsia="Times New Roman"/>
                <w:noProof/>
                <w:sz w:val="20"/>
                <w:szCs w:val="20"/>
                <w:lang w:eastAsia="es-MX"/>
              </w:rPr>
            </w:pPr>
            <w:r w:rsidRPr="009624DA">
              <w:rPr>
                <w:rFonts w:eastAsia="Times New Roman"/>
                <w:noProof/>
                <w:sz w:val="20"/>
                <w:szCs w:val="20"/>
                <w:lang w:eastAsia="es-MX"/>
              </w:rPr>
              <w:t>19 por debajo</w:t>
            </w:r>
          </w:p>
        </w:tc>
      </w:tr>
      <w:tr w:rsidR="009624DA" w:rsidRPr="009624DA" w14:paraId="0B555458" w14:textId="77777777" w:rsidTr="00BA61DD">
        <w:tc>
          <w:tcPr>
            <w:tcW w:w="4219" w:type="dxa"/>
            <w:tcBorders>
              <w:top w:val="nil"/>
              <w:left w:val="single" w:sz="4" w:space="0" w:color="auto"/>
              <w:bottom w:val="nil"/>
              <w:right w:val="single" w:sz="4" w:space="0" w:color="auto"/>
            </w:tcBorders>
          </w:tcPr>
          <w:p w14:paraId="1D8E604A"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c) Situación económica futura del país</w:t>
            </w:r>
            <w:r w:rsidRPr="009624DA">
              <w:rPr>
                <w:rFonts w:eastAsia="Times New Roman"/>
                <w:noProof/>
                <w:sz w:val="20"/>
                <w:szCs w:val="20"/>
                <w:u w:val="single"/>
                <w:vertAlign w:val="superscript"/>
                <w:lang w:eastAsia="es-MX"/>
              </w:rPr>
              <w:t>2</w:t>
            </w:r>
            <w:r w:rsidRPr="009624DA">
              <w:rPr>
                <w:rFonts w:eastAsia="Times New Roman"/>
                <w:noProof/>
                <w:sz w:val="20"/>
                <w:szCs w:val="20"/>
                <w:vertAlign w:val="superscript"/>
                <w:lang w:eastAsia="es-MX"/>
              </w:rPr>
              <w:t>/</w:t>
            </w:r>
          </w:p>
        </w:tc>
        <w:tc>
          <w:tcPr>
            <w:tcW w:w="1168" w:type="dxa"/>
            <w:tcBorders>
              <w:top w:val="nil"/>
              <w:left w:val="single" w:sz="4" w:space="0" w:color="auto"/>
              <w:bottom w:val="nil"/>
              <w:right w:val="single" w:sz="4" w:space="0" w:color="auto"/>
            </w:tcBorders>
          </w:tcPr>
          <w:p w14:paraId="7A10AEC7"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51.9</w:t>
            </w:r>
          </w:p>
        </w:tc>
        <w:tc>
          <w:tcPr>
            <w:tcW w:w="1242" w:type="dxa"/>
            <w:tcBorders>
              <w:top w:val="nil"/>
              <w:left w:val="single" w:sz="4" w:space="0" w:color="auto"/>
              <w:bottom w:val="nil"/>
              <w:right w:val="single" w:sz="4" w:space="0" w:color="auto"/>
            </w:tcBorders>
          </w:tcPr>
          <w:p w14:paraId="6D0DF576"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50.6</w:t>
            </w:r>
          </w:p>
        </w:tc>
        <w:tc>
          <w:tcPr>
            <w:tcW w:w="1276" w:type="dxa"/>
            <w:tcBorders>
              <w:top w:val="nil"/>
              <w:left w:val="single" w:sz="4" w:space="0" w:color="auto"/>
              <w:bottom w:val="nil"/>
              <w:right w:val="single" w:sz="4" w:space="0" w:color="auto"/>
            </w:tcBorders>
          </w:tcPr>
          <w:p w14:paraId="4B8EA2BB" w14:textId="77777777" w:rsidR="009624DA" w:rsidRPr="009624DA" w:rsidRDefault="009624DA" w:rsidP="009624DA">
            <w:pPr>
              <w:ind w:right="340"/>
              <w:jc w:val="right"/>
              <w:rPr>
                <w:rFonts w:eastAsia="Times New Roman"/>
                <w:noProof/>
                <w:sz w:val="20"/>
                <w:szCs w:val="20"/>
                <w:lang w:eastAsia="es-MX"/>
              </w:rPr>
            </w:pPr>
            <w:r w:rsidRPr="009624DA">
              <w:rPr>
                <w:rFonts w:eastAsia="Times New Roman"/>
                <w:noProof/>
                <w:sz w:val="20"/>
                <w:szCs w:val="20"/>
                <w:lang w:eastAsia="es-MX"/>
              </w:rPr>
              <w:t>-1.37</w:t>
            </w:r>
          </w:p>
        </w:tc>
        <w:tc>
          <w:tcPr>
            <w:tcW w:w="1559" w:type="dxa"/>
            <w:tcBorders>
              <w:top w:val="nil"/>
              <w:left w:val="single" w:sz="4" w:space="0" w:color="auto"/>
              <w:bottom w:val="nil"/>
              <w:right w:val="single" w:sz="4" w:space="0" w:color="auto"/>
            </w:tcBorders>
          </w:tcPr>
          <w:p w14:paraId="3A05CB4E" w14:textId="77777777" w:rsidR="009624DA" w:rsidRPr="009624DA" w:rsidRDefault="009624DA" w:rsidP="009624DA">
            <w:pPr>
              <w:ind w:right="170"/>
              <w:jc w:val="right"/>
              <w:rPr>
                <w:rFonts w:eastAsia="Times New Roman"/>
                <w:noProof/>
                <w:sz w:val="20"/>
                <w:szCs w:val="20"/>
                <w:lang w:eastAsia="es-MX"/>
              </w:rPr>
            </w:pPr>
            <w:r w:rsidRPr="009624DA">
              <w:rPr>
                <w:rFonts w:eastAsia="Times New Roman"/>
                <w:noProof/>
                <w:sz w:val="20"/>
                <w:szCs w:val="20"/>
                <w:lang w:eastAsia="es-MX"/>
              </w:rPr>
              <w:t>69 por arriba</w:t>
            </w:r>
          </w:p>
        </w:tc>
      </w:tr>
      <w:tr w:rsidR="009624DA" w:rsidRPr="009624DA" w14:paraId="161094A9" w14:textId="77777777" w:rsidTr="00BA61DD">
        <w:tc>
          <w:tcPr>
            <w:tcW w:w="4219" w:type="dxa"/>
            <w:tcBorders>
              <w:top w:val="nil"/>
              <w:left w:val="single" w:sz="4" w:space="0" w:color="auto"/>
              <w:bottom w:val="nil"/>
              <w:right w:val="single" w:sz="4" w:space="0" w:color="auto"/>
            </w:tcBorders>
          </w:tcPr>
          <w:p w14:paraId="639161C0"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d) Situación económica presente de la empresa</w:t>
            </w:r>
            <w:r w:rsidRPr="009624DA">
              <w:rPr>
                <w:rFonts w:eastAsia="Times New Roman"/>
                <w:noProof/>
                <w:sz w:val="20"/>
                <w:szCs w:val="20"/>
                <w:u w:val="single"/>
                <w:vertAlign w:val="superscript"/>
                <w:lang w:eastAsia="es-MX"/>
              </w:rPr>
              <w:t>3</w:t>
            </w:r>
            <w:r w:rsidRPr="009624DA">
              <w:rPr>
                <w:rFonts w:eastAsia="Times New Roman"/>
                <w:noProof/>
                <w:sz w:val="20"/>
                <w:szCs w:val="20"/>
                <w:vertAlign w:val="superscript"/>
                <w:lang w:eastAsia="es-MX"/>
              </w:rPr>
              <w:t>/</w:t>
            </w:r>
          </w:p>
        </w:tc>
        <w:tc>
          <w:tcPr>
            <w:tcW w:w="1168" w:type="dxa"/>
            <w:tcBorders>
              <w:top w:val="nil"/>
              <w:left w:val="single" w:sz="4" w:space="0" w:color="auto"/>
              <w:bottom w:val="nil"/>
              <w:right w:val="single" w:sz="4" w:space="0" w:color="auto"/>
            </w:tcBorders>
          </w:tcPr>
          <w:p w14:paraId="5B5FDBEA"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52.7</w:t>
            </w:r>
          </w:p>
        </w:tc>
        <w:tc>
          <w:tcPr>
            <w:tcW w:w="1242" w:type="dxa"/>
            <w:tcBorders>
              <w:top w:val="nil"/>
              <w:left w:val="single" w:sz="4" w:space="0" w:color="auto"/>
              <w:bottom w:val="nil"/>
              <w:right w:val="single" w:sz="4" w:space="0" w:color="auto"/>
            </w:tcBorders>
          </w:tcPr>
          <w:p w14:paraId="07847FB2"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52.6</w:t>
            </w:r>
          </w:p>
        </w:tc>
        <w:tc>
          <w:tcPr>
            <w:tcW w:w="1276" w:type="dxa"/>
            <w:tcBorders>
              <w:top w:val="nil"/>
              <w:left w:val="single" w:sz="4" w:space="0" w:color="auto"/>
              <w:bottom w:val="nil"/>
              <w:right w:val="single" w:sz="4" w:space="0" w:color="auto"/>
            </w:tcBorders>
          </w:tcPr>
          <w:p w14:paraId="0123816C" w14:textId="77777777" w:rsidR="009624DA" w:rsidRPr="009624DA" w:rsidRDefault="009624DA" w:rsidP="009624DA">
            <w:pPr>
              <w:ind w:right="340"/>
              <w:jc w:val="right"/>
              <w:rPr>
                <w:rFonts w:eastAsia="Times New Roman"/>
                <w:noProof/>
                <w:sz w:val="20"/>
                <w:szCs w:val="20"/>
                <w:lang w:eastAsia="es-MX"/>
              </w:rPr>
            </w:pPr>
            <w:r w:rsidRPr="009624DA">
              <w:rPr>
                <w:rFonts w:eastAsia="Times New Roman"/>
                <w:noProof/>
                <w:sz w:val="20"/>
                <w:szCs w:val="20"/>
                <w:lang w:eastAsia="es-MX"/>
              </w:rPr>
              <w:t>-0.10</w:t>
            </w:r>
          </w:p>
        </w:tc>
        <w:tc>
          <w:tcPr>
            <w:tcW w:w="1559" w:type="dxa"/>
            <w:tcBorders>
              <w:top w:val="nil"/>
              <w:left w:val="single" w:sz="4" w:space="0" w:color="auto"/>
              <w:bottom w:val="nil"/>
              <w:right w:val="single" w:sz="4" w:space="0" w:color="auto"/>
            </w:tcBorders>
          </w:tcPr>
          <w:p w14:paraId="4A28B0B9" w14:textId="77777777" w:rsidR="009624DA" w:rsidRPr="009624DA" w:rsidRDefault="009624DA" w:rsidP="009624DA">
            <w:pPr>
              <w:ind w:right="170"/>
              <w:jc w:val="right"/>
              <w:rPr>
                <w:rFonts w:eastAsia="Times New Roman"/>
                <w:noProof/>
                <w:sz w:val="20"/>
                <w:szCs w:val="20"/>
                <w:lang w:eastAsia="es-MX"/>
              </w:rPr>
            </w:pPr>
            <w:r w:rsidRPr="009624DA">
              <w:rPr>
                <w:rFonts w:eastAsia="Times New Roman"/>
                <w:noProof/>
                <w:sz w:val="20"/>
                <w:szCs w:val="20"/>
                <w:lang w:eastAsia="es-MX"/>
              </w:rPr>
              <w:t>61 por arriba</w:t>
            </w:r>
          </w:p>
        </w:tc>
      </w:tr>
      <w:tr w:rsidR="009624DA" w:rsidRPr="009624DA" w14:paraId="244FF567" w14:textId="77777777" w:rsidTr="00BA61DD">
        <w:tc>
          <w:tcPr>
            <w:tcW w:w="4219" w:type="dxa"/>
            <w:tcBorders>
              <w:top w:val="nil"/>
              <w:left w:val="single" w:sz="4" w:space="0" w:color="auto"/>
              <w:bottom w:val="single" w:sz="4" w:space="0" w:color="auto"/>
              <w:right w:val="single" w:sz="4" w:space="0" w:color="auto"/>
            </w:tcBorders>
          </w:tcPr>
          <w:p w14:paraId="1523C21B"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e) Situación económica futura de la empresa</w:t>
            </w:r>
            <w:r w:rsidRPr="009624DA">
              <w:rPr>
                <w:rFonts w:eastAsia="Times New Roman"/>
                <w:noProof/>
                <w:sz w:val="20"/>
                <w:szCs w:val="20"/>
                <w:u w:val="single"/>
                <w:vertAlign w:val="superscript"/>
                <w:lang w:eastAsia="es-MX"/>
              </w:rPr>
              <w:t>3</w:t>
            </w:r>
            <w:r w:rsidRPr="009624DA">
              <w:rPr>
                <w:rFonts w:eastAsia="Times New Roman"/>
                <w:noProof/>
                <w:sz w:val="20"/>
                <w:szCs w:val="20"/>
                <w:vertAlign w:val="superscript"/>
                <w:lang w:eastAsia="es-MX"/>
              </w:rPr>
              <w:t>/</w:t>
            </w:r>
          </w:p>
        </w:tc>
        <w:tc>
          <w:tcPr>
            <w:tcW w:w="1168" w:type="dxa"/>
            <w:tcBorders>
              <w:top w:val="nil"/>
              <w:left w:val="single" w:sz="4" w:space="0" w:color="auto"/>
              <w:bottom w:val="single" w:sz="4" w:space="0" w:color="auto"/>
              <w:right w:val="single" w:sz="4" w:space="0" w:color="auto"/>
            </w:tcBorders>
          </w:tcPr>
          <w:p w14:paraId="17DA4DD1"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58.8</w:t>
            </w:r>
          </w:p>
        </w:tc>
        <w:tc>
          <w:tcPr>
            <w:tcW w:w="1242" w:type="dxa"/>
            <w:tcBorders>
              <w:top w:val="nil"/>
              <w:left w:val="single" w:sz="4" w:space="0" w:color="auto"/>
              <w:bottom w:val="single" w:sz="4" w:space="0" w:color="auto"/>
              <w:right w:val="single" w:sz="4" w:space="0" w:color="auto"/>
            </w:tcBorders>
          </w:tcPr>
          <w:p w14:paraId="2CE813C2" w14:textId="77777777" w:rsidR="009624DA" w:rsidRPr="009624DA" w:rsidRDefault="009624DA" w:rsidP="009624DA">
            <w:pPr>
              <w:jc w:val="center"/>
              <w:rPr>
                <w:rFonts w:eastAsia="Times New Roman"/>
                <w:noProof/>
                <w:sz w:val="20"/>
                <w:szCs w:val="20"/>
                <w:lang w:eastAsia="es-MX"/>
              </w:rPr>
            </w:pPr>
            <w:r w:rsidRPr="009624DA">
              <w:rPr>
                <w:rFonts w:eastAsia="Times New Roman"/>
                <w:noProof/>
                <w:sz w:val="20"/>
                <w:szCs w:val="20"/>
                <w:lang w:eastAsia="es-MX"/>
              </w:rPr>
              <w:t>57.6</w:t>
            </w:r>
          </w:p>
        </w:tc>
        <w:tc>
          <w:tcPr>
            <w:tcW w:w="1276" w:type="dxa"/>
            <w:tcBorders>
              <w:top w:val="nil"/>
              <w:left w:val="single" w:sz="4" w:space="0" w:color="auto"/>
              <w:bottom w:val="single" w:sz="4" w:space="0" w:color="auto"/>
              <w:right w:val="single" w:sz="4" w:space="0" w:color="auto"/>
            </w:tcBorders>
          </w:tcPr>
          <w:p w14:paraId="5E4AC23B" w14:textId="77777777" w:rsidR="009624DA" w:rsidRPr="009624DA" w:rsidRDefault="009624DA" w:rsidP="009624DA">
            <w:pPr>
              <w:ind w:right="340"/>
              <w:jc w:val="right"/>
              <w:rPr>
                <w:rFonts w:eastAsia="Times New Roman"/>
                <w:noProof/>
                <w:sz w:val="20"/>
                <w:szCs w:val="20"/>
                <w:lang w:eastAsia="es-MX"/>
              </w:rPr>
            </w:pPr>
            <w:r w:rsidRPr="009624DA">
              <w:rPr>
                <w:rFonts w:eastAsia="Times New Roman"/>
                <w:noProof/>
                <w:sz w:val="20"/>
                <w:szCs w:val="20"/>
                <w:lang w:eastAsia="es-MX"/>
              </w:rPr>
              <w:t>-1.20</w:t>
            </w:r>
          </w:p>
        </w:tc>
        <w:tc>
          <w:tcPr>
            <w:tcW w:w="1559" w:type="dxa"/>
            <w:tcBorders>
              <w:top w:val="nil"/>
              <w:left w:val="single" w:sz="4" w:space="0" w:color="auto"/>
              <w:bottom w:val="single" w:sz="4" w:space="0" w:color="auto"/>
              <w:right w:val="single" w:sz="4" w:space="0" w:color="auto"/>
            </w:tcBorders>
          </w:tcPr>
          <w:p w14:paraId="750A3995" w14:textId="77777777" w:rsidR="009624DA" w:rsidRPr="009624DA" w:rsidRDefault="009624DA" w:rsidP="009624DA">
            <w:pPr>
              <w:ind w:right="170"/>
              <w:jc w:val="right"/>
              <w:rPr>
                <w:rFonts w:eastAsia="Times New Roman"/>
                <w:noProof/>
                <w:sz w:val="20"/>
                <w:szCs w:val="20"/>
                <w:lang w:eastAsia="es-MX"/>
              </w:rPr>
            </w:pPr>
            <w:r w:rsidRPr="009624DA">
              <w:rPr>
                <w:rFonts w:eastAsia="Times New Roman"/>
                <w:noProof/>
                <w:sz w:val="20"/>
                <w:szCs w:val="20"/>
                <w:lang w:eastAsia="es-MX"/>
              </w:rPr>
              <w:t>135 por arriba</w:t>
            </w:r>
          </w:p>
        </w:tc>
      </w:tr>
      <w:tr w:rsidR="009624DA" w:rsidRPr="009624DA" w14:paraId="277F0542" w14:textId="77777777" w:rsidTr="00BA61DD">
        <w:tc>
          <w:tcPr>
            <w:tcW w:w="9464" w:type="dxa"/>
            <w:gridSpan w:val="5"/>
            <w:tcBorders>
              <w:left w:val="nil"/>
              <w:bottom w:val="nil"/>
              <w:right w:val="nil"/>
            </w:tcBorders>
          </w:tcPr>
          <w:p w14:paraId="2A863607"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Nota:</w:t>
            </w:r>
            <w:r w:rsidRPr="009624DA">
              <w:t xml:space="preserve"> </w:t>
            </w:r>
            <w:r w:rsidRPr="009624DA">
              <w:rPr>
                <w:rFonts w:eastAsia="Times New Roman"/>
                <w:noProof/>
                <w:sz w:val="20"/>
                <w:szCs w:val="20"/>
                <w:lang w:eastAsia="es-MX"/>
              </w:rPr>
              <w:t>Los indicadores se generan con los datos referidos al mes de la entrevista.</w:t>
            </w:r>
          </w:p>
          <w:p w14:paraId="79D37A90"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u w:val="single"/>
                <w:lang w:eastAsia="es-MX"/>
              </w:rPr>
              <w:t>1</w:t>
            </w:r>
            <w:r w:rsidRPr="009624DA">
              <w:rPr>
                <w:rFonts w:eastAsia="Times New Roman"/>
                <w:noProof/>
                <w:sz w:val="20"/>
                <w:szCs w:val="20"/>
                <w:lang w:eastAsia="es-MX"/>
              </w:rPr>
              <w:t>/ Las diferencias en puntos se obtienen de los respectivos indicadores considerando todos sus decimales.</w:t>
            </w:r>
          </w:p>
          <w:p w14:paraId="4111E637"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u w:val="single"/>
                <w:lang w:eastAsia="es-MX"/>
              </w:rPr>
              <w:t>2</w:t>
            </w:r>
            <w:r w:rsidRPr="009624DA">
              <w:rPr>
                <w:rFonts w:eastAsia="Times New Roman"/>
                <w:noProof/>
                <w:sz w:val="20"/>
                <w:szCs w:val="20"/>
                <w:lang w:eastAsia="es-MX"/>
              </w:rPr>
              <w:t>/ Componente ajustado por el efecto de semana santa.</w:t>
            </w:r>
          </w:p>
          <w:p w14:paraId="66B9A837"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u w:val="single"/>
                <w:lang w:eastAsia="es-MX"/>
              </w:rPr>
              <w:t>3</w:t>
            </w:r>
            <w:r w:rsidRPr="009624DA">
              <w:rPr>
                <w:rFonts w:eastAsia="Times New Roman"/>
                <w:noProof/>
                <w:sz w:val="20"/>
                <w:szCs w:val="20"/>
                <w:lang w:eastAsia="es-MX"/>
              </w:rPr>
              <w:t>/ Componente no sujeto a desestacionalización.</w:t>
            </w:r>
          </w:p>
          <w:p w14:paraId="7B7736D2" w14:textId="77777777" w:rsidR="009624DA" w:rsidRPr="009624DA" w:rsidRDefault="009624DA" w:rsidP="009624DA">
            <w:pPr>
              <w:jc w:val="both"/>
              <w:rPr>
                <w:rFonts w:eastAsia="Times New Roman"/>
                <w:noProof/>
                <w:sz w:val="20"/>
                <w:szCs w:val="20"/>
                <w:lang w:eastAsia="es-MX"/>
              </w:rPr>
            </w:pPr>
            <w:r w:rsidRPr="009624DA">
              <w:rPr>
                <w:rFonts w:eastAsia="Times New Roman"/>
                <w:noProof/>
                <w:sz w:val="20"/>
                <w:szCs w:val="20"/>
                <w:lang w:eastAsia="es-MX"/>
              </w:rPr>
              <w:t>FUENTE: INEGI.</w:t>
            </w:r>
          </w:p>
        </w:tc>
      </w:tr>
    </w:tbl>
    <w:p w14:paraId="4EF98F44" w14:textId="77777777" w:rsidR="009624DA" w:rsidRPr="009624DA" w:rsidRDefault="009624DA" w:rsidP="009624DA">
      <w:pPr>
        <w:spacing w:after="360" w:line="360" w:lineRule="auto"/>
        <w:ind w:right="-159"/>
        <w:jc w:val="both"/>
        <w:rPr>
          <w:rFonts w:eastAsia="Times New Roman"/>
          <w:noProof/>
          <w:sz w:val="26"/>
          <w:szCs w:val="26"/>
          <w:lang w:eastAsia="es-MX"/>
        </w:rPr>
      </w:pPr>
    </w:p>
    <w:p w14:paraId="56F9F8D2"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Las gráficas siguientes presentan la evolución y tendencias de los componentes que integran al Indicador de Confianza Empresarial Manufacturero:</w:t>
      </w:r>
    </w:p>
    <w:tbl>
      <w:tblPr>
        <w:tblW w:w="0" w:type="auto"/>
        <w:tblLook w:val="04A0" w:firstRow="1" w:lastRow="0" w:firstColumn="1" w:lastColumn="0" w:noHBand="0" w:noVBand="1"/>
      </w:tblPr>
      <w:tblGrid>
        <w:gridCol w:w="8840"/>
      </w:tblGrid>
      <w:tr w:rsidR="009624DA" w:rsidRPr="009624DA" w14:paraId="6EAD2EE5" w14:textId="77777777" w:rsidTr="00BA61DD">
        <w:tc>
          <w:tcPr>
            <w:tcW w:w="8838" w:type="dxa"/>
          </w:tcPr>
          <w:p w14:paraId="4ECB7751" w14:textId="77777777" w:rsidR="009624DA" w:rsidRPr="009624DA" w:rsidRDefault="009624DA" w:rsidP="009624DA">
            <w:pPr>
              <w:jc w:val="center"/>
              <w:rPr>
                <w:rFonts w:ascii="Calibri" w:eastAsia="Calibri" w:hAnsi="Calibri"/>
                <w:sz w:val="22"/>
                <w:szCs w:val="22"/>
                <w:lang w:eastAsia="en-US"/>
              </w:rPr>
            </w:pPr>
            <w:r w:rsidRPr="009624DA">
              <w:rPr>
                <w:rFonts w:ascii="Calibri" w:eastAsia="Calibri" w:hAnsi="Calibri"/>
                <w:sz w:val="22"/>
                <w:szCs w:val="22"/>
                <w:lang w:eastAsia="en-US"/>
              </w:rPr>
              <w:fldChar w:fldCharType="begin"/>
            </w:r>
            <w:r w:rsidRPr="009624DA">
              <w:rPr>
                <w:rFonts w:ascii="Calibri" w:eastAsia="Calibri" w:hAnsi="Calibri"/>
                <w:sz w:val="22"/>
                <w:szCs w:val="22"/>
                <w:lang w:eastAsia="en-US"/>
              </w:rPr>
              <w:instrText xml:space="preserve"> LINK PowerPoint.Slide.8 "D:\\2015\\ABRIL\\GRÁFICAS POWER POINT\\17.- GRÁFICAS DEL IND DE CONFIANZA EMPRESARIAL.pptx!263" "" \a \p </w:instrText>
            </w:r>
            <w:r w:rsidRPr="009624DA">
              <w:rPr>
                <w:rFonts w:ascii="Calibri" w:eastAsia="Calibri" w:hAnsi="Calibri"/>
                <w:sz w:val="22"/>
                <w:szCs w:val="22"/>
                <w:lang w:eastAsia="en-US"/>
              </w:rPr>
              <w:fldChar w:fldCharType="separate"/>
            </w:r>
            <w:r w:rsidRPr="009624DA">
              <w:rPr>
                <w:rFonts w:ascii="Calibri" w:eastAsia="Calibri" w:hAnsi="Calibri"/>
                <w:noProof/>
                <w:sz w:val="22"/>
                <w:szCs w:val="22"/>
                <w:lang w:eastAsia="es-MX"/>
              </w:rPr>
              <w:drawing>
                <wp:inline distT="0" distB="0" distL="0" distR="0" wp14:anchorId="166BFA66" wp14:editId="4771C9A9">
                  <wp:extent cx="5535930" cy="2471420"/>
                  <wp:effectExtent l="0" t="0" r="7620" b="5080"/>
                  <wp:docPr id="1658" name="Imagen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02" cstate="print">
                            <a:extLst>
                              <a:ext uri="{28A0092B-C50C-407E-A947-70E740481C1C}">
                                <a14:useLocalDpi xmlns:a14="http://schemas.microsoft.com/office/drawing/2010/main" val="0"/>
                              </a:ext>
                            </a:extLst>
                          </a:blip>
                          <a:srcRect l="4070" t="6389" r="5008" b="21666"/>
                          <a:stretch>
                            <a:fillRect/>
                          </a:stretch>
                        </pic:blipFill>
                        <pic:spPr bwMode="auto">
                          <a:xfrm>
                            <a:off x="0" y="0"/>
                            <a:ext cx="5535930" cy="2471420"/>
                          </a:xfrm>
                          <a:prstGeom prst="rect">
                            <a:avLst/>
                          </a:prstGeom>
                          <a:noFill/>
                          <a:ln>
                            <a:noFill/>
                          </a:ln>
                        </pic:spPr>
                      </pic:pic>
                    </a:graphicData>
                  </a:graphic>
                </wp:inline>
              </w:drawing>
            </w:r>
            <w:r w:rsidRPr="009624DA">
              <w:rPr>
                <w:rFonts w:ascii="Calibri" w:eastAsia="Calibri" w:hAnsi="Calibri"/>
                <w:sz w:val="22"/>
                <w:szCs w:val="22"/>
                <w:lang w:eastAsia="en-US"/>
              </w:rPr>
              <w:fldChar w:fldCharType="end"/>
            </w:r>
          </w:p>
        </w:tc>
      </w:tr>
      <w:tr w:rsidR="009624DA" w:rsidRPr="009624DA" w14:paraId="14BA3A02" w14:textId="77777777" w:rsidTr="00BA61DD">
        <w:tc>
          <w:tcPr>
            <w:tcW w:w="8838" w:type="dxa"/>
          </w:tcPr>
          <w:p w14:paraId="04ED0A8B" w14:textId="77777777" w:rsidR="009624DA" w:rsidRPr="009624DA" w:rsidRDefault="009624DA" w:rsidP="009624DA">
            <w:pPr>
              <w:jc w:val="center"/>
              <w:rPr>
                <w:rFonts w:ascii="Calibri" w:eastAsia="Calibri" w:hAnsi="Calibri"/>
                <w:sz w:val="22"/>
                <w:szCs w:val="22"/>
                <w:lang w:eastAsia="en-US"/>
              </w:rPr>
            </w:pPr>
            <w:r w:rsidRPr="009624DA">
              <w:rPr>
                <w:rFonts w:ascii="Calibri" w:eastAsia="Calibri" w:hAnsi="Calibri"/>
                <w:sz w:val="22"/>
                <w:szCs w:val="22"/>
                <w:lang w:eastAsia="en-US"/>
              </w:rPr>
              <w:lastRenderedPageBreak/>
              <w:fldChar w:fldCharType="begin"/>
            </w:r>
            <w:r w:rsidRPr="009624DA">
              <w:rPr>
                <w:rFonts w:ascii="Calibri" w:eastAsia="Calibri" w:hAnsi="Calibri"/>
                <w:sz w:val="22"/>
                <w:szCs w:val="22"/>
                <w:lang w:eastAsia="en-US"/>
              </w:rPr>
              <w:instrText xml:space="preserve"> LINK PowerPoint.Slide.8 "D:\\2015\\ABRIL\\GRÁFICAS POWER POINT\\17.- GRÁFICAS DEL IND DE CONFIANZA EMPRESARIAL.pptx!271" "" \a \p </w:instrText>
            </w:r>
            <w:r w:rsidRPr="009624DA">
              <w:rPr>
                <w:rFonts w:ascii="Calibri" w:eastAsia="Calibri" w:hAnsi="Calibri"/>
                <w:sz w:val="22"/>
                <w:szCs w:val="22"/>
                <w:lang w:eastAsia="en-US"/>
              </w:rPr>
              <w:fldChar w:fldCharType="separate"/>
            </w:r>
            <w:r w:rsidRPr="009624DA">
              <w:rPr>
                <w:rFonts w:ascii="Calibri" w:eastAsia="Calibri" w:hAnsi="Calibri"/>
                <w:noProof/>
                <w:sz w:val="22"/>
                <w:szCs w:val="22"/>
                <w:lang w:eastAsia="es-MX"/>
              </w:rPr>
              <w:drawing>
                <wp:inline distT="0" distB="0" distL="0" distR="0" wp14:anchorId="7352317B" wp14:editId="33413AC3">
                  <wp:extent cx="5572760" cy="2038985"/>
                  <wp:effectExtent l="0" t="0" r="8890" b="0"/>
                  <wp:docPr id="1659" name="Imagen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03" cstate="print">
                            <a:extLst>
                              <a:ext uri="{28A0092B-C50C-407E-A947-70E740481C1C}">
                                <a14:useLocalDpi xmlns:a14="http://schemas.microsoft.com/office/drawing/2010/main" val="0"/>
                              </a:ext>
                            </a:extLst>
                          </a:blip>
                          <a:srcRect l="3755" t="18056" r="4695" b="22501"/>
                          <a:stretch>
                            <a:fillRect/>
                          </a:stretch>
                        </pic:blipFill>
                        <pic:spPr bwMode="auto">
                          <a:xfrm>
                            <a:off x="0" y="0"/>
                            <a:ext cx="5572760" cy="2038985"/>
                          </a:xfrm>
                          <a:prstGeom prst="rect">
                            <a:avLst/>
                          </a:prstGeom>
                          <a:noFill/>
                          <a:ln>
                            <a:noFill/>
                          </a:ln>
                        </pic:spPr>
                      </pic:pic>
                    </a:graphicData>
                  </a:graphic>
                </wp:inline>
              </w:drawing>
            </w:r>
            <w:r w:rsidRPr="009624DA">
              <w:rPr>
                <w:rFonts w:ascii="Calibri" w:eastAsia="Calibri" w:hAnsi="Calibri"/>
                <w:sz w:val="22"/>
                <w:szCs w:val="22"/>
                <w:lang w:eastAsia="en-US"/>
              </w:rPr>
              <w:fldChar w:fldCharType="end"/>
            </w:r>
          </w:p>
        </w:tc>
      </w:tr>
      <w:tr w:rsidR="009624DA" w:rsidRPr="009624DA" w14:paraId="699FDAFA" w14:textId="77777777" w:rsidTr="00BA61DD">
        <w:tc>
          <w:tcPr>
            <w:tcW w:w="8838" w:type="dxa"/>
          </w:tcPr>
          <w:p w14:paraId="47502B74" w14:textId="77777777" w:rsidR="009624DA" w:rsidRPr="009624DA" w:rsidRDefault="009624DA" w:rsidP="009624DA">
            <w:pPr>
              <w:jc w:val="center"/>
              <w:rPr>
                <w:rFonts w:ascii="Calibri" w:eastAsia="Calibri" w:hAnsi="Calibri"/>
                <w:sz w:val="22"/>
                <w:szCs w:val="22"/>
                <w:lang w:eastAsia="en-US"/>
              </w:rPr>
            </w:pPr>
            <w:r w:rsidRPr="009624DA">
              <w:rPr>
                <w:rFonts w:ascii="Calibri" w:eastAsia="Calibri" w:hAnsi="Calibri"/>
                <w:sz w:val="22"/>
                <w:szCs w:val="22"/>
                <w:lang w:eastAsia="en-US"/>
              </w:rPr>
              <w:fldChar w:fldCharType="begin"/>
            </w:r>
            <w:r w:rsidRPr="009624DA">
              <w:rPr>
                <w:rFonts w:ascii="Calibri" w:eastAsia="Calibri" w:hAnsi="Calibri"/>
                <w:sz w:val="22"/>
                <w:szCs w:val="22"/>
                <w:lang w:eastAsia="en-US"/>
              </w:rPr>
              <w:instrText xml:space="preserve"> LINK PowerPoint.Slide.8 "D:\\2015\\ABRIL\\GRÁFICAS POWER POINT\\17.- GRÁFICAS DEL IND DE CONFIANZA EMPRESARIAL.pptx!274" "" \a \p </w:instrText>
            </w:r>
            <w:r w:rsidRPr="009624DA">
              <w:rPr>
                <w:rFonts w:ascii="Calibri" w:eastAsia="Calibri" w:hAnsi="Calibri"/>
                <w:sz w:val="22"/>
                <w:szCs w:val="22"/>
                <w:lang w:eastAsia="en-US"/>
              </w:rPr>
              <w:fldChar w:fldCharType="separate"/>
            </w:r>
            <w:r w:rsidRPr="009624DA">
              <w:rPr>
                <w:rFonts w:ascii="Calibri" w:eastAsia="Calibri" w:hAnsi="Calibri"/>
                <w:noProof/>
                <w:sz w:val="22"/>
                <w:szCs w:val="22"/>
                <w:lang w:eastAsia="es-MX"/>
              </w:rPr>
              <w:drawing>
                <wp:inline distT="0" distB="0" distL="0" distR="0" wp14:anchorId="68782713" wp14:editId="647FF4BE">
                  <wp:extent cx="5319395" cy="2322830"/>
                  <wp:effectExtent l="0" t="0" r="0" b="1270"/>
                  <wp:docPr id="1660" name="Imagen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04" cstate="print">
                            <a:extLst>
                              <a:ext uri="{28A0092B-C50C-407E-A947-70E740481C1C}">
                                <a14:useLocalDpi xmlns:a14="http://schemas.microsoft.com/office/drawing/2010/main" val="0"/>
                              </a:ext>
                            </a:extLst>
                          </a:blip>
                          <a:srcRect l="6259" t="18333" r="6259" b="13889"/>
                          <a:stretch>
                            <a:fillRect/>
                          </a:stretch>
                        </pic:blipFill>
                        <pic:spPr bwMode="auto">
                          <a:xfrm>
                            <a:off x="0" y="0"/>
                            <a:ext cx="5319395" cy="2322830"/>
                          </a:xfrm>
                          <a:prstGeom prst="rect">
                            <a:avLst/>
                          </a:prstGeom>
                          <a:noFill/>
                          <a:ln>
                            <a:noFill/>
                          </a:ln>
                        </pic:spPr>
                      </pic:pic>
                    </a:graphicData>
                  </a:graphic>
                </wp:inline>
              </w:drawing>
            </w:r>
            <w:r w:rsidRPr="009624DA">
              <w:rPr>
                <w:rFonts w:ascii="Calibri" w:eastAsia="Calibri" w:hAnsi="Calibri"/>
                <w:sz w:val="22"/>
                <w:szCs w:val="22"/>
                <w:lang w:eastAsia="en-US"/>
              </w:rPr>
              <w:fldChar w:fldCharType="end"/>
            </w:r>
          </w:p>
        </w:tc>
      </w:tr>
    </w:tbl>
    <w:p w14:paraId="34A0A0DB" w14:textId="77777777" w:rsidR="009624DA" w:rsidRPr="009624DA" w:rsidRDefault="009624DA" w:rsidP="009624DA">
      <w:pPr>
        <w:spacing w:after="360" w:line="360" w:lineRule="auto"/>
        <w:ind w:right="-159"/>
        <w:jc w:val="center"/>
        <w:rPr>
          <w:rFonts w:eastAsia="Times New Roman"/>
          <w:sz w:val="26"/>
          <w:szCs w:val="26"/>
        </w:rPr>
      </w:pPr>
    </w:p>
    <w:p w14:paraId="1147CAF4"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En el comparativo anual, el Indicador de Confianza Empresarial mostró el siguiente comportamiento a nivel de sector:</w:t>
      </w:r>
    </w:p>
    <w:p w14:paraId="0A419A82"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El ICE Manufacturero se ubicó en 48.5 puntos durante marzo de 2015, dato que reflejó una reducción de 3.2 puntos respecto al de igual mes de un año antes, cuando fue de 51.8 puntos.</w:t>
      </w:r>
    </w:p>
    <w:p w14:paraId="11D1129E" w14:textId="77777777" w:rsidR="009624DA" w:rsidRPr="009624DA" w:rsidRDefault="009624DA" w:rsidP="009624DA">
      <w:pPr>
        <w:spacing w:after="360" w:line="360" w:lineRule="auto"/>
        <w:ind w:right="-159"/>
        <w:jc w:val="center"/>
        <w:rPr>
          <w:rFonts w:eastAsia="Times New Roman"/>
          <w:sz w:val="26"/>
          <w:szCs w:val="26"/>
        </w:rPr>
      </w:pPr>
      <w:r w:rsidRPr="009624DA">
        <w:rPr>
          <w:rFonts w:eastAsia="Times New Roman"/>
          <w:noProof/>
          <w:sz w:val="26"/>
          <w:szCs w:val="26"/>
          <w:lang w:eastAsia="es-MX"/>
        </w:rPr>
        <w:lastRenderedPageBreak/>
        <w:drawing>
          <wp:inline distT="0" distB="0" distL="0" distR="0" wp14:anchorId="1BDD0BFF" wp14:editId="0A21E97E">
            <wp:extent cx="4647565" cy="3256915"/>
            <wp:effectExtent l="0" t="0" r="635" b="635"/>
            <wp:docPr id="1661" name="Imagen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47565" cy="3256915"/>
                    </a:xfrm>
                    <a:prstGeom prst="rect">
                      <a:avLst/>
                    </a:prstGeom>
                    <a:noFill/>
                  </pic:spPr>
                </pic:pic>
              </a:graphicData>
            </a:graphic>
          </wp:inline>
        </w:drawing>
      </w:r>
    </w:p>
    <w:p w14:paraId="1CC40361" w14:textId="77777777"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La variación anual del ICE Manufacturero resultó de disminuciones en los cinco componentes que lo integran.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1"/>
        <w:gridCol w:w="1080"/>
        <w:gridCol w:w="1080"/>
        <w:gridCol w:w="1273"/>
      </w:tblGrid>
      <w:tr w:rsidR="009624DA" w:rsidRPr="009624DA" w14:paraId="429A4448" w14:textId="77777777" w:rsidTr="00BA61DD">
        <w:trPr>
          <w:jc w:val="center"/>
        </w:trPr>
        <w:tc>
          <w:tcPr>
            <w:tcW w:w="8364" w:type="dxa"/>
            <w:gridSpan w:val="4"/>
            <w:tcBorders>
              <w:top w:val="nil"/>
              <w:left w:val="nil"/>
              <w:right w:val="nil"/>
            </w:tcBorders>
          </w:tcPr>
          <w:p w14:paraId="26C25AC2" w14:textId="77777777" w:rsidR="009624DA" w:rsidRPr="009624DA" w:rsidRDefault="009624DA" w:rsidP="009624DA">
            <w:pPr>
              <w:jc w:val="center"/>
              <w:rPr>
                <w:rFonts w:eastAsia="Times New Roman"/>
                <w:b/>
                <w:sz w:val="22"/>
                <w:szCs w:val="22"/>
              </w:rPr>
            </w:pPr>
            <w:r w:rsidRPr="009624DA">
              <w:rPr>
                <w:rFonts w:eastAsia="Times New Roman"/>
                <w:b/>
                <w:sz w:val="22"/>
                <w:szCs w:val="22"/>
              </w:rPr>
              <w:t>COMPONENTES DEL INDICADOR DE CONFIANZA EMPRESARIAL MANUFACTURERO</w:t>
            </w:r>
          </w:p>
          <w:p w14:paraId="09209900" w14:textId="77777777" w:rsidR="009624DA" w:rsidRPr="009624DA" w:rsidRDefault="009624DA" w:rsidP="009624DA">
            <w:pPr>
              <w:jc w:val="center"/>
              <w:rPr>
                <w:rFonts w:eastAsia="Times New Roman"/>
                <w:b/>
                <w:sz w:val="20"/>
                <w:szCs w:val="20"/>
              </w:rPr>
            </w:pPr>
            <w:r w:rsidRPr="009624DA">
              <w:rPr>
                <w:rFonts w:eastAsia="Times New Roman"/>
                <w:b/>
                <w:sz w:val="22"/>
                <w:szCs w:val="22"/>
              </w:rPr>
              <w:t>CIFRAS ORIGINALES</w:t>
            </w:r>
          </w:p>
        </w:tc>
      </w:tr>
      <w:tr w:rsidR="009624DA" w:rsidRPr="009624DA" w14:paraId="5C8373A2" w14:textId="77777777" w:rsidTr="00BA61DD">
        <w:trPr>
          <w:jc w:val="center"/>
        </w:trPr>
        <w:tc>
          <w:tcPr>
            <w:tcW w:w="4931" w:type="dxa"/>
            <w:vMerge w:val="restart"/>
            <w:vAlign w:val="center"/>
          </w:tcPr>
          <w:p w14:paraId="333A493C" w14:textId="77777777" w:rsidR="009624DA" w:rsidRPr="009624DA" w:rsidRDefault="009624DA" w:rsidP="009624DA">
            <w:pPr>
              <w:jc w:val="center"/>
              <w:rPr>
                <w:rFonts w:eastAsia="Times New Roman"/>
                <w:b/>
                <w:sz w:val="20"/>
                <w:szCs w:val="20"/>
              </w:rPr>
            </w:pPr>
            <w:r w:rsidRPr="009624DA">
              <w:rPr>
                <w:rFonts w:eastAsia="Times New Roman"/>
                <w:b/>
                <w:sz w:val="20"/>
                <w:szCs w:val="20"/>
              </w:rPr>
              <w:t>Indicadores</w:t>
            </w:r>
          </w:p>
        </w:tc>
        <w:tc>
          <w:tcPr>
            <w:tcW w:w="2160" w:type="dxa"/>
            <w:gridSpan w:val="2"/>
          </w:tcPr>
          <w:p w14:paraId="5E185CC9" w14:textId="77777777" w:rsidR="009624DA" w:rsidRPr="009624DA" w:rsidRDefault="009624DA" w:rsidP="009624DA">
            <w:pPr>
              <w:jc w:val="center"/>
              <w:rPr>
                <w:rFonts w:eastAsia="Times New Roman"/>
                <w:b/>
                <w:sz w:val="20"/>
                <w:szCs w:val="20"/>
              </w:rPr>
            </w:pPr>
            <w:r w:rsidRPr="009624DA">
              <w:rPr>
                <w:rFonts w:eastAsia="Times New Roman"/>
                <w:b/>
                <w:sz w:val="20"/>
                <w:szCs w:val="20"/>
              </w:rPr>
              <w:t>Marzo</w:t>
            </w:r>
          </w:p>
        </w:tc>
        <w:tc>
          <w:tcPr>
            <w:tcW w:w="1273" w:type="dxa"/>
            <w:vMerge w:val="restart"/>
          </w:tcPr>
          <w:p w14:paraId="67AC6AA0" w14:textId="77777777" w:rsidR="009624DA" w:rsidRPr="009624DA" w:rsidRDefault="009624DA" w:rsidP="009624DA">
            <w:pPr>
              <w:jc w:val="center"/>
              <w:rPr>
                <w:rFonts w:eastAsia="Times New Roman"/>
                <w:b/>
                <w:sz w:val="20"/>
                <w:szCs w:val="20"/>
              </w:rPr>
            </w:pPr>
            <w:r w:rsidRPr="009624DA">
              <w:rPr>
                <w:rFonts w:eastAsia="Times New Roman"/>
                <w:b/>
                <w:sz w:val="20"/>
                <w:szCs w:val="20"/>
              </w:rPr>
              <w:t>Diferencia en puntos</w:t>
            </w:r>
            <w:r w:rsidRPr="009624DA">
              <w:rPr>
                <w:rFonts w:eastAsia="Times New Roman"/>
                <w:b/>
                <w:sz w:val="20"/>
                <w:szCs w:val="20"/>
                <w:u w:val="single"/>
                <w:vertAlign w:val="superscript"/>
              </w:rPr>
              <w:t>1</w:t>
            </w:r>
            <w:r w:rsidRPr="009624DA">
              <w:rPr>
                <w:rFonts w:eastAsia="Times New Roman"/>
                <w:b/>
                <w:sz w:val="20"/>
                <w:szCs w:val="20"/>
                <w:vertAlign w:val="superscript"/>
              </w:rPr>
              <w:t>/</w:t>
            </w:r>
          </w:p>
        </w:tc>
      </w:tr>
      <w:tr w:rsidR="009624DA" w:rsidRPr="009624DA" w14:paraId="19256DA0" w14:textId="77777777" w:rsidTr="00BA61DD">
        <w:trPr>
          <w:jc w:val="center"/>
        </w:trPr>
        <w:tc>
          <w:tcPr>
            <w:tcW w:w="4931" w:type="dxa"/>
            <w:vMerge/>
            <w:tcBorders>
              <w:bottom w:val="single" w:sz="4" w:space="0" w:color="auto"/>
            </w:tcBorders>
          </w:tcPr>
          <w:p w14:paraId="39F80331" w14:textId="77777777" w:rsidR="009624DA" w:rsidRPr="009624DA" w:rsidRDefault="009624DA" w:rsidP="009624DA">
            <w:pPr>
              <w:jc w:val="both"/>
              <w:rPr>
                <w:rFonts w:eastAsia="Times New Roman"/>
                <w:b/>
                <w:sz w:val="20"/>
                <w:szCs w:val="20"/>
              </w:rPr>
            </w:pPr>
          </w:p>
        </w:tc>
        <w:tc>
          <w:tcPr>
            <w:tcW w:w="1080" w:type="dxa"/>
            <w:tcBorders>
              <w:bottom w:val="single" w:sz="4" w:space="0" w:color="auto"/>
            </w:tcBorders>
            <w:vAlign w:val="center"/>
          </w:tcPr>
          <w:p w14:paraId="7A9F3382" w14:textId="77777777" w:rsidR="009624DA" w:rsidRPr="009624DA" w:rsidRDefault="009624DA" w:rsidP="009624DA">
            <w:pPr>
              <w:jc w:val="center"/>
              <w:rPr>
                <w:rFonts w:eastAsia="Times New Roman"/>
                <w:b/>
                <w:sz w:val="20"/>
                <w:szCs w:val="20"/>
              </w:rPr>
            </w:pPr>
            <w:r w:rsidRPr="009624DA">
              <w:rPr>
                <w:rFonts w:eastAsia="Times New Roman"/>
                <w:b/>
                <w:sz w:val="20"/>
                <w:szCs w:val="20"/>
              </w:rPr>
              <w:t>2014</w:t>
            </w:r>
          </w:p>
        </w:tc>
        <w:tc>
          <w:tcPr>
            <w:tcW w:w="1080" w:type="dxa"/>
            <w:tcBorders>
              <w:bottom w:val="single" w:sz="4" w:space="0" w:color="auto"/>
            </w:tcBorders>
            <w:vAlign w:val="center"/>
          </w:tcPr>
          <w:p w14:paraId="4887F1B8" w14:textId="77777777" w:rsidR="009624DA" w:rsidRPr="009624DA" w:rsidRDefault="009624DA" w:rsidP="009624DA">
            <w:pPr>
              <w:jc w:val="center"/>
              <w:rPr>
                <w:rFonts w:eastAsia="Times New Roman"/>
                <w:b/>
                <w:sz w:val="20"/>
                <w:szCs w:val="20"/>
              </w:rPr>
            </w:pPr>
            <w:r w:rsidRPr="009624DA">
              <w:rPr>
                <w:rFonts w:eastAsia="Times New Roman"/>
                <w:b/>
                <w:sz w:val="20"/>
                <w:szCs w:val="20"/>
              </w:rPr>
              <w:t>2015</w:t>
            </w:r>
            <w:r w:rsidRPr="009624DA">
              <w:rPr>
                <w:rFonts w:eastAsia="Times New Roman"/>
                <w:b/>
                <w:sz w:val="20"/>
                <w:szCs w:val="20"/>
                <w:u w:val="single"/>
                <w:vertAlign w:val="superscript"/>
              </w:rPr>
              <w:t>p</w:t>
            </w:r>
            <w:r w:rsidRPr="009624DA">
              <w:rPr>
                <w:rFonts w:eastAsia="Times New Roman"/>
                <w:b/>
                <w:sz w:val="20"/>
                <w:szCs w:val="20"/>
                <w:vertAlign w:val="superscript"/>
              </w:rPr>
              <w:t>/</w:t>
            </w:r>
          </w:p>
        </w:tc>
        <w:tc>
          <w:tcPr>
            <w:tcW w:w="1273" w:type="dxa"/>
            <w:vMerge/>
            <w:tcBorders>
              <w:bottom w:val="single" w:sz="4" w:space="0" w:color="auto"/>
            </w:tcBorders>
          </w:tcPr>
          <w:p w14:paraId="22510479" w14:textId="77777777" w:rsidR="009624DA" w:rsidRPr="009624DA" w:rsidRDefault="009624DA" w:rsidP="009624DA">
            <w:pPr>
              <w:jc w:val="center"/>
              <w:rPr>
                <w:rFonts w:eastAsia="Times New Roman"/>
                <w:b/>
                <w:sz w:val="20"/>
                <w:szCs w:val="20"/>
              </w:rPr>
            </w:pPr>
          </w:p>
        </w:tc>
      </w:tr>
      <w:tr w:rsidR="009624DA" w:rsidRPr="009624DA" w14:paraId="3830B094" w14:textId="77777777" w:rsidTr="00E055D6">
        <w:trPr>
          <w:jc w:val="center"/>
        </w:trPr>
        <w:tc>
          <w:tcPr>
            <w:tcW w:w="4931" w:type="dxa"/>
            <w:tcBorders>
              <w:bottom w:val="nil"/>
            </w:tcBorders>
            <w:vAlign w:val="center"/>
          </w:tcPr>
          <w:p w14:paraId="4BEB5A88" w14:textId="77777777" w:rsidR="009624DA" w:rsidRPr="009624DA" w:rsidRDefault="009624DA" w:rsidP="009624DA">
            <w:pPr>
              <w:jc w:val="both"/>
              <w:rPr>
                <w:rFonts w:eastAsia="Times New Roman"/>
                <w:b/>
                <w:sz w:val="20"/>
                <w:szCs w:val="20"/>
              </w:rPr>
            </w:pPr>
            <w:r w:rsidRPr="009624DA">
              <w:rPr>
                <w:rFonts w:eastAsia="Times New Roman"/>
                <w:b/>
                <w:sz w:val="20"/>
                <w:szCs w:val="20"/>
              </w:rPr>
              <w:t>Indicador de Confianza Empresarial Manufacturero</w:t>
            </w:r>
          </w:p>
        </w:tc>
        <w:tc>
          <w:tcPr>
            <w:tcW w:w="1080" w:type="dxa"/>
            <w:tcBorders>
              <w:bottom w:val="nil"/>
            </w:tcBorders>
          </w:tcPr>
          <w:p w14:paraId="1EFCF138" w14:textId="77777777" w:rsidR="009624DA" w:rsidRPr="009624DA" w:rsidRDefault="009624DA" w:rsidP="009624DA">
            <w:pPr>
              <w:jc w:val="center"/>
              <w:rPr>
                <w:rFonts w:eastAsia="Times New Roman"/>
                <w:b/>
                <w:sz w:val="20"/>
                <w:szCs w:val="20"/>
              </w:rPr>
            </w:pPr>
            <w:r w:rsidRPr="009624DA">
              <w:rPr>
                <w:rFonts w:eastAsia="Times New Roman"/>
                <w:b/>
                <w:sz w:val="20"/>
                <w:szCs w:val="20"/>
              </w:rPr>
              <w:t>51.8</w:t>
            </w:r>
          </w:p>
        </w:tc>
        <w:tc>
          <w:tcPr>
            <w:tcW w:w="1080" w:type="dxa"/>
            <w:tcBorders>
              <w:bottom w:val="nil"/>
            </w:tcBorders>
          </w:tcPr>
          <w:p w14:paraId="68BEB4B4" w14:textId="77777777" w:rsidR="009624DA" w:rsidRPr="009624DA" w:rsidRDefault="009624DA" w:rsidP="009624DA">
            <w:pPr>
              <w:jc w:val="center"/>
              <w:rPr>
                <w:rFonts w:eastAsia="Times New Roman"/>
                <w:b/>
                <w:sz w:val="20"/>
                <w:szCs w:val="20"/>
              </w:rPr>
            </w:pPr>
            <w:r w:rsidRPr="009624DA">
              <w:rPr>
                <w:rFonts w:eastAsia="Times New Roman"/>
                <w:b/>
                <w:sz w:val="20"/>
                <w:szCs w:val="20"/>
              </w:rPr>
              <w:t>48.5</w:t>
            </w:r>
          </w:p>
        </w:tc>
        <w:tc>
          <w:tcPr>
            <w:tcW w:w="1273" w:type="dxa"/>
            <w:tcBorders>
              <w:bottom w:val="nil"/>
            </w:tcBorders>
          </w:tcPr>
          <w:p w14:paraId="7727428A" w14:textId="77777777" w:rsidR="009624DA" w:rsidRPr="009624DA" w:rsidRDefault="009624DA" w:rsidP="009624DA">
            <w:pPr>
              <w:ind w:right="397"/>
              <w:jc w:val="right"/>
              <w:rPr>
                <w:rFonts w:eastAsia="Times New Roman"/>
                <w:b/>
                <w:sz w:val="20"/>
                <w:szCs w:val="20"/>
              </w:rPr>
            </w:pPr>
            <w:r w:rsidRPr="009624DA">
              <w:rPr>
                <w:rFonts w:eastAsia="Times New Roman"/>
                <w:b/>
                <w:sz w:val="20"/>
                <w:szCs w:val="20"/>
              </w:rPr>
              <w:t>-3.2</w:t>
            </w:r>
          </w:p>
        </w:tc>
      </w:tr>
      <w:tr w:rsidR="009624DA" w:rsidRPr="009624DA" w14:paraId="010C8BB4" w14:textId="77777777" w:rsidTr="00BA61DD">
        <w:trPr>
          <w:jc w:val="center"/>
        </w:trPr>
        <w:tc>
          <w:tcPr>
            <w:tcW w:w="4931" w:type="dxa"/>
            <w:tcBorders>
              <w:top w:val="nil"/>
              <w:bottom w:val="nil"/>
            </w:tcBorders>
          </w:tcPr>
          <w:p w14:paraId="3EF2EEC3"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f) Momento adecuado para invertir</w:t>
            </w:r>
          </w:p>
        </w:tc>
        <w:tc>
          <w:tcPr>
            <w:tcW w:w="1080" w:type="dxa"/>
            <w:tcBorders>
              <w:top w:val="nil"/>
              <w:bottom w:val="nil"/>
            </w:tcBorders>
          </w:tcPr>
          <w:p w14:paraId="08BE963F" w14:textId="77777777" w:rsidR="009624DA" w:rsidRPr="009624DA" w:rsidRDefault="009624DA" w:rsidP="009624DA">
            <w:pPr>
              <w:jc w:val="center"/>
              <w:rPr>
                <w:rFonts w:eastAsia="Times New Roman"/>
                <w:sz w:val="20"/>
                <w:szCs w:val="20"/>
              </w:rPr>
            </w:pPr>
            <w:r w:rsidRPr="009624DA">
              <w:rPr>
                <w:rFonts w:eastAsia="Times New Roman"/>
                <w:sz w:val="20"/>
                <w:szCs w:val="20"/>
              </w:rPr>
              <w:t>43.6</w:t>
            </w:r>
          </w:p>
        </w:tc>
        <w:tc>
          <w:tcPr>
            <w:tcW w:w="1080" w:type="dxa"/>
            <w:tcBorders>
              <w:top w:val="nil"/>
              <w:bottom w:val="nil"/>
            </w:tcBorders>
          </w:tcPr>
          <w:p w14:paraId="1296957A" w14:textId="77777777" w:rsidR="009624DA" w:rsidRPr="009624DA" w:rsidRDefault="009624DA" w:rsidP="009624DA">
            <w:pPr>
              <w:jc w:val="center"/>
              <w:rPr>
                <w:rFonts w:eastAsia="Times New Roman"/>
                <w:sz w:val="20"/>
                <w:szCs w:val="20"/>
              </w:rPr>
            </w:pPr>
            <w:r w:rsidRPr="009624DA">
              <w:rPr>
                <w:rFonts w:eastAsia="Times New Roman"/>
                <w:sz w:val="20"/>
                <w:szCs w:val="20"/>
              </w:rPr>
              <w:t>38.2</w:t>
            </w:r>
          </w:p>
        </w:tc>
        <w:tc>
          <w:tcPr>
            <w:tcW w:w="1273" w:type="dxa"/>
            <w:tcBorders>
              <w:top w:val="nil"/>
              <w:bottom w:val="nil"/>
            </w:tcBorders>
          </w:tcPr>
          <w:p w14:paraId="35F131B4"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-5.5</w:t>
            </w:r>
          </w:p>
        </w:tc>
      </w:tr>
      <w:tr w:rsidR="009624DA" w:rsidRPr="009624DA" w14:paraId="69734C88" w14:textId="77777777" w:rsidTr="00BA61DD">
        <w:trPr>
          <w:jc w:val="center"/>
        </w:trPr>
        <w:tc>
          <w:tcPr>
            <w:tcW w:w="4931" w:type="dxa"/>
            <w:tcBorders>
              <w:top w:val="nil"/>
              <w:bottom w:val="nil"/>
            </w:tcBorders>
          </w:tcPr>
          <w:p w14:paraId="59582C8A"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g) Situación económica presente del país</w:t>
            </w:r>
          </w:p>
        </w:tc>
        <w:tc>
          <w:tcPr>
            <w:tcW w:w="1080" w:type="dxa"/>
            <w:tcBorders>
              <w:top w:val="nil"/>
              <w:bottom w:val="nil"/>
            </w:tcBorders>
          </w:tcPr>
          <w:p w14:paraId="26B19429" w14:textId="77777777" w:rsidR="009624DA" w:rsidRPr="009624DA" w:rsidRDefault="009624DA" w:rsidP="009624DA">
            <w:pPr>
              <w:jc w:val="center"/>
              <w:rPr>
                <w:rFonts w:eastAsia="Times New Roman"/>
                <w:sz w:val="20"/>
                <w:szCs w:val="20"/>
              </w:rPr>
            </w:pPr>
            <w:r w:rsidRPr="009624DA">
              <w:rPr>
                <w:rFonts w:eastAsia="Times New Roman"/>
                <w:sz w:val="20"/>
                <w:szCs w:val="20"/>
              </w:rPr>
              <w:t>47.9</w:t>
            </w:r>
          </w:p>
        </w:tc>
        <w:tc>
          <w:tcPr>
            <w:tcW w:w="1080" w:type="dxa"/>
            <w:tcBorders>
              <w:top w:val="nil"/>
              <w:bottom w:val="nil"/>
            </w:tcBorders>
          </w:tcPr>
          <w:p w14:paraId="058DA8AA" w14:textId="77777777" w:rsidR="009624DA" w:rsidRPr="009624DA" w:rsidRDefault="009624DA" w:rsidP="009624DA">
            <w:pPr>
              <w:jc w:val="center"/>
              <w:rPr>
                <w:rFonts w:eastAsia="Times New Roman"/>
                <w:sz w:val="20"/>
                <w:szCs w:val="20"/>
              </w:rPr>
            </w:pPr>
            <w:r w:rsidRPr="009624DA">
              <w:rPr>
                <w:rFonts w:eastAsia="Times New Roman"/>
                <w:sz w:val="20"/>
                <w:szCs w:val="20"/>
              </w:rPr>
              <w:t>44.1</w:t>
            </w:r>
          </w:p>
        </w:tc>
        <w:tc>
          <w:tcPr>
            <w:tcW w:w="1273" w:type="dxa"/>
            <w:tcBorders>
              <w:top w:val="nil"/>
              <w:bottom w:val="nil"/>
            </w:tcBorders>
          </w:tcPr>
          <w:p w14:paraId="268C24FA"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-3.8</w:t>
            </w:r>
          </w:p>
        </w:tc>
      </w:tr>
      <w:tr w:rsidR="009624DA" w:rsidRPr="009624DA" w14:paraId="7E5A1996" w14:textId="77777777" w:rsidTr="00BA61DD">
        <w:trPr>
          <w:jc w:val="center"/>
        </w:trPr>
        <w:tc>
          <w:tcPr>
            <w:tcW w:w="4931" w:type="dxa"/>
            <w:tcBorders>
              <w:top w:val="nil"/>
              <w:bottom w:val="nil"/>
            </w:tcBorders>
          </w:tcPr>
          <w:p w14:paraId="074BE2B7"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h) Situación económica futura del país</w:t>
            </w:r>
          </w:p>
        </w:tc>
        <w:tc>
          <w:tcPr>
            <w:tcW w:w="1080" w:type="dxa"/>
            <w:tcBorders>
              <w:top w:val="nil"/>
              <w:bottom w:val="nil"/>
            </w:tcBorders>
          </w:tcPr>
          <w:p w14:paraId="054529C7" w14:textId="77777777" w:rsidR="009624DA" w:rsidRPr="009624DA" w:rsidRDefault="009624DA" w:rsidP="009624DA">
            <w:pPr>
              <w:jc w:val="center"/>
              <w:rPr>
                <w:rFonts w:eastAsia="Times New Roman"/>
                <w:sz w:val="20"/>
                <w:szCs w:val="20"/>
              </w:rPr>
            </w:pPr>
            <w:r w:rsidRPr="009624DA">
              <w:rPr>
                <w:rFonts w:eastAsia="Times New Roman"/>
                <w:sz w:val="20"/>
                <w:szCs w:val="20"/>
              </w:rPr>
              <w:t>53.7</w:t>
            </w:r>
          </w:p>
        </w:tc>
        <w:tc>
          <w:tcPr>
            <w:tcW w:w="1080" w:type="dxa"/>
            <w:tcBorders>
              <w:top w:val="nil"/>
              <w:bottom w:val="nil"/>
            </w:tcBorders>
          </w:tcPr>
          <w:p w14:paraId="4960599C" w14:textId="77777777" w:rsidR="009624DA" w:rsidRPr="009624DA" w:rsidRDefault="009624DA" w:rsidP="009624DA">
            <w:pPr>
              <w:jc w:val="center"/>
              <w:rPr>
                <w:rFonts w:eastAsia="Times New Roman"/>
                <w:sz w:val="20"/>
                <w:szCs w:val="20"/>
              </w:rPr>
            </w:pPr>
            <w:r w:rsidRPr="009624DA">
              <w:rPr>
                <w:rFonts w:eastAsia="Times New Roman"/>
                <w:sz w:val="20"/>
                <w:szCs w:val="20"/>
              </w:rPr>
              <w:t>50.3</w:t>
            </w:r>
          </w:p>
        </w:tc>
        <w:tc>
          <w:tcPr>
            <w:tcW w:w="1273" w:type="dxa"/>
            <w:tcBorders>
              <w:top w:val="nil"/>
              <w:bottom w:val="nil"/>
            </w:tcBorders>
          </w:tcPr>
          <w:p w14:paraId="105A96DB"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-3.4</w:t>
            </w:r>
          </w:p>
        </w:tc>
      </w:tr>
      <w:tr w:rsidR="009624DA" w:rsidRPr="009624DA" w14:paraId="6D925B73" w14:textId="77777777" w:rsidTr="00BA61DD">
        <w:trPr>
          <w:jc w:val="center"/>
        </w:trPr>
        <w:tc>
          <w:tcPr>
            <w:tcW w:w="4931" w:type="dxa"/>
            <w:tcBorders>
              <w:top w:val="nil"/>
              <w:bottom w:val="nil"/>
            </w:tcBorders>
          </w:tcPr>
          <w:p w14:paraId="61947B03"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i) Situación económica presente de la empresa</w:t>
            </w:r>
          </w:p>
        </w:tc>
        <w:tc>
          <w:tcPr>
            <w:tcW w:w="1080" w:type="dxa"/>
            <w:tcBorders>
              <w:top w:val="nil"/>
              <w:bottom w:val="nil"/>
            </w:tcBorders>
          </w:tcPr>
          <w:p w14:paraId="1840151C" w14:textId="77777777" w:rsidR="009624DA" w:rsidRPr="009624DA" w:rsidRDefault="009624DA" w:rsidP="009624DA">
            <w:pPr>
              <w:jc w:val="center"/>
              <w:rPr>
                <w:rFonts w:eastAsia="Times New Roman"/>
                <w:sz w:val="20"/>
                <w:szCs w:val="20"/>
              </w:rPr>
            </w:pPr>
            <w:r w:rsidRPr="009624DA">
              <w:rPr>
                <w:rFonts w:eastAsia="Times New Roman"/>
                <w:sz w:val="20"/>
                <w:szCs w:val="20"/>
              </w:rPr>
              <w:t>53.8</w:t>
            </w:r>
          </w:p>
        </w:tc>
        <w:tc>
          <w:tcPr>
            <w:tcW w:w="1080" w:type="dxa"/>
            <w:tcBorders>
              <w:top w:val="nil"/>
              <w:bottom w:val="nil"/>
            </w:tcBorders>
          </w:tcPr>
          <w:p w14:paraId="6D767FAD" w14:textId="77777777" w:rsidR="009624DA" w:rsidRPr="009624DA" w:rsidRDefault="009624DA" w:rsidP="009624DA">
            <w:pPr>
              <w:jc w:val="center"/>
              <w:rPr>
                <w:rFonts w:eastAsia="Times New Roman"/>
                <w:sz w:val="20"/>
                <w:szCs w:val="20"/>
              </w:rPr>
            </w:pPr>
            <w:r w:rsidRPr="009624DA">
              <w:rPr>
                <w:rFonts w:eastAsia="Times New Roman"/>
                <w:sz w:val="20"/>
                <w:szCs w:val="20"/>
              </w:rPr>
              <w:t>52.6</w:t>
            </w:r>
          </w:p>
        </w:tc>
        <w:tc>
          <w:tcPr>
            <w:tcW w:w="1273" w:type="dxa"/>
            <w:tcBorders>
              <w:top w:val="nil"/>
              <w:bottom w:val="nil"/>
            </w:tcBorders>
          </w:tcPr>
          <w:p w14:paraId="760D0C00"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-1.3</w:t>
            </w:r>
          </w:p>
        </w:tc>
      </w:tr>
      <w:tr w:rsidR="009624DA" w:rsidRPr="009624DA" w14:paraId="5ED80BA7" w14:textId="77777777" w:rsidTr="00BA61DD">
        <w:trPr>
          <w:jc w:val="center"/>
        </w:trPr>
        <w:tc>
          <w:tcPr>
            <w:tcW w:w="4931" w:type="dxa"/>
            <w:tcBorders>
              <w:top w:val="nil"/>
              <w:bottom w:val="single" w:sz="4" w:space="0" w:color="auto"/>
            </w:tcBorders>
          </w:tcPr>
          <w:p w14:paraId="22CB49EF"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j) Situación económica futura de la empresa</w:t>
            </w:r>
          </w:p>
        </w:tc>
        <w:tc>
          <w:tcPr>
            <w:tcW w:w="1080" w:type="dxa"/>
            <w:tcBorders>
              <w:top w:val="nil"/>
              <w:bottom w:val="single" w:sz="4" w:space="0" w:color="auto"/>
            </w:tcBorders>
          </w:tcPr>
          <w:p w14:paraId="6BE012BD" w14:textId="77777777" w:rsidR="009624DA" w:rsidRPr="009624DA" w:rsidRDefault="009624DA" w:rsidP="009624DA">
            <w:pPr>
              <w:jc w:val="center"/>
              <w:rPr>
                <w:rFonts w:eastAsia="Times New Roman"/>
                <w:sz w:val="20"/>
                <w:szCs w:val="20"/>
              </w:rPr>
            </w:pPr>
            <w:r w:rsidRPr="009624DA">
              <w:rPr>
                <w:rFonts w:eastAsia="Times New Roman"/>
                <w:sz w:val="20"/>
                <w:szCs w:val="20"/>
              </w:rPr>
              <w:t>59.9</w:t>
            </w:r>
          </w:p>
        </w:tc>
        <w:tc>
          <w:tcPr>
            <w:tcW w:w="1080" w:type="dxa"/>
            <w:tcBorders>
              <w:top w:val="nil"/>
              <w:bottom w:val="single" w:sz="4" w:space="0" w:color="auto"/>
            </w:tcBorders>
          </w:tcPr>
          <w:p w14:paraId="0E3BD05A" w14:textId="77777777" w:rsidR="009624DA" w:rsidRPr="009624DA" w:rsidRDefault="009624DA" w:rsidP="009624DA">
            <w:pPr>
              <w:jc w:val="center"/>
              <w:rPr>
                <w:rFonts w:eastAsia="Times New Roman"/>
                <w:sz w:val="20"/>
                <w:szCs w:val="20"/>
              </w:rPr>
            </w:pPr>
            <w:r w:rsidRPr="009624DA">
              <w:rPr>
                <w:rFonts w:eastAsia="Times New Roman"/>
                <w:sz w:val="20"/>
                <w:szCs w:val="20"/>
              </w:rPr>
              <w:t>57.6</w:t>
            </w:r>
          </w:p>
        </w:tc>
        <w:tc>
          <w:tcPr>
            <w:tcW w:w="1273" w:type="dxa"/>
            <w:tcBorders>
              <w:top w:val="nil"/>
              <w:bottom w:val="single" w:sz="4" w:space="0" w:color="auto"/>
            </w:tcBorders>
          </w:tcPr>
          <w:p w14:paraId="27B4D18E"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-2.3</w:t>
            </w:r>
          </w:p>
        </w:tc>
      </w:tr>
      <w:tr w:rsidR="009624DA" w:rsidRPr="009624DA" w14:paraId="5A47B060" w14:textId="77777777" w:rsidTr="00BA61DD">
        <w:trPr>
          <w:jc w:val="center"/>
        </w:trPr>
        <w:tc>
          <w:tcPr>
            <w:tcW w:w="8364" w:type="dxa"/>
            <w:gridSpan w:val="4"/>
            <w:tcBorders>
              <w:left w:val="nil"/>
              <w:bottom w:val="nil"/>
              <w:right w:val="nil"/>
            </w:tcBorders>
          </w:tcPr>
          <w:p w14:paraId="2143E20F" w14:textId="77777777" w:rsidR="009624DA" w:rsidRPr="009624DA" w:rsidRDefault="009624DA" w:rsidP="009624DA">
            <w:pPr>
              <w:jc w:val="both"/>
              <w:rPr>
                <w:rFonts w:eastAsia="Times New Roman"/>
                <w:sz w:val="20"/>
                <w:szCs w:val="20"/>
              </w:rPr>
            </w:pPr>
            <w:r w:rsidRPr="009624DA">
              <w:rPr>
                <w:rFonts w:eastAsia="Times New Roman"/>
                <w:sz w:val="20"/>
                <w:szCs w:val="20"/>
              </w:rPr>
              <w:t>Nota: Los indicadores se generan con los datos referidos al mes de la entrevista.</w:t>
            </w:r>
          </w:p>
          <w:p w14:paraId="44440B80" w14:textId="77777777" w:rsidR="009624DA" w:rsidRPr="009624DA" w:rsidRDefault="009624DA" w:rsidP="009624DA">
            <w:pPr>
              <w:ind w:left="255" w:hanging="255"/>
              <w:jc w:val="both"/>
              <w:rPr>
                <w:rFonts w:eastAsia="Times New Roman"/>
                <w:sz w:val="20"/>
                <w:szCs w:val="20"/>
              </w:rPr>
            </w:pPr>
            <w:r w:rsidRPr="009624DA">
              <w:rPr>
                <w:rFonts w:eastAsia="Times New Roman"/>
                <w:sz w:val="20"/>
                <w:szCs w:val="20"/>
                <w:u w:val="single"/>
              </w:rPr>
              <w:t>1</w:t>
            </w:r>
            <w:r w:rsidRPr="009624DA">
              <w:rPr>
                <w:rFonts w:eastAsia="Times New Roman"/>
                <w:sz w:val="20"/>
                <w:szCs w:val="20"/>
              </w:rPr>
              <w:t>/ Las diferencias en puntos se obtienen de los respectivos indicadores considerando todos sus decimales.</w:t>
            </w:r>
          </w:p>
          <w:p w14:paraId="017A143B" w14:textId="77777777" w:rsidR="009624DA" w:rsidRPr="009624DA" w:rsidRDefault="009624DA" w:rsidP="009624DA">
            <w:pPr>
              <w:jc w:val="both"/>
              <w:rPr>
                <w:rFonts w:eastAsia="Times New Roman"/>
                <w:sz w:val="20"/>
                <w:szCs w:val="20"/>
              </w:rPr>
            </w:pPr>
            <w:r w:rsidRPr="009624DA">
              <w:rPr>
                <w:rFonts w:eastAsia="Times New Roman"/>
                <w:sz w:val="20"/>
                <w:szCs w:val="20"/>
                <w:u w:val="single"/>
              </w:rPr>
              <w:t>p</w:t>
            </w:r>
            <w:r w:rsidRPr="009624DA">
              <w:rPr>
                <w:rFonts w:eastAsia="Times New Roman"/>
                <w:sz w:val="20"/>
                <w:szCs w:val="20"/>
              </w:rPr>
              <w:t>/ Dato preliminar.</w:t>
            </w:r>
          </w:p>
          <w:p w14:paraId="4366D009" w14:textId="77777777" w:rsidR="009624DA" w:rsidRPr="009624DA" w:rsidRDefault="009624DA" w:rsidP="009624DA">
            <w:pPr>
              <w:jc w:val="both"/>
              <w:rPr>
                <w:rFonts w:eastAsia="Times New Roman"/>
                <w:sz w:val="18"/>
                <w:szCs w:val="18"/>
              </w:rPr>
            </w:pPr>
            <w:r w:rsidRPr="009624DA">
              <w:rPr>
                <w:rFonts w:eastAsia="Times New Roman"/>
                <w:sz w:val="20"/>
                <w:szCs w:val="20"/>
              </w:rPr>
              <w:t>FUENTE: INEGI.</w:t>
            </w:r>
          </w:p>
        </w:tc>
      </w:tr>
    </w:tbl>
    <w:p w14:paraId="0B4646A5" w14:textId="77777777" w:rsidR="009624DA" w:rsidRPr="009624DA" w:rsidRDefault="009624DA" w:rsidP="009624DA">
      <w:pPr>
        <w:spacing w:after="360" w:line="360" w:lineRule="auto"/>
        <w:ind w:right="-159"/>
        <w:jc w:val="both"/>
        <w:rPr>
          <w:rFonts w:eastAsia="Times New Roman"/>
          <w:b/>
          <w:sz w:val="26"/>
          <w:szCs w:val="26"/>
        </w:rPr>
      </w:pPr>
    </w:p>
    <w:p w14:paraId="2210CD68" w14:textId="641DC06C" w:rsidR="009624DA" w:rsidRPr="009624DA" w:rsidRDefault="009624DA" w:rsidP="009624DA">
      <w:pPr>
        <w:spacing w:after="360" w:line="360" w:lineRule="auto"/>
        <w:ind w:right="-159"/>
        <w:jc w:val="both"/>
        <w:rPr>
          <w:rFonts w:eastAsia="Times New Roman"/>
          <w:sz w:val="26"/>
          <w:szCs w:val="26"/>
        </w:rPr>
      </w:pPr>
      <w:r w:rsidRPr="009624DA">
        <w:rPr>
          <w:rFonts w:eastAsia="Times New Roman"/>
          <w:sz w:val="26"/>
          <w:szCs w:val="26"/>
        </w:rPr>
        <w:t>Por grupos de subsectores de actividad manufacturera, durante marzo de 2015</w:t>
      </w:r>
      <w:r w:rsidR="0063019C">
        <w:rPr>
          <w:rFonts w:eastAsia="Times New Roman"/>
          <w:sz w:val="26"/>
          <w:szCs w:val="26"/>
        </w:rPr>
        <w:t>,</w:t>
      </w:r>
      <w:r w:rsidRPr="009624DA">
        <w:rPr>
          <w:rFonts w:eastAsia="Times New Roman"/>
          <w:sz w:val="26"/>
          <w:szCs w:val="26"/>
        </w:rPr>
        <w:t xml:space="preserve"> el ICE registró caídas anuales en los siete grupos que lo conforman.</w:t>
      </w:r>
    </w:p>
    <w:p w14:paraId="79A4E1B9" w14:textId="77777777" w:rsidR="009624DA" w:rsidRPr="009624DA" w:rsidRDefault="009624DA" w:rsidP="009624DA">
      <w:pPr>
        <w:spacing w:line="360" w:lineRule="auto"/>
        <w:ind w:right="-159"/>
        <w:jc w:val="both"/>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0"/>
        <w:gridCol w:w="900"/>
        <w:gridCol w:w="842"/>
        <w:gridCol w:w="1182"/>
      </w:tblGrid>
      <w:tr w:rsidR="009624DA" w:rsidRPr="009624DA" w14:paraId="0BC7EBCC" w14:textId="77777777" w:rsidTr="00BA61DD">
        <w:trPr>
          <w:jc w:val="center"/>
        </w:trPr>
        <w:tc>
          <w:tcPr>
            <w:tcW w:w="8274" w:type="dxa"/>
            <w:gridSpan w:val="4"/>
            <w:tcBorders>
              <w:top w:val="nil"/>
              <w:left w:val="nil"/>
              <w:bottom w:val="single" w:sz="4" w:space="0" w:color="auto"/>
              <w:right w:val="nil"/>
            </w:tcBorders>
          </w:tcPr>
          <w:p w14:paraId="45747955" w14:textId="77777777" w:rsidR="009624DA" w:rsidRPr="009624DA" w:rsidRDefault="009624DA" w:rsidP="009624DA">
            <w:pPr>
              <w:jc w:val="center"/>
              <w:rPr>
                <w:rFonts w:eastAsia="Times New Roman"/>
                <w:b/>
                <w:sz w:val="22"/>
                <w:szCs w:val="22"/>
              </w:rPr>
            </w:pPr>
            <w:r w:rsidRPr="009624DA">
              <w:rPr>
                <w:rFonts w:eastAsia="Times New Roman"/>
                <w:b/>
                <w:sz w:val="22"/>
                <w:szCs w:val="22"/>
              </w:rPr>
              <w:t>INDICADOR DE CONFIANZA EMPRESARIAL MANUFACTURERO POR GRUPOS DE SUBSECTORES DE ACTIVIDAD</w:t>
            </w:r>
          </w:p>
          <w:p w14:paraId="205F86ED" w14:textId="77777777" w:rsidR="009624DA" w:rsidRPr="009624DA" w:rsidRDefault="009624DA" w:rsidP="009624DA">
            <w:pPr>
              <w:jc w:val="center"/>
              <w:rPr>
                <w:rFonts w:eastAsia="Times New Roman"/>
                <w:b/>
                <w:sz w:val="22"/>
                <w:szCs w:val="22"/>
              </w:rPr>
            </w:pPr>
            <w:r w:rsidRPr="009624DA">
              <w:rPr>
                <w:rFonts w:eastAsia="Times New Roman"/>
                <w:b/>
                <w:sz w:val="22"/>
                <w:szCs w:val="22"/>
              </w:rPr>
              <w:t>CIFRAS ORIGINALES</w:t>
            </w:r>
          </w:p>
        </w:tc>
      </w:tr>
      <w:tr w:rsidR="009624DA" w:rsidRPr="009624DA" w14:paraId="15EAB457" w14:textId="77777777" w:rsidTr="00BA61DD">
        <w:trPr>
          <w:jc w:val="center"/>
        </w:trPr>
        <w:tc>
          <w:tcPr>
            <w:tcW w:w="5350" w:type="dxa"/>
            <w:vMerge w:val="restart"/>
            <w:tcBorders>
              <w:top w:val="single" w:sz="4" w:space="0" w:color="auto"/>
              <w:left w:val="single" w:sz="4" w:space="0" w:color="auto"/>
              <w:bottom w:val="nil"/>
              <w:right w:val="single" w:sz="4" w:space="0" w:color="auto"/>
            </w:tcBorders>
            <w:vAlign w:val="center"/>
          </w:tcPr>
          <w:p w14:paraId="0FAD9F58" w14:textId="77777777" w:rsidR="009624DA" w:rsidRPr="009624DA" w:rsidRDefault="009624DA" w:rsidP="009624DA">
            <w:pPr>
              <w:jc w:val="center"/>
              <w:rPr>
                <w:rFonts w:eastAsia="Times New Roman"/>
                <w:b/>
                <w:sz w:val="20"/>
                <w:szCs w:val="20"/>
              </w:rPr>
            </w:pPr>
            <w:r w:rsidRPr="009624DA">
              <w:rPr>
                <w:rFonts w:eastAsia="Times New Roman"/>
                <w:b/>
                <w:sz w:val="20"/>
                <w:szCs w:val="20"/>
              </w:rPr>
              <w:t>Grupos</w:t>
            </w:r>
          </w:p>
        </w:tc>
        <w:tc>
          <w:tcPr>
            <w:tcW w:w="1742" w:type="dxa"/>
            <w:gridSpan w:val="2"/>
            <w:tcBorders>
              <w:top w:val="single" w:sz="4" w:space="0" w:color="auto"/>
              <w:left w:val="single" w:sz="4" w:space="0" w:color="auto"/>
              <w:bottom w:val="single" w:sz="4" w:space="0" w:color="auto"/>
              <w:right w:val="single" w:sz="4" w:space="0" w:color="auto"/>
            </w:tcBorders>
          </w:tcPr>
          <w:p w14:paraId="12C6A938" w14:textId="77777777" w:rsidR="009624DA" w:rsidRPr="009624DA" w:rsidRDefault="009624DA" w:rsidP="009624DA">
            <w:pPr>
              <w:jc w:val="center"/>
              <w:rPr>
                <w:rFonts w:eastAsia="Times New Roman"/>
                <w:b/>
                <w:sz w:val="20"/>
                <w:szCs w:val="20"/>
              </w:rPr>
            </w:pPr>
            <w:r w:rsidRPr="009624DA">
              <w:rPr>
                <w:rFonts w:eastAsia="Times New Roman"/>
                <w:b/>
                <w:sz w:val="20"/>
                <w:szCs w:val="20"/>
              </w:rPr>
              <w:t>Marzo</w:t>
            </w:r>
          </w:p>
        </w:tc>
        <w:tc>
          <w:tcPr>
            <w:tcW w:w="1182" w:type="dxa"/>
            <w:vMerge w:val="restart"/>
            <w:tcBorders>
              <w:top w:val="single" w:sz="4" w:space="0" w:color="auto"/>
              <w:left w:val="single" w:sz="4" w:space="0" w:color="auto"/>
              <w:bottom w:val="nil"/>
              <w:right w:val="single" w:sz="4" w:space="0" w:color="auto"/>
            </w:tcBorders>
          </w:tcPr>
          <w:p w14:paraId="6A56904C" w14:textId="77777777" w:rsidR="009624DA" w:rsidRPr="009624DA" w:rsidRDefault="009624DA" w:rsidP="009624DA">
            <w:pPr>
              <w:jc w:val="center"/>
              <w:rPr>
                <w:rFonts w:eastAsia="Times New Roman"/>
                <w:b/>
                <w:sz w:val="20"/>
                <w:szCs w:val="20"/>
              </w:rPr>
            </w:pPr>
            <w:r w:rsidRPr="009624DA">
              <w:rPr>
                <w:rFonts w:eastAsia="Times New Roman"/>
                <w:b/>
                <w:sz w:val="20"/>
                <w:szCs w:val="20"/>
              </w:rPr>
              <w:t>Diferencia en puntos</w:t>
            </w:r>
            <w:r w:rsidRPr="009624DA">
              <w:rPr>
                <w:rFonts w:eastAsia="Times New Roman"/>
                <w:b/>
                <w:sz w:val="20"/>
                <w:szCs w:val="20"/>
                <w:u w:val="single"/>
                <w:vertAlign w:val="superscript"/>
              </w:rPr>
              <w:t>1</w:t>
            </w:r>
            <w:r w:rsidRPr="009624DA">
              <w:rPr>
                <w:rFonts w:eastAsia="Times New Roman"/>
                <w:b/>
                <w:sz w:val="20"/>
                <w:szCs w:val="20"/>
                <w:vertAlign w:val="superscript"/>
              </w:rPr>
              <w:t>/</w:t>
            </w:r>
          </w:p>
        </w:tc>
      </w:tr>
      <w:tr w:rsidR="009624DA" w:rsidRPr="009624DA" w14:paraId="05DD00EB" w14:textId="77777777" w:rsidTr="00BA61DD">
        <w:trPr>
          <w:jc w:val="center"/>
        </w:trPr>
        <w:tc>
          <w:tcPr>
            <w:tcW w:w="5350" w:type="dxa"/>
            <w:vMerge/>
            <w:tcBorders>
              <w:top w:val="nil"/>
              <w:left w:val="single" w:sz="4" w:space="0" w:color="auto"/>
              <w:bottom w:val="single" w:sz="4" w:space="0" w:color="auto"/>
              <w:right w:val="single" w:sz="4" w:space="0" w:color="auto"/>
            </w:tcBorders>
          </w:tcPr>
          <w:p w14:paraId="68152354" w14:textId="77777777" w:rsidR="009624DA" w:rsidRPr="009624DA" w:rsidRDefault="009624DA" w:rsidP="009624DA">
            <w:pPr>
              <w:jc w:val="both"/>
              <w:rPr>
                <w:rFonts w:eastAsia="Times New Roman"/>
                <w:b/>
                <w:sz w:val="20"/>
                <w:szCs w:val="20"/>
              </w:rPr>
            </w:pPr>
          </w:p>
        </w:tc>
        <w:tc>
          <w:tcPr>
            <w:tcW w:w="900" w:type="dxa"/>
            <w:tcBorders>
              <w:top w:val="nil"/>
              <w:left w:val="single" w:sz="4" w:space="0" w:color="auto"/>
              <w:bottom w:val="single" w:sz="4" w:space="0" w:color="auto"/>
              <w:right w:val="single" w:sz="4" w:space="0" w:color="auto"/>
            </w:tcBorders>
            <w:vAlign w:val="center"/>
          </w:tcPr>
          <w:p w14:paraId="0DF9306D" w14:textId="77777777" w:rsidR="009624DA" w:rsidRPr="009624DA" w:rsidRDefault="009624DA" w:rsidP="009624DA">
            <w:pPr>
              <w:jc w:val="center"/>
              <w:rPr>
                <w:rFonts w:eastAsia="Times New Roman"/>
                <w:b/>
                <w:sz w:val="20"/>
                <w:szCs w:val="20"/>
              </w:rPr>
            </w:pPr>
            <w:r w:rsidRPr="009624DA">
              <w:rPr>
                <w:rFonts w:eastAsia="Times New Roman"/>
                <w:b/>
                <w:sz w:val="20"/>
                <w:szCs w:val="20"/>
              </w:rPr>
              <w:t>2014</w:t>
            </w:r>
          </w:p>
        </w:tc>
        <w:tc>
          <w:tcPr>
            <w:tcW w:w="842" w:type="dxa"/>
            <w:tcBorders>
              <w:top w:val="nil"/>
              <w:left w:val="single" w:sz="4" w:space="0" w:color="auto"/>
              <w:bottom w:val="single" w:sz="4" w:space="0" w:color="auto"/>
              <w:right w:val="single" w:sz="4" w:space="0" w:color="auto"/>
            </w:tcBorders>
            <w:vAlign w:val="center"/>
          </w:tcPr>
          <w:p w14:paraId="2BC37015" w14:textId="77777777" w:rsidR="009624DA" w:rsidRPr="009624DA" w:rsidRDefault="009624DA" w:rsidP="009624DA">
            <w:pPr>
              <w:jc w:val="center"/>
              <w:rPr>
                <w:rFonts w:eastAsia="Times New Roman"/>
                <w:b/>
                <w:sz w:val="20"/>
                <w:szCs w:val="20"/>
              </w:rPr>
            </w:pPr>
            <w:r w:rsidRPr="009624DA">
              <w:rPr>
                <w:rFonts w:eastAsia="Times New Roman"/>
                <w:b/>
                <w:sz w:val="20"/>
                <w:szCs w:val="20"/>
              </w:rPr>
              <w:t>2015</w:t>
            </w:r>
            <w:r w:rsidRPr="009624DA">
              <w:rPr>
                <w:rFonts w:eastAsia="Times New Roman"/>
                <w:b/>
                <w:sz w:val="20"/>
                <w:szCs w:val="20"/>
                <w:u w:val="single"/>
                <w:vertAlign w:val="superscript"/>
              </w:rPr>
              <w:t>p</w:t>
            </w:r>
            <w:r w:rsidRPr="009624DA">
              <w:rPr>
                <w:rFonts w:eastAsia="Times New Roman"/>
                <w:b/>
                <w:sz w:val="20"/>
                <w:szCs w:val="20"/>
                <w:vertAlign w:val="superscript"/>
              </w:rPr>
              <w:t>/</w:t>
            </w:r>
          </w:p>
        </w:tc>
        <w:tc>
          <w:tcPr>
            <w:tcW w:w="1182" w:type="dxa"/>
            <w:vMerge/>
            <w:tcBorders>
              <w:top w:val="nil"/>
              <w:left w:val="single" w:sz="4" w:space="0" w:color="auto"/>
              <w:bottom w:val="single" w:sz="4" w:space="0" w:color="auto"/>
              <w:right w:val="single" w:sz="4" w:space="0" w:color="auto"/>
            </w:tcBorders>
          </w:tcPr>
          <w:p w14:paraId="03AFAF19" w14:textId="77777777" w:rsidR="009624DA" w:rsidRPr="009624DA" w:rsidRDefault="009624DA" w:rsidP="009624DA">
            <w:pPr>
              <w:jc w:val="center"/>
              <w:rPr>
                <w:rFonts w:eastAsia="Times New Roman"/>
                <w:b/>
                <w:sz w:val="20"/>
                <w:szCs w:val="20"/>
              </w:rPr>
            </w:pPr>
          </w:p>
        </w:tc>
      </w:tr>
      <w:tr w:rsidR="009624DA" w:rsidRPr="009624DA" w14:paraId="287CEA32" w14:textId="77777777" w:rsidTr="00BA61DD">
        <w:trPr>
          <w:jc w:val="center"/>
        </w:trPr>
        <w:tc>
          <w:tcPr>
            <w:tcW w:w="5350" w:type="dxa"/>
            <w:tcBorders>
              <w:top w:val="single" w:sz="4" w:space="0" w:color="auto"/>
              <w:left w:val="single" w:sz="4" w:space="0" w:color="auto"/>
              <w:bottom w:val="nil"/>
              <w:right w:val="single" w:sz="4" w:space="0" w:color="auto"/>
            </w:tcBorders>
          </w:tcPr>
          <w:p w14:paraId="0A78D8A5" w14:textId="77777777" w:rsidR="009624DA" w:rsidRPr="009624DA" w:rsidRDefault="009624DA" w:rsidP="009624DA">
            <w:pPr>
              <w:jc w:val="both"/>
              <w:rPr>
                <w:rFonts w:eastAsia="Times New Roman"/>
                <w:b/>
                <w:sz w:val="20"/>
                <w:szCs w:val="20"/>
              </w:rPr>
            </w:pPr>
            <w:r w:rsidRPr="009624DA">
              <w:rPr>
                <w:rFonts w:eastAsia="Times New Roman"/>
                <w:b/>
                <w:sz w:val="20"/>
                <w:szCs w:val="20"/>
              </w:rPr>
              <w:t>Indicador de Confianza Empresarial Manufacturero</w:t>
            </w:r>
          </w:p>
        </w:tc>
        <w:tc>
          <w:tcPr>
            <w:tcW w:w="900" w:type="dxa"/>
            <w:tcBorders>
              <w:top w:val="single" w:sz="4" w:space="0" w:color="auto"/>
              <w:left w:val="single" w:sz="4" w:space="0" w:color="auto"/>
              <w:bottom w:val="nil"/>
              <w:right w:val="single" w:sz="4" w:space="0" w:color="auto"/>
            </w:tcBorders>
          </w:tcPr>
          <w:p w14:paraId="591BD7EE" w14:textId="77777777" w:rsidR="009624DA" w:rsidRPr="009624DA" w:rsidRDefault="009624DA" w:rsidP="009624DA">
            <w:pPr>
              <w:jc w:val="center"/>
              <w:rPr>
                <w:rFonts w:eastAsia="Times New Roman"/>
                <w:b/>
                <w:sz w:val="20"/>
                <w:szCs w:val="20"/>
              </w:rPr>
            </w:pPr>
            <w:r w:rsidRPr="009624DA">
              <w:rPr>
                <w:rFonts w:eastAsia="Times New Roman"/>
                <w:b/>
                <w:sz w:val="20"/>
                <w:szCs w:val="20"/>
              </w:rPr>
              <w:t>51.8</w:t>
            </w:r>
          </w:p>
        </w:tc>
        <w:tc>
          <w:tcPr>
            <w:tcW w:w="842" w:type="dxa"/>
            <w:tcBorders>
              <w:top w:val="single" w:sz="4" w:space="0" w:color="auto"/>
              <w:left w:val="single" w:sz="4" w:space="0" w:color="auto"/>
              <w:bottom w:val="nil"/>
              <w:right w:val="single" w:sz="4" w:space="0" w:color="auto"/>
            </w:tcBorders>
          </w:tcPr>
          <w:p w14:paraId="1C37A2D3" w14:textId="77777777" w:rsidR="009624DA" w:rsidRPr="009624DA" w:rsidRDefault="009624DA" w:rsidP="009624DA">
            <w:pPr>
              <w:jc w:val="center"/>
              <w:rPr>
                <w:rFonts w:eastAsia="Times New Roman"/>
                <w:b/>
                <w:sz w:val="20"/>
                <w:szCs w:val="20"/>
              </w:rPr>
            </w:pPr>
            <w:r w:rsidRPr="009624DA">
              <w:rPr>
                <w:rFonts w:eastAsia="Times New Roman"/>
                <w:b/>
                <w:sz w:val="20"/>
                <w:szCs w:val="20"/>
              </w:rPr>
              <w:t>48.5</w:t>
            </w:r>
          </w:p>
        </w:tc>
        <w:tc>
          <w:tcPr>
            <w:tcW w:w="1182" w:type="dxa"/>
            <w:tcBorders>
              <w:top w:val="single" w:sz="4" w:space="0" w:color="auto"/>
              <w:left w:val="single" w:sz="4" w:space="0" w:color="auto"/>
              <w:bottom w:val="nil"/>
              <w:right w:val="single" w:sz="4" w:space="0" w:color="auto"/>
            </w:tcBorders>
          </w:tcPr>
          <w:p w14:paraId="1D6E3892" w14:textId="77777777" w:rsidR="009624DA" w:rsidRPr="009624DA" w:rsidRDefault="009624DA" w:rsidP="009624DA">
            <w:pPr>
              <w:ind w:right="340"/>
              <w:jc w:val="right"/>
              <w:rPr>
                <w:rFonts w:eastAsia="Times New Roman"/>
                <w:b/>
                <w:sz w:val="20"/>
                <w:szCs w:val="20"/>
              </w:rPr>
            </w:pPr>
            <w:r w:rsidRPr="009624DA">
              <w:rPr>
                <w:rFonts w:eastAsia="Times New Roman"/>
                <w:b/>
                <w:sz w:val="20"/>
                <w:szCs w:val="20"/>
              </w:rPr>
              <w:t>-3.2</w:t>
            </w:r>
          </w:p>
        </w:tc>
      </w:tr>
      <w:tr w:rsidR="009624DA" w:rsidRPr="009624DA" w14:paraId="1809C11C" w14:textId="77777777" w:rsidTr="00BA61DD">
        <w:trPr>
          <w:jc w:val="center"/>
        </w:trPr>
        <w:tc>
          <w:tcPr>
            <w:tcW w:w="5350" w:type="dxa"/>
            <w:tcBorders>
              <w:top w:val="nil"/>
              <w:left w:val="single" w:sz="4" w:space="0" w:color="auto"/>
              <w:bottom w:val="nil"/>
              <w:right w:val="single" w:sz="4" w:space="0" w:color="auto"/>
            </w:tcBorders>
          </w:tcPr>
          <w:p w14:paraId="5B3139A2" w14:textId="77777777" w:rsidR="009624DA" w:rsidRPr="009624DA" w:rsidRDefault="009624DA" w:rsidP="009624DA">
            <w:pPr>
              <w:ind w:left="113"/>
              <w:rPr>
                <w:rFonts w:eastAsia="Times New Roman"/>
                <w:sz w:val="20"/>
                <w:szCs w:val="20"/>
              </w:rPr>
            </w:pPr>
            <w:r w:rsidRPr="009624DA">
              <w:rPr>
                <w:rFonts w:eastAsia="Times New Roman"/>
                <w:sz w:val="20"/>
                <w:szCs w:val="20"/>
              </w:rPr>
              <w:t>Alimentos, bebidas y tabaco</w:t>
            </w:r>
          </w:p>
        </w:tc>
        <w:tc>
          <w:tcPr>
            <w:tcW w:w="900" w:type="dxa"/>
            <w:tcBorders>
              <w:top w:val="nil"/>
              <w:left w:val="single" w:sz="4" w:space="0" w:color="auto"/>
              <w:bottom w:val="nil"/>
              <w:right w:val="single" w:sz="4" w:space="0" w:color="auto"/>
            </w:tcBorders>
          </w:tcPr>
          <w:p w14:paraId="0A7CE1E8" w14:textId="77777777" w:rsidR="009624DA" w:rsidRPr="009624DA" w:rsidRDefault="009624DA" w:rsidP="009624DA">
            <w:pPr>
              <w:jc w:val="center"/>
              <w:rPr>
                <w:rFonts w:eastAsia="Times New Roman"/>
                <w:sz w:val="20"/>
                <w:szCs w:val="20"/>
              </w:rPr>
            </w:pPr>
            <w:r w:rsidRPr="009624DA">
              <w:rPr>
                <w:rFonts w:eastAsia="Times New Roman"/>
                <w:sz w:val="20"/>
                <w:szCs w:val="20"/>
              </w:rPr>
              <w:t>49.8</w:t>
            </w:r>
          </w:p>
        </w:tc>
        <w:tc>
          <w:tcPr>
            <w:tcW w:w="842" w:type="dxa"/>
            <w:tcBorders>
              <w:top w:val="nil"/>
              <w:left w:val="single" w:sz="4" w:space="0" w:color="auto"/>
              <w:bottom w:val="nil"/>
              <w:right w:val="single" w:sz="4" w:space="0" w:color="auto"/>
            </w:tcBorders>
          </w:tcPr>
          <w:p w14:paraId="73F343E4" w14:textId="77777777" w:rsidR="009624DA" w:rsidRPr="009624DA" w:rsidRDefault="009624DA" w:rsidP="009624DA">
            <w:pPr>
              <w:jc w:val="center"/>
              <w:rPr>
                <w:rFonts w:eastAsia="Times New Roman"/>
                <w:sz w:val="20"/>
                <w:szCs w:val="20"/>
              </w:rPr>
            </w:pPr>
            <w:r w:rsidRPr="009624DA">
              <w:rPr>
                <w:rFonts w:eastAsia="Times New Roman"/>
                <w:sz w:val="20"/>
                <w:szCs w:val="20"/>
              </w:rPr>
              <w:t>48.2</w:t>
            </w:r>
          </w:p>
        </w:tc>
        <w:tc>
          <w:tcPr>
            <w:tcW w:w="1182" w:type="dxa"/>
            <w:tcBorders>
              <w:top w:val="nil"/>
              <w:left w:val="single" w:sz="4" w:space="0" w:color="auto"/>
              <w:bottom w:val="nil"/>
              <w:right w:val="single" w:sz="4" w:space="0" w:color="auto"/>
            </w:tcBorders>
          </w:tcPr>
          <w:p w14:paraId="56806E06"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-1.6</w:t>
            </w:r>
          </w:p>
        </w:tc>
      </w:tr>
      <w:tr w:rsidR="009624DA" w:rsidRPr="009624DA" w14:paraId="1789D1CA" w14:textId="77777777" w:rsidTr="00BA61DD">
        <w:trPr>
          <w:jc w:val="center"/>
        </w:trPr>
        <w:tc>
          <w:tcPr>
            <w:tcW w:w="5350" w:type="dxa"/>
            <w:tcBorders>
              <w:top w:val="nil"/>
              <w:left w:val="single" w:sz="4" w:space="0" w:color="auto"/>
              <w:bottom w:val="nil"/>
              <w:right w:val="single" w:sz="4" w:space="0" w:color="auto"/>
            </w:tcBorders>
          </w:tcPr>
          <w:p w14:paraId="49421C59" w14:textId="77777777" w:rsidR="009624DA" w:rsidRPr="009624DA" w:rsidRDefault="009624DA" w:rsidP="009624DA">
            <w:pPr>
              <w:ind w:left="113"/>
              <w:rPr>
                <w:rFonts w:eastAsia="Times New Roman"/>
                <w:sz w:val="20"/>
                <w:szCs w:val="20"/>
              </w:rPr>
            </w:pPr>
            <w:r w:rsidRPr="009624DA">
              <w:rPr>
                <w:rFonts w:eastAsia="Times New Roman"/>
                <w:sz w:val="20"/>
                <w:szCs w:val="20"/>
              </w:rPr>
              <w:t>Derivados del petróleo y del carbón, industria química, del plástico y del hule</w:t>
            </w:r>
          </w:p>
        </w:tc>
        <w:tc>
          <w:tcPr>
            <w:tcW w:w="900" w:type="dxa"/>
            <w:tcBorders>
              <w:top w:val="nil"/>
              <w:left w:val="single" w:sz="4" w:space="0" w:color="auto"/>
              <w:bottom w:val="nil"/>
              <w:right w:val="single" w:sz="4" w:space="0" w:color="auto"/>
            </w:tcBorders>
            <w:vAlign w:val="center"/>
          </w:tcPr>
          <w:p w14:paraId="08465F9F" w14:textId="77777777" w:rsidR="009624DA" w:rsidRPr="009624DA" w:rsidRDefault="009624DA" w:rsidP="009624DA">
            <w:pPr>
              <w:jc w:val="center"/>
              <w:rPr>
                <w:rFonts w:eastAsia="Times New Roman"/>
                <w:sz w:val="20"/>
                <w:szCs w:val="20"/>
              </w:rPr>
            </w:pPr>
            <w:r w:rsidRPr="009624DA">
              <w:rPr>
                <w:rFonts w:eastAsia="Times New Roman"/>
                <w:sz w:val="20"/>
                <w:szCs w:val="20"/>
              </w:rPr>
              <w:t>52.7</w:t>
            </w:r>
          </w:p>
        </w:tc>
        <w:tc>
          <w:tcPr>
            <w:tcW w:w="842" w:type="dxa"/>
            <w:tcBorders>
              <w:top w:val="nil"/>
              <w:left w:val="single" w:sz="4" w:space="0" w:color="auto"/>
              <w:bottom w:val="nil"/>
              <w:right w:val="single" w:sz="4" w:space="0" w:color="auto"/>
            </w:tcBorders>
            <w:vAlign w:val="center"/>
          </w:tcPr>
          <w:p w14:paraId="0ECF0FB6" w14:textId="77777777" w:rsidR="009624DA" w:rsidRPr="009624DA" w:rsidRDefault="009624DA" w:rsidP="009624DA">
            <w:pPr>
              <w:jc w:val="center"/>
              <w:rPr>
                <w:rFonts w:eastAsia="Times New Roman"/>
                <w:sz w:val="20"/>
                <w:szCs w:val="20"/>
              </w:rPr>
            </w:pPr>
            <w:r w:rsidRPr="009624DA">
              <w:rPr>
                <w:rFonts w:eastAsia="Times New Roman"/>
                <w:sz w:val="20"/>
                <w:szCs w:val="20"/>
              </w:rPr>
              <w:t>49.1</w:t>
            </w:r>
          </w:p>
        </w:tc>
        <w:tc>
          <w:tcPr>
            <w:tcW w:w="1182" w:type="dxa"/>
            <w:tcBorders>
              <w:top w:val="nil"/>
              <w:left w:val="single" w:sz="4" w:space="0" w:color="auto"/>
              <w:bottom w:val="nil"/>
              <w:right w:val="single" w:sz="4" w:space="0" w:color="auto"/>
            </w:tcBorders>
            <w:vAlign w:val="center"/>
          </w:tcPr>
          <w:p w14:paraId="389A6E64"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-3.6</w:t>
            </w:r>
          </w:p>
        </w:tc>
      </w:tr>
      <w:tr w:rsidR="009624DA" w:rsidRPr="009624DA" w14:paraId="400D26CC" w14:textId="77777777" w:rsidTr="00BA61DD">
        <w:trPr>
          <w:jc w:val="center"/>
        </w:trPr>
        <w:tc>
          <w:tcPr>
            <w:tcW w:w="5350" w:type="dxa"/>
            <w:tcBorders>
              <w:top w:val="nil"/>
              <w:left w:val="single" w:sz="4" w:space="0" w:color="auto"/>
              <w:bottom w:val="nil"/>
              <w:right w:val="single" w:sz="4" w:space="0" w:color="auto"/>
            </w:tcBorders>
          </w:tcPr>
          <w:p w14:paraId="1D41F599" w14:textId="77777777" w:rsidR="009624DA" w:rsidRPr="009624DA" w:rsidRDefault="009624DA" w:rsidP="009624DA">
            <w:pPr>
              <w:ind w:left="113"/>
              <w:rPr>
                <w:rFonts w:eastAsia="Times New Roman"/>
                <w:sz w:val="20"/>
                <w:szCs w:val="20"/>
              </w:rPr>
            </w:pPr>
            <w:r w:rsidRPr="009624DA">
              <w:rPr>
                <w:rFonts w:eastAsia="Times New Roman"/>
                <w:sz w:val="20"/>
                <w:szCs w:val="20"/>
              </w:rPr>
              <w:t>Minerales no metálicos y metálicas básicas</w:t>
            </w:r>
          </w:p>
        </w:tc>
        <w:tc>
          <w:tcPr>
            <w:tcW w:w="900" w:type="dxa"/>
            <w:tcBorders>
              <w:top w:val="nil"/>
              <w:left w:val="single" w:sz="4" w:space="0" w:color="auto"/>
              <w:bottom w:val="nil"/>
              <w:right w:val="single" w:sz="4" w:space="0" w:color="auto"/>
            </w:tcBorders>
          </w:tcPr>
          <w:p w14:paraId="06779F70" w14:textId="77777777" w:rsidR="009624DA" w:rsidRPr="009624DA" w:rsidRDefault="009624DA" w:rsidP="009624DA">
            <w:pPr>
              <w:jc w:val="center"/>
              <w:rPr>
                <w:rFonts w:eastAsia="Times New Roman"/>
                <w:sz w:val="20"/>
                <w:szCs w:val="20"/>
              </w:rPr>
            </w:pPr>
            <w:r w:rsidRPr="009624DA">
              <w:rPr>
                <w:rFonts w:eastAsia="Times New Roman"/>
                <w:sz w:val="20"/>
                <w:szCs w:val="20"/>
              </w:rPr>
              <w:t>52.4</w:t>
            </w:r>
          </w:p>
        </w:tc>
        <w:tc>
          <w:tcPr>
            <w:tcW w:w="842" w:type="dxa"/>
            <w:tcBorders>
              <w:top w:val="nil"/>
              <w:left w:val="single" w:sz="4" w:space="0" w:color="auto"/>
              <w:bottom w:val="nil"/>
              <w:right w:val="single" w:sz="4" w:space="0" w:color="auto"/>
            </w:tcBorders>
          </w:tcPr>
          <w:p w14:paraId="362C4FA6" w14:textId="77777777" w:rsidR="009624DA" w:rsidRPr="009624DA" w:rsidRDefault="009624DA" w:rsidP="009624DA">
            <w:pPr>
              <w:jc w:val="center"/>
              <w:rPr>
                <w:rFonts w:eastAsia="Times New Roman"/>
                <w:sz w:val="20"/>
                <w:szCs w:val="20"/>
              </w:rPr>
            </w:pPr>
            <w:r w:rsidRPr="009624DA">
              <w:rPr>
                <w:rFonts w:eastAsia="Times New Roman"/>
                <w:sz w:val="20"/>
                <w:szCs w:val="20"/>
              </w:rPr>
              <w:t>49.4</w:t>
            </w:r>
          </w:p>
        </w:tc>
        <w:tc>
          <w:tcPr>
            <w:tcW w:w="1182" w:type="dxa"/>
            <w:tcBorders>
              <w:top w:val="nil"/>
              <w:left w:val="single" w:sz="4" w:space="0" w:color="auto"/>
              <w:bottom w:val="nil"/>
              <w:right w:val="single" w:sz="4" w:space="0" w:color="auto"/>
            </w:tcBorders>
          </w:tcPr>
          <w:p w14:paraId="5CF8637A"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-3.1</w:t>
            </w:r>
          </w:p>
        </w:tc>
      </w:tr>
      <w:tr w:rsidR="009624DA" w:rsidRPr="009624DA" w14:paraId="4387ECEF" w14:textId="77777777" w:rsidTr="00BA61DD">
        <w:trPr>
          <w:jc w:val="center"/>
        </w:trPr>
        <w:tc>
          <w:tcPr>
            <w:tcW w:w="5350" w:type="dxa"/>
            <w:tcBorders>
              <w:top w:val="nil"/>
              <w:left w:val="single" w:sz="4" w:space="0" w:color="auto"/>
              <w:bottom w:val="nil"/>
              <w:right w:val="single" w:sz="4" w:space="0" w:color="auto"/>
            </w:tcBorders>
          </w:tcPr>
          <w:p w14:paraId="53963407" w14:textId="77777777" w:rsidR="009624DA" w:rsidRPr="009624DA" w:rsidRDefault="009624DA" w:rsidP="009624DA">
            <w:pPr>
              <w:ind w:left="113"/>
              <w:rPr>
                <w:rFonts w:eastAsia="Times New Roman"/>
                <w:sz w:val="20"/>
                <w:szCs w:val="20"/>
              </w:rPr>
            </w:pPr>
            <w:r w:rsidRPr="009624DA">
              <w:rPr>
                <w:rFonts w:eastAsia="Times New Roman"/>
                <w:sz w:val="20"/>
                <w:szCs w:val="20"/>
              </w:rPr>
              <w:t>Equipo de computación, accesorios electrónicos y aparatos eléctricos</w:t>
            </w:r>
          </w:p>
        </w:tc>
        <w:tc>
          <w:tcPr>
            <w:tcW w:w="900" w:type="dxa"/>
            <w:tcBorders>
              <w:top w:val="nil"/>
              <w:left w:val="single" w:sz="4" w:space="0" w:color="auto"/>
              <w:bottom w:val="nil"/>
              <w:right w:val="single" w:sz="4" w:space="0" w:color="auto"/>
            </w:tcBorders>
            <w:vAlign w:val="center"/>
          </w:tcPr>
          <w:p w14:paraId="4456DB2A" w14:textId="77777777" w:rsidR="009624DA" w:rsidRPr="009624DA" w:rsidRDefault="009624DA" w:rsidP="009624DA">
            <w:pPr>
              <w:jc w:val="center"/>
              <w:rPr>
                <w:rFonts w:eastAsia="Times New Roman"/>
                <w:sz w:val="20"/>
                <w:szCs w:val="20"/>
              </w:rPr>
            </w:pPr>
            <w:r w:rsidRPr="009624DA">
              <w:rPr>
                <w:rFonts w:eastAsia="Times New Roman"/>
                <w:sz w:val="20"/>
                <w:szCs w:val="20"/>
              </w:rPr>
              <w:t>51.2</w:t>
            </w:r>
          </w:p>
        </w:tc>
        <w:tc>
          <w:tcPr>
            <w:tcW w:w="842" w:type="dxa"/>
            <w:tcBorders>
              <w:top w:val="nil"/>
              <w:left w:val="single" w:sz="4" w:space="0" w:color="auto"/>
              <w:bottom w:val="nil"/>
              <w:right w:val="single" w:sz="4" w:space="0" w:color="auto"/>
            </w:tcBorders>
            <w:vAlign w:val="center"/>
          </w:tcPr>
          <w:p w14:paraId="5322C64E" w14:textId="77777777" w:rsidR="009624DA" w:rsidRPr="009624DA" w:rsidRDefault="009624DA" w:rsidP="009624DA">
            <w:pPr>
              <w:jc w:val="center"/>
              <w:rPr>
                <w:rFonts w:eastAsia="Times New Roman"/>
                <w:sz w:val="20"/>
                <w:szCs w:val="20"/>
              </w:rPr>
            </w:pPr>
            <w:r w:rsidRPr="009624DA">
              <w:rPr>
                <w:rFonts w:eastAsia="Times New Roman"/>
                <w:sz w:val="20"/>
                <w:szCs w:val="20"/>
              </w:rPr>
              <w:t>49.4</w:t>
            </w:r>
          </w:p>
        </w:tc>
        <w:tc>
          <w:tcPr>
            <w:tcW w:w="1182" w:type="dxa"/>
            <w:tcBorders>
              <w:top w:val="nil"/>
              <w:left w:val="single" w:sz="4" w:space="0" w:color="auto"/>
              <w:bottom w:val="nil"/>
              <w:right w:val="single" w:sz="4" w:space="0" w:color="auto"/>
            </w:tcBorders>
            <w:vAlign w:val="center"/>
          </w:tcPr>
          <w:p w14:paraId="781E7553"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-1.8</w:t>
            </w:r>
          </w:p>
        </w:tc>
      </w:tr>
      <w:tr w:rsidR="009624DA" w:rsidRPr="009624DA" w14:paraId="2EBDCEC6" w14:textId="77777777" w:rsidTr="00BA61DD">
        <w:trPr>
          <w:jc w:val="center"/>
        </w:trPr>
        <w:tc>
          <w:tcPr>
            <w:tcW w:w="5350" w:type="dxa"/>
            <w:tcBorders>
              <w:top w:val="nil"/>
              <w:left w:val="single" w:sz="4" w:space="0" w:color="auto"/>
              <w:bottom w:val="nil"/>
              <w:right w:val="single" w:sz="4" w:space="0" w:color="auto"/>
            </w:tcBorders>
          </w:tcPr>
          <w:p w14:paraId="5099695C" w14:textId="77777777" w:rsidR="009624DA" w:rsidRPr="009624DA" w:rsidRDefault="009624DA" w:rsidP="009624DA">
            <w:pPr>
              <w:ind w:left="113"/>
              <w:rPr>
                <w:rFonts w:eastAsia="Times New Roman"/>
                <w:sz w:val="20"/>
                <w:szCs w:val="20"/>
              </w:rPr>
            </w:pPr>
            <w:r w:rsidRPr="009624DA">
              <w:rPr>
                <w:rFonts w:eastAsia="Times New Roman"/>
                <w:sz w:val="20"/>
                <w:szCs w:val="20"/>
              </w:rPr>
              <w:t>Equipo de transporte</w:t>
            </w:r>
          </w:p>
        </w:tc>
        <w:tc>
          <w:tcPr>
            <w:tcW w:w="900" w:type="dxa"/>
            <w:tcBorders>
              <w:top w:val="nil"/>
              <w:left w:val="single" w:sz="4" w:space="0" w:color="auto"/>
              <w:bottom w:val="nil"/>
              <w:right w:val="single" w:sz="4" w:space="0" w:color="auto"/>
            </w:tcBorders>
          </w:tcPr>
          <w:p w14:paraId="286BD4C7" w14:textId="77777777" w:rsidR="009624DA" w:rsidRPr="009624DA" w:rsidRDefault="009624DA" w:rsidP="009624DA">
            <w:pPr>
              <w:jc w:val="center"/>
              <w:rPr>
                <w:rFonts w:eastAsia="Times New Roman"/>
                <w:sz w:val="20"/>
                <w:szCs w:val="20"/>
              </w:rPr>
            </w:pPr>
            <w:r w:rsidRPr="009624DA">
              <w:rPr>
                <w:rFonts w:eastAsia="Times New Roman"/>
                <w:sz w:val="20"/>
                <w:szCs w:val="20"/>
              </w:rPr>
              <w:t>56.0</w:t>
            </w:r>
          </w:p>
        </w:tc>
        <w:tc>
          <w:tcPr>
            <w:tcW w:w="842" w:type="dxa"/>
            <w:tcBorders>
              <w:top w:val="nil"/>
              <w:left w:val="single" w:sz="4" w:space="0" w:color="auto"/>
              <w:bottom w:val="nil"/>
              <w:right w:val="single" w:sz="4" w:space="0" w:color="auto"/>
            </w:tcBorders>
          </w:tcPr>
          <w:p w14:paraId="4BCE8E6A" w14:textId="77777777" w:rsidR="009624DA" w:rsidRPr="009624DA" w:rsidRDefault="009624DA" w:rsidP="009624DA">
            <w:pPr>
              <w:jc w:val="center"/>
              <w:rPr>
                <w:rFonts w:eastAsia="Times New Roman"/>
                <w:sz w:val="20"/>
                <w:szCs w:val="20"/>
              </w:rPr>
            </w:pPr>
            <w:r w:rsidRPr="009624DA">
              <w:rPr>
                <w:rFonts w:eastAsia="Times New Roman"/>
                <w:sz w:val="20"/>
                <w:szCs w:val="20"/>
              </w:rPr>
              <w:t>49.7</w:t>
            </w:r>
          </w:p>
        </w:tc>
        <w:tc>
          <w:tcPr>
            <w:tcW w:w="1182" w:type="dxa"/>
            <w:tcBorders>
              <w:top w:val="nil"/>
              <w:left w:val="single" w:sz="4" w:space="0" w:color="auto"/>
              <w:bottom w:val="nil"/>
              <w:right w:val="single" w:sz="4" w:space="0" w:color="auto"/>
            </w:tcBorders>
          </w:tcPr>
          <w:p w14:paraId="4E3A5438"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-6.2</w:t>
            </w:r>
          </w:p>
        </w:tc>
      </w:tr>
      <w:tr w:rsidR="009624DA" w:rsidRPr="009624DA" w14:paraId="6BB126CC" w14:textId="77777777" w:rsidTr="00BA61DD">
        <w:trPr>
          <w:jc w:val="center"/>
        </w:trPr>
        <w:tc>
          <w:tcPr>
            <w:tcW w:w="5350" w:type="dxa"/>
            <w:tcBorders>
              <w:top w:val="nil"/>
              <w:left w:val="single" w:sz="4" w:space="0" w:color="auto"/>
              <w:bottom w:val="nil"/>
              <w:right w:val="single" w:sz="4" w:space="0" w:color="auto"/>
            </w:tcBorders>
          </w:tcPr>
          <w:p w14:paraId="42B24105" w14:textId="77777777" w:rsidR="009624DA" w:rsidRPr="009624DA" w:rsidRDefault="009624DA" w:rsidP="009624DA">
            <w:pPr>
              <w:ind w:left="113"/>
              <w:rPr>
                <w:rFonts w:eastAsia="Times New Roman"/>
                <w:sz w:val="20"/>
                <w:szCs w:val="20"/>
              </w:rPr>
            </w:pPr>
            <w:r w:rsidRPr="009624DA">
              <w:rPr>
                <w:rFonts w:eastAsia="Times New Roman"/>
                <w:sz w:val="20"/>
                <w:szCs w:val="20"/>
              </w:rPr>
              <w:t>Productos metálicos, maquinaria, equipo y muebles</w:t>
            </w:r>
          </w:p>
        </w:tc>
        <w:tc>
          <w:tcPr>
            <w:tcW w:w="900" w:type="dxa"/>
            <w:tcBorders>
              <w:top w:val="nil"/>
              <w:left w:val="single" w:sz="4" w:space="0" w:color="auto"/>
              <w:bottom w:val="nil"/>
              <w:right w:val="single" w:sz="4" w:space="0" w:color="auto"/>
            </w:tcBorders>
          </w:tcPr>
          <w:p w14:paraId="4B753468" w14:textId="77777777" w:rsidR="009624DA" w:rsidRPr="009624DA" w:rsidRDefault="009624DA" w:rsidP="009624DA">
            <w:pPr>
              <w:jc w:val="center"/>
              <w:rPr>
                <w:rFonts w:eastAsia="Times New Roman"/>
                <w:sz w:val="20"/>
                <w:szCs w:val="20"/>
              </w:rPr>
            </w:pPr>
            <w:r w:rsidRPr="009624DA">
              <w:rPr>
                <w:rFonts w:eastAsia="Times New Roman"/>
                <w:sz w:val="20"/>
                <w:szCs w:val="20"/>
              </w:rPr>
              <w:t>51.0</w:t>
            </w:r>
          </w:p>
        </w:tc>
        <w:tc>
          <w:tcPr>
            <w:tcW w:w="842" w:type="dxa"/>
            <w:tcBorders>
              <w:top w:val="nil"/>
              <w:left w:val="single" w:sz="4" w:space="0" w:color="auto"/>
              <w:bottom w:val="nil"/>
              <w:right w:val="single" w:sz="4" w:space="0" w:color="auto"/>
            </w:tcBorders>
          </w:tcPr>
          <w:p w14:paraId="6A686095" w14:textId="77777777" w:rsidR="009624DA" w:rsidRPr="009624DA" w:rsidRDefault="009624DA" w:rsidP="009624DA">
            <w:pPr>
              <w:jc w:val="center"/>
              <w:rPr>
                <w:rFonts w:eastAsia="Times New Roman"/>
                <w:sz w:val="20"/>
                <w:szCs w:val="20"/>
              </w:rPr>
            </w:pPr>
            <w:r w:rsidRPr="009624DA">
              <w:rPr>
                <w:rFonts w:eastAsia="Times New Roman"/>
                <w:sz w:val="20"/>
                <w:szCs w:val="20"/>
              </w:rPr>
              <w:t>48.7</w:t>
            </w:r>
          </w:p>
        </w:tc>
        <w:tc>
          <w:tcPr>
            <w:tcW w:w="1182" w:type="dxa"/>
            <w:tcBorders>
              <w:top w:val="nil"/>
              <w:left w:val="single" w:sz="4" w:space="0" w:color="auto"/>
              <w:bottom w:val="nil"/>
              <w:right w:val="single" w:sz="4" w:space="0" w:color="auto"/>
            </w:tcBorders>
          </w:tcPr>
          <w:p w14:paraId="414E160F"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-2.3</w:t>
            </w:r>
          </w:p>
        </w:tc>
      </w:tr>
      <w:tr w:rsidR="009624DA" w:rsidRPr="009624DA" w14:paraId="49B14659" w14:textId="77777777" w:rsidTr="00BA61DD">
        <w:trPr>
          <w:jc w:val="center"/>
        </w:trPr>
        <w:tc>
          <w:tcPr>
            <w:tcW w:w="5350" w:type="dxa"/>
            <w:tcBorders>
              <w:top w:val="nil"/>
              <w:left w:val="single" w:sz="4" w:space="0" w:color="auto"/>
              <w:bottom w:val="single" w:sz="4" w:space="0" w:color="auto"/>
              <w:right w:val="single" w:sz="4" w:space="0" w:color="auto"/>
            </w:tcBorders>
          </w:tcPr>
          <w:p w14:paraId="062A48CA" w14:textId="77777777" w:rsidR="009624DA" w:rsidRPr="009624DA" w:rsidRDefault="009624DA" w:rsidP="009624DA">
            <w:pPr>
              <w:ind w:left="113"/>
              <w:rPr>
                <w:rFonts w:eastAsia="Times New Roman"/>
                <w:sz w:val="20"/>
                <w:szCs w:val="20"/>
              </w:rPr>
            </w:pPr>
            <w:r w:rsidRPr="009624DA">
              <w:rPr>
                <w:rFonts w:eastAsia="Times New Roman"/>
                <w:sz w:val="20"/>
                <w:szCs w:val="20"/>
              </w:rPr>
              <w:t>Textiles, prendas de vestir, cuero y piel, madera, papel y otras</w:t>
            </w:r>
          </w:p>
        </w:tc>
        <w:tc>
          <w:tcPr>
            <w:tcW w:w="900" w:type="dxa"/>
            <w:tcBorders>
              <w:top w:val="nil"/>
              <w:left w:val="single" w:sz="4" w:space="0" w:color="auto"/>
              <w:bottom w:val="single" w:sz="4" w:space="0" w:color="auto"/>
              <w:right w:val="single" w:sz="4" w:space="0" w:color="auto"/>
            </w:tcBorders>
          </w:tcPr>
          <w:p w14:paraId="1F37176B" w14:textId="77777777" w:rsidR="009624DA" w:rsidRPr="009624DA" w:rsidRDefault="009624DA" w:rsidP="009624DA">
            <w:pPr>
              <w:jc w:val="center"/>
              <w:rPr>
                <w:rFonts w:eastAsia="Times New Roman"/>
                <w:sz w:val="20"/>
                <w:szCs w:val="20"/>
              </w:rPr>
            </w:pPr>
            <w:r w:rsidRPr="009624DA">
              <w:rPr>
                <w:rFonts w:eastAsia="Times New Roman"/>
                <w:sz w:val="20"/>
                <w:szCs w:val="20"/>
              </w:rPr>
              <w:t>45.6</w:t>
            </w:r>
          </w:p>
        </w:tc>
        <w:tc>
          <w:tcPr>
            <w:tcW w:w="842" w:type="dxa"/>
            <w:tcBorders>
              <w:top w:val="nil"/>
              <w:left w:val="single" w:sz="4" w:space="0" w:color="auto"/>
              <w:bottom w:val="single" w:sz="4" w:space="0" w:color="auto"/>
              <w:right w:val="single" w:sz="4" w:space="0" w:color="auto"/>
            </w:tcBorders>
          </w:tcPr>
          <w:p w14:paraId="1F8A39E4" w14:textId="77777777" w:rsidR="009624DA" w:rsidRPr="009624DA" w:rsidRDefault="009624DA" w:rsidP="009624DA">
            <w:pPr>
              <w:jc w:val="center"/>
              <w:rPr>
                <w:rFonts w:eastAsia="Times New Roman"/>
                <w:sz w:val="20"/>
                <w:szCs w:val="20"/>
              </w:rPr>
            </w:pPr>
            <w:r w:rsidRPr="009624DA">
              <w:rPr>
                <w:rFonts w:eastAsia="Times New Roman"/>
                <w:sz w:val="20"/>
                <w:szCs w:val="20"/>
              </w:rPr>
              <w:t>43.5</w:t>
            </w:r>
          </w:p>
        </w:tc>
        <w:tc>
          <w:tcPr>
            <w:tcW w:w="1182" w:type="dxa"/>
            <w:tcBorders>
              <w:top w:val="nil"/>
              <w:left w:val="single" w:sz="4" w:space="0" w:color="auto"/>
              <w:bottom w:val="single" w:sz="4" w:space="0" w:color="auto"/>
              <w:right w:val="single" w:sz="4" w:space="0" w:color="auto"/>
            </w:tcBorders>
          </w:tcPr>
          <w:p w14:paraId="14DBA763"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-2.1</w:t>
            </w:r>
          </w:p>
        </w:tc>
      </w:tr>
      <w:tr w:rsidR="009624DA" w:rsidRPr="009624DA" w14:paraId="2632F442" w14:textId="77777777" w:rsidTr="00BA61DD">
        <w:trPr>
          <w:jc w:val="center"/>
        </w:trPr>
        <w:tc>
          <w:tcPr>
            <w:tcW w:w="8274" w:type="dxa"/>
            <w:gridSpan w:val="4"/>
            <w:tcBorders>
              <w:top w:val="single" w:sz="4" w:space="0" w:color="auto"/>
              <w:left w:val="nil"/>
              <w:bottom w:val="nil"/>
              <w:right w:val="nil"/>
            </w:tcBorders>
          </w:tcPr>
          <w:p w14:paraId="30E4A5D1" w14:textId="77777777" w:rsidR="009624DA" w:rsidRPr="009624DA" w:rsidRDefault="009624DA" w:rsidP="009624DA">
            <w:pPr>
              <w:jc w:val="both"/>
              <w:rPr>
                <w:rFonts w:eastAsia="Times New Roman"/>
                <w:sz w:val="20"/>
                <w:szCs w:val="20"/>
              </w:rPr>
            </w:pPr>
            <w:r w:rsidRPr="009624DA">
              <w:rPr>
                <w:rFonts w:eastAsia="Times New Roman"/>
                <w:sz w:val="20"/>
                <w:szCs w:val="20"/>
              </w:rPr>
              <w:t>Nota: Los indicadores se generan con los datos referidos al mes de la entrevista.</w:t>
            </w:r>
          </w:p>
          <w:p w14:paraId="4EBA0277" w14:textId="77777777" w:rsidR="009624DA" w:rsidRPr="009624DA" w:rsidRDefault="009624DA" w:rsidP="009624DA">
            <w:pPr>
              <w:ind w:left="255" w:hanging="255"/>
              <w:jc w:val="both"/>
              <w:rPr>
                <w:rFonts w:eastAsia="Times New Roman"/>
                <w:sz w:val="20"/>
                <w:szCs w:val="20"/>
              </w:rPr>
            </w:pPr>
            <w:r w:rsidRPr="009624DA">
              <w:rPr>
                <w:rFonts w:eastAsia="Times New Roman"/>
                <w:sz w:val="20"/>
                <w:szCs w:val="20"/>
                <w:u w:val="single"/>
              </w:rPr>
              <w:t>1</w:t>
            </w:r>
            <w:r w:rsidRPr="009624DA">
              <w:rPr>
                <w:rFonts w:eastAsia="Times New Roman"/>
                <w:sz w:val="20"/>
                <w:szCs w:val="20"/>
              </w:rPr>
              <w:t>/ Las diferencias en puntos se obtienen de los respectivos indicadores considerando todos sus decimales.</w:t>
            </w:r>
          </w:p>
          <w:p w14:paraId="50FD6A45" w14:textId="77777777" w:rsidR="009624DA" w:rsidRPr="009624DA" w:rsidRDefault="009624DA" w:rsidP="009624DA">
            <w:pPr>
              <w:jc w:val="both"/>
              <w:rPr>
                <w:rFonts w:eastAsia="Times New Roman"/>
                <w:sz w:val="20"/>
                <w:szCs w:val="20"/>
              </w:rPr>
            </w:pPr>
            <w:r w:rsidRPr="009624DA">
              <w:rPr>
                <w:rFonts w:eastAsia="Times New Roman"/>
                <w:sz w:val="20"/>
                <w:szCs w:val="20"/>
                <w:u w:val="single"/>
              </w:rPr>
              <w:t>p</w:t>
            </w:r>
            <w:r w:rsidRPr="009624DA">
              <w:rPr>
                <w:rFonts w:eastAsia="Times New Roman"/>
                <w:sz w:val="20"/>
                <w:szCs w:val="20"/>
              </w:rPr>
              <w:t>/ Dato preliminar.</w:t>
            </w:r>
          </w:p>
          <w:p w14:paraId="24E2A725" w14:textId="77777777" w:rsidR="009624DA" w:rsidRPr="009624DA" w:rsidRDefault="009624DA" w:rsidP="009624DA">
            <w:pPr>
              <w:jc w:val="both"/>
              <w:rPr>
                <w:rFonts w:eastAsia="Times New Roman"/>
                <w:sz w:val="20"/>
                <w:szCs w:val="20"/>
              </w:rPr>
            </w:pPr>
            <w:r w:rsidRPr="009624DA">
              <w:rPr>
                <w:rFonts w:eastAsia="Times New Roman"/>
                <w:sz w:val="20"/>
                <w:szCs w:val="20"/>
              </w:rPr>
              <w:t>FUENTE: INEGI.</w:t>
            </w:r>
          </w:p>
        </w:tc>
      </w:tr>
    </w:tbl>
    <w:p w14:paraId="0BD15C33" w14:textId="77777777" w:rsidR="009624DA" w:rsidRPr="009624DA" w:rsidRDefault="009624DA" w:rsidP="009624DA">
      <w:pPr>
        <w:spacing w:after="360" w:line="360" w:lineRule="auto"/>
        <w:ind w:right="159"/>
        <w:jc w:val="both"/>
        <w:rPr>
          <w:rFonts w:eastAsia="Calibri"/>
          <w:sz w:val="22"/>
          <w:szCs w:val="22"/>
          <w:lang w:eastAsia="en-US"/>
        </w:rPr>
      </w:pPr>
    </w:p>
    <w:p w14:paraId="79CACA4B" w14:textId="77777777" w:rsidR="009624DA" w:rsidRPr="009624DA" w:rsidRDefault="009624DA" w:rsidP="009624DA">
      <w:pPr>
        <w:spacing w:after="360" w:line="360" w:lineRule="auto"/>
        <w:ind w:right="159"/>
        <w:jc w:val="both"/>
        <w:rPr>
          <w:rFonts w:eastAsia="Calibri"/>
          <w:sz w:val="26"/>
          <w:szCs w:val="26"/>
          <w:lang w:eastAsia="en-US"/>
        </w:rPr>
      </w:pPr>
      <w:r w:rsidRPr="009624DA">
        <w:rPr>
          <w:rFonts w:eastAsia="Calibri"/>
          <w:sz w:val="26"/>
          <w:szCs w:val="26"/>
          <w:lang w:eastAsia="en-US"/>
        </w:rPr>
        <w:t>El ICE de la Construcción, que muestra el nivel de confianza de los empresarios de dicho sector sobre la situación económica presente y futura del país y de sus empresas se estableció en 49.4 puntos en el tercer mes de este año, dato menor en 4.1 puntos respecto al de igual mes de un año antes, cuando se ubicó en 53.5 puntos.</w:t>
      </w:r>
    </w:p>
    <w:p w14:paraId="73BFA12B" w14:textId="77777777" w:rsidR="009624DA" w:rsidRPr="009624DA" w:rsidRDefault="009624DA" w:rsidP="009624DA">
      <w:pPr>
        <w:spacing w:after="360" w:line="360" w:lineRule="auto"/>
        <w:ind w:right="159"/>
        <w:jc w:val="center"/>
        <w:rPr>
          <w:rFonts w:eastAsia="Calibri"/>
          <w:sz w:val="26"/>
          <w:szCs w:val="26"/>
          <w:lang w:eastAsia="en-US"/>
        </w:rPr>
      </w:pPr>
      <w:r w:rsidRPr="009624DA">
        <w:lastRenderedPageBreak/>
        <w:fldChar w:fldCharType="begin"/>
      </w:r>
      <w:r w:rsidRPr="009624DA">
        <w:instrText xml:space="preserve"> LINK PowerPoint.Slide.8 "D:\\2015\\ABRIL\\GRÁFICAS POWER POINT\\17.- GRÁFICAS DEL IND DE CONFIANZA EMPRESARIAL.pptx!270" "" \a \p </w:instrText>
      </w:r>
      <w:r w:rsidRPr="009624DA">
        <w:fldChar w:fldCharType="separate"/>
      </w:r>
      <w:r w:rsidRPr="009624DA">
        <w:rPr>
          <w:noProof/>
          <w:lang w:eastAsia="es-MX"/>
        </w:rPr>
        <w:drawing>
          <wp:inline distT="0" distB="0" distL="0" distR="0" wp14:anchorId="52072E8F" wp14:editId="78920F18">
            <wp:extent cx="4880610" cy="3218815"/>
            <wp:effectExtent l="0" t="0" r="0" b="635"/>
            <wp:docPr id="1662" name="Imagen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106" cstate="print">
                      <a:extLst>
                        <a:ext uri="{28A0092B-C50C-407E-A947-70E740481C1C}">
                          <a14:useLocalDpi xmlns:a14="http://schemas.microsoft.com/office/drawing/2010/main" val="0"/>
                        </a:ext>
                      </a:extLst>
                    </a:blip>
                    <a:srcRect l="8920" t="2222" r="10799" b="3889"/>
                    <a:stretch>
                      <a:fillRect/>
                    </a:stretch>
                  </pic:blipFill>
                  <pic:spPr bwMode="auto">
                    <a:xfrm>
                      <a:off x="0" y="0"/>
                      <a:ext cx="4880610" cy="3218815"/>
                    </a:xfrm>
                    <a:prstGeom prst="rect">
                      <a:avLst/>
                    </a:prstGeom>
                    <a:noFill/>
                    <a:ln>
                      <a:noFill/>
                    </a:ln>
                  </pic:spPr>
                </pic:pic>
              </a:graphicData>
            </a:graphic>
          </wp:inline>
        </w:drawing>
      </w:r>
      <w:r w:rsidRPr="009624DA">
        <w:fldChar w:fldCharType="end"/>
      </w:r>
    </w:p>
    <w:p w14:paraId="1996EDA1" w14:textId="77777777" w:rsidR="009624DA" w:rsidRPr="009624DA" w:rsidRDefault="009624DA" w:rsidP="009624DA">
      <w:pPr>
        <w:spacing w:after="360" w:line="360" w:lineRule="auto"/>
        <w:ind w:right="159"/>
        <w:jc w:val="both"/>
        <w:rPr>
          <w:rFonts w:eastAsia="Calibri"/>
          <w:sz w:val="26"/>
          <w:szCs w:val="26"/>
          <w:lang w:eastAsia="en-US"/>
        </w:rPr>
      </w:pPr>
      <w:r w:rsidRPr="009624DA">
        <w:rPr>
          <w:rFonts w:eastAsia="Calibri"/>
          <w:sz w:val="26"/>
          <w:szCs w:val="26"/>
          <w:lang w:eastAsia="en-US"/>
        </w:rPr>
        <w:t>El comportamiento anual del ICE de la Construcción fue reflejo de reducciones en cuatro de sus cinco componentes, véase cuadro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1"/>
        <w:gridCol w:w="1080"/>
        <w:gridCol w:w="1080"/>
        <w:gridCol w:w="1306"/>
      </w:tblGrid>
      <w:tr w:rsidR="009624DA" w:rsidRPr="009624DA" w14:paraId="361F245E" w14:textId="77777777" w:rsidTr="00BA61DD">
        <w:trPr>
          <w:jc w:val="center"/>
        </w:trPr>
        <w:tc>
          <w:tcPr>
            <w:tcW w:w="8647" w:type="dxa"/>
            <w:gridSpan w:val="4"/>
            <w:tcBorders>
              <w:top w:val="nil"/>
              <w:left w:val="nil"/>
              <w:right w:val="nil"/>
            </w:tcBorders>
          </w:tcPr>
          <w:p w14:paraId="4E26E878" w14:textId="77777777" w:rsidR="009624DA" w:rsidRPr="009624DA" w:rsidRDefault="009624DA" w:rsidP="009624DA">
            <w:pPr>
              <w:jc w:val="center"/>
              <w:rPr>
                <w:rFonts w:eastAsia="Times New Roman"/>
                <w:b/>
                <w:sz w:val="22"/>
                <w:szCs w:val="22"/>
              </w:rPr>
            </w:pPr>
            <w:r w:rsidRPr="009624DA">
              <w:rPr>
                <w:rFonts w:eastAsia="Times New Roman"/>
                <w:b/>
                <w:sz w:val="22"/>
                <w:szCs w:val="22"/>
              </w:rPr>
              <w:t>COMPONENTES DEL INDICADOR DE CONFIANZA EMPRESARIAL DE LA CONSTRUCCIÓN</w:t>
            </w:r>
          </w:p>
          <w:p w14:paraId="45B11929" w14:textId="77777777" w:rsidR="009624DA" w:rsidRPr="009624DA" w:rsidRDefault="009624DA" w:rsidP="009624DA">
            <w:pPr>
              <w:jc w:val="center"/>
              <w:rPr>
                <w:rFonts w:eastAsia="Times New Roman"/>
                <w:b/>
                <w:sz w:val="20"/>
                <w:szCs w:val="20"/>
              </w:rPr>
            </w:pPr>
            <w:r w:rsidRPr="009624DA">
              <w:rPr>
                <w:rFonts w:eastAsia="Times New Roman"/>
                <w:b/>
                <w:sz w:val="22"/>
                <w:szCs w:val="22"/>
              </w:rPr>
              <w:t>CIFRAS ORIGINALES</w:t>
            </w:r>
          </w:p>
        </w:tc>
      </w:tr>
      <w:tr w:rsidR="009624DA" w:rsidRPr="009624DA" w14:paraId="059ED31A" w14:textId="77777777" w:rsidTr="00BA61DD">
        <w:trPr>
          <w:jc w:val="center"/>
        </w:trPr>
        <w:tc>
          <w:tcPr>
            <w:tcW w:w="5181" w:type="dxa"/>
            <w:vMerge w:val="restart"/>
            <w:vAlign w:val="center"/>
          </w:tcPr>
          <w:p w14:paraId="63C30842" w14:textId="77777777" w:rsidR="009624DA" w:rsidRPr="009624DA" w:rsidRDefault="009624DA" w:rsidP="009624DA">
            <w:pPr>
              <w:jc w:val="center"/>
              <w:rPr>
                <w:rFonts w:eastAsia="Times New Roman"/>
                <w:b/>
                <w:sz w:val="20"/>
                <w:szCs w:val="20"/>
              </w:rPr>
            </w:pPr>
            <w:r w:rsidRPr="009624DA">
              <w:rPr>
                <w:rFonts w:eastAsia="Times New Roman"/>
                <w:b/>
                <w:sz w:val="20"/>
                <w:szCs w:val="20"/>
              </w:rPr>
              <w:t>Indicadores</w:t>
            </w:r>
          </w:p>
        </w:tc>
        <w:tc>
          <w:tcPr>
            <w:tcW w:w="2160" w:type="dxa"/>
            <w:gridSpan w:val="2"/>
          </w:tcPr>
          <w:p w14:paraId="4C20AB36" w14:textId="77777777" w:rsidR="009624DA" w:rsidRPr="009624DA" w:rsidRDefault="009624DA" w:rsidP="009624DA">
            <w:pPr>
              <w:jc w:val="center"/>
              <w:rPr>
                <w:rFonts w:eastAsia="Times New Roman"/>
                <w:b/>
                <w:sz w:val="20"/>
                <w:szCs w:val="20"/>
              </w:rPr>
            </w:pPr>
            <w:r w:rsidRPr="009624DA">
              <w:rPr>
                <w:rFonts w:eastAsia="Times New Roman"/>
                <w:b/>
                <w:sz w:val="20"/>
                <w:szCs w:val="20"/>
              </w:rPr>
              <w:t>Marzo</w:t>
            </w:r>
          </w:p>
        </w:tc>
        <w:tc>
          <w:tcPr>
            <w:tcW w:w="1306" w:type="dxa"/>
            <w:vMerge w:val="restart"/>
          </w:tcPr>
          <w:p w14:paraId="1C550B4A" w14:textId="77777777" w:rsidR="009624DA" w:rsidRPr="009624DA" w:rsidRDefault="009624DA" w:rsidP="009624DA">
            <w:pPr>
              <w:jc w:val="center"/>
              <w:rPr>
                <w:rFonts w:eastAsia="Times New Roman"/>
                <w:b/>
                <w:sz w:val="20"/>
                <w:szCs w:val="20"/>
              </w:rPr>
            </w:pPr>
            <w:r w:rsidRPr="009624DA">
              <w:rPr>
                <w:rFonts w:eastAsia="Times New Roman"/>
                <w:b/>
                <w:sz w:val="20"/>
                <w:szCs w:val="20"/>
              </w:rPr>
              <w:t>Diferencia en puntos</w:t>
            </w:r>
            <w:r w:rsidRPr="009624DA">
              <w:rPr>
                <w:rFonts w:eastAsia="Times New Roman"/>
                <w:b/>
                <w:sz w:val="20"/>
                <w:szCs w:val="20"/>
                <w:u w:val="single"/>
                <w:vertAlign w:val="superscript"/>
              </w:rPr>
              <w:t>1</w:t>
            </w:r>
            <w:r w:rsidRPr="009624DA">
              <w:rPr>
                <w:rFonts w:eastAsia="Times New Roman"/>
                <w:b/>
                <w:sz w:val="20"/>
                <w:szCs w:val="20"/>
                <w:vertAlign w:val="superscript"/>
              </w:rPr>
              <w:t>/</w:t>
            </w:r>
          </w:p>
        </w:tc>
      </w:tr>
      <w:tr w:rsidR="009624DA" w:rsidRPr="009624DA" w14:paraId="29B1F4A1" w14:textId="77777777" w:rsidTr="00BA61DD">
        <w:trPr>
          <w:jc w:val="center"/>
        </w:trPr>
        <w:tc>
          <w:tcPr>
            <w:tcW w:w="5181" w:type="dxa"/>
            <w:vMerge/>
            <w:tcBorders>
              <w:bottom w:val="single" w:sz="4" w:space="0" w:color="auto"/>
            </w:tcBorders>
          </w:tcPr>
          <w:p w14:paraId="39154F48" w14:textId="77777777" w:rsidR="009624DA" w:rsidRPr="009624DA" w:rsidRDefault="009624DA" w:rsidP="009624DA">
            <w:pPr>
              <w:jc w:val="both"/>
              <w:rPr>
                <w:rFonts w:eastAsia="Times New Roman"/>
                <w:b/>
                <w:sz w:val="20"/>
                <w:szCs w:val="20"/>
              </w:rPr>
            </w:pPr>
          </w:p>
        </w:tc>
        <w:tc>
          <w:tcPr>
            <w:tcW w:w="1080" w:type="dxa"/>
            <w:tcBorders>
              <w:bottom w:val="single" w:sz="4" w:space="0" w:color="auto"/>
            </w:tcBorders>
            <w:vAlign w:val="center"/>
          </w:tcPr>
          <w:p w14:paraId="018F57E6" w14:textId="77777777" w:rsidR="009624DA" w:rsidRPr="009624DA" w:rsidRDefault="009624DA" w:rsidP="009624DA">
            <w:pPr>
              <w:jc w:val="center"/>
              <w:rPr>
                <w:rFonts w:eastAsia="Times New Roman"/>
                <w:b/>
                <w:sz w:val="20"/>
                <w:szCs w:val="20"/>
              </w:rPr>
            </w:pPr>
            <w:r w:rsidRPr="009624DA">
              <w:rPr>
                <w:rFonts w:eastAsia="Times New Roman"/>
                <w:b/>
                <w:sz w:val="20"/>
                <w:szCs w:val="20"/>
              </w:rPr>
              <w:t>2014</w:t>
            </w:r>
          </w:p>
        </w:tc>
        <w:tc>
          <w:tcPr>
            <w:tcW w:w="1080" w:type="dxa"/>
            <w:tcBorders>
              <w:bottom w:val="single" w:sz="4" w:space="0" w:color="auto"/>
            </w:tcBorders>
            <w:vAlign w:val="center"/>
          </w:tcPr>
          <w:p w14:paraId="732BC4C1" w14:textId="77777777" w:rsidR="009624DA" w:rsidRPr="009624DA" w:rsidRDefault="009624DA" w:rsidP="009624DA">
            <w:pPr>
              <w:jc w:val="center"/>
              <w:rPr>
                <w:rFonts w:eastAsia="Times New Roman"/>
                <w:b/>
                <w:sz w:val="20"/>
                <w:szCs w:val="20"/>
              </w:rPr>
            </w:pPr>
            <w:r w:rsidRPr="009624DA">
              <w:rPr>
                <w:rFonts w:eastAsia="Times New Roman"/>
                <w:b/>
                <w:sz w:val="20"/>
                <w:szCs w:val="20"/>
              </w:rPr>
              <w:t>2015</w:t>
            </w:r>
            <w:r w:rsidRPr="009624DA">
              <w:rPr>
                <w:rFonts w:eastAsia="Times New Roman"/>
                <w:b/>
                <w:sz w:val="20"/>
                <w:szCs w:val="20"/>
                <w:u w:val="single"/>
                <w:vertAlign w:val="superscript"/>
              </w:rPr>
              <w:t>p</w:t>
            </w:r>
            <w:r w:rsidRPr="009624DA">
              <w:rPr>
                <w:rFonts w:eastAsia="Times New Roman"/>
                <w:b/>
                <w:sz w:val="20"/>
                <w:szCs w:val="20"/>
                <w:vertAlign w:val="superscript"/>
              </w:rPr>
              <w:t>/</w:t>
            </w:r>
          </w:p>
        </w:tc>
        <w:tc>
          <w:tcPr>
            <w:tcW w:w="1306" w:type="dxa"/>
            <w:vMerge/>
            <w:tcBorders>
              <w:bottom w:val="single" w:sz="4" w:space="0" w:color="auto"/>
            </w:tcBorders>
          </w:tcPr>
          <w:p w14:paraId="712814C6" w14:textId="77777777" w:rsidR="009624DA" w:rsidRPr="009624DA" w:rsidRDefault="009624DA" w:rsidP="009624DA">
            <w:pPr>
              <w:jc w:val="center"/>
              <w:rPr>
                <w:rFonts w:eastAsia="Times New Roman"/>
                <w:b/>
                <w:sz w:val="20"/>
                <w:szCs w:val="20"/>
              </w:rPr>
            </w:pPr>
          </w:p>
        </w:tc>
      </w:tr>
      <w:tr w:rsidR="009624DA" w:rsidRPr="009624DA" w14:paraId="7B24C23C" w14:textId="77777777" w:rsidTr="00BA61DD">
        <w:trPr>
          <w:jc w:val="center"/>
        </w:trPr>
        <w:tc>
          <w:tcPr>
            <w:tcW w:w="5181" w:type="dxa"/>
            <w:tcBorders>
              <w:bottom w:val="nil"/>
            </w:tcBorders>
          </w:tcPr>
          <w:p w14:paraId="2B029257" w14:textId="77777777" w:rsidR="009624DA" w:rsidRPr="009624DA" w:rsidRDefault="009624DA" w:rsidP="009624DA">
            <w:pPr>
              <w:jc w:val="both"/>
              <w:rPr>
                <w:rFonts w:eastAsia="Times New Roman"/>
                <w:b/>
                <w:sz w:val="20"/>
                <w:szCs w:val="20"/>
              </w:rPr>
            </w:pPr>
            <w:r w:rsidRPr="009624DA">
              <w:rPr>
                <w:rFonts w:eastAsia="Times New Roman"/>
                <w:b/>
                <w:sz w:val="20"/>
                <w:szCs w:val="20"/>
              </w:rPr>
              <w:t>Indicador de Confianza Empresarial de la Construcción</w:t>
            </w:r>
          </w:p>
        </w:tc>
        <w:tc>
          <w:tcPr>
            <w:tcW w:w="1080" w:type="dxa"/>
            <w:tcBorders>
              <w:bottom w:val="nil"/>
            </w:tcBorders>
          </w:tcPr>
          <w:p w14:paraId="1CB4E2E2" w14:textId="77777777" w:rsidR="009624DA" w:rsidRPr="009624DA" w:rsidRDefault="009624DA" w:rsidP="009624DA">
            <w:pPr>
              <w:jc w:val="center"/>
              <w:rPr>
                <w:rFonts w:eastAsia="Times New Roman"/>
                <w:b/>
                <w:sz w:val="20"/>
                <w:szCs w:val="20"/>
              </w:rPr>
            </w:pPr>
            <w:r w:rsidRPr="009624DA">
              <w:rPr>
                <w:rFonts w:eastAsia="Times New Roman"/>
                <w:b/>
                <w:sz w:val="20"/>
                <w:szCs w:val="20"/>
              </w:rPr>
              <w:t>53.5</w:t>
            </w:r>
          </w:p>
        </w:tc>
        <w:tc>
          <w:tcPr>
            <w:tcW w:w="1080" w:type="dxa"/>
            <w:tcBorders>
              <w:bottom w:val="nil"/>
            </w:tcBorders>
          </w:tcPr>
          <w:p w14:paraId="6270B252" w14:textId="77777777" w:rsidR="009624DA" w:rsidRPr="009624DA" w:rsidRDefault="009624DA" w:rsidP="009624DA">
            <w:pPr>
              <w:jc w:val="center"/>
              <w:rPr>
                <w:rFonts w:eastAsia="Times New Roman"/>
                <w:b/>
                <w:sz w:val="20"/>
                <w:szCs w:val="20"/>
              </w:rPr>
            </w:pPr>
            <w:r w:rsidRPr="009624DA">
              <w:rPr>
                <w:rFonts w:eastAsia="Times New Roman"/>
                <w:b/>
                <w:sz w:val="20"/>
                <w:szCs w:val="20"/>
              </w:rPr>
              <w:t>49.4</w:t>
            </w:r>
          </w:p>
        </w:tc>
        <w:tc>
          <w:tcPr>
            <w:tcW w:w="1306" w:type="dxa"/>
            <w:tcBorders>
              <w:bottom w:val="nil"/>
            </w:tcBorders>
          </w:tcPr>
          <w:p w14:paraId="1875D2CD" w14:textId="77777777" w:rsidR="009624DA" w:rsidRPr="009624DA" w:rsidRDefault="009624DA" w:rsidP="009624DA">
            <w:pPr>
              <w:ind w:right="397"/>
              <w:jc w:val="right"/>
              <w:rPr>
                <w:rFonts w:eastAsia="Times New Roman"/>
                <w:b/>
                <w:sz w:val="20"/>
                <w:szCs w:val="20"/>
              </w:rPr>
            </w:pPr>
            <w:r w:rsidRPr="009624DA">
              <w:rPr>
                <w:rFonts w:eastAsia="Times New Roman"/>
                <w:b/>
                <w:sz w:val="20"/>
                <w:szCs w:val="20"/>
              </w:rPr>
              <w:t>-4.1</w:t>
            </w:r>
          </w:p>
        </w:tc>
      </w:tr>
      <w:tr w:rsidR="009624DA" w:rsidRPr="009624DA" w14:paraId="1A3C5809" w14:textId="77777777" w:rsidTr="00BA61DD">
        <w:trPr>
          <w:jc w:val="center"/>
        </w:trPr>
        <w:tc>
          <w:tcPr>
            <w:tcW w:w="5181" w:type="dxa"/>
            <w:tcBorders>
              <w:top w:val="nil"/>
              <w:bottom w:val="nil"/>
            </w:tcBorders>
          </w:tcPr>
          <w:p w14:paraId="4C3C67BD"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f) Momento adecuado para invertir</w:t>
            </w:r>
          </w:p>
        </w:tc>
        <w:tc>
          <w:tcPr>
            <w:tcW w:w="1080" w:type="dxa"/>
            <w:tcBorders>
              <w:top w:val="nil"/>
              <w:bottom w:val="nil"/>
            </w:tcBorders>
          </w:tcPr>
          <w:p w14:paraId="4464A5E3" w14:textId="77777777" w:rsidR="009624DA" w:rsidRPr="009624DA" w:rsidRDefault="009624DA" w:rsidP="009624DA">
            <w:pPr>
              <w:jc w:val="center"/>
              <w:rPr>
                <w:rFonts w:eastAsia="Times New Roman"/>
                <w:sz w:val="20"/>
                <w:szCs w:val="20"/>
              </w:rPr>
            </w:pPr>
            <w:r w:rsidRPr="009624DA">
              <w:rPr>
                <w:rFonts w:eastAsia="Times New Roman"/>
                <w:sz w:val="20"/>
                <w:szCs w:val="20"/>
              </w:rPr>
              <w:t>35.1</w:t>
            </w:r>
          </w:p>
        </w:tc>
        <w:tc>
          <w:tcPr>
            <w:tcW w:w="1080" w:type="dxa"/>
            <w:tcBorders>
              <w:top w:val="nil"/>
              <w:bottom w:val="nil"/>
            </w:tcBorders>
          </w:tcPr>
          <w:p w14:paraId="643CC257" w14:textId="77777777" w:rsidR="009624DA" w:rsidRPr="009624DA" w:rsidRDefault="009624DA" w:rsidP="009624DA">
            <w:pPr>
              <w:jc w:val="center"/>
              <w:rPr>
                <w:rFonts w:eastAsia="Times New Roman"/>
                <w:sz w:val="20"/>
                <w:szCs w:val="20"/>
              </w:rPr>
            </w:pPr>
            <w:r w:rsidRPr="009624DA">
              <w:rPr>
                <w:rFonts w:eastAsia="Times New Roman"/>
                <w:sz w:val="20"/>
                <w:szCs w:val="20"/>
              </w:rPr>
              <w:t>30.9</w:t>
            </w:r>
          </w:p>
        </w:tc>
        <w:tc>
          <w:tcPr>
            <w:tcW w:w="1306" w:type="dxa"/>
            <w:tcBorders>
              <w:top w:val="nil"/>
              <w:bottom w:val="nil"/>
            </w:tcBorders>
          </w:tcPr>
          <w:p w14:paraId="09F86B63"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-4.3</w:t>
            </w:r>
          </w:p>
        </w:tc>
      </w:tr>
      <w:tr w:rsidR="009624DA" w:rsidRPr="009624DA" w14:paraId="424E651C" w14:textId="77777777" w:rsidTr="00BA61DD">
        <w:trPr>
          <w:jc w:val="center"/>
        </w:trPr>
        <w:tc>
          <w:tcPr>
            <w:tcW w:w="5181" w:type="dxa"/>
            <w:tcBorders>
              <w:top w:val="nil"/>
              <w:bottom w:val="nil"/>
            </w:tcBorders>
          </w:tcPr>
          <w:p w14:paraId="180A050C"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g) Situación económica presente del país</w:t>
            </w:r>
          </w:p>
        </w:tc>
        <w:tc>
          <w:tcPr>
            <w:tcW w:w="1080" w:type="dxa"/>
            <w:tcBorders>
              <w:top w:val="nil"/>
              <w:bottom w:val="nil"/>
            </w:tcBorders>
          </w:tcPr>
          <w:p w14:paraId="5370648A" w14:textId="77777777" w:rsidR="009624DA" w:rsidRPr="009624DA" w:rsidRDefault="009624DA" w:rsidP="009624DA">
            <w:pPr>
              <w:jc w:val="center"/>
              <w:rPr>
                <w:rFonts w:eastAsia="Times New Roman"/>
                <w:sz w:val="20"/>
                <w:szCs w:val="20"/>
              </w:rPr>
            </w:pPr>
            <w:r w:rsidRPr="009624DA">
              <w:rPr>
                <w:rFonts w:eastAsia="Times New Roman"/>
                <w:sz w:val="20"/>
                <w:szCs w:val="20"/>
              </w:rPr>
              <w:t>46.9</w:t>
            </w:r>
          </w:p>
        </w:tc>
        <w:tc>
          <w:tcPr>
            <w:tcW w:w="1080" w:type="dxa"/>
            <w:tcBorders>
              <w:top w:val="nil"/>
              <w:bottom w:val="nil"/>
            </w:tcBorders>
          </w:tcPr>
          <w:p w14:paraId="19CDF167" w14:textId="77777777" w:rsidR="009624DA" w:rsidRPr="009624DA" w:rsidRDefault="009624DA" w:rsidP="009624DA">
            <w:pPr>
              <w:jc w:val="center"/>
              <w:rPr>
                <w:rFonts w:eastAsia="Times New Roman"/>
                <w:sz w:val="20"/>
                <w:szCs w:val="20"/>
              </w:rPr>
            </w:pPr>
            <w:r w:rsidRPr="009624DA">
              <w:rPr>
                <w:rFonts w:eastAsia="Times New Roman"/>
                <w:sz w:val="20"/>
                <w:szCs w:val="20"/>
              </w:rPr>
              <w:t>41.2</w:t>
            </w:r>
          </w:p>
        </w:tc>
        <w:tc>
          <w:tcPr>
            <w:tcW w:w="1306" w:type="dxa"/>
            <w:tcBorders>
              <w:top w:val="nil"/>
              <w:bottom w:val="nil"/>
            </w:tcBorders>
          </w:tcPr>
          <w:p w14:paraId="0CB2CC25"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-5.7</w:t>
            </w:r>
          </w:p>
        </w:tc>
      </w:tr>
      <w:tr w:rsidR="009624DA" w:rsidRPr="009624DA" w14:paraId="37B83FD7" w14:textId="77777777" w:rsidTr="00BA61DD">
        <w:trPr>
          <w:jc w:val="center"/>
        </w:trPr>
        <w:tc>
          <w:tcPr>
            <w:tcW w:w="5181" w:type="dxa"/>
            <w:tcBorders>
              <w:top w:val="nil"/>
              <w:bottom w:val="nil"/>
            </w:tcBorders>
          </w:tcPr>
          <w:p w14:paraId="5489A974"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h) Situación económica futura del país</w:t>
            </w:r>
          </w:p>
        </w:tc>
        <w:tc>
          <w:tcPr>
            <w:tcW w:w="1080" w:type="dxa"/>
            <w:tcBorders>
              <w:top w:val="nil"/>
              <w:bottom w:val="nil"/>
            </w:tcBorders>
          </w:tcPr>
          <w:p w14:paraId="4036AF84" w14:textId="77777777" w:rsidR="009624DA" w:rsidRPr="009624DA" w:rsidRDefault="009624DA" w:rsidP="009624DA">
            <w:pPr>
              <w:jc w:val="center"/>
              <w:rPr>
                <w:rFonts w:eastAsia="Times New Roman"/>
                <w:sz w:val="20"/>
                <w:szCs w:val="20"/>
              </w:rPr>
            </w:pPr>
            <w:r w:rsidRPr="009624DA">
              <w:rPr>
                <w:rFonts w:eastAsia="Times New Roman"/>
                <w:sz w:val="20"/>
                <w:szCs w:val="20"/>
              </w:rPr>
              <w:t>65.6</w:t>
            </w:r>
          </w:p>
        </w:tc>
        <w:tc>
          <w:tcPr>
            <w:tcW w:w="1080" w:type="dxa"/>
            <w:tcBorders>
              <w:top w:val="nil"/>
              <w:bottom w:val="nil"/>
            </w:tcBorders>
          </w:tcPr>
          <w:p w14:paraId="0CF835C5" w14:textId="77777777" w:rsidR="009624DA" w:rsidRPr="009624DA" w:rsidRDefault="009624DA" w:rsidP="009624DA">
            <w:pPr>
              <w:jc w:val="center"/>
              <w:rPr>
                <w:rFonts w:eastAsia="Times New Roman"/>
                <w:sz w:val="20"/>
                <w:szCs w:val="20"/>
              </w:rPr>
            </w:pPr>
            <w:r w:rsidRPr="009624DA">
              <w:rPr>
                <w:rFonts w:eastAsia="Times New Roman"/>
                <w:sz w:val="20"/>
                <w:szCs w:val="20"/>
              </w:rPr>
              <w:t>57.7</w:t>
            </w:r>
          </w:p>
        </w:tc>
        <w:tc>
          <w:tcPr>
            <w:tcW w:w="1306" w:type="dxa"/>
            <w:tcBorders>
              <w:top w:val="nil"/>
              <w:bottom w:val="nil"/>
            </w:tcBorders>
          </w:tcPr>
          <w:p w14:paraId="29337FBD"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-7.9</w:t>
            </w:r>
          </w:p>
        </w:tc>
      </w:tr>
      <w:tr w:rsidR="009624DA" w:rsidRPr="009624DA" w14:paraId="3AE5CEEE" w14:textId="77777777" w:rsidTr="00BA61DD">
        <w:trPr>
          <w:jc w:val="center"/>
        </w:trPr>
        <w:tc>
          <w:tcPr>
            <w:tcW w:w="5181" w:type="dxa"/>
            <w:tcBorders>
              <w:top w:val="nil"/>
              <w:bottom w:val="nil"/>
            </w:tcBorders>
          </w:tcPr>
          <w:p w14:paraId="3275EE34"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i) Situación económica presente de la empresa</w:t>
            </w:r>
          </w:p>
        </w:tc>
        <w:tc>
          <w:tcPr>
            <w:tcW w:w="1080" w:type="dxa"/>
            <w:tcBorders>
              <w:top w:val="nil"/>
              <w:bottom w:val="nil"/>
            </w:tcBorders>
          </w:tcPr>
          <w:p w14:paraId="71400539" w14:textId="77777777" w:rsidR="009624DA" w:rsidRPr="009624DA" w:rsidRDefault="009624DA" w:rsidP="009624DA">
            <w:pPr>
              <w:jc w:val="center"/>
              <w:rPr>
                <w:rFonts w:eastAsia="Times New Roman"/>
                <w:sz w:val="20"/>
                <w:szCs w:val="20"/>
              </w:rPr>
            </w:pPr>
            <w:r w:rsidRPr="009624DA">
              <w:rPr>
                <w:rFonts w:eastAsia="Times New Roman"/>
                <w:sz w:val="20"/>
                <w:szCs w:val="20"/>
              </w:rPr>
              <w:t>50.5</w:t>
            </w:r>
          </w:p>
        </w:tc>
        <w:tc>
          <w:tcPr>
            <w:tcW w:w="1080" w:type="dxa"/>
            <w:tcBorders>
              <w:top w:val="nil"/>
              <w:bottom w:val="nil"/>
            </w:tcBorders>
          </w:tcPr>
          <w:p w14:paraId="40154EB9" w14:textId="77777777" w:rsidR="009624DA" w:rsidRPr="009624DA" w:rsidRDefault="009624DA" w:rsidP="009624DA">
            <w:pPr>
              <w:jc w:val="center"/>
              <w:rPr>
                <w:rFonts w:eastAsia="Times New Roman"/>
                <w:sz w:val="20"/>
                <w:szCs w:val="20"/>
              </w:rPr>
            </w:pPr>
            <w:r w:rsidRPr="009624DA">
              <w:rPr>
                <w:rFonts w:eastAsia="Times New Roman"/>
                <w:sz w:val="20"/>
                <w:szCs w:val="20"/>
              </w:rPr>
              <w:t>51.5</w:t>
            </w:r>
          </w:p>
        </w:tc>
        <w:tc>
          <w:tcPr>
            <w:tcW w:w="1306" w:type="dxa"/>
            <w:tcBorders>
              <w:top w:val="nil"/>
              <w:bottom w:val="nil"/>
            </w:tcBorders>
          </w:tcPr>
          <w:p w14:paraId="0C79E228"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1.0</w:t>
            </w:r>
          </w:p>
        </w:tc>
      </w:tr>
      <w:tr w:rsidR="009624DA" w:rsidRPr="009624DA" w14:paraId="58DB7C35" w14:textId="77777777" w:rsidTr="00BA61DD">
        <w:trPr>
          <w:jc w:val="center"/>
        </w:trPr>
        <w:tc>
          <w:tcPr>
            <w:tcW w:w="5181" w:type="dxa"/>
            <w:tcBorders>
              <w:top w:val="nil"/>
              <w:bottom w:val="single" w:sz="4" w:space="0" w:color="auto"/>
            </w:tcBorders>
          </w:tcPr>
          <w:p w14:paraId="1D40555B"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j) Situación económica futura de la empresa</w:t>
            </w:r>
          </w:p>
        </w:tc>
        <w:tc>
          <w:tcPr>
            <w:tcW w:w="1080" w:type="dxa"/>
            <w:tcBorders>
              <w:top w:val="nil"/>
              <w:bottom w:val="single" w:sz="4" w:space="0" w:color="auto"/>
            </w:tcBorders>
          </w:tcPr>
          <w:p w14:paraId="4817562E" w14:textId="77777777" w:rsidR="009624DA" w:rsidRPr="009624DA" w:rsidRDefault="009624DA" w:rsidP="009624DA">
            <w:pPr>
              <w:jc w:val="center"/>
              <w:rPr>
                <w:rFonts w:eastAsia="Times New Roman"/>
                <w:sz w:val="20"/>
                <w:szCs w:val="20"/>
              </w:rPr>
            </w:pPr>
            <w:r w:rsidRPr="009624DA">
              <w:rPr>
                <w:rFonts w:eastAsia="Times New Roman"/>
                <w:sz w:val="20"/>
                <w:szCs w:val="20"/>
              </w:rPr>
              <w:t>69.2</w:t>
            </w:r>
          </w:p>
        </w:tc>
        <w:tc>
          <w:tcPr>
            <w:tcW w:w="1080" w:type="dxa"/>
            <w:tcBorders>
              <w:top w:val="nil"/>
              <w:bottom w:val="single" w:sz="4" w:space="0" w:color="auto"/>
            </w:tcBorders>
          </w:tcPr>
          <w:p w14:paraId="4251FF8C" w14:textId="77777777" w:rsidR="009624DA" w:rsidRPr="009624DA" w:rsidRDefault="009624DA" w:rsidP="009624DA">
            <w:pPr>
              <w:jc w:val="center"/>
              <w:rPr>
                <w:rFonts w:eastAsia="Times New Roman"/>
                <w:sz w:val="20"/>
                <w:szCs w:val="20"/>
              </w:rPr>
            </w:pPr>
            <w:r w:rsidRPr="009624DA">
              <w:rPr>
                <w:rFonts w:eastAsia="Times New Roman"/>
                <w:sz w:val="20"/>
                <w:szCs w:val="20"/>
              </w:rPr>
              <w:t>65.8</w:t>
            </w:r>
          </w:p>
        </w:tc>
        <w:tc>
          <w:tcPr>
            <w:tcW w:w="1306" w:type="dxa"/>
            <w:tcBorders>
              <w:top w:val="nil"/>
              <w:bottom w:val="single" w:sz="4" w:space="0" w:color="auto"/>
            </w:tcBorders>
          </w:tcPr>
          <w:p w14:paraId="5EC579B8" w14:textId="77777777" w:rsidR="009624DA" w:rsidRPr="009624DA" w:rsidRDefault="009624DA" w:rsidP="009624DA">
            <w:pPr>
              <w:ind w:right="397"/>
              <w:jc w:val="right"/>
              <w:rPr>
                <w:rFonts w:eastAsia="Times New Roman"/>
                <w:sz w:val="20"/>
                <w:szCs w:val="20"/>
              </w:rPr>
            </w:pPr>
            <w:r w:rsidRPr="009624DA">
              <w:rPr>
                <w:rFonts w:eastAsia="Times New Roman"/>
                <w:sz w:val="20"/>
                <w:szCs w:val="20"/>
              </w:rPr>
              <w:t>-3.4</w:t>
            </w:r>
          </w:p>
        </w:tc>
      </w:tr>
      <w:tr w:rsidR="009624DA" w:rsidRPr="009624DA" w14:paraId="1BD2D6CA" w14:textId="77777777" w:rsidTr="00BA61DD">
        <w:trPr>
          <w:jc w:val="center"/>
        </w:trPr>
        <w:tc>
          <w:tcPr>
            <w:tcW w:w="8647" w:type="dxa"/>
            <w:gridSpan w:val="4"/>
            <w:tcBorders>
              <w:left w:val="nil"/>
              <w:bottom w:val="nil"/>
              <w:right w:val="nil"/>
            </w:tcBorders>
          </w:tcPr>
          <w:p w14:paraId="7738DA76" w14:textId="77777777" w:rsidR="009624DA" w:rsidRPr="009624DA" w:rsidRDefault="009624DA" w:rsidP="009624DA">
            <w:pPr>
              <w:jc w:val="both"/>
              <w:rPr>
                <w:rFonts w:eastAsia="Times New Roman"/>
                <w:sz w:val="20"/>
                <w:szCs w:val="20"/>
              </w:rPr>
            </w:pPr>
            <w:r w:rsidRPr="009624DA">
              <w:rPr>
                <w:rFonts w:eastAsia="Times New Roman"/>
                <w:sz w:val="20"/>
                <w:szCs w:val="20"/>
              </w:rPr>
              <w:t>Nota: Los indicadores se generan con los datos referidos al mes de la entrevista.</w:t>
            </w:r>
          </w:p>
          <w:p w14:paraId="5B21DF92" w14:textId="77777777" w:rsidR="009624DA" w:rsidRPr="009624DA" w:rsidRDefault="009624DA" w:rsidP="009624DA">
            <w:pPr>
              <w:ind w:left="227" w:hanging="227"/>
              <w:jc w:val="both"/>
              <w:rPr>
                <w:rFonts w:eastAsia="Times New Roman"/>
                <w:sz w:val="20"/>
                <w:szCs w:val="20"/>
              </w:rPr>
            </w:pPr>
            <w:r w:rsidRPr="009624DA">
              <w:rPr>
                <w:rFonts w:eastAsia="Times New Roman"/>
                <w:sz w:val="20"/>
                <w:szCs w:val="20"/>
                <w:u w:val="single"/>
              </w:rPr>
              <w:t>1</w:t>
            </w:r>
            <w:r w:rsidRPr="009624DA">
              <w:rPr>
                <w:rFonts w:eastAsia="Times New Roman"/>
                <w:sz w:val="20"/>
                <w:szCs w:val="20"/>
              </w:rPr>
              <w:t>/ Las diferencias en puntos se obtienen de los respectivos indicadores considerando todos sus decimales.</w:t>
            </w:r>
          </w:p>
          <w:p w14:paraId="3D8AC3DF" w14:textId="77777777" w:rsidR="009624DA" w:rsidRPr="009624DA" w:rsidRDefault="009624DA" w:rsidP="009624DA">
            <w:pPr>
              <w:jc w:val="both"/>
              <w:rPr>
                <w:rFonts w:eastAsia="Times New Roman"/>
                <w:sz w:val="20"/>
                <w:szCs w:val="20"/>
              </w:rPr>
            </w:pPr>
            <w:r w:rsidRPr="009624DA">
              <w:rPr>
                <w:rFonts w:eastAsia="Times New Roman"/>
                <w:sz w:val="20"/>
                <w:szCs w:val="20"/>
                <w:u w:val="single"/>
              </w:rPr>
              <w:t>p</w:t>
            </w:r>
            <w:r w:rsidRPr="009624DA">
              <w:rPr>
                <w:rFonts w:eastAsia="Times New Roman"/>
                <w:sz w:val="20"/>
                <w:szCs w:val="20"/>
              </w:rPr>
              <w:t>/ Dato preliminar.</w:t>
            </w:r>
          </w:p>
          <w:p w14:paraId="0F892811" w14:textId="77777777" w:rsidR="009624DA" w:rsidRPr="009624DA" w:rsidRDefault="009624DA" w:rsidP="009624DA">
            <w:pPr>
              <w:jc w:val="both"/>
              <w:rPr>
                <w:rFonts w:eastAsia="Times New Roman"/>
                <w:sz w:val="18"/>
                <w:szCs w:val="18"/>
              </w:rPr>
            </w:pPr>
            <w:r w:rsidRPr="009624DA">
              <w:rPr>
                <w:rFonts w:eastAsia="Times New Roman"/>
                <w:sz w:val="20"/>
                <w:szCs w:val="20"/>
              </w:rPr>
              <w:t>FUENTE: INEGI.</w:t>
            </w:r>
          </w:p>
        </w:tc>
      </w:tr>
    </w:tbl>
    <w:p w14:paraId="0286C938" w14:textId="77777777" w:rsidR="009624DA" w:rsidRPr="009624DA" w:rsidRDefault="009624DA" w:rsidP="009624DA">
      <w:pPr>
        <w:spacing w:after="360" w:line="360" w:lineRule="auto"/>
        <w:ind w:right="159"/>
        <w:jc w:val="both"/>
        <w:rPr>
          <w:rFonts w:eastAsia="Calibri"/>
          <w:sz w:val="26"/>
          <w:szCs w:val="26"/>
          <w:lang w:eastAsia="en-US"/>
        </w:rPr>
      </w:pPr>
    </w:p>
    <w:p w14:paraId="07E227EA" w14:textId="77777777" w:rsidR="009624DA" w:rsidRPr="009624DA" w:rsidRDefault="009624DA" w:rsidP="009624DA">
      <w:pPr>
        <w:spacing w:after="360" w:line="360" w:lineRule="auto"/>
        <w:ind w:right="159"/>
        <w:jc w:val="both"/>
        <w:rPr>
          <w:rFonts w:eastAsia="Calibri"/>
          <w:sz w:val="26"/>
          <w:szCs w:val="26"/>
          <w:lang w:eastAsia="en-US"/>
        </w:rPr>
      </w:pPr>
      <w:r w:rsidRPr="009624DA">
        <w:rPr>
          <w:rFonts w:eastAsia="Calibri"/>
          <w:sz w:val="26"/>
          <w:szCs w:val="26"/>
          <w:lang w:eastAsia="en-US"/>
        </w:rPr>
        <w:t>El Indicador de Confianza Empresarial del Comercio presentó una disminución anual de 5.9 puntos, al pasar de 53.1 puntos en marzo de 2014 a 47.2 puntos en el tercer mes de 2015.</w:t>
      </w:r>
    </w:p>
    <w:p w14:paraId="0A21E2D4" w14:textId="77777777" w:rsidR="009624DA" w:rsidRPr="009624DA" w:rsidRDefault="009624DA" w:rsidP="009624DA">
      <w:pPr>
        <w:spacing w:after="360" w:line="360" w:lineRule="auto"/>
        <w:ind w:right="159"/>
        <w:jc w:val="center"/>
        <w:rPr>
          <w:rFonts w:eastAsia="Calibri"/>
          <w:sz w:val="26"/>
          <w:szCs w:val="26"/>
          <w:lang w:eastAsia="en-US"/>
        </w:rPr>
      </w:pPr>
      <w:r w:rsidRPr="009624DA">
        <w:lastRenderedPageBreak/>
        <w:fldChar w:fldCharType="begin"/>
      </w:r>
      <w:r w:rsidRPr="009624DA">
        <w:instrText xml:space="preserve"> LINK PowerPoint.Slide.8 "D:\\2015\\ABRIL\\GRÁFICAS POWER POINT\\17.- GRÁFICAS DEL IND DE CONFIANZA EMPRESARIAL.pptx!260" "" \a \p </w:instrText>
      </w:r>
      <w:r w:rsidRPr="009624DA">
        <w:fldChar w:fldCharType="separate"/>
      </w:r>
      <w:r w:rsidRPr="009624DA">
        <w:rPr>
          <w:noProof/>
          <w:lang w:eastAsia="es-MX"/>
        </w:rPr>
        <w:drawing>
          <wp:inline distT="0" distB="0" distL="0" distR="0" wp14:anchorId="165A022F" wp14:editId="16127F4C">
            <wp:extent cx="4812665" cy="3317875"/>
            <wp:effectExtent l="0" t="0" r="6985" b="0"/>
            <wp:docPr id="1663" name="Imagen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07" cstate="print">
                      <a:extLst>
                        <a:ext uri="{28A0092B-C50C-407E-A947-70E740481C1C}">
                          <a14:useLocalDpi xmlns:a14="http://schemas.microsoft.com/office/drawing/2010/main" val="0"/>
                        </a:ext>
                      </a:extLst>
                    </a:blip>
                    <a:srcRect l="9703" r="11267" b="3334"/>
                    <a:stretch>
                      <a:fillRect/>
                    </a:stretch>
                  </pic:blipFill>
                  <pic:spPr bwMode="auto">
                    <a:xfrm>
                      <a:off x="0" y="0"/>
                      <a:ext cx="4812665" cy="3317875"/>
                    </a:xfrm>
                    <a:prstGeom prst="rect">
                      <a:avLst/>
                    </a:prstGeom>
                    <a:noFill/>
                    <a:ln>
                      <a:noFill/>
                    </a:ln>
                  </pic:spPr>
                </pic:pic>
              </a:graphicData>
            </a:graphic>
          </wp:inline>
        </w:drawing>
      </w:r>
      <w:r w:rsidRPr="009624DA">
        <w:fldChar w:fldCharType="end"/>
      </w:r>
    </w:p>
    <w:p w14:paraId="51078691" w14:textId="77777777" w:rsidR="009624DA" w:rsidRPr="009624DA" w:rsidRDefault="009624DA" w:rsidP="009624DA">
      <w:pPr>
        <w:spacing w:after="360" w:line="360" w:lineRule="auto"/>
        <w:ind w:right="159"/>
        <w:jc w:val="both"/>
        <w:rPr>
          <w:rFonts w:eastAsia="Calibri"/>
          <w:sz w:val="26"/>
          <w:szCs w:val="26"/>
          <w:lang w:eastAsia="en-US"/>
        </w:rPr>
      </w:pPr>
      <w:r w:rsidRPr="009624DA">
        <w:rPr>
          <w:rFonts w:eastAsia="Calibri"/>
          <w:sz w:val="26"/>
          <w:szCs w:val="26"/>
          <w:lang w:eastAsia="en-US"/>
        </w:rPr>
        <w:t>La variación anual del indicador se derivó de caídas en los cinco componentes que lo integran, las cuales se detallan en el cuadro siguiente.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3"/>
        <w:gridCol w:w="1080"/>
        <w:gridCol w:w="1080"/>
        <w:gridCol w:w="1205"/>
      </w:tblGrid>
      <w:tr w:rsidR="009624DA" w:rsidRPr="009624DA" w14:paraId="1ED089C8" w14:textId="77777777" w:rsidTr="00BA61DD">
        <w:trPr>
          <w:jc w:val="center"/>
        </w:trPr>
        <w:tc>
          <w:tcPr>
            <w:tcW w:w="7938" w:type="dxa"/>
            <w:gridSpan w:val="4"/>
            <w:tcBorders>
              <w:top w:val="nil"/>
              <w:left w:val="nil"/>
              <w:right w:val="nil"/>
            </w:tcBorders>
          </w:tcPr>
          <w:p w14:paraId="28C25607" w14:textId="77777777" w:rsidR="009624DA" w:rsidRPr="009624DA" w:rsidRDefault="009624DA" w:rsidP="009624DA">
            <w:pPr>
              <w:jc w:val="center"/>
              <w:rPr>
                <w:rFonts w:eastAsia="Times New Roman"/>
                <w:b/>
                <w:sz w:val="22"/>
                <w:szCs w:val="22"/>
              </w:rPr>
            </w:pPr>
            <w:r w:rsidRPr="009624DA">
              <w:rPr>
                <w:rFonts w:eastAsia="Times New Roman"/>
                <w:b/>
                <w:sz w:val="22"/>
                <w:szCs w:val="22"/>
              </w:rPr>
              <w:t>COMPONENTES DEL INDICADOR DE CONFIANZA EMPRESARIAL DEL COMERCIO</w:t>
            </w:r>
          </w:p>
          <w:p w14:paraId="426B05F6" w14:textId="77777777" w:rsidR="009624DA" w:rsidRPr="009624DA" w:rsidRDefault="009624DA" w:rsidP="009624DA">
            <w:pPr>
              <w:jc w:val="center"/>
              <w:rPr>
                <w:rFonts w:eastAsia="Times New Roman"/>
                <w:b/>
                <w:sz w:val="20"/>
                <w:szCs w:val="20"/>
              </w:rPr>
            </w:pPr>
            <w:r w:rsidRPr="009624DA">
              <w:rPr>
                <w:rFonts w:eastAsia="Times New Roman"/>
                <w:b/>
                <w:sz w:val="22"/>
                <w:szCs w:val="22"/>
              </w:rPr>
              <w:t>CIFRAS ORIGINALES</w:t>
            </w:r>
          </w:p>
        </w:tc>
      </w:tr>
      <w:tr w:rsidR="009624DA" w:rsidRPr="009624DA" w14:paraId="53B27FB7" w14:textId="77777777" w:rsidTr="00BA61DD">
        <w:trPr>
          <w:jc w:val="center"/>
        </w:trPr>
        <w:tc>
          <w:tcPr>
            <w:tcW w:w="4573" w:type="dxa"/>
            <w:vMerge w:val="restart"/>
            <w:vAlign w:val="center"/>
          </w:tcPr>
          <w:p w14:paraId="41428836" w14:textId="77777777" w:rsidR="009624DA" w:rsidRPr="009624DA" w:rsidRDefault="009624DA" w:rsidP="009624DA">
            <w:pPr>
              <w:jc w:val="center"/>
              <w:rPr>
                <w:rFonts w:eastAsia="Times New Roman"/>
                <w:b/>
                <w:sz w:val="20"/>
                <w:szCs w:val="20"/>
              </w:rPr>
            </w:pPr>
            <w:r w:rsidRPr="009624DA">
              <w:rPr>
                <w:rFonts w:eastAsia="Times New Roman"/>
                <w:b/>
                <w:sz w:val="20"/>
                <w:szCs w:val="20"/>
              </w:rPr>
              <w:t>Indicadores</w:t>
            </w:r>
          </w:p>
        </w:tc>
        <w:tc>
          <w:tcPr>
            <w:tcW w:w="2160" w:type="dxa"/>
            <w:gridSpan w:val="2"/>
          </w:tcPr>
          <w:p w14:paraId="30704F31" w14:textId="77777777" w:rsidR="009624DA" w:rsidRPr="009624DA" w:rsidRDefault="009624DA" w:rsidP="009624DA">
            <w:pPr>
              <w:jc w:val="center"/>
              <w:rPr>
                <w:rFonts w:eastAsia="Times New Roman"/>
                <w:b/>
                <w:sz w:val="20"/>
                <w:szCs w:val="20"/>
              </w:rPr>
            </w:pPr>
            <w:r w:rsidRPr="009624DA">
              <w:rPr>
                <w:rFonts w:eastAsia="Times New Roman"/>
                <w:b/>
                <w:sz w:val="20"/>
                <w:szCs w:val="20"/>
              </w:rPr>
              <w:t>Marzo</w:t>
            </w:r>
          </w:p>
        </w:tc>
        <w:tc>
          <w:tcPr>
            <w:tcW w:w="1205" w:type="dxa"/>
            <w:vMerge w:val="restart"/>
          </w:tcPr>
          <w:p w14:paraId="5F9AE0E4" w14:textId="77777777" w:rsidR="009624DA" w:rsidRPr="009624DA" w:rsidRDefault="009624DA" w:rsidP="009624DA">
            <w:pPr>
              <w:jc w:val="center"/>
              <w:rPr>
                <w:rFonts w:eastAsia="Times New Roman"/>
                <w:b/>
                <w:sz w:val="20"/>
                <w:szCs w:val="20"/>
              </w:rPr>
            </w:pPr>
            <w:r w:rsidRPr="009624DA">
              <w:rPr>
                <w:rFonts w:eastAsia="Times New Roman"/>
                <w:b/>
                <w:sz w:val="20"/>
                <w:szCs w:val="20"/>
              </w:rPr>
              <w:t>Diferencia en puntos</w:t>
            </w:r>
            <w:r w:rsidRPr="009624DA">
              <w:rPr>
                <w:rFonts w:eastAsia="Times New Roman"/>
                <w:b/>
                <w:sz w:val="20"/>
                <w:szCs w:val="20"/>
                <w:u w:val="single"/>
                <w:vertAlign w:val="superscript"/>
              </w:rPr>
              <w:t>1</w:t>
            </w:r>
            <w:r w:rsidRPr="009624DA">
              <w:rPr>
                <w:rFonts w:eastAsia="Times New Roman"/>
                <w:b/>
                <w:sz w:val="20"/>
                <w:szCs w:val="20"/>
                <w:vertAlign w:val="superscript"/>
              </w:rPr>
              <w:t>/</w:t>
            </w:r>
          </w:p>
        </w:tc>
      </w:tr>
      <w:tr w:rsidR="009624DA" w:rsidRPr="009624DA" w14:paraId="4E518CE9" w14:textId="77777777" w:rsidTr="00BA61DD">
        <w:trPr>
          <w:jc w:val="center"/>
        </w:trPr>
        <w:tc>
          <w:tcPr>
            <w:tcW w:w="4573" w:type="dxa"/>
            <w:vMerge/>
            <w:tcBorders>
              <w:bottom w:val="single" w:sz="4" w:space="0" w:color="auto"/>
            </w:tcBorders>
          </w:tcPr>
          <w:p w14:paraId="01DA771C" w14:textId="77777777" w:rsidR="009624DA" w:rsidRPr="009624DA" w:rsidRDefault="009624DA" w:rsidP="009624DA">
            <w:pPr>
              <w:jc w:val="both"/>
              <w:rPr>
                <w:rFonts w:eastAsia="Times New Roman"/>
                <w:b/>
                <w:sz w:val="20"/>
                <w:szCs w:val="20"/>
              </w:rPr>
            </w:pPr>
          </w:p>
        </w:tc>
        <w:tc>
          <w:tcPr>
            <w:tcW w:w="1080" w:type="dxa"/>
            <w:tcBorders>
              <w:bottom w:val="single" w:sz="4" w:space="0" w:color="auto"/>
            </w:tcBorders>
            <w:vAlign w:val="center"/>
          </w:tcPr>
          <w:p w14:paraId="351828AA" w14:textId="77777777" w:rsidR="009624DA" w:rsidRPr="009624DA" w:rsidRDefault="009624DA" w:rsidP="009624DA">
            <w:pPr>
              <w:jc w:val="center"/>
              <w:rPr>
                <w:rFonts w:eastAsia="Times New Roman"/>
                <w:b/>
                <w:sz w:val="20"/>
                <w:szCs w:val="20"/>
              </w:rPr>
            </w:pPr>
            <w:r w:rsidRPr="009624DA">
              <w:rPr>
                <w:rFonts w:eastAsia="Times New Roman"/>
                <w:b/>
                <w:sz w:val="20"/>
                <w:szCs w:val="20"/>
              </w:rPr>
              <w:t>2014</w:t>
            </w:r>
          </w:p>
        </w:tc>
        <w:tc>
          <w:tcPr>
            <w:tcW w:w="1080" w:type="dxa"/>
            <w:tcBorders>
              <w:bottom w:val="single" w:sz="4" w:space="0" w:color="auto"/>
            </w:tcBorders>
            <w:vAlign w:val="center"/>
          </w:tcPr>
          <w:p w14:paraId="7ADCE423" w14:textId="77777777" w:rsidR="009624DA" w:rsidRPr="009624DA" w:rsidRDefault="009624DA" w:rsidP="009624DA">
            <w:pPr>
              <w:jc w:val="center"/>
              <w:rPr>
                <w:rFonts w:eastAsia="Times New Roman"/>
                <w:b/>
                <w:sz w:val="20"/>
                <w:szCs w:val="20"/>
              </w:rPr>
            </w:pPr>
            <w:r w:rsidRPr="009624DA">
              <w:rPr>
                <w:rFonts w:eastAsia="Times New Roman"/>
                <w:b/>
                <w:sz w:val="20"/>
                <w:szCs w:val="20"/>
              </w:rPr>
              <w:t>2015</w:t>
            </w:r>
            <w:r w:rsidRPr="009624DA">
              <w:rPr>
                <w:rFonts w:eastAsia="Times New Roman"/>
                <w:b/>
                <w:sz w:val="20"/>
                <w:szCs w:val="20"/>
                <w:u w:val="single"/>
                <w:vertAlign w:val="superscript"/>
              </w:rPr>
              <w:t>p</w:t>
            </w:r>
            <w:r w:rsidRPr="009624DA">
              <w:rPr>
                <w:rFonts w:eastAsia="Times New Roman"/>
                <w:b/>
                <w:sz w:val="20"/>
                <w:szCs w:val="20"/>
                <w:vertAlign w:val="superscript"/>
              </w:rPr>
              <w:t>/</w:t>
            </w:r>
          </w:p>
        </w:tc>
        <w:tc>
          <w:tcPr>
            <w:tcW w:w="1205" w:type="dxa"/>
            <w:vMerge/>
            <w:tcBorders>
              <w:bottom w:val="single" w:sz="4" w:space="0" w:color="auto"/>
            </w:tcBorders>
          </w:tcPr>
          <w:p w14:paraId="07291684" w14:textId="77777777" w:rsidR="009624DA" w:rsidRPr="009624DA" w:rsidRDefault="009624DA" w:rsidP="009624DA">
            <w:pPr>
              <w:jc w:val="center"/>
              <w:rPr>
                <w:rFonts w:eastAsia="Times New Roman"/>
                <w:b/>
                <w:sz w:val="20"/>
                <w:szCs w:val="20"/>
              </w:rPr>
            </w:pPr>
          </w:p>
        </w:tc>
      </w:tr>
      <w:tr w:rsidR="009624DA" w:rsidRPr="009624DA" w14:paraId="32961B84" w14:textId="77777777" w:rsidTr="00BA61DD">
        <w:trPr>
          <w:jc w:val="center"/>
        </w:trPr>
        <w:tc>
          <w:tcPr>
            <w:tcW w:w="4573" w:type="dxa"/>
            <w:tcBorders>
              <w:bottom w:val="nil"/>
            </w:tcBorders>
          </w:tcPr>
          <w:p w14:paraId="2997A102" w14:textId="77777777" w:rsidR="009624DA" w:rsidRPr="009624DA" w:rsidRDefault="009624DA" w:rsidP="009624DA">
            <w:pPr>
              <w:jc w:val="both"/>
              <w:rPr>
                <w:rFonts w:eastAsia="Times New Roman"/>
                <w:b/>
                <w:sz w:val="20"/>
                <w:szCs w:val="20"/>
              </w:rPr>
            </w:pPr>
            <w:r w:rsidRPr="009624DA">
              <w:rPr>
                <w:rFonts w:eastAsia="Times New Roman"/>
                <w:b/>
                <w:sz w:val="20"/>
                <w:szCs w:val="20"/>
              </w:rPr>
              <w:t>Indicador de Confianza Empresarial del Comercio</w:t>
            </w:r>
          </w:p>
        </w:tc>
        <w:tc>
          <w:tcPr>
            <w:tcW w:w="1080" w:type="dxa"/>
            <w:tcBorders>
              <w:bottom w:val="nil"/>
            </w:tcBorders>
          </w:tcPr>
          <w:p w14:paraId="3908A5D0" w14:textId="77777777" w:rsidR="009624DA" w:rsidRPr="009624DA" w:rsidRDefault="009624DA" w:rsidP="009624DA">
            <w:pPr>
              <w:jc w:val="center"/>
              <w:rPr>
                <w:rFonts w:eastAsia="Times New Roman"/>
                <w:b/>
                <w:sz w:val="20"/>
                <w:szCs w:val="20"/>
              </w:rPr>
            </w:pPr>
            <w:r w:rsidRPr="009624DA">
              <w:rPr>
                <w:rFonts w:eastAsia="Times New Roman"/>
                <w:b/>
                <w:sz w:val="20"/>
                <w:szCs w:val="20"/>
              </w:rPr>
              <w:t>53.1</w:t>
            </w:r>
          </w:p>
        </w:tc>
        <w:tc>
          <w:tcPr>
            <w:tcW w:w="1080" w:type="dxa"/>
            <w:tcBorders>
              <w:bottom w:val="nil"/>
            </w:tcBorders>
          </w:tcPr>
          <w:p w14:paraId="1BCDFF78" w14:textId="77777777" w:rsidR="009624DA" w:rsidRPr="009624DA" w:rsidRDefault="009624DA" w:rsidP="009624DA">
            <w:pPr>
              <w:jc w:val="center"/>
              <w:rPr>
                <w:rFonts w:eastAsia="Times New Roman"/>
                <w:b/>
                <w:sz w:val="20"/>
                <w:szCs w:val="20"/>
              </w:rPr>
            </w:pPr>
            <w:r w:rsidRPr="009624DA">
              <w:rPr>
                <w:rFonts w:eastAsia="Times New Roman"/>
                <w:b/>
                <w:sz w:val="20"/>
                <w:szCs w:val="20"/>
              </w:rPr>
              <w:t>47.2</w:t>
            </w:r>
          </w:p>
        </w:tc>
        <w:tc>
          <w:tcPr>
            <w:tcW w:w="1205" w:type="dxa"/>
            <w:tcBorders>
              <w:bottom w:val="nil"/>
            </w:tcBorders>
          </w:tcPr>
          <w:p w14:paraId="48CE6F71" w14:textId="77777777" w:rsidR="009624DA" w:rsidRPr="009624DA" w:rsidRDefault="009624DA" w:rsidP="009624DA">
            <w:pPr>
              <w:ind w:right="340"/>
              <w:jc w:val="right"/>
              <w:rPr>
                <w:rFonts w:eastAsia="Times New Roman"/>
                <w:b/>
                <w:sz w:val="20"/>
                <w:szCs w:val="20"/>
              </w:rPr>
            </w:pPr>
            <w:r w:rsidRPr="009624DA">
              <w:rPr>
                <w:rFonts w:eastAsia="Times New Roman"/>
                <w:b/>
                <w:sz w:val="20"/>
                <w:szCs w:val="20"/>
              </w:rPr>
              <w:t>-5.9</w:t>
            </w:r>
          </w:p>
        </w:tc>
      </w:tr>
      <w:tr w:rsidR="009624DA" w:rsidRPr="009624DA" w14:paraId="5DCAC86B" w14:textId="77777777" w:rsidTr="00BA61DD">
        <w:trPr>
          <w:jc w:val="center"/>
        </w:trPr>
        <w:tc>
          <w:tcPr>
            <w:tcW w:w="4573" w:type="dxa"/>
            <w:tcBorders>
              <w:top w:val="nil"/>
              <w:bottom w:val="nil"/>
            </w:tcBorders>
          </w:tcPr>
          <w:p w14:paraId="43AA6C26"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f) Momento adecuado para invertir</w:t>
            </w:r>
          </w:p>
        </w:tc>
        <w:tc>
          <w:tcPr>
            <w:tcW w:w="1080" w:type="dxa"/>
            <w:tcBorders>
              <w:top w:val="nil"/>
              <w:bottom w:val="nil"/>
            </w:tcBorders>
          </w:tcPr>
          <w:p w14:paraId="7C03B56F" w14:textId="77777777" w:rsidR="009624DA" w:rsidRPr="009624DA" w:rsidRDefault="009624DA" w:rsidP="009624DA">
            <w:pPr>
              <w:jc w:val="center"/>
              <w:rPr>
                <w:rFonts w:eastAsia="Times New Roman"/>
                <w:sz w:val="20"/>
                <w:szCs w:val="20"/>
              </w:rPr>
            </w:pPr>
            <w:r w:rsidRPr="009624DA">
              <w:rPr>
                <w:rFonts w:eastAsia="Times New Roman"/>
                <w:sz w:val="20"/>
                <w:szCs w:val="20"/>
              </w:rPr>
              <w:t>35.4</w:t>
            </w:r>
          </w:p>
        </w:tc>
        <w:tc>
          <w:tcPr>
            <w:tcW w:w="1080" w:type="dxa"/>
            <w:tcBorders>
              <w:top w:val="nil"/>
              <w:bottom w:val="nil"/>
            </w:tcBorders>
          </w:tcPr>
          <w:p w14:paraId="3554560A" w14:textId="77777777" w:rsidR="009624DA" w:rsidRPr="009624DA" w:rsidRDefault="009624DA" w:rsidP="009624DA">
            <w:pPr>
              <w:jc w:val="center"/>
              <w:rPr>
                <w:rFonts w:eastAsia="Times New Roman"/>
                <w:sz w:val="20"/>
                <w:szCs w:val="20"/>
              </w:rPr>
            </w:pPr>
            <w:r w:rsidRPr="009624DA">
              <w:rPr>
                <w:rFonts w:eastAsia="Times New Roman"/>
                <w:sz w:val="20"/>
                <w:szCs w:val="20"/>
              </w:rPr>
              <w:t>24.9</w:t>
            </w:r>
          </w:p>
        </w:tc>
        <w:tc>
          <w:tcPr>
            <w:tcW w:w="1205" w:type="dxa"/>
            <w:tcBorders>
              <w:top w:val="nil"/>
              <w:bottom w:val="nil"/>
            </w:tcBorders>
          </w:tcPr>
          <w:p w14:paraId="7F759B11"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-10.5</w:t>
            </w:r>
          </w:p>
        </w:tc>
      </w:tr>
      <w:tr w:rsidR="009624DA" w:rsidRPr="009624DA" w14:paraId="6863D936" w14:textId="77777777" w:rsidTr="00BA61DD">
        <w:trPr>
          <w:jc w:val="center"/>
        </w:trPr>
        <w:tc>
          <w:tcPr>
            <w:tcW w:w="4573" w:type="dxa"/>
            <w:tcBorders>
              <w:top w:val="nil"/>
              <w:bottom w:val="nil"/>
            </w:tcBorders>
          </w:tcPr>
          <w:p w14:paraId="4777AAC7"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g) Situación económica presente del país</w:t>
            </w:r>
          </w:p>
        </w:tc>
        <w:tc>
          <w:tcPr>
            <w:tcW w:w="1080" w:type="dxa"/>
            <w:tcBorders>
              <w:top w:val="nil"/>
              <w:bottom w:val="nil"/>
            </w:tcBorders>
          </w:tcPr>
          <w:p w14:paraId="54DF8270" w14:textId="77777777" w:rsidR="009624DA" w:rsidRPr="009624DA" w:rsidRDefault="009624DA" w:rsidP="009624DA">
            <w:pPr>
              <w:jc w:val="center"/>
              <w:rPr>
                <w:rFonts w:eastAsia="Times New Roman"/>
                <w:sz w:val="20"/>
                <w:szCs w:val="20"/>
              </w:rPr>
            </w:pPr>
            <w:r w:rsidRPr="009624DA">
              <w:rPr>
                <w:rFonts w:eastAsia="Times New Roman"/>
                <w:sz w:val="20"/>
                <w:szCs w:val="20"/>
              </w:rPr>
              <w:t>45.7</w:t>
            </w:r>
          </w:p>
        </w:tc>
        <w:tc>
          <w:tcPr>
            <w:tcW w:w="1080" w:type="dxa"/>
            <w:tcBorders>
              <w:top w:val="nil"/>
              <w:bottom w:val="nil"/>
            </w:tcBorders>
          </w:tcPr>
          <w:p w14:paraId="1D9BDCFB" w14:textId="77777777" w:rsidR="009624DA" w:rsidRPr="009624DA" w:rsidRDefault="009624DA" w:rsidP="009624DA">
            <w:pPr>
              <w:jc w:val="center"/>
              <w:rPr>
                <w:rFonts w:eastAsia="Times New Roman"/>
                <w:sz w:val="20"/>
                <w:szCs w:val="20"/>
              </w:rPr>
            </w:pPr>
            <w:r w:rsidRPr="009624DA">
              <w:rPr>
                <w:rFonts w:eastAsia="Times New Roman"/>
                <w:sz w:val="20"/>
                <w:szCs w:val="20"/>
              </w:rPr>
              <w:t>38.1</w:t>
            </w:r>
          </w:p>
        </w:tc>
        <w:tc>
          <w:tcPr>
            <w:tcW w:w="1205" w:type="dxa"/>
            <w:tcBorders>
              <w:top w:val="nil"/>
              <w:bottom w:val="nil"/>
            </w:tcBorders>
          </w:tcPr>
          <w:p w14:paraId="7F7937EF"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-7.6</w:t>
            </w:r>
          </w:p>
        </w:tc>
      </w:tr>
      <w:tr w:rsidR="009624DA" w:rsidRPr="009624DA" w14:paraId="0C45D264" w14:textId="77777777" w:rsidTr="00BA61DD">
        <w:trPr>
          <w:jc w:val="center"/>
        </w:trPr>
        <w:tc>
          <w:tcPr>
            <w:tcW w:w="4573" w:type="dxa"/>
            <w:tcBorders>
              <w:top w:val="nil"/>
              <w:bottom w:val="nil"/>
            </w:tcBorders>
          </w:tcPr>
          <w:p w14:paraId="5990E387"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h) Situación económica futura del país</w:t>
            </w:r>
          </w:p>
        </w:tc>
        <w:tc>
          <w:tcPr>
            <w:tcW w:w="1080" w:type="dxa"/>
            <w:tcBorders>
              <w:top w:val="nil"/>
              <w:bottom w:val="nil"/>
            </w:tcBorders>
          </w:tcPr>
          <w:p w14:paraId="26759600" w14:textId="77777777" w:rsidR="009624DA" w:rsidRPr="009624DA" w:rsidRDefault="009624DA" w:rsidP="009624DA">
            <w:pPr>
              <w:jc w:val="center"/>
              <w:rPr>
                <w:rFonts w:eastAsia="Times New Roman"/>
                <w:sz w:val="20"/>
                <w:szCs w:val="20"/>
              </w:rPr>
            </w:pPr>
            <w:r w:rsidRPr="009624DA">
              <w:rPr>
                <w:rFonts w:eastAsia="Times New Roman"/>
                <w:sz w:val="20"/>
                <w:szCs w:val="20"/>
              </w:rPr>
              <w:t>63.8</w:t>
            </w:r>
          </w:p>
        </w:tc>
        <w:tc>
          <w:tcPr>
            <w:tcW w:w="1080" w:type="dxa"/>
            <w:tcBorders>
              <w:top w:val="nil"/>
              <w:bottom w:val="nil"/>
            </w:tcBorders>
          </w:tcPr>
          <w:p w14:paraId="08083D51" w14:textId="77777777" w:rsidR="009624DA" w:rsidRPr="009624DA" w:rsidRDefault="009624DA" w:rsidP="009624DA">
            <w:pPr>
              <w:jc w:val="center"/>
              <w:rPr>
                <w:rFonts w:eastAsia="Times New Roman"/>
                <w:sz w:val="20"/>
                <w:szCs w:val="20"/>
              </w:rPr>
            </w:pPr>
            <w:r w:rsidRPr="009624DA">
              <w:rPr>
                <w:rFonts w:eastAsia="Times New Roman"/>
                <w:sz w:val="20"/>
                <w:szCs w:val="20"/>
              </w:rPr>
              <w:t>57.2</w:t>
            </w:r>
          </w:p>
        </w:tc>
        <w:tc>
          <w:tcPr>
            <w:tcW w:w="1205" w:type="dxa"/>
            <w:tcBorders>
              <w:top w:val="nil"/>
              <w:bottom w:val="nil"/>
            </w:tcBorders>
          </w:tcPr>
          <w:p w14:paraId="3F25128F"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-6.7</w:t>
            </w:r>
          </w:p>
        </w:tc>
      </w:tr>
      <w:tr w:rsidR="009624DA" w:rsidRPr="009624DA" w14:paraId="12D6E607" w14:textId="77777777" w:rsidTr="00BA61DD">
        <w:trPr>
          <w:jc w:val="center"/>
        </w:trPr>
        <w:tc>
          <w:tcPr>
            <w:tcW w:w="4573" w:type="dxa"/>
            <w:tcBorders>
              <w:top w:val="nil"/>
              <w:bottom w:val="nil"/>
            </w:tcBorders>
          </w:tcPr>
          <w:p w14:paraId="6DA50305"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i) Situación económica presente de la empresa</w:t>
            </w:r>
          </w:p>
        </w:tc>
        <w:tc>
          <w:tcPr>
            <w:tcW w:w="1080" w:type="dxa"/>
            <w:tcBorders>
              <w:top w:val="nil"/>
              <w:bottom w:val="nil"/>
            </w:tcBorders>
          </w:tcPr>
          <w:p w14:paraId="6E71B599" w14:textId="77777777" w:rsidR="009624DA" w:rsidRPr="009624DA" w:rsidRDefault="009624DA" w:rsidP="009624DA">
            <w:pPr>
              <w:jc w:val="center"/>
              <w:rPr>
                <w:rFonts w:eastAsia="Times New Roman"/>
                <w:sz w:val="20"/>
                <w:szCs w:val="20"/>
              </w:rPr>
            </w:pPr>
            <w:r w:rsidRPr="009624DA">
              <w:rPr>
                <w:rFonts w:eastAsia="Times New Roman"/>
                <w:sz w:val="20"/>
                <w:szCs w:val="20"/>
              </w:rPr>
              <w:t>53.7</w:t>
            </w:r>
          </w:p>
        </w:tc>
        <w:tc>
          <w:tcPr>
            <w:tcW w:w="1080" w:type="dxa"/>
            <w:tcBorders>
              <w:top w:val="nil"/>
              <w:bottom w:val="nil"/>
            </w:tcBorders>
          </w:tcPr>
          <w:p w14:paraId="1B50A63F" w14:textId="77777777" w:rsidR="009624DA" w:rsidRPr="009624DA" w:rsidRDefault="009624DA" w:rsidP="009624DA">
            <w:pPr>
              <w:jc w:val="center"/>
              <w:rPr>
                <w:rFonts w:eastAsia="Times New Roman"/>
                <w:sz w:val="20"/>
                <w:szCs w:val="20"/>
              </w:rPr>
            </w:pPr>
            <w:r w:rsidRPr="009624DA">
              <w:rPr>
                <w:rFonts w:eastAsia="Times New Roman"/>
                <w:sz w:val="20"/>
                <w:szCs w:val="20"/>
              </w:rPr>
              <w:t>52.1</w:t>
            </w:r>
          </w:p>
        </w:tc>
        <w:tc>
          <w:tcPr>
            <w:tcW w:w="1205" w:type="dxa"/>
            <w:tcBorders>
              <w:top w:val="nil"/>
              <w:bottom w:val="nil"/>
            </w:tcBorders>
          </w:tcPr>
          <w:p w14:paraId="00067584"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-1.7</w:t>
            </w:r>
          </w:p>
        </w:tc>
      </w:tr>
      <w:tr w:rsidR="009624DA" w:rsidRPr="009624DA" w14:paraId="7E9AC84B" w14:textId="77777777" w:rsidTr="00BA61DD">
        <w:trPr>
          <w:jc w:val="center"/>
        </w:trPr>
        <w:tc>
          <w:tcPr>
            <w:tcW w:w="4573" w:type="dxa"/>
            <w:tcBorders>
              <w:top w:val="nil"/>
              <w:bottom w:val="single" w:sz="4" w:space="0" w:color="auto"/>
            </w:tcBorders>
          </w:tcPr>
          <w:p w14:paraId="5943604D" w14:textId="77777777" w:rsidR="009624DA" w:rsidRPr="009624DA" w:rsidRDefault="009624DA" w:rsidP="009624DA">
            <w:pPr>
              <w:ind w:left="113" w:right="159"/>
              <w:jc w:val="both"/>
              <w:rPr>
                <w:rFonts w:eastAsia="Times New Roman"/>
                <w:sz w:val="20"/>
                <w:szCs w:val="20"/>
              </w:rPr>
            </w:pPr>
            <w:r w:rsidRPr="009624DA">
              <w:rPr>
                <w:rFonts w:eastAsia="Times New Roman"/>
                <w:sz w:val="20"/>
                <w:szCs w:val="20"/>
              </w:rPr>
              <w:t>j) Situación económica futura de la empresa</w:t>
            </w:r>
          </w:p>
        </w:tc>
        <w:tc>
          <w:tcPr>
            <w:tcW w:w="1080" w:type="dxa"/>
            <w:tcBorders>
              <w:top w:val="nil"/>
              <w:bottom w:val="single" w:sz="4" w:space="0" w:color="auto"/>
            </w:tcBorders>
          </w:tcPr>
          <w:p w14:paraId="08D25598" w14:textId="77777777" w:rsidR="009624DA" w:rsidRPr="009624DA" w:rsidRDefault="009624DA" w:rsidP="009624DA">
            <w:pPr>
              <w:jc w:val="center"/>
              <w:rPr>
                <w:rFonts w:eastAsia="Times New Roman"/>
                <w:sz w:val="20"/>
                <w:szCs w:val="20"/>
              </w:rPr>
            </w:pPr>
            <w:r w:rsidRPr="009624DA">
              <w:rPr>
                <w:rFonts w:eastAsia="Times New Roman"/>
                <w:sz w:val="20"/>
                <w:szCs w:val="20"/>
              </w:rPr>
              <w:t>67.0</w:t>
            </w:r>
          </w:p>
        </w:tc>
        <w:tc>
          <w:tcPr>
            <w:tcW w:w="1080" w:type="dxa"/>
            <w:tcBorders>
              <w:top w:val="nil"/>
              <w:bottom w:val="single" w:sz="4" w:space="0" w:color="auto"/>
            </w:tcBorders>
          </w:tcPr>
          <w:p w14:paraId="082A4D89" w14:textId="77777777" w:rsidR="009624DA" w:rsidRPr="009624DA" w:rsidRDefault="009624DA" w:rsidP="009624DA">
            <w:pPr>
              <w:jc w:val="center"/>
              <w:rPr>
                <w:rFonts w:eastAsia="Times New Roman"/>
                <w:sz w:val="20"/>
                <w:szCs w:val="20"/>
              </w:rPr>
            </w:pPr>
            <w:r w:rsidRPr="009624DA">
              <w:rPr>
                <w:rFonts w:eastAsia="Times New Roman"/>
                <w:sz w:val="20"/>
                <w:szCs w:val="20"/>
              </w:rPr>
              <w:t>63.7</w:t>
            </w:r>
          </w:p>
        </w:tc>
        <w:tc>
          <w:tcPr>
            <w:tcW w:w="1205" w:type="dxa"/>
            <w:tcBorders>
              <w:top w:val="nil"/>
              <w:bottom w:val="single" w:sz="4" w:space="0" w:color="auto"/>
            </w:tcBorders>
          </w:tcPr>
          <w:p w14:paraId="59ED45C7" w14:textId="77777777" w:rsidR="009624DA" w:rsidRPr="009624DA" w:rsidRDefault="009624DA" w:rsidP="009624DA">
            <w:pPr>
              <w:ind w:right="340"/>
              <w:jc w:val="right"/>
              <w:rPr>
                <w:rFonts w:eastAsia="Times New Roman"/>
                <w:sz w:val="20"/>
                <w:szCs w:val="20"/>
              </w:rPr>
            </w:pPr>
            <w:r w:rsidRPr="009624DA">
              <w:rPr>
                <w:rFonts w:eastAsia="Times New Roman"/>
                <w:sz w:val="20"/>
                <w:szCs w:val="20"/>
              </w:rPr>
              <w:t>-3.3</w:t>
            </w:r>
          </w:p>
        </w:tc>
      </w:tr>
      <w:tr w:rsidR="009624DA" w:rsidRPr="009624DA" w14:paraId="0B75067D" w14:textId="77777777" w:rsidTr="00BA61DD">
        <w:trPr>
          <w:jc w:val="center"/>
        </w:trPr>
        <w:tc>
          <w:tcPr>
            <w:tcW w:w="7938" w:type="dxa"/>
            <w:gridSpan w:val="4"/>
            <w:tcBorders>
              <w:left w:val="nil"/>
              <w:bottom w:val="nil"/>
              <w:right w:val="nil"/>
            </w:tcBorders>
          </w:tcPr>
          <w:p w14:paraId="1302DFC2" w14:textId="77777777" w:rsidR="009624DA" w:rsidRPr="009624DA" w:rsidRDefault="009624DA" w:rsidP="009624DA">
            <w:pPr>
              <w:jc w:val="both"/>
              <w:rPr>
                <w:rFonts w:eastAsia="Times New Roman"/>
                <w:sz w:val="20"/>
                <w:szCs w:val="20"/>
              </w:rPr>
            </w:pPr>
            <w:r w:rsidRPr="009624DA">
              <w:rPr>
                <w:rFonts w:eastAsia="Times New Roman"/>
                <w:sz w:val="20"/>
                <w:szCs w:val="20"/>
              </w:rPr>
              <w:t>Nota: Los indicadores se generan con los datos referidos al mes de la entrevista.</w:t>
            </w:r>
          </w:p>
          <w:p w14:paraId="704EC85A" w14:textId="77777777" w:rsidR="009624DA" w:rsidRPr="009624DA" w:rsidRDefault="009624DA" w:rsidP="009624DA">
            <w:pPr>
              <w:ind w:left="227" w:hanging="227"/>
              <w:jc w:val="both"/>
              <w:rPr>
                <w:rFonts w:eastAsia="Times New Roman"/>
                <w:sz w:val="20"/>
                <w:szCs w:val="20"/>
              </w:rPr>
            </w:pPr>
            <w:r w:rsidRPr="009624DA">
              <w:rPr>
                <w:rFonts w:eastAsia="Times New Roman"/>
                <w:sz w:val="20"/>
                <w:szCs w:val="20"/>
                <w:u w:val="single"/>
              </w:rPr>
              <w:t>1</w:t>
            </w:r>
            <w:r w:rsidRPr="009624DA">
              <w:rPr>
                <w:rFonts w:eastAsia="Times New Roman"/>
                <w:sz w:val="20"/>
                <w:szCs w:val="20"/>
              </w:rPr>
              <w:t>/ Las diferencias en puntos se obtienen de los respectivos indicadores considerando todos sus decimales.</w:t>
            </w:r>
          </w:p>
          <w:p w14:paraId="19690B5A" w14:textId="77777777" w:rsidR="009624DA" w:rsidRPr="009624DA" w:rsidRDefault="009624DA" w:rsidP="009624DA">
            <w:pPr>
              <w:jc w:val="both"/>
              <w:rPr>
                <w:rFonts w:eastAsia="Times New Roman"/>
                <w:sz w:val="20"/>
                <w:szCs w:val="20"/>
              </w:rPr>
            </w:pPr>
            <w:r w:rsidRPr="009624DA">
              <w:rPr>
                <w:rFonts w:eastAsia="Times New Roman"/>
                <w:sz w:val="20"/>
                <w:szCs w:val="20"/>
                <w:u w:val="single"/>
              </w:rPr>
              <w:t>p</w:t>
            </w:r>
            <w:r w:rsidRPr="009624DA">
              <w:rPr>
                <w:rFonts w:eastAsia="Times New Roman"/>
                <w:sz w:val="20"/>
                <w:szCs w:val="20"/>
              </w:rPr>
              <w:t>/ Dato preliminar.</w:t>
            </w:r>
          </w:p>
          <w:p w14:paraId="6DE52979" w14:textId="77777777" w:rsidR="009624DA" w:rsidRPr="009624DA" w:rsidRDefault="009624DA" w:rsidP="009624DA">
            <w:pPr>
              <w:jc w:val="both"/>
              <w:rPr>
                <w:rFonts w:eastAsia="Times New Roman"/>
                <w:sz w:val="18"/>
                <w:szCs w:val="18"/>
              </w:rPr>
            </w:pPr>
            <w:r w:rsidRPr="009624DA">
              <w:rPr>
                <w:rFonts w:eastAsia="Times New Roman"/>
                <w:sz w:val="20"/>
                <w:szCs w:val="20"/>
              </w:rPr>
              <w:t>FUENTE: INEGI.</w:t>
            </w:r>
          </w:p>
        </w:tc>
      </w:tr>
    </w:tbl>
    <w:p w14:paraId="2386A2E2" w14:textId="77777777" w:rsidR="009624DA" w:rsidRPr="009624DA" w:rsidRDefault="009624DA" w:rsidP="009624DA">
      <w:pPr>
        <w:spacing w:after="360" w:line="360" w:lineRule="auto"/>
        <w:ind w:right="159"/>
        <w:jc w:val="both"/>
        <w:rPr>
          <w:rFonts w:eastAsia="Calibri"/>
          <w:sz w:val="26"/>
          <w:szCs w:val="26"/>
          <w:lang w:eastAsia="en-US"/>
        </w:rPr>
      </w:pPr>
    </w:p>
    <w:p w14:paraId="7F2377C9" w14:textId="77777777" w:rsidR="009624DA" w:rsidRPr="009624DA" w:rsidRDefault="009624DA" w:rsidP="009624DA">
      <w:pPr>
        <w:spacing w:after="360" w:line="360" w:lineRule="auto"/>
        <w:ind w:right="159"/>
        <w:jc w:val="both"/>
        <w:rPr>
          <w:rFonts w:eastAsia="Calibri"/>
          <w:sz w:val="26"/>
          <w:szCs w:val="26"/>
          <w:lang w:eastAsia="en-US"/>
        </w:rPr>
      </w:pPr>
      <w:r w:rsidRPr="009624DA">
        <w:rPr>
          <w:rFonts w:eastAsia="Calibri"/>
          <w:sz w:val="26"/>
          <w:szCs w:val="26"/>
          <w:lang w:eastAsia="en-US"/>
        </w:rPr>
        <w:t>A continuación se presenta la gráfica comparativa de los Indicadores de Confianza en los tres sectores de actividad.</w:t>
      </w:r>
    </w:p>
    <w:p w14:paraId="0EB7695C" w14:textId="77777777" w:rsidR="009624DA" w:rsidRPr="009624DA" w:rsidRDefault="009624DA" w:rsidP="009624DA">
      <w:pPr>
        <w:spacing w:after="360" w:line="360" w:lineRule="auto"/>
        <w:ind w:right="159"/>
        <w:jc w:val="center"/>
        <w:rPr>
          <w:rFonts w:eastAsia="Calibri"/>
          <w:sz w:val="26"/>
          <w:szCs w:val="26"/>
          <w:lang w:eastAsia="en-US"/>
        </w:rPr>
      </w:pPr>
      <w:r w:rsidRPr="009624DA">
        <w:lastRenderedPageBreak/>
        <w:fldChar w:fldCharType="begin"/>
      </w:r>
      <w:r w:rsidRPr="009624DA">
        <w:instrText xml:space="preserve"> LINK PowerPoint.Slide.8 "D:\\2015\\ABRIL\\GRÁFICAS POWER POINT\\17.- GRÁFICAS DEL IND DE CONFIANZA EMPRESARIAL.pptx!262" "" \a \p </w:instrText>
      </w:r>
      <w:r w:rsidRPr="009624DA">
        <w:fldChar w:fldCharType="separate"/>
      </w:r>
      <w:r w:rsidRPr="009624DA">
        <w:rPr>
          <w:noProof/>
          <w:lang w:eastAsia="es-MX"/>
        </w:rPr>
        <w:drawing>
          <wp:inline distT="0" distB="0" distL="0" distR="0" wp14:anchorId="5EAA3F41" wp14:editId="444986BE">
            <wp:extent cx="4751070" cy="3342640"/>
            <wp:effectExtent l="0" t="0" r="0" b="0"/>
            <wp:docPr id="1664" name="Imagen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108" cstate="print">
                      <a:extLst>
                        <a:ext uri="{28A0092B-C50C-407E-A947-70E740481C1C}">
                          <a14:useLocalDpi xmlns:a14="http://schemas.microsoft.com/office/drawing/2010/main" val="0"/>
                        </a:ext>
                      </a:extLst>
                    </a:blip>
                    <a:srcRect l="10486" r="11424" b="2499"/>
                    <a:stretch>
                      <a:fillRect/>
                    </a:stretch>
                  </pic:blipFill>
                  <pic:spPr bwMode="auto">
                    <a:xfrm>
                      <a:off x="0" y="0"/>
                      <a:ext cx="4751070" cy="3342640"/>
                    </a:xfrm>
                    <a:prstGeom prst="rect">
                      <a:avLst/>
                    </a:prstGeom>
                    <a:noFill/>
                    <a:ln>
                      <a:noFill/>
                    </a:ln>
                  </pic:spPr>
                </pic:pic>
              </a:graphicData>
            </a:graphic>
          </wp:inline>
        </w:drawing>
      </w:r>
      <w:r w:rsidRPr="009624DA">
        <w:fldChar w:fldCharType="end"/>
      </w:r>
    </w:p>
    <w:p w14:paraId="2D51B455" w14:textId="77777777" w:rsidR="009624DA" w:rsidRPr="009624DA" w:rsidRDefault="009624DA" w:rsidP="009624DA">
      <w:pPr>
        <w:ind w:right="159"/>
        <w:jc w:val="both"/>
        <w:rPr>
          <w:rFonts w:eastAsia="Calibri"/>
          <w:b/>
          <w:sz w:val="20"/>
          <w:szCs w:val="20"/>
          <w:lang w:eastAsia="en-US"/>
        </w:rPr>
      </w:pPr>
      <w:r w:rsidRPr="009624DA">
        <w:rPr>
          <w:rFonts w:eastAsia="Calibri"/>
          <w:b/>
          <w:sz w:val="20"/>
          <w:szCs w:val="20"/>
          <w:lang w:eastAsia="en-US"/>
        </w:rPr>
        <w:t>Fuente de información:</w:t>
      </w:r>
    </w:p>
    <w:p w14:paraId="327FE66A" w14:textId="77777777" w:rsidR="009624DA" w:rsidRPr="004E55CB" w:rsidRDefault="0045651A" w:rsidP="004E55CB">
      <w:pPr>
        <w:spacing w:after="720"/>
        <w:rPr>
          <w:color w:val="0000FF"/>
          <w:sz w:val="20"/>
          <w:szCs w:val="20"/>
        </w:rPr>
      </w:pPr>
      <w:hyperlink r:id="rId109" w:history="1">
        <w:r w:rsidR="009624DA" w:rsidRPr="004E55CB">
          <w:rPr>
            <w:color w:val="0000FF"/>
            <w:sz w:val="20"/>
            <w:szCs w:val="20"/>
            <w:u w:val="single"/>
          </w:rPr>
          <w:t>http://www.inegi.org.mx/saladeprensa/boletines/2015/ice/ice2015_04.pdf</w:t>
        </w:r>
      </w:hyperlink>
      <w:r w:rsidR="009624DA" w:rsidRPr="004E55CB">
        <w:rPr>
          <w:color w:val="0000FF"/>
          <w:sz w:val="20"/>
          <w:szCs w:val="20"/>
        </w:rPr>
        <w:t xml:space="preserve"> </w:t>
      </w:r>
    </w:p>
    <w:p w14:paraId="10AA4BA6" w14:textId="77777777" w:rsidR="007A7685" w:rsidRPr="007A7685" w:rsidRDefault="007A7685" w:rsidP="007A7685">
      <w:pPr>
        <w:spacing w:after="360" w:line="360" w:lineRule="auto"/>
        <w:ind w:right="-159"/>
        <w:jc w:val="both"/>
        <w:rPr>
          <w:rFonts w:eastAsia="Times New Roman"/>
          <w:b/>
          <w:sz w:val="26"/>
          <w:szCs w:val="26"/>
          <w:lang w:val="es-ES"/>
        </w:rPr>
      </w:pPr>
      <w:r w:rsidRPr="007A7685">
        <w:rPr>
          <w:rFonts w:eastAsia="Times New Roman"/>
          <w:b/>
          <w:sz w:val="26"/>
          <w:szCs w:val="26"/>
          <w:lang w:val="es-ES"/>
        </w:rPr>
        <w:t>Indicador de Pedidos Manufactureros durante marzo de 2015 (INEGI)</w:t>
      </w:r>
    </w:p>
    <w:p w14:paraId="7024C896" w14:textId="77777777" w:rsid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El 6 de abril de 2015, el Instituto Nacional de Estadística y Geografía (INEGI) y el Banco de México (Banxico) dieron a conocer el Indicador de Pedidos Manufactureros (IPM) del tercer mes de 2015. Dicho indicador se elabora considerando las expectativas de los directivos empresariales del sector referido que capta la Encuesta Mensual de Opinión Empresarial (EMOE) para las siguientes variables: Pedidos, Producción, Personal Ocupado, Oportunidad de la Entrega de Insumos por parte de los Proveedores e Inventarios de Insumos.</w:t>
      </w:r>
    </w:p>
    <w:p w14:paraId="28E29CA9" w14:textId="77777777" w:rsidR="00512C3D" w:rsidRDefault="00512C3D" w:rsidP="007A7685">
      <w:pPr>
        <w:spacing w:after="360" w:line="360" w:lineRule="auto"/>
        <w:ind w:right="-159"/>
        <w:jc w:val="both"/>
        <w:rPr>
          <w:rFonts w:eastAsia="Times New Roman"/>
          <w:sz w:val="26"/>
          <w:szCs w:val="26"/>
        </w:rPr>
      </w:pPr>
    </w:p>
    <w:p w14:paraId="18A0D198" w14:textId="77777777" w:rsidR="00512C3D" w:rsidRPr="007A7685" w:rsidRDefault="00512C3D" w:rsidP="007A7685">
      <w:pPr>
        <w:spacing w:after="360" w:line="360" w:lineRule="auto"/>
        <w:ind w:right="-159"/>
        <w:jc w:val="both"/>
        <w:rPr>
          <w:rFonts w:eastAsia="Times New Roman"/>
          <w:sz w:val="26"/>
          <w:szCs w:val="26"/>
        </w:rPr>
      </w:pPr>
    </w:p>
    <w:p w14:paraId="4E3025EA" w14:textId="77777777" w:rsidR="007A7685" w:rsidRPr="007A7685" w:rsidRDefault="007A7685" w:rsidP="007A7685">
      <w:pPr>
        <w:spacing w:after="360" w:line="360" w:lineRule="auto"/>
        <w:ind w:right="-159"/>
        <w:jc w:val="both"/>
        <w:rPr>
          <w:rFonts w:eastAsia="Times New Roman"/>
          <w:b/>
          <w:sz w:val="26"/>
          <w:szCs w:val="26"/>
        </w:rPr>
      </w:pPr>
      <w:r w:rsidRPr="007A7685">
        <w:rPr>
          <w:rFonts w:eastAsia="Times New Roman"/>
          <w:b/>
          <w:sz w:val="26"/>
          <w:szCs w:val="26"/>
        </w:rPr>
        <w:lastRenderedPageBreak/>
        <w:t>Indicador de Pedidos Manufactureros por componentes</w:t>
      </w:r>
    </w:p>
    <w:p w14:paraId="282B72ED" w14:textId="77777777" w:rsidR="007A7685" w:rsidRP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En marzo de 2015, el IPM mostró una reducción mensual desestacionalizada de          0.39 puntos, al ubicarse en 52.2 puntos. Con este resultado, dicho indicador acumula       67 meses consecutivos situándose por encima del umbral de 50 puntos.</w:t>
      </w:r>
    </w:p>
    <w:p w14:paraId="25E4BDAC" w14:textId="77777777" w:rsidR="007A7685" w:rsidRPr="007A7685" w:rsidRDefault="007A7685" w:rsidP="007A7685">
      <w:pPr>
        <w:spacing w:after="360" w:line="360" w:lineRule="auto"/>
        <w:ind w:right="-159"/>
        <w:jc w:val="center"/>
        <w:rPr>
          <w:rFonts w:eastAsia="Times New Roman"/>
          <w:sz w:val="26"/>
          <w:szCs w:val="26"/>
        </w:rPr>
      </w:pPr>
      <w:r w:rsidRPr="007A7685">
        <w:fldChar w:fldCharType="begin"/>
      </w:r>
      <w:r w:rsidRPr="007A7685">
        <w:instrText xml:space="preserve"> LINK PowerPoint.Slide.8 "D:\\2015\\ABRIL\\GRÁFICAS POWER POINT\\15.- GRÁFICAS DEL INDICADOR DE PEDIDOS MANUFACTUREROS.pptx!262" "" \a \p </w:instrText>
      </w:r>
      <w:r w:rsidRPr="007A7685">
        <w:fldChar w:fldCharType="separate"/>
      </w:r>
      <w:r w:rsidRPr="007A7685">
        <w:rPr>
          <w:noProof/>
          <w:lang w:eastAsia="es-MX"/>
        </w:rPr>
        <w:drawing>
          <wp:inline distT="0" distB="0" distL="0" distR="0" wp14:anchorId="5A4FAEBD" wp14:editId="3DEF7C20">
            <wp:extent cx="4343400" cy="3058160"/>
            <wp:effectExtent l="0" t="0" r="0" b="8890"/>
            <wp:docPr id="1665" name="Imagen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10" cstate="print">
                      <a:extLst>
                        <a:ext uri="{28A0092B-C50C-407E-A947-70E740481C1C}">
                          <a14:useLocalDpi xmlns:a14="http://schemas.microsoft.com/office/drawing/2010/main" val="0"/>
                        </a:ext>
                      </a:extLst>
                    </a:blip>
                    <a:srcRect l="15024" t="6111" r="13615" b="4723"/>
                    <a:stretch>
                      <a:fillRect/>
                    </a:stretch>
                  </pic:blipFill>
                  <pic:spPr bwMode="auto">
                    <a:xfrm>
                      <a:off x="0" y="0"/>
                      <a:ext cx="4343400" cy="3058160"/>
                    </a:xfrm>
                    <a:prstGeom prst="rect">
                      <a:avLst/>
                    </a:prstGeom>
                    <a:noFill/>
                    <a:ln>
                      <a:noFill/>
                    </a:ln>
                  </pic:spPr>
                </pic:pic>
              </a:graphicData>
            </a:graphic>
          </wp:inline>
        </w:drawing>
      </w:r>
      <w:r w:rsidRPr="007A7685">
        <w:fldChar w:fldCharType="end"/>
      </w:r>
    </w:p>
    <w:p w14:paraId="534D4593" w14:textId="77777777" w:rsid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Con datos desestacionalizados, en el tercer mes del año en curso el componente del IPM correspondiente al volumen esperado de pedidos reportó un descenso mensual de 0.08 puntos, el del volumen esperado de la producción se redujo 2.54 puntos, el del nivel esperado del personal ocupado registró un crecimiento de 0.35 puntos, el de la oportunidad en la entrega de insumos por parte de los proveedores disminuyó               0.48 puntos y el de inventarios de insumos aumentó 0.40 puntos.</w:t>
      </w:r>
    </w:p>
    <w:p w14:paraId="6C9571A8" w14:textId="77777777" w:rsidR="00512C3D" w:rsidRDefault="00512C3D" w:rsidP="007A7685">
      <w:pPr>
        <w:spacing w:after="360" w:line="360" w:lineRule="auto"/>
        <w:ind w:right="-159"/>
        <w:jc w:val="both"/>
        <w:rPr>
          <w:rFonts w:eastAsia="Times New Roman"/>
          <w:sz w:val="26"/>
          <w:szCs w:val="26"/>
        </w:rPr>
      </w:pPr>
    </w:p>
    <w:p w14:paraId="3C363823" w14:textId="77777777" w:rsidR="00512C3D" w:rsidRDefault="00512C3D" w:rsidP="007A7685">
      <w:pPr>
        <w:spacing w:after="360" w:line="360" w:lineRule="auto"/>
        <w:ind w:right="-159"/>
        <w:jc w:val="both"/>
        <w:rPr>
          <w:rFonts w:eastAsia="Times New Roman"/>
          <w:sz w:val="26"/>
          <w:szCs w:val="26"/>
        </w:rPr>
      </w:pPr>
    </w:p>
    <w:p w14:paraId="0714652B" w14:textId="77777777" w:rsidR="00512C3D" w:rsidRPr="007A7685" w:rsidRDefault="00512C3D" w:rsidP="007A7685">
      <w:pPr>
        <w:spacing w:after="360" w:line="360" w:lineRule="auto"/>
        <w:ind w:right="-159"/>
        <w:jc w:val="both"/>
        <w:rPr>
          <w:rFonts w:eastAsia="Times New Roman"/>
          <w:sz w:val="26"/>
          <w:szCs w:val="26"/>
        </w:rPr>
      </w:pPr>
    </w:p>
    <w:tbl>
      <w:tblPr>
        <w:tblW w:w="9214" w:type="dxa"/>
        <w:tblLayout w:type="fixed"/>
        <w:tblLook w:val="04A0" w:firstRow="1" w:lastRow="0" w:firstColumn="1" w:lastColumn="0" w:noHBand="0" w:noVBand="1"/>
      </w:tblPr>
      <w:tblGrid>
        <w:gridCol w:w="4077"/>
        <w:gridCol w:w="1276"/>
        <w:gridCol w:w="1168"/>
        <w:gridCol w:w="1194"/>
        <w:gridCol w:w="1499"/>
      </w:tblGrid>
      <w:tr w:rsidR="007A7685" w:rsidRPr="007A7685" w14:paraId="0679D816" w14:textId="77777777" w:rsidTr="00BA61DD">
        <w:tc>
          <w:tcPr>
            <w:tcW w:w="9214" w:type="dxa"/>
            <w:gridSpan w:val="5"/>
            <w:tcBorders>
              <w:top w:val="nil"/>
              <w:left w:val="nil"/>
              <w:bottom w:val="single" w:sz="4" w:space="0" w:color="auto"/>
              <w:right w:val="nil"/>
            </w:tcBorders>
          </w:tcPr>
          <w:p w14:paraId="56730D4A" w14:textId="77777777" w:rsidR="007A7685" w:rsidRPr="007A7685" w:rsidRDefault="007A7685" w:rsidP="007A7685">
            <w:pPr>
              <w:jc w:val="center"/>
              <w:rPr>
                <w:rFonts w:eastAsia="Times New Roman"/>
                <w:b/>
                <w:noProof/>
                <w:sz w:val="22"/>
                <w:szCs w:val="22"/>
                <w:lang w:eastAsia="es-MX"/>
              </w:rPr>
            </w:pPr>
            <w:r w:rsidRPr="007A7685">
              <w:rPr>
                <w:rFonts w:eastAsia="Times New Roman"/>
                <w:b/>
                <w:noProof/>
                <w:sz w:val="22"/>
                <w:szCs w:val="22"/>
                <w:lang w:eastAsia="es-MX"/>
              </w:rPr>
              <w:lastRenderedPageBreak/>
              <w:t xml:space="preserve">INDICADOR DE PEDIDOS MANUFACTUREROS Y SUS COMPONENTES </w:t>
            </w:r>
          </w:p>
          <w:p w14:paraId="16D1B783" w14:textId="77777777" w:rsidR="007A7685" w:rsidRPr="007A7685" w:rsidRDefault="007A7685" w:rsidP="007A7685">
            <w:pPr>
              <w:jc w:val="center"/>
              <w:rPr>
                <w:rFonts w:eastAsia="Times New Roman"/>
                <w:b/>
                <w:noProof/>
                <w:sz w:val="22"/>
                <w:szCs w:val="22"/>
                <w:lang w:eastAsia="es-MX"/>
              </w:rPr>
            </w:pPr>
            <w:r w:rsidRPr="007A7685">
              <w:rPr>
                <w:rFonts w:eastAsia="Times New Roman"/>
                <w:b/>
                <w:noProof/>
                <w:sz w:val="22"/>
                <w:szCs w:val="22"/>
                <w:lang w:eastAsia="es-MX"/>
              </w:rPr>
              <w:t>CIFRAS DESESTACIONALIZADAS</w:t>
            </w:r>
          </w:p>
        </w:tc>
      </w:tr>
      <w:tr w:rsidR="007A7685" w:rsidRPr="007A7685" w14:paraId="60B9F2BA" w14:textId="77777777" w:rsidTr="00BA61DD">
        <w:tc>
          <w:tcPr>
            <w:tcW w:w="4077" w:type="dxa"/>
            <w:tcBorders>
              <w:top w:val="single" w:sz="4" w:space="0" w:color="auto"/>
              <w:left w:val="single" w:sz="4" w:space="0" w:color="auto"/>
              <w:bottom w:val="single" w:sz="4" w:space="0" w:color="auto"/>
              <w:right w:val="single" w:sz="4" w:space="0" w:color="auto"/>
            </w:tcBorders>
            <w:vAlign w:val="center"/>
          </w:tcPr>
          <w:p w14:paraId="0B638003"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Indicadores</w:t>
            </w:r>
          </w:p>
        </w:tc>
        <w:tc>
          <w:tcPr>
            <w:tcW w:w="1276" w:type="dxa"/>
            <w:tcBorders>
              <w:top w:val="single" w:sz="4" w:space="0" w:color="auto"/>
              <w:left w:val="single" w:sz="4" w:space="0" w:color="auto"/>
              <w:bottom w:val="single" w:sz="4" w:space="0" w:color="auto"/>
              <w:right w:val="single" w:sz="4" w:space="0" w:color="auto"/>
            </w:tcBorders>
            <w:vAlign w:val="center"/>
          </w:tcPr>
          <w:p w14:paraId="0332B987"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Febrero de 2015</w:t>
            </w:r>
          </w:p>
        </w:tc>
        <w:tc>
          <w:tcPr>
            <w:tcW w:w="1168" w:type="dxa"/>
            <w:tcBorders>
              <w:top w:val="single" w:sz="4" w:space="0" w:color="auto"/>
              <w:left w:val="single" w:sz="4" w:space="0" w:color="auto"/>
              <w:bottom w:val="single" w:sz="4" w:space="0" w:color="auto"/>
              <w:right w:val="single" w:sz="4" w:space="0" w:color="auto"/>
            </w:tcBorders>
            <w:vAlign w:val="center"/>
          </w:tcPr>
          <w:p w14:paraId="4C0419A1"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Marzo de 2015</w:t>
            </w:r>
          </w:p>
        </w:tc>
        <w:tc>
          <w:tcPr>
            <w:tcW w:w="1194" w:type="dxa"/>
            <w:tcBorders>
              <w:top w:val="single" w:sz="4" w:space="0" w:color="auto"/>
              <w:left w:val="single" w:sz="4" w:space="0" w:color="auto"/>
              <w:bottom w:val="single" w:sz="4" w:space="0" w:color="auto"/>
              <w:right w:val="single" w:sz="4" w:space="0" w:color="auto"/>
            </w:tcBorders>
            <w:vAlign w:val="center"/>
          </w:tcPr>
          <w:p w14:paraId="54580810"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Diferencia en puntos</w:t>
            </w:r>
            <w:r w:rsidRPr="007A7685">
              <w:rPr>
                <w:rFonts w:eastAsia="Times New Roman"/>
                <w:b/>
                <w:noProof/>
                <w:sz w:val="20"/>
                <w:szCs w:val="20"/>
                <w:u w:val="single"/>
                <w:vertAlign w:val="superscript"/>
                <w:lang w:eastAsia="es-MX"/>
              </w:rPr>
              <w:t>1</w:t>
            </w:r>
            <w:r w:rsidRPr="007A7685">
              <w:rPr>
                <w:rFonts w:eastAsia="Times New Roman"/>
                <w:b/>
                <w:noProof/>
                <w:sz w:val="20"/>
                <w:szCs w:val="20"/>
                <w:vertAlign w:val="superscript"/>
                <w:lang w:eastAsia="es-MX"/>
              </w:rPr>
              <w:t>/</w:t>
            </w:r>
          </w:p>
        </w:tc>
        <w:tc>
          <w:tcPr>
            <w:tcW w:w="1499" w:type="dxa"/>
            <w:tcBorders>
              <w:top w:val="single" w:sz="4" w:space="0" w:color="auto"/>
              <w:left w:val="single" w:sz="4" w:space="0" w:color="auto"/>
              <w:bottom w:val="single" w:sz="4" w:space="0" w:color="auto"/>
              <w:right w:val="single" w:sz="4" w:space="0" w:color="auto"/>
            </w:tcBorders>
            <w:vAlign w:val="center"/>
          </w:tcPr>
          <w:p w14:paraId="503A1EBC"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Número de meses consecutivos por arriba o por debajo del umbral de 50 puntos</w:t>
            </w:r>
          </w:p>
        </w:tc>
      </w:tr>
      <w:tr w:rsidR="007A7685" w:rsidRPr="007A7685" w14:paraId="0F289542" w14:textId="77777777" w:rsidTr="00BA61DD">
        <w:tc>
          <w:tcPr>
            <w:tcW w:w="4077" w:type="dxa"/>
            <w:tcBorders>
              <w:top w:val="single" w:sz="4" w:space="0" w:color="auto"/>
              <w:left w:val="single" w:sz="4" w:space="0" w:color="auto"/>
              <w:bottom w:val="nil"/>
              <w:right w:val="single" w:sz="4" w:space="0" w:color="auto"/>
            </w:tcBorders>
          </w:tcPr>
          <w:p w14:paraId="58A1C101" w14:textId="77777777" w:rsidR="007A7685" w:rsidRPr="007A7685" w:rsidRDefault="007A7685" w:rsidP="007A7685">
            <w:pPr>
              <w:jc w:val="both"/>
              <w:rPr>
                <w:rFonts w:eastAsia="Times New Roman"/>
                <w:b/>
                <w:noProof/>
                <w:sz w:val="20"/>
                <w:szCs w:val="20"/>
                <w:lang w:eastAsia="es-MX"/>
              </w:rPr>
            </w:pPr>
            <w:r w:rsidRPr="007A7685">
              <w:rPr>
                <w:rFonts w:eastAsia="Times New Roman"/>
                <w:b/>
                <w:noProof/>
                <w:sz w:val="20"/>
                <w:szCs w:val="20"/>
                <w:lang w:eastAsia="es-MX"/>
              </w:rPr>
              <w:t>Indicador de Pedidos Manufactureros</w:t>
            </w:r>
          </w:p>
        </w:tc>
        <w:tc>
          <w:tcPr>
            <w:tcW w:w="1276" w:type="dxa"/>
            <w:tcBorders>
              <w:top w:val="single" w:sz="4" w:space="0" w:color="auto"/>
              <w:left w:val="single" w:sz="4" w:space="0" w:color="auto"/>
              <w:bottom w:val="nil"/>
              <w:right w:val="single" w:sz="4" w:space="0" w:color="auto"/>
            </w:tcBorders>
          </w:tcPr>
          <w:p w14:paraId="507631BB"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52.6</w:t>
            </w:r>
          </w:p>
        </w:tc>
        <w:tc>
          <w:tcPr>
            <w:tcW w:w="1168" w:type="dxa"/>
            <w:tcBorders>
              <w:top w:val="single" w:sz="4" w:space="0" w:color="auto"/>
              <w:left w:val="single" w:sz="4" w:space="0" w:color="auto"/>
              <w:bottom w:val="nil"/>
              <w:right w:val="single" w:sz="4" w:space="0" w:color="auto"/>
            </w:tcBorders>
          </w:tcPr>
          <w:p w14:paraId="615EC220" w14:textId="77777777" w:rsidR="007A7685" w:rsidRPr="007A7685" w:rsidRDefault="007A7685" w:rsidP="007A7685">
            <w:pPr>
              <w:jc w:val="center"/>
              <w:rPr>
                <w:rFonts w:eastAsia="Times New Roman"/>
                <w:b/>
                <w:noProof/>
                <w:sz w:val="20"/>
                <w:szCs w:val="20"/>
                <w:lang w:eastAsia="es-MX"/>
              </w:rPr>
            </w:pPr>
            <w:r w:rsidRPr="007A7685">
              <w:rPr>
                <w:rFonts w:eastAsia="Times New Roman"/>
                <w:b/>
                <w:noProof/>
                <w:sz w:val="20"/>
                <w:szCs w:val="20"/>
                <w:lang w:eastAsia="es-MX"/>
              </w:rPr>
              <w:t>52.2</w:t>
            </w:r>
          </w:p>
        </w:tc>
        <w:tc>
          <w:tcPr>
            <w:tcW w:w="1194" w:type="dxa"/>
            <w:tcBorders>
              <w:top w:val="single" w:sz="4" w:space="0" w:color="auto"/>
              <w:left w:val="single" w:sz="4" w:space="0" w:color="auto"/>
              <w:bottom w:val="nil"/>
              <w:right w:val="single" w:sz="4" w:space="0" w:color="auto"/>
            </w:tcBorders>
          </w:tcPr>
          <w:p w14:paraId="0B4A34BF" w14:textId="77777777" w:rsidR="007A7685" w:rsidRPr="007A7685" w:rsidRDefault="007A7685" w:rsidP="007A7685">
            <w:pPr>
              <w:ind w:right="340"/>
              <w:jc w:val="right"/>
              <w:rPr>
                <w:rFonts w:eastAsia="Times New Roman"/>
                <w:b/>
                <w:noProof/>
                <w:sz w:val="20"/>
                <w:szCs w:val="20"/>
                <w:lang w:eastAsia="es-MX"/>
              </w:rPr>
            </w:pPr>
            <w:r w:rsidRPr="007A7685">
              <w:rPr>
                <w:rFonts w:eastAsia="Times New Roman"/>
                <w:b/>
                <w:noProof/>
                <w:sz w:val="20"/>
                <w:szCs w:val="20"/>
                <w:lang w:eastAsia="es-MX"/>
              </w:rPr>
              <w:t>-0.39</w:t>
            </w:r>
          </w:p>
        </w:tc>
        <w:tc>
          <w:tcPr>
            <w:tcW w:w="1499" w:type="dxa"/>
            <w:tcBorders>
              <w:top w:val="single" w:sz="4" w:space="0" w:color="auto"/>
              <w:left w:val="single" w:sz="4" w:space="0" w:color="auto"/>
              <w:bottom w:val="nil"/>
              <w:right w:val="single" w:sz="4" w:space="0" w:color="auto"/>
            </w:tcBorders>
          </w:tcPr>
          <w:p w14:paraId="38D6452D" w14:textId="77777777" w:rsidR="007A7685" w:rsidRPr="007A7685" w:rsidRDefault="007A7685" w:rsidP="007A7685">
            <w:pPr>
              <w:ind w:right="28"/>
              <w:jc w:val="center"/>
              <w:rPr>
                <w:rFonts w:eastAsia="Times New Roman"/>
                <w:b/>
                <w:noProof/>
                <w:sz w:val="20"/>
                <w:szCs w:val="20"/>
                <w:lang w:eastAsia="es-MX"/>
              </w:rPr>
            </w:pPr>
            <w:r w:rsidRPr="007A7685">
              <w:rPr>
                <w:rFonts w:eastAsia="Times New Roman"/>
                <w:b/>
                <w:noProof/>
                <w:sz w:val="20"/>
                <w:szCs w:val="20"/>
                <w:lang w:eastAsia="es-MX"/>
              </w:rPr>
              <w:t>67 por arriba</w:t>
            </w:r>
          </w:p>
        </w:tc>
      </w:tr>
      <w:tr w:rsidR="007A7685" w:rsidRPr="007A7685" w14:paraId="72A2E4D8" w14:textId="77777777" w:rsidTr="00BA61DD">
        <w:tc>
          <w:tcPr>
            <w:tcW w:w="4077" w:type="dxa"/>
            <w:tcBorders>
              <w:top w:val="nil"/>
              <w:left w:val="single" w:sz="4" w:space="0" w:color="auto"/>
              <w:bottom w:val="nil"/>
              <w:right w:val="single" w:sz="4" w:space="0" w:color="auto"/>
            </w:tcBorders>
          </w:tcPr>
          <w:p w14:paraId="22F2CA83"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a) Pedidos</w:t>
            </w:r>
          </w:p>
        </w:tc>
        <w:tc>
          <w:tcPr>
            <w:tcW w:w="1276" w:type="dxa"/>
            <w:tcBorders>
              <w:top w:val="nil"/>
              <w:left w:val="single" w:sz="4" w:space="0" w:color="auto"/>
              <w:bottom w:val="nil"/>
              <w:right w:val="single" w:sz="4" w:space="0" w:color="auto"/>
            </w:tcBorders>
          </w:tcPr>
          <w:p w14:paraId="574FCCA5"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54.1</w:t>
            </w:r>
          </w:p>
        </w:tc>
        <w:tc>
          <w:tcPr>
            <w:tcW w:w="1168" w:type="dxa"/>
            <w:tcBorders>
              <w:top w:val="nil"/>
              <w:left w:val="single" w:sz="4" w:space="0" w:color="auto"/>
              <w:bottom w:val="nil"/>
              <w:right w:val="single" w:sz="4" w:space="0" w:color="auto"/>
            </w:tcBorders>
          </w:tcPr>
          <w:p w14:paraId="2B6AB39A"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54.0</w:t>
            </w:r>
          </w:p>
        </w:tc>
        <w:tc>
          <w:tcPr>
            <w:tcW w:w="1194" w:type="dxa"/>
            <w:tcBorders>
              <w:top w:val="nil"/>
              <w:left w:val="single" w:sz="4" w:space="0" w:color="auto"/>
              <w:bottom w:val="nil"/>
              <w:right w:val="single" w:sz="4" w:space="0" w:color="auto"/>
            </w:tcBorders>
          </w:tcPr>
          <w:p w14:paraId="3778F6BC" w14:textId="77777777" w:rsidR="007A7685" w:rsidRPr="007A7685" w:rsidRDefault="007A7685" w:rsidP="007A7685">
            <w:pPr>
              <w:ind w:right="340"/>
              <w:jc w:val="right"/>
              <w:rPr>
                <w:rFonts w:eastAsia="Times New Roman"/>
                <w:noProof/>
                <w:sz w:val="20"/>
                <w:szCs w:val="20"/>
                <w:lang w:eastAsia="es-MX"/>
              </w:rPr>
            </w:pPr>
            <w:r w:rsidRPr="007A7685">
              <w:rPr>
                <w:rFonts w:eastAsia="Times New Roman"/>
                <w:noProof/>
                <w:sz w:val="20"/>
                <w:szCs w:val="20"/>
                <w:lang w:eastAsia="es-MX"/>
              </w:rPr>
              <w:t>-0.08</w:t>
            </w:r>
          </w:p>
        </w:tc>
        <w:tc>
          <w:tcPr>
            <w:tcW w:w="1499" w:type="dxa"/>
            <w:tcBorders>
              <w:top w:val="nil"/>
              <w:left w:val="single" w:sz="4" w:space="0" w:color="auto"/>
              <w:bottom w:val="nil"/>
              <w:right w:val="single" w:sz="4" w:space="0" w:color="auto"/>
            </w:tcBorders>
          </w:tcPr>
          <w:p w14:paraId="369E5154" w14:textId="77777777" w:rsidR="007A7685" w:rsidRPr="007A7685" w:rsidRDefault="007A7685" w:rsidP="007A7685">
            <w:pPr>
              <w:ind w:right="113"/>
              <w:jc w:val="center"/>
              <w:rPr>
                <w:rFonts w:eastAsia="Times New Roman"/>
                <w:noProof/>
                <w:sz w:val="20"/>
                <w:szCs w:val="20"/>
                <w:lang w:eastAsia="es-MX"/>
              </w:rPr>
            </w:pPr>
            <w:r w:rsidRPr="007A7685">
              <w:rPr>
                <w:rFonts w:eastAsia="Times New Roman"/>
                <w:noProof/>
                <w:sz w:val="20"/>
                <w:szCs w:val="20"/>
                <w:lang w:eastAsia="es-MX"/>
              </w:rPr>
              <w:t>69 por arriba</w:t>
            </w:r>
          </w:p>
        </w:tc>
      </w:tr>
      <w:tr w:rsidR="007A7685" w:rsidRPr="007A7685" w14:paraId="5A84A484" w14:textId="77777777" w:rsidTr="00BA61DD">
        <w:tc>
          <w:tcPr>
            <w:tcW w:w="4077" w:type="dxa"/>
            <w:tcBorders>
              <w:top w:val="nil"/>
              <w:left w:val="single" w:sz="4" w:space="0" w:color="auto"/>
              <w:bottom w:val="nil"/>
              <w:right w:val="single" w:sz="4" w:space="0" w:color="auto"/>
            </w:tcBorders>
          </w:tcPr>
          <w:p w14:paraId="6E3230CC"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b) Producción</w:t>
            </w:r>
          </w:p>
        </w:tc>
        <w:tc>
          <w:tcPr>
            <w:tcW w:w="1276" w:type="dxa"/>
            <w:tcBorders>
              <w:top w:val="nil"/>
              <w:left w:val="single" w:sz="4" w:space="0" w:color="auto"/>
              <w:bottom w:val="nil"/>
              <w:right w:val="single" w:sz="4" w:space="0" w:color="auto"/>
            </w:tcBorders>
          </w:tcPr>
          <w:p w14:paraId="1686E58B"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54.8</w:t>
            </w:r>
          </w:p>
        </w:tc>
        <w:tc>
          <w:tcPr>
            <w:tcW w:w="1168" w:type="dxa"/>
            <w:tcBorders>
              <w:top w:val="nil"/>
              <w:left w:val="single" w:sz="4" w:space="0" w:color="auto"/>
              <w:bottom w:val="nil"/>
              <w:right w:val="single" w:sz="4" w:space="0" w:color="auto"/>
            </w:tcBorders>
          </w:tcPr>
          <w:p w14:paraId="5020BA78"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52.3</w:t>
            </w:r>
          </w:p>
        </w:tc>
        <w:tc>
          <w:tcPr>
            <w:tcW w:w="1194" w:type="dxa"/>
            <w:tcBorders>
              <w:top w:val="nil"/>
              <w:left w:val="single" w:sz="4" w:space="0" w:color="auto"/>
              <w:bottom w:val="nil"/>
              <w:right w:val="single" w:sz="4" w:space="0" w:color="auto"/>
            </w:tcBorders>
          </w:tcPr>
          <w:p w14:paraId="129E778C" w14:textId="77777777" w:rsidR="007A7685" w:rsidRPr="007A7685" w:rsidRDefault="007A7685" w:rsidP="007A7685">
            <w:pPr>
              <w:ind w:right="340"/>
              <w:jc w:val="right"/>
              <w:rPr>
                <w:rFonts w:eastAsia="Times New Roman"/>
                <w:noProof/>
                <w:sz w:val="20"/>
                <w:szCs w:val="20"/>
                <w:lang w:eastAsia="es-MX"/>
              </w:rPr>
            </w:pPr>
            <w:r w:rsidRPr="007A7685">
              <w:rPr>
                <w:rFonts w:eastAsia="Times New Roman"/>
                <w:noProof/>
                <w:sz w:val="20"/>
                <w:szCs w:val="20"/>
                <w:lang w:eastAsia="es-MX"/>
              </w:rPr>
              <w:t>-2.54</w:t>
            </w:r>
          </w:p>
        </w:tc>
        <w:tc>
          <w:tcPr>
            <w:tcW w:w="1499" w:type="dxa"/>
            <w:tcBorders>
              <w:top w:val="nil"/>
              <w:left w:val="single" w:sz="4" w:space="0" w:color="auto"/>
              <w:bottom w:val="nil"/>
              <w:right w:val="single" w:sz="4" w:space="0" w:color="auto"/>
            </w:tcBorders>
          </w:tcPr>
          <w:p w14:paraId="645CE330" w14:textId="77777777" w:rsidR="007A7685" w:rsidRPr="007A7685" w:rsidRDefault="007A7685" w:rsidP="007A7685">
            <w:pPr>
              <w:ind w:right="113"/>
              <w:jc w:val="center"/>
              <w:rPr>
                <w:rFonts w:eastAsia="Times New Roman"/>
                <w:noProof/>
                <w:sz w:val="20"/>
                <w:szCs w:val="20"/>
                <w:lang w:eastAsia="es-MX"/>
              </w:rPr>
            </w:pPr>
            <w:r w:rsidRPr="007A7685">
              <w:rPr>
                <w:rFonts w:eastAsia="Times New Roman"/>
                <w:noProof/>
                <w:sz w:val="20"/>
                <w:szCs w:val="20"/>
                <w:lang w:eastAsia="es-MX"/>
              </w:rPr>
              <w:t>63 por arriba</w:t>
            </w:r>
          </w:p>
        </w:tc>
      </w:tr>
      <w:tr w:rsidR="007A7685" w:rsidRPr="007A7685" w14:paraId="278B77C5" w14:textId="77777777" w:rsidTr="00BA61DD">
        <w:tc>
          <w:tcPr>
            <w:tcW w:w="4077" w:type="dxa"/>
            <w:tcBorders>
              <w:top w:val="nil"/>
              <w:left w:val="single" w:sz="4" w:space="0" w:color="auto"/>
              <w:bottom w:val="nil"/>
              <w:right w:val="single" w:sz="4" w:space="0" w:color="auto"/>
            </w:tcBorders>
          </w:tcPr>
          <w:p w14:paraId="2DA8545D"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c) Personal ocupado</w:t>
            </w:r>
          </w:p>
        </w:tc>
        <w:tc>
          <w:tcPr>
            <w:tcW w:w="1276" w:type="dxa"/>
            <w:tcBorders>
              <w:top w:val="nil"/>
              <w:left w:val="single" w:sz="4" w:space="0" w:color="auto"/>
              <w:bottom w:val="nil"/>
              <w:right w:val="single" w:sz="4" w:space="0" w:color="auto"/>
            </w:tcBorders>
          </w:tcPr>
          <w:p w14:paraId="2DB949A8"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51.4</w:t>
            </w:r>
          </w:p>
        </w:tc>
        <w:tc>
          <w:tcPr>
            <w:tcW w:w="1168" w:type="dxa"/>
            <w:tcBorders>
              <w:top w:val="nil"/>
              <w:left w:val="single" w:sz="4" w:space="0" w:color="auto"/>
              <w:bottom w:val="nil"/>
              <w:right w:val="single" w:sz="4" w:space="0" w:color="auto"/>
            </w:tcBorders>
          </w:tcPr>
          <w:p w14:paraId="384B6BA7"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51.8</w:t>
            </w:r>
          </w:p>
        </w:tc>
        <w:tc>
          <w:tcPr>
            <w:tcW w:w="1194" w:type="dxa"/>
            <w:tcBorders>
              <w:top w:val="nil"/>
              <w:left w:val="single" w:sz="4" w:space="0" w:color="auto"/>
              <w:bottom w:val="nil"/>
              <w:right w:val="single" w:sz="4" w:space="0" w:color="auto"/>
            </w:tcBorders>
          </w:tcPr>
          <w:p w14:paraId="406DB34B" w14:textId="77777777" w:rsidR="007A7685" w:rsidRPr="007A7685" w:rsidRDefault="007A7685" w:rsidP="007A7685">
            <w:pPr>
              <w:ind w:right="340"/>
              <w:jc w:val="right"/>
              <w:rPr>
                <w:rFonts w:eastAsia="Times New Roman"/>
                <w:noProof/>
                <w:sz w:val="20"/>
                <w:szCs w:val="20"/>
                <w:lang w:eastAsia="es-MX"/>
              </w:rPr>
            </w:pPr>
            <w:r w:rsidRPr="007A7685">
              <w:rPr>
                <w:rFonts w:eastAsia="Times New Roman"/>
                <w:noProof/>
                <w:sz w:val="20"/>
                <w:szCs w:val="20"/>
                <w:lang w:eastAsia="es-MX"/>
              </w:rPr>
              <w:t>0.35</w:t>
            </w:r>
          </w:p>
        </w:tc>
        <w:tc>
          <w:tcPr>
            <w:tcW w:w="1499" w:type="dxa"/>
            <w:tcBorders>
              <w:top w:val="nil"/>
              <w:left w:val="single" w:sz="4" w:space="0" w:color="auto"/>
              <w:bottom w:val="nil"/>
              <w:right w:val="single" w:sz="4" w:space="0" w:color="auto"/>
            </w:tcBorders>
          </w:tcPr>
          <w:p w14:paraId="4B8424FA" w14:textId="77777777" w:rsidR="007A7685" w:rsidRPr="007A7685" w:rsidRDefault="007A7685" w:rsidP="007A7685">
            <w:pPr>
              <w:ind w:right="113"/>
              <w:jc w:val="center"/>
              <w:rPr>
                <w:rFonts w:eastAsia="Times New Roman"/>
                <w:noProof/>
                <w:sz w:val="20"/>
                <w:szCs w:val="20"/>
                <w:lang w:eastAsia="es-MX"/>
              </w:rPr>
            </w:pPr>
            <w:r w:rsidRPr="007A7685">
              <w:rPr>
                <w:rFonts w:eastAsia="Times New Roman"/>
                <w:noProof/>
                <w:sz w:val="20"/>
                <w:szCs w:val="20"/>
                <w:lang w:eastAsia="es-MX"/>
              </w:rPr>
              <w:t>65 por arriba</w:t>
            </w:r>
          </w:p>
        </w:tc>
      </w:tr>
      <w:tr w:rsidR="007A7685" w:rsidRPr="007A7685" w14:paraId="5BB19422" w14:textId="77777777" w:rsidTr="00BA61DD">
        <w:tc>
          <w:tcPr>
            <w:tcW w:w="4077" w:type="dxa"/>
            <w:tcBorders>
              <w:top w:val="nil"/>
              <w:left w:val="single" w:sz="4" w:space="0" w:color="auto"/>
              <w:bottom w:val="nil"/>
              <w:right w:val="single" w:sz="4" w:space="0" w:color="auto"/>
            </w:tcBorders>
          </w:tcPr>
          <w:p w14:paraId="2C7E7817" w14:textId="77777777" w:rsidR="007A7685" w:rsidRPr="007A7685" w:rsidRDefault="007A7685" w:rsidP="007A7685">
            <w:pPr>
              <w:ind w:left="255" w:hanging="255"/>
              <w:jc w:val="both"/>
              <w:rPr>
                <w:rFonts w:eastAsia="Times New Roman"/>
                <w:noProof/>
                <w:sz w:val="20"/>
                <w:szCs w:val="20"/>
                <w:lang w:eastAsia="es-MX"/>
              </w:rPr>
            </w:pPr>
            <w:r w:rsidRPr="007A7685">
              <w:rPr>
                <w:rFonts w:eastAsia="Times New Roman"/>
                <w:noProof/>
                <w:sz w:val="20"/>
                <w:szCs w:val="20"/>
                <w:lang w:eastAsia="es-MX"/>
              </w:rPr>
              <w:t>d) Oportunidad de la entrega de insumos de los proveedores</w:t>
            </w:r>
          </w:p>
        </w:tc>
        <w:tc>
          <w:tcPr>
            <w:tcW w:w="1276" w:type="dxa"/>
            <w:tcBorders>
              <w:top w:val="nil"/>
              <w:left w:val="single" w:sz="4" w:space="0" w:color="auto"/>
              <w:bottom w:val="nil"/>
              <w:right w:val="single" w:sz="4" w:space="0" w:color="auto"/>
            </w:tcBorders>
            <w:vAlign w:val="center"/>
          </w:tcPr>
          <w:p w14:paraId="0AD1D4B0"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46.6</w:t>
            </w:r>
          </w:p>
        </w:tc>
        <w:tc>
          <w:tcPr>
            <w:tcW w:w="1168" w:type="dxa"/>
            <w:tcBorders>
              <w:top w:val="nil"/>
              <w:left w:val="single" w:sz="4" w:space="0" w:color="auto"/>
              <w:bottom w:val="nil"/>
              <w:right w:val="single" w:sz="4" w:space="0" w:color="auto"/>
            </w:tcBorders>
            <w:vAlign w:val="center"/>
          </w:tcPr>
          <w:p w14:paraId="2ED91E9C"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46.1</w:t>
            </w:r>
          </w:p>
        </w:tc>
        <w:tc>
          <w:tcPr>
            <w:tcW w:w="1194" w:type="dxa"/>
            <w:tcBorders>
              <w:top w:val="nil"/>
              <w:left w:val="single" w:sz="4" w:space="0" w:color="auto"/>
              <w:bottom w:val="nil"/>
              <w:right w:val="single" w:sz="4" w:space="0" w:color="auto"/>
            </w:tcBorders>
            <w:vAlign w:val="center"/>
          </w:tcPr>
          <w:p w14:paraId="5A7802C3" w14:textId="77777777" w:rsidR="007A7685" w:rsidRPr="007A7685" w:rsidRDefault="007A7685" w:rsidP="007A7685">
            <w:pPr>
              <w:ind w:right="340"/>
              <w:jc w:val="right"/>
              <w:rPr>
                <w:rFonts w:eastAsia="Times New Roman"/>
                <w:noProof/>
                <w:sz w:val="20"/>
                <w:szCs w:val="20"/>
                <w:lang w:eastAsia="es-MX"/>
              </w:rPr>
            </w:pPr>
            <w:r w:rsidRPr="007A7685">
              <w:rPr>
                <w:rFonts w:eastAsia="Times New Roman"/>
                <w:noProof/>
                <w:sz w:val="20"/>
                <w:szCs w:val="20"/>
                <w:lang w:eastAsia="es-MX"/>
              </w:rPr>
              <w:t>-0.48</w:t>
            </w:r>
          </w:p>
        </w:tc>
        <w:tc>
          <w:tcPr>
            <w:tcW w:w="1499" w:type="dxa"/>
            <w:tcBorders>
              <w:top w:val="nil"/>
              <w:left w:val="single" w:sz="4" w:space="0" w:color="auto"/>
              <w:bottom w:val="nil"/>
              <w:right w:val="single" w:sz="4" w:space="0" w:color="auto"/>
            </w:tcBorders>
            <w:vAlign w:val="center"/>
          </w:tcPr>
          <w:p w14:paraId="490EE69B" w14:textId="77777777" w:rsidR="007A7685" w:rsidRPr="007A7685" w:rsidRDefault="007A7685" w:rsidP="007A7685">
            <w:pPr>
              <w:ind w:right="113"/>
              <w:jc w:val="center"/>
              <w:rPr>
                <w:rFonts w:eastAsia="Times New Roman"/>
                <w:noProof/>
                <w:sz w:val="20"/>
                <w:szCs w:val="20"/>
                <w:lang w:eastAsia="es-MX"/>
              </w:rPr>
            </w:pPr>
            <w:r w:rsidRPr="007A7685">
              <w:rPr>
                <w:rFonts w:eastAsia="Times New Roman"/>
                <w:noProof/>
                <w:sz w:val="20"/>
                <w:szCs w:val="20"/>
                <w:lang w:eastAsia="es-MX"/>
              </w:rPr>
              <w:t>29 por debajo</w:t>
            </w:r>
          </w:p>
        </w:tc>
      </w:tr>
      <w:tr w:rsidR="007A7685" w:rsidRPr="007A7685" w14:paraId="11806114" w14:textId="77777777" w:rsidTr="00BA61DD">
        <w:tc>
          <w:tcPr>
            <w:tcW w:w="4077" w:type="dxa"/>
            <w:tcBorders>
              <w:top w:val="nil"/>
              <w:left w:val="single" w:sz="4" w:space="0" w:color="auto"/>
              <w:bottom w:val="single" w:sz="4" w:space="0" w:color="auto"/>
              <w:right w:val="single" w:sz="4" w:space="0" w:color="auto"/>
            </w:tcBorders>
          </w:tcPr>
          <w:p w14:paraId="468CD5A9"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e) Inventarios de insumos</w:t>
            </w:r>
          </w:p>
        </w:tc>
        <w:tc>
          <w:tcPr>
            <w:tcW w:w="1276" w:type="dxa"/>
            <w:tcBorders>
              <w:top w:val="nil"/>
              <w:left w:val="single" w:sz="4" w:space="0" w:color="auto"/>
              <w:bottom w:val="single" w:sz="4" w:space="0" w:color="auto"/>
              <w:right w:val="single" w:sz="4" w:space="0" w:color="auto"/>
            </w:tcBorders>
          </w:tcPr>
          <w:p w14:paraId="23ED9128"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52.6</w:t>
            </w:r>
          </w:p>
        </w:tc>
        <w:tc>
          <w:tcPr>
            <w:tcW w:w="1168" w:type="dxa"/>
            <w:tcBorders>
              <w:top w:val="nil"/>
              <w:left w:val="single" w:sz="4" w:space="0" w:color="auto"/>
              <w:bottom w:val="single" w:sz="4" w:space="0" w:color="auto"/>
              <w:right w:val="single" w:sz="4" w:space="0" w:color="auto"/>
            </w:tcBorders>
          </w:tcPr>
          <w:p w14:paraId="6BE6806C" w14:textId="77777777" w:rsidR="007A7685" w:rsidRPr="007A7685" w:rsidRDefault="007A7685" w:rsidP="007A7685">
            <w:pPr>
              <w:jc w:val="center"/>
              <w:rPr>
                <w:rFonts w:eastAsia="Times New Roman"/>
                <w:noProof/>
                <w:sz w:val="20"/>
                <w:szCs w:val="20"/>
                <w:lang w:eastAsia="es-MX"/>
              </w:rPr>
            </w:pPr>
            <w:r w:rsidRPr="007A7685">
              <w:rPr>
                <w:rFonts w:eastAsia="Times New Roman"/>
                <w:noProof/>
                <w:sz w:val="20"/>
                <w:szCs w:val="20"/>
                <w:lang w:eastAsia="es-MX"/>
              </w:rPr>
              <w:t>53.0</w:t>
            </w:r>
          </w:p>
        </w:tc>
        <w:tc>
          <w:tcPr>
            <w:tcW w:w="1194" w:type="dxa"/>
            <w:tcBorders>
              <w:top w:val="nil"/>
              <w:left w:val="single" w:sz="4" w:space="0" w:color="auto"/>
              <w:bottom w:val="single" w:sz="4" w:space="0" w:color="auto"/>
              <w:right w:val="single" w:sz="4" w:space="0" w:color="auto"/>
            </w:tcBorders>
          </w:tcPr>
          <w:p w14:paraId="04D9A7B9" w14:textId="77777777" w:rsidR="007A7685" w:rsidRPr="007A7685" w:rsidRDefault="007A7685" w:rsidP="007A7685">
            <w:pPr>
              <w:ind w:right="340"/>
              <w:jc w:val="right"/>
              <w:rPr>
                <w:rFonts w:eastAsia="Times New Roman"/>
                <w:noProof/>
                <w:sz w:val="20"/>
                <w:szCs w:val="20"/>
                <w:lang w:eastAsia="es-MX"/>
              </w:rPr>
            </w:pPr>
            <w:r w:rsidRPr="007A7685">
              <w:rPr>
                <w:rFonts w:eastAsia="Times New Roman"/>
                <w:noProof/>
                <w:sz w:val="20"/>
                <w:szCs w:val="20"/>
                <w:lang w:eastAsia="es-MX"/>
              </w:rPr>
              <w:t>0.40</w:t>
            </w:r>
          </w:p>
        </w:tc>
        <w:tc>
          <w:tcPr>
            <w:tcW w:w="1499" w:type="dxa"/>
            <w:tcBorders>
              <w:top w:val="nil"/>
              <w:left w:val="single" w:sz="4" w:space="0" w:color="auto"/>
              <w:bottom w:val="single" w:sz="4" w:space="0" w:color="auto"/>
              <w:right w:val="single" w:sz="4" w:space="0" w:color="auto"/>
            </w:tcBorders>
          </w:tcPr>
          <w:p w14:paraId="2D041AAE" w14:textId="77777777" w:rsidR="007A7685" w:rsidRPr="007A7685" w:rsidRDefault="007A7685" w:rsidP="007A7685">
            <w:pPr>
              <w:ind w:right="113"/>
              <w:jc w:val="center"/>
              <w:rPr>
                <w:rFonts w:eastAsia="Times New Roman"/>
                <w:noProof/>
                <w:sz w:val="20"/>
                <w:szCs w:val="20"/>
                <w:lang w:eastAsia="es-MX"/>
              </w:rPr>
            </w:pPr>
            <w:r w:rsidRPr="007A7685">
              <w:rPr>
                <w:rFonts w:eastAsia="Times New Roman"/>
                <w:noProof/>
                <w:sz w:val="20"/>
                <w:szCs w:val="20"/>
                <w:lang w:eastAsia="es-MX"/>
              </w:rPr>
              <w:t>19 por arriba</w:t>
            </w:r>
          </w:p>
        </w:tc>
      </w:tr>
      <w:tr w:rsidR="007A7685" w:rsidRPr="007A7685" w14:paraId="6376DA46" w14:textId="77777777" w:rsidTr="00BA61DD">
        <w:tc>
          <w:tcPr>
            <w:tcW w:w="9214" w:type="dxa"/>
            <w:gridSpan w:val="5"/>
            <w:tcBorders>
              <w:left w:val="nil"/>
              <w:bottom w:val="nil"/>
              <w:right w:val="nil"/>
            </w:tcBorders>
          </w:tcPr>
          <w:p w14:paraId="0518E3E8"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Nota:</w:t>
            </w:r>
            <w:r w:rsidRPr="007A7685">
              <w:t xml:space="preserve"> </w:t>
            </w:r>
            <w:r w:rsidRPr="007A7685">
              <w:rPr>
                <w:rFonts w:eastAsia="Times New Roman"/>
                <w:noProof/>
                <w:sz w:val="20"/>
                <w:szCs w:val="20"/>
                <w:lang w:eastAsia="es-MX"/>
              </w:rPr>
              <w:t>Los indicadores se generan con los datos referidos al mes de la entrevista.</w:t>
            </w:r>
          </w:p>
          <w:p w14:paraId="26EBF221"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u w:val="single"/>
                <w:lang w:eastAsia="es-MX"/>
              </w:rPr>
              <w:t>1</w:t>
            </w:r>
            <w:r w:rsidRPr="007A7685">
              <w:rPr>
                <w:rFonts w:eastAsia="Times New Roman"/>
                <w:noProof/>
                <w:sz w:val="20"/>
                <w:szCs w:val="20"/>
                <w:lang w:eastAsia="es-MX"/>
              </w:rPr>
              <w:t>/ Las diferencias en puntos se obtienen de los respectivos indicadores considerando todos sus decimales.</w:t>
            </w:r>
          </w:p>
          <w:p w14:paraId="44B4B454" w14:textId="77777777" w:rsidR="007A7685" w:rsidRPr="007A7685" w:rsidRDefault="007A7685" w:rsidP="007A7685">
            <w:pPr>
              <w:jc w:val="both"/>
              <w:rPr>
                <w:rFonts w:eastAsia="Times New Roman"/>
                <w:noProof/>
                <w:sz w:val="20"/>
                <w:szCs w:val="20"/>
                <w:lang w:eastAsia="es-MX"/>
              </w:rPr>
            </w:pPr>
            <w:r w:rsidRPr="007A7685">
              <w:rPr>
                <w:rFonts w:eastAsia="Times New Roman"/>
                <w:noProof/>
                <w:sz w:val="20"/>
                <w:szCs w:val="20"/>
                <w:lang w:eastAsia="es-MX"/>
              </w:rPr>
              <w:t>FUENTE: INEGI.</w:t>
            </w:r>
          </w:p>
        </w:tc>
      </w:tr>
    </w:tbl>
    <w:p w14:paraId="61A08E83" w14:textId="77777777" w:rsidR="007A7685" w:rsidRPr="007A7685" w:rsidRDefault="007A7685" w:rsidP="007A7685">
      <w:pPr>
        <w:spacing w:after="360" w:line="360" w:lineRule="auto"/>
        <w:ind w:right="-159"/>
        <w:jc w:val="both"/>
        <w:rPr>
          <w:rFonts w:eastAsia="Times New Roman"/>
          <w:sz w:val="26"/>
          <w:szCs w:val="26"/>
        </w:rPr>
      </w:pPr>
    </w:p>
    <w:p w14:paraId="678824AF" w14:textId="77777777" w:rsidR="007A7685" w:rsidRP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Las siguientes gráficas muestran la evolución en los últimos años de las series desestacionalizadas y tendencias-ciclo de los componentes que integran el Indicador de Pedidos Manufactureros:</w:t>
      </w:r>
    </w:p>
    <w:tbl>
      <w:tblPr>
        <w:tblW w:w="0" w:type="auto"/>
        <w:tblLook w:val="04A0" w:firstRow="1" w:lastRow="0" w:firstColumn="1" w:lastColumn="0" w:noHBand="0" w:noVBand="1"/>
      </w:tblPr>
      <w:tblGrid>
        <w:gridCol w:w="8840"/>
      </w:tblGrid>
      <w:tr w:rsidR="007A7685" w:rsidRPr="007A7685" w14:paraId="704AC024" w14:textId="77777777" w:rsidTr="00BA61DD">
        <w:tc>
          <w:tcPr>
            <w:tcW w:w="8838" w:type="dxa"/>
          </w:tcPr>
          <w:p w14:paraId="6CF43965" w14:textId="77777777" w:rsidR="007A7685" w:rsidRPr="007A7685" w:rsidRDefault="007A7685" w:rsidP="007A7685">
            <w:pPr>
              <w:jc w:val="center"/>
              <w:rPr>
                <w:rFonts w:ascii="Calibri" w:eastAsia="Calibri" w:hAnsi="Calibri"/>
                <w:sz w:val="22"/>
                <w:szCs w:val="22"/>
                <w:lang w:eastAsia="en-US"/>
              </w:rPr>
            </w:pPr>
            <w:r w:rsidRPr="007A7685">
              <w:rPr>
                <w:rFonts w:ascii="Calibri" w:eastAsia="Calibri" w:hAnsi="Calibri"/>
                <w:sz w:val="22"/>
                <w:szCs w:val="22"/>
                <w:lang w:eastAsia="en-US"/>
              </w:rPr>
              <w:fldChar w:fldCharType="begin"/>
            </w:r>
            <w:r w:rsidRPr="007A7685">
              <w:rPr>
                <w:rFonts w:ascii="Calibri" w:eastAsia="Calibri" w:hAnsi="Calibri"/>
                <w:sz w:val="22"/>
                <w:szCs w:val="22"/>
                <w:lang w:eastAsia="en-US"/>
              </w:rPr>
              <w:instrText xml:space="preserve"> LINK PowerPoint.Slide.8 "D:\\2015\\ABRIL\\GRÁFICAS POWER POINT\\15.- GRÁFICAS DEL INDICADOR DE PEDIDOS MANUFACTUREROS.pptx!258" "" \a \p </w:instrText>
            </w:r>
            <w:r w:rsidRPr="007A7685">
              <w:rPr>
                <w:rFonts w:ascii="Calibri" w:eastAsia="Calibri" w:hAnsi="Calibri"/>
                <w:sz w:val="22"/>
                <w:szCs w:val="22"/>
                <w:lang w:eastAsia="en-US"/>
              </w:rPr>
              <w:fldChar w:fldCharType="separate"/>
            </w:r>
            <w:r w:rsidRPr="007A7685">
              <w:rPr>
                <w:rFonts w:ascii="Calibri" w:eastAsia="Calibri" w:hAnsi="Calibri"/>
                <w:noProof/>
                <w:sz w:val="22"/>
                <w:szCs w:val="22"/>
                <w:lang w:eastAsia="es-MX"/>
              </w:rPr>
              <w:drawing>
                <wp:inline distT="0" distB="0" distL="0" distR="0" wp14:anchorId="2779ADF2" wp14:editId="0212D9FC">
                  <wp:extent cx="5480050" cy="2446655"/>
                  <wp:effectExtent l="0" t="0" r="6350" b="0"/>
                  <wp:docPr id="1666" name="Imagen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11" cstate="print">
                            <a:extLst>
                              <a:ext uri="{28A0092B-C50C-407E-A947-70E740481C1C}">
                                <a14:useLocalDpi xmlns:a14="http://schemas.microsoft.com/office/drawing/2010/main" val="0"/>
                              </a:ext>
                            </a:extLst>
                          </a:blip>
                          <a:srcRect l="3130" t="6389" r="6886" b="22223"/>
                          <a:stretch>
                            <a:fillRect/>
                          </a:stretch>
                        </pic:blipFill>
                        <pic:spPr bwMode="auto">
                          <a:xfrm>
                            <a:off x="0" y="0"/>
                            <a:ext cx="5480050" cy="2446655"/>
                          </a:xfrm>
                          <a:prstGeom prst="rect">
                            <a:avLst/>
                          </a:prstGeom>
                          <a:noFill/>
                          <a:ln>
                            <a:noFill/>
                          </a:ln>
                        </pic:spPr>
                      </pic:pic>
                    </a:graphicData>
                  </a:graphic>
                </wp:inline>
              </w:drawing>
            </w:r>
            <w:r w:rsidRPr="007A7685">
              <w:rPr>
                <w:rFonts w:ascii="Calibri" w:eastAsia="Calibri" w:hAnsi="Calibri"/>
                <w:sz w:val="22"/>
                <w:szCs w:val="22"/>
                <w:lang w:eastAsia="en-US"/>
              </w:rPr>
              <w:fldChar w:fldCharType="end"/>
            </w:r>
          </w:p>
        </w:tc>
      </w:tr>
      <w:tr w:rsidR="007A7685" w:rsidRPr="007A7685" w14:paraId="41ABC127" w14:textId="77777777" w:rsidTr="00BA61DD">
        <w:tc>
          <w:tcPr>
            <w:tcW w:w="8838" w:type="dxa"/>
          </w:tcPr>
          <w:p w14:paraId="7EBA0702" w14:textId="77777777" w:rsidR="007A7685" w:rsidRPr="007A7685" w:rsidRDefault="007A7685" w:rsidP="007A7685">
            <w:pPr>
              <w:jc w:val="center"/>
              <w:rPr>
                <w:rFonts w:ascii="Calibri" w:eastAsia="Calibri" w:hAnsi="Calibri"/>
                <w:sz w:val="22"/>
                <w:szCs w:val="22"/>
                <w:lang w:eastAsia="en-US"/>
              </w:rPr>
            </w:pPr>
            <w:r w:rsidRPr="007A7685">
              <w:rPr>
                <w:rFonts w:ascii="Calibri" w:eastAsia="Calibri" w:hAnsi="Calibri"/>
                <w:sz w:val="22"/>
                <w:szCs w:val="22"/>
                <w:lang w:eastAsia="en-US"/>
              </w:rPr>
              <w:lastRenderedPageBreak/>
              <w:fldChar w:fldCharType="begin"/>
            </w:r>
            <w:r w:rsidRPr="007A7685">
              <w:rPr>
                <w:rFonts w:ascii="Calibri" w:eastAsia="Calibri" w:hAnsi="Calibri"/>
                <w:sz w:val="22"/>
                <w:szCs w:val="22"/>
                <w:lang w:eastAsia="en-US"/>
              </w:rPr>
              <w:instrText xml:space="preserve"> LINK PowerPoint.Slide.8 "D:\\2015\\ABRIL\\GRÁFICAS POWER POINT\\15.- GRÁFICAS DEL INDICADOR DE PEDIDOS MANUFACTUREROS.pptx!271" "" \a \p </w:instrText>
            </w:r>
            <w:r w:rsidRPr="007A7685">
              <w:rPr>
                <w:rFonts w:ascii="Calibri" w:eastAsia="Calibri" w:hAnsi="Calibri"/>
                <w:sz w:val="22"/>
                <w:szCs w:val="22"/>
                <w:lang w:eastAsia="en-US"/>
              </w:rPr>
              <w:fldChar w:fldCharType="separate"/>
            </w:r>
            <w:r w:rsidRPr="007A7685">
              <w:rPr>
                <w:rFonts w:ascii="Calibri" w:eastAsia="Calibri" w:hAnsi="Calibri"/>
                <w:noProof/>
                <w:sz w:val="22"/>
                <w:szCs w:val="22"/>
                <w:lang w:eastAsia="es-MX"/>
              </w:rPr>
              <w:drawing>
                <wp:inline distT="0" distB="0" distL="0" distR="0" wp14:anchorId="28414D73" wp14:editId="6C44F165">
                  <wp:extent cx="5467985" cy="2168525"/>
                  <wp:effectExtent l="0" t="0" r="0" b="3175"/>
                  <wp:docPr id="1667" name="Imagen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12" cstate="print">
                            <a:extLst>
                              <a:ext uri="{28A0092B-C50C-407E-A947-70E740481C1C}">
                                <a14:useLocalDpi xmlns:a14="http://schemas.microsoft.com/office/drawing/2010/main" val="0"/>
                              </a:ext>
                            </a:extLst>
                          </a:blip>
                          <a:srcRect l="3442" t="14722" r="6729" b="21945"/>
                          <a:stretch>
                            <a:fillRect/>
                          </a:stretch>
                        </pic:blipFill>
                        <pic:spPr bwMode="auto">
                          <a:xfrm>
                            <a:off x="0" y="0"/>
                            <a:ext cx="5467985" cy="2168525"/>
                          </a:xfrm>
                          <a:prstGeom prst="rect">
                            <a:avLst/>
                          </a:prstGeom>
                          <a:noFill/>
                          <a:ln>
                            <a:noFill/>
                          </a:ln>
                        </pic:spPr>
                      </pic:pic>
                    </a:graphicData>
                  </a:graphic>
                </wp:inline>
              </w:drawing>
            </w:r>
            <w:r w:rsidRPr="007A7685">
              <w:rPr>
                <w:rFonts w:ascii="Calibri" w:eastAsia="Calibri" w:hAnsi="Calibri"/>
                <w:sz w:val="22"/>
                <w:szCs w:val="22"/>
                <w:lang w:eastAsia="en-US"/>
              </w:rPr>
              <w:fldChar w:fldCharType="end"/>
            </w:r>
          </w:p>
        </w:tc>
      </w:tr>
      <w:tr w:rsidR="007A7685" w:rsidRPr="007A7685" w14:paraId="1122EDDA" w14:textId="77777777" w:rsidTr="00BA61DD">
        <w:tc>
          <w:tcPr>
            <w:tcW w:w="8838" w:type="dxa"/>
          </w:tcPr>
          <w:p w14:paraId="751DBE85" w14:textId="77777777" w:rsidR="007A7685" w:rsidRPr="007A7685" w:rsidRDefault="007A7685" w:rsidP="007A7685">
            <w:pPr>
              <w:jc w:val="center"/>
              <w:rPr>
                <w:rFonts w:ascii="Calibri" w:eastAsia="Calibri" w:hAnsi="Calibri"/>
                <w:sz w:val="22"/>
                <w:szCs w:val="22"/>
                <w:lang w:eastAsia="en-US"/>
              </w:rPr>
            </w:pPr>
            <w:r w:rsidRPr="007A7685">
              <w:rPr>
                <w:rFonts w:ascii="Calibri" w:eastAsia="Calibri" w:hAnsi="Calibri"/>
                <w:sz w:val="22"/>
                <w:szCs w:val="22"/>
                <w:lang w:eastAsia="en-US"/>
              </w:rPr>
              <w:fldChar w:fldCharType="begin"/>
            </w:r>
            <w:r w:rsidRPr="007A7685">
              <w:rPr>
                <w:rFonts w:ascii="Calibri" w:eastAsia="Calibri" w:hAnsi="Calibri"/>
                <w:sz w:val="22"/>
                <w:szCs w:val="22"/>
                <w:lang w:eastAsia="en-US"/>
              </w:rPr>
              <w:instrText xml:space="preserve"> LINK PowerPoint.Slide.8 "D:\\2015\\ABRIL\\GRÁFICAS POWER POINT\\15.- GRÁFICAS DEL INDICADOR DE PEDIDOS MANUFACTUREROS.pptx!272" "" \a \p </w:instrText>
            </w:r>
            <w:r w:rsidRPr="007A7685">
              <w:rPr>
                <w:rFonts w:ascii="Calibri" w:eastAsia="Calibri" w:hAnsi="Calibri"/>
                <w:sz w:val="22"/>
                <w:szCs w:val="22"/>
                <w:lang w:eastAsia="en-US"/>
              </w:rPr>
              <w:fldChar w:fldCharType="separate"/>
            </w:r>
            <w:r w:rsidRPr="007A7685">
              <w:rPr>
                <w:rFonts w:ascii="Calibri" w:eastAsia="Calibri" w:hAnsi="Calibri"/>
                <w:noProof/>
                <w:sz w:val="22"/>
                <w:szCs w:val="22"/>
                <w:lang w:eastAsia="es-MX"/>
              </w:rPr>
              <w:drawing>
                <wp:inline distT="0" distB="0" distL="0" distR="0" wp14:anchorId="2BED9E83" wp14:editId="55E6D3F1">
                  <wp:extent cx="5183505" cy="2421890"/>
                  <wp:effectExtent l="0" t="0" r="0" b="0"/>
                  <wp:docPr id="1668" name="Imagen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13" cstate="print">
                            <a:extLst>
                              <a:ext uri="{28A0092B-C50C-407E-A947-70E740481C1C}">
                                <a14:useLocalDpi xmlns:a14="http://schemas.microsoft.com/office/drawing/2010/main" val="0"/>
                              </a:ext>
                            </a:extLst>
                          </a:blip>
                          <a:srcRect l="5791" t="15834" r="9076" b="13611"/>
                          <a:stretch>
                            <a:fillRect/>
                          </a:stretch>
                        </pic:blipFill>
                        <pic:spPr bwMode="auto">
                          <a:xfrm>
                            <a:off x="0" y="0"/>
                            <a:ext cx="5183505" cy="2421890"/>
                          </a:xfrm>
                          <a:prstGeom prst="rect">
                            <a:avLst/>
                          </a:prstGeom>
                          <a:noFill/>
                          <a:ln>
                            <a:noFill/>
                          </a:ln>
                        </pic:spPr>
                      </pic:pic>
                    </a:graphicData>
                  </a:graphic>
                </wp:inline>
              </w:drawing>
            </w:r>
            <w:r w:rsidRPr="007A7685">
              <w:rPr>
                <w:rFonts w:ascii="Calibri" w:eastAsia="Calibri" w:hAnsi="Calibri"/>
                <w:sz w:val="22"/>
                <w:szCs w:val="22"/>
                <w:lang w:eastAsia="en-US"/>
              </w:rPr>
              <w:fldChar w:fldCharType="end"/>
            </w:r>
          </w:p>
        </w:tc>
      </w:tr>
    </w:tbl>
    <w:p w14:paraId="040B8FA7" w14:textId="77777777" w:rsidR="007A7685" w:rsidRPr="007A7685" w:rsidRDefault="007A7685" w:rsidP="007A7685">
      <w:pPr>
        <w:spacing w:after="360" w:line="360" w:lineRule="auto"/>
        <w:ind w:right="-159"/>
        <w:jc w:val="center"/>
        <w:rPr>
          <w:rFonts w:eastAsia="Times New Roman"/>
          <w:sz w:val="26"/>
          <w:szCs w:val="26"/>
        </w:rPr>
      </w:pPr>
    </w:p>
    <w:p w14:paraId="4A92A9C6" w14:textId="77777777" w:rsidR="007A7685" w:rsidRP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En su serie original, en marzo de 2015, el Indicador de Pedidos Manufactureros se ubicó en 53 puntos, lo que significó una caída de 0.8 puntos respecto al nivel observado en el mismo mes de 2014.</w:t>
      </w:r>
    </w:p>
    <w:p w14:paraId="7787DBEE" w14:textId="77777777" w:rsidR="007A7685" w:rsidRPr="007A7685" w:rsidRDefault="007A7685" w:rsidP="007A7685">
      <w:pPr>
        <w:spacing w:after="360" w:line="360" w:lineRule="auto"/>
        <w:ind w:right="-159"/>
        <w:jc w:val="center"/>
        <w:rPr>
          <w:rFonts w:eastAsia="Times New Roman"/>
          <w:sz w:val="26"/>
          <w:szCs w:val="26"/>
        </w:rPr>
      </w:pPr>
      <w:r w:rsidRPr="007A7685">
        <w:lastRenderedPageBreak/>
        <w:fldChar w:fldCharType="begin"/>
      </w:r>
      <w:r w:rsidRPr="007A7685">
        <w:instrText xml:space="preserve"> LINK PowerPoint.Slide.8 "D:\\2015\\ABRIL\\GRÁFICAS POWER POINT\\15.- GRÁFICAS DEL INDICADOR DE PEDIDOS MANUFACTUREROS.pptx!263" "" \a \p </w:instrText>
      </w:r>
      <w:r w:rsidRPr="007A7685">
        <w:fldChar w:fldCharType="separate"/>
      </w:r>
      <w:r w:rsidRPr="007A7685">
        <w:rPr>
          <w:noProof/>
          <w:lang w:eastAsia="es-MX"/>
        </w:rPr>
        <w:drawing>
          <wp:inline distT="0" distB="0" distL="0" distR="0" wp14:anchorId="135DA1EA" wp14:editId="0A194DED">
            <wp:extent cx="4646295" cy="3107690"/>
            <wp:effectExtent l="0" t="0" r="1905" b="0"/>
            <wp:docPr id="1669" name="Imagen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14" cstate="print">
                      <a:extLst>
                        <a:ext uri="{28A0092B-C50C-407E-A947-70E740481C1C}">
                          <a14:useLocalDpi xmlns:a14="http://schemas.microsoft.com/office/drawing/2010/main" val="0"/>
                        </a:ext>
                      </a:extLst>
                    </a:blip>
                    <a:srcRect l="12520" t="2777" r="11111" b="6667"/>
                    <a:stretch>
                      <a:fillRect/>
                    </a:stretch>
                  </pic:blipFill>
                  <pic:spPr bwMode="auto">
                    <a:xfrm>
                      <a:off x="0" y="0"/>
                      <a:ext cx="4646295" cy="3107690"/>
                    </a:xfrm>
                    <a:prstGeom prst="rect">
                      <a:avLst/>
                    </a:prstGeom>
                    <a:noFill/>
                    <a:ln>
                      <a:noFill/>
                    </a:ln>
                  </pic:spPr>
                </pic:pic>
              </a:graphicData>
            </a:graphic>
          </wp:inline>
        </w:drawing>
      </w:r>
      <w:r w:rsidRPr="007A7685">
        <w:fldChar w:fldCharType="end"/>
      </w:r>
    </w:p>
    <w:p w14:paraId="320D32D9" w14:textId="77777777" w:rsidR="007A7685" w:rsidRPr="007A7685" w:rsidRDefault="007A7685" w:rsidP="007A7685">
      <w:pPr>
        <w:spacing w:after="360" w:line="360" w:lineRule="auto"/>
        <w:ind w:right="-159"/>
        <w:jc w:val="both"/>
        <w:rPr>
          <w:rFonts w:eastAsia="Times New Roman"/>
          <w:sz w:val="26"/>
          <w:szCs w:val="26"/>
        </w:rPr>
      </w:pPr>
      <w:r w:rsidRPr="007A7685">
        <w:rPr>
          <w:rFonts w:eastAsia="Times New Roman"/>
          <w:sz w:val="26"/>
          <w:szCs w:val="26"/>
        </w:rPr>
        <w:t>En marzo de este año, tres de los cinco componentes que integran el IPM reportaron reducciones anuales con cifras originales, en tanto que los dos subíndices restantes mostraron aumentos frente a los niveles alcanzados en marzo de 2014.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6"/>
        <w:gridCol w:w="1080"/>
        <w:gridCol w:w="1080"/>
        <w:gridCol w:w="1244"/>
      </w:tblGrid>
      <w:tr w:rsidR="007A7685" w:rsidRPr="007A7685" w14:paraId="7879A977" w14:textId="77777777" w:rsidTr="00BA61DD">
        <w:trPr>
          <w:jc w:val="center"/>
        </w:trPr>
        <w:tc>
          <w:tcPr>
            <w:tcW w:w="8250" w:type="dxa"/>
            <w:gridSpan w:val="4"/>
            <w:tcBorders>
              <w:top w:val="nil"/>
              <w:left w:val="nil"/>
              <w:right w:val="nil"/>
            </w:tcBorders>
          </w:tcPr>
          <w:p w14:paraId="3F646C33" w14:textId="77777777" w:rsidR="007A7685" w:rsidRPr="007A7685" w:rsidRDefault="007A7685" w:rsidP="007A7685">
            <w:pPr>
              <w:jc w:val="center"/>
              <w:rPr>
                <w:rFonts w:eastAsia="Times New Roman"/>
                <w:b/>
                <w:sz w:val="22"/>
                <w:szCs w:val="22"/>
              </w:rPr>
            </w:pPr>
            <w:r w:rsidRPr="007A7685">
              <w:rPr>
                <w:rFonts w:eastAsia="Times New Roman"/>
                <w:b/>
                <w:sz w:val="22"/>
                <w:szCs w:val="22"/>
              </w:rPr>
              <w:t>COMPONENTES DEL INDICADOR DE PEDIDOS MANUFACTUREROS</w:t>
            </w:r>
          </w:p>
          <w:p w14:paraId="0A97B14E" w14:textId="77777777" w:rsidR="007A7685" w:rsidRPr="007A7685" w:rsidRDefault="007A7685" w:rsidP="007A7685">
            <w:pPr>
              <w:jc w:val="center"/>
              <w:rPr>
                <w:rFonts w:eastAsia="Times New Roman"/>
                <w:b/>
                <w:sz w:val="20"/>
                <w:szCs w:val="20"/>
              </w:rPr>
            </w:pPr>
            <w:r w:rsidRPr="007A7685">
              <w:rPr>
                <w:rFonts w:eastAsia="Times New Roman"/>
                <w:b/>
                <w:sz w:val="22"/>
                <w:szCs w:val="22"/>
              </w:rPr>
              <w:t>CIFRAS ORIGINALES</w:t>
            </w:r>
          </w:p>
        </w:tc>
      </w:tr>
      <w:tr w:rsidR="007A7685" w:rsidRPr="007A7685" w14:paraId="6A41C638" w14:textId="77777777" w:rsidTr="00BA61DD">
        <w:trPr>
          <w:jc w:val="center"/>
        </w:trPr>
        <w:tc>
          <w:tcPr>
            <w:tcW w:w="4846" w:type="dxa"/>
            <w:vMerge w:val="restart"/>
            <w:vAlign w:val="center"/>
          </w:tcPr>
          <w:p w14:paraId="6E6739E8" w14:textId="77777777" w:rsidR="007A7685" w:rsidRPr="007A7685" w:rsidRDefault="007A7685" w:rsidP="007A7685">
            <w:pPr>
              <w:jc w:val="center"/>
              <w:rPr>
                <w:rFonts w:eastAsia="Times New Roman"/>
                <w:b/>
                <w:sz w:val="20"/>
                <w:szCs w:val="20"/>
              </w:rPr>
            </w:pPr>
            <w:r w:rsidRPr="007A7685">
              <w:rPr>
                <w:rFonts w:eastAsia="Times New Roman"/>
                <w:b/>
                <w:sz w:val="20"/>
                <w:szCs w:val="20"/>
              </w:rPr>
              <w:t>Indicadores</w:t>
            </w:r>
          </w:p>
        </w:tc>
        <w:tc>
          <w:tcPr>
            <w:tcW w:w="2160" w:type="dxa"/>
            <w:gridSpan w:val="2"/>
          </w:tcPr>
          <w:p w14:paraId="092566E8" w14:textId="77777777" w:rsidR="007A7685" w:rsidRPr="007A7685" w:rsidRDefault="007A7685" w:rsidP="007A7685">
            <w:pPr>
              <w:jc w:val="center"/>
              <w:rPr>
                <w:rFonts w:eastAsia="Times New Roman"/>
                <w:b/>
                <w:sz w:val="20"/>
                <w:szCs w:val="20"/>
              </w:rPr>
            </w:pPr>
            <w:r w:rsidRPr="007A7685">
              <w:rPr>
                <w:rFonts w:eastAsia="Times New Roman"/>
                <w:b/>
                <w:sz w:val="20"/>
                <w:szCs w:val="20"/>
              </w:rPr>
              <w:t>Marzo</w:t>
            </w:r>
          </w:p>
        </w:tc>
        <w:tc>
          <w:tcPr>
            <w:tcW w:w="1244" w:type="dxa"/>
            <w:vMerge w:val="restart"/>
          </w:tcPr>
          <w:p w14:paraId="7AE97BDD" w14:textId="77777777" w:rsidR="007A7685" w:rsidRPr="007A7685" w:rsidRDefault="007A7685" w:rsidP="007A7685">
            <w:pPr>
              <w:jc w:val="center"/>
              <w:rPr>
                <w:rFonts w:eastAsia="Times New Roman"/>
                <w:b/>
                <w:sz w:val="20"/>
                <w:szCs w:val="20"/>
              </w:rPr>
            </w:pPr>
            <w:r w:rsidRPr="007A7685">
              <w:rPr>
                <w:rFonts w:eastAsia="Times New Roman"/>
                <w:b/>
                <w:sz w:val="20"/>
                <w:szCs w:val="20"/>
              </w:rPr>
              <w:t>Diferencia en puntos</w:t>
            </w:r>
            <w:r w:rsidRPr="007A7685">
              <w:rPr>
                <w:rFonts w:eastAsia="Times New Roman"/>
                <w:b/>
                <w:sz w:val="20"/>
                <w:szCs w:val="20"/>
                <w:u w:val="single"/>
                <w:vertAlign w:val="superscript"/>
              </w:rPr>
              <w:t>1</w:t>
            </w:r>
            <w:r w:rsidRPr="007A7685">
              <w:rPr>
                <w:rFonts w:eastAsia="Times New Roman"/>
                <w:b/>
                <w:sz w:val="20"/>
                <w:szCs w:val="20"/>
                <w:vertAlign w:val="superscript"/>
              </w:rPr>
              <w:t>/</w:t>
            </w:r>
          </w:p>
        </w:tc>
      </w:tr>
      <w:tr w:rsidR="007A7685" w:rsidRPr="007A7685" w14:paraId="72342652" w14:textId="77777777" w:rsidTr="00BA61DD">
        <w:trPr>
          <w:jc w:val="center"/>
        </w:trPr>
        <w:tc>
          <w:tcPr>
            <w:tcW w:w="4846" w:type="dxa"/>
            <w:vMerge/>
            <w:tcBorders>
              <w:bottom w:val="single" w:sz="4" w:space="0" w:color="auto"/>
            </w:tcBorders>
          </w:tcPr>
          <w:p w14:paraId="785E32C6" w14:textId="77777777" w:rsidR="007A7685" w:rsidRPr="007A7685" w:rsidRDefault="007A7685" w:rsidP="007A7685">
            <w:pPr>
              <w:rPr>
                <w:rFonts w:eastAsia="Times New Roman"/>
                <w:b/>
                <w:sz w:val="20"/>
                <w:szCs w:val="20"/>
              </w:rPr>
            </w:pPr>
          </w:p>
        </w:tc>
        <w:tc>
          <w:tcPr>
            <w:tcW w:w="1080" w:type="dxa"/>
            <w:tcBorders>
              <w:bottom w:val="single" w:sz="4" w:space="0" w:color="auto"/>
            </w:tcBorders>
          </w:tcPr>
          <w:p w14:paraId="50CECD5D" w14:textId="77777777" w:rsidR="007A7685" w:rsidRPr="007A7685" w:rsidRDefault="007A7685" w:rsidP="007A7685">
            <w:pPr>
              <w:jc w:val="center"/>
              <w:rPr>
                <w:rFonts w:eastAsia="Times New Roman"/>
                <w:b/>
                <w:sz w:val="20"/>
                <w:szCs w:val="20"/>
              </w:rPr>
            </w:pPr>
            <w:r w:rsidRPr="007A7685">
              <w:rPr>
                <w:rFonts w:eastAsia="Times New Roman"/>
                <w:b/>
                <w:sz w:val="20"/>
                <w:szCs w:val="20"/>
              </w:rPr>
              <w:t>2014</w:t>
            </w:r>
          </w:p>
        </w:tc>
        <w:tc>
          <w:tcPr>
            <w:tcW w:w="1080" w:type="dxa"/>
            <w:tcBorders>
              <w:bottom w:val="single" w:sz="4" w:space="0" w:color="auto"/>
            </w:tcBorders>
          </w:tcPr>
          <w:p w14:paraId="28A9574E" w14:textId="77777777" w:rsidR="007A7685" w:rsidRPr="007A7685" w:rsidRDefault="007A7685" w:rsidP="007A7685">
            <w:pPr>
              <w:jc w:val="center"/>
              <w:rPr>
                <w:rFonts w:eastAsia="Times New Roman"/>
                <w:b/>
                <w:sz w:val="20"/>
                <w:szCs w:val="20"/>
              </w:rPr>
            </w:pPr>
            <w:r w:rsidRPr="007A7685">
              <w:rPr>
                <w:rFonts w:eastAsia="Times New Roman"/>
                <w:b/>
                <w:sz w:val="20"/>
                <w:szCs w:val="20"/>
              </w:rPr>
              <w:t>2015</w:t>
            </w:r>
            <w:r w:rsidRPr="007A7685">
              <w:rPr>
                <w:rFonts w:eastAsia="Times New Roman"/>
                <w:b/>
                <w:sz w:val="20"/>
                <w:szCs w:val="20"/>
                <w:u w:val="single"/>
                <w:vertAlign w:val="superscript"/>
              </w:rPr>
              <w:t>p</w:t>
            </w:r>
            <w:r w:rsidRPr="007A7685">
              <w:rPr>
                <w:rFonts w:eastAsia="Times New Roman"/>
                <w:b/>
                <w:sz w:val="20"/>
                <w:szCs w:val="20"/>
                <w:vertAlign w:val="superscript"/>
              </w:rPr>
              <w:t>/</w:t>
            </w:r>
          </w:p>
        </w:tc>
        <w:tc>
          <w:tcPr>
            <w:tcW w:w="1244" w:type="dxa"/>
            <w:vMerge/>
            <w:tcBorders>
              <w:bottom w:val="single" w:sz="4" w:space="0" w:color="auto"/>
            </w:tcBorders>
          </w:tcPr>
          <w:p w14:paraId="0387221B" w14:textId="77777777" w:rsidR="007A7685" w:rsidRPr="007A7685" w:rsidRDefault="007A7685" w:rsidP="007A7685">
            <w:pPr>
              <w:jc w:val="center"/>
              <w:rPr>
                <w:rFonts w:eastAsia="Times New Roman"/>
                <w:b/>
                <w:sz w:val="20"/>
                <w:szCs w:val="20"/>
              </w:rPr>
            </w:pPr>
          </w:p>
        </w:tc>
      </w:tr>
      <w:tr w:rsidR="007A7685" w:rsidRPr="007A7685" w14:paraId="4848734F" w14:textId="77777777" w:rsidTr="00BA61DD">
        <w:trPr>
          <w:jc w:val="center"/>
        </w:trPr>
        <w:tc>
          <w:tcPr>
            <w:tcW w:w="4846" w:type="dxa"/>
            <w:tcBorders>
              <w:bottom w:val="nil"/>
            </w:tcBorders>
          </w:tcPr>
          <w:p w14:paraId="55AF00B0" w14:textId="77777777" w:rsidR="007A7685" w:rsidRPr="007A7685" w:rsidRDefault="007A7685" w:rsidP="007A7685">
            <w:pPr>
              <w:rPr>
                <w:rFonts w:eastAsia="Times New Roman"/>
                <w:b/>
                <w:sz w:val="20"/>
                <w:szCs w:val="20"/>
              </w:rPr>
            </w:pPr>
            <w:r w:rsidRPr="007A7685">
              <w:rPr>
                <w:rFonts w:eastAsia="Times New Roman"/>
                <w:b/>
                <w:sz w:val="20"/>
                <w:szCs w:val="20"/>
              </w:rPr>
              <w:t>Indicador de Pedidos Manufactureros</w:t>
            </w:r>
          </w:p>
        </w:tc>
        <w:tc>
          <w:tcPr>
            <w:tcW w:w="1080" w:type="dxa"/>
            <w:tcBorders>
              <w:bottom w:val="nil"/>
            </w:tcBorders>
          </w:tcPr>
          <w:p w14:paraId="35BA452B" w14:textId="77777777" w:rsidR="007A7685" w:rsidRPr="007A7685" w:rsidRDefault="007A7685" w:rsidP="007A7685">
            <w:pPr>
              <w:jc w:val="center"/>
              <w:rPr>
                <w:rFonts w:eastAsia="Times New Roman"/>
                <w:b/>
                <w:sz w:val="20"/>
                <w:szCs w:val="20"/>
              </w:rPr>
            </w:pPr>
            <w:r w:rsidRPr="007A7685">
              <w:rPr>
                <w:rFonts w:eastAsia="Times New Roman"/>
                <w:b/>
                <w:sz w:val="20"/>
                <w:szCs w:val="20"/>
              </w:rPr>
              <w:t>53.7</w:t>
            </w:r>
          </w:p>
        </w:tc>
        <w:tc>
          <w:tcPr>
            <w:tcW w:w="1080" w:type="dxa"/>
            <w:tcBorders>
              <w:bottom w:val="nil"/>
            </w:tcBorders>
          </w:tcPr>
          <w:p w14:paraId="45FC454F" w14:textId="77777777" w:rsidR="007A7685" w:rsidRPr="007A7685" w:rsidRDefault="007A7685" w:rsidP="007A7685">
            <w:pPr>
              <w:jc w:val="center"/>
              <w:rPr>
                <w:rFonts w:eastAsia="Times New Roman"/>
                <w:b/>
                <w:sz w:val="20"/>
                <w:szCs w:val="20"/>
              </w:rPr>
            </w:pPr>
            <w:r w:rsidRPr="007A7685">
              <w:rPr>
                <w:rFonts w:eastAsia="Times New Roman"/>
                <w:b/>
                <w:sz w:val="20"/>
                <w:szCs w:val="20"/>
              </w:rPr>
              <w:t>53.0</w:t>
            </w:r>
          </w:p>
        </w:tc>
        <w:tc>
          <w:tcPr>
            <w:tcW w:w="1244" w:type="dxa"/>
            <w:tcBorders>
              <w:bottom w:val="nil"/>
            </w:tcBorders>
          </w:tcPr>
          <w:p w14:paraId="79FBB47F" w14:textId="77777777" w:rsidR="007A7685" w:rsidRPr="007A7685" w:rsidRDefault="007A7685" w:rsidP="007A7685">
            <w:pPr>
              <w:ind w:right="397"/>
              <w:jc w:val="right"/>
              <w:rPr>
                <w:rFonts w:eastAsia="Times New Roman"/>
                <w:b/>
                <w:sz w:val="20"/>
                <w:szCs w:val="20"/>
              </w:rPr>
            </w:pPr>
            <w:r w:rsidRPr="007A7685">
              <w:rPr>
                <w:rFonts w:eastAsia="Times New Roman"/>
                <w:b/>
                <w:sz w:val="20"/>
                <w:szCs w:val="20"/>
              </w:rPr>
              <w:t>-0.8</w:t>
            </w:r>
          </w:p>
        </w:tc>
      </w:tr>
      <w:tr w:rsidR="007A7685" w:rsidRPr="007A7685" w14:paraId="7F4073D8" w14:textId="77777777" w:rsidTr="00BA61DD">
        <w:trPr>
          <w:jc w:val="center"/>
        </w:trPr>
        <w:tc>
          <w:tcPr>
            <w:tcW w:w="4846" w:type="dxa"/>
            <w:tcBorders>
              <w:top w:val="nil"/>
              <w:bottom w:val="nil"/>
            </w:tcBorders>
          </w:tcPr>
          <w:p w14:paraId="1E7C6B41" w14:textId="77777777" w:rsidR="007A7685" w:rsidRPr="007A7685" w:rsidRDefault="007A7685" w:rsidP="007A7685">
            <w:pPr>
              <w:ind w:left="113"/>
              <w:rPr>
                <w:rFonts w:eastAsia="Times New Roman"/>
                <w:sz w:val="20"/>
                <w:szCs w:val="20"/>
              </w:rPr>
            </w:pPr>
            <w:r w:rsidRPr="007A7685">
              <w:rPr>
                <w:rFonts w:eastAsia="Times New Roman"/>
                <w:sz w:val="20"/>
                <w:szCs w:val="20"/>
              </w:rPr>
              <w:t>a) Pedidos</w:t>
            </w:r>
          </w:p>
        </w:tc>
        <w:tc>
          <w:tcPr>
            <w:tcW w:w="1080" w:type="dxa"/>
            <w:tcBorders>
              <w:top w:val="nil"/>
              <w:bottom w:val="nil"/>
            </w:tcBorders>
          </w:tcPr>
          <w:p w14:paraId="262B5004" w14:textId="77777777" w:rsidR="007A7685" w:rsidRPr="007A7685" w:rsidRDefault="007A7685" w:rsidP="007A7685">
            <w:pPr>
              <w:jc w:val="center"/>
              <w:rPr>
                <w:rFonts w:eastAsia="Times New Roman"/>
                <w:sz w:val="20"/>
                <w:szCs w:val="20"/>
              </w:rPr>
            </w:pPr>
            <w:r w:rsidRPr="007A7685">
              <w:rPr>
                <w:rFonts w:eastAsia="Times New Roman"/>
                <w:sz w:val="20"/>
                <w:szCs w:val="20"/>
              </w:rPr>
              <w:t>56.3</w:t>
            </w:r>
          </w:p>
        </w:tc>
        <w:tc>
          <w:tcPr>
            <w:tcW w:w="1080" w:type="dxa"/>
            <w:tcBorders>
              <w:top w:val="nil"/>
              <w:bottom w:val="nil"/>
            </w:tcBorders>
          </w:tcPr>
          <w:p w14:paraId="66A97428" w14:textId="77777777" w:rsidR="007A7685" w:rsidRPr="007A7685" w:rsidRDefault="007A7685" w:rsidP="007A7685">
            <w:pPr>
              <w:jc w:val="center"/>
              <w:rPr>
                <w:rFonts w:eastAsia="Times New Roman"/>
                <w:sz w:val="20"/>
                <w:szCs w:val="20"/>
              </w:rPr>
            </w:pPr>
            <w:r w:rsidRPr="007A7685">
              <w:rPr>
                <w:rFonts w:eastAsia="Times New Roman"/>
                <w:sz w:val="20"/>
                <w:szCs w:val="20"/>
              </w:rPr>
              <w:t>55.0</w:t>
            </w:r>
          </w:p>
        </w:tc>
        <w:tc>
          <w:tcPr>
            <w:tcW w:w="1244" w:type="dxa"/>
            <w:tcBorders>
              <w:top w:val="nil"/>
              <w:bottom w:val="nil"/>
            </w:tcBorders>
          </w:tcPr>
          <w:p w14:paraId="0DDA000C" w14:textId="77777777" w:rsidR="007A7685" w:rsidRPr="007A7685" w:rsidRDefault="007A7685" w:rsidP="007A7685">
            <w:pPr>
              <w:ind w:right="397"/>
              <w:jc w:val="right"/>
              <w:rPr>
                <w:rFonts w:eastAsia="Times New Roman"/>
                <w:sz w:val="20"/>
                <w:szCs w:val="20"/>
              </w:rPr>
            </w:pPr>
            <w:r w:rsidRPr="007A7685">
              <w:rPr>
                <w:rFonts w:eastAsia="Times New Roman"/>
                <w:sz w:val="20"/>
                <w:szCs w:val="20"/>
              </w:rPr>
              <w:t>-1.3</w:t>
            </w:r>
          </w:p>
        </w:tc>
      </w:tr>
      <w:tr w:rsidR="007A7685" w:rsidRPr="007A7685" w14:paraId="0A165100" w14:textId="77777777" w:rsidTr="00BA61DD">
        <w:trPr>
          <w:jc w:val="center"/>
        </w:trPr>
        <w:tc>
          <w:tcPr>
            <w:tcW w:w="4846" w:type="dxa"/>
            <w:tcBorders>
              <w:top w:val="nil"/>
              <w:bottom w:val="nil"/>
            </w:tcBorders>
          </w:tcPr>
          <w:p w14:paraId="66A91B1B" w14:textId="77777777" w:rsidR="007A7685" w:rsidRPr="007A7685" w:rsidRDefault="007A7685" w:rsidP="007A7685">
            <w:pPr>
              <w:ind w:left="113"/>
              <w:rPr>
                <w:rFonts w:eastAsia="Times New Roman"/>
                <w:sz w:val="20"/>
                <w:szCs w:val="20"/>
              </w:rPr>
            </w:pPr>
            <w:r w:rsidRPr="007A7685">
              <w:rPr>
                <w:rFonts w:eastAsia="Times New Roman"/>
                <w:sz w:val="20"/>
                <w:szCs w:val="20"/>
              </w:rPr>
              <w:t>b) Producción</w:t>
            </w:r>
          </w:p>
        </w:tc>
        <w:tc>
          <w:tcPr>
            <w:tcW w:w="1080" w:type="dxa"/>
            <w:tcBorders>
              <w:top w:val="nil"/>
              <w:bottom w:val="nil"/>
            </w:tcBorders>
          </w:tcPr>
          <w:p w14:paraId="0081BB8C" w14:textId="77777777" w:rsidR="007A7685" w:rsidRPr="007A7685" w:rsidRDefault="007A7685" w:rsidP="007A7685">
            <w:pPr>
              <w:jc w:val="center"/>
              <w:rPr>
                <w:rFonts w:eastAsia="Times New Roman"/>
                <w:sz w:val="20"/>
                <w:szCs w:val="20"/>
              </w:rPr>
            </w:pPr>
            <w:r w:rsidRPr="007A7685">
              <w:rPr>
                <w:rFonts w:eastAsia="Times New Roman"/>
                <w:sz w:val="20"/>
                <w:szCs w:val="20"/>
              </w:rPr>
              <w:t>56.6</w:t>
            </w:r>
          </w:p>
        </w:tc>
        <w:tc>
          <w:tcPr>
            <w:tcW w:w="1080" w:type="dxa"/>
            <w:tcBorders>
              <w:top w:val="nil"/>
              <w:bottom w:val="nil"/>
            </w:tcBorders>
          </w:tcPr>
          <w:p w14:paraId="0C048A15" w14:textId="77777777" w:rsidR="007A7685" w:rsidRPr="007A7685" w:rsidRDefault="007A7685" w:rsidP="007A7685">
            <w:pPr>
              <w:jc w:val="center"/>
              <w:rPr>
                <w:rFonts w:eastAsia="Times New Roman"/>
                <w:sz w:val="20"/>
                <w:szCs w:val="20"/>
              </w:rPr>
            </w:pPr>
            <w:r w:rsidRPr="007A7685">
              <w:rPr>
                <w:rFonts w:eastAsia="Times New Roman"/>
                <w:sz w:val="20"/>
                <w:szCs w:val="20"/>
              </w:rPr>
              <w:t>54.6</w:t>
            </w:r>
          </w:p>
        </w:tc>
        <w:tc>
          <w:tcPr>
            <w:tcW w:w="1244" w:type="dxa"/>
            <w:tcBorders>
              <w:top w:val="nil"/>
              <w:bottom w:val="nil"/>
            </w:tcBorders>
          </w:tcPr>
          <w:p w14:paraId="2531FF27" w14:textId="77777777" w:rsidR="007A7685" w:rsidRPr="007A7685" w:rsidRDefault="007A7685" w:rsidP="007A7685">
            <w:pPr>
              <w:ind w:right="397"/>
              <w:jc w:val="right"/>
              <w:rPr>
                <w:rFonts w:eastAsia="Times New Roman"/>
                <w:sz w:val="20"/>
                <w:szCs w:val="20"/>
              </w:rPr>
            </w:pPr>
            <w:r w:rsidRPr="007A7685">
              <w:rPr>
                <w:rFonts w:eastAsia="Times New Roman"/>
                <w:sz w:val="20"/>
                <w:szCs w:val="20"/>
              </w:rPr>
              <w:t>-2.0</w:t>
            </w:r>
          </w:p>
        </w:tc>
      </w:tr>
      <w:tr w:rsidR="007A7685" w:rsidRPr="007A7685" w14:paraId="4273245D" w14:textId="77777777" w:rsidTr="00BA61DD">
        <w:trPr>
          <w:jc w:val="center"/>
        </w:trPr>
        <w:tc>
          <w:tcPr>
            <w:tcW w:w="4846" w:type="dxa"/>
            <w:tcBorders>
              <w:top w:val="nil"/>
              <w:bottom w:val="nil"/>
            </w:tcBorders>
          </w:tcPr>
          <w:p w14:paraId="152E3652" w14:textId="77777777" w:rsidR="007A7685" w:rsidRPr="007A7685" w:rsidRDefault="007A7685" w:rsidP="007A7685">
            <w:pPr>
              <w:ind w:left="113"/>
              <w:rPr>
                <w:rFonts w:eastAsia="Times New Roman"/>
                <w:sz w:val="20"/>
                <w:szCs w:val="20"/>
              </w:rPr>
            </w:pPr>
            <w:r w:rsidRPr="007A7685">
              <w:rPr>
                <w:rFonts w:eastAsia="Times New Roman"/>
                <w:sz w:val="20"/>
                <w:szCs w:val="20"/>
              </w:rPr>
              <w:t>c) Personal ocupado</w:t>
            </w:r>
          </w:p>
        </w:tc>
        <w:tc>
          <w:tcPr>
            <w:tcW w:w="1080" w:type="dxa"/>
            <w:tcBorders>
              <w:top w:val="nil"/>
              <w:bottom w:val="nil"/>
            </w:tcBorders>
          </w:tcPr>
          <w:p w14:paraId="28E6A44C" w14:textId="77777777" w:rsidR="007A7685" w:rsidRPr="007A7685" w:rsidRDefault="007A7685" w:rsidP="007A7685">
            <w:pPr>
              <w:jc w:val="center"/>
              <w:rPr>
                <w:rFonts w:eastAsia="Times New Roman"/>
                <w:sz w:val="20"/>
                <w:szCs w:val="20"/>
              </w:rPr>
            </w:pPr>
            <w:r w:rsidRPr="007A7685">
              <w:rPr>
                <w:rFonts w:eastAsia="Times New Roman"/>
                <w:sz w:val="20"/>
                <w:szCs w:val="20"/>
              </w:rPr>
              <w:t>52.4</w:t>
            </w:r>
          </w:p>
        </w:tc>
        <w:tc>
          <w:tcPr>
            <w:tcW w:w="1080" w:type="dxa"/>
            <w:tcBorders>
              <w:top w:val="nil"/>
              <w:bottom w:val="nil"/>
            </w:tcBorders>
          </w:tcPr>
          <w:p w14:paraId="3339B1CB" w14:textId="77777777" w:rsidR="007A7685" w:rsidRPr="007A7685" w:rsidRDefault="007A7685" w:rsidP="007A7685">
            <w:pPr>
              <w:jc w:val="center"/>
              <w:rPr>
                <w:rFonts w:eastAsia="Times New Roman"/>
                <w:sz w:val="20"/>
                <w:szCs w:val="20"/>
              </w:rPr>
            </w:pPr>
            <w:r w:rsidRPr="007A7685">
              <w:rPr>
                <w:rFonts w:eastAsia="Times New Roman"/>
                <w:sz w:val="20"/>
                <w:szCs w:val="20"/>
              </w:rPr>
              <w:t>52.8</w:t>
            </w:r>
          </w:p>
        </w:tc>
        <w:tc>
          <w:tcPr>
            <w:tcW w:w="1244" w:type="dxa"/>
            <w:tcBorders>
              <w:top w:val="nil"/>
              <w:bottom w:val="nil"/>
            </w:tcBorders>
          </w:tcPr>
          <w:p w14:paraId="47668117" w14:textId="77777777" w:rsidR="007A7685" w:rsidRPr="007A7685" w:rsidRDefault="007A7685" w:rsidP="007A7685">
            <w:pPr>
              <w:ind w:right="397"/>
              <w:jc w:val="right"/>
              <w:rPr>
                <w:rFonts w:eastAsia="Times New Roman"/>
                <w:sz w:val="20"/>
                <w:szCs w:val="20"/>
              </w:rPr>
            </w:pPr>
            <w:r w:rsidRPr="007A7685">
              <w:rPr>
                <w:rFonts w:eastAsia="Times New Roman"/>
                <w:sz w:val="20"/>
                <w:szCs w:val="20"/>
              </w:rPr>
              <w:t>0.4</w:t>
            </w:r>
          </w:p>
        </w:tc>
      </w:tr>
      <w:tr w:rsidR="007A7685" w:rsidRPr="007A7685" w14:paraId="6BC82040" w14:textId="77777777" w:rsidTr="00BA61DD">
        <w:trPr>
          <w:jc w:val="center"/>
        </w:trPr>
        <w:tc>
          <w:tcPr>
            <w:tcW w:w="4846" w:type="dxa"/>
            <w:tcBorders>
              <w:top w:val="nil"/>
              <w:bottom w:val="nil"/>
            </w:tcBorders>
          </w:tcPr>
          <w:p w14:paraId="5646CD37" w14:textId="77777777" w:rsidR="007A7685" w:rsidRPr="007A7685" w:rsidRDefault="007A7685" w:rsidP="007A7685">
            <w:pPr>
              <w:ind w:left="368" w:hanging="255"/>
              <w:rPr>
                <w:rFonts w:eastAsia="Times New Roman"/>
                <w:sz w:val="20"/>
                <w:szCs w:val="20"/>
              </w:rPr>
            </w:pPr>
            <w:r w:rsidRPr="007A7685">
              <w:rPr>
                <w:rFonts w:eastAsia="Times New Roman"/>
                <w:sz w:val="20"/>
                <w:szCs w:val="20"/>
              </w:rPr>
              <w:t>d) Oportunidad de la entrega de insumos de los proveedores</w:t>
            </w:r>
          </w:p>
        </w:tc>
        <w:tc>
          <w:tcPr>
            <w:tcW w:w="1080" w:type="dxa"/>
            <w:tcBorders>
              <w:top w:val="nil"/>
              <w:bottom w:val="nil"/>
            </w:tcBorders>
            <w:vAlign w:val="center"/>
          </w:tcPr>
          <w:p w14:paraId="753B911E" w14:textId="77777777" w:rsidR="007A7685" w:rsidRPr="007A7685" w:rsidRDefault="007A7685" w:rsidP="007A7685">
            <w:pPr>
              <w:jc w:val="center"/>
              <w:rPr>
                <w:rFonts w:eastAsia="Times New Roman"/>
                <w:sz w:val="20"/>
                <w:szCs w:val="20"/>
              </w:rPr>
            </w:pPr>
            <w:r w:rsidRPr="007A7685">
              <w:rPr>
                <w:rFonts w:eastAsia="Times New Roman"/>
                <w:sz w:val="20"/>
                <w:szCs w:val="20"/>
              </w:rPr>
              <w:t>46.5</w:t>
            </w:r>
          </w:p>
        </w:tc>
        <w:tc>
          <w:tcPr>
            <w:tcW w:w="1080" w:type="dxa"/>
            <w:tcBorders>
              <w:top w:val="nil"/>
              <w:bottom w:val="nil"/>
            </w:tcBorders>
            <w:vAlign w:val="center"/>
          </w:tcPr>
          <w:p w14:paraId="093B1973" w14:textId="77777777" w:rsidR="007A7685" w:rsidRPr="007A7685" w:rsidRDefault="007A7685" w:rsidP="007A7685">
            <w:pPr>
              <w:jc w:val="center"/>
              <w:rPr>
                <w:rFonts w:eastAsia="Times New Roman"/>
                <w:sz w:val="20"/>
                <w:szCs w:val="20"/>
              </w:rPr>
            </w:pPr>
            <w:r w:rsidRPr="007A7685">
              <w:rPr>
                <w:rFonts w:eastAsia="Times New Roman"/>
                <w:sz w:val="20"/>
                <w:szCs w:val="20"/>
              </w:rPr>
              <w:t>46.1</w:t>
            </w:r>
          </w:p>
        </w:tc>
        <w:tc>
          <w:tcPr>
            <w:tcW w:w="1244" w:type="dxa"/>
            <w:tcBorders>
              <w:top w:val="nil"/>
              <w:bottom w:val="nil"/>
            </w:tcBorders>
            <w:vAlign w:val="center"/>
          </w:tcPr>
          <w:p w14:paraId="3B4BF378" w14:textId="77777777" w:rsidR="007A7685" w:rsidRPr="007A7685" w:rsidRDefault="007A7685" w:rsidP="007A7685">
            <w:pPr>
              <w:ind w:right="397"/>
              <w:jc w:val="right"/>
              <w:rPr>
                <w:rFonts w:eastAsia="Times New Roman"/>
                <w:sz w:val="20"/>
                <w:szCs w:val="20"/>
              </w:rPr>
            </w:pPr>
            <w:r w:rsidRPr="007A7685">
              <w:rPr>
                <w:rFonts w:eastAsia="Times New Roman"/>
                <w:sz w:val="20"/>
                <w:szCs w:val="20"/>
              </w:rPr>
              <w:t>-0.4</w:t>
            </w:r>
          </w:p>
        </w:tc>
      </w:tr>
      <w:tr w:rsidR="007A7685" w:rsidRPr="007A7685" w14:paraId="7AE3DA16" w14:textId="77777777" w:rsidTr="00BA61DD">
        <w:trPr>
          <w:jc w:val="center"/>
        </w:trPr>
        <w:tc>
          <w:tcPr>
            <w:tcW w:w="4846" w:type="dxa"/>
            <w:tcBorders>
              <w:top w:val="nil"/>
              <w:bottom w:val="single" w:sz="4" w:space="0" w:color="auto"/>
            </w:tcBorders>
          </w:tcPr>
          <w:p w14:paraId="778A3966" w14:textId="77777777" w:rsidR="007A7685" w:rsidRPr="007A7685" w:rsidRDefault="007A7685" w:rsidP="007A7685">
            <w:pPr>
              <w:ind w:left="113"/>
              <w:rPr>
                <w:rFonts w:eastAsia="Times New Roman"/>
                <w:sz w:val="20"/>
                <w:szCs w:val="20"/>
              </w:rPr>
            </w:pPr>
            <w:r w:rsidRPr="007A7685">
              <w:rPr>
                <w:rFonts w:eastAsia="Times New Roman"/>
                <w:sz w:val="20"/>
                <w:szCs w:val="20"/>
              </w:rPr>
              <w:t>e) Inventarios de insumos</w:t>
            </w:r>
          </w:p>
        </w:tc>
        <w:tc>
          <w:tcPr>
            <w:tcW w:w="1080" w:type="dxa"/>
            <w:tcBorders>
              <w:top w:val="nil"/>
              <w:bottom w:val="single" w:sz="4" w:space="0" w:color="auto"/>
            </w:tcBorders>
          </w:tcPr>
          <w:p w14:paraId="0CC8EB87" w14:textId="77777777" w:rsidR="007A7685" w:rsidRPr="007A7685" w:rsidRDefault="007A7685" w:rsidP="007A7685">
            <w:pPr>
              <w:jc w:val="center"/>
              <w:rPr>
                <w:rFonts w:eastAsia="Times New Roman"/>
                <w:sz w:val="20"/>
                <w:szCs w:val="20"/>
              </w:rPr>
            </w:pPr>
            <w:r w:rsidRPr="007A7685">
              <w:rPr>
                <w:rFonts w:eastAsia="Times New Roman"/>
                <w:sz w:val="20"/>
                <w:szCs w:val="20"/>
              </w:rPr>
              <w:t>52.5</w:t>
            </w:r>
          </w:p>
        </w:tc>
        <w:tc>
          <w:tcPr>
            <w:tcW w:w="1080" w:type="dxa"/>
            <w:tcBorders>
              <w:top w:val="nil"/>
              <w:bottom w:val="single" w:sz="4" w:space="0" w:color="auto"/>
            </w:tcBorders>
          </w:tcPr>
          <w:p w14:paraId="13005C0F" w14:textId="77777777" w:rsidR="007A7685" w:rsidRPr="007A7685" w:rsidRDefault="007A7685" w:rsidP="007A7685">
            <w:pPr>
              <w:jc w:val="center"/>
              <w:rPr>
                <w:rFonts w:eastAsia="Times New Roman"/>
                <w:sz w:val="20"/>
                <w:szCs w:val="20"/>
              </w:rPr>
            </w:pPr>
            <w:r w:rsidRPr="007A7685">
              <w:rPr>
                <w:rFonts w:eastAsia="Times New Roman"/>
                <w:sz w:val="20"/>
                <w:szCs w:val="20"/>
              </w:rPr>
              <w:t>53.6</w:t>
            </w:r>
          </w:p>
        </w:tc>
        <w:tc>
          <w:tcPr>
            <w:tcW w:w="1244" w:type="dxa"/>
            <w:tcBorders>
              <w:top w:val="nil"/>
              <w:bottom w:val="single" w:sz="4" w:space="0" w:color="auto"/>
            </w:tcBorders>
          </w:tcPr>
          <w:p w14:paraId="0FD85FE7" w14:textId="77777777" w:rsidR="007A7685" w:rsidRPr="007A7685" w:rsidRDefault="007A7685" w:rsidP="007A7685">
            <w:pPr>
              <w:ind w:right="397"/>
              <w:jc w:val="right"/>
              <w:rPr>
                <w:rFonts w:eastAsia="Times New Roman"/>
                <w:sz w:val="20"/>
                <w:szCs w:val="20"/>
              </w:rPr>
            </w:pPr>
            <w:r w:rsidRPr="007A7685">
              <w:rPr>
                <w:rFonts w:eastAsia="Times New Roman"/>
                <w:sz w:val="20"/>
                <w:szCs w:val="20"/>
              </w:rPr>
              <w:t>1.1</w:t>
            </w:r>
          </w:p>
        </w:tc>
      </w:tr>
      <w:tr w:rsidR="007A7685" w:rsidRPr="007A7685" w14:paraId="78DC3FCD" w14:textId="77777777" w:rsidTr="00BA61DD">
        <w:trPr>
          <w:jc w:val="center"/>
        </w:trPr>
        <w:tc>
          <w:tcPr>
            <w:tcW w:w="8250" w:type="dxa"/>
            <w:gridSpan w:val="4"/>
            <w:tcBorders>
              <w:left w:val="nil"/>
              <w:bottom w:val="nil"/>
              <w:right w:val="nil"/>
            </w:tcBorders>
          </w:tcPr>
          <w:p w14:paraId="12326E8A" w14:textId="77777777" w:rsidR="007A7685" w:rsidRPr="007A7685" w:rsidRDefault="007A7685" w:rsidP="007A7685">
            <w:pPr>
              <w:rPr>
                <w:rFonts w:eastAsia="Times New Roman"/>
                <w:sz w:val="20"/>
                <w:szCs w:val="20"/>
              </w:rPr>
            </w:pPr>
            <w:r w:rsidRPr="007A7685">
              <w:rPr>
                <w:rFonts w:eastAsia="Times New Roman"/>
                <w:sz w:val="20"/>
                <w:szCs w:val="20"/>
              </w:rPr>
              <w:t>Nota: Los indicadores se generan con los datos referidos al mes de la entrevista.</w:t>
            </w:r>
          </w:p>
          <w:p w14:paraId="33C75104" w14:textId="77777777" w:rsidR="007A7685" w:rsidRPr="007A7685" w:rsidRDefault="007A7685" w:rsidP="007A7685">
            <w:pPr>
              <w:ind w:left="227" w:hanging="227"/>
              <w:rPr>
                <w:rFonts w:eastAsia="Times New Roman"/>
                <w:sz w:val="20"/>
                <w:szCs w:val="20"/>
              </w:rPr>
            </w:pPr>
            <w:r w:rsidRPr="007A7685">
              <w:rPr>
                <w:rFonts w:eastAsia="Times New Roman"/>
                <w:sz w:val="20"/>
                <w:szCs w:val="20"/>
                <w:u w:val="single"/>
              </w:rPr>
              <w:t>1</w:t>
            </w:r>
            <w:r w:rsidRPr="007A7685">
              <w:rPr>
                <w:rFonts w:eastAsia="Times New Roman"/>
                <w:sz w:val="20"/>
                <w:szCs w:val="20"/>
              </w:rPr>
              <w:t>/ Las diferencias en puntos se obtienen de los respectivos indicadores considerando todos sus decimales.</w:t>
            </w:r>
          </w:p>
          <w:p w14:paraId="007BD8BB" w14:textId="77777777" w:rsidR="007A7685" w:rsidRPr="007A7685" w:rsidRDefault="007A7685" w:rsidP="007A7685">
            <w:pPr>
              <w:rPr>
                <w:rFonts w:eastAsia="Times New Roman"/>
                <w:sz w:val="20"/>
                <w:szCs w:val="20"/>
              </w:rPr>
            </w:pPr>
            <w:r w:rsidRPr="007A7685">
              <w:rPr>
                <w:rFonts w:eastAsia="Times New Roman"/>
                <w:sz w:val="20"/>
                <w:szCs w:val="20"/>
                <w:u w:val="single"/>
              </w:rPr>
              <w:t>p</w:t>
            </w:r>
            <w:r w:rsidRPr="007A7685">
              <w:rPr>
                <w:rFonts w:eastAsia="Times New Roman"/>
                <w:sz w:val="20"/>
                <w:szCs w:val="20"/>
              </w:rPr>
              <w:t>/ Dato preliminar.</w:t>
            </w:r>
          </w:p>
          <w:p w14:paraId="2A361BFB" w14:textId="77777777" w:rsidR="007A7685" w:rsidRPr="007A7685" w:rsidRDefault="007A7685" w:rsidP="007A7685">
            <w:pPr>
              <w:rPr>
                <w:rFonts w:eastAsia="Times New Roman"/>
                <w:sz w:val="20"/>
                <w:szCs w:val="20"/>
              </w:rPr>
            </w:pPr>
            <w:r w:rsidRPr="007A7685">
              <w:rPr>
                <w:rFonts w:eastAsia="Times New Roman"/>
                <w:sz w:val="20"/>
                <w:szCs w:val="20"/>
              </w:rPr>
              <w:t>FUENTE: INEGI.</w:t>
            </w:r>
          </w:p>
        </w:tc>
      </w:tr>
    </w:tbl>
    <w:p w14:paraId="34889C17" w14:textId="77777777" w:rsidR="007A7685" w:rsidRDefault="007A7685" w:rsidP="007A7685">
      <w:pPr>
        <w:spacing w:after="360" w:line="360" w:lineRule="auto"/>
        <w:ind w:right="-159"/>
        <w:jc w:val="both"/>
        <w:rPr>
          <w:rFonts w:eastAsia="Times New Roman"/>
          <w:b/>
          <w:sz w:val="26"/>
          <w:szCs w:val="26"/>
        </w:rPr>
      </w:pPr>
    </w:p>
    <w:p w14:paraId="3479DCEB" w14:textId="77777777" w:rsidR="00512C3D" w:rsidRDefault="00512C3D" w:rsidP="007A7685">
      <w:pPr>
        <w:spacing w:after="360" w:line="360" w:lineRule="auto"/>
        <w:ind w:right="-159"/>
        <w:jc w:val="both"/>
        <w:rPr>
          <w:rFonts w:eastAsia="Times New Roman"/>
          <w:b/>
          <w:sz w:val="26"/>
          <w:szCs w:val="26"/>
        </w:rPr>
      </w:pPr>
    </w:p>
    <w:p w14:paraId="421CE2FC" w14:textId="77777777" w:rsidR="00512C3D" w:rsidRPr="007A7685" w:rsidRDefault="00512C3D" w:rsidP="007A7685">
      <w:pPr>
        <w:spacing w:after="360" w:line="360" w:lineRule="auto"/>
        <w:ind w:right="-159"/>
        <w:jc w:val="both"/>
        <w:rPr>
          <w:rFonts w:eastAsia="Times New Roman"/>
          <w:b/>
          <w:sz w:val="26"/>
          <w:szCs w:val="26"/>
        </w:rPr>
      </w:pPr>
    </w:p>
    <w:p w14:paraId="77D8DCEB" w14:textId="77777777" w:rsidR="007A7685" w:rsidRPr="007A7685" w:rsidRDefault="007A7685" w:rsidP="007A7685">
      <w:pPr>
        <w:spacing w:after="360" w:line="360" w:lineRule="auto"/>
        <w:ind w:right="-159"/>
        <w:jc w:val="both"/>
        <w:rPr>
          <w:rFonts w:eastAsia="Times New Roman"/>
          <w:b/>
          <w:sz w:val="26"/>
          <w:szCs w:val="26"/>
        </w:rPr>
      </w:pPr>
      <w:r w:rsidRPr="007A7685">
        <w:rPr>
          <w:rFonts w:eastAsia="Times New Roman"/>
          <w:b/>
          <w:sz w:val="26"/>
          <w:szCs w:val="26"/>
        </w:rPr>
        <w:lastRenderedPageBreak/>
        <w:t xml:space="preserve">Indicador de Pedidos Manufactureros por grupos de subsectores de actividad </w:t>
      </w:r>
    </w:p>
    <w:p w14:paraId="55A016E9" w14:textId="646BD031" w:rsidR="007A7685" w:rsidRPr="007A7685" w:rsidRDefault="007A7685" w:rsidP="007A7685">
      <w:pPr>
        <w:spacing w:after="360" w:line="360" w:lineRule="auto"/>
        <w:ind w:right="-159"/>
        <w:jc w:val="both"/>
        <w:rPr>
          <w:rFonts w:eastAsia="Times New Roman"/>
          <w:sz w:val="26"/>
          <w:szCs w:val="26"/>
          <w:lang w:val="es-ES_tradnl"/>
        </w:rPr>
      </w:pPr>
      <w:r w:rsidRPr="007A7685">
        <w:rPr>
          <w:rFonts w:eastAsia="Times New Roman"/>
          <w:sz w:val="26"/>
          <w:szCs w:val="26"/>
        </w:rPr>
        <w:t>Por grupos de subsectores de actividad económica, en marzo del año en curso</w:t>
      </w:r>
      <w:r w:rsidR="0063019C">
        <w:rPr>
          <w:rFonts w:eastAsia="Times New Roman"/>
          <w:sz w:val="26"/>
          <w:szCs w:val="26"/>
        </w:rPr>
        <w:t>,</w:t>
      </w:r>
      <w:r w:rsidRPr="007A7685">
        <w:rPr>
          <w:rFonts w:eastAsia="Times New Roman"/>
          <w:sz w:val="26"/>
          <w:szCs w:val="26"/>
        </w:rPr>
        <w:t xml:space="preserve"> el índice referido al agregado de Alimentos, bebidas y tabaco presentó un descenso anual de      0.5 puntos con cifras originales; el de Derivados del petróleo y del carbón, industria química, del plástico y del hule mostró una caída de 2.2 puntos; el de Minerales no metálicos y metálicas disminuyó 0.9 puntos; el de Equipo de computación, accesorios electrónicos y aparatos eléctricos se redujo 1 punto; el de Equipo de transporte registró una variación negativa de 0.3 puntos; el de Productos metálicos, maquinaria, equipo y muebles reportó un incremento de 0.5 puntos y el correspondiente a Textiles, prendas de vestir, cuero y piel, madera, papel y otras retrocedió 0.6 puntos.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0"/>
        <w:gridCol w:w="900"/>
        <w:gridCol w:w="842"/>
        <w:gridCol w:w="1182"/>
      </w:tblGrid>
      <w:tr w:rsidR="007A7685" w:rsidRPr="007A7685" w14:paraId="20B1B180" w14:textId="77777777" w:rsidTr="00BA61DD">
        <w:trPr>
          <w:jc w:val="center"/>
        </w:trPr>
        <w:tc>
          <w:tcPr>
            <w:tcW w:w="8274" w:type="dxa"/>
            <w:gridSpan w:val="4"/>
            <w:tcBorders>
              <w:top w:val="nil"/>
              <w:left w:val="nil"/>
              <w:bottom w:val="single" w:sz="4" w:space="0" w:color="auto"/>
              <w:right w:val="nil"/>
            </w:tcBorders>
          </w:tcPr>
          <w:p w14:paraId="799BC614" w14:textId="77777777" w:rsidR="007A7685" w:rsidRPr="007A7685" w:rsidRDefault="007A7685" w:rsidP="007A7685">
            <w:pPr>
              <w:jc w:val="center"/>
              <w:rPr>
                <w:rFonts w:eastAsia="Times New Roman"/>
                <w:b/>
                <w:sz w:val="22"/>
                <w:szCs w:val="22"/>
              </w:rPr>
            </w:pPr>
            <w:r w:rsidRPr="007A7685">
              <w:rPr>
                <w:rFonts w:eastAsia="Times New Roman"/>
                <w:b/>
                <w:sz w:val="22"/>
                <w:szCs w:val="22"/>
              </w:rPr>
              <w:t xml:space="preserve">INDICADOR DE PEDIDOS MANUFACTUREROS POR GRUPOS DE </w:t>
            </w:r>
          </w:p>
          <w:p w14:paraId="680ADA82" w14:textId="77777777" w:rsidR="007A7685" w:rsidRPr="007A7685" w:rsidRDefault="007A7685" w:rsidP="007A7685">
            <w:pPr>
              <w:jc w:val="center"/>
              <w:rPr>
                <w:rFonts w:eastAsia="Times New Roman"/>
                <w:b/>
                <w:sz w:val="22"/>
                <w:szCs w:val="22"/>
              </w:rPr>
            </w:pPr>
            <w:r w:rsidRPr="007A7685">
              <w:rPr>
                <w:rFonts w:eastAsia="Times New Roman"/>
                <w:b/>
                <w:sz w:val="22"/>
                <w:szCs w:val="22"/>
              </w:rPr>
              <w:t>SUBSECTORES DE ACTIVIDAD</w:t>
            </w:r>
          </w:p>
          <w:p w14:paraId="036DA724" w14:textId="77777777" w:rsidR="007A7685" w:rsidRPr="007A7685" w:rsidRDefault="007A7685" w:rsidP="007A7685">
            <w:pPr>
              <w:jc w:val="center"/>
              <w:rPr>
                <w:rFonts w:eastAsia="Times New Roman"/>
                <w:b/>
                <w:sz w:val="20"/>
                <w:szCs w:val="20"/>
              </w:rPr>
            </w:pPr>
            <w:r w:rsidRPr="007A7685">
              <w:rPr>
                <w:rFonts w:eastAsia="Times New Roman"/>
                <w:b/>
                <w:sz w:val="22"/>
                <w:szCs w:val="22"/>
              </w:rPr>
              <w:t>CIFRAS ORIGINALES</w:t>
            </w:r>
          </w:p>
        </w:tc>
      </w:tr>
      <w:tr w:rsidR="007A7685" w:rsidRPr="007A7685" w14:paraId="227857B4" w14:textId="77777777" w:rsidTr="00BA61DD">
        <w:trPr>
          <w:jc w:val="center"/>
        </w:trPr>
        <w:tc>
          <w:tcPr>
            <w:tcW w:w="5350" w:type="dxa"/>
            <w:vMerge w:val="restart"/>
            <w:tcBorders>
              <w:right w:val="single" w:sz="4" w:space="0" w:color="auto"/>
            </w:tcBorders>
            <w:vAlign w:val="center"/>
          </w:tcPr>
          <w:p w14:paraId="5BF32F6D" w14:textId="77777777" w:rsidR="007A7685" w:rsidRPr="007A7685" w:rsidRDefault="007A7685" w:rsidP="007A7685">
            <w:pPr>
              <w:jc w:val="center"/>
              <w:rPr>
                <w:rFonts w:eastAsia="Times New Roman"/>
                <w:b/>
                <w:sz w:val="20"/>
                <w:szCs w:val="20"/>
              </w:rPr>
            </w:pPr>
            <w:r w:rsidRPr="007A7685">
              <w:rPr>
                <w:rFonts w:eastAsia="Times New Roman"/>
                <w:b/>
                <w:sz w:val="20"/>
                <w:szCs w:val="20"/>
              </w:rPr>
              <w:t>Grupos</w:t>
            </w:r>
          </w:p>
        </w:tc>
        <w:tc>
          <w:tcPr>
            <w:tcW w:w="1742" w:type="dxa"/>
            <w:gridSpan w:val="2"/>
            <w:tcBorders>
              <w:left w:val="single" w:sz="4" w:space="0" w:color="auto"/>
            </w:tcBorders>
          </w:tcPr>
          <w:p w14:paraId="1B6F3DB8" w14:textId="77777777" w:rsidR="007A7685" w:rsidRPr="007A7685" w:rsidRDefault="007A7685" w:rsidP="007A7685">
            <w:pPr>
              <w:jc w:val="center"/>
              <w:rPr>
                <w:rFonts w:eastAsia="Times New Roman"/>
                <w:b/>
                <w:sz w:val="20"/>
                <w:szCs w:val="20"/>
              </w:rPr>
            </w:pPr>
            <w:r w:rsidRPr="007A7685">
              <w:rPr>
                <w:rFonts w:eastAsia="Times New Roman"/>
                <w:b/>
                <w:sz w:val="20"/>
                <w:szCs w:val="20"/>
              </w:rPr>
              <w:t>Marzo</w:t>
            </w:r>
          </w:p>
        </w:tc>
        <w:tc>
          <w:tcPr>
            <w:tcW w:w="1182" w:type="dxa"/>
            <w:vMerge w:val="restart"/>
          </w:tcPr>
          <w:p w14:paraId="159F7C83" w14:textId="77777777" w:rsidR="007A7685" w:rsidRPr="007A7685" w:rsidRDefault="007A7685" w:rsidP="007A7685">
            <w:pPr>
              <w:jc w:val="center"/>
              <w:rPr>
                <w:rFonts w:eastAsia="Times New Roman"/>
                <w:b/>
                <w:sz w:val="20"/>
                <w:szCs w:val="20"/>
              </w:rPr>
            </w:pPr>
            <w:r w:rsidRPr="007A7685">
              <w:rPr>
                <w:rFonts w:eastAsia="Times New Roman"/>
                <w:b/>
                <w:sz w:val="20"/>
                <w:szCs w:val="20"/>
              </w:rPr>
              <w:t>Diferencia en puntos</w:t>
            </w:r>
            <w:r w:rsidRPr="007A7685">
              <w:rPr>
                <w:rFonts w:eastAsia="Times New Roman"/>
                <w:b/>
                <w:sz w:val="20"/>
                <w:szCs w:val="20"/>
                <w:u w:val="single"/>
                <w:vertAlign w:val="superscript"/>
              </w:rPr>
              <w:t>1</w:t>
            </w:r>
            <w:r w:rsidRPr="007A7685">
              <w:rPr>
                <w:rFonts w:eastAsia="Times New Roman"/>
                <w:b/>
                <w:sz w:val="20"/>
                <w:szCs w:val="20"/>
                <w:vertAlign w:val="superscript"/>
              </w:rPr>
              <w:t>/</w:t>
            </w:r>
          </w:p>
        </w:tc>
      </w:tr>
      <w:tr w:rsidR="007A7685" w:rsidRPr="007A7685" w14:paraId="1EB5A271" w14:textId="77777777" w:rsidTr="00BA61DD">
        <w:trPr>
          <w:jc w:val="center"/>
        </w:trPr>
        <w:tc>
          <w:tcPr>
            <w:tcW w:w="5350" w:type="dxa"/>
            <w:vMerge/>
            <w:tcBorders>
              <w:bottom w:val="single" w:sz="4" w:space="0" w:color="auto"/>
              <w:right w:val="single" w:sz="4" w:space="0" w:color="auto"/>
            </w:tcBorders>
          </w:tcPr>
          <w:p w14:paraId="7DC94B03" w14:textId="77777777" w:rsidR="007A7685" w:rsidRPr="007A7685" w:rsidRDefault="007A7685" w:rsidP="007A7685">
            <w:pPr>
              <w:rPr>
                <w:rFonts w:eastAsia="Times New Roman"/>
                <w:b/>
                <w:sz w:val="20"/>
                <w:szCs w:val="20"/>
              </w:rPr>
            </w:pPr>
          </w:p>
        </w:tc>
        <w:tc>
          <w:tcPr>
            <w:tcW w:w="900" w:type="dxa"/>
            <w:tcBorders>
              <w:left w:val="single" w:sz="4" w:space="0" w:color="auto"/>
              <w:bottom w:val="single" w:sz="4" w:space="0" w:color="auto"/>
            </w:tcBorders>
          </w:tcPr>
          <w:p w14:paraId="2E4F9BE4" w14:textId="77777777" w:rsidR="007A7685" w:rsidRPr="007A7685" w:rsidRDefault="007A7685" w:rsidP="007A7685">
            <w:pPr>
              <w:jc w:val="center"/>
              <w:rPr>
                <w:rFonts w:eastAsia="Times New Roman"/>
                <w:b/>
                <w:sz w:val="20"/>
                <w:szCs w:val="20"/>
              </w:rPr>
            </w:pPr>
            <w:r w:rsidRPr="007A7685">
              <w:rPr>
                <w:rFonts w:eastAsia="Times New Roman"/>
                <w:b/>
                <w:sz w:val="20"/>
                <w:szCs w:val="20"/>
              </w:rPr>
              <w:t>2014</w:t>
            </w:r>
          </w:p>
        </w:tc>
        <w:tc>
          <w:tcPr>
            <w:tcW w:w="842" w:type="dxa"/>
            <w:tcBorders>
              <w:bottom w:val="single" w:sz="4" w:space="0" w:color="auto"/>
            </w:tcBorders>
          </w:tcPr>
          <w:p w14:paraId="3F1C3F96" w14:textId="77777777" w:rsidR="007A7685" w:rsidRPr="007A7685" w:rsidRDefault="007A7685" w:rsidP="007A7685">
            <w:pPr>
              <w:jc w:val="center"/>
              <w:rPr>
                <w:rFonts w:eastAsia="Times New Roman"/>
                <w:b/>
                <w:sz w:val="20"/>
                <w:szCs w:val="20"/>
              </w:rPr>
            </w:pPr>
            <w:r w:rsidRPr="007A7685">
              <w:rPr>
                <w:rFonts w:eastAsia="Times New Roman"/>
                <w:b/>
                <w:sz w:val="20"/>
                <w:szCs w:val="20"/>
              </w:rPr>
              <w:t>2015</w:t>
            </w:r>
            <w:r w:rsidRPr="007A7685">
              <w:rPr>
                <w:rFonts w:eastAsia="Times New Roman"/>
                <w:b/>
                <w:sz w:val="20"/>
                <w:szCs w:val="20"/>
                <w:u w:val="single"/>
                <w:vertAlign w:val="superscript"/>
              </w:rPr>
              <w:t>p</w:t>
            </w:r>
            <w:r w:rsidRPr="007A7685">
              <w:rPr>
                <w:rFonts w:eastAsia="Times New Roman"/>
                <w:b/>
                <w:sz w:val="20"/>
                <w:szCs w:val="20"/>
                <w:vertAlign w:val="superscript"/>
              </w:rPr>
              <w:t>/</w:t>
            </w:r>
          </w:p>
        </w:tc>
        <w:tc>
          <w:tcPr>
            <w:tcW w:w="1182" w:type="dxa"/>
            <w:vMerge/>
            <w:tcBorders>
              <w:bottom w:val="single" w:sz="4" w:space="0" w:color="auto"/>
            </w:tcBorders>
          </w:tcPr>
          <w:p w14:paraId="39C03B74" w14:textId="77777777" w:rsidR="007A7685" w:rsidRPr="007A7685" w:rsidRDefault="007A7685" w:rsidP="007A7685">
            <w:pPr>
              <w:jc w:val="center"/>
              <w:rPr>
                <w:rFonts w:eastAsia="Times New Roman"/>
                <w:b/>
                <w:sz w:val="20"/>
                <w:szCs w:val="20"/>
              </w:rPr>
            </w:pPr>
          </w:p>
        </w:tc>
      </w:tr>
      <w:tr w:rsidR="007A7685" w:rsidRPr="007A7685" w14:paraId="693187C8" w14:textId="77777777" w:rsidTr="00BA61DD">
        <w:trPr>
          <w:jc w:val="center"/>
        </w:trPr>
        <w:tc>
          <w:tcPr>
            <w:tcW w:w="5350" w:type="dxa"/>
            <w:tcBorders>
              <w:top w:val="single" w:sz="4" w:space="0" w:color="auto"/>
              <w:left w:val="single" w:sz="4" w:space="0" w:color="auto"/>
              <w:bottom w:val="nil"/>
              <w:right w:val="single" w:sz="4" w:space="0" w:color="auto"/>
            </w:tcBorders>
            <w:shd w:val="clear" w:color="auto" w:fill="auto"/>
          </w:tcPr>
          <w:p w14:paraId="39257F99" w14:textId="77777777" w:rsidR="007A7685" w:rsidRPr="007A7685" w:rsidRDefault="007A7685" w:rsidP="007A7685">
            <w:pPr>
              <w:rPr>
                <w:rFonts w:eastAsia="Times New Roman"/>
                <w:b/>
                <w:sz w:val="20"/>
                <w:szCs w:val="20"/>
              </w:rPr>
            </w:pPr>
            <w:r w:rsidRPr="007A7685">
              <w:rPr>
                <w:rFonts w:eastAsia="Times New Roman"/>
                <w:b/>
                <w:sz w:val="20"/>
                <w:szCs w:val="20"/>
              </w:rPr>
              <w:t>Indicador de Pedidos Manufactureros</w:t>
            </w:r>
          </w:p>
        </w:tc>
        <w:tc>
          <w:tcPr>
            <w:tcW w:w="900" w:type="dxa"/>
            <w:tcBorders>
              <w:top w:val="single" w:sz="4" w:space="0" w:color="auto"/>
              <w:left w:val="single" w:sz="4" w:space="0" w:color="auto"/>
              <w:bottom w:val="nil"/>
              <w:right w:val="single" w:sz="4" w:space="0" w:color="auto"/>
            </w:tcBorders>
            <w:shd w:val="clear" w:color="auto" w:fill="auto"/>
          </w:tcPr>
          <w:p w14:paraId="6E9CF369" w14:textId="77777777" w:rsidR="007A7685" w:rsidRPr="007A7685" w:rsidRDefault="007A7685" w:rsidP="007A7685">
            <w:pPr>
              <w:jc w:val="center"/>
              <w:rPr>
                <w:rFonts w:eastAsia="Times New Roman"/>
                <w:b/>
                <w:sz w:val="20"/>
                <w:szCs w:val="20"/>
              </w:rPr>
            </w:pPr>
            <w:r w:rsidRPr="007A7685">
              <w:rPr>
                <w:rFonts w:eastAsia="Times New Roman"/>
                <w:b/>
                <w:sz w:val="20"/>
                <w:szCs w:val="20"/>
              </w:rPr>
              <w:t>53.7</w:t>
            </w:r>
          </w:p>
        </w:tc>
        <w:tc>
          <w:tcPr>
            <w:tcW w:w="842" w:type="dxa"/>
            <w:tcBorders>
              <w:top w:val="single" w:sz="4" w:space="0" w:color="auto"/>
              <w:left w:val="single" w:sz="4" w:space="0" w:color="auto"/>
              <w:bottom w:val="nil"/>
              <w:right w:val="single" w:sz="4" w:space="0" w:color="auto"/>
            </w:tcBorders>
            <w:shd w:val="clear" w:color="auto" w:fill="auto"/>
          </w:tcPr>
          <w:p w14:paraId="1632F364" w14:textId="77777777" w:rsidR="007A7685" w:rsidRPr="007A7685" w:rsidRDefault="007A7685" w:rsidP="007A7685">
            <w:pPr>
              <w:jc w:val="center"/>
              <w:rPr>
                <w:rFonts w:eastAsia="Times New Roman"/>
                <w:b/>
                <w:sz w:val="20"/>
                <w:szCs w:val="20"/>
              </w:rPr>
            </w:pPr>
            <w:r w:rsidRPr="007A7685">
              <w:rPr>
                <w:rFonts w:eastAsia="Times New Roman"/>
                <w:b/>
                <w:sz w:val="20"/>
                <w:szCs w:val="20"/>
              </w:rPr>
              <w:t>53.0</w:t>
            </w:r>
          </w:p>
        </w:tc>
        <w:tc>
          <w:tcPr>
            <w:tcW w:w="1182" w:type="dxa"/>
            <w:tcBorders>
              <w:top w:val="single" w:sz="4" w:space="0" w:color="auto"/>
              <w:left w:val="single" w:sz="4" w:space="0" w:color="auto"/>
              <w:bottom w:val="nil"/>
              <w:right w:val="single" w:sz="4" w:space="0" w:color="auto"/>
            </w:tcBorders>
            <w:shd w:val="clear" w:color="auto" w:fill="auto"/>
          </w:tcPr>
          <w:p w14:paraId="3BAFFAB3" w14:textId="77777777" w:rsidR="007A7685" w:rsidRPr="007A7685" w:rsidRDefault="007A7685" w:rsidP="007A7685">
            <w:pPr>
              <w:ind w:right="340"/>
              <w:jc w:val="right"/>
              <w:rPr>
                <w:rFonts w:eastAsia="Times New Roman"/>
                <w:b/>
                <w:sz w:val="20"/>
                <w:szCs w:val="20"/>
              </w:rPr>
            </w:pPr>
            <w:r w:rsidRPr="007A7685">
              <w:rPr>
                <w:rFonts w:eastAsia="Times New Roman"/>
                <w:b/>
                <w:sz w:val="20"/>
                <w:szCs w:val="20"/>
              </w:rPr>
              <w:t>-0.8</w:t>
            </w:r>
          </w:p>
        </w:tc>
      </w:tr>
      <w:tr w:rsidR="007A7685" w:rsidRPr="007A7685" w14:paraId="59C68A65"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2C32ECEF" w14:textId="77777777" w:rsidR="007A7685" w:rsidRPr="007A7685" w:rsidRDefault="007A7685" w:rsidP="007A7685">
            <w:pPr>
              <w:ind w:left="113"/>
              <w:rPr>
                <w:rFonts w:eastAsia="Times New Roman"/>
                <w:sz w:val="20"/>
                <w:szCs w:val="20"/>
              </w:rPr>
            </w:pPr>
            <w:r w:rsidRPr="007A7685">
              <w:rPr>
                <w:rFonts w:eastAsia="Times New Roman"/>
                <w:sz w:val="20"/>
                <w:szCs w:val="20"/>
              </w:rPr>
              <w:t>Alimentos, bebidas y tabaco</w:t>
            </w:r>
          </w:p>
        </w:tc>
        <w:tc>
          <w:tcPr>
            <w:tcW w:w="900" w:type="dxa"/>
            <w:tcBorders>
              <w:top w:val="nil"/>
              <w:left w:val="single" w:sz="4" w:space="0" w:color="auto"/>
              <w:bottom w:val="nil"/>
              <w:right w:val="single" w:sz="4" w:space="0" w:color="auto"/>
            </w:tcBorders>
            <w:shd w:val="clear" w:color="auto" w:fill="auto"/>
          </w:tcPr>
          <w:p w14:paraId="38B8482B" w14:textId="77777777" w:rsidR="007A7685" w:rsidRPr="007A7685" w:rsidRDefault="007A7685" w:rsidP="007A7685">
            <w:pPr>
              <w:jc w:val="center"/>
              <w:rPr>
                <w:rFonts w:eastAsia="Times New Roman"/>
                <w:sz w:val="20"/>
                <w:szCs w:val="20"/>
              </w:rPr>
            </w:pPr>
            <w:r w:rsidRPr="007A7685">
              <w:rPr>
                <w:rFonts w:eastAsia="Times New Roman"/>
                <w:sz w:val="20"/>
                <w:szCs w:val="20"/>
              </w:rPr>
              <w:t>53.2</w:t>
            </w:r>
          </w:p>
        </w:tc>
        <w:tc>
          <w:tcPr>
            <w:tcW w:w="842" w:type="dxa"/>
            <w:tcBorders>
              <w:top w:val="nil"/>
              <w:left w:val="single" w:sz="4" w:space="0" w:color="auto"/>
              <w:bottom w:val="nil"/>
              <w:right w:val="single" w:sz="4" w:space="0" w:color="auto"/>
            </w:tcBorders>
            <w:shd w:val="clear" w:color="auto" w:fill="auto"/>
          </w:tcPr>
          <w:p w14:paraId="10B56E12" w14:textId="77777777" w:rsidR="007A7685" w:rsidRPr="007A7685" w:rsidRDefault="007A7685" w:rsidP="007A7685">
            <w:pPr>
              <w:jc w:val="center"/>
              <w:rPr>
                <w:rFonts w:eastAsia="Times New Roman"/>
                <w:sz w:val="20"/>
                <w:szCs w:val="20"/>
              </w:rPr>
            </w:pPr>
            <w:r w:rsidRPr="007A7685">
              <w:rPr>
                <w:rFonts w:eastAsia="Times New Roman"/>
                <w:sz w:val="20"/>
                <w:szCs w:val="20"/>
              </w:rPr>
              <w:t>52.7</w:t>
            </w:r>
          </w:p>
        </w:tc>
        <w:tc>
          <w:tcPr>
            <w:tcW w:w="1182" w:type="dxa"/>
            <w:tcBorders>
              <w:top w:val="nil"/>
              <w:left w:val="single" w:sz="4" w:space="0" w:color="auto"/>
              <w:bottom w:val="nil"/>
              <w:right w:val="single" w:sz="4" w:space="0" w:color="auto"/>
            </w:tcBorders>
            <w:shd w:val="clear" w:color="auto" w:fill="auto"/>
          </w:tcPr>
          <w:p w14:paraId="1B4C50DA"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-0.5</w:t>
            </w:r>
          </w:p>
        </w:tc>
      </w:tr>
      <w:tr w:rsidR="007A7685" w:rsidRPr="007A7685" w14:paraId="3C0B6D9F"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30B81E4F" w14:textId="77777777" w:rsidR="007A7685" w:rsidRPr="007A7685" w:rsidRDefault="007A7685" w:rsidP="007A7685">
            <w:pPr>
              <w:ind w:left="113"/>
              <w:rPr>
                <w:rFonts w:eastAsia="Times New Roman"/>
                <w:sz w:val="20"/>
                <w:szCs w:val="20"/>
              </w:rPr>
            </w:pPr>
            <w:r w:rsidRPr="007A7685">
              <w:rPr>
                <w:rFonts w:eastAsia="Times New Roman"/>
                <w:sz w:val="20"/>
                <w:szCs w:val="20"/>
              </w:rPr>
              <w:t>Derivados del petróleo y del carbón, industria química, del plástico y del hule</w:t>
            </w:r>
          </w:p>
        </w:tc>
        <w:tc>
          <w:tcPr>
            <w:tcW w:w="900" w:type="dxa"/>
            <w:tcBorders>
              <w:top w:val="nil"/>
              <w:left w:val="single" w:sz="4" w:space="0" w:color="auto"/>
              <w:bottom w:val="nil"/>
              <w:right w:val="single" w:sz="4" w:space="0" w:color="auto"/>
            </w:tcBorders>
            <w:shd w:val="clear" w:color="auto" w:fill="auto"/>
            <w:vAlign w:val="center"/>
          </w:tcPr>
          <w:p w14:paraId="226F7978" w14:textId="77777777" w:rsidR="007A7685" w:rsidRPr="007A7685" w:rsidRDefault="007A7685" w:rsidP="007A7685">
            <w:pPr>
              <w:jc w:val="center"/>
              <w:rPr>
                <w:rFonts w:eastAsia="Times New Roman"/>
                <w:sz w:val="20"/>
                <w:szCs w:val="20"/>
              </w:rPr>
            </w:pPr>
            <w:r w:rsidRPr="007A7685">
              <w:rPr>
                <w:rFonts w:eastAsia="Times New Roman"/>
                <w:sz w:val="20"/>
                <w:szCs w:val="20"/>
              </w:rPr>
              <w:t>54.2</w:t>
            </w:r>
          </w:p>
        </w:tc>
        <w:tc>
          <w:tcPr>
            <w:tcW w:w="842" w:type="dxa"/>
            <w:tcBorders>
              <w:top w:val="nil"/>
              <w:left w:val="single" w:sz="4" w:space="0" w:color="auto"/>
              <w:bottom w:val="nil"/>
              <w:right w:val="single" w:sz="4" w:space="0" w:color="auto"/>
            </w:tcBorders>
            <w:shd w:val="clear" w:color="auto" w:fill="auto"/>
            <w:vAlign w:val="center"/>
          </w:tcPr>
          <w:p w14:paraId="2993AFFC" w14:textId="77777777" w:rsidR="007A7685" w:rsidRPr="007A7685" w:rsidRDefault="007A7685" w:rsidP="007A7685">
            <w:pPr>
              <w:jc w:val="center"/>
              <w:rPr>
                <w:rFonts w:eastAsia="Times New Roman"/>
                <w:sz w:val="20"/>
                <w:szCs w:val="20"/>
              </w:rPr>
            </w:pPr>
            <w:r w:rsidRPr="007A7685">
              <w:rPr>
                <w:rFonts w:eastAsia="Times New Roman"/>
                <w:sz w:val="20"/>
                <w:szCs w:val="20"/>
              </w:rPr>
              <w:t>51.9</w:t>
            </w:r>
          </w:p>
        </w:tc>
        <w:tc>
          <w:tcPr>
            <w:tcW w:w="1182" w:type="dxa"/>
            <w:tcBorders>
              <w:top w:val="nil"/>
              <w:left w:val="single" w:sz="4" w:space="0" w:color="auto"/>
              <w:bottom w:val="nil"/>
              <w:right w:val="single" w:sz="4" w:space="0" w:color="auto"/>
            </w:tcBorders>
            <w:shd w:val="clear" w:color="auto" w:fill="auto"/>
            <w:vAlign w:val="center"/>
          </w:tcPr>
          <w:p w14:paraId="21D323A6"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-2.2</w:t>
            </w:r>
          </w:p>
        </w:tc>
      </w:tr>
      <w:tr w:rsidR="007A7685" w:rsidRPr="007A7685" w14:paraId="5C6A97A8"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1D795032" w14:textId="77777777" w:rsidR="007A7685" w:rsidRPr="007A7685" w:rsidRDefault="007A7685" w:rsidP="007A7685">
            <w:pPr>
              <w:ind w:left="113"/>
              <w:rPr>
                <w:rFonts w:eastAsia="Times New Roman"/>
                <w:sz w:val="20"/>
                <w:szCs w:val="20"/>
              </w:rPr>
            </w:pPr>
            <w:r w:rsidRPr="007A7685">
              <w:rPr>
                <w:rFonts w:eastAsia="Times New Roman"/>
                <w:sz w:val="20"/>
                <w:szCs w:val="20"/>
              </w:rPr>
              <w:t>Minerales no metálicos y metálicas básicas</w:t>
            </w:r>
          </w:p>
        </w:tc>
        <w:tc>
          <w:tcPr>
            <w:tcW w:w="900" w:type="dxa"/>
            <w:tcBorders>
              <w:top w:val="nil"/>
              <w:left w:val="single" w:sz="4" w:space="0" w:color="auto"/>
              <w:bottom w:val="nil"/>
              <w:right w:val="single" w:sz="4" w:space="0" w:color="auto"/>
            </w:tcBorders>
            <w:shd w:val="clear" w:color="auto" w:fill="auto"/>
          </w:tcPr>
          <w:p w14:paraId="52064310" w14:textId="77777777" w:rsidR="007A7685" w:rsidRPr="007A7685" w:rsidRDefault="007A7685" w:rsidP="007A7685">
            <w:pPr>
              <w:jc w:val="center"/>
              <w:rPr>
                <w:rFonts w:eastAsia="Times New Roman"/>
                <w:sz w:val="20"/>
                <w:szCs w:val="20"/>
              </w:rPr>
            </w:pPr>
            <w:r w:rsidRPr="007A7685">
              <w:rPr>
                <w:rFonts w:eastAsia="Times New Roman"/>
                <w:sz w:val="20"/>
                <w:szCs w:val="20"/>
              </w:rPr>
              <w:t>53.7</w:t>
            </w:r>
          </w:p>
        </w:tc>
        <w:tc>
          <w:tcPr>
            <w:tcW w:w="842" w:type="dxa"/>
            <w:tcBorders>
              <w:top w:val="nil"/>
              <w:left w:val="single" w:sz="4" w:space="0" w:color="auto"/>
              <w:bottom w:val="nil"/>
              <w:right w:val="single" w:sz="4" w:space="0" w:color="auto"/>
            </w:tcBorders>
            <w:shd w:val="clear" w:color="auto" w:fill="auto"/>
          </w:tcPr>
          <w:p w14:paraId="55479FCB" w14:textId="77777777" w:rsidR="007A7685" w:rsidRPr="007A7685" w:rsidRDefault="007A7685" w:rsidP="007A7685">
            <w:pPr>
              <w:jc w:val="center"/>
              <w:rPr>
                <w:rFonts w:eastAsia="Times New Roman"/>
                <w:sz w:val="20"/>
                <w:szCs w:val="20"/>
              </w:rPr>
            </w:pPr>
            <w:r w:rsidRPr="007A7685">
              <w:rPr>
                <w:rFonts w:eastAsia="Times New Roman"/>
                <w:sz w:val="20"/>
                <w:szCs w:val="20"/>
              </w:rPr>
              <w:t>52.8</w:t>
            </w:r>
          </w:p>
        </w:tc>
        <w:tc>
          <w:tcPr>
            <w:tcW w:w="1182" w:type="dxa"/>
            <w:tcBorders>
              <w:top w:val="nil"/>
              <w:left w:val="single" w:sz="4" w:space="0" w:color="auto"/>
              <w:bottom w:val="nil"/>
              <w:right w:val="single" w:sz="4" w:space="0" w:color="auto"/>
            </w:tcBorders>
            <w:shd w:val="clear" w:color="auto" w:fill="auto"/>
          </w:tcPr>
          <w:p w14:paraId="37CA0690"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-0.9</w:t>
            </w:r>
          </w:p>
        </w:tc>
      </w:tr>
      <w:tr w:rsidR="007A7685" w:rsidRPr="007A7685" w14:paraId="4A6CD7EA"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0048DD9B" w14:textId="77777777" w:rsidR="007A7685" w:rsidRPr="007A7685" w:rsidRDefault="007A7685" w:rsidP="007A7685">
            <w:pPr>
              <w:ind w:left="113"/>
              <w:rPr>
                <w:rFonts w:eastAsia="Times New Roman"/>
                <w:sz w:val="20"/>
                <w:szCs w:val="20"/>
              </w:rPr>
            </w:pPr>
            <w:r w:rsidRPr="007A7685">
              <w:rPr>
                <w:rFonts w:eastAsia="Times New Roman"/>
                <w:sz w:val="20"/>
                <w:szCs w:val="20"/>
              </w:rPr>
              <w:t>Equipo de computación, accesorios electrónicos y aparatos eléctricos</w:t>
            </w:r>
          </w:p>
        </w:tc>
        <w:tc>
          <w:tcPr>
            <w:tcW w:w="900" w:type="dxa"/>
            <w:tcBorders>
              <w:top w:val="nil"/>
              <w:left w:val="single" w:sz="4" w:space="0" w:color="auto"/>
              <w:bottom w:val="nil"/>
              <w:right w:val="single" w:sz="4" w:space="0" w:color="auto"/>
            </w:tcBorders>
            <w:shd w:val="clear" w:color="auto" w:fill="auto"/>
            <w:vAlign w:val="center"/>
          </w:tcPr>
          <w:p w14:paraId="066A210F" w14:textId="77777777" w:rsidR="007A7685" w:rsidRPr="007A7685" w:rsidRDefault="007A7685" w:rsidP="007A7685">
            <w:pPr>
              <w:jc w:val="center"/>
              <w:rPr>
                <w:rFonts w:eastAsia="Times New Roman"/>
                <w:sz w:val="20"/>
                <w:szCs w:val="20"/>
              </w:rPr>
            </w:pPr>
            <w:r w:rsidRPr="007A7685">
              <w:rPr>
                <w:rFonts w:eastAsia="Times New Roman"/>
                <w:sz w:val="20"/>
                <w:szCs w:val="20"/>
              </w:rPr>
              <w:t>53.1</w:t>
            </w:r>
          </w:p>
        </w:tc>
        <w:tc>
          <w:tcPr>
            <w:tcW w:w="842" w:type="dxa"/>
            <w:tcBorders>
              <w:top w:val="nil"/>
              <w:left w:val="single" w:sz="4" w:space="0" w:color="auto"/>
              <w:bottom w:val="nil"/>
              <w:right w:val="single" w:sz="4" w:space="0" w:color="auto"/>
            </w:tcBorders>
            <w:shd w:val="clear" w:color="auto" w:fill="auto"/>
            <w:vAlign w:val="center"/>
          </w:tcPr>
          <w:p w14:paraId="3082F433" w14:textId="77777777" w:rsidR="007A7685" w:rsidRPr="007A7685" w:rsidRDefault="007A7685" w:rsidP="007A7685">
            <w:pPr>
              <w:jc w:val="center"/>
              <w:rPr>
                <w:rFonts w:eastAsia="Times New Roman"/>
                <w:sz w:val="20"/>
                <w:szCs w:val="20"/>
              </w:rPr>
            </w:pPr>
            <w:r w:rsidRPr="007A7685">
              <w:rPr>
                <w:rFonts w:eastAsia="Times New Roman"/>
                <w:sz w:val="20"/>
                <w:szCs w:val="20"/>
              </w:rPr>
              <w:t>52.1</w:t>
            </w:r>
          </w:p>
        </w:tc>
        <w:tc>
          <w:tcPr>
            <w:tcW w:w="1182" w:type="dxa"/>
            <w:tcBorders>
              <w:top w:val="nil"/>
              <w:left w:val="single" w:sz="4" w:space="0" w:color="auto"/>
              <w:bottom w:val="nil"/>
              <w:right w:val="single" w:sz="4" w:space="0" w:color="auto"/>
            </w:tcBorders>
            <w:shd w:val="clear" w:color="auto" w:fill="auto"/>
            <w:vAlign w:val="center"/>
          </w:tcPr>
          <w:p w14:paraId="2ADF0FC6"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-1.0</w:t>
            </w:r>
          </w:p>
        </w:tc>
      </w:tr>
      <w:tr w:rsidR="007A7685" w:rsidRPr="007A7685" w14:paraId="21052CCF"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4CA3F7F2" w14:textId="77777777" w:rsidR="007A7685" w:rsidRPr="007A7685" w:rsidRDefault="007A7685" w:rsidP="007A7685">
            <w:pPr>
              <w:ind w:left="113"/>
              <w:rPr>
                <w:rFonts w:eastAsia="Times New Roman"/>
                <w:sz w:val="20"/>
                <w:szCs w:val="20"/>
              </w:rPr>
            </w:pPr>
            <w:r w:rsidRPr="007A7685">
              <w:rPr>
                <w:rFonts w:eastAsia="Times New Roman"/>
                <w:sz w:val="20"/>
                <w:szCs w:val="20"/>
              </w:rPr>
              <w:t>Equipo de transporte</w:t>
            </w:r>
          </w:p>
        </w:tc>
        <w:tc>
          <w:tcPr>
            <w:tcW w:w="900" w:type="dxa"/>
            <w:tcBorders>
              <w:top w:val="nil"/>
              <w:left w:val="single" w:sz="4" w:space="0" w:color="auto"/>
              <w:bottom w:val="nil"/>
              <w:right w:val="single" w:sz="4" w:space="0" w:color="auto"/>
            </w:tcBorders>
            <w:shd w:val="clear" w:color="auto" w:fill="auto"/>
          </w:tcPr>
          <w:p w14:paraId="496BEF75" w14:textId="77777777" w:rsidR="007A7685" w:rsidRPr="007A7685" w:rsidRDefault="007A7685" w:rsidP="007A7685">
            <w:pPr>
              <w:jc w:val="center"/>
              <w:rPr>
                <w:rFonts w:eastAsia="Times New Roman"/>
                <w:sz w:val="20"/>
                <w:szCs w:val="20"/>
              </w:rPr>
            </w:pPr>
            <w:r w:rsidRPr="007A7685">
              <w:rPr>
                <w:rFonts w:eastAsia="Times New Roman"/>
                <w:sz w:val="20"/>
                <w:szCs w:val="20"/>
              </w:rPr>
              <w:t>55.1</w:t>
            </w:r>
          </w:p>
        </w:tc>
        <w:tc>
          <w:tcPr>
            <w:tcW w:w="842" w:type="dxa"/>
            <w:tcBorders>
              <w:top w:val="nil"/>
              <w:left w:val="single" w:sz="4" w:space="0" w:color="auto"/>
              <w:bottom w:val="nil"/>
              <w:right w:val="single" w:sz="4" w:space="0" w:color="auto"/>
            </w:tcBorders>
            <w:shd w:val="clear" w:color="auto" w:fill="auto"/>
          </w:tcPr>
          <w:p w14:paraId="4CCE2E99" w14:textId="77777777" w:rsidR="007A7685" w:rsidRPr="007A7685" w:rsidRDefault="007A7685" w:rsidP="007A7685">
            <w:pPr>
              <w:jc w:val="center"/>
              <w:rPr>
                <w:rFonts w:eastAsia="Times New Roman"/>
                <w:sz w:val="20"/>
                <w:szCs w:val="20"/>
              </w:rPr>
            </w:pPr>
            <w:r w:rsidRPr="007A7685">
              <w:rPr>
                <w:rFonts w:eastAsia="Times New Roman"/>
                <w:sz w:val="20"/>
                <w:szCs w:val="20"/>
              </w:rPr>
              <w:t>54.9</w:t>
            </w:r>
          </w:p>
        </w:tc>
        <w:tc>
          <w:tcPr>
            <w:tcW w:w="1182" w:type="dxa"/>
            <w:tcBorders>
              <w:top w:val="nil"/>
              <w:left w:val="single" w:sz="4" w:space="0" w:color="auto"/>
              <w:bottom w:val="nil"/>
              <w:right w:val="single" w:sz="4" w:space="0" w:color="auto"/>
            </w:tcBorders>
            <w:shd w:val="clear" w:color="auto" w:fill="auto"/>
          </w:tcPr>
          <w:p w14:paraId="1CDE8E48"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-0.3</w:t>
            </w:r>
          </w:p>
        </w:tc>
      </w:tr>
      <w:tr w:rsidR="007A7685" w:rsidRPr="007A7685" w14:paraId="29CDEA8C" w14:textId="77777777" w:rsidTr="00BA61DD">
        <w:trPr>
          <w:jc w:val="center"/>
        </w:trPr>
        <w:tc>
          <w:tcPr>
            <w:tcW w:w="5350" w:type="dxa"/>
            <w:tcBorders>
              <w:top w:val="nil"/>
              <w:left w:val="single" w:sz="4" w:space="0" w:color="auto"/>
              <w:bottom w:val="nil"/>
              <w:right w:val="single" w:sz="4" w:space="0" w:color="auto"/>
            </w:tcBorders>
            <w:shd w:val="clear" w:color="auto" w:fill="auto"/>
          </w:tcPr>
          <w:p w14:paraId="5E94D412" w14:textId="77777777" w:rsidR="007A7685" w:rsidRPr="007A7685" w:rsidRDefault="007A7685" w:rsidP="007A7685">
            <w:pPr>
              <w:ind w:left="113"/>
              <w:rPr>
                <w:rFonts w:eastAsia="Times New Roman"/>
                <w:sz w:val="20"/>
                <w:szCs w:val="20"/>
              </w:rPr>
            </w:pPr>
            <w:r w:rsidRPr="007A7685">
              <w:rPr>
                <w:rFonts w:eastAsia="Times New Roman"/>
                <w:sz w:val="20"/>
                <w:szCs w:val="20"/>
              </w:rPr>
              <w:t>Productos metálicos, maquinaria, equipo y muebles</w:t>
            </w:r>
          </w:p>
        </w:tc>
        <w:tc>
          <w:tcPr>
            <w:tcW w:w="900" w:type="dxa"/>
            <w:tcBorders>
              <w:top w:val="nil"/>
              <w:left w:val="single" w:sz="4" w:space="0" w:color="auto"/>
              <w:bottom w:val="nil"/>
              <w:right w:val="single" w:sz="4" w:space="0" w:color="auto"/>
            </w:tcBorders>
            <w:shd w:val="clear" w:color="auto" w:fill="auto"/>
          </w:tcPr>
          <w:p w14:paraId="0E988C56" w14:textId="77777777" w:rsidR="007A7685" w:rsidRPr="007A7685" w:rsidRDefault="007A7685" w:rsidP="007A7685">
            <w:pPr>
              <w:jc w:val="center"/>
              <w:rPr>
                <w:rFonts w:eastAsia="Times New Roman"/>
                <w:sz w:val="20"/>
                <w:szCs w:val="20"/>
              </w:rPr>
            </w:pPr>
            <w:r w:rsidRPr="007A7685">
              <w:rPr>
                <w:rFonts w:eastAsia="Times New Roman"/>
                <w:sz w:val="20"/>
                <w:szCs w:val="20"/>
              </w:rPr>
              <w:t>52.3</w:t>
            </w:r>
          </w:p>
        </w:tc>
        <w:tc>
          <w:tcPr>
            <w:tcW w:w="842" w:type="dxa"/>
            <w:tcBorders>
              <w:top w:val="nil"/>
              <w:left w:val="single" w:sz="4" w:space="0" w:color="auto"/>
              <w:bottom w:val="nil"/>
              <w:right w:val="single" w:sz="4" w:space="0" w:color="auto"/>
            </w:tcBorders>
            <w:shd w:val="clear" w:color="auto" w:fill="auto"/>
          </w:tcPr>
          <w:p w14:paraId="0D4C71E6" w14:textId="77777777" w:rsidR="007A7685" w:rsidRPr="007A7685" w:rsidRDefault="007A7685" w:rsidP="007A7685">
            <w:pPr>
              <w:jc w:val="center"/>
              <w:rPr>
                <w:rFonts w:eastAsia="Times New Roman"/>
                <w:sz w:val="20"/>
                <w:szCs w:val="20"/>
              </w:rPr>
            </w:pPr>
            <w:r w:rsidRPr="007A7685">
              <w:rPr>
                <w:rFonts w:eastAsia="Times New Roman"/>
                <w:sz w:val="20"/>
                <w:szCs w:val="20"/>
              </w:rPr>
              <w:t>52.8</w:t>
            </w:r>
          </w:p>
        </w:tc>
        <w:tc>
          <w:tcPr>
            <w:tcW w:w="1182" w:type="dxa"/>
            <w:tcBorders>
              <w:top w:val="nil"/>
              <w:left w:val="single" w:sz="4" w:space="0" w:color="auto"/>
              <w:bottom w:val="nil"/>
              <w:right w:val="single" w:sz="4" w:space="0" w:color="auto"/>
            </w:tcBorders>
            <w:shd w:val="clear" w:color="auto" w:fill="auto"/>
          </w:tcPr>
          <w:p w14:paraId="48BA2FF0"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0.5</w:t>
            </w:r>
          </w:p>
        </w:tc>
      </w:tr>
      <w:tr w:rsidR="007A7685" w:rsidRPr="007A7685" w14:paraId="22EFF059" w14:textId="77777777" w:rsidTr="00BA61DD">
        <w:trPr>
          <w:jc w:val="center"/>
        </w:trPr>
        <w:tc>
          <w:tcPr>
            <w:tcW w:w="5350" w:type="dxa"/>
            <w:tcBorders>
              <w:top w:val="nil"/>
              <w:left w:val="single" w:sz="4" w:space="0" w:color="auto"/>
              <w:bottom w:val="single" w:sz="4" w:space="0" w:color="auto"/>
              <w:right w:val="single" w:sz="4" w:space="0" w:color="auto"/>
            </w:tcBorders>
            <w:shd w:val="clear" w:color="auto" w:fill="auto"/>
          </w:tcPr>
          <w:p w14:paraId="5BABC6F6" w14:textId="77777777" w:rsidR="007A7685" w:rsidRPr="007A7685" w:rsidRDefault="007A7685" w:rsidP="007A7685">
            <w:pPr>
              <w:ind w:left="113"/>
              <w:rPr>
                <w:rFonts w:eastAsia="Times New Roman"/>
                <w:sz w:val="20"/>
                <w:szCs w:val="20"/>
              </w:rPr>
            </w:pPr>
            <w:r w:rsidRPr="007A7685">
              <w:rPr>
                <w:rFonts w:eastAsia="Times New Roman"/>
                <w:sz w:val="20"/>
                <w:szCs w:val="20"/>
              </w:rPr>
              <w:t>Textiles, prendas de vestir, cuero y piel, madera, papel y otras</w:t>
            </w:r>
          </w:p>
        </w:tc>
        <w:tc>
          <w:tcPr>
            <w:tcW w:w="900" w:type="dxa"/>
            <w:tcBorders>
              <w:top w:val="nil"/>
              <w:left w:val="single" w:sz="4" w:space="0" w:color="auto"/>
              <w:bottom w:val="single" w:sz="4" w:space="0" w:color="auto"/>
              <w:right w:val="single" w:sz="4" w:space="0" w:color="auto"/>
            </w:tcBorders>
            <w:shd w:val="clear" w:color="auto" w:fill="auto"/>
          </w:tcPr>
          <w:p w14:paraId="67FCBDDB" w14:textId="77777777" w:rsidR="007A7685" w:rsidRPr="007A7685" w:rsidRDefault="007A7685" w:rsidP="007A7685">
            <w:pPr>
              <w:jc w:val="center"/>
              <w:rPr>
                <w:rFonts w:eastAsia="Times New Roman"/>
                <w:sz w:val="20"/>
                <w:szCs w:val="20"/>
              </w:rPr>
            </w:pPr>
            <w:r w:rsidRPr="007A7685">
              <w:rPr>
                <w:rFonts w:eastAsia="Times New Roman"/>
                <w:sz w:val="20"/>
                <w:szCs w:val="20"/>
              </w:rPr>
              <w:t>53.1</w:t>
            </w:r>
          </w:p>
        </w:tc>
        <w:tc>
          <w:tcPr>
            <w:tcW w:w="842" w:type="dxa"/>
            <w:tcBorders>
              <w:top w:val="nil"/>
              <w:left w:val="single" w:sz="4" w:space="0" w:color="auto"/>
              <w:bottom w:val="single" w:sz="4" w:space="0" w:color="auto"/>
              <w:right w:val="single" w:sz="4" w:space="0" w:color="auto"/>
            </w:tcBorders>
            <w:shd w:val="clear" w:color="auto" w:fill="auto"/>
          </w:tcPr>
          <w:p w14:paraId="660C6960" w14:textId="77777777" w:rsidR="007A7685" w:rsidRPr="007A7685" w:rsidRDefault="007A7685" w:rsidP="007A7685">
            <w:pPr>
              <w:jc w:val="center"/>
              <w:rPr>
                <w:rFonts w:eastAsia="Times New Roman"/>
                <w:sz w:val="20"/>
                <w:szCs w:val="20"/>
              </w:rPr>
            </w:pPr>
            <w:r w:rsidRPr="007A7685">
              <w:rPr>
                <w:rFonts w:eastAsia="Times New Roman"/>
                <w:sz w:val="20"/>
                <w:szCs w:val="20"/>
              </w:rPr>
              <w:t>52.5</w:t>
            </w:r>
          </w:p>
        </w:tc>
        <w:tc>
          <w:tcPr>
            <w:tcW w:w="1182" w:type="dxa"/>
            <w:tcBorders>
              <w:top w:val="nil"/>
              <w:left w:val="single" w:sz="4" w:space="0" w:color="auto"/>
              <w:bottom w:val="single" w:sz="4" w:space="0" w:color="auto"/>
              <w:right w:val="single" w:sz="4" w:space="0" w:color="auto"/>
            </w:tcBorders>
            <w:shd w:val="clear" w:color="auto" w:fill="auto"/>
          </w:tcPr>
          <w:p w14:paraId="05337A85" w14:textId="77777777" w:rsidR="007A7685" w:rsidRPr="007A7685" w:rsidRDefault="007A7685" w:rsidP="007A7685">
            <w:pPr>
              <w:ind w:right="340"/>
              <w:jc w:val="right"/>
              <w:rPr>
                <w:rFonts w:eastAsia="Times New Roman"/>
                <w:sz w:val="20"/>
                <w:szCs w:val="20"/>
              </w:rPr>
            </w:pPr>
            <w:r w:rsidRPr="007A7685">
              <w:rPr>
                <w:rFonts w:eastAsia="Times New Roman"/>
                <w:sz w:val="20"/>
                <w:szCs w:val="20"/>
              </w:rPr>
              <w:t>-0.6</w:t>
            </w:r>
          </w:p>
        </w:tc>
      </w:tr>
      <w:tr w:rsidR="007A7685" w:rsidRPr="007A7685" w14:paraId="292975FC" w14:textId="77777777" w:rsidTr="00BA61DD">
        <w:trPr>
          <w:jc w:val="center"/>
        </w:trPr>
        <w:tc>
          <w:tcPr>
            <w:tcW w:w="8274" w:type="dxa"/>
            <w:gridSpan w:val="4"/>
            <w:tcBorders>
              <w:top w:val="single" w:sz="4" w:space="0" w:color="auto"/>
              <w:left w:val="nil"/>
              <w:bottom w:val="nil"/>
              <w:right w:val="nil"/>
            </w:tcBorders>
          </w:tcPr>
          <w:p w14:paraId="69E44A5D" w14:textId="77777777" w:rsidR="007A7685" w:rsidRPr="007A7685" w:rsidRDefault="007A7685" w:rsidP="007A7685">
            <w:pPr>
              <w:rPr>
                <w:rFonts w:eastAsia="Times New Roman"/>
                <w:sz w:val="20"/>
                <w:szCs w:val="20"/>
              </w:rPr>
            </w:pPr>
            <w:r w:rsidRPr="007A7685">
              <w:rPr>
                <w:rFonts w:eastAsia="Times New Roman"/>
                <w:sz w:val="20"/>
                <w:szCs w:val="20"/>
              </w:rPr>
              <w:t>Nota: Los indicadores se generan con los datos referidos al mes de la entrevista.</w:t>
            </w:r>
          </w:p>
          <w:p w14:paraId="7605CF49" w14:textId="77777777" w:rsidR="007A7685" w:rsidRPr="007A7685" w:rsidRDefault="007A7685" w:rsidP="007A7685">
            <w:pPr>
              <w:ind w:left="227" w:hanging="227"/>
              <w:rPr>
                <w:rFonts w:eastAsia="Times New Roman"/>
                <w:sz w:val="20"/>
                <w:szCs w:val="20"/>
              </w:rPr>
            </w:pPr>
            <w:r w:rsidRPr="007A7685">
              <w:rPr>
                <w:rFonts w:eastAsia="Times New Roman"/>
                <w:sz w:val="20"/>
                <w:szCs w:val="20"/>
                <w:u w:val="single"/>
              </w:rPr>
              <w:t>1</w:t>
            </w:r>
            <w:r w:rsidRPr="007A7685">
              <w:rPr>
                <w:rFonts w:eastAsia="Times New Roman"/>
                <w:sz w:val="20"/>
                <w:szCs w:val="20"/>
              </w:rPr>
              <w:t>/ Las diferencias en puntos se obtienen de los respectivos indicadores considerando todos sus decimales.</w:t>
            </w:r>
          </w:p>
          <w:p w14:paraId="57EE2D3D" w14:textId="77777777" w:rsidR="007A7685" w:rsidRPr="007A7685" w:rsidRDefault="007A7685" w:rsidP="007A7685">
            <w:pPr>
              <w:rPr>
                <w:rFonts w:eastAsia="Times New Roman"/>
                <w:sz w:val="20"/>
                <w:szCs w:val="20"/>
              </w:rPr>
            </w:pPr>
            <w:r w:rsidRPr="007A7685">
              <w:rPr>
                <w:rFonts w:eastAsia="Times New Roman"/>
                <w:sz w:val="20"/>
                <w:szCs w:val="20"/>
                <w:u w:val="single"/>
              </w:rPr>
              <w:t>p</w:t>
            </w:r>
            <w:r w:rsidRPr="007A7685">
              <w:rPr>
                <w:rFonts w:eastAsia="Times New Roman"/>
                <w:sz w:val="20"/>
                <w:szCs w:val="20"/>
              </w:rPr>
              <w:t>/ Dato preliminar.</w:t>
            </w:r>
          </w:p>
          <w:p w14:paraId="674A519A" w14:textId="77777777" w:rsidR="007A7685" w:rsidRPr="007A7685" w:rsidRDefault="007A7685" w:rsidP="007A7685">
            <w:pPr>
              <w:rPr>
                <w:rFonts w:eastAsia="Times New Roman"/>
                <w:sz w:val="20"/>
                <w:szCs w:val="20"/>
              </w:rPr>
            </w:pPr>
            <w:r w:rsidRPr="007A7685">
              <w:rPr>
                <w:rFonts w:eastAsia="Times New Roman"/>
                <w:sz w:val="20"/>
                <w:szCs w:val="20"/>
              </w:rPr>
              <w:t>FUENTE: INEGI.</w:t>
            </w:r>
          </w:p>
        </w:tc>
      </w:tr>
    </w:tbl>
    <w:p w14:paraId="36A013BF" w14:textId="77777777" w:rsidR="007A7685" w:rsidRPr="007A7685" w:rsidRDefault="007A7685" w:rsidP="007A7685"/>
    <w:p w14:paraId="36226000" w14:textId="77777777" w:rsidR="007A7685" w:rsidRPr="007A7685" w:rsidRDefault="007A7685" w:rsidP="007A7685">
      <w:pPr>
        <w:rPr>
          <w:b/>
          <w:sz w:val="20"/>
          <w:szCs w:val="20"/>
        </w:rPr>
      </w:pPr>
      <w:r w:rsidRPr="007A7685">
        <w:rPr>
          <w:b/>
          <w:sz w:val="20"/>
          <w:szCs w:val="20"/>
        </w:rPr>
        <w:t>Fuente de información:</w:t>
      </w:r>
    </w:p>
    <w:p w14:paraId="5FC9C321" w14:textId="77777777" w:rsidR="007A7685" w:rsidRPr="00E630EC" w:rsidRDefault="0045651A" w:rsidP="007A7685">
      <w:pPr>
        <w:rPr>
          <w:color w:val="0000FF"/>
          <w:sz w:val="20"/>
          <w:szCs w:val="20"/>
        </w:rPr>
      </w:pPr>
      <w:hyperlink r:id="rId115" w:history="1">
        <w:r w:rsidR="007A7685" w:rsidRPr="00E630EC">
          <w:rPr>
            <w:color w:val="0000FF"/>
            <w:sz w:val="20"/>
            <w:szCs w:val="20"/>
            <w:u w:val="single"/>
          </w:rPr>
          <w:t>http://www.inegi.org.mx/saladeprensa/boletines/2015/ipm/ipm2015_04.pdf</w:t>
        </w:r>
      </w:hyperlink>
      <w:r w:rsidR="007A7685" w:rsidRPr="00E630EC">
        <w:rPr>
          <w:color w:val="0000FF"/>
          <w:sz w:val="20"/>
          <w:szCs w:val="20"/>
        </w:rPr>
        <w:t xml:space="preserve"> </w:t>
      </w:r>
    </w:p>
    <w:p w14:paraId="4C4F31FA" w14:textId="6E53672E" w:rsidR="00903378" w:rsidRDefault="00903378" w:rsidP="00D067C7">
      <w:pPr>
        <w:spacing w:after="360" w:line="360" w:lineRule="auto"/>
        <w:ind w:right="-159"/>
        <w:jc w:val="both"/>
        <w:rPr>
          <w:rFonts w:eastAsia="Times New Roman"/>
          <w:sz w:val="26"/>
          <w:szCs w:val="26"/>
        </w:rPr>
      </w:pPr>
    </w:p>
    <w:p w14:paraId="0F5EF43C" w14:textId="77777777" w:rsidR="00C342AC" w:rsidRDefault="00C342AC" w:rsidP="0061291B">
      <w:pPr>
        <w:spacing w:after="360" w:line="360" w:lineRule="auto"/>
        <w:ind w:right="-159"/>
        <w:jc w:val="both"/>
        <w:rPr>
          <w:rFonts w:eastAsia="Times New Roman"/>
          <w:sz w:val="26"/>
          <w:szCs w:val="26"/>
        </w:rPr>
      </w:pPr>
    </w:p>
    <w:p w14:paraId="489283BE" w14:textId="7E170072" w:rsidR="00502AD1" w:rsidRDefault="00502AD1">
      <w:pPr>
        <w:rPr>
          <w:rFonts w:eastAsia="Times New Roman"/>
          <w:sz w:val="26"/>
          <w:szCs w:val="26"/>
        </w:rPr>
      </w:pPr>
      <w:r>
        <w:rPr>
          <w:rFonts w:eastAsia="Times New Roman"/>
          <w:sz w:val="26"/>
          <w:szCs w:val="26"/>
        </w:rPr>
        <w:br w:type="page"/>
      </w:r>
    </w:p>
    <w:p w14:paraId="44988E57" w14:textId="77777777" w:rsidR="000D7506" w:rsidRPr="000D7506" w:rsidRDefault="000D7506" w:rsidP="000D7506">
      <w:pPr>
        <w:spacing w:after="360" w:line="360" w:lineRule="auto"/>
        <w:ind w:right="-159"/>
        <w:jc w:val="both"/>
        <w:rPr>
          <w:rFonts w:eastAsia="Times New Roman"/>
          <w:b/>
          <w:sz w:val="26"/>
          <w:szCs w:val="26"/>
          <w:lang w:val="es-ES"/>
        </w:rPr>
      </w:pPr>
      <w:r w:rsidRPr="000D7506">
        <w:rPr>
          <w:rFonts w:eastAsia="Times New Roman"/>
          <w:b/>
          <w:sz w:val="26"/>
          <w:szCs w:val="26"/>
        </w:rPr>
        <w:lastRenderedPageBreak/>
        <w:t xml:space="preserve">Índice de Confianza del Consumidor durante </w:t>
      </w:r>
      <w:r w:rsidRPr="000D7506">
        <w:rPr>
          <w:rFonts w:eastAsia="Times New Roman"/>
          <w:b/>
          <w:sz w:val="26"/>
          <w:szCs w:val="26"/>
          <w:lang w:val="es-ES"/>
        </w:rPr>
        <w:t>marzo de 2015 (INEGI)</w:t>
      </w:r>
    </w:p>
    <w:p w14:paraId="2B99710E" w14:textId="77777777" w:rsidR="000D7506" w:rsidRPr="000D7506" w:rsidRDefault="000D7506" w:rsidP="000D7506">
      <w:pPr>
        <w:spacing w:before="100" w:beforeAutospacing="1" w:after="360" w:line="360" w:lineRule="auto"/>
        <w:ind w:right="-159"/>
        <w:jc w:val="both"/>
        <w:rPr>
          <w:rFonts w:eastAsia="Times New Roman"/>
          <w:sz w:val="26"/>
          <w:szCs w:val="26"/>
        </w:rPr>
      </w:pPr>
      <w:r w:rsidRPr="000D7506">
        <w:rPr>
          <w:rFonts w:eastAsia="Times New Roman"/>
          <w:sz w:val="26"/>
          <w:szCs w:val="26"/>
        </w:rPr>
        <w:t>El 8 de abril de 2015, el Instituto Nacional de Estadística y Geografía (INEGI) dio a conocer el “Índice de Confianza del Consumidor (ICC)” de marzo, con base en los resultados de la Encuesta Nacional sobre la Confianza del Consumidor (ENCO), que recaban de manera conjunta el INEGI y el Banco de México (Banxico) en 32 ciudades del país, las cuales comprenden a la totalidad de las entidades federativas. Cabe señalar que el ICC se conforma de cinco indicadores parciales: dos recogen las opiniones sobre la situación económica actual y esperada del hogar de los entrevistados; otros dos captan las percepciones sobre la situación económica presente y futuras del país, y el quinto considera la visión de los consumidores acerca de que tan propicio es el momento actual para adquisición de bienes de consumo duradero.</w:t>
      </w:r>
    </w:p>
    <w:p w14:paraId="3892EA92" w14:textId="77777777" w:rsidR="000D7506" w:rsidRPr="000D7506" w:rsidRDefault="000D7506" w:rsidP="000D7506">
      <w:pPr>
        <w:ind w:right="-159"/>
        <w:jc w:val="both"/>
        <w:rPr>
          <w:rFonts w:eastAsia="Times New Roman"/>
          <w:b/>
          <w:sz w:val="26"/>
          <w:szCs w:val="26"/>
        </w:rPr>
      </w:pPr>
      <w:r w:rsidRPr="000D7506">
        <w:rPr>
          <w:rFonts w:eastAsia="Times New Roman"/>
          <w:b/>
          <w:sz w:val="26"/>
          <w:szCs w:val="26"/>
        </w:rPr>
        <w:t>Comportamiento de los componentes del Índice de Confianza del Consumidor: Cifras desestacionalizadas</w:t>
      </w:r>
    </w:p>
    <w:p w14:paraId="773DBDA0" w14:textId="77777777" w:rsidR="000D7506" w:rsidRPr="000D7506" w:rsidRDefault="000D7506" w:rsidP="000D7506">
      <w:pPr>
        <w:ind w:right="-159"/>
        <w:jc w:val="both"/>
        <w:rPr>
          <w:rFonts w:eastAsia="Times New Roman"/>
          <w:b/>
          <w:sz w:val="26"/>
          <w:szCs w:val="26"/>
        </w:rPr>
      </w:pPr>
    </w:p>
    <w:p w14:paraId="16A0941F" w14:textId="77777777" w:rsidR="000D7506" w:rsidRPr="000D7506" w:rsidRDefault="000D7506" w:rsidP="000D7506">
      <w:pPr>
        <w:spacing w:after="360" w:line="360" w:lineRule="auto"/>
        <w:ind w:right="-159"/>
        <w:jc w:val="both"/>
        <w:rPr>
          <w:rFonts w:eastAsia="Times New Roman"/>
          <w:sz w:val="26"/>
          <w:szCs w:val="26"/>
        </w:rPr>
      </w:pPr>
      <w:r w:rsidRPr="000D7506">
        <w:rPr>
          <w:rFonts w:eastAsia="Times New Roman"/>
          <w:sz w:val="26"/>
          <w:szCs w:val="26"/>
        </w:rPr>
        <w:t>El ICC reportó en marzo de 2015 un crecimiento mensual de 0.11% con cifras ajustadas por estacionalidad.</w:t>
      </w:r>
    </w:p>
    <w:p w14:paraId="295F1971" w14:textId="77777777" w:rsidR="000D7506" w:rsidRPr="000D7506" w:rsidRDefault="000D7506" w:rsidP="000D7506">
      <w:pPr>
        <w:spacing w:after="360" w:line="360" w:lineRule="auto"/>
        <w:ind w:right="-159"/>
        <w:jc w:val="center"/>
        <w:rPr>
          <w:rFonts w:eastAsia="Times New Roman"/>
          <w:sz w:val="26"/>
          <w:szCs w:val="26"/>
        </w:rPr>
      </w:pPr>
      <w:r w:rsidRPr="000D7506">
        <w:fldChar w:fldCharType="begin"/>
      </w:r>
      <w:r w:rsidRPr="000D7506">
        <w:instrText xml:space="preserve"> LINK PowerPoint.Slide.8 "D:\\2015\\ABRIL\\GRÁFICAS POWER POINT\\16.- GRÁFICAS DEL ÍNDICE DE CONFIANZA DEL CONSUMIDOR.pptx!257" "" \a \p </w:instrText>
      </w:r>
      <w:r w:rsidRPr="000D7506">
        <w:fldChar w:fldCharType="separate"/>
      </w:r>
      <w:r w:rsidRPr="000D7506">
        <w:rPr>
          <w:noProof/>
          <w:lang w:eastAsia="es-MX"/>
        </w:rPr>
        <w:drawing>
          <wp:inline distT="0" distB="0" distL="0" distR="0" wp14:anchorId="05AE0846" wp14:editId="00801D7B">
            <wp:extent cx="4553585" cy="3181985"/>
            <wp:effectExtent l="0" t="0" r="0" b="0"/>
            <wp:docPr id="1499" name="Imagen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16" cstate="print">
                      <a:extLst>
                        <a:ext uri="{28A0092B-C50C-407E-A947-70E740481C1C}">
                          <a14:useLocalDpi xmlns:a14="http://schemas.microsoft.com/office/drawing/2010/main" val="0"/>
                        </a:ext>
                      </a:extLst>
                    </a:blip>
                    <a:srcRect l="13078" t="1390" r="12163" b="5800"/>
                    <a:stretch>
                      <a:fillRect/>
                    </a:stretch>
                  </pic:blipFill>
                  <pic:spPr bwMode="auto">
                    <a:xfrm>
                      <a:off x="0" y="0"/>
                      <a:ext cx="4553585" cy="3181985"/>
                    </a:xfrm>
                    <a:prstGeom prst="rect">
                      <a:avLst/>
                    </a:prstGeom>
                    <a:noFill/>
                    <a:ln>
                      <a:noFill/>
                    </a:ln>
                  </pic:spPr>
                </pic:pic>
              </a:graphicData>
            </a:graphic>
          </wp:inline>
        </w:drawing>
      </w:r>
      <w:r w:rsidRPr="000D7506">
        <w:fldChar w:fldCharType="end"/>
      </w:r>
    </w:p>
    <w:p w14:paraId="405FD606" w14:textId="77777777" w:rsidR="000D7506" w:rsidRPr="000D7506" w:rsidRDefault="000D7506" w:rsidP="000D7506">
      <w:pPr>
        <w:spacing w:after="360" w:line="360" w:lineRule="auto"/>
        <w:ind w:right="-159"/>
        <w:jc w:val="both"/>
        <w:rPr>
          <w:rFonts w:eastAsia="Times New Roman"/>
          <w:noProof/>
          <w:sz w:val="26"/>
          <w:szCs w:val="26"/>
          <w:lang w:val="es-ES_tradnl" w:eastAsia="es-MX"/>
        </w:rPr>
      </w:pPr>
      <w:r w:rsidRPr="000D7506">
        <w:rPr>
          <w:rFonts w:eastAsia="Times New Roman"/>
          <w:noProof/>
          <w:sz w:val="26"/>
          <w:szCs w:val="26"/>
          <w:lang w:eastAsia="es-MX"/>
        </w:rPr>
        <w:lastRenderedPageBreak/>
        <w:t>Con datos desestacionalizados, en el tercer mes de 2015, el indicador referente a la situación económica de los integrantes del hogar en el momento actual frente a la que tenían hace doce meses mostró un incremento mensual de 1.89%. Por su parte, el componente que mide la situación económica que se espera para los miembros del hogar dentro de doce meses, respecto a la que registran en el momento actual presentó un descenso de 1.17% con relación al nivel alcanzado en febrero pasado. El que evalúa la percepción de los consumidores acerca de la situación económica del país hoy en día comparada con la que prevaleció hace doce meses reportó un aumento mensual de 2.61%. El rubro que capta las expectativas sobre la condición económica del país dentro de un año respecto a la situación actual registró un alza de 0.18% con relación al mes previo. Por último, el indicador que hace mención a las posibilidades en el momento actual por parte de los integrantes del hogar, comparadas con las de hace un año, para efectuar compras de bienes durables, tales como muebles, televisor, lavadora y otros aparatos electrodomésticos, avanzó 2.72% a tasa mensual.</w:t>
      </w:r>
    </w:p>
    <w:tbl>
      <w:tblPr>
        <w:tblW w:w="0" w:type="auto"/>
        <w:tblLook w:val="04A0" w:firstRow="1" w:lastRow="0" w:firstColumn="1" w:lastColumn="0" w:noHBand="0" w:noVBand="1"/>
      </w:tblPr>
      <w:tblGrid>
        <w:gridCol w:w="8840"/>
      </w:tblGrid>
      <w:tr w:rsidR="000D7506" w:rsidRPr="000D7506" w14:paraId="6E25AA5E" w14:textId="77777777" w:rsidTr="00512C3D">
        <w:tc>
          <w:tcPr>
            <w:tcW w:w="8838" w:type="dxa"/>
          </w:tcPr>
          <w:p w14:paraId="37A27314" w14:textId="77777777" w:rsidR="000D7506" w:rsidRPr="000D7506" w:rsidRDefault="000D7506" w:rsidP="000D7506">
            <w:pPr>
              <w:jc w:val="center"/>
              <w:rPr>
                <w:rFonts w:ascii="Calibri" w:eastAsia="Calibri" w:hAnsi="Calibri"/>
                <w:sz w:val="22"/>
                <w:szCs w:val="22"/>
                <w:lang w:eastAsia="en-US"/>
              </w:rPr>
            </w:pPr>
            <w:r w:rsidRPr="000D7506">
              <w:rPr>
                <w:rFonts w:ascii="Calibri" w:eastAsia="Calibri" w:hAnsi="Calibri"/>
                <w:sz w:val="22"/>
                <w:szCs w:val="22"/>
                <w:lang w:eastAsia="en-US"/>
              </w:rPr>
              <w:fldChar w:fldCharType="begin"/>
            </w:r>
            <w:r w:rsidRPr="000D7506">
              <w:rPr>
                <w:rFonts w:ascii="Calibri" w:eastAsia="Calibri" w:hAnsi="Calibri"/>
                <w:sz w:val="22"/>
                <w:szCs w:val="22"/>
                <w:lang w:eastAsia="en-US"/>
              </w:rPr>
              <w:instrText xml:space="preserve"> LINK PowerPoint.Slide.8 "D:\\2015\\ABRIL\\GRÁFICAS POWER POINT\\16.- GRÁFICAS DEL ÍNDICE DE CONFIANZA DEL CONSUMIDOR.pptx!266" "" \a \p </w:instrText>
            </w:r>
            <w:r w:rsidRPr="000D7506">
              <w:rPr>
                <w:rFonts w:ascii="Calibri" w:eastAsia="Calibri" w:hAnsi="Calibri"/>
                <w:sz w:val="22"/>
                <w:szCs w:val="22"/>
                <w:lang w:eastAsia="en-US"/>
              </w:rPr>
              <w:fldChar w:fldCharType="separate"/>
            </w:r>
            <w:r w:rsidRPr="000D7506">
              <w:rPr>
                <w:rFonts w:ascii="Calibri" w:eastAsia="Calibri" w:hAnsi="Calibri"/>
                <w:noProof/>
                <w:sz w:val="22"/>
                <w:szCs w:val="22"/>
                <w:lang w:eastAsia="es-MX"/>
              </w:rPr>
              <w:drawing>
                <wp:inline distT="0" distB="0" distL="0" distR="0" wp14:anchorId="4DF7A610" wp14:editId="30AA9E5D">
                  <wp:extent cx="5535930" cy="2545715"/>
                  <wp:effectExtent l="0" t="0" r="7620" b="6985"/>
                  <wp:docPr id="1500" name="Imagen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17" cstate="print">
                            <a:extLst>
                              <a:ext uri="{28A0092B-C50C-407E-A947-70E740481C1C}">
                                <a14:useLocalDpi xmlns:a14="http://schemas.microsoft.com/office/drawing/2010/main" val="0"/>
                              </a:ext>
                            </a:extLst>
                          </a:blip>
                          <a:srcRect l="3287" t="3055" r="5791" b="22778"/>
                          <a:stretch>
                            <a:fillRect/>
                          </a:stretch>
                        </pic:blipFill>
                        <pic:spPr bwMode="auto">
                          <a:xfrm>
                            <a:off x="0" y="0"/>
                            <a:ext cx="5535930" cy="2545715"/>
                          </a:xfrm>
                          <a:prstGeom prst="rect">
                            <a:avLst/>
                          </a:prstGeom>
                          <a:noFill/>
                          <a:ln>
                            <a:noFill/>
                          </a:ln>
                        </pic:spPr>
                      </pic:pic>
                    </a:graphicData>
                  </a:graphic>
                </wp:inline>
              </w:drawing>
            </w:r>
            <w:r w:rsidRPr="000D7506">
              <w:rPr>
                <w:rFonts w:ascii="Calibri" w:eastAsia="Calibri" w:hAnsi="Calibri"/>
                <w:sz w:val="22"/>
                <w:szCs w:val="22"/>
                <w:lang w:eastAsia="en-US"/>
              </w:rPr>
              <w:fldChar w:fldCharType="end"/>
            </w:r>
          </w:p>
        </w:tc>
      </w:tr>
      <w:tr w:rsidR="000D7506" w:rsidRPr="000D7506" w14:paraId="1766DC2C" w14:textId="77777777" w:rsidTr="00512C3D">
        <w:tc>
          <w:tcPr>
            <w:tcW w:w="8838" w:type="dxa"/>
          </w:tcPr>
          <w:p w14:paraId="3605CBC4" w14:textId="77777777" w:rsidR="000D7506" w:rsidRPr="000D7506" w:rsidRDefault="000D7506" w:rsidP="000D7506">
            <w:pPr>
              <w:jc w:val="center"/>
              <w:rPr>
                <w:rFonts w:ascii="Calibri" w:eastAsia="Calibri" w:hAnsi="Calibri"/>
                <w:sz w:val="22"/>
                <w:szCs w:val="22"/>
                <w:lang w:eastAsia="en-US"/>
              </w:rPr>
            </w:pPr>
            <w:r w:rsidRPr="000D7506">
              <w:rPr>
                <w:rFonts w:ascii="Calibri" w:eastAsia="Calibri" w:hAnsi="Calibri"/>
                <w:sz w:val="22"/>
                <w:szCs w:val="22"/>
                <w:lang w:eastAsia="en-US"/>
              </w:rPr>
              <w:lastRenderedPageBreak/>
              <w:fldChar w:fldCharType="begin"/>
            </w:r>
            <w:r w:rsidRPr="000D7506">
              <w:rPr>
                <w:rFonts w:ascii="Calibri" w:eastAsia="Calibri" w:hAnsi="Calibri"/>
                <w:sz w:val="22"/>
                <w:szCs w:val="22"/>
                <w:lang w:eastAsia="en-US"/>
              </w:rPr>
              <w:instrText xml:space="preserve"> LINK PowerPoint.Slide.8 "D:\\2015\\ABRIL\\GRÁFICAS POWER POINT\\16.- GRÁFICAS DEL ÍNDICE DE CONFIANZA DEL CONSUMIDOR.pptx!277" "" \a \p </w:instrText>
            </w:r>
            <w:r w:rsidRPr="000D7506">
              <w:rPr>
                <w:rFonts w:ascii="Calibri" w:eastAsia="Calibri" w:hAnsi="Calibri"/>
                <w:sz w:val="22"/>
                <w:szCs w:val="22"/>
                <w:lang w:eastAsia="en-US"/>
              </w:rPr>
              <w:fldChar w:fldCharType="separate"/>
            </w:r>
            <w:r w:rsidRPr="000D7506">
              <w:rPr>
                <w:rFonts w:ascii="Calibri" w:eastAsia="Calibri" w:hAnsi="Calibri"/>
                <w:noProof/>
                <w:sz w:val="22"/>
                <w:szCs w:val="22"/>
                <w:lang w:eastAsia="es-MX"/>
              </w:rPr>
              <w:drawing>
                <wp:inline distT="0" distB="0" distL="0" distR="0" wp14:anchorId="1C8A1FF7" wp14:editId="79F919D3">
                  <wp:extent cx="5523230" cy="2106930"/>
                  <wp:effectExtent l="0" t="0" r="1270" b="7620"/>
                  <wp:docPr id="1501" name="Imagen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18" cstate="print">
                            <a:extLst>
                              <a:ext uri="{28A0092B-C50C-407E-A947-70E740481C1C}">
                                <a14:useLocalDpi xmlns:a14="http://schemas.microsoft.com/office/drawing/2010/main" val="0"/>
                              </a:ext>
                            </a:extLst>
                          </a:blip>
                          <a:srcRect l="2974" t="16110" r="6259" b="22501"/>
                          <a:stretch>
                            <a:fillRect/>
                          </a:stretch>
                        </pic:blipFill>
                        <pic:spPr bwMode="auto">
                          <a:xfrm>
                            <a:off x="0" y="0"/>
                            <a:ext cx="5523230" cy="2106930"/>
                          </a:xfrm>
                          <a:prstGeom prst="rect">
                            <a:avLst/>
                          </a:prstGeom>
                          <a:noFill/>
                          <a:ln>
                            <a:noFill/>
                          </a:ln>
                        </pic:spPr>
                      </pic:pic>
                    </a:graphicData>
                  </a:graphic>
                </wp:inline>
              </w:drawing>
            </w:r>
            <w:r w:rsidRPr="000D7506">
              <w:rPr>
                <w:rFonts w:ascii="Calibri" w:eastAsia="Calibri" w:hAnsi="Calibri"/>
                <w:sz w:val="22"/>
                <w:szCs w:val="22"/>
                <w:lang w:eastAsia="en-US"/>
              </w:rPr>
              <w:fldChar w:fldCharType="end"/>
            </w:r>
          </w:p>
        </w:tc>
      </w:tr>
      <w:tr w:rsidR="000D7506" w:rsidRPr="000D7506" w14:paraId="43B08D2F" w14:textId="77777777" w:rsidTr="00512C3D">
        <w:tc>
          <w:tcPr>
            <w:tcW w:w="8838" w:type="dxa"/>
          </w:tcPr>
          <w:p w14:paraId="60193FC7" w14:textId="77777777" w:rsidR="000D7506" w:rsidRPr="000D7506" w:rsidRDefault="000D7506" w:rsidP="000D7506">
            <w:pPr>
              <w:jc w:val="center"/>
              <w:rPr>
                <w:rFonts w:ascii="Calibri" w:eastAsia="Calibri" w:hAnsi="Calibri"/>
                <w:sz w:val="22"/>
                <w:szCs w:val="22"/>
                <w:lang w:eastAsia="en-US"/>
              </w:rPr>
            </w:pPr>
            <w:r w:rsidRPr="000D7506">
              <w:rPr>
                <w:rFonts w:ascii="Calibri" w:eastAsia="Calibri" w:hAnsi="Calibri"/>
                <w:sz w:val="22"/>
                <w:szCs w:val="22"/>
                <w:lang w:eastAsia="en-US"/>
              </w:rPr>
              <w:fldChar w:fldCharType="begin"/>
            </w:r>
            <w:r w:rsidRPr="000D7506">
              <w:rPr>
                <w:rFonts w:ascii="Calibri" w:eastAsia="Calibri" w:hAnsi="Calibri"/>
                <w:sz w:val="22"/>
                <w:szCs w:val="22"/>
                <w:lang w:eastAsia="en-US"/>
              </w:rPr>
              <w:instrText xml:space="preserve"> LINK PowerPoint.Slide.8 "D:\\2015\\ABRIL\\GRÁFICAS POWER POINT\\16.- GRÁFICAS DEL ÍNDICE DE CONFIANZA DEL CONSUMIDOR.pptx!278" "" \a \p </w:instrText>
            </w:r>
            <w:r w:rsidRPr="000D7506">
              <w:rPr>
                <w:rFonts w:ascii="Calibri" w:eastAsia="Calibri" w:hAnsi="Calibri"/>
                <w:sz w:val="22"/>
                <w:szCs w:val="22"/>
                <w:lang w:eastAsia="en-US"/>
              </w:rPr>
              <w:fldChar w:fldCharType="separate"/>
            </w:r>
            <w:r w:rsidRPr="000D7506">
              <w:rPr>
                <w:rFonts w:ascii="Calibri" w:eastAsia="Calibri" w:hAnsi="Calibri"/>
                <w:noProof/>
                <w:sz w:val="22"/>
                <w:szCs w:val="22"/>
                <w:lang w:eastAsia="es-MX"/>
              </w:rPr>
              <w:drawing>
                <wp:inline distT="0" distB="0" distL="0" distR="0" wp14:anchorId="64609E59" wp14:editId="69A7AF58">
                  <wp:extent cx="5233035" cy="2638425"/>
                  <wp:effectExtent l="0" t="0" r="5715" b="9525"/>
                  <wp:docPr id="1502" name="Imagen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19" cstate="print">
                            <a:extLst>
                              <a:ext uri="{28A0092B-C50C-407E-A947-70E740481C1C}">
                                <a14:useLocalDpi xmlns:a14="http://schemas.microsoft.com/office/drawing/2010/main" val="0"/>
                              </a:ext>
                            </a:extLst>
                          </a:blip>
                          <a:srcRect l="5095" t="10451" r="9019" b="12526"/>
                          <a:stretch>
                            <a:fillRect/>
                          </a:stretch>
                        </pic:blipFill>
                        <pic:spPr bwMode="auto">
                          <a:xfrm>
                            <a:off x="0" y="0"/>
                            <a:ext cx="5233035" cy="2638425"/>
                          </a:xfrm>
                          <a:prstGeom prst="rect">
                            <a:avLst/>
                          </a:prstGeom>
                          <a:noFill/>
                          <a:ln>
                            <a:noFill/>
                          </a:ln>
                        </pic:spPr>
                      </pic:pic>
                    </a:graphicData>
                  </a:graphic>
                </wp:inline>
              </w:drawing>
            </w:r>
            <w:r w:rsidRPr="000D7506">
              <w:rPr>
                <w:rFonts w:ascii="Calibri" w:eastAsia="Calibri" w:hAnsi="Calibri"/>
                <w:sz w:val="22"/>
                <w:szCs w:val="22"/>
                <w:lang w:eastAsia="en-US"/>
              </w:rPr>
              <w:fldChar w:fldCharType="end"/>
            </w:r>
          </w:p>
        </w:tc>
      </w:tr>
    </w:tbl>
    <w:p w14:paraId="67252062" w14:textId="77777777" w:rsidR="000D7506" w:rsidRPr="000D7506" w:rsidRDefault="000D7506" w:rsidP="000D7506">
      <w:pPr>
        <w:spacing w:after="360" w:line="360" w:lineRule="auto"/>
        <w:ind w:right="-159"/>
        <w:jc w:val="center"/>
        <w:rPr>
          <w:rFonts w:eastAsia="Times New Roman"/>
          <w:noProof/>
          <w:sz w:val="26"/>
          <w:szCs w:val="26"/>
          <w:lang w:eastAsia="es-MX"/>
        </w:rPr>
      </w:pPr>
    </w:p>
    <w:p w14:paraId="1658476A" w14:textId="77777777" w:rsidR="000D7506" w:rsidRPr="000D7506" w:rsidRDefault="000D7506" w:rsidP="000D7506">
      <w:pPr>
        <w:spacing w:after="360"/>
        <w:ind w:right="-159"/>
        <w:jc w:val="both"/>
        <w:rPr>
          <w:rFonts w:eastAsia="Times New Roman"/>
          <w:b/>
          <w:noProof/>
          <w:sz w:val="26"/>
          <w:szCs w:val="26"/>
          <w:lang w:eastAsia="es-MX"/>
        </w:rPr>
      </w:pPr>
      <w:r w:rsidRPr="000D7506">
        <w:rPr>
          <w:rFonts w:eastAsia="Times New Roman"/>
          <w:b/>
          <w:noProof/>
          <w:sz w:val="26"/>
          <w:szCs w:val="26"/>
          <w:lang w:eastAsia="es-MX"/>
        </w:rPr>
        <w:t xml:space="preserve">Comportamiento de los componentes del Índice de Confianza del Consumidor: Cifras originales </w:t>
      </w:r>
    </w:p>
    <w:p w14:paraId="53B871FE" w14:textId="171ECEC1" w:rsidR="000D7506" w:rsidRPr="000D7506" w:rsidRDefault="000D7506" w:rsidP="000D7506">
      <w:pPr>
        <w:spacing w:after="360" w:line="360" w:lineRule="auto"/>
        <w:ind w:right="-159"/>
        <w:jc w:val="both"/>
        <w:rPr>
          <w:rFonts w:eastAsia="Times New Roman"/>
          <w:noProof/>
          <w:sz w:val="26"/>
          <w:szCs w:val="26"/>
          <w:lang w:eastAsia="es-MX"/>
        </w:rPr>
      </w:pPr>
      <w:r w:rsidRPr="000D7506">
        <w:rPr>
          <w:rFonts w:eastAsia="Times New Roman"/>
          <w:noProof/>
          <w:sz w:val="26"/>
          <w:szCs w:val="26"/>
          <w:lang w:eastAsia="es-MX"/>
        </w:rPr>
        <w:t>El Índice de Confianza del Consumidor en su serie original se situó en 93.1 puntos durante marzo de 2015 (enero de 2003=100). Este resultado significó un aumento de 4.8% respecto al nivel observado en igual mes de 2014.</w:t>
      </w:r>
    </w:p>
    <w:p w14:paraId="65F9F7DC" w14:textId="77777777" w:rsidR="000D7506" w:rsidRPr="000D7506" w:rsidRDefault="000D7506" w:rsidP="000D7506">
      <w:pPr>
        <w:spacing w:after="360" w:line="360" w:lineRule="auto"/>
        <w:ind w:right="-159"/>
        <w:jc w:val="center"/>
        <w:rPr>
          <w:rFonts w:eastAsia="Times New Roman"/>
          <w:noProof/>
          <w:sz w:val="26"/>
          <w:szCs w:val="26"/>
          <w:lang w:eastAsia="es-MX"/>
        </w:rPr>
      </w:pPr>
      <w:r w:rsidRPr="000D7506">
        <w:lastRenderedPageBreak/>
        <w:fldChar w:fldCharType="begin"/>
      </w:r>
      <w:r w:rsidRPr="000D7506">
        <w:instrText xml:space="preserve"> LINK PowerPoint.Slide.8 "D:\\2015\\ABRIL\\GRÁFICAS POWER POINT\\16.- GRÁFICAS DEL ÍNDICE DE CONFIANZA DEL CONSUMIDOR.pptx!258" "" \a \p </w:instrText>
      </w:r>
      <w:r w:rsidRPr="000D7506">
        <w:fldChar w:fldCharType="separate"/>
      </w:r>
      <w:r w:rsidRPr="000D7506">
        <w:rPr>
          <w:noProof/>
          <w:lang w:eastAsia="es-MX"/>
        </w:rPr>
        <w:drawing>
          <wp:inline distT="0" distB="0" distL="0" distR="0" wp14:anchorId="60FEBC33" wp14:editId="2786ECAF">
            <wp:extent cx="4404995" cy="3206750"/>
            <wp:effectExtent l="0" t="0" r="0" b="0"/>
            <wp:docPr id="1503" name="Imagen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20" cstate="print">
                      <a:extLst>
                        <a:ext uri="{28A0092B-C50C-407E-A947-70E740481C1C}">
                          <a14:useLocalDpi xmlns:a14="http://schemas.microsoft.com/office/drawing/2010/main" val="0"/>
                        </a:ext>
                      </a:extLst>
                    </a:blip>
                    <a:srcRect l="12413" t="2779" r="15158" b="3484"/>
                    <a:stretch>
                      <a:fillRect/>
                    </a:stretch>
                  </pic:blipFill>
                  <pic:spPr bwMode="auto">
                    <a:xfrm>
                      <a:off x="0" y="0"/>
                      <a:ext cx="4404995" cy="3206750"/>
                    </a:xfrm>
                    <a:prstGeom prst="rect">
                      <a:avLst/>
                    </a:prstGeom>
                    <a:noFill/>
                    <a:ln>
                      <a:noFill/>
                    </a:ln>
                  </pic:spPr>
                </pic:pic>
              </a:graphicData>
            </a:graphic>
          </wp:inline>
        </w:drawing>
      </w:r>
      <w:r w:rsidRPr="000D7506">
        <w:fldChar w:fldCharType="end"/>
      </w:r>
    </w:p>
    <w:p w14:paraId="41A6A3EA" w14:textId="77777777" w:rsidR="000D7506" w:rsidRPr="000D7506" w:rsidRDefault="000D7506" w:rsidP="000D7506">
      <w:pPr>
        <w:spacing w:after="360" w:line="360" w:lineRule="auto"/>
        <w:ind w:right="-159"/>
        <w:jc w:val="center"/>
        <w:rPr>
          <w:rFonts w:eastAsia="Times New Roman"/>
          <w:noProof/>
          <w:sz w:val="26"/>
          <w:szCs w:val="26"/>
          <w:lang w:eastAsia="es-MX"/>
        </w:rPr>
      </w:pPr>
    </w:p>
    <w:tbl>
      <w:tblPr>
        <w:tblW w:w="9476" w:type="dxa"/>
        <w:tblInd w:w="185" w:type="dxa"/>
        <w:tblLayout w:type="fixed"/>
        <w:tblLook w:val="04A0" w:firstRow="1" w:lastRow="0" w:firstColumn="1" w:lastColumn="0" w:noHBand="0" w:noVBand="1"/>
      </w:tblPr>
      <w:tblGrid>
        <w:gridCol w:w="2078"/>
        <w:gridCol w:w="557"/>
        <w:gridCol w:w="549"/>
        <w:gridCol w:w="569"/>
        <w:gridCol w:w="570"/>
        <w:gridCol w:w="567"/>
        <w:gridCol w:w="583"/>
        <w:gridCol w:w="575"/>
        <w:gridCol w:w="507"/>
        <w:gridCol w:w="643"/>
        <w:gridCol w:w="554"/>
        <w:gridCol w:w="568"/>
        <w:gridCol w:w="567"/>
        <w:gridCol w:w="589"/>
      </w:tblGrid>
      <w:tr w:rsidR="000D7506" w:rsidRPr="000D7506" w14:paraId="46FFD932" w14:textId="77777777" w:rsidTr="00512C3D">
        <w:tc>
          <w:tcPr>
            <w:tcW w:w="9476" w:type="dxa"/>
            <w:gridSpan w:val="14"/>
            <w:tcBorders>
              <w:top w:val="nil"/>
              <w:left w:val="nil"/>
              <w:bottom w:val="nil"/>
              <w:right w:val="nil"/>
            </w:tcBorders>
          </w:tcPr>
          <w:p w14:paraId="30EB1E8D" w14:textId="77777777" w:rsidR="000D7506" w:rsidRPr="000D7506" w:rsidRDefault="000D7506" w:rsidP="000D7506">
            <w:pPr>
              <w:tabs>
                <w:tab w:val="left" w:pos="1250"/>
              </w:tabs>
              <w:jc w:val="center"/>
              <w:rPr>
                <w:b/>
                <w:sz w:val="20"/>
                <w:szCs w:val="20"/>
              </w:rPr>
            </w:pPr>
            <w:r w:rsidRPr="000D7506">
              <w:rPr>
                <w:b/>
                <w:sz w:val="20"/>
                <w:szCs w:val="20"/>
              </w:rPr>
              <w:t>ÍNDICE DE CONFIANZA DEL CONSUMIDOR Y SUS COMPONENTES</w:t>
            </w:r>
          </w:p>
        </w:tc>
      </w:tr>
      <w:tr w:rsidR="000D7506" w:rsidRPr="000D7506" w14:paraId="7DF3A3EA" w14:textId="77777777" w:rsidTr="00512C3D">
        <w:tc>
          <w:tcPr>
            <w:tcW w:w="9476" w:type="dxa"/>
            <w:gridSpan w:val="14"/>
            <w:tcBorders>
              <w:top w:val="nil"/>
              <w:left w:val="nil"/>
              <w:bottom w:val="single" w:sz="4" w:space="0" w:color="auto"/>
              <w:right w:val="nil"/>
            </w:tcBorders>
          </w:tcPr>
          <w:p w14:paraId="603C2210" w14:textId="77777777" w:rsidR="000D7506" w:rsidRPr="000D7506" w:rsidRDefault="000D7506" w:rsidP="000D7506">
            <w:pPr>
              <w:tabs>
                <w:tab w:val="left" w:pos="1250"/>
              </w:tabs>
              <w:jc w:val="center"/>
              <w:rPr>
                <w:b/>
                <w:sz w:val="20"/>
                <w:szCs w:val="20"/>
              </w:rPr>
            </w:pPr>
            <w:r w:rsidRPr="000D7506">
              <w:rPr>
                <w:b/>
                <w:sz w:val="20"/>
                <w:szCs w:val="20"/>
              </w:rPr>
              <w:t>-Índices: enero de 2003=100-</w:t>
            </w:r>
          </w:p>
        </w:tc>
      </w:tr>
      <w:tr w:rsidR="000D7506" w:rsidRPr="000D7506" w14:paraId="21C09CA2" w14:textId="77777777" w:rsidTr="00512C3D">
        <w:tc>
          <w:tcPr>
            <w:tcW w:w="2078" w:type="dxa"/>
            <w:tcBorders>
              <w:top w:val="single" w:sz="4" w:space="0" w:color="auto"/>
              <w:left w:val="single" w:sz="4" w:space="0" w:color="auto"/>
              <w:right w:val="single" w:sz="4" w:space="0" w:color="auto"/>
            </w:tcBorders>
          </w:tcPr>
          <w:p w14:paraId="06E43BA0" w14:textId="77777777" w:rsidR="000D7506" w:rsidRPr="000D7506" w:rsidRDefault="000D7506" w:rsidP="000D7506">
            <w:pPr>
              <w:tabs>
                <w:tab w:val="left" w:pos="1250"/>
              </w:tabs>
              <w:rPr>
                <w:sz w:val="14"/>
                <w:szCs w:val="14"/>
              </w:rPr>
            </w:pPr>
          </w:p>
        </w:tc>
        <w:tc>
          <w:tcPr>
            <w:tcW w:w="5674" w:type="dxa"/>
            <w:gridSpan w:val="10"/>
            <w:tcBorders>
              <w:top w:val="single" w:sz="4" w:space="0" w:color="auto"/>
              <w:left w:val="single" w:sz="4" w:space="0" w:color="auto"/>
              <w:bottom w:val="single" w:sz="4" w:space="0" w:color="auto"/>
              <w:right w:val="single" w:sz="4" w:space="0" w:color="auto"/>
            </w:tcBorders>
          </w:tcPr>
          <w:p w14:paraId="7CD02716" w14:textId="77777777" w:rsidR="000D7506" w:rsidRPr="000D7506" w:rsidRDefault="000D7506" w:rsidP="000D7506">
            <w:pPr>
              <w:tabs>
                <w:tab w:val="left" w:pos="1250"/>
              </w:tabs>
              <w:jc w:val="center"/>
              <w:rPr>
                <w:b/>
                <w:sz w:val="14"/>
                <w:szCs w:val="14"/>
              </w:rPr>
            </w:pPr>
            <w:r w:rsidRPr="000D7506">
              <w:rPr>
                <w:b/>
                <w:sz w:val="14"/>
                <w:szCs w:val="14"/>
              </w:rPr>
              <w:t>2014</w:t>
            </w:r>
          </w:p>
        </w:tc>
        <w:tc>
          <w:tcPr>
            <w:tcW w:w="1724" w:type="dxa"/>
            <w:gridSpan w:val="3"/>
            <w:tcBorders>
              <w:top w:val="single" w:sz="4" w:space="0" w:color="auto"/>
              <w:left w:val="single" w:sz="4" w:space="0" w:color="auto"/>
              <w:bottom w:val="single" w:sz="4" w:space="0" w:color="auto"/>
              <w:right w:val="single" w:sz="4" w:space="0" w:color="auto"/>
            </w:tcBorders>
          </w:tcPr>
          <w:p w14:paraId="58787F83" w14:textId="77777777" w:rsidR="000D7506" w:rsidRPr="000D7506" w:rsidRDefault="000D7506" w:rsidP="000D7506">
            <w:pPr>
              <w:tabs>
                <w:tab w:val="left" w:pos="1250"/>
              </w:tabs>
              <w:jc w:val="center"/>
              <w:rPr>
                <w:b/>
                <w:sz w:val="14"/>
                <w:szCs w:val="14"/>
              </w:rPr>
            </w:pPr>
            <w:r w:rsidRPr="000D7506">
              <w:rPr>
                <w:b/>
                <w:sz w:val="14"/>
                <w:szCs w:val="14"/>
              </w:rPr>
              <w:t>2015</w:t>
            </w:r>
          </w:p>
        </w:tc>
      </w:tr>
      <w:tr w:rsidR="000D7506" w:rsidRPr="000D7506" w14:paraId="350BBCB9" w14:textId="77777777" w:rsidTr="00512C3D">
        <w:tc>
          <w:tcPr>
            <w:tcW w:w="2078" w:type="dxa"/>
            <w:tcBorders>
              <w:left w:val="single" w:sz="4" w:space="0" w:color="auto"/>
              <w:bottom w:val="single" w:sz="4" w:space="0" w:color="auto"/>
              <w:right w:val="single" w:sz="4" w:space="0" w:color="auto"/>
            </w:tcBorders>
          </w:tcPr>
          <w:p w14:paraId="7545B6BC" w14:textId="77777777" w:rsidR="000D7506" w:rsidRPr="000D7506" w:rsidRDefault="000D7506" w:rsidP="000D7506">
            <w:pPr>
              <w:tabs>
                <w:tab w:val="left" w:pos="1250"/>
              </w:tabs>
              <w:rPr>
                <w:sz w:val="14"/>
                <w:szCs w:val="14"/>
              </w:rPr>
            </w:pPr>
          </w:p>
        </w:tc>
        <w:tc>
          <w:tcPr>
            <w:tcW w:w="557" w:type="dxa"/>
            <w:tcBorders>
              <w:top w:val="single" w:sz="4" w:space="0" w:color="auto"/>
              <w:left w:val="single" w:sz="4" w:space="0" w:color="auto"/>
              <w:bottom w:val="single" w:sz="4" w:space="0" w:color="auto"/>
              <w:right w:val="single" w:sz="4" w:space="0" w:color="auto"/>
            </w:tcBorders>
          </w:tcPr>
          <w:p w14:paraId="0E8039DE" w14:textId="77777777" w:rsidR="000D7506" w:rsidRPr="000D7506" w:rsidRDefault="000D7506" w:rsidP="000D7506">
            <w:pPr>
              <w:tabs>
                <w:tab w:val="left" w:pos="1250"/>
              </w:tabs>
              <w:jc w:val="center"/>
              <w:rPr>
                <w:b/>
                <w:sz w:val="14"/>
                <w:szCs w:val="14"/>
              </w:rPr>
            </w:pPr>
            <w:r w:rsidRPr="000D7506">
              <w:rPr>
                <w:b/>
                <w:sz w:val="14"/>
                <w:szCs w:val="14"/>
              </w:rPr>
              <w:t>Mar.</w:t>
            </w:r>
          </w:p>
        </w:tc>
        <w:tc>
          <w:tcPr>
            <w:tcW w:w="549" w:type="dxa"/>
            <w:tcBorders>
              <w:top w:val="single" w:sz="4" w:space="0" w:color="auto"/>
              <w:left w:val="single" w:sz="4" w:space="0" w:color="auto"/>
              <w:bottom w:val="single" w:sz="4" w:space="0" w:color="auto"/>
              <w:right w:val="single" w:sz="4" w:space="0" w:color="auto"/>
            </w:tcBorders>
          </w:tcPr>
          <w:p w14:paraId="6838BEF4" w14:textId="77777777" w:rsidR="000D7506" w:rsidRPr="000D7506" w:rsidRDefault="000D7506" w:rsidP="000D7506">
            <w:pPr>
              <w:tabs>
                <w:tab w:val="left" w:pos="1250"/>
              </w:tabs>
              <w:jc w:val="center"/>
              <w:rPr>
                <w:b/>
                <w:sz w:val="14"/>
                <w:szCs w:val="14"/>
              </w:rPr>
            </w:pPr>
            <w:r w:rsidRPr="000D7506">
              <w:rPr>
                <w:b/>
                <w:sz w:val="14"/>
                <w:szCs w:val="14"/>
              </w:rPr>
              <w:t>Abr.</w:t>
            </w:r>
          </w:p>
        </w:tc>
        <w:tc>
          <w:tcPr>
            <w:tcW w:w="569" w:type="dxa"/>
            <w:tcBorders>
              <w:top w:val="single" w:sz="4" w:space="0" w:color="auto"/>
              <w:left w:val="single" w:sz="4" w:space="0" w:color="auto"/>
              <w:bottom w:val="single" w:sz="4" w:space="0" w:color="auto"/>
              <w:right w:val="single" w:sz="4" w:space="0" w:color="auto"/>
            </w:tcBorders>
          </w:tcPr>
          <w:p w14:paraId="64029784" w14:textId="77777777" w:rsidR="000D7506" w:rsidRPr="000D7506" w:rsidRDefault="000D7506" w:rsidP="000D7506">
            <w:pPr>
              <w:tabs>
                <w:tab w:val="left" w:pos="1250"/>
              </w:tabs>
              <w:jc w:val="center"/>
              <w:rPr>
                <w:b/>
                <w:sz w:val="14"/>
                <w:szCs w:val="14"/>
              </w:rPr>
            </w:pPr>
            <w:r w:rsidRPr="000D7506">
              <w:rPr>
                <w:b/>
                <w:sz w:val="14"/>
                <w:szCs w:val="14"/>
              </w:rPr>
              <w:t>May.</w:t>
            </w:r>
          </w:p>
        </w:tc>
        <w:tc>
          <w:tcPr>
            <w:tcW w:w="570" w:type="dxa"/>
            <w:tcBorders>
              <w:top w:val="single" w:sz="4" w:space="0" w:color="auto"/>
              <w:left w:val="single" w:sz="4" w:space="0" w:color="auto"/>
              <w:bottom w:val="single" w:sz="4" w:space="0" w:color="auto"/>
              <w:right w:val="single" w:sz="4" w:space="0" w:color="auto"/>
            </w:tcBorders>
          </w:tcPr>
          <w:p w14:paraId="527B8CFA" w14:textId="77777777" w:rsidR="000D7506" w:rsidRPr="000D7506" w:rsidRDefault="000D7506" w:rsidP="000D7506">
            <w:pPr>
              <w:tabs>
                <w:tab w:val="left" w:pos="1250"/>
              </w:tabs>
              <w:jc w:val="center"/>
              <w:rPr>
                <w:b/>
                <w:sz w:val="14"/>
                <w:szCs w:val="14"/>
              </w:rPr>
            </w:pPr>
            <w:r w:rsidRPr="000D7506">
              <w:rPr>
                <w:b/>
                <w:sz w:val="14"/>
                <w:szCs w:val="14"/>
              </w:rPr>
              <w:t>Jun.</w:t>
            </w:r>
          </w:p>
        </w:tc>
        <w:tc>
          <w:tcPr>
            <w:tcW w:w="567" w:type="dxa"/>
            <w:tcBorders>
              <w:top w:val="single" w:sz="4" w:space="0" w:color="auto"/>
              <w:left w:val="single" w:sz="4" w:space="0" w:color="auto"/>
              <w:bottom w:val="single" w:sz="4" w:space="0" w:color="auto"/>
              <w:right w:val="single" w:sz="4" w:space="0" w:color="auto"/>
            </w:tcBorders>
          </w:tcPr>
          <w:p w14:paraId="68DC2D7B" w14:textId="77777777" w:rsidR="000D7506" w:rsidRPr="000D7506" w:rsidRDefault="000D7506" w:rsidP="000D7506">
            <w:pPr>
              <w:tabs>
                <w:tab w:val="left" w:pos="1250"/>
              </w:tabs>
              <w:jc w:val="center"/>
              <w:rPr>
                <w:b/>
                <w:sz w:val="14"/>
                <w:szCs w:val="14"/>
              </w:rPr>
            </w:pPr>
            <w:r w:rsidRPr="000D7506">
              <w:rPr>
                <w:b/>
                <w:sz w:val="14"/>
                <w:szCs w:val="14"/>
              </w:rPr>
              <w:t>Jul.</w:t>
            </w:r>
          </w:p>
        </w:tc>
        <w:tc>
          <w:tcPr>
            <w:tcW w:w="583" w:type="dxa"/>
            <w:tcBorders>
              <w:top w:val="single" w:sz="4" w:space="0" w:color="auto"/>
              <w:left w:val="single" w:sz="4" w:space="0" w:color="auto"/>
              <w:bottom w:val="single" w:sz="4" w:space="0" w:color="auto"/>
              <w:right w:val="single" w:sz="4" w:space="0" w:color="auto"/>
            </w:tcBorders>
          </w:tcPr>
          <w:p w14:paraId="61C9BFA4" w14:textId="77777777" w:rsidR="000D7506" w:rsidRPr="000D7506" w:rsidRDefault="000D7506" w:rsidP="000D7506">
            <w:pPr>
              <w:tabs>
                <w:tab w:val="left" w:pos="1250"/>
              </w:tabs>
              <w:jc w:val="center"/>
              <w:rPr>
                <w:b/>
                <w:sz w:val="14"/>
                <w:szCs w:val="14"/>
              </w:rPr>
            </w:pPr>
            <w:r w:rsidRPr="000D7506">
              <w:rPr>
                <w:b/>
                <w:sz w:val="14"/>
                <w:szCs w:val="14"/>
              </w:rPr>
              <w:t>Ago.</w:t>
            </w:r>
          </w:p>
        </w:tc>
        <w:tc>
          <w:tcPr>
            <w:tcW w:w="575" w:type="dxa"/>
            <w:tcBorders>
              <w:top w:val="single" w:sz="4" w:space="0" w:color="auto"/>
              <w:left w:val="single" w:sz="4" w:space="0" w:color="auto"/>
              <w:bottom w:val="single" w:sz="4" w:space="0" w:color="auto"/>
              <w:right w:val="single" w:sz="4" w:space="0" w:color="auto"/>
            </w:tcBorders>
          </w:tcPr>
          <w:p w14:paraId="13C9EF5E" w14:textId="77777777" w:rsidR="000D7506" w:rsidRPr="000D7506" w:rsidRDefault="000D7506" w:rsidP="000D7506">
            <w:pPr>
              <w:tabs>
                <w:tab w:val="left" w:pos="1250"/>
              </w:tabs>
              <w:jc w:val="center"/>
              <w:rPr>
                <w:b/>
                <w:sz w:val="14"/>
                <w:szCs w:val="14"/>
              </w:rPr>
            </w:pPr>
            <w:r w:rsidRPr="000D7506">
              <w:rPr>
                <w:b/>
                <w:sz w:val="14"/>
                <w:szCs w:val="14"/>
              </w:rPr>
              <w:t>Sep.</w:t>
            </w:r>
          </w:p>
        </w:tc>
        <w:tc>
          <w:tcPr>
            <w:tcW w:w="507" w:type="dxa"/>
            <w:tcBorders>
              <w:top w:val="single" w:sz="4" w:space="0" w:color="auto"/>
              <w:left w:val="single" w:sz="4" w:space="0" w:color="auto"/>
              <w:bottom w:val="single" w:sz="4" w:space="0" w:color="auto"/>
              <w:right w:val="single" w:sz="4" w:space="0" w:color="auto"/>
            </w:tcBorders>
          </w:tcPr>
          <w:p w14:paraId="44F09522" w14:textId="77777777" w:rsidR="000D7506" w:rsidRPr="000D7506" w:rsidRDefault="000D7506" w:rsidP="000D7506">
            <w:pPr>
              <w:tabs>
                <w:tab w:val="left" w:pos="1250"/>
              </w:tabs>
              <w:jc w:val="center"/>
              <w:rPr>
                <w:b/>
                <w:sz w:val="14"/>
                <w:szCs w:val="14"/>
              </w:rPr>
            </w:pPr>
            <w:r w:rsidRPr="000D7506">
              <w:rPr>
                <w:b/>
                <w:sz w:val="14"/>
                <w:szCs w:val="14"/>
              </w:rPr>
              <w:t>Oct.</w:t>
            </w:r>
          </w:p>
        </w:tc>
        <w:tc>
          <w:tcPr>
            <w:tcW w:w="643" w:type="dxa"/>
            <w:tcBorders>
              <w:top w:val="single" w:sz="4" w:space="0" w:color="auto"/>
              <w:left w:val="single" w:sz="4" w:space="0" w:color="auto"/>
              <w:bottom w:val="single" w:sz="4" w:space="0" w:color="auto"/>
              <w:right w:val="single" w:sz="4" w:space="0" w:color="auto"/>
            </w:tcBorders>
          </w:tcPr>
          <w:p w14:paraId="5C9604BA" w14:textId="77777777" w:rsidR="000D7506" w:rsidRPr="000D7506" w:rsidRDefault="000D7506" w:rsidP="000D7506">
            <w:pPr>
              <w:tabs>
                <w:tab w:val="left" w:pos="1250"/>
              </w:tabs>
              <w:jc w:val="center"/>
              <w:rPr>
                <w:b/>
                <w:sz w:val="14"/>
                <w:szCs w:val="14"/>
              </w:rPr>
            </w:pPr>
            <w:r w:rsidRPr="000D7506">
              <w:rPr>
                <w:b/>
                <w:sz w:val="14"/>
                <w:szCs w:val="14"/>
              </w:rPr>
              <w:t>Nov.</w:t>
            </w:r>
          </w:p>
        </w:tc>
        <w:tc>
          <w:tcPr>
            <w:tcW w:w="554" w:type="dxa"/>
            <w:tcBorders>
              <w:top w:val="single" w:sz="4" w:space="0" w:color="auto"/>
              <w:left w:val="single" w:sz="4" w:space="0" w:color="auto"/>
              <w:bottom w:val="single" w:sz="4" w:space="0" w:color="auto"/>
              <w:right w:val="single" w:sz="4" w:space="0" w:color="auto"/>
            </w:tcBorders>
          </w:tcPr>
          <w:p w14:paraId="02404970" w14:textId="77777777" w:rsidR="000D7506" w:rsidRPr="000D7506" w:rsidRDefault="000D7506" w:rsidP="000D7506">
            <w:pPr>
              <w:tabs>
                <w:tab w:val="left" w:pos="1250"/>
              </w:tabs>
              <w:jc w:val="center"/>
              <w:rPr>
                <w:b/>
                <w:sz w:val="14"/>
                <w:szCs w:val="14"/>
              </w:rPr>
            </w:pPr>
            <w:r w:rsidRPr="000D7506">
              <w:rPr>
                <w:b/>
                <w:sz w:val="14"/>
                <w:szCs w:val="14"/>
              </w:rPr>
              <w:t>Dic.</w:t>
            </w:r>
          </w:p>
        </w:tc>
        <w:tc>
          <w:tcPr>
            <w:tcW w:w="568" w:type="dxa"/>
            <w:tcBorders>
              <w:top w:val="single" w:sz="4" w:space="0" w:color="auto"/>
              <w:left w:val="single" w:sz="4" w:space="0" w:color="auto"/>
              <w:bottom w:val="single" w:sz="4" w:space="0" w:color="auto"/>
              <w:right w:val="single" w:sz="4" w:space="0" w:color="auto"/>
            </w:tcBorders>
          </w:tcPr>
          <w:p w14:paraId="774DF672" w14:textId="77777777" w:rsidR="000D7506" w:rsidRPr="000D7506" w:rsidRDefault="000D7506" w:rsidP="000D7506">
            <w:pPr>
              <w:tabs>
                <w:tab w:val="left" w:pos="1250"/>
              </w:tabs>
              <w:jc w:val="center"/>
              <w:rPr>
                <w:b/>
                <w:sz w:val="14"/>
                <w:szCs w:val="14"/>
              </w:rPr>
            </w:pPr>
            <w:r w:rsidRPr="000D7506">
              <w:rPr>
                <w:b/>
                <w:sz w:val="14"/>
                <w:szCs w:val="14"/>
              </w:rPr>
              <w:t>Ene.</w:t>
            </w:r>
          </w:p>
        </w:tc>
        <w:tc>
          <w:tcPr>
            <w:tcW w:w="567" w:type="dxa"/>
            <w:tcBorders>
              <w:top w:val="single" w:sz="4" w:space="0" w:color="auto"/>
              <w:left w:val="single" w:sz="4" w:space="0" w:color="auto"/>
              <w:bottom w:val="single" w:sz="4" w:space="0" w:color="auto"/>
              <w:right w:val="single" w:sz="4" w:space="0" w:color="auto"/>
            </w:tcBorders>
          </w:tcPr>
          <w:p w14:paraId="04F46C6E" w14:textId="77777777" w:rsidR="000D7506" w:rsidRPr="000D7506" w:rsidRDefault="000D7506" w:rsidP="000D7506">
            <w:pPr>
              <w:tabs>
                <w:tab w:val="left" w:pos="1250"/>
              </w:tabs>
              <w:jc w:val="center"/>
              <w:rPr>
                <w:b/>
                <w:sz w:val="14"/>
                <w:szCs w:val="14"/>
              </w:rPr>
            </w:pPr>
            <w:r w:rsidRPr="000D7506">
              <w:rPr>
                <w:b/>
                <w:sz w:val="14"/>
                <w:szCs w:val="14"/>
              </w:rPr>
              <w:t>Feb.</w:t>
            </w:r>
          </w:p>
        </w:tc>
        <w:tc>
          <w:tcPr>
            <w:tcW w:w="589" w:type="dxa"/>
            <w:tcBorders>
              <w:top w:val="single" w:sz="4" w:space="0" w:color="auto"/>
              <w:left w:val="single" w:sz="4" w:space="0" w:color="auto"/>
              <w:bottom w:val="single" w:sz="4" w:space="0" w:color="auto"/>
              <w:right w:val="single" w:sz="4" w:space="0" w:color="auto"/>
            </w:tcBorders>
          </w:tcPr>
          <w:p w14:paraId="2FF0697D" w14:textId="77777777" w:rsidR="000D7506" w:rsidRPr="000D7506" w:rsidRDefault="000D7506" w:rsidP="000D7506">
            <w:pPr>
              <w:tabs>
                <w:tab w:val="left" w:pos="1250"/>
              </w:tabs>
              <w:jc w:val="center"/>
              <w:rPr>
                <w:b/>
                <w:sz w:val="14"/>
                <w:szCs w:val="14"/>
              </w:rPr>
            </w:pPr>
            <w:r w:rsidRPr="000D7506">
              <w:rPr>
                <w:b/>
                <w:sz w:val="14"/>
                <w:szCs w:val="14"/>
              </w:rPr>
              <w:t>Mar.</w:t>
            </w:r>
          </w:p>
        </w:tc>
      </w:tr>
      <w:tr w:rsidR="000D7506" w:rsidRPr="000D7506" w14:paraId="6E0547ED" w14:textId="77777777" w:rsidTr="00512C3D">
        <w:tc>
          <w:tcPr>
            <w:tcW w:w="2078" w:type="dxa"/>
            <w:tcBorders>
              <w:top w:val="single" w:sz="4" w:space="0" w:color="auto"/>
              <w:left w:val="single" w:sz="4" w:space="0" w:color="auto"/>
              <w:bottom w:val="nil"/>
              <w:right w:val="single" w:sz="4" w:space="0" w:color="auto"/>
            </w:tcBorders>
            <w:vAlign w:val="bottom"/>
          </w:tcPr>
          <w:p w14:paraId="1E53D6A8" w14:textId="77777777" w:rsidR="000D7506" w:rsidRPr="000D7506" w:rsidRDefault="000D7506" w:rsidP="000D7506">
            <w:pPr>
              <w:rPr>
                <w:b/>
                <w:bCs/>
                <w:sz w:val="14"/>
                <w:lang w:eastAsia="es-MX"/>
              </w:rPr>
            </w:pPr>
            <w:r w:rsidRPr="000D7506">
              <w:rPr>
                <w:rFonts w:eastAsia="Times New Roman"/>
                <w:b/>
                <w:bCs/>
                <w:sz w:val="14"/>
                <w:lang w:eastAsia="es-MX"/>
              </w:rPr>
              <w:t>ÍNDICE DE CONFIANZA DEL CONSUMIDOR</w:t>
            </w:r>
          </w:p>
          <w:p w14:paraId="115EAF85" w14:textId="77777777" w:rsidR="000D7506" w:rsidRPr="000D7506" w:rsidRDefault="000D7506" w:rsidP="000D7506">
            <w:pPr>
              <w:rPr>
                <w:rFonts w:eastAsia="Times New Roman"/>
                <w:b/>
                <w:bCs/>
                <w:sz w:val="14"/>
                <w:szCs w:val="14"/>
                <w:lang w:eastAsia="es-MX"/>
              </w:rPr>
            </w:pPr>
            <w:r w:rsidRPr="000D7506">
              <w:rPr>
                <w:rFonts w:eastAsia="Times New Roman"/>
                <w:sz w:val="14"/>
                <w:lang w:eastAsia="es-MX"/>
              </w:rPr>
              <w:t>Componentes:</w:t>
            </w:r>
          </w:p>
        </w:tc>
        <w:tc>
          <w:tcPr>
            <w:tcW w:w="557" w:type="dxa"/>
            <w:tcBorders>
              <w:top w:val="single" w:sz="4" w:space="0" w:color="auto"/>
              <w:left w:val="single" w:sz="4" w:space="0" w:color="auto"/>
              <w:bottom w:val="nil"/>
              <w:right w:val="single" w:sz="4" w:space="0" w:color="auto"/>
            </w:tcBorders>
            <w:vAlign w:val="center"/>
          </w:tcPr>
          <w:p w14:paraId="7880358A" w14:textId="77777777" w:rsidR="000D7506" w:rsidRPr="000D7506" w:rsidRDefault="000D7506" w:rsidP="000D7506">
            <w:pPr>
              <w:tabs>
                <w:tab w:val="left" w:pos="1250"/>
              </w:tabs>
              <w:ind w:right="57"/>
              <w:jc w:val="right"/>
              <w:rPr>
                <w:b/>
                <w:sz w:val="12"/>
                <w:szCs w:val="12"/>
              </w:rPr>
            </w:pPr>
            <w:r w:rsidRPr="000D7506">
              <w:rPr>
                <w:b/>
                <w:sz w:val="12"/>
                <w:szCs w:val="12"/>
              </w:rPr>
              <w:t>88.8</w:t>
            </w:r>
          </w:p>
        </w:tc>
        <w:tc>
          <w:tcPr>
            <w:tcW w:w="549" w:type="dxa"/>
            <w:tcBorders>
              <w:top w:val="single" w:sz="4" w:space="0" w:color="auto"/>
              <w:left w:val="single" w:sz="4" w:space="0" w:color="auto"/>
              <w:bottom w:val="nil"/>
              <w:right w:val="single" w:sz="4" w:space="0" w:color="auto"/>
            </w:tcBorders>
            <w:vAlign w:val="center"/>
          </w:tcPr>
          <w:p w14:paraId="6992E01F" w14:textId="77777777" w:rsidR="000D7506" w:rsidRPr="000D7506" w:rsidRDefault="000D7506" w:rsidP="000D7506">
            <w:pPr>
              <w:tabs>
                <w:tab w:val="left" w:pos="1250"/>
              </w:tabs>
              <w:ind w:right="57"/>
              <w:jc w:val="right"/>
              <w:rPr>
                <w:b/>
                <w:sz w:val="12"/>
                <w:szCs w:val="12"/>
              </w:rPr>
            </w:pPr>
            <w:r w:rsidRPr="000D7506">
              <w:rPr>
                <w:b/>
                <w:sz w:val="12"/>
                <w:szCs w:val="12"/>
              </w:rPr>
              <w:t>90.3</w:t>
            </w:r>
          </w:p>
        </w:tc>
        <w:tc>
          <w:tcPr>
            <w:tcW w:w="569" w:type="dxa"/>
            <w:tcBorders>
              <w:top w:val="single" w:sz="4" w:space="0" w:color="auto"/>
              <w:left w:val="single" w:sz="4" w:space="0" w:color="auto"/>
              <w:bottom w:val="nil"/>
              <w:right w:val="single" w:sz="4" w:space="0" w:color="auto"/>
            </w:tcBorders>
            <w:vAlign w:val="center"/>
          </w:tcPr>
          <w:p w14:paraId="42AD022B" w14:textId="77777777" w:rsidR="000D7506" w:rsidRPr="000D7506" w:rsidRDefault="000D7506" w:rsidP="000D7506">
            <w:pPr>
              <w:tabs>
                <w:tab w:val="left" w:pos="1250"/>
              </w:tabs>
              <w:ind w:right="57"/>
              <w:jc w:val="right"/>
              <w:rPr>
                <w:b/>
                <w:sz w:val="12"/>
                <w:szCs w:val="12"/>
              </w:rPr>
            </w:pPr>
            <w:r w:rsidRPr="000D7506">
              <w:rPr>
                <w:b/>
                <w:sz w:val="12"/>
                <w:szCs w:val="12"/>
              </w:rPr>
              <w:t>90.7</w:t>
            </w:r>
          </w:p>
        </w:tc>
        <w:tc>
          <w:tcPr>
            <w:tcW w:w="570" w:type="dxa"/>
            <w:tcBorders>
              <w:top w:val="single" w:sz="4" w:space="0" w:color="auto"/>
              <w:left w:val="single" w:sz="4" w:space="0" w:color="auto"/>
              <w:bottom w:val="nil"/>
              <w:right w:val="single" w:sz="4" w:space="0" w:color="auto"/>
            </w:tcBorders>
            <w:vAlign w:val="center"/>
          </w:tcPr>
          <w:p w14:paraId="0238FD99" w14:textId="77777777" w:rsidR="000D7506" w:rsidRPr="000D7506" w:rsidRDefault="000D7506" w:rsidP="000D7506">
            <w:pPr>
              <w:tabs>
                <w:tab w:val="left" w:pos="1250"/>
              </w:tabs>
              <w:ind w:right="57"/>
              <w:jc w:val="right"/>
              <w:rPr>
                <w:b/>
                <w:sz w:val="12"/>
                <w:szCs w:val="12"/>
              </w:rPr>
            </w:pPr>
            <w:r w:rsidRPr="000D7506">
              <w:rPr>
                <w:b/>
                <w:sz w:val="12"/>
                <w:szCs w:val="12"/>
              </w:rPr>
              <w:t>91.0</w:t>
            </w:r>
          </w:p>
        </w:tc>
        <w:tc>
          <w:tcPr>
            <w:tcW w:w="567" w:type="dxa"/>
            <w:tcBorders>
              <w:top w:val="single" w:sz="4" w:space="0" w:color="auto"/>
              <w:left w:val="single" w:sz="4" w:space="0" w:color="auto"/>
              <w:bottom w:val="nil"/>
              <w:right w:val="single" w:sz="4" w:space="0" w:color="auto"/>
            </w:tcBorders>
            <w:vAlign w:val="center"/>
          </w:tcPr>
          <w:p w14:paraId="5F657F1E" w14:textId="77777777" w:rsidR="000D7506" w:rsidRPr="000D7506" w:rsidRDefault="000D7506" w:rsidP="000D7506">
            <w:pPr>
              <w:tabs>
                <w:tab w:val="left" w:pos="1250"/>
              </w:tabs>
              <w:ind w:right="57"/>
              <w:jc w:val="right"/>
              <w:rPr>
                <w:b/>
                <w:sz w:val="12"/>
                <w:szCs w:val="12"/>
              </w:rPr>
            </w:pPr>
            <w:r w:rsidRPr="000D7506">
              <w:rPr>
                <w:b/>
                <w:sz w:val="12"/>
                <w:szCs w:val="12"/>
              </w:rPr>
              <w:t>90.5</w:t>
            </w:r>
          </w:p>
        </w:tc>
        <w:tc>
          <w:tcPr>
            <w:tcW w:w="583" w:type="dxa"/>
            <w:tcBorders>
              <w:top w:val="single" w:sz="4" w:space="0" w:color="auto"/>
              <w:left w:val="single" w:sz="4" w:space="0" w:color="auto"/>
              <w:bottom w:val="nil"/>
              <w:right w:val="single" w:sz="4" w:space="0" w:color="auto"/>
            </w:tcBorders>
            <w:vAlign w:val="center"/>
          </w:tcPr>
          <w:p w14:paraId="53CA8601" w14:textId="77777777" w:rsidR="000D7506" w:rsidRPr="000D7506" w:rsidRDefault="000D7506" w:rsidP="000D7506">
            <w:pPr>
              <w:tabs>
                <w:tab w:val="left" w:pos="1250"/>
              </w:tabs>
              <w:ind w:right="57"/>
              <w:jc w:val="right"/>
              <w:rPr>
                <w:b/>
                <w:sz w:val="12"/>
                <w:szCs w:val="12"/>
              </w:rPr>
            </w:pPr>
            <w:r w:rsidRPr="000D7506">
              <w:rPr>
                <w:b/>
                <w:sz w:val="12"/>
                <w:szCs w:val="12"/>
              </w:rPr>
              <w:t>89.7</w:t>
            </w:r>
          </w:p>
        </w:tc>
        <w:tc>
          <w:tcPr>
            <w:tcW w:w="575" w:type="dxa"/>
            <w:tcBorders>
              <w:top w:val="single" w:sz="4" w:space="0" w:color="auto"/>
              <w:left w:val="single" w:sz="4" w:space="0" w:color="auto"/>
              <w:bottom w:val="nil"/>
              <w:right w:val="single" w:sz="4" w:space="0" w:color="auto"/>
            </w:tcBorders>
            <w:vAlign w:val="center"/>
          </w:tcPr>
          <w:p w14:paraId="1B83B89F" w14:textId="77777777" w:rsidR="000D7506" w:rsidRPr="000D7506" w:rsidRDefault="000D7506" w:rsidP="000D7506">
            <w:pPr>
              <w:tabs>
                <w:tab w:val="left" w:pos="1250"/>
              </w:tabs>
              <w:ind w:right="57"/>
              <w:jc w:val="right"/>
              <w:rPr>
                <w:b/>
                <w:sz w:val="12"/>
                <w:szCs w:val="12"/>
              </w:rPr>
            </w:pPr>
            <w:r w:rsidRPr="000D7506">
              <w:rPr>
                <w:b/>
                <w:sz w:val="12"/>
                <w:szCs w:val="12"/>
              </w:rPr>
              <w:t>91.8</w:t>
            </w:r>
          </w:p>
        </w:tc>
        <w:tc>
          <w:tcPr>
            <w:tcW w:w="507" w:type="dxa"/>
            <w:tcBorders>
              <w:top w:val="single" w:sz="4" w:space="0" w:color="auto"/>
              <w:left w:val="single" w:sz="4" w:space="0" w:color="auto"/>
              <w:bottom w:val="nil"/>
              <w:right w:val="single" w:sz="4" w:space="0" w:color="auto"/>
            </w:tcBorders>
            <w:vAlign w:val="center"/>
          </w:tcPr>
          <w:p w14:paraId="274E6097" w14:textId="77777777" w:rsidR="000D7506" w:rsidRPr="000D7506" w:rsidRDefault="000D7506" w:rsidP="000D7506">
            <w:pPr>
              <w:tabs>
                <w:tab w:val="left" w:pos="1250"/>
              </w:tabs>
              <w:ind w:right="57"/>
              <w:jc w:val="right"/>
              <w:rPr>
                <w:b/>
                <w:sz w:val="12"/>
                <w:szCs w:val="12"/>
              </w:rPr>
            </w:pPr>
            <w:r w:rsidRPr="000D7506">
              <w:rPr>
                <w:b/>
                <w:sz w:val="12"/>
                <w:szCs w:val="12"/>
              </w:rPr>
              <w:t>90.6</w:t>
            </w:r>
          </w:p>
        </w:tc>
        <w:tc>
          <w:tcPr>
            <w:tcW w:w="643" w:type="dxa"/>
            <w:tcBorders>
              <w:top w:val="single" w:sz="4" w:space="0" w:color="auto"/>
              <w:left w:val="single" w:sz="4" w:space="0" w:color="auto"/>
              <w:bottom w:val="nil"/>
              <w:right w:val="single" w:sz="4" w:space="0" w:color="auto"/>
            </w:tcBorders>
            <w:vAlign w:val="center"/>
          </w:tcPr>
          <w:p w14:paraId="04DC3682" w14:textId="77777777" w:rsidR="000D7506" w:rsidRPr="000D7506" w:rsidRDefault="000D7506" w:rsidP="000D7506">
            <w:pPr>
              <w:tabs>
                <w:tab w:val="left" w:pos="1250"/>
              </w:tabs>
              <w:ind w:right="57"/>
              <w:jc w:val="right"/>
              <w:rPr>
                <w:b/>
                <w:sz w:val="12"/>
                <w:szCs w:val="12"/>
              </w:rPr>
            </w:pPr>
            <w:r w:rsidRPr="000D7506">
              <w:rPr>
                <w:b/>
                <w:sz w:val="12"/>
                <w:szCs w:val="12"/>
              </w:rPr>
              <w:t>92.9</w:t>
            </w:r>
          </w:p>
        </w:tc>
        <w:tc>
          <w:tcPr>
            <w:tcW w:w="554" w:type="dxa"/>
            <w:tcBorders>
              <w:top w:val="single" w:sz="4" w:space="0" w:color="auto"/>
              <w:left w:val="single" w:sz="4" w:space="0" w:color="auto"/>
              <w:bottom w:val="nil"/>
              <w:right w:val="single" w:sz="4" w:space="0" w:color="auto"/>
            </w:tcBorders>
            <w:vAlign w:val="center"/>
          </w:tcPr>
          <w:p w14:paraId="0F23CECE" w14:textId="77777777" w:rsidR="000D7506" w:rsidRPr="000D7506" w:rsidRDefault="000D7506" w:rsidP="000D7506">
            <w:pPr>
              <w:tabs>
                <w:tab w:val="left" w:pos="1250"/>
              </w:tabs>
              <w:ind w:right="57"/>
              <w:jc w:val="right"/>
              <w:rPr>
                <w:b/>
                <w:sz w:val="12"/>
                <w:szCs w:val="12"/>
              </w:rPr>
            </w:pPr>
            <w:r w:rsidRPr="000D7506">
              <w:rPr>
                <w:b/>
                <w:sz w:val="12"/>
                <w:szCs w:val="12"/>
              </w:rPr>
              <w:t>93.6</w:t>
            </w:r>
          </w:p>
        </w:tc>
        <w:tc>
          <w:tcPr>
            <w:tcW w:w="568" w:type="dxa"/>
            <w:tcBorders>
              <w:top w:val="single" w:sz="4" w:space="0" w:color="auto"/>
              <w:left w:val="single" w:sz="4" w:space="0" w:color="auto"/>
              <w:bottom w:val="nil"/>
              <w:right w:val="single" w:sz="4" w:space="0" w:color="auto"/>
            </w:tcBorders>
            <w:vAlign w:val="center"/>
          </w:tcPr>
          <w:p w14:paraId="6BC16370" w14:textId="77777777" w:rsidR="000D7506" w:rsidRPr="000D7506" w:rsidRDefault="000D7506" w:rsidP="000D7506">
            <w:pPr>
              <w:tabs>
                <w:tab w:val="left" w:pos="1250"/>
              </w:tabs>
              <w:ind w:right="57"/>
              <w:jc w:val="right"/>
              <w:rPr>
                <w:b/>
                <w:sz w:val="12"/>
                <w:szCs w:val="12"/>
              </w:rPr>
            </w:pPr>
            <w:r w:rsidRPr="000D7506">
              <w:rPr>
                <w:b/>
                <w:sz w:val="12"/>
                <w:szCs w:val="12"/>
              </w:rPr>
              <w:t>91.1</w:t>
            </w:r>
          </w:p>
        </w:tc>
        <w:tc>
          <w:tcPr>
            <w:tcW w:w="567" w:type="dxa"/>
            <w:tcBorders>
              <w:top w:val="single" w:sz="4" w:space="0" w:color="auto"/>
              <w:left w:val="single" w:sz="4" w:space="0" w:color="auto"/>
              <w:bottom w:val="nil"/>
              <w:right w:val="single" w:sz="4" w:space="0" w:color="auto"/>
            </w:tcBorders>
            <w:vAlign w:val="center"/>
          </w:tcPr>
          <w:p w14:paraId="7510BF23" w14:textId="77777777" w:rsidR="000D7506" w:rsidRPr="000D7506" w:rsidRDefault="000D7506" w:rsidP="000D7506">
            <w:pPr>
              <w:tabs>
                <w:tab w:val="left" w:pos="1250"/>
              </w:tabs>
              <w:ind w:right="57"/>
              <w:jc w:val="right"/>
              <w:rPr>
                <w:b/>
                <w:sz w:val="12"/>
                <w:szCs w:val="12"/>
              </w:rPr>
            </w:pPr>
            <w:r w:rsidRPr="000D7506">
              <w:rPr>
                <w:b/>
                <w:sz w:val="12"/>
                <w:szCs w:val="12"/>
              </w:rPr>
              <w:t>90.3</w:t>
            </w:r>
          </w:p>
        </w:tc>
        <w:tc>
          <w:tcPr>
            <w:tcW w:w="589" w:type="dxa"/>
            <w:tcBorders>
              <w:top w:val="single" w:sz="4" w:space="0" w:color="auto"/>
              <w:left w:val="single" w:sz="4" w:space="0" w:color="auto"/>
              <w:bottom w:val="nil"/>
              <w:right w:val="single" w:sz="4" w:space="0" w:color="auto"/>
            </w:tcBorders>
            <w:vAlign w:val="center"/>
          </w:tcPr>
          <w:p w14:paraId="1E81A0DF" w14:textId="77777777" w:rsidR="000D7506" w:rsidRPr="000D7506" w:rsidRDefault="000D7506" w:rsidP="000D7506">
            <w:pPr>
              <w:tabs>
                <w:tab w:val="left" w:pos="1250"/>
              </w:tabs>
              <w:ind w:right="57"/>
              <w:jc w:val="right"/>
              <w:rPr>
                <w:b/>
                <w:sz w:val="12"/>
                <w:szCs w:val="12"/>
              </w:rPr>
            </w:pPr>
            <w:r w:rsidRPr="000D7506">
              <w:rPr>
                <w:b/>
                <w:sz w:val="12"/>
                <w:szCs w:val="12"/>
              </w:rPr>
              <w:t>93.1</w:t>
            </w:r>
          </w:p>
        </w:tc>
      </w:tr>
      <w:tr w:rsidR="000D7506" w:rsidRPr="000D7506" w14:paraId="6A04B77A" w14:textId="77777777" w:rsidTr="00512C3D">
        <w:tc>
          <w:tcPr>
            <w:tcW w:w="2078" w:type="dxa"/>
            <w:tcBorders>
              <w:top w:val="nil"/>
              <w:left w:val="single" w:sz="4" w:space="0" w:color="auto"/>
              <w:bottom w:val="nil"/>
              <w:right w:val="single" w:sz="4" w:space="0" w:color="auto"/>
            </w:tcBorders>
          </w:tcPr>
          <w:p w14:paraId="5BA542C9" w14:textId="77777777" w:rsidR="000D7506" w:rsidRPr="000D7506" w:rsidRDefault="000D7506" w:rsidP="000D7506">
            <w:pPr>
              <w:ind w:left="170" w:hanging="170"/>
              <w:jc w:val="both"/>
              <w:rPr>
                <w:rFonts w:eastAsia="Times New Roman"/>
                <w:sz w:val="14"/>
                <w:szCs w:val="14"/>
                <w:lang w:eastAsia="es-MX"/>
              </w:rPr>
            </w:pPr>
            <w:r w:rsidRPr="000D7506">
              <w:rPr>
                <w:sz w:val="14"/>
                <w:lang w:eastAsia="es-MX"/>
              </w:rPr>
              <w:t xml:space="preserve">1. </w:t>
            </w:r>
            <w:r w:rsidRPr="000D7506">
              <w:rPr>
                <w:rFonts w:eastAsia="Times New Roman"/>
                <w:sz w:val="14"/>
                <w:lang w:eastAsia="es-MX"/>
              </w:rPr>
              <w:t>Situación económica en el momento actual de los miembros del hogar comparada con la que tenían hace 12 meses.</w:t>
            </w:r>
          </w:p>
        </w:tc>
        <w:tc>
          <w:tcPr>
            <w:tcW w:w="557" w:type="dxa"/>
            <w:tcBorders>
              <w:top w:val="nil"/>
              <w:left w:val="single" w:sz="4" w:space="0" w:color="auto"/>
              <w:bottom w:val="nil"/>
              <w:right w:val="single" w:sz="4" w:space="0" w:color="auto"/>
            </w:tcBorders>
            <w:vAlign w:val="center"/>
          </w:tcPr>
          <w:p w14:paraId="6E00043D" w14:textId="77777777" w:rsidR="000D7506" w:rsidRPr="000D7506" w:rsidRDefault="000D7506" w:rsidP="000D7506">
            <w:pPr>
              <w:tabs>
                <w:tab w:val="left" w:pos="1250"/>
              </w:tabs>
              <w:ind w:right="57"/>
              <w:jc w:val="right"/>
              <w:rPr>
                <w:sz w:val="12"/>
                <w:szCs w:val="12"/>
              </w:rPr>
            </w:pPr>
            <w:r w:rsidRPr="000D7506">
              <w:rPr>
                <w:sz w:val="12"/>
                <w:szCs w:val="12"/>
              </w:rPr>
              <w:t>94.7</w:t>
            </w:r>
          </w:p>
        </w:tc>
        <w:tc>
          <w:tcPr>
            <w:tcW w:w="549" w:type="dxa"/>
            <w:tcBorders>
              <w:top w:val="nil"/>
              <w:left w:val="single" w:sz="4" w:space="0" w:color="auto"/>
              <w:bottom w:val="nil"/>
              <w:right w:val="single" w:sz="4" w:space="0" w:color="auto"/>
            </w:tcBorders>
            <w:vAlign w:val="center"/>
          </w:tcPr>
          <w:p w14:paraId="11AF9598" w14:textId="77777777" w:rsidR="000D7506" w:rsidRPr="000D7506" w:rsidRDefault="000D7506" w:rsidP="000D7506">
            <w:pPr>
              <w:tabs>
                <w:tab w:val="left" w:pos="1250"/>
              </w:tabs>
              <w:ind w:right="57"/>
              <w:jc w:val="right"/>
              <w:rPr>
                <w:sz w:val="12"/>
                <w:szCs w:val="12"/>
              </w:rPr>
            </w:pPr>
            <w:r w:rsidRPr="000D7506">
              <w:rPr>
                <w:sz w:val="12"/>
                <w:szCs w:val="12"/>
              </w:rPr>
              <w:t>96.3</w:t>
            </w:r>
          </w:p>
        </w:tc>
        <w:tc>
          <w:tcPr>
            <w:tcW w:w="569" w:type="dxa"/>
            <w:tcBorders>
              <w:top w:val="nil"/>
              <w:left w:val="single" w:sz="4" w:space="0" w:color="auto"/>
              <w:bottom w:val="nil"/>
              <w:right w:val="single" w:sz="4" w:space="0" w:color="auto"/>
            </w:tcBorders>
            <w:vAlign w:val="center"/>
          </w:tcPr>
          <w:p w14:paraId="180A9E65" w14:textId="77777777" w:rsidR="000D7506" w:rsidRPr="000D7506" w:rsidRDefault="000D7506" w:rsidP="000D7506">
            <w:pPr>
              <w:tabs>
                <w:tab w:val="left" w:pos="1250"/>
              </w:tabs>
              <w:ind w:right="57"/>
              <w:jc w:val="right"/>
              <w:rPr>
                <w:sz w:val="12"/>
                <w:szCs w:val="12"/>
              </w:rPr>
            </w:pPr>
            <w:r w:rsidRPr="000D7506">
              <w:rPr>
                <w:sz w:val="12"/>
                <w:szCs w:val="12"/>
              </w:rPr>
              <w:t>96.7</w:t>
            </w:r>
          </w:p>
        </w:tc>
        <w:tc>
          <w:tcPr>
            <w:tcW w:w="570" w:type="dxa"/>
            <w:tcBorders>
              <w:top w:val="nil"/>
              <w:left w:val="single" w:sz="4" w:space="0" w:color="auto"/>
              <w:bottom w:val="nil"/>
              <w:right w:val="single" w:sz="4" w:space="0" w:color="auto"/>
            </w:tcBorders>
            <w:vAlign w:val="center"/>
          </w:tcPr>
          <w:p w14:paraId="6A6B48AE" w14:textId="77777777" w:rsidR="000D7506" w:rsidRPr="000D7506" w:rsidRDefault="000D7506" w:rsidP="000D7506">
            <w:pPr>
              <w:tabs>
                <w:tab w:val="left" w:pos="1250"/>
              </w:tabs>
              <w:ind w:right="57"/>
              <w:jc w:val="right"/>
              <w:rPr>
                <w:sz w:val="12"/>
                <w:szCs w:val="12"/>
              </w:rPr>
            </w:pPr>
            <w:r w:rsidRPr="000D7506">
              <w:rPr>
                <w:sz w:val="12"/>
                <w:szCs w:val="12"/>
              </w:rPr>
              <w:t>97.5</w:t>
            </w:r>
          </w:p>
        </w:tc>
        <w:tc>
          <w:tcPr>
            <w:tcW w:w="567" w:type="dxa"/>
            <w:tcBorders>
              <w:top w:val="nil"/>
              <w:left w:val="single" w:sz="4" w:space="0" w:color="auto"/>
              <w:bottom w:val="nil"/>
              <w:right w:val="single" w:sz="4" w:space="0" w:color="auto"/>
            </w:tcBorders>
            <w:vAlign w:val="center"/>
          </w:tcPr>
          <w:p w14:paraId="30D019B2" w14:textId="77777777" w:rsidR="000D7506" w:rsidRPr="000D7506" w:rsidRDefault="000D7506" w:rsidP="000D7506">
            <w:pPr>
              <w:tabs>
                <w:tab w:val="left" w:pos="1250"/>
              </w:tabs>
              <w:ind w:right="57"/>
              <w:jc w:val="right"/>
              <w:rPr>
                <w:sz w:val="12"/>
                <w:szCs w:val="12"/>
              </w:rPr>
            </w:pPr>
            <w:r w:rsidRPr="000D7506">
              <w:rPr>
                <w:sz w:val="12"/>
                <w:szCs w:val="12"/>
              </w:rPr>
              <w:t>94.7</w:t>
            </w:r>
          </w:p>
        </w:tc>
        <w:tc>
          <w:tcPr>
            <w:tcW w:w="583" w:type="dxa"/>
            <w:tcBorders>
              <w:top w:val="nil"/>
              <w:left w:val="single" w:sz="4" w:space="0" w:color="auto"/>
              <w:bottom w:val="nil"/>
              <w:right w:val="single" w:sz="4" w:space="0" w:color="auto"/>
            </w:tcBorders>
            <w:vAlign w:val="center"/>
          </w:tcPr>
          <w:p w14:paraId="3A769D61" w14:textId="77777777" w:rsidR="000D7506" w:rsidRPr="000D7506" w:rsidRDefault="000D7506" w:rsidP="000D7506">
            <w:pPr>
              <w:tabs>
                <w:tab w:val="left" w:pos="1250"/>
              </w:tabs>
              <w:ind w:right="57"/>
              <w:jc w:val="right"/>
              <w:rPr>
                <w:sz w:val="12"/>
                <w:szCs w:val="12"/>
              </w:rPr>
            </w:pPr>
            <w:r w:rsidRPr="000D7506">
              <w:rPr>
                <w:sz w:val="12"/>
                <w:szCs w:val="12"/>
              </w:rPr>
              <w:t>95.9</w:t>
            </w:r>
          </w:p>
        </w:tc>
        <w:tc>
          <w:tcPr>
            <w:tcW w:w="575" w:type="dxa"/>
            <w:tcBorders>
              <w:top w:val="nil"/>
              <w:left w:val="single" w:sz="4" w:space="0" w:color="auto"/>
              <w:bottom w:val="nil"/>
              <w:right w:val="single" w:sz="4" w:space="0" w:color="auto"/>
            </w:tcBorders>
            <w:vAlign w:val="center"/>
          </w:tcPr>
          <w:p w14:paraId="7380524D" w14:textId="77777777" w:rsidR="000D7506" w:rsidRPr="000D7506" w:rsidRDefault="000D7506" w:rsidP="000D7506">
            <w:pPr>
              <w:tabs>
                <w:tab w:val="left" w:pos="1250"/>
              </w:tabs>
              <w:ind w:right="57"/>
              <w:jc w:val="right"/>
              <w:rPr>
                <w:sz w:val="12"/>
                <w:szCs w:val="12"/>
              </w:rPr>
            </w:pPr>
            <w:r w:rsidRPr="000D7506">
              <w:rPr>
                <w:sz w:val="12"/>
                <w:szCs w:val="12"/>
              </w:rPr>
              <w:t>96.7</w:t>
            </w:r>
          </w:p>
        </w:tc>
        <w:tc>
          <w:tcPr>
            <w:tcW w:w="507" w:type="dxa"/>
            <w:tcBorders>
              <w:top w:val="nil"/>
              <w:left w:val="single" w:sz="4" w:space="0" w:color="auto"/>
              <w:bottom w:val="nil"/>
              <w:right w:val="single" w:sz="4" w:space="0" w:color="auto"/>
            </w:tcBorders>
            <w:vAlign w:val="center"/>
          </w:tcPr>
          <w:p w14:paraId="1CE2396E" w14:textId="77777777" w:rsidR="000D7506" w:rsidRPr="000D7506" w:rsidRDefault="000D7506" w:rsidP="000D7506">
            <w:pPr>
              <w:tabs>
                <w:tab w:val="left" w:pos="1250"/>
              </w:tabs>
              <w:ind w:right="57"/>
              <w:jc w:val="right"/>
              <w:rPr>
                <w:sz w:val="12"/>
                <w:szCs w:val="12"/>
              </w:rPr>
            </w:pPr>
            <w:r w:rsidRPr="000D7506">
              <w:rPr>
                <w:sz w:val="12"/>
                <w:szCs w:val="12"/>
              </w:rPr>
              <w:t>98.1</w:t>
            </w:r>
          </w:p>
        </w:tc>
        <w:tc>
          <w:tcPr>
            <w:tcW w:w="643" w:type="dxa"/>
            <w:tcBorders>
              <w:top w:val="nil"/>
              <w:left w:val="single" w:sz="4" w:space="0" w:color="auto"/>
              <w:bottom w:val="nil"/>
              <w:right w:val="single" w:sz="4" w:space="0" w:color="auto"/>
            </w:tcBorders>
            <w:vAlign w:val="center"/>
          </w:tcPr>
          <w:p w14:paraId="2DC1E257" w14:textId="77777777" w:rsidR="000D7506" w:rsidRPr="000D7506" w:rsidRDefault="000D7506" w:rsidP="000D7506">
            <w:pPr>
              <w:tabs>
                <w:tab w:val="left" w:pos="1250"/>
              </w:tabs>
              <w:ind w:right="57"/>
              <w:jc w:val="right"/>
              <w:rPr>
                <w:sz w:val="12"/>
                <w:szCs w:val="12"/>
              </w:rPr>
            </w:pPr>
            <w:r w:rsidRPr="000D7506">
              <w:rPr>
                <w:sz w:val="12"/>
                <w:szCs w:val="12"/>
              </w:rPr>
              <w:t>99.5</w:t>
            </w:r>
          </w:p>
        </w:tc>
        <w:tc>
          <w:tcPr>
            <w:tcW w:w="554" w:type="dxa"/>
            <w:tcBorders>
              <w:top w:val="nil"/>
              <w:left w:val="single" w:sz="4" w:space="0" w:color="auto"/>
              <w:bottom w:val="nil"/>
              <w:right w:val="single" w:sz="4" w:space="0" w:color="auto"/>
            </w:tcBorders>
            <w:vAlign w:val="center"/>
          </w:tcPr>
          <w:p w14:paraId="0214F1FC" w14:textId="77777777" w:rsidR="000D7506" w:rsidRPr="000D7506" w:rsidRDefault="000D7506" w:rsidP="000D7506">
            <w:pPr>
              <w:tabs>
                <w:tab w:val="left" w:pos="1250"/>
              </w:tabs>
              <w:ind w:right="57"/>
              <w:jc w:val="right"/>
              <w:rPr>
                <w:sz w:val="12"/>
                <w:szCs w:val="12"/>
              </w:rPr>
            </w:pPr>
            <w:r w:rsidRPr="000D7506">
              <w:rPr>
                <w:sz w:val="12"/>
                <w:szCs w:val="12"/>
              </w:rPr>
              <w:t>100.2</w:t>
            </w:r>
          </w:p>
        </w:tc>
        <w:tc>
          <w:tcPr>
            <w:tcW w:w="568" w:type="dxa"/>
            <w:tcBorders>
              <w:top w:val="nil"/>
              <w:left w:val="single" w:sz="4" w:space="0" w:color="auto"/>
              <w:bottom w:val="nil"/>
              <w:right w:val="single" w:sz="4" w:space="0" w:color="auto"/>
            </w:tcBorders>
            <w:vAlign w:val="center"/>
          </w:tcPr>
          <w:p w14:paraId="789403DF" w14:textId="77777777" w:rsidR="000D7506" w:rsidRPr="000D7506" w:rsidRDefault="000D7506" w:rsidP="000D7506">
            <w:pPr>
              <w:tabs>
                <w:tab w:val="left" w:pos="1250"/>
              </w:tabs>
              <w:ind w:right="57"/>
              <w:jc w:val="right"/>
              <w:rPr>
                <w:sz w:val="12"/>
                <w:szCs w:val="12"/>
              </w:rPr>
            </w:pPr>
            <w:r w:rsidRPr="000D7506">
              <w:rPr>
                <w:sz w:val="12"/>
                <w:szCs w:val="12"/>
              </w:rPr>
              <w:t>99.2</w:t>
            </w:r>
          </w:p>
        </w:tc>
        <w:tc>
          <w:tcPr>
            <w:tcW w:w="567" w:type="dxa"/>
            <w:tcBorders>
              <w:top w:val="nil"/>
              <w:left w:val="single" w:sz="4" w:space="0" w:color="auto"/>
              <w:bottom w:val="nil"/>
              <w:right w:val="single" w:sz="4" w:space="0" w:color="auto"/>
            </w:tcBorders>
            <w:vAlign w:val="center"/>
          </w:tcPr>
          <w:p w14:paraId="61656C1C" w14:textId="77777777" w:rsidR="000D7506" w:rsidRPr="000D7506" w:rsidRDefault="000D7506" w:rsidP="000D7506">
            <w:pPr>
              <w:tabs>
                <w:tab w:val="left" w:pos="1250"/>
              </w:tabs>
              <w:ind w:right="57"/>
              <w:jc w:val="right"/>
              <w:rPr>
                <w:sz w:val="12"/>
                <w:szCs w:val="12"/>
              </w:rPr>
            </w:pPr>
            <w:r w:rsidRPr="000D7506">
              <w:rPr>
                <w:sz w:val="12"/>
                <w:szCs w:val="12"/>
              </w:rPr>
              <w:t>96.7</w:t>
            </w:r>
          </w:p>
        </w:tc>
        <w:tc>
          <w:tcPr>
            <w:tcW w:w="589" w:type="dxa"/>
            <w:tcBorders>
              <w:top w:val="nil"/>
              <w:left w:val="single" w:sz="4" w:space="0" w:color="auto"/>
              <w:bottom w:val="nil"/>
              <w:right w:val="single" w:sz="4" w:space="0" w:color="auto"/>
            </w:tcBorders>
            <w:vAlign w:val="center"/>
          </w:tcPr>
          <w:p w14:paraId="0AF166E3" w14:textId="77777777" w:rsidR="000D7506" w:rsidRPr="000D7506" w:rsidRDefault="000D7506" w:rsidP="000D7506">
            <w:pPr>
              <w:tabs>
                <w:tab w:val="left" w:pos="1250"/>
              </w:tabs>
              <w:ind w:right="57"/>
              <w:jc w:val="right"/>
              <w:rPr>
                <w:sz w:val="12"/>
                <w:szCs w:val="12"/>
              </w:rPr>
            </w:pPr>
            <w:r w:rsidRPr="000D7506">
              <w:rPr>
                <w:sz w:val="12"/>
                <w:szCs w:val="12"/>
              </w:rPr>
              <w:t>99.8</w:t>
            </w:r>
          </w:p>
        </w:tc>
      </w:tr>
      <w:tr w:rsidR="000D7506" w:rsidRPr="000D7506" w14:paraId="34D3E389" w14:textId="77777777" w:rsidTr="00512C3D">
        <w:tc>
          <w:tcPr>
            <w:tcW w:w="2078" w:type="dxa"/>
            <w:tcBorders>
              <w:top w:val="nil"/>
              <w:left w:val="single" w:sz="4" w:space="0" w:color="auto"/>
              <w:bottom w:val="nil"/>
              <w:right w:val="single" w:sz="4" w:space="0" w:color="auto"/>
            </w:tcBorders>
          </w:tcPr>
          <w:p w14:paraId="51FFB92F" w14:textId="77777777" w:rsidR="000D7506" w:rsidRPr="000D7506" w:rsidRDefault="000D7506" w:rsidP="000D7506">
            <w:pPr>
              <w:tabs>
                <w:tab w:val="left" w:pos="1250"/>
              </w:tabs>
              <w:ind w:left="170" w:hanging="170"/>
              <w:jc w:val="both"/>
              <w:rPr>
                <w:sz w:val="14"/>
                <w:szCs w:val="14"/>
              </w:rPr>
            </w:pPr>
            <w:r w:rsidRPr="000D7506">
              <w:rPr>
                <w:sz w:val="14"/>
                <w:lang w:eastAsia="es-MX"/>
              </w:rPr>
              <w:t xml:space="preserve">2. </w:t>
            </w:r>
            <w:r w:rsidRPr="000D7506">
              <w:rPr>
                <w:rFonts w:eastAsia="Times New Roman"/>
                <w:sz w:val="14"/>
                <w:lang w:eastAsia="es-MX"/>
              </w:rPr>
              <w:t>Situación económica esperada de los miembros del hogar dentro de 12 meses, respecto de la actual.</w:t>
            </w:r>
          </w:p>
        </w:tc>
        <w:tc>
          <w:tcPr>
            <w:tcW w:w="557" w:type="dxa"/>
            <w:tcBorders>
              <w:top w:val="nil"/>
              <w:left w:val="single" w:sz="4" w:space="0" w:color="auto"/>
              <w:bottom w:val="nil"/>
              <w:right w:val="single" w:sz="4" w:space="0" w:color="auto"/>
            </w:tcBorders>
            <w:vAlign w:val="center"/>
          </w:tcPr>
          <w:p w14:paraId="5A700F32" w14:textId="77777777" w:rsidR="000D7506" w:rsidRPr="000D7506" w:rsidRDefault="000D7506" w:rsidP="000D7506">
            <w:pPr>
              <w:tabs>
                <w:tab w:val="left" w:pos="1250"/>
              </w:tabs>
              <w:ind w:right="57"/>
              <w:jc w:val="right"/>
              <w:rPr>
                <w:sz w:val="12"/>
                <w:szCs w:val="12"/>
              </w:rPr>
            </w:pPr>
            <w:r w:rsidRPr="000D7506">
              <w:rPr>
                <w:sz w:val="12"/>
                <w:szCs w:val="12"/>
              </w:rPr>
              <w:t>99.3</w:t>
            </w:r>
          </w:p>
        </w:tc>
        <w:tc>
          <w:tcPr>
            <w:tcW w:w="549" w:type="dxa"/>
            <w:tcBorders>
              <w:top w:val="nil"/>
              <w:left w:val="single" w:sz="4" w:space="0" w:color="auto"/>
              <w:bottom w:val="nil"/>
              <w:right w:val="single" w:sz="4" w:space="0" w:color="auto"/>
            </w:tcBorders>
            <w:vAlign w:val="center"/>
          </w:tcPr>
          <w:p w14:paraId="1803EA2D" w14:textId="77777777" w:rsidR="000D7506" w:rsidRPr="000D7506" w:rsidRDefault="000D7506" w:rsidP="000D7506">
            <w:pPr>
              <w:tabs>
                <w:tab w:val="left" w:pos="1250"/>
              </w:tabs>
              <w:ind w:right="57"/>
              <w:jc w:val="right"/>
              <w:rPr>
                <w:sz w:val="12"/>
                <w:szCs w:val="12"/>
              </w:rPr>
            </w:pPr>
            <w:r w:rsidRPr="000D7506">
              <w:rPr>
                <w:sz w:val="12"/>
                <w:szCs w:val="12"/>
              </w:rPr>
              <w:t>98.5</w:t>
            </w:r>
          </w:p>
        </w:tc>
        <w:tc>
          <w:tcPr>
            <w:tcW w:w="569" w:type="dxa"/>
            <w:tcBorders>
              <w:top w:val="nil"/>
              <w:left w:val="single" w:sz="4" w:space="0" w:color="auto"/>
              <w:bottom w:val="nil"/>
              <w:right w:val="single" w:sz="4" w:space="0" w:color="auto"/>
            </w:tcBorders>
            <w:vAlign w:val="center"/>
          </w:tcPr>
          <w:p w14:paraId="693B813C" w14:textId="77777777" w:rsidR="000D7506" w:rsidRPr="000D7506" w:rsidRDefault="000D7506" w:rsidP="000D7506">
            <w:pPr>
              <w:tabs>
                <w:tab w:val="left" w:pos="1250"/>
              </w:tabs>
              <w:ind w:right="57"/>
              <w:jc w:val="right"/>
              <w:rPr>
                <w:sz w:val="12"/>
                <w:szCs w:val="12"/>
              </w:rPr>
            </w:pPr>
            <w:r w:rsidRPr="000D7506">
              <w:rPr>
                <w:sz w:val="12"/>
                <w:szCs w:val="12"/>
              </w:rPr>
              <w:t>98.3</w:t>
            </w:r>
          </w:p>
        </w:tc>
        <w:tc>
          <w:tcPr>
            <w:tcW w:w="570" w:type="dxa"/>
            <w:tcBorders>
              <w:top w:val="nil"/>
              <w:left w:val="single" w:sz="4" w:space="0" w:color="auto"/>
              <w:bottom w:val="nil"/>
              <w:right w:val="single" w:sz="4" w:space="0" w:color="auto"/>
            </w:tcBorders>
            <w:vAlign w:val="center"/>
          </w:tcPr>
          <w:p w14:paraId="2AD9C02D" w14:textId="77777777" w:rsidR="000D7506" w:rsidRPr="000D7506" w:rsidRDefault="000D7506" w:rsidP="000D7506">
            <w:pPr>
              <w:tabs>
                <w:tab w:val="left" w:pos="1250"/>
              </w:tabs>
              <w:ind w:right="57"/>
              <w:jc w:val="right"/>
              <w:rPr>
                <w:sz w:val="12"/>
                <w:szCs w:val="12"/>
              </w:rPr>
            </w:pPr>
            <w:r w:rsidRPr="000D7506">
              <w:rPr>
                <w:sz w:val="12"/>
                <w:szCs w:val="12"/>
              </w:rPr>
              <w:t>97.9</w:t>
            </w:r>
          </w:p>
        </w:tc>
        <w:tc>
          <w:tcPr>
            <w:tcW w:w="567" w:type="dxa"/>
            <w:tcBorders>
              <w:top w:val="nil"/>
              <w:left w:val="single" w:sz="4" w:space="0" w:color="auto"/>
              <w:bottom w:val="nil"/>
              <w:right w:val="single" w:sz="4" w:space="0" w:color="auto"/>
            </w:tcBorders>
            <w:vAlign w:val="center"/>
          </w:tcPr>
          <w:p w14:paraId="7EAE4EF8" w14:textId="77777777" w:rsidR="000D7506" w:rsidRPr="000D7506" w:rsidRDefault="000D7506" w:rsidP="000D7506">
            <w:pPr>
              <w:tabs>
                <w:tab w:val="left" w:pos="1250"/>
              </w:tabs>
              <w:ind w:right="57"/>
              <w:jc w:val="right"/>
              <w:rPr>
                <w:sz w:val="12"/>
                <w:szCs w:val="12"/>
              </w:rPr>
            </w:pPr>
            <w:r w:rsidRPr="000D7506">
              <w:rPr>
                <w:sz w:val="12"/>
                <w:szCs w:val="12"/>
              </w:rPr>
              <w:t>97.3</w:t>
            </w:r>
          </w:p>
        </w:tc>
        <w:tc>
          <w:tcPr>
            <w:tcW w:w="583" w:type="dxa"/>
            <w:tcBorders>
              <w:top w:val="nil"/>
              <w:left w:val="single" w:sz="4" w:space="0" w:color="auto"/>
              <w:bottom w:val="nil"/>
              <w:right w:val="single" w:sz="4" w:space="0" w:color="auto"/>
            </w:tcBorders>
            <w:vAlign w:val="center"/>
          </w:tcPr>
          <w:p w14:paraId="00186B05" w14:textId="77777777" w:rsidR="000D7506" w:rsidRPr="000D7506" w:rsidRDefault="000D7506" w:rsidP="000D7506">
            <w:pPr>
              <w:tabs>
                <w:tab w:val="left" w:pos="1250"/>
              </w:tabs>
              <w:ind w:right="57"/>
              <w:jc w:val="right"/>
              <w:rPr>
                <w:sz w:val="12"/>
                <w:szCs w:val="12"/>
              </w:rPr>
            </w:pPr>
            <w:r w:rsidRPr="000D7506">
              <w:rPr>
                <w:sz w:val="12"/>
                <w:szCs w:val="12"/>
              </w:rPr>
              <w:t>98.6</w:t>
            </w:r>
          </w:p>
        </w:tc>
        <w:tc>
          <w:tcPr>
            <w:tcW w:w="575" w:type="dxa"/>
            <w:tcBorders>
              <w:top w:val="nil"/>
              <w:left w:val="single" w:sz="4" w:space="0" w:color="auto"/>
              <w:bottom w:val="nil"/>
              <w:right w:val="single" w:sz="4" w:space="0" w:color="auto"/>
            </w:tcBorders>
            <w:vAlign w:val="center"/>
          </w:tcPr>
          <w:p w14:paraId="43CE5A16" w14:textId="77777777" w:rsidR="000D7506" w:rsidRPr="000D7506" w:rsidRDefault="000D7506" w:rsidP="000D7506">
            <w:pPr>
              <w:tabs>
                <w:tab w:val="left" w:pos="1250"/>
              </w:tabs>
              <w:ind w:right="57"/>
              <w:jc w:val="right"/>
              <w:rPr>
                <w:sz w:val="12"/>
                <w:szCs w:val="12"/>
              </w:rPr>
            </w:pPr>
            <w:r w:rsidRPr="000D7506">
              <w:rPr>
                <w:sz w:val="12"/>
                <w:szCs w:val="12"/>
              </w:rPr>
              <w:t>99.4</w:t>
            </w:r>
          </w:p>
        </w:tc>
        <w:tc>
          <w:tcPr>
            <w:tcW w:w="507" w:type="dxa"/>
            <w:tcBorders>
              <w:top w:val="nil"/>
              <w:left w:val="single" w:sz="4" w:space="0" w:color="auto"/>
              <w:bottom w:val="nil"/>
              <w:right w:val="single" w:sz="4" w:space="0" w:color="auto"/>
            </w:tcBorders>
            <w:vAlign w:val="center"/>
          </w:tcPr>
          <w:p w14:paraId="5E62CB78" w14:textId="77777777" w:rsidR="000D7506" w:rsidRPr="000D7506" w:rsidRDefault="000D7506" w:rsidP="000D7506">
            <w:pPr>
              <w:tabs>
                <w:tab w:val="left" w:pos="1250"/>
              </w:tabs>
              <w:ind w:right="57"/>
              <w:jc w:val="right"/>
              <w:rPr>
                <w:sz w:val="12"/>
                <w:szCs w:val="12"/>
              </w:rPr>
            </w:pPr>
            <w:r w:rsidRPr="000D7506">
              <w:rPr>
                <w:sz w:val="12"/>
                <w:szCs w:val="12"/>
              </w:rPr>
              <w:t>98.5</w:t>
            </w:r>
          </w:p>
        </w:tc>
        <w:tc>
          <w:tcPr>
            <w:tcW w:w="643" w:type="dxa"/>
            <w:tcBorders>
              <w:top w:val="nil"/>
              <w:left w:val="single" w:sz="4" w:space="0" w:color="auto"/>
              <w:bottom w:val="nil"/>
              <w:right w:val="single" w:sz="4" w:space="0" w:color="auto"/>
            </w:tcBorders>
            <w:vAlign w:val="center"/>
          </w:tcPr>
          <w:p w14:paraId="0F249B08" w14:textId="77777777" w:rsidR="000D7506" w:rsidRPr="000D7506" w:rsidRDefault="000D7506" w:rsidP="000D7506">
            <w:pPr>
              <w:tabs>
                <w:tab w:val="left" w:pos="1250"/>
              </w:tabs>
              <w:ind w:right="57"/>
              <w:jc w:val="right"/>
              <w:rPr>
                <w:sz w:val="12"/>
                <w:szCs w:val="12"/>
              </w:rPr>
            </w:pPr>
            <w:r w:rsidRPr="000D7506">
              <w:rPr>
                <w:sz w:val="12"/>
                <w:szCs w:val="12"/>
              </w:rPr>
              <w:t>101.3</w:t>
            </w:r>
          </w:p>
        </w:tc>
        <w:tc>
          <w:tcPr>
            <w:tcW w:w="554" w:type="dxa"/>
            <w:tcBorders>
              <w:top w:val="nil"/>
              <w:left w:val="single" w:sz="4" w:space="0" w:color="auto"/>
              <w:bottom w:val="nil"/>
              <w:right w:val="single" w:sz="4" w:space="0" w:color="auto"/>
            </w:tcBorders>
            <w:vAlign w:val="center"/>
          </w:tcPr>
          <w:p w14:paraId="0A5C2C9E" w14:textId="77777777" w:rsidR="000D7506" w:rsidRPr="000D7506" w:rsidRDefault="000D7506" w:rsidP="000D7506">
            <w:pPr>
              <w:tabs>
                <w:tab w:val="left" w:pos="1250"/>
              </w:tabs>
              <w:ind w:right="57"/>
              <w:jc w:val="right"/>
              <w:rPr>
                <w:sz w:val="12"/>
                <w:szCs w:val="12"/>
              </w:rPr>
            </w:pPr>
            <w:r w:rsidRPr="000D7506">
              <w:rPr>
                <w:sz w:val="12"/>
                <w:szCs w:val="12"/>
              </w:rPr>
              <w:t>101.3</w:t>
            </w:r>
          </w:p>
        </w:tc>
        <w:tc>
          <w:tcPr>
            <w:tcW w:w="568" w:type="dxa"/>
            <w:tcBorders>
              <w:top w:val="nil"/>
              <w:left w:val="single" w:sz="4" w:space="0" w:color="auto"/>
              <w:bottom w:val="nil"/>
              <w:right w:val="single" w:sz="4" w:space="0" w:color="auto"/>
            </w:tcBorders>
            <w:vAlign w:val="center"/>
          </w:tcPr>
          <w:p w14:paraId="0D287168" w14:textId="77777777" w:rsidR="000D7506" w:rsidRPr="000D7506" w:rsidRDefault="000D7506" w:rsidP="000D7506">
            <w:pPr>
              <w:tabs>
                <w:tab w:val="left" w:pos="1250"/>
              </w:tabs>
              <w:ind w:right="57"/>
              <w:jc w:val="right"/>
              <w:rPr>
                <w:sz w:val="12"/>
                <w:szCs w:val="12"/>
              </w:rPr>
            </w:pPr>
            <w:r w:rsidRPr="000D7506">
              <w:rPr>
                <w:sz w:val="12"/>
                <w:szCs w:val="12"/>
              </w:rPr>
              <w:t>100.8</w:t>
            </w:r>
          </w:p>
        </w:tc>
        <w:tc>
          <w:tcPr>
            <w:tcW w:w="567" w:type="dxa"/>
            <w:tcBorders>
              <w:top w:val="nil"/>
              <w:left w:val="single" w:sz="4" w:space="0" w:color="auto"/>
              <w:bottom w:val="nil"/>
              <w:right w:val="single" w:sz="4" w:space="0" w:color="auto"/>
            </w:tcBorders>
            <w:vAlign w:val="center"/>
          </w:tcPr>
          <w:p w14:paraId="63936B9C" w14:textId="77777777" w:rsidR="000D7506" w:rsidRPr="000D7506" w:rsidRDefault="000D7506" w:rsidP="000D7506">
            <w:pPr>
              <w:tabs>
                <w:tab w:val="left" w:pos="1250"/>
              </w:tabs>
              <w:ind w:right="57"/>
              <w:jc w:val="right"/>
              <w:rPr>
                <w:sz w:val="12"/>
                <w:szCs w:val="12"/>
              </w:rPr>
            </w:pPr>
            <w:r w:rsidRPr="000D7506">
              <w:rPr>
                <w:sz w:val="12"/>
                <w:szCs w:val="12"/>
              </w:rPr>
              <w:t>100.5</w:t>
            </w:r>
          </w:p>
        </w:tc>
        <w:tc>
          <w:tcPr>
            <w:tcW w:w="589" w:type="dxa"/>
            <w:tcBorders>
              <w:top w:val="nil"/>
              <w:left w:val="single" w:sz="4" w:space="0" w:color="auto"/>
              <w:bottom w:val="nil"/>
              <w:right w:val="single" w:sz="4" w:space="0" w:color="auto"/>
            </w:tcBorders>
            <w:vAlign w:val="center"/>
          </w:tcPr>
          <w:p w14:paraId="29942ECB" w14:textId="77777777" w:rsidR="000D7506" w:rsidRPr="000D7506" w:rsidRDefault="000D7506" w:rsidP="000D7506">
            <w:pPr>
              <w:tabs>
                <w:tab w:val="left" w:pos="1250"/>
              </w:tabs>
              <w:ind w:right="57"/>
              <w:jc w:val="right"/>
              <w:rPr>
                <w:sz w:val="12"/>
                <w:szCs w:val="12"/>
              </w:rPr>
            </w:pPr>
            <w:r w:rsidRPr="000D7506">
              <w:rPr>
                <w:sz w:val="12"/>
                <w:szCs w:val="12"/>
              </w:rPr>
              <w:t>100.2</w:t>
            </w:r>
          </w:p>
        </w:tc>
      </w:tr>
      <w:tr w:rsidR="000D7506" w:rsidRPr="000D7506" w14:paraId="6FA26C25" w14:textId="77777777" w:rsidTr="00512C3D">
        <w:tc>
          <w:tcPr>
            <w:tcW w:w="2078" w:type="dxa"/>
            <w:tcBorders>
              <w:top w:val="nil"/>
              <w:left w:val="single" w:sz="4" w:space="0" w:color="auto"/>
              <w:bottom w:val="nil"/>
              <w:right w:val="single" w:sz="4" w:space="0" w:color="auto"/>
            </w:tcBorders>
          </w:tcPr>
          <w:p w14:paraId="3FCCC4AE" w14:textId="77777777" w:rsidR="000D7506" w:rsidRPr="000D7506" w:rsidRDefault="000D7506" w:rsidP="000D7506">
            <w:pPr>
              <w:tabs>
                <w:tab w:val="left" w:pos="1250"/>
              </w:tabs>
              <w:ind w:left="170" w:hanging="170"/>
              <w:jc w:val="both"/>
              <w:rPr>
                <w:sz w:val="14"/>
                <w:szCs w:val="14"/>
              </w:rPr>
            </w:pPr>
            <w:r w:rsidRPr="000D7506">
              <w:rPr>
                <w:sz w:val="14"/>
                <w:lang w:eastAsia="es-MX"/>
              </w:rPr>
              <w:t xml:space="preserve">3. </w:t>
            </w:r>
            <w:r w:rsidRPr="000D7506">
              <w:rPr>
                <w:rFonts w:eastAsia="Times New Roman"/>
                <w:sz w:val="14"/>
                <w:lang w:eastAsia="es-MX"/>
              </w:rPr>
              <w:t>Situación económica del país hoy en día, comparada con la de hace 12 meses.</w:t>
            </w:r>
          </w:p>
        </w:tc>
        <w:tc>
          <w:tcPr>
            <w:tcW w:w="557" w:type="dxa"/>
            <w:tcBorders>
              <w:top w:val="nil"/>
              <w:left w:val="single" w:sz="4" w:space="0" w:color="auto"/>
              <w:bottom w:val="nil"/>
              <w:right w:val="single" w:sz="4" w:space="0" w:color="auto"/>
            </w:tcBorders>
            <w:vAlign w:val="center"/>
          </w:tcPr>
          <w:p w14:paraId="2DA20CBF" w14:textId="77777777" w:rsidR="000D7506" w:rsidRPr="000D7506" w:rsidRDefault="000D7506" w:rsidP="000D7506">
            <w:pPr>
              <w:tabs>
                <w:tab w:val="left" w:pos="1250"/>
              </w:tabs>
              <w:ind w:right="57"/>
              <w:jc w:val="right"/>
              <w:rPr>
                <w:sz w:val="12"/>
                <w:szCs w:val="12"/>
              </w:rPr>
            </w:pPr>
            <w:r w:rsidRPr="000D7506">
              <w:rPr>
                <w:sz w:val="12"/>
                <w:szCs w:val="12"/>
              </w:rPr>
              <w:t>86.4</w:t>
            </w:r>
          </w:p>
        </w:tc>
        <w:tc>
          <w:tcPr>
            <w:tcW w:w="549" w:type="dxa"/>
            <w:tcBorders>
              <w:top w:val="nil"/>
              <w:left w:val="single" w:sz="4" w:space="0" w:color="auto"/>
              <w:bottom w:val="nil"/>
              <w:right w:val="single" w:sz="4" w:space="0" w:color="auto"/>
            </w:tcBorders>
            <w:vAlign w:val="center"/>
          </w:tcPr>
          <w:p w14:paraId="3CCFC471" w14:textId="77777777" w:rsidR="000D7506" w:rsidRPr="000D7506" w:rsidRDefault="000D7506" w:rsidP="000D7506">
            <w:pPr>
              <w:tabs>
                <w:tab w:val="left" w:pos="1250"/>
              </w:tabs>
              <w:ind w:right="57"/>
              <w:jc w:val="right"/>
              <w:rPr>
                <w:sz w:val="12"/>
                <w:szCs w:val="12"/>
              </w:rPr>
            </w:pPr>
            <w:r w:rsidRPr="000D7506">
              <w:rPr>
                <w:sz w:val="12"/>
                <w:szCs w:val="12"/>
              </w:rPr>
              <w:t>88.0</w:t>
            </w:r>
          </w:p>
        </w:tc>
        <w:tc>
          <w:tcPr>
            <w:tcW w:w="569" w:type="dxa"/>
            <w:tcBorders>
              <w:top w:val="nil"/>
              <w:left w:val="single" w:sz="4" w:space="0" w:color="auto"/>
              <w:bottom w:val="nil"/>
              <w:right w:val="single" w:sz="4" w:space="0" w:color="auto"/>
            </w:tcBorders>
            <w:vAlign w:val="center"/>
          </w:tcPr>
          <w:p w14:paraId="09B000B7" w14:textId="77777777" w:rsidR="000D7506" w:rsidRPr="000D7506" w:rsidRDefault="000D7506" w:rsidP="000D7506">
            <w:pPr>
              <w:tabs>
                <w:tab w:val="left" w:pos="1250"/>
              </w:tabs>
              <w:ind w:right="57"/>
              <w:jc w:val="right"/>
              <w:rPr>
                <w:sz w:val="12"/>
                <w:szCs w:val="12"/>
              </w:rPr>
            </w:pPr>
            <w:r w:rsidRPr="000D7506">
              <w:rPr>
                <w:sz w:val="12"/>
                <w:szCs w:val="12"/>
              </w:rPr>
              <w:t>89.3</w:t>
            </w:r>
          </w:p>
        </w:tc>
        <w:tc>
          <w:tcPr>
            <w:tcW w:w="570" w:type="dxa"/>
            <w:tcBorders>
              <w:top w:val="nil"/>
              <w:left w:val="single" w:sz="4" w:space="0" w:color="auto"/>
              <w:bottom w:val="nil"/>
              <w:right w:val="single" w:sz="4" w:space="0" w:color="auto"/>
            </w:tcBorders>
            <w:vAlign w:val="center"/>
          </w:tcPr>
          <w:p w14:paraId="401821E8" w14:textId="77777777" w:rsidR="000D7506" w:rsidRPr="000D7506" w:rsidRDefault="000D7506" w:rsidP="000D7506">
            <w:pPr>
              <w:tabs>
                <w:tab w:val="left" w:pos="1250"/>
              </w:tabs>
              <w:ind w:right="57"/>
              <w:jc w:val="right"/>
              <w:rPr>
                <w:sz w:val="12"/>
                <w:szCs w:val="12"/>
              </w:rPr>
            </w:pPr>
            <w:r w:rsidRPr="000D7506">
              <w:rPr>
                <w:sz w:val="12"/>
                <w:szCs w:val="12"/>
              </w:rPr>
              <w:t>89.5</w:t>
            </w:r>
          </w:p>
        </w:tc>
        <w:tc>
          <w:tcPr>
            <w:tcW w:w="567" w:type="dxa"/>
            <w:tcBorders>
              <w:top w:val="nil"/>
              <w:left w:val="single" w:sz="4" w:space="0" w:color="auto"/>
              <w:bottom w:val="nil"/>
              <w:right w:val="single" w:sz="4" w:space="0" w:color="auto"/>
            </w:tcBorders>
            <w:vAlign w:val="center"/>
          </w:tcPr>
          <w:p w14:paraId="78D9884F" w14:textId="77777777" w:rsidR="000D7506" w:rsidRPr="000D7506" w:rsidRDefault="000D7506" w:rsidP="000D7506">
            <w:pPr>
              <w:tabs>
                <w:tab w:val="left" w:pos="1250"/>
              </w:tabs>
              <w:ind w:right="57"/>
              <w:jc w:val="right"/>
              <w:rPr>
                <w:sz w:val="12"/>
                <w:szCs w:val="12"/>
              </w:rPr>
            </w:pPr>
            <w:r w:rsidRPr="000D7506">
              <w:rPr>
                <w:sz w:val="12"/>
                <w:szCs w:val="12"/>
              </w:rPr>
              <w:t>90.9</w:t>
            </w:r>
          </w:p>
        </w:tc>
        <w:tc>
          <w:tcPr>
            <w:tcW w:w="583" w:type="dxa"/>
            <w:tcBorders>
              <w:top w:val="nil"/>
              <w:left w:val="single" w:sz="4" w:space="0" w:color="auto"/>
              <w:bottom w:val="nil"/>
              <w:right w:val="single" w:sz="4" w:space="0" w:color="auto"/>
            </w:tcBorders>
            <w:vAlign w:val="center"/>
          </w:tcPr>
          <w:p w14:paraId="4C4F4665" w14:textId="77777777" w:rsidR="000D7506" w:rsidRPr="000D7506" w:rsidRDefault="000D7506" w:rsidP="000D7506">
            <w:pPr>
              <w:tabs>
                <w:tab w:val="left" w:pos="1250"/>
              </w:tabs>
              <w:ind w:right="57"/>
              <w:jc w:val="right"/>
              <w:rPr>
                <w:sz w:val="12"/>
                <w:szCs w:val="12"/>
              </w:rPr>
            </w:pPr>
            <w:r w:rsidRPr="000D7506">
              <w:rPr>
                <w:sz w:val="12"/>
                <w:szCs w:val="12"/>
              </w:rPr>
              <w:t>90.8</w:t>
            </w:r>
          </w:p>
        </w:tc>
        <w:tc>
          <w:tcPr>
            <w:tcW w:w="575" w:type="dxa"/>
            <w:tcBorders>
              <w:top w:val="nil"/>
              <w:left w:val="single" w:sz="4" w:space="0" w:color="auto"/>
              <w:bottom w:val="nil"/>
              <w:right w:val="single" w:sz="4" w:space="0" w:color="auto"/>
            </w:tcBorders>
            <w:vAlign w:val="center"/>
          </w:tcPr>
          <w:p w14:paraId="184C68BC" w14:textId="77777777" w:rsidR="000D7506" w:rsidRPr="000D7506" w:rsidRDefault="000D7506" w:rsidP="000D7506">
            <w:pPr>
              <w:tabs>
                <w:tab w:val="left" w:pos="1250"/>
              </w:tabs>
              <w:ind w:right="57"/>
              <w:jc w:val="right"/>
              <w:rPr>
                <w:sz w:val="12"/>
                <w:szCs w:val="12"/>
              </w:rPr>
            </w:pPr>
            <w:r w:rsidRPr="000D7506">
              <w:rPr>
                <w:sz w:val="12"/>
                <w:szCs w:val="12"/>
              </w:rPr>
              <w:t>93.2</w:t>
            </w:r>
          </w:p>
        </w:tc>
        <w:tc>
          <w:tcPr>
            <w:tcW w:w="507" w:type="dxa"/>
            <w:tcBorders>
              <w:top w:val="nil"/>
              <w:left w:val="single" w:sz="4" w:space="0" w:color="auto"/>
              <w:bottom w:val="nil"/>
              <w:right w:val="single" w:sz="4" w:space="0" w:color="auto"/>
            </w:tcBorders>
            <w:vAlign w:val="center"/>
          </w:tcPr>
          <w:p w14:paraId="465AB82F" w14:textId="77777777" w:rsidR="000D7506" w:rsidRPr="000D7506" w:rsidRDefault="000D7506" w:rsidP="000D7506">
            <w:pPr>
              <w:tabs>
                <w:tab w:val="left" w:pos="1250"/>
              </w:tabs>
              <w:ind w:right="57"/>
              <w:jc w:val="right"/>
              <w:rPr>
                <w:sz w:val="12"/>
                <w:szCs w:val="12"/>
              </w:rPr>
            </w:pPr>
            <w:r w:rsidRPr="000D7506">
              <w:rPr>
                <w:sz w:val="12"/>
                <w:szCs w:val="12"/>
              </w:rPr>
              <w:t>90.9</w:t>
            </w:r>
          </w:p>
        </w:tc>
        <w:tc>
          <w:tcPr>
            <w:tcW w:w="643" w:type="dxa"/>
            <w:tcBorders>
              <w:top w:val="nil"/>
              <w:left w:val="single" w:sz="4" w:space="0" w:color="auto"/>
              <w:bottom w:val="nil"/>
              <w:right w:val="single" w:sz="4" w:space="0" w:color="auto"/>
            </w:tcBorders>
            <w:vAlign w:val="center"/>
          </w:tcPr>
          <w:p w14:paraId="2158AC48" w14:textId="77777777" w:rsidR="000D7506" w:rsidRPr="000D7506" w:rsidRDefault="000D7506" w:rsidP="000D7506">
            <w:pPr>
              <w:tabs>
                <w:tab w:val="left" w:pos="1250"/>
              </w:tabs>
              <w:ind w:right="57"/>
              <w:jc w:val="right"/>
              <w:rPr>
                <w:sz w:val="12"/>
                <w:szCs w:val="12"/>
              </w:rPr>
            </w:pPr>
            <w:r w:rsidRPr="000D7506">
              <w:rPr>
                <w:sz w:val="12"/>
                <w:szCs w:val="12"/>
              </w:rPr>
              <w:t>88.0</w:t>
            </w:r>
          </w:p>
        </w:tc>
        <w:tc>
          <w:tcPr>
            <w:tcW w:w="554" w:type="dxa"/>
            <w:tcBorders>
              <w:top w:val="nil"/>
              <w:left w:val="single" w:sz="4" w:space="0" w:color="auto"/>
              <w:bottom w:val="nil"/>
              <w:right w:val="single" w:sz="4" w:space="0" w:color="auto"/>
            </w:tcBorders>
            <w:vAlign w:val="center"/>
          </w:tcPr>
          <w:p w14:paraId="61D60B63" w14:textId="77777777" w:rsidR="000D7506" w:rsidRPr="000D7506" w:rsidRDefault="000D7506" w:rsidP="000D7506">
            <w:pPr>
              <w:tabs>
                <w:tab w:val="left" w:pos="1250"/>
              </w:tabs>
              <w:ind w:right="57"/>
              <w:jc w:val="right"/>
              <w:rPr>
                <w:sz w:val="12"/>
                <w:szCs w:val="12"/>
              </w:rPr>
            </w:pPr>
            <w:r w:rsidRPr="000D7506">
              <w:rPr>
                <w:sz w:val="12"/>
                <w:szCs w:val="12"/>
              </w:rPr>
              <w:t>89.6</w:t>
            </w:r>
          </w:p>
        </w:tc>
        <w:tc>
          <w:tcPr>
            <w:tcW w:w="568" w:type="dxa"/>
            <w:tcBorders>
              <w:top w:val="nil"/>
              <w:left w:val="single" w:sz="4" w:space="0" w:color="auto"/>
              <w:bottom w:val="nil"/>
              <w:right w:val="single" w:sz="4" w:space="0" w:color="auto"/>
            </w:tcBorders>
            <w:vAlign w:val="center"/>
          </w:tcPr>
          <w:p w14:paraId="6B7FCEDF" w14:textId="77777777" w:rsidR="000D7506" w:rsidRPr="000D7506" w:rsidRDefault="000D7506" w:rsidP="000D7506">
            <w:pPr>
              <w:tabs>
                <w:tab w:val="left" w:pos="1250"/>
              </w:tabs>
              <w:ind w:right="57"/>
              <w:jc w:val="right"/>
              <w:rPr>
                <w:sz w:val="12"/>
                <w:szCs w:val="12"/>
              </w:rPr>
            </w:pPr>
            <w:r w:rsidRPr="000D7506">
              <w:rPr>
                <w:sz w:val="12"/>
                <w:szCs w:val="12"/>
              </w:rPr>
              <w:t>87.5</w:t>
            </w:r>
          </w:p>
        </w:tc>
        <w:tc>
          <w:tcPr>
            <w:tcW w:w="567" w:type="dxa"/>
            <w:tcBorders>
              <w:top w:val="nil"/>
              <w:left w:val="single" w:sz="4" w:space="0" w:color="auto"/>
              <w:bottom w:val="nil"/>
              <w:right w:val="single" w:sz="4" w:space="0" w:color="auto"/>
            </w:tcBorders>
            <w:vAlign w:val="center"/>
          </w:tcPr>
          <w:p w14:paraId="21302F29" w14:textId="77777777" w:rsidR="000D7506" w:rsidRPr="000D7506" w:rsidRDefault="000D7506" w:rsidP="000D7506">
            <w:pPr>
              <w:tabs>
                <w:tab w:val="left" w:pos="1250"/>
              </w:tabs>
              <w:ind w:right="57"/>
              <w:jc w:val="right"/>
              <w:rPr>
                <w:sz w:val="12"/>
                <w:szCs w:val="12"/>
              </w:rPr>
            </w:pPr>
            <w:r w:rsidRPr="000D7506">
              <w:rPr>
                <w:sz w:val="12"/>
                <w:szCs w:val="12"/>
              </w:rPr>
              <w:t>86.1</w:t>
            </w:r>
          </w:p>
        </w:tc>
        <w:tc>
          <w:tcPr>
            <w:tcW w:w="589" w:type="dxa"/>
            <w:tcBorders>
              <w:top w:val="nil"/>
              <w:left w:val="single" w:sz="4" w:space="0" w:color="auto"/>
              <w:bottom w:val="nil"/>
              <w:right w:val="single" w:sz="4" w:space="0" w:color="auto"/>
            </w:tcBorders>
            <w:vAlign w:val="center"/>
          </w:tcPr>
          <w:p w14:paraId="508DEBF8" w14:textId="77777777" w:rsidR="000D7506" w:rsidRPr="000D7506" w:rsidRDefault="000D7506" w:rsidP="000D7506">
            <w:pPr>
              <w:tabs>
                <w:tab w:val="left" w:pos="1250"/>
              </w:tabs>
              <w:ind w:right="57"/>
              <w:jc w:val="right"/>
              <w:rPr>
                <w:sz w:val="12"/>
                <w:szCs w:val="12"/>
              </w:rPr>
            </w:pPr>
            <w:r w:rsidRPr="000D7506">
              <w:rPr>
                <w:sz w:val="12"/>
                <w:szCs w:val="12"/>
              </w:rPr>
              <w:t>89.8</w:t>
            </w:r>
          </w:p>
        </w:tc>
      </w:tr>
      <w:tr w:rsidR="000D7506" w:rsidRPr="000D7506" w14:paraId="18AF575B" w14:textId="77777777" w:rsidTr="00512C3D">
        <w:tc>
          <w:tcPr>
            <w:tcW w:w="2078" w:type="dxa"/>
            <w:tcBorders>
              <w:top w:val="nil"/>
              <w:left w:val="single" w:sz="4" w:space="0" w:color="auto"/>
              <w:bottom w:val="nil"/>
              <w:right w:val="single" w:sz="4" w:space="0" w:color="auto"/>
            </w:tcBorders>
          </w:tcPr>
          <w:p w14:paraId="451BCC97" w14:textId="77777777" w:rsidR="000D7506" w:rsidRPr="000D7506" w:rsidRDefault="000D7506" w:rsidP="000D7506">
            <w:pPr>
              <w:tabs>
                <w:tab w:val="left" w:pos="1250"/>
              </w:tabs>
              <w:ind w:left="170" w:hanging="170"/>
              <w:jc w:val="both"/>
              <w:rPr>
                <w:sz w:val="14"/>
                <w:szCs w:val="14"/>
              </w:rPr>
            </w:pPr>
            <w:r w:rsidRPr="000D7506">
              <w:rPr>
                <w:sz w:val="14"/>
                <w:lang w:eastAsia="es-MX"/>
              </w:rPr>
              <w:t xml:space="preserve">4. </w:t>
            </w:r>
            <w:r w:rsidRPr="000D7506">
              <w:rPr>
                <w:rFonts w:eastAsia="Times New Roman"/>
                <w:sz w:val="14"/>
                <w:lang w:eastAsia="es-MX"/>
              </w:rPr>
              <w:t>Situación económica del país dentro de 12 meses, con respecto a la situación actual.</w:t>
            </w:r>
          </w:p>
        </w:tc>
        <w:tc>
          <w:tcPr>
            <w:tcW w:w="557" w:type="dxa"/>
            <w:tcBorders>
              <w:top w:val="nil"/>
              <w:left w:val="single" w:sz="4" w:space="0" w:color="auto"/>
              <w:bottom w:val="nil"/>
              <w:right w:val="single" w:sz="4" w:space="0" w:color="auto"/>
            </w:tcBorders>
            <w:vAlign w:val="center"/>
          </w:tcPr>
          <w:p w14:paraId="56848E27" w14:textId="77777777" w:rsidR="000D7506" w:rsidRPr="000D7506" w:rsidRDefault="000D7506" w:rsidP="000D7506">
            <w:pPr>
              <w:tabs>
                <w:tab w:val="left" w:pos="1250"/>
              </w:tabs>
              <w:ind w:right="57"/>
              <w:jc w:val="right"/>
              <w:rPr>
                <w:sz w:val="12"/>
                <w:szCs w:val="12"/>
              </w:rPr>
            </w:pPr>
            <w:r w:rsidRPr="000D7506">
              <w:rPr>
                <w:sz w:val="12"/>
                <w:szCs w:val="12"/>
              </w:rPr>
              <w:t>90.6</w:t>
            </w:r>
          </w:p>
        </w:tc>
        <w:tc>
          <w:tcPr>
            <w:tcW w:w="549" w:type="dxa"/>
            <w:tcBorders>
              <w:top w:val="nil"/>
              <w:left w:val="single" w:sz="4" w:space="0" w:color="auto"/>
              <w:bottom w:val="nil"/>
              <w:right w:val="single" w:sz="4" w:space="0" w:color="auto"/>
            </w:tcBorders>
            <w:vAlign w:val="center"/>
          </w:tcPr>
          <w:p w14:paraId="364E4B14" w14:textId="77777777" w:rsidR="000D7506" w:rsidRPr="000D7506" w:rsidRDefault="000D7506" w:rsidP="000D7506">
            <w:pPr>
              <w:tabs>
                <w:tab w:val="left" w:pos="1250"/>
              </w:tabs>
              <w:ind w:right="57"/>
              <w:jc w:val="right"/>
              <w:rPr>
                <w:sz w:val="12"/>
                <w:szCs w:val="12"/>
              </w:rPr>
            </w:pPr>
            <w:r w:rsidRPr="000D7506">
              <w:rPr>
                <w:sz w:val="12"/>
                <w:szCs w:val="12"/>
              </w:rPr>
              <w:t>91.8</w:t>
            </w:r>
          </w:p>
        </w:tc>
        <w:tc>
          <w:tcPr>
            <w:tcW w:w="569" w:type="dxa"/>
            <w:tcBorders>
              <w:top w:val="nil"/>
              <w:left w:val="single" w:sz="4" w:space="0" w:color="auto"/>
              <w:bottom w:val="nil"/>
              <w:right w:val="single" w:sz="4" w:space="0" w:color="auto"/>
            </w:tcBorders>
            <w:vAlign w:val="center"/>
          </w:tcPr>
          <w:p w14:paraId="74A32118" w14:textId="77777777" w:rsidR="000D7506" w:rsidRPr="000D7506" w:rsidRDefault="000D7506" w:rsidP="000D7506">
            <w:pPr>
              <w:tabs>
                <w:tab w:val="left" w:pos="1250"/>
              </w:tabs>
              <w:ind w:right="57"/>
              <w:jc w:val="right"/>
              <w:rPr>
                <w:sz w:val="12"/>
                <w:szCs w:val="12"/>
              </w:rPr>
            </w:pPr>
            <w:r w:rsidRPr="000D7506">
              <w:rPr>
                <w:sz w:val="12"/>
                <w:szCs w:val="12"/>
              </w:rPr>
              <w:t>91.5</w:t>
            </w:r>
          </w:p>
        </w:tc>
        <w:tc>
          <w:tcPr>
            <w:tcW w:w="570" w:type="dxa"/>
            <w:tcBorders>
              <w:top w:val="nil"/>
              <w:left w:val="single" w:sz="4" w:space="0" w:color="auto"/>
              <w:bottom w:val="nil"/>
              <w:right w:val="single" w:sz="4" w:space="0" w:color="auto"/>
            </w:tcBorders>
            <w:vAlign w:val="center"/>
          </w:tcPr>
          <w:p w14:paraId="313985F6" w14:textId="77777777" w:rsidR="000D7506" w:rsidRPr="000D7506" w:rsidRDefault="000D7506" w:rsidP="000D7506">
            <w:pPr>
              <w:tabs>
                <w:tab w:val="left" w:pos="1250"/>
              </w:tabs>
              <w:ind w:right="57"/>
              <w:jc w:val="right"/>
              <w:rPr>
                <w:sz w:val="12"/>
                <w:szCs w:val="12"/>
              </w:rPr>
            </w:pPr>
            <w:r w:rsidRPr="000D7506">
              <w:rPr>
                <w:sz w:val="12"/>
                <w:szCs w:val="12"/>
              </w:rPr>
              <w:t>93.3</w:t>
            </w:r>
          </w:p>
        </w:tc>
        <w:tc>
          <w:tcPr>
            <w:tcW w:w="567" w:type="dxa"/>
            <w:tcBorders>
              <w:top w:val="nil"/>
              <w:left w:val="single" w:sz="4" w:space="0" w:color="auto"/>
              <w:bottom w:val="nil"/>
              <w:right w:val="single" w:sz="4" w:space="0" w:color="auto"/>
            </w:tcBorders>
            <w:vAlign w:val="center"/>
          </w:tcPr>
          <w:p w14:paraId="06D50C1B" w14:textId="77777777" w:rsidR="000D7506" w:rsidRPr="000D7506" w:rsidRDefault="000D7506" w:rsidP="000D7506">
            <w:pPr>
              <w:tabs>
                <w:tab w:val="left" w:pos="1250"/>
              </w:tabs>
              <w:ind w:right="57"/>
              <w:jc w:val="right"/>
              <w:rPr>
                <w:sz w:val="12"/>
                <w:szCs w:val="12"/>
              </w:rPr>
            </w:pPr>
            <w:r w:rsidRPr="000D7506">
              <w:rPr>
                <w:sz w:val="12"/>
                <w:szCs w:val="12"/>
              </w:rPr>
              <w:t>90.1</w:t>
            </w:r>
          </w:p>
        </w:tc>
        <w:tc>
          <w:tcPr>
            <w:tcW w:w="583" w:type="dxa"/>
            <w:tcBorders>
              <w:top w:val="nil"/>
              <w:left w:val="single" w:sz="4" w:space="0" w:color="auto"/>
              <w:bottom w:val="nil"/>
              <w:right w:val="single" w:sz="4" w:space="0" w:color="auto"/>
            </w:tcBorders>
            <w:vAlign w:val="center"/>
          </w:tcPr>
          <w:p w14:paraId="363E2434" w14:textId="77777777" w:rsidR="000D7506" w:rsidRPr="000D7506" w:rsidRDefault="000D7506" w:rsidP="000D7506">
            <w:pPr>
              <w:tabs>
                <w:tab w:val="left" w:pos="1250"/>
              </w:tabs>
              <w:ind w:right="57"/>
              <w:jc w:val="right"/>
              <w:rPr>
                <w:sz w:val="12"/>
                <w:szCs w:val="12"/>
              </w:rPr>
            </w:pPr>
            <w:r w:rsidRPr="000D7506">
              <w:rPr>
                <w:sz w:val="12"/>
                <w:szCs w:val="12"/>
              </w:rPr>
              <w:t>89.6</w:t>
            </w:r>
          </w:p>
        </w:tc>
        <w:tc>
          <w:tcPr>
            <w:tcW w:w="575" w:type="dxa"/>
            <w:tcBorders>
              <w:top w:val="nil"/>
              <w:left w:val="single" w:sz="4" w:space="0" w:color="auto"/>
              <w:bottom w:val="nil"/>
              <w:right w:val="single" w:sz="4" w:space="0" w:color="auto"/>
            </w:tcBorders>
            <w:vAlign w:val="center"/>
          </w:tcPr>
          <w:p w14:paraId="08FFA1CE" w14:textId="77777777" w:rsidR="000D7506" w:rsidRPr="000D7506" w:rsidRDefault="000D7506" w:rsidP="000D7506">
            <w:pPr>
              <w:tabs>
                <w:tab w:val="left" w:pos="1250"/>
              </w:tabs>
              <w:ind w:right="57"/>
              <w:jc w:val="right"/>
              <w:rPr>
                <w:sz w:val="12"/>
                <w:szCs w:val="12"/>
              </w:rPr>
            </w:pPr>
            <w:r w:rsidRPr="000D7506">
              <w:rPr>
                <w:sz w:val="12"/>
                <w:szCs w:val="12"/>
              </w:rPr>
              <w:t>92.3</w:t>
            </w:r>
          </w:p>
        </w:tc>
        <w:tc>
          <w:tcPr>
            <w:tcW w:w="507" w:type="dxa"/>
            <w:tcBorders>
              <w:top w:val="nil"/>
              <w:left w:val="single" w:sz="4" w:space="0" w:color="auto"/>
              <w:bottom w:val="nil"/>
              <w:right w:val="single" w:sz="4" w:space="0" w:color="auto"/>
            </w:tcBorders>
            <w:vAlign w:val="center"/>
          </w:tcPr>
          <w:p w14:paraId="51EF172E" w14:textId="77777777" w:rsidR="000D7506" w:rsidRPr="000D7506" w:rsidRDefault="000D7506" w:rsidP="000D7506">
            <w:pPr>
              <w:tabs>
                <w:tab w:val="left" w:pos="1250"/>
              </w:tabs>
              <w:ind w:right="57"/>
              <w:jc w:val="right"/>
              <w:rPr>
                <w:sz w:val="12"/>
                <w:szCs w:val="12"/>
              </w:rPr>
            </w:pPr>
            <w:r w:rsidRPr="000D7506">
              <w:rPr>
                <w:sz w:val="12"/>
                <w:szCs w:val="12"/>
              </w:rPr>
              <w:t>88.2</w:t>
            </w:r>
          </w:p>
        </w:tc>
        <w:tc>
          <w:tcPr>
            <w:tcW w:w="643" w:type="dxa"/>
            <w:tcBorders>
              <w:top w:val="nil"/>
              <w:left w:val="single" w:sz="4" w:space="0" w:color="auto"/>
              <w:bottom w:val="nil"/>
              <w:right w:val="single" w:sz="4" w:space="0" w:color="auto"/>
            </w:tcBorders>
            <w:vAlign w:val="center"/>
          </w:tcPr>
          <w:p w14:paraId="5C591427" w14:textId="77777777" w:rsidR="000D7506" w:rsidRPr="000D7506" w:rsidRDefault="000D7506" w:rsidP="000D7506">
            <w:pPr>
              <w:tabs>
                <w:tab w:val="left" w:pos="1250"/>
              </w:tabs>
              <w:ind w:right="57"/>
              <w:jc w:val="right"/>
              <w:rPr>
                <w:sz w:val="12"/>
                <w:szCs w:val="12"/>
              </w:rPr>
            </w:pPr>
            <w:r w:rsidRPr="000D7506">
              <w:rPr>
                <w:sz w:val="12"/>
                <w:szCs w:val="12"/>
              </w:rPr>
              <w:t>90.0</w:t>
            </w:r>
          </w:p>
        </w:tc>
        <w:tc>
          <w:tcPr>
            <w:tcW w:w="554" w:type="dxa"/>
            <w:tcBorders>
              <w:top w:val="nil"/>
              <w:left w:val="single" w:sz="4" w:space="0" w:color="auto"/>
              <w:bottom w:val="nil"/>
              <w:right w:val="single" w:sz="4" w:space="0" w:color="auto"/>
            </w:tcBorders>
            <w:vAlign w:val="center"/>
          </w:tcPr>
          <w:p w14:paraId="60671134" w14:textId="77777777" w:rsidR="000D7506" w:rsidRPr="000D7506" w:rsidRDefault="000D7506" w:rsidP="000D7506">
            <w:pPr>
              <w:tabs>
                <w:tab w:val="left" w:pos="1250"/>
              </w:tabs>
              <w:ind w:right="57"/>
              <w:jc w:val="right"/>
              <w:rPr>
                <w:sz w:val="12"/>
                <w:szCs w:val="12"/>
              </w:rPr>
            </w:pPr>
            <w:r w:rsidRPr="000D7506">
              <w:rPr>
                <w:sz w:val="12"/>
                <w:szCs w:val="12"/>
              </w:rPr>
              <w:t>89.5</w:t>
            </w:r>
          </w:p>
        </w:tc>
        <w:tc>
          <w:tcPr>
            <w:tcW w:w="568" w:type="dxa"/>
            <w:tcBorders>
              <w:top w:val="nil"/>
              <w:left w:val="single" w:sz="4" w:space="0" w:color="auto"/>
              <w:bottom w:val="nil"/>
              <w:right w:val="single" w:sz="4" w:space="0" w:color="auto"/>
            </w:tcBorders>
            <w:vAlign w:val="center"/>
          </w:tcPr>
          <w:p w14:paraId="6D0BED73" w14:textId="77777777" w:rsidR="000D7506" w:rsidRPr="000D7506" w:rsidRDefault="000D7506" w:rsidP="000D7506">
            <w:pPr>
              <w:tabs>
                <w:tab w:val="left" w:pos="1250"/>
              </w:tabs>
              <w:ind w:right="57"/>
              <w:jc w:val="right"/>
              <w:rPr>
                <w:sz w:val="12"/>
                <w:szCs w:val="12"/>
              </w:rPr>
            </w:pPr>
            <w:r w:rsidRPr="000D7506">
              <w:rPr>
                <w:sz w:val="12"/>
                <w:szCs w:val="12"/>
              </w:rPr>
              <w:t>92.2</w:t>
            </w:r>
          </w:p>
        </w:tc>
        <w:tc>
          <w:tcPr>
            <w:tcW w:w="567" w:type="dxa"/>
            <w:tcBorders>
              <w:top w:val="nil"/>
              <w:left w:val="single" w:sz="4" w:space="0" w:color="auto"/>
              <w:bottom w:val="nil"/>
              <w:right w:val="single" w:sz="4" w:space="0" w:color="auto"/>
            </w:tcBorders>
            <w:vAlign w:val="center"/>
          </w:tcPr>
          <w:p w14:paraId="7DA154C0" w14:textId="77777777" w:rsidR="000D7506" w:rsidRPr="000D7506" w:rsidRDefault="000D7506" w:rsidP="000D7506">
            <w:pPr>
              <w:tabs>
                <w:tab w:val="left" w:pos="1250"/>
              </w:tabs>
              <w:ind w:right="57"/>
              <w:jc w:val="right"/>
              <w:rPr>
                <w:sz w:val="12"/>
                <w:szCs w:val="12"/>
              </w:rPr>
            </w:pPr>
            <w:r w:rsidRPr="000D7506">
              <w:rPr>
                <w:sz w:val="12"/>
                <w:szCs w:val="12"/>
              </w:rPr>
              <w:t>86.9</w:t>
            </w:r>
          </w:p>
        </w:tc>
        <w:tc>
          <w:tcPr>
            <w:tcW w:w="589" w:type="dxa"/>
            <w:tcBorders>
              <w:top w:val="nil"/>
              <w:left w:val="single" w:sz="4" w:space="0" w:color="auto"/>
              <w:bottom w:val="nil"/>
              <w:right w:val="single" w:sz="4" w:space="0" w:color="auto"/>
            </w:tcBorders>
            <w:vAlign w:val="center"/>
          </w:tcPr>
          <w:p w14:paraId="313D533F" w14:textId="77777777" w:rsidR="000D7506" w:rsidRPr="000D7506" w:rsidRDefault="000D7506" w:rsidP="000D7506">
            <w:pPr>
              <w:tabs>
                <w:tab w:val="left" w:pos="1250"/>
              </w:tabs>
              <w:ind w:right="57"/>
              <w:jc w:val="right"/>
              <w:rPr>
                <w:sz w:val="12"/>
                <w:szCs w:val="12"/>
              </w:rPr>
            </w:pPr>
            <w:r w:rsidRPr="000D7506">
              <w:rPr>
                <w:sz w:val="12"/>
                <w:szCs w:val="12"/>
              </w:rPr>
              <w:t>89.7</w:t>
            </w:r>
          </w:p>
        </w:tc>
      </w:tr>
      <w:tr w:rsidR="000D7506" w:rsidRPr="000D7506" w14:paraId="7BD2E4AC" w14:textId="77777777" w:rsidTr="00512C3D">
        <w:tc>
          <w:tcPr>
            <w:tcW w:w="2078" w:type="dxa"/>
            <w:tcBorders>
              <w:top w:val="nil"/>
              <w:left w:val="single" w:sz="4" w:space="0" w:color="auto"/>
              <w:bottom w:val="single" w:sz="4" w:space="0" w:color="auto"/>
              <w:right w:val="single" w:sz="4" w:space="0" w:color="auto"/>
            </w:tcBorders>
          </w:tcPr>
          <w:p w14:paraId="19B6EBC4" w14:textId="77777777" w:rsidR="000D7506" w:rsidRPr="000D7506" w:rsidRDefault="000D7506" w:rsidP="000D7506">
            <w:pPr>
              <w:tabs>
                <w:tab w:val="left" w:pos="1250"/>
              </w:tabs>
              <w:ind w:left="170" w:hanging="170"/>
              <w:jc w:val="both"/>
              <w:rPr>
                <w:sz w:val="14"/>
                <w:szCs w:val="14"/>
              </w:rPr>
            </w:pPr>
            <w:r w:rsidRPr="000D7506">
              <w:rPr>
                <w:sz w:val="14"/>
                <w:lang w:eastAsia="es-MX"/>
              </w:rPr>
              <w:t xml:space="preserve">5. </w:t>
            </w:r>
            <w:r w:rsidRPr="000D7506">
              <w:rPr>
                <w:rFonts w:eastAsia="Times New Roman"/>
                <w:sz w:val="14"/>
                <w:lang w:eastAsia="es-MX"/>
              </w:rPr>
              <w:t>Posibilidades en el momento actual de los integrantes del hogar comparadas con las de hace un año, para realizar compras, tales como muebles, televisor, lavadora y otros aparatos electrodomésticos.</w:t>
            </w:r>
          </w:p>
        </w:tc>
        <w:tc>
          <w:tcPr>
            <w:tcW w:w="557" w:type="dxa"/>
            <w:tcBorders>
              <w:top w:val="nil"/>
              <w:left w:val="single" w:sz="4" w:space="0" w:color="auto"/>
              <w:bottom w:val="single" w:sz="4" w:space="0" w:color="auto"/>
              <w:right w:val="single" w:sz="4" w:space="0" w:color="auto"/>
            </w:tcBorders>
            <w:vAlign w:val="center"/>
          </w:tcPr>
          <w:p w14:paraId="197F9067" w14:textId="77777777" w:rsidR="000D7506" w:rsidRPr="000D7506" w:rsidRDefault="000D7506" w:rsidP="000D7506">
            <w:pPr>
              <w:tabs>
                <w:tab w:val="left" w:pos="1250"/>
              </w:tabs>
              <w:ind w:right="57"/>
              <w:jc w:val="right"/>
              <w:rPr>
                <w:sz w:val="12"/>
                <w:szCs w:val="12"/>
              </w:rPr>
            </w:pPr>
            <w:r w:rsidRPr="000D7506">
              <w:rPr>
                <w:sz w:val="12"/>
                <w:szCs w:val="12"/>
              </w:rPr>
              <w:t>73.0</w:t>
            </w:r>
          </w:p>
        </w:tc>
        <w:tc>
          <w:tcPr>
            <w:tcW w:w="549" w:type="dxa"/>
            <w:tcBorders>
              <w:top w:val="nil"/>
              <w:left w:val="single" w:sz="4" w:space="0" w:color="auto"/>
              <w:bottom w:val="single" w:sz="4" w:space="0" w:color="auto"/>
              <w:right w:val="single" w:sz="4" w:space="0" w:color="auto"/>
            </w:tcBorders>
            <w:vAlign w:val="center"/>
          </w:tcPr>
          <w:p w14:paraId="4DD37CDC" w14:textId="77777777" w:rsidR="000D7506" w:rsidRPr="000D7506" w:rsidRDefault="000D7506" w:rsidP="000D7506">
            <w:pPr>
              <w:tabs>
                <w:tab w:val="left" w:pos="1250"/>
              </w:tabs>
              <w:ind w:right="57"/>
              <w:jc w:val="right"/>
              <w:rPr>
                <w:sz w:val="12"/>
                <w:szCs w:val="12"/>
              </w:rPr>
            </w:pPr>
            <w:r w:rsidRPr="000D7506">
              <w:rPr>
                <w:sz w:val="12"/>
                <w:szCs w:val="12"/>
              </w:rPr>
              <w:t>76.8</w:t>
            </w:r>
          </w:p>
        </w:tc>
        <w:tc>
          <w:tcPr>
            <w:tcW w:w="569" w:type="dxa"/>
            <w:tcBorders>
              <w:top w:val="nil"/>
              <w:left w:val="single" w:sz="4" w:space="0" w:color="auto"/>
              <w:bottom w:val="single" w:sz="4" w:space="0" w:color="auto"/>
              <w:right w:val="single" w:sz="4" w:space="0" w:color="auto"/>
            </w:tcBorders>
            <w:vAlign w:val="center"/>
          </w:tcPr>
          <w:p w14:paraId="4569DBAA" w14:textId="77777777" w:rsidR="000D7506" w:rsidRPr="000D7506" w:rsidRDefault="000D7506" w:rsidP="000D7506">
            <w:pPr>
              <w:tabs>
                <w:tab w:val="left" w:pos="1250"/>
              </w:tabs>
              <w:ind w:right="57"/>
              <w:jc w:val="right"/>
              <w:rPr>
                <w:sz w:val="12"/>
                <w:szCs w:val="12"/>
              </w:rPr>
            </w:pPr>
            <w:r w:rsidRPr="000D7506">
              <w:rPr>
                <w:sz w:val="12"/>
                <w:szCs w:val="12"/>
              </w:rPr>
              <w:t>77.8</w:t>
            </w:r>
          </w:p>
        </w:tc>
        <w:tc>
          <w:tcPr>
            <w:tcW w:w="570" w:type="dxa"/>
            <w:tcBorders>
              <w:top w:val="nil"/>
              <w:left w:val="single" w:sz="4" w:space="0" w:color="auto"/>
              <w:bottom w:val="single" w:sz="4" w:space="0" w:color="auto"/>
              <w:right w:val="single" w:sz="4" w:space="0" w:color="auto"/>
            </w:tcBorders>
            <w:vAlign w:val="center"/>
          </w:tcPr>
          <w:p w14:paraId="091CD723" w14:textId="77777777" w:rsidR="000D7506" w:rsidRPr="000D7506" w:rsidRDefault="000D7506" w:rsidP="000D7506">
            <w:pPr>
              <w:tabs>
                <w:tab w:val="left" w:pos="1250"/>
              </w:tabs>
              <w:ind w:right="57"/>
              <w:jc w:val="right"/>
              <w:rPr>
                <w:sz w:val="12"/>
                <w:szCs w:val="12"/>
              </w:rPr>
            </w:pPr>
            <w:r w:rsidRPr="000D7506">
              <w:rPr>
                <w:sz w:val="12"/>
                <w:szCs w:val="12"/>
              </w:rPr>
              <w:t>76.7</w:t>
            </w:r>
          </w:p>
        </w:tc>
        <w:tc>
          <w:tcPr>
            <w:tcW w:w="567" w:type="dxa"/>
            <w:tcBorders>
              <w:top w:val="nil"/>
              <w:left w:val="single" w:sz="4" w:space="0" w:color="auto"/>
              <w:bottom w:val="single" w:sz="4" w:space="0" w:color="auto"/>
              <w:right w:val="single" w:sz="4" w:space="0" w:color="auto"/>
            </w:tcBorders>
            <w:vAlign w:val="center"/>
          </w:tcPr>
          <w:p w14:paraId="32760D0B" w14:textId="77777777" w:rsidR="000D7506" w:rsidRPr="000D7506" w:rsidRDefault="000D7506" w:rsidP="000D7506">
            <w:pPr>
              <w:tabs>
                <w:tab w:val="left" w:pos="1250"/>
              </w:tabs>
              <w:ind w:right="57"/>
              <w:jc w:val="right"/>
              <w:rPr>
                <w:sz w:val="12"/>
                <w:szCs w:val="12"/>
              </w:rPr>
            </w:pPr>
            <w:r w:rsidRPr="000D7506">
              <w:rPr>
                <w:sz w:val="12"/>
                <w:szCs w:val="12"/>
              </w:rPr>
              <w:t>79.6</w:t>
            </w:r>
          </w:p>
        </w:tc>
        <w:tc>
          <w:tcPr>
            <w:tcW w:w="583" w:type="dxa"/>
            <w:tcBorders>
              <w:top w:val="nil"/>
              <w:left w:val="single" w:sz="4" w:space="0" w:color="auto"/>
              <w:bottom w:val="single" w:sz="4" w:space="0" w:color="auto"/>
              <w:right w:val="single" w:sz="4" w:space="0" w:color="auto"/>
            </w:tcBorders>
            <w:vAlign w:val="center"/>
          </w:tcPr>
          <w:p w14:paraId="75DF22BA" w14:textId="77777777" w:rsidR="000D7506" w:rsidRPr="000D7506" w:rsidRDefault="000D7506" w:rsidP="000D7506">
            <w:pPr>
              <w:tabs>
                <w:tab w:val="left" w:pos="1250"/>
              </w:tabs>
              <w:ind w:right="57"/>
              <w:jc w:val="right"/>
              <w:rPr>
                <w:sz w:val="12"/>
                <w:szCs w:val="12"/>
              </w:rPr>
            </w:pPr>
            <w:r w:rsidRPr="000D7506">
              <w:rPr>
                <w:sz w:val="12"/>
                <w:szCs w:val="12"/>
              </w:rPr>
              <w:t>73.7</w:t>
            </w:r>
          </w:p>
        </w:tc>
        <w:tc>
          <w:tcPr>
            <w:tcW w:w="575" w:type="dxa"/>
            <w:tcBorders>
              <w:top w:val="nil"/>
              <w:left w:val="single" w:sz="4" w:space="0" w:color="auto"/>
              <w:bottom w:val="single" w:sz="4" w:space="0" w:color="auto"/>
              <w:right w:val="single" w:sz="4" w:space="0" w:color="auto"/>
            </w:tcBorders>
            <w:vAlign w:val="center"/>
          </w:tcPr>
          <w:p w14:paraId="0C444192" w14:textId="77777777" w:rsidR="000D7506" w:rsidRPr="000D7506" w:rsidRDefault="000D7506" w:rsidP="000D7506">
            <w:pPr>
              <w:tabs>
                <w:tab w:val="left" w:pos="1250"/>
              </w:tabs>
              <w:ind w:right="57"/>
              <w:jc w:val="right"/>
              <w:rPr>
                <w:sz w:val="12"/>
                <w:szCs w:val="12"/>
              </w:rPr>
            </w:pPr>
            <w:r w:rsidRPr="000D7506">
              <w:rPr>
                <w:sz w:val="12"/>
                <w:szCs w:val="12"/>
              </w:rPr>
              <w:t>77.6</w:t>
            </w:r>
          </w:p>
        </w:tc>
        <w:tc>
          <w:tcPr>
            <w:tcW w:w="507" w:type="dxa"/>
            <w:tcBorders>
              <w:top w:val="nil"/>
              <w:left w:val="single" w:sz="4" w:space="0" w:color="auto"/>
              <w:bottom w:val="single" w:sz="4" w:space="0" w:color="auto"/>
              <w:right w:val="single" w:sz="4" w:space="0" w:color="auto"/>
            </w:tcBorders>
            <w:vAlign w:val="center"/>
          </w:tcPr>
          <w:p w14:paraId="3194253A" w14:textId="77777777" w:rsidR="000D7506" w:rsidRPr="000D7506" w:rsidRDefault="000D7506" w:rsidP="000D7506">
            <w:pPr>
              <w:tabs>
                <w:tab w:val="left" w:pos="1250"/>
              </w:tabs>
              <w:ind w:right="57"/>
              <w:jc w:val="right"/>
              <w:rPr>
                <w:sz w:val="12"/>
                <w:szCs w:val="12"/>
              </w:rPr>
            </w:pPr>
            <w:r w:rsidRPr="000D7506">
              <w:rPr>
                <w:sz w:val="12"/>
                <w:szCs w:val="12"/>
              </w:rPr>
              <w:t>77.1</w:t>
            </w:r>
          </w:p>
        </w:tc>
        <w:tc>
          <w:tcPr>
            <w:tcW w:w="643" w:type="dxa"/>
            <w:tcBorders>
              <w:top w:val="nil"/>
              <w:left w:val="single" w:sz="4" w:space="0" w:color="auto"/>
              <w:bottom w:val="single" w:sz="4" w:space="0" w:color="auto"/>
              <w:right w:val="single" w:sz="4" w:space="0" w:color="auto"/>
            </w:tcBorders>
            <w:vAlign w:val="center"/>
          </w:tcPr>
          <w:p w14:paraId="1B64FBD6" w14:textId="77777777" w:rsidR="000D7506" w:rsidRPr="000D7506" w:rsidRDefault="000D7506" w:rsidP="000D7506">
            <w:pPr>
              <w:tabs>
                <w:tab w:val="left" w:pos="1250"/>
              </w:tabs>
              <w:ind w:right="57"/>
              <w:jc w:val="right"/>
              <w:rPr>
                <w:sz w:val="12"/>
                <w:szCs w:val="12"/>
              </w:rPr>
            </w:pPr>
            <w:r w:rsidRPr="000D7506">
              <w:rPr>
                <w:sz w:val="12"/>
                <w:szCs w:val="12"/>
              </w:rPr>
              <w:t>85.5</w:t>
            </w:r>
          </w:p>
        </w:tc>
        <w:tc>
          <w:tcPr>
            <w:tcW w:w="554" w:type="dxa"/>
            <w:tcBorders>
              <w:top w:val="nil"/>
              <w:left w:val="single" w:sz="4" w:space="0" w:color="auto"/>
              <w:bottom w:val="single" w:sz="4" w:space="0" w:color="auto"/>
              <w:right w:val="single" w:sz="4" w:space="0" w:color="auto"/>
            </w:tcBorders>
            <w:vAlign w:val="center"/>
          </w:tcPr>
          <w:p w14:paraId="0C1E0B73" w14:textId="77777777" w:rsidR="000D7506" w:rsidRPr="000D7506" w:rsidRDefault="000D7506" w:rsidP="000D7506">
            <w:pPr>
              <w:tabs>
                <w:tab w:val="left" w:pos="1250"/>
              </w:tabs>
              <w:ind w:right="57"/>
              <w:jc w:val="right"/>
              <w:rPr>
                <w:sz w:val="12"/>
                <w:szCs w:val="12"/>
              </w:rPr>
            </w:pPr>
            <w:r w:rsidRPr="000D7506">
              <w:rPr>
                <w:sz w:val="12"/>
                <w:szCs w:val="12"/>
              </w:rPr>
              <w:t>87.1</w:t>
            </w:r>
          </w:p>
        </w:tc>
        <w:tc>
          <w:tcPr>
            <w:tcW w:w="568" w:type="dxa"/>
            <w:tcBorders>
              <w:top w:val="nil"/>
              <w:left w:val="single" w:sz="4" w:space="0" w:color="auto"/>
              <w:bottom w:val="single" w:sz="4" w:space="0" w:color="auto"/>
              <w:right w:val="single" w:sz="4" w:space="0" w:color="auto"/>
            </w:tcBorders>
            <w:vAlign w:val="center"/>
          </w:tcPr>
          <w:p w14:paraId="77A9F1EC" w14:textId="77777777" w:rsidR="000D7506" w:rsidRPr="000D7506" w:rsidRDefault="000D7506" w:rsidP="000D7506">
            <w:pPr>
              <w:tabs>
                <w:tab w:val="left" w:pos="1250"/>
              </w:tabs>
              <w:ind w:right="57"/>
              <w:jc w:val="right"/>
              <w:rPr>
                <w:sz w:val="12"/>
                <w:szCs w:val="12"/>
              </w:rPr>
            </w:pPr>
            <w:r w:rsidRPr="000D7506">
              <w:rPr>
                <w:sz w:val="12"/>
                <w:szCs w:val="12"/>
              </w:rPr>
              <w:t>75.6</w:t>
            </w:r>
          </w:p>
        </w:tc>
        <w:tc>
          <w:tcPr>
            <w:tcW w:w="567" w:type="dxa"/>
            <w:tcBorders>
              <w:top w:val="nil"/>
              <w:left w:val="single" w:sz="4" w:space="0" w:color="auto"/>
              <w:bottom w:val="single" w:sz="4" w:space="0" w:color="auto"/>
              <w:right w:val="single" w:sz="4" w:space="0" w:color="auto"/>
            </w:tcBorders>
            <w:vAlign w:val="center"/>
          </w:tcPr>
          <w:p w14:paraId="4DB2DEF3" w14:textId="77777777" w:rsidR="000D7506" w:rsidRPr="000D7506" w:rsidRDefault="000D7506" w:rsidP="000D7506">
            <w:pPr>
              <w:tabs>
                <w:tab w:val="left" w:pos="1250"/>
              </w:tabs>
              <w:ind w:right="57"/>
              <w:jc w:val="right"/>
              <w:rPr>
                <w:sz w:val="12"/>
                <w:szCs w:val="12"/>
              </w:rPr>
            </w:pPr>
            <w:r w:rsidRPr="000D7506">
              <w:rPr>
                <w:sz w:val="12"/>
                <w:szCs w:val="12"/>
              </w:rPr>
              <w:t>81.1</w:t>
            </w:r>
          </w:p>
        </w:tc>
        <w:tc>
          <w:tcPr>
            <w:tcW w:w="589" w:type="dxa"/>
            <w:tcBorders>
              <w:top w:val="nil"/>
              <w:left w:val="single" w:sz="4" w:space="0" w:color="auto"/>
              <w:bottom w:val="single" w:sz="4" w:space="0" w:color="auto"/>
              <w:right w:val="single" w:sz="4" w:space="0" w:color="auto"/>
            </w:tcBorders>
            <w:vAlign w:val="center"/>
          </w:tcPr>
          <w:p w14:paraId="621FDFA0" w14:textId="77777777" w:rsidR="000D7506" w:rsidRPr="000D7506" w:rsidRDefault="000D7506" w:rsidP="000D7506">
            <w:pPr>
              <w:tabs>
                <w:tab w:val="left" w:pos="1250"/>
              </w:tabs>
              <w:ind w:right="57"/>
              <w:jc w:val="right"/>
              <w:rPr>
                <w:sz w:val="12"/>
                <w:szCs w:val="12"/>
              </w:rPr>
            </w:pPr>
            <w:r w:rsidRPr="000D7506">
              <w:rPr>
                <w:sz w:val="12"/>
                <w:szCs w:val="12"/>
              </w:rPr>
              <w:t>85.8</w:t>
            </w:r>
          </w:p>
        </w:tc>
      </w:tr>
    </w:tbl>
    <w:p w14:paraId="649B9BBC" w14:textId="756C43BF" w:rsidR="000D7506" w:rsidRPr="000D7506" w:rsidRDefault="00E6455F" w:rsidP="000D7506">
      <w:pPr>
        <w:spacing w:after="360" w:line="360" w:lineRule="auto"/>
        <w:ind w:right="-159"/>
        <w:jc w:val="both"/>
        <w:rPr>
          <w:rFonts w:eastAsia="Times New Roman"/>
          <w:sz w:val="18"/>
          <w:szCs w:val="18"/>
        </w:rPr>
      </w:pPr>
      <w:r>
        <w:rPr>
          <w:rFonts w:eastAsia="Times New Roman"/>
          <w:sz w:val="18"/>
          <w:szCs w:val="18"/>
        </w:rPr>
        <w:t xml:space="preserve">      </w:t>
      </w:r>
      <w:r w:rsidR="000D7506" w:rsidRPr="000D7506">
        <w:rPr>
          <w:rFonts w:eastAsia="Times New Roman"/>
          <w:sz w:val="18"/>
          <w:szCs w:val="18"/>
        </w:rPr>
        <w:t>FUENTE: INEGI.</w:t>
      </w:r>
    </w:p>
    <w:p w14:paraId="40B261E0" w14:textId="77777777" w:rsidR="000D7506" w:rsidRPr="000D7506" w:rsidRDefault="000D7506" w:rsidP="000D7506">
      <w:pPr>
        <w:spacing w:after="360" w:line="360" w:lineRule="auto"/>
        <w:ind w:right="-159"/>
        <w:jc w:val="both"/>
        <w:rPr>
          <w:rFonts w:eastAsia="Times New Roman"/>
          <w:sz w:val="26"/>
          <w:szCs w:val="26"/>
        </w:rPr>
      </w:pPr>
      <w:r w:rsidRPr="000D7506">
        <w:rPr>
          <w:rFonts w:eastAsia="Times New Roman"/>
          <w:sz w:val="26"/>
          <w:szCs w:val="26"/>
        </w:rPr>
        <w:lastRenderedPageBreak/>
        <w:t>En particular, el comportamiento de los cinco componentes parciales que se integran para medir el Índice de Confianza del Consumidor durante el tercer mes de 2015 fue el siguiente:</w:t>
      </w:r>
    </w:p>
    <w:p w14:paraId="16619B67" w14:textId="77777777" w:rsidR="000D7506" w:rsidRPr="000D7506" w:rsidRDefault="000D7506" w:rsidP="00762467">
      <w:pPr>
        <w:numPr>
          <w:ilvl w:val="0"/>
          <w:numId w:val="68"/>
        </w:numPr>
        <w:spacing w:after="360" w:line="360" w:lineRule="auto"/>
        <w:ind w:right="-159"/>
        <w:jc w:val="both"/>
        <w:rPr>
          <w:rFonts w:eastAsia="Times New Roman"/>
          <w:sz w:val="26"/>
          <w:szCs w:val="26"/>
        </w:rPr>
      </w:pPr>
      <w:r w:rsidRPr="000D7506">
        <w:rPr>
          <w:rFonts w:eastAsia="Times New Roman"/>
          <w:sz w:val="26"/>
          <w:szCs w:val="26"/>
        </w:rPr>
        <w:t>El componente que evalúa la situación económica de los integrantes del hogar en el momento actual, con relación a la que tenían hace doce meses alcanzó en marzo del año en curso un nivel de 99.8 puntos, lo cual implicó un avance anual de 5.4 por ciento.</w:t>
      </w:r>
    </w:p>
    <w:p w14:paraId="39938DC5" w14:textId="77777777" w:rsidR="000D7506" w:rsidRPr="000D7506" w:rsidRDefault="000D7506" w:rsidP="000D7506">
      <w:pPr>
        <w:spacing w:after="360" w:line="360" w:lineRule="auto"/>
        <w:ind w:left="641" w:right="-159"/>
        <w:jc w:val="center"/>
        <w:rPr>
          <w:rFonts w:eastAsia="Times New Roman"/>
          <w:sz w:val="26"/>
          <w:szCs w:val="26"/>
        </w:rPr>
      </w:pPr>
      <w:r w:rsidRPr="000D7506">
        <w:fldChar w:fldCharType="begin"/>
      </w:r>
      <w:r w:rsidRPr="000D7506">
        <w:instrText xml:space="preserve"> LINK PowerPoint.Slide.8 "D:\\2015\\ABRIL\\GRÁFICAS POWER POINT\\16.- GRÁFICAS DEL ÍNDICE DE CONFIANZA DEL CONSUMIDOR.pptx!259" "" \a \p </w:instrText>
      </w:r>
      <w:r w:rsidRPr="000D7506">
        <w:fldChar w:fldCharType="separate"/>
      </w:r>
      <w:r w:rsidRPr="000D7506">
        <w:rPr>
          <w:noProof/>
          <w:lang w:eastAsia="es-MX"/>
        </w:rPr>
        <w:drawing>
          <wp:inline distT="0" distB="0" distL="0" distR="0" wp14:anchorId="7E32CE96" wp14:editId="7E2C4899">
            <wp:extent cx="4540885" cy="3373120"/>
            <wp:effectExtent l="0" t="0" r="0" b="0"/>
            <wp:docPr id="1504" name="Imagen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21" cstate="print">
                      <a:extLst>
                        <a:ext uri="{28A0092B-C50C-407E-A947-70E740481C1C}">
                          <a14:useLocalDpi xmlns:a14="http://schemas.microsoft.com/office/drawing/2010/main" val="0"/>
                        </a:ext>
                      </a:extLst>
                    </a:blip>
                    <a:srcRect l="11504" r="13853" b="1631"/>
                    <a:stretch>
                      <a:fillRect/>
                    </a:stretch>
                  </pic:blipFill>
                  <pic:spPr bwMode="auto">
                    <a:xfrm>
                      <a:off x="0" y="0"/>
                      <a:ext cx="4540885" cy="3373120"/>
                    </a:xfrm>
                    <a:prstGeom prst="rect">
                      <a:avLst/>
                    </a:prstGeom>
                    <a:noFill/>
                    <a:ln>
                      <a:noFill/>
                    </a:ln>
                  </pic:spPr>
                </pic:pic>
              </a:graphicData>
            </a:graphic>
          </wp:inline>
        </w:drawing>
      </w:r>
      <w:r w:rsidRPr="000D7506">
        <w:fldChar w:fldCharType="end"/>
      </w:r>
    </w:p>
    <w:p w14:paraId="6CB27FC0" w14:textId="77777777" w:rsidR="000D7506" w:rsidRPr="000D7506" w:rsidRDefault="000D7506" w:rsidP="00762467">
      <w:pPr>
        <w:numPr>
          <w:ilvl w:val="0"/>
          <w:numId w:val="68"/>
        </w:numPr>
        <w:spacing w:after="360" w:line="360" w:lineRule="auto"/>
        <w:ind w:right="-159"/>
        <w:jc w:val="both"/>
        <w:rPr>
          <w:rFonts w:eastAsia="Times New Roman"/>
          <w:sz w:val="26"/>
          <w:szCs w:val="26"/>
        </w:rPr>
      </w:pPr>
      <w:r w:rsidRPr="000D7506">
        <w:rPr>
          <w:rFonts w:eastAsia="Times New Roman"/>
          <w:sz w:val="26"/>
          <w:szCs w:val="26"/>
        </w:rPr>
        <w:t xml:space="preserve">En el mes de referencia, el rubro que mide la situación económica que se espera para los miembros del hogar dentro de doce meses, respecto a la que registran en el momento actual presentó un aumento anual de 0.9%, al colocarse en           100.2 puntos. </w:t>
      </w:r>
    </w:p>
    <w:p w14:paraId="16DBEA01" w14:textId="77777777" w:rsidR="000D7506" w:rsidRPr="000D7506" w:rsidRDefault="000D7506" w:rsidP="000D7506">
      <w:pPr>
        <w:spacing w:after="360" w:line="360" w:lineRule="auto"/>
        <w:ind w:left="720" w:right="-159"/>
        <w:jc w:val="center"/>
        <w:rPr>
          <w:rFonts w:eastAsia="Times New Roman"/>
          <w:sz w:val="26"/>
          <w:szCs w:val="26"/>
        </w:rPr>
      </w:pPr>
      <w:r w:rsidRPr="000D7506">
        <w:lastRenderedPageBreak/>
        <w:fldChar w:fldCharType="begin"/>
      </w:r>
      <w:r w:rsidRPr="000D7506">
        <w:instrText xml:space="preserve"> LINK PowerPoint.Slide.8 "D:\\2015\\ABRIL\\GRÁFICAS POWER POINT\\16.- GRÁFICAS DEL ÍNDICE DE CONFIANZA DEL CONSUMIDOR.pptx!260" "" \a \p </w:instrText>
      </w:r>
      <w:r w:rsidRPr="000D7506">
        <w:fldChar w:fldCharType="separate"/>
      </w:r>
      <w:r w:rsidRPr="000D7506">
        <w:rPr>
          <w:noProof/>
          <w:lang w:eastAsia="es-MX"/>
        </w:rPr>
        <w:drawing>
          <wp:inline distT="0" distB="0" distL="0" distR="0" wp14:anchorId="03EA1C62" wp14:editId="474F8663">
            <wp:extent cx="4485640" cy="3324225"/>
            <wp:effectExtent l="0" t="0" r="0" b="9525"/>
            <wp:docPr id="1505" name="Imagen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22" cstate="print">
                      <a:extLst>
                        <a:ext uri="{28A0092B-C50C-407E-A947-70E740481C1C}">
                          <a14:useLocalDpi xmlns:a14="http://schemas.microsoft.com/office/drawing/2010/main" val="0"/>
                        </a:ext>
                      </a:extLst>
                    </a:blip>
                    <a:srcRect l="11504" r="14772" b="3020"/>
                    <a:stretch>
                      <a:fillRect/>
                    </a:stretch>
                  </pic:blipFill>
                  <pic:spPr bwMode="auto">
                    <a:xfrm>
                      <a:off x="0" y="0"/>
                      <a:ext cx="4485640" cy="3324225"/>
                    </a:xfrm>
                    <a:prstGeom prst="rect">
                      <a:avLst/>
                    </a:prstGeom>
                    <a:noFill/>
                    <a:ln>
                      <a:noFill/>
                    </a:ln>
                  </pic:spPr>
                </pic:pic>
              </a:graphicData>
            </a:graphic>
          </wp:inline>
        </w:drawing>
      </w:r>
      <w:r w:rsidRPr="000D7506">
        <w:fldChar w:fldCharType="end"/>
      </w:r>
    </w:p>
    <w:p w14:paraId="0DACE895" w14:textId="77777777" w:rsidR="000D7506" w:rsidRPr="000D7506" w:rsidRDefault="000D7506" w:rsidP="00762467">
      <w:pPr>
        <w:numPr>
          <w:ilvl w:val="0"/>
          <w:numId w:val="68"/>
        </w:numPr>
        <w:spacing w:after="360" w:line="360" w:lineRule="auto"/>
        <w:ind w:right="-159"/>
        <w:jc w:val="both"/>
        <w:rPr>
          <w:rFonts w:eastAsia="Times New Roman"/>
          <w:sz w:val="26"/>
          <w:szCs w:val="26"/>
        </w:rPr>
      </w:pPr>
      <w:r w:rsidRPr="000D7506">
        <w:rPr>
          <w:rFonts w:eastAsia="Times New Roman"/>
          <w:sz w:val="26"/>
          <w:szCs w:val="26"/>
        </w:rPr>
        <w:t>El indicador que capta la situación económica del país hoy en día, comparada con la que prevaleció hace doce meses mostró en el tercer mes de 2015 un nivel de 89.8 puntos, cifra 4% superior a la reportada en marzo de 2014.</w:t>
      </w:r>
    </w:p>
    <w:p w14:paraId="3D6342CB" w14:textId="77777777" w:rsidR="000D7506" w:rsidRPr="000D7506" w:rsidRDefault="000D7506" w:rsidP="000D7506">
      <w:pPr>
        <w:spacing w:after="360" w:line="360" w:lineRule="auto"/>
        <w:ind w:left="641" w:right="-159"/>
        <w:jc w:val="center"/>
        <w:rPr>
          <w:rFonts w:eastAsia="Times New Roman"/>
          <w:sz w:val="26"/>
          <w:szCs w:val="26"/>
        </w:rPr>
      </w:pPr>
      <w:r w:rsidRPr="000D7506">
        <w:fldChar w:fldCharType="begin"/>
      </w:r>
      <w:r w:rsidRPr="000D7506">
        <w:instrText xml:space="preserve"> LINK PowerPoint.Slide.8 "D:\\2015\\ABRIL\\GRÁFICAS POWER POINT\\16.- GRÁFICAS DEL ÍNDICE DE CONFIANZA DEL CONSUMIDOR.pptx!261" "" \a \p </w:instrText>
      </w:r>
      <w:r w:rsidRPr="000D7506">
        <w:fldChar w:fldCharType="separate"/>
      </w:r>
      <w:r w:rsidRPr="000D7506">
        <w:rPr>
          <w:noProof/>
          <w:lang w:eastAsia="es-MX"/>
        </w:rPr>
        <w:drawing>
          <wp:inline distT="0" distB="0" distL="0" distR="0" wp14:anchorId="50E352F0" wp14:editId="3BF1AC43">
            <wp:extent cx="4504055" cy="3317875"/>
            <wp:effectExtent l="0" t="0" r="0" b="0"/>
            <wp:docPr id="1506" name="Imagen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123" cstate="print">
                      <a:extLst>
                        <a:ext uri="{28A0092B-C50C-407E-A947-70E740481C1C}">
                          <a14:useLocalDpi xmlns:a14="http://schemas.microsoft.com/office/drawing/2010/main" val="0"/>
                        </a:ext>
                      </a:extLst>
                    </a:blip>
                    <a:srcRect l="12289" t="1852" r="13718" b="1390"/>
                    <a:stretch>
                      <a:fillRect/>
                    </a:stretch>
                  </pic:blipFill>
                  <pic:spPr bwMode="auto">
                    <a:xfrm>
                      <a:off x="0" y="0"/>
                      <a:ext cx="4504055" cy="3317875"/>
                    </a:xfrm>
                    <a:prstGeom prst="rect">
                      <a:avLst/>
                    </a:prstGeom>
                    <a:noFill/>
                    <a:ln>
                      <a:noFill/>
                    </a:ln>
                  </pic:spPr>
                </pic:pic>
              </a:graphicData>
            </a:graphic>
          </wp:inline>
        </w:drawing>
      </w:r>
      <w:r w:rsidRPr="000D7506">
        <w:fldChar w:fldCharType="end"/>
      </w:r>
    </w:p>
    <w:p w14:paraId="24063519" w14:textId="77777777" w:rsidR="000D7506" w:rsidRPr="000D7506" w:rsidRDefault="000D7506" w:rsidP="00762467">
      <w:pPr>
        <w:numPr>
          <w:ilvl w:val="0"/>
          <w:numId w:val="68"/>
        </w:numPr>
        <w:spacing w:after="360" w:line="360" w:lineRule="auto"/>
        <w:ind w:right="-159"/>
        <w:jc w:val="both"/>
        <w:rPr>
          <w:rFonts w:eastAsia="Times New Roman"/>
          <w:sz w:val="26"/>
          <w:szCs w:val="26"/>
        </w:rPr>
      </w:pPr>
      <w:r w:rsidRPr="000D7506">
        <w:rPr>
          <w:rFonts w:eastAsia="Times New Roman"/>
          <w:sz w:val="26"/>
          <w:szCs w:val="26"/>
        </w:rPr>
        <w:lastRenderedPageBreak/>
        <w:t>En marzo de 2015, el componente que considera la percepción de los consumidores sobre la situación económica del país dentro de doce meses, respecto a la actual se ubicó en 89.7 puntos. Este resultado significó una disminución de 1% con relación al nivel alcanzado en el mismo mes de un año antes.</w:t>
      </w:r>
    </w:p>
    <w:p w14:paraId="1D2FC146" w14:textId="77777777" w:rsidR="000D7506" w:rsidRPr="000D7506" w:rsidRDefault="000D7506" w:rsidP="000D7506">
      <w:pPr>
        <w:spacing w:after="360" w:line="360" w:lineRule="auto"/>
        <w:ind w:left="641" w:right="-159"/>
        <w:jc w:val="center"/>
        <w:rPr>
          <w:rFonts w:eastAsia="Times New Roman"/>
          <w:sz w:val="26"/>
          <w:szCs w:val="26"/>
        </w:rPr>
      </w:pPr>
      <w:r w:rsidRPr="000D7506">
        <w:fldChar w:fldCharType="begin"/>
      </w:r>
      <w:r w:rsidRPr="000D7506">
        <w:instrText xml:space="preserve"> LINK PowerPoint.Slide.8 "D:\\2015\\ABRIL\\GRÁFICAS POWER POINT\\16.- GRÁFICAS DEL ÍNDICE DE CONFIANZA DEL CONSUMIDOR.pptx!262" "" \a \p </w:instrText>
      </w:r>
      <w:r w:rsidRPr="000D7506">
        <w:fldChar w:fldCharType="separate"/>
      </w:r>
      <w:r w:rsidRPr="000D7506">
        <w:rPr>
          <w:noProof/>
          <w:lang w:eastAsia="es-MX"/>
        </w:rPr>
        <w:drawing>
          <wp:inline distT="0" distB="0" distL="0" distR="0" wp14:anchorId="416A4F78" wp14:editId="26779339">
            <wp:extent cx="4504055" cy="3305175"/>
            <wp:effectExtent l="0" t="0" r="0" b="9525"/>
            <wp:docPr id="1507" name="Imagen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124" cstate="print">
                      <a:extLst>
                        <a:ext uri="{28A0092B-C50C-407E-A947-70E740481C1C}">
                          <a14:useLocalDpi xmlns:a14="http://schemas.microsoft.com/office/drawing/2010/main" val="0"/>
                        </a:ext>
                      </a:extLst>
                    </a:blip>
                    <a:srcRect l="11234" t="3020" r="14636" b="685"/>
                    <a:stretch>
                      <a:fillRect/>
                    </a:stretch>
                  </pic:blipFill>
                  <pic:spPr bwMode="auto">
                    <a:xfrm>
                      <a:off x="0" y="0"/>
                      <a:ext cx="4504055" cy="3305175"/>
                    </a:xfrm>
                    <a:prstGeom prst="rect">
                      <a:avLst/>
                    </a:prstGeom>
                    <a:noFill/>
                    <a:ln>
                      <a:noFill/>
                    </a:ln>
                  </pic:spPr>
                </pic:pic>
              </a:graphicData>
            </a:graphic>
          </wp:inline>
        </w:drawing>
      </w:r>
      <w:r w:rsidRPr="000D7506">
        <w:fldChar w:fldCharType="end"/>
      </w:r>
    </w:p>
    <w:p w14:paraId="4C164EF4" w14:textId="77777777" w:rsidR="000D7506" w:rsidRPr="000D7506" w:rsidRDefault="000D7506" w:rsidP="00762467">
      <w:pPr>
        <w:numPr>
          <w:ilvl w:val="0"/>
          <w:numId w:val="68"/>
        </w:numPr>
        <w:spacing w:after="360" w:line="360" w:lineRule="auto"/>
        <w:ind w:right="-159"/>
        <w:jc w:val="both"/>
        <w:rPr>
          <w:rFonts w:eastAsia="Times New Roman"/>
          <w:sz w:val="26"/>
          <w:szCs w:val="26"/>
        </w:rPr>
      </w:pPr>
      <w:r w:rsidRPr="000D7506">
        <w:rPr>
          <w:rFonts w:eastAsia="Times New Roman"/>
          <w:sz w:val="26"/>
          <w:szCs w:val="26"/>
        </w:rPr>
        <w:t>Finalmente, el indicador que refleja las posibilidades en el momento actual por parte de los integrantes del hogar, comparadas con las de hace un año, para comprar bienes durables, tales como muebles, televisor, lavadora y otros aparatos electrodomésticos se situó en el tercer mes de 2015, en 85.8 puntos cifra que representó un incremento anual de 17.5 por ciento.</w:t>
      </w:r>
    </w:p>
    <w:p w14:paraId="0EDFCD25" w14:textId="77777777" w:rsidR="000D7506" w:rsidRPr="000D7506" w:rsidRDefault="000D7506" w:rsidP="000D7506">
      <w:pPr>
        <w:spacing w:after="360" w:line="360" w:lineRule="auto"/>
        <w:ind w:left="641" w:right="-159"/>
        <w:jc w:val="center"/>
        <w:rPr>
          <w:rFonts w:eastAsia="Times New Roman"/>
          <w:sz w:val="26"/>
          <w:szCs w:val="26"/>
        </w:rPr>
      </w:pPr>
      <w:r w:rsidRPr="000D7506">
        <w:lastRenderedPageBreak/>
        <w:fldChar w:fldCharType="begin"/>
      </w:r>
      <w:r w:rsidRPr="000D7506">
        <w:instrText xml:space="preserve"> LINK PowerPoint.Slide.8 "D:\\2015\\ABRIL\\GRÁFICAS POWER POINT\\16.- GRÁFICAS DEL ÍNDICE DE CONFIANZA DEL CONSUMIDOR.pptx!263" "" \a \p </w:instrText>
      </w:r>
      <w:r w:rsidRPr="000D7506">
        <w:fldChar w:fldCharType="separate"/>
      </w:r>
      <w:r w:rsidRPr="000D7506">
        <w:rPr>
          <w:noProof/>
          <w:lang w:eastAsia="es-MX"/>
        </w:rPr>
        <w:drawing>
          <wp:inline distT="0" distB="0" distL="0" distR="0" wp14:anchorId="5457C95F" wp14:editId="46D52F48">
            <wp:extent cx="4658360" cy="3392170"/>
            <wp:effectExtent l="0" t="0" r="8890" b="0"/>
            <wp:docPr id="1508" name="Imagen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125" cstate="print">
                      <a:extLst>
                        <a:ext uri="{28A0092B-C50C-407E-A947-70E740481C1C}">
                          <a14:useLocalDpi xmlns:a14="http://schemas.microsoft.com/office/drawing/2010/main" val="0"/>
                        </a:ext>
                      </a:extLst>
                    </a:blip>
                    <a:srcRect l="10585" r="12810" b="1149"/>
                    <a:stretch>
                      <a:fillRect/>
                    </a:stretch>
                  </pic:blipFill>
                  <pic:spPr bwMode="auto">
                    <a:xfrm>
                      <a:off x="0" y="0"/>
                      <a:ext cx="4658360" cy="3392170"/>
                    </a:xfrm>
                    <a:prstGeom prst="rect">
                      <a:avLst/>
                    </a:prstGeom>
                    <a:noFill/>
                    <a:ln>
                      <a:noFill/>
                    </a:ln>
                  </pic:spPr>
                </pic:pic>
              </a:graphicData>
            </a:graphic>
          </wp:inline>
        </w:drawing>
      </w:r>
      <w:r w:rsidRPr="000D7506">
        <w:fldChar w:fldCharType="end"/>
      </w:r>
    </w:p>
    <w:p w14:paraId="3ACDCA80" w14:textId="77777777" w:rsidR="000D7506" w:rsidRPr="000D7506" w:rsidRDefault="000D7506" w:rsidP="000D7506">
      <w:pPr>
        <w:ind w:right="-159"/>
        <w:jc w:val="both"/>
        <w:rPr>
          <w:rFonts w:eastAsia="Times New Roman"/>
          <w:b/>
          <w:sz w:val="20"/>
          <w:szCs w:val="20"/>
        </w:rPr>
      </w:pPr>
      <w:r w:rsidRPr="000D7506">
        <w:rPr>
          <w:rFonts w:eastAsia="Times New Roman"/>
          <w:b/>
          <w:sz w:val="20"/>
          <w:szCs w:val="20"/>
        </w:rPr>
        <w:t>Fuente de información:</w:t>
      </w:r>
    </w:p>
    <w:p w14:paraId="03DE63F9" w14:textId="77777777" w:rsidR="000D7506" w:rsidRPr="00E630EC" w:rsidRDefault="0045651A" w:rsidP="00E630EC">
      <w:pPr>
        <w:spacing w:after="720"/>
        <w:rPr>
          <w:color w:val="0000FF"/>
          <w:sz w:val="20"/>
          <w:szCs w:val="20"/>
        </w:rPr>
      </w:pPr>
      <w:hyperlink r:id="rId126" w:history="1">
        <w:r w:rsidR="000D7506" w:rsidRPr="00E630EC">
          <w:rPr>
            <w:color w:val="0000FF"/>
            <w:sz w:val="20"/>
            <w:szCs w:val="20"/>
            <w:u w:val="single"/>
          </w:rPr>
          <w:t>http://www.inegi.org.mx/saladeprensa/boletines/2015/concon/concon2015_04.pdf</w:t>
        </w:r>
      </w:hyperlink>
      <w:r w:rsidR="000D7506" w:rsidRPr="00E630EC">
        <w:rPr>
          <w:color w:val="0000FF"/>
          <w:sz w:val="20"/>
          <w:szCs w:val="20"/>
        </w:rPr>
        <w:t xml:space="preserve"> </w:t>
      </w:r>
    </w:p>
    <w:p w14:paraId="1E3E7400" w14:textId="77777777" w:rsidR="0005229F" w:rsidRPr="0005229F" w:rsidRDefault="0005229F" w:rsidP="0005229F">
      <w:pPr>
        <w:ind w:right="-159"/>
        <w:jc w:val="both"/>
        <w:rPr>
          <w:rFonts w:eastAsia="Calibri"/>
          <w:b/>
          <w:sz w:val="26"/>
          <w:szCs w:val="26"/>
          <w:lang w:eastAsia="en-US"/>
        </w:rPr>
      </w:pPr>
      <w:r w:rsidRPr="0005229F">
        <w:rPr>
          <w:rFonts w:eastAsia="Calibri"/>
          <w:b/>
          <w:sz w:val="26"/>
          <w:szCs w:val="26"/>
          <w:lang w:eastAsia="en-US"/>
        </w:rPr>
        <w:t>Convención Nacional de Industriales</w:t>
      </w:r>
    </w:p>
    <w:p w14:paraId="5CF4E351" w14:textId="77777777" w:rsidR="0005229F" w:rsidRPr="0005229F" w:rsidRDefault="0005229F" w:rsidP="0005229F">
      <w:pPr>
        <w:spacing w:after="360" w:line="360" w:lineRule="auto"/>
        <w:ind w:right="-159"/>
        <w:jc w:val="both"/>
        <w:rPr>
          <w:rFonts w:eastAsia="Calibri"/>
          <w:b/>
          <w:sz w:val="26"/>
          <w:szCs w:val="26"/>
          <w:lang w:eastAsia="en-US"/>
        </w:rPr>
      </w:pPr>
      <w:r w:rsidRPr="0005229F">
        <w:rPr>
          <w:rFonts w:eastAsia="Calibri"/>
          <w:b/>
          <w:sz w:val="26"/>
          <w:szCs w:val="26"/>
          <w:lang w:eastAsia="en-US"/>
        </w:rPr>
        <w:t>2015 (Presidencia de la República)</w:t>
      </w:r>
    </w:p>
    <w:p w14:paraId="39C17790"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El 27 de marzo de 2015, la Presidencia de la República dio a conocer las palabras del Presidente de los Estados Unidos Mexicanos, durante la Convención Nacional de Industriales 2015, a continuación se presenta la información.</w:t>
      </w:r>
    </w:p>
    <w:p w14:paraId="4E14A0A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“Nuevamente, muy buenas tardes a todas y a todos ustedes.</w:t>
      </w:r>
    </w:p>
    <w:p w14:paraId="08653D7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Quiero saludar con especial afecto al Presidente de la Cámara Nacional de la Industria de Transformación (CANACINTRA). Reconocer aquí sus comentarios, sus expresiones que, sin duda, están orientadas realmente a lograr el objetivo de hacer una mejor Nación, y que esto convoca a la participación de los gobiernos y de la sociedad en su conjunto.</w:t>
      </w:r>
    </w:p>
    <w:p w14:paraId="2EF369DA"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Que aquí no hay esfuerzo ni aislado, ni corto, ni marginado. Por el contrario, todos somos parte de la transformación que queremos para nuestra Nación.</w:t>
      </w:r>
    </w:p>
    <w:p w14:paraId="4B309A73"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hoy quiero reconocer en el Presidente de CANACINTRA la invariable disposición que ha habido para tener un diálogo abierto, franco, crítico en ocasiones, pero, al final de cuentas, con disposición para construir. Y eso es lo más importante, la actitud constructiva que tengamos para realmente modelar el país que queremos para todos. Y eso depende de todos.</w:t>
      </w:r>
    </w:p>
    <w:p w14:paraId="22A207D8"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Nuevamente, señor Presidente, muchas felicidades, además, por asumir por un año más el liderazgo de esta Cámara Nacional de la Industria de Transformación.</w:t>
      </w:r>
    </w:p>
    <w:p w14:paraId="3D13A9A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Le saludo a usted y a los integrantes de la Mesa Directiva que recién han rendido protesta para el año en curso, 2015-2016.</w:t>
      </w:r>
    </w:p>
    <w:p w14:paraId="36616B9A"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De igual manera, saludo a los presidentes de distintos organismos empresariales que están aquí presentes; a integrantes del Gabinete Legal del Gobierno de la República.</w:t>
      </w:r>
    </w:p>
    <w:p w14:paraId="5269C24B"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Quiero saludar a los titulares de los organismos autónomos que también están aquí presentes en este acto; a Legisladores que acompañan la renovación en la Mesa Directiva de CANACINTRA.</w:t>
      </w:r>
    </w:p>
    <w:p w14:paraId="3E4F9ECC"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Particularmente, quiero reconocer y felicitar nuevamente a los galardonados con el Premio de Innovación y Tecnología, que se ha entregado en el marco de esta Convención de Industriales que han realizado.</w:t>
      </w:r>
    </w:p>
    <w:p w14:paraId="0F8BD300"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saludo a esta representación. También a los representantes de las delegaciones de CANACINTRA al interior del país, que están aquí presentes.</w:t>
      </w:r>
    </w:p>
    <w:p w14:paraId="022A672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a todos ustedes, que representan a la industria de la transformación de México.</w:t>
      </w:r>
    </w:p>
    <w:p w14:paraId="2FC39623"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Les saludo con respeto, con afecto, agradeciendo la invitación para acompañarles en esta convención. Y, sobre todo, deseándoles éxito en todo lo que están emprendiendo para, realmente, sumarse y contribuir al desarrollo económico, social, de nuestra Nación.</w:t>
      </w:r>
    </w:p>
    <w:p w14:paraId="7D63902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Muchas felicidades a todos.</w:t>
      </w:r>
    </w:p>
    <w:p w14:paraId="6F9F5940"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Señores representantes de los medios de comunicación.</w:t>
      </w:r>
    </w:p>
    <w:p w14:paraId="4F2FE7F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Señoras y señores:</w:t>
      </w:r>
    </w:p>
    <w:p w14:paraId="7BE277A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Desde sus orígenes, en 1941, la Cámara Nacional de la Industria de Transformación ha contribuido al desarrollo y progreso de nuestro país.</w:t>
      </w:r>
    </w:p>
    <w:p w14:paraId="3A14E662"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Hoy, sus más de 50 mil empresas agremiadas participan activamente en 105 ramas industriales de la economía nacional. Su aportación es de la mayor relevancia. Generan 6% del Producto Interno Bruto (PIB) y dan empleo a más de un millón 300 mil mexicanos.</w:t>
      </w:r>
    </w:p>
    <w:p w14:paraId="4ED717BD"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Por todo ello, la CANACINTRA es uno de los principales organismos empresariales del país y un firme promotor de la transformación nacional.</w:t>
      </w:r>
    </w:p>
    <w:p w14:paraId="2CB69B3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Durante la Presidencia de Rodrigo Alpízar, hemos mantenido, como ya lo señalé, un diálogo franco y abierto, con resultados positivos en diversos frentes. Permítanme sólo referir algunos.</w:t>
      </w:r>
    </w:p>
    <w:p w14:paraId="746D0928"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En las reformas estructurales que hemos impulsado, está presente la aportación de la CANACINTRA, especialmente en temas estratégicos, como los de contenido nacional.</w:t>
      </w:r>
    </w:p>
    <w:p w14:paraId="1605399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 xml:space="preserve">Ahora, en la etapa de implementación sigue desempeñando un papel fundamental. Por ejemplo, representa al empresariado mexicano en los Consejos Consultivos para el </w:t>
      </w:r>
      <w:r w:rsidRPr="0005229F">
        <w:rPr>
          <w:rFonts w:eastAsia="Calibri"/>
          <w:sz w:val="26"/>
          <w:szCs w:val="26"/>
          <w:lang w:eastAsia="en-US"/>
        </w:rPr>
        <w:lastRenderedPageBreak/>
        <w:t>Fomento de la Industria de Hidrocarburos y de la Industria Eléctrica Nacional, que son elementos esenciales de la Reforma Energética.</w:t>
      </w:r>
    </w:p>
    <w:p w14:paraId="6180466D"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Igualmente, la visión y las propuestas de esta Cámara son parte de la nueva política industrial que estamos impulsando desde el Gobierno de la República.</w:t>
      </w:r>
    </w:p>
    <w:p w14:paraId="111AB03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aquí hay que decirlo con toda claridad. Somos un Gobierno, sí, efectivamente, que promueve la apertura comercial; un Gobierno que ha venido promoviendo una economía abierta, pero también un Gobierno que ha dedicado esfuerzos particulares, una política industrial específica, para apoyar distintos sectores de la economía de nuestro país.</w:t>
      </w:r>
    </w:p>
    <w:p w14:paraId="47E822E6"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Porque desde que inició esta Administración, no compartíamos la visión de que la mejor política industrial es la no política.</w:t>
      </w:r>
    </w:p>
    <w:p w14:paraId="2F8FAC5E"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Por el contrario. Reafirmamos la convicción de este Gobierno por definir políticas particulares de apoyo a las industrias de nuestra Nación, para realmente consolidarlas, fortalecerlas y puedan tener una mayor presencia en el mercado nacional y en mercados internacionales.</w:t>
      </w:r>
    </w:p>
    <w:p w14:paraId="35D471A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Junto con otros organismos, la CANACINTRA participó en la elaboración de un nuevo convenio de prácticas comerciales, que establece bases para la autorregulación, agiliza la solución de conflictos e impulsa la mejora continua en esta materia.</w:t>
      </w:r>
    </w:p>
    <w:p w14:paraId="321A10C1"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Pero, sobre todo, la CANACINTRA ha sido una voz propositiva. Sus críticas siempre han sido con ánimo constructivo. De esto se trata la democracia, de expresarnos con libertad, de escucharnos con respeto, de dialogar y construir acuerdos en favor de nuestro país.</w:t>
      </w:r>
    </w:p>
    <w:p w14:paraId="2D018F36"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Por eso hoy, que se renueva la Mesa Directiva de la CANACINTRA, también renovamos nuestro ánimo de cooperación.</w:t>
      </w:r>
    </w:p>
    <w:p w14:paraId="2FDFCEF4"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En el Gobierno de la República seguiremos escuchando sus observaciones, sus recomendaciones, sus propuestas y sus puntos de vista.</w:t>
      </w:r>
    </w:p>
    <w:p w14:paraId="3813334B"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Coincidimos plenamente en la importancia de seguir reindustrializando al país.</w:t>
      </w:r>
    </w:p>
    <w:p w14:paraId="53A3971E"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Estamos convencidos de que nuestra economía puede crecer más si fortalecemos sus cadenas productivas, si promovemos el desarrollo de proveedores y multiplicamos los procesos de innovación.</w:t>
      </w:r>
    </w:p>
    <w:p w14:paraId="45E92FB1"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En este punto, reitero mi felicitación a los galardonados con el Premio Nacional de Tecnología e Innovación 2015.</w:t>
      </w:r>
    </w:p>
    <w:p w14:paraId="1DD77251"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El Gobierno de la República seguirá invirtiendo en investigación científica e innovación, y apoyando a los emprendedores como agentes clave de nuestro crecimiento económico.</w:t>
      </w:r>
    </w:p>
    <w:p w14:paraId="6D495F2C"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Un mayor desarrollo tecnológico, sumado a una mayor competitividad de las empresas, derivada de las reformas estructurales, permitirá iniciar una nueva etapa para la industria nacional.</w:t>
      </w:r>
    </w:p>
    <w:p w14:paraId="32D4FB58"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De eso se tratan las reformas transformadoras y particularmente seis de ellas dedicadas y orientadas a impulsar el crecimiento de nuestra economía, de crear condiciones óptimas para el crecimiento de los negocios y, especialmente, del empleo bien remunerado en nuestro país.</w:t>
      </w:r>
    </w:p>
    <w:p w14:paraId="2FBB2939"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Las reformas, y lo he señalado de manera reiterada, no son fines en sí mismos. Son medios para acelerar el dinamismo económico y, con ello, incrementar el bienestar de las familias mexicanas, que es el principal objetivo que tiene mi Gobierno.</w:t>
      </w:r>
    </w:p>
    <w:p w14:paraId="3A2949C6"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En esa misma dirección, continuaremos innovando políticas y acciones gubernamentales, que nos permitan expandir el desarrollo de todas las regiones del país.</w:t>
      </w:r>
    </w:p>
    <w:p w14:paraId="5CFFF124"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Las zonas económicas especiales, que pueden inscribirse como una política industrial específica y que estamos próximos a emitir, se habrán de establecer en el Sur de México. Serán una gran herramienta para llevar industrias, especialmente manufactureras a regiones que por sí solas no han podido detonar esta importante actividad.</w:t>
      </w:r>
    </w:p>
    <w:p w14:paraId="61D2E577"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Para elevar el nivel de vida en estados como Chiapas, Guerrero y Oaxaca, tenemos que crear empleos de calidad, con capacitación e ingresos dignos, como los que genera la industria.</w:t>
      </w:r>
    </w:p>
    <w:p w14:paraId="72B9FBF1"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Por ello, agradezco el respaldo que la CANACINTRA ha expresado en favor de esta iniciativa, que tiene como propósito incorporar al Sur del país a la dinámica nacional y a la economía global. Ninguna región debe quedarse atrás.</w:t>
      </w:r>
    </w:p>
    <w:p w14:paraId="6403341A" w14:textId="77777777" w:rsid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Todo México debe ser parte de la transformación, que está en marcha, y que ya está dando resultados.</w:t>
      </w:r>
    </w:p>
    <w:p w14:paraId="69F2A47B"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Así lo reflejan diversos indicadores. La economía sigue acelerando su ritmo.</w:t>
      </w:r>
    </w:p>
    <w:p w14:paraId="1C9CF720"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En enero, el índice Global de la Actividad Económica creció 2% con relación al mismo mes de 2014. Esta cifra duplica la registrada en enero del año pasado y confirma un mayor dinamismo de nuestra economía.</w:t>
      </w:r>
    </w:p>
    <w:p w14:paraId="4CC14471"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Segundo. Sigue creciendo el empleo formal. De acuerdo con cifras del Instituto Mexicano del Seguro Social (IMSS), en febrero se registraron 133 mil 691 nuevos puestos de trabajo formales. Este incremento es 6.4% superior al de febrero de 2014.</w:t>
      </w:r>
    </w:p>
    <w:p w14:paraId="2D6B7746"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Congruente con ello, hoy el Instituto Nacional de Estadística y Geografía (INEGI) dio a conocer que ese mismo mes, febrero, la tasa de desocupación a nivel nacional fue de 4.3 por ciento.</w:t>
      </w:r>
    </w:p>
    <w:p w14:paraId="0ECB7234"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Ésta es la cifra de desempleo más baja para un mes de febrero desde el año 2008.</w:t>
      </w:r>
    </w:p>
    <w:p w14:paraId="2DE8EA17"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tercer indicador, es la estabilidad de precios. En la primera quincena de marzo, la tasa de inflación anual fue sólo de 2.97%, situándose incluso por debajo de las expectativas trazadas por el Banco de México. Ésta es la inflación más baja desde 1989, para un período similar.</w:t>
      </w:r>
    </w:p>
    <w:p w14:paraId="5B694CD8"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Además, en el caso del Índice Nacional de Precios al Productor, indicador relevante para esta Industria de la Transformación; su tasa de inflación anual se ubica en 1.93%, la cifra también más baja para un febrero, en 11 años de registro.</w:t>
      </w:r>
    </w:p>
    <w:p w14:paraId="71B5E829"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Sin duda, todas éstas son buenas noticias para la economía de las familias mexicanas. Son datos que indican que el país avanza en la dirección correcta y nos motivan a redoblar el esfuerzo.</w:t>
      </w:r>
    </w:p>
    <w:p w14:paraId="6A986A19"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Juntos, autoridades, empresarios e industriales, seguiremos impulsando el dinamismo de nuestro país.</w:t>
      </w:r>
    </w:p>
    <w:p w14:paraId="742B2F00"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Señoras y señores:</w:t>
      </w:r>
    </w:p>
    <w:p w14:paraId="37B6FEBF"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Como bien aquí se ha dicho, la industria genera empleos dignos y bien remunerados, que es objetivo prioritario de mi Administración.</w:t>
      </w:r>
    </w:p>
    <w:p w14:paraId="0257C706"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Esto es así, porque sus trabajadores cuentan con herramientas y procesos modernos para agregar valor y ser más productivos.</w:t>
      </w:r>
    </w:p>
    <w:p w14:paraId="7C7AD84A"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Hoy, nadie puede negar la importancia económica de esta actividad y, sobre todo, sus grandes beneficios para la sociedad.</w:t>
      </w:r>
    </w:p>
    <w:p w14:paraId="0FC8880C"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Menciono esto para reconocer el valioso papel de los industriales del país en favor de las grandes transformaciones de nuestra Nación.</w:t>
      </w:r>
    </w:p>
    <w:p w14:paraId="1B17F3D4"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Los procesos de cambio no son inmediatos. Las inercias y rezagos de décadas no se corrigen en meses. Los grandes cambios nunca son sencillos. Requieren visión, decisión y perseverancia.</w:t>
      </w:r>
    </w:p>
    <w:p w14:paraId="00F1B9BA"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Esto es lo que nos exige la transformación nacional.</w:t>
      </w:r>
    </w:p>
    <w:p w14:paraId="546EC067"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El nuevo proyecto de Nación que está marcha nos convoca a dar lo mejor de nosotros.</w:t>
      </w:r>
    </w:p>
    <w:p w14:paraId="37D81339"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Es momento de ver hacia adelante y pensar en las nuevas oportunidades y posibilidades.</w:t>
      </w:r>
    </w:p>
    <w:p w14:paraId="776654E9" w14:textId="77777777" w:rsid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Es momento de volver a sentirnos orgullosos de lo que hemos logrado, de lo que somos y de lo que podemos llegar a ser, si realmente sumamos capacidades y esfuerzos.</w:t>
      </w:r>
    </w:p>
    <w:p w14:paraId="2BD45B5E"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Es momento de unirnos y trabajar juntos por México.</w:t>
      </w:r>
    </w:p>
    <w:p w14:paraId="0CC1EE35"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Aquí expreso mi reiterado reconocimiento a la actitud solidaria, crítica, pero constructiva que ha tenido la Cámara Nacional de la Industria de la Transformación, y particularmente el Presidente de la misma.</w:t>
      </w:r>
    </w:p>
    <w:p w14:paraId="06DC1E8E"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t>Y hago votos porque bajo esta ruta, bajo estos principios que hemos observado, de amplio respeto, pero con visión constructiva, sigamos apoyando el desarrollo de la Nación, que entre todos estamos construyendo y estamos modelando.</w:t>
      </w:r>
    </w:p>
    <w:p w14:paraId="458CE303" w14:textId="77777777" w:rsidR="0005229F" w:rsidRPr="0005229F" w:rsidRDefault="0005229F" w:rsidP="0005229F">
      <w:pPr>
        <w:spacing w:after="360" w:line="360" w:lineRule="auto"/>
        <w:ind w:right="-159"/>
        <w:jc w:val="both"/>
        <w:rPr>
          <w:rFonts w:eastAsia="Calibri"/>
          <w:sz w:val="26"/>
          <w:szCs w:val="26"/>
          <w:lang w:eastAsia="en-US"/>
        </w:rPr>
      </w:pPr>
      <w:r w:rsidRPr="0005229F">
        <w:rPr>
          <w:rFonts w:eastAsia="Calibri"/>
          <w:sz w:val="26"/>
          <w:szCs w:val="26"/>
          <w:lang w:eastAsia="en-US"/>
        </w:rPr>
        <w:lastRenderedPageBreak/>
        <w:t>Muchísimas gracias.”</w:t>
      </w:r>
    </w:p>
    <w:p w14:paraId="48EDB11F" w14:textId="77777777" w:rsidR="0005229F" w:rsidRPr="0005229F" w:rsidRDefault="0005229F" w:rsidP="0005229F">
      <w:pPr>
        <w:ind w:right="-159"/>
        <w:jc w:val="both"/>
        <w:rPr>
          <w:rFonts w:eastAsia="Calibri"/>
          <w:b/>
          <w:sz w:val="20"/>
          <w:szCs w:val="20"/>
          <w:lang w:eastAsia="en-US"/>
        </w:rPr>
      </w:pPr>
      <w:r w:rsidRPr="0005229F">
        <w:rPr>
          <w:rFonts w:eastAsia="Calibri"/>
          <w:b/>
          <w:sz w:val="20"/>
          <w:szCs w:val="20"/>
          <w:lang w:eastAsia="en-US"/>
        </w:rPr>
        <w:t>Fuente de información:</w:t>
      </w:r>
    </w:p>
    <w:p w14:paraId="61B0D398" w14:textId="77777777" w:rsidR="0005229F" w:rsidRPr="00E630EC" w:rsidRDefault="0045651A" w:rsidP="00E630EC">
      <w:pPr>
        <w:spacing w:after="720"/>
        <w:ind w:right="-159"/>
        <w:jc w:val="both"/>
        <w:rPr>
          <w:rFonts w:eastAsia="Calibri"/>
          <w:color w:val="0000FF"/>
          <w:sz w:val="20"/>
          <w:szCs w:val="20"/>
          <w:lang w:eastAsia="en-US"/>
        </w:rPr>
      </w:pPr>
      <w:hyperlink r:id="rId127" w:history="1">
        <w:r w:rsidR="0005229F" w:rsidRPr="00E630EC">
          <w:rPr>
            <w:rFonts w:eastAsia="Calibri"/>
            <w:color w:val="0000FF"/>
            <w:sz w:val="20"/>
            <w:szCs w:val="20"/>
            <w:u w:val="single"/>
            <w:lang w:eastAsia="en-US"/>
          </w:rPr>
          <w:t>http://www.presidencia.gob.mx/articulos-prensa/palabras-del-presidente-de-los-estados-unidos-mexicanos-licenciado-enrique-pena-nieto-durante-la-convencion-nacional-de-industriales-2015/</w:t>
        </w:r>
      </w:hyperlink>
      <w:r w:rsidR="0005229F" w:rsidRPr="00E630EC">
        <w:rPr>
          <w:rFonts w:eastAsia="Calibri"/>
          <w:color w:val="0000FF"/>
          <w:sz w:val="20"/>
          <w:szCs w:val="20"/>
          <w:lang w:eastAsia="en-US"/>
        </w:rPr>
        <w:t xml:space="preserve"> </w:t>
      </w:r>
    </w:p>
    <w:p w14:paraId="1F31D0A6" w14:textId="77777777" w:rsidR="00C56246" w:rsidRPr="00C56246" w:rsidRDefault="00C56246" w:rsidP="00C56246">
      <w:pPr>
        <w:rPr>
          <w:rFonts w:eastAsia="Calibri"/>
          <w:b/>
          <w:sz w:val="26"/>
          <w:szCs w:val="26"/>
          <w:lang w:eastAsia="en-US"/>
        </w:rPr>
      </w:pPr>
      <w:r w:rsidRPr="00C56246">
        <w:rPr>
          <w:rFonts w:eastAsia="Calibri"/>
          <w:b/>
          <w:sz w:val="26"/>
          <w:szCs w:val="26"/>
          <w:lang w:eastAsia="en-US"/>
        </w:rPr>
        <w:t>Firman Convenio para Combatir</w:t>
      </w:r>
    </w:p>
    <w:p w14:paraId="551E36E3" w14:textId="77777777" w:rsidR="00C56246" w:rsidRPr="00C56246" w:rsidRDefault="00C56246" w:rsidP="00C56246">
      <w:pPr>
        <w:spacing w:after="360" w:line="360" w:lineRule="auto"/>
        <w:ind w:right="-159"/>
        <w:jc w:val="both"/>
        <w:rPr>
          <w:rFonts w:eastAsia="Calibri"/>
          <w:b/>
          <w:sz w:val="26"/>
          <w:szCs w:val="26"/>
          <w:lang w:eastAsia="en-US"/>
        </w:rPr>
      </w:pPr>
      <w:r w:rsidRPr="00C56246">
        <w:rPr>
          <w:rFonts w:eastAsia="Calibri"/>
          <w:b/>
          <w:sz w:val="26"/>
          <w:szCs w:val="26"/>
          <w:lang w:eastAsia="en-US"/>
        </w:rPr>
        <w:t>Corrupción (CCE)</w:t>
      </w:r>
    </w:p>
    <w:p w14:paraId="032C805B"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El 27 de marzo de 2015, la Secretaría de la Función Pública (SFP) y el Consejo Coordinador Empresarial (CCE) suscribieron un convenio de colaboración en materia de transparencia y combate a la corrupción, mediante el cual establecerán acciones conjuntas para erradicar dicho fenómeno.</w:t>
      </w:r>
    </w:p>
    <w:p w14:paraId="5D44C706"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El Titular de la SFP indicó que con la suscripción de este documento, se concreta una de las 10 acciones ejecutivas anunciadas por el Presidente de la República, de las cuales al menos cinco estarán en marcha entre los meses de abril y mayo próximo.</w:t>
      </w:r>
    </w:p>
    <w:p w14:paraId="32941237"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En el Aula Magna de la dependencia, el titular de la Función Pública recordó que esta acción ejecutiva consiste en ampliar los vínculos de colaboración con el sector empresarial y la sociedad civil para efectos de transparencia y prevención de actos de corrupción.</w:t>
      </w:r>
    </w:p>
    <w:p w14:paraId="758B9B13"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Agregó que el trabajo que se realizará a partir de la firma de este convenio con el Presidente del CCE se sustenta en recibir diagnósticos de los empresarios y aprovechar sus estudios, encuestas y estadísticas para detectar ámbitos de corrupción de carácter sectorial y regional.</w:t>
      </w:r>
    </w:p>
    <w:p w14:paraId="07C9129B"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Asimismo, dijo que se facilitarán mecanismos de denuncia, vinculados con presuntos actos de corrupción dentro del Gobierno Federal, de lo cual destacó la importancia de que se señalen y detecten las malas prácticas.</w:t>
      </w:r>
    </w:p>
    <w:p w14:paraId="47DB6A99"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lastRenderedPageBreak/>
        <w:t>Igualmente, anotó que se invitará a los empresarios a dar seguimiento a la gestión pública, lo cual implica involucrarlos en el seguimiento de los procesos de obra pública y de compromisos que el gobierno haya tenido en distintas materias.</w:t>
      </w:r>
    </w:p>
    <w:p w14:paraId="47954274"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Al mismo tiempo, mencionó que se abrirá una reflexión común sobre tres temas que caracterizan la regulación en materia de corrupción, que son la integridad, la ética pública y la prevención de conflictos de interés, para poder entender de qué forma los vínculos familiares, sociales o empresariales pueden afectar alguna decisión de gobierno.</w:t>
      </w:r>
    </w:p>
    <w:p w14:paraId="442331EF"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Explicó que se trabajará en dos estrategias, de las cuales la primera será mediante grupos de trabajo que atiendan cada uno de los temas, y la segunda será la ampliación de convenios y acuerdos con cámaras empresariales y confederaciones asociadas al Consejo Coordinador Empresarial.</w:t>
      </w:r>
    </w:p>
    <w:p w14:paraId="153F76D8"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Por su parte, el Presidente del CCE dejó en claro que el combate a la corrupción es impostergable y representa “la prueba de nuestra voluntad para realmente transformarnos como nación”.</w:t>
      </w:r>
    </w:p>
    <w:p w14:paraId="3EBEE7DA"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Hizo notar la necesidad de un Estado, una sociedad y un sector empresarial “cerrando filas para poner fin a este mal, comprometidos con el Estado de Derecho”.</w:t>
      </w:r>
    </w:p>
    <w:p w14:paraId="3CD1768E" w14:textId="77777777" w:rsidR="00C56246" w:rsidRPr="00C56246" w:rsidRDefault="00C56246" w:rsidP="00C56246">
      <w:pPr>
        <w:spacing w:after="360" w:line="360" w:lineRule="auto"/>
        <w:ind w:right="-159"/>
        <w:jc w:val="both"/>
        <w:rPr>
          <w:rFonts w:eastAsia="Calibri"/>
          <w:sz w:val="26"/>
          <w:szCs w:val="26"/>
          <w:lang w:eastAsia="en-US"/>
        </w:rPr>
      </w:pPr>
      <w:r w:rsidRPr="00C56246">
        <w:rPr>
          <w:rFonts w:eastAsia="Calibri"/>
          <w:sz w:val="26"/>
          <w:szCs w:val="26"/>
          <w:lang w:eastAsia="en-US"/>
        </w:rPr>
        <w:t>Expresó su optimismo en que pronto se formulen propuestas concretas de normativas, mejores prácticas para prevenir la corrupción, principios de ética, integridad pública y prevención de conflictos de intereses.</w:t>
      </w:r>
    </w:p>
    <w:p w14:paraId="4ABDEFB1" w14:textId="77777777" w:rsidR="00C56246" w:rsidRPr="00C56246" w:rsidRDefault="00C56246" w:rsidP="00C56246">
      <w:pPr>
        <w:ind w:right="-159"/>
        <w:jc w:val="both"/>
        <w:rPr>
          <w:rFonts w:eastAsia="Calibri"/>
          <w:sz w:val="20"/>
          <w:szCs w:val="20"/>
          <w:lang w:eastAsia="en-US"/>
        </w:rPr>
      </w:pPr>
      <w:r w:rsidRPr="00C56246">
        <w:rPr>
          <w:rFonts w:eastAsia="Calibri"/>
          <w:b/>
          <w:sz w:val="20"/>
          <w:szCs w:val="20"/>
          <w:lang w:eastAsia="en-US"/>
        </w:rPr>
        <w:t>Fuente de información</w:t>
      </w:r>
      <w:r w:rsidRPr="00C56246">
        <w:rPr>
          <w:rFonts w:eastAsia="Calibri"/>
          <w:sz w:val="20"/>
          <w:szCs w:val="20"/>
          <w:lang w:eastAsia="en-US"/>
        </w:rPr>
        <w:t>:</w:t>
      </w:r>
    </w:p>
    <w:p w14:paraId="73A1256D" w14:textId="77777777" w:rsidR="00C56246" w:rsidRPr="00E630EC" w:rsidRDefault="0045651A" w:rsidP="00E630EC">
      <w:pPr>
        <w:spacing w:after="720"/>
        <w:ind w:right="-159"/>
        <w:jc w:val="both"/>
        <w:rPr>
          <w:rFonts w:eastAsia="Calibri"/>
          <w:color w:val="0000FF"/>
          <w:sz w:val="20"/>
          <w:szCs w:val="20"/>
          <w:lang w:eastAsia="en-US"/>
        </w:rPr>
      </w:pPr>
      <w:hyperlink r:id="rId128" w:history="1">
        <w:r w:rsidR="00C56246" w:rsidRPr="00E630EC">
          <w:rPr>
            <w:rFonts w:eastAsia="Calibri"/>
            <w:color w:val="0000FF"/>
            <w:sz w:val="20"/>
            <w:szCs w:val="20"/>
            <w:u w:val="single"/>
            <w:lang w:eastAsia="en-US"/>
          </w:rPr>
          <w:t>http://www.cce.org.mx/?p=11182</w:t>
        </w:r>
      </w:hyperlink>
    </w:p>
    <w:p w14:paraId="0825B56C" w14:textId="77777777" w:rsidR="00C56246" w:rsidRPr="00C56246" w:rsidRDefault="00C56246" w:rsidP="00C56246">
      <w:pPr>
        <w:spacing w:after="360" w:line="360" w:lineRule="auto"/>
        <w:ind w:right="-159"/>
        <w:jc w:val="both"/>
        <w:rPr>
          <w:rFonts w:eastAsia="Calibri"/>
          <w:sz w:val="26"/>
          <w:szCs w:val="26"/>
          <w:lang w:eastAsia="en-US"/>
        </w:rPr>
      </w:pPr>
    </w:p>
    <w:p w14:paraId="2F116D68" w14:textId="77777777" w:rsidR="00E82DE8" w:rsidRPr="00E82DE8" w:rsidRDefault="00E82DE8" w:rsidP="00E82DE8">
      <w:pPr>
        <w:spacing w:after="360" w:line="360" w:lineRule="auto"/>
        <w:ind w:right="-159"/>
        <w:jc w:val="both"/>
        <w:rPr>
          <w:rFonts w:eastAsia="Calibri"/>
          <w:b/>
          <w:sz w:val="26"/>
          <w:szCs w:val="26"/>
          <w:lang w:eastAsia="en-US"/>
        </w:rPr>
      </w:pPr>
      <w:r w:rsidRPr="00E82DE8">
        <w:rPr>
          <w:rFonts w:eastAsia="Calibri"/>
          <w:b/>
          <w:sz w:val="26"/>
          <w:szCs w:val="26"/>
          <w:lang w:eastAsia="en-US"/>
        </w:rPr>
        <w:lastRenderedPageBreak/>
        <w:t>Agenda Pública Crítica (CCE)</w:t>
      </w:r>
    </w:p>
    <w:p w14:paraId="4A9EF36A" w14:textId="13EE8B9F"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El 6 de abril de 2015, el Consejo Coordinador Empresarial (CCE) publicó el mensaje que ofreció el Presidente de dicho organismo empresarial. A continuación</w:t>
      </w:r>
      <w:r w:rsidR="0063019C">
        <w:rPr>
          <w:rFonts w:eastAsia="Calibri"/>
          <w:sz w:val="26"/>
          <w:szCs w:val="26"/>
          <w:lang w:eastAsia="en-US"/>
        </w:rPr>
        <w:t xml:space="preserve"> se presentan</w:t>
      </w:r>
      <w:r w:rsidRPr="00E82DE8">
        <w:rPr>
          <w:rFonts w:eastAsia="Calibri"/>
          <w:sz w:val="26"/>
          <w:szCs w:val="26"/>
          <w:lang w:eastAsia="en-US"/>
        </w:rPr>
        <w:t xml:space="preserve"> los detalles.</w:t>
      </w:r>
    </w:p>
    <w:p w14:paraId="4EED1208"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El Presidente del Consejo Coordinador Empresarial:</w:t>
      </w:r>
    </w:p>
    <w:p w14:paraId="77D9A5A7"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“Tras el período vacacional de Semana Santa queda una abultada agenda pública en México, en la cual hay que resolver múltiples asuntos críticos para el país, al tiempo que ayer mismo arrancaron oficialmente las campañas electorales para renovar la Cámara de diputados, varias gubernaturas, congresos locales y ayuntamientos.</w:t>
      </w:r>
    </w:p>
    <w:p w14:paraId="73B4F552"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Tan sólo en el Senado, a menos de un mes de que concluya el período ordinario de sesiones, se pretende procesar cerca de 18 reformas, para lo cual, en muchos casos, aún no existen los consensos o acuerdos necesarios a fin de que prospere su aprobación.</w:t>
      </w:r>
    </w:p>
    <w:p w14:paraId="00343C29"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En la agenda hay pendientes urgentes y de alta prioridad, como lo es la legislación para crear un sistema nacional anticorrupción. No es aceptable otra postergación en este expediente, indispensable en el camino para restituir el maltrecho clima de confianza que existe en nuestro país en relación con la política y el manejo de las instituciones.</w:t>
      </w:r>
    </w:p>
    <w:p w14:paraId="6EF49DA0"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Esperamos ver muy pronto signos de que esta Legislatura, que ha logrado cambios históricos para la nación, también cumplirá con esta asignatura, punta de lanza para emprender un combate a fondo contra la corrupción y la impunidad.</w:t>
      </w:r>
    </w:p>
    <w:p w14:paraId="394FEDD3"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A pesar de los grandes cambios que se han incorporado a las leyes mexicanas en los últimos tres años, la agenda reformadora sigue inconclusa, más aún en tanto no se concrete esta reforma para empezar a limpiar a fondo la gestión pública en todos los niveles de gobierno.</w:t>
      </w:r>
    </w:p>
    <w:p w14:paraId="4A6392B1"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lastRenderedPageBreak/>
        <w:t>De la misma forma, se requiere de decisiones coherentes en otros pendientes claves para el país. Algunos claramente le corresponden a la Legislatura que está concluyendo su tiempo constitucional. La disputa electoral no debe frenar el trabajo legislativo; no debe haber pretextos para no cumplir con los compromisos y las obligaciones constitucionales de por medio.</w:t>
      </w:r>
    </w:p>
    <w:p w14:paraId="68FF5E60"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 xml:space="preserve">En abril, el sector empresarial estará impulsando fuertemente diversas reformas que considera esenciales para México y para las empresas: Además del sistema nacional anticorrupción, están el paquete de seguridad y justicia y la desvinculación de </w:t>
      </w:r>
      <w:r w:rsidRPr="00E82DE8">
        <w:rPr>
          <w:rFonts w:eastAsia="Calibri"/>
          <w:b/>
          <w:sz w:val="26"/>
          <w:szCs w:val="26"/>
          <w:lang w:eastAsia="en-US"/>
        </w:rPr>
        <w:t>salarios mínimos</w:t>
      </w:r>
      <w:r w:rsidRPr="00E82DE8">
        <w:rPr>
          <w:rFonts w:eastAsia="Calibri"/>
          <w:sz w:val="26"/>
          <w:szCs w:val="26"/>
          <w:lang w:eastAsia="en-US"/>
        </w:rPr>
        <w:t xml:space="preserve"> como unidad de cuenta.</w:t>
      </w:r>
    </w:p>
    <w:p w14:paraId="27D46D0E"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Asimismo, la legislación de obras públicas, cambios en materia de sociedades mercantiles, las legislaciones ambientales pendientes y posibles ajustes al marco fiscal, que puedan ser un apoyo emergente para vigorizar el consumo, la inversión y la creación de empleos, lo cual es indispensable para que no se prolongue el débil dinamismo de los últimos años.</w:t>
      </w:r>
    </w:p>
    <w:p w14:paraId="1B68864F"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Desde luego, gran parte de la responsabilidad sobre las decisiones que hay que tomar en materia de impuestos y presupuesto público corresponderán a la próxima Legislatura, que iniciará en la segunda mitad del año.</w:t>
      </w:r>
    </w:p>
    <w:p w14:paraId="13F53E79"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A quienes desdeñan las elecciones federales intermedias o consideran que el alejamiento de los procesos de la democracia es una actitud legítima ante los retos del país, hay que recordar que está en juego la conformación de la Cámara que tendrá la responsabilidad de aprobar el presupuesto federal para 2016, en un contexto económico sumamente complejo, para el cual ya se han anticipado recortes y ajustes en una tónica de austeridad.</w:t>
      </w:r>
    </w:p>
    <w:p w14:paraId="426A5D28"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 xml:space="preserve">Además, se ha anunciado que los próximos presupuestos se construirán como un ejercicio de base cero, que implica romper con inercias, al poner a revisión todos los </w:t>
      </w:r>
      <w:r w:rsidRPr="00E82DE8">
        <w:rPr>
          <w:rFonts w:eastAsia="Calibri"/>
          <w:sz w:val="26"/>
          <w:szCs w:val="26"/>
          <w:lang w:eastAsia="en-US"/>
        </w:rPr>
        <w:lastRenderedPageBreak/>
        <w:t>programas y partidas de gasto, para evaluar desde el cumplimiento de objetivos y el costo-beneficio caso por caso.</w:t>
      </w:r>
    </w:p>
    <w:p w14:paraId="0584A007" w14:textId="5C65F749"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El sector empresarial hace un llamado para que esta decisión de llevar a cabo un proceso presupuesta</w:t>
      </w:r>
      <w:r w:rsidR="0063019C">
        <w:rPr>
          <w:rFonts w:eastAsia="Calibri"/>
          <w:sz w:val="26"/>
          <w:szCs w:val="26"/>
          <w:lang w:eastAsia="en-US"/>
        </w:rPr>
        <w:t>rio</w:t>
      </w:r>
      <w:r w:rsidRPr="00E82DE8">
        <w:rPr>
          <w:rFonts w:eastAsia="Calibri"/>
          <w:sz w:val="26"/>
          <w:szCs w:val="26"/>
          <w:lang w:eastAsia="en-US"/>
        </w:rPr>
        <w:t xml:space="preserve"> de base cero se implemente a fondo en los hechos. Será un paso trascendente, el cual vemos como un pilar fundamental de la reforma hacendaria integral que tenemos que construir en México. Esta será responsabilidad estratégica de los diputados que los mexicanos debemos elegir el 7 de junio.</w:t>
      </w:r>
    </w:p>
    <w:p w14:paraId="4BFBCD83"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Nunca antes en México se han transmitido tantos spots electorales en radio y televisión en los tiempos del Estado: en los dos meses que se extenderán las campañas que acaban de iniciar, serán 11.3 millones correspondientes a los partidos políticos y casi dos millones de las autoridades para promover el voto. Como ciudadanos, no podemos resignarnos a ser espectadores pasivos de propaganda hueca, orientada sólo a la imagen o a acusaciones cruzadas.</w:t>
      </w:r>
    </w:p>
    <w:p w14:paraId="1607F16F"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Necesitamos posturas claras y propuestas concretas en asuntos tan importantes para todos como sin duda lo es el fiscal. En este sentido, es necesario que los aspirantes a diputados expongan su visión sobre la arquitectura hacendaria que México debe conformar.</w:t>
      </w:r>
    </w:p>
    <w:p w14:paraId="49C5F6CE" w14:textId="1A696676"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 xml:space="preserve">Hoy más que nunca, el país necesita de políticos responsables y con visión. ¿Cómo vamos a dar sustentabilidad en el mediano y largo plazos al sistema de seguridad social y de salud, y más aún, lograr que sea universal? </w:t>
      </w:r>
      <w:r w:rsidR="0063019C">
        <w:rPr>
          <w:rFonts w:eastAsia="Calibri"/>
          <w:sz w:val="26"/>
          <w:szCs w:val="26"/>
          <w:lang w:eastAsia="en-US"/>
        </w:rPr>
        <w:t>É</w:t>
      </w:r>
      <w:r w:rsidRPr="00E82DE8">
        <w:rPr>
          <w:rFonts w:eastAsia="Calibri"/>
          <w:sz w:val="26"/>
          <w:szCs w:val="26"/>
          <w:lang w:eastAsia="en-US"/>
        </w:rPr>
        <w:t>ste es el tipo de preguntas que deben responder.</w:t>
      </w:r>
    </w:p>
    <w:p w14:paraId="4A9A219D"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Que tracen una ruta viable para que el Estado dependa menos de los ingresos petroleros, para dejar el margen de acción que requiere la reforma energética; con fórmulas congruentes para fomentar el consumo y la inversión y la justicia fiscal, sin arriesgar la estabilidad macroeconómica.</w:t>
      </w:r>
    </w:p>
    <w:p w14:paraId="160869A4" w14:textId="588C8C4A"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lastRenderedPageBreak/>
        <w:t xml:space="preserve">La sustentabilidad de las finanzas públicas en el largo plazo depende del vigor de la economía de las familias y las empresas. Los candidatos deben escuchar las necesidades </w:t>
      </w:r>
      <w:r w:rsidR="0063019C">
        <w:rPr>
          <w:rFonts w:eastAsia="Calibri"/>
          <w:sz w:val="26"/>
          <w:szCs w:val="26"/>
          <w:lang w:eastAsia="en-US"/>
        </w:rPr>
        <w:t xml:space="preserve">de </w:t>
      </w:r>
      <w:r w:rsidRPr="00E82DE8">
        <w:rPr>
          <w:rFonts w:eastAsia="Calibri"/>
          <w:sz w:val="26"/>
          <w:szCs w:val="26"/>
          <w:lang w:eastAsia="en-US"/>
        </w:rPr>
        <w:t>la sociedad y tomar en cuenta las propuestas para encontrar el equilibrio adecuado para crecer más.</w:t>
      </w:r>
    </w:p>
    <w:p w14:paraId="5BC977BE"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De la misma forma, como ciudadanos debemos pedir posturas claras a candidatos a Gobernadores, Presidentes Municipales y Diputados Locales sobre temas torales como la propia solvencia financiera de sus gobiernos. Se requieren compromisos específicos para mejorar la calidad del gasto público, desarrollar fuentes alternativas de ingresos y ser más activos en la promoción y estímulo de la inversión nacional y extranjera.</w:t>
      </w:r>
    </w:p>
    <w:p w14:paraId="5B039295"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Necesitamos Gobernadores y Alcaldes que se comprometan a fondo con la transparencia, la rendición de cuentas y valores básicos de la democracia, especialmente la división de poderes y el Estado de derecho: que asuman plenamente su responsabilidad sobre los deberes que les marcan la Constitución, comenzando por brindar seguridad física y patrimonial a los ciudadanos y combatir con eficiencia los delitos del fuero común, que están en su jurisdicción, como el robo, el secuestro y la extorsión.</w:t>
      </w:r>
    </w:p>
    <w:p w14:paraId="331B40D0" w14:textId="77777777"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México reclama candidatos y gobernantes responsables, tanto como de ciudadanos que participen, exijan y emitan su voto informado.</w:t>
      </w:r>
    </w:p>
    <w:p w14:paraId="37922782" w14:textId="414A032F" w:rsidR="00E82DE8" w:rsidRPr="00E82DE8" w:rsidRDefault="00E82DE8" w:rsidP="00E82DE8">
      <w:pPr>
        <w:spacing w:after="360" w:line="360" w:lineRule="auto"/>
        <w:ind w:right="-159"/>
        <w:jc w:val="both"/>
        <w:rPr>
          <w:rFonts w:eastAsia="Calibri"/>
          <w:sz w:val="26"/>
          <w:szCs w:val="26"/>
          <w:lang w:eastAsia="en-US"/>
        </w:rPr>
      </w:pPr>
      <w:r w:rsidRPr="00E82DE8">
        <w:rPr>
          <w:rFonts w:eastAsia="Calibri"/>
          <w:sz w:val="26"/>
          <w:szCs w:val="26"/>
          <w:lang w:eastAsia="en-US"/>
        </w:rPr>
        <w:t xml:space="preserve">Seamos ciudadanos en toda la extensión de la palabra: actores de la democracia; no espectadores pasivos. </w:t>
      </w:r>
      <w:r w:rsidR="0063019C">
        <w:rPr>
          <w:rFonts w:eastAsia="Calibri"/>
          <w:sz w:val="26"/>
          <w:szCs w:val="26"/>
          <w:lang w:eastAsia="en-US"/>
        </w:rPr>
        <w:t>É</w:t>
      </w:r>
      <w:r w:rsidRPr="00E82DE8">
        <w:rPr>
          <w:rFonts w:eastAsia="Calibri"/>
          <w:sz w:val="26"/>
          <w:szCs w:val="26"/>
          <w:lang w:eastAsia="en-US"/>
        </w:rPr>
        <w:t>sta es la vía de la democracia, para decidir y resolver los problemas colectivos. No permitamos que las elecciones sean un espectáculo de spots y denuestos. El sector empresarial cumplirá con su parte, como agente del desarrollo social.”</w:t>
      </w:r>
    </w:p>
    <w:p w14:paraId="7D0265B0" w14:textId="77777777" w:rsidR="00E82DE8" w:rsidRPr="00E82DE8" w:rsidRDefault="00E82DE8" w:rsidP="00E82DE8">
      <w:pPr>
        <w:ind w:right="-159"/>
        <w:jc w:val="both"/>
        <w:rPr>
          <w:rFonts w:eastAsia="Calibri"/>
          <w:sz w:val="20"/>
          <w:szCs w:val="20"/>
          <w:lang w:eastAsia="en-US"/>
        </w:rPr>
      </w:pPr>
      <w:r w:rsidRPr="00E82DE8">
        <w:rPr>
          <w:rFonts w:eastAsia="Calibri"/>
          <w:b/>
          <w:sz w:val="20"/>
          <w:szCs w:val="20"/>
          <w:lang w:eastAsia="en-US"/>
        </w:rPr>
        <w:t>Fuente de información</w:t>
      </w:r>
      <w:r w:rsidRPr="00E82DE8">
        <w:rPr>
          <w:rFonts w:eastAsia="Calibri"/>
          <w:sz w:val="20"/>
          <w:szCs w:val="20"/>
          <w:lang w:eastAsia="en-US"/>
        </w:rPr>
        <w:t>:</w:t>
      </w:r>
    </w:p>
    <w:p w14:paraId="60040B5E" w14:textId="77777777" w:rsidR="00E82DE8" w:rsidRPr="00E630EC" w:rsidRDefault="0045651A" w:rsidP="00E82DE8">
      <w:pPr>
        <w:ind w:right="-159"/>
        <w:jc w:val="both"/>
        <w:rPr>
          <w:rFonts w:eastAsia="Calibri"/>
          <w:color w:val="0000FF"/>
          <w:sz w:val="20"/>
          <w:szCs w:val="20"/>
          <w:lang w:eastAsia="en-US"/>
        </w:rPr>
      </w:pPr>
      <w:hyperlink r:id="rId129" w:history="1">
        <w:r w:rsidR="00E82DE8" w:rsidRPr="00E630EC">
          <w:rPr>
            <w:rFonts w:eastAsia="Calibri"/>
            <w:color w:val="0000FF"/>
            <w:sz w:val="20"/>
            <w:szCs w:val="20"/>
            <w:u w:val="single"/>
            <w:lang w:eastAsia="en-US"/>
          </w:rPr>
          <w:t>http://www.cce.org.mx/?p=11195</w:t>
        </w:r>
      </w:hyperlink>
    </w:p>
    <w:p w14:paraId="16350DDC" w14:textId="77777777" w:rsidR="00E82DE8" w:rsidRPr="00E82DE8" w:rsidRDefault="00E82DE8" w:rsidP="00E82DE8">
      <w:pPr>
        <w:spacing w:after="360" w:line="360" w:lineRule="auto"/>
        <w:ind w:right="-159"/>
        <w:jc w:val="both"/>
        <w:rPr>
          <w:rFonts w:eastAsia="Calibri"/>
          <w:sz w:val="26"/>
          <w:szCs w:val="26"/>
          <w:lang w:eastAsia="en-US"/>
        </w:rPr>
      </w:pPr>
    </w:p>
    <w:p w14:paraId="403E7945" w14:textId="77777777" w:rsidR="008C5D2D" w:rsidRPr="008C5D2D" w:rsidRDefault="008C5D2D" w:rsidP="008C5D2D">
      <w:pPr>
        <w:rPr>
          <w:rFonts w:eastAsia="Calibri"/>
          <w:b/>
          <w:sz w:val="26"/>
          <w:szCs w:val="26"/>
          <w:lang w:eastAsia="en-US"/>
        </w:rPr>
      </w:pPr>
      <w:r w:rsidRPr="008C5D2D">
        <w:rPr>
          <w:rFonts w:eastAsia="Calibri"/>
          <w:b/>
          <w:sz w:val="26"/>
          <w:szCs w:val="26"/>
          <w:lang w:eastAsia="en-US"/>
        </w:rPr>
        <w:lastRenderedPageBreak/>
        <w:t>Compromisos   para    preservar    el</w:t>
      </w:r>
    </w:p>
    <w:p w14:paraId="37BF17BF" w14:textId="77777777" w:rsidR="008C5D2D" w:rsidRPr="008C5D2D" w:rsidRDefault="008C5D2D" w:rsidP="008C5D2D">
      <w:pPr>
        <w:spacing w:after="360" w:line="360" w:lineRule="auto"/>
        <w:ind w:right="-159"/>
        <w:jc w:val="both"/>
        <w:rPr>
          <w:rFonts w:eastAsia="Calibri"/>
          <w:b/>
          <w:sz w:val="26"/>
          <w:szCs w:val="26"/>
          <w:lang w:eastAsia="en-US"/>
        </w:rPr>
      </w:pPr>
      <w:r w:rsidRPr="008C5D2D">
        <w:rPr>
          <w:rFonts w:eastAsia="Calibri"/>
          <w:b/>
          <w:sz w:val="26"/>
          <w:szCs w:val="26"/>
          <w:lang w:eastAsia="en-US"/>
        </w:rPr>
        <w:t>empleo y la inversión (COPARMEX)</w:t>
      </w:r>
    </w:p>
    <w:p w14:paraId="38FEBF65" w14:textId="2FA684A1"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 xml:space="preserve">El 8 de abril de 2015, la Confederación Patronal de la República Mexicana (COPARMEX) publicó el mensaje que ofreció el Presidente de dicho organismo empresarial. A continuación </w:t>
      </w:r>
      <w:r w:rsidR="009C4A01">
        <w:rPr>
          <w:rFonts w:eastAsia="Calibri"/>
          <w:sz w:val="26"/>
          <w:szCs w:val="26"/>
          <w:lang w:eastAsia="en-US"/>
        </w:rPr>
        <w:t>se presenta su intevención</w:t>
      </w:r>
      <w:r w:rsidRPr="008C5D2D">
        <w:rPr>
          <w:rFonts w:eastAsia="Calibri"/>
          <w:sz w:val="26"/>
          <w:szCs w:val="26"/>
          <w:lang w:eastAsia="en-US"/>
        </w:rPr>
        <w:t>.</w:t>
      </w:r>
    </w:p>
    <w:p w14:paraId="20016AB2"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El Presidente de la Confederación Patronal de la República Mexicana:</w:t>
      </w:r>
    </w:p>
    <w:p w14:paraId="716702CE" w14:textId="5566AFC9"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“Amigos de COPARMEX,</w:t>
      </w:r>
    </w:p>
    <w:p w14:paraId="17E3985E"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Es un gusto volver a saludarlos. Espero que todos nos reincorporemos a nuestras labores con energía renovada y mucho ánimo, después de los días de reflexión y descanso por la Semana Santa.</w:t>
      </w:r>
    </w:p>
    <w:p w14:paraId="1159079F"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Conforme avanza este 2015, se observan más señales de que la economía de México no ha podido dejar atrás su débil desempeño. Así lo corroboró el Banco de México, al informar que las exportaciones registraron un menor dinamismo al inicio del año, como resultado de una moderación en el ritmo de crecimiento de la actividad manufacturera en Estados Unidos de Norteamérica.</w:t>
      </w:r>
    </w:p>
    <w:p w14:paraId="1F861E74"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La economía se ha visto afectada por limitaciones estructurales internas, como una reducción en la plataforma de producción de petróleo, que se refleja en un menor crecimiento de la producción industrial en el país, así como por la caída de los ingresos petroleros, los que se estima pasarán de contribuir con el 6.6% del producto interno bruto este año, a 4.9% del producto en 2016.</w:t>
      </w:r>
    </w:p>
    <w:p w14:paraId="774B0AC0"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Estas debilidades se suman a la incertidumbre exterior, principalmente por la modificación de la política monetaria de la Reserva Federal de Estados Unidos de Norteamérica, lo que podría generar mayor inestabilidad de los mercados financieros internacionales.</w:t>
      </w:r>
    </w:p>
    <w:p w14:paraId="14E853F3"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lastRenderedPageBreak/>
        <w:t>Eso significa que podrían darse aumentos en las tasas de interés en los mercados globales y en México.</w:t>
      </w:r>
    </w:p>
    <w:p w14:paraId="2FE94FD8" w14:textId="0B893B2E"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El Gobierno Federal ya tomó algunas medidas, como el recorte al gasto para este año. En los Precriterios de Política Económica de 2016</w:t>
      </w:r>
      <w:r w:rsidRPr="008C5D2D">
        <w:rPr>
          <w:rFonts w:eastAsia="Calibri"/>
          <w:sz w:val="26"/>
          <w:szCs w:val="26"/>
          <w:vertAlign w:val="superscript"/>
          <w:lang w:eastAsia="en-US"/>
        </w:rPr>
        <w:footnoteReference w:id="11"/>
      </w:r>
      <w:r w:rsidRPr="008C5D2D">
        <w:rPr>
          <w:rFonts w:eastAsia="Calibri"/>
          <w:sz w:val="26"/>
          <w:szCs w:val="26"/>
          <w:lang w:eastAsia="en-US"/>
        </w:rPr>
        <w:t xml:space="preserve"> se contempla un nuevo ajuste presupuesta</w:t>
      </w:r>
      <w:r w:rsidR="0063019C">
        <w:rPr>
          <w:rFonts w:eastAsia="Calibri"/>
          <w:sz w:val="26"/>
          <w:szCs w:val="26"/>
          <w:lang w:eastAsia="en-US"/>
        </w:rPr>
        <w:t>rio</w:t>
      </w:r>
      <w:r w:rsidRPr="008C5D2D">
        <w:rPr>
          <w:rFonts w:eastAsia="Calibri"/>
          <w:sz w:val="26"/>
          <w:szCs w:val="26"/>
          <w:lang w:eastAsia="en-US"/>
        </w:rPr>
        <w:t xml:space="preserve"> por 135 mil millones de pesos, bajo un enfoque de Presupuesto Base Cero, con una profunda reingeniería al gasto y con la perspectiva de un déficit decreciente.</w:t>
      </w:r>
    </w:p>
    <w:p w14:paraId="24A8DEA6"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Sin embargo, hay que decirlo: para sacar adelante al país se necesita del esfuerzo de todos, haciendo cada uno lo que nos corresponde. En nuestras Juntas Nacionales de marzo tuvimos el gusto de recibir en COPARMEX a los líderes de las tres principales fuerzas políticas del país. Ahí donde los líderes del PAN y el PRD, ante empresarios de todo el país, mostraron interés y coincidencia en revisar los efectos en el consumo y la inversión derivados de los cambios fiscales que entraron en vigor el año pasado.</w:t>
      </w:r>
    </w:p>
    <w:p w14:paraId="7D723D39"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Celebramos que el PAN y el PRD tengan coincidencias para identificar los impactos de la reforma fiscal y, sobre todo, para hacer adecuaciones de manera conjunta. Los dirigentes de ambos partidos hicieron un compromiso público para que, sin afectar las finanzas públicas y la estabilidad macroeconómica, puedan identificar qué se requiere y qué se puede mejorar.</w:t>
      </w:r>
    </w:p>
    <w:p w14:paraId="22A3B962"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Desde nuestra perspectiva, los cambios fiscales han tenido un impacto que disminuyó la actividad económica y han generado un efecto negativo sobre el ingreso disponible en los hogares; han traído aumento en los costos laborales y redujeron los incentivos de las empresas para invertir en el corto plazo.</w:t>
      </w:r>
    </w:p>
    <w:p w14:paraId="7E0B99DF"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lastRenderedPageBreak/>
        <w:t>Se necesitan movimientos muy certeros, bien focalizados, enfocados a promover y atraer más inversión y sostener el empleo, para ayudar a que las personas y las familias puedan consumir más y para fomentar la inversión y con ello el empleo.</w:t>
      </w:r>
    </w:p>
    <w:p w14:paraId="1E1B05D6"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El reto es aumentar la base de contribuyentes, con incentivos, para que pueda elevarse el empleo formal, para generar así un círculo virtuoso que nos permita alcanzar un crecimiento sostenido, para que más mexicanos paguen impuestos, para que aumente la recaudación y podamos disminuir nuestra dependencia de los ingresos petroleros.</w:t>
      </w:r>
    </w:p>
    <w:p w14:paraId="0DBBA61B" w14:textId="3FC57A74"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 xml:space="preserve">En COPARMEX estamos convencidos de que </w:t>
      </w:r>
      <w:r w:rsidR="0063019C">
        <w:rPr>
          <w:rFonts w:eastAsia="Calibri"/>
          <w:sz w:val="26"/>
          <w:szCs w:val="26"/>
          <w:lang w:eastAsia="en-US"/>
        </w:rPr>
        <w:t>é</w:t>
      </w:r>
      <w:r w:rsidRPr="008C5D2D">
        <w:rPr>
          <w:rFonts w:eastAsia="Calibri"/>
          <w:sz w:val="26"/>
          <w:szCs w:val="26"/>
          <w:lang w:eastAsia="en-US"/>
        </w:rPr>
        <w:t>sta es la hora de que todos hagamos un compromiso para preservar los empleos y aumentar las inversiones. Para ello es indispensable fortalecer a las empresas, que son las que en última instancia podrán invertir y generar empleos para robustecer la economía, para enfrentar los riesgos externos.</w:t>
      </w:r>
    </w:p>
    <w:p w14:paraId="72E01899"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Hagamos un compromiso para construir todos juntos al México que queremos, desde cada uno de nuestros Centros Empresariales, desde nuestras empresas, desde nuestras familias, aportemos todos para responder en especial a los mexicanos que viven en pobreza extrema. Ese es nuestro mayor reto.</w:t>
      </w:r>
    </w:p>
    <w:p w14:paraId="1A1C87AA" w14:textId="77777777" w:rsidR="008C5D2D" w:rsidRPr="008C5D2D" w:rsidRDefault="008C5D2D" w:rsidP="008C5D2D">
      <w:pPr>
        <w:spacing w:after="360" w:line="360" w:lineRule="auto"/>
        <w:ind w:right="-159"/>
        <w:jc w:val="both"/>
        <w:rPr>
          <w:rFonts w:eastAsia="Calibri"/>
          <w:sz w:val="26"/>
          <w:szCs w:val="26"/>
          <w:lang w:eastAsia="en-US"/>
        </w:rPr>
      </w:pPr>
      <w:r w:rsidRPr="008C5D2D">
        <w:rPr>
          <w:rFonts w:eastAsia="Calibri"/>
          <w:sz w:val="26"/>
          <w:szCs w:val="26"/>
          <w:lang w:eastAsia="en-US"/>
        </w:rPr>
        <w:t>Me despido y les deseo a todos una Feliz Semana de Pascua.”</w:t>
      </w:r>
    </w:p>
    <w:p w14:paraId="538D55C1" w14:textId="77777777" w:rsidR="008C5D2D" w:rsidRPr="008C5D2D" w:rsidRDefault="008C5D2D" w:rsidP="008C5D2D">
      <w:pPr>
        <w:ind w:right="-159"/>
        <w:jc w:val="both"/>
        <w:rPr>
          <w:rFonts w:eastAsia="Calibri"/>
          <w:sz w:val="20"/>
          <w:szCs w:val="20"/>
          <w:lang w:eastAsia="en-US"/>
        </w:rPr>
      </w:pPr>
      <w:r w:rsidRPr="008C5D2D">
        <w:rPr>
          <w:rFonts w:eastAsia="Calibri"/>
          <w:b/>
          <w:sz w:val="20"/>
          <w:szCs w:val="20"/>
          <w:lang w:eastAsia="en-US"/>
        </w:rPr>
        <w:t>Fuente de información</w:t>
      </w:r>
      <w:r w:rsidRPr="008C5D2D">
        <w:rPr>
          <w:rFonts w:eastAsia="Calibri"/>
          <w:sz w:val="20"/>
          <w:szCs w:val="20"/>
          <w:lang w:eastAsia="en-US"/>
        </w:rPr>
        <w:t>:</w:t>
      </w:r>
    </w:p>
    <w:p w14:paraId="701FB483" w14:textId="77777777" w:rsidR="008C5D2D" w:rsidRPr="00E630EC" w:rsidRDefault="0045651A" w:rsidP="008C5D2D">
      <w:pPr>
        <w:ind w:right="-159"/>
        <w:jc w:val="both"/>
        <w:rPr>
          <w:rFonts w:eastAsia="Calibri"/>
          <w:color w:val="0000FF"/>
          <w:sz w:val="20"/>
          <w:szCs w:val="20"/>
          <w:u w:val="single"/>
          <w:lang w:eastAsia="en-US"/>
        </w:rPr>
      </w:pPr>
      <w:hyperlink r:id="rId130" w:history="1">
        <w:r w:rsidR="008C5D2D" w:rsidRPr="00E630EC">
          <w:rPr>
            <w:rFonts w:eastAsia="Calibri"/>
            <w:color w:val="0000FF"/>
            <w:sz w:val="20"/>
            <w:szCs w:val="20"/>
            <w:u w:val="single"/>
            <w:lang w:eastAsia="en-US"/>
          </w:rPr>
          <w:t>http://www.coparmex.org.mx/index.php?option=com_content&amp;view=article&amp;id=1058:senal-coparmex-compromisos-para-preservar-el-empleo-y-la-inversion&amp;catid=22:senal-coparmex&amp;Itemid=226</w:t>
        </w:r>
      </w:hyperlink>
      <w:r w:rsidR="008C5D2D" w:rsidRPr="00E630EC">
        <w:rPr>
          <w:rFonts w:eastAsia="Calibri"/>
          <w:color w:val="0000FF"/>
          <w:sz w:val="20"/>
          <w:szCs w:val="20"/>
          <w:u w:val="single"/>
          <w:lang w:eastAsia="en-US"/>
        </w:rPr>
        <w:t xml:space="preserve"> </w:t>
      </w:r>
    </w:p>
    <w:p w14:paraId="0B5CF8E8" w14:textId="77777777" w:rsidR="008C5D2D" w:rsidRPr="00E630EC" w:rsidRDefault="008C5D2D" w:rsidP="008C5D2D">
      <w:pPr>
        <w:ind w:right="-159"/>
        <w:jc w:val="both"/>
        <w:rPr>
          <w:rFonts w:eastAsia="Calibri"/>
          <w:sz w:val="20"/>
          <w:szCs w:val="20"/>
          <w:lang w:eastAsia="en-US"/>
        </w:rPr>
      </w:pPr>
      <w:r w:rsidRPr="00E630EC">
        <w:rPr>
          <w:rFonts w:eastAsia="Calibri"/>
          <w:sz w:val="20"/>
          <w:szCs w:val="20"/>
          <w:lang w:eastAsia="en-US"/>
        </w:rPr>
        <w:t>Para tener acceso a información relacionada visite:</w:t>
      </w:r>
    </w:p>
    <w:p w14:paraId="08C5A4BE" w14:textId="77777777" w:rsidR="008C5D2D" w:rsidRPr="00E630EC" w:rsidRDefault="0045651A" w:rsidP="00E630EC">
      <w:pPr>
        <w:spacing w:after="720"/>
        <w:ind w:right="-159"/>
        <w:jc w:val="both"/>
        <w:rPr>
          <w:rFonts w:eastAsia="Calibri"/>
          <w:color w:val="0000FF"/>
          <w:sz w:val="20"/>
          <w:szCs w:val="20"/>
          <w:lang w:eastAsia="en-US"/>
        </w:rPr>
      </w:pPr>
      <w:hyperlink r:id="rId131" w:history="1">
        <w:r w:rsidR="008C5D2D" w:rsidRPr="00E630EC">
          <w:rPr>
            <w:rFonts w:eastAsia="Calibri"/>
            <w:color w:val="0000FF"/>
            <w:sz w:val="20"/>
            <w:szCs w:val="20"/>
            <w:u w:val="single"/>
            <w:lang w:eastAsia="en-US"/>
          </w:rPr>
          <w:t>http://gaceta.diputados.gob.mx/PDF/62/2015/mar/20150331-I.pdf</w:t>
        </w:r>
      </w:hyperlink>
      <w:r w:rsidR="008C5D2D" w:rsidRPr="00E630EC">
        <w:rPr>
          <w:rFonts w:eastAsia="Calibri"/>
          <w:color w:val="0000FF"/>
          <w:sz w:val="20"/>
          <w:szCs w:val="20"/>
          <w:lang w:eastAsia="en-US"/>
        </w:rPr>
        <w:t xml:space="preserve"> </w:t>
      </w:r>
    </w:p>
    <w:p w14:paraId="46232A23" w14:textId="77777777" w:rsidR="00E630EC" w:rsidRDefault="00E630EC" w:rsidP="007443C9">
      <w:pPr>
        <w:ind w:right="-159"/>
        <w:jc w:val="both"/>
        <w:rPr>
          <w:rFonts w:eastAsia="Times New Roman"/>
          <w:b/>
          <w:bCs/>
          <w:sz w:val="26"/>
          <w:szCs w:val="26"/>
          <w:lang w:val="es-ES"/>
        </w:rPr>
      </w:pPr>
    </w:p>
    <w:p w14:paraId="4E14499F" w14:textId="77777777" w:rsidR="00E630EC" w:rsidRDefault="00E630EC" w:rsidP="007443C9">
      <w:pPr>
        <w:ind w:right="-159"/>
        <w:jc w:val="both"/>
        <w:rPr>
          <w:rFonts w:eastAsia="Times New Roman"/>
          <w:b/>
          <w:bCs/>
          <w:sz w:val="26"/>
          <w:szCs w:val="26"/>
          <w:lang w:val="es-ES"/>
        </w:rPr>
      </w:pPr>
    </w:p>
    <w:p w14:paraId="7B59287B" w14:textId="77777777" w:rsidR="00E630EC" w:rsidRDefault="00E630EC" w:rsidP="007443C9">
      <w:pPr>
        <w:ind w:right="-159"/>
        <w:jc w:val="both"/>
        <w:rPr>
          <w:rFonts w:eastAsia="Times New Roman"/>
          <w:b/>
          <w:bCs/>
          <w:sz w:val="26"/>
          <w:szCs w:val="26"/>
          <w:lang w:val="es-ES"/>
        </w:rPr>
      </w:pPr>
    </w:p>
    <w:p w14:paraId="26730114" w14:textId="77777777" w:rsidR="00E630EC" w:rsidRDefault="00E630EC" w:rsidP="007443C9">
      <w:pPr>
        <w:ind w:right="-159"/>
        <w:jc w:val="both"/>
        <w:rPr>
          <w:rFonts w:eastAsia="Times New Roman"/>
          <w:b/>
          <w:bCs/>
          <w:sz w:val="26"/>
          <w:szCs w:val="26"/>
          <w:lang w:val="es-ES"/>
        </w:rPr>
      </w:pPr>
    </w:p>
    <w:p w14:paraId="24FD22A0" w14:textId="77777777" w:rsidR="00E630EC" w:rsidRDefault="00E630EC" w:rsidP="007443C9">
      <w:pPr>
        <w:ind w:right="-159"/>
        <w:jc w:val="both"/>
        <w:rPr>
          <w:rFonts w:eastAsia="Times New Roman"/>
          <w:b/>
          <w:bCs/>
          <w:sz w:val="26"/>
          <w:szCs w:val="26"/>
          <w:lang w:val="es-ES"/>
        </w:rPr>
      </w:pPr>
    </w:p>
    <w:p w14:paraId="0F953D46" w14:textId="77777777" w:rsidR="007443C9" w:rsidRPr="007443C9" w:rsidRDefault="007443C9" w:rsidP="007443C9">
      <w:pPr>
        <w:ind w:right="-159"/>
        <w:jc w:val="both"/>
        <w:rPr>
          <w:rFonts w:eastAsia="Times New Roman"/>
          <w:b/>
          <w:bCs/>
          <w:sz w:val="26"/>
          <w:szCs w:val="26"/>
          <w:lang w:val="es-ES"/>
        </w:rPr>
      </w:pPr>
      <w:r w:rsidRPr="007443C9">
        <w:rPr>
          <w:rFonts w:eastAsia="Times New Roman"/>
          <w:b/>
          <w:bCs/>
          <w:sz w:val="26"/>
          <w:szCs w:val="26"/>
          <w:lang w:val="es-ES"/>
        </w:rPr>
        <w:lastRenderedPageBreak/>
        <w:t>Indicador IMEF del Entorno Empresarial</w:t>
      </w:r>
    </w:p>
    <w:p w14:paraId="6B5C515C" w14:textId="70BCF605" w:rsidR="007443C9" w:rsidRPr="007443C9" w:rsidRDefault="007443C9" w:rsidP="007443C9">
      <w:pPr>
        <w:spacing w:after="360" w:line="360" w:lineRule="auto"/>
        <w:ind w:right="-159"/>
        <w:jc w:val="both"/>
        <w:rPr>
          <w:rFonts w:eastAsia="Times New Roman"/>
          <w:b/>
          <w:bCs/>
          <w:sz w:val="26"/>
          <w:szCs w:val="26"/>
          <w:lang w:val="es-ES"/>
        </w:rPr>
      </w:pPr>
      <w:r w:rsidRPr="007443C9">
        <w:rPr>
          <w:rFonts w:eastAsia="Times New Roman"/>
          <w:b/>
          <w:bCs/>
          <w:sz w:val="26"/>
          <w:szCs w:val="26"/>
          <w:lang w:val="es-ES"/>
        </w:rPr>
        <w:t xml:space="preserve">Mexicano, </w:t>
      </w:r>
      <w:r>
        <w:rPr>
          <w:rFonts w:eastAsia="Times New Roman"/>
          <w:b/>
          <w:bCs/>
          <w:sz w:val="26"/>
          <w:szCs w:val="26"/>
          <w:lang w:val="es-ES"/>
        </w:rPr>
        <w:t xml:space="preserve"> </w:t>
      </w:r>
      <w:r w:rsidR="003536A9">
        <w:rPr>
          <w:rFonts w:eastAsia="Times New Roman"/>
          <w:b/>
          <w:bCs/>
          <w:sz w:val="26"/>
          <w:szCs w:val="26"/>
          <w:lang w:val="es-ES"/>
        </w:rPr>
        <w:t xml:space="preserve"> </w:t>
      </w:r>
      <w:r w:rsidR="00903378">
        <w:rPr>
          <w:rFonts w:eastAsia="Times New Roman"/>
          <w:b/>
          <w:bCs/>
          <w:sz w:val="26"/>
          <w:szCs w:val="26"/>
          <w:lang w:val="es-ES"/>
        </w:rPr>
        <w:t xml:space="preserve"> </w:t>
      </w:r>
      <w:r w:rsidR="003536A9">
        <w:rPr>
          <w:rFonts w:eastAsia="Times New Roman"/>
          <w:b/>
          <w:bCs/>
          <w:sz w:val="26"/>
          <w:szCs w:val="26"/>
          <w:lang w:val="es-ES"/>
        </w:rPr>
        <w:t>marzo</w:t>
      </w:r>
      <w:r w:rsidRPr="007443C9">
        <w:rPr>
          <w:rFonts w:eastAsia="Times New Roman"/>
          <w:b/>
          <w:bCs/>
          <w:sz w:val="26"/>
          <w:szCs w:val="26"/>
          <w:lang w:val="es-ES"/>
        </w:rPr>
        <w:t xml:space="preserve"> </w:t>
      </w:r>
      <w:r w:rsidR="003536A9">
        <w:rPr>
          <w:rFonts w:eastAsia="Times New Roman"/>
          <w:b/>
          <w:bCs/>
          <w:sz w:val="26"/>
          <w:szCs w:val="26"/>
          <w:lang w:val="es-ES"/>
        </w:rPr>
        <w:t xml:space="preserve"> </w:t>
      </w:r>
      <w:r>
        <w:rPr>
          <w:rFonts w:eastAsia="Times New Roman"/>
          <w:b/>
          <w:bCs/>
          <w:sz w:val="26"/>
          <w:szCs w:val="26"/>
          <w:lang w:val="es-ES"/>
        </w:rPr>
        <w:t xml:space="preserve">  </w:t>
      </w:r>
      <w:r w:rsidRPr="007443C9">
        <w:rPr>
          <w:rFonts w:eastAsia="Times New Roman"/>
          <w:b/>
          <w:bCs/>
          <w:sz w:val="26"/>
          <w:szCs w:val="26"/>
          <w:lang w:val="es-ES"/>
        </w:rPr>
        <w:t xml:space="preserve">de </w:t>
      </w:r>
      <w:r w:rsidR="003536A9">
        <w:rPr>
          <w:rFonts w:eastAsia="Times New Roman"/>
          <w:b/>
          <w:bCs/>
          <w:sz w:val="26"/>
          <w:szCs w:val="26"/>
          <w:lang w:val="es-ES"/>
        </w:rPr>
        <w:t xml:space="preserve"> </w:t>
      </w:r>
      <w:r>
        <w:rPr>
          <w:rFonts w:eastAsia="Times New Roman"/>
          <w:b/>
          <w:bCs/>
          <w:sz w:val="26"/>
          <w:szCs w:val="26"/>
          <w:lang w:val="es-ES"/>
        </w:rPr>
        <w:t xml:space="preserve">   </w:t>
      </w:r>
      <w:r w:rsidRPr="007443C9">
        <w:rPr>
          <w:rFonts w:eastAsia="Times New Roman"/>
          <w:b/>
          <w:bCs/>
          <w:sz w:val="26"/>
          <w:szCs w:val="26"/>
          <w:lang w:val="es-ES"/>
        </w:rPr>
        <w:t xml:space="preserve">2015 </w:t>
      </w:r>
      <w:r>
        <w:rPr>
          <w:rFonts w:eastAsia="Times New Roman"/>
          <w:b/>
          <w:bCs/>
          <w:sz w:val="26"/>
          <w:szCs w:val="26"/>
          <w:lang w:val="es-ES"/>
        </w:rPr>
        <w:t xml:space="preserve">   </w:t>
      </w:r>
      <w:r w:rsidRPr="007443C9">
        <w:rPr>
          <w:rFonts w:eastAsia="Times New Roman"/>
          <w:b/>
          <w:bCs/>
          <w:sz w:val="26"/>
          <w:szCs w:val="26"/>
          <w:lang w:val="es-ES"/>
        </w:rPr>
        <w:t>(IIEEM)</w:t>
      </w:r>
    </w:p>
    <w:p w14:paraId="0450697D" w14:textId="77777777" w:rsidR="003536A9" w:rsidRPr="003536A9" w:rsidRDefault="003536A9" w:rsidP="003536A9">
      <w:pPr>
        <w:spacing w:after="360" w:line="360" w:lineRule="auto"/>
        <w:ind w:right="-159"/>
        <w:jc w:val="both"/>
        <w:rPr>
          <w:rFonts w:eastAsia="Times New Roman"/>
          <w:bCs/>
          <w:sz w:val="26"/>
          <w:szCs w:val="26"/>
          <w:lang w:val="es-ES"/>
        </w:rPr>
      </w:pPr>
      <w:r w:rsidRPr="003536A9">
        <w:rPr>
          <w:rFonts w:eastAsia="Times New Roman"/>
          <w:bCs/>
          <w:sz w:val="26"/>
          <w:szCs w:val="26"/>
          <w:lang w:val="es-ES"/>
        </w:rPr>
        <w:t>El 1º de abril de 2015, el Instituto Mexicano de Ejecutivos de Finanzas (IMEF) presentó su Indicador IMEF del Entorno Empresarial Mexicano (IIEEM) con información al mes de marzo de 2015. De acuerdo con la información generada con este indicador, el IMEF reporta que persiste una recuperación moderada.</w:t>
      </w:r>
    </w:p>
    <w:p w14:paraId="1BEB8FB1" w14:textId="77777777" w:rsidR="003536A9" w:rsidRPr="003536A9" w:rsidRDefault="003536A9" w:rsidP="003536A9">
      <w:pPr>
        <w:spacing w:after="360" w:line="360" w:lineRule="auto"/>
        <w:ind w:right="-159"/>
        <w:jc w:val="both"/>
        <w:rPr>
          <w:rFonts w:eastAsia="Times New Roman"/>
          <w:b/>
          <w:bCs/>
          <w:sz w:val="26"/>
          <w:szCs w:val="26"/>
          <w:lang w:val="es-ES"/>
        </w:rPr>
      </w:pPr>
      <w:r w:rsidRPr="003536A9">
        <w:rPr>
          <w:rFonts w:eastAsia="Times New Roman"/>
          <w:b/>
          <w:bCs/>
          <w:sz w:val="26"/>
          <w:szCs w:val="26"/>
          <w:lang w:val="es-ES"/>
        </w:rPr>
        <w:t>Resultados principales</w:t>
      </w:r>
    </w:p>
    <w:p w14:paraId="36F44461" w14:textId="77777777" w:rsidR="003536A9" w:rsidRPr="003536A9" w:rsidRDefault="003536A9" w:rsidP="003536A9">
      <w:pPr>
        <w:spacing w:after="360" w:line="360" w:lineRule="auto"/>
        <w:ind w:right="-159"/>
        <w:jc w:val="both"/>
        <w:rPr>
          <w:rFonts w:eastAsia="Times New Roman"/>
          <w:bCs/>
          <w:sz w:val="26"/>
          <w:szCs w:val="26"/>
          <w:lang w:val="es-ES"/>
        </w:rPr>
      </w:pPr>
      <w:r w:rsidRPr="003536A9">
        <w:rPr>
          <w:rFonts w:eastAsia="Times New Roman"/>
          <w:bCs/>
          <w:sz w:val="26"/>
          <w:szCs w:val="26"/>
          <w:lang w:val="es-ES"/>
        </w:rPr>
        <w:t>El Indicador IMEF Manufacturero aumentó 1.2 puntos en marzo con respecto al mes anterior, con lo que el índice se ubicó en 51.4 unidades. Por su parte, la serie tendencia-ciclo reportó en el mes de referencia un aumento de 0.6 puntos, ubicándose en 51.4 unidades. Esto confirma que la actividad manufacturera ha tenido un comienzo de año relativamente lento.</w:t>
      </w:r>
    </w:p>
    <w:p w14:paraId="53F0173A" w14:textId="5F457EA0" w:rsidR="003536A9" w:rsidRPr="003536A9" w:rsidRDefault="003536A9" w:rsidP="003536A9">
      <w:pPr>
        <w:autoSpaceDE w:val="0"/>
        <w:autoSpaceDN w:val="0"/>
        <w:adjustRightInd w:val="0"/>
        <w:spacing w:after="360" w:line="360" w:lineRule="auto"/>
        <w:ind w:right="-159"/>
        <w:jc w:val="both"/>
        <w:rPr>
          <w:rFonts w:eastAsia="Times New Roman"/>
          <w:bCs/>
          <w:sz w:val="26"/>
          <w:szCs w:val="26"/>
          <w:lang w:val="es-ES"/>
        </w:rPr>
      </w:pPr>
      <w:r w:rsidRPr="003536A9">
        <w:rPr>
          <w:rFonts w:eastAsia="Times New Roman"/>
          <w:bCs/>
          <w:sz w:val="26"/>
          <w:szCs w:val="26"/>
          <w:lang w:val="es-ES"/>
        </w:rPr>
        <w:t xml:space="preserve">El Indicador IMEF No Manufacturero reportó en marzo una disminución de </w:t>
      </w:r>
      <w:r w:rsidR="00CA7282">
        <w:rPr>
          <w:rFonts w:eastAsia="Times New Roman"/>
          <w:bCs/>
          <w:sz w:val="26"/>
          <w:szCs w:val="26"/>
          <w:lang w:val="es-ES"/>
        </w:rPr>
        <w:t xml:space="preserve">                  </w:t>
      </w:r>
      <w:r w:rsidRPr="003536A9">
        <w:rPr>
          <w:rFonts w:eastAsia="Times New Roman"/>
          <w:bCs/>
          <w:sz w:val="26"/>
          <w:szCs w:val="26"/>
          <w:lang w:val="es-ES"/>
        </w:rPr>
        <w:t>0.8 unidades con relación al mes previo, con lo que el índice se ubicó por debajo del umbral de 50 puntos, en un nivel de 49.3. Por su parte, la serie tendencia-ciclo registró una caída marginal de 0.3 puntos con respecto a febrero, quedando en un nivel de 49.2. En los últimos meses, el desempeño del Indicador No Manufacturero apunta a un desempeño débil en los sectores de comercio y servicios.</w:t>
      </w:r>
    </w:p>
    <w:p w14:paraId="3CB7EBAE" w14:textId="77777777" w:rsidR="003536A9" w:rsidRDefault="003536A9" w:rsidP="003536A9">
      <w:pPr>
        <w:autoSpaceDE w:val="0"/>
        <w:autoSpaceDN w:val="0"/>
        <w:adjustRightInd w:val="0"/>
        <w:spacing w:after="360" w:line="360" w:lineRule="auto"/>
        <w:ind w:right="-159"/>
        <w:jc w:val="both"/>
        <w:rPr>
          <w:rFonts w:eastAsia="Times New Roman"/>
          <w:bCs/>
          <w:sz w:val="26"/>
          <w:szCs w:val="26"/>
          <w:lang w:val="es-ES"/>
        </w:rPr>
      </w:pPr>
      <w:r w:rsidRPr="003536A9">
        <w:rPr>
          <w:rFonts w:eastAsia="Times New Roman"/>
          <w:bCs/>
          <w:sz w:val="26"/>
          <w:szCs w:val="26"/>
          <w:lang w:val="es-ES"/>
        </w:rPr>
        <w:t>Los resultados del indicador IMEF Manufacturero y No Manufacturero reflejan que persiste una recuperación débil de la economía mexicana.</w:t>
      </w:r>
    </w:p>
    <w:p w14:paraId="1E261D1C" w14:textId="77777777" w:rsidR="00E630EC" w:rsidRDefault="00E630EC" w:rsidP="003536A9">
      <w:pPr>
        <w:autoSpaceDE w:val="0"/>
        <w:autoSpaceDN w:val="0"/>
        <w:adjustRightInd w:val="0"/>
        <w:spacing w:after="360" w:line="360" w:lineRule="auto"/>
        <w:ind w:right="-159"/>
        <w:jc w:val="both"/>
        <w:rPr>
          <w:rFonts w:eastAsia="Times New Roman"/>
          <w:bCs/>
          <w:sz w:val="26"/>
          <w:szCs w:val="26"/>
          <w:lang w:val="es-ES"/>
        </w:rPr>
      </w:pPr>
    </w:p>
    <w:p w14:paraId="37376B80" w14:textId="77777777" w:rsidR="00E630EC" w:rsidRDefault="00E630EC" w:rsidP="003536A9">
      <w:pPr>
        <w:autoSpaceDE w:val="0"/>
        <w:autoSpaceDN w:val="0"/>
        <w:adjustRightInd w:val="0"/>
        <w:spacing w:after="360" w:line="360" w:lineRule="auto"/>
        <w:ind w:right="-159"/>
        <w:jc w:val="both"/>
        <w:rPr>
          <w:rFonts w:eastAsia="Times New Roman"/>
          <w:bCs/>
          <w:sz w:val="26"/>
          <w:szCs w:val="26"/>
          <w:lang w:val="es-ES"/>
        </w:rPr>
      </w:pPr>
    </w:p>
    <w:p w14:paraId="6423ED68" w14:textId="77777777" w:rsidR="00E630EC" w:rsidRPr="003536A9" w:rsidRDefault="00E630EC" w:rsidP="003536A9">
      <w:pPr>
        <w:autoSpaceDE w:val="0"/>
        <w:autoSpaceDN w:val="0"/>
        <w:adjustRightInd w:val="0"/>
        <w:spacing w:after="360" w:line="360" w:lineRule="auto"/>
        <w:ind w:right="-159"/>
        <w:jc w:val="both"/>
        <w:rPr>
          <w:rFonts w:eastAsia="Times New Roman"/>
          <w:bCs/>
          <w:sz w:val="26"/>
          <w:szCs w:val="26"/>
          <w:lang w:val="es-ES"/>
        </w:rPr>
      </w:pPr>
    </w:p>
    <w:tbl>
      <w:tblPr>
        <w:tblW w:w="0" w:type="auto"/>
        <w:jc w:val="center"/>
        <w:tblLook w:val="04A0" w:firstRow="1" w:lastRow="0" w:firstColumn="1" w:lastColumn="0" w:noHBand="0" w:noVBand="1"/>
      </w:tblPr>
      <w:tblGrid>
        <w:gridCol w:w="8006"/>
      </w:tblGrid>
      <w:tr w:rsidR="003536A9" w:rsidRPr="003536A9" w14:paraId="2E79384D" w14:textId="77777777" w:rsidTr="001C7810">
        <w:trPr>
          <w:jc w:val="center"/>
        </w:trPr>
        <w:tc>
          <w:tcPr>
            <w:tcW w:w="8006" w:type="dxa"/>
          </w:tcPr>
          <w:p w14:paraId="37FE4813" w14:textId="77777777" w:rsidR="003536A9" w:rsidRPr="003536A9" w:rsidRDefault="003536A9" w:rsidP="003536A9">
            <w:pPr>
              <w:jc w:val="center"/>
              <w:rPr>
                <w:rFonts w:eastAsia="Times New Roman"/>
                <w:b/>
                <w:bCs/>
                <w:sz w:val="22"/>
                <w:szCs w:val="22"/>
              </w:rPr>
            </w:pPr>
            <w:r w:rsidRPr="003536A9">
              <w:rPr>
                <w:rFonts w:eastAsia="Times New Roman"/>
                <w:b/>
                <w:bCs/>
                <w:sz w:val="22"/>
                <w:szCs w:val="22"/>
              </w:rPr>
              <w:lastRenderedPageBreak/>
              <w:t xml:space="preserve">TENDENCIA DE LOS INDICADORES IMEF </w:t>
            </w:r>
          </w:p>
          <w:p w14:paraId="311FDD4A" w14:textId="77777777" w:rsidR="003536A9" w:rsidRPr="003536A9" w:rsidRDefault="003536A9" w:rsidP="003536A9">
            <w:pPr>
              <w:jc w:val="center"/>
              <w:rPr>
                <w:rFonts w:eastAsia="Times New Roman"/>
                <w:b/>
                <w:bCs/>
                <w:sz w:val="22"/>
                <w:szCs w:val="22"/>
              </w:rPr>
            </w:pPr>
            <w:r w:rsidRPr="003536A9">
              <w:rPr>
                <w:rFonts w:eastAsia="Times New Roman"/>
                <w:b/>
                <w:bCs/>
                <w:sz w:val="22"/>
                <w:szCs w:val="22"/>
              </w:rPr>
              <w:t>MANUFACTURERO Y NO MANUFACTURERO</w:t>
            </w:r>
          </w:p>
        </w:tc>
      </w:tr>
      <w:tr w:rsidR="003536A9" w:rsidRPr="003536A9" w14:paraId="516D9834" w14:textId="77777777" w:rsidTr="001C7810">
        <w:trPr>
          <w:trHeight w:val="4326"/>
          <w:jc w:val="center"/>
        </w:trPr>
        <w:tc>
          <w:tcPr>
            <w:tcW w:w="8006" w:type="dxa"/>
          </w:tcPr>
          <w:p w14:paraId="7B71A255" w14:textId="77777777" w:rsidR="003536A9" w:rsidRPr="003536A9" w:rsidRDefault="003536A9" w:rsidP="003536A9">
            <w:pPr>
              <w:jc w:val="center"/>
              <w:rPr>
                <w:rFonts w:eastAsia="Times New Roman"/>
                <w:bCs/>
                <w:sz w:val="22"/>
                <w:szCs w:val="22"/>
              </w:rPr>
            </w:pPr>
            <w:r w:rsidRPr="003536A9">
              <w:rPr>
                <w:rFonts w:eastAsia="Times New Roman"/>
                <w:bCs/>
                <w:noProof/>
                <w:sz w:val="22"/>
                <w:szCs w:val="22"/>
                <w:lang w:eastAsia="es-MX"/>
              </w:rPr>
              <w:drawing>
                <wp:inline distT="0" distB="0" distL="0" distR="0" wp14:anchorId="395AF00D" wp14:editId="70B7F1C5">
                  <wp:extent cx="4638701" cy="2700000"/>
                  <wp:effectExtent l="0" t="0" r="0" b="5715"/>
                  <wp:docPr id="1492" name="Imagen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086" t="5969" r="4035" b="4668"/>
                          <a:stretch/>
                        </pic:blipFill>
                        <pic:spPr bwMode="auto">
                          <a:xfrm>
                            <a:off x="0" y="0"/>
                            <a:ext cx="4638701"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36A9" w:rsidRPr="003536A9" w14:paraId="453BA177" w14:textId="77777777" w:rsidTr="001C7810">
        <w:trPr>
          <w:jc w:val="center"/>
        </w:trPr>
        <w:tc>
          <w:tcPr>
            <w:tcW w:w="8006" w:type="dxa"/>
          </w:tcPr>
          <w:p w14:paraId="7474F082" w14:textId="77777777" w:rsidR="003536A9" w:rsidRPr="003536A9" w:rsidRDefault="003536A9" w:rsidP="003536A9">
            <w:pPr>
              <w:ind w:left="601"/>
              <w:jc w:val="both"/>
              <w:rPr>
                <w:rFonts w:eastAsia="Times New Roman"/>
                <w:bCs/>
                <w:sz w:val="20"/>
                <w:szCs w:val="20"/>
              </w:rPr>
            </w:pPr>
            <w:r w:rsidRPr="003536A9">
              <w:rPr>
                <w:rFonts w:eastAsia="Times New Roman"/>
                <w:bCs/>
                <w:sz w:val="20"/>
                <w:szCs w:val="20"/>
              </w:rPr>
              <w:t>FUENTE: IMEF.</w:t>
            </w:r>
          </w:p>
        </w:tc>
      </w:tr>
    </w:tbl>
    <w:p w14:paraId="1BAE1DFC" w14:textId="77777777" w:rsidR="003536A9" w:rsidRPr="003536A9" w:rsidRDefault="003536A9" w:rsidP="003536A9">
      <w:pPr>
        <w:spacing w:after="360" w:line="360" w:lineRule="auto"/>
        <w:ind w:right="-159"/>
        <w:jc w:val="both"/>
        <w:rPr>
          <w:rFonts w:eastAsia="Times New Roman"/>
          <w:bCs/>
          <w:sz w:val="26"/>
          <w:szCs w:val="26"/>
        </w:rPr>
      </w:pPr>
    </w:p>
    <w:p w14:paraId="01C11887"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
          <w:bCs/>
          <w:sz w:val="26"/>
          <w:szCs w:val="26"/>
        </w:rPr>
        <w:t>El Indicador IMEF Manufacturero</w:t>
      </w:r>
    </w:p>
    <w:p w14:paraId="67D6AD8F"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t>El Indicador IMEF Manufacturero aumentó 1.2 unidades en marzo con relación al mes previo, ubicándose en 51.4 puntos, ligeramente por arriba del umbral que anticipa una recuperación. Por su parte, la serie tendencia-ciclo registró un aumento en el mes de referencia de 0.6 puntos, para colocarse en 51.4 puntos. Dicho incremento se debió a la expansión de tres de los cinco subíndices que conforman el indicador. En particular, los subíndices de nuevos pedidos, empleo e inventarios aumentaron 1.1, 2.6 y 2.2 puntos, respectivamente. El subíndice de producción disminuyó 0.9 puntos, mientras que el de entrega de productos se mantuvo sin cambio. Cabe señalar que el subíndice de entrega de productos se encuentra por debajo del umbral de 50 puntos. El indicador ajustado por tamaño de empresa reportó un incremento de 1.0 y se ubica sólidamente por arriba del umbral, en 54.0, lo cual sugiere que las empresas grandes mantienen un mejor desempeño con relación a las de menor tamaño.</w:t>
      </w:r>
    </w:p>
    <w:p w14:paraId="31CD41D6"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lastRenderedPageBreak/>
        <w:t>En la discusión de la coyuntura económica, el Comité Técnico del Indicador destacó que las exportaciones manufactureras se aceleraron a principios del año menos de lo previsto, a pesar del contexto de recuperación cíclica en los Estados Unidos de Norteamérica. Se mencionaron algunos aspectos transitorios que posiblemente expliquen el menor dinamismo de las exportaciones y se espera que la demanda externa acelere su curso en lo que resta del año. Por su parte, las exportaciones petroleras han seguido contrayéndose rápidamente, tanto por la caída de los precios internacionales del crudo como por los menores volúmenes de exportación, situación que se traduce en un débil desempeño de las exportaciones totales. No obstante, el Comité destacó el comportamiento favorable del sector automotriz, tanto en producción, exportaciones como ventas nacionales, y se espera que esta rama industrial siga apuntalando a la actividad manufacturera en los próximos años. En términos generales, la recuperación del sector manufacturero es congruente con la dinámica que caracteriza al ciclo de negocios de la economía mexicana, en la que la demanda externa anticipa el crecimiento de la economía en su conjunto.</w:t>
      </w:r>
    </w:p>
    <w:p w14:paraId="2A637507" w14:textId="77777777" w:rsid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t>El Comité también destacó el desempeño negativo de la construcción en enero y la posibilidad de que la recuperación en ese sector se desacelere en los próximos meses. Si bien se espera que la construcción siga creciendo en 2015, los recortes al presupuesto anunciados recientemente por la Secretaría de Hacienda y Crédito Público podrían representar un riesgo para algunos sectores de la actividad económica, principalmente el de infraestructura y obras públicas.</w:t>
      </w:r>
    </w:p>
    <w:p w14:paraId="51579BCD" w14:textId="77777777" w:rsidR="00E630EC" w:rsidRDefault="00E630EC" w:rsidP="003536A9">
      <w:pPr>
        <w:spacing w:after="360" w:line="360" w:lineRule="auto"/>
        <w:ind w:right="-159"/>
        <w:jc w:val="both"/>
        <w:rPr>
          <w:rFonts w:eastAsia="Times New Roman"/>
          <w:bCs/>
          <w:sz w:val="26"/>
          <w:szCs w:val="26"/>
        </w:rPr>
      </w:pPr>
    </w:p>
    <w:p w14:paraId="2900EC54" w14:textId="77777777" w:rsidR="00E630EC" w:rsidRDefault="00E630EC" w:rsidP="003536A9">
      <w:pPr>
        <w:spacing w:after="360" w:line="360" w:lineRule="auto"/>
        <w:ind w:right="-159"/>
        <w:jc w:val="both"/>
        <w:rPr>
          <w:rFonts w:eastAsia="Times New Roman"/>
          <w:bCs/>
          <w:sz w:val="26"/>
          <w:szCs w:val="26"/>
        </w:rPr>
      </w:pPr>
    </w:p>
    <w:p w14:paraId="237718BA" w14:textId="77777777" w:rsidR="00E630EC" w:rsidRPr="003536A9" w:rsidRDefault="00E630EC" w:rsidP="003536A9">
      <w:pPr>
        <w:spacing w:after="360" w:line="360" w:lineRule="auto"/>
        <w:ind w:right="-159"/>
        <w:jc w:val="both"/>
        <w:rPr>
          <w:rFonts w:eastAsia="Times New Roman"/>
          <w:bCs/>
          <w:sz w:val="26"/>
          <w:szCs w:val="26"/>
        </w:rPr>
      </w:pPr>
    </w:p>
    <w:p w14:paraId="7C31D565" w14:textId="77777777" w:rsidR="003536A9" w:rsidRPr="003536A9" w:rsidRDefault="003536A9" w:rsidP="00F20067">
      <w:pPr>
        <w:spacing w:after="240"/>
        <w:ind w:right="-159"/>
        <w:jc w:val="both"/>
        <w:rPr>
          <w:rFonts w:eastAsia="Times New Roman"/>
          <w:bCs/>
          <w:sz w:val="26"/>
          <w:szCs w:val="26"/>
        </w:rPr>
      </w:pPr>
    </w:p>
    <w:tbl>
      <w:tblPr>
        <w:tblW w:w="0" w:type="auto"/>
        <w:jc w:val="center"/>
        <w:tblLook w:val="04A0" w:firstRow="1" w:lastRow="0" w:firstColumn="1" w:lastColumn="0" w:noHBand="0" w:noVBand="1"/>
      </w:tblPr>
      <w:tblGrid>
        <w:gridCol w:w="8111"/>
      </w:tblGrid>
      <w:tr w:rsidR="003536A9" w:rsidRPr="003536A9" w14:paraId="520BF05F" w14:textId="77777777" w:rsidTr="001C7810">
        <w:trPr>
          <w:jc w:val="center"/>
        </w:trPr>
        <w:tc>
          <w:tcPr>
            <w:tcW w:w="8111" w:type="dxa"/>
          </w:tcPr>
          <w:p w14:paraId="0DD57C3D" w14:textId="77777777" w:rsidR="003536A9" w:rsidRPr="003536A9" w:rsidRDefault="003536A9" w:rsidP="003536A9">
            <w:pPr>
              <w:ind w:right="-159"/>
              <w:jc w:val="center"/>
              <w:rPr>
                <w:rFonts w:eastAsia="Times New Roman"/>
                <w:b/>
                <w:bCs/>
                <w:sz w:val="22"/>
                <w:szCs w:val="22"/>
              </w:rPr>
            </w:pPr>
            <w:r w:rsidRPr="003536A9">
              <w:rPr>
                <w:rFonts w:eastAsia="Times New Roman"/>
                <w:b/>
                <w:bCs/>
                <w:sz w:val="22"/>
                <w:szCs w:val="22"/>
              </w:rPr>
              <w:lastRenderedPageBreak/>
              <w:t>INDICADOR IMEF MANUFACTURERO</w:t>
            </w:r>
          </w:p>
        </w:tc>
      </w:tr>
      <w:tr w:rsidR="003536A9" w:rsidRPr="003536A9" w14:paraId="4898F044" w14:textId="77777777" w:rsidTr="001C7810">
        <w:trPr>
          <w:trHeight w:val="94"/>
          <w:jc w:val="center"/>
        </w:trPr>
        <w:tc>
          <w:tcPr>
            <w:tcW w:w="8111" w:type="dxa"/>
          </w:tcPr>
          <w:p w14:paraId="2F115FE7" w14:textId="77777777" w:rsidR="003536A9" w:rsidRPr="003536A9" w:rsidRDefault="003536A9" w:rsidP="003536A9">
            <w:pPr>
              <w:jc w:val="center"/>
              <w:rPr>
                <w:rFonts w:eastAsia="Times New Roman"/>
                <w:bCs/>
                <w:sz w:val="26"/>
                <w:szCs w:val="26"/>
              </w:rPr>
            </w:pPr>
            <w:r w:rsidRPr="003536A9">
              <w:rPr>
                <w:rFonts w:eastAsia="Times New Roman"/>
                <w:bCs/>
                <w:noProof/>
                <w:sz w:val="26"/>
                <w:szCs w:val="26"/>
                <w:lang w:eastAsia="es-MX"/>
              </w:rPr>
              <w:drawing>
                <wp:inline distT="0" distB="0" distL="0" distR="0" wp14:anchorId="5BC3049B" wp14:editId="639499D4">
                  <wp:extent cx="4428484" cy="2700000"/>
                  <wp:effectExtent l="0" t="0" r="0" b="0"/>
                  <wp:docPr id="1493" name="Imagen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9" t="5183" r="3251"/>
                          <a:stretch/>
                        </pic:blipFill>
                        <pic:spPr bwMode="auto">
                          <a:xfrm>
                            <a:off x="0" y="0"/>
                            <a:ext cx="4428484"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36A9" w:rsidRPr="003536A9" w14:paraId="594EC080" w14:textId="77777777" w:rsidTr="001C7810">
        <w:trPr>
          <w:jc w:val="center"/>
        </w:trPr>
        <w:tc>
          <w:tcPr>
            <w:tcW w:w="8111" w:type="dxa"/>
          </w:tcPr>
          <w:p w14:paraId="2E464841" w14:textId="77777777" w:rsidR="003536A9" w:rsidRPr="003536A9" w:rsidRDefault="003536A9" w:rsidP="003536A9">
            <w:pPr>
              <w:ind w:left="885"/>
              <w:jc w:val="both"/>
              <w:rPr>
                <w:rFonts w:eastAsia="Times New Roman"/>
                <w:bCs/>
                <w:sz w:val="20"/>
                <w:szCs w:val="20"/>
              </w:rPr>
            </w:pPr>
            <w:r w:rsidRPr="003536A9">
              <w:rPr>
                <w:rFonts w:eastAsia="Times New Roman"/>
                <w:bCs/>
                <w:sz w:val="20"/>
                <w:szCs w:val="20"/>
              </w:rPr>
              <w:t>FUENTE: IMEF.</w:t>
            </w:r>
          </w:p>
        </w:tc>
      </w:tr>
    </w:tbl>
    <w:p w14:paraId="3D3BD501" w14:textId="77777777" w:rsidR="003536A9" w:rsidRPr="003536A9" w:rsidRDefault="003536A9" w:rsidP="003536A9">
      <w:pPr>
        <w:spacing w:after="360" w:line="360" w:lineRule="auto"/>
        <w:ind w:right="-159"/>
        <w:jc w:val="both"/>
        <w:rPr>
          <w:rFonts w:eastAsia="Times New Roman"/>
          <w:sz w:val="26"/>
          <w:szCs w:val="26"/>
        </w:rPr>
      </w:pP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37"/>
        <w:gridCol w:w="903"/>
        <w:gridCol w:w="995"/>
        <w:gridCol w:w="995"/>
        <w:gridCol w:w="1215"/>
        <w:gridCol w:w="982"/>
        <w:gridCol w:w="1107"/>
        <w:gridCol w:w="1218"/>
      </w:tblGrid>
      <w:tr w:rsidR="003536A9" w:rsidRPr="003536A9" w14:paraId="1DF20F92" w14:textId="77777777" w:rsidTr="00E055D6">
        <w:trPr>
          <w:cantSplit/>
          <w:jc w:val="center"/>
        </w:trPr>
        <w:tc>
          <w:tcPr>
            <w:tcW w:w="8552" w:type="dxa"/>
            <w:gridSpan w:val="8"/>
            <w:tcBorders>
              <w:top w:val="nil"/>
              <w:left w:val="nil"/>
              <w:bottom w:val="single" w:sz="4" w:space="0" w:color="auto"/>
              <w:right w:val="nil"/>
            </w:tcBorders>
            <w:vAlign w:val="center"/>
          </w:tcPr>
          <w:p w14:paraId="3B674D6C" w14:textId="77777777" w:rsidR="003536A9" w:rsidRPr="003536A9" w:rsidRDefault="003536A9" w:rsidP="003536A9">
            <w:pPr>
              <w:jc w:val="center"/>
              <w:rPr>
                <w:rFonts w:eastAsia="Times New Roman"/>
                <w:b/>
                <w:bCs/>
                <w:sz w:val="22"/>
                <w:szCs w:val="22"/>
                <w:lang w:val="es-ES"/>
              </w:rPr>
            </w:pPr>
            <w:r w:rsidRPr="003536A9">
              <w:rPr>
                <w:rFonts w:eastAsia="Times New Roman"/>
                <w:b/>
                <w:bCs/>
                <w:sz w:val="22"/>
                <w:szCs w:val="22"/>
                <w:lang w:val="es-ES"/>
              </w:rPr>
              <w:t>INDICADOR IMEF MANUFACTURERO</w:t>
            </w:r>
          </w:p>
          <w:p w14:paraId="0511FBB5" w14:textId="77777777" w:rsidR="003536A9" w:rsidRPr="003536A9" w:rsidRDefault="003536A9" w:rsidP="003536A9">
            <w:pPr>
              <w:jc w:val="center"/>
              <w:rPr>
                <w:rFonts w:eastAsia="Times New Roman"/>
                <w:b/>
                <w:bCs/>
                <w:sz w:val="22"/>
                <w:szCs w:val="22"/>
                <w:lang w:val="es-ES"/>
              </w:rPr>
            </w:pPr>
            <w:r w:rsidRPr="003536A9">
              <w:rPr>
                <w:rFonts w:eastAsia="Times New Roman"/>
                <w:b/>
                <w:sz w:val="22"/>
                <w:szCs w:val="22"/>
                <w:lang w:val="es-ES"/>
              </w:rPr>
              <w:t>-Series desestacionalizadas-</w:t>
            </w:r>
          </w:p>
        </w:tc>
      </w:tr>
      <w:tr w:rsidR="003536A9" w:rsidRPr="003536A9" w14:paraId="5492E06D" w14:textId="77777777" w:rsidTr="00E055D6">
        <w:trPr>
          <w:cantSplit/>
          <w:jc w:val="center"/>
        </w:trPr>
        <w:tc>
          <w:tcPr>
            <w:tcW w:w="1137" w:type="dxa"/>
            <w:tcBorders>
              <w:bottom w:val="single" w:sz="4" w:space="0" w:color="auto"/>
            </w:tcBorders>
            <w:vAlign w:val="center"/>
          </w:tcPr>
          <w:p w14:paraId="6A4C0C15" w14:textId="77777777" w:rsidR="003536A9" w:rsidRPr="003536A9" w:rsidRDefault="003536A9" w:rsidP="003536A9">
            <w:pPr>
              <w:spacing w:before="20" w:after="20"/>
              <w:jc w:val="center"/>
              <w:rPr>
                <w:rFonts w:eastAsia="Times New Roman"/>
                <w:b/>
                <w:bCs/>
                <w:sz w:val="18"/>
                <w:szCs w:val="18"/>
                <w:highlight w:val="yellow"/>
                <w:lang w:val="es-ES"/>
              </w:rPr>
            </w:pPr>
            <w:r w:rsidRPr="003536A9">
              <w:rPr>
                <w:rFonts w:eastAsia="Times New Roman"/>
                <w:b/>
                <w:bCs/>
                <w:sz w:val="18"/>
                <w:szCs w:val="18"/>
                <w:lang w:val="es-ES"/>
              </w:rPr>
              <w:t>2014</w:t>
            </w:r>
          </w:p>
        </w:tc>
        <w:tc>
          <w:tcPr>
            <w:tcW w:w="903" w:type="dxa"/>
            <w:tcBorders>
              <w:bottom w:val="single" w:sz="4" w:space="0" w:color="auto"/>
            </w:tcBorders>
            <w:vAlign w:val="center"/>
          </w:tcPr>
          <w:p w14:paraId="02787CBD"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Índice</w:t>
            </w:r>
          </w:p>
          <w:p w14:paraId="635622D8"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Total</w:t>
            </w:r>
          </w:p>
        </w:tc>
        <w:tc>
          <w:tcPr>
            <w:tcW w:w="995" w:type="dxa"/>
            <w:tcBorders>
              <w:bottom w:val="single" w:sz="4" w:space="0" w:color="auto"/>
            </w:tcBorders>
            <w:vAlign w:val="center"/>
          </w:tcPr>
          <w:p w14:paraId="7A839D8C"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Ajustado por tamaño de empresa</w:t>
            </w:r>
          </w:p>
        </w:tc>
        <w:tc>
          <w:tcPr>
            <w:tcW w:w="995" w:type="dxa"/>
            <w:tcBorders>
              <w:bottom w:val="single" w:sz="4" w:space="0" w:color="auto"/>
            </w:tcBorders>
            <w:vAlign w:val="center"/>
          </w:tcPr>
          <w:p w14:paraId="263FF5FA"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Nuevos pedidos</w:t>
            </w:r>
          </w:p>
        </w:tc>
        <w:tc>
          <w:tcPr>
            <w:tcW w:w="1215" w:type="dxa"/>
            <w:tcBorders>
              <w:bottom w:val="single" w:sz="4" w:space="0" w:color="auto"/>
            </w:tcBorders>
            <w:vAlign w:val="center"/>
          </w:tcPr>
          <w:p w14:paraId="7ECC43DE"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Producción</w:t>
            </w:r>
          </w:p>
        </w:tc>
        <w:tc>
          <w:tcPr>
            <w:tcW w:w="982" w:type="dxa"/>
            <w:tcBorders>
              <w:bottom w:val="single" w:sz="4" w:space="0" w:color="auto"/>
            </w:tcBorders>
            <w:vAlign w:val="center"/>
          </w:tcPr>
          <w:p w14:paraId="7D54A9DC"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Empleo</w:t>
            </w:r>
          </w:p>
        </w:tc>
        <w:tc>
          <w:tcPr>
            <w:tcW w:w="1107" w:type="dxa"/>
            <w:tcBorders>
              <w:bottom w:val="single" w:sz="4" w:space="0" w:color="auto"/>
            </w:tcBorders>
            <w:vAlign w:val="center"/>
          </w:tcPr>
          <w:p w14:paraId="340553D6"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Entrega de productos*</w:t>
            </w:r>
          </w:p>
        </w:tc>
        <w:tc>
          <w:tcPr>
            <w:tcW w:w="1218" w:type="dxa"/>
            <w:tcBorders>
              <w:bottom w:val="single" w:sz="4" w:space="0" w:color="auto"/>
            </w:tcBorders>
            <w:vAlign w:val="center"/>
          </w:tcPr>
          <w:p w14:paraId="4B6DF668" w14:textId="77777777" w:rsidR="003536A9" w:rsidRPr="003536A9" w:rsidRDefault="003536A9" w:rsidP="003536A9">
            <w:pPr>
              <w:spacing w:before="20" w:after="20"/>
              <w:jc w:val="center"/>
              <w:rPr>
                <w:rFonts w:eastAsia="Times New Roman"/>
                <w:b/>
                <w:bCs/>
                <w:sz w:val="18"/>
                <w:szCs w:val="18"/>
                <w:lang w:val="es-ES"/>
              </w:rPr>
            </w:pPr>
            <w:r w:rsidRPr="003536A9">
              <w:rPr>
                <w:rFonts w:eastAsia="Times New Roman"/>
                <w:b/>
                <w:bCs/>
                <w:sz w:val="18"/>
                <w:szCs w:val="18"/>
                <w:lang w:val="es-ES"/>
              </w:rPr>
              <w:t>Inventarios*</w:t>
            </w:r>
          </w:p>
        </w:tc>
      </w:tr>
      <w:tr w:rsidR="003536A9" w:rsidRPr="003536A9" w14:paraId="40799ECA" w14:textId="77777777" w:rsidTr="00E055D6">
        <w:trPr>
          <w:jc w:val="center"/>
        </w:trPr>
        <w:tc>
          <w:tcPr>
            <w:tcW w:w="1137" w:type="dxa"/>
            <w:tcBorders>
              <w:top w:val="single" w:sz="4" w:space="0" w:color="auto"/>
              <w:bottom w:val="nil"/>
            </w:tcBorders>
          </w:tcPr>
          <w:p w14:paraId="21B89DFA"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Octubre </w:t>
            </w:r>
          </w:p>
        </w:tc>
        <w:tc>
          <w:tcPr>
            <w:tcW w:w="903" w:type="dxa"/>
            <w:tcBorders>
              <w:top w:val="single" w:sz="4" w:space="0" w:color="auto"/>
              <w:bottom w:val="nil"/>
            </w:tcBorders>
            <w:vAlign w:val="center"/>
          </w:tcPr>
          <w:p w14:paraId="42913445"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54.6</w:t>
            </w:r>
          </w:p>
        </w:tc>
        <w:tc>
          <w:tcPr>
            <w:tcW w:w="995" w:type="dxa"/>
            <w:tcBorders>
              <w:top w:val="single" w:sz="4" w:space="0" w:color="auto"/>
              <w:bottom w:val="nil"/>
            </w:tcBorders>
            <w:vAlign w:val="center"/>
          </w:tcPr>
          <w:p w14:paraId="578F1A99"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54.7</w:t>
            </w:r>
          </w:p>
        </w:tc>
        <w:tc>
          <w:tcPr>
            <w:tcW w:w="995" w:type="dxa"/>
            <w:tcBorders>
              <w:top w:val="single" w:sz="4" w:space="0" w:color="auto"/>
              <w:bottom w:val="nil"/>
            </w:tcBorders>
            <w:vAlign w:val="center"/>
          </w:tcPr>
          <w:p w14:paraId="27FC502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57.9</w:t>
            </w:r>
          </w:p>
        </w:tc>
        <w:tc>
          <w:tcPr>
            <w:tcW w:w="1215" w:type="dxa"/>
            <w:tcBorders>
              <w:top w:val="single" w:sz="4" w:space="0" w:color="auto"/>
              <w:bottom w:val="nil"/>
            </w:tcBorders>
            <w:vAlign w:val="center"/>
          </w:tcPr>
          <w:p w14:paraId="159AAEB9"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56.6</w:t>
            </w:r>
          </w:p>
        </w:tc>
        <w:tc>
          <w:tcPr>
            <w:tcW w:w="982" w:type="dxa"/>
            <w:tcBorders>
              <w:top w:val="single" w:sz="4" w:space="0" w:color="auto"/>
              <w:bottom w:val="nil"/>
            </w:tcBorders>
            <w:vAlign w:val="center"/>
          </w:tcPr>
          <w:p w14:paraId="6A2DB38A"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52.4</w:t>
            </w:r>
          </w:p>
        </w:tc>
        <w:tc>
          <w:tcPr>
            <w:tcW w:w="1107" w:type="dxa"/>
            <w:tcBorders>
              <w:top w:val="single" w:sz="4" w:space="0" w:color="auto"/>
              <w:bottom w:val="nil"/>
            </w:tcBorders>
            <w:vAlign w:val="center"/>
          </w:tcPr>
          <w:p w14:paraId="764DA825"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52.3</w:t>
            </w:r>
          </w:p>
        </w:tc>
        <w:tc>
          <w:tcPr>
            <w:tcW w:w="1218" w:type="dxa"/>
            <w:tcBorders>
              <w:top w:val="single" w:sz="4" w:space="0" w:color="auto"/>
              <w:bottom w:val="nil"/>
            </w:tcBorders>
            <w:vAlign w:val="center"/>
          </w:tcPr>
          <w:p w14:paraId="1C388CAE"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53.1</w:t>
            </w:r>
          </w:p>
        </w:tc>
      </w:tr>
      <w:tr w:rsidR="003536A9" w:rsidRPr="003536A9" w14:paraId="394C25C9" w14:textId="77777777" w:rsidTr="00E055D6">
        <w:trPr>
          <w:jc w:val="center"/>
        </w:trPr>
        <w:tc>
          <w:tcPr>
            <w:tcW w:w="1137" w:type="dxa"/>
            <w:tcBorders>
              <w:top w:val="nil"/>
              <w:bottom w:val="nil"/>
            </w:tcBorders>
          </w:tcPr>
          <w:p w14:paraId="14CD9256"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Noviembre </w:t>
            </w:r>
          </w:p>
        </w:tc>
        <w:tc>
          <w:tcPr>
            <w:tcW w:w="903" w:type="dxa"/>
            <w:tcBorders>
              <w:top w:val="nil"/>
              <w:bottom w:val="nil"/>
            </w:tcBorders>
            <w:vAlign w:val="center"/>
          </w:tcPr>
          <w:p w14:paraId="2D73B6C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52.6</w:t>
            </w:r>
          </w:p>
        </w:tc>
        <w:tc>
          <w:tcPr>
            <w:tcW w:w="995" w:type="dxa"/>
            <w:tcBorders>
              <w:top w:val="nil"/>
              <w:bottom w:val="nil"/>
            </w:tcBorders>
            <w:vAlign w:val="center"/>
          </w:tcPr>
          <w:p w14:paraId="4B369E7E"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54.2</w:t>
            </w:r>
          </w:p>
        </w:tc>
        <w:tc>
          <w:tcPr>
            <w:tcW w:w="995" w:type="dxa"/>
            <w:tcBorders>
              <w:top w:val="nil"/>
              <w:bottom w:val="nil"/>
            </w:tcBorders>
            <w:vAlign w:val="center"/>
          </w:tcPr>
          <w:p w14:paraId="096B3134"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57.5</w:t>
            </w:r>
          </w:p>
        </w:tc>
        <w:tc>
          <w:tcPr>
            <w:tcW w:w="1215" w:type="dxa"/>
            <w:tcBorders>
              <w:top w:val="nil"/>
              <w:bottom w:val="nil"/>
            </w:tcBorders>
            <w:vAlign w:val="center"/>
          </w:tcPr>
          <w:p w14:paraId="704B3ACE"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55.3</w:t>
            </w:r>
          </w:p>
        </w:tc>
        <w:tc>
          <w:tcPr>
            <w:tcW w:w="982" w:type="dxa"/>
            <w:tcBorders>
              <w:top w:val="nil"/>
              <w:bottom w:val="nil"/>
            </w:tcBorders>
            <w:vAlign w:val="center"/>
          </w:tcPr>
          <w:p w14:paraId="111BE368"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51.2</w:t>
            </w:r>
          </w:p>
        </w:tc>
        <w:tc>
          <w:tcPr>
            <w:tcW w:w="1107" w:type="dxa"/>
            <w:tcBorders>
              <w:top w:val="nil"/>
              <w:bottom w:val="nil"/>
            </w:tcBorders>
            <w:vAlign w:val="center"/>
          </w:tcPr>
          <w:p w14:paraId="75EFB5EA"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47.4</w:t>
            </w:r>
          </w:p>
        </w:tc>
        <w:tc>
          <w:tcPr>
            <w:tcW w:w="1218" w:type="dxa"/>
            <w:tcBorders>
              <w:top w:val="nil"/>
              <w:bottom w:val="nil"/>
            </w:tcBorders>
            <w:vAlign w:val="center"/>
          </w:tcPr>
          <w:p w14:paraId="0822C78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51.5</w:t>
            </w:r>
          </w:p>
        </w:tc>
      </w:tr>
      <w:tr w:rsidR="003536A9" w:rsidRPr="003536A9" w14:paraId="44D60D2F" w14:textId="77777777" w:rsidTr="00E055D6">
        <w:trPr>
          <w:jc w:val="center"/>
        </w:trPr>
        <w:tc>
          <w:tcPr>
            <w:tcW w:w="1137" w:type="dxa"/>
            <w:tcBorders>
              <w:top w:val="nil"/>
              <w:bottom w:val="nil"/>
            </w:tcBorders>
          </w:tcPr>
          <w:p w14:paraId="395250E8"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Diciembre </w:t>
            </w:r>
          </w:p>
        </w:tc>
        <w:tc>
          <w:tcPr>
            <w:tcW w:w="903" w:type="dxa"/>
            <w:tcBorders>
              <w:top w:val="nil"/>
              <w:bottom w:val="nil"/>
            </w:tcBorders>
            <w:vAlign w:val="center"/>
          </w:tcPr>
          <w:p w14:paraId="25F6B9A9"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50.0</w:t>
            </w:r>
          </w:p>
        </w:tc>
        <w:tc>
          <w:tcPr>
            <w:tcW w:w="995" w:type="dxa"/>
            <w:tcBorders>
              <w:top w:val="nil"/>
              <w:bottom w:val="nil"/>
            </w:tcBorders>
            <w:vAlign w:val="center"/>
          </w:tcPr>
          <w:p w14:paraId="053D5905"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50.1</w:t>
            </w:r>
          </w:p>
        </w:tc>
        <w:tc>
          <w:tcPr>
            <w:tcW w:w="995" w:type="dxa"/>
            <w:tcBorders>
              <w:top w:val="nil"/>
              <w:bottom w:val="nil"/>
            </w:tcBorders>
            <w:vAlign w:val="center"/>
          </w:tcPr>
          <w:p w14:paraId="1D8CD961"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50.4</w:t>
            </w:r>
          </w:p>
        </w:tc>
        <w:tc>
          <w:tcPr>
            <w:tcW w:w="1215" w:type="dxa"/>
            <w:tcBorders>
              <w:top w:val="nil"/>
              <w:bottom w:val="nil"/>
            </w:tcBorders>
            <w:vAlign w:val="center"/>
          </w:tcPr>
          <w:p w14:paraId="3F7C196F"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50.9</w:t>
            </w:r>
          </w:p>
        </w:tc>
        <w:tc>
          <w:tcPr>
            <w:tcW w:w="982" w:type="dxa"/>
            <w:tcBorders>
              <w:top w:val="nil"/>
              <w:bottom w:val="nil"/>
            </w:tcBorders>
            <w:vAlign w:val="center"/>
          </w:tcPr>
          <w:p w14:paraId="16E87DD6"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46.9</w:t>
            </w:r>
          </w:p>
        </w:tc>
        <w:tc>
          <w:tcPr>
            <w:tcW w:w="1107" w:type="dxa"/>
            <w:tcBorders>
              <w:top w:val="nil"/>
              <w:bottom w:val="nil"/>
            </w:tcBorders>
            <w:vAlign w:val="center"/>
          </w:tcPr>
          <w:p w14:paraId="70302B4B"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50.9</w:t>
            </w:r>
          </w:p>
        </w:tc>
        <w:tc>
          <w:tcPr>
            <w:tcW w:w="1218" w:type="dxa"/>
            <w:tcBorders>
              <w:top w:val="nil"/>
              <w:bottom w:val="nil"/>
            </w:tcBorders>
            <w:vAlign w:val="center"/>
          </w:tcPr>
          <w:p w14:paraId="02F9D11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49.4</w:t>
            </w:r>
          </w:p>
        </w:tc>
      </w:tr>
      <w:tr w:rsidR="003536A9" w:rsidRPr="003536A9" w14:paraId="3F1F8224" w14:textId="77777777" w:rsidTr="00E055D6">
        <w:trPr>
          <w:jc w:val="center"/>
        </w:trPr>
        <w:tc>
          <w:tcPr>
            <w:tcW w:w="1137" w:type="dxa"/>
            <w:tcBorders>
              <w:top w:val="nil"/>
              <w:bottom w:val="nil"/>
            </w:tcBorders>
          </w:tcPr>
          <w:p w14:paraId="62C48AA8" w14:textId="77777777" w:rsidR="003536A9" w:rsidRPr="003536A9" w:rsidRDefault="003536A9" w:rsidP="003536A9">
            <w:pPr>
              <w:spacing w:before="20" w:after="20"/>
              <w:jc w:val="center"/>
              <w:rPr>
                <w:rFonts w:eastAsia="Times New Roman"/>
                <w:b/>
                <w:sz w:val="18"/>
                <w:szCs w:val="18"/>
              </w:rPr>
            </w:pPr>
            <w:r w:rsidRPr="003536A9">
              <w:rPr>
                <w:rFonts w:eastAsia="Times New Roman"/>
                <w:b/>
                <w:sz w:val="18"/>
                <w:szCs w:val="18"/>
              </w:rPr>
              <w:t>2015</w:t>
            </w:r>
          </w:p>
        </w:tc>
        <w:tc>
          <w:tcPr>
            <w:tcW w:w="903" w:type="dxa"/>
            <w:tcBorders>
              <w:top w:val="nil"/>
              <w:bottom w:val="nil"/>
            </w:tcBorders>
            <w:vAlign w:val="center"/>
          </w:tcPr>
          <w:p w14:paraId="290843EC" w14:textId="77777777" w:rsidR="003536A9" w:rsidRPr="003536A9" w:rsidRDefault="003536A9" w:rsidP="003536A9">
            <w:pPr>
              <w:spacing w:before="20" w:after="20"/>
              <w:jc w:val="center"/>
              <w:rPr>
                <w:rFonts w:eastAsia="Times New Roman"/>
                <w:sz w:val="18"/>
                <w:szCs w:val="18"/>
              </w:rPr>
            </w:pPr>
          </w:p>
        </w:tc>
        <w:tc>
          <w:tcPr>
            <w:tcW w:w="995" w:type="dxa"/>
            <w:tcBorders>
              <w:top w:val="nil"/>
              <w:bottom w:val="nil"/>
            </w:tcBorders>
            <w:vAlign w:val="center"/>
          </w:tcPr>
          <w:p w14:paraId="3D2275FF" w14:textId="77777777" w:rsidR="003536A9" w:rsidRPr="003536A9" w:rsidRDefault="003536A9" w:rsidP="003536A9">
            <w:pPr>
              <w:spacing w:before="20" w:after="20"/>
              <w:jc w:val="center"/>
              <w:rPr>
                <w:rFonts w:eastAsia="Times New Roman"/>
                <w:sz w:val="18"/>
                <w:szCs w:val="18"/>
              </w:rPr>
            </w:pPr>
          </w:p>
        </w:tc>
        <w:tc>
          <w:tcPr>
            <w:tcW w:w="995" w:type="dxa"/>
            <w:tcBorders>
              <w:top w:val="nil"/>
              <w:bottom w:val="nil"/>
            </w:tcBorders>
            <w:vAlign w:val="center"/>
          </w:tcPr>
          <w:p w14:paraId="6E15997E" w14:textId="77777777" w:rsidR="003536A9" w:rsidRPr="003536A9" w:rsidRDefault="003536A9" w:rsidP="003536A9">
            <w:pPr>
              <w:spacing w:before="20" w:after="20"/>
              <w:jc w:val="center"/>
              <w:rPr>
                <w:rFonts w:eastAsia="Times New Roman"/>
                <w:sz w:val="18"/>
                <w:szCs w:val="18"/>
              </w:rPr>
            </w:pPr>
          </w:p>
        </w:tc>
        <w:tc>
          <w:tcPr>
            <w:tcW w:w="1215" w:type="dxa"/>
            <w:tcBorders>
              <w:top w:val="nil"/>
              <w:bottom w:val="nil"/>
            </w:tcBorders>
            <w:vAlign w:val="center"/>
          </w:tcPr>
          <w:p w14:paraId="4DAE5927" w14:textId="77777777" w:rsidR="003536A9" w:rsidRPr="003536A9" w:rsidRDefault="003536A9" w:rsidP="003536A9">
            <w:pPr>
              <w:spacing w:before="20" w:after="20"/>
              <w:jc w:val="center"/>
              <w:rPr>
                <w:rFonts w:eastAsia="Times New Roman"/>
                <w:sz w:val="18"/>
                <w:szCs w:val="18"/>
              </w:rPr>
            </w:pPr>
          </w:p>
        </w:tc>
        <w:tc>
          <w:tcPr>
            <w:tcW w:w="982" w:type="dxa"/>
            <w:tcBorders>
              <w:top w:val="nil"/>
              <w:bottom w:val="nil"/>
            </w:tcBorders>
            <w:vAlign w:val="center"/>
          </w:tcPr>
          <w:p w14:paraId="349F1A0A" w14:textId="77777777" w:rsidR="003536A9" w:rsidRPr="003536A9" w:rsidRDefault="003536A9" w:rsidP="003536A9">
            <w:pPr>
              <w:spacing w:before="20" w:after="20"/>
              <w:jc w:val="center"/>
              <w:rPr>
                <w:rFonts w:eastAsia="Times New Roman"/>
                <w:sz w:val="18"/>
                <w:szCs w:val="18"/>
              </w:rPr>
            </w:pPr>
          </w:p>
        </w:tc>
        <w:tc>
          <w:tcPr>
            <w:tcW w:w="1107" w:type="dxa"/>
            <w:tcBorders>
              <w:top w:val="nil"/>
              <w:bottom w:val="nil"/>
            </w:tcBorders>
            <w:vAlign w:val="center"/>
          </w:tcPr>
          <w:p w14:paraId="56B6C88C" w14:textId="77777777" w:rsidR="003536A9" w:rsidRPr="003536A9" w:rsidRDefault="003536A9" w:rsidP="003536A9">
            <w:pPr>
              <w:spacing w:before="20" w:after="20"/>
              <w:jc w:val="center"/>
              <w:rPr>
                <w:rFonts w:eastAsia="Times New Roman"/>
                <w:sz w:val="18"/>
                <w:szCs w:val="18"/>
              </w:rPr>
            </w:pPr>
          </w:p>
        </w:tc>
        <w:tc>
          <w:tcPr>
            <w:tcW w:w="1218" w:type="dxa"/>
            <w:tcBorders>
              <w:top w:val="nil"/>
              <w:bottom w:val="nil"/>
            </w:tcBorders>
            <w:vAlign w:val="center"/>
          </w:tcPr>
          <w:p w14:paraId="3D3897AC" w14:textId="77777777" w:rsidR="003536A9" w:rsidRPr="003536A9" w:rsidRDefault="003536A9" w:rsidP="003536A9">
            <w:pPr>
              <w:spacing w:before="20" w:after="20"/>
              <w:jc w:val="center"/>
              <w:rPr>
                <w:rFonts w:eastAsia="Times New Roman"/>
                <w:sz w:val="18"/>
                <w:szCs w:val="18"/>
              </w:rPr>
            </w:pPr>
          </w:p>
        </w:tc>
      </w:tr>
      <w:tr w:rsidR="003536A9" w:rsidRPr="003536A9" w14:paraId="7F0FC65E" w14:textId="77777777" w:rsidTr="00E055D6">
        <w:trPr>
          <w:jc w:val="center"/>
        </w:trPr>
        <w:tc>
          <w:tcPr>
            <w:tcW w:w="1137" w:type="dxa"/>
            <w:tcBorders>
              <w:top w:val="nil"/>
              <w:bottom w:val="nil"/>
            </w:tcBorders>
          </w:tcPr>
          <w:p w14:paraId="36D0850E"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Enero </w:t>
            </w:r>
          </w:p>
        </w:tc>
        <w:tc>
          <w:tcPr>
            <w:tcW w:w="903" w:type="dxa"/>
            <w:tcBorders>
              <w:top w:val="nil"/>
              <w:bottom w:val="nil"/>
            </w:tcBorders>
            <w:vAlign w:val="center"/>
          </w:tcPr>
          <w:p w14:paraId="788D4C17"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51.0</w:t>
            </w:r>
          </w:p>
        </w:tc>
        <w:tc>
          <w:tcPr>
            <w:tcW w:w="995" w:type="dxa"/>
            <w:tcBorders>
              <w:top w:val="nil"/>
              <w:bottom w:val="nil"/>
            </w:tcBorders>
            <w:vAlign w:val="center"/>
          </w:tcPr>
          <w:p w14:paraId="5FACFEAC"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52.8</w:t>
            </w:r>
          </w:p>
        </w:tc>
        <w:tc>
          <w:tcPr>
            <w:tcW w:w="995" w:type="dxa"/>
            <w:tcBorders>
              <w:top w:val="nil"/>
              <w:bottom w:val="nil"/>
            </w:tcBorders>
            <w:vAlign w:val="center"/>
          </w:tcPr>
          <w:p w14:paraId="0AB2F11E"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53.0</w:t>
            </w:r>
          </w:p>
        </w:tc>
        <w:tc>
          <w:tcPr>
            <w:tcW w:w="1215" w:type="dxa"/>
            <w:tcBorders>
              <w:top w:val="nil"/>
              <w:bottom w:val="nil"/>
            </w:tcBorders>
            <w:vAlign w:val="center"/>
          </w:tcPr>
          <w:p w14:paraId="0DD8BD34"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55.1</w:t>
            </w:r>
          </w:p>
        </w:tc>
        <w:tc>
          <w:tcPr>
            <w:tcW w:w="982" w:type="dxa"/>
            <w:tcBorders>
              <w:top w:val="nil"/>
              <w:bottom w:val="nil"/>
            </w:tcBorders>
            <w:vAlign w:val="center"/>
          </w:tcPr>
          <w:p w14:paraId="4EDF3B4C"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48.6</w:t>
            </w:r>
          </w:p>
        </w:tc>
        <w:tc>
          <w:tcPr>
            <w:tcW w:w="1107" w:type="dxa"/>
            <w:tcBorders>
              <w:top w:val="nil"/>
              <w:bottom w:val="nil"/>
            </w:tcBorders>
            <w:vAlign w:val="center"/>
          </w:tcPr>
          <w:p w14:paraId="64F2B06B"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47.9</w:t>
            </w:r>
          </w:p>
        </w:tc>
        <w:tc>
          <w:tcPr>
            <w:tcW w:w="1218" w:type="dxa"/>
            <w:tcBorders>
              <w:top w:val="nil"/>
              <w:bottom w:val="nil"/>
            </w:tcBorders>
            <w:vAlign w:val="center"/>
          </w:tcPr>
          <w:p w14:paraId="4D66E298"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50.0</w:t>
            </w:r>
          </w:p>
        </w:tc>
      </w:tr>
      <w:tr w:rsidR="003536A9" w:rsidRPr="003536A9" w14:paraId="3418B315" w14:textId="77777777" w:rsidTr="00E055D6">
        <w:trPr>
          <w:jc w:val="center"/>
        </w:trPr>
        <w:tc>
          <w:tcPr>
            <w:tcW w:w="1137" w:type="dxa"/>
            <w:tcBorders>
              <w:top w:val="nil"/>
              <w:bottom w:val="nil"/>
            </w:tcBorders>
          </w:tcPr>
          <w:p w14:paraId="1B3A0C98"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Febrero </w:t>
            </w:r>
          </w:p>
        </w:tc>
        <w:tc>
          <w:tcPr>
            <w:tcW w:w="903" w:type="dxa"/>
            <w:tcBorders>
              <w:top w:val="nil"/>
              <w:bottom w:val="nil"/>
            </w:tcBorders>
            <w:vAlign w:val="center"/>
          </w:tcPr>
          <w:p w14:paraId="1D01F438"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50.2</w:t>
            </w:r>
          </w:p>
        </w:tc>
        <w:tc>
          <w:tcPr>
            <w:tcW w:w="995" w:type="dxa"/>
            <w:tcBorders>
              <w:top w:val="nil"/>
              <w:bottom w:val="nil"/>
            </w:tcBorders>
            <w:vAlign w:val="center"/>
          </w:tcPr>
          <w:p w14:paraId="6F02C961"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53.0</w:t>
            </w:r>
          </w:p>
        </w:tc>
        <w:tc>
          <w:tcPr>
            <w:tcW w:w="995" w:type="dxa"/>
            <w:tcBorders>
              <w:top w:val="nil"/>
              <w:bottom w:val="nil"/>
            </w:tcBorders>
            <w:vAlign w:val="center"/>
          </w:tcPr>
          <w:p w14:paraId="58F4818D"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50.8</w:t>
            </w:r>
          </w:p>
        </w:tc>
        <w:tc>
          <w:tcPr>
            <w:tcW w:w="1215" w:type="dxa"/>
            <w:tcBorders>
              <w:top w:val="nil"/>
              <w:bottom w:val="nil"/>
            </w:tcBorders>
            <w:vAlign w:val="center"/>
          </w:tcPr>
          <w:p w14:paraId="371AED0B"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51.6</w:t>
            </w:r>
          </w:p>
        </w:tc>
        <w:tc>
          <w:tcPr>
            <w:tcW w:w="982" w:type="dxa"/>
            <w:tcBorders>
              <w:top w:val="nil"/>
              <w:bottom w:val="nil"/>
            </w:tcBorders>
            <w:vAlign w:val="center"/>
          </w:tcPr>
          <w:p w14:paraId="1F048B47"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48.8</w:t>
            </w:r>
          </w:p>
        </w:tc>
        <w:tc>
          <w:tcPr>
            <w:tcW w:w="1107" w:type="dxa"/>
            <w:tcBorders>
              <w:top w:val="nil"/>
              <w:bottom w:val="nil"/>
            </w:tcBorders>
            <w:vAlign w:val="center"/>
          </w:tcPr>
          <w:p w14:paraId="0C5FD2D3"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49.3</w:t>
            </w:r>
          </w:p>
        </w:tc>
        <w:tc>
          <w:tcPr>
            <w:tcW w:w="1218" w:type="dxa"/>
            <w:tcBorders>
              <w:top w:val="nil"/>
              <w:bottom w:val="nil"/>
            </w:tcBorders>
            <w:vAlign w:val="center"/>
          </w:tcPr>
          <w:p w14:paraId="5327ACB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51.4</w:t>
            </w:r>
          </w:p>
        </w:tc>
      </w:tr>
      <w:tr w:rsidR="003536A9" w:rsidRPr="003536A9" w14:paraId="399A1E36" w14:textId="77777777" w:rsidTr="00E055D6">
        <w:trPr>
          <w:jc w:val="center"/>
        </w:trPr>
        <w:tc>
          <w:tcPr>
            <w:tcW w:w="1137" w:type="dxa"/>
            <w:tcBorders>
              <w:top w:val="nil"/>
              <w:bottom w:val="single" w:sz="4" w:space="0" w:color="auto"/>
            </w:tcBorders>
          </w:tcPr>
          <w:p w14:paraId="329AE99F"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Marzo </w:t>
            </w:r>
          </w:p>
        </w:tc>
        <w:tc>
          <w:tcPr>
            <w:tcW w:w="903" w:type="dxa"/>
            <w:tcBorders>
              <w:top w:val="nil"/>
              <w:bottom w:val="single" w:sz="4" w:space="0" w:color="auto"/>
            </w:tcBorders>
            <w:vAlign w:val="center"/>
          </w:tcPr>
          <w:p w14:paraId="7C014D0D"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51.4</w:t>
            </w:r>
          </w:p>
        </w:tc>
        <w:tc>
          <w:tcPr>
            <w:tcW w:w="995" w:type="dxa"/>
            <w:tcBorders>
              <w:top w:val="nil"/>
              <w:bottom w:val="single" w:sz="4" w:space="0" w:color="auto"/>
            </w:tcBorders>
            <w:vAlign w:val="center"/>
          </w:tcPr>
          <w:p w14:paraId="58F5F93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54.0</w:t>
            </w:r>
          </w:p>
        </w:tc>
        <w:tc>
          <w:tcPr>
            <w:tcW w:w="995" w:type="dxa"/>
            <w:tcBorders>
              <w:top w:val="nil"/>
              <w:bottom w:val="single" w:sz="4" w:space="0" w:color="auto"/>
            </w:tcBorders>
            <w:vAlign w:val="center"/>
          </w:tcPr>
          <w:p w14:paraId="6F657DE0"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51.9</w:t>
            </w:r>
          </w:p>
        </w:tc>
        <w:tc>
          <w:tcPr>
            <w:tcW w:w="1215" w:type="dxa"/>
            <w:tcBorders>
              <w:top w:val="nil"/>
              <w:bottom w:val="single" w:sz="4" w:space="0" w:color="auto"/>
            </w:tcBorders>
            <w:vAlign w:val="center"/>
          </w:tcPr>
          <w:p w14:paraId="239AF99B"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50.7</w:t>
            </w:r>
          </w:p>
        </w:tc>
        <w:tc>
          <w:tcPr>
            <w:tcW w:w="982" w:type="dxa"/>
            <w:tcBorders>
              <w:top w:val="nil"/>
              <w:bottom w:val="single" w:sz="4" w:space="0" w:color="auto"/>
            </w:tcBorders>
            <w:vAlign w:val="center"/>
          </w:tcPr>
          <w:p w14:paraId="0B667346"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51.3</w:t>
            </w:r>
          </w:p>
        </w:tc>
        <w:tc>
          <w:tcPr>
            <w:tcW w:w="1107" w:type="dxa"/>
            <w:tcBorders>
              <w:top w:val="nil"/>
              <w:bottom w:val="single" w:sz="4" w:space="0" w:color="auto"/>
            </w:tcBorders>
            <w:vAlign w:val="center"/>
          </w:tcPr>
          <w:p w14:paraId="7460EE3D"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49.3</w:t>
            </w:r>
          </w:p>
        </w:tc>
        <w:tc>
          <w:tcPr>
            <w:tcW w:w="1218" w:type="dxa"/>
            <w:tcBorders>
              <w:top w:val="nil"/>
              <w:bottom w:val="single" w:sz="4" w:space="0" w:color="auto"/>
            </w:tcBorders>
            <w:vAlign w:val="center"/>
          </w:tcPr>
          <w:p w14:paraId="45A081A3" w14:textId="77777777" w:rsidR="003536A9" w:rsidRPr="003536A9" w:rsidRDefault="003536A9" w:rsidP="003536A9">
            <w:pPr>
              <w:spacing w:before="20" w:after="20"/>
              <w:jc w:val="center"/>
              <w:rPr>
                <w:rFonts w:eastAsia="Times New Roman"/>
                <w:sz w:val="18"/>
                <w:szCs w:val="18"/>
              </w:rPr>
            </w:pPr>
            <w:r w:rsidRPr="003536A9">
              <w:rPr>
                <w:rFonts w:eastAsia="Times New Roman"/>
                <w:sz w:val="18"/>
                <w:szCs w:val="18"/>
              </w:rPr>
              <w:t>53.6</w:t>
            </w:r>
          </w:p>
        </w:tc>
      </w:tr>
      <w:tr w:rsidR="003536A9" w:rsidRPr="003536A9" w14:paraId="40A4700F" w14:textId="77777777" w:rsidTr="001C7810">
        <w:trPr>
          <w:jc w:val="center"/>
        </w:trPr>
        <w:tc>
          <w:tcPr>
            <w:tcW w:w="8552" w:type="dxa"/>
            <w:gridSpan w:val="8"/>
            <w:tcBorders>
              <w:left w:val="nil"/>
              <w:bottom w:val="nil"/>
              <w:right w:val="nil"/>
            </w:tcBorders>
          </w:tcPr>
          <w:p w14:paraId="6885C8D8" w14:textId="77777777" w:rsidR="003536A9" w:rsidRPr="003536A9" w:rsidRDefault="003536A9" w:rsidP="003536A9">
            <w:pPr>
              <w:ind w:left="178" w:hanging="178"/>
              <w:jc w:val="both"/>
              <w:rPr>
                <w:rFonts w:eastAsia="Times New Roman"/>
                <w:sz w:val="20"/>
                <w:szCs w:val="20"/>
              </w:rPr>
            </w:pPr>
            <w:r w:rsidRPr="003536A9">
              <w:rPr>
                <w:rFonts w:eastAsia="Times New Roman"/>
                <w:sz w:val="20"/>
                <w:szCs w:val="20"/>
              </w:rPr>
              <w:t>* No se encontraron factores estacionales para los subíndices de entrega de productos e inventarios, por lo que sus series originales y ajustadas son iguales.</w:t>
            </w:r>
          </w:p>
          <w:p w14:paraId="6F76EE64" w14:textId="77777777" w:rsidR="003536A9" w:rsidRPr="003536A9" w:rsidRDefault="003536A9" w:rsidP="003536A9">
            <w:pPr>
              <w:jc w:val="both"/>
              <w:rPr>
                <w:rFonts w:eastAsia="Times New Roman"/>
                <w:sz w:val="20"/>
                <w:szCs w:val="20"/>
              </w:rPr>
            </w:pPr>
            <w:r w:rsidRPr="003536A9">
              <w:rPr>
                <w:rFonts w:eastAsia="Times New Roman"/>
                <w:sz w:val="20"/>
                <w:szCs w:val="20"/>
              </w:rPr>
              <w:t>FUENTE: IMEF.</w:t>
            </w:r>
          </w:p>
        </w:tc>
      </w:tr>
    </w:tbl>
    <w:p w14:paraId="7F6BC17E" w14:textId="77777777" w:rsidR="003536A9" w:rsidRPr="003536A9" w:rsidRDefault="003536A9" w:rsidP="003536A9">
      <w:pPr>
        <w:spacing w:after="360" w:line="360" w:lineRule="auto"/>
        <w:ind w:right="-159"/>
        <w:jc w:val="both"/>
        <w:rPr>
          <w:rFonts w:eastAsia="Times New Roman"/>
          <w:b/>
          <w:bCs/>
          <w:sz w:val="26"/>
          <w:szCs w:val="26"/>
          <w:lang w:val="es-ES"/>
        </w:rPr>
      </w:pPr>
    </w:p>
    <w:p w14:paraId="63EAFB01" w14:textId="77777777" w:rsidR="003536A9" w:rsidRPr="003536A9" w:rsidRDefault="003536A9" w:rsidP="003536A9">
      <w:pPr>
        <w:spacing w:after="360" w:line="360" w:lineRule="auto"/>
        <w:ind w:right="-159"/>
        <w:jc w:val="both"/>
        <w:rPr>
          <w:rFonts w:eastAsia="Times New Roman"/>
          <w:b/>
          <w:bCs/>
          <w:sz w:val="26"/>
          <w:szCs w:val="26"/>
          <w:lang w:val="es-ES"/>
        </w:rPr>
      </w:pPr>
      <w:r w:rsidRPr="003536A9">
        <w:rPr>
          <w:rFonts w:eastAsia="Times New Roman"/>
          <w:b/>
          <w:bCs/>
          <w:sz w:val="26"/>
          <w:szCs w:val="26"/>
          <w:lang w:val="es-ES"/>
        </w:rPr>
        <w:t>El Indicador IMEF No Manufacturero</w:t>
      </w:r>
    </w:p>
    <w:p w14:paraId="48AC357F"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t xml:space="preserve">El Indicador IMEF No Manufacturero registró un descenso mensual de 0.8 puntos en marzo, lo que ubica al índice en 49.3 unidades. Por su parte, el Indicador de tendencia-ciclo reportó una disminución de 0.3 puntos, al situarse en 49.2 unidades. El resultado de marzo se explica por descensos en tres de los cuatro subíndices que integran el </w:t>
      </w:r>
      <w:r w:rsidRPr="003536A9">
        <w:rPr>
          <w:rFonts w:eastAsia="Times New Roman"/>
          <w:bCs/>
          <w:sz w:val="26"/>
          <w:szCs w:val="26"/>
        </w:rPr>
        <w:lastRenderedPageBreak/>
        <w:t>indicador no manufacturero, nuevos pedidos, producción y empleo, mientras que el de entrega de productos se mantuvo sin cambio. Con este resultado, el indicador descendió nuevamente por debajo del umbral de 50 puntos, lo cual sugiere que el sector servicios y comercio mantendrán un desempeño débil.</w:t>
      </w:r>
    </w:p>
    <w:p w14:paraId="118D24B4"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t>Sin embargo, el Comité subrayó el desempeño favorable de los indicadores de consumo privado y ventas minoristas de enero y febrero, cuyas cifras ajustadas por estacionalidad muestran crecimientos importantes. Estos indicadores permiten suponer que la demanda interna se acelerará en los meses siguientes, pero aún es pronto para advertir un cambio de tendencia y serán los próximos indicadores mensuales los que confirmen si el mayor crecimiento del consumo privado se sostiene. En este sentido, es importante notar que la confianza del consumidor se mantiene en niveles relativamente bajos y el crédito bancario al consumo crece todavía con lentitud, no obstante la recuperación de estos indicadores en los últimos meses.</w:t>
      </w:r>
    </w:p>
    <w:p w14:paraId="6EC5BF84" w14:textId="77777777" w:rsidR="003536A9" w:rsidRPr="003536A9" w:rsidRDefault="003536A9" w:rsidP="003536A9">
      <w:pPr>
        <w:spacing w:after="360" w:line="360" w:lineRule="auto"/>
        <w:ind w:right="-159"/>
        <w:jc w:val="both"/>
        <w:rPr>
          <w:rFonts w:eastAsia="Times New Roman"/>
          <w:bCs/>
          <w:sz w:val="26"/>
          <w:szCs w:val="26"/>
        </w:rPr>
      </w:pPr>
      <w:r w:rsidRPr="003536A9">
        <w:rPr>
          <w:rFonts w:eastAsia="Times New Roman"/>
          <w:bCs/>
          <w:sz w:val="26"/>
          <w:szCs w:val="26"/>
        </w:rPr>
        <w:t>Si bien el Comité insistió en que la eventual normalización de la política monetaria en Estados Unidos de Norteamérica persiste como factor de riesgo ante la volatilidad que pudiera generar en los mercados financieros y el incremento en las tasas de interés, las recientes señales de la Reserva Federal permiten suponer que dicho proceso pudiera demorarse a finales del tercer trimestre del 2015. Esto podría contribuir a condiciones de estabilidad que apoyen al crecimiento en los próximos meses.</w:t>
      </w:r>
    </w:p>
    <w:p w14:paraId="335118A6" w14:textId="77777777" w:rsidR="003536A9" w:rsidRPr="003536A9" w:rsidRDefault="003536A9" w:rsidP="003536A9">
      <w:pPr>
        <w:spacing w:after="360" w:line="360" w:lineRule="auto"/>
        <w:ind w:right="-159"/>
        <w:jc w:val="both"/>
        <w:rPr>
          <w:rFonts w:eastAsia="Times New Roman"/>
          <w:bCs/>
          <w:sz w:val="26"/>
          <w:szCs w:val="26"/>
        </w:rPr>
      </w:pPr>
    </w:p>
    <w:p w14:paraId="492B6F25" w14:textId="77777777" w:rsidR="003536A9" w:rsidRPr="003536A9" w:rsidRDefault="003536A9" w:rsidP="003536A9">
      <w:pPr>
        <w:spacing w:after="360" w:line="360" w:lineRule="auto"/>
        <w:ind w:right="-159"/>
        <w:jc w:val="both"/>
        <w:rPr>
          <w:rFonts w:eastAsia="Times New Roman"/>
          <w:bCs/>
          <w:sz w:val="26"/>
          <w:szCs w:val="26"/>
        </w:rPr>
      </w:pPr>
    </w:p>
    <w:p w14:paraId="2253CC4A" w14:textId="77777777" w:rsidR="003536A9" w:rsidRPr="003536A9" w:rsidRDefault="003536A9" w:rsidP="003536A9">
      <w:pPr>
        <w:spacing w:after="360" w:line="360" w:lineRule="auto"/>
        <w:ind w:right="-159"/>
        <w:jc w:val="both"/>
        <w:rPr>
          <w:rFonts w:eastAsia="Times New Roman"/>
          <w:bCs/>
          <w:sz w:val="26"/>
          <w:szCs w:val="26"/>
        </w:rPr>
      </w:pPr>
    </w:p>
    <w:p w14:paraId="03D0F14D" w14:textId="77777777" w:rsidR="003536A9" w:rsidRPr="003536A9" w:rsidRDefault="003536A9" w:rsidP="003536A9">
      <w:pPr>
        <w:spacing w:after="360" w:line="360" w:lineRule="auto"/>
        <w:ind w:right="-159"/>
        <w:jc w:val="both"/>
        <w:rPr>
          <w:rFonts w:eastAsia="Times New Roman"/>
          <w:bCs/>
          <w:sz w:val="26"/>
          <w:szCs w:val="26"/>
        </w:rPr>
      </w:pPr>
    </w:p>
    <w:tbl>
      <w:tblPr>
        <w:tblW w:w="0" w:type="auto"/>
        <w:jc w:val="center"/>
        <w:tblLook w:val="04A0" w:firstRow="1" w:lastRow="0" w:firstColumn="1" w:lastColumn="0" w:noHBand="0" w:noVBand="1"/>
      </w:tblPr>
      <w:tblGrid>
        <w:gridCol w:w="8067"/>
      </w:tblGrid>
      <w:tr w:rsidR="003536A9" w:rsidRPr="003536A9" w14:paraId="1DB7BB26" w14:textId="77777777" w:rsidTr="001C7810">
        <w:trPr>
          <w:jc w:val="center"/>
        </w:trPr>
        <w:tc>
          <w:tcPr>
            <w:tcW w:w="8067" w:type="dxa"/>
          </w:tcPr>
          <w:p w14:paraId="01C5D637" w14:textId="77777777" w:rsidR="003536A9" w:rsidRPr="003536A9" w:rsidRDefault="003536A9" w:rsidP="003536A9">
            <w:pPr>
              <w:ind w:right="-159"/>
              <w:jc w:val="center"/>
              <w:rPr>
                <w:rFonts w:eastAsia="Times New Roman"/>
                <w:b/>
                <w:bCs/>
                <w:sz w:val="22"/>
                <w:szCs w:val="22"/>
              </w:rPr>
            </w:pPr>
            <w:r w:rsidRPr="003536A9">
              <w:rPr>
                <w:rFonts w:eastAsia="Times New Roman"/>
                <w:b/>
                <w:bCs/>
                <w:sz w:val="22"/>
                <w:szCs w:val="22"/>
              </w:rPr>
              <w:lastRenderedPageBreak/>
              <w:t>INDICADOR IMEF NO MANUFACTURERO</w:t>
            </w:r>
          </w:p>
        </w:tc>
      </w:tr>
      <w:tr w:rsidR="003536A9" w:rsidRPr="003536A9" w14:paraId="2BCA4EAF" w14:textId="77777777" w:rsidTr="001C7810">
        <w:trPr>
          <w:trHeight w:val="4138"/>
          <w:jc w:val="center"/>
        </w:trPr>
        <w:tc>
          <w:tcPr>
            <w:tcW w:w="8067" w:type="dxa"/>
          </w:tcPr>
          <w:p w14:paraId="2C935901" w14:textId="77777777" w:rsidR="003536A9" w:rsidRPr="003536A9" w:rsidRDefault="003536A9" w:rsidP="003536A9">
            <w:pPr>
              <w:ind w:right="-159"/>
              <w:jc w:val="center"/>
              <w:rPr>
                <w:rFonts w:eastAsia="Times New Roman"/>
                <w:bCs/>
                <w:sz w:val="26"/>
                <w:szCs w:val="26"/>
              </w:rPr>
            </w:pPr>
            <w:r w:rsidRPr="003536A9">
              <w:rPr>
                <w:rFonts w:eastAsia="Times New Roman"/>
                <w:bCs/>
                <w:noProof/>
                <w:sz w:val="26"/>
                <w:szCs w:val="26"/>
                <w:lang w:eastAsia="es-MX"/>
              </w:rPr>
              <w:drawing>
                <wp:inline distT="0" distB="0" distL="0" distR="0" wp14:anchorId="56DE4CF4" wp14:editId="293B1EE8">
                  <wp:extent cx="4172573" cy="2628000"/>
                  <wp:effectExtent l="0" t="0" r="0" b="0"/>
                  <wp:docPr id="1494" name="Imagen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3286" t="6042" r="2614"/>
                          <a:stretch/>
                        </pic:blipFill>
                        <pic:spPr bwMode="auto">
                          <a:xfrm>
                            <a:off x="0" y="0"/>
                            <a:ext cx="4172573" cy="262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36A9" w:rsidRPr="003536A9" w14:paraId="3476DA37" w14:textId="77777777" w:rsidTr="001C7810">
        <w:trPr>
          <w:jc w:val="center"/>
        </w:trPr>
        <w:tc>
          <w:tcPr>
            <w:tcW w:w="8067" w:type="dxa"/>
          </w:tcPr>
          <w:p w14:paraId="0B3968D1" w14:textId="77777777" w:rsidR="003536A9" w:rsidRPr="003536A9" w:rsidRDefault="003536A9" w:rsidP="003536A9">
            <w:pPr>
              <w:ind w:left="1026" w:right="-159"/>
              <w:jc w:val="both"/>
              <w:rPr>
                <w:rFonts w:eastAsia="Times New Roman"/>
                <w:bCs/>
                <w:sz w:val="20"/>
                <w:szCs w:val="20"/>
              </w:rPr>
            </w:pPr>
            <w:r w:rsidRPr="003536A9">
              <w:rPr>
                <w:rFonts w:eastAsia="Times New Roman"/>
                <w:bCs/>
                <w:sz w:val="20"/>
                <w:szCs w:val="20"/>
              </w:rPr>
              <w:t>FUENTE: IMEF.</w:t>
            </w:r>
          </w:p>
        </w:tc>
      </w:tr>
    </w:tbl>
    <w:p w14:paraId="4E9E43F9" w14:textId="77777777" w:rsidR="003536A9" w:rsidRPr="003536A9" w:rsidRDefault="003536A9" w:rsidP="003536A9">
      <w:pPr>
        <w:spacing w:after="360" w:line="360" w:lineRule="auto"/>
        <w:ind w:right="-159"/>
        <w:jc w:val="both"/>
        <w:rPr>
          <w:rFonts w:eastAsia="Times New Roman"/>
          <w:bCs/>
          <w:sz w:val="26"/>
          <w:szCs w:val="26"/>
          <w:highlight w:val="green"/>
          <w:lang w:val="es-ES"/>
        </w:rPr>
      </w:pP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9"/>
        <w:gridCol w:w="923"/>
        <w:gridCol w:w="1082"/>
        <w:gridCol w:w="1037"/>
        <w:gridCol w:w="1224"/>
        <w:gridCol w:w="1017"/>
        <w:gridCol w:w="1404"/>
      </w:tblGrid>
      <w:tr w:rsidR="003536A9" w:rsidRPr="003536A9" w14:paraId="37C64CE3" w14:textId="77777777" w:rsidTr="00E055D6">
        <w:trPr>
          <w:jc w:val="center"/>
        </w:trPr>
        <w:tc>
          <w:tcPr>
            <w:tcW w:w="7796" w:type="dxa"/>
            <w:gridSpan w:val="7"/>
            <w:tcBorders>
              <w:top w:val="nil"/>
              <w:left w:val="nil"/>
              <w:bottom w:val="single" w:sz="4" w:space="0" w:color="auto"/>
              <w:right w:val="nil"/>
            </w:tcBorders>
            <w:vAlign w:val="center"/>
          </w:tcPr>
          <w:p w14:paraId="28A2990D" w14:textId="77777777" w:rsidR="003536A9" w:rsidRPr="003536A9" w:rsidRDefault="003536A9" w:rsidP="003536A9">
            <w:pPr>
              <w:jc w:val="center"/>
              <w:rPr>
                <w:rFonts w:eastAsia="Times New Roman"/>
                <w:b/>
                <w:sz w:val="22"/>
                <w:szCs w:val="22"/>
                <w:lang w:val="es-ES"/>
              </w:rPr>
            </w:pPr>
            <w:r w:rsidRPr="003536A9">
              <w:rPr>
                <w:rFonts w:eastAsia="Times New Roman"/>
                <w:b/>
                <w:sz w:val="22"/>
                <w:szCs w:val="22"/>
                <w:lang w:val="es-ES"/>
              </w:rPr>
              <w:t>INDICADOR IMEF NO MANUFACTURERO</w:t>
            </w:r>
          </w:p>
          <w:p w14:paraId="00D6494A" w14:textId="77777777" w:rsidR="003536A9" w:rsidRPr="003536A9" w:rsidRDefault="003536A9" w:rsidP="003536A9">
            <w:pPr>
              <w:jc w:val="center"/>
              <w:rPr>
                <w:rFonts w:eastAsia="Times New Roman"/>
                <w:b/>
                <w:sz w:val="22"/>
                <w:szCs w:val="22"/>
                <w:lang w:val="es-ES"/>
              </w:rPr>
            </w:pPr>
            <w:r w:rsidRPr="003536A9">
              <w:rPr>
                <w:rFonts w:eastAsia="Times New Roman"/>
                <w:b/>
                <w:sz w:val="22"/>
                <w:szCs w:val="22"/>
                <w:lang w:val="es-ES"/>
              </w:rPr>
              <w:t>-Series desestacionalizadas-</w:t>
            </w:r>
          </w:p>
        </w:tc>
      </w:tr>
      <w:tr w:rsidR="003536A9" w:rsidRPr="003536A9" w14:paraId="500EB225" w14:textId="77777777" w:rsidTr="00E055D6">
        <w:trPr>
          <w:jc w:val="center"/>
        </w:trPr>
        <w:tc>
          <w:tcPr>
            <w:tcW w:w="1109" w:type="dxa"/>
            <w:tcBorders>
              <w:bottom w:val="single" w:sz="4" w:space="0" w:color="auto"/>
            </w:tcBorders>
            <w:vAlign w:val="center"/>
          </w:tcPr>
          <w:p w14:paraId="4D80725D"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2014</w:t>
            </w:r>
          </w:p>
        </w:tc>
        <w:tc>
          <w:tcPr>
            <w:tcW w:w="923" w:type="dxa"/>
            <w:tcBorders>
              <w:bottom w:val="single" w:sz="4" w:space="0" w:color="auto"/>
            </w:tcBorders>
            <w:vAlign w:val="center"/>
          </w:tcPr>
          <w:p w14:paraId="53B02D2E"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Índice</w:t>
            </w:r>
          </w:p>
          <w:p w14:paraId="28C21DEC"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Total</w:t>
            </w:r>
          </w:p>
        </w:tc>
        <w:tc>
          <w:tcPr>
            <w:tcW w:w="1082" w:type="dxa"/>
            <w:tcBorders>
              <w:bottom w:val="single" w:sz="4" w:space="0" w:color="auto"/>
            </w:tcBorders>
            <w:vAlign w:val="center"/>
          </w:tcPr>
          <w:p w14:paraId="3A02A2E7"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Ajustado por Tamaño de Empresa</w:t>
            </w:r>
          </w:p>
        </w:tc>
        <w:tc>
          <w:tcPr>
            <w:tcW w:w="1037" w:type="dxa"/>
            <w:tcBorders>
              <w:bottom w:val="single" w:sz="4" w:space="0" w:color="auto"/>
            </w:tcBorders>
            <w:vAlign w:val="center"/>
          </w:tcPr>
          <w:p w14:paraId="12304C4A"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Nuevos Pedidos</w:t>
            </w:r>
          </w:p>
        </w:tc>
        <w:tc>
          <w:tcPr>
            <w:tcW w:w="1224" w:type="dxa"/>
            <w:tcBorders>
              <w:bottom w:val="single" w:sz="4" w:space="0" w:color="auto"/>
            </w:tcBorders>
            <w:vAlign w:val="center"/>
          </w:tcPr>
          <w:p w14:paraId="61EB7A96"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Producción</w:t>
            </w:r>
          </w:p>
        </w:tc>
        <w:tc>
          <w:tcPr>
            <w:tcW w:w="1017" w:type="dxa"/>
            <w:tcBorders>
              <w:bottom w:val="single" w:sz="4" w:space="0" w:color="auto"/>
            </w:tcBorders>
            <w:vAlign w:val="center"/>
          </w:tcPr>
          <w:p w14:paraId="21CAC62E"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Empleo*</w:t>
            </w:r>
          </w:p>
        </w:tc>
        <w:tc>
          <w:tcPr>
            <w:tcW w:w="1404" w:type="dxa"/>
            <w:tcBorders>
              <w:bottom w:val="single" w:sz="4" w:space="0" w:color="auto"/>
            </w:tcBorders>
            <w:vAlign w:val="center"/>
          </w:tcPr>
          <w:p w14:paraId="7B218595" w14:textId="77777777" w:rsidR="003536A9" w:rsidRPr="003536A9" w:rsidRDefault="003536A9" w:rsidP="003536A9">
            <w:pPr>
              <w:spacing w:before="20" w:after="20"/>
              <w:jc w:val="center"/>
              <w:rPr>
                <w:rFonts w:eastAsia="Times New Roman"/>
                <w:b/>
                <w:sz w:val="18"/>
                <w:szCs w:val="20"/>
                <w:lang w:val="es-ES"/>
              </w:rPr>
            </w:pPr>
            <w:r w:rsidRPr="003536A9">
              <w:rPr>
                <w:rFonts w:eastAsia="Times New Roman"/>
                <w:b/>
                <w:sz w:val="18"/>
                <w:szCs w:val="20"/>
                <w:lang w:val="es-ES"/>
              </w:rPr>
              <w:t>Entrega de productos*</w:t>
            </w:r>
          </w:p>
        </w:tc>
      </w:tr>
      <w:tr w:rsidR="003536A9" w:rsidRPr="003536A9" w14:paraId="447A5028" w14:textId="77777777" w:rsidTr="00E055D6">
        <w:trPr>
          <w:jc w:val="center"/>
        </w:trPr>
        <w:tc>
          <w:tcPr>
            <w:tcW w:w="1109" w:type="dxa"/>
            <w:tcBorders>
              <w:top w:val="single" w:sz="4" w:space="0" w:color="auto"/>
              <w:bottom w:val="nil"/>
            </w:tcBorders>
          </w:tcPr>
          <w:p w14:paraId="5ED50996"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Octubre </w:t>
            </w:r>
          </w:p>
        </w:tc>
        <w:tc>
          <w:tcPr>
            <w:tcW w:w="923" w:type="dxa"/>
            <w:tcBorders>
              <w:top w:val="single" w:sz="4" w:space="0" w:color="auto"/>
              <w:bottom w:val="nil"/>
            </w:tcBorders>
          </w:tcPr>
          <w:p w14:paraId="2DDD98A9"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52.1</w:t>
            </w:r>
          </w:p>
        </w:tc>
        <w:tc>
          <w:tcPr>
            <w:tcW w:w="1082" w:type="dxa"/>
            <w:tcBorders>
              <w:top w:val="single" w:sz="4" w:space="0" w:color="auto"/>
              <w:bottom w:val="nil"/>
            </w:tcBorders>
          </w:tcPr>
          <w:p w14:paraId="293644B7"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52.8</w:t>
            </w:r>
          </w:p>
        </w:tc>
        <w:tc>
          <w:tcPr>
            <w:tcW w:w="1037" w:type="dxa"/>
            <w:tcBorders>
              <w:top w:val="single" w:sz="4" w:space="0" w:color="auto"/>
              <w:bottom w:val="nil"/>
            </w:tcBorders>
          </w:tcPr>
          <w:p w14:paraId="21F6F899"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54.2</w:t>
            </w:r>
          </w:p>
        </w:tc>
        <w:tc>
          <w:tcPr>
            <w:tcW w:w="1224" w:type="dxa"/>
            <w:tcBorders>
              <w:top w:val="single" w:sz="4" w:space="0" w:color="auto"/>
              <w:bottom w:val="nil"/>
            </w:tcBorders>
          </w:tcPr>
          <w:p w14:paraId="1AABD070"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53.7</w:t>
            </w:r>
          </w:p>
        </w:tc>
        <w:tc>
          <w:tcPr>
            <w:tcW w:w="1017" w:type="dxa"/>
            <w:tcBorders>
              <w:top w:val="single" w:sz="4" w:space="0" w:color="auto"/>
              <w:bottom w:val="nil"/>
            </w:tcBorders>
          </w:tcPr>
          <w:p w14:paraId="4C681DC5"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49.4</w:t>
            </w:r>
          </w:p>
        </w:tc>
        <w:tc>
          <w:tcPr>
            <w:tcW w:w="1404" w:type="dxa"/>
            <w:tcBorders>
              <w:top w:val="single" w:sz="4" w:space="0" w:color="auto"/>
              <w:bottom w:val="nil"/>
            </w:tcBorders>
          </w:tcPr>
          <w:p w14:paraId="514AFA8A"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49.7</w:t>
            </w:r>
          </w:p>
        </w:tc>
      </w:tr>
      <w:tr w:rsidR="003536A9" w:rsidRPr="003536A9" w14:paraId="389291BF" w14:textId="77777777" w:rsidTr="00E055D6">
        <w:trPr>
          <w:jc w:val="center"/>
        </w:trPr>
        <w:tc>
          <w:tcPr>
            <w:tcW w:w="1109" w:type="dxa"/>
            <w:tcBorders>
              <w:top w:val="nil"/>
              <w:bottom w:val="nil"/>
            </w:tcBorders>
          </w:tcPr>
          <w:p w14:paraId="2361E813"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Noviembre </w:t>
            </w:r>
          </w:p>
        </w:tc>
        <w:tc>
          <w:tcPr>
            <w:tcW w:w="923" w:type="dxa"/>
            <w:tcBorders>
              <w:top w:val="nil"/>
              <w:bottom w:val="nil"/>
            </w:tcBorders>
          </w:tcPr>
          <w:p w14:paraId="7E10D6B3"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51.1</w:t>
            </w:r>
          </w:p>
        </w:tc>
        <w:tc>
          <w:tcPr>
            <w:tcW w:w="1082" w:type="dxa"/>
            <w:tcBorders>
              <w:top w:val="nil"/>
              <w:bottom w:val="nil"/>
            </w:tcBorders>
          </w:tcPr>
          <w:p w14:paraId="67097AE6"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54.7</w:t>
            </w:r>
          </w:p>
        </w:tc>
        <w:tc>
          <w:tcPr>
            <w:tcW w:w="1037" w:type="dxa"/>
            <w:tcBorders>
              <w:top w:val="nil"/>
              <w:bottom w:val="nil"/>
            </w:tcBorders>
          </w:tcPr>
          <w:p w14:paraId="71BCBCB7"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53.1</w:t>
            </w:r>
          </w:p>
        </w:tc>
        <w:tc>
          <w:tcPr>
            <w:tcW w:w="1224" w:type="dxa"/>
            <w:tcBorders>
              <w:top w:val="nil"/>
              <w:bottom w:val="nil"/>
            </w:tcBorders>
          </w:tcPr>
          <w:p w14:paraId="70A0BFA6"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54.5</w:t>
            </w:r>
          </w:p>
        </w:tc>
        <w:tc>
          <w:tcPr>
            <w:tcW w:w="1017" w:type="dxa"/>
            <w:tcBorders>
              <w:top w:val="nil"/>
              <w:bottom w:val="nil"/>
            </w:tcBorders>
          </w:tcPr>
          <w:p w14:paraId="61E53738"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50.6</w:t>
            </w:r>
          </w:p>
        </w:tc>
        <w:tc>
          <w:tcPr>
            <w:tcW w:w="1404" w:type="dxa"/>
            <w:tcBorders>
              <w:top w:val="nil"/>
              <w:bottom w:val="nil"/>
            </w:tcBorders>
          </w:tcPr>
          <w:p w14:paraId="3184392F"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48.6</w:t>
            </w:r>
          </w:p>
        </w:tc>
      </w:tr>
      <w:tr w:rsidR="003536A9" w:rsidRPr="003536A9" w14:paraId="3387FFFF" w14:textId="77777777" w:rsidTr="00E055D6">
        <w:trPr>
          <w:jc w:val="center"/>
        </w:trPr>
        <w:tc>
          <w:tcPr>
            <w:tcW w:w="1109" w:type="dxa"/>
            <w:tcBorders>
              <w:top w:val="nil"/>
              <w:bottom w:val="nil"/>
            </w:tcBorders>
          </w:tcPr>
          <w:p w14:paraId="69EE25C6"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Diciembre </w:t>
            </w:r>
          </w:p>
        </w:tc>
        <w:tc>
          <w:tcPr>
            <w:tcW w:w="923" w:type="dxa"/>
            <w:tcBorders>
              <w:top w:val="nil"/>
              <w:bottom w:val="nil"/>
            </w:tcBorders>
          </w:tcPr>
          <w:p w14:paraId="702C1184"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49.9</w:t>
            </w:r>
          </w:p>
        </w:tc>
        <w:tc>
          <w:tcPr>
            <w:tcW w:w="1082" w:type="dxa"/>
            <w:tcBorders>
              <w:top w:val="nil"/>
              <w:bottom w:val="nil"/>
            </w:tcBorders>
          </w:tcPr>
          <w:p w14:paraId="65A8E711"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52.7</w:t>
            </w:r>
          </w:p>
        </w:tc>
        <w:tc>
          <w:tcPr>
            <w:tcW w:w="1037" w:type="dxa"/>
            <w:tcBorders>
              <w:top w:val="nil"/>
              <w:bottom w:val="nil"/>
            </w:tcBorders>
          </w:tcPr>
          <w:p w14:paraId="1BB56998"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52.7</w:t>
            </w:r>
          </w:p>
        </w:tc>
        <w:tc>
          <w:tcPr>
            <w:tcW w:w="1224" w:type="dxa"/>
            <w:tcBorders>
              <w:top w:val="nil"/>
              <w:bottom w:val="nil"/>
            </w:tcBorders>
          </w:tcPr>
          <w:p w14:paraId="19A0ADB5"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52.6</w:t>
            </w:r>
          </w:p>
        </w:tc>
        <w:tc>
          <w:tcPr>
            <w:tcW w:w="1017" w:type="dxa"/>
            <w:tcBorders>
              <w:top w:val="nil"/>
              <w:bottom w:val="nil"/>
            </w:tcBorders>
          </w:tcPr>
          <w:p w14:paraId="4434C927"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48.0</w:t>
            </w:r>
          </w:p>
        </w:tc>
        <w:tc>
          <w:tcPr>
            <w:tcW w:w="1404" w:type="dxa"/>
            <w:tcBorders>
              <w:top w:val="nil"/>
              <w:bottom w:val="nil"/>
            </w:tcBorders>
          </w:tcPr>
          <w:p w14:paraId="3815B330"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50.1</w:t>
            </w:r>
          </w:p>
        </w:tc>
      </w:tr>
      <w:tr w:rsidR="003536A9" w:rsidRPr="003536A9" w14:paraId="61310447" w14:textId="77777777" w:rsidTr="00E055D6">
        <w:trPr>
          <w:jc w:val="center"/>
        </w:trPr>
        <w:tc>
          <w:tcPr>
            <w:tcW w:w="1109" w:type="dxa"/>
            <w:tcBorders>
              <w:top w:val="nil"/>
              <w:bottom w:val="nil"/>
            </w:tcBorders>
          </w:tcPr>
          <w:p w14:paraId="03749F06" w14:textId="77777777" w:rsidR="003536A9" w:rsidRPr="003536A9" w:rsidRDefault="003536A9" w:rsidP="003536A9">
            <w:pPr>
              <w:spacing w:before="20" w:after="20"/>
              <w:jc w:val="center"/>
              <w:rPr>
                <w:rFonts w:eastAsia="Times New Roman"/>
                <w:b/>
                <w:sz w:val="18"/>
                <w:szCs w:val="18"/>
              </w:rPr>
            </w:pPr>
            <w:r w:rsidRPr="003536A9">
              <w:rPr>
                <w:rFonts w:eastAsia="Times New Roman"/>
                <w:b/>
                <w:sz w:val="18"/>
                <w:szCs w:val="18"/>
              </w:rPr>
              <w:t>2015</w:t>
            </w:r>
          </w:p>
        </w:tc>
        <w:tc>
          <w:tcPr>
            <w:tcW w:w="923" w:type="dxa"/>
            <w:tcBorders>
              <w:top w:val="nil"/>
              <w:bottom w:val="nil"/>
            </w:tcBorders>
          </w:tcPr>
          <w:p w14:paraId="2C05644D" w14:textId="77777777" w:rsidR="003536A9" w:rsidRPr="003536A9" w:rsidRDefault="003536A9" w:rsidP="003536A9">
            <w:pPr>
              <w:spacing w:before="20" w:after="20"/>
              <w:jc w:val="center"/>
              <w:rPr>
                <w:rFonts w:eastAsia="Times New Roman"/>
                <w:sz w:val="18"/>
                <w:szCs w:val="20"/>
                <w:lang w:val="es-ES"/>
              </w:rPr>
            </w:pPr>
          </w:p>
        </w:tc>
        <w:tc>
          <w:tcPr>
            <w:tcW w:w="1082" w:type="dxa"/>
            <w:tcBorders>
              <w:top w:val="nil"/>
              <w:bottom w:val="nil"/>
            </w:tcBorders>
          </w:tcPr>
          <w:p w14:paraId="65E59D83" w14:textId="77777777" w:rsidR="003536A9" w:rsidRPr="003536A9" w:rsidRDefault="003536A9" w:rsidP="003536A9">
            <w:pPr>
              <w:spacing w:before="20" w:after="20"/>
              <w:jc w:val="center"/>
              <w:rPr>
                <w:rFonts w:eastAsia="Times New Roman"/>
                <w:sz w:val="18"/>
                <w:szCs w:val="20"/>
                <w:lang w:val="es-ES"/>
              </w:rPr>
            </w:pPr>
          </w:p>
        </w:tc>
        <w:tc>
          <w:tcPr>
            <w:tcW w:w="1037" w:type="dxa"/>
            <w:tcBorders>
              <w:top w:val="nil"/>
              <w:bottom w:val="nil"/>
            </w:tcBorders>
          </w:tcPr>
          <w:p w14:paraId="34D885A1" w14:textId="77777777" w:rsidR="003536A9" w:rsidRPr="003536A9" w:rsidRDefault="003536A9" w:rsidP="003536A9">
            <w:pPr>
              <w:spacing w:before="20" w:after="20"/>
              <w:jc w:val="center"/>
              <w:rPr>
                <w:rFonts w:eastAsia="Times New Roman"/>
                <w:sz w:val="18"/>
                <w:szCs w:val="20"/>
                <w:lang w:val="es-ES"/>
              </w:rPr>
            </w:pPr>
          </w:p>
        </w:tc>
        <w:tc>
          <w:tcPr>
            <w:tcW w:w="1224" w:type="dxa"/>
            <w:tcBorders>
              <w:top w:val="nil"/>
              <w:bottom w:val="nil"/>
            </w:tcBorders>
          </w:tcPr>
          <w:p w14:paraId="718B3F90" w14:textId="77777777" w:rsidR="003536A9" w:rsidRPr="003536A9" w:rsidRDefault="003536A9" w:rsidP="003536A9">
            <w:pPr>
              <w:spacing w:before="20" w:after="20"/>
              <w:jc w:val="center"/>
              <w:rPr>
                <w:rFonts w:eastAsia="Times New Roman"/>
                <w:sz w:val="18"/>
                <w:szCs w:val="20"/>
                <w:lang w:val="es-ES"/>
              </w:rPr>
            </w:pPr>
          </w:p>
        </w:tc>
        <w:tc>
          <w:tcPr>
            <w:tcW w:w="1017" w:type="dxa"/>
            <w:tcBorders>
              <w:top w:val="nil"/>
              <w:bottom w:val="nil"/>
            </w:tcBorders>
          </w:tcPr>
          <w:p w14:paraId="06125B7F" w14:textId="77777777" w:rsidR="003536A9" w:rsidRPr="003536A9" w:rsidRDefault="003536A9" w:rsidP="003536A9">
            <w:pPr>
              <w:spacing w:before="20" w:after="20"/>
              <w:jc w:val="center"/>
              <w:rPr>
                <w:rFonts w:eastAsia="Times New Roman"/>
                <w:sz w:val="18"/>
                <w:szCs w:val="20"/>
                <w:lang w:val="es-ES"/>
              </w:rPr>
            </w:pPr>
          </w:p>
        </w:tc>
        <w:tc>
          <w:tcPr>
            <w:tcW w:w="1404" w:type="dxa"/>
            <w:tcBorders>
              <w:top w:val="nil"/>
              <w:bottom w:val="nil"/>
            </w:tcBorders>
          </w:tcPr>
          <w:p w14:paraId="094CC512" w14:textId="77777777" w:rsidR="003536A9" w:rsidRPr="003536A9" w:rsidRDefault="003536A9" w:rsidP="003536A9">
            <w:pPr>
              <w:spacing w:before="20" w:after="20"/>
              <w:jc w:val="center"/>
              <w:rPr>
                <w:rFonts w:eastAsia="Times New Roman"/>
                <w:sz w:val="18"/>
                <w:szCs w:val="20"/>
                <w:lang w:val="es-ES"/>
              </w:rPr>
            </w:pPr>
          </w:p>
        </w:tc>
      </w:tr>
      <w:tr w:rsidR="003536A9" w:rsidRPr="003536A9" w14:paraId="12E06029" w14:textId="77777777" w:rsidTr="00E055D6">
        <w:trPr>
          <w:jc w:val="center"/>
        </w:trPr>
        <w:tc>
          <w:tcPr>
            <w:tcW w:w="1109" w:type="dxa"/>
            <w:tcBorders>
              <w:top w:val="nil"/>
              <w:bottom w:val="nil"/>
            </w:tcBorders>
          </w:tcPr>
          <w:p w14:paraId="307DEF3C"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Enero </w:t>
            </w:r>
          </w:p>
        </w:tc>
        <w:tc>
          <w:tcPr>
            <w:tcW w:w="923" w:type="dxa"/>
            <w:tcBorders>
              <w:top w:val="nil"/>
              <w:bottom w:val="nil"/>
            </w:tcBorders>
          </w:tcPr>
          <w:p w14:paraId="6A4FA9A9"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49.2</w:t>
            </w:r>
          </w:p>
        </w:tc>
        <w:tc>
          <w:tcPr>
            <w:tcW w:w="1082" w:type="dxa"/>
            <w:tcBorders>
              <w:top w:val="nil"/>
              <w:bottom w:val="nil"/>
            </w:tcBorders>
          </w:tcPr>
          <w:p w14:paraId="0D2CA292" w14:textId="531A7E5B" w:rsidR="003536A9" w:rsidRPr="003536A9" w:rsidRDefault="003536A9" w:rsidP="0063019C">
            <w:pPr>
              <w:spacing w:before="20" w:after="20"/>
              <w:jc w:val="center"/>
              <w:rPr>
                <w:rFonts w:eastAsia="Times New Roman"/>
                <w:sz w:val="18"/>
                <w:szCs w:val="20"/>
                <w:lang w:val="es-ES"/>
              </w:rPr>
            </w:pPr>
            <w:r w:rsidRPr="003536A9">
              <w:rPr>
                <w:rFonts w:eastAsia="Times New Roman"/>
                <w:sz w:val="18"/>
                <w:szCs w:val="20"/>
                <w:lang w:val="es-ES"/>
              </w:rPr>
              <w:t>51.</w:t>
            </w:r>
            <w:r w:rsidR="0063019C">
              <w:rPr>
                <w:rFonts w:eastAsia="Times New Roman"/>
                <w:sz w:val="18"/>
                <w:szCs w:val="20"/>
                <w:lang w:val="es-ES"/>
              </w:rPr>
              <w:t>4</w:t>
            </w:r>
          </w:p>
        </w:tc>
        <w:tc>
          <w:tcPr>
            <w:tcW w:w="1037" w:type="dxa"/>
            <w:tcBorders>
              <w:top w:val="nil"/>
              <w:bottom w:val="nil"/>
            </w:tcBorders>
          </w:tcPr>
          <w:p w14:paraId="04657D48"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49.2</w:t>
            </w:r>
          </w:p>
        </w:tc>
        <w:tc>
          <w:tcPr>
            <w:tcW w:w="1224" w:type="dxa"/>
            <w:tcBorders>
              <w:top w:val="nil"/>
              <w:bottom w:val="nil"/>
            </w:tcBorders>
          </w:tcPr>
          <w:p w14:paraId="4483D626"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50.4</w:t>
            </w:r>
          </w:p>
        </w:tc>
        <w:tc>
          <w:tcPr>
            <w:tcW w:w="1017" w:type="dxa"/>
            <w:tcBorders>
              <w:top w:val="nil"/>
              <w:bottom w:val="nil"/>
            </w:tcBorders>
          </w:tcPr>
          <w:p w14:paraId="10BB42FA"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47.2</w:t>
            </w:r>
          </w:p>
        </w:tc>
        <w:tc>
          <w:tcPr>
            <w:tcW w:w="1404" w:type="dxa"/>
            <w:tcBorders>
              <w:top w:val="nil"/>
              <w:bottom w:val="nil"/>
            </w:tcBorders>
          </w:tcPr>
          <w:p w14:paraId="7B053C1F"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48.5</w:t>
            </w:r>
          </w:p>
        </w:tc>
      </w:tr>
      <w:tr w:rsidR="003536A9" w:rsidRPr="003536A9" w14:paraId="7AC096DA" w14:textId="77777777" w:rsidTr="00E055D6">
        <w:trPr>
          <w:jc w:val="center"/>
        </w:trPr>
        <w:tc>
          <w:tcPr>
            <w:tcW w:w="1109" w:type="dxa"/>
            <w:tcBorders>
              <w:top w:val="nil"/>
              <w:bottom w:val="nil"/>
            </w:tcBorders>
          </w:tcPr>
          <w:p w14:paraId="44D5B1C7"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Febrero </w:t>
            </w:r>
          </w:p>
        </w:tc>
        <w:tc>
          <w:tcPr>
            <w:tcW w:w="923" w:type="dxa"/>
            <w:tcBorders>
              <w:top w:val="nil"/>
              <w:bottom w:val="nil"/>
            </w:tcBorders>
          </w:tcPr>
          <w:p w14:paraId="5511F190"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50.1</w:t>
            </w:r>
          </w:p>
        </w:tc>
        <w:tc>
          <w:tcPr>
            <w:tcW w:w="1082" w:type="dxa"/>
            <w:tcBorders>
              <w:top w:val="nil"/>
              <w:bottom w:val="nil"/>
            </w:tcBorders>
          </w:tcPr>
          <w:p w14:paraId="2C6D0C16"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51.9</w:t>
            </w:r>
          </w:p>
        </w:tc>
        <w:tc>
          <w:tcPr>
            <w:tcW w:w="1037" w:type="dxa"/>
            <w:tcBorders>
              <w:top w:val="nil"/>
              <w:bottom w:val="nil"/>
            </w:tcBorders>
          </w:tcPr>
          <w:p w14:paraId="6E757B9C"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52.2</w:t>
            </w:r>
          </w:p>
        </w:tc>
        <w:tc>
          <w:tcPr>
            <w:tcW w:w="1224" w:type="dxa"/>
            <w:tcBorders>
              <w:top w:val="nil"/>
              <w:bottom w:val="nil"/>
            </w:tcBorders>
          </w:tcPr>
          <w:p w14:paraId="2C1404C9"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52.3</w:t>
            </w:r>
          </w:p>
        </w:tc>
        <w:tc>
          <w:tcPr>
            <w:tcW w:w="1017" w:type="dxa"/>
            <w:tcBorders>
              <w:top w:val="nil"/>
              <w:bottom w:val="nil"/>
            </w:tcBorders>
          </w:tcPr>
          <w:p w14:paraId="17086944"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47.3</w:t>
            </w:r>
          </w:p>
        </w:tc>
        <w:tc>
          <w:tcPr>
            <w:tcW w:w="1404" w:type="dxa"/>
            <w:tcBorders>
              <w:top w:val="nil"/>
              <w:bottom w:val="nil"/>
            </w:tcBorders>
          </w:tcPr>
          <w:p w14:paraId="38BB0BCD"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48.1</w:t>
            </w:r>
          </w:p>
        </w:tc>
      </w:tr>
      <w:tr w:rsidR="003536A9" w:rsidRPr="003536A9" w14:paraId="5B6EF4B8" w14:textId="77777777" w:rsidTr="00E055D6">
        <w:trPr>
          <w:jc w:val="center"/>
        </w:trPr>
        <w:tc>
          <w:tcPr>
            <w:tcW w:w="1109" w:type="dxa"/>
            <w:tcBorders>
              <w:top w:val="nil"/>
              <w:bottom w:val="single" w:sz="4" w:space="0" w:color="auto"/>
            </w:tcBorders>
          </w:tcPr>
          <w:p w14:paraId="4968322A" w14:textId="77777777" w:rsidR="003536A9" w:rsidRPr="003536A9" w:rsidRDefault="003536A9" w:rsidP="003536A9">
            <w:pPr>
              <w:spacing w:before="20" w:after="20"/>
              <w:rPr>
                <w:rFonts w:eastAsia="Times New Roman"/>
                <w:sz w:val="18"/>
                <w:szCs w:val="18"/>
              </w:rPr>
            </w:pPr>
            <w:r w:rsidRPr="003536A9">
              <w:rPr>
                <w:rFonts w:eastAsia="Times New Roman"/>
                <w:sz w:val="18"/>
                <w:szCs w:val="18"/>
              </w:rPr>
              <w:t xml:space="preserve">Marzo </w:t>
            </w:r>
          </w:p>
        </w:tc>
        <w:tc>
          <w:tcPr>
            <w:tcW w:w="923" w:type="dxa"/>
            <w:tcBorders>
              <w:top w:val="nil"/>
              <w:bottom w:val="single" w:sz="4" w:space="0" w:color="auto"/>
            </w:tcBorders>
          </w:tcPr>
          <w:p w14:paraId="3D595099"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49.3</w:t>
            </w:r>
          </w:p>
        </w:tc>
        <w:tc>
          <w:tcPr>
            <w:tcW w:w="1082" w:type="dxa"/>
            <w:tcBorders>
              <w:top w:val="nil"/>
              <w:bottom w:val="single" w:sz="4" w:space="0" w:color="auto"/>
            </w:tcBorders>
          </w:tcPr>
          <w:p w14:paraId="2675C12B"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52.2</w:t>
            </w:r>
          </w:p>
        </w:tc>
        <w:tc>
          <w:tcPr>
            <w:tcW w:w="1037" w:type="dxa"/>
            <w:tcBorders>
              <w:top w:val="nil"/>
              <w:bottom w:val="single" w:sz="4" w:space="0" w:color="auto"/>
            </w:tcBorders>
          </w:tcPr>
          <w:p w14:paraId="0E806252"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50.7</w:t>
            </w:r>
          </w:p>
        </w:tc>
        <w:tc>
          <w:tcPr>
            <w:tcW w:w="1224" w:type="dxa"/>
            <w:tcBorders>
              <w:top w:val="nil"/>
              <w:bottom w:val="single" w:sz="4" w:space="0" w:color="auto"/>
            </w:tcBorders>
          </w:tcPr>
          <w:p w14:paraId="6E489324"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50.4</w:t>
            </w:r>
          </w:p>
        </w:tc>
        <w:tc>
          <w:tcPr>
            <w:tcW w:w="1017" w:type="dxa"/>
            <w:tcBorders>
              <w:top w:val="nil"/>
              <w:bottom w:val="single" w:sz="4" w:space="0" w:color="auto"/>
            </w:tcBorders>
          </w:tcPr>
          <w:p w14:paraId="7141C47C"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47.1</w:t>
            </w:r>
          </w:p>
        </w:tc>
        <w:tc>
          <w:tcPr>
            <w:tcW w:w="1404" w:type="dxa"/>
            <w:tcBorders>
              <w:top w:val="nil"/>
              <w:bottom w:val="single" w:sz="4" w:space="0" w:color="auto"/>
            </w:tcBorders>
          </w:tcPr>
          <w:p w14:paraId="031BC55B" w14:textId="77777777" w:rsidR="003536A9" w:rsidRPr="003536A9" w:rsidRDefault="003536A9" w:rsidP="003536A9">
            <w:pPr>
              <w:spacing w:before="20" w:after="20"/>
              <w:jc w:val="center"/>
              <w:rPr>
                <w:rFonts w:eastAsia="Times New Roman"/>
                <w:sz w:val="18"/>
                <w:szCs w:val="20"/>
                <w:lang w:val="es-ES"/>
              </w:rPr>
            </w:pPr>
            <w:r w:rsidRPr="003536A9">
              <w:rPr>
                <w:rFonts w:eastAsia="Times New Roman"/>
                <w:sz w:val="18"/>
                <w:szCs w:val="20"/>
                <w:lang w:val="es-ES"/>
              </w:rPr>
              <w:t>50.1</w:t>
            </w:r>
          </w:p>
        </w:tc>
      </w:tr>
      <w:tr w:rsidR="003536A9" w:rsidRPr="003536A9" w14:paraId="4E0F6542" w14:textId="77777777" w:rsidTr="001C7810">
        <w:trPr>
          <w:jc w:val="center"/>
        </w:trPr>
        <w:tc>
          <w:tcPr>
            <w:tcW w:w="7796" w:type="dxa"/>
            <w:gridSpan w:val="7"/>
            <w:tcBorders>
              <w:left w:val="nil"/>
              <w:bottom w:val="nil"/>
              <w:right w:val="nil"/>
            </w:tcBorders>
          </w:tcPr>
          <w:p w14:paraId="4AAF2DAF" w14:textId="77777777" w:rsidR="003536A9" w:rsidRPr="003536A9" w:rsidRDefault="003536A9" w:rsidP="003536A9">
            <w:pPr>
              <w:ind w:left="159" w:hanging="159"/>
              <w:jc w:val="both"/>
              <w:rPr>
                <w:rFonts w:eastAsia="Times New Roman"/>
                <w:sz w:val="20"/>
                <w:szCs w:val="20"/>
              </w:rPr>
            </w:pPr>
            <w:r w:rsidRPr="003536A9">
              <w:rPr>
                <w:rFonts w:eastAsia="Times New Roman"/>
                <w:sz w:val="20"/>
                <w:szCs w:val="20"/>
              </w:rPr>
              <w:t>* No se encontraron factores estacionales para los subíndices de empleos y entrega de productos, por lo que sus series originales y ajustadas son iguales.</w:t>
            </w:r>
          </w:p>
          <w:p w14:paraId="3D786033" w14:textId="77777777" w:rsidR="003536A9" w:rsidRPr="003536A9" w:rsidRDefault="003536A9" w:rsidP="003536A9">
            <w:pPr>
              <w:jc w:val="both"/>
              <w:rPr>
                <w:rFonts w:eastAsia="Times New Roman"/>
                <w:sz w:val="20"/>
                <w:szCs w:val="20"/>
                <w:lang w:val="es-ES"/>
              </w:rPr>
            </w:pPr>
            <w:r w:rsidRPr="003536A9">
              <w:rPr>
                <w:rFonts w:eastAsia="Times New Roman"/>
                <w:sz w:val="20"/>
                <w:szCs w:val="20"/>
              </w:rPr>
              <w:t>FUENTE: IMEF.</w:t>
            </w:r>
          </w:p>
        </w:tc>
      </w:tr>
    </w:tbl>
    <w:p w14:paraId="3FAC81EC" w14:textId="77777777" w:rsidR="003536A9" w:rsidRPr="003536A9" w:rsidRDefault="003536A9" w:rsidP="003536A9">
      <w:pPr>
        <w:spacing w:after="360" w:line="360" w:lineRule="auto"/>
        <w:ind w:right="-159"/>
        <w:jc w:val="both"/>
        <w:rPr>
          <w:rFonts w:eastAsia="Times New Roman"/>
          <w:bCs/>
          <w:sz w:val="26"/>
          <w:szCs w:val="26"/>
          <w:lang w:val="es-ES"/>
        </w:rPr>
      </w:pPr>
    </w:p>
    <w:p w14:paraId="5801189E" w14:textId="77777777" w:rsidR="003536A9" w:rsidRPr="003536A9" w:rsidRDefault="003536A9" w:rsidP="003536A9">
      <w:pPr>
        <w:spacing w:after="360" w:line="360" w:lineRule="auto"/>
        <w:ind w:right="-159"/>
        <w:jc w:val="both"/>
        <w:rPr>
          <w:rFonts w:eastAsia="Times New Roman"/>
          <w:b/>
          <w:bCs/>
          <w:sz w:val="26"/>
          <w:szCs w:val="26"/>
          <w:lang w:val="es-ES"/>
        </w:rPr>
      </w:pPr>
      <w:r w:rsidRPr="003536A9">
        <w:rPr>
          <w:rFonts w:eastAsia="Times New Roman"/>
          <w:b/>
          <w:bCs/>
          <w:sz w:val="26"/>
          <w:szCs w:val="26"/>
          <w:lang w:val="es-ES"/>
        </w:rPr>
        <w:t>¿Qué es el Indicador IMEF?</w:t>
      </w:r>
    </w:p>
    <w:p w14:paraId="3D1A5617" w14:textId="77777777" w:rsidR="003536A9" w:rsidRPr="003536A9" w:rsidRDefault="003536A9" w:rsidP="003536A9">
      <w:pPr>
        <w:spacing w:after="360" w:line="360" w:lineRule="auto"/>
        <w:ind w:right="-159"/>
        <w:jc w:val="both"/>
        <w:rPr>
          <w:rFonts w:eastAsia="Times New Roman"/>
          <w:sz w:val="26"/>
          <w:szCs w:val="26"/>
        </w:rPr>
      </w:pPr>
      <w:r w:rsidRPr="003536A9">
        <w:rPr>
          <w:rFonts w:eastAsia="Times New Roman"/>
          <w:sz w:val="26"/>
          <w:szCs w:val="26"/>
        </w:rPr>
        <w:t>El Indicador IMEF es un índice de difusión que cuantifica el entorno económico con base en una encuesta de cinco preguntas cualitativas. En particular, el Indicador IMEF está construido para ayudar a anticipar la dirección de la actividad manufacturera y no manufacturera en México y, a partir de la evolución esperada de esos sectores, inferir la posible evolución de la economía en general en el corto plazo.</w:t>
      </w:r>
    </w:p>
    <w:p w14:paraId="36659163" w14:textId="77777777" w:rsidR="003536A9" w:rsidRPr="003536A9" w:rsidRDefault="003536A9" w:rsidP="003536A9">
      <w:pPr>
        <w:spacing w:after="360" w:line="360" w:lineRule="auto"/>
        <w:ind w:right="-159"/>
        <w:jc w:val="both"/>
        <w:rPr>
          <w:rFonts w:eastAsia="Times New Roman"/>
          <w:sz w:val="26"/>
          <w:szCs w:val="26"/>
        </w:rPr>
      </w:pPr>
      <w:r w:rsidRPr="003536A9">
        <w:rPr>
          <w:rFonts w:eastAsia="Times New Roman"/>
          <w:sz w:val="26"/>
          <w:szCs w:val="26"/>
        </w:rPr>
        <w:lastRenderedPageBreak/>
        <w:t>El Indicador IMEF varía en un intervalo de 0 a 100 puntos y el nivel de 50 puntos representa el umbral entre una expansión (mayor a 50) y una contracción (menor a 50), de la actividad económica. En principio, cuando el índice se encuentra por encima del umbral, un aumento se interpreta como señal de una expansión futura más rápida; cuando el índice se encuentra por debajo del umbral, un decremento se interpreta como señal de una contracción futura más lenta. No obstante, el indicador no proporciona información específica sobre la magnitud de los cambios esperados.</w:t>
      </w:r>
    </w:p>
    <w:p w14:paraId="7187656B" w14:textId="77777777" w:rsidR="003536A9" w:rsidRPr="003536A9" w:rsidRDefault="003536A9" w:rsidP="003536A9">
      <w:pPr>
        <w:spacing w:after="360" w:line="360" w:lineRule="auto"/>
        <w:ind w:right="-159"/>
        <w:jc w:val="both"/>
        <w:rPr>
          <w:rFonts w:eastAsia="Times New Roman"/>
          <w:sz w:val="26"/>
          <w:szCs w:val="26"/>
        </w:rPr>
      </w:pPr>
      <w:r w:rsidRPr="003536A9">
        <w:rPr>
          <w:rFonts w:eastAsia="Times New Roman"/>
          <w:sz w:val="26"/>
          <w:szCs w:val="26"/>
        </w:rPr>
        <w:t>El responsable principal de la elaboración del Indicador IMEF es el Comité Técnico del Indicador IMEF del Instituto Mexicano de Ejecutivos de Finanzas (IMEF), que cuenta con el apoyo técnico y normativo del Instituto Nacional de Estadística y Geografía (INEGI). El Comité Técnico ofrece una interpretación oportuna del indicador, analiza aspectos técnicos, metodológicos y operativos, asegura su continuidad y evalúa su eficacia. Este comité está integrado por especialistas de los sectores privado, público y académico.</w:t>
      </w:r>
    </w:p>
    <w:p w14:paraId="724AADA2" w14:textId="77777777" w:rsidR="003536A9" w:rsidRPr="003536A9" w:rsidRDefault="003536A9" w:rsidP="003536A9">
      <w:pPr>
        <w:spacing w:after="360" w:line="360" w:lineRule="auto"/>
        <w:ind w:right="-159"/>
        <w:jc w:val="both"/>
        <w:rPr>
          <w:rFonts w:eastAsia="Times New Roman"/>
          <w:sz w:val="26"/>
          <w:szCs w:val="26"/>
        </w:rPr>
      </w:pPr>
      <w:r w:rsidRPr="003536A9">
        <w:rPr>
          <w:rFonts w:eastAsia="Times New Roman"/>
          <w:sz w:val="26"/>
          <w:szCs w:val="26"/>
        </w:rPr>
        <w:t>El IMEF levanta la encuesta entre sus socios y redes de afiliados para así computar las series originales de los indicadores. El INEGI brinda el apoyo para los ajustes estacionales y el cálculo de las tendencias-ciclo de todas las series. No obstante, todas las labores son realizadas por el IMEF mediante su Comité Técnico.</w:t>
      </w:r>
    </w:p>
    <w:p w14:paraId="05B94EA4" w14:textId="1CBA8C3C" w:rsidR="00512C3D" w:rsidRDefault="003536A9" w:rsidP="003536A9">
      <w:pPr>
        <w:spacing w:after="360" w:line="360" w:lineRule="auto"/>
        <w:ind w:right="-159"/>
        <w:jc w:val="both"/>
        <w:rPr>
          <w:rFonts w:eastAsia="Times New Roman"/>
          <w:sz w:val="26"/>
          <w:szCs w:val="26"/>
        </w:rPr>
      </w:pPr>
      <w:r w:rsidRPr="003536A9">
        <w:rPr>
          <w:rFonts w:eastAsia="Times New Roman"/>
          <w:sz w:val="26"/>
          <w:szCs w:val="26"/>
        </w:rPr>
        <w:t>La difusión del Indicador IMEF es oportuna. Mensualmente el Comité Técnico edita este boletín en el que informa los resultados de la última encuesta. Los resultados se publican los días 1</w:t>
      </w:r>
      <w:r w:rsidR="002C0CF5">
        <w:rPr>
          <w:rFonts w:eastAsia="Times New Roman"/>
          <w:sz w:val="26"/>
          <w:szCs w:val="26"/>
        </w:rPr>
        <w:t xml:space="preserve">º </w:t>
      </w:r>
      <w:r w:rsidRPr="003536A9">
        <w:rPr>
          <w:rFonts w:eastAsia="Times New Roman"/>
          <w:sz w:val="26"/>
          <w:szCs w:val="26"/>
        </w:rPr>
        <w:t xml:space="preserve">de cada mes (o el día hábil siguiente si esa fecha cae en viernes, sábado, domingo o día festivo) a las 12:00 horas del mes siguiente al que se reporta. </w:t>
      </w:r>
    </w:p>
    <w:p w14:paraId="2A03B485" w14:textId="77777777" w:rsidR="00F20067" w:rsidRDefault="00F20067" w:rsidP="003536A9">
      <w:pPr>
        <w:spacing w:after="360" w:line="360" w:lineRule="auto"/>
        <w:ind w:right="-159"/>
        <w:jc w:val="both"/>
        <w:rPr>
          <w:rFonts w:eastAsia="Times New Roman"/>
          <w:sz w:val="26"/>
          <w:szCs w:val="26"/>
        </w:rPr>
      </w:pPr>
    </w:p>
    <w:p w14:paraId="35F4121E" w14:textId="310A8ED2" w:rsidR="003536A9" w:rsidRPr="003536A9" w:rsidRDefault="003536A9" w:rsidP="003536A9">
      <w:pPr>
        <w:spacing w:after="360" w:line="360" w:lineRule="auto"/>
        <w:ind w:right="-159"/>
        <w:jc w:val="both"/>
        <w:rPr>
          <w:rFonts w:eastAsia="Times New Roman"/>
          <w:sz w:val="26"/>
          <w:szCs w:val="26"/>
          <w:lang w:val="es-ES"/>
        </w:rPr>
      </w:pPr>
      <w:r w:rsidRPr="003536A9">
        <w:rPr>
          <w:rFonts w:eastAsia="Times New Roman"/>
          <w:sz w:val="26"/>
          <w:szCs w:val="26"/>
        </w:rPr>
        <w:lastRenderedPageBreak/>
        <w:t>La información está disponible en la página de Internet del Indicador IMEF (www.iieem.org.mx), a la cual también se puede tener acceso mediante la página principal del IMEF (www.imef.org.mx).</w:t>
      </w:r>
    </w:p>
    <w:p w14:paraId="6F67E2E2" w14:textId="77777777" w:rsidR="003536A9" w:rsidRPr="003536A9" w:rsidRDefault="003536A9" w:rsidP="003536A9">
      <w:pPr>
        <w:ind w:right="-159"/>
        <w:jc w:val="both"/>
        <w:rPr>
          <w:rFonts w:eastAsia="Times New Roman"/>
          <w:b/>
          <w:sz w:val="20"/>
          <w:szCs w:val="20"/>
          <w:lang w:val="es-ES"/>
        </w:rPr>
      </w:pPr>
      <w:r w:rsidRPr="003536A9">
        <w:rPr>
          <w:rFonts w:eastAsia="Times New Roman"/>
          <w:b/>
          <w:sz w:val="20"/>
          <w:szCs w:val="20"/>
          <w:lang w:val="es-ES"/>
        </w:rPr>
        <w:t>Fuente de información:</w:t>
      </w:r>
    </w:p>
    <w:p w14:paraId="7F77FE12" w14:textId="77777777" w:rsidR="003536A9" w:rsidRPr="00E630EC" w:rsidRDefault="0045651A" w:rsidP="00E630EC">
      <w:pPr>
        <w:spacing w:after="720"/>
        <w:ind w:right="-159"/>
        <w:jc w:val="both"/>
        <w:rPr>
          <w:rFonts w:eastAsia="Times New Roman"/>
          <w:b/>
          <w:color w:val="0000FF"/>
          <w:sz w:val="20"/>
          <w:szCs w:val="20"/>
          <w:lang w:val="es-ES"/>
        </w:rPr>
      </w:pPr>
      <w:hyperlink r:id="rId135" w:history="1">
        <w:r w:rsidR="003536A9" w:rsidRPr="00E630EC">
          <w:rPr>
            <w:rFonts w:eastAsia="Times New Roman"/>
            <w:color w:val="0000FF"/>
            <w:sz w:val="20"/>
            <w:szCs w:val="20"/>
            <w:u w:val="single"/>
            <w:lang w:val="es-ES"/>
          </w:rPr>
          <w:t>http://www.iieem.org.mx/Boletin.pdf?submit=Bolet%C3%ADn+T%C3%A9cnico+del+Mes</w:t>
        </w:r>
      </w:hyperlink>
    </w:p>
    <w:p w14:paraId="6F908B07" w14:textId="77777777" w:rsidR="002C0CF5" w:rsidRPr="002C0CF5" w:rsidRDefault="002C0CF5" w:rsidP="002C0CF5">
      <w:pPr>
        <w:rPr>
          <w:rFonts w:eastAsia="Calibri"/>
          <w:b/>
          <w:sz w:val="26"/>
          <w:szCs w:val="26"/>
          <w:lang w:eastAsia="en-US"/>
        </w:rPr>
      </w:pPr>
      <w:r w:rsidRPr="002C0CF5">
        <w:rPr>
          <w:rFonts w:eastAsia="Calibri"/>
          <w:b/>
          <w:sz w:val="26"/>
          <w:szCs w:val="26"/>
          <w:lang w:eastAsia="en-US"/>
        </w:rPr>
        <w:t>Compromiso en transformar a México en una sociedad</w:t>
      </w:r>
    </w:p>
    <w:p w14:paraId="17329198" w14:textId="77777777" w:rsidR="002C0CF5" w:rsidRPr="002C0CF5" w:rsidRDefault="002C0CF5" w:rsidP="002C0CF5">
      <w:pPr>
        <w:spacing w:after="360" w:line="360" w:lineRule="auto"/>
        <w:ind w:right="-159"/>
        <w:jc w:val="both"/>
        <w:rPr>
          <w:rFonts w:eastAsia="Calibri"/>
          <w:b/>
          <w:sz w:val="26"/>
          <w:szCs w:val="26"/>
          <w:lang w:eastAsia="en-US"/>
        </w:rPr>
      </w:pPr>
      <w:r w:rsidRPr="002C0CF5">
        <w:rPr>
          <w:rFonts w:eastAsia="Calibri"/>
          <w:b/>
          <w:sz w:val="26"/>
          <w:szCs w:val="26"/>
          <w:lang w:eastAsia="en-US"/>
        </w:rPr>
        <w:t>del conocimiento (Presidencia de la República)</w:t>
      </w:r>
    </w:p>
    <w:p w14:paraId="0A08260D"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13 de abril de 2015, la Presidencia de la República comunicó que al entregar el Premio de Investigación de la Academia Mexicana de Ciencias, el Presidente de México resaltó el compromiso del Gobierno de la República con la ciencia, la tecnología y la innovación. “Está comprometido en transformar a México en una sociedad del conocimiento”, subrayó.</w:t>
      </w:r>
    </w:p>
    <w:p w14:paraId="75A86C2E"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Mencionó que en el Gobierno de la República “estamos promoviendo la generación y utilización del conocimiento, particularmente de carácter científico, para acelerar el desarrollo integral del país. De hecho, más del 30% de las líneas de acción del Plan Nacional de Desarrollo está sustentado en la ciencia, la tecnología y la innovación”.</w:t>
      </w:r>
    </w:p>
    <w:p w14:paraId="594B0809"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Recordó que en julio de 2014 se puso en marcha el Programa Especial de Ciencia, Tecnología e Innovación, que da cauce a las directrices del sector establecidas desde el inicio de esta Administración, y define prioridades claras para el corto, mediano y largo plazos. A la fecha, “hay avances alentadores en cada uno de sus cinco objetivos”:</w:t>
      </w:r>
    </w:p>
    <w:p w14:paraId="2E802DB1" w14:textId="733DB64B"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b/>
          <w:sz w:val="26"/>
          <w:szCs w:val="26"/>
          <w:lang w:eastAsia="en-US"/>
        </w:rPr>
        <w:t>Primero</w:t>
      </w:r>
      <w:r w:rsidRPr="002C0CF5">
        <w:rPr>
          <w:rFonts w:eastAsia="Calibri"/>
          <w:sz w:val="26"/>
          <w:szCs w:val="26"/>
          <w:lang w:eastAsia="en-US"/>
        </w:rPr>
        <w:t>: Promover el crecimiento de la inversión nacional en ciencia, tecnología e innovación. “El Estado mexicano ha realizado un esfuerzo presupuesta</w:t>
      </w:r>
      <w:r w:rsidR="002D0969">
        <w:rPr>
          <w:rFonts w:eastAsia="Calibri"/>
          <w:sz w:val="26"/>
          <w:szCs w:val="26"/>
          <w:lang w:eastAsia="en-US"/>
        </w:rPr>
        <w:t>rio</w:t>
      </w:r>
      <w:r w:rsidRPr="002C0CF5">
        <w:rPr>
          <w:rFonts w:eastAsia="Calibri"/>
          <w:sz w:val="26"/>
          <w:szCs w:val="26"/>
          <w:lang w:eastAsia="en-US"/>
        </w:rPr>
        <w:t xml:space="preserve">, como no lo había hecho en décadas, para incrementar la inversión en estos rubros. De 2012 a 2015, los recursos públicos destinados a ciencia, tecnología e innovación se han incrementado en 36% en términos reales, y 47% en términos nominales. Así, el indicador de gasto en </w:t>
      </w:r>
      <w:r w:rsidRPr="002C0CF5">
        <w:rPr>
          <w:rFonts w:eastAsia="Calibri"/>
          <w:sz w:val="26"/>
          <w:szCs w:val="26"/>
          <w:lang w:eastAsia="en-US"/>
        </w:rPr>
        <w:lastRenderedPageBreak/>
        <w:t>investigación científica y desarrollo experimental pasó de 0.43% con respecto al PIB en 2012, a 0.54% en 2014, y esperamos que para 2015 éste alcance, e incluso pueda ser superior a 0.56%, en la meta que nos hemos fijado para esta Administración de poder llegar a una inversión pública y privada del 1% con respecto al producto interno bruto”.</w:t>
      </w:r>
    </w:p>
    <w:p w14:paraId="0665B2C6"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Presidente de México resaltó que “no sólo estamos invirtiendo más, sino que los recursos científicos se están direccionando de manera estratégica para incrementar su beneficio para el país. Por ejemplo, se estableció un Programa de Atención a Problemas Nacionales que promueve que los investigadores se enfoquen en el estudio y solución de nuestros desafíos: México ya genera conocimiento en ámbitos de la mayor importancia como la mitigación del cambio climático, el desarrollo urbano inteligente, manufactura de alta tecnología o el consumo sustentable de agua y energía”.</w:t>
      </w:r>
    </w:p>
    <w:p w14:paraId="068816BF"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b/>
          <w:sz w:val="26"/>
          <w:szCs w:val="26"/>
          <w:lang w:eastAsia="en-US"/>
        </w:rPr>
        <w:t>Segundo</w:t>
      </w:r>
      <w:r w:rsidRPr="002C0CF5">
        <w:rPr>
          <w:rFonts w:eastAsia="Calibri"/>
          <w:sz w:val="26"/>
          <w:szCs w:val="26"/>
          <w:lang w:eastAsia="en-US"/>
        </w:rPr>
        <w:t>: Formar y fortalecer el capital humano altamente calificado. “Estamos respaldando a las y los mexicanos que se dedican a la comprensión de la sociedad, la naturaleza y el universo. En 2015, tan sólo a través del Consejo Nacional de Ciencia y Tecnología (CONACyT), se apoya a más de 58 mil estudiantes y especialistas con becas para realizar estudios de excelencia dentro y fuera del país. Además, a través del Sistema Nacional de Investigadores, el país ahora respalda a más de 23 mil 300 especialistas dedicados a la producción científica y tecnológica. Esto ha significado un incremento en el número de investigadores de prácticamente cinco mil en estos últimos dos años, cinco mil más con respecto a los que se apoyaba en el año 2012”.</w:t>
      </w:r>
    </w:p>
    <w:p w14:paraId="2DDD556F"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Presidente de la República dijo que si bien este es un número importante, “tenemos que impulsar innovadores esquemas que permitan a más mexicanos dedicarse a esta importante responsabilidad. Para propiciar que nuestros jóvenes investigadores se incorporen con oportunidad al área de su especialidad, se creó el Programa de Cátedras de CONACyT, un programa innovador y que sin duda, habrá de dar importantes frutos en beneficio del desarrollo nacional”.</w:t>
      </w:r>
    </w:p>
    <w:p w14:paraId="1F235812"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lastRenderedPageBreak/>
        <w:t>Añadió que con este instrumento los nuevos investigadores son contratados directamente por el CONACyT y han sido asignados temporalmente a 112 instituciones de educación superior, donde aportan su conocimiento a proyectos de beneficio nacional. “En 2014, su primer año de operación, se otorgaron 574 cátedras y en 2015, se han ofrecido 250 adicionales”, informó. Ambas iniciativas, agregó, la de atención a problemas nacionales y las cátedras para jóvenes investigadores, “son mecanismos que vinculan la generación de conocimiento con la realidad del país”.</w:t>
      </w:r>
    </w:p>
    <w:p w14:paraId="29F66EBA"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b/>
          <w:sz w:val="26"/>
          <w:szCs w:val="26"/>
          <w:lang w:eastAsia="en-US"/>
        </w:rPr>
        <w:t>Tercero</w:t>
      </w:r>
      <w:r w:rsidRPr="002C0CF5">
        <w:rPr>
          <w:rFonts w:eastAsia="Calibri"/>
          <w:sz w:val="26"/>
          <w:szCs w:val="26"/>
          <w:lang w:eastAsia="en-US"/>
        </w:rPr>
        <w:t>: Fortalecer el desarrollo regional. “En esta Administración reconocemos que cada entidad del país tiene vocaciones y fortalezas específicas para acelerar su desarrollo, lo mismo que para contribuir a la generación de conocimiento. Por ello, la política pública que instrumentamos en la materia, así como el financiamiento, son diferenciados y específicos para cada región de México. Dependiendo de su nivel de desarrollo, a través de los Fondos Mixtos el Gobierno de la República aporta de uno hasta tres pesos por cada peso que invierte cada gobierno de cada entidad Federativa de nuestro país. Con la misma visión, estamos lanzando la Alianza Estratégica para el Desarrollo Sustentable de la Región Pacífico Sur, que promueve el desarrollo sustentable particularmente en cuatro entidades: Chiapas, Guerrero, Oaxaca y Michoacán”.</w:t>
      </w:r>
    </w:p>
    <w:p w14:paraId="6E029448"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b/>
          <w:sz w:val="26"/>
          <w:szCs w:val="26"/>
          <w:lang w:eastAsia="en-US"/>
        </w:rPr>
        <w:t>Cuarto</w:t>
      </w:r>
      <w:r w:rsidRPr="002C0CF5">
        <w:rPr>
          <w:rFonts w:eastAsia="Calibri"/>
          <w:sz w:val="26"/>
          <w:szCs w:val="26"/>
          <w:lang w:eastAsia="en-US"/>
        </w:rPr>
        <w:t xml:space="preserve">: Vincular la ciencia, la tecnología y la innovación con el sector productivo. “La economía del conocimiento requiere la participación conjunta de empresas, instituciones académicas y Gobierno. La llamada “triple hélice” es esencial para el desarrollo de soluciones innovadoras y creativas. Por ello, hemos fortalecido al Programa de Estímulos a la Innovación, que fomenta la participación del sector privado en labores de investigación y desarrollo. A través de este Programa, a partir de 2012 y a la fecha los sectores público y privado han destinado casi 25 mil millones de pesos al desarrollo de proyectos de ciencia aplicada a la actividad económica. Gracias a este tipo de incentivos y al enfoque regional que hemos adoptado, varias entidades del país están </w:t>
      </w:r>
      <w:r w:rsidRPr="002C0CF5">
        <w:rPr>
          <w:rFonts w:eastAsia="Calibri"/>
          <w:sz w:val="26"/>
          <w:szCs w:val="26"/>
          <w:lang w:eastAsia="en-US"/>
        </w:rPr>
        <w:lastRenderedPageBreak/>
        <w:t>destacando internacionalmente por la complementariedad entre sus instituciones académicas y sus vocaciones productivas”.</w:t>
      </w:r>
    </w:p>
    <w:p w14:paraId="73FF8FA1"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Como ejemplo, citó los casos del Estado de México, en donde se apoya el desarrollo de investigación en materia automotriz; Jalisco, en las tecnologías de la información y el conocimiento; el caso de Michoacán, en el desarrollo agroalimentario; o Querétaro, en el sector aeroespacial.</w:t>
      </w:r>
    </w:p>
    <w:p w14:paraId="2E360EE6"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b/>
          <w:sz w:val="26"/>
          <w:szCs w:val="26"/>
          <w:lang w:eastAsia="en-US"/>
        </w:rPr>
        <w:t>Quinto</w:t>
      </w:r>
      <w:r w:rsidRPr="002C0CF5">
        <w:rPr>
          <w:rFonts w:eastAsia="Calibri"/>
          <w:sz w:val="26"/>
          <w:szCs w:val="26"/>
          <w:lang w:eastAsia="en-US"/>
        </w:rPr>
        <w:t>: Fortalecer la infraestructura para el desarrollo de ciencia y tecnología. “Con esta orientación, en 2014 se destinaron más de dos mil 280 millones de pesos a la ampliación y renovación de distintos espacios en los Centros de Investigación Pública e Instituciones de Educación Superior. Se trata de un monto relevante que duplica el que se destinó en 2013 y cuadruplica el que eventualmente se destinó en el año 2012.</w:t>
      </w:r>
    </w:p>
    <w:p w14:paraId="6AE64752"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En el evento, realizado en el Patio de Honor del Palacio Nacional, el Presidente de la república expresó su reconocimiento al trabajo de la Academia Mexicana de Ciencias y a quienes la integran “por contribuir al desarrollo y divulgación de la ciencia y la tecnología en todo el país”.</w:t>
      </w:r>
    </w:p>
    <w:p w14:paraId="1F4B16B8"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“Sepan que su esfuerzo personal, que sus investigaciones de años y décadas, representan un orgullo para todos los mexicanos y un paso adelante en la senda del progreso de México y de la humanidad”, indicó.</w:t>
      </w:r>
    </w:p>
    <w:p w14:paraId="1EB3431F" w14:textId="77777777" w:rsidR="002C0CF5" w:rsidRPr="002C0CF5" w:rsidRDefault="002C0CF5" w:rsidP="002C0CF5">
      <w:pPr>
        <w:spacing w:after="360" w:line="360" w:lineRule="auto"/>
        <w:ind w:right="-159"/>
        <w:jc w:val="both"/>
        <w:rPr>
          <w:rFonts w:eastAsia="Calibri"/>
          <w:b/>
          <w:sz w:val="26"/>
          <w:szCs w:val="26"/>
          <w:lang w:eastAsia="en-US"/>
        </w:rPr>
      </w:pPr>
      <w:r w:rsidRPr="002C0CF5">
        <w:rPr>
          <w:rFonts w:eastAsia="Calibri"/>
          <w:b/>
          <w:sz w:val="26"/>
          <w:szCs w:val="26"/>
          <w:lang w:eastAsia="en-US"/>
        </w:rPr>
        <w:t>Diversas intervenciones:</w:t>
      </w:r>
    </w:p>
    <w:p w14:paraId="5E22D187" w14:textId="77777777" w:rsidR="002C0CF5" w:rsidRPr="002C0CF5" w:rsidRDefault="002C0CF5" w:rsidP="003518F4">
      <w:pPr>
        <w:numPr>
          <w:ilvl w:val="0"/>
          <w:numId w:val="129"/>
        </w:numPr>
        <w:spacing w:after="360"/>
        <w:ind w:left="357" w:right="-159" w:hanging="357"/>
        <w:jc w:val="both"/>
        <w:rPr>
          <w:rFonts w:eastAsia="Calibri"/>
          <w:b/>
          <w:sz w:val="26"/>
          <w:szCs w:val="26"/>
          <w:lang w:eastAsia="en-US"/>
        </w:rPr>
      </w:pPr>
      <w:r w:rsidRPr="002C0CF5">
        <w:rPr>
          <w:rFonts w:eastAsia="Calibri"/>
          <w:b/>
          <w:sz w:val="26"/>
          <w:szCs w:val="26"/>
          <w:lang w:eastAsia="en-US"/>
        </w:rPr>
        <w:t>La inversión en ciencia, tecnología e innovación debe ser una política de estado, más allá de retos coyunturales</w:t>
      </w:r>
    </w:p>
    <w:p w14:paraId="78CD1D01"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Secretario de Hacienda y Crédito Público enfatizó que la inversión creciente en ciencia, tecnología e innovación, debe ser una política de Estado más allá de los retos coyunturales.</w:t>
      </w:r>
    </w:p>
    <w:p w14:paraId="6FDE9DF4" w14:textId="60B1F2BA"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lastRenderedPageBreak/>
        <w:t>En México, añadió, tenemos que estar dispuestos y decididos a hacer más ciencia, invertir más en tecnología y a ser más innovadores, “</w:t>
      </w:r>
      <w:r w:rsidR="002D0969">
        <w:rPr>
          <w:rFonts w:eastAsia="Calibri"/>
          <w:sz w:val="26"/>
          <w:szCs w:val="26"/>
          <w:lang w:eastAsia="en-US"/>
        </w:rPr>
        <w:t>e</w:t>
      </w:r>
      <w:r w:rsidRPr="002C0CF5">
        <w:rPr>
          <w:rFonts w:eastAsia="Calibri"/>
          <w:sz w:val="26"/>
          <w:szCs w:val="26"/>
          <w:lang w:eastAsia="en-US"/>
        </w:rPr>
        <w:t>sa ha sido la instrucción que nos ha dado el Presidente de la República desde el primer día de su Administración”, puntualizó. Destacó que “ante la actual realidad macroeconómica, ante el reto presupuesta</w:t>
      </w:r>
      <w:r w:rsidR="002D0969">
        <w:rPr>
          <w:rFonts w:eastAsia="Calibri"/>
          <w:sz w:val="26"/>
          <w:szCs w:val="26"/>
          <w:lang w:eastAsia="en-US"/>
        </w:rPr>
        <w:t>rio</w:t>
      </w:r>
      <w:r w:rsidRPr="002C0CF5">
        <w:rPr>
          <w:rFonts w:eastAsia="Calibri"/>
          <w:sz w:val="26"/>
          <w:szCs w:val="26"/>
          <w:lang w:eastAsia="en-US"/>
        </w:rPr>
        <w:t xml:space="preserve"> que México enfrenta por delante”, la instrucción se mantiene invariable.</w:t>
      </w:r>
    </w:p>
    <w:p w14:paraId="4A5E9DBD"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Dijo que en la Administración del Presidente de la República el presupuesto federal en ciencia, tecnología e innovación ha tenido un crecimiento real, es decir ajustado por el efecto de la inflación, de 36%, “pasando de 59.3 mil millones de pesos a 85.5 mil millones de pesos; y el presupuesto de CONACyT ha crecido a una cifra histórica en tan sólo tres años del 37.4 por ciento”.</w:t>
      </w:r>
    </w:p>
    <w:p w14:paraId="2AD63E7E"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Detalló que cada año 90 mil mexicanos egresan de carreras de ingeniería, 65 mil específicamente de las ingenierías industrial, mecánica, eléctrica y tecnológica, cifras mayores en número de egresados a las de cualquier país europeo, y de países mayores en población como Brasil.</w:t>
      </w:r>
    </w:p>
    <w:p w14:paraId="782831A6"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Informó que 16.3% de las exportaciones del país son de alto contenido tecnológico, cifra significativamente superior a la de países latinoamericanos como Chile, que apenas alcanza 4%, o Brasil, con 10%. Incluso, agregó, es mayor a la de Canadá que es de 12.4%, y ligeramente superior a la de Alemania, de 15.8 por ciento.</w:t>
      </w:r>
    </w:p>
    <w:p w14:paraId="3905B141" w14:textId="77777777" w:rsidR="002C0CF5" w:rsidRPr="002C0CF5" w:rsidRDefault="002C0CF5" w:rsidP="003518F4">
      <w:pPr>
        <w:numPr>
          <w:ilvl w:val="0"/>
          <w:numId w:val="129"/>
        </w:numPr>
        <w:spacing w:after="360"/>
        <w:ind w:left="357" w:right="-159" w:hanging="357"/>
        <w:jc w:val="both"/>
        <w:rPr>
          <w:rFonts w:eastAsia="Calibri"/>
          <w:b/>
          <w:sz w:val="26"/>
          <w:szCs w:val="26"/>
          <w:lang w:eastAsia="en-US"/>
        </w:rPr>
      </w:pPr>
      <w:r w:rsidRPr="002C0CF5">
        <w:rPr>
          <w:rFonts w:eastAsia="Calibri"/>
          <w:b/>
          <w:sz w:val="26"/>
          <w:szCs w:val="26"/>
          <w:lang w:eastAsia="en-US"/>
        </w:rPr>
        <w:t>Hoy más que nunca, México tiene la posibilidad de dar un salto cuántico hacia la sociedad del conocimiento</w:t>
      </w:r>
    </w:p>
    <w:p w14:paraId="2A6DDF82"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Director General del CONACyT</w:t>
      </w:r>
      <w:r w:rsidRPr="002C0CF5">
        <w:rPr>
          <w:rFonts w:eastAsia="Calibri"/>
          <w:sz w:val="26"/>
          <w:szCs w:val="26"/>
          <w:vertAlign w:val="superscript"/>
          <w:lang w:eastAsia="en-US"/>
        </w:rPr>
        <w:footnoteReference w:id="12"/>
      </w:r>
      <w:r w:rsidRPr="002C0CF5">
        <w:rPr>
          <w:rFonts w:eastAsia="Calibri"/>
          <w:sz w:val="26"/>
          <w:szCs w:val="26"/>
          <w:lang w:eastAsia="en-US"/>
        </w:rPr>
        <w:t xml:space="preserve"> resaltó que “hoy más que nunca, México tiene la posibilidad de dar un salto cuántico hacia la sociedad del conocimiento”. Con esta orientación, continuó, “el Presidente de la República, en el marco de una visión transformadora, desde el primer día de su mandato asumió el compromiso de apoyar </w:t>
      </w:r>
      <w:r w:rsidRPr="002C0CF5">
        <w:rPr>
          <w:rFonts w:eastAsia="Calibri"/>
          <w:sz w:val="26"/>
          <w:szCs w:val="26"/>
          <w:lang w:eastAsia="en-US"/>
        </w:rPr>
        <w:lastRenderedPageBreak/>
        <w:t>decididamente el fortalecimiento del Sistema Nacional de Ciencia, Tecnología e Innovación”.</w:t>
      </w:r>
    </w:p>
    <w:p w14:paraId="54245059"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Expuso que para ello se delinearon prioridades claras para el sector en el marco del Programa Especial de Ciencia y Tecnología: una mayor inversión, un fortalecimiento de la infraestructura, y un despliegue de acciones para fortalecer el capital humano altamente calificado, lo cual ha mejorado la capacidad y potencialidad del país.</w:t>
      </w:r>
    </w:p>
    <w:p w14:paraId="102B432C"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Manifestó que los premios de investigación constituyen uno de los grandes aportes de la Academia Mexicana de Ciencias, a partir de lo cual se da un merecido reconocimiento al talento de las nuevas generaciones de científicos mexicanos, y reconoció al Presidente de la República por su presencia en esta ceremonia y en otros actos de entrega de distintos galardones al talento científico y tecnológico; “el día de hoy refrenda, una vez más, su fuerte compromiso con esta comunidad”, finalizó.</w:t>
      </w:r>
    </w:p>
    <w:p w14:paraId="66BCA47B" w14:textId="77777777" w:rsidR="002C0CF5" w:rsidRPr="002C0CF5" w:rsidRDefault="002C0CF5" w:rsidP="003518F4">
      <w:pPr>
        <w:numPr>
          <w:ilvl w:val="0"/>
          <w:numId w:val="129"/>
        </w:numPr>
        <w:spacing w:after="360"/>
        <w:ind w:left="357" w:right="-159" w:hanging="357"/>
        <w:jc w:val="both"/>
        <w:rPr>
          <w:rFonts w:eastAsia="Calibri"/>
          <w:b/>
          <w:sz w:val="26"/>
          <w:szCs w:val="26"/>
          <w:lang w:eastAsia="en-US"/>
        </w:rPr>
      </w:pPr>
      <w:r w:rsidRPr="002C0CF5">
        <w:rPr>
          <w:rFonts w:eastAsia="Calibri"/>
          <w:b/>
          <w:sz w:val="26"/>
          <w:szCs w:val="26"/>
          <w:lang w:eastAsia="en-US"/>
        </w:rPr>
        <w:t>Importante e inédito apoyo del gobierno a ciencia, tecnología e innovación</w:t>
      </w:r>
    </w:p>
    <w:p w14:paraId="6DFEF70B"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El Presidente de la Academia Mexicana de Ciencias reconoció al Presidente de México “el importante e inédito apoyo a la ciencia, tecnología e innovación” en lo que va de su Gobierno. Destacó el incremento significativo al presupuesto para ese rubro, al pasar de 59 mil 300 millones de pesos en 2012, a más de 85 mil 500 millones en 2015.</w:t>
      </w:r>
    </w:p>
    <w:p w14:paraId="69586491" w14:textId="6DF59854"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Afirmó que “los diferentes programas se mantienen, aún en el escenario de reducciones presupuesta</w:t>
      </w:r>
      <w:r w:rsidR="002D0969">
        <w:rPr>
          <w:rFonts w:eastAsia="Calibri"/>
          <w:sz w:val="26"/>
          <w:szCs w:val="26"/>
          <w:lang w:eastAsia="en-US"/>
        </w:rPr>
        <w:t>ri</w:t>
      </w:r>
      <w:r w:rsidR="00E630EC">
        <w:rPr>
          <w:rFonts w:eastAsia="Calibri"/>
          <w:sz w:val="26"/>
          <w:szCs w:val="26"/>
          <w:lang w:eastAsia="en-US"/>
        </w:rPr>
        <w:t>a</w:t>
      </w:r>
      <w:r w:rsidR="002D0969">
        <w:rPr>
          <w:rFonts w:eastAsia="Calibri"/>
          <w:sz w:val="26"/>
          <w:szCs w:val="26"/>
          <w:lang w:eastAsia="en-US"/>
        </w:rPr>
        <w:t>s</w:t>
      </w:r>
      <w:r w:rsidRPr="002C0CF5">
        <w:rPr>
          <w:rFonts w:eastAsia="Calibri"/>
          <w:sz w:val="26"/>
          <w:szCs w:val="26"/>
          <w:lang w:eastAsia="en-US"/>
        </w:rPr>
        <w:t>, fortaleciendo la infraestructura, la creación de centros nacionales y la generación de conocimiento”.</w:t>
      </w:r>
    </w:p>
    <w:p w14:paraId="7F170D60"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Señaló que el incremento de las inversiones es indispensable para que la ciencia, tecnología e innovación se conviertan en la palanca del desarrollo social y económico.</w:t>
      </w:r>
    </w:p>
    <w:p w14:paraId="326921FF" w14:textId="77777777" w:rsidR="002C0CF5" w:rsidRPr="002C0CF5" w:rsidRDefault="002C0CF5" w:rsidP="002C0CF5">
      <w:pPr>
        <w:spacing w:after="360" w:line="360" w:lineRule="auto"/>
        <w:ind w:right="-159"/>
        <w:jc w:val="both"/>
        <w:rPr>
          <w:rFonts w:eastAsia="Calibri"/>
          <w:sz w:val="26"/>
          <w:szCs w:val="26"/>
          <w:lang w:eastAsia="en-US"/>
        </w:rPr>
      </w:pPr>
      <w:r w:rsidRPr="002C0CF5">
        <w:rPr>
          <w:rFonts w:eastAsia="Calibri"/>
          <w:sz w:val="26"/>
          <w:szCs w:val="26"/>
          <w:lang w:eastAsia="en-US"/>
        </w:rPr>
        <w:t xml:space="preserve">Ratificó el compromiso de la Academia para que la ciencia y tecnología constituyan los soportes y las palancas que impulsen el desarrollo. “Ello forma parte de los objetivos </w:t>
      </w:r>
      <w:r w:rsidRPr="002C0CF5">
        <w:rPr>
          <w:rFonts w:eastAsia="Calibri"/>
          <w:sz w:val="26"/>
          <w:szCs w:val="26"/>
          <w:lang w:eastAsia="en-US"/>
        </w:rPr>
        <w:lastRenderedPageBreak/>
        <w:t>de su Gobierno, señor Presidente, de avanzar en la transformación a una sociedad del conocimiento con fuerte competitividad internacional, que coadyuve a fortalecer la capacidad interna y derive en beneficios inmediatos a la población”, dijo.</w:t>
      </w:r>
    </w:p>
    <w:p w14:paraId="064A12E0" w14:textId="77777777" w:rsidR="002C0CF5" w:rsidRPr="002C0CF5" w:rsidRDefault="002C0CF5" w:rsidP="002C0CF5">
      <w:pPr>
        <w:ind w:right="-159"/>
        <w:jc w:val="both"/>
        <w:rPr>
          <w:rFonts w:eastAsia="Calibri"/>
          <w:sz w:val="20"/>
          <w:szCs w:val="20"/>
          <w:lang w:eastAsia="en-US"/>
        </w:rPr>
      </w:pPr>
      <w:r w:rsidRPr="002C0CF5">
        <w:rPr>
          <w:rFonts w:eastAsia="Calibri"/>
          <w:b/>
          <w:sz w:val="20"/>
          <w:szCs w:val="20"/>
          <w:lang w:eastAsia="en-US"/>
        </w:rPr>
        <w:t>Fuente de información</w:t>
      </w:r>
      <w:r w:rsidRPr="002C0CF5">
        <w:rPr>
          <w:rFonts w:eastAsia="Calibri"/>
          <w:sz w:val="20"/>
          <w:szCs w:val="20"/>
          <w:lang w:eastAsia="en-US"/>
        </w:rPr>
        <w:t>:</w:t>
      </w:r>
    </w:p>
    <w:p w14:paraId="62C2C9AE" w14:textId="77777777" w:rsidR="002C0CF5" w:rsidRPr="00E630EC" w:rsidRDefault="0045651A" w:rsidP="002C0CF5">
      <w:pPr>
        <w:ind w:right="-159"/>
        <w:jc w:val="both"/>
        <w:rPr>
          <w:rFonts w:eastAsia="Calibri"/>
          <w:color w:val="0000FF"/>
          <w:sz w:val="20"/>
          <w:szCs w:val="20"/>
          <w:u w:val="single"/>
          <w:lang w:eastAsia="en-US"/>
        </w:rPr>
      </w:pPr>
      <w:hyperlink r:id="rId136" w:history="1">
        <w:r w:rsidR="002C0CF5" w:rsidRPr="00E630EC">
          <w:rPr>
            <w:rFonts w:eastAsia="Calibri"/>
            <w:color w:val="0000FF"/>
            <w:sz w:val="20"/>
            <w:szCs w:val="20"/>
            <w:u w:val="single"/>
            <w:lang w:eastAsia="en-US"/>
          </w:rPr>
          <w:t>http://www.presidencia.gob.mx/articulos-prensa/el-gobierno-de-la-republica-esta-comprometido-en-transformar-a-mexico-en-una-sociedad-del-conocimiento-enrique-pena-nieto/</w:t>
        </w:r>
      </w:hyperlink>
    </w:p>
    <w:p w14:paraId="65BFFBCA" w14:textId="77777777" w:rsidR="002C0CF5" w:rsidRPr="00E630EC" w:rsidRDefault="002C0CF5" w:rsidP="002C0CF5">
      <w:pPr>
        <w:ind w:right="-159"/>
        <w:jc w:val="both"/>
        <w:rPr>
          <w:rFonts w:eastAsia="Calibri"/>
          <w:sz w:val="20"/>
          <w:szCs w:val="20"/>
          <w:lang w:eastAsia="en-US"/>
        </w:rPr>
      </w:pPr>
      <w:r w:rsidRPr="00E630EC">
        <w:rPr>
          <w:rFonts w:eastAsia="Calibri"/>
          <w:sz w:val="20"/>
          <w:szCs w:val="20"/>
          <w:lang w:eastAsia="en-US"/>
        </w:rPr>
        <w:t>Para tener acceso a información relacionada visite:</w:t>
      </w:r>
    </w:p>
    <w:p w14:paraId="112B5D96" w14:textId="77777777" w:rsidR="002C0CF5" w:rsidRPr="00E630EC" w:rsidRDefault="0045651A" w:rsidP="00E630EC">
      <w:pPr>
        <w:spacing w:after="720"/>
        <w:ind w:right="-159"/>
        <w:jc w:val="both"/>
        <w:rPr>
          <w:rFonts w:eastAsia="Calibri"/>
          <w:color w:val="0000FF"/>
          <w:sz w:val="20"/>
          <w:szCs w:val="20"/>
          <w:lang w:eastAsia="en-US"/>
        </w:rPr>
      </w:pPr>
      <w:hyperlink r:id="rId137" w:history="1">
        <w:r w:rsidR="002C0CF5" w:rsidRPr="00E630EC">
          <w:rPr>
            <w:rFonts w:eastAsia="Calibri"/>
            <w:color w:val="0000FF"/>
            <w:sz w:val="20"/>
            <w:szCs w:val="20"/>
            <w:u w:val="single"/>
            <w:lang w:eastAsia="en-US"/>
          </w:rPr>
          <w:t>http://www.presidencia.gob.mx/entrega-del-premio-de-investigacion-de-la-academia-mexicana-de-ciencias/</w:t>
        </w:r>
      </w:hyperlink>
      <w:r w:rsidR="002C0CF5" w:rsidRPr="00E630EC">
        <w:rPr>
          <w:rFonts w:eastAsia="Calibri"/>
          <w:color w:val="0000FF"/>
          <w:sz w:val="20"/>
          <w:szCs w:val="20"/>
          <w:lang w:eastAsia="en-US"/>
        </w:rPr>
        <w:t xml:space="preserve"> </w:t>
      </w:r>
    </w:p>
    <w:p w14:paraId="2D159FCF" w14:textId="77777777" w:rsidR="00D93A0C" w:rsidRPr="00D93A0C" w:rsidRDefault="00D93A0C" w:rsidP="00D93A0C">
      <w:pPr>
        <w:spacing w:after="360" w:line="360" w:lineRule="auto"/>
        <w:ind w:right="-159"/>
        <w:jc w:val="both"/>
        <w:rPr>
          <w:rFonts w:eastAsia="Times New Roman"/>
          <w:b/>
          <w:bCs/>
          <w:sz w:val="26"/>
          <w:szCs w:val="26"/>
          <w:lang w:val="es-ES"/>
        </w:rPr>
      </w:pPr>
      <w:r w:rsidRPr="00D93A0C">
        <w:rPr>
          <w:rFonts w:eastAsia="Times New Roman"/>
          <w:b/>
          <w:bCs/>
          <w:sz w:val="26"/>
          <w:szCs w:val="26"/>
          <w:lang w:val="es-ES"/>
        </w:rPr>
        <w:t>¿Qué tan caro resulta ser formal en México? (CNNExpansión)</w:t>
      </w:r>
    </w:p>
    <w:p w14:paraId="31A09620"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El 14 de abril de 2015, la casa editorial CNNExpansión comunicó que por tener un negocio en México se paga casi el doble de impuestos que en naciones como Chile; la alta tasa de informalidad es uno de los factores que distorsionan el mercado laboral.</w:t>
      </w:r>
    </w:p>
    <w:p w14:paraId="78AC1FDD"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Los costos para ser formal en México son relativamente elevados frente a países de igual nivel de desarrollo a pesar de las medidas que se han implementado para incentivar la formalidad, como el Régimen de Incorporación Fiscal (RIF), lo que contribuye a generar distorsiones en el mercado laboral.</w:t>
      </w:r>
    </w:p>
    <w:p w14:paraId="7E4F641B"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 xml:space="preserve">En México, la tasa total de impuestos que debe pagar una empresa respecto a sus ganancias es de 51.8% frente al 27.9% de Chile, según el </w:t>
      </w:r>
      <w:r w:rsidRPr="00D93A0C">
        <w:rPr>
          <w:rFonts w:eastAsia="Times New Roman"/>
          <w:bCs/>
          <w:i/>
          <w:sz w:val="26"/>
          <w:szCs w:val="26"/>
          <w:lang w:val="es-ES"/>
        </w:rPr>
        <w:t>Doing Business 2014</w:t>
      </w:r>
      <w:r w:rsidRPr="00D93A0C">
        <w:rPr>
          <w:rFonts w:eastAsia="Times New Roman"/>
          <w:bCs/>
          <w:sz w:val="26"/>
          <w:szCs w:val="26"/>
          <w:lang w:val="es-ES"/>
        </w:rPr>
        <w:t xml:space="preserve"> de Banco Mundial (BM). El país se encuentra en el lugar 67 del listado de 189 respecto a la facilidad de abrir un negocio. Chile está en el 59.</w:t>
      </w:r>
    </w:p>
    <w:p w14:paraId="46C065B5"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“En América Latina ha habido un esfuerzo en los últimos 10 años para simplificar el registro de una nueva empresa, pero se deben de crear incentivos para insertarlas en el mercado formal. Si voy a ser un proveedor de una empresa y quiero crecer, el ser formal va a ser un prerrequisito, si no, voy a tener obstáculos para crecer”, comentó en entrevista el director ejecutivo de FUNDES Latinoamérica (una consultoría para mipymes), Elfid Torres.</w:t>
      </w:r>
    </w:p>
    <w:p w14:paraId="5E0A9B02"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lastRenderedPageBreak/>
        <w:t>El elevado precio relativo de incorporarse a la formalidad se ha convertido en una distorsión para el mercado laboral, sumado a que el nivel de salarios aún se encuentra por debajo de la crisis. Ello genera una retroalimentación negativa entre informalidad, baja productividad y bajo crecimiento económico, advirtió uno de los miembros de la Junta de Gobierno del Banco de México en su última reunión de política Monetaria.</w:t>
      </w:r>
    </w:p>
    <w:p w14:paraId="57E975CA"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En 2014 entró en vigor el RIF, un esquema que permite ser formales a las personas que tienen un pequeño negocio, siempre y cuando sus ingresos anuales sean menores a dos millones de pesos al año.</w:t>
      </w:r>
    </w:p>
    <w:p w14:paraId="3258ACF6"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Al cierre de 2014, el RIF sumó 4.31 millones de contribuyentes, de los cuales solo 1.13 millones son contribuyentes nuevos, pues el resto se encontraba en el régimen de Repecos.</w:t>
      </w:r>
    </w:p>
    <w:p w14:paraId="0EF02666" w14:textId="62BAAA7D"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 xml:space="preserve">El colaborador de DNC Consultores, Álvaro Vargas Briones, indicó que </w:t>
      </w:r>
      <w:r w:rsidR="002D0969">
        <w:rPr>
          <w:rFonts w:eastAsia="Times New Roman"/>
          <w:bCs/>
          <w:sz w:val="26"/>
          <w:szCs w:val="26"/>
          <w:lang w:val="es-ES"/>
        </w:rPr>
        <w:t>é</w:t>
      </w:r>
      <w:r w:rsidRPr="00D93A0C">
        <w:rPr>
          <w:rFonts w:eastAsia="Times New Roman"/>
          <w:bCs/>
          <w:sz w:val="26"/>
          <w:szCs w:val="26"/>
          <w:lang w:val="es-ES"/>
        </w:rPr>
        <w:t>sta es una buena iniciativa para que las empresas brinquen a la formalidad, ya que aunque tendrán que pagar impuestos contarán con beneficios sociales.</w:t>
      </w:r>
    </w:p>
    <w:p w14:paraId="2DFDC00B"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“Pueden tener prestaciones de seguridad social y acceso al financiamiento con tasas preferenciales en los programas de apoyo para el sector”.</w:t>
      </w:r>
    </w:p>
    <w:p w14:paraId="7ABD272E"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La economía mexicana ha registrado un crecimiento de la actividad económica relativamente bajo, en los últimos 20 años alcanzó un promedio de 2.6% anual, lo que ha resultado insuficiente para absorber el crecimiento de la oferta de trabajo, señala la Organización Internacional del Trabajo (OIT) en un estudio.</w:t>
      </w:r>
    </w:p>
    <w:p w14:paraId="459510F6"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t>Por lo que de acuerdo con los especialistas no solo se requiere de quitar barreras para que las microempresas puedan crearse rápidamente, sino una serie de políticas públicas que generar acceso a mejores mercado, así como financiamientos tecnológicos que generen elementos de modernidad y acceso al financiamiento.</w:t>
      </w:r>
    </w:p>
    <w:p w14:paraId="02B893F3" w14:textId="77777777" w:rsidR="00D93A0C" w:rsidRPr="00D93A0C" w:rsidRDefault="00D93A0C" w:rsidP="00D93A0C">
      <w:pPr>
        <w:spacing w:after="360" w:line="360" w:lineRule="auto"/>
        <w:ind w:right="-159"/>
        <w:jc w:val="both"/>
        <w:rPr>
          <w:rFonts w:eastAsia="Times New Roman"/>
          <w:bCs/>
          <w:sz w:val="26"/>
          <w:szCs w:val="26"/>
          <w:lang w:val="es-ES"/>
        </w:rPr>
      </w:pPr>
      <w:r w:rsidRPr="00D93A0C">
        <w:rPr>
          <w:rFonts w:eastAsia="Times New Roman"/>
          <w:bCs/>
          <w:sz w:val="26"/>
          <w:szCs w:val="26"/>
          <w:lang w:val="es-ES"/>
        </w:rPr>
        <w:lastRenderedPageBreak/>
        <w:t>“La informalidad tiene límites, no permite crecer. Con la informalidad pierdes una base muy grande de potenciales contribuyentes”, agregó Torres. De acuerdo con el INEGI, en 2012 la informalidad contribuyó con 25% del producto interno bruto (PIB) apenas un descenso frente al 26.9% de 2009 en plena crisis financiera.</w:t>
      </w:r>
    </w:p>
    <w:p w14:paraId="7E1077F0" w14:textId="77777777" w:rsidR="00D93A0C" w:rsidRPr="00D93A0C" w:rsidRDefault="00D93A0C" w:rsidP="00D93A0C">
      <w:pPr>
        <w:ind w:right="-159"/>
        <w:jc w:val="both"/>
        <w:rPr>
          <w:rFonts w:eastAsia="Calibri"/>
          <w:b/>
          <w:sz w:val="20"/>
          <w:szCs w:val="20"/>
          <w:lang w:val="es-ES" w:eastAsia="en-US"/>
        </w:rPr>
      </w:pPr>
      <w:r w:rsidRPr="00D93A0C">
        <w:rPr>
          <w:rFonts w:eastAsia="Calibri"/>
          <w:b/>
          <w:sz w:val="20"/>
          <w:szCs w:val="20"/>
          <w:lang w:val="es-ES" w:eastAsia="en-US"/>
        </w:rPr>
        <w:t>Fuente de información:</w:t>
      </w:r>
    </w:p>
    <w:p w14:paraId="58D627E7" w14:textId="77777777" w:rsidR="00D93A0C" w:rsidRPr="00E630EC" w:rsidRDefault="0045651A" w:rsidP="00E630EC">
      <w:pPr>
        <w:spacing w:after="720"/>
        <w:ind w:right="-159"/>
        <w:jc w:val="both"/>
        <w:rPr>
          <w:rFonts w:eastAsia="Calibri"/>
          <w:color w:val="0000FF"/>
          <w:sz w:val="20"/>
          <w:szCs w:val="20"/>
          <w:lang w:eastAsia="en-US"/>
        </w:rPr>
      </w:pPr>
      <w:hyperlink r:id="rId138" w:history="1">
        <w:r w:rsidR="00D93A0C" w:rsidRPr="00E630EC">
          <w:rPr>
            <w:rFonts w:eastAsia="Calibri"/>
            <w:color w:val="0000FF"/>
            <w:sz w:val="20"/>
            <w:szCs w:val="20"/>
            <w:u w:val="single"/>
            <w:lang w:eastAsia="en-US"/>
          </w:rPr>
          <w:t>http://www.cnnexpansion.com/economia/2015/04/13/que-tan-caro-resulta-volverse-formal-en-mexico?newscnn1=%5b20150414%5d</w:t>
        </w:r>
      </w:hyperlink>
      <w:r w:rsidR="00D93A0C" w:rsidRPr="00E630EC">
        <w:rPr>
          <w:rFonts w:eastAsia="Calibri"/>
          <w:color w:val="0000FF"/>
          <w:sz w:val="20"/>
          <w:szCs w:val="20"/>
          <w:lang w:eastAsia="en-US"/>
        </w:rPr>
        <w:t xml:space="preserve"> </w:t>
      </w:r>
    </w:p>
    <w:p w14:paraId="716241D3" w14:textId="77777777" w:rsidR="00F44802" w:rsidRPr="00F44802" w:rsidRDefault="00F44802" w:rsidP="00F44802">
      <w:pPr>
        <w:spacing w:after="360" w:line="360" w:lineRule="auto"/>
        <w:ind w:right="-159"/>
        <w:jc w:val="both"/>
        <w:rPr>
          <w:rFonts w:eastAsia="Calibri"/>
          <w:b/>
          <w:sz w:val="26"/>
          <w:szCs w:val="26"/>
          <w:lang w:eastAsia="en-US"/>
        </w:rPr>
      </w:pPr>
      <w:r w:rsidRPr="00F44802">
        <w:rPr>
          <w:rFonts w:eastAsia="Calibri"/>
          <w:b/>
          <w:sz w:val="26"/>
          <w:szCs w:val="26"/>
          <w:lang w:eastAsia="en-US"/>
        </w:rPr>
        <w:t>Concluye gira de trabajo en París (SE)</w:t>
      </w:r>
    </w:p>
    <w:p w14:paraId="61841FFB" w14:textId="77777777" w:rsidR="00F44802" w:rsidRPr="00F44802" w:rsidRDefault="00F44802" w:rsidP="00F44802">
      <w:pPr>
        <w:spacing w:after="360" w:line="360" w:lineRule="auto"/>
        <w:ind w:right="-159"/>
        <w:jc w:val="both"/>
        <w:rPr>
          <w:rFonts w:eastAsia="Calibri"/>
          <w:sz w:val="26"/>
          <w:szCs w:val="26"/>
          <w:lang w:eastAsia="en-US"/>
        </w:rPr>
      </w:pPr>
      <w:r w:rsidRPr="00F44802">
        <w:rPr>
          <w:rFonts w:eastAsia="Calibri"/>
          <w:sz w:val="26"/>
          <w:szCs w:val="26"/>
          <w:lang w:eastAsia="en-US"/>
        </w:rPr>
        <w:t>El 24 de marzo de 2015, la Secretaría de Economía (SE) comunicó que en su segunda jornada de trabajo en París, Francia, el Secretario de Economía inauguró la Cumbre de Negocios México (</w:t>
      </w:r>
      <w:r w:rsidRPr="00F44802">
        <w:rPr>
          <w:rFonts w:eastAsia="Calibri"/>
          <w:i/>
          <w:sz w:val="26"/>
          <w:szCs w:val="26"/>
          <w:lang w:eastAsia="en-US"/>
        </w:rPr>
        <w:t>Mexico Business Summit</w:t>
      </w:r>
      <w:r w:rsidRPr="00F44802">
        <w:rPr>
          <w:rFonts w:eastAsia="Calibri"/>
          <w:sz w:val="26"/>
          <w:szCs w:val="26"/>
          <w:lang w:eastAsia="en-US"/>
        </w:rPr>
        <w:t xml:space="preserve">), organizada por la revista </w:t>
      </w:r>
      <w:r w:rsidRPr="00F44802">
        <w:rPr>
          <w:rFonts w:eastAsia="Calibri"/>
          <w:i/>
          <w:sz w:val="26"/>
          <w:szCs w:val="26"/>
          <w:lang w:eastAsia="en-US"/>
        </w:rPr>
        <w:t>The Economist</w:t>
      </w:r>
      <w:r w:rsidRPr="00F44802">
        <w:rPr>
          <w:rFonts w:eastAsia="Calibri"/>
          <w:sz w:val="26"/>
          <w:szCs w:val="26"/>
          <w:lang w:eastAsia="en-US"/>
        </w:rPr>
        <w:t>, ante un centenar de empresarios europeos. En dicho evento se analizaron los retos y oportunidades de la economía mexicana y la importancia de las reformas estructurales para mejorar el ambiente de negocios e incrementar la productividad de la planta industrial. Asimismo, el Secretario de Economía destacó la importancia del Tratado de Libre Comercio entre México y la Unión Europea, el cual rige la relación comercial desde el año 2000 y que ha permitido:</w:t>
      </w:r>
    </w:p>
    <w:p w14:paraId="24CBC26B" w14:textId="77777777" w:rsidR="00F44802" w:rsidRPr="00F44802" w:rsidRDefault="00F44802" w:rsidP="00762467">
      <w:pPr>
        <w:numPr>
          <w:ilvl w:val="0"/>
          <w:numId w:val="61"/>
        </w:numPr>
        <w:spacing w:after="360" w:line="360" w:lineRule="auto"/>
        <w:ind w:right="-159"/>
        <w:jc w:val="both"/>
        <w:rPr>
          <w:rFonts w:eastAsia="Calibri"/>
          <w:sz w:val="26"/>
          <w:szCs w:val="26"/>
          <w:lang w:eastAsia="en-US"/>
        </w:rPr>
      </w:pPr>
      <w:r w:rsidRPr="00F44802">
        <w:rPr>
          <w:rFonts w:eastAsia="Calibri"/>
          <w:sz w:val="26"/>
          <w:szCs w:val="26"/>
          <w:lang w:eastAsia="en-US"/>
        </w:rPr>
        <w:t>Que los intercambios comerciales con ese bloque se multiplicaran 3.5 veces desde la entrada en vigor del tratado, al sumar casi 65 mil millones de dólares en 2014; y</w:t>
      </w:r>
    </w:p>
    <w:p w14:paraId="37EE3B5E" w14:textId="77777777" w:rsidR="00F44802" w:rsidRPr="00F44802" w:rsidRDefault="00F44802" w:rsidP="00762467">
      <w:pPr>
        <w:numPr>
          <w:ilvl w:val="0"/>
          <w:numId w:val="61"/>
        </w:numPr>
        <w:spacing w:after="360" w:line="360" w:lineRule="auto"/>
        <w:ind w:right="-159"/>
        <w:jc w:val="both"/>
        <w:rPr>
          <w:rFonts w:eastAsia="Calibri"/>
          <w:sz w:val="26"/>
          <w:szCs w:val="26"/>
          <w:lang w:eastAsia="en-US"/>
        </w:rPr>
      </w:pPr>
      <w:r w:rsidRPr="00F44802">
        <w:rPr>
          <w:rFonts w:eastAsia="Calibri"/>
          <w:sz w:val="26"/>
          <w:szCs w:val="26"/>
          <w:lang w:eastAsia="en-US"/>
        </w:rPr>
        <w:t>Que la Unión Europea se posicione como el tercer socio comercial más importante de México y segunda fuente de inversión.</w:t>
      </w:r>
    </w:p>
    <w:p w14:paraId="49685D57" w14:textId="77777777" w:rsidR="00F44802" w:rsidRPr="00F44802" w:rsidRDefault="00F44802" w:rsidP="00F44802">
      <w:pPr>
        <w:spacing w:after="360" w:line="360" w:lineRule="auto"/>
        <w:ind w:right="-159"/>
        <w:jc w:val="both"/>
        <w:rPr>
          <w:rFonts w:eastAsia="Calibri"/>
          <w:sz w:val="26"/>
          <w:szCs w:val="26"/>
          <w:lang w:eastAsia="en-US"/>
        </w:rPr>
      </w:pPr>
      <w:r w:rsidRPr="00F44802">
        <w:rPr>
          <w:rFonts w:eastAsia="Calibri"/>
          <w:sz w:val="26"/>
          <w:szCs w:val="26"/>
          <w:lang w:eastAsia="en-US"/>
        </w:rPr>
        <w:t xml:space="preserve">Posteriormente, el funcionario mexicano se reunió con el Presidente del Movimiento de Empresas de Francia (MEDEF por sus siglas en francés), para revisar los proyectos de colaboración entre MEDEF y su contraparte mexicana, la Confederación Patronal </w:t>
      </w:r>
      <w:r w:rsidRPr="00F44802">
        <w:rPr>
          <w:rFonts w:eastAsia="Calibri"/>
          <w:sz w:val="26"/>
          <w:szCs w:val="26"/>
          <w:lang w:eastAsia="en-US"/>
        </w:rPr>
        <w:lastRenderedPageBreak/>
        <w:t>de la República Mexicana (COPARMEX), así como revisar las acciones que ese movimiento de empresas llevará a cabo en el marco de la visita del Presidente de México a Francia, en julio de este año.</w:t>
      </w:r>
    </w:p>
    <w:p w14:paraId="43D1A46D" w14:textId="77777777" w:rsidR="00F44802" w:rsidRPr="00F44802" w:rsidRDefault="00F44802" w:rsidP="00F44802">
      <w:pPr>
        <w:spacing w:after="360" w:line="360" w:lineRule="auto"/>
        <w:ind w:right="-159"/>
        <w:jc w:val="both"/>
        <w:rPr>
          <w:rFonts w:eastAsia="Calibri"/>
          <w:sz w:val="26"/>
          <w:szCs w:val="26"/>
          <w:lang w:eastAsia="en-US"/>
        </w:rPr>
      </w:pPr>
      <w:r w:rsidRPr="00F44802">
        <w:rPr>
          <w:rFonts w:eastAsia="Calibri"/>
          <w:sz w:val="26"/>
          <w:szCs w:val="26"/>
          <w:lang w:eastAsia="en-US"/>
        </w:rPr>
        <w:t>Con el objetivo de impulsar proyectos de inversión en México, el Secretario de Economía se reunió con directivos de la empresa francesa Sanofi Pasteur Global, una de las compañías farmacéuticas más importantes a nivel mundial. En este encuentro se abordó la experiencia y ventajas que ofrece México para las operaciones de empresas farmacéuticas, al ser una economía abierta a los flujos internacionales de comercio e inversión, posicionada como puerta de entrada para los principales mercados internacionales.</w:t>
      </w:r>
    </w:p>
    <w:p w14:paraId="6B311513" w14:textId="77777777" w:rsidR="00F20067" w:rsidRDefault="00F44802" w:rsidP="00F44802">
      <w:pPr>
        <w:spacing w:after="360" w:line="360" w:lineRule="auto"/>
        <w:ind w:right="-159"/>
        <w:jc w:val="both"/>
        <w:rPr>
          <w:rFonts w:eastAsia="Calibri"/>
          <w:sz w:val="26"/>
          <w:szCs w:val="26"/>
          <w:lang w:eastAsia="en-US"/>
        </w:rPr>
      </w:pPr>
      <w:r w:rsidRPr="00F44802">
        <w:rPr>
          <w:rFonts w:eastAsia="Calibri"/>
          <w:sz w:val="26"/>
          <w:szCs w:val="26"/>
          <w:lang w:eastAsia="en-US"/>
        </w:rPr>
        <w:t xml:space="preserve">El Secretario de Economía también sostuvo un encuentro con directivos de Safran, que ha operado en México durante más de 20 años y que, en la actualidad, desarrolla actividades en el sector aeroespacial y componentes para la seguridad en aeronaves. </w:t>
      </w:r>
    </w:p>
    <w:p w14:paraId="5C9DD0EC" w14:textId="55027409" w:rsidR="00F44802" w:rsidRPr="00F44802" w:rsidRDefault="00F44802" w:rsidP="00F44802">
      <w:pPr>
        <w:spacing w:after="360" w:line="360" w:lineRule="auto"/>
        <w:ind w:right="-159"/>
        <w:jc w:val="both"/>
        <w:rPr>
          <w:rFonts w:eastAsia="Calibri"/>
          <w:sz w:val="26"/>
          <w:szCs w:val="26"/>
          <w:lang w:eastAsia="en-US"/>
        </w:rPr>
      </w:pPr>
      <w:r w:rsidRPr="00F44802">
        <w:rPr>
          <w:rFonts w:eastAsia="Calibri"/>
          <w:sz w:val="26"/>
          <w:szCs w:val="26"/>
          <w:lang w:eastAsia="en-US"/>
        </w:rPr>
        <w:t>El encuentro permitió retomar los proyectos de la empresa en México, mismos que contribuyen al desarrollo de proveedores en México mediante transferencia tecnológica, así como reiterar la inauguración de un nuevo proyecto.</w:t>
      </w:r>
    </w:p>
    <w:p w14:paraId="2D64DA15" w14:textId="77777777" w:rsidR="00F44802" w:rsidRPr="00F44802" w:rsidRDefault="00F44802" w:rsidP="00F44802">
      <w:pPr>
        <w:ind w:right="-159"/>
        <w:jc w:val="both"/>
        <w:rPr>
          <w:rFonts w:eastAsia="Calibri"/>
          <w:sz w:val="20"/>
          <w:szCs w:val="20"/>
          <w:lang w:eastAsia="en-US"/>
        </w:rPr>
      </w:pPr>
      <w:r w:rsidRPr="00F44802">
        <w:rPr>
          <w:rFonts w:eastAsia="Calibri"/>
          <w:b/>
          <w:sz w:val="20"/>
          <w:szCs w:val="20"/>
          <w:lang w:eastAsia="en-US"/>
        </w:rPr>
        <w:t>Fuente de información</w:t>
      </w:r>
      <w:r w:rsidRPr="00F44802">
        <w:rPr>
          <w:rFonts w:eastAsia="Calibri"/>
          <w:sz w:val="20"/>
          <w:szCs w:val="20"/>
          <w:lang w:eastAsia="en-US"/>
        </w:rPr>
        <w:t>:</w:t>
      </w:r>
    </w:p>
    <w:p w14:paraId="110F2422" w14:textId="77777777" w:rsidR="00F44802" w:rsidRPr="00E630EC" w:rsidRDefault="0045651A" w:rsidP="00F44802">
      <w:pPr>
        <w:ind w:right="-159"/>
        <w:jc w:val="both"/>
        <w:rPr>
          <w:rFonts w:eastAsia="Calibri"/>
          <w:color w:val="0000FF"/>
          <w:sz w:val="20"/>
          <w:szCs w:val="20"/>
          <w:u w:val="single"/>
          <w:lang w:eastAsia="en-US"/>
        </w:rPr>
      </w:pPr>
      <w:hyperlink r:id="rId139" w:history="1">
        <w:r w:rsidR="00F44802" w:rsidRPr="00E630EC">
          <w:rPr>
            <w:rFonts w:eastAsia="Calibri"/>
            <w:color w:val="0000FF"/>
            <w:sz w:val="20"/>
            <w:szCs w:val="20"/>
            <w:u w:val="single"/>
            <w:lang w:eastAsia="en-US"/>
          </w:rPr>
          <w:t>http://www.economia.gob.mx/eventos-noticias/sala-de-prensa/comunicados/10964-comunicado15-028</w:t>
        </w:r>
      </w:hyperlink>
    </w:p>
    <w:p w14:paraId="0CE9F14A" w14:textId="77777777" w:rsidR="00F44802" w:rsidRPr="00E630EC" w:rsidRDefault="00F44802" w:rsidP="00F44802">
      <w:pPr>
        <w:ind w:right="-159"/>
        <w:jc w:val="both"/>
        <w:rPr>
          <w:rFonts w:eastAsia="Calibri"/>
          <w:sz w:val="20"/>
          <w:szCs w:val="20"/>
          <w:lang w:eastAsia="en-US"/>
        </w:rPr>
      </w:pPr>
      <w:r w:rsidRPr="00E630EC">
        <w:rPr>
          <w:rFonts w:eastAsia="Calibri"/>
          <w:sz w:val="20"/>
          <w:szCs w:val="20"/>
          <w:lang w:eastAsia="en-US"/>
        </w:rPr>
        <w:t>Para tener acceso a información relacionada visite:</w:t>
      </w:r>
    </w:p>
    <w:p w14:paraId="05DA5B8F" w14:textId="77777777" w:rsidR="00F44802" w:rsidRPr="00E630EC" w:rsidRDefault="0045651A" w:rsidP="00F44802">
      <w:pPr>
        <w:ind w:right="-159"/>
        <w:jc w:val="both"/>
        <w:rPr>
          <w:rFonts w:eastAsia="Calibri"/>
          <w:color w:val="0000FF"/>
          <w:sz w:val="20"/>
          <w:szCs w:val="20"/>
          <w:lang w:eastAsia="en-US"/>
        </w:rPr>
      </w:pPr>
      <w:hyperlink r:id="rId140" w:history="1">
        <w:r w:rsidR="00F44802" w:rsidRPr="00E630EC">
          <w:rPr>
            <w:rFonts w:eastAsia="Calibri"/>
            <w:color w:val="0000FF"/>
            <w:sz w:val="20"/>
            <w:szCs w:val="20"/>
            <w:u w:val="single"/>
            <w:lang w:eastAsia="en-US"/>
          </w:rPr>
          <w:t>http://www.economia.gob.mx/eventos-noticias/sala-de-prensa/comunicados/10961-comunicado15-27</w:t>
        </w:r>
      </w:hyperlink>
      <w:r w:rsidR="00F44802" w:rsidRPr="00E630EC">
        <w:rPr>
          <w:rFonts w:eastAsia="Calibri"/>
          <w:color w:val="0000FF"/>
          <w:sz w:val="20"/>
          <w:szCs w:val="20"/>
          <w:lang w:eastAsia="en-US"/>
        </w:rPr>
        <w:t xml:space="preserve"> </w:t>
      </w:r>
    </w:p>
    <w:p w14:paraId="24F72EDA" w14:textId="77777777" w:rsidR="00F44802" w:rsidRPr="00E630EC" w:rsidRDefault="0045651A" w:rsidP="00E630EC">
      <w:pPr>
        <w:spacing w:after="720"/>
        <w:ind w:right="-159"/>
        <w:jc w:val="both"/>
        <w:rPr>
          <w:rFonts w:eastAsia="Calibri"/>
          <w:color w:val="0000FF"/>
          <w:sz w:val="20"/>
          <w:szCs w:val="20"/>
          <w:lang w:eastAsia="en-US"/>
        </w:rPr>
      </w:pPr>
      <w:hyperlink r:id="rId141" w:history="1">
        <w:r w:rsidR="00F44802" w:rsidRPr="00E630EC">
          <w:rPr>
            <w:rFonts w:eastAsia="Calibri"/>
            <w:color w:val="0000FF"/>
            <w:sz w:val="20"/>
            <w:szCs w:val="20"/>
            <w:u w:val="single"/>
            <w:lang w:eastAsia="en-US"/>
          </w:rPr>
          <w:t>http://www.economia.gob.mx/eventos-noticias/sala-de-prensa/comunicados/10955-comunicado15-26</w:t>
        </w:r>
      </w:hyperlink>
      <w:r w:rsidR="00F44802" w:rsidRPr="00E630EC">
        <w:rPr>
          <w:rFonts w:eastAsia="Calibri"/>
          <w:color w:val="0000FF"/>
          <w:sz w:val="20"/>
          <w:szCs w:val="20"/>
          <w:lang w:eastAsia="en-US"/>
        </w:rPr>
        <w:t xml:space="preserve"> </w:t>
      </w:r>
    </w:p>
    <w:p w14:paraId="676A4F2F" w14:textId="77777777" w:rsidR="00080407" w:rsidRPr="00080407" w:rsidRDefault="00080407" w:rsidP="00080407">
      <w:pPr>
        <w:ind w:right="-159"/>
        <w:jc w:val="both"/>
        <w:rPr>
          <w:rFonts w:eastAsia="Calibri"/>
          <w:b/>
          <w:bCs/>
          <w:sz w:val="26"/>
          <w:szCs w:val="26"/>
          <w:lang w:eastAsia="en-US"/>
        </w:rPr>
      </w:pPr>
      <w:r w:rsidRPr="00080407">
        <w:rPr>
          <w:rFonts w:eastAsia="Calibri"/>
          <w:b/>
          <w:bCs/>
          <w:sz w:val="26"/>
          <w:szCs w:val="26"/>
          <w:lang w:eastAsia="en-US"/>
        </w:rPr>
        <w:t>Adicionan  dos  indicadores  clave</w:t>
      </w:r>
    </w:p>
    <w:p w14:paraId="746C9F67" w14:textId="77777777" w:rsidR="00080407" w:rsidRPr="00080407" w:rsidRDefault="00080407" w:rsidP="00080407">
      <w:pPr>
        <w:ind w:right="-159"/>
        <w:jc w:val="both"/>
        <w:rPr>
          <w:rFonts w:eastAsia="Calibri"/>
          <w:b/>
          <w:bCs/>
          <w:sz w:val="26"/>
          <w:szCs w:val="26"/>
          <w:lang w:eastAsia="en-US"/>
        </w:rPr>
      </w:pPr>
      <w:r w:rsidRPr="00080407">
        <w:rPr>
          <w:rFonts w:eastAsia="Calibri"/>
          <w:b/>
          <w:bCs/>
          <w:sz w:val="26"/>
          <w:szCs w:val="26"/>
          <w:lang w:eastAsia="en-US"/>
        </w:rPr>
        <w:t>en materia de trabajo al Catálogo</w:t>
      </w:r>
    </w:p>
    <w:p w14:paraId="062C30C0" w14:textId="77777777" w:rsidR="00080407" w:rsidRPr="00080407" w:rsidRDefault="00080407" w:rsidP="00080407">
      <w:pPr>
        <w:spacing w:after="360" w:line="360" w:lineRule="auto"/>
        <w:ind w:right="-159"/>
        <w:jc w:val="both"/>
        <w:rPr>
          <w:rFonts w:eastAsia="Calibri"/>
          <w:b/>
          <w:sz w:val="26"/>
          <w:szCs w:val="26"/>
          <w:lang w:eastAsia="en-US"/>
        </w:rPr>
      </w:pPr>
      <w:r w:rsidRPr="00080407">
        <w:rPr>
          <w:rFonts w:eastAsia="Calibri"/>
          <w:b/>
          <w:bCs/>
          <w:sz w:val="26"/>
          <w:szCs w:val="26"/>
          <w:lang w:eastAsia="en-US"/>
        </w:rPr>
        <w:t>Nacional de Indicadores</w:t>
      </w:r>
      <w:r w:rsidRPr="00080407">
        <w:rPr>
          <w:rFonts w:eastAsia="Calibri"/>
          <w:b/>
          <w:sz w:val="26"/>
          <w:szCs w:val="26"/>
          <w:lang w:eastAsia="en-US"/>
        </w:rPr>
        <w:t xml:space="preserve"> (INEGI)</w:t>
      </w:r>
    </w:p>
    <w:p w14:paraId="6856F2D0" w14:textId="47F05EB5" w:rsidR="00080407" w:rsidRPr="00080407" w:rsidRDefault="00080407" w:rsidP="00080407">
      <w:pPr>
        <w:spacing w:after="360" w:line="360" w:lineRule="auto"/>
        <w:ind w:right="-159"/>
        <w:jc w:val="both"/>
        <w:rPr>
          <w:rFonts w:eastAsia="Calibri"/>
          <w:bCs/>
          <w:sz w:val="26"/>
          <w:szCs w:val="26"/>
          <w:lang w:eastAsia="en-US"/>
        </w:rPr>
      </w:pPr>
      <w:r w:rsidRPr="00080407">
        <w:rPr>
          <w:rFonts w:eastAsia="Calibri"/>
          <w:sz w:val="26"/>
          <w:szCs w:val="26"/>
          <w:lang w:eastAsia="en-US"/>
        </w:rPr>
        <w:t xml:space="preserve">El </w:t>
      </w:r>
      <w:r w:rsidRPr="00080407">
        <w:rPr>
          <w:rFonts w:eastAsia="Calibri"/>
          <w:bCs/>
          <w:sz w:val="26"/>
          <w:szCs w:val="26"/>
          <w:lang w:eastAsia="en-US"/>
        </w:rPr>
        <w:t>10 de abril de 2015</w:t>
      </w:r>
      <w:r w:rsidRPr="00080407">
        <w:rPr>
          <w:rFonts w:eastAsia="Calibri"/>
          <w:sz w:val="26"/>
          <w:szCs w:val="26"/>
          <w:lang w:eastAsia="en-US"/>
        </w:rPr>
        <w:t xml:space="preserve">, </w:t>
      </w:r>
      <w:r w:rsidR="00E630EC">
        <w:rPr>
          <w:rFonts w:eastAsia="Calibri"/>
          <w:sz w:val="26"/>
          <w:szCs w:val="26"/>
          <w:lang w:eastAsia="en-US"/>
        </w:rPr>
        <w:t xml:space="preserve">el </w:t>
      </w:r>
      <w:r w:rsidRPr="00080407">
        <w:rPr>
          <w:rFonts w:eastAsia="Calibri"/>
          <w:bCs/>
          <w:sz w:val="26"/>
          <w:szCs w:val="26"/>
          <w:lang w:eastAsia="en-US"/>
        </w:rPr>
        <w:t xml:space="preserve">Instituto Nacional de Estadística y Geografía (INEGI) publicó en el Diario Oficial de la Federación (DOF) el “Acuerdo por el que se adicionan dos </w:t>
      </w:r>
      <w:r w:rsidRPr="00080407">
        <w:rPr>
          <w:rFonts w:eastAsia="Calibri"/>
          <w:bCs/>
          <w:sz w:val="26"/>
          <w:szCs w:val="26"/>
          <w:lang w:eastAsia="en-US"/>
        </w:rPr>
        <w:lastRenderedPageBreak/>
        <w:t>indicadores clave en materia de trabajo y previsión social al Catálogo Nacional de Indicadores”. A continuación se presenta el contenido.</w:t>
      </w:r>
    </w:p>
    <w:p w14:paraId="6AAE1730"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Con fundamento en lo dispuesto en los artículos 26 apartado B de la Constitución Política de los Estados Unidos Mexicanos; artículos 21, 22, 24, 25, 33 fracción II, 56 y 77 fracción VII de la Ley del Sistema Nacional de Información Estadística y Geográfica, y</w:t>
      </w:r>
    </w:p>
    <w:p w14:paraId="33BC6F6B" w14:textId="77777777" w:rsidR="00080407" w:rsidRPr="00080407" w:rsidRDefault="00080407" w:rsidP="00080407">
      <w:pPr>
        <w:spacing w:after="360" w:line="360" w:lineRule="auto"/>
        <w:ind w:right="-159"/>
        <w:jc w:val="center"/>
        <w:rPr>
          <w:rFonts w:eastAsia="Calibri"/>
          <w:b/>
          <w:bCs/>
          <w:sz w:val="26"/>
          <w:szCs w:val="26"/>
          <w:lang w:eastAsia="en-US"/>
        </w:rPr>
      </w:pPr>
      <w:r w:rsidRPr="00080407">
        <w:rPr>
          <w:rFonts w:eastAsia="Calibri"/>
          <w:b/>
          <w:bCs/>
          <w:sz w:val="26"/>
          <w:szCs w:val="26"/>
          <w:lang w:eastAsia="en-US"/>
        </w:rPr>
        <w:t>CONSIDERANDO</w:t>
      </w:r>
    </w:p>
    <w:p w14:paraId="5F0B33AF"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la Ley del Sistema Nacional de Información Estadística y Geográfica (Ley del Sistema), establece que la Junta de Gobierno debe aprobar los indicadores generados por los Subsistemas Nacionales de Información;</w:t>
      </w:r>
    </w:p>
    <w:p w14:paraId="4BCABC48"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los Subsistemas Nacionales de Información deberán generar un conjunto de indicadores clave que atenderán como mínimo los temas siguientes: población y dinámica demográfica, salud, educación, empleo, distribución del ingreso y pobreza, seguridad pública e impartición de justicia, gobierno, vivienda, sistema de cuentas nacionales, ciencia y tecnología, información financiera, precios, trabajo, atmósfera, agua, suelo, flora, fauna, residuos peligrosos y residuos sólidos;</w:t>
      </w:r>
    </w:p>
    <w:p w14:paraId="3BA5EBBA"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el Instituto Nacional de Estadística y Geografía establecerá en coordinación con las Unidades del Estado, un Catálogo Nacional de Indicadores, a partir de la información básica que se obtenga de:</w:t>
      </w:r>
    </w:p>
    <w:p w14:paraId="675102AE" w14:textId="49A495F0"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 xml:space="preserve">El Censo </w:t>
      </w:r>
      <w:r>
        <w:rPr>
          <w:rFonts w:eastAsia="Calibri"/>
          <w:sz w:val="26"/>
          <w:szCs w:val="26"/>
          <w:lang w:eastAsia="en-US"/>
        </w:rPr>
        <w:t>N</w:t>
      </w:r>
      <w:r w:rsidRPr="00080407">
        <w:rPr>
          <w:rFonts w:eastAsia="Calibri"/>
          <w:sz w:val="26"/>
          <w:szCs w:val="26"/>
          <w:lang w:eastAsia="en-US"/>
        </w:rPr>
        <w:t xml:space="preserve">acional de </w:t>
      </w:r>
      <w:r>
        <w:rPr>
          <w:rFonts w:eastAsia="Calibri"/>
          <w:sz w:val="26"/>
          <w:szCs w:val="26"/>
          <w:lang w:eastAsia="en-US"/>
        </w:rPr>
        <w:t>P</w:t>
      </w:r>
      <w:r w:rsidRPr="00080407">
        <w:rPr>
          <w:rFonts w:eastAsia="Calibri"/>
          <w:sz w:val="26"/>
          <w:szCs w:val="26"/>
          <w:lang w:eastAsia="en-US"/>
        </w:rPr>
        <w:t xml:space="preserve">oblación y </w:t>
      </w:r>
      <w:r>
        <w:rPr>
          <w:rFonts w:eastAsia="Calibri"/>
          <w:sz w:val="26"/>
          <w:szCs w:val="26"/>
          <w:lang w:eastAsia="en-US"/>
        </w:rPr>
        <w:t>V</w:t>
      </w:r>
      <w:r w:rsidRPr="00080407">
        <w:rPr>
          <w:rFonts w:eastAsia="Calibri"/>
          <w:sz w:val="26"/>
          <w:szCs w:val="26"/>
          <w:lang w:eastAsia="en-US"/>
        </w:rPr>
        <w:t>ivienda, o de los esquemas alternativos que pudieran adoptarse en el futuro para sustituirlo total o parcialmente;</w:t>
      </w:r>
    </w:p>
    <w:p w14:paraId="29E0AB53" w14:textId="16F33D1B"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 xml:space="preserve">Los </w:t>
      </w:r>
      <w:r>
        <w:rPr>
          <w:rFonts w:eastAsia="Calibri"/>
          <w:sz w:val="26"/>
          <w:szCs w:val="26"/>
          <w:lang w:eastAsia="en-US"/>
        </w:rPr>
        <w:t>C</w:t>
      </w:r>
      <w:r w:rsidRPr="00080407">
        <w:rPr>
          <w:rFonts w:eastAsia="Calibri"/>
          <w:sz w:val="26"/>
          <w:szCs w:val="26"/>
          <w:lang w:eastAsia="en-US"/>
        </w:rPr>
        <w:t xml:space="preserve">ensos </w:t>
      </w:r>
      <w:r>
        <w:rPr>
          <w:rFonts w:eastAsia="Calibri"/>
          <w:sz w:val="26"/>
          <w:szCs w:val="26"/>
          <w:lang w:eastAsia="en-US"/>
        </w:rPr>
        <w:t>N</w:t>
      </w:r>
      <w:r w:rsidRPr="00080407">
        <w:rPr>
          <w:rFonts w:eastAsia="Calibri"/>
          <w:sz w:val="26"/>
          <w:szCs w:val="26"/>
          <w:lang w:eastAsia="en-US"/>
        </w:rPr>
        <w:t xml:space="preserve">acionales </w:t>
      </w:r>
      <w:r>
        <w:rPr>
          <w:rFonts w:eastAsia="Calibri"/>
          <w:sz w:val="26"/>
          <w:szCs w:val="26"/>
          <w:lang w:eastAsia="en-US"/>
        </w:rPr>
        <w:t>E</w:t>
      </w:r>
      <w:r w:rsidRPr="00080407">
        <w:rPr>
          <w:rFonts w:eastAsia="Calibri"/>
          <w:sz w:val="26"/>
          <w:szCs w:val="26"/>
          <w:lang w:eastAsia="en-US"/>
        </w:rPr>
        <w:t xml:space="preserve">conómicos y </w:t>
      </w:r>
      <w:r>
        <w:rPr>
          <w:rFonts w:eastAsia="Calibri"/>
          <w:sz w:val="26"/>
          <w:szCs w:val="26"/>
          <w:lang w:eastAsia="en-US"/>
        </w:rPr>
        <w:t>A</w:t>
      </w:r>
      <w:r w:rsidRPr="00080407">
        <w:rPr>
          <w:rFonts w:eastAsia="Calibri"/>
          <w:sz w:val="26"/>
          <w:szCs w:val="26"/>
          <w:lang w:eastAsia="en-US"/>
        </w:rPr>
        <w:t>gropecuarios, o los esquemas alternativos que pudieran adoptarse en el futuro para sustituirlo total o parcialmente;</w:t>
      </w:r>
    </w:p>
    <w:p w14:paraId="2B194806" w14:textId="77777777"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lastRenderedPageBreak/>
        <w:t>El Sistema Nacional de Información Ambiental y de Recursos Naturales;</w:t>
      </w:r>
    </w:p>
    <w:p w14:paraId="03ECE2DA" w14:textId="77777777"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Un sistema integrado de encuestas nacionales de los hogares;</w:t>
      </w:r>
    </w:p>
    <w:p w14:paraId="31C7826A" w14:textId="77777777"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Un sistema integrado de encuestas en unidades económicas;</w:t>
      </w:r>
    </w:p>
    <w:p w14:paraId="4DE2DF58" w14:textId="77777777"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Un sistema integrado de inventarios y encuestas sobre recursos naturales y medio ambiente;</w:t>
      </w:r>
    </w:p>
    <w:p w14:paraId="139F0DB6" w14:textId="77777777" w:rsidR="00080407" w:rsidRPr="00080407" w:rsidRDefault="00080407" w:rsidP="003518F4">
      <w:pPr>
        <w:numPr>
          <w:ilvl w:val="0"/>
          <w:numId w:val="141"/>
        </w:numPr>
        <w:spacing w:after="360" w:line="360" w:lineRule="auto"/>
        <w:ind w:left="357" w:right="-159" w:hanging="357"/>
        <w:jc w:val="both"/>
        <w:rPr>
          <w:rFonts w:eastAsia="Calibri"/>
          <w:b/>
          <w:sz w:val="26"/>
          <w:szCs w:val="26"/>
          <w:lang w:eastAsia="en-US"/>
        </w:rPr>
      </w:pPr>
      <w:r w:rsidRPr="00080407">
        <w:rPr>
          <w:rFonts w:eastAsia="Calibri"/>
          <w:sz w:val="26"/>
          <w:szCs w:val="26"/>
          <w:lang w:eastAsia="en-US"/>
        </w:rPr>
        <w:t>Los registros administrativos que permitan obtener Información de Interés Nacional en la materia.</w:t>
      </w:r>
    </w:p>
    <w:p w14:paraId="57DDB151"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el Instituto Nacional de Estadística y Geografía, como organismo público con autonomía técnica y de gestión, personalidad jurídica y patrimonio propios, responsable de normar y coordinar el Sistema Nacional de Información Estadística y Geográfica, tiene como uno de sus objetivos realizar las acciones tendientes a lograr que la Información de Interés Nacional se sujete a los principios de accesibilidad, transparencia, objetividad e independencia a efecto de coadyuvar al desarrollo nacional;</w:t>
      </w:r>
    </w:p>
    <w:p w14:paraId="6EE86516"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de acuerdo con lo dispuesto por el artículo 6 de la Ley del Sistema, la Información de Interés Nacional, producida y difundida por las Unidades del Estado que conforman el Sistema Nacional de Información Estadística y Geográfica, será oficial y de uso obligatorio para la Federación, los estados, el Distrito Federal y los municipios;</w:t>
      </w:r>
    </w:p>
    <w:p w14:paraId="647AF613"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Que el 23 de mayo de 2013 se publicó en el Diario Oficial de la Federación el Acuerdo por el que se aprueba la inclusión de un conjunto de 16 indicadores clave en materia de trabajo y previsión social al Catálogo Nacional de Indicadores, por el cual se aprobaron los primeros indicadores en la materia. Asimismo el 30 de enero de 2014 se publicó en el Diario Oficial de la Federación el Acuerdo por el que se adicionan dos indicadores clave en materia de trabajo y previsión social al Catálogo Nacional de Indicadores;</w:t>
      </w:r>
    </w:p>
    <w:p w14:paraId="5C3F251F"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lastRenderedPageBreak/>
        <w:t>Que el Comité Ejecutivo del Subsistema Nacional de Información Demográfica y Social, con el apoyo del Comité Técnico Especializado de Estadísticas de Trabajo y Previsión Social, documentaron y dictaminaron los indicadores para ser incluidos en el Catálogo Nacional de Indicadores.</w:t>
      </w:r>
    </w:p>
    <w:p w14:paraId="7D7FF784"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Por lo anterior la Junta de Gobierno, ha tenido a bien expedir el siguiente:</w:t>
      </w:r>
    </w:p>
    <w:p w14:paraId="31477A51" w14:textId="77777777" w:rsidR="00080407" w:rsidRPr="00E6455F" w:rsidRDefault="00080407" w:rsidP="00E6455F">
      <w:pPr>
        <w:spacing w:after="360"/>
        <w:ind w:right="-159"/>
        <w:jc w:val="both"/>
        <w:rPr>
          <w:rFonts w:eastAsia="Calibri"/>
          <w:b/>
          <w:sz w:val="26"/>
          <w:szCs w:val="26"/>
          <w:lang w:eastAsia="en-US"/>
        </w:rPr>
      </w:pPr>
      <w:r w:rsidRPr="00E6455F">
        <w:rPr>
          <w:rFonts w:eastAsia="Calibri"/>
          <w:b/>
          <w:sz w:val="26"/>
          <w:szCs w:val="26"/>
          <w:lang w:eastAsia="en-US"/>
        </w:rPr>
        <w:t>ACUERDO POR EL QUE SE ADICIONAN DOS INDICADORES CLAVE EN MATERIA DE TRABAJO Y PREVISIÓN SOCIAL AL CATÁLOGO NACIONAL DE INDICADORES</w:t>
      </w:r>
    </w:p>
    <w:p w14:paraId="1E2C368A" w14:textId="0C7BFF4A"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bCs/>
          <w:sz w:val="26"/>
          <w:szCs w:val="26"/>
          <w:lang w:eastAsia="en-US"/>
        </w:rPr>
        <w:t>Primero.</w:t>
      </w:r>
      <w:r w:rsidRPr="00080407">
        <w:rPr>
          <w:rFonts w:eastAsia="Calibri"/>
          <w:b/>
          <w:bCs/>
          <w:sz w:val="26"/>
          <w:szCs w:val="26"/>
          <w:lang w:eastAsia="en-US"/>
        </w:rPr>
        <w:t xml:space="preserve"> </w:t>
      </w:r>
      <w:r w:rsidRPr="00080407">
        <w:rPr>
          <w:rFonts w:eastAsia="Calibri"/>
          <w:sz w:val="26"/>
          <w:szCs w:val="26"/>
          <w:lang w:eastAsia="en-US"/>
        </w:rPr>
        <w:t>Se adiciona al Catálogo Nacional de Indicadores en el marco del Sistema Nacional de Información Estadística y Geográfica, los indicadores siguientes:</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15" w:type="dxa"/>
          <w:left w:w="15" w:type="dxa"/>
          <w:bottom w:w="15" w:type="dxa"/>
          <w:right w:w="15" w:type="dxa"/>
        </w:tblCellMar>
        <w:tblLook w:val="04A0" w:firstRow="1" w:lastRow="0" w:firstColumn="1" w:lastColumn="0" w:noHBand="0" w:noVBand="1"/>
      </w:tblPr>
      <w:tblGrid>
        <w:gridCol w:w="588"/>
        <w:gridCol w:w="3759"/>
        <w:gridCol w:w="4365"/>
      </w:tblGrid>
      <w:tr w:rsidR="00080407" w:rsidRPr="00080407" w14:paraId="26FD07D6" w14:textId="77777777" w:rsidTr="00080407">
        <w:trPr>
          <w:trHeight w:val="336"/>
          <w:jc w:val="center"/>
        </w:trPr>
        <w:tc>
          <w:tcPr>
            <w:tcW w:w="588" w:type="dxa"/>
            <w:tcMar>
              <w:top w:w="15" w:type="dxa"/>
              <w:left w:w="72" w:type="dxa"/>
              <w:bottom w:w="15" w:type="dxa"/>
              <w:right w:w="72" w:type="dxa"/>
            </w:tcMar>
            <w:hideMark/>
          </w:tcPr>
          <w:p w14:paraId="0E1B7D59" w14:textId="77777777" w:rsidR="00080407" w:rsidRPr="00080407" w:rsidRDefault="00080407" w:rsidP="00080407">
            <w:pPr>
              <w:spacing w:after="101"/>
              <w:jc w:val="center"/>
              <w:rPr>
                <w:rFonts w:eastAsia="Times New Roman"/>
                <w:color w:val="000000"/>
                <w:sz w:val="22"/>
                <w:szCs w:val="22"/>
                <w:lang w:eastAsia="es-MX"/>
              </w:rPr>
            </w:pPr>
            <w:r w:rsidRPr="00080407">
              <w:rPr>
                <w:rFonts w:eastAsia="Times New Roman"/>
                <w:b/>
                <w:bCs/>
                <w:color w:val="000000"/>
                <w:sz w:val="22"/>
                <w:szCs w:val="22"/>
                <w:lang w:eastAsia="es-MX"/>
              </w:rPr>
              <w:t>N°</w:t>
            </w:r>
          </w:p>
        </w:tc>
        <w:tc>
          <w:tcPr>
            <w:tcW w:w="3759" w:type="dxa"/>
            <w:shd w:val="clear" w:color="auto" w:fill="auto"/>
            <w:tcMar>
              <w:top w:w="15" w:type="dxa"/>
              <w:left w:w="72" w:type="dxa"/>
              <w:bottom w:w="15" w:type="dxa"/>
              <w:right w:w="72" w:type="dxa"/>
            </w:tcMar>
            <w:hideMark/>
          </w:tcPr>
          <w:p w14:paraId="4FA48504" w14:textId="77777777" w:rsidR="00080407" w:rsidRPr="00080407" w:rsidRDefault="00080407" w:rsidP="00080407">
            <w:pPr>
              <w:spacing w:after="101"/>
              <w:jc w:val="center"/>
              <w:rPr>
                <w:rFonts w:eastAsia="Times New Roman"/>
                <w:sz w:val="22"/>
                <w:szCs w:val="22"/>
                <w:lang w:eastAsia="es-MX"/>
              </w:rPr>
            </w:pPr>
            <w:r w:rsidRPr="00080407">
              <w:rPr>
                <w:rFonts w:eastAsia="Times New Roman"/>
                <w:b/>
                <w:bCs/>
                <w:sz w:val="22"/>
                <w:szCs w:val="22"/>
                <w:lang w:eastAsia="es-MX"/>
              </w:rPr>
              <w:t>Indicador</w:t>
            </w:r>
          </w:p>
        </w:tc>
        <w:tc>
          <w:tcPr>
            <w:tcW w:w="4365" w:type="dxa"/>
            <w:shd w:val="clear" w:color="auto" w:fill="auto"/>
            <w:tcMar>
              <w:top w:w="15" w:type="dxa"/>
              <w:left w:w="72" w:type="dxa"/>
              <w:bottom w:w="15" w:type="dxa"/>
              <w:right w:w="72" w:type="dxa"/>
            </w:tcMar>
            <w:hideMark/>
          </w:tcPr>
          <w:p w14:paraId="758FC171" w14:textId="77777777" w:rsidR="00080407" w:rsidRPr="00080407" w:rsidRDefault="00080407" w:rsidP="00080407">
            <w:pPr>
              <w:spacing w:after="101"/>
              <w:jc w:val="center"/>
              <w:rPr>
                <w:rFonts w:eastAsia="Times New Roman"/>
                <w:sz w:val="22"/>
                <w:szCs w:val="22"/>
                <w:lang w:eastAsia="es-MX"/>
              </w:rPr>
            </w:pPr>
            <w:r w:rsidRPr="00080407">
              <w:rPr>
                <w:rFonts w:eastAsia="Times New Roman"/>
                <w:b/>
                <w:bCs/>
                <w:sz w:val="22"/>
                <w:szCs w:val="22"/>
                <w:lang w:eastAsia="es-MX"/>
              </w:rPr>
              <w:t>Responsable del cálculo</w:t>
            </w:r>
          </w:p>
        </w:tc>
      </w:tr>
      <w:tr w:rsidR="00080407" w:rsidRPr="00080407" w14:paraId="7E67D3FD" w14:textId="77777777" w:rsidTr="00080407">
        <w:trPr>
          <w:trHeight w:val="541"/>
          <w:jc w:val="center"/>
        </w:trPr>
        <w:tc>
          <w:tcPr>
            <w:tcW w:w="588" w:type="dxa"/>
            <w:tcMar>
              <w:top w:w="15" w:type="dxa"/>
              <w:left w:w="72" w:type="dxa"/>
              <w:bottom w:w="15" w:type="dxa"/>
              <w:right w:w="72" w:type="dxa"/>
            </w:tcMar>
            <w:hideMark/>
          </w:tcPr>
          <w:p w14:paraId="542252EA" w14:textId="77777777" w:rsidR="00080407" w:rsidRPr="00080407" w:rsidRDefault="00080407" w:rsidP="00080407">
            <w:pPr>
              <w:spacing w:after="101"/>
              <w:jc w:val="both"/>
              <w:rPr>
                <w:rFonts w:eastAsia="Times New Roman"/>
                <w:color w:val="000000"/>
                <w:sz w:val="22"/>
                <w:szCs w:val="22"/>
                <w:lang w:eastAsia="es-MX"/>
              </w:rPr>
            </w:pPr>
            <w:r w:rsidRPr="00080407">
              <w:rPr>
                <w:rFonts w:eastAsia="Times New Roman"/>
                <w:color w:val="000000"/>
                <w:sz w:val="22"/>
                <w:szCs w:val="22"/>
                <w:lang w:eastAsia="es-MX"/>
              </w:rPr>
              <w:t>19</w:t>
            </w:r>
          </w:p>
        </w:tc>
        <w:tc>
          <w:tcPr>
            <w:tcW w:w="3759" w:type="dxa"/>
            <w:shd w:val="clear" w:color="auto" w:fill="auto"/>
            <w:tcMar>
              <w:top w:w="15" w:type="dxa"/>
              <w:left w:w="72" w:type="dxa"/>
              <w:bottom w:w="15" w:type="dxa"/>
              <w:right w:w="72" w:type="dxa"/>
            </w:tcMar>
            <w:hideMark/>
          </w:tcPr>
          <w:p w14:paraId="43D3C15C" w14:textId="77777777" w:rsidR="00080407" w:rsidRPr="00080407" w:rsidRDefault="00080407" w:rsidP="00080407">
            <w:pPr>
              <w:spacing w:after="101"/>
              <w:jc w:val="both"/>
              <w:rPr>
                <w:rFonts w:eastAsia="Times New Roman"/>
                <w:sz w:val="22"/>
                <w:szCs w:val="22"/>
                <w:lang w:eastAsia="es-MX"/>
              </w:rPr>
            </w:pPr>
            <w:r w:rsidRPr="00080407">
              <w:rPr>
                <w:rFonts w:eastAsia="Times New Roman"/>
                <w:sz w:val="22"/>
                <w:szCs w:val="22"/>
                <w:lang w:eastAsia="es-MX"/>
              </w:rPr>
              <w:t>Incremento salarial contractual nominal de jurisdicción federal</w:t>
            </w:r>
          </w:p>
        </w:tc>
        <w:tc>
          <w:tcPr>
            <w:tcW w:w="4365" w:type="dxa"/>
            <w:vMerge w:val="restart"/>
            <w:shd w:val="clear" w:color="auto" w:fill="auto"/>
            <w:tcMar>
              <w:top w:w="15" w:type="dxa"/>
              <w:left w:w="72" w:type="dxa"/>
              <w:bottom w:w="15" w:type="dxa"/>
              <w:right w:w="72" w:type="dxa"/>
            </w:tcMar>
            <w:vAlign w:val="center"/>
            <w:hideMark/>
          </w:tcPr>
          <w:p w14:paraId="2DADC4E8" w14:textId="77777777" w:rsidR="00080407" w:rsidRPr="00080407" w:rsidRDefault="00080407" w:rsidP="00080407">
            <w:pPr>
              <w:spacing w:after="101"/>
              <w:jc w:val="both"/>
              <w:rPr>
                <w:rFonts w:eastAsia="Times New Roman"/>
                <w:sz w:val="22"/>
                <w:szCs w:val="22"/>
                <w:lang w:eastAsia="es-MX"/>
              </w:rPr>
            </w:pPr>
            <w:r w:rsidRPr="00080407">
              <w:rPr>
                <w:rFonts w:eastAsia="Times New Roman"/>
                <w:sz w:val="22"/>
                <w:szCs w:val="22"/>
                <w:lang w:eastAsia="es-MX"/>
              </w:rPr>
              <w:t>Secretaría del Trabajo y Previsión Social. Dirección General de Investigación y Estadísticas del Trabajo.</w:t>
            </w:r>
          </w:p>
        </w:tc>
      </w:tr>
      <w:tr w:rsidR="00080407" w:rsidRPr="00080407" w14:paraId="67FFA4FE" w14:textId="77777777" w:rsidTr="00080407">
        <w:trPr>
          <w:trHeight w:val="556"/>
          <w:jc w:val="center"/>
        </w:trPr>
        <w:tc>
          <w:tcPr>
            <w:tcW w:w="588" w:type="dxa"/>
            <w:tcMar>
              <w:top w:w="15" w:type="dxa"/>
              <w:left w:w="72" w:type="dxa"/>
              <w:bottom w:w="15" w:type="dxa"/>
              <w:right w:w="72" w:type="dxa"/>
            </w:tcMar>
            <w:hideMark/>
          </w:tcPr>
          <w:p w14:paraId="703C9DB3" w14:textId="77777777" w:rsidR="00080407" w:rsidRPr="00080407" w:rsidRDefault="00080407" w:rsidP="00080407">
            <w:pPr>
              <w:spacing w:after="101"/>
              <w:jc w:val="both"/>
              <w:rPr>
                <w:rFonts w:eastAsia="Times New Roman"/>
                <w:color w:val="000000"/>
                <w:sz w:val="22"/>
                <w:szCs w:val="22"/>
                <w:lang w:eastAsia="es-MX"/>
              </w:rPr>
            </w:pPr>
            <w:r w:rsidRPr="00080407">
              <w:rPr>
                <w:rFonts w:eastAsia="Times New Roman"/>
                <w:color w:val="000000"/>
                <w:sz w:val="22"/>
                <w:szCs w:val="22"/>
                <w:lang w:eastAsia="es-MX"/>
              </w:rPr>
              <w:t>20</w:t>
            </w:r>
          </w:p>
        </w:tc>
        <w:tc>
          <w:tcPr>
            <w:tcW w:w="3759" w:type="dxa"/>
            <w:shd w:val="clear" w:color="auto" w:fill="auto"/>
            <w:tcMar>
              <w:top w:w="15" w:type="dxa"/>
              <w:left w:w="72" w:type="dxa"/>
              <w:bottom w:w="15" w:type="dxa"/>
              <w:right w:w="72" w:type="dxa"/>
            </w:tcMar>
            <w:hideMark/>
          </w:tcPr>
          <w:p w14:paraId="607AC18E" w14:textId="77777777" w:rsidR="00080407" w:rsidRPr="00080407" w:rsidRDefault="00080407" w:rsidP="00080407">
            <w:pPr>
              <w:spacing w:after="101"/>
              <w:jc w:val="both"/>
              <w:rPr>
                <w:rFonts w:eastAsia="Times New Roman"/>
                <w:sz w:val="22"/>
                <w:szCs w:val="22"/>
                <w:lang w:eastAsia="es-MX"/>
              </w:rPr>
            </w:pPr>
            <w:r w:rsidRPr="00080407">
              <w:rPr>
                <w:rFonts w:eastAsia="Times New Roman"/>
                <w:sz w:val="22"/>
                <w:szCs w:val="22"/>
                <w:lang w:eastAsia="es-MX"/>
              </w:rPr>
              <w:t>Incremento salarial contractual real de jurisdicción federal</w:t>
            </w:r>
          </w:p>
        </w:tc>
        <w:tc>
          <w:tcPr>
            <w:tcW w:w="0" w:type="auto"/>
            <w:vMerge/>
            <w:shd w:val="clear" w:color="auto" w:fill="auto"/>
            <w:vAlign w:val="center"/>
            <w:hideMark/>
          </w:tcPr>
          <w:p w14:paraId="60604338" w14:textId="77777777" w:rsidR="00080407" w:rsidRPr="00080407" w:rsidRDefault="00080407" w:rsidP="00080407">
            <w:pPr>
              <w:rPr>
                <w:rFonts w:eastAsia="Times New Roman"/>
                <w:sz w:val="22"/>
                <w:szCs w:val="22"/>
                <w:lang w:eastAsia="es-MX"/>
              </w:rPr>
            </w:pPr>
          </w:p>
        </w:tc>
      </w:tr>
    </w:tbl>
    <w:p w14:paraId="55698275" w14:textId="77777777" w:rsidR="00080407" w:rsidRPr="00080407" w:rsidRDefault="00080407" w:rsidP="00080407">
      <w:pPr>
        <w:spacing w:after="360" w:line="360" w:lineRule="auto"/>
        <w:ind w:right="-159"/>
        <w:jc w:val="both"/>
        <w:rPr>
          <w:rFonts w:eastAsia="Calibri"/>
          <w:sz w:val="26"/>
          <w:szCs w:val="26"/>
          <w:lang w:eastAsia="en-US"/>
        </w:rPr>
      </w:pPr>
    </w:p>
    <w:p w14:paraId="4BBEA8B5" w14:textId="1783CFA0"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bCs/>
          <w:sz w:val="26"/>
          <w:szCs w:val="26"/>
          <w:lang w:eastAsia="en-US"/>
        </w:rPr>
        <w:t>Segundo.</w:t>
      </w:r>
      <w:r w:rsidRPr="00080407">
        <w:rPr>
          <w:rFonts w:eastAsia="Calibri"/>
          <w:b/>
          <w:bCs/>
          <w:sz w:val="26"/>
          <w:szCs w:val="26"/>
          <w:lang w:eastAsia="en-US"/>
        </w:rPr>
        <w:t xml:space="preserve"> </w:t>
      </w:r>
      <w:r w:rsidRPr="00080407">
        <w:rPr>
          <w:rFonts w:eastAsia="Calibri"/>
          <w:sz w:val="26"/>
          <w:szCs w:val="26"/>
          <w:lang w:eastAsia="en-US"/>
        </w:rPr>
        <w:t>Corresponderá a la Unidad del Estado señalada generar en forma regular y periódica el indicador, en la forma y términos que determine el Comité Técnico Especializado de Estadísticas de Trabajo y Previsión Social.</w:t>
      </w:r>
    </w:p>
    <w:p w14:paraId="6C5AF84D" w14:textId="77777777" w:rsidR="00080407" w:rsidRPr="00080407" w:rsidRDefault="00080407" w:rsidP="00080407">
      <w:pPr>
        <w:spacing w:after="360" w:line="360" w:lineRule="auto"/>
        <w:ind w:right="-159"/>
        <w:jc w:val="center"/>
        <w:rPr>
          <w:rFonts w:eastAsia="Calibri"/>
          <w:sz w:val="26"/>
          <w:szCs w:val="26"/>
          <w:lang w:eastAsia="en-US"/>
        </w:rPr>
      </w:pPr>
      <w:r w:rsidRPr="00080407">
        <w:rPr>
          <w:rFonts w:eastAsia="Calibri"/>
          <w:b/>
          <w:sz w:val="26"/>
          <w:szCs w:val="26"/>
          <w:lang w:eastAsia="en-US"/>
        </w:rPr>
        <w:t>TRANSITORIO</w:t>
      </w:r>
    </w:p>
    <w:p w14:paraId="78F485ED"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bCs/>
          <w:sz w:val="26"/>
          <w:szCs w:val="26"/>
          <w:lang w:eastAsia="en-US"/>
        </w:rPr>
        <w:t>ÚNICO.</w:t>
      </w:r>
      <w:r w:rsidRPr="00080407">
        <w:rPr>
          <w:rFonts w:eastAsia="Calibri"/>
          <w:b/>
          <w:bCs/>
          <w:sz w:val="26"/>
          <w:szCs w:val="26"/>
          <w:lang w:eastAsia="en-US"/>
        </w:rPr>
        <w:t xml:space="preserve"> </w:t>
      </w:r>
      <w:r w:rsidRPr="00080407">
        <w:rPr>
          <w:rFonts w:eastAsia="Calibri"/>
          <w:sz w:val="26"/>
          <w:szCs w:val="26"/>
          <w:lang w:eastAsia="en-US"/>
        </w:rPr>
        <w:t>El presente Acuerdo entrará en vigor al día siguiente de su publicación en el Diario Oficial de la Federación.</w:t>
      </w:r>
    </w:p>
    <w:p w14:paraId="57C2BAED" w14:textId="77777777" w:rsidR="00080407" w:rsidRPr="00080407" w:rsidRDefault="00080407" w:rsidP="00080407">
      <w:pPr>
        <w:ind w:right="-159"/>
        <w:jc w:val="both"/>
        <w:rPr>
          <w:rFonts w:eastAsia="Calibri"/>
          <w:b/>
          <w:sz w:val="20"/>
          <w:szCs w:val="20"/>
          <w:lang w:eastAsia="en-US"/>
        </w:rPr>
      </w:pPr>
      <w:r w:rsidRPr="00080407">
        <w:rPr>
          <w:rFonts w:eastAsia="Calibri"/>
          <w:b/>
          <w:sz w:val="20"/>
          <w:szCs w:val="20"/>
          <w:lang w:eastAsia="en-US"/>
        </w:rPr>
        <w:t>Fuente de información:</w:t>
      </w:r>
    </w:p>
    <w:p w14:paraId="6489EA3D" w14:textId="77777777" w:rsidR="00080407" w:rsidRPr="00142EC0" w:rsidRDefault="0045651A" w:rsidP="00080407">
      <w:pPr>
        <w:ind w:right="-159"/>
        <w:jc w:val="both"/>
        <w:rPr>
          <w:rFonts w:eastAsia="Calibri"/>
          <w:color w:val="0000FF"/>
          <w:sz w:val="20"/>
          <w:szCs w:val="20"/>
          <w:lang w:eastAsia="en-US"/>
        </w:rPr>
      </w:pPr>
      <w:hyperlink r:id="rId142" w:history="1">
        <w:r w:rsidR="00080407" w:rsidRPr="00142EC0">
          <w:rPr>
            <w:rFonts w:eastAsia="Calibri"/>
            <w:color w:val="0000FF"/>
            <w:sz w:val="20"/>
            <w:szCs w:val="20"/>
            <w:u w:val="single"/>
            <w:lang w:eastAsia="en-US"/>
          </w:rPr>
          <w:t>http://dof.gob.mx/nota_detalle.php?codigo=5388503&amp;fecha=10/04/2015</w:t>
        </w:r>
      </w:hyperlink>
      <w:r w:rsidR="00080407" w:rsidRPr="00142EC0">
        <w:rPr>
          <w:rFonts w:eastAsia="Calibri"/>
          <w:color w:val="0000FF"/>
          <w:sz w:val="20"/>
          <w:szCs w:val="20"/>
          <w:lang w:eastAsia="en-US"/>
        </w:rPr>
        <w:t xml:space="preserve"> </w:t>
      </w:r>
    </w:p>
    <w:p w14:paraId="41A0C104" w14:textId="77777777" w:rsidR="00080407" w:rsidRPr="00F44802" w:rsidRDefault="00080407" w:rsidP="00F44802">
      <w:pPr>
        <w:spacing w:after="360" w:line="360" w:lineRule="auto"/>
        <w:ind w:right="-159"/>
        <w:jc w:val="both"/>
        <w:rPr>
          <w:rFonts w:eastAsia="Calibri"/>
          <w:sz w:val="26"/>
          <w:szCs w:val="26"/>
          <w:lang w:eastAsia="en-US"/>
        </w:rPr>
      </w:pPr>
    </w:p>
    <w:p w14:paraId="48C60F9E" w14:textId="77777777" w:rsidR="00F931DD" w:rsidRPr="00F931DD" w:rsidRDefault="00F931DD" w:rsidP="00F931DD">
      <w:pPr>
        <w:spacing w:after="360" w:line="360" w:lineRule="auto"/>
        <w:ind w:right="-159"/>
        <w:jc w:val="both"/>
        <w:rPr>
          <w:rFonts w:eastAsia="Calibri"/>
          <w:b/>
          <w:sz w:val="26"/>
          <w:szCs w:val="26"/>
          <w:lang w:eastAsia="en-US"/>
        </w:rPr>
      </w:pPr>
      <w:r w:rsidRPr="00F931DD">
        <w:rPr>
          <w:rFonts w:eastAsia="Calibri"/>
          <w:b/>
          <w:sz w:val="26"/>
          <w:szCs w:val="26"/>
          <w:lang w:eastAsia="en-US"/>
        </w:rPr>
        <w:lastRenderedPageBreak/>
        <w:t xml:space="preserve">México en España: la otra conquista (Forbes México) </w:t>
      </w:r>
    </w:p>
    <w:p w14:paraId="71520A45" w14:textId="1A3D5680"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 xml:space="preserve">El 26 de marzo de 2015, la edición online de la revista de negocios Forbes México </w:t>
      </w:r>
      <w:r w:rsidR="00D97227">
        <w:rPr>
          <w:rFonts w:eastAsia="Calibri"/>
          <w:sz w:val="26"/>
          <w:szCs w:val="26"/>
          <w:lang w:val="es-ES" w:eastAsia="en-US"/>
        </w:rPr>
        <w:t>dio informó</w:t>
      </w:r>
      <w:r w:rsidRPr="00F931DD">
        <w:rPr>
          <w:rFonts w:eastAsia="Calibri"/>
          <w:sz w:val="26"/>
          <w:szCs w:val="26"/>
          <w:lang w:val="es-ES" w:eastAsia="en-US"/>
        </w:rPr>
        <w:t xml:space="preserve"> que tan sólo en los últimos dos años las empresas mexicanas destinaron más de 2 mil millones de dólares a la adquisición total o parcial de compañías en España. Éste podría ser el mejor momento para que los mexicanos emprendan la conquista del territorio ibérico… y de toda Europa.</w:t>
      </w:r>
    </w:p>
    <w:p w14:paraId="7360EC27"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Con una tasa de más de 15%, Valladolid es la segunda localidad española con menor desempleo, pues la media nacional ronda 26%. En mayo de 2014, los habitantes recibieron una buena noticia que contribuyó con su grano de arena a la mejora del indicador: la empresa mexicana Extrusiones Metálicas había sido elegida como adjudicataria de Metales Extruidos, una pequeña fábrica dedicada a la producción de aluminio en el polígono industrial de Jalón.</w:t>
      </w:r>
    </w:p>
    <w:p w14:paraId="6850945E"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La noticia traía consigo el compromiso de restaurar al menos 150 de los cerca de 300 empleos que se habían perdido cuando se decretó el expediente extintivo de la empresa, en agosto de 2013. Por cada empleo no generado, los mexicanos tenían que cumplir con una sanción de 10 mil euros.</w:t>
      </w:r>
    </w:p>
    <w:p w14:paraId="7658D241"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 xml:space="preserve">Para agosto de 2014, la empresa volvió a operar con 50 trabajadores. En septiembre, el nuevo director de la firma declaraba al diario local </w:t>
      </w:r>
      <w:r w:rsidRPr="00F931DD">
        <w:rPr>
          <w:rFonts w:eastAsia="Calibri"/>
          <w:i/>
          <w:sz w:val="26"/>
          <w:szCs w:val="26"/>
          <w:lang w:val="es-ES" w:eastAsia="en-US"/>
        </w:rPr>
        <w:t>El Norte de Castilla</w:t>
      </w:r>
      <w:r w:rsidRPr="00F931DD">
        <w:rPr>
          <w:rFonts w:eastAsia="Calibri"/>
          <w:sz w:val="26"/>
          <w:szCs w:val="26"/>
          <w:lang w:val="es-ES" w:eastAsia="en-US"/>
        </w:rPr>
        <w:t xml:space="preserve"> que en 2015 podría superarse la meta de contrataciones y la empresa regresaría a terreno rentable.</w:t>
      </w:r>
    </w:p>
    <w:p w14:paraId="48870E56" w14:textId="77777777" w:rsid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La firma mexicana Extrusiones Metálicas ganó por sobre la propuesta de un fondo de inversión que ofrecía al sindicato la creación de 250 empleos. Sin embargo, la trayectoria de 37 años dedicados al mundo del aluminio, con cuatro plantas de producción en México y ventas en América Latina y Europa, pesó más, y ahora la visión de la firma mexicana podría llevar a la fábrica de Valladolid a una nueva época de expansión.</w:t>
      </w:r>
    </w:p>
    <w:p w14:paraId="003DC380" w14:textId="77777777" w:rsid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lastRenderedPageBreak/>
        <w:t>“Los mexicanos podrían estar ante el mejor escenario para llevar inversión a las empresas españolas. Durante los últimos siete años, el valor de las empresas españolas ha disminuido, en algunos casos hasta en un 50%, y ahora, en los últimos seis trimestres, se han observado señales cada vez más claras de una recuperación en la economía. Es un momento ideal”, comenta el director de Corporate Finance de Banco Sabadell España.</w:t>
      </w:r>
    </w:p>
    <w:p w14:paraId="5C81B933" w14:textId="77777777" w:rsidR="00F931DD" w:rsidRPr="00F931DD" w:rsidRDefault="00F931DD" w:rsidP="00F931DD">
      <w:pPr>
        <w:spacing w:after="360" w:line="360" w:lineRule="auto"/>
        <w:ind w:right="-159"/>
        <w:jc w:val="both"/>
        <w:rPr>
          <w:rFonts w:eastAsia="Calibri"/>
          <w:b/>
          <w:sz w:val="26"/>
          <w:szCs w:val="26"/>
          <w:lang w:val="es-ES" w:eastAsia="en-US"/>
        </w:rPr>
      </w:pPr>
      <w:r w:rsidRPr="00F931DD">
        <w:rPr>
          <w:rFonts w:eastAsia="Calibri"/>
          <w:b/>
          <w:sz w:val="26"/>
          <w:szCs w:val="26"/>
          <w:lang w:val="es-ES" w:eastAsia="en-US"/>
        </w:rPr>
        <w:t>Factores atractivos</w:t>
      </w:r>
    </w:p>
    <w:p w14:paraId="77AAC01A"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El ejemplo de Extrusiones Metálicas implica una inversión de poco más de 14 millones de dólares; sin embargo, hay otras transacciones, como la adquisición de Campofrío por parte de Sigma, que significó el desembolso de más de 1 mil 300 millones de dólares, una inyección de capital fresco para una economía que busca salir de la recesión.</w:t>
      </w:r>
    </w:p>
    <w:p w14:paraId="6C98A738"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Hay tres factores que hacen atractiva la inversión en España para los mexicanos, afirma el managing partner en la firma especializada en fusiones y adquisiciones Zimma Corporate Finance:</w:t>
      </w:r>
    </w:p>
    <w:p w14:paraId="37540043" w14:textId="77777777" w:rsidR="00F931DD" w:rsidRPr="00F931DD" w:rsidRDefault="00F931DD" w:rsidP="003B27DE">
      <w:pPr>
        <w:numPr>
          <w:ilvl w:val="0"/>
          <w:numId w:val="41"/>
        </w:numPr>
        <w:spacing w:after="360" w:line="360" w:lineRule="auto"/>
        <w:ind w:right="-159"/>
        <w:jc w:val="both"/>
        <w:rPr>
          <w:rFonts w:eastAsia="Calibri"/>
          <w:sz w:val="26"/>
          <w:szCs w:val="26"/>
          <w:lang w:val="es-ES" w:eastAsia="en-US"/>
        </w:rPr>
      </w:pPr>
      <w:r w:rsidRPr="00F931DD">
        <w:rPr>
          <w:rFonts w:eastAsia="Calibri"/>
          <w:b/>
          <w:sz w:val="26"/>
          <w:szCs w:val="26"/>
          <w:lang w:val="es-ES" w:eastAsia="en-US"/>
        </w:rPr>
        <w:t>Tamaño del mercado:</w:t>
      </w:r>
      <w:r w:rsidRPr="00F931DD">
        <w:rPr>
          <w:rFonts w:eastAsia="Calibri"/>
          <w:sz w:val="26"/>
          <w:szCs w:val="26"/>
          <w:lang w:val="es-ES" w:eastAsia="en-US"/>
        </w:rPr>
        <w:t xml:space="preserve"> El primer factor está relacionado con que el mercado español es robusto. En el terreno de alimentos, España reporta el quinto mayor consumo de frutas en todo el mundo, de acuerdo con el AE Business School. Para seguir con los ejemplos: los españoles gastan 7 mil 913 millones de euros en productos lácteos al año, un indicador por encima de países como Holanda, Portugal o Noruega.</w:t>
      </w:r>
    </w:p>
    <w:p w14:paraId="2C9AD9FD" w14:textId="77777777" w:rsidR="00F931DD" w:rsidRPr="00F931DD" w:rsidRDefault="00F931DD" w:rsidP="003B27DE">
      <w:pPr>
        <w:numPr>
          <w:ilvl w:val="0"/>
          <w:numId w:val="41"/>
        </w:numPr>
        <w:spacing w:after="360" w:line="360" w:lineRule="auto"/>
        <w:ind w:right="-159"/>
        <w:jc w:val="both"/>
        <w:rPr>
          <w:rFonts w:eastAsia="Calibri"/>
          <w:sz w:val="26"/>
          <w:szCs w:val="26"/>
          <w:lang w:val="es-ES" w:eastAsia="en-US"/>
        </w:rPr>
      </w:pPr>
      <w:r w:rsidRPr="00F931DD">
        <w:rPr>
          <w:rFonts w:eastAsia="Calibri"/>
          <w:b/>
          <w:sz w:val="26"/>
          <w:szCs w:val="26"/>
          <w:lang w:val="es-ES" w:eastAsia="en-US"/>
        </w:rPr>
        <w:t>Una puerta para Europa</w:t>
      </w:r>
      <w:r w:rsidRPr="00F931DD">
        <w:rPr>
          <w:rFonts w:eastAsia="Calibri"/>
          <w:sz w:val="26"/>
          <w:szCs w:val="26"/>
          <w:lang w:val="es-ES" w:eastAsia="en-US"/>
        </w:rPr>
        <w:t>: El segundo factor tiene que ver con el hecho de que, ante las facilidades de idioma y similitudes culturales, España luce como una cómoda puerta de entrada hacia el mercado europeo.</w:t>
      </w:r>
    </w:p>
    <w:p w14:paraId="4BA99BF9" w14:textId="77777777" w:rsidR="00F931DD" w:rsidRDefault="00F931DD" w:rsidP="003B27DE">
      <w:pPr>
        <w:numPr>
          <w:ilvl w:val="0"/>
          <w:numId w:val="41"/>
        </w:numPr>
        <w:spacing w:after="360" w:line="360" w:lineRule="auto"/>
        <w:ind w:right="-159"/>
        <w:jc w:val="both"/>
        <w:rPr>
          <w:rFonts w:eastAsia="Calibri"/>
          <w:sz w:val="26"/>
          <w:szCs w:val="26"/>
          <w:lang w:val="es-ES" w:eastAsia="en-US"/>
        </w:rPr>
      </w:pPr>
      <w:r w:rsidRPr="00F931DD">
        <w:rPr>
          <w:rFonts w:eastAsia="Calibri"/>
          <w:b/>
          <w:sz w:val="26"/>
          <w:szCs w:val="26"/>
          <w:lang w:val="es-ES" w:eastAsia="en-US"/>
        </w:rPr>
        <w:lastRenderedPageBreak/>
        <w:t>Los precios de las compañías:</w:t>
      </w:r>
      <w:r w:rsidRPr="00F931DD">
        <w:rPr>
          <w:rFonts w:eastAsia="Calibri"/>
          <w:sz w:val="26"/>
          <w:szCs w:val="26"/>
          <w:lang w:val="es-ES" w:eastAsia="en-US"/>
        </w:rPr>
        <w:t xml:space="preserve"> La crisis golpeó a las compañías españolas, que empezaron a reportar menores ganancias y, con ello, disminuyeron su valor. El precio de las empresas podría estar aún por debajo del potencial de rentabilidad.</w:t>
      </w:r>
    </w:p>
    <w:p w14:paraId="44D169DC" w14:textId="77777777" w:rsidR="00F931DD" w:rsidRPr="00F931DD" w:rsidRDefault="00F931DD" w:rsidP="00F931DD">
      <w:pPr>
        <w:spacing w:after="360" w:line="360" w:lineRule="auto"/>
        <w:ind w:right="-159"/>
        <w:jc w:val="both"/>
        <w:rPr>
          <w:rFonts w:eastAsia="Calibri"/>
          <w:b/>
          <w:sz w:val="26"/>
          <w:szCs w:val="26"/>
          <w:lang w:val="es-ES" w:eastAsia="en-US"/>
        </w:rPr>
      </w:pPr>
      <w:r w:rsidRPr="00F931DD">
        <w:rPr>
          <w:rFonts w:eastAsia="Calibri"/>
          <w:b/>
          <w:sz w:val="26"/>
          <w:szCs w:val="26"/>
          <w:lang w:val="es-ES" w:eastAsia="en-US"/>
        </w:rPr>
        <w:t>Sectores clave</w:t>
      </w:r>
    </w:p>
    <w:p w14:paraId="30D704EC"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Tras una reunión con los clientes de Sabadell en México, su director general habla de los sectores con mayor oportunidad.</w:t>
      </w:r>
    </w:p>
    <w:p w14:paraId="43E4B012"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Las ventas al por menor y el sector alimenticio figuran al principio ante las adquisiciones ya cerradas, pero el ejecutivo afirma que los mexicanos podrían ver oportunidades atractivas en materia de sanidad (hospitales, actividades y servicios médicos, como la reproducción asistida), educación, capacitación y logística.</w:t>
      </w:r>
    </w:p>
    <w:p w14:paraId="37437051" w14:textId="782FB939"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 xml:space="preserve">“Si los mexicanos buscan expandir su estrategia más allá de Estados Unidos de Norteamérica, España podría ser la opción más adecuada. Hablamos de un mercado donde el poder adquisitivo es más alto y donde las perspectivas de recuperación permiten suponer buenos márgenes de rentabilidad sobre las inversiones”, afirma el </w:t>
      </w:r>
      <w:r w:rsidR="00080407">
        <w:rPr>
          <w:rFonts w:eastAsia="Calibri"/>
          <w:sz w:val="26"/>
          <w:szCs w:val="26"/>
          <w:lang w:val="es-ES" w:eastAsia="en-US"/>
        </w:rPr>
        <w:t>D</w:t>
      </w:r>
      <w:r w:rsidRPr="00F931DD">
        <w:rPr>
          <w:rFonts w:eastAsia="Calibri"/>
          <w:sz w:val="26"/>
          <w:szCs w:val="26"/>
          <w:lang w:val="es-ES" w:eastAsia="en-US"/>
        </w:rPr>
        <w:t xml:space="preserve">irector </w:t>
      </w:r>
      <w:r w:rsidR="00080407">
        <w:rPr>
          <w:rFonts w:eastAsia="Calibri"/>
          <w:sz w:val="26"/>
          <w:szCs w:val="26"/>
          <w:lang w:val="es-ES" w:eastAsia="en-US"/>
        </w:rPr>
        <w:t>G</w:t>
      </w:r>
      <w:r w:rsidRPr="00F931DD">
        <w:rPr>
          <w:rFonts w:eastAsia="Calibri"/>
          <w:sz w:val="26"/>
          <w:szCs w:val="26"/>
          <w:lang w:val="es-ES" w:eastAsia="en-US"/>
        </w:rPr>
        <w:t>eneral de Sabadell cuya labor es promover la asesoría que el banco puede brindar en fusiones y adquisiciones a nivel internacional.</w:t>
      </w:r>
    </w:p>
    <w:p w14:paraId="31389BBC" w14:textId="77777777" w:rsidR="00F931DD" w:rsidRPr="00F931DD" w:rsidRDefault="00F931DD" w:rsidP="00F931DD">
      <w:pPr>
        <w:spacing w:after="360" w:line="360" w:lineRule="auto"/>
        <w:ind w:right="-159"/>
        <w:jc w:val="both"/>
        <w:rPr>
          <w:rFonts w:eastAsia="Calibri"/>
          <w:b/>
          <w:sz w:val="26"/>
          <w:szCs w:val="26"/>
          <w:lang w:val="es-ES" w:eastAsia="en-US"/>
        </w:rPr>
      </w:pPr>
      <w:r w:rsidRPr="00F931DD">
        <w:rPr>
          <w:rFonts w:eastAsia="Calibri"/>
          <w:b/>
          <w:sz w:val="26"/>
          <w:szCs w:val="26"/>
          <w:lang w:val="es-ES" w:eastAsia="en-US"/>
        </w:rPr>
        <w:t>Los retos</w:t>
      </w:r>
    </w:p>
    <w:p w14:paraId="63BB39A3"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Una cultura similar, mismo lenguaje, un mercado en aparente recuperación… ¿Estos factores aseguran el triunfo de los mexicanos en España?</w:t>
      </w:r>
    </w:p>
    <w:p w14:paraId="209F00DA" w14:textId="77777777" w:rsid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 xml:space="preserve">“Lo primero que te viene a la mente cuando hablamos de empresas exitosas en el extranjero son nombres como Bimbo, Sigma, Lala… Lo cierto es que estas empresas tienen en común que son grandes, y eso influye mucho en el grado de éxito. Decidir </w:t>
      </w:r>
      <w:r w:rsidRPr="00F931DD">
        <w:rPr>
          <w:rFonts w:eastAsia="Calibri"/>
          <w:sz w:val="26"/>
          <w:szCs w:val="26"/>
          <w:lang w:val="es-ES" w:eastAsia="en-US"/>
        </w:rPr>
        <w:lastRenderedPageBreak/>
        <w:t>operar en otro país es un asunto muy serio y pone a prueba a cualquier empresa”, advierte el managing partner de Zimma.</w:t>
      </w:r>
    </w:p>
    <w:p w14:paraId="0EF06E7C" w14:textId="77777777" w:rsidR="00F931DD" w:rsidRP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Entre los principales retos para una empresa que busca adquirir a otra en España figuran:</w:t>
      </w:r>
    </w:p>
    <w:p w14:paraId="38CB42DF" w14:textId="77777777" w:rsidR="00F931DD" w:rsidRPr="00F931DD" w:rsidRDefault="00F931DD" w:rsidP="003B27DE">
      <w:pPr>
        <w:numPr>
          <w:ilvl w:val="0"/>
          <w:numId w:val="42"/>
        </w:numPr>
        <w:spacing w:after="360" w:line="360" w:lineRule="auto"/>
        <w:ind w:left="568" w:right="-159" w:hanging="284"/>
        <w:jc w:val="both"/>
        <w:rPr>
          <w:rFonts w:eastAsia="Calibri"/>
          <w:sz w:val="26"/>
          <w:szCs w:val="26"/>
          <w:lang w:val="es-ES" w:eastAsia="en-US"/>
        </w:rPr>
      </w:pPr>
      <w:r w:rsidRPr="00F931DD">
        <w:rPr>
          <w:rFonts w:eastAsia="Calibri"/>
          <w:b/>
          <w:sz w:val="26"/>
          <w:szCs w:val="26"/>
          <w:lang w:val="es-ES" w:eastAsia="en-US"/>
        </w:rPr>
        <w:t>La legislación fiscal:</w:t>
      </w:r>
      <w:r w:rsidRPr="00F931DD">
        <w:rPr>
          <w:rFonts w:eastAsia="Calibri"/>
          <w:sz w:val="26"/>
          <w:szCs w:val="26"/>
          <w:lang w:val="es-ES" w:eastAsia="en-US"/>
        </w:rPr>
        <w:t xml:space="preserve"> Cumplir con la contabilidad de manera adecuada es un punto prioritario a considerar. El pago de impuestos y el diseño de remuneraciones debe contemplar este aspecto.</w:t>
      </w:r>
    </w:p>
    <w:p w14:paraId="68D124D9" w14:textId="77777777" w:rsidR="00F931DD" w:rsidRPr="00F931DD" w:rsidRDefault="00F931DD" w:rsidP="003B27DE">
      <w:pPr>
        <w:numPr>
          <w:ilvl w:val="0"/>
          <w:numId w:val="42"/>
        </w:numPr>
        <w:spacing w:after="360" w:line="360" w:lineRule="auto"/>
        <w:ind w:left="568" w:right="-159" w:hanging="284"/>
        <w:jc w:val="both"/>
        <w:rPr>
          <w:rFonts w:eastAsia="Calibri"/>
          <w:sz w:val="26"/>
          <w:szCs w:val="26"/>
          <w:lang w:val="es-ES" w:eastAsia="en-US"/>
        </w:rPr>
      </w:pPr>
      <w:r w:rsidRPr="00F931DD">
        <w:rPr>
          <w:rFonts w:eastAsia="Calibri"/>
          <w:b/>
          <w:sz w:val="26"/>
          <w:szCs w:val="26"/>
          <w:lang w:val="es-ES" w:eastAsia="en-US"/>
        </w:rPr>
        <w:t>La legislación laboral:</w:t>
      </w:r>
      <w:r w:rsidRPr="00F931DD">
        <w:rPr>
          <w:rFonts w:eastAsia="Calibri"/>
          <w:sz w:val="26"/>
          <w:szCs w:val="26"/>
          <w:lang w:val="es-ES" w:eastAsia="en-US"/>
        </w:rPr>
        <w:t xml:space="preserve"> Las metas de productividad están ligadas a las condiciones de trabajo y la empresa debe asegurarse de cumplir con la legislación vigente.</w:t>
      </w:r>
    </w:p>
    <w:p w14:paraId="3A7F8FBE" w14:textId="77777777" w:rsidR="00F931DD" w:rsidRPr="00F931DD" w:rsidRDefault="00F931DD" w:rsidP="003B27DE">
      <w:pPr>
        <w:numPr>
          <w:ilvl w:val="0"/>
          <w:numId w:val="42"/>
        </w:numPr>
        <w:spacing w:after="360" w:line="360" w:lineRule="auto"/>
        <w:ind w:left="568" w:right="-159" w:hanging="284"/>
        <w:jc w:val="both"/>
        <w:rPr>
          <w:rFonts w:eastAsia="Calibri"/>
          <w:sz w:val="26"/>
          <w:szCs w:val="26"/>
          <w:lang w:val="es-ES" w:eastAsia="en-US"/>
        </w:rPr>
      </w:pPr>
      <w:r w:rsidRPr="00F931DD">
        <w:rPr>
          <w:rFonts w:eastAsia="Calibri"/>
          <w:b/>
          <w:sz w:val="26"/>
          <w:szCs w:val="26"/>
          <w:lang w:val="es-ES" w:eastAsia="en-US"/>
        </w:rPr>
        <w:t>Entender el producto y la cultura:</w:t>
      </w:r>
      <w:r w:rsidRPr="00F931DD">
        <w:rPr>
          <w:rFonts w:eastAsia="Calibri"/>
          <w:sz w:val="26"/>
          <w:szCs w:val="26"/>
          <w:lang w:val="es-ES" w:eastAsia="en-US"/>
        </w:rPr>
        <w:t xml:space="preserve"> No es lo mismo vender café en México que vender café en España. El conocimiento del mercado y la forma en que asimila los productos es vital.</w:t>
      </w:r>
    </w:p>
    <w:p w14:paraId="4ABA4FFA" w14:textId="77777777" w:rsidR="00F931DD" w:rsidRPr="00F931DD" w:rsidRDefault="00F931DD" w:rsidP="00F931DD">
      <w:pPr>
        <w:spacing w:after="360" w:line="360" w:lineRule="auto"/>
        <w:ind w:right="-159"/>
        <w:jc w:val="both"/>
        <w:rPr>
          <w:rFonts w:eastAsia="Calibri"/>
          <w:b/>
          <w:sz w:val="26"/>
          <w:szCs w:val="26"/>
          <w:lang w:val="es-ES" w:eastAsia="en-US"/>
        </w:rPr>
      </w:pPr>
      <w:r w:rsidRPr="00F931DD">
        <w:rPr>
          <w:rFonts w:eastAsia="Calibri"/>
          <w:b/>
          <w:sz w:val="26"/>
          <w:szCs w:val="26"/>
          <w:lang w:val="es-ES" w:eastAsia="en-US"/>
        </w:rPr>
        <w:t>Los nuevos conquistadores</w:t>
      </w:r>
    </w:p>
    <w:p w14:paraId="689B0F7F" w14:textId="77777777" w:rsidR="00F931DD" w:rsidRDefault="00F931DD" w:rsidP="00F931DD">
      <w:pPr>
        <w:spacing w:after="360" w:line="360" w:lineRule="auto"/>
        <w:ind w:right="-159"/>
        <w:jc w:val="both"/>
        <w:rPr>
          <w:rFonts w:eastAsia="Calibri"/>
          <w:sz w:val="26"/>
          <w:szCs w:val="26"/>
          <w:lang w:val="es-ES" w:eastAsia="en-US"/>
        </w:rPr>
      </w:pPr>
      <w:r w:rsidRPr="00F931DD">
        <w:rPr>
          <w:rFonts w:eastAsia="Calibri"/>
          <w:sz w:val="26"/>
          <w:szCs w:val="26"/>
          <w:lang w:val="es-ES" w:eastAsia="en-US"/>
        </w:rPr>
        <w:t>Te presentamos algunas de las más grandes apuestas de mexicanos en España entre 2013 y 2015.</w:t>
      </w:r>
    </w:p>
    <w:p w14:paraId="78128720" w14:textId="77777777" w:rsidR="004337CD" w:rsidRDefault="004337CD" w:rsidP="00F931DD">
      <w:pPr>
        <w:spacing w:after="360" w:line="360" w:lineRule="auto"/>
        <w:ind w:right="-159"/>
        <w:jc w:val="both"/>
        <w:rPr>
          <w:rFonts w:eastAsia="Calibri"/>
          <w:sz w:val="26"/>
          <w:szCs w:val="26"/>
          <w:lang w:val="es-ES" w:eastAsia="en-US"/>
        </w:rPr>
      </w:pPr>
    </w:p>
    <w:p w14:paraId="79D6C404" w14:textId="77777777" w:rsidR="004337CD" w:rsidRDefault="004337CD" w:rsidP="00F931DD">
      <w:pPr>
        <w:spacing w:after="360" w:line="360" w:lineRule="auto"/>
        <w:ind w:right="-159"/>
        <w:jc w:val="both"/>
        <w:rPr>
          <w:rFonts w:eastAsia="Calibri"/>
          <w:sz w:val="26"/>
          <w:szCs w:val="26"/>
          <w:lang w:val="es-ES" w:eastAsia="en-US"/>
        </w:rPr>
      </w:pPr>
    </w:p>
    <w:p w14:paraId="3F2AD526" w14:textId="77777777" w:rsidR="004337CD" w:rsidRDefault="004337CD" w:rsidP="00F931DD">
      <w:pPr>
        <w:spacing w:after="360" w:line="360" w:lineRule="auto"/>
        <w:ind w:right="-159"/>
        <w:jc w:val="both"/>
        <w:rPr>
          <w:rFonts w:eastAsia="Calibri"/>
          <w:sz w:val="26"/>
          <w:szCs w:val="26"/>
          <w:lang w:val="es-ES" w:eastAsia="en-US"/>
        </w:rPr>
      </w:pPr>
    </w:p>
    <w:p w14:paraId="693FEAD8" w14:textId="77777777" w:rsidR="004337CD" w:rsidRDefault="004337CD" w:rsidP="00F931DD">
      <w:pPr>
        <w:spacing w:after="360" w:line="360" w:lineRule="auto"/>
        <w:ind w:right="-159"/>
        <w:jc w:val="both"/>
        <w:rPr>
          <w:rFonts w:eastAsia="Calibri"/>
          <w:sz w:val="26"/>
          <w:szCs w:val="26"/>
          <w:lang w:val="es-ES" w:eastAsia="en-US"/>
        </w:rPr>
      </w:pPr>
    </w:p>
    <w:tbl>
      <w:tblPr>
        <w:tblW w:w="9444" w:type="dxa"/>
        <w:jc w:val="center"/>
        <w:tblLook w:val="04A0" w:firstRow="1" w:lastRow="0" w:firstColumn="1" w:lastColumn="0" w:noHBand="0" w:noVBand="1"/>
      </w:tblPr>
      <w:tblGrid>
        <w:gridCol w:w="3402"/>
        <w:gridCol w:w="3021"/>
        <w:gridCol w:w="3021"/>
      </w:tblGrid>
      <w:tr w:rsidR="00F931DD" w:rsidRPr="00F931DD" w14:paraId="00CA8C4B" w14:textId="77777777" w:rsidTr="00F931DD">
        <w:trPr>
          <w:jc w:val="center"/>
        </w:trPr>
        <w:tc>
          <w:tcPr>
            <w:tcW w:w="9444" w:type="dxa"/>
            <w:gridSpan w:val="3"/>
            <w:tcBorders>
              <w:top w:val="nil"/>
              <w:left w:val="nil"/>
              <w:bottom w:val="single" w:sz="4" w:space="0" w:color="auto"/>
              <w:right w:val="nil"/>
            </w:tcBorders>
            <w:shd w:val="clear" w:color="auto" w:fill="auto"/>
            <w:vAlign w:val="center"/>
          </w:tcPr>
          <w:p w14:paraId="1FAE67A3" w14:textId="77777777" w:rsidR="00F931DD" w:rsidRPr="00F931DD" w:rsidRDefault="00F931DD" w:rsidP="00F931DD">
            <w:pPr>
              <w:jc w:val="center"/>
              <w:rPr>
                <w:rFonts w:eastAsia="Calibri"/>
                <w:b/>
                <w:sz w:val="22"/>
                <w:szCs w:val="22"/>
                <w:lang w:val="es-ES" w:eastAsia="en-US"/>
              </w:rPr>
            </w:pPr>
            <w:r w:rsidRPr="00F931DD">
              <w:rPr>
                <w:rFonts w:eastAsia="Calibri"/>
                <w:b/>
                <w:sz w:val="22"/>
                <w:szCs w:val="22"/>
                <w:lang w:val="es-ES" w:eastAsia="en-US"/>
              </w:rPr>
              <w:lastRenderedPageBreak/>
              <w:t>EMPRESAS MEXICANAS EN ESPAÑA ENTRE 2013 Y 2015</w:t>
            </w:r>
          </w:p>
        </w:tc>
      </w:tr>
      <w:tr w:rsidR="00F931DD" w:rsidRPr="00F931DD" w14:paraId="4297782C" w14:textId="77777777" w:rsidTr="00F931DD">
        <w:trPr>
          <w:jc w:val="center"/>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574D5EF" w14:textId="77777777" w:rsidR="00F931DD" w:rsidRPr="00F931DD" w:rsidRDefault="00F931DD" w:rsidP="00F931DD">
            <w:pPr>
              <w:jc w:val="center"/>
              <w:rPr>
                <w:rFonts w:eastAsia="Calibri"/>
                <w:b/>
                <w:sz w:val="18"/>
                <w:szCs w:val="18"/>
                <w:lang w:val="es-ES" w:eastAsia="en-US"/>
              </w:rPr>
            </w:pPr>
            <w:r w:rsidRPr="00F931DD">
              <w:rPr>
                <w:rFonts w:eastAsia="Calibri"/>
                <w:b/>
                <w:sz w:val="18"/>
                <w:szCs w:val="18"/>
                <w:lang w:val="es-ES" w:eastAsia="en-US"/>
              </w:rPr>
              <w:t>Empresa mexicana (comprador)</w:t>
            </w:r>
          </w:p>
        </w:tc>
        <w:tc>
          <w:tcPr>
            <w:tcW w:w="3021" w:type="dxa"/>
            <w:tcBorders>
              <w:top w:val="single" w:sz="4" w:space="0" w:color="auto"/>
              <w:left w:val="single" w:sz="4" w:space="0" w:color="auto"/>
              <w:bottom w:val="single" w:sz="4" w:space="0" w:color="auto"/>
              <w:right w:val="single" w:sz="4" w:space="0" w:color="auto"/>
            </w:tcBorders>
            <w:shd w:val="clear" w:color="auto" w:fill="auto"/>
            <w:vAlign w:val="center"/>
          </w:tcPr>
          <w:p w14:paraId="1E4036FA" w14:textId="77777777" w:rsidR="00F931DD" w:rsidRPr="00F931DD" w:rsidRDefault="00F931DD" w:rsidP="00F931DD">
            <w:pPr>
              <w:jc w:val="center"/>
              <w:rPr>
                <w:rFonts w:eastAsia="Calibri"/>
                <w:b/>
                <w:sz w:val="18"/>
                <w:szCs w:val="18"/>
                <w:lang w:val="es-ES" w:eastAsia="en-US"/>
              </w:rPr>
            </w:pPr>
            <w:r w:rsidRPr="00F931DD">
              <w:rPr>
                <w:rFonts w:eastAsia="Calibri"/>
                <w:b/>
                <w:sz w:val="18"/>
                <w:szCs w:val="18"/>
                <w:lang w:val="es-ES" w:eastAsia="en-US"/>
              </w:rPr>
              <w:t>Empresa española</w:t>
            </w:r>
          </w:p>
        </w:tc>
        <w:tc>
          <w:tcPr>
            <w:tcW w:w="3021" w:type="dxa"/>
            <w:tcBorders>
              <w:top w:val="single" w:sz="4" w:space="0" w:color="auto"/>
              <w:left w:val="single" w:sz="4" w:space="0" w:color="auto"/>
              <w:bottom w:val="single" w:sz="4" w:space="0" w:color="auto"/>
              <w:right w:val="single" w:sz="4" w:space="0" w:color="auto"/>
            </w:tcBorders>
            <w:shd w:val="clear" w:color="auto" w:fill="auto"/>
            <w:vAlign w:val="center"/>
          </w:tcPr>
          <w:p w14:paraId="2089CB4C" w14:textId="77777777" w:rsidR="00F931DD" w:rsidRPr="00F931DD" w:rsidRDefault="00F931DD" w:rsidP="00F931DD">
            <w:pPr>
              <w:jc w:val="center"/>
              <w:rPr>
                <w:rFonts w:eastAsia="Calibri"/>
                <w:b/>
                <w:sz w:val="18"/>
                <w:szCs w:val="18"/>
                <w:lang w:val="es-ES" w:eastAsia="en-US"/>
              </w:rPr>
            </w:pPr>
            <w:r w:rsidRPr="00F931DD">
              <w:rPr>
                <w:rFonts w:eastAsia="Calibri"/>
                <w:b/>
                <w:sz w:val="18"/>
                <w:szCs w:val="18"/>
                <w:lang w:val="es-ES" w:eastAsia="en-US"/>
              </w:rPr>
              <w:t>Monto de la transacción</w:t>
            </w:r>
          </w:p>
          <w:p w14:paraId="6148D81B" w14:textId="77777777" w:rsidR="00F931DD" w:rsidRPr="00F931DD" w:rsidRDefault="00F931DD" w:rsidP="00F931DD">
            <w:pPr>
              <w:jc w:val="center"/>
              <w:rPr>
                <w:rFonts w:eastAsia="Calibri"/>
                <w:b/>
                <w:sz w:val="18"/>
                <w:szCs w:val="18"/>
                <w:lang w:val="es-ES" w:eastAsia="en-US"/>
              </w:rPr>
            </w:pPr>
            <w:r w:rsidRPr="00F931DD">
              <w:rPr>
                <w:rFonts w:eastAsia="Calibri"/>
                <w:b/>
                <w:sz w:val="18"/>
                <w:szCs w:val="18"/>
                <w:lang w:val="es-ES" w:eastAsia="en-US"/>
              </w:rPr>
              <w:t>(millones de dólares)</w:t>
            </w:r>
          </w:p>
        </w:tc>
      </w:tr>
      <w:tr w:rsidR="00F931DD" w:rsidRPr="00F931DD" w14:paraId="26BF5DFF" w14:textId="77777777" w:rsidTr="00F931DD">
        <w:trPr>
          <w:jc w:val="center"/>
        </w:trPr>
        <w:tc>
          <w:tcPr>
            <w:tcW w:w="3402" w:type="dxa"/>
            <w:tcBorders>
              <w:top w:val="single" w:sz="4" w:space="0" w:color="auto"/>
              <w:left w:val="single" w:sz="4" w:space="0" w:color="auto"/>
              <w:bottom w:val="nil"/>
              <w:right w:val="single" w:sz="4" w:space="0" w:color="auto"/>
            </w:tcBorders>
            <w:shd w:val="clear" w:color="auto" w:fill="auto"/>
            <w:vAlign w:val="center"/>
          </w:tcPr>
          <w:p w14:paraId="47EA0D32"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Sigma Alimentos; WH Group Limited</w:t>
            </w:r>
          </w:p>
        </w:tc>
        <w:tc>
          <w:tcPr>
            <w:tcW w:w="3021" w:type="dxa"/>
            <w:tcBorders>
              <w:top w:val="single" w:sz="4" w:space="0" w:color="auto"/>
              <w:left w:val="single" w:sz="4" w:space="0" w:color="auto"/>
              <w:bottom w:val="nil"/>
              <w:right w:val="single" w:sz="4" w:space="0" w:color="auto"/>
            </w:tcBorders>
            <w:shd w:val="clear" w:color="auto" w:fill="auto"/>
            <w:vAlign w:val="center"/>
          </w:tcPr>
          <w:p w14:paraId="79090F80"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Campofrío Food Group, S.A.</w:t>
            </w:r>
          </w:p>
        </w:tc>
        <w:tc>
          <w:tcPr>
            <w:tcW w:w="3021" w:type="dxa"/>
            <w:tcBorders>
              <w:top w:val="single" w:sz="4" w:space="0" w:color="auto"/>
              <w:left w:val="single" w:sz="4" w:space="0" w:color="auto"/>
              <w:bottom w:val="nil"/>
              <w:right w:val="single" w:sz="4" w:space="0" w:color="auto"/>
            </w:tcBorders>
            <w:shd w:val="clear" w:color="auto" w:fill="auto"/>
            <w:vAlign w:val="center"/>
          </w:tcPr>
          <w:p w14:paraId="6BA4A79F"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1 341</w:t>
            </w:r>
          </w:p>
        </w:tc>
      </w:tr>
      <w:tr w:rsidR="00F931DD" w:rsidRPr="00F931DD" w14:paraId="6FFA7D31"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1685D462"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Alsea, Alia Capital Partners, S.L.</w:t>
            </w:r>
          </w:p>
        </w:tc>
        <w:tc>
          <w:tcPr>
            <w:tcW w:w="3021" w:type="dxa"/>
            <w:tcBorders>
              <w:top w:val="nil"/>
              <w:left w:val="single" w:sz="4" w:space="0" w:color="auto"/>
              <w:bottom w:val="nil"/>
              <w:right w:val="single" w:sz="4" w:space="0" w:color="auto"/>
            </w:tcBorders>
            <w:shd w:val="clear" w:color="auto" w:fill="auto"/>
            <w:vAlign w:val="center"/>
          </w:tcPr>
          <w:p w14:paraId="273177CA"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Food Services Project, S.L.</w:t>
            </w:r>
          </w:p>
        </w:tc>
        <w:tc>
          <w:tcPr>
            <w:tcW w:w="3021" w:type="dxa"/>
            <w:tcBorders>
              <w:top w:val="nil"/>
              <w:left w:val="single" w:sz="4" w:space="0" w:color="auto"/>
              <w:bottom w:val="nil"/>
              <w:right w:val="single" w:sz="4" w:space="0" w:color="auto"/>
            </w:tcBorders>
            <w:shd w:val="clear" w:color="auto" w:fill="auto"/>
            <w:vAlign w:val="center"/>
          </w:tcPr>
          <w:p w14:paraId="2FCD3F19"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362.25</w:t>
            </w:r>
          </w:p>
        </w:tc>
      </w:tr>
      <w:tr w:rsidR="00F931DD" w:rsidRPr="00F931DD" w14:paraId="46270567"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77A1BC34"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Finaccess México, SA de CV</w:t>
            </w:r>
          </w:p>
        </w:tc>
        <w:tc>
          <w:tcPr>
            <w:tcW w:w="3021" w:type="dxa"/>
            <w:tcBorders>
              <w:top w:val="nil"/>
              <w:left w:val="single" w:sz="4" w:space="0" w:color="auto"/>
              <w:bottom w:val="nil"/>
              <w:right w:val="single" w:sz="4" w:space="0" w:color="auto"/>
            </w:tcBorders>
            <w:shd w:val="clear" w:color="auto" w:fill="auto"/>
            <w:vAlign w:val="center"/>
          </w:tcPr>
          <w:p w14:paraId="12BE1D64"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IBM Headquarters in Madrid</w:t>
            </w:r>
          </w:p>
        </w:tc>
        <w:tc>
          <w:tcPr>
            <w:tcW w:w="3021" w:type="dxa"/>
            <w:tcBorders>
              <w:top w:val="nil"/>
              <w:left w:val="single" w:sz="4" w:space="0" w:color="auto"/>
              <w:bottom w:val="nil"/>
              <w:right w:val="single" w:sz="4" w:space="0" w:color="auto"/>
            </w:tcBorders>
            <w:shd w:val="clear" w:color="auto" w:fill="auto"/>
            <w:vAlign w:val="center"/>
          </w:tcPr>
          <w:p w14:paraId="227A3A9B"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180.97</w:t>
            </w:r>
          </w:p>
        </w:tc>
      </w:tr>
      <w:tr w:rsidR="00F931DD" w:rsidRPr="00F931DD" w14:paraId="3DD41978"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620729FD"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Inmobiliaria Carso</w:t>
            </w:r>
          </w:p>
        </w:tc>
        <w:tc>
          <w:tcPr>
            <w:tcW w:w="3021" w:type="dxa"/>
            <w:tcBorders>
              <w:top w:val="nil"/>
              <w:left w:val="single" w:sz="4" w:space="0" w:color="auto"/>
              <w:bottom w:val="nil"/>
              <w:right w:val="single" w:sz="4" w:space="0" w:color="auto"/>
            </w:tcBorders>
            <w:shd w:val="clear" w:color="auto" w:fill="auto"/>
            <w:vAlign w:val="center"/>
          </w:tcPr>
          <w:p w14:paraId="47E2CC7D"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Grupo FCC</w:t>
            </w:r>
          </w:p>
        </w:tc>
        <w:tc>
          <w:tcPr>
            <w:tcW w:w="3021" w:type="dxa"/>
            <w:tcBorders>
              <w:top w:val="nil"/>
              <w:left w:val="single" w:sz="4" w:space="0" w:color="auto"/>
              <w:bottom w:val="nil"/>
              <w:right w:val="single" w:sz="4" w:space="0" w:color="auto"/>
            </w:tcBorders>
            <w:shd w:val="clear" w:color="auto" w:fill="auto"/>
            <w:vAlign w:val="center"/>
          </w:tcPr>
          <w:p w14:paraId="62CBC1BB"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200 (entrada de capital)</w:t>
            </w:r>
          </w:p>
        </w:tc>
      </w:tr>
      <w:tr w:rsidR="00F931DD" w:rsidRPr="00F931DD" w14:paraId="5B7B8CAC"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0CE1F813"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Grupo Herradura</w:t>
            </w:r>
          </w:p>
        </w:tc>
        <w:tc>
          <w:tcPr>
            <w:tcW w:w="3021" w:type="dxa"/>
            <w:tcBorders>
              <w:top w:val="nil"/>
              <w:left w:val="single" w:sz="4" w:space="0" w:color="auto"/>
              <w:bottom w:val="nil"/>
              <w:right w:val="single" w:sz="4" w:space="0" w:color="auto"/>
            </w:tcBorders>
            <w:shd w:val="clear" w:color="auto" w:fill="auto"/>
            <w:vAlign w:val="center"/>
          </w:tcPr>
          <w:p w14:paraId="53F69E75"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 xml:space="preserve">Prisa </w:t>
            </w:r>
          </w:p>
        </w:tc>
        <w:tc>
          <w:tcPr>
            <w:tcW w:w="3021" w:type="dxa"/>
            <w:tcBorders>
              <w:top w:val="nil"/>
              <w:left w:val="single" w:sz="4" w:space="0" w:color="auto"/>
              <w:bottom w:val="nil"/>
              <w:right w:val="single" w:sz="4" w:space="0" w:color="auto"/>
            </w:tcBorders>
            <w:shd w:val="clear" w:color="auto" w:fill="auto"/>
            <w:vAlign w:val="center"/>
          </w:tcPr>
          <w:p w14:paraId="3729D921"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134.8 (entrada de capital)</w:t>
            </w:r>
          </w:p>
        </w:tc>
      </w:tr>
      <w:tr w:rsidR="00F931DD" w:rsidRPr="00F931DD" w14:paraId="7B759983"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2DD0797A"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Familias Tomé y Tinajero</w:t>
            </w:r>
          </w:p>
        </w:tc>
        <w:tc>
          <w:tcPr>
            <w:tcW w:w="3021" w:type="dxa"/>
            <w:tcBorders>
              <w:top w:val="nil"/>
              <w:left w:val="single" w:sz="4" w:space="0" w:color="auto"/>
              <w:bottom w:val="nil"/>
              <w:right w:val="single" w:sz="4" w:space="0" w:color="auto"/>
            </w:tcBorders>
            <w:shd w:val="clear" w:color="auto" w:fill="auto"/>
            <w:vAlign w:val="center"/>
          </w:tcPr>
          <w:p w14:paraId="31D112BD"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 xml:space="preserve">Liberbank </w:t>
            </w:r>
          </w:p>
        </w:tc>
        <w:tc>
          <w:tcPr>
            <w:tcW w:w="3021" w:type="dxa"/>
            <w:tcBorders>
              <w:top w:val="nil"/>
              <w:left w:val="single" w:sz="4" w:space="0" w:color="auto"/>
              <w:bottom w:val="nil"/>
              <w:right w:val="single" w:sz="4" w:space="0" w:color="auto"/>
            </w:tcBorders>
            <w:shd w:val="clear" w:color="auto" w:fill="auto"/>
            <w:vAlign w:val="center"/>
          </w:tcPr>
          <w:p w14:paraId="3CC8B932"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174 (entrada de capital conjunto con un fondo)</w:t>
            </w:r>
          </w:p>
        </w:tc>
      </w:tr>
      <w:tr w:rsidR="00F931DD" w:rsidRPr="00F931DD" w14:paraId="30DABC07"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698F3B6F"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Penguin Random House Grupo Editorial</w:t>
            </w:r>
          </w:p>
        </w:tc>
        <w:tc>
          <w:tcPr>
            <w:tcW w:w="3021" w:type="dxa"/>
            <w:tcBorders>
              <w:top w:val="nil"/>
              <w:left w:val="single" w:sz="4" w:space="0" w:color="auto"/>
              <w:bottom w:val="nil"/>
              <w:right w:val="single" w:sz="4" w:space="0" w:color="auto"/>
            </w:tcBorders>
            <w:shd w:val="clear" w:color="auto" w:fill="auto"/>
            <w:vAlign w:val="center"/>
          </w:tcPr>
          <w:p w14:paraId="36E8137A"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Santillana Ediciones Generales, S.L.</w:t>
            </w:r>
          </w:p>
        </w:tc>
        <w:tc>
          <w:tcPr>
            <w:tcW w:w="3021" w:type="dxa"/>
            <w:tcBorders>
              <w:top w:val="nil"/>
              <w:left w:val="single" w:sz="4" w:space="0" w:color="auto"/>
              <w:bottom w:val="nil"/>
              <w:right w:val="single" w:sz="4" w:space="0" w:color="auto"/>
            </w:tcBorders>
            <w:shd w:val="clear" w:color="auto" w:fill="auto"/>
            <w:vAlign w:val="center"/>
          </w:tcPr>
          <w:p w14:paraId="003FF65B"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100.15</w:t>
            </w:r>
          </w:p>
        </w:tc>
      </w:tr>
      <w:tr w:rsidR="00F931DD" w:rsidRPr="00F931DD" w14:paraId="7AC85D73" w14:textId="77777777" w:rsidTr="00F931DD">
        <w:trPr>
          <w:jc w:val="center"/>
        </w:trPr>
        <w:tc>
          <w:tcPr>
            <w:tcW w:w="3402" w:type="dxa"/>
            <w:tcBorders>
              <w:top w:val="nil"/>
              <w:left w:val="single" w:sz="4" w:space="0" w:color="auto"/>
              <w:bottom w:val="nil"/>
              <w:right w:val="single" w:sz="4" w:space="0" w:color="auto"/>
            </w:tcBorders>
            <w:shd w:val="clear" w:color="auto" w:fill="auto"/>
            <w:vAlign w:val="center"/>
          </w:tcPr>
          <w:p w14:paraId="526C3082"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 xml:space="preserve">Gruma </w:t>
            </w:r>
          </w:p>
        </w:tc>
        <w:tc>
          <w:tcPr>
            <w:tcW w:w="3021" w:type="dxa"/>
            <w:tcBorders>
              <w:top w:val="nil"/>
              <w:left w:val="single" w:sz="4" w:space="0" w:color="auto"/>
              <w:bottom w:val="nil"/>
              <w:right w:val="single" w:sz="4" w:space="0" w:color="auto"/>
            </w:tcBorders>
            <w:shd w:val="clear" w:color="auto" w:fill="auto"/>
            <w:vAlign w:val="center"/>
          </w:tcPr>
          <w:p w14:paraId="1B8DDCE5"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 xml:space="preserve">Mexifoods </w:t>
            </w:r>
          </w:p>
        </w:tc>
        <w:tc>
          <w:tcPr>
            <w:tcW w:w="3021" w:type="dxa"/>
            <w:tcBorders>
              <w:top w:val="nil"/>
              <w:left w:val="single" w:sz="4" w:space="0" w:color="auto"/>
              <w:bottom w:val="nil"/>
              <w:right w:val="single" w:sz="4" w:space="0" w:color="auto"/>
            </w:tcBorders>
            <w:shd w:val="clear" w:color="auto" w:fill="auto"/>
            <w:vAlign w:val="center"/>
          </w:tcPr>
          <w:p w14:paraId="2C6005B9" w14:textId="2C5A7906"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50</w:t>
            </w:r>
            <w:r w:rsidR="00CD1A2B">
              <w:rPr>
                <w:rFonts w:eastAsia="Calibri"/>
                <w:sz w:val="18"/>
                <w:szCs w:val="18"/>
                <w:lang w:val="es-ES" w:eastAsia="en-US"/>
              </w:rPr>
              <w:t xml:space="preserve"> (inversión proyectada + costos de adquisición)</w:t>
            </w:r>
          </w:p>
        </w:tc>
      </w:tr>
      <w:tr w:rsidR="00F931DD" w:rsidRPr="00F931DD" w14:paraId="3AF47BAD" w14:textId="77777777" w:rsidTr="00F931DD">
        <w:trPr>
          <w:jc w:val="center"/>
        </w:trPr>
        <w:tc>
          <w:tcPr>
            <w:tcW w:w="3402" w:type="dxa"/>
            <w:tcBorders>
              <w:top w:val="nil"/>
              <w:left w:val="single" w:sz="4" w:space="0" w:color="auto"/>
              <w:bottom w:val="single" w:sz="4" w:space="0" w:color="auto"/>
              <w:right w:val="single" w:sz="4" w:space="0" w:color="auto"/>
            </w:tcBorders>
            <w:shd w:val="clear" w:color="auto" w:fill="auto"/>
            <w:vAlign w:val="center"/>
          </w:tcPr>
          <w:p w14:paraId="73B5FD69"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Extrusiones Metálicas</w:t>
            </w:r>
          </w:p>
        </w:tc>
        <w:tc>
          <w:tcPr>
            <w:tcW w:w="3021" w:type="dxa"/>
            <w:tcBorders>
              <w:top w:val="nil"/>
              <w:left w:val="single" w:sz="4" w:space="0" w:color="auto"/>
              <w:bottom w:val="single" w:sz="4" w:space="0" w:color="auto"/>
              <w:right w:val="single" w:sz="4" w:space="0" w:color="auto"/>
            </w:tcBorders>
            <w:shd w:val="clear" w:color="auto" w:fill="auto"/>
            <w:vAlign w:val="center"/>
          </w:tcPr>
          <w:p w14:paraId="27C79012" w14:textId="77777777" w:rsidR="00F931DD" w:rsidRPr="00F931DD" w:rsidRDefault="00F931DD" w:rsidP="00F931DD">
            <w:pPr>
              <w:jc w:val="both"/>
              <w:rPr>
                <w:rFonts w:eastAsia="Calibri"/>
                <w:sz w:val="18"/>
                <w:szCs w:val="18"/>
                <w:lang w:val="es-ES" w:eastAsia="en-US"/>
              </w:rPr>
            </w:pPr>
            <w:r w:rsidRPr="00F931DD">
              <w:rPr>
                <w:rFonts w:eastAsia="Calibri"/>
                <w:sz w:val="18"/>
                <w:szCs w:val="18"/>
                <w:lang w:val="es-ES" w:eastAsia="en-US"/>
              </w:rPr>
              <w:t>Metales Extruidos</w:t>
            </w:r>
          </w:p>
        </w:tc>
        <w:tc>
          <w:tcPr>
            <w:tcW w:w="3021" w:type="dxa"/>
            <w:tcBorders>
              <w:top w:val="nil"/>
              <w:left w:val="single" w:sz="4" w:space="0" w:color="auto"/>
              <w:bottom w:val="single" w:sz="4" w:space="0" w:color="auto"/>
              <w:right w:val="single" w:sz="4" w:space="0" w:color="auto"/>
            </w:tcBorders>
            <w:shd w:val="clear" w:color="auto" w:fill="auto"/>
            <w:vAlign w:val="center"/>
          </w:tcPr>
          <w:p w14:paraId="2DEEBDCF" w14:textId="77777777" w:rsidR="00F931DD" w:rsidRPr="00F931DD" w:rsidRDefault="00F931DD" w:rsidP="00F931DD">
            <w:pPr>
              <w:jc w:val="center"/>
              <w:rPr>
                <w:rFonts w:eastAsia="Calibri"/>
                <w:sz w:val="18"/>
                <w:szCs w:val="18"/>
                <w:lang w:val="es-ES" w:eastAsia="en-US"/>
              </w:rPr>
            </w:pPr>
            <w:r w:rsidRPr="00F931DD">
              <w:rPr>
                <w:rFonts w:eastAsia="Calibri"/>
                <w:sz w:val="18"/>
                <w:szCs w:val="18"/>
                <w:lang w:val="es-ES" w:eastAsia="en-US"/>
              </w:rPr>
              <w:t>14</w:t>
            </w:r>
          </w:p>
        </w:tc>
      </w:tr>
      <w:tr w:rsidR="00F931DD" w:rsidRPr="00F931DD" w14:paraId="46567EC4" w14:textId="77777777" w:rsidTr="00F931DD">
        <w:trPr>
          <w:jc w:val="center"/>
        </w:trPr>
        <w:tc>
          <w:tcPr>
            <w:tcW w:w="9444" w:type="dxa"/>
            <w:gridSpan w:val="3"/>
            <w:tcBorders>
              <w:top w:val="single" w:sz="4" w:space="0" w:color="auto"/>
              <w:left w:val="nil"/>
              <w:bottom w:val="nil"/>
              <w:right w:val="nil"/>
            </w:tcBorders>
            <w:shd w:val="clear" w:color="auto" w:fill="auto"/>
            <w:vAlign w:val="center"/>
          </w:tcPr>
          <w:p w14:paraId="50396EA5" w14:textId="77777777" w:rsidR="00F931DD" w:rsidRPr="00F931DD" w:rsidRDefault="00F931DD" w:rsidP="00F931DD">
            <w:pPr>
              <w:jc w:val="both"/>
              <w:rPr>
                <w:rFonts w:eastAsia="Calibri"/>
                <w:sz w:val="20"/>
                <w:szCs w:val="20"/>
                <w:lang w:val="es-ES" w:eastAsia="en-US"/>
              </w:rPr>
            </w:pPr>
            <w:r w:rsidRPr="00F931DD">
              <w:rPr>
                <w:rFonts w:eastAsia="Calibri"/>
                <w:sz w:val="20"/>
                <w:szCs w:val="20"/>
                <w:lang w:val="es-ES" w:eastAsia="en-US"/>
              </w:rPr>
              <w:t>FUENTE: S&amp;P Capital IQ, Transactional Track Record.</w:t>
            </w:r>
          </w:p>
        </w:tc>
      </w:tr>
    </w:tbl>
    <w:p w14:paraId="7F4A0256" w14:textId="77777777" w:rsidR="00F931DD" w:rsidRPr="00F931DD" w:rsidRDefault="00F931DD" w:rsidP="00F931DD">
      <w:pPr>
        <w:spacing w:after="360" w:line="360" w:lineRule="auto"/>
        <w:ind w:right="-159"/>
        <w:jc w:val="both"/>
        <w:rPr>
          <w:rFonts w:eastAsia="Calibri"/>
          <w:sz w:val="26"/>
          <w:szCs w:val="26"/>
          <w:lang w:val="es-ES" w:eastAsia="en-US"/>
        </w:rPr>
      </w:pPr>
    </w:p>
    <w:p w14:paraId="554894FA" w14:textId="77777777" w:rsidR="00F931DD" w:rsidRPr="00F931DD" w:rsidRDefault="00F931DD" w:rsidP="00F931DD">
      <w:pPr>
        <w:ind w:right="-159"/>
        <w:jc w:val="both"/>
        <w:rPr>
          <w:rFonts w:eastAsia="Calibri"/>
          <w:b/>
          <w:sz w:val="20"/>
          <w:szCs w:val="20"/>
          <w:lang w:eastAsia="en-US"/>
        </w:rPr>
      </w:pPr>
      <w:r w:rsidRPr="00F931DD">
        <w:rPr>
          <w:rFonts w:eastAsia="Calibri"/>
          <w:b/>
          <w:sz w:val="20"/>
          <w:szCs w:val="20"/>
          <w:lang w:eastAsia="en-US"/>
        </w:rPr>
        <w:t>Fuente de información:</w:t>
      </w:r>
    </w:p>
    <w:p w14:paraId="5C881ED9" w14:textId="77777777" w:rsidR="00F931DD" w:rsidRPr="004337CD" w:rsidRDefault="0045651A" w:rsidP="004337CD">
      <w:pPr>
        <w:spacing w:after="720"/>
        <w:ind w:right="-159"/>
        <w:jc w:val="both"/>
        <w:rPr>
          <w:rFonts w:eastAsia="Calibri"/>
          <w:color w:val="0000FF"/>
          <w:sz w:val="20"/>
          <w:szCs w:val="20"/>
          <w:lang w:val="es-ES" w:eastAsia="en-US"/>
        </w:rPr>
      </w:pPr>
      <w:hyperlink r:id="rId143" w:history="1">
        <w:r w:rsidR="00F931DD" w:rsidRPr="004337CD">
          <w:rPr>
            <w:rFonts w:eastAsia="Calibri"/>
            <w:color w:val="0000FF"/>
            <w:sz w:val="20"/>
            <w:szCs w:val="20"/>
            <w:u w:val="single"/>
            <w:lang w:val="es-ES" w:eastAsia="en-US"/>
          </w:rPr>
          <w:t>http://www.forbes.com.mx/mexico-en-espana-la-otra-conquista/</w:t>
        </w:r>
      </w:hyperlink>
    </w:p>
    <w:p w14:paraId="64142DE9" w14:textId="77777777" w:rsidR="00A16665" w:rsidRPr="00A16665" w:rsidRDefault="00A16665" w:rsidP="00A16665">
      <w:pPr>
        <w:spacing w:after="360" w:line="360" w:lineRule="auto"/>
        <w:ind w:right="-159"/>
        <w:jc w:val="both"/>
        <w:rPr>
          <w:rFonts w:eastAsia="Calibri"/>
          <w:b/>
          <w:sz w:val="26"/>
          <w:szCs w:val="26"/>
          <w:lang w:eastAsia="en-US"/>
        </w:rPr>
      </w:pPr>
      <w:r w:rsidRPr="00A16665">
        <w:rPr>
          <w:rFonts w:eastAsia="Calibri"/>
          <w:b/>
          <w:sz w:val="26"/>
          <w:szCs w:val="26"/>
          <w:lang w:eastAsia="en-US"/>
        </w:rPr>
        <w:t>Presenta el Programa</w:t>
      </w:r>
      <w:r w:rsidRPr="00A16665">
        <w:rPr>
          <w:rFonts w:eastAsia="Calibri"/>
          <w:b/>
          <w:i/>
          <w:sz w:val="26"/>
          <w:szCs w:val="26"/>
          <w:lang w:eastAsia="en-US"/>
        </w:rPr>
        <w:t xml:space="preserve"> Leanstartups MX</w:t>
      </w:r>
      <w:r w:rsidRPr="00A16665">
        <w:rPr>
          <w:rFonts w:eastAsia="Calibri"/>
          <w:b/>
          <w:sz w:val="26"/>
          <w:szCs w:val="26"/>
          <w:lang w:eastAsia="en-US"/>
        </w:rPr>
        <w:t>” (SE)</w:t>
      </w:r>
    </w:p>
    <w:p w14:paraId="75323ADA"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 xml:space="preserve">El 23 de marzo de 2015, la Secretaría de Economía (SE), la Universidad Anáhuac México Norte y el Instituto Nacional del Emprendedor (INADEM) presentaron el Programa </w:t>
      </w:r>
      <w:r w:rsidRPr="00A16665">
        <w:rPr>
          <w:rFonts w:eastAsia="Calibri"/>
          <w:i/>
          <w:sz w:val="26"/>
          <w:szCs w:val="26"/>
          <w:lang w:eastAsia="en-US"/>
        </w:rPr>
        <w:t>LeanStartups MX</w:t>
      </w:r>
      <w:r w:rsidRPr="00A16665">
        <w:rPr>
          <w:rFonts w:eastAsia="Calibri"/>
          <w:sz w:val="26"/>
          <w:szCs w:val="26"/>
          <w:lang w:eastAsia="en-US"/>
        </w:rPr>
        <w:t>, método que acompañará y entrenará a los emprendedores interesados en el desarrollo de su proyecto. A continuación se presentan los detalles.</w:t>
      </w:r>
    </w:p>
    <w:p w14:paraId="2308BD06"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La Universidad Anáhuac México Norte y el Instituto Nacional del Emprendedor (INADEM) presentaron el programa “LeanStartups MX”, método que acompañará y entrenará a los emprendedores interesados en el desarrollo de su proyecto, de la mano de Bob Dorf, destacado personaje en el mundo del emprendimiento; las inscripciones para los interesados estarán disponibles hasta el 24 de abril de 2015.</w:t>
      </w:r>
    </w:p>
    <w:p w14:paraId="21486486"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En el evento, el Rector de la Universidad Anáhuac México Norte se congratuló de que esta institución académica sea el brazo ejecutor del Programa, que contribuye a fortalecer la cultura del emprendimiento en México, principalmente entre los jóvenes.</w:t>
      </w:r>
    </w:p>
    <w:p w14:paraId="71453E3F"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lastRenderedPageBreak/>
        <w:t xml:space="preserve">El Presidente del INADEM manifestó su entusiasmo por la presentación de este interesante Programa y comentó que desde el Instituto Nacional del Emprendedor se ha trabajado para impulsar la consolidación de las </w:t>
      </w:r>
      <w:r w:rsidRPr="00A16665">
        <w:rPr>
          <w:rFonts w:eastAsia="Calibri"/>
          <w:i/>
          <w:sz w:val="26"/>
          <w:szCs w:val="26"/>
          <w:lang w:eastAsia="en-US"/>
        </w:rPr>
        <w:t>startups</w:t>
      </w:r>
      <w:r w:rsidRPr="00A16665">
        <w:rPr>
          <w:rFonts w:eastAsia="Calibri"/>
          <w:sz w:val="26"/>
          <w:szCs w:val="26"/>
          <w:lang w:eastAsia="en-US"/>
        </w:rPr>
        <w:t>, a través del desarrollo de metodologías de aceleración, apoyos para incorporación o desarrollo de prácticas de alto impacto, fomento a iniciativas de innovación y espacios de colaboración.</w:t>
      </w:r>
    </w:p>
    <w:p w14:paraId="0871E15D"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“Es un gusto dar a conocer esta metodología y lanzar la convocatoria que queda oficialmente abierta para los interesados y que beneficiará al ecosistema emprendedor mexicano. Para nosotros en el INADEM es fundamental brindar más y mejores herramientas a nuestros emprendedores; para el Presidente de la República el emprendimiento y la innovación son piezas fundamentales en el desarrollo económico del país, muestra de ellos es la creación de una nueva política pública, encaminada a fortalecer la actividad emprendedora”, enfatizó.</w:t>
      </w:r>
    </w:p>
    <w:p w14:paraId="13DF649C"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Durante el evento se explicó que la ejecución exitosa de esta metodología representa una oportunidad de capacitación a emprendedores a través de la cual, no sólo se transmitirán los conocimientos para poner en marcha un negocio, sino que los emprendedores podrán decidir si su modelo de negocio es viable, para después buscar financiamiento.</w:t>
      </w:r>
    </w:p>
    <w:p w14:paraId="7C237482"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El Programa será ejecutado por la Aceleradora de Negocios del Centro IDEARSE de la Universidad Anáhuac México Norte, el financiamiento por parte del INADEM será de 9 millones de pesos (mdp) y 1 mdp de capital privado, e impartido por uno de los co-autores de la metodología más aceptada en los ecosistemas de emprendimiento en otros países del mundo, Bob Dorf, quien durante la presentación explicó detalladamente el paso a paso del método.</w:t>
      </w:r>
    </w:p>
    <w:p w14:paraId="77399622"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 xml:space="preserve">La transferencia del conocimiento de esta novedosa metodología en México se hará de dos formas: se convocará a emprendedores a nivel nacional, quienes serán capacitados </w:t>
      </w:r>
      <w:r w:rsidRPr="00A16665">
        <w:rPr>
          <w:rFonts w:eastAsia="Calibri"/>
          <w:sz w:val="26"/>
          <w:szCs w:val="26"/>
          <w:lang w:eastAsia="en-US"/>
        </w:rPr>
        <w:lastRenderedPageBreak/>
        <w:t>durante 10 semanas para aprender la metodología y también se formarán mentores, con el fin de que repliquen el Programa a nivel nacional.</w:t>
      </w:r>
    </w:p>
    <w:p w14:paraId="7741A0BE"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El Programa está dirigido específicamente a emprendedores con una idea de negocio que implique una solución tecnológica.</w:t>
      </w:r>
    </w:p>
    <w:p w14:paraId="2BC085BF" w14:textId="77777777" w:rsid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 xml:space="preserve">Se pretende reclutar 30 equipos, de tres o cuatro participantes cada uno, para tener a 120 emprendedores en este programa gratuito. Los interesados deben inscribirse en la página de internet </w:t>
      </w:r>
      <w:hyperlink r:id="rId144" w:history="1">
        <w:r w:rsidRPr="004337CD">
          <w:rPr>
            <w:rFonts w:eastAsia="Calibri"/>
            <w:color w:val="0000FF"/>
            <w:sz w:val="26"/>
            <w:szCs w:val="26"/>
            <w:u w:val="single"/>
            <w:lang w:eastAsia="en-US"/>
          </w:rPr>
          <w:t>http://www.leanstartupsmx.com</w:t>
        </w:r>
      </w:hyperlink>
      <w:r w:rsidRPr="004337CD">
        <w:rPr>
          <w:rFonts w:eastAsia="Calibri"/>
          <w:color w:val="0000FF"/>
          <w:sz w:val="26"/>
          <w:szCs w:val="26"/>
          <w:lang w:eastAsia="en-US"/>
        </w:rPr>
        <w:t xml:space="preserve"> </w:t>
      </w:r>
      <w:r w:rsidRPr="00A16665">
        <w:rPr>
          <w:rFonts w:eastAsia="Calibri"/>
          <w:sz w:val="26"/>
          <w:szCs w:val="26"/>
          <w:lang w:eastAsia="en-US"/>
        </w:rPr>
        <w:t>en la que encontrarán los requisitos que necesitan cumplir para poder participar.</w:t>
      </w:r>
    </w:p>
    <w:p w14:paraId="13D7B972" w14:textId="77777777" w:rsidR="00A16665" w:rsidRPr="00A16665" w:rsidRDefault="00A16665" w:rsidP="00A16665">
      <w:pPr>
        <w:spacing w:after="360" w:line="360" w:lineRule="auto"/>
        <w:ind w:right="-159"/>
        <w:jc w:val="both"/>
        <w:rPr>
          <w:rFonts w:eastAsia="Calibri"/>
          <w:sz w:val="26"/>
          <w:szCs w:val="26"/>
          <w:lang w:eastAsia="en-US"/>
        </w:rPr>
      </w:pPr>
      <w:r w:rsidRPr="00A16665">
        <w:rPr>
          <w:rFonts w:eastAsia="Calibri"/>
          <w:sz w:val="26"/>
          <w:szCs w:val="26"/>
          <w:lang w:eastAsia="en-US"/>
        </w:rPr>
        <w:t>Finalmente, se explicó que el Programa será promovido en redes sociales con el fin de que llegue a todos los emprendedores de México y se beneficien de este esfuerzo realizado por el INADEM y la Universidad Anáhuac México Norte.</w:t>
      </w:r>
    </w:p>
    <w:p w14:paraId="55F201B6" w14:textId="77777777" w:rsidR="00A16665" w:rsidRPr="00A16665" w:rsidRDefault="00A16665" w:rsidP="00A16665">
      <w:pPr>
        <w:ind w:right="-159"/>
        <w:jc w:val="both"/>
        <w:rPr>
          <w:rFonts w:eastAsia="Calibri"/>
          <w:sz w:val="20"/>
          <w:szCs w:val="20"/>
          <w:lang w:eastAsia="en-US"/>
        </w:rPr>
      </w:pPr>
      <w:r w:rsidRPr="00A16665">
        <w:rPr>
          <w:rFonts w:eastAsia="Calibri"/>
          <w:b/>
          <w:sz w:val="20"/>
          <w:szCs w:val="20"/>
          <w:lang w:eastAsia="en-US"/>
        </w:rPr>
        <w:t>Fuente de información</w:t>
      </w:r>
      <w:r w:rsidRPr="00A16665">
        <w:rPr>
          <w:rFonts w:eastAsia="Calibri"/>
          <w:sz w:val="20"/>
          <w:szCs w:val="20"/>
          <w:lang w:eastAsia="en-US"/>
        </w:rPr>
        <w:t>:</w:t>
      </w:r>
    </w:p>
    <w:p w14:paraId="40387EE8" w14:textId="77777777" w:rsidR="00A16665" w:rsidRPr="004337CD" w:rsidRDefault="0045651A" w:rsidP="004337CD">
      <w:pPr>
        <w:spacing w:after="720"/>
        <w:ind w:right="-159"/>
        <w:jc w:val="both"/>
        <w:rPr>
          <w:rFonts w:eastAsia="Calibri"/>
          <w:color w:val="0000FF"/>
          <w:sz w:val="20"/>
          <w:szCs w:val="20"/>
          <w:lang w:eastAsia="en-US"/>
        </w:rPr>
      </w:pPr>
      <w:hyperlink r:id="rId145" w:history="1">
        <w:r w:rsidR="00A16665" w:rsidRPr="004337CD">
          <w:rPr>
            <w:rFonts w:eastAsia="Calibri"/>
            <w:color w:val="0000FF"/>
            <w:sz w:val="20"/>
            <w:szCs w:val="20"/>
            <w:u w:val="single"/>
            <w:lang w:eastAsia="en-US"/>
          </w:rPr>
          <w:t>http://www.economia.gob.mx/eventos-noticias/sala-de-prensa/comunicados/10958-comunicado-conjunto15-0323</w:t>
        </w:r>
      </w:hyperlink>
    </w:p>
    <w:p w14:paraId="43108447" w14:textId="77777777" w:rsidR="00A55790" w:rsidRPr="00A55790" w:rsidRDefault="00A55790" w:rsidP="00A55790">
      <w:pPr>
        <w:rPr>
          <w:rFonts w:eastAsia="Calibri"/>
          <w:b/>
          <w:sz w:val="26"/>
          <w:szCs w:val="26"/>
          <w:lang w:eastAsia="en-US"/>
        </w:rPr>
      </w:pPr>
      <w:r w:rsidRPr="00A55790">
        <w:rPr>
          <w:rFonts w:eastAsia="Calibri"/>
          <w:b/>
          <w:sz w:val="26"/>
          <w:szCs w:val="26"/>
          <w:lang w:eastAsia="en-US"/>
        </w:rPr>
        <w:t>Las inversiones en México reafirman</w:t>
      </w:r>
    </w:p>
    <w:p w14:paraId="6BAF64D1" w14:textId="77777777" w:rsidR="00A55790" w:rsidRPr="00A55790" w:rsidRDefault="00A55790" w:rsidP="00A55790">
      <w:pPr>
        <w:rPr>
          <w:rFonts w:eastAsia="Calibri"/>
          <w:b/>
          <w:sz w:val="26"/>
          <w:szCs w:val="26"/>
          <w:lang w:eastAsia="en-US"/>
        </w:rPr>
      </w:pPr>
      <w:r w:rsidRPr="00A55790">
        <w:rPr>
          <w:rFonts w:eastAsia="Calibri"/>
          <w:b/>
          <w:sz w:val="26"/>
          <w:szCs w:val="26"/>
          <w:lang w:eastAsia="en-US"/>
        </w:rPr>
        <w:t>la   confianza   que   hay   en   el  país</w:t>
      </w:r>
    </w:p>
    <w:p w14:paraId="42BB9BA3" w14:textId="77777777" w:rsidR="00A55790" w:rsidRPr="00A55790" w:rsidRDefault="00A55790" w:rsidP="00A55790">
      <w:pPr>
        <w:spacing w:after="360" w:line="360" w:lineRule="auto"/>
        <w:ind w:right="-159"/>
        <w:jc w:val="both"/>
        <w:rPr>
          <w:rFonts w:eastAsia="Calibri"/>
          <w:b/>
          <w:sz w:val="26"/>
          <w:szCs w:val="26"/>
          <w:lang w:eastAsia="en-US"/>
        </w:rPr>
      </w:pPr>
      <w:r w:rsidRPr="00A55790">
        <w:rPr>
          <w:rFonts w:eastAsia="Calibri"/>
          <w:b/>
          <w:sz w:val="26"/>
          <w:szCs w:val="26"/>
          <w:lang w:eastAsia="en-US"/>
        </w:rPr>
        <w:t>(Presidencia de la República)</w:t>
      </w:r>
    </w:p>
    <w:p w14:paraId="324EA3D8" w14:textId="5539C4CF"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El 15 de abril de 2015, la Presidencia de la República informó al encabezar el evento en el que la empresa automotriz Toyota anunció una inversión en el país de más de </w:t>
      </w:r>
      <w:r w:rsidR="002D0969">
        <w:rPr>
          <w:rFonts w:eastAsia="Calibri"/>
          <w:sz w:val="26"/>
          <w:szCs w:val="26"/>
          <w:lang w:eastAsia="en-US"/>
        </w:rPr>
        <w:t>un</w:t>
      </w:r>
      <w:r w:rsidRPr="00A55790">
        <w:rPr>
          <w:rFonts w:eastAsia="Calibri"/>
          <w:sz w:val="26"/>
          <w:szCs w:val="26"/>
          <w:lang w:eastAsia="en-US"/>
        </w:rPr>
        <w:t xml:space="preserve"> mil millones de dólares, el Presidente de la República afirmó que inversiones como ésta reafirman la confianza que hay en México y lo proyectan como un destino confiable. “En nuestro país hay mano de obra calificada, un clima de paz laboral, y tenemos varias ventajas competitivas que nos hacen verdaderamente atractivos para la inversión”, subrayó.</w:t>
      </w:r>
    </w:p>
    <w:p w14:paraId="0DF050F7" w14:textId="535E3CA4"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lastRenderedPageBreak/>
        <w:t xml:space="preserve">Indicó que la decisión de la empresa Toyota de invertir en México, en una planta automotriz en el </w:t>
      </w:r>
      <w:r w:rsidR="00586054">
        <w:rPr>
          <w:rFonts w:eastAsia="Calibri"/>
          <w:sz w:val="26"/>
          <w:szCs w:val="26"/>
          <w:lang w:eastAsia="en-US"/>
        </w:rPr>
        <w:t>E</w:t>
      </w:r>
      <w:r w:rsidRPr="00A55790">
        <w:rPr>
          <w:rFonts w:eastAsia="Calibri"/>
          <w:sz w:val="26"/>
          <w:szCs w:val="26"/>
          <w:lang w:eastAsia="en-US"/>
        </w:rPr>
        <w:t>stado de Guanajuato, “no es casual ni es fortuita, es a partir de un análisis profundo y serio de dónde es un espacio oportuno, óptimo para la inversión de empresas globales, y con ello expandir su presencia en el mundo entero”.</w:t>
      </w:r>
    </w:p>
    <w:p w14:paraId="575ECFBF" w14:textId="2D14932F"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Resaltó que en esta Administración la </w:t>
      </w:r>
      <w:r w:rsidR="00586054">
        <w:rPr>
          <w:rFonts w:eastAsia="Calibri"/>
          <w:sz w:val="26"/>
          <w:szCs w:val="26"/>
          <w:lang w:eastAsia="en-US"/>
        </w:rPr>
        <w:t>I</w:t>
      </w:r>
      <w:r w:rsidRPr="00A55790">
        <w:rPr>
          <w:rFonts w:eastAsia="Calibri"/>
          <w:sz w:val="26"/>
          <w:szCs w:val="26"/>
          <w:lang w:eastAsia="en-US"/>
        </w:rPr>
        <w:t xml:space="preserve">nversión </w:t>
      </w:r>
      <w:r w:rsidR="00586054">
        <w:rPr>
          <w:rFonts w:eastAsia="Calibri"/>
          <w:sz w:val="26"/>
          <w:szCs w:val="26"/>
          <w:lang w:eastAsia="en-US"/>
        </w:rPr>
        <w:t>E</w:t>
      </w:r>
      <w:r w:rsidRPr="00A55790">
        <w:rPr>
          <w:rFonts w:eastAsia="Calibri"/>
          <w:sz w:val="26"/>
          <w:szCs w:val="26"/>
          <w:lang w:eastAsia="en-US"/>
        </w:rPr>
        <w:t xml:space="preserve">xtranjera </w:t>
      </w:r>
      <w:r w:rsidR="00586054">
        <w:rPr>
          <w:rFonts w:eastAsia="Calibri"/>
          <w:sz w:val="26"/>
          <w:szCs w:val="26"/>
          <w:lang w:eastAsia="en-US"/>
        </w:rPr>
        <w:t>D</w:t>
      </w:r>
      <w:r w:rsidRPr="00A55790">
        <w:rPr>
          <w:rFonts w:eastAsia="Calibri"/>
          <w:sz w:val="26"/>
          <w:szCs w:val="26"/>
          <w:lang w:eastAsia="en-US"/>
        </w:rPr>
        <w:t>irecta (IED) a México se ha visto incrementada. “Vale la pena destacar que entre 2013 y 2014 México recibió una IED por más de 66 mil millones de dólares; esto es un monto superior en 24 mil millones de dólares a los dos años previos al inicio de esta Administración”, precisó.</w:t>
      </w:r>
    </w:p>
    <w:p w14:paraId="6B54BF2E"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Apuntó que “esto conjuga las fortalezas que México ha venido consolidando, y las ventajas frente a otras naciones”.</w:t>
      </w:r>
    </w:p>
    <w:p w14:paraId="2D373E06"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Primer Mandatario aseguró que la industria automotriz se ha venido consolidando en México. Mencionó que hoy México es el séptimo productor y cuarto exportador de automóviles en el mundo. “Es una industria emblemática de nuestro país, que año con año ha venido creciendo y se sigue fortaleciendo”, dijo.</w:t>
      </w:r>
    </w:p>
    <w:p w14:paraId="3B533ED4"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Explicó que mientras la producción automotriz en el mundo creció el año pasado 2.8%, en México este crecimiento fue significativamente mayor: 10.3 por ciento.</w:t>
      </w:r>
    </w:p>
    <w:p w14:paraId="039E0BE8"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Añadió que con respecto a los tres primeros meses de 2014, en el primer trimestre de 2015 la producción de automóviles se incrementó en casi 10%, y la venta de vehículos creció 21.9%, lo que da muestra de la vitalidad del mercado interno.</w:t>
      </w:r>
    </w:p>
    <w:p w14:paraId="613B824B"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Presidente de México se refirió que ello es consistente con “las buenas cifras que se vienen reportando de la dinámica de la economía de nuestro país”, entre las que mencionó:</w:t>
      </w:r>
    </w:p>
    <w:p w14:paraId="43026E3B" w14:textId="222E15DD"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b/>
          <w:sz w:val="26"/>
          <w:szCs w:val="26"/>
          <w:lang w:eastAsia="en-US"/>
        </w:rPr>
        <w:lastRenderedPageBreak/>
        <w:t>Primero</w:t>
      </w:r>
      <w:r w:rsidRPr="00A55790">
        <w:rPr>
          <w:rFonts w:eastAsia="Calibri"/>
          <w:sz w:val="26"/>
          <w:szCs w:val="26"/>
          <w:lang w:eastAsia="en-US"/>
        </w:rPr>
        <w:t xml:space="preserve">: “De acuerdo con cifras de la Asociación Nacional de Tiendas de Autoservicio y Departamentales (ANTAD), en los primeros tres meses de este año los establecimientos afiliados han reportado ventas superiores prácticamente en un </w:t>
      </w:r>
      <w:r w:rsidR="00586054">
        <w:rPr>
          <w:rFonts w:eastAsia="Calibri"/>
          <w:sz w:val="26"/>
          <w:szCs w:val="26"/>
          <w:lang w:eastAsia="en-US"/>
        </w:rPr>
        <w:t>5%</w:t>
      </w:r>
      <w:r w:rsidRPr="00A55790">
        <w:rPr>
          <w:rFonts w:eastAsia="Calibri"/>
          <w:sz w:val="26"/>
          <w:szCs w:val="26"/>
          <w:lang w:eastAsia="en-US"/>
        </w:rPr>
        <w:t xml:space="preserve"> con respecto al año pasado”.</w:t>
      </w:r>
    </w:p>
    <w:p w14:paraId="4F4BB85B"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b/>
          <w:sz w:val="26"/>
          <w:szCs w:val="26"/>
          <w:lang w:eastAsia="en-US"/>
        </w:rPr>
        <w:t>Segundo</w:t>
      </w:r>
      <w:r w:rsidRPr="00A55790">
        <w:rPr>
          <w:rFonts w:eastAsia="Calibri"/>
          <w:sz w:val="26"/>
          <w:szCs w:val="26"/>
          <w:lang w:eastAsia="en-US"/>
        </w:rPr>
        <w:t>: “Otro indicador de la confianza que México tiene hoy en el mundo es el hecho de que hace apenas unos días se colocó un bono en el mercado de euros de forma histórica. Es un bono, como lo denominan, ultra largo, de 100 años y que tuvo una alta demanda en este mercado. Resulta histórico, pero más resulta que en ello se aprecia la confianza que hay en nuestro país”.</w:t>
      </w:r>
    </w:p>
    <w:p w14:paraId="26EC5C9E"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b/>
          <w:sz w:val="26"/>
          <w:szCs w:val="26"/>
          <w:lang w:eastAsia="en-US"/>
        </w:rPr>
        <w:t>Tercero</w:t>
      </w:r>
      <w:r w:rsidRPr="00A55790">
        <w:rPr>
          <w:rFonts w:eastAsia="Calibri"/>
          <w:sz w:val="26"/>
          <w:szCs w:val="26"/>
          <w:lang w:eastAsia="en-US"/>
        </w:rPr>
        <w:t>: Las cifras de empleo en el primer trimestre de este año, también son alentadoras del dinamismo que está mostrando la economía mexicana en este año. De acuerdo a datos del Instituto Mexicano del Seguro Social, en este primer trimestre del año 2015 se han generado 298 mil 600 nuevos empleos, que puestos en dimensión son 42 mil puestos de trabajo más de los registrados en el mismo período del año pasado y 79 mil 500 más que en el primer tercio de 2013.</w:t>
      </w:r>
    </w:p>
    <w:p w14:paraId="54A9DFE8" w14:textId="48520A53" w:rsid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“Estas son buenas cifras, son buenos números, son buenos indicadores que hablan de cómo nuestra economía está teniendo un mayor dinamismo y cómo también se acrecienta la confianza que México proyecta al mundo para atraer inversiones, y para seguir invirtiendo en nuestro país”, señaló.</w:t>
      </w:r>
    </w:p>
    <w:p w14:paraId="13FF9E33" w14:textId="77777777" w:rsidR="00A55790" w:rsidRPr="00A55790" w:rsidRDefault="00A55790" w:rsidP="00A55790">
      <w:pPr>
        <w:spacing w:after="360" w:line="360" w:lineRule="auto"/>
        <w:ind w:right="-159"/>
        <w:jc w:val="both"/>
        <w:rPr>
          <w:rFonts w:eastAsia="Calibri"/>
          <w:b/>
          <w:sz w:val="26"/>
          <w:szCs w:val="26"/>
          <w:lang w:eastAsia="en-US"/>
        </w:rPr>
      </w:pPr>
      <w:r w:rsidRPr="00A55790">
        <w:rPr>
          <w:rFonts w:eastAsia="Calibri"/>
          <w:b/>
          <w:sz w:val="26"/>
          <w:szCs w:val="26"/>
          <w:lang w:eastAsia="en-US"/>
        </w:rPr>
        <w:t>Diversas intervenciones:</w:t>
      </w:r>
    </w:p>
    <w:p w14:paraId="5064D8FA" w14:textId="77777777" w:rsidR="00A55790" w:rsidRPr="00A55790" w:rsidRDefault="00A55790" w:rsidP="003518F4">
      <w:pPr>
        <w:numPr>
          <w:ilvl w:val="0"/>
          <w:numId w:val="132"/>
        </w:numPr>
        <w:spacing w:after="360"/>
        <w:ind w:left="357" w:right="-159" w:hanging="357"/>
        <w:jc w:val="both"/>
        <w:rPr>
          <w:rFonts w:eastAsia="Calibri"/>
          <w:b/>
          <w:sz w:val="26"/>
          <w:szCs w:val="26"/>
          <w:lang w:eastAsia="en-US"/>
        </w:rPr>
      </w:pPr>
      <w:r w:rsidRPr="00A55790">
        <w:rPr>
          <w:rFonts w:eastAsia="Calibri"/>
          <w:b/>
          <w:sz w:val="26"/>
          <w:szCs w:val="26"/>
          <w:lang w:eastAsia="en-US"/>
        </w:rPr>
        <w:t>Es el mejor momento para invertir en México; estamos en un camino de mayores éxitos</w:t>
      </w:r>
    </w:p>
    <w:p w14:paraId="47E4CF7A"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El Secretario de Economía afirmó que sin duda “éste es el mejor momento para invertir en México; es, especialmente, el momento de la industria automotriz pues vive una de </w:t>
      </w:r>
      <w:r w:rsidRPr="00A55790">
        <w:rPr>
          <w:rFonts w:eastAsia="Calibri"/>
          <w:sz w:val="26"/>
          <w:szCs w:val="26"/>
          <w:lang w:eastAsia="en-US"/>
        </w:rPr>
        <w:lastRenderedPageBreak/>
        <w:t>las expansiones más importantes de la historia”. “Estamos todavía en un camino de mayores éxitos”, aseveró.</w:t>
      </w:r>
    </w:p>
    <w:p w14:paraId="2FF8614D" w14:textId="05110C48"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 xml:space="preserve">Añadió que en la </w:t>
      </w:r>
      <w:r w:rsidR="00586054">
        <w:rPr>
          <w:rFonts w:eastAsia="Calibri"/>
          <w:sz w:val="26"/>
          <w:szCs w:val="26"/>
          <w:lang w:eastAsia="en-US"/>
        </w:rPr>
        <w:t xml:space="preserve">actual </w:t>
      </w:r>
      <w:r w:rsidRPr="00A55790">
        <w:rPr>
          <w:rFonts w:eastAsia="Calibri"/>
          <w:sz w:val="26"/>
          <w:szCs w:val="26"/>
          <w:lang w:eastAsia="en-US"/>
        </w:rPr>
        <w:t xml:space="preserve">Administración se han inaugurado nuevas plantas o realizado anuncios de inversión en el sector automotriz por más de 20 mil millones de dólares. Expuso que se ampliará la capacidad de producción al pasar de 3.2 millones de automóviles en 2014, a </w:t>
      </w:r>
      <w:r w:rsidR="00432922">
        <w:rPr>
          <w:rFonts w:eastAsia="Calibri"/>
          <w:sz w:val="26"/>
          <w:szCs w:val="26"/>
          <w:lang w:eastAsia="en-US"/>
        </w:rPr>
        <w:t>5</w:t>
      </w:r>
      <w:r w:rsidRPr="00A55790">
        <w:rPr>
          <w:rFonts w:eastAsia="Calibri"/>
          <w:sz w:val="26"/>
          <w:szCs w:val="26"/>
          <w:lang w:eastAsia="en-US"/>
        </w:rPr>
        <w:t xml:space="preserve"> millones en el 2020.</w:t>
      </w:r>
    </w:p>
    <w:p w14:paraId="66B9829D"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Informó que hoy México está posicionado a nivel mundial como el séptimo productor y el cuarto exportador de vehículos, contribuyendo con casi el 4% de la producción mundial. Detrás de estos éxitos, aseguró, está el trabajo de casi 700 mil mexicanos que laboran en la cadena productiva automotriz.</w:t>
      </w:r>
    </w:p>
    <w:p w14:paraId="75D4B15A"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Destacó que con el anuncio de Toyota hoy, “México se consolidará aún más, como una de las principales plataformas de producción y exportación de vehículos a los mercados internacionales con los cuales tenemos acceso preferencial”.</w:t>
      </w:r>
    </w:p>
    <w:p w14:paraId="7BA4AE3F" w14:textId="77777777" w:rsid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Al apuntar que el comercio bilateral en esta década entre Japón y México ha aumentado en más de 70%, y la relación comercial fue de más de 20 mil millones de dólares en el 2014, destacó que la nueva planta de ensamble automotriz Toyota en Guanajuato “coincide con la conmemoración, justamente de un mismo abril de hace 10 años, de la entrada en vigor del acuerdo de la acción económica entre México y Japón”, concluyó.</w:t>
      </w:r>
    </w:p>
    <w:p w14:paraId="77BD9E18" w14:textId="77777777" w:rsidR="00A55790" w:rsidRPr="00A55790" w:rsidRDefault="00A55790" w:rsidP="003518F4">
      <w:pPr>
        <w:numPr>
          <w:ilvl w:val="0"/>
          <w:numId w:val="132"/>
        </w:numPr>
        <w:spacing w:after="360" w:line="360" w:lineRule="auto"/>
        <w:ind w:left="357" w:right="-159" w:hanging="357"/>
        <w:jc w:val="both"/>
        <w:rPr>
          <w:rFonts w:eastAsia="Calibri"/>
          <w:b/>
          <w:sz w:val="26"/>
          <w:szCs w:val="26"/>
          <w:lang w:eastAsia="en-US"/>
        </w:rPr>
      </w:pPr>
      <w:r w:rsidRPr="00A55790">
        <w:rPr>
          <w:rFonts w:eastAsia="Calibri"/>
          <w:b/>
          <w:sz w:val="26"/>
          <w:szCs w:val="26"/>
          <w:lang w:eastAsia="en-US"/>
        </w:rPr>
        <w:t>Al elegir a México, Toyota pone de manifiesto su confianza en el país</w:t>
      </w:r>
    </w:p>
    <w:p w14:paraId="4066FE9F"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El Presidente de Toyota Norteamérica expresó: “lo que anunciamos el día de hoy no nada más es una gran inversión, sino es que Toyota pone de manifiesto su confianza en México”. Estamos listos para ponernos a prueba, poner nuestras ideas y nuestra gente a prueba, y para ello elegimos a México”, enfatizó.</w:t>
      </w:r>
    </w:p>
    <w:p w14:paraId="4A42F600" w14:textId="2458E82D"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lastRenderedPageBreak/>
        <w:t xml:space="preserve">Detalló que la nueva planta de la empresa en Guanajuato representa una inversión de aproximadamente </w:t>
      </w:r>
      <w:r w:rsidR="00586054">
        <w:rPr>
          <w:rFonts w:eastAsia="Calibri"/>
          <w:sz w:val="26"/>
          <w:szCs w:val="26"/>
          <w:lang w:eastAsia="en-US"/>
        </w:rPr>
        <w:t>un</w:t>
      </w:r>
      <w:r w:rsidRPr="00A55790">
        <w:rPr>
          <w:rFonts w:eastAsia="Calibri"/>
          <w:sz w:val="26"/>
          <w:szCs w:val="26"/>
          <w:lang w:eastAsia="en-US"/>
        </w:rPr>
        <w:t xml:space="preserve"> mil millones de dólares, la “más grande que haya hecho Toyota en México a la fecha. Creará aproximadamente dos mil nuevos empleos, y tendrá la capacidad de producir más de 200 mil vehículos al año”.</w:t>
      </w:r>
    </w:p>
    <w:p w14:paraId="05E4287C" w14:textId="77777777" w:rsid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Con esta nueva planta, nuestra asociación con México va a crecer y será más fuerte, enfatizó; este momento marca una muestra fehaciente de nuestro legado del pasado. También, da cuenta de nuestra clara visión hacia el futuro, y debido al compromiso que tenemos con el Gobierno mexicano y con el pueblo mexicano, esta asociación de este país y Toyota, va a durar muchos, pero muchos años”</w:t>
      </w:r>
    </w:p>
    <w:p w14:paraId="1CF1BF4B" w14:textId="77777777" w:rsidR="00A55790" w:rsidRPr="00A55790" w:rsidRDefault="00A55790" w:rsidP="003518F4">
      <w:pPr>
        <w:numPr>
          <w:ilvl w:val="0"/>
          <w:numId w:val="132"/>
        </w:numPr>
        <w:spacing w:after="360"/>
        <w:ind w:left="357" w:right="-159" w:hanging="357"/>
        <w:jc w:val="both"/>
        <w:rPr>
          <w:rFonts w:eastAsia="Calibri"/>
          <w:b/>
          <w:sz w:val="26"/>
          <w:szCs w:val="26"/>
          <w:lang w:eastAsia="en-US"/>
        </w:rPr>
      </w:pPr>
      <w:r w:rsidRPr="00A55790">
        <w:rPr>
          <w:rFonts w:eastAsia="Calibri"/>
          <w:b/>
          <w:sz w:val="26"/>
          <w:szCs w:val="26"/>
          <w:lang w:eastAsia="en-US"/>
        </w:rPr>
        <w:t>El Gobernador de Guanajuato destacó el espíritu de colaboración entre el gobierno de la república y los estatales</w:t>
      </w:r>
    </w:p>
    <w:p w14:paraId="0144541A"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Las inversiones que empresas globales llevan a cabo en México, como la de Toyota, reflejan el espíritu de colaboración y trabajo entre el Gobierno de la República y los gobiernos estatales, sostuvo el Gobernador de Guanajuato.</w:t>
      </w:r>
    </w:p>
    <w:p w14:paraId="355B113C"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Al considerar que el anuncio de la empresa automotriz japonesa es una gran noticia para México, en especial para Guanajuato, el mandatario estatal subrayó que esa decisión habla de la confianza de los inversionistas en el potencial de México.</w:t>
      </w:r>
    </w:p>
    <w:p w14:paraId="01B0EF96" w14:textId="77777777" w:rsidR="00A55790" w:rsidRPr="00A55790" w:rsidRDefault="00A55790" w:rsidP="00A55790">
      <w:pPr>
        <w:spacing w:after="360" w:line="360" w:lineRule="auto"/>
        <w:ind w:right="-159"/>
        <w:jc w:val="both"/>
        <w:rPr>
          <w:rFonts w:eastAsia="Calibri"/>
          <w:sz w:val="26"/>
          <w:szCs w:val="26"/>
          <w:lang w:eastAsia="en-US"/>
        </w:rPr>
      </w:pPr>
      <w:r w:rsidRPr="00A55790">
        <w:rPr>
          <w:rFonts w:eastAsia="Calibri"/>
          <w:sz w:val="26"/>
          <w:szCs w:val="26"/>
          <w:lang w:eastAsia="en-US"/>
        </w:rPr>
        <w:t>“Es una noticia que simboliza el crecimiento económico, la generación de empleo y el desarrollo que estamos construyendo para Guanajuato, para México, con esta nueva planta que apuntala su liderazgo en la industria automotriz. El Gobierno de la República y el Gobierno de Guanajuato estamos trabajando con una visión de largo plazo en beneficio de los mexicanos”, enfatizó.</w:t>
      </w:r>
    </w:p>
    <w:p w14:paraId="7BE402BA" w14:textId="77777777" w:rsidR="00A55790" w:rsidRPr="00A55790" w:rsidRDefault="00A55790" w:rsidP="00A55790">
      <w:pPr>
        <w:ind w:right="-159"/>
        <w:jc w:val="both"/>
        <w:rPr>
          <w:rFonts w:eastAsia="Calibri"/>
          <w:sz w:val="20"/>
          <w:szCs w:val="20"/>
          <w:lang w:eastAsia="en-US"/>
        </w:rPr>
      </w:pPr>
      <w:r w:rsidRPr="00A55790">
        <w:rPr>
          <w:rFonts w:eastAsia="Calibri"/>
          <w:b/>
          <w:sz w:val="20"/>
          <w:szCs w:val="20"/>
          <w:lang w:eastAsia="en-US"/>
        </w:rPr>
        <w:t>Fuente de información</w:t>
      </w:r>
      <w:r w:rsidRPr="00A55790">
        <w:rPr>
          <w:rFonts w:eastAsia="Calibri"/>
          <w:sz w:val="20"/>
          <w:szCs w:val="20"/>
          <w:lang w:eastAsia="en-US"/>
        </w:rPr>
        <w:t>:</w:t>
      </w:r>
    </w:p>
    <w:p w14:paraId="754988BA" w14:textId="77777777" w:rsidR="00A55790" w:rsidRPr="004337CD" w:rsidRDefault="0045651A" w:rsidP="004337CD">
      <w:pPr>
        <w:spacing w:after="720"/>
        <w:ind w:right="-159"/>
        <w:jc w:val="both"/>
        <w:rPr>
          <w:rFonts w:eastAsia="Calibri"/>
          <w:color w:val="0000FF"/>
          <w:sz w:val="20"/>
          <w:szCs w:val="20"/>
          <w:lang w:eastAsia="en-US"/>
        </w:rPr>
      </w:pPr>
      <w:hyperlink r:id="rId146" w:history="1">
        <w:r w:rsidR="00A55790" w:rsidRPr="004337CD">
          <w:rPr>
            <w:rFonts w:eastAsia="Calibri"/>
            <w:color w:val="0000FF"/>
            <w:sz w:val="20"/>
            <w:szCs w:val="20"/>
            <w:u w:val="single"/>
            <w:lang w:eastAsia="en-US"/>
          </w:rPr>
          <w:t>http://www.presidencia.gob.mx/articulos-prensa/las-inversiones-en-mexico-reafirman-la-confianza-que-hay-en-nuestro-pais-enrique-pena-nieto/</w:t>
        </w:r>
      </w:hyperlink>
    </w:p>
    <w:p w14:paraId="1AB1CCB9" w14:textId="77777777" w:rsidR="0062180C" w:rsidRPr="0062180C" w:rsidRDefault="0062180C" w:rsidP="0062180C">
      <w:pPr>
        <w:rPr>
          <w:rFonts w:eastAsia="Calibri"/>
          <w:b/>
          <w:sz w:val="26"/>
          <w:szCs w:val="26"/>
          <w:lang w:eastAsia="en-US"/>
        </w:rPr>
      </w:pPr>
      <w:r w:rsidRPr="0062180C">
        <w:rPr>
          <w:rFonts w:eastAsia="Calibri"/>
          <w:b/>
          <w:sz w:val="26"/>
          <w:szCs w:val="26"/>
          <w:lang w:eastAsia="en-US"/>
        </w:rPr>
        <w:lastRenderedPageBreak/>
        <w:t>México es potencia  mundial en  el  sector</w:t>
      </w:r>
    </w:p>
    <w:p w14:paraId="3207907A" w14:textId="77777777" w:rsidR="0062180C" w:rsidRPr="0062180C" w:rsidRDefault="0062180C" w:rsidP="0062180C">
      <w:pPr>
        <w:spacing w:after="360" w:line="360" w:lineRule="auto"/>
        <w:ind w:right="-159"/>
        <w:jc w:val="both"/>
        <w:rPr>
          <w:rFonts w:eastAsia="Calibri"/>
          <w:b/>
          <w:sz w:val="26"/>
          <w:szCs w:val="26"/>
          <w:lang w:eastAsia="en-US"/>
        </w:rPr>
      </w:pPr>
      <w:r w:rsidRPr="0062180C">
        <w:rPr>
          <w:rFonts w:eastAsia="Calibri"/>
          <w:b/>
          <w:sz w:val="26"/>
          <w:szCs w:val="26"/>
          <w:lang w:eastAsia="en-US"/>
        </w:rPr>
        <w:t>automotriz (Presidencia de la República)</w:t>
      </w:r>
    </w:p>
    <w:p w14:paraId="673E65CB"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17 de abril de 2015, Presidencia de la República comunicó que la empresa Ford Motor Company hará una inversión de 2 mil 500 millones de dólares en el país. El Presidente de la República indicó que México se consolida como el séptimo productor y el cuarto exportador de automóviles. A continuación se presentan los detalles.</w:t>
      </w:r>
    </w:p>
    <w:p w14:paraId="5FD415E7"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Presidente de la República afirmó que al consolidarse como el séptimo productor y el cuarto exportador de automóviles “México es ya una potencia mundial en el sector automotriz”.</w:t>
      </w:r>
    </w:p>
    <w:p w14:paraId="6659341B"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Al encabezar el evento en el que la empresa Ford Motor Company anunció una inversión de 2 mil 500 millones de dólares en el país, el Primer Mandatario resaltó que estas inversiones “acreditan ante el mundo que en México hay condiciones de competitividad, condiciones para ser más productivos y para atraer más inversiones automotrices”.</w:t>
      </w:r>
    </w:p>
    <w:p w14:paraId="0730CCF3"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Mencionó que también reconocen “la estabilidad laboral y el clima social que hay en México, y eso, sin duda, hace que el mundo voltee a ver a nuestro país, y que las empresas ya establecidas en México, como es el caso de Ford, reafirmen su confianza en el país”.</w:t>
      </w:r>
    </w:p>
    <w:p w14:paraId="76333149"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Sostuvo que la inversión anunciada por la empresa Ford, para la ampliación de una planta de motores y la construcción de otra de motores de nueva generación y una de transmisiones, permitirá la generación de casi cuatro mil empleos en los estados de Chihuahua y Guanajuato. Añadió que “estas inversiones no son por casualidad. Llegan porque en el mundo se ve confianza en México, confianza en el rumbo que lleva el país, sobre todo a partir de las reformas estructurales”.</w:t>
      </w:r>
    </w:p>
    <w:p w14:paraId="24F6A167"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lastRenderedPageBreak/>
        <w:t>Agregó que esta confianza que se reafirma en México “permitirá abrir espacios de empleo y de oportunidad de crecimiento personal para más mexicanos”.</w:t>
      </w:r>
    </w:p>
    <w:p w14:paraId="249AA4D7"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“Estamos construyendo las mejores condiciones para elevar la competitividad de México, con reformas estructurales que nos pongan a la vanguardia, y con infraestructura de calidad mundial”, añadió.</w:t>
      </w:r>
    </w:p>
    <w:p w14:paraId="5BB29D54"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Estas reformas, dijo, “sin duda también van a permitir que otros sectores de la economía de nuestro país se amplíen, se fortalezcan y atraigan más inversiones”. Puntualizó que, de manera señalada, las reformas estructurales que se han materializado “estarán atrayendo mayores inversiones en el sector de las telecomunicaciones y en el sector energético. Son dos sectores en los que desde hoy podemos proyectar atraerán mayores inversiones”.</w:t>
      </w:r>
    </w:p>
    <w:p w14:paraId="6E4A7575"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Presidente de la República expresó su reconocimiento a los directivos de Ford Motor Company. “Tienen en el Gobierno de la República a un aliado, porque confían en México. El Gobierno de la República respalda, apoya y acompaña esta confianza que inversionistas nacionales y extranjeros tienen para con México”, subrayó.</w:t>
      </w:r>
    </w:p>
    <w:p w14:paraId="3988F075" w14:textId="53BFAE86" w:rsidR="0062180C" w:rsidRPr="0062180C" w:rsidRDefault="0062180C" w:rsidP="0062180C">
      <w:pPr>
        <w:spacing w:after="360" w:line="360" w:lineRule="auto"/>
        <w:ind w:right="-159"/>
        <w:jc w:val="both"/>
        <w:rPr>
          <w:rFonts w:eastAsia="Calibri"/>
          <w:b/>
          <w:sz w:val="26"/>
          <w:szCs w:val="26"/>
          <w:lang w:eastAsia="en-US"/>
        </w:rPr>
      </w:pPr>
      <w:r w:rsidRPr="0062180C">
        <w:rPr>
          <w:rFonts w:eastAsia="Calibri"/>
          <w:b/>
          <w:sz w:val="26"/>
          <w:szCs w:val="26"/>
          <w:lang w:eastAsia="en-US"/>
        </w:rPr>
        <w:t>Diversas intervenciones</w:t>
      </w:r>
      <w:r w:rsidRPr="0062180C">
        <w:rPr>
          <w:rFonts w:eastAsia="Calibri"/>
          <w:b/>
          <w:sz w:val="26"/>
          <w:szCs w:val="26"/>
          <w:vertAlign w:val="superscript"/>
          <w:lang w:eastAsia="en-US"/>
        </w:rPr>
        <w:footnoteReference w:id="13"/>
      </w:r>
      <w:r w:rsidR="00E6455F">
        <w:rPr>
          <w:rFonts w:eastAsia="Calibri"/>
          <w:b/>
          <w:sz w:val="26"/>
          <w:szCs w:val="26"/>
          <w:lang w:eastAsia="en-US"/>
        </w:rPr>
        <w:t>:</w:t>
      </w:r>
    </w:p>
    <w:p w14:paraId="557D8228" w14:textId="77777777" w:rsidR="0062180C" w:rsidRPr="0062180C" w:rsidRDefault="0062180C" w:rsidP="003518F4">
      <w:pPr>
        <w:numPr>
          <w:ilvl w:val="0"/>
          <w:numId w:val="142"/>
        </w:numPr>
        <w:spacing w:after="360"/>
        <w:ind w:left="357" w:right="-159" w:hanging="357"/>
        <w:jc w:val="both"/>
        <w:rPr>
          <w:rFonts w:eastAsia="Calibri"/>
          <w:b/>
          <w:sz w:val="26"/>
          <w:szCs w:val="26"/>
          <w:lang w:eastAsia="en-US"/>
        </w:rPr>
      </w:pPr>
      <w:r w:rsidRPr="0062180C">
        <w:rPr>
          <w:rFonts w:eastAsia="Calibri"/>
          <w:b/>
          <w:sz w:val="26"/>
          <w:szCs w:val="26"/>
          <w:lang w:eastAsia="en-US"/>
        </w:rPr>
        <w:t>La industria automotriz de México está en el período de consolidación y expansión más importante de la historia</w:t>
      </w:r>
    </w:p>
    <w:p w14:paraId="4AF72793"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Secretario de Economía</w:t>
      </w:r>
      <w:r w:rsidRPr="0062180C">
        <w:rPr>
          <w:rFonts w:eastAsia="Calibri"/>
          <w:sz w:val="26"/>
          <w:szCs w:val="26"/>
          <w:vertAlign w:val="superscript"/>
          <w:lang w:eastAsia="en-US"/>
        </w:rPr>
        <w:footnoteReference w:id="14"/>
      </w:r>
      <w:r w:rsidRPr="0062180C">
        <w:rPr>
          <w:rFonts w:eastAsia="Calibri"/>
          <w:sz w:val="26"/>
          <w:szCs w:val="26"/>
          <w:lang w:eastAsia="en-US"/>
        </w:rPr>
        <w:t xml:space="preserve"> comentó que el anuncio de inversión de Ford “llega justo a tiempo para cerrar y hacer de esta semana una perfecta para la industria automotriz mexicana. En el transcurso de sólo siete días, el sector automotriz está recibiendo más </w:t>
      </w:r>
      <w:r w:rsidRPr="0062180C">
        <w:rPr>
          <w:rFonts w:eastAsia="Calibri"/>
          <w:sz w:val="26"/>
          <w:szCs w:val="26"/>
          <w:lang w:eastAsia="en-US"/>
        </w:rPr>
        <w:lastRenderedPageBreak/>
        <w:t>de tres mil 500 millones de dólares de inversiones que van a fortalecer tanto a la industria terminal, como a la industria de autopartes”.</w:t>
      </w:r>
    </w:p>
    <w:p w14:paraId="06B61397"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“Después de esta semana, no queda duda de que la industria automotriz de México está en el período de consolidación y expansión más importante de la historia”, destacó. Aseveró que México es garantía de inversión para cualquier empresa del ramo.</w:t>
      </w:r>
    </w:p>
    <w:p w14:paraId="121A2B86"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Aseguró que en la Administración del Presidente de la República “se han anunciado, inaugurado o puesto primeras piedras en el sector automotriz y de autopartes por más de 22 mil 600 millones de dólares de inversión”, lo que “está moviendo a México en el camino correcto para llegar a la meta de producción de cinco millones de autos en 2020, y para que México se consolide en los “primeros cinco” del listado de productores a nivel global de vehículos en el mundo”.</w:t>
      </w:r>
    </w:p>
    <w:p w14:paraId="110478D7"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Esto se resume en algo muy importante: empleos bien remunerados para más de 700 mil mexicanos que laboran en la cadena automotriz, y 52 mil más que vendrán a incorporarse una vez que estos 22 mil 600 millones de inversión se materialicen, precisó.</w:t>
      </w:r>
    </w:p>
    <w:p w14:paraId="374BF287" w14:textId="6E0F7859" w:rsidR="004337CD" w:rsidRDefault="0062180C" w:rsidP="004337CD">
      <w:pPr>
        <w:numPr>
          <w:ilvl w:val="0"/>
          <w:numId w:val="142"/>
        </w:numPr>
        <w:spacing w:after="360" w:line="360" w:lineRule="auto"/>
        <w:ind w:right="-159"/>
        <w:contextualSpacing/>
        <w:jc w:val="both"/>
        <w:rPr>
          <w:rFonts w:eastAsia="Calibri"/>
          <w:b/>
          <w:sz w:val="26"/>
          <w:szCs w:val="26"/>
          <w:lang w:eastAsia="en-US"/>
        </w:rPr>
      </w:pPr>
      <w:r w:rsidRPr="0062180C">
        <w:rPr>
          <w:rFonts w:eastAsia="Calibri"/>
          <w:b/>
          <w:sz w:val="26"/>
          <w:szCs w:val="26"/>
          <w:lang w:eastAsia="en-US"/>
        </w:rPr>
        <w:t>Nuestros 90 años en México reflejan nuestra creencia en este país</w:t>
      </w:r>
      <w:r w:rsidRPr="0062180C">
        <w:rPr>
          <w:rFonts w:eastAsia="Calibri"/>
          <w:b/>
          <w:sz w:val="26"/>
          <w:szCs w:val="26"/>
          <w:vertAlign w:val="superscript"/>
          <w:lang w:eastAsia="en-US"/>
        </w:rPr>
        <w:footnoteReference w:id="15"/>
      </w:r>
    </w:p>
    <w:p w14:paraId="6288CD57" w14:textId="77777777" w:rsidR="004337CD" w:rsidRPr="004337CD" w:rsidRDefault="004337CD" w:rsidP="004337CD">
      <w:pPr>
        <w:spacing w:after="360" w:line="360" w:lineRule="auto"/>
        <w:ind w:left="360" w:right="-159"/>
        <w:contextualSpacing/>
        <w:jc w:val="both"/>
        <w:rPr>
          <w:rFonts w:eastAsia="Calibri"/>
          <w:b/>
          <w:sz w:val="26"/>
          <w:szCs w:val="26"/>
          <w:lang w:eastAsia="en-US"/>
        </w:rPr>
      </w:pPr>
    </w:p>
    <w:p w14:paraId="5A33B17A"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Presidente de Ford para las Américas expresó su agradecimiento “por el apoyo del Gobierno mexicano, encabezado por el Presidente Enrique Peña Nieto, cuya agenda económica reformadora ha ubicado a México como un país sumamente atractivo para hacer negocios”.</w:t>
      </w:r>
    </w:p>
    <w:p w14:paraId="0C2C6F50"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 xml:space="preserve">Al recordar que Ford Motor Company fue la primera compañía automotriz que se estableció en México en 1925, mencionó que “nuestros 90 años en México reflejan </w:t>
      </w:r>
      <w:r w:rsidRPr="0062180C">
        <w:rPr>
          <w:rFonts w:eastAsia="Calibri"/>
          <w:sz w:val="26"/>
          <w:szCs w:val="26"/>
          <w:lang w:eastAsia="en-US"/>
        </w:rPr>
        <w:lastRenderedPageBreak/>
        <w:t>nuestra creencia en este país, en nuestros empleados, nuestros concesionarios y nuestros clientes”. La historia de Ford en México, continuó, ha sido una historia con base en la fortaleza, y el anuncio de inversión “constituye un hito para nuestro futuro”, afirmó.</w:t>
      </w:r>
    </w:p>
    <w:p w14:paraId="1FB7094F"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Detalló que Ford construirá una nueva planta para la producción de la nueva generación de motores; una planta de transmisiones, y ampliará la planta actual de motores en el estado de Chihuahua. Informó que la nueva planta de motores se construirá también en Chihuahua, con una inversión de un mil 100 millones de dólares, lo que permitirá la generación de mil 300 nuevos empleos. Ello la convertirá en la planta de motores más grande de México.</w:t>
      </w:r>
    </w:p>
    <w:p w14:paraId="4BECECD9"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Además, se ampliará la planta de producción de motores de diésel DE-4 con una inversión de 200 millones de dólares, la cual generará 500 nuevos empleos. En Irapuato, Guanajuato, añadió, se construye la nueva planta de transmisiones con una inversión total de mil 200 millones de dólares, que generará dos mil nuevos empleos.</w:t>
      </w:r>
    </w:p>
    <w:p w14:paraId="5B470FCE" w14:textId="77777777" w:rsidR="0062180C" w:rsidRPr="0062180C" w:rsidRDefault="0062180C" w:rsidP="003518F4">
      <w:pPr>
        <w:numPr>
          <w:ilvl w:val="0"/>
          <w:numId w:val="142"/>
        </w:numPr>
        <w:spacing w:after="360" w:line="360" w:lineRule="auto"/>
        <w:ind w:left="357" w:right="-159" w:hanging="357"/>
        <w:jc w:val="both"/>
        <w:rPr>
          <w:rFonts w:eastAsia="Calibri"/>
          <w:b/>
          <w:sz w:val="26"/>
          <w:szCs w:val="26"/>
          <w:lang w:eastAsia="en-US"/>
        </w:rPr>
      </w:pPr>
      <w:r w:rsidRPr="0062180C">
        <w:rPr>
          <w:rFonts w:eastAsia="Calibri"/>
          <w:b/>
          <w:sz w:val="26"/>
          <w:szCs w:val="26"/>
          <w:lang w:eastAsia="en-US"/>
        </w:rPr>
        <w:t>Inversión de Ford acredita confianza en mano de obra chihuahuense</w:t>
      </w:r>
    </w:p>
    <w:p w14:paraId="50363CE8"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Gobernador de Chihuahua agradeció el respaldo del Presidente de la República para que la inversión de Ford llegara a la entidad, ya que con ello se generarán empleos que son de los mejores pagados, y además se acredita la confianza que tiene la empresa en la mano de obra chihuahuense.</w:t>
      </w:r>
    </w:p>
    <w:p w14:paraId="4BCB7FC6"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Asimismo, agregó que “el camino de la legalidad, es el camino que nos llevará a ser un país cada vez más fuerte y cada vez más justo. Pero, sobre todo, se acredita aquí que esas inversiones tienen que ver con la confianza”.</w:t>
      </w:r>
    </w:p>
    <w:p w14:paraId="58F1B38F"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 xml:space="preserve">Recordó que hace menos de un mes una empresa europea anunció la inversión de 650 millones de euros en Chihuahua, y “hoy Ford lo hace de la misma manera, con la </w:t>
      </w:r>
      <w:r w:rsidRPr="0062180C">
        <w:rPr>
          <w:rFonts w:eastAsia="Calibri"/>
          <w:sz w:val="26"/>
          <w:szCs w:val="26"/>
          <w:lang w:eastAsia="en-US"/>
        </w:rPr>
        <w:lastRenderedPageBreak/>
        <w:t>confianza y el impulso que su Gobierno ha dado para poder concretar estas inversiones”.</w:t>
      </w:r>
    </w:p>
    <w:p w14:paraId="4B824C9D"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Informó que la ampliación de la actividad de Ford en Chihuahua, mediante la construcción de una nueva planta en 30 hectáreas, convertirá a la entidad en el mayor productor de motores, para consolidar su infraestructura y los servicios, en donde se abre un campo enorme de oportunidad.</w:t>
      </w:r>
    </w:p>
    <w:p w14:paraId="60C210CE" w14:textId="77777777" w:rsidR="0062180C" w:rsidRPr="0062180C" w:rsidRDefault="0062180C" w:rsidP="003518F4">
      <w:pPr>
        <w:numPr>
          <w:ilvl w:val="0"/>
          <w:numId w:val="142"/>
        </w:numPr>
        <w:spacing w:after="360" w:line="360" w:lineRule="auto"/>
        <w:ind w:left="357" w:right="-159" w:hanging="357"/>
        <w:jc w:val="both"/>
        <w:rPr>
          <w:rFonts w:eastAsia="Calibri"/>
          <w:b/>
          <w:sz w:val="26"/>
          <w:szCs w:val="26"/>
          <w:lang w:eastAsia="en-US"/>
        </w:rPr>
      </w:pPr>
      <w:r w:rsidRPr="0062180C">
        <w:rPr>
          <w:rFonts w:eastAsia="Calibri"/>
          <w:b/>
          <w:sz w:val="26"/>
          <w:szCs w:val="26"/>
          <w:lang w:eastAsia="en-US"/>
        </w:rPr>
        <w:t>México vive un auge automotriz</w:t>
      </w:r>
    </w:p>
    <w:p w14:paraId="100B8CA6" w14:textId="353A68BC"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El Gobernador de Guanajuato afirmó que “el boom automotriz que vivimos en México, que vivimos en Guanajuato, en Chihuahua, en la Región Bajío, se refleja en la llegada de 145 proyectos en los últimos tres años, y que han significado inversiones que superan los 7 mil millones de dólares (mdd) y la generación de más de 47 mil empleos en el sector automotriz”.</w:t>
      </w:r>
    </w:p>
    <w:p w14:paraId="261F7FAB"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Confió en que, con la inversión de Ford en Guanajuato y en Chihuahua, “vamos a apuntalar aún más la posición competitiva de México en el mundo en la producción automotriz”.</w:t>
      </w:r>
    </w:p>
    <w:p w14:paraId="217181EA"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Consideró que “con este nuevo anuncio, Guanajuato avanza a paso acelerado para convertirse en una zona automotriz estratégica para el éxito de Ford y de esta industria clave en nuestro país”.</w:t>
      </w:r>
    </w:p>
    <w:p w14:paraId="1A91A9BA"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Agregó que “estas inversiones no son obra de la casualidad. He de reconocer que es una estrategia de mediano y largo plazo iniciada desde hace aproximadamente 20 años y que hoy nos coloca como el clúster automotriz más dinámico de América Latina”.</w:t>
      </w:r>
    </w:p>
    <w:p w14:paraId="6129157E" w14:textId="77777777" w:rsidR="0062180C" w:rsidRPr="0062180C" w:rsidRDefault="0062180C" w:rsidP="0062180C">
      <w:pPr>
        <w:spacing w:after="360" w:line="360" w:lineRule="auto"/>
        <w:ind w:right="-159"/>
        <w:jc w:val="both"/>
        <w:rPr>
          <w:rFonts w:eastAsia="Calibri"/>
          <w:sz w:val="26"/>
          <w:szCs w:val="26"/>
          <w:lang w:eastAsia="en-US"/>
        </w:rPr>
      </w:pPr>
      <w:r w:rsidRPr="0062180C">
        <w:rPr>
          <w:rFonts w:eastAsia="Calibri"/>
          <w:sz w:val="26"/>
          <w:szCs w:val="26"/>
          <w:lang w:eastAsia="en-US"/>
        </w:rPr>
        <w:t>Aseguró que la industria automotriz “se consolida día a día como un importante motor de la economía de este país”, gracias a la suma de esfuerzos.</w:t>
      </w:r>
    </w:p>
    <w:p w14:paraId="002A6336" w14:textId="77777777" w:rsidR="0062180C" w:rsidRPr="0062180C" w:rsidRDefault="0062180C" w:rsidP="0062180C">
      <w:pPr>
        <w:ind w:right="-159"/>
        <w:jc w:val="both"/>
        <w:rPr>
          <w:rFonts w:eastAsia="Calibri"/>
          <w:sz w:val="20"/>
          <w:szCs w:val="20"/>
          <w:lang w:eastAsia="en-US"/>
        </w:rPr>
      </w:pPr>
      <w:r w:rsidRPr="0062180C">
        <w:rPr>
          <w:rFonts w:eastAsia="Calibri"/>
          <w:b/>
          <w:sz w:val="20"/>
          <w:szCs w:val="20"/>
          <w:lang w:eastAsia="en-US"/>
        </w:rPr>
        <w:lastRenderedPageBreak/>
        <w:t>Fuente de información</w:t>
      </w:r>
      <w:r w:rsidRPr="0062180C">
        <w:rPr>
          <w:rFonts w:eastAsia="Calibri"/>
          <w:sz w:val="20"/>
          <w:szCs w:val="20"/>
          <w:lang w:eastAsia="en-US"/>
        </w:rPr>
        <w:t>:</w:t>
      </w:r>
    </w:p>
    <w:p w14:paraId="752CB953" w14:textId="77777777" w:rsidR="0062180C" w:rsidRPr="004337CD" w:rsidRDefault="0045651A" w:rsidP="0062180C">
      <w:pPr>
        <w:ind w:right="-159"/>
        <w:jc w:val="both"/>
        <w:rPr>
          <w:rFonts w:eastAsia="Calibri"/>
          <w:color w:val="0000FF"/>
          <w:sz w:val="20"/>
          <w:szCs w:val="20"/>
          <w:u w:val="single"/>
          <w:lang w:eastAsia="en-US"/>
        </w:rPr>
      </w:pPr>
      <w:hyperlink r:id="rId147" w:history="1">
        <w:r w:rsidR="0062180C" w:rsidRPr="004337CD">
          <w:rPr>
            <w:rFonts w:eastAsia="Calibri"/>
            <w:color w:val="0000FF"/>
            <w:sz w:val="20"/>
            <w:szCs w:val="20"/>
            <w:u w:val="single"/>
            <w:lang w:eastAsia="en-US"/>
          </w:rPr>
          <w:t>http://www.presidencia.gob.mx/articulos-prensa/mexico-es-ya-una-potencia-mundial-en-el-sector-automotriz-enrique-pena-nieto/</w:t>
        </w:r>
      </w:hyperlink>
    </w:p>
    <w:p w14:paraId="4FCE9386" w14:textId="77777777" w:rsidR="0062180C" w:rsidRPr="004337CD" w:rsidRDefault="0062180C" w:rsidP="0062180C">
      <w:pPr>
        <w:ind w:right="-159"/>
        <w:jc w:val="both"/>
        <w:rPr>
          <w:rFonts w:eastAsia="Calibri"/>
          <w:sz w:val="20"/>
          <w:szCs w:val="20"/>
          <w:lang w:eastAsia="en-US"/>
        </w:rPr>
      </w:pPr>
      <w:r w:rsidRPr="004337CD">
        <w:rPr>
          <w:rFonts w:eastAsia="Calibri"/>
          <w:sz w:val="20"/>
          <w:szCs w:val="20"/>
          <w:lang w:eastAsia="en-US"/>
        </w:rPr>
        <w:t>Para tener acceso a información adicional visite:</w:t>
      </w:r>
    </w:p>
    <w:p w14:paraId="42FE52F9" w14:textId="77777777" w:rsidR="0062180C" w:rsidRPr="004337CD" w:rsidRDefault="0062180C" w:rsidP="0062180C">
      <w:pPr>
        <w:ind w:right="-159"/>
        <w:jc w:val="both"/>
        <w:rPr>
          <w:rFonts w:eastAsia="Calibri"/>
          <w:color w:val="0000FF"/>
          <w:sz w:val="20"/>
          <w:szCs w:val="20"/>
          <w:u w:val="single"/>
          <w:lang w:eastAsia="en-US"/>
        </w:rPr>
      </w:pPr>
      <w:r w:rsidRPr="004337CD">
        <w:rPr>
          <w:rFonts w:eastAsia="Calibri"/>
          <w:color w:val="0000FF"/>
          <w:sz w:val="20"/>
          <w:szCs w:val="20"/>
          <w:u w:val="single"/>
          <w:lang w:eastAsia="en-US"/>
        </w:rPr>
        <w:t>https://media.ford.com/content/fordmedia/fna/us/en/news/2015/04/17/ford-announces-2-5-billion-usd-investment.html</w:t>
      </w:r>
    </w:p>
    <w:p w14:paraId="31C1E563" w14:textId="77777777" w:rsidR="0062180C" w:rsidRPr="004337CD" w:rsidRDefault="0045651A" w:rsidP="0062180C">
      <w:pPr>
        <w:ind w:right="-159"/>
        <w:jc w:val="both"/>
        <w:rPr>
          <w:rFonts w:eastAsia="Calibri"/>
          <w:color w:val="0000FF"/>
          <w:sz w:val="20"/>
          <w:szCs w:val="20"/>
          <w:u w:val="single"/>
          <w:lang w:eastAsia="en-US"/>
        </w:rPr>
      </w:pPr>
      <w:hyperlink r:id="rId148" w:history="1">
        <w:r w:rsidR="0062180C" w:rsidRPr="004337CD">
          <w:rPr>
            <w:rFonts w:eastAsia="Calibri"/>
            <w:color w:val="0000FF"/>
            <w:sz w:val="20"/>
            <w:szCs w:val="20"/>
            <w:u w:val="single"/>
            <w:lang w:eastAsia="en-US"/>
          </w:rPr>
          <w:t>http://www.presidencia.gob.mx/articulos-prensa/diversas-intervenciones-durante-el-anuncio-de-inversion-de-los-proyectos-de-motores-y-transmisiones-de-ford-motor-company/</w:t>
        </w:r>
      </w:hyperlink>
      <w:r w:rsidR="0062180C" w:rsidRPr="004337CD">
        <w:rPr>
          <w:rFonts w:eastAsia="Calibri"/>
          <w:color w:val="0000FF"/>
          <w:sz w:val="20"/>
          <w:szCs w:val="20"/>
          <w:u w:val="single"/>
          <w:lang w:eastAsia="en-US"/>
        </w:rPr>
        <w:t xml:space="preserve"> </w:t>
      </w:r>
    </w:p>
    <w:p w14:paraId="7689D304" w14:textId="77777777" w:rsidR="0062180C" w:rsidRPr="004337CD" w:rsidRDefault="0045651A" w:rsidP="004337CD">
      <w:pPr>
        <w:spacing w:after="720"/>
        <w:ind w:right="-159"/>
        <w:jc w:val="both"/>
        <w:rPr>
          <w:rFonts w:eastAsia="Calibri"/>
          <w:color w:val="0000FF"/>
          <w:sz w:val="20"/>
          <w:szCs w:val="20"/>
          <w:u w:val="single"/>
          <w:lang w:eastAsia="en-US"/>
        </w:rPr>
      </w:pPr>
      <w:hyperlink r:id="rId149" w:history="1">
        <w:r w:rsidR="0062180C" w:rsidRPr="004337CD">
          <w:rPr>
            <w:rFonts w:eastAsia="Calibri"/>
            <w:color w:val="0000FF"/>
            <w:sz w:val="20"/>
            <w:szCs w:val="20"/>
            <w:u w:val="single"/>
            <w:lang w:eastAsia="en-US"/>
          </w:rPr>
          <w:t>http://www.presidencia.gob.mx/articulos-prensa/las-inversiones-en-mexico-reafirman-la-confianza-que-hay-en-nuestro-pais-enrique-pena-nieto/</w:t>
        </w:r>
      </w:hyperlink>
      <w:r w:rsidR="0062180C" w:rsidRPr="004337CD">
        <w:rPr>
          <w:rFonts w:eastAsia="Calibri"/>
          <w:color w:val="0000FF"/>
          <w:sz w:val="20"/>
          <w:szCs w:val="20"/>
          <w:u w:val="single"/>
          <w:lang w:eastAsia="en-US"/>
        </w:rPr>
        <w:t xml:space="preserve"> </w:t>
      </w:r>
    </w:p>
    <w:p w14:paraId="18B397F1" w14:textId="702C752F" w:rsidR="003958FD" w:rsidRPr="003958FD" w:rsidRDefault="003958FD" w:rsidP="003958FD">
      <w:pPr>
        <w:ind w:right="-159"/>
        <w:jc w:val="both"/>
        <w:rPr>
          <w:rFonts w:eastAsia="Times New Roman"/>
          <w:b/>
          <w:bCs/>
          <w:sz w:val="26"/>
          <w:szCs w:val="26"/>
          <w:lang w:val="es-ES"/>
        </w:rPr>
      </w:pPr>
      <w:r w:rsidRPr="003958FD">
        <w:rPr>
          <w:rFonts w:eastAsia="Times New Roman"/>
          <w:b/>
          <w:bCs/>
          <w:sz w:val="26"/>
          <w:szCs w:val="26"/>
          <w:lang w:val="es-ES"/>
        </w:rPr>
        <w:t>Informe de las ventas del sector automotriz,</w:t>
      </w:r>
    </w:p>
    <w:p w14:paraId="3CD8AE6D" w14:textId="557A8C2A" w:rsidR="003958FD" w:rsidRPr="003958FD" w:rsidRDefault="003958FD" w:rsidP="003958FD">
      <w:pPr>
        <w:spacing w:after="360" w:line="360" w:lineRule="auto"/>
        <w:ind w:right="-159"/>
        <w:jc w:val="both"/>
        <w:rPr>
          <w:rFonts w:eastAsia="Times New Roman"/>
          <w:b/>
          <w:bCs/>
          <w:sz w:val="26"/>
          <w:szCs w:val="26"/>
        </w:rPr>
      </w:pPr>
      <w:r w:rsidRPr="003958FD">
        <w:rPr>
          <w:rFonts w:eastAsia="Times New Roman"/>
          <w:b/>
          <w:bCs/>
          <w:sz w:val="26"/>
          <w:szCs w:val="26"/>
          <w:lang w:val="es-ES"/>
        </w:rPr>
        <w:t xml:space="preserve">cifras </w:t>
      </w:r>
      <w:r w:rsidR="0085792A">
        <w:rPr>
          <w:rFonts w:eastAsia="Times New Roman"/>
          <w:b/>
          <w:bCs/>
          <w:sz w:val="26"/>
          <w:szCs w:val="26"/>
          <w:lang w:val="es-ES"/>
        </w:rPr>
        <w:t xml:space="preserve"> </w:t>
      </w:r>
      <w:r w:rsidRPr="003958FD">
        <w:rPr>
          <w:rFonts w:eastAsia="Times New Roman"/>
          <w:b/>
          <w:bCs/>
          <w:sz w:val="26"/>
          <w:szCs w:val="26"/>
          <w:lang w:val="es-ES"/>
        </w:rPr>
        <w:t xml:space="preserve">de </w:t>
      </w:r>
      <w:r w:rsidR="0085792A">
        <w:rPr>
          <w:rFonts w:eastAsia="Times New Roman"/>
          <w:b/>
          <w:bCs/>
          <w:sz w:val="26"/>
          <w:szCs w:val="26"/>
          <w:lang w:val="es-ES"/>
        </w:rPr>
        <w:t xml:space="preserve"> marzo</w:t>
      </w:r>
      <w:r w:rsidRPr="003958FD">
        <w:rPr>
          <w:rFonts w:eastAsia="Times New Roman"/>
          <w:b/>
          <w:bCs/>
          <w:sz w:val="26"/>
          <w:szCs w:val="26"/>
          <w:lang w:val="es-ES"/>
        </w:rPr>
        <w:t xml:space="preserve"> y acumulado</w:t>
      </w:r>
      <w:r w:rsidRPr="003958FD">
        <w:rPr>
          <w:rFonts w:eastAsia="Times New Roman"/>
          <w:b/>
          <w:bCs/>
          <w:sz w:val="26"/>
          <w:szCs w:val="26"/>
        </w:rPr>
        <w:t xml:space="preserve"> 2015 (</w:t>
      </w:r>
      <w:r w:rsidRPr="003958FD">
        <w:rPr>
          <w:rFonts w:eastAsia="Times New Roman"/>
          <w:b/>
          <w:sz w:val="26"/>
          <w:szCs w:val="26"/>
        </w:rPr>
        <w:t>AMIA)</w:t>
      </w:r>
    </w:p>
    <w:p w14:paraId="672B1D49" w14:textId="500DDA9C"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 xml:space="preserve">El 8 de abril de 2015, la Asociación Mexicana de la Industria Automotriz (AMIA), A.C. publicó información correspondiente a marzo y primer trimestre de </w:t>
      </w:r>
      <w:r w:rsidRPr="0085792A">
        <w:rPr>
          <w:rFonts w:eastAsia="Times New Roman"/>
          <w:bCs/>
          <w:sz w:val="26"/>
          <w:szCs w:val="26"/>
        </w:rPr>
        <w:t>2015</w:t>
      </w:r>
      <w:r w:rsidRPr="0085792A">
        <w:rPr>
          <w:rFonts w:eastAsia="Times New Roman"/>
          <w:sz w:val="26"/>
          <w:szCs w:val="26"/>
          <w:lang w:val="es-ES"/>
        </w:rPr>
        <w:t>, sobre las ventas del sector automotriz. Los aspectos más sobresalientes son:</w:t>
      </w:r>
    </w:p>
    <w:p w14:paraId="7C0F6D95" w14:textId="77777777" w:rsidR="0085792A" w:rsidRPr="0085792A" w:rsidRDefault="0085792A" w:rsidP="002D3902">
      <w:pPr>
        <w:numPr>
          <w:ilvl w:val="0"/>
          <w:numId w:val="75"/>
        </w:numPr>
        <w:spacing w:after="360" w:line="360" w:lineRule="auto"/>
        <w:ind w:left="641" w:hanging="357"/>
        <w:jc w:val="both"/>
        <w:rPr>
          <w:rFonts w:eastAsia="Times New Roman"/>
          <w:sz w:val="26"/>
          <w:szCs w:val="26"/>
          <w:lang w:val="es-ES"/>
        </w:rPr>
      </w:pPr>
      <w:r w:rsidRPr="0085792A">
        <w:rPr>
          <w:rFonts w:eastAsia="Times New Roman"/>
          <w:sz w:val="26"/>
          <w:szCs w:val="26"/>
          <w:lang w:val="es-ES"/>
        </w:rPr>
        <w:t>En marzo 2015 se comercializaron 104 mil 902 vehículos ligeros, la cifra más alta para un mismo mes, 22.4% por arriba de lo registrado en 2014.</w:t>
      </w:r>
    </w:p>
    <w:p w14:paraId="76EBD4D4" w14:textId="77777777" w:rsidR="0085792A" w:rsidRPr="0085792A" w:rsidRDefault="0085792A" w:rsidP="002D3902">
      <w:pPr>
        <w:numPr>
          <w:ilvl w:val="0"/>
          <w:numId w:val="75"/>
        </w:numPr>
        <w:spacing w:after="360" w:line="360" w:lineRule="auto"/>
        <w:ind w:left="568" w:hanging="284"/>
        <w:jc w:val="both"/>
        <w:rPr>
          <w:rFonts w:eastAsia="Times New Roman"/>
          <w:sz w:val="26"/>
          <w:szCs w:val="26"/>
          <w:lang w:val="es-ES"/>
        </w:rPr>
      </w:pPr>
      <w:r w:rsidRPr="0085792A">
        <w:rPr>
          <w:rFonts w:eastAsia="Times New Roman"/>
          <w:sz w:val="26"/>
          <w:szCs w:val="26"/>
          <w:lang w:val="es-ES"/>
        </w:rPr>
        <w:t>La producción de vehículos ligeros registró cifras récord con 299 mil 809 unidades, 8.1% más que el mismo mes de 2014.</w:t>
      </w:r>
    </w:p>
    <w:p w14:paraId="5050B1D7" w14:textId="77777777" w:rsidR="0085792A" w:rsidRPr="0085792A" w:rsidRDefault="0085792A" w:rsidP="002D3902">
      <w:pPr>
        <w:numPr>
          <w:ilvl w:val="0"/>
          <w:numId w:val="75"/>
        </w:numPr>
        <w:spacing w:after="360" w:line="360" w:lineRule="auto"/>
        <w:ind w:left="568" w:hanging="284"/>
        <w:jc w:val="both"/>
        <w:rPr>
          <w:rFonts w:eastAsia="Times New Roman"/>
          <w:sz w:val="26"/>
          <w:szCs w:val="26"/>
          <w:lang w:val="es-ES"/>
        </w:rPr>
      </w:pPr>
      <w:r w:rsidRPr="0085792A">
        <w:rPr>
          <w:rFonts w:eastAsia="Times New Roman"/>
          <w:sz w:val="26"/>
          <w:szCs w:val="26"/>
          <w:lang w:val="es-ES"/>
        </w:rPr>
        <w:t>En exportación de vehículos ligeros se registró un crecimiento de 13.2%, para un total de 261 mil 256 vehículos exportados.</w:t>
      </w:r>
    </w:p>
    <w:p w14:paraId="42C36371" w14:textId="77777777" w:rsidR="0085792A" w:rsidRDefault="0085792A" w:rsidP="002D3902">
      <w:pPr>
        <w:numPr>
          <w:ilvl w:val="0"/>
          <w:numId w:val="75"/>
        </w:numPr>
        <w:spacing w:after="360" w:line="360" w:lineRule="auto"/>
        <w:ind w:left="568" w:hanging="284"/>
        <w:jc w:val="both"/>
        <w:rPr>
          <w:rFonts w:eastAsia="Times New Roman"/>
          <w:sz w:val="26"/>
          <w:szCs w:val="26"/>
          <w:lang w:val="es-ES"/>
        </w:rPr>
      </w:pPr>
      <w:r w:rsidRPr="0085792A">
        <w:rPr>
          <w:rFonts w:eastAsia="Times New Roman"/>
          <w:sz w:val="26"/>
          <w:szCs w:val="26"/>
          <w:lang w:val="es-ES"/>
        </w:rPr>
        <w:t>En Estados Unidos de Norteamérica se vendieron 3 millones 936 mil 996 vehículos ligeros en el primer trimestre de 2015, 5.6% más que la venta del mismo período de 2014.</w:t>
      </w:r>
    </w:p>
    <w:p w14:paraId="37C184DD" w14:textId="77777777" w:rsidR="004337CD" w:rsidRDefault="004337CD" w:rsidP="004337CD">
      <w:pPr>
        <w:spacing w:after="360" w:line="360" w:lineRule="auto"/>
        <w:ind w:left="568"/>
        <w:jc w:val="both"/>
        <w:rPr>
          <w:rFonts w:eastAsia="Times New Roman"/>
          <w:sz w:val="26"/>
          <w:szCs w:val="26"/>
          <w:lang w:val="es-ES"/>
        </w:rPr>
      </w:pPr>
    </w:p>
    <w:p w14:paraId="1612E502" w14:textId="77777777" w:rsidR="004337CD" w:rsidRDefault="004337CD" w:rsidP="004337CD">
      <w:pPr>
        <w:spacing w:after="360" w:line="360" w:lineRule="auto"/>
        <w:ind w:left="568"/>
        <w:jc w:val="both"/>
        <w:rPr>
          <w:rFonts w:eastAsia="Times New Roman"/>
          <w:sz w:val="26"/>
          <w:szCs w:val="26"/>
          <w:lang w:val="es-ES"/>
        </w:rPr>
      </w:pPr>
    </w:p>
    <w:tbl>
      <w:tblPr>
        <w:tblW w:w="75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400"/>
        <w:gridCol w:w="1752"/>
        <w:gridCol w:w="1701"/>
        <w:gridCol w:w="1729"/>
      </w:tblGrid>
      <w:tr w:rsidR="0085792A" w:rsidRPr="0085792A" w14:paraId="67619452" w14:textId="77777777" w:rsidTr="00AC0335">
        <w:trPr>
          <w:trHeight w:val="227"/>
          <w:jc w:val="center"/>
        </w:trPr>
        <w:tc>
          <w:tcPr>
            <w:tcW w:w="7582" w:type="dxa"/>
            <w:gridSpan w:val="4"/>
            <w:tcBorders>
              <w:top w:val="nil"/>
              <w:left w:val="nil"/>
              <w:right w:val="nil"/>
            </w:tcBorders>
            <w:shd w:val="clear" w:color="auto" w:fill="auto"/>
            <w:noWrap/>
          </w:tcPr>
          <w:p w14:paraId="5CCAB3D3" w14:textId="77777777" w:rsidR="0085792A" w:rsidRPr="0085792A" w:rsidRDefault="0085792A" w:rsidP="0085792A">
            <w:pPr>
              <w:ind w:left="720"/>
              <w:contextualSpacing/>
              <w:jc w:val="center"/>
              <w:rPr>
                <w:rFonts w:eastAsia="Times New Roman"/>
                <w:b/>
                <w:bCs/>
                <w:sz w:val="22"/>
                <w:szCs w:val="22"/>
                <w:lang w:val="es-ES"/>
              </w:rPr>
            </w:pPr>
            <w:r w:rsidRPr="0085792A">
              <w:rPr>
                <w:rFonts w:eastAsia="Times New Roman"/>
                <w:b/>
                <w:bCs/>
                <w:sz w:val="22"/>
                <w:szCs w:val="22"/>
                <w:lang w:val="es-ES"/>
              </w:rPr>
              <w:lastRenderedPageBreak/>
              <w:t>CIFRAS DE MARZO Y PRIMER TRIMESTRE 2015</w:t>
            </w:r>
          </w:p>
        </w:tc>
      </w:tr>
      <w:tr w:rsidR="0085792A" w:rsidRPr="0085792A" w14:paraId="70F02CA4" w14:textId="77777777" w:rsidTr="00AC0335">
        <w:trPr>
          <w:trHeight w:val="227"/>
          <w:jc w:val="center"/>
        </w:trPr>
        <w:tc>
          <w:tcPr>
            <w:tcW w:w="2400" w:type="dxa"/>
            <w:tcBorders>
              <w:bottom w:val="single" w:sz="6" w:space="0" w:color="000000"/>
            </w:tcBorders>
            <w:shd w:val="clear" w:color="auto" w:fill="auto"/>
            <w:noWrap/>
            <w:vAlign w:val="center"/>
          </w:tcPr>
          <w:p w14:paraId="2583F27F"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Período</w:t>
            </w:r>
          </w:p>
        </w:tc>
        <w:tc>
          <w:tcPr>
            <w:tcW w:w="1752" w:type="dxa"/>
            <w:tcBorders>
              <w:bottom w:val="single" w:sz="6" w:space="0" w:color="000000"/>
            </w:tcBorders>
            <w:shd w:val="clear" w:color="auto" w:fill="auto"/>
            <w:noWrap/>
            <w:vAlign w:val="center"/>
          </w:tcPr>
          <w:p w14:paraId="51FAAA68"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bCs/>
                <w:sz w:val="18"/>
                <w:szCs w:val="18"/>
                <w:lang w:val="es-ES"/>
              </w:rPr>
              <w:t>Producción total</w:t>
            </w:r>
          </w:p>
        </w:tc>
        <w:tc>
          <w:tcPr>
            <w:tcW w:w="1701" w:type="dxa"/>
            <w:tcBorders>
              <w:bottom w:val="single" w:sz="6" w:space="0" w:color="000000"/>
            </w:tcBorders>
            <w:shd w:val="clear" w:color="auto" w:fill="auto"/>
            <w:noWrap/>
            <w:vAlign w:val="center"/>
          </w:tcPr>
          <w:p w14:paraId="1868416F"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bCs/>
                <w:sz w:val="18"/>
                <w:szCs w:val="18"/>
                <w:lang w:val="es-ES"/>
              </w:rPr>
              <w:t>Exportación</w:t>
            </w:r>
          </w:p>
        </w:tc>
        <w:tc>
          <w:tcPr>
            <w:tcW w:w="1729" w:type="dxa"/>
            <w:tcBorders>
              <w:bottom w:val="single" w:sz="6" w:space="0" w:color="000000"/>
            </w:tcBorders>
            <w:shd w:val="clear" w:color="auto" w:fill="auto"/>
            <w:noWrap/>
            <w:vAlign w:val="center"/>
          </w:tcPr>
          <w:p w14:paraId="72A2F725"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bCs/>
                <w:sz w:val="18"/>
                <w:szCs w:val="18"/>
                <w:lang w:val="es-ES"/>
              </w:rPr>
              <w:t>Venta al público</w:t>
            </w:r>
          </w:p>
        </w:tc>
      </w:tr>
      <w:tr w:rsidR="0085792A" w:rsidRPr="0085792A" w14:paraId="2984276E" w14:textId="77777777" w:rsidTr="00AC0335">
        <w:trPr>
          <w:trHeight w:val="227"/>
          <w:jc w:val="center"/>
        </w:trPr>
        <w:tc>
          <w:tcPr>
            <w:tcW w:w="2400" w:type="dxa"/>
            <w:tcBorders>
              <w:bottom w:val="nil"/>
            </w:tcBorders>
            <w:shd w:val="clear" w:color="auto" w:fill="auto"/>
            <w:noWrap/>
            <w:vAlign w:val="center"/>
          </w:tcPr>
          <w:p w14:paraId="48ED867D"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Marzo 2015</w:t>
            </w:r>
          </w:p>
        </w:tc>
        <w:tc>
          <w:tcPr>
            <w:tcW w:w="1752" w:type="dxa"/>
            <w:tcBorders>
              <w:bottom w:val="nil"/>
            </w:tcBorders>
            <w:shd w:val="clear" w:color="auto" w:fill="auto"/>
            <w:noWrap/>
            <w:vAlign w:val="center"/>
          </w:tcPr>
          <w:p w14:paraId="5B4D4D70"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299 809</w:t>
            </w:r>
          </w:p>
        </w:tc>
        <w:tc>
          <w:tcPr>
            <w:tcW w:w="1701" w:type="dxa"/>
            <w:tcBorders>
              <w:bottom w:val="nil"/>
            </w:tcBorders>
            <w:shd w:val="clear" w:color="auto" w:fill="auto"/>
            <w:noWrap/>
            <w:vAlign w:val="center"/>
          </w:tcPr>
          <w:p w14:paraId="3FA0AE55"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261 256</w:t>
            </w:r>
          </w:p>
        </w:tc>
        <w:tc>
          <w:tcPr>
            <w:tcW w:w="1729" w:type="dxa"/>
            <w:tcBorders>
              <w:bottom w:val="nil"/>
            </w:tcBorders>
            <w:shd w:val="clear" w:color="auto" w:fill="auto"/>
            <w:noWrap/>
            <w:vAlign w:val="center"/>
          </w:tcPr>
          <w:p w14:paraId="124CDB42"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104 902</w:t>
            </w:r>
          </w:p>
        </w:tc>
      </w:tr>
      <w:tr w:rsidR="0085792A" w:rsidRPr="0085792A" w14:paraId="1CFA242E" w14:textId="77777777" w:rsidTr="00AC0335">
        <w:trPr>
          <w:trHeight w:val="227"/>
          <w:jc w:val="center"/>
        </w:trPr>
        <w:tc>
          <w:tcPr>
            <w:tcW w:w="2400" w:type="dxa"/>
            <w:tcBorders>
              <w:top w:val="nil"/>
              <w:bottom w:val="nil"/>
            </w:tcBorders>
            <w:shd w:val="clear" w:color="auto" w:fill="auto"/>
            <w:noWrap/>
            <w:vAlign w:val="center"/>
          </w:tcPr>
          <w:p w14:paraId="4DE96021"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Marzo 2014</w:t>
            </w:r>
          </w:p>
        </w:tc>
        <w:tc>
          <w:tcPr>
            <w:tcW w:w="1752" w:type="dxa"/>
            <w:tcBorders>
              <w:top w:val="nil"/>
              <w:bottom w:val="nil"/>
            </w:tcBorders>
            <w:shd w:val="clear" w:color="auto" w:fill="auto"/>
            <w:noWrap/>
            <w:vAlign w:val="center"/>
          </w:tcPr>
          <w:p w14:paraId="0D19C289"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277 314</w:t>
            </w:r>
          </w:p>
        </w:tc>
        <w:tc>
          <w:tcPr>
            <w:tcW w:w="1701" w:type="dxa"/>
            <w:tcBorders>
              <w:top w:val="nil"/>
              <w:bottom w:val="nil"/>
            </w:tcBorders>
            <w:shd w:val="clear" w:color="auto" w:fill="auto"/>
            <w:noWrap/>
            <w:vAlign w:val="center"/>
          </w:tcPr>
          <w:p w14:paraId="3048AE81"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230 772</w:t>
            </w:r>
          </w:p>
        </w:tc>
        <w:tc>
          <w:tcPr>
            <w:tcW w:w="1729" w:type="dxa"/>
            <w:tcBorders>
              <w:top w:val="nil"/>
              <w:bottom w:val="nil"/>
            </w:tcBorders>
            <w:shd w:val="clear" w:color="auto" w:fill="auto"/>
            <w:noWrap/>
            <w:vAlign w:val="center"/>
          </w:tcPr>
          <w:p w14:paraId="6F5B4F32"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85 682</w:t>
            </w:r>
          </w:p>
        </w:tc>
      </w:tr>
      <w:tr w:rsidR="0085792A" w:rsidRPr="0085792A" w14:paraId="197388DE" w14:textId="77777777" w:rsidTr="00AC0335">
        <w:trPr>
          <w:trHeight w:val="227"/>
          <w:jc w:val="center"/>
        </w:trPr>
        <w:tc>
          <w:tcPr>
            <w:tcW w:w="2400" w:type="dxa"/>
            <w:tcBorders>
              <w:top w:val="nil"/>
              <w:bottom w:val="nil"/>
            </w:tcBorders>
            <w:shd w:val="clear" w:color="auto" w:fill="auto"/>
            <w:noWrap/>
            <w:vAlign w:val="center"/>
          </w:tcPr>
          <w:p w14:paraId="434ACBA8"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Variación %</w:t>
            </w:r>
          </w:p>
        </w:tc>
        <w:tc>
          <w:tcPr>
            <w:tcW w:w="1752" w:type="dxa"/>
            <w:tcBorders>
              <w:top w:val="nil"/>
              <w:bottom w:val="nil"/>
            </w:tcBorders>
            <w:shd w:val="clear" w:color="auto" w:fill="auto"/>
            <w:noWrap/>
            <w:vAlign w:val="center"/>
          </w:tcPr>
          <w:p w14:paraId="2773C8CB"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8.1</w:t>
            </w:r>
          </w:p>
        </w:tc>
        <w:tc>
          <w:tcPr>
            <w:tcW w:w="1701" w:type="dxa"/>
            <w:tcBorders>
              <w:top w:val="nil"/>
              <w:bottom w:val="nil"/>
            </w:tcBorders>
            <w:shd w:val="clear" w:color="auto" w:fill="auto"/>
            <w:noWrap/>
            <w:vAlign w:val="center"/>
          </w:tcPr>
          <w:p w14:paraId="1FEAE8A4"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13.2</w:t>
            </w:r>
          </w:p>
        </w:tc>
        <w:tc>
          <w:tcPr>
            <w:tcW w:w="1729" w:type="dxa"/>
            <w:tcBorders>
              <w:top w:val="nil"/>
              <w:bottom w:val="nil"/>
            </w:tcBorders>
            <w:shd w:val="clear" w:color="auto" w:fill="auto"/>
            <w:noWrap/>
            <w:vAlign w:val="center"/>
          </w:tcPr>
          <w:p w14:paraId="11EBADB4"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22.4</w:t>
            </w:r>
          </w:p>
        </w:tc>
      </w:tr>
      <w:tr w:rsidR="0085792A" w:rsidRPr="0085792A" w14:paraId="70A3EAF1" w14:textId="77777777" w:rsidTr="00AC0335">
        <w:trPr>
          <w:trHeight w:val="227"/>
          <w:jc w:val="center"/>
        </w:trPr>
        <w:tc>
          <w:tcPr>
            <w:tcW w:w="2400" w:type="dxa"/>
            <w:tcBorders>
              <w:top w:val="nil"/>
              <w:bottom w:val="nil"/>
              <w:right w:val="single" w:sz="4" w:space="0" w:color="auto"/>
            </w:tcBorders>
            <w:shd w:val="clear" w:color="auto" w:fill="auto"/>
            <w:noWrap/>
            <w:vAlign w:val="center"/>
          </w:tcPr>
          <w:p w14:paraId="00566227"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Diferencia</w:t>
            </w:r>
          </w:p>
        </w:tc>
        <w:tc>
          <w:tcPr>
            <w:tcW w:w="1752" w:type="dxa"/>
            <w:tcBorders>
              <w:top w:val="nil"/>
              <w:left w:val="single" w:sz="4" w:space="0" w:color="auto"/>
              <w:bottom w:val="nil"/>
              <w:right w:val="single" w:sz="4" w:space="0" w:color="auto"/>
            </w:tcBorders>
            <w:shd w:val="clear" w:color="auto" w:fill="auto"/>
            <w:noWrap/>
            <w:vAlign w:val="center"/>
          </w:tcPr>
          <w:p w14:paraId="0D0019CF"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22 495</w:t>
            </w:r>
          </w:p>
        </w:tc>
        <w:tc>
          <w:tcPr>
            <w:tcW w:w="1701" w:type="dxa"/>
            <w:tcBorders>
              <w:top w:val="nil"/>
              <w:left w:val="single" w:sz="4" w:space="0" w:color="auto"/>
              <w:bottom w:val="nil"/>
              <w:right w:val="single" w:sz="4" w:space="0" w:color="auto"/>
            </w:tcBorders>
            <w:shd w:val="clear" w:color="auto" w:fill="auto"/>
            <w:noWrap/>
            <w:vAlign w:val="center"/>
          </w:tcPr>
          <w:p w14:paraId="57EAD10C"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30 484</w:t>
            </w:r>
          </w:p>
        </w:tc>
        <w:tc>
          <w:tcPr>
            <w:tcW w:w="1729" w:type="dxa"/>
            <w:tcBorders>
              <w:top w:val="nil"/>
              <w:left w:val="single" w:sz="4" w:space="0" w:color="auto"/>
              <w:bottom w:val="nil"/>
            </w:tcBorders>
            <w:shd w:val="clear" w:color="auto" w:fill="auto"/>
            <w:noWrap/>
            <w:vAlign w:val="center"/>
          </w:tcPr>
          <w:p w14:paraId="6662A013"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19 220</w:t>
            </w:r>
          </w:p>
        </w:tc>
      </w:tr>
      <w:tr w:rsidR="0085792A" w:rsidRPr="0085792A" w14:paraId="4B4051E3" w14:textId="77777777" w:rsidTr="00AC0335">
        <w:trPr>
          <w:trHeight w:val="227"/>
          <w:jc w:val="center"/>
        </w:trPr>
        <w:tc>
          <w:tcPr>
            <w:tcW w:w="2400" w:type="dxa"/>
            <w:tcBorders>
              <w:top w:val="nil"/>
              <w:bottom w:val="nil"/>
              <w:right w:val="single" w:sz="4" w:space="0" w:color="auto"/>
            </w:tcBorders>
            <w:shd w:val="clear" w:color="auto" w:fill="auto"/>
            <w:noWrap/>
            <w:vAlign w:val="center"/>
          </w:tcPr>
          <w:p w14:paraId="5B790AEC"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Enero-Marzo 2015</w:t>
            </w:r>
          </w:p>
        </w:tc>
        <w:tc>
          <w:tcPr>
            <w:tcW w:w="1752" w:type="dxa"/>
            <w:tcBorders>
              <w:top w:val="nil"/>
              <w:left w:val="single" w:sz="4" w:space="0" w:color="auto"/>
              <w:bottom w:val="nil"/>
              <w:right w:val="single" w:sz="4" w:space="0" w:color="auto"/>
            </w:tcBorders>
            <w:shd w:val="clear" w:color="auto" w:fill="auto"/>
            <w:noWrap/>
            <w:vAlign w:val="center"/>
          </w:tcPr>
          <w:p w14:paraId="4DA4E4D0"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849 089</w:t>
            </w:r>
          </w:p>
        </w:tc>
        <w:tc>
          <w:tcPr>
            <w:tcW w:w="1701" w:type="dxa"/>
            <w:tcBorders>
              <w:top w:val="nil"/>
              <w:left w:val="single" w:sz="4" w:space="0" w:color="auto"/>
              <w:bottom w:val="nil"/>
              <w:right w:val="single" w:sz="4" w:space="0" w:color="auto"/>
            </w:tcBorders>
            <w:shd w:val="clear" w:color="auto" w:fill="auto"/>
            <w:noWrap/>
            <w:vAlign w:val="center"/>
          </w:tcPr>
          <w:p w14:paraId="49EADAAD"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688 514</w:t>
            </w:r>
          </w:p>
        </w:tc>
        <w:tc>
          <w:tcPr>
            <w:tcW w:w="1729" w:type="dxa"/>
            <w:tcBorders>
              <w:top w:val="nil"/>
              <w:left w:val="single" w:sz="4" w:space="0" w:color="auto"/>
              <w:bottom w:val="nil"/>
            </w:tcBorders>
            <w:shd w:val="clear" w:color="auto" w:fill="auto"/>
            <w:noWrap/>
            <w:vAlign w:val="center"/>
          </w:tcPr>
          <w:p w14:paraId="51D3F3E4"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306 157</w:t>
            </w:r>
          </w:p>
        </w:tc>
      </w:tr>
      <w:tr w:rsidR="0085792A" w:rsidRPr="0085792A" w14:paraId="11D8277F" w14:textId="77777777" w:rsidTr="00AC0335">
        <w:trPr>
          <w:trHeight w:val="227"/>
          <w:jc w:val="center"/>
        </w:trPr>
        <w:tc>
          <w:tcPr>
            <w:tcW w:w="2400" w:type="dxa"/>
            <w:tcBorders>
              <w:top w:val="nil"/>
              <w:bottom w:val="nil"/>
              <w:right w:val="single" w:sz="4" w:space="0" w:color="auto"/>
            </w:tcBorders>
            <w:shd w:val="clear" w:color="auto" w:fill="auto"/>
            <w:noWrap/>
            <w:vAlign w:val="center"/>
          </w:tcPr>
          <w:p w14:paraId="7D92460E"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Enero-Marzo 2014</w:t>
            </w:r>
          </w:p>
        </w:tc>
        <w:tc>
          <w:tcPr>
            <w:tcW w:w="1752" w:type="dxa"/>
            <w:tcBorders>
              <w:top w:val="nil"/>
              <w:left w:val="single" w:sz="4" w:space="0" w:color="auto"/>
              <w:bottom w:val="nil"/>
              <w:right w:val="single" w:sz="4" w:space="0" w:color="auto"/>
            </w:tcBorders>
            <w:shd w:val="clear" w:color="auto" w:fill="auto"/>
            <w:noWrap/>
            <w:vAlign w:val="center"/>
          </w:tcPr>
          <w:p w14:paraId="6F968A0F"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774 731</w:t>
            </w:r>
          </w:p>
        </w:tc>
        <w:tc>
          <w:tcPr>
            <w:tcW w:w="1701" w:type="dxa"/>
            <w:tcBorders>
              <w:top w:val="nil"/>
              <w:left w:val="single" w:sz="4" w:space="0" w:color="auto"/>
              <w:bottom w:val="nil"/>
              <w:right w:val="single" w:sz="4" w:space="0" w:color="auto"/>
            </w:tcBorders>
            <w:shd w:val="clear" w:color="auto" w:fill="auto"/>
            <w:noWrap/>
            <w:vAlign w:val="center"/>
          </w:tcPr>
          <w:p w14:paraId="7D3B4EC4"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606 204</w:t>
            </w:r>
          </w:p>
        </w:tc>
        <w:tc>
          <w:tcPr>
            <w:tcW w:w="1729" w:type="dxa"/>
            <w:tcBorders>
              <w:top w:val="nil"/>
              <w:left w:val="single" w:sz="4" w:space="0" w:color="auto"/>
              <w:bottom w:val="nil"/>
            </w:tcBorders>
            <w:shd w:val="clear" w:color="auto" w:fill="auto"/>
            <w:noWrap/>
            <w:vAlign w:val="center"/>
          </w:tcPr>
          <w:p w14:paraId="6749B601"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251 124</w:t>
            </w:r>
          </w:p>
        </w:tc>
      </w:tr>
      <w:tr w:rsidR="0085792A" w:rsidRPr="0085792A" w14:paraId="657E839E" w14:textId="77777777" w:rsidTr="00AC0335">
        <w:trPr>
          <w:trHeight w:val="227"/>
          <w:jc w:val="center"/>
        </w:trPr>
        <w:tc>
          <w:tcPr>
            <w:tcW w:w="2400" w:type="dxa"/>
            <w:tcBorders>
              <w:top w:val="nil"/>
              <w:bottom w:val="nil"/>
              <w:right w:val="single" w:sz="4" w:space="0" w:color="auto"/>
            </w:tcBorders>
            <w:shd w:val="clear" w:color="auto" w:fill="auto"/>
            <w:noWrap/>
            <w:vAlign w:val="center"/>
          </w:tcPr>
          <w:p w14:paraId="2C6FF287"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Variación %</w:t>
            </w:r>
          </w:p>
        </w:tc>
        <w:tc>
          <w:tcPr>
            <w:tcW w:w="1752" w:type="dxa"/>
            <w:tcBorders>
              <w:top w:val="nil"/>
              <w:left w:val="single" w:sz="4" w:space="0" w:color="auto"/>
              <w:bottom w:val="nil"/>
              <w:right w:val="single" w:sz="4" w:space="0" w:color="auto"/>
            </w:tcBorders>
            <w:shd w:val="clear" w:color="auto" w:fill="auto"/>
            <w:noWrap/>
            <w:vAlign w:val="center"/>
          </w:tcPr>
          <w:p w14:paraId="5DB7F225"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9.6</w:t>
            </w:r>
          </w:p>
        </w:tc>
        <w:tc>
          <w:tcPr>
            <w:tcW w:w="1701" w:type="dxa"/>
            <w:tcBorders>
              <w:top w:val="nil"/>
              <w:left w:val="single" w:sz="4" w:space="0" w:color="auto"/>
              <w:bottom w:val="nil"/>
              <w:right w:val="single" w:sz="4" w:space="0" w:color="auto"/>
            </w:tcBorders>
            <w:shd w:val="clear" w:color="auto" w:fill="auto"/>
            <w:noWrap/>
            <w:vAlign w:val="center"/>
          </w:tcPr>
          <w:p w14:paraId="74D14BC2"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13.6</w:t>
            </w:r>
          </w:p>
        </w:tc>
        <w:tc>
          <w:tcPr>
            <w:tcW w:w="1729" w:type="dxa"/>
            <w:tcBorders>
              <w:top w:val="nil"/>
              <w:left w:val="single" w:sz="4" w:space="0" w:color="auto"/>
              <w:bottom w:val="nil"/>
            </w:tcBorders>
            <w:shd w:val="clear" w:color="auto" w:fill="auto"/>
            <w:noWrap/>
            <w:vAlign w:val="center"/>
          </w:tcPr>
          <w:p w14:paraId="1C5434E9" w14:textId="77777777" w:rsidR="0085792A" w:rsidRPr="0085792A" w:rsidRDefault="0085792A" w:rsidP="0085792A">
            <w:pPr>
              <w:spacing w:before="20" w:after="20"/>
              <w:ind w:right="397"/>
              <w:jc w:val="right"/>
              <w:rPr>
                <w:rFonts w:eastAsia="Times New Roman"/>
                <w:bCs/>
                <w:sz w:val="18"/>
                <w:szCs w:val="18"/>
                <w:lang w:val="es-ES"/>
              </w:rPr>
            </w:pPr>
            <w:r w:rsidRPr="0085792A">
              <w:rPr>
                <w:rFonts w:eastAsia="Times New Roman"/>
                <w:bCs/>
                <w:sz w:val="18"/>
                <w:szCs w:val="18"/>
                <w:lang w:val="es-ES"/>
              </w:rPr>
              <w:t>21.9</w:t>
            </w:r>
          </w:p>
        </w:tc>
      </w:tr>
      <w:tr w:rsidR="0085792A" w:rsidRPr="0085792A" w14:paraId="331869D5" w14:textId="77777777" w:rsidTr="00AC0335">
        <w:trPr>
          <w:trHeight w:val="227"/>
          <w:jc w:val="center"/>
        </w:trPr>
        <w:tc>
          <w:tcPr>
            <w:tcW w:w="2400" w:type="dxa"/>
            <w:tcBorders>
              <w:top w:val="nil"/>
              <w:bottom w:val="single" w:sz="6" w:space="0" w:color="000000"/>
              <w:right w:val="single" w:sz="4" w:space="0" w:color="auto"/>
            </w:tcBorders>
            <w:shd w:val="clear" w:color="auto" w:fill="auto"/>
            <w:noWrap/>
            <w:vAlign w:val="center"/>
          </w:tcPr>
          <w:p w14:paraId="418C2E59" w14:textId="77777777" w:rsidR="0085792A" w:rsidRPr="0085792A" w:rsidRDefault="0085792A" w:rsidP="0085792A">
            <w:pPr>
              <w:spacing w:before="20" w:after="20"/>
              <w:rPr>
                <w:rFonts w:eastAsia="Times New Roman"/>
                <w:bCs/>
                <w:sz w:val="18"/>
                <w:szCs w:val="18"/>
                <w:lang w:val="es-ES"/>
              </w:rPr>
            </w:pPr>
            <w:r w:rsidRPr="0085792A">
              <w:rPr>
                <w:rFonts w:eastAsia="Times New Roman"/>
                <w:bCs/>
                <w:sz w:val="18"/>
                <w:szCs w:val="18"/>
                <w:lang w:val="es-ES"/>
              </w:rPr>
              <w:t>Diferencia</w:t>
            </w:r>
          </w:p>
        </w:tc>
        <w:tc>
          <w:tcPr>
            <w:tcW w:w="1752" w:type="dxa"/>
            <w:tcBorders>
              <w:top w:val="nil"/>
              <w:left w:val="single" w:sz="4" w:space="0" w:color="auto"/>
              <w:bottom w:val="single" w:sz="6" w:space="0" w:color="000000"/>
              <w:right w:val="single" w:sz="4" w:space="0" w:color="auto"/>
            </w:tcBorders>
            <w:shd w:val="clear" w:color="auto" w:fill="auto"/>
            <w:noWrap/>
            <w:vAlign w:val="center"/>
          </w:tcPr>
          <w:p w14:paraId="39DAE007"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74 358</w:t>
            </w:r>
          </w:p>
        </w:tc>
        <w:tc>
          <w:tcPr>
            <w:tcW w:w="1701" w:type="dxa"/>
            <w:tcBorders>
              <w:top w:val="nil"/>
              <w:left w:val="single" w:sz="4" w:space="0" w:color="auto"/>
              <w:bottom w:val="single" w:sz="6" w:space="0" w:color="000000"/>
              <w:right w:val="single" w:sz="4" w:space="0" w:color="auto"/>
            </w:tcBorders>
            <w:shd w:val="clear" w:color="auto" w:fill="auto"/>
            <w:noWrap/>
            <w:vAlign w:val="center"/>
          </w:tcPr>
          <w:p w14:paraId="1CD14243"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82 310</w:t>
            </w:r>
          </w:p>
        </w:tc>
        <w:tc>
          <w:tcPr>
            <w:tcW w:w="1729" w:type="dxa"/>
            <w:tcBorders>
              <w:top w:val="nil"/>
              <w:left w:val="single" w:sz="4" w:space="0" w:color="auto"/>
              <w:bottom w:val="single" w:sz="6" w:space="0" w:color="000000"/>
            </w:tcBorders>
            <w:shd w:val="clear" w:color="auto" w:fill="auto"/>
            <w:noWrap/>
            <w:vAlign w:val="center"/>
          </w:tcPr>
          <w:p w14:paraId="22E7D663" w14:textId="77777777" w:rsidR="0085792A" w:rsidRPr="0085792A" w:rsidRDefault="0085792A" w:rsidP="0085792A">
            <w:pPr>
              <w:spacing w:before="20" w:after="20"/>
              <w:ind w:right="397"/>
              <w:jc w:val="right"/>
              <w:rPr>
                <w:rFonts w:eastAsia="Times New Roman"/>
                <w:sz w:val="18"/>
                <w:szCs w:val="18"/>
                <w:lang w:val="es-ES"/>
              </w:rPr>
            </w:pPr>
            <w:r w:rsidRPr="0085792A">
              <w:rPr>
                <w:rFonts w:eastAsia="Times New Roman"/>
                <w:sz w:val="18"/>
                <w:szCs w:val="18"/>
                <w:lang w:val="es-ES"/>
              </w:rPr>
              <w:t>55 033</w:t>
            </w:r>
          </w:p>
        </w:tc>
      </w:tr>
      <w:tr w:rsidR="0085792A" w:rsidRPr="0085792A" w14:paraId="1B31ED6A" w14:textId="77777777" w:rsidTr="00AC0335">
        <w:trPr>
          <w:trHeight w:val="227"/>
          <w:jc w:val="center"/>
        </w:trPr>
        <w:tc>
          <w:tcPr>
            <w:tcW w:w="7582" w:type="dxa"/>
            <w:gridSpan w:val="4"/>
            <w:tcBorders>
              <w:left w:val="nil"/>
              <w:bottom w:val="nil"/>
              <w:right w:val="nil"/>
            </w:tcBorders>
            <w:shd w:val="clear" w:color="auto" w:fill="auto"/>
            <w:noWrap/>
          </w:tcPr>
          <w:p w14:paraId="4AA0F05D" w14:textId="77777777" w:rsidR="0085792A" w:rsidRPr="0085792A" w:rsidRDefault="0085792A" w:rsidP="0085792A">
            <w:pPr>
              <w:ind w:right="340"/>
              <w:jc w:val="both"/>
              <w:rPr>
                <w:rFonts w:eastAsia="Times New Roman"/>
                <w:bCs/>
                <w:sz w:val="20"/>
                <w:szCs w:val="20"/>
                <w:lang w:val="es-ES"/>
              </w:rPr>
            </w:pPr>
            <w:r w:rsidRPr="0085792A">
              <w:rPr>
                <w:rFonts w:eastAsia="Times New Roman"/>
                <w:bCs/>
                <w:sz w:val="20"/>
                <w:szCs w:val="20"/>
                <w:lang w:val="es-ES"/>
              </w:rPr>
              <w:t>FUENTE: AMIA, A.C.</w:t>
            </w:r>
          </w:p>
        </w:tc>
      </w:tr>
    </w:tbl>
    <w:p w14:paraId="656DB5E0" w14:textId="77777777" w:rsidR="0085792A" w:rsidRPr="0085792A" w:rsidRDefault="0085792A" w:rsidP="0085792A">
      <w:pPr>
        <w:spacing w:after="360"/>
        <w:ind w:left="284"/>
        <w:jc w:val="both"/>
        <w:rPr>
          <w:rFonts w:eastAsia="Times New Roman"/>
          <w:sz w:val="26"/>
          <w:szCs w:val="26"/>
          <w:lang w:val="es-ES"/>
        </w:rPr>
      </w:pPr>
    </w:p>
    <w:p w14:paraId="3CE73F52" w14:textId="77777777" w:rsidR="0085792A" w:rsidRPr="0085792A" w:rsidRDefault="0085792A" w:rsidP="0085792A">
      <w:pPr>
        <w:spacing w:after="360" w:line="360" w:lineRule="auto"/>
        <w:ind w:right="-159"/>
        <w:jc w:val="both"/>
        <w:rPr>
          <w:rFonts w:eastAsia="Times New Roman"/>
          <w:i/>
          <w:sz w:val="26"/>
          <w:szCs w:val="26"/>
          <w:lang w:val="es-ES"/>
        </w:rPr>
      </w:pPr>
      <w:r w:rsidRPr="0085792A">
        <w:rPr>
          <w:rFonts w:eastAsia="Times New Roman"/>
          <w:b/>
          <w:sz w:val="26"/>
          <w:szCs w:val="26"/>
          <w:lang w:val="es-ES"/>
        </w:rPr>
        <w:t>Aumentan un 17% las inversiones en energías renovables en 2014</w:t>
      </w:r>
      <w:r w:rsidRPr="0085792A">
        <w:rPr>
          <w:rFonts w:eastAsia="Times New Roman"/>
          <w:sz w:val="26"/>
          <w:szCs w:val="26"/>
          <w:vertAlign w:val="superscript"/>
          <w:lang w:val="es-ES"/>
        </w:rPr>
        <w:footnoteReference w:id="16"/>
      </w:r>
      <w:r w:rsidRPr="0085792A">
        <w:rPr>
          <w:rFonts w:eastAsia="Times New Roman"/>
          <w:b/>
          <w:sz w:val="26"/>
          <w:szCs w:val="26"/>
          <w:lang w:val="es-ES"/>
        </w:rPr>
        <w:t>.</w:t>
      </w:r>
      <w:r w:rsidRPr="0085792A">
        <w:rPr>
          <w:rFonts w:eastAsia="Times New Roman"/>
          <w:sz w:val="26"/>
          <w:szCs w:val="26"/>
          <w:lang w:val="es-ES"/>
        </w:rPr>
        <w:t xml:space="preserve"> </w:t>
      </w:r>
      <w:r w:rsidRPr="00EA1874">
        <w:rPr>
          <w:rFonts w:eastAsia="Times New Roman"/>
          <w:sz w:val="26"/>
          <w:szCs w:val="26"/>
          <w:lang w:val="es-ES"/>
        </w:rPr>
        <w:t>La energía eólica y solar lideraron las inversiones en las fuentes renovables en 2014</w:t>
      </w:r>
      <w:r w:rsidRPr="0085792A">
        <w:rPr>
          <w:rFonts w:eastAsia="Times New Roman"/>
          <w:i/>
          <w:sz w:val="26"/>
          <w:szCs w:val="26"/>
          <w:lang w:val="es-ES"/>
        </w:rPr>
        <w:t>.</w:t>
      </w:r>
    </w:p>
    <w:p w14:paraId="0E750AAD" w14:textId="77777777"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El Programa de las Naciones Unidas para el Medio Ambiente (PNUMA) informó que la inversión mundial en energía renovable verde aumentó 17% en 2014, después de dos años de declive. La mayor expansión se produjo en los sectores de la energía solar en China y Japón, y la energía eólica en Europa. La cantidad invertida aumentó de 232 mil millones de dólares en 2013 a 270 mil millones el año pasado. El informe del PNUMA “Tendencias Globales Inversiones en Energías Renovables” explicó que el total fue de sólo el 3% por debajo del récord alcanzado de 279 mil millones de dólares en 2011.</w:t>
      </w:r>
    </w:p>
    <w:p w14:paraId="3B27592D" w14:textId="77777777"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Las nuevas capacidades instaladas en 2014 en el sector de energía renovable generaron 103 gigavatios (GW), en lo que constituye el mejor desempeño jamás registrado hasta el momento. El informe también dice que la electricidad producida por la energía eólica, la solar, la basura y la geotérmica representó el 9.1% de toda la energía generada en el mundo en 2014, más que el 8.5% del año anterior.</w:t>
      </w:r>
    </w:p>
    <w:p w14:paraId="6F94F461" w14:textId="05D5EC00"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 xml:space="preserve">Los países que más invirtieron en energía renovable en 2014 fueron China con 83 mil millones de dólares, Brasil e India con alrededor de 7 mil millones y Sudáfrica, con un </w:t>
      </w:r>
      <w:r w:rsidRPr="0085792A">
        <w:rPr>
          <w:rFonts w:eastAsia="Times New Roman"/>
          <w:sz w:val="26"/>
          <w:szCs w:val="26"/>
          <w:lang w:val="es-ES"/>
        </w:rPr>
        <w:lastRenderedPageBreak/>
        <w:t xml:space="preserve">poco menos. Indonesia, Chile, México, Kenia y Turquía recibieron inversiones por más de </w:t>
      </w:r>
      <w:r w:rsidR="00EA1874">
        <w:rPr>
          <w:rFonts w:eastAsia="Times New Roman"/>
          <w:sz w:val="26"/>
          <w:szCs w:val="26"/>
          <w:lang w:val="es-ES"/>
        </w:rPr>
        <w:t>un</w:t>
      </w:r>
      <w:r w:rsidRPr="0085792A">
        <w:rPr>
          <w:rFonts w:eastAsia="Times New Roman"/>
          <w:sz w:val="26"/>
          <w:szCs w:val="26"/>
          <w:lang w:val="es-ES"/>
        </w:rPr>
        <w:t xml:space="preserve"> mil millones de dólares.</w:t>
      </w:r>
    </w:p>
    <w:p w14:paraId="40700FB2" w14:textId="671F0868"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 xml:space="preserve">En comparación, el PNUMA dice que las inversiones en energías renovables en los países desarrollados aumentaron solo un 3%, llegando solo a 139 mil millones de dólares. El informe indica que desde 2004, el dinero invertido en la energía verde superó los </w:t>
      </w:r>
      <w:r w:rsidR="00EA1874">
        <w:rPr>
          <w:rFonts w:eastAsia="Times New Roman"/>
          <w:sz w:val="26"/>
          <w:szCs w:val="26"/>
          <w:lang w:val="es-ES"/>
        </w:rPr>
        <w:t>dos</w:t>
      </w:r>
      <w:r w:rsidRPr="0085792A">
        <w:rPr>
          <w:rFonts w:eastAsia="Times New Roman"/>
          <w:sz w:val="26"/>
          <w:szCs w:val="26"/>
          <w:lang w:val="es-ES"/>
        </w:rPr>
        <w:t xml:space="preserve"> billones de dólares.</w:t>
      </w:r>
    </w:p>
    <w:p w14:paraId="2616ED37" w14:textId="099F0DBE" w:rsidR="0085792A" w:rsidRPr="0085792A" w:rsidRDefault="0085792A" w:rsidP="0085792A">
      <w:pPr>
        <w:spacing w:after="360" w:line="360" w:lineRule="auto"/>
        <w:jc w:val="both"/>
        <w:rPr>
          <w:rFonts w:eastAsia="Times New Roman"/>
          <w:sz w:val="26"/>
          <w:szCs w:val="26"/>
          <w:lang w:val="es-ES"/>
        </w:rPr>
      </w:pPr>
      <w:r w:rsidRPr="0085792A">
        <w:rPr>
          <w:rFonts w:eastAsia="Times New Roman"/>
          <w:b/>
          <w:sz w:val="26"/>
          <w:szCs w:val="26"/>
          <w:lang w:val="es-ES"/>
        </w:rPr>
        <w:t>Expectativas de crecimiento en México</w:t>
      </w:r>
      <w:r w:rsidRPr="0085792A">
        <w:rPr>
          <w:rFonts w:eastAsia="Times New Roman"/>
          <w:sz w:val="26"/>
          <w:szCs w:val="26"/>
          <w:vertAlign w:val="superscript"/>
          <w:lang w:val="es-ES"/>
        </w:rPr>
        <w:footnoteReference w:id="17"/>
      </w:r>
      <w:r w:rsidR="00EA1874">
        <w:rPr>
          <w:rFonts w:eastAsia="Times New Roman"/>
          <w:b/>
          <w:sz w:val="26"/>
          <w:szCs w:val="26"/>
          <w:lang w:val="es-ES"/>
        </w:rPr>
        <w:t>.</w:t>
      </w:r>
      <w:r w:rsidRPr="0085792A">
        <w:rPr>
          <w:rFonts w:eastAsia="Times New Roman"/>
          <w:sz w:val="26"/>
          <w:szCs w:val="26"/>
          <w:lang w:val="es-ES"/>
        </w:rPr>
        <w:t xml:space="preserve"> Las expectativas de los especialistas en economía del sector privado, consultados por el Banco de México en su encuesta de marzo 2015, han indicado una expectativa de crecimiento anual del Producto Interno Bruto (PIB) de 2.95% para 2015 y de 3.51% para 2016. Mientras que la expectativa de inflación general se mantiene en 3.11% para 2015 y 3.46% para 2016.</w:t>
      </w:r>
    </w:p>
    <w:p w14:paraId="589730BE" w14:textId="77777777" w:rsidR="0085792A" w:rsidRDefault="0085792A" w:rsidP="0085792A">
      <w:pPr>
        <w:spacing w:after="360" w:line="360" w:lineRule="auto"/>
        <w:jc w:val="both"/>
        <w:rPr>
          <w:rFonts w:eastAsia="Times New Roman"/>
          <w:sz w:val="26"/>
          <w:szCs w:val="26"/>
          <w:lang w:val="es-ES"/>
        </w:rPr>
      </w:pPr>
      <w:r w:rsidRPr="0085792A">
        <w:rPr>
          <w:rFonts w:eastAsia="Times New Roman"/>
          <w:sz w:val="26"/>
          <w:szCs w:val="26"/>
          <w:lang w:val="es-ES"/>
        </w:rPr>
        <w:t>Los analistas señalan como los principales factores que podrían obstaculizar el crecimiento de nuestro país: i) los problemas de inseguridad pública, ii) la plataforma de producción petrolera, así como iii) la debilidad en el mercado interno.</w:t>
      </w:r>
    </w:p>
    <w:p w14:paraId="6DE84595" w14:textId="77777777" w:rsidR="004337CD" w:rsidRDefault="004337CD" w:rsidP="0085792A">
      <w:pPr>
        <w:spacing w:after="360" w:line="360" w:lineRule="auto"/>
        <w:jc w:val="both"/>
        <w:rPr>
          <w:rFonts w:eastAsia="Times New Roman"/>
          <w:sz w:val="26"/>
          <w:szCs w:val="26"/>
          <w:lang w:val="es-ES"/>
        </w:rPr>
      </w:pPr>
    </w:p>
    <w:p w14:paraId="02C24664" w14:textId="77777777" w:rsidR="004337CD" w:rsidRDefault="004337CD" w:rsidP="0085792A">
      <w:pPr>
        <w:spacing w:after="360" w:line="360" w:lineRule="auto"/>
        <w:jc w:val="both"/>
        <w:rPr>
          <w:rFonts w:eastAsia="Times New Roman"/>
          <w:sz w:val="26"/>
          <w:szCs w:val="26"/>
          <w:lang w:val="es-ES"/>
        </w:rPr>
      </w:pPr>
    </w:p>
    <w:p w14:paraId="7213151C" w14:textId="77777777" w:rsidR="004337CD" w:rsidRDefault="004337CD" w:rsidP="0085792A">
      <w:pPr>
        <w:spacing w:after="360" w:line="360" w:lineRule="auto"/>
        <w:jc w:val="both"/>
        <w:rPr>
          <w:rFonts w:eastAsia="Times New Roman"/>
          <w:sz w:val="26"/>
          <w:szCs w:val="26"/>
          <w:lang w:val="es-ES"/>
        </w:rPr>
      </w:pPr>
    </w:p>
    <w:p w14:paraId="611DC883" w14:textId="77777777" w:rsidR="004337CD" w:rsidRDefault="004337CD" w:rsidP="0085792A">
      <w:pPr>
        <w:spacing w:after="360" w:line="360" w:lineRule="auto"/>
        <w:jc w:val="both"/>
        <w:rPr>
          <w:rFonts w:eastAsia="Times New Roman"/>
          <w:sz w:val="26"/>
          <w:szCs w:val="26"/>
          <w:lang w:val="es-ES"/>
        </w:rPr>
      </w:pPr>
    </w:p>
    <w:p w14:paraId="4EA22560" w14:textId="77777777" w:rsidR="004337CD" w:rsidRDefault="004337CD" w:rsidP="0085792A">
      <w:pPr>
        <w:spacing w:after="360" w:line="360" w:lineRule="auto"/>
        <w:jc w:val="both"/>
        <w:rPr>
          <w:rFonts w:eastAsia="Times New Roman"/>
          <w:sz w:val="26"/>
          <w:szCs w:val="26"/>
          <w:lang w:val="es-ES"/>
        </w:rPr>
      </w:pPr>
    </w:p>
    <w:tbl>
      <w:tblPr>
        <w:tblW w:w="0" w:type="auto"/>
        <w:jc w:val="center"/>
        <w:tblLook w:val="04A0" w:firstRow="1" w:lastRow="0" w:firstColumn="1" w:lastColumn="0" w:noHBand="0" w:noVBand="1"/>
      </w:tblPr>
      <w:tblGrid>
        <w:gridCol w:w="8840"/>
      </w:tblGrid>
      <w:tr w:rsidR="0085792A" w:rsidRPr="0085792A" w14:paraId="410EEF80" w14:textId="77777777" w:rsidTr="00AC0335">
        <w:trPr>
          <w:trHeight w:val="276"/>
          <w:jc w:val="center"/>
        </w:trPr>
        <w:tc>
          <w:tcPr>
            <w:tcW w:w="8840" w:type="dxa"/>
          </w:tcPr>
          <w:p w14:paraId="0F835567" w14:textId="77777777" w:rsidR="004337CD" w:rsidRDefault="004337CD" w:rsidP="0085792A">
            <w:pPr>
              <w:jc w:val="center"/>
              <w:rPr>
                <w:rFonts w:eastAsia="Times New Roman"/>
                <w:b/>
                <w:sz w:val="22"/>
                <w:szCs w:val="22"/>
                <w:lang w:val="es-ES"/>
              </w:rPr>
            </w:pPr>
          </w:p>
          <w:p w14:paraId="3C700205" w14:textId="77777777" w:rsidR="004337CD" w:rsidRDefault="004337CD" w:rsidP="0085792A">
            <w:pPr>
              <w:jc w:val="center"/>
              <w:rPr>
                <w:rFonts w:eastAsia="Times New Roman"/>
                <w:b/>
                <w:sz w:val="22"/>
                <w:szCs w:val="22"/>
                <w:lang w:val="es-ES"/>
              </w:rPr>
            </w:pPr>
          </w:p>
          <w:p w14:paraId="3B35DA17" w14:textId="739BAB4A"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lastRenderedPageBreak/>
              <w:t>ENTAS AL MERCADO NACIONAL</w:t>
            </w:r>
          </w:p>
          <w:p w14:paraId="1BFC81DE" w14:textId="77777777"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 xml:space="preserve">-Enero-marzo- </w:t>
            </w:r>
          </w:p>
        </w:tc>
      </w:tr>
      <w:tr w:rsidR="0085792A" w:rsidRPr="0085792A" w14:paraId="21841C84" w14:textId="77777777" w:rsidTr="00AC0335">
        <w:trPr>
          <w:trHeight w:val="329"/>
          <w:jc w:val="center"/>
        </w:trPr>
        <w:tc>
          <w:tcPr>
            <w:tcW w:w="8840" w:type="dxa"/>
          </w:tcPr>
          <w:p w14:paraId="7506D0C5" w14:textId="77777777" w:rsidR="0085792A" w:rsidRPr="0085792A" w:rsidRDefault="0085792A" w:rsidP="0085792A">
            <w:pPr>
              <w:jc w:val="center"/>
              <w:rPr>
                <w:rFonts w:eastAsia="Times New Roman"/>
                <w:lang w:val="es-ES"/>
              </w:rPr>
            </w:pPr>
            <w:r w:rsidRPr="0085792A">
              <w:rPr>
                <w:rFonts w:eastAsia="Times New Roman"/>
                <w:noProof/>
                <w:lang w:eastAsia="es-MX"/>
              </w:rPr>
              <w:lastRenderedPageBreak/>
              <w:drawing>
                <wp:inline distT="0" distB="0" distL="0" distR="0" wp14:anchorId="7CADFB93" wp14:editId="39993196">
                  <wp:extent cx="4300315" cy="2700000"/>
                  <wp:effectExtent l="0" t="0" r="0" b="0"/>
                  <wp:docPr id="1559" name="Imagen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t="4197" b="1630"/>
                          <a:stretch/>
                        </pic:blipFill>
                        <pic:spPr bwMode="auto">
                          <a:xfrm>
                            <a:off x="0" y="0"/>
                            <a:ext cx="4300315"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5792A" w:rsidRPr="0085792A" w14:paraId="065B2F95" w14:textId="77777777" w:rsidTr="00AC0335">
        <w:trPr>
          <w:trHeight w:val="276"/>
          <w:jc w:val="center"/>
        </w:trPr>
        <w:tc>
          <w:tcPr>
            <w:tcW w:w="8840" w:type="dxa"/>
          </w:tcPr>
          <w:p w14:paraId="6446ACAC" w14:textId="77777777" w:rsidR="0085792A" w:rsidRPr="0085792A" w:rsidRDefault="0085792A" w:rsidP="0085792A">
            <w:pPr>
              <w:ind w:right="-159" w:firstLine="2019"/>
              <w:jc w:val="both"/>
              <w:rPr>
                <w:rFonts w:eastAsia="Times New Roman"/>
                <w:noProof/>
                <w:sz w:val="20"/>
                <w:szCs w:val="20"/>
                <w:lang w:eastAsia="es-MX"/>
              </w:rPr>
            </w:pPr>
            <w:r w:rsidRPr="0085792A">
              <w:rPr>
                <w:rFonts w:eastAsia="Times New Roman"/>
                <w:noProof/>
                <w:sz w:val="20"/>
                <w:szCs w:val="20"/>
                <w:lang w:eastAsia="es-MX"/>
              </w:rPr>
              <w:t>FUENTE: AMIA, con datos de sus asociados.</w:t>
            </w:r>
          </w:p>
        </w:tc>
      </w:tr>
    </w:tbl>
    <w:p w14:paraId="733D2C96" w14:textId="77777777" w:rsidR="0085792A" w:rsidRPr="0085792A" w:rsidRDefault="0085792A" w:rsidP="0085792A">
      <w:pPr>
        <w:spacing w:after="360" w:line="360" w:lineRule="auto"/>
        <w:jc w:val="both"/>
        <w:rPr>
          <w:rFonts w:eastAsia="Times New Roman"/>
          <w:sz w:val="26"/>
          <w:szCs w:val="26"/>
          <w:lang w:val="es-ES"/>
        </w:rPr>
      </w:pPr>
    </w:p>
    <w:p w14:paraId="0CE45EF2" w14:textId="77777777" w:rsidR="0085792A" w:rsidRPr="0085792A" w:rsidRDefault="0085792A" w:rsidP="0085792A">
      <w:pPr>
        <w:spacing w:after="360" w:line="360" w:lineRule="auto"/>
        <w:jc w:val="both"/>
        <w:rPr>
          <w:rFonts w:eastAsia="Times New Roman"/>
          <w:sz w:val="26"/>
          <w:szCs w:val="26"/>
          <w:lang w:val="es-ES"/>
        </w:rPr>
      </w:pPr>
      <w:r w:rsidRPr="0085792A">
        <w:rPr>
          <w:rFonts w:eastAsia="Times New Roman"/>
          <w:sz w:val="26"/>
          <w:szCs w:val="26"/>
          <w:lang w:val="es-ES"/>
        </w:rPr>
        <w:t>En este tercer mes de 2015 se vendieron 104 mil 902 vehículos ligeros en nuestro país, registrando el mejor nivel de venta para un mismo marzo, esta cifra es 22.4% superior al mismo mes de 2014. Mientras que el primer trimestre del año suma 306 mil 157 unidades comercializadas, 21.9% adicional a las unidades vendidas en el mismo período del año pasado, registrando también un primer trimestre récord. Cabe señalar que los primeros tres meses de 2014 tuvieron un comportamiento similar a 2013, es decir, se encontraban en niveles de diez años atrás.</w:t>
      </w:r>
    </w:p>
    <w:p w14:paraId="301B257C" w14:textId="77777777" w:rsidR="0085792A" w:rsidRPr="0085792A" w:rsidRDefault="0085792A" w:rsidP="0085792A">
      <w:pPr>
        <w:spacing w:after="360" w:line="360" w:lineRule="auto"/>
        <w:jc w:val="both"/>
        <w:rPr>
          <w:rFonts w:eastAsia="Times New Roman"/>
          <w:sz w:val="26"/>
          <w:szCs w:val="26"/>
          <w:lang w:val="es-ES"/>
        </w:rPr>
      </w:pPr>
      <w:r w:rsidRPr="0085792A">
        <w:rPr>
          <w:rFonts w:eastAsia="Times New Roman"/>
          <w:sz w:val="26"/>
          <w:szCs w:val="26"/>
          <w:lang w:val="es-ES"/>
        </w:rPr>
        <w:t>La venta en el mercado mexicano durante el primer trimestre se integró en 46% con vehículos producidos en nuestro país y 54% de origen extranjero.</w:t>
      </w:r>
    </w:p>
    <w:p w14:paraId="1C79C909" w14:textId="77777777" w:rsidR="0085792A" w:rsidRPr="0085792A" w:rsidRDefault="0085792A" w:rsidP="0085792A">
      <w:pPr>
        <w:spacing w:after="360" w:line="360" w:lineRule="auto"/>
        <w:jc w:val="both"/>
        <w:rPr>
          <w:rFonts w:eastAsia="Times New Roman"/>
          <w:b/>
          <w:sz w:val="26"/>
          <w:szCs w:val="26"/>
          <w:lang w:val="es-ES"/>
        </w:rPr>
      </w:pPr>
      <w:r w:rsidRPr="0085792A">
        <w:rPr>
          <w:rFonts w:eastAsia="Times New Roman"/>
          <w:b/>
          <w:sz w:val="26"/>
          <w:szCs w:val="26"/>
          <w:lang w:val="es-ES"/>
        </w:rPr>
        <w:t>Producción Total Nacional</w:t>
      </w:r>
    </w:p>
    <w:p w14:paraId="07222096" w14:textId="77777777" w:rsidR="0085792A" w:rsidRPr="0085792A" w:rsidRDefault="0085792A" w:rsidP="0085792A">
      <w:pPr>
        <w:spacing w:after="360" w:line="360" w:lineRule="auto"/>
        <w:jc w:val="both"/>
        <w:rPr>
          <w:rFonts w:eastAsia="Times New Roman"/>
          <w:sz w:val="26"/>
          <w:szCs w:val="26"/>
          <w:lang w:val="es-ES"/>
        </w:rPr>
      </w:pPr>
      <w:r w:rsidRPr="0085792A">
        <w:rPr>
          <w:rFonts w:eastAsia="Times New Roman"/>
          <w:sz w:val="26"/>
          <w:szCs w:val="26"/>
          <w:lang w:val="es-ES"/>
        </w:rPr>
        <w:t xml:space="preserve">En lo que va de 2015, la producción de vehículos ligeros mantiene niveles históricos, tanto para un mes de marzo como para su acumulado se registró el nivel más alto de producción. En este tercer mes se fabricaron 299 mil 809 vehículos ligeros, 8.1% más </w:t>
      </w:r>
      <w:r w:rsidRPr="0085792A">
        <w:rPr>
          <w:rFonts w:eastAsia="Times New Roman"/>
          <w:sz w:val="26"/>
          <w:szCs w:val="26"/>
          <w:lang w:val="es-ES"/>
        </w:rPr>
        <w:lastRenderedPageBreak/>
        <w:t>que la producción del mismo mes de 2014. Con ello, el acumulado a marzo suma 849 mil 89 unidades manufacturadas, crecimiento de 9.6% en relación con la producción del primer trimestre del año pasado.</w:t>
      </w:r>
    </w:p>
    <w:p w14:paraId="4348C474" w14:textId="77777777" w:rsidR="0085792A" w:rsidRPr="0085792A" w:rsidRDefault="0085792A" w:rsidP="0085792A">
      <w:pPr>
        <w:spacing w:after="360" w:line="360" w:lineRule="auto"/>
        <w:jc w:val="both"/>
        <w:rPr>
          <w:rFonts w:eastAsia="Times New Roman"/>
          <w:b/>
          <w:sz w:val="26"/>
          <w:szCs w:val="26"/>
          <w:lang w:val="es-ES"/>
        </w:rPr>
      </w:pPr>
      <w:r w:rsidRPr="0085792A">
        <w:rPr>
          <w:rFonts w:eastAsia="Times New Roman"/>
          <w:b/>
          <w:sz w:val="26"/>
          <w:szCs w:val="26"/>
          <w:lang w:val="es-ES"/>
        </w:rPr>
        <w:t>Exportación</w:t>
      </w:r>
    </w:p>
    <w:p w14:paraId="59A56530" w14:textId="77777777" w:rsidR="0085792A" w:rsidRDefault="0085792A" w:rsidP="0085792A">
      <w:pPr>
        <w:spacing w:after="360" w:line="360" w:lineRule="auto"/>
        <w:jc w:val="both"/>
        <w:rPr>
          <w:rFonts w:eastAsia="Times New Roman"/>
          <w:sz w:val="26"/>
          <w:szCs w:val="26"/>
          <w:lang w:val="es-ES"/>
        </w:rPr>
      </w:pPr>
      <w:r w:rsidRPr="0085792A">
        <w:rPr>
          <w:rFonts w:eastAsia="Times New Roman"/>
          <w:sz w:val="26"/>
          <w:szCs w:val="26"/>
          <w:lang w:val="es-ES"/>
        </w:rPr>
        <w:t>La exportación también continúa alcanzando mejores niveles históricos, tanto para marzo como para un primer trimestre. Durante marzo 2015 se exportaron 261 mil 256 vehículos ligeros, 13.2% adicional a los vehículos exportados en el mismo mes del año pasado. En el acumulado enero-marzo se enviaron 688 mil 514 unidades al extranjero, 13.6% superior al total exportado en el primer trimestre de 2014.</w:t>
      </w:r>
    </w:p>
    <w:tbl>
      <w:tblPr>
        <w:tblW w:w="90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7"/>
        <w:gridCol w:w="1379"/>
        <w:gridCol w:w="1380"/>
        <w:gridCol w:w="1072"/>
        <w:gridCol w:w="936"/>
        <w:gridCol w:w="996"/>
      </w:tblGrid>
      <w:tr w:rsidR="0085792A" w:rsidRPr="0085792A" w14:paraId="480F37B1" w14:textId="77777777" w:rsidTr="00AC0335">
        <w:trPr>
          <w:jc w:val="center"/>
        </w:trPr>
        <w:tc>
          <w:tcPr>
            <w:tcW w:w="9020" w:type="dxa"/>
            <w:gridSpan w:val="6"/>
            <w:tcBorders>
              <w:top w:val="nil"/>
              <w:left w:val="nil"/>
              <w:right w:val="nil"/>
            </w:tcBorders>
          </w:tcPr>
          <w:p w14:paraId="3927D47B" w14:textId="77777777" w:rsidR="0085792A" w:rsidRPr="0085792A" w:rsidRDefault="0085792A" w:rsidP="0085792A">
            <w:pPr>
              <w:jc w:val="center"/>
              <w:rPr>
                <w:rFonts w:eastAsia="Times New Roman"/>
                <w:b/>
                <w:bCs/>
                <w:sz w:val="22"/>
                <w:szCs w:val="22"/>
                <w:lang w:val="es-ES"/>
              </w:rPr>
            </w:pPr>
            <w:r w:rsidRPr="0085792A">
              <w:rPr>
                <w:rFonts w:eastAsia="Times New Roman"/>
                <w:b/>
                <w:bCs/>
                <w:sz w:val="22"/>
                <w:szCs w:val="22"/>
                <w:lang w:val="es-ES"/>
              </w:rPr>
              <w:t>EXPORTACIÓN MARZO 2014-2015</w:t>
            </w:r>
          </w:p>
        </w:tc>
      </w:tr>
      <w:tr w:rsidR="0085792A" w:rsidRPr="0085792A" w14:paraId="39BF8D25" w14:textId="77777777" w:rsidTr="00AC0335">
        <w:trPr>
          <w:jc w:val="center"/>
        </w:trPr>
        <w:tc>
          <w:tcPr>
            <w:tcW w:w="3257" w:type="dxa"/>
            <w:vMerge w:val="restart"/>
            <w:vAlign w:val="center"/>
          </w:tcPr>
          <w:p w14:paraId="0AD8664F"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Región de destino</w:t>
            </w:r>
          </w:p>
        </w:tc>
        <w:tc>
          <w:tcPr>
            <w:tcW w:w="2759" w:type="dxa"/>
            <w:gridSpan w:val="2"/>
            <w:vAlign w:val="center"/>
          </w:tcPr>
          <w:p w14:paraId="2AD9927B"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Marzo</w:t>
            </w:r>
          </w:p>
        </w:tc>
        <w:tc>
          <w:tcPr>
            <w:tcW w:w="1072" w:type="dxa"/>
            <w:vMerge w:val="restart"/>
            <w:vAlign w:val="center"/>
          </w:tcPr>
          <w:p w14:paraId="77D551D8"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Cambio   %</w:t>
            </w:r>
          </w:p>
        </w:tc>
        <w:tc>
          <w:tcPr>
            <w:tcW w:w="1932" w:type="dxa"/>
            <w:gridSpan w:val="2"/>
            <w:vAlign w:val="center"/>
          </w:tcPr>
          <w:p w14:paraId="4DB1D184" w14:textId="77777777" w:rsidR="0085792A" w:rsidRPr="0085792A" w:rsidRDefault="0085792A" w:rsidP="0085792A">
            <w:pPr>
              <w:spacing w:before="20" w:after="20"/>
              <w:jc w:val="center"/>
              <w:rPr>
                <w:rFonts w:eastAsia="Times New Roman"/>
                <w:bCs/>
                <w:sz w:val="18"/>
                <w:szCs w:val="18"/>
                <w:lang w:val="es-ES"/>
              </w:rPr>
            </w:pPr>
            <w:r w:rsidRPr="0085792A">
              <w:rPr>
                <w:rFonts w:eastAsia="Times New Roman"/>
                <w:b/>
                <w:bCs/>
                <w:sz w:val="18"/>
                <w:szCs w:val="18"/>
                <w:lang w:val="es-ES"/>
              </w:rPr>
              <w:t>Participación (%)</w:t>
            </w:r>
          </w:p>
        </w:tc>
      </w:tr>
      <w:tr w:rsidR="0085792A" w:rsidRPr="0085792A" w14:paraId="28DEACC0" w14:textId="77777777" w:rsidTr="00AC0335">
        <w:trPr>
          <w:jc w:val="center"/>
        </w:trPr>
        <w:tc>
          <w:tcPr>
            <w:tcW w:w="3257" w:type="dxa"/>
            <w:vMerge/>
            <w:tcBorders>
              <w:bottom w:val="single" w:sz="4" w:space="0" w:color="000000"/>
            </w:tcBorders>
            <w:vAlign w:val="center"/>
          </w:tcPr>
          <w:p w14:paraId="04969644" w14:textId="77777777" w:rsidR="0085792A" w:rsidRPr="0085792A" w:rsidRDefault="0085792A" w:rsidP="0085792A">
            <w:pPr>
              <w:spacing w:before="20" w:after="20"/>
              <w:jc w:val="center"/>
              <w:rPr>
                <w:rFonts w:eastAsia="Times New Roman"/>
                <w:sz w:val="18"/>
                <w:szCs w:val="18"/>
                <w:lang w:val="es-ES"/>
              </w:rPr>
            </w:pPr>
          </w:p>
        </w:tc>
        <w:tc>
          <w:tcPr>
            <w:tcW w:w="1379" w:type="dxa"/>
            <w:tcBorders>
              <w:bottom w:val="single" w:sz="4" w:space="0" w:color="000000"/>
            </w:tcBorders>
            <w:vAlign w:val="center"/>
          </w:tcPr>
          <w:p w14:paraId="200F6FAB"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2014</w:t>
            </w:r>
          </w:p>
        </w:tc>
        <w:tc>
          <w:tcPr>
            <w:tcW w:w="1380" w:type="dxa"/>
            <w:tcBorders>
              <w:bottom w:val="single" w:sz="4" w:space="0" w:color="000000"/>
            </w:tcBorders>
            <w:vAlign w:val="center"/>
          </w:tcPr>
          <w:p w14:paraId="0B3BB91C"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2015</w:t>
            </w:r>
          </w:p>
        </w:tc>
        <w:tc>
          <w:tcPr>
            <w:tcW w:w="1072" w:type="dxa"/>
            <w:vMerge/>
            <w:tcBorders>
              <w:bottom w:val="single" w:sz="4" w:space="0" w:color="000000"/>
            </w:tcBorders>
            <w:vAlign w:val="center"/>
          </w:tcPr>
          <w:p w14:paraId="0D390D50" w14:textId="77777777" w:rsidR="0085792A" w:rsidRPr="0085792A" w:rsidRDefault="0085792A" w:rsidP="0085792A">
            <w:pPr>
              <w:spacing w:before="20" w:after="20"/>
              <w:jc w:val="center"/>
              <w:rPr>
                <w:rFonts w:eastAsia="Times New Roman"/>
                <w:b/>
                <w:sz w:val="18"/>
                <w:szCs w:val="18"/>
                <w:lang w:val="es-ES"/>
              </w:rPr>
            </w:pPr>
          </w:p>
        </w:tc>
        <w:tc>
          <w:tcPr>
            <w:tcW w:w="936" w:type="dxa"/>
            <w:tcBorders>
              <w:bottom w:val="single" w:sz="4" w:space="0" w:color="000000"/>
            </w:tcBorders>
            <w:vAlign w:val="center"/>
          </w:tcPr>
          <w:p w14:paraId="60C07AFF"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2014</w:t>
            </w:r>
          </w:p>
        </w:tc>
        <w:tc>
          <w:tcPr>
            <w:tcW w:w="996" w:type="dxa"/>
            <w:tcBorders>
              <w:bottom w:val="single" w:sz="4" w:space="0" w:color="000000"/>
            </w:tcBorders>
            <w:vAlign w:val="center"/>
          </w:tcPr>
          <w:p w14:paraId="533B66AC"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2015</w:t>
            </w:r>
          </w:p>
        </w:tc>
      </w:tr>
      <w:tr w:rsidR="0085792A" w:rsidRPr="0085792A" w14:paraId="376B7742" w14:textId="77777777" w:rsidTr="00AC0335">
        <w:trPr>
          <w:jc w:val="center"/>
        </w:trPr>
        <w:tc>
          <w:tcPr>
            <w:tcW w:w="3257" w:type="dxa"/>
            <w:tcBorders>
              <w:bottom w:val="nil"/>
            </w:tcBorders>
            <w:shd w:val="clear" w:color="auto" w:fill="auto"/>
            <w:vAlign w:val="center"/>
          </w:tcPr>
          <w:p w14:paraId="01961A8B"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Estados Unidos de Norteamérica</w:t>
            </w:r>
          </w:p>
        </w:tc>
        <w:tc>
          <w:tcPr>
            <w:tcW w:w="1379" w:type="dxa"/>
            <w:tcBorders>
              <w:bottom w:val="nil"/>
            </w:tcBorders>
            <w:shd w:val="clear" w:color="auto" w:fill="auto"/>
            <w:vAlign w:val="center"/>
          </w:tcPr>
          <w:p w14:paraId="76850356"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156 879</w:t>
            </w:r>
          </w:p>
        </w:tc>
        <w:tc>
          <w:tcPr>
            <w:tcW w:w="1380" w:type="dxa"/>
            <w:tcBorders>
              <w:bottom w:val="nil"/>
            </w:tcBorders>
            <w:shd w:val="clear" w:color="auto" w:fill="auto"/>
            <w:vAlign w:val="center"/>
          </w:tcPr>
          <w:p w14:paraId="67DDE6F6"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178 631</w:t>
            </w:r>
          </w:p>
        </w:tc>
        <w:tc>
          <w:tcPr>
            <w:tcW w:w="1072" w:type="dxa"/>
            <w:tcBorders>
              <w:bottom w:val="nil"/>
            </w:tcBorders>
            <w:shd w:val="clear" w:color="auto" w:fill="auto"/>
            <w:vAlign w:val="center"/>
          </w:tcPr>
          <w:p w14:paraId="46F26653"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13.9</w:t>
            </w:r>
          </w:p>
        </w:tc>
        <w:tc>
          <w:tcPr>
            <w:tcW w:w="936" w:type="dxa"/>
            <w:tcBorders>
              <w:bottom w:val="nil"/>
            </w:tcBorders>
            <w:shd w:val="clear" w:color="auto" w:fill="auto"/>
            <w:vAlign w:val="center"/>
          </w:tcPr>
          <w:p w14:paraId="5C4C5AC3"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68.0</w:t>
            </w:r>
          </w:p>
        </w:tc>
        <w:tc>
          <w:tcPr>
            <w:tcW w:w="996" w:type="dxa"/>
            <w:tcBorders>
              <w:bottom w:val="nil"/>
            </w:tcBorders>
            <w:shd w:val="clear" w:color="auto" w:fill="auto"/>
            <w:vAlign w:val="center"/>
          </w:tcPr>
          <w:p w14:paraId="7842D82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68.4</w:t>
            </w:r>
          </w:p>
        </w:tc>
      </w:tr>
      <w:tr w:rsidR="0085792A" w:rsidRPr="0085792A" w14:paraId="1201B5F4" w14:textId="77777777" w:rsidTr="00AC0335">
        <w:trPr>
          <w:jc w:val="center"/>
        </w:trPr>
        <w:tc>
          <w:tcPr>
            <w:tcW w:w="3257" w:type="dxa"/>
            <w:tcBorders>
              <w:top w:val="nil"/>
              <w:bottom w:val="nil"/>
            </w:tcBorders>
            <w:shd w:val="clear" w:color="auto" w:fill="auto"/>
            <w:vAlign w:val="center"/>
          </w:tcPr>
          <w:p w14:paraId="30CAFB37"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Canadá</w:t>
            </w:r>
          </w:p>
        </w:tc>
        <w:tc>
          <w:tcPr>
            <w:tcW w:w="1379" w:type="dxa"/>
            <w:tcBorders>
              <w:top w:val="nil"/>
              <w:bottom w:val="nil"/>
            </w:tcBorders>
            <w:shd w:val="clear" w:color="auto" w:fill="auto"/>
            <w:vAlign w:val="center"/>
          </w:tcPr>
          <w:p w14:paraId="76143775"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23 468</w:t>
            </w:r>
          </w:p>
        </w:tc>
        <w:tc>
          <w:tcPr>
            <w:tcW w:w="1380" w:type="dxa"/>
            <w:tcBorders>
              <w:top w:val="nil"/>
              <w:bottom w:val="nil"/>
            </w:tcBorders>
            <w:shd w:val="clear" w:color="auto" w:fill="auto"/>
            <w:vAlign w:val="center"/>
          </w:tcPr>
          <w:p w14:paraId="00A0727A"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30 255</w:t>
            </w:r>
          </w:p>
        </w:tc>
        <w:tc>
          <w:tcPr>
            <w:tcW w:w="1072" w:type="dxa"/>
            <w:tcBorders>
              <w:top w:val="nil"/>
              <w:bottom w:val="nil"/>
            </w:tcBorders>
            <w:shd w:val="clear" w:color="auto" w:fill="auto"/>
            <w:vAlign w:val="center"/>
          </w:tcPr>
          <w:p w14:paraId="2654663F"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28.9</w:t>
            </w:r>
          </w:p>
        </w:tc>
        <w:tc>
          <w:tcPr>
            <w:tcW w:w="936" w:type="dxa"/>
            <w:tcBorders>
              <w:top w:val="nil"/>
              <w:bottom w:val="nil"/>
            </w:tcBorders>
            <w:shd w:val="clear" w:color="auto" w:fill="auto"/>
            <w:vAlign w:val="center"/>
          </w:tcPr>
          <w:p w14:paraId="0EE35402"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10.2</w:t>
            </w:r>
          </w:p>
        </w:tc>
        <w:tc>
          <w:tcPr>
            <w:tcW w:w="996" w:type="dxa"/>
            <w:tcBorders>
              <w:top w:val="nil"/>
              <w:bottom w:val="nil"/>
            </w:tcBorders>
            <w:shd w:val="clear" w:color="auto" w:fill="auto"/>
            <w:vAlign w:val="center"/>
          </w:tcPr>
          <w:p w14:paraId="421A9CE4"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11.6</w:t>
            </w:r>
          </w:p>
        </w:tc>
      </w:tr>
      <w:tr w:rsidR="0085792A" w:rsidRPr="0085792A" w14:paraId="405F2F6F" w14:textId="77777777" w:rsidTr="00AC0335">
        <w:trPr>
          <w:jc w:val="center"/>
        </w:trPr>
        <w:tc>
          <w:tcPr>
            <w:tcW w:w="3257" w:type="dxa"/>
            <w:tcBorders>
              <w:top w:val="nil"/>
              <w:bottom w:val="nil"/>
            </w:tcBorders>
            <w:shd w:val="clear" w:color="auto" w:fill="auto"/>
            <w:vAlign w:val="center"/>
          </w:tcPr>
          <w:p w14:paraId="66AE08A3"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Latinoamérica</w:t>
            </w:r>
          </w:p>
        </w:tc>
        <w:tc>
          <w:tcPr>
            <w:tcW w:w="1379" w:type="dxa"/>
            <w:tcBorders>
              <w:top w:val="nil"/>
              <w:bottom w:val="nil"/>
            </w:tcBorders>
            <w:shd w:val="clear" w:color="auto" w:fill="auto"/>
            <w:vAlign w:val="center"/>
          </w:tcPr>
          <w:p w14:paraId="3D8E3B7E"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28 363</w:t>
            </w:r>
          </w:p>
        </w:tc>
        <w:tc>
          <w:tcPr>
            <w:tcW w:w="1380" w:type="dxa"/>
            <w:tcBorders>
              <w:top w:val="nil"/>
              <w:bottom w:val="nil"/>
            </w:tcBorders>
            <w:shd w:val="clear" w:color="auto" w:fill="auto"/>
            <w:vAlign w:val="center"/>
          </w:tcPr>
          <w:p w14:paraId="148D284B"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20 184</w:t>
            </w:r>
          </w:p>
        </w:tc>
        <w:tc>
          <w:tcPr>
            <w:tcW w:w="1072" w:type="dxa"/>
            <w:tcBorders>
              <w:top w:val="nil"/>
              <w:bottom w:val="nil"/>
            </w:tcBorders>
            <w:shd w:val="clear" w:color="auto" w:fill="auto"/>
            <w:vAlign w:val="center"/>
          </w:tcPr>
          <w:p w14:paraId="064F7EB8"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-28.8</w:t>
            </w:r>
          </w:p>
        </w:tc>
        <w:tc>
          <w:tcPr>
            <w:tcW w:w="936" w:type="dxa"/>
            <w:tcBorders>
              <w:top w:val="nil"/>
              <w:bottom w:val="nil"/>
            </w:tcBorders>
            <w:shd w:val="clear" w:color="auto" w:fill="auto"/>
            <w:vAlign w:val="center"/>
          </w:tcPr>
          <w:p w14:paraId="32BD188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12.3</w:t>
            </w:r>
          </w:p>
        </w:tc>
        <w:tc>
          <w:tcPr>
            <w:tcW w:w="996" w:type="dxa"/>
            <w:tcBorders>
              <w:top w:val="nil"/>
              <w:bottom w:val="nil"/>
            </w:tcBorders>
            <w:shd w:val="clear" w:color="auto" w:fill="auto"/>
            <w:vAlign w:val="center"/>
          </w:tcPr>
          <w:p w14:paraId="1B630262"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7.7</w:t>
            </w:r>
          </w:p>
        </w:tc>
      </w:tr>
      <w:tr w:rsidR="0085792A" w:rsidRPr="0085792A" w14:paraId="0FB73A5C" w14:textId="77777777" w:rsidTr="00AC0335">
        <w:trPr>
          <w:jc w:val="center"/>
        </w:trPr>
        <w:tc>
          <w:tcPr>
            <w:tcW w:w="3257" w:type="dxa"/>
            <w:tcBorders>
              <w:top w:val="nil"/>
              <w:bottom w:val="nil"/>
            </w:tcBorders>
            <w:vAlign w:val="center"/>
          </w:tcPr>
          <w:p w14:paraId="1EAB9A41"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Asia</w:t>
            </w:r>
          </w:p>
        </w:tc>
        <w:tc>
          <w:tcPr>
            <w:tcW w:w="1379" w:type="dxa"/>
            <w:tcBorders>
              <w:top w:val="nil"/>
              <w:bottom w:val="nil"/>
            </w:tcBorders>
            <w:vAlign w:val="center"/>
          </w:tcPr>
          <w:p w14:paraId="38497CCA"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11 245</w:t>
            </w:r>
          </w:p>
        </w:tc>
        <w:tc>
          <w:tcPr>
            <w:tcW w:w="1380" w:type="dxa"/>
            <w:tcBorders>
              <w:top w:val="nil"/>
              <w:bottom w:val="nil"/>
            </w:tcBorders>
            <w:vAlign w:val="center"/>
          </w:tcPr>
          <w:p w14:paraId="76452EAA"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12 378</w:t>
            </w:r>
          </w:p>
        </w:tc>
        <w:tc>
          <w:tcPr>
            <w:tcW w:w="1072" w:type="dxa"/>
            <w:tcBorders>
              <w:top w:val="nil"/>
              <w:bottom w:val="nil"/>
            </w:tcBorders>
            <w:vAlign w:val="center"/>
          </w:tcPr>
          <w:p w14:paraId="571C356E"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10.1</w:t>
            </w:r>
          </w:p>
        </w:tc>
        <w:tc>
          <w:tcPr>
            <w:tcW w:w="936" w:type="dxa"/>
            <w:tcBorders>
              <w:top w:val="nil"/>
              <w:bottom w:val="nil"/>
            </w:tcBorders>
            <w:vAlign w:val="center"/>
          </w:tcPr>
          <w:p w14:paraId="703A989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4.9</w:t>
            </w:r>
          </w:p>
        </w:tc>
        <w:tc>
          <w:tcPr>
            <w:tcW w:w="996" w:type="dxa"/>
            <w:tcBorders>
              <w:top w:val="nil"/>
              <w:bottom w:val="nil"/>
            </w:tcBorders>
            <w:vAlign w:val="center"/>
          </w:tcPr>
          <w:p w14:paraId="12FD050B"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4.7</w:t>
            </w:r>
          </w:p>
        </w:tc>
      </w:tr>
      <w:tr w:rsidR="0085792A" w:rsidRPr="0085792A" w14:paraId="65116247" w14:textId="77777777" w:rsidTr="00AC0335">
        <w:trPr>
          <w:jc w:val="center"/>
        </w:trPr>
        <w:tc>
          <w:tcPr>
            <w:tcW w:w="3257" w:type="dxa"/>
            <w:tcBorders>
              <w:top w:val="nil"/>
              <w:bottom w:val="nil"/>
            </w:tcBorders>
            <w:shd w:val="clear" w:color="auto" w:fill="auto"/>
            <w:vAlign w:val="center"/>
          </w:tcPr>
          <w:p w14:paraId="03469A37"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Europa</w:t>
            </w:r>
          </w:p>
        </w:tc>
        <w:tc>
          <w:tcPr>
            <w:tcW w:w="1379" w:type="dxa"/>
            <w:tcBorders>
              <w:top w:val="nil"/>
              <w:bottom w:val="nil"/>
            </w:tcBorders>
            <w:shd w:val="clear" w:color="auto" w:fill="auto"/>
            <w:vAlign w:val="center"/>
          </w:tcPr>
          <w:p w14:paraId="4696EBB3"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10 717</w:t>
            </w:r>
          </w:p>
        </w:tc>
        <w:tc>
          <w:tcPr>
            <w:tcW w:w="1380" w:type="dxa"/>
            <w:tcBorders>
              <w:top w:val="nil"/>
              <w:bottom w:val="nil"/>
            </w:tcBorders>
            <w:shd w:val="clear" w:color="auto" w:fill="auto"/>
            <w:vAlign w:val="center"/>
          </w:tcPr>
          <w:p w14:paraId="26DD02F4"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9 526</w:t>
            </w:r>
          </w:p>
        </w:tc>
        <w:tc>
          <w:tcPr>
            <w:tcW w:w="1072" w:type="dxa"/>
            <w:tcBorders>
              <w:top w:val="nil"/>
              <w:bottom w:val="nil"/>
            </w:tcBorders>
            <w:shd w:val="clear" w:color="auto" w:fill="auto"/>
            <w:vAlign w:val="center"/>
          </w:tcPr>
          <w:p w14:paraId="07C71BB7"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-11.1</w:t>
            </w:r>
          </w:p>
        </w:tc>
        <w:tc>
          <w:tcPr>
            <w:tcW w:w="936" w:type="dxa"/>
            <w:tcBorders>
              <w:top w:val="nil"/>
              <w:bottom w:val="nil"/>
            </w:tcBorders>
            <w:shd w:val="clear" w:color="auto" w:fill="auto"/>
            <w:vAlign w:val="center"/>
          </w:tcPr>
          <w:p w14:paraId="7C7F037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4.6</w:t>
            </w:r>
          </w:p>
        </w:tc>
        <w:tc>
          <w:tcPr>
            <w:tcW w:w="996" w:type="dxa"/>
            <w:tcBorders>
              <w:top w:val="nil"/>
              <w:bottom w:val="nil"/>
            </w:tcBorders>
            <w:shd w:val="clear" w:color="auto" w:fill="auto"/>
            <w:vAlign w:val="center"/>
          </w:tcPr>
          <w:p w14:paraId="2FB59B3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3.6</w:t>
            </w:r>
          </w:p>
        </w:tc>
      </w:tr>
      <w:tr w:rsidR="0085792A" w:rsidRPr="0085792A" w14:paraId="2EC8BE76" w14:textId="77777777" w:rsidTr="00AC0335">
        <w:trPr>
          <w:jc w:val="center"/>
        </w:trPr>
        <w:tc>
          <w:tcPr>
            <w:tcW w:w="3257" w:type="dxa"/>
            <w:tcBorders>
              <w:top w:val="nil"/>
              <w:bottom w:val="nil"/>
            </w:tcBorders>
            <w:shd w:val="clear" w:color="auto" w:fill="auto"/>
            <w:vAlign w:val="center"/>
          </w:tcPr>
          <w:p w14:paraId="66F425F1"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África</w:t>
            </w:r>
          </w:p>
        </w:tc>
        <w:tc>
          <w:tcPr>
            <w:tcW w:w="1379" w:type="dxa"/>
            <w:tcBorders>
              <w:top w:val="nil"/>
              <w:bottom w:val="nil"/>
            </w:tcBorders>
            <w:shd w:val="clear" w:color="auto" w:fill="auto"/>
            <w:vAlign w:val="center"/>
          </w:tcPr>
          <w:p w14:paraId="3F607AD3"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10</w:t>
            </w:r>
          </w:p>
        </w:tc>
        <w:tc>
          <w:tcPr>
            <w:tcW w:w="1380" w:type="dxa"/>
            <w:tcBorders>
              <w:top w:val="nil"/>
              <w:bottom w:val="nil"/>
            </w:tcBorders>
            <w:shd w:val="clear" w:color="auto" w:fill="auto"/>
            <w:vAlign w:val="center"/>
          </w:tcPr>
          <w:p w14:paraId="7354B62F"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162</w:t>
            </w:r>
          </w:p>
        </w:tc>
        <w:tc>
          <w:tcPr>
            <w:tcW w:w="1072" w:type="dxa"/>
            <w:tcBorders>
              <w:top w:val="nil"/>
              <w:bottom w:val="nil"/>
            </w:tcBorders>
            <w:shd w:val="clear" w:color="auto" w:fill="auto"/>
            <w:vAlign w:val="center"/>
          </w:tcPr>
          <w:p w14:paraId="13DE187F"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1 520.0</w:t>
            </w:r>
          </w:p>
        </w:tc>
        <w:tc>
          <w:tcPr>
            <w:tcW w:w="936" w:type="dxa"/>
            <w:tcBorders>
              <w:top w:val="nil"/>
              <w:bottom w:val="nil"/>
            </w:tcBorders>
            <w:shd w:val="clear" w:color="auto" w:fill="auto"/>
            <w:vAlign w:val="center"/>
          </w:tcPr>
          <w:p w14:paraId="4A5E7782"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0.0</w:t>
            </w:r>
          </w:p>
        </w:tc>
        <w:tc>
          <w:tcPr>
            <w:tcW w:w="996" w:type="dxa"/>
            <w:tcBorders>
              <w:top w:val="nil"/>
              <w:bottom w:val="nil"/>
            </w:tcBorders>
            <w:shd w:val="clear" w:color="auto" w:fill="auto"/>
            <w:vAlign w:val="center"/>
          </w:tcPr>
          <w:p w14:paraId="251B98F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0.1</w:t>
            </w:r>
          </w:p>
        </w:tc>
      </w:tr>
      <w:tr w:rsidR="0085792A" w:rsidRPr="0085792A" w14:paraId="7E06890E" w14:textId="77777777" w:rsidTr="00AC0335">
        <w:trPr>
          <w:jc w:val="center"/>
        </w:trPr>
        <w:tc>
          <w:tcPr>
            <w:tcW w:w="3257" w:type="dxa"/>
            <w:tcBorders>
              <w:top w:val="nil"/>
              <w:bottom w:val="nil"/>
            </w:tcBorders>
            <w:shd w:val="clear" w:color="auto" w:fill="auto"/>
            <w:vAlign w:val="center"/>
          </w:tcPr>
          <w:p w14:paraId="663F7035"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Otros</w:t>
            </w:r>
          </w:p>
        </w:tc>
        <w:tc>
          <w:tcPr>
            <w:tcW w:w="1379" w:type="dxa"/>
            <w:tcBorders>
              <w:top w:val="nil"/>
              <w:bottom w:val="nil"/>
            </w:tcBorders>
            <w:shd w:val="clear" w:color="auto" w:fill="auto"/>
            <w:vAlign w:val="center"/>
          </w:tcPr>
          <w:p w14:paraId="2AC09C10"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90</w:t>
            </w:r>
          </w:p>
        </w:tc>
        <w:tc>
          <w:tcPr>
            <w:tcW w:w="1380" w:type="dxa"/>
            <w:tcBorders>
              <w:top w:val="nil"/>
              <w:bottom w:val="nil"/>
            </w:tcBorders>
            <w:shd w:val="clear" w:color="auto" w:fill="auto"/>
            <w:vAlign w:val="center"/>
          </w:tcPr>
          <w:p w14:paraId="3A2FE07D"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10 120</w:t>
            </w:r>
          </w:p>
        </w:tc>
        <w:tc>
          <w:tcPr>
            <w:tcW w:w="1072" w:type="dxa"/>
            <w:tcBorders>
              <w:top w:val="nil"/>
              <w:bottom w:val="nil"/>
            </w:tcBorders>
            <w:shd w:val="clear" w:color="auto" w:fill="auto"/>
            <w:vAlign w:val="center"/>
          </w:tcPr>
          <w:p w14:paraId="59C3EA9C"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11 144.4</w:t>
            </w:r>
          </w:p>
        </w:tc>
        <w:tc>
          <w:tcPr>
            <w:tcW w:w="936" w:type="dxa"/>
            <w:tcBorders>
              <w:top w:val="nil"/>
              <w:bottom w:val="nil"/>
            </w:tcBorders>
            <w:shd w:val="clear" w:color="auto" w:fill="auto"/>
            <w:vAlign w:val="center"/>
          </w:tcPr>
          <w:p w14:paraId="4C0C3C4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0.0</w:t>
            </w:r>
          </w:p>
        </w:tc>
        <w:tc>
          <w:tcPr>
            <w:tcW w:w="996" w:type="dxa"/>
            <w:tcBorders>
              <w:top w:val="nil"/>
              <w:bottom w:val="nil"/>
            </w:tcBorders>
            <w:shd w:val="clear" w:color="auto" w:fill="auto"/>
            <w:vAlign w:val="center"/>
          </w:tcPr>
          <w:p w14:paraId="0C719FA7"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3.9</w:t>
            </w:r>
          </w:p>
        </w:tc>
      </w:tr>
      <w:tr w:rsidR="0085792A" w:rsidRPr="0085792A" w14:paraId="17B98620" w14:textId="77777777" w:rsidTr="00AC0335">
        <w:trPr>
          <w:jc w:val="center"/>
        </w:trPr>
        <w:tc>
          <w:tcPr>
            <w:tcW w:w="3257" w:type="dxa"/>
            <w:tcBorders>
              <w:top w:val="nil"/>
              <w:bottom w:val="single" w:sz="4" w:space="0" w:color="000000"/>
            </w:tcBorders>
            <w:vAlign w:val="center"/>
          </w:tcPr>
          <w:p w14:paraId="5BC4D18D" w14:textId="77777777" w:rsidR="0085792A" w:rsidRPr="0085792A" w:rsidRDefault="0085792A" w:rsidP="0085792A">
            <w:pPr>
              <w:spacing w:before="20" w:after="20"/>
              <w:rPr>
                <w:rFonts w:eastAsia="Times New Roman"/>
                <w:b/>
                <w:bCs/>
                <w:sz w:val="18"/>
                <w:szCs w:val="18"/>
                <w:lang w:val="es-ES"/>
              </w:rPr>
            </w:pPr>
            <w:r w:rsidRPr="0085792A">
              <w:rPr>
                <w:rFonts w:eastAsia="Times New Roman"/>
                <w:b/>
                <w:bCs/>
                <w:sz w:val="18"/>
                <w:szCs w:val="18"/>
                <w:lang w:val="es-ES"/>
              </w:rPr>
              <w:t>EXPORTACIÓN TOTAL</w:t>
            </w:r>
          </w:p>
        </w:tc>
        <w:tc>
          <w:tcPr>
            <w:tcW w:w="1379" w:type="dxa"/>
            <w:tcBorders>
              <w:top w:val="nil"/>
              <w:bottom w:val="single" w:sz="4" w:space="0" w:color="000000"/>
            </w:tcBorders>
            <w:vAlign w:val="center"/>
          </w:tcPr>
          <w:p w14:paraId="28A7E49E" w14:textId="77777777" w:rsidR="0085792A" w:rsidRPr="0085792A" w:rsidRDefault="0085792A" w:rsidP="0085792A">
            <w:pPr>
              <w:spacing w:before="20" w:after="20"/>
              <w:ind w:right="317"/>
              <w:jc w:val="right"/>
              <w:rPr>
                <w:rFonts w:eastAsia="Times New Roman"/>
                <w:b/>
                <w:sz w:val="18"/>
                <w:szCs w:val="18"/>
                <w:lang w:val="es-ES"/>
              </w:rPr>
            </w:pPr>
            <w:r w:rsidRPr="0085792A">
              <w:rPr>
                <w:rFonts w:eastAsia="Times New Roman"/>
                <w:b/>
                <w:sz w:val="18"/>
                <w:szCs w:val="18"/>
                <w:lang w:val="es-ES"/>
              </w:rPr>
              <w:t>230 772</w:t>
            </w:r>
          </w:p>
        </w:tc>
        <w:tc>
          <w:tcPr>
            <w:tcW w:w="1380" w:type="dxa"/>
            <w:tcBorders>
              <w:top w:val="nil"/>
              <w:bottom w:val="single" w:sz="4" w:space="0" w:color="000000"/>
            </w:tcBorders>
            <w:vAlign w:val="center"/>
          </w:tcPr>
          <w:p w14:paraId="4BFA456F" w14:textId="77777777" w:rsidR="0085792A" w:rsidRPr="0085792A" w:rsidRDefault="0085792A" w:rsidP="0085792A">
            <w:pPr>
              <w:spacing w:before="20" w:after="20"/>
              <w:ind w:right="318"/>
              <w:jc w:val="right"/>
              <w:rPr>
                <w:rFonts w:eastAsia="Times New Roman"/>
                <w:b/>
                <w:sz w:val="18"/>
                <w:szCs w:val="18"/>
                <w:lang w:val="es-ES"/>
              </w:rPr>
            </w:pPr>
            <w:r w:rsidRPr="0085792A">
              <w:rPr>
                <w:rFonts w:eastAsia="Times New Roman"/>
                <w:b/>
                <w:sz w:val="18"/>
                <w:szCs w:val="18"/>
                <w:lang w:val="es-ES"/>
              </w:rPr>
              <w:t>261 256</w:t>
            </w:r>
          </w:p>
        </w:tc>
        <w:tc>
          <w:tcPr>
            <w:tcW w:w="1072" w:type="dxa"/>
            <w:tcBorders>
              <w:top w:val="nil"/>
              <w:bottom w:val="single" w:sz="4" w:space="0" w:color="000000"/>
            </w:tcBorders>
            <w:vAlign w:val="center"/>
          </w:tcPr>
          <w:p w14:paraId="5B468A77" w14:textId="77777777" w:rsidR="0085792A" w:rsidRPr="0085792A" w:rsidRDefault="0085792A" w:rsidP="0085792A">
            <w:pPr>
              <w:spacing w:before="20" w:after="20"/>
              <w:ind w:right="113"/>
              <w:jc w:val="right"/>
              <w:rPr>
                <w:rFonts w:eastAsia="Times New Roman"/>
                <w:b/>
                <w:sz w:val="18"/>
                <w:szCs w:val="18"/>
                <w:lang w:val="es-ES"/>
              </w:rPr>
            </w:pPr>
            <w:r w:rsidRPr="0085792A">
              <w:rPr>
                <w:rFonts w:eastAsia="Times New Roman"/>
                <w:b/>
                <w:sz w:val="18"/>
                <w:szCs w:val="18"/>
                <w:lang w:val="es-ES"/>
              </w:rPr>
              <w:t>13.2</w:t>
            </w:r>
          </w:p>
        </w:tc>
        <w:tc>
          <w:tcPr>
            <w:tcW w:w="936" w:type="dxa"/>
            <w:tcBorders>
              <w:top w:val="nil"/>
              <w:bottom w:val="single" w:sz="4" w:space="0" w:color="000000"/>
            </w:tcBorders>
            <w:vAlign w:val="center"/>
          </w:tcPr>
          <w:p w14:paraId="3C3ADA96"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100.0</w:t>
            </w:r>
          </w:p>
        </w:tc>
        <w:tc>
          <w:tcPr>
            <w:tcW w:w="996" w:type="dxa"/>
            <w:tcBorders>
              <w:top w:val="nil"/>
              <w:bottom w:val="single" w:sz="4" w:space="0" w:color="000000"/>
            </w:tcBorders>
            <w:vAlign w:val="center"/>
          </w:tcPr>
          <w:p w14:paraId="38E080CA"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100.0</w:t>
            </w:r>
          </w:p>
        </w:tc>
      </w:tr>
      <w:tr w:rsidR="0085792A" w:rsidRPr="0085792A" w14:paraId="1B821442" w14:textId="77777777" w:rsidTr="00AC0335">
        <w:trPr>
          <w:jc w:val="center"/>
        </w:trPr>
        <w:tc>
          <w:tcPr>
            <w:tcW w:w="9020" w:type="dxa"/>
            <w:gridSpan w:val="6"/>
            <w:tcBorders>
              <w:left w:val="nil"/>
              <w:bottom w:val="nil"/>
              <w:right w:val="nil"/>
            </w:tcBorders>
            <w:vAlign w:val="bottom"/>
          </w:tcPr>
          <w:p w14:paraId="435B2AB4" w14:textId="77777777" w:rsidR="0085792A" w:rsidRPr="0085792A" w:rsidRDefault="0085792A" w:rsidP="0085792A">
            <w:pPr>
              <w:jc w:val="both"/>
              <w:rPr>
                <w:rFonts w:eastAsia="Times New Roman"/>
                <w:b/>
                <w:bCs/>
                <w:sz w:val="20"/>
                <w:szCs w:val="20"/>
                <w:lang w:val="es-ES"/>
              </w:rPr>
            </w:pPr>
            <w:r w:rsidRPr="0085792A">
              <w:rPr>
                <w:rFonts w:eastAsia="Times New Roman"/>
                <w:bCs/>
                <w:sz w:val="20"/>
                <w:szCs w:val="20"/>
                <w:lang w:val="es-ES"/>
              </w:rPr>
              <w:t>FUENTE: AMIA, con datos de sus asociados.</w:t>
            </w:r>
          </w:p>
        </w:tc>
      </w:tr>
    </w:tbl>
    <w:p w14:paraId="684FEBC9" w14:textId="77777777" w:rsidR="0085792A" w:rsidRPr="0085792A" w:rsidRDefault="0085792A" w:rsidP="0085792A">
      <w:pPr>
        <w:spacing w:after="360" w:line="360" w:lineRule="auto"/>
        <w:ind w:right="-159"/>
        <w:jc w:val="both"/>
        <w:rPr>
          <w:rFonts w:eastAsia="Times New Roman"/>
          <w:sz w:val="26"/>
          <w:szCs w:val="26"/>
          <w:lang w:val="es-E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57"/>
        <w:gridCol w:w="1379"/>
        <w:gridCol w:w="1380"/>
        <w:gridCol w:w="892"/>
        <w:gridCol w:w="936"/>
        <w:gridCol w:w="996"/>
      </w:tblGrid>
      <w:tr w:rsidR="0085792A" w:rsidRPr="0085792A" w14:paraId="58604900" w14:textId="77777777" w:rsidTr="00AC0335">
        <w:trPr>
          <w:jc w:val="center"/>
        </w:trPr>
        <w:tc>
          <w:tcPr>
            <w:tcW w:w="8840" w:type="dxa"/>
            <w:gridSpan w:val="6"/>
            <w:tcBorders>
              <w:top w:val="nil"/>
              <w:left w:val="nil"/>
              <w:right w:val="nil"/>
            </w:tcBorders>
          </w:tcPr>
          <w:p w14:paraId="18498AD8" w14:textId="77777777" w:rsidR="0085792A" w:rsidRPr="0085792A" w:rsidRDefault="0085792A" w:rsidP="0085792A">
            <w:pPr>
              <w:jc w:val="center"/>
              <w:rPr>
                <w:rFonts w:eastAsia="Times New Roman"/>
                <w:b/>
                <w:bCs/>
                <w:sz w:val="22"/>
                <w:szCs w:val="22"/>
                <w:lang w:val="es-ES"/>
              </w:rPr>
            </w:pPr>
            <w:r w:rsidRPr="0085792A">
              <w:rPr>
                <w:rFonts w:eastAsia="Times New Roman"/>
                <w:b/>
                <w:bCs/>
                <w:sz w:val="22"/>
                <w:szCs w:val="22"/>
                <w:lang w:val="es-ES"/>
              </w:rPr>
              <w:t>EXPORTACIÓN ENERO-MARZO 2014-2015</w:t>
            </w:r>
          </w:p>
        </w:tc>
      </w:tr>
      <w:tr w:rsidR="0085792A" w:rsidRPr="0085792A" w14:paraId="0F05010C" w14:textId="77777777" w:rsidTr="00AC0335">
        <w:trPr>
          <w:jc w:val="center"/>
        </w:trPr>
        <w:tc>
          <w:tcPr>
            <w:tcW w:w="3257" w:type="dxa"/>
            <w:vMerge w:val="restart"/>
            <w:vAlign w:val="center"/>
          </w:tcPr>
          <w:p w14:paraId="00DD5840"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Región de destino</w:t>
            </w:r>
          </w:p>
        </w:tc>
        <w:tc>
          <w:tcPr>
            <w:tcW w:w="2759" w:type="dxa"/>
            <w:gridSpan w:val="2"/>
            <w:vAlign w:val="center"/>
          </w:tcPr>
          <w:p w14:paraId="468F3B28"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Enero-Marzo</w:t>
            </w:r>
          </w:p>
        </w:tc>
        <w:tc>
          <w:tcPr>
            <w:tcW w:w="892" w:type="dxa"/>
            <w:vMerge w:val="restart"/>
            <w:vAlign w:val="center"/>
          </w:tcPr>
          <w:p w14:paraId="7FDD584D"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Cambio  %</w:t>
            </w:r>
          </w:p>
        </w:tc>
        <w:tc>
          <w:tcPr>
            <w:tcW w:w="1932" w:type="dxa"/>
            <w:gridSpan w:val="2"/>
            <w:vAlign w:val="center"/>
          </w:tcPr>
          <w:p w14:paraId="6991876B" w14:textId="77777777" w:rsidR="0085792A" w:rsidRPr="0085792A" w:rsidRDefault="0085792A" w:rsidP="0085792A">
            <w:pPr>
              <w:spacing w:before="20" w:after="20"/>
              <w:jc w:val="center"/>
              <w:rPr>
                <w:rFonts w:eastAsia="Times New Roman"/>
                <w:bCs/>
                <w:sz w:val="18"/>
                <w:szCs w:val="18"/>
                <w:lang w:val="es-ES"/>
              </w:rPr>
            </w:pPr>
            <w:r w:rsidRPr="0085792A">
              <w:rPr>
                <w:rFonts w:eastAsia="Times New Roman"/>
                <w:b/>
                <w:bCs/>
                <w:sz w:val="18"/>
                <w:szCs w:val="18"/>
                <w:lang w:val="es-ES"/>
              </w:rPr>
              <w:t>Participación (%)</w:t>
            </w:r>
          </w:p>
        </w:tc>
      </w:tr>
      <w:tr w:rsidR="0085792A" w:rsidRPr="0085792A" w14:paraId="417F1D7F" w14:textId="77777777" w:rsidTr="00AC0335">
        <w:trPr>
          <w:jc w:val="center"/>
        </w:trPr>
        <w:tc>
          <w:tcPr>
            <w:tcW w:w="3257" w:type="dxa"/>
            <w:vMerge/>
            <w:tcBorders>
              <w:bottom w:val="single" w:sz="4" w:space="0" w:color="000000"/>
            </w:tcBorders>
            <w:vAlign w:val="center"/>
          </w:tcPr>
          <w:p w14:paraId="4E05CF6C" w14:textId="77777777" w:rsidR="0085792A" w:rsidRPr="0085792A" w:rsidRDefault="0085792A" w:rsidP="0085792A">
            <w:pPr>
              <w:spacing w:before="20" w:after="20"/>
              <w:jc w:val="center"/>
              <w:rPr>
                <w:rFonts w:eastAsia="Times New Roman"/>
                <w:sz w:val="18"/>
                <w:szCs w:val="18"/>
                <w:lang w:val="es-ES"/>
              </w:rPr>
            </w:pPr>
          </w:p>
        </w:tc>
        <w:tc>
          <w:tcPr>
            <w:tcW w:w="1379" w:type="dxa"/>
            <w:tcBorders>
              <w:bottom w:val="single" w:sz="4" w:space="0" w:color="000000"/>
            </w:tcBorders>
            <w:vAlign w:val="center"/>
          </w:tcPr>
          <w:p w14:paraId="4FF34690"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2014</w:t>
            </w:r>
          </w:p>
        </w:tc>
        <w:tc>
          <w:tcPr>
            <w:tcW w:w="1380" w:type="dxa"/>
            <w:tcBorders>
              <w:bottom w:val="single" w:sz="4" w:space="0" w:color="000000"/>
            </w:tcBorders>
            <w:vAlign w:val="center"/>
          </w:tcPr>
          <w:p w14:paraId="42E6E478"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2015</w:t>
            </w:r>
          </w:p>
        </w:tc>
        <w:tc>
          <w:tcPr>
            <w:tcW w:w="892" w:type="dxa"/>
            <w:vMerge/>
            <w:tcBorders>
              <w:bottom w:val="single" w:sz="4" w:space="0" w:color="000000"/>
            </w:tcBorders>
            <w:vAlign w:val="center"/>
          </w:tcPr>
          <w:p w14:paraId="2ED7A77C" w14:textId="77777777" w:rsidR="0085792A" w:rsidRPr="0085792A" w:rsidRDefault="0085792A" w:rsidP="0085792A">
            <w:pPr>
              <w:spacing w:before="20" w:after="20"/>
              <w:jc w:val="center"/>
              <w:rPr>
                <w:rFonts w:eastAsia="Times New Roman"/>
                <w:b/>
                <w:sz w:val="18"/>
                <w:szCs w:val="18"/>
                <w:lang w:val="es-ES"/>
              </w:rPr>
            </w:pPr>
          </w:p>
        </w:tc>
        <w:tc>
          <w:tcPr>
            <w:tcW w:w="936" w:type="dxa"/>
            <w:tcBorders>
              <w:bottom w:val="single" w:sz="4" w:space="0" w:color="000000"/>
            </w:tcBorders>
            <w:vAlign w:val="center"/>
          </w:tcPr>
          <w:p w14:paraId="22411C5C"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2014</w:t>
            </w:r>
          </w:p>
        </w:tc>
        <w:tc>
          <w:tcPr>
            <w:tcW w:w="996" w:type="dxa"/>
            <w:tcBorders>
              <w:bottom w:val="single" w:sz="4" w:space="0" w:color="000000"/>
            </w:tcBorders>
            <w:vAlign w:val="center"/>
          </w:tcPr>
          <w:p w14:paraId="36E9C6DF"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2015</w:t>
            </w:r>
          </w:p>
        </w:tc>
      </w:tr>
      <w:tr w:rsidR="0085792A" w:rsidRPr="0085792A" w14:paraId="1D29EFFD" w14:textId="77777777" w:rsidTr="00AC0335">
        <w:trPr>
          <w:jc w:val="center"/>
        </w:trPr>
        <w:tc>
          <w:tcPr>
            <w:tcW w:w="3257" w:type="dxa"/>
            <w:tcBorders>
              <w:bottom w:val="nil"/>
            </w:tcBorders>
            <w:shd w:val="clear" w:color="auto" w:fill="auto"/>
            <w:vAlign w:val="center"/>
          </w:tcPr>
          <w:p w14:paraId="449B6BBA"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Estados Unidos de Norteamérica</w:t>
            </w:r>
          </w:p>
        </w:tc>
        <w:tc>
          <w:tcPr>
            <w:tcW w:w="1379" w:type="dxa"/>
            <w:tcBorders>
              <w:bottom w:val="nil"/>
            </w:tcBorders>
            <w:shd w:val="clear" w:color="auto" w:fill="auto"/>
            <w:vAlign w:val="center"/>
          </w:tcPr>
          <w:p w14:paraId="19808934"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428 376</w:t>
            </w:r>
          </w:p>
        </w:tc>
        <w:tc>
          <w:tcPr>
            <w:tcW w:w="1380" w:type="dxa"/>
            <w:tcBorders>
              <w:bottom w:val="nil"/>
            </w:tcBorders>
            <w:shd w:val="clear" w:color="auto" w:fill="auto"/>
            <w:vAlign w:val="center"/>
          </w:tcPr>
          <w:p w14:paraId="731C4011"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482 288</w:t>
            </w:r>
          </w:p>
        </w:tc>
        <w:tc>
          <w:tcPr>
            <w:tcW w:w="892" w:type="dxa"/>
            <w:tcBorders>
              <w:bottom w:val="nil"/>
            </w:tcBorders>
            <w:shd w:val="clear" w:color="auto" w:fill="auto"/>
            <w:vAlign w:val="center"/>
          </w:tcPr>
          <w:p w14:paraId="1DD2C483"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12.6</w:t>
            </w:r>
          </w:p>
        </w:tc>
        <w:tc>
          <w:tcPr>
            <w:tcW w:w="936" w:type="dxa"/>
            <w:tcBorders>
              <w:bottom w:val="nil"/>
            </w:tcBorders>
            <w:shd w:val="clear" w:color="auto" w:fill="auto"/>
            <w:vAlign w:val="center"/>
          </w:tcPr>
          <w:p w14:paraId="39C9A4A4"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70.7</w:t>
            </w:r>
          </w:p>
        </w:tc>
        <w:tc>
          <w:tcPr>
            <w:tcW w:w="996" w:type="dxa"/>
            <w:tcBorders>
              <w:bottom w:val="nil"/>
            </w:tcBorders>
            <w:shd w:val="clear" w:color="auto" w:fill="auto"/>
            <w:vAlign w:val="center"/>
          </w:tcPr>
          <w:p w14:paraId="07BDF342"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70.0</w:t>
            </w:r>
          </w:p>
        </w:tc>
      </w:tr>
      <w:tr w:rsidR="0085792A" w:rsidRPr="0085792A" w14:paraId="7786F413" w14:textId="77777777" w:rsidTr="00AC0335">
        <w:trPr>
          <w:jc w:val="center"/>
        </w:trPr>
        <w:tc>
          <w:tcPr>
            <w:tcW w:w="3257" w:type="dxa"/>
            <w:tcBorders>
              <w:top w:val="nil"/>
              <w:bottom w:val="nil"/>
            </w:tcBorders>
            <w:shd w:val="clear" w:color="auto" w:fill="auto"/>
            <w:vAlign w:val="center"/>
          </w:tcPr>
          <w:p w14:paraId="6CE87B8C"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Canadá</w:t>
            </w:r>
          </w:p>
        </w:tc>
        <w:tc>
          <w:tcPr>
            <w:tcW w:w="1379" w:type="dxa"/>
            <w:tcBorders>
              <w:top w:val="nil"/>
              <w:bottom w:val="nil"/>
            </w:tcBorders>
            <w:shd w:val="clear" w:color="auto" w:fill="auto"/>
            <w:vAlign w:val="center"/>
          </w:tcPr>
          <w:p w14:paraId="2DD8A45E"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60 859</w:t>
            </w:r>
          </w:p>
        </w:tc>
        <w:tc>
          <w:tcPr>
            <w:tcW w:w="1380" w:type="dxa"/>
            <w:tcBorders>
              <w:top w:val="nil"/>
              <w:bottom w:val="nil"/>
            </w:tcBorders>
            <w:shd w:val="clear" w:color="auto" w:fill="auto"/>
            <w:vAlign w:val="center"/>
          </w:tcPr>
          <w:p w14:paraId="6B268363"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81 188</w:t>
            </w:r>
          </w:p>
        </w:tc>
        <w:tc>
          <w:tcPr>
            <w:tcW w:w="892" w:type="dxa"/>
            <w:tcBorders>
              <w:top w:val="nil"/>
              <w:bottom w:val="nil"/>
            </w:tcBorders>
            <w:shd w:val="clear" w:color="auto" w:fill="auto"/>
            <w:vAlign w:val="center"/>
          </w:tcPr>
          <w:p w14:paraId="3F8B539E"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33.4</w:t>
            </w:r>
          </w:p>
        </w:tc>
        <w:tc>
          <w:tcPr>
            <w:tcW w:w="936" w:type="dxa"/>
            <w:tcBorders>
              <w:top w:val="nil"/>
              <w:bottom w:val="nil"/>
            </w:tcBorders>
            <w:shd w:val="clear" w:color="auto" w:fill="auto"/>
            <w:vAlign w:val="center"/>
          </w:tcPr>
          <w:p w14:paraId="5F13A88B"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10.0</w:t>
            </w:r>
          </w:p>
        </w:tc>
        <w:tc>
          <w:tcPr>
            <w:tcW w:w="996" w:type="dxa"/>
            <w:tcBorders>
              <w:top w:val="nil"/>
              <w:bottom w:val="nil"/>
            </w:tcBorders>
            <w:shd w:val="clear" w:color="auto" w:fill="auto"/>
            <w:vAlign w:val="center"/>
          </w:tcPr>
          <w:p w14:paraId="1035B5AA"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11.8</w:t>
            </w:r>
          </w:p>
        </w:tc>
      </w:tr>
      <w:tr w:rsidR="0085792A" w:rsidRPr="0085792A" w14:paraId="644CEC54" w14:textId="77777777" w:rsidTr="00AC0335">
        <w:trPr>
          <w:jc w:val="center"/>
        </w:trPr>
        <w:tc>
          <w:tcPr>
            <w:tcW w:w="3257" w:type="dxa"/>
            <w:tcBorders>
              <w:top w:val="nil"/>
              <w:bottom w:val="nil"/>
            </w:tcBorders>
            <w:shd w:val="clear" w:color="auto" w:fill="auto"/>
            <w:vAlign w:val="center"/>
          </w:tcPr>
          <w:p w14:paraId="0F4E7B62"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Latinoamérica</w:t>
            </w:r>
          </w:p>
        </w:tc>
        <w:tc>
          <w:tcPr>
            <w:tcW w:w="1379" w:type="dxa"/>
            <w:tcBorders>
              <w:top w:val="nil"/>
              <w:bottom w:val="nil"/>
            </w:tcBorders>
            <w:shd w:val="clear" w:color="auto" w:fill="auto"/>
            <w:vAlign w:val="center"/>
          </w:tcPr>
          <w:p w14:paraId="50E02974"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63 669</w:t>
            </w:r>
          </w:p>
        </w:tc>
        <w:tc>
          <w:tcPr>
            <w:tcW w:w="1380" w:type="dxa"/>
            <w:tcBorders>
              <w:top w:val="nil"/>
              <w:bottom w:val="nil"/>
            </w:tcBorders>
            <w:shd w:val="clear" w:color="auto" w:fill="auto"/>
            <w:vAlign w:val="center"/>
          </w:tcPr>
          <w:p w14:paraId="42A33297"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48 377</w:t>
            </w:r>
          </w:p>
        </w:tc>
        <w:tc>
          <w:tcPr>
            <w:tcW w:w="892" w:type="dxa"/>
            <w:tcBorders>
              <w:top w:val="nil"/>
              <w:bottom w:val="nil"/>
            </w:tcBorders>
            <w:shd w:val="clear" w:color="auto" w:fill="auto"/>
            <w:vAlign w:val="center"/>
          </w:tcPr>
          <w:p w14:paraId="09D89078"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-24.0</w:t>
            </w:r>
          </w:p>
        </w:tc>
        <w:tc>
          <w:tcPr>
            <w:tcW w:w="936" w:type="dxa"/>
            <w:tcBorders>
              <w:top w:val="nil"/>
              <w:bottom w:val="nil"/>
            </w:tcBorders>
            <w:shd w:val="clear" w:color="auto" w:fill="auto"/>
            <w:vAlign w:val="center"/>
          </w:tcPr>
          <w:p w14:paraId="542AF541"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10.5</w:t>
            </w:r>
          </w:p>
        </w:tc>
        <w:tc>
          <w:tcPr>
            <w:tcW w:w="996" w:type="dxa"/>
            <w:tcBorders>
              <w:top w:val="nil"/>
              <w:bottom w:val="nil"/>
            </w:tcBorders>
            <w:shd w:val="clear" w:color="auto" w:fill="auto"/>
            <w:vAlign w:val="center"/>
          </w:tcPr>
          <w:p w14:paraId="0F0F9828"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7.0</w:t>
            </w:r>
          </w:p>
        </w:tc>
      </w:tr>
      <w:tr w:rsidR="0085792A" w:rsidRPr="0085792A" w14:paraId="3A5BEE30" w14:textId="77777777" w:rsidTr="00AC0335">
        <w:trPr>
          <w:jc w:val="center"/>
        </w:trPr>
        <w:tc>
          <w:tcPr>
            <w:tcW w:w="3257" w:type="dxa"/>
            <w:tcBorders>
              <w:top w:val="nil"/>
              <w:bottom w:val="nil"/>
            </w:tcBorders>
            <w:vAlign w:val="center"/>
          </w:tcPr>
          <w:p w14:paraId="76133C63"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Asia</w:t>
            </w:r>
          </w:p>
        </w:tc>
        <w:tc>
          <w:tcPr>
            <w:tcW w:w="1379" w:type="dxa"/>
            <w:tcBorders>
              <w:top w:val="nil"/>
              <w:bottom w:val="nil"/>
            </w:tcBorders>
            <w:vAlign w:val="center"/>
          </w:tcPr>
          <w:p w14:paraId="5B00950E"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24 778</w:t>
            </w:r>
          </w:p>
        </w:tc>
        <w:tc>
          <w:tcPr>
            <w:tcW w:w="1380" w:type="dxa"/>
            <w:tcBorders>
              <w:top w:val="nil"/>
              <w:bottom w:val="nil"/>
            </w:tcBorders>
            <w:vAlign w:val="center"/>
          </w:tcPr>
          <w:p w14:paraId="406313ED"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28 294</w:t>
            </w:r>
          </w:p>
        </w:tc>
        <w:tc>
          <w:tcPr>
            <w:tcW w:w="892" w:type="dxa"/>
            <w:tcBorders>
              <w:top w:val="nil"/>
              <w:bottom w:val="nil"/>
            </w:tcBorders>
            <w:vAlign w:val="center"/>
          </w:tcPr>
          <w:p w14:paraId="34003CC5"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14.2</w:t>
            </w:r>
          </w:p>
        </w:tc>
        <w:tc>
          <w:tcPr>
            <w:tcW w:w="936" w:type="dxa"/>
            <w:tcBorders>
              <w:top w:val="nil"/>
              <w:bottom w:val="nil"/>
            </w:tcBorders>
            <w:vAlign w:val="center"/>
          </w:tcPr>
          <w:p w14:paraId="08282AF6"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4.1</w:t>
            </w:r>
          </w:p>
        </w:tc>
        <w:tc>
          <w:tcPr>
            <w:tcW w:w="996" w:type="dxa"/>
            <w:tcBorders>
              <w:top w:val="nil"/>
              <w:bottom w:val="nil"/>
            </w:tcBorders>
            <w:vAlign w:val="center"/>
          </w:tcPr>
          <w:p w14:paraId="0804C73C"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4.1</w:t>
            </w:r>
          </w:p>
        </w:tc>
      </w:tr>
      <w:tr w:rsidR="0085792A" w:rsidRPr="0085792A" w14:paraId="46735320" w14:textId="77777777" w:rsidTr="00AC0335">
        <w:trPr>
          <w:jc w:val="center"/>
        </w:trPr>
        <w:tc>
          <w:tcPr>
            <w:tcW w:w="3257" w:type="dxa"/>
            <w:tcBorders>
              <w:top w:val="nil"/>
              <w:bottom w:val="nil"/>
            </w:tcBorders>
            <w:shd w:val="clear" w:color="auto" w:fill="auto"/>
            <w:vAlign w:val="center"/>
          </w:tcPr>
          <w:p w14:paraId="73CD7369"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Europa</w:t>
            </w:r>
          </w:p>
        </w:tc>
        <w:tc>
          <w:tcPr>
            <w:tcW w:w="1379" w:type="dxa"/>
            <w:tcBorders>
              <w:top w:val="nil"/>
              <w:bottom w:val="nil"/>
            </w:tcBorders>
            <w:shd w:val="clear" w:color="auto" w:fill="auto"/>
            <w:vAlign w:val="center"/>
          </w:tcPr>
          <w:p w14:paraId="2BD18A64"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24 758</w:t>
            </w:r>
          </w:p>
        </w:tc>
        <w:tc>
          <w:tcPr>
            <w:tcW w:w="1380" w:type="dxa"/>
            <w:tcBorders>
              <w:top w:val="nil"/>
              <w:bottom w:val="nil"/>
            </w:tcBorders>
            <w:shd w:val="clear" w:color="auto" w:fill="auto"/>
            <w:vAlign w:val="center"/>
          </w:tcPr>
          <w:p w14:paraId="20B6F2ED"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24 047</w:t>
            </w:r>
          </w:p>
        </w:tc>
        <w:tc>
          <w:tcPr>
            <w:tcW w:w="892" w:type="dxa"/>
            <w:tcBorders>
              <w:top w:val="nil"/>
              <w:bottom w:val="nil"/>
            </w:tcBorders>
            <w:shd w:val="clear" w:color="auto" w:fill="auto"/>
            <w:vAlign w:val="center"/>
          </w:tcPr>
          <w:p w14:paraId="25922459"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-2.9</w:t>
            </w:r>
          </w:p>
        </w:tc>
        <w:tc>
          <w:tcPr>
            <w:tcW w:w="936" w:type="dxa"/>
            <w:tcBorders>
              <w:top w:val="nil"/>
              <w:bottom w:val="nil"/>
            </w:tcBorders>
            <w:shd w:val="clear" w:color="auto" w:fill="auto"/>
            <w:vAlign w:val="center"/>
          </w:tcPr>
          <w:p w14:paraId="72893149"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4.1</w:t>
            </w:r>
          </w:p>
        </w:tc>
        <w:tc>
          <w:tcPr>
            <w:tcW w:w="996" w:type="dxa"/>
            <w:tcBorders>
              <w:top w:val="nil"/>
              <w:bottom w:val="nil"/>
            </w:tcBorders>
            <w:shd w:val="clear" w:color="auto" w:fill="auto"/>
            <w:vAlign w:val="center"/>
          </w:tcPr>
          <w:p w14:paraId="1434BE40"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3.5</w:t>
            </w:r>
          </w:p>
        </w:tc>
      </w:tr>
      <w:tr w:rsidR="0085792A" w:rsidRPr="0085792A" w14:paraId="2E8B3A18" w14:textId="77777777" w:rsidTr="00AC0335">
        <w:trPr>
          <w:jc w:val="center"/>
        </w:trPr>
        <w:tc>
          <w:tcPr>
            <w:tcW w:w="3257" w:type="dxa"/>
            <w:tcBorders>
              <w:top w:val="nil"/>
              <w:bottom w:val="nil"/>
            </w:tcBorders>
            <w:shd w:val="clear" w:color="auto" w:fill="auto"/>
            <w:vAlign w:val="center"/>
          </w:tcPr>
          <w:p w14:paraId="5148BD1A"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África</w:t>
            </w:r>
          </w:p>
        </w:tc>
        <w:tc>
          <w:tcPr>
            <w:tcW w:w="1379" w:type="dxa"/>
            <w:tcBorders>
              <w:top w:val="nil"/>
              <w:bottom w:val="nil"/>
            </w:tcBorders>
            <w:shd w:val="clear" w:color="auto" w:fill="auto"/>
            <w:vAlign w:val="center"/>
          </w:tcPr>
          <w:p w14:paraId="6E8B7D69"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398</w:t>
            </w:r>
          </w:p>
        </w:tc>
        <w:tc>
          <w:tcPr>
            <w:tcW w:w="1380" w:type="dxa"/>
            <w:tcBorders>
              <w:top w:val="nil"/>
              <w:bottom w:val="nil"/>
            </w:tcBorders>
            <w:shd w:val="clear" w:color="auto" w:fill="auto"/>
            <w:vAlign w:val="center"/>
          </w:tcPr>
          <w:p w14:paraId="785725B8"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630</w:t>
            </w:r>
          </w:p>
        </w:tc>
        <w:tc>
          <w:tcPr>
            <w:tcW w:w="892" w:type="dxa"/>
            <w:tcBorders>
              <w:top w:val="nil"/>
              <w:bottom w:val="nil"/>
            </w:tcBorders>
            <w:shd w:val="clear" w:color="auto" w:fill="auto"/>
            <w:vAlign w:val="center"/>
          </w:tcPr>
          <w:p w14:paraId="424EF85C"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58.3</w:t>
            </w:r>
          </w:p>
        </w:tc>
        <w:tc>
          <w:tcPr>
            <w:tcW w:w="936" w:type="dxa"/>
            <w:tcBorders>
              <w:top w:val="nil"/>
              <w:bottom w:val="nil"/>
            </w:tcBorders>
            <w:shd w:val="clear" w:color="auto" w:fill="auto"/>
            <w:vAlign w:val="center"/>
          </w:tcPr>
          <w:p w14:paraId="6A9AA647"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0.1</w:t>
            </w:r>
          </w:p>
        </w:tc>
        <w:tc>
          <w:tcPr>
            <w:tcW w:w="996" w:type="dxa"/>
            <w:tcBorders>
              <w:top w:val="nil"/>
              <w:bottom w:val="nil"/>
            </w:tcBorders>
            <w:shd w:val="clear" w:color="auto" w:fill="auto"/>
            <w:vAlign w:val="center"/>
          </w:tcPr>
          <w:p w14:paraId="49E9EF39"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0.1</w:t>
            </w:r>
          </w:p>
        </w:tc>
      </w:tr>
      <w:tr w:rsidR="0085792A" w:rsidRPr="0085792A" w14:paraId="522D87AE" w14:textId="77777777" w:rsidTr="00AC0335">
        <w:trPr>
          <w:jc w:val="center"/>
        </w:trPr>
        <w:tc>
          <w:tcPr>
            <w:tcW w:w="3257" w:type="dxa"/>
            <w:tcBorders>
              <w:top w:val="nil"/>
              <w:bottom w:val="nil"/>
            </w:tcBorders>
            <w:shd w:val="clear" w:color="auto" w:fill="auto"/>
            <w:vAlign w:val="center"/>
          </w:tcPr>
          <w:p w14:paraId="2E408323"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Otros</w:t>
            </w:r>
          </w:p>
        </w:tc>
        <w:tc>
          <w:tcPr>
            <w:tcW w:w="1379" w:type="dxa"/>
            <w:tcBorders>
              <w:top w:val="nil"/>
              <w:bottom w:val="nil"/>
            </w:tcBorders>
            <w:shd w:val="clear" w:color="auto" w:fill="auto"/>
            <w:vAlign w:val="center"/>
          </w:tcPr>
          <w:p w14:paraId="7BF39613" w14:textId="77777777" w:rsidR="0085792A" w:rsidRPr="0085792A" w:rsidRDefault="0085792A" w:rsidP="0085792A">
            <w:pPr>
              <w:spacing w:before="20" w:after="20"/>
              <w:ind w:right="317"/>
              <w:jc w:val="right"/>
              <w:rPr>
                <w:rFonts w:eastAsia="Times New Roman"/>
                <w:sz w:val="18"/>
                <w:szCs w:val="18"/>
                <w:lang w:val="es-ES"/>
              </w:rPr>
            </w:pPr>
            <w:r w:rsidRPr="0085792A">
              <w:rPr>
                <w:rFonts w:eastAsia="Times New Roman"/>
                <w:sz w:val="18"/>
                <w:szCs w:val="18"/>
                <w:lang w:val="es-ES"/>
              </w:rPr>
              <w:t>3 366</w:t>
            </w:r>
          </w:p>
        </w:tc>
        <w:tc>
          <w:tcPr>
            <w:tcW w:w="1380" w:type="dxa"/>
            <w:tcBorders>
              <w:top w:val="nil"/>
              <w:bottom w:val="nil"/>
            </w:tcBorders>
            <w:shd w:val="clear" w:color="auto" w:fill="auto"/>
            <w:vAlign w:val="center"/>
          </w:tcPr>
          <w:p w14:paraId="4AD1583A" w14:textId="77777777" w:rsidR="0085792A" w:rsidRPr="0085792A" w:rsidRDefault="0085792A" w:rsidP="0085792A">
            <w:pPr>
              <w:spacing w:before="20" w:after="20"/>
              <w:ind w:right="318"/>
              <w:jc w:val="right"/>
              <w:rPr>
                <w:rFonts w:eastAsia="Times New Roman"/>
                <w:sz w:val="18"/>
                <w:szCs w:val="18"/>
                <w:lang w:val="es-ES"/>
              </w:rPr>
            </w:pPr>
            <w:r w:rsidRPr="0085792A">
              <w:rPr>
                <w:rFonts w:eastAsia="Times New Roman"/>
                <w:sz w:val="18"/>
                <w:szCs w:val="18"/>
                <w:lang w:val="es-ES"/>
              </w:rPr>
              <w:t>23 690</w:t>
            </w:r>
          </w:p>
        </w:tc>
        <w:tc>
          <w:tcPr>
            <w:tcW w:w="892" w:type="dxa"/>
            <w:tcBorders>
              <w:top w:val="nil"/>
              <w:bottom w:val="nil"/>
            </w:tcBorders>
            <w:shd w:val="clear" w:color="auto" w:fill="auto"/>
            <w:vAlign w:val="center"/>
          </w:tcPr>
          <w:p w14:paraId="5C3296B0"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603.8</w:t>
            </w:r>
          </w:p>
        </w:tc>
        <w:tc>
          <w:tcPr>
            <w:tcW w:w="936" w:type="dxa"/>
            <w:tcBorders>
              <w:top w:val="nil"/>
              <w:bottom w:val="nil"/>
            </w:tcBorders>
            <w:shd w:val="clear" w:color="auto" w:fill="auto"/>
            <w:vAlign w:val="center"/>
          </w:tcPr>
          <w:p w14:paraId="1BCBD42D" w14:textId="77777777" w:rsidR="0085792A" w:rsidRPr="0085792A" w:rsidRDefault="0085792A" w:rsidP="00EA1874">
            <w:pPr>
              <w:spacing w:before="20" w:after="20"/>
              <w:ind w:left="113" w:right="170"/>
              <w:jc w:val="right"/>
              <w:rPr>
                <w:rFonts w:eastAsia="Times New Roman"/>
                <w:sz w:val="18"/>
                <w:szCs w:val="18"/>
                <w:lang w:val="es-ES"/>
              </w:rPr>
            </w:pPr>
            <w:r w:rsidRPr="0085792A">
              <w:rPr>
                <w:rFonts w:eastAsia="Times New Roman"/>
                <w:sz w:val="18"/>
                <w:szCs w:val="18"/>
                <w:lang w:val="es-ES"/>
              </w:rPr>
              <w:t>0.6</w:t>
            </w:r>
          </w:p>
        </w:tc>
        <w:tc>
          <w:tcPr>
            <w:tcW w:w="996" w:type="dxa"/>
            <w:tcBorders>
              <w:top w:val="nil"/>
              <w:bottom w:val="nil"/>
            </w:tcBorders>
            <w:shd w:val="clear" w:color="auto" w:fill="auto"/>
            <w:vAlign w:val="center"/>
          </w:tcPr>
          <w:p w14:paraId="75978DF3" w14:textId="77777777" w:rsidR="0085792A" w:rsidRPr="0085792A" w:rsidRDefault="0085792A" w:rsidP="00EA1874">
            <w:pPr>
              <w:spacing w:before="20" w:after="20"/>
              <w:ind w:left="113" w:right="227"/>
              <w:jc w:val="right"/>
              <w:rPr>
                <w:rFonts w:eastAsia="Times New Roman"/>
                <w:sz w:val="18"/>
                <w:szCs w:val="18"/>
                <w:lang w:val="es-ES"/>
              </w:rPr>
            </w:pPr>
            <w:r w:rsidRPr="0085792A">
              <w:rPr>
                <w:rFonts w:eastAsia="Times New Roman"/>
                <w:sz w:val="18"/>
                <w:szCs w:val="18"/>
                <w:lang w:val="es-ES"/>
              </w:rPr>
              <w:t>3.4</w:t>
            </w:r>
          </w:p>
        </w:tc>
      </w:tr>
      <w:tr w:rsidR="0085792A" w:rsidRPr="0085792A" w14:paraId="55E9F106" w14:textId="77777777" w:rsidTr="00AC0335">
        <w:trPr>
          <w:jc w:val="center"/>
        </w:trPr>
        <w:tc>
          <w:tcPr>
            <w:tcW w:w="3257" w:type="dxa"/>
            <w:tcBorders>
              <w:top w:val="nil"/>
              <w:bottom w:val="single" w:sz="4" w:space="0" w:color="000000"/>
            </w:tcBorders>
            <w:vAlign w:val="center"/>
          </w:tcPr>
          <w:p w14:paraId="37BB0756" w14:textId="77777777" w:rsidR="0085792A" w:rsidRPr="0085792A" w:rsidRDefault="0085792A" w:rsidP="0085792A">
            <w:pPr>
              <w:spacing w:before="20" w:after="20"/>
              <w:rPr>
                <w:rFonts w:eastAsia="Times New Roman"/>
                <w:b/>
                <w:bCs/>
                <w:sz w:val="18"/>
                <w:szCs w:val="18"/>
                <w:lang w:val="es-ES"/>
              </w:rPr>
            </w:pPr>
            <w:r w:rsidRPr="0085792A">
              <w:rPr>
                <w:rFonts w:eastAsia="Times New Roman"/>
                <w:b/>
                <w:bCs/>
                <w:sz w:val="18"/>
                <w:szCs w:val="18"/>
                <w:lang w:val="es-ES"/>
              </w:rPr>
              <w:t>EXPORTACIÓN TOTAL</w:t>
            </w:r>
          </w:p>
        </w:tc>
        <w:tc>
          <w:tcPr>
            <w:tcW w:w="1379" w:type="dxa"/>
            <w:tcBorders>
              <w:top w:val="nil"/>
              <w:bottom w:val="single" w:sz="4" w:space="0" w:color="000000"/>
            </w:tcBorders>
            <w:vAlign w:val="center"/>
          </w:tcPr>
          <w:p w14:paraId="1D154204" w14:textId="77777777" w:rsidR="0085792A" w:rsidRPr="0085792A" w:rsidRDefault="0085792A" w:rsidP="0085792A">
            <w:pPr>
              <w:spacing w:before="20" w:after="20"/>
              <w:ind w:right="317"/>
              <w:jc w:val="right"/>
              <w:rPr>
                <w:rFonts w:eastAsia="Times New Roman"/>
                <w:b/>
                <w:sz w:val="18"/>
                <w:szCs w:val="18"/>
                <w:lang w:val="es-ES"/>
              </w:rPr>
            </w:pPr>
            <w:r w:rsidRPr="0085792A">
              <w:rPr>
                <w:rFonts w:eastAsia="Times New Roman"/>
                <w:b/>
                <w:sz w:val="18"/>
                <w:szCs w:val="18"/>
                <w:lang w:val="es-ES"/>
              </w:rPr>
              <w:t>606 204</w:t>
            </w:r>
          </w:p>
        </w:tc>
        <w:tc>
          <w:tcPr>
            <w:tcW w:w="1380" w:type="dxa"/>
            <w:tcBorders>
              <w:top w:val="nil"/>
              <w:bottom w:val="single" w:sz="4" w:space="0" w:color="000000"/>
            </w:tcBorders>
            <w:vAlign w:val="center"/>
          </w:tcPr>
          <w:p w14:paraId="539249C6" w14:textId="77777777" w:rsidR="0085792A" w:rsidRPr="0085792A" w:rsidRDefault="0085792A" w:rsidP="0085792A">
            <w:pPr>
              <w:spacing w:before="20" w:after="20"/>
              <w:ind w:right="318"/>
              <w:jc w:val="right"/>
              <w:rPr>
                <w:rFonts w:eastAsia="Times New Roman"/>
                <w:b/>
                <w:sz w:val="18"/>
                <w:szCs w:val="18"/>
                <w:lang w:val="es-ES"/>
              </w:rPr>
            </w:pPr>
            <w:r w:rsidRPr="0085792A">
              <w:rPr>
                <w:rFonts w:eastAsia="Times New Roman"/>
                <w:b/>
                <w:sz w:val="18"/>
                <w:szCs w:val="18"/>
                <w:lang w:val="es-ES"/>
              </w:rPr>
              <w:t>688 514</w:t>
            </w:r>
          </w:p>
        </w:tc>
        <w:tc>
          <w:tcPr>
            <w:tcW w:w="892" w:type="dxa"/>
            <w:tcBorders>
              <w:top w:val="nil"/>
              <w:bottom w:val="single" w:sz="4" w:space="0" w:color="000000"/>
            </w:tcBorders>
            <w:vAlign w:val="center"/>
          </w:tcPr>
          <w:p w14:paraId="2E252538" w14:textId="77777777" w:rsidR="0085792A" w:rsidRPr="0085792A" w:rsidRDefault="0085792A" w:rsidP="0085792A">
            <w:pPr>
              <w:spacing w:before="20" w:after="20"/>
              <w:ind w:right="113"/>
              <w:jc w:val="right"/>
              <w:rPr>
                <w:rFonts w:eastAsia="Times New Roman"/>
                <w:b/>
                <w:sz w:val="18"/>
                <w:szCs w:val="18"/>
                <w:lang w:val="es-ES"/>
              </w:rPr>
            </w:pPr>
            <w:r w:rsidRPr="0085792A">
              <w:rPr>
                <w:rFonts w:eastAsia="Times New Roman"/>
                <w:b/>
                <w:sz w:val="18"/>
                <w:szCs w:val="18"/>
                <w:lang w:val="es-ES"/>
              </w:rPr>
              <w:t>13.6</w:t>
            </w:r>
          </w:p>
        </w:tc>
        <w:tc>
          <w:tcPr>
            <w:tcW w:w="936" w:type="dxa"/>
            <w:tcBorders>
              <w:top w:val="nil"/>
              <w:bottom w:val="single" w:sz="4" w:space="0" w:color="000000"/>
            </w:tcBorders>
            <w:vAlign w:val="center"/>
          </w:tcPr>
          <w:p w14:paraId="6211AB96"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100.0</w:t>
            </w:r>
          </w:p>
        </w:tc>
        <w:tc>
          <w:tcPr>
            <w:tcW w:w="996" w:type="dxa"/>
            <w:tcBorders>
              <w:top w:val="nil"/>
              <w:bottom w:val="single" w:sz="4" w:space="0" w:color="000000"/>
            </w:tcBorders>
            <w:vAlign w:val="center"/>
          </w:tcPr>
          <w:p w14:paraId="5AF075F4"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100.0</w:t>
            </w:r>
          </w:p>
        </w:tc>
      </w:tr>
      <w:tr w:rsidR="0085792A" w:rsidRPr="0085792A" w14:paraId="7577DB5B" w14:textId="77777777" w:rsidTr="00AC0335">
        <w:trPr>
          <w:jc w:val="center"/>
        </w:trPr>
        <w:tc>
          <w:tcPr>
            <w:tcW w:w="8840" w:type="dxa"/>
            <w:gridSpan w:val="6"/>
            <w:tcBorders>
              <w:left w:val="nil"/>
              <w:bottom w:val="nil"/>
              <w:right w:val="nil"/>
            </w:tcBorders>
            <w:vAlign w:val="bottom"/>
          </w:tcPr>
          <w:p w14:paraId="0AD055CA" w14:textId="77777777" w:rsidR="0085792A" w:rsidRPr="0085792A" w:rsidRDefault="0085792A" w:rsidP="0085792A">
            <w:pPr>
              <w:jc w:val="both"/>
              <w:rPr>
                <w:rFonts w:eastAsia="Times New Roman"/>
                <w:b/>
                <w:bCs/>
                <w:sz w:val="20"/>
                <w:szCs w:val="20"/>
                <w:lang w:val="es-ES"/>
              </w:rPr>
            </w:pPr>
            <w:r w:rsidRPr="0085792A">
              <w:rPr>
                <w:rFonts w:eastAsia="Times New Roman"/>
                <w:bCs/>
                <w:sz w:val="20"/>
                <w:szCs w:val="20"/>
                <w:lang w:val="es-ES"/>
              </w:rPr>
              <w:t>FUENTE: AMIA, con datos de sus asociados.</w:t>
            </w:r>
          </w:p>
        </w:tc>
      </w:tr>
    </w:tbl>
    <w:p w14:paraId="12271C03" w14:textId="77777777" w:rsidR="0085792A" w:rsidRPr="0085792A" w:rsidRDefault="0085792A" w:rsidP="0085792A">
      <w:pPr>
        <w:spacing w:after="360" w:line="360" w:lineRule="auto"/>
        <w:ind w:right="-159"/>
        <w:jc w:val="both"/>
        <w:rPr>
          <w:rFonts w:eastAsia="Times New Roman"/>
          <w:sz w:val="26"/>
          <w:szCs w:val="26"/>
          <w:lang w:val="es-ES"/>
        </w:rPr>
      </w:pPr>
    </w:p>
    <w:p w14:paraId="016A4C93" w14:textId="18A25569"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lastRenderedPageBreak/>
        <w:t>Los datos de exportación por regiones muestran el mayor crecimiento para África, Canadá, Asia y Estados Unidos de Norteamérica con 58.3, 33.4, 14.2 y 12.6% respectivamente</w:t>
      </w:r>
      <w:r w:rsidR="004337CD">
        <w:rPr>
          <w:rFonts w:eastAsia="Times New Roman"/>
          <w:sz w:val="26"/>
          <w:szCs w:val="26"/>
          <w:lang w:val="es-ES"/>
        </w:rPr>
        <w:t>,</w:t>
      </w:r>
      <w:r w:rsidRPr="0085792A">
        <w:rPr>
          <w:rFonts w:eastAsia="Times New Roman"/>
          <w:sz w:val="26"/>
          <w:szCs w:val="26"/>
          <w:lang w:val="es-ES"/>
        </w:rPr>
        <w:t xml:space="preserve"> de unidades adicionales a las exportadas en el primer trimestre de 2014. Europa vuelve a tener tasas decrecientes y la región de Latinoamérica continúa con tasas negativas. Cabe señalar que la exportación a los países del Tratado de Libre Comercio de América del Norte (TLCAN) representa casi el 82% del total exportado.</w:t>
      </w:r>
    </w:p>
    <w:p w14:paraId="660860B1" w14:textId="77777777" w:rsidR="0085792A" w:rsidRPr="0085792A" w:rsidRDefault="0085792A" w:rsidP="0085792A">
      <w:pPr>
        <w:spacing w:before="360" w:after="360" w:line="360" w:lineRule="auto"/>
        <w:ind w:right="-159"/>
        <w:jc w:val="both"/>
        <w:rPr>
          <w:rFonts w:eastAsia="Times New Roman"/>
          <w:b/>
          <w:sz w:val="26"/>
          <w:szCs w:val="26"/>
          <w:lang w:val="es-ES"/>
        </w:rPr>
      </w:pPr>
      <w:r w:rsidRPr="0085792A">
        <w:rPr>
          <w:rFonts w:eastAsia="Times New Roman"/>
          <w:b/>
          <w:sz w:val="26"/>
          <w:szCs w:val="26"/>
          <w:lang w:val="es-ES"/>
        </w:rPr>
        <w:t>Clasificación de los principales destinos de exportación de México</w:t>
      </w:r>
    </w:p>
    <w:p w14:paraId="6A725678" w14:textId="77777777" w:rsidR="0085792A" w:rsidRPr="0085792A" w:rsidRDefault="0085792A" w:rsidP="0085792A">
      <w:pPr>
        <w:spacing w:before="360" w:after="360" w:line="360" w:lineRule="auto"/>
        <w:ind w:right="-159"/>
        <w:jc w:val="both"/>
        <w:rPr>
          <w:rFonts w:eastAsia="Times New Roman"/>
          <w:sz w:val="26"/>
          <w:szCs w:val="26"/>
          <w:lang w:val="es-ES"/>
        </w:rPr>
      </w:pPr>
      <w:r w:rsidRPr="0085792A">
        <w:rPr>
          <w:rFonts w:eastAsia="Times New Roman"/>
          <w:sz w:val="26"/>
          <w:szCs w:val="26"/>
          <w:lang w:val="es-ES"/>
        </w:rPr>
        <w:t>Durante el primer trimestre de 2015, los vehículos ligeros que México comercializó en el exterior fueron enviados principalmente a Estados Unidos de Norteamérica, representando el 70.0% del total de las exportaciones, como segundo destino se tuvo a Canadá con el 11.8%, y en tercer lugar está Alemania con el 2.6%, no obstante el decremento de 16.7 por ciento.</w:t>
      </w:r>
    </w:p>
    <w:tbl>
      <w:tblPr>
        <w:tblW w:w="978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70" w:type="dxa"/>
          <w:bottom w:w="28" w:type="dxa"/>
          <w:right w:w="70" w:type="dxa"/>
        </w:tblCellMar>
        <w:tblLook w:val="04A0" w:firstRow="1" w:lastRow="0" w:firstColumn="1" w:lastColumn="0" w:noHBand="0" w:noVBand="1"/>
      </w:tblPr>
      <w:tblGrid>
        <w:gridCol w:w="709"/>
        <w:gridCol w:w="160"/>
        <w:gridCol w:w="832"/>
        <w:gridCol w:w="2552"/>
        <w:gridCol w:w="1134"/>
        <w:gridCol w:w="1276"/>
        <w:gridCol w:w="1192"/>
        <w:gridCol w:w="940"/>
        <w:gridCol w:w="987"/>
      </w:tblGrid>
      <w:tr w:rsidR="0085792A" w:rsidRPr="0085792A" w14:paraId="7317F637" w14:textId="77777777" w:rsidTr="0085792A">
        <w:trPr>
          <w:trHeight w:val="258"/>
          <w:jc w:val="center"/>
        </w:trPr>
        <w:tc>
          <w:tcPr>
            <w:tcW w:w="9782" w:type="dxa"/>
            <w:gridSpan w:val="9"/>
            <w:tcBorders>
              <w:top w:val="nil"/>
              <w:left w:val="nil"/>
              <w:right w:val="nil"/>
            </w:tcBorders>
            <w:shd w:val="clear" w:color="auto" w:fill="auto"/>
          </w:tcPr>
          <w:p w14:paraId="49DE600F" w14:textId="77777777" w:rsidR="0085792A" w:rsidRPr="0085792A" w:rsidRDefault="0085792A" w:rsidP="0085792A">
            <w:pPr>
              <w:jc w:val="center"/>
              <w:rPr>
                <w:rFonts w:eastAsia="Times New Roman"/>
                <w:b/>
                <w:bCs/>
                <w:sz w:val="22"/>
                <w:szCs w:val="18"/>
                <w:lang w:eastAsia="es-MX"/>
              </w:rPr>
            </w:pPr>
            <w:r w:rsidRPr="0085792A">
              <w:rPr>
                <w:rFonts w:eastAsia="Times New Roman"/>
                <w:b/>
                <w:bCs/>
                <w:sz w:val="22"/>
                <w:szCs w:val="18"/>
                <w:lang w:eastAsia="es-MX"/>
              </w:rPr>
              <w:t>CLASIFICACIÓN DE LA EXPORTACIÓN DE MÉXICO 2014-2015</w:t>
            </w:r>
          </w:p>
        </w:tc>
      </w:tr>
      <w:tr w:rsidR="0085792A" w:rsidRPr="0085792A" w14:paraId="32C2E1B6" w14:textId="77777777" w:rsidTr="0085792A">
        <w:trPr>
          <w:trHeight w:val="158"/>
          <w:jc w:val="center"/>
        </w:trPr>
        <w:tc>
          <w:tcPr>
            <w:tcW w:w="1701" w:type="dxa"/>
            <w:gridSpan w:val="3"/>
            <w:shd w:val="clear" w:color="auto" w:fill="auto"/>
            <w:vAlign w:val="center"/>
          </w:tcPr>
          <w:p w14:paraId="794D82DB"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Clasificación</w:t>
            </w:r>
          </w:p>
        </w:tc>
        <w:tc>
          <w:tcPr>
            <w:tcW w:w="2552" w:type="dxa"/>
            <w:vMerge w:val="restart"/>
            <w:shd w:val="clear" w:color="auto" w:fill="auto"/>
            <w:noWrap/>
            <w:vAlign w:val="center"/>
          </w:tcPr>
          <w:p w14:paraId="2DA1F489"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País</w:t>
            </w:r>
          </w:p>
        </w:tc>
        <w:tc>
          <w:tcPr>
            <w:tcW w:w="2410" w:type="dxa"/>
            <w:gridSpan w:val="2"/>
            <w:shd w:val="clear" w:color="auto" w:fill="auto"/>
            <w:noWrap/>
            <w:vAlign w:val="center"/>
          </w:tcPr>
          <w:p w14:paraId="392EF1AE"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Enero-Marzo</w:t>
            </w:r>
          </w:p>
        </w:tc>
        <w:tc>
          <w:tcPr>
            <w:tcW w:w="1192" w:type="dxa"/>
            <w:vMerge w:val="restart"/>
            <w:shd w:val="clear" w:color="auto" w:fill="auto"/>
            <w:vAlign w:val="center"/>
          </w:tcPr>
          <w:p w14:paraId="58FA65BE"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Participación 2015 (%)</w:t>
            </w:r>
          </w:p>
        </w:tc>
        <w:tc>
          <w:tcPr>
            <w:tcW w:w="1927" w:type="dxa"/>
            <w:gridSpan w:val="2"/>
            <w:shd w:val="clear" w:color="auto" w:fill="auto"/>
            <w:vAlign w:val="center"/>
          </w:tcPr>
          <w:p w14:paraId="191E1972"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Variación</w:t>
            </w:r>
          </w:p>
        </w:tc>
      </w:tr>
      <w:tr w:rsidR="0085792A" w:rsidRPr="0085792A" w14:paraId="079CA920" w14:textId="77777777" w:rsidTr="0085792A">
        <w:trPr>
          <w:trHeight w:val="257"/>
          <w:jc w:val="center"/>
        </w:trPr>
        <w:tc>
          <w:tcPr>
            <w:tcW w:w="869" w:type="dxa"/>
            <w:gridSpan w:val="2"/>
            <w:tcBorders>
              <w:bottom w:val="single" w:sz="8" w:space="0" w:color="auto"/>
            </w:tcBorders>
            <w:shd w:val="clear" w:color="auto" w:fill="auto"/>
            <w:vAlign w:val="center"/>
          </w:tcPr>
          <w:p w14:paraId="7959DEE7" w14:textId="77777777" w:rsidR="0085792A" w:rsidRPr="0085792A" w:rsidRDefault="0085792A" w:rsidP="0085792A">
            <w:pPr>
              <w:jc w:val="center"/>
              <w:rPr>
                <w:rFonts w:eastAsia="Times New Roman"/>
                <w:b/>
                <w:bCs/>
                <w:sz w:val="18"/>
                <w:szCs w:val="18"/>
                <w:lang w:eastAsia="es-MX"/>
              </w:rPr>
            </w:pPr>
            <w:r w:rsidRPr="0085792A">
              <w:rPr>
                <w:rFonts w:eastAsia="Times New Roman"/>
                <w:b/>
                <w:bCs/>
                <w:sz w:val="18"/>
                <w:szCs w:val="18"/>
                <w:lang w:eastAsia="es-MX"/>
              </w:rPr>
              <w:t>2014</w:t>
            </w:r>
          </w:p>
        </w:tc>
        <w:tc>
          <w:tcPr>
            <w:tcW w:w="832" w:type="dxa"/>
            <w:tcBorders>
              <w:bottom w:val="single" w:sz="8" w:space="0" w:color="auto"/>
            </w:tcBorders>
            <w:shd w:val="clear" w:color="auto" w:fill="auto"/>
            <w:vAlign w:val="center"/>
          </w:tcPr>
          <w:p w14:paraId="07C93151"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2015</w:t>
            </w:r>
          </w:p>
        </w:tc>
        <w:tc>
          <w:tcPr>
            <w:tcW w:w="2552" w:type="dxa"/>
            <w:vMerge/>
            <w:tcBorders>
              <w:bottom w:val="single" w:sz="8" w:space="0" w:color="auto"/>
            </w:tcBorders>
            <w:shd w:val="clear" w:color="auto" w:fill="auto"/>
            <w:noWrap/>
            <w:vAlign w:val="center"/>
          </w:tcPr>
          <w:p w14:paraId="4C75AB65" w14:textId="77777777" w:rsidR="0085792A" w:rsidRPr="0085792A" w:rsidRDefault="0085792A" w:rsidP="0085792A">
            <w:pPr>
              <w:spacing w:before="20" w:after="20"/>
              <w:jc w:val="center"/>
              <w:rPr>
                <w:rFonts w:eastAsia="Times New Roman"/>
                <w:b/>
                <w:bCs/>
                <w:sz w:val="18"/>
                <w:szCs w:val="18"/>
                <w:lang w:eastAsia="es-MX"/>
              </w:rPr>
            </w:pPr>
          </w:p>
        </w:tc>
        <w:tc>
          <w:tcPr>
            <w:tcW w:w="1134" w:type="dxa"/>
            <w:tcBorders>
              <w:bottom w:val="single" w:sz="8" w:space="0" w:color="auto"/>
            </w:tcBorders>
            <w:shd w:val="clear" w:color="auto" w:fill="auto"/>
            <w:noWrap/>
            <w:vAlign w:val="center"/>
          </w:tcPr>
          <w:p w14:paraId="593D19A8"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2014</w:t>
            </w:r>
          </w:p>
        </w:tc>
        <w:tc>
          <w:tcPr>
            <w:tcW w:w="1276" w:type="dxa"/>
            <w:tcBorders>
              <w:bottom w:val="single" w:sz="8" w:space="0" w:color="auto"/>
            </w:tcBorders>
            <w:shd w:val="clear" w:color="auto" w:fill="auto"/>
            <w:noWrap/>
            <w:vAlign w:val="center"/>
          </w:tcPr>
          <w:p w14:paraId="180E2550"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2015</w:t>
            </w:r>
          </w:p>
        </w:tc>
        <w:tc>
          <w:tcPr>
            <w:tcW w:w="1192" w:type="dxa"/>
            <w:vMerge/>
            <w:tcBorders>
              <w:bottom w:val="single" w:sz="8" w:space="0" w:color="auto"/>
            </w:tcBorders>
            <w:shd w:val="clear" w:color="auto" w:fill="auto"/>
            <w:noWrap/>
            <w:vAlign w:val="center"/>
          </w:tcPr>
          <w:p w14:paraId="71BA3B63" w14:textId="77777777" w:rsidR="0085792A" w:rsidRPr="0085792A" w:rsidRDefault="0085792A" w:rsidP="0085792A">
            <w:pPr>
              <w:spacing w:before="20" w:after="20"/>
              <w:jc w:val="center"/>
              <w:rPr>
                <w:rFonts w:eastAsia="Times New Roman"/>
                <w:bCs/>
                <w:i/>
                <w:sz w:val="18"/>
                <w:szCs w:val="18"/>
                <w:lang w:eastAsia="es-MX"/>
              </w:rPr>
            </w:pPr>
          </w:p>
        </w:tc>
        <w:tc>
          <w:tcPr>
            <w:tcW w:w="940" w:type="dxa"/>
            <w:tcBorders>
              <w:bottom w:val="single" w:sz="8" w:space="0" w:color="auto"/>
            </w:tcBorders>
            <w:shd w:val="clear" w:color="auto" w:fill="auto"/>
            <w:vAlign w:val="center"/>
          </w:tcPr>
          <w:p w14:paraId="10853031" w14:textId="77777777" w:rsidR="0085792A" w:rsidRPr="0085792A" w:rsidRDefault="0085792A" w:rsidP="0085792A">
            <w:pPr>
              <w:spacing w:before="20" w:after="20"/>
              <w:jc w:val="center"/>
              <w:rPr>
                <w:rFonts w:eastAsia="Times New Roman"/>
                <w:bCs/>
                <w:i/>
                <w:sz w:val="18"/>
                <w:szCs w:val="18"/>
                <w:lang w:eastAsia="es-MX"/>
              </w:rPr>
            </w:pPr>
            <w:r w:rsidRPr="0085792A">
              <w:rPr>
                <w:rFonts w:eastAsia="Times New Roman"/>
                <w:bCs/>
                <w:i/>
                <w:sz w:val="18"/>
                <w:szCs w:val="18"/>
                <w:lang w:eastAsia="es-MX"/>
              </w:rPr>
              <w:t>Porcentual</w:t>
            </w:r>
          </w:p>
        </w:tc>
        <w:tc>
          <w:tcPr>
            <w:tcW w:w="987" w:type="dxa"/>
            <w:tcBorders>
              <w:bottom w:val="single" w:sz="8" w:space="0" w:color="auto"/>
            </w:tcBorders>
            <w:shd w:val="clear" w:color="auto" w:fill="auto"/>
            <w:vAlign w:val="center"/>
          </w:tcPr>
          <w:p w14:paraId="60967894" w14:textId="77777777" w:rsidR="0085792A" w:rsidRPr="0085792A" w:rsidRDefault="0085792A" w:rsidP="0085792A">
            <w:pPr>
              <w:spacing w:before="20" w:after="20"/>
              <w:jc w:val="center"/>
              <w:rPr>
                <w:rFonts w:eastAsia="Times New Roman"/>
                <w:bCs/>
                <w:i/>
                <w:sz w:val="18"/>
                <w:szCs w:val="18"/>
                <w:lang w:eastAsia="es-MX"/>
              </w:rPr>
            </w:pPr>
            <w:r w:rsidRPr="0085792A">
              <w:rPr>
                <w:rFonts w:eastAsia="Times New Roman"/>
                <w:bCs/>
                <w:i/>
                <w:sz w:val="18"/>
                <w:szCs w:val="18"/>
                <w:lang w:eastAsia="es-MX"/>
              </w:rPr>
              <w:t>Absoluta</w:t>
            </w:r>
          </w:p>
        </w:tc>
      </w:tr>
      <w:tr w:rsidR="0085792A" w:rsidRPr="0085792A" w14:paraId="3182E190" w14:textId="77777777" w:rsidTr="0085792A">
        <w:trPr>
          <w:trHeight w:val="170"/>
          <w:jc w:val="center"/>
        </w:trPr>
        <w:tc>
          <w:tcPr>
            <w:tcW w:w="709" w:type="dxa"/>
            <w:tcBorders>
              <w:bottom w:val="nil"/>
              <w:right w:val="nil"/>
            </w:tcBorders>
            <w:shd w:val="clear" w:color="auto" w:fill="auto"/>
            <w:vAlign w:val="center"/>
          </w:tcPr>
          <w:p w14:paraId="2010DE8F"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1</w:t>
            </w:r>
          </w:p>
        </w:tc>
        <w:tc>
          <w:tcPr>
            <w:tcW w:w="160" w:type="dxa"/>
            <w:tcBorders>
              <w:left w:val="nil"/>
              <w:bottom w:val="nil"/>
            </w:tcBorders>
            <w:shd w:val="clear" w:color="auto" w:fill="auto"/>
            <w:vAlign w:val="center"/>
          </w:tcPr>
          <w:p w14:paraId="4236D4B0" w14:textId="77777777" w:rsidR="0085792A" w:rsidRPr="0085792A" w:rsidRDefault="0085792A" w:rsidP="0085792A">
            <w:pPr>
              <w:jc w:val="center"/>
              <w:rPr>
                <w:rFonts w:eastAsia="Times New Roman"/>
                <w:sz w:val="18"/>
                <w:szCs w:val="18"/>
                <w:lang w:val="es-ES"/>
              </w:rPr>
            </w:pPr>
          </w:p>
        </w:tc>
        <w:tc>
          <w:tcPr>
            <w:tcW w:w="832" w:type="dxa"/>
            <w:tcBorders>
              <w:bottom w:val="nil"/>
            </w:tcBorders>
            <w:shd w:val="clear" w:color="auto" w:fill="auto"/>
            <w:vAlign w:val="center"/>
          </w:tcPr>
          <w:p w14:paraId="4C8A3B61"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w:t>
            </w:r>
          </w:p>
        </w:tc>
        <w:tc>
          <w:tcPr>
            <w:tcW w:w="2552" w:type="dxa"/>
            <w:tcBorders>
              <w:bottom w:val="nil"/>
            </w:tcBorders>
            <w:shd w:val="clear" w:color="auto" w:fill="auto"/>
            <w:noWrap/>
            <w:vAlign w:val="center"/>
          </w:tcPr>
          <w:p w14:paraId="6E14D11A"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Estados Unidos de Norteamérica</w:t>
            </w:r>
          </w:p>
        </w:tc>
        <w:tc>
          <w:tcPr>
            <w:tcW w:w="1134" w:type="dxa"/>
            <w:tcBorders>
              <w:bottom w:val="nil"/>
            </w:tcBorders>
            <w:shd w:val="clear" w:color="auto" w:fill="auto"/>
            <w:noWrap/>
            <w:vAlign w:val="center"/>
          </w:tcPr>
          <w:p w14:paraId="2FA6BC9F"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428 376</w:t>
            </w:r>
          </w:p>
        </w:tc>
        <w:tc>
          <w:tcPr>
            <w:tcW w:w="1276" w:type="dxa"/>
            <w:tcBorders>
              <w:bottom w:val="nil"/>
            </w:tcBorders>
            <w:shd w:val="clear" w:color="auto" w:fill="auto"/>
            <w:noWrap/>
            <w:vAlign w:val="center"/>
          </w:tcPr>
          <w:p w14:paraId="2A9EE213"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482 288</w:t>
            </w:r>
          </w:p>
        </w:tc>
        <w:tc>
          <w:tcPr>
            <w:tcW w:w="1192" w:type="dxa"/>
            <w:tcBorders>
              <w:bottom w:val="nil"/>
            </w:tcBorders>
            <w:shd w:val="clear" w:color="auto" w:fill="auto"/>
            <w:noWrap/>
            <w:vAlign w:val="center"/>
          </w:tcPr>
          <w:p w14:paraId="2C53C33A"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70.0</w:t>
            </w:r>
          </w:p>
        </w:tc>
        <w:tc>
          <w:tcPr>
            <w:tcW w:w="940" w:type="dxa"/>
            <w:tcBorders>
              <w:bottom w:val="nil"/>
            </w:tcBorders>
            <w:shd w:val="clear" w:color="auto" w:fill="auto"/>
            <w:vAlign w:val="center"/>
          </w:tcPr>
          <w:p w14:paraId="2475571F"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12.6</w:t>
            </w:r>
          </w:p>
        </w:tc>
        <w:tc>
          <w:tcPr>
            <w:tcW w:w="987" w:type="dxa"/>
            <w:tcBorders>
              <w:bottom w:val="nil"/>
            </w:tcBorders>
            <w:shd w:val="clear" w:color="auto" w:fill="auto"/>
            <w:vAlign w:val="center"/>
          </w:tcPr>
          <w:p w14:paraId="449C0BF0"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53 912</w:t>
            </w:r>
          </w:p>
        </w:tc>
      </w:tr>
      <w:tr w:rsidR="0085792A" w:rsidRPr="0085792A" w14:paraId="27021E9B" w14:textId="77777777" w:rsidTr="0085792A">
        <w:trPr>
          <w:trHeight w:val="170"/>
          <w:jc w:val="center"/>
        </w:trPr>
        <w:tc>
          <w:tcPr>
            <w:tcW w:w="709" w:type="dxa"/>
            <w:tcBorders>
              <w:top w:val="nil"/>
              <w:bottom w:val="nil"/>
              <w:right w:val="nil"/>
            </w:tcBorders>
            <w:shd w:val="clear" w:color="auto" w:fill="auto"/>
            <w:vAlign w:val="center"/>
          </w:tcPr>
          <w:p w14:paraId="05140FF5"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2</w:t>
            </w:r>
          </w:p>
        </w:tc>
        <w:tc>
          <w:tcPr>
            <w:tcW w:w="160" w:type="dxa"/>
            <w:tcBorders>
              <w:top w:val="nil"/>
              <w:left w:val="nil"/>
              <w:bottom w:val="nil"/>
            </w:tcBorders>
            <w:shd w:val="clear" w:color="auto" w:fill="auto"/>
            <w:vAlign w:val="center"/>
          </w:tcPr>
          <w:p w14:paraId="6DB4D7C8"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4DC7132F"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2</w:t>
            </w:r>
          </w:p>
        </w:tc>
        <w:tc>
          <w:tcPr>
            <w:tcW w:w="2552" w:type="dxa"/>
            <w:tcBorders>
              <w:top w:val="nil"/>
              <w:bottom w:val="nil"/>
            </w:tcBorders>
            <w:shd w:val="clear" w:color="auto" w:fill="auto"/>
            <w:noWrap/>
            <w:vAlign w:val="center"/>
          </w:tcPr>
          <w:p w14:paraId="6937D1E8"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Canadá</w:t>
            </w:r>
          </w:p>
        </w:tc>
        <w:tc>
          <w:tcPr>
            <w:tcW w:w="1134" w:type="dxa"/>
            <w:tcBorders>
              <w:top w:val="nil"/>
              <w:bottom w:val="nil"/>
            </w:tcBorders>
            <w:shd w:val="clear" w:color="auto" w:fill="auto"/>
            <w:noWrap/>
            <w:vAlign w:val="center"/>
          </w:tcPr>
          <w:p w14:paraId="1D7C9756"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60 859</w:t>
            </w:r>
          </w:p>
        </w:tc>
        <w:tc>
          <w:tcPr>
            <w:tcW w:w="1276" w:type="dxa"/>
            <w:tcBorders>
              <w:top w:val="nil"/>
              <w:bottom w:val="nil"/>
            </w:tcBorders>
            <w:shd w:val="clear" w:color="auto" w:fill="auto"/>
            <w:noWrap/>
            <w:vAlign w:val="center"/>
          </w:tcPr>
          <w:p w14:paraId="4FC680DA"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81 188</w:t>
            </w:r>
          </w:p>
        </w:tc>
        <w:tc>
          <w:tcPr>
            <w:tcW w:w="1192" w:type="dxa"/>
            <w:tcBorders>
              <w:top w:val="nil"/>
              <w:bottom w:val="nil"/>
            </w:tcBorders>
            <w:shd w:val="clear" w:color="auto" w:fill="auto"/>
            <w:noWrap/>
            <w:vAlign w:val="center"/>
          </w:tcPr>
          <w:p w14:paraId="0D4A1765"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11.8</w:t>
            </w:r>
          </w:p>
        </w:tc>
        <w:tc>
          <w:tcPr>
            <w:tcW w:w="940" w:type="dxa"/>
            <w:tcBorders>
              <w:top w:val="nil"/>
              <w:bottom w:val="nil"/>
            </w:tcBorders>
            <w:shd w:val="clear" w:color="auto" w:fill="auto"/>
            <w:vAlign w:val="center"/>
          </w:tcPr>
          <w:p w14:paraId="6E703C41"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33.4</w:t>
            </w:r>
          </w:p>
        </w:tc>
        <w:tc>
          <w:tcPr>
            <w:tcW w:w="987" w:type="dxa"/>
            <w:tcBorders>
              <w:top w:val="nil"/>
              <w:bottom w:val="nil"/>
            </w:tcBorders>
            <w:shd w:val="clear" w:color="auto" w:fill="auto"/>
            <w:vAlign w:val="center"/>
          </w:tcPr>
          <w:p w14:paraId="62C47D27"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20 329</w:t>
            </w:r>
          </w:p>
        </w:tc>
      </w:tr>
      <w:tr w:rsidR="0085792A" w:rsidRPr="0085792A" w14:paraId="3040453B" w14:textId="77777777" w:rsidTr="0085792A">
        <w:trPr>
          <w:trHeight w:val="170"/>
          <w:jc w:val="center"/>
        </w:trPr>
        <w:tc>
          <w:tcPr>
            <w:tcW w:w="709" w:type="dxa"/>
            <w:tcBorders>
              <w:top w:val="nil"/>
              <w:bottom w:val="nil"/>
              <w:right w:val="nil"/>
            </w:tcBorders>
            <w:shd w:val="clear" w:color="auto" w:fill="auto"/>
            <w:vAlign w:val="center"/>
          </w:tcPr>
          <w:p w14:paraId="175CE732"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4</w:t>
            </w:r>
          </w:p>
        </w:tc>
        <w:tc>
          <w:tcPr>
            <w:tcW w:w="160" w:type="dxa"/>
            <w:tcBorders>
              <w:top w:val="nil"/>
              <w:left w:val="nil"/>
              <w:bottom w:val="nil"/>
            </w:tcBorders>
            <w:shd w:val="clear" w:color="auto" w:fill="auto"/>
            <w:vAlign w:val="center"/>
          </w:tcPr>
          <w:p w14:paraId="621E1632"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37465C5F"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3 </w:t>
            </w:r>
            <w:r w:rsidRPr="0085792A">
              <w:rPr>
                <w:rFonts w:eastAsia="Times New Roman"/>
                <w:b/>
                <w:bCs/>
                <w:sz w:val="18"/>
                <w:szCs w:val="18"/>
                <w:lang w:val="es-ES"/>
              </w:rPr>
              <w:t>↑</w:t>
            </w:r>
            <w:r w:rsidRPr="0085792A">
              <w:rPr>
                <w:rFonts w:eastAsia="Times New Roman"/>
                <w:sz w:val="18"/>
                <w:szCs w:val="18"/>
                <w:lang w:val="es-ES"/>
              </w:rPr>
              <w:t xml:space="preserve">  </w:t>
            </w:r>
          </w:p>
        </w:tc>
        <w:tc>
          <w:tcPr>
            <w:tcW w:w="2552" w:type="dxa"/>
            <w:tcBorders>
              <w:top w:val="nil"/>
              <w:bottom w:val="nil"/>
            </w:tcBorders>
            <w:shd w:val="clear" w:color="auto" w:fill="auto"/>
            <w:noWrap/>
            <w:vAlign w:val="center"/>
          </w:tcPr>
          <w:p w14:paraId="21528B0B"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 xml:space="preserve">Alemania </w:t>
            </w:r>
          </w:p>
        </w:tc>
        <w:tc>
          <w:tcPr>
            <w:tcW w:w="1134" w:type="dxa"/>
            <w:tcBorders>
              <w:top w:val="nil"/>
              <w:bottom w:val="nil"/>
            </w:tcBorders>
            <w:shd w:val="clear" w:color="auto" w:fill="auto"/>
            <w:noWrap/>
            <w:vAlign w:val="center"/>
          </w:tcPr>
          <w:p w14:paraId="76ACF95D"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21 649</w:t>
            </w:r>
          </w:p>
        </w:tc>
        <w:tc>
          <w:tcPr>
            <w:tcW w:w="1276" w:type="dxa"/>
            <w:tcBorders>
              <w:top w:val="nil"/>
              <w:bottom w:val="nil"/>
            </w:tcBorders>
            <w:shd w:val="clear" w:color="auto" w:fill="auto"/>
            <w:noWrap/>
            <w:vAlign w:val="center"/>
          </w:tcPr>
          <w:p w14:paraId="64E752DA"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18 023</w:t>
            </w:r>
          </w:p>
        </w:tc>
        <w:tc>
          <w:tcPr>
            <w:tcW w:w="1192" w:type="dxa"/>
            <w:tcBorders>
              <w:top w:val="nil"/>
              <w:bottom w:val="nil"/>
            </w:tcBorders>
            <w:shd w:val="clear" w:color="auto" w:fill="auto"/>
            <w:noWrap/>
            <w:vAlign w:val="center"/>
          </w:tcPr>
          <w:p w14:paraId="19626EF5"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2.6</w:t>
            </w:r>
          </w:p>
        </w:tc>
        <w:tc>
          <w:tcPr>
            <w:tcW w:w="940" w:type="dxa"/>
            <w:tcBorders>
              <w:top w:val="nil"/>
              <w:bottom w:val="nil"/>
            </w:tcBorders>
            <w:shd w:val="clear" w:color="auto" w:fill="auto"/>
            <w:vAlign w:val="center"/>
          </w:tcPr>
          <w:p w14:paraId="704766D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-16.7</w:t>
            </w:r>
          </w:p>
        </w:tc>
        <w:tc>
          <w:tcPr>
            <w:tcW w:w="987" w:type="dxa"/>
            <w:tcBorders>
              <w:top w:val="nil"/>
              <w:bottom w:val="nil"/>
            </w:tcBorders>
            <w:shd w:val="clear" w:color="auto" w:fill="auto"/>
            <w:vAlign w:val="center"/>
          </w:tcPr>
          <w:p w14:paraId="7E41755C"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-3 626</w:t>
            </w:r>
          </w:p>
        </w:tc>
      </w:tr>
      <w:tr w:rsidR="0085792A" w:rsidRPr="0085792A" w14:paraId="51E6FE4D" w14:textId="77777777" w:rsidTr="0085792A">
        <w:trPr>
          <w:trHeight w:val="170"/>
          <w:jc w:val="center"/>
        </w:trPr>
        <w:tc>
          <w:tcPr>
            <w:tcW w:w="709" w:type="dxa"/>
            <w:tcBorders>
              <w:top w:val="nil"/>
              <w:bottom w:val="nil"/>
              <w:right w:val="nil"/>
            </w:tcBorders>
            <w:shd w:val="clear" w:color="auto" w:fill="auto"/>
            <w:vAlign w:val="center"/>
          </w:tcPr>
          <w:p w14:paraId="2CACB72F"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3</w:t>
            </w:r>
          </w:p>
        </w:tc>
        <w:tc>
          <w:tcPr>
            <w:tcW w:w="160" w:type="dxa"/>
            <w:tcBorders>
              <w:top w:val="nil"/>
              <w:left w:val="nil"/>
              <w:bottom w:val="nil"/>
            </w:tcBorders>
            <w:shd w:val="clear" w:color="auto" w:fill="auto"/>
            <w:vAlign w:val="center"/>
          </w:tcPr>
          <w:p w14:paraId="78FC5C3D"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046B8C05"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4 </w:t>
            </w:r>
            <w:r w:rsidRPr="0085792A">
              <w:rPr>
                <w:rFonts w:eastAsia="Times New Roman"/>
                <w:b/>
                <w:bCs/>
                <w:sz w:val="18"/>
                <w:szCs w:val="18"/>
                <w:lang w:val="es-ES"/>
              </w:rPr>
              <w:t>↓</w:t>
            </w:r>
            <w:r w:rsidRPr="0085792A">
              <w:rPr>
                <w:rFonts w:eastAsia="Times New Roman"/>
                <w:sz w:val="18"/>
                <w:szCs w:val="18"/>
                <w:lang w:val="es-ES"/>
              </w:rPr>
              <w:t xml:space="preserve"> </w:t>
            </w:r>
          </w:p>
        </w:tc>
        <w:tc>
          <w:tcPr>
            <w:tcW w:w="2552" w:type="dxa"/>
            <w:tcBorders>
              <w:top w:val="nil"/>
              <w:bottom w:val="nil"/>
            </w:tcBorders>
            <w:shd w:val="clear" w:color="auto" w:fill="auto"/>
            <w:noWrap/>
            <w:vAlign w:val="center"/>
          </w:tcPr>
          <w:p w14:paraId="2CE75909"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Brasil</w:t>
            </w:r>
          </w:p>
        </w:tc>
        <w:tc>
          <w:tcPr>
            <w:tcW w:w="1134" w:type="dxa"/>
            <w:tcBorders>
              <w:top w:val="nil"/>
              <w:bottom w:val="nil"/>
            </w:tcBorders>
            <w:shd w:val="clear" w:color="auto" w:fill="auto"/>
            <w:noWrap/>
            <w:vAlign w:val="center"/>
          </w:tcPr>
          <w:p w14:paraId="424F711B"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24 466</w:t>
            </w:r>
          </w:p>
        </w:tc>
        <w:tc>
          <w:tcPr>
            <w:tcW w:w="1276" w:type="dxa"/>
            <w:tcBorders>
              <w:top w:val="nil"/>
              <w:bottom w:val="nil"/>
            </w:tcBorders>
            <w:shd w:val="clear" w:color="auto" w:fill="auto"/>
            <w:noWrap/>
            <w:vAlign w:val="center"/>
          </w:tcPr>
          <w:p w14:paraId="7CB2F38B"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16 339</w:t>
            </w:r>
          </w:p>
        </w:tc>
        <w:tc>
          <w:tcPr>
            <w:tcW w:w="1192" w:type="dxa"/>
            <w:tcBorders>
              <w:top w:val="nil"/>
              <w:bottom w:val="nil"/>
            </w:tcBorders>
            <w:shd w:val="clear" w:color="auto" w:fill="auto"/>
            <w:noWrap/>
            <w:vAlign w:val="center"/>
          </w:tcPr>
          <w:p w14:paraId="78361A6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2.4</w:t>
            </w:r>
          </w:p>
        </w:tc>
        <w:tc>
          <w:tcPr>
            <w:tcW w:w="940" w:type="dxa"/>
            <w:tcBorders>
              <w:top w:val="nil"/>
              <w:bottom w:val="nil"/>
            </w:tcBorders>
            <w:shd w:val="clear" w:color="auto" w:fill="auto"/>
            <w:vAlign w:val="center"/>
          </w:tcPr>
          <w:p w14:paraId="4EA0960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-33.2</w:t>
            </w:r>
          </w:p>
        </w:tc>
        <w:tc>
          <w:tcPr>
            <w:tcW w:w="987" w:type="dxa"/>
            <w:tcBorders>
              <w:top w:val="nil"/>
              <w:bottom w:val="nil"/>
            </w:tcBorders>
            <w:shd w:val="clear" w:color="auto" w:fill="auto"/>
            <w:vAlign w:val="center"/>
          </w:tcPr>
          <w:p w14:paraId="01A92B19"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-8 127</w:t>
            </w:r>
          </w:p>
        </w:tc>
      </w:tr>
      <w:tr w:rsidR="0085792A" w:rsidRPr="0085792A" w14:paraId="24F817ED" w14:textId="77777777" w:rsidTr="0085792A">
        <w:trPr>
          <w:trHeight w:val="170"/>
          <w:jc w:val="center"/>
        </w:trPr>
        <w:tc>
          <w:tcPr>
            <w:tcW w:w="709" w:type="dxa"/>
            <w:tcBorders>
              <w:top w:val="nil"/>
              <w:bottom w:val="nil"/>
              <w:right w:val="nil"/>
            </w:tcBorders>
            <w:shd w:val="clear" w:color="auto" w:fill="auto"/>
            <w:vAlign w:val="center"/>
          </w:tcPr>
          <w:p w14:paraId="25B6ADDC"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5</w:t>
            </w:r>
          </w:p>
        </w:tc>
        <w:tc>
          <w:tcPr>
            <w:tcW w:w="160" w:type="dxa"/>
            <w:tcBorders>
              <w:top w:val="nil"/>
              <w:left w:val="nil"/>
              <w:bottom w:val="nil"/>
            </w:tcBorders>
            <w:shd w:val="clear" w:color="auto" w:fill="auto"/>
            <w:vAlign w:val="center"/>
          </w:tcPr>
          <w:p w14:paraId="6C38A6B6"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5460937F"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 xml:space="preserve">    5  </w:t>
            </w:r>
          </w:p>
        </w:tc>
        <w:tc>
          <w:tcPr>
            <w:tcW w:w="2552" w:type="dxa"/>
            <w:tcBorders>
              <w:top w:val="nil"/>
              <w:bottom w:val="nil"/>
            </w:tcBorders>
            <w:shd w:val="clear" w:color="auto" w:fill="auto"/>
            <w:noWrap/>
            <w:vAlign w:val="center"/>
          </w:tcPr>
          <w:p w14:paraId="180740E3"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Colombia</w:t>
            </w:r>
          </w:p>
        </w:tc>
        <w:tc>
          <w:tcPr>
            <w:tcW w:w="1134" w:type="dxa"/>
            <w:tcBorders>
              <w:top w:val="nil"/>
              <w:bottom w:val="nil"/>
            </w:tcBorders>
            <w:shd w:val="clear" w:color="auto" w:fill="auto"/>
            <w:noWrap/>
            <w:vAlign w:val="center"/>
          </w:tcPr>
          <w:p w14:paraId="6950FE75"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13 755</w:t>
            </w:r>
          </w:p>
        </w:tc>
        <w:tc>
          <w:tcPr>
            <w:tcW w:w="1276" w:type="dxa"/>
            <w:tcBorders>
              <w:top w:val="nil"/>
              <w:bottom w:val="nil"/>
            </w:tcBorders>
            <w:shd w:val="clear" w:color="auto" w:fill="auto"/>
            <w:noWrap/>
            <w:vAlign w:val="center"/>
          </w:tcPr>
          <w:p w14:paraId="633EBEF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14 383</w:t>
            </w:r>
          </w:p>
        </w:tc>
        <w:tc>
          <w:tcPr>
            <w:tcW w:w="1192" w:type="dxa"/>
            <w:tcBorders>
              <w:top w:val="nil"/>
              <w:bottom w:val="nil"/>
            </w:tcBorders>
            <w:shd w:val="clear" w:color="auto" w:fill="auto"/>
            <w:noWrap/>
            <w:vAlign w:val="center"/>
          </w:tcPr>
          <w:p w14:paraId="79312295"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2.1</w:t>
            </w:r>
          </w:p>
        </w:tc>
        <w:tc>
          <w:tcPr>
            <w:tcW w:w="940" w:type="dxa"/>
            <w:tcBorders>
              <w:top w:val="nil"/>
              <w:bottom w:val="nil"/>
            </w:tcBorders>
            <w:shd w:val="clear" w:color="auto" w:fill="auto"/>
            <w:vAlign w:val="center"/>
          </w:tcPr>
          <w:p w14:paraId="6D089CF2"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4.6</w:t>
            </w:r>
          </w:p>
        </w:tc>
        <w:tc>
          <w:tcPr>
            <w:tcW w:w="987" w:type="dxa"/>
            <w:tcBorders>
              <w:top w:val="nil"/>
              <w:bottom w:val="nil"/>
            </w:tcBorders>
            <w:shd w:val="clear" w:color="auto" w:fill="auto"/>
            <w:vAlign w:val="center"/>
          </w:tcPr>
          <w:p w14:paraId="7E79E2A0"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628</w:t>
            </w:r>
          </w:p>
        </w:tc>
      </w:tr>
      <w:tr w:rsidR="0085792A" w:rsidRPr="0085792A" w14:paraId="18209A38" w14:textId="77777777" w:rsidTr="0085792A">
        <w:trPr>
          <w:trHeight w:val="145"/>
          <w:jc w:val="center"/>
        </w:trPr>
        <w:tc>
          <w:tcPr>
            <w:tcW w:w="709" w:type="dxa"/>
            <w:tcBorders>
              <w:top w:val="nil"/>
              <w:bottom w:val="nil"/>
              <w:right w:val="nil"/>
            </w:tcBorders>
            <w:shd w:val="clear" w:color="auto" w:fill="auto"/>
            <w:vAlign w:val="center"/>
          </w:tcPr>
          <w:p w14:paraId="5CBAA60E"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6</w:t>
            </w:r>
          </w:p>
        </w:tc>
        <w:tc>
          <w:tcPr>
            <w:tcW w:w="160" w:type="dxa"/>
            <w:tcBorders>
              <w:top w:val="nil"/>
              <w:left w:val="nil"/>
              <w:bottom w:val="nil"/>
            </w:tcBorders>
            <w:shd w:val="clear" w:color="auto" w:fill="auto"/>
            <w:vAlign w:val="center"/>
          </w:tcPr>
          <w:p w14:paraId="7F814172"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1CB8B4DE"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 xml:space="preserve">    6  </w:t>
            </w:r>
          </w:p>
        </w:tc>
        <w:tc>
          <w:tcPr>
            <w:tcW w:w="2552" w:type="dxa"/>
            <w:tcBorders>
              <w:top w:val="nil"/>
              <w:bottom w:val="nil"/>
            </w:tcBorders>
            <w:shd w:val="clear" w:color="auto" w:fill="auto"/>
            <w:noWrap/>
            <w:vAlign w:val="center"/>
          </w:tcPr>
          <w:p w14:paraId="74FF6543"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China</w:t>
            </w:r>
          </w:p>
        </w:tc>
        <w:tc>
          <w:tcPr>
            <w:tcW w:w="1134" w:type="dxa"/>
            <w:tcBorders>
              <w:top w:val="nil"/>
              <w:bottom w:val="nil"/>
            </w:tcBorders>
            <w:shd w:val="clear" w:color="auto" w:fill="auto"/>
            <w:noWrap/>
            <w:vAlign w:val="center"/>
          </w:tcPr>
          <w:p w14:paraId="04DCB986"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13 043</w:t>
            </w:r>
          </w:p>
        </w:tc>
        <w:tc>
          <w:tcPr>
            <w:tcW w:w="1276" w:type="dxa"/>
            <w:tcBorders>
              <w:top w:val="nil"/>
              <w:bottom w:val="nil"/>
            </w:tcBorders>
            <w:shd w:val="clear" w:color="auto" w:fill="auto"/>
            <w:noWrap/>
            <w:vAlign w:val="center"/>
          </w:tcPr>
          <w:p w14:paraId="22C5F8A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13 611</w:t>
            </w:r>
          </w:p>
        </w:tc>
        <w:tc>
          <w:tcPr>
            <w:tcW w:w="1192" w:type="dxa"/>
            <w:tcBorders>
              <w:top w:val="nil"/>
              <w:bottom w:val="nil"/>
            </w:tcBorders>
            <w:shd w:val="clear" w:color="auto" w:fill="auto"/>
            <w:noWrap/>
            <w:vAlign w:val="center"/>
          </w:tcPr>
          <w:p w14:paraId="1FE140F7"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2.0</w:t>
            </w:r>
          </w:p>
        </w:tc>
        <w:tc>
          <w:tcPr>
            <w:tcW w:w="940" w:type="dxa"/>
            <w:tcBorders>
              <w:top w:val="nil"/>
              <w:bottom w:val="nil"/>
            </w:tcBorders>
            <w:shd w:val="clear" w:color="auto" w:fill="auto"/>
            <w:vAlign w:val="center"/>
          </w:tcPr>
          <w:p w14:paraId="1F8607D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4.4</w:t>
            </w:r>
          </w:p>
        </w:tc>
        <w:tc>
          <w:tcPr>
            <w:tcW w:w="987" w:type="dxa"/>
            <w:tcBorders>
              <w:top w:val="nil"/>
              <w:bottom w:val="nil"/>
            </w:tcBorders>
            <w:shd w:val="clear" w:color="auto" w:fill="auto"/>
            <w:vAlign w:val="center"/>
          </w:tcPr>
          <w:p w14:paraId="73E7A136"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568</w:t>
            </w:r>
          </w:p>
        </w:tc>
      </w:tr>
      <w:tr w:rsidR="0085792A" w:rsidRPr="0085792A" w14:paraId="321FD82F" w14:textId="77777777" w:rsidTr="0085792A">
        <w:trPr>
          <w:trHeight w:val="170"/>
          <w:jc w:val="center"/>
        </w:trPr>
        <w:tc>
          <w:tcPr>
            <w:tcW w:w="709" w:type="dxa"/>
            <w:tcBorders>
              <w:top w:val="nil"/>
              <w:bottom w:val="nil"/>
              <w:right w:val="nil"/>
            </w:tcBorders>
            <w:shd w:val="clear" w:color="auto" w:fill="auto"/>
            <w:vAlign w:val="center"/>
          </w:tcPr>
          <w:p w14:paraId="35C904BA"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9</w:t>
            </w:r>
          </w:p>
        </w:tc>
        <w:tc>
          <w:tcPr>
            <w:tcW w:w="160" w:type="dxa"/>
            <w:tcBorders>
              <w:top w:val="nil"/>
              <w:left w:val="nil"/>
              <w:bottom w:val="nil"/>
            </w:tcBorders>
            <w:shd w:val="clear" w:color="auto" w:fill="auto"/>
            <w:vAlign w:val="center"/>
          </w:tcPr>
          <w:p w14:paraId="7BC717C0"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1FE72C32"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    7 </w:t>
            </w:r>
            <w:r w:rsidRPr="0085792A">
              <w:rPr>
                <w:rFonts w:eastAsia="Times New Roman"/>
                <w:b/>
                <w:bCs/>
                <w:sz w:val="18"/>
                <w:szCs w:val="18"/>
                <w:lang w:val="es-ES"/>
              </w:rPr>
              <w:t>↑</w:t>
            </w:r>
          </w:p>
        </w:tc>
        <w:tc>
          <w:tcPr>
            <w:tcW w:w="2552" w:type="dxa"/>
            <w:tcBorders>
              <w:top w:val="nil"/>
              <w:bottom w:val="nil"/>
            </w:tcBorders>
            <w:shd w:val="clear" w:color="auto" w:fill="auto"/>
            <w:noWrap/>
            <w:vAlign w:val="center"/>
          </w:tcPr>
          <w:p w14:paraId="02972EFE"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 xml:space="preserve">Arabia </w:t>
            </w:r>
          </w:p>
        </w:tc>
        <w:tc>
          <w:tcPr>
            <w:tcW w:w="1134" w:type="dxa"/>
            <w:tcBorders>
              <w:top w:val="nil"/>
              <w:bottom w:val="nil"/>
            </w:tcBorders>
            <w:shd w:val="clear" w:color="auto" w:fill="auto"/>
            <w:noWrap/>
            <w:vAlign w:val="center"/>
          </w:tcPr>
          <w:p w14:paraId="7CF27BEB"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3 500</w:t>
            </w:r>
          </w:p>
        </w:tc>
        <w:tc>
          <w:tcPr>
            <w:tcW w:w="1276" w:type="dxa"/>
            <w:tcBorders>
              <w:top w:val="nil"/>
              <w:bottom w:val="nil"/>
            </w:tcBorders>
            <w:shd w:val="clear" w:color="auto" w:fill="auto"/>
            <w:noWrap/>
            <w:vAlign w:val="center"/>
          </w:tcPr>
          <w:p w14:paraId="7D88E8A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8 913</w:t>
            </w:r>
          </w:p>
        </w:tc>
        <w:tc>
          <w:tcPr>
            <w:tcW w:w="1192" w:type="dxa"/>
            <w:tcBorders>
              <w:top w:val="nil"/>
              <w:bottom w:val="nil"/>
            </w:tcBorders>
            <w:shd w:val="clear" w:color="auto" w:fill="auto"/>
            <w:noWrap/>
            <w:vAlign w:val="center"/>
          </w:tcPr>
          <w:p w14:paraId="0852FA76"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1.3</w:t>
            </w:r>
          </w:p>
        </w:tc>
        <w:tc>
          <w:tcPr>
            <w:tcW w:w="940" w:type="dxa"/>
            <w:tcBorders>
              <w:top w:val="nil"/>
              <w:bottom w:val="nil"/>
            </w:tcBorders>
            <w:shd w:val="clear" w:color="auto" w:fill="auto"/>
            <w:vAlign w:val="center"/>
          </w:tcPr>
          <w:p w14:paraId="725F2A9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154.7</w:t>
            </w:r>
          </w:p>
        </w:tc>
        <w:tc>
          <w:tcPr>
            <w:tcW w:w="987" w:type="dxa"/>
            <w:tcBorders>
              <w:top w:val="nil"/>
              <w:bottom w:val="nil"/>
            </w:tcBorders>
            <w:shd w:val="clear" w:color="auto" w:fill="auto"/>
            <w:vAlign w:val="center"/>
          </w:tcPr>
          <w:p w14:paraId="47F23674"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5 413</w:t>
            </w:r>
          </w:p>
        </w:tc>
      </w:tr>
      <w:tr w:rsidR="0085792A" w:rsidRPr="0085792A" w14:paraId="495E89A1" w14:textId="77777777" w:rsidTr="0085792A">
        <w:trPr>
          <w:trHeight w:val="170"/>
          <w:jc w:val="center"/>
        </w:trPr>
        <w:tc>
          <w:tcPr>
            <w:tcW w:w="709" w:type="dxa"/>
            <w:tcBorders>
              <w:top w:val="nil"/>
              <w:bottom w:val="nil"/>
              <w:right w:val="nil"/>
            </w:tcBorders>
            <w:shd w:val="clear" w:color="auto" w:fill="auto"/>
            <w:vAlign w:val="center"/>
          </w:tcPr>
          <w:p w14:paraId="0AB546F6"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7</w:t>
            </w:r>
          </w:p>
        </w:tc>
        <w:tc>
          <w:tcPr>
            <w:tcW w:w="160" w:type="dxa"/>
            <w:tcBorders>
              <w:top w:val="nil"/>
              <w:left w:val="nil"/>
              <w:bottom w:val="nil"/>
            </w:tcBorders>
            <w:shd w:val="clear" w:color="auto" w:fill="auto"/>
            <w:vAlign w:val="center"/>
          </w:tcPr>
          <w:p w14:paraId="67701492"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51D210A3"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    8 </w:t>
            </w:r>
            <w:r w:rsidRPr="0085792A">
              <w:rPr>
                <w:rFonts w:eastAsia="Times New Roman"/>
                <w:b/>
                <w:bCs/>
                <w:sz w:val="18"/>
                <w:szCs w:val="18"/>
                <w:lang w:val="es-ES"/>
              </w:rPr>
              <w:t>↓</w:t>
            </w:r>
            <w:r w:rsidRPr="0085792A">
              <w:rPr>
                <w:rFonts w:eastAsia="Times New Roman"/>
                <w:sz w:val="18"/>
                <w:szCs w:val="18"/>
                <w:lang w:val="es-ES"/>
              </w:rPr>
              <w:t xml:space="preserve"> </w:t>
            </w:r>
          </w:p>
        </w:tc>
        <w:tc>
          <w:tcPr>
            <w:tcW w:w="2552" w:type="dxa"/>
            <w:tcBorders>
              <w:top w:val="nil"/>
              <w:bottom w:val="nil"/>
            </w:tcBorders>
            <w:shd w:val="clear" w:color="auto" w:fill="auto"/>
            <w:noWrap/>
            <w:vAlign w:val="center"/>
          </w:tcPr>
          <w:p w14:paraId="02D510C4"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Argentina</w:t>
            </w:r>
          </w:p>
        </w:tc>
        <w:tc>
          <w:tcPr>
            <w:tcW w:w="1134" w:type="dxa"/>
            <w:tcBorders>
              <w:top w:val="nil"/>
              <w:bottom w:val="nil"/>
            </w:tcBorders>
            <w:shd w:val="clear" w:color="auto" w:fill="auto"/>
            <w:noWrap/>
            <w:vAlign w:val="center"/>
          </w:tcPr>
          <w:p w14:paraId="42F0D09F"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7 775</w:t>
            </w:r>
          </w:p>
        </w:tc>
        <w:tc>
          <w:tcPr>
            <w:tcW w:w="1276" w:type="dxa"/>
            <w:tcBorders>
              <w:top w:val="nil"/>
              <w:bottom w:val="nil"/>
            </w:tcBorders>
            <w:shd w:val="clear" w:color="auto" w:fill="auto"/>
            <w:noWrap/>
            <w:vAlign w:val="center"/>
          </w:tcPr>
          <w:p w14:paraId="2B803E0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5 989</w:t>
            </w:r>
          </w:p>
        </w:tc>
        <w:tc>
          <w:tcPr>
            <w:tcW w:w="1192" w:type="dxa"/>
            <w:tcBorders>
              <w:top w:val="nil"/>
              <w:bottom w:val="nil"/>
            </w:tcBorders>
            <w:shd w:val="clear" w:color="auto" w:fill="auto"/>
            <w:noWrap/>
            <w:vAlign w:val="center"/>
          </w:tcPr>
          <w:p w14:paraId="71D964D7"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0.9</w:t>
            </w:r>
          </w:p>
        </w:tc>
        <w:tc>
          <w:tcPr>
            <w:tcW w:w="940" w:type="dxa"/>
            <w:tcBorders>
              <w:top w:val="nil"/>
              <w:bottom w:val="nil"/>
            </w:tcBorders>
            <w:shd w:val="clear" w:color="auto" w:fill="auto"/>
            <w:vAlign w:val="center"/>
          </w:tcPr>
          <w:p w14:paraId="3BFE906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-23.0</w:t>
            </w:r>
          </w:p>
        </w:tc>
        <w:tc>
          <w:tcPr>
            <w:tcW w:w="987" w:type="dxa"/>
            <w:tcBorders>
              <w:top w:val="nil"/>
              <w:bottom w:val="nil"/>
            </w:tcBorders>
            <w:shd w:val="clear" w:color="auto" w:fill="auto"/>
            <w:vAlign w:val="center"/>
          </w:tcPr>
          <w:p w14:paraId="2FF79D69"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-1 786</w:t>
            </w:r>
          </w:p>
        </w:tc>
      </w:tr>
      <w:tr w:rsidR="0085792A" w:rsidRPr="0085792A" w14:paraId="2AD19D72" w14:textId="77777777" w:rsidTr="0085792A">
        <w:trPr>
          <w:trHeight w:val="170"/>
          <w:jc w:val="center"/>
        </w:trPr>
        <w:tc>
          <w:tcPr>
            <w:tcW w:w="709" w:type="dxa"/>
            <w:tcBorders>
              <w:top w:val="nil"/>
              <w:bottom w:val="nil"/>
              <w:right w:val="nil"/>
            </w:tcBorders>
            <w:shd w:val="clear" w:color="auto" w:fill="auto"/>
            <w:vAlign w:val="center"/>
          </w:tcPr>
          <w:p w14:paraId="4AD2C014"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13</w:t>
            </w:r>
          </w:p>
        </w:tc>
        <w:tc>
          <w:tcPr>
            <w:tcW w:w="160" w:type="dxa"/>
            <w:tcBorders>
              <w:top w:val="nil"/>
              <w:left w:val="nil"/>
              <w:bottom w:val="nil"/>
            </w:tcBorders>
            <w:shd w:val="clear" w:color="auto" w:fill="auto"/>
            <w:vAlign w:val="center"/>
          </w:tcPr>
          <w:p w14:paraId="121F89E6"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5EF9ECBB"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      9 </w:t>
            </w:r>
            <w:r w:rsidRPr="0085792A">
              <w:rPr>
                <w:rFonts w:eastAsia="Times New Roman"/>
                <w:b/>
                <w:bCs/>
                <w:sz w:val="18"/>
                <w:szCs w:val="18"/>
                <w:lang w:val="es-ES"/>
              </w:rPr>
              <w:t>↑</w:t>
            </w:r>
          </w:p>
        </w:tc>
        <w:tc>
          <w:tcPr>
            <w:tcW w:w="2552" w:type="dxa"/>
            <w:tcBorders>
              <w:top w:val="nil"/>
              <w:bottom w:val="nil"/>
            </w:tcBorders>
            <w:shd w:val="clear" w:color="auto" w:fill="auto"/>
            <w:noWrap/>
            <w:vAlign w:val="center"/>
          </w:tcPr>
          <w:p w14:paraId="34FBBA45"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 xml:space="preserve">Italia </w:t>
            </w:r>
          </w:p>
        </w:tc>
        <w:tc>
          <w:tcPr>
            <w:tcW w:w="1134" w:type="dxa"/>
            <w:tcBorders>
              <w:top w:val="nil"/>
              <w:bottom w:val="nil"/>
            </w:tcBorders>
            <w:shd w:val="clear" w:color="auto" w:fill="auto"/>
            <w:noWrap/>
            <w:vAlign w:val="center"/>
          </w:tcPr>
          <w:p w14:paraId="3825B7F7"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2 055</w:t>
            </w:r>
          </w:p>
        </w:tc>
        <w:tc>
          <w:tcPr>
            <w:tcW w:w="1276" w:type="dxa"/>
            <w:tcBorders>
              <w:top w:val="nil"/>
              <w:bottom w:val="nil"/>
            </w:tcBorders>
            <w:shd w:val="clear" w:color="auto" w:fill="auto"/>
            <w:noWrap/>
            <w:vAlign w:val="center"/>
          </w:tcPr>
          <w:p w14:paraId="1A0F62D6"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3 311</w:t>
            </w:r>
          </w:p>
        </w:tc>
        <w:tc>
          <w:tcPr>
            <w:tcW w:w="1192" w:type="dxa"/>
            <w:tcBorders>
              <w:top w:val="nil"/>
              <w:bottom w:val="nil"/>
            </w:tcBorders>
            <w:shd w:val="clear" w:color="auto" w:fill="auto"/>
            <w:noWrap/>
            <w:vAlign w:val="center"/>
          </w:tcPr>
          <w:p w14:paraId="5B4F78F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0.5</w:t>
            </w:r>
          </w:p>
        </w:tc>
        <w:tc>
          <w:tcPr>
            <w:tcW w:w="940" w:type="dxa"/>
            <w:tcBorders>
              <w:top w:val="nil"/>
              <w:bottom w:val="nil"/>
            </w:tcBorders>
            <w:shd w:val="clear" w:color="auto" w:fill="auto"/>
            <w:vAlign w:val="center"/>
          </w:tcPr>
          <w:p w14:paraId="12E18C8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61.1</w:t>
            </w:r>
          </w:p>
        </w:tc>
        <w:tc>
          <w:tcPr>
            <w:tcW w:w="987" w:type="dxa"/>
            <w:tcBorders>
              <w:top w:val="nil"/>
              <w:bottom w:val="nil"/>
            </w:tcBorders>
            <w:shd w:val="clear" w:color="auto" w:fill="auto"/>
            <w:vAlign w:val="center"/>
          </w:tcPr>
          <w:p w14:paraId="71D8F23A"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1 256</w:t>
            </w:r>
          </w:p>
        </w:tc>
      </w:tr>
      <w:tr w:rsidR="0085792A" w:rsidRPr="0085792A" w14:paraId="15F92235" w14:textId="77777777" w:rsidTr="0085792A">
        <w:trPr>
          <w:trHeight w:val="170"/>
          <w:jc w:val="center"/>
        </w:trPr>
        <w:tc>
          <w:tcPr>
            <w:tcW w:w="709" w:type="dxa"/>
            <w:tcBorders>
              <w:top w:val="nil"/>
              <w:bottom w:val="nil"/>
              <w:right w:val="nil"/>
            </w:tcBorders>
            <w:shd w:val="clear" w:color="auto" w:fill="auto"/>
            <w:vAlign w:val="center"/>
          </w:tcPr>
          <w:p w14:paraId="4691FA5A" w14:textId="77777777" w:rsidR="0085792A" w:rsidRPr="0085792A" w:rsidRDefault="0085792A" w:rsidP="0085792A">
            <w:pPr>
              <w:ind w:right="170"/>
              <w:jc w:val="right"/>
              <w:rPr>
                <w:rFonts w:eastAsia="Times New Roman"/>
                <w:sz w:val="18"/>
                <w:szCs w:val="18"/>
                <w:lang w:val="es-ES"/>
              </w:rPr>
            </w:pPr>
            <w:r w:rsidRPr="0085792A">
              <w:rPr>
                <w:rFonts w:eastAsia="Times New Roman"/>
                <w:sz w:val="18"/>
                <w:szCs w:val="18"/>
                <w:lang w:val="es-ES"/>
              </w:rPr>
              <w:t>21</w:t>
            </w:r>
          </w:p>
        </w:tc>
        <w:tc>
          <w:tcPr>
            <w:tcW w:w="160" w:type="dxa"/>
            <w:tcBorders>
              <w:top w:val="nil"/>
              <w:left w:val="nil"/>
              <w:bottom w:val="nil"/>
            </w:tcBorders>
            <w:shd w:val="clear" w:color="auto" w:fill="auto"/>
            <w:vAlign w:val="center"/>
          </w:tcPr>
          <w:p w14:paraId="693E23A9" w14:textId="77777777" w:rsidR="0085792A" w:rsidRPr="0085792A" w:rsidRDefault="0085792A" w:rsidP="0085792A">
            <w:pPr>
              <w:rPr>
                <w:rFonts w:eastAsia="Times New Roman"/>
                <w:b/>
                <w:bCs/>
                <w:sz w:val="18"/>
                <w:szCs w:val="18"/>
                <w:lang w:val="es-ES"/>
              </w:rPr>
            </w:pPr>
          </w:p>
        </w:tc>
        <w:tc>
          <w:tcPr>
            <w:tcW w:w="832" w:type="dxa"/>
            <w:tcBorders>
              <w:top w:val="nil"/>
              <w:bottom w:val="nil"/>
            </w:tcBorders>
            <w:shd w:val="clear" w:color="auto" w:fill="auto"/>
            <w:vAlign w:val="center"/>
          </w:tcPr>
          <w:p w14:paraId="0FEB09DA"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 xml:space="preserve">    10 </w:t>
            </w:r>
            <w:r w:rsidRPr="0085792A">
              <w:rPr>
                <w:rFonts w:eastAsia="Times New Roman"/>
                <w:b/>
                <w:bCs/>
                <w:sz w:val="18"/>
                <w:szCs w:val="18"/>
                <w:lang w:val="es-ES"/>
              </w:rPr>
              <w:t>↑</w:t>
            </w:r>
          </w:p>
        </w:tc>
        <w:tc>
          <w:tcPr>
            <w:tcW w:w="2552" w:type="dxa"/>
            <w:tcBorders>
              <w:top w:val="nil"/>
              <w:bottom w:val="nil"/>
            </w:tcBorders>
            <w:shd w:val="clear" w:color="auto" w:fill="auto"/>
            <w:noWrap/>
            <w:vAlign w:val="center"/>
          </w:tcPr>
          <w:p w14:paraId="46E5A28C"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 xml:space="preserve">Bélgica </w:t>
            </w:r>
          </w:p>
        </w:tc>
        <w:tc>
          <w:tcPr>
            <w:tcW w:w="1134" w:type="dxa"/>
            <w:tcBorders>
              <w:top w:val="nil"/>
              <w:bottom w:val="nil"/>
            </w:tcBorders>
            <w:shd w:val="clear" w:color="auto" w:fill="auto"/>
            <w:noWrap/>
            <w:vAlign w:val="center"/>
          </w:tcPr>
          <w:p w14:paraId="7299B11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626</w:t>
            </w:r>
          </w:p>
        </w:tc>
        <w:tc>
          <w:tcPr>
            <w:tcW w:w="1276" w:type="dxa"/>
            <w:tcBorders>
              <w:top w:val="nil"/>
              <w:bottom w:val="nil"/>
            </w:tcBorders>
            <w:shd w:val="clear" w:color="auto" w:fill="auto"/>
            <w:noWrap/>
            <w:vAlign w:val="center"/>
          </w:tcPr>
          <w:p w14:paraId="0D2BD690"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2 678</w:t>
            </w:r>
          </w:p>
        </w:tc>
        <w:tc>
          <w:tcPr>
            <w:tcW w:w="1192" w:type="dxa"/>
            <w:tcBorders>
              <w:top w:val="nil"/>
              <w:bottom w:val="nil"/>
            </w:tcBorders>
            <w:shd w:val="clear" w:color="auto" w:fill="auto"/>
            <w:noWrap/>
            <w:vAlign w:val="center"/>
          </w:tcPr>
          <w:p w14:paraId="65D31B11"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0.4</w:t>
            </w:r>
          </w:p>
        </w:tc>
        <w:tc>
          <w:tcPr>
            <w:tcW w:w="940" w:type="dxa"/>
            <w:tcBorders>
              <w:top w:val="nil"/>
              <w:bottom w:val="nil"/>
            </w:tcBorders>
            <w:shd w:val="clear" w:color="auto" w:fill="auto"/>
            <w:vAlign w:val="center"/>
          </w:tcPr>
          <w:p w14:paraId="6EC24353"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327.8</w:t>
            </w:r>
          </w:p>
        </w:tc>
        <w:tc>
          <w:tcPr>
            <w:tcW w:w="987" w:type="dxa"/>
            <w:tcBorders>
              <w:top w:val="nil"/>
              <w:bottom w:val="nil"/>
            </w:tcBorders>
            <w:shd w:val="clear" w:color="auto" w:fill="auto"/>
            <w:vAlign w:val="center"/>
          </w:tcPr>
          <w:p w14:paraId="2D9DB36D"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2 052</w:t>
            </w:r>
          </w:p>
        </w:tc>
      </w:tr>
      <w:tr w:rsidR="0085792A" w:rsidRPr="0085792A" w14:paraId="2A1EC101" w14:textId="77777777" w:rsidTr="0085792A">
        <w:trPr>
          <w:trHeight w:val="170"/>
          <w:jc w:val="center"/>
        </w:trPr>
        <w:tc>
          <w:tcPr>
            <w:tcW w:w="869" w:type="dxa"/>
            <w:gridSpan w:val="2"/>
            <w:tcBorders>
              <w:top w:val="nil"/>
              <w:bottom w:val="single" w:sz="6" w:space="0" w:color="auto"/>
            </w:tcBorders>
            <w:shd w:val="clear" w:color="auto" w:fill="auto"/>
            <w:vAlign w:val="center"/>
          </w:tcPr>
          <w:p w14:paraId="11A21B48" w14:textId="77777777" w:rsidR="0085792A" w:rsidRPr="0085792A" w:rsidRDefault="0085792A" w:rsidP="0085792A">
            <w:pPr>
              <w:spacing w:before="20" w:after="20"/>
              <w:rPr>
                <w:rFonts w:eastAsia="Times New Roman"/>
                <w:sz w:val="18"/>
                <w:szCs w:val="18"/>
                <w:lang w:val="es-ES"/>
              </w:rPr>
            </w:pPr>
          </w:p>
        </w:tc>
        <w:tc>
          <w:tcPr>
            <w:tcW w:w="832" w:type="dxa"/>
            <w:tcBorders>
              <w:top w:val="nil"/>
              <w:bottom w:val="single" w:sz="6" w:space="0" w:color="auto"/>
            </w:tcBorders>
            <w:shd w:val="clear" w:color="auto" w:fill="auto"/>
            <w:vAlign w:val="center"/>
          </w:tcPr>
          <w:p w14:paraId="12FD4C56" w14:textId="77777777" w:rsidR="0085792A" w:rsidRPr="0085792A" w:rsidRDefault="0085792A" w:rsidP="0085792A">
            <w:pPr>
              <w:spacing w:before="20" w:after="20"/>
              <w:rPr>
                <w:rFonts w:eastAsia="Times New Roman"/>
                <w:sz w:val="18"/>
                <w:szCs w:val="18"/>
                <w:lang w:val="es-ES"/>
              </w:rPr>
            </w:pPr>
          </w:p>
        </w:tc>
        <w:tc>
          <w:tcPr>
            <w:tcW w:w="2552" w:type="dxa"/>
            <w:tcBorders>
              <w:top w:val="nil"/>
              <w:bottom w:val="single" w:sz="6" w:space="0" w:color="auto"/>
            </w:tcBorders>
            <w:shd w:val="clear" w:color="auto" w:fill="auto"/>
            <w:noWrap/>
            <w:vAlign w:val="center"/>
          </w:tcPr>
          <w:p w14:paraId="1A66350B" w14:textId="77777777" w:rsidR="0085792A" w:rsidRPr="0085792A" w:rsidRDefault="0085792A" w:rsidP="0085792A">
            <w:pPr>
              <w:spacing w:before="20" w:after="20"/>
              <w:rPr>
                <w:rFonts w:eastAsia="Times New Roman"/>
                <w:sz w:val="18"/>
                <w:szCs w:val="18"/>
                <w:lang w:val="es-ES"/>
              </w:rPr>
            </w:pPr>
            <w:r w:rsidRPr="0085792A">
              <w:rPr>
                <w:rFonts w:eastAsia="Times New Roman"/>
                <w:sz w:val="18"/>
                <w:szCs w:val="18"/>
                <w:lang w:val="es-ES"/>
              </w:rPr>
              <w:t>Otros países</w:t>
            </w:r>
          </w:p>
        </w:tc>
        <w:tc>
          <w:tcPr>
            <w:tcW w:w="1134" w:type="dxa"/>
            <w:tcBorders>
              <w:top w:val="nil"/>
              <w:bottom w:val="single" w:sz="6" w:space="0" w:color="auto"/>
            </w:tcBorders>
            <w:shd w:val="clear" w:color="auto" w:fill="auto"/>
            <w:noWrap/>
            <w:vAlign w:val="center"/>
          </w:tcPr>
          <w:p w14:paraId="5E0DAA81"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30 100</w:t>
            </w:r>
          </w:p>
        </w:tc>
        <w:tc>
          <w:tcPr>
            <w:tcW w:w="1276" w:type="dxa"/>
            <w:tcBorders>
              <w:top w:val="nil"/>
              <w:bottom w:val="single" w:sz="6" w:space="0" w:color="auto"/>
            </w:tcBorders>
            <w:shd w:val="clear" w:color="auto" w:fill="auto"/>
            <w:noWrap/>
            <w:vAlign w:val="center"/>
          </w:tcPr>
          <w:p w14:paraId="4D5309F4"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41 791</w:t>
            </w:r>
          </w:p>
        </w:tc>
        <w:tc>
          <w:tcPr>
            <w:tcW w:w="1192" w:type="dxa"/>
            <w:tcBorders>
              <w:top w:val="nil"/>
              <w:bottom w:val="single" w:sz="6" w:space="0" w:color="auto"/>
            </w:tcBorders>
            <w:shd w:val="clear" w:color="auto" w:fill="auto"/>
            <w:noWrap/>
            <w:vAlign w:val="center"/>
          </w:tcPr>
          <w:p w14:paraId="05B1AF7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6.1</w:t>
            </w:r>
          </w:p>
        </w:tc>
        <w:tc>
          <w:tcPr>
            <w:tcW w:w="940" w:type="dxa"/>
            <w:tcBorders>
              <w:top w:val="nil"/>
              <w:bottom w:val="single" w:sz="6" w:space="0" w:color="auto"/>
            </w:tcBorders>
            <w:shd w:val="clear" w:color="auto" w:fill="auto"/>
            <w:vAlign w:val="center"/>
          </w:tcPr>
          <w:p w14:paraId="0CA5D35C"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38.8</w:t>
            </w:r>
          </w:p>
        </w:tc>
        <w:tc>
          <w:tcPr>
            <w:tcW w:w="987" w:type="dxa"/>
            <w:tcBorders>
              <w:top w:val="nil"/>
              <w:bottom w:val="single" w:sz="6" w:space="0" w:color="auto"/>
            </w:tcBorders>
            <w:shd w:val="clear" w:color="auto" w:fill="auto"/>
            <w:vAlign w:val="center"/>
          </w:tcPr>
          <w:p w14:paraId="50AA2373" w14:textId="77777777" w:rsidR="0085792A" w:rsidRPr="0085792A" w:rsidRDefault="0085792A" w:rsidP="0085792A">
            <w:pPr>
              <w:spacing w:before="20" w:after="20"/>
              <w:ind w:right="113"/>
              <w:jc w:val="right"/>
              <w:rPr>
                <w:rFonts w:eastAsia="Times New Roman"/>
                <w:sz w:val="18"/>
                <w:szCs w:val="18"/>
                <w:lang w:val="es-ES"/>
              </w:rPr>
            </w:pPr>
            <w:r w:rsidRPr="0085792A">
              <w:rPr>
                <w:rFonts w:eastAsia="Times New Roman"/>
                <w:sz w:val="18"/>
                <w:szCs w:val="18"/>
                <w:lang w:val="es-ES"/>
              </w:rPr>
              <w:t>11 691</w:t>
            </w:r>
          </w:p>
        </w:tc>
      </w:tr>
      <w:tr w:rsidR="0085792A" w:rsidRPr="0085792A" w14:paraId="075FB407" w14:textId="77777777" w:rsidTr="0085792A">
        <w:trPr>
          <w:trHeight w:val="227"/>
          <w:jc w:val="center"/>
        </w:trPr>
        <w:tc>
          <w:tcPr>
            <w:tcW w:w="4253" w:type="dxa"/>
            <w:gridSpan w:val="4"/>
            <w:tcBorders>
              <w:top w:val="single" w:sz="6" w:space="0" w:color="auto"/>
              <w:bottom w:val="single" w:sz="8" w:space="0" w:color="auto"/>
            </w:tcBorders>
            <w:shd w:val="clear" w:color="auto" w:fill="auto"/>
            <w:vAlign w:val="center"/>
          </w:tcPr>
          <w:p w14:paraId="78DF0F1D"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EXPORTACIÓN TOTAL</w:t>
            </w:r>
          </w:p>
        </w:tc>
        <w:tc>
          <w:tcPr>
            <w:tcW w:w="1134" w:type="dxa"/>
            <w:tcBorders>
              <w:top w:val="single" w:sz="6" w:space="0" w:color="auto"/>
              <w:bottom w:val="single" w:sz="8" w:space="0" w:color="auto"/>
            </w:tcBorders>
            <w:shd w:val="clear" w:color="auto" w:fill="auto"/>
            <w:noWrap/>
            <w:vAlign w:val="center"/>
          </w:tcPr>
          <w:p w14:paraId="2053BDE1"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606 204</w:t>
            </w:r>
          </w:p>
        </w:tc>
        <w:tc>
          <w:tcPr>
            <w:tcW w:w="1276" w:type="dxa"/>
            <w:tcBorders>
              <w:top w:val="single" w:sz="6" w:space="0" w:color="auto"/>
              <w:bottom w:val="single" w:sz="8" w:space="0" w:color="auto"/>
            </w:tcBorders>
            <w:shd w:val="clear" w:color="auto" w:fill="auto"/>
            <w:noWrap/>
            <w:vAlign w:val="center"/>
          </w:tcPr>
          <w:p w14:paraId="47A81B68"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688 514</w:t>
            </w:r>
          </w:p>
        </w:tc>
        <w:tc>
          <w:tcPr>
            <w:tcW w:w="1192" w:type="dxa"/>
            <w:tcBorders>
              <w:top w:val="single" w:sz="6" w:space="0" w:color="auto"/>
              <w:bottom w:val="single" w:sz="8" w:space="0" w:color="auto"/>
            </w:tcBorders>
            <w:shd w:val="clear" w:color="auto" w:fill="auto"/>
            <w:noWrap/>
            <w:vAlign w:val="center"/>
          </w:tcPr>
          <w:p w14:paraId="1730473D"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100.0</w:t>
            </w:r>
          </w:p>
        </w:tc>
        <w:tc>
          <w:tcPr>
            <w:tcW w:w="940" w:type="dxa"/>
            <w:tcBorders>
              <w:top w:val="single" w:sz="6" w:space="0" w:color="auto"/>
              <w:bottom w:val="single" w:sz="8" w:space="0" w:color="auto"/>
            </w:tcBorders>
            <w:shd w:val="clear" w:color="auto" w:fill="auto"/>
            <w:vAlign w:val="center"/>
          </w:tcPr>
          <w:p w14:paraId="3229BC90"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13.6</w:t>
            </w:r>
          </w:p>
        </w:tc>
        <w:tc>
          <w:tcPr>
            <w:tcW w:w="987" w:type="dxa"/>
            <w:tcBorders>
              <w:top w:val="single" w:sz="6" w:space="0" w:color="auto"/>
              <w:bottom w:val="single" w:sz="8" w:space="0" w:color="auto"/>
            </w:tcBorders>
            <w:shd w:val="clear" w:color="auto" w:fill="auto"/>
            <w:vAlign w:val="center"/>
          </w:tcPr>
          <w:p w14:paraId="0633AC25" w14:textId="77777777" w:rsidR="0085792A" w:rsidRPr="0085792A" w:rsidRDefault="0085792A" w:rsidP="0085792A">
            <w:pPr>
              <w:spacing w:before="20" w:after="20"/>
              <w:ind w:right="113"/>
              <w:jc w:val="right"/>
              <w:rPr>
                <w:rFonts w:eastAsia="Times New Roman"/>
                <w:b/>
                <w:sz w:val="18"/>
                <w:szCs w:val="18"/>
                <w:lang w:val="es-ES"/>
              </w:rPr>
            </w:pPr>
            <w:r w:rsidRPr="0085792A">
              <w:rPr>
                <w:rFonts w:eastAsia="Times New Roman"/>
                <w:b/>
                <w:sz w:val="18"/>
                <w:szCs w:val="18"/>
                <w:lang w:val="es-ES"/>
              </w:rPr>
              <w:t>82 310</w:t>
            </w:r>
          </w:p>
        </w:tc>
      </w:tr>
      <w:tr w:rsidR="0085792A" w:rsidRPr="0085792A" w14:paraId="3804C072" w14:textId="77777777" w:rsidTr="0085792A">
        <w:trPr>
          <w:trHeight w:val="227"/>
          <w:jc w:val="center"/>
        </w:trPr>
        <w:tc>
          <w:tcPr>
            <w:tcW w:w="9782" w:type="dxa"/>
            <w:gridSpan w:val="9"/>
            <w:tcBorders>
              <w:left w:val="nil"/>
              <w:bottom w:val="nil"/>
              <w:right w:val="nil"/>
            </w:tcBorders>
            <w:shd w:val="clear" w:color="auto" w:fill="auto"/>
          </w:tcPr>
          <w:p w14:paraId="7D8A26F0" w14:textId="77777777" w:rsidR="0085792A" w:rsidRPr="0085792A" w:rsidRDefault="0085792A" w:rsidP="0085792A">
            <w:pPr>
              <w:spacing w:after="360" w:line="360" w:lineRule="auto"/>
              <w:ind w:right="-159"/>
              <w:jc w:val="both"/>
              <w:rPr>
                <w:rFonts w:eastAsia="Times New Roman"/>
                <w:b/>
                <w:sz w:val="18"/>
                <w:szCs w:val="18"/>
                <w:lang w:val="es-ES"/>
              </w:rPr>
            </w:pPr>
            <w:r w:rsidRPr="0085792A">
              <w:rPr>
                <w:rFonts w:eastAsia="Times New Roman"/>
                <w:bCs/>
                <w:sz w:val="20"/>
                <w:szCs w:val="20"/>
                <w:lang w:val="es-ES"/>
              </w:rPr>
              <w:t>FUENTE: AMIA, con datos de sus asociados.</w:t>
            </w:r>
          </w:p>
        </w:tc>
      </w:tr>
    </w:tbl>
    <w:p w14:paraId="3F5BA3C5" w14:textId="77777777" w:rsidR="009940FA" w:rsidRDefault="009940FA" w:rsidP="0085792A">
      <w:pPr>
        <w:spacing w:before="360" w:after="360" w:line="360" w:lineRule="auto"/>
        <w:ind w:right="-159"/>
        <w:jc w:val="both"/>
        <w:rPr>
          <w:rFonts w:eastAsia="Times New Roman"/>
          <w:b/>
          <w:bCs/>
          <w:sz w:val="26"/>
          <w:szCs w:val="26"/>
          <w:lang w:val="es-ES"/>
        </w:rPr>
      </w:pPr>
    </w:p>
    <w:p w14:paraId="2957A79D" w14:textId="77777777" w:rsidR="0085792A" w:rsidRPr="0085792A" w:rsidRDefault="0085792A" w:rsidP="0085792A">
      <w:pPr>
        <w:spacing w:before="360" w:after="360" w:line="360" w:lineRule="auto"/>
        <w:ind w:right="-159"/>
        <w:jc w:val="both"/>
        <w:rPr>
          <w:rFonts w:eastAsia="Times New Roman"/>
          <w:b/>
          <w:bCs/>
          <w:sz w:val="26"/>
          <w:szCs w:val="26"/>
          <w:lang w:val="es-ES"/>
        </w:rPr>
      </w:pPr>
      <w:r w:rsidRPr="0085792A">
        <w:rPr>
          <w:rFonts w:eastAsia="Times New Roman"/>
          <w:b/>
          <w:bCs/>
          <w:sz w:val="26"/>
          <w:szCs w:val="26"/>
          <w:lang w:val="es-ES"/>
        </w:rPr>
        <w:lastRenderedPageBreak/>
        <w:t>Mercado de vehículos ligeros en Estados Unidos de Norteamérica</w:t>
      </w:r>
    </w:p>
    <w:p w14:paraId="22C5EF7A" w14:textId="77777777"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 xml:space="preserve">De acuerdo con el reporte de </w:t>
      </w:r>
      <w:r w:rsidRPr="0085792A">
        <w:rPr>
          <w:rFonts w:eastAsia="Times New Roman"/>
          <w:i/>
          <w:sz w:val="26"/>
          <w:szCs w:val="26"/>
          <w:lang w:val="es-ES"/>
        </w:rPr>
        <w:t>Ward’s Automotive,</w:t>
      </w:r>
      <w:r w:rsidRPr="0085792A">
        <w:rPr>
          <w:rFonts w:eastAsia="Times New Roman"/>
          <w:sz w:val="26"/>
          <w:szCs w:val="26"/>
          <w:lang w:val="es-ES"/>
        </w:rPr>
        <w:t xml:space="preserve"> en Estados Unidos de Norteamérica se vendieron 3 millones 936 mil 996 vehículos ligeros durante el primer trimestre de 2015, crecimiento de 5.6% en relación con el mismo período de 2014.</w:t>
      </w:r>
    </w:p>
    <w:p w14:paraId="1E80F310" w14:textId="77777777"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En estos primeros tres meses de 2015, los vehículos mexicanos representaron el 12.3% del total de vehículos ligeros vendidos en Estados Unidos de Norteamérica, al exportarse 482 mil 288 unidades.</w:t>
      </w:r>
    </w:p>
    <w:p w14:paraId="53F97B30" w14:textId="0DB24212"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 xml:space="preserve">De los países que proveen a Estados Unidos de Norteamérica, Corea y México presentan las tasas de crecimiento positivas, 17.4 y 12.6% respectivamente, </w:t>
      </w:r>
      <w:r w:rsidR="00EA1874">
        <w:rPr>
          <w:rFonts w:eastAsia="Times New Roman"/>
          <w:sz w:val="26"/>
          <w:szCs w:val="26"/>
          <w:lang w:val="es-ES"/>
        </w:rPr>
        <w:t>con relación al mismo</w:t>
      </w:r>
      <w:r w:rsidRPr="0085792A">
        <w:rPr>
          <w:rFonts w:eastAsia="Times New Roman"/>
          <w:sz w:val="26"/>
          <w:szCs w:val="26"/>
          <w:lang w:val="es-ES"/>
        </w:rPr>
        <w:t xml:space="preserve"> trimestre </w:t>
      </w:r>
      <w:r w:rsidR="00EA1874">
        <w:rPr>
          <w:rFonts w:eastAsia="Times New Roman"/>
          <w:sz w:val="26"/>
          <w:szCs w:val="26"/>
          <w:lang w:val="es-ES"/>
        </w:rPr>
        <w:t xml:space="preserve">de </w:t>
      </w:r>
      <w:r w:rsidRPr="0085792A">
        <w:rPr>
          <w:rFonts w:eastAsia="Times New Roman"/>
          <w:sz w:val="26"/>
          <w:szCs w:val="26"/>
          <w:lang w:val="es-ES"/>
        </w:rPr>
        <w:t>2014, mientras que Japón y Alemania presentan tasas negativas.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07"/>
        <w:gridCol w:w="1276"/>
        <w:gridCol w:w="1275"/>
        <w:gridCol w:w="993"/>
      </w:tblGrid>
      <w:tr w:rsidR="0085792A" w:rsidRPr="0085792A" w14:paraId="15F50700" w14:textId="77777777" w:rsidTr="00AC0335">
        <w:trPr>
          <w:jc w:val="center"/>
        </w:trPr>
        <w:tc>
          <w:tcPr>
            <w:tcW w:w="7951" w:type="dxa"/>
            <w:gridSpan w:val="4"/>
            <w:tcBorders>
              <w:top w:val="nil"/>
              <w:left w:val="nil"/>
              <w:right w:val="nil"/>
            </w:tcBorders>
          </w:tcPr>
          <w:p w14:paraId="424865D7" w14:textId="77777777"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 xml:space="preserve">MERCADO DE VEHÍCULOS LIGEROS EN </w:t>
            </w:r>
          </w:p>
          <w:p w14:paraId="6E77B694" w14:textId="77777777"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ESTADOS UNIDOS DE NORTEAMÉRICA</w:t>
            </w:r>
          </w:p>
          <w:p w14:paraId="01A444EE" w14:textId="77777777"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-Acumulado enero-marzo-</w:t>
            </w:r>
          </w:p>
        </w:tc>
      </w:tr>
      <w:tr w:rsidR="0085792A" w:rsidRPr="0085792A" w14:paraId="60E35DD0" w14:textId="77777777" w:rsidTr="00AC0335">
        <w:trPr>
          <w:jc w:val="center"/>
        </w:trPr>
        <w:tc>
          <w:tcPr>
            <w:tcW w:w="4407" w:type="dxa"/>
            <w:tcBorders>
              <w:bottom w:val="single" w:sz="4" w:space="0" w:color="000000"/>
            </w:tcBorders>
            <w:vAlign w:val="center"/>
          </w:tcPr>
          <w:p w14:paraId="741A48BD" w14:textId="77777777" w:rsidR="0085792A" w:rsidRPr="0085792A" w:rsidRDefault="0085792A" w:rsidP="0085792A">
            <w:pPr>
              <w:spacing w:before="20" w:after="20"/>
              <w:jc w:val="center"/>
              <w:rPr>
                <w:rFonts w:eastAsia="Times New Roman"/>
                <w:sz w:val="18"/>
                <w:szCs w:val="20"/>
                <w:lang w:val="es-ES"/>
              </w:rPr>
            </w:pPr>
            <w:r w:rsidRPr="0085792A">
              <w:rPr>
                <w:rFonts w:eastAsia="Times New Roman"/>
                <w:b/>
                <w:bCs/>
                <w:sz w:val="18"/>
                <w:szCs w:val="20"/>
                <w:lang w:val="es-ES"/>
              </w:rPr>
              <w:t>Origen</w:t>
            </w:r>
          </w:p>
        </w:tc>
        <w:tc>
          <w:tcPr>
            <w:tcW w:w="1276" w:type="dxa"/>
            <w:tcBorders>
              <w:bottom w:val="single" w:sz="4" w:space="0" w:color="000000"/>
            </w:tcBorders>
            <w:vAlign w:val="center"/>
          </w:tcPr>
          <w:p w14:paraId="2F6579C7" w14:textId="77777777" w:rsidR="0085792A" w:rsidRPr="0085792A" w:rsidRDefault="0085792A" w:rsidP="0085792A">
            <w:pPr>
              <w:spacing w:before="20" w:after="20"/>
              <w:jc w:val="center"/>
              <w:rPr>
                <w:rFonts w:eastAsia="Times New Roman"/>
                <w:sz w:val="18"/>
                <w:szCs w:val="20"/>
                <w:lang w:val="es-ES"/>
              </w:rPr>
            </w:pPr>
            <w:r w:rsidRPr="0085792A">
              <w:rPr>
                <w:rFonts w:eastAsia="Times New Roman"/>
                <w:b/>
                <w:bCs/>
                <w:sz w:val="18"/>
                <w:szCs w:val="20"/>
                <w:lang w:val="es-ES"/>
              </w:rPr>
              <w:t>2014</w:t>
            </w:r>
          </w:p>
        </w:tc>
        <w:tc>
          <w:tcPr>
            <w:tcW w:w="1275" w:type="dxa"/>
            <w:tcBorders>
              <w:bottom w:val="single" w:sz="4" w:space="0" w:color="000000"/>
            </w:tcBorders>
            <w:vAlign w:val="center"/>
          </w:tcPr>
          <w:p w14:paraId="62FD93F1" w14:textId="77777777" w:rsidR="0085792A" w:rsidRPr="0085792A" w:rsidRDefault="0085792A" w:rsidP="0085792A">
            <w:pPr>
              <w:spacing w:before="20" w:after="20"/>
              <w:jc w:val="center"/>
              <w:rPr>
                <w:rFonts w:eastAsia="Times New Roman"/>
                <w:sz w:val="18"/>
                <w:szCs w:val="20"/>
                <w:lang w:val="es-ES"/>
              </w:rPr>
            </w:pPr>
            <w:r w:rsidRPr="0085792A">
              <w:rPr>
                <w:rFonts w:eastAsia="Times New Roman"/>
                <w:b/>
                <w:bCs/>
                <w:sz w:val="18"/>
                <w:szCs w:val="20"/>
                <w:lang w:val="es-ES"/>
              </w:rPr>
              <w:t>2015</w:t>
            </w:r>
          </w:p>
        </w:tc>
        <w:tc>
          <w:tcPr>
            <w:tcW w:w="993" w:type="dxa"/>
            <w:tcBorders>
              <w:bottom w:val="single" w:sz="4" w:space="0" w:color="000000"/>
            </w:tcBorders>
            <w:vAlign w:val="center"/>
          </w:tcPr>
          <w:p w14:paraId="35217DC9" w14:textId="77777777" w:rsidR="0085792A" w:rsidRPr="0085792A" w:rsidRDefault="0085792A" w:rsidP="0085792A">
            <w:pPr>
              <w:spacing w:before="20" w:after="20"/>
              <w:jc w:val="center"/>
              <w:rPr>
                <w:rFonts w:eastAsia="Times New Roman"/>
                <w:sz w:val="18"/>
                <w:szCs w:val="20"/>
                <w:lang w:val="es-ES"/>
              </w:rPr>
            </w:pPr>
            <w:r w:rsidRPr="0085792A">
              <w:rPr>
                <w:rFonts w:eastAsia="Times New Roman"/>
                <w:b/>
                <w:bCs/>
                <w:sz w:val="18"/>
                <w:szCs w:val="20"/>
                <w:lang w:val="es-ES"/>
              </w:rPr>
              <w:t>Variación %</w:t>
            </w:r>
          </w:p>
        </w:tc>
      </w:tr>
      <w:tr w:rsidR="0085792A" w:rsidRPr="0085792A" w14:paraId="25B100BB" w14:textId="77777777" w:rsidTr="00AC0335">
        <w:trPr>
          <w:jc w:val="center"/>
        </w:trPr>
        <w:tc>
          <w:tcPr>
            <w:tcW w:w="4407" w:type="dxa"/>
            <w:tcBorders>
              <w:bottom w:val="nil"/>
              <w:right w:val="single" w:sz="6" w:space="0" w:color="auto"/>
            </w:tcBorders>
            <w:vAlign w:val="center"/>
          </w:tcPr>
          <w:p w14:paraId="0D92CD95" w14:textId="77777777" w:rsidR="0085792A" w:rsidRPr="0085792A" w:rsidRDefault="0085792A" w:rsidP="0085792A">
            <w:pPr>
              <w:spacing w:before="20" w:after="20"/>
              <w:rPr>
                <w:rFonts w:eastAsia="Times New Roman"/>
                <w:sz w:val="18"/>
                <w:szCs w:val="20"/>
                <w:lang w:val="es-ES"/>
              </w:rPr>
            </w:pPr>
            <w:r w:rsidRPr="0085792A">
              <w:rPr>
                <w:rFonts w:eastAsia="Times New Roman"/>
                <w:bCs/>
                <w:sz w:val="18"/>
                <w:szCs w:val="20"/>
                <w:lang w:val="es-ES"/>
              </w:rPr>
              <w:t>Alemania</w:t>
            </w:r>
          </w:p>
        </w:tc>
        <w:tc>
          <w:tcPr>
            <w:tcW w:w="1276" w:type="dxa"/>
            <w:tcBorders>
              <w:left w:val="single" w:sz="6" w:space="0" w:color="auto"/>
              <w:bottom w:val="nil"/>
              <w:right w:val="single" w:sz="6" w:space="0" w:color="auto"/>
            </w:tcBorders>
            <w:shd w:val="clear" w:color="auto" w:fill="auto"/>
            <w:vAlign w:val="center"/>
          </w:tcPr>
          <w:p w14:paraId="53E57883"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163 307</w:t>
            </w:r>
          </w:p>
        </w:tc>
        <w:tc>
          <w:tcPr>
            <w:tcW w:w="1275" w:type="dxa"/>
            <w:tcBorders>
              <w:left w:val="single" w:sz="6" w:space="0" w:color="auto"/>
              <w:bottom w:val="nil"/>
              <w:right w:val="single" w:sz="6" w:space="0" w:color="auto"/>
            </w:tcBorders>
            <w:vAlign w:val="center"/>
          </w:tcPr>
          <w:p w14:paraId="254D19F3"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150 152</w:t>
            </w:r>
          </w:p>
        </w:tc>
        <w:tc>
          <w:tcPr>
            <w:tcW w:w="993" w:type="dxa"/>
            <w:tcBorders>
              <w:left w:val="single" w:sz="6" w:space="0" w:color="auto"/>
              <w:bottom w:val="nil"/>
            </w:tcBorders>
            <w:vAlign w:val="center"/>
          </w:tcPr>
          <w:p w14:paraId="19E94962" w14:textId="77777777" w:rsidR="0085792A" w:rsidRPr="0085792A" w:rsidRDefault="0085792A" w:rsidP="0085792A">
            <w:pPr>
              <w:spacing w:before="20" w:after="20"/>
              <w:ind w:right="227"/>
              <w:jc w:val="right"/>
              <w:rPr>
                <w:rFonts w:eastAsia="Times New Roman"/>
                <w:sz w:val="18"/>
                <w:szCs w:val="20"/>
                <w:lang w:val="es-ES"/>
              </w:rPr>
            </w:pPr>
            <w:r w:rsidRPr="0085792A">
              <w:rPr>
                <w:rFonts w:eastAsia="Times New Roman"/>
                <w:sz w:val="18"/>
                <w:szCs w:val="20"/>
                <w:lang w:val="es-ES"/>
              </w:rPr>
              <w:t>-8.1</w:t>
            </w:r>
          </w:p>
        </w:tc>
      </w:tr>
      <w:tr w:rsidR="0085792A" w:rsidRPr="0085792A" w14:paraId="09957BBE" w14:textId="77777777" w:rsidTr="00AC0335">
        <w:trPr>
          <w:jc w:val="center"/>
        </w:trPr>
        <w:tc>
          <w:tcPr>
            <w:tcW w:w="4407" w:type="dxa"/>
            <w:tcBorders>
              <w:top w:val="nil"/>
              <w:bottom w:val="nil"/>
              <w:right w:val="single" w:sz="6" w:space="0" w:color="auto"/>
            </w:tcBorders>
            <w:vAlign w:val="center"/>
          </w:tcPr>
          <w:p w14:paraId="1275CE64" w14:textId="77777777" w:rsidR="0085792A" w:rsidRPr="0085792A" w:rsidRDefault="0085792A" w:rsidP="0085792A">
            <w:pPr>
              <w:spacing w:before="20" w:after="20"/>
              <w:rPr>
                <w:rFonts w:eastAsia="Times New Roman"/>
                <w:bCs/>
                <w:sz w:val="18"/>
                <w:szCs w:val="20"/>
                <w:lang w:val="es-ES"/>
              </w:rPr>
            </w:pPr>
            <w:r w:rsidRPr="0085792A">
              <w:rPr>
                <w:rFonts w:eastAsia="Times New Roman"/>
                <w:bCs/>
                <w:sz w:val="18"/>
                <w:szCs w:val="20"/>
                <w:lang w:val="es-ES"/>
              </w:rPr>
              <w:t>Japón</w:t>
            </w:r>
          </w:p>
        </w:tc>
        <w:tc>
          <w:tcPr>
            <w:tcW w:w="1276" w:type="dxa"/>
            <w:tcBorders>
              <w:top w:val="nil"/>
              <w:left w:val="single" w:sz="6" w:space="0" w:color="auto"/>
              <w:bottom w:val="nil"/>
              <w:right w:val="single" w:sz="6" w:space="0" w:color="auto"/>
            </w:tcBorders>
            <w:shd w:val="clear" w:color="auto" w:fill="auto"/>
            <w:vAlign w:val="center"/>
          </w:tcPr>
          <w:p w14:paraId="4C7B9E9B"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405 186</w:t>
            </w:r>
          </w:p>
        </w:tc>
        <w:tc>
          <w:tcPr>
            <w:tcW w:w="1275" w:type="dxa"/>
            <w:tcBorders>
              <w:top w:val="nil"/>
              <w:left w:val="single" w:sz="6" w:space="0" w:color="auto"/>
              <w:bottom w:val="nil"/>
              <w:right w:val="single" w:sz="6" w:space="0" w:color="auto"/>
            </w:tcBorders>
            <w:vAlign w:val="center"/>
          </w:tcPr>
          <w:p w14:paraId="3D8076B4"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369 688</w:t>
            </w:r>
          </w:p>
        </w:tc>
        <w:tc>
          <w:tcPr>
            <w:tcW w:w="993" w:type="dxa"/>
            <w:tcBorders>
              <w:top w:val="nil"/>
              <w:left w:val="single" w:sz="6" w:space="0" w:color="auto"/>
              <w:bottom w:val="nil"/>
            </w:tcBorders>
            <w:vAlign w:val="center"/>
          </w:tcPr>
          <w:p w14:paraId="04569B6E" w14:textId="77777777" w:rsidR="0085792A" w:rsidRPr="0085792A" w:rsidRDefault="0085792A" w:rsidP="0085792A">
            <w:pPr>
              <w:spacing w:before="20" w:after="20"/>
              <w:ind w:right="227"/>
              <w:jc w:val="right"/>
              <w:rPr>
                <w:rFonts w:eastAsia="Times New Roman"/>
                <w:sz w:val="18"/>
                <w:szCs w:val="20"/>
                <w:lang w:val="es-ES"/>
              </w:rPr>
            </w:pPr>
            <w:r w:rsidRPr="0085792A">
              <w:rPr>
                <w:rFonts w:eastAsia="Times New Roman"/>
                <w:sz w:val="18"/>
                <w:szCs w:val="20"/>
                <w:lang w:val="es-ES"/>
              </w:rPr>
              <w:t>-8.8</w:t>
            </w:r>
          </w:p>
        </w:tc>
      </w:tr>
      <w:tr w:rsidR="0085792A" w:rsidRPr="0085792A" w14:paraId="375ADA10" w14:textId="77777777" w:rsidTr="00AC0335">
        <w:trPr>
          <w:jc w:val="center"/>
        </w:trPr>
        <w:tc>
          <w:tcPr>
            <w:tcW w:w="4407" w:type="dxa"/>
            <w:tcBorders>
              <w:top w:val="nil"/>
              <w:bottom w:val="nil"/>
              <w:right w:val="single" w:sz="6" w:space="0" w:color="auto"/>
            </w:tcBorders>
            <w:vAlign w:val="center"/>
          </w:tcPr>
          <w:p w14:paraId="46B8E504" w14:textId="77777777" w:rsidR="0085792A" w:rsidRPr="0085792A" w:rsidRDefault="0085792A" w:rsidP="0085792A">
            <w:pPr>
              <w:spacing w:before="20" w:after="20"/>
              <w:rPr>
                <w:rFonts w:eastAsia="Times New Roman"/>
                <w:sz w:val="18"/>
                <w:szCs w:val="20"/>
                <w:lang w:val="es-ES"/>
              </w:rPr>
            </w:pPr>
            <w:r w:rsidRPr="0085792A">
              <w:rPr>
                <w:rFonts w:eastAsia="Times New Roman"/>
                <w:bCs/>
                <w:sz w:val="18"/>
                <w:szCs w:val="20"/>
                <w:lang w:val="es-ES"/>
              </w:rPr>
              <w:t>Corea</w:t>
            </w:r>
          </w:p>
        </w:tc>
        <w:tc>
          <w:tcPr>
            <w:tcW w:w="1276" w:type="dxa"/>
            <w:tcBorders>
              <w:top w:val="nil"/>
              <w:left w:val="single" w:sz="6" w:space="0" w:color="auto"/>
              <w:bottom w:val="nil"/>
              <w:right w:val="single" w:sz="6" w:space="0" w:color="auto"/>
            </w:tcBorders>
            <w:shd w:val="clear" w:color="auto" w:fill="auto"/>
            <w:vAlign w:val="center"/>
          </w:tcPr>
          <w:p w14:paraId="3E369EBF"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174 397</w:t>
            </w:r>
          </w:p>
        </w:tc>
        <w:tc>
          <w:tcPr>
            <w:tcW w:w="1275" w:type="dxa"/>
            <w:tcBorders>
              <w:top w:val="nil"/>
              <w:left w:val="single" w:sz="6" w:space="0" w:color="auto"/>
              <w:bottom w:val="nil"/>
              <w:right w:val="single" w:sz="6" w:space="0" w:color="auto"/>
            </w:tcBorders>
            <w:vAlign w:val="center"/>
          </w:tcPr>
          <w:p w14:paraId="5074EC7D"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204 717</w:t>
            </w:r>
          </w:p>
        </w:tc>
        <w:tc>
          <w:tcPr>
            <w:tcW w:w="993" w:type="dxa"/>
            <w:tcBorders>
              <w:top w:val="nil"/>
              <w:left w:val="single" w:sz="6" w:space="0" w:color="auto"/>
              <w:bottom w:val="nil"/>
            </w:tcBorders>
            <w:vAlign w:val="center"/>
          </w:tcPr>
          <w:p w14:paraId="30A14EDA" w14:textId="77777777" w:rsidR="0085792A" w:rsidRPr="0085792A" w:rsidRDefault="0085792A" w:rsidP="0085792A">
            <w:pPr>
              <w:spacing w:before="20" w:after="20"/>
              <w:ind w:right="227"/>
              <w:jc w:val="right"/>
              <w:rPr>
                <w:rFonts w:eastAsia="Times New Roman"/>
                <w:sz w:val="18"/>
                <w:szCs w:val="20"/>
                <w:lang w:val="es-ES"/>
              </w:rPr>
            </w:pPr>
            <w:r w:rsidRPr="0085792A">
              <w:rPr>
                <w:rFonts w:eastAsia="Times New Roman"/>
                <w:sz w:val="18"/>
                <w:szCs w:val="20"/>
                <w:lang w:val="es-ES"/>
              </w:rPr>
              <w:t>17.4</w:t>
            </w:r>
          </w:p>
        </w:tc>
      </w:tr>
      <w:tr w:rsidR="0085792A" w:rsidRPr="0085792A" w14:paraId="513FF28D" w14:textId="77777777" w:rsidTr="00AC0335">
        <w:trPr>
          <w:jc w:val="center"/>
        </w:trPr>
        <w:tc>
          <w:tcPr>
            <w:tcW w:w="4407" w:type="dxa"/>
            <w:tcBorders>
              <w:top w:val="nil"/>
              <w:bottom w:val="nil"/>
              <w:right w:val="single" w:sz="6" w:space="0" w:color="auto"/>
            </w:tcBorders>
            <w:shd w:val="clear" w:color="auto" w:fill="auto"/>
            <w:vAlign w:val="center"/>
          </w:tcPr>
          <w:p w14:paraId="336C5BA0" w14:textId="77777777" w:rsidR="0085792A" w:rsidRPr="0085792A" w:rsidRDefault="0085792A" w:rsidP="0085792A">
            <w:pPr>
              <w:spacing w:before="20" w:after="20"/>
              <w:rPr>
                <w:rFonts w:eastAsia="Times New Roman"/>
                <w:b/>
                <w:bCs/>
                <w:sz w:val="18"/>
                <w:szCs w:val="20"/>
                <w:lang w:val="es-ES"/>
              </w:rPr>
            </w:pPr>
            <w:r w:rsidRPr="0085792A">
              <w:rPr>
                <w:rFonts w:eastAsia="Times New Roman"/>
                <w:b/>
                <w:bCs/>
                <w:sz w:val="18"/>
                <w:szCs w:val="20"/>
                <w:lang w:val="es-ES"/>
              </w:rPr>
              <w:t>México</w:t>
            </w:r>
          </w:p>
        </w:tc>
        <w:tc>
          <w:tcPr>
            <w:tcW w:w="1276" w:type="dxa"/>
            <w:tcBorders>
              <w:top w:val="nil"/>
              <w:left w:val="single" w:sz="6" w:space="0" w:color="auto"/>
              <w:bottom w:val="nil"/>
              <w:right w:val="single" w:sz="6" w:space="0" w:color="auto"/>
            </w:tcBorders>
            <w:shd w:val="clear" w:color="auto" w:fill="auto"/>
            <w:vAlign w:val="center"/>
          </w:tcPr>
          <w:p w14:paraId="5F03CB5C" w14:textId="77777777" w:rsidR="0085792A" w:rsidRPr="0085792A" w:rsidRDefault="0085792A" w:rsidP="0085792A">
            <w:pPr>
              <w:spacing w:before="20" w:after="20"/>
              <w:ind w:right="113"/>
              <w:jc w:val="right"/>
              <w:rPr>
                <w:rFonts w:eastAsia="Times New Roman"/>
                <w:b/>
                <w:bCs/>
                <w:sz w:val="18"/>
                <w:szCs w:val="20"/>
                <w:lang w:val="es-ES"/>
              </w:rPr>
            </w:pPr>
            <w:r w:rsidRPr="0085792A">
              <w:rPr>
                <w:rFonts w:eastAsia="Times New Roman"/>
                <w:b/>
                <w:bCs/>
                <w:sz w:val="18"/>
                <w:szCs w:val="20"/>
                <w:lang w:val="es-ES"/>
              </w:rPr>
              <w:t>428 376</w:t>
            </w:r>
          </w:p>
        </w:tc>
        <w:tc>
          <w:tcPr>
            <w:tcW w:w="1275" w:type="dxa"/>
            <w:tcBorders>
              <w:top w:val="nil"/>
              <w:left w:val="single" w:sz="6" w:space="0" w:color="auto"/>
              <w:bottom w:val="nil"/>
              <w:right w:val="single" w:sz="6" w:space="0" w:color="auto"/>
            </w:tcBorders>
            <w:shd w:val="clear" w:color="auto" w:fill="auto"/>
            <w:vAlign w:val="center"/>
          </w:tcPr>
          <w:p w14:paraId="2F9D7824" w14:textId="77777777" w:rsidR="0085792A" w:rsidRPr="0085792A" w:rsidRDefault="0085792A" w:rsidP="0085792A">
            <w:pPr>
              <w:spacing w:before="20" w:after="20"/>
              <w:ind w:right="113"/>
              <w:jc w:val="right"/>
              <w:rPr>
                <w:rFonts w:eastAsia="Times New Roman"/>
                <w:b/>
                <w:bCs/>
                <w:sz w:val="18"/>
                <w:szCs w:val="20"/>
                <w:lang w:val="es-ES"/>
              </w:rPr>
            </w:pPr>
            <w:r w:rsidRPr="0085792A">
              <w:rPr>
                <w:rFonts w:eastAsia="Times New Roman"/>
                <w:b/>
                <w:bCs/>
                <w:sz w:val="18"/>
                <w:szCs w:val="20"/>
                <w:lang w:val="es-ES"/>
              </w:rPr>
              <w:t>482 288</w:t>
            </w:r>
          </w:p>
        </w:tc>
        <w:tc>
          <w:tcPr>
            <w:tcW w:w="993" w:type="dxa"/>
            <w:tcBorders>
              <w:top w:val="nil"/>
              <w:left w:val="single" w:sz="6" w:space="0" w:color="auto"/>
              <w:bottom w:val="nil"/>
            </w:tcBorders>
            <w:shd w:val="clear" w:color="auto" w:fill="auto"/>
            <w:vAlign w:val="center"/>
          </w:tcPr>
          <w:p w14:paraId="4716D040" w14:textId="77777777" w:rsidR="0085792A" w:rsidRPr="0085792A" w:rsidRDefault="0085792A" w:rsidP="0085792A">
            <w:pPr>
              <w:spacing w:before="20" w:after="20"/>
              <w:ind w:right="227"/>
              <w:jc w:val="right"/>
              <w:rPr>
                <w:rFonts w:eastAsia="Times New Roman"/>
                <w:b/>
                <w:bCs/>
                <w:sz w:val="18"/>
                <w:szCs w:val="20"/>
                <w:lang w:val="es-ES"/>
              </w:rPr>
            </w:pPr>
            <w:r w:rsidRPr="0085792A">
              <w:rPr>
                <w:rFonts w:eastAsia="Times New Roman"/>
                <w:b/>
                <w:bCs/>
                <w:sz w:val="18"/>
                <w:szCs w:val="20"/>
                <w:lang w:val="es-ES"/>
              </w:rPr>
              <w:t>12.6</w:t>
            </w:r>
          </w:p>
        </w:tc>
      </w:tr>
      <w:tr w:rsidR="0085792A" w:rsidRPr="0085792A" w14:paraId="4D8D2773" w14:textId="77777777" w:rsidTr="00AC0335">
        <w:trPr>
          <w:jc w:val="center"/>
        </w:trPr>
        <w:tc>
          <w:tcPr>
            <w:tcW w:w="4407" w:type="dxa"/>
            <w:tcBorders>
              <w:top w:val="nil"/>
              <w:bottom w:val="nil"/>
              <w:right w:val="single" w:sz="6" w:space="0" w:color="auto"/>
            </w:tcBorders>
            <w:vAlign w:val="center"/>
          </w:tcPr>
          <w:p w14:paraId="1D48FA1E" w14:textId="77777777" w:rsidR="0085792A" w:rsidRPr="0085792A" w:rsidRDefault="0085792A" w:rsidP="0085792A">
            <w:pPr>
              <w:spacing w:before="20" w:after="20"/>
              <w:rPr>
                <w:rFonts w:eastAsia="Times New Roman"/>
                <w:bCs/>
                <w:sz w:val="18"/>
                <w:szCs w:val="20"/>
                <w:lang w:val="es-ES"/>
              </w:rPr>
            </w:pPr>
            <w:r w:rsidRPr="0085792A">
              <w:rPr>
                <w:rFonts w:eastAsia="Times New Roman"/>
                <w:bCs/>
                <w:sz w:val="18"/>
                <w:szCs w:val="20"/>
                <w:lang w:val="es-ES"/>
              </w:rPr>
              <w:t>Otros</w:t>
            </w:r>
          </w:p>
        </w:tc>
        <w:tc>
          <w:tcPr>
            <w:tcW w:w="1276" w:type="dxa"/>
            <w:tcBorders>
              <w:top w:val="nil"/>
              <w:left w:val="single" w:sz="6" w:space="0" w:color="auto"/>
              <w:bottom w:val="nil"/>
              <w:right w:val="single" w:sz="6" w:space="0" w:color="auto"/>
            </w:tcBorders>
            <w:vAlign w:val="center"/>
          </w:tcPr>
          <w:p w14:paraId="13B02426"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73 866</w:t>
            </w:r>
          </w:p>
        </w:tc>
        <w:tc>
          <w:tcPr>
            <w:tcW w:w="1275" w:type="dxa"/>
            <w:tcBorders>
              <w:top w:val="nil"/>
              <w:left w:val="single" w:sz="6" w:space="0" w:color="auto"/>
              <w:bottom w:val="nil"/>
              <w:right w:val="single" w:sz="6" w:space="0" w:color="auto"/>
            </w:tcBorders>
            <w:vAlign w:val="center"/>
          </w:tcPr>
          <w:p w14:paraId="676771B6" w14:textId="77777777" w:rsidR="0085792A" w:rsidRPr="0085792A" w:rsidRDefault="0085792A" w:rsidP="0085792A">
            <w:pPr>
              <w:spacing w:before="20" w:after="20"/>
              <w:ind w:right="113"/>
              <w:jc w:val="right"/>
              <w:rPr>
                <w:rFonts w:eastAsia="Times New Roman"/>
                <w:sz w:val="18"/>
                <w:szCs w:val="20"/>
                <w:lang w:val="es-ES"/>
              </w:rPr>
            </w:pPr>
            <w:r w:rsidRPr="0085792A">
              <w:rPr>
                <w:rFonts w:eastAsia="Times New Roman"/>
                <w:sz w:val="18"/>
                <w:szCs w:val="20"/>
                <w:lang w:val="es-ES"/>
              </w:rPr>
              <w:t>94 160</w:t>
            </w:r>
          </w:p>
        </w:tc>
        <w:tc>
          <w:tcPr>
            <w:tcW w:w="993" w:type="dxa"/>
            <w:tcBorders>
              <w:top w:val="nil"/>
              <w:left w:val="single" w:sz="6" w:space="0" w:color="auto"/>
              <w:bottom w:val="nil"/>
            </w:tcBorders>
            <w:vAlign w:val="center"/>
          </w:tcPr>
          <w:p w14:paraId="06823DE5" w14:textId="77777777" w:rsidR="0085792A" w:rsidRPr="0085792A" w:rsidRDefault="0085792A" w:rsidP="0085792A">
            <w:pPr>
              <w:spacing w:before="20" w:after="20"/>
              <w:ind w:right="227"/>
              <w:jc w:val="right"/>
              <w:rPr>
                <w:rFonts w:eastAsia="Times New Roman"/>
                <w:sz w:val="18"/>
                <w:szCs w:val="20"/>
                <w:lang w:val="es-ES"/>
              </w:rPr>
            </w:pPr>
            <w:r w:rsidRPr="0085792A">
              <w:rPr>
                <w:rFonts w:eastAsia="Times New Roman"/>
                <w:sz w:val="18"/>
                <w:szCs w:val="20"/>
                <w:lang w:val="es-ES"/>
              </w:rPr>
              <w:t>27.5</w:t>
            </w:r>
          </w:p>
        </w:tc>
      </w:tr>
      <w:tr w:rsidR="0085792A" w:rsidRPr="0085792A" w14:paraId="52AB1F14" w14:textId="77777777" w:rsidTr="00AC0335">
        <w:trPr>
          <w:trHeight w:val="189"/>
          <w:jc w:val="center"/>
        </w:trPr>
        <w:tc>
          <w:tcPr>
            <w:tcW w:w="4407" w:type="dxa"/>
            <w:tcBorders>
              <w:top w:val="nil"/>
              <w:bottom w:val="nil"/>
              <w:right w:val="single" w:sz="6" w:space="0" w:color="auto"/>
            </w:tcBorders>
            <w:vAlign w:val="center"/>
          </w:tcPr>
          <w:p w14:paraId="3B2F3587" w14:textId="77777777" w:rsidR="0085792A" w:rsidRPr="0085792A" w:rsidRDefault="0085792A" w:rsidP="0085792A">
            <w:pPr>
              <w:spacing w:before="20" w:after="20"/>
              <w:rPr>
                <w:rFonts w:eastAsia="Times New Roman"/>
                <w:bCs/>
                <w:sz w:val="18"/>
                <w:szCs w:val="20"/>
                <w:lang w:val="es-ES"/>
              </w:rPr>
            </w:pPr>
            <w:r w:rsidRPr="0085792A">
              <w:rPr>
                <w:rFonts w:eastAsia="Times New Roman"/>
                <w:bCs/>
                <w:sz w:val="18"/>
                <w:szCs w:val="20"/>
                <w:lang w:val="es-ES"/>
              </w:rPr>
              <w:t>Estados Unidos de Norteamérica y Canadá</w:t>
            </w:r>
          </w:p>
        </w:tc>
        <w:tc>
          <w:tcPr>
            <w:tcW w:w="1276" w:type="dxa"/>
            <w:tcBorders>
              <w:top w:val="nil"/>
              <w:left w:val="single" w:sz="6" w:space="0" w:color="auto"/>
              <w:bottom w:val="nil"/>
              <w:right w:val="single" w:sz="6" w:space="0" w:color="auto"/>
            </w:tcBorders>
            <w:vAlign w:val="center"/>
          </w:tcPr>
          <w:p w14:paraId="1D255237" w14:textId="77777777" w:rsidR="0085792A" w:rsidRPr="0085792A" w:rsidRDefault="0085792A" w:rsidP="0085792A">
            <w:pPr>
              <w:spacing w:before="20" w:after="20"/>
              <w:ind w:right="113"/>
              <w:jc w:val="right"/>
              <w:rPr>
                <w:rFonts w:eastAsia="Times New Roman"/>
                <w:bCs/>
                <w:sz w:val="18"/>
                <w:szCs w:val="20"/>
                <w:lang w:val="es-ES"/>
              </w:rPr>
            </w:pPr>
            <w:r w:rsidRPr="0085792A">
              <w:rPr>
                <w:rFonts w:eastAsia="Times New Roman"/>
                <w:bCs/>
                <w:sz w:val="18"/>
                <w:szCs w:val="20"/>
                <w:lang w:val="es-ES"/>
              </w:rPr>
              <w:t>2 481 831</w:t>
            </w:r>
          </w:p>
        </w:tc>
        <w:tc>
          <w:tcPr>
            <w:tcW w:w="1275" w:type="dxa"/>
            <w:tcBorders>
              <w:top w:val="nil"/>
              <w:left w:val="single" w:sz="6" w:space="0" w:color="auto"/>
              <w:bottom w:val="nil"/>
              <w:right w:val="single" w:sz="6" w:space="0" w:color="auto"/>
            </w:tcBorders>
            <w:vAlign w:val="center"/>
          </w:tcPr>
          <w:p w14:paraId="3BCFB71C" w14:textId="77777777" w:rsidR="0085792A" w:rsidRPr="0085792A" w:rsidRDefault="0085792A" w:rsidP="0085792A">
            <w:pPr>
              <w:spacing w:before="20" w:after="20"/>
              <w:ind w:right="113"/>
              <w:jc w:val="right"/>
              <w:rPr>
                <w:rFonts w:eastAsia="Times New Roman"/>
                <w:bCs/>
                <w:sz w:val="18"/>
                <w:szCs w:val="20"/>
                <w:lang w:val="es-ES"/>
              </w:rPr>
            </w:pPr>
            <w:r w:rsidRPr="0085792A">
              <w:rPr>
                <w:rFonts w:eastAsia="Times New Roman"/>
                <w:bCs/>
                <w:sz w:val="18"/>
                <w:szCs w:val="20"/>
                <w:lang w:val="es-ES"/>
              </w:rPr>
              <w:t>2 635 991</w:t>
            </w:r>
          </w:p>
        </w:tc>
        <w:tc>
          <w:tcPr>
            <w:tcW w:w="993" w:type="dxa"/>
            <w:tcBorders>
              <w:top w:val="nil"/>
              <w:left w:val="single" w:sz="6" w:space="0" w:color="auto"/>
              <w:bottom w:val="nil"/>
            </w:tcBorders>
            <w:vAlign w:val="center"/>
          </w:tcPr>
          <w:p w14:paraId="2AB090AE" w14:textId="77777777" w:rsidR="0085792A" w:rsidRPr="0085792A" w:rsidRDefault="0085792A" w:rsidP="0085792A">
            <w:pPr>
              <w:spacing w:before="20" w:after="20"/>
              <w:ind w:right="227"/>
              <w:jc w:val="right"/>
              <w:rPr>
                <w:rFonts w:eastAsia="Times New Roman"/>
                <w:bCs/>
                <w:sz w:val="18"/>
                <w:szCs w:val="20"/>
                <w:lang w:val="es-ES"/>
              </w:rPr>
            </w:pPr>
            <w:r w:rsidRPr="0085792A">
              <w:rPr>
                <w:rFonts w:eastAsia="Times New Roman"/>
                <w:bCs/>
                <w:sz w:val="18"/>
                <w:szCs w:val="20"/>
                <w:lang w:val="es-ES"/>
              </w:rPr>
              <w:t>6.2</w:t>
            </w:r>
          </w:p>
        </w:tc>
      </w:tr>
      <w:tr w:rsidR="0085792A" w:rsidRPr="0085792A" w14:paraId="52C67B77" w14:textId="77777777" w:rsidTr="00AC0335">
        <w:trPr>
          <w:jc w:val="center"/>
        </w:trPr>
        <w:tc>
          <w:tcPr>
            <w:tcW w:w="4407" w:type="dxa"/>
            <w:tcBorders>
              <w:top w:val="nil"/>
              <w:bottom w:val="single" w:sz="4" w:space="0" w:color="000000"/>
              <w:right w:val="single" w:sz="6" w:space="0" w:color="auto"/>
            </w:tcBorders>
            <w:vAlign w:val="center"/>
          </w:tcPr>
          <w:p w14:paraId="09D42121" w14:textId="77777777" w:rsidR="0085792A" w:rsidRPr="0085792A" w:rsidRDefault="0085792A" w:rsidP="0085792A">
            <w:pPr>
              <w:spacing w:before="20" w:after="20"/>
              <w:rPr>
                <w:rFonts w:eastAsia="Times New Roman"/>
                <w:b/>
                <w:sz w:val="18"/>
                <w:szCs w:val="20"/>
                <w:lang w:val="es-ES"/>
              </w:rPr>
            </w:pPr>
            <w:r w:rsidRPr="0085792A">
              <w:rPr>
                <w:rFonts w:eastAsia="Times New Roman"/>
                <w:b/>
                <w:bCs/>
                <w:sz w:val="18"/>
                <w:szCs w:val="20"/>
                <w:lang w:val="es-ES"/>
              </w:rPr>
              <w:t>TOTAL</w:t>
            </w:r>
          </w:p>
        </w:tc>
        <w:tc>
          <w:tcPr>
            <w:tcW w:w="1276" w:type="dxa"/>
            <w:tcBorders>
              <w:top w:val="nil"/>
              <w:left w:val="single" w:sz="6" w:space="0" w:color="auto"/>
              <w:bottom w:val="single" w:sz="4" w:space="0" w:color="000000"/>
              <w:right w:val="single" w:sz="6" w:space="0" w:color="auto"/>
            </w:tcBorders>
            <w:vAlign w:val="center"/>
          </w:tcPr>
          <w:p w14:paraId="2A07A0D1" w14:textId="77777777" w:rsidR="0085792A" w:rsidRPr="0085792A" w:rsidRDefault="0085792A" w:rsidP="0085792A">
            <w:pPr>
              <w:spacing w:before="20" w:after="20"/>
              <w:ind w:right="113"/>
              <w:jc w:val="right"/>
              <w:rPr>
                <w:rFonts w:eastAsia="Times New Roman"/>
                <w:b/>
                <w:sz w:val="18"/>
                <w:szCs w:val="20"/>
                <w:lang w:val="es-ES"/>
              </w:rPr>
            </w:pPr>
            <w:r w:rsidRPr="0085792A">
              <w:rPr>
                <w:rFonts w:eastAsia="Times New Roman"/>
                <w:b/>
                <w:sz w:val="18"/>
                <w:szCs w:val="20"/>
                <w:lang w:val="es-ES"/>
              </w:rPr>
              <w:t>3 726 963</w:t>
            </w:r>
          </w:p>
        </w:tc>
        <w:tc>
          <w:tcPr>
            <w:tcW w:w="1275" w:type="dxa"/>
            <w:tcBorders>
              <w:top w:val="nil"/>
              <w:left w:val="single" w:sz="6" w:space="0" w:color="auto"/>
              <w:bottom w:val="single" w:sz="4" w:space="0" w:color="000000"/>
              <w:right w:val="single" w:sz="6" w:space="0" w:color="auto"/>
            </w:tcBorders>
            <w:vAlign w:val="center"/>
          </w:tcPr>
          <w:p w14:paraId="01B143C0" w14:textId="77777777" w:rsidR="0085792A" w:rsidRPr="0085792A" w:rsidRDefault="0085792A" w:rsidP="0085792A">
            <w:pPr>
              <w:spacing w:before="20" w:after="20"/>
              <w:ind w:right="113"/>
              <w:jc w:val="right"/>
              <w:rPr>
                <w:rFonts w:eastAsia="Times New Roman"/>
                <w:b/>
                <w:sz w:val="18"/>
                <w:szCs w:val="20"/>
                <w:lang w:val="es-ES"/>
              </w:rPr>
            </w:pPr>
            <w:r w:rsidRPr="0085792A">
              <w:rPr>
                <w:rFonts w:eastAsia="Times New Roman"/>
                <w:b/>
                <w:sz w:val="18"/>
                <w:szCs w:val="20"/>
                <w:lang w:val="es-ES"/>
              </w:rPr>
              <w:t>3 936 996</w:t>
            </w:r>
          </w:p>
        </w:tc>
        <w:tc>
          <w:tcPr>
            <w:tcW w:w="993" w:type="dxa"/>
            <w:tcBorders>
              <w:top w:val="nil"/>
              <w:left w:val="single" w:sz="6" w:space="0" w:color="auto"/>
              <w:bottom w:val="single" w:sz="4" w:space="0" w:color="000000"/>
            </w:tcBorders>
            <w:vAlign w:val="center"/>
          </w:tcPr>
          <w:p w14:paraId="0880DDB7" w14:textId="77777777" w:rsidR="0085792A" w:rsidRPr="0085792A" w:rsidRDefault="0085792A" w:rsidP="0085792A">
            <w:pPr>
              <w:spacing w:before="20" w:after="20"/>
              <w:ind w:right="227"/>
              <w:jc w:val="right"/>
              <w:rPr>
                <w:rFonts w:eastAsia="Times New Roman"/>
                <w:b/>
                <w:sz w:val="18"/>
                <w:szCs w:val="20"/>
                <w:lang w:val="es-ES"/>
              </w:rPr>
            </w:pPr>
            <w:r w:rsidRPr="0085792A">
              <w:rPr>
                <w:rFonts w:eastAsia="Times New Roman"/>
                <w:b/>
                <w:sz w:val="18"/>
                <w:szCs w:val="20"/>
                <w:lang w:val="es-ES"/>
              </w:rPr>
              <w:t>5.6</w:t>
            </w:r>
          </w:p>
        </w:tc>
      </w:tr>
      <w:tr w:rsidR="0085792A" w:rsidRPr="0085792A" w14:paraId="50471D84" w14:textId="77777777" w:rsidTr="00AC0335">
        <w:trPr>
          <w:jc w:val="center"/>
        </w:trPr>
        <w:tc>
          <w:tcPr>
            <w:tcW w:w="7951" w:type="dxa"/>
            <w:gridSpan w:val="4"/>
            <w:tcBorders>
              <w:left w:val="nil"/>
              <w:bottom w:val="nil"/>
              <w:right w:val="nil"/>
            </w:tcBorders>
          </w:tcPr>
          <w:p w14:paraId="237B67BA" w14:textId="77777777" w:rsidR="0085792A" w:rsidRPr="0085792A" w:rsidRDefault="0085792A" w:rsidP="0085792A">
            <w:pPr>
              <w:jc w:val="both"/>
              <w:rPr>
                <w:rFonts w:eastAsia="Times New Roman"/>
                <w:sz w:val="20"/>
                <w:szCs w:val="20"/>
                <w:lang w:val="en-US"/>
              </w:rPr>
            </w:pPr>
            <w:r w:rsidRPr="0085792A">
              <w:rPr>
                <w:rFonts w:eastAsia="Times New Roman"/>
                <w:sz w:val="20"/>
                <w:szCs w:val="20"/>
                <w:lang w:val="en-US"/>
              </w:rPr>
              <w:t>FUENTE: Ward’s Automotive Reports.</w:t>
            </w:r>
          </w:p>
        </w:tc>
      </w:tr>
    </w:tbl>
    <w:p w14:paraId="53442DB7" w14:textId="77777777" w:rsidR="0085792A" w:rsidRDefault="0085792A" w:rsidP="0085792A">
      <w:pPr>
        <w:spacing w:after="360" w:line="360" w:lineRule="auto"/>
        <w:ind w:right="-159"/>
        <w:jc w:val="both"/>
        <w:rPr>
          <w:rFonts w:eastAsia="Times New Roman"/>
          <w:sz w:val="26"/>
          <w:szCs w:val="26"/>
          <w:lang w:val="en-US"/>
        </w:rPr>
      </w:pPr>
    </w:p>
    <w:p w14:paraId="26B36201" w14:textId="77777777" w:rsidR="004337CD" w:rsidRDefault="004337CD" w:rsidP="0085792A">
      <w:pPr>
        <w:spacing w:after="360" w:line="360" w:lineRule="auto"/>
        <w:ind w:right="-159"/>
        <w:jc w:val="both"/>
        <w:rPr>
          <w:rFonts w:eastAsia="Times New Roman"/>
          <w:sz w:val="26"/>
          <w:szCs w:val="26"/>
          <w:lang w:val="en-US"/>
        </w:rPr>
      </w:pPr>
    </w:p>
    <w:p w14:paraId="4AC3976E" w14:textId="77777777" w:rsidR="004337CD" w:rsidRDefault="004337CD" w:rsidP="0085792A">
      <w:pPr>
        <w:spacing w:after="360" w:line="360" w:lineRule="auto"/>
        <w:ind w:right="-159"/>
        <w:jc w:val="both"/>
        <w:rPr>
          <w:rFonts w:eastAsia="Times New Roman"/>
          <w:sz w:val="26"/>
          <w:szCs w:val="26"/>
          <w:lang w:val="en-US"/>
        </w:rPr>
      </w:pPr>
    </w:p>
    <w:p w14:paraId="4C953359" w14:textId="77777777" w:rsidR="004337CD" w:rsidRDefault="004337CD" w:rsidP="0085792A">
      <w:pPr>
        <w:spacing w:after="360" w:line="360" w:lineRule="auto"/>
        <w:ind w:right="-159"/>
        <w:jc w:val="both"/>
        <w:rPr>
          <w:rFonts w:eastAsia="Times New Roman"/>
          <w:sz w:val="26"/>
          <w:szCs w:val="26"/>
          <w:lang w:val="en-US"/>
        </w:rPr>
      </w:pPr>
    </w:p>
    <w:p w14:paraId="799A9A5F" w14:textId="77777777" w:rsidR="0085792A" w:rsidRPr="0085792A" w:rsidRDefault="0085792A" w:rsidP="0085792A">
      <w:pPr>
        <w:spacing w:after="360" w:line="360" w:lineRule="auto"/>
        <w:ind w:right="-159"/>
        <w:jc w:val="both"/>
        <w:rPr>
          <w:rFonts w:eastAsia="Times New Roman"/>
          <w:b/>
          <w:sz w:val="26"/>
          <w:szCs w:val="26"/>
          <w:lang w:val="es-ES"/>
        </w:rPr>
      </w:pPr>
      <w:r w:rsidRPr="0085792A">
        <w:rPr>
          <w:rFonts w:eastAsia="Times New Roman"/>
          <w:b/>
          <w:sz w:val="26"/>
          <w:szCs w:val="26"/>
          <w:lang w:val="es-ES"/>
        </w:rPr>
        <w:lastRenderedPageBreak/>
        <w:t>Producción mundial de vehículos</w:t>
      </w:r>
      <w:r w:rsidRPr="0085792A">
        <w:rPr>
          <w:rFonts w:eastAsia="Times New Roman"/>
          <w:b/>
          <w:sz w:val="26"/>
          <w:szCs w:val="26"/>
          <w:vertAlign w:val="superscript"/>
          <w:lang w:val="es-ES"/>
        </w:rPr>
        <w:footnoteReference w:id="18"/>
      </w:r>
    </w:p>
    <w:tbl>
      <w:tblPr>
        <w:tblW w:w="0" w:type="auto"/>
        <w:jc w:val="center"/>
        <w:tblLook w:val="04A0" w:firstRow="1" w:lastRow="0" w:firstColumn="1" w:lastColumn="0" w:noHBand="0" w:noVBand="1"/>
      </w:tblPr>
      <w:tblGrid>
        <w:gridCol w:w="8840"/>
      </w:tblGrid>
      <w:tr w:rsidR="0085792A" w:rsidRPr="0085792A" w14:paraId="5193BAD2" w14:textId="77777777" w:rsidTr="00AC0335">
        <w:trPr>
          <w:trHeight w:val="276"/>
          <w:jc w:val="center"/>
        </w:trPr>
        <w:tc>
          <w:tcPr>
            <w:tcW w:w="8840" w:type="dxa"/>
          </w:tcPr>
          <w:p w14:paraId="3B2126FF" w14:textId="46DF8549"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PRODUCCIÓN MUNDIAL 2014</w:t>
            </w:r>
            <w:r w:rsidR="00780E44" w:rsidRPr="00780E44">
              <w:rPr>
                <w:rFonts w:eastAsia="Times New Roman"/>
                <w:b/>
                <w:sz w:val="22"/>
                <w:szCs w:val="22"/>
                <w:u w:val="single"/>
                <w:vertAlign w:val="superscript"/>
                <w:lang w:val="es-ES"/>
              </w:rPr>
              <w:t>1</w:t>
            </w:r>
            <w:r w:rsidR="00780E44" w:rsidRPr="00780E44">
              <w:rPr>
                <w:rFonts w:eastAsia="Times New Roman"/>
                <w:b/>
                <w:sz w:val="22"/>
                <w:szCs w:val="22"/>
                <w:vertAlign w:val="superscript"/>
                <w:lang w:val="es-ES"/>
              </w:rPr>
              <w:t>/</w:t>
            </w:r>
          </w:p>
          <w:p w14:paraId="01E1E17A" w14:textId="77777777" w:rsidR="0085792A" w:rsidRPr="0085792A" w:rsidRDefault="0085792A" w:rsidP="0085792A">
            <w:pPr>
              <w:jc w:val="center"/>
              <w:rPr>
                <w:rFonts w:eastAsia="Times New Roman"/>
                <w:b/>
                <w:sz w:val="22"/>
                <w:szCs w:val="22"/>
                <w:lang w:val="es-ES"/>
              </w:rPr>
            </w:pPr>
            <w:r w:rsidRPr="0085792A">
              <w:rPr>
                <w:rFonts w:eastAsia="Times New Roman"/>
                <w:b/>
                <w:sz w:val="22"/>
                <w:szCs w:val="22"/>
                <w:lang w:val="es-ES"/>
              </w:rPr>
              <w:t>-Porcentajes-</w:t>
            </w:r>
          </w:p>
        </w:tc>
      </w:tr>
      <w:tr w:rsidR="0085792A" w:rsidRPr="0085792A" w14:paraId="6FE08318" w14:textId="77777777" w:rsidTr="00AC0335">
        <w:trPr>
          <w:trHeight w:val="329"/>
          <w:jc w:val="center"/>
        </w:trPr>
        <w:tc>
          <w:tcPr>
            <w:tcW w:w="8840" w:type="dxa"/>
          </w:tcPr>
          <w:p w14:paraId="2B72D84B" w14:textId="66A42E89" w:rsidR="0085792A" w:rsidRPr="0085792A" w:rsidRDefault="009E5D36" w:rsidP="0085792A">
            <w:pPr>
              <w:jc w:val="center"/>
              <w:rPr>
                <w:rFonts w:eastAsia="Times New Roman"/>
                <w:lang w:val="es-ES"/>
              </w:rPr>
            </w:pPr>
            <w:r w:rsidRPr="009E5D36">
              <w:rPr>
                <w:rFonts w:ascii="Calibri" w:eastAsia="Calibri" w:hAnsi="Calibri"/>
                <w:noProof/>
                <w:sz w:val="22"/>
                <w:szCs w:val="22"/>
                <w:lang w:eastAsia="es-MX"/>
              </w:rPr>
              <w:drawing>
                <wp:inline distT="0" distB="0" distL="0" distR="0" wp14:anchorId="439A349B" wp14:editId="0DE0FB4C">
                  <wp:extent cx="3749319" cy="2772000"/>
                  <wp:effectExtent l="0" t="0" r="3810" b="0"/>
                  <wp:docPr id="1798" name="Imagen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l="8654" t="11251" r="9625"/>
                          <a:stretch/>
                        </pic:blipFill>
                        <pic:spPr bwMode="auto">
                          <a:xfrm>
                            <a:off x="0" y="0"/>
                            <a:ext cx="3749319" cy="27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20067" w:rsidRPr="0085792A" w14:paraId="42B57317" w14:textId="77777777" w:rsidTr="00AC0335">
        <w:trPr>
          <w:trHeight w:val="329"/>
          <w:jc w:val="center"/>
        </w:trPr>
        <w:tc>
          <w:tcPr>
            <w:tcW w:w="8840" w:type="dxa"/>
          </w:tcPr>
          <w:p w14:paraId="65568191" w14:textId="77777777" w:rsidR="00F20067" w:rsidRPr="0085792A" w:rsidRDefault="00F20067" w:rsidP="0085792A">
            <w:pPr>
              <w:jc w:val="center"/>
              <w:rPr>
                <w:rFonts w:eastAsia="Times New Roman"/>
                <w:noProof/>
                <w:lang w:eastAsia="es-MX"/>
              </w:rPr>
            </w:pPr>
          </w:p>
        </w:tc>
      </w:tr>
      <w:tr w:rsidR="0085792A" w:rsidRPr="0085792A" w14:paraId="06013268" w14:textId="77777777" w:rsidTr="00AC0335">
        <w:trPr>
          <w:trHeight w:val="276"/>
          <w:jc w:val="center"/>
        </w:trPr>
        <w:tc>
          <w:tcPr>
            <w:tcW w:w="8840" w:type="dxa"/>
          </w:tcPr>
          <w:p w14:paraId="1312255C" w14:textId="4A20D564" w:rsidR="0085792A" w:rsidRPr="0085792A" w:rsidRDefault="0085792A" w:rsidP="0085792A">
            <w:pPr>
              <w:ind w:right="-159" w:firstLine="2019"/>
              <w:jc w:val="both"/>
              <w:rPr>
                <w:rFonts w:eastAsia="Times New Roman"/>
                <w:noProof/>
                <w:sz w:val="20"/>
                <w:szCs w:val="20"/>
                <w:lang w:eastAsia="es-MX"/>
              </w:rPr>
            </w:pPr>
            <w:r w:rsidRPr="0085792A">
              <w:rPr>
                <w:rFonts w:eastAsia="Times New Roman"/>
                <w:noProof/>
                <w:sz w:val="20"/>
                <w:szCs w:val="20"/>
                <w:lang w:eastAsia="es-MX"/>
              </w:rPr>
              <w:t xml:space="preserve">* </w:t>
            </w:r>
            <w:r w:rsidR="00780E44">
              <w:rPr>
                <w:rFonts w:eastAsia="Times New Roman"/>
                <w:noProof/>
                <w:sz w:val="20"/>
                <w:szCs w:val="20"/>
                <w:lang w:eastAsia="es-MX"/>
              </w:rPr>
              <w:t xml:space="preserve"> </w:t>
            </w:r>
            <w:r w:rsidRPr="0085792A">
              <w:rPr>
                <w:rFonts w:eastAsia="Times New Roman"/>
                <w:noProof/>
                <w:sz w:val="20"/>
                <w:szCs w:val="20"/>
                <w:lang w:eastAsia="es-MX"/>
              </w:rPr>
              <w:t>Estados Unidos de Norteamérica.</w:t>
            </w:r>
          </w:p>
          <w:p w14:paraId="3A2FF4CB" w14:textId="6AC2B183" w:rsidR="0085792A" w:rsidRPr="004337CD" w:rsidRDefault="00780E44" w:rsidP="0085792A">
            <w:pPr>
              <w:ind w:right="-159" w:firstLine="2019"/>
              <w:jc w:val="both"/>
              <w:rPr>
                <w:rFonts w:eastAsia="Times New Roman"/>
                <w:noProof/>
                <w:sz w:val="20"/>
                <w:szCs w:val="20"/>
                <w:lang w:eastAsia="es-MX"/>
              </w:rPr>
            </w:pPr>
            <w:r w:rsidRPr="004337CD">
              <w:rPr>
                <w:rFonts w:eastAsia="Times New Roman"/>
                <w:sz w:val="22"/>
                <w:szCs w:val="22"/>
                <w:u w:val="single"/>
                <w:lang w:val="es-ES"/>
              </w:rPr>
              <w:t>1</w:t>
            </w:r>
            <w:r w:rsidRPr="004337CD">
              <w:rPr>
                <w:rFonts w:eastAsia="Times New Roman"/>
                <w:sz w:val="22"/>
                <w:szCs w:val="22"/>
                <w:lang w:val="es-ES"/>
              </w:rPr>
              <w:t xml:space="preserve">/ </w:t>
            </w:r>
            <w:r w:rsidR="0085792A" w:rsidRPr="004337CD">
              <w:rPr>
                <w:rFonts w:eastAsia="Times New Roman"/>
                <w:noProof/>
                <w:sz w:val="20"/>
                <w:szCs w:val="20"/>
                <w:lang w:eastAsia="es-MX"/>
              </w:rPr>
              <w:t>Incluye vehículos pesados.</w:t>
            </w:r>
          </w:p>
          <w:p w14:paraId="5CCED654" w14:textId="77777777" w:rsidR="0085792A" w:rsidRPr="0085792A" w:rsidRDefault="0085792A" w:rsidP="0085792A">
            <w:pPr>
              <w:ind w:right="-159" w:firstLine="2019"/>
              <w:jc w:val="both"/>
              <w:rPr>
                <w:rFonts w:eastAsia="Times New Roman"/>
                <w:noProof/>
                <w:sz w:val="20"/>
                <w:szCs w:val="20"/>
                <w:lang w:eastAsia="es-MX"/>
              </w:rPr>
            </w:pPr>
            <w:r w:rsidRPr="0085792A">
              <w:rPr>
                <w:rFonts w:eastAsia="Times New Roman"/>
                <w:noProof/>
                <w:sz w:val="20"/>
                <w:szCs w:val="20"/>
                <w:lang w:eastAsia="es-MX"/>
              </w:rPr>
              <w:t>FUENTE: OICA.</w:t>
            </w:r>
          </w:p>
        </w:tc>
      </w:tr>
    </w:tbl>
    <w:p w14:paraId="12DFB5C0" w14:textId="77777777" w:rsidR="004337CD" w:rsidRDefault="004337CD" w:rsidP="0085792A">
      <w:pPr>
        <w:spacing w:after="360" w:line="360" w:lineRule="auto"/>
        <w:ind w:right="-159"/>
        <w:jc w:val="both"/>
        <w:rPr>
          <w:rFonts w:eastAsia="Times New Roman"/>
          <w:sz w:val="26"/>
          <w:szCs w:val="26"/>
          <w:lang w:val="es-ES"/>
        </w:rPr>
      </w:pPr>
    </w:p>
    <w:p w14:paraId="0BBA776C" w14:textId="3C292FAB" w:rsidR="0085792A" w:rsidRP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En 2014</w:t>
      </w:r>
      <w:r w:rsidR="000636C7">
        <w:rPr>
          <w:rFonts w:eastAsia="Times New Roman"/>
          <w:sz w:val="26"/>
          <w:szCs w:val="26"/>
          <w:lang w:val="es-ES"/>
        </w:rPr>
        <w:t>,</w:t>
      </w:r>
      <w:r w:rsidRPr="0085792A">
        <w:rPr>
          <w:rFonts w:eastAsia="Times New Roman"/>
          <w:sz w:val="26"/>
          <w:szCs w:val="26"/>
          <w:lang w:val="es-ES"/>
        </w:rPr>
        <w:t xml:space="preserve"> México se colocó como el 7º productor de vehículos en el mundo y el 1º en América Latina, superando a países como Brasil, España y Canadá. Adicionalmente nuestro país contribuyó con el 3.7% de la producción mundial.</w:t>
      </w:r>
    </w:p>
    <w:p w14:paraId="0B842668" w14:textId="77777777" w:rsidR="0085792A" w:rsidRDefault="0085792A" w:rsidP="0085792A">
      <w:pPr>
        <w:spacing w:after="360" w:line="360" w:lineRule="auto"/>
        <w:ind w:right="-159"/>
        <w:jc w:val="both"/>
        <w:rPr>
          <w:rFonts w:eastAsia="Times New Roman"/>
          <w:sz w:val="26"/>
          <w:szCs w:val="26"/>
          <w:lang w:val="es-ES"/>
        </w:rPr>
      </w:pPr>
      <w:r w:rsidRPr="0085792A">
        <w:rPr>
          <w:rFonts w:eastAsia="Times New Roman"/>
          <w:sz w:val="26"/>
          <w:szCs w:val="26"/>
          <w:lang w:val="es-ES"/>
        </w:rPr>
        <w:t>India es el país que antecede a México, con una brecha de casi medio millón de vehículos, no obstante, Brasil se colocó 219 mil unidades por debajo de nuestro país, esto por la debilidad del mercado interno brasileño. Sin embargo, México ha tenido el anuncio de cuatro nuevas plantas que sumarán a los vehículos hechos en México en los próximos años.</w:t>
      </w:r>
    </w:p>
    <w:p w14:paraId="293B919C" w14:textId="77777777" w:rsidR="004337CD" w:rsidRDefault="004337CD" w:rsidP="004337CD">
      <w:pPr>
        <w:ind w:right="-159"/>
        <w:jc w:val="both"/>
        <w:rPr>
          <w:rFonts w:eastAsia="Times New Roman"/>
          <w:sz w:val="26"/>
          <w:szCs w:val="26"/>
          <w:lang w:val="es-ES"/>
        </w:rPr>
      </w:pPr>
    </w:p>
    <w:p w14:paraId="3ACA7444" w14:textId="77777777" w:rsidR="004337CD" w:rsidRDefault="004337CD" w:rsidP="004337CD">
      <w:pPr>
        <w:ind w:right="-159"/>
        <w:jc w:val="both"/>
        <w:rPr>
          <w:rFonts w:eastAsia="Times New Roman"/>
          <w:sz w:val="26"/>
          <w:szCs w:val="26"/>
          <w:lang w:val="es-ES"/>
        </w:rPr>
      </w:pPr>
    </w:p>
    <w:tbl>
      <w:tblPr>
        <w:tblW w:w="1091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70" w:type="dxa"/>
          <w:bottom w:w="28" w:type="dxa"/>
          <w:right w:w="70" w:type="dxa"/>
        </w:tblCellMar>
        <w:tblLook w:val="04A0" w:firstRow="1" w:lastRow="0" w:firstColumn="1" w:lastColumn="0" w:noHBand="0" w:noVBand="1"/>
      </w:tblPr>
      <w:tblGrid>
        <w:gridCol w:w="2552"/>
        <w:gridCol w:w="160"/>
        <w:gridCol w:w="1134"/>
        <w:gridCol w:w="1257"/>
        <w:gridCol w:w="1134"/>
        <w:gridCol w:w="1257"/>
        <w:gridCol w:w="1192"/>
        <w:gridCol w:w="1237"/>
        <w:gridCol w:w="987"/>
      </w:tblGrid>
      <w:tr w:rsidR="0085792A" w:rsidRPr="0085792A" w14:paraId="1B313A17" w14:textId="77777777" w:rsidTr="0085792A">
        <w:trPr>
          <w:trHeight w:val="258"/>
          <w:jc w:val="center"/>
        </w:trPr>
        <w:tc>
          <w:tcPr>
            <w:tcW w:w="10910" w:type="dxa"/>
            <w:gridSpan w:val="9"/>
            <w:tcBorders>
              <w:top w:val="nil"/>
              <w:left w:val="nil"/>
              <w:right w:val="nil"/>
            </w:tcBorders>
            <w:shd w:val="clear" w:color="auto" w:fill="auto"/>
          </w:tcPr>
          <w:p w14:paraId="67C211C9" w14:textId="77777777" w:rsidR="0085792A" w:rsidRPr="0085792A" w:rsidRDefault="0085792A" w:rsidP="0085792A">
            <w:pPr>
              <w:jc w:val="center"/>
              <w:rPr>
                <w:rFonts w:eastAsia="Times New Roman"/>
                <w:b/>
                <w:bCs/>
                <w:sz w:val="22"/>
                <w:szCs w:val="18"/>
                <w:lang w:eastAsia="es-MX"/>
              </w:rPr>
            </w:pPr>
            <w:r w:rsidRPr="0085792A">
              <w:rPr>
                <w:rFonts w:eastAsia="Times New Roman"/>
                <w:b/>
                <w:bCs/>
                <w:sz w:val="22"/>
                <w:szCs w:val="18"/>
                <w:lang w:eastAsia="es-MX"/>
              </w:rPr>
              <w:lastRenderedPageBreak/>
              <w:t>PRODUCCIÓN MUNDIAL DE VEHÍCULOS</w:t>
            </w:r>
          </w:p>
        </w:tc>
      </w:tr>
      <w:tr w:rsidR="0085792A" w:rsidRPr="0085792A" w14:paraId="76DE1975" w14:textId="77777777" w:rsidTr="0085792A">
        <w:trPr>
          <w:trHeight w:val="257"/>
          <w:jc w:val="center"/>
        </w:trPr>
        <w:tc>
          <w:tcPr>
            <w:tcW w:w="2712" w:type="dxa"/>
            <w:gridSpan w:val="2"/>
            <w:vMerge w:val="restart"/>
            <w:shd w:val="clear" w:color="auto" w:fill="auto"/>
            <w:vAlign w:val="center"/>
          </w:tcPr>
          <w:p w14:paraId="4A8E57AD" w14:textId="77777777" w:rsidR="0085792A" w:rsidRPr="0085792A" w:rsidRDefault="0085792A" w:rsidP="0085792A">
            <w:pPr>
              <w:jc w:val="center"/>
              <w:rPr>
                <w:rFonts w:eastAsia="Times New Roman"/>
                <w:b/>
                <w:bCs/>
                <w:sz w:val="18"/>
                <w:szCs w:val="18"/>
                <w:lang w:eastAsia="es-MX"/>
              </w:rPr>
            </w:pPr>
            <w:r w:rsidRPr="0085792A">
              <w:rPr>
                <w:rFonts w:eastAsia="Times New Roman"/>
                <w:b/>
                <w:bCs/>
                <w:sz w:val="18"/>
                <w:szCs w:val="18"/>
                <w:lang w:eastAsia="es-MX"/>
              </w:rPr>
              <w:t>Países</w:t>
            </w:r>
          </w:p>
        </w:tc>
        <w:tc>
          <w:tcPr>
            <w:tcW w:w="1134" w:type="dxa"/>
            <w:tcBorders>
              <w:bottom w:val="single" w:sz="8" w:space="0" w:color="auto"/>
            </w:tcBorders>
            <w:shd w:val="clear" w:color="auto" w:fill="auto"/>
            <w:vAlign w:val="center"/>
          </w:tcPr>
          <w:p w14:paraId="51C66116"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Clasificación</w:t>
            </w:r>
          </w:p>
        </w:tc>
        <w:tc>
          <w:tcPr>
            <w:tcW w:w="1257" w:type="dxa"/>
            <w:vMerge w:val="restart"/>
            <w:shd w:val="clear" w:color="auto" w:fill="auto"/>
            <w:noWrap/>
            <w:vAlign w:val="center"/>
          </w:tcPr>
          <w:p w14:paraId="42876FA5"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2012</w:t>
            </w:r>
          </w:p>
        </w:tc>
        <w:tc>
          <w:tcPr>
            <w:tcW w:w="1134" w:type="dxa"/>
            <w:tcBorders>
              <w:bottom w:val="single" w:sz="8" w:space="0" w:color="auto"/>
            </w:tcBorders>
            <w:shd w:val="clear" w:color="auto" w:fill="auto"/>
            <w:noWrap/>
            <w:vAlign w:val="center"/>
          </w:tcPr>
          <w:p w14:paraId="60D2E0EF"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Clasificación</w:t>
            </w:r>
          </w:p>
        </w:tc>
        <w:tc>
          <w:tcPr>
            <w:tcW w:w="1257" w:type="dxa"/>
            <w:vMerge w:val="restart"/>
            <w:shd w:val="clear" w:color="auto" w:fill="auto"/>
            <w:noWrap/>
            <w:vAlign w:val="center"/>
          </w:tcPr>
          <w:p w14:paraId="150C226B"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2013</w:t>
            </w:r>
          </w:p>
        </w:tc>
        <w:tc>
          <w:tcPr>
            <w:tcW w:w="1192" w:type="dxa"/>
            <w:tcBorders>
              <w:bottom w:val="single" w:sz="8" w:space="0" w:color="auto"/>
            </w:tcBorders>
            <w:shd w:val="clear" w:color="auto" w:fill="auto"/>
            <w:noWrap/>
            <w:vAlign w:val="center"/>
          </w:tcPr>
          <w:p w14:paraId="0D912470"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Clasificación</w:t>
            </w:r>
          </w:p>
        </w:tc>
        <w:tc>
          <w:tcPr>
            <w:tcW w:w="1237" w:type="dxa"/>
            <w:vMerge w:val="restart"/>
            <w:shd w:val="clear" w:color="auto" w:fill="auto"/>
            <w:vAlign w:val="center"/>
          </w:tcPr>
          <w:p w14:paraId="142F8DB2" w14:textId="77777777" w:rsidR="0085792A" w:rsidRPr="0085792A" w:rsidRDefault="0085792A" w:rsidP="0085792A">
            <w:pPr>
              <w:spacing w:before="20" w:after="20"/>
              <w:jc w:val="center"/>
              <w:rPr>
                <w:rFonts w:eastAsia="Times New Roman"/>
                <w:bCs/>
                <w:i/>
                <w:sz w:val="18"/>
                <w:szCs w:val="18"/>
                <w:lang w:eastAsia="es-MX"/>
              </w:rPr>
            </w:pPr>
            <w:r w:rsidRPr="0085792A">
              <w:rPr>
                <w:rFonts w:eastAsia="Times New Roman"/>
                <w:b/>
                <w:bCs/>
                <w:sz w:val="18"/>
                <w:szCs w:val="18"/>
                <w:lang w:eastAsia="es-MX"/>
              </w:rPr>
              <w:t>2014ª</w:t>
            </w:r>
            <w:r w:rsidRPr="0085792A">
              <w:rPr>
                <w:rFonts w:eastAsia="Times New Roman"/>
                <w:b/>
                <w:bCs/>
                <w:sz w:val="18"/>
                <w:szCs w:val="18"/>
                <w:vertAlign w:val="superscript"/>
                <w:lang w:eastAsia="es-MX"/>
              </w:rPr>
              <w:t>/</w:t>
            </w:r>
          </w:p>
        </w:tc>
        <w:tc>
          <w:tcPr>
            <w:tcW w:w="987" w:type="dxa"/>
            <w:tcBorders>
              <w:bottom w:val="single" w:sz="8" w:space="0" w:color="auto"/>
            </w:tcBorders>
            <w:shd w:val="clear" w:color="auto" w:fill="auto"/>
            <w:vAlign w:val="center"/>
          </w:tcPr>
          <w:p w14:paraId="7F5B9132" w14:textId="77777777" w:rsidR="0085792A" w:rsidRPr="0085792A" w:rsidRDefault="0085792A" w:rsidP="0085792A">
            <w:pPr>
              <w:spacing w:before="20" w:after="20"/>
              <w:jc w:val="center"/>
              <w:rPr>
                <w:rFonts w:eastAsia="Times New Roman"/>
                <w:bCs/>
                <w:i/>
                <w:sz w:val="18"/>
                <w:szCs w:val="18"/>
                <w:lang w:eastAsia="es-MX"/>
              </w:rPr>
            </w:pPr>
            <w:r w:rsidRPr="0085792A">
              <w:rPr>
                <w:rFonts w:eastAsia="Times New Roman"/>
                <w:b/>
                <w:bCs/>
                <w:sz w:val="18"/>
                <w:szCs w:val="18"/>
                <w:lang w:eastAsia="es-MX"/>
              </w:rPr>
              <w:t>Variación</w:t>
            </w:r>
          </w:p>
        </w:tc>
      </w:tr>
      <w:tr w:rsidR="0085792A" w:rsidRPr="0085792A" w14:paraId="558B9EB0" w14:textId="77777777" w:rsidTr="0085792A">
        <w:trPr>
          <w:trHeight w:val="257"/>
          <w:jc w:val="center"/>
        </w:trPr>
        <w:tc>
          <w:tcPr>
            <w:tcW w:w="2712" w:type="dxa"/>
            <w:gridSpan w:val="2"/>
            <w:vMerge/>
            <w:tcBorders>
              <w:bottom w:val="single" w:sz="8" w:space="0" w:color="auto"/>
            </w:tcBorders>
            <w:shd w:val="clear" w:color="auto" w:fill="auto"/>
            <w:vAlign w:val="center"/>
          </w:tcPr>
          <w:p w14:paraId="418385BB" w14:textId="77777777" w:rsidR="0085792A" w:rsidRPr="0085792A" w:rsidRDefault="0085792A" w:rsidP="0085792A">
            <w:pPr>
              <w:jc w:val="center"/>
              <w:rPr>
                <w:rFonts w:eastAsia="Times New Roman"/>
                <w:b/>
                <w:bCs/>
                <w:sz w:val="18"/>
                <w:szCs w:val="18"/>
                <w:lang w:eastAsia="es-MX"/>
              </w:rPr>
            </w:pPr>
          </w:p>
        </w:tc>
        <w:tc>
          <w:tcPr>
            <w:tcW w:w="1134" w:type="dxa"/>
            <w:tcBorders>
              <w:bottom w:val="single" w:sz="8" w:space="0" w:color="auto"/>
            </w:tcBorders>
            <w:shd w:val="clear" w:color="auto" w:fill="auto"/>
            <w:vAlign w:val="center"/>
          </w:tcPr>
          <w:p w14:paraId="6DAE23E2"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2012</w:t>
            </w:r>
          </w:p>
        </w:tc>
        <w:tc>
          <w:tcPr>
            <w:tcW w:w="1257" w:type="dxa"/>
            <w:vMerge/>
            <w:tcBorders>
              <w:bottom w:val="single" w:sz="8" w:space="0" w:color="auto"/>
            </w:tcBorders>
            <w:shd w:val="clear" w:color="auto" w:fill="auto"/>
            <w:noWrap/>
            <w:vAlign w:val="center"/>
          </w:tcPr>
          <w:p w14:paraId="4CA383D8" w14:textId="77777777" w:rsidR="0085792A" w:rsidRPr="0085792A" w:rsidRDefault="0085792A" w:rsidP="0085792A">
            <w:pPr>
              <w:spacing w:before="20" w:after="20"/>
              <w:jc w:val="center"/>
              <w:rPr>
                <w:rFonts w:eastAsia="Times New Roman"/>
                <w:b/>
                <w:bCs/>
                <w:sz w:val="18"/>
                <w:szCs w:val="18"/>
                <w:lang w:eastAsia="es-MX"/>
              </w:rPr>
            </w:pPr>
          </w:p>
        </w:tc>
        <w:tc>
          <w:tcPr>
            <w:tcW w:w="1134" w:type="dxa"/>
            <w:tcBorders>
              <w:bottom w:val="single" w:sz="8" w:space="0" w:color="auto"/>
            </w:tcBorders>
            <w:shd w:val="clear" w:color="auto" w:fill="auto"/>
            <w:noWrap/>
            <w:vAlign w:val="center"/>
          </w:tcPr>
          <w:p w14:paraId="3805E14B"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2013</w:t>
            </w:r>
          </w:p>
        </w:tc>
        <w:tc>
          <w:tcPr>
            <w:tcW w:w="1257" w:type="dxa"/>
            <w:vMerge/>
            <w:tcBorders>
              <w:bottom w:val="single" w:sz="8" w:space="0" w:color="auto"/>
            </w:tcBorders>
            <w:shd w:val="clear" w:color="auto" w:fill="auto"/>
            <w:noWrap/>
            <w:vAlign w:val="center"/>
          </w:tcPr>
          <w:p w14:paraId="54A0BC55" w14:textId="77777777" w:rsidR="0085792A" w:rsidRPr="0085792A" w:rsidRDefault="0085792A" w:rsidP="0085792A">
            <w:pPr>
              <w:spacing w:before="20" w:after="20"/>
              <w:jc w:val="center"/>
              <w:rPr>
                <w:rFonts w:eastAsia="Times New Roman"/>
                <w:b/>
                <w:bCs/>
                <w:sz w:val="18"/>
                <w:szCs w:val="18"/>
                <w:lang w:eastAsia="es-MX"/>
              </w:rPr>
            </w:pPr>
          </w:p>
        </w:tc>
        <w:tc>
          <w:tcPr>
            <w:tcW w:w="1192" w:type="dxa"/>
            <w:tcBorders>
              <w:bottom w:val="single" w:sz="8" w:space="0" w:color="auto"/>
            </w:tcBorders>
            <w:shd w:val="clear" w:color="auto" w:fill="auto"/>
            <w:noWrap/>
            <w:vAlign w:val="center"/>
          </w:tcPr>
          <w:p w14:paraId="3565EAA9"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2014</w:t>
            </w:r>
          </w:p>
        </w:tc>
        <w:tc>
          <w:tcPr>
            <w:tcW w:w="1237" w:type="dxa"/>
            <w:vMerge/>
            <w:tcBorders>
              <w:bottom w:val="single" w:sz="8" w:space="0" w:color="auto"/>
            </w:tcBorders>
            <w:shd w:val="clear" w:color="auto" w:fill="auto"/>
            <w:vAlign w:val="center"/>
          </w:tcPr>
          <w:p w14:paraId="21E830CF" w14:textId="77777777" w:rsidR="0085792A" w:rsidRPr="0085792A" w:rsidRDefault="0085792A" w:rsidP="0085792A">
            <w:pPr>
              <w:spacing w:before="20" w:after="20"/>
              <w:jc w:val="center"/>
              <w:rPr>
                <w:rFonts w:eastAsia="Times New Roman"/>
                <w:b/>
                <w:bCs/>
                <w:sz w:val="18"/>
                <w:szCs w:val="18"/>
                <w:lang w:eastAsia="es-MX"/>
              </w:rPr>
            </w:pPr>
          </w:p>
        </w:tc>
        <w:tc>
          <w:tcPr>
            <w:tcW w:w="987" w:type="dxa"/>
            <w:tcBorders>
              <w:bottom w:val="single" w:sz="8" w:space="0" w:color="auto"/>
            </w:tcBorders>
            <w:shd w:val="clear" w:color="auto" w:fill="auto"/>
            <w:vAlign w:val="center"/>
          </w:tcPr>
          <w:p w14:paraId="63A53FC0" w14:textId="77777777" w:rsidR="0085792A" w:rsidRPr="0085792A" w:rsidRDefault="0085792A" w:rsidP="0085792A">
            <w:pPr>
              <w:spacing w:before="20" w:after="20"/>
              <w:jc w:val="center"/>
              <w:rPr>
                <w:rFonts w:eastAsia="Times New Roman"/>
                <w:b/>
                <w:bCs/>
                <w:sz w:val="18"/>
                <w:szCs w:val="18"/>
                <w:lang w:eastAsia="es-MX"/>
              </w:rPr>
            </w:pPr>
            <w:r w:rsidRPr="0085792A">
              <w:rPr>
                <w:rFonts w:eastAsia="Times New Roman"/>
                <w:b/>
                <w:bCs/>
                <w:sz w:val="18"/>
                <w:szCs w:val="18"/>
                <w:lang w:eastAsia="es-MX"/>
              </w:rPr>
              <w:t>2014/2013</w:t>
            </w:r>
          </w:p>
        </w:tc>
      </w:tr>
      <w:tr w:rsidR="0085792A" w:rsidRPr="0085792A" w14:paraId="46B09113" w14:textId="77777777" w:rsidTr="0085792A">
        <w:trPr>
          <w:trHeight w:val="170"/>
          <w:jc w:val="center"/>
        </w:trPr>
        <w:tc>
          <w:tcPr>
            <w:tcW w:w="2552" w:type="dxa"/>
            <w:tcBorders>
              <w:bottom w:val="nil"/>
              <w:right w:val="nil"/>
            </w:tcBorders>
            <w:shd w:val="clear" w:color="auto" w:fill="auto"/>
            <w:vAlign w:val="center"/>
          </w:tcPr>
          <w:p w14:paraId="68539C07"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China</w:t>
            </w:r>
          </w:p>
        </w:tc>
        <w:tc>
          <w:tcPr>
            <w:tcW w:w="160" w:type="dxa"/>
            <w:tcBorders>
              <w:left w:val="nil"/>
              <w:bottom w:val="nil"/>
            </w:tcBorders>
            <w:shd w:val="clear" w:color="auto" w:fill="auto"/>
            <w:vAlign w:val="center"/>
          </w:tcPr>
          <w:p w14:paraId="6A95AD6E" w14:textId="77777777" w:rsidR="0085792A" w:rsidRPr="0085792A" w:rsidRDefault="0085792A" w:rsidP="0085792A">
            <w:pPr>
              <w:spacing w:beforeLines="20" w:before="48" w:afterLines="20" w:after="48"/>
              <w:jc w:val="center"/>
              <w:rPr>
                <w:rFonts w:eastAsia="Times New Roman"/>
                <w:sz w:val="18"/>
                <w:szCs w:val="18"/>
                <w:lang w:val="es-ES"/>
              </w:rPr>
            </w:pPr>
          </w:p>
        </w:tc>
        <w:tc>
          <w:tcPr>
            <w:tcW w:w="1134" w:type="dxa"/>
            <w:tcBorders>
              <w:bottom w:val="nil"/>
            </w:tcBorders>
            <w:shd w:val="clear" w:color="auto" w:fill="auto"/>
            <w:vAlign w:val="center"/>
          </w:tcPr>
          <w:p w14:paraId="0B2B3C97"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w:t>
            </w:r>
          </w:p>
        </w:tc>
        <w:tc>
          <w:tcPr>
            <w:tcW w:w="1257" w:type="dxa"/>
            <w:tcBorders>
              <w:bottom w:val="nil"/>
            </w:tcBorders>
            <w:shd w:val="clear" w:color="auto" w:fill="auto"/>
            <w:noWrap/>
            <w:vAlign w:val="center"/>
          </w:tcPr>
          <w:p w14:paraId="14C0285A" w14:textId="77777777" w:rsidR="0085792A" w:rsidRPr="0085792A" w:rsidRDefault="0085792A" w:rsidP="0085792A">
            <w:pPr>
              <w:spacing w:beforeLines="20" w:before="48" w:afterLines="20" w:after="48"/>
              <w:ind w:left="195"/>
              <w:rPr>
                <w:rFonts w:eastAsia="Times New Roman"/>
                <w:sz w:val="18"/>
                <w:szCs w:val="18"/>
                <w:lang w:val="es-ES"/>
              </w:rPr>
            </w:pPr>
            <w:r w:rsidRPr="0085792A">
              <w:rPr>
                <w:rFonts w:eastAsia="Times New Roman"/>
                <w:sz w:val="18"/>
                <w:szCs w:val="18"/>
                <w:lang w:val="es-ES"/>
              </w:rPr>
              <w:t>19 271 808</w:t>
            </w:r>
          </w:p>
        </w:tc>
        <w:tc>
          <w:tcPr>
            <w:tcW w:w="1134" w:type="dxa"/>
            <w:tcBorders>
              <w:bottom w:val="nil"/>
            </w:tcBorders>
            <w:shd w:val="clear" w:color="auto" w:fill="auto"/>
            <w:noWrap/>
            <w:vAlign w:val="center"/>
          </w:tcPr>
          <w:p w14:paraId="2AD8C0B7"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w:t>
            </w:r>
          </w:p>
        </w:tc>
        <w:tc>
          <w:tcPr>
            <w:tcW w:w="1257" w:type="dxa"/>
            <w:tcBorders>
              <w:bottom w:val="nil"/>
            </w:tcBorders>
            <w:shd w:val="clear" w:color="auto" w:fill="auto"/>
            <w:noWrap/>
            <w:vAlign w:val="center"/>
          </w:tcPr>
          <w:p w14:paraId="5865F2E9"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22 116 825</w:t>
            </w:r>
          </w:p>
        </w:tc>
        <w:tc>
          <w:tcPr>
            <w:tcW w:w="1192" w:type="dxa"/>
            <w:tcBorders>
              <w:bottom w:val="nil"/>
            </w:tcBorders>
            <w:shd w:val="clear" w:color="auto" w:fill="auto"/>
            <w:noWrap/>
            <w:vAlign w:val="center"/>
          </w:tcPr>
          <w:p w14:paraId="5A24CAF4"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w:t>
            </w:r>
          </w:p>
        </w:tc>
        <w:tc>
          <w:tcPr>
            <w:tcW w:w="1237" w:type="dxa"/>
            <w:tcBorders>
              <w:bottom w:val="nil"/>
            </w:tcBorders>
            <w:shd w:val="clear" w:color="auto" w:fill="auto"/>
            <w:vAlign w:val="center"/>
          </w:tcPr>
          <w:p w14:paraId="508AEB93"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23 722 890</w:t>
            </w:r>
          </w:p>
        </w:tc>
        <w:tc>
          <w:tcPr>
            <w:tcW w:w="987" w:type="dxa"/>
            <w:tcBorders>
              <w:bottom w:val="nil"/>
            </w:tcBorders>
            <w:shd w:val="clear" w:color="auto" w:fill="auto"/>
            <w:vAlign w:val="center"/>
          </w:tcPr>
          <w:p w14:paraId="7C7C46AF"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7.3</w:t>
            </w:r>
          </w:p>
        </w:tc>
      </w:tr>
      <w:tr w:rsidR="0085792A" w:rsidRPr="0085792A" w14:paraId="2AA78742" w14:textId="77777777" w:rsidTr="0085792A">
        <w:trPr>
          <w:trHeight w:val="170"/>
          <w:jc w:val="center"/>
        </w:trPr>
        <w:tc>
          <w:tcPr>
            <w:tcW w:w="2552" w:type="dxa"/>
            <w:tcBorders>
              <w:top w:val="nil"/>
              <w:bottom w:val="nil"/>
              <w:right w:val="nil"/>
            </w:tcBorders>
            <w:shd w:val="clear" w:color="auto" w:fill="auto"/>
            <w:vAlign w:val="center"/>
          </w:tcPr>
          <w:p w14:paraId="7EBA5626" w14:textId="77777777" w:rsidR="0085792A" w:rsidRPr="0085792A" w:rsidRDefault="0085792A" w:rsidP="0085792A">
            <w:pPr>
              <w:ind w:right="-495"/>
              <w:rPr>
                <w:rFonts w:eastAsia="Times New Roman"/>
                <w:sz w:val="18"/>
                <w:szCs w:val="18"/>
                <w:lang w:val="es-ES"/>
              </w:rPr>
            </w:pPr>
            <w:r w:rsidRPr="0085792A">
              <w:rPr>
                <w:rFonts w:eastAsia="Times New Roman"/>
                <w:sz w:val="18"/>
                <w:szCs w:val="18"/>
                <w:lang w:val="es-ES"/>
              </w:rPr>
              <w:t>Estados Unidos de Norteamérica</w:t>
            </w:r>
          </w:p>
        </w:tc>
        <w:tc>
          <w:tcPr>
            <w:tcW w:w="160" w:type="dxa"/>
            <w:tcBorders>
              <w:top w:val="nil"/>
              <w:left w:val="nil"/>
              <w:bottom w:val="nil"/>
            </w:tcBorders>
            <w:shd w:val="clear" w:color="auto" w:fill="auto"/>
            <w:vAlign w:val="center"/>
          </w:tcPr>
          <w:p w14:paraId="4D87DE40" w14:textId="77777777" w:rsidR="0085792A" w:rsidRPr="0085792A" w:rsidRDefault="0085792A" w:rsidP="0085792A">
            <w:pPr>
              <w:ind w:left="-2055" w:right="781"/>
              <w:rPr>
                <w:rFonts w:eastAsia="Times New Roman"/>
                <w:b/>
                <w:bCs/>
                <w:sz w:val="18"/>
                <w:szCs w:val="18"/>
                <w:lang w:val="es-ES"/>
              </w:rPr>
            </w:pPr>
          </w:p>
        </w:tc>
        <w:tc>
          <w:tcPr>
            <w:tcW w:w="1134" w:type="dxa"/>
            <w:tcBorders>
              <w:top w:val="nil"/>
              <w:bottom w:val="nil"/>
            </w:tcBorders>
            <w:shd w:val="clear" w:color="auto" w:fill="auto"/>
            <w:vAlign w:val="center"/>
          </w:tcPr>
          <w:p w14:paraId="70660D32"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2</w:t>
            </w:r>
          </w:p>
        </w:tc>
        <w:tc>
          <w:tcPr>
            <w:tcW w:w="1257" w:type="dxa"/>
            <w:tcBorders>
              <w:top w:val="nil"/>
              <w:bottom w:val="nil"/>
            </w:tcBorders>
            <w:shd w:val="clear" w:color="auto" w:fill="auto"/>
            <w:noWrap/>
            <w:vAlign w:val="center"/>
          </w:tcPr>
          <w:p w14:paraId="1615301A" w14:textId="77777777" w:rsidR="0085792A" w:rsidRPr="0085792A" w:rsidRDefault="0085792A" w:rsidP="0085792A">
            <w:pPr>
              <w:spacing w:beforeLines="20" w:before="48" w:afterLines="20" w:after="48"/>
              <w:ind w:left="195"/>
              <w:rPr>
                <w:rFonts w:eastAsia="Times New Roman"/>
                <w:sz w:val="18"/>
                <w:szCs w:val="18"/>
                <w:lang w:val="es-ES"/>
              </w:rPr>
            </w:pPr>
            <w:r w:rsidRPr="0085792A">
              <w:rPr>
                <w:rFonts w:eastAsia="Times New Roman"/>
                <w:sz w:val="18"/>
                <w:szCs w:val="18"/>
                <w:lang w:val="es-ES"/>
              </w:rPr>
              <w:t>10 328 884</w:t>
            </w:r>
          </w:p>
        </w:tc>
        <w:tc>
          <w:tcPr>
            <w:tcW w:w="1134" w:type="dxa"/>
            <w:tcBorders>
              <w:top w:val="nil"/>
              <w:bottom w:val="nil"/>
            </w:tcBorders>
            <w:shd w:val="clear" w:color="auto" w:fill="auto"/>
            <w:noWrap/>
            <w:vAlign w:val="center"/>
          </w:tcPr>
          <w:p w14:paraId="45E30F84"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2</w:t>
            </w:r>
          </w:p>
        </w:tc>
        <w:tc>
          <w:tcPr>
            <w:tcW w:w="1257" w:type="dxa"/>
            <w:tcBorders>
              <w:top w:val="nil"/>
              <w:bottom w:val="nil"/>
            </w:tcBorders>
            <w:shd w:val="clear" w:color="auto" w:fill="auto"/>
            <w:noWrap/>
            <w:vAlign w:val="center"/>
          </w:tcPr>
          <w:p w14:paraId="32D70C07"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11 045 902</w:t>
            </w:r>
          </w:p>
        </w:tc>
        <w:tc>
          <w:tcPr>
            <w:tcW w:w="1192" w:type="dxa"/>
            <w:tcBorders>
              <w:top w:val="nil"/>
              <w:bottom w:val="nil"/>
            </w:tcBorders>
            <w:shd w:val="clear" w:color="auto" w:fill="auto"/>
            <w:noWrap/>
            <w:vAlign w:val="center"/>
          </w:tcPr>
          <w:p w14:paraId="7EF5308C"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2</w:t>
            </w:r>
          </w:p>
        </w:tc>
        <w:tc>
          <w:tcPr>
            <w:tcW w:w="1237" w:type="dxa"/>
            <w:tcBorders>
              <w:top w:val="nil"/>
              <w:bottom w:val="nil"/>
            </w:tcBorders>
            <w:shd w:val="clear" w:color="auto" w:fill="auto"/>
            <w:vAlign w:val="center"/>
          </w:tcPr>
          <w:p w14:paraId="1F545A0E"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11 660 699</w:t>
            </w:r>
          </w:p>
        </w:tc>
        <w:tc>
          <w:tcPr>
            <w:tcW w:w="987" w:type="dxa"/>
            <w:tcBorders>
              <w:top w:val="nil"/>
              <w:bottom w:val="nil"/>
            </w:tcBorders>
            <w:shd w:val="clear" w:color="auto" w:fill="auto"/>
            <w:vAlign w:val="center"/>
          </w:tcPr>
          <w:p w14:paraId="020F93D8"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5.6</w:t>
            </w:r>
          </w:p>
        </w:tc>
      </w:tr>
      <w:tr w:rsidR="0085792A" w:rsidRPr="0085792A" w14:paraId="557A8B68" w14:textId="77777777" w:rsidTr="0085792A">
        <w:trPr>
          <w:trHeight w:val="170"/>
          <w:jc w:val="center"/>
        </w:trPr>
        <w:tc>
          <w:tcPr>
            <w:tcW w:w="2552" w:type="dxa"/>
            <w:tcBorders>
              <w:top w:val="nil"/>
              <w:bottom w:val="nil"/>
              <w:right w:val="nil"/>
            </w:tcBorders>
            <w:shd w:val="clear" w:color="auto" w:fill="auto"/>
            <w:vAlign w:val="center"/>
          </w:tcPr>
          <w:p w14:paraId="77FCB4E2"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Japón</w:t>
            </w:r>
          </w:p>
        </w:tc>
        <w:tc>
          <w:tcPr>
            <w:tcW w:w="160" w:type="dxa"/>
            <w:tcBorders>
              <w:top w:val="nil"/>
              <w:left w:val="nil"/>
              <w:bottom w:val="nil"/>
            </w:tcBorders>
            <w:shd w:val="clear" w:color="auto" w:fill="auto"/>
            <w:vAlign w:val="center"/>
          </w:tcPr>
          <w:p w14:paraId="34B44501" w14:textId="77777777" w:rsidR="0085792A" w:rsidRPr="0085792A" w:rsidRDefault="0085792A" w:rsidP="0085792A">
            <w:pPr>
              <w:rPr>
                <w:rFonts w:eastAsia="Times New Roman"/>
                <w:b/>
                <w:bCs/>
                <w:sz w:val="18"/>
                <w:szCs w:val="18"/>
                <w:lang w:val="es-ES"/>
              </w:rPr>
            </w:pPr>
          </w:p>
        </w:tc>
        <w:tc>
          <w:tcPr>
            <w:tcW w:w="1134" w:type="dxa"/>
            <w:tcBorders>
              <w:top w:val="nil"/>
              <w:bottom w:val="nil"/>
            </w:tcBorders>
            <w:shd w:val="clear" w:color="auto" w:fill="auto"/>
            <w:vAlign w:val="center"/>
          </w:tcPr>
          <w:p w14:paraId="02C7F76E"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3</w:t>
            </w:r>
          </w:p>
        </w:tc>
        <w:tc>
          <w:tcPr>
            <w:tcW w:w="1257" w:type="dxa"/>
            <w:tcBorders>
              <w:top w:val="nil"/>
              <w:bottom w:val="nil"/>
            </w:tcBorders>
            <w:shd w:val="clear" w:color="auto" w:fill="auto"/>
            <w:noWrap/>
            <w:vAlign w:val="center"/>
          </w:tcPr>
          <w:p w14:paraId="4C6BF60D"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9 942 711</w:t>
            </w:r>
          </w:p>
        </w:tc>
        <w:tc>
          <w:tcPr>
            <w:tcW w:w="1134" w:type="dxa"/>
            <w:tcBorders>
              <w:top w:val="nil"/>
              <w:bottom w:val="nil"/>
            </w:tcBorders>
            <w:shd w:val="clear" w:color="auto" w:fill="auto"/>
            <w:noWrap/>
            <w:vAlign w:val="center"/>
          </w:tcPr>
          <w:p w14:paraId="64CB2850"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3</w:t>
            </w:r>
          </w:p>
        </w:tc>
        <w:tc>
          <w:tcPr>
            <w:tcW w:w="1257" w:type="dxa"/>
            <w:tcBorders>
              <w:top w:val="nil"/>
              <w:bottom w:val="nil"/>
            </w:tcBorders>
            <w:shd w:val="clear" w:color="auto" w:fill="auto"/>
            <w:noWrap/>
            <w:vAlign w:val="center"/>
          </w:tcPr>
          <w:p w14:paraId="60D682D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9 630 070</w:t>
            </w:r>
          </w:p>
        </w:tc>
        <w:tc>
          <w:tcPr>
            <w:tcW w:w="1192" w:type="dxa"/>
            <w:tcBorders>
              <w:top w:val="nil"/>
              <w:bottom w:val="nil"/>
            </w:tcBorders>
            <w:shd w:val="clear" w:color="auto" w:fill="auto"/>
            <w:noWrap/>
            <w:vAlign w:val="center"/>
          </w:tcPr>
          <w:p w14:paraId="20675784"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3</w:t>
            </w:r>
          </w:p>
        </w:tc>
        <w:tc>
          <w:tcPr>
            <w:tcW w:w="1237" w:type="dxa"/>
            <w:tcBorders>
              <w:top w:val="nil"/>
              <w:bottom w:val="nil"/>
            </w:tcBorders>
            <w:shd w:val="clear" w:color="auto" w:fill="auto"/>
            <w:vAlign w:val="center"/>
          </w:tcPr>
          <w:p w14:paraId="379526C4"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9 774 558</w:t>
            </w:r>
          </w:p>
        </w:tc>
        <w:tc>
          <w:tcPr>
            <w:tcW w:w="987" w:type="dxa"/>
            <w:tcBorders>
              <w:top w:val="nil"/>
              <w:bottom w:val="nil"/>
            </w:tcBorders>
            <w:shd w:val="clear" w:color="auto" w:fill="auto"/>
            <w:vAlign w:val="center"/>
          </w:tcPr>
          <w:p w14:paraId="6FFCEF70"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1.5</w:t>
            </w:r>
          </w:p>
        </w:tc>
      </w:tr>
      <w:tr w:rsidR="0085792A" w:rsidRPr="0085792A" w14:paraId="4816B6A1" w14:textId="77777777" w:rsidTr="0085792A">
        <w:trPr>
          <w:trHeight w:val="170"/>
          <w:jc w:val="center"/>
        </w:trPr>
        <w:tc>
          <w:tcPr>
            <w:tcW w:w="2552" w:type="dxa"/>
            <w:tcBorders>
              <w:top w:val="nil"/>
              <w:bottom w:val="nil"/>
              <w:right w:val="nil"/>
            </w:tcBorders>
            <w:shd w:val="clear" w:color="auto" w:fill="auto"/>
            <w:vAlign w:val="center"/>
          </w:tcPr>
          <w:p w14:paraId="5942E806"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Alemania</w:t>
            </w:r>
          </w:p>
        </w:tc>
        <w:tc>
          <w:tcPr>
            <w:tcW w:w="160" w:type="dxa"/>
            <w:tcBorders>
              <w:top w:val="nil"/>
              <w:left w:val="nil"/>
              <w:bottom w:val="nil"/>
            </w:tcBorders>
            <w:shd w:val="clear" w:color="auto" w:fill="auto"/>
            <w:vAlign w:val="center"/>
          </w:tcPr>
          <w:p w14:paraId="76CC26D0" w14:textId="77777777" w:rsidR="0085792A" w:rsidRPr="0085792A" w:rsidRDefault="0085792A" w:rsidP="0085792A">
            <w:pPr>
              <w:rPr>
                <w:rFonts w:eastAsia="Times New Roman"/>
                <w:b/>
                <w:bCs/>
                <w:sz w:val="18"/>
                <w:szCs w:val="18"/>
                <w:lang w:val="es-ES"/>
              </w:rPr>
            </w:pPr>
          </w:p>
        </w:tc>
        <w:tc>
          <w:tcPr>
            <w:tcW w:w="1134" w:type="dxa"/>
            <w:tcBorders>
              <w:top w:val="nil"/>
              <w:bottom w:val="nil"/>
            </w:tcBorders>
            <w:shd w:val="clear" w:color="auto" w:fill="auto"/>
            <w:vAlign w:val="center"/>
          </w:tcPr>
          <w:p w14:paraId="10F9E457"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4</w:t>
            </w:r>
          </w:p>
        </w:tc>
        <w:tc>
          <w:tcPr>
            <w:tcW w:w="1257" w:type="dxa"/>
            <w:tcBorders>
              <w:top w:val="nil"/>
              <w:bottom w:val="nil"/>
            </w:tcBorders>
            <w:shd w:val="clear" w:color="auto" w:fill="auto"/>
            <w:noWrap/>
            <w:vAlign w:val="center"/>
          </w:tcPr>
          <w:p w14:paraId="5DB98AF0"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5 649 269</w:t>
            </w:r>
          </w:p>
        </w:tc>
        <w:tc>
          <w:tcPr>
            <w:tcW w:w="1134" w:type="dxa"/>
            <w:tcBorders>
              <w:top w:val="nil"/>
              <w:bottom w:val="nil"/>
            </w:tcBorders>
            <w:shd w:val="clear" w:color="auto" w:fill="auto"/>
            <w:noWrap/>
            <w:vAlign w:val="center"/>
          </w:tcPr>
          <w:p w14:paraId="3213EEE8"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4</w:t>
            </w:r>
          </w:p>
        </w:tc>
        <w:tc>
          <w:tcPr>
            <w:tcW w:w="1257" w:type="dxa"/>
            <w:tcBorders>
              <w:top w:val="nil"/>
              <w:bottom w:val="nil"/>
            </w:tcBorders>
            <w:shd w:val="clear" w:color="auto" w:fill="auto"/>
            <w:noWrap/>
            <w:vAlign w:val="center"/>
          </w:tcPr>
          <w:p w14:paraId="41C10C54"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5 718 222</w:t>
            </w:r>
          </w:p>
        </w:tc>
        <w:tc>
          <w:tcPr>
            <w:tcW w:w="1192" w:type="dxa"/>
            <w:tcBorders>
              <w:top w:val="nil"/>
              <w:bottom w:val="nil"/>
            </w:tcBorders>
            <w:shd w:val="clear" w:color="auto" w:fill="auto"/>
            <w:noWrap/>
            <w:vAlign w:val="center"/>
          </w:tcPr>
          <w:p w14:paraId="2602C863"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4</w:t>
            </w:r>
          </w:p>
        </w:tc>
        <w:tc>
          <w:tcPr>
            <w:tcW w:w="1237" w:type="dxa"/>
            <w:tcBorders>
              <w:top w:val="nil"/>
              <w:bottom w:val="nil"/>
            </w:tcBorders>
            <w:shd w:val="clear" w:color="auto" w:fill="auto"/>
            <w:vAlign w:val="center"/>
          </w:tcPr>
          <w:p w14:paraId="53CE3795"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5 907 548</w:t>
            </w:r>
          </w:p>
        </w:tc>
        <w:tc>
          <w:tcPr>
            <w:tcW w:w="987" w:type="dxa"/>
            <w:tcBorders>
              <w:top w:val="nil"/>
              <w:bottom w:val="nil"/>
            </w:tcBorders>
            <w:shd w:val="clear" w:color="auto" w:fill="auto"/>
            <w:vAlign w:val="center"/>
          </w:tcPr>
          <w:p w14:paraId="2937431F"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3.3</w:t>
            </w:r>
          </w:p>
        </w:tc>
      </w:tr>
      <w:tr w:rsidR="0085792A" w:rsidRPr="0085792A" w14:paraId="006DC2ED" w14:textId="77777777" w:rsidTr="0085792A">
        <w:trPr>
          <w:trHeight w:val="170"/>
          <w:jc w:val="center"/>
        </w:trPr>
        <w:tc>
          <w:tcPr>
            <w:tcW w:w="2552" w:type="dxa"/>
            <w:tcBorders>
              <w:top w:val="nil"/>
              <w:bottom w:val="nil"/>
              <w:right w:val="nil"/>
            </w:tcBorders>
            <w:shd w:val="clear" w:color="auto" w:fill="auto"/>
            <w:vAlign w:val="center"/>
          </w:tcPr>
          <w:p w14:paraId="2A692B70"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Corea del Sur</w:t>
            </w:r>
          </w:p>
        </w:tc>
        <w:tc>
          <w:tcPr>
            <w:tcW w:w="160" w:type="dxa"/>
            <w:tcBorders>
              <w:top w:val="nil"/>
              <w:left w:val="nil"/>
              <w:bottom w:val="nil"/>
            </w:tcBorders>
            <w:shd w:val="clear" w:color="auto" w:fill="auto"/>
            <w:vAlign w:val="center"/>
          </w:tcPr>
          <w:p w14:paraId="1FB41F36"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5C1E24F2"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5</w:t>
            </w:r>
          </w:p>
        </w:tc>
        <w:tc>
          <w:tcPr>
            <w:tcW w:w="1257" w:type="dxa"/>
            <w:tcBorders>
              <w:top w:val="nil"/>
              <w:bottom w:val="nil"/>
            </w:tcBorders>
            <w:shd w:val="clear" w:color="auto" w:fill="auto"/>
            <w:noWrap/>
            <w:vAlign w:val="center"/>
          </w:tcPr>
          <w:p w14:paraId="0B7C38F3"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4 561 766</w:t>
            </w:r>
          </w:p>
        </w:tc>
        <w:tc>
          <w:tcPr>
            <w:tcW w:w="1134" w:type="dxa"/>
            <w:tcBorders>
              <w:top w:val="nil"/>
              <w:bottom w:val="nil"/>
            </w:tcBorders>
            <w:shd w:val="clear" w:color="auto" w:fill="auto"/>
            <w:noWrap/>
            <w:vAlign w:val="center"/>
          </w:tcPr>
          <w:p w14:paraId="37A17E5F"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5</w:t>
            </w:r>
          </w:p>
        </w:tc>
        <w:tc>
          <w:tcPr>
            <w:tcW w:w="1257" w:type="dxa"/>
            <w:tcBorders>
              <w:top w:val="nil"/>
              <w:bottom w:val="nil"/>
            </w:tcBorders>
            <w:shd w:val="clear" w:color="auto" w:fill="auto"/>
            <w:noWrap/>
            <w:vAlign w:val="center"/>
          </w:tcPr>
          <w:p w14:paraId="4979CFEA"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4 521 429</w:t>
            </w:r>
          </w:p>
        </w:tc>
        <w:tc>
          <w:tcPr>
            <w:tcW w:w="1192" w:type="dxa"/>
            <w:tcBorders>
              <w:top w:val="nil"/>
              <w:bottom w:val="nil"/>
            </w:tcBorders>
            <w:shd w:val="clear" w:color="auto" w:fill="auto"/>
            <w:noWrap/>
            <w:vAlign w:val="center"/>
          </w:tcPr>
          <w:p w14:paraId="612A0FD5"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5</w:t>
            </w:r>
          </w:p>
        </w:tc>
        <w:tc>
          <w:tcPr>
            <w:tcW w:w="1237" w:type="dxa"/>
            <w:tcBorders>
              <w:top w:val="nil"/>
              <w:bottom w:val="nil"/>
            </w:tcBorders>
            <w:shd w:val="clear" w:color="auto" w:fill="auto"/>
            <w:vAlign w:val="center"/>
          </w:tcPr>
          <w:p w14:paraId="25AE57B1"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4 524 932</w:t>
            </w:r>
          </w:p>
        </w:tc>
        <w:tc>
          <w:tcPr>
            <w:tcW w:w="987" w:type="dxa"/>
            <w:tcBorders>
              <w:top w:val="nil"/>
              <w:bottom w:val="nil"/>
            </w:tcBorders>
            <w:shd w:val="clear" w:color="auto" w:fill="auto"/>
            <w:vAlign w:val="center"/>
          </w:tcPr>
          <w:p w14:paraId="2C66D7B3"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0.1</w:t>
            </w:r>
          </w:p>
        </w:tc>
      </w:tr>
      <w:tr w:rsidR="0085792A" w:rsidRPr="0085792A" w14:paraId="739745FE" w14:textId="77777777" w:rsidTr="0085792A">
        <w:trPr>
          <w:trHeight w:val="145"/>
          <w:jc w:val="center"/>
        </w:trPr>
        <w:tc>
          <w:tcPr>
            <w:tcW w:w="2552" w:type="dxa"/>
            <w:tcBorders>
              <w:top w:val="nil"/>
              <w:bottom w:val="nil"/>
              <w:right w:val="nil"/>
            </w:tcBorders>
            <w:shd w:val="clear" w:color="auto" w:fill="auto"/>
            <w:vAlign w:val="center"/>
          </w:tcPr>
          <w:p w14:paraId="0DDBA9DC"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India</w:t>
            </w:r>
          </w:p>
        </w:tc>
        <w:tc>
          <w:tcPr>
            <w:tcW w:w="160" w:type="dxa"/>
            <w:tcBorders>
              <w:top w:val="nil"/>
              <w:left w:val="nil"/>
              <w:bottom w:val="nil"/>
            </w:tcBorders>
            <w:shd w:val="clear" w:color="auto" w:fill="auto"/>
            <w:vAlign w:val="center"/>
          </w:tcPr>
          <w:p w14:paraId="3F101365"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66C4F10E"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6</w:t>
            </w:r>
          </w:p>
        </w:tc>
        <w:tc>
          <w:tcPr>
            <w:tcW w:w="1257" w:type="dxa"/>
            <w:tcBorders>
              <w:top w:val="nil"/>
              <w:bottom w:val="nil"/>
            </w:tcBorders>
            <w:shd w:val="clear" w:color="auto" w:fill="auto"/>
            <w:noWrap/>
            <w:vAlign w:val="center"/>
          </w:tcPr>
          <w:p w14:paraId="2C6082B3"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4 145 194</w:t>
            </w:r>
          </w:p>
        </w:tc>
        <w:tc>
          <w:tcPr>
            <w:tcW w:w="1134" w:type="dxa"/>
            <w:tcBorders>
              <w:top w:val="nil"/>
              <w:bottom w:val="nil"/>
            </w:tcBorders>
            <w:shd w:val="clear" w:color="auto" w:fill="auto"/>
            <w:noWrap/>
            <w:vAlign w:val="center"/>
          </w:tcPr>
          <w:p w14:paraId="0D82D3FD"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6</w:t>
            </w:r>
          </w:p>
        </w:tc>
        <w:tc>
          <w:tcPr>
            <w:tcW w:w="1257" w:type="dxa"/>
            <w:tcBorders>
              <w:top w:val="nil"/>
              <w:bottom w:val="nil"/>
            </w:tcBorders>
            <w:shd w:val="clear" w:color="auto" w:fill="auto"/>
            <w:noWrap/>
            <w:vAlign w:val="center"/>
          </w:tcPr>
          <w:p w14:paraId="6F0B44E8"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3 880 938</w:t>
            </w:r>
          </w:p>
        </w:tc>
        <w:tc>
          <w:tcPr>
            <w:tcW w:w="1192" w:type="dxa"/>
            <w:tcBorders>
              <w:top w:val="nil"/>
              <w:bottom w:val="nil"/>
            </w:tcBorders>
            <w:shd w:val="clear" w:color="auto" w:fill="auto"/>
            <w:noWrap/>
            <w:vAlign w:val="center"/>
          </w:tcPr>
          <w:p w14:paraId="1E5F7ABC"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6</w:t>
            </w:r>
          </w:p>
        </w:tc>
        <w:tc>
          <w:tcPr>
            <w:tcW w:w="1237" w:type="dxa"/>
            <w:tcBorders>
              <w:top w:val="nil"/>
              <w:bottom w:val="nil"/>
            </w:tcBorders>
            <w:shd w:val="clear" w:color="auto" w:fill="auto"/>
            <w:vAlign w:val="center"/>
          </w:tcPr>
          <w:p w14:paraId="4FF43AEA"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3 840 160</w:t>
            </w:r>
          </w:p>
        </w:tc>
        <w:tc>
          <w:tcPr>
            <w:tcW w:w="987" w:type="dxa"/>
            <w:tcBorders>
              <w:top w:val="nil"/>
              <w:bottom w:val="nil"/>
            </w:tcBorders>
            <w:shd w:val="clear" w:color="auto" w:fill="auto"/>
            <w:vAlign w:val="center"/>
          </w:tcPr>
          <w:p w14:paraId="6784FAD2"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-1.1</w:t>
            </w:r>
          </w:p>
        </w:tc>
      </w:tr>
      <w:tr w:rsidR="0085792A" w:rsidRPr="0085792A" w14:paraId="2513C1ED" w14:textId="77777777" w:rsidTr="0085792A">
        <w:trPr>
          <w:trHeight w:val="170"/>
          <w:jc w:val="center"/>
        </w:trPr>
        <w:tc>
          <w:tcPr>
            <w:tcW w:w="2552" w:type="dxa"/>
            <w:tcBorders>
              <w:top w:val="nil"/>
              <w:bottom w:val="nil"/>
              <w:right w:val="nil"/>
            </w:tcBorders>
            <w:shd w:val="clear" w:color="auto" w:fill="auto"/>
            <w:vAlign w:val="center"/>
          </w:tcPr>
          <w:p w14:paraId="0D651D35"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México</w:t>
            </w:r>
          </w:p>
        </w:tc>
        <w:tc>
          <w:tcPr>
            <w:tcW w:w="160" w:type="dxa"/>
            <w:tcBorders>
              <w:top w:val="nil"/>
              <w:left w:val="nil"/>
              <w:bottom w:val="nil"/>
            </w:tcBorders>
            <w:shd w:val="clear" w:color="auto" w:fill="auto"/>
            <w:vAlign w:val="center"/>
          </w:tcPr>
          <w:p w14:paraId="7B1E3E83"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525113A3"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8</w:t>
            </w:r>
          </w:p>
        </w:tc>
        <w:tc>
          <w:tcPr>
            <w:tcW w:w="1257" w:type="dxa"/>
            <w:tcBorders>
              <w:top w:val="nil"/>
              <w:bottom w:val="nil"/>
            </w:tcBorders>
            <w:shd w:val="clear" w:color="auto" w:fill="auto"/>
            <w:noWrap/>
            <w:vAlign w:val="center"/>
          </w:tcPr>
          <w:p w14:paraId="0B6B2B5C"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3 001 974</w:t>
            </w:r>
          </w:p>
        </w:tc>
        <w:tc>
          <w:tcPr>
            <w:tcW w:w="1134" w:type="dxa"/>
            <w:tcBorders>
              <w:top w:val="nil"/>
              <w:bottom w:val="nil"/>
            </w:tcBorders>
            <w:shd w:val="clear" w:color="auto" w:fill="auto"/>
            <w:noWrap/>
            <w:vAlign w:val="center"/>
          </w:tcPr>
          <w:p w14:paraId="296B256A"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8</w:t>
            </w:r>
          </w:p>
        </w:tc>
        <w:tc>
          <w:tcPr>
            <w:tcW w:w="1257" w:type="dxa"/>
            <w:tcBorders>
              <w:top w:val="nil"/>
              <w:bottom w:val="nil"/>
            </w:tcBorders>
            <w:shd w:val="clear" w:color="auto" w:fill="auto"/>
            <w:noWrap/>
            <w:vAlign w:val="center"/>
          </w:tcPr>
          <w:p w14:paraId="0E8727C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3 052 395</w:t>
            </w:r>
          </w:p>
        </w:tc>
        <w:tc>
          <w:tcPr>
            <w:tcW w:w="1192" w:type="dxa"/>
            <w:tcBorders>
              <w:top w:val="nil"/>
              <w:bottom w:val="nil"/>
            </w:tcBorders>
            <w:shd w:val="clear" w:color="auto" w:fill="auto"/>
            <w:noWrap/>
            <w:vAlign w:val="center"/>
          </w:tcPr>
          <w:p w14:paraId="720ECA92"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7</w:t>
            </w:r>
          </w:p>
        </w:tc>
        <w:tc>
          <w:tcPr>
            <w:tcW w:w="1237" w:type="dxa"/>
            <w:tcBorders>
              <w:top w:val="nil"/>
              <w:bottom w:val="nil"/>
            </w:tcBorders>
            <w:shd w:val="clear" w:color="auto" w:fill="auto"/>
            <w:vAlign w:val="center"/>
          </w:tcPr>
          <w:p w14:paraId="3C7E40D8"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3 365 306</w:t>
            </w:r>
          </w:p>
        </w:tc>
        <w:tc>
          <w:tcPr>
            <w:tcW w:w="987" w:type="dxa"/>
            <w:tcBorders>
              <w:top w:val="nil"/>
              <w:bottom w:val="nil"/>
            </w:tcBorders>
            <w:shd w:val="clear" w:color="auto" w:fill="auto"/>
            <w:vAlign w:val="center"/>
          </w:tcPr>
          <w:p w14:paraId="528A7768"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10.3</w:t>
            </w:r>
          </w:p>
        </w:tc>
      </w:tr>
      <w:tr w:rsidR="0085792A" w:rsidRPr="0085792A" w14:paraId="70A113A8" w14:textId="77777777" w:rsidTr="0085792A">
        <w:trPr>
          <w:trHeight w:val="170"/>
          <w:jc w:val="center"/>
        </w:trPr>
        <w:tc>
          <w:tcPr>
            <w:tcW w:w="2552" w:type="dxa"/>
            <w:tcBorders>
              <w:top w:val="nil"/>
              <w:bottom w:val="nil"/>
              <w:right w:val="nil"/>
            </w:tcBorders>
            <w:shd w:val="clear" w:color="auto" w:fill="auto"/>
            <w:vAlign w:val="center"/>
          </w:tcPr>
          <w:p w14:paraId="02035F38"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Brasil</w:t>
            </w:r>
          </w:p>
        </w:tc>
        <w:tc>
          <w:tcPr>
            <w:tcW w:w="160" w:type="dxa"/>
            <w:tcBorders>
              <w:top w:val="nil"/>
              <w:left w:val="nil"/>
              <w:bottom w:val="nil"/>
            </w:tcBorders>
            <w:shd w:val="clear" w:color="auto" w:fill="auto"/>
            <w:vAlign w:val="center"/>
          </w:tcPr>
          <w:p w14:paraId="56688AB5"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039E37C6"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7</w:t>
            </w:r>
          </w:p>
        </w:tc>
        <w:tc>
          <w:tcPr>
            <w:tcW w:w="1257" w:type="dxa"/>
            <w:tcBorders>
              <w:top w:val="nil"/>
              <w:bottom w:val="nil"/>
            </w:tcBorders>
            <w:shd w:val="clear" w:color="auto" w:fill="auto"/>
            <w:noWrap/>
            <w:vAlign w:val="center"/>
          </w:tcPr>
          <w:p w14:paraId="67CE4E44"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3 342 617</w:t>
            </w:r>
          </w:p>
        </w:tc>
        <w:tc>
          <w:tcPr>
            <w:tcW w:w="1134" w:type="dxa"/>
            <w:tcBorders>
              <w:top w:val="nil"/>
              <w:bottom w:val="nil"/>
            </w:tcBorders>
            <w:shd w:val="clear" w:color="auto" w:fill="auto"/>
            <w:noWrap/>
            <w:vAlign w:val="center"/>
          </w:tcPr>
          <w:p w14:paraId="709D6E67"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7</w:t>
            </w:r>
          </w:p>
        </w:tc>
        <w:tc>
          <w:tcPr>
            <w:tcW w:w="1257" w:type="dxa"/>
            <w:tcBorders>
              <w:top w:val="nil"/>
              <w:bottom w:val="nil"/>
            </w:tcBorders>
            <w:shd w:val="clear" w:color="auto" w:fill="auto"/>
            <w:noWrap/>
            <w:vAlign w:val="center"/>
          </w:tcPr>
          <w:p w14:paraId="62A14E3E"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3 740 418</w:t>
            </w:r>
          </w:p>
        </w:tc>
        <w:tc>
          <w:tcPr>
            <w:tcW w:w="1192" w:type="dxa"/>
            <w:tcBorders>
              <w:top w:val="nil"/>
              <w:bottom w:val="nil"/>
            </w:tcBorders>
            <w:shd w:val="clear" w:color="auto" w:fill="auto"/>
            <w:noWrap/>
            <w:vAlign w:val="center"/>
          </w:tcPr>
          <w:p w14:paraId="61437EDB"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8</w:t>
            </w:r>
          </w:p>
        </w:tc>
        <w:tc>
          <w:tcPr>
            <w:tcW w:w="1237" w:type="dxa"/>
            <w:tcBorders>
              <w:top w:val="nil"/>
              <w:bottom w:val="nil"/>
            </w:tcBorders>
            <w:shd w:val="clear" w:color="auto" w:fill="auto"/>
            <w:vAlign w:val="center"/>
          </w:tcPr>
          <w:p w14:paraId="75668BB2"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3 146 118</w:t>
            </w:r>
          </w:p>
        </w:tc>
        <w:tc>
          <w:tcPr>
            <w:tcW w:w="987" w:type="dxa"/>
            <w:tcBorders>
              <w:top w:val="nil"/>
              <w:bottom w:val="nil"/>
            </w:tcBorders>
            <w:shd w:val="clear" w:color="auto" w:fill="auto"/>
            <w:vAlign w:val="center"/>
          </w:tcPr>
          <w:p w14:paraId="7A0A1A54"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-15.9</w:t>
            </w:r>
          </w:p>
        </w:tc>
      </w:tr>
      <w:tr w:rsidR="0085792A" w:rsidRPr="0085792A" w14:paraId="01C7A867" w14:textId="77777777" w:rsidTr="0085792A">
        <w:trPr>
          <w:trHeight w:val="170"/>
          <w:jc w:val="center"/>
        </w:trPr>
        <w:tc>
          <w:tcPr>
            <w:tcW w:w="2552" w:type="dxa"/>
            <w:tcBorders>
              <w:top w:val="nil"/>
              <w:bottom w:val="nil"/>
              <w:right w:val="nil"/>
            </w:tcBorders>
            <w:shd w:val="clear" w:color="auto" w:fill="auto"/>
            <w:vAlign w:val="center"/>
          </w:tcPr>
          <w:p w14:paraId="6E7BF9B5"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España</w:t>
            </w:r>
          </w:p>
        </w:tc>
        <w:tc>
          <w:tcPr>
            <w:tcW w:w="160" w:type="dxa"/>
            <w:tcBorders>
              <w:top w:val="nil"/>
              <w:left w:val="nil"/>
              <w:bottom w:val="nil"/>
            </w:tcBorders>
            <w:shd w:val="clear" w:color="auto" w:fill="auto"/>
            <w:vAlign w:val="center"/>
          </w:tcPr>
          <w:p w14:paraId="25278154"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77992EA2"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12</w:t>
            </w:r>
          </w:p>
        </w:tc>
        <w:tc>
          <w:tcPr>
            <w:tcW w:w="1257" w:type="dxa"/>
            <w:tcBorders>
              <w:top w:val="nil"/>
              <w:bottom w:val="nil"/>
            </w:tcBorders>
            <w:shd w:val="clear" w:color="auto" w:fill="auto"/>
            <w:noWrap/>
            <w:vAlign w:val="center"/>
          </w:tcPr>
          <w:p w14:paraId="4A9EE2C1"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1 979 179</w:t>
            </w:r>
          </w:p>
        </w:tc>
        <w:tc>
          <w:tcPr>
            <w:tcW w:w="1134" w:type="dxa"/>
            <w:tcBorders>
              <w:top w:val="nil"/>
              <w:bottom w:val="nil"/>
            </w:tcBorders>
            <w:shd w:val="clear" w:color="auto" w:fill="auto"/>
            <w:noWrap/>
            <w:vAlign w:val="center"/>
          </w:tcPr>
          <w:p w14:paraId="4C6DE127"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12</w:t>
            </w:r>
          </w:p>
        </w:tc>
        <w:tc>
          <w:tcPr>
            <w:tcW w:w="1257" w:type="dxa"/>
            <w:tcBorders>
              <w:top w:val="nil"/>
              <w:bottom w:val="nil"/>
            </w:tcBorders>
            <w:shd w:val="clear" w:color="auto" w:fill="auto"/>
            <w:noWrap/>
            <w:vAlign w:val="center"/>
          </w:tcPr>
          <w:p w14:paraId="2E63633F"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2 163 338</w:t>
            </w:r>
          </w:p>
        </w:tc>
        <w:tc>
          <w:tcPr>
            <w:tcW w:w="1192" w:type="dxa"/>
            <w:tcBorders>
              <w:top w:val="nil"/>
              <w:bottom w:val="nil"/>
            </w:tcBorders>
            <w:shd w:val="clear" w:color="auto" w:fill="auto"/>
            <w:noWrap/>
            <w:vAlign w:val="center"/>
          </w:tcPr>
          <w:p w14:paraId="35E325B4"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9</w:t>
            </w:r>
          </w:p>
        </w:tc>
        <w:tc>
          <w:tcPr>
            <w:tcW w:w="1237" w:type="dxa"/>
            <w:tcBorders>
              <w:top w:val="nil"/>
              <w:bottom w:val="nil"/>
            </w:tcBorders>
            <w:shd w:val="clear" w:color="auto" w:fill="auto"/>
            <w:vAlign w:val="center"/>
          </w:tcPr>
          <w:p w14:paraId="662A3E9C"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2 402 978</w:t>
            </w:r>
          </w:p>
        </w:tc>
        <w:tc>
          <w:tcPr>
            <w:tcW w:w="987" w:type="dxa"/>
            <w:tcBorders>
              <w:top w:val="nil"/>
              <w:bottom w:val="nil"/>
            </w:tcBorders>
            <w:shd w:val="clear" w:color="auto" w:fill="auto"/>
            <w:vAlign w:val="center"/>
          </w:tcPr>
          <w:p w14:paraId="7DB0C6CD"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11.1</w:t>
            </w:r>
          </w:p>
        </w:tc>
      </w:tr>
      <w:tr w:rsidR="0085792A" w:rsidRPr="0085792A" w14:paraId="5C9CF08D" w14:textId="77777777" w:rsidTr="0085792A">
        <w:trPr>
          <w:trHeight w:val="170"/>
          <w:jc w:val="center"/>
        </w:trPr>
        <w:tc>
          <w:tcPr>
            <w:tcW w:w="2552" w:type="dxa"/>
            <w:tcBorders>
              <w:top w:val="nil"/>
              <w:bottom w:val="nil"/>
              <w:right w:val="nil"/>
            </w:tcBorders>
            <w:shd w:val="clear" w:color="auto" w:fill="auto"/>
            <w:vAlign w:val="center"/>
          </w:tcPr>
          <w:p w14:paraId="639429B1"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Canadá</w:t>
            </w:r>
          </w:p>
        </w:tc>
        <w:tc>
          <w:tcPr>
            <w:tcW w:w="160" w:type="dxa"/>
            <w:tcBorders>
              <w:top w:val="nil"/>
              <w:left w:val="nil"/>
              <w:bottom w:val="nil"/>
            </w:tcBorders>
            <w:shd w:val="clear" w:color="auto" w:fill="auto"/>
            <w:vAlign w:val="center"/>
          </w:tcPr>
          <w:p w14:paraId="461066EF" w14:textId="77777777" w:rsidR="0085792A" w:rsidRPr="0085792A" w:rsidRDefault="0085792A" w:rsidP="0085792A">
            <w:pPr>
              <w:spacing w:beforeLines="20" w:before="48" w:afterLines="20" w:after="48"/>
              <w:rPr>
                <w:rFonts w:eastAsia="Times New Roman"/>
                <w:sz w:val="18"/>
                <w:szCs w:val="18"/>
                <w:lang w:val="es-ES"/>
              </w:rPr>
            </w:pPr>
          </w:p>
        </w:tc>
        <w:tc>
          <w:tcPr>
            <w:tcW w:w="1134" w:type="dxa"/>
            <w:tcBorders>
              <w:top w:val="nil"/>
              <w:bottom w:val="nil"/>
            </w:tcBorders>
            <w:shd w:val="clear" w:color="auto" w:fill="auto"/>
            <w:vAlign w:val="center"/>
          </w:tcPr>
          <w:p w14:paraId="7E49C46C"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9</w:t>
            </w:r>
          </w:p>
        </w:tc>
        <w:tc>
          <w:tcPr>
            <w:tcW w:w="1257" w:type="dxa"/>
            <w:tcBorders>
              <w:top w:val="nil"/>
              <w:bottom w:val="nil"/>
            </w:tcBorders>
            <w:shd w:val="clear" w:color="auto" w:fill="auto"/>
            <w:noWrap/>
            <w:vAlign w:val="center"/>
          </w:tcPr>
          <w:p w14:paraId="6F016F1F" w14:textId="77777777" w:rsidR="0085792A" w:rsidRPr="0085792A" w:rsidRDefault="0085792A" w:rsidP="0085792A">
            <w:pPr>
              <w:spacing w:beforeLines="20" w:before="48" w:afterLines="20" w:after="48"/>
              <w:ind w:left="297"/>
              <w:rPr>
                <w:rFonts w:eastAsia="Times New Roman"/>
                <w:sz w:val="18"/>
                <w:szCs w:val="18"/>
                <w:lang w:val="es-ES"/>
              </w:rPr>
            </w:pPr>
            <w:r w:rsidRPr="0085792A">
              <w:rPr>
                <w:rFonts w:eastAsia="Times New Roman"/>
                <w:sz w:val="18"/>
                <w:szCs w:val="18"/>
                <w:lang w:val="es-ES"/>
              </w:rPr>
              <w:t>2 463 732</w:t>
            </w:r>
          </w:p>
        </w:tc>
        <w:tc>
          <w:tcPr>
            <w:tcW w:w="1134" w:type="dxa"/>
            <w:tcBorders>
              <w:top w:val="nil"/>
              <w:bottom w:val="nil"/>
            </w:tcBorders>
            <w:shd w:val="clear" w:color="auto" w:fill="auto"/>
            <w:noWrap/>
            <w:vAlign w:val="center"/>
          </w:tcPr>
          <w:p w14:paraId="2510FD43"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10</w:t>
            </w:r>
          </w:p>
        </w:tc>
        <w:tc>
          <w:tcPr>
            <w:tcW w:w="1257" w:type="dxa"/>
            <w:tcBorders>
              <w:top w:val="nil"/>
              <w:bottom w:val="nil"/>
            </w:tcBorders>
            <w:shd w:val="clear" w:color="auto" w:fill="auto"/>
            <w:noWrap/>
            <w:vAlign w:val="center"/>
          </w:tcPr>
          <w:p w14:paraId="17D0B6B4"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2 379 806</w:t>
            </w:r>
          </w:p>
        </w:tc>
        <w:tc>
          <w:tcPr>
            <w:tcW w:w="1192" w:type="dxa"/>
            <w:tcBorders>
              <w:top w:val="nil"/>
              <w:bottom w:val="nil"/>
            </w:tcBorders>
            <w:shd w:val="clear" w:color="auto" w:fill="auto"/>
            <w:noWrap/>
            <w:vAlign w:val="center"/>
          </w:tcPr>
          <w:p w14:paraId="3CFDD62E" w14:textId="77777777" w:rsidR="0085792A" w:rsidRPr="0085792A" w:rsidRDefault="0085792A" w:rsidP="00D1555E">
            <w:pPr>
              <w:spacing w:before="20" w:after="20"/>
              <w:ind w:right="397"/>
              <w:jc w:val="right"/>
              <w:rPr>
                <w:rFonts w:eastAsia="Times New Roman"/>
                <w:sz w:val="18"/>
                <w:szCs w:val="18"/>
                <w:lang w:val="es-ES"/>
              </w:rPr>
            </w:pPr>
            <w:r w:rsidRPr="0085792A">
              <w:rPr>
                <w:rFonts w:eastAsia="Times New Roman"/>
                <w:sz w:val="18"/>
                <w:szCs w:val="18"/>
                <w:lang w:val="es-ES"/>
              </w:rPr>
              <w:t>10</w:t>
            </w:r>
          </w:p>
        </w:tc>
        <w:tc>
          <w:tcPr>
            <w:tcW w:w="1237" w:type="dxa"/>
            <w:tcBorders>
              <w:top w:val="nil"/>
              <w:bottom w:val="nil"/>
            </w:tcBorders>
            <w:shd w:val="clear" w:color="auto" w:fill="auto"/>
            <w:vAlign w:val="center"/>
          </w:tcPr>
          <w:p w14:paraId="710E84CA"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2 393 890</w:t>
            </w:r>
          </w:p>
        </w:tc>
        <w:tc>
          <w:tcPr>
            <w:tcW w:w="987" w:type="dxa"/>
            <w:tcBorders>
              <w:top w:val="nil"/>
              <w:bottom w:val="nil"/>
            </w:tcBorders>
            <w:shd w:val="clear" w:color="auto" w:fill="auto"/>
            <w:vAlign w:val="center"/>
          </w:tcPr>
          <w:p w14:paraId="550930AB"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0.6</w:t>
            </w:r>
          </w:p>
        </w:tc>
      </w:tr>
      <w:tr w:rsidR="0085792A" w:rsidRPr="0085792A" w14:paraId="37DF8C09" w14:textId="77777777" w:rsidTr="0085792A">
        <w:trPr>
          <w:trHeight w:val="170"/>
          <w:jc w:val="center"/>
        </w:trPr>
        <w:tc>
          <w:tcPr>
            <w:tcW w:w="2712" w:type="dxa"/>
            <w:gridSpan w:val="2"/>
            <w:tcBorders>
              <w:top w:val="nil"/>
              <w:bottom w:val="single" w:sz="6" w:space="0" w:color="auto"/>
            </w:tcBorders>
            <w:shd w:val="clear" w:color="auto" w:fill="auto"/>
            <w:vAlign w:val="center"/>
          </w:tcPr>
          <w:p w14:paraId="0BC548A9" w14:textId="77777777" w:rsidR="0085792A" w:rsidRPr="0085792A" w:rsidRDefault="0085792A" w:rsidP="0085792A">
            <w:pPr>
              <w:spacing w:beforeLines="20" w:before="48" w:afterLines="20" w:after="48"/>
              <w:rPr>
                <w:rFonts w:eastAsia="Times New Roman"/>
                <w:sz w:val="18"/>
                <w:szCs w:val="18"/>
                <w:lang w:val="es-ES"/>
              </w:rPr>
            </w:pPr>
            <w:r w:rsidRPr="0085792A">
              <w:rPr>
                <w:rFonts w:eastAsia="Times New Roman"/>
                <w:sz w:val="18"/>
                <w:szCs w:val="18"/>
                <w:lang w:val="es-ES"/>
              </w:rPr>
              <w:t>Otros países</w:t>
            </w:r>
          </w:p>
        </w:tc>
        <w:tc>
          <w:tcPr>
            <w:tcW w:w="1134" w:type="dxa"/>
            <w:tcBorders>
              <w:top w:val="nil"/>
              <w:bottom w:val="single" w:sz="6" w:space="0" w:color="auto"/>
            </w:tcBorders>
            <w:shd w:val="clear" w:color="auto" w:fill="auto"/>
            <w:vAlign w:val="center"/>
          </w:tcPr>
          <w:p w14:paraId="2A814367" w14:textId="77777777" w:rsidR="0085792A" w:rsidRPr="0085792A" w:rsidRDefault="0085792A" w:rsidP="0085792A">
            <w:pPr>
              <w:spacing w:before="20" w:after="20"/>
              <w:rPr>
                <w:rFonts w:eastAsia="Times New Roman"/>
                <w:sz w:val="18"/>
                <w:szCs w:val="18"/>
                <w:lang w:val="es-ES"/>
              </w:rPr>
            </w:pPr>
          </w:p>
        </w:tc>
        <w:tc>
          <w:tcPr>
            <w:tcW w:w="1257" w:type="dxa"/>
            <w:tcBorders>
              <w:top w:val="nil"/>
              <w:bottom w:val="single" w:sz="6" w:space="0" w:color="auto"/>
            </w:tcBorders>
            <w:shd w:val="clear" w:color="auto" w:fill="auto"/>
            <w:noWrap/>
            <w:vAlign w:val="center"/>
          </w:tcPr>
          <w:p w14:paraId="3C038F40" w14:textId="77777777" w:rsidR="0085792A" w:rsidRPr="0085792A" w:rsidRDefault="0085792A" w:rsidP="0085792A">
            <w:pPr>
              <w:spacing w:beforeLines="20" w:before="48" w:afterLines="20" w:after="48"/>
              <w:ind w:left="195"/>
              <w:rPr>
                <w:rFonts w:eastAsia="Times New Roman"/>
                <w:sz w:val="18"/>
                <w:szCs w:val="18"/>
                <w:lang w:val="es-ES"/>
              </w:rPr>
            </w:pPr>
            <w:r w:rsidRPr="0085792A">
              <w:rPr>
                <w:rFonts w:eastAsia="Times New Roman"/>
                <w:sz w:val="18"/>
                <w:szCs w:val="18"/>
                <w:lang w:val="es-ES"/>
              </w:rPr>
              <w:t>19 831 519</w:t>
            </w:r>
          </w:p>
        </w:tc>
        <w:tc>
          <w:tcPr>
            <w:tcW w:w="1134" w:type="dxa"/>
            <w:tcBorders>
              <w:top w:val="nil"/>
              <w:bottom w:val="single" w:sz="6" w:space="0" w:color="auto"/>
            </w:tcBorders>
            <w:shd w:val="clear" w:color="auto" w:fill="auto"/>
            <w:noWrap/>
            <w:vAlign w:val="center"/>
          </w:tcPr>
          <w:p w14:paraId="6F9B5301" w14:textId="77777777" w:rsidR="0085792A" w:rsidRPr="0085792A" w:rsidRDefault="0085792A" w:rsidP="0085792A">
            <w:pPr>
              <w:spacing w:before="20" w:after="20"/>
              <w:ind w:right="170"/>
              <w:jc w:val="right"/>
              <w:rPr>
                <w:rFonts w:eastAsia="Times New Roman"/>
                <w:sz w:val="18"/>
                <w:szCs w:val="18"/>
                <w:lang w:val="es-ES"/>
              </w:rPr>
            </w:pPr>
          </w:p>
        </w:tc>
        <w:tc>
          <w:tcPr>
            <w:tcW w:w="1257" w:type="dxa"/>
            <w:tcBorders>
              <w:top w:val="nil"/>
              <w:bottom w:val="single" w:sz="6" w:space="0" w:color="auto"/>
            </w:tcBorders>
            <w:shd w:val="clear" w:color="auto" w:fill="auto"/>
            <w:noWrap/>
            <w:vAlign w:val="center"/>
          </w:tcPr>
          <w:p w14:paraId="34CC3584" w14:textId="77777777" w:rsidR="0085792A" w:rsidRPr="0085792A" w:rsidRDefault="0085792A" w:rsidP="0085792A">
            <w:pPr>
              <w:spacing w:before="20" w:after="20"/>
              <w:ind w:right="170"/>
              <w:jc w:val="right"/>
              <w:rPr>
                <w:rFonts w:eastAsia="Times New Roman"/>
                <w:sz w:val="18"/>
                <w:szCs w:val="18"/>
                <w:lang w:val="es-ES"/>
              </w:rPr>
            </w:pPr>
            <w:r w:rsidRPr="0085792A">
              <w:rPr>
                <w:rFonts w:eastAsia="Times New Roman"/>
                <w:sz w:val="18"/>
                <w:szCs w:val="18"/>
                <w:lang w:val="es-ES"/>
              </w:rPr>
              <w:t>19 396 551</w:t>
            </w:r>
          </w:p>
        </w:tc>
        <w:tc>
          <w:tcPr>
            <w:tcW w:w="1192" w:type="dxa"/>
            <w:tcBorders>
              <w:top w:val="nil"/>
              <w:bottom w:val="single" w:sz="6" w:space="0" w:color="auto"/>
            </w:tcBorders>
            <w:shd w:val="clear" w:color="auto" w:fill="auto"/>
            <w:noWrap/>
            <w:vAlign w:val="center"/>
          </w:tcPr>
          <w:p w14:paraId="192DCF04" w14:textId="77777777" w:rsidR="0085792A" w:rsidRPr="0085792A" w:rsidRDefault="0085792A" w:rsidP="0085792A">
            <w:pPr>
              <w:spacing w:before="20" w:after="20"/>
              <w:ind w:right="170"/>
              <w:jc w:val="right"/>
              <w:rPr>
                <w:rFonts w:eastAsia="Times New Roman"/>
                <w:sz w:val="18"/>
                <w:szCs w:val="18"/>
                <w:lang w:val="es-ES"/>
              </w:rPr>
            </w:pPr>
          </w:p>
        </w:tc>
        <w:tc>
          <w:tcPr>
            <w:tcW w:w="1237" w:type="dxa"/>
            <w:tcBorders>
              <w:top w:val="nil"/>
              <w:bottom w:val="single" w:sz="6" w:space="0" w:color="auto"/>
            </w:tcBorders>
            <w:shd w:val="clear" w:color="auto" w:fill="auto"/>
            <w:vAlign w:val="center"/>
          </w:tcPr>
          <w:p w14:paraId="0D6B7990" w14:textId="77777777" w:rsidR="0085792A" w:rsidRPr="0085792A" w:rsidRDefault="0085792A" w:rsidP="0085792A">
            <w:pPr>
              <w:spacing w:before="20" w:after="20"/>
              <w:ind w:left="34" w:right="113"/>
              <w:jc w:val="right"/>
              <w:rPr>
                <w:rFonts w:eastAsia="Times New Roman"/>
                <w:sz w:val="18"/>
                <w:szCs w:val="18"/>
                <w:lang w:val="es-ES"/>
              </w:rPr>
            </w:pPr>
            <w:r w:rsidRPr="0085792A">
              <w:rPr>
                <w:rFonts w:eastAsia="Times New Roman"/>
                <w:sz w:val="18"/>
                <w:szCs w:val="18"/>
                <w:lang w:val="es-ES"/>
              </w:rPr>
              <w:t>19 390 810</w:t>
            </w:r>
          </w:p>
        </w:tc>
        <w:tc>
          <w:tcPr>
            <w:tcW w:w="987" w:type="dxa"/>
            <w:tcBorders>
              <w:top w:val="nil"/>
              <w:bottom w:val="single" w:sz="6" w:space="0" w:color="auto"/>
            </w:tcBorders>
            <w:shd w:val="clear" w:color="auto" w:fill="auto"/>
            <w:vAlign w:val="center"/>
          </w:tcPr>
          <w:p w14:paraId="6F234A1F" w14:textId="77777777" w:rsidR="0085792A" w:rsidRPr="0085792A" w:rsidRDefault="0085792A" w:rsidP="0085792A">
            <w:pPr>
              <w:spacing w:before="20" w:after="20"/>
              <w:ind w:right="227"/>
              <w:jc w:val="right"/>
              <w:rPr>
                <w:rFonts w:eastAsia="Times New Roman"/>
                <w:sz w:val="18"/>
                <w:szCs w:val="18"/>
                <w:lang w:val="es-ES"/>
              </w:rPr>
            </w:pPr>
            <w:r w:rsidRPr="0085792A">
              <w:rPr>
                <w:rFonts w:eastAsia="Times New Roman"/>
                <w:sz w:val="18"/>
                <w:szCs w:val="18"/>
                <w:lang w:val="es-ES"/>
              </w:rPr>
              <w:t>0.0</w:t>
            </w:r>
          </w:p>
        </w:tc>
      </w:tr>
      <w:tr w:rsidR="0085792A" w:rsidRPr="0085792A" w14:paraId="246EDAC9" w14:textId="77777777" w:rsidTr="0085792A">
        <w:trPr>
          <w:trHeight w:val="227"/>
          <w:jc w:val="center"/>
        </w:trPr>
        <w:tc>
          <w:tcPr>
            <w:tcW w:w="2712" w:type="dxa"/>
            <w:gridSpan w:val="2"/>
            <w:tcBorders>
              <w:top w:val="single" w:sz="6" w:space="0" w:color="auto"/>
              <w:bottom w:val="single" w:sz="8" w:space="0" w:color="auto"/>
            </w:tcBorders>
            <w:shd w:val="clear" w:color="auto" w:fill="auto"/>
            <w:vAlign w:val="center"/>
          </w:tcPr>
          <w:p w14:paraId="160C0A04"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Producción Mundial</w:t>
            </w:r>
          </w:p>
        </w:tc>
        <w:tc>
          <w:tcPr>
            <w:tcW w:w="1134" w:type="dxa"/>
            <w:tcBorders>
              <w:top w:val="single" w:sz="6" w:space="0" w:color="auto"/>
              <w:bottom w:val="single" w:sz="8" w:space="0" w:color="auto"/>
            </w:tcBorders>
            <w:shd w:val="clear" w:color="auto" w:fill="auto"/>
            <w:vAlign w:val="center"/>
          </w:tcPr>
          <w:p w14:paraId="66E8FFA3" w14:textId="77777777" w:rsidR="0085792A" w:rsidRPr="0085792A" w:rsidRDefault="0085792A" w:rsidP="0085792A">
            <w:pPr>
              <w:spacing w:before="20" w:after="20"/>
              <w:jc w:val="center"/>
              <w:rPr>
                <w:rFonts w:eastAsia="Times New Roman"/>
                <w:b/>
                <w:sz w:val="18"/>
                <w:szCs w:val="18"/>
                <w:lang w:val="es-ES"/>
              </w:rPr>
            </w:pPr>
          </w:p>
        </w:tc>
        <w:tc>
          <w:tcPr>
            <w:tcW w:w="1257" w:type="dxa"/>
            <w:tcBorders>
              <w:top w:val="single" w:sz="6" w:space="0" w:color="auto"/>
              <w:bottom w:val="single" w:sz="8" w:space="0" w:color="auto"/>
            </w:tcBorders>
            <w:shd w:val="clear" w:color="auto" w:fill="auto"/>
            <w:vAlign w:val="center"/>
          </w:tcPr>
          <w:p w14:paraId="13A3F54C" w14:textId="77777777" w:rsidR="0085792A" w:rsidRPr="0085792A" w:rsidRDefault="0085792A" w:rsidP="0085792A">
            <w:pPr>
              <w:spacing w:before="20" w:after="20"/>
              <w:jc w:val="center"/>
              <w:rPr>
                <w:rFonts w:eastAsia="Times New Roman"/>
                <w:b/>
                <w:sz w:val="18"/>
                <w:szCs w:val="18"/>
                <w:lang w:val="es-ES"/>
              </w:rPr>
            </w:pPr>
            <w:r w:rsidRPr="0085792A">
              <w:rPr>
                <w:rFonts w:eastAsia="Times New Roman"/>
                <w:b/>
                <w:sz w:val="18"/>
                <w:szCs w:val="18"/>
                <w:lang w:val="es-ES"/>
              </w:rPr>
              <w:t>84 518 653</w:t>
            </w:r>
          </w:p>
        </w:tc>
        <w:tc>
          <w:tcPr>
            <w:tcW w:w="1134" w:type="dxa"/>
            <w:tcBorders>
              <w:top w:val="single" w:sz="6" w:space="0" w:color="auto"/>
              <w:bottom w:val="single" w:sz="8" w:space="0" w:color="auto"/>
            </w:tcBorders>
            <w:shd w:val="clear" w:color="auto" w:fill="auto"/>
            <w:noWrap/>
            <w:vAlign w:val="center"/>
          </w:tcPr>
          <w:p w14:paraId="1406195D" w14:textId="77777777" w:rsidR="0085792A" w:rsidRPr="0085792A" w:rsidRDefault="0085792A" w:rsidP="0085792A">
            <w:pPr>
              <w:spacing w:before="20" w:after="20"/>
              <w:ind w:right="170"/>
              <w:jc w:val="right"/>
              <w:rPr>
                <w:rFonts w:eastAsia="Times New Roman"/>
                <w:b/>
                <w:sz w:val="18"/>
                <w:szCs w:val="18"/>
                <w:lang w:val="es-ES"/>
              </w:rPr>
            </w:pPr>
          </w:p>
        </w:tc>
        <w:tc>
          <w:tcPr>
            <w:tcW w:w="1257" w:type="dxa"/>
            <w:tcBorders>
              <w:top w:val="single" w:sz="6" w:space="0" w:color="auto"/>
              <w:bottom w:val="single" w:sz="8" w:space="0" w:color="auto"/>
            </w:tcBorders>
            <w:shd w:val="clear" w:color="auto" w:fill="auto"/>
            <w:noWrap/>
            <w:vAlign w:val="center"/>
          </w:tcPr>
          <w:p w14:paraId="4907B377"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87 645 894</w:t>
            </w:r>
          </w:p>
        </w:tc>
        <w:tc>
          <w:tcPr>
            <w:tcW w:w="1192" w:type="dxa"/>
            <w:tcBorders>
              <w:top w:val="single" w:sz="6" w:space="0" w:color="auto"/>
              <w:bottom w:val="single" w:sz="8" w:space="0" w:color="auto"/>
            </w:tcBorders>
            <w:shd w:val="clear" w:color="auto" w:fill="auto"/>
            <w:noWrap/>
            <w:vAlign w:val="center"/>
          </w:tcPr>
          <w:p w14:paraId="477CBC4A" w14:textId="77777777" w:rsidR="0085792A" w:rsidRPr="0085792A" w:rsidRDefault="0085792A" w:rsidP="0085792A">
            <w:pPr>
              <w:spacing w:before="20" w:after="20"/>
              <w:ind w:right="170"/>
              <w:jc w:val="right"/>
              <w:rPr>
                <w:rFonts w:eastAsia="Times New Roman"/>
                <w:b/>
                <w:sz w:val="18"/>
                <w:szCs w:val="18"/>
                <w:lang w:val="es-ES"/>
              </w:rPr>
            </w:pPr>
          </w:p>
        </w:tc>
        <w:tc>
          <w:tcPr>
            <w:tcW w:w="1237" w:type="dxa"/>
            <w:tcBorders>
              <w:top w:val="single" w:sz="6" w:space="0" w:color="auto"/>
              <w:bottom w:val="single" w:sz="8" w:space="0" w:color="auto"/>
            </w:tcBorders>
            <w:shd w:val="clear" w:color="auto" w:fill="auto"/>
            <w:vAlign w:val="center"/>
          </w:tcPr>
          <w:p w14:paraId="1750377B" w14:textId="77777777" w:rsidR="0085792A" w:rsidRPr="0085792A" w:rsidRDefault="0085792A" w:rsidP="0085792A">
            <w:pPr>
              <w:spacing w:before="20" w:after="20"/>
              <w:ind w:right="170"/>
              <w:jc w:val="right"/>
              <w:rPr>
                <w:rFonts w:eastAsia="Times New Roman"/>
                <w:b/>
                <w:sz w:val="18"/>
                <w:szCs w:val="18"/>
                <w:lang w:val="es-ES"/>
              </w:rPr>
            </w:pPr>
            <w:r w:rsidRPr="0085792A">
              <w:rPr>
                <w:rFonts w:eastAsia="Times New Roman"/>
                <w:b/>
                <w:sz w:val="18"/>
                <w:szCs w:val="18"/>
                <w:lang w:val="es-ES"/>
              </w:rPr>
              <w:t>90 129 889</w:t>
            </w:r>
          </w:p>
        </w:tc>
        <w:tc>
          <w:tcPr>
            <w:tcW w:w="987" w:type="dxa"/>
            <w:tcBorders>
              <w:top w:val="single" w:sz="6" w:space="0" w:color="auto"/>
              <w:bottom w:val="single" w:sz="8" w:space="0" w:color="auto"/>
            </w:tcBorders>
            <w:shd w:val="clear" w:color="auto" w:fill="auto"/>
            <w:vAlign w:val="center"/>
          </w:tcPr>
          <w:p w14:paraId="7B6D1FEE" w14:textId="77777777" w:rsidR="0085792A" w:rsidRPr="0085792A" w:rsidRDefault="0085792A" w:rsidP="0085792A">
            <w:pPr>
              <w:spacing w:before="20" w:after="20"/>
              <w:ind w:right="227"/>
              <w:jc w:val="right"/>
              <w:rPr>
                <w:rFonts w:eastAsia="Times New Roman"/>
                <w:b/>
                <w:sz w:val="18"/>
                <w:szCs w:val="18"/>
                <w:lang w:val="es-ES"/>
              </w:rPr>
            </w:pPr>
            <w:r w:rsidRPr="0085792A">
              <w:rPr>
                <w:rFonts w:eastAsia="Times New Roman"/>
                <w:b/>
                <w:sz w:val="18"/>
                <w:szCs w:val="18"/>
                <w:lang w:val="es-ES"/>
              </w:rPr>
              <w:t>2.8</w:t>
            </w:r>
          </w:p>
        </w:tc>
      </w:tr>
      <w:tr w:rsidR="0085792A" w:rsidRPr="0085792A" w14:paraId="77BC0BC6" w14:textId="77777777" w:rsidTr="0085792A">
        <w:trPr>
          <w:trHeight w:val="227"/>
          <w:jc w:val="center"/>
        </w:trPr>
        <w:tc>
          <w:tcPr>
            <w:tcW w:w="10910" w:type="dxa"/>
            <w:gridSpan w:val="9"/>
            <w:tcBorders>
              <w:left w:val="nil"/>
              <w:bottom w:val="nil"/>
              <w:right w:val="nil"/>
            </w:tcBorders>
            <w:shd w:val="clear" w:color="auto" w:fill="auto"/>
          </w:tcPr>
          <w:p w14:paraId="4BCC0518" w14:textId="77777777" w:rsidR="0085792A" w:rsidRPr="0085792A" w:rsidRDefault="0085792A" w:rsidP="0085792A">
            <w:pPr>
              <w:jc w:val="both"/>
              <w:rPr>
                <w:rFonts w:eastAsia="Times New Roman"/>
                <w:bCs/>
                <w:sz w:val="20"/>
                <w:szCs w:val="20"/>
                <w:lang w:val="es-ES"/>
              </w:rPr>
            </w:pPr>
            <w:r w:rsidRPr="0085792A">
              <w:rPr>
                <w:rFonts w:eastAsia="Times New Roman"/>
                <w:bCs/>
                <w:sz w:val="20"/>
                <w:szCs w:val="20"/>
                <w:lang w:val="es-ES"/>
              </w:rPr>
              <w:t>Datos en unidades e incluye vehículos pesados.</w:t>
            </w:r>
          </w:p>
          <w:p w14:paraId="6CEC4CC6" w14:textId="77777777" w:rsidR="0085792A" w:rsidRPr="0085792A" w:rsidRDefault="0085792A" w:rsidP="0085792A">
            <w:pPr>
              <w:jc w:val="both"/>
              <w:rPr>
                <w:rFonts w:eastAsia="Times New Roman"/>
                <w:bCs/>
                <w:sz w:val="20"/>
                <w:szCs w:val="20"/>
                <w:lang w:val="es-ES"/>
              </w:rPr>
            </w:pPr>
            <w:r w:rsidRPr="0085792A">
              <w:rPr>
                <w:rFonts w:eastAsia="Times New Roman"/>
                <w:bCs/>
                <w:sz w:val="20"/>
                <w:szCs w:val="20"/>
                <w:u w:val="single"/>
                <w:lang w:val="es-ES"/>
              </w:rPr>
              <w:t>a</w:t>
            </w:r>
            <w:r w:rsidRPr="0085792A">
              <w:rPr>
                <w:rFonts w:eastAsia="Times New Roman"/>
                <w:bCs/>
                <w:sz w:val="20"/>
                <w:szCs w:val="20"/>
                <w:lang w:val="es-ES"/>
              </w:rPr>
              <w:t>/ Para la determinación del Ranking se toma como base la producción de 2014.</w:t>
            </w:r>
          </w:p>
          <w:p w14:paraId="404A26B7" w14:textId="5DA27061" w:rsidR="0085792A" w:rsidRPr="0085792A" w:rsidRDefault="0085792A" w:rsidP="00EA1874">
            <w:pPr>
              <w:jc w:val="both"/>
              <w:rPr>
                <w:rFonts w:eastAsia="Times New Roman"/>
                <w:b/>
                <w:sz w:val="18"/>
                <w:szCs w:val="18"/>
                <w:lang w:val="es-ES"/>
              </w:rPr>
            </w:pPr>
            <w:r w:rsidRPr="0085792A">
              <w:rPr>
                <w:rFonts w:eastAsia="Times New Roman"/>
                <w:bCs/>
                <w:sz w:val="20"/>
                <w:szCs w:val="20"/>
                <w:lang w:val="es-ES"/>
              </w:rPr>
              <w:t>FUENTE: OICA, con datos de sus asociados.</w:t>
            </w:r>
          </w:p>
        </w:tc>
      </w:tr>
    </w:tbl>
    <w:p w14:paraId="041CAE35" w14:textId="77777777" w:rsidR="0085792A" w:rsidRPr="0085792A" w:rsidRDefault="0085792A" w:rsidP="0085792A">
      <w:pPr>
        <w:spacing w:after="360" w:line="360" w:lineRule="auto"/>
        <w:ind w:right="-159"/>
        <w:jc w:val="both"/>
        <w:rPr>
          <w:rFonts w:eastAsia="Times New Roman"/>
          <w:sz w:val="26"/>
          <w:szCs w:val="26"/>
          <w:highlight w:val="yellow"/>
          <w:lang w:val="es-ES"/>
        </w:rPr>
      </w:pPr>
    </w:p>
    <w:p w14:paraId="5B53E3B8" w14:textId="77777777" w:rsidR="0085792A" w:rsidRPr="0085792A" w:rsidRDefault="0085792A" w:rsidP="0085792A">
      <w:pPr>
        <w:spacing w:before="360"/>
        <w:ind w:right="-159"/>
        <w:jc w:val="both"/>
        <w:rPr>
          <w:rFonts w:eastAsia="Times New Roman"/>
          <w:b/>
          <w:sz w:val="20"/>
          <w:szCs w:val="20"/>
        </w:rPr>
      </w:pPr>
      <w:r w:rsidRPr="0085792A">
        <w:rPr>
          <w:rFonts w:eastAsia="Times New Roman"/>
          <w:b/>
          <w:sz w:val="20"/>
          <w:szCs w:val="20"/>
        </w:rPr>
        <w:t>Fuente de información:</w:t>
      </w:r>
    </w:p>
    <w:p w14:paraId="3C53FA16" w14:textId="77777777" w:rsidR="0085792A" w:rsidRPr="004337CD" w:rsidRDefault="0045651A" w:rsidP="004337CD">
      <w:pPr>
        <w:spacing w:after="720"/>
        <w:ind w:right="-159"/>
        <w:jc w:val="both"/>
        <w:rPr>
          <w:rFonts w:eastAsia="Times New Roman"/>
          <w:color w:val="0000FF"/>
          <w:sz w:val="20"/>
          <w:szCs w:val="20"/>
        </w:rPr>
      </w:pPr>
      <w:hyperlink r:id="rId152" w:history="1">
        <w:r w:rsidR="0085792A" w:rsidRPr="004337CD">
          <w:rPr>
            <w:rFonts w:eastAsia="Times New Roman"/>
            <w:color w:val="0000FF"/>
            <w:sz w:val="20"/>
            <w:szCs w:val="20"/>
            <w:u w:val="single"/>
          </w:rPr>
          <w:t>http://www.amia.com.mx/</w:t>
        </w:r>
      </w:hyperlink>
    </w:p>
    <w:p w14:paraId="6DE9BC28" w14:textId="77777777" w:rsidR="000D27AC" w:rsidRPr="000D27AC" w:rsidRDefault="000D27AC" w:rsidP="000D27AC">
      <w:pPr>
        <w:ind w:right="-159"/>
        <w:jc w:val="both"/>
        <w:rPr>
          <w:rFonts w:eastAsia="Calibri"/>
          <w:b/>
          <w:bCs/>
          <w:sz w:val="26"/>
          <w:szCs w:val="26"/>
          <w:lang w:eastAsia="en-US"/>
        </w:rPr>
      </w:pPr>
      <w:r w:rsidRPr="000D27AC">
        <w:rPr>
          <w:rFonts w:eastAsia="Calibri"/>
          <w:b/>
          <w:bCs/>
          <w:sz w:val="26"/>
          <w:szCs w:val="26"/>
          <w:lang w:eastAsia="en-US"/>
        </w:rPr>
        <w:t>Anuncian ventas de marzo de 2015 y ventas totales</w:t>
      </w:r>
    </w:p>
    <w:p w14:paraId="3AE44471" w14:textId="77777777" w:rsidR="000D27AC" w:rsidRPr="000D27AC" w:rsidRDefault="000D27AC" w:rsidP="000D27AC">
      <w:pPr>
        <w:spacing w:after="360" w:line="360" w:lineRule="auto"/>
        <w:ind w:right="-159"/>
        <w:jc w:val="both"/>
        <w:rPr>
          <w:rFonts w:eastAsia="Calibri"/>
          <w:b/>
          <w:sz w:val="26"/>
          <w:szCs w:val="26"/>
          <w:lang w:eastAsia="en-US"/>
        </w:rPr>
      </w:pPr>
      <w:r w:rsidRPr="000D27AC">
        <w:rPr>
          <w:rFonts w:eastAsia="Calibri"/>
          <w:b/>
          <w:bCs/>
          <w:sz w:val="26"/>
          <w:szCs w:val="26"/>
          <w:lang w:eastAsia="en-US"/>
        </w:rPr>
        <w:t xml:space="preserve">de su año fiscal 2014 en México </w:t>
      </w:r>
      <w:r w:rsidRPr="000D27AC">
        <w:rPr>
          <w:rFonts w:eastAsia="Calibri"/>
          <w:b/>
          <w:sz w:val="26"/>
          <w:szCs w:val="26"/>
          <w:lang w:eastAsia="en-US"/>
        </w:rPr>
        <w:t>(</w:t>
      </w:r>
      <w:r w:rsidRPr="000D27AC">
        <w:rPr>
          <w:rFonts w:eastAsia="Calibri"/>
          <w:b/>
          <w:bCs/>
          <w:sz w:val="26"/>
          <w:szCs w:val="26"/>
          <w:lang w:eastAsia="en-US"/>
        </w:rPr>
        <w:t>Nissan</w:t>
      </w:r>
      <w:r w:rsidRPr="000D27AC">
        <w:rPr>
          <w:rFonts w:eastAsia="Calibri"/>
          <w:b/>
          <w:sz w:val="26"/>
          <w:szCs w:val="26"/>
          <w:lang w:eastAsia="en-US"/>
        </w:rPr>
        <w:t>)</w:t>
      </w:r>
    </w:p>
    <w:p w14:paraId="62226AE8" w14:textId="7777777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 xml:space="preserve">El 8 de abril de 2015, Nissan anunció ventas de marzo de 2015 y ventas totales de su año fiscal 2014 en México.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528"/>
        <w:gridCol w:w="772"/>
        <w:gridCol w:w="772"/>
        <w:gridCol w:w="1147"/>
      </w:tblGrid>
      <w:tr w:rsidR="000D27AC" w:rsidRPr="000D27AC" w14:paraId="721A4A89" w14:textId="77777777" w:rsidTr="00D97E73">
        <w:trPr>
          <w:jc w:val="center"/>
        </w:trPr>
        <w:tc>
          <w:tcPr>
            <w:tcW w:w="5488" w:type="dxa"/>
            <w:vAlign w:val="center"/>
          </w:tcPr>
          <w:p w14:paraId="5D6C2789" w14:textId="77777777" w:rsidR="000D27AC" w:rsidRPr="000D27AC" w:rsidRDefault="000D27AC" w:rsidP="00D97E73">
            <w:pPr>
              <w:jc w:val="center"/>
              <w:rPr>
                <w:rFonts w:eastAsia="Calibri"/>
                <w:sz w:val="20"/>
                <w:szCs w:val="20"/>
                <w:lang w:eastAsia="en-US"/>
              </w:rPr>
            </w:pPr>
            <w:r w:rsidRPr="000D27AC">
              <w:rPr>
                <w:rFonts w:eastAsia="Calibri"/>
                <w:b/>
                <w:bCs/>
                <w:sz w:val="20"/>
                <w:szCs w:val="20"/>
                <w:lang w:eastAsia="en-US"/>
              </w:rPr>
              <w:t>Total ventas marzo (unidades)</w:t>
            </w:r>
          </w:p>
        </w:tc>
        <w:tc>
          <w:tcPr>
            <w:tcW w:w="0" w:type="auto"/>
            <w:vAlign w:val="center"/>
          </w:tcPr>
          <w:p w14:paraId="1935AA22" w14:textId="77777777" w:rsidR="000D27AC" w:rsidRPr="000D27AC" w:rsidRDefault="000D27AC" w:rsidP="000D27AC">
            <w:pPr>
              <w:jc w:val="center"/>
              <w:rPr>
                <w:rFonts w:eastAsia="Calibri"/>
                <w:b/>
                <w:sz w:val="20"/>
                <w:szCs w:val="20"/>
                <w:lang w:eastAsia="en-US"/>
              </w:rPr>
            </w:pPr>
            <w:r w:rsidRPr="000D27AC">
              <w:rPr>
                <w:rFonts w:eastAsia="Calibri"/>
                <w:b/>
                <w:sz w:val="20"/>
                <w:szCs w:val="20"/>
                <w:lang w:eastAsia="en-US"/>
              </w:rPr>
              <w:t>2015</w:t>
            </w:r>
          </w:p>
        </w:tc>
        <w:tc>
          <w:tcPr>
            <w:tcW w:w="0" w:type="auto"/>
            <w:vAlign w:val="center"/>
          </w:tcPr>
          <w:p w14:paraId="3ACC9B64" w14:textId="77777777" w:rsidR="000D27AC" w:rsidRPr="000D27AC" w:rsidRDefault="000D27AC" w:rsidP="000D27AC">
            <w:pPr>
              <w:jc w:val="center"/>
              <w:rPr>
                <w:rFonts w:eastAsia="Calibri"/>
                <w:b/>
                <w:sz w:val="20"/>
                <w:szCs w:val="20"/>
                <w:lang w:eastAsia="en-US"/>
              </w:rPr>
            </w:pPr>
            <w:r w:rsidRPr="000D27AC">
              <w:rPr>
                <w:rFonts w:eastAsia="Calibri"/>
                <w:b/>
                <w:sz w:val="20"/>
                <w:szCs w:val="20"/>
                <w:lang w:eastAsia="en-US"/>
              </w:rPr>
              <w:t>2014</w:t>
            </w:r>
          </w:p>
        </w:tc>
        <w:tc>
          <w:tcPr>
            <w:tcW w:w="1127" w:type="dxa"/>
            <w:vAlign w:val="center"/>
          </w:tcPr>
          <w:p w14:paraId="56721847" w14:textId="162238F3" w:rsidR="000D27AC" w:rsidRPr="000D27AC" w:rsidRDefault="000D27AC" w:rsidP="00EA1874">
            <w:pPr>
              <w:jc w:val="center"/>
              <w:rPr>
                <w:rFonts w:eastAsia="Calibri"/>
                <w:b/>
                <w:sz w:val="20"/>
                <w:szCs w:val="20"/>
                <w:lang w:eastAsia="en-US"/>
              </w:rPr>
            </w:pPr>
            <w:r w:rsidRPr="000D27AC">
              <w:rPr>
                <w:rFonts w:eastAsia="Calibri"/>
                <w:b/>
                <w:sz w:val="20"/>
                <w:szCs w:val="20"/>
                <w:lang w:eastAsia="en-US"/>
              </w:rPr>
              <w:t xml:space="preserve">Cambio </w:t>
            </w:r>
            <w:r w:rsidR="00EA1874">
              <w:rPr>
                <w:rFonts w:eastAsia="Calibri"/>
                <w:b/>
                <w:sz w:val="20"/>
                <w:szCs w:val="20"/>
                <w:lang w:eastAsia="en-US"/>
              </w:rPr>
              <w:t>porcentual</w:t>
            </w:r>
          </w:p>
        </w:tc>
      </w:tr>
      <w:tr w:rsidR="000D27AC" w:rsidRPr="000D27AC" w14:paraId="2E2438F9" w14:textId="77777777" w:rsidTr="000D27AC">
        <w:trPr>
          <w:jc w:val="center"/>
        </w:trPr>
        <w:tc>
          <w:tcPr>
            <w:tcW w:w="5488" w:type="dxa"/>
            <w:tcBorders>
              <w:bottom w:val="single" w:sz="2" w:space="0" w:color="auto"/>
            </w:tcBorders>
          </w:tcPr>
          <w:p w14:paraId="75AA5570" w14:textId="7BD658B6" w:rsidR="000D27AC" w:rsidRPr="000D27AC" w:rsidRDefault="000D27AC" w:rsidP="00EA1874">
            <w:pPr>
              <w:jc w:val="both"/>
              <w:rPr>
                <w:rFonts w:eastAsia="Calibri"/>
                <w:sz w:val="20"/>
                <w:szCs w:val="20"/>
                <w:lang w:eastAsia="en-US"/>
              </w:rPr>
            </w:pPr>
            <w:r w:rsidRPr="000D27AC">
              <w:rPr>
                <w:rFonts w:eastAsia="Calibri"/>
                <w:sz w:val="20"/>
                <w:szCs w:val="20"/>
                <w:lang w:eastAsia="en-US"/>
              </w:rPr>
              <w:t>Ventas de Nissan en marzo</w:t>
            </w:r>
          </w:p>
        </w:tc>
        <w:tc>
          <w:tcPr>
            <w:tcW w:w="0" w:type="auto"/>
            <w:tcBorders>
              <w:bottom w:val="single" w:sz="2" w:space="0" w:color="auto"/>
            </w:tcBorders>
          </w:tcPr>
          <w:p w14:paraId="229CAAA4" w14:textId="77777777" w:rsidR="000D27AC" w:rsidRPr="000D27AC" w:rsidRDefault="000D27AC" w:rsidP="000D27AC">
            <w:pPr>
              <w:jc w:val="right"/>
              <w:rPr>
                <w:rFonts w:eastAsia="Calibri"/>
                <w:sz w:val="20"/>
                <w:szCs w:val="20"/>
                <w:lang w:eastAsia="en-US"/>
              </w:rPr>
            </w:pPr>
            <w:r w:rsidRPr="000D27AC">
              <w:rPr>
                <w:rFonts w:eastAsia="Calibri"/>
                <w:sz w:val="20"/>
                <w:szCs w:val="20"/>
                <w:lang w:eastAsia="en-US"/>
              </w:rPr>
              <w:t>28 575</w:t>
            </w:r>
          </w:p>
        </w:tc>
        <w:tc>
          <w:tcPr>
            <w:tcW w:w="0" w:type="auto"/>
            <w:tcBorders>
              <w:bottom w:val="single" w:sz="2" w:space="0" w:color="auto"/>
            </w:tcBorders>
          </w:tcPr>
          <w:p w14:paraId="6F4B2047" w14:textId="77777777" w:rsidR="000D27AC" w:rsidRPr="000D27AC" w:rsidRDefault="000D27AC" w:rsidP="000D27AC">
            <w:pPr>
              <w:jc w:val="right"/>
              <w:rPr>
                <w:rFonts w:eastAsia="Calibri"/>
                <w:sz w:val="20"/>
                <w:szCs w:val="20"/>
                <w:lang w:eastAsia="en-US"/>
              </w:rPr>
            </w:pPr>
            <w:r w:rsidRPr="000D27AC">
              <w:rPr>
                <w:rFonts w:eastAsia="Calibri"/>
                <w:sz w:val="20"/>
                <w:szCs w:val="20"/>
                <w:lang w:eastAsia="en-US"/>
              </w:rPr>
              <w:t>22 060</w:t>
            </w:r>
          </w:p>
        </w:tc>
        <w:tc>
          <w:tcPr>
            <w:tcW w:w="1127" w:type="dxa"/>
            <w:tcBorders>
              <w:bottom w:val="single" w:sz="2" w:space="0" w:color="auto"/>
            </w:tcBorders>
          </w:tcPr>
          <w:p w14:paraId="302247AB" w14:textId="77777777" w:rsidR="000D27AC" w:rsidRPr="000D27AC" w:rsidRDefault="000D27AC" w:rsidP="000D27AC">
            <w:pPr>
              <w:ind w:right="170"/>
              <w:jc w:val="right"/>
              <w:rPr>
                <w:rFonts w:eastAsia="Calibri"/>
                <w:sz w:val="20"/>
                <w:szCs w:val="20"/>
                <w:lang w:eastAsia="en-US"/>
              </w:rPr>
            </w:pPr>
            <w:r w:rsidRPr="000D27AC">
              <w:rPr>
                <w:rFonts w:eastAsia="Calibri"/>
                <w:sz w:val="20"/>
                <w:szCs w:val="20"/>
                <w:lang w:eastAsia="en-US"/>
              </w:rPr>
              <w:t>29.5%</w:t>
            </w:r>
          </w:p>
        </w:tc>
      </w:tr>
      <w:tr w:rsidR="000D27AC" w:rsidRPr="000D27AC" w14:paraId="2CC02185" w14:textId="77777777" w:rsidTr="000D27AC">
        <w:trPr>
          <w:jc w:val="center"/>
        </w:trPr>
        <w:tc>
          <w:tcPr>
            <w:tcW w:w="8219" w:type="dxa"/>
            <w:gridSpan w:val="4"/>
            <w:tcBorders>
              <w:left w:val="nil"/>
              <w:bottom w:val="nil"/>
              <w:right w:val="nil"/>
            </w:tcBorders>
          </w:tcPr>
          <w:p w14:paraId="3EAA77BB" w14:textId="77777777" w:rsidR="000D27AC" w:rsidRPr="000D27AC" w:rsidRDefault="000D27AC" w:rsidP="000D27AC">
            <w:pPr>
              <w:spacing w:before="120"/>
              <w:jc w:val="both"/>
              <w:rPr>
                <w:rFonts w:eastAsia="Calibri"/>
                <w:sz w:val="20"/>
                <w:szCs w:val="20"/>
                <w:lang w:eastAsia="en-US"/>
              </w:rPr>
            </w:pPr>
            <w:r w:rsidRPr="000D27AC">
              <w:rPr>
                <w:rFonts w:eastAsia="Calibri"/>
                <w:sz w:val="20"/>
                <w:szCs w:val="20"/>
                <w:lang w:eastAsia="en-US"/>
              </w:rPr>
              <w:t>FUENTE: Nissan.</w:t>
            </w:r>
          </w:p>
        </w:tc>
      </w:tr>
    </w:tbl>
    <w:p w14:paraId="61D2A3F6" w14:textId="77777777" w:rsidR="000D27AC" w:rsidRDefault="000D27AC" w:rsidP="000D27AC">
      <w:pPr>
        <w:spacing w:after="200" w:line="276" w:lineRule="auto"/>
        <w:rPr>
          <w:rFonts w:eastAsia="Calibri"/>
          <w:sz w:val="22"/>
          <w:szCs w:val="22"/>
          <w:lang w:eastAsia="en-US"/>
        </w:rPr>
      </w:pPr>
    </w:p>
    <w:p w14:paraId="16147F12" w14:textId="77777777" w:rsidR="004337CD" w:rsidRDefault="004337CD" w:rsidP="000D27AC">
      <w:pPr>
        <w:spacing w:after="200" w:line="276" w:lineRule="auto"/>
        <w:rPr>
          <w:rFonts w:eastAsia="Calibri"/>
          <w:sz w:val="22"/>
          <w:szCs w:val="22"/>
          <w:lang w:eastAsia="en-US"/>
        </w:rPr>
      </w:pPr>
    </w:p>
    <w:p w14:paraId="2B5B9082" w14:textId="77777777" w:rsidR="004337CD" w:rsidRPr="000D27AC" w:rsidRDefault="004337CD" w:rsidP="000D27AC">
      <w:pPr>
        <w:spacing w:after="200" w:line="276" w:lineRule="auto"/>
        <w:rPr>
          <w:rFonts w:eastAsia="Calibri"/>
          <w:sz w:val="22"/>
          <w:szCs w:val="22"/>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426"/>
        <w:gridCol w:w="2522"/>
        <w:gridCol w:w="2298"/>
        <w:gridCol w:w="1291"/>
      </w:tblGrid>
      <w:tr w:rsidR="000D27AC" w:rsidRPr="000D27AC" w14:paraId="1680137C" w14:textId="77777777" w:rsidTr="002D432B">
        <w:trPr>
          <w:trHeight w:val="133"/>
          <w:jc w:val="center"/>
        </w:trPr>
        <w:tc>
          <w:tcPr>
            <w:tcW w:w="2426" w:type="dxa"/>
            <w:vMerge w:val="restart"/>
          </w:tcPr>
          <w:p w14:paraId="68E8FA7E" w14:textId="77777777" w:rsidR="000D27AC" w:rsidRPr="000D27AC" w:rsidRDefault="000D27AC" w:rsidP="000D27AC">
            <w:pPr>
              <w:jc w:val="both"/>
              <w:rPr>
                <w:rFonts w:eastAsia="Calibri"/>
                <w:sz w:val="22"/>
                <w:szCs w:val="22"/>
                <w:lang w:eastAsia="en-US"/>
              </w:rPr>
            </w:pPr>
          </w:p>
        </w:tc>
        <w:tc>
          <w:tcPr>
            <w:tcW w:w="4820" w:type="dxa"/>
            <w:gridSpan w:val="2"/>
          </w:tcPr>
          <w:p w14:paraId="4CDEA3B7" w14:textId="39EF7BAC" w:rsidR="000D27AC" w:rsidRPr="000D27AC" w:rsidRDefault="000D27AC" w:rsidP="00EA1874">
            <w:pPr>
              <w:jc w:val="center"/>
              <w:rPr>
                <w:rFonts w:eastAsia="Calibri"/>
                <w:b/>
                <w:sz w:val="22"/>
                <w:szCs w:val="22"/>
                <w:lang w:eastAsia="en-US"/>
              </w:rPr>
            </w:pPr>
            <w:r w:rsidRPr="000D27AC">
              <w:rPr>
                <w:rFonts w:eastAsia="Calibri"/>
                <w:b/>
                <w:sz w:val="22"/>
                <w:szCs w:val="22"/>
                <w:lang w:eastAsia="en-US"/>
              </w:rPr>
              <w:t>Año Fiscal</w:t>
            </w:r>
          </w:p>
        </w:tc>
        <w:tc>
          <w:tcPr>
            <w:tcW w:w="1291" w:type="dxa"/>
            <w:vMerge w:val="restart"/>
            <w:vAlign w:val="center"/>
          </w:tcPr>
          <w:p w14:paraId="143B8B8F" w14:textId="77777777" w:rsidR="000D27AC" w:rsidRPr="002D432B" w:rsidRDefault="000D27AC" w:rsidP="002D432B">
            <w:pPr>
              <w:jc w:val="center"/>
              <w:rPr>
                <w:rFonts w:eastAsia="Calibri"/>
                <w:b/>
                <w:bCs/>
                <w:sz w:val="22"/>
                <w:szCs w:val="22"/>
                <w:lang w:eastAsia="en-US"/>
              </w:rPr>
            </w:pPr>
            <w:r w:rsidRPr="002D432B">
              <w:rPr>
                <w:rFonts w:eastAsia="Calibri"/>
                <w:b/>
                <w:bCs/>
                <w:sz w:val="22"/>
                <w:szCs w:val="22"/>
                <w:lang w:eastAsia="en-US"/>
              </w:rPr>
              <w:t>Cambio</w:t>
            </w:r>
          </w:p>
          <w:p w14:paraId="4B65ABE3" w14:textId="77777777" w:rsidR="000D27AC" w:rsidRPr="000D27AC" w:rsidRDefault="000D27AC" w:rsidP="002D432B">
            <w:pPr>
              <w:jc w:val="center"/>
              <w:rPr>
                <w:rFonts w:eastAsia="Calibri"/>
                <w:sz w:val="22"/>
                <w:szCs w:val="22"/>
                <w:lang w:eastAsia="en-US"/>
              </w:rPr>
            </w:pPr>
            <w:r w:rsidRPr="002D432B">
              <w:rPr>
                <w:rFonts w:eastAsia="Calibri"/>
                <w:b/>
                <w:bCs/>
                <w:sz w:val="22"/>
                <w:szCs w:val="22"/>
                <w:lang w:eastAsia="en-US"/>
              </w:rPr>
              <w:t>Porcentual</w:t>
            </w:r>
          </w:p>
        </w:tc>
      </w:tr>
      <w:tr w:rsidR="000D27AC" w:rsidRPr="000D27AC" w14:paraId="5F203184" w14:textId="77777777" w:rsidTr="00650298">
        <w:trPr>
          <w:trHeight w:val="132"/>
          <w:jc w:val="center"/>
        </w:trPr>
        <w:tc>
          <w:tcPr>
            <w:tcW w:w="2426" w:type="dxa"/>
            <w:vMerge/>
          </w:tcPr>
          <w:p w14:paraId="4A7844BA" w14:textId="77777777" w:rsidR="000D27AC" w:rsidRPr="000D27AC" w:rsidRDefault="000D27AC" w:rsidP="000D27AC">
            <w:pPr>
              <w:jc w:val="both"/>
              <w:rPr>
                <w:rFonts w:eastAsia="Calibri"/>
                <w:sz w:val="22"/>
                <w:szCs w:val="22"/>
                <w:lang w:eastAsia="en-US"/>
              </w:rPr>
            </w:pPr>
          </w:p>
        </w:tc>
        <w:tc>
          <w:tcPr>
            <w:tcW w:w="2522" w:type="dxa"/>
          </w:tcPr>
          <w:p w14:paraId="02F174C2" w14:textId="77777777" w:rsidR="000D27AC" w:rsidRPr="002D432B" w:rsidRDefault="000D27AC" w:rsidP="000D27AC">
            <w:pPr>
              <w:jc w:val="center"/>
              <w:rPr>
                <w:rFonts w:eastAsia="Calibri"/>
                <w:b/>
                <w:sz w:val="22"/>
                <w:szCs w:val="22"/>
                <w:lang w:eastAsia="en-US"/>
              </w:rPr>
            </w:pPr>
            <w:r w:rsidRPr="002D432B">
              <w:rPr>
                <w:rFonts w:eastAsia="Calibri"/>
                <w:b/>
                <w:sz w:val="22"/>
                <w:szCs w:val="22"/>
                <w:lang w:eastAsia="en-US"/>
              </w:rPr>
              <w:t>2014</w:t>
            </w:r>
          </w:p>
        </w:tc>
        <w:tc>
          <w:tcPr>
            <w:tcW w:w="2298" w:type="dxa"/>
          </w:tcPr>
          <w:p w14:paraId="0418DA25" w14:textId="77777777" w:rsidR="000D27AC" w:rsidRPr="002D432B" w:rsidRDefault="000D27AC" w:rsidP="000D27AC">
            <w:pPr>
              <w:jc w:val="center"/>
              <w:rPr>
                <w:rFonts w:eastAsia="Calibri"/>
                <w:b/>
                <w:sz w:val="22"/>
                <w:szCs w:val="22"/>
                <w:lang w:eastAsia="en-US"/>
              </w:rPr>
            </w:pPr>
            <w:r w:rsidRPr="002D432B">
              <w:rPr>
                <w:rFonts w:eastAsia="Calibri"/>
                <w:b/>
                <w:sz w:val="22"/>
                <w:szCs w:val="22"/>
                <w:lang w:eastAsia="en-US"/>
              </w:rPr>
              <w:t>2013</w:t>
            </w:r>
          </w:p>
        </w:tc>
        <w:tc>
          <w:tcPr>
            <w:tcW w:w="1291" w:type="dxa"/>
            <w:vMerge/>
          </w:tcPr>
          <w:p w14:paraId="4875829A" w14:textId="77777777" w:rsidR="000D27AC" w:rsidRPr="000D27AC" w:rsidRDefault="000D27AC" w:rsidP="000D27AC">
            <w:pPr>
              <w:jc w:val="right"/>
              <w:rPr>
                <w:rFonts w:eastAsia="Calibri"/>
                <w:bCs/>
                <w:sz w:val="22"/>
                <w:szCs w:val="22"/>
                <w:lang w:eastAsia="en-US"/>
              </w:rPr>
            </w:pPr>
          </w:p>
        </w:tc>
      </w:tr>
      <w:tr w:rsidR="000D27AC" w:rsidRPr="000D27AC" w14:paraId="666A4176" w14:textId="77777777" w:rsidTr="00650298">
        <w:trPr>
          <w:trHeight w:val="199"/>
          <w:jc w:val="center"/>
        </w:trPr>
        <w:tc>
          <w:tcPr>
            <w:tcW w:w="2426" w:type="dxa"/>
            <w:vMerge/>
          </w:tcPr>
          <w:p w14:paraId="71186EDD" w14:textId="77777777" w:rsidR="000D27AC" w:rsidRPr="000D27AC" w:rsidRDefault="000D27AC" w:rsidP="000D27AC">
            <w:pPr>
              <w:jc w:val="both"/>
              <w:rPr>
                <w:rFonts w:eastAsia="Calibri"/>
                <w:sz w:val="22"/>
                <w:szCs w:val="22"/>
                <w:lang w:eastAsia="en-US"/>
              </w:rPr>
            </w:pPr>
          </w:p>
        </w:tc>
        <w:tc>
          <w:tcPr>
            <w:tcW w:w="2522" w:type="dxa"/>
          </w:tcPr>
          <w:p w14:paraId="5162134A" w14:textId="77777777" w:rsidR="000D27AC" w:rsidRPr="000D27AC" w:rsidRDefault="000D27AC" w:rsidP="000D27AC">
            <w:pPr>
              <w:jc w:val="center"/>
              <w:rPr>
                <w:rFonts w:eastAsia="Calibri"/>
                <w:sz w:val="22"/>
                <w:szCs w:val="22"/>
                <w:lang w:eastAsia="en-US"/>
              </w:rPr>
            </w:pPr>
            <w:r w:rsidRPr="000D27AC">
              <w:rPr>
                <w:rFonts w:eastAsia="Calibri"/>
                <w:sz w:val="22"/>
                <w:szCs w:val="22"/>
                <w:lang w:eastAsia="en-US"/>
              </w:rPr>
              <w:t>Del 1 de abril de 2014</w:t>
            </w:r>
          </w:p>
          <w:p w14:paraId="3A8AD33A" w14:textId="77777777" w:rsidR="000D27AC" w:rsidRPr="000D27AC" w:rsidRDefault="000D27AC" w:rsidP="000D27AC">
            <w:pPr>
              <w:jc w:val="center"/>
              <w:rPr>
                <w:rFonts w:eastAsia="Calibri"/>
                <w:sz w:val="22"/>
                <w:szCs w:val="22"/>
                <w:lang w:eastAsia="en-US"/>
              </w:rPr>
            </w:pPr>
            <w:r w:rsidRPr="000D27AC">
              <w:rPr>
                <w:rFonts w:eastAsia="Calibri"/>
                <w:sz w:val="22"/>
                <w:szCs w:val="22"/>
                <w:lang w:eastAsia="en-US"/>
              </w:rPr>
              <w:t>al 31 de marzo de 2015</w:t>
            </w:r>
          </w:p>
        </w:tc>
        <w:tc>
          <w:tcPr>
            <w:tcW w:w="2298" w:type="dxa"/>
          </w:tcPr>
          <w:p w14:paraId="7AD62DA3" w14:textId="77777777" w:rsidR="000D27AC" w:rsidRPr="000D27AC" w:rsidRDefault="000D27AC" w:rsidP="000D27AC">
            <w:pPr>
              <w:jc w:val="center"/>
              <w:rPr>
                <w:rFonts w:eastAsia="Calibri"/>
                <w:sz w:val="22"/>
                <w:szCs w:val="22"/>
                <w:lang w:eastAsia="en-US"/>
              </w:rPr>
            </w:pPr>
            <w:r w:rsidRPr="000D27AC">
              <w:rPr>
                <w:rFonts w:eastAsia="Calibri"/>
                <w:sz w:val="22"/>
                <w:szCs w:val="22"/>
                <w:lang w:eastAsia="en-US"/>
              </w:rPr>
              <w:t>Del 1 de abril de 2013</w:t>
            </w:r>
          </w:p>
          <w:p w14:paraId="05A1B0B1" w14:textId="77777777" w:rsidR="000D27AC" w:rsidRPr="000D27AC" w:rsidRDefault="000D27AC" w:rsidP="000D27AC">
            <w:pPr>
              <w:jc w:val="center"/>
              <w:rPr>
                <w:rFonts w:eastAsia="Calibri"/>
                <w:sz w:val="22"/>
                <w:szCs w:val="22"/>
                <w:lang w:eastAsia="en-US"/>
              </w:rPr>
            </w:pPr>
            <w:r w:rsidRPr="000D27AC">
              <w:rPr>
                <w:rFonts w:eastAsia="Calibri"/>
                <w:sz w:val="22"/>
                <w:szCs w:val="22"/>
                <w:lang w:eastAsia="en-US"/>
              </w:rPr>
              <w:t>al 31 de marzo de 2014</w:t>
            </w:r>
          </w:p>
        </w:tc>
        <w:tc>
          <w:tcPr>
            <w:tcW w:w="1291" w:type="dxa"/>
            <w:vMerge/>
          </w:tcPr>
          <w:p w14:paraId="27042E20" w14:textId="77777777" w:rsidR="000D27AC" w:rsidRPr="000D27AC" w:rsidRDefault="000D27AC" w:rsidP="000D27AC">
            <w:pPr>
              <w:jc w:val="right"/>
              <w:rPr>
                <w:rFonts w:eastAsia="Calibri"/>
                <w:bCs/>
                <w:sz w:val="22"/>
                <w:szCs w:val="22"/>
                <w:lang w:eastAsia="en-US"/>
              </w:rPr>
            </w:pPr>
          </w:p>
        </w:tc>
      </w:tr>
      <w:tr w:rsidR="000D27AC" w:rsidRPr="000D27AC" w14:paraId="084355A4" w14:textId="77777777" w:rsidTr="00650298">
        <w:trPr>
          <w:jc w:val="center"/>
        </w:trPr>
        <w:tc>
          <w:tcPr>
            <w:tcW w:w="2426" w:type="dxa"/>
            <w:tcBorders>
              <w:bottom w:val="single" w:sz="2" w:space="0" w:color="auto"/>
            </w:tcBorders>
          </w:tcPr>
          <w:p w14:paraId="155E42C8" w14:textId="77777777" w:rsidR="000D27AC" w:rsidRPr="000D27AC" w:rsidRDefault="000D27AC" w:rsidP="000D27AC">
            <w:pPr>
              <w:jc w:val="both"/>
              <w:rPr>
                <w:rFonts w:eastAsia="Calibri"/>
                <w:sz w:val="22"/>
                <w:szCs w:val="22"/>
                <w:lang w:eastAsia="en-US"/>
              </w:rPr>
            </w:pPr>
            <w:r w:rsidRPr="000D27AC">
              <w:rPr>
                <w:rFonts w:eastAsia="Calibri"/>
                <w:sz w:val="22"/>
                <w:szCs w:val="22"/>
                <w:lang w:eastAsia="en-US"/>
              </w:rPr>
              <w:t>Ventas totales de Nissan</w:t>
            </w:r>
          </w:p>
        </w:tc>
        <w:tc>
          <w:tcPr>
            <w:tcW w:w="2522" w:type="dxa"/>
            <w:tcBorders>
              <w:bottom w:val="single" w:sz="2" w:space="0" w:color="auto"/>
            </w:tcBorders>
          </w:tcPr>
          <w:p w14:paraId="5C34B03F" w14:textId="77777777" w:rsidR="000D27AC" w:rsidRPr="000D27AC" w:rsidRDefault="000D27AC" w:rsidP="000D27AC">
            <w:pPr>
              <w:spacing w:before="100" w:beforeAutospacing="1" w:after="100" w:afterAutospacing="1"/>
              <w:jc w:val="right"/>
              <w:rPr>
                <w:rFonts w:eastAsia="Times New Roman"/>
                <w:lang w:eastAsia="es-MX"/>
              </w:rPr>
            </w:pPr>
            <w:r w:rsidRPr="000D27AC">
              <w:rPr>
                <w:rFonts w:eastAsia="Times New Roman"/>
                <w:lang w:eastAsia="es-MX"/>
              </w:rPr>
              <w:t>308 mil 731</w:t>
            </w:r>
          </w:p>
        </w:tc>
        <w:tc>
          <w:tcPr>
            <w:tcW w:w="2298" w:type="dxa"/>
            <w:tcBorders>
              <w:bottom w:val="single" w:sz="2" w:space="0" w:color="auto"/>
            </w:tcBorders>
          </w:tcPr>
          <w:p w14:paraId="6C5A4690" w14:textId="77777777" w:rsidR="000D27AC" w:rsidRPr="000D27AC" w:rsidRDefault="000D27AC" w:rsidP="000D27AC">
            <w:pPr>
              <w:spacing w:before="100" w:beforeAutospacing="1" w:after="100" w:afterAutospacing="1"/>
              <w:jc w:val="right"/>
              <w:rPr>
                <w:rFonts w:eastAsia="Times New Roman"/>
                <w:lang w:eastAsia="es-MX"/>
              </w:rPr>
            </w:pPr>
            <w:r w:rsidRPr="000D27AC">
              <w:rPr>
                <w:rFonts w:eastAsia="Times New Roman"/>
                <w:lang w:eastAsia="es-MX"/>
              </w:rPr>
              <w:t>264 mil 561</w:t>
            </w:r>
          </w:p>
        </w:tc>
        <w:tc>
          <w:tcPr>
            <w:tcW w:w="1291" w:type="dxa"/>
            <w:tcBorders>
              <w:bottom w:val="single" w:sz="2" w:space="0" w:color="auto"/>
            </w:tcBorders>
          </w:tcPr>
          <w:p w14:paraId="5E51EECF" w14:textId="77777777" w:rsidR="000D27AC" w:rsidRPr="000D27AC" w:rsidRDefault="000D27AC" w:rsidP="000D27AC">
            <w:pPr>
              <w:spacing w:before="100" w:beforeAutospacing="1" w:after="100" w:afterAutospacing="1"/>
              <w:jc w:val="center"/>
              <w:rPr>
                <w:rFonts w:eastAsia="Times New Roman"/>
                <w:lang w:eastAsia="es-MX"/>
              </w:rPr>
            </w:pPr>
            <w:r w:rsidRPr="000D27AC">
              <w:rPr>
                <w:rFonts w:eastAsia="Times New Roman"/>
                <w:lang w:eastAsia="es-MX"/>
              </w:rPr>
              <w:t>16.7%</w:t>
            </w:r>
          </w:p>
        </w:tc>
      </w:tr>
      <w:tr w:rsidR="000D27AC" w:rsidRPr="000D27AC" w14:paraId="1F2402DA" w14:textId="77777777" w:rsidTr="00650298">
        <w:trPr>
          <w:jc w:val="center"/>
        </w:trPr>
        <w:tc>
          <w:tcPr>
            <w:tcW w:w="8537" w:type="dxa"/>
            <w:gridSpan w:val="4"/>
            <w:tcBorders>
              <w:left w:val="nil"/>
              <w:bottom w:val="nil"/>
              <w:right w:val="nil"/>
            </w:tcBorders>
          </w:tcPr>
          <w:p w14:paraId="1A393146" w14:textId="77777777" w:rsidR="000D27AC" w:rsidRPr="000D27AC" w:rsidRDefault="000D27AC" w:rsidP="000D27AC">
            <w:pPr>
              <w:spacing w:before="120"/>
              <w:jc w:val="both"/>
              <w:rPr>
                <w:rFonts w:eastAsia="Calibri"/>
                <w:sz w:val="22"/>
                <w:szCs w:val="22"/>
                <w:lang w:eastAsia="en-US"/>
              </w:rPr>
            </w:pPr>
            <w:r w:rsidRPr="000D27AC">
              <w:rPr>
                <w:rFonts w:eastAsia="Calibri"/>
                <w:sz w:val="22"/>
                <w:szCs w:val="22"/>
                <w:lang w:eastAsia="en-US"/>
              </w:rPr>
              <w:t>FUENTE: Nissan.</w:t>
            </w:r>
          </w:p>
        </w:tc>
      </w:tr>
    </w:tbl>
    <w:p w14:paraId="438E366B" w14:textId="77777777" w:rsidR="000D27AC" w:rsidRPr="000D27AC" w:rsidRDefault="000D27AC" w:rsidP="000D27AC">
      <w:pPr>
        <w:spacing w:after="360" w:line="360" w:lineRule="auto"/>
        <w:ind w:right="-159"/>
        <w:jc w:val="both"/>
        <w:rPr>
          <w:rFonts w:eastAsia="Calibri"/>
          <w:sz w:val="26"/>
          <w:szCs w:val="26"/>
          <w:lang w:eastAsia="en-US"/>
        </w:rPr>
      </w:pPr>
    </w:p>
    <w:p w14:paraId="41CA7CD0" w14:textId="7777777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 xml:space="preserve">Nissan anunció ventas por </w:t>
      </w:r>
      <w:r w:rsidRPr="000D27AC">
        <w:rPr>
          <w:rFonts w:eastAsia="Calibri"/>
          <w:bCs/>
          <w:sz w:val="26"/>
          <w:szCs w:val="26"/>
          <w:lang w:eastAsia="en-US"/>
        </w:rPr>
        <w:t>28 mil 575</w:t>
      </w:r>
      <w:r w:rsidRPr="000D27AC">
        <w:rPr>
          <w:rFonts w:eastAsia="Calibri"/>
          <w:sz w:val="26"/>
          <w:szCs w:val="26"/>
          <w:lang w:eastAsia="en-US"/>
        </w:rPr>
        <w:t xml:space="preserve"> unidades durante marzo, el mejor resultado de ventas para un mes de marzo en la historia de la compañía, alcanzando una participación de </w:t>
      </w:r>
      <w:r w:rsidRPr="000D27AC">
        <w:rPr>
          <w:rFonts w:eastAsia="Calibri"/>
          <w:bCs/>
          <w:sz w:val="26"/>
          <w:szCs w:val="26"/>
          <w:lang w:eastAsia="en-US"/>
        </w:rPr>
        <w:t>27.2%</w:t>
      </w:r>
      <w:r w:rsidRPr="000D27AC">
        <w:rPr>
          <w:rFonts w:eastAsia="Calibri"/>
          <w:sz w:val="26"/>
          <w:szCs w:val="26"/>
          <w:lang w:eastAsia="en-US"/>
        </w:rPr>
        <w:t xml:space="preserve"> y cumpliendo </w:t>
      </w:r>
      <w:r w:rsidRPr="000D27AC">
        <w:rPr>
          <w:rFonts w:eastAsia="Calibri"/>
          <w:bCs/>
          <w:sz w:val="26"/>
          <w:szCs w:val="26"/>
          <w:lang w:eastAsia="en-US"/>
        </w:rPr>
        <w:t>70 meses</w:t>
      </w:r>
      <w:r w:rsidRPr="000D27AC">
        <w:rPr>
          <w:rFonts w:eastAsia="Calibri"/>
          <w:sz w:val="26"/>
          <w:szCs w:val="26"/>
          <w:lang w:eastAsia="en-US"/>
        </w:rPr>
        <w:t xml:space="preserve"> consecutivos de liderazgo en México.</w:t>
      </w:r>
    </w:p>
    <w:p w14:paraId="10231E84" w14:textId="3EEFB301" w:rsidR="000D27AC" w:rsidRPr="000D27AC" w:rsidRDefault="00650298" w:rsidP="000D27AC">
      <w:pPr>
        <w:spacing w:after="360" w:line="360" w:lineRule="auto"/>
        <w:ind w:right="-159"/>
        <w:jc w:val="both"/>
        <w:rPr>
          <w:rFonts w:eastAsia="Calibri"/>
          <w:sz w:val="26"/>
          <w:szCs w:val="26"/>
          <w:lang w:eastAsia="en-US"/>
        </w:rPr>
      </w:pPr>
      <w:r>
        <w:rPr>
          <w:rFonts w:eastAsia="Calibri"/>
          <w:sz w:val="26"/>
          <w:szCs w:val="26"/>
          <w:lang w:eastAsia="en-US"/>
        </w:rPr>
        <w:t>Aspectos d</w:t>
      </w:r>
      <w:r w:rsidR="000D27AC" w:rsidRPr="000D27AC">
        <w:rPr>
          <w:rFonts w:eastAsia="Calibri"/>
          <w:sz w:val="26"/>
          <w:szCs w:val="26"/>
          <w:lang w:eastAsia="en-US"/>
        </w:rPr>
        <w:t>estacados de Nissan en marzo</w:t>
      </w:r>
      <w:r>
        <w:rPr>
          <w:rFonts w:eastAsia="Calibri"/>
          <w:sz w:val="26"/>
          <w:szCs w:val="26"/>
          <w:lang w:eastAsia="en-US"/>
        </w:rPr>
        <w:t xml:space="preserve"> de 2015</w:t>
      </w:r>
      <w:r w:rsidR="000D27AC" w:rsidRPr="000D27AC">
        <w:rPr>
          <w:rFonts w:eastAsia="Calibri"/>
          <w:sz w:val="26"/>
          <w:szCs w:val="26"/>
          <w:lang w:eastAsia="en-US"/>
        </w:rPr>
        <w:t>:</w:t>
      </w:r>
    </w:p>
    <w:p w14:paraId="2E567776" w14:textId="77777777" w:rsidR="000D27AC" w:rsidRPr="000D27AC" w:rsidRDefault="000D27AC" w:rsidP="003518F4">
      <w:pPr>
        <w:numPr>
          <w:ilvl w:val="0"/>
          <w:numId w:val="123"/>
        </w:numPr>
        <w:spacing w:after="360" w:line="360" w:lineRule="auto"/>
        <w:ind w:left="714" w:right="-159" w:hanging="357"/>
        <w:jc w:val="both"/>
        <w:rPr>
          <w:rFonts w:eastAsia="Calibri"/>
          <w:sz w:val="26"/>
          <w:szCs w:val="26"/>
          <w:lang w:eastAsia="en-US"/>
        </w:rPr>
      </w:pPr>
      <w:r w:rsidRPr="000D27AC">
        <w:rPr>
          <w:rFonts w:eastAsia="Calibri"/>
          <w:sz w:val="26"/>
          <w:szCs w:val="26"/>
          <w:lang w:eastAsia="en-US"/>
        </w:rPr>
        <w:t xml:space="preserve">El más alto volumen de ventas para un mes de marzo de los </w:t>
      </w:r>
      <w:r w:rsidRPr="000D27AC">
        <w:rPr>
          <w:rFonts w:eastAsia="Calibri"/>
          <w:i/>
          <w:iCs/>
          <w:sz w:val="26"/>
          <w:szCs w:val="26"/>
          <w:lang w:eastAsia="en-US"/>
        </w:rPr>
        <w:t>crossovers</w:t>
      </w:r>
      <w:r w:rsidRPr="000D27AC">
        <w:rPr>
          <w:rFonts w:eastAsia="Calibri"/>
          <w:sz w:val="26"/>
          <w:szCs w:val="26"/>
          <w:lang w:eastAsia="en-US"/>
        </w:rPr>
        <w:t xml:space="preserve"> Nissan X-Trail con </w:t>
      </w:r>
      <w:r w:rsidRPr="002D432B">
        <w:rPr>
          <w:rFonts w:eastAsia="Calibri"/>
          <w:bCs/>
          <w:sz w:val="26"/>
          <w:szCs w:val="26"/>
          <w:lang w:eastAsia="en-US"/>
        </w:rPr>
        <w:t>2 mil 379</w:t>
      </w:r>
      <w:r w:rsidRPr="002D432B">
        <w:rPr>
          <w:rFonts w:eastAsia="Calibri"/>
          <w:sz w:val="26"/>
          <w:szCs w:val="26"/>
          <w:lang w:eastAsia="en-US"/>
        </w:rPr>
        <w:t xml:space="preserve"> unidades</w:t>
      </w:r>
      <w:r w:rsidRPr="000D27AC">
        <w:rPr>
          <w:rFonts w:eastAsia="Calibri"/>
          <w:sz w:val="26"/>
          <w:szCs w:val="26"/>
          <w:lang w:eastAsia="en-US"/>
        </w:rPr>
        <w:t xml:space="preserve"> vendidas y Nissan Pathfinder con </w:t>
      </w:r>
      <w:r w:rsidRPr="00EA1874">
        <w:rPr>
          <w:rFonts w:eastAsia="Calibri"/>
          <w:bCs/>
          <w:sz w:val="26"/>
          <w:szCs w:val="26"/>
          <w:lang w:eastAsia="en-US"/>
        </w:rPr>
        <w:t>354</w:t>
      </w:r>
      <w:r w:rsidRPr="00EA1874">
        <w:rPr>
          <w:rFonts w:eastAsia="Calibri"/>
          <w:sz w:val="26"/>
          <w:szCs w:val="26"/>
          <w:lang w:eastAsia="en-US"/>
        </w:rPr>
        <w:t xml:space="preserve"> unidades</w:t>
      </w:r>
      <w:r w:rsidRPr="000D27AC">
        <w:rPr>
          <w:rFonts w:eastAsia="Calibri"/>
          <w:sz w:val="26"/>
          <w:szCs w:val="26"/>
          <w:lang w:eastAsia="en-US"/>
        </w:rPr>
        <w:t xml:space="preserve"> vendidas.</w:t>
      </w:r>
    </w:p>
    <w:p w14:paraId="4631A49C" w14:textId="2B419DF2" w:rsidR="000D27AC" w:rsidRPr="000D27AC" w:rsidRDefault="000D27AC" w:rsidP="003518F4">
      <w:pPr>
        <w:numPr>
          <w:ilvl w:val="0"/>
          <w:numId w:val="123"/>
        </w:numPr>
        <w:spacing w:after="360" w:line="360" w:lineRule="auto"/>
        <w:ind w:left="714" w:right="-159" w:hanging="357"/>
        <w:jc w:val="both"/>
        <w:rPr>
          <w:rFonts w:eastAsia="Calibri"/>
          <w:sz w:val="26"/>
          <w:szCs w:val="26"/>
          <w:lang w:eastAsia="en-US"/>
        </w:rPr>
      </w:pPr>
      <w:r w:rsidRPr="000D27AC">
        <w:rPr>
          <w:rFonts w:eastAsia="Calibri"/>
          <w:sz w:val="26"/>
          <w:szCs w:val="26"/>
          <w:lang w:eastAsia="en-US"/>
        </w:rPr>
        <w:t>En marzo</w:t>
      </w:r>
      <w:r w:rsidRPr="00650298">
        <w:rPr>
          <w:rFonts w:eastAsia="Calibri"/>
          <w:sz w:val="26"/>
          <w:szCs w:val="26"/>
          <w:lang w:eastAsia="en-US"/>
        </w:rPr>
        <w:t>,</w:t>
      </w:r>
      <w:r w:rsidRPr="000D27AC">
        <w:rPr>
          <w:rFonts w:eastAsia="Calibri"/>
          <w:sz w:val="26"/>
          <w:szCs w:val="26"/>
          <w:lang w:eastAsia="en-US"/>
        </w:rPr>
        <w:t xml:space="preserve"> los vehículos más vendidos fueron: Nissan NP300 (</w:t>
      </w:r>
      <w:r w:rsidRPr="000D27AC">
        <w:rPr>
          <w:rFonts w:eastAsia="Calibri"/>
          <w:bCs/>
          <w:sz w:val="26"/>
          <w:szCs w:val="26"/>
          <w:lang w:eastAsia="en-US"/>
        </w:rPr>
        <w:t>6 mil 272</w:t>
      </w:r>
      <w:r w:rsidRPr="000D27AC">
        <w:rPr>
          <w:rFonts w:eastAsia="Calibri"/>
          <w:sz w:val="26"/>
          <w:szCs w:val="26"/>
          <w:lang w:eastAsia="en-US"/>
        </w:rPr>
        <w:t xml:space="preserve"> unidades), Nissan Versa (</w:t>
      </w:r>
      <w:r w:rsidRPr="000D27AC">
        <w:rPr>
          <w:rFonts w:eastAsia="Calibri"/>
          <w:bCs/>
          <w:sz w:val="26"/>
          <w:szCs w:val="26"/>
          <w:lang w:eastAsia="en-US"/>
        </w:rPr>
        <w:t xml:space="preserve">4 mil 687 </w:t>
      </w:r>
      <w:r w:rsidRPr="000D27AC">
        <w:rPr>
          <w:rFonts w:eastAsia="Calibri"/>
          <w:sz w:val="26"/>
          <w:szCs w:val="26"/>
          <w:lang w:eastAsia="en-US"/>
        </w:rPr>
        <w:t>unidades), Nissan Tsuru (</w:t>
      </w:r>
      <w:r w:rsidRPr="000D27AC">
        <w:rPr>
          <w:rFonts w:eastAsia="Calibri"/>
          <w:bCs/>
          <w:sz w:val="26"/>
          <w:szCs w:val="26"/>
          <w:lang w:eastAsia="en-US"/>
        </w:rPr>
        <w:t>4 mil 289</w:t>
      </w:r>
      <w:r w:rsidRPr="000D27AC">
        <w:rPr>
          <w:rFonts w:eastAsia="Calibri"/>
          <w:sz w:val="26"/>
          <w:szCs w:val="26"/>
          <w:lang w:eastAsia="en-US"/>
        </w:rPr>
        <w:t xml:space="preserve"> unidades), Nissan March (</w:t>
      </w:r>
      <w:r w:rsidRPr="000D27AC">
        <w:rPr>
          <w:rFonts w:eastAsia="Calibri"/>
          <w:bCs/>
          <w:sz w:val="26"/>
          <w:szCs w:val="26"/>
          <w:lang w:eastAsia="en-US"/>
        </w:rPr>
        <w:t xml:space="preserve">3 mil 661 </w:t>
      </w:r>
      <w:r w:rsidRPr="000D27AC">
        <w:rPr>
          <w:rFonts w:eastAsia="Calibri"/>
          <w:sz w:val="26"/>
          <w:szCs w:val="26"/>
          <w:lang w:eastAsia="en-US"/>
        </w:rPr>
        <w:t>unidades) y Nissan Sentra (</w:t>
      </w:r>
      <w:r w:rsidRPr="000D27AC">
        <w:rPr>
          <w:rFonts w:eastAsia="Calibri"/>
          <w:bCs/>
          <w:sz w:val="26"/>
          <w:szCs w:val="26"/>
          <w:lang w:eastAsia="en-US"/>
        </w:rPr>
        <w:t xml:space="preserve">2 mil 606 </w:t>
      </w:r>
      <w:r w:rsidRPr="000D27AC">
        <w:rPr>
          <w:rFonts w:eastAsia="Calibri"/>
          <w:sz w:val="26"/>
          <w:szCs w:val="26"/>
          <w:lang w:eastAsia="en-US"/>
        </w:rPr>
        <w:t>unidades), mismos que se encuentran entre los 10 más vendidos del país durante marzo.</w:t>
      </w:r>
    </w:p>
    <w:p w14:paraId="7984DE18" w14:textId="77777777" w:rsidR="000D27AC" w:rsidRPr="000D27AC" w:rsidRDefault="000D27AC" w:rsidP="003518F4">
      <w:pPr>
        <w:numPr>
          <w:ilvl w:val="0"/>
          <w:numId w:val="123"/>
        </w:numPr>
        <w:spacing w:after="360" w:line="360" w:lineRule="auto"/>
        <w:ind w:left="714" w:right="-159" w:hanging="357"/>
        <w:jc w:val="both"/>
        <w:rPr>
          <w:rFonts w:eastAsia="Calibri"/>
          <w:sz w:val="26"/>
          <w:szCs w:val="26"/>
          <w:lang w:eastAsia="en-US"/>
        </w:rPr>
      </w:pPr>
      <w:r w:rsidRPr="000D27AC">
        <w:rPr>
          <w:rFonts w:eastAsia="Calibri"/>
          <w:sz w:val="26"/>
          <w:szCs w:val="26"/>
          <w:lang w:eastAsia="en-US"/>
        </w:rPr>
        <w:t>Marzo marcó la llegada de la nueva generación de la Pick Up mediana de doble cabina, NP300 Frontier 2016, a los más de 230 distribuidores de Nissan en todo el país.</w:t>
      </w:r>
    </w:p>
    <w:p w14:paraId="79492E5C" w14:textId="2C85FCD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Con relación a los resultados del año fiscal 2014 (período que comprende del 1</w:t>
      </w:r>
      <w:r>
        <w:rPr>
          <w:rFonts w:eastAsia="Calibri"/>
          <w:sz w:val="26"/>
          <w:szCs w:val="26"/>
          <w:lang w:eastAsia="en-US"/>
        </w:rPr>
        <w:t xml:space="preserve">º </w:t>
      </w:r>
      <w:r w:rsidRPr="000D27AC">
        <w:rPr>
          <w:rFonts w:eastAsia="Calibri"/>
          <w:sz w:val="26"/>
          <w:szCs w:val="26"/>
          <w:lang w:eastAsia="en-US"/>
        </w:rPr>
        <w:t xml:space="preserve">de abril de 2014 al 31 de marzo de 2015), Nissan estableció un nuevo hito a nivel industria con </w:t>
      </w:r>
      <w:r w:rsidRPr="002D432B">
        <w:rPr>
          <w:rFonts w:eastAsia="Calibri"/>
          <w:bCs/>
          <w:sz w:val="26"/>
          <w:szCs w:val="26"/>
          <w:lang w:eastAsia="en-US"/>
        </w:rPr>
        <w:t>308 mil 731</w:t>
      </w:r>
      <w:r w:rsidRPr="000D27AC">
        <w:rPr>
          <w:rFonts w:eastAsia="Calibri"/>
          <w:sz w:val="26"/>
          <w:szCs w:val="26"/>
          <w:lang w:eastAsia="en-US"/>
        </w:rPr>
        <w:t xml:space="preserve"> unidades vendidas, representando un incremento de </w:t>
      </w:r>
      <w:r w:rsidRPr="002D432B">
        <w:rPr>
          <w:rFonts w:eastAsia="Calibri"/>
          <w:bCs/>
          <w:sz w:val="26"/>
          <w:szCs w:val="26"/>
          <w:lang w:eastAsia="en-US"/>
        </w:rPr>
        <w:t>16.7</w:t>
      </w:r>
      <w:r w:rsidRPr="002D432B">
        <w:rPr>
          <w:rFonts w:eastAsia="Calibri"/>
          <w:sz w:val="26"/>
          <w:szCs w:val="26"/>
          <w:lang w:eastAsia="en-US"/>
        </w:rPr>
        <w:t>%</w:t>
      </w:r>
      <w:r w:rsidRPr="000D27AC">
        <w:rPr>
          <w:rFonts w:eastAsia="Calibri"/>
          <w:sz w:val="26"/>
          <w:szCs w:val="26"/>
          <w:lang w:eastAsia="en-US"/>
        </w:rPr>
        <w:t xml:space="preserve"> en comparación </w:t>
      </w:r>
      <w:r w:rsidRPr="000D27AC">
        <w:rPr>
          <w:rFonts w:eastAsia="Calibri"/>
          <w:sz w:val="26"/>
          <w:szCs w:val="26"/>
          <w:lang w:eastAsia="en-US"/>
        </w:rPr>
        <w:lastRenderedPageBreak/>
        <w:t xml:space="preserve">con el año fiscal 2013 (período que comprendió del 1 de abril de 2013 al 31 de marzo de 2014) y una participación de </w:t>
      </w:r>
      <w:r w:rsidRPr="002D432B">
        <w:rPr>
          <w:rFonts w:eastAsia="Calibri"/>
          <w:bCs/>
          <w:sz w:val="26"/>
          <w:szCs w:val="26"/>
          <w:lang w:eastAsia="en-US"/>
        </w:rPr>
        <w:t>25</w:t>
      </w:r>
      <w:r w:rsidRPr="00EA1874">
        <w:rPr>
          <w:rFonts w:eastAsia="Calibri"/>
          <w:bCs/>
          <w:sz w:val="26"/>
          <w:szCs w:val="26"/>
          <w:lang w:eastAsia="en-US"/>
        </w:rPr>
        <w:t>.9</w:t>
      </w:r>
      <w:r w:rsidRPr="000D27AC">
        <w:rPr>
          <w:rFonts w:eastAsia="Calibri"/>
          <w:sz w:val="26"/>
          <w:szCs w:val="26"/>
          <w:lang w:eastAsia="en-US"/>
        </w:rPr>
        <w:t xml:space="preserve"> por ciento.</w:t>
      </w:r>
    </w:p>
    <w:p w14:paraId="07847224" w14:textId="7777777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Aspectos más destacados del año fiscal 2014 de Nissan:</w:t>
      </w:r>
    </w:p>
    <w:p w14:paraId="7F1B8626" w14:textId="7777777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Los resultados del año fiscal de Nissan señalan un crecimiento de 16.7% contra el año anterior, superando nuevamente el crecimiento de la industria.</w:t>
      </w:r>
    </w:p>
    <w:p w14:paraId="5DF64D0C" w14:textId="77777777" w:rsidR="000D27AC" w:rsidRPr="000D27AC" w:rsidRDefault="000D27AC" w:rsidP="000D27AC">
      <w:pPr>
        <w:spacing w:after="360" w:line="360" w:lineRule="auto"/>
        <w:ind w:right="-159"/>
        <w:jc w:val="both"/>
        <w:rPr>
          <w:rFonts w:eastAsia="Calibri"/>
          <w:sz w:val="26"/>
          <w:szCs w:val="26"/>
          <w:lang w:eastAsia="en-US"/>
        </w:rPr>
      </w:pPr>
      <w:r w:rsidRPr="000D27AC">
        <w:rPr>
          <w:rFonts w:eastAsia="Calibri"/>
          <w:sz w:val="26"/>
          <w:szCs w:val="26"/>
          <w:lang w:eastAsia="en-US"/>
        </w:rPr>
        <w:t xml:space="preserve">El vehículo más vendido del año fiscal fue Nissan Versa, producido en Aguascalientes, con </w:t>
      </w:r>
      <w:r w:rsidRPr="000D27AC">
        <w:rPr>
          <w:rFonts w:eastAsia="Calibri"/>
          <w:bCs/>
          <w:sz w:val="26"/>
          <w:szCs w:val="26"/>
          <w:lang w:eastAsia="en-US"/>
        </w:rPr>
        <w:t>57 mil 206</w:t>
      </w:r>
      <w:r w:rsidRPr="000D27AC">
        <w:rPr>
          <w:rFonts w:eastAsia="Calibri"/>
          <w:sz w:val="26"/>
          <w:szCs w:val="26"/>
          <w:lang w:eastAsia="en-US"/>
        </w:rPr>
        <w:t xml:space="preserve"> unidades vendidas.</w:t>
      </w:r>
    </w:p>
    <w:p w14:paraId="4CF6BF44" w14:textId="77777777" w:rsidR="000D27AC" w:rsidRPr="000D27AC" w:rsidRDefault="000D27AC" w:rsidP="000D27AC">
      <w:pPr>
        <w:ind w:right="-159"/>
        <w:jc w:val="both"/>
        <w:rPr>
          <w:rFonts w:eastAsia="Calibri"/>
          <w:b/>
          <w:sz w:val="20"/>
          <w:szCs w:val="20"/>
          <w:lang w:eastAsia="en-US"/>
        </w:rPr>
      </w:pPr>
      <w:r w:rsidRPr="000D27AC">
        <w:rPr>
          <w:rFonts w:eastAsia="Calibri"/>
          <w:b/>
          <w:sz w:val="20"/>
          <w:szCs w:val="20"/>
          <w:lang w:eastAsia="en-US"/>
        </w:rPr>
        <w:t>Fuente de información:</w:t>
      </w:r>
    </w:p>
    <w:p w14:paraId="311481D9" w14:textId="77777777" w:rsidR="000D27AC" w:rsidRPr="00CF18F1" w:rsidRDefault="0045651A" w:rsidP="000D27AC">
      <w:pPr>
        <w:ind w:right="-159"/>
        <w:jc w:val="both"/>
        <w:rPr>
          <w:rFonts w:eastAsia="Calibri"/>
          <w:color w:val="0000FF"/>
          <w:sz w:val="20"/>
          <w:szCs w:val="20"/>
          <w:lang w:eastAsia="en-US"/>
        </w:rPr>
      </w:pPr>
      <w:hyperlink r:id="rId153" w:history="1">
        <w:r w:rsidR="000D27AC" w:rsidRPr="00CF18F1">
          <w:rPr>
            <w:rFonts w:eastAsia="Calibri"/>
            <w:color w:val="0000FF"/>
            <w:sz w:val="20"/>
            <w:szCs w:val="20"/>
            <w:u w:val="single"/>
            <w:lang w:eastAsia="en-US"/>
          </w:rPr>
          <w:t>http://nissannews.com/es-MX/nissan/mexico/releases/nissan-anuncia-ventas-de-marzo-2015-y-ventas-totales-de-su-a-o-fiscal-2014-en-mexico</w:t>
        </w:r>
      </w:hyperlink>
    </w:p>
    <w:p w14:paraId="7AC63C1E" w14:textId="77777777" w:rsidR="000D27AC" w:rsidRPr="00CF18F1" w:rsidRDefault="000D27AC" w:rsidP="000D27AC">
      <w:pPr>
        <w:ind w:right="-159"/>
        <w:jc w:val="both"/>
        <w:rPr>
          <w:rFonts w:eastAsia="Calibri"/>
          <w:sz w:val="20"/>
          <w:szCs w:val="20"/>
          <w:lang w:eastAsia="en-US"/>
        </w:rPr>
      </w:pPr>
      <w:r w:rsidRPr="00CF18F1">
        <w:rPr>
          <w:rFonts w:eastAsia="Calibri"/>
          <w:sz w:val="20"/>
          <w:szCs w:val="20"/>
          <w:lang w:eastAsia="en-US"/>
        </w:rPr>
        <w:t>Para tener acceso a información relacionada visite:</w:t>
      </w:r>
    </w:p>
    <w:p w14:paraId="21FD4662" w14:textId="77777777" w:rsidR="000D27AC" w:rsidRPr="00CF18F1" w:rsidRDefault="0045651A" w:rsidP="00CF18F1">
      <w:pPr>
        <w:spacing w:after="720"/>
        <w:ind w:right="-159"/>
        <w:jc w:val="both"/>
        <w:rPr>
          <w:rFonts w:eastAsia="Calibri"/>
          <w:color w:val="0000FF"/>
          <w:sz w:val="20"/>
          <w:szCs w:val="20"/>
          <w:lang w:eastAsia="en-US"/>
        </w:rPr>
      </w:pPr>
      <w:hyperlink r:id="rId154" w:history="1">
        <w:r w:rsidR="000D27AC" w:rsidRPr="00CF18F1">
          <w:rPr>
            <w:rFonts w:eastAsia="Calibri"/>
            <w:color w:val="0000FF"/>
            <w:sz w:val="20"/>
            <w:szCs w:val="20"/>
            <w:u w:val="single"/>
            <w:lang w:eastAsia="en-US"/>
          </w:rPr>
          <w:t>http://nissannews.com/es-MX/nissan/mexico/releases/nissan-reporta-ventas-de-marzo-2015-y-ventas-totales-de-su-a-o-fiscal-2014-en-estados-unidos</w:t>
        </w:r>
      </w:hyperlink>
    </w:p>
    <w:p w14:paraId="2D598EAC" w14:textId="77777777" w:rsidR="00FE7DA2" w:rsidRPr="00FE7DA2" w:rsidRDefault="00FE7DA2" w:rsidP="00FE7DA2">
      <w:pPr>
        <w:ind w:right="-159"/>
        <w:jc w:val="both"/>
        <w:rPr>
          <w:rFonts w:eastAsia="Calibri"/>
          <w:b/>
          <w:bCs/>
          <w:sz w:val="26"/>
          <w:szCs w:val="26"/>
          <w:lang w:eastAsia="en-US"/>
        </w:rPr>
      </w:pPr>
      <w:r w:rsidRPr="00FE7DA2">
        <w:rPr>
          <w:rFonts w:eastAsia="Calibri"/>
          <w:b/>
          <w:bCs/>
          <w:sz w:val="26"/>
          <w:szCs w:val="26"/>
          <w:lang w:eastAsia="en-US"/>
        </w:rPr>
        <w:t>Reportan ventas de marzo 2015 y ventas</w:t>
      </w:r>
    </w:p>
    <w:p w14:paraId="5FC328C2" w14:textId="77777777" w:rsidR="00FE7DA2" w:rsidRPr="00FE7DA2" w:rsidRDefault="00FE7DA2" w:rsidP="00FE7DA2">
      <w:pPr>
        <w:ind w:right="-159"/>
        <w:jc w:val="both"/>
        <w:rPr>
          <w:rFonts w:eastAsia="Calibri"/>
          <w:b/>
          <w:bCs/>
          <w:sz w:val="26"/>
          <w:szCs w:val="26"/>
          <w:lang w:eastAsia="en-US"/>
        </w:rPr>
      </w:pPr>
      <w:r w:rsidRPr="00FE7DA2">
        <w:rPr>
          <w:rFonts w:eastAsia="Calibri"/>
          <w:b/>
          <w:bCs/>
          <w:sz w:val="26"/>
          <w:szCs w:val="26"/>
          <w:lang w:eastAsia="en-US"/>
        </w:rPr>
        <w:t>totales de su año fiscal  2014  en  Estados</w:t>
      </w:r>
    </w:p>
    <w:p w14:paraId="5CFF973B" w14:textId="77777777" w:rsidR="00FE7DA2" w:rsidRPr="00FE7DA2" w:rsidRDefault="00FE7DA2" w:rsidP="00FE7DA2">
      <w:pPr>
        <w:spacing w:after="360" w:line="360" w:lineRule="auto"/>
        <w:ind w:right="-159"/>
        <w:jc w:val="both"/>
        <w:rPr>
          <w:rFonts w:eastAsia="Calibri"/>
          <w:b/>
          <w:sz w:val="26"/>
          <w:szCs w:val="26"/>
          <w:lang w:eastAsia="en-US"/>
        </w:rPr>
      </w:pPr>
      <w:r w:rsidRPr="00FE7DA2">
        <w:rPr>
          <w:rFonts w:eastAsia="Calibri"/>
          <w:b/>
          <w:bCs/>
          <w:sz w:val="26"/>
          <w:szCs w:val="26"/>
          <w:lang w:eastAsia="en-US"/>
        </w:rPr>
        <w:t>Unidos</w:t>
      </w:r>
      <w:r w:rsidRPr="00FE7DA2">
        <w:rPr>
          <w:rFonts w:eastAsia="Calibri"/>
          <w:b/>
          <w:sz w:val="26"/>
          <w:szCs w:val="26"/>
          <w:lang w:eastAsia="en-US"/>
        </w:rPr>
        <w:t xml:space="preserve"> de Norteamérica (</w:t>
      </w:r>
      <w:r w:rsidRPr="00FE7DA2">
        <w:rPr>
          <w:rFonts w:eastAsia="Calibri"/>
          <w:b/>
          <w:bCs/>
          <w:sz w:val="26"/>
          <w:szCs w:val="26"/>
          <w:lang w:eastAsia="en-US"/>
        </w:rPr>
        <w:t>Nissan</w:t>
      </w:r>
      <w:r w:rsidRPr="00FE7DA2">
        <w:rPr>
          <w:rFonts w:eastAsia="Calibri"/>
          <w:b/>
          <w:sz w:val="26"/>
          <w:szCs w:val="26"/>
          <w:lang w:eastAsia="en-US"/>
        </w:rPr>
        <w:t>)</w:t>
      </w:r>
    </w:p>
    <w:p w14:paraId="54599CD5" w14:textId="77777777" w:rsidR="00FE7DA2" w:rsidRPr="00FE7DA2" w:rsidRDefault="00FE7DA2" w:rsidP="00FE7DA2">
      <w:pPr>
        <w:spacing w:after="360" w:line="360" w:lineRule="auto"/>
        <w:ind w:right="-159"/>
        <w:jc w:val="both"/>
        <w:rPr>
          <w:rFonts w:eastAsia="Calibri"/>
          <w:sz w:val="26"/>
          <w:szCs w:val="26"/>
          <w:lang w:eastAsia="en-US"/>
        </w:rPr>
      </w:pPr>
      <w:r w:rsidRPr="00FE7DA2">
        <w:rPr>
          <w:rFonts w:eastAsia="Calibri"/>
          <w:sz w:val="26"/>
          <w:szCs w:val="26"/>
          <w:lang w:eastAsia="en-US"/>
        </w:rPr>
        <w:t>El 1º de abril de 2015, la empresa automotriz Nissan anunció el total de ventas en Estados Unidos de Norteamérica correspondiente a marzo de 2015 de 145 mil 85 unidades, representando el segundo mejor mes de ventas en aquel país en la historia de la compañía.</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326"/>
        <w:gridCol w:w="907"/>
        <w:gridCol w:w="907"/>
        <w:gridCol w:w="1430"/>
      </w:tblGrid>
      <w:tr w:rsidR="00FE7DA2" w:rsidRPr="00FE7DA2" w14:paraId="5521FC22" w14:textId="77777777" w:rsidTr="00650298">
        <w:trPr>
          <w:jc w:val="center"/>
        </w:trPr>
        <w:tc>
          <w:tcPr>
            <w:tcW w:w="5083" w:type="dxa"/>
          </w:tcPr>
          <w:p w14:paraId="0CE26E86" w14:textId="77777777" w:rsidR="00FE7DA2" w:rsidRPr="00FE7DA2" w:rsidRDefault="00FE7DA2" w:rsidP="00D97E73">
            <w:pPr>
              <w:jc w:val="center"/>
              <w:rPr>
                <w:rFonts w:eastAsia="Calibri"/>
                <w:b/>
                <w:sz w:val="22"/>
                <w:szCs w:val="22"/>
                <w:lang w:eastAsia="en-US"/>
              </w:rPr>
            </w:pPr>
            <w:r w:rsidRPr="00FE7DA2">
              <w:rPr>
                <w:rFonts w:eastAsia="Calibri"/>
                <w:b/>
                <w:sz w:val="22"/>
                <w:szCs w:val="22"/>
                <w:lang w:eastAsia="en-US"/>
              </w:rPr>
              <w:t>RESULTADOS DEL MES</w:t>
            </w:r>
          </w:p>
        </w:tc>
        <w:tc>
          <w:tcPr>
            <w:tcW w:w="0" w:type="auto"/>
          </w:tcPr>
          <w:p w14:paraId="65B6C7AB" w14:textId="77777777" w:rsidR="00FE7DA2" w:rsidRPr="00FE7DA2" w:rsidRDefault="00FE7DA2" w:rsidP="00FE7DA2">
            <w:pPr>
              <w:jc w:val="center"/>
              <w:rPr>
                <w:rFonts w:eastAsia="Calibri"/>
                <w:b/>
                <w:sz w:val="22"/>
                <w:szCs w:val="22"/>
                <w:lang w:eastAsia="en-US"/>
              </w:rPr>
            </w:pPr>
            <w:r w:rsidRPr="00FE7DA2">
              <w:rPr>
                <w:rFonts w:eastAsia="Calibri"/>
                <w:b/>
                <w:sz w:val="22"/>
                <w:szCs w:val="22"/>
                <w:lang w:eastAsia="en-US"/>
              </w:rPr>
              <w:t>2015</w:t>
            </w:r>
          </w:p>
        </w:tc>
        <w:tc>
          <w:tcPr>
            <w:tcW w:w="0" w:type="auto"/>
          </w:tcPr>
          <w:p w14:paraId="3016E5C8" w14:textId="77777777" w:rsidR="00FE7DA2" w:rsidRPr="00FE7DA2" w:rsidRDefault="00FE7DA2" w:rsidP="00FE7DA2">
            <w:pPr>
              <w:jc w:val="center"/>
              <w:rPr>
                <w:rFonts w:eastAsia="Calibri"/>
                <w:b/>
                <w:sz w:val="22"/>
                <w:szCs w:val="22"/>
                <w:lang w:eastAsia="en-US"/>
              </w:rPr>
            </w:pPr>
            <w:r w:rsidRPr="00FE7DA2">
              <w:rPr>
                <w:rFonts w:eastAsia="Calibri"/>
                <w:b/>
                <w:sz w:val="22"/>
                <w:szCs w:val="22"/>
                <w:lang w:eastAsia="en-US"/>
              </w:rPr>
              <w:t>2014</w:t>
            </w:r>
          </w:p>
        </w:tc>
        <w:tc>
          <w:tcPr>
            <w:tcW w:w="1365" w:type="dxa"/>
          </w:tcPr>
          <w:p w14:paraId="7979EA64" w14:textId="77777777" w:rsidR="00FE7DA2" w:rsidRPr="00FE7DA2" w:rsidRDefault="00FE7DA2" w:rsidP="00FE7DA2">
            <w:pPr>
              <w:jc w:val="center"/>
              <w:rPr>
                <w:rFonts w:eastAsia="Calibri"/>
                <w:b/>
                <w:sz w:val="22"/>
                <w:szCs w:val="22"/>
                <w:lang w:eastAsia="en-US"/>
              </w:rPr>
            </w:pPr>
            <w:r w:rsidRPr="00FE7DA2">
              <w:rPr>
                <w:rFonts w:eastAsia="Calibri"/>
                <w:b/>
                <w:sz w:val="22"/>
                <w:szCs w:val="22"/>
                <w:lang w:eastAsia="en-US"/>
              </w:rPr>
              <w:t>Cambio %</w:t>
            </w:r>
          </w:p>
        </w:tc>
      </w:tr>
      <w:tr w:rsidR="00FE7DA2" w:rsidRPr="00FE7DA2" w14:paraId="2708F347" w14:textId="77777777" w:rsidTr="00650298">
        <w:trPr>
          <w:jc w:val="center"/>
        </w:trPr>
        <w:tc>
          <w:tcPr>
            <w:tcW w:w="5083" w:type="dxa"/>
            <w:tcBorders>
              <w:bottom w:val="single" w:sz="2" w:space="0" w:color="auto"/>
            </w:tcBorders>
          </w:tcPr>
          <w:p w14:paraId="13D27D4B" w14:textId="77777777" w:rsidR="00FE7DA2" w:rsidRPr="00FE7DA2" w:rsidRDefault="00FE7DA2" w:rsidP="00FE7DA2">
            <w:pPr>
              <w:jc w:val="both"/>
              <w:rPr>
                <w:rFonts w:eastAsia="Calibri"/>
                <w:sz w:val="20"/>
                <w:szCs w:val="20"/>
                <w:lang w:eastAsia="en-US"/>
              </w:rPr>
            </w:pPr>
            <w:r w:rsidRPr="00FE7DA2">
              <w:rPr>
                <w:rFonts w:eastAsia="Calibri"/>
                <w:sz w:val="20"/>
                <w:szCs w:val="20"/>
                <w:lang w:eastAsia="en-US"/>
              </w:rPr>
              <w:t>Ventas totales de Nissan en marzo (unidades)</w:t>
            </w:r>
          </w:p>
        </w:tc>
        <w:tc>
          <w:tcPr>
            <w:tcW w:w="0" w:type="auto"/>
            <w:tcBorders>
              <w:bottom w:val="single" w:sz="2" w:space="0" w:color="auto"/>
            </w:tcBorders>
          </w:tcPr>
          <w:p w14:paraId="0D1D7107" w14:textId="77777777" w:rsidR="00FE7DA2" w:rsidRPr="00FE7DA2" w:rsidRDefault="00FE7DA2" w:rsidP="00FE7DA2">
            <w:pPr>
              <w:jc w:val="right"/>
              <w:rPr>
                <w:rFonts w:eastAsia="Calibri"/>
                <w:sz w:val="20"/>
                <w:szCs w:val="20"/>
                <w:lang w:eastAsia="en-US"/>
              </w:rPr>
            </w:pPr>
            <w:r w:rsidRPr="00FE7DA2">
              <w:rPr>
                <w:rFonts w:eastAsia="Calibri"/>
                <w:sz w:val="20"/>
                <w:szCs w:val="20"/>
                <w:lang w:eastAsia="en-US"/>
              </w:rPr>
              <w:t>132 560</w:t>
            </w:r>
          </w:p>
        </w:tc>
        <w:tc>
          <w:tcPr>
            <w:tcW w:w="0" w:type="auto"/>
            <w:tcBorders>
              <w:bottom w:val="single" w:sz="2" w:space="0" w:color="auto"/>
            </w:tcBorders>
          </w:tcPr>
          <w:p w14:paraId="3D85D7A9" w14:textId="77777777" w:rsidR="00FE7DA2" w:rsidRPr="00FE7DA2" w:rsidRDefault="00FE7DA2" w:rsidP="00FE7DA2">
            <w:pPr>
              <w:jc w:val="right"/>
              <w:rPr>
                <w:rFonts w:eastAsia="Calibri"/>
                <w:sz w:val="20"/>
                <w:szCs w:val="20"/>
                <w:lang w:eastAsia="en-US"/>
              </w:rPr>
            </w:pPr>
            <w:r w:rsidRPr="00FE7DA2">
              <w:rPr>
                <w:rFonts w:eastAsia="Calibri"/>
                <w:sz w:val="20"/>
                <w:szCs w:val="20"/>
                <w:lang w:eastAsia="en-US"/>
              </w:rPr>
              <w:t>136 642</w:t>
            </w:r>
          </w:p>
        </w:tc>
        <w:tc>
          <w:tcPr>
            <w:tcW w:w="1365" w:type="dxa"/>
            <w:tcBorders>
              <w:bottom w:val="single" w:sz="2" w:space="0" w:color="auto"/>
            </w:tcBorders>
          </w:tcPr>
          <w:p w14:paraId="52AF3820" w14:textId="3F10320B" w:rsidR="00FE7DA2" w:rsidRPr="00FE7DA2" w:rsidRDefault="00CF18F1" w:rsidP="00CF18F1">
            <w:pPr>
              <w:tabs>
                <w:tab w:val="left" w:pos="434"/>
                <w:tab w:val="center" w:pos="607"/>
              </w:tabs>
              <w:jc w:val="center"/>
              <w:rPr>
                <w:rFonts w:eastAsia="Calibri"/>
                <w:sz w:val="20"/>
                <w:szCs w:val="20"/>
                <w:lang w:eastAsia="en-US"/>
              </w:rPr>
            </w:pPr>
            <w:r>
              <w:rPr>
                <w:rFonts w:eastAsia="Calibri"/>
                <w:sz w:val="20"/>
                <w:szCs w:val="20"/>
                <w:lang w:eastAsia="en-US"/>
              </w:rPr>
              <w:t>-3</w:t>
            </w:r>
          </w:p>
        </w:tc>
      </w:tr>
      <w:tr w:rsidR="00FE7DA2" w:rsidRPr="00FE7DA2" w14:paraId="7865292D" w14:textId="77777777" w:rsidTr="00650298">
        <w:trPr>
          <w:jc w:val="center"/>
        </w:trPr>
        <w:tc>
          <w:tcPr>
            <w:tcW w:w="8570" w:type="dxa"/>
            <w:gridSpan w:val="4"/>
            <w:tcBorders>
              <w:left w:val="nil"/>
              <w:bottom w:val="nil"/>
              <w:right w:val="nil"/>
            </w:tcBorders>
          </w:tcPr>
          <w:p w14:paraId="1D69A17E" w14:textId="77777777" w:rsidR="00FE7DA2" w:rsidRPr="00FE7DA2" w:rsidRDefault="00FE7DA2" w:rsidP="00FE7DA2">
            <w:pPr>
              <w:spacing w:before="120"/>
              <w:jc w:val="both"/>
              <w:rPr>
                <w:rFonts w:eastAsia="Calibri"/>
                <w:sz w:val="20"/>
                <w:szCs w:val="20"/>
                <w:lang w:eastAsia="en-US"/>
              </w:rPr>
            </w:pPr>
            <w:r w:rsidRPr="00FE7DA2">
              <w:rPr>
                <w:rFonts w:eastAsia="Calibri"/>
                <w:sz w:val="20"/>
                <w:szCs w:val="20"/>
                <w:lang w:eastAsia="en-US"/>
              </w:rPr>
              <w:t>FUENTE: Nissan.</w:t>
            </w:r>
          </w:p>
        </w:tc>
      </w:tr>
    </w:tbl>
    <w:p w14:paraId="5BE98B59" w14:textId="77777777" w:rsidR="00FE7DA2" w:rsidRDefault="00FE7DA2" w:rsidP="00FE7DA2">
      <w:pPr>
        <w:spacing w:after="200" w:line="276" w:lineRule="auto"/>
        <w:rPr>
          <w:rFonts w:eastAsia="Calibri"/>
          <w:sz w:val="20"/>
          <w:szCs w:val="20"/>
          <w:lang w:eastAsia="en-US"/>
        </w:rPr>
      </w:pPr>
    </w:p>
    <w:p w14:paraId="111D21EC" w14:textId="77777777" w:rsidR="00CF18F1" w:rsidRDefault="00CF18F1" w:rsidP="00FE7DA2">
      <w:pPr>
        <w:spacing w:after="200" w:line="276" w:lineRule="auto"/>
        <w:rPr>
          <w:rFonts w:eastAsia="Calibri"/>
          <w:sz w:val="20"/>
          <w:szCs w:val="20"/>
          <w:lang w:eastAsia="en-US"/>
        </w:rPr>
      </w:pPr>
    </w:p>
    <w:p w14:paraId="25AB1E8C" w14:textId="77777777" w:rsidR="00CF18F1" w:rsidRDefault="00CF18F1" w:rsidP="00FE7DA2">
      <w:pPr>
        <w:spacing w:after="200" w:line="276" w:lineRule="auto"/>
        <w:rPr>
          <w:rFonts w:eastAsia="Calibri"/>
          <w:sz w:val="20"/>
          <w:szCs w:val="20"/>
          <w:lang w:eastAsia="en-US"/>
        </w:rPr>
      </w:pPr>
    </w:p>
    <w:p w14:paraId="30BFA319" w14:textId="77777777" w:rsidR="00CF18F1" w:rsidRPr="00FE7DA2" w:rsidRDefault="00CF18F1" w:rsidP="00FE7DA2">
      <w:pPr>
        <w:spacing w:after="200" w:line="276" w:lineRule="auto"/>
        <w:rPr>
          <w:rFonts w:eastAsia="Calibri"/>
          <w:sz w:val="20"/>
          <w:szCs w:val="20"/>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426"/>
        <w:gridCol w:w="2522"/>
        <w:gridCol w:w="2298"/>
        <w:gridCol w:w="1291"/>
      </w:tblGrid>
      <w:tr w:rsidR="00FE7DA2" w:rsidRPr="00FE7DA2" w14:paraId="26937FC3" w14:textId="77777777" w:rsidTr="00D97E73">
        <w:trPr>
          <w:trHeight w:val="133"/>
          <w:jc w:val="center"/>
        </w:trPr>
        <w:tc>
          <w:tcPr>
            <w:tcW w:w="2426" w:type="dxa"/>
            <w:vMerge w:val="restart"/>
          </w:tcPr>
          <w:p w14:paraId="2993B3AB" w14:textId="77777777" w:rsidR="00FE7DA2" w:rsidRPr="00FE7DA2" w:rsidRDefault="00FE7DA2" w:rsidP="00FE7DA2">
            <w:pPr>
              <w:jc w:val="both"/>
              <w:rPr>
                <w:rFonts w:eastAsia="Calibri"/>
                <w:sz w:val="20"/>
                <w:szCs w:val="20"/>
                <w:lang w:eastAsia="en-US"/>
              </w:rPr>
            </w:pPr>
          </w:p>
        </w:tc>
        <w:tc>
          <w:tcPr>
            <w:tcW w:w="4820" w:type="dxa"/>
            <w:gridSpan w:val="2"/>
          </w:tcPr>
          <w:p w14:paraId="226074E6" w14:textId="77777777" w:rsidR="00FE7DA2" w:rsidRPr="00FE7DA2" w:rsidRDefault="00FE7DA2" w:rsidP="00FE7DA2">
            <w:pPr>
              <w:jc w:val="center"/>
              <w:rPr>
                <w:rFonts w:eastAsia="Calibri"/>
                <w:sz w:val="20"/>
                <w:szCs w:val="20"/>
                <w:lang w:eastAsia="en-US"/>
              </w:rPr>
            </w:pPr>
            <w:r w:rsidRPr="00FE7DA2">
              <w:rPr>
                <w:rFonts w:eastAsia="Calibri"/>
                <w:sz w:val="20"/>
                <w:szCs w:val="20"/>
                <w:lang w:eastAsia="en-US"/>
              </w:rPr>
              <w:t>Año Fiscal;</w:t>
            </w:r>
          </w:p>
        </w:tc>
        <w:tc>
          <w:tcPr>
            <w:tcW w:w="1291" w:type="dxa"/>
            <w:vMerge w:val="restart"/>
            <w:vAlign w:val="center"/>
          </w:tcPr>
          <w:p w14:paraId="697163DC" w14:textId="77777777" w:rsidR="00FE7DA2" w:rsidRPr="002D432B" w:rsidRDefault="00FE7DA2" w:rsidP="00FE7DA2">
            <w:pPr>
              <w:jc w:val="center"/>
              <w:rPr>
                <w:rFonts w:eastAsia="Calibri"/>
                <w:b/>
                <w:bCs/>
                <w:sz w:val="20"/>
                <w:szCs w:val="20"/>
                <w:lang w:eastAsia="en-US"/>
              </w:rPr>
            </w:pPr>
            <w:r w:rsidRPr="002D432B">
              <w:rPr>
                <w:rFonts w:eastAsia="Calibri"/>
                <w:b/>
                <w:bCs/>
                <w:sz w:val="20"/>
                <w:szCs w:val="20"/>
                <w:lang w:eastAsia="en-US"/>
              </w:rPr>
              <w:t>Cambio</w:t>
            </w:r>
          </w:p>
          <w:p w14:paraId="3E10D3A0" w14:textId="59AED035" w:rsidR="00FE7DA2" w:rsidRPr="00FE7DA2" w:rsidRDefault="00187024" w:rsidP="00187024">
            <w:pPr>
              <w:jc w:val="center"/>
              <w:rPr>
                <w:rFonts w:eastAsia="Calibri"/>
                <w:sz w:val="20"/>
                <w:szCs w:val="20"/>
                <w:lang w:eastAsia="en-US"/>
              </w:rPr>
            </w:pPr>
            <w:r>
              <w:rPr>
                <w:rFonts w:eastAsia="Calibri"/>
                <w:b/>
                <w:bCs/>
                <w:sz w:val="20"/>
                <w:szCs w:val="20"/>
                <w:lang w:eastAsia="en-US"/>
              </w:rPr>
              <w:t>p</w:t>
            </w:r>
            <w:r w:rsidR="00FE7DA2" w:rsidRPr="002D432B">
              <w:rPr>
                <w:rFonts w:eastAsia="Calibri"/>
                <w:b/>
                <w:bCs/>
                <w:sz w:val="20"/>
                <w:szCs w:val="20"/>
                <w:lang w:eastAsia="en-US"/>
              </w:rPr>
              <w:t>orcentual</w:t>
            </w:r>
          </w:p>
        </w:tc>
      </w:tr>
      <w:tr w:rsidR="00FE7DA2" w:rsidRPr="00FE7DA2" w14:paraId="46A4E9AF" w14:textId="77777777" w:rsidTr="00650298">
        <w:trPr>
          <w:trHeight w:val="132"/>
          <w:jc w:val="center"/>
        </w:trPr>
        <w:tc>
          <w:tcPr>
            <w:tcW w:w="2426" w:type="dxa"/>
            <w:vMerge/>
          </w:tcPr>
          <w:p w14:paraId="03991F21" w14:textId="77777777" w:rsidR="00FE7DA2" w:rsidRPr="00FE7DA2" w:rsidRDefault="00FE7DA2" w:rsidP="00FE7DA2">
            <w:pPr>
              <w:jc w:val="both"/>
              <w:rPr>
                <w:rFonts w:eastAsia="Calibri"/>
                <w:sz w:val="20"/>
                <w:szCs w:val="20"/>
                <w:lang w:eastAsia="en-US"/>
              </w:rPr>
            </w:pPr>
          </w:p>
        </w:tc>
        <w:tc>
          <w:tcPr>
            <w:tcW w:w="2522" w:type="dxa"/>
          </w:tcPr>
          <w:p w14:paraId="244BECD0" w14:textId="77777777" w:rsidR="00FE7DA2" w:rsidRPr="002D432B" w:rsidRDefault="00FE7DA2" w:rsidP="00FE7DA2">
            <w:pPr>
              <w:jc w:val="center"/>
              <w:rPr>
                <w:rFonts w:eastAsia="Calibri"/>
                <w:b/>
                <w:sz w:val="20"/>
                <w:szCs w:val="20"/>
                <w:lang w:eastAsia="en-US"/>
              </w:rPr>
            </w:pPr>
            <w:r w:rsidRPr="002D432B">
              <w:rPr>
                <w:rFonts w:eastAsia="Calibri"/>
                <w:b/>
                <w:sz w:val="20"/>
                <w:szCs w:val="20"/>
                <w:lang w:eastAsia="en-US"/>
              </w:rPr>
              <w:t>2014</w:t>
            </w:r>
          </w:p>
        </w:tc>
        <w:tc>
          <w:tcPr>
            <w:tcW w:w="2298" w:type="dxa"/>
          </w:tcPr>
          <w:p w14:paraId="0FC8A768" w14:textId="77777777" w:rsidR="00FE7DA2" w:rsidRPr="002D432B" w:rsidRDefault="00FE7DA2" w:rsidP="00FE7DA2">
            <w:pPr>
              <w:jc w:val="center"/>
              <w:rPr>
                <w:rFonts w:eastAsia="Calibri"/>
                <w:b/>
                <w:sz w:val="20"/>
                <w:szCs w:val="20"/>
                <w:lang w:eastAsia="en-US"/>
              </w:rPr>
            </w:pPr>
            <w:r w:rsidRPr="002D432B">
              <w:rPr>
                <w:rFonts w:eastAsia="Calibri"/>
                <w:b/>
                <w:sz w:val="20"/>
                <w:szCs w:val="20"/>
                <w:lang w:eastAsia="en-US"/>
              </w:rPr>
              <w:t>2013</w:t>
            </w:r>
          </w:p>
        </w:tc>
        <w:tc>
          <w:tcPr>
            <w:tcW w:w="1291" w:type="dxa"/>
            <w:vMerge/>
          </w:tcPr>
          <w:p w14:paraId="1FCAEAF8" w14:textId="77777777" w:rsidR="00FE7DA2" w:rsidRPr="00FE7DA2" w:rsidRDefault="00FE7DA2" w:rsidP="00FE7DA2">
            <w:pPr>
              <w:jc w:val="right"/>
              <w:rPr>
                <w:rFonts w:eastAsia="Calibri"/>
                <w:bCs/>
                <w:sz w:val="20"/>
                <w:szCs w:val="20"/>
                <w:lang w:eastAsia="en-US"/>
              </w:rPr>
            </w:pPr>
          </w:p>
        </w:tc>
      </w:tr>
      <w:tr w:rsidR="00FE7DA2" w:rsidRPr="00FE7DA2" w14:paraId="46B8C300" w14:textId="77777777" w:rsidTr="00650298">
        <w:trPr>
          <w:trHeight w:val="199"/>
          <w:jc w:val="center"/>
        </w:trPr>
        <w:tc>
          <w:tcPr>
            <w:tcW w:w="2426" w:type="dxa"/>
            <w:vMerge/>
          </w:tcPr>
          <w:p w14:paraId="3FA5C441" w14:textId="77777777" w:rsidR="00FE7DA2" w:rsidRPr="00FE7DA2" w:rsidRDefault="00FE7DA2" w:rsidP="00FE7DA2">
            <w:pPr>
              <w:jc w:val="both"/>
              <w:rPr>
                <w:rFonts w:eastAsia="Calibri"/>
                <w:sz w:val="20"/>
                <w:szCs w:val="20"/>
                <w:lang w:eastAsia="en-US"/>
              </w:rPr>
            </w:pPr>
          </w:p>
        </w:tc>
        <w:tc>
          <w:tcPr>
            <w:tcW w:w="2522" w:type="dxa"/>
          </w:tcPr>
          <w:p w14:paraId="5566B7BF" w14:textId="219F26BD" w:rsidR="00FE7DA2" w:rsidRPr="00FE7DA2" w:rsidRDefault="00FE7DA2" w:rsidP="00FE7DA2">
            <w:pPr>
              <w:jc w:val="center"/>
              <w:rPr>
                <w:rFonts w:eastAsia="Calibri"/>
                <w:sz w:val="20"/>
                <w:szCs w:val="20"/>
                <w:lang w:eastAsia="en-US"/>
              </w:rPr>
            </w:pPr>
            <w:r w:rsidRPr="00FE7DA2">
              <w:rPr>
                <w:rFonts w:eastAsia="Calibri"/>
                <w:sz w:val="20"/>
                <w:szCs w:val="20"/>
                <w:lang w:eastAsia="en-US"/>
              </w:rPr>
              <w:t>Del 1</w:t>
            </w:r>
            <w:r w:rsidR="00187024">
              <w:rPr>
                <w:rFonts w:eastAsia="Calibri"/>
                <w:sz w:val="20"/>
                <w:szCs w:val="20"/>
                <w:lang w:eastAsia="en-US"/>
              </w:rPr>
              <w:t xml:space="preserve">º </w:t>
            </w:r>
            <w:r w:rsidRPr="00FE7DA2">
              <w:rPr>
                <w:rFonts w:eastAsia="Calibri"/>
                <w:sz w:val="20"/>
                <w:szCs w:val="20"/>
                <w:lang w:eastAsia="en-US"/>
              </w:rPr>
              <w:t xml:space="preserve">de </w:t>
            </w:r>
            <w:r w:rsidR="00187024">
              <w:rPr>
                <w:rFonts w:eastAsia="Calibri"/>
                <w:sz w:val="20"/>
                <w:szCs w:val="20"/>
                <w:lang w:eastAsia="en-US"/>
              </w:rPr>
              <w:t>a</w:t>
            </w:r>
            <w:r w:rsidRPr="00FE7DA2">
              <w:rPr>
                <w:rFonts w:eastAsia="Calibri"/>
                <w:sz w:val="20"/>
                <w:szCs w:val="20"/>
                <w:lang w:eastAsia="en-US"/>
              </w:rPr>
              <w:t>bril de 2014</w:t>
            </w:r>
          </w:p>
          <w:p w14:paraId="60A3F4D3" w14:textId="77777777" w:rsidR="00FE7DA2" w:rsidRPr="00FE7DA2" w:rsidRDefault="00FE7DA2" w:rsidP="00FE7DA2">
            <w:pPr>
              <w:jc w:val="center"/>
              <w:rPr>
                <w:rFonts w:eastAsia="Calibri"/>
                <w:sz w:val="20"/>
                <w:szCs w:val="20"/>
                <w:lang w:eastAsia="en-US"/>
              </w:rPr>
            </w:pPr>
            <w:r w:rsidRPr="00FE7DA2">
              <w:rPr>
                <w:rFonts w:eastAsia="Calibri"/>
                <w:sz w:val="20"/>
                <w:szCs w:val="20"/>
                <w:lang w:eastAsia="en-US"/>
              </w:rPr>
              <w:t>al 31 de marzo de 2015</w:t>
            </w:r>
          </w:p>
        </w:tc>
        <w:tc>
          <w:tcPr>
            <w:tcW w:w="2298" w:type="dxa"/>
          </w:tcPr>
          <w:p w14:paraId="0CF425B6" w14:textId="59B06DA9" w:rsidR="00FE7DA2" w:rsidRPr="00FE7DA2" w:rsidRDefault="00FE7DA2" w:rsidP="00FE7DA2">
            <w:pPr>
              <w:jc w:val="center"/>
              <w:rPr>
                <w:rFonts w:eastAsia="Calibri"/>
                <w:sz w:val="20"/>
                <w:szCs w:val="20"/>
                <w:lang w:eastAsia="en-US"/>
              </w:rPr>
            </w:pPr>
            <w:r w:rsidRPr="00FE7DA2">
              <w:rPr>
                <w:rFonts w:eastAsia="Calibri"/>
                <w:sz w:val="20"/>
                <w:szCs w:val="20"/>
                <w:lang w:eastAsia="en-US"/>
              </w:rPr>
              <w:t xml:space="preserve">Del 1 de </w:t>
            </w:r>
            <w:r w:rsidR="00CF18F1">
              <w:rPr>
                <w:rFonts w:eastAsia="Calibri"/>
                <w:sz w:val="20"/>
                <w:szCs w:val="20"/>
                <w:lang w:eastAsia="en-US"/>
              </w:rPr>
              <w:t>a</w:t>
            </w:r>
            <w:r w:rsidRPr="00FE7DA2">
              <w:rPr>
                <w:rFonts w:eastAsia="Calibri"/>
                <w:sz w:val="20"/>
                <w:szCs w:val="20"/>
                <w:lang w:eastAsia="en-US"/>
              </w:rPr>
              <w:t>bril de 2013</w:t>
            </w:r>
          </w:p>
          <w:p w14:paraId="0D576F8B" w14:textId="77777777" w:rsidR="00FE7DA2" w:rsidRPr="00FE7DA2" w:rsidRDefault="00FE7DA2" w:rsidP="00FE7DA2">
            <w:pPr>
              <w:jc w:val="center"/>
              <w:rPr>
                <w:rFonts w:eastAsia="Calibri"/>
                <w:sz w:val="20"/>
                <w:szCs w:val="20"/>
                <w:lang w:eastAsia="en-US"/>
              </w:rPr>
            </w:pPr>
            <w:r w:rsidRPr="00FE7DA2">
              <w:rPr>
                <w:rFonts w:eastAsia="Calibri"/>
                <w:sz w:val="20"/>
                <w:szCs w:val="20"/>
                <w:lang w:eastAsia="en-US"/>
              </w:rPr>
              <w:t>al 31 de marzo de 2014</w:t>
            </w:r>
          </w:p>
        </w:tc>
        <w:tc>
          <w:tcPr>
            <w:tcW w:w="1291" w:type="dxa"/>
            <w:vMerge/>
          </w:tcPr>
          <w:p w14:paraId="6E5ED25A" w14:textId="77777777" w:rsidR="00FE7DA2" w:rsidRPr="00FE7DA2" w:rsidRDefault="00FE7DA2" w:rsidP="00FE7DA2">
            <w:pPr>
              <w:jc w:val="right"/>
              <w:rPr>
                <w:rFonts w:eastAsia="Calibri"/>
                <w:bCs/>
                <w:sz w:val="20"/>
                <w:szCs w:val="20"/>
                <w:lang w:eastAsia="en-US"/>
              </w:rPr>
            </w:pPr>
          </w:p>
        </w:tc>
      </w:tr>
      <w:tr w:rsidR="00FE7DA2" w:rsidRPr="00FE7DA2" w14:paraId="70AC402A" w14:textId="77777777" w:rsidTr="00650298">
        <w:trPr>
          <w:jc w:val="center"/>
        </w:trPr>
        <w:tc>
          <w:tcPr>
            <w:tcW w:w="2426" w:type="dxa"/>
            <w:tcBorders>
              <w:bottom w:val="single" w:sz="2" w:space="0" w:color="auto"/>
            </w:tcBorders>
          </w:tcPr>
          <w:p w14:paraId="391DBE07" w14:textId="77777777" w:rsidR="00FE7DA2" w:rsidRPr="00FE7DA2" w:rsidRDefault="00FE7DA2" w:rsidP="00FE7DA2">
            <w:pPr>
              <w:jc w:val="both"/>
              <w:rPr>
                <w:rFonts w:eastAsia="Calibri"/>
                <w:sz w:val="20"/>
                <w:szCs w:val="20"/>
                <w:lang w:eastAsia="en-US"/>
              </w:rPr>
            </w:pPr>
            <w:r w:rsidRPr="00FE7DA2">
              <w:rPr>
                <w:rFonts w:eastAsia="Calibri"/>
                <w:sz w:val="20"/>
                <w:szCs w:val="20"/>
                <w:lang w:eastAsia="en-US"/>
              </w:rPr>
              <w:t>Ventas totales de Nissan</w:t>
            </w:r>
          </w:p>
        </w:tc>
        <w:tc>
          <w:tcPr>
            <w:tcW w:w="2522" w:type="dxa"/>
            <w:tcBorders>
              <w:bottom w:val="single" w:sz="2" w:space="0" w:color="auto"/>
            </w:tcBorders>
          </w:tcPr>
          <w:p w14:paraId="450FE304" w14:textId="21394220" w:rsidR="00FE7DA2" w:rsidRPr="00FE7DA2" w:rsidRDefault="00FE7DA2" w:rsidP="00CF18F1">
            <w:pPr>
              <w:jc w:val="center"/>
              <w:rPr>
                <w:rFonts w:eastAsia="Calibri"/>
                <w:sz w:val="20"/>
                <w:szCs w:val="20"/>
                <w:lang w:eastAsia="en-US"/>
              </w:rPr>
            </w:pPr>
            <w:r w:rsidRPr="00FE7DA2">
              <w:rPr>
                <w:rFonts w:eastAsia="Calibri"/>
                <w:sz w:val="20"/>
                <w:szCs w:val="20"/>
                <w:lang w:eastAsia="en-US"/>
              </w:rPr>
              <w:t>1 279 606</w:t>
            </w:r>
          </w:p>
        </w:tc>
        <w:tc>
          <w:tcPr>
            <w:tcW w:w="2298" w:type="dxa"/>
            <w:tcBorders>
              <w:bottom w:val="single" w:sz="2" w:space="0" w:color="auto"/>
            </w:tcBorders>
          </w:tcPr>
          <w:p w14:paraId="0D84ED71" w14:textId="4BF50066" w:rsidR="00FE7DA2" w:rsidRPr="00FE7DA2" w:rsidRDefault="00FE7DA2" w:rsidP="00CF18F1">
            <w:pPr>
              <w:jc w:val="center"/>
              <w:rPr>
                <w:rFonts w:eastAsia="Calibri"/>
                <w:sz w:val="20"/>
                <w:szCs w:val="20"/>
                <w:lang w:eastAsia="en-US"/>
              </w:rPr>
            </w:pPr>
            <w:r w:rsidRPr="00FE7DA2">
              <w:rPr>
                <w:rFonts w:eastAsia="Calibri"/>
                <w:sz w:val="20"/>
                <w:szCs w:val="20"/>
                <w:lang w:eastAsia="en-US"/>
              </w:rPr>
              <w:t>1 164 805</w:t>
            </w:r>
          </w:p>
        </w:tc>
        <w:tc>
          <w:tcPr>
            <w:tcW w:w="1291" w:type="dxa"/>
            <w:tcBorders>
              <w:bottom w:val="single" w:sz="2" w:space="0" w:color="auto"/>
            </w:tcBorders>
          </w:tcPr>
          <w:p w14:paraId="3F95CB7D" w14:textId="77777777" w:rsidR="00FE7DA2" w:rsidRPr="00FE7DA2" w:rsidRDefault="00FE7DA2" w:rsidP="00D97E73">
            <w:pPr>
              <w:jc w:val="center"/>
              <w:rPr>
                <w:rFonts w:eastAsia="Calibri"/>
                <w:sz w:val="20"/>
                <w:szCs w:val="20"/>
                <w:lang w:eastAsia="en-US"/>
              </w:rPr>
            </w:pPr>
            <w:r w:rsidRPr="00FE7DA2">
              <w:rPr>
                <w:rFonts w:eastAsia="Calibri"/>
                <w:sz w:val="20"/>
                <w:szCs w:val="20"/>
                <w:lang w:eastAsia="en-US"/>
              </w:rPr>
              <w:t>9.9</w:t>
            </w:r>
          </w:p>
        </w:tc>
      </w:tr>
      <w:tr w:rsidR="00FE7DA2" w:rsidRPr="00FE7DA2" w14:paraId="315F1894" w14:textId="77777777" w:rsidTr="00650298">
        <w:trPr>
          <w:jc w:val="center"/>
        </w:trPr>
        <w:tc>
          <w:tcPr>
            <w:tcW w:w="8537" w:type="dxa"/>
            <w:gridSpan w:val="4"/>
            <w:tcBorders>
              <w:left w:val="nil"/>
              <w:bottom w:val="nil"/>
              <w:right w:val="nil"/>
            </w:tcBorders>
          </w:tcPr>
          <w:p w14:paraId="1B268F95" w14:textId="77777777" w:rsidR="00FE7DA2" w:rsidRPr="00FE7DA2" w:rsidRDefault="00FE7DA2" w:rsidP="00FE7DA2">
            <w:pPr>
              <w:spacing w:before="120"/>
              <w:jc w:val="both"/>
              <w:rPr>
                <w:rFonts w:eastAsia="Calibri"/>
                <w:sz w:val="20"/>
                <w:szCs w:val="20"/>
                <w:lang w:eastAsia="en-US"/>
              </w:rPr>
            </w:pPr>
            <w:r w:rsidRPr="00FE7DA2">
              <w:rPr>
                <w:rFonts w:eastAsia="Calibri"/>
                <w:sz w:val="20"/>
                <w:szCs w:val="20"/>
                <w:lang w:eastAsia="en-US"/>
              </w:rPr>
              <w:t>FUENTE: Nissan.</w:t>
            </w:r>
          </w:p>
        </w:tc>
      </w:tr>
    </w:tbl>
    <w:p w14:paraId="283EAA40" w14:textId="77777777" w:rsidR="00FE7DA2" w:rsidRPr="00FE7DA2" w:rsidRDefault="00FE7DA2" w:rsidP="00FE7DA2">
      <w:pPr>
        <w:spacing w:after="360" w:line="360" w:lineRule="auto"/>
        <w:ind w:right="-159"/>
        <w:jc w:val="both"/>
        <w:rPr>
          <w:rFonts w:eastAsia="Calibri"/>
          <w:sz w:val="26"/>
          <w:szCs w:val="26"/>
          <w:lang w:eastAsia="en-US"/>
        </w:rPr>
      </w:pPr>
    </w:p>
    <w:p w14:paraId="071633D8" w14:textId="77777777" w:rsidR="00FE7DA2" w:rsidRPr="00FE7DA2" w:rsidRDefault="00FE7DA2" w:rsidP="00FE7DA2">
      <w:pPr>
        <w:spacing w:after="360" w:line="360" w:lineRule="auto"/>
        <w:ind w:right="-159"/>
        <w:jc w:val="both"/>
        <w:rPr>
          <w:rFonts w:eastAsia="Calibri"/>
          <w:sz w:val="26"/>
          <w:szCs w:val="26"/>
          <w:lang w:eastAsia="en-US"/>
        </w:rPr>
      </w:pPr>
      <w:r w:rsidRPr="00FE7DA2">
        <w:rPr>
          <w:rFonts w:eastAsia="Calibri"/>
          <w:sz w:val="26"/>
          <w:szCs w:val="26"/>
          <w:lang w:eastAsia="en-US"/>
        </w:rPr>
        <w:t>Los aspectos más destacados en marzo para Nissan fueron:</w:t>
      </w:r>
    </w:p>
    <w:p w14:paraId="79CF89BB"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Nissan vendió 132 mil 560 vehículos en marzo, el segundo mejor mes de ventas en Estados Unidos de Norteamérica.</w:t>
      </w:r>
    </w:p>
    <w:p w14:paraId="29E3C7D7"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 xml:space="preserve">En marzo de 2015 fue el mejor mes en venta de SUVs para Nissan, liderado por las ventas de los </w:t>
      </w:r>
      <w:r w:rsidRPr="00FE7DA2">
        <w:rPr>
          <w:rFonts w:eastAsia="Calibri"/>
          <w:i/>
          <w:iCs/>
          <w:sz w:val="26"/>
          <w:szCs w:val="26"/>
          <w:lang w:eastAsia="en-US"/>
        </w:rPr>
        <w:t>crossovers</w:t>
      </w:r>
      <w:r w:rsidRPr="00FE7DA2">
        <w:rPr>
          <w:rFonts w:eastAsia="Calibri"/>
          <w:sz w:val="26"/>
          <w:szCs w:val="26"/>
          <w:lang w:eastAsia="en-US"/>
        </w:rPr>
        <w:t xml:space="preserve"> de la marca incluyendo Rogue, Murano y Pathfinder.</w:t>
      </w:r>
    </w:p>
    <w:p w14:paraId="22765527"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 xml:space="preserve">Las ventas del </w:t>
      </w:r>
      <w:r w:rsidRPr="00FE7DA2">
        <w:rPr>
          <w:rFonts w:eastAsia="Calibri"/>
          <w:i/>
          <w:iCs/>
          <w:sz w:val="26"/>
          <w:szCs w:val="26"/>
          <w:lang w:eastAsia="en-US"/>
        </w:rPr>
        <w:t>crossover</w:t>
      </w:r>
      <w:r w:rsidRPr="00FE7DA2">
        <w:rPr>
          <w:rFonts w:eastAsia="Calibri"/>
          <w:sz w:val="26"/>
          <w:szCs w:val="26"/>
          <w:lang w:eastAsia="en-US"/>
        </w:rPr>
        <w:t xml:space="preserve"> Nissan Rogue establecieron un nuevo récord de ventas con 27 mil 418 unidades, representando un incremento de 41.2% con respecto al año anterior.</w:t>
      </w:r>
    </w:p>
    <w:p w14:paraId="30AD8F09"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Las ventas de Nissan Sentra, producido en Aguascalientes, incrementaron 10.1% a 21 mil 277 unidades.</w:t>
      </w:r>
    </w:p>
    <w:p w14:paraId="0D552C42"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Las ventas de Nissan Pathfinder aumentaron 8.9% con 8 mil 594 unidades.</w:t>
      </w:r>
    </w:p>
    <w:p w14:paraId="178F873E" w14:textId="77777777" w:rsidR="00FE7DA2" w:rsidRPr="00FE7DA2" w:rsidRDefault="00FE7DA2" w:rsidP="003518F4">
      <w:pPr>
        <w:numPr>
          <w:ilvl w:val="0"/>
          <w:numId w:val="122"/>
        </w:numPr>
        <w:spacing w:after="360" w:line="360" w:lineRule="auto"/>
        <w:ind w:left="714" w:right="-159" w:hanging="357"/>
        <w:jc w:val="both"/>
        <w:rPr>
          <w:rFonts w:eastAsia="Calibri"/>
          <w:sz w:val="26"/>
          <w:szCs w:val="26"/>
          <w:lang w:eastAsia="en-US"/>
        </w:rPr>
      </w:pPr>
      <w:r w:rsidRPr="00FE7DA2">
        <w:rPr>
          <w:rFonts w:eastAsia="Calibri"/>
          <w:sz w:val="26"/>
          <w:szCs w:val="26"/>
          <w:lang w:eastAsia="en-US"/>
        </w:rPr>
        <w:t>Nissan develará el completamente renovado Maxima 2016, el modelo de la marca conocido como el “sedán deportivo de cuatro puertas”, el jueves 2 de abril de 2015, en el marco del Auto Show de Nueva York.</w:t>
      </w:r>
    </w:p>
    <w:p w14:paraId="78440FE4" w14:textId="77777777" w:rsidR="00FE7DA2" w:rsidRPr="00FE7DA2" w:rsidRDefault="00FE7DA2" w:rsidP="00FE7DA2">
      <w:pPr>
        <w:spacing w:after="360" w:line="360" w:lineRule="auto"/>
        <w:ind w:right="-159"/>
        <w:jc w:val="both"/>
        <w:rPr>
          <w:rFonts w:eastAsia="Calibri"/>
          <w:sz w:val="26"/>
          <w:szCs w:val="26"/>
          <w:lang w:eastAsia="en-US"/>
        </w:rPr>
      </w:pPr>
      <w:r w:rsidRPr="00FE7DA2">
        <w:rPr>
          <w:rFonts w:eastAsia="Calibri"/>
          <w:sz w:val="26"/>
          <w:szCs w:val="26"/>
          <w:lang w:eastAsia="en-US"/>
        </w:rPr>
        <w:t xml:space="preserve">Con relación a los resultados del año fiscal 2014 (período que comprende del 1 de abril de 2014 al 31 de marzo de 2015), Nissan estableció un nuevo récord con 1 millón 399 mil 557 ventas totales vendidas en Estados Unidos de Norteamérica, representando un </w:t>
      </w:r>
      <w:r w:rsidRPr="00FE7DA2">
        <w:rPr>
          <w:rFonts w:eastAsia="Calibri"/>
          <w:sz w:val="26"/>
          <w:szCs w:val="26"/>
          <w:lang w:eastAsia="en-US"/>
        </w:rPr>
        <w:lastRenderedPageBreak/>
        <w:t>incremento de 8.9% en comparación con el año fiscal 2013 (período que comprendió del 1 de abril de 2013 al 31 de marzo de 2014).</w:t>
      </w:r>
    </w:p>
    <w:p w14:paraId="66228AC6" w14:textId="77777777" w:rsidR="00FE7DA2" w:rsidRPr="00FE7DA2" w:rsidRDefault="00FE7DA2" w:rsidP="00FE7DA2">
      <w:pPr>
        <w:spacing w:after="360" w:line="360" w:lineRule="auto"/>
        <w:ind w:right="-159"/>
        <w:jc w:val="both"/>
        <w:rPr>
          <w:rFonts w:eastAsia="Calibri"/>
          <w:sz w:val="26"/>
          <w:szCs w:val="26"/>
          <w:lang w:eastAsia="en-US"/>
        </w:rPr>
      </w:pPr>
      <w:r w:rsidRPr="00FE7DA2">
        <w:rPr>
          <w:rFonts w:eastAsia="Calibri"/>
          <w:sz w:val="26"/>
          <w:szCs w:val="26"/>
          <w:lang w:eastAsia="en-US"/>
        </w:rPr>
        <w:t>Aspectos más destacados del año fiscal 2014 de Nissan:</w:t>
      </w:r>
    </w:p>
    <w:p w14:paraId="5632ABF7" w14:textId="77777777" w:rsidR="00FE7DA2" w:rsidRPr="00FE7DA2" w:rsidRDefault="00FE7DA2" w:rsidP="00A277A8">
      <w:pPr>
        <w:spacing w:after="360" w:line="360" w:lineRule="auto"/>
        <w:ind w:right="-159"/>
        <w:jc w:val="both"/>
        <w:rPr>
          <w:rFonts w:eastAsia="Calibri"/>
          <w:sz w:val="26"/>
          <w:szCs w:val="26"/>
          <w:lang w:eastAsia="en-US"/>
        </w:rPr>
      </w:pPr>
      <w:r w:rsidRPr="00FE7DA2">
        <w:rPr>
          <w:rFonts w:eastAsia="Calibri"/>
          <w:sz w:val="26"/>
          <w:szCs w:val="26"/>
          <w:lang w:eastAsia="en-US"/>
        </w:rPr>
        <w:t>En el año fiscal 2014, Nissan estableció un nuevo récord con 1 millón 279 mil 606 unidades vendidas.</w:t>
      </w:r>
    </w:p>
    <w:p w14:paraId="70FBFAFE" w14:textId="21A25791" w:rsidR="00FE7DA2" w:rsidRPr="00FE7DA2" w:rsidRDefault="00FE7DA2" w:rsidP="00A277A8">
      <w:pPr>
        <w:spacing w:after="360" w:line="360" w:lineRule="auto"/>
        <w:ind w:right="-159"/>
        <w:jc w:val="both"/>
        <w:rPr>
          <w:rFonts w:eastAsia="Calibri"/>
          <w:sz w:val="26"/>
          <w:szCs w:val="26"/>
          <w:lang w:eastAsia="en-US"/>
        </w:rPr>
      </w:pPr>
      <w:r w:rsidRPr="00FE7DA2">
        <w:rPr>
          <w:rFonts w:eastAsia="Calibri"/>
          <w:sz w:val="26"/>
          <w:szCs w:val="26"/>
          <w:lang w:eastAsia="en-US"/>
        </w:rPr>
        <w:t>Nissan también estableció nuevo récord de ventas en un año fiscal para Altima, LEAF, Rogue y Versa, así como la línea de vehículos comerciales ligeros NV (NV2500 y NV200).</w:t>
      </w:r>
    </w:p>
    <w:p w14:paraId="0DD8E16E" w14:textId="77777777" w:rsidR="00FE7DA2" w:rsidRPr="00FE7DA2" w:rsidRDefault="00FE7DA2" w:rsidP="00FE7DA2">
      <w:pPr>
        <w:ind w:right="-159"/>
        <w:jc w:val="both"/>
        <w:rPr>
          <w:rFonts w:eastAsia="Calibri"/>
          <w:b/>
          <w:sz w:val="20"/>
          <w:szCs w:val="20"/>
          <w:lang w:eastAsia="en-US"/>
        </w:rPr>
      </w:pPr>
      <w:r w:rsidRPr="00FE7DA2">
        <w:rPr>
          <w:rFonts w:eastAsia="Calibri"/>
          <w:b/>
          <w:sz w:val="20"/>
          <w:szCs w:val="20"/>
          <w:lang w:eastAsia="en-US"/>
        </w:rPr>
        <w:t>Fuente de información:</w:t>
      </w:r>
    </w:p>
    <w:p w14:paraId="544CF5E0" w14:textId="77777777" w:rsidR="00FE7DA2" w:rsidRPr="00CF18F1" w:rsidRDefault="0045651A" w:rsidP="00FE7DA2">
      <w:pPr>
        <w:ind w:right="-159"/>
        <w:jc w:val="both"/>
        <w:rPr>
          <w:rFonts w:eastAsia="Calibri"/>
          <w:color w:val="0000FF"/>
          <w:sz w:val="20"/>
          <w:szCs w:val="20"/>
          <w:lang w:eastAsia="en-US"/>
        </w:rPr>
      </w:pPr>
      <w:hyperlink r:id="rId155" w:history="1">
        <w:r w:rsidR="00FE7DA2" w:rsidRPr="00CF18F1">
          <w:rPr>
            <w:rFonts w:eastAsia="Calibri"/>
            <w:color w:val="0000FF"/>
            <w:sz w:val="20"/>
            <w:szCs w:val="20"/>
            <w:u w:val="single"/>
            <w:lang w:eastAsia="en-US"/>
          </w:rPr>
          <w:t>http://nissannews.com/es-MX/nissan/mexico/releases/nissan-reporta-ventas-de-marzo-2015-y-ventas-totales-de-su-a-o-fiscal-2014-en-estados-unidos</w:t>
        </w:r>
      </w:hyperlink>
      <w:r w:rsidR="00FE7DA2" w:rsidRPr="00CF18F1">
        <w:rPr>
          <w:rFonts w:eastAsia="Calibri"/>
          <w:color w:val="0000FF"/>
          <w:sz w:val="20"/>
          <w:szCs w:val="20"/>
          <w:lang w:eastAsia="en-US"/>
        </w:rPr>
        <w:t xml:space="preserve"> </w:t>
      </w:r>
    </w:p>
    <w:p w14:paraId="27818611" w14:textId="77777777" w:rsidR="00FE7DA2" w:rsidRPr="00CF18F1" w:rsidRDefault="00FE7DA2" w:rsidP="00FE7DA2">
      <w:pPr>
        <w:ind w:right="-159"/>
        <w:jc w:val="both"/>
        <w:rPr>
          <w:rFonts w:eastAsia="Calibri"/>
          <w:sz w:val="20"/>
          <w:szCs w:val="20"/>
          <w:lang w:eastAsia="en-US"/>
        </w:rPr>
      </w:pPr>
      <w:r w:rsidRPr="00CF18F1">
        <w:rPr>
          <w:rFonts w:eastAsia="Calibri"/>
          <w:sz w:val="20"/>
          <w:szCs w:val="20"/>
          <w:lang w:eastAsia="en-US"/>
        </w:rPr>
        <w:t>Para tener acceso a información relacionada visite:</w:t>
      </w:r>
    </w:p>
    <w:p w14:paraId="2F00FF09" w14:textId="77777777" w:rsidR="00FE7DA2" w:rsidRPr="00CF18F1" w:rsidRDefault="0045651A" w:rsidP="00CF18F1">
      <w:pPr>
        <w:spacing w:after="720"/>
        <w:ind w:right="-159"/>
        <w:jc w:val="both"/>
        <w:rPr>
          <w:rFonts w:eastAsia="Calibri"/>
          <w:color w:val="0000FF"/>
          <w:sz w:val="20"/>
          <w:szCs w:val="20"/>
          <w:lang w:eastAsia="en-US"/>
        </w:rPr>
      </w:pPr>
      <w:hyperlink r:id="rId156" w:history="1">
        <w:r w:rsidR="00FE7DA2" w:rsidRPr="00CF18F1">
          <w:rPr>
            <w:rFonts w:eastAsia="Calibri"/>
            <w:color w:val="0000FF"/>
            <w:sz w:val="20"/>
            <w:szCs w:val="20"/>
            <w:u w:val="single"/>
            <w:lang w:eastAsia="en-US"/>
          </w:rPr>
          <w:t>http://nissannews.com/es-MX/nissan/mexico/releases/nissan-anuncia-ventas-de-marzo-2015-y-ventas-totales-de-su-a-o-fiscal-2014-en-mexico</w:t>
        </w:r>
      </w:hyperlink>
      <w:r w:rsidR="00FE7DA2" w:rsidRPr="00CF18F1">
        <w:rPr>
          <w:rFonts w:eastAsia="Calibri"/>
          <w:color w:val="0000FF"/>
          <w:sz w:val="20"/>
          <w:szCs w:val="20"/>
          <w:lang w:eastAsia="en-US"/>
        </w:rPr>
        <w:t xml:space="preserve"> </w:t>
      </w:r>
    </w:p>
    <w:p w14:paraId="67A44172" w14:textId="77777777" w:rsidR="00303EBA" w:rsidRPr="00303EBA" w:rsidRDefault="00303EBA" w:rsidP="00303EBA">
      <w:pPr>
        <w:ind w:right="-159"/>
        <w:jc w:val="both"/>
        <w:rPr>
          <w:rFonts w:eastAsia="Calibri"/>
          <w:b/>
          <w:bCs/>
          <w:sz w:val="26"/>
          <w:szCs w:val="26"/>
          <w:lang w:eastAsia="en-US"/>
        </w:rPr>
      </w:pPr>
      <w:r w:rsidRPr="00303EBA">
        <w:rPr>
          <w:rFonts w:eastAsia="Calibri"/>
          <w:b/>
          <w:bCs/>
          <w:sz w:val="26"/>
          <w:szCs w:val="26"/>
          <w:lang w:eastAsia="en-US"/>
        </w:rPr>
        <w:t>Movilidad  eléctrica: la respuesta frente a</w:t>
      </w:r>
    </w:p>
    <w:p w14:paraId="236FAD00" w14:textId="4F15320B" w:rsidR="00303EBA" w:rsidRPr="00303EBA" w:rsidRDefault="00303EBA" w:rsidP="00303EBA">
      <w:pPr>
        <w:spacing w:after="360" w:line="360" w:lineRule="auto"/>
        <w:ind w:right="-159"/>
        <w:jc w:val="both"/>
        <w:rPr>
          <w:rFonts w:eastAsia="Calibri"/>
          <w:b/>
          <w:sz w:val="26"/>
          <w:szCs w:val="26"/>
          <w:lang w:eastAsia="en-US"/>
        </w:rPr>
      </w:pPr>
      <w:r w:rsidRPr="00303EBA">
        <w:rPr>
          <w:rFonts w:eastAsia="Calibri"/>
          <w:b/>
          <w:bCs/>
          <w:sz w:val="26"/>
          <w:szCs w:val="26"/>
          <w:lang w:eastAsia="en-US"/>
        </w:rPr>
        <w:t>la alza en el</w:t>
      </w:r>
      <w:r w:rsidR="00D1555E">
        <w:rPr>
          <w:rFonts w:eastAsia="Calibri"/>
          <w:b/>
          <w:bCs/>
          <w:sz w:val="26"/>
          <w:szCs w:val="26"/>
          <w:lang w:eastAsia="en-US"/>
        </w:rPr>
        <w:t xml:space="preserve"> </w:t>
      </w:r>
      <w:r w:rsidRPr="00303EBA">
        <w:rPr>
          <w:rFonts w:eastAsia="Calibri"/>
          <w:b/>
          <w:bCs/>
          <w:sz w:val="26"/>
          <w:szCs w:val="26"/>
          <w:lang w:eastAsia="en-US"/>
        </w:rPr>
        <w:t xml:space="preserve"> precio de la gasolina</w:t>
      </w:r>
      <w:r w:rsidRPr="00303EBA">
        <w:rPr>
          <w:rFonts w:eastAsia="Calibri"/>
          <w:b/>
          <w:sz w:val="26"/>
          <w:szCs w:val="26"/>
          <w:lang w:eastAsia="en-US"/>
        </w:rPr>
        <w:t xml:space="preserve"> (Nissan)</w:t>
      </w:r>
    </w:p>
    <w:p w14:paraId="0E4C92C6"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 xml:space="preserve">El 14 de abril de 2015, la empresa automotriz Nissan informó que para la armadora la </w:t>
      </w:r>
      <w:r w:rsidRPr="00303EBA">
        <w:rPr>
          <w:rFonts w:eastAsia="Calibri"/>
          <w:bCs/>
          <w:sz w:val="26"/>
          <w:szCs w:val="26"/>
          <w:lang w:eastAsia="en-US"/>
        </w:rPr>
        <w:t>movilidad eléctrica es la respuesta frente a la alza en el precio de la gasolina.</w:t>
      </w:r>
      <w:r w:rsidRPr="00303EBA">
        <w:rPr>
          <w:rFonts w:eastAsia="Calibri"/>
          <w:sz w:val="26"/>
          <w:szCs w:val="26"/>
          <w:lang w:eastAsia="en-US"/>
        </w:rPr>
        <w:t xml:space="preserve"> A continuación se presentan los detalles.</w:t>
      </w:r>
    </w:p>
    <w:p w14:paraId="2AA76B21"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La mejor opción para enfrentar las constantes alzas en el precio de la gasolina sería disminuir considerablemente su uso. Una alternativa ante esta situación es Nissan LEAF, el primer vehículo 100% eléctrico en llegar a México, que integra tecnología de punta totalmente independiente del uso de combustibles derivados del petróleo.</w:t>
      </w:r>
    </w:p>
    <w:p w14:paraId="73C5A97A"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lastRenderedPageBreak/>
        <w:t>El precio de la gasolina, indispensable para el uso de los vehículos de combustión interna, ha ido a la alza constantemente, afectando la economía individual y familiar de la mayoría de los mexicanos.</w:t>
      </w:r>
    </w:p>
    <w:p w14:paraId="01039B05"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Este factor, aunado al creciente tránsito en las ciudades, nos obliga permanecer en el vehículo por varias horas, generando grandes cantidades de CO</w:t>
      </w:r>
      <w:r w:rsidRPr="00303EBA">
        <w:rPr>
          <w:rFonts w:eastAsia="Calibri"/>
          <w:sz w:val="26"/>
          <w:szCs w:val="26"/>
          <w:vertAlign w:val="subscript"/>
          <w:lang w:eastAsia="en-US"/>
        </w:rPr>
        <w:t>2</w:t>
      </w:r>
      <w:r w:rsidRPr="00303EBA">
        <w:rPr>
          <w:rFonts w:eastAsia="Calibri"/>
          <w:sz w:val="26"/>
          <w:szCs w:val="26"/>
          <w:lang w:eastAsia="en-US"/>
        </w:rPr>
        <w:t xml:space="preserve"> y aumentando el uso de gasolina, derivado de los largos períodos de tiempo que toma llegar de un lugar a otro.</w:t>
      </w:r>
    </w:p>
    <w:p w14:paraId="025EBF4D"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Nissan fue la primera armadora en comercializar, tanto a nivel mundial como en México, el primer vehículo 100% eléctrico, Nissan LEAF.</w:t>
      </w:r>
    </w:p>
    <w:p w14:paraId="07DD8E19"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Es un vehículo que cuenta con un amplio y ergonómico espacio interior, característico de los modelos de la marca nipona, así como un rango de movilidad de 160 kilómetros que le permite al usuario realizar sus actividades cotidianas de manera silenciosa, sin emitir gases contaminantes y con un gran ahorro económico.</w:t>
      </w:r>
    </w:p>
    <w:p w14:paraId="59A0F8A2"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Para comparar la diferencia del gasto por consumo de gasolina de un vehículo de combustión interna contra el del 100% eléctrico LEAF; Nissan llevó a cabo un estudio donde contabilizó el costo y kilómetros recorridos en un mes, tanto del LEAF, como de un vehículo de combustión interna de 4 y 6 cilindros.</w:t>
      </w:r>
    </w:p>
    <w:p w14:paraId="0F6F3C1D" w14:textId="65707011" w:rsid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Los resultados de estudio señalaron que el uso de un Nissan LEAF representa un ahorro de aproximadamente 75% en comparación con el uso de un vehículo de combustión interna convencional de 4 cilindros. Así como alrededor de 83% de ahorro, comparándolo con un vehículo de 6 cilindros:</w:t>
      </w:r>
    </w:p>
    <w:p w14:paraId="1A132C54" w14:textId="77777777" w:rsidR="00CF18F1" w:rsidRDefault="00CF18F1" w:rsidP="00303EBA">
      <w:pPr>
        <w:spacing w:after="360" w:line="360" w:lineRule="auto"/>
        <w:ind w:right="-159"/>
        <w:jc w:val="both"/>
        <w:rPr>
          <w:rFonts w:eastAsia="Calibri"/>
          <w:sz w:val="26"/>
          <w:szCs w:val="26"/>
          <w:lang w:eastAsia="en-US"/>
        </w:rPr>
      </w:pPr>
    </w:p>
    <w:p w14:paraId="6C984264" w14:textId="77777777" w:rsidR="00CF18F1" w:rsidRPr="00303EBA" w:rsidRDefault="00CF18F1" w:rsidP="00303EBA">
      <w:pPr>
        <w:spacing w:after="360" w:line="360" w:lineRule="auto"/>
        <w:ind w:right="-159"/>
        <w:jc w:val="both"/>
        <w:rPr>
          <w:rFonts w:eastAsia="Calibri"/>
          <w:sz w:val="26"/>
          <w:szCs w:val="26"/>
          <w:lang w:eastAsia="en-US"/>
        </w:rPr>
      </w:pPr>
    </w:p>
    <w:tbl>
      <w:tblPr>
        <w:tblW w:w="87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070"/>
        <w:gridCol w:w="1346"/>
        <w:gridCol w:w="2207"/>
        <w:gridCol w:w="1044"/>
        <w:gridCol w:w="1109"/>
      </w:tblGrid>
      <w:tr w:rsidR="00303EBA" w:rsidRPr="00303EBA" w14:paraId="6B268078" w14:textId="77777777" w:rsidTr="00D1555E">
        <w:trPr>
          <w:jc w:val="center"/>
        </w:trPr>
        <w:tc>
          <w:tcPr>
            <w:tcW w:w="3070" w:type="dxa"/>
            <w:vAlign w:val="center"/>
          </w:tcPr>
          <w:p w14:paraId="3961D610" w14:textId="77777777" w:rsidR="00303EBA" w:rsidRPr="00303EBA" w:rsidRDefault="00303EBA" w:rsidP="00303EBA">
            <w:pPr>
              <w:jc w:val="center"/>
              <w:rPr>
                <w:rFonts w:eastAsia="Calibri"/>
                <w:sz w:val="22"/>
                <w:szCs w:val="22"/>
                <w:lang w:eastAsia="en-US"/>
              </w:rPr>
            </w:pPr>
            <w:r w:rsidRPr="00303EBA">
              <w:rPr>
                <w:rFonts w:eastAsia="Calibri"/>
                <w:b/>
                <w:bCs/>
                <w:sz w:val="22"/>
                <w:szCs w:val="22"/>
                <w:lang w:eastAsia="en-US"/>
              </w:rPr>
              <w:lastRenderedPageBreak/>
              <w:t>Tipo de vehículo</w:t>
            </w:r>
          </w:p>
        </w:tc>
        <w:tc>
          <w:tcPr>
            <w:tcW w:w="1346" w:type="dxa"/>
            <w:vAlign w:val="center"/>
          </w:tcPr>
          <w:p w14:paraId="795E001F" w14:textId="77777777" w:rsidR="00303EBA" w:rsidRPr="00303EBA" w:rsidRDefault="00303EBA" w:rsidP="00303EBA">
            <w:pPr>
              <w:jc w:val="center"/>
              <w:rPr>
                <w:rFonts w:eastAsia="Calibri"/>
                <w:b/>
                <w:bCs/>
                <w:sz w:val="22"/>
                <w:szCs w:val="22"/>
                <w:lang w:eastAsia="en-US"/>
              </w:rPr>
            </w:pPr>
            <w:r w:rsidRPr="00303EBA">
              <w:rPr>
                <w:rFonts w:eastAsia="Calibri"/>
                <w:b/>
                <w:bCs/>
                <w:sz w:val="22"/>
                <w:szCs w:val="22"/>
                <w:lang w:eastAsia="en-US"/>
              </w:rPr>
              <w:t>Kilómetros</w:t>
            </w:r>
          </w:p>
          <w:p w14:paraId="26379D13" w14:textId="77777777" w:rsidR="00303EBA" w:rsidRPr="00303EBA" w:rsidRDefault="00303EBA" w:rsidP="00303EBA">
            <w:pPr>
              <w:jc w:val="center"/>
              <w:rPr>
                <w:rFonts w:eastAsia="Calibri"/>
                <w:sz w:val="22"/>
                <w:szCs w:val="22"/>
                <w:lang w:eastAsia="en-US"/>
              </w:rPr>
            </w:pPr>
            <w:r w:rsidRPr="00303EBA">
              <w:rPr>
                <w:rFonts w:eastAsia="Calibri"/>
                <w:b/>
                <w:bCs/>
                <w:sz w:val="22"/>
                <w:szCs w:val="22"/>
                <w:lang w:eastAsia="en-US"/>
              </w:rPr>
              <w:t>por mes</w:t>
            </w:r>
          </w:p>
        </w:tc>
        <w:tc>
          <w:tcPr>
            <w:tcW w:w="2207" w:type="dxa"/>
            <w:vAlign w:val="center"/>
          </w:tcPr>
          <w:p w14:paraId="3E91A676" w14:textId="77777777" w:rsidR="00303EBA" w:rsidRPr="00303EBA" w:rsidRDefault="00303EBA" w:rsidP="00303EBA">
            <w:pPr>
              <w:jc w:val="center"/>
              <w:rPr>
                <w:rFonts w:eastAsia="Calibri"/>
                <w:b/>
                <w:bCs/>
                <w:sz w:val="22"/>
                <w:szCs w:val="22"/>
                <w:lang w:eastAsia="en-US"/>
              </w:rPr>
            </w:pPr>
            <w:r w:rsidRPr="00303EBA">
              <w:rPr>
                <w:rFonts w:eastAsia="Calibri"/>
                <w:b/>
                <w:bCs/>
                <w:sz w:val="22"/>
                <w:szCs w:val="22"/>
                <w:lang w:eastAsia="en-US"/>
              </w:rPr>
              <w:t>Consumo</w:t>
            </w:r>
          </w:p>
          <w:p w14:paraId="74ABDE6C" w14:textId="77777777" w:rsidR="00303EBA" w:rsidRPr="00303EBA" w:rsidRDefault="00303EBA" w:rsidP="00303EBA">
            <w:pPr>
              <w:jc w:val="center"/>
              <w:rPr>
                <w:rFonts w:eastAsia="Calibri"/>
                <w:sz w:val="22"/>
                <w:szCs w:val="22"/>
                <w:lang w:eastAsia="en-US"/>
              </w:rPr>
            </w:pPr>
            <w:r w:rsidRPr="00303EBA">
              <w:rPr>
                <w:rFonts w:eastAsia="Calibri"/>
                <w:b/>
                <w:bCs/>
                <w:sz w:val="22"/>
                <w:szCs w:val="22"/>
                <w:lang w:eastAsia="en-US"/>
              </w:rPr>
              <w:t>por mes</w:t>
            </w:r>
          </w:p>
        </w:tc>
        <w:tc>
          <w:tcPr>
            <w:tcW w:w="1044" w:type="dxa"/>
            <w:vAlign w:val="center"/>
          </w:tcPr>
          <w:p w14:paraId="0080C21C" w14:textId="77777777" w:rsidR="00303EBA" w:rsidRPr="00303EBA" w:rsidRDefault="00303EBA" w:rsidP="00303EBA">
            <w:pPr>
              <w:jc w:val="center"/>
              <w:rPr>
                <w:rFonts w:eastAsia="Calibri"/>
                <w:b/>
                <w:bCs/>
                <w:sz w:val="22"/>
                <w:szCs w:val="22"/>
                <w:lang w:eastAsia="en-US"/>
              </w:rPr>
            </w:pPr>
            <w:r w:rsidRPr="00303EBA">
              <w:rPr>
                <w:rFonts w:eastAsia="Calibri"/>
                <w:b/>
                <w:bCs/>
                <w:sz w:val="22"/>
                <w:szCs w:val="22"/>
                <w:lang w:eastAsia="en-US"/>
              </w:rPr>
              <w:t>Costo</w:t>
            </w:r>
          </w:p>
          <w:p w14:paraId="66A35CCC" w14:textId="77777777" w:rsidR="00303EBA" w:rsidRPr="00303EBA" w:rsidRDefault="00303EBA" w:rsidP="00303EBA">
            <w:pPr>
              <w:jc w:val="center"/>
              <w:rPr>
                <w:rFonts w:eastAsia="Calibri"/>
                <w:b/>
                <w:bCs/>
                <w:sz w:val="22"/>
                <w:szCs w:val="22"/>
                <w:lang w:eastAsia="en-US"/>
              </w:rPr>
            </w:pPr>
            <w:r w:rsidRPr="00303EBA">
              <w:rPr>
                <w:rFonts w:eastAsia="Calibri"/>
                <w:b/>
                <w:bCs/>
                <w:sz w:val="22"/>
                <w:szCs w:val="22"/>
                <w:lang w:eastAsia="en-US"/>
              </w:rPr>
              <w:t xml:space="preserve">litros – </w:t>
            </w:r>
          </w:p>
          <w:p w14:paraId="242BF9E5" w14:textId="77777777" w:rsidR="00303EBA" w:rsidRPr="00303EBA" w:rsidRDefault="00303EBA" w:rsidP="00303EBA">
            <w:pPr>
              <w:jc w:val="center"/>
              <w:rPr>
                <w:rFonts w:eastAsia="Calibri"/>
                <w:sz w:val="22"/>
                <w:szCs w:val="22"/>
                <w:lang w:eastAsia="en-US"/>
              </w:rPr>
            </w:pPr>
            <w:r w:rsidRPr="00303EBA">
              <w:rPr>
                <w:rFonts w:eastAsia="Calibri"/>
                <w:b/>
                <w:bCs/>
                <w:sz w:val="22"/>
                <w:szCs w:val="22"/>
                <w:lang w:eastAsia="en-US"/>
              </w:rPr>
              <w:t>kwh</w:t>
            </w:r>
          </w:p>
        </w:tc>
        <w:tc>
          <w:tcPr>
            <w:tcW w:w="1109" w:type="dxa"/>
            <w:vAlign w:val="center"/>
          </w:tcPr>
          <w:p w14:paraId="461E87D4" w14:textId="77777777" w:rsidR="00303EBA" w:rsidRPr="00303EBA" w:rsidRDefault="00303EBA" w:rsidP="00303EBA">
            <w:pPr>
              <w:jc w:val="center"/>
              <w:rPr>
                <w:rFonts w:eastAsia="Calibri"/>
                <w:b/>
                <w:bCs/>
                <w:sz w:val="22"/>
                <w:szCs w:val="22"/>
                <w:lang w:eastAsia="en-US"/>
              </w:rPr>
            </w:pPr>
            <w:r w:rsidRPr="00303EBA">
              <w:rPr>
                <w:rFonts w:eastAsia="Calibri"/>
                <w:b/>
                <w:bCs/>
                <w:sz w:val="22"/>
                <w:szCs w:val="22"/>
                <w:lang w:eastAsia="en-US"/>
              </w:rPr>
              <w:t>Gasto</w:t>
            </w:r>
          </w:p>
          <w:p w14:paraId="1C4DAE5A" w14:textId="77777777" w:rsidR="00303EBA" w:rsidRPr="00303EBA" w:rsidRDefault="00303EBA" w:rsidP="00303EBA">
            <w:pPr>
              <w:jc w:val="center"/>
              <w:rPr>
                <w:rFonts w:eastAsia="Calibri"/>
                <w:sz w:val="22"/>
                <w:szCs w:val="22"/>
                <w:lang w:eastAsia="en-US"/>
              </w:rPr>
            </w:pPr>
            <w:r w:rsidRPr="00303EBA">
              <w:rPr>
                <w:rFonts w:eastAsia="Calibri"/>
                <w:b/>
                <w:bCs/>
                <w:sz w:val="22"/>
                <w:szCs w:val="22"/>
                <w:lang w:eastAsia="en-US"/>
              </w:rPr>
              <w:t>mensual</w:t>
            </w:r>
          </w:p>
        </w:tc>
      </w:tr>
      <w:tr w:rsidR="00303EBA" w:rsidRPr="00303EBA" w14:paraId="42871020" w14:textId="77777777" w:rsidTr="00DE4CC5">
        <w:trPr>
          <w:jc w:val="center"/>
        </w:trPr>
        <w:tc>
          <w:tcPr>
            <w:tcW w:w="3070" w:type="dxa"/>
          </w:tcPr>
          <w:p w14:paraId="3F1B6A43" w14:textId="77777777" w:rsidR="00303EBA" w:rsidRPr="00303EBA" w:rsidRDefault="00303EBA" w:rsidP="00303EBA">
            <w:pPr>
              <w:jc w:val="both"/>
              <w:rPr>
                <w:rFonts w:eastAsia="Calibri"/>
                <w:sz w:val="22"/>
                <w:szCs w:val="22"/>
                <w:lang w:eastAsia="en-US"/>
              </w:rPr>
            </w:pPr>
            <w:r w:rsidRPr="00303EBA">
              <w:rPr>
                <w:rFonts w:eastAsia="Calibri"/>
                <w:sz w:val="22"/>
                <w:szCs w:val="22"/>
                <w:lang w:eastAsia="en-US"/>
              </w:rPr>
              <w:t>LEAF</w:t>
            </w:r>
          </w:p>
        </w:tc>
        <w:tc>
          <w:tcPr>
            <w:tcW w:w="1346" w:type="dxa"/>
          </w:tcPr>
          <w:p w14:paraId="19C8711F"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 mil 510</w:t>
            </w:r>
          </w:p>
        </w:tc>
        <w:tc>
          <w:tcPr>
            <w:tcW w:w="2207" w:type="dxa"/>
          </w:tcPr>
          <w:p w14:paraId="39A87180"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227 kWh</w:t>
            </w:r>
          </w:p>
        </w:tc>
        <w:tc>
          <w:tcPr>
            <w:tcW w:w="1044" w:type="dxa"/>
          </w:tcPr>
          <w:p w14:paraId="0E172108"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$2.0003</w:t>
            </w:r>
          </w:p>
        </w:tc>
        <w:tc>
          <w:tcPr>
            <w:tcW w:w="1109" w:type="dxa"/>
          </w:tcPr>
          <w:p w14:paraId="285AE81B"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$454</w:t>
            </w:r>
          </w:p>
        </w:tc>
      </w:tr>
      <w:tr w:rsidR="00303EBA" w:rsidRPr="00303EBA" w14:paraId="6DF87461" w14:textId="77777777" w:rsidTr="00DE4CC5">
        <w:trPr>
          <w:jc w:val="center"/>
        </w:trPr>
        <w:tc>
          <w:tcPr>
            <w:tcW w:w="3070" w:type="dxa"/>
          </w:tcPr>
          <w:p w14:paraId="52827DEE" w14:textId="77777777" w:rsidR="00303EBA" w:rsidRPr="00303EBA" w:rsidRDefault="00303EBA" w:rsidP="00303EBA">
            <w:pPr>
              <w:jc w:val="both"/>
              <w:rPr>
                <w:rFonts w:eastAsia="Calibri"/>
                <w:sz w:val="22"/>
                <w:szCs w:val="22"/>
                <w:lang w:eastAsia="en-US"/>
              </w:rPr>
            </w:pPr>
            <w:r w:rsidRPr="00303EBA">
              <w:rPr>
                <w:rFonts w:eastAsia="Calibri"/>
                <w:sz w:val="22"/>
                <w:szCs w:val="22"/>
                <w:lang w:eastAsia="en-US"/>
              </w:rPr>
              <w:t>Combustión Interna 4 cilindros</w:t>
            </w:r>
          </w:p>
        </w:tc>
        <w:tc>
          <w:tcPr>
            <w:tcW w:w="1346" w:type="dxa"/>
          </w:tcPr>
          <w:p w14:paraId="7325F949"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 mil 510</w:t>
            </w:r>
          </w:p>
        </w:tc>
        <w:tc>
          <w:tcPr>
            <w:tcW w:w="2207" w:type="dxa"/>
          </w:tcPr>
          <w:p w14:paraId="12D95FF5"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130 litros de gasolina</w:t>
            </w:r>
          </w:p>
        </w:tc>
        <w:tc>
          <w:tcPr>
            <w:tcW w:w="1044" w:type="dxa"/>
          </w:tcPr>
          <w:p w14:paraId="3842E5FD"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$14.11</w:t>
            </w:r>
          </w:p>
        </w:tc>
        <w:tc>
          <w:tcPr>
            <w:tcW w:w="1109" w:type="dxa"/>
          </w:tcPr>
          <w:p w14:paraId="797DE649"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$1 834</w:t>
            </w:r>
          </w:p>
        </w:tc>
      </w:tr>
      <w:tr w:rsidR="00303EBA" w:rsidRPr="00303EBA" w14:paraId="0B4E8D7B" w14:textId="77777777" w:rsidTr="00DE4CC5">
        <w:trPr>
          <w:jc w:val="center"/>
        </w:trPr>
        <w:tc>
          <w:tcPr>
            <w:tcW w:w="3070" w:type="dxa"/>
            <w:tcBorders>
              <w:bottom w:val="single" w:sz="2" w:space="0" w:color="auto"/>
            </w:tcBorders>
          </w:tcPr>
          <w:p w14:paraId="6F95A2CC" w14:textId="77777777" w:rsidR="00303EBA" w:rsidRPr="00303EBA" w:rsidRDefault="00303EBA" w:rsidP="00303EBA">
            <w:pPr>
              <w:jc w:val="both"/>
              <w:rPr>
                <w:rFonts w:eastAsia="Calibri"/>
                <w:sz w:val="22"/>
                <w:szCs w:val="22"/>
                <w:lang w:eastAsia="en-US"/>
              </w:rPr>
            </w:pPr>
            <w:r w:rsidRPr="00303EBA">
              <w:rPr>
                <w:rFonts w:eastAsia="Calibri"/>
                <w:sz w:val="22"/>
                <w:szCs w:val="22"/>
                <w:lang w:eastAsia="en-US"/>
              </w:rPr>
              <w:t>Combustión Interna 6 cilindros</w:t>
            </w:r>
          </w:p>
        </w:tc>
        <w:tc>
          <w:tcPr>
            <w:tcW w:w="1346" w:type="dxa"/>
            <w:tcBorders>
              <w:bottom w:val="single" w:sz="2" w:space="0" w:color="auto"/>
            </w:tcBorders>
          </w:tcPr>
          <w:p w14:paraId="5A936C29"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 mil 510</w:t>
            </w:r>
          </w:p>
        </w:tc>
        <w:tc>
          <w:tcPr>
            <w:tcW w:w="2207" w:type="dxa"/>
            <w:tcBorders>
              <w:bottom w:val="single" w:sz="2" w:space="0" w:color="auto"/>
            </w:tcBorders>
          </w:tcPr>
          <w:p w14:paraId="64A94B11"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199 litros de gasolina</w:t>
            </w:r>
          </w:p>
        </w:tc>
        <w:tc>
          <w:tcPr>
            <w:tcW w:w="1044" w:type="dxa"/>
            <w:tcBorders>
              <w:bottom w:val="single" w:sz="2" w:space="0" w:color="auto"/>
            </w:tcBorders>
          </w:tcPr>
          <w:p w14:paraId="4DB1B3C6"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$14.11</w:t>
            </w:r>
          </w:p>
        </w:tc>
        <w:tc>
          <w:tcPr>
            <w:tcW w:w="1109" w:type="dxa"/>
            <w:tcBorders>
              <w:bottom w:val="single" w:sz="2" w:space="0" w:color="auto"/>
            </w:tcBorders>
          </w:tcPr>
          <w:p w14:paraId="354AA2A6" w14:textId="77777777" w:rsidR="00303EBA" w:rsidRPr="00303EBA" w:rsidRDefault="00303EBA" w:rsidP="00303EBA">
            <w:pPr>
              <w:jc w:val="right"/>
              <w:rPr>
                <w:rFonts w:eastAsia="Calibri"/>
                <w:sz w:val="22"/>
                <w:szCs w:val="22"/>
                <w:lang w:eastAsia="en-US"/>
              </w:rPr>
            </w:pPr>
            <w:r w:rsidRPr="00303EBA">
              <w:rPr>
                <w:rFonts w:eastAsia="Calibri"/>
                <w:sz w:val="22"/>
                <w:szCs w:val="22"/>
                <w:lang w:eastAsia="en-US"/>
              </w:rPr>
              <w:t>$2 808</w:t>
            </w:r>
          </w:p>
        </w:tc>
      </w:tr>
      <w:tr w:rsidR="00303EBA" w:rsidRPr="00303EBA" w14:paraId="24065EA8" w14:textId="77777777" w:rsidTr="00DE4CC5">
        <w:trPr>
          <w:jc w:val="center"/>
        </w:trPr>
        <w:tc>
          <w:tcPr>
            <w:tcW w:w="8776" w:type="dxa"/>
            <w:gridSpan w:val="5"/>
            <w:tcBorders>
              <w:left w:val="nil"/>
              <w:bottom w:val="nil"/>
              <w:right w:val="nil"/>
            </w:tcBorders>
          </w:tcPr>
          <w:p w14:paraId="5F964C9F" w14:textId="77777777" w:rsidR="00303EBA" w:rsidRPr="00303EBA" w:rsidRDefault="00303EBA" w:rsidP="00303EBA">
            <w:pPr>
              <w:spacing w:before="120"/>
              <w:jc w:val="both"/>
              <w:rPr>
                <w:rFonts w:eastAsia="Calibri"/>
                <w:sz w:val="22"/>
                <w:szCs w:val="22"/>
                <w:lang w:eastAsia="en-US"/>
              </w:rPr>
            </w:pPr>
            <w:r w:rsidRPr="00303EBA">
              <w:rPr>
                <w:rFonts w:eastAsia="Calibri"/>
                <w:sz w:val="22"/>
                <w:szCs w:val="22"/>
                <w:lang w:eastAsia="en-US"/>
              </w:rPr>
              <w:t>FUENTE: NISSAN.</w:t>
            </w:r>
          </w:p>
        </w:tc>
      </w:tr>
    </w:tbl>
    <w:p w14:paraId="236A2647" w14:textId="77777777" w:rsidR="00303EBA" w:rsidRPr="00303EBA" w:rsidRDefault="00303EBA" w:rsidP="00303EBA">
      <w:pPr>
        <w:spacing w:after="360" w:line="360" w:lineRule="auto"/>
        <w:ind w:right="-159"/>
        <w:jc w:val="both"/>
        <w:rPr>
          <w:rFonts w:eastAsia="Calibri"/>
          <w:sz w:val="26"/>
          <w:szCs w:val="26"/>
          <w:lang w:eastAsia="en-US"/>
        </w:rPr>
      </w:pPr>
    </w:p>
    <w:p w14:paraId="3A4B4411"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A la fecha, Nissan es líder en movilidad eléctrica, contando con el mayor programa piloto de taxis eléctricos en el país con 50 unidades que operan actualmente en el estado de Aguascalientes.</w:t>
      </w:r>
    </w:p>
    <w:p w14:paraId="747F0495"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Cabe destacar que los vehículos cero emisiones no pagan ISAN (Impuesto Sobre Autos Nuevos), ni tenencia en el Distrito Federal, además de que no tienen que pasar por el proceso de verificación, puesto que no producen emisiones.</w:t>
      </w:r>
    </w:p>
    <w:p w14:paraId="47DFC21D"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Adicionalmente, Nissan ofrece esquemas financieros 100% deducibles de impuestos, lo cual es particularmente interesante para empresas interesadas en incursionar con flotillas 100% eléctricas.</w:t>
      </w:r>
    </w:p>
    <w:p w14:paraId="6E26A148" w14:textId="77777777" w:rsid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t xml:space="preserve">Otro beneficio económico de LEAF son los costos de mantenimiento: Las agencias Nissan lo ofrecen sin cargo alguno hasta por tres años o 60 mil kilómetros (lo que ocurra primero), además de ofrecer un paquete gratuito de asistencia vial </w:t>
      </w:r>
      <w:r w:rsidRPr="00303EBA">
        <w:rPr>
          <w:rFonts w:eastAsia="Calibri"/>
          <w:i/>
          <w:iCs/>
          <w:sz w:val="26"/>
          <w:szCs w:val="26"/>
          <w:lang w:eastAsia="en-US"/>
        </w:rPr>
        <w:t>Premium</w:t>
      </w:r>
      <w:r w:rsidRPr="00303EBA">
        <w:rPr>
          <w:rFonts w:eastAsia="Calibri"/>
          <w:sz w:val="26"/>
          <w:szCs w:val="26"/>
          <w:lang w:eastAsia="en-US"/>
        </w:rPr>
        <w:t xml:space="preserve">, ya que al adquirir un Nissan LEAF tienes derecho a diferentes servicios de asistencia vial de manera gratuita: servicio de grúa en caso de ponchaduras (tres eventos por año); servicio de grúa en caso de quedarte sin batería (tres eventos por año); servicio de transporte </w:t>
      </w:r>
      <w:r w:rsidRPr="00303EBA">
        <w:rPr>
          <w:rFonts w:eastAsia="Calibri"/>
          <w:i/>
          <w:iCs/>
          <w:sz w:val="26"/>
          <w:szCs w:val="26"/>
          <w:lang w:eastAsia="en-US"/>
        </w:rPr>
        <w:t>Pick Up &amp; Delivery</w:t>
      </w:r>
      <w:r w:rsidRPr="00303EBA">
        <w:rPr>
          <w:rFonts w:eastAsia="Calibri"/>
          <w:sz w:val="26"/>
          <w:szCs w:val="26"/>
          <w:lang w:eastAsia="en-US"/>
        </w:rPr>
        <w:t xml:space="preserve"> en caso de tu casa se encuentre a más de 50 kilómetros del Distribuidor Autorizado Nissan más cercano.</w:t>
      </w:r>
    </w:p>
    <w:p w14:paraId="24DD00D2" w14:textId="77777777" w:rsidR="00AF7C3F" w:rsidRPr="00303EBA" w:rsidRDefault="00AF7C3F" w:rsidP="00303EBA">
      <w:pPr>
        <w:spacing w:after="360" w:line="360" w:lineRule="auto"/>
        <w:ind w:right="-159"/>
        <w:jc w:val="both"/>
        <w:rPr>
          <w:rFonts w:eastAsia="Calibri"/>
          <w:sz w:val="26"/>
          <w:szCs w:val="26"/>
          <w:lang w:eastAsia="en-US"/>
        </w:rPr>
      </w:pPr>
    </w:p>
    <w:p w14:paraId="5B0643B0" w14:textId="77777777" w:rsidR="00303EBA" w:rsidRPr="00303EBA" w:rsidRDefault="00303EBA" w:rsidP="00303EBA">
      <w:pPr>
        <w:spacing w:after="360" w:line="360" w:lineRule="auto"/>
        <w:ind w:right="-159"/>
        <w:jc w:val="both"/>
        <w:rPr>
          <w:rFonts w:eastAsia="Calibri"/>
          <w:sz w:val="26"/>
          <w:szCs w:val="26"/>
          <w:lang w:eastAsia="en-US"/>
        </w:rPr>
      </w:pPr>
      <w:r w:rsidRPr="00303EBA">
        <w:rPr>
          <w:rFonts w:eastAsia="Calibri"/>
          <w:sz w:val="26"/>
          <w:szCs w:val="26"/>
          <w:lang w:eastAsia="en-US"/>
        </w:rPr>
        <w:lastRenderedPageBreak/>
        <w:t>Todos los clientes LEAF tienen acceso a la red de recarga pública más grande de México; en la que pueden realizar recarga gratuitas en las agencias Nissan, así como con los socios comerciales e inmobiliarios de la marca.</w:t>
      </w:r>
    </w:p>
    <w:p w14:paraId="1A5F8C95" w14:textId="77777777" w:rsidR="00303EBA" w:rsidRPr="00303EBA" w:rsidRDefault="00303EBA" w:rsidP="00303EBA">
      <w:pPr>
        <w:ind w:right="-159"/>
        <w:jc w:val="both"/>
        <w:rPr>
          <w:rFonts w:eastAsia="Calibri"/>
          <w:b/>
          <w:sz w:val="20"/>
          <w:szCs w:val="20"/>
          <w:lang w:eastAsia="en-US"/>
        </w:rPr>
      </w:pPr>
      <w:r w:rsidRPr="00303EBA">
        <w:rPr>
          <w:rFonts w:eastAsia="Calibri"/>
          <w:b/>
          <w:sz w:val="20"/>
          <w:szCs w:val="20"/>
          <w:lang w:eastAsia="en-US"/>
        </w:rPr>
        <w:t>Fuente de información:</w:t>
      </w:r>
    </w:p>
    <w:p w14:paraId="5EA0FB35" w14:textId="77777777" w:rsidR="00303EBA" w:rsidRPr="00CF18F1" w:rsidRDefault="0045651A" w:rsidP="00CF18F1">
      <w:pPr>
        <w:spacing w:after="720"/>
        <w:ind w:right="-159"/>
        <w:jc w:val="both"/>
        <w:rPr>
          <w:rFonts w:eastAsia="Calibri"/>
          <w:color w:val="0000FF"/>
          <w:sz w:val="20"/>
          <w:szCs w:val="20"/>
          <w:lang w:eastAsia="en-US"/>
        </w:rPr>
      </w:pPr>
      <w:hyperlink r:id="rId157" w:history="1">
        <w:r w:rsidR="00303EBA" w:rsidRPr="00CF18F1">
          <w:rPr>
            <w:rFonts w:eastAsia="Calibri"/>
            <w:color w:val="0000FF"/>
            <w:sz w:val="20"/>
            <w:szCs w:val="20"/>
            <w:u w:val="single"/>
            <w:lang w:eastAsia="en-US"/>
          </w:rPr>
          <w:t>http://nissannews.com/es-MX/nissan/mexico/releases/movilidad-el-ctrica-la-respuesta-frente-a-la-alza-en-el-precio-de-la-gasolina</w:t>
        </w:r>
      </w:hyperlink>
      <w:r w:rsidR="00303EBA" w:rsidRPr="00CF18F1">
        <w:rPr>
          <w:rFonts w:eastAsia="Calibri"/>
          <w:color w:val="0000FF"/>
          <w:sz w:val="20"/>
          <w:szCs w:val="20"/>
          <w:lang w:eastAsia="en-US"/>
        </w:rPr>
        <w:t xml:space="preserve"> </w:t>
      </w:r>
    </w:p>
    <w:p w14:paraId="62E8945B" w14:textId="757BCEB2" w:rsidR="00AC0335" w:rsidRPr="00AC0335" w:rsidRDefault="00AC0335" w:rsidP="00AC0335">
      <w:pPr>
        <w:ind w:right="-159"/>
        <w:jc w:val="both"/>
        <w:rPr>
          <w:rFonts w:eastAsia="Calibri"/>
          <w:b/>
          <w:sz w:val="26"/>
          <w:szCs w:val="26"/>
          <w:lang w:eastAsia="en-US"/>
        </w:rPr>
      </w:pPr>
      <w:r w:rsidRPr="00AC0335">
        <w:rPr>
          <w:rFonts w:eastAsia="Calibri"/>
          <w:b/>
          <w:sz w:val="26"/>
          <w:szCs w:val="26"/>
          <w:lang w:eastAsia="en-US"/>
        </w:rPr>
        <w:t>Dueños de bonos mexicanos aman a quienes</w:t>
      </w:r>
    </w:p>
    <w:p w14:paraId="0F904732" w14:textId="77777777" w:rsidR="00AC0335" w:rsidRPr="00AC0335" w:rsidRDefault="00AC0335" w:rsidP="00AC0335">
      <w:pPr>
        <w:spacing w:after="360" w:line="360" w:lineRule="auto"/>
        <w:ind w:right="-159"/>
        <w:jc w:val="both"/>
        <w:rPr>
          <w:rFonts w:eastAsia="Calibri"/>
          <w:b/>
          <w:sz w:val="26"/>
          <w:szCs w:val="26"/>
          <w:lang w:eastAsia="en-US"/>
        </w:rPr>
      </w:pPr>
      <w:r w:rsidRPr="00AC0335">
        <w:rPr>
          <w:rFonts w:eastAsia="Calibri"/>
          <w:b/>
          <w:sz w:val="26"/>
          <w:szCs w:val="26"/>
          <w:lang w:eastAsia="en-US"/>
        </w:rPr>
        <w:t>gustan de  las Ford  F-150  (Sentido Común)</w:t>
      </w:r>
    </w:p>
    <w:p w14:paraId="2D07FE5D" w14:textId="5A5BD06E"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El 8 de abril de 2015, el sitio electrónico Sentido Común publicó el artículo escrito por Brendan Case</w:t>
      </w:r>
      <w:r w:rsidR="007A233D">
        <w:rPr>
          <w:rFonts w:eastAsia="Calibri"/>
          <w:sz w:val="26"/>
          <w:szCs w:val="26"/>
          <w:lang w:eastAsia="en-US"/>
        </w:rPr>
        <w:t>,</w:t>
      </w:r>
      <w:r w:rsidRPr="00AC0335">
        <w:rPr>
          <w:rFonts w:eastAsia="Calibri"/>
          <w:sz w:val="26"/>
          <w:szCs w:val="26"/>
          <w:lang w:eastAsia="en-US"/>
        </w:rPr>
        <w:t xml:space="preserve"> titulado “Dueños de bonos mexicanos aman a quienes gustan de las Ford F-150”, el cual se presenta a continuación. </w:t>
      </w:r>
    </w:p>
    <w:p w14:paraId="26B60E47"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Metalsa, una empresa que suministra autopartes para las camionetas Ford F-150 y las minivans Toyota Sienna, está recompensando a los tenedores de sus bonos con algunos de los mayores rendimientos de la industria gracias a la confianza que despierta la compañía por el auge que vive la industria automotriz mexicana.</w:t>
      </w:r>
    </w:p>
    <w:p w14:paraId="314E8120"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Los bajos costos laborales del país, junto con su cercanía a Estados Unidos de Norteamérica, más sus tratados de libre comercio con más de cuatro decenas de país han provocado que México se convierta en el cuarto exportador de autos más importante del planeta.</w:t>
      </w:r>
    </w:p>
    <w:p w14:paraId="2BBC7F78"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Eso, más la caída de los precios de los combustibles que han provocado un renacimiento del interés de los consumidores estadounidenses en camionetas, minivans y vehículos utilitarios deportivos, o SUVs, está provocando que compañías como Metalsa vean crecer sus ventas y ganancias, lo que atrae a los inversionistas hacia sus bonos. </w:t>
      </w:r>
    </w:p>
    <w:p w14:paraId="7972E612"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lastRenderedPageBreak/>
        <w:t>Los bonos que emitió la empresa de autopartes por 300 millones de dólares, con vencimiento en 2023, subieron 6.3% en el primer trimestre, más del doble que el promedio de los títulos de deuda emitidos por fabricantes de autopartes a nivel mundial, así como de los bonos denominados en dólares emitidos por empresas mexicanas.</w:t>
      </w:r>
    </w:p>
    <w:p w14:paraId="47F14BAE" w14:textId="589AE69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Metalsa, con sede en Apodaca, México, suministra marcos de chasis y chasises para los tipos de vehículos que están registrando las mayores ventas en Estados Unidos de Norteamérica, de acuerdo </w:t>
      </w:r>
      <w:r w:rsidR="00FF79BA">
        <w:rPr>
          <w:rFonts w:eastAsia="Calibri"/>
          <w:sz w:val="26"/>
          <w:szCs w:val="26"/>
          <w:lang w:eastAsia="en-US"/>
        </w:rPr>
        <w:t>con</w:t>
      </w:r>
      <w:r w:rsidRPr="00AC0335">
        <w:rPr>
          <w:rFonts w:eastAsia="Calibri"/>
          <w:sz w:val="26"/>
          <w:szCs w:val="26"/>
          <w:lang w:eastAsia="en-US"/>
        </w:rPr>
        <w:t xml:space="preserve"> Fitch Ratings. </w:t>
      </w:r>
    </w:p>
    <w:p w14:paraId="0EF137E4"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La producción automotriz récord de México y los 7 mil millones de dólares en inversiones anunciadas para fabricar autos el año pasado también significan que las fábricas de autopartes de la nación productora de vehículos más importante de Latinoamérica, mantendrán su ritmo de expansión. </w:t>
      </w:r>
    </w:p>
    <w:p w14:paraId="56F9EBF6"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“Las ventas de automóviles estadounidenses son bastante fuertes, y la caída en los precios de los energéticos están estimulando realmente el consumo”, dijo un administrador de dinero en InSight Valores, quien supervisa 350 millones de dólares en deuda de mercados emergentes y que tiene bonos de Metalsa. "En autopartes, México es un apéndice de la cadena de producción de Estados Unidos de Norteamérica, por lo que de esa manera es más una operación manufacturera de Estados Unidos de Norteamérica”.</w:t>
      </w:r>
    </w:p>
    <w:p w14:paraId="4CDE16CE" w14:textId="77777777" w:rsidR="00AC0335" w:rsidRPr="00AC0335" w:rsidRDefault="00AC0335" w:rsidP="00AC0335">
      <w:pPr>
        <w:spacing w:after="360" w:line="360" w:lineRule="auto"/>
        <w:ind w:right="-159"/>
        <w:jc w:val="both"/>
        <w:rPr>
          <w:rFonts w:eastAsia="Calibri"/>
          <w:b/>
          <w:sz w:val="26"/>
          <w:szCs w:val="26"/>
          <w:lang w:eastAsia="en-US"/>
        </w:rPr>
      </w:pPr>
      <w:r w:rsidRPr="00AC0335">
        <w:rPr>
          <w:rFonts w:eastAsia="Calibri"/>
          <w:b/>
          <w:sz w:val="26"/>
          <w:szCs w:val="26"/>
          <w:lang w:eastAsia="en-US"/>
        </w:rPr>
        <w:t>Creciente producción</w:t>
      </w:r>
    </w:p>
    <w:p w14:paraId="7F1DBFE3"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En Estados Unidos de Norteamérica, las ventas de automóviles crecen por sexto año consecutivo, la racha más larga desde por lo menos la Segunda Guerra Mundial. Más de la mitad, casi 70%, de la producción total de automóviles fabricados en México se exporta a Estados Unidos de Norteamérica.</w:t>
      </w:r>
    </w:p>
    <w:p w14:paraId="33576C9D" w14:textId="43E976F2"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lastRenderedPageBreak/>
        <w:t xml:space="preserve">La producción de automóviles en México aumentó 9.6% en el primer trimestre del año luego de que alcanzó un nivel récord el año pasado, de acuerdo </w:t>
      </w:r>
      <w:r w:rsidR="00FF79BA">
        <w:rPr>
          <w:rFonts w:eastAsia="Calibri"/>
          <w:sz w:val="26"/>
          <w:szCs w:val="26"/>
          <w:lang w:eastAsia="en-US"/>
        </w:rPr>
        <w:t>con</w:t>
      </w:r>
      <w:r w:rsidRPr="00AC0335">
        <w:rPr>
          <w:rFonts w:eastAsia="Calibri"/>
          <w:sz w:val="26"/>
          <w:szCs w:val="26"/>
          <w:lang w:eastAsia="en-US"/>
        </w:rPr>
        <w:t xml:space="preserve"> la Asociación Mexicana de la Industria Automotriz (AMIA), la entidad que agrupa a todos los fabricantes de vehículos ligeros en el país. </w:t>
      </w:r>
    </w:p>
    <w:p w14:paraId="3BEE9455"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Las exportaciones de vehículos a Estados Unidos de Norteamérica han aumentado 12.6% en ese lapso, comparado con el primer trimestre de 2014; mientras que las ventas a Canadá han aumentado 33.4 por ciento.</w:t>
      </w:r>
    </w:p>
    <w:p w14:paraId="4ABD5DCA"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Tenedora Nemak, un fabricante mexicano de cabezas de pistón de aluminio y monobloques de motor, también reporta buenos resultados para los tenedores de sus bonos, que a la fecha registran una rentabilidad de 4.8 por ciento.</w:t>
      </w:r>
    </w:p>
    <w:p w14:paraId="5DC3F136"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Las ganancias de esta empresa antes de intereses, impuestos, depreciación y amortización aumentaron 13% el año pasado luego que sus ventas llegaron a un récord de 4 mil 620 millones de dólares, dijo a finales de febrero su empresa matriz, Alfa, el segundo grupo industrial más grande de México.</w:t>
      </w:r>
    </w:p>
    <w:p w14:paraId="410994DC"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“Tanto Nemak como Metalsa se están beneficiando en estos momentos del crecimiento en las ventas de la industria automotriz norteamericana”, dijo un analista de crédito de la unidad local del banco español, Banco Bilbao Vizcaya Argentaria.</w:t>
      </w:r>
    </w:p>
    <w:p w14:paraId="27A09982" w14:textId="77777777" w:rsidR="00AC0335" w:rsidRPr="00AC0335" w:rsidRDefault="00AC0335" w:rsidP="00AC0335">
      <w:pPr>
        <w:spacing w:after="360" w:line="360" w:lineRule="auto"/>
        <w:ind w:right="-159"/>
        <w:jc w:val="both"/>
        <w:rPr>
          <w:rFonts w:eastAsia="Calibri"/>
          <w:b/>
          <w:sz w:val="26"/>
          <w:szCs w:val="26"/>
          <w:lang w:eastAsia="en-US"/>
        </w:rPr>
      </w:pPr>
      <w:r w:rsidRPr="00AC0335">
        <w:rPr>
          <w:rFonts w:eastAsia="Calibri"/>
          <w:b/>
          <w:sz w:val="26"/>
          <w:szCs w:val="26"/>
          <w:lang w:eastAsia="en-US"/>
        </w:rPr>
        <w:t>Nuevas inversiones</w:t>
      </w:r>
    </w:p>
    <w:p w14:paraId="572DE50B" w14:textId="7FE8BF34"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México ha atraído 20 mil millones de dólares en inversiones de compañía automotrices desde 2009, de acuerdo </w:t>
      </w:r>
      <w:r w:rsidR="00FF79BA">
        <w:rPr>
          <w:rFonts w:eastAsia="Calibri"/>
          <w:sz w:val="26"/>
          <w:szCs w:val="26"/>
          <w:lang w:eastAsia="en-US"/>
        </w:rPr>
        <w:t>con e</w:t>
      </w:r>
      <w:r w:rsidRPr="00AC0335">
        <w:rPr>
          <w:rFonts w:eastAsia="Calibri"/>
          <w:sz w:val="26"/>
          <w:szCs w:val="26"/>
          <w:lang w:eastAsia="en-US"/>
        </w:rPr>
        <w:t xml:space="preserve">l </w:t>
      </w:r>
      <w:r w:rsidRPr="00AC0335">
        <w:rPr>
          <w:rFonts w:eastAsia="Calibri"/>
          <w:i/>
          <w:sz w:val="26"/>
          <w:szCs w:val="26"/>
          <w:lang w:eastAsia="en-US"/>
        </w:rPr>
        <w:t>Center for Automotive Research</w:t>
      </w:r>
      <w:r w:rsidRPr="00AC0335">
        <w:rPr>
          <w:rFonts w:eastAsia="Calibri"/>
          <w:sz w:val="26"/>
          <w:szCs w:val="26"/>
          <w:lang w:eastAsia="en-US"/>
        </w:rPr>
        <w:t>, ubicado en Ann Arbor, Michigan.</w:t>
      </w:r>
    </w:p>
    <w:p w14:paraId="16B8C884" w14:textId="25881F9C"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Los analistas esperan que esas inversiones impulsen la producción de vehículos en el país a 5 millones para el año 2020 respecto al récord del año pasado de 3.22 millones, </w:t>
      </w:r>
      <w:r w:rsidRPr="00AC0335">
        <w:rPr>
          <w:rFonts w:eastAsia="Calibri"/>
          <w:sz w:val="26"/>
          <w:szCs w:val="26"/>
          <w:lang w:eastAsia="en-US"/>
        </w:rPr>
        <w:lastRenderedPageBreak/>
        <w:t>dijo</w:t>
      </w:r>
      <w:r w:rsidR="00187024">
        <w:rPr>
          <w:rFonts w:eastAsia="Calibri"/>
          <w:sz w:val="26"/>
          <w:szCs w:val="26"/>
          <w:lang w:eastAsia="en-US"/>
        </w:rPr>
        <w:t>,</w:t>
      </w:r>
      <w:r w:rsidRPr="00AC0335">
        <w:rPr>
          <w:rFonts w:eastAsia="Calibri"/>
          <w:sz w:val="26"/>
          <w:szCs w:val="26"/>
          <w:lang w:eastAsia="en-US"/>
        </w:rPr>
        <w:t xml:space="preserve"> </w:t>
      </w:r>
      <w:r w:rsidR="00187024">
        <w:rPr>
          <w:rFonts w:eastAsia="Calibri"/>
          <w:sz w:val="26"/>
          <w:szCs w:val="26"/>
          <w:lang w:eastAsia="en-US"/>
        </w:rPr>
        <w:t xml:space="preserve">hace unos días, </w:t>
      </w:r>
      <w:r w:rsidR="00CF18F1">
        <w:rPr>
          <w:rFonts w:eastAsia="Calibri"/>
          <w:sz w:val="26"/>
          <w:szCs w:val="26"/>
          <w:lang w:eastAsia="en-US"/>
        </w:rPr>
        <w:t xml:space="preserve">el </w:t>
      </w:r>
      <w:r w:rsidRPr="00AC0335">
        <w:rPr>
          <w:rFonts w:eastAsia="Calibri"/>
          <w:sz w:val="26"/>
          <w:szCs w:val="26"/>
          <w:lang w:eastAsia="en-US"/>
        </w:rPr>
        <w:t>Banco Nacional de Comercio Exterior, el banco gubernamental encargado de apoyar a los exportadores e importadores mexicanos</w:t>
      </w:r>
      <w:r w:rsidR="00187024">
        <w:rPr>
          <w:rFonts w:eastAsia="Calibri"/>
          <w:sz w:val="26"/>
          <w:szCs w:val="26"/>
          <w:lang w:eastAsia="en-US"/>
        </w:rPr>
        <w:t>.</w:t>
      </w:r>
    </w:p>
    <w:p w14:paraId="49F12A8C"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 xml:space="preserve">Audi, la unidad de automóviles de lujo de Volkswagen, está construyendo una fábrica, al igual que la compañía coreana, Kia Motors. </w:t>
      </w:r>
    </w:p>
    <w:p w14:paraId="43FA1859"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i/>
          <w:sz w:val="26"/>
          <w:szCs w:val="26"/>
          <w:lang w:eastAsia="en-US"/>
        </w:rPr>
        <w:t>Bayerische Motoren Werke</w:t>
      </w:r>
      <w:r w:rsidRPr="00AC0335">
        <w:rPr>
          <w:rFonts w:eastAsia="Calibri"/>
          <w:sz w:val="26"/>
          <w:szCs w:val="26"/>
          <w:lang w:eastAsia="en-US"/>
        </w:rPr>
        <w:t xml:space="preserve"> anunció planes el año pasado para construir una planta mexicana mientras que Daimler está construyendo otra junto con Nissan Motor y Renault.</w:t>
      </w:r>
    </w:p>
    <w:p w14:paraId="6C84DFDA"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Fiat Chrysler Automobiles y General Motors impulsaron su producción mexicana el año pasado. Honda Motor y Mazda Motor abrieron nuevas plantas.</w:t>
      </w:r>
    </w:p>
    <w:p w14:paraId="408CA003" w14:textId="77777777" w:rsidR="00AC0335" w:rsidRPr="00AC0335" w:rsidRDefault="00AC0335" w:rsidP="00AC0335">
      <w:pPr>
        <w:spacing w:after="360" w:line="360" w:lineRule="auto"/>
        <w:ind w:right="-159"/>
        <w:jc w:val="both"/>
        <w:rPr>
          <w:rFonts w:eastAsia="Calibri"/>
          <w:sz w:val="26"/>
          <w:szCs w:val="26"/>
          <w:lang w:eastAsia="en-US"/>
        </w:rPr>
      </w:pPr>
      <w:r w:rsidRPr="00AC0335">
        <w:rPr>
          <w:rFonts w:eastAsia="Calibri"/>
          <w:sz w:val="26"/>
          <w:szCs w:val="26"/>
          <w:lang w:eastAsia="en-US"/>
        </w:rPr>
        <w:t>“Hay grandes inversiones en la industria automotriz mexicana que ayudarán a los fabricantes de autopartes en el largo plazo”, dijo un analista de Fitch, desde Monterrey, México.</w:t>
      </w:r>
    </w:p>
    <w:p w14:paraId="6DE369A1" w14:textId="77777777" w:rsidR="00AC0335" w:rsidRPr="00AC0335" w:rsidRDefault="00AC0335" w:rsidP="00AC0335">
      <w:pPr>
        <w:ind w:right="-159"/>
        <w:jc w:val="both"/>
        <w:rPr>
          <w:rFonts w:eastAsia="Calibri"/>
          <w:b/>
          <w:sz w:val="20"/>
          <w:szCs w:val="20"/>
          <w:lang w:eastAsia="en-US"/>
        </w:rPr>
      </w:pPr>
      <w:r w:rsidRPr="00AC0335">
        <w:rPr>
          <w:rFonts w:eastAsia="Calibri"/>
          <w:b/>
          <w:sz w:val="20"/>
          <w:szCs w:val="20"/>
          <w:lang w:eastAsia="en-US"/>
        </w:rPr>
        <w:t>Fuente de información:</w:t>
      </w:r>
    </w:p>
    <w:p w14:paraId="48583DD3" w14:textId="77777777" w:rsidR="00AC0335" w:rsidRPr="00CF18F1" w:rsidRDefault="0045651A" w:rsidP="00CF18F1">
      <w:pPr>
        <w:spacing w:after="720"/>
        <w:ind w:right="-159"/>
        <w:jc w:val="both"/>
        <w:rPr>
          <w:rFonts w:eastAsia="Calibri"/>
          <w:color w:val="0000FF"/>
          <w:sz w:val="20"/>
          <w:szCs w:val="20"/>
          <w:lang w:eastAsia="en-US"/>
        </w:rPr>
      </w:pPr>
      <w:hyperlink r:id="rId158" w:history="1">
        <w:r w:rsidR="00AC0335" w:rsidRPr="00CF18F1">
          <w:rPr>
            <w:rFonts w:eastAsia="Calibri"/>
            <w:color w:val="0000FF"/>
            <w:sz w:val="20"/>
            <w:szCs w:val="20"/>
            <w:u w:val="single"/>
            <w:lang w:eastAsia="en-US"/>
          </w:rPr>
          <w:t>http://www.sentidocomun.com.mx/articulo.phtml?id=19046</w:t>
        </w:r>
      </w:hyperlink>
    </w:p>
    <w:p w14:paraId="3FA1D5EB" w14:textId="77777777" w:rsidR="00E92F5B" w:rsidRPr="00E92F5B" w:rsidRDefault="00E92F5B" w:rsidP="00E92F5B">
      <w:pPr>
        <w:ind w:right="-159"/>
        <w:jc w:val="both"/>
        <w:rPr>
          <w:rFonts w:eastAsia="Calibri"/>
          <w:b/>
          <w:sz w:val="26"/>
          <w:szCs w:val="26"/>
          <w:lang w:eastAsia="en-US"/>
        </w:rPr>
      </w:pPr>
      <w:r w:rsidRPr="00E92F5B">
        <w:rPr>
          <w:rFonts w:eastAsia="Calibri"/>
          <w:b/>
          <w:sz w:val="26"/>
          <w:szCs w:val="26"/>
          <w:lang w:eastAsia="en-US"/>
        </w:rPr>
        <w:t xml:space="preserve">Hyundai busca construir fábrica en México </w:t>
      </w:r>
    </w:p>
    <w:p w14:paraId="3E987F19" w14:textId="70C0B532" w:rsidR="00E92F5B" w:rsidRPr="00E92F5B" w:rsidRDefault="00E92F5B" w:rsidP="00E92F5B">
      <w:pPr>
        <w:spacing w:after="360" w:line="360" w:lineRule="auto"/>
        <w:ind w:right="-159"/>
        <w:jc w:val="both"/>
        <w:rPr>
          <w:rFonts w:eastAsia="Calibri"/>
          <w:b/>
          <w:sz w:val="26"/>
          <w:szCs w:val="26"/>
          <w:lang w:eastAsia="en-US"/>
        </w:rPr>
      </w:pPr>
      <w:r w:rsidRPr="00E92F5B">
        <w:rPr>
          <w:rFonts w:eastAsia="Calibri"/>
          <w:b/>
          <w:sz w:val="26"/>
          <w:szCs w:val="26"/>
          <w:lang w:eastAsia="en-US"/>
        </w:rPr>
        <w:t xml:space="preserve">si </w:t>
      </w:r>
      <w:r w:rsidR="00187024">
        <w:rPr>
          <w:rFonts w:eastAsia="Calibri"/>
          <w:b/>
          <w:sz w:val="26"/>
          <w:szCs w:val="26"/>
          <w:lang w:eastAsia="en-US"/>
        </w:rPr>
        <w:t>sus</w:t>
      </w:r>
      <w:r w:rsidRPr="00E92F5B">
        <w:rPr>
          <w:rFonts w:eastAsia="Calibri"/>
          <w:b/>
          <w:sz w:val="26"/>
          <w:szCs w:val="26"/>
          <w:lang w:eastAsia="en-US"/>
        </w:rPr>
        <w:t xml:space="preserve"> ventas  crecen  aquí  (Sentido Común)</w:t>
      </w:r>
    </w:p>
    <w:p w14:paraId="7B50BD0B"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El 14 de abril de 2015, el sitio electrónico Sentido Común publicó el artículo elaborado por Nacha Cattan “Hyundai busca construir fábrica en México si ventas crecen aquí”, el cual se presenta a continuación.</w:t>
      </w:r>
    </w:p>
    <w:p w14:paraId="63713C77" w14:textId="72315892"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Hyundai Motor buscará construir una fábrica en México cuando sus ventas locales aumenten, con lo que se uniría a la empresa Kia Motors en participar en el principal mercado productor de autos de América Latina.</w:t>
      </w:r>
    </w:p>
    <w:p w14:paraId="0A29899C"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lastRenderedPageBreak/>
        <w:t xml:space="preserve">“Hyundai quiere convertir a México en una base muy importante para su producción global”, dijo el Director General de Hyundai Motor de México, en una entrevista en su oficina en la Ciudad de México. “Estoy seguro de que con los años vamos a ver la producción de productos de Hyundai en México”. </w:t>
      </w:r>
    </w:p>
    <w:p w14:paraId="7690DA1E"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El mayor fabricante de automóviles de Corea del Sur probablemente esperará hasta que sus ventas nacionales anuales superan 50 mil antes de abrir una planta, dijo el Ejecutivo. </w:t>
      </w:r>
    </w:p>
    <w:p w14:paraId="2E0CB6CC" w14:textId="503EC621"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Hyundai, con sede en Seúl, comenzó a vender sus autos en el país el año pasado con </w:t>
      </w:r>
      <w:r w:rsidR="00845A3F">
        <w:rPr>
          <w:rFonts w:eastAsia="Calibri"/>
          <w:sz w:val="26"/>
          <w:szCs w:val="26"/>
          <w:lang w:eastAsia="en-US"/>
        </w:rPr>
        <w:t xml:space="preserve">   </w:t>
      </w:r>
      <w:r w:rsidRPr="00E92F5B">
        <w:rPr>
          <w:rFonts w:eastAsia="Calibri"/>
          <w:sz w:val="26"/>
          <w:szCs w:val="26"/>
          <w:lang w:eastAsia="en-US"/>
        </w:rPr>
        <w:t>12 mil vehículos ese año y tiene proyectado llegar a la cifra de 50 mil para 2018.</w:t>
      </w:r>
    </w:p>
    <w:p w14:paraId="38CD7A5D"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El funcionario no descartó un anuncio antes de esa fecha. </w:t>
      </w:r>
    </w:p>
    <w:p w14:paraId="3DDC1BD9"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Una línea de ensamblaje local añadiría Hyundai a la lista de las marcas globales de automóviles que están establecidas en México. Kia ya prometió edificar una planta aquí luego que BMW hizo lo mismo, al igual que Daimler y Nissan Motor en una operación conjunta. </w:t>
      </w:r>
    </w:p>
    <w:p w14:paraId="40253A69"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Nissan, Honda Motor y Mazda Motor han comenzado a hacer autos en México desde noviembre de 2013. </w:t>
      </w:r>
    </w:p>
    <w:p w14:paraId="6F3E9B2B"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Toyota Motor también está a punto de abrir su primera fábrica de automóviles de pasajeros a medida que el fabricante de automóviles termina su veda a la edificación de nuevas plantas de ensamble, dijeron dos personas con conocimiento directo de ese plan. </w:t>
      </w:r>
    </w:p>
    <w:p w14:paraId="4FD3B655"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La compañía con sede en Japón Toyota City, programa un anuncio en la Ciudad de México, sin dar más detalles del mismo. </w:t>
      </w:r>
    </w:p>
    <w:p w14:paraId="0806C282" w14:textId="0985FB5B"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El Director General de Hyundai Motor dijo que el estado de Nuevo León sería una buena ubicación para Hyundai después de que Kia, también una empresa de Corea del </w:t>
      </w:r>
      <w:r w:rsidRPr="00E92F5B">
        <w:rPr>
          <w:rFonts w:eastAsia="Calibri"/>
          <w:sz w:val="26"/>
          <w:szCs w:val="26"/>
          <w:lang w:eastAsia="en-US"/>
        </w:rPr>
        <w:lastRenderedPageBreak/>
        <w:t>Sur, anunció el año pasado la edificación de su primera fábrica en México a</w:t>
      </w:r>
      <w:r w:rsidR="00A871F8">
        <w:rPr>
          <w:rFonts w:eastAsia="Calibri"/>
          <w:sz w:val="26"/>
          <w:szCs w:val="26"/>
          <w:lang w:eastAsia="en-US"/>
        </w:rPr>
        <w:t>h</w:t>
      </w:r>
      <w:r w:rsidRPr="00E92F5B">
        <w:rPr>
          <w:rFonts w:eastAsia="Calibri"/>
          <w:sz w:val="26"/>
          <w:szCs w:val="26"/>
          <w:lang w:eastAsia="en-US"/>
        </w:rPr>
        <w:t xml:space="preserve">í, con una inversión de más un mil millones de dólares. </w:t>
      </w:r>
    </w:p>
    <w:p w14:paraId="0660B0B9"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Agregó que una fábrica de México probablemente tendría capacidad para producir    100 mil vehículos al año, como podrían ser los modelos sub-compactos populares en México. </w:t>
      </w:r>
    </w:p>
    <w:p w14:paraId="46686539"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 xml:space="preserve">La decisión de Kia de producir en México ha hecho que el país sea más atractivo para Hyundai pues traerá proveedores, dijo el directivo. </w:t>
      </w:r>
    </w:p>
    <w:p w14:paraId="2E002881" w14:textId="77777777" w:rsidR="00E92F5B" w:rsidRPr="00E92F5B" w:rsidRDefault="00E92F5B" w:rsidP="00E92F5B">
      <w:pPr>
        <w:spacing w:after="360" w:line="360" w:lineRule="auto"/>
        <w:ind w:right="-159"/>
        <w:jc w:val="both"/>
        <w:rPr>
          <w:rFonts w:eastAsia="Calibri"/>
          <w:sz w:val="26"/>
          <w:szCs w:val="26"/>
          <w:lang w:eastAsia="en-US"/>
        </w:rPr>
      </w:pPr>
      <w:r w:rsidRPr="00E92F5B">
        <w:rPr>
          <w:rFonts w:eastAsia="Calibri"/>
          <w:sz w:val="26"/>
          <w:szCs w:val="26"/>
          <w:lang w:eastAsia="en-US"/>
        </w:rPr>
        <w:t>“Hyundai tiene planes muy importantes para México”, concluyó.</w:t>
      </w:r>
    </w:p>
    <w:p w14:paraId="571EACD0" w14:textId="77777777" w:rsidR="00E92F5B" w:rsidRPr="00E92F5B" w:rsidRDefault="00E92F5B" w:rsidP="00E92F5B">
      <w:pPr>
        <w:ind w:right="-159"/>
        <w:jc w:val="both"/>
        <w:rPr>
          <w:rFonts w:eastAsia="Calibri"/>
          <w:b/>
          <w:sz w:val="20"/>
          <w:szCs w:val="20"/>
          <w:lang w:eastAsia="en-US"/>
        </w:rPr>
      </w:pPr>
      <w:r w:rsidRPr="00E92F5B">
        <w:rPr>
          <w:rFonts w:eastAsia="Calibri"/>
          <w:b/>
          <w:sz w:val="20"/>
          <w:szCs w:val="20"/>
          <w:lang w:eastAsia="en-US"/>
        </w:rPr>
        <w:t>Fuente de información:</w:t>
      </w:r>
    </w:p>
    <w:p w14:paraId="4ED87A22" w14:textId="77777777" w:rsidR="00E92F5B" w:rsidRPr="00CF18F1" w:rsidRDefault="0045651A" w:rsidP="00CF18F1">
      <w:pPr>
        <w:spacing w:after="720"/>
        <w:ind w:right="-159"/>
        <w:jc w:val="both"/>
        <w:rPr>
          <w:rFonts w:eastAsia="Calibri"/>
          <w:color w:val="0000FF"/>
          <w:sz w:val="20"/>
          <w:szCs w:val="20"/>
          <w:lang w:eastAsia="en-US"/>
        </w:rPr>
      </w:pPr>
      <w:hyperlink r:id="rId159" w:history="1">
        <w:r w:rsidR="00E92F5B" w:rsidRPr="00CF18F1">
          <w:rPr>
            <w:rFonts w:eastAsia="Calibri"/>
            <w:color w:val="0000FF"/>
            <w:sz w:val="20"/>
            <w:szCs w:val="20"/>
            <w:u w:val="single"/>
            <w:lang w:eastAsia="en-US"/>
          </w:rPr>
          <w:t>http://www.sentidocomun.com.mx/articulo.phtml?id=19239</w:t>
        </w:r>
      </w:hyperlink>
    </w:p>
    <w:p w14:paraId="2231A543" w14:textId="13250681" w:rsidR="008037B6" w:rsidRDefault="008037B6" w:rsidP="008037B6">
      <w:pPr>
        <w:ind w:right="-159"/>
        <w:rPr>
          <w:rFonts w:eastAsia="Times New Roman"/>
          <w:b/>
          <w:bCs/>
          <w:sz w:val="26"/>
          <w:szCs w:val="26"/>
          <w:lang w:val="es-ES"/>
        </w:rPr>
      </w:pPr>
      <w:r w:rsidRPr="008037B6">
        <w:rPr>
          <w:rFonts w:eastAsia="Times New Roman"/>
          <w:b/>
          <w:bCs/>
          <w:sz w:val="26"/>
          <w:szCs w:val="26"/>
          <w:lang w:val="es-ES"/>
        </w:rPr>
        <w:t>Comercialización de vehículos automotores,</w:t>
      </w:r>
    </w:p>
    <w:p w14:paraId="3F8605D6" w14:textId="693AE01C" w:rsidR="008037B6" w:rsidRPr="008037B6" w:rsidRDefault="008037B6" w:rsidP="008037B6">
      <w:pPr>
        <w:spacing w:after="360" w:line="360" w:lineRule="auto"/>
        <w:ind w:right="-159"/>
        <w:rPr>
          <w:rFonts w:eastAsia="Times New Roman"/>
          <w:b/>
          <w:bCs/>
          <w:sz w:val="26"/>
          <w:szCs w:val="26"/>
          <w:lang w:val="es-ES"/>
        </w:rPr>
      </w:pPr>
      <w:r>
        <w:rPr>
          <w:rFonts w:eastAsia="Times New Roman"/>
          <w:b/>
          <w:bCs/>
          <w:sz w:val="26"/>
          <w:szCs w:val="26"/>
          <w:lang w:val="es-ES"/>
        </w:rPr>
        <w:t>c</w:t>
      </w:r>
      <w:r w:rsidRPr="008037B6">
        <w:rPr>
          <w:rFonts w:eastAsia="Times New Roman"/>
          <w:b/>
          <w:bCs/>
          <w:sz w:val="26"/>
          <w:szCs w:val="26"/>
          <w:lang w:val="es-ES"/>
        </w:rPr>
        <w:t xml:space="preserve">ifras </w:t>
      </w:r>
      <w:r>
        <w:rPr>
          <w:rFonts w:eastAsia="Times New Roman"/>
          <w:b/>
          <w:bCs/>
          <w:sz w:val="26"/>
          <w:szCs w:val="26"/>
          <w:lang w:val="es-ES"/>
        </w:rPr>
        <w:t xml:space="preserve"> </w:t>
      </w:r>
      <w:r w:rsidR="00472665">
        <w:rPr>
          <w:rFonts w:eastAsia="Times New Roman"/>
          <w:b/>
          <w:bCs/>
          <w:sz w:val="26"/>
          <w:szCs w:val="26"/>
          <w:lang w:val="es-ES"/>
        </w:rPr>
        <w:t xml:space="preserve"> </w:t>
      </w:r>
      <w:r>
        <w:rPr>
          <w:rFonts w:eastAsia="Times New Roman"/>
          <w:b/>
          <w:bCs/>
          <w:sz w:val="26"/>
          <w:szCs w:val="26"/>
          <w:lang w:val="es-ES"/>
        </w:rPr>
        <w:t xml:space="preserve">   </w:t>
      </w:r>
      <w:r w:rsidRPr="008037B6">
        <w:rPr>
          <w:rFonts w:eastAsia="Times New Roman"/>
          <w:b/>
          <w:bCs/>
          <w:sz w:val="26"/>
          <w:szCs w:val="26"/>
          <w:lang w:val="es-ES"/>
        </w:rPr>
        <w:t xml:space="preserve">a </w:t>
      </w:r>
      <w:r>
        <w:rPr>
          <w:rFonts w:eastAsia="Times New Roman"/>
          <w:b/>
          <w:bCs/>
          <w:sz w:val="26"/>
          <w:szCs w:val="26"/>
          <w:lang w:val="es-ES"/>
        </w:rPr>
        <w:t xml:space="preserve"> </w:t>
      </w:r>
      <w:r w:rsidR="00472665">
        <w:rPr>
          <w:rFonts w:eastAsia="Times New Roman"/>
          <w:b/>
          <w:bCs/>
          <w:sz w:val="26"/>
          <w:szCs w:val="26"/>
          <w:lang w:val="es-ES"/>
        </w:rPr>
        <w:t xml:space="preserve"> </w:t>
      </w:r>
      <w:r>
        <w:rPr>
          <w:rFonts w:eastAsia="Times New Roman"/>
          <w:b/>
          <w:bCs/>
          <w:sz w:val="26"/>
          <w:szCs w:val="26"/>
          <w:lang w:val="es-ES"/>
        </w:rPr>
        <w:t xml:space="preserve">   </w:t>
      </w:r>
      <w:r w:rsidR="00472665">
        <w:rPr>
          <w:rFonts w:eastAsia="Times New Roman"/>
          <w:b/>
          <w:bCs/>
          <w:sz w:val="26"/>
          <w:szCs w:val="26"/>
          <w:lang w:val="es-ES"/>
        </w:rPr>
        <w:t>marzo</w:t>
      </w:r>
      <w:r w:rsidRPr="008037B6">
        <w:rPr>
          <w:rFonts w:eastAsia="Times New Roman"/>
          <w:b/>
          <w:bCs/>
          <w:sz w:val="26"/>
          <w:szCs w:val="26"/>
          <w:lang w:val="es-ES"/>
        </w:rPr>
        <w:t xml:space="preserve"> </w:t>
      </w:r>
      <w:r>
        <w:rPr>
          <w:rFonts w:eastAsia="Times New Roman"/>
          <w:b/>
          <w:bCs/>
          <w:sz w:val="26"/>
          <w:szCs w:val="26"/>
          <w:lang w:val="es-ES"/>
        </w:rPr>
        <w:t xml:space="preserve">    </w:t>
      </w:r>
      <w:r w:rsidRPr="008037B6">
        <w:rPr>
          <w:rFonts w:eastAsia="Times New Roman"/>
          <w:b/>
          <w:bCs/>
          <w:sz w:val="26"/>
          <w:szCs w:val="26"/>
          <w:lang w:val="es-ES"/>
        </w:rPr>
        <w:t xml:space="preserve">de </w:t>
      </w:r>
      <w:r>
        <w:rPr>
          <w:rFonts w:eastAsia="Times New Roman"/>
          <w:b/>
          <w:bCs/>
          <w:sz w:val="26"/>
          <w:szCs w:val="26"/>
          <w:lang w:val="es-ES"/>
        </w:rPr>
        <w:t xml:space="preserve">    </w:t>
      </w:r>
      <w:r w:rsidRPr="008037B6">
        <w:rPr>
          <w:rFonts w:eastAsia="Times New Roman"/>
          <w:b/>
          <w:bCs/>
          <w:sz w:val="26"/>
          <w:szCs w:val="26"/>
          <w:lang w:val="es-ES"/>
        </w:rPr>
        <w:t xml:space="preserve">2015 </w:t>
      </w:r>
      <w:r>
        <w:rPr>
          <w:rFonts w:eastAsia="Times New Roman"/>
          <w:b/>
          <w:bCs/>
          <w:sz w:val="26"/>
          <w:szCs w:val="26"/>
          <w:lang w:val="es-ES"/>
        </w:rPr>
        <w:t xml:space="preserve">   </w:t>
      </w:r>
      <w:r w:rsidRPr="008037B6">
        <w:rPr>
          <w:rFonts w:eastAsia="Times New Roman"/>
          <w:b/>
          <w:bCs/>
          <w:sz w:val="26"/>
          <w:szCs w:val="26"/>
          <w:lang w:val="es-ES"/>
        </w:rPr>
        <w:t>(AMDA)</w:t>
      </w:r>
    </w:p>
    <w:p w14:paraId="6060B299" w14:textId="4FDEE0DC" w:rsidR="00472665" w:rsidRPr="00472665" w:rsidRDefault="00472665" w:rsidP="00472665">
      <w:pPr>
        <w:spacing w:after="360" w:line="360" w:lineRule="auto"/>
        <w:ind w:right="-159"/>
        <w:jc w:val="both"/>
        <w:rPr>
          <w:rFonts w:eastAsia="Times New Roman"/>
          <w:bCs/>
          <w:sz w:val="26"/>
          <w:szCs w:val="26"/>
          <w:lang w:val="es-ES"/>
        </w:rPr>
      </w:pPr>
      <w:r w:rsidRPr="00472665">
        <w:rPr>
          <w:rFonts w:eastAsia="Times New Roman"/>
          <w:bCs/>
          <w:sz w:val="26"/>
          <w:szCs w:val="26"/>
          <w:lang w:val="es-ES"/>
        </w:rPr>
        <w:t xml:space="preserve">El 8 de abril de 2015, la Asociación Mexicana de Distribuidores de Automotores, A.C., </w:t>
      </w:r>
      <w:r w:rsidR="00A871F8">
        <w:rPr>
          <w:rFonts w:eastAsia="Times New Roman"/>
          <w:bCs/>
          <w:sz w:val="26"/>
          <w:szCs w:val="26"/>
          <w:lang w:val="es-ES"/>
        </w:rPr>
        <w:t>(</w:t>
      </w:r>
      <w:r w:rsidRPr="00472665">
        <w:rPr>
          <w:rFonts w:eastAsia="Times New Roman"/>
          <w:bCs/>
          <w:sz w:val="26"/>
          <w:szCs w:val="26"/>
          <w:lang w:val="es-ES"/>
        </w:rPr>
        <w:t>AMDA</w:t>
      </w:r>
      <w:r w:rsidR="00A871F8">
        <w:rPr>
          <w:rFonts w:eastAsia="Times New Roman"/>
          <w:bCs/>
          <w:sz w:val="26"/>
          <w:szCs w:val="26"/>
          <w:lang w:val="es-ES"/>
        </w:rPr>
        <w:t>)</w:t>
      </w:r>
      <w:r w:rsidRPr="00472665">
        <w:rPr>
          <w:rFonts w:eastAsia="Times New Roman"/>
          <w:bCs/>
          <w:sz w:val="26"/>
          <w:szCs w:val="26"/>
          <w:lang w:val="es-ES"/>
        </w:rPr>
        <w:t xml:space="preserve"> presentó su publicación “</w:t>
      </w:r>
      <w:r w:rsidRPr="00472665">
        <w:rPr>
          <w:rFonts w:eastAsia="Times New Roman"/>
          <w:bCs/>
          <w:iCs/>
          <w:sz w:val="26"/>
          <w:szCs w:val="26"/>
          <w:lang w:val="es-ES"/>
        </w:rPr>
        <w:t>Reporte de Mercado Interno Automotor”</w:t>
      </w:r>
      <w:r w:rsidRPr="00472665">
        <w:rPr>
          <w:rFonts w:eastAsia="Times New Roman"/>
          <w:bCs/>
          <w:i/>
          <w:iCs/>
          <w:sz w:val="26"/>
          <w:szCs w:val="26"/>
          <w:lang w:val="es-ES"/>
        </w:rPr>
        <w:t xml:space="preserve"> </w:t>
      </w:r>
      <w:r w:rsidRPr="00472665">
        <w:rPr>
          <w:rFonts w:eastAsia="Times New Roman"/>
          <w:bCs/>
          <w:sz w:val="26"/>
          <w:szCs w:val="26"/>
          <w:lang w:val="es-ES"/>
        </w:rPr>
        <w:t>con cifras del sector al mes de marzo. A continuación se presenta la información.</w:t>
      </w:r>
    </w:p>
    <w:p w14:paraId="78B07CA8" w14:textId="77777777" w:rsidR="00472665" w:rsidRPr="00472665" w:rsidRDefault="00472665" w:rsidP="00472665">
      <w:pPr>
        <w:spacing w:after="360" w:line="360" w:lineRule="auto"/>
        <w:ind w:right="-159"/>
        <w:jc w:val="both"/>
        <w:rPr>
          <w:rFonts w:eastAsia="Times New Roman"/>
          <w:b/>
          <w:bCs/>
          <w:sz w:val="26"/>
          <w:szCs w:val="26"/>
          <w:lang w:val="es-ES"/>
        </w:rPr>
      </w:pPr>
      <w:r w:rsidRPr="00472665">
        <w:rPr>
          <w:rFonts w:eastAsia="Times New Roman"/>
          <w:b/>
          <w:bCs/>
          <w:sz w:val="26"/>
          <w:szCs w:val="26"/>
          <w:lang w:val="es-ES"/>
        </w:rPr>
        <w:t>Vehículos ligeros comercializados en marzo de 2014 y 2015</w:t>
      </w:r>
    </w:p>
    <w:p w14:paraId="25AB3A82" w14:textId="77777777" w:rsidR="00472665" w:rsidRPr="00472665" w:rsidRDefault="00472665" w:rsidP="00472665">
      <w:pPr>
        <w:spacing w:after="360" w:line="360" w:lineRule="auto"/>
        <w:ind w:right="-159"/>
        <w:jc w:val="both"/>
        <w:rPr>
          <w:rFonts w:eastAsia="Times New Roman"/>
          <w:bCs/>
          <w:sz w:val="26"/>
          <w:szCs w:val="26"/>
        </w:rPr>
      </w:pPr>
      <w:r w:rsidRPr="00472665">
        <w:rPr>
          <w:rFonts w:eastAsia="Times New Roman"/>
          <w:bCs/>
          <w:sz w:val="26"/>
          <w:szCs w:val="26"/>
        </w:rPr>
        <w:t>Las ventas anualizadas fueron de un millón 190 mil 442 unidades a marzo de 2015, es decir la suma de los 12 meses de abril de 2014 a marzo de 2015. En esta ocasión se registra crecimiento de 11.8% superior al mismo lapso de 2014 cuando se cerró con un millón 67 mil 258 vehículos.</w:t>
      </w:r>
    </w:p>
    <w:p w14:paraId="34F06245" w14:textId="77777777" w:rsidR="00472665" w:rsidRPr="00472665" w:rsidRDefault="00472665" w:rsidP="00472665">
      <w:pPr>
        <w:spacing w:after="360" w:line="360" w:lineRule="auto"/>
        <w:ind w:right="-159"/>
        <w:jc w:val="both"/>
        <w:rPr>
          <w:rFonts w:eastAsia="Times New Roman"/>
          <w:bCs/>
          <w:sz w:val="26"/>
          <w:szCs w:val="26"/>
          <w:lang w:val="es-ES"/>
        </w:rPr>
      </w:pPr>
      <w:r w:rsidRPr="00472665">
        <w:rPr>
          <w:rFonts w:eastAsia="Times New Roman"/>
          <w:bCs/>
          <w:sz w:val="26"/>
          <w:szCs w:val="26"/>
        </w:rPr>
        <w:t xml:space="preserve">Por su parte, respecto al acumulado de 12 meses inmediato anterior (marzo de 2014 a febrero de 2015), las ventas aumentaron 1.64% con 19 mil 220 unidades más. Este </w:t>
      </w:r>
      <w:r w:rsidRPr="00472665">
        <w:rPr>
          <w:rFonts w:eastAsia="Times New Roman"/>
          <w:bCs/>
          <w:sz w:val="26"/>
          <w:szCs w:val="26"/>
        </w:rPr>
        <w:lastRenderedPageBreak/>
        <w:t>indicador fue superior en 0.11 puntos porcentuales respecto al período inmediato anterior.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110"/>
        <w:gridCol w:w="1603"/>
        <w:gridCol w:w="1531"/>
        <w:gridCol w:w="1345"/>
      </w:tblGrid>
      <w:tr w:rsidR="00472665" w:rsidRPr="00472665" w14:paraId="0BC18D39" w14:textId="77777777" w:rsidTr="00D97E73">
        <w:trPr>
          <w:jc w:val="center"/>
        </w:trPr>
        <w:tc>
          <w:tcPr>
            <w:tcW w:w="6589" w:type="dxa"/>
            <w:gridSpan w:val="4"/>
            <w:tcBorders>
              <w:top w:val="nil"/>
              <w:left w:val="nil"/>
              <w:right w:val="nil"/>
            </w:tcBorders>
            <w:shd w:val="clear" w:color="auto" w:fill="auto"/>
            <w:vAlign w:val="center"/>
          </w:tcPr>
          <w:p w14:paraId="04F6D121" w14:textId="77777777" w:rsidR="00472665" w:rsidRPr="00472665" w:rsidRDefault="00472665" w:rsidP="00472665">
            <w:pPr>
              <w:spacing w:before="20" w:after="20"/>
              <w:jc w:val="center"/>
              <w:rPr>
                <w:rFonts w:eastAsia="Times New Roman"/>
                <w:b/>
                <w:sz w:val="22"/>
                <w:szCs w:val="22"/>
              </w:rPr>
            </w:pPr>
            <w:r w:rsidRPr="00472665">
              <w:rPr>
                <w:rFonts w:eastAsia="Times New Roman"/>
                <w:b/>
                <w:sz w:val="22"/>
                <w:szCs w:val="22"/>
              </w:rPr>
              <w:t>VENTAS ACUMULADAS 12 MESES</w:t>
            </w:r>
          </w:p>
        </w:tc>
      </w:tr>
      <w:tr w:rsidR="00472665" w:rsidRPr="00472665" w14:paraId="7DAFDF2B" w14:textId="77777777" w:rsidTr="00D97E73">
        <w:trPr>
          <w:jc w:val="center"/>
        </w:trPr>
        <w:tc>
          <w:tcPr>
            <w:tcW w:w="3713" w:type="dxa"/>
            <w:gridSpan w:val="2"/>
            <w:tcBorders>
              <w:bottom w:val="single" w:sz="4" w:space="0" w:color="auto"/>
            </w:tcBorders>
            <w:shd w:val="clear" w:color="auto" w:fill="auto"/>
            <w:vAlign w:val="center"/>
          </w:tcPr>
          <w:p w14:paraId="1B5379F5" w14:textId="77777777" w:rsidR="00472665" w:rsidRPr="00472665" w:rsidRDefault="00472665" w:rsidP="00472665">
            <w:pPr>
              <w:spacing w:before="20" w:after="20"/>
              <w:jc w:val="center"/>
              <w:rPr>
                <w:rFonts w:eastAsia="Times New Roman"/>
                <w:b/>
                <w:sz w:val="20"/>
                <w:szCs w:val="22"/>
              </w:rPr>
            </w:pPr>
            <w:r w:rsidRPr="00472665">
              <w:rPr>
                <w:rFonts w:eastAsia="Times New Roman"/>
                <w:b/>
                <w:sz w:val="20"/>
                <w:szCs w:val="22"/>
              </w:rPr>
              <w:t>Período</w:t>
            </w:r>
          </w:p>
        </w:tc>
        <w:tc>
          <w:tcPr>
            <w:tcW w:w="1531" w:type="dxa"/>
            <w:tcBorders>
              <w:bottom w:val="single" w:sz="4" w:space="0" w:color="auto"/>
            </w:tcBorders>
            <w:shd w:val="clear" w:color="auto" w:fill="auto"/>
            <w:vAlign w:val="center"/>
          </w:tcPr>
          <w:p w14:paraId="6C7A72F5" w14:textId="77777777" w:rsidR="00472665" w:rsidRPr="00472665" w:rsidRDefault="00472665" w:rsidP="00472665">
            <w:pPr>
              <w:spacing w:before="20" w:after="20"/>
              <w:jc w:val="center"/>
              <w:rPr>
                <w:rFonts w:eastAsia="Times New Roman"/>
                <w:b/>
                <w:sz w:val="20"/>
                <w:szCs w:val="22"/>
              </w:rPr>
            </w:pPr>
            <w:r w:rsidRPr="00472665">
              <w:rPr>
                <w:rFonts w:eastAsia="Times New Roman"/>
                <w:b/>
                <w:sz w:val="20"/>
                <w:szCs w:val="22"/>
              </w:rPr>
              <w:t>Unidades</w:t>
            </w:r>
          </w:p>
        </w:tc>
        <w:tc>
          <w:tcPr>
            <w:tcW w:w="1345" w:type="dxa"/>
            <w:tcBorders>
              <w:bottom w:val="single" w:sz="4" w:space="0" w:color="auto"/>
            </w:tcBorders>
            <w:shd w:val="clear" w:color="auto" w:fill="auto"/>
            <w:vAlign w:val="center"/>
          </w:tcPr>
          <w:p w14:paraId="309921BB" w14:textId="77777777" w:rsidR="00472665" w:rsidRPr="00472665" w:rsidRDefault="00472665" w:rsidP="00472665">
            <w:pPr>
              <w:spacing w:before="20" w:after="20"/>
              <w:jc w:val="center"/>
              <w:rPr>
                <w:rFonts w:eastAsia="Times New Roman"/>
                <w:b/>
                <w:sz w:val="20"/>
                <w:szCs w:val="22"/>
              </w:rPr>
            </w:pPr>
            <w:r w:rsidRPr="00472665">
              <w:rPr>
                <w:rFonts w:eastAsia="Times New Roman"/>
                <w:b/>
                <w:sz w:val="20"/>
                <w:szCs w:val="22"/>
              </w:rPr>
              <w:t>Var. % mes anterior</w:t>
            </w:r>
          </w:p>
        </w:tc>
      </w:tr>
      <w:tr w:rsidR="00472665" w:rsidRPr="00472665" w14:paraId="4741BDB9" w14:textId="77777777" w:rsidTr="00D97E73">
        <w:trPr>
          <w:jc w:val="center"/>
        </w:trPr>
        <w:tc>
          <w:tcPr>
            <w:tcW w:w="2110" w:type="dxa"/>
            <w:tcBorders>
              <w:bottom w:val="single" w:sz="4" w:space="0" w:color="auto"/>
            </w:tcBorders>
            <w:shd w:val="clear" w:color="auto" w:fill="auto"/>
            <w:vAlign w:val="center"/>
          </w:tcPr>
          <w:p w14:paraId="5F11657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Febrero 10</w:t>
            </w:r>
          </w:p>
        </w:tc>
        <w:tc>
          <w:tcPr>
            <w:tcW w:w="1603" w:type="dxa"/>
            <w:tcBorders>
              <w:bottom w:val="single" w:sz="4" w:space="0" w:color="auto"/>
            </w:tcBorders>
            <w:shd w:val="clear" w:color="auto" w:fill="auto"/>
            <w:vAlign w:val="center"/>
          </w:tcPr>
          <w:p w14:paraId="396E4EFD"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Enero 11</w:t>
            </w:r>
          </w:p>
        </w:tc>
        <w:tc>
          <w:tcPr>
            <w:tcW w:w="1531" w:type="dxa"/>
            <w:tcBorders>
              <w:bottom w:val="single" w:sz="4" w:space="0" w:color="auto"/>
            </w:tcBorders>
            <w:shd w:val="clear" w:color="auto" w:fill="auto"/>
            <w:vAlign w:val="center"/>
          </w:tcPr>
          <w:p w14:paraId="57D901B2"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825 108</w:t>
            </w:r>
          </w:p>
        </w:tc>
        <w:tc>
          <w:tcPr>
            <w:tcW w:w="1345" w:type="dxa"/>
            <w:tcBorders>
              <w:bottom w:val="single" w:sz="4" w:space="0" w:color="auto"/>
            </w:tcBorders>
            <w:shd w:val="clear" w:color="auto" w:fill="auto"/>
            <w:vAlign w:val="center"/>
          </w:tcPr>
          <w:p w14:paraId="3B22F5F0"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0.57</w:t>
            </w:r>
          </w:p>
        </w:tc>
      </w:tr>
      <w:tr w:rsidR="00472665" w:rsidRPr="00472665" w14:paraId="0F0C95B7" w14:textId="77777777" w:rsidTr="00D97E73">
        <w:trPr>
          <w:jc w:val="center"/>
        </w:trPr>
        <w:tc>
          <w:tcPr>
            <w:tcW w:w="2110" w:type="dxa"/>
            <w:tcBorders>
              <w:bottom w:val="single" w:sz="4" w:space="0" w:color="auto"/>
            </w:tcBorders>
            <w:shd w:val="clear" w:color="auto" w:fill="auto"/>
            <w:vAlign w:val="center"/>
          </w:tcPr>
          <w:p w14:paraId="40182B43"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Marzo 10</w:t>
            </w:r>
          </w:p>
        </w:tc>
        <w:tc>
          <w:tcPr>
            <w:tcW w:w="1603" w:type="dxa"/>
            <w:tcBorders>
              <w:bottom w:val="single" w:sz="4" w:space="0" w:color="auto"/>
            </w:tcBorders>
            <w:shd w:val="clear" w:color="auto" w:fill="auto"/>
            <w:vAlign w:val="center"/>
          </w:tcPr>
          <w:p w14:paraId="7A4086FF"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Febrero 11</w:t>
            </w:r>
          </w:p>
        </w:tc>
        <w:tc>
          <w:tcPr>
            <w:tcW w:w="1531" w:type="dxa"/>
            <w:tcBorders>
              <w:bottom w:val="single" w:sz="4" w:space="0" w:color="auto"/>
            </w:tcBorders>
            <w:shd w:val="clear" w:color="auto" w:fill="auto"/>
            <w:vAlign w:val="center"/>
          </w:tcPr>
          <w:p w14:paraId="1887E6CA" w14:textId="37B89F3D" w:rsidR="00472665" w:rsidRPr="00472665" w:rsidRDefault="00472665" w:rsidP="00A871F8">
            <w:pPr>
              <w:spacing w:before="20" w:after="20"/>
              <w:ind w:right="397"/>
              <w:jc w:val="right"/>
              <w:rPr>
                <w:rFonts w:eastAsia="Times New Roman"/>
                <w:sz w:val="18"/>
                <w:szCs w:val="18"/>
              </w:rPr>
            </w:pPr>
            <w:r w:rsidRPr="00472665">
              <w:rPr>
                <w:rFonts w:eastAsia="Times New Roman"/>
                <w:sz w:val="18"/>
                <w:szCs w:val="18"/>
              </w:rPr>
              <w:t>832 5</w:t>
            </w:r>
            <w:r w:rsidR="00A871F8">
              <w:rPr>
                <w:rFonts w:eastAsia="Times New Roman"/>
                <w:sz w:val="18"/>
                <w:szCs w:val="18"/>
              </w:rPr>
              <w:t>82</w:t>
            </w:r>
          </w:p>
        </w:tc>
        <w:tc>
          <w:tcPr>
            <w:tcW w:w="1345" w:type="dxa"/>
            <w:tcBorders>
              <w:bottom w:val="single" w:sz="4" w:space="0" w:color="auto"/>
            </w:tcBorders>
            <w:shd w:val="clear" w:color="auto" w:fill="auto"/>
            <w:vAlign w:val="center"/>
          </w:tcPr>
          <w:p w14:paraId="30AD9A7E"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0.91</w:t>
            </w:r>
          </w:p>
        </w:tc>
      </w:tr>
      <w:tr w:rsidR="00472665" w:rsidRPr="00472665" w14:paraId="1E6D6FFB" w14:textId="77777777" w:rsidTr="00D97E73">
        <w:trPr>
          <w:jc w:val="center"/>
        </w:trPr>
        <w:tc>
          <w:tcPr>
            <w:tcW w:w="2110" w:type="dxa"/>
            <w:tcBorders>
              <w:bottom w:val="single" w:sz="4" w:space="0" w:color="auto"/>
            </w:tcBorders>
            <w:shd w:val="clear" w:color="auto" w:fill="auto"/>
            <w:vAlign w:val="center"/>
          </w:tcPr>
          <w:p w14:paraId="70D83AF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Abril 10</w:t>
            </w:r>
          </w:p>
        </w:tc>
        <w:tc>
          <w:tcPr>
            <w:tcW w:w="1603" w:type="dxa"/>
            <w:tcBorders>
              <w:bottom w:val="single" w:sz="4" w:space="0" w:color="auto"/>
            </w:tcBorders>
            <w:shd w:val="clear" w:color="auto" w:fill="auto"/>
            <w:vAlign w:val="center"/>
          </w:tcPr>
          <w:p w14:paraId="325AD30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Marzo 11</w:t>
            </w:r>
          </w:p>
        </w:tc>
        <w:tc>
          <w:tcPr>
            <w:tcW w:w="1531" w:type="dxa"/>
            <w:tcBorders>
              <w:bottom w:val="single" w:sz="4" w:space="0" w:color="auto"/>
            </w:tcBorders>
            <w:shd w:val="clear" w:color="auto" w:fill="auto"/>
            <w:vAlign w:val="center"/>
          </w:tcPr>
          <w:p w14:paraId="615E5722"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842 293</w:t>
            </w:r>
          </w:p>
        </w:tc>
        <w:tc>
          <w:tcPr>
            <w:tcW w:w="1345" w:type="dxa"/>
            <w:tcBorders>
              <w:bottom w:val="single" w:sz="4" w:space="0" w:color="auto"/>
            </w:tcBorders>
            <w:shd w:val="clear" w:color="auto" w:fill="auto"/>
            <w:vAlign w:val="center"/>
          </w:tcPr>
          <w:p w14:paraId="7B4197E7"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1.17</w:t>
            </w:r>
          </w:p>
        </w:tc>
      </w:tr>
      <w:tr w:rsidR="00472665" w:rsidRPr="00472665" w14:paraId="25A1AF5C" w14:textId="77777777" w:rsidTr="00D97E73">
        <w:trPr>
          <w:jc w:val="center"/>
        </w:trPr>
        <w:tc>
          <w:tcPr>
            <w:tcW w:w="2110" w:type="dxa"/>
            <w:tcBorders>
              <w:bottom w:val="single" w:sz="4" w:space="0" w:color="auto"/>
            </w:tcBorders>
            <w:shd w:val="clear" w:color="auto" w:fill="auto"/>
            <w:vAlign w:val="center"/>
          </w:tcPr>
          <w:p w14:paraId="676DBBC9"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Mayo 10</w:t>
            </w:r>
          </w:p>
        </w:tc>
        <w:tc>
          <w:tcPr>
            <w:tcW w:w="1603" w:type="dxa"/>
            <w:tcBorders>
              <w:bottom w:val="single" w:sz="4" w:space="0" w:color="auto"/>
            </w:tcBorders>
            <w:shd w:val="clear" w:color="auto" w:fill="auto"/>
            <w:vAlign w:val="center"/>
          </w:tcPr>
          <w:p w14:paraId="77C9F26C"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Abril 11</w:t>
            </w:r>
          </w:p>
        </w:tc>
        <w:tc>
          <w:tcPr>
            <w:tcW w:w="1531" w:type="dxa"/>
            <w:tcBorders>
              <w:bottom w:val="single" w:sz="4" w:space="0" w:color="auto"/>
            </w:tcBorders>
            <w:shd w:val="clear" w:color="auto" w:fill="auto"/>
            <w:vAlign w:val="center"/>
          </w:tcPr>
          <w:p w14:paraId="1966025D"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847 107</w:t>
            </w:r>
          </w:p>
        </w:tc>
        <w:tc>
          <w:tcPr>
            <w:tcW w:w="1345" w:type="dxa"/>
            <w:tcBorders>
              <w:bottom w:val="single" w:sz="4" w:space="0" w:color="auto"/>
            </w:tcBorders>
            <w:shd w:val="clear" w:color="auto" w:fill="auto"/>
            <w:vAlign w:val="center"/>
          </w:tcPr>
          <w:p w14:paraId="79755743"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0.57</w:t>
            </w:r>
          </w:p>
        </w:tc>
      </w:tr>
      <w:tr w:rsidR="00472665" w:rsidRPr="00472665" w14:paraId="52A4362B" w14:textId="77777777" w:rsidTr="00D97E73">
        <w:trPr>
          <w:jc w:val="center"/>
        </w:trPr>
        <w:tc>
          <w:tcPr>
            <w:tcW w:w="2110" w:type="dxa"/>
            <w:tcBorders>
              <w:bottom w:val="single" w:sz="4" w:space="0" w:color="auto"/>
            </w:tcBorders>
            <w:shd w:val="clear" w:color="auto" w:fill="auto"/>
            <w:vAlign w:val="center"/>
          </w:tcPr>
          <w:p w14:paraId="46D12660"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Junio 10</w:t>
            </w:r>
          </w:p>
        </w:tc>
        <w:tc>
          <w:tcPr>
            <w:tcW w:w="1603" w:type="dxa"/>
            <w:tcBorders>
              <w:bottom w:val="single" w:sz="4" w:space="0" w:color="auto"/>
            </w:tcBorders>
            <w:shd w:val="clear" w:color="auto" w:fill="auto"/>
            <w:vAlign w:val="center"/>
          </w:tcPr>
          <w:p w14:paraId="60BA156D"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Mayo 11</w:t>
            </w:r>
          </w:p>
        </w:tc>
        <w:tc>
          <w:tcPr>
            <w:tcW w:w="1531" w:type="dxa"/>
            <w:tcBorders>
              <w:bottom w:val="single" w:sz="4" w:space="0" w:color="auto"/>
            </w:tcBorders>
            <w:shd w:val="clear" w:color="auto" w:fill="auto"/>
            <w:vAlign w:val="center"/>
          </w:tcPr>
          <w:p w14:paraId="5DD4EDA8"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854 109</w:t>
            </w:r>
          </w:p>
        </w:tc>
        <w:tc>
          <w:tcPr>
            <w:tcW w:w="1345" w:type="dxa"/>
            <w:tcBorders>
              <w:bottom w:val="single" w:sz="4" w:space="0" w:color="auto"/>
            </w:tcBorders>
            <w:shd w:val="clear" w:color="auto" w:fill="auto"/>
            <w:vAlign w:val="center"/>
          </w:tcPr>
          <w:p w14:paraId="4CAE37EC"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0.83</w:t>
            </w:r>
          </w:p>
        </w:tc>
      </w:tr>
      <w:tr w:rsidR="00472665" w:rsidRPr="00472665" w14:paraId="3C5112D1" w14:textId="77777777" w:rsidTr="00D97E73">
        <w:trPr>
          <w:jc w:val="center"/>
        </w:trPr>
        <w:tc>
          <w:tcPr>
            <w:tcW w:w="2110" w:type="dxa"/>
            <w:tcBorders>
              <w:bottom w:val="single" w:sz="4" w:space="0" w:color="auto"/>
            </w:tcBorders>
            <w:shd w:val="clear" w:color="auto" w:fill="auto"/>
            <w:vAlign w:val="center"/>
          </w:tcPr>
          <w:p w14:paraId="00BEFCDF"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Julio 10</w:t>
            </w:r>
          </w:p>
        </w:tc>
        <w:tc>
          <w:tcPr>
            <w:tcW w:w="1603" w:type="dxa"/>
            <w:tcBorders>
              <w:bottom w:val="single" w:sz="4" w:space="0" w:color="auto"/>
            </w:tcBorders>
            <w:shd w:val="clear" w:color="auto" w:fill="auto"/>
            <w:vAlign w:val="center"/>
          </w:tcPr>
          <w:p w14:paraId="39F7A40B"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Junio 11</w:t>
            </w:r>
          </w:p>
        </w:tc>
        <w:tc>
          <w:tcPr>
            <w:tcW w:w="1531" w:type="dxa"/>
            <w:tcBorders>
              <w:bottom w:val="single" w:sz="4" w:space="0" w:color="auto"/>
            </w:tcBorders>
            <w:shd w:val="clear" w:color="auto" w:fill="auto"/>
            <w:vAlign w:val="center"/>
          </w:tcPr>
          <w:p w14:paraId="6C5D1A34"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862 565</w:t>
            </w:r>
          </w:p>
        </w:tc>
        <w:tc>
          <w:tcPr>
            <w:tcW w:w="1345" w:type="dxa"/>
            <w:tcBorders>
              <w:bottom w:val="single" w:sz="4" w:space="0" w:color="auto"/>
            </w:tcBorders>
            <w:shd w:val="clear" w:color="auto" w:fill="auto"/>
            <w:vAlign w:val="center"/>
          </w:tcPr>
          <w:p w14:paraId="4AC32AE3"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0.99</w:t>
            </w:r>
          </w:p>
        </w:tc>
      </w:tr>
      <w:tr w:rsidR="00472665" w:rsidRPr="00472665" w14:paraId="234D1A0F" w14:textId="77777777" w:rsidTr="00D97E73">
        <w:trPr>
          <w:jc w:val="center"/>
        </w:trPr>
        <w:tc>
          <w:tcPr>
            <w:tcW w:w="2110" w:type="dxa"/>
            <w:tcBorders>
              <w:bottom w:val="single" w:sz="4" w:space="0" w:color="auto"/>
            </w:tcBorders>
            <w:shd w:val="clear" w:color="auto" w:fill="auto"/>
            <w:vAlign w:val="center"/>
          </w:tcPr>
          <w:p w14:paraId="0D4BB94A"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Agosto 10</w:t>
            </w:r>
          </w:p>
        </w:tc>
        <w:tc>
          <w:tcPr>
            <w:tcW w:w="1603" w:type="dxa"/>
            <w:tcBorders>
              <w:bottom w:val="single" w:sz="4" w:space="0" w:color="auto"/>
            </w:tcBorders>
            <w:shd w:val="clear" w:color="auto" w:fill="auto"/>
            <w:vAlign w:val="center"/>
          </w:tcPr>
          <w:p w14:paraId="2D100BCC"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Julio 11</w:t>
            </w:r>
          </w:p>
        </w:tc>
        <w:tc>
          <w:tcPr>
            <w:tcW w:w="1531" w:type="dxa"/>
            <w:tcBorders>
              <w:bottom w:val="single" w:sz="4" w:space="0" w:color="auto"/>
            </w:tcBorders>
            <w:shd w:val="clear" w:color="auto" w:fill="auto"/>
            <w:vAlign w:val="center"/>
          </w:tcPr>
          <w:p w14:paraId="5BA168A0"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869 139</w:t>
            </w:r>
          </w:p>
        </w:tc>
        <w:tc>
          <w:tcPr>
            <w:tcW w:w="1345" w:type="dxa"/>
            <w:tcBorders>
              <w:bottom w:val="single" w:sz="4" w:space="0" w:color="auto"/>
            </w:tcBorders>
            <w:shd w:val="clear" w:color="auto" w:fill="auto"/>
            <w:vAlign w:val="center"/>
          </w:tcPr>
          <w:p w14:paraId="5A37A1F5"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0.76</w:t>
            </w:r>
          </w:p>
        </w:tc>
      </w:tr>
      <w:tr w:rsidR="00472665" w:rsidRPr="00472665" w14:paraId="7BC8FFB8" w14:textId="77777777" w:rsidTr="00D97E73">
        <w:trPr>
          <w:jc w:val="center"/>
        </w:trPr>
        <w:tc>
          <w:tcPr>
            <w:tcW w:w="2110" w:type="dxa"/>
            <w:tcBorders>
              <w:bottom w:val="single" w:sz="4" w:space="0" w:color="auto"/>
            </w:tcBorders>
            <w:shd w:val="clear" w:color="auto" w:fill="auto"/>
            <w:vAlign w:val="center"/>
          </w:tcPr>
          <w:p w14:paraId="5FED740F"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Septiembre 10</w:t>
            </w:r>
          </w:p>
        </w:tc>
        <w:tc>
          <w:tcPr>
            <w:tcW w:w="1603" w:type="dxa"/>
            <w:tcBorders>
              <w:bottom w:val="single" w:sz="4" w:space="0" w:color="auto"/>
            </w:tcBorders>
            <w:shd w:val="clear" w:color="auto" w:fill="auto"/>
            <w:vAlign w:val="center"/>
          </w:tcPr>
          <w:p w14:paraId="338A4FA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Agosto 11</w:t>
            </w:r>
          </w:p>
        </w:tc>
        <w:tc>
          <w:tcPr>
            <w:tcW w:w="1531" w:type="dxa"/>
            <w:tcBorders>
              <w:bottom w:val="single" w:sz="4" w:space="0" w:color="auto"/>
            </w:tcBorders>
            <w:shd w:val="clear" w:color="auto" w:fill="auto"/>
            <w:vAlign w:val="center"/>
          </w:tcPr>
          <w:p w14:paraId="5C1E51DE"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877 888</w:t>
            </w:r>
          </w:p>
        </w:tc>
        <w:tc>
          <w:tcPr>
            <w:tcW w:w="1345" w:type="dxa"/>
            <w:tcBorders>
              <w:bottom w:val="single" w:sz="4" w:space="0" w:color="auto"/>
            </w:tcBorders>
            <w:shd w:val="clear" w:color="auto" w:fill="auto"/>
            <w:vAlign w:val="center"/>
          </w:tcPr>
          <w:p w14:paraId="1237A531"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1.01</w:t>
            </w:r>
          </w:p>
        </w:tc>
      </w:tr>
      <w:tr w:rsidR="00472665" w:rsidRPr="00472665" w14:paraId="1153AC6F" w14:textId="77777777" w:rsidTr="00D97E73">
        <w:trPr>
          <w:jc w:val="center"/>
        </w:trPr>
        <w:tc>
          <w:tcPr>
            <w:tcW w:w="2110" w:type="dxa"/>
            <w:tcBorders>
              <w:bottom w:val="single" w:sz="4" w:space="0" w:color="auto"/>
            </w:tcBorders>
            <w:shd w:val="clear" w:color="auto" w:fill="auto"/>
            <w:vAlign w:val="center"/>
          </w:tcPr>
          <w:p w14:paraId="69073B83"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Octubre 10</w:t>
            </w:r>
          </w:p>
        </w:tc>
        <w:tc>
          <w:tcPr>
            <w:tcW w:w="1603" w:type="dxa"/>
            <w:tcBorders>
              <w:bottom w:val="single" w:sz="4" w:space="0" w:color="auto"/>
            </w:tcBorders>
            <w:shd w:val="clear" w:color="auto" w:fill="auto"/>
            <w:vAlign w:val="center"/>
          </w:tcPr>
          <w:p w14:paraId="55831297"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Septiembre 11</w:t>
            </w:r>
          </w:p>
        </w:tc>
        <w:tc>
          <w:tcPr>
            <w:tcW w:w="1531" w:type="dxa"/>
            <w:tcBorders>
              <w:bottom w:val="single" w:sz="4" w:space="0" w:color="auto"/>
            </w:tcBorders>
            <w:shd w:val="clear" w:color="auto" w:fill="auto"/>
            <w:vAlign w:val="center"/>
          </w:tcPr>
          <w:p w14:paraId="206D0A51"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885 953</w:t>
            </w:r>
          </w:p>
        </w:tc>
        <w:tc>
          <w:tcPr>
            <w:tcW w:w="1345" w:type="dxa"/>
            <w:tcBorders>
              <w:bottom w:val="single" w:sz="4" w:space="0" w:color="auto"/>
            </w:tcBorders>
            <w:shd w:val="clear" w:color="auto" w:fill="auto"/>
            <w:vAlign w:val="center"/>
          </w:tcPr>
          <w:p w14:paraId="123188A4"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0.92</w:t>
            </w:r>
          </w:p>
        </w:tc>
      </w:tr>
      <w:tr w:rsidR="00472665" w:rsidRPr="00472665" w14:paraId="7FEC273D" w14:textId="77777777" w:rsidTr="00D97E73">
        <w:trPr>
          <w:jc w:val="center"/>
        </w:trPr>
        <w:tc>
          <w:tcPr>
            <w:tcW w:w="2110" w:type="dxa"/>
            <w:tcBorders>
              <w:bottom w:val="single" w:sz="4" w:space="0" w:color="auto"/>
            </w:tcBorders>
            <w:shd w:val="clear" w:color="auto" w:fill="auto"/>
            <w:vAlign w:val="center"/>
          </w:tcPr>
          <w:p w14:paraId="520AE249"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Noviembre 10</w:t>
            </w:r>
          </w:p>
        </w:tc>
        <w:tc>
          <w:tcPr>
            <w:tcW w:w="1603" w:type="dxa"/>
            <w:tcBorders>
              <w:bottom w:val="single" w:sz="4" w:space="0" w:color="auto"/>
            </w:tcBorders>
            <w:shd w:val="clear" w:color="auto" w:fill="auto"/>
            <w:vAlign w:val="center"/>
          </w:tcPr>
          <w:p w14:paraId="0697DAB2"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Octubre 11</w:t>
            </w:r>
          </w:p>
        </w:tc>
        <w:tc>
          <w:tcPr>
            <w:tcW w:w="1531" w:type="dxa"/>
            <w:tcBorders>
              <w:bottom w:val="single" w:sz="4" w:space="0" w:color="auto"/>
            </w:tcBorders>
            <w:shd w:val="clear" w:color="auto" w:fill="auto"/>
            <w:vAlign w:val="center"/>
          </w:tcPr>
          <w:p w14:paraId="0AAD9FC8"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887 606</w:t>
            </w:r>
          </w:p>
        </w:tc>
        <w:tc>
          <w:tcPr>
            <w:tcW w:w="1345" w:type="dxa"/>
            <w:tcBorders>
              <w:bottom w:val="single" w:sz="4" w:space="0" w:color="auto"/>
            </w:tcBorders>
            <w:shd w:val="clear" w:color="auto" w:fill="auto"/>
            <w:vAlign w:val="center"/>
          </w:tcPr>
          <w:p w14:paraId="41D76936"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0.19</w:t>
            </w:r>
          </w:p>
        </w:tc>
      </w:tr>
      <w:tr w:rsidR="00472665" w:rsidRPr="00472665" w14:paraId="0403D6C6" w14:textId="77777777" w:rsidTr="00D97E73">
        <w:trPr>
          <w:jc w:val="center"/>
        </w:trPr>
        <w:tc>
          <w:tcPr>
            <w:tcW w:w="2110" w:type="dxa"/>
            <w:tcBorders>
              <w:bottom w:val="single" w:sz="4" w:space="0" w:color="auto"/>
            </w:tcBorders>
            <w:shd w:val="clear" w:color="auto" w:fill="auto"/>
            <w:vAlign w:val="center"/>
          </w:tcPr>
          <w:p w14:paraId="21AA3B35"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Diciembre 10</w:t>
            </w:r>
          </w:p>
        </w:tc>
        <w:tc>
          <w:tcPr>
            <w:tcW w:w="1603" w:type="dxa"/>
            <w:tcBorders>
              <w:bottom w:val="single" w:sz="4" w:space="0" w:color="auto"/>
            </w:tcBorders>
            <w:shd w:val="clear" w:color="auto" w:fill="auto"/>
            <w:vAlign w:val="center"/>
          </w:tcPr>
          <w:p w14:paraId="1AAE376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Noviembre 11</w:t>
            </w:r>
          </w:p>
        </w:tc>
        <w:tc>
          <w:tcPr>
            <w:tcW w:w="1531" w:type="dxa"/>
            <w:tcBorders>
              <w:bottom w:val="single" w:sz="4" w:space="0" w:color="auto"/>
            </w:tcBorders>
            <w:shd w:val="clear" w:color="auto" w:fill="auto"/>
            <w:vAlign w:val="center"/>
          </w:tcPr>
          <w:p w14:paraId="2890010C" w14:textId="628660A5" w:rsidR="00472665" w:rsidRPr="00472665" w:rsidRDefault="00472665" w:rsidP="00A871F8">
            <w:pPr>
              <w:spacing w:before="20" w:after="20"/>
              <w:ind w:right="397"/>
              <w:jc w:val="right"/>
              <w:rPr>
                <w:rFonts w:eastAsia="Times New Roman"/>
                <w:sz w:val="18"/>
                <w:szCs w:val="18"/>
              </w:rPr>
            </w:pPr>
            <w:r w:rsidRPr="00472665">
              <w:rPr>
                <w:rFonts w:eastAsia="Times New Roman"/>
                <w:sz w:val="18"/>
                <w:szCs w:val="18"/>
              </w:rPr>
              <w:t xml:space="preserve">895 </w:t>
            </w:r>
            <w:r w:rsidR="00A871F8">
              <w:rPr>
                <w:rFonts w:eastAsia="Times New Roman"/>
                <w:sz w:val="18"/>
                <w:szCs w:val="18"/>
              </w:rPr>
              <w:t>1</w:t>
            </w:r>
            <w:r w:rsidRPr="00472665">
              <w:rPr>
                <w:rFonts w:eastAsia="Times New Roman"/>
                <w:sz w:val="18"/>
                <w:szCs w:val="18"/>
              </w:rPr>
              <w:t>31</w:t>
            </w:r>
          </w:p>
        </w:tc>
        <w:tc>
          <w:tcPr>
            <w:tcW w:w="1345" w:type="dxa"/>
            <w:tcBorders>
              <w:bottom w:val="single" w:sz="4" w:space="0" w:color="auto"/>
            </w:tcBorders>
            <w:shd w:val="clear" w:color="auto" w:fill="auto"/>
            <w:vAlign w:val="center"/>
          </w:tcPr>
          <w:p w14:paraId="3784FDA8"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0.85</w:t>
            </w:r>
          </w:p>
        </w:tc>
      </w:tr>
      <w:tr w:rsidR="00472665" w:rsidRPr="00472665" w14:paraId="63E93CCB" w14:textId="77777777" w:rsidTr="00D97E73">
        <w:trPr>
          <w:jc w:val="center"/>
        </w:trPr>
        <w:tc>
          <w:tcPr>
            <w:tcW w:w="2110" w:type="dxa"/>
            <w:tcBorders>
              <w:bottom w:val="single" w:sz="4" w:space="0" w:color="auto"/>
            </w:tcBorders>
            <w:shd w:val="clear" w:color="auto" w:fill="auto"/>
            <w:vAlign w:val="center"/>
          </w:tcPr>
          <w:p w14:paraId="22531B03"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Enero 11</w:t>
            </w:r>
          </w:p>
        </w:tc>
        <w:tc>
          <w:tcPr>
            <w:tcW w:w="1603" w:type="dxa"/>
            <w:tcBorders>
              <w:bottom w:val="single" w:sz="4" w:space="0" w:color="auto"/>
            </w:tcBorders>
            <w:shd w:val="clear" w:color="auto" w:fill="auto"/>
            <w:vAlign w:val="center"/>
          </w:tcPr>
          <w:p w14:paraId="693FF497"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Diciembre 11</w:t>
            </w:r>
          </w:p>
        </w:tc>
        <w:tc>
          <w:tcPr>
            <w:tcW w:w="1531" w:type="dxa"/>
            <w:tcBorders>
              <w:bottom w:val="single" w:sz="4" w:space="0" w:color="auto"/>
            </w:tcBorders>
            <w:shd w:val="clear" w:color="auto" w:fill="auto"/>
            <w:vAlign w:val="center"/>
          </w:tcPr>
          <w:p w14:paraId="55972F07"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905 886</w:t>
            </w:r>
          </w:p>
        </w:tc>
        <w:tc>
          <w:tcPr>
            <w:tcW w:w="1345" w:type="dxa"/>
            <w:tcBorders>
              <w:bottom w:val="single" w:sz="4" w:space="0" w:color="auto"/>
            </w:tcBorders>
            <w:shd w:val="clear" w:color="auto" w:fill="auto"/>
            <w:vAlign w:val="center"/>
          </w:tcPr>
          <w:p w14:paraId="23F40825"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1.20</w:t>
            </w:r>
          </w:p>
        </w:tc>
      </w:tr>
      <w:tr w:rsidR="00472665" w:rsidRPr="00472665" w14:paraId="4827E13E" w14:textId="77777777" w:rsidTr="00D97E73">
        <w:trPr>
          <w:jc w:val="center"/>
        </w:trPr>
        <w:tc>
          <w:tcPr>
            <w:tcW w:w="2110" w:type="dxa"/>
            <w:tcBorders>
              <w:bottom w:val="single" w:sz="4" w:space="0" w:color="auto"/>
            </w:tcBorders>
            <w:shd w:val="clear" w:color="auto" w:fill="auto"/>
            <w:vAlign w:val="center"/>
          </w:tcPr>
          <w:p w14:paraId="05CE3149"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Febrero 11</w:t>
            </w:r>
          </w:p>
        </w:tc>
        <w:tc>
          <w:tcPr>
            <w:tcW w:w="1603" w:type="dxa"/>
            <w:tcBorders>
              <w:bottom w:val="single" w:sz="4" w:space="0" w:color="auto"/>
            </w:tcBorders>
            <w:shd w:val="clear" w:color="auto" w:fill="auto"/>
            <w:vAlign w:val="center"/>
          </w:tcPr>
          <w:p w14:paraId="52456275"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Enero 12</w:t>
            </w:r>
          </w:p>
        </w:tc>
        <w:tc>
          <w:tcPr>
            <w:tcW w:w="1531" w:type="dxa"/>
            <w:tcBorders>
              <w:bottom w:val="single" w:sz="4" w:space="0" w:color="auto"/>
            </w:tcBorders>
            <w:shd w:val="clear" w:color="auto" w:fill="auto"/>
            <w:vAlign w:val="center"/>
          </w:tcPr>
          <w:p w14:paraId="4ADF1166"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912 417</w:t>
            </w:r>
          </w:p>
        </w:tc>
        <w:tc>
          <w:tcPr>
            <w:tcW w:w="1345" w:type="dxa"/>
            <w:tcBorders>
              <w:bottom w:val="single" w:sz="4" w:space="0" w:color="auto"/>
            </w:tcBorders>
            <w:shd w:val="clear" w:color="auto" w:fill="auto"/>
            <w:vAlign w:val="center"/>
          </w:tcPr>
          <w:p w14:paraId="6AAB494C"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0.72</w:t>
            </w:r>
          </w:p>
        </w:tc>
      </w:tr>
      <w:tr w:rsidR="00472665" w:rsidRPr="00472665" w14:paraId="764ED803" w14:textId="77777777" w:rsidTr="00D97E73">
        <w:trPr>
          <w:jc w:val="center"/>
        </w:trPr>
        <w:tc>
          <w:tcPr>
            <w:tcW w:w="2110" w:type="dxa"/>
            <w:tcBorders>
              <w:bottom w:val="single" w:sz="4" w:space="0" w:color="auto"/>
            </w:tcBorders>
            <w:shd w:val="clear" w:color="auto" w:fill="auto"/>
            <w:vAlign w:val="center"/>
          </w:tcPr>
          <w:p w14:paraId="3CF8F24C"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Marzo 11</w:t>
            </w:r>
          </w:p>
        </w:tc>
        <w:tc>
          <w:tcPr>
            <w:tcW w:w="1603" w:type="dxa"/>
            <w:tcBorders>
              <w:bottom w:val="single" w:sz="4" w:space="0" w:color="auto"/>
            </w:tcBorders>
            <w:shd w:val="clear" w:color="auto" w:fill="auto"/>
            <w:vAlign w:val="center"/>
          </w:tcPr>
          <w:p w14:paraId="3574213B"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Febrero 12</w:t>
            </w:r>
          </w:p>
        </w:tc>
        <w:tc>
          <w:tcPr>
            <w:tcW w:w="1531" w:type="dxa"/>
            <w:tcBorders>
              <w:bottom w:val="single" w:sz="4" w:space="0" w:color="auto"/>
            </w:tcBorders>
            <w:shd w:val="clear" w:color="auto" w:fill="auto"/>
            <w:vAlign w:val="center"/>
          </w:tcPr>
          <w:p w14:paraId="432BA32F"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920 130</w:t>
            </w:r>
          </w:p>
        </w:tc>
        <w:tc>
          <w:tcPr>
            <w:tcW w:w="1345" w:type="dxa"/>
            <w:tcBorders>
              <w:bottom w:val="single" w:sz="4" w:space="0" w:color="auto"/>
            </w:tcBorders>
            <w:shd w:val="clear" w:color="auto" w:fill="auto"/>
            <w:vAlign w:val="center"/>
          </w:tcPr>
          <w:p w14:paraId="7C20183D"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0.85</w:t>
            </w:r>
          </w:p>
        </w:tc>
      </w:tr>
      <w:tr w:rsidR="00472665" w:rsidRPr="00472665" w14:paraId="552A422D" w14:textId="77777777" w:rsidTr="00D97E73">
        <w:trPr>
          <w:jc w:val="center"/>
        </w:trPr>
        <w:tc>
          <w:tcPr>
            <w:tcW w:w="2110" w:type="dxa"/>
            <w:tcBorders>
              <w:bottom w:val="single" w:sz="4" w:space="0" w:color="auto"/>
            </w:tcBorders>
            <w:shd w:val="clear" w:color="auto" w:fill="auto"/>
            <w:vAlign w:val="center"/>
          </w:tcPr>
          <w:p w14:paraId="49C1F508"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Abril 11</w:t>
            </w:r>
          </w:p>
        </w:tc>
        <w:tc>
          <w:tcPr>
            <w:tcW w:w="1603" w:type="dxa"/>
            <w:tcBorders>
              <w:bottom w:val="single" w:sz="4" w:space="0" w:color="auto"/>
            </w:tcBorders>
            <w:shd w:val="clear" w:color="auto" w:fill="auto"/>
            <w:vAlign w:val="center"/>
          </w:tcPr>
          <w:p w14:paraId="30E21D2F"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Marzo 12</w:t>
            </w:r>
          </w:p>
        </w:tc>
        <w:tc>
          <w:tcPr>
            <w:tcW w:w="1531" w:type="dxa"/>
            <w:tcBorders>
              <w:bottom w:val="single" w:sz="4" w:space="0" w:color="auto"/>
            </w:tcBorders>
            <w:shd w:val="clear" w:color="auto" w:fill="auto"/>
            <w:vAlign w:val="center"/>
          </w:tcPr>
          <w:p w14:paraId="6D864F6A"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928 579</w:t>
            </w:r>
          </w:p>
        </w:tc>
        <w:tc>
          <w:tcPr>
            <w:tcW w:w="1345" w:type="dxa"/>
            <w:tcBorders>
              <w:bottom w:val="single" w:sz="4" w:space="0" w:color="auto"/>
            </w:tcBorders>
            <w:shd w:val="clear" w:color="auto" w:fill="auto"/>
            <w:vAlign w:val="center"/>
          </w:tcPr>
          <w:p w14:paraId="54A19050"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0.92</w:t>
            </w:r>
          </w:p>
        </w:tc>
      </w:tr>
      <w:tr w:rsidR="00472665" w:rsidRPr="00472665" w14:paraId="335CBECF" w14:textId="77777777" w:rsidTr="00D97E73">
        <w:trPr>
          <w:jc w:val="center"/>
        </w:trPr>
        <w:tc>
          <w:tcPr>
            <w:tcW w:w="2110" w:type="dxa"/>
            <w:tcBorders>
              <w:bottom w:val="single" w:sz="4" w:space="0" w:color="auto"/>
            </w:tcBorders>
            <w:shd w:val="clear" w:color="auto" w:fill="auto"/>
            <w:vAlign w:val="center"/>
          </w:tcPr>
          <w:p w14:paraId="51398E84"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Mayo 11</w:t>
            </w:r>
          </w:p>
        </w:tc>
        <w:tc>
          <w:tcPr>
            <w:tcW w:w="1603" w:type="dxa"/>
            <w:tcBorders>
              <w:bottom w:val="single" w:sz="4" w:space="0" w:color="auto"/>
            </w:tcBorders>
            <w:shd w:val="clear" w:color="auto" w:fill="auto"/>
            <w:vAlign w:val="center"/>
          </w:tcPr>
          <w:p w14:paraId="281D3373"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Abril 12</w:t>
            </w:r>
          </w:p>
        </w:tc>
        <w:tc>
          <w:tcPr>
            <w:tcW w:w="1531" w:type="dxa"/>
            <w:tcBorders>
              <w:bottom w:val="single" w:sz="4" w:space="0" w:color="auto"/>
            </w:tcBorders>
            <w:shd w:val="clear" w:color="auto" w:fill="auto"/>
            <w:vAlign w:val="center"/>
          </w:tcPr>
          <w:p w14:paraId="034B7FEC" w14:textId="77777777" w:rsidR="00472665" w:rsidRPr="00472665" w:rsidRDefault="00472665" w:rsidP="00472665">
            <w:pPr>
              <w:spacing w:before="20" w:after="20"/>
              <w:ind w:right="397"/>
              <w:jc w:val="right"/>
              <w:rPr>
                <w:rFonts w:eastAsia="Times New Roman"/>
                <w:sz w:val="18"/>
                <w:szCs w:val="18"/>
              </w:rPr>
            </w:pPr>
            <w:r w:rsidRPr="00472665">
              <w:rPr>
                <w:rFonts w:eastAsia="Times New Roman"/>
                <w:sz w:val="18"/>
                <w:szCs w:val="18"/>
              </w:rPr>
              <w:t>933 223</w:t>
            </w:r>
          </w:p>
        </w:tc>
        <w:tc>
          <w:tcPr>
            <w:tcW w:w="1345" w:type="dxa"/>
            <w:tcBorders>
              <w:bottom w:val="single" w:sz="4" w:space="0" w:color="auto"/>
            </w:tcBorders>
            <w:shd w:val="clear" w:color="auto" w:fill="auto"/>
            <w:vAlign w:val="center"/>
          </w:tcPr>
          <w:p w14:paraId="02773C9B"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0.50</w:t>
            </w:r>
          </w:p>
        </w:tc>
      </w:tr>
    </w:tbl>
    <w:p w14:paraId="0810D407" w14:textId="77777777" w:rsidR="00472665" w:rsidRDefault="00472665" w:rsidP="00472665">
      <w:pPr>
        <w:spacing w:after="360" w:line="360" w:lineRule="auto"/>
        <w:ind w:right="1185"/>
        <w:jc w:val="right"/>
        <w:rPr>
          <w:rFonts w:eastAsia="Times New Roman"/>
          <w:i/>
          <w:sz w:val="18"/>
          <w:szCs w:val="26"/>
          <w:lang w:val="es-ES"/>
        </w:rPr>
      </w:pPr>
      <w:r w:rsidRPr="00472665">
        <w:rPr>
          <w:rFonts w:eastAsia="Times New Roman"/>
          <w:i/>
          <w:sz w:val="18"/>
          <w:szCs w:val="26"/>
          <w:lang w:val="es-ES"/>
        </w:rPr>
        <w:t>Continúa…</w:t>
      </w:r>
    </w:p>
    <w:p w14:paraId="003618A5" w14:textId="77777777" w:rsidR="00F20067" w:rsidRDefault="00F20067" w:rsidP="00472665">
      <w:pPr>
        <w:spacing w:after="360" w:line="360" w:lineRule="auto"/>
        <w:ind w:right="1185"/>
        <w:jc w:val="right"/>
        <w:rPr>
          <w:rFonts w:eastAsia="Times New Roman"/>
          <w:i/>
          <w:sz w:val="18"/>
          <w:szCs w:val="26"/>
          <w:lang w:val="es-ES"/>
        </w:rPr>
      </w:pPr>
    </w:p>
    <w:p w14:paraId="365C1994" w14:textId="77777777" w:rsidR="00F20067" w:rsidRDefault="00F20067" w:rsidP="00472665">
      <w:pPr>
        <w:spacing w:after="360" w:line="360" w:lineRule="auto"/>
        <w:ind w:right="1185"/>
        <w:jc w:val="right"/>
        <w:rPr>
          <w:rFonts w:eastAsia="Times New Roman"/>
          <w:i/>
          <w:sz w:val="18"/>
          <w:szCs w:val="26"/>
          <w:lang w:val="es-ES"/>
        </w:rPr>
      </w:pPr>
    </w:p>
    <w:p w14:paraId="282495F0" w14:textId="77777777" w:rsidR="00AF7C3F" w:rsidRDefault="00AF7C3F" w:rsidP="00472665">
      <w:pPr>
        <w:spacing w:after="360" w:line="360" w:lineRule="auto"/>
        <w:ind w:right="1185"/>
        <w:jc w:val="right"/>
        <w:rPr>
          <w:rFonts w:eastAsia="Times New Roman"/>
          <w:i/>
          <w:sz w:val="18"/>
          <w:szCs w:val="26"/>
          <w:lang w:val="es-ES"/>
        </w:rPr>
      </w:pPr>
    </w:p>
    <w:p w14:paraId="1E98ECC9" w14:textId="77777777" w:rsidR="00AF7C3F" w:rsidRDefault="00AF7C3F" w:rsidP="00472665">
      <w:pPr>
        <w:spacing w:after="360" w:line="360" w:lineRule="auto"/>
        <w:ind w:right="1185"/>
        <w:jc w:val="right"/>
        <w:rPr>
          <w:rFonts w:eastAsia="Times New Roman"/>
          <w:i/>
          <w:sz w:val="18"/>
          <w:szCs w:val="26"/>
          <w:lang w:val="es-ES"/>
        </w:rPr>
      </w:pPr>
    </w:p>
    <w:p w14:paraId="6BC09144" w14:textId="77777777" w:rsidR="00AF7C3F" w:rsidRDefault="00AF7C3F" w:rsidP="00472665">
      <w:pPr>
        <w:spacing w:after="360" w:line="360" w:lineRule="auto"/>
        <w:ind w:right="1185"/>
        <w:jc w:val="right"/>
        <w:rPr>
          <w:rFonts w:eastAsia="Times New Roman"/>
          <w:i/>
          <w:sz w:val="18"/>
          <w:szCs w:val="26"/>
          <w:lang w:val="es-ES"/>
        </w:rPr>
      </w:pPr>
    </w:p>
    <w:p w14:paraId="5591CB06" w14:textId="77777777" w:rsidR="00AF7C3F" w:rsidRDefault="00AF7C3F" w:rsidP="00472665">
      <w:pPr>
        <w:spacing w:after="360" w:line="360" w:lineRule="auto"/>
        <w:ind w:right="1185"/>
        <w:jc w:val="right"/>
        <w:rPr>
          <w:rFonts w:eastAsia="Times New Roman"/>
          <w:i/>
          <w:sz w:val="18"/>
          <w:szCs w:val="26"/>
          <w:lang w:val="es-ES"/>
        </w:rPr>
      </w:pPr>
    </w:p>
    <w:p w14:paraId="55267F9E" w14:textId="77777777" w:rsidR="00AF7C3F" w:rsidRDefault="00AF7C3F" w:rsidP="00472665">
      <w:pPr>
        <w:spacing w:after="360" w:line="360" w:lineRule="auto"/>
        <w:ind w:right="1185"/>
        <w:jc w:val="right"/>
        <w:rPr>
          <w:rFonts w:eastAsia="Times New Roman"/>
          <w:i/>
          <w:sz w:val="18"/>
          <w:szCs w:val="26"/>
          <w:lang w:val="es-ES"/>
        </w:rPr>
      </w:pPr>
    </w:p>
    <w:p w14:paraId="40FAB374" w14:textId="77777777" w:rsidR="00AF7C3F" w:rsidRDefault="00AF7C3F" w:rsidP="00472665">
      <w:pPr>
        <w:spacing w:after="360" w:line="360" w:lineRule="auto"/>
        <w:ind w:right="1185"/>
        <w:jc w:val="right"/>
        <w:rPr>
          <w:rFonts w:eastAsia="Times New Roman"/>
          <w:i/>
          <w:sz w:val="18"/>
          <w:szCs w:val="26"/>
          <w:lang w:val="es-ES"/>
        </w:rPr>
      </w:pPr>
    </w:p>
    <w:p w14:paraId="064E1FFB" w14:textId="77777777" w:rsidR="00F20067" w:rsidRPr="00472665" w:rsidRDefault="00F20067" w:rsidP="00472665">
      <w:pPr>
        <w:spacing w:after="360" w:line="360" w:lineRule="auto"/>
        <w:ind w:right="1185"/>
        <w:jc w:val="right"/>
        <w:rPr>
          <w:rFonts w:eastAsia="Times New Roman"/>
          <w:i/>
          <w:sz w:val="18"/>
          <w:szCs w:val="26"/>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110"/>
        <w:gridCol w:w="1603"/>
        <w:gridCol w:w="1531"/>
        <w:gridCol w:w="1345"/>
      </w:tblGrid>
      <w:tr w:rsidR="00472665" w:rsidRPr="00472665" w14:paraId="4EDEFC9A" w14:textId="77777777" w:rsidTr="00A8517F">
        <w:trPr>
          <w:jc w:val="center"/>
        </w:trPr>
        <w:tc>
          <w:tcPr>
            <w:tcW w:w="3713" w:type="dxa"/>
            <w:gridSpan w:val="2"/>
            <w:tcBorders>
              <w:bottom w:val="single" w:sz="4" w:space="0" w:color="auto"/>
            </w:tcBorders>
            <w:shd w:val="clear" w:color="auto" w:fill="auto"/>
            <w:vAlign w:val="center"/>
          </w:tcPr>
          <w:p w14:paraId="08A2D1A9" w14:textId="77777777" w:rsidR="00472665" w:rsidRPr="00472665" w:rsidRDefault="00472665" w:rsidP="00D97E73">
            <w:pPr>
              <w:spacing w:before="20" w:after="20"/>
              <w:jc w:val="center"/>
              <w:rPr>
                <w:rFonts w:eastAsia="Times New Roman"/>
                <w:b/>
                <w:sz w:val="20"/>
                <w:szCs w:val="22"/>
              </w:rPr>
            </w:pPr>
            <w:r w:rsidRPr="00472665">
              <w:rPr>
                <w:rFonts w:eastAsia="Times New Roman"/>
                <w:b/>
                <w:sz w:val="20"/>
                <w:szCs w:val="22"/>
              </w:rPr>
              <w:lastRenderedPageBreak/>
              <w:t>Período</w:t>
            </w:r>
          </w:p>
        </w:tc>
        <w:tc>
          <w:tcPr>
            <w:tcW w:w="1531" w:type="dxa"/>
            <w:tcBorders>
              <w:bottom w:val="single" w:sz="4" w:space="0" w:color="auto"/>
            </w:tcBorders>
            <w:shd w:val="clear" w:color="auto" w:fill="auto"/>
            <w:vAlign w:val="center"/>
          </w:tcPr>
          <w:p w14:paraId="6951EDF3" w14:textId="77777777" w:rsidR="00472665" w:rsidRPr="00472665" w:rsidRDefault="00472665" w:rsidP="00D97E73">
            <w:pPr>
              <w:spacing w:before="20" w:after="20"/>
              <w:jc w:val="center"/>
              <w:rPr>
                <w:rFonts w:eastAsia="Times New Roman"/>
                <w:b/>
                <w:sz w:val="20"/>
                <w:szCs w:val="22"/>
              </w:rPr>
            </w:pPr>
            <w:r w:rsidRPr="00472665">
              <w:rPr>
                <w:rFonts w:eastAsia="Times New Roman"/>
                <w:b/>
                <w:sz w:val="20"/>
                <w:szCs w:val="22"/>
              </w:rPr>
              <w:t>Unidades</w:t>
            </w:r>
          </w:p>
        </w:tc>
        <w:tc>
          <w:tcPr>
            <w:tcW w:w="1345" w:type="dxa"/>
            <w:tcBorders>
              <w:bottom w:val="single" w:sz="4" w:space="0" w:color="auto"/>
            </w:tcBorders>
            <w:shd w:val="clear" w:color="auto" w:fill="auto"/>
            <w:vAlign w:val="center"/>
          </w:tcPr>
          <w:p w14:paraId="07226DE7" w14:textId="77777777" w:rsidR="00472665" w:rsidRPr="00472665" w:rsidRDefault="00472665" w:rsidP="00D97E73">
            <w:pPr>
              <w:spacing w:before="20" w:after="20"/>
              <w:jc w:val="center"/>
              <w:rPr>
                <w:rFonts w:eastAsia="Times New Roman"/>
                <w:b/>
                <w:sz w:val="20"/>
                <w:szCs w:val="22"/>
              </w:rPr>
            </w:pPr>
            <w:r w:rsidRPr="00472665">
              <w:rPr>
                <w:rFonts w:eastAsia="Times New Roman"/>
                <w:b/>
                <w:sz w:val="20"/>
                <w:szCs w:val="22"/>
              </w:rPr>
              <w:t>Var. % mes anterior</w:t>
            </w:r>
          </w:p>
        </w:tc>
      </w:tr>
      <w:tr w:rsidR="00472665" w:rsidRPr="00472665" w14:paraId="4494A2C6" w14:textId="77777777" w:rsidTr="00A8517F">
        <w:trPr>
          <w:jc w:val="center"/>
        </w:trPr>
        <w:tc>
          <w:tcPr>
            <w:tcW w:w="2110" w:type="dxa"/>
            <w:tcBorders>
              <w:bottom w:val="single" w:sz="4" w:space="0" w:color="auto"/>
            </w:tcBorders>
            <w:shd w:val="clear" w:color="auto" w:fill="auto"/>
            <w:vAlign w:val="center"/>
          </w:tcPr>
          <w:p w14:paraId="5B8D76F0"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11</w:t>
            </w:r>
          </w:p>
        </w:tc>
        <w:tc>
          <w:tcPr>
            <w:tcW w:w="1603" w:type="dxa"/>
            <w:tcBorders>
              <w:bottom w:val="single" w:sz="4" w:space="0" w:color="auto"/>
            </w:tcBorders>
            <w:shd w:val="clear" w:color="auto" w:fill="auto"/>
            <w:vAlign w:val="center"/>
          </w:tcPr>
          <w:p w14:paraId="5D18AA9B"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Mayo 12</w:t>
            </w:r>
          </w:p>
        </w:tc>
        <w:tc>
          <w:tcPr>
            <w:tcW w:w="1531" w:type="dxa"/>
            <w:tcBorders>
              <w:bottom w:val="single" w:sz="4" w:space="0" w:color="auto"/>
            </w:tcBorders>
            <w:shd w:val="clear" w:color="auto" w:fill="auto"/>
            <w:vAlign w:val="center"/>
          </w:tcPr>
          <w:p w14:paraId="1655D8D9" w14:textId="77777777" w:rsidR="00472665" w:rsidRPr="00472665" w:rsidRDefault="00472665" w:rsidP="00D97E73">
            <w:pPr>
              <w:spacing w:before="20" w:after="20"/>
              <w:ind w:right="397"/>
              <w:jc w:val="right"/>
              <w:rPr>
                <w:rFonts w:eastAsia="Times New Roman"/>
                <w:sz w:val="18"/>
                <w:szCs w:val="18"/>
              </w:rPr>
            </w:pPr>
            <w:r w:rsidRPr="00472665">
              <w:rPr>
                <w:rFonts w:eastAsia="Times New Roman"/>
                <w:sz w:val="18"/>
                <w:szCs w:val="18"/>
              </w:rPr>
              <w:t>944 856</w:t>
            </w:r>
          </w:p>
        </w:tc>
        <w:tc>
          <w:tcPr>
            <w:tcW w:w="1345" w:type="dxa"/>
            <w:tcBorders>
              <w:bottom w:val="single" w:sz="4" w:space="0" w:color="auto"/>
            </w:tcBorders>
            <w:shd w:val="clear" w:color="auto" w:fill="auto"/>
            <w:vAlign w:val="center"/>
          </w:tcPr>
          <w:p w14:paraId="766CBCD1"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1.25</w:t>
            </w:r>
          </w:p>
        </w:tc>
      </w:tr>
      <w:tr w:rsidR="00472665" w:rsidRPr="00472665" w14:paraId="69E5A11F" w14:textId="77777777" w:rsidTr="00A8517F">
        <w:trPr>
          <w:jc w:val="center"/>
        </w:trPr>
        <w:tc>
          <w:tcPr>
            <w:tcW w:w="2110" w:type="dxa"/>
            <w:tcBorders>
              <w:bottom w:val="single" w:sz="4" w:space="0" w:color="auto"/>
            </w:tcBorders>
            <w:shd w:val="clear" w:color="auto" w:fill="auto"/>
            <w:vAlign w:val="center"/>
          </w:tcPr>
          <w:p w14:paraId="153561B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11</w:t>
            </w:r>
          </w:p>
        </w:tc>
        <w:tc>
          <w:tcPr>
            <w:tcW w:w="1603" w:type="dxa"/>
            <w:tcBorders>
              <w:bottom w:val="single" w:sz="4" w:space="0" w:color="auto"/>
            </w:tcBorders>
            <w:shd w:val="clear" w:color="auto" w:fill="auto"/>
            <w:vAlign w:val="center"/>
          </w:tcPr>
          <w:p w14:paraId="3BF296E0"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12</w:t>
            </w:r>
          </w:p>
        </w:tc>
        <w:tc>
          <w:tcPr>
            <w:tcW w:w="1531" w:type="dxa"/>
            <w:tcBorders>
              <w:bottom w:val="single" w:sz="4" w:space="0" w:color="auto"/>
            </w:tcBorders>
            <w:shd w:val="clear" w:color="auto" w:fill="auto"/>
            <w:vAlign w:val="center"/>
          </w:tcPr>
          <w:p w14:paraId="6492F0B4" w14:textId="77777777" w:rsidR="00472665" w:rsidRPr="00472665" w:rsidRDefault="00472665" w:rsidP="00D97E73">
            <w:pPr>
              <w:spacing w:before="20" w:after="20"/>
              <w:ind w:right="397"/>
              <w:jc w:val="right"/>
              <w:rPr>
                <w:rFonts w:eastAsia="Times New Roman"/>
                <w:sz w:val="18"/>
                <w:szCs w:val="18"/>
              </w:rPr>
            </w:pPr>
            <w:r w:rsidRPr="00472665">
              <w:rPr>
                <w:rFonts w:eastAsia="Times New Roman"/>
                <w:sz w:val="18"/>
                <w:szCs w:val="18"/>
              </w:rPr>
              <w:t>954 999</w:t>
            </w:r>
          </w:p>
        </w:tc>
        <w:tc>
          <w:tcPr>
            <w:tcW w:w="1345" w:type="dxa"/>
            <w:tcBorders>
              <w:bottom w:val="single" w:sz="4" w:space="0" w:color="auto"/>
            </w:tcBorders>
            <w:shd w:val="clear" w:color="auto" w:fill="auto"/>
            <w:vAlign w:val="center"/>
          </w:tcPr>
          <w:p w14:paraId="742927B8"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1.07</w:t>
            </w:r>
          </w:p>
        </w:tc>
      </w:tr>
      <w:tr w:rsidR="00472665" w:rsidRPr="00472665" w14:paraId="3335AB99" w14:textId="77777777" w:rsidTr="00A8517F">
        <w:trPr>
          <w:jc w:val="center"/>
        </w:trPr>
        <w:tc>
          <w:tcPr>
            <w:tcW w:w="2110" w:type="dxa"/>
            <w:tcBorders>
              <w:bottom w:val="single" w:sz="4" w:space="0" w:color="auto"/>
            </w:tcBorders>
            <w:shd w:val="clear" w:color="auto" w:fill="auto"/>
            <w:vAlign w:val="center"/>
          </w:tcPr>
          <w:p w14:paraId="29631607"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11</w:t>
            </w:r>
          </w:p>
        </w:tc>
        <w:tc>
          <w:tcPr>
            <w:tcW w:w="1603" w:type="dxa"/>
            <w:tcBorders>
              <w:bottom w:val="single" w:sz="4" w:space="0" w:color="auto"/>
            </w:tcBorders>
            <w:shd w:val="clear" w:color="auto" w:fill="auto"/>
            <w:vAlign w:val="center"/>
          </w:tcPr>
          <w:p w14:paraId="5950D65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12</w:t>
            </w:r>
          </w:p>
        </w:tc>
        <w:tc>
          <w:tcPr>
            <w:tcW w:w="1531" w:type="dxa"/>
            <w:tcBorders>
              <w:bottom w:val="single" w:sz="4" w:space="0" w:color="auto"/>
            </w:tcBorders>
            <w:shd w:val="clear" w:color="auto" w:fill="auto"/>
            <w:vAlign w:val="center"/>
          </w:tcPr>
          <w:p w14:paraId="0D3CCD76" w14:textId="77777777" w:rsidR="00472665" w:rsidRPr="00472665" w:rsidRDefault="00472665" w:rsidP="00D97E73">
            <w:pPr>
              <w:spacing w:before="20" w:after="20"/>
              <w:ind w:right="397"/>
              <w:jc w:val="right"/>
              <w:rPr>
                <w:rFonts w:eastAsia="Times New Roman"/>
                <w:sz w:val="18"/>
                <w:szCs w:val="18"/>
              </w:rPr>
            </w:pPr>
            <w:r w:rsidRPr="00472665">
              <w:rPr>
                <w:rFonts w:eastAsia="Times New Roman"/>
                <w:sz w:val="18"/>
                <w:szCs w:val="18"/>
              </w:rPr>
              <w:t>962 842</w:t>
            </w:r>
          </w:p>
        </w:tc>
        <w:tc>
          <w:tcPr>
            <w:tcW w:w="1345" w:type="dxa"/>
            <w:tcBorders>
              <w:bottom w:val="single" w:sz="4" w:space="0" w:color="auto"/>
            </w:tcBorders>
            <w:shd w:val="clear" w:color="auto" w:fill="auto"/>
            <w:vAlign w:val="center"/>
          </w:tcPr>
          <w:p w14:paraId="70A2DE43"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0.82</w:t>
            </w:r>
          </w:p>
        </w:tc>
      </w:tr>
      <w:tr w:rsidR="00472665" w:rsidRPr="00472665" w14:paraId="5974113B" w14:textId="77777777" w:rsidTr="00A8517F">
        <w:trPr>
          <w:jc w:val="center"/>
        </w:trPr>
        <w:tc>
          <w:tcPr>
            <w:tcW w:w="2110" w:type="dxa"/>
            <w:tcBorders>
              <w:bottom w:val="single" w:sz="4" w:space="0" w:color="auto"/>
            </w:tcBorders>
            <w:shd w:val="clear" w:color="auto" w:fill="auto"/>
            <w:vAlign w:val="center"/>
          </w:tcPr>
          <w:p w14:paraId="2D04DEC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Septiembre 11</w:t>
            </w:r>
          </w:p>
        </w:tc>
        <w:tc>
          <w:tcPr>
            <w:tcW w:w="1603" w:type="dxa"/>
            <w:tcBorders>
              <w:bottom w:val="single" w:sz="4" w:space="0" w:color="auto"/>
            </w:tcBorders>
            <w:shd w:val="clear" w:color="auto" w:fill="auto"/>
            <w:vAlign w:val="center"/>
          </w:tcPr>
          <w:p w14:paraId="2EE35C19"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12</w:t>
            </w:r>
          </w:p>
        </w:tc>
        <w:tc>
          <w:tcPr>
            <w:tcW w:w="1531" w:type="dxa"/>
            <w:tcBorders>
              <w:bottom w:val="single" w:sz="4" w:space="0" w:color="auto"/>
            </w:tcBorders>
            <w:shd w:val="clear" w:color="auto" w:fill="auto"/>
            <w:vAlign w:val="center"/>
          </w:tcPr>
          <w:p w14:paraId="635102D2" w14:textId="77777777" w:rsidR="00472665" w:rsidRPr="00472665" w:rsidRDefault="00472665" w:rsidP="00D97E73">
            <w:pPr>
              <w:spacing w:before="20" w:after="20"/>
              <w:ind w:right="397"/>
              <w:jc w:val="right"/>
              <w:rPr>
                <w:rFonts w:eastAsia="Times New Roman"/>
                <w:sz w:val="18"/>
                <w:szCs w:val="18"/>
              </w:rPr>
            </w:pPr>
            <w:r w:rsidRPr="00472665">
              <w:rPr>
                <w:rFonts w:eastAsia="Times New Roman"/>
                <w:sz w:val="18"/>
                <w:szCs w:val="18"/>
              </w:rPr>
              <w:t>970 488</w:t>
            </w:r>
          </w:p>
        </w:tc>
        <w:tc>
          <w:tcPr>
            <w:tcW w:w="1345" w:type="dxa"/>
            <w:tcBorders>
              <w:bottom w:val="single" w:sz="4" w:space="0" w:color="auto"/>
            </w:tcBorders>
            <w:shd w:val="clear" w:color="auto" w:fill="auto"/>
            <w:vAlign w:val="center"/>
          </w:tcPr>
          <w:p w14:paraId="35E62707"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0.79</w:t>
            </w:r>
          </w:p>
        </w:tc>
      </w:tr>
      <w:tr w:rsidR="00472665" w:rsidRPr="00472665" w14:paraId="0C637EEC" w14:textId="77777777" w:rsidTr="00A8517F">
        <w:trPr>
          <w:jc w:val="center"/>
        </w:trPr>
        <w:tc>
          <w:tcPr>
            <w:tcW w:w="2110" w:type="dxa"/>
            <w:tcBorders>
              <w:bottom w:val="single" w:sz="4" w:space="0" w:color="auto"/>
            </w:tcBorders>
            <w:shd w:val="clear" w:color="auto" w:fill="auto"/>
            <w:vAlign w:val="center"/>
          </w:tcPr>
          <w:p w14:paraId="54C5EE8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11</w:t>
            </w:r>
          </w:p>
        </w:tc>
        <w:tc>
          <w:tcPr>
            <w:tcW w:w="1603" w:type="dxa"/>
            <w:tcBorders>
              <w:bottom w:val="single" w:sz="4" w:space="0" w:color="auto"/>
            </w:tcBorders>
            <w:shd w:val="clear" w:color="auto" w:fill="auto"/>
            <w:vAlign w:val="center"/>
          </w:tcPr>
          <w:p w14:paraId="485CB90A"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Septiembre 12</w:t>
            </w:r>
          </w:p>
        </w:tc>
        <w:tc>
          <w:tcPr>
            <w:tcW w:w="1531" w:type="dxa"/>
            <w:tcBorders>
              <w:bottom w:val="single" w:sz="4" w:space="0" w:color="auto"/>
            </w:tcBorders>
            <w:shd w:val="clear" w:color="auto" w:fill="auto"/>
            <w:vAlign w:val="center"/>
          </w:tcPr>
          <w:p w14:paraId="2833821C" w14:textId="77777777" w:rsidR="00472665" w:rsidRPr="00472665" w:rsidRDefault="00472665" w:rsidP="00D97E73">
            <w:pPr>
              <w:spacing w:before="20" w:after="20"/>
              <w:ind w:right="397"/>
              <w:jc w:val="right"/>
              <w:rPr>
                <w:rFonts w:eastAsia="Times New Roman"/>
                <w:sz w:val="18"/>
                <w:szCs w:val="18"/>
              </w:rPr>
            </w:pPr>
            <w:r w:rsidRPr="00472665">
              <w:rPr>
                <w:rFonts w:eastAsia="Times New Roman"/>
                <w:sz w:val="18"/>
                <w:szCs w:val="18"/>
              </w:rPr>
              <w:t>976 451</w:t>
            </w:r>
          </w:p>
        </w:tc>
        <w:tc>
          <w:tcPr>
            <w:tcW w:w="1345" w:type="dxa"/>
            <w:tcBorders>
              <w:bottom w:val="single" w:sz="4" w:space="0" w:color="auto"/>
            </w:tcBorders>
            <w:shd w:val="clear" w:color="auto" w:fill="auto"/>
            <w:vAlign w:val="center"/>
          </w:tcPr>
          <w:p w14:paraId="5B133EF7"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0.61</w:t>
            </w:r>
          </w:p>
        </w:tc>
      </w:tr>
      <w:tr w:rsidR="00472665" w:rsidRPr="00472665" w14:paraId="29D09EF6" w14:textId="77777777" w:rsidTr="00A8517F">
        <w:trPr>
          <w:jc w:val="center"/>
        </w:trPr>
        <w:tc>
          <w:tcPr>
            <w:tcW w:w="2110" w:type="dxa"/>
            <w:tcBorders>
              <w:bottom w:val="single" w:sz="4" w:space="0" w:color="auto"/>
            </w:tcBorders>
            <w:shd w:val="clear" w:color="auto" w:fill="auto"/>
            <w:vAlign w:val="center"/>
          </w:tcPr>
          <w:p w14:paraId="31DE59E2"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11</w:t>
            </w:r>
          </w:p>
        </w:tc>
        <w:tc>
          <w:tcPr>
            <w:tcW w:w="1603" w:type="dxa"/>
            <w:tcBorders>
              <w:bottom w:val="single" w:sz="4" w:space="0" w:color="auto"/>
            </w:tcBorders>
            <w:shd w:val="clear" w:color="auto" w:fill="auto"/>
            <w:vAlign w:val="center"/>
          </w:tcPr>
          <w:p w14:paraId="3A2AF35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12</w:t>
            </w:r>
          </w:p>
        </w:tc>
        <w:tc>
          <w:tcPr>
            <w:tcW w:w="1531" w:type="dxa"/>
            <w:tcBorders>
              <w:bottom w:val="single" w:sz="4" w:space="0" w:color="auto"/>
            </w:tcBorders>
            <w:shd w:val="clear" w:color="auto" w:fill="auto"/>
            <w:vAlign w:val="center"/>
          </w:tcPr>
          <w:p w14:paraId="1CC53774"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983 875</w:t>
            </w:r>
          </w:p>
        </w:tc>
        <w:tc>
          <w:tcPr>
            <w:tcW w:w="1345" w:type="dxa"/>
            <w:tcBorders>
              <w:bottom w:val="single" w:sz="4" w:space="0" w:color="auto"/>
            </w:tcBorders>
            <w:shd w:val="clear" w:color="auto" w:fill="auto"/>
            <w:vAlign w:val="center"/>
          </w:tcPr>
          <w:p w14:paraId="54ED2C7D"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0.76</w:t>
            </w:r>
          </w:p>
        </w:tc>
      </w:tr>
      <w:tr w:rsidR="00472665" w:rsidRPr="00472665" w14:paraId="78B74121" w14:textId="77777777" w:rsidTr="00A8517F">
        <w:trPr>
          <w:jc w:val="center"/>
        </w:trPr>
        <w:tc>
          <w:tcPr>
            <w:tcW w:w="2110" w:type="dxa"/>
            <w:tcBorders>
              <w:bottom w:val="single" w:sz="4" w:space="0" w:color="auto"/>
            </w:tcBorders>
            <w:shd w:val="clear" w:color="auto" w:fill="auto"/>
            <w:vAlign w:val="center"/>
          </w:tcPr>
          <w:p w14:paraId="436F1E4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11</w:t>
            </w:r>
          </w:p>
        </w:tc>
        <w:tc>
          <w:tcPr>
            <w:tcW w:w="1603" w:type="dxa"/>
            <w:tcBorders>
              <w:bottom w:val="single" w:sz="4" w:space="0" w:color="auto"/>
            </w:tcBorders>
            <w:shd w:val="clear" w:color="auto" w:fill="auto"/>
            <w:vAlign w:val="center"/>
          </w:tcPr>
          <w:p w14:paraId="18E88A1E"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12</w:t>
            </w:r>
          </w:p>
        </w:tc>
        <w:tc>
          <w:tcPr>
            <w:tcW w:w="1531" w:type="dxa"/>
            <w:tcBorders>
              <w:bottom w:val="single" w:sz="4" w:space="0" w:color="auto"/>
            </w:tcBorders>
            <w:shd w:val="clear" w:color="auto" w:fill="auto"/>
            <w:vAlign w:val="center"/>
          </w:tcPr>
          <w:p w14:paraId="2C0766F5"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992 594</w:t>
            </w:r>
          </w:p>
        </w:tc>
        <w:tc>
          <w:tcPr>
            <w:tcW w:w="1345" w:type="dxa"/>
            <w:tcBorders>
              <w:bottom w:val="single" w:sz="4" w:space="0" w:color="auto"/>
            </w:tcBorders>
            <w:shd w:val="clear" w:color="auto" w:fill="auto"/>
            <w:vAlign w:val="center"/>
          </w:tcPr>
          <w:p w14:paraId="3305987A"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0.89</w:t>
            </w:r>
          </w:p>
        </w:tc>
      </w:tr>
      <w:tr w:rsidR="00472665" w:rsidRPr="00472665" w14:paraId="00C33E37" w14:textId="77777777" w:rsidTr="00A8517F">
        <w:trPr>
          <w:jc w:val="center"/>
        </w:trPr>
        <w:tc>
          <w:tcPr>
            <w:tcW w:w="2110" w:type="dxa"/>
            <w:tcBorders>
              <w:bottom w:val="single" w:sz="4" w:space="0" w:color="auto"/>
            </w:tcBorders>
            <w:shd w:val="clear" w:color="auto" w:fill="auto"/>
            <w:vAlign w:val="center"/>
          </w:tcPr>
          <w:p w14:paraId="294A93C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12</w:t>
            </w:r>
          </w:p>
        </w:tc>
        <w:tc>
          <w:tcPr>
            <w:tcW w:w="1603" w:type="dxa"/>
            <w:tcBorders>
              <w:bottom w:val="single" w:sz="4" w:space="0" w:color="auto"/>
            </w:tcBorders>
            <w:shd w:val="clear" w:color="auto" w:fill="auto"/>
            <w:vAlign w:val="center"/>
          </w:tcPr>
          <w:p w14:paraId="2D137496"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12</w:t>
            </w:r>
          </w:p>
        </w:tc>
        <w:tc>
          <w:tcPr>
            <w:tcW w:w="1531" w:type="dxa"/>
            <w:tcBorders>
              <w:bottom w:val="single" w:sz="4" w:space="0" w:color="auto"/>
            </w:tcBorders>
            <w:shd w:val="clear" w:color="auto" w:fill="auto"/>
            <w:vAlign w:val="center"/>
          </w:tcPr>
          <w:p w14:paraId="5E6C62AD"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987 747</w:t>
            </w:r>
          </w:p>
        </w:tc>
        <w:tc>
          <w:tcPr>
            <w:tcW w:w="1345" w:type="dxa"/>
            <w:tcBorders>
              <w:bottom w:val="single" w:sz="4" w:space="0" w:color="auto"/>
            </w:tcBorders>
            <w:shd w:val="clear" w:color="auto" w:fill="auto"/>
            <w:vAlign w:val="center"/>
          </w:tcPr>
          <w:p w14:paraId="7F126BEC"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-0.49</w:t>
            </w:r>
          </w:p>
        </w:tc>
      </w:tr>
      <w:tr w:rsidR="00472665" w:rsidRPr="00472665" w14:paraId="04DB59E1" w14:textId="77777777" w:rsidTr="00A8517F">
        <w:trPr>
          <w:jc w:val="center"/>
        </w:trPr>
        <w:tc>
          <w:tcPr>
            <w:tcW w:w="2110" w:type="dxa"/>
            <w:tcBorders>
              <w:bottom w:val="single" w:sz="4" w:space="0" w:color="auto"/>
            </w:tcBorders>
            <w:shd w:val="clear" w:color="auto" w:fill="auto"/>
            <w:vAlign w:val="center"/>
          </w:tcPr>
          <w:p w14:paraId="5D3672A9"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12</w:t>
            </w:r>
          </w:p>
        </w:tc>
        <w:tc>
          <w:tcPr>
            <w:tcW w:w="1603" w:type="dxa"/>
            <w:tcBorders>
              <w:bottom w:val="single" w:sz="4" w:space="0" w:color="auto"/>
            </w:tcBorders>
            <w:shd w:val="clear" w:color="auto" w:fill="auto"/>
            <w:vAlign w:val="center"/>
          </w:tcPr>
          <w:p w14:paraId="0CD99D75"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13</w:t>
            </w:r>
          </w:p>
        </w:tc>
        <w:tc>
          <w:tcPr>
            <w:tcW w:w="1531" w:type="dxa"/>
            <w:tcBorders>
              <w:bottom w:val="single" w:sz="4" w:space="0" w:color="auto"/>
            </w:tcBorders>
            <w:shd w:val="clear" w:color="auto" w:fill="auto"/>
            <w:vAlign w:val="center"/>
          </w:tcPr>
          <w:p w14:paraId="137A4B34"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996 719</w:t>
            </w:r>
          </w:p>
        </w:tc>
        <w:tc>
          <w:tcPr>
            <w:tcW w:w="1345" w:type="dxa"/>
            <w:tcBorders>
              <w:bottom w:val="single" w:sz="4" w:space="0" w:color="auto"/>
            </w:tcBorders>
            <w:shd w:val="clear" w:color="auto" w:fill="auto"/>
            <w:vAlign w:val="center"/>
          </w:tcPr>
          <w:p w14:paraId="55A3B81F"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0.91</w:t>
            </w:r>
          </w:p>
        </w:tc>
      </w:tr>
      <w:tr w:rsidR="00472665" w:rsidRPr="00472665" w14:paraId="11632F66" w14:textId="77777777" w:rsidTr="00A8517F">
        <w:trPr>
          <w:jc w:val="center"/>
        </w:trPr>
        <w:tc>
          <w:tcPr>
            <w:tcW w:w="2110" w:type="dxa"/>
            <w:tcBorders>
              <w:bottom w:val="single" w:sz="4" w:space="0" w:color="auto"/>
            </w:tcBorders>
            <w:shd w:val="clear" w:color="auto" w:fill="auto"/>
            <w:vAlign w:val="center"/>
          </w:tcPr>
          <w:p w14:paraId="6E13AD54"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12</w:t>
            </w:r>
          </w:p>
        </w:tc>
        <w:tc>
          <w:tcPr>
            <w:tcW w:w="1603" w:type="dxa"/>
            <w:tcBorders>
              <w:bottom w:val="single" w:sz="4" w:space="0" w:color="auto"/>
            </w:tcBorders>
            <w:shd w:val="clear" w:color="auto" w:fill="auto"/>
            <w:vAlign w:val="center"/>
          </w:tcPr>
          <w:p w14:paraId="03ED703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13</w:t>
            </w:r>
          </w:p>
        </w:tc>
        <w:tc>
          <w:tcPr>
            <w:tcW w:w="1531" w:type="dxa"/>
            <w:tcBorders>
              <w:bottom w:val="single" w:sz="4" w:space="0" w:color="auto"/>
            </w:tcBorders>
            <w:shd w:val="clear" w:color="auto" w:fill="auto"/>
            <w:vAlign w:val="center"/>
          </w:tcPr>
          <w:p w14:paraId="46F7D6C3"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1 002 209</w:t>
            </w:r>
          </w:p>
        </w:tc>
        <w:tc>
          <w:tcPr>
            <w:tcW w:w="1345" w:type="dxa"/>
            <w:tcBorders>
              <w:bottom w:val="single" w:sz="4" w:space="0" w:color="auto"/>
            </w:tcBorders>
            <w:shd w:val="clear" w:color="auto" w:fill="auto"/>
            <w:vAlign w:val="center"/>
          </w:tcPr>
          <w:p w14:paraId="2CF6C152"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0.55</w:t>
            </w:r>
          </w:p>
        </w:tc>
      </w:tr>
      <w:tr w:rsidR="00472665" w:rsidRPr="00472665" w14:paraId="1C42E994" w14:textId="77777777" w:rsidTr="00A8517F">
        <w:trPr>
          <w:jc w:val="center"/>
        </w:trPr>
        <w:tc>
          <w:tcPr>
            <w:tcW w:w="2110" w:type="dxa"/>
            <w:tcBorders>
              <w:bottom w:val="single" w:sz="4" w:space="0" w:color="auto"/>
            </w:tcBorders>
            <w:shd w:val="clear" w:color="auto" w:fill="auto"/>
            <w:vAlign w:val="center"/>
          </w:tcPr>
          <w:p w14:paraId="251E0FE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Abril 12</w:t>
            </w:r>
          </w:p>
        </w:tc>
        <w:tc>
          <w:tcPr>
            <w:tcW w:w="1603" w:type="dxa"/>
            <w:tcBorders>
              <w:bottom w:val="single" w:sz="4" w:space="0" w:color="auto"/>
            </w:tcBorders>
            <w:shd w:val="clear" w:color="auto" w:fill="auto"/>
            <w:vAlign w:val="center"/>
          </w:tcPr>
          <w:p w14:paraId="0D55056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13</w:t>
            </w:r>
          </w:p>
        </w:tc>
        <w:tc>
          <w:tcPr>
            <w:tcW w:w="1531" w:type="dxa"/>
            <w:tcBorders>
              <w:bottom w:val="single" w:sz="4" w:space="0" w:color="auto"/>
            </w:tcBorders>
            <w:shd w:val="clear" w:color="auto" w:fill="auto"/>
            <w:vAlign w:val="center"/>
          </w:tcPr>
          <w:p w14:paraId="11BE381D"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1 001 402</w:t>
            </w:r>
          </w:p>
        </w:tc>
        <w:tc>
          <w:tcPr>
            <w:tcW w:w="1345" w:type="dxa"/>
            <w:tcBorders>
              <w:bottom w:val="single" w:sz="4" w:space="0" w:color="auto"/>
            </w:tcBorders>
            <w:shd w:val="clear" w:color="auto" w:fill="auto"/>
            <w:vAlign w:val="center"/>
          </w:tcPr>
          <w:p w14:paraId="497B5A45"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-0.08</w:t>
            </w:r>
          </w:p>
        </w:tc>
      </w:tr>
      <w:tr w:rsidR="00472665" w:rsidRPr="00472665" w14:paraId="7327A875" w14:textId="77777777" w:rsidTr="00A8517F">
        <w:trPr>
          <w:jc w:val="center"/>
        </w:trPr>
        <w:tc>
          <w:tcPr>
            <w:tcW w:w="2110" w:type="dxa"/>
            <w:tcBorders>
              <w:bottom w:val="single" w:sz="4" w:space="0" w:color="auto"/>
            </w:tcBorders>
            <w:shd w:val="clear" w:color="auto" w:fill="auto"/>
            <w:vAlign w:val="center"/>
          </w:tcPr>
          <w:p w14:paraId="4E07847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Mayo 12</w:t>
            </w:r>
          </w:p>
        </w:tc>
        <w:tc>
          <w:tcPr>
            <w:tcW w:w="1603" w:type="dxa"/>
            <w:tcBorders>
              <w:bottom w:val="single" w:sz="4" w:space="0" w:color="auto"/>
            </w:tcBorders>
            <w:shd w:val="clear" w:color="auto" w:fill="auto"/>
            <w:vAlign w:val="center"/>
          </w:tcPr>
          <w:p w14:paraId="1170CD4D"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Abril 13</w:t>
            </w:r>
          </w:p>
        </w:tc>
        <w:tc>
          <w:tcPr>
            <w:tcW w:w="1531" w:type="dxa"/>
            <w:tcBorders>
              <w:bottom w:val="single" w:sz="4" w:space="0" w:color="auto"/>
            </w:tcBorders>
            <w:shd w:val="clear" w:color="auto" w:fill="auto"/>
            <w:vAlign w:val="center"/>
          </w:tcPr>
          <w:p w14:paraId="2F80CC2E"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1 015 039</w:t>
            </w:r>
          </w:p>
        </w:tc>
        <w:tc>
          <w:tcPr>
            <w:tcW w:w="1345" w:type="dxa"/>
            <w:tcBorders>
              <w:bottom w:val="single" w:sz="4" w:space="0" w:color="auto"/>
            </w:tcBorders>
            <w:shd w:val="clear" w:color="auto" w:fill="auto"/>
            <w:vAlign w:val="center"/>
          </w:tcPr>
          <w:p w14:paraId="7B25C5F1"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1.36</w:t>
            </w:r>
          </w:p>
        </w:tc>
      </w:tr>
      <w:tr w:rsidR="00472665" w:rsidRPr="00472665" w14:paraId="2DFBAD1D" w14:textId="77777777" w:rsidTr="00A8517F">
        <w:trPr>
          <w:jc w:val="center"/>
        </w:trPr>
        <w:tc>
          <w:tcPr>
            <w:tcW w:w="2110" w:type="dxa"/>
            <w:tcBorders>
              <w:bottom w:val="single" w:sz="4" w:space="0" w:color="auto"/>
            </w:tcBorders>
            <w:shd w:val="clear" w:color="auto" w:fill="auto"/>
            <w:vAlign w:val="center"/>
          </w:tcPr>
          <w:p w14:paraId="53767EB9"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12</w:t>
            </w:r>
          </w:p>
        </w:tc>
        <w:tc>
          <w:tcPr>
            <w:tcW w:w="1603" w:type="dxa"/>
            <w:tcBorders>
              <w:bottom w:val="single" w:sz="4" w:space="0" w:color="auto"/>
            </w:tcBorders>
            <w:shd w:val="clear" w:color="auto" w:fill="auto"/>
            <w:vAlign w:val="center"/>
          </w:tcPr>
          <w:p w14:paraId="03E8608B"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Mayo 13</w:t>
            </w:r>
          </w:p>
        </w:tc>
        <w:tc>
          <w:tcPr>
            <w:tcW w:w="1531" w:type="dxa"/>
            <w:tcBorders>
              <w:bottom w:val="single" w:sz="4" w:space="0" w:color="auto"/>
            </w:tcBorders>
            <w:shd w:val="clear" w:color="auto" w:fill="auto"/>
            <w:vAlign w:val="center"/>
          </w:tcPr>
          <w:p w14:paraId="04CC661A"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1 022 290</w:t>
            </w:r>
          </w:p>
        </w:tc>
        <w:tc>
          <w:tcPr>
            <w:tcW w:w="1345" w:type="dxa"/>
            <w:tcBorders>
              <w:bottom w:val="single" w:sz="4" w:space="0" w:color="auto"/>
            </w:tcBorders>
            <w:shd w:val="clear" w:color="auto" w:fill="auto"/>
            <w:vAlign w:val="center"/>
          </w:tcPr>
          <w:p w14:paraId="3075B05D"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0.71</w:t>
            </w:r>
          </w:p>
        </w:tc>
      </w:tr>
      <w:tr w:rsidR="00472665" w:rsidRPr="00472665" w14:paraId="5BC588A0" w14:textId="77777777" w:rsidTr="00A8517F">
        <w:trPr>
          <w:jc w:val="center"/>
        </w:trPr>
        <w:tc>
          <w:tcPr>
            <w:tcW w:w="2110" w:type="dxa"/>
            <w:tcBorders>
              <w:bottom w:val="single" w:sz="4" w:space="0" w:color="auto"/>
            </w:tcBorders>
            <w:shd w:val="clear" w:color="auto" w:fill="auto"/>
            <w:vAlign w:val="center"/>
          </w:tcPr>
          <w:p w14:paraId="2B2CF665"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12</w:t>
            </w:r>
          </w:p>
        </w:tc>
        <w:tc>
          <w:tcPr>
            <w:tcW w:w="1603" w:type="dxa"/>
            <w:tcBorders>
              <w:bottom w:val="single" w:sz="4" w:space="0" w:color="auto"/>
            </w:tcBorders>
            <w:shd w:val="clear" w:color="auto" w:fill="auto"/>
            <w:vAlign w:val="center"/>
          </w:tcPr>
          <w:p w14:paraId="76F557C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13</w:t>
            </w:r>
          </w:p>
        </w:tc>
        <w:tc>
          <w:tcPr>
            <w:tcW w:w="1531" w:type="dxa"/>
            <w:tcBorders>
              <w:bottom w:val="single" w:sz="4" w:space="0" w:color="auto"/>
            </w:tcBorders>
            <w:shd w:val="clear" w:color="auto" w:fill="auto"/>
            <w:vAlign w:val="center"/>
          </w:tcPr>
          <w:p w14:paraId="3D3489DD"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1 027 495</w:t>
            </w:r>
          </w:p>
        </w:tc>
        <w:tc>
          <w:tcPr>
            <w:tcW w:w="1345" w:type="dxa"/>
            <w:tcBorders>
              <w:bottom w:val="single" w:sz="4" w:space="0" w:color="auto"/>
            </w:tcBorders>
            <w:shd w:val="clear" w:color="auto" w:fill="auto"/>
            <w:vAlign w:val="center"/>
          </w:tcPr>
          <w:p w14:paraId="2399BBC7"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0.51</w:t>
            </w:r>
          </w:p>
        </w:tc>
      </w:tr>
      <w:tr w:rsidR="00472665" w:rsidRPr="00472665" w14:paraId="29AAFD98" w14:textId="77777777" w:rsidTr="00A8517F">
        <w:trPr>
          <w:jc w:val="center"/>
        </w:trPr>
        <w:tc>
          <w:tcPr>
            <w:tcW w:w="2110" w:type="dxa"/>
            <w:tcBorders>
              <w:bottom w:val="single" w:sz="4" w:space="0" w:color="auto"/>
            </w:tcBorders>
            <w:shd w:val="clear" w:color="auto" w:fill="auto"/>
            <w:vAlign w:val="center"/>
          </w:tcPr>
          <w:p w14:paraId="441738F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12</w:t>
            </w:r>
          </w:p>
        </w:tc>
        <w:tc>
          <w:tcPr>
            <w:tcW w:w="1603" w:type="dxa"/>
            <w:tcBorders>
              <w:bottom w:val="single" w:sz="4" w:space="0" w:color="auto"/>
            </w:tcBorders>
            <w:shd w:val="clear" w:color="auto" w:fill="auto"/>
            <w:vAlign w:val="center"/>
          </w:tcPr>
          <w:p w14:paraId="49F1499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13</w:t>
            </w:r>
          </w:p>
        </w:tc>
        <w:tc>
          <w:tcPr>
            <w:tcW w:w="1531" w:type="dxa"/>
            <w:tcBorders>
              <w:bottom w:val="single" w:sz="4" w:space="0" w:color="auto"/>
            </w:tcBorders>
            <w:shd w:val="clear" w:color="auto" w:fill="auto"/>
            <w:vAlign w:val="center"/>
          </w:tcPr>
          <w:p w14:paraId="48A0712E"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1 037 764</w:t>
            </w:r>
          </w:p>
        </w:tc>
        <w:tc>
          <w:tcPr>
            <w:tcW w:w="1345" w:type="dxa"/>
            <w:tcBorders>
              <w:bottom w:val="single" w:sz="4" w:space="0" w:color="auto"/>
            </w:tcBorders>
            <w:shd w:val="clear" w:color="auto" w:fill="auto"/>
            <w:vAlign w:val="center"/>
          </w:tcPr>
          <w:p w14:paraId="4E22D750"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1.00</w:t>
            </w:r>
          </w:p>
        </w:tc>
      </w:tr>
      <w:tr w:rsidR="00472665" w:rsidRPr="00472665" w14:paraId="2A965157" w14:textId="77777777" w:rsidTr="00A8517F">
        <w:trPr>
          <w:jc w:val="center"/>
        </w:trPr>
        <w:tc>
          <w:tcPr>
            <w:tcW w:w="2110" w:type="dxa"/>
            <w:tcBorders>
              <w:bottom w:val="single" w:sz="4" w:space="0" w:color="auto"/>
            </w:tcBorders>
            <w:shd w:val="clear" w:color="auto" w:fill="auto"/>
            <w:vAlign w:val="center"/>
          </w:tcPr>
          <w:p w14:paraId="1FCF686B"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Septiembre 12</w:t>
            </w:r>
          </w:p>
        </w:tc>
        <w:tc>
          <w:tcPr>
            <w:tcW w:w="1603" w:type="dxa"/>
            <w:tcBorders>
              <w:bottom w:val="single" w:sz="4" w:space="0" w:color="auto"/>
            </w:tcBorders>
            <w:shd w:val="clear" w:color="auto" w:fill="auto"/>
            <w:vAlign w:val="center"/>
          </w:tcPr>
          <w:p w14:paraId="72E58D30"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13</w:t>
            </w:r>
          </w:p>
        </w:tc>
        <w:tc>
          <w:tcPr>
            <w:tcW w:w="1531" w:type="dxa"/>
            <w:tcBorders>
              <w:bottom w:val="single" w:sz="4" w:space="0" w:color="auto"/>
            </w:tcBorders>
            <w:shd w:val="clear" w:color="auto" w:fill="auto"/>
            <w:vAlign w:val="center"/>
          </w:tcPr>
          <w:p w14:paraId="6B664CBE"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1 042 770</w:t>
            </w:r>
          </w:p>
        </w:tc>
        <w:tc>
          <w:tcPr>
            <w:tcW w:w="1345" w:type="dxa"/>
            <w:tcBorders>
              <w:bottom w:val="single" w:sz="4" w:space="0" w:color="auto"/>
            </w:tcBorders>
            <w:shd w:val="clear" w:color="auto" w:fill="auto"/>
            <w:vAlign w:val="center"/>
          </w:tcPr>
          <w:p w14:paraId="4E9AFADA"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0.48</w:t>
            </w:r>
          </w:p>
        </w:tc>
      </w:tr>
      <w:tr w:rsidR="00472665" w:rsidRPr="00472665" w14:paraId="25374773" w14:textId="77777777" w:rsidTr="00A8517F">
        <w:trPr>
          <w:jc w:val="center"/>
        </w:trPr>
        <w:tc>
          <w:tcPr>
            <w:tcW w:w="2110" w:type="dxa"/>
            <w:tcBorders>
              <w:bottom w:val="single" w:sz="4" w:space="0" w:color="auto"/>
            </w:tcBorders>
            <w:shd w:val="clear" w:color="auto" w:fill="auto"/>
            <w:vAlign w:val="center"/>
          </w:tcPr>
          <w:p w14:paraId="63BB4FC5"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12</w:t>
            </w:r>
          </w:p>
        </w:tc>
        <w:tc>
          <w:tcPr>
            <w:tcW w:w="1603" w:type="dxa"/>
            <w:tcBorders>
              <w:bottom w:val="single" w:sz="4" w:space="0" w:color="auto"/>
            </w:tcBorders>
            <w:shd w:val="clear" w:color="auto" w:fill="auto"/>
            <w:vAlign w:val="center"/>
          </w:tcPr>
          <w:p w14:paraId="23F01840"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Septiembre 13</w:t>
            </w:r>
          </w:p>
        </w:tc>
        <w:tc>
          <w:tcPr>
            <w:tcW w:w="1531" w:type="dxa"/>
            <w:tcBorders>
              <w:bottom w:val="single" w:sz="4" w:space="0" w:color="auto"/>
            </w:tcBorders>
            <w:shd w:val="clear" w:color="auto" w:fill="auto"/>
            <w:vAlign w:val="center"/>
          </w:tcPr>
          <w:p w14:paraId="4CDF275D" w14:textId="414E746A" w:rsidR="00472665" w:rsidRPr="00472665" w:rsidRDefault="00472665" w:rsidP="00A871F8">
            <w:pPr>
              <w:spacing w:before="20" w:after="20"/>
              <w:ind w:right="397"/>
              <w:jc w:val="right"/>
              <w:rPr>
                <w:rFonts w:eastAsia="Times New Roman"/>
                <w:sz w:val="18"/>
                <w:szCs w:val="18"/>
              </w:rPr>
            </w:pPr>
            <w:r w:rsidRPr="00472665">
              <w:rPr>
                <w:rFonts w:eastAsia="Times New Roman"/>
                <w:sz w:val="18"/>
                <w:szCs w:val="18"/>
              </w:rPr>
              <w:t>1 041 1</w:t>
            </w:r>
            <w:r w:rsidR="00A871F8">
              <w:rPr>
                <w:rFonts w:eastAsia="Times New Roman"/>
                <w:sz w:val="18"/>
                <w:szCs w:val="18"/>
              </w:rPr>
              <w:t>6</w:t>
            </w:r>
            <w:r w:rsidRPr="00472665">
              <w:rPr>
                <w:rFonts w:eastAsia="Times New Roman"/>
                <w:sz w:val="18"/>
                <w:szCs w:val="18"/>
              </w:rPr>
              <w:t>1</w:t>
            </w:r>
          </w:p>
        </w:tc>
        <w:tc>
          <w:tcPr>
            <w:tcW w:w="1345" w:type="dxa"/>
            <w:tcBorders>
              <w:bottom w:val="single" w:sz="4" w:space="0" w:color="auto"/>
            </w:tcBorders>
            <w:shd w:val="clear" w:color="auto" w:fill="auto"/>
            <w:vAlign w:val="center"/>
          </w:tcPr>
          <w:p w14:paraId="27F60C01"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-0.15</w:t>
            </w:r>
          </w:p>
        </w:tc>
      </w:tr>
      <w:tr w:rsidR="00472665" w:rsidRPr="00472665" w14:paraId="02041C11" w14:textId="77777777" w:rsidTr="00A8517F">
        <w:trPr>
          <w:jc w:val="center"/>
        </w:trPr>
        <w:tc>
          <w:tcPr>
            <w:tcW w:w="2110" w:type="dxa"/>
            <w:tcBorders>
              <w:bottom w:val="single" w:sz="4" w:space="0" w:color="auto"/>
            </w:tcBorders>
            <w:shd w:val="clear" w:color="auto" w:fill="auto"/>
            <w:vAlign w:val="center"/>
          </w:tcPr>
          <w:p w14:paraId="54BCCC6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12</w:t>
            </w:r>
          </w:p>
        </w:tc>
        <w:tc>
          <w:tcPr>
            <w:tcW w:w="1603" w:type="dxa"/>
            <w:tcBorders>
              <w:bottom w:val="single" w:sz="4" w:space="0" w:color="auto"/>
            </w:tcBorders>
            <w:shd w:val="clear" w:color="auto" w:fill="auto"/>
            <w:vAlign w:val="center"/>
          </w:tcPr>
          <w:p w14:paraId="69F9C1FC"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13</w:t>
            </w:r>
          </w:p>
        </w:tc>
        <w:tc>
          <w:tcPr>
            <w:tcW w:w="1531" w:type="dxa"/>
            <w:tcBorders>
              <w:bottom w:val="single" w:sz="4" w:space="0" w:color="auto"/>
            </w:tcBorders>
            <w:shd w:val="clear" w:color="auto" w:fill="auto"/>
            <w:vAlign w:val="center"/>
          </w:tcPr>
          <w:p w14:paraId="2D93E073"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1 046 251</w:t>
            </w:r>
          </w:p>
        </w:tc>
        <w:tc>
          <w:tcPr>
            <w:tcW w:w="1345" w:type="dxa"/>
            <w:tcBorders>
              <w:bottom w:val="single" w:sz="4" w:space="0" w:color="auto"/>
            </w:tcBorders>
            <w:shd w:val="clear" w:color="auto" w:fill="auto"/>
            <w:vAlign w:val="center"/>
          </w:tcPr>
          <w:p w14:paraId="1D1677F1"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0.49</w:t>
            </w:r>
          </w:p>
        </w:tc>
      </w:tr>
      <w:tr w:rsidR="00472665" w:rsidRPr="00472665" w14:paraId="6B9F25E5" w14:textId="77777777" w:rsidTr="00A8517F">
        <w:trPr>
          <w:jc w:val="center"/>
        </w:trPr>
        <w:tc>
          <w:tcPr>
            <w:tcW w:w="2110" w:type="dxa"/>
            <w:tcBorders>
              <w:bottom w:val="single" w:sz="4" w:space="0" w:color="auto"/>
            </w:tcBorders>
            <w:shd w:val="clear" w:color="auto" w:fill="auto"/>
            <w:vAlign w:val="center"/>
          </w:tcPr>
          <w:p w14:paraId="72B55E89"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12</w:t>
            </w:r>
          </w:p>
        </w:tc>
        <w:tc>
          <w:tcPr>
            <w:tcW w:w="1603" w:type="dxa"/>
            <w:tcBorders>
              <w:bottom w:val="single" w:sz="4" w:space="0" w:color="auto"/>
            </w:tcBorders>
            <w:shd w:val="clear" w:color="auto" w:fill="auto"/>
            <w:vAlign w:val="center"/>
          </w:tcPr>
          <w:p w14:paraId="32F8ADFA"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13</w:t>
            </w:r>
          </w:p>
        </w:tc>
        <w:tc>
          <w:tcPr>
            <w:tcW w:w="1531" w:type="dxa"/>
            <w:tcBorders>
              <w:bottom w:val="single" w:sz="4" w:space="0" w:color="auto"/>
            </w:tcBorders>
            <w:shd w:val="clear" w:color="auto" w:fill="auto"/>
            <w:vAlign w:val="center"/>
          </w:tcPr>
          <w:p w14:paraId="09371223"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1 054 848</w:t>
            </w:r>
          </w:p>
        </w:tc>
        <w:tc>
          <w:tcPr>
            <w:tcW w:w="1345" w:type="dxa"/>
            <w:tcBorders>
              <w:bottom w:val="single" w:sz="4" w:space="0" w:color="auto"/>
            </w:tcBorders>
            <w:shd w:val="clear" w:color="auto" w:fill="auto"/>
            <w:vAlign w:val="center"/>
          </w:tcPr>
          <w:p w14:paraId="20BF72AD"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0.82</w:t>
            </w:r>
          </w:p>
        </w:tc>
      </w:tr>
      <w:tr w:rsidR="00472665" w:rsidRPr="00472665" w14:paraId="7C3045D1" w14:textId="77777777" w:rsidTr="00A8517F">
        <w:trPr>
          <w:jc w:val="center"/>
        </w:trPr>
        <w:tc>
          <w:tcPr>
            <w:tcW w:w="2110" w:type="dxa"/>
            <w:tcBorders>
              <w:bottom w:val="single" w:sz="4" w:space="0" w:color="auto"/>
            </w:tcBorders>
            <w:shd w:val="clear" w:color="auto" w:fill="auto"/>
            <w:vAlign w:val="center"/>
          </w:tcPr>
          <w:p w14:paraId="537DB43B"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13</w:t>
            </w:r>
          </w:p>
        </w:tc>
        <w:tc>
          <w:tcPr>
            <w:tcW w:w="1603" w:type="dxa"/>
            <w:tcBorders>
              <w:bottom w:val="single" w:sz="4" w:space="0" w:color="auto"/>
            </w:tcBorders>
            <w:shd w:val="clear" w:color="auto" w:fill="auto"/>
            <w:vAlign w:val="center"/>
          </w:tcPr>
          <w:p w14:paraId="187826F5"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13</w:t>
            </w:r>
          </w:p>
        </w:tc>
        <w:tc>
          <w:tcPr>
            <w:tcW w:w="1531" w:type="dxa"/>
            <w:tcBorders>
              <w:bottom w:val="single" w:sz="4" w:space="0" w:color="auto"/>
            </w:tcBorders>
            <w:shd w:val="clear" w:color="auto" w:fill="auto"/>
            <w:vAlign w:val="center"/>
          </w:tcPr>
          <w:p w14:paraId="547B5194"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1 063 363</w:t>
            </w:r>
          </w:p>
        </w:tc>
        <w:tc>
          <w:tcPr>
            <w:tcW w:w="1345" w:type="dxa"/>
            <w:tcBorders>
              <w:bottom w:val="single" w:sz="4" w:space="0" w:color="auto"/>
            </w:tcBorders>
            <w:shd w:val="clear" w:color="auto" w:fill="auto"/>
            <w:vAlign w:val="center"/>
          </w:tcPr>
          <w:p w14:paraId="19F58D09"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0.81</w:t>
            </w:r>
          </w:p>
        </w:tc>
      </w:tr>
      <w:tr w:rsidR="00472665" w:rsidRPr="00472665" w14:paraId="7BC95E02" w14:textId="77777777" w:rsidTr="00A8517F">
        <w:trPr>
          <w:jc w:val="center"/>
        </w:trPr>
        <w:tc>
          <w:tcPr>
            <w:tcW w:w="2110" w:type="dxa"/>
            <w:tcBorders>
              <w:bottom w:val="single" w:sz="4" w:space="0" w:color="auto"/>
            </w:tcBorders>
            <w:shd w:val="clear" w:color="auto" w:fill="auto"/>
            <w:vAlign w:val="center"/>
          </w:tcPr>
          <w:p w14:paraId="62F361ED"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13</w:t>
            </w:r>
          </w:p>
        </w:tc>
        <w:tc>
          <w:tcPr>
            <w:tcW w:w="1603" w:type="dxa"/>
            <w:tcBorders>
              <w:bottom w:val="single" w:sz="4" w:space="0" w:color="auto"/>
            </w:tcBorders>
            <w:shd w:val="clear" w:color="auto" w:fill="auto"/>
            <w:vAlign w:val="center"/>
          </w:tcPr>
          <w:p w14:paraId="2E00BCCE"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14</w:t>
            </w:r>
          </w:p>
        </w:tc>
        <w:tc>
          <w:tcPr>
            <w:tcW w:w="1531" w:type="dxa"/>
            <w:tcBorders>
              <w:bottom w:val="single" w:sz="4" w:space="0" w:color="auto"/>
            </w:tcBorders>
            <w:shd w:val="clear" w:color="auto" w:fill="auto"/>
            <w:vAlign w:val="center"/>
          </w:tcPr>
          <w:p w14:paraId="6D580067"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1 064 598</w:t>
            </w:r>
          </w:p>
        </w:tc>
        <w:tc>
          <w:tcPr>
            <w:tcW w:w="1345" w:type="dxa"/>
            <w:tcBorders>
              <w:bottom w:val="single" w:sz="4" w:space="0" w:color="auto"/>
            </w:tcBorders>
            <w:shd w:val="clear" w:color="auto" w:fill="auto"/>
            <w:vAlign w:val="center"/>
          </w:tcPr>
          <w:p w14:paraId="641459E4"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0.12</w:t>
            </w:r>
          </w:p>
        </w:tc>
      </w:tr>
      <w:tr w:rsidR="00472665" w:rsidRPr="00472665" w14:paraId="07491EC8" w14:textId="77777777" w:rsidTr="00A8517F">
        <w:trPr>
          <w:jc w:val="center"/>
        </w:trPr>
        <w:tc>
          <w:tcPr>
            <w:tcW w:w="2110" w:type="dxa"/>
            <w:tcBorders>
              <w:bottom w:val="single" w:sz="4" w:space="0" w:color="auto"/>
            </w:tcBorders>
            <w:shd w:val="clear" w:color="auto" w:fill="auto"/>
            <w:vAlign w:val="center"/>
          </w:tcPr>
          <w:p w14:paraId="77287F4A"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13</w:t>
            </w:r>
          </w:p>
        </w:tc>
        <w:tc>
          <w:tcPr>
            <w:tcW w:w="1603" w:type="dxa"/>
            <w:tcBorders>
              <w:bottom w:val="single" w:sz="4" w:space="0" w:color="auto"/>
            </w:tcBorders>
            <w:shd w:val="clear" w:color="auto" w:fill="auto"/>
            <w:vAlign w:val="center"/>
          </w:tcPr>
          <w:p w14:paraId="67A830CB"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14</w:t>
            </w:r>
          </w:p>
        </w:tc>
        <w:tc>
          <w:tcPr>
            <w:tcW w:w="1531" w:type="dxa"/>
            <w:tcBorders>
              <w:bottom w:val="single" w:sz="4" w:space="0" w:color="auto"/>
            </w:tcBorders>
            <w:shd w:val="clear" w:color="auto" w:fill="auto"/>
            <w:vAlign w:val="center"/>
          </w:tcPr>
          <w:p w14:paraId="3A64BFC7"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1 064 343</w:t>
            </w:r>
          </w:p>
        </w:tc>
        <w:tc>
          <w:tcPr>
            <w:tcW w:w="1345" w:type="dxa"/>
            <w:tcBorders>
              <w:bottom w:val="single" w:sz="4" w:space="0" w:color="auto"/>
            </w:tcBorders>
            <w:shd w:val="clear" w:color="auto" w:fill="auto"/>
            <w:vAlign w:val="center"/>
          </w:tcPr>
          <w:p w14:paraId="461DFB93"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-0.02</w:t>
            </w:r>
          </w:p>
        </w:tc>
      </w:tr>
      <w:tr w:rsidR="00472665" w:rsidRPr="00472665" w14:paraId="69903A40" w14:textId="77777777" w:rsidTr="00A8517F">
        <w:trPr>
          <w:jc w:val="center"/>
        </w:trPr>
        <w:tc>
          <w:tcPr>
            <w:tcW w:w="2110" w:type="dxa"/>
            <w:tcBorders>
              <w:bottom w:val="single" w:sz="4" w:space="0" w:color="auto"/>
            </w:tcBorders>
            <w:shd w:val="clear" w:color="auto" w:fill="auto"/>
            <w:vAlign w:val="center"/>
          </w:tcPr>
          <w:p w14:paraId="1B2E931C"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Abril 13</w:t>
            </w:r>
          </w:p>
        </w:tc>
        <w:tc>
          <w:tcPr>
            <w:tcW w:w="1603" w:type="dxa"/>
            <w:tcBorders>
              <w:bottom w:val="single" w:sz="4" w:space="0" w:color="auto"/>
            </w:tcBorders>
            <w:shd w:val="clear" w:color="auto" w:fill="auto"/>
            <w:vAlign w:val="center"/>
          </w:tcPr>
          <w:p w14:paraId="64CE5257"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14</w:t>
            </w:r>
          </w:p>
        </w:tc>
        <w:tc>
          <w:tcPr>
            <w:tcW w:w="1531" w:type="dxa"/>
            <w:tcBorders>
              <w:bottom w:val="single" w:sz="4" w:space="0" w:color="auto"/>
            </w:tcBorders>
            <w:shd w:val="clear" w:color="auto" w:fill="auto"/>
            <w:vAlign w:val="center"/>
          </w:tcPr>
          <w:p w14:paraId="5A39C426"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1 067 258</w:t>
            </w:r>
          </w:p>
        </w:tc>
        <w:tc>
          <w:tcPr>
            <w:tcW w:w="1345" w:type="dxa"/>
            <w:tcBorders>
              <w:bottom w:val="single" w:sz="4" w:space="0" w:color="auto"/>
            </w:tcBorders>
            <w:shd w:val="clear" w:color="auto" w:fill="auto"/>
            <w:vAlign w:val="center"/>
          </w:tcPr>
          <w:p w14:paraId="7526B8E6"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0.27</w:t>
            </w:r>
          </w:p>
        </w:tc>
      </w:tr>
      <w:tr w:rsidR="00472665" w:rsidRPr="00472665" w14:paraId="5FC22154" w14:textId="77777777" w:rsidTr="00A8517F">
        <w:trPr>
          <w:jc w:val="center"/>
        </w:trPr>
        <w:tc>
          <w:tcPr>
            <w:tcW w:w="2110" w:type="dxa"/>
            <w:tcBorders>
              <w:bottom w:val="single" w:sz="4" w:space="0" w:color="auto"/>
            </w:tcBorders>
            <w:shd w:val="clear" w:color="auto" w:fill="auto"/>
            <w:vAlign w:val="center"/>
          </w:tcPr>
          <w:p w14:paraId="5D179C4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Mayo 13</w:t>
            </w:r>
          </w:p>
        </w:tc>
        <w:tc>
          <w:tcPr>
            <w:tcW w:w="1603" w:type="dxa"/>
            <w:tcBorders>
              <w:bottom w:val="single" w:sz="4" w:space="0" w:color="auto"/>
            </w:tcBorders>
            <w:shd w:val="clear" w:color="auto" w:fill="auto"/>
            <w:vAlign w:val="center"/>
          </w:tcPr>
          <w:p w14:paraId="6DD2AF92"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Abril 14</w:t>
            </w:r>
          </w:p>
        </w:tc>
        <w:tc>
          <w:tcPr>
            <w:tcW w:w="1531" w:type="dxa"/>
            <w:tcBorders>
              <w:bottom w:val="single" w:sz="4" w:space="0" w:color="auto"/>
            </w:tcBorders>
            <w:shd w:val="clear" w:color="auto" w:fill="auto"/>
            <w:vAlign w:val="center"/>
          </w:tcPr>
          <w:p w14:paraId="46A67032"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1 060 596</w:t>
            </w:r>
          </w:p>
        </w:tc>
        <w:tc>
          <w:tcPr>
            <w:tcW w:w="1345" w:type="dxa"/>
            <w:tcBorders>
              <w:bottom w:val="single" w:sz="4" w:space="0" w:color="auto"/>
            </w:tcBorders>
            <w:shd w:val="clear" w:color="auto" w:fill="auto"/>
            <w:vAlign w:val="center"/>
          </w:tcPr>
          <w:p w14:paraId="7A2B0740"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-0.62</w:t>
            </w:r>
          </w:p>
        </w:tc>
      </w:tr>
      <w:tr w:rsidR="00472665" w:rsidRPr="00472665" w14:paraId="363D1ECD" w14:textId="77777777" w:rsidTr="00A8517F">
        <w:trPr>
          <w:jc w:val="center"/>
        </w:trPr>
        <w:tc>
          <w:tcPr>
            <w:tcW w:w="2110" w:type="dxa"/>
            <w:tcBorders>
              <w:bottom w:val="single" w:sz="4" w:space="0" w:color="auto"/>
            </w:tcBorders>
            <w:shd w:val="clear" w:color="auto" w:fill="auto"/>
            <w:vAlign w:val="center"/>
          </w:tcPr>
          <w:p w14:paraId="35856FC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13</w:t>
            </w:r>
          </w:p>
        </w:tc>
        <w:tc>
          <w:tcPr>
            <w:tcW w:w="1603" w:type="dxa"/>
            <w:tcBorders>
              <w:bottom w:val="single" w:sz="4" w:space="0" w:color="auto"/>
            </w:tcBorders>
            <w:shd w:val="clear" w:color="auto" w:fill="auto"/>
            <w:vAlign w:val="center"/>
          </w:tcPr>
          <w:p w14:paraId="5B1D0997"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Mayo 14</w:t>
            </w:r>
          </w:p>
        </w:tc>
        <w:tc>
          <w:tcPr>
            <w:tcW w:w="1531" w:type="dxa"/>
            <w:tcBorders>
              <w:bottom w:val="single" w:sz="4" w:space="0" w:color="auto"/>
            </w:tcBorders>
            <w:shd w:val="clear" w:color="auto" w:fill="auto"/>
            <w:vAlign w:val="center"/>
          </w:tcPr>
          <w:p w14:paraId="0405D4D4"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1 061 322</w:t>
            </w:r>
          </w:p>
        </w:tc>
        <w:tc>
          <w:tcPr>
            <w:tcW w:w="1345" w:type="dxa"/>
            <w:tcBorders>
              <w:bottom w:val="single" w:sz="4" w:space="0" w:color="auto"/>
            </w:tcBorders>
            <w:shd w:val="clear" w:color="auto" w:fill="auto"/>
            <w:vAlign w:val="center"/>
          </w:tcPr>
          <w:p w14:paraId="6EC27CDD"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0.07</w:t>
            </w:r>
          </w:p>
        </w:tc>
      </w:tr>
      <w:tr w:rsidR="00472665" w:rsidRPr="00472665" w14:paraId="057628B2" w14:textId="77777777" w:rsidTr="00A8517F">
        <w:trPr>
          <w:jc w:val="center"/>
        </w:trPr>
        <w:tc>
          <w:tcPr>
            <w:tcW w:w="2110" w:type="dxa"/>
            <w:tcBorders>
              <w:bottom w:val="single" w:sz="4" w:space="0" w:color="auto"/>
            </w:tcBorders>
            <w:shd w:val="clear" w:color="auto" w:fill="auto"/>
            <w:vAlign w:val="center"/>
          </w:tcPr>
          <w:p w14:paraId="61D36354"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13</w:t>
            </w:r>
          </w:p>
        </w:tc>
        <w:tc>
          <w:tcPr>
            <w:tcW w:w="1603" w:type="dxa"/>
            <w:tcBorders>
              <w:bottom w:val="single" w:sz="4" w:space="0" w:color="auto"/>
            </w:tcBorders>
            <w:shd w:val="clear" w:color="auto" w:fill="auto"/>
            <w:vAlign w:val="center"/>
          </w:tcPr>
          <w:p w14:paraId="05968AF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Junio 14</w:t>
            </w:r>
          </w:p>
        </w:tc>
        <w:tc>
          <w:tcPr>
            <w:tcW w:w="1531" w:type="dxa"/>
            <w:tcBorders>
              <w:bottom w:val="single" w:sz="4" w:space="0" w:color="auto"/>
            </w:tcBorders>
            <w:shd w:val="clear" w:color="auto" w:fill="auto"/>
            <w:vAlign w:val="center"/>
          </w:tcPr>
          <w:p w14:paraId="7B5D424C"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1 061 736</w:t>
            </w:r>
          </w:p>
        </w:tc>
        <w:tc>
          <w:tcPr>
            <w:tcW w:w="1345" w:type="dxa"/>
            <w:tcBorders>
              <w:bottom w:val="single" w:sz="4" w:space="0" w:color="auto"/>
            </w:tcBorders>
            <w:shd w:val="clear" w:color="auto" w:fill="auto"/>
            <w:vAlign w:val="center"/>
          </w:tcPr>
          <w:p w14:paraId="43C55C63"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0.04</w:t>
            </w:r>
          </w:p>
        </w:tc>
      </w:tr>
      <w:tr w:rsidR="00472665" w:rsidRPr="00472665" w14:paraId="00D7EEA1" w14:textId="77777777" w:rsidTr="00A8517F">
        <w:trPr>
          <w:jc w:val="center"/>
        </w:trPr>
        <w:tc>
          <w:tcPr>
            <w:tcW w:w="2110" w:type="dxa"/>
            <w:tcBorders>
              <w:bottom w:val="single" w:sz="4" w:space="0" w:color="auto"/>
            </w:tcBorders>
            <w:shd w:val="clear" w:color="auto" w:fill="auto"/>
            <w:vAlign w:val="center"/>
          </w:tcPr>
          <w:p w14:paraId="2103E944"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13</w:t>
            </w:r>
          </w:p>
        </w:tc>
        <w:tc>
          <w:tcPr>
            <w:tcW w:w="1603" w:type="dxa"/>
            <w:tcBorders>
              <w:bottom w:val="single" w:sz="4" w:space="0" w:color="auto"/>
            </w:tcBorders>
            <w:shd w:val="clear" w:color="auto" w:fill="auto"/>
            <w:vAlign w:val="center"/>
          </w:tcPr>
          <w:p w14:paraId="2E189CD0"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Julio 14</w:t>
            </w:r>
          </w:p>
        </w:tc>
        <w:tc>
          <w:tcPr>
            <w:tcW w:w="1531" w:type="dxa"/>
            <w:tcBorders>
              <w:bottom w:val="single" w:sz="4" w:space="0" w:color="auto"/>
            </w:tcBorders>
            <w:shd w:val="clear" w:color="auto" w:fill="auto"/>
            <w:vAlign w:val="center"/>
          </w:tcPr>
          <w:p w14:paraId="01449981"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1 071 302</w:t>
            </w:r>
          </w:p>
        </w:tc>
        <w:tc>
          <w:tcPr>
            <w:tcW w:w="1345" w:type="dxa"/>
            <w:tcBorders>
              <w:bottom w:val="single" w:sz="4" w:space="0" w:color="auto"/>
            </w:tcBorders>
            <w:shd w:val="clear" w:color="auto" w:fill="auto"/>
            <w:vAlign w:val="center"/>
          </w:tcPr>
          <w:p w14:paraId="3FC19758"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0.90</w:t>
            </w:r>
          </w:p>
        </w:tc>
      </w:tr>
      <w:tr w:rsidR="00472665" w:rsidRPr="00472665" w14:paraId="0C0BDDE6" w14:textId="77777777" w:rsidTr="00A8517F">
        <w:trPr>
          <w:jc w:val="center"/>
        </w:trPr>
        <w:tc>
          <w:tcPr>
            <w:tcW w:w="2110" w:type="dxa"/>
            <w:tcBorders>
              <w:bottom w:val="single" w:sz="4" w:space="0" w:color="auto"/>
            </w:tcBorders>
            <w:shd w:val="clear" w:color="auto" w:fill="auto"/>
            <w:vAlign w:val="center"/>
          </w:tcPr>
          <w:p w14:paraId="76EA4564"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Septiembre 13</w:t>
            </w:r>
          </w:p>
        </w:tc>
        <w:tc>
          <w:tcPr>
            <w:tcW w:w="1603" w:type="dxa"/>
            <w:tcBorders>
              <w:bottom w:val="single" w:sz="4" w:space="0" w:color="auto"/>
            </w:tcBorders>
            <w:shd w:val="clear" w:color="auto" w:fill="auto"/>
            <w:vAlign w:val="center"/>
          </w:tcPr>
          <w:p w14:paraId="1475024C"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Agosto 14</w:t>
            </w:r>
          </w:p>
        </w:tc>
        <w:tc>
          <w:tcPr>
            <w:tcW w:w="1531" w:type="dxa"/>
            <w:tcBorders>
              <w:bottom w:val="single" w:sz="4" w:space="0" w:color="auto"/>
            </w:tcBorders>
            <w:shd w:val="clear" w:color="auto" w:fill="auto"/>
            <w:vAlign w:val="center"/>
          </w:tcPr>
          <w:p w14:paraId="67E5CB17"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1 086 851</w:t>
            </w:r>
          </w:p>
        </w:tc>
        <w:tc>
          <w:tcPr>
            <w:tcW w:w="1345" w:type="dxa"/>
            <w:tcBorders>
              <w:bottom w:val="single" w:sz="4" w:space="0" w:color="auto"/>
            </w:tcBorders>
            <w:shd w:val="clear" w:color="auto" w:fill="auto"/>
            <w:vAlign w:val="center"/>
          </w:tcPr>
          <w:p w14:paraId="75AD1502"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1.45</w:t>
            </w:r>
          </w:p>
        </w:tc>
      </w:tr>
      <w:tr w:rsidR="00472665" w:rsidRPr="00472665" w14:paraId="6E0AEBBB" w14:textId="77777777" w:rsidTr="00A8517F">
        <w:trPr>
          <w:jc w:val="center"/>
        </w:trPr>
        <w:tc>
          <w:tcPr>
            <w:tcW w:w="2110" w:type="dxa"/>
            <w:tcBorders>
              <w:bottom w:val="single" w:sz="4" w:space="0" w:color="auto"/>
            </w:tcBorders>
            <w:shd w:val="clear" w:color="auto" w:fill="auto"/>
            <w:vAlign w:val="center"/>
          </w:tcPr>
          <w:p w14:paraId="3E4C70E2"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13</w:t>
            </w:r>
          </w:p>
        </w:tc>
        <w:tc>
          <w:tcPr>
            <w:tcW w:w="1603" w:type="dxa"/>
            <w:tcBorders>
              <w:bottom w:val="single" w:sz="4" w:space="0" w:color="auto"/>
            </w:tcBorders>
            <w:shd w:val="clear" w:color="auto" w:fill="auto"/>
            <w:vAlign w:val="center"/>
          </w:tcPr>
          <w:p w14:paraId="15936E03" w14:textId="2F5A47A2" w:rsidR="00472665" w:rsidRPr="00472665" w:rsidRDefault="00A871F8" w:rsidP="00A871F8">
            <w:pPr>
              <w:spacing w:before="20" w:after="20"/>
              <w:jc w:val="both"/>
              <w:rPr>
                <w:rFonts w:eastAsia="Times New Roman"/>
                <w:sz w:val="18"/>
                <w:szCs w:val="18"/>
              </w:rPr>
            </w:pPr>
            <w:r>
              <w:rPr>
                <w:rFonts w:eastAsia="Times New Roman"/>
                <w:sz w:val="18"/>
                <w:szCs w:val="18"/>
              </w:rPr>
              <w:t>Septiembre</w:t>
            </w:r>
            <w:r w:rsidR="00472665" w:rsidRPr="00472665">
              <w:rPr>
                <w:rFonts w:eastAsia="Times New Roman"/>
                <w:sz w:val="18"/>
                <w:szCs w:val="18"/>
              </w:rPr>
              <w:t xml:space="preserve"> 14</w:t>
            </w:r>
          </w:p>
        </w:tc>
        <w:tc>
          <w:tcPr>
            <w:tcW w:w="1531" w:type="dxa"/>
            <w:tcBorders>
              <w:bottom w:val="single" w:sz="4" w:space="0" w:color="auto"/>
            </w:tcBorders>
            <w:shd w:val="clear" w:color="auto" w:fill="auto"/>
            <w:vAlign w:val="center"/>
          </w:tcPr>
          <w:p w14:paraId="53F02FBF"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1 097 616</w:t>
            </w:r>
          </w:p>
        </w:tc>
        <w:tc>
          <w:tcPr>
            <w:tcW w:w="1345" w:type="dxa"/>
            <w:tcBorders>
              <w:bottom w:val="single" w:sz="4" w:space="0" w:color="auto"/>
            </w:tcBorders>
            <w:shd w:val="clear" w:color="auto" w:fill="auto"/>
            <w:vAlign w:val="center"/>
          </w:tcPr>
          <w:p w14:paraId="4064973E"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0.99</w:t>
            </w:r>
          </w:p>
        </w:tc>
      </w:tr>
      <w:tr w:rsidR="00472665" w:rsidRPr="00472665" w14:paraId="66A0309D" w14:textId="77777777" w:rsidTr="00A8517F">
        <w:trPr>
          <w:jc w:val="center"/>
        </w:trPr>
        <w:tc>
          <w:tcPr>
            <w:tcW w:w="2110" w:type="dxa"/>
            <w:tcBorders>
              <w:bottom w:val="single" w:sz="4" w:space="0" w:color="auto"/>
            </w:tcBorders>
            <w:shd w:val="clear" w:color="auto" w:fill="auto"/>
            <w:vAlign w:val="center"/>
          </w:tcPr>
          <w:p w14:paraId="34024657"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13</w:t>
            </w:r>
          </w:p>
        </w:tc>
        <w:tc>
          <w:tcPr>
            <w:tcW w:w="1603" w:type="dxa"/>
            <w:tcBorders>
              <w:bottom w:val="single" w:sz="4" w:space="0" w:color="auto"/>
            </w:tcBorders>
            <w:shd w:val="clear" w:color="auto" w:fill="auto"/>
            <w:vAlign w:val="center"/>
          </w:tcPr>
          <w:p w14:paraId="5651568A"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Octubre 14</w:t>
            </w:r>
          </w:p>
        </w:tc>
        <w:tc>
          <w:tcPr>
            <w:tcW w:w="1531" w:type="dxa"/>
            <w:tcBorders>
              <w:bottom w:val="single" w:sz="4" w:space="0" w:color="auto"/>
            </w:tcBorders>
            <w:shd w:val="clear" w:color="auto" w:fill="auto"/>
            <w:vAlign w:val="center"/>
          </w:tcPr>
          <w:p w14:paraId="0971CB4C"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1 110 278</w:t>
            </w:r>
          </w:p>
        </w:tc>
        <w:tc>
          <w:tcPr>
            <w:tcW w:w="1345" w:type="dxa"/>
            <w:tcBorders>
              <w:bottom w:val="single" w:sz="4" w:space="0" w:color="auto"/>
            </w:tcBorders>
            <w:shd w:val="clear" w:color="auto" w:fill="auto"/>
            <w:vAlign w:val="center"/>
          </w:tcPr>
          <w:p w14:paraId="6D90C9F2"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0.15</w:t>
            </w:r>
          </w:p>
        </w:tc>
      </w:tr>
      <w:tr w:rsidR="00472665" w:rsidRPr="00472665" w14:paraId="6B36375F" w14:textId="77777777" w:rsidTr="00A8517F">
        <w:trPr>
          <w:jc w:val="center"/>
        </w:trPr>
        <w:tc>
          <w:tcPr>
            <w:tcW w:w="2110" w:type="dxa"/>
            <w:tcBorders>
              <w:bottom w:val="single" w:sz="4" w:space="0" w:color="auto"/>
            </w:tcBorders>
            <w:shd w:val="clear" w:color="auto" w:fill="auto"/>
            <w:vAlign w:val="center"/>
          </w:tcPr>
          <w:p w14:paraId="2A75DFDD"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13</w:t>
            </w:r>
          </w:p>
        </w:tc>
        <w:tc>
          <w:tcPr>
            <w:tcW w:w="1603" w:type="dxa"/>
            <w:tcBorders>
              <w:bottom w:val="single" w:sz="4" w:space="0" w:color="auto"/>
            </w:tcBorders>
            <w:shd w:val="clear" w:color="auto" w:fill="auto"/>
            <w:vAlign w:val="center"/>
          </w:tcPr>
          <w:p w14:paraId="0719D92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Noviembre 14</w:t>
            </w:r>
          </w:p>
        </w:tc>
        <w:tc>
          <w:tcPr>
            <w:tcW w:w="1531" w:type="dxa"/>
            <w:tcBorders>
              <w:bottom w:val="single" w:sz="4" w:space="0" w:color="auto"/>
            </w:tcBorders>
            <w:shd w:val="clear" w:color="auto" w:fill="auto"/>
            <w:vAlign w:val="center"/>
          </w:tcPr>
          <w:p w14:paraId="05ADA6E3"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1 121 500</w:t>
            </w:r>
          </w:p>
        </w:tc>
        <w:tc>
          <w:tcPr>
            <w:tcW w:w="1345" w:type="dxa"/>
            <w:tcBorders>
              <w:bottom w:val="single" w:sz="4" w:space="0" w:color="auto"/>
            </w:tcBorders>
            <w:shd w:val="clear" w:color="auto" w:fill="auto"/>
            <w:vAlign w:val="center"/>
          </w:tcPr>
          <w:p w14:paraId="71E7F887"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1.01</w:t>
            </w:r>
          </w:p>
        </w:tc>
      </w:tr>
      <w:tr w:rsidR="00472665" w:rsidRPr="00472665" w14:paraId="6CEF38B4" w14:textId="77777777" w:rsidTr="00A8517F">
        <w:trPr>
          <w:jc w:val="center"/>
        </w:trPr>
        <w:tc>
          <w:tcPr>
            <w:tcW w:w="2110" w:type="dxa"/>
            <w:tcBorders>
              <w:bottom w:val="single" w:sz="4" w:space="0" w:color="auto"/>
            </w:tcBorders>
            <w:shd w:val="clear" w:color="auto" w:fill="auto"/>
            <w:vAlign w:val="center"/>
          </w:tcPr>
          <w:p w14:paraId="19F719B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14</w:t>
            </w:r>
          </w:p>
        </w:tc>
        <w:tc>
          <w:tcPr>
            <w:tcW w:w="1603" w:type="dxa"/>
            <w:tcBorders>
              <w:bottom w:val="single" w:sz="4" w:space="0" w:color="auto"/>
            </w:tcBorders>
            <w:shd w:val="clear" w:color="auto" w:fill="auto"/>
            <w:vAlign w:val="center"/>
          </w:tcPr>
          <w:p w14:paraId="37A36CF5"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Diciembre 14</w:t>
            </w:r>
          </w:p>
        </w:tc>
        <w:tc>
          <w:tcPr>
            <w:tcW w:w="1531" w:type="dxa"/>
            <w:tcBorders>
              <w:bottom w:val="single" w:sz="4" w:space="0" w:color="auto"/>
            </w:tcBorders>
            <w:shd w:val="clear" w:color="auto" w:fill="auto"/>
            <w:vAlign w:val="center"/>
          </w:tcPr>
          <w:p w14:paraId="1397D22A"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1 135 409</w:t>
            </w:r>
          </w:p>
        </w:tc>
        <w:tc>
          <w:tcPr>
            <w:tcW w:w="1345" w:type="dxa"/>
            <w:tcBorders>
              <w:bottom w:val="single" w:sz="4" w:space="0" w:color="auto"/>
            </w:tcBorders>
            <w:shd w:val="clear" w:color="auto" w:fill="auto"/>
            <w:vAlign w:val="center"/>
          </w:tcPr>
          <w:p w14:paraId="426662F5"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1.24</w:t>
            </w:r>
          </w:p>
        </w:tc>
      </w:tr>
      <w:tr w:rsidR="00472665" w:rsidRPr="00472665" w14:paraId="263FE8DF" w14:textId="77777777" w:rsidTr="00A8517F">
        <w:trPr>
          <w:jc w:val="center"/>
        </w:trPr>
        <w:tc>
          <w:tcPr>
            <w:tcW w:w="2110" w:type="dxa"/>
            <w:tcBorders>
              <w:bottom w:val="single" w:sz="4" w:space="0" w:color="auto"/>
            </w:tcBorders>
            <w:shd w:val="clear" w:color="auto" w:fill="auto"/>
            <w:vAlign w:val="center"/>
          </w:tcPr>
          <w:p w14:paraId="305F3A37"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14</w:t>
            </w:r>
          </w:p>
        </w:tc>
        <w:tc>
          <w:tcPr>
            <w:tcW w:w="1603" w:type="dxa"/>
            <w:tcBorders>
              <w:bottom w:val="single" w:sz="4" w:space="0" w:color="auto"/>
            </w:tcBorders>
            <w:shd w:val="clear" w:color="auto" w:fill="auto"/>
            <w:vAlign w:val="center"/>
          </w:tcPr>
          <w:p w14:paraId="50492E51"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Enero 15</w:t>
            </w:r>
          </w:p>
        </w:tc>
        <w:tc>
          <w:tcPr>
            <w:tcW w:w="1531" w:type="dxa"/>
            <w:tcBorders>
              <w:bottom w:val="single" w:sz="4" w:space="0" w:color="auto"/>
            </w:tcBorders>
            <w:shd w:val="clear" w:color="auto" w:fill="auto"/>
            <w:vAlign w:val="center"/>
          </w:tcPr>
          <w:p w14:paraId="2282A734" w14:textId="7C585929" w:rsidR="00472665" w:rsidRPr="00472665" w:rsidRDefault="00472665" w:rsidP="00A871F8">
            <w:pPr>
              <w:spacing w:before="20" w:after="20"/>
              <w:ind w:right="397"/>
              <w:jc w:val="right"/>
              <w:rPr>
                <w:rFonts w:eastAsia="Times New Roman"/>
                <w:sz w:val="18"/>
                <w:szCs w:val="18"/>
              </w:rPr>
            </w:pPr>
            <w:r w:rsidRPr="00472665">
              <w:rPr>
                <w:rFonts w:eastAsia="Times New Roman"/>
                <w:sz w:val="18"/>
                <w:szCs w:val="18"/>
              </w:rPr>
              <w:t>1 15</w:t>
            </w:r>
            <w:r w:rsidR="00A871F8">
              <w:rPr>
                <w:rFonts w:eastAsia="Times New Roman"/>
                <w:sz w:val="18"/>
                <w:szCs w:val="18"/>
              </w:rPr>
              <w:t>3</w:t>
            </w:r>
            <w:r w:rsidRPr="00472665">
              <w:rPr>
                <w:rFonts w:eastAsia="Times New Roman"/>
                <w:sz w:val="18"/>
                <w:szCs w:val="18"/>
              </w:rPr>
              <w:t xml:space="preserve"> 6</w:t>
            </w:r>
            <w:r w:rsidR="00A871F8">
              <w:rPr>
                <w:rFonts w:eastAsia="Times New Roman"/>
                <w:sz w:val="18"/>
                <w:szCs w:val="18"/>
              </w:rPr>
              <w:t>02</w:t>
            </w:r>
          </w:p>
        </w:tc>
        <w:tc>
          <w:tcPr>
            <w:tcW w:w="1345" w:type="dxa"/>
            <w:tcBorders>
              <w:bottom w:val="single" w:sz="4" w:space="0" w:color="auto"/>
            </w:tcBorders>
            <w:shd w:val="clear" w:color="auto" w:fill="auto"/>
            <w:vAlign w:val="center"/>
          </w:tcPr>
          <w:p w14:paraId="09553E33"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3.55</w:t>
            </w:r>
          </w:p>
        </w:tc>
      </w:tr>
      <w:tr w:rsidR="00472665" w:rsidRPr="00472665" w14:paraId="31ABF126" w14:textId="77777777" w:rsidTr="00A8517F">
        <w:trPr>
          <w:jc w:val="center"/>
        </w:trPr>
        <w:tc>
          <w:tcPr>
            <w:tcW w:w="2110" w:type="dxa"/>
            <w:tcBorders>
              <w:bottom w:val="single" w:sz="4" w:space="0" w:color="auto"/>
            </w:tcBorders>
            <w:shd w:val="clear" w:color="auto" w:fill="auto"/>
            <w:vAlign w:val="center"/>
          </w:tcPr>
          <w:p w14:paraId="7CD56B48"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14</w:t>
            </w:r>
          </w:p>
        </w:tc>
        <w:tc>
          <w:tcPr>
            <w:tcW w:w="1603" w:type="dxa"/>
            <w:tcBorders>
              <w:bottom w:val="single" w:sz="4" w:space="0" w:color="auto"/>
            </w:tcBorders>
            <w:shd w:val="clear" w:color="auto" w:fill="auto"/>
            <w:vAlign w:val="center"/>
          </w:tcPr>
          <w:p w14:paraId="228192CF"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Febrero 15</w:t>
            </w:r>
          </w:p>
        </w:tc>
        <w:tc>
          <w:tcPr>
            <w:tcW w:w="1531" w:type="dxa"/>
            <w:tcBorders>
              <w:bottom w:val="single" w:sz="4" w:space="0" w:color="auto"/>
            </w:tcBorders>
            <w:shd w:val="clear" w:color="auto" w:fill="auto"/>
            <w:vAlign w:val="center"/>
          </w:tcPr>
          <w:p w14:paraId="5FE9C72B"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1 171 222</w:t>
            </w:r>
          </w:p>
        </w:tc>
        <w:tc>
          <w:tcPr>
            <w:tcW w:w="1345" w:type="dxa"/>
            <w:tcBorders>
              <w:bottom w:val="single" w:sz="4" w:space="0" w:color="auto"/>
            </w:tcBorders>
            <w:shd w:val="clear" w:color="auto" w:fill="auto"/>
            <w:vAlign w:val="center"/>
          </w:tcPr>
          <w:p w14:paraId="268AB0C3"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1.53</w:t>
            </w:r>
          </w:p>
        </w:tc>
      </w:tr>
      <w:tr w:rsidR="00472665" w:rsidRPr="00472665" w14:paraId="7E62CFB9" w14:textId="77777777" w:rsidTr="00A8517F">
        <w:trPr>
          <w:jc w:val="center"/>
        </w:trPr>
        <w:tc>
          <w:tcPr>
            <w:tcW w:w="2110" w:type="dxa"/>
            <w:tcBorders>
              <w:bottom w:val="single" w:sz="4" w:space="0" w:color="auto"/>
            </w:tcBorders>
            <w:shd w:val="clear" w:color="auto" w:fill="auto"/>
            <w:vAlign w:val="center"/>
          </w:tcPr>
          <w:p w14:paraId="2C4EFD26"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Abril 14</w:t>
            </w:r>
          </w:p>
        </w:tc>
        <w:tc>
          <w:tcPr>
            <w:tcW w:w="1603" w:type="dxa"/>
            <w:tcBorders>
              <w:bottom w:val="single" w:sz="4" w:space="0" w:color="auto"/>
            </w:tcBorders>
            <w:shd w:val="clear" w:color="auto" w:fill="auto"/>
            <w:vAlign w:val="center"/>
          </w:tcPr>
          <w:p w14:paraId="6D525313" w14:textId="77777777" w:rsidR="00472665" w:rsidRPr="00472665" w:rsidRDefault="00472665" w:rsidP="00D97E73">
            <w:pPr>
              <w:spacing w:before="20" w:after="20"/>
              <w:jc w:val="both"/>
              <w:rPr>
                <w:rFonts w:eastAsia="Times New Roman"/>
                <w:sz w:val="18"/>
                <w:szCs w:val="18"/>
              </w:rPr>
            </w:pPr>
            <w:r w:rsidRPr="00472665">
              <w:rPr>
                <w:rFonts w:eastAsia="Times New Roman"/>
                <w:sz w:val="18"/>
                <w:szCs w:val="18"/>
              </w:rPr>
              <w:t>Marzo 15</w:t>
            </w:r>
          </w:p>
        </w:tc>
        <w:tc>
          <w:tcPr>
            <w:tcW w:w="1531" w:type="dxa"/>
            <w:tcBorders>
              <w:bottom w:val="single" w:sz="4" w:space="0" w:color="auto"/>
            </w:tcBorders>
            <w:shd w:val="clear" w:color="auto" w:fill="auto"/>
            <w:vAlign w:val="center"/>
          </w:tcPr>
          <w:p w14:paraId="0A49E98E" w14:textId="77777777" w:rsidR="00472665" w:rsidRPr="00472665" w:rsidRDefault="00472665" w:rsidP="00A8517F">
            <w:pPr>
              <w:spacing w:before="20" w:after="20"/>
              <w:ind w:right="397"/>
              <w:jc w:val="right"/>
              <w:rPr>
                <w:rFonts w:eastAsia="Times New Roman"/>
                <w:sz w:val="18"/>
                <w:szCs w:val="18"/>
              </w:rPr>
            </w:pPr>
            <w:r w:rsidRPr="00472665">
              <w:rPr>
                <w:rFonts w:eastAsia="Times New Roman"/>
                <w:sz w:val="18"/>
                <w:szCs w:val="18"/>
              </w:rPr>
              <w:t>1 190 442</w:t>
            </w:r>
          </w:p>
        </w:tc>
        <w:tc>
          <w:tcPr>
            <w:tcW w:w="1345" w:type="dxa"/>
            <w:tcBorders>
              <w:bottom w:val="single" w:sz="4" w:space="0" w:color="auto"/>
            </w:tcBorders>
            <w:shd w:val="clear" w:color="auto" w:fill="auto"/>
            <w:vAlign w:val="center"/>
          </w:tcPr>
          <w:p w14:paraId="5091A48F" w14:textId="77777777" w:rsidR="00472665" w:rsidRPr="00472665" w:rsidRDefault="00472665" w:rsidP="00D97E73">
            <w:pPr>
              <w:spacing w:before="20" w:after="20"/>
              <w:ind w:right="340"/>
              <w:jc w:val="right"/>
              <w:rPr>
                <w:rFonts w:eastAsia="Times New Roman"/>
                <w:sz w:val="18"/>
                <w:szCs w:val="18"/>
              </w:rPr>
            </w:pPr>
            <w:r w:rsidRPr="00472665">
              <w:rPr>
                <w:rFonts w:eastAsia="Times New Roman"/>
                <w:sz w:val="18"/>
                <w:szCs w:val="18"/>
              </w:rPr>
              <w:t>1.64</w:t>
            </w:r>
          </w:p>
        </w:tc>
      </w:tr>
      <w:tr w:rsidR="00472665" w:rsidRPr="00472665" w14:paraId="2124A828" w14:textId="77777777" w:rsidTr="00A8517F">
        <w:trPr>
          <w:jc w:val="center"/>
        </w:trPr>
        <w:tc>
          <w:tcPr>
            <w:tcW w:w="6589" w:type="dxa"/>
            <w:gridSpan w:val="4"/>
            <w:tcBorders>
              <w:left w:val="nil"/>
              <w:bottom w:val="nil"/>
              <w:right w:val="nil"/>
            </w:tcBorders>
            <w:shd w:val="clear" w:color="auto" w:fill="auto"/>
            <w:vAlign w:val="center"/>
          </w:tcPr>
          <w:p w14:paraId="2FC7DAE1" w14:textId="77777777" w:rsidR="00472665" w:rsidRPr="00472665" w:rsidRDefault="00472665" w:rsidP="00D97E73">
            <w:pPr>
              <w:spacing w:before="20" w:after="20"/>
              <w:jc w:val="both"/>
              <w:rPr>
                <w:rFonts w:eastAsia="Times New Roman"/>
                <w:sz w:val="20"/>
                <w:szCs w:val="22"/>
              </w:rPr>
            </w:pPr>
            <w:r w:rsidRPr="00472665">
              <w:rPr>
                <w:rFonts w:eastAsia="Times New Roman"/>
                <w:sz w:val="20"/>
                <w:szCs w:val="22"/>
              </w:rPr>
              <w:t>FUENTE: AMDA, con información de AMIA.</w:t>
            </w:r>
          </w:p>
        </w:tc>
      </w:tr>
    </w:tbl>
    <w:p w14:paraId="1653C5C6" w14:textId="77777777" w:rsidR="00472665" w:rsidRPr="00472665" w:rsidRDefault="00472665" w:rsidP="00D97E73">
      <w:pPr>
        <w:spacing w:after="360" w:line="360" w:lineRule="auto"/>
        <w:ind w:right="-159"/>
        <w:jc w:val="both"/>
        <w:rPr>
          <w:rFonts w:eastAsia="Times New Roman"/>
          <w:b/>
          <w:sz w:val="26"/>
          <w:szCs w:val="26"/>
          <w:lang w:val="es-ES"/>
        </w:rPr>
      </w:pPr>
    </w:p>
    <w:p w14:paraId="26D6FC19" w14:textId="77777777" w:rsidR="00472665" w:rsidRPr="00472665" w:rsidRDefault="00472665" w:rsidP="00472665">
      <w:pPr>
        <w:spacing w:after="360" w:line="360" w:lineRule="auto"/>
        <w:ind w:right="-159"/>
        <w:jc w:val="both"/>
        <w:rPr>
          <w:rFonts w:eastAsia="Times New Roman"/>
          <w:b/>
          <w:sz w:val="26"/>
          <w:szCs w:val="26"/>
          <w:lang w:val="es-ES"/>
        </w:rPr>
      </w:pPr>
    </w:p>
    <w:p w14:paraId="20920348" w14:textId="77777777" w:rsidR="00472665" w:rsidRPr="00472665" w:rsidRDefault="00472665" w:rsidP="00472665">
      <w:pPr>
        <w:spacing w:after="360" w:line="360" w:lineRule="auto"/>
        <w:ind w:right="-159"/>
        <w:jc w:val="both"/>
        <w:rPr>
          <w:rFonts w:eastAsia="Times New Roman"/>
          <w:b/>
          <w:sz w:val="26"/>
          <w:szCs w:val="26"/>
          <w:lang w:val="es-ES"/>
        </w:rPr>
      </w:pPr>
    </w:p>
    <w:p w14:paraId="1C949D7A" w14:textId="77777777" w:rsidR="00472665" w:rsidRPr="00472665" w:rsidRDefault="00472665" w:rsidP="00472665">
      <w:pPr>
        <w:spacing w:after="360" w:line="360" w:lineRule="auto"/>
        <w:ind w:right="-159"/>
        <w:jc w:val="both"/>
        <w:rPr>
          <w:rFonts w:eastAsia="Times New Roman"/>
          <w:b/>
          <w:sz w:val="26"/>
          <w:szCs w:val="26"/>
          <w:lang w:val="es-ES"/>
        </w:rPr>
      </w:pPr>
    </w:p>
    <w:tbl>
      <w:tblPr>
        <w:tblW w:w="0" w:type="auto"/>
        <w:tblLook w:val="04A0" w:firstRow="1" w:lastRow="0" w:firstColumn="1" w:lastColumn="0" w:noHBand="0" w:noVBand="1"/>
      </w:tblPr>
      <w:tblGrid>
        <w:gridCol w:w="8840"/>
      </w:tblGrid>
      <w:tr w:rsidR="00472665" w:rsidRPr="00472665" w14:paraId="17E5AAB2" w14:textId="77777777" w:rsidTr="00472665">
        <w:tc>
          <w:tcPr>
            <w:tcW w:w="8840" w:type="dxa"/>
            <w:shd w:val="clear" w:color="auto" w:fill="FFFFFF"/>
          </w:tcPr>
          <w:p w14:paraId="0C6A0D44" w14:textId="77777777" w:rsidR="00472665" w:rsidRPr="00472665" w:rsidRDefault="00472665" w:rsidP="00472665">
            <w:pPr>
              <w:jc w:val="center"/>
              <w:rPr>
                <w:rFonts w:eastAsia="Times New Roman"/>
                <w:b/>
                <w:caps/>
                <w:sz w:val="22"/>
                <w:szCs w:val="20"/>
                <w:lang w:val="es-ES"/>
              </w:rPr>
            </w:pPr>
            <w:r w:rsidRPr="00472665">
              <w:rPr>
                <w:rFonts w:eastAsia="Times New Roman"/>
                <w:b/>
                <w:caps/>
                <w:sz w:val="22"/>
                <w:szCs w:val="20"/>
                <w:lang w:val="es-ES"/>
              </w:rPr>
              <w:lastRenderedPageBreak/>
              <w:t>factores de impacto negativo en el consumidor</w:t>
            </w:r>
          </w:p>
          <w:p w14:paraId="5B8BA92B" w14:textId="77777777" w:rsidR="00472665" w:rsidRPr="00472665" w:rsidRDefault="00472665" w:rsidP="00472665">
            <w:pPr>
              <w:jc w:val="center"/>
              <w:rPr>
                <w:rFonts w:eastAsia="Times New Roman"/>
                <w:b/>
                <w:sz w:val="26"/>
                <w:szCs w:val="26"/>
              </w:rPr>
            </w:pPr>
            <w:r w:rsidRPr="00472665">
              <w:rPr>
                <w:rFonts w:eastAsia="Times New Roman"/>
                <w:b/>
                <w:caps/>
                <w:sz w:val="22"/>
                <w:szCs w:val="20"/>
                <w:lang w:val="es-ES"/>
              </w:rPr>
              <w:t>- s</w:t>
            </w:r>
            <w:r w:rsidRPr="00472665">
              <w:rPr>
                <w:rFonts w:eastAsia="Times New Roman"/>
                <w:b/>
                <w:sz w:val="22"/>
                <w:szCs w:val="20"/>
                <w:lang w:val="es-ES"/>
              </w:rPr>
              <w:t>erie anualizada de 1999 a 2015</w:t>
            </w:r>
            <w:r w:rsidRPr="00472665">
              <w:rPr>
                <w:rFonts w:eastAsia="Times New Roman"/>
                <w:b/>
                <w:caps/>
                <w:sz w:val="22"/>
                <w:szCs w:val="20"/>
                <w:lang w:val="es-ES"/>
              </w:rPr>
              <w:t xml:space="preserve"> -</w:t>
            </w:r>
          </w:p>
        </w:tc>
      </w:tr>
      <w:tr w:rsidR="00472665" w:rsidRPr="00472665" w14:paraId="774F5DF0" w14:textId="77777777" w:rsidTr="00251E61">
        <w:tc>
          <w:tcPr>
            <w:tcW w:w="8840" w:type="dxa"/>
          </w:tcPr>
          <w:p w14:paraId="60D21A7F" w14:textId="77777777" w:rsidR="00472665" w:rsidRPr="00472665" w:rsidRDefault="00472665" w:rsidP="00472665">
            <w:pPr>
              <w:jc w:val="center"/>
              <w:rPr>
                <w:rFonts w:eastAsia="Times New Roman"/>
                <w:b/>
                <w:sz w:val="22"/>
                <w:szCs w:val="26"/>
              </w:rPr>
            </w:pPr>
            <w:r w:rsidRPr="00472665">
              <w:rPr>
                <w:rFonts w:eastAsia="Times New Roman"/>
                <w:b/>
                <w:noProof/>
                <w:sz w:val="22"/>
                <w:szCs w:val="26"/>
                <w:lang w:eastAsia="es-MX"/>
              </w:rPr>
              <w:drawing>
                <wp:inline distT="0" distB="0" distL="0" distR="0" wp14:anchorId="471903FE" wp14:editId="25BAFC9E">
                  <wp:extent cx="5641778" cy="3528000"/>
                  <wp:effectExtent l="0" t="0" r="0" b="0"/>
                  <wp:docPr id="1770" name="Imagen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t="381" b="1718"/>
                          <a:stretch/>
                        </pic:blipFill>
                        <pic:spPr bwMode="auto">
                          <a:xfrm>
                            <a:off x="0" y="0"/>
                            <a:ext cx="5641778" cy="352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683811B2" w14:textId="77777777" w:rsidTr="00251E61">
        <w:tc>
          <w:tcPr>
            <w:tcW w:w="8840" w:type="dxa"/>
          </w:tcPr>
          <w:p w14:paraId="3AD3BE4B" w14:textId="77777777" w:rsidR="00472665" w:rsidRPr="00472665" w:rsidRDefault="00472665" w:rsidP="00472665">
            <w:pPr>
              <w:ind w:left="743"/>
              <w:jc w:val="both"/>
              <w:rPr>
                <w:rFonts w:eastAsia="Times New Roman"/>
                <w:b/>
                <w:sz w:val="26"/>
                <w:szCs w:val="26"/>
              </w:rPr>
            </w:pPr>
            <w:r w:rsidRPr="00472665">
              <w:rPr>
                <w:rFonts w:eastAsia="Times New Roman"/>
                <w:sz w:val="20"/>
                <w:szCs w:val="20"/>
                <w:lang w:val="es-ES"/>
              </w:rPr>
              <w:t>FUENTE: Elaborado por AMDA con información de AMIA.</w:t>
            </w:r>
          </w:p>
        </w:tc>
      </w:tr>
    </w:tbl>
    <w:p w14:paraId="4A0BBA52" w14:textId="77777777" w:rsidR="00472665" w:rsidRPr="00472665" w:rsidRDefault="00472665" w:rsidP="00472665">
      <w:pPr>
        <w:spacing w:after="360" w:line="360" w:lineRule="auto"/>
        <w:ind w:right="-159"/>
        <w:jc w:val="both"/>
        <w:rPr>
          <w:rFonts w:eastAsia="Times New Roman"/>
          <w:b/>
          <w:sz w:val="26"/>
          <w:szCs w:val="26"/>
        </w:rPr>
      </w:pPr>
    </w:p>
    <w:p w14:paraId="3EF7C1C4" w14:textId="77777777" w:rsidR="00472665" w:rsidRPr="00472665" w:rsidRDefault="00472665" w:rsidP="00472665">
      <w:pPr>
        <w:spacing w:before="360" w:after="360" w:line="360" w:lineRule="auto"/>
        <w:ind w:right="-159"/>
        <w:jc w:val="both"/>
        <w:rPr>
          <w:rFonts w:eastAsia="Times New Roman"/>
          <w:b/>
          <w:sz w:val="26"/>
          <w:szCs w:val="26"/>
        </w:rPr>
      </w:pPr>
      <w:r w:rsidRPr="00472665">
        <w:rPr>
          <w:rFonts w:eastAsia="Times New Roman"/>
          <w:b/>
          <w:sz w:val="26"/>
          <w:szCs w:val="26"/>
        </w:rPr>
        <w:t>Vehículos ligeros comercializados en marzo de 2014 y 2015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04"/>
        <w:gridCol w:w="1199"/>
        <w:gridCol w:w="1134"/>
        <w:gridCol w:w="1179"/>
        <w:gridCol w:w="1134"/>
      </w:tblGrid>
      <w:tr w:rsidR="00472665" w:rsidRPr="00472665" w14:paraId="6CE75097" w14:textId="77777777" w:rsidTr="00251E61">
        <w:trPr>
          <w:jc w:val="center"/>
        </w:trPr>
        <w:tc>
          <w:tcPr>
            <w:tcW w:w="6850" w:type="dxa"/>
            <w:gridSpan w:val="5"/>
            <w:tcBorders>
              <w:top w:val="nil"/>
              <w:left w:val="nil"/>
              <w:right w:val="nil"/>
            </w:tcBorders>
            <w:shd w:val="clear" w:color="auto" w:fill="auto"/>
            <w:vAlign w:val="center"/>
          </w:tcPr>
          <w:p w14:paraId="41D15E36" w14:textId="77777777" w:rsidR="00472665" w:rsidRPr="00472665" w:rsidRDefault="00472665" w:rsidP="00472665">
            <w:pPr>
              <w:jc w:val="center"/>
              <w:rPr>
                <w:rFonts w:eastAsia="Times New Roman"/>
                <w:b/>
                <w:sz w:val="22"/>
                <w:szCs w:val="22"/>
              </w:rPr>
            </w:pPr>
            <w:r w:rsidRPr="00472665">
              <w:rPr>
                <w:rFonts w:eastAsia="Times New Roman"/>
                <w:b/>
                <w:sz w:val="22"/>
                <w:szCs w:val="22"/>
              </w:rPr>
              <w:t>VEHÍCULOS LIGEROS COMERCIALIZADOS</w:t>
            </w:r>
          </w:p>
          <w:p w14:paraId="18180793" w14:textId="77777777" w:rsidR="00472665" w:rsidRPr="00472665" w:rsidRDefault="00472665" w:rsidP="00472665">
            <w:pPr>
              <w:ind w:right="-159"/>
              <w:jc w:val="center"/>
              <w:rPr>
                <w:rFonts w:eastAsia="Times New Roman"/>
                <w:sz w:val="26"/>
                <w:szCs w:val="26"/>
                <w:lang w:val="es-ES"/>
              </w:rPr>
            </w:pPr>
            <w:r w:rsidRPr="00472665">
              <w:rPr>
                <w:rFonts w:eastAsia="Times New Roman"/>
                <w:b/>
                <w:sz w:val="22"/>
                <w:szCs w:val="22"/>
              </w:rPr>
              <w:t>EN MARZO DE 2014 Y 2015</w:t>
            </w:r>
          </w:p>
        </w:tc>
      </w:tr>
      <w:tr w:rsidR="00472665" w:rsidRPr="00472665" w14:paraId="1CDA5E58" w14:textId="77777777" w:rsidTr="00251E61">
        <w:trPr>
          <w:jc w:val="center"/>
        </w:trPr>
        <w:tc>
          <w:tcPr>
            <w:tcW w:w="2204" w:type="dxa"/>
            <w:vMerge w:val="restart"/>
            <w:shd w:val="clear" w:color="auto" w:fill="auto"/>
            <w:vAlign w:val="center"/>
          </w:tcPr>
          <w:p w14:paraId="010BA7EC"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Segmento</w:t>
            </w:r>
          </w:p>
        </w:tc>
        <w:tc>
          <w:tcPr>
            <w:tcW w:w="1199" w:type="dxa"/>
            <w:vMerge w:val="restart"/>
            <w:shd w:val="clear" w:color="auto" w:fill="auto"/>
            <w:vAlign w:val="center"/>
          </w:tcPr>
          <w:p w14:paraId="3735ADF9"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2014</w:t>
            </w:r>
          </w:p>
        </w:tc>
        <w:tc>
          <w:tcPr>
            <w:tcW w:w="1134" w:type="dxa"/>
            <w:vMerge w:val="restart"/>
            <w:shd w:val="clear" w:color="auto" w:fill="auto"/>
            <w:vAlign w:val="center"/>
          </w:tcPr>
          <w:p w14:paraId="21600DDD"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2015</w:t>
            </w:r>
          </w:p>
        </w:tc>
        <w:tc>
          <w:tcPr>
            <w:tcW w:w="2313" w:type="dxa"/>
            <w:gridSpan w:val="2"/>
            <w:shd w:val="clear" w:color="auto" w:fill="auto"/>
            <w:vAlign w:val="center"/>
          </w:tcPr>
          <w:p w14:paraId="7D00A582"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Variación</w:t>
            </w:r>
          </w:p>
        </w:tc>
      </w:tr>
      <w:tr w:rsidR="00472665" w:rsidRPr="00472665" w14:paraId="0C5F8FDE" w14:textId="77777777" w:rsidTr="00251E61">
        <w:trPr>
          <w:jc w:val="center"/>
        </w:trPr>
        <w:tc>
          <w:tcPr>
            <w:tcW w:w="2204" w:type="dxa"/>
            <w:vMerge/>
            <w:shd w:val="clear" w:color="auto" w:fill="auto"/>
            <w:vAlign w:val="center"/>
          </w:tcPr>
          <w:p w14:paraId="00622206" w14:textId="77777777" w:rsidR="00472665" w:rsidRPr="00472665" w:rsidRDefault="00472665" w:rsidP="00472665">
            <w:pPr>
              <w:spacing w:before="20" w:after="20"/>
              <w:jc w:val="both"/>
              <w:rPr>
                <w:rFonts w:eastAsia="Times New Roman"/>
                <w:b/>
                <w:sz w:val="18"/>
                <w:szCs w:val="20"/>
              </w:rPr>
            </w:pPr>
          </w:p>
        </w:tc>
        <w:tc>
          <w:tcPr>
            <w:tcW w:w="1199" w:type="dxa"/>
            <w:vMerge/>
            <w:shd w:val="clear" w:color="auto" w:fill="auto"/>
            <w:vAlign w:val="center"/>
          </w:tcPr>
          <w:p w14:paraId="4FC001AB" w14:textId="77777777" w:rsidR="00472665" w:rsidRPr="00472665" w:rsidRDefault="00472665" w:rsidP="00472665">
            <w:pPr>
              <w:spacing w:before="20" w:after="20"/>
              <w:jc w:val="both"/>
              <w:rPr>
                <w:rFonts w:eastAsia="Times New Roman"/>
                <w:b/>
                <w:sz w:val="18"/>
                <w:szCs w:val="20"/>
              </w:rPr>
            </w:pPr>
          </w:p>
        </w:tc>
        <w:tc>
          <w:tcPr>
            <w:tcW w:w="1134" w:type="dxa"/>
            <w:vMerge/>
            <w:shd w:val="clear" w:color="auto" w:fill="auto"/>
            <w:vAlign w:val="center"/>
          </w:tcPr>
          <w:p w14:paraId="140CCD86" w14:textId="77777777" w:rsidR="00472665" w:rsidRPr="00472665" w:rsidRDefault="00472665" w:rsidP="00472665">
            <w:pPr>
              <w:spacing w:before="20" w:after="20"/>
              <w:jc w:val="center"/>
              <w:rPr>
                <w:rFonts w:eastAsia="Times New Roman"/>
                <w:b/>
                <w:sz w:val="18"/>
                <w:szCs w:val="20"/>
              </w:rPr>
            </w:pPr>
          </w:p>
        </w:tc>
        <w:tc>
          <w:tcPr>
            <w:tcW w:w="1179" w:type="dxa"/>
            <w:shd w:val="clear" w:color="auto" w:fill="auto"/>
            <w:vAlign w:val="center"/>
          </w:tcPr>
          <w:p w14:paraId="4A354BB8"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Unidades</w:t>
            </w:r>
          </w:p>
        </w:tc>
        <w:tc>
          <w:tcPr>
            <w:tcW w:w="1134" w:type="dxa"/>
            <w:shd w:val="clear" w:color="auto" w:fill="auto"/>
            <w:vAlign w:val="center"/>
          </w:tcPr>
          <w:p w14:paraId="79A6BAF7"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Porcentaje</w:t>
            </w:r>
          </w:p>
        </w:tc>
      </w:tr>
      <w:tr w:rsidR="00472665" w:rsidRPr="00472665" w14:paraId="036195E4" w14:textId="77777777" w:rsidTr="00251E61">
        <w:trPr>
          <w:jc w:val="center"/>
        </w:trPr>
        <w:tc>
          <w:tcPr>
            <w:tcW w:w="2204" w:type="dxa"/>
            <w:tcBorders>
              <w:bottom w:val="single" w:sz="4" w:space="0" w:color="auto"/>
            </w:tcBorders>
            <w:shd w:val="clear" w:color="auto" w:fill="auto"/>
            <w:vAlign w:val="center"/>
          </w:tcPr>
          <w:p w14:paraId="491EEE1F"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Subcompactos</w:t>
            </w:r>
          </w:p>
        </w:tc>
        <w:tc>
          <w:tcPr>
            <w:tcW w:w="1199" w:type="dxa"/>
            <w:tcBorders>
              <w:bottom w:val="single" w:sz="4" w:space="0" w:color="auto"/>
            </w:tcBorders>
            <w:shd w:val="clear" w:color="auto" w:fill="auto"/>
            <w:vAlign w:val="center"/>
          </w:tcPr>
          <w:p w14:paraId="42A1F720"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28 346</w:t>
            </w:r>
          </w:p>
        </w:tc>
        <w:tc>
          <w:tcPr>
            <w:tcW w:w="1134" w:type="dxa"/>
            <w:tcBorders>
              <w:bottom w:val="single" w:sz="4" w:space="0" w:color="auto"/>
            </w:tcBorders>
            <w:shd w:val="clear" w:color="auto" w:fill="auto"/>
            <w:vAlign w:val="center"/>
          </w:tcPr>
          <w:p w14:paraId="5A9254A0"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38 106</w:t>
            </w:r>
          </w:p>
        </w:tc>
        <w:tc>
          <w:tcPr>
            <w:tcW w:w="1179" w:type="dxa"/>
            <w:tcBorders>
              <w:bottom w:val="single" w:sz="4" w:space="0" w:color="auto"/>
            </w:tcBorders>
            <w:shd w:val="clear" w:color="auto" w:fill="auto"/>
            <w:vAlign w:val="center"/>
          </w:tcPr>
          <w:p w14:paraId="3AC55B56"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9 760</w:t>
            </w:r>
          </w:p>
        </w:tc>
        <w:tc>
          <w:tcPr>
            <w:tcW w:w="1134" w:type="dxa"/>
            <w:tcBorders>
              <w:bottom w:val="single" w:sz="4" w:space="0" w:color="auto"/>
            </w:tcBorders>
            <w:shd w:val="clear" w:color="auto" w:fill="auto"/>
            <w:vAlign w:val="center"/>
          </w:tcPr>
          <w:p w14:paraId="404DCA95"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34.4</w:t>
            </w:r>
          </w:p>
        </w:tc>
      </w:tr>
      <w:tr w:rsidR="00472665" w:rsidRPr="00472665" w14:paraId="2C98A369" w14:textId="77777777" w:rsidTr="00251E61">
        <w:trPr>
          <w:jc w:val="center"/>
        </w:trPr>
        <w:tc>
          <w:tcPr>
            <w:tcW w:w="2204" w:type="dxa"/>
            <w:shd w:val="clear" w:color="auto" w:fill="auto"/>
            <w:vAlign w:val="center"/>
          </w:tcPr>
          <w:p w14:paraId="51C0048C"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Compactos</w:t>
            </w:r>
          </w:p>
        </w:tc>
        <w:tc>
          <w:tcPr>
            <w:tcW w:w="1199" w:type="dxa"/>
            <w:shd w:val="clear" w:color="auto" w:fill="auto"/>
            <w:vAlign w:val="center"/>
          </w:tcPr>
          <w:p w14:paraId="4E7B5BF4"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21 553</w:t>
            </w:r>
          </w:p>
        </w:tc>
        <w:tc>
          <w:tcPr>
            <w:tcW w:w="1134" w:type="dxa"/>
            <w:shd w:val="clear" w:color="auto" w:fill="auto"/>
            <w:vAlign w:val="center"/>
          </w:tcPr>
          <w:p w14:paraId="6D838B76"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25 136</w:t>
            </w:r>
          </w:p>
        </w:tc>
        <w:tc>
          <w:tcPr>
            <w:tcW w:w="1179" w:type="dxa"/>
            <w:shd w:val="clear" w:color="auto" w:fill="auto"/>
            <w:vAlign w:val="center"/>
          </w:tcPr>
          <w:p w14:paraId="6A8A1651"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3 583</w:t>
            </w:r>
          </w:p>
        </w:tc>
        <w:tc>
          <w:tcPr>
            <w:tcW w:w="1134" w:type="dxa"/>
            <w:shd w:val="clear" w:color="auto" w:fill="auto"/>
            <w:vAlign w:val="center"/>
          </w:tcPr>
          <w:p w14:paraId="4E87035B"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16.6</w:t>
            </w:r>
          </w:p>
        </w:tc>
      </w:tr>
      <w:tr w:rsidR="00472665" w:rsidRPr="00472665" w14:paraId="2551A0DA" w14:textId="77777777" w:rsidTr="00251E61">
        <w:trPr>
          <w:jc w:val="center"/>
        </w:trPr>
        <w:tc>
          <w:tcPr>
            <w:tcW w:w="2204" w:type="dxa"/>
            <w:tcBorders>
              <w:bottom w:val="single" w:sz="4" w:space="0" w:color="auto"/>
            </w:tcBorders>
            <w:shd w:val="clear" w:color="auto" w:fill="auto"/>
            <w:vAlign w:val="center"/>
          </w:tcPr>
          <w:p w14:paraId="76C1B574"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De lujo</w:t>
            </w:r>
          </w:p>
        </w:tc>
        <w:tc>
          <w:tcPr>
            <w:tcW w:w="1199" w:type="dxa"/>
            <w:tcBorders>
              <w:bottom w:val="single" w:sz="4" w:space="0" w:color="auto"/>
            </w:tcBorders>
            <w:shd w:val="clear" w:color="auto" w:fill="auto"/>
            <w:vAlign w:val="center"/>
          </w:tcPr>
          <w:p w14:paraId="005B19D5"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5 232</w:t>
            </w:r>
          </w:p>
        </w:tc>
        <w:tc>
          <w:tcPr>
            <w:tcW w:w="1134" w:type="dxa"/>
            <w:tcBorders>
              <w:bottom w:val="single" w:sz="4" w:space="0" w:color="auto"/>
            </w:tcBorders>
            <w:shd w:val="clear" w:color="auto" w:fill="auto"/>
            <w:vAlign w:val="center"/>
          </w:tcPr>
          <w:p w14:paraId="41FAA911"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5 339</w:t>
            </w:r>
          </w:p>
        </w:tc>
        <w:tc>
          <w:tcPr>
            <w:tcW w:w="1179" w:type="dxa"/>
            <w:tcBorders>
              <w:bottom w:val="single" w:sz="4" w:space="0" w:color="auto"/>
            </w:tcBorders>
            <w:shd w:val="clear" w:color="auto" w:fill="auto"/>
            <w:vAlign w:val="center"/>
          </w:tcPr>
          <w:p w14:paraId="4834BCDB"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107</w:t>
            </w:r>
          </w:p>
        </w:tc>
        <w:tc>
          <w:tcPr>
            <w:tcW w:w="1134" w:type="dxa"/>
            <w:tcBorders>
              <w:bottom w:val="single" w:sz="4" w:space="0" w:color="auto"/>
            </w:tcBorders>
            <w:shd w:val="clear" w:color="auto" w:fill="auto"/>
            <w:vAlign w:val="center"/>
          </w:tcPr>
          <w:p w14:paraId="2A3DF0F5"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2.0</w:t>
            </w:r>
          </w:p>
        </w:tc>
      </w:tr>
      <w:tr w:rsidR="00472665" w:rsidRPr="00472665" w14:paraId="4219E6DA" w14:textId="77777777" w:rsidTr="00251E61">
        <w:trPr>
          <w:jc w:val="center"/>
        </w:trPr>
        <w:tc>
          <w:tcPr>
            <w:tcW w:w="2204" w:type="dxa"/>
            <w:shd w:val="clear" w:color="auto" w:fill="auto"/>
            <w:vAlign w:val="center"/>
          </w:tcPr>
          <w:p w14:paraId="4794875D"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Deportivos</w:t>
            </w:r>
          </w:p>
        </w:tc>
        <w:tc>
          <w:tcPr>
            <w:tcW w:w="1199" w:type="dxa"/>
            <w:shd w:val="clear" w:color="auto" w:fill="auto"/>
            <w:vAlign w:val="center"/>
          </w:tcPr>
          <w:p w14:paraId="2819CF28"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452</w:t>
            </w:r>
          </w:p>
        </w:tc>
        <w:tc>
          <w:tcPr>
            <w:tcW w:w="1134" w:type="dxa"/>
            <w:shd w:val="clear" w:color="auto" w:fill="auto"/>
            <w:vAlign w:val="center"/>
          </w:tcPr>
          <w:p w14:paraId="012CF93E"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755</w:t>
            </w:r>
          </w:p>
        </w:tc>
        <w:tc>
          <w:tcPr>
            <w:tcW w:w="1179" w:type="dxa"/>
            <w:shd w:val="clear" w:color="auto" w:fill="auto"/>
            <w:vAlign w:val="center"/>
          </w:tcPr>
          <w:p w14:paraId="35626C7B"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303</w:t>
            </w:r>
          </w:p>
        </w:tc>
        <w:tc>
          <w:tcPr>
            <w:tcW w:w="1134" w:type="dxa"/>
            <w:shd w:val="clear" w:color="auto" w:fill="auto"/>
            <w:vAlign w:val="center"/>
          </w:tcPr>
          <w:p w14:paraId="1BE883ED"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67.0</w:t>
            </w:r>
          </w:p>
        </w:tc>
      </w:tr>
      <w:tr w:rsidR="00472665" w:rsidRPr="00472665" w14:paraId="581E26D9" w14:textId="77777777" w:rsidTr="00251E61">
        <w:trPr>
          <w:jc w:val="center"/>
        </w:trPr>
        <w:tc>
          <w:tcPr>
            <w:tcW w:w="2204" w:type="dxa"/>
            <w:tcBorders>
              <w:bottom w:val="single" w:sz="4" w:space="0" w:color="auto"/>
            </w:tcBorders>
            <w:shd w:val="clear" w:color="auto" w:fill="auto"/>
            <w:vAlign w:val="center"/>
          </w:tcPr>
          <w:p w14:paraId="76BA052B" w14:textId="0B595A0A" w:rsidR="00472665" w:rsidRPr="00472665" w:rsidRDefault="00472665" w:rsidP="00A871F8">
            <w:pPr>
              <w:spacing w:before="20" w:after="20"/>
              <w:jc w:val="both"/>
              <w:rPr>
                <w:rFonts w:eastAsia="Times New Roman"/>
                <w:sz w:val="18"/>
                <w:szCs w:val="20"/>
              </w:rPr>
            </w:pPr>
            <w:r w:rsidRPr="00472665">
              <w:rPr>
                <w:rFonts w:eastAsia="Times New Roman"/>
                <w:sz w:val="18"/>
                <w:szCs w:val="20"/>
              </w:rPr>
              <w:t>Uso múltiple</w:t>
            </w:r>
          </w:p>
        </w:tc>
        <w:tc>
          <w:tcPr>
            <w:tcW w:w="1199" w:type="dxa"/>
            <w:tcBorders>
              <w:bottom w:val="single" w:sz="4" w:space="0" w:color="auto"/>
            </w:tcBorders>
            <w:shd w:val="clear" w:color="auto" w:fill="auto"/>
            <w:vAlign w:val="center"/>
          </w:tcPr>
          <w:p w14:paraId="596549DE"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17 611</w:t>
            </w:r>
          </w:p>
        </w:tc>
        <w:tc>
          <w:tcPr>
            <w:tcW w:w="1134" w:type="dxa"/>
            <w:tcBorders>
              <w:bottom w:val="single" w:sz="4" w:space="0" w:color="auto"/>
            </w:tcBorders>
            <w:shd w:val="clear" w:color="auto" w:fill="auto"/>
            <w:vAlign w:val="center"/>
          </w:tcPr>
          <w:p w14:paraId="1DCF9E3F"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20 566</w:t>
            </w:r>
          </w:p>
        </w:tc>
        <w:tc>
          <w:tcPr>
            <w:tcW w:w="1179" w:type="dxa"/>
            <w:tcBorders>
              <w:bottom w:val="single" w:sz="4" w:space="0" w:color="auto"/>
            </w:tcBorders>
            <w:shd w:val="clear" w:color="auto" w:fill="auto"/>
            <w:vAlign w:val="center"/>
          </w:tcPr>
          <w:p w14:paraId="40F68D23"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2 955</w:t>
            </w:r>
          </w:p>
        </w:tc>
        <w:tc>
          <w:tcPr>
            <w:tcW w:w="1134" w:type="dxa"/>
            <w:tcBorders>
              <w:bottom w:val="single" w:sz="4" w:space="0" w:color="auto"/>
            </w:tcBorders>
            <w:shd w:val="clear" w:color="auto" w:fill="auto"/>
            <w:vAlign w:val="center"/>
          </w:tcPr>
          <w:p w14:paraId="4D913EAC"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16.8</w:t>
            </w:r>
          </w:p>
        </w:tc>
      </w:tr>
      <w:tr w:rsidR="00472665" w:rsidRPr="00472665" w14:paraId="340AEFBB" w14:textId="77777777" w:rsidTr="00251E61">
        <w:trPr>
          <w:jc w:val="center"/>
        </w:trPr>
        <w:tc>
          <w:tcPr>
            <w:tcW w:w="2204" w:type="dxa"/>
            <w:shd w:val="clear" w:color="auto" w:fill="auto"/>
            <w:vAlign w:val="center"/>
          </w:tcPr>
          <w:p w14:paraId="17C52EEC"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Camiones ligeros</w:t>
            </w:r>
          </w:p>
        </w:tc>
        <w:tc>
          <w:tcPr>
            <w:tcW w:w="1199" w:type="dxa"/>
            <w:shd w:val="clear" w:color="auto" w:fill="auto"/>
            <w:vAlign w:val="center"/>
          </w:tcPr>
          <w:p w14:paraId="02A5D048"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12 385</w:t>
            </w:r>
          </w:p>
        </w:tc>
        <w:tc>
          <w:tcPr>
            <w:tcW w:w="1134" w:type="dxa"/>
            <w:shd w:val="clear" w:color="auto" w:fill="auto"/>
            <w:vAlign w:val="center"/>
          </w:tcPr>
          <w:p w14:paraId="2E3404A4"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14 875</w:t>
            </w:r>
          </w:p>
        </w:tc>
        <w:tc>
          <w:tcPr>
            <w:tcW w:w="1179" w:type="dxa"/>
            <w:shd w:val="clear" w:color="auto" w:fill="auto"/>
            <w:vAlign w:val="center"/>
          </w:tcPr>
          <w:p w14:paraId="1CA2E10C"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2 490</w:t>
            </w:r>
          </w:p>
        </w:tc>
        <w:tc>
          <w:tcPr>
            <w:tcW w:w="1134" w:type="dxa"/>
            <w:shd w:val="clear" w:color="auto" w:fill="auto"/>
            <w:vAlign w:val="center"/>
          </w:tcPr>
          <w:p w14:paraId="2FA04F32"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20.1</w:t>
            </w:r>
          </w:p>
        </w:tc>
      </w:tr>
      <w:tr w:rsidR="00472665" w:rsidRPr="00472665" w14:paraId="3BDBB31F" w14:textId="77777777" w:rsidTr="00251E61">
        <w:trPr>
          <w:jc w:val="center"/>
        </w:trPr>
        <w:tc>
          <w:tcPr>
            <w:tcW w:w="2204" w:type="dxa"/>
            <w:tcBorders>
              <w:bottom w:val="single" w:sz="4" w:space="0" w:color="auto"/>
            </w:tcBorders>
            <w:shd w:val="clear" w:color="auto" w:fill="auto"/>
            <w:vAlign w:val="center"/>
          </w:tcPr>
          <w:p w14:paraId="229BA61D"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Camiones pesados*</w:t>
            </w:r>
          </w:p>
        </w:tc>
        <w:tc>
          <w:tcPr>
            <w:tcW w:w="1199" w:type="dxa"/>
            <w:tcBorders>
              <w:bottom w:val="single" w:sz="4" w:space="0" w:color="auto"/>
            </w:tcBorders>
            <w:shd w:val="clear" w:color="auto" w:fill="auto"/>
            <w:vAlign w:val="center"/>
          </w:tcPr>
          <w:p w14:paraId="48405D75"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103</w:t>
            </w:r>
          </w:p>
        </w:tc>
        <w:tc>
          <w:tcPr>
            <w:tcW w:w="1134" w:type="dxa"/>
            <w:tcBorders>
              <w:bottom w:val="single" w:sz="4" w:space="0" w:color="auto"/>
            </w:tcBorders>
            <w:shd w:val="clear" w:color="auto" w:fill="auto"/>
            <w:vAlign w:val="center"/>
          </w:tcPr>
          <w:p w14:paraId="684E30D0" w14:textId="77777777" w:rsidR="00472665" w:rsidRPr="00472665" w:rsidRDefault="00472665" w:rsidP="00472665">
            <w:pPr>
              <w:spacing w:before="20" w:after="20"/>
              <w:ind w:left="-1554" w:right="170"/>
              <w:jc w:val="right"/>
              <w:rPr>
                <w:rFonts w:eastAsia="Times New Roman"/>
                <w:sz w:val="18"/>
                <w:szCs w:val="20"/>
              </w:rPr>
            </w:pPr>
            <w:r w:rsidRPr="00472665">
              <w:rPr>
                <w:rFonts w:eastAsia="Times New Roman"/>
                <w:sz w:val="18"/>
                <w:szCs w:val="20"/>
              </w:rPr>
              <w:t>125</w:t>
            </w:r>
          </w:p>
        </w:tc>
        <w:tc>
          <w:tcPr>
            <w:tcW w:w="1179" w:type="dxa"/>
            <w:tcBorders>
              <w:bottom w:val="single" w:sz="4" w:space="0" w:color="auto"/>
            </w:tcBorders>
            <w:shd w:val="clear" w:color="auto" w:fill="auto"/>
            <w:vAlign w:val="center"/>
          </w:tcPr>
          <w:p w14:paraId="1AB37734"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22</w:t>
            </w:r>
          </w:p>
        </w:tc>
        <w:tc>
          <w:tcPr>
            <w:tcW w:w="1134" w:type="dxa"/>
            <w:tcBorders>
              <w:bottom w:val="single" w:sz="4" w:space="0" w:color="auto"/>
            </w:tcBorders>
            <w:shd w:val="clear" w:color="auto" w:fill="auto"/>
            <w:vAlign w:val="center"/>
          </w:tcPr>
          <w:p w14:paraId="71F0BEFC" w14:textId="77777777" w:rsidR="00472665" w:rsidRPr="00472665" w:rsidRDefault="00472665" w:rsidP="00472665">
            <w:pPr>
              <w:spacing w:before="20" w:after="20"/>
              <w:ind w:left="-1554" w:right="227"/>
              <w:jc w:val="right"/>
              <w:rPr>
                <w:rFonts w:eastAsia="Times New Roman"/>
                <w:sz w:val="18"/>
                <w:szCs w:val="20"/>
              </w:rPr>
            </w:pPr>
            <w:r w:rsidRPr="00472665">
              <w:rPr>
                <w:rFonts w:eastAsia="Times New Roman"/>
                <w:sz w:val="18"/>
                <w:szCs w:val="20"/>
              </w:rPr>
              <w:t>21.4</w:t>
            </w:r>
          </w:p>
        </w:tc>
      </w:tr>
      <w:tr w:rsidR="00472665" w:rsidRPr="00472665" w14:paraId="7EE15041" w14:textId="77777777" w:rsidTr="00251E61">
        <w:trPr>
          <w:jc w:val="center"/>
        </w:trPr>
        <w:tc>
          <w:tcPr>
            <w:tcW w:w="2204" w:type="dxa"/>
            <w:tcBorders>
              <w:bottom w:val="single" w:sz="4" w:space="0" w:color="auto"/>
            </w:tcBorders>
            <w:shd w:val="clear" w:color="auto" w:fill="auto"/>
            <w:vAlign w:val="center"/>
          </w:tcPr>
          <w:p w14:paraId="7673838D" w14:textId="77777777" w:rsidR="00472665" w:rsidRPr="00472665" w:rsidRDefault="00472665" w:rsidP="00472665">
            <w:pPr>
              <w:spacing w:before="20" w:after="20"/>
              <w:jc w:val="both"/>
              <w:rPr>
                <w:rFonts w:eastAsia="Times New Roman"/>
                <w:b/>
                <w:sz w:val="18"/>
                <w:szCs w:val="20"/>
              </w:rPr>
            </w:pPr>
            <w:r w:rsidRPr="00472665">
              <w:rPr>
                <w:rFonts w:eastAsia="Times New Roman"/>
                <w:b/>
                <w:sz w:val="18"/>
                <w:szCs w:val="20"/>
              </w:rPr>
              <w:t>Total</w:t>
            </w:r>
          </w:p>
        </w:tc>
        <w:tc>
          <w:tcPr>
            <w:tcW w:w="1199" w:type="dxa"/>
            <w:tcBorders>
              <w:bottom w:val="single" w:sz="4" w:space="0" w:color="auto"/>
            </w:tcBorders>
            <w:shd w:val="clear" w:color="auto" w:fill="auto"/>
            <w:vAlign w:val="center"/>
          </w:tcPr>
          <w:p w14:paraId="488AA984" w14:textId="77777777" w:rsidR="00472665" w:rsidRPr="00472665" w:rsidRDefault="00472665" w:rsidP="00472665">
            <w:pPr>
              <w:spacing w:before="20" w:after="20"/>
              <w:ind w:left="-1554" w:right="170"/>
              <w:jc w:val="right"/>
              <w:rPr>
                <w:rFonts w:eastAsia="Times New Roman"/>
                <w:b/>
                <w:sz w:val="18"/>
                <w:szCs w:val="20"/>
              </w:rPr>
            </w:pPr>
            <w:r w:rsidRPr="00472665">
              <w:rPr>
                <w:rFonts w:eastAsia="Times New Roman"/>
                <w:b/>
                <w:sz w:val="18"/>
                <w:szCs w:val="20"/>
              </w:rPr>
              <w:t>85 682</w:t>
            </w:r>
          </w:p>
        </w:tc>
        <w:tc>
          <w:tcPr>
            <w:tcW w:w="1134" w:type="dxa"/>
            <w:tcBorders>
              <w:bottom w:val="single" w:sz="4" w:space="0" w:color="auto"/>
            </w:tcBorders>
            <w:shd w:val="clear" w:color="auto" w:fill="auto"/>
            <w:vAlign w:val="center"/>
          </w:tcPr>
          <w:p w14:paraId="0A95F902" w14:textId="77777777" w:rsidR="00472665" w:rsidRPr="00472665" w:rsidRDefault="00472665" w:rsidP="00472665">
            <w:pPr>
              <w:spacing w:before="20" w:after="20"/>
              <w:ind w:left="-1554" w:right="170"/>
              <w:jc w:val="right"/>
              <w:rPr>
                <w:rFonts w:eastAsia="Times New Roman"/>
                <w:b/>
                <w:sz w:val="18"/>
                <w:szCs w:val="20"/>
              </w:rPr>
            </w:pPr>
            <w:r w:rsidRPr="00472665">
              <w:rPr>
                <w:rFonts w:eastAsia="Times New Roman"/>
                <w:b/>
                <w:sz w:val="18"/>
                <w:szCs w:val="20"/>
              </w:rPr>
              <w:t>104 902</w:t>
            </w:r>
          </w:p>
        </w:tc>
        <w:tc>
          <w:tcPr>
            <w:tcW w:w="1179" w:type="dxa"/>
            <w:tcBorders>
              <w:bottom w:val="single" w:sz="4" w:space="0" w:color="auto"/>
            </w:tcBorders>
            <w:shd w:val="clear" w:color="auto" w:fill="auto"/>
            <w:vAlign w:val="center"/>
          </w:tcPr>
          <w:p w14:paraId="367E8337" w14:textId="77777777" w:rsidR="00472665" w:rsidRPr="00472665" w:rsidRDefault="00472665" w:rsidP="00472665">
            <w:pPr>
              <w:spacing w:before="20" w:after="20"/>
              <w:ind w:left="-1554" w:right="227"/>
              <w:jc w:val="right"/>
              <w:rPr>
                <w:rFonts w:eastAsia="Times New Roman"/>
                <w:b/>
                <w:sz w:val="18"/>
                <w:szCs w:val="20"/>
              </w:rPr>
            </w:pPr>
            <w:r w:rsidRPr="00472665">
              <w:rPr>
                <w:rFonts w:eastAsia="Times New Roman"/>
                <w:b/>
                <w:sz w:val="18"/>
                <w:szCs w:val="20"/>
              </w:rPr>
              <w:t>19 220</w:t>
            </w:r>
          </w:p>
        </w:tc>
        <w:tc>
          <w:tcPr>
            <w:tcW w:w="1134" w:type="dxa"/>
            <w:tcBorders>
              <w:bottom w:val="single" w:sz="4" w:space="0" w:color="auto"/>
            </w:tcBorders>
            <w:shd w:val="clear" w:color="auto" w:fill="auto"/>
            <w:vAlign w:val="center"/>
          </w:tcPr>
          <w:p w14:paraId="2E7CA561" w14:textId="77777777" w:rsidR="00472665" w:rsidRPr="00472665" w:rsidRDefault="00472665" w:rsidP="00472665">
            <w:pPr>
              <w:spacing w:before="20" w:after="20"/>
              <w:ind w:left="-1554" w:right="227"/>
              <w:jc w:val="right"/>
              <w:rPr>
                <w:rFonts w:eastAsia="Times New Roman"/>
                <w:b/>
                <w:sz w:val="18"/>
                <w:szCs w:val="20"/>
              </w:rPr>
            </w:pPr>
            <w:r w:rsidRPr="00472665">
              <w:rPr>
                <w:rFonts w:eastAsia="Times New Roman"/>
                <w:b/>
                <w:sz w:val="18"/>
                <w:szCs w:val="20"/>
              </w:rPr>
              <w:t>22.4</w:t>
            </w:r>
          </w:p>
        </w:tc>
      </w:tr>
      <w:tr w:rsidR="00472665" w:rsidRPr="00472665" w14:paraId="6E8E6585" w14:textId="77777777" w:rsidTr="00251E61">
        <w:trPr>
          <w:jc w:val="center"/>
        </w:trPr>
        <w:tc>
          <w:tcPr>
            <w:tcW w:w="6850" w:type="dxa"/>
            <w:gridSpan w:val="5"/>
            <w:tcBorders>
              <w:left w:val="nil"/>
              <w:bottom w:val="nil"/>
              <w:right w:val="nil"/>
            </w:tcBorders>
            <w:shd w:val="clear" w:color="auto" w:fill="auto"/>
            <w:vAlign w:val="center"/>
          </w:tcPr>
          <w:p w14:paraId="24D0BB89" w14:textId="77777777" w:rsidR="00472665" w:rsidRPr="00472665" w:rsidRDefault="00472665" w:rsidP="00472665">
            <w:pPr>
              <w:ind w:left="-45"/>
              <w:rPr>
                <w:rFonts w:eastAsia="Times New Roman"/>
                <w:sz w:val="20"/>
                <w:szCs w:val="20"/>
              </w:rPr>
            </w:pPr>
            <w:r w:rsidRPr="00472665">
              <w:rPr>
                <w:rFonts w:eastAsia="Times New Roman"/>
                <w:sz w:val="20"/>
                <w:szCs w:val="20"/>
              </w:rPr>
              <w:t>* Camiones pesados incluye: F450, F550.</w:t>
            </w:r>
          </w:p>
          <w:p w14:paraId="76B73C3A" w14:textId="77777777" w:rsidR="00472665" w:rsidRPr="00472665" w:rsidRDefault="00472665" w:rsidP="00472665">
            <w:pPr>
              <w:ind w:right="-159"/>
              <w:jc w:val="both"/>
              <w:rPr>
                <w:rFonts w:eastAsia="Times New Roman"/>
                <w:b/>
                <w:sz w:val="20"/>
                <w:szCs w:val="20"/>
              </w:rPr>
            </w:pPr>
            <w:r w:rsidRPr="00472665">
              <w:rPr>
                <w:rFonts w:eastAsia="Times New Roman"/>
                <w:sz w:val="20"/>
                <w:szCs w:val="20"/>
              </w:rPr>
              <w:t>FUENTE: AMDA.</w:t>
            </w:r>
          </w:p>
        </w:tc>
      </w:tr>
    </w:tbl>
    <w:p w14:paraId="67D9813F" w14:textId="77777777" w:rsidR="00472665" w:rsidRDefault="00472665" w:rsidP="00472665">
      <w:pPr>
        <w:spacing w:after="240" w:line="360" w:lineRule="auto"/>
        <w:ind w:right="-159"/>
        <w:jc w:val="both"/>
        <w:rPr>
          <w:rFonts w:eastAsia="Times New Roman"/>
          <w:sz w:val="26"/>
          <w:szCs w:val="26"/>
        </w:rPr>
      </w:pPr>
    </w:p>
    <w:p w14:paraId="7E2DA08B" w14:textId="77777777" w:rsidR="00F20067" w:rsidRPr="00472665" w:rsidRDefault="00F20067" w:rsidP="00472665">
      <w:pPr>
        <w:spacing w:after="240" w:line="360" w:lineRule="auto"/>
        <w:ind w:right="-159"/>
        <w:jc w:val="both"/>
        <w:rPr>
          <w:rFonts w:eastAsia="Times New Roman"/>
          <w:sz w:val="26"/>
          <w:szCs w:val="26"/>
        </w:rPr>
      </w:pPr>
    </w:p>
    <w:p w14:paraId="1E403750" w14:textId="77777777" w:rsidR="00472665" w:rsidRPr="00472665" w:rsidRDefault="00472665" w:rsidP="00472665">
      <w:pPr>
        <w:spacing w:after="360" w:line="360" w:lineRule="auto"/>
        <w:ind w:right="-159"/>
        <w:jc w:val="both"/>
        <w:rPr>
          <w:rFonts w:eastAsia="Times New Roman"/>
          <w:sz w:val="26"/>
          <w:szCs w:val="26"/>
        </w:rPr>
      </w:pPr>
      <w:r w:rsidRPr="00472665">
        <w:rPr>
          <w:rFonts w:eastAsia="Times New Roman"/>
          <w:sz w:val="26"/>
          <w:szCs w:val="26"/>
        </w:rPr>
        <w:lastRenderedPageBreak/>
        <w:t>En marzo de 2015 se registra la segunda tasa positiva en lo que va del año.</w:t>
      </w:r>
    </w:p>
    <w:tbl>
      <w:tblPr>
        <w:tblW w:w="8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1199"/>
        <w:gridCol w:w="1187"/>
        <w:gridCol w:w="1081"/>
        <w:gridCol w:w="1252"/>
        <w:gridCol w:w="1110"/>
        <w:gridCol w:w="1176"/>
      </w:tblGrid>
      <w:tr w:rsidR="00472665" w:rsidRPr="00472665" w14:paraId="499F904D" w14:textId="77777777" w:rsidTr="00251E61">
        <w:trPr>
          <w:jc w:val="center"/>
        </w:trPr>
        <w:tc>
          <w:tcPr>
            <w:tcW w:w="8961" w:type="dxa"/>
            <w:gridSpan w:val="7"/>
            <w:tcBorders>
              <w:top w:val="nil"/>
              <w:left w:val="nil"/>
              <w:right w:val="nil"/>
            </w:tcBorders>
          </w:tcPr>
          <w:p w14:paraId="2096C158" w14:textId="77777777" w:rsidR="00472665" w:rsidRPr="00472665" w:rsidRDefault="00472665" w:rsidP="00472665">
            <w:pPr>
              <w:jc w:val="center"/>
              <w:rPr>
                <w:rFonts w:eastAsia="Times New Roman"/>
                <w:b/>
                <w:sz w:val="22"/>
                <w:szCs w:val="22"/>
              </w:rPr>
            </w:pPr>
            <w:r w:rsidRPr="00472665">
              <w:rPr>
                <w:rFonts w:eastAsia="Times New Roman"/>
                <w:b/>
                <w:sz w:val="22"/>
                <w:szCs w:val="22"/>
              </w:rPr>
              <w:t xml:space="preserve">VEHÍCULOS LIGEROS COMERCIALIZADOS </w:t>
            </w:r>
          </w:p>
          <w:p w14:paraId="5284192C" w14:textId="77777777" w:rsidR="00472665" w:rsidRPr="00472665" w:rsidRDefault="00472665" w:rsidP="00472665">
            <w:pPr>
              <w:ind w:right="-159"/>
              <w:jc w:val="center"/>
              <w:rPr>
                <w:rFonts w:eastAsia="Times New Roman"/>
                <w:b/>
                <w:sz w:val="22"/>
                <w:szCs w:val="22"/>
              </w:rPr>
            </w:pPr>
            <w:r w:rsidRPr="00472665">
              <w:rPr>
                <w:rFonts w:eastAsia="Times New Roman"/>
                <w:b/>
                <w:sz w:val="22"/>
                <w:szCs w:val="22"/>
              </w:rPr>
              <w:t>DE ENERO A MARZO DE 2015 Y 2014</w:t>
            </w:r>
          </w:p>
          <w:p w14:paraId="30C67C69" w14:textId="77777777" w:rsidR="00472665" w:rsidRPr="00472665" w:rsidRDefault="00472665" w:rsidP="00472665">
            <w:pPr>
              <w:ind w:right="-159"/>
              <w:jc w:val="center"/>
              <w:rPr>
                <w:rFonts w:eastAsia="Times New Roman"/>
                <w:sz w:val="26"/>
                <w:szCs w:val="26"/>
                <w:lang w:val="es-ES"/>
              </w:rPr>
            </w:pPr>
            <w:r w:rsidRPr="00472665">
              <w:rPr>
                <w:rFonts w:eastAsia="Times New Roman"/>
                <w:b/>
                <w:sz w:val="22"/>
                <w:szCs w:val="22"/>
              </w:rPr>
              <w:t>-Ventas totales de vehículos ligeros en el país-</w:t>
            </w:r>
          </w:p>
        </w:tc>
      </w:tr>
      <w:tr w:rsidR="00472665" w:rsidRPr="00472665" w14:paraId="69718C86" w14:textId="77777777" w:rsidTr="00251E61">
        <w:trPr>
          <w:jc w:val="center"/>
        </w:trPr>
        <w:tc>
          <w:tcPr>
            <w:tcW w:w="1956" w:type="dxa"/>
            <w:vMerge w:val="restart"/>
            <w:shd w:val="clear" w:color="auto" w:fill="auto"/>
            <w:vAlign w:val="center"/>
          </w:tcPr>
          <w:p w14:paraId="096FB0BE"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Segmento</w:t>
            </w:r>
          </w:p>
        </w:tc>
        <w:tc>
          <w:tcPr>
            <w:tcW w:w="1199" w:type="dxa"/>
            <w:vMerge w:val="restart"/>
            <w:shd w:val="clear" w:color="auto" w:fill="auto"/>
            <w:vAlign w:val="center"/>
          </w:tcPr>
          <w:p w14:paraId="1CDC298A"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2014</w:t>
            </w:r>
          </w:p>
        </w:tc>
        <w:tc>
          <w:tcPr>
            <w:tcW w:w="1187" w:type="dxa"/>
            <w:vMerge w:val="restart"/>
            <w:vAlign w:val="center"/>
          </w:tcPr>
          <w:p w14:paraId="453255AB"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Estructura</w:t>
            </w:r>
          </w:p>
          <w:p w14:paraId="370D665A"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w:t>
            </w:r>
          </w:p>
        </w:tc>
        <w:tc>
          <w:tcPr>
            <w:tcW w:w="1081" w:type="dxa"/>
            <w:vMerge w:val="restart"/>
            <w:shd w:val="clear" w:color="auto" w:fill="auto"/>
            <w:vAlign w:val="center"/>
          </w:tcPr>
          <w:p w14:paraId="181C4D62"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2015</w:t>
            </w:r>
          </w:p>
        </w:tc>
        <w:tc>
          <w:tcPr>
            <w:tcW w:w="1252" w:type="dxa"/>
            <w:vMerge w:val="restart"/>
            <w:vAlign w:val="center"/>
          </w:tcPr>
          <w:p w14:paraId="10D17568"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Estructura</w:t>
            </w:r>
          </w:p>
          <w:p w14:paraId="4E91D13A"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w:t>
            </w:r>
          </w:p>
        </w:tc>
        <w:tc>
          <w:tcPr>
            <w:tcW w:w="2286" w:type="dxa"/>
            <w:gridSpan w:val="2"/>
            <w:shd w:val="clear" w:color="auto" w:fill="auto"/>
            <w:vAlign w:val="center"/>
          </w:tcPr>
          <w:p w14:paraId="4B146B9F"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Variación</w:t>
            </w:r>
          </w:p>
        </w:tc>
      </w:tr>
      <w:tr w:rsidR="00472665" w:rsidRPr="00472665" w14:paraId="02E412DA" w14:textId="77777777" w:rsidTr="00251E61">
        <w:trPr>
          <w:jc w:val="center"/>
        </w:trPr>
        <w:tc>
          <w:tcPr>
            <w:tcW w:w="1956" w:type="dxa"/>
            <w:vMerge/>
            <w:shd w:val="clear" w:color="auto" w:fill="auto"/>
            <w:vAlign w:val="center"/>
          </w:tcPr>
          <w:p w14:paraId="4428E1BF" w14:textId="77777777" w:rsidR="00472665" w:rsidRPr="00472665" w:rsidRDefault="00472665" w:rsidP="00472665">
            <w:pPr>
              <w:spacing w:before="20" w:after="20"/>
              <w:jc w:val="center"/>
              <w:rPr>
                <w:rFonts w:eastAsia="Times New Roman"/>
                <w:b/>
                <w:sz w:val="18"/>
                <w:szCs w:val="18"/>
              </w:rPr>
            </w:pPr>
          </w:p>
        </w:tc>
        <w:tc>
          <w:tcPr>
            <w:tcW w:w="1199" w:type="dxa"/>
            <w:vMerge/>
            <w:shd w:val="clear" w:color="auto" w:fill="auto"/>
            <w:vAlign w:val="center"/>
          </w:tcPr>
          <w:p w14:paraId="6F6939E5" w14:textId="77777777" w:rsidR="00472665" w:rsidRPr="00472665" w:rsidRDefault="00472665" w:rsidP="00472665">
            <w:pPr>
              <w:spacing w:before="20" w:after="20"/>
              <w:jc w:val="center"/>
              <w:rPr>
                <w:rFonts w:eastAsia="Times New Roman"/>
                <w:b/>
                <w:sz w:val="18"/>
                <w:szCs w:val="18"/>
              </w:rPr>
            </w:pPr>
          </w:p>
        </w:tc>
        <w:tc>
          <w:tcPr>
            <w:tcW w:w="1187" w:type="dxa"/>
            <w:vMerge/>
            <w:vAlign w:val="center"/>
          </w:tcPr>
          <w:p w14:paraId="32DEFA68" w14:textId="77777777" w:rsidR="00472665" w:rsidRPr="00472665" w:rsidRDefault="00472665" w:rsidP="00472665">
            <w:pPr>
              <w:spacing w:before="20" w:after="20"/>
              <w:jc w:val="center"/>
              <w:rPr>
                <w:rFonts w:eastAsia="Times New Roman"/>
                <w:b/>
                <w:sz w:val="18"/>
                <w:szCs w:val="18"/>
              </w:rPr>
            </w:pPr>
          </w:p>
        </w:tc>
        <w:tc>
          <w:tcPr>
            <w:tcW w:w="1081" w:type="dxa"/>
            <w:vMerge/>
            <w:shd w:val="clear" w:color="auto" w:fill="auto"/>
            <w:vAlign w:val="center"/>
          </w:tcPr>
          <w:p w14:paraId="2F393722" w14:textId="77777777" w:rsidR="00472665" w:rsidRPr="00472665" w:rsidRDefault="00472665" w:rsidP="00472665">
            <w:pPr>
              <w:spacing w:before="20" w:after="20"/>
              <w:jc w:val="center"/>
              <w:rPr>
                <w:rFonts w:eastAsia="Times New Roman"/>
                <w:b/>
                <w:sz w:val="18"/>
                <w:szCs w:val="18"/>
              </w:rPr>
            </w:pPr>
          </w:p>
        </w:tc>
        <w:tc>
          <w:tcPr>
            <w:tcW w:w="1252" w:type="dxa"/>
            <w:vMerge/>
            <w:vAlign w:val="center"/>
          </w:tcPr>
          <w:p w14:paraId="4104D48A" w14:textId="77777777" w:rsidR="00472665" w:rsidRPr="00472665" w:rsidRDefault="00472665" w:rsidP="00472665">
            <w:pPr>
              <w:spacing w:before="20" w:after="20"/>
              <w:jc w:val="center"/>
              <w:rPr>
                <w:rFonts w:eastAsia="Times New Roman"/>
                <w:b/>
                <w:sz w:val="18"/>
                <w:szCs w:val="18"/>
              </w:rPr>
            </w:pPr>
          </w:p>
        </w:tc>
        <w:tc>
          <w:tcPr>
            <w:tcW w:w="1110" w:type="dxa"/>
            <w:shd w:val="clear" w:color="auto" w:fill="auto"/>
            <w:vAlign w:val="center"/>
          </w:tcPr>
          <w:p w14:paraId="715A8D05"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Absoluta</w:t>
            </w:r>
          </w:p>
        </w:tc>
        <w:tc>
          <w:tcPr>
            <w:tcW w:w="1176" w:type="dxa"/>
            <w:shd w:val="clear" w:color="auto" w:fill="auto"/>
            <w:vAlign w:val="center"/>
          </w:tcPr>
          <w:p w14:paraId="39E0DF52" w14:textId="77777777" w:rsidR="00472665" w:rsidRPr="00472665" w:rsidRDefault="00472665" w:rsidP="00472665">
            <w:pPr>
              <w:spacing w:before="20" w:after="20"/>
              <w:jc w:val="center"/>
              <w:rPr>
                <w:rFonts w:eastAsia="Times New Roman"/>
                <w:b/>
                <w:sz w:val="18"/>
                <w:szCs w:val="18"/>
              </w:rPr>
            </w:pPr>
            <w:r w:rsidRPr="00472665">
              <w:rPr>
                <w:rFonts w:eastAsia="Times New Roman"/>
                <w:b/>
                <w:sz w:val="18"/>
                <w:szCs w:val="18"/>
              </w:rPr>
              <w:t>Relativa (%)</w:t>
            </w:r>
          </w:p>
        </w:tc>
      </w:tr>
      <w:tr w:rsidR="00472665" w:rsidRPr="00472665" w14:paraId="7A289CC3" w14:textId="77777777" w:rsidTr="00251E61">
        <w:trPr>
          <w:jc w:val="center"/>
        </w:trPr>
        <w:tc>
          <w:tcPr>
            <w:tcW w:w="1956" w:type="dxa"/>
            <w:tcBorders>
              <w:bottom w:val="single" w:sz="4" w:space="0" w:color="auto"/>
            </w:tcBorders>
            <w:shd w:val="clear" w:color="auto" w:fill="auto"/>
            <w:vAlign w:val="center"/>
          </w:tcPr>
          <w:p w14:paraId="02B3E24E"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Subcompactos</w:t>
            </w:r>
          </w:p>
        </w:tc>
        <w:tc>
          <w:tcPr>
            <w:tcW w:w="1199" w:type="dxa"/>
            <w:tcBorders>
              <w:bottom w:val="single" w:sz="4" w:space="0" w:color="auto"/>
            </w:tcBorders>
            <w:shd w:val="clear" w:color="auto" w:fill="auto"/>
          </w:tcPr>
          <w:p w14:paraId="49FD8B27"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81 973</w:t>
            </w:r>
          </w:p>
        </w:tc>
        <w:tc>
          <w:tcPr>
            <w:tcW w:w="1187" w:type="dxa"/>
            <w:tcBorders>
              <w:bottom w:val="single" w:sz="4" w:space="0" w:color="auto"/>
            </w:tcBorders>
          </w:tcPr>
          <w:p w14:paraId="1ED02637"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32.6</w:t>
            </w:r>
          </w:p>
        </w:tc>
        <w:tc>
          <w:tcPr>
            <w:tcW w:w="1081" w:type="dxa"/>
            <w:tcBorders>
              <w:bottom w:val="single" w:sz="4" w:space="0" w:color="auto"/>
            </w:tcBorders>
            <w:shd w:val="clear" w:color="auto" w:fill="auto"/>
          </w:tcPr>
          <w:p w14:paraId="3256D004"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110 550</w:t>
            </w:r>
          </w:p>
        </w:tc>
        <w:tc>
          <w:tcPr>
            <w:tcW w:w="1252" w:type="dxa"/>
            <w:tcBorders>
              <w:bottom w:val="single" w:sz="4" w:space="0" w:color="auto"/>
            </w:tcBorders>
          </w:tcPr>
          <w:p w14:paraId="47770098"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36.1</w:t>
            </w:r>
          </w:p>
        </w:tc>
        <w:tc>
          <w:tcPr>
            <w:tcW w:w="1110" w:type="dxa"/>
            <w:tcBorders>
              <w:bottom w:val="single" w:sz="4" w:space="0" w:color="auto"/>
            </w:tcBorders>
            <w:shd w:val="clear" w:color="auto" w:fill="auto"/>
          </w:tcPr>
          <w:p w14:paraId="3B5EAA93"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28 577</w:t>
            </w:r>
          </w:p>
        </w:tc>
        <w:tc>
          <w:tcPr>
            <w:tcW w:w="1176" w:type="dxa"/>
            <w:tcBorders>
              <w:bottom w:val="single" w:sz="4" w:space="0" w:color="auto"/>
            </w:tcBorders>
            <w:shd w:val="clear" w:color="auto" w:fill="auto"/>
          </w:tcPr>
          <w:p w14:paraId="39C29DB3"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34.9</w:t>
            </w:r>
          </w:p>
        </w:tc>
      </w:tr>
      <w:tr w:rsidR="00472665" w:rsidRPr="00472665" w14:paraId="70A17784" w14:textId="77777777" w:rsidTr="00251E61">
        <w:trPr>
          <w:jc w:val="center"/>
        </w:trPr>
        <w:tc>
          <w:tcPr>
            <w:tcW w:w="1956" w:type="dxa"/>
            <w:shd w:val="clear" w:color="auto" w:fill="auto"/>
            <w:vAlign w:val="center"/>
          </w:tcPr>
          <w:p w14:paraId="0312E2A6"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Compactos</w:t>
            </w:r>
          </w:p>
        </w:tc>
        <w:tc>
          <w:tcPr>
            <w:tcW w:w="1199" w:type="dxa"/>
            <w:shd w:val="clear" w:color="auto" w:fill="auto"/>
          </w:tcPr>
          <w:p w14:paraId="068DACE3"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65 730</w:t>
            </w:r>
          </w:p>
        </w:tc>
        <w:tc>
          <w:tcPr>
            <w:tcW w:w="1187" w:type="dxa"/>
          </w:tcPr>
          <w:p w14:paraId="042E24E3"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26.2</w:t>
            </w:r>
          </w:p>
        </w:tc>
        <w:tc>
          <w:tcPr>
            <w:tcW w:w="1081" w:type="dxa"/>
            <w:shd w:val="clear" w:color="auto" w:fill="auto"/>
          </w:tcPr>
          <w:p w14:paraId="7949C735"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77 113</w:t>
            </w:r>
          </w:p>
        </w:tc>
        <w:tc>
          <w:tcPr>
            <w:tcW w:w="1252" w:type="dxa"/>
          </w:tcPr>
          <w:p w14:paraId="1E6C3A64"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25.2</w:t>
            </w:r>
          </w:p>
        </w:tc>
        <w:tc>
          <w:tcPr>
            <w:tcW w:w="1110" w:type="dxa"/>
            <w:shd w:val="clear" w:color="auto" w:fill="auto"/>
          </w:tcPr>
          <w:p w14:paraId="3908BDC2"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11 383</w:t>
            </w:r>
          </w:p>
        </w:tc>
        <w:tc>
          <w:tcPr>
            <w:tcW w:w="1176" w:type="dxa"/>
            <w:shd w:val="clear" w:color="auto" w:fill="auto"/>
          </w:tcPr>
          <w:p w14:paraId="1F64947E"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17.3</w:t>
            </w:r>
          </w:p>
        </w:tc>
      </w:tr>
      <w:tr w:rsidR="00472665" w:rsidRPr="00472665" w14:paraId="5F3C4F49" w14:textId="77777777" w:rsidTr="00251E61">
        <w:trPr>
          <w:jc w:val="center"/>
        </w:trPr>
        <w:tc>
          <w:tcPr>
            <w:tcW w:w="1956" w:type="dxa"/>
            <w:tcBorders>
              <w:bottom w:val="single" w:sz="4" w:space="0" w:color="auto"/>
            </w:tcBorders>
            <w:shd w:val="clear" w:color="auto" w:fill="auto"/>
            <w:vAlign w:val="center"/>
          </w:tcPr>
          <w:p w14:paraId="7D7309AC"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De lujo</w:t>
            </w:r>
          </w:p>
        </w:tc>
        <w:tc>
          <w:tcPr>
            <w:tcW w:w="1199" w:type="dxa"/>
            <w:tcBorders>
              <w:bottom w:val="single" w:sz="4" w:space="0" w:color="auto"/>
            </w:tcBorders>
            <w:shd w:val="clear" w:color="auto" w:fill="auto"/>
          </w:tcPr>
          <w:p w14:paraId="4146FC1A"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14 093</w:t>
            </w:r>
          </w:p>
        </w:tc>
        <w:tc>
          <w:tcPr>
            <w:tcW w:w="1187" w:type="dxa"/>
            <w:tcBorders>
              <w:bottom w:val="single" w:sz="4" w:space="0" w:color="auto"/>
            </w:tcBorders>
          </w:tcPr>
          <w:p w14:paraId="5B424B95"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5.6</w:t>
            </w:r>
          </w:p>
        </w:tc>
        <w:tc>
          <w:tcPr>
            <w:tcW w:w="1081" w:type="dxa"/>
            <w:tcBorders>
              <w:bottom w:val="single" w:sz="4" w:space="0" w:color="auto"/>
            </w:tcBorders>
            <w:shd w:val="clear" w:color="auto" w:fill="auto"/>
          </w:tcPr>
          <w:p w14:paraId="195A80AD"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15 390</w:t>
            </w:r>
          </w:p>
        </w:tc>
        <w:tc>
          <w:tcPr>
            <w:tcW w:w="1252" w:type="dxa"/>
            <w:tcBorders>
              <w:bottom w:val="single" w:sz="4" w:space="0" w:color="auto"/>
            </w:tcBorders>
          </w:tcPr>
          <w:p w14:paraId="400735C1"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5.0</w:t>
            </w:r>
          </w:p>
        </w:tc>
        <w:tc>
          <w:tcPr>
            <w:tcW w:w="1110" w:type="dxa"/>
            <w:tcBorders>
              <w:bottom w:val="single" w:sz="4" w:space="0" w:color="auto"/>
            </w:tcBorders>
            <w:shd w:val="clear" w:color="auto" w:fill="auto"/>
          </w:tcPr>
          <w:p w14:paraId="6FA5FCD6"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1 297</w:t>
            </w:r>
          </w:p>
        </w:tc>
        <w:tc>
          <w:tcPr>
            <w:tcW w:w="1176" w:type="dxa"/>
            <w:tcBorders>
              <w:bottom w:val="single" w:sz="4" w:space="0" w:color="auto"/>
            </w:tcBorders>
            <w:shd w:val="clear" w:color="auto" w:fill="auto"/>
          </w:tcPr>
          <w:p w14:paraId="4DE181C5"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9.2</w:t>
            </w:r>
          </w:p>
        </w:tc>
      </w:tr>
      <w:tr w:rsidR="00472665" w:rsidRPr="00472665" w14:paraId="398196C1" w14:textId="77777777" w:rsidTr="00251E61">
        <w:trPr>
          <w:jc w:val="center"/>
        </w:trPr>
        <w:tc>
          <w:tcPr>
            <w:tcW w:w="1956" w:type="dxa"/>
            <w:shd w:val="clear" w:color="auto" w:fill="auto"/>
            <w:vAlign w:val="center"/>
          </w:tcPr>
          <w:p w14:paraId="27BA92DD"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Deportivos</w:t>
            </w:r>
          </w:p>
        </w:tc>
        <w:tc>
          <w:tcPr>
            <w:tcW w:w="1199" w:type="dxa"/>
            <w:shd w:val="clear" w:color="auto" w:fill="auto"/>
            <w:vAlign w:val="center"/>
          </w:tcPr>
          <w:p w14:paraId="3BA0FEFA"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1 508</w:t>
            </w:r>
          </w:p>
        </w:tc>
        <w:tc>
          <w:tcPr>
            <w:tcW w:w="1187" w:type="dxa"/>
          </w:tcPr>
          <w:p w14:paraId="2A629CBB"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0.6</w:t>
            </w:r>
          </w:p>
        </w:tc>
        <w:tc>
          <w:tcPr>
            <w:tcW w:w="1081" w:type="dxa"/>
            <w:shd w:val="clear" w:color="auto" w:fill="auto"/>
          </w:tcPr>
          <w:p w14:paraId="24237898"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2 335</w:t>
            </w:r>
          </w:p>
        </w:tc>
        <w:tc>
          <w:tcPr>
            <w:tcW w:w="1252" w:type="dxa"/>
          </w:tcPr>
          <w:p w14:paraId="7FD61DB5"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0.8</w:t>
            </w:r>
          </w:p>
        </w:tc>
        <w:tc>
          <w:tcPr>
            <w:tcW w:w="1110" w:type="dxa"/>
            <w:shd w:val="clear" w:color="auto" w:fill="auto"/>
            <w:vAlign w:val="center"/>
          </w:tcPr>
          <w:p w14:paraId="543E9553"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827</w:t>
            </w:r>
          </w:p>
        </w:tc>
        <w:tc>
          <w:tcPr>
            <w:tcW w:w="1176" w:type="dxa"/>
            <w:shd w:val="clear" w:color="auto" w:fill="auto"/>
            <w:vAlign w:val="center"/>
          </w:tcPr>
          <w:p w14:paraId="7FF372A1"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54.8</w:t>
            </w:r>
          </w:p>
        </w:tc>
      </w:tr>
      <w:tr w:rsidR="00472665" w:rsidRPr="00472665" w14:paraId="5E839AEE" w14:textId="77777777" w:rsidTr="00251E61">
        <w:trPr>
          <w:jc w:val="center"/>
        </w:trPr>
        <w:tc>
          <w:tcPr>
            <w:tcW w:w="1956" w:type="dxa"/>
            <w:tcBorders>
              <w:bottom w:val="single" w:sz="4" w:space="0" w:color="auto"/>
            </w:tcBorders>
            <w:shd w:val="clear" w:color="auto" w:fill="auto"/>
            <w:vAlign w:val="center"/>
          </w:tcPr>
          <w:p w14:paraId="3B814527"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Uso múltiple</w:t>
            </w:r>
          </w:p>
        </w:tc>
        <w:tc>
          <w:tcPr>
            <w:tcW w:w="1199" w:type="dxa"/>
            <w:tcBorders>
              <w:bottom w:val="single" w:sz="4" w:space="0" w:color="auto"/>
            </w:tcBorders>
            <w:shd w:val="clear" w:color="auto" w:fill="auto"/>
            <w:vAlign w:val="center"/>
          </w:tcPr>
          <w:p w14:paraId="6946B73E"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52 256</w:t>
            </w:r>
          </w:p>
        </w:tc>
        <w:tc>
          <w:tcPr>
            <w:tcW w:w="1187" w:type="dxa"/>
            <w:tcBorders>
              <w:bottom w:val="single" w:sz="4" w:space="0" w:color="auto"/>
            </w:tcBorders>
          </w:tcPr>
          <w:p w14:paraId="58F0A9B4"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20.8</w:t>
            </w:r>
          </w:p>
        </w:tc>
        <w:tc>
          <w:tcPr>
            <w:tcW w:w="1081" w:type="dxa"/>
            <w:tcBorders>
              <w:bottom w:val="single" w:sz="4" w:space="0" w:color="auto"/>
            </w:tcBorders>
            <w:shd w:val="clear" w:color="auto" w:fill="auto"/>
          </w:tcPr>
          <w:p w14:paraId="23AB329D"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59 789</w:t>
            </w:r>
          </w:p>
        </w:tc>
        <w:tc>
          <w:tcPr>
            <w:tcW w:w="1252" w:type="dxa"/>
            <w:tcBorders>
              <w:bottom w:val="single" w:sz="4" w:space="0" w:color="auto"/>
            </w:tcBorders>
          </w:tcPr>
          <w:p w14:paraId="79C16ACD"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19.5</w:t>
            </w:r>
          </w:p>
        </w:tc>
        <w:tc>
          <w:tcPr>
            <w:tcW w:w="1110" w:type="dxa"/>
            <w:tcBorders>
              <w:bottom w:val="single" w:sz="4" w:space="0" w:color="auto"/>
            </w:tcBorders>
            <w:shd w:val="clear" w:color="auto" w:fill="auto"/>
            <w:vAlign w:val="center"/>
          </w:tcPr>
          <w:p w14:paraId="0C2B3C67"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7 533</w:t>
            </w:r>
          </w:p>
        </w:tc>
        <w:tc>
          <w:tcPr>
            <w:tcW w:w="1176" w:type="dxa"/>
            <w:tcBorders>
              <w:bottom w:val="single" w:sz="4" w:space="0" w:color="auto"/>
            </w:tcBorders>
            <w:shd w:val="clear" w:color="auto" w:fill="auto"/>
            <w:vAlign w:val="center"/>
          </w:tcPr>
          <w:p w14:paraId="71B8EDB1"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14.4</w:t>
            </w:r>
          </w:p>
        </w:tc>
      </w:tr>
      <w:tr w:rsidR="00472665" w:rsidRPr="00472665" w14:paraId="3C36B5B2" w14:textId="77777777" w:rsidTr="00251E61">
        <w:trPr>
          <w:jc w:val="center"/>
        </w:trPr>
        <w:tc>
          <w:tcPr>
            <w:tcW w:w="1956" w:type="dxa"/>
            <w:shd w:val="clear" w:color="auto" w:fill="auto"/>
            <w:vAlign w:val="center"/>
          </w:tcPr>
          <w:p w14:paraId="79DB9192"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Camiones ligeros</w:t>
            </w:r>
          </w:p>
        </w:tc>
        <w:tc>
          <w:tcPr>
            <w:tcW w:w="1199" w:type="dxa"/>
            <w:shd w:val="clear" w:color="auto" w:fill="auto"/>
            <w:vAlign w:val="center"/>
          </w:tcPr>
          <w:p w14:paraId="776C8A91"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35 216</w:t>
            </w:r>
          </w:p>
        </w:tc>
        <w:tc>
          <w:tcPr>
            <w:tcW w:w="1187" w:type="dxa"/>
          </w:tcPr>
          <w:p w14:paraId="1A0CD8AF"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14.0</w:t>
            </w:r>
          </w:p>
        </w:tc>
        <w:tc>
          <w:tcPr>
            <w:tcW w:w="1081" w:type="dxa"/>
            <w:shd w:val="clear" w:color="auto" w:fill="auto"/>
          </w:tcPr>
          <w:p w14:paraId="79E17CB9"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40 611</w:t>
            </w:r>
          </w:p>
        </w:tc>
        <w:tc>
          <w:tcPr>
            <w:tcW w:w="1252" w:type="dxa"/>
          </w:tcPr>
          <w:p w14:paraId="5A7ACC87"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13.3</w:t>
            </w:r>
          </w:p>
        </w:tc>
        <w:tc>
          <w:tcPr>
            <w:tcW w:w="1110" w:type="dxa"/>
            <w:shd w:val="clear" w:color="auto" w:fill="auto"/>
            <w:vAlign w:val="center"/>
          </w:tcPr>
          <w:p w14:paraId="340532AE"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5 395</w:t>
            </w:r>
          </w:p>
        </w:tc>
        <w:tc>
          <w:tcPr>
            <w:tcW w:w="1176" w:type="dxa"/>
            <w:shd w:val="clear" w:color="auto" w:fill="auto"/>
            <w:vAlign w:val="center"/>
          </w:tcPr>
          <w:p w14:paraId="46761CAB"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15.3</w:t>
            </w:r>
          </w:p>
        </w:tc>
      </w:tr>
      <w:tr w:rsidR="00472665" w:rsidRPr="00472665" w14:paraId="612B35AD" w14:textId="77777777" w:rsidTr="00251E61">
        <w:trPr>
          <w:jc w:val="center"/>
        </w:trPr>
        <w:tc>
          <w:tcPr>
            <w:tcW w:w="1956" w:type="dxa"/>
            <w:tcBorders>
              <w:bottom w:val="single" w:sz="4" w:space="0" w:color="auto"/>
            </w:tcBorders>
            <w:shd w:val="clear" w:color="auto" w:fill="auto"/>
            <w:vAlign w:val="center"/>
          </w:tcPr>
          <w:p w14:paraId="19E544E2" w14:textId="77777777" w:rsidR="00472665" w:rsidRPr="00472665" w:rsidRDefault="00472665" w:rsidP="00472665">
            <w:pPr>
              <w:spacing w:before="20" w:after="20"/>
              <w:jc w:val="both"/>
              <w:rPr>
                <w:rFonts w:eastAsia="Times New Roman"/>
                <w:sz w:val="18"/>
                <w:szCs w:val="18"/>
              </w:rPr>
            </w:pPr>
            <w:r w:rsidRPr="00472665">
              <w:rPr>
                <w:rFonts w:eastAsia="Times New Roman"/>
                <w:sz w:val="18"/>
                <w:szCs w:val="18"/>
              </w:rPr>
              <w:t>Camiones pesados*</w:t>
            </w:r>
          </w:p>
        </w:tc>
        <w:tc>
          <w:tcPr>
            <w:tcW w:w="1199" w:type="dxa"/>
            <w:tcBorders>
              <w:bottom w:val="single" w:sz="4" w:space="0" w:color="auto"/>
            </w:tcBorders>
            <w:shd w:val="clear" w:color="auto" w:fill="auto"/>
            <w:vAlign w:val="center"/>
          </w:tcPr>
          <w:p w14:paraId="0B905611"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348</w:t>
            </w:r>
          </w:p>
        </w:tc>
        <w:tc>
          <w:tcPr>
            <w:tcW w:w="1187" w:type="dxa"/>
            <w:tcBorders>
              <w:bottom w:val="single" w:sz="4" w:space="0" w:color="auto"/>
            </w:tcBorders>
          </w:tcPr>
          <w:p w14:paraId="3B4273FD" w14:textId="77777777" w:rsidR="00472665" w:rsidRPr="00472665" w:rsidRDefault="00472665" w:rsidP="00472665">
            <w:pPr>
              <w:spacing w:before="20" w:after="20"/>
              <w:ind w:right="227"/>
              <w:jc w:val="right"/>
              <w:rPr>
                <w:rFonts w:eastAsia="Times New Roman"/>
                <w:sz w:val="18"/>
                <w:szCs w:val="18"/>
              </w:rPr>
            </w:pPr>
            <w:r w:rsidRPr="00472665">
              <w:rPr>
                <w:rFonts w:eastAsia="Times New Roman"/>
                <w:sz w:val="18"/>
                <w:szCs w:val="18"/>
              </w:rPr>
              <w:t>0.1</w:t>
            </w:r>
          </w:p>
        </w:tc>
        <w:tc>
          <w:tcPr>
            <w:tcW w:w="1081" w:type="dxa"/>
            <w:tcBorders>
              <w:bottom w:val="single" w:sz="4" w:space="0" w:color="auto"/>
            </w:tcBorders>
            <w:shd w:val="clear" w:color="auto" w:fill="auto"/>
          </w:tcPr>
          <w:p w14:paraId="7F687205"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369</w:t>
            </w:r>
          </w:p>
        </w:tc>
        <w:tc>
          <w:tcPr>
            <w:tcW w:w="1252" w:type="dxa"/>
            <w:tcBorders>
              <w:bottom w:val="single" w:sz="4" w:space="0" w:color="auto"/>
            </w:tcBorders>
          </w:tcPr>
          <w:p w14:paraId="64EB2419"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0.1</w:t>
            </w:r>
          </w:p>
        </w:tc>
        <w:tc>
          <w:tcPr>
            <w:tcW w:w="1110" w:type="dxa"/>
            <w:tcBorders>
              <w:bottom w:val="single" w:sz="4" w:space="0" w:color="auto"/>
            </w:tcBorders>
            <w:shd w:val="clear" w:color="auto" w:fill="auto"/>
            <w:vAlign w:val="center"/>
          </w:tcPr>
          <w:p w14:paraId="2BD4BDB5"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21</w:t>
            </w:r>
          </w:p>
        </w:tc>
        <w:tc>
          <w:tcPr>
            <w:tcW w:w="1176" w:type="dxa"/>
            <w:tcBorders>
              <w:bottom w:val="single" w:sz="4" w:space="0" w:color="auto"/>
            </w:tcBorders>
            <w:shd w:val="clear" w:color="auto" w:fill="auto"/>
            <w:vAlign w:val="center"/>
          </w:tcPr>
          <w:p w14:paraId="1B7E8E71" w14:textId="77777777" w:rsidR="00472665" w:rsidRPr="00472665" w:rsidRDefault="00472665" w:rsidP="00472665">
            <w:pPr>
              <w:spacing w:before="20" w:after="20"/>
              <w:ind w:right="284"/>
              <w:jc w:val="right"/>
              <w:rPr>
                <w:rFonts w:eastAsia="Times New Roman"/>
                <w:sz w:val="18"/>
                <w:szCs w:val="18"/>
              </w:rPr>
            </w:pPr>
            <w:r w:rsidRPr="00472665">
              <w:rPr>
                <w:rFonts w:eastAsia="Times New Roman"/>
                <w:sz w:val="18"/>
                <w:szCs w:val="18"/>
              </w:rPr>
              <w:t>6.0</w:t>
            </w:r>
          </w:p>
        </w:tc>
      </w:tr>
      <w:tr w:rsidR="00472665" w:rsidRPr="00472665" w14:paraId="749E1BF2" w14:textId="77777777" w:rsidTr="00251E61">
        <w:trPr>
          <w:jc w:val="center"/>
        </w:trPr>
        <w:tc>
          <w:tcPr>
            <w:tcW w:w="1956" w:type="dxa"/>
            <w:tcBorders>
              <w:bottom w:val="single" w:sz="4" w:space="0" w:color="auto"/>
            </w:tcBorders>
            <w:shd w:val="clear" w:color="auto" w:fill="auto"/>
            <w:vAlign w:val="center"/>
          </w:tcPr>
          <w:p w14:paraId="51B729A1" w14:textId="77777777" w:rsidR="00472665" w:rsidRPr="00472665" w:rsidRDefault="00472665" w:rsidP="00472665">
            <w:pPr>
              <w:spacing w:before="20" w:after="20"/>
              <w:jc w:val="both"/>
              <w:rPr>
                <w:rFonts w:eastAsia="Times New Roman"/>
                <w:b/>
                <w:sz w:val="18"/>
                <w:szCs w:val="18"/>
              </w:rPr>
            </w:pPr>
            <w:r w:rsidRPr="00472665">
              <w:rPr>
                <w:rFonts w:eastAsia="Times New Roman"/>
                <w:b/>
                <w:sz w:val="18"/>
                <w:szCs w:val="18"/>
              </w:rPr>
              <w:t>Total</w:t>
            </w:r>
          </w:p>
        </w:tc>
        <w:tc>
          <w:tcPr>
            <w:tcW w:w="1199" w:type="dxa"/>
            <w:tcBorders>
              <w:bottom w:val="single" w:sz="4" w:space="0" w:color="auto"/>
            </w:tcBorders>
            <w:shd w:val="clear" w:color="auto" w:fill="auto"/>
            <w:vAlign w:val="center"/>
          </w:tcPr>
          <w:p w14:paraId="7AC4E205" w14:textId="77777777" w:rsidR="00472665" w:rsidRPr="00472665" w:rsidRDefault="00472665" w:rsidP="00472665">
            <w:pPr>
              <w:spacing w:before="20" w:after="20"/>
              <w:ind w:left="-1554" w:right="227"/>
              <w:jc w:val="right"/>
              <w:rPr>
                <w:rFonts w:eastAsia="Times New Roman"/>
                <w:b/>
                <w:sz w:val="18"/>
                <w:szCs w:val="18"/>
              </w:rPr>
            </w:pPr>
            <w:r w:rsidRPr="00472665">
              <w:rPr>
                <w:rFonts w:eastAsia="Times New Roman"/>
                <w:b/>
                <w:sz w:val="18"/>
                <w:szCs w:val="18"/>
              </w:rPr>
              <w:t>251 124</w:t>
            </w:r>
          </w:p>
        </w:tc>
        <w:tc>
          <w:tcPr>
            <w:tcW w:w="1187" w:type="dxa"/>
            <w:tcBorders>
              <w:bottom w:val="single" w:sz="4" w:space="0" w:color="auto"/>
            </w:tcBorders>
          </w:tcPr>
          <w:p w14:paraId="6E1FE687" w14:textId="77777777" w:rsidR="00472665" w:rsidRPr="00472665" w:rsidRDefault="00472665" w:rsidP="00472665">
            <w:pPr>
              <w:spacing w:before="20" w:after="20"/>
              <w:ind w:right="227"/>
              <w:jc w:val="right"/>
              <w:rPr>
                <w:rFonts w:eastAsia="Times New Roman"/>
                <w:b/>
                <w:sz w:val="18"/>
                <w:szCs w:val="18"/>
              </w:rPr>
            </w:pPr>
            <w:r w:rsidRPr="00472665">
              <w:rPr>
                <w:rFonts w:eastAsia="Times New Roman"/>
                <w:b/>
                <w:sz w:val="18"/>
                <w:szCs w:val="18"/>
              </w:rPr>
              <w:t>100.0</w:t>
            </w:r>
          </w:p>
        </w:tc>
        <w:tc>
          <w:tcPr>
            <w:tcW w:w="1081" w:type="dxa"/>
            <w:tcBorders>
              <w:bottom w:val="single" w:sz="4" w:space="0" w:color="auto"/>
            </w:tcBorders>
            <w:shd w:val="clear" w:color="auto" w:fill="auto"/>
          </w:tcPr>
          <w:p w14:paraId="58DBCE0A" w14:textId="77777777" w:rsidR="00472665" w:rsidRPr="00472665" w:rsidRDefault="00472665" w:rsidP="00472665">
            <w:pPr>
              <w:spacing w:before="20" w:after="20"/>
              <w:ind w:left="-1554" w:right="170"/>
              <w:jc w:val="right"/>
              <w:rPr>
                <w:rFonts w:eastAsia="Times New Roman"/>
                <w:b/>
                <w:sz w:val="18"/>
                <w:szCs w:val="18"/>
              </w:rPr>
            </w:pPr>
            <w:r w:rsidRPr="00472665">
              <w:rPr>
                <w:rFonts w:eastAsia="Times New Roman"/>
                <w:b/>
                <w:sz w:val="18"/>
                <w:szCs w:val="18"/>
              </w:rPr>
              <w:t>306 157</w:t>
            </w:r>
          </w:p>
        </w:tc>
        <w:tc>
          <w:tcPr>
            <w:tcW w:w="1252" w:type="dxa"/>
            <w:tcBorders>
              <w:bottom w:val="single" w:sz="4" w:space="0" w:color="auto"/>
            </w:tcBorders>
          </w:tcPr>
          <w:p w14:paraId="037C3F5C" w14:textId="77777777" w:rsidR="00472665" w:rsidRPr="00472665" w:rsidRDefault="00472665" w:rsidP="00472665">
            <w:pPr>
              <w:spacing w:before="20" w:after="20"/>
              <w:ind w:right="340"/>
              <w:jc w:val="right"/>
              <w:rPr>
                <w:rFonts w:eastAsia="Times New Roman"/>
                <w:b/>
                <w:sz w:val="18"/>
                <w:szCs w:val="18"/>
              </w:rPr>
            </w:pPr>
            <w:r w:rsidRPr="00472665">
              <w:rPr>
                <w:rFonts w:eastAsia="Times New Roman"/>
                <w:b/>
                <w:sz w:val="18"/>
                <w:szCs w:val="18"/>
              </w:rPr>
              <w:t>100.0</w:t>
            </w:r>
          </w:p>
        </w:tc>
        <w:tc>
          <w:tcPr>
            <w:tcW w:w="1110" w:type="dxa"/>
            <w:tcBorders>
              <w:bottom w:val="single" w:sz="4" w:space="0" w:color="auto"/>
            </w:tcBorders>
            <w:shd w:val="clear" w:color="auto" w:fill="auto"/>
            <w:vAlign w:val="center"/>
          </w:tcPr>
          <w:p w14:paraId="50976B36" w14:textId="77777777" w:rsidR="00472665" w:rsidRPr="00472665" w:rsidRDefault="00472665" w:rsidP="00472665">
            <w:pPr>
              <w:spacing w:before="20" w:after="20"/>
              <w:ind w:left="-1554" w:right="227"/>
              <w:jc w:val="right"/>
              <w:rPr>
                <w:rFonts w:eastAsia="Times New Roman"/>
                <w:b/>
                <w:sz w:val="18"/>
                <w:szCs w:val="18"/>
              </w:rPr>
            </w:pPr>
            <w:r w:rsidRPr="00472665">
              <w:rPr>
                <w:rFonts w:eastAsia="Times New Roman"/>
                <w:b/>
                <w:sz w:val="18"/>
                <w:szCs w:val="18"/>
              </w:rPr>
              <w:t>55 033</w:t>
            </w:r>
          </w:p>
        </w:tc>
        <w:tc>
          <w:tcPr>
            <w:tcW w:w="1176" w:type="dxa"/>
            <w:tcBorders>
              <w:bottom w:val="single" w:sz="4" w:space="0" w:color="auto"/>
            </w:tcBorders>
            <w:shd w:val="clear" w:color="auto" w:fill="auto"/>
            <w:vAlign w:val="center"/>
          </w:tcPr>
          <w:p w14:paraId="5BF8D8B2" w14:textId="77777777" w:rsidR="00472665" w:rsidRPr="00472665" w:rsidRDefault="00472665" w:rsidP="00472665">
            <w:pPr>
              <w:spacing w:before="20" w:after="20"/>
              <w:ind w:right="284"/>
              <w:jc w:val="right"/>
              <w:rPr>
                <w:rFonts w:eastAsia="Times New Roman"/>
                <w:b/>
                <w:sz w:val="18"/>
                <w:szCs w:val="18"/>
              </w:rPr>
            </w:pPr>
            <w:r w:rsidRPr="00472665">
              <w:rPr>
                <w:rFonts w:eastAsia="Times New Roman"/>
                <w:b/>
                <w:sz w:val="18"/>
                <w:szCs w:val="18"/>
              </w:rPr>
              <w:t>21.9</w:t>
            </w:r>
          </w:p>
        </w:tc>
      </w:tr>
      <w:tr w:rsidR="00472665" w:rsidRPr="00472665" w14:paraId="6C94FBC0" w14:textId="77777777" w:rsidTr="00251E61">
        <w:trPr>
          <w:jc w:val="center"/>
        </w:trPr>
        <w:tc>
          <w:tcPr>
            <w:tcW w:w="8961" w:type="dxa"/>
            <w:gridSpan w:val="7"/>
            <w:tcBorders>
              <w:left w:val="nil"/>
              <w:bottom w:val="nil"/>
              <w:right w:val="nil"/>
            </w:tcBorders>
          </w:tcPr>
          <w:p w14:paraId="70A319B5" w14:textId="77777777" w:rsidR="00472665" w:rsidRPr="00472665" w:rsidRDefault="00472665" w:rsidP="00472665">
            <w:pPr>
              <w:ind w:left="-45"/>
              <w:rPr>
                <w:rFonts w:eastAsia="Times New Roman"/>
                <w:sz w:val="20"/>
                <w:szCs w:val="20"/>
              </w:rPr>
            </w:pPr>
            <w:r w:rsidRPr="00472665">
              <w:rPr>
                <w:rFonts w:eastAsia="Times New Roman"/>
                <w:sz w:val="20"/>
                <w:szCs w:val="20"/>
              </w:rPr>
              <w:t>* Camiones pesados incluye: F450, F550.</w:t>
            </w:r>
          </w:p>
          <w:p w14:paraId="3C1E2C44" w14:textId="77777777" w:rsidR="00472665" w:rsidRPr="00472665" w:rsidRDefault="00472665" w:rsidP="00472665">
            <w:pPr>
              <w:ind w:right="-159"/>
              <w:jc w:val="both"/>
              <w:rPr>
                <w:rFonts w:eastAsia="Times New Roman"/>
                <w:b/>
                <w:sz w:val="20"/>
                <w:szCs w:val="20"/>
              </w:rPr>
            </w:pPr>
            <w:r w:rsidRPr="00472665">
              <w:rPr>
                <w:rFonts w:eastAsia="Times New Roman"/>
                <w:sz w:val="20"/>
                <w:szCs w:val="20"/>
              </w:rPr>
              <w:t>FUENTE: AMDA.</w:t>
            </w:r>
          </w:p>
        </w:tc>
      </w:tr>
    </w:tbl>
    <w:p w14:paraId="2A8AE6CB" w14:textId="77777777" w:rsidR="00472665" w:rsidRPr="00472665" w:rsidRDefault="00472665" w:rsidP="00472665">
      <w:pPr>
        <w:spacing w:after="360" w:line="360" w:lineRule="auto"/>
        <w:ind w:right="-159"/>
        <w:jc w:val="both"/>
        <w:rPr>
          <w:rFonts w:eastAsia="Times New Roman"/>
          <w:sz w:val="26"/>
          <w:szCs w:val="26"/>
        </w:rPr>
      </w:pPr>
    </w:p>
    <w:p w14:paraId="2DC4BEE8" w14:textId="77777777" w:rsidR="00472665" w:rsidRPr="00472665" w:rsidRDefault="00472665" w:rsidP="00472665">
      <w:pPr>
        <w:tabs>
          <w:tab w:val="left" w:pos="2835"/>
        </w:tabs>
        <w:spacing w:before="360" w:after="360" w:line="360" w:lineRule="auto"/>
        <w:ind w:right="-159"/>
        <w:jc w:val="both"/>
        <w:rPr>
          <w:rFonts w:eastAsia="Times New Roman"/>
          <w:b/>
          <w:bCs/>
          <w:sz w:val="26"/>
          <w:szCs w:val="26"/>
        </w:rPr>
      </w:pPr>
      <w:r w:rsidRPr="00472665">
        <w:rPr>
          <w:rFonts w:eastAsia="Times New Roman"/>
          <w:b/>
          <w:bCs/>
          <w:sz w:val="26"/>
          <w:szCs w:val="26"/>
        </w:rPr>
        <w:t>Ventas mensuales en febrero y marzo de 2015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04"/>
        <w:gridCol w:w="1199"/>
        <w:gridCol w:w="1142"/>
        <w:gridCol w:w="1183"/>
        <w:gridCol w:w="1300"/>
      </w:tblGrid>
      <w:tr w:rsidR="00472665" w:rsidRPr="00472665" w14:paraId="5EAE15A4" w14:textId="77777777" w:rsidTr="00251E61">
        <w:trPr>
          <w:jc w:val="center"/>
        </w:trPr>
        <w:tc>
          <w:tcPr>
            <w:tcW w:w="7028" w:type="dxa"/>
            <w:gridSpan w:val="5"/>
            <w:tcBorders>
              <w:top w:val="nil"/>
              <w:left w:val="nil"/>
              <w:right w:val="nil"/>
            </w:tcBorders>
            <w:shd w:val="clear" w:color="auto" w:fill="auto"/>
            <w:vAlign w:val="center"/>
          </w:tcPr>
          <w:p w14:paraId="6FDC96DB" w14:textId="77777777" w:rsidR="00472665" w:rsidRPr="00472665" w:rsidRDefault="00472665" w:rsidP="00472665">
            <w:pPr>
              <w:tabs>
                <w:tab w:val="left" w:pos="2835"/>
              </w:tabs>
              <w:ind w:right="-159"/>
              <w:jc w:val="center"/>
              <w:rPr>
                <w:rFonts w:eastAsia="Times New Roman"/>
                <w:b/>
                <w:sz w:val="22"/>
                <w:szCs w:val="22"/>
              </w:rPr>
            </w:pPr>
            <w:r w:rsidRPr="00472665">
              <w:rPr>
                <w:rFonts w:eastAsia="Times New Roman"/>
                <w:b/>
                <w:sz w:val="22"/>
                <w:szCs w:val="22"/>
              </w:rPr>
              <w:t>UNIDADES COMERCIALIZADAS</w:t>
            </w:r>
          </w:p>
          <w:p w14:paraId="7C9441D2" w14:textId="77777777" w:rsidR="00472665" w:rsidRPr="00472665" w:rsidRDefault="00472665" w:rsidP="00472665">
            <w:pPr>
              <w:tabs>
                <w:tab w:val="left" w:pos="2835"/>
              </w:tabs>
              <w:ind w:right="-159"/>
              <w:jc w:val="center"/>
              <w:rPr>
                <w:rFonts w:eastAsia="Times New Roman"/>
                <w:b/>
                <w:bCs/>
                <w:sz w:val="22"/>
                <w:szCs w:val="22"/>
              </w:rPr>
            </w:pPr>
            <w:r w:rsidRPr="00472665">
              <w:rPr>
                <w:rFonts w:eastAsia="Times New Roman"/>
                <w:b/>
                <w:sz w:val="22"/>
                <w:szCs w:val="22"/>
              </w:rPr>
              <w:t>-Febr</w:t>
            </w:r>
            <w:r w:rsidRPr="00472665">
              <w:rPr>
                <w:rFonts w:eastAsia="Times New Roman"/>
                <w:b/>
                <w:bCs/>
                <w:sz w:val="22"/>
                <w:szCs w:val="22"/>
              </w:rPr>
              <w:t>ero y Marzo 2015-</w:t>
            </w:r>
          </w:p>
        </w:tc>
      </w:tr>
      <w:tr w:rsidR="00472665" w:rsidRPr="00472665" w14:paraId="0D5FBFD7" w14:textId="77777777" w:rsidTr="00251E61">
        <w:trPr>
          <w:jc w:val="center"/>
        </w:trPr>
        <w:tc>
          <w:tcPr>
            <w:tcW w:w="2204" w:type="dxa"/>
            <w:vMerge w:val="restart"/>
            <w:shd w:val="clear" w:color="auto" w:fill="auto"/>
            <w:vAlign w:val="center"/>
          </w:tcPr>
          <w:p w14:paraId="57811443"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Segmento</w:t>
            </w:r>
          </w:p>
        </w:tc>
        <w:tc>
          <w:tcPr>
            <w:tcW w:w="1199" w:type="dxa"/>
            <w:vMerge w:val="restart"/>
            <w:shd w:val="clear" w:color="auto" w:fill="auto"/>
            <w:vAlign w:val="center"/>
          </w:tcPr>
          <w:p w14:paraId="0DF32675"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 xml:space="preserve">Febrero </w:t>
            </w:r>
          </w:p>
        </w:tc>
        <w:tc>
          <w:tcPr>
            <w:tcW w:w="1142" w:type="dxa"/>
            <w:vMerge w:val="restart"/>
            <w:shd w:val="clear" w:color="auto" w:fill="auto"/>
            <w:vAlign w:val="center"/>
          </w:tcPr>
          <w:p w14:paraId="4417215B"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Marzo</w:t>
            </w:r>
          </w:p>
        </w:tc>
        <w:tc>
          <w:tcPr>
            <w:tcW w:w="2483" w:type="dxa"/>
            <w:gridSpan w:val="2"/>
            <w:shd w:val="clear" w:color="auto" w:fill="auto"/>
            <w:vAlign w:val="center"/>
          </w:tcPr>
          <w:p w14:paraId="46678B81"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Variación</w:t>
            </w:r>
          </w:p>
        </w:tc>
      </w:tr>
      <w:tr w:rsidR="00472665" w:rsidRPr="00472665" w14:paraId="3F6EE434" w14:textId="77777777" w:rsidTr="00251E61">
        <w:trPr>
          <w:jc w:val="center"/>
        </w:trPr>
        <w:tc>
          <w:tcPr>
            <w:tcW w:w="2204" w:type="dxa"/>
            <w:vMerge/>
            <w:shd w:val="clear" w:color="auto" w:fill="auto"/>
            <w:vAlign w:val="center"/>
          </w:tcPr>
          <w:p w14:paraId="2D4F44C4" w14:textId="77777777" w:rsidR="00472665" w:rsidRPr="00472665" w:rsidRDefault="00472665" w:rsidP="00472665">
            <w:pPr>
              <w:spacing w:before="20" w:after="20"/>
              <w:jc w:val="both"/>
              <w:rPr>
                <w:rFonts w:eastAsia="Times New Roman"/>
                <w:b/>
                <w:sz w:val="18"/>
                <w:szCs w:val="20"/>
              </w:rPr>
            </w:pPr>
          </w:p>
        </w:tc>
        <w:tc>
          <w:tcPr>
            <w:tcW w:w="1199" w:type="dxa"/>
            <w:vMerge/>
            <w:shd w:val="clear" w:color="auto" w:fill="auto"/>
          </w:tcPr>
          <w:p w14:paraId="550DECBE" w14:textId="77777777" w:rsidR="00472665" w:rsidRPr="00472665" w:rsidRDefault="00472665" w:rsidP="00472665">
            <w:pPr>
              <w:spacing w:before="20" w:after="20"/>
              <w:jc w:val="both"/>
              <w:rPr>
                <w:rFonts w:eastAsia="Times New Roman"/>
                <w:b/>
                <w:sz w:val="18"/>
                <w:szCs w:val="20"/>
              </w:rPr>
            </w:pPr>
          </w:p>
        </w:tc>
        <w:tc>
          <w:tcPr>
            <w:tcW w:w="1142" w:type="dxa"/>
            <w:vMerge/>
            <w:shd w:val="clear" w:color="auto" w:fill="auto"/>
          </w:tcPr>
          <w:p w14:paraId="12401130" w14:textId="77777777" w:rsidR="00472665" w:rsidRPr="00472665" w:rsidRDefault="00472665" w:rsidP="00472665">
            <w:pPr>
              <w:spacing w:before="20" w:after="20"/>
              <w:jc w:val="center"/>
              <w:rPr>
                <w:rFonts w:eastAsia="Times New Roman"/>
                <w:b/>
                <w:sz w:val="18"/>
                <w:szCs w:val="20"/>
              </w:rPr>
            </w:pPr>
          </w:p>
        </w:tc>
        <w:tc>
          <w:tcPr>
            <w:tcW w:w="1183" w:type="dxa"/>
            <w:shd w:val="clear" w:color="auto" w:fill="auto"/>
            <w:vAlign w:val="center"/>
          </w:tcPr>
          <w:p w14:paraId="3EE021F3"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Unidades</w:t>
            </w:r>
          </w:p>
        </w:tc>
        <w:tc>
          <w:tcPr>
            <w:tcW w:w="1300" w:type="dxa"/>
            <w:shd w:val="clear" w:color="auto" w:fill="auto"/>
            <w:vAlign w:val="center"/>
          </w:tcPr>
          <w:p w14:paraId="37833401" w14:textId="77777777" w:rsidR="00472665" w:rsidRPr="00472665" w:rsidRDefault="00472665" w:rsidP="00472665">
            <w:pPr>
              <w:spacing w:before="20" w:after="20"/>
              <w:jc w:val="center"/>
              <w:rPr>
                <w:rFonts w:eastAsia="Times New Roman"/>
                <w:b/>
                <w:sz w:val="18"/>
                <w:szCs w:val="20"/>
              </w:rPr>
            </w:pPr>
            <w:r w:rsidRPr="00472665">
              <w:rPr>
                <w:rFonts w:eastAsia="Times New Roman"/>
                <w:b/>
                <w:sz w:val="18"/>
                <w:szCs w:val="20"/>
              </w:rPr>
              <w:t>Porcentaje</w:t>
            </w:r>
          </w:p>
        </w:tc>
      </w:tr>
      <w:tr w:rsidR="00472665" w:rsidRPr="00472665" w14:paraId="76159152" w14:textId="77777777" w:rsidTr="00251E61">
        <w:trPr>
          <w:jc w:val="center"/>
        </w:trPr>
        <w:tc>
          <w:tcPr>
            <w:tcW w:w="2204" w:type="dxa"/>
            <w:tcBorders>
              <w:bottom w:val="single" w:sz="4" w:space="0" w:color="auto"/>
            </w:tcBorders>
            <w:shd w:val="clear" w:color="auto" w:fill="auto"/>
            <w:vAlign w:val="center"/>
          </w:tcPr>
          <w:p w14:paraId="1C357091"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Subcompactos</w:t>
            </w:r>
          </w:p>
        </w:tc>
        <w:tc>
          <w:tcPr>
            <w:tcW w:w="1199" w:type="dxa"/>
            <w:tcBorders>
              <w:bottom w:val="single" w:sz="4" w:space="0" w:color="auto"/>
            </w:tcBorders>
            <w:shd w:val="clear" w:color="auto" w:fill="auto"/>
            <w:vAlign w:val="center"/>
          </w:tcPr>
          <w:p w14:paraId="492C1DB4"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34 944</w:t>
            </w:r>
          </w:p>
        </w:tc>
        <w:tc>
          <w:tcPr>
            <w:tcW w:w="1142" w:type="dxa"/>
            <w:tcBorders>
              <w:bottom w:val="single" w:sz="4" w:space="0" w:color="auto"/>
            </w:tcBorders>
            <w:shd w:val="clear" w:color="auto" w:fill="auto"/>
            <w:vAlign w:val="center"/>
          </w:tcPr>
          <w:p w14:paraId="3C7C509E"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38 106</w:t>
            </w:r>
          </w:p>
        </w:tc>
        <w:tc>
          <w:tcPr>
            <w:tcW w:w="1183" w:type="dxa"/>
            <w:tcBorders>
              <w:bottom w:val="single" w:sz="4" w:space="0" w:color="auto"/>
            </w:tcBorders>
            <w:shd w:val="clear" w:color="auto" w:fill="auto"/>
            <w:vAlign w:val="center"/>
          </w:tcPr>
          <w:p w14:paraId="082D8928"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3 162</w:t>
            </w:r>
          </w:p>
        </w:tc>
        <w:tc>
          <w:tcPr>
            <w:tcW w:w="1300" w:type="dxa"/>
            <w:tcBorders>
              <w:bottom w:val="single" w:sz="4" w:space="0" w:color="auto"/>
            </w:tcBorders>
            <w:shd w:val="clear" w:color="auto" w:fill="auto"/>
            <w:vAlign w:val="center"/>
          </w:tcPr>
          <w:p w14:paraId="55F36925"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9.0</w:t>
            </w:r>
          </w:p>
        </w:tc>
      </w:tr>
      <w:tr w:rsidR="00472665" w:rsidRPr="00472665" w14:paraId="1D4E97CC" w14:textId="77777777" w:rsidTr="00251E61">
        <w:trPr>
          <w:jc w:val="center"/>
        </w:trPr>
        <w:tc>
          <w:tcPr>
            <w:tcW w:w="2204" w:type="dxa"/>
            <w:shd w:val="clear" w:color="auto" w:fill="auto"/>
            <w:vAlign w:val="center"/>
          </w:tcPr>
          <w:p w14:paraId="3474F1AC"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Compactos</w:t>
            </w:r>
          </w:p>
        </w:tc>
        <w:tc>
          <w:tcPr>
            <w:tcW w:w="1199" w:type="dxa"/>
            <w:shd w:val="clear" w:color="auto" w:fill="auto"/>
            <w:vAlign w:val="center"/>
          </w:tcPr>
          <w:p w14:paraId="05682922"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25 292</w:t>
            </w:r>
          </w:p>
        </w:tc>
        <w:tc>
          <w:tcPr>
            <w:tcW w:w="1142" w:type="dxa"/>
            <w:shd w:val="clear" w:color="auto" w:fill="auto"/>
            <w:vAlign w:val="center"/>
          </w:tcPr>
          <w:p w14:paraId="07FEA212"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25 136</w:t>
            </w:r>
          </w:p>
        </w:tc>
        <w:tc>
          <w:tcPr>
            <w:tcW w:w="1183" w:type="dxa"/>
            <w:shd w:val="clear" w:color="auto" w:fill="auto"/>
            <w:vAlign w:val="center"/>
          </w:tcPr>
          <w:p w14:paraId="4E9C402A"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-156</w:t>
            </w:r>
          </w:p>
        </w:tc>
        <w:tc>
          <w:tcPr>
            <w:tcW w:w="1300" w:type="dxa"/>
            <w:shd w:val="clear" w:color="auto" w:fill="auto"/>
            <w:vAlign w:val="center"/>
          </w:tcPr>
          <w:p w14:paraId="5B566ADD"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-0.6</w:t>
            </w:r>
          </w:p>
        </w:tc>
      </w:tr>
      <w:tr w:rsidR="00472665" w:rsidRPr="00472665" w14:paraId="25BC82BE" w14:textId="77777777" w:rsidTr="00251E61">
        <w:trPr>
          <w:jc w:val="center"/>
        </w:trPr>
        <w:tc>
          <w:tcPr>
            <w:tcW w:w="2204" w:type="dxa"/>
            <w:tcBorders>
              <w:bottom w:val="single" w:sz="4" w:space="0" w:color="auto"/>
            </w:tcBorders>
            <w:shd w:val="clear" w:color="auto" w:fill="auto"/>
            <w:vAlign w:val="center"/>
          </w:tcPr>
          <w:p w14:paraId="6B223C15"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De lujo</w:t>
            </w:r>
          </w:p>
        </w:tc>
        <w:tc>
          <w:tcPr>
            <w:tcW w:w="1199" w:type="dxa"/>
            <w:tcBorders>
              <w:bottom w:val="single" w:sz="4" w:space="0" w:color="auto"/>
            </w:tcBorders>
            <w:shd w:val="clear" w:color="auto" w:fill="auto"/>
            <w:vAlign w:val="center"/>
          </w:tcPr>
          <w:p w14:paraId="1B67DCB4"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5 057</w:t>
            </w:r>
          </w:p>
        </w:tc>
        <w:tc>
          <w:tcPr>
            <w:tcW w:w="1142" w:type="dxa"/>
            <w:tcBorders>
              <w:bottom w:val="single" w:sz="4" w:space="0" w:color="auto"/>
            </w:tcBorders>
            <w:shd w:val="clear" w:color="auto" w:fill="auto"/>
            <w:vAlign w:val="center"/>
          </w:tcPr>
          <w:p w14:paraId="7A8AAE98"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5 339</w:t>
            </w:r>
          </w:p>
        </w:tc>
        <w:tc>
          <w:tcPr>
            <w:tcW w:w="1183" w:type="dxa"/>
            <w:tcBorders>
              <w:bottom w:val="single" w:sz="4" w:space="0" w:color="auto"/>
            </w:tcBorders>
            <w:shd w:val="clear" w:color="auto" w:fill="auto"/>
            <w:vAlign w:val="center"/>
          </w:tcPr>
          <w:p w14:paraId="3558E8D1"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282</w:t>
            </w:r>
          </w:p>
        </w:tc>
        <w:tc>
          <w:tcPr>
            <w:tcW w:w="1300" w:type="dxa"/>
            <w:tcBorders>
              <w:bottom w:val="single" w:sz="4" w:space="0" w:color="auto"/>
            </w:tcBorders>
            <w:shd w:val="clear" w:color="auto" w:fill="auto"/>
            <w:vAlign w:val="center"/>
          </w:tcPr>
          <w:p w14:paraId="2EE86D79"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5.6</w:t>
            </w:r>
          </w:p>
        </w:tc>
      </w:tr>
      <w:tr w:rsidR="00472665" w:rsidRPr="00472665" w14:paraId="13967955" w14:textId="77777777" w:rsidTr="00251E61">
        <w:trPr>
          <w:jc w:val="center"/>
        </w:trPr>
        <w:tc>
          <w:tcPr>
            <w:tcW w:w="2204" w:type="dxa"/>
            <w:shd w:val="clear" w:color="auto" w:fill="auto"/>
            <w:vAlign w:val="center"/>
          </w:tcPr>
          <w:p w14:paraId="4BF066F3"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Deportivos</w:t>
            </w:r>
          </w:p>
        </w:tc>
        <w:tc>
          <w:tcPr>
            <w:tcW w:w="1199" w:type="dxa"/>
            <w:shd w:val="clear" w:color="auto" w:fill="auto"/>
            <w:vAlign w:val="center"/>
          </w:tcPr>
          <w:p w14:paraId="60AA4D65"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738</w:t>
            </w:r>
          </w:p>
        </w:tc>
        <w:tc>
          <w:tcPr>
            <w:tcW w:w="1142" w:type="dxa"/>
            <w:shd w:val="clear" w:color="auto" w:fill="auto"/>
            <w:vAlign w:val="center"/>
          </w:tcPr>
          <w:p w14:paraId="006802B9"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755</w:t>
            </w:r>
          </w:p>
        </w:tc>
        <w:tc>
          <w:tcPr>
            <w:tcW w:w="1183" w:type="dxa"/>
            <w:shd w:val="clear" w:color="auto" w:fill="auto"/>
            <w:vAlign w:val="center"/>
          </w:tcPr>
          <w:p w14:paraId="313D1D51"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17</w:t>
            </w:r>
          </w:p>
        </w:tc>
        <w:tc>
          <w:tcPr>
            <w:tcW w:w="1300" w:type="dxa"/>
            <w:shd w:val="clear" w:color="auto" w:fill="auto"/>
            <w:vAlign w:val="center"/>
          </w:tcPr>
          <w:p w14:paraId="109A896B"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2.3</w:t>
            </w:r>
          </w:p>
        </w:tc>
      </w:tr>
      <w:tr w:rsidR="00472665" w:rsidRPr="00472665" w14:paraId="7A75134C" w14:textId="77777777" w:rsidTr="00251E61">
        <w:trPr>
          <w:jc w:val="center"/>
        </w:trPr>
        <w:tc>
          <w:tcPr>
            <w:tcW w:w="2204" w:type="dxa"/>
            <w:tcBorders>
              <w:bottom w:val="single" w:sz="4" w:space="0" w:color="auto"/>
            </w:tcBorders>
            <w:shd w:val="clear" w:color="auto" w:fill="auto"/>
            <w:vAlign w:val="center"/>
          </w:tcPr>
          <w:p w14:paraId="0EB972D8"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Usos múltiples</w:t>
            </w:r>
          </w:p>
        </w:tc>
        <w:tc>
          <w:tcPr>
            <w:tcW w:w="1199" w:type="dxa"/>
            <w:tcBorders>
              <w:bottom w:val="single" w:sz="4" w:space="0" w:color="auto"/>
            </w:tcBorders>
            <w:shd w:val="clear" w:color="auto" w:fill="auto"/>
            <w:vAlign w:val="center"/>
          </w:tcPr>
          <w:p w14:paraId="7B778E73"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18 563</w:t>
            </w:r>
          </w:p>
        </w:tc>
        <w:tc>
          <w:tcPr>
            <w:tcW w:w="1142" w:type="dxa"/>
            <w:tcBorders>
              <w:bottom w:val="single" w:sz="4" w:space="0" w:color="auto"/>
            </w:tcBorders>
            <w:shd w:val="clear" w:color="auto" w:fill="auto"/>
            <w:vAlign w:val="center"/>
          </w:tcPr>
          <w:p w14:paraId="34A0C4A5"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20 566</w:t>
            </w:r>
          </w:p>
        </w:tc>
        <w:tc>
          <w:tcPr>
            <w:tcW w:w="1183" w:type="dxa"/>
            <w:tcBorders>
              <w:bottom w:val="single" w:sz="4" w:space="0" w:color="auto"/>
            </w:tcBorders>
            <w:shd w:val="clear" w:color="auto" w:fill="auto"/>
            <w:vAlign w:val="center"/>
          </w:tcPr>
          <w:p w14:paraId="16A4B2F4"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2 003</w:t>
            </w:r>
          </w:p>
        </w:tc>
        <w:tc>
          <w:tcPr>
            <w:tcW w:w="1300" w:type="dxa"/>
            <w:tcBorders>
              <w:bottom w:val="single" w:sz="4" w:space="0" w:color="auto"/>
            </w:tcBorders>
            <w:shd w:val="clear" w:color="auto" w:fill="auto"/>
            <w:vAlign w:val="center"/>
          </w:tcPr>
          <w:p w14:paraId="4771F948"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10.8</w:t>
            </w:r>
          </w:p>
        </w:tc>
      </w:tr>
      <w:tr w:rsidR="00472665" w:rsidRPr="00472665" w14:paraId="7C719C59" w14:textId="77777777" w:rsidTr="00251E61">
        <w:trPr>
          <w:jc w:val="center"/>
        </w:trPr>
        <w:tc>
          <w:tcPr>
            <w:tcW w:w="2204" w:type="dxa"/>
            <w:shd w:val="clear" w:color="auto" w:fill="auto"/>
            <w:vAlign w:val="center"/>
          </w:tcPr>
          <w:p w14:paraId="78724A22"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Camiones ligeros</w:t>
            </w:r>
          </w:p>
        </w:tc>
        <w:tc>
          <w:tcPr>
            <w:tcW w:w="1199" w:type="dxa"/>
            <w:shd w:val="clear" w:color="auto" w:fill="auto"/>
            <w:vAlign w:val="center"/>
          </w:tcPr>
          <w:p w14:paraId="5393008C"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12 815</w:t>
            </w:r>
          </w:p>
        </w:tc>
        <w:tc>
          <w:tcPr>
            <w:tcW w:w="1142" w:type="dxa"/>
            <w:shd w:val="clear" w:color="auto" w:fill="auto"/>
            <w:vAlign w:val="center"/>
          </w:tcPr>
          <w:p w14:paraId="4988E0FD"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14 875</w:t>
            </w:r>
          </w:p>
        </w:tc>
        <w:tc>
          <w:tcPr>
            <w:tcW w:w="1183" w:type="dxa"/>
            <w:shd w:val="clear" w:color="auto" w:fill="auto"/>
            <w:vAlign w:val="center"/>
          </w:tcPr>
          <w:p w14:paraId="232C137E"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2 060</w:t>
            </w:r>
          </w:p>
        </w:tc>
        <w:tc>
          <w:tcPr>
            <w:tcW w:w="1300" w:type="dxa"/>
            <w:shd w:val="clear" w:color="auto" w:fill="auto"/>
            <w:vAlign w:val="center"/>
          </w:tcPr>
          <w:p w14:paraId="6CF48A7C"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16.1</w:t>
            </w:r>
          </w:p>
        </w:tc>
      </w:tr>
      <w:tr w:rsidR="00472665" w:rsidRPr="00472665" w14:paraId="58994D6A" w14:textId="77777777" w:rsidTr="00251E61">
        <w:trPr>
          <w:jc w:val="center"/>
        </w:trPr>
        <w:tc>
          <w:tcPr>
            <w:tcW w:w="2204" w:type="dxa"/>
            <w:tcBorders>
              <w:bottom w:val="single" w:sz="4" w:space="0" w:color="auto"/>
            </w:tcBorders>
            <w:shd w:val="clear" w:color="auto" w:fill="auto"/>
            <w:vAlign w:val="center"/>
          </w:tcPr>
          <w:p w14:paraId="2D87F25A" w14:textId="77777777" w:rsidR="00472665" w:rsidRPr="00472665" w:rsidRDefault="00472665" w:rsidP="00472665">
            <w:pPr>
              <w:spacing w:before="20" w:after="20"/>
              <w:jc w:val="both"/>
              <w:rPr>
                <w:rFonts w:eastAsia="Times New Roman"/>
                <w:sz w:val="18"/>
                <w:szCs w:val="20"/>
              </w:rPr>
            </w:pPr>
            <w:r w:rsidRPr="00472665">
              <w:rPr>
                <w:rFonts w:eastAsia="Times New Roman"/>
                <w:sz w:val="18"/>
                <w:szCs w:val="20"/>
              </w:rPr>
              <w:t>Camiones pesados*</w:t>
            </w:r>
          </w:p>
        </w:tc>
        <w:tc>
          <w:tcPr>
            <w:tcW w:w="1199" w:type="dxa"/>
            <w:tcBorders>
              <w:bottom w:val="single" w:sz="4" w:space="0" w:color="auto"/>
            </w:tcBorders>
            <w:shd w:val="clear" w:color="auto" w:fill="auto"/>
            <w:vAlign w:val="center"/>
          </w:tcPr>
          <w:p w14:paraId="53692F73"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149</w:t>
            </w:r>
          </w:p>
        </w:tc>
        <w:tc>
          <w:tcPr>
            <w:tcW w:w="1142" w:type="dxa"/>
            <w:tcBorders>
              <w:bottom w:val="single" w:sz="4" w:space="0" w:color="auto"/>
            </w:tcBorders>
            <w:shd w:val="clear" w:color="auto" w:fill="auto"/>
            <w:vAlign w:val="center"/>
          </w:tcPr>
          <w:p w14:paraId="054E36EE" w14:textId="77777777" w:rsidR="00472665" w:rsidRPr="00472665" w:rsidRDefault="00472665" w:rsidP="00472665">
            <w:pPr>
              <w:spacing w:before="20" w:after="20"/>
              <w:ind w:left="-1554" w:right="170"/>
              <w:jc w:val="right"/>
              <w:rPr>
                <w:rFonts w:eastAsia="Times New Roman"/>
                <w:sz w:val="18"/>
                <w:szCs w:val="18"/>
              </w:rPr>
            </w:pPr>
            <w:r w:rsidRPr="00472665">
              <w:rPr>
                <w:rFonts w:eastAsia="Times New Roman"/>
                <w:sz w:val="18"/>
                <w:szCs w:val="18"/>
              </w:rPr>
              <w:t>125</w:t>
            </w:r>
          </w:p>
        </w:tc>
        <w:tc>
          <w:tcPr>
            <w:tcW w:w="1183" w:type="dxa"/>
            <w:tcBorders>
              <w:bottom w:val="single" w:sz="4" w:space="0" w:color="auto"/>
            </w:tcBorders>
            <w:shd w:val="clear" w:color="auto" w:fill="auto"/>
            <w:vAlign w:val="center"/>
          </w:tcPr>
          <w:p w14:paraId="249E0E5F" w14:textId="77777777" w:rsidR="00472665" w:rsidRPr="00472665" w:rsidRDefault="00472665" w:rsidP="00472665">
            <w:pPr>
              <w:spacing w:before="20" w:after="20"/>
              <w:ind w:left="-1554" w:right="227"/>
              <w:jc w:val="right"/>
              <w:rPr>
                <w:rFonts w:eastAsia="Times New Roman"/>
                <w:sz w:val="18"/>
                <w:szCs w:val="18"/>
              </w:rPr>
            </w:pPr>
            <w:r w:rsidRPr="00472665">
              <w:rPr>
                <w:rFonts w:eastAsia="Times New Roman"/>
                <w:sz w:val="18"/>
                <w:szCs w:val="18"/>
              </w:rPr>
              <w:t>-24</w:t>
            </w:r>
          </w:p>
        </w:tc>
        <w:tc>
          <w:tcPr>
            <w:tcW w:w="1300" w:type="dxa"/>
            <w:tcBorders>
              <w:bottom w:val="single" w:sz="4" w:space="0" w:color="auto"/>
            </w:tcBorders>
            <w:shd w:val="clear" w:color="auto" w:fill="auto"/>
            <w:vAlign w:val="center"/>
          </w:tcPr>
          <w:p w14:paraId="5E9A180B" w14:textId="77777777" w:rsidR="00472665" w:rsidRPr="00472665" w:rsidRDefault="00472665" w:rsidP="00472665">
            <w:pPr>
              <w:spacing w:before="20" w:after="20"/>
              <w:ind w:right="340"/>
              <w:jc w:val="right"/>
              <w:rPr>
                <w:rFonts w:eastAsia="Times New Roman"/>
                <w:sz w:val="18"/>
                <w:szCs w:val="18"/>
              </w:rPr>
            </w:pPr>
            <w:r w:rsidRPr="00472665">
              <w:rPr>
                <w:rFonts w:eastAsia="Times New Roman"/>
                <w:sz w:val="18"/>
                <w:szCs w:val="18"/>
              </w:rPr>
              <w:t>-16.1</w:t>
            </w:r>
          </w:p>
        </w:tc>
      </w:tr>
      <w:tr w:rsidR="00472665" w:rsidRPr="00472665" w14:paraId="51AD88A0" w14:textId="77777777" w:rsidTr="00251E61">
        <w:trPr>
          <w:jc w:val="center"/>
        </w:trPr>
        <w:tc>
          <w:tcPr>
            <w:tcW w:w="2204" w:type="dxa"/>
            <w:tcBorders>
              <w:bottom w:val="single" w:sz="4" w:space="0" w:color="auto"/>
            </w:tcBorders>
            <w:shd w:val="clear" w:color="auto" w:fill="auto"/>
            <w:vAlign w:val="center"/>
          </w:tcPr>
          <w:p w14:paraId="0C3BB92C" w14:textId="77777777" w:rsidR="00472665" w:rsidRPr="00472665" w:rsidRDefault="00472665" w:rsidP="00472665">
            <w:pPr>
              <w:spacing w:before="20" w:after="20"/>
              <w:jc w:val="both"/>
              <w:rPr>
                <w:rFonts w:eastAsia="Times New Roman"/>
                <w:b/>
                <w:sz w:val="18"/>
                <w:szCs w:val="20"/>
              </w:rPr>
            </w:pPr>
            <w:r w:rsidRPr="00472665">
              <w:rPr>
                <w:rFonts w:eastAsia="Times New Roman"/>
                <w:b/>
                <w:sz w:val="18"/>
                <w:szCs w:val="20"/>
              </w:rPr>
              <w:t>Total</w:t>
            </w:r>
          </w:p>
        </w:tc>
        <w:tc>
          <w:tcPr>
            <w:tcW w:w="1199" w:type="dxa"/>
            <w:tcBorders>
              <w:bottom w:val="single" w:sz="4" w:space="0" w:color="auto"/>
            </w:tcBorders>
            <w:shd w:val="clear" w:color="auto" w:fill="auto"/>
            <w:vAlign w:val="center"/>
          </w:tcPr>
          <w:p w14:paraId="6A3B8268" w14:textId="77777777" w:rsidR="00472665" w:rsidRPr="00472665" w:rsidRDefault="00472665" w:rsidP="00472665">
            <w:pPr>
              <w:spacing w:before="20" w:after="20"/>
              <w:ind w:left="-1554" w:right="227"/>
              <w:jc w:val="right"/>
              <w:rPr>
                <w:rFonts w:eastAsia="Times New Roman"/>
                <w:b/>
                <w:sz w:val="18"/>
                <w:szCs w:val="18"/>
              </w:rPr>
            </w:pPr>
            <w:r w:rsidRPr="00472665">
              <w:rPr>
                <w:rFonts w:eastAsia="Times New Roman"/>
                <w:b/>
                <w:sz w:val="18"/>
                <w:szCs w:val="18"/>
              </w:rPr>
              <w:t>97 558</w:t>
            </w:r>
          </w:p>
        </w:tc>
        <w:tc>
          <w:tcPr>
            <w:tcW w:w="1142" w:type="dxa"/>
            <w:tcBorders>
              <w:bottom w:val="single" w:sz="4" w:space="0" w:color="auto"/>
            </w:tcBorders>
            <w:shd w:val="clear" w:color="auto" w:fill="auto"/>
            <w:vAlign w:val="center"/>
          </w:tcPr>
          <w:p w14:paraId="0806BD2E" w14:textId="77777777" w:rsidR="00472665" w:rsidRPr="00472665" w:rsidRDefault="00472665" w:rsidP="00472665">
            <w:pPr>
              <w:spacing w:before="20" w:after="20"/>
              <w:ind w:left="-1554" w:right="170"/>
              <w:jc w:val="right"/>
              <w:rPr>
                <w:rFonts w:eastAsia="Times New Roman"/>
                <w:b/>
                <w:sz w:val="18"/>
                <w:szCs w:val="18"/>
              </w:rPr>
            </w:pPr>
            <w:r w:rsidRPr="00472665">
              <w:rPr>
                <w:rFonts w:eastAsia="Times New Roman"/>
                <w:b/>
                <w:sz w:val="18"/>
                <w:szCs w:val="18"/>
              </w:rPr>
              <w:t>104 902</w:t>
            </w:r>
          </w:p>
        </w:tc>
        <w:tc>
          <w:tcPr>
            <w:tcW w:w="1183" w:type="dxa"/>
            <w:tcBorders>
              <w:bottom w:val="single" w:sz="4" w:space="0" w:color="auto"/>
            </w:tcBorders>
            <w:shd w:val="clear" w:color="auto" w:fill="auto"/>
            <w:vAlign w:val="center"/>
          </w:tcPr>
          <w:p w14:paraId="059448AF" w14:textId="77777777" w:rsidR="00472665" w:rsidRPr="00472665" w:rsidRDefault="00472665" w:rsidP="00472665">
            <w:pPr>
              <w:spacing w:before="20" w:after="20"/>
              <w:ind w:left="-1554" w:right="227"/>
              <w:jc w:val="right"/>
              <w:rPr>
                <w:rFonts w:eastAsia="Times New Roman"/>
                <w:b/>
                <w:sz w:val="18"/>
                <w:szCs w:val="18"/>
              </w:rPr>
            </w:pPr>
            <w:r w:rsidRPr="00472665">
              <w:rPr>
                <w:rFonts w:eastAsia="Times New Roman"/>
                <w:b/>
                <w:sz w:val="18"/>
                <w:szCs w:val="18"/>
              </w:rPr>
              <w:t>7 344</w:t>
            </w:r>
          </w:p>
        </w:tc>
        <w:tc>
          <w:tcPr>
            <w:tcW w:w="1300" w:type="dxa"/>
            <w:tcBorders>
              <w:bottom w:val="single" w:sz="4" w:space="0" w:color="auto"/>
            </w:tcBorders>
            <w:shd w:val="clear" w:color="auto" w:fill="auto"/>
            <w:vAlign w:val="center"/>
          </w:tcPr>
          <w:p w14:paraId="24B5132E" w14:textId="77777777" w:rsidR="00472665" w:rsidRPr="00472665" w:rsidRDefault="00472665" w:rsidP="00472665">
            <w:pPr>
              <w:spacing w:before="20" w:after="20"/>
              <w:ind w:right="340"/>
              <w:jc w:val="right"/>
              <w:rPr>
                <w:rFonts w:eastAsia="Times New Roman"/>
                <w:b/>
                <w:sz w:val="18"/>
                <w:szCs w:val="18"/>
              </w:rPr>
            </w:pPr>
            <w:r w:rsidRPr="00472665">
              <w:rPr>
                <w:rFonts w:eastAsia="Times New Roman"/>
                <w:b/>
                <w:sz w:val="18"/>
                <w:szCs w:val="18"/>
              </w:rPr>
              <w:t>7.5</w:t>
            </w:r>
          </w:p>
        </w:tc>
      </w:tr>
      <w:tr w:rsidR="00472665" w:rsidRPr="00472665" w14:paraId="2E0DB116" w14:textId="77777777" w:rsidTr="00251E61">
        <w:trPr>
          <w:jc w:val="center"/>
        </w:trPr>
        <w:tc>
          <w:tcPr>
            <w:tcW w:w="7028" w:type="dxa"/>
            <w:gridSpan w:val="5"/>
            <w:tcBorders>
              <w:left w:val="nil"/>
              <w:bottom w:val="nil"/>
              <w:right w:val="nil"/>
            </w:tcBorders>
            <w:shd w:val="clear" w:color="auto" w:fill="auto"/>
            <w:vAlign w:val="center"/>
          </w:tcPr>
          <w:p w14:paraId="095F55D1" w14:textId="77777777" w:rsidR="00472665" w:rsidRPr="00472665" w:rsidRDefault="00472665" w:rsidP="00472665">
            <w:pPr>
              <w:rPr>
                <w:rFonts w:eastAsia="Times New Roman"/>
                <w:sz w:val="20"/>
                <w:szCs w:val="20"/>
              </w:rPr>
            </w:pPr>
            <w:r w:rsidRPr="00472665">
              <w:rPr>
                <w:rFonts w:eastAsia="Times New Roman"/>
                <w:sz w:val="20"/>
                <w:szCs w:val="20"/>
              </w:rPr>
              <w:t>* Camiones pesados incluye: F450, F550.</w:t>
            </w:r>
          </w:p>
          <w:p w14:paraId="296BF7C9" w14:textId="77777777" w:rsidR="00472665" w:rsidRPr="00472665" w:rsidRDefault="00472665" w:rsidP="00472665">
            <w:pPr>
              <w:ind w:right="-159"/>
              <w:jc w:val="both"/>
              <w:rPr>
                <w:rFonts w:eastAsia="Times New Roman"/>
                <w:b/>
                <w:sz w:val="20"/>
                <w:szCs w:val="20"/>
              </w:rPr>
            </w:pPr>
            <w:r w:rsidRPr="00472665">
              <w:rPr>
                <w:rFonts w:eastAsia="Times New Roman"/>
                <w:sz w:val="20"/>
                <w:szCs w:val="20"/>
              </w:rPr>
              <w:t>FUENTE: AMDA.</w:t>
            </w:r>
          </w:p>
        </w:tc>
      </w:tr>
    </w:tbl>
    <w:p w14:paraId="5E4F7561" w14:textId="77777777" w:rsidR="00472665" w:rsidRPr="00472665" w:rsidRDefault="00472665" w:rsidP="00472665">
      <w:pPr>
        <w:tabs>
          <w:tab w:val="left" w:pos="2835"/>
        </w:tabs>
        <w:spacing w:after="360" w:line="360" w:lineRule="auto"/>
        <w:ind w:right="-159"/>
        <w:jc w:val="both"/>
        <w:rPr>
          <w:rFonts w:eastAsia="Times New Roman"/>
          <w:b/>
          <w:bCs/>
          <w:sz w:val="26"/>
          <w:szCs w:val="26"/>
        </w:rPr>
      </w:pPr>
    </w:p>
    <w:p w14:paraId="2956E2A8" w14:textId="77777777" w:rsidR="00472665" w:rsidRPr="00472665" w:rsidRDefault="00472665" w:rsidP="00472665">
      <w:pPr>
        <w:spacing w:after="360" w:line="360" w:lineRule="auto"/>
        <w:ind w:right="-159"/>
        <w:jc w:val="both"/>
        <w:rPr>
          <w:rFonts w:eastAsia="Times New Roman"/>
          <w:b/>
          <w:sz w:val="26"/>
          <w:szCs w:val="26"/>
        </w:rPr>
      </w:pPr>
      <w:r w:rsidRPr="00472665">
        <w:rPr>
          <w:rFonts w:eastAsia="Times New Roman"/>
          <w:b/>
          <w:sz w:val="26"/>
          <w:szCs w:val="26"/>
        </w:rPr>
        <w:t>Financiamiento a la adquisición de vehículos</w:t>
      </w:r>
    </w:p>
    <w:p w14:paraId="05420766" w14:textId="7DDFDFEF" w:rsidR="00472665" w:rsidRPr="00472665" w:rsidRDefault="00472665" w:rsidP="00472665">
      <w:pPr>
        <w:spacing w:after="360" w:line="360" w:lineRule="auto"/>
        <w:ind w:right="-159"/>
        <w:jc w:val="both"/>
        <w:rPr>
          <w:rFonts w:eastAsia="Times New Roman"/>
          <w:sz w:val="26"/>
          <w:szCs w:val="26"/>
        </w:rPr>
      </w:pPr>
      <w:r w:rsidRPr="00472665">
        <w:rPr>
          <w:rFonts w:eastAsia="Times New Roman"/>
          <w:sz w:val="26"/>
          <w:szCs w:val="26"/>
        </w:rPr>
        <w:t>En el período enero-febrero de 2015 se registraron 130 mil 347 colocaciones</w:t>
      </w:r>
      <w:r w:rsidR="00A871F8">
        <w:rPr>
          <w:rFonts w:eastAsia="Times New Roman"/>
          <w:sz w:val="26"/>
          <w:szCs w:val="26"/>
        </w:rPr>
        <w:t>,</w:t>
      </w:r>
      <w:r w:rsidRPr="00472665">
        <w:rPr>
          <w:rFonts w:eastAsia="Times New Roman"/>
          <w:sz w:val="26"/>
          <w:szCs w:val="26"/>
        </w:rPr>
        <w:t xml:space="preserve"> lo que representa un incremento de 26.3% con respecto a 2014, lo que equivale a 27 mil 141 </w:t>
      </w:r>
      <w:r w:rsidRPr="00472665">
        <w:rPr>
          <w:rFonts w:eastAsia="Times New Roman"/>
          <w:sz w:val="26"/>
          <w:szCs w:val="26"/>
        </w:rPr>
        <w:lastRenderedPageBreak/>
        <w:t>unidades más. Las cifras de este período están 0.5% por encima de las registradas en 2007.</w:t>
      </w:r>
    </w:p>
    <w:tbl>
      <w:tblPr>
        <w:tblW w:w="0" w:type="auto"/>
        <w:jc w:val="center"/>
        <w:tblLook w:val="04A0" w:firstRow="1" w:lastRow="0" w:firstColumn="1" w:lastColumn="0" w:noHBand="0" w:noVBand="1"/>
      </w:tblPr>
      <w:tblGrid>
        <w:gridCol w:w="8840"/>
      </w:tblGrid>
      <w:tr w:rsidR="00472665" w:rsidRPr="00472665" w14:paraId="44989304" w14:textId="77777777" w:rsidTr="00251E61">
        <w:trPr>
          <w:trHeight w:val="248"/>
          <w:jc w:val="center"/>
        </w:trPr>
        <w:tc>
          <w:tcPr>
            <w:tcW w:w="8840" w:type="dxa"/>
          </w:tcPr>
          <w:p w14:paraId="512288A7" w14:textId="77777777" w:rsidR="00472665" w:rsidRPr="00472665" w:rsidRDefault="00472665" w:rsidP="00472665">
            <w:pPr>
              <w:jc w:val="center"/>
              <w:rPr>
                <w:rFonts w:eastAsia="Times New Roman"/>
                <w:b/>
                <w:sz w:val="22"/>
                <w:szCs w:val="22"/>
                <w:lang w:val="es-ES"/>
              </w:rPr>
            </w:pPr>
            <w:r w:rsidRPr="00472665">
              <w:rPr>
                <w:rFonts w:eastAsia="Times New Roman"/>
                <w:b/>
                <w:sz w:val="22"/>
                <w:szCs w:val="22"/>
                <w:lang w:val="es-ES"/>
              </w:rPr>
              <w:t>PARTICIPACIÓN EN EL TOTAL DE UNIDADES FINANCIADAS</w:t>
            </w:r>
          </w:p>
          <w:p w14:paraId="34E15C24" w14:textId="77777777" w:rsidR="00472665" w:rsidRPr="00472665" w:rsidRDefault="00472665" w:rsidP="00472665">
            <w:pPr>
              <w:jc w:val="center"/>
              <w:rPr>
                <w:rFonts w:eastAsia="Times New Roman"/>
                <w:noProof/>
                <w:sz w:val="22"/>
                <w:szCs w:val="22"/>
                <w:lang w:val="es-ES" w:eastAsia="es-MX"/>
              </w:rPr>
            </w:pPr>
            <w:r w:rsidRPr="00472665">
              <w:rPr>
                <w:rFonts w:eastAsia="Times New Roman"/>
                <w:b/>
                <w:sz w:val="22"/>
                <w:szCs w:val="22"/>
                <w:lang w:val="es-ES"/>
              </w:rPr>
              <w:t>-Absolutos y porcentaje-</w:t>
            </w:r>
          </w:p>
        </w:tc>
      </w:tr>
      <w:tr w:rsidR="00472665" w:rsidRPr="00472665" w14:paraId="1A794B44" w14:textId="77777777" w:rsidTr="00251E61">
        <w:trPr>
          <w:trHeight w:val="149"/>
          <w:jc w:val="center"/>
        </w:trPr>
        <w:tc>
          <w:tcPr>
            <w:tcW w:w="8840" w:type="dxa"/>
          </w:tcPr>
          <w:p w14:paraId="2C4CD44D" w14:textId="77777777" w:rsidR="00472665" w:rsidRPr="00472665" w:rsidRDefault="00472665" w:rsidP="00472665">
            <w:pPr>
              <w:ind w:left="-113"/>
              <w:jc w:val="center"/>
              <w:rPr>
                <w:rFonts w:eastAsia="Times New Roman"/>
                <w:sz w:val="22"/>
                <w:szCs w:val="22"/>
                <w:lang w:val="es-ES"/>
              </w:rPr>
            </w:pPr>
            <w:r w:rsidRPr="00472665">
              <w:rPr>
                <w:rFonts w:eastAsia="Times New Roman"/>
                <w:noProof/>
                <w:sz w:val="22"/>
                <w:szCs w:val="22"/>
                <w:lang w:eastAsia="es-MX"/>
              </w:rPr>
              <w:drawing>
                <wp:inline distT="0" distB="0" distL="0" distR="0" wp14:anchorId="117A0EF8" wp14:editId="129D0435">
                  <wp:extent cx="5498163" cy="1728000"/>
                  <wp:effectExtent l="0" t="0" r="7620" b="0"/>
                  <wp:docPr id="1771" name="Imagen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4584" t="3133" r="6791" b="7219"/>
                          <a:stretch/>
                        </pic:blipFill>
                        <pic:spPr bwMode="auto">
                          <a:xfrm>
                            <a:off x="0" y="0"/>
                            <a:ext cx="5498163" cy="172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1B836569" w14:textId="77777777" w:rsidTr="00251E61">
        <w:trPr>
          <w:trHeight w:val="345"/>
          <w:jc w:val="center"/>
        </w:trPr>
        <w:tc>
          <w:tcPr>
            <w:tcW w:w="8840" w:type="dxa"/>
          </w:tcPr>
          <w:p w14:paraId="3A493982" w14:textId="77777777" w:rsidR="00472665" w:rsidRPr="00472665" w:rsidRDefault="00472665" w:rsidP="00472665">
            <w:pPr>
              <w:ind w:left="662" w:right="368" w:hanging="486"/>
              <w:jc w:val="both"/>
              <w:rPr>
                <w:rFonts w:eastAsia="Times New Roman"/>
                <w:noProof/>
                <w:sz w:val="20"/>
                <w:szCs w:val="20"/>
                <w:lang w:eastAsia="es-MX"/>
              </w:rPr>
            </w:pPr>
            <w:r w:rsidRPr="00472665">
              <w:rPr>
                <w:rFonts w:eastAsia="Times New Roman"/>
                <w:noProof/>
                <w:sz w:val="20"/>
                <w:szCs w:val="20"/>
                <w:lang w:eastAsia="es-MX"/>
              </w:rPr>
              <w:t>Nota: Incluye información de la mayoría de las instituciones crediticias, por lo tanto es un indicador de tendencia.</w:t>
            </w:r>
          </w:p>
          <w:p w14:paraId="263006D8" w14:textId="77777777" w:rsidR="00472665" w:rsidRPr="00472665" w:rsidRDefault="00472665" w:rsidP="00472665">
            <w:pPr>
              <w:ind w:left="601" w:right="-108" w:hanging="425"/>
              <w:jc w:val="both"/>
              <w:rPr>
                <w:rFonts w:eastAsia="Times New Roman"/>
                <w:noProof/>
                <w:sz w:val="20"/>
                <w:szCs w:val="20"/>
                <w:lang w:eastAsia="es-MX"/>
              </w:rPr>
            </w:pPr>
            <w:r w:rsidRPr="00472665">
              <w:rPr>
                <w:rFonts w:eastAsia="Times New Roman"/>
                <w:noProof/>
                <w:sz w:val="20"/>
                <w:szCs w:val="20"/>
                <w:lang w:eastAsia="es-MX"/>
              </w:rPr>
              <w:t>FUENTE: AMDA con información de JATO Dynamics.</w:t>
            </w:r>
          </w:p>
        </w:tc>
      </w:tr>
    </w:tbl>
    <w:p w14:paraId="1AD637ED" w14:textId="77777777" w:rsidR="00472665" w:rsidRPr="00472665" w:rsidRDefault="00472665" w:rsidP="00472665">
      <w:pPr>
        <w:spacing w:after="360" w:line="360" w:lineRule="auto"/>
        <w:ind w:right="-159" w:firstLine="284"/>
        <w:jc w:val="both"/>
        <w:rPr>
          <w:rFonts w:eastAsia="Times New Roman"/>
          <w:sz w:val="26"/>
          <w:szCs w:val="26"/>
          <w:highlight w:val="yellow"/>
        </w:rPr>
      </w:pPr>
    </w:p>
    <w:tbl>
      <w:tblPr>
        <w:tblW w:w="0" w:type="auto"/>
        <w:tblLook w:val="04A0" w:firstRow="1" w:lastRow="0" w:firstColumn="1" w:lastColumn="0" w:noHBand="0" w:noVBand="1"/>
      </w:tblPr>
      <w:tblGrid>
        <w:gridCol w:w="8840"/>
      </w:tblGrid>
      <w:tr w:rsidR="00472665" w:rsidRPr="00472665" w14:paraId="673530B5" w14:textId="77777777" w:rsidTr="00251E61">
        <w:trPr>
          <w:trHeight w:val="248"/>
        </w:trPr>
        <w:tc>
          <w:tcPr>
            <w:tcW w:w="8840" w:type="dxa"/>
          </w:tcPr>
          <w:p w14:paraId="272C3D37" w14:textId="77777777" w:rsidR="00472665" w:rsidRPr="00472665" w:rsidRDefault="00472665" w:rsidP="00472665">
            <w:pPr>
              <w:jc w:val="center"/>
              <w:rPr>
                <w:rFonts w:eastAsia="Times New Roman"/>
                <w:noProof/>
                <w:sz w:val="22"/>
                <w:szCs w:val="22"/>
                <w:lang w:val="es-ES" w:eastAsia="es-MX"/>
              </w:rPr>
            </w:pPr>
            <w:r w:rsidRPr="00472665">
              <w:rPr>
                <w:rFonts w:eastAsia="Times New Roman"/>
                <w:b/>
                <w:sz w:val="22"/>
                <w:szCs w:val="22"/>
                <w:lang w:val="es-ES"/>
              </w:rPr>
              <w:t>UNIDADES FINANCIADAS EN FEBRERO* DE CADA AÑO 2007-2015</w:t>
            </w:r>
          </w:p>
        </w:tc>
      </w:tr>
      <w:tr w:rsidR="00472665" w:rsidRPr="00472665" w14:paraId="090A8D45" w14:textId="77777777" w:rsidTr="00251E61">
        <w:trPr>
          <w:trHeight w:val="319"/>
        </w:trPr>
        <w:tc>
          <w:tcPr>
            <w:tcW w:w="8840" w:type="dxa"/>
          </w:tcPr>
          <w:p w14:paraId="7E9A85C3" w14:textId="77777777" w:rsidR="00472665" w:rsidRPr="00472665" w:rsidRDefault="00472665" w:rsidP="00472665">
            <w:pPr>
              <w:jc w:val="center"/>
              <w:rPr>
                <w:rFonts w:eastAsia="Times New Roman"/>
                <w:sz w:val="22"/>
                <w:szCs w:val="22"/>
                <w:lang w:val="es-ES"/>
              </w:rPr>
            </w:pPr>
            <w:r w:rsidRPr="00472665">
              <w:rPr>
                <w:rFonts w:eastAsia="Times New Roman"/>
                <w:noProof/>
                <w:sz w:val="22"/>
                <w:szCs w:val="22"/>
                <w:lang w:eastAsia="es-MX"/>
              </w:rPr>
              <w:drawing>
                <wp:inline distT="0" distB="0" distL="0" distR="0" wp14:anchorId="2CB71D01" wp14:editId="07E0683D">
                  <wp:extent cx="4402847" cy="2880000"/>
                  <wp:effectExtent l="0" t="0" r="0" b="0"/>
                  <wp:docPr id="1772" name="Imagen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2377" t="5089" r="2887" b="2035"/>
                          <a:stretch/>
                        </pic:blipFill>
                        <pic:spPr bwMode="auto">
                          <a:xfrm>
                            <a:off x="0" y="0"/>
                            <a:ext cx="4402847"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74A9D276" w14:textId="77777777" w:rsidTr="00251E61">
        <w:trPr>
          <w:trHeight w:val="345"/>
        </w:trPr>
        <w:tc>
          <w:tcPr>
            <w:tcW w:w="8840" w:type="dxa"/>
          </w:tcPr>
          <w:p w14:paraId="74DA3441" w14:textId="77777777" w:rsidR="00472665" w:rsidRPr="00472665" w:rsidRDefault="00472665" w:rsidP="00472665">
            <w:pPr>
              <w:ind w:left="1390" w:right="935" w:hanging="505"/>
              <w:jc w:val="both"/>
              <w:rPr>
                <w:rFonts w:eastAsia="Times New Roman"/>
                <w:noProof/>
                <w:sz w:val="20"/>
                <w:szCs w:val="20"/>
                <w:lang w:eastAsia="es-MX"/>
              </w:rPr>
            </w:pPr>
            <w:r w:rsidRPr="00472665">
              <w:rPr>
                <w:rFonts w:eastAsia="Times New Roman"/>
                <w:noProof/>
                <w:sz w:val="20"/>
                <w:szCs w:val="20"/>
                <w:lang w:eastAsia="es-MX"/>
              </w:rPr>
              <w:t>Nota: Incluye información de la mayoría de las instituciones crediticias, por lo tanto es un indicador de tendencia.</w:t>
            </w:r>
          </w:p>
          <w:p w14:paraId="7213978C" w14:textId="77777777" w:rsidR="00472665" w:rsidRPr="00472665" w:rsidRDefault="00472665" w:rsidP="00472665">
            <w:pPr>
              <w:ind w:firstLine="885"/>
              <w:rPr>
                <w:rFonts w:eastAsia="Times New Roman"/>
                <w:noProof/>
                <w:sz w:val="22"/>
                <w:szCs w:val="22"/>
                <w:lang w:eastAsia="es-MX"/>
              </w:rPr>
            </w:pPr>
            <w:r w:rsidRPr="00472665">
              <w:rPr>
                <w:rFonts w:eastAsia="Times New Roman"/>
                <w:noProof/>
                <w:sz w:val="20"/>
                <w:szCs w:val="20"/>
                <w:lang w:eastAsia="es-MX"/>
              </w:rPr>
              <w:t>FUENTE: AMDA con información de JATO Dynamic.</w:t>
            </w:r>
          </w:p>
        </w:tc>
      </w:tr>
    </w:tbl>
    <w:p w14:paraId="31FBFBC5" w14:textId="77777777" w:rsidR="00472665" w:rsidRPr="00472665" w:rsidRDefault="00472665" w:rsidP="00472665">
      <w:pPr>
        <w:spacing w:after="360" w:line="360" w:lineRule="auto"/>
        <w:ind w:right="-159"/>
        <w:jc w:val="both"/>
        <w:rPr>
          <w:rFonts w:eastAsia="Times New Roman"/>
          <w:sz w:val="26"/>
          <w:szCs w:val="26"/>
        </w:rPr>
      </w:pPr>
    </w:p>
    <w:p w14:paraId="3774F5D3" w14:textId="77777777" w:rsidR="00F20067" w:rsidRDefault="00F20067" w:rsidP="00472665">
      <w:pPr>
        <w:spacing w:after="360" w:line="360" w:lineRule="auto"/>
        <w:ind w:right="-159"/>
        <w:jc w:val="both"/>
        <w:rPr>
          <w:rFonts w:eastAsia="Times New Roman"/>
          <w:sz w:val="26"/>
          <w:szCs w:val="26"/>
        </w:rPr>
      </w:pPr>
    </w:p>
    <w:p w14:paraId="2AF674A2" w14:textId="77777777" w:rsidR="00472665" w:rsidRPr="00472665" w:rsidRDefault="00472665" w:rsidP="00472665">
      <w:pPr>
        <w:spacing w:after="360" w:line="360" w:lineRule="auto"/>
        <w:ind w:right="-159"/>
        <w:jc w:val="both"/>
        <w:rPr>
          <w:rFonts w:eastAsia="Times New Roman"/>
          <w:sz w:val="26"/>
          <w:szCs w:val="26"/>
        </w:rPr>
      </w:pPr>
      <w:r w:rsidRPr="00472665">
        <w:rPr>
          <w:rFonts w:eastAsia="Times New Roman"/>
          <w:sz w:val="26"/>
          <w:szCs w:val="26"/>
        </w:rPr>
        <w:lastRenderedPageBreak/>
        <w:t>Del total de ventas en el período Enero</w:t>
      </w:r>
      <w:r w:rsidRPr="00472665">
        <w:rPr>
          <w:rFonts w:ascii="Cambria Math" w:eastAsia="Times New Roman" w:hAnsi="Cambria Math" w:cs="Cambria Math"/>
          <w:sz w:val="26"/>
          <w:szCs w:val="26"/>
        </w:rPr>
        <w:t>‐</w:t>
      </w:r>
      <w:r w:rsidRPr="00472665">
        <w:rPr>
          <w:rFonts w:eastAsia="Times New Roman"/>
          <w:sz w:val="26"/>
          <w:szCs w:val="26"/>
        </w:rPr>
        <w:t>Febrero 2015, 65% se financiaron.</w:t>
      </w:r>
    </w:p>
    <w:p w14:paraId="4BE529F1" w14:textId="77777777" w:rsidR="00472665" w:rsidRPr="00472665" w:rsidRDefault="00472665" w:rsidP="00472665">
      <w:pPr>
        <w:tabs>
          <w:tab w:val="left" w:pos="2835"/>
        </w:tabs>
        <w:spacing w:after="360" w:line="360" w:lineRule="auto"/>
        <w:ind w:right="-159"/>
        <w:jc w:val="both"/>
        <w:rPr>
          <w:rFonts w:eastAsia="Times New Roman"/>
          <w:b/>
          <w:bCs/>
          <w:sz w:val="26"/>
          <w:szCs w:val="26"/>
        </w:rPr>
      </w:pPr>
      <w:r w:rsidRPr="00472665">
        <w:rPr>
          <w:rFonts w:eastAsia="Times New Roman"/>
          <w:b/>
          <w:bCs/>
          <w:sz w:val="26"/>
          <w:szCs w:val="26"/>
        </w:rPr>
        <w:t>Crédito otorgado por la banca comercial</w:t>
      </w:r>
    </w:p>
    <w:p w14:paraId="3186DA25" w14:textId="109EDDC5" w:rsidR="00472665" w:rsidRPr="00472665" w:rsidRDefault="00472665" w:rsidP="00472665">
      <w:pPr>
        <w:tabs>
          <w:tab w:val="left" w:pos="2835"/>
        </w:tabs>
        <w:spacing w:before="480" w:after="360" w:line="360" w:lineRule="auto"/>
        <w:ind w:right="-159"/>
        <w:jc w:val="both"/>
        <w:rPr>
          <w:rFonts w:eastAsia="Times New Roman"/>
          <w:bCs/>
          <w:sz w:val="26"/>
          <w:szCs w:val="26"/>
        </w:rPr>
      </w:pPr>
      <w:r w:rsidRPr="00472665">
        <w:rPr>
          <w:rFonts w:eastAsia="Times New Roman"/>
          <w:bCs/>
          <w:sz w:val="26"/>
          <w:szCs w:val="26"/>
        </w:rPr>
        <w:t>El crédito vigente otorgado por la banca comercial al sector privado del país registró una variación anual (febrero de 2014-febrero de 2015) de 5.4%, en tanto que la variación del crédito vencido fue de 1.4 por ciento.</w:t>
      </w:r>
    </w:p>
    <w:tbl>
      <w:tblPr>
        <w:tblW w:w="0" w:type="auto"/>
        <w:jc w:val="center"/>
        <w:tblLook w:val="04A0" w:firstRow="1" w:lastRow="0" w:firstColumn="1" w:lastColumn="0" w:noHBand="0" w:noVBand="1"/>
      </w:tblPr>
      <w:tblGrid>
        <w:gridCol w:w="8840"/>
      </w:tblGrid>
      <w:tr w:rsidR="00472665" w:rsidRPr="00472665" w14:paraId="29C13B45" w14:textId="77777777" w:rsidTr="00472665">
        <w:trPr>
          <w:jc w:val="center"/>
        </w:trPr>
        <w:tc>
          <w:tcPr>
            <w:tcW w:w="8840" w:type="dxa"/>
            <w:shd w:val="clear" w:color="auto" w:fill="FFFFFF"/>
          </w:tcPr>
          <w:p w14:paraId="1D6B7DE2" w14:textId="77777777" w:rsidR="00472665" w:rsidRPr="00472665" w:rsidRDefault="00472665" w:rsidP="00472665">
            <w:pPr>
              <w:jc w:val="center"/>
              <w:rPr>
                <w:rFonts w:eastAsia="Times New Roman"/>
                <w:b/>
                <w:caps/>
                <w:sz w:val="22"/>
                <w:szCs w:val="20"/>
                <w:lang w:val="es-ES"/>
              </w:rPr>
            </w:pPr>
            <w:r w:rsidRPr="00472665">
              <w:rPr>
                <w:rFonts w:eastAsia="Times New Roman"/>
                <w:b/>
                <w:caps/>
                <w:sz w:val="22"/>
                <w:szCs w:val="20"/>
                <w:lang w:val="es-ES"/>
              </w:rPr>
              <w:t xml:space="preserve">CRÉDITO OTORGADO POR LA BANCA COMERCIAL </w:t>
            </w:r>
          </w:p>
          <w:p w14:paraId="3FC902AB" w14:textId="77777777" w:rsidR="00472665" w:rsidRPr="00472665" w:rsidRDefault="00472665" w:rsidP="00472665">
            <w:pPr>
              <w:jc w:val="center"/>
              <w:rPr>
                <w:rFonts w:eastAsia="Times New Roman"/>
                <w:b/>
                <w:caps/>
                <w:sz w:val="22"/>
                <w:szCs w:val="20"/>
                <w:lang w:val="es-ES"/>
              </w:rPr>
            </w:pPr>
            <w:r w:rsidRPr="00472665">
              <w:rPr>
                <w:rFonts w:eastAsia="Times New Roman"/>
                <w:b/>
                <w:caps/>
                <w:sz w:val="22"/>
                <w:szCs w:val="20"/>
                <w:lang w:val="es-ES"/>
              </w:rPr>
              <w:t>AL SECTOR PRIVADO DEL PAÍS</w:t>
            </w:r>
          </w:p>
          <w:p w14:paraId="1D784379" w14:textId="77777777" w:rsidR="00472665" w:rsidRPr="00472665" w:rsidRDefault="00472665" w:rsidP="00472665">
            <w:pPr>
              <w:jc w:val="center"/>
              <w:rPr>
                <w:rFonts w:eastAsia="Times New Roman"/>
                <w:b/>
                <w:sz w:val="26"/>
                <w:szCs w:val="26"/>
              </w:rPr>
            </w:pPr>
            <w:r w:rsidRPr="00472665">
              <w:rPr>
                <w:rFonts w:eastAsia="Times New Roman"/>
                <w:b/>
                <w:caps/>
                <w:sz w:val="22"/>
                <w:szCs w:val="20"/>
                <w:lang w:val="es-ES"/>
              </w:rPr>
              <w:t>-</w:t>
            </w:r>
            <w:r w:rsidRPr="00472665">
              <w:rPr>
                <w:rFonts w:eastAsia="Times New Roman"/>
                <w:b/>
                <w:sz w:val="22"/>
                <w:szCs w:val="20"/>
                <w:lang w:val="es-ES"/>
              </w:rPr>
              <w:t xml:space="preserve">Millones de pesos enero </w:t>
            </w:r>
            <w:r w:rsidRPr="00472665">
              <w:rPr>
                <w:rFonts w:eastAsia="Times New Roman"/>
                <w:b/>
                <w:caps/>
                <w:sz w:val="22"/>
                <w:szCs w:val="20"/>
                <w:lang w:val="es-ES"/>
              </w:rPr>
              <w:t>2010=100-</w:t>
            </w:r>
          </w:p>
        </w:tc>
      </w:tr>
      <w:tr w:rsidR="00472665" w:rsidRPr="00472665" w14:paraId="58954960" w14:textId="77777777" w:rsidTr="00251E61">
        <w:trPr>
          <w:jc w:val="center"/>
        </w:trPr>
        <w:tc>
          <w:tcPr>
            <w:tcW w:w="8840" w:type="dxa"/>
          </w:tcPr>
          <w:p w14:paraId="750B9663" w14:textId="77777777" w:rsidR="00472665" w:rsidRPr="00472665" w:rsidRDefault="00472665" w:rsidP="00472665">
            <w:pPr>
              <w:jc w:val="center"/>
              <w:rPr>
                <w:rFonts w:eastAsia="Times New Roman"/>
                <w:b/>
                <w:sz w:val="26"/>
                <w:szCs w:val="26"/>
              </w:rPr>
            </w:pPr>
            <w:r w:rsidRPr="00472665">
              <w:rPr>
                <w:rFonts w:eastAsia="Times New Roman"/>
                <w:b/>
                <w:noProof/>
                <w:sz w:val="26"/>
                <w:szCs w:val="26"/>
                <w:lang w:eastAsia="es-MX"/>
              </w:rPr>
              <w:drawing>
                <wp:inline distT="0" distB="0" distL="0" distR="0" wp14:anchorId="470B9A77" wp14:editId="2331AAD0">
                  <wp:extent cx="5369284" cy="2736000"/>
                  <wp:effectExtent l="0" t="0" r="0" b="0"/>
                  <wp:docPr id="1773" name="Imagen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l="2377"/>
                          <a:stretch/>
                        </pic:blipFill>
                        <pic:spPr bwMode="auto">
                          <a:xfrm>
                            <a:off x="0" y="0"/>
                            <a:ext cx="5369284" cy="273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3DB3B140" w14:textId="77777777" w:rsidTr="00251E61">
        <w:trPr>
          <w:jc w:val="center"/>
        </w:trPr>
        <w:tc>
          <w:tcPr>
            <w:tcW w:w="8840" w:type="dxa"/>
          </w:tcPr>
          <w:p w14:paraId="722CD9FD" w14:textId="77777777" w:rsidR="00472665" w:rsidRPr="00472665" w:rsidRDefault="00472665" w:rsidP="00472665">
            <w:pPr>
              <w:tabs>
                <w:tab w:val="left" w:pos="1452"/>
              </w:tabs>
              <w:ind w:left="993" w:firstLine="459"/>
              <w:jc w:val="both"/>
              <w:rPr>
                <w:rFonts w:eastAsia="Times New Roman"/>
                <w:b/>
                <w:sz w:val="26"/>
                <w:szCs w:val="26"/>
              </w:rPr>
            </w:pPr>
            <w:r w:rsidRPr="00472665">
              <w:rPr>
                <w:rFonts w:eastAsia="Times New Roman"/>
                <w:sz w:val="20"/>
                <w:szCs w:val="20"/>
                <w:lang w:val="es-ES"/>
              </w:rPr>
              <w:t>FUENTE: Banxico.</w:t>
            </w:r>
          </w:p>
        </w:tc>
      </w:tr>
    </w:tbl>
    <w:p w14:paraId="31A3C549" w14:textId="77777777" w:rsidR="00472665" w:rsidRPr="00472665" w:rsidRDefault="00472665" w:rsidP="00472665">
      <w:pPr>
        <w:tabs>
          <w:tab w:val="left" w:pos="2835"/>
        </w:tabs>
        <w:spacing w:after="360" w:line="360" w:lineRule="auto"/>
        <w:ind w:right="-159"/>
        <w:jc w:val="both"/>
        <w:rPr>
          <w:rFonts w:eastAsia="Times New Roman"/>
          <w:bCs/>
          <w:sz w:val="26"/>
          <w:szCs w:val="26"/>
        </w:rPr>
      </w:pPr>
    </w:p>
    <w:p w14:paraId="72D43D9C" w14:textId="77777777" w:rsidR="00472665" w:rsidRPr="00472665" w:rsidRDefault="00472665" w:rsidP="00472665">
      <w:pPr>
        <w:tabs>
          <w:tab w:val="left" w:pos="2835"/>
        </w:tabs>
        <w:spacing w:before="480" w:after="360" w:line="360" w:lineRule="auto"/>
        <w:ind w:right="-159"/>
        <w:jc w:val="both"/>
        <w:rPr>
          <w:rFonts w:eastAsia="Times New Roman"/>
          <w:bCs/>
          <w:sz w:val="26"/>
          <w:szCs w:val="26"/>
        </w:rPr>
      </w:pPr>
      <w:r w:rsidRPr="00472665">
        <w:rPr>
          <w:rFonts w:eastAsia="Times New Roman"/>
          <w:bCs/>
          <w:sz w:val="26"/>
          <w:szCs w:val="26"/>
        </w:rPr>
        <w:t>Para el caso del crédito vigente otorgado por la banca comercial al consumo, durante el período enero de 2015 respecto al mismo mes de 2014, el 0.9% negativo correspondió a tarjeta de crédito y el 2.6% a los bienes de consumo duradero.</w:t>
      </w:r>
    </w:p>
    <w:p w14:paraId="534C7D6F" w14:textId="77777777" w:rsidR="00472665" w:rsidRPr="00472665" w:rsidRDefault="00472665" w:rsidP="00472665">
      <w:pPr>
        <w:tabs>
          <w:tab w:val="left" w:pos="2835"/>
        </w:tabs>
        <w:spacing w:before="480" w:after="360" w:line="360" w:lineRule="auto"/>
        <w:ind w:right="-159"/>
        <w:jc w:val="both"/>
        <w:rPr>
          <w:rFonts w:eastAsia="Times New Roman"/>
          <w:bCs/>
          <w:sz w:val="26"/>
          <w:szCs w:val="26"/>
        </w:rPr>
      </w:pPr>
    </w:p>
    <w:p w14:paraId="3874FD97" w14:textId="77777777" w:rsidR="00472665" w:rsidRPr="00472665" w:rsidRDefault="00472665" w:rsidP="00472665">
      <w:pPr>
        <w:tabs>
          <w:tab w:val="left" w:pos="2835"/>
        </w:tabs>
        <w:spacing w:before="480" w:after="360" w:line="360" w:lineRule="auto"/>
        <w:ind w:right="-159"/>
        <w:jc w:val="both"/>
        <w:rPr>
          <w:rFonts w:eastAsia="Times New Roman"/>
          <w:bCs/>
          <w:sz w:val="26"/>
          <w:szCs w:val="26"/>
        </w:rPr>
      </w:pPr>
    </w:p>
    <w:tbl>
      <w:tblPr>
        <w:tblW w:w="9056" w:type="dxa"/>
        <w:jc w:val="center"/>
        <w:tblLook w:val="04A0" w:firstRow="1" w:lastRow="0" w:firstColumn="1" w:lastColumn="0" w:noHBand="0" w:noVBand="1"/>
      </w:tblPr>
      <w:tblGrid>
        <w:gridCol w:w="9056"/>
      </w:tblGrid>
      <w:tr w:rsidR="00472665" w:rsidRPr="00472665" w14:paraId="6FFA8BE6" w14:textId="77777777" w:rsidTr="00251E61">
        <w:trPr>
          <w:trHeight w:val="248"/>
          <w:jc w:val="center"/>
        </w:trPr>
        <w:tc>
          <w:tcPr>
            <w:tcW w:w="9056" w:type="dxa"/>
          </w:tcPr>
          <w:p w14:paraId="504AA799" w14:textId="77777777" w:rsidR="00472665" w:rsidRPr="00472665" w:rsidRDefault="00472665" w:rsidP="00472665">
            <w:pPr>
              <w:jc w:val="center"/>
              <w:rPr>
                <w:rFonts w:eastAsia="Times New Roman"/>
                <w:b/>
                <w:noProof/>
                <w:sz w:val="22"/>
                <w:szCs w:val="22"/>
                <w:lang w:val="es-ES" w:eastAsia="es-MX"/>
              </w:rPr>
            </w:pPr>
            <w:r w:rsidRPr="00472665">
              <w:rPr>
                <w:rFonts w:eastAsia="Times New Roman"/>
                <w:b/>
                <w:noProof/>
                <w:sz w:val="22"/>
                <w:szCs w:val="22"/>
                <w:lang w:val="es-ES" w:eastAsia="es-MX"/>
              </w:rPr>
              <w:lastRenderedPageBreak/>
              <w:t xml:space="preserve">CRÉDITO VIGENTE OTORGADO POR LA </w:t>
            </w:r>
          </w:p>
          <w:p w14:paraId="5B0C6E26" w14:textId="77777777" w:rsidR="00472665" w:rsidRPr="00472665" w:rsidRDefault="00472665" w:rsidP="00472665">
            <w:pPr>
              <w:jc w:val="center"/>
              <w:rPr>
                <w:rFonts w:eastAsia="Times New Roman"/>
                <w:b/>
                <w:noProof/>
                <w:sz w:val="22"/>
                <w:szCs w:val="22"/>
                <w:lang w:val="es-ES" w:eastAsia="es-MX"/>
              </w:rPr>
            </w:pPr>
            <w:r w:rsidRPr="00472665">
              <w:rPr>
                <w:rFonts w:eastAsia="Times New Roman"/>
                <w:b/>
                <w:noProof/>
                <w:sz w:val="22"/>
                <w:szCs w:val="22"/>
                <w:lang w:val="es-ES" w:eastAsia="es-MX"/>
              </w:rPr>
              <w:t>BANCA COMERCIAL AL CONSUMO</w:t>
            </w:r>
          </w:p>
          <w:p w14:paraId="06EA9248" w14:textId="77777777" w:rsidR="00472665" w:rsidRPr="00472665" w:rsidRDefault="00472665" w:rsidP="00472665">
            <w:pPr>
              <w:jc w:val="center"/>
              <w:rPr>
                <w:rFonts w:eastAsia="Times New Roman"/>
                <w:b/>
                <w:noProof/>
                <w:lang w:val="es-ES" w:eastAsia="es-MX"/>
              </w:rPr>
            </w:pPr>
            <w:r w:rsidRPr="00472665">
              <w:rPr>
                <w:rFonts w:eastAsia="Times New Roman"/>
                <w:b/>
                <w:noProof/>
                <w:sz w:val="22"/>
                <w:szCs w:val="22"/>
                <w:lang w:val="es-ES" w:eastAsia="es-MX"/>
              </w:rPr>
              <w:t>-Millones de pesos enero 2010=100-</w:t>
            </w:r>
          </w:p>
        </w:tc>
      </w:tr>
      <w:tr w:rsidR="00472665" w:rsidRPr="00472665" w14:paraId="213738EA" w14:textId="77777777" w:rsidTr="00251E61">
        <w:trPr>
          <w:trHeight w:val="265"/>
          <w:jc w:val="center"/>
        </w:trPr>
        <w:tc>
          <w:tcPr>
            <w:tcW w:w="9056" w:type="dxa"/>
          </w:tcPr>
          <w:p w14:paraId="79D5FC26" w14:textId="77777777" w:rsidR="00472665" w:rsidRPr="00472665" w:rsidRDefault="00472665" w:rsidP="00472665">
            <w:pPr>
              <w:jc w:val="center"/>
              <w:rPr>
                <w:rFonts w:eastAsia="Times New Roman"/>
                <w:sz w:val="22"/>
                <w:lang w:val="es-ES"/>
              </w:rPr>
            </w:pPr>
            <w:r w:rsidRPr="00472665">
              <w:rPr>
                <w:rFonts w:eastAsia="Times New Roman"/>
                <w:noProof/>
                <w:sz w:val="22"/>
                <w:lang w:eastAsia="es-MX"/>
              </w:rPr>
              <w:drawing>
                <wp:inline distT="0" distB="0" distL="0" distR="0" wp14:anchorId="4372B066" wp14:editId="21E613CC">
                  <wp:extent cx="5145853" cy="2736000"/>
                  <wp:effectExtent l="0" t="0" r="0" b="0"/>
                  <wp:docPr id="1774" name="Imagen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1868" r="1698"/>
                          <a:stretch/>
                        </pic:blipFill>
                        <pic:spPr bwMode="auto">
                          <a:xfrm>
                            <a:off x="0" y="0"/>
                            <a:ext cx="5145853" cy="273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35C875C0" w14:textId="77777777" w:rsidTr="00251E61">
        <w:trPr>
          <w:trHeight w:val="345"/>
          <w:jc w:val="center"/>
        </w:trPr>
        <w:tc>
          <w:tcPr>
            <w:tcW w:w="9056" w:type="dxa"/>
          </w:tcPr>
          <w:p w14:paraId="5E8F2D44" w14:textId="77777777" w:rsidR="00472665" w:rsidRPr="00472665" w:rsidRDefault="00472665" w:rsidP="00472665">
            <w:pPr>
              <w:ind w:left="1593"/>
              <w:rPr>
                <w:rFonts w:eastAsia="Times New Roman"/>
                <w:noProof/>
                <w:sz w:val="20"/>
                <w:szCs w:val="20"/>
                <w:lang w:eastAsia="es-MX"/>
              </w:rPr>
            </w:pPr>
            <w:r w:rsidRPr="00472665">
              <w:rPr>
                <w:rFonts w:eastAsia="Times New Roman"/>
                <w:noProof/>
                <w:sz w:val="20"/>
                <w:szCs w:val="20"/>
                <w:lang w:eastAsia="es-MX"/>
              </w:rPr>
              <w:t>FUENTE: Banxico.</w:t>
            </w:r>
          </w:p>
        </w:tc>
      </w:tr>
    </w:tbl>
    <w:p w14:paraId="665A1DBD" w14:textId="77777777" w:rsidR="00472665" w:rsidRPr="00472665" w:rsidRDefault="00472665" w:rsidP="00472665">
      <w:pPr>
        <w:tabs>
          <w:tab w:val="left" w:pos="2835"/>
        </w:tabs>
        <w:spacing w:after="360" w:line="360" w:lineRule="auto"/>
        <w:ind w:right="-159"/>
        <w:jc w:val="both"/>
        <w:rPr>
          <w:rFonts w:eastAsia="Times New Roman"/>
          <w:b/>
          <w:bCs/>
          <w:sz w:val="26"/>
          <w:szCs w:val="26"/>
        </w:rPr>
      </w:pPr>
    </w:p>
    <w:p w14:paraId="2A33D771" w14:textId="77777777" w:rsidR="00472665" w:rsidRPr="00472665" w:rsidRDefault="00472665" w:rsidP="00472665">
      <w:pPr>
        <w:tabs>
          <w:tab w:val="left" w:pos="2835"/>
        </w:tabs>
        <w:spacing w:after="360" w:line="360" w:lineRule="auto"/>
        <w:ind w:right="-159"/>
        <w:jc w:val="both"/>
        <w:rPr>
          <w:rFonts w:eastAsia="Times New Roman"/>
          <w:b/>
          <w:bCs/>
          <w:sz w:val="26"/>
          <w:szCs w:val="26"/>
        </w:rPr>
      </w:pPr>
      <w:r w:rsidRPr="00472665">
        <w:rPr>
          <w:rFonts w:eastAsia="Times New Roman"/>
          <w:b/>
          <w:bCs/>
          <w:sz w:val="26"/>
          <w:szCs w:val="26"/>
        </w:rPr>
        <w:t>Vehículos usados importados</w:t>
      </w:r>
    </w:p>
    <w:p w14:paraId="21DCE697" w14:textId="7F99F451" w:rsidR="00472665" w:rsidRPr="00472665" w:rsidRDefault="00472665" w:rsidP="00472665">
      <w:pPr>
        <w:tabs>
          <w:tab w:val="left" w:pos="2835"/>
        </w:tabs>
        <w:spacing w:after="360" w:line="360" w:lineRule="auto"/>
        <w:ind w:right="-159"/>
        <w:jc w:val="both"/>
        <w:rPr>
          <w:rFonts w:eastAsia="Times New Roman"/>
          <w:bCs/>
          <w:sz w:val="26"/>
          <w:szCs w:val="26"/>
        </w:rPr>
      </w:pPr>
      <w:r w:rsidRPr="00472665">
        <w:rPr>
          <w:rFonts w:eastAsia="Times New Roman"/>
          <w:bCs/>
          <w:sz w:val="26"/>
          <w:szCs w:val="26"/>
        </w:rPr>
        <w:t xml:space="preserve">Al mes de febrero de 2015, la importación de autos usados fue de 25 mil 272 unidades, lo que equivale al 12.6% del total de ventas de vehículos nuevos. En febrero 2015, la importación disminuyó 71.7% respecto a similar período de 2014, lo que representó </w:t>
      </w:r>
      <w:r w:rsidR="00845A3F">
        <w:rPr>
          <w:rFonts w:eastAsia="Times New Roman"/>
          <w:bCs/>
          <w:sz w:val="26"/>
          <w:szCs w:val="26"/>
        </w:rPr>
        <w:t xml:space="preserve">      </w:t>
      </w:r>
      <w:r w:rsidRPr="00472665">
        <w:rPr>
          <w:rFonts w:eastAsia="Times New Roman"/>
          <w:bCs/>
          <w:sz w:val="26"/>
          <w:szCs w:val="26"/>
        </w:rPr>
        <w:t>29 mil 704 unidades menos.</w:t>
      </w:r>
    </w:p>
    <w:tbl>
      <w:tblPr>
        <w:tblW w:w="8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881"/>
        <w:gridCol w:w="851"/>
        <w:gridCol w:w="1134"/>
        <w:gridCol w:w="753"/>
        <w:gridCol w:w="948"/>
        <w:gridCol w:w="992"/>
        <w:gridCol w:w="1134"/>
        <w:gridCol w:w="753"/>
      </w:tblGrid>
      <w:tr w:rsidR="00472665" w:rsidRPr="00472665" w14:paraId="0D2F165B" w14:textId="77777777" w:rsidTr="00251E61">
        <w:trPr>
          <w:jc w:val="center"/>
        </w:trPr>
        <w:tc>
          <w:tcPr>
            <w:tcW w:w="8833" w:type="dxa"/>
            <w:gridSpan w:val="9"/>
            <w:tcBorders>
              <w:top w:val="nil"/>
              <w:left w:val="nil"/>
              <w:bottom w:val="single" w:sz="4" w:space="0" w:color="auto"/>
              <w:right w:val="nil"/>
            </w:tcBorders>
            <w:shd w:val="clear" w:color="auto" w:fill="auto"/>
          </w:tcPr>
          <w:p w14:paraId="3286EED8" w14:textId="77777777" w:rsidR="00472665" w:rsidRPr="00472665" w:rsidRDefault="00472665" w:rsidP="00472665">
            <w:pPr>
              <w:jc w:val="center"/>
              <w:rPr>
                <w:rFonts w:eastAsia="Times New Roman"/>
                <w:b/>
                <w:sz w:val="22"/>
                <w:szCs w:val="22"/>
                <w:lang w:val="es-ES"/>
              </w:rPr>
            </w:pPr>
            <w:r w:rsidRPr="00472665">
              <w:rPr>
                <w:rFonts w:eastAsia="Times New Roman"/>
                <w:b/>
                <w:sz w:val="22"/>
                <w:szCs w:val="22"/>
                <w:lang w:val="es-ES"/>
              </w:rPr>
              <w:t>VEHÍCULOS USADOS IMPORTADOS</w:t>
            </w:r>
          </w:p>
          <w:p w14:paraId="7D85B2F3" w14:textId="77777777" w:rsidR="00472665" w:rsidRPr="00472665" w:rsidRDefault="00472665" w:rsidP="00472665">
            <w:pPr>
              <w:jc w:val="center"/>
              <w:rPr>
                <w:rFonts w:eastAsia="Times New Roman"/>
                <w:b/>
                <w:sz w:val="22"/>
                <w:szCs w:val="22"/>
                <w:lang w:val="es-ES"/>
              </w:rPr>
            </w:pPr>
            <w:r w:rsidRPr="00472665">
              <w:rPr>
                <w:rFonts w:eastAsia="Times New Roman"/>
                <w:b/>
                <w:sz w:val="22"/>
                <w:szCs w:val="22"/>
                <w:lang w:val="es-ES"/>
              </w:rPr>
              <w:t>-Unidades-</w:t>
            </w:r>
          </w:p>
        </w:tc>
      </w:tr>
      <w:tr w:rsidR="00472665" w:rsidRPr="00472665" w14:paraId="4F968C57" w14:textId="77777777" w:rsidTr="00251E61">
        <w:trPr>
          <w:jc w:val="center"/>
        </w:trPr>
        <w:tc>
          <w:tcPr>
            <w:tcW w:w="1387" w:type="dxa"/>
            <w:vMerge w:val="restart"/>
            <w:tcBorders>
              <w:top w:val="single" w:sz="4" w:space="0" w:color="auto"/>
            </w:tcBorders>
            <w:shd w:val="clear" w:color="auto" w:fill="auto"/>
            <w:vAlign w:val="center"/>
          </w:tcPr>
          <w:p w14:paraId="6279611F"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Año</w:t>
            </w:r>
          </w:p>
        </w:tc>
        <w:tc>
          <w:tcPr>
            <w:tcW w:w="3619" w:type="dxa"/>
            <w:gridSpan w:val="4"/>
            <w:tcBorders>
              <w:top w:val="single" w:sz="4" w:space="0" w:color="auto"/>
            </w:tcBorders>
            <w:shd w:val="clear" w:color="auto" w:fill="auto"/>
            <w:vAlign w:val="center"/>
          </w:tcPr>
          <w:p w14:paraId="658FC7B6"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Febrero</w:t>
            </w:r>
          </w:p>
        </w:tc>
        <w:tc>
          <w:tcPr>
            <w:tcW w:w="3827" w:type="dxa"/>
            <w:gridSpan w:val="4"/>
            <w:tcBorders>
              <w:top w:val="single" w:sz="4" w:space="0" w:color="auto"/>
            </w:tcBorders>
          </w:tcPr>
          <w:p w14:paraId="57ED8F12"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Acumulado Enero a Febrero</w:t>
            </w:r>
          </w:p>
        </w:tc>
      </w:tr>
      <w:tr w:rsidR="00472665" w:rsidRPr="00472665" w14:paraId="75AB0373" w14:textId="77777777" w:rsidTr="00251E61">
        <w:trPr>
          <w:jc w:val="center"/>
        </w:trPr>
        <w:tc>
          <w:tcPr>
            <w:tcW w:w="1387" w:type="dxa"/>
            <w:vMerge/>
            <w:shd w:val="clear" w:color="auto" w:fill="auto"/>
            <w:vAlign w:val="center"/>
          </w:tcPr>
          <w:p w14:paraId="5D92C789" w14:textId="77777777" w:rsidR="00472665" w:rsidRPr="00472665" w:rsidRDefault="00472665" w:rsidP="00472665">
            <w:pPr>
              <w:spacing w:before="20" w:after="20"/>
              <w:jc w:val="center"/>
              <w:rPr>
                <w:rFonts w:eastAsia="Times New Roman"/>
                <w:b/>
                <w:sz w:val="20"/>
                <w:szCs w:val="20"/>
              </w:rPr>
            </w:pPr>
          </w:p>
        </w:tc>
        <w:tc>
          <w:tcPr>
            <w:tcW w:w="881" w:type="dxa"/>
            <w:vMerge w:val="restart"/>
            <w:tcBorders>
              <w:top w:val="single" w:sz="4" w:space="0" w:color="auto"/>
            </w:tcBorders>
            <w:shd w:val="clear" w:color="auto" w:fill="auto"/>
            <w:vAlign w:val="center"/>
          </w:tcPr>
          <w:p w14:paraId="62FDBC1E"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2015</w:t>
            </w:r>
          </w:p>
        </w:tc>
        <w:tc>
          <w:tcPr>
            <w:tcW w:w="851" w:type="dxa"/>
            <w:vMerge w:val="restart"/>
            <w:tcBorders>
              <w:top w:val="single" w:sz="4" w:space="0" w:color="auto"/>
            </w:tcBorders>
            <w:shd w:val="clear" w:color="auto" w:fill="auto"/>
            <w:vAlign w:val="center"/>
          </w:tcPr>
          <w:p w14:paraId="3B26B393"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2014</w:t>
            </w:r>
          </w:p>
        </w:tc>
        <w:tc>
          <w:tcPr>
            <w:tcW w:w="1887" w:type="dxa"/>
            <w:gridSpan w:val="2"/>
            <w:tcBorders>
              <w:top w:val="single" w:sz="4" w:space="0" w:color="auto"/>
            </w:tcBorders>
            <w:shd w:val="clear" w:color="auto" w:fill="auto"/>
            <w:vAlign w:val="center"/>
          </w:tcPr>
          <w:p w14:paraId="56C3DEB9"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 xml:space="preserve">Variación </w:t>
            </w:r>
          </w:p>
        </w:tc>
        <w:tc>
          <w:tcPr>
            <w:tcW w:w="948" w:type="dxa"/>
            <w:vMerge w:val="restart"/>
            <w:tcBorders>
              <w:top w:val="single" w:sz="4" w:space="0" w:color="auto"/>
            </w:tcBorders>
            <w:vAlign w:val="center"/>
          </w:tcPr>
          <w:p w14:paraId="3344549F"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2015</w:t>
            </w:r>
          </w:p>
        </w:tc>
        <w:tc>
          <w:tcPr>
            <w:tcW w:w="992" w:type="dxa"/>
            <w:vMerge w:val="restart"/>
            <w:tcBorders>
              <w:top w:val="single" w:sz="4" w:space="0" w:color="auto"/>
            </w:tcBorders>
            <w:vAlign w:val="center"/>
          </w:tcPr>
          <w:p w14:paraId="5F6F2370"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2014</w:t>
            </w:r>
          </w:p>
        </w:tc>
        <w:tc>
          <w:tcPr>
            <w:tcW w:w="1887" w:type="dxa"/>
            <w:gridSpan w:val="2"/>
            <w:tcBorders>
              <w:top w:val="single" w:sz="4" w:space="0" w:color="auto"/>
            </w:tcBorders>
          </w:tcPr>
          <w:p w14:paraId="45AF6B0F"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Variación</w:t>
            </w:r>
          </w:p>
        </w:tc>
      </w:tr>
      <w:tr w:rsidR="00472665" w:rsidRPr="00472665" w14:paraId="24A112E7" w14:textId="77777777" w:rsidTr="00251E61">
        <w:trPr>
          <w:jc w:val="center"/>
        </w:trPr>
        <w:tc>
          <w:tcPr>
            <w:tcW w:w="1387" w:type="dxa"/>
            <w:vMerge/>
            <w:shd w:val="clear" w:color="auto" w:fill="auto"/>
            <w:vAlign w:val="center"/>
          </w:tcPr>
          <w:p w14:paraId="3CB04D49" w14:textId="77777777" w:rsidR="00472665" w:rsidRPr="00472665" w:rsidRDefault="00472665" w:rsidP="00472665">
            <w:pPr>
              <w:spacing w:before="20" w:after="20"/>
              <w:jc w:val="center"/>
              <w:rPr>
                <w:rFonts w:eastAsia="Times New Roman"/>
                <w:b/>
                <w:sz w:val="20"/>
                <w:szCs w:val="20"/>
              </w:rPr>
            </w:pPr>
          </w:p>
        </w:tc>
        <w:tc>
          <w:tcPr>
            <w:tcW w:w="881" w:type="dxa"/>
            <w:vMerge/>
            <w:shd w:val="clear" w:color="auto" w:fill="auto"/>
            <w:vAlign w:val="center"/>
          </w:tcPr>
          <w:p w14:paraId="5291C2C2" w14:textId="77777777" w:rsidR="00472665" w:rsidRPr="00472665" w:rsidRDefault="00472665" w:rsidP="00472665">
            <w:pPr>
              <w:spacing w:before="20" w:after="20"/>
              <w:jc w:val="center"/>
              <w:rPr>
                <w:rFonts w:eastAsia="Times New Roman"/>
                <w:b/>
                <w:sz w:val="20"/>
                <w:szCs w:val="20"/>
              </w:rPr>
            </w:pPr>
          </w:p>
        </w:tc>
        <w:tc>
          <w:tcPr>
            <w:tcW w:w="851" w:type="dxa"/>
            <w:vMerge/>
            <w:shd w:val="clear" w:color="auto" w:fill="auto"/>
            <w:vAlign w:val="center"/>
          </w:tcPr>
          <w:p w14:paraId="3CE97321" w14:textId="77777777" w:rsidR="00472665" w:rsidRPr="00472665" w:rsidRDefault="00472665" w:rsidP="00472665">
            <w:pPr>
              <w:spacing w:before="20" w:after="20"/>
              <w:jc w:val="center"/>
              <w:rPr>
                <w:rFonts w:eastAsia="Times New Roman"/>
                <w:b/>
                <w:sz w:val="20"/>
                <w:szCs w:val="20"/>
              </w:rPr>
            </w:pPr>
          </w:p>
        </w:tc>
        <w:tc>
          <w:tcPr>
            <w:tcW w:w="1134" w:type="dxa"/>
            <w:tcBorders>
              <w:top w:val="single" w:sz="4" w:space="0" w:color="auto"/>
            </w:tcBorders>
            <w:shd w:val="clear" w:color="auto" w:fill="auto"/>
            <w:vAlign w:val="center"/>
          </w:tcPr>
          <w:p w14:paraId="62F28CFB"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Unidades</w:t>
            </w:r>
          </w:p>
        </w:tc>
        <w:tc>
          <w:tcPr>
            <w:tcW w:w="753" w:type="dxa"/>
            <w:tcBorders>
              <w:top w:val="single" w:sz="4" w:space="0" w:color="auto"/>
            </w:tcBorders>
            <w:vAlign w:val="center"/>
          </w:tcPr>
          <w:p w14:paraId="0E176AC7"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w:t>
            </w:r>
          </w:p>
        </w:tc>
        <w:tc>
          <w:tcPr>
            <w:tcW w:w="948" w:type="dxa"/>
            <w:vMerge/>
          </w:tcPr>
          <w:p w14:paraId="336815DB" w14:textId="77777777" w:rsidR="00472665" w:rsidRPr="00472665" w:rsidRDefault="00472665" w:rsidP="00472665">
            <w:pPr>
              <w:spacing w:before="20" w:after="20"/>
              <w:jc w:val="center"/>
              <w:rPr>
                <w:rFonts w:eastAsia="Times New Roman"/>
                <w:b/>
                <w:sz w:val="20"/>
                <w:szCs w:val="20"/>
              </w:rPr>
            </w:pPr>
          </w:p>
        </w:tc>
        <w:tc>
          <w:tcPr>
            <w:tcW w:w="992" w:type="dxa"/>
            <w:vMerge/>
          </w:tcPr>
          <w:p w14:paraId="3B1B49ED" w14:textId="77777777" w:rsidR="00472665" w:rsidRPr="00472665" w:rsidRDefault="00472665" w:rsidP="00472665">
            <w:pPr>
              <w:spacing w:before="20" w:after="20"/>
              <w:jc w:val="center"/>
              <w:rPr>
                <w:rFonts w:eastAsia="Times New Roman"/>
                <w:b/>
                <w:sz w:val="20"/>
                <w:szCs w:val="20"/>
              </w:rPr>
            </w:pPr>
          </w:p>
        </w:tc>
        <w:tc>
          <w:tcPr>
            <w:tcW w:w="1134" w:type="dxa"/>
            <w:tcBorders>
              <w:top w:val="single" w:sz="4" w:space="0" w:color="auto"/>
            </w:tcBorders>
            <w:vAlign w:val="center"/>
          </w:tcPr>
          <w:p w14:paraId="20EFDAFF"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Unidades</w:t>
            </w:r>
          </w:p>
        </w:tc>
        <w:tc>
          <w:tcPr>
            <w:tcW w:w="753" w:type="dxa"/>
            <w:tcBorders>
              <w:top w:val="single" w:sz="4" w:space="0" w:color="auto"/>
            </w:tcBorders>
            <w:vAlign w:val="center"/>
          </w:tcPr>
          <w:p w14:paraId="2CB13092" w14:textId="77777777" w:rsidR="00472665" w:rsidRPr="00472665" w:rsidRDefault="00472665" w:rsidP="00472665">
            <w:pPr>
              <w:spacing w:before="20" w:after="20"/>
              <w:jc w:val="center"/>
              <w:rPr>
                <w:rFonts w:eastAsia="Times New Roman"/>
                <w:b/>
                <w:sz w:val="20"/>
                <w:szCs w:val="20"/>
              </w:rPr>
            </w:pPr>
            <w:r w:rsidRPr="00472665">
              <w:rPr>
                <w:rFonts w:eastAsia="Times New Roman"/>
                <w:b/>
                <w:sz w:val="20"/>
                <w:szCs w:val="20"/>
              </w:rPr>
              <w:t>%</w:t>
            </w:r>
          </w:p>
        </w:tc>
      </w:tr>
      <w:tr w:rsidR="00472665" w:rsidRPr="00472665" w14:paraId="14A8B4AE" w14:textId="77777777" w:rsidTr="00251E61">
        <w:trPr>
          <w:jc w:val="center"/>
        </w:trPr>
        <w:tc>
          <w:tcPr>
            <w:tcW w:w="1387" w:type="dxa"/>
            <w:tcBorders>
              <w:bottom w:val="single" w:sz="4" w:space="0" w:color="auto"/>
            </w:tcBorders>
            <w:shd w:val="clear" w:color="auto" w:fill="auto"/>
            <w:vAlign w:val="center"/>
          </w:tcPr>
          <w:p w14:paraId="525EF4CB" w14:textId="77777777" w:rsidR="00472665" w:rsidRPr="00472665" w:rsidRDefault="00472665" w:rsidP="00472665">
            <w:pPr>
              <w:spacing w:before="20" w:after="20"/>
              <w:jc w:val="both"/>
              <w:rPr>
                <w:rFonts w:eastAsia="Times New Roman"/>
                <w:sz w:val="20"/>
                <w:szCs w:val="20"/>
              </w:rPr>
            </w:pPr>
            <w:r w:rsidRPr="00472665">
              <w:rPr>
                <w:rFonts w:eastAsia="Times New Roman"/>
                <w:sz w:val="20"/>
                <w:szCs w:val="20"/>
              </w:rPr>
              <w:t>Usados importados</w:t>
            </w:r>
          </w:p>
        </w:tc>
        <w:tc>
          <w:tcPr>
            <w:tcW w:w="881" w:type="dxa"/>
            <w:tcBorders>
              <w:bottom w:val="single" w:sz="4" w:space="0" w:color="auto"/>
            </w:tcBorders>
            <w:shd w:val="clear" w:color="auto" w:fill="auto"/>
            <w:vAlign w:val="center"/>
          </w:tcPr>
          <w:p w14:paraId="1FE1F786" w14:textId="77777777" w:rsidR="00472665" w:rsidRPr="00472665" w:rsidRDefault="00472665" w:rsidP="00472665">
            <w:pPr>
              <w:spacing w:before="20" w:after="20"/>
              <w:jc w:val="center"/>
              <w:rPr>
                <w:rFonts w:eastAsia="Times New Roman"/>
                <w:sz w:val="20"/>
                <w:szCs w:val="20"/>
              </w:rPr>
            </w:pPr>
            <w:r w:rsidRPr="00472665">
              <w:rPr>
                <w:rFonts w:eastAsia="Times New Roman"/>
                <w:sz w:val="20"/>
                <w:szCs w:val="20"/>
              </w:rPr>
              <w:t>11 700</w:t>
            </w:r>
          </w:p>
        </w:tc>
        <w:tc>
          <w:tcPr>
            <w:tcW w:w="851" w:type="dxa"/>
            <w:tcBorders>
              <w:bottom w:val="single" w:sz="4" w:space="0" w:color="auto"/>
            </w:tcBorders>
            <w:shd w:val="clear" w:color="auto" w:fill="auto"/>
            <w:vAlign w:val="center"/>
          </w:tcPr>
          <w:p w14:paraId="3AE1991C" w14:textId="77777777" w:rsidR="00472665" w:rsidRPr="00472665" w:rsidRDefault="00472665" w:rsidP="00472665">
            <w:pPr>
              <w:spacing w:before="20" w:after="20"/>
              <w:jc w:val="center"/>
              <w:rPr>
                <w:rFonts w:eastAsia="Times New Roman"/>
                <w:sz w:val="20"/>
                <w:szCs w:val="20"/>
              </w:rPr>
            </w:pPr>
            <w:r w:rsidRPr="00472665">
              <w:rPr>
                <w:rFonts w:eastAsia="Times New Roman"/>
                <w:sz w:val="20"/>
                <w:szCs w:val="20"/>
              </w:rPr>
              <w:t>41 404</w:t>
            </w:r>
          </w:p>
        </w:tc>
        <w:tc>
          <w:tcPr>
            <w:tcW w:w="1134" w:type="dxa"/>
            <w:tcBorders>
              <w:bottom w:val="single" w:sz="4" w:space="0" w:color="auto"/>
            </w:tcBorders>
            <w:shd w:val="clear" w:color="auto" w:fill="auto"/>
            <w:vAlign w:val="center"/>
          </w:tcPr>
          <w:p w14:paraId="7BBBA14F" w14:textId="77777777" w:rsidR="00472665" w:rsidRPr="00472665" w:rsidRDefault="00472665" w:rsidP="00472665">
            <w:pPr>
              <w:spacing w:before="20" w:after="20"/>
              <w:jc w:val="center"/>
              <w:rPr>
                <w:rFonts w:eastAsia="Times New Roman"/>
                <w:sz w:val="20"/>
                <w:szCs w:val="20"/>
              </w:rPr>
            </w:pPr>
            <w:r w:rsidRPr="00472665">
              <w:rPr>
                <w:rFonts w:eastAsia="Times New Roman"/>
                <w:sz w:val="20"/>
                <w:szCs w:val="20"/>
              </w:rPr>
              <w:t>-29 704</w:t>
            </w:r>
          </w:p>
        </w:tc>
        <w:tc>
          <w:tcPr>
            <w:tcW w:w="753" w:type="dxa"/>
            <w:tcBorders>
              <w:bottom w:val="single" w:sz="4" w:space="0" w:color="auto"/>
            </w:tcBorders>
            <w:vAlign w:val="center"/>
          </w:tcPr>
          <w:p w14:paraId="6828413E" w14:textId="77777777" w:rsidR="00472665" w:rsidRPr="00472665" w:rsidRDefault="00472665" w:rsidP="00472665">
            <w:pPr>
              <w:tabs>
                <w:tab w:val="left" w:pos="787"/>
              </w:tabs>
              <w:spacing w:before="20" w:after="20"/>
              <w:jc w:val="center"/>
              <w:rPr>
                <w:rFonts w:eastAsia="Times New Roman"/>
                <w:sz w:val="20"/>
                <w:szCs w:val="20"/>
              </w:rPr>
            </w:pPr>
            <w:r w:rsidRPr="00472665">
              <w:rPr>
                <w:rFonts w:eastAsia="Times New Roman"/>
                <w:sz w:val="20"/>
                <w:szCs w:val="20"/>
              </w:rPr>
              <w:t>-71.7</w:t>
            </w:r>
          </w:p>
        </w:tc>
        <w:tc>
          <w:tcPr>
            <w:tcW w:w="948" w:type="dxa"/>
            <w:tcBorders>
              <w:bottom w:val="single" w:sz="4" w:space="0" w:color="auto"/>
            </w:tcBorders>
            <w:vAlign w:val="center"/>
          </w:tcPr>
          <w:p w14:paraId="6B5BD6F1" w14:textId="77777777" w:rsidR="00472665" w:rsidRPr="00472665" w:rsidRDefault="00472665" w:rsidP="00472665">
            <w:pPr>
              <w:tabs>
                <w:tab w:val="left" w:pos="787"/>
              </w:tabs>
              <w:spacing w:before="20" w:after="20"/>
              <w:jc w:val="center"/>
              <w:rPr>
                <w:rFonts w:eastAsia="Times New Roman"/>
                <w:sz w:val="20"/>
                <w:szCs w:val="20"/>
              </w:rPr>
            </w:pPr>
            <w:r w:rsidRPr="00472665">
              <w:rPr>
                <w:rFonts w:eastAsia="Times New Roman"/>
                <w:sz w:val="20"/>
                <w:szCs w:val="20"/>
              </w:rPr>
              <w:t>25 272</w:t>
            </w:r>
          </w:p>
        </w:tc>
        <w:tc>
          <w:tcPr>
            <w:tcW w:w="992" w:type="dxa"/>
            <w:tcBorders>
              <w:bottom w:val="single" w:sz="4" w:space="0" w:color="auto"/>
            </w:tcBorders>
            <w:vAlign w:val="center"/>
          </w:tcPr>
          <w:p w14:paraId="3D51B936" w14:textId="77777777" w:rsidR="00472665" w:rsidRPr="00472665" w:rsidRDefault="00472665" w:rsidP="00472665">
            <w:pPr>
              <w:tabs>
                <w:tab w:val="left" w:pos="787"/>
              </w:tabs>
              <w:spacing w:before="20" w:after="20"/>
              <w:jc w:val="center"/>
              <w:rPr>
                <w:rFonts w:eastAsia="Times New Roman"/>
                <w:sz w:val="20"/>
                <w:szCs w:val="20"/>
              </w:rPr>
            </w:pPr>
            <w:r w:rsidRPr="00472665">
              <w:rPr>
                <w:rFonts w:eastAsia="Times New Roman"/>
                <w:sz w:val="20"/>
                <w:szCs w:val="20"/>
              </w:rPr>
              <w:t>94 243</w:t>
            </w:r>
          </w:p>
        </w:tc>
        <w:tc>
          <w:tcPr>
            <w:tcW w:w="1134" w:type="dxa"/>
            <w:tcBorders>
              <w:bottom w:val="single" w:sz="4" w:space="0" w:color="auto"/>
            </w:tcBorders>
            <w:vAlign w:val="center"/>
          </w:tcPr>
          <w:p w14:paraId="033B288F" w14:textId="77777777" w:rsidR="00472665" w:rsidRPr="00472665" w:rsidRDefault="00472665" w:rsidP="00472665">
            <w:pPr>
              <w:tabs>
                <w:tab w:val="left" w:pos="787"/>
              </w:tabs>
              <w:spacing w:before="20" w:after="20"/>
              <w:jc w:val="center"/>
              <w:rPr>
                <w:rFonts w:eastAsia="Times New Roman"/>
                <w:sz w:val="20"/>
                <w:szCs w:val="20"/>
              </w:rPr>
            </w:pPr>
            <w:r w:rsidRPr="00472665">
              <w:rPr>
                <w:rFonts w:eastAsia="Times New Roman"/>
                <w:sz w:val="20"/>
                <w:szCs w:val="20"/>
              </w:rPr>
              <w:t>-68 971</w:t>
            </w:r>
          </w:p>
        </w:tc>
        <w:tc>
          <w:tcPr>
            <w:tcW w:w="753" w:type="dxa"/>
            <w:tcBorders>
              <w:bottom w:val="single" w:sz="4" w:space="0" w:color="auto"/>
            </w:tcBorders>
            <w:vAlign w:val="center"/>
          </w:tcPr>
          <w:p w14:paraId="0F8FA48F" w14:textId="77777777" w:rsidR="00472665" w:rsidRPr="00472665" w:rsidRDefault="00472665" w:rsidP="00472665">
            <w:pPr>
              <w:tabs>
                <w:tab w:val="left" w:pos="787"/>
              </w:tabs>
              <w:spacing w:before="20" w:after="20"/>
              <w:jc w:val="center"/>
              <w:rPr>
                <w:rFonts w:eastAsia="Times New Roman"/>
                <w:sz w:val="20"/>
                <w:szCs w:val="20"/>
              </w:rPr>
            </w:pPr>
            <w:r w:rsidRPr="00472665">
              <w:rPr>
                <w:rFonts w:eastAsia="Times New Roman"/>
                <w:sz w:val="20"/>
                <w:szCs w:val="20"/>
              </w:rPr>
              <w:t>-73.2</w:t>
            </w:r>
          </w:p>
        </w:tc>
      </w:tr>
      <w:tr w:rsidR="00472665" w:rsidRPr="00472665" w14:paraId="65290A9F" w14:textId="77777777" w:rsidTr="00251E61">
        <w:trPr>
          <w:jc w:val="center"/>
        </w:trPr>
        <w:tc>
          <w:tcPr>
            <w:tcW w:w="5006" w:type="dxa"/>
            <w:gridSpan w:val="5"/>
            <w:tcBorders>
              <w:top w:val="single" w:sz="4" w:space="0" w:color="auto"/>
              <w:left w:val="nil"/>
              <w:bottom w:val="nil"/>
              <w:right w:val="nil"/>
            </w:tcBorders>
            <w:shd w:val="clear" w:color="auto" w:fill="auto"/>
            <w:vAlign w:val="center"/>
          </w:tcPr>
          <w:p w14:paraId="27284091" w14:textId="77777777" w:rsidR="00472665" w:rsidRPr="00472665" w:rsidRDefault="00472665" w:rsidP="00472665">
            <w:pPr>
              <w:tabs>
                <w:tab w:val="left" w:pos="787"/>
              </w:tabs>
              <w:spacing w:before="20" w:after="20"/>
              <w:rPr>
                <w:rFonts w:eastAsia="Times New Roman"/>
                <w:sz w:val="20"/>
                <w:szCs w:val="20"/>
              </w:rPr>
            </w:pPr>
            <w:r w:rsidRPr="00472665">
              <w:rPr>
                <w:rFonts w:eastAsia="Times New Roman"/>
                <w:sz w:val="20"/>
                <w:szCs w:val="20"/>
              </w:rPr>
              <w:t>FUENTE: AMDA.</w:t>
            </w:r>
          </w:p>
        </w:tc>
        <w:tc>
          <w:tcPr>
            <w:tcW w:w="948" w:type="dxa"/>
            <w:tcBorders>
              <w:top w:val="single" w:sz="4" w:space="0" w:color="auto"/>
              <w:left w:val="nil"/>
              <w:bottom w:val="nil"/>
              <w:right w:val="nil"/>
            </w:tcBorders>
          </w:tcPr>
          <w:p w14:paraId="4E41CDD8" w14:textId="77777777" w:rsidR="00472665" w:rsidRPr="00472665" w:rsidRDefault="00472665" w:rsidP="00472665">
            <w:pPr>
              <w:tabs>
                <w:tab w:val="left" w:pos="787"/>
              </w:tabs>
              <w:spacing w:before="20" w:after="20"/>
              <w:rPr>
                <w:rFonts w:eastAsia="Times New Roman"/>
                <w:sz w:val="20"/>
                <w:szCs w:val="20"/>
              </w:rPr>
            </w:pPr>
          </w:p>
        </w:tc>
        <w:tc>
          <w:tcPr>
            <w:tcW w:w="992" w:type="dxa"/>
            <w:tcBorders>
              <w:top w:val="single" w:sz="4" w:space="0" w:color="auto"/>
              <w:left w:val="nil"/>
              <w:bottom w:val="nil"/>
              <w:right w:val="nil"/>
            </w:tcBorders>
          </w:tcPr>
          <w:p w14:paraId="4D82C922" w14:textId="77777777" w:rsidR="00472665" w:rsidRPr="00472665" w:rsidRDefault="00472665" w:rsidP="00472665">
            <w:pPr>
              <w:tabs>
                <w:tab w:val="left" w:pos="787"/>
              </w:tabs>
              <w:spacing w:before="20" w:after="20"/>
              <w:rPr>
                <w:rFonts w:eastAsia="Times New Roman"/>
                <w:sz w:val="20"/>
                <w:szCs w:val="20"/>
              </w:rPr>
            </w:pPr>
          </w:p>
        </w:tc>
        <w:tc>
          <w:tcPr>
            <w:tcW w:w="1134" w:type="dxa"/>
            <w:tcBorders>
              <w:top w:val="single" w:sz="4" w:space="0" w:color="auto"/>
              <w:left w:val="nil"/>
              <w:bottom w:val="nil"/>
              <w:right w:val="nil"/>
            </w:tcBorders>
          </w:tcPr>
          <w:p w14:paraId="2D6B0C3F" w14:textId="77777777" w:rsidR="00472665" w:rsidRPr="00472665" w:rsidRDefault="00472665" w:rsidP="00472665">
            <w:pPr>
              <w:tabs>
                <w:tab w:val="left" w:pos="787"/>
              </w:tabs>
              <w:spacing w:before="20" w:after="20"/>
              <w:rPr>
                <w:rFonts w:eastAsia="Times New Roman"/>
                <w:sz w:val="20"/>
                <w:szCs w:val="20"/>
              </w:rPr>
            </w:pPr>
          </w:p>
        </w:tc>
        <w:tc>
          <w:tcPr>
            <w:tcW w:w="753" w:type="dxa"/>
            <w:tcBorders>
              <w:top w:val="single" w:sz="4" w:space="0" w:color="auto"/>
              <w:left w:val="nil"/>
              <w:bottom w:val="nil"/>
              <w:right w:val="nil"/>
            </w:tcBorders>
          </w:tcPr>
          <w:p w14:paraId="7EC1A021" w14:textId="77777777" w:rsidR="00472665" w:rsidRPr="00472665" w:rsidRDefault="00472665" w:rsidP="00472665">
            <w:pPr>
              <w:tabs>
                <w:tab w:val="left" w:pos="787"/>
              </w:tabs>
              <w:spacing w:before="20" w:after="20"/>
              <w:rPr>
                <w:rFonts w:eastAsia="Times New Roman"/>
                <w:sz w:val="20"/>
                <w:szCs w:val="20"/>
              </w:rPr>
            </w:pPr>
          </w:p>
        </w:tc>
      </w:tr>
    </w:tbl>
    <w:p w14:paraId="728960AE" w14:textId="77777777" w:rsidR="00472665" w:rsidRPr="00472665" w:rsidRDefault="00472665" w:rsidP="00472665">
      <w:pPr>
        <w:tabs>
          <w:tab w:val="left" w:pos="2835"/>
        </w:tabs>
        <w:spacing w:after="360" w:line="360" w:lineRule="auto"/>
        <w:ind w:right="-159"/>
        <w:jc w:val="both"/>
        <w:rPr>
          <w:rFonts w:eastAsia="Times New Roman"/>
          <w:bCs/>
          <w:sz w:val="26"/>
          <w:szCs w:val="26"/>
        </w:rPr>
      </w:pPr>
    </w:p>
    <w:p w14:paraId="1B4EFB22" w14:textId="77777777" w:rsidR="00472665" w:rsidRPr="00472665" w:rsidRDefault="00472665" w:rsidP="00472665">
      <w:pPr>
        <w:tabs>
          <w:tab w:val="left" w:pos="2835"/>
        </w:tabs>
        <w:spacing w:after="360" w:line="360" w:lineRule="auto"/>
        <w:ind w:right="-159"/>
        <w:jc w:val="both"/>
        <w:rPr>
          <w:rFonts w:eastAsia="Times New Roman"/>
          <w:bCs/>
          <w:sz w:val="26"/>
          <w:szCs w:val="26"/>
        </w:rPr>
      </w:pPr>
    </w:p>
    <w:tbl>
      <w:tblPr>
        <w:tblW w:w="0" w:type="auto"/>
        <w:jc w:val="center"/>
        <w:tblLook w:val="04A0" w:firstRow="1" w:lastRow="0" w:firstColumn="1" w:lastColumn="0" w:noHBand="0" w:noVBand="1"/>
      </w:tblPr>
      <w:tblGrid>
        <w:gridCol w:w="8840"/>
      </w:tblGrid>
      <w:tr w:rsidR="00472665" w:rsidRPr="00472665" w14:paraId="5581E556" w14:textId="77777777" w:rsidTr="00251E61">
        <w:trPr>
          <w:jc w:val="center"/>
        </w:trPr>
        <w:tc>
          <w:tcPr>
            <w:tcW w:w="8980" w:type="dxa"/>
          </w:tcPr>
          <w:p w14:paraId="40050E02" w14:textId="77777777" w:rsidR="00472665" w:rsidRPr="00472665" w:rsidRDefault="00472665" w:rsidP="00472665">
            <w:pPr>
              <w:tabs>
                <w:tab w:val="left" w:pos="2835"/>
              </w:tabs>
              <w:jc w:val="center"/>
              <w:rPr>
                <w:rFonts w:eastAsia="Times New Roman"/>
                <w:b/>
                <w:sz w:val="22"/>
                <w:szCs w:val="22"/>
                <w:lang w:val="es-ES"/>
              </w:rPr>
            </w:pPr>
            <w:r w:rsidRPr="00472665">
              <w:rPr>
                <w:rFonts w:eastAsia="Times New Roman"/>
                <w:b/>
                <w:sz w:val="22"/>
                <w:szCs w:val="22"/>
                <w:lang w:val="es-ES"/>
              </w:rPr>
              <w:lastRenderedPageBreak/>
              <w:t>PARTICIPACIÓN DE LAS MARCAS ENERO-MARZO DE 2015</w:t>
            </w:r>
          </w:p>
          <w:p w14:paraId="1CF74795" w14:textId="77777777" w:rsidR="00472665" w:rsidRPr="00472665" w:rsidRDefault="00472665" w:rsidP="00472665">
            <w:pPr>
              <w:tabs>
                <w:tab w:val="left" w:pos="2835"/>
              </w:tabs>
              <w:jc w:val="center"/>
              <w:rPr>
                <w:rFonts w:eastAsia="Times New Roman"/>
                <w:sz w:val="22"/>
                <w:szCs w:val="22"/>
                <w:lang w:val="es-ES"/>
              </w:rPr>
            </w:pPr>
            <w:r w:rsidRPr="00472665">
              <w:rPr>
                <w:rFonts w:eastAsia="Times New Roman"/>
                <w:sz w:val="22"/>
                <w:szCs w:val="22"/>
                <w:lang w:val="es-ES"/>
              </w:rPr>
              <w:t>-En porcentajes-</w:t>
            </w:r>
          </w:p>
        </w:tc>
      </w:tr>
      <w:tr w:rsidR="00472665" w:rsidRPr="00472665" w14:paraId="2AA7C03E" w14:textId="77777777" w:rsidTr="00251E61">
        <w:trPr>
          <w:trHeight w:val="63"/>
          <w:jc w:val="center"/>
        </w:trPr>
        <w:tc>
          <w:tcPr>
            <w:tcW w:w="8980" w:type="dxa"/>
          </w:tcPr>
          <w:p w14:paraId="7347F5A5" w14:textId="77777777" w:rsidR="00472665" w:rsidRPr="00472665" w:rsidRDefault="00472665" w:rsidP="00472665">
            <w:pPr>
              <w:tabs>
                <w:tab w:val="left" w:pos="2835"/>
              </w:tabs>
              <w:jc w:val="center"/>
              <w:rPr>
                <w:rFonts w:eastAsia="Times New Roman"/>
                <w:b/>
                <w:sz w:val="20"/>
                <w:szCs w:val="26"/>
                <w:lang w:val="es-ES"/>
              </w:rPr>
            </w:pPr>
            <w:r w:rsidRPr="00472665">
              <w:rPr>
                <w:rFonts w:eastAsia="Times New Roman"/>
                <w:b/>
                <w:noProof/>
                <w:sz w:val="20"/>
                <w:szCs w:val="26"/>
                <w:lang w:eastAsia="es-MX"/>
              </w:rPr>
              <w:drawing>
                <wp:inline distT="0" distB="0" distL="0" distR="0" wp14:anchorId="12922B50" wp14:editId="0C946A5E">
                  <wp:extent cx="4784496" cy="3168000"/>
                  <wp:effectExtent l="0" t="0" r="0" b="0"/>
                  <wp:docPr id="1775" name="Imagen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t="2743"/>
                          <a:stretch/>
                        </pic:blipFill>
                        <pic:spPr bwMode="auto">
                          <a:xfrm>
                            <a:off x="0" y="0"/>
                            <a:ext cx="4784496" cy="316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4D02CE5C" w14:textId="77777777" w:rsidTr="00251E61">
        <w:trPr>
          <w:jc w:val="center"/>
        </w:trPr>
        <w:tc>
          <w:tcPr>
            <w:tcW w:w="8980" w:type="dxa"/>
          </w:tcPr>
          <w:p w14:paraId="0086C366" w14:textId="77777777" w:rsidR="00472665" w:rsidRPr="00472665" w:rsidRDefault="00472665" w:rsidP="00472665">
            <w:pPr>
              <w:tabs>
                <w:tab w:val="left" w:pos="2835"/>
              </w:tabs>
              <w:spacing w:after="360" w:line="360" w:lineRule="auto"/>
              <w:ind w:left="1593" w:right="-159"/>
              <w:jc w:val="both"/>
              <w:rPr>
                <w:rFonts w:eastAsia="Times New Roman"/>
                <w:sz w:val="20"/>
                <w:szCs w:val="20"/>
                <w:lang w:val="es-ES"/>
              </w:rPr>
            </w:pPr>
            <w:r w:rsidRPr="00472665">
              <w:rPr>
                <w:rFonts w:eastAsia="Times New Roman"/>
                <w:sz w:val="20"/>
                <w:szCs w:val="20"/>
                <w:lang w:val="es-ES"/>
              </w:rPr>
              <w:t>FUENTE: AMDA.</w:t>
            </w:r>
          </w:p>
        </w:tc>
      </w:tr>
    </w:tbl>
    <w:p w14:paraId="7FB38300" w14:textId="77777777" w:rsidR="00472665" w:rsidRPr="00472665" w:rsidRDefault="00472665" w:rsidP="00472665">
      <w:pPr>
        <w:tabs>
          <w:tab w:val="left" w:pos="2835"/>
        </w:tabs>
        <w:spacing w:after="360" w:line="360" w:lineRule="auto"/>
        <w:ind w:right="-159"/>
        <w:jc w:val="both"/>
        <w:rPr>
          <w:rFonts w:eastAsia="Times New Roman"/>
          <w:bCs/>
          <w:sz w:val="26"/>
          <w:szCs w:val="26"/>
        </w:rPr>
      </w:pPr>
      <w:r w:rsidRPr="00472665">
        <w:rPr>
          <w:rFonts w:eastAsia="Times New Roman"/>
          <w:bCs/>
          <w:sz w:val="26"/>
          <w:szCs w:val="26"/>
        </w:rPr>
        <w:t>Estas siete marcas comercializan el 85% del total de vehículos en México.</w:t>
      </w:r>
    </w:p>
    <w:p w14:paraId="24B58BAA" w14:textId="77777777" w:rsidR="00472665" w:rsidRDefault="00472665" w:rsidP="00472665">
      <w:pPr>
        <w:spacing w:after="360" w:line="360" w:lineRule="auto"/>
        <w:ind w:right="-159"/>
        <w:rPr>
          <w:rFonts w:eastAsia="Times New Roman"/>
          <w:b/>
          <w:bCs/>
          <w:sz w:val="26"/>
          <w:szCs w:val="26"/>
          <w:lang w:val="es-ES"/>
        </w:rPr>
      </w:pPr>
      <w:r w:rsidRPr="00472665">
        <w:rPr>
          <w:rFonts w:eastAsia="Times New Roman"/>
          <w:b/>
          <w:bCs/>
          <w:sz w:val="26"/>
          <w:szCs w:val="26"/>
          <w:lang w:val="es-ES"/>
        </w:rPr>
        <w:t>Los 10 modelos más vendidos</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376"/>
        <w:gridCol w:w="937"/>
        <w:gridCol w:w="1561"/>
        <w:gridCol w:w="1097"/>
        <w:gridCol w:w="1059"/>
        <w:gridCol w:w="1097"/>
        <w:gridCol w:w="955"/>
      </w:tblGrid>
      <w:tr w:rsidR="009D28D6" w:rsidRPr="009D28D6" w14:paraId="4E43BCF0" w14:textId="77777777" w:rsidTr="009D28D6">
        <w:trPr>
          <w:jc w:val="center"/>
        </w:trPr>
        <w:tc>
          <w:tcPr>
            <w:tcW w:w="9028" w:type="dxa"/>
            <w:gridSpan w:val="8"/>
            <w:tcBorders>
              <w:top w:val="nil"/>
              <w:left w:val="nil"/>
              <w:bottom w:val="single" w:sz="4" w:space="0" w:color="auto"/>
              <w:right w:val="nil"/>
            </w:tcBorders>
          </w:tcPr>
          <w:p w14:paraId="2FB1ACED" w14:textId="77777777" w:rsidR="009D28D6" w:rsidRPr="009D28D6" w:rsidRDefault="009D28D6" w:rsidP="009D28D6">
            <w:pPr>
              <w:jc w:val="center"/>
              <w:rPr>
                <w:rFonts w:eastAsia="Times New Roman"/>
                <w:b/>
                <w:sz w:val="22"/>
                <w:szCs w:val="22"/>
                <w:lang w:val="es-ES"/>
              </w:rPr>
            </w:pPr>
            <w:r w:rsidRPr="009D28D6">
              <w:rPr>
                <w:rFonts w:eastAsia="Times New Roman"/>
                <w:b/>
                <w:sz w:val="22"/>
                <w:szCs w:val="22"/>
                <w:lang w:val="es-ES"/>
              </w:rPr>
              <w:t>LOS DIEZ MODELOS MÁS VENDIDOS</w:t>
            </w:r>
          </w:p>
        </w:tc>
      </w:tr>
      <w:tr w:rsidR="009D28D6" w:rsidRPr="009D28D6" w14:paraId="70AD4044" w14:textId="77777777" w:rsidTr="009D28D6">
        <w:trPr>
          <w:jc w:val="center"/>
        </w:trPr>
        <w:tc>
          <w:tcPr>
            <w:tcW w:w="946" w:type="dxa"/>
            <w:vMerge w:val="restart"/>
            <w:tcBorders>
              <w:bottom w:val="single" w:sz="4" w:space="0" w:color="auto"/>
            </w:tcBorders>
            <w:vAlign w:val="center"/>
          </w:tcPr>
          <w:p w14:paraId="17B42FE9"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Posición</w:t>
            </w:r>
          </w:p>
        </w:tc>
        <w:tc>
          <w:tcPr>
            <w:tcW w:w="1376" w:type="dxa"/>
            <w:vMerge w:val="restart"/>
            <w:tcBorders>
              <w:bottom w:val="single" w:sz="4" w:space="0" w:color="auto"/>
            </w:tcBorders>
            <w:vAlign w:val="center"/>
          </w:tcPr>
          <w:p w14:paraId="769EC69F"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Modelo</w:t>
            </w:r>
          </w:p>
        </w:tc>
        <w:tc>
          <w:tcPr>
            <w:tcW w:w="937" w:type="dxa"/>
            <w:vMerge w:val="restart"/>
            <w:tcBorders>
              <w:bottom w:val="single" w:sz="4" w:space="0" w:color="auto"/>
            </w:tcBorders>
            <w:vAlign w:val="center"/>
          </w:tcPr>
          <w:p w14:paraId="4436BED1"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Marca</w:t>
            </w:r>
          </w:p>
        </w:tc>
        <w:tc>
          <w:tcPr>
            <w:tcW w:w="1561" w:type="dxa"/>
            <w:vMerge w:val="restart"/>
            <w:tcBorders>
              <w:bottom w:val="single" w:sz="4" w:space="0" w:color="auto"/>
            </w:tcBorders>
            <w:vAlign w:val="center"/>
          </w:tcPr>
          <w:p w14:paraId="034337EA"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Segmento</w:t>
            </w:r>
          </w:p>
        </w:tc>
        <w:tc>
          <w:tcPr>
            <w:tcW w:w="1097" w:type="dxa"/>
            <w:vMerge w:val="restart"/>
            <w:tcBorders>
              <w:bottom w:val="single" w:sz="4" w:space="0" w:color="auto"/>
            </w:tcBorders>
            <w:vAlign w:val="center"/>
          </w:tcPr>
          <w:p w14:paraId="44C4B345"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Unidades</w:t>
            </w:r>
          </w:p>
        </w:tc>
        <w:tc>
          <w:tcPr>
            <w:tcW w:w="1059" w:type="dxa"/>
            <w:vMerge w:val="restart"/>
            <w:tcBorders>
              <w:bottom w:val="single" w:sz="4" w:space="0" w:color="auto"/>
            </w:tcBorders>
            <w:vAlign w:val="center"/>
          </w:tcPr>
          <w:p w14:paraId="491E3ECD"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 del Mercado</w:t>
            </w:r>
          </w:p>
        </w:tc>
        <w:tc>
          <w:tcPr>
            <w:tcW w:w="2052" w:type="dxa"/>
            <w:gridSpan w:val="2"/>
            <w:tcBorders>
              <w:bottom w:val="single" w:sz="4" w:space="0" w:color="auto"/>
            </w:tcBorders>
          </w:tcPr>
          <w:p w14:paraId="285C1C0F"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Variación 2015 vs. 2014</w:t>
            </w:r>
          </w:p>
        </w:tc>
      </w:tr>
      <w:tr w:rsidR="009D28D6" w:rsidRPr="009D28D6" w14:paraId="5AF68929" w14:textId="77777777" w:rsidTr="009D28D6">
        <w:trPr>
          <w:jc w:val="center"/>
        </w:trPr>
        <w:tc>
          <w:tcPr>
            <w:tcW w:w="946" w:type="dxa"/>
            <w:vMerge/>
            <w:tcBorders>
              <w:top w:val="single" w:sz="4" w:space="0" w:color="auto"/>
              <w:bottom w:val="single" w:sz="4" w:space="0" w:color="auto"/>
            </w:tcBorders>
            <w:vAlign w:val="center"/>
          </w:tcPr>
          <w:p w14:paraId="41876238" w14:textId="77777777" w:rsidR="009D28D6" w:rsidRPr="009D28D6" w:rsidRDefault="009D28D6" w:rsidP="009D28D6">
            <w:pPr>
              <w:spacing w:before="20" w:after="20"/>
              <w:jc w:val="center"/>
              <w:rPr>
                <w:rFonts w:eastAsia="Times New Roman"/>
                <w:b/>
                <w:sz w:val="18"/>
                <w:szCs w:val="18"/>
                <w:lang w:val="es-ES"/>
              </w:rPr>
            </w:pPr>
          </w:p>
        </w:tc>
        <w:tc>
          <w:tcPr>
            <w:tcW w:w="1376" w:type="dxa"/>
            <w:vMerge/>
            <w:tcBorders>
              <w:top w:val="single" w:sz="4" w:space="0" w:color="auto"/>
              <w:bottom w:val="single" w:sz="4" w:space="0" w:color="auto"/>
            </w:tcBorders>
            <w:vAlign w:val="center"/>
          </w:tcPr>
          <w:p w14:paraId="01CFDF61" w14:textId="77777777" w:rsidR="009D28D6" w:rsidRPr="009D28D6" w:rsidRDefault="009D28D6" w:rsidP="009D28D6">
            <w:pPr>
              <w:spacing w:before="20" w:after="20"/>
              <w:jc w:val="center"/>
              <w:rPr>
                <w:rFonts w:eastAsia="Times New Roman"/>
                <w:b/>
                <w:sz w:val="18"/>
                <w:szCs w:val="18"/>
                <w:lang w:val="es-ES"/>
              </w:rPr>
            </w:pPr>
          </w:p>
        </w:tc>
        <w:tc>
          <w:tcPr>
            <w:tcW w:w="937" w:type="dxa"/>
            <w:vMerge/>
            <w:tcBorders>
              <w:top w:val="single" w:sz="4" w:space="0" w:color="auto"/>
              <w:bottom w:val="single" w:sz="4" w:space="0" w:color="auto"/>
            </w:tcBorders>
            <w:vAlign w:val="center"/>
          </w:tcPr>
          <w:p w14:paraId="1EB94855" w14:textId="77777777" w:rsidR="009D28D6" w:rsidRPr="009D28D6" w:rsidRDefault="009D28D6" w:rsidP="009D28D6">
            <w:pPr>
              <w:spacing w:before="20" w:after="20"/>
              <w:jc w:val="center"/>
              <w:rPr>
                <w:rFonts w:eastAsia="Times New Roman"/>
                <w:b/>
                <w:sz w:val="18"/>
                <w:szCs w:val="18"/>
                <w:lang w:val="es-ES"/>
              </w:rPr>
            </w:pPr>
          </w:p>
        </w:tc>
        <w:tc>
          <w:tcPr>
            <w:tcW w:w="1561" w:type="dxa"/>
            <w:vMerge/>
            <w:tcBorders>
              <w:top w:val="single" w:sz="4" w:space="0" w:color="auto"/>
              <w:bottom w:val="single" w:sz="4" w:space="0" w:color="auto"/>
            </w:tcBorders>
            <w:vAlign w:val="center"/>
          </w:tcPr>
          <w:p w14:paraId="4518B248" w14:textId="77777777" w:rsidR="009D28D6" w:rsidRPr="009D28D6" w:rsidRDefault="009D28D6" w:rsidP="009D28D6">
            <w:pPr>
              <w:spacing w:before="20" w:after="20"/>
              <w:jc w:val="center"/>
              <w:rPr>
                <w:rFonts w:eastAsia="Times New Roman"/>
                <w:b/>
                <w:sz w:val="18"/>
                <w:szCs w:val="18"/>
                <w:lang w:val="es-ES"/>
              </w:rPr>
            </w:pPr>
          </w:p>
        </w:tc>
        <w:tc>
          <w:tcPr>
            <w:tcW w:w="1097" w:type="dxa"/>
            <w:vMerge/>
            <w:tcBorders>
              <w:top w:val="single" w:sz="4" w:space="0" w:color="auto"/>
              <w:bottom w:val="single" w:sz="4" w:space="0" w:color="auto"/>
            </w:tcBorders>
            <w:vAlign w:val="center"/>
          </w:tcPr>
          <w:p w14:paraId="5F7C56FC" w14:textId="77777777" w:rsidR="009D28D6" w:rsidRPr="009D28D6" w:rsidRDefault="009D28D6" w:rsidP="009D28D6">
            <w:pPr>
              <w:spacing w:before="20" w:after="20"/>
              <w:jc w:val="center"/>
              <w:rPr>
                <w:rFonts w:eastAsia="Times New Roman"/>
                <w:b/>
                <w:sz w:val="18"/>
                <w:szCs w:val="18"/>
                <w:lang w:val="es-ES"/>
              </w:rPr>
            </w:pPr>
          </w:p>
        </w:tc>
        <w:tc>
          <w:tcPr>
            <w:tcW w:w="1059" w:type="dxa"/>
            <w:vMerge/>
            <w:tcBorders>
              <w:top w:val="single" w:sz="4" w:space="0" w:color="auto"/>
              <w:bottom w:val="single" w:sz="4" w:space="0" w:color="auto"/>
            </w:tcBorders>
            <w:vAlign w:val="center"/>
          </w:tcPr>
          <w:p w14:paraId="4021F1CA" w14:textId="77777777" w:rsidR="009D28D6" w:rsidRPr="009D28D6" w:rsidRDefault="009D28D6" w:rsidP="009D28D6">
            <w:pPr>
              <w:spacing w:before="20" w:after="20"/>
              <w:jc w:val="center"/>
              <w:rPr>
                <w:rFonts w:eastAsia="Times New Roman"/>
                <w:b/>
                <w:sz w:val="18"/>
                <w:szCs w:val="18"/>
                <w:lang w:val="es-ES"/>
              </w:rPr>
            </w:pPr>
          </w:p>
        </w:tc>
        <w:tc>
          <w:tcPr>
            <w:tcW w:w="1097" w:type="dxa"/>
            <w:tcBorders>
              <w:top w:val="single" w:sz="4" w:space="0" w:color="auto"/>
              <w:bottom w:val="single" w:sz="4" w:space="0" w:color="auto"/>
            </w:tcBorders>
          </w:tcPr>
          <w:p w14:paraId="7145AFF7"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 xml:space="preserve">Unidades </w:t>
            </w:r>
          </w:p>
        </w:tc>
        <w:tc>
          <w:tcPr>
            <w:tcW w:w="955" w:type="dxa"/>
            <w:tcBorders>
              <w:top w:val="single" w:sz="4" w:space="0" w:color="auto"/>
              <w:bottom w:val="single" w:sz="4" w:space="0" w:color="auto"/>
            </w:tcBorders>
            <w:vAlign w:val="center"/>
          </w:tcPr>
          <w:p w14:paraId="197C91EA" w14:textId="77777777" w:rsidR="009D28D6" w:rsidRPr="009D28D6" w:rsidRDefault="009D28D6" w:rsidP="009D28D6">
            <w:pPr>
              <w:spacing w:before="20" w:after="20"/>
              <w:jc w:val="center"/>
              <w:rPr>
                <w:rFonts w:eastAsia="Times New Roman"/>
                <w:b/>
                <w:sz w:val="18"/>
                <w:szCs w:val="18"/>
                <w:lang w:val="es-ES"/>
              </w:rPr>
            </w:pPr>
            <w:r w:rsidRPr="009D28D6">
              <w:rPr>
                <w:rFonts w:eastAsia="Times New Roman"/>
                <w:b/>
                <w:sz w:val="18"/>
                <w:szCs w:val="18"/>
                <w:lang w:val="es-ES"/>
              </w:rPr>
              <w:t>%</w:t>
            </w:r>
          </w:p>
        </w:tc>
      </w:tr>
      <w:tr w:rsidR="009D28D6" w:rsidRPr="009D28D6" w14:paraId="4879C474" w14:textId="77777777" w:rsidTr="009D28D6">
        <w:trPr>
          <w:jc w:val="center"/>
        </w:trPr>
        <w:tc>
          <w:tcPr>
            <w:tcW w:w="946" w:type="dxa"/>
            <w:tcBorders>
              <w:top w:val="single" w:sz="4" w:space="0" w:color="auto"/>
              <w:bottom w:val="nil"/>
            </w:tcBorders>
            <w:shd w:val="clear" w:color="auto" w:fill="auto"/>
          </w:tcPr>
          <w:p w14:paraId="3EF8CAD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1</w:t>
            </w:r>
          </w:p>
        </w:tc>
        <w:tc>
          <w:tcPr>
            <w:tcW w:w="1376" w:type="dxa"/>
            <w:tcBorders>
              <w:top w:val="single" w:sz="4" w:space="0" w:color="auto"/>
              <w:bottom w:val="nil"/>
            </w:tcBorders>
            <w:shd w:val="clear" w:color="auto" w:fill="auto"/>
            <w:vAlign w:val="center"/>
          </w:tcPr>
          <w:p w14:paraId="698AE8AE"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Aveo</w:t>
            </w:r>
          </w:p>
        </w:tc>
        <w:tc>
          <w:tcPr>
            <w:tcW w:w="937" w:type="dxa"/>
            <w:tcBorders>
              <w:top w:val="single" w:sz="4" w:space="0" w:color="auto"/>
              <w:bottom w:val="nil"/>
            </w:tcBorders>
            <w:shd w:val="clear" w:color="auto" w:fill="auto"/>
            <w:vAlign w:val="center"/>
          </w:tcPr>
          <w:p w14:paraId="110D5319"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GM</w:t>
            </w:r>
          </w:p>
        </w:tc>
        <w:tc>
          <w:tcPr>
            <w:tcW w:w="1561" w:type="dxa"/>
            <w:tcBorders>
              <w:top w:val="single" w:sz="4" w:space="0" w:color="auto"/>
              <w:bottom w:val="nil"/>
            </w:tcBorders>
            <w:shd w:val="clear" w:color="auto" w:fill="auto"/>
            <w:vAlign w:val="center"/>
          </w:tcPr>
          <w:p w14:paraId="4739B189"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Subcompactos</w:t>
            </w:r>
          </w:p>
        </w:tc>
        <w:tc>
          <w:tcPr>
            <w:tcW w:w="1097" w:type="dxa"/>
            <w:tcBorders>
              <w:top w:val="single" w:sz="4" w:space="0" w:color="auto"/>
              <w:bottom w:val="nil"/>
            </w:tcBorders>
            <w:shd w:val="clear" w:color="auto" w:fill="auto"/>
          </w:tcPr>
          <w:p w14:paraId="0B5CAB3E"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17 681</w:t>
            </w:r>
          </w:p>
        </w:tc>
        <w:tc>
          <w:tcPr>
            <w:tcW w:w="1059" w:type="dxa"/>
            <w:tcBorders>
              <w:top w:val="single" w:sz="4" w:space="0" w:color="auto"/>
              <w:bottom w:val="nil"/>
            </w:tcBorders>
            <w:shd w:val="clear" w:color="auto" w:fill="auto"/>
          </w:tcPr>
          <w:p w14:paraId="7D220E29"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5.8</w:t>
            </w:r>
          </w:p>
        </w:tc>
        <w:tc>
          <w:tcPr>
            <w:tcW w:w="1097" w:type="dxa"/>
            <w:tcBorders>
              <w:top w:val="single" w:sz="4" w:space="0" w:color="auto"/>
              <w:bottom w:val="nil"/>
            </w:tcBorders>
          </w:tcPr>
          <w:p w14:paraId="1E863448"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2 569</w:t>
            </w:r>
          </w:p>
        </w:tc>
        <w:tc>
          <w:tcPr>
            <w:tcW w:w="955" w:type="dxa"/>
            <w:tcBorders>
              <w:top w:val="single" w:sz="4" w:space="0" w:color="auto"/>
              <w:bottom w:val="nil"/>
            </w:tcBorders>
            <w:shd w:val="clear" w:color="auto" w:fill="auto"/>
            <w:vAlign w:val="center"/>
          </w:tcPr>
          <w:p w14:paraId="1D906B86"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17.0</w:t>
            </w:r>
          </w:p>
        </w:tc>
      </w:tr>
      <w:tr w:rsidR="009D28D6" w:rsidRPr="009D28D6" w14:paraId="5F7514BD" w14:textId="77777777" w:rsidTr="009D28D6">
        <w:trPr>
          <w:jc w:val="center"/>
        </w:trPr>
        <w:tc>
          <w:tcPr>
            <w:tcW w:w="946" w:type="dxa"/>
            <w:tcBorders>
              <w:top w:val="nil"/>
              <w:bottom w:val="nil"/>
            </w:tcBorders>
            <w:shd w:val="clear" w:color="auto" w:fill="auto"/>
          </w:tcPr>
          <w:p w14:paraId="027268A4"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2</w:t>
            </w:r>
          </w:p>
        </w:tc>
        <w:tc>
          <w:tcPr>
            <w:tcW w:w="1376" w:type="dxa"/>
            <w:tcBorders>
              <w:top w:val="nil"/>
              <w:bottom w:val="nil"/>
            </w:tcBorders>
            <w:shd w:val="clear" w:color="auto" w:fill="auto"/>
            <w:vAlign w:val="center"/>
          </w:tcPr>
          <w:p w14:paraId="7A250E87"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Versa</w:t>
            </w:r>
          </w:p>
        </w:tc>
        <w:tc>
          <w:tcPr>
            <w:tcW w:w="937" w:type="dxa"/>
            <w:tcBorders>
              <w:top w:val="nil"/>
              <w:bottom w:val="nil"/>
            </w:tcBorders>
            <w:shd w:val="clear" w:color="auto" w:fill="auto"/>
            <w:vAlign w:val="center"/>
          </w:tcPr>
          <w:p w14:paraId="7AAB3EA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Nissan</w:t>
            </w:r>
          </w:p>
        </w:tc>
        <w:tc>
          <w:tcPr>
            <w:tcW w:w="1561" w:type="dxa"/>
            <w:tcBorders>
              <w:top w:val="nil"/>
              <w:bottom w:val="nil"/>
            </w:tcBorders>
            <w:shd w:val="clear" w:color="auto" w:fill="auto"/>
            <w:vAlign w:val="center"/>
          </w:tcPr>
          <w:p w14:paraId="168FE6A3"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Subcompactos</w:t>
            </w:r>
          </w:p>
        </w:tc>
        <w:tc>
          <w:tcPr>
            <w:tcW w:w="1097" w:type="dxa"/>
            <w:tcBorders>
              <w:top w:val="nil"/>
              <w:bottom w:val="nil"/>
            </w:tcBorders>
            <w:shd w:val="clear" w:color="auto" w:fill="auto"/>
          </w:tcPr>
          <w:p w14:paraId="298FBDD4"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14 855</w:t>
            </w:r>
          </w:p>
        </w:tc>
        <w:tc>
          <w:tcPr>
            <w:tcW w:w="1059" w:type="dxa"/>
            <w:tcBorders>
              <w:top w:val="nil"/>
              <w:bottom w:val="nil"/>
            </w:tcBorders>
            <w:shd w:val="clear" w:color="auto" w:fill="auto"/>
          </w:tcPr>
          <w:p w14:paraId="0A7233D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4.9</w:t>
            </w:r>
          </w:p>
        </w:tc>
        <w:tc>
          <w:tcPr>
            <w:tcW w:w="1097" w:type="dxa"/>
            <w:tcBorders>
              <w:top w:val="nil"/>
              <w:bottom w:val="nil"/>
            </w:tcBorders>
          </w:tcPr>
          <w:p w14:paraId="5A3BF0C2"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3 429</w:t>
            </w:r>
          </w:p>
        </w:tc>
        <w:tc>
          <w:tcPr>
            <w:tcW w:w="955" w:type="dxa"/>
            <w:tcBorders>
              <w:top w:val="nil"/>
              <w:bottom w:val="nil"/>
            </w:tcBorders>
            <w:shd w:val="clear" w:color="auto" w:fill="auto"/>
            <w:vAlign w:val="center"/>
          </w:tcPr>
          <w:p w14:paraId="48903604"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30.0</w:t>
            </w:r>
          </w:p>
        </w:tc>
      </w:tr>
      <w:tr w:rsidR="009D28D6" w:rsidRPr="009D28D6" w14:paraId="2789CBFC" w14:textId="77777777" w:rsidTr="009D28D6">
        <w:trPr>
          <w:jc w:val="center"/>
        </w:trPr>
        <w:tc>
          <w:tcPr>
            <w:tcW w:w="946" w:type="dxa"/>
            <w:tcBorders>
              <w:top w:val="nil"/>
              <w:bottom w:val="nil"/>
            </w:tcBorders>
            <w:shd w:val="clear" w:color="auto" w:fill="auto"/>
          </w:tcPr>
          <w:p w14:paraId="29A975F8"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3</w:t>
            </w:r>
          </w:p>
        </w:tc>
        <w:tc>
          <w:tcPr>
            <w:tcW w:w="1376" w:type="dxa"/>
            <w:tcBorders>
              <w:top w:val="nil"/>
              <w:bottom w:val="nil"/>
            </w:tcBorders>
            <w:shd w:val="clear" w:color="auto" w:fill="auto"/>
            <w:vAlign w:val="center"/>
          </w:tcPr>
          <w:p w14:paraId="651F86BB"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Vento</w:t>
            </w:r>
            <w:r w:rsidRPr="009D28D6">
              <w:rPr>
                <w:rFonts w:eastAsia="Times New Roman"/>
                <w:bCs/>
                <w:sz w:val="18"/>
                <w:szCs w:val="18"/>
                <w:lang w:val="es-ES"/>
              </w:rPr>
              <w:t xml:space="preserve"> </w:t>
            </w:r>
          </w:p>
        </w:tc>
        <w:tc>
          <w:tcPr>
            <w:tcW w:w="937" w:type="dxa"/>
            <w:tcBorders>
              <w:top w:val="nil"/>
              <w:bottom w:val="nil"/>
            </w:tcBorders>
            <w:shd w:val="clear" w:color="auto" w:fill="auto"/>
            <w:vAlign w:val="center"/>
          </w:tcPr>
          <w:p w14:paraId="05809365"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VW</w:t>
            </w:r>
          </w:p>
        </w:tc>
        <w:tc>
          <w:tcPr>
            <w:tcW w:w="1561" w:type="dxa"/>
            <w:tcBorders>
              <w:top w:val="nil"/>
              <w:bottom w:val="nil"/>
            </w:tcBorders>
            <w:shd w:val="clear" w:color="auto" w:fill="auto"/>
          </w:tcPr>
          <w:p w14:paraId="30A34CE7" w14:textId="77777777" w:rsidR="009D28D6" w:rsidRPr="009D28D6" w:rsidRDefault="009D28D6" w:rsidP="009D28D6">
            <w:pPr>
              <w:jc w:val="center"/>
              <w:rPr>
                <w:rFonts w:eastAsia="Times New Roman"/>
                <w:lang w:val="es-ES"/>
              </w:rPr>
            </w:pPr>
            <w:r w:rsidRPr="009D28D6">
              <w:rPr>
                <w:rFonts w:eastAsia="Times New Roman"/>
                <w:sz w:val="18"/>
                <w:szCs w:val="18"/>
                <w:lang w:val="es-ES"/>
              </w:rPr>
              <w:t>Subcompactos</w:t>
            </w:r>
          </w:p>
        </w:tc>
        <w:tc>
          <w:tcPr>
            <w:tcW w:w="1097" w:type="dxa"/>
            <w:tcBorders>
              <w:top w:val="nil"/>
              <w:bottom w:val="nil"/>
            </w:tcBorders>
            <w:shd w:val="clear" w:color="auto" w:fill="auto"/>
          </w:tcPr>
          <w:p w14:paraId="03CA1123"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14 302</w:t>
            </w:r>
          </w:p>
        </w:tc>
        <w:tc>
          <w:tcPr>
            <w:tcW w:w="1059" w:type="dxa"/>
            <w:tcBorders>
              <w:top w:val="nil"/>
              <w:bottom w:val="nil"/>
            </w:tcBorders>
            <w:shd w:val="clear" w:color="auto" w:fill="auto"/>
          </w:tcPr>
          <w:p w14:paraId="7A002FAC"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4.7</w:t>
            </w:r>
          </w:p>
        </w:tc>
        <w:tc>
          <w:tcPr>
            <w:tcW w:w="1097" w:type="dxa"/>
            <w:tcBorders>
              <w:top w:val="nil"/>
              <w:bottom w:val="nil"/>
            </w:tcBorders>
          </w:tcPr>
          <w:p w14:paraId="7431D005"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6 962</w:t>
            </w:r>
          </w:p>
        </w:tc>
        <w:tc>
          <w:tcPr>
            <w:tcW w:w="955" w:type="dxa"/>
            <w:tcBorders>
              <w:top w:val="nil"/>
              <w:bottom w:val="nil"/>
            </w:tcBorders>
            <w:shd w:val="clear" w:color="auto" w:fill="auto"/>
            <w:vAlign w:val="center"/>
          </w:tcPr>
          <w:p w14:paraId="36063771"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94.9</w:t>
            </w:r>
          </w:p>
        </w:tc>
      </w:tr>
      <w:tr w:rsidR="009D28D6" w:rsidRPr="009D28D6" w14:paraId="0199AEB6" w14:textId="77777777" w:rsidTr="009D28D6">
        <w:trPr>
          <w:jc w:val="center"/>
        </w:trPr>
        <w:tc>
          <w:tcPr>
            <w:tcW w:w="946" w:type="dxa"/>
            <w:tcBorders>
              <w:top w:val="nil"/>
              <w:bottom w:val="nil"/>
            </w:tcBorders>
            <w:shd w:val="clear" w:color="auto" w:fill="auto"/>
          </w:tcPr>
          <w:p w14:paraId="6C634588"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4</w:t>
            </w:r>
          </w:p>
        </w:tc>
        <w:tc>
          <w:tcPr>
            <w:tcW w:w="1376" w:type="dxa"/>
            <w:tcBorders>
              <w:top w:val="nil"/>
              <w:bottom w:val="nil"/>
            </w:tcBorders>
            <w:shd w:val="clear" w:color="auto" w:fill="auto"/>
            <w:vAlign w:val="center"/>
          </w:tcPr>
          <w:p w14:paraId="376F5B15" w14:textId="77777777" w:rsidR="009D28D6" w:rsidRPr="009D28D6" w:rsidRDefault="009D28D6" w:rsidP="009D28D6">
            <w:pPr>
              <w:spacing w:before="20" w:after="20"/>
              <w:rPr>
                <w:rFonts w:eastAsia="Times New Roman"/>
                <w:sz w:val="18"/>
                <w:szCs w:val="18"/>
                <w:lang w:val="es-ES"/>
              </w:rPr>
            </w:pPr>
            <w:r w:rsidRPr="009D28D6">
              <w:rPr>
                <w:rFonts w:eastAsia="Times New Roman"/>
                <w:bCs/>
                <w:sz w:val="18"/>
                <w:szCs w:val="18"/>
                <w:lang w:val="es-ES"/>
              </w:rPr>
              <w:t>Tsuru</w:t>
            </w:r>
          </w:p>
        </w:tc>
        <w:tc>
          <w:tcPr>
            <w:tcW w:w="937" w:type="dxa"/>
            <w:tcBorders>
              <w:top w:val="nil"/>
              <w:bottom w:val="nil"/>
            </w:tcBorders>
            <w:shd w:val="clear" w:color="auto" w:fill="auto"/>
            <w:vAlign w:val="center"/>
          </w:tcPr>
          <w:p w14:paraId="46060507"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Nissan</w:t>
            </w:r>
          </w:p>
        </w:tc>
        <w:tc>
          <w:tcPr>
            <w:tcW w:w="1561" w:type="dxa"/>
            <w:tcBorders>
              <w:top w:val="nil"/>
              <w:bottom w:val="nil"/>
            </w:tcBorders>
            <w:shd w:val="clear" w:color="auto" w:fill="auto"/>
          </w:tcPr>
          <w:p w14:paraId="6FFBB38F" w14:textId="77777777" w:rsidR="009D28D6" w:rsidRPr="009D28D6" w:rsidRDefault="009D28D6" w:rsidP="009D28D6">
            <w:pPr>
              <w:jc w:val="center"/>
              <w:rPr>
                <w:rFonts w:eastAsia="Times New Roman"/>
                <w:lang w:val="es-ES"/>
              </w:rPr>
            </w:pPr>
            <w:r w:rsidRPr="009D28D6">
              <w:rPr>
                <w:rFonts w:eastAsia="Times New Roman"/>
                <w:sz w:val="18"/>
                <w:szCs w:val="18"/>
                <w:lang w:val="es-ES"/>
              </w:rPr>
              <w:t>Subcompactos</w:t>
            </w:r>
          </w:p>
        </w:tc>
        <w:tc>
          <w:tcPr>
            <w:tcW w:w="1097" w:type="dxa"/>
            <w:tcBorders>
              <w:top w:val="nil"/>
              <w:bottom w:val="nil"/>
            </w:tcBorders>
            <w:shd w:val="clear" w:color="auto" w:fill="auto"/>
          </w:tcPr>
          <w:p w14:paraId="262462DF"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12 726</w:t>
            </w:r>
          </w:p>
        </w:tc>
        <w:tc>
          <w:tcPr>
            <w:tcW w:w="1059" w:type="dxa"/>
            <w:tcBorders>
              <w:top w:val="nil"/>
              <w:bottom w:val="nil"/>
            </w:tcBorders>
            <w:shd w:val="clear" w:color="auto" w:fill="auto"/>
          </w:tcPr>
          <w:p w14:paraId="5CF1CA78"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4.2</w:t>
            </w:r>
          </w:p>
        </w:tc>
        <w:tc>
          <w:tcPr>
            <w:tcW w:w="1097" w:type="dxa"/>
            <w:tcBorders>
              <w:top w:val="nil"/>
              <w:bottom w:val="nil"/>
            </w:tcBorders>
          </w:tcPr>
          <w:p w14:paraId="42F1460B"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748</w:t>
            </w:r>
          </w:p>
        </w:tc>
        <w:tc>
          <w:tcPr>
            <w:tcW w:w="955" w:type="dxa"/>
            <w:tcBorders>
              <w:top w:val="nil"/>
              <w:bottom w:val="nil"/>
            </w:tcBorders>
            <w:shd w:val="clear" w:color="auto" w:fill="auto"/>
            <w:vAlign w:val="center"/>
          </w:tcPr>
          <w:p w14:paraId="3D18F5C7"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6.2</w:t>
            </w:r>
          </w:p>
        </w:tc>
      </w:tr>
      <w:tr w:rsidR="009D28D6" w:rsidRPr="009D28D6" w14:paraId="5B748653" w14:textId="77777777" w:rsidTr="009D28D6">
        <w:trPr>
          <w:jc w:val="center"/>
        </w:trPr>
        <w:tc>
          <w:tcPr>
            <w:tcW w:w="946" w:type="dxa"/>
            <w:tcBorders>
              <w:top w:val="nil"/>
              <w:bottom w:val="nil"/>
            </w:tcBorders>
            <w:shd w:val="clear" w:color="auto" w:fill="auto"/>
          </w:tcPr>
          <w:p w14:paraId="7FD0204E"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5</w:t>
            </w:r>
          </w:p>
        </w:tc>
        <w:tc>
          <w:tcPr>
            <w:tcW w:w="1376" w:type="dxa"/>
            <w:tcBorders>
              <w:top w:val="nil"/>
              <w:bottom w:val="nil"/>
            </w:tcBorders>
            <w:shd w:val="clear" w:color="auto" w:fill="auto"/>
            <w:vAlign w:val="center"/>
          </w:tcPr>
          <w:p w14:paraId="6E744646"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Spark</w:t>
            </w:r>
          </w:p>
        </w:tc>
        <w:tc>
          <w:tcPr>
            <w:tcW w:w="937" w:type="dxa"/>
            <w:tcBorders>
              <w:top w:val="nil"/>
              <w:bottom w:val="nil"/>
            </w:tcBorders>
            <w:shd w:val="clear" w:color="auto" w:fill="auto"/>
            <w:vAlign w:val="center"/>
          </w:tcPr>
          <w:p w14:paraId="7DB8CD0F"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GM</w:t>
            </w:r>
          </w:p>
        </w:tc>
        <w:tc>
          <w:tcPr>
            <w:tcW w:w="1561" w:type="dxa"/>
            <w:tcBorders>
              <w:top w:val="nil"/>
              <w:bottom w:val="nil"/>
            </w:tcBorders>
            <w:shd w:val="clear" w:color="auto" w:fill="auto"/>
            <w:vAlign w:val="center"/>
          </w:tcPr>
          <w:p w14:paraId="359FAC5D"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Subcompactos</w:t>
            </w:r>
          </w:p>
        </w:tc>
        <w:tc>
          <w:tcPr>
            <w:tcW w:w="1097" w:type="dxa"/>
            <w:tcBorders>
              <w:top w:val="nil"/>
              <w:bottom w:val="nil"/>
            </w:tcBorders>
            <w:shd w:val="clear" w:color="auto" w:fill="auto"/>
          </w:tcPr>
          <w:p w14:paraId="49A445A0"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11 558</w:t>
            </w:r>
          </w:p>
        </w:tc>
        <w:tc>
          <w:tcPr>
            <w:tcW w:w="1059" w:type="dxa"/>
            <w:tcBorders>
              <w:top w:val="nil"/>
              <w:bottom w:val="nil"/>
            </w:tcBorders>
            <w:shd w:val="clear" w:color="auto" w:fill="auto"/>
          </w:tcPr>
          <w:p w14:paraId="3E0FDCCC"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3.8</w:t>
            </w:r>
          </w:p>
        </w:tc>
        <w:tc>
          <w:tcPr>
            <w:tcW w:w="1097" w:type="dxa"/>
            <w:tcBorders>
              <w:top w:val="nil"/>
              <w:bottom w:val="nil"/>
            </w:tcBorders>
            <w:vAlign w:val="center"/>
          </w:tcPr>
          <w:p w14:paraId="01965781"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3 369</w:t>
            </w:r>
          </w:p>
        </w:tc>
        <w:tc>
          <w:tcPr>
            <w:tcW w:w="955" w:type="dxa"/>
            <w:tcBorders>
              <w:top w:val="nil"/>
              <w:bottom w:val="nil"/>
            </w:tcBorders>
            <w:shd w:val="clear" w:color="auto" w:fill="auto"/>
            <w:vAlign w:val="center"/>
          </w:tcPr>
          <w:p w14:paraId="7FA797B9"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41.1</w:t>
            </w:r>
          </w:p>
        </w:tc>
      </w:tr>
      <w:tr w:rsidR="009D28D6" w:rsidRPr="009D28D6" w14:paraId="7C236396" w14:textId="77777777" w:rsidTr="009D28D6">
        <w:trPr>
          <w:jc w:val="center"/>
        </w:trPr>
        <w:tc>
          <w:tcPr>
            <w:tcW w:w="946" w:type="dxa"/>
            <w:tcBorders>
              <w:top w:val="nil"/>
              <w:bottom w:val="nil"/>
            </w:tcBorders>
            <w:shd w:val="clear" w:color="auto" w:fill="auto"/>
          </w:tcPr>
          <w:p w14:paraId="2051F5BF"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6</w:t>
            </w:r>
          </w:p>
        </w:tc>
        <w:tc>
          <w:tcPr>
            <w:tcW w:w="1376" w:type="dxa"/>
            <w:tcBorders>
              <w:top w:val="nil"/>
              <w:bottom w:val="nil"/>
            </w:tcBorders>
            <w:shd w:val="clear" w:color="auto" w:fill="auto"/>
            <w:vAlign w:val="center"/>
          </w:tcPr>
          <w:p w14:paraId="034D60D4"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March</w:t>
            </w:r>
          </w:p>
        </w:tc>
        <w:tc>
          <w:tcPr>
            <w:tcW w:w="937" w:type="dxa"/>
            <w:tcBorders>
              <w:top w:val="nil"/>
              <w:bottom w:val="nil"/>
            </w:tcBorders>
            <w:shd w:val="clear" w:color="auto" w:fill="auto"/>
            <w:vAlign w:val="center"/>
          </w:tcPr>
          <w:p w14:paraId="4A886095"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Nissan</w:t>
            </w:r>
          </w:p>
        </w:tc>
        <w:tc>
          <w:tcPr>
            <w:tcW w:w="1561" w:type="dxa"/>
            <w:tcBorders>
              <w:top w:val="nil"/>
              <w:bottom w:val="nil"/>
            </w:tcBorders>
            <w:shd w:val="clear" w:color="auto" w:fill="auto"/>
            <w:vAlign w:val="center"/>
          </w:tcPr>
          <w:p w14:paraId="6CEE1D7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Subcompactos</w:t>
            </w:r>
          </w:p>
        </w:tc>
        <w:tc>
          <w:tcPr>
            <w:tcW w:w="1097" w:type="dxa"/>
            <w:tcBorders>
              <w:top w:val="nil"/>
              <w:bottom w:val="nil"/>
            </w:tcBorders>
            <w:shd w:val="clear" w:color="auto" w:fill="auto"/>
          </w:tcPr>
          <w:p w14:paraId="05EDD101"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10 910</w:t>
            </w:r>
          </w:p>
        </w:tc>
        <w:tc>
          <w:tcPr>
            <w:tcW w:w="1059" w:type="dxa"/>
            <w:tcBorders>
              <w:top w:val="nil"/>
              <w:bottom w:val="nil"/>
            </w:tcBorders>
            <w:shd w:val="clear" w:color="auto" w:fill="auto"/>
          </w:tcPr>
          <w:p w14:paraId="0F77B443"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3.6</w:t>
            </w:r>
          </w:p>
        </w:tc>
        <w:tc>
          <w:tcPr>
            <w:tcW w:w="1097" w:type="dxa"/>
            <w:tcBorders>
              <w:top w:val="nil"/>
              <w:bottom w:val="nil"/>
            </w:tcBorders>
          </w:tcPr>
          <w:p w14:paraId="7E4B17D9"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4 137</w:t>
            </w:r>
          </w:p>
        </w:tc>
        <w:tc>
          <w:tcPr>
            <w:tcW w:w="955" w:type="dxa"/>
            <w:tcBorders>
              <w:top w:val="nil"/>
              <w:bottom w:val="nil"/>
            </w:tcBorders>
            <w:shd w:val="clear" w:color="auto" w:fill="auto"/>
            <w:vAlign w:val="center"/>
          </w:tcPr>
          <w:p w14:paraId="21DED1CD"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61.1</w:t>
            </w:r>
          </w:p>
        </w:tc>
      </w:tr>
      <w:tr w:rsidR="009D28D6" w:rsidRPr="009D28D6" w14:paraId="4AE23724" w14:textId="77777777" w:rsidTr="009D28D6">
        <w:trPr>
          <w:jc w:val="center"/>
        </w:trPr>
        <w:tc>
          <w:tcPr>
            <w:tcW w:w="946" w:type="dxa"/>
            <w:tcBorders>
              <w:top w:val="nil"/>
              <w:bottom w:val="nil"/>
            </w:tcBorders>
            <w:shd w:val="clear" w:color="auto" w:fill="auto"/>
          </w:tcPr>
          <w:p w14:paraId="74B06195"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7</w:t>
            </w:r>
          </w:p>
        </w:tc>
        <w:tc>
          <w:tcPr>
            <w:tcW w:w="1376" w:type="dxa"/>
            <w:tcBorders>
              <w:top w:val="nil"/>
              <w:bottom w:val="nil"/>
            </w:tcBorders>
            <w:shd w:val="clear" w:color="auto" w:fill="auto"/>
            <w:vAlign w:val="center"/>
          </w:tcPr>
          <w:p w14:paraId="2D9C8724"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Nuevo Jetta</w:t>
            </w:r>
          </w:p>
        </w:tc>
        <w:tc>
          <w:tcPr>
            <w:tcW w:w="937" w:type="dxa"/>
            <w:tcBorders>
              <w:top w:val="nil"/>
              <w:bottom w:val="nil"/>
            </w:tcBorders>
            <w:shd w:val="clear" w:color="auto" w:fill="auto"/>
            <w:vAlign w:val="center"/>
          </w:tcPr>
          <w:p w14:paraId="68F94D36"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VW</w:t>
            </w:r>
          </w:p>
        </w:tc>
        <w:tc>
          <w:tcPr>
            <w:tcW w:w="1561" w:type="dxa"/>
            <w:tcBorders>
              <w:top w:val="nil"/>
              <w:bottom w:val="nil"/>
            </w:tcBorders>
            <w:shd w:val="clear" w:color="auto" w:fill="auto"/>
            <w:vAlign w:val="center"/>
          </w:tcPr>
          <w:p w14:paraId="3F14085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Compactos</w:t>
            </w:r>
          </w:p>
        </w:tc>
        <w:tc>
          <w:tcPr>
            <w:tcW w:w="1097" w:type="dxa"/>
            <w:tcBorders>
              <w:top w:val="nil"/>
              <w:bottom w:val="nil"/>
            </w:tcBorders>
            <w:shd w:val="clear" w:color="auto" w:fill="auto"/>
          </w:tcPr>
          <w:p w14:paraId="7E914892"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7 723</w:t>
            </w:r>
          </w:p>
        </w:tc>
        <w:tc>
          <w:tcPr>
            <w:tcW w:w="1059" w:type="dxa"/>
            <w:tcBorders>
              <w:top w:val="nil"/>
              <w:bottom w:val="nil"/>
            </w:tcBorders>
            <w:shd w:val="clear" w:color="auto" w:fill="auto"/>
          </w:tcPr>
          <w:p w14:paraId="269A0E1D"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2.5</w:t>
            </w:r>
          </w:p>
        </w:tc>
        <w:tc>
          <w:tcPr>
            <w:tcW w:w="1097" w:type="dxa"/>
            <w:tcBorders>
              <w:top w:val="nil"/>
              <w:bottom w:val="nil"/>
            </w:tcBorders>
          </w:tcPr>
          <w:p w14:paraId="7F1C38C9"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-557</w:t>
            </w:r>
          </w:p>
        </w:tc>
        <w:tc>
          <w:tcPr>
            <w:tcW w:w="955" w:type="dxa"/>
            <w:tcBorders>
              <w:top w:val="nil"/>
              <w:bottom w:val="nil"/>
            </w:tcBorders>
            <w:shd w:val="clear" w:color="auto" w:fill="auto"/>
            <w:vAlign w:val="center"/>
          </w:tcPr>
          <w:p w14:paraId="78BB7772"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-6.7</w:t>
            </w:r>
          </w:p>
        </w:tc>
      </w:tr>
      <w:tr w:rsidR="009D28D6" w:rsidRPr="009D28D6" w14:paraId="6F234723" w14:textId="77777777" w:rsidTr="009D28D6">
        <w:trPr>
          <w:jc w:val="center"/>
        </w:trPr>
        <w:tc>
          <w:tcPr>
            <w:tcW w:w="946" w:type="dxa"/>
            <w:tcBorders>
              <w:top w:val="nil"/>
              <w:bottom w:val="nil"/>
            </w:tcBorders>
            <w:shd w:val="clear" w:color="auto" w:fill="auto"/>
          </w:tcPr>
          <w:p w14:paraId="636A3B1D"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8</w:t>
            </w:r>
          </w:p>
        </w:tc>
        <w:tc>
          <w:tcPr>
            <w:tcW w:w="1376" w:type="dxa"/>
            <w:tcBorders>
              <w:top w:val="nil"/>
              <w:bottom w:val="nil"/>
            </w:tcBorders>
            <w:shd w:val="clear" w:color="auto" w:fill="auto"/>
            <w:vAlign w:val="center"/>
          </w:tcPr>
          <w:p w14:paraId="7D6ABBF8"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Sentra 2.0</w:t>
            </w:r>
          </w:p>
        </w:tc>
        <w:tc>
          <w:tcPr>
            <w:tcW w:w="937" w:type="dxa"/>
            <w:tcBorders>
              <w:top w:val="nil"/>
              <w:bottom w:val="nil"/>
            </w:tcBorders>
            <w:shd w:val="clear" w:color="auto" w:fill="auto"/>
            <w:vAlign w:val="center"/>
          </w:tcPr>
          <w:p w14:paraId="02BA23A4"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Nissan</w:t>
            </w:r>
          </w:p>
        </w:tc>
        <w:tc>
          <w:tcPr>
            <w:tcW w:w="1561" w:type="dxa"/>
            <w:tcBorders>
              <w:top w:val="nil"/>
              <w:bottom w:val="nil"/>
            </w:tcBorders>
            <w:shd w:val="clear" w:color="auto" w:fill="auto"/>
            <w:vAlign w:val="center"/>
          </w:tcPr>
          <w:p w14:paraId="39F5F883"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Compactos</w:t>
            </w:r>
          </w:p>
        </w:tc>
        <w:tc>
          <w:tcPr>
            <w:tcW w:w="1097" w:type="dxa"/>
            <w:tcBorders>
              <w:top w:val="nil"/>
              <w:bottom w:val="nil"/>
            </w:tcBorders>
            <w:shd w:val="clear" w:color="auto" w:fill="auto"/>
          </w:tcPr>
          <w:p w14:paraId="2C4B7A55"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7 681</w:t>
            </w:r>
          </w:p>
        </w:tc>
        <w:tc>
          <w:tcPr>
            <w:tcW w:w="1059" w:type="dxa"/>
            <w:tcBorders>
              <w:top w:val="nil"/>
              <w:bottom w:val="nil"/>
            </w:tcBorders>
            <w:shd w:val="clear" w:color="auto" w:fill="auto"/>
          </w:tcPr>
          <w:p w14:paraId="66A0D6F5"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2.5</w:t>
            </w:r>
          </w:p>
        </w:tc>
        <w:tc>
          <w:tcPr>
            <w:tcW w:w="1097" w:type="dxa"/>
            <w:tcBorders>
              <w:top w:val="nil"/>
              <w:bottom w:val="nil"/>
            </w:tcBorders>
          </w:tcPr>
          <w:p w14:paraId="43636B2A"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1 641</w:t>
            </w:r>
          </w:p>
        </w:tc>
        <w:tc>
          <w:tcPr>
            <w:tcW w:w="955" w:type="dxa"/>
            <w:tcBorders>
              <w:top w:val="nil"/>
              <w:bottom w:val="nil"/>
            </w:tcBorders>
            <w:shd w:val="clear" w:color="auto" w:fill="auto"/>
            <w:vAlign w:val="center"/>
          </w:tcPr>
          <w:p w14:paraId="58131541"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27.2</w:t>
            </w:r>
          </w:p>
        </w:tc>
      </w:tr>
      <w:tr w:rsidR="009D28D6" w:rsidRPr="009D28D6" w14:paraId="7E39AC57" w14:textId="77777777" w:rsidTr="009D28D6">
        <w:trPr>
          <w:jc w:val="center"/>
        </w:trPr>
        <w:tc>
          <w:tcPr>
            <w:tcW w:w="946" w:type="dxa"/>
            <w:tcBorders>
              <w:top w:val="nil"/>
              <w:bottom w:val="nil"/>
            </w:tcBorders>
            <w:shd w:val="clear" w:color="auto" w:fill="auto"/>
          </w:tcPr>
          <w:p w14:paraId="376CF277"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9</w:t>
            </w:r>
          </w:p>
        </w:tc>
        <w:tc>
          <w:tcPr>
            <w:tcW w:w="1376" w:type="dxa"/>
            <w:tcBorders>
              <w:top w:val="nil"/>
              <w:bottom w:val="nil"/>
            </w:tcBorders>
            <w:shd w:val="clear" w:color="auto" w:fill="auto"/>
            <w:vAlign w:val="center"/>
          </w:tcPr>
          <w:p w14:paraId="699E96AB"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Chasis Largo</w:t>
            </w:r>
          </w:p>
        </w:tc>
        <w:tc>
          <w:tcPr>
            <w:tcW w:w="937" w:type="dxa"/>
            <w:tcBorders>
              <w:top w:val="nil"/>
              <w:bottom w:val="nil"/>
            </w:tcBorders>
            <w:shd w:val="clear" w:color="auto" w:fill="auto"/>
            <w:vAlign w:val="center"/>
          </w:tcPr>
          <w:p w14:paraId="04071D5A"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Nissan</w:t>
            </w:r>
          </w:p>
        </w:tc>
        <w:tc>
          <w:tcPr>
            <w:tcW w:w="1561" w:type="dxa"/>
            <w:tcBorders>
              <w:top w:val="nil"/>
              <w:bottom w:val="nil"/>
            </w:tcBorders>
            <w:shd w:val="clear" w:color="auto" w:fill="auto"/>
            <w:vAlign w:val="center"/>
          </w:tcPr>
          <w:p w14:paraId="1FFDC982"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Camiones Ligeros</w:t>
            </w:r>
          </w:p>
        </w:tc>
        <w:tc>
          <w:tcPr>
            <w:tcW w:w="1097" w:type="dxa"/>
            <w:tcBorders>
              <w:top w:val="nil"/>
              <w:bottom w:val="nil"/>
            </w:tcBorders>
            <w:shd w:val="clear" w:color="auto" w:fill="auto"/>
          </w:tcPr>
          <w:p w14:paraId="66284276"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6 822</w:t>
            </w:r>
          </w:p>
        </w:tc>
        <w:tc>
          <w:tcPr>
            <w:tcW w:w="1059" w:type="dxa"/>
            <w:tcBorders>
              <w:top w:val="nil"/>
              <w:bottom w:val="nil"/>
            </w:tcBorders>
            <w:shd w:val="clear" w:color="auto" w:fill="auto"/>
          </w:tcPr>
          <w:p w14:paraId="318A9896"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2.2</w:t>
            </w:r>
          </w:p>
        </w:tc>
        <w:tc>
          <w:tcPr>
            <w:tcW w:w="1097" w:type="dxa"/>
            <w:tcBorders>
              <w:top w:val="nil"/>
              <w:bottom w:val="nil"/>
            </w:tcBorders>
          </w:tcPr>
          <w:p w14:paraId="2D0C85AA"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890</w:t>
            </w:r>
          </w:p>
        </w:tc>
        <w:tc>
          <w:tcPr>
            <w:tcW w:w="955" w:type="dxa"/>
            <w:tcBorders>
              <w:top w:val="nil"/>
              <w:bottom w:val="nil"/>
            </w:tcBorders>
            <w:shd w:val="clear" w:color="auto" w:fill="auto"/>
            <w:vAlign w:val="center"/>
          </w:tcPr>
          <w:p w14:paraId="5470960F"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15.0</w:t>
            </w:r>
          </w:p>
        </w:tc>
      </w:tr>
      <w:tr w:rsidR="009D28D6" w:rsidRPr="009D28D6" w14:paraId="1B180211" w14:textId="77777777" w:rsidTr="009D28D6">
        <w:trPr>
          <w:jc w:val="center"/>
        </w:trPr>
        <w:tc>
          <w:tcPr>
            <w:tcW w:w="946" w:type="dxa"/>
            <w:tcBorders>
              <w:top w:val="nil"/>
              <w:bottom w:val="single" w:sz="4" w:space="0" w:color="auto"/>
            </w:tcBorders>
            <w:shd w:val="clear" w:color="auto" w:fill="auto"/>
          </w:tcPr>
          <w:p w14:paraId="05957F38"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10</w:t>
            </w:r>
          </w:p>
        </w:tc>
        <w:tc>
          <w:tcPr>
            <w:tcW w:w="1376" w:type="dxa"/>
            <w:tcBorders>
              <w:top w:val="nil"/>
              <w:bottom w:val="single" w:sz="4" w:space="0" w:color="auto"/>
            </w:tcBorders>
            <w:shd w:val="clear" w:color="auto" w:fill="auto"/>
            <w:vAlign w:val="center"/>
          </w:tcPr>
          <w:p w14:paraId="533E3353" w14:textId="77777777" w:rsidR="009D28D6" w:rsidRPr="009D28D6" w:rsidRDefault="009D28D6" w:rsidP="009D28D6">
            <w:pPr>
              <w:spacing w:before="20" w:after="20"/>
              <w:rPr>
                <w:rFonts w:eastAsia="Times New Roman"/>
                <w:sz w:val="18"/>
                <w:szCs w:val="18"/>
                <w:lang w:val="es-ES"/>
              </w:rPr>
            </w:pPr>
            <w:r w:rsidRPr="009D28D6">
              <w:rPr>
                <w:rFonts w:eastAsia="Times New Roman"/>
                <w:sz w:val="18"/>
                <w:szCs w:val="18"/>
                <w:lang w:val="es-ES"/>
              </w:rPr>
              <w:t>Matiz</w:t>
            </w:r>
          </w:p>
        </w:tc>
        <w:tc>
          <w:tcPr>
            <w:tcW w:w="937" w:type="dxa"/>
            <w:tcBorders>
              <w:top w:val="nil"/>
              <w:bottom w:val="single" w:sz="4" w:space="0" w:color="auto"/>
            </w:tcBorders>
            <w:shd w:val="clear" w:color="auto" w:fill="auto"/>
            <w:vAlign w:val="center"/>
          </w:tcPr>
          <w:p w14:paraId="1443E8E5"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GM</w:t>
            </w:r>
          </w:p>
        </w:tc>
        <w:tc>
          <w:tcPr>
            <w:tcW w:w="1561" w:type="dxa"/>
            <w:tcBorders>
              <w:top w:val="nil"/>
              <w:bottom w:val="single" w:sz="4" w:space="0" w:color="auto"/>
            </w:tcBorders>
            <w:shd w:val="clear" w:color="auto" w:fill="auto"/>
            <w:vAlign w:val="center"/>
          </w:tcPr>
          <w:p w14:paraId="0C4A68B2"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Subcompactos</w:t>
            </w:r>
          </w:p>
        </w:tc>
        <w:tc>
          <w:tcPr>
            <w:tcW w:w="1097" w:type="dxa"/>
            <w:tcBorders>
              <w:top w:val="nil"/>
              <w:bottom w:val="single" w:sz="4" w:space="0" w:color="auto"/>
            </w:tcBorders>
            <w:shd w:val="clear" w:color="auto" w:fill="auto"/>
          </w:tcPr>
          <w:p w14:paraId="1D9F1D6D" w14:textId="77777777" w:rsidR="009D28D6" w:rsidRPr="009D28D6" w:rsidRDefault="009D28D6" w:rsidP="009D28D6">
            <w:pPr>
              <w:spacing w:before="20" w:after="20"/>
              <w:ind w:left="-1080" w:right="156"/>
              <w:jc w:val="right"/>
              <w:rPr>
                <w:rFonts w:eastAsia="Times New Roman"/>
                <w:sz w:val="18"/>
                <w:szCs w:val="18"/>
                <w:lang w:val="es-ES"/>
              </w:rPr>
            </w:pPr>
            <w:r w:rsidRPr="009D28D6">
              <w:rPr>
                <w:rFonts w:eastAsia="Times New Roman"/>
                <w:sz w:val="18"/>
                <w:szCs w:val="18"/>
                <w:lang w:val="es-ES"/>
              </w:rPr>
              <w:t>6 699</w:t>
            </w:r>
          </w:p>
        </w:tc>
        <w:tc>
          <w:tcPr>
            <w:tcW w:w="1059" w:type="dxa"/>
            <w:tcBorders>
              <w:top w:val="nil"/>
              <w:bottom w:val="single" w:sz="4" w:space="0" w:color="auto"/>
            </w:tcBorders>
            <w:shd w:val="clear" w:color="auto" w:fill="auto"/>
          </w:tcPr>
          <w:p w14:paraId="7C38B13D" w14:textId="77777777" w:rsidR="009D28D6" w:rsidRPr="009D28D6" w:rsidRDefault="009D28D6" w:rsidP="009D28D6">
            <w:pPr>
              <w:spacing w:before="20" w:after="20"/>
              <w:jc w:val="center"/>
              <w:rPr>
                <w:rFonts w:eastAsia="Times New Roman"/>
                <w:sz w:val="18"/>
                <w:szCs w:val="18"/>
                <w:lang w:val="es-ES"/>
              </w:rPr>
            </w:pPr>
            <w:r w:rsidRPr="009D28D6">
              <w:rPr>
                <w:rFonts w:eastAsia="Times New Roman"/>
                <w:sz w:val="18"/>
                <w:szCs w:val="18"/>
                <w:lang w:val="es-ES"/>
              </w:rPr>
              <w:t>2.2</w:t>
            </w:r>
          </w:p>
        </w:tc>
        <w:tc>
          <w:tcPr>
            <w:tcW w:w="1097" w:type="dxa"/>
            <w:tcBorders>
              <w:top w:val="nil"/>
              <w:bottom w:val="single" w:sz="4" w:space="0" w:color="auto"/>
            </w:tcBorders>
          </w:tcPr>
          <w:p w14:paraId="25F47EC7"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4 350</w:t>
            </w:r>
          </w:p>
        </w:tc>
        <w:tc>
          <w:tcPr>
            <w:tcW w:w="955" w:type="dxa"/>
            <w:tcBorders>
              <w:top w:val="nil"/>
              <w:bottom w:val="single" w:sz="4" w:space="0" w:color="auto"/>
            </w:tcBorders>
            <w:shd w:val="clear" w:color="auto" w:fill="auto"/>
            <w:vAlign w:val="center"/>
          </w:tcPr>
          <w:p w14:paraId="2FB05775" w14:textId="77777777" w:rsidR="009D28D6" w:rsidRPr="009D28D6" w:rsidRDefault="009D28D6" w:rsidP="009D28D6">
            <w:pPr>
              <w:spacing w:before="20" w:after="20"/>
              <w:ind w:right="170"/>
              <w:jc w:val="right"/>
              <w:rPr>
                <w:rFonts w:eastAsia="Times New Roman"/>
                <w:sz w:val="18"/>
                <w:szCs w:val="18"/>
                <w:lang w:val="es-ES"/>
              </w:rPr>
            </w:pPr>
            <w:r w:rsidRPr="009D28D6">
              <w:rPr>
                <w:rFonts w:eastAsia="Times New Roman"/>
                <w:sz w:val="18"/>
                <w:szCs w:val="18"/>
                <w:lang w:val="es-ES"/>
              </w:rPr>
              <w:t>185.2</w:t>
            </w:r>
          </w:p>
        </w:tc>
      </w:tr>
      <w:tr w:rsidR="009D28D6" w:rsidRPr="009D28D6" w14:paraId="31B07E15" w14:textId="77777777" w:rsidTr="00770CA7">
        <w:trPr>
          <w:jc w:val="center"/>
        </w:trPr>
        <w:tc>
          <w:tcPr>
            <w:tcW w:w="9028" w:type="dxa"/>
            <w:gridSpan w:val="8"/>
            <w:tcBorders>
              <w:left w:val="nil"/>
              <w:bottom w:val="nil"/>
              <w:right w:val="nil"/>
            </w:tcBorders>
          </w:tcPr>
          <w:p w14:paraId="0314027F" w14:textId="77777777" w:rsidR="009D28D6" w:rsidRPr="009D28D6" w:rsidRDefault="009D28D6" w:rsidP="009D28D6">
            <w:pPr>
              <w:rPr>
                <w:rFonts w:eastAsia="Times New Roman"/>
                <w:bCs/>
                <w:sz w:val="20"/>
                <w:szCs w:val="20"/>
                <w:lang w:val="es-ES"/>
              </w:rPr>
            </w:pPr>
            <w:r w:rsidRPr="009D28D6">
              <w:rPr>
                <w:rFonts w:eastAsia="Times New Roman"/>
                <w:bCs/>
                <w:sz w:val="20"/>
                <w:szCs w:val="20"/>
                <w:lang w:val="es-ES"/>
              </w:rPr>
              <w:t>FUENTE: AMDA con información de AMIA.</w:t>
            </w:r>
          </w:p>
        </w:tc>
      </w:tr>
    </w:tbl>
    <w:p w14:paraId="3508F32F" w14:textId="77777777" w:rsidR="009D28D6" w:rsidRDefault="009D28D6" w:rsidP="00472665">
      <w:pPr>
        <w:spacing w:after="360" w:line="360" w:lineRule="auto"/>
        <w:ind w:right="-159"/>
        <w:rPr>
          <w:rFonts w:eastAsia="Times New Roman"/>
          <w:b/>
          <w:bCs/>
          <w:sz w:val="26"/>
          <w:szCs w:val="26"/>
          <w:lang w:val="es-ES"/>
        </w:rPr>
      </w:pPr>
    </w:p>
    <w:p w14:paraId="7E3361DA" w14:textId="77777777" w:rsidR="00472665" w:rsidRPr="00472665" w:rsidRDefault="00472665" w:rsidP="00472665">
      <w:pPr>
        <w:spacing w:after="360" w:line="360" w:lineRule="auto"/>
        <w:ind w:right="-159"/>
        <w:jc w:val="both"/>
        <w:rPr>
          <w:rFonts w:eastAsia="Times New Roman"/>
          <w:bCs/>
          <w:sz w:val="26"/>
          <w:szCs w:val="26"/>
          <w:lang w:val="es-ES"/>
        </w:rPr>
      </w:pPr>
      <w:r w:rsidRPr="00472665">
        <w:rPr>
          <w:rFonts w:eastAsia="Times New Roman"/>
          <w:bCs/>
          <w:sz w:val="26"/>
          <w:szCs w:val="26"/>
          <w:lang w:val="es-ES"/>
        </w:rPr>
        <w:lastRenderedPageBreak/>
        <w:t>Los diez modelos de mayor venta en el mercado mexicano durante los meses de enero a marzo de 2015 acumularon 110 mil 957 unidades, lo que significa una cobertura del 36.2% del total de vehículos ligeros comercializados en el lapso de referencia.</w:t>
      </w:r>
    </w:p>
    <w:p w14:paraId="143DE002" w14:textId="77777777" w:rsidR="00472665" w:rsidRPr="00472665" w:rsidRDefault="00472665" w:rsidP="00472665">
      <w:pPr>
        <w:spacing w:after="360" w:line="360" w:lineRule="auto"/>
        <w:ind w:right="-159"/>
        <w:rPr>
          <w:rFonts w:eastAsia="Times New Roman"/>
          <w:bCs/>
          <w:sz w:val="26"/>
          <w:szCs w:val="26"/>
          <w:lang w:val="es-ES"/>
        </w:rPr>
      </w:pPr>
      <w:r w:rsidRPr="00472665">
        <w:rPr>
          <w:rFonts w:eastAsia="Times New Roman"/>
          <w:bCs/>
          <w:sz w:val="26"/>
          <w:szCs w:val="26"/>
          <w:lang w:val="es-ES"/>
        </w:rPr>
        <w:t>Nissan coloca en esta ocasión cinco de los 10 modelos más vendidos en el país, General Motors tres y VW dos.</w:t>
      </w:r>
    </w:p>
    <w:p w14:paraId="24C7714A" w14:textId="77777777" w:rsidR="00472665" w:rsidRPr="00472665" w:rsidRDefault="00472665" w:rsidP="00472665">
      <w:pPr>
        <w:spacing w:after="360" w:line="360" w:lineRule="auto"/>
        <w:ind w:right="-159"/>
        <w:rPr>
          <w:rFonts w:eastAsia="Times New Roman"/>
          <w:b/>
          <w:bCs/>
          <w:sz w:val="26"/>
          <w:szCs w:val="26"/>
          <w:lang w:val="es-ES"/>
        </w:rPr>
      </w:pPr>
      <w:r w:rsidRPr="00472665">
        <w:rPr>
          <w:rFonts w:eastAsia="Times New Roman"/>
          <w:b/>
          <w:bCs/>
          <w:sz w:val="26"/>
          <w:szCs w:val="26"/>
          <w:lang w:val="es-ES"/>
        </w:rPr>
        <w:t>Pronóstico mensual de vehículos ligeros</w:t>
      </w:r>
    </w:p>
    <w:p w14:paraId="1251DF14" w14:textId="77777777" w:rsidR="00472665" w:rsidRPr="00472665" w:rsidRDefault="00472665" w:rsidP="00472665">
      <w:pPr>
        <w:spacing w:after="360" w:line="360" w:lineRule="auto"/>
        <w:ind w:right="-159"/>
        <w:jc w:val="both"/>
        <w:rPr>
          <w:rFonts w:eastAsia="Times New Roman"/>
          <w:bCs/>
          <w:sz w:val="26"/>
          <w:szCs w:val="26"/>
        </w:rPr>
      </w:pPr>
      <w:r w:rsidRPr="00472665">
        <w:rPr>
          <w:rFonts w:eastAsia="Times New Roman"/>
          <w:bCs/>
          <w:sz w:val="26"/>
          <w:szCs w:val="26"/>
        </w:rPr>
        <w:t>El volumen de unidades comercializadas de enero a marzo de 2015 fue de 306 mil 157 unidades, 8% por encima de lo estimado por AMDA para este lapso.</w:t>
      </w:r>
    </w:p>
    <w:tbl>
      <w:tblPr>
        <w:tblW w:w="8830" w:type="dxa"/>
        <w:jc w:val="center"/>
        <w:tblLook w:val="04A0" w:firstRow="1" w:lastRow="0" w:firstColumn="1" w:lastColumn="0" w:noHBand="0" w:noVBand="1"/>
      </w:tblPr>
      <w:tblGrid>
        <w:gridCol w:w="1260"/>
        <w:gridCol w:w="1283"/>
        <w:gridCol w:w="1473"/>
        <w:gridCol w:w="1648"/>
        <w:gridCol w:w="1583"/>
        <w:gridCol w:w="1583"/>
      </w:tblGrid>
      <w:tr w:rsidR="00472665" w:rsidRPr="00472665" w14:paraId="7C0E2AD8" w14:textId="77777777" w:rsidTr="00A8517F">
        <w:trPr>
          <w:jc w:val="center"/>
        </w:trPr>
        <w:tc>
          <w:tcPr>
            <w:tcW w:w="8830" w:type="dxa"/>
            <w:gridSpan w:val="6"/>
            <w:tcBorders>
              <w:top w:val="nil"/>
              <w:left w:val="nil"/>
              <w:bottom w:val="single" w:sz="4" w:space="0" w:color="auto"/>
              <w:right w:val="nil"/>
            </w:tcBorders>
            <w:vAlign w:val="center"/>
          </w:tcPr>
          <w:p w14:paraId="69E7C8C5" w14:textId="77777777" w:rsidR="00472665" w:rsidRPr="00472665" w:rsidRDefault="00472665" w:rsidP="00472665">
            <w:pPr>
              <w:jc w:val="center"/>
              <w:rPr>
                <w:rFonts w:eastAsia="Times New Roman"/>
                <w:b/>
                <w:bCs/>
                <w:sz w:val="22"/>
                <w:szCs w:val="22"/>
              </w:rPr>
            </w:pPr>
            <w:r w:rsidRPr="00472665">
              <w:rPr>
                <w:rFonts w:eastAsia="Times New Roman"/>
                <w:b/>
                <w:bCs/>
                <w:sz w:val="22"/>
                <w:szCs w:val="22"/>
              </w:rPr>
              <w:t>PRONÓSTICO MENSUAL DE VEHÍCULOS LIGEROS</w:t>
            </w:r>
          </w:p>
        </w:tc>
      </w:tr>
      <w:tr w:rsidR="00472665" w:rsidRPr="00472665" w14:paraId="2FBCA479" w14:textId="77777777" w:rsidTr="00A8517F">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468E9548" w14:textId="77777777" w:rsidR="00472665" w:rsidRPr="00472665" w:rsidRDefault="00472665" w:rsidP="00472665">
            <w:pPr>
              <w:jc w:val="center"/>
              <w:rPr>
                <w:rFonts w:eastAsia="Times New Roman"/>
                <w:b/>
                <w:bCs/>
                <w:sz w:val="18"/>
                <w:szCs w:val="18"/>
              </w:rPr>
            </w:pPr>
          </w:p>
        </w:tc>
        <w:tc>
          <w:tcPr>
            <w:tcW w:w="1283" w:type="dxa"/>
            <w:tcBorders>
              <w:top w:val="single" w:sz="4" w:space="0" w:color="auto"/>
              <w:left w:val="single" w:sz="4" w:space="0" w:color="auto"/>
              <w:bottom w:val="single" w:sz="4" w:space="0" w:color="auto"/>
              <w:right w:val="single" w:sz="4" w:space="0" w:color="auto"/>
            </w:tcBorders>
            <w:vAlign w:val="center"/>
          </w:tcPr>
          <w:p w14:paraId="6701CBE3" w14:textId="77777777" w:rsidR="00472665" w:rsidRPr="00472665" w:rsidRDefault="00472665" w:rsidP="00472665">
            <w:pPr>
              <w:jc w:val="center"/>
              <w:rPr>
                <w:rFonts w:eastAsia="Times New Roman"/>
                <w:b/>
                <w:bCs/>
                <w:sz w:val="18"/>
                <w:szCs w:val="18"/>
              </w:rPr>
            </w:pPr>
            <w:r w:rsidRPr="00472665">
              <w:rPr>
                <w:rFonts w:eastAsia="Times New Roman"/>
                <w:b/>
                <w:bCs/>
                <w:sz w:val="18"/>
                <w:szCs w:val="18"/>
              </w:rPr>
              <w:t>Enero-Marzo</w:t>
            </w:r>
          </w:p>
        </w:tc>
        <w:tc>
          <w:tcPr>
            <w:tcW w:w="1473" w:type="dxa"/>
            <w:tcBorders>
              <w:top w:val="single" w:sz="4" w:space="0" w:color="auto"/>
              <w:left w:val="single" w:sz="4" w:space="0" w:color="auto"/>
              <w:bottom w:val="single" w:sz="4" w:space="0" w:color="auto"/>
              <w:right w:val="single" w:sz="4" w:space="0" w:color="auto"/>
            </w:tcBorders>
            <w:vAlign w:val="center"/>
          </w:tcPr>
          <w:p w14:paraId="4AF7B069" w14:textId="77777777" w:rsidR="00472665" w:rsidRPr="00472665" w:rsidRDefault="00472665" w:rsidP="00472665">
            <w:pPr>
              <w:jc w:val="center"/>
              <w:rPr>
                <w:rFonts w:eastAsia="Times New Roman"/>
                <w:b/>
                <w:bCs/>
                <w:sz w:val="18"/>
                <w:szCs w:val="18"/>
              </w:rPr>
            </w:pPr>
            <w:r w:rsidRPr="00472665">
              <w:rPr>
                <w:rFonts w:eastAsia="Times New Roman"/>
                <w:b/>
                <w:bCs/>
                <w:sz w:val="18"/>
                <w:szCs w:val="18"/>
              </w:rPr>
              <w:t>Variación %</w:t>
            </w:r>
          </w:p>
        </w:tc>
        <w:tc>
          <w:tcPr>
            <w:tcW w:w="1648" w:type="dxa"/>
            <w:tcBorders>
              <w:top w:val="single" w:sz="4" w:space="0" w:color="auto"/>
              <w:left w:val="single" w:sz="4" w:space="0" w:color="auto"/>
              <w:bottom w:val="single" w:sz="4" w:space="0" w:color="auto"/>
              <w:right w:val="single" w:sz="4" w:space="0" w:color="auto"/>
            </w:tcBorders>
            <w:vAlign w:val="center"/>
          </w:tcPr>
          <w:p w14:paraId="1B378A08" w14:textId="77777777" w:rsidR="00472665" w:rsidRPr="00472665" w:rsidRDefault="00472665" w:rsidP="00472665">
            <w:pPr>
              <w:jc w:val="center"/>
              <w:rPr>
                <w:rFonts w:eastAsia="Times New Roman"/>
                <w:b/>
                <w:bCs/>
                <w:sz w:val="18"/>
                <w:szCs w:val="18"/>
              </w:rPr>
            </w:pPr>
            <w:r w:rsidRPr="00472665">
              <w:rPr>
                <w:rFonts w:eastAsia="Times New Roman"/>
                <w:b/>
                <w:bCs/>
                <w:sz w:val="18"/>
                <w:szCs w:val="18"/>
              </w:rPr>
              <w:t xml:space="preserve">Marzo </w:t>
            </w:r>
          </w:p>
        </w:tc>
        <w:tc>
          <w:tcPr>
            <w:tcW w:w="1583" w:type="dxa"/>
            <w:tcBorders>
              <w:top w:val="single" w:sz="4" w:space="0" w:color="auto"/>
              <w:left w:val="single" w:sz="4" w:space="0" w:color="auto"/>
              <w:bottom w:val="single" w:sz="4" w:space="0" w:color="auto"/>
              <w:right w:val="single" w:sz="4" w:space="0" w:color="auto"/>
            </w:tcBorders>
            <w:vAlign w:val="center"/>
          </w:tcPr>
          <w:p w14:paraId="3CB71F3C" w14:textId="77777777" w:rsidR="00472665" w:rsidRPr="00472665" w:rsidRDefault="00472665" w:rsidP="00472665">
            <w:pPr>
              <w:jc w:val="center"/>
              <w:rPr>
                <w:rFonts w:eastAsia="Times New Roman"/>
                <w:b/>
                <w:bCs/>
                <w:sz w:val="18"/>
                <w:szCs w:val="18"/>
              </w:rPr>
            </w:pPr>
            <w:r w:rsidRPr="00472665">
              <w:rPr>
                <w:rFonts w:eastAsia="Times New Roman"/>
                <w:b/>
                <w:bCs/>
                <w:sz w:val="18"/>
                <w:szCs w:val="18"/>
              </w:rPr>
              <w:t>Variación %</w:t>
            </w:r>
          </w:p>
        </w:tc>
        <w:tc>
          <w:tcPr>
            <w:tcW w:w="1583" w:type="dxa"/>
            <w:tcBorders>
              <w:top w:val="single" w:sz="4" w:space="0" w:color="auto"/>
              <w:left w:val="single" w:sz="4" w:space="0" w:color="auto"/>
              <w:bottom w:val="single" w:sz="4" w:space="0" w:color="auto"/>
              <w:right w:val="single" w:sz="4" w:space="0" w:color="auto"/>
            </w:tcBorders>
          </w:tcPr>
          <w:p w14:paraId="583621D4" w14:textId="77777777" w:rsidR="00472665" w:rsidRPr="00472665" w:rsidRDefault="00472665" w:rsidP="00472665">
            <w:pPr>
              <w:jc w:val="center"/>
              <w:rPr>
                <w:rFonts w:eastAsia="Times New Roman"/>
                <w:b/>
                <w:bCs/>
                <w:sz w:val="18"/>
                <w:szCs w:val="18"/>
              </w:rPr>
            </w:pPr>
            <w:r w:rsidRPr="00472665">
              <w:rPr>
                <w:rFonts w:eastAsia="Times New Roman"/>
                <w:b/>
                <w:bCs/>
                <w:sz w:val="18"/>
                <w:szCs w:val="18"/>
              </w:rPr>
              <w:t>Pronóstico para abril de 2015</w:t>
            </w:r>
          </w:p>
        </w:tc>
      </w:tr>
      <w:tr w:rsidR="00472665" w:rsidRPr="00472665" w14:paraId="310C3987" w14:textId="77777777" w:rsidTr="00A8517F">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72FE835B" w14:textId="77777777" w:rsidR="00472665" w:rsidRPr="00472665" w:rsidRDefault="00472665" w:rsidP="00472665">
            <w:pPr>
              <w:spacing w:before="20" w:after="20"/>
              <w:rPr>
                <w:rFonts w:eastAsia="Times New Roman"/>
                <w:bCs/>
                <w:sz w:val="18"/>
                <w:szCs w:val="18"/>
              </w:rPr>
            </w:pPr>
            <w:r w:rsidRPr="00472665">
              <w:rPr>
                <w:rFonts w:eastAsia="Times New Roman"/>
                <w:bCs/>
                <w:sz w:val="18"/>
                <w:szCs w:val="18"/>
              </w:rPr>
              <w:t>Pronóstico</w:t>
            </w:r>
          </w:p>
        </w:tc>
        <w:tc>
          <w:tcPr>
            <w:tcW w:w="1283" w:type="dxa"/>
            <w:tcBorders>
              <w:top w:val="single" w:sz="4" w:space="0" w:color="auto"/>
              <w:left w:val="single" w:sz="4" w:space="0" w:color="auto"/>
              <w:bottom w:val="single" w:sz="4" w:space="0" w:color="auto"/>
              <w:right w:val="single" w:sz="4" w:space="0" w:color="auto"/>
            </w:tcBorders>
          </w:tcPr>
          <w:p w14:paraId="29022C40"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282 641</w:t>
            </w:r>
          </w:p>
        </w:tc>
        <w:tc>
          <w:tcPr>
            <w:tcW w:w="1473" w:type="dxa"/>
            <w:vMerge w:val="restart"/>
            <w:tcBorders>
              <w:top w:val="single" w:sz="4" w:space="0" w:color="auto"/>
              <w:left w:val="single" w:sz="4" w:space="0" w:color="auto"/>
              <w:bottom w:val="single" w:sz="4" w:space="0" w:color="auto"/>
              <w:right w:val="single" w:sz="4" w:space="0" w:color="auto"/>
            </w:tcBorders>
            <w:vAlign w:val="center"/>
          </w:tcPr>
          <w:p w14:paraId="53686632"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8</w:t>
            </w:r>
          </w:p>
        </w:tc>
        <w:tc>
          <w:tcPr>
            <w:tcW w:w="1648" w:type="dxa"/>
            <w:tcBorders>
              <w:top w:val="single" w:sz="4" w:space="0" w:color="auto"/>
              <w:left w:val="single" w:sz="4" w:space="0" w:color="auto"/>
              <w:bottom w:val="single" w:sz="4" w:space="0" w:color="auto"/>
              <w:right w:val="single" w:sz="4" w:space="0" w:color="auto"/>
            </w:tcBorders>
            <w:vAlign w:val="center"/>
          </w:tcPr>
          <w:p w14:paraId="672568EC"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97 008</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213720FE"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8</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5AF98265"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87 559</w:t>
            </w:r>
          </w:p>
        </w:tc>
      </w:tr>
      <w:tr w:rsidR="00472665" w:rsidRPr="00472665" w14:paraId="6B3D633A" w14:textId="77777777" w:rsidTr="00A8517F">
        <w:trPr>
          <w:jc w:val="center"/>
        </w:trPr>
        <w:tc>
          <w:tcPr>
            <w:tcW w:w="1260" w:type="dxa"/>
            <w:tcBorders>
              <w:top w:val="single" w:sz="4" w:space="0" w:color="auto"/>
              <w:left w:val="single" w:sz="4" w:space="0" w:color="auto"/>
              <w:bottom w:val="single" w:sz="4" w:space="0" w:color="auto"/>
              <w:right w:val="single" w:sz="4" w:space="0" w:color="auto"/>
            </w:tcBorders>
            <w:vAlign w:val="center"/>
          </w:tcPr>
          <w:p w14:paraId="3D07CBE8" w14:textId="77777777" w:rsidR="00472665" w:rsidRPr="00472665" w:rsidRDefault="00472665" w:rsidP="00472665">
            <w:pPr>
              <w:spacing w:before="20" w:after="20"/>
              <w:rPr>
                <w:rFonts w:eastAsia="Times New Roman"/>
                <w:bCs/>
                <w:sz w:val="18"/>
                <w:szCs w:val="18"/>
              </w:rPr>
            </w:pPr>
            <w:r w:rsidRPr="00472665">
              <w:rPr>
                <w:rFonts w:eastAsia="Times New Roman"/>
                <w:bCs/>
                <w:sz w:val="18"/>
                <w:szCs w:val="18"/>
              </w:rPr>
              <w:t>Real</w:t>
            </w:r>
          </w:p>
        </w:tc>
        <w:tc>
          <w:tcPr>
            <w:tcW w:w="1283" w:type="dxa"/>
            <w:tcBorders>
              <w:top w:val="single" w:sz="4" w:space="0" w:color="auto"/>
              <w:left w:val="single" w:sz="4" w:space="0" w:color="auto"/>
              <w:bottom w:val="single" w:sz="4" w:space="0" w:color="auto"/>
              <w:right w:val="single" w:sz="4" w:space="0" w:color="auto"/>
            </w:tcBorders>
          </w:tcPr>
          <w:p w14:paraId="6F265147"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306 157</w:t>
            </w:r>
          </w:p>
        </w:tc>
        <w:tc>
          <w:tcPr>
            <w:tcW w:w="1473" w:type="dxa"/>
            <w:vMerge/>
            <w:tcBorders>
              <w:top w:val="single" w:sz="4" w:space="0" w:color="auto"/>
              <w:left w:val="single" w:sz="4" w:space="0" w:color="auto"/>
              <w:bottom w:val="single" w:sz="4" w:space="0" w:color="auto"/>
              <w:right w:val="single" w:sz="4" w:space="0" w:color="auto"/>
            </w:tcBorders>
          </w:tcPr>
          <w:p w14:paraId="2C09145E" w14:textId="77777777" w:rsidR="00472665" w:rsidRPr="00472665" w:rsidRDefault="00472665" w:rsidP="00472665">
            <w:pPr>
              <w:spacing w:before="20" w:after="20"/>
              <w:jc w:val="center"/>
              <w:rPr>
                <w:rFonts w:eastAsia="Times New Roman"/>
                <w:bCs/>
                <w:sz w:val="18"/>
                <w:szCs w:val="18"/>
              </w:rPr>
            </w:pPr>
          </w:p>
        </w:tc>
        <w:tc>
          <w:tcPr>
            <w:tcW w:w="1648" w:type="dxa"/>
            <w:tcBorders>
              <w:top w:val="single" w:sz="4" w:space="0" w:color="auto"/>
              <w:left w:val="single" w:sz="4" w:space="0" w:color="auto"/>
              <w:bottom w:val="single" w:sz="4" w:space="0" w:color="auto"/>
              <w:right w:val="single" w:sz="4" w:space="0" w:color="auto"/>
            </w:tcBorders>
          </w:tcPr>
          <w:p w14:paraId="735F327C" w14:textId="77777777" w:rsidR="00472665" w:rsidRPr="00472665" w:rsidRDefault="00472665" w:rsidP="00472665">
            <w:pPr>
              <w:spacing w:before="20" w:after="20"/>
              <w:jc w:val="center"/>
              <w:rPr>
                <w:rFonts w:eastAsia="Times New Roman"/>
                <w:bCs/>
                <w:sz w:val="18"/>
                <w:szCs w:val="18"/>
              </w:rPr>
            </w:pPr>
            <w:r w:rsidRPr="00472665">
              <w:rPr>
                <w:rFonts w:eastAsia="Times New Roman"/>
                <w:bCs/>
                <w:sz w:val="18"/>
                <w:szCs w:val="18"/>
              </w:rPr>
              <w:t>104 902</w:t>
            </w:r>
          </w:p>
        </w:tc>
        <w:tc>
          <w:tcPr>
            <w:tcW w:w="1583" w:type="dxa"/>
            <w:vMerge/>
            <w:tcBorders>
              <w:top w:val="single" w:sz="4" w:space="0" w:color="auto"/>
              <w:left w:val="single" w:sz="4" w:space="0" w:color="auto"/>
              <w:bottom w:val="single" w:sz="4" w:space="0" w:color="auto"/>
              <w:right w:val="single" w:sz="4" w:space="0" w:color="auto"/>
            </w:tcBorders>
          </w:tcPr>
          <w:p w14:paraId="2620C52C" w14:textId="77777777" w:rsidR="00472665" w:rsidRPr="00472665" w:rsidRDefault="00472665" w:rsidP="00472665">
            <w:pPr>
              <w:spacing w:before="20" w:after="20"/>
              <w:jc w:val="center"/>
              <w:rPr>
                <w:rFonts w:eastAsia="Times New Roman"/>
                <w:bCs/>
                <w:sz w:val="18"/>
                <w:szCs w:val="18"/>
              </w:rPr>
            </w:pPr>
          </w:p>
        </w:tc>
        <w:tc>
          <w:tcPr>
            <w:tcW w:w="1583" w:type="dxa"/>
            <w:vMerge/>
            <w:tcBorders>
              <w:top w:val="single" w:sz="4" w:space="0" w:color="auto"/>
              <w:left w:val="single" w:sz="4" w:space="0" w:color="auto"/>
              <w:bottom w:val="single" w:sz="4" w:space="0" w:color="auto"/>
              <w:right w:val="single" w:sz="4" w:space="0" w:color="auto"/>
            </w:tcBorders>
          </w:tcPr>
          <w:p w14:paraId="5238E1DB" w14:textId="77777777" w:rsidR="00472665" w:rsidRPr="00472665" w:rsidRDefault="00472665" w:rsidP="00472665">
            <w:pPr>
              <w:spacing w:before="20" w:after="20"/>
              <w:jc w:val="center"/>
              <w:rPr>
                <w:rFonts w:eastAsia="Times New Roman"/>
                <w:bCs/>
                <w:sz w:val="18"/>
                <w:szCs w:val="18"/>
              </w:rPr>
            </w:pPr>
          </w:p>
        </w:tc>
      </w:tr>
      <w:tr w:rsidR="00472665" w:rsidRPr="00472665" w14:paraId="083E4895" w14:textId="77777777" w:rsidTr="00251E61">
        <w:trPr>
          <w:jc w:val="center"/>
        </w:trPr>
        <w:tc>
          <w:tcPr>
            <w:tcW w:w="8830" w:type="dxa"/>
            <w:gridSpan w:val="6"/>
            <w:tcBorders>
              <w:top w:val="single" w:sz="4" w:space="0" w:color="auto"/>
              <w:left w:val="nil"/>
              <w:bottom w:val="nil"/>
              <w:right w:val="nil"/>
            </w:tcBorders>
            <w:vAlign w:val="center"/>
          </w:tcPr>
          <w:p w14:paraId="2D148BA7" w14:textId="77777777" w:rsidR="00472665" w:rsidRPr="00472665" w:rsidRDefault="00472665" w:rsidP="00472665">
            <w:pPr>
              <w:spacing w:before="20" w:after="20"/>
              <w:rPr>
                <w:rFonts w:eastAsia="Times New Roman"/>
                <w:bCs/>
                <w:sz w:val="20"/>
                <w:szCs w:val="20"/>
              </w:rPr>
            </w:pPr>
            <w:r w:rsidRPr="00472665">
              <w:rPr>
                <w:rFonts w:eastAsia="Times New Roman"/>
                <w:bCs/>
                <w:sz w:val="20"/>
                <w:szCs w:val="20"/>
              </w:rPr>
              <w:t>FUENTE: AMDA.</w:t>
            </w:r>
          </w:p>
        </w:tc>
      </w:tr>
    </w:tbl>
    <w:p w14:paraId="58733779" w14:textId="77777777" w:rsidR="00472665" w:rsidRDefault="00472665" w:rsidP="00472665">
      <w:pPr>
        <w:spacing w:after="360" w:line="360" w:lineRule="auto"/>
        <w:ind w:right="-159"/>
        <w:rPr>
          <w:rFonts w:eastAsia="Times New Roman"/>
          <w:b/>
          <w:sz w:val="26"/>
          <w:szCs w:val="26"/>
        </w:rPr>
      </w:pPr>
    </w:p>
    <w:p w14:paraId="1D0766E9" w14:textId="77777777" w:rsidR="00F20067" w:rsidRDefault="00F20067" w:rsidP="00472665">
      <w:pPr>
        <w:spacing w:after="360" w:line="360" w:lineRule="auto"/>
        <w:ind w:right="-159"/>
        <w:rPr>
          <w:rFonts w:eastAsia="Times New Roman"/>
          <w:b/>
          <w:sz w:val="26"/>
          <w:szCs w:val="26"/>
        </w:rPr>
      </w:pPr>
    </w:p>
    <w:p w14:paraId="4003C885" w14:textId="77777777" w:rsidR="00F20067" w:rsidRDefault="00F20067" w:rsidP="00472665">
      <w:pPr>
        <w:spacing w:after="360" w:line="360" w:lineRule="auto"/>
        <w:ind w:right="-159"/>
        <w:rPr>
          <w:rFonts w:eastAsia="Times New Roman"/>
          <w:b/>
          <w:sz w:val="26"/>
          <w:szCs w:val="26"/>
        </w:rPr>
      </w:pPr>
    </w:p>
    <w:p w14:paraId="6C3061EB" w14:textId="77777777" w:rsidR="00F20067" w:rsidRDefault="00F20067" w:rsidP="00472665">
      <w:pPr>
        <w:spacing w:after="360" w:line="360" w:lineRule="auto"/>
        <w:ind w:right="-159"/>
        <w:rPr>
          <w:rFonts w:eastAsia="Times New Roman"/>
          <w:b/>
          <w:sz w:val="26"/>
          <w:szCs w:val="26"/>
        </w:rPr>
      </w:pPr>
    </w:p>
    <w:p w14:paraId="172958C7" w14:textId="77777777" w:rsidR="00F20067" w:rsidRDefault="00F20067" w:rsidP="00472665">
      <w:pPr>
        <w:spacing w:after="360" w:line="360" w:lineRule="auto"/>
        <w:ind w:right="-159"/>
        <w:rPr>
          <w:rFonts w:eastAsia="Times New Roman"/>
          <w:b/>
          <w:sz w:val="26"/>
          <w:szCs w:val="26"/>
        </w:rPr>
      </w:pPr>
    </w:p>
    <w:p w14:paraId="283F8D0E" w14:textId="77777777" w:rsidR="00F20067" w:rsidRDefault="00F20067" w:rsidP="00472665">
      <w:pPr>
        <w:spacing w:after="360" w:line="360" w:lineRule="auto"/>
        <w:ind w:right="-159"/>
        <w:rPr>
          <w:rFonts w:eastAsia="Times New Roman"/>
          <w:b/>
          <w:sz w:val="26"/>
          <w:szCs w:val="26"/>
        </w:rPr>
      </w:pPr>
    </w:p>
    <w:p w14:paraId="291325DC" w14:textId="77777777" w:rsidR="00F20067" w:rsidRDefault="00F20067" w:rsidP="00472665">
      <w:pPr>
        <w:spacing w:after="360" w:line="360" w:lineRule="auto"/>
        <w:ind w:right="-159"/>
        <w:rPr>
          <w:rFonts w:eastAsia="Times New Roman"/>
          <w:b/>
          <w:sz w:val="26"/>
          <w:szCs w:val="26"/>
        </w:rPr>
      </w:pPr>
    </w:p>
    <w:p w14:paraId="5EA01F3E" w14:textId="77777777" w:rsidR="00F20067" w:rsidRPr="00472665" w:rsidRDefault="00F20067" w:rsidP="00472665">
      <w:pPr>
        <w:spacing w:after="360" w:line="360" w:lineRule="auto"/>
        <w:ind w:right="-159"/>
        <w:rPr>
          <w:rFonts w:eastAsia="Times New Roman"/>
          <w:b/>
          <w:sz w:val="26"/>
          <w:szCs w:val="26"/>
        </w:rPr>
      </w:pPr>
    </w:p>
    <w:tbl>
      <w:tblPr>
        <w:tblW w:w="0" w:type="auto"/>
        <w:jc w:val="center"/>
        <w:tblLook w:val="04A0" w:firstRow="1" w:lastRow="0" w:firstColumn="1" w:lastColumn="0" w:noHBand="0" w:noVBand="1"/>
      </w:tblPr>
      <w:tblGrid>
        <w:gridCol w:w="8367"/>
      </w:tblGrid>
      <w:tr w:rsidR="00472665" w:rsidRPr="00472665" w14:paraId="18F0CB18" w14:textId="77777777" w:rsidTr="00251E61">
        <w:trPr>
          <w:jc w:val="center"/>
        </w:trPr>
        <w:tc>
          <w:tcPr>
            <w:tcW w:w="8367" w:type="dxa"/>
          </w:tcPr>
          <w:p w14:paraId="5723F166" w14:textId="77777777" w:rsidR="00472665" w:rsidRPr="00472665" w:rsidRDefault="00472665" w:rsidP="00472665">
            <w:pPr>
              <w:ind w:right="-159"/>
              <w:jc w:val="center"/>
              <w:rPr>
                <w:rFonts w:eastAsia="Times New Roman"/>
                <w:b/>
                <w:bCs/>
                <w:sz w:val="22"/>
                <w:szCs w:val="22"/>
                <w:lang w:val="es-ES"/>
              </w:rPr>
            </w:pPr>
            <w:r w:rsidRPr="00472665">
              <w:rPr>
                <w:rFonts w:eastAsia="Times New Roman"/>
                <w:b/>
                <w:bCs/>
                <w:sz w:val="22"/>
                <w:szCs w:val="22"/>
                <w:lang w:val="es-ES"/>
              </w:rPr>
              <w:lastRenderedPageBreak/>
              <w:t>PRONÓSTICO MENSUAL DE VEHÍCULOS LIGEROS</w:t>
            </w:r>
          </w:p>
        </w:tc>
      </w:tr>
      <w:tr w:rsidR="00472665" w:rsidRPr="00472665" w14:paraId="2F5DDEFD" w14:textId="77777777" w:rsidTr="00251E61">
        <w:trPr>
          <w:jc w:val="center"/>
        </w:trPr>
        <w:tc>
          <w:tcPr>
            <w:tcW w:w="8367" w:type="dxa"/>
          </w:tcPr>
          <w:p w14:paraId="68AC26EA" w14:textId="77777777" w:rsidR="00472665" w:rsidRPr="00472665" w:rsidRDefault="00472665" w:rsidP="00472665">
            <w:pPr>
              <w:ind w:right="-159"/>
              <w:jc w:val="center"/>
              <w:rPr>
                <w:rFonts w:eastAsia="Times New Roman"/>
                <w:b/>
                <w:bCs/>
                <w:sz w:val="26"/>
                <w:szCs w:val="26"/>
                <w:lang w:val="es-ES"/>
              </w:rPr>
            </w:pPr>
            <w:r w:rsidRPr="00472665">
              <w:rPr>
                <w:rFonts w:eastAsia="Times New Roman"/>
                <w:b/>
                <w:bCs/>
                <w:noProof/>
                <w:sz w:val="26"/>
                <w:szCs w:val="26"/>
                <w:lang w:eastAsia="es-MX"/>
              </w:rPr>
              <w:drawing>
                <wp:inline distT="0" distB="0" distL="0" distR="0" wp14:anchorId="34C14482" wp14:editId="756DF714">
                  <wp:extent cx="5158739" cy="2772000"/>
                  <wp:effectExtent l="0" t="0" r="4445" b="0"/>
                  <wp:docPr id="1776" name="Imagen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2716" r="4075" b="7812"/>
                          <a:stretch/>
                        </pic:blipFill>
                        <pic:spPr bwMode="auto">
                          <a:xfrm>
                            <a:off x="0" y="0"/>
                            <a:ext cx="5158739" cy="27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72665" w:rsidRPr="00472665" w14:paraId="20CA6E9A" w14:textId="77777777" w:rsidTr="00251E61">
        <w:trPr>
          <w:jc w:val="center"/>
        </w:trPr>
        <w:tc>
          <w:tcPr>
            <w:tcW w:w="8367" w:type="dxa"/>
          </w:tcPr>
          <w:p w14:paraId="3F404CAD" w14:textId="77777777" w:rsidR="00472665" w:rsidRPr="00472665" w:rsidRDefault="00472665" w:rsidP="00472665">
            <w:pPr>
              <w:ind w:left="1026" w:right="-159"/>
              <w:rPr>
                <w:rFonts w:eastAsia="Times New Roman"/>
                <w:bCs/>
                <w:sz w:val="20"/>
                <w:szCs w:val="20"/>
                <w:lang w:val="es-ES"/>
              </w:rPr>
            </w:pPr>
            <w:r w:rsidRPr="00472665">
              <w:rPr>
                <w:rFonts w:eastAsia="Times New Roman"/>
                <w:bCs/>
                <w:sz w:val="20"/>
                <w:szCs w:val="20"/>
                <w:lang w:val="es-ES"/>
              </w:rPr>
              <w:t>FUENTE: AMDA.</w:t>
            </w:r>
          </w:p>
        </w:tc>
      </w:tr>
    </w:tbl>
    <w:p w14:paraId="1101D70D" w14:textId="77777777" w:rsidR="00472665" w:rsidRPr="00472665" w:rsidRDefault="00472665" w:rsidP="00472665">
      <w:pPr>
        <w:spacing w:after="360" w:line="360" w:lineRule="auto"/>
        <w:ind w:right="-159"/>
        <w:rPr>
          <w:rFonts w:eastAsia="Times New Roman"/>
          <w:sz w:val="26"/>
          <w:szCs w:val="26"/>
        </w:rPr>
      </w:pPr>
    </w:p>
    <w:p w14:paraId="0EA3BDAE" w14:textId="77777777" w:rsidR="00472665" w:rsidRPr="00472665" w:rsidRDefault="00472665" w:rsidP="00472665">
      <w:pPr>
        <w:ind w:right="-159"/>
        <w:jc w:val="both"/>
        <w:rPr>
          <w:rFonts w:eastAsia="Times New Roman"/>
          <w:b/>
          <w:sz w:val="20"/>
          <w:szCs w:val="20"/>
        </w:rPr>
      </w:pPr>
      <w:r w:rsidRPr="00472665">
        <w:rPr>
          <w:rFonts w:eastAsia="Times New Roman"/>
          <w:b/>
          <w:sz w:val="20"/>
          <w:szCs w:val="20"/>
        </w:rPr>
        <w:t>Fuente de información:</w:t>
      </w:r>
    </w:p>
    <w:p w14:paraId="3AB07947" w14:textId="77777777" w:rsidR="00472665" w:rsidRPr="00CF18F1" w:rsidRDefault="0045651A" w:rsidP="00CF18F1">
      <w:pPr>
        <w:spacing w:after="720"/>
        <w:rPr>
          <w:rFonts w:eastAsia="Times New Roman"/>
          <w:color w:val="0000FF"/>
          <w:sz w:val="20"/>
          <w:szCs w:val="20"/>
          <w:lang w:eastAsia="es-MX"/>
        </w:rPr>
      </w:pPr>
      <w:hyperlink r:id="rId167" w:history="1">
        <w:r w:rsidR="00472665" w:rsidRPr="00CF18F1">
          <w:rPr>
            <w:rFonts w:eastAsia="Times New Roman"/>
            <w:color w:val="0000FF"/>
            <w:sz w:val="20"/>
            <w:szCs w:val="20"/>
            <w:u w:val="single"/>
            <w:lang w:val="es-ES" w:eastAsia="es-MX"/>
          </w:rPr>
          <w:t>http://d1siz4j9sp99t0.cloudfront.net/images/stories/estadisticas/coyuntura/2015/ventas/1503Reporte_Mercado_Automotor.pdf</w:t>
        </w:r>
      </w:hyperlink>
    </w:p>
    <w:p w14:paraId="3A835B13" w14:textId="39AE917A" w:rsidR="00457FA7" w:rsidRPr="00457FA7" w:rsidRDefault="00457FA7" w:rsidP="00457FA7">
      <w:pPr>
        <w:ind w:right="-159"/>
        <w:jc w:val="both"/>
        <w:rPr>
          <w:rFonts w:eastAsia="Calibri"/>
          <w:b/>
          <w:sz w:val="26"/>
          <w:szCs w:val="26"/>
          <w:lang w:eastAsia="en-US"/>
        </w:rPr>
      </w:pPr>
      <w:r w:rsidRPr="00457FA7">
        <w:rPr>
          <w:rFonts w:eastAsia="Calibri"/>
          <w:b/>
          <w:sz w:val="26"/>
          <w:szCs w:val="26"/>
          <w:lang w:eastAsia="en-US"/>
        </w:rPr>
        <w:t>¿De verdad México es importante en</w:t>
      </w:r>
      <w:r w:rsidR="00A871F8">
        <w:rPr>
          <w:rFonts w:eastAsia="Calibri"/>
          <w:b/>
          <w:sz w:val="26"/>
          <w:szCs w:val="26"/>
          <w:lang w:eastAsia="en-US"/>
        </w:rPr>
        <w:t xml:space="preserve"> la</w:t>
      </w:r>
    </w:p>
    <w:p w14:paraId="5C49B5AD" w14:textId="6783053B" w:rsidR="00457FA7" w:rsidRPr="00457FA7" w:rsidRDefault="00457FA7" w:rsidP="00457FA7">
      <w:pPr>
        <w:spacing w:after="360" w:line="360" w:lineRule="auto"/>
        <w:ind w:right="-159"/>
        <w:jc w:val="both"/>
        <w:rPr>
          <w:rFonts w:eastAsia="Calibri"/>
          <w:b/>
          <w:sz w:val="26"/>
          <w:szCs w:val="26"/>
          <w:lang w:eastAsia="en-US"/>
        </w:rPr>
      </w:pPr>
      <w:r w:rsidRPr="00457FA7">
        <w:rPr>
          <w:rFonts w:eastAsia="Calibri"/>
          <w:b/>
          <w:sz w:val="26"/>
          <w:szCs w:val="26"/>
          <w:lang w:eastAsia="en-US"/>
        </w:rPr>
        <w:t>industria automotriz? (Forbes México)</w:t>
      </w:r>
    </w:p>
    <w:p w14:paraId="12CB9C85"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El 16 de abril de 2015, la edición online de la revista de negocios Forbes México señaló que el ensamble de autos en México se duplicó de 2009 a la fecha y aún subirá más, pero el país no tiene una industria automotriz propia. El diseño y desarrollo de piezas y materiales, lo que tiene más valor en un vehículo, viene de fuera y nada indica que eso vaya a cambiar. </w:t>
      </w:r>
    </w:p>
    <w:p w14:paraId="284058A9"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Los asistentes al Detroit Auto Show se repartía entre las varias novedades de la exposición automotriz más importante de América, como la </w:t>
      </w:r>
      <w:r w:rsidRPr="00457FA7">
        <w:rPr>
          <w:rFonts w:eastAsia="Calibri"/>
          <w:i/>
          <w:sz w:val="26"/>
          <w:szCs w:val="26"/>
          <w:lang w:val="es-ES" w:eastAsia="en-US"/>
        </w:rPr>
        <w:t>pick up</w:t>
      </w:r>
      <w:r w:rsidRPr="00457FA7">
        <w:rPr>
          <w:rFonts w:eastAsia="Calibri"/>
          <w:sz w:val="26"/>
          <w:szCs w:val="26"/>
          <w:lang w:val="es-ES" w:eastAsia="en-US"/>
        </w:rPr>
        <w:t xml:space="preserve"> de aluminio de Ford, la carta en híbridos jugada por las grandes armadoras y los modelos presentados por Tesla, la automotriz que sólo produce autos eléctricos y la única nacida en Silicon Valley.</w:t>
      </w:r>
    </w:p>
    <w:p w14:paraId="479603AA"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lastRenderedPageBreak/>
        <w:t xml:space="preserve">Entre los más pendientes estaban tres ejecutivos mexicanos, cuya compañía Rassini provee los discos para el Corvette Z06 el deportivo de General Motors (GM). El director de Finanzas tuvo además la oportunidad de tomarse una </w:t>
      </w:r>
      <w:r w:rsidRPr="00457FA7">
        <w:rPr>
          <w:rFonts w:eastAsia="Calibri"/>
          <w:i/>
          <w:sz w:val="26"/>
          <w:szCs w:val="26"/>
          <w:lang w:val="es-ES" w:eastAsia="en-US"/>
        </w:rPr>
        <w:t>selfie</w:t>
      </w:r>
      <w:r w:rsidRPr="00457FA7">
        <w:rPr>
          <w:rFonts w:eastAsia="Calibri"/>
          <w:sz w:val="26"/>
          <w:szCs w:val="26"/>
          <w:lang w:val="es-ES" w:eastAsia="en-US"/>
        </w:rPr>
        <w:t xml:space="preserve"> con la CEO de GM, un cliente que ha sido clave en el buen momento que vive la compañía mexicana.</w:t>
      </w:r>
    </w:p>
    <w:p w14:paraId="61177A68"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Gracias a las exportaciones a Estados Unidos de Norteamérica —mercado en camino de recuperar las cifras de ventas que tenía antes de la crisis financiera de 2008-2009, de más de 17 millones de unidades—, en los primeros meses del año 2014 México superó a Japón como el segundo mayor exportador de vehículos al vecino del norte y a Brasil, convirtiéndose en el país que más vehículos produce en América Latina.</w:t>
      </w:r>
    </w:p>
    <w:p w14:paraId="5CBFC5F7"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Sin embargo, por extraño que parezca, pocas empresas mexicanas se benefician del buen momento que vive la producción automotriz en Norteamérica, como hace Rassini.</w:t>
      </w:r>
    </w:p>
    <w:p w14:paraId="441A7AEF"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México es la respuesta a la necesidad de la industria de bajar sus costos en Norteamérica. Hace 10 años, 25% de las empresas de autopartes de Estados Unidos de Norteamérica estaban refugiadas bajo el Capítulo 11 de la ley de bancarrota y eso obligó a las armadoras a hacer eficiencias para lidiar con las presiones financieras. Conforme esa presión dirigió a las armadoras a poner su atención en sus cargas laborales y a defender su mercado local del avance de las armadoras asiáticas y europeas, México se convirtió en el principal productor automotriz de bajo costo de toda la región. El año pasado el país produjo 3.2 millones de vehículos y eso se tradujo en un superávit comercial en materia automotriz de 47 mil millones de dólares.</w:t>
      </w:r>
    </w:p>
    <w:p w14:paraId="46EAF35F"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“Toda la industria de autopartes florece a la par. Está valuada en 82 mil millones de dólares, ha tenido un crecimiento de 20% en los últimos tres años y se estima que en 2015 aumente 6% por la alta demanda de las nuevas plantas que entrarán en operación en México y de plantas en Estados Unidos de Norteamérica, que trabajan a toda su capacidad”, dice el presidente de la asociación Industria Nacional de Autopartes (INA).</w:t>
      </w:r>
    </w:p>
    <w:p w14:paraId="3E876777"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lastRenderedPageBreak/>
        <w:t>Con salarios en las plantas automotrices que son más de cuatro veces menores que los de Estados Unidos de Norteamérica, México ha recibido en los últimos cuatro años inversiones por 13 mil 365 millones de dólares para nuevas plantas o para ampliar las existentes de armadoras japonesas, europeas e incluso estadounidenses, según cifras de ProMéxico, cuyo fin es abastecer desde aquí a las agencias de autos estadounidenses. “Muchos centros de producción emigraron a México desde Detroit junto con otros sitios en Texas y la franja sur de Estados Unidos de Norteamérica”, dice el de Norteamérica presidente de Kaso y Asociados.</w:t>
      </w:r>
    </w:p>
    <w:p w14:paraId="6B9925E8"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Las proyecciones indican que en 2020 se fabricarán 4.5 millones de unidades anuales, el doble de lo producido en 2010. Para ese año, México habrá superado a Corea del Sur y Brasil y habrá saltado del octavo al sexto lugar entre los mayores fabricantes del mundo, según la Asociación Mexicana de la Industria Automotriz (AMIA). Como sucede en la actualidad, tres cuartas partes —o más— de los vehículos ensamblados en México tendrán como destino final Estados Unidos de Norteamérica.</w:t>
      </w:r>
    </w:p>
    <w:p w14:paraId="6D5021C6" w14:textId="77777777" w:rsid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En autopartes, México es quinto en el mundo; después de China, Estados Unidos de Norteamérica y otros, pero por encima de Corea y Brasil.</w:t>
      </w:r>
    </w:p>
    <w:p w14:paraId="0CEA2CB9" w14:textId="77777777" w:rsidR="009940FA" w:rsidRDefault="009940FA" w:rsidP="00457FA7">
      <w:pPr>
        <w:spacing w:after="360" w:line="360" w:lineRule="auto"/>
        <w:ind w:right="-159"/>
        <w:jc w:val="both"/>
        <w:rPr>
          <w:rFonts w:eastAsia="Calibri"/>
          <w:sz w:val="26"/>
          <w:szCs w:val="26"/>
          <w:lang w:val="es-ES" w:eastAsia="en-US"/>
        </w:rPr>
      </w:pPr>
    </w:p>
    <w:p w14:paraId="0EC26324" w14:textId="77777777" w:rsidR="009940FA" w:rsidRDefault="009940FA" w:rsidP="00457FA7">
      <w:pPr>
        <w:spacing w:after="360" w:line="360" w:lineRule="auto"/>
        <w:ind w:right="-159"/>
        <w:jc w:val="both"/>
        <w:rPr>
          <w:rFonts w:eastAsia="Calibri"/>
          <w:sz w:val="26"/>
          <w:szCs w:val="26"/>
          <w:lang w:val="es-ES" w:eastAsia="en-US"/>
        </w:rPr>
      </w:pPr>
    </w:p>
    <w:p w14:paraId="52621CD1" w14:textId="77777777" w:rsidR="009940FA" w:rsidRDefault="009940FA" w:rsidP="00457FA7">
      <w:pPr>
        <w:spacing w:after="360" w:line="360" w:lineRule="auto"/>
        <w:ind w:right="-159"/>
        <w:jc w:val="both"/>
        <w:rPr>
          <w:rFonts w:eastAsia="Calibri"/>
          <w:sz w:val="26"/>
          <w:szCs w:val="26"/>
          <w:lang w:val="es-ES" w:eastAsia="en-US"/>
        </w:rPr>
      </w:pPr>
    </w:p>
    <w:p w14:paraId="18F8555F" w14:textId="77777777" w:rsidR="009940FA" w:rsidRDefault="009940FA" w:rsidP="00457FA7">
      <w:pPr>
        <w:spacing w:after="360" w:line="360" w:lineRule="auto"/>
        <w:ind w:right="-159"/>
        <w:jc w:val="both"/>
        <w:rPr>
          <w:rFonts w:eastAsia="Calibri"/>
          <w:sz w:val="26"/>
          <w:szCs w:val="26"/>
          <w:lang w:val="es-ES" w:eastAsia="en-US"/>
        </w:rPr>
      </w:pPr>
    </w:p>
    <w:p w14:paraId="09EFD004" w14:textId="77777777" w:rsidR="009940FA" w:rsidRDefault="009940FA" w:rsidP="00457FA7">
      <w:pPr>
        <w:spacing w:after="360" w:line="360" w:lineRule="auto"/>
        <w:ind w:right="-159"/>
        <w:jc w:val="both"/>
        <w:rPr>
          <w:rFonts w:eastAsia="Calibri"/>
          <w:sz w:val="26"/>
          <w:szCs w:val="26"/>
          <w:lang w:val="es-ES" w:eastAsia="en-US"/>
        </w:rPr>
      </w:pPr>
    </w:p>
    <w:p w14:paraId="500BED43" w14:textId="77777777" w:rsidR="009940FA" w:rsidRPr="00457FA7" w:rsidRDefault="009940FA" w:rsidP="00457FA7">
      <w:pPr>
        <w:spacing w:after="360" w:line="360" w:lineRule="auto"/>
        <w:ind w:right="-159"/>
        <w:jc w:val="both"/>
        <w:rPr>
          <w:rFonts w:eastAsia="Calibri"/>
          <w:sz w:val="26"/>
          <w:szCs w:val="26"/>
          <w:lang w:val="es-ES" w:eastAsia="en-US"/>
        </w:rPr>
      </w:pPr>
    </w:p>
    <w:tbl>
      <w:tblPr>
        <w:tblW w:w="10349" w:type="dxa"/>
        <w:jc w:val="center"/>
        <w:tblLayout w:type="fixed"/>
        <w:tblLook w:val="04A0" w:firstRow="1" w:lastRow="0" w:firstColumn="1" w:lastColumn="0" w:noHBand="0" w:noVBand="1"/>
      </w:tblPr>
      <w:tblGrid>
        <w:gridCol w:w="5387"/>
        <w:gridCol w:w="1276"/>
        <w:gridCol w:w="1276"/>
        <w:gridCol w:w="1276"/>
        <w:gridCol w:w="1134"/>
      </w:tblGrid>
      <w:tr w:rsidR="00457FA7" w:rsidRPr="00457FA7" w14:paraId="50DE04C7" w14:textId="77777777" w:rsidTr="008552DB">
        <w:trPr>
          <w:jc w:val="center"/>
        </w:trPr>
        <w:tc>
          <w:tcPr>
            <w:tcW w:w="10349" w:type="dxa"/>
            <w:gridSpan w:val="5"/>
            <w:tcBorders>
              <w:top w:val="nil"/>
              <w:left w:val="nil"/>
              <w:bottom w:val="single" w:sz="4" w:space="0" w:color="auto"/>
              <w:right w:val="nil"/>
            </w:tcBorders>
            <w:vAlign w:val="center"/>
          </w:tcPr>
          <w:p w14:paraId="362CA9BB" w14:textId="77777777" w:rsidR="00457FA7" w:rsidRPr="00457FA7" w:rsidRDefault="00457FA7" w:rsidP="009940FA">
            <w:pPr>
              <w:jc w:val="center"/>
              <w:rPr>
                <w:rFonts w:eastAsia="Calibri"/>
                <w:b/>
                <w:sz w:val="22"/>
                <w:szCs w:val="22"/>
                <w:lang w:val="es-ES" w:eastAsia="en-US"/>
              </w:rPr>
            </w:pPr>
            <w:r w:rsidRPr="00457FA7">
              <w:rPr>
                <w:rFonts w:eastAsia="Calibri"/>
                <w:b/>
                <w:sz w:val="22"/>
                <w:szCs w:val="22"/>
                <w:lang w:val="es-ES" w:eastAsia="en-US"/>
              </w:rPr>
              <w:lastRenderedPageBreak/>
              <w:t>EL SAZÓN MEXICANO</w:t>
            </w:r>
          </w:p>
          <w:p w14:paraId="6A784E10" w14:textId="77777777" w:rsidR="00457FA7" w:rsidRPr="00457FA7" w:rsidRDefault="00457FA7" w:rsidP="009940FA">
            <w:pPr>
              <w:jc w:val="center"/>
              <w:rPr>
                <w:rFonts w:eastAsia="Calibri"/>
                <w:b/>
                <w:sz w:val="22"/>
                <w:szCs w:val="22"/>
                <w:lang w:val="es-ES" w:eastAsia="en-US"/>
              </w:rPr>
            </w:pPr>
            <w:r w:rsidRPr="00457FA7">
              <w:rPr>
                <w:rFonts w:eastAsia="Calibri"/>
                <w:b/>
                <w:sz w:val="22"/>
                <w:szCs w:val="22"/>
                <w:lang w:val="es-ES" w:eastAsia="en-US"/>
              </w:rPr>
              <w:t>INDUSTRIAS PROVEEDORAS DEL SECTOR AUTOMOTRIZ</w:t>
            </w:r>
          </w:p>
          <w:p w14:paraId="2457A191" w14:textId="77777777" w:rsidR="00457FA7" w:rsidRPr="00457FA7" w:rsidRDefault="00457FA7" w:rsidP="009940FA">
            <w:pPr>
              <w:jc w:val="center"/>
              <w:rPr>
                <w:rFonts w:eastAsia="Calibri"/>
                <w:b/>
                <w:sz w:val="22"/>
                <w:szCs w:val="22"/>
                <w:lang w:val="es-ES" w:eastAsia="en-US"/>
              </w:rPr>
            </w:pPr>
            <w:r w:rsidRPr="00457FA7">
              <w:rPr>
                <w:rFonts w:eastAsia="Calibri"/>
                <w:b/>
                <w:sz w:val="22"/>
                <w:szCs w:val="22"/>
                <w:lang w:val="es-ES" w:eastAsia="en-US"/>
              </w:rPr>
              <w:t>-Porcentajes-</w:t>
            </w:r>
          </w:p>
        </w:tc>
      </w:tr>
      <w:tr w:rsidR="00457FA7" w:rsidRPr="00457FA7" w14:paraId="10D6B416" w14:textId="77777777" w:rsidTr="008552D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706A1C9C" w14:textId="77777777" w:rsidR="00457FA7" w:rsidRPr="00457FA7" w:rsidRDefault="00457FA7" w:rsidP="009940FA">
            <w:pPr>
              <w:jc w:val="center"/>
              <w:rPr>
                <w:rFonts w:eastAsia="Calibri"/>
                <w:b/>
                <w:sz w:val="18"/>
                <w:szCs w:val="18"/>
                <w:lang w:val="es-ES" w:eastAsia="en-US"/>
              </w:rPr>
            </w:pPr>
            <w:r w:rsidRPr="00457FA7">
              <w:rPr>
                <w:rFonts w:eastAsia="Calibri"/>
                <w:b/>
                <w:sz w:val="18"/>
                <w:szCs w:val="18"/>
                <w:lang w:val="es-ES" w:eastAsia="en-US"/>
              </w:rPr>
              <w:t>Industrias manufactureras</w:t>
            </w:r>
          </w:p>
        </w:tc>
        <w:tc>
          <w:tcPr>
            <w:tcW w:w="1276" w:type="dxa"/>
            <w:tcBorders>
              <w:top w:val="single" w:sz="4" w:space="0" w:color="auto"/>
              <w:left w:val="single" w:sz="4" w:space="0" w:color="auto"/>
              <w:bottom w:val="single" w:sz="4" w:space="0" w:color="auto"/>
              <w:right w:val="single" w:sz="4" w:space="0" w:color="auto"/>
            </w:tcBorders>
            <w:vAlign w:val="center"/>
          </w:tcPr>
          <w:p w14:paraId="31D8701A" w14:textId="0387F901" w:rsidR="00457FA7" w:rsidRPr="00457FA7" w:rsidRDefault="00457FA7" w:rsidP="00A871F8">
            <w:pPr>
              <w:jc w:val="center"/>
              <w:rPr>
                <w:rFonts w:eastAsia="Calibri"/>
                <w:b/>
                <w:sz w:val="18"/>
                <w:szCs w:val="18"/>
                <w:lang w:val="es-ES" w:eastAsia="en-US"/>
              </w:rPr>
            </w:pPr>
            <w:r w:rsidRPr="00457FA7">
              <w:rPr>
                <w:rFonts w:eastAsia="Calibri"/>
                <w:b/>
                <w:sz w:val="18"/>
                <w:szCs w:val="18"/>
                <w:lang w:val="es-ES" w:eastAsia="en-US"/>
              </w:rPr>
              <w:t>Fabricación de autom</w:t>
            </w:r>
            <w:r w:rsidR="00A871F8">
              <w:rPr>
                <w:rFonts w:eastAsia="Calibri"/>
                <w:b/>
                <w:sz w:val="18"/>
                <w:szCs w:val="18"/>
                <w:lang w:val="es-ES" w:eastAsia="en-US"/>
              </w:rPr>
              <w:t>óviles</w:t>
            </w:r>
            <w:r w:rsidRPr="00457FA7">
              <w:rPr>
                <w:rFonts w:eastAsia="Calibri"/>
                <w:b/>
                <w:sz w:val="18"/>
                <w:szCs w:val="18"/>
                <w:lang w:val="es-ES" w:eastAsia="en-US"/>
              </w:rPr>
              <w:t xml:space="preserve"> y camiones</w:t>
            </w:r>
          </w:p>
        </w:tc>
        <w:tc>
          <w:tcPr>
            <w:tcW w:w="1276" w:type="dxa"/>
            <w:tcBorders>
              <w:top w:val="single" w:sz="4" w:space="0" w:color="auto"/>
              <w:left w:val="single" w:sz="4" w:space="0" w:color="auto"/>
              <w:bottom w:val="single" w:sz="4" w:space="0" w:color="auto"/>
              <w:right w:val="single" w:sz="4" w:space="0" w:color="auto"/>
            </w:tcBorders>
            <w:vAlign w:val="center"/>
          </w:tcPr>
          <w:p w14:paraId="575170C8" w14:textId="77777777" w:rsidR="00457FA7" w:rsidRPr="00457FA7" w:rsidRDefault="00457FA7" w:rsidP="009940FA">
            <w:pPr>
              <w:jc w:val="center"/>
              <w:rPr>
                <w:rFonts w:eastAsia="Calibri"/>
                <w:b/>
                <w:sz w:val="18"/>
                <w:szCs w:val="18"/>
                <w:lang w:val="es-ES" w:eastAsia="en-US"/>
              </w:rPr>
            </w:pPr>
            <w:r w:rsidRPr="00457FA7">
              <w:rPr>
                <w:rFonts w:eastAsia="Calibri"/>
                <w:b/>
                <w:sz w:val="18"/>
                <w:szCs w:val="18"/>
                <w:lang w:val="es-ES" w:eastAsia="en-US"/>
              </w:rPr>
              <w:t>Fabricación de carrocería y remolques</w:t>
            </w:r>
          </w:p>
        </w:tc>
        <w:tc>
          <w:tcPr>
            <w:tcW w:w="1276" w:type="dxa"/>
            <w:tcBorders>
              <w:top w:val="single" w:sz="4" w:space="0" w:color="auto"/>
              <w:left w:val="single" w:sz="4" w:space="0" w:color="auto"/>
              <w:bottom w:val="single" w:sz="4" w:space="0" w:color="auto"/>
              <w:right w:val="single" w:sz="4" w:space="0" w:color="auto"/>
            </w:tcBorders>
            <w:vAlign w:val="center"/>
          </w:tcPr>
          <w:p w14:paraId="6A60929A" w14:textId="77777777" w:rsidR="00457FA7" w:rsidRPr="00457FA7" w:rsidRDefault="00457FA7" w:rsidP="009940FA">
            <w:pPr>
              <w:jc w:val="center"/>
              <w:rPr>
                <w:rFonts w:eastAsia="Calibri"/>
                <w:b/>
                <w:sz w:val="18"/>
                <w:szCs w:val="18"/>
                <w:lang w:val="es-ES" w:eastAsia="en-US"/>
              </w:rPr>
            </w:pPr>
            <w:r w:rsidRPr="00457FA7">
              <w:rPr>
                <w:rFonts w:eastAsia="Calibri"/>
                <w:b/>
                <w:sz w:val="18"/>
                <w:szCs w:val="18"/>
                <w:lang w:val="es-ES" w:eastAsia="en-US"/>
              </w:rPr>
              <w:t>Fabricación de partes para vehículos automotores</w:t>
            </w:r>
          </w:p>
        </w:tc>
        <w:tc>
          <w:tcPr>
            <w:tcW w:w="1134" w:type="dxa"/>
            <w:tcBorders>
              <w:top w:val="single" w:sz="4" w:space="0" w:color="auto"/>
              <w:left w:val="single" w:sz="4" w:space="0" w:color="auto"/>
              <w:bottom w:val="single" w:sz="4" w:space="0" w:color="auto"/>
              <w:right w:val="single" w:sz="4" w:space="0" w:color="auto"/>
            </w:tcBorders>
            <w:vAlign w:val="center"/>
          </w:tcPr>
          <w:p w14:paraId="15E51802" w14:textId="77777777" w:rsidR="00457FA7" w:rsidRPr="00457FA7" w:rsidRDefault="00457FA7" w:rsidP="009940FA">
            <w:pPr>
              <w:jc w:val="center"/>
              <w:rPr>
                <w:rFonts w:eastAsia="Calibri"/>
                <w:b/>
                <w:sz w:val="18"/>
                <w:szCs w:val="18"/>
                <w:lang w:val="es-ES" w:eastAsia="en-US"/>
              </w:rPr>
            </w:pPr>
            <w:r w:rsidRPr="00457FA7">
              <w:rPr>
                <w:rFonts w:eastAsia="Calibri"/>
                <w:b/>
                <w:sz w:val="18"/>
                <w:szCs w:val="18"/>
                <w:lang w:val="es-ES" w:eastAsia="en-US"/>
              </w:rPr>
              <w:t>Total industria automotriz</w:t>
            </w:r>
          </w:p>
        </w:tc>
      </w:tr>
      <w:tr w:rsidR="00457FA7" w:rsidRPr="00457FA7" w14:paraId="7803FCD3" w14:textId="77777777" w:rsidTr="008552DB">
        <w:trPr>
          <w:jc w:val="center"/>
        </w:trPr>
        <w:tc>
          <w:tcPr>
            <w:tcW w:w="5387" w:type="dxa"/>
            <w:tcBorders>
              <w:top w:val="single" w:sz="4" w:space="0" w:color="auto"/>
              <w:left w:val="single" w:sz="4" w:space="0" w:color="auto"/>
              <w:bottom w:val="nil"/>
              <w:right w:val="single" w:sz="4" w:space="0" w:color="auto"/>
            </w:tcBorders>
            <w:vAlign w:val="center"/>
          </w:tcPr>
          <w:p w14:paraId="17C75BAE"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telas</w:t>
            </w:r>
          </w:p>
        </w:tc>
        <w:tc>
          <w:tcPr>
            <w:tcW w:w="1276" w:type="dxa"/>
            <w:tcBorders>
              <w:top w:val="single" w:sz="4" w:space="0" w:color="auto"/>
              <w:left w:val="single" w:sz="4" w:space="0" w:color="auto"/>
              <w:bottom w:val="nil"/>
              <w:right w:val="single" w:sz="4" w:space="0" w:color="auto"/>
            </w:tcBorders>
            <w:vAlign w:val="center"/>
          </w:tcPr>
          <w:p w14:paraId="5614D1B7"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0.01</w:t>
            </w:r>
          </w:p>
        </w:tc>
        <w:tc>
          <w:tcPr>
            <w:tcW w:w="1276" w:type="dxa"/>
            <w:tcBorders>
              <w:top w:val="single" w:sz="4" w:space="0" w:color="auto"/>
              <w:left w:val="single" w:sz="4" w:space="0" w:color="auto"/>
              <w:bottom w:val="nil"/>
              <w:right w:val="single" w:sz="4" w:space="0" w:color="auto"/>
            </w:tcBorders>
            <w:vAlign w:val="center"/>
          </w:tcPr>
          <w:p w14:paraId="77BE3976"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0.10</w:t>
            </w:r>
          </w:p>
        </w:tc>
        <w:tc>
          <w:tcPr>
            <w:tcW w:w="1276" w:type="dxa"/>
            <w:tcBorders>
              <w:top w:val="single" w:sz="4" w:space="0" w:color="auto"/>
              <w:left w:val="single" w:sz="4" w:space="0" w:color="auto"/>
              <w:bottom w:val="nil"/>
              <w:right w:val="single" w:sz="4" w:space="0" w:color="auto"/>
            </w:tcBorders>
            <w:vAlign w:val="center"/>
          </w:tcPr>
          <w:p w14:paraId="57AF57DB"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20.80</w:t>
            </w:r>
          </w:p>
        </w:tc>
        <w:tc>
          <w:tcPr>
            <w:tcW w:w="1134" w:type="dxa"/>
            <w:tcBorders>
              <w:top w:val="single" w:sz="4" w:space="0" w:color="auto"/>
              <w:left w:val="single" w:sz="4" w:space="0" w:color="auto"/>
              <w:bottom w:val="nil"/>
              <w:right w:val="single" w:sz="4" w:space="0" w:color="auto"/>
            </w:tcBorders>
            <w:vAlign w:val="center"/>
          </w:tcPr>
          <w:p w14:paraId="7CCA4D4A"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20.91</w:t>
            </w:r>
          </w:p>
        </w:tc>
      </w:tr>
      <w:tr w:rsidR="00A871F8" w:rsidRPr="00457FA7" w14:paraId="2D1B4328" w14:textId="77777777" w:rsidTr="008552DB">
        <w:trPr>
          <w:jc w:val="center"/>
        </w:trPr>
        <w:tc>
          <w:tcPr>
            <w:tcW w:w="5387" w:type="dxa"/>
            <w:tcBorders>
              <w:top w:val="nil"/>
              <w:left w:val="single" w:sz="4" w:space="0" w:color="auto"/>
              <w:bottom w:val="nil"/>
              <w:right w:val="single" w:sz="4" w:space="0" w:color="auto"/>
            </w:tcBorders>
            <w:vAlign w:val="center"/>
          </w:tcPr>
          <w:p w14:paraId="61CC8BDC" w14:textId="09EC33CB" w:rsidR="00A871F8" w:rsidRPr="00457FA7" w:rsidRDefault="00A871F8" w:rsidP="009940FA">
            <w:pPr>
              <w:jc w:val="both"/>
              <w:rPr>
                <w:rFonts w:eastAsia="Calibri"/>
                <w:sz w:val="18"/>
                <w:szCs w:val="18"/>
                <w:lang w:val="es-ES" w:eastAsia="en-US"/>
              </w:rPr>
            </w:pPr>
            <w:r>
              <w:rPr>
                <w:rFonts w:eastAsia="Calibri"/>
                <w:sz w:val="18"/>
                <w:szCs w:val="18"/>
                <w:lang w:val="es-ES" w:eastAsia="en-US"/>
              </w:rPr>
              <w:t>Curtido y acabado de cuero y piel</w:t>
            </w:r>
          </w:p>
        </w:tc>
        <w:tc>
          <w:tcPr>
            <w:tcW w:w="1276" w:type="dxa"/>
            <w:tcBorders>
              <w:top w:val="nil"/>
              <w:left w:val="single" w:sz="4" w:space="0" w:color="auto"/>
              <w:bottom w:val="nil"/>
              <w:right w:val="single" w:sz="4" w:space="0" w:color="auto"/>
            </w:tcBorders>
            <w:vAlign w:val="center"/>
          </w:tcPr>
          <w:p w14:paraId="7F1E7326" w14:textId="1C5A4904" w:rsidR="00A871F8" w:rsidRPr="00457FA7" w:rsidRDefault="00A871F8" w:rsidP="009940FA">
            <w:pPr>
              <w:ind w:right="340"/>
              <w:jc w:val="right"/>
              <w:rPr>
                <w:rFonts w:eastAsia="Calibri"/>
                <w:sz w:val="18"/>
                <w:szCs w:val="18"/>
                <w:lang w:val="es-ES" w:eastAsia="en-US"/>
              </w:rPr>
            </w:pPr>
            <w:r>
              <w:rPr>
                <w:rFonts w:eastAsia="Calibri"/>
                <w:sz w:val="18"/>
                <w:szCs w:val="18"/>
                <w:lang w:val="es-ES" w:eastAsia="en-US"/>
              </w:rPr>
              <w:t>0.00</w:t>
            </w:r>
          </w:p>
        </w:tc>
        <w:tc>
          <w:tcPr>
            <w:tcW w:w="1276" w:type="dxa"/>
            <w:tcBorders>
              <w:top w:val="nil"/>
              <w:left w:val="single" w:sz="4" w:space="0" w:color="auto"/>
              <w:bottom w:val="nil"/>
              <w:right w:val="single" w:sz="4" w:space="0" w:color="auto"/>
            </w:tcBorders>
            <w:vAlign w:val="center"/>
          </w:tcPr>
          <w:p w14:paraId="4E347F27" w14:textId="4EAFDC6B" w:rsidR="00A871F8" w:rsidRPr="00457FA7" w:rsidRDefault="00A871F8" w:rsidP="009940FA">
            <w:pPr>
              <w:ind w:right="340"/>
              <w:jc w:val="right"/>
              <w:rPr>
                <w:rFonts w:eastAsia="Calibri"/>
                <w:sz w:val="18"/>
                <w:szCs w:val="18"/>
                <w:lang w:val="es-ES" w:eastAsia="en-US"/>
              </w:rPr>
            </w:pPr>
            <w:r>
              <w:rPr>
                <w:rFonts w:eastAsia="Calibri"/>
                <w:sz w:val="18"/>
                <w:szCs w:val="18"/>
                <w:lang w:val="es-ES" w:eastAsia="en-US"/>
              </w:rPr>
              <w:t>0.02</w:t>
            </w:r>
          </w:p>
        </w:tc>
        <w:tc>
          <w:tcPr>
            <w:tcW w:w="1276" w:type="dxa"/>
            <w:tcBorders>
              <w:top w:val="nil"/>
              <w:left w:val="single" w:sz="4" w:space="0" w:color="auto"/>
              <w:bottom w:val="nil"/>
              <w:right w:val="single" w:sz="4" w:space="0" w:color="auto"/>
            </w:tcBorders>
            <w:vAlign w:val="center"/>
          </w:tcPr>
          <w:p w14:paraId="4EFEC8DE" w14:textId="4BA7D707" w:rsidR="00A871F8" w:rsidRPr="00457FA7" w:rsidRDefault="00A871F8" w:rsidP="009940FA">
            <w:pPr>
              <w:ind w:right="227"/>
              <w:jc w:val="right"/>
              <w:rPr>
                <w:rFonts w:eastAsia="Calibri"/>
                <w:sz w:val="18"/>
                <w:szCs w:val="18"/>
                <w:lang w:val="es-ES" w:eastAsia="en-US"/>
              </w:rPr>
            </w:pPr>
            <w:r>
              <w:rPr>
                <w:rFonts w:eastAsia="Calibri"/>
                <w:sz w:val="18"/>
                <w:szCs w:val="18"/>
                <w:lang w:val="es-ES" w:eastAsia="en-US"/>
              </w:rPr>
              <w:t>38.27</w:t>
            </w:r>
          </w:p>
        </w:tc>
        <w:tc>
          <w:tcPr>
            <w:tcW w:w="1134" w:type="dxa"/>
            <w:tcBorders>
              <w:top w:val="nil"/>
              <w:left w:val="single" w:sz="4" w:space="0" w:color="auto"/>
              <w:bottom w:val="nil"/>
              <w:right w:val="single" w:sz="4" w:space="0" w:color="auto"/>
            </w:tcBorders>
            <w:vAlign w:val="center"/>
          </w:tcPr>
          <w:p w14:paraId="1F6CD45A" w14:textId="00F0FF70" w:rsidR="00A871F8" w:rsidRPr="00457FA7" w:rsidRDefault="00A871F8" w:rsidP="009940FA">
            <w:pPr>
              <w:ind w:right="176"/>
              <w:jc w:val="right"/>
              <w:rPr>
                <w:rFonts w:eastAsia="Calibri"/>
                <w:sz w:val="18"/>
                <w:szCs w:val="18"/>
                <w:lang w:val="es-ES" w:eastAsia="en-US"/>
              </w:rPr>
            </w:pPr>
            <w:r>
              <w:rPr>
                <w:rFonts w:eastAsia="Calibri"/>
                <w:sz w:val="18"/>
                <w:szCs w:val="18"/>
                <w:lang w:val="es-ES" w:eastAsia="en-US"/>
              </w:rPr>
              <w:t>38.30</w:t>
            </w:r>
          </w:p>
        </w:tc>
      </w:tr>
      <w:tr w:rsidR="00457FA7" w:rsidRPr="00457FA7" w14:paraId="1C50EFE2" w14:textId="77777777" w:rsidTr="008552DB">
        <w:trPr>
          <w:jc w:val="center"/>
        </w:trPr>
        <w:tc>
          <w:tcPr>
            <w:tcW w:w="5387" w:type="dxa"/>
            <w:tcBorders>
              <w:top w:val="nil"/>
              <w:left w:val="single" w:sz="4" w:space="0" w:color="auto"/>
              <w:bottom w:val="nil"/>
              <w:right w:val="single" w:sz="4" w:space="0" w:color="auto"/>
            </w:tcBorders>
            <w:vAlign w:val="center"/>
          </w:tcPr>
          <w:p w14:paraId="4C072F0D"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otros productos de cuero, piel y materiales sucedáneos</w:t>
            </w:r>
          </w:p>
        </w:tc>
        <w:tc>
          <w:tcPr>
            <w:tcW w:w="1276" w:type="dxa"/>
            <w:tcBorders>
              <w:top w:val="nil"/>
              <w:left w:val="single" w:sz="4" w:space="0" w:color="auto"/>
              <w:bottom w:val="nil"/>
              <w:right w:val="single" w:sz="4" w:space="0" w:color="auto"/>
            </w:tcBorders>
            <w:vAlign w:val="center"/>
          </w:tcPr>
          <w:p w14:paraId="4AA4DE10"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1.67</w:t>
            </w:r>
          </w:p>
        </w:tc>
        <w:tc>
          <w:tcPr>
            <w:tcW w:w="1276" w:type="dxa"/>
            <w:tcBorders>
              <w:top w:val="nil"/>
              <w:left w:val="single" w:sz="4" w:space="0" w:color="auto"/>
              <w:bottom w:val="nil"/>
              <w:right w:val="single" w:sz="4" w:space="0" w:color="auto"/>
            </w:tcBorders>
            <w:vAlign w:val="center"/>
          </w:tcPr>
          <w:p w14:paraId="31E7EB92"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0.50</w:t>
            </w:r>
          </w:p>
        </w:tc>
        <w:tc>
          <w:tcPr>
            <w:tcW w:w="1276" w:type="dxa"/>
            <w:tcBorders>
              <w:top w:val="nil"/>
              <w:left w:val="single" w:sz="4" w:space="0" w:color="auto"/>
              <w:bottom w:val="nil"/>
              <w:right w:val="single" w:sz="4" w:space="0" w:color="auto"/>
            </w:tcBorders>
            <w:vAlign w:val="center"/>
          </w:tcPr>
          <w:p w14:paraId="29451F20"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34.47</w:t>
            </w:r>
          </w:p>
        </w:tc>
        <w:tc>
          <w:tcPr>
            <w:tcW w:w="1134" w:type="dxa"/>
            <w:tcBorders>
              <w:top w:val="nil"/>
              <w:left w:val="single" w:sz="4" w:space="0" w:color="auto"/>
              <w:bottom w:val="nil"/>
              <w:right w:val="single" w:sz="4" w:space="0" w:color="auto"/>
            </w:tcBorders>
            <w:vAlign w:val="center"/>
          </w:tcPr>
          <w:p w14:paraId="5BC7D55B"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36.64</w:t>
            </w:r>
          </w:p>
        </w:tc>
      </w:tr>
      <w:tr w:rsidR="00457FA7" w:rsidRPr="00457FA7" w14:paraId="17F5B8C7" w14:textId="77777777" w:rsidTr="008552DB">
        <w:trPr>
          <w:jc w:val="center"/>
        </w:trPr>
        <w:tc>
          <w:tcPr>
            <w:tcW w:w="5387" w:type="dxa"/>
            <w:tcBorders>
              <w:top w:val="nil"/>
              <w:left w:val="single" w:sz="4" w:space="0" w:color="auto"/>
              <w:bottom w:val="nil"/>
              <w:right w:val="single" w:sz="4" w:space="0" w:color="auto"/>
            </w:tcBorders>
            <w:vAlign w:val="center"/>
          </w:tcPr>
          <w:p w14:paraId="680F7330"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productos plásticos</w:t>
            </w:r>
          </w:p>
        </w:tc>
        <w:tc>
          <w:tcPr>
            <w:tcW w:w="1276" w:type="dxa"/>
            <w:tcBorders>
              <w:top w:val="nil"/>
              <w:left w:val="single" w:sz="4" w:space="0" w:color="auto"/>
              <w:bottom w:val="nil"/>
              <w:right w:val="single" w:sz="4" w:space="0" w:color="auto"/>
            </w:tcBorders>
            <w:vAlign w:val="center"/>
          </w:tcPr>
          <w:p w14:paraId="33C2DA38"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12.50</w:t>
            </w:r>
          </w:p>
        </w:tc>
        <w:tc>
          <w:tcPr>
            <w:tcW w:w="1276" w:type="dxa"/>
            <w:tcBorders>
              <w:top w:val="nil"/>
              <w:left w:val="single" w:sz="4" w:space="0" w:color="auto"/>
              <w:bottom w:val="nil"/>
              <w:right w:val="single" w:sz="4" w:space="0" w:color="auto"/>
            </w:tcBorders>
            <w:vAlign w:val="center"/>
          </w:tcPr>
          <w:p w14:paraId="553A71C1"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0.08</w:t>
            </w:r>
          </w:p>
        </w:tc>
        <w:tc>
          <w:tcPr>
            <w:tcW w:w="1276" w:type="dxa"/>
            <w:tcBorders>
              <w:top w:val="nil"/>
              <w:left w:val="single" w:sz="4" w:space="0" w:color="auto"/>
              <w:bottom w:val="nil"/>
              <w:right w:val="single" w:sz="4" w:space="0" w:color="auto"/>
            </w:tcBorders>
            <w:vAlign w:val="center"/>
          </w:tcPr>
          <w:p w14:paraId="3E2AEA08"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9.51</w:t>
            </w:r>
          </w:p>
        </w:tc>
        <w:tc>
          <w:tcPr>
            <w:tcW w:w="1134" w:type="dxa"/>
            <w:tcBorders>
              <w:top w:val="nil"/>
              <w:left w:val="single" w:sz="4" w:space="0" w:color="auto"/>
              <w:bottom w:val="nil"/>
              <w:right w:val="single" w:sz="4" w:space="0" w:color="auto"/>
            </w:tcBorders>
            <w:vAlign w:val="center"/>
          </w:tcPr>
          <w:p w14:paraId="0F61047C"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22.10</w:t>
            </w:r>
          </w:p>
        </w:tc>
      </w:tr>
      <w:tr w:rsidR="00457FA7" w:rsidRPr="00457FA7" w14:paraId="5B8FC99B" w14:textId="77777777" w:rsidTr="008552DB">
        <w:trPr>
          <w:jc w:val="center"/>
        </w:trPr>
        <w:tc>
          <w:tcPr>
            <w:tcW w:w="5387" w:type="dxa"/>
            <w:tcBorders>
              <w:top w:val="nil"/>
              <w:left w:val="single" w:sz="4" w:space="0" w:color="auto"/>
              <w:bottom w:val="nil"/>
              <w:right w:val="single" w:sz="4" w:space="0" w:color="auto"/>
            </w:tcBorders>
            <w:vAlign w:val="center"/>
          </w:tcPr>
          <w:p w14:paraId="48BE78D1"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productos de hule</w:t>
            </w:r>
          </w:p>
        </w:tc>
        <w:tc>
          <w:tcPr>
            <w:tcW w:w="1276" w:type="dxa"/>
            <w:tcBorders>
              <w:top w:val="nil"/>
              <w:left w:val="single" w:sz="4" w:space="0" w:color="auto"/>
              <w:bottom w:val="nil"/>
              <w:right w:val="single" w:sz="4" w:space="0" w:color="auto"/>
            </w:tcBorders>
            <w:vAlign w:val="center"/>
          </w:tcPr>
          <w:p w14:paraId="4E2DD18D"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31.51</w:t>
            </w:r>
          </w:p>
        </w:tc>
        <w:tc>
          <w:tcPr>
            <w:tcW w:w="1276" w:type="dxa"/>
            <w:tcBorders>
              <w:top w:val="nil"/>
              <w:left w:val="single" w:sz="4" w:space="0" w:color="auto"/>
              <w:bottom w:val="nil"/>
              <w:right w:val="single" w:sz="4" w:space="0" w:color="auto"/>
            </w:tcBorders>
            <w:vAlign w:val="center"/>
          </w:tcPr>
          <w:p w14:paraId="4ECCF014"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0.63</w:t>
            </w:r>
          </w:p>
        </w:tc>
        <w:tc>
          <w:tcPr>
            <w:tcW w:w="1276" w:type="dxa"/>
            <w:tcBorders>
              <w:top w:val="nil"/>
              <w:left w:val="single" w:sz="4" w:space="0" w:color="auto"/>
              <w:bottom w:val="nil"/>
              <w:right w:val="single" w:sz="4" w:space="0" w:color="auto"/>
            </w:tcBorders>
            <w:vAlign w:val="center"/>
          </w:tcPr>
          <w:p w14:paraId="272311A6"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6.91</w:t>
            </w:r>
          </w:p>
        </w:tc>
        <w:tc>
          <w:tcPr>
            <w:tcW w:w="1134" w:type="dxa"/>
            <w:tcBorders>
              <w:top w:val="nil"/>
              <w:left w:val="single" w:sz="4" w:space="0" w:color="auto"/>
              <w:bottom w:val="nil"/>
              <w:right w:val="single" w:sz="4" w:space="0" w:color="auto"/>
            </w:tcBorders>
            <w:vAlign w:val="center"/>
          </w:tcPr>
          <w:p w14:paraId="0768D3BE"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39.05</w:t>
            </w:r>
          </w:p>
        </w:tc>
      </w:tr>
      <w:tr w:rsidR="00457FA7" w:rsidRPr="00457FA7" w14:paraId="63839B5B" w14:textId="77777777" w:rsidTr="008552DB">
        <w:trPr>
          <w:jc w:val="center"/>
        </w:trPr>
        <w:tc>
          <w:tcPr>
            <w:tcW w:w="5387" w:type="dxa"/>
            <w:tcBorders>
              <w:top w:val="nil"/>
              <w:left w:val="single" w:sz="4" w:space="0" w:color="auto"/>
              <w:bottom w:val="nil"/>
              <w:right w:val="single" w:sz="4" w:space="0" w:color="auto"/>
            </w:tcBorders>
            <w:vAlign w:val="center"/>
          </w:tcPr>
          <w:p w14:paraId="3636383E"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Industria básica del aluminio</w:t>
            </w:r>
          </w:p>
        </w:tc>
        <w:tc>
          <w:tcPr>
            <w:tcW w:w="1276" w:type="dxa"/>
            <w:tcBorders>
              <w:top w:val="nil"/>
              <w:left w:val="single" w:sz="4" w:space="0" w:color="auto"/>
              <w:bottom w:val="nil"/>
              <w:right w:val="single" w:sz="4" w:space="0" w:color="auto"/>
            </w:tcBorders>
            <w:vAlign w:val="center"/>
          </w:tcPr>
          <w:p w14:paraId="591882CE"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0.42</w:t>
            </w:r>
          </w:p>
        </w:tc>
        <w:tc>
          <w:tcPr>
            <w:tcW w:w="1276" w:type="dxa"/>
            <w:tcBorders>
              <w:top w:val="nil"/>
              <w:left w:val="single" w:sz="4" w:space="0" w:color="auto"/>
              <w:bottom w:val="nil"/>
              <w:right w:val="single" w:sz="4" w:space="0" w:color="auto"/>
            </w:tcBorders>
            <w:vAlign w:val="center"/>
          </w:tcPr>
          <w:p w14:paraId="1C5F0256"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1.60</w:t>
            </w:r>
          </w:p>
        </w:tc>
        <w:tc>
          <w:tcPr>
            <w:tcW w:w="1276" w:type="dxa"/>
            <w:tcBorders>
              <w:top w:val="nil"/>
              <w:left w:val="single" w:sz="4" w:space="0" w:color="auto"/>
              <w:bottom w:val="nil"/>
              <w:right w:val="single" w:sz="4" w:space="0" w:color="auto"/>
            </w:tcBorders>
            <w:vAlign w:val="center"/>
          </w:tcPr>
          <w:p w14:paraId="03E96D7F"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23.00</w:t>
            </w:r>
          </w:p>
        </w:tc>
        <w:tc>
          <w:tcPr>
            <w:tcW w:w="1134" w:type="dxa"/>
            <w:tcBorders>
              <w:top w:val="nil"/>
              <w:left w:val="single" w:sz="4" w:space="0" w:color="auto"/>
              <w:bottom w:val="nil"/>
              <w:right w:val="single" w:sz="4" w:space="0" w:color="auto"/>
            </w:tcBorders>
            <w:vAlign w:val="center"/>
          </w:tcPr>
          <w:p w14:paraId="2D1A42DB"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25.03</w:t>
            </w:r>
          </w:p>
        </w:tc>
      </w:tr>
      <w:tr w:rsidR="00457FA7" w:rsidRPr="00457FA7" w14:paraId="23329184" w14:textId="77777777" w:rsidTr="008552DB">
        <w:trPr>
          <w:jc w:val="center"/>
        </w:trPr>
        <w:tc>
          <w:tcPr>
            <w:tcW w:w="5387" w:type="dxa"/>
            <w:tcBorders>
              <w:top w:val="nil"/>
              <w:left w:val="single" w:sz="4" w:space="0" w:color="auto"/>
              <w:bottom w:val="nil"/>
              <w:right w:val="single" w:sz="4" w:space="0" w:color="auto"/>
            </w:tcBorders>
            <w:vAlign w:val="center"/>
          </w:tcPr>
          <w:p w14:paraId="4AEBDD0E"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Modelo por fundición de piezas metálicas</w:t>
            </w:r>
          </w:p>
        </w:tc>
        <w:tc>
          <w:tcPr>
            <w:tcW w:w="1276" w:type="dxa"/>
            <w:tcBorders>
              <w:top w:val="nil"/>
              <w:left w:val="single" w:sz="4" w:space="0" w:color="auto"/>
              <w:bottom w:val="nil"/>
              <w:right w:val="single" w:sz="4" w:space="0" w:color="auto"/>
            </w:tcBorders>
            <w:vAlign w:val="center"/>
          </w:tcPr>
          <w:p w14:paraId="558C4A9C"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0.01</w:t>
            </w:r>
          </w:p>
        </w:tc>
        <w:tc>
          <w:tcPr>
            <w:tcW w:w="1276" w:type="dxa"/>
            <w:tcBorders>
              <w:top w:val="nil"/>
              <w:left w:val="single" w:sz="4" w:space="0" w:color="auto"/>
              <w:bottom w:val="nil"/>
              <w:right w:val="single" w:sz="4" w:space="0" w:color="auto"/>
            </w:tcBorders>
            <w:vAlign w:val="center"/>
          </w:tcPr>
          <w:p w14:paraId="02172B6D"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0.02</w:t>
            </w:r>
          </w:p>
        </w:tc>
        <w:tc>
          <w:tcPr>
            <w:tcW w:w="1276" w:type="dxa"/>
            <w:tcBorders>
              <w:top w:val="nil"/>
              <w:left w:val="single" w:sz="4" w:space="0" w:color="auto"/>
              <w:bottom w:val="nil"/>
              <w:right w:val="single" w:sz="4" w:space="0" w:color="auto"/>
            </w:tcBorders>
            <w:vAlign w:val="center"/>
          </w:tcPr>
          <w:p w14:paraId="4DE9A586"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32.76</w:t>
            </w:r>
          </w:p>
        </w:tc>
        <w:tc>
          <w:tcPr>
            <w:tcW w:w="1134" w:type="dxa"/>
            <w:tcBorders>
              <w:top w:val="nil"/>
              <w:left w:val="single" w:sz="4" w:space="0" w:color="auto"/>
              <w:bottom w:val="nil"/>
              <w:right w:val="single" w:sz="4" w:space="0" w:color="auto"/>
            </w:tcBorders>
            <w:vAlign w:val="center"/>
          </w:tcPr>
          <w:p w14:paraId="177FF6FA"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32.79</w:t>
            </w:r>
          </w:p>
        </w:tc>
      </w:tr>
      <w:tr w:rsidR="00457FA7" w:rsidRPr="00457FA7" w14:paraId="1B3DB46E" w14:textId="77777777" w:rsidTr="008552DB">
        <w:trPr>
          <w:jc w:val="center"/>
        </w:trPr>
        <w:tc>
          <w:tcPr>
            <w:tcW w:w="5387" w:type="dxa"/>
            <w:tcBorders>
              <w:top w:val="nil"/>
              <w:left w:val="single" w:sz="4" w:space="0" w:color="auto"/>
              <w:bottom w:val="nil"/>
              <w:right w:val="single" w:sz="4" w:space="0" w:color="auto"/>
            </w:tcBorders>
            <w:vAlign w:val="center"/>
          </w:tcPr>
          <w:p w14:paraId="66052D5F"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productos metálicos forjados y troquelados</w:t>
            </w:r>
          </w:p>
        </w:tc>
        <w:tc>
          <w:tcPr>
            <w:tcW w:w="1276" w:type="dxa"/>
            <w:tcBorders>
              <w:top w:val="nil"/>
              <w:left w:val="single" w:sz="4" w:space="0" w:color="auto"/>
              <w:bottom w:val="nil"/>
              <w:right w:val="single" w:sz="4" w:space="0" w:color="auto"/>
            </w:tcBorders>
            <w:vAlign w:val="center"/>
          </w:tcPr>
          <w:p w14:paraId="6FAA8D18"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0.02</w:t>
            </w:r>
          </w:p>
        </w:tc>
        <w:tc>
          <w:tcPr>
            <w:tcW w:w="1276" w:type="dxa"/>
            <w:tcBorders>
              <w:top w:val="nil"/>
              <w:left w:val="single" w:sz="4" w:space="0" w:color="auto"/>
              <w:bottom w:val="nil"/>
              <w:right w:val="single" w:sz="4" w:space="0" w:color="auto"/>
            </w:tcBorders>
            <w:vAlign w:val="center"/>
          </w:tcPr>
          <w:p w14:paraId="7CF3CE05"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0.05</w:t>
            </w:r>
          </w:p>
        </w:tc>
        <w:tc>
          <w:tcPr>
            <w:tcW w:w="1276" w:type="dxa"/>
            <w:tcBorders>
              <w:top w:val="nil"/>
              <w:left w:val="single" w:sz="4" w:space="0" w:color="auto"/>
              <w:bottom w:val="nil"/>
              <w:right w:val="single" w:sz="4" w:space="0" w:color="auto"/>
            </w:tcBorders>
            <w:vAlign w:val="center"/>
          </w:tcPr>
          <w:p w14:paraId="3033A335"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33.74</w:t>
            </w:r>
          </w:p>
        </w:tc>
        <w:tc>
          <w:tcPr>
            <w:tcW w:w="1134" w:type="dxa"/>
            <w:tcBorders>
              <w:top w:val="nil"/>
              <w:left w:val="single" w:sz="4" w:space="0" w:color="auto"/>
              <w:bottom w:val="nil"/>
              <w:right w:val="single" w:sz="4" w:space="0" w:color="auto"/>
            </w:tcBorders>
            <w:vAlign w:val="center"/>
          </w:tcPr>
          <w:p w14:paraId="4808F8CD"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33.81</w:t>
            </w:r>
          </w:p>
        </w:tc>
      </w:tr>
      <w:tr w:rsidR="00457FA7" w:rsidRPr="00457FA7" w14:paraId="12BAFEEA" w14:textId="77777777" w:rsidTr="008552DB">
        <w:trPr>
          <w:jc w:val="center"/>
        </w:trPr>
        <w:tc>
          <w:tcPr>
            <w:tcW w:w="5387" w:type="dxa"/>
            <w:tcBorders>
              <w:top w:val="nil"/>
              <w:left w:val="single" w:sz="4" w:space="0" w:color="auto"/>
              <w:bottom w:val="nil"/>
              <w:right w:val="single" w:sz="4" w:space="0" w:color="auto"/>
            </w:tcBorders>
            <w:vAlign w:val="center"/>
          </w:tcPr>
          <w:p w14:paraId="293F9F47"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herramientas de mano sin motor y utensilios de cocina metálicos</w:t>
            </w:r>
          </w:p>
        </w:tc>
        <w:tc>
          <w:tcPr>
            <w:tcW w:w="1276" w:type="dxa"/>
            <w:tcBorders>
              <w:top w:val="nil"/>
              <w:left w:val="single" w:sz="4" w:space="0" w:color="auto"/>
              <w:bottom w:val="nil"/>
              <w:right w:val="single" w:sz="4" w:space="0" w:color="auto"/>
            </w:tcBorders>
            <w:vAlign w:val="center"/>
          </w:tcPr>
          <w:p w14:paraId="08CE2CEE"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0.08</w:t>
            </w:r>
          </w:p>
        </w:tc>
        <w:tc>
          <w:tcPr>
            <w:tcW w:w="1276" w:type="dxa"/>
            <w:tcBorders>
              <w:top w:val="nil"/>
              <w:left w:val="single" w:sz="4" w:space="0" w:color="auto"/>
              <w:bottom w:val="nil"/>
              <w:right w:val="single" w:sz="4" w:space="0" w:color="auto"/>
            </w:tcBorders>
            <w:vAlign w:val="center"/>
          </w:tcPr>
          <w:p w14:paraId="689E5A89"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0.04</w:t>
            </w:r>
          </w:p>
        </w:tc>
        <w:tc>
          <w:tcPr>
            <w:tcW w:w="1276" w:type="dxa"/>
            <w:tcBorders>
              <w:top w:val="nil"/>
              <w:left w:val="single" w:sz="4" w:space="0" w:color="auto"/>
              <w:bottom w:val="nil"/>
              <w:right w:val="single" w:sz="4" w:space="0" w:color="auto"/>
            </w:tcBorders>
            <w:vAlign w:val="center"/>
          </w:tcPr>
          <w:p w14:paraId="1E041CD4"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20.84</w:t>
            </w:r>
          </w:p>
        </w:tc>
        <w:tc>
          <w:tcPr>
            <w:tcW w:w="1134" w:type="dxa"/>
            <w:tcBorders>
              <w:top w:val="nil"/>
              <w:left w:val="single" w:sz="4" w:space="0" w:color="auto"/>
              <w:bottom w:val="nil"/>
              <w:right w:val="single" w:sz="4" w:space="0" w:color="auto"/>
            </w:tcBorders>
            <w:vAlign w:val="center"/>
          </w:tcPr>
          <w:p w14:paraId="1ED2A970"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20.96</w:t>
            </w:r>
          </w:p>
        </w:tc>
      </w:tr>
      <w:tr w:rsidR="00457FA7" w:rsidRPr="00457FA7" w14:paraId="290522AB" w14:textId="77777777" w:rsidTr="008552DB">
        <w:trPr>
          <w:jc w:val="center"/>
        </w:trPr>
        <w:tc>
          <w:tcPr>
            <w:tcW w:w="5387" w:type="dxa"/>
            <w:tcBorders>
              <w:top w:val="nil"/>
              <w:left w:val="single" w:sz="4" w:space="0" w:color="auto"/>
              <w:bottom w:val="nil"/>
              <w:right w:val="single" w:sz="4" w:space="0" w:color="auto"/>
            </w:tcBorders>
            <w:vAlign w:val="center"/>
          </w:tcPr>
          <w:p w14:paraId="2AD20697"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Maquinado de piezas metálicas y fabricación de tornillos</w:t>
            </w:r>
          </w:p>
        </w:tc>
        <w:tc>
          <w:tcPr>
            <w:tcW w:w="1276" w:type="dxa"/>
            <w:tcBorders>
              <w:top w:val="nil"/>
              <w:left w:val="single" w:sz="4" w:space="0" w:color="auto"/>
              <w:bottom w:val="nil"/>
              <w:right w:val="single" w:sz="4" w:space="0" w:color="auto"/>
            </w:tcBorders>
            <w:vAlign w:val="center"/>
          </w:tcPr>
          <w:p w14:paraId="56538F71"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7.39</w:t>
            </w:r>
          </w:p>
        </w:tc>
        <w:tc>
          <w:tcPr>
            <w:tcW w:w="1276" w:type="dxa"/>
            <w:tcBorders>
              <w:top w:val="nil"/>
              <w:left w:val="single" w:sz="4" w:space="0" w:color="auto"/>
              <w:bottom w:val="nil"/>
              <w:right w:val="single" w:sz="4" w:space="0" w:color="auto"/>
            </w:tcBorders>
            <w:vAlign w:val="center"/>
          </w:tcPr>
          <w:p w14:paraId="5EB2D1EB"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0.29</w:t>
            </w:r>
          </w:p>
        </w:tc>
        <w:tc>
          <w:tcPr>
            <w:tcW w:w="1276" w:type="dxa"/>
            <w:tcBorders>
              <w:top w:val="nil"/>
              <w:left w:val="single" w:sz="4" w:space="0" w:color="auto"/>
              <w:bottom w:val="nil"/>
              <w:right w:val="single" w:sz="4" w:space="0" w:color="auto"/>
            </w:tcBorders>
            <w:vAlign w:val="center"/>
          </w:tcPr>
          <w:p w14:paraId="0D2C057B"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16.30</w:t>
            </w:r>
          </w:p>
        </w:tc>
        <w:tc>
          <w:tcPr>
            <w:tcW w:w="1134" w:type="dxa"/>
            <w:tcBorders>
              <w:top w:val="nil"/>
              <w:left w:val="single" w:sz="4" w:space="0" w:color="auto"/>
              <w:bottom w:val="nil"/>
              <w:right w:val="single" w:sz="4" w:space="0" w:color="auto"/>
            </w:tcBorders>
            <w:vAlign w:val="center"/>
          </w:tcPr>
          <w:p w14:paraId="6CDB02BE"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23.99</w:t>
            </w:r>
          </w:p>
        </w:tc>
      </w:tr>
      <w:tr w:rsidR="00457FA7" w:rsidRPr="00457FA7" w14:paraId="0BF8CCAA" w14:textId="77777777" w:rsidTr="008552DB">
        <w:trPr>
          <w:jc w:val="center"/>
        </w:trPr>
        <w:tc>
          <w:tcPr>
            <w:tcW w:w="5387" w:type="dxa"/>
            <w:tcBorders>
              <w:top w:val="nil"/>
              <w:left w:val="single" w:sz="4" w:space="0" w:color="auto"/>
              <w:bottom w:val="nil"/>
              <w:right w:val="single" w:sz="4" w:space="0" w:color="auto"/>
            </w:tcBorders>
            <w:vAlign w:val="center"/>
          </w:tcPr>
          <w:p w14:paraId="450FC679"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Recubrimientos y terminados metálicos</w:t>
            </w:r>
          </w:p>
        </w:tc>
        <w:tc>
          <w:tcPr>
            <w:tcW w:w="1276" w:type="dxa"/>
            <w:tcBorders>
              <w:top w:val="nil"/>
              <w:left w:val="single" w:sz="4" w:space="0" w:color="auto"/>
              <w:bottom w:val="nil"/>
              <w:right w:val="single" w:sz="4" w:space="0" w:color="auto"/>
            </w:tcBorders>
            <w:vAlign w:val="center"/>
          </w:tcPr>
          <w:p w14:paraId="093DED52"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11.73</w:t>
            </w:r>
          </w:p>
        </w:tc>
        <w:tc>
          <w:tcPr>
            <w:tcW w:w="1276" w:type="dxa"/>
            <w:tcBorders>
              <w:top w:val="nil"/>
              <w:left w:val="single" w:sz="4" w:space="0" w:color="auto"/>
              <w:bottom w:val="nil"/>
              <w:right w:val="single" w:sz="4" w:space="0" w:color="auto"/>
            </w:tcBorders>
            <w:vAlign w:val="center"/>
          </w:tcPr>
          <w:p w14:paraId="27C622B4"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0.63</w:t>
            </w:r>
          </w:p>
        </w:tc>
        <w:tc>
          <w:tcPr>
            <w:tcW w:w="1276" w:type="dxa"/>
            <w:tcBorders>
              <w:top w:val="nil"/>
              <w:left w:val="single" w:sz="4" w:space="0" w:color="auto"/>
              <w:bottom w:val="nil"/>
              <w:right w:val="single" w:sz="4" w:space="0" w:color="auto"/>
            </w:tcBorders>
            <w:vAlign w:val="center"/>
          </w:tcPr>
          <w:p w14:paraId="772E2AE7"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22.59</w:t>
            </w:r>
          </w:p>
        </w:tc>
        <w:tc>
          <w:tcPr>
            <w:tcW w:w="1134" w:type="dxa"/>
            <w:tcBorders>
              <w:top w:val="nil"/>
              <w:left w:val="single" w:sz="4" w:space="0" w:color="auto"/>
              <w:bottom w:val="nil"/>
              <w:right w:val="single" w:sz="4" w:space="0" w:color="auto"/>
            </w:tcBorders>
            <w:vAlign w:val="center"/>
          </w:tcPr>
          <w:p w14:paraId="4130E61D"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34.96</w:t>
            </w:r>
          </w:p>
        </w:tc>
      </w:tr>
      <w:tr w:rsidR="00457FA7" w:rsidRPr="00457FA7" w14:paraId="3E96EB1A" w14:textId="77777777" w:rsidTr="008552DB">
        <w:trPr>
          <w:jc w:val="center"/>
        </w:trPr>
        <w:tc>
          <w:tcPr>
            <w:tcW w:w="5387" w:type="dxa"/>
            <w:tcBorders>
              <w:top w:val="nil"/>
              <w:left w:val="single" w:sz="4" w:space="0" w:color="auto"/>
              <w:bottom w:val="nil"/>
              <w:right w:val="single" w:sz="4" w:space="0" w:color="auto"/>
            </w:tcBorders>
            <w:vAlign w:val="center"/>
          </w:tcPr>
          <w:p w14:paraId="62D05F56"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maquinaria y equipo para la industria manufacturera, excepto la materia que procede de la industria metalmecánica</w:t>
            </w:r>
          </w:p>
        </w:tc>
        <w:tc>
          <w:tcPr>
            <w:tcW w:w="1276" w:type="dxa"/>
            <w:tcBorders>
              <w:top w:val="nil"/>
              <w:left w:val="single" w:sz="4" w:space="0" w:color="auto"/>
              <w:bottom w:val="nil"/>
              <w:right w:val="single" w:sz="4" w:space="0" w:color="auto"/>
            </w:tcBorders>
            <w:vAlign w:val="center"/>
          </w:tcPr>
          <w:p w14:paraId="6EE64E51"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29.86</w:t>
            </w:r>
          </w:p>
        </w:tc>
        <w:tc>
          <w:tcPr>
            <w:tcW w:w="1276" w:type="dxa"/>
            <w:tcBorders>
              <w:top w:val="nil"/>
              <w:left w:val="single" w:sz="4" w:space="0" w:color="auto"/>
              <w:bottom w:val="nil"/>
              <w:right w:val="single" w:sz="4" w:space="0" w:color="auto"/>
            </w:tcBorders>
            <w:vAlign w:val="center"/>
          </w:tcPr>
          <w:p w14:paraId="14575EBB"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1.96</w:t>
            </w:r>
          </w:p>
        </w:tc>
        <w:tc>
          <w:tcPr>
            <w:tcW w:w="1276" w:type="dxa"/>
            <w:tcBorders>
              <w:top w:val="nil"/>
              <w:left w:val="single" w:sz="4" w:space="0" w:color="auto"/>
              <w:bottom w:val="nil"/>
              <w:right w:val="single" w:sz="4" w:space="0" w:color="auto"/>
            </w:tcBorders>
            <w:vAlign w:val="center"/>
          </w:tcPr>
          <w:p w14:paraId="76D9F596"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5.05</w:t>
            </w:r>
          </w:p>
        </w:tc>
        <w:tc>
          <w:tcPr>
            <w:tcW w:w="1134" w:type="dxa"/>
            <w:tcBorders>
              <w:top w:val="nil"/>
              <w:left w:val="single" w:sz="4" w:space="0" w:color="auto"/>
              <w:bottom w:val="nil"/>
              <w:right w:val="single" w:sz="4" w:space="0" w:color="auto"/>
            </w:tcBorders>
            <w:vAlign w:val="center"/>
          </w:tcPr>
          <w:p w14:paraId="22AF6A8A"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36.87</w:t>
            </w:r>
          </w:p>
        </w:tc>
      </w:tr>
      <w:tr w:rsidR="00457FA7" w:rsidRPr="00457FA7" w14:paraId="05A511EE" w14:textId="77777777" w:rsidTr="008552DB">
        <w:trPr>
          <w:jc w:val="center"/>
        </w:trPr>
        <w:tc>
          <w:tcPr>
            <w:tcW w:w="5387" w:type="dxa"/>
            <w:tcBorders>
              <w:top w:val="nil"/>
              <w:left w:val="single" w:sz="4" w:space="0" w:color="auto"/>
              <w:bottom w:val="nil"/>
              <w:right w:val="single" w:sz="4" w:space="0" w:color="auto"/>
            </w:tcBorders>
            <w:vAlign w:val="center"/>
          </w:tcPr>
          <w:p w14:paraId="3EC61C69"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maquinaria y equipo para la industria metalmecánica</w:t>
            </w:r>
          </w:p>
        </w:tc>
        <w:tc>
          <w:tcPr>
            <w:tcW w:w="1276" w:type="dxa"/>
            <w:tcBorders>
              <w:top w:val="nil"/>
              <w:left w:val="single" w:sz="4" w:space="0" w:color="auto"/>
              <w:bottom w:val="nil"/>
              <w:right w:val="single" w:sz="4" w:space="0" w:color="auto"/>
            </w:tcBorders>
            <w:vAlign w:val="center"/>
          </w:tcPr>
          <w:p w14:paraId="513CCB6C"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22.43</w:t>
            </w:r>
          </w:p>
        </w:tc>
        <w:tc>
          <w:tcPr>
            <w:tcW w:w="1276" w:type="dxa"/>
            <w:tcBorders>
              <w:top w:val="nil"/>
              <w:left w:val="single" w:sz="4" w:space="0" w:color="auto"/>
              <w:bottom w:val="nil"/>
              <w:right w:val="single" w:sz="4" w:space="0" w:color="auto"/>
            </w:tcBorders>
            <w:vAlign w:val="center"/>
          </w:tcPr>
          <w:p w14:paraId="2454E1ED"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0.66</w:t>
            </w:r>
          </w:p>
        </w:tc>
        <w:tc>
          <w:tcPr>
            <w:tcW w:w="1276" w:type="dxa"/>
            <w:tcBorders>
              <w:top w:val="nil"/>
              <w:left w:val="single" w:sz="4" w:space="0" w:color="auto"/>
              <w:bottom w:val="nil"/>
              <w:right w:val="single" w:sz="4" w:space="0" w:color="auto"/>
            </w:tcBorders>
            <w:vAlign w:val="center"/>
          </w:tcPr>
          <w:p w14:paraId="676C05F4"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17.36</w:t>
            </w:r>
          </w:p>
        </w:tc>
        <w:tc>
          <w:tcPr>
            <w:tcW w:w="1134" w:type="dxa"/>
            <w:tcBorders>
              <w:top w:val="nil"/>
              <w:left w:val="single" w:sz="4" w:space="0" w:color="auto"/>
              <w:bottom w:val="nil"/>
              <w:right w:val="single" w:sz="4" w:space="0" w:color="auto"/>
            </w:tcBorders>
            <w:vAlign w:val="center"/>
          </w:tcPr>
          <w:p w14:paraId="362D5F12"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40.45</w:t>
            </w:r>
          </w:p>
        </w:tc>
      </w:tr>
      <w:tr w:rsidR="00457FA7" w:rsidRPr="00457FA7" w14:paraId="7796DDF7" w14:textId="77777777" w:rsidTr="008552DB">
        <w:trPr>
          <w:jc w:val="center"/>
        </w:trPr>
        <w:tc>
          <w:tcPr>
            <w:tcW w:w="5387" w:type="dxa"/>
            <w:tcBorders>
              <w:top w:val="nil"/>
              <w:left w:val="single" w:sz="4" w:space="0" w:color="auto"/>
              <w:bottom w:val="nil"/>
              <w:right w:val="single" w:sz="4" w:space="0" w:color="auto"/>
            </w:tcBorders>
            <w:vAlign w:val="center"/>
          </w:tcPr>
          <w:p w14:paraId="28AD8984"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motores de combustión interna, turbinas y transmisiones</w:t>
            </w:r>
          </w:p>
        </w:tc>
        <w:tc>
          <w:tcPr>
            <w:tcW w:w="1276" w:type="dxa"/>
            <w:tcBorders>
              <w:top w:val="nil"/>
              <w:left w:val="single" w:sz="4" w:space="0" w:color="auto"/>
              <w:bottom w:val="nil"/>
              <w:right w:val="single" w:sz="4" w:space="0" w:color="auto"/>
            </w:tcBorders>
            <w:vAlign w:val="center"/>
          </w:tcPr>
          <w:p w14:paraId="24814D52"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18.53</w:t>
            </w:r>
          </w:p>
        </w:tc>
        <w:tc>
          <w:tcPr>
            <w:tcW w:w="1276" w:type="dxa"/>
            <w:tcBorders>
              <w:top w:val="nil"/>
              <w:left w:val="single" w:sz="4" w:space="0" w:color="auto"/>
              <w:bottom w:val="nil"/>
              <w:right w:val="single" w:sz="4" w:space="0" w:color="auto"/>
            </w:tcBorders>
            <w:vAlign w:val="center"/>
          </w:tcPr>
          <w:p w14:paraId="0F7FF764"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0.11</w:t>
            </w:r>
          </w:p>
        </w:tc>
        <w:tc>
          <w:tcPr>
            <w:tcW w:w="1276" w:type="dxa"/>
            <w:tcBorders>
              <w:top w:val="nil"/>
              <w:left w:val="single" w:sz="4" w:space="0" w:color="auto"/>
              <w:bottom w:val="nil"/>
              <w:right w:val="single" w:sz="4" w:space="0" w:color="auto"/>
            </w:tcBorders>
            <w:vAlign w:val="center"/>
          </w:tcPr>
          <w:p w14:paraId="3B427E70"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8.20</w:t>
            </w:r>
          </w:p>
        </w:tc>
        <w:tc>
          <w:tcPr>
            <w:tcW w:w="1134" w:type="dxa"/>
            <w:tcBorders>
              <w:top w:val="nil"/>
              <w:left w:val="single" w:sz="4" w:space="0" w:color="auto"/>
              <w:bottom w:val="nil"/>
              <w:right w:val="single" w:sz="4" w:space="0" w:color="auto"/>
            </w:tcBorders>
            <w:vAlign w:val="center"/>
          </w:tcPr>
          <w:p w14:paraId="00F950A1"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26.84</w:t>
            </w:r>
          </w:p>
        </w:tc>
      </w:tr>
      <w:tr w:rsidR="00457FA7" w:rsidRPr="00457FA7" w14:paraId="3FACD981" w14:textId="77777777" w:rsidTr="008552DB">
        <w:trPr>
          <w:jc w:val="center"/>
        </w:trPr>
        <w:tc>
          <w:tcPr>
            <w:tcW w:w="5387" w:type="dxa"/>
            <w:tcBorders>
              <w:top w:val="nil"/>
              <w:left w:val="single" w:sz="4" w:space="0" w:color="auto"/>
              <w:bottom w:val="single" w:sz="4" w:space="0" w:color="auto"/>
              <w:right w:val="single" w:sz="4" w:space="0" w:color="auto"/>
            </w:tcBorders>
            <w:vAlign w:val="center"/>
          </w:tcPr>
          <w:p w14:paraId="71CE56BF" w14:textId="77777777" w:rsidR="00457FA7" w:rsidRPr="00457FA7" w:rsidRDefault="00457FA7" w:rsidP="009940FA">
            <w:pPr>
              <w:jc w:val="both"/>
              <w:rPr>
                <w:rFonts w:eastAsia="Calibri"/>
                <w:sz w:val="18"/>
                <w:szCs w:val="18"/>
                <w:lang w:val="es-ES" w:eastAsia="en-US"/>
              </w:rPr>
            </w:pPr>
            <w:r w:rsidRPr="00457FA7">
              <w:rPr>
                <w:rFonts w:eastAsia="Calibri"/>
                <w:sz w:val="18"/>
                <w:szCs w:val="18"/>
                <w:lang w:val="es-ES" w:eastAsia="en-US"/>
              </w:rPr>
              <w:t>Fabricación de otro tipo de transporte</w:t>
            </w:r>
          </w:p>
        </w:tc>
        <w:tc>
          <w:tcPr>
            <w:tcW w:w="1276" w:type="dxa"/>
            <w:tcBorders>
              <w:top w:val="nil"/>
              <w:left w:val="single" w:sz="4" w:space="0" w:color="auto"/>
              <w:bottom w:val="single" w:sz="4" w:space="0" w:color="auto"/>
              <w:right w:val="single" w:sz="4" w:space="0" w:color="auto"/>
            </w:tcBorders>
            <w:vAlign w:val="center"/>
          </w:tcPr>
          <w:p w14:paraId="13E2D919"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18.66</w:t>
            </w:r>
          </w:p>
        </w:tc>
        <w:tc>
          <w:tcPr>
            <w:tcW w:w="1276" w:type="dxa"/>
            <w:tcBorders>
              <w:top w:val="nil"/>
              <w:left w:val="single" w:sz="4" w:space="0" w:color="auto"/>
              <w:bottom w:val="single" w:sz="4" w:space="0" w:color="auto"/>
              <w:right w:val="single" w:sz="4" w:space="0" w:color="auto"/>
            </w:tcBorders>
            <w:vAlign w:val="center"/>
          </w:tcPr>
          <w:p w14:paraId="00AF435E" w14:textId="77777777" w:rsidR="00457FA7" w:rsidRPr="00457FA7" w:rsidRDefault="00457FA7" w:rsidP="009940FA">
            <w:pPr>
              <w:ind w:right="340"/>
              <w:jc w:val="right"/>
              <w:rPr>
                <w:rFonts w:eastAsia="Calibri"/>
                <w:sz w:val="18"/>
                <w:szCs w:val="18"/>
                <w:lang w:val="es-ES" w:eastAsia="en-US"/>
              </w:rPr>
            </w:pPr>
            <w:r w:rsidRPr="00457FA7">
              <w:rPr>
                <w:rFonts w:eastAsia="Calibri"/>
                <w:sz w:val="18"/>
                <w:szCs w:val="18"/>
                <w:lang w:val="es-ES" w:eastAsia="en-US"/>
              </w:rPr>
              <w:t>0.03</w:t>
            </w:r>
          </w:p>
        </w:tc>
        <w:tc>
          <w:tcPr>
            <w:tcW w:w="1276" w:type="dxa"/>
            <w:tcBorders>
              <w:top w:val="nil"/>
              <w:left w:val="single" w:sz="4" w:space="0" w:color="auto"/>
              <w:bottom w:val="single" w:sz="4" w:space="0" w:color="auto"/>
              <w:right w:val="single" w:sz="4" w:space="0" w:color="auto"/>
            </w:tcBorders>
            <w:vAlign w:val="center"/>
          </w:tcPr>
          <w:p w14:paraId="5EB811DD" w14:textId="77777777" w:rsidR="00457FA7" w:rsidRPr="00457FA7" w:rsidRDefault="00457FA7" w:rsidP="009940FA">
            <w:pPr>
              <w:ind w:right="227"/>
              <w:jc w:val="right"/>
              <w:rPr>
                <w:rFonts w:eastAsia="Calibri"/>
                <w:sz w:val="18"/>
                <w:szCs w:val="18"/>
                <w:lang w:val="es-ES" w:eastAsia="en-US"/>
              </w:rPr>
            </w:pPr>
            <w:r w:rsidRPr="00457FA7">
              <w:rPr>
                <w:rFonts w:eastAsia="Calibri"/>
                <w:sz w:val="18"/>
                <w:szCs w:val="18"/>
                <w:lang w:val="es-ES" w:eastAsia="en-US"/>
              </w:rPr>
              <w:t>13.28</w:t>
            </w:r>
          </w:p>
        </w:tc>
        <w:tc>
          <w:tcPr>
            <w:tcW w:w="1134" w:type="dxa"/>
            <w:tcBorders>
              <w:top w:val="nil"/>
              <w:left w:val="single" w:sz="4" w:space="0" w:color="auto"/>
              <w:bottom w:val="single" w:sz="4" w:space="0" w:color="auto"/>
              <w:right w:val="single" w:sz="4" w:space="0" w:color="auto"/>
            </w:tcBorders>
            <w:vAlign w:val="center"/>
          </w:tcPr>
          <w:p w14:paraId="56922546" w14:textId="77777777" w:rsidR="00457FA7" w:rsidRPr="00457FA7" w:rsidRDefault="00457FA7" w:rsidP="009940FA">
            <w:pPr>
              <w:ind w:right="176"/>
              <w:jc w:val="right"/>
              <w:rPr>
                <w:rFonts w:eastAsia="Calibri"/>
                <w:sz w:val="18"/>
                <w:szCs w:val="18"/>
                <w:lang w:val="es-ES" w:eastAsia="en-US"/>
              </w:rPr>
            </w:pPr>
            <w:r w:rsidRPr="00457FA7">
              <w:rPr>
                <w:rFonts w:eastAsia="Calibri"/>
                <w:sz w:val="18"/>
                <w:szCs w:val="18"/>
                <w:lang w:val="es-ES" w:eastAsia="en-US"/>
              </w:rPr>
              <w:t>31.97</w:t>
            </w:r>
          </w:p>
        </w:tc>
      </w:tr>
      <w:tr w:rsidR="00457FA7" w:rsidRPr="00457FA7" w14:paraId="3C16DEE7" w14:textId="77777777" w:rsidTr="001E7CBA">
        <w:trPr>
          <w:jc w:val="center"/>
        </w:trPr>
        <w:tc>
          <w:tcPr>
            <w:tcW w:w="10349" w:type="dxa"/>
            <w:gridSpan w:val="5"/>
            <w:tcBorders>
              <w:top w:val="single" w:sz="4" w:space="0" w:color="auto"/>
              <w:left w:val="nil"/>
              <w:bottom w:val="nil"/>
              <w:right w:val="nil"/>
            </w:tcBorders>
            <w:vAlign w:val="center"/>
          </w:tcPr>
          <w:p w14:paraId="6520F2FE" w14:textId="77777777" w:rsidR="00457FA7" w:rsidRPr="00457FA7" w:rsidRDefault="00457FA7" w:rsidP="009940FA">
            <w:pPr>
              <w:jc w:val="both"/>
              <w:rPr>
                <w:rFonts w:eastAsia="Calibri"/>
                <w:sz w:val="20"/>
                <w:szCs w:val="20"/>
                <w:lang w:val="es-ES" w:eastAsia="en-US"/>
              </w:rPr>
            </w:pPr>
            <w:r w:rsidRPr="00457FA7">
              <w:rPr>
                <w:rFonts w:eastAsia="Calibri"/>
                <w:sz w:val="20"/>
                <w:szCs w:val="20"/>
                <w:lang w:val="es-ES" w:eastAsia="en-US"/>
              </w:rPr>
              <w:t>FUENTE: Banco BASE con datos del Instituto Nacional de Estadística y Geografía (INEGI).</w:t>
            </w:r>
          </w:p>
        </w:tc>
      </w:tr>
    </w:tbl>
    <w:p w14:paraId="54721B95" w14:textId="77777777" w:rsidR="00457FA7" w:rsidRPr="00457FA7" w:rsidRDefault="00457FA7" w:rsidP="00457FA7">
      <w:pPr>
        <w:spacing w:after="360" w:line="360" w:lineRule="auto"/>
        <w:ind w:right="-159"/>
        <w:jc w:val="both"/>
        <w:rPr>
          <w:rFonts w:eastAsia="Calibri"/>
          <w:sz w:val="26"/>
          <w:szCs w:val="26"/>
          <w:lang w:val="es-ES" w:eastAsia="en-US"/>
        </w:rPr>
      </w:pPr>
    </w:p>
    <w:p w14:paraId="389910E6" w14:textId="77777777" w:rsidR="00457FA7" w:rsidRPr="00457FA7" w:rsidRDefault="00457FA7" w:rsidP="00457FA7">
      <w:pPr>
        <w:spacing w:after="360" w:line="360" w:lineRule="auto"/>
        <w:ind w:right="-159"/>
        <w:jc w:val="both"/>
        <w:rPr>
          <w:rFonts w:eastAsia="Calibri"/>
          <w:b/>
          <w:sz w:val="26"/>
          <w:szCs w:val="26"/>
          <w:lang w:val="es-ES" w:eastAsia="en-US"/>
        </w:rPr>
      </w:pPr>
      <w:r w:rsidRPr="00457FA7">
        <w:rPr>
          <w:rFonts w:eastAsia="Calibri"/>
          <w:b/>
          <w:sz w:val="26"/>
          <w:szCs w:val="26"/>
          <w:lang w:val="es-ES" w:eastAsia="en-US"/>
        </w:rPr>
        <w:t xml:space="preserve">Nada es lo que parece </w:t>
      </w:r>
    </w:p>
    <w:p w14:paraId="632A255D"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El que las líneas de producción estén más activas que nunca no significa que México se beneficie lo suficiente con ello —de hecho, no lo hace—. La industria automotriz aporta menos de 3.5% del Producto Interno Bruto (PIB) y apenas una quinta parte de las exportaciones; una forma de aumentar su valor es tener más empresas proveedoras locales. “El </w:t>
      </w:r>
      <w:r w:rsidRPr="00457FA7">
        <w:rPr>
          <w:rFonts w:eastAsia="Calibri"/>
          <w:i/>
          <w:sz w:val="26"/>
          <w:szCs w:val="26"/>
          <w:lang w:val="es-ES" w:eastAsia="en-US"/>
        </w:rPr>
        <w:t>boom</w:t>
      </w:r>
      <w:r w:rsidRPr="00457FA7">
        <w:rPr>
          <w:rFonts w:eastAsia="Calibri"/>
          <w:sz w:val="26"/>
          <w:szCs w:val="26"/>
          <w:lang w:val="es-ES" w:eastAsia="en-US"/>
        </w:rPr>
        <w:t xml:space="preserve"> en México es por las prioridades de la industria, que se acomoda por tendencias globales”, dice el presidente de Kaso y Asociados.</w:t>
      </w:r>
    </w:p>
    <w:p w14:paraId="62E84A82"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Con más de 20 mil millones de dólares de inversiones automotrices en los últimos cinco años, México está en camino de ser el sexto productor mundial, pero aún tiene grandes debilidades estructurales.</w:t>
      </w:r>
    </w:p>
    <w:p w14:paraId="047F4262"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Un cuello de botella posible para los siguientes años de mayor producción automotriz es la disponibilidad de personal preparado. Hay ingenieros y técnicos bien calificados, </w:t>
      </w:r>
      <w:r w:rsidRPr="00457FA7">
        <w:rPr>
          <w:rFonts w:eastAsia="Calibri"/>
          <w:sz w:val="26"/>
          <w:szCs w:val="26"/>
          <w:lang w:val="es-ES" w:eastAsia="en-US"/>
        </w:rPr>
        <w:lastRenderedPageBreak/>
        <w:t>pero no de último nivel; así que las empresas los tienen que capacitar durante un año o año y medio, dice el presidente de la INA. “No salen listos para una línea de robótica o de maquinado automatizado. Así que para compensarlo, la fábrica se convierte en una extensión del aula”, añade.</w:t>
      </w:r>
    </w:p>
    <w:p w14:paraId="21226552"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Las oportunidades para que compañías mexicanas se sumen al </w:t>
      </w:r>
      <w:r w:rsidRPr="00457FA7">
        <w:rPr>
          <w:rFonts w:eastAsia="Calibri"/>
          <w:i/>
          <w:sz w:val="26"/>
          <w:szCs w:val="26"/>
          <w:lang w:val="es-ES" w:eastAsia="en-US"/>
        </w:rPr>
        <w:t>boom</w:t>
      </w:r>
      <w:r w:rsidRPr="00457FA7">
        <w:rPr>
          <w:rFonts w:eastAsia="Calibri"/>
          <w:sz w:val="26"/>
          <w:szCs w:val="26"/>
          <w:lang w:val="es-ES" w:eastAsia="en-US"/>
        </w:rPr>
        <w:t xml:space="preserve"> automotriz están en varias áreas, pero no hay estrategias coordinadas por las autoridades y hace tiempo que éstas abandonaron la idea de tener una política industrial. Las fabricantes de equipos originales (OEMS por sus siglas en inglés) traen a sus propios proveedores </w:t>
      </w:r>
      <w:r w:rsidRPr="00457FA7">
        <w:rPr>
          <w:rFonts w:eastAsia="Calibri"/>
          <w:i/>
          <w:sz w:val="26"/>
          <w:szCs w:val="26"/>
          <w:lang w:val="es-ES" w:eastAsia="en-US"/>
        </w:rPr>
        <w:t>tier</w:t>
      </w:r>
      <w:r w:rsidRPr="00457FA7">
        <w:rPr>
          <w:rFonts w:eastAsia="Calibri"/>
          <w:sz w:val="26"/>
          <w:szCs w:val="26"/>
          <w:lang w:val="es-ES" w:eastAsia="en-US"/>
        </w:rPr>
        <w:t xml:space="preserve"> 1 o directos, dice Haneine, y éstos no confían en que la fragmentada proveeduría mexicana (</w:t>
      </w:r>
      <w:r w:rsidRPr="00457FA7">
        <w:rPr>
          <w:rFonts w:eastAsia="Calibri"/>
          <w:i/>
          <w:sz w:val="26"/>
          <w:szCs w:val="26"/>
          <w:lang w:val="es-ES" w:eastAsia="en-US"/>
        </w:rPr>
        <w:t>tier</w:t>
      </w:r>
      <w:r w:rsidRPr="00457FA7">
        <w:rPr>
          <w:rFonts w:eastAsia="Calibri"/>
          <w:sz w:val="26"/>
          <w:szCs w:val="26"/>
          <w:lang w:val="es-ES" w:eastAsia="en-US"/>
        </w:rPr>
        <w:t xml:space="preserve"> 2) pueda entregarles los suministros en la escala que lo necesitan. “(En México) se producen las autopartes de defensa a defensa, pero no los componentes, esos vienen de fábricas de fuera”, explica el presidente de la INA.</w:t>
      </w:r>
    </w:p>
    <w:p w14:paraId="3F95CBB6"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México podría ser un importante productor de piezas de tren motriz (que incluye motor, caja de velocidades, </w:t>
      </w:r>
      <w:r w:rsidRPr="00457FA7">
        <w:rPr>
          <w:rFonts w:eastAsia="Calibri"/>
          <w:i/>
          <w:sz w:val="26"/>
          <w:szCs w:val="26"/>
          <w:lang w:val="es-ES" w:eastAsia="en-US"/>
        </w:rPr>
        <w:t>clutch</w:t>
      </w:r>
      <w:r w:rsidRPr="00457FA7">
        <w:rPr>
          <w:rFonts w:eastAsia="Calibri"/>
          <w:sz w:val="26"/>
          <w:szCs w:val="26"/>
          <w:lang w:val="es-ES" w:eastAsia="en-US"/>
        </w:rPr>
        <w:t>, transmisión, diferencial), chasises, carrocería y exteriores, que por ahora se fabrican en su mayoría en Estados Unidos de Norteamérica, Japón y Canadá. “Las tendencias en la industria automotriz global se coluden para dar a México la oportunidad de mejorar su suerte”, dice un diagnóstico de la industria hecho en 2005 por la consultora AT Kearney.</w:t>
      </w:r>
    </w:p>
    <w:p w14:paraId="70B4E58C"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En proveeduría, las cosas también podrían ser mucho mejores. “El valor de las autopartes que se producen en el país crece a tasas de 5 a 6% anual, y el año pasado llegó a 82 mil millones de dólares, pero esa cifra podría escalar a 117 mil millones de dólares si los componentes importados para fabricar esas autopartes se hicieran en el país”, dice el presidente de la INA. El directivo estima que las tasas de aumento de la producción se mantendrán en los próximos años, pero reconoce que sólo 30% del valor es generado por empresas nacionales. “Un programa para hacer desarrollo en México podría comenzar por ahí”, agrega el directivo.</w:t>
      </w:r>
    </w:p>
    <w:p w14:paraId="66D7234B"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lastRenderedPageBreak/>
        <w:t>Entre los pocos casos de compañías que se han subido a la ola de manufactura automotriz está la regiomontana ISGO, que fabrica componentes plásticos mediante inyección, como paneles con portavasos.</w:t>
      </w:r>
    </w:p>
    <w:p w14:paraId="6671E2C3"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Las restricciones ambientales que deben cumplir los vehículos y la llegada de más tecnología de telecomunicación a bordo y de asistencia de manejo obligan a los países fabricantes a ponerse al día. Sin embargo, México se ha quedado fuera de la jugada —el principal componente que adquieren las automotrices es cuero y piel para vestiduras, según el Reporte de la Industria Maquiladora, del Banco Base.</w:t>
      </w:r>
    </w:p>
    <w:p w14:paraId="3A154FF9"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El modelo de clúster que reúne academia, industria y gobierno está vigente en el mundo, pero México no lo tiene. Los proyectos de este tipo no se concretan porque no hay vínculo entre industria y academia, ni seguimiento de los gobiernos al desempeño de la industria, de ahí que los proyectos que se han elaborado quedan en papel, como ocurrió con el Silicon Valley que se montaría en Jalisco o el Centro de Innovación en la Ciudad de México. “En Shangai (China) me sorprendió que la universidad tiene instituciones al otro lado de la calle de los centros de desarrollo, a los que los estudiantes van a hacer prácticas”, dice el presidente de Kaso y Asociados. “Creo que en México no hay ese modelo, es un punto álgido”.</w:t>
      </w:r>
    </w:p>
    <w:p w14:paraId="5EA9C3F8"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El primer estudio de AT Kearney en torno a las oportunidades no aprovechadas en el país fue hecho hace 10 años, al final del gobierno de Vicente Fox. Con base en entrevistas a ceos de armadoras que operan en México y de sus proveedores directos (</w:t>
      </w:r>
      <w:r w:rsidRPr="00457FA7">
        <w:rPr>
          <w:rFonts w:eastAsia="Calibri"/>
          <w:i/>
          <w:sz w:val="26"/>
          <w:szCs w:val="26"/>
          <w:lang w:val="es-ES" w:eastAsia="en-US"/>
        </w:rPr>
        <w:t>tier</w:t>
      </w:r>
      <w:r w:rsidRPr="00457FA7">
        <w:rPr>
          <w:rFonts w:eastAsia="Calibri"/>
          <w:sz w:val="26"/>
          <w:szCs w:val="26"/>
          <w:lang w:val="es-ES" w:eastAsia="en-US"/>
        </w:rPr>
        <w:t xml:space="preserve"> 1), el diagnóstico se hizo conjuntamente con la Secretaría de Economía y las asociaciones de fabricantes y vendedores de autos (AMIA y la Asociación Mexicana de Distribuidores de Automotores (AMDA), respectivamente) y de camiones (Asociación Nacional de Productores de Autobuses, Camiones y Tractocamiones, ANPACT). Fue una especie de </w:t>
      </w:r>
      <w:r w:rsidRPr="00457FA7">
        <w:rPr>
          <w:rFonts w:eastAsia="Calibri"/>
          <w:i/>
          <w:sz w:val="26"/>
          <w:szCs w:val="26"/>
          <w:lang w:val="es-ES" w:eastAsia="en-US"/>
        </w:rPr>
        <w:t>road map</w:t>
      </w:r>
      <w:r w:rsidRPr="00457FA7">
        <w:rPr>
          <w:rFonts w:eastAsia="Calibri"/>
          <w:sz w:val="26"/>
          <w:szCs w:val="26"/>
          <w:lang w:val="es-ES" w:eastAsia="en-US"/>
        </w:rPr>
        <w:t xml:space="preserve"> o camino a seguir, pero no sabíamos si lo iban </w:t>
      </w:r>
      <w:r w:rsidRPr="00457FA7">
        <w:rPr>
          <w:rFonts w:eastAsia="Calibri"/>
          <w:sz w:val="26"/>
          <w:szCs w:val="26"/>
          <w:lang w:val="es-ES" w:eastAsia="en-US"/>
        </w:rPr>
        <w:lastRenderedPageBreak/>
        <w:t>a continuar (los siguientes gobiernos), ya con Calderón en la Presidencia, el gobierno federal lo retomó y hasta la fecha (ha sido así)”, dice Haneine.</w:t>
      </w:r>
    </w:p>
    <w:p w14:paraId="31CFE9FF"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Uno de los insumos que más utilizan las armadoras es acero tratado para darle alta resistencia contra los impactos y la corrosión, pero hasta hace poco las plantas instaladas en el país lo importaban en su totalidad, sobre todo de Estados Unidos de Norteamérica, con altos costos de transporte. En los últimos dos años, la siderúrgica mexicana AHMSA amplió su capacidad para, entre otras cosas, producir acero para las armadoras. Y con fines similares, las extranjeras Ternium y Nippon Steel &amp; Sumimoto Metal montaron un proyecto conjunto en el país. Mientras, la coreana Posco duplicó su capacidad.</w:t>
      </w:r>
    </w:p>
    <w:p w14:paraId="10509A81"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Aun así, sólo abastecerán 30% del acero, el que sirve para vestir el vehículo, como el que va en cofre y salpicaderas. Todavía se importa el acero de altas especificaciones, el que recibe el impacto en caso de choque o volcadura y que va en las defensas y el interior de las puertas, y que constituye 70% del consumo en México.</w:t>
      </w:r>
    </w:p>
    <w:p w14:paraId="7F44098C"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Un estudio fue fondeado por el Consejo Nacional de Ciencia y Tecnología (Conacyt) con la intención de que la industria mexicana participe en la ingeniería y diseño de los vehículos que se fabrican aquí, así como en la manufactura de alto valor y no sólo en el ensamble. El hallazgo fue que aun cuando hay proyectos de investigación y desarrollo en el país, sobre todo en los campos eléctrico y electrónico, en realidad el diseño original de los componentes se hace en las sedes de las automotrices y lo que hacen los ingenieros en México es copiar, traducir y adaptar las piezas para su posterior ensamble. “Es algo no tan sofisticado”, señala Haneine. “Se necesitan más centros de ingeniería en México, pero lo sustantivo no lo sueltan (las armadoras), como sí lo hacen en China”.</w:t>
      </w:r>
    </w:p>
    <w:p w14:paraId="702F3306"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México necesita aumentar los fondos para investigación y desarrollo, dedica solamente 0.5% del PIB, mientras que Corea y Suecia destinan 3.5%. “El Plan Nacional de </w:t>
      </w:r>
      <w:r w:rsidRPr="00457FA7">
        <w:rPr>
          <w:rFonts w:eastAsia="Calibri"/>
          <w:sz w:val="26"/>
          <w:szCs w:val="26"/>
          <w:lang w:val="es-ES" w:eastAsia="en-US"/>
        </w:rPr>
        <w:lastRenderedPageBreak/>
        <w:t>Desarrollo indica que quieren subirlo a 1%, pero es insuficiente”, dice el presidente de la INA.</w:t>
      </w:r>
    </w:p>
    <w:p w14:paraId="5DC54E0F"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En el país tampoco se producen motores diésel, por ejemplo, pese a que la demanda en Estados Unidos de Norteamérica comenzó a despegar. Se estima que en dos años, cerca de 58 modelos en circulación en Norteamérica, desde autos y camionetas hasta utilitarios deportivos (o SUV), llevarán este tipo de motores, y que en diez años en Estados Unidos de Norteamérica funcionarán con diésel de 10 a 15% de todos los vehículos. “Tan sólo desarrollar la infraestructura que se necesita para los motores diésel es una manera de mejorar la posición competitiva de México”, dice el estudio de la consultoría AT Kearney.</w:t>
      </w:r>
    </w:p>
    <w:p w14:paraId="75509067"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Las oportunidades no son sólo en autopartes. México podría atraer proyectos de camiones, sobre todo los Clase 8, que captan la mitad del mercado de vehículos de carga en Norteamérica. La demanda anual de estos vehículos en Estados Unidos de Norteamérica ronda las 250 mil unidades, según la firma de inversiones Rwbaird, y para 2010 puede significar un mercado de 60 mil millones de dólares si se cumple el pronóstico de un aumento anual de la demanda de 2%, impulsado entre otras cosas por la recuperación de la construcción en materia de vivienda.</w:t>
      </w:r>
    </w:p>
    <w:p w14:paraId="2EC0C265"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Nuevo León ya es un productor importante de estos camiones. Hace dos años, las plantas en México se hicieron cargo de 22% de las unidades de la región, siete puntos más que dos años antes, pero en Estados Unidos de Norteamérica aún se hace 38% de estas unidades, según datos de Daimler Truck. “En materia de vehículos comerciales, México es la única opción viable para las armadoras estadounidenses que necesitan bajar sus costos”, señala AT Kearney. “Tan sólo por su tamaño y peso, es extremadamente ineficiente exportar estos vehículos desde China u otros países”.</w:t>
      </w:r>
    </w:p>
    <w:p w14:paraId="33EE63A6"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No existe un plan en México dirigido a acelerar el traslado de producción de Clase 8. Es cierto que el país tiene acceso a múltiples mercados a través de tratados comerciales, </w:t>
      </w:r>
      <w:r w:rsidRPr="00457FA7">
        <w:rPr>
          <w:rFonts w:eastAsia="Calibri"/>
          <w:sz w:val="26"/>
          <w:szCs w:val="26"/>
          <w:lang w:val="es-ES" w:eastAsia="en-US"/>
        </w:rPr>
        <w:lastRenderedPageBreak/>
        <w:t>que el costo-país es bajo y que hay parques industriales, pero hay atraso en investigación y desarrollo, dice el presidente de Kaso y Asociados. “También se necesita el impulso a través de políticas públicas”, agrega.</w:t>
      </w:r>
    </w:p>
    <w:p w14:paraId="5B71B1AB" w14:textId="77777777" w:rsidR="00457FA7" w:rsidRP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Hay avances de la industria, “pero son lentos y las tendencias son veloces”, concluye el presidente de Kaso y Asociados. El riesgo es seguir la ruta de la industria energética: hacer los cambios cuando las condiciones de mercado cambiaron.</w:t>
      </w:r>
    </w:p>
    <w:p w14:paraId="33B9C936" w14:textId="77777777" w:rsidR="00457FA7" w:rsidRDefault="00457FA7" w:rsidP="00457FA7">
      <w:pPr>
        <w:spacing w:after="360" w:line="360" w:lineRule="auto"/>
        <w:ind w:right="-159"/>
        <w:jc w:val="both"/>
        <w:rPr>
          <w:rFonts w:eastAsia="Calibri"/>
          <w:sz w:val="26"/>
          <w:szCs w:val="26"/>
          <w:lang w:val="es-ES" w:eastAsia="en-US"/>
        </w:rPr>
      </w:pPr>
      <w:r w:rsidRPr="00457FA7">
        <w:rPr>
          <w:rFonts w:eastAsia="Calibri"/>
          <w:sz w:val="26"/>
          <w:szCs w:val="26"/>
          <w:lang w:val="es-ES" w:eastAsia="en-US"/>
        </w:rPr>
        <w:t xml:space="preserve">El primer paso es saber con exactitud si el país está ante un </w:t>
      </w:r>
      <w:r w:rsidRPr="00457FA7">
        <w:rPr>
          <w:rFonts w:eastAsia="Calibri"/>
          <w:i/>
          <w:sz w:val="26"/>
          <w:szCs w:val="26"/>
          <w:lang w:val="es-ES" w:eastAsia="en-US"/>
        </w:rPr>
        <w:t>boom</w:t>
      </w:r>
      <w:r w:rsidRPr="00457FA7">
        <w:rPr>
          <w:rFonts w:eastAsia="Calibri"/>
          <w:sz w:val="26"/>
          <w:szCs w:val="26"/>
          <w:lang w:val="es-ES" w:eastAsia="en-US"/>
        </w:rPr>
        <w:t xml:space="preserve"> o sólo ante una buena racha.</w:t>
      </w:r>
    </w:p>
    <w:p w14:paraId="749A0BF0" w14:textId="77777777" w:rsidR="009940FA" w:rsidRDefault="009940FA" w:rsidP="00457FA7">
      <w:pPr>
        <w:spacing w:after="360" w:line="360" w:lineRule="auto"/>
        <w:ind w:right="-159"/>
        <w:jc w:val="both"/>
        <w:rPr>
          <w:rFonts w:eastAsia="Calibri"/>
          <w:sz w:val="26"/>
          <w:szCs w:val="26"/>
          <w:lang w:val="es-ES" w:eastAsia="en-US"/>
        </w:rPr>
      </w:pPr>
    </w:p>
    <w:p w14:paraId="54C8E5E8" w14:textId="77777777" w:rsidR="009940FA" w:rsidRDefault="009940FA" w:rsidP="00457FA7">
      <w:pPr>
        <w:spacing w:after="360" w:line="360" w:lineRule="auto"/>
        <w:ind w:right="-159"/>
        <w:jc w:val="both"/>
        <w:rPr>
          <w:rFonts w:eastAsia="Calibri"/>
          <w:sz w:val="26"/>
          <w:szCs w:val="26"/>
          <w:lang w:val="es-ES" w:eastAsia="en-US"/>
        </w:rPr>
      </w:pPr>
    </w:p>
    <w:p w14:paraId="3A28C887" w14:textId="77777777" w:rsidR="009940FA" w:rsidRDefault="009940FA" w:rsidP="00457FA7">
      <w:pPr>
        <w:spacing w:after="360" w:line="360" w:lineRule="auto"/>
        <w:ind w:right="-159"/>
        <w:jc w:val="both"/>
        <w:rPr>
          <w:rFonts w:eastAsia="Calibri"/>
          <w:sz w:val="26"/>
          <w:szCs w:val="26"/>
          <w:lang w:val="es-ES" w:eastAsia="en-US"/>
        </w:rPr>
      </w:pPr>
    </w:p>
    <w:p w14:paraId="49A1B550" w14:textId="77777777" w:rsidR="009940FA" w:rsidRDefault="009940FA" w:rsidP="00457FA7">
      <w:pPr>
        <w:spacing w:after="360" w:line="360" w:lineRule="auto"/>
        <w:ind w:right="-159"/>
        <w:jc w:val="both"/>
        <w:rPr>
          <w:rFonts w:eastAsia="Calibri"/>
          <w:sz w:val="26"/>
          <w:szCs w:val="26"/>
          <w:lang w:val="es-ES" w:eastAsia="en-US"/>
        </w:rPr>
      </w:pPr>
    </w:p>
    <w:p w14:paraId="5BB5A8D5" w14:textId="77777777" w:rsidR="009940FA" w:rsidRDefault="009940FA" w:rsidP="00457FA7">
      <w:pPr>
        <w:spacing w:after="360" w:line="360" w:lineRule="auto"/>
        <w:ind w:right="-159"/>
        <w:jc w:val="both"/>
        <w:rPr>
          <w:rFonts w:eastAsia="Calibri"/>
          <w:sz w:val="26"/>
          <w:szCs w:val="26"/>
          <w:lang w:val="es-ES" w:eastAsia="en-US"/>
        </w:rPr>
      </w:pPr>
    </w:p>
    <w:p w14:paraId="631AED5C" w14:textId="77777777" w:rsidR="009940FA" w:rsidRDefault="009940FA" w:rsidP="00457FA7">
      <w:pPr>
        <w:spacing w:after="360" w:line="360" w:lineRule="auto"/>
        <w:ind w:right="-159"/>
        <w:jc w:val="both"/>
        <w:rPr>
          <w:rFonts w:eastAsia="Calibri"/>
          <w:sz w:val="26"/>
          <w:szCs w:val="26"/>
          <w:lang w:val="es-ES" w:eastAsia="en-US"/>
        </w:rPr>
      </w:pPr>
    </w:p>
    <w:p w14:paraId="1B10D78A" w14:textId="77777777" w:rsidR="009940FA" w:rsidRDefault="009940FA" w:rsidP="00457FA7">
      <w:pPr>
        <w:spacing w:after="360" w:line="360" w:lineRule="auto"/>
        <w:ind w:right="-159"/>
        <w:jc w:val="both"/>
        <w:rPr>
          <w:rFonts w:eastAsia="Calibri"/>
          <w:sz w:val="26"/>
          <w:szCs w:val="26"/>
          <w:lang w:val="es-ES" w:eastAsia="en-US"/>
        </w:rPr>
      </w:pPr>
    </w:p>
    <w:p w14:paraId="702978EF" w14:textId="77777777" w:rsidR="009940FA" w:rsidRDefault="009940FA" w:rsidP="00457FA7">
      <w:pPr>
        <w:spacing w:after="360" w:line="360" w:lineRule="auto"/>
        <w:ind w:right="-159"/>
        <w:jc w:val="both"/>
        <w:rPr>
          <w:rFonts w:eastAsia="Calibri"/>
          <w:sz w:val="26"/>
          <w:szCs w:val="26"/>
          <w:lang w:val="es-ES" w:eastAsia="en-US"/>
        </w:rPr>
      </w:pPr>
    </w:p>
    <w:p w14:paraId="021164AF" w14:textId="77777777" w:rsidR="009940FA" w:rsidRDefault="009940FA" w:rsidP="00457FA7">
      <w:pPr>
        <w:spacing w:after="360" w:line="360" w:lineRule="auto"/>
        <w:ind w:right="-159"/>
        <w:jc w:val="both"/>
        <w:rPr>
          <w:rFonts w:eastAsia="Calibri"/>
          <w:sz w:val="26"/>
          <w:szCs w:val="26"/>
          <w:lang w:val="es-ES" w:eastAsia="en-US"/>
        </w:rPr>
      </w:pPr>
    </w:p>
    <w:p w14:paraId="70504ACA" w14:textId="77777777" w:rsidR="009940FA" w:rsidRPr="00457FA7" w:rsidRDefault="009940FA" w:rsidP="00457FA7">
      <w:pPr>
        <w:spacing w:after="360" w:line="360" w:lineRule="auto"/>
        <w:ind w:right="-159"/>
        <w:jc w:val="both"/>
        <w:rPr>
          <w:rFonts w:eastAsia="Calibri"/>
          <w:sz w:val="26"/>
          <w:szCs w:val="26"/>
          <w:lang w:val="es-ES" w:eastAsia="en-US"/>
        </w:rPr>
      </w:pPr>
    </w:p>
    <w:tbl>
      <w:tblPr>
        <w:tblW w:w="9209" w:type="dxa"/>
        <w:tblLook w:val="04A0" w:firstRow="1" w:lastRow="0" w:firstColumn="1" w:lastColumn="0" w:noHBand="0" w:noVBand="1"/>
      </w:tblPr>
      <w:tblGrid>
        <w:gridCol w:w="9209"/>
      </w:tblGrid>
      <w:tr w:rsidR="00457FA7" w:rsidRPr="00457FA7" w14:paraId="465FCABE" w14:textId="77777777" w:rsidTr="001E7CBA">
        <w:tc>
          <w:tcPr>
            <w:tcW w:w="9209" w:type="dxa"/>
          </w:tcPr>
          <w:p w14:paraId="7968D928" w14:textId="77777777" w:rsidR="00457FA7" w:rsidRPr="00457FA7" w:rsidRDefault="00457FA7" w:rsidP="00457FA7">
            <w:pPr>
              <w:spacing w:after="200" w:line="276" w:lineRule="auto"/>
              <w:jc w:val="center"/>
              <w:rPr>
                <w:rFonts w:eastAsia="Calibri"/>
                <w:b/>
                <w:sz w:val="22"/>
                <w:szCs w:val="26"/>
                <w:lang w:val="es-ES" w:eastAsia="en-US"/>
              </w:rPr>
            </w:pPr>
            <w:r w:rsidRPr="00457FA7">
              <w:rPr>
                <w:rFonts w:eastAsia="Calibri"/>
                <w:b/>
                <w:sz w:val="22"/>
                <w:szCs w:val="26"/>
                <w:lang w:val="es-ES" w:eastAsia="en-US"/>
              </w:rPr>
              <w:lastRenderedPageBreak/>
              <w:t>¿CENTROS DE ADAPTACIÓN?</w:t>
            </w:r>
          </w:p>
        </w:tc>
      </w:tr>
      <w:tr w:rsidR="00457FA7" w:rsidRPr="00457FA7" w14:paraId="4AA8D479" w14:textId="77777777" w:rsidTr="001E7CBA">
        <w:tc>
          <w:tcPr>
            <w:tcW w:w="9209" w:type="dxa"/>
          </w:tcPr>
          <w:p w14:paraId="63F1B490" w14:textId="77777777" w:rsidR="00457FA7" w:rsidRPr="00457FA7" w:rsidRDefault="00457FA7" w:rsidP="00457FA7">
            <w:pPr>
              <w:spacing w:after="200" w:line="276" w:lineRule="auto"/>
              <w:jc w:val="center"/>
              <w:rPr>
                <w:rFonts w:eastAsia="Calibri"/>
                <w:sz w:val="22"/>
                <w:szCs w:val="26"/>
                <w:lang w:val="es-ES" w:eastAsia="en-US"/>
              </w:rPr>
            </w:pPr>
            <w:r w:rsidRPr="00457FA7">
              <w:rPr>
                <w:rFonts w:eastAsia="Calibri"/>
                <w:noProof/>
                <w:sz w:val="22"/>
                <w:szCs w:val="26"/>
                <w:lang w:eastAsia="es-MX"/>
              </w:rPr>
              <w:drawing>
                <wp:inline distT="0" distB="0" distL="0" distR="0" wp14:anchorId="30D8CF3B" wp14:editId="0892D19F">
                  <wp:extent cx="5165824" cy="3960000"/>
                  <wp:effectExtent l="0" t="0" r="0" b="2540"/>
                  <wp:docPr id="1786" name="Imagen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t="609" b="1063"/>
                          <a:stretch/>
                        </pic:blipFill>
                        <pic:spPr bwMode="auto">
                          <a:xfrm>
                            <a:off x="0" y="0"/>
                            <a:ext cx="5165824" cy="39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57FA7" w:rsidRPr="00457FA7" w14:paraId="00282B1C" w14:textId="77777777" w:rsidTr="001E7CBA">
        <w:tc>
          <w:tcPr>
            <w:tcW w:w="9209" w:type="dxa"/>
          </w:tcPr>
          <w:p w14:paraId="49EC0FD5" w14:textId="77777777" w:rsidR="00457FA7" w:rsidRPr="00457FA7" w:rsidRDefault="00457FA7" w:rsidP="00457FA7">
            <w:pPr>
              <w:spacing w:after="200" w:line="276" w:lineRule="auto"/>
              <w:ind w:firstLine="459"/>
              <w:jc w:val="both"/>
              <w:rPr>
                <w:rFonts w:eastAsia="Calibri"/>
                <w:sz w:val="20"/>
                <w:szCs w:val="26"/>
                <w:lang w:val="es-ES" w:eastAsia="en-US"/>
              </w:rPr>
            </w:pPr>
            <w:r w:rsidRPr="00457FA7">
              <w:rPr>
                <w:rFonts w:eastAsia="Calibri"/>
                <w:sz w:val="20"/>
                <w:szCs w:val="26"/>
                <w:lang w:val="es-ES" w:eastAsia="en-US"/>
              </w:rPr>
              <w:t>FUENTE: Forbes México.</w:t>
            </w:r>
          </w:p>
        </w:tc>
      </w:tr>
    </w:tbl>
    <w:p w14:paraId="200A84A6" w14:textId="77777777" w:rsidR="00457FA7" w:rsidRPr="00457FA7" w:rsidRDefault="00457FA7" w:rsidP="00457FA7">
      <w:pPr>
        <w:spacing w:after="360" w:line="360" w:lineRule="auto"/>
        <w:ind w:right="-159"/>
        <w:jc w:val="both"/>
        <w:rPr>
          <w:rFonts w:eastAsia="Calibri"/>
          <w:sz w:val="26"/>
          <w:szCs w:val="26"/>
          <w:lang w:val="es-ES" w:eastAsia="en-US"/>
        </w:rPr>
      </w:pPr>
    </w:p>
    <w:p w14:paraId="4E8FA5FA" w14:textId="77777777" w:rsidR="00457FA7" w:rsidRPr="00457FA7" w:rsidRDefault="00457FA7" w:rsidP="00457FA7">
      <w:pPr>
        <w:ind w:right="-159"/>
        <w:jc w:val="both"/>
        <w:rPr>
          <w:rFonts w:eastAsia="Calibri"/>
          <w:b/>
          <w:sz w:val="20"/>
          <w:szCs w:val="20"/>
          <w:lang w:eastAsia="en-US"/>
        </w:rPr>
      </w:pPr>
      <w:r w:rsidRPr="00457FA7">
        <w:rPr>
          <w:rFonts w:eastAsia="Calibri"/>
          <w:b/>
          <w:sz w:val="20"/>
          <w:szCs w:val="20"/>
          <w:lang w:eastAsia="en-US"/>
        </w:rPr>
        <w:t>Fuente de información:</w:t>
      </w:r>
    </w:p>
    <w:p w14:paraId="77DF4F98" w14:textId="77777777" w:rsidR="00457FA7" w:rsidRPr="00CF18F1" w:rsidRDefault="0045651A" w:rsidP="00457FA7">
      <w:pPr>
        <w:ind w:right="-159"/>
        <w:jc w:val="both"/>
        <w:rPr>
          <w:rFonts w:eastAsia="Calibri"/>
          <w:color w:val="0000FF"/>
          <w:sz w:val="20"/>
          <w:szCs w:val="20"/>
          <w:lang w:val="es-ES" w:eastAsia="en-US"/>
        </w:rPr>
      </w:pPr>
      <w:hyperlink r:id="rId169" w:history="1">
        <w:r w:rsidR="00457FA7" w:rsidRPr="00CF18F1">
          <w:rPr>
            <w:rFonts w:eastAsia="Calibri"/>
            <w:color w:val="0000FF"/>
            <w:sz w:val="20"/>
            <w:szCs w:val="20"/>
            <w:u w:val="single"/>
            <w:lang w:val="es-ES" w:eastAsia="en-US"/>
          </w:rPr>
          <w:t>http://www.forbes.com.mx/de-verdad-mexico-es-importante-en-la-industria-automotriz/</w:t>
        </w:r>
      </w:hyperlink>
    </w:p>
    <w:p w14:paraId="14562012" w14:textId="77777777" w:rsidR="00472665" w:rsidRPr="00457FA7" w:rsidRDefault="00472665" w:rsidP="00457FA7">
      <w:pPr>
        <w:spacing w:after="360" w:line="360" w:lineRule="auto"/>
        <w:ind w:right="-159"/>
        <w:jc w:val="both"/>
        <w:rPr>
          <w:rFonts w:eastAsia="Times New Roman"/>
          <w:bCs/>
          <w:sz w:val="26"/>
          <w:szCs w:val="26"/>
          <w:lang w:val="es-ES"/>
        </w:rPr>
      </w:pPr>
    </w:p>
    <w:p w14:paraId="139AAD86" w14:textId="0087194C" w:rsidR="008037B6" w:rsidRDefault="00CF18F1" w:rsidP="00CF18F1">
      <w:pPr>
        <w:tabs>
          <w:tab w:val="left" w:pos="2360"/>
        </w:tabs>
        <w:spacing w:after="360" w:line="360" w:lineRule="auto"/>
        <w:ind w:right="-159"/>
        <w:jc w:val="both"/>
        <w:rPr>
          <w:rFonts w:eastAsia="Times New Roman"/>
          <w:bCs/>
          <w:sz w:val="26"/>
          <w:szCs w:val="26"/>
          <w:lang w:val="es-ES"/>
        </w:rPr>
      </w:pPr>
      <w:r>
        <w:rPr>
          <w:rFonts w:eastAsia="Times New Roman"/>
          <w:bCs/>
          <w:sz w:val="26"/>
          <w:szCs w:val="26"/>
          <w:lang w:val="es-ES"/>
        </w:rPr>
        <w:tab/>
      </w:r>
    </w:p>
    <w:p w14:paraId="52AE3793" w14:textId="77777777" w:rsidR="00D067C7" w:rsidRDefault="00D067C7" w:rsidP="008037B6">
      <w:pPr>
        <w:spacing w:after="360" w:line="360" w:lineRule="auto"/>
        <w:ind w:right="-159"/>
        <w:jc w:val="both"/>
        <w:rPr>
          <w:rFonts w:eastAsia="Times New Roman"/>
          <w:bCs/>
          <w:sz w:val="26"/>
          <w:szCs w:val="26"/>
          <w:lang w:val="es-ES"/>
        </w:rPr>
      </w:pPr>
    </w:p>
    <w:p w14:paraId="01D39DFA" w14:textId="77777777" w:rsidR="008037B6" w:rsidRPr="008037B6" w:rsidRDefault="008037B6" w:rsidP="008037B6">
      <w:pPr>
        <w:spacing w:after="360" w:line="360" w:lineRule="auto"/>
        <w:ind w:right="-159"/>
        <w:jc w:val="both"/>
        <w:rPr>
          <w:rFonts w:eastAsia="Calibri"/>
          <w:sz w:val="26"/>
          <w:szCs w:val="26"/>
          <w:lang w:eastAsia="en-US"/>
        </w:rPr>
      </w:pPr>
    </w:p>
    <w:p w14:paraId="38F8B592" w14:textId="77777777" w:rsidR="008037B6" w:rsidRDefault="008037B6">
      <w:pPr>
        <w:rPr>
          <w:rFonts w:eastAsia="Calibri"/>
          <w:b/>
          <w:sz w:val="26"/>
          <w:szCs w:val="26"/>
          <w:lang w:eastAsia="en-US"/>
        </w:rPr>
      </w:pPr>
      <w:r>
        <w:rPr>
          <w:rFonts w:eastAsia="Calibri"/>
          <w:b/>
          <w:sz w:val="26"/>
          <w:szCs w:val="26"/>
          <w:lang w:eastAsia="en-US"/>
        </w:rPr>
        <w:br w:type="page"/>
      </w:r>
    </w:p>
    <w:p w14:paraId="3B3817FA" w14:textId="1094D694" w:rsidR="005B6BED" w:rsidRPr="005B6BED" w:rsidRDefault="005B6BED" w:rsidP="005B6BED">
      <w:pPr>
        <w:ind w:right="-159"/>
        <w:jc w:val="both"/>
        <w:rPr>
          <w:rFonts w:eastAsia="Calibri"/>
          <w:b/>
          <w:sz w:val="26"/>
          <w:szCs w:val="26"/>
          <w:lang w:eastAsia="en-US"/>
        </w:rPr>
      </w:pPr>
      <w:r w:rsidRPr="005B6BED">
        <w:rPr>
          <w:rFonts w:eastAsia="Calibri"/>
          <w:b/>
          <w:sz w:val="26"/>
          <w:szCs w:val="26"/>
          <w:lang w:eastAsia="en-US"/>
        </w:rPr>
        <w:lastRenderedPageBreak/>
        <w:t>Encuesta sobre las Expectativas de los</w:t>
      </w:r>
    </w:p>
    <w:p w14:paraId="71FCACC8" w14:textId="77777777" w:rsidR="005B6BED" w:rsidRPr="005B6BED" w:rsidRDefault="005B6BED" w:rsidP="005B6BED">
      <w:pPr>
        <w:ind w:right="-159"/>
        <w:jc w:val="both"/>
        <w:rPr>
          <w:rFonts w:eastAsia="Calibri"/>
          <w:b/>
          <w:sz w:val="26"/>
          <w:szCs w:val="26"/>
          <w:lang w:eastAsia="en-US"/>
        </w:rPr>
      </w:pPr>
      <w:r w:rsidRPr="005B6BED">
        <w:rPr>
          <w:rFonts w:eastAsia="Calibri"/>
          <w:b/>
          <w:sz w:val="26"/>
          <w:szCs w:val="26"/>
          <w:lang w:eastAsia="en-US"/>
        </w:rPr>
        <w:t>Especialistas  en  Economía del Sector</w:t>
      </w:r>
    </w:p>
    <w:p w14:paraId="057D6221" w14:textId="539A818B" w:rsidR="005B6BED" w:rsidRPr="005B6BED" w:rsidRDefault="005B6BED" w:rsidP="005B6BED">
      <w:pPr>
        <w:spacing w:after="360" w:line="360" w:lineRule="auto"/>
        <w:ind w:right="-159"/>
        <w:jc w:val="both"/>
        <w:rPr>
          <w:rFonts w:eastAsia="Calibri"/>
          <w:b/>
          <w:sz w:val="26"/>
          <w:szCs w:val="26"/>
          <w:lang w:eastAsia="en-US"/>
        </w:rPr>
      </w:pPr>
      <w:r w:rsidRPr="005B6BED">
        <w:rPr>
          <w:rFonts w:eastAsia="Calibri"/>
          <w:b/>
          <w:sz w:val="26"/>
          <w:szCs w:val="26"/>
          <w:lang w:eastAsia="en-US"/>
        </w:rPr>
        <w:t xml:space="preserve">Privado:  </w:t>
      </w:r>
      <w:r w:rsidR="00813A27">
        <w:rPr>
          <w:rFonts w:eastAsia="Calibri"/>
          <w:b/>
          <w:sz w:val="26"/>
          <w:szCs w:val="26"/>
          <w:lang w:eastAsia="en-US"/>
        </w:rPr>
        <w:t xml:space="preserve">Marzo </w:t>
      </w:r>
      <w:r w:rsidRPr="005B6BED">
        <w:rPr>
          <w:rFonts w:eastAsia="Calibri"/>
          <w:b/>
          <w:sz w:val="26"/>
          <w:szCs w:val="26"/>
          <w:lang w:eastAsia="en-US"/>
        </w:rPr>
        <w:t xml:space="preserve">  de </w:t>
      </w:r>
      <w:r w:rsidR="00813A27">
        <w:rPr>
          <w:rFonts w:eastAsia="Calibri"/>
          <w:b/>
          <w:sz w:val="26"/>
          <w:szCs w:val="26"/>
          <w:lang w:eastAsia="en-US"/>
        </w:rPr>
        <w:t xml:space="preserve"> </w:t>
      </w:r>
      <w:r w:rsidRPr="005B6BED">
        <w:rPr>
          <w:rFonts w:eastAsia="Calibri"/>
          <w:b/>
          <w:sz w:val="26"/>
          <w:szCs w:val="26"/>
          <w:lang w:eastAsia="en-US"/>
        </w:rPr>
        <w:t xml:space="preserve"> 2015  (Banxico)</w:t>
      </w:r>
    </w:p>
    <w:p w14:paraId="753F4B51"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El 1° de abril de 2015, el Banco de México (Banxico) dio a conocer la Encuesta sobre las Expectativas de los Especialistas en Economía del Sector Privado: Marzo de 2015</w:t>
      </w:r>
      <w:r w:rsidRPr="00813A27">
        <w:rPr>
          <w:rFonts w:eastAsia="Calibri"/>
          <w:i/>
          <w:sz w:val="26"/>
          <w:szCs w:val="26"/>
          <w:lang w:eastAsia="en-US"/>
        </w:rPr>
        <w:t xml:space="preserve">. </w:t>
      </w:r>
      <w:r w:rsidRPr="00813A27">
        <w:rPr>
          <w:rFonts w:eastAsia="Calibri"/>
          <w:sz w:val="26"/>
          <w:szCs w:val="26"/>
          <w:lang w:eastAsia="en-US"/>
        </w:rPr>
        <w:t>A continuación se presenta la información.</w:t>
      </w:r>
    </w:p>
    <w:p w14:paraId="18396B2C"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t>Resumen</w:t>
      </w:r>
    </w:p>
    <w:p w14:paraId="6DD13D7D"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En esta nota se reportan los resultados de la encuesta de marzo de 2015, sobre las expectativas de los especialistas en economía del sector privado. Dicha encuesta fue recabada por Banxico entre 35 grupos de análisis y consultoría económica del sector privado nacional y extranjero. Las respuestas se recibieron entre los días 24 y 29 de marzo.</w:t>
      </w:r>
    </w:p>
    <w:p w14:paraId="0F30E1B2"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El siguiente cuadro resume los principales resultados de la encuesta, comparándolos con los del mes previo.</w:t>
      </w:r>
    </w:p>
    <w:p w14:paraId="614F11C0" w14:textId="77777777" w:rsidR="00813A27" w:rsidRPr="00813A27" w:rsidRDefault="00813A27" w:rsidP="00813A27">
      <w:pPr>
        <w:spacing w:after="360" w:line="360" w:lineRule="auto"/>
        <w:ind w:right="-159"/>
        <w:jc w:val="both"/>
        <w:rPr>
          <w:rFonts w:eastAsia="Calibri"/>
          <w:sz w:val="26"/>
          <w:szCs w:val="26"/>
          <w:lang w:eastAsia="en-US"/>
        </w:rPr>
      </w:pPr>
    </w:p>
    <w:p w14:paraId="3168D369" w14:textId="77777777" w:rsidR="00813A27" w:rsidRPr="00813A27" w:rsidRDefault="00813A27" w:rsidP="00813A27">
      <w:pPr>
        <w:spacing w:after="360" w:line="360" w:lineRule="auto"/>
        <w:ind w:right="-159"/>
        <w:jc w:val="both"/>
        <w:rPr>
          <w:rFonts w:eastAsia="Calibri"/>
          <w:sz w:val="26"/>
          <w:szCs w:val="26"/>
          <w:lang w:eastAsia="en-US"/>
        </w:rPr>
      </w:pPr>
    </w:p>
    <w:p w14:paraId="1D8322C3" w14:textId="77777777" w:rsidR="00813A27" w:rsidRPr="00813A27" w:rsidRDefault="00813A27" w:rsidP="00813A27">
      <w:pPr>
        <w:spacing w:after="360" w:line="360" w:lineRule="auto"/>
        <w:ind w:right="-159"/>
        <w:jc w:val="both"/>
        <w:rPr>
          <w:rFonts w:eastAsia="Calibri"/>
          <w:sz w:val="26"/>
          <w:szCs w:val="26"/>
          <w:lang w:eastAsia="en-US"/>
        </w:rPr>
      </w:pPr>
    </w:p>
    <w:p w14:paraId="4AD94E7C" w14:textId="77777777" w:rsidR="00813A27" w:rsidRPr="00813A27" w:rsidRDefault="00813A27" w:rsidP="00813A27">
      <w:pPr>
        <w:spacing w:after="360" w:line="360" w:lineRule="auto"/>
        <w:ind w:right="-159"/>
        <w:jc w:val="both"/>
        <w:rPr>
          <w:rFonts w:eastAsia="Calibri"/>
          <w:sz w:val="26"/>
          <w:szCs w:val="26"/>
          <w:lang w:eastAsia="en-US"/>
        </w:rPr>
      </w:pPr>
    </w:p>
    <w:p w14:paraId="0DA4B501" w14:textId="77777777" w:rsidR="00813A27" w:rsidRPr="00813A27" w:rsidRDefault="00813A27" w:rsidP="00813A27">
      <w:pPr>
        <w:spacing w:after="360" w:line="360" w:lineRule="auto"/>
        <w:ind w:right="-159"/>
        <w:jc w:val="both"/>
        <w:rPr>
          <w:rFonts w:eastAsia="Calibri"/>
          <w:sz w:val="26"/>
          <w:szCs w:val="26"/>
          <w:lang w:eastAsia="en-US"/>
        </w:rPr>
      </w:pPr>
    </w:p>
    <w:p w14:paraId="02C0A58F" w14:textId="77777777" w:rsidR="00813A27" w:rsidRPr="00813A27" w:rsidRDefault="00813A27" w:rsidP="00813A27">
      <w:pPr>
        <w:spacing w:after="360" w:line="360" w:lineRule="auto"/>
        <w:ind w:right="-159"/>
        <w:jc w:val="both"/>
        <w:rPr>
          <w:rFonts w:eastAsia="Calibri"/>
          <w:sz w:val="26"/>
          <w:szCs w:val="26"/>
          <w:lang w:eastAsia="en-US"/>
        </w:rPr>
      </w:pPr>
    </w:p>
    <w:tbl>
      <w:tblPr>
        <w:tblW w:w="6650" w:type="dxa"/>
        <w:jc w:val="center"/>
        <w:tblLayout w:type="fixed"/>
        <w:tblLook w:val="04A0" w:firstRow="1" w:lastRow="0" w:firstColumn="1" w:lastColumn="0" w:noHBand="0" w:noVBand="1"/>
      </w:tblPr>
      <w:tblGrid>
        <w:gridCol w:w="4172"/>
        <w:gridCol w:w="1202"/>
        <w:gridCol w:w="1276"/>
      </w:tblGrid>
      <w:tr w:rsidR="00813A27" w:rsidRPr="00813A27" w14:paraId="67BE1DCC" w14:textId="77777777" w:rsidTr="00A65300">
        <w:trPr>
          <w:jc w:val="center"/>
        </w:trPr>
        <w:tc>
          <w:tcPr>
            <w:tcW w:w="6650" w:type="dxa"/>
            <w:gridSpan w:val="3"/>
            <w:tcBorders>
              <w:top w:val="nil"/>
              <w:left w:val="nil"/>
              <w:bottom w:val="single" w:sz="4" w:space="0" w:color="auto"/>
              <w:right w:val="nil"/>
            </w:tcBorders>
          </w:tcPr>
          <w:p w14:paraId="339C0949"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lastRenderedPageBreak/>
              <w:t>EXPECTATIVAS DE LOS ESPECIALISTAS SOBRE LOS PRINCIPALES INDICADORES DE LA ECONOMÍA</w:t>
            </w:r>
          </w:p>
          <w:p w14:paraId="041D010E"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-Media de los pronósticos-</w:t>
            </w:r>
          </w:p>
        </w:tc>
      </w:tr>
      <w:tr w:rsidR="00813A27" w:rsidRPr="00813A27" w14:paraId="693F5B93" w14:textId="77777777" w:rsidTr="00A65300">
        <w:trPr>
          <w:jc w:val="center"/>
        </w:trPr>
        <w:tc>
          <w:tcPr>
            <w:tcW w:w="4172" w:type="dxa"/>
            <w:vMerge w:val="restart"/>
            <w:tcBorders>
              <w:top w:val="single" w:sz="4" w:space="0" w:color="auto"/>
              <w:left w:val="single" w:sz="4" w:space="0" w:color="auto"/>
              <w:bottom w:val="single" w:sz="4" w:space="0" w:color="auto"/>
              <w:right w:val="single" w:sz="4" w:space="0" w:color="auto"/>
            </w:tcBorders>
          </w:tcPr>
          <w:p w14:paraId="0389FF4B" w14:textId="77777777" w:rsidR="00813A27" w:rsidRPr="00813A27" w:rsidRDefault="00813A27" w:rsidP="00813A27">
            <w:pPr>
              <w:jc w:val="both"/>
              <w:rPr>
                <w:rFonts w:eastAsia="Calibri"/>
                <w:sz w:val="20"/>
                <w:szCs w:val="20"/>
                <w:lang w:eastAsia="en-US"/>
              </w:rPr>
            </w:pPr>
          </w:p>
        </w:tc>
        <w:tc>
          <w:tcPr>
            <w:tcW w:w="2478" w:type="dxa"/>
            <w:gridSpan w:val="2"/>
            <w:tcBorders>
              <w:top w:val="single" w:sz="4" w:space="0" w:color="auto"/>
              <w:left w:val="single" w:sz="4" w:space="0" w:color="auto"/>
              <w:bottom w:val="single" w:sz="4" w:space="0" w:color="auto"/>
              <w:right w:val="single" w:sz="4" w:space="0" w:color="auto"/>
            </w:tcBorders>
          </w:tcPr>
          <w:p w14:paraId="60138E1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5ABFF94A" w14:textId="77777777" w:rsidTr="00A65300">
        <w:trPr>
          <w:jc w:val="center"/>
        </w:trPr>
        <w:tc>
          <w:tcPr>
            <w:tcW w:w="4172" w:type="dxa"/>
            <w:vMerge/>
            <w:tcBorders>
              <w:top w:val="single" w:sz="4" w:space="0" w:color="auto"/>
              <w:left w:val="single" w:sz="4" w:space="0" w:color="auto"/>
              <w:bottom w:val="single" w:sz="4" w:space="0" w:color="auto"/>
              <w:right w:val="single" w:sz="4" w:space="0" w:color="auto"/>
            </w:tcBorders>
          </w:tcPr>
          <w:p w14:paraId="3EA91854" w14:textId="77777777" w:rsidR="00813A27" w:rsidRPr="00813A27" w:rsidRDefault="00813A27" w:rsidP="00813A27">
            <w:pPr>
              <w:jc w:val="both"/>
              <w:rPr>
                <w:rFonts w:eastAsia="Calibri"/>
                <w:sz w:val="20"/>
                <w:szCs w:val="20"/>
                <w:lang w:eastAsia="en-US"/>
              </w:rPr>
            </w:pPr>
          </w:p>
        </w:tc>
        <w:tc>
          <w:tcPr>
            <w:tcW w:w="1202" w:type="dxa"/>
            <w:tcBorders>
              <w:top w:val="single" w:sz="4" w:space="0" w:color="auto"/>
              <w:left w:val="single" w:sz="4" w:space="0" w:color="auto"/>
              <w:bottom w:val="single" w:sz="4" w:space="0" w:color="auto"/>
              <w:right w:val="single" w:sz="4" w:space="0" w:color="auto"/>
            </w:tcBorders>
          </w:tcPr>
          <w:p w14:paraId="7817270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 de 2015</w:t>
            </w:r>
          </w:p>
        </w:tc>
        <w:tc>
          <w:tcPr>
            <w:tcW w:w="1276" w:type="dxa"/>
            <w:tcBorders>
              <w:top w:val="single" w:sz="4" w:space="0" w:color="auto"/>
              <w:left w:val="single" w:sz="4" w:space="0" w:color="auto"/>
              <w:bottom w:val="single" w:sz="4" w:space="0" w:color="auto"/>
              <w:right w:val="single" w:sz="4" w:space="0" w:color="auto"/>
            </w:tcBorders>
          </w:tcPr>
          <w:p w14:paraId="2B403F0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 de 2015</w:t>
            </w:r>
          </w:p>
        </w:tc>
      </w:tr>
      <w:tr w:rsidR="00813A27" w:rsidRPr="00813A27" w14:paraId="0AB1665B" w14:textId="77777777" w:rsidTr="00A65300">
        <w:trPr>
          <w:jc w:val="center"/>
        </w:trPr>
        <w:tc>
          <w:tcPr>
            <w:tcW w:w="4172" w:type="dxa"/>
            <w:tcBorders>
              <w:top w:val="single" w:sz="4" w:space="0" w:color="auto"/>
              <w:left w:val="single" w:sz="4" w:space="0" w:color="auto"/>
              <w:right w:val="single" w:sz="4" w:space="0" w:color="auto"/>
            </w:tcBorders>
          </w:tcPr>
          <w:p w14:paraId="11CB79BB"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Inflación General (dic.-dic.)</w:t>
            </w:r>
          </w:p>
        </w:tc>
        <w:tc>
          <w:tcPr>
            <w:tcW w:w="1202" w:type="dxa"/>
            <w:tcBorders>
              <w:top w:val="single" w:sz="4" w:space="0" w:color="auto"/>
              <w:left w:val="single" w:sz="4" w:space="0" w:color="auto"/>
              <w:right w:val="single" w:sz="4" w:space="0" w:color="auto"/>
            </w:tcBorders>
          </w:tcPr>
          <w:p w14:paraId="4609B959" w14:textId="77777777" w:rsidR="00813A27" w:rsidRPr="00813A27" w:rsidRDefault="00813A27" w:rsidP="00813A27">
            <w:pPr>
              <w:jc w:val="both"/>
              <w:rPr>
                <w:rFonts w:eastAsia="Calibri"/>
                <w:sz w:val="20"/>
                <w:szCs w:val="20"/>
                <w:lang w:eastAsia="en-US"/>
              </w:rPr>
            </w:pPr>
          </w:p>
        </w:tc>
        <w:tc>
          <w:tcPr>
            <w:tcW w:w="1276" w:type="dxa"/>
            <w:tcBorders>
              <w:top w:val="single" w:sz="4" w:space="0" w:color="auto"/>
              <w:left w:val="single" w:sz="4" w:space="0" w:color="auto"/>
              <w:right w:val="single" w:sz="4" w:space="0" w:color="auto"/>
            </w:tcBorders>
          </w:tcPr>
          <w:p w14:paraId="7E1870EE" w14:textId="77777777" w:rsidR="00813A27" w:rsidRPr="00813A27" w:rsidRDefault="00813A27" w:rsidP="00813A27">
            <w:pPr>
              <w:jc w:val="both"/>
              <w:rPr>
                <w:rFonts w:eastAsia="Calibri"/>
                <w:sz w:val="20"/>
                <w:szCs w:val="20"/>
                <w:lang w:eastAsia="en-US"/>
              </w:rPr>
            </w:pPr>
          </w:p>
        </w:tc>
      </w:tr>
      <w:tr w:rsidR="00813A27" w:rsidRPr="00813A27" w14:paraId="5E294740" w14:textId="77777777" w:rsidTr="00A65300">
        <w:trPr>
          <w:jc w:val="center"/>
        </w:trPr>
        <w:tc>
          <w:tcPr>
            <w:tcW w:w="4172" w:type="dxa"/>
            <w:tcBorders>
              <w:left w:val="single" w:sz="4" w:space="0" w:color="auto"/>
              <w:right w:val="single" w:sz="4" w:space="0" w:color="auto"/>
            </w:tcBorders>
          </w:tcPr>
          <w:p w14:paraId="52B06954"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54C5A52A"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3.11</w:t>
            </w:r>
          </w:p>
        </w:tc>
        <w:tc>
          <w:tcPr>
            <w:tcW w:w="1276" w:type="dxa"/>
            <w:tcBorders>
              <w:left w:val="single" w:sz="4" w:space="0" w:color="auto"/>
              <w:right w:val="single" w:sz="4" w:space="0" w:color="auto"/>
            </w:tcBorders>
          </w:tcPr>
          <w:p w14:paraId="3D5E1A71"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3.11</w:t>
            </w:r>
          </w:p>
        </w:tc>
      </w:tr>
      <w:tr w:rsidR="00813A27" w:rsidRPr="00813A27" w14:paraId="0ADFAE78" w14:textId="77777777" w:rsidTr="00A65300">
        <w:trPr>
          <w:jc w:val="center"/>
        </w:trPr>
        <w:tc>
          <w:tcPr>
            <w:tcW w:w="4172" w:type="dxa"/>
            <w:tcBorders>
              <w:left w:val="single" w:sz="4" w:space="0" w:color="auto"/>
              <w:right w:val="single" w:sz="4" w:space="0" w:color="auto"/>
            </w:tcBorders>
          </w:tcPr>
          <w:p w14:paraId="709F5929"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2016</w:t>
            </w:r>
          </w:p>
        </w:tc>
        <w:tc>
          <w:tcPr>
            <w:tcW w:w="1202" w:type="dxa"/>
            <w:tcBorders>
              <w:left w:val="single" w:sz="4" w:space="0" w:color="auto"/>
              <w:right w:val="single" w:sz="4" w:space="0" w:color="auto"/>
            </w:tcBorders>
          </w:tcPr>
          <w:p w14:paraId="2C2C5DDA"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3.46</w:t>
            </w:r>
          </w:p>
        </w:tc>
        <w:tc>
          <w:tcPr>
            <w:tcW w:w="1276" w:type="dxa"/>
            <w:tcBorders>
              <w:left w:val="single" w:sz="4" w:space="0" w:color="auto"/>
              <w:right w:val="single" w:sz="4" w:space="0" w:color="auto"/>
            </w:tcBorders>
          </w:tcPr>
          <w:p w14:paraId="3D1933A9"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3.46</w:t>
            </w:r>
          </w:p>
        </w:tc>
      </w:tr>
      <w:tr w:rsidR="00813A27" w:rsidRPr="00813A27" w14:paraId="4999D045" w14:textId="77777777" w:rsidTr="00A65300">
        <w:trPr>
          <w:jc w:val="center"/>
        </w:trPr>
        <w:tc>
          <w:tcPr>
            <w:tcW w:w="4172" w:type="dxa"/>
            <w:tcBorders>
              <w:left w:val="single" w:sz="4" w:space="0" w:color="auto"/>
              <w:right w:val="single" w:sz="4" w:space="0" w:color="auto"/>
            </w:tcBorders>
          </w:tcPr>
          <w:p w14:paraId="4234DD6D"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2017</w:t>
            </w:r>
          </w:p>
        </w:tc>
        <w:tc>
          <w:tcPr>
            <w:tcW w:w="1202" w:type="dxa"/>
            <w:tcBorders>
              <w:left w:val="single" w:sz="4" w:space="0" w:color="auto"/>
              <w:right w:val="single" w:sz="4" w:space="0" w:color="auto"/>
            </w:tcBorders>
          </w:tcPr>
          <w:p w14:paraId="011F8268"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3.47</w:t>
            </w:r>
          </w:p>
        </w:tc>
        <w:tc>
          <w:tcPr>
            <w:tcW w:w="1276" w:type="dxa"/>
            <w:tcBorders>
              <w:left w:val="single" w:sz="4" w:space="0" w:color="auto"/>
              <w:right w:val="single" w:sz="4" w:space="0" w:color="auto"/>
            </w:tcBorders>
          </w:tcPr>
          <w:p w14:paraId="30DA8129"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3.49</w:t>
            </w:r>
          </w:p>
        </w:tc>
      </w:tr>
      <w:tr w:rsidR="00813A27" w:rsidRPr="00813A27" w14:paraId="0F1DEBE0" w14:textId="77777777" w:rsidTr="00A65300">
        <w:trPr>
          <w:jc w:val="center"/>
        </w:trPr>
        <w:tc>
          <w:tcPr>
            <w:tcW w:w="4172" w:type="dxa"/>
            <w:tcBorders>
              <w:left w:val="single" w:sz="4" w:space="0" w:color="auto"/>
              <w:right w:val="single" w:sz="4" w:space="0" w:color="auto"/>
            </w:tcBorders>
          </w:tcPr>
          <w:p w14:paraId="2CD7CC42"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Inflación Subyacente (dic.-dic.)</w:t>
            </w:r>
          </w:p>
        </w:tc>
        <w:tc>
          <w:tcPr>
            <w:tcW w:w="1202" w:type="dxa"/>
            <w:tcBorders>
              <w:left w:val="single" w:sz="4" w:space="0" w:color="auto"/>
              <w:right w:val="single" w:sz="4" w:space="0" w:color="auto"/>
            </w:tcBorders>
          </w:tcPr>
          <w:p w14:paraId="6DC3D265" w14:textId="77777777" w:rsidR="00813A27" w:rsidRPr="00813A27" w:rsidRDefault="00813A27" w:rsidP="00813A27">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0C6B6568" w14:textId="77777777" w:rsidR="00813A27" w:rsidRPr="00813A27" w:rsidRDefault="00813A27" w:rsidP="00813A27">
            <w:pPr>
              <w:ind w:right="340"/>
              <w:jc w:val="right"/>
              <w:rPr>
                <w:rFonts w:eastAsia="Calibri"/>
                <w:sz w:val="20"/>
                <w:szCs w:val="20"/>
                <w:lang w:eastAsia="en-US"/>
              </w:rPr>
            </w:pPr>
          </w:p>
        </w:tc>
      </w:tr>
      <w:tr w:rsidR="00813A27" w:rsidRPr="00813A27" w14:paraId="281CA5BC" w14:textId="77777777" w:rsidTr="00A65300">
        <w:trPr>
          <w:jc w:val="center"/>
        </w:trPr>
        <w:tc>
          <w:tcPr>
            <w:tcW w:w="4172" w:type="dxa"/>
            <w:tcBorders>
              <w:left w:val="single" w:sz="4" w:space="0" w:color="auto"/>
              <w:right w:val="single" w:sz="4" w:space="0" w:color="auto"/>
            </w:tcBorders>
          </w:tcPr>
          <w:p w14:paraId="09EEA07C"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228F59B0"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2.90</w:t>
            </w:r>
          </w:p>
        </w:tc>
        <w:tc>
          <w:tcPr>
            <w:tcW w:w="1276" w:type="dxa"/>
            <w:tcBorders>
              <w:left w:val="single" w:sz="4" w:space="0" w:color="auto"/>
              <w:right w:val="single" w:sz="4" w:space="0" w:color="auto"/>
            </w:tcBorders>
          </w:tcPr>
          <w:p w14:paraId="707087F5"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2.87</w:t>
            </w:r>
          </w:p>
        </w:tc>
      </w:tr>
      <w:tr w:rsidR="00813A27" w:rsidRPr="00813A27" w14:paraId="77A48EB1" w14:textId="77777777" w:rsidTr="00A65300">
        <w:trPr>
          <w:jc w:val="center"/>
        </w:trPr>
        <w:tc>
          <w:tcPr>
            <w:tcW w:w="4172" w:type="dxa"/>
            <w:tcBorders>
              <w:left w:val="single" w:sz="4" w:space="0" w:color="auto"/>
              <w:right w:val="single" w:sz="4" w:space="0" w:color="auto"/>
            </w:tcBorders>
          </w:tcPr>
          <w:p w14:paraId="6E0EEE24"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2016</w:t>
            </w:r>
          </w:p>
        </w:tc>
        <w:tc>
          <w:tcPr>
            <w:tcW w:w="1202" w:type="dxa"/>
            <w:tcBorders>
              <w:left w:val="single" w:sz="4" w:space="0" w:color="auto"/>
              <w:right w:val="single" w:sz="4" w:space="0" w:color="auto"/>
            </w:tcBorders>
          </w:tcPr>
          <w:p w14:paraId="4DD2DAE8"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3.13</w:t>
            </w:r>
          </w:p>
        </w:tc>
        <w:tc>
          <w:tcPr>
            <w:tcW w:w="1276" w:type="dxa"/>
            <w:tcBorders>
              <w:left w:val="single" w:sz="4" w:space="0" w:color="auto"/>
              <w:right w:val="single" w:sz="4" w:space="0" w:color="auto"/>
            </w:tcBorders>
          </w:tcPr>
          <w:p w14:paraId="2D24CBA0"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3.13</w:t>
            </w:r>
          </w:p>
        </w:tc>
      </w:tr>
      <w:tr w:rsidR="00813A27" w:rsidRPr="00813A27" w14:paraId="7BAB0113" w14:textId="77777777" w:rsidTr="00A65300">
        <w:trPr>
          <w:jc w:val="center"/>
        </w:trPr>
        <w:tc>
          <w:tcPr>
            <w:tcW w:w="4172" w:type="dxa"/>
            <w:tcBorders>
              <w:left w:val="single" w:sz="4" w:space="0" w:color="auto"/>
              <w:right w:val="single" w:sz="4" w:space="0" w:color="auto"/>
            </w:tcBorders>
          </w:tcPr>
          <w:p w14:paraId="7F0306C5"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2017</w:t>
            </w:r>
          </w:p>
        </w:tc>
        <w:tc>
          <w:tcPr>
            <w:tcW w:w="1202" w:type="dxa"/>
            <w:tcBorders>
              <w:left w:val="single" w:sz="4" w:space="0" w:color="auto"/>
              <w:right w:val="single" w:sz="4" w:space="0" w:color="auto"/>
            </w:tcBorders>
          </w:tcPr>
          <w:p w14:paraId="3227B81E"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3.12</w:t>
            </w:r>
          </w:p>
        </w:tc>
        <w:tc>
          <w:tcPr>
            <w:tcW w:w="1276" w:type="dxa"/>
            <w:tcBorders>
              <w:left w:val="single" w:sz="4" w:space="0" w:color="auto"/>
              <w:right w:val="single" w:sz="4" w:space="0" w:color="auto"/>
            </w:tcBorders>
          </w:tcPr>
          <w:p w14:paraId="38CF16D0"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3.19</w:t>
            </w:r>
          </w:p>
        </w:tc>
      </w:tr>
      <w:tr w:rsidR="00813A27" w:rsidRPr="00813A27" w14:paraId="4E7CDC3D" w14:textId="77777777" w:rsidTr="00A65300">
        <w:trPr>
          <w:jc w:val="center"/>
        </w:trPr>
        <w:tc>
          <w:tcPr>
            <w:tcW w:w="4172" w:type="dxa"/>
            <w:tcBorders>
              <w:left w:val="single" w:sz="4" w:space="0" w:color="auto"/>
              <w:right w:val="single" w:sz="4" w:space="0" w:color="auto"/>
            </w:tcBorders>
          </w:tcPr>
          <w:p w14:paraId="6A553C19"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Crecimiento del PIB (anual)</w:t>
            </w:r>
          </w:p>
        </w:tc>
        <w:tc>
          <w:tcPr>
            <w:tcW w:w="1202" w:type="dxa"/>
            <w:tcBorders>
              <w:left w:val="single" w:sz="4" w:space="0" w:color="auto"/>
              <w:right w:val="single" w:sz="4" w:space="0" w:color="auto"/>
            </w:tcBorders>
          </w:tcPr>
          <w:p w14:paraId="62EF7135" w14:textId="77777777" w:rsidR="00813A27" w:rsidRPr="00813A27" w:rsidRDefault="00813A27" w:rsidP="00813A27">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16D6EE33" w14:textId="77777777" w:rsidR="00813A27" w:rsidRPr="00813A27" w:rsidRDefault="00813A27" w:rsidP="00813A27">
            <w:pPr>
              <w:ind w:right="340"/>
              <w:jc w:val="right"/>
              <w:rPr>
                <w:rFonts w:eastAsia="Calibri"/>
                <w:sz w:val="20"/>
                <w:szCs w:val="20"/>
                <w:lang w:eastAsia="en-US"/>
              </w:rPr>
            </w:pPr>
          </w:p>
        </w:tc>
      </w:tr>
      <w:tr w:rsidR="00813A27" w:rsidRPr="00813A27" w14:paraId="2F1ABCA0" w14:textId="77777777" w:rsidTr="00A65300">
        <w:trPr>
          <w:jc w:val="center"/>
        </w:trPr>
        <w:tc>
          <w:tcPr>
            <w:tcW w:w="4172" w:type="dxa"/>
            <w:tcBorders>
              <w:left w:val="single" w:sz="4" w:space="0" w:color="auto"/>
              <w:right w:val="single" w:sz="4" w:space="0" w:color="auto"/>
            </w:tcBorders>
          </w:tcPr>
          <w:p w14:paraId="2719F577"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29EA9FE3"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3.08</w:t>
            </w:r>
          </w:p>
        </w:tc>
        <w:tc>
          <w:tcPr>
            <w:tcW w:w="1276" w:type="dxa"/>
            <w:tcBorders>
              <w:left w:val="single" w:sz="4" w:space="0" w:color="auto"/>
              <w:right w:val="single" w:sz="4" w:space="0" w:color="auto"/>
            </w:tcBorders>
          </w:tcPr>
          <w:p w14:paraId="29049026"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2.95</w:t>
            </w:r>
          </w:p>
        </w:tc>
      </w:tr>
      <w:tr w:rsidR="00813A27" w:rsidRPr="00813A27" w14:paraId="6AA4B8A3" w14:textId="77777777" w:rsidTr="00A65300">
        <w:trPr>
          <w:jc w:val="center"/>
        </w:trPr>
        <w:tc>
          <w:tcPr>
            <w:tcW w:w="4172" w:type="dxa"/>
            <w:tcBorders>
              <w:left w:val="single" w:sz="4" w:space="0" w:color="auto"/>
              <w:right w:val="single" w:sz="4" w:space="0" w:color="auto"/>
            </w:tcBorders>
          </w:tcPr>
          <w:p w14:paraId="2FC31028"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2016</w:t>
            </w:r>
          </w:p>
        </w:tc>
        <w:tc>
          <w:tcPr>
            <w:tcW w:w="1202" w:type="dxa"/>
            <w:tcBorders>
              <w:left w:val="single" w:sz="4" w:space="0" w:color="auto"/>
              <w:right w:val="single" w:sz="4" w:space="0" w:color="auto"/>
            </w:tcBorders>
          </w:tcPr>
          <w:p w14:paraId="694F93B0"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3.63</w:t>
            </w:r>
          </w:p>
        </w:tc>
        <w:tc>
          <w:tcPr>
            <w:tcW w:w="1276" w:type="dxa"/>
            <w:tcBorders>
              <w:left w:val="single" w:sz="4" w:space="0" w:color="auto"/>
              <w:right w:val="single" w:sz="4" w:space="0" w:color="auto"/>
            </w:tcBorders>
          </w:tcPr>
          <w:p w14:paraId="2CE1B9E1"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3.51</w:t>
            </w:r>
          </w:p>
        </w:tc>
      </w:tr>
      <w:tr w:rsidR="00813A27" w:rsidRPr="00813A27" w14:paraId="28637EE5" w14:textId="77777777" w:rsidTr="00A65300">
        <w:trPr>
          <w:jc w:val="center"/>
        </w:trPr>
        <w:tc>
          <w:tcPr>
            <w:tcW w:w="4172" w:type="dxa"/>
            <w:tcBorders>
              <w:left w:val="single" w:sz="4" w:space="0" w:color="auto"/>
              <w:right w:val="single" w:sz="4" w:space="0" w:color="auto"/>
            </w:tcBorders>
          </w:tcPr>
          <w:p w14:paraId="4C4C457E"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2017</w:t>
            </w:r>
          </w:p>
        </w:tc>
        <w:tc>
          <w:tcPr>
            <w:tcW w:w="1202" w:type="dxa"/>
            <w:tcBorders>
              <w:left w:val="single" w:sz="4" w:space="0" w:color="auto"/>
              <w:right w:val="single" w:sz="4" w:space="0" w:color="auto"/>
            </w:tcBorders>
          </w:tcPr>
          <w:p w14:paraId="2512CB6A"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3.93</w:t>
            </w:r>
          </w:p>
        </w:tc>
        <w:tc>
          <w:tcPr>
            <w:tcW w:w="1276" w:type="dxa"/>
            <w:tcBorders>
              <w:left w:val="single" w:sz="4" w:space="0" w:color="auto"/>
              <w:right w:val="single" w:sz="4" w:space="0" w:color="auto"/>
            </w:tcBorders>
          </w:tcPr>
          <w:p w14:paraId="5D1276C6"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3.82</w:t>
            </w:r>
          </w:p>
        </w:tc>
      </w:tr>
      <w:tr w:rsidR="00813A27" w:rsidRPr="00813A27" w14:paraId="492D911B" w14:textId="77777777" w:rsidTr="00A65300">
        <w:trPr>
          <w:jc w:val="center"/>
        </w:trPr>
        <w:tc>
          <w:tcPr>
            <w:tcW w:w="4172" w:type="dxa"/>
            <w:tcBorders>
              <w:left w:val="single" w:sz="4" w:space="0" w:color="auto"/>
              <w:right w:val="single" w:sz="4" w:space="0" w:color="auto"/>
            </w:tcBorders>
          </w:tcPr>
          <w:p w14:paraId="0C07DF6D"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Tasa de Interés Cete 28 días (cierre del año)</w:t>
            </w:r>
          </w:p>
        </w:tc>
        <w:tc>
          <w:tcPr>
            <w:tcW w:w="1202" w:type="dxa"/>
            <w:tcBorders>
              <w:left w:val="single" w:sz="4" w:space="0" w:color="auto"/>
              <w:right w:val="single" w:sz="4" w:space="0" w:color="auto"/>
            </w:tcBorders>
          </w:tcPr>
          <w:p w14:paraId="25130FF9" w14:textId="77777777" w:rsidR="00813A27" w:rsidRPr="00813A27" w:rsidRDefault="00813A27" w:rsidP="00813A27">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67587FD9" w14:textId="77777777" w:rsidR="00813A27" w:rsidRPr="00813A27" w:rsidRDefault="00813A27" w:rsidP="00813A27">
            <w:pPr>
              <w:ind w:right="340"/>
              <w:jc w:val="right"/>
              <w:rPr>
                <w:rFonts w:eastAsia="Calibri"/>
                <w:sz w:val="20"/>
                <w:szCs w:val="20"/>
                <w:lang w:eastAsia="en-US"/>
              </w:rPr>
            </w:pPr>
          </w:p>
        </w:tc>
      </w:tr>
      <w:tr w:rsidR="00813A27" w:rsidRPr="00813A27" w14:paraId="2E978E01" w14:textId="77777777" w:rsidTr="00A65300">
        <w:trPr>
          <w:jc w:val="center"/>
        </w:trPr>
        <w:tc>
          <w:tcPr>
            <w:tcW w:w="4172" w:type="dxa"/>
            <w:tcBorders>
              <w:left w:val="single" w:sz="4" w:space="0" w:color="auto"/>
              <w:right w:val="single" w:sz="4" w:space="0" w:color="auto"/>
            </w:tcBorders>
          </w:tcPr>
          <w:p w14:paraId="74249A83"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Expectativa para 2015</w:t>
            </w:r>
          </w:p>
        </w:tc>
        <w:tc>
          <w:tcPr>
            <w:tcW w:w="1202" w:type="dxa"/>
            <w:tcBorders>
              <w:left w:val="single" w:sz="4" w:space="0" w:color="auto"/>
              <w:right w:val="single" w:sz="4" w:space="0" w:color="auto"/>
            </w:tcBorders>
          </w:tcPr>
          <w:p w14:paraId="3B488E66"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3.53</w:t>
            </w:r>
          </w:p>
        </w:tc>
        <w:tc>
          <w:tcPr>
            <w:tcW w:w="1276" w:type="dxa"/>
            <w:tcBorders>
              <w:left w:val="single" w:sz="4" w:space="0" w:color="auto"/>
              <w:right w:val="single" w:sz="4" w:space="0" w:color="auto"/>
            </w:tcBorders>
          </w:tcPr>
          <w:p w14:paraId="698BADCD"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3.61</w:t>
            </w:r>
          </w:p>
        </w:tc>
      </w:tr>
      <w:tr w:rsidR="00813A27" w:rsidRPr="00813A27" w14:paraId="25059EDB" w14:textId="77777777" w:rsidTr="00A65300">
        <w:trPr>
          <w:jc w:val="center"/>
        </w:trPr>
        <w:tc>
          <w:tcPr>
            <w:tcW w:w="4172" w:type="dxa"/>
            <w:tcBorders>
              <w:left w:val="single" w:sz="4" w:space="0" w:color="auto"/>
              <w:right w:val="single" w:sz="4" w:space="0" w:color="auto"/>
            </w:tcBorders>
          </w:tcPr>
          <w:p w14:paraId="072F91DC"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2016</w:t>
            </w:r>
          </w:p>
        </w:tc>
        <w:tc>
          <w:tcPr>
            <w:tcW w:w="1202" w:type="dxa"/>
            <w:tcBorders>
              <w:left w:val="single" w:sz="4" w:space="0" w:color="auto"/>
              <w:right w:val="single" w:sz="4" w:space="0" w:color="auto"/>
            </w:tcBorders>
          </w:tcPr>
          <w:p w14:paraId="46FB6210"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4.31</w:t>
            </w:r>
          </w:p>
        </w:tc>
        <w:tc>
          <w:tcPr>
            <w:tcW w:w="1276" w:type="dxa"/>
            <w:tcBorders>
              <w:left w:val="single" w:sz="4" w:space="0" w:color="auto"/>
              <w:right w:val="single" w:sz="4" w:space="0" w:color="auto"/>
            </w:tcBorders>
          </w:tcPr>
          <w:p w14:paraId="34EDE20B"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4.36</w:t>
            </w:r>
          </w:p>
        </w:tc>
      </w:tr>
      <w:tr w:rsidR="00813A27" w:rsidRPr="00813A27" w14:paraId="0CA45E23" w14:textId="77777777" w:rsidTr="00A65300">
        <w:trPr>
          <w:jc w:val="center"/>
        </w:trPr>
        <w:tc>
          <w:tcPr>
            <w:tcW w:w="4172" w:type="dxa"/>
            <w:tcBorders>
              <w:left w:val="single" w:sz="4" w:space="0" w:color="auto"/>
              <w:right w:val="single" w:sz="4" w:space="0" w:color="auto"/>
            </w:tcBorders>
          </w:tcPr>
          <w:p w14:paraId="63AC0FBF"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2017</w:t>
            </w:r>
          </w:p>
        </w:tc>
        <w:tc>
          <w:tcPr>
            <w:tcW w:w="1202" w:type="dxa"/>
            <w:tcBorders>
              <w:left w:val="single" w:sz="4" w:space="0" w:color="auto"/>
              <w:right w:val="single" w:sz="4" w:space="0" w:color="auto"/>
            </w:tcBorders>
          </w:tcPr>
          <w:p w14:paraId="5AE50A92"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4.95</w:t>
            </w:r>
          </w:p>
        </w:tc>
        <w:tc>
          <w:tcPr>
            <w:tcW w:w="1276" w:type="dxa"/>
            <w:tcBorders>
              <w:left w:val="single" w:sz="4" w:space="0" w:color="auto"/>
              <w:right w:val="single" w:sz="4" w:space="0" w:color="auto"/>
            </w:tcBorders>
          </w:tcPr>
          <w:p w14:paraId="1FD36A5E"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4.95</w:t>
            </w:r>
          </w:p>
        </w:tc>
      </w:tr>
      <w:tr w:rsidR="00813A27" w:rsidRPr="00813A27" w14:paraId="36133878" w14:textId="77777777" w:rsidTr="00A65300">
        <w:trPr>
          <w:jc w:val="center"/>
        </w:trPr>
        <w:tc>
          <w:tcPr>
            <w:tcW w:w="4172" w:type="dxa"/>
            <w:tcBorders>
              <w:left w:val="single" w:sz="4" w:space="0" w:color="auto"/>
              <w:right w:val="single" w:sz="4" w:space="0" w:color="auto"/>
            </w:tcBorders>
          </w:tcPr>
          <w:p w14:paraId="18BC0ADB"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Tipo de Cambio Pesos/Dólar (cierre del año)</w:t>
            </w:r>
          </w:p>
        </w:tc>
        <w:tc>
          <w:tcPr>
            <w:tcW w:w="1202" w:type="dxa"/>
            <w:tcBorders>
              <w:left w:val="single" w:sz="4" w:space="0" w:color="auto"/>
              <w:right w:val="single" w:sz="4" w:space="0" w:color="auto"/>
            </w:tcBorders>
          </w:tcPr>
          <w:p w14:paraId="00F9387F" w14:textId="77777777" w:rsidR="00813A27" w:rsidRPr="00813A27" w:rsidRDefault="00813A27" w:rsidP="00813A27">
            <w:pPr>
              <w:ind w:right="340"/>
              <w:jc w:val="right"/>
              <w:rPr>
                <w:rFonts w:eastAsia="Calibri"/>
                <w:sz w:val="20"/>
                <w:szCs w:val="20"/>
                <w:lang w:eastAsia="en-US"/>
              </w:rPr>
            </w:pPr>
          </w:p>
        </w:tc>
        <w:tc>
          <w:tcPr>
            <w:tcW w:w="1276" w:type="dxa"/>
            <w:tcBorders>
              <w:left w:val="single" w:sz="4" w:space="0" w:color="auto"/>
              <w:right w:val="single" w:sz="4" w:space="0" w:color="auto"/>
            </w:tcBorders>
          </w:tcPr>
          <w:p w14:paraId="73F917CE" w14:textId="77777777" w:rsidR="00813A27" w:rsidRPr="00813A27" w:rsidRDefault="00813A27" w:rsidP="00813A27">
            <w:pPr>
              <w:ind w:right="340"/>
              <w:jc w:val="right"/>
              <w:rPr>
                <w:rFonts w:eastAsia="Calibri"/>
                <w:sz w:val="20"/>
                <w:szCs w:val="20"/>
                <w:lang w:eastAsia="en-US"/>
              </w:rPr>
            </w:pPr>
          </w:p>
        </w:tc>
      </w:tr>
      <w:tr w:rsidR="00813A27" w:rsidRPr="00813A27" w14:paraId="29574B6A" w14:textId="77777777" w:rsidTr="00A65300">
        <w:trPr>
          <w:jc w:val="center"/>
        </w:trPr>
        <w:tc>
          <w:tcPr>
            <w:tcW w:w="4172" w:type="dxa"/>
            <w:tcBorders>
              <w:left w:val="single" w:sz="4" w:space="0" w:color="auto"/>
              <w:right w:val="single" w:sz="4" w:space="0" w:color="auto"/>
            </w:tcBorders>
          </w:tcPr>
          <w:p w14:paraId="1A6A1190" w14:textId="77777777" w:rsidR="00813A27" w:rsidRPr="00813A27" w:rsidRDefault="00813A27" w:rsidP="00813A27">
            <w:pPr>
              <w:jc w:val="both"/>
              <w:rPr>
                <w:rFonts w:eastAsia="Calibri"/>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2015</w:t>
            </w:r>
          </w:p>
        </w:tc>
        <w:tc>
          <w:tcPr>
            <w:tcW w:w="1202" w:type="dxa"/>
            <w:tcBorders>
              <w:left w:val="single" w:sz="4" w:space="0" w:color="auto"/>
              <w:right w:val="single" w:sz="4" w:space="0" w:color="auto"/>
            </w:tcBorders>
          </w:tcPr>
          <w:p w14:paraId="72307D1A"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14.54</w:t>
            </w:r>
          </w:p>
        </w:tc>
        <w:tc>
          <w:tcPr>
            <w:tcW w:w="1276" w:type="dxa"/>
            <w:tcBorders>
              <w:left w:val="single" w:sz="4" w:space="0" w:color="auto"/>
              <w:right w:val="single" w:sz="4" w:space="0" w:color="auto"/>
            </w:tcBorders>
          </w:tcPr>
          <w:p w14:paraId="493C4CB3"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14.79</w:t>
            </w:r>
          </w:p>
        </w:tc>
      </w:tr>
      <w:tr w:rsidR="00813A27" w:rsidRPr="00813A27" w14:paraId="3B04B87D" w14:textId="77777777" w:rsidTr="00A65300">
        <w:trPr>
          <w:jc w:val="center"/>
        </w:trPr>
        <w:tc>
          <w:tcPr>
            <w:tcW w:w="4172" w:type="dxa"/>
            <w:tcBorders>
              <w:left w:val="single" w:sz="4" w:space="0" w:color="auto"/>
              <w:bottom w:val="single" w:sz="4" w:space="0" w:color="auto"/>
              <w:right w:val="single" w:sz="4" w:space="0" w:color="auto"/>
            </w:tcBorders>
          </w:tcPr>
          <w:p w14:paraId="14F4F9ED"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 xml:space="preserve">     </w:t>
            </w:r>
            <w:r w:rsidRPr="00813A27">
              <w:rPr>
                <w:rFonts w:eastAsia="Calibri"/>
                <w:sz w:val="20"/>
                <w:szCs w:val="20"/>
                <w:lang w:eastAsia="en-US"/>
              </w:rPr>
              <w:t>Expectativa para 2016</w:t>
            </w:r>
          </w:p>
        </w:tc>
        <w:tc>
          <w:tcPr>
            <w:tcW w:w="1202" w:type="dxa"/>
            <w:tcBorders>
              <w:left w:val="single" w:sz="4" w:space="0" w:color="auto"/>
              <w:bottom w:val="single" w:sz="4" w:space="0" w:color="auto"/>
              <w:right w:val="single" w:sz="4" w:space="0" w:color="auto"/>
            </w:tcBorders>
          </w:tcPr>
          <w:p w14:paraId="1524B977"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14.31</w:t>
            </w:r>
          </w:p>
        </w:tc>
        <w:tc>
          <w:tcPr>
            <w:tcW w:w="1276" w:type="dxa"/>
            <w:tcBorders>
              <w:left w:val="single" w:sz="4" w:space="0" w:color="auto"/>
              <w:bottom w:val="single" w:sz="4" w:space="0" w:color="auto"/>
              <w:right w:val="single" w:sz="4" w:space="0" w:color="auto"/>
            </w:tcBorders>
          </w:tcPr>
          <w:p w14:paraId="3CEBBED5" w14:textId="77777777" w:rsidR="00813A27" w:rsidRPr="00813A27" w:rsidRDefault="00813A27" w:rsidP="00813A27">
            <w:pPr>
              <w:ind w:right="340"/>
              <w:jc w:val="right"/>
              <w:rPr>
                <w:rFonts w:eastAsia="Calibri"/>
                <w:sz w:val="20"/>
                <w:szCs w:val="20"/>
                <w:lang w:eastAsia="en-US"/>
              </w:rPr>
            </w:pPr>
            <w:r w:rsidRPr="00813A27">
              <w:rPr>
                <w:rFonts w:eastAsia="Calibri"/>
                <w:sz w:val="20"/>
                <w:szCs w:val="20"/>
                <w:lang w:eastAsia="en-US"/>
              </w:rPr>
              <w:t>14.69</w:t>
            </w:r>
          </w:p>
        </w:tc>
      </w:tr>
      <w:tr w:rsidR="00813A27" w:rsidRPr="00813A27" w14:paraId="3CA50B2D" w14:textId="77777777" w:rsidTr="002B3A4F">
        <w:trPr>
          <w:jc w:val="center"/>
        </w:trPr>
        <w:tc>
          <w:tcPr>
            <w:tcW w:w="6650" w:type="dxa"/>
            <w:gridSpan w:val="3"/>
            <w:tcBorders>
              <w:left w:val="nil"/>
              <w:bottom w:val="nil"/>
              <w:right w:val="nil"/>
            </w:tcBorders>
          </w:tcPr>
          <w:p w14:paraId="3F265559" w14:textId="77777777" w:rsidR="00813A27" w:rsidRPr="00813A27" w:rsidRDefault="00813A27" w:rsidP="00813A27">
            <w:pPr>
              <w:ind w:right="170"/>
              <w:jc w:val="both"/>
              <w:rPr>
                <w:rFonts w:eastAsia="Calibri"/>
                <w:sz w:val="20"/>
                <w:szCs w:val="20"/>
                <w:lang w:eastAsia="en-US"/>
              </w:rPr>
            </w:pPr>
            <w:r w:rsidRPr="00813A27">
              <w:rPr>
                <w:rFonts w:eastAsia="Calibri"/>
                <w:sz w:val="20"/>
                <w:szCs w:val="20"/>
                <w:lang w:eastAsia="en-US"/>
              </w:rPr>
              <w:t>FUENTE: Banco de México.</w:t>
            </w:r>
          </w:p>
        </w:tc>
      </w:tr>
    </w:tbl>
    <w:p w14:paraId="22AAA101" w14:textId="77777777" w:rsidR="00813A27" w:rsidRPr="00813A27" w:rsidRDefault="00813A27" w:rsidP="00813A27">
      <w:pPr>
        <w:spacing w:after="360" w:line="360" w:lineRule="auto"/>
        <w:ind w:right="-159"/>
        <w:jc w:val="both"/>
        <w:rPr>
          <w:rFonts w:eastAsia="Calibri"/>
          <w:sz w:val="26"/>
          <w:szCs w:val="26"/>
          <w:lang w:eastAsia="en-US"/>
        </w:rPr>
      </w:pPr>
    </w:p>
    <w:p w14:paraId="06EF6D2C"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De la encuesta de marzo de 2015, se destaca lo siguiente:</w:t>
      </w:r>
    </w:p>
    <w:p w14:paraId="2A3BE13D" w14:textId="77777777" w:rsidR="00813A27" w:rsidRPr="00813A27" w:rsidRDefault="00813A27" w:rsidP="003B27DE">
      <w:pPr>
        <w:numPr>
          <w:ilvl w:val="0"/>
          <w:numId w:val="47"/>
        </w:numPr>
        <w:spacing w:after="360" w:line="360" w:lineRule="auto"/>
        <w:ind w:right="-159"/>
        <w:jc w:val="both"/>
        <w:rPr>
          <w:rFonts w:eastAsia="Calibri"/>
          <w:sz w:val="26"/>
          <w:szCs w:val="26"/>
          <w:lang w:eastAsia="en-US"/>
        </w:rPr>
      </w:pPr>
      <w:r w:rsidRPr="00813A27">
        <w:rPr>
          <w:rFonts w:eastAsia="Calibri"/>
          <w:sz w:val="26"/>
          <w:szCs w:val="26"/>
          <w:lang w:eastAsia="en-US"/>
        </w:rPr>
        <w:t>Las expectativas de inflación general y subyacente para los cierres de 2015 y 2016 se mantuvieron en niveles similares a los de la encuesta precedente, si bien la mediana de los pronósticos de inflación subyacente para el cierre de 2016 aumentó.</w:t>
      </w:r>
    </w:p>
    <w:p w14:paraId="563CBA19" w14:textId="77777777" w:rsidR="00813A27" w:rsidRPr="00813A27" w:rsidRDefault="00813A27" w:rsidP="003B27DE">
      <w:pPr>
        <w:numPr>
          <w:ilvl w:val="0"/>
          <w:numId w:val="47"/>
        </w:numPr>
        <w:spacing w:after="360" w:line="360" w:lineRule="auto"/>
        <w:ind w:right="-159"/>
        <w:jc w:val="both"/>
        <w:rPr>
          <w:rFonts w:eastAsia="Calibri"/>
          <w:sz w:val="26"/>
          <w:szCs w:val="26"/>
          <w:lang w:eastAsia="en-US"/>
        </w:rPr>
      </w:pPr>
      <w:r w:rsidRPr="00813A27">
        <w:rPr>
          <w:rFonts w:eastAsia="Calibri"/>
          <w:sz w:val="26"/>
          <w:szCs w:val="26"/>
          <w:lang w:eastAsia="en-US"/>
        </w:rPr>
        <w:t xml:space="preserve">La probabilidad asignada por los analistas a que la inflación general se ubique dentro del intervalo de variabilidad de más o menos un punto porcentual en torno al objetivo de 3% se mantuvo en niveles similares a los reportados en la encuesta de febrero para los cierres de 2015 y 2016. En cuanto a la inflación subyacente, la probabilidad otorgada a que ésta se encuentre en el intervalo entre 2 y 4% también permaneció cercana a la de la encuesta previa para los cierres de 2015 y 2016. </w:t>
      </w:r>
    </w:p>
    <w:p w14:paraId="72BC4239" w14:textId="77777777" w:rsidR="00813A27" w:rsidRPr="00813A27" w:rsidRDefault="00813A27" w:rsidP="003B27DE">
      <w:pPr>
        <w:numPr>
          <w:ilvl w:val="0"/>
          <w:numId w:val="47"/>
        </w:numPr>
        <w:spacing w:after="360" w:line="360" w:lineRule="auto"/>
        <w:ind w:right="-159"/>
        <w:jc w:val="both"/>
        <w:rPr>
          <w:rFonts w:eastAsia="Calibri"/>
          <w:sz w:val="26"/>
          <w:szCs w:val="26"/>
          <w:lang w:eastAsia="en-US"/>
        </w:rPr>
      </w:pPr>
      <w:r w:rsidRPr="00813A27">
        <w:rPr>
          <w:rFonts w:eastAsia="Calibri"/>
          <w:sz w:val="26"/>
          <w:szCs w:val="26"/>
          <w:lang w:eastAsia="en-US"/>
        </w:rPr>
        <w:lastRenderedPageBreak/>
        <w:t xml:space="preserve">Las expectativas de crecimiento del Producto Interno Bruto (PIB) real para 2015 y 2016 disminuyeron en relación con los pronósticos de febrero, si bien la mediana de ambos pronósticos se mantuvo en niveles similares. </w:t>
      </w:r>
    </w:p>
    <w:p w14:paraId="3B456930" w14:textId="77777777" w:rsidR="00813A27" w:rsidRPr="00813A27" w:rsidRDefault="00813A27" w:rsidP="003B27DE">
      <w:pPr>
        <w:numPr>
          <w:ilvl w:val="0"/>
          <w:numId w:val="47"/>
        </w:numPr>
        <w:spacing w:after="360" w:line="360" w:lineRule="auto"/>
        <w:ind w:right="-159"/>
        <w:jc w:val="both"/>
        <w:rPr>
          <w:rFonts w:eastAsia="Calibri"/>
          <w:sz w:val="26"/>
          <w:szCs w:val="26"/>
          <w:lang w:eastAsia="en-US"/>
        </w:rPr>
      </w:pPr>
      <w:r w:rsidRPr="00813A27">
        <w:rPr>
          <w:rFonts w:eastAsia="Calibri"/>
          <w:sz w:val="26"/>
          <w:szCs w:val="26"/>
          <w:lang w:eastAsia="en-US"/>
        </w:rPr>
        <w:t>En cuanto al tipo de cambio, las perspectivas de los analistas para los cierres de 2015 y 2016 se revisaron al alza con respecto a la encuesta del mes previo.</w:t>
      </w:r>
    </w:p>
    <w:p w14:paraId="70E1203D"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A continuación se detallan los resultados correspondientes a las expectativas de los analistas respecto a la inflación, el crecimiento real del PIB, las tasas de interés y el tipo de cambio. Asimismo, se reportan sus pronósticos en relación con indicadores del mercado laboral, de finanzas públicas, del sector externo, de la percepción sobre el entorno económico y, finalmente, sobre el crecimiento de la economía estadounidense.</w:t>
      </w:r>
    </w:p>
    <w:p w14:paraId="079EC125"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t>Inflación</w:t>
      </w:r>
    </w:p>
    <w:p w14:paraId="70645B04"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Los resultados relativos a las expectativas de inflación general y subyacente anual para el cierre de 2015, para los próximos 12 meses y para los cierres de 2016 y 2017 se presentan en el cuadro </w:t>
      </w:r>
      <w:r w:rsidRPr="00813A27">
        <w:rPr>
          <w:rFonts w:eastAsia="Calibri"/>
          <w:i/>
          <w:sz w:val="26"/>
          <w:szCs w:val="26"/>
          <w:lang w:eastAsia="en-US"/>
        </w:rPr>
        <w:t xml:space="preserve">Expectativas de inflación anual </w:t>
      </w:r>
      <w:r w:rsidRPr="00813A27">
        <w:rPr>
          <w:rFonts w:eastAsia="Calibri"/>
          <w:sz w:val="26"/>
          <w:szCs w:val="26"/>
          <w:lang w:eastAsia="en-US"/>
        </w:rPr>
        <w:t xml:space="preserve">y la gráfica </w:t>
      </w:r>
      <w:r w:rsidRPr="00813A27">
        <w:rPr>
          <w:rFonts w:eastAsia="Calibri"/>
          <w:i/>
          <w:sz w:val="26"/>
          <w:szCs w:val="26"/>
          <w:lang w:eastAsia="en-US"/>
        </w:rPr>
        <w:t>Expectativas de inflación anual</w:t>
      </w:r>
      <w:r w:rsidRPr="00813A27">
        <w:rPr>
          <w:rFonts w:eastAsia="Calibri"/>
          <w:sz w:val="26"/>
          <w:szCs w:val="26"/>
          <w:vertAlign w:val="superscript"/>
          <w:lang w:eastAsia="en-US"/>
        </w:rPr>
        <w:footnoteReference w:id="19"/>
      </w:r>
      <w:r w:rsidRPr="00813A27">
        <w:rPr>
          <w:rFonts w:eastAsia="Calibri"/>
          <w:sz w:val="26"/>
          <w:szCs w:val="26"/>
          <w:lang w:eastAsia="en-US"/>
        </w:rPr>
        <w:t xml:space="preserve">. La inflación general mensual esperada para cada uno de los próximos doce meses y los pronósticos de inflación subyacente para el mes en que se levantó la encuesta se reportan en el Cuadro </w:t>
      </w:r>
      <w:r w:rsidRPr="00813A27">
        <w:rPr>
          <w:rFonts w:eastAsia="Calibri"/>
          <w:i/>
          <w:sz w:val="26"/>
          <w:szCs w:val="26"/>
          <w:lang w:eastAsia="en-US"/>
        </w:rPr>
        <w:t>Expectativas de inflación mensual</w:t>
      </w:r>
      <w:r w:rsidRPr="00813A27">
        <w:rPr>
          <w:rFonts w:eastAsia="Calibri"/>
          <w:sz w:val="26"/>
          <w:szCs w:val="26"/>
          <w:lang w:eastAsia="en-US"/>
        </w:rPr>
        <w:t xml:space="preserve">. </w:t>
      </w:r>
    </w:p>
    <w:p w14:paraId="55049998" w14:textId="77777777" w:rsidR="00813A27" w:rsidRDefault="00813A27" w:rsidP="00813A27">
      <w:pPr>
        <w:spacing w:after="360" w:line="360" w:lineRule="auto"/>
        <w:ind w:right="-159"/>
        <w:jc w:val="both"/>
        <w:rPr>
          <w:rFonts w:eastAsia="Calibri"/>
          <w:sz w:val="26"/>
          <w:szCs w:val="26"/>
          <w:lang w:eastAsia="en-US"/>
        </w:rPr>
      </w:pPr>
    </w:p>
    <w:p w14:paraId="17C8DBED" w14:textId="77777777" w:rsidR="002B3A4F" w:rsidRDefault="002B3A4F" w:rsidP="00813A27">
      <w:pPr>
        <w:spacing w:after="360" w:line="360" w:lineRule="auto"/>
        <w:ind w:right="-159"/>
        <w:jc w:val="both"/>
        <w:rPr>
          <w:rFonts w:eastAsia="Calibri"/>
          <w:sz w:val="26"/>
          <w:szCs w:val="26"/>
          <w:lang w:eastAsia="en-US"/>
        </w:rPr>
      </w:pPr>
    </w:p>
    <w:p w14:paraId="0FA9D9E8" w14:textId="77777777" w:rsidR="002B3A4F" w:rsidRPr="00813A27" w:rsidRDefault="002B3A4F" w:rsidP="00813A27">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586"/>
        <w:gridCol w:w="1161"/>
        <w:gridCol w:w="1161"/>
        <w:gridCol w:w="1194"/>
        <w:gridCol w:w="1165"/>
      </w:tblGrid>
      <w:tr w:rsidR="00813A27" w:rsidRPr="00813A27" w14:paraId="4B21A1E8" w14:textId="77777777" w:rsidTr="002B3A4F">
        <w:trPr>
          <w:jc w:val="center"/>
        </w:trPr>
        <w:tc>
          <w:tcPr>
            <w:tcW w:w="7267" w:type="dxa"/>
            <w:gridSpan w:val="5"/>
            <w:tcBorders>
              <w:top w:val="nil"/>
              <w:left w:val="nil"/>
              <w:bottom w:val="single" w:sz="4" w:space="0" w:color="auto"/>
              <w:right w:val="nil"/>
            </w:tcBorders>
          </w:tcPr>
          <w:p w14:paraId="2C8540D9"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 INFLACIÓN ANUAL</w:t>
            </w:r>
          </w:p>
          <w:p w14:paraId="0F159C80"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0638961B" w14:textId="77777777" w:rsidTr="002B3A4F">
        <w:trPr>
          <w:jc w:val="center"/>
        </w:trPr>
        <w:tc>
          <w:tcPr>
            <w:tcW w:w="2586" w:type="dxa"/>
            <w:vMerge w:val="restart"/>
            <w:tcBorders>
              <w:top w:val="single" w:sz="4" w:space="0" w:color="auto"/>
              <w:left w:val="single" w:sz="4" w:space="0" w:color="auto"/>
              <w:bottom w:val="single" w:sz="4" w:space="0" w:color="auto"/>
              <w:right w:val="single" w:sz="4" w:space="0" w:color="auto"/>
            </w:tcBorders>
          </w:tcPr>
          <w:p w14:paraId="644D1F17" w14:textId="77777777" w:rsidR="00813A27" w:rsidRPr="00813A27" w:rsidRDefault="00813A27" w:rsidP="00813A27">
            <w:pPr>
              <w:jc w:val="both"/>
              <w:rPr>
                <w:rFonts w:eastAsia="Calibri"/>
                <w:sz w:val="20"/>
                <w:szCs w:val="20"/>
                <w:lang w:eastAsia="en-US"/>
              </w:rPr>
            </w:pPr>
          </w:p>
        </w:tc>
        <w:tc>
          <w:tcPr>
            <w:tcW w:w="2322" w:type="dxa"/>
            <w:gridSpan w:val="2"/>
            <w:tcBorders>
              <w:top w:val="single" w:sz="4" w:space="0" w:color="auto"/>
              <w:left w:val="single" w:sz="4" w:space="0" w:color="auto"/>
              <w:bottom w:val="single" w:sz="4" w:space="0" w:color="auto"/>
              <w:right w:val="single" w:sz="4" w:space="0" w:color="auto"/>
            </w:tcBorders>
          </w:tcPr>
          <w:p w14:paraId="7DAE9F1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Inflación General</w:t>
            </w:r>
          </w:p>
        </w:tc>
        <w:tc>
          <w:tcPr>
            <w:tcW w:w="2359" w:type="dxa"/>
            <w:gridSpan w:val="2"/>
            <w:tcBorders>
              <w:top w:val="single" w:sz="4" w:space="0" w:color="auto"/>
              <w:left w:val="single" w:sz="4" w:space="0" w:color="auto"/>
              <w:bottom w:val="single" w:sz="4" w:space="0" w:color="auto"/>
              <w:right w:val="single" w:sz="4" w:space="0" w:color="auto"/>
            </w:tcBorders>
          </w:tcPr>
          <w:p w14:paraId="2F19A76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Inflación Subyacente</w:t>
            </w:r>
          </w:p>
        </w:tc>
      </w:tr>
      <w:tr w:rsidR="00813A27" w:rsidRPr="00813A27" w14:paraId="7DA2739C" w14:textId="77777777" w:rsidTr="002B3A4F">
        <w:trPr>
          <w:jc w:val="center"/>
        </w:trPr>
        <w:tc>
          <w:tcPr>
            <w:tcW w:w="2586" w:type="dxa"/>
            <w:vMerge/>
            <w:tcBorders>
              <w:top w:val="single" w:sz="4" w:space="0" w:color="auto"/>
              <w:left w:val="single" w:sz="4" w:space="0" w:color="auto"/>
              <w:bottom w:val="single" w:sz="4" w:space="0" w:color="auto"/>
              <w:right w:val="single" w:sz="4" w:space="0" w:color="auto"/>
            </w:tcBorders>
          </w:tcPr>
          <w:p w14:paraId="43E3424E" w14:textId="77777777" w:rsidR="00813A27" w:rsidRPr="00813A27" w:rsidRDefault="00813A27" w:rsidP="00813A27">
            <w:pPr>
              <w:jc w:val="both"/>
              <w:rPr>
                <w:rFonts w:eastAsia="Calibri"/>
                <w:sz w:val="20"/>
                <w:szCs w:val="20"/>
                <w:lang w:eastAsia="en-US"/>
              </w:rPr>
            </w:pPr>
          </w:p>
        </w:tc>
        <w:tc>
          <w:tcPr>
            <w:tcW w:w="2322" w:type="dxa"/>
            <w:gridSpan w:val="2"/>
            <w:tcBorders>
              <w:top w:val="single" w:sz="4" w:space="0" w:color="auto"/>
              <w:left w:val="single" w:sz="4" w:space="0" w:color="auto"/>
              <w:bottom w:val="single" w:sz="4" w:space="0" w:color="auto"/>
              <w:right w:val="single" w:sz="4" w:space="0" w:color="auto"/>
            </w:tcBorders>
          </w:tcPr>
          <w:p w14:paraId="0073828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59" w:type="dxa"/>
            <w:gridSpan w:val="2"/>
            <w:tcBorders>
              <w:top w:val="single" w:sz="4" w:space="0" w:color="auto"/>
              <w:left w:val="single" w:sz="4" w:space="0" w:color="auto"/>
              <w:bottom w:val="single" w:sz="4" w:space="0" w:color="auto"/>
              <w:right w:val="single" w:sz="4" w:space="0" w:color="auto"/>
            </w:tcBorders>
          </w:tcPr>
          <w:p w14:paraId="6A6346D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489EF13A" w14:textId="77777777" w:rsidTr="002B3A4F">
        <w:trPr>
          <w:jc w:val="center"/>
        </w:trPr>
        <w:tc>
          <w:tcPr>
            <w:tcW w:w="2586" w:type="dxa"/>
            <w:vMerge/>
            <w:tcBorders>
              <w:top w:val="single" w:sz="4" w:space="0" w:color="auto"/>
              <w:left w:val="single" w:sz="4" w:space="0" w:color="auto"/>
              <w:bottom w:val="single" w:sz="4" w:space="0" w:color="auto"/>
              <w:right w:val="single" w:sz="4" w:space="0" w:color="auto"/>
            </w:tcBorders>
          </w:tcPr>
          <w:p w14:paraId="5C3A1F7B" w14:textId="77777777" w:rsidR="00813A27" w:rsidRPr="00813A27" w:rsidRDefault="00813A27" w:rsidP="00813A27">
            <w:pPr>
              <w:jc w:val="both"/>
              <w:rPr>
                <w:rFonts w:eastAsia="Calibri"/>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3CD69C9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61" w:type="dxa"/>
            <w:tcBorders>
              <w:top w:val="single" w:sz="4" w:space="0" w:color="auto"/>
              <w:left w:val="single" w:sz="4" w:space="0" w:color="auto"/>
              <w:bottom w:val="single" w:sz="4" w:space="0" w:color="auto"/>
              <w:right w:val="single" w:sz="4" w:space="0" w:color="auto"/>
            </w:tcBorders>
          </w:tcPr>
          <w:p w14:paraId="1042C7D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6CFA562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65" w:type="dxa"/>
            <w:tcBorders>
              <w:top w:val="single" w:sz="4" w:space="0" w:color="auto"/>
              <w:left w:val="single" w:sz="4" w:space="0" w:color="auto"/>
              <w:bottom w:val="single" w:sz="4" w:space="0" w:color="auto"/>
              <w:right w:val="single" w:sz="4" w:space="0" w:color="auto"/>
            </w:tcBorders>
          </w:tcPr>
          <w:p w14:paraId="5AC8137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025DFC34" w14:textId="77777777" w:rsidTr="002B3A4F">
        <w:trPr>
          <w:jc w:val="center"/>
        </w:trPr>
        <w:tc>
          <w:tcPr>
            <w:tcW w:w="2586" w:type="dxa"/>
            <w:tcBorders>
              <w:top w:val="single" w:sz="4" w:space="0" w:color="auto"/>
              <w:left w:val="single" w:sz="4" w:space="0" w:color="auto"/>
              <w:right w:val="single" w:sz="4" w:space="0" w:color="auto"/>
            </w:tcBorders>
          </w:tcPr>
          <w:p w14:paraId="14991EBB"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Para 2015 (dic.-dic.)</w:t>
            </w:r>
          </w:p>
        </w:tc>
        <w:tc>
          <w:tcPr>
            <w:tcW w:w="1161" w:type="dxa"/>
            <w:tcBorders>
              <w:top w:val="single" w:sz="4" w:space="0" w:color="auto"/>
              <w:left w:val="single" w:sz="4" w:space="0" w:color="auto"/>
              <w:right w:val="single" w:sz="4" w:space="0" w:color="auto"/>
            </w:tcBorders>
          </w:tcPr>
          <w:p w14:paraId="513CAB8C" w14:textId="77777777" w:rsidR="00813A27" w:rsidRPr="00813A27" w:rsidRDefault="00813A27" w:rsidP="00813A27">
            <w:pPr>
              <w:jc w:val="center"/>
              <w:rPr>
                <w:rFonts w:eastAsia="Calibri"/>
                <w:sz w:val="20"/>
                <w:szCs w:val="20"/>
                <w:lang w:eastAsia="en-US"/>
              </w:rPr>
            </w:pPr>
          </w:p>
        </w:tc>
        <w:tc>
          <w:tcPr>
            <w:tcW w:w="1161" w:type="dxa"/>
            <w:tcBorders>
              <w:top w:val="single" w:sz="4" w:space="0" w:color="auto"/>
              <w:left w:val="single" w:sz="4" w:space="0" w:color="auto"/>
              <w:right w:val="single" w:sz="4" w:space="0" w:color="auto"/>
            </w:tcBorders>
          </w:tcPr>
          <w:p w14:paraId="1F8DFBDE"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25043D9B" w14:textId="77777777" w:rsidR="00813A27" w:rsidRPr="00813A27" w:rsidRDefault="00813A27" w:rsidP="00813A27">
            <w:pPr>
              <w:jc w:val="center"/>
              <w:rPr>
                <w:rFonts w:eastAsia="Calibri"/>
                <w:sz w:val="20"/>
                <w:szCs w:val="20"/>
                <w:lang w:eastAsia="en-US"/>
              </w:rPr>
            </w:pPr>
          </w:p>
        </w:tc>
        <w:tc>
          <w:tcPr>
            <w:tcW w:w="1165" w:type="dxa"/>
            <w:tcBorders>
              <w:top w:val="single" w:sz="4" w:space="0" w:color="auto"/>
              <w:left w:val="single" w:sz="4" w:space="0" w:color="auto"/>
              <w:right w:val="single" w:sz="4" w:space="0" w:color="auto"/>
            </w:tcBorders>
          </w:tcPr>
          <w:p w14:paraId="2EBC2180" w14:textId="77777777" w:rsidR="00813A27" w:rsidRPr="00813A27" w:rsidRDefault="00813A27" w:rsidP="00813A27">
            <w:pPr>
              <w:jc w:val="center"/>
              <w:rPr>
                <w:rFonts w:eastAsia="Calibri"/>
                <w:sz w:val="20"/>
                <w:szCs w:val="20"/>
                <w:lang w:eastAsia="en-US"/>
              </w:rPr>
            </w:pPr>
          </w:p>
        </w:tc>
      </w:tr>
      <w:tr w:rsidR="00813A27" w:rsidRPr="00813A27" w14:paraId="322BD926" w14:textId="77777777" w:rsidTr="002B3A4F">
        <w:trPr>
          <w:jc w:val="center"/>
        </w:trPr>
        <w:tc>
          <w:tcPr>
            <w:tcW w:w="2586" w:type="dxa"/>
            <w:tcBorders>
              <w:left w:val="single" w:sz="4" w:space="0" w:color="auto"/>
              <w:right w:val="single" w:sz="4" w:space="0" w:color="auto"/>
            </w:tcBorders>
          </w:tcPr>
          <w:p w14:paraId="6AA0FC0E"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w:t>
            </w:r>
          </w:p>
        </w:tc>
        <w:tc>
          <w:tcPr>
            <w:tcW w:w="1161" w:type="dxa"/>
            <w:tcBorders>
              <w:left w:val="single" w:sz="4" w:space="0" w:color="auto"/>
              <w:right w:val="single" w:sz="4" w:space="0" w:color="auto"/>
            </w:tcBorders>
          </w:tcPr>
          <w:p w14:paraId="3CF2828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3.11</w:t>
            </w:r>
          </w:p>
        </w:tc>
        <w:tc>
          <w:tcPr>
            <w:tcW w:w="1161" w:type="dxa"/>
            <w:tcBorders>
              <w:left w:val="single" w:sz="4" w:space="0" w:color="auto"/>
              <w:right w:val="single" w:sz="4" w:space="0" w:color="auto"/>
            </w:tcBorders>
          </w:tcPr>
          <w:p w14:paraId="3E862C9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3.11</w:t>
            </w:r>
          </w:p>
        </w:tc>
        <w:tc>
          <w:tcPr>
            <w:tcW w:w="1194" w:type="dxa"/>
            <w:tcBorders>
              <w:left w:val="single" w:sz="4" w:space="0" w:color="auto"/>
              <w:right w:val="single" w:sz="4" w:space="0" w:color="auto"/>
            </w:tcBorders>
          </w:tcPr>
          <w:p w14:paraId="3C68810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c>
          <w:tcPr>
            <w:tcW w:w="1165" w:type="dxa"/>
            <w:tcBorders>
              <w:left w:val="single" w:sz="4" w:space="0" w:color="auto"/>
              <w:right w:val="single" w:sz="4" w:space="0" w:color="auto"/>
            </w:tcBorders>
          </w:tcPr>
          <w:p w14:paraId="1029E46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2.87</w:t>
            </w:r>
          </w:p>
        </w:tc>
      </w:tr>
      <w:tr w:rsidR="00813A27" w:rsidRPr="00813A27" w14:paraId="2C83374A" w14:textId="77777777" w:rsidTr="002B3A4F">
        <w:trPr>
          <w:jc w:val="center"/>
        </w:trPr>
        <w:tc>
          <w:tcPr>
            <w:tcW w:w="2586" w:type="dxa"/>
            <w:tcBorders>
              <w:left w:val="single" w:sz="4" w:space="0" w:color="auto"/>
              <w:right w:val="single" w:sz="4" w:space="0" w:color="auto"/>
            </w:tcBorders>
          </w:tcPr>
          <w:p w14:paraId="57365434"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Mediana</w:t>
            </w:r>
          </w:p>
        </w:tc>
        <w:tc>
          <w:tcPr>
            <w:tcW w:w="1161" w:type="dxa"/>
            <w:tcBorders>
              <w:left w:val="single" w:sz="4" w:space="0" w:color="auto"/>
              <w:right w:val="single" w:sz="4" w:space="0" w:color="auto"/>
            </w:tcBorders>
          </w:tcPr>
          <w:p w14:paraId="5A49411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3.06</w:t>
            </w:r>
          </w:p>
        </w:tc>
        <w:tc>
          <w:tcPr>
            <w:tcW w:w="1161" w:type="dxa"/>
            <w:tcBorders>
              <w:left w:val="single" w:sz="4" w:space="0" w:color="auto"/>
              <w:right w:val="single" w:sz="4" w:space="0" w:color="auto"/>
            </w:tcBorders>
          </w:tcPr>
          <w:p w14:paraId="4752959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3.09</w:t>
            </w:r>
          </w:p>
        </w:tc>
        <w:tc>
          <w:tcPr>
            <w:tcW w:w="1194" w:type="dxa"/>
            <w:tcBorders>
              <w:left w:val="single" w:sz="4" w:space="0" w:color="auto"/>
              <w:right w:val="single" w:sz="4" w:space="0" w:color="auto"/>
            </w:tcBorders>
          </w:tcPr>
          <w:p w14:paraId="4641052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2.85</w:t>
            </w:r>
          </w:p>
        </w:tc>
        <w:tc>
          <w:tcPr>
            <w:tcW w:w="1165" w:type="dxa"/>
            <w:tcBorders>
              <w:left w:val="single" w:sz="4" w:space="0" w:color="auto"/>
              <w:right w:val="single" w:sz="4" w:space="0" w:color="auto"/>
            </w:tcBorders>
          </w:tcPr>
          <w:p w14:paraId="476FF12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2.85</w:t>
            </w:r>
          </w:p>
        </w:tc>
      </w:tr>
      <w:tr w:rsidR="00813A27" w:rsidRPr="00813A27" w14:paraId="76867F87" w14:textId="77777777" w:rsidTr="002B3A4F">
        <w:trPr>
          <w:jc w:val="center"/>
        </w:trPr>
        <w:tc>
          <w:tcPr>
            <w:tcW w:w="2586" w:type="dxa"/>
            <w:tcBorders>
              <w:left w:val="single" w:sz="4" w:space="0" w:color="auto"/>
              <w:right w:val="single" w:sz="4" w:space="0" w:color="auto"/>
            </w:tcBorders>
          </w:tcPr>
          <w:p w14:paraId="40ECEEB8"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Para los próximos 12 meses</w:t>
            </w:r>
          </w:p>
        </w:tc>
        <w:tc>
          <w:tcPr>
            <w:tcW w:w="1161" w:type="dxa"/>
            <w:tcBorders>
              <w:left w:val="single" w:sz="4" w:space="0" w:color="auto"/>
              <w:right w:val="single" w:sz="4" w:space="0" w:color="auto"/>
            </w:tcBorders>
          </w:tcPr>
          <w:p w14:paraId="5C8EE4B4" w14:textId="77777777" w:rsidR="00813A27" w:rsidRPr="00813A27" w:rsidRDefault="00813A27" w:rsidP="00813A27">
            <w:pPr>
              <w:jc w:val="center"/>
              <w:rPr>
                <w:rFonts w:eastAsia="Calibri"/>
                <w:sz w:val="20"/>
                <w:szCs w:val="20"/>
                <w:lang w:eastAsia="en-US"/>
              </w:rPr>
            </w:pPr>
          </w:p>
        </w:tc>
        <w:tc>
          <w:tcPr>
            <w:tcW w:w="1161" w:type="dxa"/>
            <w:tcBorders>
              <w:left w:val="single" w:sz="4" w:space="0" w:color="auto"/>
              <w:right w:val="single" w:sz="4" w:space="0" w:color="auto"/>
            </w:tcBorders>
          </w:tcPr>
          <w:p w14:paraId="70E8C1C0"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2C5DE653" w14:textId="77777777" w:rsidR="00813A27" w:rsidRPr="00813A27" w:rsidRDefault="00813A27" w:rsidP="00813A27">
            <w:pPr>
              <w:jc w:val="center"/>
              <w:rPr>
                <w:rFonts w:eastAsia="Calibri"/>
                <w:sz w:val="20"/>
                <w:szCs w:val="20"/>
                <w:lang w:eastAsia="en-US"/>
              </w:rPr>
            </w:pPr>
          </w:p>
        </w:tc>
        <w:tc>
          <w:tcPr>
            <w:tcW w:w="1165" w:type="dxa"/>
            <w:tcBorders>
              <w:left w:val="single" w:sz="4" w:space="0" w:color="auto"/>
              <w:right w:val="single" w:sz="4" w:space="0" w:color="auto"/>
            </w:tcBorders>
          </w:tcPr>
          <w:p w14:paraId="2959D67F" w14:textId="77777777" w:rsidR="00813A27" w:rsidRPr="00813A27" w:rsidRDefault="00813A27" w:rsidP="00813A27">
            <w:pPr>
              <w:jc w:val="center"/>
              <w:rPr>
                <w:rFonts w:eastAsia="Calibri"/>
                <w:sz w:val="20"/>
                <w:szCs w:val="20"/>
                <w:lang w:eastAsia="en-US"/>
              </w:rPr>
            </w:pPr>
          </w:p>
        </w:tc>
      </w:tr>
      <w:tr w:rsidR="00813A27" w:rsidRPr="00813A27" w14:paraId="51D01472" w14:textId="77777777" w:rsidTr="002B3A4F">
        <w:trPr>
          <w:jc w:val="center"/>
        </w:trPr>
        <w:tc>
          <w:tcPr>
            <w:tcW w:w="2586" w:type="dxa"/>
            <w:tcBorders>
              <w:left w:val="single" w:sz="4" w:space="0" w:color="auto"/>
              <w:right w:val="single" w:sz="4" w:space="0" w:color="auto"/>
            </w:tcBorders>
          </w:tcPr>
          <w:p w14:paraId="20D7637E"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w:t>
            </w:r>
          </w:p>
        </w:tc>
        <w:tc>
          <w:tcPr>
            <w:tcW w:w="1161" w:type="dxa"/>
            <w:tcBorders>
              <w:left w:val="single" w:sz="4" w:space="0" w:color="auto"/>
              <w:right w:val="single" w:sz="4" w:space="0" w:color="auto"/>
            </w:tcBorders>
          </w:tcPr>
          <w:p w14:paraId="02109F9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3.67</w:t>
            </w:r>
          </w:p>
        </w:tc>
        <w:tc>
          <w:tcPr>
            <w:tcW w:w="1161" w:type="dxa"/>
            <w:tcBorders>
              <w:left w:val="single" w:sz="4" w:space="0" w:color="auto"/>
              <w:right w:val="single" w:sz="4" w:space="0" w:color="auto"/>
            </w:tcBorders>
          </w:tcPr>
          <w:p w14:paraId="52C6E38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3.69</w:t>
            </w:r>
          </w:p>
        </w:tc>
        <w:tc>
          <w:tcPr>
            <w:tcW w:w="1194" w:type="dxa"/>
            <w:tcBorders>
              <w:left w:val="single" w:sz="4" w:space="0" w:color="auto"/>
              <w:right w:val="single" w:sz="4" w:space="0" w:color="auto"/>
            </w:tcBorders>
          </w:tcPr>
          <w:p w14:paraId="3314A2E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3.18</w:t>
            </w:r>
          </w:p>
        </w:tc>
        <w:tc>
          <w:tcPr>
            <w:tcW w:w="1165" w:type="dxa"/>
            <w:tcBorders>
              <w:left w:val="single" w:sz="4" w:space="0" w:color="auto"/>
              <w:right w:val="single" w:sz="4" w:space="0" w:color="auto"/>
            </w:tcBorders>
          </w:tcPr>
          <w:p w14:paraId="39BAE42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3.22</w:t>
            </w:r>
          </w:p>
        </w:tc>
      </w:tr>
      <w:tr w:rsidR="00813A27" w:rsidRPr="00813A27" w14:paraId="7619A410" w14:textId="77777777" w:rsidTr="002B3A4F">
        <w:trPr>
          <w:jc w:val="center"/>
        </w:trPr>
        <w:tc>
          <w:tcPr>
            <w:tcW w:w="2586" w:type="dxa"/>
            <w:tcBorders>
              <w:left w:val="single" w:sz="4" w:space="0" w:color="auto"/>
              <w:right w:val="single" w:sz="4" w:space="0" w:color="auto"/>
            </w:tcBorders>
          </w:tcPr>
          <w:p w14:paraId="36AD368D"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Mediana</w:t>
            </w:r>
          </w:p>
        </w:tc>
        <w:tc>
          <w:tcPr>
            <w:tcW w:w="1161" w:type="dxa"/>
            <w:tcBorders>
              <w:left w:val="single" w:sz="4" w:space="0" w:color="auto"/>
              <w:right w:val="single" w:sz="4" w:space="0" w:color="auto"/>
            </w:tcBorders>
          </w:tcPr>
          <w:p w14:paraId="2E12909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3.63</w:t>
            </w:r>
          </w:p>
        </w:tc>
        <w:tc>
          <w:tcPr>
            <w:tcW w:w="1161" w:type="dxa"/>
            <w:tcBorders>
              <w:left w:val="single" w:sz="4" w:space="0" w:color="auto"/>
              <w:right w:val="single" w:sz="4" w:space="0" w:color="auto"/>
            </w:tcBorders>
          </w:tcPr>
          <w:p w14:paraId="1941FB1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3.66</w:t>
            </w:r>
          </w:p>
        </w:tc>
        <w:tc>
          <w:tcPr>
            <w:tcW w:w="1194" w:type="dxa"/>
            <w:tcBorders>
              <w:left w:val="single" w:sz="4" w:space="0" w:color="auto"/>
              <w:right w:val="single" w:sz="4" w:space="0" w:color="auto"/>
            </w:tcBorders>
          </w:tcPr>
          <w:p w14:paraId="134ACCC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3.19</w:t>
            </w:r>
          </w:p>
        </w:tc>
        <w:tc>
          <w:tcPr>
            <w:tcW w:w="1165" w:type="dxa"/>
            <w:tcBorders>
              <w:left w:val="single" w:sz="4" w:space="0" w:color="auto"/>
              <w:right w:val="single" w:sz="4" w:space="0" w:color="auto"/>
            </w:tcBorders>
          </w:tcPr>
          <w:p w14:paraId="379F520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3.21</w:t>
            </w:r>
          </w:p>
        </w:tc>
      </w:tr>
      <w:tr w:rsidR="00813A27" w:rsidRPr="00813A27" w14:paraId="7404D039" w14:textId="77777777" w:rsidTr="002B3A4F">
        <w:trPr>
          <w:jc w:val="center"/>
        </w:trPr>
        <w:tc>
          <w:tcPr>
            <w:tcW w:w="2586" w:type="dxa"/>
            <w:tcBorders>
              <w:left w:val="single" w:sz="4" w:space="0" w:color="auto"/>
              <w:right w:val="single" w:sz="4" w:space="0" w:color="auto"/>
            </w:tcBorders>
          </w:tcPr>
          <w:p w14:paraId="50B7E063"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Para 2016 (dic.-dic.)</w:t>
            </w:r>
          </w:p>
        </w:tc>
        <w:tc>
          <w:tcPr>
            <w:tcW w:w="1161" w:type="dxa"/>
            <w:tcBorders>
              <w:left w:val="single" w:sz="4" w:space="0" w:color="auto"/>
              <w:right w:val="single" w:sz="4" w:space="0" w:color="auto"/>
            </w:tcBorders>
          </w:tcPr>
          <w:p w14:paraId="3928296E" w14:textId="77777777" w:rsidR="00813A27" w:rsidRPr="00813A27" w:rsidRDefault="00813A27" w:rsidP="00813A27">
            <w:pPr>
              <w:jc w:val="center"/>
              <w:rPr>
                <w:rFonts w:eastAsia="Calibri"/>
                <w:sz w:val="20"/>
                <w:szCs w:val="20"/>
                <w:lang w:eastAsia="en-US"/>
              </w:rPr>
            </w:pPr>
          </w:p>
        </w:tc>
        <w:tc>
          <w:tcPr>
            <w:tcW w:w="1161" w:type="dxa"/>
            <w:tcBorders>
              <w:left w:val="single" w:sz="4" w:space="0" w:color="auto"/>
              <w:right w:val="single" w:sz="4" w:space="0" w:color="auto"/>
            </w:tcBorders>
          </w:tcPr>
          <w:p w14:paraId="54CA3747"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6CB78238" w14:textId="77777777" w:rsidR="00813A27" w:rsidRPr="00813A27" w:rsidRDefault="00813A27" w:rsidP="00813A27">
            <w:pPr>
              <w:jc w:val="center"/>
              <w:rPr>
                <w:rFonts w:eastAsia="Calibri"/>
                <w:sz w:val="20"/>
                <w:szCs w:val="20"/>
                <w:lang w:eastAsia="en-US"/>
              </w:rPr>
            </w:pPr>
          </w:p>
        </w:tc>
        <w:tc>
          <w:tcPr>
            <w:tcW w:w="1165" w:type="dxa"/>
            <w:tcBorders>
              <w:left w:val="single" w:sz="4" w:space="0" w:color="auto"/>
              <w:right w:val="single" w:sz="4" w:space="0" w:color="auto"/>
            </w:tcBorders>
          </w:tcPr>
          <w:p w14:paraId="570B9FF8" w14:textId="77777777" w:rsidR="00813A27" w:rsidRPr="00813A27" w:rsidRDefault="00813A27" w:rsidP="00813A27">
            <w:pPr>
              <w:jc w:val="center"/>
              <w:rPr>
                <w:rFonts w:eastAsia="Calibri"/>
                <w:sz w:val="20"/>
                <w:szCs w:val="20"/>
                <w:lang w:eastAsia="en-US"/>
              </w:rPr>
            </w:pPr>
          </w:p>
        </w:tc>
      </w:tr>
      <w:tr w:rsidR="00813A27" w:rsidRPr="00813A27" w14:paraId="4CF92192" w14:textId="77777777" w:rsidTr="002B3A4F">
        <w:trPr>
          <w:jc w:val="center"/>
        </w:trPr>
        <w:tc>
          <w:tcPr>
            <w:tcW w:w="2586" w:type="dxa"/>
            <w:tcBorders>
              <w:left w:val="single" w:sz="4" w:space="0" w:color="auto"/>
              <w:right w:val="single" w:sz="4" w:space="0" w:color="auto"/>
            </w:tcBorders>
          </w:tcPr>
          <w:p w14:paraId="77B50075"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w:t>
            </w:r>
          </w:p>
        </w:tc>
        <w:tc>
          <w:tcPr>
            <w:tcW w:w="1161" w:type="dxa"/>
            <w:tcBorders>
              <w:left w:val="single" w:sz="4" w:space="0" w:color="auto"/>
              <w:right w:val="single" w:sz="4" w:space="0" w:color="auto"/>
            </w:tcBorders>
          </w:tcPr>
          <w:p w14:paraId="75DF7C1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3.46</w:t>
            </w:r>
          </w:p>
        </w:tc>
        <w:tc>
          <w:tcPr>
            <w:tcW w:w="1161" w:type="dxa"/>
            <w:tcBorders>
              <w:left w:val="single" w:sz="4" w:space="0" w:color="auto"/>
              <w:right w:val="single" w:sz="4" w:space="0" w:color="auto"/>
            </w:tcBorders>
          </w:tcPr>
          <w:p w14:paraId="19A96F3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3.46</w:t>
            </w:r>
          </w:p>
        </w:tc>
        <w:tc>
          <w:tcPr>
            <w:tcW w:w="1194" w:type="dxa"/>
            <w:tcBorders>
              <w:left w:val="single" w:sz="4" w:space="0" w:color="auto"/>
              <w:right w:val="single" w:sz="4" w:space="0" w:color="auto"/>
            </w:tcBorders>
          </w:tcPr>
          <w:p w14:paraId="141CE64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3.13</w:t>
            </w:r>
          </w:p>
        </w:tc>
        <w:tc>
          <w:tcPr>
            <w:tcW w:w="1165" w:type="dxa"/>
            <w:tcBorders>
              <w:left w:val="single" w:sz="4" w:space="0" w:color="auto"/>
              <w:right w:val="single" w:sz="4" w:space="0" w:color="auto"/>
            </w:tcBorders>
          </w:tcPr>
          <w:p w14:paraId="33BBF6D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3.13</w:t>
            </w:r>
          </w:p>
        </w:tc>
      </w:tr>
      <w:tr w:rsidR="00813A27" w:rsidRPr="00813A27" w14:paraId="75147550" w14:textId="77777777" w:rsidTr="002B3A4F">
        <w:trPr>
          <w:jc w:val="center"/>
        </w:trPr>
        <w:tc>
          <w:tcPr>
            <w:tcW w:w="2586" w:type="dxa"/>
            <w:tcBorders>
              <w:left w:val="single" w:sz="4" w:space="0" w:color="auto"/>
              <w:right w:val="single" w:sz="4" w:space="0" w:color="auto"/>
            </w:tcBorders>
          </w:tcPr>
          <w:p w14:paraId="0C89AFDD"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Mediana</w:t>
            </w:r>
          </w:p>
        </w:tc>
        <w:tc>
          <w:tcPr>
            <w:tcW w:w="1161" w:type="dxa"/>
            <w:tcBorders>
              <w:left w:val="single" w:sz="4" w:space="0" w:color="auto"/>
              <w:right w:val="single" w:sz="4" w:space="0" w:color="auto"/>
            </w:tcBorders>
          </w:tcPr>
          <w:p w14:paraId="192C724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61" w:type="dxa"/>
            <w:tcBorders>
              <w:left w:val="single" w:sz="4" w:space="0" w:color="auto"/>
              <w:right w:val="single" w:sz="4" w:space="0" w:color="auto"/>
            </w:tcBorders>
          </w:tcPr>
          <w:p w14:paraId="5927C73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3.47</w:t>
            </w:r>
          </w:p>
        </w:tc>
        <w:tc>
          <w:tcPr>
            <w:tcW w:w="1194" w:type="dxa"/>
            <w:tcBorders>
              <w:left w:val="single" w:sz="4" w:space="0" w:color="auto"/>
              <w:right w:val="single" w:sz="4" w:space="0" w:color="auto"/>
            </w:tcBorders>
          </w:tcPr>
          <w:p w14:paraId="6613154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3.09</w:t>
            </w:r>
          </w:p>
        </w:tc>
        <w:tc>
          <w:tcPr>
            <w:tcW w:w="1165" w:type="dxa"/>
            <w:tcBorders>
              <w:left w:val="single" w:sz="4" w:space="0" w:color="auto"/>
              <w:right w:val="single" w:sz="4" w:space="0" w:color="auto"/>
            </w:tcBorders>
          </w:tcPr>
          <w:p w14:paraId="0524EFE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3.16</w:t>
            </w:r>
          </w:p>
        </w:tc>
      </w:tr>
      <w:tr w:rsidR="00813A27" w:rsidRPr="00813A27" w14:paraId="062EDAE9" w14:textId="77777777" w:rsidTr="002B3A4F">
        <w:trPr>
          <w:jc w:val="center"/>
        </w:trPr>
        <w:tc>
          <w:tcPr>
            <w:tcW w:w="2586" w:type="dxa"/>
            <w:tcBorders>
              <w:left w:val="single" w:sz="4" w:space="0" w:color="auto"/>
              <w:right w:val="single" w:sz="4" w:space="0" w:color="auto"/>
            </w:tcBorders>
          </w:tcPr>
          <w:p w14:paraId="2CE57CB1"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Para 2017 (dic.-dic.)</w:t>
            </w:r>
          </w:p>
        </w:tc>
        <w:tc>
          <w:tcPr>
            <w:tcW w:w="1161" w:type="dxa"/>
            <w:tcBorders>
              <w:left w:val="single" w:sz="4" w:space="0" w:color="auto"/>
              <w:right w:val="single" w:sz="4" w:space="0" w:color="auto"/>
            </w:tcBorders>
          </w:tcPr>
          <w:p w14:paraId="7AED6B3D" w14:textId="77777777" w:rsidR="00813A27" w:rsidRPr="00813A27" w:rsidRDefault="00813A27" w:rsidP="00813A27">
            <w:pPr>
              <w:jc w:val="center"/>
              <w:rPr>
                <w:rFonts w:eastAsia="Calibri"/>
                <w:sz w:val="20"/>
                <w:szCs w:val="20"/>
                <w:lang w:eastAsia="en-US"/>
              </w:rPr>
            </w:pPr>
          </w:p>
        </w:tc>
        <w:tc>
          <w:tcPr>
            <w:tcW w:w="1161" w:type="dxa"/>
            <w:tcBorders>
              <w:left w:val="single" w:sz="4" w:space="0" w:color="auto"/>
              <w:right w:val="single" w:sz="4" w:space="0" w:color="auto"/>
            </w:tcBorders>
          </w:tcPr>
          <w:p w14:paraId="0137F44E"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5AA4129A" w14:textId="77777777" w:rsidR="00813A27" w:rsidRPr="00813A27" w:rsidRDefault="00813A27" w:rsidP="00813A27">
            <w:pPr>
              <w:jc w:val="center"/>
              <w:rPr>
                <w:rFonts w:eastAsia="Calibri"/>
                <w:sz w:val="20"/>
                <w:szCs w:val="20"/>
                <w:lang w:eastAsia="en-US"/>
              </w:rPr>
            </w:pPr>
          </w:p>
        </w:tc>
        <w:tc>
          <w:tcPr>
            <w:tcW w:w="1165" w:type="dxa"/>
            <w:tcBorders>
              <w:left w:val="single" w:sz="4" w:space="0" w:color="auto"/>
              <w:right w:val="single" w:sz="4" w:space="0" w:color="auto"/>
            </w:tcBorders>
          </w:tcPr>
          <w:p w14:paraId="636A759C" w14:textId="77777777" w:rsidR="00813A27" w:rsidRPr="00813A27" w:rsidRDefault="00813A27" w:rsidP="00813A27">
            <w:pPr>
              <w:jc w:val="center"/>
              <w:rPr>
                <w:rFonts w:eastAsia="Calibri"/>
                <w:sz w:val="20"/>
                <w:szCs w:val="20"/>
                <w:lang w:eastAsia="en-US"/>
              </w:rPr>
            </w:pPr>
          </w:p>
        </w:tc>
      </w:tr>
      <w:tr w:rsidR="00813A27" w:rsidRPr="00813A27" w14:paraId="00C348C3" w14:textId="77777777" w:rsidTr="002B3A4F">
        <w:trPr>
          <w:jc w:val="center"/>
        </w:trPr>
        <w:tc>
          <w:tcPr>
            <w:tcW w:w="2586" w:type="dxa"/>
            <w:tcBorders>
              <w:left w:val="single" w:sz="4" w:space="0" w:color="auto"/>
              <w:right w:val="single" w:sz="4" w:space="0" w:color="auto"/>
            </w:tcBorders>
          </w:tcPr>
          <w:p w14:paraId="4E90CC13"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w:t>
            </w:r>
          </w:p>
        </w:tc>
        <w:tc>
          <w:tcPr>
            <w:tcW w:w="1161" w:type="dxa"/>
            <w:tcBorders>
              <w:left w:val="single" w:sz="4" w:space="0" w:color="auto"/>
              <w:right w:val="single" w:sz="4" w:space="0" w:color="auto"/>
            </w:tcBorders>
          </w:tcPr>
          <w:p w14:paraId="23F1CDE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3.47</w:t>
            </w:r>
          </w:p>
        </w:tc>
        <w:tc>
          <w:tcPr>
            <w:tcW w:w="1161" w:type="dxa"/>
            <w:tcBorders>
              <w:left w:val="single" w:sz="4" w:space="0" w:color="auto"/>
              <w:right w:val="single" w:sz="4" w:space="0" w:color="auto"/>
            </w:tcBorders>
          </w:tcPr>
          <w:p w14:paraId="0E75821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3.49</w:t>
            </w:r>
          </w:p>
        </w:tc>
        <w:tc>
          <w:tcPr>
            <w:tcW w:w="1194" w:type="dxa"/>
            <w:tcBorders>
              <w:left w:val="single" w:sz="4" w:space="0" w:color="auto"/>
              <w:right w:val="single" w:sz="4" w:space="0" w:color="auto"/>
            </w:tcBorders>
          </w:tcPr>
          <w:p w14:paraId="4D0D994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3.12</w:t>
            </w:r>
          </w:p>
        </w:tc>
        <w:tc>
          <w:tcPr>
            <w:tcW w:w="1165" w:type="dxa"/>
            <w:tcBorders>
              <w:left w:val="single" w:sz="4" w:space="0" w:color="auto"/>
              <w:right w:val="single" w:sz="4" w:space="0" w:color="auto"/>
            </w:tcBorders>
          </w:tcPr>
          <w:p w14:paraId="1DBD431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3.19</w:t>
            </w:r>
          </w:p>
        </w:tc>
      </w:tr>
      <w:tr w:rsidR="00813A27" w:rsidRPr="00813A27" w14:paraId="7E496C97" w14:textId="77777777" w:rsidTr="002B3A4F">
        <w:trPr>
          <w:jc w:val="center"/>
        </w:trPr>
        <w:tc>
          <w:tcPr>
            <w:tcW w:w="2586" w:type="dxa"/>
            <w:tcBorders>
              <w:left w:val="single" w:sz="4" w:space="0" w:color="auto"/>
              <w:bottom w:val="single" w:sz="4" w:space="0" w:color="auto"/>
              <w:right w:val="single" w:sz="4" w:space="0" w:color="auto"/>
            </w:tcBorders>
          </w:tcPr>
          <w:p w14:paraId="5ECB02EE"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Mediana</w:t>
            </w:r>
          </w:p>
        </w:tc>
        <w:tc>
          <w:tcPr>
            <w:tcW w:w="1161" w:type="dxa"/>
            <w:tcBorders>
              <w:left w:val="single" w:sz="4" w:space="0" w:color="auto"/>
              <w:bottom w:val="single" w:sz="4" w:space="0" w:color="auto"/>
              <w:right w:val="single" w:sz="4" w:space="0" w:color="auto"/>
            </w:tcBorders>
          </w:tcPr>
          <w:p w14:paraId="2D3C571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61" w:type="dxa"/>
            <w:tcBorders>
              <w:left w:val="single" w:sz="4" w:space="0" w:color="auto"/>
              <w:bottom w:val="single" w:sz="4" w:space="0" w:color="auto"/>
              <w:right w:val="single" w:sz="4" w:space="0" w:color="auto"/>
            </w:tcBorders>
          </w:tcPr>
          <w:p w14:paraId="7EE6624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3.48</w:t>
            </w:r>
          </w:p>
        </w:tc>
        <w:tc>
          <w:tcPr>
            <w:tcW w:w="1194" w:type="dxa"/>
            <w:tcBorders>
              <w:left w:val="single" w:sz="4" w:space="0" w:color="auto"/>
              <w:bottom w:val="single" w:sz="4" w:space="0" w:color="auto"/>
              <w:right w:val="single" w:sz="4" w:space="0" w:color="auto"/>
            </w:tcBorders>
          </w:tcPr>
          <w:p w14:paraId="6756065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3.10</w:t>
            </w:r>
          </w:p>
        </w:tc>
        <w:tc>
          <w:tcPr>
            <w:tcW w:w="1165" w:type="dxa"/>
            <w:tcBorders>
              <w:left w:val="single" w:sz="4" w:space="0" w:color="auto"/>
              <w:bottom w:val="single" w:sz="4" w:space="0" w:color="auto"/>
              <w:right w:val="single" w:sz="4" w:space="0" w:color="auto"/>
            </w:tcBorders>
          </w:tcPr>
          <w:p w14:paraId="6A3E979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3.20</w:t>
            </w:r>
          </w:p>
        </w:tc>
      </w:tr>
      <w:tr w:rsidR="00813A27" w:rsidRPr="00813A27" w14:paraId="2F936DDB" w14:textId="77777777" w:rsidTr="002B3A4F">
        <w:trPr>
          <w:jc w:val="center"/>
        </w:trPr>
        <w:tc>
          <w:tcPr>
            <w:tcW w:w="7267" w:type="dxa"/>
            <w:gridSpan w:val="5"/>
            <w:tcBorders>
              <w:left w:val="nil"/>
              <w:bottom w:val="nil"/>
              <w:right w:val="nil"/>
            </w:tcBorders>
          </w:tcPr>
          <w:p w14:paraId="61D7D1AB"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45EA3124" w14:textId="77777777" w:rsidR="00813A27" w:rsidRPr="00813A27" w:rsidRDefault="00813A27" w:rsidP="00813A27">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701"/>
        <w:gridCol w:w="1340"/>
        <w:gridCol w:w="1194"/>
        <w:gridCol w:w="1167"/>
        <w:gridCol w:w="34"/>
        <w:gridCol w:w="1194"/>
        <w:gridCol w:w="56"/>
        <w:gridCol w:w="213"/>
        <w:gridCol w:w="927"/>
      </w:tblGrid>
      <w:tr w:rsidR="00813A27" w:rsidRPr="00813A27" w14:paraId="11A5BD7C" w14:textId="77777777" w:rsidTr="002B3A4F">
        <w:trPr>
          <w:jc w:val="center"/>
        </w:trPr>
        <w:tc>
          <w:tcPr>
            <w:tcW w:w="6826" w:type="dxa"/>
            <w:gridSpan w:val="9"/>
            <w:tcBorders>
              <w:top w:val="nil"/>
              <w:left w:val="nil"/>
              <w:bottom w:val="single" w:sz="4" w:space="0" w:color="auto"/>
              <w:right w:val="nil"/>
            </w:tcBorders>
          </w:tcPr>
          <w:p w14:paraId="446C0FF7"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 INFLACIÓN MENSUAL</w:t>
            </w:r>
          </w:p>
          <w:p w14:paraId="00AD4110"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2EBF28B7" w14:textId="77777777" w:rsidTr="002B3A4F">
        <w:trPr>
          <w:jc w:val="center"/>
        </w:trPr>
        <w:tc>
          <w:tcPr>
            <w:tcW w:w="2041" w:type="dxa"/>
            <w:gridSpan w:val="2"/>
            <w:vMerge w:val="restart"/>
            <w:tcBorders>
              <w:top w:val="single" w:sz="4" w:space="0" w:color="auto"/>
              <w:left w:val="single" w:sz="4" w:space="0" w:color="auto"/>
              <w:bottom w:val="single" w:sz="4" w:space="0" w:color="auto"/>
              <w:right w:val="single" w:sz="4" w:space="0" w:color="auto"/>
            </w:tcBorders>
          </w:tcPr>
          <w:p w14:paraId="1E62FA25" w14:textId="77777777" w:rsidR="00813A27" w:rsidRPr="00813A27" w:rsidRDefault="00813A27" w:rsidP="00813A27">
            <w:pPr>
              <w:jc w:val="center"/>
              <w:rPr>
                <w:rFonts w:eastAsia="Calibri"/>
                <w:b/>
                <w:sz w:val="20"/>
                <w:szCs w:val="20"/>
                <w:lang w:eastAsia="en-US"/>
              </w:rPr>
            </w:pPr>
          </w:p>
        </w:tc>
        <w:tc>
          <w:tcPr>
            <w:tcW w:w="2395" w:type="dxa"/>
            <w:gridSpan w:val="3"/>
            <w:tcBorders>
              <w:top w:val="single" w:sz="4" w:space="0" w:color="auto"/>
              <w:left w:val="single" w:sz="4" w:space="0" w:color="auto"/>
              <w:bottom w:val="single" w:sz="4" w:space="0" w:color="auto"/>
              <w:right w:val="single" w:sz="4" w:space="0" w:color="auto"/>
            </w:tcBorders>
          </w:tcPr>
          <w:p w14:paraId="56230FF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90" w:type="dxa"/>
            <w:gridSpan w:val="4"/>
            <w:tcBorders>
              <w:top w:val="single" w:sz="4" w:space="0" w:color="auto"/>
              <w:left w:val="single" w:sz="4" w:space="0" w:color="auto"/>
              <w:bottom w:val="single" w:sz="4" w:space="0" w:color="auto"/>
              <w:right w:val="single" w:sz="4" w:space="0" w:color="auto"/>
            </w:tcBorders>
          </w:tcPr>
          <w:p w14:paraId="1A28EAA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1B479153" w14:textId="77777777" w:rsidTr="002B3A4F">
        <w:trPr>
          <w:trHeight w:val="290"/>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7689CDB8" w14:textId="77777777" w:rsidR="00813A27" w:rsidRPr="00813A27" w:rsidRDefault="00813A27" w:rsidP="00813A27">
            <w:pPr>
              <w:jc w:val="center"/>
              <w:rPr>
                <w:rFonts w:eastAsia="Calibri"/>
                <w:b/>
                <w:sz w:val="20"/>
                <w:szCs w:val="20"/>
                <w:lang w:eastAsia="en-US"/>
              </w:rPr>
            </w:pPr>
          </w:p>
        </w:tc>
        <w:tc>
          <w:tcPr>
            <w:tcW w:w="2395" w:type="dxa"/>
            <w:gridSpan w:val="3"/>
            <w:tcBorders>
              <w:top w:val="single" w:sz="4" w:space="0" w:color="auto"/>
              <w:left w:val="single" w:sz="4" w:space="0" w:color="auto"/>
              <w:bottom w:val="single" w:sz="4" w:space="0" w:color="auto"/>
              <w:right w:val="single" w:sz="4" w:space="0" w:color="auto"/>
            </w:tcBorders>
          </w:tcPr>
          <w:p w14:paraId="1FA5F27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90" w:type="dxa"/>
            <w:gridSpan w:val="4"/>
            <w:tcBorders>
              <w:top w:val="single" w:sz="4" w:space="0" w:color="auto"/>
              <w:left w:val="single" w:sz="4" w:space="0" w:color="auto"/>
              <w:bottom w:val="single" w:sz="4" w:space="0" w:color="auto"/>
              <w:right w:val="single" w:sz="4" w:space="0" w:color="auto"/>
            </w:tcBorders>
          </w:tcPr>
          <w:p w14:paraId="3C54C64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36357880" w14:textId="77777777" w:rsidTr="002B3A4F">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239ED679"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1F96B81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201" w:type="dxa"/>
            <w:gridSpan w:val="2"/>
            <w:tcBorders>
              <w:top w:val="single" w:sz="4" w:space="0" w:color="auto"/>
              <w:left w:val="single" w:sz="4" w:space="0" w:color="auto"/>
              <w:bottom w:val="single" w:sz="4" w:space="0" w:color="auto"/>
              <w:right w:val="single" w:sz="4" w:space="0" w:color="auto"/>
            </w:tcBorders>
          </w:tcPr>
          <w:p w14:paraId="74207BC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1D38869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6" w:type="dxa"/>
            <w:gridSpan w:val="3"/>
            <w:tcBorders>
              <w:top w:val="single" w:sz="4" w:space="0" w:color="auto"/>
              <w:left w:val="single" w:sz="4" w:space="0" w:color="auto"/>
              <w:bottom w:val="single" w:sz="4" w:space="0" w:color="auto"/>
              <w:right w:val="single" w:sz="4" w:space="0" w:color="auto"/>
            </w:tcBorders>
          </w:tcPr>
          <w:p w14:paraId="1C8F081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557C84A5" w14:textId="77777777" w:rsidTr="002B3A4F">
        <w:trPr>
          <w:jc w:val="center"/>
        </w:trPr>
        <w:tc>
          <w:tcPr>
            <w:tcW w:w="2041" w:type="dxa"/>
            <w:gridSpan w:val="2"/>
            <w:tcBorders>
              <w:top w:val="single" w:sz="4" w:space="0" w:color="auto"/>
              <w:left w:val="single" w:sz="4" w:space="0" w:color="auto"/>
              <w:bottom w:val="single" w:sz="4" w:space="0" w:color="auto"/>
            </w:tcBorders>
          </w:tcPr>
          <w:p w14:paraId="3C5C97CC" w14:textId="77777777" w:rsidR="00813A27" w:rsidRPr="00813A27" w:rsidRDefault="00813A27" w:rsidP="00813A27">
            <w:pPr>
              <w:jc w:val="both"/>
              <w:rPr>
                <w:rFonts w:eastAsia="Calibri"/>
                <w:sz w:val="20"/>
                <w:szCs w:val="20"/>
                <w:lang w:eastAsia="en-US"/>
              </w:rPr>
            </w:pPr>
            <w:r w:rsidRPr="00813A27">
              <w:rPr>
                <w:rFonts w:eastAsia="Calibri"/>
                <w:b/>
                <w:sz w:val="20"/>
                <w:szCs w:val="20"/>
                <w:lang w:eastAsia="en-US"/>
              </w:rPr>
              <w:t>Inflación General</w:t>
            </w:r>
          </w:p>
        </w:tc>
        <w:tc>
          <w:tcPr>
            <w:tcW w:w="4785" w:type="dxa"/>
            <w:gridSpan w:val="7"/>
            <w:tcBorders>
              <w:top w:val="single" w:sz="4" w:space="0" w:color="auto"/>
              <w:bottom w:val="single" w:sz="4" w:space="0" w:color="auto"/>
              <w:right w:val="single" w:sz="4" w:space="0" w:color="auto"/>
            </w:tcBorders>
          </w:tcPr>
          <w:p w14:paraId="47384A05" w14:textId="77777777" w:rsidR="00813A27" w:rsidRPr="00813A27" w:rsidRDefault="00813A27" w:rsidP="00813A27">
            <w:pPr>
              <w:jc w:val="both"/>
              <w:rPr>
                <w:rFonts w:eastAsia="Calibri"/>
                <w:sz w:val="20"/>
                <w:szCs w:val="20"/>
                <w:lang w:eastAsia="en-US"/>
              </w:rPr>
            </w:pPr>
          </w:p>
        </w:tc>
      </w:tr>
      <w:tr w:rsidR="00813A27" w:rsidRPr="00813A27" w14:paraId="32A838F6" w14:textId="77777777" w:rsidTr="002B3A4F">
        <w:trPr>
          <w:jc w:val="center"/>
        </w:trPr>
        <w:tc>
          <w:tcPr>
            <w:tcW w:w="701" w:type="dxa"/>
            <w:vMerge w:val="restart"/>
            <w:tcBorders>
              <w:top w:val="single" w:sz="4" w:space="0" w:color="auto"/>
              <w:left w:val="single" w:sz="4" w:space="0" w:color="auto"/>
              <w:right w:val="single" w:sz="4" w:space="0" w:color="auto"/>
            </w:tcBorders>
            <w:vAlign w:val="center"/>
          </w:tcPr>
          <w:p w14:paraId="24F99E3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2015</w:t>
            </w:r>
          </w:p>
        </w:tc>
        <w:tc>
          <w:tcPr>
            <w:tcW w:w="1340" w:type="dxa"/>
            <w:tcBorders>
              <w:top w:val="single" w:sz="4" w:space="0" w:color="auto"/>
              <w:left w:val="single" w:sz="4" w:space="0" w:color="auto"/>
              <w:bottom w:val="nil"/>
              <w:right w:val="single" w:sz="4" w:space="0" w:color="auto"/>
            </w:tcBorders>
          </w:tcPr>
          <w:p w14:paraId="17364EA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w:t>
            </w:r>
          </w:p>
        </w:tc>
        <w:tc>
          <w:tcPr>
            <w:tcW w:w="1194" w:type="dxa"/>
            <w:tcBorders>
              <w:top w:val="single" w:sz="4" w:space="0" w:color="auto"/>
              <w:left w:val="single" w:sz="4" w:space="0" w:color="auto"/>
              <w:bottom w:val="nil"/>
              <w:right w:val="single" w:sz="4" w:space="0" w:color="auto"/>
            </w:tcBorders>
          </w:tcPr>
          <w:p w14:paraId="19747E37"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0.32</w:t>
            </w:r>
          </w:p>
        </w:tc>
        <w:tc>
          <w:tcPr>
            <w:tcW w:w="1201" w:type="dxa"/>
            <w:gridSpan w:val="2"/>
            <w:tcBorders>
              <w:top w:val="single" w:sz="4" w:space="0" w:color="auto"/>
              <w:left w:val="single" w:sz="4" w:space="0" w:color="auto"/>
              <w:bottom w:val="nil"/>
              <w:right w:val="single" w:sz="4" w:space="0" w:color="auto"/>
            </w:tcBorders>
          </w:tcPr>
          <w:p w14:paraId="251ACF2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0.32</w:t>
            </w:r>
          </w:p>
        </w:tc>
        <w:tc>
          <w:tcPr>
            <w:tcW w:w="1250" w:type="dxa"/>
            <w:gridSpan w:val="2"/>
            <w:tcBorders>
              <w:top w:val="single" w:sz="4" w:space="0" w:color="auto"/>
              <w:left w:val="single" w:sz="4" w:space="0" w:color="auto"/>
              <w:bottom w:val="nil"/>
              <w:right w:val="single" w:sz="4" w:space="0" w:color="auto"/>
            </w:tcBorders>
          </w:tcPr>
          <w:p w14:paraId="10892C5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c>
          <w:tcPr>
            <w:tcW w:w="1140" w:type="dxa"/>
            <w:gridSpan w:val="2"/>
            <w:tcBorders>
              <w:top w:val="single" w:sz="4" w:space="0" w:color="auto"/>
              <w:left w:val="single" w:sz="4" w:space="0" w:color="auto"/>
              <w:bottom w:val="nil"/>
              <w:right w:val="single" w:sz="4" w:space="0" w:color="auto"/>
            </w:tcBorders>
          </w:tcPr>
          <w:p w14:paraId="7975AE2F"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0.32</w:t>
            </w:r>
          </w:p>
        </w:tc>
      </w:tr>
      <w:tr w:rsidR="00813A27" w:rsidRPr="00813A27" w14:paraId="4E64F949" w14:textId="77777777" w:rsidTr="002B3A4F">
        <w:trPr>
          <w:jc w:val="center"/>
        </w:trPr>
        <w:tc>
          <w:tcPr>
            <w:tcW w:w="701" w:type="dxa"/>
            <w:vMerge/>
            <w:tcBorders>
              <w:left w:val="single" w:sz="4" w:space="0" w:color="auto"/>
              <w:right w:val="single" w:sz="4" w:space="0" w:color="auto"/>
            </w:tcBorders>
            <w:vAlign w:val="center"/>
          </w:tcPr>
          <w:p w14:paraId="7A9E00D1"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A924EC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Abr.</w:t>
            </w:r>
          </w:p>
        </w:tc>
        <w:tc>
          <w:tcPr>
            <w:tcW w:w="1194" w:type="dxa"/>
            <w:tcBorders>
              <w:top w:val="nil"/>
              <w:left w:val="single" w:sz="4" w:space="0" w:color="auto"/>
              <w:bottom w:val="nil"/>
              <w:right w:val="single" w:sz="4" w:space="0" w:color="auto"/>
            </w:tcBorders>
          </w:tcPr>
          <w:p w14:paraId="79E433A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-0.06</w:t>
            </w:r>
          </w:p>
        </w:tc>
        <w:tc>
          <w:tcPr>
            <w:tcW w:w="1201" w:type="dxa"/>
            <w:gridSpan w:val="2"/>
            <w:tcBorders>
              <w:top w:val="nil"/>
              <w:left w:val="single" w:sz="4" w:space="0" w:color="auto"/>
              <w:bottom w:val="nil"/>
              <w:right w:val="single" w:sz="4" w:space="0" w:color="auto"/>
            </w:tcBorders>
          </w:tcPr>
          <w:p w14:paraId="429D8872"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-0.05</w:t>
            </w:r>
          </w:p>
        </w:tc>
        <w:tc>
          <w:tcPr>
            <w:tcW w:w="1250" w:type="dxa"/>
            <w:gridSpan w:val="2"/>
            <w:tcBorders>
              <w:top w:val="nil"/>
              <w:left w:val="single" w:sz="4" w:space="0" w:color="auto"/>
              <w:bottom w:val="nil"/>
              <w:right w:val="single" w:sz="4" w:space="0" w:color="auto"/>
            </w:tcBorders>
          </w:tcPr>
          <w:p w14:paraId="3088590D"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-0.08</w:t>
            </w:r>
          </w:p>
        </w:tc>
        <w:tc>
          <w:tcPr>
            <w:tcW w:w="1140" w:type="dxa"/>
            <w:gridSpan w:val="2"/>
            <w:tcBorders>
              <w:top w:val="nil"/>
              <w:left w:val="single" w:sz="4" w:space="0" w:color="auto"/>
              <w:bottom w:val="nil"/>
              <w:right w:val="single" w:sz="4" w:space="0" w:color="auto"/>
            </w:tcBorders>
          </w:tcPr>
          <w:p w14:paraId="79CD272E"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-0.05</w:t>
            </w:r>
          </w:p>
        </w:tc>
      </w:tr>
      <w:tr w:rsidR="00813A27" w:rsidRPr="00813A27" w14:paraId="324746C3" w14:textId="77777777" w:rsidTr="002B3A4F">
        <w:trPr>
          <w:jc w:val="center"/>
        </w:trPr>
        <w:tc>
          <w:tcPr>
            <w:tcW w:w="701" w:type="dxa"/>
            <w:vMerge/>
            <w:tcBorders>
              <w:left w:val="single" w:sz="4" w:space="0" w:color="auto"/>
              <w:right w:val="single" w:sz="4" w:space="0" w:color="auto"/>
            </w:tcBorders>
            <w:vAlign w:val="center"/>
          </w:tcPr>
          <w:p w14:paraId="12BC3CD0"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5A75C27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May.</w:t>
            </w:r>
          </w:p>
        </w:tc>
        <w:tc>
          <w:tcPr>
            <w:tcW w:w="1194" w:type="dxa"/>
            <w:tcBorders>
              <w:top w:val="nil"/>
              <w:left w:val="single" w:sz="4" w:space="0" w:color="auto"/>
              <w:bottom w:val="nil"/>
              <w:right w:val="single" w:sz="4" w:space="0" w:color="auto"/>
            </w:tcBorders>
          </w:tcPr>
          <w:p w14:paraId="72B327D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c>
          <w:tcPr>
            <w:tcW w:w="1201" w:type="dxa"/>
            <w:gridSpan w:val="2"/>
            <w:tcBorders>
              <w:top w:val="nil"/>
              <w:left w:val="single" w:sz="4" w:space="0" w:color="auto"/>
              <w:bottom w:val="nil"/>
              <w:right w:val="single" w:sz="4" w:space="0" w:color="auto"/>
            </w:tcBorders>
          </w:tcPr>
          <w:p w14:paraId="5E0BB18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-0.33</w:t>
            </w:r>
          </w:p>
        </w:tc>
        <w:tc>
          <w:tcPr>
            <w:tcW w:w="1250" w:type="dxa"/>
            <w:gridSpan w:val="2"/>
            <w:tcBorders>
              <w:top w:val="nil"/>
              <w:left w:val="single" w:sz="4" w:space="0" w:color="auto"/>
              <w:bottom w:val="nil"/>
              <w:right w:val="single" w:sz="4" w:space="0" w:color="auto"/>
            </w:tcBorders>
          </w:tcPr>
          <w:p w14:paraId="01A5726A"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c>
          <w:tcPr>
            <w:tcW w:w="1140" w:type="dxa"/>
            <w:gridSpan w:val="2"/>
            <w:tcBorders>
              <w:top w:val="nil"/>
              <w:left w:val="single" w:sz="4" w:space="0" w:color="auto"/>
              <w:bottom w:val="nil"/>
              <w:right w:val="single" w:sz="4" w:space="0" w:color="auto"/>
            </w:tcBorders>
          </w:tcPr>
          <w:p w14:paraId="43230A19"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r>
      <w:tr w:rsidR="00813A27" w:rsidRPr="00813A27" w14:paraId="1A0A6840" w14:textId="77777777" w:rsidTr="002B3A4F">
        <w:trPr>
          <w:jc w:val="center"/>
        </w:trPr>
        <w:tc>
          <w:tcPr>
            <w:tcW w:w="701" w:type="dxa"/>
            <w:vMerge/>
            <w:tcBorders>
              <w:left w:val="single" w:sz="4" w:space="0" w:color="auto"/>
              <w:right w:val="single" w:sz="4" w:space="0" w:color="auto"/>
            </w:tcBorders>
            <w:vAlign w:val="center"/>
          </w:tcPr>
          <w:p w14:paraId="7372786F"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0983331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Jun.</w:t>
            </w:r>
          </w:p>
        </w:tc>
        <w:tc>
          <w:tcPr>
            <w:tcW w:w="1194" w:type="dxa"/>
            <w:tcBorders>
              <w:top w:val="nil"/>
              <w:left w:val="single" w:sz="4" w:space="0" w:color="auto"/>
              <w:bottom w:val="nil"/>
              <w:right w:val="single" w:sz="4" w:space="0" w:color="auto"/>
            </w:tcBorders>
          </w:tcPr>
          <w:p w14:paraId="094C8B8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0.17</w:t>
            </w:r>
          </w:p>
        </w:tc>
        <w:tc>
          <w:tcPr>
            <w:tcW w:w="1201" w:type="dxa"/>
            <w:gridSpan w:val="2"/>
            <w:tcBorders>
              <w:top w:val="nil"/>
              <w:left w:val="single" w:sz="4" w:space="0" w:color="auto"/>
              <w:bottom w:val="nil"/>
              <w:right w:val="single" w:sz="4" w:space="0" w:color="auto"/>
            </w:tcBorders>
          </w:tcPr>
          <w:p w14:paraId="589138B1"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0.18</w:t>
            </w:r>
          </w:p>
        </w:tc>
        <w:tc>
          <w:tcPr>
            <w:tcW w:w="1250" w:type="dxa"/>
            <w:gridSpan w:val="2"/>
            <w:tcBorders>
              <w:top w:val="nil"/>
              <w:left w:val="single" w:sz="4" w:space="0" w:color="auto"/>
              <w:bottom w:val="nil"/>
              <w:right w:val="single" w:sz="4" w:space="0" w:color="auto"/>
            </w:tcBorders>
          </w:tcPr>
          <w:p w14:paraId="5638D429"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0.17</w:t>
            </w:r>
          </w:p>
        </w:tc>
        <w:tc>
          <w:tcPr>
            <w:tcW w:w="1140" w:type="dxa"/>
            <w:gridSpan w:val="2"/>
            <w:tcBorders>
              <w:top w:val="nil"/>
              <w:left w:val="single" w:sz="4" w:space="0" w:color="auto"/>
              <w:bottom w:val="nil"/>
              <w:right w:val="single" w:sz="4" w:space="0" w:color="auto"/>
            </w:tcBorders>
          </w:tcPr>
          <w:p w14:paraId="5D301E61"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0.17</w:t>
            </w:r>
          </w:p>
        </w:tc>
      </w:tr>
      <w:tr w:rsidR="00813A27" w:rsidRPr="00813A27" w14:paraId="60CE5821" w14:textId="77777777" w:rsidTr="002B3A4F">
        <w:trPr>
          <w:jc w:val="center"/>
        </w:trPr>
        <w:tc>
          <w:tcPr>
            <w:tcW w:w="701" w:type="dxa"/>
            <w:vMerge/>
            <w:tcBorders>
              <w:left w:val="single" w:sz="4" w:space="0" w:color="auto"/>
              <w:right w:val="single" w:sz="4" w:space="0" w:color="auto"/>
            </w:tcBorders>
            <w:vAlign w:val="center"/>
          </w:tcPr>
          <w:p w14:paraId="1C4E2024"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7C33C41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Jul.</w:t>
            </w:r>
          </w:p>
        </w:tc>
        <w:tc>
          <w:tcPr>
            <w:tcW w:w="1194" w:type="dxa"/>
            <w:tcBorders>
              <w:top w:val="nil"/>
              <w:left w:val="single" w:sz="4" w:space="0" w:color="auto"/>
              <w:bottom w:val="nil"/>
              <w:right w:val="single" w:sz="4" w:space="0" w:color="auto"/>
            </w:tcBorders>
          </w:tcPr>
          <w:p w14:paraId="68F69D57"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0.29</w:t>
            </w:r>
          </w:p>
        </w:tc>
        <w:tc>
          <w:tcPr>
            <w:tcW w:w="1201" w:type="dxa"/>
            <w:gridSpan w:val="2"/>
            <w:tcBorders>
              <w:top w:val="nil"/>
              <w:left w:val="single" w:sz="4" w:space="0" w:color="auto"/>
              <w:bottom w:val="nil"/>
              <w:right w:val="single" w:sz="4" w:space="0" w:color="auto"/>
            </w:tcBorders>
          </w:tcPr>
          <w:p w14:paraId="57FEFD87"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c>
          <w:tcPr>
            <w:tcW w:w="1250" w:type="dxa"/>
            <w:gridSpan w:val="2"/>
            <w:tcBorders>
              <w:top w:val="nil"/>
              <w:left w:val="single" w:sz="4" w:space="0" w:color="auto"/>
              <w:bottom w:val="nil"/>
              <w:right w:val="single" w:sz="4" w:space="0" w:color="auto"/>
            </w:tcBorders>
          </w:tcPr>
          <w:p w14:paraId="6C510599"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0.29</w:t>
            </w:r>
          </w:p>
        </w:tc>
        <w:tc>
          <w:tcPr>
            <w:tcW w:w="1140" w:type="dxa"/>
            <w:gridSpan w:val="2"/>
            <w:tcBorders>
              <w:top w:val="nil"/>
              <w:left w:val="single" w:sz="4" w:space="0" w:color="auto"/>
              <w:bottom w:val="nil"/>
              <w:right w:val="single" w:sz="4" w:space="0" w:color="auto"/>
            </w:tcBorders>
          </w:tcPr>
          <w:p w14:paraId="7B50AB7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r>
      <w:tr w:rsidR="00813A27" w:rsidRPr="00813A27" w14:paraId="00322E14" w14:textId="77777777" w:rsidTr="002B3A4F">
        <w:trPr>
          <w:jc w:val="center"/>
        </w:trPr>
        <w:tc>
          <w:tcPr>
            <w:tcW w:w="701" w:type="dxa"/>
            <w:vMerge/>
            <w:tcBorders>
              <w:left w:val="single" w:sz="4" w:space="0" w:color="auto"/>
              <w:right w:val="single" w:sz="4" w:space="0" w:color="auto"/>
            </w:tcBorders>
            <w:vAlign w:val="center"/>
          </w:tcPr>
          <w:p w14:paraId="6717E5D8"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AD972F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Ago.</w:t>
            </w:r>
          </w:p>
        </w:tc>
        <w:tc>
          <w:tcPr>
            <w:tcW w:w="1194" w:type="dxa"/>
            <w:tcBorders>
              <w:top w:val="nil"/>
              <w:left w:val="single" w:sz="4" w:space="0" w:color="auto"/>
              <w:bottom w:val="nil"/>
              <w:right w:val="single" w:sz="4" w:space="0" w:color="auto"/>
            </w:tcBorders>
          </w:tcPr>
          <w:p w14:paraId="231C9CB1"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c>
          <w:tcPr>
            <w:tcW w:w="1201" w:type="dxa"/>
            <w:gridSpan w:val="2"/>
            <w:tcBorders>
              <w:top w:val="nil"/>
              <w:left w:val="single" w:sz="4" w:space="0" w:color="auto"/>
              <w:bottom w:val="nil"/>
              <w:right w:val="single" w:sz="4" w:space="0" w:color="auto"/>
            </w:tcBorders>
          </w:tcPr>
          <w:p w14:paraId="1BB3EACD"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0.31</w:t>
            </w:r>
          </w:p>
        </w:tc>
        <w:tc>
          <w:tcPr>
            <w:tcW w:w="1250" w:type="dxa"/>
            <w:gridSpan w:val="2"/>
            <w:tcBorders>
              <w:top w:val="nil"/>
              <w:left w:val="single" w:sz="4" w:space="0" w:color="auto"/>
              <w:bottom w:val="nil"/>
              <w:right w:val="single" w:sz="4" w:space="0" w:color="auto"/>
            </w:tcBorders>
          </w:tcPr>
          <w:p w14:paraId="60436C4C"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c>
          <w:tcPr>
            <w:tcW w:w="1140" w:type="dxa"/>
            <w:gridSpan w:val="2"/>
            <w:tcBorders>
              <w:top w:val="nil"/>
              <w:left w:val="single" w:sz="4" w:space="0" w:color="auto"/>
              <w:bottom w:val="nil"/>
              <w:right w:val="single" w:sz="4" w:space="0" w:color="auto"/>
            </w:tcBorders>
          </w:tcPr>
          <w:p w14:paraId="159E97CC"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r>
      <w:tr w:rsidR="00813A27" w:rsidRPr="00813A27" w14:paraId="66C240B7" w14:textId="77777777" w:rsidTr="002B3A4F">
        <w:trPr>
          <w:jc w:val="center"/>
        </w:trPr>
        <w:tc>
          <w:tcPr>
            <w:tcW w:w="701" w:type="dxa"/>
            <w:vMerge/>
            <w:tcBorders>
              <w:left w:val="single" w:sz="4" w:space="0" w:color="auto"/>
              <w:right w:val="single" w:sz="4" w:space="0" w:color="auto"/>
            </w:tcBorders>
          </w:tcPr>
          <w:p w14:paraId="201E54E3"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6AB54F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Sep.</w:t>
            </w:r>
          </w:p>
        </w:tc>
        <w:tc>
          <w:tcPr>
            <w:tcW w:w="1194" w:type="dxa"/>
            <w:tcBorders>
              <w:top w:val="nil"/>
              <w:left w:val="single" w:sz="4" w:space="0" w:color="auto"/>
              <w:bottom w:val="nil"/>
              <w:right w:val="single" w:sz="4" w:space="0" w:color="auto"/>
            </w:tcBorders>
          </w:tcPr>
          <w:p w14:paraId="35E7816A"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0.41</w:t>
            </w:r>
          </w:p>
        </w:tc>
        <w:tc>
          <w:tcPr>
            <w:tcW w:w="1201" w:type="dxa"/>
            <w:gridSpan w:val="2"/>
            <w:tcBorders>
              <w:top w:val="nil"/>
              <w:left w:val="single" w:sz="4" w:space="0" w:color="auto"/>
              <w:bottom w:val="nil"/>
              <w:right w:val="single" w:sz="4" w:space="0" w:color="auto"/>
            </w:tcBorders>
          </w:tcPr>
          <w:p w14:paraId="0D5C98C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0.43</w:t>
            </w:r>
          </w:p>
        </w:tc>
        <w:tc>
          <w:tcPr>
            <w:tcW w:w="1250" w:type="dxa"/>
            <w:gridSpan w:val="2"/>
            <w:tcBorders>
              <w:top w:val="nil"/>
              <w:left w:val="single" w:sz="4" w:space="0" w:color="auto"/>
              <w:bottom w:val="nil"/>
              <w:right w:val="single" w:sz="4" w:space="0" w:color="auto"/>
            </w:tcBorders>
          </w:tcPr>
          <w:p w14:paraId="345CBE0A"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0.41</w:t>
            </w:r>
          </w:p>
        </w:tc>
        <w:tc>
          <w:tcPr>
            <w:tcW w:w="1140" w:type="dxa"/>
            <w:gridSpan w:val="2"/>
            <w:tcBorders>
              <w:top w:val="nil"/>
              <w:left w:val="single" w:sz="4" w:space="0" w:color="auto"/>
              <w:bottom w:val="nil"/>
              <w:right w:val="single" w:sz="4" w:space="0" w:color="auto"/>
            </w:tcBorders>
          </w:tcPr>
          <w:p w14:paraId="64F359A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0.43</w:t>
            </w:r>
          </w:p>
        </w:tc>
      </w:tr>
      <w:tr w:rsidR="00813A27" w:rsidRPr="00813A27" w14:paraId="2F6AE34B" w14:textId="77777777" w:rsidTr="002B3A4F">
        <w:trPr>
          <w:jc w:val="center"/>
        </w:trPr>
        <w:tc>
          <w:tcPr>
            <w:tcW w:w="701" w:type="dxa"/>
            <w:vMerge/>
            <w:tcBorders>
              <w:left w:val="single" w:sz="4" w:space="0" w:color="auto"/>
              <w:right w:val="single" w:sz="4" w:space="0" w:color="auto"/>
            </w:tcBorders>
          </w:tcPr>
          <w:p w14:paraId="45399468"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CFF312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Oct.</w:t>
            </w:r>
          </w:p>
        </w:tc>
        <w:tc>
          <w:tcPr>
            <w:tcW w:w="1194" w:type="dxa"/>
            <w:tcBorders>
              <w:top w:val="nil"/>
              <w:left w:val="single" w:sz="4" w:space="0" w:color="auto"/>
              <w:bottom w:val="nil"/>
              <w:right w:val="single" w:sz="4" w:space="0" w:color="auto"/>
            </w:tcBorders>
          </w:tcPr>
          <w:p w14:paraId="750D50B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0.53</w:t>
            </w:r>
          </w:p>
        </w:tc>
        <w:tc>
          <w:tcPr>
            <w:tcW w:w="1201" w:type="dxa"/>
            <w:gridSpan w:val="2"/>
            <w:tcBorders>
              <w:top w:val="nil"/>
              <w:left w:val="single" w:sz="4" w:space="0" w:color="auto"/>
              <w:bottom w:val="nil"/>
              <w:right w:val="single" w:sz="4" w:space="0" w:color="auto"/>
            </w:tcBorders>
          </w:tcPr>
          <w:p w14:paraId="1ADDD15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0.52</w:t>
            </w:r>
          </w:p>
        </w:tc>
        <w:tc>
          <w:tcPr>
            <w:tcW w:w="1250" w:type="dxa"/>
            <w:gridSpan w:val="2"/>
            <w:tcBorders>
              <w:top w:val="nil"/>
              <w:left w:val="single" w:sz="4" w:space="0" w:color="auto"/>
              <w:bottom w:val="nil"/>
              <w:right w:val="single" w:sz="4" w:space="0" w:color="auto"/>
            </w:tcBorders>
          </w:tcPr>
          <w:p w14:paraId="4AB41F04"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0.52</w:t>
            </w:r>
          </w:p>
        </w:tc>
        <w:tc>
          <w:tcPr>
            <w:tcW w:w="1140" w:type="dxa"/>
            <w:gridSpan w:val="2"/>
            <w:tcBorders>
              <w:top w:val="nil"/>
              <w:left w:val="single" w:sz="4" w:space="0" w:color="auto"/>
              <w:bottom w:val="nil"/>
              <w:right w:val="single" w:sz="4" w:space="0" w:color="auto"/>
            </w:tcBorders>
          </w:tcPr>
          <w:p w14:paraId="7B16A954"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0.52</w:t>
            </w:r>
          </w:p>
        </w:tc>
      </w:tr>
      <w:tr w:rsidR="00813A27" w:rsidRPr="00813A27" w14:paraId="7A8326B8" w14:textId="77777777" w:rsidTr="002B3A4F">
        <w:trPr>
          <w:jc w:val="center"/>
        </w:trPr>
        <w:tc>
          <w:tcPr>
            <w:tcW w:w="701" w:type="dxa"/>
            <w:vMerge/>
            <w:tcBorders>
              <w:left w:val="single" w:sz="4" w:space="0" w:color="auto"/>
              <w:right w:val="single" w:sz="4" w:space="0" w:color="auto"/>
            </w:tcBorders>
            <w:vAlign w:val="center"/>
          </w:tcPr>
          <w:p w14:paraId="329E7DC0"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054B0FD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Nov.</w:t>
            </w:r>
          </w:p>
        </w:tc>
        <w:tc>
          <w:tcPr>
            <w:tcW w:w="1194" w:type="dxa"/>
            <w:tcBorders>
              <w:top w:val="nil"/>
              <w:left w:val="single" w:sz="4" w:space="0" w:color="auto"/>
              <w:bottom w:val="nil"/>
              <w:right w:val="single" w:sz="4" w:space="0" w:color="auto"/>
            </w:tcBorders>
          </w:tcPr>
          <w:p w14:paraId="2BAC2DFC"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0.80</w:t>
            </w:r>
          </w:p>
        </w:tc>
        <w:tc>
          <w:tcPr>
            <w:tcW w:w="1201" w:type="dxa"/>
            <w:gridSpan w:val="2"/>
            <w:tcBorders>
              <w:top w:val="nil"/>
              <w:left w:val="single" w:sz="4" w:space="0" w:color="auto"/>
              <w:bottom w:val="nil"/>
              <w:right w:val="single" w:sz="4" w:space="0" w:color="auto"/>
            </w:tcBorders>
          </w:tcPr>
          <w:p w14:paraId="076CE5D5"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0.79</w:t>
            </w:r>
          </w:p>
        </w:tc>
        <w:tc>
          <w:tcPr>
            <w:tcW w:w="1250" w:type="dxa"/>
            <w:gridSpan w:val="2"/>
            <w:tcBorders>
              <w:top w:val="nil"/>
              <w:left w:val="single" w:sz="4" w:space="0" w:color="auto"/>
              <w:bottom w:val="nil"/>
              <w:right w:val="single" w:sz="4" w:space="0" w:color="auto"/>
            </w:tcBorders>
          </w:tcPr>
          <w:p w14:paraId="77B9C237"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0.80</w:t>
            </w:r>
          </w:p>
        </w:tc>
        <w:tc>
          <w:tcPr>
            <w:tcW w:w="1140" w:type="dxa"/>
            <w:gridSpan w:val="2"/>
            <w:tcBorders>
              <w:top w:val="nil"/>
              <w:left w:val="single" w:sz="4" w:space="0" w:color="auto"/>
              <w:bottom w:val="nil"/>
              <w:right w:val="single" w:sz="4" w:space="0" w:color="auto"/>
            </w:tcBorders>
          </w:tcPr>
          <w:p w14:paraId="2C5CADC5"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0.77</w:t>
            </w:r>
          </w:p>
        </w:tc>
      </w:tr>
      <w:tr w:rsidR="00813A27" w:rsidRPr="00813A27" w14:paraId="1F7501E6" w14:textId="77777777" w:rsidTr="002B3A4F">
        <w:trPr>
          <w:jc w:val="center"/>
        </w:trPr>
        <w:tc>
          <w:tcPr>
            <w:tcW w:w="701" w:type="dxa"/>
            <w:vMerge/>
            <w:tcBorders>
              <w:left w:val="single" w:sz="4" w:space="0" w:color="auto"/>
              <w:bottom w:val="single" w:sz="4" w:space="0" w:color="auto"/>
              <w:right w:val="single" w:sz="4" w:space="0" w:color="auto"/>
            </w:tcBorders>
            <w:vAlign w:val="center"/>
          </w:tcPr>
          <w:p w14:paraId="14715DFA"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5C2F007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Dic.</w:t>
            </w:r>
          </w:p>
        </w:tc>
        <w:tc>
          <w:tcPr>
            <w:tcW w:w="1194" w:type="dxa"/>
            <w:tcBorders>
              <w:top w:val="nil"/>
              <w:left w:val="single" w:sz="4" w:space="0" w:color="auto"/>
              <w:bottom w:val="single" w:sz="4" w:space="0" w:color="auto"/>
              <w:right w:val="single" w:sz="4" w:space="0" w:color="auto"/>
            </w:tcBorders>
          </w:tcPr>
          <w:p w14:paraId="1232658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0.50</w:t>
            </w:r>
          </w:p>
        </w:tc>
        <w:tc>
          <w:tcPr>
            <w:tcW w:w="1201" w:type="dxa"/>
            <w:gridSpan w:val="2"/>
            <w:tcBorders>
              <w:top w:val="nil"/>
              <w:left w:val="single" w:sz="4" w:space="0" w:color="auto"/>
              <w:bottom w:val="single" w:sz="4" w:space="0" w:color="auto"/>
              <w:right w:val="single" w:sz="4" w:space="0" w:color="auto"/>
            </w:tcBorders>
          </w:tcPr>
          <w:p w14:paraId="326D7C4E"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0.50</w:t>
            </w:r>
          </w:p>
        </w:tc>
        <w:tc>
          <w:tcPr>
            <w:tcW w:w="1250" w:type="dxa"/>
            <w:gridSpan w:val="2"/>
            <w:tcBorders>
              <w:top w:val="nil"/>
              <w:left w:val="single" w:sz="4" w:space="0" w:color="auto"/>
              <w:bottom w:val="single" w:sz="4" w:space="0" w:color="auto"/>
              <w:right w:val="single" w:sz="4" w:space="0" w:color="auto"/>
            </w:tcBorders>
          </w:tcPr>
          <w:p w14:paraId="2D467FC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0.47</w:t>
            </w:r>
          </w:p>
        </w:tc>
        <w:tc>
          <w:tcPr>
            <w:tcW w:w="1140" w:type="dxa"/>
            <w:gridSpan w:val="2"/>
            <w:tcBorders>
              <w:top w:val="nil"/>
              <w:left w:val="single" w:sz="4" w:space="0" w:color="auto"/>
              <w:bottom w:val="single" w:sz="4" w:space="0" w:color="auto"/>
              <w:right w:val="single" w:sz="4" w:space="0" w:color="auto"/>
            </w:tcBorders>
          </w:tcPr>
          <w:p w14:paraId="04A094B1"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0.50</w:t>
            </w:r>
          </w:p>
        </w:tc>
      </w:tr>
      <w:tr w:rsidR="00813A27" w:rsidRPr="00813A27" w14:paraId="6BB78E80" w14:textId="77777777" w:rsidTr="002B3A4F">
        <w:trPr>
          <w:jc w:val="center"/>
        </w:trPr>
        <w:tc>
          <w:tcPr>
            <w:tcW w:w="701" w:type="dxa"/>
            <w:vMerge w:val="restart"/>
            <w:tcBorders>
              <w:top w:val="single" w:sz="4" w:space="0" w:color="auto"/>
              <w:left w:val="single" w:sz="4" w:space="0" w:color="auto"/>
              <w:bottom w:val="nil"/>
              <w:right w:val="single" w:sz="4" w:space="0" w:color="auto"/>
            </w:tcBorders>
            <w:vAlign w:val="center"/>
          </w:tcPr>
          <w:p w14:paraId="66D6A5D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2016</w:t>
            </w:r>
          </w:p>
        </w:tc>
        <w:tc>
          <w:tcPr>
            <w:tcW w:w="1340" w:type="dxa"/>
            <w:tcBorders>
              <w:top w:val="single" w:sz="4" w:space="0" w:color="auto"/>
              <w:left w:val="single" w:sz="4" w:space="0" w:color="auto"/>
              <w:bottom w:val="nil"/>
              <w:right w:val="single" w:sz="4" w:space="0" w:color="auto"/>
            </w:tcBorders>
          </w:tcPr>
          <w:p w14:paraId="53A5791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Ene.</w:t>
            </w:r>
          </w:p>
        </w:tc>
        <w:tc>
          <w:tcPr>
            <w:tcW w:w="1194" w:type="dxa"/>
            <w:tcBorders>
              <w:top w:val="single" w:sz="4" w:space="0" w:color="auto"/>
              <w:left w:val="single" w:sz="4" w:space="0" w:color="auto"/>
              <w:bottom w:val="nil"/>
              <w:right w:val="single" w:sz="4" w:space="0" w:color="auto"/>
            </w:tcBorders>
          </w:tcPr>
          <w:p w14:paraId="0E23E3A4"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0.41</w:t>
            </w:r>
          </w:p>
        </w:tc>
        <w:tc>
          <w:tcPr>
            <w:tcW w:w="1201" w:type="dxa"/>
            <w:gridSpan w:val="2"/>
            <w:tcBorders>
              <w:top w:val="single" w:sz="4" w:space="0" w:color="auto"/>
              <w:left w:val="single" w:sz="4" w:space="0" w:color="auto"/>
              <w:bottom w:val="nil"/>
              <w:right w:val="single" w:sz="4" w:space="0" w:color="auto"/>
            </w:tcBorders>
          </w:tcPr>
          <w:p w14:paraId="11E0D47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0.42</w:t>
            </w:r>
          </w:p>
        </w:tc>
        <w:tc>
          <w:tcPr>
            <w:tcW w:w="1250" w:type="dxa"/>
            <w:gridSpan w:val="2"/>
            <w:tcBorders>
              <w:top w:val="single" w:sz="4" w:space="0" w:color="auto"/>
              <w:left w:val="single" w:sz="4" w:space="0" w:color="auto"/>
              <w:bottom w:val="nil"/>
              <w:right w:val="single" w:sz="4" w:space="0" w:color="auto"/>
            </w:tcBorders>
          </w:tcPr>
          <w:p w14:paraId="79436A1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0.44</w:t>
            </w:r>
          </w:p>
        </w:tc>
        <w:tc>
          <w:tcPr>
            <w:tcW w:w="1140" w:type="dxa"/>
            <w:gridSpan w:val="2"/>
            <w:tcBorders>
              <w:top w:val="single" w:sz="4" w:space="0" w:color="auto"/>
              <w:left w:val="single" w:sz="4" w:space="0" w:color="auto"/>
              <w:bottom w:val="nil"/>
              <w:right w:val="single" w:sz="4" w:space="0" w:color="auto"/>
            </w:tcBorders>
          </w:tcPr>
          <w:p w14:paraId="2A49C92D"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0.43</w:t>
            </w:r>
          </w:p>
        </w:tc>
      </w:tr>
      <w:tr w:rsidR="00813A27" w:rsidRPr="00813A27" w14:paraId="40F1BA8B" w14:textId="77777777" w:rsidTr="002B3A4F">
        <w:trPr>
          <w:jc w:val="center"/>
        </w:trPr>
        <w:tc>
          <w:tcPr>
            <w:tcW w:w="701" w:type="dxa"/>
            <w:vMerge/>
            <w:tcBorders>
              <w:top w:val="nil"/>
              <w:left w:val="single" w:sz="4" w:space="0" w:color="auto"/>
              <w:right w:val="single" w:sz="4" w:space="0" w:color="auto"/>
            </w:tcBorders>
            <w:vAlign w:val="center"/>
          </w:tcPr>
          <w:p w14:paraId="7BE2A574"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0F2552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w:t>
            </w:r>
          </w:p>
        </w:tc>
        <w:tc>
          <w:tcPr>
            <w:tcW w:w="1194" w:type="dxa"/>
            <w:tcBorders>
              <w:top w:val="nil"/>
              <w:left w:val="single" w:sz="4" w:space="0" w:color="auto"/>
              <w:bottom w:val="nil"/>
              <w:right w:val="single" w:sz="4" w:space="0" w:color="auto"/>
            </w:tcBorders>
          </w:tcPr>
          <w:p w14:paraId="2BB9259D"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0.27</w:t>
            </w:r>
          </w:p>
        </w:tc>
        <w:tc>
          <w:tcPr>
            <w:tcW w:w="1201" w:type="dxa"/>
            <w:gridSpan w:val="2"/>
            <w:tcBorders>
              <w:top w:val="nil"/>
              <w:left w:val="single" w:sz="4" w:space="0" w:color="auto"/>
              <w:bottom w:val="nil"/>
              <w:right w:val="single" w:sz="4" w:space="0" w:color="auto"/>
            </w:tcBorders>
          </w:tcPr>
          <w:p w14:paraId="78E4C23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0.28</w:t>
            </w:r>
          </w:p>
        </w:tc>
        <w:tc>
          <w:tcPr>
            <w:tcW w:w="1250" w:type="dxa"/>
            <w:gridSpan w:val="2"/>
            <w:tcBorders>
              <w:top w:val="nil"/>
              <w:left w:val="single" w:sz="4" w:space="0" w:color="auto"/>
              <w:bottom w:val="nil"/>
              <w:right w:val="single" w:sz="4" w:space="0" w:color="auto"/>
            </w:tcBorders>
          </w:tcPr>
          <w:p w14:paraId="7AFB8B1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0.27</w:t>
            </w:r>
          </w:p>
        </w:tc>
        <w:tc>
          <w:tcPr>
            <w:tcW w:w="1140" w:type="dxa"/>
            <w:gridSpan w:val="2"/>
            <w:tcBorders>
              <w:top w:val="nil"/>
              <w:left w:val="single" w:sz="4" w:space="0" w:color="auto"/>
              <w:bottom w:val="nil"/>
              <w:right w:val="single" w:sz="4" w:space="0" w:color="auto"/>
            </w:tcBorders>
          </w:tcPr>
          <w:p w14:paraId="1F1342AD"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0.27</w:t>
            </w:r>
          </w:p>
        </w:tc>
      </w:tr>
      <w:tr w:rsidR="00813A27" w:rsidRPr="00813A27" w14:paraId="337C520A" w14:textId="77777777" w:rsidTr="002B3A4F">
        <w:trPr>
          <w:jc w:val="center"/>
        </w:trPr>
        <w:tc>
          <w:tcPr>
            <w:tcW w:w="701" w:type="dxa"/>
            <w:vMerge/>
            <w:tcBorders>
              <w:left w:val="single" w:sz="4" w:space="0" w:color="auto"/>
              <w:bottom w:val="single" w:sz="4" w:space="0" w:color="auto"/>
              <w:right w:val="single" w:sz="4" w:space="0" w:color="auto"/>
            </w:tcBorders>
          </w:tcPr>
          <w:p w14:paraId="148E3C38"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2FA8DC0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w:t>
            </w:r>
          </w:p>
        </w:tc>
        <w:tc>
          <w:tcPr>
            <w:tcW w:w="1194" w:type="dxa"/>
            <w:tcBorders>
              <w:top w:val="nil"/>
              <w:left w:val="single" w:sz="4" w:space="0" w:color="auto"/>
              <w:bottom w:val="single" w:sz="4" w:space="0" w:color="auto"/>
              <w:right w:val="single" w:sz="4" w:space="0" w:color="auto"/>
            </w:tcBorders>
          </w:tcPr>
          <w:p w14:paraId="7C0DCE68" w14:textId="77777777" w:rsidR="00813A27" w:rsidRPr="00813A27" w:rsidRDefault="00813A27" w:rsidP="00813A27">
            <w:pPr>
              <w:ind w:right="284"/>
              <w:jc w:val="right"/>
              <w:rPr>
                <w:rFonts w:eastAsia="Calibri"/>
                <w:sz w:val="20"/>
                <w:szCs w:val="20"/>
                <w:lang w:eastAsia="en-US"/>
              </w:rPr>
            </w:pPr>
          </w:p>
        </w:tc>
        <w:tc>
          <w:tcPr>
            <w:tcW w:w="1201" w:type="dxa"/>
            <w:gridSpan w:val="2"/>
            <w:tcBorders>
              <w:top w:val="nil"/>
              <w:left w:val="single" w:sz="4" w:space="0" w:color="auto"/>
              <w:bottom w:val="single" w:sz="4" w:space="0" w:color="auto"/>
              <w:right w:val="single" w:sz="4" w:space="0" w:color="auto"/>
            </w:tcBorders>
          </w:tcPr>
          <w:p w14:paraId="38B47221"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c>
          <w:tcPr>
            <w:tcW w:w="1250" w:type="dxa"/>
            <w:gridSpan w:val="2"/>
            <w:tcBorders>
              <w:top w:val="nil"/>
              <w:left w:val="single" w:sz="4" w:space="0" w:color="auto"/>
              <w:bottom w:val="single" w:sz="4" w:space="0" w:color="auto"/>
              <w:right w:val="single" w:sz="4" w:space="0" w:color="auto"/>
            </w:tcBorders>
          </w:tcPr>
          <w:p w14:paraId="7D8B29AF" w14:textId="77777777" w:rsidR="00813A27" w:rsidRPr="00813A27" w:rsidRDefault="00813A27" w:rsidP="00813A27">
            <w:pPr>
              <w:ind w:right="284"/>
              <w:jc w:val="right"/>
              <w:rPr>
                <w:rFonts w:eastAsia="Calibri"/>
                <w:sz w:val="20"/>
                <w:szCs w:val="20"/>
                <w:lang w:eastAsia="en-US"/>
              </w:rPr>
            </w:pPr>
          </w:p>
        </w:tc>
        <w:tc>
          <w:tcPr>
            <w:tcW w:w="1140" w:type="dxa"/>
            <w:gridSpan w:val="2"/>
            <w:tcBorders>
              <w:top w:val="nil"/>
              <w:left w:val="single" w:sz="4" w:space="0" w:color="auto"/>
              <w:bottom w:val="single" w:sz="4" w:space="0" w:color="auto"/>
              <w:right w:val="single" w:sz="4" w:space="0" w:color="auto"/>
            </w:tcBorders>
          </w:tcPr>
          <w:p w14:paraId="5ECB2CA3"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0.30</w:t>
            </w:r>
          </w:p>
        </w:tc>
      </w:tr>
      <w:tr w:rsidR="00813A27" w:rsidRPr="00813A27" w14:paraId="6C26236D" w14:textId="77777777" w:rsidTr="002B3A4F">
        <w:trPr>
          <w:jc w:val="center"/>
        </w:trPr>
        <w:tc>
          <w:tcPr>
            <w:tcW w:w="2041" w:type="dxa"/>
            <w:gridSpan w:val="2"/>
            <w:tcBorders>
              <w:top w:val="single" w:sz="4" w:space="0" w:color="auto"/>
              <w:left w:val="single" w:sz="4" w:space="0" w:color="auto"/>
              <w:bottom w:val="single" w:sz="4" w:space="0" w:color="auto"/>
            </w:tcBorders>
          </w:tcPr>
          <w:p w14:paraId="436427E5"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Inflación Subyacente</w:t>
            </w:r>
          </w:p>
        </w:tc>
        <w:tc>
          <w:tcPr>
            <w:tcW w:w="4785" w:type="dxa"/>
            <w:gridSpan w:val="7"/>
            <w:tcBorders>
              <w:top w:val="single" w:sz="4" w:space="0" w:color="auto"/>
              <w:left w:val="nil"/>
              <w:bottom w:val="single" w:sz="4" w:space="0" w:color="auto"/>
              <w:right w:val="single" w:sz="4" w:space="0" w:color="auto"/>
            </w:tcBorders>
          </w:tcPr>
          <w:p w14:paraId="745B42FF" w14:textId="77777777" w:rsidR="00813A27" w:rsidRPr="00813A27" w:rsidRDefault="00813A27" w:rsidP="00813A27">
            <w:pPr>
              <w:ind w:right="284"/>
              <w:jc w:val="right"/>
              <w:rPr>
                <w:rFonts w:eastAsia="Calibri"/>
                <w:sz w:val="20"/>
                <w:szCs w:val="20"/>
                <w:lang w:eastAsia="en-US"/>
              </w:rPr>
            </w:pPr>
          </w:p>
        </w:tc>
      </w:tr>
      <w:tr w:rsidR="00813A27" w:rsidRPr="00813A27" w14:paraId="2FAD821F" w14:textId="77777777" w:rsidTr="002B3A4F">
        <w:trPr>
          <w:jc w:val="center"/>
        </w:trPr>
        <w:tc>
          <w:tcPr>
            <w:tcW w:w="701" w:type="dxa"/>
            <w:tcBorders>
              <w:top w:val="single" w:sz="4" w:space="0" w:color="auto"/>
              <w:left w:val="single" w:sz="4" w:space="0" w:color="auto"/>
              <w:bottom w:val="single" w:sz="4" w:space="0" w:color="auto"/>
              <w:right w:val="single" w:sz="4" w:space="0" w:color="auto"/>
            </w:tcBorders>
          </w:tcPr>
          <w:p w14:paraId="0E29F0E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2015</w:t>
            </w:r>
          </w:p>
        </w:tc>
        <w:tc>
          <w:tcPr>
            <w:tcW w:w="1340" w:type="dxa"/>
            <w:tcBorders>
              <w:top w:val="single" w:sz="4" w:space="0" w:color="auto"/>
              <w:left w:val="single" w:sz="4" w:space="0" w:color="auto"/>
              <w:bottom w:val="single" w:sz="4" w:space="0" w:color="auto"/>
              <w:right w:val="single" w:sz="4" w:space="0" w:color="auto"/>
            </w:tcBorders>
          </w:tcPr>
          <w:p w14:paraId="7A0C965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w:t>
            </w:r>
          </w:p>
        </w:tc>
        <w:tc>
          <w:tcPr>
            <w:tcW w:w="1194" w:type="dxa"/>
            <w:tcBorders>
              <w:top w:val="single" w:sz="4" w:space="0" w:color="auto"/>
              <w:left w:val="single" w:sz="4" w:space="0" w:color="auto"/>
              <w:bottom w:val="single" w:sz="4" w:space="0" w:color="auto"/>
              <w:right w:val="single" w:sz="4" w:space="0" w:color="auto"/>
            </w:tcBorders>
          </w:tcPr>
          <w:p w14:paraId="4FEFF360" w14:textId="77777777" w:rsidR="00813A27" w:rsidRPr="00813A27" w:rsidRDefault="00813A27" w:rsidP="00813A27">
            <w:pPr>
              <w:ind w:right="113"/>
              <w:jc w:val="right"/>
              <w:rPr>
                <w:rFonts w:eastAsia="Calibri"/>
                <w:sz w:val="20"/>
                <w:szCs w:val="20"/>
                <w:lang w:eastAsia="en-US"/>
              </w:rPr>
            </w:pPr>
          </w:p>
        </w:tc>
        <w:tc>
          <w:tcPr>
            <w:tcW w:w="1167" w:type="dxa"/>
            <w:tcBorders>
              <w:top w:val="single" w:sz="4" w:space="0" w:color="auto"/>
              <w:left w:val="single" w:sz="4" w:space="0" w:color="auto"/>
              <w:bottom w:val="single" w:sz="4" w:space="0" w:color="auto"/>
              <w:right w:val="single" w:sz="4" w:space="0" w:color="auto"/>
            </w:tcBorders>
          </w:tcPr>
          <w:p w14:paraId="43588237"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0.26</w:t>
            </w:r>
          </w:p>
        </w:tc>
        <w:tc>
          <w:tcPr>
            <w:tcW w:w="1497" w:type="dxa"/>
            <w:gridSpan w:val="4"/>
            <w:tcBorders>
              <w:top w:val="single" w:sz="4" w:space="0" w:color="auto"/>
              <w:left w:val="single" w:sz="4" w:space="0" w:color="auto"/>
              <w:bottom w:val="single" w:sz="4" w:space="0" w:color="auto"/>
              <w:right w:val="single" w:sz="4" w:space="0" w:color="auto"/>
            </w:tcBorders>
          </w:tcPr>
          <w:p w14:paraId="358857BD" w14:textId="77777777" w:rsidR="00813A27" w:rsidRPr="00813A27" w:rsidRDefault="00813A27" w:rsidP="00813A27">
            <w:pPr>
              <w:ind w:right="284"/>
              <w:jc w:val="right"/>
              <w:rPr>
                <w:rFonts w:eastAsia="Calibri"/>
                <w:sz w:val="20"/>
                <w:szCs w:val="20"/>
                <w:lang w:eastAsia="en-US"/>
              </w:rPr>
            </w:pPr>
          </w:p>
        </w:tc>
        <w:tc>
          <w:tcPr>
            <w:tcW w:w="927" w:type="dxa"/>
            <w:tcBorders>
              <w:top w:val="single" w:sz="4" w:space="0" w:color="auto"/>
              <w:left w:val="single" w:sz="4" w:space="0" w:color="auto"/>
              <w:bottom w:val="single" w:sz="4" w:space="0" w:color="auto"/>
              <w:right w:val="single" w:sz="4" w:space="0" w:color="auto"/>
            </w:tcBorders>
          </w:tcPr>
          <w:p w14:paraId="4A9ACCBE"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0.25</w:t>
            </w:r>
          </w:p>
        </w:tc>
      </w:tr>
      <w:tr w:rsidR="00813A27" w:rsidRPr="00813A27" w14:paraId="0C6D0F4C" w14:textId="77777777" w:rsidTr="002B3A4F">
        <w:trPr>
          <w:jc w:val="center"/>
        </w:trPr>
        <w:tc>
          <w:tcPr>
            <w:tcW w:w="6826" w:type="dxa"/>
            <w:gridSpan w:val="9"/>
            <w:tcBorders>
              <w:left w:val="nil"/>
              <w:bottom w:val="nil"/>
              <w:right w:val="nil"/>
            </w:tcBorders>
          </w:tcPr>
          <w:p w14:paraId="2E65A4B9"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4EF09207" w14:textId="77777777" w:rsidR="00813A27" w:rsidRPr="00813A27" w:rsidRDefault="00813A27" w:rsidP="00813A27">
      <w:pPr>
        <w:spacing w:after="360" w:line="360" w:lineRule="auto"/>
        <w:ind w:right="-159"/>
        <w:jc w:val="both"/>
        <w:rPr>
          <w:rFonts w:eastAsia="Calibri"/>
          <w:sz w:val="26"/>
          <w:szCs w:val="26"/>
          <w:lang w:eastAsia="en-US"/>
        </w:rPr>
      </w:pPr>
    </w:p>
    <w:p w14:paraId="7E1EF1F4"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Como puede apreciarse, las expectativas de inflación general para el cierre de 2015, para los próximos 12 meses y para el cierre de 2016 se mantuvieron en niveles similares </w:t>
      </w:r>
      <w:r w:rsidRPr="00813A27">
        <w:rPr>
          <w:rFonts w:eastAsia="Calibri"/>
          <w:sz w:val="26"/>
          <w:szCs w:val="26"/>
          <w:lang w:eastAsia="en-US"/>
        </w:rPr>
        <w:lastRenderedPageBreak/>
        <w:t>a los de la encuesta de febrero. En cuanto a las perspectivas de inflación subyacente para el cierre de 2015, para los próximos 12 meses y para el cierre de 2016, éstas también permanecieron cercanas a las del mes previo, si bien la mediana de los pronósticos para el cierre de 2016 aumentó.</w:t>
      </w:r>
    </w:p>
    <w:p w14:paraId="04350E90" w14:textId="2A3D4003"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La gráfica </w:t>
      </w:r>
      <w:r w:rsidRPr="00813A27">
        <w:rPr>
          <w:rFonts w:eastAsia="Calibri"/>
          <w:i/>
          <w:sz w:val="26"/>
          <w:szCs w:val="26"/>
          <w:lang w:eastAsia="en-US"/>
        </w:rPr>
        <w:t>Expectativas de la inflación anual (Probabilidad media de que la inflación se encuentre en el intervalo indicado)</w:t>
      </w:r>
      <w:r w:rsidRPr="00813A27">
        <w:rPr>
          <w:rFonts w:eastAsia="Calibri"/>
          <w:sz w:val="26"/>
          <w:szCs w:val="26"/>
          <w:lang w:eastAsia="en-US"/>
        </w:rPr>
        <w:t xml:space="preserve"> presenta la media de las probabilidades que los analistas asignan a que la inflación general y subyacente para el cierre de 2015, para los próximos 12 meses y para los cierres de 2016 y 2017, se ubique dentro de distintos intervalos</w:t>
      </w:r>
      <w:r w:rsidRPr="00813A27">
        <w:rPr>
          <w:rFonts w:eastAsia="Calibri"/>
          <w:sz w:val="26"/>
          <w:szCs w:val="26"/>
          <w:vertAlign w:val="superscript"/>
          <w:lang w:eastAsia="en-US"/>
        </w:rPr>
        <w:footnoteReference w:id="20"/>
      </w:r>
      <w:r w:rsidR="00E055D6">
        <w:rPr>
          <w:rFonts w:eastAsia="Calibri"/>
          <w:sz w:val="26"/>
          <w:szCs w:val="26"/>
          <w:lang w:eastAsia="en-US"/>
        </w:rPr>
        <w:t>.</w:t>
      </w:r>
      <w:r w:rsidRPr="00813A27">
        <w:rPr>
          <w:rFonts w:eastAsia="Calibri"/>
          <w:sz w:val="26"/>
          <w:szCs w:val="26"/>
          <w:lang w:eastAsia="en-US"/>
        </w:rPr>
        <w:t xml:space="preserve"> Como puede observarse, para la inflación general correspondiente al cierre de 2015, los especialistas continuaron asignando la mayor probabilidad al intervalo de 3.1 a 3.5%. Para el cierre de 2016, los analistas disminuyeron la probabilidad otorgada al intervalo de 3.6 a 4.0%, al tiempo que aumentaron la probabilidad asignada a los intervalos de 2.6 a 3.0% y de 3.1 a 3.5%, siendo este último intervalo al que mayor probabilidad se continuó otorgando. En lo referente a la inflación subyacente para el cierre de 2015, los especialistas continuaron asignando la mayor probabilidad al intervalo de 2.6 a 3.0%, en tanto que para 2016 la otorgaron al intervalo de 3.1 a 3.5 por ciento.</w:t>
      </w:r>
    </w:p>
    <w:tbl>
      <w:tblPr>
        <w:tblW w:w="0" w:type="auto"/>
        <w:tblInd w:w="5" w:type="dxa"/>
        <w:tblLook w:val="04A0" w:firstRow="1" w:lastRow="0" w:firstColumn="1" w:lastColumn="0" w:noHBand="0" w:noVBand="1"/>
      </w:tblPr>
      <w:tblGrid>
        <w:gridCol w:w="8828"/>
      </w:tblGrid>
      <w:tr w:rsidR="00813A27" w:rsidRPr="00813A27" w14:paraId="769FF1A4" w14:textId="77777777" w:rsidTr="002B3A4F">
        <w:tc>
          <w:tcPr>
            <w:tcW w:w="8828" w:type="dxa"/>
          </w:tcPr>
          <w:p w14:paraId="027C539A"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POINT\\13.- GRÁFICAS DE EXPECTATIVAS.pptx!257"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B6693A5" wp14:editId="593B1C32">
                  <wp:extent cx="5251450" cy="2230120"/>
                  <wp:effectExtent l="0" t="0" r="6350" b="0"/>
                  <wp:docPr id="1601" name="Imagen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70" cstate="print">
                            <a:extLst>
                              <a:ext uri="{28A0092B-C50C-407E-A947-70E740481C1C}">
                                <a14:useLocalDpi xmlns:a14="http://schemas.microsoft.com/office/drawing/2010/main" val="0"/>
                              </a:ext>
                            </a:extLst>
                          </a:blip>
                          <a:srcRect l="4851" t="3055" r="5008" b="28889"/>
                          <a:stretch>
                            <a:fillRect/>
                          </a:stretch>
                        </pic:blipFill>
                        <pic:spPr bwMode="auto">
                          <a:xfrm>
                            <a:off x="0" y="0"/>
                            <a:ext cx="5251450" cy="223012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10D45BFA" w14:textId="77777777" w:rsidTr="002B3A4F">
        <w:tc>
          <w:tcPr>
            <w:tcW w:w="8828" w:type="dxa"/>
          </w:tcPr>
          <w:p w14:paraId="71061158"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EXPECTATIVAS.pptx!269"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BB5A2B9" wp14:editId="12307704">
                  <wp:extent cx="5257800" cy="1791970"/>
                  <wp:effectExtent l="0" t="0" r="0" b="0"/>
                  <wp:docPr id="1602" name="Imagen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71" cstate="print">
                            <a:extLst>
                              <a:ext uri="{28A0092B-C50C-407E-A947-70E740481C1C}">
                                <a14:useLocalDpi xmlns:a14="http://schemas.microsoft.com/office/drawing/2010/main" val="0"/>
                              </a:ext>
                            </a:extLst>
                          </a:blip>
                          <a:srcRect l="4695" t="1944" r="5164" b="43333"/>
                          <a:stretch>
                            <a:fillRect/>
                          </a:stretch>
                        </pic:blipFill>
                        <pic:spPr bwMode="auto">
                          <a:xfrm>
                            <a:off x="0" y="0"/>
                            <a:ext cx="5257800" cy="17919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50CB720A" w14:textId="77777777" w:rsidTr="002B3A4F">
        <w:tc>
          <w:tcPr>
            <w:tcW w:w="8828" w:type="dxa"/>
          </w:tcPr>
          <w:p w14:paraId="3DD934CD"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EXPECTATIVAS.pptx!286"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85285D4" wp14:editId="40E50AC1">
                  <wp:extent cx="5171440" cy="1828800"/>
                  <wp:effectExtent l="0" t="0" r="0" b="0"/>
                  <wp:docPr id="1603" name="Imagen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72" cstate="print">
                            <a:extLst>
                              <a:ext uri="{28A0092B-C50C-407E-A947-70E740481C1C}">
                                <a14:useLocalDpi xmlns:a14="http://schemas.microsoft.com/office/drawing/2010/main" val="0"/>
                              </a:ext>
                            </a:extLst>
                          </a:blip>
                          <a:srcRect l="5008" t="14444" r="4695" b="28889"/>
                          <a:stretch>
                            <a:fillRect/>
                          </a:stretch>
                        </pic:blipFill>
                        <pic:spPr bwMode="auto">
                          <a:xfrm>
                            <a:off x="0" y="0"/>
                            <a:ext cx="5171440" cy="18288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43EFEDEB" w14:textId="77777777" w:rsidTr="002B3A4F">
        <w:tc>
          <w:tcPr>
            <w:tcW w:w="8828" w:type="dxa"/>
          </w:tcPr>
          <w:p w14:paraId="27E2D41C"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EXPECTATIVAS.pptx!285"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2DDA67CE" wp14:editId="2ECD0D93">
                  <wp:extent cx="5183505" cy="2286000"/>
                  <wp:effectExtent l="0" t="0" r="0" b="0"/>
                  <wp:docPr id="1604" name="Imagen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173" cstate="print">
                            <a:extLst>
                              <a:ext uri="{28A0092B-C50C-407E-A947-70E740481C1C}">
                                <a14:useLocalDpi xmlns:a14="http://schemas.microsoft.com/office/drawing/2010/main" val="0"/>
                              </a:ext>
                            </a:extLst>
                          </a:blip>
                          <a:srcRect l="4538" t="7777" r="4538" b="21111"/>
                          <a:stretch>
                            <a:fillRect/>
                          </a:stretch>
                        </pic:blipFill>
                        <pic:spPr bwMode="auto">
                          <a:xfrm>
                            <a:off x="0" y="0"/>
                            <a:ext cx="5183505" cy="2286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bl>
    <w:p w14:paraId="66872F9A" w14:textId="77777777" w:rsidR="00813A27" w:rsidRPr="00813A27" w:rsidRDefault="00813A27" w:rsidP="00813A27">
      <w:pPr>
        <w:spacing w:after="160" w:line="259" w:lineRule="auto"/>
        <w:jc w:val="center"/>
        <w:rPr>
          <w:rFonts w:ascii="Calibri" w:eastAsia="Calibri" w:hAnsi="Calibri"/>
          <w:sz w:val="22"/>
          <w:szCs w:val="22"/>
          <w:lang w:eastAsia="en-US"/>
        </w:rPr>
      </w:pPr>
    </w:p>
    <w:tbl>
      <w:tblPr>
        <w:tblW w:w="0" w:type="auto"/>
        <w:tblLook w:val="04A0" w:firstRow="1" w:lastRow="0" w:firstColumn="1" w:lastColumn="0" w:noHBand="0" w:noVBand="1"/>
      </w:tblPr>
      <w:tblGrid>
        <w:gridCol w:w="8828"/>
      </w:tblGrid>
      <w:tr w:rsidR="00813A27" w:rsidRPr="00813A27" w14:paraId="30365767" w14:textId="77777777" w:rsidTr="002B3A4F">
        <w:tc>
          <w:tcPr>
            <w:tcW w:w="8828" w:type="dxa"/>
          </w:tcPr>
          <w:p w14:paraId="6B3A21FA"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EXPECTATIVAS.pptx!262"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0B8E7BAD" wp14:editId="742B42F5">
                  <wp:extent cx="4676775" cy="2181225"/>
                  <wp:effectExtent l="0" t="0" r="9525" b="9525"/>
                  <wp:docPr id="1605" name="Imagen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74" cstate="print">
                            <a:extLst>
                              <a:ext uri="{28A0092B-C50C-407E-A947-70E740481C1C}">
                                <a14:useLocalDpi xmlns:a14="http://schemas.microsoft.com/office/drawing/2010/main" val="0"/>
                              </a:ext>
                            </a:extLst>
                          </a:blip>
                          <a:srcRect l="3600" t="13611" r="7355" b="12500"/>
                          <a:stretch>
                            <a:fillRect/>
                          </a:stretch>
                        </pic:blipFill>
                        <pic:spPr bwMode="auto">
                          <a:xfrm>
                            <a:off x="0" y="0"/>
                            <a:ext cx="4676775" cy="218122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05A8F13A" w14:textId="77777777" w:rsidTr="002B3A4F">
        <w:tc>
          <w:tcPr>
            <w:tcW w:w="8828" w:type="dxa"/>
          </w:tcPr>
          <w:p w14:paraId="2FC3CD55"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EXPECTATIVAS.pptx!271"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3AB4AA2A" wp14:editId="3FF0DC28">
                  <wp:extent cx="4664710" cy="1711325"/>
                  <wp:effectExtent l="0" t="0" r="2540" b="3175"/>
                  <wp:docPr id="1606" name="Imagen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175" cstate="print">
                            <a:extLst>
                              <a:ext uri="{28A0092B-C50C-407E-A947-70E740481C1C}">
                                <a14:useLocalDpi xmlns:a14="http://schemas.microsoft.com/office/drawing/2010/main" val="0"/>
                              </a:ext>
                            </a:extLst>
                          </a:blip>
                          <a:srcRect l="3442" t="28612" r="7512" b="13333"/>
                          <a:stretch>
                            <a:fillRect/>
                          </a:stretch>
                        </pic:blipFill>
                        <pic:spPr bwMode="auto">
                          <a:xfrm>
                            <a:off x="0" y="0"/>
                            <a:ext cx="4664710" cy="171132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188262D8" w14:textId="77777777" w:rsidTr="002B3A4F">
        <w:tc>
          <w:tcPr>
            <w:tcW w:w="8828" w:type="dxa"/>
          </w:tcPr>
          <w:p w14:paraId="3D3AEC27"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EXPECTATIVAS.pptx!273"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63ACEA3" wp14:editId="69161077">
                  <wp:extent cx="4707890" cy="1699260"/>
                  <wp:effectExtent l="0" t="0" r="0" b="0"/>
                  <wp:docPr id="1607" name="Imagen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76" cstate="print">
                            <a:extLst>
                              <a:ext uri="{28A0092B-C50C-407E-A947-70E740481C1C}">
                                <a14:useLocalDpi xmlns:a14="http://schemas.microsoft.com/office/drawing/2010/main" val="0"/>
                              </a:ext>
                            </a:extLst>
                          </a:blip>
                          <a:srcRect l="3442" t="28612" r="7668" b="14444"/>
                          <a:stretch>
                            <a:fillRect/>
                          </a:stretch>
                        </pic:blipFill>
                        <pic:spPr bwMode="auto">
                          <a:xfrm>
                            <a:off x="0" y="0"/>
                            <a:ext cx="4707890" cy="169926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r w:rsidR="00813A27" w:rsidRPr="00813A27" w14:paraId="4DF6C4BC" w14:textId="77777777" w:rsidTr="002B3A4F">
        <w:tc>
          <w:tcPr>
            <w:tcW w:w="8828" w:type="dxa"/>
          </w:tcPr>
          <w:p w14:paraId="5D16C7AB" w14:textId="77777777" w:rsidR="00813A27" w:rsidRPr="00813A27" w:rsidRDefault="00813A27" w:rsidP="00813A27">
            <w:pP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EXPECTATIVAS.pptx!272"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0E82897D" wp14:editId="40E1353C">
                  <wp:extent cx="4751070" cy="2193290"/>
                  <wp:effectExtent l="0" t="0" r="0" b="0"/>
                  <wp:docPr id="1608" name="Imagen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
                          <pic:cNvPicPr>
                            <a:picLocks noChangeAspect="1" noChangeArrowheads="1"/>
                          </pic:cNvPicPr>
                        </pic:nvPicPr>
                        <pic:blipFill>
                          <a:blip r:embed="rId177" cstate="print">
                            <a:extLst>
                              <a:ext uri="{28A0092B-C50C-407E-A947-70E740481C1C}">
                                <a14:useLocalDpi xmlns:a14="http://schemas.microsoft.com/office/drawing/2010/main" val="0"/>
                              </a:ext>
                            </a:extLst>
                          </a:blip>
                          <a:srcRect l="3912" t="7777" r="7199" b="19444"/>
                          <a:stretch>
                            <a:fillRect/>
                          </a:stretch>
                        </pic:blipFill>
                        <pic:spPr bwMode="auto">
                          <a:xfrm>
                            <a:off x="0" y="0"/>
                            <a:ext cx="4751070" cy="219329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tc>
      </w:tr>
    </w:tbl>
    <w:p w14:paraId="0EE6436E"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lastRenderedPageBreak/>
        <w:t xml:space="preserve">La probabilidad que los analistas asignaron en promedio a que la inflación general se ubique dentro del intervalo de variabilidad de más o menos un punto porcentual en torno al objetivo de 3%, se mantuvo en niveles similares a los reportados en la encuesta de febrero para los cierres de 2015 y 2016 (ver la gráfica </w:t>
      </w:r>
      <w:r w:rsidRPr="00813A27">
        <w:rPr>
          <w:rFonts w:eastAsia="Calibri"/>
          <w:i/>
          <w:sz w:val="26"/>
          <w:szCs w:val="26"/>
          <w:lang w:eastAsia="en-US"/>
        </w:rPr>
        <w:t>Probabilidad media de que la inflación se ubique entre 2 y 4% (a) Inflación general</w:t>
      </w:r>
      <w:r w:rsidRPr="00813A27">
        <w:rPr>
          <w:rFonts w:eastAsia="Calibri"/>
          <w:sz w:val="26"/>
          <w:szCs w:val="26"/>
          <w:lang w:eastAsia="en-US"/>
        </w:rPr>
        <w:t xml:space="preserve">). Por su parte, la probabilidad que los analistas asignaron a que la inflación subyacente se encuentre en el intervalo entre 2 y 4% también permaneció cercana a la de la encuesta previa para los cierres de 2015 y 2016 (ver la gráfica </w:t>
      </w:r>
      <w:r w:rsidRPr="00813A27">
        <w:rPr>
          <w:rFonts w:eastAsia="Calibri"/>
          <w:i/>
          <w:sz w:val="26"/>
          <w:szCs w:val="26"/>
          <w:lang w:eastAsia="en-US"/>
        </w:rPr>
        <w:t>Probabilidad media de que la inflación se ubique entre 2 y 4% (b) Inflación subyacente</w:t>
      </w:r>
      <w:r w:rsidRPr="00813A27">
        <w:rPr>
          <w:rFonts w:eastAsia="Calibri"/>
          <w:sz w:val="26"/>
          <w:szCs w:val="26"/>
          <w:lang w:eastAsia="en-US"/>
        </w:rPr>
        <w:t>).</w:t>
      </w:r>
    </w:p>
    <w:p w14:paraId="32B5925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II.pptx!444"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AC41AD0" wp14:editId="70455322">
            <wp:extent cx="3861435" cy="3256280"/>
            <wp:effectExtent l="0" t="0" r="5715" b="1270"/>
            <wp:docPr id="1609" name="Imagen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178" cstate="print">
                      <a:extLst>
                        <a:ext uri="{28A0092B-C50C-407E-A947-70E740481C1C}">
                          <a14:useLocalDpi xmlns:a14="http://schemas.microsoft.com/office/drawing/2010/main" val="0"/>
                        </a:ext>
                      </a:extLst>
                    </a:blip>
                    <a:srcRect l="7098" r="8351" b="5000"/>
                    <a:stretch>
                      <a:fillRect/>
                    </a:stretch>
                  </pic:blipFill>
                  <pic:spPr bwMode="auto">
                    <a:xfrm>
                      <a:off x="0" y="0"/>
                      <a:ext cx="3861435" cy="325628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ABC53CB" w14:textId="77777777" w:rsidR="00813A27" w:rsidRPr="00813A27" w:rsidRDefault="00813A27" w:rsidP="00813A27">
      <w:pPr>
        <w:spacing w:after="160" w:line="259" w:lineRule="auto"/>
        <w:jc w:val="center"/>
        <w:rPr>
          <w:rFonts w:ascii="Calibri" w:eastAsia="Calibri" w:hAnsi="Calibri"/>
          <w:sz w:val="22"/>
          <w:szCs w:val="22"/>
          <w:lang w:eastAsia="en-US"/>
        </w:rPr>
      </w:pPr>
    </w:p>
    <w:p w14:paraId="25E78F6E" w14:textId="77777777" w:rsidR="00813A27" w:rsidRPr="00813A27" w:rsidRDefault="00813A27" w:rsidP="00813A27">
      <w:pPr>
        <w:spacing w:after="160" w:line="259" w:lineRule="auto"/>
        <w:jc w:val="center"/>
        <w:rPr>
          <w:rFonts w:ascii="Calibri" w:eastAsia="Calibri" w:hAnsi="Calibri"/>
          <w:sz w:val="22"/>
          <w:szCs w:val="22"/>
          <w:lang w:eastAsia="en-US"/>
        </w:rPr>
      </w:pPr>
    </w:p>
    <w:p w14:paraId="3F762C07"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II.pptx!445"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2E933AAF" wp14:editId="613F24D0">
            <wp:extent cx="3904615" cy="3429000"/>
            <wp:effectExtent l="0" t="0" r="635" b="0"/>
            <wp:docPr id="1610" name="Imagen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179" cstate="print">
                      <a:extLst>
                        <a:ext uri="{28A0092B-C50C-407E-A947-70E740481C1C}">
                          <a14:useLocalDpi xmlns:a14="http://schemas.microsoft.com/office/drawing/2010/main" val="0"/>
                        </a:ext>
                      </a:extLst>
                    </a:blip>
                    <a:srcRect l="6889" r="7515"/>
                    <a:stretch>
                      <a:fillRect/>
                    </a:stretch>
                  </pic:blipFill>
                  <pic:spPr bwMode="auto">
                    <a:xfrm>
                      <a:off x="0" y="0"/>
                      <a:ext cx="3904615" cy="3429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383E3CF" w14:textId="77777777" w:rsidR="00813A27" w:rsidRPr="00813A27" w:rsidRDefault="00813A27" w:rsidP="00813A27">
      <w:pPr>
        <w:spacing w:after="360" w:line="360" w:lineRule="auto"/>
        <w:ind w:right="-159"/>
        <w:jc w:val="center"/>
        <w:rPr>
          <w:rFonts w:eastAsia="Calibri"/>
          <w:noProof/>
          <w:sz w:val="22"/>
          <w:szCs w:val="22"/>
          <w:lang w:eastAsia="es-MX"/>
        </w:rPr>
      </w:pPr>
    </w:p>
    <w:p w14:paraId="65C738D0"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Finalmente, las expectativas sobre la inflación general correspondientes a los horizontes de uno a cuatro años y de cinco a ocho años permanecieron en niveles cercanos a los de la encuesta de febrero, si bien la mediana de los pronósticos para el horizonte de uno a cuatro años aumentó, al tiempo que la mediana de las perspectivas para el horizonte de cinco a ocho años disminuyó (ver el cuadro siguiente y la gráfica </w:t>
      </w:r>
      <w:r w:rsidRPr="00813A27">
        <w:rPr>
          <w:rFonts w:eastAsia="Calibri"/>
          <w:i/>
          <w:sz w:val="26"/>
          <w:szCs w:val="26"/>
          <w:lang w:eastAsia="en-US"/>
        </w:rPr>
        <w:t>Expectativas de largo plazo para la inflación general</w:t>
      </w:r>
      <w:r w:rsidRPr="00813A27">
        <w:rPr>
          <w:rFonts w:eastAsia="Calibri"/>
          <w:sz w:val="26"/>
          <w:szCs w:val="26"/>
          <w:lang w:eastAsia="en-US"/>
        </w:rPr>
        <w:t xml:space="preserve">). Por su parte, las previsiones para la inflación subyacente correspondientes a los horizontes de uno a cuatro años y de cinco a ocho años también se mantuvieron en niveles cercanos a los registrados en el mes anterior, si bien la mediana de los pronósticos para ambos horizontes aumentó (ver el cuadro siguiente y la gráfica </w:t>
      </w:r>
      <w:r w:rsidRPr="00813A27">
        <w:rPr>
          <w:rFonts w:eastAsia="Calibri"/>
          <w:i/>
          <w:sz w:val="26"/>
          <w:szCs w:val="26"/>
          <w:lang w:eastAsia="en-US"/>
        </w:rPr>
        <w:t>Expectativas de largo plazo para la inflación subyacente</w:t>
      </w:r>
      <w:r w:rsidRPr="00813A27">
        <w:rPr>
          <w:rFonts w:eastAsia="Calibri"/>
          <w:sz w:val="26"/>
          <w:szCs w:val="26"/>
          <w:lang w:eastAsia="en-US"/>
        </w:rPr>
        <w:t>).</w:t>
      </w:r>
    </w:p>
    <w:p w14:paraId="26DB81BE" w14:textId="77777777" w:rsidR="00813A27" w:rsidRPr="00813A27" w:rsidRDefault="00813A27" w:rsidP="00813A27">
      <w:pPr>
        <w:spacing w:after="360" w:line="360" w:lineRule="auto"/>
        <w:ind w:right="-159"/>
        <w:jc w:val="both"/>
        <w:rPr>
          <w:rFonts w:eastAsia="Calibri"/>
          <w:sz w:val="26"/>
          <w:szCs w:val="26"/>
          <w:lang w:eastAsia="en-US"/>
        </w:rPr>
      </w:pPr>
    </w:p>
    <w:p w14:paraId="4E0D2B5E" w14:textId="77777777" w:rsidR="00813A27" w:rsidRPr="00813A27" w:rsidRDefault="00813A27" w:rsidP="00813A27">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615"/>
        <w:gridCol w:w="1194"/>
        <w:gridCol w:w="1194"/>
        <w:gridCol w:w="1194"/>
        <w:gridCol w:w="1194"/>
      </w:tblGrid>
      <w:tr w:rsidR="00813A27" w:rsidRPr="00813A27" w14:paraId="331806C0" w14:textId="77777777" w:rsidTr="00A65300">
        <w:trPr>
          <w:jc w:val="center"/>
        </w:trPr>
        <w:tc>
          <w:tcPr>
            <w:tcW w:w="7391" w:type="dxa"/>
            <w:gridSpan w:val="5"/>
            <w:tcBorders>
              <w:top w:val="nil"/>
              <w:left w:val="nil"/>
              <w:bottom w:val="single" w:sz="4" w:space="0" w:color="auto"/>
              <w:right w:val="nil"/>
            </w:tcBorders>
          </w:tcPr>
          <w:p w14:paraId="6A458AB7"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lastRenderedPageBreak/>
              <w:t>EXPECTATIVAS DE LARGO PLAZO PARA LA INFLACIÓN</w:t>
            </w:r>
          </w:p>
          <w:p w14:paraId="08E778F5"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0E9DC63A" w14:textId="77777777" w:rsidTr="00A65300">
        <w:trPr>
          <w:jc w:val="center"/>
        </w:trPr>
        <w:tc>
          <w:tcPr>
            <w:tcW w:w="2615" w:type="dxa"/>
            <w:vMerge w:val="restart"/>
            <w:tcBorders>
              <w:top w:val="single" w:sz="4" w:space="0" w:color="auto"/>
              <w:left w:val="single" w:sz="4" w:space="0" w:color="auto"/>
              <w:bottom w:val="single" w:sz="4" w:space="0" w:color="auto"/>
              <w:right w:val="single" w:sz="4" w:space="0" w:color="auto"/>
            </w:tcBorders>
          </w:tcPr>
          <w:p w14:paraId="3BC7D2FC"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7BF5E23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Inflación general</w:t>
            </w:r>
          </w:p>
        </w:tc>
        <w:tc>
          <w:tcPr>
            <w:tcW w:w="2388" w:type="dxa"/>
            <w:gridSpan w:val="2"/>
            <w:tcBorders>
              <w:top w:val="single" w:sz="4" w:space="0" w:color="auto"/>
              <w:left w:val="single" w:sz="4" w:space="0" w:color="auto"/>
              <w:bottom w:val="single" w:sz="4" w:space="0" w:color="auto"/>
              <w:right w:val="single" w:sz="4" w:space="0" w:color="auto"/>
            </w:tcBorders>
          </w:tcPr>
          <w:p w14:paraId="22F43B9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Inflación subyacente</w:t>
            </w:r>
          </w:p>
        </w:tc>
      </w:tr>
      <w:tr w:rsidR="00813A27" w:rsidRPr="00813A27" w14:paraId="074F1DA1" w14:textId="77777777" w:rsidTr="00A65300">
        <w:trPr>
          <w:jc w:val="center"/>
        </w:trPr>
        <w:tc>
          <w:tcPr>
            <w:tcW w:w="2615" w:type="dxa"/>
            <w:vMerge/>
            <w:tcBorders>
              <w:top w:val="single" w:sz="4" w:space="0" w:color="auto"/>
              <w:left w:val="single" w:sz="4" w:space="0" w:color="auto"/>
              <w:bottom w:val="single" w:sz="4" w:space="0" w:color="auto"/>
              <w:right w:val="single" w:sz="4" w:space="0" w:color="auto"/>
            </w:tcBorders>
          </w:tcPr>
          <w:p w14:paraId="55CA5A6A"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4EFB68F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1DF6275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712BEA39" w14:textId="77777777" w:rsidTr="00A65300">
        <w:trPr>
          <w:jc w:val="center"/>
        </w:trPr>
        <w:tc>
          <w:tcPr>
            <w:tcW w:w="2615" w:type="dxa"/>
            <w:vMerge/>
            <w:tcBorders>
              <w:top w:val="single" w:sz="4" w:space="0" w:color="auto"/>
              <w:left w:val="single" w:sz="4" w:space="0" w:color="auto"/>
              <w:bottom w:val="single" w:sz="4" w:space="0" w:color="auto"/>
              <w:right w:val="single" w:sz="4" w:space="0" w:color="auto"/>
            </w:tcBorders>
          </w:tcPr>
          <w:p w14:paraId="01305CBE"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3762A1C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5DE5A82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4E701F4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3E6CDB7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32CECEEE" w14:textId="77777777" w:rsidTr="00A65300">
        <w:trPr>
          <w:jc w:val="center"/>
        </w:trPr>
        <w:tc>
          <w:tcPr>
            <w:tcW w:w="2615" w:type="dxa"/>
            <w:tcBorders>
              <w:top w:val="single" w:sz="4" w:space="0" w:color="auto"/>
              <w:left w:val="single" w:sz="4" w:space="0" w:color="auto"/>
              <w:bottom w:val="single" w:sz="4" w:space="0" w:color="auto"/>
              <w:right w:val="single" w:sz="4" w:space="0" w:color="auto"/>
            </w:tcBorders>
          </w:tcPr>
          <w:p w14:paraId="3CC57AED" w14:textId="77777777" w:rsidR="00813A27" w:rsidRPr="00813A27" w:rsidRDefault="00813A27" w:rsidP="00813A27">
            <w:pPr>
              <w:jc w:val="both"/>
              <w:rPr>
                <w:rFonts w:eastAsia="Calibri"/>
                <w:sz w:val="20"/>
                <w:szCs w:val="20"/>
                <w:lang w:eastAsia="en-US"/>
              </w:rPr>
            </w:pPr>
            <w:r w:rsidRPr="00813A27">
              <w:rPr>
                <w:rFonts w:eastAsia="Calibri"/>
                <w:b/>
                <w:sz w:val="20"/>
                <w:szCs w:val="20"/>
                <w:lang w:eastAsia="en-US"/>
              </w:rPr>
              <w:t>Promedio anual</w:t>
            </w:r>
          </w:p>
        </w:tc>
        <w:tc>
          <w:tcPr>
            <w:tcW w:w="4776" w:type="dxa"/>
            <w:gridSpan w:val="4"/>
            <w:tcBorders>
              <w:top w:val="single" w:sz="4" w:space="0" w:color="auto"/>
              <w:left w:val="single" w:sz="4" w:space="0" w:color="auto"/>
              <w:bottom w:val="single" w:sz="4" w:space="0" w:color="auto"/>
              <w:right w:val="single" w:sz="4" w:space="0" w:color="auto"/>
            </w:tcBorders>
          </w:tcPr>
          <w:p w14:paraId="7F09B76D" w14:textId="77777777" w:rsidR="00813A27" w:rsidRPr="00813A27" w:rsidRDefault="00813A27" w:rsidP="00813A27">
            <w:pPr>
              <w:jc w:val="both"/>
              <w:rPr>
                <w:rFonts w:eastAsia="Calibri"/>
                <w:sz w:val="20"/>
                <w:szCs w:val="20"/>
                <w:lang w:eastAsia="en-US"/>
              </w:rPr>
            </w:pPr>
          </w:p>
        </w:tc>
      </w:tr>
      <w:tr w:rsidR="00813A27" w:rsidRPr="00813A27" w14:paraId="7C39281B" w14:textId="77777777" w:rsidTr="00A65300">
        <w:trPr>
          <w:jc w:val="center"/>
        </w:trPr>
        <w:tc>
          <w:tcPr>
            <w:tcW w:w="2615" w:type="dxa"/>
            <w:tcBorders>
              <w:top w:val="single" w:sz="4" w:space="0" w:color="auto"/>
              <w:left w:val="single" w:sz="4" w:space="0" w:color="auto"/>
              <w:right w:val="single" w:sz="4" w:space="0" w:color="auto"/>
            </w:tcBorders>
          </w:tcPr>
          <w:p w14:paraId="42E53D87"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 xml:space="preserve">     De uno a cuatro años</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c>
          <w:tcPr>
            <w:tcW w:w="1194" w:type="dxa"/>
            <w:tcBorders>
              <w:top w:val="single" w:sz="4" w:space="0" w:color="auto"/>
              <w:left w:val="single" w:sz="4" w:space="0" w:color="auto"/>
              <w:right w:val="single" w:sz="4" w:space="0" w:color="auto"/>
            </w:tcBorders>
          </w:tcPr>
          <w:p w14:paraId="6F763F4E"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26677651"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6A32D950"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3BC7D4BD" w14:textId="77777777" w:rsidR="00813A27" w:rsidRPr="00813A27" w:rsidRDefault="00813A27" w:rsidP="00813A27">
            <w:pPr>
              <w:jc w:val="center"/>
              <w:rPr>
                <w:rFonts w:eastAsia="Calibri"/>
                <w:sz w:val="20"/>
                <w:szCs w:val="20"/>
                <w:lang w:eastAsia="en-US"/>
              </w:rPr>
            </w:pPr>
          </w:p>
        </w:tc>
      </w:tr>
      <w:tr w:rsidR="00813A27" w:rsidRPr="00813A27" w14:paraId="2B81420E" w14:textId="77777777" w:rsidTr="00A65300">
        <w:trPr>
          <w:jc w:val="center"/>
        </w:trPr>
        <w:tc>
          <w:tcPr>
            <w:tcW w:w="2615" w:type="dxa"/>
            <w:tcBorders>
              <w:left w:val="single" w:sz="4" w:space="0" w:color="auto"/>
              <w:right w:val="single" w:sz="4" w:space="0" w:color="auto"/>
            </w:tcBorders>
          </w:tcPr>
          <w:p w14:paraId="37C47EA8" w14:textId="77777777" w:rsidR="00813A27" w:rsidRPr="00813A27" w:rsidRDefault="00813A27" w:rsidP="00813A27">
            <w:pPr>
              <w:ind w:left="397"/>
              <w:rPr>
                <w:rFonts w:eastAsia="Calibri"/>
                <w:sz w:val="20"/>
                <w:szCs w:val="20"/>
                <w:lang w:eastAsia="en-US"/>
              </w:rPr>
            </w:pPr>
            <w:r w:rsidRPr="00813A27">
              <w:rPr>
                <w:rFonts w:eastAsia="Calibri"/>
                <w:sz w:val="20"/>
                <w:szCs w:val="20"/>
                <w:lang w:eastAsia="en-US"/>
              </w:rPr>
              <w:t>Media</w:t>
            </w:r>
          </w:p>
        </w:tc>
        <w:tc>
          <w:tcPr>
            <w:tcW w:w="1194" w:type="dxa"/>
            <w:tcBorders>
              <w:left w:val="single" w:sz="4" w:space="0" w:color="auto"/>
              <w:right w:val="single" w:sz="4" w:space="0" w:color="auto"/>
            </w:tcBorders>
          </w:tcPr>
          <w:p w14:paraId="083BCDC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3.42</w:t>
            </w:r>
          </w:p>
        </w:tc>
        <w:tc>
          <w:tcPr>
            <w:tcW w:w="1194" w:type="dxa"/>
            <w:tcBorders>
              <w:left w:val="single" w:sz="4" w:space="0" w:color="auto"/>
              <w:right w:val="single" w:sz="4" w:space="0" w:color="auto"/>
            </w:tcBorders>
          </w:tcPr>
          <w:p w14:paraId="7951D72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3.45</w:t>
            </w:r>
          </w:p>
        </w:tc>
        <w:tc>
          <w:tcPr>
            <w:tcW w:w="1194" w:type="dxa"/>
            <w:tcBorders>
              <w:left w:val="single" w:sz="4" w:space="0" w:color="auto"/>
              <w:right w:val="single" w:sz="4" w:space="0" w:color="auto"/>
            </w:tcBorders>
          </w:tcPr>
          <w:p w14:paraId="53B701A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3.13</w:t>
            </w:r>
          </w:p>
        </w:tc>
        <w:tc>
          <w:tcPr>
            <w:tcW w:w="1194" w:type="dxa"/>
            <w:tcBorders>
              <w:left w:val="single" w:sz="4" w:space="0" w:color="auto"/>
              <w:right w:val="single" w:sz="4" w:space="0" w:color="auto"/>
            </w:tcBorders>
          </w:tcPr>
          <w:p w14:paraId="2EC7367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3.17</w:t>
            </w:r>
          </w:p>
        </w:tc>
      </w:tr>
      <w:tr w:rsidR="00813A27" w:rsidRPr="00813A27" w14:paraId="1DC84231" w14:textId="77777777" w:rsidTr="00A65300">
        <w:trPr>
          <w:jc w:val="center"/>
        </w:trPr>
        <w:tc>
          <w:tcPr>
            <w:tcW w:w="2615" w:type="dxa"/>
            <w:tcBorders>
              <w:left w:val="single" w:sz="4" w:space="0" w:color="auto"/>
              <w:right w:val="single" w:sz="4" w:space="0" w:color="auto"/>
            </w:tcBorders>
          </w:tcPr>
          <w:p w14:paraId="18CFF039" w14:textId="77777777" w:rsidR="00813A27" w:rsidRPr="00813A27" w:rsidRDefault="00813A27" w:rsidP="00813A27">
            <w:pPr>
              <w:ind w:left="397"/>
              <w:rPr>
                <w:rFonts w:eastAsia="Calibri"/>
                <w:sz w:val="20"/>
                <w:szCs w:val="20"/>
                <w:lang w:eastAsia="en-US"/>
              </w:rPr>
            </w:pPr>
            <w:r w:rsidRPr="00813A27">
              <w:rPr>
                <w:rFonts w:eastAsia="Calibri"/>
                <w:sz w:val="20"/>
                <w:szCs w:val="20"/>
                <w:lang w:eastAsia="en-US"/>
              </w:rPr>
              <w:t>Mediana</w:t>
            </w:r>
          </w:p>
        </w:tc>
        <w:tc>
          <w:tcPr>
            <w:tcW w:w="1194" w:type="dxa"/>
            <w:tcBorders>
              <w:left w:val="single" w:sz="4" w:space="0" w:color="auto"/>
              <w:right w:val="single" w:sz="4" w:space="0" w:color="auto"/>
            </w:tcBorders>
          </w:tcPr>
          <w:p w14:paraId="7C3F8C1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3.45</w:t>
            </w:r>
          </w:p>
        </w:tc>
        <w:tc>
          <w:tcPr>
            <w:tcW w:w="1194" w:type="dxa"/>
            <w:tcBorders>
              <w:left w:val="single" w:sz="4" w:space="0" w:color="auto"/>
              <w:right w:val="single" w:sz="4" w:space="0" w:color="auto"/>
            </w:tcBorders>
          </w:tcPr>
          <w:p w14:paraId="2CEDBF2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94" w:type="dxa"/>
            <w:tcBorders>
              <w:left w:val="single" w:sz="4" w:space="0" w:color="auto"/>
              <w:right w:val="single" w:sz="4" w:space="0" w:color="auto"/>
            </w:tcBorders>
          </w:tcPr>
          <w:p w14:paraId="37CACD3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3.10</w:t>
            </w:r>
          </w:p>
        </w:tc>
        <w:tc>
          <w:tcPr>
            <w:tcW w:w="1194" w:type="dxa"/>
            <w:tcBorders>
              <w:left w:val="single" w:sz="4" w:space="0" w:color="auto"/>
              <w:right w:val="single" w:sz="4" w:space="0" w:color="auto"/>
            </w:tcBorders>
          </w:tcPr>
          <w:p w14:paraId="7A2FFB4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3.20</w:t>
            </w:r>
          </w:p>
        </w:tc>
      </w:tr>
      <w:tr w:rsidR="00813A27" w:rsidRPr="00813A27" w14:paraId="06F0FB46" w14:textId="77777777" w:rsidTr="00A65300">
        <w:trPr>
          <w:jc w:val="center"/>
        </w:trPr>
        <w:tc>
          <w:tcPr>
            <w:tcW w:w="2615" w:type="dxa"/>
            <w:tcBorders>
              <w:left w:val="single" w:sz="4" w:space="0" w:color="auto"/>
              <w:right w:val="single" w:sz="4" w:space="0" w:color="auto"/>
            </w:tcBorders>
          </w:tcPr>
          <w:p w14:paraId="26A01277"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 xml:space="preserve">     De cinco a ocho años</w:t>
            </w:r>
            <w:r w:rsidRPr="00813A27">
              <w:rPr>
                <w:rFonts w:eastAsia="Calibri"/>
                <w:b/>
                <w:sz w:val="20"/>
                <w:szCs w:val="20"/>
                <w:u w:val="single"/>
                <w:vertAlign w:val="superscript"/>
                <w:lang w:eastAsia="en-US"/>
              </w:rPr>
              <w:t>2</w:t>
            </w:r>
            <w:r w:rsidRPr="00813A27">
              <w:rPr>
                <w:rFonts w:eastAsia="Calibri"/>
                <w:b/>
                <w:sz w:val="20"/>
                <w:szCs w:val="20"/>
                <w:vertAlign w:val="superscript"/>
                <w:lang w:eastAsia="en-US"/>
              </w:rPr>
              <w:t>/</w:t>
            </w:r>
          </w:p>
        </w:tc>
        <w:tc>
          <w:tcPr>
            <w:tcW w:w="1194" w:type="dxa"/>
            <w:tcBorders>
              <w:left w:val="single" w:sz="4" w:space="0" w:color="auto"/>
              <w:right w:val="single" w:sz="4" w:space="0" w:color="auto"/>
            </w:tcBorders>
          </w:tcPr>
          <w:p w14:paraId="65F12FB4"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70BFE960"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0D68F1AD"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0E0C3F9C" w14:textId="77777777" w:rsidR="00813A27" w:rsidRPr="00813A27" w:rsidRDefault="00813A27" w:rsidP="00813A27">
            <w:pPr>
              <w:jc w:val="center"/>
              <w:rPr>
                <w:rFonts w:eastAsia="Calibri"/>
                <w:sz w:val="20"/>
                <w:szCs w:val="20"/>
                <w:lang w:eastAsia="en-US"/>
              </w:rPr>
            </w:pPr>
          </w:p>
        </w:tc>
      </w:tr>
      <w:tr w:rsidR="00813A27" w:rsidRPr="00813A27" w14:paraId="42631331" w14:textId="77777777" w:rsidTr="00A65300">
        <w:trPr>
          <w:jc w:val="center"/>
        </w:trPr>
        <w:tc>
          <w:tcPr>
            <w:tcW w:w="2615" w:type="dxa"/>
            <w:tcBorders>
              <w:left w:val="single" w:sz="4" w:space="0" w:color="auto"/>
              <w:right w:val="single" w:sz="4" w:space="0" w:color="auto"/>
            </w:tcBorders>
          </w:tcPr>
          <w:p w14:paraId="65E4575D" w14:textId="77777777" w:rsidR="00813A27" w:rsidRPr="00813A27" w:rsidRDefault="00813A27" w:rsidP="00813A27">
            <w:pPr>
              <w:ind w:left="397"/>
              <w:rPr>
                <w:rFonts w:eastAsia="Calibri"/>
                <w:sz w:val="20"/>
                <w:szCs w:val="20"/>
                <w:lang w:eastAsia="en-US"/>
              </w:rPr>
            </w:pPr>
            <w:r w:rsidRPr="00813A27">
              <w:rPr>
                <w:rFonts w:eastAsia="Calibri"/>
                <w:sz w:val="20"/>
                <w:szCs w:val="20"/>
                <w:lang w:eastAsia="en-US"/>
              </w:rPr>
              <w:t>Media</w:t>
            </w:r>
          </w:p>
        </w:tc>
        <w:tc>
          <w:tcPr>
            <w:tcW w:w="1194" w:type="dxa"/>
            <w:tcBorders>
              <w:left w:val="single" w:sz="4" w:space="0" w:color="auto"/>
              <w:right w:val="single" w:sz="4" w:space="0" w:color="auto"/>
            </w:tcBorders>
          </w:tcPr>
          <w:p w14:paraId="03F867B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3.40</w:t>
            </w:r>
          </w:p>
        </w:tc>
        <w:tc>
          <w:tcPr>
            <w:tcW w:w="1194" w:type="dxa"/>
            <w:tcBorders>
              <w:left w:val="single" w:sz="4" w:space="0" w:color="auto"/>
              <w:right w:val="single" w:sz="4" w:space="0" w:color="auto"/>
            </w:tcBorders>
          </w:tcPr>
          <w:p w14:paraId="6BAEFA7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3.43</w:t>
            </w:r>
          </w:p>
        </w:tc>
        <w:tc>
          <w:tcPr>
            <w:tcW w:w="1194" w:type="dxa"/>
            <w:tcBorders>
              <w:left w:val="single" w:sz="4" w:space="0" w:color="auto"/>
              <w:right w:val="single" w:sz="4" w:space="0" w:color="auto"/>
            </w:tcBorders>
          </w:tcPr>
          <w:p w14:paraId="32CCA40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3.08</w:t>
            </w:r>
          </w:p>
        </w:tc>
        <w:tc>
          <w:tcPr>
            <w:tcW w:w="1194" w:type="dxa"/>
            <w:tcBorders>
              <w:left w:val="single" w:sz="4" w:space="0" w:color="auto"/>
              <w:right w:val="single" w:sz="4" w:space="0" w:color="auto"/>
            </w:tcBorders>
          </w:tcPr>
          <w:p w14:paraId="6FBD0B3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3.12</w:t>
            </w:r>
          </w:p>
        </w:tc>
      </w:tr>
      <w:tr w:rsidR="00813A27" w:rsidRPr="00813A27" w14:paraId="58C631C7" w14:textId="77777777" w:rsidTr="00A65300">
        <w:trPr>
          <w:jc w:val="center"/>
        </w:trPr>
        <w:tc>
          <w:tcPr>
            <w:tcW w:w="2615" w:type="dxa"/>
            <w:tcBorders>
              <w:left w:val="single" w:sz="4" w:space="0" w:color="auto"/>
              <w:bottom w:val="single" w:sz="4" w:space="0" w:color="auto"/>
              <w:right w:val="single" w:sz="4" w:space="0" w:color="auto"/>
            </w:tcBorders>
          </w:tcPr>
          <w:p w14:paraId="6DE42839" w14:textId="77777777" w:rsidR="00813A27" w:rsidRPr="00813A27" w:rsidRDefault="00813A27" w:rsidP="00813A27">
            <w:pPr>
              <w:ind w:left="397"/>
              <w:rPr>
                <w:rFonts w:eastAsia="Calibri"/>
                <w:sz w:val="20"/>
                <w:szCs w:val="20"/>
                <w:lang w:eastAsia="en-US"/>
              </w:rPr>
            </w:pPr>
            <w:r w:rsidRPr="00813A27">
              <w:rPr>
                <w:rFonts w:eastAsia="Calibri"/>
                <w:sz w:val="20"/>
                <w:szCs w:val="20"/>
                <w:lang w:eastAsia="en-US"/>
              </w:rPr>
              <w:t>Mediana</w:t>
            </w:r>
          </w:p>
        </w:tc>
        <w:tc>
          <w:tcPr>
            <w:tcW w:w="1194" w:type="dxa"/>
            <w:tcBorders>
              <w:left w:val="single" w:sz="4" w:space="0" w:color="auto"/>
              <w:bottom w:val="single" w:sz="4" w:space="0" w:color="auto"/>
              <w:right w:val="single" w:sz="4" w:space="0" w:color="auto"/>
            </w:tcBorders>
          </w:tcPr>
          <w:p w14:paraId="64E8025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94" w:type="dxa"/>
            <w:tcBorders>
              <w:left w:val="single" w:sz="4" w:space="0" w:color="auto"/>
              <w:bottom w:val="single" w:sz="4" w:space="0" w:color="auto"/>
              <w:right w:val="single" w:sz="4" w:space="0" w:color="auto"/>
            </w:tcBorders>
          </w:tcPr>
          <w:p w14:paraId="33AF030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3.45</w:t>
            </w:r>
          </w:p>
        </w:tc>
        <w:tc>
          <w:tcPr>
            <w:tcW w:w="1194" w:type="dxa"/>
            <w:tcBorders>
              <w:left w:val="single" w:sz="4" w:space="0" w:color="auto"/>
              <w:bottom w:val="single" w:sz="4" w:space="0" w:color="auto"/>
              <w:right w:val="single" w:sz="4" w:space="0" w:color="auto"/>
            </w:tcBorders>
          </w:tcPr>
          <w:p w14:paraId="5C14C0B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3.05</w:t>
            </w:r>
          </w:p>
        </w:tc>
        <w:tc>
          <w:tcPr>
            <w:tcW w:w="1194" w:type="dxa"/>
            <w:tcBorders>
              <w:left w:val="single" w:sz="4" w:space="0" w:color="auto"/>
              <w:bottom w:val="single" w:sz="4" w:space="0" w:color="auto"/>
              <w:right w:val="single" w:sz="4" w:space="0" w:color="auto"/>
            </w:tcBorders>
          </w:tcPr>
          <w:p w14:paraId="2332391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3.10</w:t>
            </w:r>
          </w:p>
        </w:tc>
      </w:tr>
      <w:tr w:rsidR="00813A27" w:rsidRPr="00813A27" w14:paraId="0BE1397D" w14:textId="77777777" w:rsidTr="002B3A4F">
        <w:trPr>
          <w:jc w:val="center"/>
        </w:trPr>
        <w:tc>
          <w:tcPr>
            <w:tcW w:w="7391" w:type="dxa"/>
            <w:gridSpan w:val="5"/>
            <w:tcBorders>
              <w:left w:val="nil"/>
              <w:bottom w:val="nil"/>
              <w:right w:val="nil"/>
            </w:tcBorders>
          </w:tcPr>
          <w:p w14:paraId="46707F20" w14:textId="77777777" w:rsidR="00813A27" w:rsidRPr="00813A27" w:rsidRDefault="00813A27" w:rsidP="00813A27">
            <w:pPr>
              <w:ind w:left="227" w:hanging="227"/>
              <w:jc w:val="both"/>
              <w:rPr>
                <w:rFonts w:eastAsia="Calibri"/>
                <w:sz w:val="20"/>
                <w:szCs w:val="20"/>
                <w:lang w:eastAsia="en-US"/>
              </w:rPr>
            </w:pPr>
            <w:r w:rsidRPr="00813A27">
              <w:rPr>
                <w:rFonts w:eastAsia="Calibri"/>
                <w:sz w:val="20"/>
                <w:szCs w:val="20"/>
                <w:u w:val="single"/>
                <w:lang w:eastAsia="en-US"/>
              </w:rPr>
              <w:t>1</w:t>
            </w:r>
            <w:r w:rsidRPr="00813A27">
              <w:rPr>
                <w:rFonts w:eastAsia="Calibri"/>
                <w:sz w:val="20"/>
                <w:szCs w:val="20"/>
                <w:lang w:eastAsia="en-US"/>
              </w:rPr>
              <w:t>/ Corresponde al promedio anual de 2016 a 2019.</w:t>
            </w:r>
          </w:p>
          <w:p w14:paraId="64C9D4AD" w14:textId="77777777" w:rsidR="00813A27" w:rsidRPr="00813A27" w:rsidRDefault="00813A27" w:rsidP="00813A27">
            <w:pPr>
              <w:ind w:left="227" w:hanging="227"/>
              <w:jc w:val="both"/>
              <w:rPr>
                <w:rFonts w:eastAsia="Calibri"/>
                <w:sz w:val="20"/>
                <w:szCs w:val="20"/>
                <w:lang w:eastAsia="en-US"/>
              </w:rPr>
            </w:pPr>
            <w:r w:rsidRPr="00813A27">
              <w:rPr>
                <w:rFonts w:eastAsia="Calibri"/>
                <w:sz w:val="20"/>
                <w:szCs w:val="20"/>
                <w:u w:val="single"/>
                <w:lang w:eastAsia="en-US"/>
              </w:rPr>
              <w:t>2</w:t>
            </w:r>
            <w:r w:rsidRPr="00813A27">
              <w:rPr>
                <w:rFonts w:eastAsia="Calibri"/>
                <w:sz w:val="20"/>
                <w:szCs w:val="20"/>
                <w:lang w:eastAsia="en-US"/>
              </w:rPr>
              <w:t>/ Corresponde al promedio anual de 2020 a 2023.</w:t>
            </w:r>
          </w:p>
          <w:p w14:paraId="2DF0D9D3" w14:textId="77777777" w:rsidR="00813A27" w:rsidRPr="00813A27" w:rsidRDefault="00813A27" w:rsidP="00813A27">
            <w:pPr>
              <w:ind w:left="227" w:hanging="227"/>
              <w:jc w:val="both"/>
              <w:rPr>
                <w:rFonts w:eastAsia="Calibri"/>
                <w:sz w:val="20"/>
                <w:szCs w:val="20"/>
                <w:lang w:eastAsia="en-US"/>
              </w:rPr>
            </w:pPr>
            <w:r w:rsidRPr="00813A27">
              <w:rPr>
                <w:rFonts w:eastAsia="Calibri"/>
                <w:sz w:val="20"/>
                <w:szCs w:val="20"/>
                <w:lang w:eastAsia="en-US"/>
              </w:rPr>
              <w:t>FUENTE: Banco de México.</w:t>
            </w:r>
          </w:p>
        </w:tc>
      </w:tr>
    </w:tbl>
    <w:p w14:paraId="5A672EF9" w14:textId="77777777" w:rsidR="00813A27" w:rsidRPr="00813A27" w:rsidRDefault="00813A27" w:rsidP="00813A27">
      <w:pPr>
        <w:spacing w:after="360" w:line="360" w:lineRule="auto"/>
        <w:ind w:right="-159"/>
        <w:jc w:val="both"/>
        <w:rPr>
          <w:rFonts w:eastAsia="Calibri"/>
          <w:sz w:val="26"/>
          <w:szCs w:val="26"/>
          <w:lang w:eastAsia="en-US"/>
        </w:rPr>
      </w:pPr>
    </w:p>
    <w:p w14:paraId="4381F9FF"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II.pptx!447"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E742637" wp14:editId="58EADFF9">
            <wp:extent cx="4083685" cy="3429000"/>
            <wp:effectExtent l="0" t="0" r="0" b="0"/>
            <wp:docPr id="1611" name="Imagen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180" cstate="print">
                      <a:extLst>
                        <a:ext uri="{28A0092B-C50C-407E-A947-70E740481C1C}">
                          <a14:useLocalDpi xmlns:a14="http://schemas.microsoft.com/office/drawing/2010/main" val="0"/>
                        </a:ext>
                      </a:extLst>
                    </a:blip>
                    <a:srcRect l="7307" r="3131"/>
                    <a:stretch>
                      <a:fillRect/>
                    </a:stretch>
                  </pic:blipFill>
                  <pic:spPr bwMode="auto">
                    <a:xfrm>
                      <a:off x="0" y="0"/>
                      <a:ext cx="4083685" cy="3429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6C6088EC" w14:textId="77777777" w:rsidR="00813A27" w:rsidRPr="00813A27" w:rsidRDefault="00813A27" w:rsidP="00813A27">
      <w:pPr>
        <w:spacing w:after="160" w:line="259" w:lineRule="auto"/>
        <w:jc w:val="center"/>
        <w:rPr>
          <w:rFonts w:ascii="Calibri" w:eastAsia="Calibri" w:hAnsi="Calibri"/>
          <w:sz w:val="22"/>
          <w:szCs w:val="22"/>
          <w:lang w:eastAsia="en-US"/>
        </w:rPr>
      </w:pPr>
    </w:p>
    <w:p w14:paraId="4E71A50B"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II.pptx!612"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59F450C" wp14:editId="0A28C54A">
            <wp:extent cx="4133215" cy="3429000"/>
            <wp:effectExtent l="0" t="0" r="635" b="0"/>
            <wp:docPr id="1612" name="Imagen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181" cstate="print">
                      <a:extLst>
                        <a:ext uri="{28A0092B-C50C-407E-A947-70E740481C1C}">
                          <a14:useLocalDpi xmlns:a14="http://schemas.microsoft.com/office/drawing/2010/main" val="0"/>
                        </a:ext>
                      </a:extLst>
                    </a:blip>
                    <a:srcRect l="7098" r="2296"/>
                    <a:stretch>
                      <a:fillRect/>
                    </a:stretch>
                  </pic:blipFill>
                  <pic:spPr bwMode="auto">
                    <a:xfrm>
                      <a:off x="0" y="0"/>
                      <a:ext cx="4133215" cy="3429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8D572A1" w14:textId="77777777" w:rsidR="00813A27" w:rsidRPr="00813A27" w:rsidRDefault="00813A27" w:rsidP="00813A27">
      <w:pPr>
        <w:spacing w:after="160" w:line="259" w:lineRule="auto"/>
        <w:jc w:val="center"/>
        <w:rPr>
          <w:rFonts w:ascii="Calibri" w:eastAsia="Calibri" w:hAnsi="Calibri"/>
          <w:sz w:val="22"/>
          <w:szCs w:val="22"/>
          <w:lang w:eastAsia="en-US"/>
        </w:rPr>
      </w:pPr>
    </w:p>
    <w:p w14:paraId="2F9B9050"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II.pptx!529"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592558E2" wp14:editId="08CFCE5D">
            <wp:extent cx="3978910" cy="3354705"/>
            <wp:effectExtent l="0" t="0" r="2540" b="0"/>
            <wp:docPr id="1613" name="Imagen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182" cstate="print">
                      <a:extLst>
                        <a:ext uri="{28A0092B-C50C-407E-A947-70E740481C1C}">
                          <a14:useLocalDpi xmlns:a14="http://schemas.microsoft.com/office/drawing/2010/main" val="0"/>
                        </a:ext>
                      </a:extLst>
                    </a:blip>
                    <a:srcRect l="8977" r="3758" b="2222"/>
                    <a:stretch>
                      <a:fillRect/>
                    </a:stretch>
                  </pic:blipFill>
                  <pic:spPr bwMode="auto">
                    <a:xfrm>
                      <a:off x="0" y="0"/>
                      <a:ext cx="3978910" cy="335470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DFC106B" w14:textId="77777777" w:rsidR="00813A27" w:rsidRPr="00813A27" w:rsidRDefault="00813A27" w:rsidP="00813A27">
      <w:pPr>
        <w:spacing w:after="160" w:line="259" w:lineRule="auto"/>
        <w:jc w:val="center"/>
        <w:rPr>
          <w:rFonts w:ascii="Calibri" w:eastAsia="Calibri" w:hAnsi="Calibri"/>
          <w:sz w:val="22"/>
          <w:szCs w:val="22"/>
          <w:lang w:eastAsia="en-US"/>
        </w:rPr>
      </w:pPr>
    </w:p>
    <w:p w14:paraId="4A0EE46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II.pptx!613"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272C8DB8" wp14:editId="73458DB4">
            <wp:extent cx="4053205" cy="3317875"/>
            <wp:effectExtent l="0" t="0" r="4445" b="0"/>
            <wp:docPr id="1614" name="Imagen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7"/>
                    <pic:cNvPicPr>
                      <a:picLocks noChangeAspect="1" noChangeArrowheads="1"/>
                    </pic:cNvPicPr>
                  </pic:nvPicPr>
                  <pic:blipFill>
                    <a:blip r:embed="rId183" cstate="print">
                      <a:extLst>
                        <a:ext uri="{28A0092B-C50C-407E-A947-70E740481C1C}">
                          <a14:useLocalDpi xmlns:a14="http://schemas.microsoft.com/office/drawing/2010/main" val="0"/>
                        </a:ext>
                      </a:extLst>
                    </a:blip>
                    <a:srcRect l="8977" r="2296" b="3334"/>
                    <a:stretch>
                      <a:fillRect/>
                    </a:stretch>
                  </pic:blipFill>
                  <pic:spPr bwMode="auto">
                    <a:xfrm>
                      <a:off x="0" y="0"/>
                      <a:ext cx="4053205" cy="331787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85C8C32" w14:textId="77777777" w:rsidR="00813A27" w:rsidRPr="00813A27" w:rsidRDefault="00813A27" w:rsidP="00813A27">
      <w:pPr>
        <w:spacing w:after="360" w:line="360" w:lineRule="auto"/>
        <w:ind w:right="-159"/>
        <w:jc w:val="center"/>
        <w:rPr>
          <w:rFonts w:eastAsia="Calibri"/>
          <w:sz w:val="26"/>
          <w:szCs w:val="26"/>
          <w:lang w:eastAsia="en-US"/>
        </w:rPr>
      </w:pPr>
    </w:p>
    <w:p w14:paraId="517B3906"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t>Crecimiento real del PIB</w:t>
      </w:r>
    </w:p>
    <w:p w14:paraId="7F47735E"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A continuación se presentan los resultados de los pronósticos de los analistas para el crecimiento real del PIB de México en 2015, 2016 y 2017, así como para el promedio de los próximos diez años (ver el cuadro </w:t>
      </w:r>
      <w:r w:rsidRPr="00813A27">
        <w:rPr>
          <w:rFonts w:eastAsia="Calibri"/>
          <w:i/>
          <w:sz w:val="26"/>
          <w:szCs w:val="26"/>
          <w:lang w:eastAsia="en-US"/>
        </w:rPr>
        <w:t>Pronósticos de la variación del PIB</w:t>
      </w:r>
      <w:r w:rsidRPr="00813A27">
        <w:rPr>
          <w:rFonts w:eastAsia="Calibri"/>
          <w:sz w:val="26"/>
          <w:szCs w:val="26"/>
          <w:lang w:eastAsia="en-US"/>
        </w:rPr>
        <w:t xml:space="preserve"> y las cuatro gráficas siguientes). También se reportan las expectativas sobre las tasas de variación anual del PIB para cada uno de los trimestres de 2015 y 2016 (ver la gráfica </w:t>
      </w:r>
      <w:r w:rsidRPr="00813A27">
        <w:rPr>
          <w:rFonts w:eastAsia="Calibri"/>
          <w:i/>
          <w:sz w:val="26"/>
          <w:szCs w:val="26"/>
          <w:lang w:eastAsia="en-US"/>
        </w:rPr>
        <w:t>Pronósticos de la variación del PIB trimestral</w:t>
      </w:r>
      <w:r w:rsidRPr="00813A27">
        <w:rPr>
          <w:rFonts w:eastAsia="Calibri"/>
          <w:sz w:val="26"/>
          <w:szCs w:val="26"/>
          <w:lang w:eastAsia="en-US"/>
        </w:rPr>
        <w:t>). Destaca que las previsiones de crecimiento económico para 2015 y 2016 disminuyeron en relación con las registradas en la encuesta del mes previo, si bien la mediana de los pronósticos para ambos años se mantuvo en niveles similares.</w:t>
      </w:r>
    </w:p>
    <w:p w14:paraId="7321D555" w14:textId="77777777" w:rsidR="00813A27" w:rsidRPr="00813A27" w:rsidRDefault="00813A27" w:rsidP="00813A27">
      <w:pPr>
        <w:spacing w:after="360" w:line="360" w:lineRule="auto"/>
        <w:ind w:right="-159"/>
        <w:jc w:val="both"/>
        <w:rPr>
          <w:rFonts w:eastAsia="Calibri"/>
          <w:sz w:val="26"/>
          <w:szCs w:val="26"/>
          <w:lang w:eastAsia="en-US"/>
        </w:rPr>
      </w:pPr>
    </w:p>
    <w:p w14:paraId="74020534" w14:textId="77777777" w:rsidR="00813A27" w:rsidRPr="00813A27" w:rsidRDefault="00813A27" w:rsidP="00813A27">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832"/>
        <w:gridCol w:w="1194"/>
        <w:gridCol w:w="1194"/>
        <w:gridCol w:w="1194"/>
        <w:gridCol w:w="1194"/>
      </w:tblGrid>
      <w:tr w:rsidR="00813A27" w:rsidRPr="00813A27" w14:paraId="30588074" w14:textId="77777777" w:rsidTr="00A65300">
        <w:trPr>
          <w:jc w:val="center"/>
        </w:trPr>
        <w:tc>
          <w:tcPr>
            <w:tcW w:w="7608" w:type="dxa"/>
            <w:gridSpan w:val="5"/>
            <w:tcBorders>
              <w:top w:val="nil"/>
              <w:left w:val="nil"/>
              <w:bottom w:val="single" w:sz="4" w:space="0" w:color="auto"/>
              <w:right w:val="nil"/>
            </w:tcBorders>
          </w:tcPr>
          <w:p w14:paraId="0C8E8851"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lastRenderedPageBreak/>
              <w:t>PRONÓSTICOS DE LA VARIACIÓN DEL PIB</w:t>
            </w:r>
          </w:p>
          <w:p w14:paraId="5310389B"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-Tasa anual en por ciento-</w:t>
            </w:r>
          </w:p>
        </w:tc>
      </w:tr>
      <w:tr w:rsidR="00813A27" w:rsidRPr="00813A27" w14:paraId="580BE0B8" w14:textId="77777777" w:rsidTr="00A65300">
        <w:trPr>
          <w:jc w:val="center"/>
        </w:trPr>
        <w:tc>
          <w:tcPr>
            <w:tcW w:w="2832" w:type="dxa"/>
            <w:vMerge w:val="restart"/>
            <w:tcBorders>
              <w:top w:val="single" w:sz="4" w:space="0" w:color="auto"/>
              <w:left w:val="single" w:sz="4" w:space="0" w:color="auto"/>
              <w:bottom w:val="single" w:sz="4" w:space="0" w:color="auto"/>
              <w:right w:val="single" w:sz="4" w:space="0" w:color="auto"/>
            </w:tcBorders>
          </w:tcPr>
          <w:p w14:paraId="4E44BC6E"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DFD9D1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457FEF4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6E741B9B" w14:textId="77777777" w:rsidTr="00A65300">
        <w:trPr>
          <w:jc w:val="center"/>
        </w:trPr>
        <w:tc>
          <w:tcPr>
            <w:tcW w:w="2832" w:type="dxa"/>
            <w:vMerge/>
            <w:tcBorders>
              <w:top w:val="single" w:sz="4" w:space="0" w:color="auto"/>
              <w:left w:val="single" w:sz="4" w:space="0" w:color="auto"/>
              <w:bottom w:val="single" w:sz="4" w:space="0" w:color="auto"/>
              <w:right w:val="single" w:sz="4" w:space="0" w:color="auto"/>
            </w:tcBorders>
          </w:tcPr>
          <w:p w14:paraId="5AB8CFD4"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7F09E1D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3928D4A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559FE314" w14:textId="77777777" w:rsidTr="00A65300">
        <w:trPr>
          <w:jc w:val="center"/>
        </w:trPr>
        <w:tc>
          <w:tcPr>
            <w:tcW w:w="2832" w:type="dxa"/>
            <w:vMerge/>
            <w:tcBorders>
              <w:top w:val="single" w:sz="4" w:space="0" w:color="auto"/>
              <w:left w:val="single" w:sz="4" w:space="0" w:color="auto"/>
              <w:bottom w:val="single" w:sz="4" w:space="0" w:color="auto"/>
              <w:right w:val="single" w:sz="4" w:space="0" w:color="auto"/>
            </w:tcBorders>
          </w:tcPr>
          <w:p w14:paraId="775407EF"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6DC15B2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2DD1CBD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6485E2A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7F54071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2CF1E1B5" w14:textId="77777777" w:rsidTr="00A65300">
        <w:trPr>
          <w:jc w:val="center"/>
        </w:trPr>
        <w:tc>
          <w:tcPr>
            <w:tcW w:w="2832" w:type="dxa"/>
            <w:tcBorders>
              <w:top w:val="single" w:sz="4" w:space="0" w:color="auto"/>
              <w:left w:val="single" w:sz="4" w:space="0" w:color="auto"/>
              <w:right w:val="single" w:sz="4" w:space="0" w:color="auto"/>
            </w:tcBorders>
          </w:tcPr>
          <w:p w14:paraId="71D75040"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6C2EAD3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3.08</w:t>
            </w:r>
          </w:p>
        </w:tc>
        <w:tc>
          <w:tcPr>
            <w:tcW w:w="1194" w:type="dxa"/>
            <w:tcBorders>
              <w:top w:val="single" w:sz="4" w:space="0" w:color="auto"/>
              <w:left w:val="single" w:sz="4" w:space="0" w:color="auto"/>
              <w:right w:val="single" w:sz="4" w:space="0" w:color="auto"/>
            </w:tcBorders>
          </w:tcPr>
          <w:p w14:paraId="55B834D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2.95</w:t>
            </w:r>
          </w:p>
        </w:tc>
        <w:tc>
          <w:tcPr>
            <w:tcW w:w="1194" w:type="dxa"/>
            <w:tcBorders>
              <w:top w:val="single" w:sz="4" w:space="0" w:color="auto"/>
              <w:left w:val="single" w:sz="4" w:space="0" w:color="auto"/>
              <w:right w:val="single" w:sz="4" w:space="0" w:color="auto"/>
            </w:tcBorders>
          </w:tcPr>
          <w:p w14:paraId="16D0849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3.00</w:t>
            </w:r>
          </w:p>
        </w:tc>
        <w:tc>
          <w:tcPr>
            <w:tcW w:w="1194" w:type="dxa"/>
            <w:tcBorders>
              <w:top w:val="single" w:sz="4" w:space="0" w:color="auto"/>
              <w:left w:val="single" w:sz="4" w:space="0" w:color="auto"/>
              <w:right w:val="single" w:sz="4" w:space="0" w:color="auto"/>
            </w:tcBorders>
          </w:tcPr>
          <w:p w14:paraId="587C205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2.99</w:t>
            </w:r>
          </w:p>
        </w:tc>
      </w:tr>
      <w:tr w:rsidR="00813A27" w:rsidRPr="00813A27" w14:paraId="4067C0B0" w14:textId="77777777" w:rsidTr="00A65300">
        <w:trPr>
          <w:jc w:val="center"/>
        </w:trPr>
        <w:tc>
          <w:tcPr>
            <w:tcW w:w="2832" w:type="dxa"/>
            <w:tcBorders>
              <w:left w:val="single" w:sz="4" w:space="0" w:color="auto"/>
              <w:right w:val="single" w:sz="4" w:space="0" w:color="auto"/>
            </w:tcBorders>
          </w:tcPr>
          <w:p w14:paraId="566C9B65"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right w:val="single" w:sz="4" w:space="0" w:color="auto"/>
            </w:tcBorders>
          </w:tcPr>
          <w:p w14:paraId="1F9245D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3.63</w:t>
            </w:r>
          </w:p>
        </w:tc>
        <w:tc>
          <w:tcPr>
            <w:tcW w:w="1194" w:type="dxa"/>
            <w:tcBorders>
              <w:left w:val="single" w:sz="4" w:space="0" w:color="auto"/>
              <w:right w:val="single" w:sz="4" w:space="0" w:color="auto"/>
            </w:tcBorders>
          </w:tcPr>
          <w:p w14:paraId="498DFBE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3.51</w:t>
            </w:r>
          </w:p>
        </w:tc>
        <w:tc>
          <w:tcPr>
            <w:tcW w:w="1194" w:type="dxa"/>
            <w:tcBorders>
              <w:left w:val="single" w:sz="4" w:space="0" w:color="auto"/>
              <w:right w:val="single" w:sz="4" w:space="0" w:color="auto"/>
            </w:tcBorders>
          </w:tcPr>
          <w:p w14:paraId="6705D2F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94" w:type="dxa"/>
            <w:tcBorders>
              <w:left w:val="single" w:sz="4" w:space="0" w:color="auto"/>
              <w:right w:val="single" w:sz="4" w:space="0" w:color="auto"/>
            </w:tcBorders>
          </w:tcPr>
          <w:p w14:paraId="657B25D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r>
      <w:tr w:rsidR="00813A27" w:rsidRPr="00813A27" w14:paraId="1AD7F127" w14:textId="77777777" w:rsidTr="00A65300">
        <w:trPr>
          <w:jc w:val="center"/>
        </w:trPr>
        <w:tc>
          <w:tcPr>
            <w:tcW w:w="2832" w:type="dxa"/>
            <w:tcBorders>
              <w:left w:val="single" w:sz="4" w:space="0" w:color="auto"/>
              <w:right w:val="single" w:sz="4" w:space="0" w:color="auto"/>
            </w:tcBorders>
          </w:tcPr>
          <w:p w14:paraId="6757E505"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2017</w:t>
            </w:r>
          </w:p>
        </w:tc>
        <w:tc>
          <w:tcPr>
            <w:tcW w:w="1194" w:type="dxa"/>
            <w:tcBorders>
              <w:left w:val="single" w:sz="4" w:space="0" w:color="auto"/>
              <w:right w:val="single" w:sz="4" w:space="0" w:color="auto"/>
            </w:tcBorders>
          </w:tcPr>
          <w:p w14:paraId="31F9DCC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3.93</w:t>
            </w:r>
          </w:p>
        </w:tc>
        <w:tc>
          <w:tcPr>
            <w:tcW w:w="1194" w:type="dxa"/>
            <w:tcBorders>
              <w:left w:val="single" w:sz="4" w:space="0" w:color="auto"/>
              <w:right w:val="single" w:sz="4" w:space="0" w:color="auto"/>
            </w:tcBorders>
          </w:tcPr>
          <w:p w14:paraId="5998016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3.82</w:t>
            </w:r>
          </w:p>
        </w:tc>
        <w:tc>
          <w:tcPr>
            <w:tcW w:w="1194" w:type="dxa"/>
            <w:tcBorders>
              <w:left w:val="single" w:sz="4" w:space="0" w:color="auto"/>
              <w:right w:val="single" w:sz="4" w:space="0" w:color="auto"/>
            </w:tcBorders>
          </w:tcPr>
          <w:p w14:paraId="377ACC5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3.93</w:t>
            </w:r>
          </w:p>
        </w:tc>
        <w:tc>
          <w:tcPr>
            <w:tcW w:w="1194" w:type="dxa"/>
            <w:tcBorders>
              <w:left w:val="single" w:sz="4" w:space="0" w:color="auto"/>
              <w:right w:val="single" w:sz="4" w:space="0" w:color="auto"/>
            </w:tcBorders>
          </w:tcPr>
          <w:p w14:paraId="7CFD41F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3.81</w:t>
            </w:r>
          </w:p>
        </w:tc>
      </w:tr>
      <w:tr w:rsidR="00813A27" w:rsidRPr="00813A27" w14:paraId="3A254836" w14:textId="77777777" w:rsidTr="00A65300">
        <w:trPr>
          <w:jc w:val="center"/>
        </w:trPr>
        <w:tc>
          <w:tcPr>
            <w:tcW w:w="2832" w:type="dxa"/>
            <w:tcBorders>
              <w:left w:val="single" w:sz="4" w:space="0" w:color="auto"/>
              <w:bottom w:val="single" w:sz="4" w:space="0" w:color="auto"/>
              <w:right w:val="single" w:sz="4" w:space="0" w:color="auto"/>
            </w:tcBorders>
          </w:tcPr>
          <w:p w14:paraId="694B31F8"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Promedio próximos 10 años</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c>
          <w:tcPr>
            <w:tcW w:w="1194" w:type="dxa"/>
            <w:tcBorders>
              <w:left w:val="single" w:sz="4" w:space="0" w:color="auto"/>
              <w:bottom w:val="single" w:sz="4" w:space="0" w:color="auto"/>
              <w:right w:val="single" w:sz="4" w:space="0" w:color="auto"/>
            </w:tcBorders>
          </w:tcPr>
          <w:p w14:paraId="04C8D7E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3.84</w:t>
            </w:r>
          </w:p>
        </w:tc>
        <w:tc>
          <w:tcPr>
            <w:tcW w:w="1194" w:type="dxa"/>
            <w:tcBorders>
              <w:left w:val="single" w:sz="4" w:space="0" w:color="auto"/>
              <w:bottom w:val="single" w:sz="4" w:space="0" w:color="auto"/>
              <w:right w:val="single" w:sz="4" w:space="0" w:color="auto"/>
            </w:tcBorders>
          </w:tcPr>
          <w:p w14:paraId="280F867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3.73</w:t>
            </w:r>
          </w:p>
        </w:tc>
        <w:tc>
          <w:tcPr>
            <w:tcW w:w="1194" w:type="dxa"/>
            <w:tcBorders>
              <w:left w:val="single" w:sz="4" w:space="0" w:color="auto"/>
              <w:bottom w:val="single" w:sz="4" w:space="0" w:color="auto"/>
              <w:right w:val="single" w:sz="4" w:space="0" w:color="auto"/>
            </w:tcBorders>
          </w:tcPr>
          <w:p w14:paraId="76A6835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3.80</w:t>
            </w:r>
          </w:p>
        </w:tc>
        <w:tc>
          <w:tcPr>
            <w:tcW w:w="1194" w:type="dxa"/>
            <w:tcBorders>
              <w:left w:val="single" w:sz="4" w:space="0" w:color="auto"/>
              <w:bottom w:val="single" w:sz="4" w:space="0" w:color="auto"/>
              <w:right w:val="single" w:sz="4" w:space="0" w:color="auto"/>
            </w:tcBorders>
          </w:tcPr>
          <w:p w14:paraId="6D0A2B1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3.80</w:t>
            </w:r>
          </w:p>
        </w:tc>
      </w:tr>
      <w:tr w:rsidR="00813A27" w:rsidRPr="00813A27" w14:paraId="2BA79DF4" w14:textId="77777777" w:rsidTr="002B3A4F">
        <w:trPr>
          <w:jc w:val="center"/>
        </w:trPr>
        <w:tc>
          <w:tcPr>
            <w:tcW w:w="7608" w:type="dxa"/>
            <w:gridSpan w:val="5"/>
            <w:tcBorders>
              <w:left w:val="nil"/>
              <w:bottom w:val="nil"/>
              <w:right w:val="nil"/>
            </w:tcBorders>
          </w:tcPr>
          <w:p w14:paraId="43501483" w14:textId="77777777" w:rsidR="00813A27" w:rsidRPr="00813A27" w:rsidRDefault="00813A27" w:rsidP="00813A27">
            <w:pPr>
              <w:ind w:left="227" w:hanging="227"/>
              <w:jc w:val="both"/>
              <w:rPr>
                <w:rFonts w:eastAsia="Calibri"/>
                <w:sz w:val="20"/>
                <w:szCs w:val="20"/>
                <w:lang w:eastAsia="en-US"/>
              </w:rPr>
            </w:pPr>
            <w:r w:rsidRPr="00813A27">
              <w:rPr>
                <w:rFonts w:eastAsia="Calibri"/>
                <w:sz w:val="20"/>
                <w:szCs w:val="20"/>
                <w:u w:val="single"/>
                <w:lang w:eastAsia="en-US"/>
              </w:rPr>
              <w:t>1</w:t>
            </w:r>
            <w:r w:rsidRPr="00813A27">
              <w:rPr>
                <w:rFonts w:eastAsia="Calibri"/>
                <w:sz w:val="20"/>
                <w:szCs w:val="20"/>
                <w:lang w:eastAsia="en-US"/>
              </w:rPr>
              <w:t>/ Corresponde al período 2016-2025.</w:t>
            </w:r>
          </w:p>
          <w:p w14:paraId="722FB7B5"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58637594" w14:textId="77777777" w:rsidR="00813A27" w:rsidRPr="00813A27" w:rsidRDefault="00813A27" w:rsidP="00813A27">
      <w:pPr>
        <w:spacing w:after="360" w:line="360" w:lineRule="auto"/>
        <w:ind w:right="-159"/>
        <w:jc w:val="both"/>
        <w:rPr>
          <w:rFonts w:eastAsia="Calibri"/>
          <w:sz w:val="26"/>
          <w:szCs w:val="26"/>
          <w:lang w:eastAsia="en-US"/>
        </w:rPr>
      </w:pPr>
    </w:p>
    <w:p w14:paraId="7AA283BB"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II.pptx!614"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E5A25A1" wp14:editId="73627969">
            <wp:extent cx="3879850" cy="3206750"/>
            <wp:effectExtent l="0" t="0" r="6350" b="0"/>
            <wp:docPr id="1615" name="Imagen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184" cstate="print">
                      <a:extLst>
                        <a:ext uri="{28A0092B-C50C-407E-A947-70E740481C1C}">
                          <a14:useLocalDpi xmlns:a14="http://schemas.microsoft.com/office/drawing/2010/main" val="0"/>
                        </a:ext>
                      </a:extLst>
                    </a:blip>
                    <a:srcRect l="10020" t="1666" r="5011" b="4723"/>
                    <a:stretch>
                      <a:fillRect/>
                    </a:stretch>
                  </pic:blipFill>
                  <pic:spPr bwMode="auto">
                    <a:xfrm>
                      <a:off x="0" y="0"/>
                      <a:ext cx="3879850" cy="320675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7A49C63" w14:textId="77777777" w:rsidR="00813A27" w:rsidRPr="00813A27" w:rsidRDefault="00813A27" w:rsidP="00813A27">
      <w:pPr>
        <w:spacing w:after="160" w:line="259" w:lineRule="auto"/>
        <w:jc w:val="center"/>
        <w:rPr>
          <w:rFonts w:ascii="Calibri" w:eastAsia="Calibri" w:hAnsi="Calibri"/>
          <w:sz w:val="22"/>
          <w:szCs w:val="22"/>
          <w:lang w:eastAsia="en-US"/>
        </w:rPr>
      </w:pPr>
    </w:p>
    <w:p w14:paraId="11105AC2"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II.pptx!600"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23D8AEE0" wp14:editId="4AB9996C">
            <wp:extent cx="4058920" cy="3163570"/>
            <wp:effectExtent l="0" t="0" r="0" b="0"/>
            <wp:docPr id="1616" name="Imagen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6"/>
                    <pic:cNvPicPr>
                      <a:picLocks noChangeAspect="1" noChangeArrowheads="1"/>
                    </pic:cNvPicPr>
                  </pic:nvPicPr>
                  <pic:blipFill>
                    <a:blip r:embed="rId185" cstate="print">
                      <a:extLst>
                        <a:ext uri="{28A0092B-C50C-407E-A947-70E740481C1C}">
                          <a14:useLocalDpi xmlns:a14="http://schemas.microsoft.com/office/drawing/2010/main" val="0"/>
                        </a:ext>
                      </a:extLst>
                    </a:blip>
                    <a:srcRect l="7724" t="2777" r="3340" b="5000"/>
                    <a:stretch>
                      <a:fillRect/>
                    </a:stretch>
                  </pic:blipFill>
                  <pic:spPr bwMode="auto">
                    <a:xfrm>
                      <a:off x="0" y="0"/>
                      <a:ext cx="4058920"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B768152" w14:textId="77777777" w:rsidR="00813A27" w:rsidRPr="00813A27" w:rsidRDefault="00813A27" w:rsidP="00813A27">
      <w:pPr>
        <w:spacing w:after="160" w:line="259" w:lineRule="auto"/>
        <w:jc w:val="center"/>
        <w:rPr>
          <w:rFonts w:ascii="Calibri" w:eastAsia="Calibri" w:hAnsi="Calibri"/>
          <w:sz w:val="22"/>
          <w:szCs w:val="22"/>
          <w:lang w:eastAsia="en-US"/>
        </w:rPr>
      </w:pPr>
    </w:p>
    <w:p w14:paraId="4C4BED25" w14:textId="77777777" w:rsidR="00813A27" w:rsidRPr="00813A27" w:rsidRDefault="00813A27" w:rsidP="00813A27">
      <w:pPr>
        <w:spacing w:after="160" w:line="259" w:lineRule="auto"/>
        <w:jc w:val="center"/>
        <w:rPr>
          <w:rFonts w:ascii="Calibri" w:eastAsia="Calibri" w:hAnsi="Calibri"/>
          <w:sz w:val="22"/>
          <w:szCs w:val="22"/>
          <w:lang w:eastAsia="en-US"/>
        </w:rPr>
      </w:pPr>
    </w:p>
    <w:p w14:paraId="17D593C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II.pptx!591"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D3F9A1A" wp14:editId="1C07B76E">
            <wp:extent cx="4015740" cy="3268345"/>
            <wp:effectExtent l="0" t="0" r="3810" b="8255"/>
            <wp:docPr id="1617" name="Imagen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7"/>
                    <pic:cNvPicPr>
                      <a:picLocks noChangeAspect="1" noChangeArrowheads="1"/>
                    </pic:cNvPicPr>
                  </pic:nvPicPr>
                  <pic:blipFill>
                    <a:blip r:embed="rId186" cstate="print">
                      <a:extLst>
                        <a:ext uri="{28A0092B-C50C-407E-A947-70E740481C1C}">
                          <a14:useLocalDpi xmlns:a14="http://schemas.microsoft.com/office/drawing/2010/main" val="0"/>
                        </a:ext>
                      </a:extLst>
                    </a:blip>
                    <a:srcRect l="8560" r="3340" b="4723"/>
                    <a:stretch>
                      <a:fillRect/>
                    </a:stretch>
                  </pic:blipFill>
                  <pic:spPr bwMode="auto">
                    <a:xfrm>
                      <a:off x="0" y="0"/>
                      <a:ext cx="4015740" cy="326834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7935CB5" w14:textId="77777777" w:rsidR="00813A27" w:rsidRPr="00813A27" w:rsidRDefault="00813A27" w:rsidP="00813A27">
      <w:pPr>
        <w:spacing w:after="160" w:line="259" w:lineRule="auto"/>
        <w:jc w:val="center"/>
        <w:rPr>
          <w:rFonts w:ascii="Calibri" w:eastAsia="Calibri" w:hAnsi="Calibri"/>
          <w:sz w:val="22"/>
          <w:szCs w:val="22"/>
          <w:lang w:eastAsia="en-US"/>
        </w:rPr>
      </w:pPr>
    </w:p>
    <w:p w14:paraId="6B589206"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II.pptx!534"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F14C496" wp14:editId="0AC68F3A">
            <wp:extent cx="4096385" cy="3429000"/>
            <wp:effectExtent l="0" t="0" r="0" b="0"/>
            <wp:docPr id="1618" name="Imagen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8"/>
                    <pic:cNvPicPr>
                      <a:picLocks noChangeAspect="1" noChangeArrowheads="1"/>
                    </pic:cNvPicPr>
                  </pic:nvPicPr>
                  <pic:blipFill>
                    <a:blip r:embed="rId187" cstate="print">
                      <a:extLst>
                        <a:ext uri="{28A0092B-C50C-407E-A947-70E740481C1C}">
                          <a14:useLocalDpi xmlns:a14="http://schemas.microsoft.com/office/drawing/2010/main" val="0"/>
                        </a:ext>
                      </a:extLst>
                    </a:blip>
                    <a:srcRect l="7098" r="3131"/>
                    <a:stretch>
                      <a:fillRect/>
                    </a:stretch>
                  </pic:blipFill>
                  <pic:spPr bwMode="auto">
                    <a:xfrm>
                      <a:off x="0" y="0"/>
                      <a:ext cx="4096385" cy="3429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FE6DD33" w14:textId="77777777" w:rsidR="00813A27" w:rsidRPr="00813A27" w:rsidRDefault="00813A27" w:rsidP="00813A27">
      <w:pPr>
        <w:spacing w:after="160" w:line="259" w:lineRule="auto"/>
        <w:jc w:val="center"/>
        <w:rPr>
          <w:rFonts w:ascii="Calibri" w:eastAsia="Calibri" w:hAnsi="Calibri"/>
          <w:sz w:val="22"/>
          <w:szCs w:val="22"/>
          <w:lang w:eastAsia="en-US"/>
        </w:rPr>
      </w:pPr>
    </w:p>
    <w:p w14:paraId="16C0D275" w14:textId="77777777" w:rsidR="00813A27" w:rsidRPr="00813A27" w:rsidRDefault="00813A27" w:rsidP="00813A27">
      <w:pPr>
        <w:spacing w:after="160" w:line="259" w:lineRule="auto"/>
        <w:jc w:val="center"/>
        <w:rPr>
          <w:rFonts w:ascii="Calibri" w:eastAsia="Calibri" w:hAnsi="Calibri"/>
          <w:sz w:val="22"/>
          <w:szCs w:val="22"/>
          <w:lang w:eastAsia="en-US"/>
        </w:rPr>
      </w:pPr>
    </w:p>
    <w:p w14:paraId="7E569FAD"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II.pptx!453"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E716AB9" wp14:editId="6018466C">
            <wp:extent cx="3824605" cy="2903855"/>
            <wp:effectExtent l="0" t="0" r="4445" b="0"/>
            <wp:docPr id="1619" name="Imagen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188" cstate="print">
                      <a:extLst>
                        <a:ext uri="{28A0092B-C50C-407E-A947-70E740481C1C}">
                          <a14:useLocalDpi xmlns:a14="http://schemas.microsoft.com/office/drawing/2010/main" val="0"/>
                        </a:ext>
                      </a:extLst>
                    </a:blip>
                    <a:srcRect l="8768" t="4445" r="7307" b="10834"/>
                    <a:stretch>
                      <a:fillRect/>
                    </a:stretch>
                  </pic:blipFill>
                  <pic:spPr bwMode="auto">
                    <a:xfrm>
                      <a:off x="0" y="0"/>
                      <a:ext cx="3824605" cy="290385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5C38B37F" w14:textId="77777777" w:rsidR="00813A27" w:rsidRPr="00813A27" w:rsidRDefault="00813A27" w:rsidP="00813A27">
      <w:pPr>
        <w:spacing w:after="360" w:line="360" w:lineRule="auto"/>
        <w:ind w:right="-159"/>
        <w:jc w:val="center"/>
        <w:rPr>
          <w:rFonts w:eastAsia="Calibri"/>
          <w:sz w:val="26"/>
          <w:szCs w:val="26"/>
          <w:lang w:eastAsia="en-US"/>
        </w:rPr>
      </w:pPr>
    </w:p>
    <w:p w14:paraId="064AEE86"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Se consultó a los analistas sobre la probabilidad de que en alguno de los próximos trimestres se observe una reducción respecto al trimestre previo en el nivel del PIB real </w:t>
      </w:r>
      <w:r w:rsidRPr="00813A27">
        <w:rPr>
          <w:rFonts w:eastAsia="Calibri"/>
          <w:sz w:val="26"/>
          <w:szCs w:val="26"/>
          <w:lang w:eastAsia="en-US"/>
        </w:rPr>
        <w:lastRenderedPageBreak/>
        <w:t>ajustado por estacionalidad; es decir, la expectativa de que se registre una tasa negativa de variación trimestral desestacionalizada del PIB real. Como puede apreciarse en el cuadro siguiente, la probabilidad media de que en alguno de los trimestres sobre los que se preguntó se observe una caída del PIB disminuyó, excepto para el tercer y cuarto trimestres de 2015.</w:t>
      </w:r>
    </w:p>
    <w:tbl>
      <w:tblPr>
        <w:tblW w:w="0" w:type="auto"/>
        <w:jc w:val="center"/>
        <w:tblLook w:val="04A0" w:firstRow="1" w:lastRow="0" w:firstColumn="1" w:lastColumn="0" w:noHBand="0" w:noVBand="1"/>
      </w:tblPr>
      <w:tblGrid>
        <w:gridCol w:w="2879"/>
        <w:gridCol w:w="1161"/>
        <w:gridCol w:w="1194"/>
        <w:gridCol w:w="1194"/>
        <w:gridCol w:w="1174"/>
      </w:tblGrid>
      <w:tr w:rsidR="00813A27" w:rsidRPr="00813A27" w14:paraId="2DC4477D" w14:textId="77777777" w:rsidTr="00A65300">
        <w:trPr>
          <w:jc w:val="center"/>
        </w:trPr>
        <w:tc>
          <w:tcPr>
            <w:tcW w:w="7602" w:type="dxa"/>
            <w:gridSpan w:val="5"/>
            <w:tcBorders>
              <w:top w:val="nil"/>
              <w:left w:val="nil"/>
              <w:bottom w:val="single" w:sz="4" w:space="0" w:color="auto"/>
              <w:right w:val="nil"/>
            </w:tcBorders>
          </w:tcPr>
          <w:p w14:paraId="03AD46ED"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PROBABILIDAD MEDIA DE QUE SE OBSERVE UNA REDUCCIÓN EN EL NIVEL DEL PIB REAL AJUSTADO POR ESTACIONALIDAD RESPECTO AL TRIMESTRE PREVIO</w:t>
            </w:r>
          </w:p>
          <w:p w14:paraId="2986A713"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7C507416" w14:textId="77777777" w:rsidTr="00A65300">
        <w:trPr>
          <w:jc w:val="center"/>
        </w:trPr>
        <w:tc>
          <w:tcPr>
            <w:tcW w:w="2879" w:type="dxa"/>
            <w:vMerge w:val="restart"/>
            <w:tcBorders>
              <w:top w:val="single" w:sz="4" w:space="0" w:color="auto"/>
              <w:left w:val="single" w:sz="4" w:space="0" w:color="auto"/>
              <w:bottom w:val="single" w:sz="4" w:space="0" w:color="auto"/>
              <w:right w:val="single" w:sz="4" w:space="0" w:color="auto"/>
            </w:tcBorders>
          </w:tcPr>
          <w:p w14:paraId="5DF75A1B" w14:textId="77777777" w:rsidR="00813A27" w:rsidRPr="00813A27" w:rsidRDefault="00813A27" w:rsidP="00813A27">
            <w:pPr>
              <w:jc w:val="both"/>
              <w:rPr>
                <w:rFonts w:eastAsia="Calibri"/>
                <w:sz w:val="20"/>
                <w:szCs w:val="20"/>
                <w:lang w:eastAsia="en-US"/>
              </w:rPr>
            </w:pPr>
          </w:p>
        </w:tc>
        <w:tc>
          <w:tcPr>
            <w:tcW w:w="4723" w:type="dxa"/>
            <w:gridSpan w:val="4"/>
            <w:tcBorders>
              <w:top w:val="single" w:sz="4" w:space="0" w:color="auto"/>
              <w:left w:val="single" w:sz="4" w:space="0" w:color="auto"/>
              <w:bottom w:val="single" w:sz="4" w:space="0" w:color="auto"/>
              <w:right w:val="single" w:sz="4" w:space="0" w:color="auto"/>
            </w:tcBorders>
          </w:tcPr>
          <w:p w14:paraId="7548938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 xml:space="preserve">Encuesta </w:t>
            </w:r>
          </w:p>
        </w:tc>
      </w:tr>
      <w:tr w:rsidR="00813A27" w:rsidRPr="00813A27" w14:paraId="775CAB65" w14:textId="77777777" w:rsidTr="00A65300">
        <w:trPr>
          <w:jc w:val="center"/>
        </w:trPr>
        <w:tc>
          <w:tcPr>
            <w:tcW w:w="2879" w:type="dxa"/>
            <w:vMerge/>
            <w:tcBorders>
              <w:top w:val="single" w:sz="4" w:space="0" w:color="auto"/>
              <w:left w:val="single" w:sz="4" w:space="0" w:color="auto"/>
              <w:bottom w:val="single" w:sz="4" w:space="0" w:color="auto"/>
              <w:right w:val="single" w:sz="4" w:space="0" w:color="auto"/>
            </w:tcBorders>
          </w:tcPr>
          <w:p w14:paraId="35826C4D" w14:textId="77777777" w:rsidR="00813A27" w:rsidRPr="00813A27" w:rsidRDefault="00813A27" w:rsidP="00813A27">
            <w:pPr>
              <w:jc w:val="both"/>
              <w:rPr>
                <w:rFonts w:eastAsia="Calibri"/>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678186A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Diciembre</w:t>
            </w:r>
          </w:p>
        </w:tc>
        <w:tc>
          <w:tcPr>
            <w:tcW w:w="1194" w:type="dxa"/>
            <w:tcBorders>
              <w:top w:val="single" w:sz="4" w:space="0" w:color="auto"/>
              <w:left w:val="single" w:sz="4" w:space="0" w:color="auto"/>
              <w:bottom w:val="single" w:sz="4" w:space="0" w:color="auto"/>
              <w:right w:val="single" w:sz="4" w:space="0" w:color="auto"/>
            </w:tcBorders>
          </w:tcPr>
          <w:p w14:paraId="6F16EBA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Enero</w:t>
            </w:r>
          </w:p>
        </w:tc>
        <w:tc>
          <w:tcPr>
            <w:tcW w:w="1194" w:type="dxa"/>
            <w:tcBorders>
              <w:top w:val="single" w:sz="4" w:space="0" w:color="auto"/>
              <w:left w:val="single" w:sz="4" w:space="0" w:color="auto"/>
              <w:bottom w:val="single" w:sz="4" w:space="0" w:color="auto"/>
              <w:right w:val="single" w:sz="4" w:space="0" w:color="auto"/>
            </w:tcBorders>
          </w:tcPr>
          <w:p w14:paraId="5D5C9BE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74" w:type="dxa"/>
            <w:tcBorders>
              <w:top w:val="single" w:sz="4" w:space="0" w:color="auto"/>
              <w:left w:val="single" w:sz="4" w:space="0" w:color="auto"/>
              <w:bottom w:val="single" w:sz="4" w:space="0" w:color="auto"/>
              <w:right w:val="single" w:sz="4" w:space="0" w:color="auto"/>
            </w:tcBorders>
          </w:tcPr>
          <w:p w14:paraId="44D6969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4D4BF961" w14:textId="77777777" w:rsidTr="00A65300">
        <w:trPr>
          <w:jc w:val="center"/>
        </w:trPr>
        <w:tc>
          <w:tcPr>
            <w:tcW w:w="2879" w:type="dxa"/>
            <w:tcBorders>
              <w:top w:val="single" w:sz="4" w:space="0" w:color="auto"/>
              <w:left w:val="single" w:sz="4" w:space="0" w:color="auto"/>
              <w:right w:val="single" w:sz="4" w:space="0" w:color="auto"/>
            </w:tcBorders>
          </w:tcPr>
          <w:p w14:paraId="392841E5"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2015-I     respecto al 2014-IV</w:t>
            </w:r>
          </w:p>
        </w:tc>
        <w:tc>
          <w:tcPr>
            <w:tcW w:w="1161" w:type="dxa"/>
            <w:tcBorders>
              <w:top w:val="single" w:sz="4" w:space="0" w:color="auto"/>
              <w:left w:val="single" w:sz="4" w:space="0" w:color="auto"/>
              <w:right w:val="single" w:sz="4" w:space="0" w:color="auto"/>
            </w:tcBorders>
          </w:tcPr>
          <w:p w14:paraId="5874BFF0"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8.16</w:t>
            </w:r>
          </w:p>
        </w:tc>
        <w:tc>
          <w:tcPr>
            <w:tcW w:w="1194" w:type="dxa"/>
            <w:tcBorders>
              <w:top w:val="single" w:sz="4" w:space="0" w:color="auto"/>
              <w:left w:val="single" w:sz="4" w:space="0" w:color="auto"/>
              <w:right w:val="single" w:sz="4" w:space="0" w:color="auto"/>
            </w:tcBorders>
          </w:tcPr>
          <w:p w14:paraId="11F43A8C"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7.50</w:t>
            </w:r>
          </w:p>
        </w:tc>
        <w:tc>
          <w:tcPr>
            <w:tcW w:w="1194" w:type="dxa"/>
            <w:tcBorders>
              <w:top w:val="single" w:sz="4" w:space="0" w:color="auto"/>
              <w:left w:val="single" w:sz="4" w:space="0" w:color="auto"/>
              <w:right w:val="single" w:sz="4" w:space="0" w:color="auto"/>
            </w:tcBorders>
          </w:tcPr>
          <w:p w14:paraId="6176D6F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10.44</w:t>
            </w:r>
          </w:p>
        </w:tc>
        <w:tc>
          <w:tcPr>
            <w:tcW w:w="1174" w:type="dxa"/>
            <w:tcBorders>
              <w:top w:val="single" w:sz="4" w:space="0" w:color="auto"/>
              <w:left w:val="single" w:sz="4" w:space="0" w:color="auto"/>
              <w:right w:val="single" w:sz="4" w:space="0" w:color="auto"/>
            </w:tcBorders>
          </w:tcPr>
          <w:p w14:paraId="27218DDC"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8.79</w:t>
            </w:r>
          </w:p>
        </w:tc>
      </w:tr>
      <w:tr w:rsidR="00813A27" w:rsidRPr="00813A27" w14:paraId="74CBB1A8" w14:textId="77777777" w:rsidTr="00A65300">
        <w:trPr>
          <w:jc w:val="center"/>
        </w:trPr>
        <w:tc>
          <w:tcPr>
            <w:tcW w:w="2879" w:type="dxa"/>
            <w:tcBorders>
              <w:left w:val="single" w:sz="4" w:space="0" w:color="auto"/>
              <w:right w:val="single" w:sz="4" w:space="0" w:color="auto"/>
            </w:tcBorders>
          </w:tcPr>
          <w:p w14:paraId="76AACA83"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2015-II   respecto al 2015-I</w:t>
            </w:r>
          </w:p>
        </w:tc>
        <w:tc>
          <w:tcPr>
            <w:tcW w:w="1161" w:type="dxa"/>
            <w:tcBorders>
              <w:left w:val="single" w:sz="4" w:space="0" w:color="auto"/>
              <w:right w:val="single" w:sz="4" w:space="0" w:color="auto"/>
            </w:tcBorders>
          </w:tcPr>
          <w:p w14:paraId="11280059"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9.32</w:t>
            </w:r>
          </w:p>
        </w:tc>
        <w:tc>
          <w:tcPr>
            <w:tcW w:w="1194" w:type="dxa"/>
            <w:tcBorders>
              <w:left w:val="single" w:sz="4" w:space="0" w:color="auto"/>
              <w:right w:val="single" w:sz="4" w:space="0" w:color="auto"/>
            </w:tcBorders>
          </w:tcPr>
          <w:p w14:paraId="46A21A71"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5.95</w:t>
            </w:r>
          </w:p>
        </w:tc>
        <w:tc>
          <w:tcPr>
            <w:tcW w:w="1194" w:type="dxa"/>
            <w:tcBorders>
              <w:left w:val="single" w:sz="4" w:space="0" w:color="auto"/>
              <w:right w:val="single" w:sz="4" w:space="0" w:color="auto"/>
            </w:tcBorders>
          </w:tcPr>
          <w:p w14:paraId="53DD3F29"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8.01</w:t>
            </w:r>
          </w:p>
        </w:tc>
        <w:tc>
          <w:tcPr>
            <w:tcW w:w="1174" w:type="dxa"/>
            <w:tcBorders>
              <w:left w:val="single" w:sz="4" w:space="0" w:color="auto"/>
              <w:right w:val="single" w:sz="4" w:space="0" w:color="auto"/>
            </w:tcBorders>
          </w:tcPr>
          <w:p w14:paraId="69CCE72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5.64</w:t>
            </w:r>
          </w:p>
        </w:tc>
      </w:tr>
      <w:tr w:rsidR="00813A27" w:rsidRPr="00813A27" w14:paraId="5E7146A9" w14:textId="77777777" w:rsidTr="00A65300">
        <w:trPr>
          <w:jc w:val="center"/>
        </w:trPr>
        <w:tc>
          <w:tcPr>
            <w:tcW w:w="2879" w:type="dxa"/>
            <w:tcBorders>
              <w:left w:val="single" w:sz="4" w:space="0" w:color="auto"/>
              <w:right w:val="single" w:sz="4" w:space="0" w:color="auto"/>
            </w:tcBorders>
          </w:tcPr>
          <w:p w14:paraId="456B5D9C"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2015-III  respecto al 2015-II</w:t>
            </w:r>
          </w:p>
        </w:tc>
        <w:tc>
          <w:tcPr>
            <w:tcW w:w="1161" w:type="dxa"/>
            <w:tcBorders>
              <w:left w:val="single" w:sz="4" w:space="0" w:color="auto"/>
              <w:right w:val="single" w:sz="4" w:space="0" w:color="auto"/>
            </w:tcBorders>
          </w:tcPr>
          <w:p w14:paraId="42F312F2"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7.17</w:t>
            </w:r>
          </w:p>
        </w:tc>
        <w:tc>
          <w:tcPr>
            <w:tcW w:w="1194" w:type="dxa"/>
            <w:tcBorders>
              <w:left w:val="single" w:sz="4" w:space="0" w:color="auto"/>
              <w:right w:val="single" w:sz="4" w:space="0" w:color="auto"/>
            </w:tcBorders>
          </w:tcPr>
          <w:p w14:paraId="022AAFA0"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5.29</w:t>
            </w:r>
          </w:p>
        </w:tc>
        <w:tc>
          <w:tcPr>
            <w:tcW w:w="1194" w:type="dxa"/>
            <w:tcBorders>
              <w:left w:val="single" w:sz="4" w:space="0" w:color="auto"/>
              <w:right w:val="single" w:sz="4" w:space="0" w:color="auto"/>
            </w:tcBorders>
          </w:tcPr>
          <w:p w14:paraId="3AA03B35"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6.68</w:t>
            </w:r>
          </w:p>
        </w:tc>
        <w:tc>
          <w:tcPr>
            <w:tcW w:w="1174" w:type="dxa"/>
            <w:tcBorders>
              <w:left w:val="single" w:sz="4" w:space="0" w:color="auto"/>
              <w:right w:val="single" w:sz="4" w:space="0" w:color="auto"/>
            </w:tcBorders>
          </w:tcPr>
          <w:p w14:paraId="300C2EEF"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8.79</w:t>
            </w:r>
          </w:p>
        </w:tc>
      </w:tr>
      <w:tr w:rsidR="00813A27" w:rsidRPr="00813A27" w14:paraId="5EA12340" w14:textId="77777777" w:rsidTr="00A65300">
        <w:trPr>
          <w:jc w:val="center"/>
        </w:trPr>
        <w:tc>
          <w:tcPr>
            <w:tcW w:w="2879" w:type="dxa"/>
            <w:tcBorders>
              <w:left w:val="single" w:sz="4" w:space="0" w:color="auto"/>
              <w:right w:val="single" w:sz="4" w:space="0" w:color="auto"/>
            </w:tcBorders>
          </w:tcPr>
          <w:p w14:paraId="3AB0B84E"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2015-IV  respecto al 2015-III</w:t>
            </w:r>
          </w:p>
        </w:tc>
        <w:tc>
          <w:tcPr>
            <w:tcW w:w="1161" w:type="dxa"/>
            <w:tcBorders>
              <w:left w:val="single" w:sz="4" w:space="0" w:color="auto"/>
              <w:right w:val="single" w:sz="4" w:space="0" w:color="auto"/>
            </w:tcBorders>
          </w:tcPr>
          <w:p w14:paraId="289B6C4B"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7.05</w:t>
            </w:r>
          </w:p>
        </w:tc>
        <w:tc>
          <w:tcPr>
            <w:tcW w:w="1194" w:type="dxa"/>
            <w:tcBorders>
              <w:left w:val="single" w:sz="4" w:space="0" w:color="auto"/>
              <w:right w:val="single" w:sz="4" w:space="0" w:color="auto"/>
            </w:tcBorders>
          </w:tcPr>
          <w:p w14:paraId="6D96388F" w14:textId="77777777" w:rsidR="00813A27" w:rsidRPr="00813A27" w:rsidRDefault="00813A27" w:rsidP="00813A27">
            <w:pPr>
              <w:ind w:right="57"/>
              <w:jc w:val="center"/>
              <w:rPr>
                <w:rFonts w:eastAsia="Calibri"/>
                <w:sz w:val="20"/>
                <w:szCs w:val="20"/>
                <w:lang w:eastAsia="en-US"/>
              </w:rPr>
            </w:pPr>
            <w:r w:rsidRPr="00813A27">
              <w:rPr>
                <w:rFonts w:eastAsia="Calibri"/>
                <w:sz w:val="20"/>
                <w:szCs w:val="20"/>
                <w:lang w:eastAsia="en-US"/>
              </w:rPr>
              <w:t>5.11</w:t>
            </w:r>
          </w:p>
        </w:tc>
        <w:tc>
          <w:tcPr>
            <w:tcW w:w="1194" w:type="dxa"/>
            <w:tcBorders>
              <w:left w:val="single" w:sz="4" w:space="0" w:color="auto"/>
              <w:right w:val="single" w:sz="4" w:space="0" w:color="auto"/>
            </w:tcBorders>
          </w:tcPr>
          <w:p w14:paraId="3704B272"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6.68</w:t>
            </w:r>
          </w:p>
        </w:tc>
        <w:tc>
          <w:tcPr>
            <w:tcW w:w="1174" w:type="dxa"/>
            <w:tcBorders>
              <w:left w:val="single" w:sz="4" w:space="0" w:color="auto"/>
              <w:right w:val="single" w:sz="4" w:space="0" w:color="auto"/>
            </w:tcBorders>
          </w:tcPr>
          <w:p w14:paraId="4A3E99DA"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7.07</w:t>
            </w:r>
          </w:p>
        </w:tc>
      </w:tr>
      <w:tr w:rsidR="00813A27" w:rsidRPr="00813A27" w14:paraId="245B4D1F" w14:textId="77777777" w:rsidTr="00A65300">
        <w:trPr>
          <w:jc w:val="center"/>
        </w:trPr>
        <w:tc>
          <w:tcPr>
            <w:tcW w:w="2879" w:type="dxa"/>
            <w:tcBorders>
              <w:left w:val="single" w:sz="4" w:space="0" w:color="auto"/>
              <w:bottom w:val="single" w:sz="4" w:space="0" w:color="auto"/>
              <w:right w:val="single" w:sz="4" w:space="0" w:color="auto"/>
            </w:tcBorders>
          </w:tcPr>
          <w:p w14:paraId="66D22D08"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2016-I     respecto al 2015-IV</w:t>
            </w:r>
          </w:p>
        </w:tc>
        <w:tc>
          <w:tcPr>
            <w:tcW w:w="1161" w:type="dxa"/>
            <w:tcBorders>
              <w:left w:val="single" w:sz="4" w:space="0" w:color="auto"/>
              <w:bottom w:val="single" w:sz="4" w:space="0" w:color="auto"/>
              <w:right w:val="single" w:sz="4" w:space="0" w:color="auto"/>
            </w:tcBorders>
          </w:tcPr>
          <w:p w14:paraId="2816837E" w14:textId="77777777" w:rsidR="00813A27" w:rsidRPr="00813A27" w:rsidRDefault="00813A27" w:rsidP="00813A27">
            <w:pPr>
              <w:ind w:right="57"/>
              <w:jc w:val="center"/>
              <w:rPr>
                <w:rFonts w:eastAsia="Calibri"/>
                <w:sz w:val="20"/>
                <w:szCs w:val="20"/>
                <w:lang w:eastAsia="en-US"/>
              </w:rPr>
            </w:pPr>
          </w:p>
        </w:tc>
        <w:tc>
          <w:tcPr>
            <w:tcW w:w="1194" w:type="dxa"/>
            <w:tcBorders>
              <w:left w:val="single" w:sz="4" w:space="0" w:color="auto"/>
              <w:bottom w:val="single" w:sz="4" w:space="0" w:color="auto"/>
              <w:right w:val="single" w:sz="4" w:space="0" w:color="auto"/>
            </w:tcBorders>
          </w:tcPr>
          <w:p w14:paraId="02BF4EB8" w14:textId="77777777" w:rsidR="00813A27" w:rsidRPr="00813A27" w:rsidRDefault="00813A27" w:rsidP="00813A27">
            <w:pPr>
              <w:ind w:right="57"/>
              <w:jc w:val="center"/>
              <w:rPr>
                <w:rFonts w:eastAsia="Calibri"/>
                <w:sz w:val="20"/>
                <w:szCs w:val="20"/>
                <w:lang w:eastAsia="en-US"/>
              </w:rPr>
            </w:pPr>
          </w:p>
        </w:tc>
        <w:tc>
          <w:tcPr>
            <w:tcW w:w="1194" w:type="dxa"/>
            <w:tcBorders>
              <w:left w:val="single" w:sz="4" w:space="0" w:color="auto"/>
              <w:bottom w:val="single" w:sz="4" w:space="0" w:color="auto"/>
              <w:right w:val="single" w:sz="4" w:space="0" w:color="auto"/>
            </w:tcBorders>
          </w:tcPr>
          <w:p w14:paraId="003BA970"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7.08</w:t>
            </w:r>
          </w:p>
        </w:tc>
        <w:tc>
          <w:tcPr>
            <w:tcW w:w="1174" w:type="dxa"/>
            <w:tcBorders>
              <w:left w:val="single" w:sz="4" w:space="0" w:color="auto"/>
              <w:bottom w:val="single" w:sz="4" w:space="0" w:color="auto"/>
              <w:right w:val="single" w:sz="4" w:space="0" w:color="auto"/>
            </w:tcBorders>
          </w:tcPr>
          <w:p w14:paraId="0BDFD0D6" w14:textId="77777777" w:rsidR="00813A27" w:rsidRPr="00813A27" w:rsidRDefault="00813A27" w:rsidP="00813A27">
            <w:pPr>
              <w:ind w:right="284"/>
              <w:jc w:val="right"/>
              <w:rPr>
                <w:rFonts w:eastAsia="Calibri"/>
                <w:sz w:val="20"/>
                <w:szCs w:val="20"/>
                <w:lang w:eastAsia="en-US"/>
              </w:rPr>
            </w:pPr>
            <w:r w:rsidRPr="00813A27">
              <w:rPr>
                <w:rFonts w:eastAsia="Calibri"/>
                <w:sz w:val="20"/>
                <w:szCs w:val="20"/>
                <w:lang w:eastAsia="en-US"/>
              </w:rPr>
              <w:t>6.54</w:t>
            </w:r>
          </w:p>
        </w:tc>
      </w:tr>
      <w:tr w:rsidR="00813A27" w:rsidRPr="00813A27" w14:paraId="6E58FBE7" w14:textId="77777777" w:rsidTr="002B3A4F">
        <w:trPr>
          <w:jc w:val="center"/>
        </w:trPr>
        <w:tc>
          <w:tcPr>
            <w:tcW w:w="7602" w:type="dxa"/>
            <w:gridSpan w:val="5"/>
            <w:tcBorders>
              <w:left w:val="nil"/>
              <w:bottom w:val="nil"/>
              <w:right w:val="nil"/>
            </w:tcBorders>
          </w:tcPr>
          <w:p w14:paraId="5DAA6E5E"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66C4B6B7" w14:textId="77777777" w:rsidR="00813A27" w:rsidRPr="00813A27" w:rsidRDefault="00813A27" w:rsidP="00813A27">
      <w:pPr>
        <w:spacing w:after="360" w:line="360" w:lineRule="auto"/>
        <w:ind w:right="-159"/>
        <w:jc w:val="both"/>
        <w:rPr>
          <w:rFonts w:eastAsia="Calibri"/>
          <w:sz w:val="26"/>
          <w:szCs w:val="26"/>
          <w:lang w:eastAsia="en-US"/>
        </w:rPr>
      </w:pPr>
    </w:p>
    <w:p w14:paraId="23A2769B"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Finalmente, en la gráfica </w:t>
      </w:r>
      <w:r w:rsidRPr="00813A27">
        <w:rPr>
          <w:rFonts w:eastAsia="Calibri"/>
          <w:i/>
          <w:sz w:val="26"/>
          <w:szCs w:val="26"/>
          <w:lang w:eastAsia="en-US"/>
        </w:rPr>
        <w:t>Tasa de crecimiento anual del PIB</w:t>
      </w:r>
      <w:r w:rsidRPr="00813A27">
        <w:rPr>
          <w:rFonts w:eastAsia="Calibri"/>
          <w:sz w:val="26"/>
          <w:szCs w:val="26"/>
          <w:lang w:eastAsia="en-US"/>
        </w:rPr>
        <w:t xml:space="preserve"> se muestra la probabilidad que los analistas asignaron a que la tasa de crecimiento anual del PIB para 2015 y 2016 se ubique dentro de distintos intervalos. Para 2015, los analistas disminuyeron la probabilidad asignada al intervalo de 3.0 a 3.4%, al tiempo que aumentaron la probabilidad otorgada a los intervalos de 2.0 a 2.4% y de 2.5 a 2.9%, siendo este último intervalo al que mayor probabilidad se asignó en esta ocasión. Para 2016, los especialistas disminuyeron la probabilidad otorgada a que el crecimiento del PIB se ubique en el intervalo de 4.0 a 4.4%, al tiempo que aumentaron la probabilidad asignada a que el crecimiento del PIB se ubique entre 2.0 y 3.4%, si bien continuaron otorgando la mayor probabilidad al intervalo de 3.5 a 3.9 por ciento. </w:t>
      </w:r>
    </w:p>
    <w:p w14:paraId="2AACCFE8"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II.pptx!484"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E5289F5" wp14:editId="5F8344FC">
            <wp:extent cx="4257040" cy="3256280"/>
            <wp:effectExtent l="0" t="0" r="0" b="1270"/>
            <wp:docPr id="1620" name="Imagen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8"/>
                    <pic:cNvPicPr>
                      <a:picLocks noChangeAspect="1" noChangeArrowheads="1"/>
                    </pic:cNvPicPr>
                  </pic:nvPicPr>
                  <pic:blipFill>
                    <a:blip r:embed="rId189" cstate="print">
                      <a:extLst>
                        <a:ext uri="{28A0092B-C50C-407E-A947-70E740481C1C}">
                          <a14:useLocalDpi xmlns:a14="http://schemas.microsoft.com/office/drawing/2010/main" val="0"/>
                        </a:ext>
                      </a:extLst>
                    </a:blip>
                    <a:srcRect l="2505" r="4175" b="5000"/>
                    <a:stretch>
                      <a:fillRect/>
                    </a:stretch>
                  </pic:blipFill>
                  <pic:spPr bwMode="auto">
                    <a:xfrm>
                      <a:off x="0" y="0"/>
                      <a:ext cx="4257040" cy="325628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2B0C894" w14:textId="77777777" w:rsidR="00813A27" w:rsidRPr="00813A27" w:rsidRDefault="00813A27" w:rsidP="00813A27">
      <w:pPr>
        <w:spacing w:after="160" w:line="259" w:lineRule="auto"/>
        <w:jc w:val="center"/>
        <w:rPr>
          <w:rFonts w:ascii="Calibri" w:eastAsia="Calibri" w:hAnsi="Calibri"/>
          <w:sz w:val="22"/>
          <w:szCs w:val="22"/>
          <w:lang w:eastAsia="en-US"/>
        </w:rPr>
      </w:pPr>
    </w:p>
    <w:p w14:paraId="130BB2AE"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9FA4E3D" wp14:editId="22985A12">
            <wp:extent cx="4269105" cy="3231515"/>
            <wp:effectExtent l="0" t="0" r="0" b="6985"/>
            <wp:docPr id="1621" name="Imagen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9"/>
                    <pic:cNvPicPr>
                      <a:picLocks noChangeAspect="1" noChangeArrowheads="1"/>
                    </pic:cNvPicPr>
                  </pic:nvPicPr>
                  <pic:blipFill>
                    <a:blip r:embed="rId190" cstate="print">
                      <a:extLst>
                        <a:ext uri="{28A0092B-C50C-407E-A947-70E740481C1C}">
                          <a14:useLocalDpi xmlns:a14="http://schemas.microsoft.com/office/drawing/2010/main" val="0"/>
                        </a:ext>
                      </a:extLst>
                    </a:blip>
                    <a:srcRect l="6471" b="5833"/>
                    <a:stretch>
                      <a:fillRect/>
                    </a:stretch>
                  </pic:blipFill>
                  <pic:spPr bwMode="auto">
                    <a:xfrm>
                      <a:off x="0" y="0"/>
                      <a:ext cx="4269105" cy="323151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2D279AE" w14:textId="77777777" w:rsidR="00813A27" w:rsidRPr="00813A27" w:rsidRDefault="00813A27" w:rsidP="00813A27">
      <w:pPr>
        <w:spacing w:after="360" w:line="360" w:lineRule="auto"/>
        <w:ind w:right="-159"/>
        <w:jc w:val="center"/>
        <w:rPr>
          <w:rFonts w:eastAsia="Calibri"/>
          <w:sz w:val="26"/>
          <w:szCs w:val="26"/>
          <w:lang w:eastAsia="en-US"/>
        </w:rPr>
      </w:pPr>
    </w:p>
    <w:p w14:paraId="1F92D218" w14:textId="77777777" w:rsidR="00813A27" w:rsidRPr="00813A27" w:rsidRDefault="00813A27" w:rsidP="00813A27">
      <w:pPr>
        <w:spacing w:after="360" w:line="360" w:lineRule="auto"/>
        <w:ind w:right="-159"/>
        <w:jc w:val="center"/>
        <w:rPr>
          <w:rFonts w:eastAsia="Calibri"/>
          <w:sz w:val="26"/>
          <w:szCs w:val="26"/>
          <w:lang w:eastAsia="en-US"/>
        </w:rPr>
      </w:pPr>
    </w:p>
    <w:p w14:paraId="5E9299F0" w14:textId="77777777" w:rsidR="00813A27" w:rsidRPr="00813A27" w:rsidRDefault="00813A27" w:rsidP="00813A27">
      <w:pPr>
        <w:spacing w:after="360" w:line="360" w:lineRule="auto"/>
        <w:ind w:right="-159"/>
        <w:jc w:val="center"/>
        <w:rPr>
          <w:rFonts w:eastAsia="Calibri"/>
          <w:sz w:val="26"/>
          <w:szCs w:val="26"/>
          <w:lang w:eastAsia="en-US"/>
        </w:rPr>
      </w:pPr>
    </w:p>
    <w:p w14:paraId="3928875F"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Tasa de interés</w:t>
      </w:r>
    </w:p>
    <w:p w14:paraId="62DE12AA"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t>A. Tasa de Fondeo Interbancario</w:t>
      </w:r>
    </w:p>
    <w:p w14:paraId="7C7EE4B6"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Los analistas económicos prevén que en promedio el objetivo de Banxico para la tasa de fondeo interbancario permanezca en niveles cercanos al objetivo actual de 3.0% hasta el segundo trimestre de 2015. Del tercer trimestre de 2015 al primero de 2017, los especialistas anticipan en promedio una tasa objetivo mayor a la actual (ver la gráfica </w:t>
      </w:r>
      <w:r w:rsidRPr="00813A27">
        <w:rPr>
          <w:rFonts w:eastAsia="Calibri"/>
          <w:i/>
          <w:sz w:val="26"/>
          <w:szCs w:val="26"/>
          <w:lang w:eastAsia="en-US"/>
        </w:rPr>
        <w:t>Evolución de las expectativas promedio para la Tasa de Fondeo Interbancario al final de cada trimestre</w:t>
      </w:r>
      <w:r w:rsidRPr="00813A27">
        <w:rPr>
          <w:rFonts w:eastAsia="Calibri"/>
          <w:sz w:val="26"/>
          <w:szCs w:val="26"/>
          <w:lang w:eastAsia="en-US"/>
        </w:rPr>
        <w:t xml:space="preserve">). De manera relacionada, en la gráfica </w:t>
      </w:r>
      <w:r w:rsidRPr="00813A27">
        <w:rPr>
          <w:rFonts w:eastAsia="Calibri"/>
          <w:i/>
          <w:sz w:val="26"/>
          <w:szCs w:val="26"/>
          <w:lang w:eastAsia="en-US"/>
        </w:rPr>
        <w:t>Porcentaje de analistas que consideran que la Tasa de Fondeo Interbancario se encontrará por encima, en el mismo nivel o por debajo de la tasa objetivo actual en cada trimestre,</w:t>
      </w:r>
      <w:r w:rsidRPr="00813A27">
        <w:rPr>
          <w:rFonts w:eastAsia="Calibri"/>
          <w:sz w:val="26"/>
          <w:szCs w:val="26"/>
          <w:lang w:eastAsia="en-US"/>
        </w:rPr>
        <w:t xml:space="preserve"> se muestra el porcentaje de analistas que considera que la tasa se encontrará estrictamente por encima, en el mismo nivel o por debajo de la tasa objetivo actual en el trimestre indicado. Se aprecia que para el segundo trimestre de 2015, la mayoría de los analistas espera que la tasa de fondeo interbancario sea igual a la tasa objetivo actual. A partir del cuarto de ese mismo año, prácticamente todos los analistas anticipan una tasa de fondeo interbancario por encima de la tasa objetivo actual. Ningún analista prevé una tasa por debajo del objetivo actual en el horizonte de pronósticos.</w:t>
      </w:r>
    </w:p>
    <w:p w14:paraId="2B191BF8"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Es importante recordar que estos resultados corresponden a las expectativas de los consultores entrevistados y no condicionan de modo alguno las decisiones de la Junta de Gobierno de Banxico.</w:t>
      </w:r>
    </w:p>
    <w:p w14:paraId="7D52CAB0"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II.pptx!562"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9C42B32" wp14:editId="05BA0205">
            <wp:extent cx="3923030" cy="3114040"/>
            <wp:effectExtent l="0" t="0" r="1270" b="0"/>
            <wp:docPr id="1622" name="Imagen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191" cstate="print">
                      <a:extLst>
                        <a:ext uri="{28A0092B-C50C-407E-A947-70E740481C1C}">
                          <a14:useLocalDpi xmlns:a14="http://schemas.microsoft.com/office/drawing/2010/main" val="0"/>
                        </a:ext>
                      </a:extLst>
                    </a:blip>
                    <a:srcRect l="7724" r="6264" b="9166"/>
                    <a:stretch>
                      <a:fillRect/>
                    </a:stretch>
                  </pic:blipFill>
                  <pic:spPr bwMode="auto">
                    <a:xfrm>
                      <a:off x="0" y="0"/>
                      <a:ext cx="3923030" cy="311404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0AA61D8F" w14:textId="77777777" w:rsidR="00813A27" w:rsidRPr="00813A27" w:rsidRDefault="00813A27" w:rsidP="00813A27">
      <w:pPr>
        <w:spacing w:after="160" w:line="259" w:lineRule="auto"/>
        <w:jc w:val="center"/>
        <w:rPr>
          <w:rFonts w:ascii="Calibri" w:eastAsia="Calibri" w:hAnsi="Calibri"/>
          <w:sz w:val="22"/>
          <w:szCs w:val="22"/>
          <w:lang w:eastAsia="en-US"/>
        </w:rPr>
      </w:pPr>
    </w:p>
    <w:p w14:paraId="21C89C0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II.pptx!563"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BEC4006" wp14:editId="41610796">
            <wp:extent cx="3997325" cy="2990215"/>
            <wp:effectExtent l="0" t="0" r="3175" b="635"/>
            <wp:docPr id="1623" name="Imagen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6"/>
                    <pic:cNvPicPr>
                      <a:picLocks noChangeAspect="1" noChangeArrowheads="1"/>
                    </pic:cNvPicPr>
                  </pic:nvPicPr>
                  <pic:blipFill>
                    <a:blip r:embed="rId192" cstate="print">
                      <a:extLst>
                        <a:ext uri="{28A0092B-C50C-407E-A947-70E740481C1C}">
                          <a14:useLocalDpi xmlns:a14="http://schemas.microsoft.com/office/drawing/2010/main" val="0"/>
                        </a:ext>
                      </a:extLst>
                    </a:blip>
                    <a:srcRect l="6889" r="5428" b="12778"/>
                    <a:stretch>
                      <a:fillRect/>
                    </a:stretch>
                  </pic:blipFill>
                  <pic:spPr bwMode="auto">
                    <a:xfrm>
                      <a:off x="0" y="0"/>
                      <a:ext cx="3997325" cy="299021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2817021A" w14:textId="77777777" w:rsidR="00813A27" w:rsidRPr="00813A27" w:rsidRDefault="00813A27" w:rsidP="00813A27">
      <w:pPr>
        <w:spacing w:after="360" w:line="360" w:lineRule="auto"/>
        <w:ind w:right="-159"/>
        <w:jc w:val="center"/>
        <w:rPr>
          <w:rFonts w:eastAsia="Calibri"/>
          <w:sz w:val="26"/>
          <w:szCs w:val="26"/>
          <w:lang w:eastAsia="en-US"/>
        </w:rPr>
      </w:pPr>
    </w:p>
    <w:p w14:paraId="15B86A74" w14:textId="77777777" w:rsidR="00813A27" w:rsidRPr="00813A27" w:rsidRDefault="00813A27" w:rsidP="00813A27">
      <w:pPr>
        <w:spacing w:after="360" w:line="360" w:lineRule="auto"/>
        <w:ind w:right="-159"/>
        <w:jc w:val="center"/>
        <w:rPr>
          <w:rFonts w:eastAsia="Calibri"/>
          <w:sz w:val="26"/>
          <w:szCs w:val="26"/>
          <w:lang w:eastAsia="en-US"/>
        </w:rPr>
      </w:pPr>
    </w:p>
    <w:p w14:paraId="5ED890CC" w14:textId="77777777" w:rsidR="00813A27" w:rsidRPr="00813A27" w:rsidRDefault="00813A27" w:rsidP="00813A27">
      <w:pPr>
        <w:spacing w:after="360" w:line="360" w:lineRule="auto"/>
        <w:ind w:right="-159"/>
        <w:jc w:val="center"/>
        <w:rPr>
          <w:rFonts w:eastAsia="Calibri"/>
          <w:sz w:val="26"/>
          <w:szCs w:val="26"/>
          <w:lang w:eastAsia="en-US"/>
        </w:rPr>
      </w:pPr>
    </w:p>
    <w:p w14:paraId="3537C5D7"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B. Tasa de interés del Cete a 28 días</w:t>
      </w:r>
    </w:p>
    <w:p w14:paraId="37AD99E1"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En relación con el nivel de la tasa de interés del Cete a 28 días,</w:t>
      </w:r>
      <w:r w:rsidRPr="00813A27">
        <w:rPr>
          <w:rFonts w:ascii="Calibri" w:eastAsia="Calibri" w:hAnsi="Calibri"/>
          <w:sz w:val="22"/>
          <w:szCs w:val="22"/>
          <w:lang w:eastAsia="en-US"/>
        </w:rPr>
        <w:t xml:space="preserve"> </w:t>
      </w:r>
      <w:r w:rsidRPr="00813A27">
        <w:rPr>
          <w:rFonts w:eastAsia="Calibri"/>
          <w:sz w:val="26"/>
          <w:szCs w:val="26"/>
          <w:lang w:eastAsia="en-US"/>
        </w:rPr>
        <w:t xml:space="preserve">las expectativas de la encuesta de marzo para los cierres de 2015 y 2016 aumentaron con respecto a la encuesta precedente, si bien la mediana de los pronósticos para el cierre de 2016 se mantuvo en niveles similares (ver el cuadro siguiente y las tres gráficas siguientes). </w:t>
      </w:r>
    </w:p>
    <w:tbl>
      <w:tblPr>
        <w:tblW w:w="0" w:type="auto"/>
        <w:jc w:val="center"/>
        <w:tblLook w:val="04A0" w:firstRow="1" w:lastRow="0" w:firstColumn="1" w:lastColumn="0" w:noHBand="0" w:noVBand="1"/>
      </w:tblPr>
      <w:tblGrid>
        <w:gridCol w:w="1860"/>
        <w:gridCol w:w="1194"/>
        <w:gridCol w:w="1194"/>
        <w:gridCol w:w="1194"/>
        <w:gridCol w:w="1194"/>
      </w:tblGrid>
      <w:tr w:rsidR="00813A27" w:rsidRPr="00813A27" w14:paraId="2A4291CB" w14:textId="77777777" w:rsidTr="00A65300">
        <w:trPr>
          <w:jc w:val="center"/>
        </w:trPr>
        <w:tc>
          <w:tcPr>
            <w:tcW w:w="6636" w:type="dxa"/>
            <w:gridSpan w:val="5"/>
            <w:tcBorders>
              <w:top w:val="nil"/>
              <w:left w:val="nil"/>
              <w:bottom w:val="single" w:sz="4" w:space="0" w:color="auto"/>
              <w:right w:val="nil"/>
            </w:tcBorders>
          </w:tcPr>
          <w:p w14:paraId="19F51F3D"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 TASA DE INTERÉS DEL CETE A 28 DÍAS</w:t>
            </w:r>
          </w:p>
          <w:p w14:paraId="6BBC1A1C"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445ACDC4" w14:textId="77777777" w:rsidTr="00A65300">
        <w:trPr>
          <w:jc w:val="center"/>
        </w:trPr>
        <w:tc>
          <w:tcPr>
            <w:tcW w:w="1860" w:type="dxa"/>
            <w:vMerge w:val="restart"/>
            <w:tcBorders>
              <w:top w:val="single" w:sz="4" w:space="0" w:color="auto"/>
              <w:left w:val="single" w:sz="4" w:space="0" w:color="auto"/>
              <w:bottom w:val="single" w:sz="4" w:space="0" w:color="auto"/>
              <w:right w:val="single" w:sz="4" w:space="0" w:color="auto"/>
            </w:tcBorders>
          </w:tcPr>
          <w:p w14:paraId="56DFE8B2"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66EEC73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715E291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331633DD" w14:textId="77777777" w:rsidTr="00A65300">
        <w:trPr>
          <w:jc w:val="center"/>
        </w:trPr>
        <w:tc>
          <w:tcPr>
            <w:tcW w:w="1860" w:type="dxa"/>
            <w:vMerge/>
            <w:tcBorders>
              <w:top w:val="single" w:sz="4" w:space="0" w:color="auto"/>
              <w:left w:val="single" w:sz="4" w:space="0" w:color="auto"/>
              <w:bottom w:val="single" w:sz="4" w:space="0" w:color="auto"/>
              <w:right w:val="single" w:sz="4" w:space="0" w:color="auto"/>
            </w:tcBorders>
          </w:tcPr>
          <w:p w14:paraId="6A94A873"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640F323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3606848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3CDB2F9A" w14:textId="77777777" w:rsidTr="00A65300">
        <w:trPr>
          <w:jc w:val="center"/>
        </w:trPr>
        <w:tc>
          <w:tcPr>
            <w:tcW w:w="1860" w:type="dxa"/>
            <w:vMerge/>
            <w:tcBorders>
              <w:top w:val="single" w:sz="4" w:space="0" w:color="auto"/>
              <w:left w:val="single" w:sz="4" w:space="0" w:color="auto"/>
              <w:bottom w:val="single" w:sz="4" w:space="0" w:color="auto"/>
              <w:right w:val="single" w:sz="4" w:space="0" w:color="auto"/>
            </w:tcBorders>
          </w:tcPr>
          <w:p w14:paraId="75D06772"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571D692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1E5847B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3BC376E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54B4F30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30D93590" w14:textId="77777777" w:rsidTr="00A65300">
        <w:trPr>
          <w:jc w:val="center"/>
        </w:trPr>
        <w:tc>
          <w:tcPr>
            <w:tcW w:w="1860" w:type="dxa"/>
            <w:tcBorders>
              <w:top w:val="single" w:sz="4" w:space="0" w:color="auto"/>
              <w:left w:val="single" w:sz="4" w:space="0" w:color="auto"/>
              <w:right w:val="single" w:sz="4" w:space="0" w:color="auto"/>
            </w:tcBorders>
          </w:tcPr>
          <w:p w14:paraId="3FBDF04D"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2015</w:t>
            </w:r>
          </w:p>
        </w:tc>
        <w:tc>
          <w:tcPr>
            <w:tcW w:w="1194" w:type="dxa"/>
            <w:tcBorders>
              <w:top w:val="single" w:sz="4" w:space="0" w:color="auto"/>
              <w:left w:val="single" w:sz="4" w:space="0" w:color="auto"/>
              <w:right w:val="single" w:sz="4" w:space="0" w:color="auto"/>
            </w:tcBorders>
          </w:tcPr>
          <w:p w14:paraId="74B88D2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3.53</w:t>
            </w:r>
          </w:p>
        </w:tc>
        <w:tc>
          <w:tcPr>
            <w:tcW w:w="1194" w:type="dxa"/>
            <w:tcBorders>
              <w:top w:val="single" w:sz="4" w:space="0" w:color="auto"/>
              <w:left w:val="single" w:sz="4" w:space="0" w:color="auto"/>
              <w:right w:val="single" w:sz="4" w:space="0" w:color="auto"/>
            </w:tcBorders>
          </w:tcPr>
          <w:p w14:paraId="670B8FB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3.61</w:t>
            </w:r>
          </w:p>
        </w:tc>
        <w:tc>
          <w:tcPr>
            <w:tcW w:w="1194" w:type="dxa"/>
            <w:tcBorders>
              <w:top w:val="single" w:sz="4" w:space="0" w:color="auto"/>
              <w:left w:val="single" w:sz="4" w:space="0" w:color="auto"/>
              <w:right w:val="single" w:sz="4" w:space="0" w:color="auto"/>
            </w:tcBorders>
          </w:tcPr>
          <w:p w14:paraId="41965AF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94" w:type="dxa"/>
            <w:tcBorders>
              <w:top w:val="single" w:sz="4" w:space="0" w:color="auto"/>
              <w:left w:val="single" w:sz="4" w:space="0" w:color="auto"/>
              <w:right w:val="single" w:sz="4" w:space="0" w:color="auto"/>
            </w:tcBorders>
          </w:tcPr>
          <w:p w14:paraId="402D9C7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3.60</w:t>
            </w:r>
          </w:p>
        </w:tc>
      </w:tr>
      <w:tr w:rsidR="00813A27" w:rsidRPr="00813A27" w14:paraId="5BA94F66" w14:textId="77777777" w:rsidTr="00A65300">
        <w:trPr>
          <w:jc w:val="center"/>
        </w:trPr>
        <w:tc>
          <w:tcPr>
            <w:tcW w:w="1860" w:type="dxa"/>
            <w:tcBorders>
              <w:left w:val="single" w:sz="4" w:space="0" w:color="auto"/>
              <w:right w:val="single" w:sz="4" w:space="0" w:color="auto"/>
            </w:tcBorders>
          </w:tcPr>
          <w:p w14:paraId="17E89A19"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2016</w:t>
            </w:r>
          </w:p>
        </w:tc>
        <w:tc>
          <w:tcPr>
            <w:tcW w:w="1194" w:type="dxa"/>
            <w:tcBorders>
              <w:left w:val="single" w:sz="4" w:space="0" w:color="auto"/>
              <w:right w:val="single" w:sz="4" w:space="0" w:color="auto"/>
            </w:tcBorders>
          </w:tcPr>
          <w:p w14:paraId="516C812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4.31</w:t>
            </w:r>
          </w:p>
        </w:tc>
        <w:tc>
          <w:tcPr>
            <w:tcW w:w="1194" w:type="dxa"/>
            <w:tcBorders>
              <w:left w:val="single" w:sz="4" w:space="0" w:color="auto"/>
              <w:right w:val="single" w:sz="4" w:space="0" w:color="auto"/>
            </w:tcBorders>
          </w:tcPr>
          <w:p w14:paraId="4AA4A23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4.36</w:t>
            </w:r>
          </w:p>
        </w:tc>
        <w:tc>
          <w:tcPr>
            <w:tcW w:w="1194" w:type="dxa"/>
            <w:tcBorders>
              <w:left w:val="single" w:sz="4" w:space="0" w:color="auto"/>
              <w:right w:val="single" w:sz="4" w:space="0" w:color="auto"/>
            </w:tcBorders>
          </w:tcPr>
          <w:p w14:paraId="28F0166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4.31</w:t>
            </w:r>
          </w:p>
        </w:tc>
        <w:tc>
          <w:tcPr>
            <w:tcW w:w="1194" w:type="dxa"/>
            <w:tcBorders>
              <w:left w:val="single" w:sz="4" w:space="0" w:color="auto"/>
              <w:right w:val="single" w:sz="4" w:space="0" w:color="auto"/>
            </w:tcBorders>
          </w:tcPr>
          <w:p w14:paraId="1D9797D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4.35</w:t>
            </w:r>
          </w:p>
        </w:tc>
      </w:tr>
      <w:tr w:rsidR="00813A27" w:rsidRPr="00813A27" w14:paraId="121316D7" w14:textId="77777777" w:rsidTr="00A65300">
        <w:trPr>
          <w:jc w:val="center"/>
        </w:trPr>
        <w:tc>
          <w:tcPr>
            <w:tcW w:w="1860" w:type="dxa"/>
            <w:tcBorders>
              <w:left w:val="single" w:sz="4" w:space="0" w:color="auto"/>
              <w:bottom w:val="single" w:sz="4" w:space="0" w:color="auto"/>
              <w:right w:val="single" w:sz="4" w:space="0" w:color="auto"/>
            </w:tcBorders>
          </w:tcPr>
          <w:p w14:paraId="0957E7A8"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2017</w:t>
            </w:r>
          </w:p>
        </w:tc>
        <w:tc>
          <w:tcPr>
            <w:tcW w:w="1194" w:type="dxa"/>
            <w:tcBorders>
              <w:left w:val="single" w:sz="4" w:space="0" w:color="auto"/>
              <w:bottom w:val="single" w:sz="4" w:space="0" w:color="auto"/>
              <w:right w:val="single" w:sz="4" w:space="0" w:color="auto"/>
            </w:tcBorders>
          </w:tcPr>
          <w:p w14:paraId="0C5EC53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4.95</w:t>
            </w:r>
          </w:p>
        </w:tc>
        <w:tc>
          <w:tcPr>
            <w:tcW w:w="1194" w:type="dxa"/>
            <w:tcBorders>
              <w:left w:val="single" w:sz="4" w:space="0" w:color="auto"/>
              <w:bottom w:val="single" w:sz="4" w:space="0" w:color="auto"/>
              <w:right w:val="single" w:sz="4" w:space="0" w:color="auto"/>
            </w:tcBorders>
          </w:tcPr>
          <w:p w14:paraId="2AC096C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4.95</w:t>
            </w:r>
          </w:p>
        </w:tc>
        <w:tc>
          <w:tcPr>
            <w:tcW w:w="1194" w:type="dxa"/>
            <w:tcBorders>
              <w:left w:val="single" w:sz="4" w:space="0" w:color="auto"/>
              <w:bottom w:val="single" w:sz="4" w:space="0" w:color="auto"/>
              <w:right w:val="single" w:sz="4" w:space="0" w:color="auto"/>
            </w:tcBorders>
          </w:tcPr>
          <w:p w14:paraId="3964912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4.89</w:t>
            </w:r>
          </w:p>
        </w:tc>
        <w:tc>
          <w:tcPr>
            <w:tcW w:w="1194" w:type="dxa"/>
            <w:tcBorders>
              <w:left w:val="single" w:sz="4" w:space="0" w:color="auto"/>
              <w:bottom w:val="single" w:sz="4" w:space="0" w:color="auto"/>
              <w:right w:val="single" w:sz="4" w:space="0" w:color="auto"/>
            </w:tcBorders>
          </w:tcPr>
          <w:p w14:paraId="6220741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5.00</w:t>
            </w:r>
          </w:p>
        </w:tc>
      </w:tr>
      <w:tr w:rsidR="00813A27" w:rsidRPr="00813A27" w14:paraId="56297AF7" w14:textId="77777777" w:rsidTr="002B3A4F">
        <w:trPr>
          <w:jc w:val="center"/>
        </w:trPr>
        <w:tc>
          <w:tcPr>
            <w:tcW w:w="6636" w:type="dxa"/>
            <w:gridSpan w:val="5"/>
            <w:tcBorders>
              <w:left w:val="nil"/>
              <w:bottom w:val="nil"/>
              <w:right w:val="nil"/>
            </w:tcBorders>
          </w:tcPr>
          <w:p w14:paraId="015FE038" w14:textId="77777777" w:rsidR="00813A27" w:rsidRPr="00813A27" w:rsidRDefault="00813A27" w:rsidP="00813A27">
            <w:pPr>
              <w:rPr>
                <w:rFonts w:eastAsia="Calibri"/>
                <w:sz w:val="20"/>
                <w:szCs w:val="20"/>
                <w:lang w:eastAsia="en-US"/>
              </w:rPr>
            </w:pPr>
            <w:r w:rsidRPr="00813A27">
              <w:rPr>
                <w:rFonts w:eastAsia="Calibri"/>
                <w:sz w:val="20"/>
                <w:szCs w:val="20"/>
                <w:lang w:eastAsia="en-US"/>
              </w:rPr>
              <w:t>FUENTE: Banco de México.</w:t>
            </w:r>
          </w:p>
        </w:tc>
      </w:tr>
    </w:tbl>
    <w:p w14:paraId="105F3F89" w14:textId="77777777" w:rsidR="00813A27" w:rsidRPr="00813A27" w:rsidRDefault="00813A27" w:rsidP="00813A27">
      <w:pPr>
        <w:spacing w:after="360" w:line="360" w:lineRule="auto"/>
        <w:ind w:right="-159"/>
        <w:jc w:val="both"/>
        <w:rPr>
          <w:rFonts w:eastAsia="Calibri"/>
          <w:sz w:val="26"/>
          <w:szCs w:val="26"/>
          <w:lang w:eastAsia="en-US"/>
        </w:rPr>
      </w:pPr>
    </w:p>
    <w:p w14:paraId="311515A1" w14:textId="77777777" w:rsidR="00813A27" w:rsidRPr="00813A27" w:rsidRDefault="00813A27" w:rsidP="00813A27">
      <w:pPr>
        <w:spacing w:after="360" w:line="360" w:lineRule="auto"/>
        <w:ind w:right="-159"/>
        <w:jc w:val="center"/>
        <w:rPr>
          <w:rFonts w:eastAsia="Calibri"/>
          <w:sz w:val="26"/>
          <w:szCs w:val="26"/>
          <w:lang w:eastAsia="en-US"/>
        </w:rPr>
      </w:pPr>
    </w:p>
    <w:p w14:paraId="10EB976F"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II.pptx!564"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26CE46D" wp14:editId="668408C1">
            <wp:extent cx="3997325" cy="3039745"/>
            <wp:effectExtent l="0" t="0" r="3175" b="8255"/>
            <wp:docPr id="1624" name="Imagen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2"/>
                    <pic:cNvPicPr>
                      <a:picLocks noChangeAspect="1" noChangeArrowheads="1"/>
                    </pic:cNvPicPr>
                  </pic:nvPicPr>
                  <pic:blipFill>
                    <a:blip r:embed="rId193" cstate="print">
                      <a:extLst>
                        <a:ext uri="{28A0092B-C50C-407E-A947-70E740481C1C}">
                          <a14:useLocalDpi xmlns:a14="http://schemas.microsoft.com/office/drawing/2010/main" val="0"/>
                        </a:ext>
                      </a:extLst>
                    </a:blip>
                    <a:srcRect l="7307" t="3612" r="5011" b="7777"/>
                    <a:stretch>
                      <a:fillRect/>
                    </a:stretch>
                  </pic:blipFill>
                  <pic:spPr bwMode="auto">
                    <a:xfrm>
                      <a:off x="0" y="0"/>
                      <a:ext cx="3997325" cy="303974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91D3DEA" w14:textId="77777777" w:rsidR="00813A27" w:rsidRPr="00813A27" w:rsidRDefault="00813A27" w:rsidP="00813A27">
      <w:pPr>
        <w:spacing w:after="160" w:line="259" w:lineRule="auto"/>
        <w:jc w:val="center"/>
        <w:rPr>
          <w:rFonts w:ascii="Calibri" w:eastAsia="Calibri" w:hAnsi="Calibri"/>
          <w:sz w:val="22"/>
          <w:szCs w:val="22"/>
          <w:lang w:eastAsia="en-US"/>
        </w:rPr>
      </w:pPr>
    </w:p>
    <w:p w14:paraId="31DD038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II.pptx!615"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250C82D" wp14:editId="201C4E0D">
            <wp:extent cx="3923030" cy="3163570"/>
            <wp:effectExtent l="0" t="0" r="1270" b="0"/>
            <wp:docPr id="1625" name="Imagen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3"/>
                    <pic:cNvPicPr>
                      <a:picLocks noChangeAspect="1" noChangeArrowheads="1"/>
                    </pic:cNvPicPr>
                  </pic:nvPicPr>
                  <pic:blipFill>
                    <a:blip r:embed="rId194" cstate="print">
                      <a:extLst>
                        <a:ext uri="{28A0092B-C50C-407E-A947-70E740481C1C}">
                          <a14:useLocalDpi xmlns:a14="http://schemas.microsoft.com/office/drawing/2010/main" val="0"/>
                        </a:ext>
                      </a:extLst>
                    </a:blip>
                    <a:srcRect l="9813" r="4175" b="7777"/>
                    <a:stretch>
                      <a:fillRect/>
                    </a:stretch>
                  </pic:blipFill>
                  <pic:spPr bwMode="auto">
                    <a:xfrm>
                      <a:off x="0" y="0"/>
                      <a:ext cx="3923030"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06DC99B3" w14:textId="77777777" w:rsidR="00813A27" w:rsidRPr="00813A27" w:rsidRDefault="00813A27" w:rsidP="00813A27">
      <w:pPr>
        <w:spacing w:after="160" w:line="259" w:lineRule="auto"/>
        <w:jc w:val="center"/>
        <w:rPr>
          <w:rFonts w:ascii="Calibri" w:eastAsia="Calibri" w:hAnsi="Calibri"/>
          <w:sz w:val="22"/>
          <w:szCs w:val="22"/>
          <w:lang w:eastAsia="en-US"/>
        </w:rPr>
      </w:pPr>
    </w:p>
    <w:p w14:paraId="58012B16"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8EB0B2E" wp14:editId="6C18E855">
            <wp:extent cx="3966210" cy="3194050"/>
            <wp:effectExtent l="0" t="0" r="0" b="6350"/>
            <wp:docPr id="1626" name="Imagen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4"/>
                    <pic:cNvPicPr>
                      <a:picLocks noChangeAspect="1" noChangeArrowheads="1"/>
                    </pic:cNvPicPr>
                  </pic:nvPicPr>
                  <pic:blipFill>
                    <a:blip r:embed="rId195" cstate="print">
                      <a:extLst>
                        <a:ext uri="{28A0092B-C50C-407E-A947-70E740481C1C}">
                          <a14:useLocalDpi xmlns:a14="http://schemas.microsoft.com/office/drawing/2010/main" val="0"/>
                        </a:ext>
                      </a:extLst>
                    </a:blip>
                    <a:srcRect l="8768" r="4384" b="6944"/>
                    <a:stretch>
                      <a:fillRect/>
                    </a:stretch>
                  </pic:blipFill>
                  <pic:spPr bwMode="auto">
                    <a:xfrm>
                      <a:off x="0" y="0"/>
                      <a:ext cx="3966210" cy="319405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FDEDAA3" w14:textId="77777777" w:rsidR="00813A27" w:rsidRPr="00813A27" w:rsidRDefault="00813A27" w:rsidP="00813A27">
      <w:pPr>
        <w:spacing w:after="360" w:line="360" w:lineRule="auto"/>
        <w:ind w:right="-159"/>
        <w:jc w:val="center"/>
        <w:rPr>
          <w:rFonts w:eastAsia="Calibri"/>
          <w:sz w:val="26"/>
          <w:szCs w:val="26"/>
          <w:lang w:eastAsia="en-US"/>
        </w:rPr>
      </w:pPr>
    </w:p>
    <w:p w14:paraId="63766B6A" w14:textId="77777777" w:rsidR="00813A27" w:rsidRPr="00813A27" w:rsidRDefault="00813A27" w:rsidP="00813A27">
      <w:pPr>
        <w:spacing w:after="360" w:line="360" w:lineRule="auto"/>
        <w:ind w:right="-159"/>
        <w:jc w:val="center"/>
        <w:rPr>
          <w:rFonts w:eastAsia="Calibri"/>
          <w:sz w:val="26"/>
          <w:szCs w:val="26"/>
          <w:lang w:eastAsia="en-US"/>
        </w:rPr>
      </w:pPr>
    </w:p>
    <w:p w14:paraId="5103B74B" w14:textId="77777777" w:rsidR="00813A27" w:rsidRPr="00813A27" w:rsidRDefault="00813A27" w:rsidP="00813A27">
      <w:pPr>
        <w:spacing w:after="360" w:line="360" w:lineRule="auto"/>
        <w:ind w:right="-159"/>
        <w:jc w:val="center"/>
        <w:rPr>
          <w:rFonts w:eastAsia="Calibri"/>
          <w:sz w:val="26"/>
          <w:szCs w:val="26"/>
          <w:lang w:eastAsia="en-US"/>
        </w:rPr>
      </w:pPr>
    </w:p>
    <w:p w14:paraId="169BA6C5"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C. Tasa de interés del Bono M a 10 años</w:t>
      </w:r>
    </w:p>
    <w:p w14:paraId="6C5983F8"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En cuanto al nivel de la tasa del Bono M a 10 años, las perspectivas para el cierre de 2015 se revisaron al alza en relación con la encuesta del mes previo, en tanto que para el cierre de 2016 permanecieron cercanas (ver cuadro siguiente y las tres gráficas siguientes).</w:t>
      </w:r>
    </w:p>
    <w:tbl>
      <w:tblPr>
        <w:tblW w:w="0" w:type="auto"/>
        <w:jc w:val="center"/>
        <w:tblLook w:val="04A0" w:firstRow="1" w:lastRow="0" w:firstColumn="1" w:lastColumn="0" w:noHBand="0" w:noVBand="1"/>
      </w:tblPr>
      <w:tblGrid>
        <w:gridCol w:w="1860"/>
        <w:gridCol w:w="1194"/>
        <w:gridCol w:w="1194"/>
        <w:gridCol w:w="1194"/>
        <w:gridCol w:w="1194"/>
      </w:tblGrid>
      <w:tr w:rsidR="00813A27" w:rsidRPr="00813A27" w14:paraId="6824E770" w14:textId="77777777" w:rsidTr="00A65300">
        <w:trPr>
          <w:jc w:val="center"/>
        </w:trPr>
        <w:tc>
          <w:tcPr>
            <w:tcW w:w="6636" w:type="dxa"/>
            <w:gridSpan w:val="5"/>
            <w:tcBorders>
              <w:top w:val="nil"/>
              <w:left w:val="nil"/>
              <w:bottom w:val="single" w:sz="4" w:space="0" w:color="auto"/>
              <w:right w:val="nil"/>
            </w:tcBorders>
          </w:tcPr>
          <w:p w14:paraId="4128A7F8"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 xml:space="preserve">EXPECTATIVAS DE TASA DE INTERÉS DEL </w:t>
            </w:r>
          </w:p>
          <w:p w14:paraId="4FC0BE11"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BONO M A 10 AÑOS</w:t>
            </w:r>
          </w:p>
          <w:p w14:paraId="30487E60"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7853CCA7" w14:textId="77777777" w:rsidTr="00A65300">
        <w:trPr>
          <w:jc w:val="center"/>
        </w:trPr>
        <w:tc>
          <w:tcPr>
            <w:tcW w:w="1860" w:type="dxa"/>
            <w:vMerge w:val="restart"/>
            <w:tcBorders>
              <w:top w:val="single" w:sz="4" w:space="0" w:color="auto"/>
              <w:left w:val="single" w:sz="4" w:space="0" w:color="auto"/>
              <w:bottom w:val="single" w:sz="4" w:space="0" w:color="auto"/>
              <w:right w:val="single" w:sz="4" w:space="0" w:color="auto"/>
            </w:tcBorders>
          </w:tcPr>
          <w:p w14:paraId="6ACFA73A"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B4F395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6958377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54D0CFE7" w14:textId="77777777" w:rsidTr="00A65300">
        <w:trPr>
          <w:jc w:val="center"/>
        </w:trPr>
        <w:tc>
          <w:tcPr>
            <w:tcW w:w="1860" w:type="dxa"/>
            <w:vMerge/>
            <w:tcBorders>
              <w:top w:val="single" w:sz="4" w:space="0" w:color="auto"/>
              <w:left w:val="single" w:sz="4" w:space="0" w:color="auto"/>
              <w:bottom w:val="single" w:sz="4" w:space="0" w:color="auto"/>
              <w:right w:val="single" w:sz="4" w:space="0" w:color="auto"/>
            </w:tcBorders>
          </w:tcPr>
          <w:p w14:paraId="41DF245E"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883142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47A9B6A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0824A2DF" w14:textId="77777777" w:rsidTr="00A65300">
        <w:trPr>
          <w:jc w:val="center"/>
        </w:trPr>
        <w:tc>
          <w:tcPr>
            <w:tcW w:w="1860" w:type="dxa"/>
            <w:vMerge/>
            <w:tcBorders>
              <w:top w:val="single" w:sz="4" w:space="0" w:color="auto"/>
              <w:left w:val="single" w:sz="4" w:space="0" w:color="auto"/>
              <w:bottom w:val="single" w:sz="4" w:space="0" w:color="auto"/>
              <w:right w:val="single" w:sz="4" w:space="0" w:color="auto"/>
            </w:tcBorders>
          </w:tcPr>
          <w:p w14:paraId="69C4A356"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37BB12F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1ED2E60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1BCF1D5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73A47B8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1BB9E62C" w14:textId="77777777" w:rsidTr="00A65300">
        <w:trPr>
          <w:jc w:val="center"/>
        </w:trPr>
        <w:tc>
          <w:tcPr>
            <w:tcW w:w="1860" w:type="dxa"/>
            <w:tcBorders>
              <w:top w:val="single" w:sz="4" w:space="0" w:color="auto"/>
              <w:left w:val="single" w:sz="4" w:space="0" w:color="auto"/>
              <w:right w:val="single" w:sz="4" w:space="0" w:color="auto"/>
            </w:tcBorders>
          </w:tcPr>
          <w:p w14:paraId="008905FB"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2015</w:t>
            </w:r>
          </w:p>
        </w:tc>
        <w:tc>
          <w:tcPr>
            <w:tcW w:w="1194" w:type="dxa"/>
            <w:tcBorders>
              <w:top w:val="single" w:sz="4" w:space="0" w:color="auto"/>
              <w:left w:val="single" w:sz="4" w:space="0" w:color="auto"/>
              <w:right w:val="single" w:sz="4" w:space="0" w:color="auto"/>
            </w:tcBorders>
          </w:tcPr>
          <w:p w14:paraId="23B70DC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6.18</w:t>
            </w:r>
          </w:p>
        </w:tc>
        <w:tc>
          <w:tcPr>
            <w:tcW w:w="1194" w:type="dxa"/>
            <w:tcBorders>
              <w:top w:val="single" w:sz="4" w:space="0" w:color="auto"/>
              <w:left w:val="single" w:sz="4" w:space="0" w:color="auto"/>
              <w:right w:val="single" w:sz="4" w:space="0" w:color="auto"/>
            </w:tcBorders>
          </w:tcPr>
          <w:p w14:paraId="4099645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6.24</w:t>
            </w:r>
          </w:p>
        </w:tc>
        <w:tc>
          <w:tcPr>
            <w:tcW w:w="1194" w:type="dxa"/>
            <w:tcBorders>
              <w:top w:val="single" w:sz="4" w:space="0" w:color="auto"/>
              <w:left w:val="single" w:sz="4" w:space="0" w:color="auto"/>
              <w:right w:val="single" w:sz="4" w:space="0" w:color="auto"/>
            </w:tcBorders>
          </w:tcPr>
          <w:p w14:paraId="57AB2E0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6.10</w:t>
            </w:r>
          </w:p>
        </w:tc>
        <w:tc>
          <w:tcPr>
            <w:tcW w:w="1194" w:type="dxa"/>
            <w:tcBorders>
              <w:top w:val="single" w:sz="4" w:space="0" w:color="auto"/>
              <w:left w:val="single" w:sz="4" w:space="0" w:color="auto"/>
              <w:right w:val="single" w:sz="4" w:space="0" w:color="auto"/>
            </w:tcBorders>
          </w:tcPr>
          <w:p w14:paraId="5D12224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6.23</w:t>
            </w:r>
          </w:p>
        </w:tc>
      </w:tr>
      <w:tr w:rsidR="00813A27" w:rsidRPr="00813A27" w14:paraId="219D28D0" w14:textId="77777777" w:rsidTr="00A65300">
        <w:trPr>
          <w:jc w:val="center"/>
        </w:trPr>
        <w:tc>
          <w:tcPr>
            <w:tcW w:w="1860" w:type="dxa"/>
            <w:tcBorders>
              <w:left w:val="single" w:sz="4" w:space="0" w:color="auto"/>
              <w:right w:val="single" w:sz="4" w:space="0" w:color="auto"/>
            </w:tcBorders>
          </w:tcPr>
          <w:p w14:paraId="45BFDA6F"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2016</w:t>
            </w:r>
          </w:p>
        </w:tc>
        <w:tc>
          <w:tcPr>
            <w:tcW w:w="1194" w:type="dxa"/>
            <w:tcBorders>
              <w:left w:val="single" w:sz="4" w:space="0" w:color="auto"/>
              <w:right w:val="single" w:sz="4" w:space="0" w:color="auto"/>
            </w:tcBorders>
          </w:tcPr>
          <w:p w14:paraId="6C2BB3D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6.74</w:t>
            </w:r>
          </w:p>
        </w:tc>
        <w:tc>
          <w:tcPr>
            <w:tcW w:w="1194" w:type="dxa"/>
            <w:tcBorders>
              <w:left w:val="single" w:sz="4" w:space="0" w:color="auto"/>
              <w:right w:val="single" w:sz="4" w:space="0" w:color="auto"/>
            </w:tcBorders>
          </w:tcPr>
          <w:p w14:paraId="639FC91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6.75</w:t>
            </w:r>
          </w:p>
        </w:tc>
        <w:tc>
          <w:tcPr>
            <w:tcW w:w="1194" w:type="dxa"/>
            <w:tcBorders>
              <w:left w:val="single" w:sz="4" w:space="0" w:color="auto"/>
              <w:right w:val="single" w:sz="4" w:space="0" w:color="auto"/>
            </w:tcBorders>
          </w:tcPr>
          <w:p w14:paraId="03F2BDB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6.61</w:t>
            </w:r>
          </w:p>
        </w:tc>
        <w:tc>
          <w:tcPr>
            <w:tcW w:w="1194" w:type="dxa"/>
            <w:tcBorders>
              <w:left w:val="single" w:sz="4" w:space="0" w:color="auto"/>
              <w:right w:val="single" w:sz="4" w:space="0" w:color="auto"/>
            </w:tcBorders>
          </w:tcPr>
          <w:p w14:paraId="1264019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6.60</w:t>
            </w:r>
          </w:p>
        </w:tc>
      </w:tr>
      <w:tr w:rsidR="00813A27" w:rsidRPr="00813A27" w14:paraId="73C7D01F" w14:textId="77777777" w:rsidTr="00A65300">
        <w:trPr>
          <w:jc w:val="center"/>
        </w:trPr>
        <w:tc>
          <w:tcPr>
            <w:tcW w:w="1860" w:type="dxa"/>
            <w:tcBorders>
              <w:left w:val="single" w:sz="4" w:space="0" w:color="auto"/>
              <w:bottom w:val="single" w:sz="4" w:space="0" w:color="auto"/>
              <w:right w:val="single" w:sz="4" w:space="0" w:color="auto"/>
            </w:tcBorders>
          </w:tcPr>
          <w:p w14:paraId="2533872F"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Al cierre de 2017</w:t>
            </w:r>
          </w:p>
        </w:tc>
        <w:tc>
          <w:tcPr>
            <w:tcW w:w="1194" w:type="dxa"/>
            <w:tcBorders>
              <w:left w:val="single" w:sz="4" w:space="0" w:color="auto"/>
              <w:bottom w:val="single" w:sz="4" w:space="0" w:color="auto"/>
              <w:right w:val="single" w:sz="4" w:space="0" w:color="auto"/>
            </w:tcBorders>
          </w:tcPr>
          <w:p w14:paraId="44D5E4D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7.02</w:t>
            </w:r>
          </w:p>
        </w:tc>
        <w:tc>
          <w:tcPr>
            <w:tcW w:w="1194" w:type="dxa"/>
            <w:tcBorders>
              <w:left w:val="single" w:sz="4" w:space="0" w:color="auto"/>
              <w:bottom w:val="single" w:sz="4" w:space="0" w:color="auto"/>
              <w:right w:val="single" w:sz="4" w:space="0" w:color="auto"/>
            </w:tcBorders>
          </w:tcPr>
          <w:p w14:paraId="5CB848D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7.00</w:t>
            </w:r>
          </w:p>
        </w:tc>
        <w:tc>
          <w:tcPr>
            <w:tcW w:w="1194" w:type="dxa"/>
            <w:tcBorders>
              <w:left w:val="single" w:sz="4" w:space="0" w:color="auto"/>
              <w:bottom w:val="single" w:sz="4" w:space="0" w:color="auto"/>
              <w:right w:val="single" w:sz="4" w:space="0" w:color="auto"/>
            </w:tcBorders>
          </w:tcPr>
          <w:p w14:paraId="24CE75C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7.00</w:t>
            </w:r>
          </w:p>
        </w:tc>
        <w:tc>
          <w:tcPr>
            <w:tcW w:w="1194" w:type="dxa"/>
            <w:tcBorders>
              <w:left w:val="single" w:sz="4" w:space="0" w:color="auto"/>
              <w:bottom w:val="single" w:sz="4" w:space="0" w:color="auto"/>
              <w:right w:val="single" w:sz="4" w:space="0" w:color="auto"/>
            </w:tcBorders>
          </w:tcPr>
          <w:p w14:paraId="1F895D2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7.00</w:t>
            </w:r>
          </w:p>
        </w:tc>
      </w:tr>
      <w:tr w:rsidR="00813A27" w:rsidRPr="00813A27" w14:paraId="2C387F64" w14:textId="77777777" w:rsidTr="002B3A4F">
        <w:trPr>
          <w:jc w:val="center"/>
        </w:trPr>
        <w:tc>
          <w:tcPr>
            <w:tcW w:w="6636" w:type="dxa"/>
            <w:gridSpan w:val="5"/>
            <w:tcBorders>
              <w:left w:val="nil"/>
              <w:bottom w:val="nil"/>
              <w:right w:val="nil"/>
            </w:tcBorders>
          </w:tcPr>
          <w:p w14:paraId="53883A7C" w14:textId="77777777" w:rsidR="00813A27" w:rsidRPr="00813A27" w:rsidRDefault="00813A27" w:rsidP="00813A27">
            <w:pPr>
              <w:rPr>
                <w:rFonts w:eastAsia="Calibri"/>
                <w:sz w:val="20"/>
                <w:szCs w:val="20"/>
                <w:lang w:eastAsia="en-US"/>
              </w:rPr>
            </w:pPr>
            <w:r w:rsidRPr="00813A27">
              <w:rPr>
                <w:rFonts w:eastAsia="Calibri"/>
                <w:sz w:val="20"/>
                <w:szCs w:val="20"/>
                <w:lang w:eastAsia="en-US"/>
              </w:rPr>
              <w:t>FUENTE: Banco de México.</w:t>
            </w:r>
          </w:p>
        </w:tc>
      </w:tr>
    </w:tbl>
    <w:p w14:paraId="0E7BD8BA" w14:textId="77777777" w:rsidR="00813A27" w:rsidRPr="00813A27" w:rsidRDefault="00813A27" w:rsidP="00813A27">
      <w:pPr>
        <w:spacing w:after="360" w:line="360" w:lineRule="auto"/>
        <w:ind w:right="-159"/>
        <w:jc w:val="both"/>
        <w:rPr>
          <w:rFonts w:eastAsia="Calibri"/>
          <w:sz w:val="26"/>
          <w:szCs w:val="26"/>
          <w:lang w:eastAsia="en-US"/>
        </w:rPr>
      </w:pPr>
    </w:p>
    <w:p w14:paraId="4036104B" w14:textId="77777777" w:rsidR="00813A27" w:rsidRPr="00813A27" w:rsidRDefault="00813A27" w:rsidP="00813A27">
      <w:pPr>
        <w:spacing w:after="360" w:line="360" w:lineRule="auto"/>
        <w:ind w:right="-159"/>
        <w:jc w:val="center"/>
        <w:rPr>
          <w:rFonts w:eastAsia="Calibri"/>
          <w:sz w:val="26"/>
          <w:szCs w:val="26"/>
          <w:lang w:eastAsia="en-US"/>
        </w:rPr>
      </w:pPr>
    </w:p>
    <w:p w14:paraId="751BD3F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II.pptx!567"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295F234" wp14:editId="1D7968F8">
            <wp:extent cx="3843020" cy="3200400"/>
            <wp:effectExtent l="0" t="0" r="5080" b="0"/>
            <wp:docPr id="1627" name="Imagen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1"/>
                    <pic:cNvPicPr>
                      <a:picLocks noChangeAspect="1" noChangeArrowheads="1"/>
                    </pic:cNvPicPr>
                  </pic:nvPicPr>
                  <pic:blipFill>
                    <a:blip r:embed="rId196" cstate="print">
                      <a:extLst>
                        <a:ext uri="{28A0092B-C50C-407E-A947-70E740481C1C}">
                          <a14:useLocalDpi xmlns:a14="http://schemas.microsoft.com/office/drawing/2010/main" val="0"/>
                        </a:ext>
                      </a:extLst>
                    </a:blip>
                    <a:srcRect l="12108" r="3758" b="6667"/>
                    <a:stretch>
                      <a:fillRect/>
                    </a:stretch>
                  </pic:blipFill>
                  <pic:spPr bwMode="auto">
                    <a:xfrm>
                      <a:off x="0" y="0"/>
                      <a:ext cx="3843020" cy="32004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7A009A4" w14:textId="77777777" w:rsidR="00813A27" w:rsidRPr="00813A27" w:rsidRDefault="00813A27" w:rsidP="00813A27">
      <w:pPr>
        <w:spacing w:after="160" w:line="259" w:lineRule="auto"/>
        <w:jc w:val="center"/>
        <w:rPr>
          <w:rFonts w:ascii="Calibri" w:eastAsia="Calibri" w:hAnsi="Calibri"/>
          <w:sz w:val="22"/>
          <w:szCs w:val="22"/>
          <w:lang w:eastAsia="en-US"/>
        </w:rPr>
      </w:pPr>
    </w:p>
    <w:p w14:paraId="619EC11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II.pptx!616"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55BCAEC9" wp14:editId="428A33CE">
            <wp:extent cx="4010025" cy="3144520"/>
            <wp:effectExtent l="0" t="0" r="9525" b="0"/>
            <wp:docPr id="1628" name="Imagen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2"/>
                    <pic:cNvPicPr>
                      <a:picLocks noChangeAspect="1" noChangeArrowheads="1"/>
                    </pic:cNvPicPr>
                  </pic:nvPicPr>
                  <pic:blipFill>
                    <a:blip r:embed="rId197" cstate="print">
                      <a:extLst>
                        <a:ext uri="{28A0092B-C50C-407E-A947-70E740481C1C}">
                          <a14:useLocalDpi xmlns:a14="http://schemas.microsoft.com/office/drawing/2010/main" val="0"/>
                        </a:ext>
                      </a:extLst>
                    </a:blip>
                    <a:srcRect l="8351" r="3758" b="8333"/>
                    <a:stretch>
                      <a:fillRect/>
                    </a:stretch>
                  </pic:blipFill>
                  <pic:spPr bwMode="auto">
                    <a:xfrm>
                      <a:off x="0" y="0"/>
                      <a:ext cx="4010025" cy="314452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2262EB32" w14:textId="77777777" w:rsidR="00813A27" w:rsidRPr="00813A27" w:rsidRDefault="00813A27" w:rsidP="00813A27">
      <w:pPr>
        <w:spacing w:after="160" w:line="259" w:lineRule="auto"/>
        <w:jc w:val="center"/>
        <w:rPr>
          <w:rFonts w:ascii="Calibri" w:eastAsia="Calibri" w:hAnsi="Calibri"/>
          <w:sz w:val="22"/>
          <w:szCs w:val="22"/>
          <w:lang w:eastAsia="en-US"/>
        </w:rPr>
      </w:pPr>
    </w:p>
    <w:p w14:paraId="47E5B475"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II.pptx!603"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AF2370F" wp14:editId="49371064">
            <wp:extent cx="3966210" cy="3114040"/>
            <wp:effectExtent l="0" t="0" r="0" b="0"/>
            <wp:docPr id="1629" name="Imagen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3"/>
                    <pic:cNvPicPr>
                      <a:picLocks noChangeAspect="1" noChangeArrowheads="1"/>
                    </pic:cNvPicPr>
                  </pic:nvPicPr>
                  <pic:blipFill>
                    <a:blip r:embed="rId198" cstate="print">
                      <a:extLst>
                        <a:ext uri="{28A0092B-C50C-407E-A947-70E740481C1C}">
                          <a14:useLocalDpi xmlns:a14="http://schemas.microsoft.com/office/drawing/2010/main" val="0"/>
                        </a:ext>
                      </a:extLst>
                    </a:blip>
                    <a:srcRect l="10439" r="2715" b="9166"/>
                    <a:stretch>
                      <a:fillRect/>
                    </a:stretch>
                  </pic:blipFill>
                  <pic:spPr bwMode="auto">
                    <a:xfrm>
                      <a:off x="0" y="0"/>
                      <a:ext cx="3966210" cy="311404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5248B76E" w14:textId="77777777" w:rsidR="00813A27" w:rsidRPr="00813A27" w:rsidRDefault="00813A27" w:rsidP="00813A27">
      <w:pPr>
        <w:spacing w:after="360" w:line="360" w:lineRule="auto"/>
        <w:ind w:right="-159"/>
        <w:jc w:val="center"/>
        <w:rPr>
          <w:rFonts w:eastAsia="Calibri"/>
          <w:sz w:val="26"/>
          <w:szCs w:val="26"/>
          <w:lang w:eastAsia="en-US"/>
        </w:rPr>
      </w:pPr>
    </w:p>
    <w:p w14:paraId="4AB1E960" w14:textId="77777777" w:rsidR="00813A27" w:rsidRPr="00813A27" w:rsidRDefault="00813A27" w:rsidP="00813A27">
      <w:pPr>
        <w:spacing w:after="360" w:line="360" w:lineRule="auto"/>
        <w:ind w:right="-159"/>
        <w:jc w:val="center"/>
        <w:rPr>
          <w:rFonts w:eastAsia="Calibri"/>
          <w:sz w:val="26"/>
          <w:szCs w:val="26"/>
          <w:lang w:eastAsia="en-US"/>
        </w:rPr>
      </w:pPr>
    </w:p>
    <w:p w14:paraId="2652EFBA" w14:textId="77777777" w:rsidR="00813A27" w:rsidRPr="00813A27" w:rsidRDefault="00813A27" w:rsidP="00813A27">
      <w:pPr>
        <w:spacing w:after="360" w:line="360" w:lineRule="auto"/>
        <w:ind w:right="-159"/>
        <w:jc w:val="center"/>
        <w:rPr>
          <w:rFonts w:eastAsia="Calibri"/>
          <w:sz w:val="26"/>
          <w:szCs w:val="26"/>
          <w:lang w:eastAsia="en-US"/>
        </w:rPr>
      </w:pPr>
    </w:p>
    <w:p w14:paraId="56C382F8"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Tipo de cambio</w:t>
      </w:r>
    </w:p>
    <w:p w14:paraId="25843A1D"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En esta sección se presentan las expectativas sobre el nivel del tipo de cambio del peso frente al dólar estadounidense para los cierres de 2015 y 2016 (ver el cuadro </w:t>
      </w:r>
      <w:r w:rsidRPr="00813A27">
        <w:rPr>
          <w:rFonts w:eastAsia="Calibri"/>
          <w:i/>
          <w:sz w:val="26"/>
          <w:szCs w:val="26"/>
          <w:lang w:eastAsia="en-US"/>
        </w:rPr>
        <w:t>Expectativas del tipo de cambio para el cierre del año</w:t>
      </w:r>
      <w:r w:rsidRPr="00813A27">
        <w:rPr>
          <w:rFonts w:eastAsia="Calibri"/>
          <w:sz w:val="26"/>
          <w:szCs w:val="26"/>
          <w:lang w:eastAsia="en-US"/>
        </w:rPr>
        <w:t xml:space="preserve"> y las gráficas </w:t>
      </w:r>
      <w:r w:rsidRPr="00813A27">
        <w:rPr>
          <w:rFonts w:eastAsia="Calibri"/>
          <w:i/>
          <w:sz w:val="26"/>
          <w:szCs w:val="26"/>
          <w:lang w:eastAsia="en-US"/>
        </w:rPr>
        <w:t>Expectativas del tipo de cambio para el cierre de 2015 y 2016</w:t>
      </w:r>
      <w:r w:rsidRPr="00813A27">
        <w:rPr>
          <w:rFonts w:eastAsia="Calibri"/>
          <w:sz w:val="26"/>
          <w:szCs w:val="26"/>
          <w:lang w:eastAsia="en-US"/>
        </w:rPr>
        <w:t xml:space="preserve">), así como los pronósticos acerca de esta variable para cada uno de los próximos doce meses (ver el cuadro </w:t>
      </w:r>
      <w:r w:rsidRPr="00813A27">
        <w:rPr>
          <w:rFonts w:eastAsia="Calibri"/>
          <w:i/>
          <w:sz w:val="26"/>
          <w:szCs w:val="26"/>
          <w:lang w:eastAsia="en-US"/>
        </w:rPr>
        <w:t>Expectativas del tipo de cambio para los próximos meses</w:t>
      </w:r>
      <w:r w:rsidRPr="00813A27">
        <w:rPr>
          <w:rFonts w:eastAsia="Calibri"/>
          <w:sz w:val="26"/>
          <w:szCs w:val="26"/>
          <w:lang w:eastAsia="en-US"/>
        </w:rPr>
        <w:t>). Como puede apreciarse, las expectativas recabadas en marzo sobre los niveles esperados del tipo de cambio para los cierres de 2015 y 2016 aumentaron con respecto al mes anterior.</w:t>
      </w:r>
    </w:p>
    <w:tbl>
      <w:tblPr>
        <w:tblW w:w="0" w:type="auto"/>
        <w:jc w:val="center"/>
        <w:tblLook w:val="04A0" w:firstRow="1" w:lastRow="0" w:firstColumn="1" w:lastColumn="0" w:noHBand="0" w:noVBand="1"/>
      </w:tblPr>
      <w:tblGrid>
        <w:gridCol w:w="1293"/>
        <w:gridCol w:w="1194"/>
        <w:gridCol w:w="1194"/>
        <w:gridCol w:w="1194"/>
        <w:gridCol w:w="1194"/>
      </w:tblGrid>
      <w:tr w:rsidR="00813A27" w:rsidRPr="00813A27" w14:paraId="79EE2EEC" w14:textId="77777777" w:rsidTr="00A65300">
        <w:trPr>
          <w:jc w:val="center"/>
        </w:trPr>
        <w:tc>
          <w:tcPr>
            <w:tcW w:w="6069" w:type="dxa"/>
            <w:gridSpan w:val="5"/>
            <w:tcBorders>
              <w:top w:val="nil"/>
              <w:left w:val="nil"/>
              <w:bottom w:val="single" w:sz="4" w:space="0" w:color="auto"/>
              <w:right w:val="nil"/>
            </w:tcBorders>
          </w:tcPr>
          <w:p w14:paraId="5CB63217"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DEL TIPO DE CAMBIO PARA EL CIERRE DEL AÑO</w:t>
            </w:r>
          </w:p>
          <w:p w14:paraId="54AC881A"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-Pesos por dólar-</w:t>
            </w:r>
          </w:p>
        </w:tc>
      </w:tr>
      <w:tr w:rsidR="00813A27" w:rsidRPr="00813A27" w14:paraId="07468FF0" w14:textId="77777777" w:rsidTr="00A65300">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418B2000"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1577B0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6417FCB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425BA0B7"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390C980B"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331BE2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1657D38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654D5907"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503153D0"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0F69296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5066424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7E08E91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36E4098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620E5DFC" w14:textId="77777777" w:rsidTr="00A65300">
        <w:trPr>
          <w:jc w:val="center"/>
        </w:trPr>
        <w:tc>
          <w:tcPr>
            <w:tcW w:w="1293" w:type="dxa"/>
            <w:tcBorders>
              <w:top w:val="single" w:sz="4" w:space="0" w:color="auto"/>
              <w:left w:val="single" w:sz="4" w:space="0" w:color="auto"/>
              <w:right w:val="single" w:sz="4" w:space="0" w:color="auto"/>
            </w:tcBorders>
          </w:tcPr>
          <w:p w14:paraId="635D401A"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0B71082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14.54</w:t>
            </w:r>
          </w:p>
        </w:tc>
        <w:tc>
          <w:tcPr>
            <w:tcW w:w="1194" w:type="dxa"/>
            <w:tcBorders>
              <w:top w:val="single" w:sz="4" w:space="0" w:color="auto"/>
              <w:left w:val="single" w:sz="4" w:space="0" w:color="auto"/>
              <w:right w:val="single" w:sz="4" w:space="0" w:color="auto"/>
            </w:tcBorders>
          </w:tcPr>
          <w:p w14:paraId="0A5195E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14.79</w:t>
            </w:r>
          </w:p>
        </w:tc>
        <w:tc>
          <w:tcPr>
            <w:tcW w:w="1194" w:type="dxa"/>
            <w:tcBorders>
              <w:top w:val="single" w:sz="4" w:space="0" w:color="auto"/>
              <w:left w:val="single" w:sz="4" w:space="0" w:color="auto"/>
              <w:right w:val="single" w:sz="4" w:space="0" w:color="auto"/>
            </w:tcBorders>
          </w:tcPr>
          <w:p w14:paraId="76F1B14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14.50</w:t>
            </w:r>
          </w:p>
        </w:tc>
        <w:tc>
          <w:tcPr>
            <w:tcW w:w="1194" w:type="dxa"/>
            <w:tcBorders>
              <w:top w:val="single" w:sz="4" w:space="0" w:color="auto"/>
              <w:left w:val="single" w:sz="4" w:space="0" w:color="auto"/>
              <w:right w:val="single" w:sz="4" w:space="0" w:color="auto"/>
            </w:tcBorders>
          </w:tcPr>
          <w:p w14:paraId="312B37F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14.79</w:t>
            </w:r>
          </w:p>
        </w:tc>
      </w:tr>
      <w:tr w:rsidR="00813A27" w:rsidRPr="00813A27" w14:paraId="1A7AD1D0" w14:textId="77777777" w:rsidTr="00A65300">
        <w:trPr>
          <w:jc w:val="center"/>
        </w:trPr>
        <w:tc>
          <w:tcPr>
            <w:tcW w:w="1293" w:type="dxa"/>
            <w:tcBorders>
              <w:left w:val="single" w:sz="4" w:space="0" w:color="auto"/>
              <w:bottom w:val="single" w:sz="4" w:space="0" w:color="auto"/>
              <w:right w:val="single" w:sz="4" w:space="0" w:color="auto"/>
            </w:tcBorders>
          </w:tcPr>
          <w:p w14:paraId="5C387E49"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7E51AC6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14.31</w:t>
            </w:r>
          </w:p>
        </w:tc>
        <w:tc>
          <w:tcPr>
            <w:tcW w:w="1194" w:type="dxa"/>
            <w:tcBorders>
              <w:left w:val="single" w:sz="4" w:space="0" w:color="auto"/>
              <w:bottom w:val="single" w:sz="4" w:space="0" w:color="auto"/>
              <w:right w:val="single" w:sz="4" w:space="0" w:color="auto"/>
            </w:tcBorders>
          </w:tcPr>
          <w:p w14:paraId="1E4EFAB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14.69</w:t>
            </w:r>
          </w:p>
        </w:tc>
        <w:tc>
          <w:tcPr>
            <w:tcW w:w="1194" w:type="dxa"/>
            <w:tcBorders>
              <w:left w:val="single" w:sz="4" w:space="0" w:color="auto"/>
              <w:bottom w:val="single" w:sz="4" w:space="0" w:color="auto"/>
              <w:right w:val="single" w:sz="4" w:space="0" w:color="auto"/>
            </w:tcBorders>
          </w:tcPr>
          <w:p w14:paraId="56F5843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14.38</w:t>
            </w:r>
          </w:p>
        </w:tc>
        <w:tc>
          <w:tcPr>
            <w:tcW w:w="1194" w:type="dxa"/>
            <w:tcBorders>
              <w:left w:val="single" w:sz="4" w:space="0" w:color="auto"/>
              <w:bottom w:val="single" w:sz="4" w:space="0" w:color="auto"/>
              <w:right w:val="single" w:sz="4" w:space="0" w:color="auto"/>
            </w:tcBorders>
          </w:tcPr>
          <w:p w14:paraId="23DE193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14.73</w:t>
            </w:r>
          </w:p>
        </w:tc>
      </w:tr>
      <w:tr w:rsidR="00813A27" w:rsidRPr="00813A27" w14:paraId="67319AFF" w14:textId="77777777" w:rsidTr="002B3A4F">
        <w:trPr>
          <w:jc w:val="center"/>
        </w:trPr>
        <w:tc>
          <w:tcPr>
            <w:tcW w:w="6069" w:type="dxa"/>
            <w:gridSpan w:val="5"/>
            <w:tcBorders>
              <w:left w:val="nil"/>
              <w:bottom w:val="nil"/>
              <w:right w:val="nil"/>
            </w:tcBorders>
          </w:tcPr>
          <w:p w14:paraId="74CFE92F"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75140A44" w14:textId="77777777" w:rsidR="00813A27" w:rsidRPr="00813A27" w:rsidRDefault="00813A27" w:rsidP="00813A27">
      <w:pPr>
        <w:spacing w:after="360" w:line="360" w:lineRule="auto"/>
        <w:ind w:right="-159"/>
        <w:jc w:val="both"/>
        <w:rPr>
          <w:rFonts w:eastAsia="Calibri"/>
          <w:sz w:val="26"/>
          <w:szCs w:val="26"/>
          <w:lang w:eastAsia="en-US"/>
        </w:rPr>
      </w:pPr>
    </w:p>
    <w:p w14:paraId="1CDAC68B"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II.pptx!571"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07CB347" wp14:editId="2AF69AAA">
            <wp:extent cx="4015740" cy="3132455"/>
            <wp:effectExtent l="0" t="0" r="3810" b="0"/>
            <wp:docPr id="1630" name="Imagen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0"/>
                    <pic:cNvPicPr>
                      <a:picLocks noChangeAspect="1" noChangeArrowheads="1"/>
                    </pic:cNvPicPr>
                  </pic:nvPicPr>
                  <pic:blipFill>
                    <a:blip r:embed="rId199" cstate="print">
                      <a:extLst>
                        <a:ext uri="{28A0092B-C50C-407E-A947-70E740481C1C}">
                          <a14:useLocalDpi xmlns:a14="http://schemas.microsoft.com/office/drawing/2010/main" val="0"/>
                        </a:ext>
                      </a:extLst>
                    </a:blip>
                    <a:srcRect l="8351" r="3549" b="8611"/>
                    <a:stretch>
                      <a:fillRect/>
                    </a:stretch>
                  </pic:blipFill>
                  <pic:spPr bwMode="auto">
                    <a:xfrm>
                      <a:off x="0" y="0"/>
                      <a:ext cx="4015740" cy="313245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0FFF9572" w14:textId="77777777" w:rsidR="00813A27" w:rsidRPr="00813A27" w:rsidRDefault="00813A27" w:rsidP="00813A27">
      <w:pPr>
        <w:spacing w:after="160" w:line="259" w:lineRule="auto"/>
        <w:jc w:val="center"/>
        <w:rPr>
          <w:rFonts w:ascii="Calibri" w:eastAsia="Calibri" w:hAnsi="Calibri"/>
          <w:sz w:val="22"/>
          <w:szCs w:val="22"/>
          <w:lang w:eastAsia="en-US"/>
        </w:rPr>
      </w:pPr>
    </w:p>
    <w:p w14:paraId="5B14ECD0"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51982680" wp14:editId="5509E5EC">
            <wp:extent cx="4058920" cy="3132455"/>
            <wp:effectExtent l="0" t="0" r="0" b="0"/>
            <wp:docPr id="1631" name="Imagen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1"/>
                    <pic:cNvPicPr>
                      <a:picLocks noChangeAspect="1" noChangeArrowheads="1"/>
                    </pic:cNvPicPr>
                  </pic:nvPicPr>
                  <pic:blipFill>
                    <a:blip r:embed="rId200" cstate="print">
                      <a:extLst>
                        <a:ext uri="{28A0092B-C50C-407E-A947-70E740481C1C}">
                          <a14:useLocalDpi xmlns:a14="http://schemas.microsoft.com/office/drawing/2010/main" val="0"/>
                        </a:ext>
                      </a:extLst>
                    </a:blip>
                    <a:srcRect l="6680" r="4384" b="8611"/>
                    <a:stretch>
                      <a:fillRect/>
                    </a:stretch>
                  </pic:blipFill>
                  <pic:spPr bwMode="auto">
                    <a:xfrm>
                      <a:off x="0" y="0"/>
                      <a:ext cx="4058920" cy="313245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CCDBC75" w14:textId="77777777" w:rsidR="00813A27" w:rsidRPr="00813A27" w:rsidRDefault="00813A27" w:rsidP="00813A27">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701"/>
        <w:gridCol w:w="1340"/>
        <w:gridCol w:w="1194"/>
        <w:gridCol w:w="1194"/>
        <w:gridCol w:w="1194"/>
        <w:gridCol w:w="1194"/>
      </w:tblGrid>
      <w:tr w:rsidR="00813A27" w:rsidRPr="00813A27" w14:paraId="7782CD3A" w14:textId="77777777" w:rsidTr="00A65300">
        <w:trPr>
          <w:jc w:val="center"/>
        </w:trPr>
        <w:tc>
          <w:tcPr>
            <w:tcW w:w="6817" w:type="dxa"/>
            <w:gridSpan w:val="6"/>
            <w:tcBorders>
              <w:top w:val="nil"/>
              <w:left w:val="nil"/>
              <w:bottom w:val="single" w:sz="4" w:space="0" w:color="auto"/>
              <w:right w:val="nil"/>
            </w:tcBorders>
          </w:tcPr>
          <w:p w14:paraId="0BC3A6A1"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DEL TIPO DE CAMBIO PARA LOS PRÓXIMOS MESES</w:t>
            </w:r>
          </w:p>
          <w:p w14:paraId="6BDC24F5"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-Pesos por dólar promedio del mes</w:t>
            </w:r>
            <w:r w:rsidRPr="00813A27">
              <w:rPr>
                <w:rFonts w:eastAsia="Calibri"/>
                <w:b/>
                <w:sz w:val="22"/>
                <w:szCs w:val="22"/>
                <w:u w:val="single"/>
                <w:vertAlign w:val="superscript"/>
                <w:lang w:eastAsia="en-US"/>
              </w:rPr>
              <w:t>1</w:t>
            </w:r>
            <w:r w:rsidRPr="00813A27">
              <w:rPr>
                <w:rFonts w:eastAsia="Calibri"/>
                <w:b/>
                <w:sz w:val="22"/>
                <w:szCs w:val="22"/>
                <w:vertAlign w:val="superscript"/>
                <w:lang w:eastAsia="en-US"/>
              </w:rPr>
              <w:t>/</w:t>
            </w:r>
            <w:r w:rsidRPr="00813A27">
              <w:rPr>
                <w:rFonts w:eastAsia="Calibri"/>
                <w:b/>
                <w:sz w:val="22"/>
                <w:szCs w:val="22"/>
                <w:lang w:eastAsia="en-US"/>
              </w:rPr>
              <w:t>-</w:t>
            </w:r>
          </w:p>
        </w:tc>
      </w:tr>
      <w:tr w:rsidR="00813A27" w:rsidRPr="00813A27" w14:paraId="72D72919" w14:textId="77777777" w:rsidTr="00A65300">
        <w:trPr>
          <w:jc w:val="center"/>
        </w:trPr>
        <w:tc>
          <w:tcPr>
            <w:tcW w:w="2041" w:type="dxa"/>
            <w:gridSpan w:val="2"/>
            <w:vMerge w:val="restart"/>
            <w:tcBorders>
              <w:top w:val="single" w:sz="4" w:space="0" w:color="auto"/>
              <w:left w:val="single" w:sz="4" w:space="0" w:color="auto"/>
              <w:bottom w:val="single" w:sz="4" w:space="0" w:color="auto"/>
              <w:right w:val="single" w:sz="4" w:space="0" w:color="auto"/>
            </w:tcBorders>
          </w:tcPr>
          <w:p w14:paraId="70081E95"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28A255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08C7C4D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45E1F280" w14:textId="77777777" w:rsidTr="00A65300">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43508F5F"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498FE6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7C64E63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6A293456" w14:textId="77777777" w:rsidTr="00A65300">
        <w:trPr>
          <w:jc w:val="center"/>
        </w:trPr>
        <w:tc>
          <w:tcPr>
            <w:tcW w:w="2041" w:type="dxa"/>
            <w:gridSpan w:val="2"/>
            <w:vMerge/>
            <w:tcBorders>
              <w:top w:val="single" w:sz="4" w:space="0" w:color="auto"/>
              <w:left w:val="single" w:sz="4" w:space="0" w:color="auto"/>
              <w:bottom w:val="single" w:sz="4" w:space="0" w:color="auto"/>
              <w:right w:val="single" w:sz="4" w:space="0" w:color="auto"/>
            </w:tcBorders>
          </w:tcPr>
          <w:p w14:paraId="0820FCD5"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7490332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5B07F6E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5B96CBC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4313D04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7F0564B1" w14:textId="77777777" w:rsidTr="00A65300">
        <w:trPr>
          <w:jc w:val="center"/>
        </w:trPr>
        <w:tc>
          <w:tcPr>
            <w:tcW w:w="701" w:type="dxa"/>
            <w:vMerge w:val="restart"/>
            <w:tcBorders>
              <w:top w:val="single" w:sz="4" w:space="0" w:color="auto"/>
              <w:left w:val="single" w:sz="4" w:space="0" w:color="auto"/>
              <w:right w:val="single" w:sz="4" w:space="0" w:color="auto"/>
            </w:tcBorders>
            <w:vAlign w:val="center"/>
          </w:tcPr>
          <w:p w14:paraId="49C9C89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2015</w:t>
            </w:r>
          </w:p>
        </w:tc>
        <w:tc>
          <w:tcPr>
            <w:tcW w:w="1340" w:type="dxa"/>
            <w:tcBorders>
              <w:top w:val="single" w:sz="4" w:space="0" w:color="auto"/>
              <w:left w:val="single" w:sz="4" w:space="0" w:color="auto"/>
              <w:bottom w:val="nil"/>
              <w:right w:val="single" w:sz="4" w:space="0" w:color="auto"/>
            </w:tcBorders>
          </w:tcPr>
          <w:p w14:paraId="5D20502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Ene.</w:t>
            </w:r>
          </w:p>
        </w:tc>
        <w:tc>
          <w:tcPr>
            <w:tcW w:w="1194" w:type="dxa"/>
            <w:tcBorders>
              <w:top w:val="single" w:sz="4" w:space="0" w:color="auto"/>
              <w:left w:val="single" w:sz="4" w:space="0" w:color="auto"/>
              <w:bottom w:val="nil"/>
              <w:right w:val="single" w:sz="4" w:space="0" w:color="auto"/>
            </w:tcBorders>
          </w:tcPr>
          <w:p w14:paraId="3BAF83B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14.91</w:t>
            </w:r>
          </w:p>
        </w:tc>
        <w:tc>
          <w:tcPr>
            <w:tcW w:w="1194" w:type="dxa"/>
            <w:tcBorders>
              <w:top w:val="single" w:sz="4" w:space="0" w:color="auto"/>
              <w:left w:val="single" w:sz="4" w:space="0" w:color="auto"/>
              <w:bottom w:val="nil"/>
              <w:right w:val="single" w:sz="4" w:space="0" w:color="auto"/>
            </w:tcBorders>
          </w:tcPr>
          <w:p w14:paraId="575DE3DE"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bottom w:val="nil"/>
              <w:right w:val="single" w:sz="4" w:space="0" w:color="auto"/>
            </w:tcBorders>
          </w:tcPr>
          <w:p w14:paraId="47FB9F4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14.92</w:t>
            </w:r>
          </w:p>
        </w:tc>
        <w:tc>
          <w:tcPr>
            <w:tcW w:w="1194" w:type="dxa"/>
            <w:tcBorders>
              <w:top w:val="single" w:sz="4" w:space="0" w:color="auto"/>
              <w:left w:val="single" w:sz="4" w:space="0" w:color="auto"/>
              <w:bottom w:val="nil"/>
              <w:right w:val="single" w:sz="4" w:space="0" w:color="auto"/>
            </w:tcBorders>
          </w:tcPr>
          <w:p w14:paraId="1B1B3D25" w14:textId="77777777" w:rsidR="00813A27" w:rsidRPr="00813A27" w:rsidRDefault="00813A27" w:rsidP="00813A27">
            <w:pPr>
              <w:jc w:val="center"/>
              <w:rPr>
                <w:rFonts w:eastAsia="Calibri"/>
                <w:sz w:val="20"/>
                <w:szCs w:val="20"/>
                <w:lang w:eastAsia="en-US"/>
              </w:rPr>
            </w:pPr>
          </w:p>
        </w:tc>
      </w:tr>
      <w:tr w:rsidR="00813A27" w:rsidRPr="00813A27" w14:paraId="35B76FE6" w14:textId="77777777" w:rsidTr="00A65300">
        <w:trPr>
          <w:jc w:val="center"/>
        </w:trPr>
        <w:tc>
          <w:tcPr>
            <w:tcW w:w="701" w:type="dxa"/>
            <w:vMerge/>
            <w:tcBorders>
              <w:left w:val="single" w:sz="4" w:space="0" w:color="auto"/>
              <w:right w:val="single" w:sz="4" w:space="0" w:color="auto"/>
            </w:tcBorders>
            <w:vAlign w:val="center"/>
          </w:tcPr>
          <w:p w14:paraId="0CF4D99B"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84CDA2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w:t>
            </w:r>
          </w:p>
        </w:tc>
        <w:tc>
          <w:tcPr>
            <w:tcW w:w="1194" w:type="dxa"/>
            <w:tcBorders>
              <w:top w:val="nil"/>
              <w:left w:val="single" w:sz="4" w:space="0" w:color="auto"/>
              <w:bottom w:val="nil"/>
              <w:right w:val="single" w:sz="4" w:space="0" w:color="auto"/>
            </w:tcBorders>
          </w:tcPr>
          <w:p w14:paraId="275A425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14.83</w:t>
            </w:r>
          </w:p>
        </w:tc>
        <w:tc>
          <w:tcPr>
            <w:tcW w:w="1194" w:type="dxa"/>
            <w:tcBorders>
              <w:top w:val="nil"/>
              <w:left w:val="single" w:sz="4" w:space="0" w:color="auto"/>
              <w:bottom w:val="nil"/>
              <w:right w:val="single" w:sz="4" w:space="0" w:color="auto"/>
            </w:tcBorders>
          </w:tcPr>
          <w:p w14:paraId="4CAFEF9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15.18</w:t>
            </w:r>
          </w:p>
        </w:tc>
        <w:tc>
          <w:tcPr>
            <w:tcW w:w="1194" w:type="dxa"/>
            <w:tcBorders>
              <w:top w:val="nil"/>
              <w:left w:val="single" w:sz="4" w:space="0" w:color="auto"/>
              <w:bottom w:val="nil"/>
              <w:right w:val="single" w:sz="4" w:space="0" w:color="auto"/>
            </w:tcBorders>
          </w:tcPr>
          <w:p w14:paraId="1486D0C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14.84</w:t>
            </w:r>
          </w:p>
        </w:tc>
        <w:tc>
          <w:tcPr>
            <w:tcW w:w="1194" w:type="dxa"/>
            <w:tcBorders>
              <w:top w:val="nil"/>
              <w:left w:val="single" w:sz="4" w:space="0" w:color="auto"/>
              <w:bottom w:val="nil"/>
              <w:right w:val="single" w:sz="4" w:space="0" w:color="auto"/>
            </w:tcBorders>
          </w:tcPr>
          <w:p w14:paraId="1304AEE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15.20</w:t>
            </w:r>
          </w:p>
        </w:tc>
      </w:tr>
      <w:tr w:rsidR="00813A27" w:rsidRPr="00813A27" w14:paraId="48327815" w14:textId="77777777" w:rsidTr="00A65300">
        <w:trPr>
          <w:jc w:val="center"/>
        </w:trPr>
        <w:tc>
          <w:tcPr>
            <w:tcW w:w="701" w:type="dxa"/>
            <w:vMerge/>
            <w:tcBorders>
              <w:left w:val="single" w:sz="4" w:space="0" w:color="auto"/>
              <w:right w:val="single" w:sz="4" w:space="0" w:color="auto"/>
            </w:tcBorders>
            <w:vAlign w:val="center"/>
          </w:tcPr>
          <w:p w14:paraId="594C8E10"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68F2EEE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w:t>
            </w:r>
          </w:p>
        </w:tc>
        <w:tc>
          <w:tcPr>
            <w:tcW w:w="1194" w:type="dxa"/>
            <w:tcBorders>
              <w:top w:val="nil"/>
              <w:left w:val="single" w:sz="4" w:space="0" w:color="auto"/>
              <w:bottom w:val="nil"/>
              <w:right w:val="single" w:sz="4" w:space="0" w:color="auto"/>
            </w:tcBorders>
          </w:tcPr>
          <w:p w14:paraId="4AC3EDC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14.78</w:t>
            </w:r>
          </w:p>
        </w:tc>
        <w:tc>
          <w:tcPr>
            <w:tcW w:w="1194" w:type="dxa"/>
            <w:tcBorders>
              <w:top w:val="nil"/>
              <w:left w:val="single" w:sz="4" w:space="0" w:color="auto"/>
              <w:bottom w:val="nil"/>
              <w:right w:val="single" w:sz="4" w:space="0" w:color="auto"/>
            </w:tcBorders>
          </w:tcPr>
          <w:p w14:paraId="5984FD2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15.05</w:t>
            </w:r>
          </w:p>
        </w:tc>
        <w:tc>
          <w:tcPr>
            <w:tcW w:w="1194" w:type="dxa"/>
            <w:tcBorders>
              <w:top w:val="nil"/>
              <w:left w:val="single" w:sz="4" w:space="0" w:color="auto"/>
              <w:bottom w:val="nil"/>
              <w:right w:val="single" w:sz="4" w:space="0" w:color="auto"/>
            </w:tcBorders>
          </w:tcPr>
          <w:p w14:paraId="5DF0743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14.80</w:t>
            </w:r>
          </w:p>
        </w:tc>
        <w:tc>
          <w:tcPr>
            <w:tcW w:w="1194" w:type="dxa"/>
            <w:tcBorders>
              <w:top w:val="nil"/>
              <w:left w:val="single" w:sz="4" w:space="0" w:color="auto"/>
              <w:bottom w:val="nil"/>
              <w:right w:val="single" w:sz="4" w:space="0" w:color="auto"/>
            </w:tcBorders>
          </w:tcPr>
          <w:p w14:paraId="6CA6706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15.05</w:t>
            </w:r>
          </w:p>
        </w:tc>
      </w:tr>
      <w:tr w:rsidR="00813A27" w:rsidRPr="00813A27" w14:paraId="3191166B" w14:textId="77777777" w:rsidTr="00A65300">
        <w:trPr>
          <w:jc w:val="center"/>
        </w:trPr>
        <w:tc>
          <w:tcPr>
            <w:tcW w:w="701" w:type="dxa"/>
            <w:vMerge/>
            <w:tcBorders>
              <w:left w:val="single" w:sz="4" w:space="0" w:color="auto"/>
              <w:right w:val="single" w:sz="4" w:space="0" w:color="auto"/>
            </w:tcBorders>
            <w:vAlign w:val="center"/>
          </w:tcPr>
          <w:p w14:paraId="533589AE"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47EFC01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Abr.</w:t>
            </w:r>
          </w:p>
        </w:tc>
        <w:tc>
          <w:tcPr>
            <w:tcW w:w="1194" w:type="dxa"/>
            <w:tcBorders>
              <w:top w:val="nil"/>
              <w:left w:val="single" w:sz="4" w:space="0" w:color="auto"/>
              <w:bottom w:val="nil"/>
              <w:right w:val="single" w:sz="4" w:space="0" w:color="auto"/>
            </w:tcBorders>
          </w:tcPr>
          <w:p w14:paraId="53A7F63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14.75</w:t>
            </w:r>
          </w:p>
        </w:tc>
        <w:tc>
          <w:tcPr>
            <w:tcW w:w="1194" w:type="dxa"/>
            <w:tcBorders>
              <w:top w:val="nil"/>
              <w:left w:val="single" w:sz="4" w:space="0" w:color="auto"/>
              <w:bottom w:val="nil"/>
              <w:right w:val="single" w:sz="4" w:space="0" w:color="auto"/>
            </w:tcBorders>
          </w:tcPr>
          <w:p w14:paraId="6D9D4BA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15.04</w:t>
            </w:r>
          </w:p>
        </w:tc>
        <w:tc>
          <w:tcPr>
            <w:tcW w:w="1194" w:type="dxa"/>
            <w:tcBorders>
              <w:top w:val="nil"/>
              <w:left w:val="single" w:sz="4" w:space="0" w:color="auto"/>
              <w:bottom w:val="nil"/>
              <w:right w:val="single" w:sz="4" w:space="0" w:color="auto"/>
            </w:tcBorders>
          </w:tcPr>
          <w:p w14:paraId="466B73C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14.78</w:t>
            </w:r>
          </w:p>
        </w:tc>
        <w:tc>
          <w:tcPr>
            <w:tcW w:w="1194" w:type="dxa"/>
            <w:tcBorders>
              <w:top w:val="nil"/>
              <w:left w:val="single" w:sz="4" w:space="0" w:color="auto"/>
              <w:bottom w:val="nil"/>
              <w:right w:val="single" w:sz="4" w:space="0" w:color="auto"/>
            </w:tcBorders>
          </w:tcPr>
          <w:p w14:paraId="2345386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15.06</w:t>
            </w:r>
          </w:p>
        </w:tc>
      </w:tr>
      <w:tr w:rsidR="00813A27" w:rsidRPr="00813A27" w14:paraId="3E2F1B4F" w14:textId="77777777" w:rsidTr="00A65300">
        <w:trPr>
          <w:jc w:val="center"/>
        </w:trPr>
        <w:tc>
          <w:tcPr>
            <w:tcW w:w="701" w:type="dxa"/>
            <w:vMerge/>
            <w:tcBorders>
              <w:left w:val="single" w:sz="4" w:space="0" w:color="auto"/>
              <w:right w:val="single" w:sz="4" w:space="0" w:color="auto"/>
            </w:tcBorders>
            <w:vAlign w:val="center"/>
          </w:tcPr>
          <w:p w14:paraId="2615C24B"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BCB6C4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May.</w:t>
            </w:r>
          </w:p>
        </w:tc>
        <w:tc>
          <w:tcPr>
            <w:tcW w:w="1194" w:type="dxa"/>
            <w:tcBorders>
              <w:top w:val="nil"/>
              <w:left w:val="single" w:sz="4" w:space="0" w:color="auto"/>
              <w:bottom w:val="nil"/>
              <w:right w:val="single" w:sz="4" w:space="0" w:color="auto"/>
            </w:tcBorders>
          </w:tcPr>
          <w:p w14:paraId="36066A2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14.73</w:t>
            </w:r>
          </w:p>
        </w:tc>
        <w:tc>
          <w:tcPr>
            <w:tcW w:w="1194" w:type="dxa"/>
            <w:tcBorders>
              <w:top w:val="nil"/>
              <w:left w:val="single" w:sz="4" w:space="0" w:color="auto"/>
              <w:bottom w:val="nil"/>
              <w:right w:val="single" w:sz="4" w:space="0" w:color="auto"/>
            </w:tcBorders>
          </w:tcPr>
          <w:p w14:paraId="2F239CD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15.04</w:t>
            </w:r>
          </w:p>
        </w:tc>
        <w:tc>
          <w:tcPr>
            <w:tcW w:w="1194" w:type="dxa"/>
            <w:tcBorders>
              <w:top w:val="nil"/>
              <w:left w:val="single" w:sz="4" w:space="0" w:color="auto"/>
              <w:bottom w:val="nil"/>
              <w:right w:val="single" w:sz="4" w:space="0" w:color="auto"/>
            </w:tcBorders>
          </w:tcPr>
          <w:p w14:paraId="04446D7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14.75</w:t>
            </w:r>
          </w:p>
        </w:tc>
        <w:tc>
          <w:tcPr>
            <w:tcW w:w="1194" w:type="dxa"/>
            <w:tcBorders>
              <w:top w:val="nil"/>
              <w:left w:val="single" w:sz="4" w:space="0" w:color="auto"/>
              <w:bottom w:val="nil"/>
              <w:right w:val="single" w:sz="4" w:space="0" w:color="auto"/>
            </w:tcBorders>
          </w:tcPr>
          <w:p w14:paraId="5028897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15.03</w:t>
            </w:r>
          </w:p>
        </w:tc>
      </w:tr>
      <w:tr w:rsidR="00813A27" w:rsidRPr="00813A27" w14:paraId="253CED40" w14:textId="77777777" w:rsidTr="00A65300">
        <w:trPr>
          <w:jc w:val="center"/>
        </w:trPr>
        <w:tc>
          <w:tcPr>
            <w:tcW w:w="701" w:type="dxa"/>
            <w:vMerge/>
            <w:tcBorders>
              <w:left w:val="single" w:sz="4" w:space="0" w:color="auto"/>
              <w:right w:val="single" w:sz="4" w:space="0" w:color="auto"/>
            </w:tcBorders>
            <w:vAlign w:val="center"/>
          </w:tcPr>
          <w:p w14:paraId="3037878F"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5D5834F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Jun.</w:t>
            </w:r>
          </w:p>
        </w:tc>
        <w:tc>
          <w:tcPr>
            <w:tcW w:w="1194" w:type="dxa"/>
            <w:tcBorders>
              <w:top w:val="nil"/>
              <w:left w:val="single" w:sz="4" w:space="0" w:color="auto"/>
              <w:bottom w:val="nil"/>
              <w:right w:val="single" w:sz="4" w:space="0" w:color="auto"/>
            </w:tcBorders>
          </w:tcPr>
          <w:p w14:paraId="1BF4D48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14.71</w:t>
            </w:r>
          </w:p>
        </w:tc>
        <w:tc>
          <w:tcPr>
            <w:tcW w:w="1194" w:type="dxa"/>
            <w:tcBorders>
              <w:top w:val="nil"/>
              <w:left w:val="single" w:sz="4" w:space="0" w:color="auto"/>
              <w:bottom w:val="nil"/>
              <w:right w:val="single" w:sz="4" w:space="0" w:color="auto"/>
            </w:tcBorders>
          </w:tcPr>
          <w:p w14:paraId="1A8A0EF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15.01</w:t>
            </w:r>
          </w:p>
        </w:tc>
        <w:tc>
          <w:tcPr>
            <w:tcW w:w="1194" w:type="dxa"/>
            <w:tcBorders>
              <w:top w:val="nil"/>
              <w:left w:val="single" w:sz="4" w:space="0" w:color="auto"/>
              <w:bottom w:val="nil"/>
              <w:right w:val="single" w:sz="4" w:space="0" w:color="auto"/>
            </w:tcBorders>
          </w:tcPr>
          <w:p w14:paraId="3D6DF8D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14.71</w:t>
            </w:r>
          </w:p>
        </w:tc>
        <w:tc>
          <w:tcPr>
            <w:tcW w:w="1194" w:type="dxa"/>
            <w:tcBorders>
              <w:top w:val="nil"/>
              <w:left w:val="single" w:sz="4" w:space="0" w:color="auto"/>
              <w:bottom w:val="nil"/>
              <w:right w:val="single" w:sz="4" w:space="0" w:color="auto"/>
            </w:tcBorders>
          </w:tcPr>
          <w:p w14:paraId="3EF056C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15.00</w:t>
            </w:r>
          </w:p>
        </w:tc>
      </w:tr>
      <w:tr w:rsidR="00813A27" w:rsidRPr="00813A27" w14:paraId="729C20B8" w14:textId="77777777" w:rsidTr="00A65300">
        <w:trPr>
          <w:jc w:val="center"/>
        </w:trPr>
        <w:tc>
          <w:tcPr>
            <w:tcW w:w="701" w:type="dxa"/>
            <w:vMerge/>
            <w:tcBorders>
              <w:left w:val="single" w:sz="4" w:space="0" w:color="auto"/>
              <w:right w:val="single" w:sz="4" w:space="0" w:color="auto"/>
            </w:tcBorders>
          </w:tcPr>
          <w:p w14:paraId="2D668080"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505C769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Jul.</w:t>
            </w:r>
          </w:p>
        </w:tc>
        <w:tc>
          <w:tcPr>
            <w:tcW w:w="1194" w:type="dxa"/>
            <w:tcBorders>
              <w:top w:val="nil"/>
              <w:left w:val="single" w:sz="4" w:space="0" w:color="auto"/>
              <w:bottom w:val="nil"/>
              <w:right w:val="single" w:sz="4" w:space="0" w:color="auto"/>
            </w:tcBorders>
          </w:tcPr>
          <w:p w14:paraId="063E01E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14.69</w:t>
            </w:r>
          </w:p>
        </w:tc>
        <w:tc>
          <w:tcPr>
            <w:tcW w:w="1194" w:type="dxa"/>
            <w:tcBorders>
              <w:top w:val="nil"/>
              <w:left w:val="single" w:sz="4" w:space="0" w:color="auto"/>
              <w:bottom w:val="nil"/>
              <w:right w:val="single" w:sz="4" w:space="0" w:color="auto"/>
            </w:tcBorders>
          </w:tcPr>
          <w:p w14:paraId="13DCCC1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14.98</w:t>
            </w:r>
          </w:p>
        </w:tc>
        <w:tc>
          <w:tcPr>
            <w:tcW w:w="1194" w:type="dxa"/>
            <w:tcBorders>
              <w:top w:val="nil"/>
              <w:left w:val="single" w:sz="4" w:space="0" w:color="auto"/>
              <w:bottom w:val="nil"/>
              <w:right w:val="single" w:sz="4" w:space="0" w:color="auto"/>
            </w:tcBorders>
          </w:tcPr>
          <w:p w14:paraId="188E9D3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14.74</w:t>
            </w:r>
          </w:p>
        </w:tc>
        <w:tc>
          <w:tcPr>
            <w:tcW w:w="1194" w:type="dxa"/>
            <w:tcBorders>
              <w:top w:val="nil"/>
              <w:left w:val="single" w:sz="4" w:space="0" w:color="auto"/>
              <w:bottom w:val="nil"/>
              <w:right w:val="single" w:sz="4" w:space="0" w:color="auto"/>
            </w:tcBorders>
          </w:tcPr>
          <w:p w14:paraId="32333C4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14.98</w:t>
            </w:r>
          </w:p>
        </w:tc>
      </w:tr>
      <w:tr w:rsidR="00813A27" w:rsidRPr="00813A27" w14:paraId="1552CF94" w14:textId="77777777" w:rsidTr="00A65300">
        <w:trPr>
          <w:jc w:val="center"/>
        </w:trPr>
        <w:tc>
          <w:tcPr>
            <w:tcW w:w="701" w:type="dxa"/>
            <w:vMerge/>
            <w:tcBorders>
              <w:left w:val="single" w:sz="4" w:space="0" w:color="auto"/>
              <w:right w:val="single" w:sz="4" w:space="0" w:color="auto"/>
            </w:tcBorders>
            <w:vAlign w:val="center"/>
          </w:tcPr>
          <w:p w14:paraId="6AA02422"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1C971EC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Ago.</w:t>
            </w:r>
          </w:p>
        </w:tc>
        <w:tc>
          <w:tcPr>
            <w:tcW w:w="1194" w:type="dxa"/>
            <w:tcBorders>
              <w:top w:val="nil"/>
              <w:left w:val="single" w:sz="4" w:space="0" w:color="auto"/>
              <w:bottom w:val="nil"/>
              <w:right w:val="single" w:sz="4" w:space="0" w:color="auto"/>
            </w:tcBorders>
          </w:tcPr>
          <w:p w14:paraId="6C842D0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14.65</w:t>
            </w:r>
          </w:p>
        </w:tc>
        <w:tc>
          <w:tcPr>
            <w:tcW w:w="1194" w:type="dxa"/>
            <w:tcBorders>
              <w:top w:val="nil"/>
              <w:left w:val="single" w:sz="4" w:space="0" w:color="auto"/>
              <w:bottom w:val="nil"/>
              <w:right w:val="single" w:sz="4" w:space="0" w:color="auto"/>
            </w:tcBorders>
          </w:tcPr>
          <w:p w14:paraId="25C1427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14.91</w:t>
            </w:r>
          </w:p>
        </w:tc>
        <w:tc>
          <w:tcPr>
            <w:tcW w:w="1194" w:type="dxa"/>
            <w:tcBorders>
              <w:top w:val="nil"/>
              <w:left w:val="single" w:sz="4" w:space="0" w:color="auto"/>
              <w:bottom w:val="nil"/>
              <w:right w:val="single" w:sz="4" w:space="0" w:color="auto"/>
            </w:tcBorders>
          </w:tcPr>
          <w:p w14:paraId="0220652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14.70</w:t>
            </w:r>
          </w:p>
        </w:tc>
        <w:tc>
          <w:tcPr>
            <w:tcW w:w="1194" w:type="dxa"/>
            <w:tcBorders>
              <w:top w:val="nil"/>
              <w:left w:val="single" w:sz="4" w:space="0" w:color="auto"/>
              <w:bottom w:val="nil"/>
              <w:right w:val="single" w:sz="4" w:space="0" w:color="auto"/>
            </w:tcBorders>
          </w:tcPr>
          <w:p w14:paraId="2FD4E49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14.95</w:t>
            </w:r>
          </w:p>
        </w:tc>
      </w:tr>
      <w:tr w:rsidR="00813A27" w:rsidRPr="00813A27" w14:paraId="497A3A5E" w14:textId="77777777" w:rsidTr="00A65300">
        <w:trPr>
          <w:jc w:val="center"/>
        </w:trPr>
        <w:tc>
          <w:tcPr>
            <w:tcW w:w="701" w:type="dxa"/>
            <w:vMerge/>
            <w:tcBorders>
              <w:left w:val="single" w:sz="4" w:space="0" w:color="auto"/>
              <w:right w:val="single" w:sz="4" w:space="0" w:color="auto"/>
            </w:tcBorders>
            <w:vAlign w:val="center"/>
          </w:tcPr>
          <w:p w14:paraId="24F20CE6"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74E5ACD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Sep.</w:t>
            </w:r>
          </w:p>
        </w:tc>
        <w:tc>
          <w:tcPr>
            <w:tcW w:w="1194" w:type="dxa"/>
            <w:tcBorders>
              <w:top w:val="nil"/>
              <w:left w:val="single" w:sz="4" w:space="0" w:color="auto"/>
              <w:bottom w:val="nil"/>
              <w:right w:val="single" w:sz="4" w:space="0" w:color="auto"/>
            </w:tcBorders>
          </w:tcPr>
          <w:p w14:paraId="2A25AE4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14.61</w:t>
            </w:r>
          </w:p>
        </w:tc>
        <w:tc>
          <w:tcPr>
            <w:tcW w:w="1194" w:type="dxa"/>
            <w:tcBorders>
              <w:top w:val="nil"/>
              <w:left w:val="single" w:sz="4" w:space="0" w:color="auto"/>
              <w:bottom w:val="nil"/>
              <w:right w:val="single" w:sz="4" w:space="0" w:color="auto"/>
            </w:tcBorders>
          </w:tcPr>
          <w:p w14:paraId="029B5D0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14.91</w:t>
            </w:r>
          </w:p>
        </w:tc>
        <w:tc>
          <w:tcPr>
            <w:tcW w:w="1194" w:type="dxa"/>
            <w:tcBorders>
              <w:top w:val="nil"/>
              <w:left w:val="single" w:sz="4" w:space="0" w:color="auto"/>
              <w:bottom w:val="nil"/>
              <w:right w:val="single" w:sz="4" w:space="0" w:color="auto"/>
            </w:tcBorders>
          </w:tcPr>
          <w:p w14:paraId="1D4C350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14.64</w:t>
            </w:r>
          </w:p>
        </w:tc>
        <w:tc>
          <w:tcPr>
            <w:tcW w:w="1194" w:type="dxa"/>
            <w:tcBorders>
              <w:top w:val="nil"/>
              <w:left w:val="single" w:sz="4" w:space="0" w:color="auto"/>
              <w:bottom w:val="nil"/>
              <w:right w:val="single" w:sz="4" w:space="0" w:color="auto"/>
            </w:tcBorders>
          </w:tcPr>
          <w:p w14:paraId="0F9B077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14.94</w:t>
            </w:r>
          </w:p>
        </w:tc>
      </w:tr>
      <w:tr w:rsidR="00813A27" w:rsidRPr="00813A27" w14:paraId="36C209F2" w14:textId="77777777" w:rsidTr="00A65300">
        <w:trPr>
          <w:jc w:val="center"/>
        </w:trPr>
        <w:tc>
          <w:tcPr>
            <w:tcW w:w="701" w:type="dxa"/>
            <w:vMerge/>
            <w:tcBorders>
              <w:left w:val="single" w:sz="4" w:space="0" w:color="auto"/>
              <w:right w:val="single" w:sz="4" w:space="0" w:color="auto"/>
            </w:tcBorders>
            <w:vAlign w:val="center"/>
          </w:tcPr>
          <w:p w14:paraId="711E15B1"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2A33169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Oct.</w:t>
            </w:r>
          </w:p>
        </w:tc>
        <w:tc>
          <w:tcPr>
            <w:tcW w:w="1194" w:type="dxa"/>
            <w:tcBorders>
              <w:top w:val="nil"/>
              <w:left w:val="single" w:sz="4" w:space="0" w:color="auto"/>
              <w:bottom w:val="nil"/>
              <w:right w:val="single" w:sz="4" w:space="0" w:color="auto"/>
            </w:tcBorders>
          </w:tcPr>
          <w:p w14:paraId="04F5AED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14.58</w:t>
            </w:r>
          </w:p>
        </w:tc>
        <w:tc>
          <w:tcPr>
            <w:tcW w:w="1194" w:type="dxa"/>
            <w:tcBorders>
              <w:top w:val="nil"/>
              <w:left w:val="single" w:sz="4" w:space="0" w:color="auto"/>
              <w:bottom w:val="nil"/>
              <w:right w:val="single" w:sz="4" w:space="0" w:color="auto"/>
            </w:tcBorders>
          </w:tcPr>
          <w:p w14:paraId="604132B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14.86</w:t>
            </w:r>
          </w:p>
        </w:tc>
        <w:tc>
          <w:tcPr>
            <w:tcW w:w="1194" w:type="dxa"/>
            <w:tcBorders>
              <w:top w:val="nil"/>
              <w:left w:val="single" w:sz="4" w:space="0" w:color="auto"/>
              <w:bottom w:val="nil"/>
              <w:right w:val="single" w:sz="4" w:space="0" w:color="auto"/>
            </w:tcBorders>
          </w:tcPr>
          <w:p w14:paraId="4044652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14.59</w:t>
            </w:r>
          </w:p>
        </w:tc>
        <w:tc>
          <w:tcPr>
            <w:tcW w:w="1194" w:type="dxa"/>
            <w:tcBorders>
              <w:top w:val="nil"/>
              <w:left w:val="single" w:sz="4" w:space="0" w:color="auto"/>
              <w:bottom w:val="nil"/>
              <w:right w:val="single" w:sz="4" w:space="0" w:color="auto"/>
            </w:tcBorders>
          </w:tcPr>
          <w:p w14:paraId="1AEAA4D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14.88</w:t>
            </w:r>
          </w:p>
        </w:tc>
      </w:tr>
      <w:tr w:rsidR="00813A27" w:rsidRPr="00813A27" w14:paraId="2EA11E6F" w14:textId="77777777" w:rsidTr="00A65300">
        <w:trPr>
          <w:jc w:val="center"/>
        </w:trPr>
        <w:tc>
          <w:tcPr>
            <w:tcW w:w="701" w:type="dxa"/>
            <w:vMerge/>
            <w:tcBorders>
              <w:left w:val="single" w:sz="4" w:space="0" w:color="auto"/>
              <w:right w:val="single" w:sz="4" w:space="0" w:color="auto"/>
            </w:tcBorders>
            <w:vAlign w:val="center"/>
          </w:tcPr>
          <w:p w14:paraId="4D0453D8"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nil"/>
              <w:right w:val="single" w:sz="4" w:space="0" w:color="auto"/>
            </w:tcBorders>
          </w:tcPr>
          <w:p w14:paraId="3A11518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Nov.</w:t>
            </w:r>
          </w:p>
        </w:tc>
        <w:tc>
          <w:tcPr>
            <w:tcW w:w="1194" w:type="dxa"/>
            <w:tcBorders>
              <w:top w:val="nil"/>
              <w:left w:val="single" w:sz="4" w:space="0" w:color="auto"/>
              <w:bottom w:val="nil"/>
              <w:right w:val="single" w:sz="4" w:space="0" w:color="auto"/>
            </w:tcBorders>
          </w:tcPr>
          <w:p w14:paraId="4571432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14.54</w:t>
            </w:r>
          </w:p>
        </w:tc>
        <w:tc>
          <w:tcPr>
            <w:tcW w:w="1194" w:type="dxa"/>
            <w:tcBorders>
              <w:top w:val="nil"/>
              <w:left w:val="single" w:sz="4" w:space="0" w:color="auto"/>
              <w:bottom w:val="nil"/>
              <w:right w:val="single" w:sz="4" w:space="0" w:color="auto"/>
            </w:tcBorders>
          </w:tcPr>
          <w:p w14:paraId="252A990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14.79</w:t>
            </w:r>
          </w:p>
        </w:tc>
        <w:tc>
          <w:tcPr>
            <w:tcW w:w="1194" w:type="dxa"/>
            <w:tcBorders>
              <w:top w:val="nil"/>
              <w:left w:val="single" w:sz="4" w:space="0" w:color="auto"/>
              <w:bottom w:val="nil"/>
              <w:right w:val="single" w:sz="4" w:space="0" w:color="auto"/>
            </w:tcBorders>
          </w:tcPr>
          <w:p w14:paraId="6E3D2AD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14.50</w:t>
            </w:r>
          </w:p>
        </w:tc>
        <w:tc>
          <w:tcPr>
            <w:tcW w:w="1194" w:type="dxa"/>
            <w:tcBorders>
              <w:top w:val="nil"/>
              <w:left w:val="single" w:sz="4" w:space="0" w:color="auto"/>
              <w:bottom w:val="nil"/>
              <w:right w:val="single" w:sz="4" w:space="0" w:color="auto"/>
            </w:tcBorders>
          </w:tcPr>
          <w:p w14:paraId="3BA11B4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14.79</w:t>
            </w:r>
          </w:p>
        </w:tc>
      </w:tr>
      <w:tr w:rsidR="00813A27" w:rsidRPr="00813A27" w14:paraId="69D0A4C0" w14:textId="77777777" w:rsidTr="00A65300">
        <w:trPr>
          <w:jc w:val="center"/>
        </w:trPr>
        <w:tc>
          <w:tcPr>
            <w:tcW w:w="701" w:type="dxa"/>
            <w:vMerge/>
            <w:tcBorders>
              <w:left w:val="single" w:sz="4" w:space="0" w:color="auto"/>
              <w:bottom w:val="single" w:sz="4" w:space="0" w:color="auto"/>
              <w:right w:val="single" w:sz="4" w:space="0" w:color="auto"/>
            </w:tcBorders>
            <w:vAlign w:val="center"/>
          </w:tcPr>
          <w:p w14:paraId="76194A68"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43487FE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Dic.</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c>
          <w:tcPr>
            <w:tcW w:w="1194" w:type="dxa"/>
            <w:tcBorders>
              <w:top w:val="nil"/>
              <w:left w:val="single" w:sz="4" w:space="0" w:color="auto"/>
              <w:bottom w:val="single" w:sz="4" w:space="0" w:color="auto"/>
              <w:right w:val="single" w:sz="4" w:space="0" w:color="auto"/>
            </w:tcBorders>
          </w:tcPr>
          <w:p w14:paraId="4F60829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14.52</w:t>
            </w:r>
          </w:p>
        </w:tc>
        <w:tc>
          <w:tcPr>
            <w:tcW w:w="1194" w:type="dxa"/>
            <w:tcBorders>
              <w:top w:val="nil"/>
              <w:left w:val="single" w:sz="4" w:space="0" w:color="auto"/>
              <w:bottom w:val="single" w:sz="4" w:space="0" w:color="auto"/>
              <w:right w:val="single" w:sz="4" w:space="0" w:color="auto"/>
            </w:tcBorders>
          </w:tcPr>
          <w:p w14:paraId="447E860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14.84</w:t>
            </w:r>
          </w:p>
        </w:tc>
        <w:tc>
          <w:tcPr>
            <w:tcW w:w="1194" w:type="dxa"/>
            <w:tcBorders>
              <w:top w:val="nil"/>
              <w:left w:val="single" w:sz="4" w:space="0" w:color="auto"/>
              <w:bottom w:val="single" w:sz="4" w:space="0" w:color="auto"/>
              <w:right w:val="single" w:sz="4" w:space="0" w:color="auto"/>
            </w:tcBorders>
          </w:tcPr>
          <w:p w14:paraId="44E812E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14.49</w:t>
            </w:r>
          </w:p>
        </w:tc>
        <w:tc>
          <w:tcPr>
            <w:tcW w:w="1194" w:type="dxa"/>
            <w:tcBorders>
              <w:top w:val="nil"/>
              <w:left w:val="single" w:sz="4" w:space="0" w:color="auto"/>
              <w:bottom w:val="single" w:sz="4" w:space="0" w:color="auto"/>
              <w:right w:val="single" w:sz="4" w:space="0" w:color="auto"/>
            </w:tcBorders>
          </w:tcPr>
          <w:p w14:paraId="162A24C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14.85</w:t>
            </w:r>
          </w:p>
        </w:tc>
      </w:tr>
      <w:tr w:rsidR="00813A27" w:rsidRPr="00813A27" w14:paraId="4A212CE9" w14:textId="77777777" w:rsidTr="00A65300">
        <w:trPr>
          <w:jc w:val="center"/>
        </w:trPr>
        <w:tc>
          <w:tcPr>
            <w:tcW w:w="701" w:type="dxa"/>
            <w:vMerge w:val="restart"/>
            <w:tcBorders>
              <w:top w:val="single" w:sz="4" w:space="0" w:color="auto"/>
              <w:left w:val="single" w:sz="4" w:space="0" w:color="auto"/>
              <w:right w:val="single" w:sz="4" w:space="0" w:color="auto"/>
            </w:tcBorders>
            <w:vAlign w:val="center"/>
          </w:tcPr>
          <w:p w14:paraId="044D532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2016</w:t>
            </w:r>
          </w:p>
        </w:tc>
        <w:tc>
          <w:tcPr>
            <w:tcW w:w="1340" w:type="dxa"/>
            <w:tcBorders>
              <w:top w:val="single" w:sz="4" w:space="0" w:color="auto"/>
              <w:left w:val="single" w:sz="4" w:space="0" w:color="auto"/>
              <w:bottom w:val="nil"/>
              <w:right w:val="single" w:sz="4" w:space="0" w:color="auto"/>
            </w:tcBorders>
          </w:tcPr>
          <w:p w14:paraId="257B231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Ene.</w:t>
            </w:r>
          </w:p>
        </w:tc>
        <w:tc>
          <w:tcPr>
            <w:tcW w:w="1194" w:type="dxa"/>
            <w:tcBorders>
              <w:top w:val="single" w:sz="4" w:space="0" w:color="auto"/>
              <w:left w:val="single" w:sz="4" w:space="0" w:color="auto"/>
              <w:bottom w:val="nil"/>
              <w:right w:val="single" w:sz="4" w:space="0" w:color="auto"/>
            </w:tcBorders>
          </w:tcPr>
          <w:p w14:paraId="7FFDAD6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14.42</w:t>
            </w:r>
          </w:p>
        </w:tc>
        <w:tc>
          <w:tcPr>
            <w:tcW w:w="1194" w:type="dxa"/>
            <w:tcBorders>
              <w:top w:val="single" w:sz="4" w:space="0" w:color="auto"/>
              <w:left w:val="single" w:sz="4" w:space="0" w:color="auto"/>
              <w:bottom w:val="nil"/>
              <w:right w:val="single" w:sz="4" w:space="0" w:color="auto"/>
            </w:tcBorders>
          </w:tcPr>
          <w:p w14:paraId="41F21AEA"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14.79</w:t>
            </w:r>
          </w:p>
        </w:tc>
        <w:tc>
          <w:tcPr>
            <w:tcW w:w="1194" w:type="dxa"/>
            <w:tcBorders>
              <w:top w:val="single" w:sz="4" w:space="0" w:color="auto"/>
              <w:left w:val="single" w:sz="4" w:space="0" w:color="auto"/>
              <w:bottom w:val="nil"/>
              <w:right w:val="single" w:sz="4" w:space="0" w:color="auto"/>
            </w:tcBorders>
          </w:tcPr>
          <w:p w14:paraId="7FFF5C6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14.39</w:t>
            </w:r>
          </w:p>
        </w:tc>
        <w:tc>
          <w:tcPr>
            <w:tcW w:w="1194" w:type="dxa"/>
            <w:tcBorders>
              <w:top w:val="single" w:sz="4" w:space="0" w:color="auto"/>
              <w:left w:val="single" w:sz="4" w:space="0" w:color="auto"/>
              <w:bottom w:val="nil"/>
              <w:right w:val="single" w:sz="4" w:space="0" w:color="auto"/>
            </w:tcBorders>
          </w:tcPr>
          <w:p w14:paraId="0288834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14.81</w:t>
            </w:r>
          </w:p>
        </w:tc>
      </w:tr>
      <w:tr w:rsidR="00813A27" w:rsidRPr="00813A27" w14:paraId="397DF40F" w14:textId="77777777" w:rsidTr="00A65300">
        <w:trPr>
          <w:jc w:val="center"/>
        </w:trPr>
        <w:tc>
          <w:tcPr>
            <w:tcW w:w="701" w:type="dxa"/>
            <w:vMerge/>
            <w:tcBorders>
              <w:left w:val="single" w:sz="4" w:space="0" w:color="auto"/>
              <w:bottom w:val="single" w:sz="4" w:space="0" w:color="auto"/>
              <w:right w:val="single" w:sz="4" w:space="0" w:color="auto"/>
            </w:tcBorders>
          </w:tcPr>
          <w:p w14:paraId="75C4B29F" w14:textId="77777777" w:rsidR="00813A27" w:rsidRPr="00813A27" w:rsidRDefault="00813A27" w:rsidP="00813A27">
            <w:pPr>
              <w:jc w:val="center"/>
              <w:rPr>
                <w:rFonts w:eastAsia="Calibri"/>
                <w:b/>
                <w:sz w:val="20"/>
                <w:szCs w:val="20"/>
                <w:lang w:eastAsia="en-US"/>
              </w:rPr>
            </w:pPr>
          </w:p>
        </w:tc>
        <w:tc>
          <w:tcPr>
            <w:tcW w:w="1340" w:type="dxa"/>
            <w:tcBorders>
              <w:top w:val="nil"/>
              <w:left w:val="single" w:sz="4" w:space="0" w:color="auto"/>
              <w:bottom w:val="single" w:sz="4" w:space="0" w:color="auto"/>
              <w:right w:val="single" w:sz="4" w:space="0" w:color="auto"/>
            </w:tcBorders>
          </w:tcPr>
          <w:p w14:paraId="160575A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w:t>
            </w:r>
          </w:p>
        </w:tc>
        <w:tc>
          <w:tcPr>
            <w:tcW w:w="1194" w:type="dxa"/>
            <w:tcBorders>
              <w:top w:val="nil"/>
              <w:left w:val="single" w:sz="4" w:space="0" w:color="auto"/>
              <w:bottom w:val="single" w:sz="4" w:space="0" w:color="auto"/>
              <w:right w:val="single" w:sz="4" w:space="0" w:color="auto"/>
            </w:tcBorders>
          </w:tcPr>
          <w:p w14:paraId="6A7F2CC1" w14:textId="77777777" w:rsidR="00813A27" w:rsidRPr="00813A27" w:rsidRDefault="00813A27" w:rsidP="00813A27">
            <w:pPr>
              <w:jc w:val="center"/>
              <w:rPr>
                <w:rFonts w:eastAsia="Calibri"/>
                <w:sz w:val="20"/>
                <w:szCs w:val="20"/>
                <w:lang w:eastAsia="en-US"/>
              </w:rPr>
            </w:pPr>
          </w:p>
        </w:tc>
        <w:tc>
          <w:tcPr>
            <w:tcW w:w="1194" w:type="dxa"/>
            <w:tcBorders>
              <w:top w:val="nil"/>
              <w:left w:val="single" w:sz="4" w:space="0" w:color="auto"/>
              <w:bottom w:val="single" w:sz="4" w:space="0" w:color="auto"/>
              <w:right w:val="single" w:sz="4" w:space="0" w:color="auto"/>
            </w:tcBorders>
          </w:tcPr>
          <w:p w14:paraId="2BE4E4F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14.76</w:t>
            </w:r>
          </w:p>
        </w:tc>
        <w:tc>
          <w:tcPr>
            <w:tcW w:w="1194" w:type="dxa"/>
            <w:tcBorders>
              <w:top w:val="nil"/>
              <w:left w:val="single" w:sz="4" w:space="0" w:color="auto"/>
              <w:bottom w:val="single" w:sz="4" w:space="0" w:color="auto"/>
              <w:right w:val="single" w:sz="4" w:space="0" w:color="auto"/>
            </w:tcBorders>
          </w:tcPr>
          <w:p w14:paraId="072FE2EC" w14:textId="77777777" w:rsidR="00813A27" w:rsidRPr="00813A27" w:rsidRDefault="00813A27" w:rsidP="00813A27">
            <w:pPr>
              <w:jc w:val="center"/>
              <w:rPr>
                <w:rFonts w:eastAsia="Calibri"/>
                <w:sz w:val="20"/>
                <w:szCs w:val="20"/>
                <w:lang w:eastAsia="en-US"/>
              </w:rPr>
            </w:pPr>
          </w:p>
        </w:tc>
        <w:tc>
          <w:tcPr>
            <w:tcW w:w="1194" w:type="dxa"/>
            <w:tcBorders>
              <w:top w:val="nil"/>
              <w:left w:val="single" w:sz="4" w:space="0" w:color="auto"/>
              <w:bottom w:val="single" w:sz="4" w:space="0" w:color="auto"/>
              <w:right w:val="single" w:sz="4" w:space="0" w:color="auto"/>
            </w:tcBorders>
          </w:tcPr>
          <w:p w14:paraId="5321246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14.74</w:t>
            </w:r>
          </w:p>
        </w:tc>
      </w:tr>
      <w:tr w:rsidR="00813A27" w:rsidRPr="00813A27" w14:paraId="0D5EC135" w14:textId="77777777" w:rsidTr="002B3A4F">
        <w:trPr>
          <w:jc w:val="center"/>
        </w:trPr>
        <w:tc>
          <w:tcPr>
            <w:tcW w:w="6817" w:type="dxa"/>
            <w:gridSpan w:val="6"/>
            <w:tcBorders>
              <w:left w:val="nil"/>
              <w:bottom w:val="nil"/>
              <w:right w:val="nil"/>
            </w:tcBorders>
          </w:tcPr>
          <w:p w14:paraId="3008B439" w14:textId="77777777" w:rsidR="00813A27" w:rsidRPr="00813A27" w:rsidRDefault="00813A27" w:rsidP="00813A27">
            <w:pPr>
              <w:jc w:val="both"/>
              <w:rPr>
                <w:rFonts w:eastAsia="Calibri"/>
                <w:sz w:val="20"/>
                <w:szCs w:val="20"/>
                <w:lang w:eastAsia="en-US"/>
              </w:rPr>
            </w:pPr>
            <w:r w:rsidRPr="00813A27">
              <w:rPr>
                <w:rFonts w:eastAsia="Calibri"/>
                <w:sz w:val="20"/>
                <w:szCs w:val="20"/>
                <w:u w:val="single"/>
                <w:lang w:eastAsia="en-US"/>
              </w:rPr>
              <w:t>1</w:t>
            </w:r>
            <w:r w:rsidRPr="00813A27">
              <w:rPr>
                <w:rFonts w:eastAsia="Calibri"/>
                <w:sz w:val="20"/>
                <w:szCs w:val="20"/>
                <w:lang w:eastAsia="en-US"/>
              </w:rPr>
              <w:t>/ Para diciembre se refiere a la expectativa al cierre del año.</w:t>
            </w:r>
          </w:p>
          <w:p w14:paraId="58F6C134"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0726D584" w14:textId="77777777" w:rsidR="00813A27" w:rsidRPr="00813A27" w:rsidRDefault="00813A27" w:rsidP="00813A27">
      <w:pPr>
        <w:spacing w:after="360" w:line="360" w:lineRule="auto"/>
        <w:ind w:right="-159"/>
        <w:jc w:val="both"/>
        <w:rPr>
          <w:rFonts w:eastAsia="Calibri"/>
          <w:sz w:val="26"/>
          <w:szCs w:val="26"/>
          <w:lang w:eastAsia="en-US"/>
        </w:rPr>
      </w:pPr>
    </w:p>
    <w:p w14:paraId="77D9D276" w14:textId="77777777" w:rsidR="00813A27" w:rsidRPr="00813A27" w:rsidRDefault="00813A27" w:rsidP="00813A27">
      <w:pPr>
        <w:spacing w:after="360" w:line="360" w:lineRule="auto"/>
        <w:ind w:right="-159"/>
        <w:jc w:val="both"/>
        <w:rPr>
          <w:rFonts w:eastAsia="Calibri"/>
          <w:sz w:val="26"/>
          <w:szCs w:val="26"/>
          <w:lang w:eastAsia="en-US"/>
        </w:rPr>
      </w:pPr>
    </w:p>
    <w:p w14:paraId="7A6BEAD4"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Mercado laboral</w:t>
      </w:r>
    </w:p>
    <w:p w14:paraId="191CD1DC"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Las variaciones previstas por los analistas en cuanto al número de trabajadores asegurados en el Instituto Mexicano del Seguro Social (IMSS) (permanentes y eventuales urbanos) para los cierres de 2015 y de 2016 se mantuvieron en niveles similares a los reportados en la encuesta de febrero (ver el cuadro </w:t>
      </w:r>
      <w:r w:rsidRPr="00813A27">
        <w:rPr>
          <w:rFonts w:eastAsia="Calibri"/>
          <w:i/>
          <w:sz w:val="26"/>
          <w:szCs w:val="26"/>
          <w:lang w:eastAsia="en-US"/>
        </w:rPr>
        <w:t>Expectativas de variación anual en el número de trabajadores asegurados en el IMSS</w:t>
      </w:r>
      <w:r w:rsidRPr="00813A27">
        <w:rPr>
          <w:rFonts w:eastAsia="Calibri"/>
          <w:sz w:val="26"/>
          <w:szCs w:val="26"/>
          <w:lang w:eastAsia="en-US"/>
        </w:rPr>
        <w:t xml:space="preserve"> y las gráficas </w:t>
      </w:r>
      <w:r w:rsidRPr="00813A27">
        <w:rPr>
          <w:rFonts w:eastAsia="Calibri"/>
          <w:i/>
          <w:sz w:val="26"/>
          <w:szCs w:val="26"/>
          <w:lang w:eastAsia="en-US"/>
        </w:rPr>
        <w:t>Expectativas de variación en el número de trabajadores asegurados en el IMSS para 2015 y 2016</w:t>
      </w:r>
      <w:r w:rsidRPr="00813A27">
        <w:rPr>
          <w:rFonts w:eastAsia="Calibri"/>
          <w:sz w:val="26"/>
          <w:szCs w:val="26"/>
          <w:lang w:eastAsia="en-US"/>
        </w:rPr>
        <w:t xml:space="preserve">). El cuadro </w:t>
      </w:r>
      <w:r w:rsidRPr="00813A27">
        <w:rPr>
          <w:rFonts w:eastAsia="Calibri"/>
          <w:i/>
          <w:sz w:val="26"/>
          <w:szCs w:val="26"/>
          <w:lang w:eastAsia="en-US"/>
        </w:rPr>
        <w:t>Expectativas de la tasa de desocupación nacional</w:t>
      </w:r>
      <w:r w:rsidRPr="00813A27">
        <w:rPr>
          <w:rFonts w:eastAsia="Calibri"/>
          <w:sz w:val="26"/>
          <w:szCs w:val="26"/>
          <w:lang w:eastAsia="en-US"/>
        </w:rPr>
        <w:t xml:space="preserve"> presenta las expectativas de la tasa de desocupación nacional para 2015 y 2016. Puede apreciarse que las expectativas sobre la tasa de desocupación nacional para los cierres de 2015 y 2016 permanecieron cercanas a las del mes previo, si bien la mediana de los pronósticos para el cierre de 2016 aumentó (ver las gráficas </w:t>
      </w:r>
      <w:r w:rsidRPr="00813A27">
        <w:rPr>
          <w:rFonts w:eastAsia="Calibri"/>
          <w:i/>
          <w:sz w:val="26"/>
          <w:szCs w:val="26"/>
          <w:lang w:eastAsia="en-US"/>
        </w:rPr>
        <w:t>Expectativas de la tasa de desocupación nacional para 2015 y 2016</w:t>
      </w:r>
      <w:r w:rsidRPr="00813A27">
        <w:rPr>
          <w:rFonts w:eastAsia="Calibri"/>
          <w:sz w:val="26"/>
          <w:szCs w:val="26"/>
          <w:lang w:eastAsia="en-US"/>
        </w:rPr>
        <w:t xml:space="preserve">). </w:t>
      </w:r>
    </w:p>
    <w:tbl>
      <w:tblPr>
        <w:tblW w:w="0" w:type="auto"/>
        <w:jc w:val="center"/>
        <w:tblLook w:val="04A0" w:firstRow="1" w:lastRow="0" w:firstColumn="1" w:lastColumn="0" w:noHBand="0" w:noVBand="1"/>
      </w:tblPr>
      <w:tblGrid>
        <w:gridCol w:w="1293"/>
        <w:gridCol w:w="1194"/>
        <w:gridCol w:w="1194"/>
        <w:gridCol w:w="1194"/>
        <w:gridCol w:w="1194"/>
      </w:tblGrid>
      <w:tr w:rsidR="00813A27" w:rsidRPr="00813A27" w14:paraId="6523C661" w14:textId="77777777" w:rsidTr="00A65300">
        <w:trPr>
          <w:jc w:val="center"/>
        </w:trPr>
        <w:tc>
          <w:tcPr>
            <w:tcW w:w="6069" w:type="dxa"/>
            <w:gridSpan w:val="5"/>
            <w:tcBorders>
              <w:top w:val="nil"/>
              <w:left w:val="nil"/>
              <w:bottom w:val="single" w:sz="4" w:space="0" w:color="auto"/>
              <w:right w:val="nil"/>
            </w:tcBorders>
          </w:tcPr>
          <w:p w14:paraId="01ABAEBB"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DE VARIACIÓN ANUAL EN EL NÚMERO DE TRABAJADORES ASEGURADOS EN EL IMSS</w:t>
            </w:r>
          </w:p>
          <w:p w14:paraId="325AEC30"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-Miles de personas-</w:t>
            </w:r>
          </w:p>
        </w:tc>
      </w:tr>
      <w:tr w:rsidR="00813A27" w:rsidRPr="00813A27" w14:paraId="7111A67B" w14:textId="77777777" w:rsidTr="00A65300">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287E5905"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229F03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6DF1D1F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6EAEA430" w14:textId="77777777" w:rsidTr="00A65300">
        <w:trPr>
          <w:trHeight w:val="274"/>
          <w:jc w:val="center"/>
        </w:trPr>
        <w:tc>
          <w:tcPr>
            <w:tcW w:w="1293" w:type="dxa"/>
            <w:vMerge/>
            <w:tcBorders>
              <w:top w:val="single" w:sz="4" w:space="0" w:color="auto"/>
              <w:left w:val="single" w:sz="4" w:space="0" w:color="auto"/>
              <w:bottom w:val="single" w:sz="4" w:space="0" w:color="auto"/>
              <w:right w:val="single" w:sz="4" w:space="0" w:color="auto"/>
            </w:tcBorders>
          </w:tcPr>
          <w:p w14:paraId="4D2CB94A"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47CD286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2494773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1F44E67F"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3CDDC783"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233BD30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491B25E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318A0CE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181CADD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3A8480FC" w14:textId="77777777" w:rsidTr="00A65300">
        <w:trPr>
          <w:jc w:val="center"/>
        </w:trPr>
        <w:tc>
          <w:tcPr>
            <w:tcW w:w="1293" w:type="dxa"/>
            <w:tcBorders>
              <w:top w:val="single" w:sz="4" w:space="0" w:color="auto"/>
              <w:left w:val="single" w:sz="4" w:space="0" w:color="auto"/>
              <w:right w:val="single" w:sz="4" w:space="0" w:color="auto"/>
            </w:tcBorders>
          </w:tcPr>
          <w:p w14:paraId="314B5920"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32A6E2F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688</w:t>
            </w:r>
          </w:p>
        </w:tc>
        <w:tc>
          <w:tcPr>
            <w:tcW w:w="1194" w:type="dxa"/>
            <w:tcBorders>
              <w:top w:val="single" w:sz="4" w:space="0" w:color="auto"/>
              <w:left w:val="single" w:sz="4" w:space="0" w:color="auto"/>
              <w:right w:val="single" w:sz="4" w:space="0" w:color="auto"/>
            </w:tcBorders>
          </w:tcPr>
          <w:p w14:paraId="475CE18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684</w:t>
            </w:r>
          </w:p>
        </w:tc>
        <w:tc>
          <w:tcPr>
            <w:tcW w:w="1194" w:type="dxa"/>
            <w:tcBorders>
              <w:top w:val="single" w:sz="4" w:space="0" w:color="auto"/>
              <w:left w:val="single" w:sz="4" w:space="0" w:color="auto"/>
              <w:right w:val="single" w:sz="4" w:space="0" w:color="auto"/>
            </w:tcBorders>
          </w:tcPr>
          <w:p w14:paraId="51442DA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681</w:t>
            </w:r>
          </w:p>
        </w:tc>
        <w:tc>
          <w:tcPr>
            <w:tcW w:w="1194" w:type="dxa"/>
            <w:tcBorders>
              <w:top w:val="single" w:sz="4" w:space="0" w:color="auto"/>
              <w:left w:val="single" w:sz="4" w:space="0" w:color="auto"/>
              <w:right w:val="single" w:sz="4" w:space="0" w:color="auto"/>
            </w:tcBorders>
          </w:tcPr>
          <w:p w14:paraId="3F97B84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675</w:t>
            </w:r>
          </w:p>
        </w:tc>
      </w:tr>
      <w:tr w:rsidR="00813A27" w:rsidRPr="00813A27" w14:paraId="558BCEB7" w14:textId="77777777" w:rsidTr="00A65300">
        <w:trPr>
          <w:jc w:val="center"/>
        </w:trPr>
        <w:tc>
          <w:tcPr>
            <w:tcW w:w="1293" w:type="dxa"/>
            <w:tcBorders>
              <w:left w:val="single" w:sz="4" w:space="0" w:color="auto"/>
              <w:bottom w:val="single" w:sz="4" w:space="0" w:color="auto"/>
              <w:right w:val="single" w:sz="4" w:space="0" w:color="auto"/>
            </w:tcBorders>
          </w:tcPr>
          <w:p w14:paraId="0855288E"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46017D5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744</w:t>
            </w:r>
          </w:p>
        </w:tc>
        <w:tc>
          <w:tcPr>
            <w:tcW w:w="1194" w:type="dxa"/>
            <w:tcBorders>
              <w:left w:val="single" w:sz="4" w:space="0" w:color="auto"/>
              <w:bottom w:val="single" w:sz="4" w:space="0" w:color="auto"/>
              <w:right w:val="single" w:sz="4" w:space="0" w:color="auto"/>
            </w:tcBorders>
          </w:tcPr>
          <w:p w14:paraId="4233585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736</w:t>
            </w:r>
          </w:p>
        </w:tc>
        <w:tc>
          <w:tcPr>
            <w:tcW w:w="1194" w:type="dxa"/>
            <w:tcBorders>
              <w:left w:val="single" w:sz="4" w:space="0" w:color="auto"/>
              <w:bottom w:val="single" w:sz="4" w:space="0" w:color="auto"/>
              <w:right w:val="single" w:sz="4" w:space="0" w:color="auto"/>
            </w:tcBorders>
          </w:tcPr>
          <w:p w14:paraId="46CFD4B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742</w:t>
            </w:r>
          </w:p>
        </w:tc>
        <w:tc>
          <w:tcPr>
            <w:tcW w:w="1194" w:type="dxa"/>
            <w:tcBorders>
              <w:left w:val="single" w:sz="4" w:space="0" w:color="auto"/>
              <w:bottom w:val="single" w:sz="4" w:space="0" w:color="auto"/>
              <w:right w:val="single" w:sz="4" w:space="0" w:color="auto"/>
            </w:tcBorders>
          </w:tcPr>
          <w:p w14:paraId="2E217B8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718</w:t>
            </w:r>
          </w:p>
        </w:tc>
      </w:tr>
      <w:tr w:rsidR="00813A27" w:rsidRPr="00813A27" w14:paraId="099CC913" w14:textId="77777777" w:rsidTr="002B3A4F">
        <w:trPr>
          <w:jc w:val="center"/>
        </w:trPr>
        <w:tc>
          <w:tcPr>
            <w:tcW w:w="6069" w:type="dxa"/>
            <w:gridSpan w:val="5"/>
            <w:tcBorders>
              <w:left w:val="nil"/>
              <w:bottom w:val="nil"/>
              <w:right w:val="nil"/>
            </w:tcBorders>
          </w:tcPr>
          <w:p w14:paraId="6F862DED"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5EDA87A3" w14:textId="77777777" w:rsidR="00813A27" w:rsidRPr="00813A27" w:rsidRDefault="00813A27" w:rsidP="00813A27">
      <w:pPr>
        <w:spacing w:after="360" w:line="360" w:lineRule="auto"/>
        <w:ind w:right="-159"/>
        <w:jc w:val="both"/>
        <w:rPr>
          <w:rFonts w:eastAsia="Calibri"/>
          <w:sz w:val="26"/>
          <w:szCs w:val="26"/>
          <w:lang w:eastAsia="en-US"/>
        </w:rPr>
      </w:pPr>
    </w:p>
    <w:p w14:paraId="009258BA"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II.pptx!572"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7C67E60" wp14:editId="14EB1B71">
            <wp:extent cx="3997325" cy="3144520"/>
            <wp:effectExtent l="0" t="0" r="3175" b="0"/>
            <wp:docPr id="1632" name="Imagen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7"/>
                    <pic:cNvPicPr>
                      <a:picLocks noChangeAspect="1" noChangeArrowheads="1"/>
                    </pic:cNvPicPr>
                  </pic:nvPicPr>
                  <pic:blipFill>
                    <a:blip r:embed="rId201" cstate="print">
                      <a:extLst>
                        <a:ext uri="{28A0092B-C50C-407E-A947-70E740481C1C}">
                          <a14:useLocalDpi xmlns:a14="http://schemas.microsoft.com/office/drawing/2010/main" val="0"/>
                        </a:ext>
                      </a:extLst>
                    </a:blip>
                    <a:srcRect l="8351" r="3967" b="8333"/>
                    <a:stretch>
                      <a:fillRect/>
                    </a:stretch>
                  </pic:blipFill>
                  <pic:spPr bwMode="auto">
                    <a:xfrm>
                      <a:off x="0" y="0"/>
                      <a:ext cx="3997325" cy="314452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09628940" w14:textId="77777777" w:rsidR="00813A27" w:rsidRPr="00813A27" w:rsidRDefault="00813A27" w:rsidP="00813A27">
      <w:pPr>
        <w:spacing w:after="160" w:line="259" w:lineRule="auto"/>
        <w:jc w:val="center"/>
        <w:rPr>
          <w:rFonts w:ascii="Calibri" w:eastAsia="Calibri" w:hAnsi="Calibri"/>
          <w:sz w:val="22"/>
          <w:szCs w:val="22"/>
          <w:lang w:eastAsia="en-US"/>
        </w:rPr>
      </w:pPr>
    </w:p>
    <w:p w14:paraId="2438202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II.pptx!605"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A888D8D" wp14:editId="03AB295A">
            <wp:extent cx="4015740" cy="3163570"/>
            <wp:effectExtent l="0" t="0" r="3810" b="0"/>
            <wp:docPr id="1633" name="Imagen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8"/>
                    <pic:cNvPicPr>
                      <a:picLocks noChangeAspect="1" noChangeArrowheads="1"/>
                    </pic:cNvPicPr>
                  </pic:nvPicPr>
                  <pic:blipFill>
                    <a:blip r:embed="rId202" cstate="print">
                      <a:extLst>
                        <a:ext uri="{28A0092B-C50C-407E-A947-70E740481C1C}">
                          <a14:useLocalDpi xmlns:a14="http://schemas.microsoft.com/office/drawing/2010/main" val="0"/>
                        </a:ext>
                      </a:extLst>
                    </a:blip>
                    <a:srcRect l="8768" r="3131" b="7777"/>
                    <a:stretch>
                      <a:fillRect/>
                    </a:stretch>
                  </pic:blipFill>
                  <pic:spPr bwMode="auto">
                    <a:xfrm>
                      <a:off x="0" y="0"/>
                      <a:ext cx="4015740"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1835B36D" w14:textId="77777777" w:rsidR="00813A27" w:rsidRPr="00813A27" w:rsidRDefault="00813A27" w:rsidP="00813A27">
      <w:pPr>
        <w:spacing w:after="360" w:line="360" w:lineRule="auto"/>
        <w:ind w:right="-159"/>
        <w:jc w:val="center"/>
        <w:rPr>
          <w:rFonts w:eastAsia="Calibri"/>
          <w:sz w:val="26"/>
          <w:szCs w:val="26"/>
          <w:lang w:eastAsia="en-US"/>
        </w:rPr>
      </w:pPr>
    </w:p>
    <w:p w14:paraId="5F310A1D" w14:textId="77777777" w:rsidR="00813A27" w:rsidRPr="00813A27" w:rsidRDefault="00813A27" w:rsidP="00813A27">
      <w:pPr>
        <w:spacing w:after="360" w:line="360" w:lineRule="auto"/>
        <w:ind w:right="-159"/>
        <w:jc w:val="center"/>
        <w:rPr>
          <w:rFonts w:eastAsia="Calibri"/>
          <w:sz w:val="26"/>
          <w:szCs w:val="26"/>
          <w:lang w:eastAsia="en-US"/>
        </w:rPr>
      </w:pPr>
    </w:p>
    <w:p w14:paraId="775DF4DA" w14:textId="77777777" w:rsidR="00813A27" w:rsidRPr="00813A27" w:rsidRDefault="00813A27" w:rsidP="00813A27">
      <w:pPr>
        <w:spacing w:after="360" w:line="360" w:lineRule="auto"/>
        <w:ind w:right="-159"/>
        <w:jc w:val="center"/>
        <w:rPr>
          <w:rFonts w:eastAsia="Calibri"/>
          <w:sz w:val="26"/>
          <w:szCs w:val="26"/>
          <w:lang w:eastAsia="en-US"/>
        </w:rPr>
      </w:pPr>
    </w:p>
    <w:tbl>
      <w:tblPr>
        <w:tblW w:w="0" w:type="auto"/>
        <w:jc w:val="center"/>
        <w:tblLook w:val="04A0" w:firstRow="1" w:lastRow="0" w:firstColumn="1" w:lastColumn="0" w:noHBand="0" w:noVBand="1"/>
      </w:tblPr>
      <w:tblGrid>
        <w:gridCol w:w="1199"/>
        <w:gridCol w:w="1194"/>
        <w:gridCol w:w="1194"/>
        <w:gridCol w:w="1194"/>
        <w:gridCol w:w="1194"/>
      </w:tblGrid>
      <w:tr w:rsidR="00813A27" w:rsidRPr="00813A27" w14:paraId="10F02610" w14:textId="77777777" w:rsidTr="00A65300">
        <w:trPr>
          <w:jc w:val="center"/>
        </w:trPr>
        <w:tc>
          <w:tcPr>
            <w:tcW w:w="5975" w:type="dxa"/>
            <w:gridSpan w:val="5"/>
            <w:tcBorders>
              <w:top w:val="nil"/>
              <w:left w:val="nil"/>
              <w:bottom w:val="single" w:sz="4" w:space="0" w:color="auto"/>
              <w:right w:val="nil"/>
            </w:tcBorders>
          </w:tcPr>
          <w:p w14:paraId="6A875085"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lastRenderedPageBreak/>
              <w:t>EXPECTATIVAS DE LA TASA DE DESOCUPACIÓN NACIONAL</w:t>
            </w:r>
          </w:p>
          <w:p w14:paraId="6428EBEF"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528E7156" w14:textId="77777777" w:rsidTr="00A65300">
        <w:trPr>
          <w:jc w:val="center"/>
        </w:trPr>
        <w:tc>
          <w:tcPr>
            <w:tcW w:w="1199" w:type="dxa"/>
            <w:vMerge w:val="restart"/>
            <w:tcBorders>
              <w:top w:val="single" w:sz="4" w:space="0" w:color="auto"/>
              <w:left w:val="single" w:sz="4" w:space="0" w:color="auto"/>
              <w:bottom w:val="single" w:sz="4" w:space="0" w:color="auto"/>
              <w:right w:val="single" w:sz="4" w:space="0" w:color="auto"/>
            </w:tcBorders>
          </w:tcPr>
          <w:p w14:paraId="67F0FF6A"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238369E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Cierre del año</w:t>
            </w:r>
          </w:p>
        </w:tc>
        <w:tc>
          <w:tcPr>
            <w:tcW w:w="2388" w:type="dxa"/>
            <w:gridSpan w:val="2"/>
            <w:tcBorders>
              <w:top w:val="single" w:sz="4" w:space="0" w:color="auto"/>
              <w:left w:val="single" w:sz="4" w:space="0" w:color="auto"/>
              <w:bottom w:val="single" w:sz="4" w:space="0" w:color="auto"/>
              <w:right w:val="single" w:sz="4" w:space="0" w:color="auto"/>
            </w:tcBorders>
          </w:tcPr>
          <w:p w14:paraId="0382F8C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Promedio del año</w:t>
            </w:r>
          </w:p>
        </w:tc>
      </w:tr>
      <w:tr w:rsidR="00813A27" w:rsidRPr="00813A27" w14:paraId="20CA7DB8" w14:textId="77777777" w:rsidTr="00A65300">
        <w:trPr>
          <w:jc w:val="center"/>
        </w:trPr>
        <w:tc>
          <w:tcPr>
            <w:tcW w:w="1199" w:type="dxa"/>
            <w:vMerge/>
            <w:tcBorders>
              <w:top w:val="single" w:sz="4" w:space="0" w:color="auto"/>
              <w:left w:val="single" w:sz="4" w:space="0" w:color="auto"/>
              <w:bottom w:val="single" w:sz="4" w:space="0" w:color="auto"/>
              <w:right w:val="single" w:sz="4" w:space="0" w:color="auto"/>
            </w:tcBorders>
          </w:tcPr>
          <w:p w14:paraId="3D9ECCEE"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028946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7FD1703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49FDC2B3" w14:textId="77777777" w:rsidTr="00A65300">
        <w:trPr>
          <w:jc w:val="center"/>
        </w:trPr>
        <w:tc>
          <w:tcPr>
            <w:tcW w:w="1199" w:type="dxa"/>
            <w:vMerge/>
            <w:tcBorders>
              <w:top w:val="single" w:sz="4" w:space="0" w:color="auto"/>
              <w:left w:val="single" w:sz="4" w:space="0" w:color="auto"/>
              <w:bottom w:val="single" w:sz="4" w:space="0" w:color="auto"/>
              <w:right w:val="single" w:sz="4" w:space="0" w:color="auto"/>
            </w:tcBorders>
          </w:tcPr>
          <w:p w14:paraId="1345B504"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743E24A1"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0F102DF3"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7ABF87A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20C53E8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56C32A1D" w14:textId="77777777" w:rsidTr="00A65300">
        <w:trPr>
          <w:jc w:val="center"/>
        </w:trPr>
        <w:tc>
          <w:tcPr>
            <w:tcW w:w="1199" w:type="dxa"/>
            <w:tcBorders>
              <w:top w:val="single" w:sz="4" w:space="0" w:color="auto"/>
              <w:left w:val="single" w:sz="4" w:space="0" w:color="auto"/>
              <w:right w:val="single" w:sz="4" w:space="0" w:color="auto"/>
            </w:tcBorders>
          </w:tcPr>
          <w:p w14:paraId="27232332"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0A0A0AA9"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3E47B289"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5F991400"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0EA122DD" w14:textId="77777777" w:rsidR="00813A27" w:rsidRPr="00813A27" w:rsidRDefault="00813A27" w:rsidP="00813A27">
            <w:pPr>
              <w:jc w:val="center"/>
              <w:rPr>
                <w:rFonts w:eastAsia="Calibri"/>
                <w:sz w:val="20"/>
                <w:szCs w:val="20"/>
                <w:lang w:eastAsia="en-US"/>
              </w:rPr>
            </w:pPr>
          </w:p>
        </w:tc>
      </w:tr>
      <w:tr w:rsidR="00813A27" w:rsidRPr="00813A27" w14:paraId="44FA1AC3" w14:textId="77777777" w:rsidTr="00A65300">
        <w:trPr>
          <w:jc w:val="center"/>
        </w:trPr>
        <w:tc>
          <w:tcPr>
            <w:tcW w:w="1199" w:type="dxa"/>
            <w:tcBorders>
              <w:left w:val="single" w:sz="4" w:space="0" w:color="auto"/>
              <w:right w:val="single" w:sz="4" w:space="0" w:color="auto"/>
            </w:tcBorders>
          </w:tcPr>
          <w:p w14:paraId="18336C5C" w14:textId="77777777" w:rsidR="00813A27" w:rsidRPr="00813A27" w:rsidRDefault="00813A27" w:rsidP="00813A27">
            <w:pPr>
              <w:tabs>
                <w:tab w:val="left" w:pos="1150"/>
              </w:tabs>
              <w:rPr>
                <w:rFonts w:eastAsia="Calibri"/>
                <w:sz w:val="20"/>
                <w:szCs w:val="20"/>
                <w:lang w:eastAsia="en-US"/>
              </w:rPr>
            </w:pPr>
            <w:r w:rsidRPr="00813A27">
              <w:rPr>
                <w:rFonts w:eastAsia="Calibri"/>
                <w:sz w:val="20"/>
                <w:szCs w:val="20"/>
                <w:lang w:eastAsia="en-US"/>
              </w:rPr>
              <w:t xml:space="preserve">     Media</w:t>
            </w:r>
          </w:p>
        </w:tc>
        <w:tc>
          <w:tcPr>
            <w:tcW w:w="1194" w:type="dxa"/>
            <w:tcBorders>
              <w:left w:val="single" w:sz="4" w:space="0" w:color="auto"/>
              <w:right w:val="single" w:sz="4" w:space="0" w:color="auto"/>
            </w:tcBorders>
          </w:tcPr>
          <w:p w14:paraId="07D0C663"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4.12</w:t>
            </w:r>
          </w:p>
        </w:tc>
        <w:tc>
          <w:tcPr>
            <w:tcW w:w="1194" w:type="dxa"/>
            <w:tcBorders>
              <w:left w:val="single" w:sz="4" w:space="0" w:color="auto"/>
              <w:right w:val="single" w:sz="4" w:space="0" w:color="auto"/>
            </w:tcBorders>
          </w:tcPr>
          <w:p w14:paraId="6F5789F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4.08</w:t>
            </w:r>
          </w:p>
        </w:tc>
        <w:tc>
          <w:tcPr>
            <w:tcW w:w="1194" w:type="dxa"/>
            <w:tcBorders>
              <w:left w:val="single" w:sz="4" w:space="0" w:color="auto"/>
              <w:right w:val="single" w:sz="4" w:space="0" w:color="auto"/>
            </w:tcBorders>
          </w:tcPr>
          <w:p w14:paraId="0C53FBC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4.54</w:t>
            </w:r>
          </w:p>
        </w:tc>
        <w:tc>
          <w:tcPr>
            <w:tcW w:w="1194" w:type="dxa"/>
            <w:tcBorders>
              <w:left w:val="single" w:sz="4" w:space="0" w:color="auto"/>
              <w:right w:val="single" w:sz="4" w:space="0" w:color="auto"/>
            </w:tcBorders>
          </w:tcPr>
          <w:p w14:paraId="0CEEECA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4.49</w:t>
            </w:r>
          </w:p>
        </w:tc>
      </w:tr>
      <w:tr w:rsidR="00813A27" w:rsidRPr="00813A27" w14:paraId="2CC4FF0A" w14:textId="77777777" w:rsidTr="00A65300">
        <w:trPr>
          <w:jc w:val="center"/>
        </w:trPr>
        <w:tc>
          <w:tcPr>
            <w:tcW w:w="1199" w:type="dxa"/>
            <w:tcBorders>
              <w:left w:val="single" w:sz="4" w:space="0" w:color="auto"/>
              <w:right w:val="single" w:sz="4" w:space="0" w:color="auto"/>
            </w:tcBorders>
          </w:tcPr>
          <w:p w14:paraId="49E17EFC"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Mediana</w:t>
            </w:r>
          </w:p>
        </w:tc>
        <w:tc>
          <w:tcPr>
            <w:tcW w:w="1194" w:type="dxa"/>
            <w:tcBorders>
              <w:left w:val="single" w:sz="4" w:space="0" w:color="auto"/>
              <w:right w:val="single" w:sz="4" w:space="0" w:color="auto"/>
            </w:tcBorders>
          </w:tcPr>
          <w:p w14:paraId="6AD162B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4.04</w:t>
            </w:r>
          </w:p>
        </w:tc>
        <w:tc>
          <w:tcPr>
            <w:tcW w:w="1194" w:type="dxa"/>
            <w:tcBorders>
              <w:left w:val="single" w:sz="4" w:space="0" w:color="auto"/>
              <w:right w:val="single" w:sz="4" w:space="0" w:color="auto"/>
            </w:tcBorders>
          </w:tcPr>
          <w:p w14:paraId="7DC4BFCC"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4.06</w:t>
            </w:r>
          </w:p>
        </w:tc>
        <w:tc>
          <w:tcPr>
            <w:tcW w:w="1194" w:type="dxa"/>
            <w:tcBorders>
              <w:left w:val="single" w:sz="4" w:space="0" w:color="auto"/>
              <w:right w:val="single" w:sz="4" w:space="0" w:color="auto"/>
            </w:tcBorders>
          </w:tcPr>
          <w:p w14:paraId="7FFEF3A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4.50</w:t>
            </w:r>
          </w:p>
        </w:tc>
        <w:tc>
          <w:tcPr>
            <w:tcW w:w="1194" w:type="dxa"/>
            <w:tcBorders>
              <w:left w:val="single" w:sz="4" w:space="0" w:color="auto"/>
              <w:right w:val="single" w:sz="4" w:space="0" w:color="auto"/>
            </w:tcBorders>
          </w:tcPr>
          <w:p w14:paraId="72D692A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4.50</w:t>
            </w:r>
          </w:p>
        </w:tc>
      </w:tr>
      <w:tr w:rsidR="00813A27" w:rsidRPr="00813A27" w14:paraId="7BBD7C2A" w14:textId="77777777" w:rsidTr="00A65300">
        <w:trPr>
          <w:jc w:val="center"/>
        </w:trPr>
        <w:tc>
          <w:tcPr>
            <w:tcW w:w="1199" w:type="dxa"/>
            <w:tcBorders>
              <w:left w:val="single" w:sz="4" w:space="0" w:color="auto"/>
              <w:right w:val="single" w:sz="4" w:space="0" w:color="auto"/>
            </w:tcBorders>
          </w:tcPr>
          <w:p w14:paraId="1C78EB8A"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right w:val="single" w:sz="4" w:space="0" w:color="auto"/>
            </w:tcBorders>
          </w:tcPr>
          <w:p w14:paraId="65F0DCDB"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6455A196"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4424E423" w14:textId="77777777" w:rsidR="00813A27" w:rsidRPr="00813A27" w:rsidRDefault="00813A27" w:rsidP="00813A27">
            <w:pPr>
              <w:jc w:val="center"/>
              <w:rPr>
                <w:rFonts w:eastAsia="Calibri"/>
                <w:sz w:val="20"/>
                <w:szCs w:val="20"/>
                <w:lang w:eastAsia="en-US"/>
              </w:rPr>
            </w:pPr>
          </w:p>
        </w:tc>
        <w:tc>
          <w:tcPr>
            <w:tcW w:w="1194" w:type="dxa"/>
            <w:tcBorders>
              <w:left w:val="single" w:sz="4" w:space="0" w:color="auto"/>
              <w:right w:val="single" w:sz="4" w:space="0" w:color="auto"/>
            </w:tcBorders>
          </w:tcPr>
          <w:p w14:paraId="5650FB17" w14:textId="77777777" w:rsidR="00813A27" w:rsidRPr="00813A27" w:rsidRDefault="00813A27" w:rsidP="00813A27">
            <w:pPr>
              <w:jc w:val="center"/>
              <w:rPr>
                <w:rFonts w:eastAsia="Calibri"/>
                <w:sz w:val="20"/>
                <w:szCs w:val="20"/>
                <w:lang w:eastAsia="en-US"/>
              </w:rPr>
            </w:pPr>
          </w:p>
        </w:tc>
      </w:tr>
      <w:tr w:rsidR="00813A27" w:rsidRPr="00813A27" w14:paraId="55154981" w14:textId="77777777" w:rsidTr="00A65300">
        <w:trPr>
          <w:jc w:val="center"/>
        </w:trPr>
        <w:tc>
          <w:tcPr>
            <w:tcW w:w="1199" w:type="dxa"/>
            <w:tcBorders>
              <w:left w:val="single" w:sz="4" w:space="0" w:color="auto"/>
              <w:right w:val="single" w:sz="4" w:space="0" w:color="auto"/>
            </w:tcBorders>
          </w:tcPr>
          <w:p w14:paraId="2F515D28" w14:textId="77777777" w:rsidR="00813A27" w:rsidRPr="00813A27" w:rsidRDefault="00813A27" w:rsidP="00813A27">
            <w:pPr>
              <w:tabs>
                <w:tab w:val="left" w:pos="1150"/>
              </w:tabs>
              <w:rPr>
                <w:rFonts w:eastAsia="Calibri"/>
                <w:sz w:val="20"/>
                <w:szCs w:val="20"/>
                <w:lang w:eastAsia="en-US"/>
              </w:rPr>
            </w:pPr>
            <w:r w:rsidRPr="00813A27">
              <w:rPr>
                <w:rFonts w:eastAsia="Calibri"/>
                <w:sz w:val="20"/>
                <w:szCs w:val="20"/>
                <w:lang w:eastAsia="en-US"/>
              </w:rPr>
              <w:t xml:space="preserve">     Media</w:t>
            </w:r>
          </w:p>
        </w:tc>
        <w:tc>
          <w:tcPr>
            <w:tcW w:w="1194" w:type="dxa"/>
            <w:tcBorders>
              <w:left w:val="single" w:sz="4" w:space="0" w:color="auto"/>
              <w:right w:val="single" w:sz="4" w:space="0" w:color="auto"/>
            </w:tcBorders>
          </w:tcPr>
          <w:p w14:paraId="5F6F91C9"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3.98</w:t>
            </w:r>
          </w:p>
        </w:tc>
        <w:tc>
          <w:tcPr>
            <w:tcW w:w="1194" w:type="dxa"/>
            <w:tcBorders>
              <w:left w:val="single" w:sz="4" w:space="0" w:color="auto"/>
              <w:right w:val="single" w:sz="4" w:space="0" w:color="auto"/>
            </w:tcBorders>
          </w:tcPr>
          <w:p w14:paraId="5638A615"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3.95</w:t>
            </w:r>
          </w:p>
        </w:tc>
        <w:tc>
          <w:tcPr>
            <w:tcW w:w="1194" w:type="dxa"/>
            <w:tcBorders>
              <w:left w:val="single" w:sz="4" w:space="0" w:color="auto"/>
              <w:right w:val="single" w:sz="4" w:space="0" w:color="auto"/>
            </w:tcBorders>
          </w:tcPr>
          <w:p w14:paraId="56485A3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4.34</w:t>
            </w:r>
          </w:p>
        </w:tc>
        <w:tc>
          <w:tcPr>
            <w:tcW w:w="1194" w:type="dxa"/>
            <w:tcBorders>
              <w:left w:val="single" w:sz="4" w:space="0" w:color="auto"/>
              <w:right w:val="single" w:sz="4" w:space="0" w:color="auto"/>
            </w:tcBorders>
          </w:tcPr>
          <w:p w14:paraId="30B9704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4.33</w:t>
            </w:r>
          </w:p>
        </w:tc>
      </w:tr>
      <w:tr w:rsidR="00813A27" w:rsidRPr="00813A27" w14:paraId="574956AC" w14:textId="77777777" w:rsidTr="00A65300">
        <w:trPr>
          <w:jc w:val="center"/>
        </w:trPr>
        <w:tc>
          <w:tcPr>
            <w:tcW w:w="1199" w:type="dxa"/>
            <w:tcBorders>
              <w:left w:val="single" w:sz="4" w:space="0" w:color="auto"/>
              <w:bottom w:val="single" w:sz="4" w:space="0" w:color="auto"/>
              <w:right w:val="single" w:sz="4" w:space="0" w:color="auto"/>
            </w:tcBorders>
          </w:tcPr>
          <w:p w14:paraId="2CB1C16A"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Mediana</w:t>
            </w:r>
          </w:p>
        </w:tc>
        <w:tc>
          <w:tcPr>
            <w:tcW w:w="1194" w:type="dxa"/>
            <w:tcBorders>
              <w:left w:val="single" w:sz="4" w:space="0" w:color="auto"/>
              <w:bottom w:val="single" w:sz="4" w:space="0" w:color="auto"/>
              <w:right w:val="single" w:sz="4" w:space="0" w:color="auto"/>
            </w:tcBorders>
          </w:tcPr>
          <w:p w14:paraId="3A55DA6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3.95</w:t>
            </w:r>
          </w:p>
        </w:tc>
        <w:tc>
          <w:tcPr>
            <w:tcW w:w="1194" w:type="dxa"/>
            <w:tcBorders>
              <w:left w:val="single" w:sz="4" w:space="0" w:color="auto"/>
              <w:bottom w:val="single" w:sz="4" w:space="0" w:color="auto"/>
              <w:right w:val="single" w:sz="4" w:space="0" w:color="auto"/>
            </w:tcBorders>
          </w:tcPr>
          <w:p w14:paraId="0AA83B32"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4.00</w:t>
            </w:r>
          </w:p>
        </w:tc>
        <w:tc>
          <w:tcPr>
            <w:tcW w:w="1194" w:type="dxa"/>
            <w:tcBorders>
              <w:left w:val="single" w:sz="4" w:space="0" w:color="auto"/>
              <w:bottom w:val="single" w:sz="4" w:space="0" w:color="auto"/>
              <w:right w:val="single" w:sz="4" w:space="0" w:color="auto"/>
            </w:tcBorders>
          </w:tcPr>
          <w:p w14:paraId="72F3B338"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4.32</w:t>
            </w:r>
          </w:p>
        </w:tc>
        <w:tc>
          <w:tcPr>
            <w:tcW w:w="1194" w:type="dxa"/>
            <w:tcBorders>
              <w:left w:val="single" w:sz="4" w:space="0" w:color="auto"/>
              <w:bottom w:val="single" w:sz="4" w:space="0" w:color="auto"/>
              <w:right w:val="single" w:sz="4" w:space="0" w:color="auto"/>
            </w:tcBorders>
          </w:tcPr>
          <w:p w14:paraId="0A2F652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4.30</w:t>
            </w:r>
          </w:p>
        </w:tc>
      </w:tr>
      <w:tr w:rsidR="00813A27" w:rsidRPr="00813A27" w14:paraId="0DB9E7E2" w14:textId="77777777" w:rsidTr="002B3A4F">
        <w:trPr>
          <w:jc w:val="center"/>
        </w:trPr>
        <w:tc>
          <w:tcPr>
            <w:tcW w:w="5975" w:type="dxa"/>
            <w:gridSpan w:val="5"/>
            <w:tcBorders>
              <w:left w:val="nil"/>
              <w:bottom w:val="nil"/>
              <w:right w:val="nil"/>
            </w:tcBorders>
          </w:tcPr>
          <w:p w14:paraId="338EF0D5"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30018E09" w14:textId="77777777" w:rsidR="00813A27" w:rsidRPr="00813A27" w:rsidRDefault="00813A27" w:rsidP="00813A27">
      <w:pPr>
        <w:spacing w:after="360" w:line="360" w:lineRule="auto"/>
        <w:ind w:right="-159"/>
        <w:jc w:val="center"/>
        <w:rPr>
          <w:rFonts w:eastAsia="Calibri"/>
          <w:sz w:val="26"/>
          <w:szCs w:val="26"/>
          <w:lang w:eastAsia="en-US"/>
        </w:rPr>
      </w:pPr>
    </w:p>
    <w:p w14:paraId="46B2CD4E"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II.pptx!574"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585E0DFA" wp14:editId="2B4B1713">
            <wp:extent cx="4015740" cy="3256280"/>
            <wp:effectExtent l="0" t="0" r="3810" b="1270"/>
            <wp:docPr id="1634" name="Imagen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4"/>
                    <pic:cNvPicPr>
                      <a:picLocks noChangeAspect="1" noChangeArrowheads="1"/>
                    </pic:cNvPicPr>
                  </pic:nvPicPr>
                  <pic:blipFill>
                    <a:blip r:embed="rId203" cstate="print">
                      <a:extLst>
                        <a:ext uri="{28A0092B-C50C-407E-A947-70E740481C1C}">
                          <a14:useLocalDpi xmlns:a14="http://schemas.microsoft.com/office/drawing/2010/main" val="0"/>
                        </a:ext>
                      </a:extLst>
                    </a:blip>
                    <a:srcRect l="8351" t="2222" r="3549" b="2777"/>
                    <a:stretch>
                      <a:fillRect/>
                    </a:stretch>
                  </pic:blipFill>
                  <pic:spPr bwMode="auto">
                    <a:xfrm>
                      <a:off x="0" y="0"/>
                      <a:ext cx="4015740" cy="325628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547B019A" w14:textId="77777777" w:rsidR="00813A27" w:rsidRPr="00813A27" w:rsidRDefault="00813A27" w:rsidP="00813A27">
      <w:pPr>
        <w:spacing w:after="160" w:line="259" w:lineRule="auto"/>
        <w:jc w:val="center"/>
        <w:rPr>
          <w:rFonts w:ascii="Calibri" w:eastAsia="Calibri" w:hAnsi="Calibri"/>
          <w:sz w:val="22"/>
          <w:szCs w:val="22"/>
          <w:lang w:eastAsia="en-US"/>
        </w:rPr>
      </w:pPr>
    </w:p>
    <w:p w14:paraId="0DF949BD"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II.pptx!606"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AC0F2EA" wp14:editId="5733F1FE">
            <wp:extent cx="4053205" cy="3274695"/>
            <wp:effectExtent l="0" t="0" r="4445" b="1905"/>
            <wp:docPr id="1635" name="Imagen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5"/>
                    <pic:cNvPicPr>
                      <a:picLocks noChangeAspect="1" noChangeArrowheads="1"/>
                    </pic:cNvPicPr>
                  </pic:nvPicPr>
                  <pic:blipFill>
                    <a:blip r:embed="rId204" cstate="print">
                      <a:extLst>
                        <a:ext uri="{28A0092B-C50C-407E-A947-70E740481C1C}">
                          <a14:useLocalDpi xmlns:a14="http://schemas.microsoft.com/office/drawing/2010/main" val="0"/>
                        </a:ext>
                      </a:extLst>
                    </a:blip>
                    <a:srcRect l="7724" t="1666" r="3549" b="2777"/>
                    <a:stretch>
                      <a:fillRect/>
                    </a:stretch>
                  </pic:blipFill>
                  <pic:spPr bwMode="auto">
                    <a:xfrm>
                      <a:off x="0" y="0"/>
                      <a:ext cx="4053205" cy="327469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2F8E9481" w14:textId="77777777" w:rsidR="00813A27" w:rsidRPr="00813A27" w:rsidRDefault="00813A27" w:rsidP="00813A27">
      <w:pPr>
        <w:spacing w:after="360" w:line="360" w:lineRule="auto"/>
        <w:ind w:right="-159"/>
        <w:jc w:val="center"/>
        <w:rPr>
          <w:rFonts w:eastAsia="Calibri"/>
          <w:sz w:val="26"/>
          <w:szCs w:val="26"/>
          <w:lang w:eastAsia="en-US"/>
        </w:rPr>
      </w:pPr>
    </w:p>
    <w:p w14:paraId="0BE3DF39"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t>Finanzas Públicas</w:t>
      </w:r>
    </w:p>
    <w:p w14:paraId="3FF756B0"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Las expectativas referentes al déficit económico del sector público para los cierres de 2015 y 2016 se presentan en el cuadro </w:t>
      </w:r>
      <w:r w:rsidRPr="00813A27">
        <w:rPr>
          <w:rFonts w:eastAsia="Calibri"/>
          <w:i/>
          <w:sz w:val="26"/>
          <w:szCs w:val="26"/>
          <w:lang w:eastAsia="en-US"/>
        </w:rPr>
        <w:t xml:space="preserve">Expectativas sobre el Déficit Económico </w:t>
      </w:r>
      <w:r w:rsidRPr="00813A27">
        <w:rPr>
          <w:rFonts w:eastAsia="Calibri"/>
          <w:sz w:val="26"/>
          <w:szCs w:val="26"/>
          <w:lang w:eastAsia="en-US"/>
        </w:rPr>
        <w:t>y en las dos gráficas siguientes)</w:t>
      </w:r>
      <w:r w:rsidRPr="00813A27">
        <w:rPr>
          <w:rFonts w:eastAsia="Calibri"/>
          <w:i/>
          <w:sz w:val="26"/>
          <w:szCs w:val="26"/>
          <w:lang w:eastAsia="en-US"/>
        </w:rPr>
        <w:t xml:space="preserve">. </w:t>
      </w:r>
      <w:r w:rsidRPr="00813A27">
        <w:rPr>
          <w:rFonts w:eastAsia="Calibri"/>
          <w:sz w:val="26"/>
          <w:szCs w:val="26"/>
          <w:lang w:eastAsia="en-US"/>
        </w:rPr>
        <w:t>Las perspectivas de déficit económico para el cierre de 2015 disminuyeron en relación con la encuesta del mes previo, si bien la mediana de dichos pronósticos se mantuvo en el mismo nivel. Para el cierre de 2016, las previsiones de déficit económico permanecieron cercanas a las del mes anterior, si bien la mediana correspondiente disminuyó.</w:t>
      </w:r>
    </w:p>
    <w:tbl>
      <w:tblPr>
        <w:tblW w:w="0" w:type="auto"/>
        <w:jc w:val="center"/>
        <w:tblLook w:val="04A0" w:firstRow="1" w:lastRow="0" w:firstColumn="1" w:lastColumn="0" w:noHBand="0" w:noVBand="1"/>
      </w:tblPr>
      <w:tblGrid>
        <w:gridCol w:w="1293"/>
        <w:gridCol w:w="1194"/>
        <w:gridCol w:w="1194"/>
        <w:gridCol w:w="1194"/>
        <w:gridCol w:w="1194"/>
      </w:tblGrid>
      <w:tr w:rsidR="00813A27" w:rsidRPr="00813A27" w14:paraId="613923B6" w14:textId="77777777" w:rsidTr="00A65300">
        <w:trPr>
          <w:jc w:val="center"/>
        </w:trPr>
        <w:tc>
          <w:tcPr>
            <w:tcW w:w="6069" w:type="dxa"/>
            <w:gridSpan w:val="5"/>
            <w:tcBorders>
              <w:top w:val="nil"/>
              <w:left w:val="nil"/>
              <w:bottom w:val="single" w:sz="4" w:space="0" w:color="auto"/>
              <w:right w:val="nil"/>
            </w:tcBorders>
          </w:tcPr>
          <w:p w14:paraId="0EC574A2"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SOBRE EL DÉFICIT ECONÓMICO</w:t>
            </w:r>
          </w:p>
          <w:p w14:paraId="48182465"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-Porcentaje del PIB-</w:t>
            </w:r>
          </w:p>
        </w:tc>
      </w:tr>
      <w:tr w:rsidR="00813A27" w:rsidRPr="00813A27" w14:paraId="2B68E432" w14:textId="77777777" w:rsidTr="00A65300">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681BE1F8"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0B8D3A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1D9D022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4D119612"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72070AF5"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133C4D12"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0B656CF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40F6D86E"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36B70AAE"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27217C6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4AADF799"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0F00784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20142C5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5DF6BBB6" w14:textId="77777777" w:rsidTr="00A65300">
        <w:trPr>
          <w:jc w:val="center"/>
        </w:trPr>
        <w:tc>
          <w:tcPr>
            <w:tcW w:w="1293" w:type="dxa"/>
            <w:tcBorders>
              <w:top w:val="single" w:sz="4" w:space="0" w:color="auto"/>
              <w:left w:val="single" w:sz="4" w:space="0" w:color="auto"/>
              <w:right w:val="single" w:sz="4" w:space="0" w:color="auto"/>
            </w:tcBorders>
          </w:tcPr>
          <w:p w14:paraId="58D9DC56"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38E6AA0E"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3.47</w:t>
            </w:r>
          </w:p>
        </w:tc>
        <w:tc>
          <w:tcPr>
            <w:tcW w:w="1194" w:type="dxa"/>
            <w:tcBorders>
              <w:top w:val="single" w:sz="4" w:space="0" w:color="auto"/>
              <w:left w:val="single" w:sz="4" w:space="0" w:color="auto"/>
              <w:right w:val="single" w:sz="4" w:space="0" w:color="auto"/>
            </w:tcBorders>
          </w:tcPr>
          <w:p w14:paraId="0416BAA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3.39</w:t>
            </w:r>
          </w:p>
        </w:tc>
        <w:tc>
          <w:tcPr>
            <w:tcW w:w="1194" w:type="dxa"/>
            <w:tcBorders>
              <w:top w:val="single" w:sz="4" w:space="0" w:color="auto"/>
              <w:left w:val="single" w:sz="4" w:space="0" w:color="auto"/>
              <w:right w:val="single" w:sz="4" w:space="0" w:color="auto"/>
            </w:tcBorders>
          </w:tcPr>
          <w:p w14:paraId="77022FF0"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c>
          <w:tcPr>
            <w:tcW w:w="1194" w:type="dxa"/>
            <w:tcBorders>
              <w:top w:val="single" w:sz="4" w:space="0" w:color="auto"/>
              <w:left w:val="single" w:sz="4" w:space="0" w:color="auto"/>
              <w:right w:val="single" w:sz="4" w:space="0" w:color="auto"/>
            </w:tcBorders>
          </w:tcPr>
          <w:p w14:paraId="29F603A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3.50</w:t>
            </w:r>
          </w:p>
        </w:tc>
      </w:tr>
      <w:tr w:rsidR="00813A27" w:rsidRPr="00813A27" w14:paraId="05E8B8A2" w14:textId="77777777" w:rsidTr="00A65300">
        <w:trPr>
          <w:jc w:val="center"/>
        </w:trPr>
        <w:tc>
          <w:tcPr>
            <w:tcW w:w="1293" w:type="dxa"/>
            <w:tcBorders>
              <w:left w:val="single" w:sz="4" w:space="0" w:color="auto"/>
              <w:bottom w:val="single" w:sz="4" w:space="0" w:color="auto"/>
              <w:right w:val="single" w:sz="4" w:space="0" w:color="auto"/>
            </w:tcBorders>
          </w:tcPr>
          <w:p w14:paraId="5D8C2F19"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65F7C73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3.15</w:t>
            </w:r>
          </w:p>
        </w:tc>
        <w:tc>
          <w:tcPr>
            <w:tcW w:w="1194" w:type="dxa"/>
            <w:tcBorders>
              <w:left w:val="single" w:sz="4" w:space="0" w:color="auto"/>
              <w:bottom w:val="single" w:sz="4" w:space="0" w:color="auto"/>
              <w:right w:val="single" w:sz="4" w:space="0" w:color="auto"/>
            </w:tcBorders>
          </w:tcPr>
          <w:p w14:paraId="6DA19F5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3.13</w:t>
            </w:r>
          </w:p>
        </w:tc>
        <w:tc>
          <w:tcPr>
            <w:tcW w:w="1194" w:type="dxa"/>
            <w:tcBorders>
              <w:left w:val="single" w:sz="4" w:space="0" w:color="auto"/>
              <w:bottom w:val="single" w:sz="4" w:space="0" w:color="auto"/>
              <w:right w:val="single" w:sz="4" w:space="0" w:color="auto"/>
            </w:tcBorders>
          </w:tcPr>
          <w:p w14:paraId="6C6A555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3.05</w:t>
            </w:r>
          </w:p>
        </w:tc>
        <w:tc>
          <w:tcPr>
            <w:tcW w:w="1194" w:type="dxa"/>
            <w:tcBorders>
              <w:left w:val="single" w:sz="4" w:space="0" w:color="auto"/>
              <w:bottom w:val="single" w:sz="4" w:space="0" w:color="auto"/>
              <w:right w:val="single" w:sz="4" w:space="0" w:color="auto"/>
            </w:tcBorders>
          </w:tcPr>
          <w:p w14:paraId="465A0117"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3.00</w:t>
            </w:r>
          </w:p>
        </w:tc>
      </w:tr>
      <w:tr w:rsidR="00813A27" w:rsidRPr="00813A27" w14:paraId="3162849C" w14:textId="77777777" w:rsidTr="002B3A4F">
        <w:trPr>
          <w:jc w:val="center"/>
        </w:trPr>
        <w:tc>
          <w:tcPr>
            <w:tcW w:w="6069" w:type="dxa"/>
            <w:gridSpan w:val="5"/>
            <w:tcBorders>
              <w:left w:val="nil"/>
              <w:bottom w:val="nil"/>
              <w:right w:val="nil"/>
            </w:tcBorders>
          </w:tcPr>
          <w:p w14:paraId="4BFFDA32"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2B862359" w14:textId="77777777" w:rsidR="00813A27" w:rsidRPr="00813A27" w:rsidRDefault="00813A27" w:rsidP="00813A27">
      <w:pPr>
        <w:spacing w:after="360" w:line="360" w:lineRule="auto"/>
        <w:ind w:right="-159"/>
        <w:jc w:val="both"/>
        <w:rPr>
          <w:rFonts w:eastAsia="Calibri"/>
          <w:sz w:val="26"/>
          <w:szCs w:val="26"/>
          <w:lang w:eastAsia="en-US"/>
        </w:rPr>
      </w:pPr>
    </w:p>
    <w:p w14:paraId="5406DC88"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II.pptx!577"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ED78831" wp14:editId="2D90C7B9">
            <wp:extent cx="4058920" cy="3082925"/>
            <wp:effectExtent l="0" t="0" r="0" b="3175"/>
            <wp:docPr id="1636" name="Imagen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1"/>
                    <pic:cNvPicPr>
                      <a:picLocks noChangeAspect="1" noChangeArrowheads="1"/>
                    </pic:cNvPicPr>
                  </pic:nvPicPr>
                  <pic:blipFill>
                    <a:blip r:embed="rId205" cstate="print">
                      <a:extLst>
                        <a:ext uri="{28A0092B-C50C-407E-A947-70E740481C1C}">
                          <a14:useLocalDpi xmlns:a14="http://schemas.microsoft.com/office/drawing/2010/main" val="0"/>
                        </a:ext>
                      </a:extLst>
                    </a:blip>
                    <a:srcRect l="7933" r="3131" b="10001"/>
                    <a:stretch>
                      <a:fillRect/>
                    </a:stretch>
                  </pic:blipFill>
                  <pic:spPr bwMode="auto">
                    <a:xfrm>
                      <a:off x="0" y="0"/>
                      <a:ext cx="4058920" cy="308292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26472706" w14:textId="77777777" w:rsidR="00813A27" w:rsidRPr="00813A27" w:rsidRDefault="00813A27" w:rsidP="00813A27">
      <w:pPr>
        <w:spacing w:after="160" w:line="259" w:lineRule="auto"/>
        <w:jc w:val="center"/>
        <w:rPr>
          <w:rFonts w:ascii="Calibri" w:eastAsia="Calibri" w:hAnsi="Calibri"/>
          <w:sz w:val="22"/>
          <w:szCs w:val="22"/>
          <w:lang w:eastAsia="en-US"/>
        </w:rPr>
      </w:pPr>
    </w:p>
    <w:p w14:paraId="12B0CDF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264ACADE" wp14:editId="1E556524">
            <wp:extent cx="4176395" cy="3163570"/>
            <wp:effectExtent l="0" t="0" r="0" b="0"/>
            <wp:docPr id="1637" name="Imagen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2"/>
                    <pic:cNvPicPr>
                      <a:picLocks noChangeAspect="1" noChangeArrowheads="1"/>
                    </pic:cNvPicPr>
                  </pic:nvPicPr>
                  <pic:blipFill>
                    <a:blip r:embed="rId206" cstate="print">
                      <a:extLst>
                        <a:ext uri="{28A0092B-C50C-407E-A947-70E740481C1C}">
                          <a14:useLocalDpi xmlns:a14="http://schemas.microsoft.com/office/drawing/2010/main" val="0"/>
                        </a:ext>
                      </a:extLst>
                    </a:blip>
                    <a:srcRect l="6055" r="2505" b="7777"/>
                    <a:stretch>
                      <a:fillRect/>
                    </a:stretch>
                  </pic:blipFill>
                  <pic:spPr bwMode="auto">
                    <a:xfrm>
                      <a:off x="0" y="0"/>
                      <a:ext cx="4176395"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23D9A2AB" w14:textId="77777777" w:rsidR="00813A27" w:rsidRPr="00813A27" w:rsidRDefault="00813A27" w:rsidP="00813A27">
      <w:pPr>
        <w:spacing w:after="360" w:line="360" w:lineRule="auto"/>
        <w:ind w:right="-159"/>
        <w:jc w:val="center"/>
        <w:rPr>
          <w:rFonts w:eastAsia="Calibri"/>
          <w:noProof/>
          <w:sz w:val="26"/>
          <w:szCs w:val="26"/>
          <w:lang w:eastAsia="es-MX"/>
        </w:rPr>
      </w:pPr>
    </w:p>
    <w:p w14:paraId="6F424738" w14:textId="77777777" w:rsidR="00813A27" w:rsidRPr="00813A27" w:rsidRDefault="00813A27" w:rsidP="00813A27">
      <w:pPr>
        <w:spacing w:after="360" w:line="360" w:lineRule="auto"/>
        <w:ind w:right="-159"/>
        <w:jc w:val="center"/>
        <w:rPr>
          <w:rFonts w:eastAsia="Calibri"/>
          <w:noProof/>
          <w:sz w:val="26"/>
          <w:szCs w:val="26"/>
          <w:lang w:eastAsia="es-MX"/>
        </w:rPr>
      </w:pPr>
    </w:p>
    <w:p w14:paraId="5CB32C06" w14:textId="77777777" w:rsidR="00813A27" w:rsidRPr="00813A27" w:rsidRDefault="00813A27" w:rsidP="00813A27">
      <w:pPr>
        <w:spacing w:after="360" w:line="360" w:lineRule="auto"/>
        <w:ind w:right="-159"/>
        <w:jc w:val="center"/>
        <w:rPr>
          <w:rFonts w:eastAsia="Calibri"/>
          <w:noProof/>
          <w:sz w:val="26"/>
          <w:szCs w:val="26"/>
          <w:lang w:eastAsia="es-MX"/>
        </w:rPr>
      </w:pPr>
    </w:p>
    <w:p w14:paraId="60ACC59C"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Sector externo</w:t>
      </w:r>
    </w:p>
    <w:p w14:paraId="5F25CCEF" w14:textId="4FC6AAC6"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En el cuadro </w:t>
      </w:r>
      <w:r w:rsidRPr="00813A27">
        <w:rPr>
          <w:rFonts w:eastAsia="Calibri"/>
          <w:i/>
          <w:sz w:val="26"/>
          <w:szCs w:val="26"/>
          <w:lang w:eastAsia="en-US"/>
        </w:rPr>
        <w:t>Expectativas sobre el sector externo</w:t>
      </w:r>
      <w:r w:rsidRPr="00813A27">
        <w:rPr>
          <w:rFonts w:eastAsia="Calibri"/>
          <w:sz w:val="26"/>
          <w:szCs w:val="26"/>
          <w:lang w:eastAsia="en-US"/>
        </w:rPr>
        <w:t xml:space="preserve">, se reportan las expectativas para 2015 y 2016 del déficit de la balanza comercial, del déficit de la cuenta corriente y de los flujos de entrada de recursos por concepto de </w:t>
      </w:r>
      <w:r w:rsidR="004F5993">
        <w:rPr>
          <w:rFonts w:eastAsia="Calibri"/>
          <w:sz w:val="26"/>
          <w:szCs w:val="26"/>
          <w:lang w:eastAsia="en-US"/>
        </w:rPr>
        <w:t>I</w:t>
      </w:r>
      <w:r w:rsidRPr="00813A27">
        <w:rPr>
          <w:rFonts w:eastAsia="Calibri"/>
          <w:sz w:val="26"/>
          <w:szCs w:val="26"/>
          <w:lang w:eastAsia="en-US"/>
        </w:rPr>
        <w:t xml:space="preserve">nversión </w:t>
      </w:r>
      <w:r w:rsidR="004F5993">
        <w:rPr>
          <w:rFonts w:eastAsia="Calibri"/>
          <w:sz w:val="26"/>
          <w:szCs w:val="26"/>
          <w:lang w:eastAsia="en-US"/>
        </w:rPr>
        <w:t>E</w:t>
      </w:r>
      <w:r w:rsidRPr="00813A27">
        <w:rPr>
          <w:rFonts w:eastAsia="Calibri"/>
          <w:sz w:val="26"/>
          <w:szCs w:val="26"/>
          <w:lang w:eastAsia="en-US"/>
        </w:rPr>
        <w:t xml:space="preserve">xtranjera </w:t>
      </w:r>
      <w:r w:rsidR="004F5993">
        <w:rPr>
          <w:rFonts w:eastAsia="Calibri"/>
          <w:sz w:val="26"/>
          <w:szCs w:val="26"/>
          <w:lang w:eastAsia="en-US"/>
        </w:rPr>
        <w:t>D</w:t>
      </w:r>
      <w:r w:rsidRPr="00813A27">
        <w:rPr>
          <w:rFonts w:eastAsia="Calibri"/>
          <w:sz w:val="26"/>
          <w:szCs w:val="26"/>
          <w:lang w:eastAsia="en-US"/>
        </w:rPr>
        <w:t>irecta (IED).</w:t>
      </w:r>
    </w:p>
    <w:p w14:paraId="4833CFCE" w14:textId="6FF1AA0D"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 xml:space="preserve">Las expectativas de déficit comercial para 2015 y 2016 se revisaron al alza en relación con la encuesta de febrero. En lo que se refiere a las perspectivas de déficit de la cuenta corriente para 2015 y 2016, éstas también aumentaron con respecto a la encuesta precedente. Finalmente, las expectativas sobre los flujos de entrada de recursos por concepto de IED para 2015 disminuyeron con respecto a la encuesta anterior, si bien la mediana de los pronósticos se mantuvo en niveles similares. Para 2016, dichas perspectivas permanecieron cercanas a las registradas el mes previo, si bien la mediana correspondiente disminuyó. Las </w:t>
      </w:r>
      <w:r w:rsidR="004F5993">
        <w:rPr>
          <w:rFonts w:eastAsia="Calibri"/>
          <w:sz w:val="26"/>
          <w:szCs w:val="26"/>
          <w:lang w:eastAsia="en-US"/>
        </w:rPr>
        <w:t>seis</w:t>
      </w:r>
      <w:r w:rsidRPr="00813A27">
        <w:rPr>
          <w:rFonts w:eastAsia="Calibri"/>
          <w:sz w:val="26"/>
          <w:szCs w:val="26"/>
          <w:lang w:eastAsia="en-US"/>
        </w:rPr>
        <w:t xml:space="preserve"> Gráficas siguientes ilustran la tendencia reciente de las expectativas de las variables anteriores para los cierres de 2015 y 2016.</w:t>
      </w:r>
    </w:p>
    <w:tbl>
      <w:tblPr>
        <w:tblW w:w="0" w:type="auto"/>
        <w:jc w:val="center"/>
        <w:tblLook w:val="04A0" w:firstRow="1" w:lastRow="0" w:firstColumn="1" w:lastColumn="0" w:noHBand="0" w:noVBand="1"/>
      </w:tblPr>
      <w:tblGrid>
        <w:gridCol w:w="2806"/>
        <w:gridCol w:w="1161"/>
        <w:gridCol w:w="1275"/>
        <w:gridCol w:w="1194"/>
        <w:gridCol w:w="1193"/>
      </w:tblGrid>
      <w:tr w:rsidR="00813A27" w:rsidRPr="00813A27" w14:paraId="7AE125A8" w14:textId="77777777" w:rsidTr="00A65300">
        <w:trPr>
          <w:jc w:val="center"/>
        </w:trPr>
        <w:tc>
          <w:tcPr>
            <w:tcW w:w="7629" w:type="dxa"/>
            <w:gridSpan w:val="5"/>
            <w:tcBorders>
              <w:top w:val="nil"/>
              <w:left w:val="nil"/>
              <w:bottom w:val="single" w:sz="4" w:space="0" w:color="auto"/>
              <w:right w:val="nil"/>
            </w:tcBorders>
          </w:tcPr>
          <w:p w14:paraId="06B7E9A8"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EXPECTATIVAS SOBRE EL SECTOR EXTERNO</w:t>
            </w:r>
          </w:p>
          <w:p w14:paraId="588B8103"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-Millones de dólares-</w:t>
            </w:r>
          </w:p>
        </w:tc>
      </w:tr>
      <w:tr w:rsidR="00813A27" w:rsidRPr="00813A27" w14:paraId="033CC1DD" w14:textId="77777777" w:rsidTr="00A65300">
        <w:trPr>
          <w:jc w:val="center"/>
        </w:trPr>
        <w:tc>
          <w:tcPr>
            <w:tcW w:w="2806" w:type="dxa"/>
            <w:vMerge w:val="restart"/>
            <w:tcBorders>
              <w:top w:val="single" w:sz="4" w:space="0" w:color="auto"/>
              <w:left w:val="single" w:sz="4" w:space="0" w:color="auto"/>
              <w:bottom w:val="single" w:sz="4" w:space="0" w:color="auto"/>
              <w:right w:val="single" w:sz="4" w:space="0" w:color="auto"/>
            </w:tcBorders>
          </w:tcPr>
          <w:p w14:paraId="2A6E8882" w14:textId="77777777" w:rsidR="00813A27" w:rsidRPr="00813A27" w:rsidRDefault="00813A27" w:rsidP="00813A27">
            <w:pPr>
              <w:jc w:val="center"/>
              <w:rPr>
                <w:rFonts w:eastAsia="Calibri"/>
                <w:b/>
                <w:sz w:val="20"/>
                <w:szCs w:val="20"/>
                <w:lang w:eastAsia="en-US"/>
              </w:rPr>
            </w:pPr>
          </w:p>
        </w:tc>
        <w:tc>
          <w:tcPr>
            <w:tcW w:w="2436" w:type="dxa"/>
            <w:gridSpan w:val="2"/>
            <w:tcBorders>
              <w:top w:val="single" w:sz="4" w:space="0" w:color="auto"/>
              <w:left w:val="single" w:sz="4" w:space="0" w:color="auto"/>
              <w:bottom w:val="single" w:sz="4" w:space="0" w:color="auto"/>
              <w:right w:val="single" w:sz="4" w:space="0" w:color="auto"/>
            </w:tcBorders>
          </w:tcPr>
          <w:p w14:paraId="6D779B0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7" w:type="dxa"/>
            <w:gridSpan w:val="2"/>
            <w:tcBorders>
              <w:top w:val="single" w:sz="4" w:space="0" w:color="auto"/>
              <w:left w:val="single" w:sz="4" w:space="0" w:color="auto"/>
              <w:bottom w:val="single" w:sz="4" w:space="0" w:color="auto"/>
              <w:right w:val="single" w:sz="4" w:space="0" w:color="auto"/>
            </w:tcBorders>
          </w:tcPr>
          <w:p w14:paraId="2084019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289D0115" w14:textId="77777777" w:rsidTr="00A65300">
        <w:trPr>
          <w:jc w:val="center"/>
        </w:trPr>
        <w:tc>
          <w:tcPr>
            <w:tcW w:w="2806" w:type="dxa"/>
            <w:vMerge/>
            <w:tcBorders>
              <w:top w:val="single" w:sz="4" w:space="0" w:color="auto"/>
              <w:left w:val="single" w:sz="4" w:space="0" w:color="auto"/>
              <w:bottom w:val="single" w:sz="4" w:space="0" w:color="auto"/>
              <w:right w:val="single" w:sz="4" w:space="0" w:color="auto"/>
            </w:tcBorders>
          </w:tcPr>
          <w:p w14:paraId="4CE5F8E0" w14:textId="77777777" w:rsidR="00813A27" w:rsidRPr="00813A27" w:rsidRDefault="00813A27" w:rsidP="00813A27">
            <w:pPr>
              <w:jc w:val="center"/>
              <w:rPr>
                <w:rFonts w:eastAsia="Calibri"/>
                <w:b/>
                <w:sz w:val="20"/>
                <w:szCs w:val="20"/>
                <w:lang w:eastAsia="en-US"/>
              </w:rPr>
            </w:pPr>
          </w:p>
        </w:tc>
        <w:tc>
          <w:tcPr>
            <w:tcW w:w="2436" w:type="dxa"/>
            <w:gridSpan w:val="2"/>
            <w:tcBorders>
              <w:top w:val="single" w:sz="4" w:space="0" w:color="auto"/>
              <w:left w:val="single" w:sz="4" w:space="0" w:color="auto"/>
              <w:bottom w:val="single" w:sz="4" w:space="0" w:color="auto"/>
              <w:right w:val="single" w:sz="4" w:space="0" w:color="auto"/>
            </w:tcBorders>
          </w:tcPr>
          <w:p w14:paraId="2D898F0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7" w:type="dxa"/>
            <w:gridSpan w:val="2"/>
            <w:tcBorders>
              <w:top w:val="single" w:sz="4" w:space="0" w:color="auto"/>
              <w:left w:val="single" w:sz="4" w:space="0" w:color="auto"/>
              <w:bottom w:val="single" w:sz="4" w:space="0" w:color="auto"/>
              <w:right w:val="single" w:sz="4" w:space="0" w:color="auto"/>
            </w:tcBorders>
          </w:tcPr>
          <w:p w14:paraId="1141E93A"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6C7DE576" w14:textId="77777777" w:rsidTr="00A65300">
        <w:trPr>
          <w:jc w:val="center"/>
        </w:trPr>
        <w:tc>
          <w:tcPr>
            <w:tcW w:w="2806" w:type="dxa"/>
            <w:vMerge/>
            <w:tcBorders>
              <w:top w:val="single" w:sz="4" w:space="0" w:color="auto"/>
              <w:left w:val="single" w:sz="4" w:space="0" w:color="auto"/>
              <w:bottom w:val="single" w:sz="4" w:space="0" w:color="auto"/>
              <w:right w:val="single" w:sz="4" w:space="0" w:color="auto"/>
            </w:tcBorders>
          </w:tcPr>
          <w:p w14:paraId="2A3F4026" w14:textId="77777777" w:rsidR="00813A27" w:rsidRPr="00813A27" w:rsidRDefault="00813A27" w:rsidP="00813A27">
            <w:pPr>
              <w:jc w:val="center"/>
              <w:rPr>
                <w:rFonts w:eastAsia="Calibri"/>
                <w:b/>
                <w:sz w:val="20"/>
                <w:szCs w:val="20"/>
                <w:lang w:eastAsia="en-US"/>
              </w:rPr>
            </w:pPr>
          </w:p>
        </w:tc>
        <w:tc>
          <w:tcPr>
            <w:tcW w:w="1161" w:type="dxa"/>
            <w:tcBorders>
              <w:top w:val="single" w:sz="4" w:space="0" w:color="auto"/>
              <w:left w:val="single" w:sz="4" w:space="0" w:color="auto"/>
              <w:bottom w:val="single" w:sz="4" w:space="0" w:color="auto"/>
              <w:right w:val="single" w:sz="4" w:space="0" w:color="auto"/>
            </w:tcBorders>
          </w:tcPr>
          <w:p w14:paraId="578CAA2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275" w:type="dxa"/>
            <w:tcBorders>
              <w:top w:val="single" w:sz="4" w:space="0" w:color="auto"/>
              <w:left w:val="single" w:sz="4" w:space="0" w:color="auto"/>
              <w:bottom w:val="single" w:sz="4" w:space="0" w:color="auto"/>
              <w:right w:val="single" w:sz="4" w:space="0" w:color="auto"/>
            </w:tcBorders>
          </w:tcPr>
          <w:p w14:paraId="4A68646C"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21E15D4D"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3" w:type="dxa"/>
            <w:tcBorders>
              <w:top w:val="single" w:sz="4" w:space="0" w:color="auto"/>
              <w:left w:val="single" w:sz="4" w:space="0" w:color="auto"/>
              <w:bottom w:val="single" w:sz="4" w:space="0" w:color="auto"/>
              <w:right w:val="single" w:sz="4" w:space="0" w:color="auto"/>
            </w:tcBorders>
          </w:tcPr>
          <w:p w14:paraId="5DC5132F"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382DB211" w14:textId="77777777" w:rsidTr="00A65300">
        <w:trPr>
          <w:jc w:val="center"/>
        </w:trPr>
        <w:tc>
          <w:tcPr>
            <w:tcW w:w="2806" w:type="dxa"/>
            <w:tcBorders>
              <w:top w:val="single" w:sz="4" w:space="0" w:color="auto"/>
              <w:left w:val="single" w:sz="4" w:space="0" w:color="auto"/>
              <w:right w:val="single" w:sz="4" w:space="0" w:color="auto"/>
            </w:tcBorders>
          </w:tcPr>
          <w:p w14:paraId="34D8D595"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Balanza Comercial</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c>
          <w:tcPr>
            <w:tcW w:w="1161" w:type="dxa"/>
            <w:tcBorders>
              <w:top w:val="single" w:sz="4" w:space="0" w:color="auto"/>
              <w:left w:val="single" w:sz="4" w:space="0" w:color="auto"/>
              <w:right w:val="single" w:sz="4" w:space="0" w:color="auto"/>
            </w:tcBorders>
          </w:tcPr>
          <w:p w14:paraId="7D867663" w14:textId="77777777" w:rsidR="00813A27" w:rsidRPr="00813A27" w:rsidRDefault="00813A27" w:rsidP="00813A27">
            <w:pPr>
              <w:jc w:val="center"/>
              <w:rPr>
                <w:rFonts w:eastAsia="Calibri"/>
                <w:sz w:val="20"/>
                <w:szCs w:val="20"/>
                <w:lang w:eastAsia="en-US"/>
              </w:rPr>
            </w:pPr>
          </w:p>
        </w:tc>
        <w:tc>
          <w:tcPr>
            <w:tcW w:w="1275" w:type="dxa"/>
            <w:tcBorders>
              <w:top w:val="single" w:sz="4" w:space="0" w:color="auto"/>
              <w:left w:val="single" w:sz="4" w:space="0" w:color="auto"/>
              <w:right w:val="single" w:sz="4" w:space="0" w:color="auto"/>
            </w:tcBorders>
          </w:tcPr>
          <w:p w14:paraId="2A78BC30" w14:textId="77777777" w:rsidR="00813A27" w:rsidRPr="00813A27" w:rsidRDefault="00813A27" w:rsidP="00813A27">
            <w:pPr>
              <w:jc w:val="center"/>
              <w:rPr>
                <w:rFonts w:eastAsia="Calibri"/>
                <w:sz w:val="20"/>
                <w:szCs w:val="20"/>
                <w:lang w:eastAsia="en-US"/>
              </w:rPr>
            </w:pPr>
          </w:p>
        </w:tc>
        <w:tc>
          <w:tcPr>
            <w:tcW w:w="1194" w:type="dxa"/>
            <w:tcBorders>
              <w:top w:val="single" w:sz="4" w:space="0" w:color="auto"/>
              <w:left w:val="single" w:sz="4" w:space="0" w:color="auto"/>
              <w:right w:val="single" w:sz="4" w:space="0" w:color="auto"/>
            </w:tcBorders>
          </w:tcPr>
          <w:p w14:paraId="74D8399A" w14:textId="77777777" w:rsidR="00813A27" w:rsidRPr="00813A27" w:rsidRDefault="00813A27" w:rsidP="00813A27">
            <w:pPr>
              <w:jc w:val="center"/>
              <w:rPr>
                <w:rFonts w:eastAsia="Calibri"/>
                <w:sz w:val="20"/>
                <w:szCs w:val="20"/>
                <w:lang w:eastAsia="en-US"/>
              </w:rPr>
            </w:pPr>
          </w:p>
        </w:tc>
        <w:tc>
          <w:tcPr>
            <w:tcW w:w="1193" w:type="dxa"/>
            <w:tcBorders>
              <w:top w:val="single" w:sz="4" w:space="0" w:color="auto"/>
              <w:left w:val="single" w:sz="4" w:space="0" w:color="auto"/>
              <w:right w:val="single" w:sz="4" w:space="0" w:color="auto"/>
            </w:tcBorders>
          </w:tcPr>
          <w:p w14:paraId="2626C3AE" w14:textId="77777777" w:rsidR="00813A27" w:rsidRPr="00813A27" w:rsidRDefault="00813A27" w:rsidP="00813A27">
            <w:pPr>
              <w:jc w:val="center"/>
              <w:rPr>
                <w:rFonts w:eastAsia="Calibri"/>
                <w:sz w:val="20"/>
                <w:szCs w:val="20"/>
                <w:lang w:eastAsia="en-US"/>
              </w:rPr>
            </w:pPr>
          </w:p>
        </w:tc>
      </w:tr>
      <w:tr w:rsidR="00813A27" w:rsidRPr="00813A27" w14:paraId="2AE29899" w14:textId="77777777" w:rsidTr="00A65300">
        <w:trPr>
          <w:jc w:val="center"/>
        </w:trPr>
        <w:tc>
          <w:tcPr>
            <w:tcW w:w="2806" w:type="dxa"/>
            <w:tcBorders>
              <w:left w:val="single" w:sz="4" w:space="0" w:color="auto"/>
              <w:right w:val="single" w:sz="4" w:space="0" w:color="auto"/>
            </w:tcBorders>
          </w:tcPr>
          <w:p w14:paraId="4C15176F"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Para 2015</w:t>
            </w:r>
          </w:p>
        </w:tc>
        <w:tc>
          <w:tcPr>
            <w:tcW w:w="1161" w:type="dxa"/>
            <w:tcBorders>
              <w:left w:val="single" w:sz="4" w:space="0" w:color="auto"/>
              <w:right w:val="single" w:sz="4" w:space="0" w:color="auto"/>
            </w:tcBorders>
          </w:tcPr>
          <w:p w14:paraId="6030CE52"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-5 990</w:t>
            </w:r>
          </w:p>
        </w:tc>
        <w:tc>
          <w:tcPr>
            <w:tcW w:w="1275" w:type="dxa"/>
            <w:tcBorders>
              <w:left w:val="single" w:sz="4" w:space="0" w:color="auto"/>
              <w:right w:val="single" w:sz="4" w:space="0" w:color="auto"/>
            </w:tcBorders>
          </w:tcPr>
          <w:p w14:paraId="4B680731"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-7 445</w:t>
            </w:r>
          </w:p>
        </w:tc>
        <w:tc>
          <w:tcPr>
            <w:tcW w:w="1194" w:type="dxa"/>
            <w:tcBorders>
              <w:left w:val="single" w:sz="4" w:space="0" w:color="auto"/>
              <w:right w:val="single" w:sz="4" w:space="0" w:color="auto"/>
            </w:tcBorders>
          </w:tcPr>
          <w:p w14:paraId="70E8AFC0"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-6 050</w:t>
            </w:r>
          </w:p>
        </w:tc>
        <w:tc>
          <w:tcPr>
            <w:tcW w:w="1193" w:type="dxa"/>
            <w:tcBorders>
              <w:left w:val="single" w:sz="4" w:space="0" w:color="auto"/>
              <w:right w:val="single" w:sz="4" w:space="0" w:color="auto"/>
            </w:tcBorders>
          </w:tcPr>
          <w:p w14:paraId="29AB477F"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-6 683</w:t>
            </w:r>
          </w:p>
        </w:tc>
      </w:tr>
      <w:tr w:rsidR="00813A27" w:rsidRPr="00813A27" w14:paraId="5856E2A5" w14:textId="77777777" w:rsidTr="00A65300">
        <w:trPr>
          <w:jc w:val="center"/>
        </w:trPr>
        <w:tc>
          <w:tcPr>
            <w:tcW w:w="2806" w:type="dxa"/>
            <w:tcBorders>
              <w:left w:val="single" w:sz="4" w:space="0" w:color="auto"/>
              <w:right w:val="single" w:sz="4" w:space="0" w:color="auto"/>
            </w:tcBorders>
          </w:tcPr>
          <w:p w14:paraId="5204E7AB" w14:textId="77777777" w:rsidR="00813A27" w:rsidRPr="00813A27" w:rsidRDefault="00813A27" w:rsidP="00813A27">
            <w:pPr>
              <w:rPr>
                <w:rFonts w:eastAsia="Calibri"/>
                <w:b/>
                <w:sz w:val="20"/>
                <w:szCs w:val="20"/>
                <w:lang w:eastAsia="en-US"/>
              </w:rPr>
            </w:pPr>
            <w:r w:rsidRPr="00813A27">
              <w:rPr>
                <w:rFonts w:eastAsia="Calibri"/>
                <w:sz w:val="20"/>
                <w:szCs w:val="20"/>
                <w:lang w:eastAsia="en-US"/>
              </w:rPr>
              <w:t xml:space="preserve">     Para 2016</w:t>
            </w:r>
          </w:p>
        </w:tc>
        <w:tc>
          <w:tcPr>
            <w:tcW w:w="1161" w:type="dxa"/>
            <w:tcBorders>
              <w:left w:val="single" w:sz="4" w:space="0" w:color="auto"/>
              <w:right w:val="single" w:sz="4" w:space="0" w:color="auto"/>
            </w:tcBorders>
          </w:tcPr>
          <w:p w14:paraId="21386CE8"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-7 189</w:t>
            </w:r>
          </w:p>
        </w:tc>
        <w:tc>
          <w:tcPr>
            <w:tcW w:w="1275" w:type="dxa"/>
            <w:tcBorders>
              <w:left w:val="single" w:sz="4" w:space="0" w:color="auto"/>
              <w:right w:val="single" w:sz="4" w:space="0" w:color="auto"/>
            </w:tcBorders>
          </w:tcPr>
          <w:p w14:paraId="0CB6B555"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-8 677</w:t>
            </w:r>
          </w:p>
        </w:tc>
        <w:tc>
          <w:tcPr>
            <w:tcW w:w="1194" w:type="dxa"/>
            <w:tcBorders>
              <w:left w:val="single" w:sz="4" w:space="0" w:color="auto"/>
              <w:right w:val="single" w:sz="4" w:space="0" w:color="auto"/>
            </w:tcBorders>
          </w:tcPr>
          <w:p w14:paraId="5857486E"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-7 100</w:t>
            </w:r>
          </w:p>
        </w:tc>
        <w:tc>
          <w:tcPr>
            <w:tcW w:w="1193" w:type="dxa"/>
            <w:tcBorders>
              <w:left w:val="single" w:sz="4" w:space="0" w:color="auto"/>
              <w:right w:val="single" w:sz="4" w:space="0" w:color="auto"/>
            </w:tcBorders>
          </w:tcPr>
          <w:p w14:paraId="278299E6"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-7 600</w:t>
            </w:r>
          </w:p>
        </w:tc>
      </w:tr>
      <w:tr w:rsidR="00813A27" w:rsidRPr="00813A27" w14:paraId="0BEFF043" w14:textId="77777777" w:rsidTr="00A65300">
        <w:trPr>
          <w:jc w:val="center"/>
        </w:trPr>
        <w:tc>
          <w:tcPr>
            <w:tcW w:w="2806" w:type="dxa"/>
            <w:tcBorders>
              <w:left w:val="single" w:sz="4" w:space="0" w:color="auto"/>
              <w:right w:val="single" w:sz="4" w:space="0" w:color="auto"/>
            </w:tcBorders>
          </w:tcPr>
          <w:p w14:paraId="1841C8D5"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Cuenta Corriente</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c>
          <w:tcPr>
            <w:tcW w:w="1161" w:type="dxa"/>
            <w:tcBorders>
              <w:left w:val="single" w:sz="4" w:space="0" w:color="auto"/>
              <w:right w:val="single" w:sz="4" w:space="0" w:color="auto"/>
            </w:tcBorders>
          </w:tcPr>
          <w:p w14:paraId="2EC254A5" w14:textId="77777777" w:rsidR="00813A27" w:rsidRPr="00813A27" w:rsidRDefault="00813A27" w:rsidP="00813A27">
            <w:pPr>
              <w:ind w:left="-57" w:right="170"/>
              <w:jc w:val="right"/>
              <w:rPr>
                <w:rFonts w:eastAsia="Calibri"/>
                <w:sz w:val="20"/>
                <w:szCs w:val="20"/>
                <w:lang w:eastAsia="en-US"/>
              </w:rPr>
            </w:pPr>
          </w:p>
        </w:tc>
        <w:tc>
          <w:tcPr>
            <w:tcW w:w="1275" w:type="dxa"/>
            <w:tcBorders>
              <w:left w:val="single" w:sz="4" w:space="0" w:color="auto"/>
              <w:right w:val="single" w:sz="4" w:space="0" w:color="auto"/>
            </w:tcBorders>
          </w:tcPr>
          <w:p w14:paraId="7035F96F" w14:textId="77777777" w:rsidR="00813A27" w:rsidRPr="00813A27" w:rsidRDefault="00813A27" w:rsidP="00813A27">
            <w:pPr>
              <w:ind w:left="-57" w:right="170"/>
              <w:jc w:val="right"/>
              <w:rPr>
                <w:rFonts w:eastAsia="Calibri"/>
                <w:sz w:val="20"/>
                <w:szCs w:val="20"/>
                <w:lang w:eastAsia="en-US"/>
              </w:rPr>
            </w:pPr>
          </w:p>
        </w:tc>
        <w:tc>
          <w:tcPr>
            <w:tcW w:w="1194" w:type="dxa"/>
            <w:tcBorders>
              <w:left w:val="single" w:sz="4" w:space="0" w:color="auto"/>
              <w:right w:val="single" w:sz="4" w:space="0" w:color="auto"/>
            </w:tcBorders>
          </w:tcPr>
          <w:p w14:paraId="61AEF9B4" w14:textId="77777777" w:rsidR="00813A27" w:rsidRPr="00813A27" w:rsidRDefault="00813A27" w:rsidP="00813A27">
            <w:pPr>
              <w:ind w:left="-57" w:right="170"/>
              <w:jc w:val="right"/>
              <w:rPr>
                <w:rFonts w:eastAsia="Calibri"/>
                <w:sz w:val="20"/>
                <w:szCs w:val="20"/>
                <w:lang w:eastAsia="en-US"/>
              </w:rPr>
            </w:pPr>
          </w:p>
        </w:tc>
        <w:tc>
          <w:tcPr>
            <w:tcW w:w="1193" w:type="dxa"/>
            <w:tcBorders>
              <w:left w:val="single" w:sz="4" w:space="0" w:color="auto"/>
              <w:right w:val="single" w:sz="4" w:space="0" w:color="auto"/>
            </w:tcBorders>
          </w:tcPr>
          <w:p w14:paraId="10AE5B44" w14:textId="77777777" w:rsidR="00813A27" w:rsidRPr="00813A27" w:rsidRDefault="00813A27" w:rsidP="00813A27">
            <w:pPr>
              <w:ind w:left="-57" w:right="170"/>
              <w:jc w:val="right"/>
              <w:rPr>
                <w:rFonts w:eastAsia="Calibri"/>
                <w:sz w:val="20"/>
                <w:szCs w:val="20"/>
                <w:lang w:eastAsia="en-US"/>
              </w:rPr>
            </w:pPr>
          </w:p>
        </w:tc>
      </w:tr>
      <w:tr w:rsidR="00813A27" w:rsidRPr="00813A27" w14:paraId="0A93E1B8" w14:textId="77777777" w:rsidTr="00A65300">
        <w:trPr>
          <w:jc w:val="center"/>
        </w:trPr>
        <w:tc>
          <w:tcPr>
            <w:tcW w:w="2806" w:type="dxa"/>
            <w:tcBorders>
              <w:left w:val="single" w:sz="4" w:space="0" w:color="auto"/>
              <w:right w:val="single" w:sz="4" w:space="0" w:color="auto"/>
            </w:tcBorders>
          </w:tcPr>
          <w:p w14:paraId="0EE0E26E"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Para 2015</w:t>
            </w:r>
          </w:p>
        </w:tc>
        <w:tc>
          <w:tcPr>
            <w:tcW w:w="1161" w:type="dxa"/>
            <w:tcBorders>
              <w:left w:val="single" w:sz="4" w:space="0" w:color="auto"/>
              <w:right w:val="single" w:sz="4" w:space="0" w:color="auto"/>
            </w:tcBorders>
          </w:tcPr>
          <w:p w14:paraId="645B5041"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-28 427</w:t>
            </w:r>
          </w:p>
        </w:tc>
        <w:tc>
          <w:tcPr>
            <w:tcW w:w="1275" w:type="dxa"/>
            <w:tcBorders>
              <w:left w:val="single" w:sz="4" w:space="0" w:color="auto"/>
              <w:right w:val="single" w:sz="4" w:space="0" w:color="auto"/>
            </w:tcBorders>
          </w:tcPr>
          <w:p w14:paraId="1E22B398"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-29 305</w:t>
            </w:r>
          </w:p>
        </w:tc>
        <w:tc>
          <w:tcPr>
            <w:tcW w:w="1194" w:type="dxa"/>
            <w:tcBorders>
              <w:left w:val="single" w:sz="4" w:space="0" w:color="auto"/>
              <w:right w:val="single" w:sz="4" w:space="0" w:color="auto"/>
            </w:tcBorders>
          </w:tcPr>
          <w:p w14:paraId="345089DD"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-28 000</w:t>
            </w:r>
          </w:p>
        </w:tc>
        <w:tc>
          <w:tcPr>
            <w:tcW w:w="1193" w:type="dxa"/>
            <w:tcBorders>
              <w:left w:val="single" w:sz="4" w:space="0" w:color="auto"/>
              <w:right w:val="single" w:sz="4" w:space="0" w:color="auto"/>
            </w:tcBorders>
          </w:tcPr>
          <w:p w14:paraId="10C5AD3E"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-29 095</w:t>
            </w:r>
          </w:p>
        </w:tc>
      </w:tr>
      <w:tr w:rsidR="00813A27" w:rsidRPr="00813A27" w14:paraId="468A5D55" w14:textId="77777777" w:rsidTr="00A65300">
        <w:trPr>
          <w:jc w:val="center"/>
        </w:trPr>
        <w:tc>
          <w:tcPr>
            <w:tcW w:w="2806" w:type="dxa"/>
            <w:tcBorders>
              <w:left w:val="single" w:sz="4" w:space="0" w:color="auto"/>
              <w:right w:val="single" w:sz="4" w:space="0" w:color="auto"/>
            </w:tcBorders>
          </w:tcPr>
          <w:p w14:paraId="6646FA2D" w14:textId="77777777" w:rsidR="00813A27" w:rsidRPr="00813A27" w:rsidRDefault="00813A27" w:rsidP="00813A27">
            <w:pPr>
              <w:rPr>
                <w:rFonts w:eastAsia="Calibri"/>
                <w:b/>
                <w:sz w:val="20"/>
                <w:szCs w:val="20"/>
                <w:lang w:eastAsia="en-US"/>
              </w:rPr>
            </w:pPr>
            <w:r w:rsidRPr="00813A27">
              <w:rPr>
                <w:rFonts w:eastAsia="Calibri"/>
                <w:sz w:val="20"/>
                <w:szCs w:val="20"/>
                <w:lang w:eastAsia="en-US"/>
              </w:rPr>
              <w:t xml:space="preserve">     Para 2016</w:t>
            </w:r>
          </w:p>
        </w:tc>
        <w:tc>
          <w:tcPr>
            <w:tcW w:w="1161" w:type="dxa"/>
            <w:tcBorders>
              <w:left w:val="single" w:sz="4" w:space="0" w:color="auto"/>
              <w:right w:val="single" w:sz="4" w:space="0" w:color="auto"/>
            </w:tcBorders>
          </w:tcPr>
          <w:p w14:paraId="4BF8823D"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-30 908</w:t>
            </w:r>
          </w:p>
        </w:tc>
        <w:tc>
          <w:tcPr>
            <w:tcW w:w="1275" w:type="dxa"/>
            <w:tcBorders>
              <w:left w:val="single" w:sz="4" w:space="0" w:color="auto"/>
              <w:right w:val="single" w:sz="4" w:space="0" w:color="auto"/>
            </w:tcBorders>
          </w:tcPr>
          <w:p w14:paraId="17A93B99"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-31 644</w:t>
            </w:r>
          </w:p>
        </w:tc>
        <w:tc>
          <w:tcPr>
            <w:tcW w:w="1194" w:type="dxa"/>
            <w:tcBorders>
              <w:left w:val="single" w:sz="4" w:space="0" w:color="auto"/>
              <w:right w:val="single" w:sz="4" w:space="0" w:color="auto"/>
            </w:tcBorders>
          </w:tcPr>
          <w:p w14:paraId="52602377"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-30 450</w:t>
            </w:r>
          </w:p>
        </w:tc>
        <w:tc>
          <w:tcPr>
            <w:tcW w:w="1193" w:type="dxa"/>
            <w:tcBorders>
              <w:left w:val="single" w:sz="4" w:space="0" w:color="auto"/>
              <w:right w:val="single" w:sz="4" w:space="0" w:color="auto"/>
            </w:tcBorders>
          </w:tcPr>
          <w:p w14:paraId="4D3D5FA0"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-31 145</w:t>
            </w:r>
          </w:p>
        </w:tc>
      </w:tr>
      <w:tr w:rsidR="00813A27" w:rsidRPr="00813A27" w14:paraId="5635037F" w14:textId="77777777" w:rsidTr="00A65300">
        <w:trPr>
          <w:jc w:val="center"/>
        </w:trPr>
        <w:tc>
          <w:tcPr>
            <w:tcW w:w="2806" w:type="dxa"/>
            <w:tcBorders>
              <w:left w:val="single" w:sz="4" w:space="0" w:color="auto"/>
              <w:right w:val="single" w:sz="4" w:space="0" w:color="auto"/>
            </w:tcBorders>
          </w:tcPr>
          <w:p w14:paraId="452B6869"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Inversión Extranjera Directa</w:t>
            </w:r>
          </w:p>
        </w:tc>
        <w:tc>
          <w:tcPr>
            <w:tcW w:w="1161" w:type="dxa"/>
            <w:tcBorders>
              <w:left w:val="single" w:sz="4" w:space="0" w:color="auto"/>
              <w:right w:val="single" w:sz="4" w:space="0" w:color="auto"/>
            </w:tcBorders>
          </w:tcPr>
          <w:p w14:paraId="2D515884" w14:textId="77777777" w:rsidR="00813A27" w:rsidRPr="00813A27" w:rsidRDefault="00813A27" w:rsidP="00813A27">
            <w:pPr>
              <w:ind w:left="-57" w:right="170"/>
              <w:jc w:val="right"/>
              <w:rPr>
                <w:rFonts w:eastAsia="Calibri"/>
                <w:sz w:val="20"/>
                <w:szCs w:val="20"/>
                <w:lang w:eastAsia="en-US"/>
              </w:rPr>
            </w:pPr>
          </w:p>
        </w:tc>
        <w:tc>
          <w:tcPr>
            <w:tcW w:w="1275" w:type="dxa"/>
            <w:tcBorders>
              <w:left w:val="single" w:sz="4" w:space="0" w:color="auto"/>
              <w:right w:val="single" w:sz="4" w:space="0" w:color="auto"/>
            </w:tcBorders>
          </w:tcPr>
          <w:p w14:paraId="24BD87A9" w14:textId="77777777" w:rsidR="00813A27" w:rsidRPr="00813A27" w:rsidRDefault="00813A27" w:rsidP="00813A27">
            <w:pPr>
              <w:ind w:left="-57" w:right="170"/>
              <w:jc w:val="right"/>
              <w:rPr>
                <w:rFonts w:eastAsia="Calibri"/>
                <w:sz w:val="20"/>
                <w:szCs w:val="20"/>
                <w:lang w:eastAsia="en-US"/>
              </w:rPr>
            </w:pPr>
          </w:p>
        </w:tc>
        <w:tc>
          <w:tcPr>
            <w:tcW w:w="1194" w:type="dxa"/>
            <w:tcBorders>
              <w:left w:val="single" w:sz="4" w:space="0" w:color="auto"/>
              <w:right w:val="single" w:sz="4" w:space="0" w:color="auto"/>
            </w:tcBorders>
          </w:tcPr>
          <w:p w14:paraId="160A31B8" w14:textId="77777777" w:rsidR="00813A27" w:rsidRPr="00813A27" w:rsidRDefault="00813A27" w:rsidP="00813A27">
            <w:pPr>
              <w:ind w:left="-57" w:right="170"/>
              <w:jc w:val="right"/>
              <w:rPr>
                <w:rFonts w:eastAsia="Calibri"/>
                <w:sz w:val="20"/>
                <w:szCs w:val="20"/>
                <w:lang w:eastAsia="en-US"/>
              </w:rPr>
            </w:pPr>
          </w:p>
        </w:tc>
        <w:tc>
          <w:tcPr>
            <w:tcW w:w="1193" w:type="dxa"/>
            <w:tcBorders>
              <w:left w:val="single" w:sz="4" w:space="0" w:color="auto"/>
              <w:right w:val="single" w:sz="4" w:space="0" w:color="auto"/>
            </w:tcBorders>
          </w:tcPr>
          <w:p w14:paraId="202212B9" w14:textId="77777777" w:rsidR="00813A27" w:rsidRPr="00813A27" w:rsidRDefault="00813A27" w:rsidP="00813A27">
            <w:pPr>
              <w:ind w:left="-57" w:right="170"/>
              <w:jc w:val="right"/>
              <w:rPr>
                <w:rFonts w:eastAsia="Calibri"/>
                <w:sz w:val="20"/>
                <w:szCs w:val="20"/>
                <w:lang w:eastAsia="en-US"/>
              </w:rPr>
            </w:pPr>
          </w:p>
        </w:tc>
      </w:tr>
      <w:tr w:rsidR="00813A27" w:rsidRPr="00813A27" w14:paraId="7334A9BF" w14:textId="77777777" w:rsidTr="00A65300">
        <w:trPr>
          <w:jc w:val="center"/>
        </w:trPr>
        <w:tc>
          <w:tcPr>
            <w:tcW w:w="2806" w:type="dxa"/>
            <w:tcBorders>
              <w:left w:val="single" w:sz="4" w:space="0" w:color="auto"/>
              <w:right w:val="single" w:sz="4" w:space="0" w:color="auto"/>
            </w:tcBorders>
          </w:tcPr>
          <w:p w14:paraId="4AD3F322"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Para 2015</w:t>
            </w:r>
          </w:p>
        </w:tc>
        <w:tc>
          <w:tcPr>
            <w:tcW w:w="1161" w:type="dxa"/>
            <w:tcBorders>
              <w:left w:val="single" w:sz="4" w:space="0" w:color="auto"/>
              <w:right w:val="single" w:sz="4" w:space="0" w:color="auto"/>
            </w:tcBorders>
          </w:tcPr>
          <w:p w14:paraId="40232A94"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25 639</w:t>
            </w:r>
          </w:p>
        </w:tc>
        <w:tc>
          <w:tcPr>
            <w:tcW w:w="1275" w:type="dxa"/>
            <w:tcBorders>
              <w:left w:val="single" w:sz="4" w:space="0" w:color="auto"/>
              <w:right w:val="single" w:sz="4" w:space="0" w:color="auto"/>
            </w:tcBorders>
          </w:tcPr>
          <w:p w14:paraId="202557B2"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25 050</w:t>
            </w:r>
          </w:p>
        </w:tc>
        <w:tc>
          <w:tcPr>
            <w:tcW w:w="1194" w:type="dxa"/>
            <w:tcBorders>
              <w:left w:val="single" w:sz="4" w:space="0" w:color="auto"/>
              <w:right w:val="single" w:sz="4" w:space="0" w:color="auto"/>
            </w:tcBorders>
          </w:tcPr>
          <w:p w14:paraId="53A1F8AB"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25 150</w:t>
            </w:r>
          </w:p>
        </w:tc>
        <w:tc>
          <w:tcPr>
            <w:tcW w:w="1193" w:type="dxa"/>
            <w:tcBorders>
              <w:left w:val="single" w:sz="4" w:space="0" w:color="auto"/>
              <w:right w:val="single" w:sz="4" w:space="0" w:color="auto"/>
            </w:tcBorders>
          </w:tcPr>
          <w:p w14:paraId="07CD8A05"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25 000</w:t>
            </w:r>
          </w:p>
        </w:tc>
      </w:tr>
      <w:tr w:rsidR="00813A27" w:rsidRPr="00813A27" w14:paraId="40FB4E1B" w14:textId="77777777" w:rsidTr="00A65300">
        <w:trPr>
          <w:jc w:val="center"/>
        </w:trPr>
        <w:tc>
          <w:tcPr>
            <w:tcW w:w="2806" w:type="dxa"/>
            <w:tcBorders>
              <w:left w:val="single" w:sz="4" w:space="0" w:color="auto"/>
              <w:bottom w:val="single" w:sz="4" w:space="0" w:color="auto"/>
              <w:right w:val="single" w:sz="4" w:space="0" w:color="auto"/>
            </w:tcBorders>
          </w:tcPr>
          <w:p w14:paraId="4660EC9D" w14:textId="77777777" w:rsidR="00813A27" w:rsidRPr="00813A27" w:rsidRDefault="00813A27" w:rsidP="00813A27">
            <w:pPr>
              <w:rPr>
                <w:rFonts w:eastAsia="Calibri"/>
                <w:sz w:val="20"/>
                <w:szCs w:val="20"/>
                <w:lang w:eastAsia="en-US"/>
              </w:rPr>
            </w:pPr>
            <w:r w:rsidRPr="00813A27">
              <w:rPr>
                <w:rFonts w:eastAsia="Calibri"/>
                <w:sz w:val="20"/>
                <w:szCs w:val="20"/>
                <w:lang w:eastAsia="en-US"/>
              </w:rPr>
              <w:t xml:space="preserve">     Para 2016</w:t>
            </w:r>
          </w:p>
        </w:tc>
        <w:tc>
          <w:tcPr>
            <w:tcW w:w="1161" w:type="dxa"/>
            <w:tcBorders>
              <w:left w:val="single" w:sz="4" w:space="0" w:color="auto"/>
              <w:bottom w:val="single" w:sz="4" w:space="0" w:color="auto"/>
              <w:right w:val="single" w:sz="4" w:space="0" w:color="auto"/>
            </w:tcBorders>
          </w:tcPr>
          <w:p w14:paraId="0F620FFD"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29 439</w:t>
            </w:r>
          </w:p>
        </w:tc>
        <w:tc>
          <w:tcPr>
            <w:tcW w:w="1275" w:type="dxa"/>
            <w:tcBorders>
              <w:left w:val="single" w:sz="4" w:space="0" w:color="auto"/>
              <w:bottom w:val="single" w:sz="4" w:space="0" w:color="auto"/>
              <w:right w:val="single" w:sz="4" w:space="0" w:color="auto"/>
            </w:tcBorders>
          </w:tcPr>
          <w:p w14:paraId="400C254B"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29 402</w:t>
            </w:r>
          </w:p>
        </w:tc>
        <w:tc>
          <w:tcPr>
            <w:tcW w:w="1194" w:type="dxa"/>
            <w:tcBorders>
              <w:left w:val="single" w:sz="4" w:space="0" w:color="auto"/>
              <w:bottom w:val="single" w:sz="4" w:space="0" w:color="auto"/>
              <w:right w:val="single" w:sz="4" w:space="0" w:color="auto"/>
            </w:tcBorders>
          </w:tcPr>
          <w:p w14:paraId="2CFF738E"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30 000</w:t>
            </w:r>
          </w:p>
        </w:tc>
        <w:tc>
          <w:tcPr>
            <w:tcW w:w="1193" w:type="dxa"/>
            <w:tcBorders>
              <w:left w:val="single" w:sz="4" w:space="0" w:color="auto"/>
              <w:bottom w:val="single" w:sz="4" w:space="0" w:color="auto"/>
              <w:right w:val="single" w:sz="4" w:space="0" w:color="auto"/>
            </w:tcBorders>
          </w:tcPr>
          <w:p w14:paraId="5F00E919" w14:textId="77777777" w:rsidR="00813A27" w:rsidRPr="00813A27" w:rsidRDefault="00813A27" w:rsidP="00813A27">
            <w:pPr>
              <w:ind w:left="-57" w:right="170"/>
              <w:jc w:val="right"/>
              <w:rPr>
                <w:rFonts w:eastAsia="Calibri"/>
                <w:sz w:val="20"/>
                <w:szCs w:val="20"/>
                <w:lang w:eastAsia="en-US"/>
              </w:rPr>
            </w:pPr>
            <w:r w:rsidRPr="00813A27">
              <w:rPr>
                <w:rFonts w:eastAsia="Calibri"/>
                <w:sz w:val="20"/>
                <w:szCs w:val="20"/>
                <w:lang w:eastAsia="en-US"/>
              </w:rPr>
              <w:t>28 875</w:t>
            </w:r>
          </w:p>
        </w:tc>
      </w:tr>
      <w:tr w:rsidR="00813A27" w:rsidRPr="00813A27" w14:paraId="455D7D02" w14:textId="77777777" w:rsidTr="00A65300">
        <w:trPr>
          <w:jc w:val="center"/>
        </w:trPr>
        <w:tc>
          <w:tcPr>
            <w:tcW w:w="7629" w:type="dxa"/>
            <w:gridSpan w:val="5"/>
            <w:tcBorders>
              <w:top w:val="single" w:sz="4" w:space="0" w:color="auto"/>
              <w:left w:val="nil"/>
              <w:bottom w:val="nil"/>
              <w:right w:val="nil"/>
            </w:tcBorders>
          </w:tcPr>
          <w:p w14:paraId="03F03C7A" w14:textId="77777777" w:rsidR="00813A27" w:rsidRPr="00813A27" w:rsidRDefault="00813A27" w:rsidP="00813A27">
            <w:pPr>
              <w:ind w:left="-57" w:right="57"/>
              <w:jc w:val="both"/>
              <w:rPr>
                <w:rFonts w:eastAsia="Calibri"/>
                <w:sz w:val="20"/>
                <w:szCs w:val="20"/>
                <w:lang w:eastAsia="en-US"/>
              </w:rPr>
            </w:pPr>
            <w:r w:rsidRPr="00813A27">
              <w:rPr>
                <w:rFonts w:eastAsia="Calibri"/>
                <w:sz w:val="20"/>
                <w:szCs w:val="20"/>
                <w:u w:val="single"/>
                <w:lang w:eastAsia="en-US"/>
              </w:rPr>
              <w:t>1</w:t>
            </w:r>
            <w:r w:rsidRPr="00813A27">
              <w:rPr>
                <w:rFonts w:eastAsia="Calibri"/>
                <w:sz w:val="20"/>
                <w:szCs w:val="20"/>
                <w:lang w:eastAsia="en-US"/>
              </w:rPr>
              <w:t>/ Signo negativo significa déficit y signo positivo, superávit.</w:t>
            </w:r>
          </w:p>
          <w:p w14:paraId="324CBF8E" w14:textId="77777777" w:rsidR="00813A27" w:rsidRPr="00813A27" w:rsidRDefault="00813A27" w:rsidP="00813A27">
            <w:pPr>
              <w:ind w:left="-57" w:right="57"/>
              <w:jc w:val="both"/>
              <w:rPr>
                <w:rFonts w:eastAsia="Calibri"/>
                <w:sz w:val="20"/>
                <w:szCs w:val="20"/>
                <w:lang w:eastAsia="en-US"/>
              </w:rPr>
            </w:pPr>
            <w:r w:rsidRPr="00813A27">
              <w:rPr>
                <w:rFonts w:eastAsia="Calibri"/>
                <w:sz w:val="20"/>
                <w:szCs w:val="20"/>
                <w:lang w:eastAsia="en-US"/>
              </w:rPr>
              <w:t>FUENTE: Banco de México.</w:t>
            </w:r>
          </w:p>
        </w:tc>
      </w:tr>
    </w:tbl>
    <w:p w14:paraId="2E918813" w14:textId="77777777" w:rsidR="00813A27" w:rsidRPr="00813A27" w:rsidRDefault="00813A27" w:rsidP="00813A27">
      <w:pPr>
        <w:spacing w:after="360" w:line="360" w:lineRule="auto"/>
        <w:ind w:right="-159"/>
        <w:jc w:val="both"/>
        <w:rPr>
          <w:rFonts w:eastAsia="Calibri"/>
          <w:sz w:val="26"/>
          <w:szCs w:val="26"/>
          <w:lang w:eastAsia="en-US"/>
        </w:rPr>
      </w:pPr>
    </w:p>
    <w:p w14:paraId="201E0C48" w14:textId="77777777" w:rsidR="00813A27" w:rsidRPr="00813A27" w:rsidRDefault="00813A27" w:rsidP="00813A27">
      <w:pPr>
        <w:spacing w:after="360" w:line="360" w:lineRule="auto"/>
        <w:ind w:right="-159"/>
        <w:jc w:val="both"/>
        <w:rPr>
          <w:rFonts w:eastAsia="Calibri"/>
          <w:sz w:val="26"/>
          <w:szCs w:val="26"/>
          <w:lang w:eastAsia="en-US"/>
        </w:rPr>
      </w:pPr>
    </w:p>
    <w:p w14:paraId="3BC9F5A8" w14:textId="77777777" w:rsidR="00813A27" w:rsidRPr="00813A27" w:rsidRDefault="00813A27" w:rsidP="00813A27">
      <w:pPr>
        <w:spacing w:after="360" w:line="360" w:lineRule="auto"/>
        <w:ind w:right="-159"/>
        <w:jc w:val="both"/>
        <w:rPr>
          <w:rFonts w:eastAsia="Calibri"/>
          <w:sz w:val="26"/>
          <w:szCs w:val="26"/>
          <w:lang w:eastAsia="en-US"/>
        </w:rPr>
      </w:pPr>
    </w:p>
    <w:p w14:paraId="4DE1FD28"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A. Balanza Comercial</w:t>
      </w:r>
    </w:p>
    <w:p w14:paraId="71B9BA2D"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II.pptx!579"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D15DC49" wp14:editId="5AB0BDED">
            <wp:extent cx="3954145" cy="3163570"/>
            <wp:effectExtent l="0" t="0" r="8255" b="0"/>
            <wp:docPr id="1638" name="Imagen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8"/>
                    <pic:cNvPicPr>
                      <a:picLocks noChangeAspect="1" noChangeArrowheads="1"/>
                    </pic:cNvPicPr>
                  </pic:nvPicPr>
                  <pic:blipFill>
                    <a:blip r:embed="rId207" cstate="print">
                      <a:extLst>
                        <a:ext uri="{28A0092B-C50C-407E-A947-70E740481C1C}">
                          <a14:useLocalDpi xmlns:a14="http://schemas.microsoft.com/office/drawing/2010/main" val="0"/>
                        </a:ext>
                      </a:extLst>
                    </a:blip>
                    <a:srcRect l="9186" r="4175" b="7777"/>
                    <a:stretch>
                      <a:fillRect/>
                    </a:stretch>
                  </pic:blipFill>
                  <pic:spPr bwMode="auto">
                    <a:xfrm>
                      <a:off x="0" y="0"/>
                      <a:ext cx="3954145"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D283798" w14:textId="77777777" w:rsidR="00813A27" w:rsidRPr="00813A27" w:rsidRDefault="00813A27" w:rsidP="00813A27">
      <w:pPr>
        <w:spacing w:after="160" w:line="259" w:lineRule="auto"/>
        <w:jc w:val="center"/>
        <w:rPr>
          <w:rFonts w:ascii="Calibri" w:eastAsia="Calibri" w:hAnsi="Calibri"/>
          <w:sz w:val="22"/>
          <w:szCs w:val="22"/>
          <w:lang w:eastAsia="en-US"/>
        </w:rPr>
      </w:pPr>
    </w:p>
    <w:p w14:paraId="0AE9CE1D"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II.pptx!608"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9730C08" wp14:editId="5DA16E10">
            <wp:extent cx="3886200" cy="3163570"/>
            <wp:effectExtent l="0" t="0" r="0" b="0"/>
            <wp:docPr id="1639" name="Imagen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9"/>
                    <pic:cNvPicPr>
                      <a:picLocks noChangeAspect="1" noChangeArrowheads="1"/>
                    </pic:cNvPicPr>
                  </pic:nvPicPr>
                  <pic:blipFill>
                    <a:blip r:embed="rId208" cstate="print">
                      <a:extLst>
                        <a:ext uri="{28A0092B-C50C-407E-A947-70E740481C1C}">
                          <a14:useLocalDpi xmlns:a14="http://schemas.microsoft.com/office/drawing/2010/main" val="0"/>
                        </a:ext>
                      </a:extLst>
                    </a:blip>
                    <a:srcRect l="10229" r="4593" b="7777"/>
                    <a:stretch>
                      <a:fillRect/>
                    </a:stretch>
                  </pic:blipFill>
                  <pic:spPr bwMode="auto">
                    <a:xfrm>
                      <a:off x="0" y="0"/>
                      <a:ext cx="3886200" cy="316357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694E6CE" w14:textId="77777777" w:rsidR="00813A27" w:rsidRPr="00813A27" w:rsidRDefault="00813A27" w:rsidP="00813A27">
      <w:pPr>
        <w:spacing w:after="360" w:line="360" w:lineRule="auto"/>
        <w:ind w:right="-159"/>
        <w:jc w:val="both"/>
        <w:rPr>
          <w:rFonts w:eastAsia="Calibri"/>
          <w:sz w:val="26"/>
          <w:szCs w:val="26"/>
          <w:lang w:eastAsia="en-US"/>
        </w:rPr>
      </w:pPr>
    </w:p>
    <w:p w14:paraId="5967567C" w14:textId="77777777" w:rsidR="00813A27" w:rsidRPr="00813A27" w:rsidRDefault="00813A27" w:rsidP="00813A27">
      <w:pPr>
        <w:spacing w:after="360" w:line="360" w:lineRule="auto"/>
        <w:ind w:right="-159"/>
        <w:jc w:val="both"/>
        <w:rPr>
          <w:rFonts w:eastAsia="Calibri"/>
          <w:sz w:val="26"/>
          <w:szCs w:val="26"/>
          <w:lang w:eastAsia="en-US"/>
        </w:rPr>
      </w:pPr>
    </w:p>
    <w:p w14:paraId="6C6DB13B"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B. Cuenta Corriente</w:t>
      </w:r>
    </w:p>
    <w:p w14:paraId="47350AA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II.pptx!596"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5084FE1" wp14:editId="7AED2C13">
            <wp:extent cx="3954145" cy="3194050"/>
            <wp:effectExtent l="0" t="0" r="8255" b="6350"/>
            <wp:docPr id="1640" name="Imagen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5"/>
                    <pic:cNvPicPr>
                      <a:picLocks noChangeAspect="1" noChangeArrowheads="1"/>
                    </pic:cNvPicPr>
                  </pic:nvPicPr>
                  <pic:blipFill>
                    <a:blip r:embed="rId209" cstate="print">
                      <a:extLst>
                        <a:ext uri="{28A0092B-C50C-407E-A947-70E740481C1C}">
                          <a14:useLocalDpi xmlns:a14="http://schemas.microsoft.com/office/drawing/2010/main" val="0"/>
                        </a:ext>
                      </a:extLst>
                    </a:blip>
                    <a:srcRect l="8768" r="4593" b="6944"/>
                    <a:stretch>
                      <a:fillRect/>
                    </a:stretch>
                  </pic:blipFill>
                  <pic:spPr bwMode="auto">
                    <a:xfrm>
                      <a:off x="0" y="0"/>
                      <a:ext cx="3954145" cy="319405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58E5DFC3" w14:textId="77777777" w:rsidR="00813A27" w:rsidRPr="00813A27" w:rsidRDefault="00813A27" w:rsidP="00813A27">
      <w:pPr>
        <w:spacing w:after="160" w:line="259" w:lineRule="auto"/>
        <w:jc w:val="center"/>
        <w:rPr>
          <w:rFonts w:ascii="Calibri" w:eastAsia="Calibri" w:hAnsi="Calibri"/>
          <w:sz w:val="22"/>
          <w:szCs w:val="22"/>
          <w:lang w:eastAsia="en-US"/>
        </w:rPr>
      </w:pPr>
    </w:p>
    <w:p w14:paraId="05C61FCC"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II.pptx!609"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77C0BDB9" wp14:editId="383B66E8">
            <wp:extent cx="4015740" cy="3274695"/>
            <wp:effectExtent l="0" t="0" r="3810" b="1905"/>
            <wp:docPr id="1641" name="Imagen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6"/>
                    <pic:cNvPicPr>
                      <a:picLocks noChangeAspect="1" noChangeArrowheads="1"/>
                    </pic:cNvPicPr>
                  </pic:nvPicPr>
                  <pic:blipFill>
                    <a:blip r:embed="rId210" cstate="print">
                      <a:extLst>
                        <a:ext uri="{28A0092B-C50C-407E-A947-70E740481C1C}">
                          <a14:useLocalDpi xmlns:a14="http://schemas.microsoft.com/office/drawing/2010/main" val="0"/>
                        </a:ext>
                      </a:extLst>
                    </a:blip>
                    <a:srcRect l="8351" r="3549" b="4445"/>
                    <a:stretch>
                      <a:fillRect/>
                    </a:stretch>
                  </pic:blipFill>
                  <pic:spPr bwMode="auto">
                    <a:xfrm>
                      <a:off x="0" y="0"/>
                      <a:ext cx="4015740" cy="327469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1CBE946D" w14:textId="77777777" w:rsidR="00813A27" w:rsidRPr="00813A27" w:rsidRDefault="00813A27" w:rsidP="00813A27">
      <w:pPr>
        <w:spacing w:after="360" w:line="360" w:lineRule="auto"/>
        <w:ind w:right="-159"/>
        <w:jc w:val="center"/>
        <w:rPr>
          <w:rFonts w:eastAsia="Calibri"/>
          <w:sz w:val="26"/>
          <w:szCs w:val="26"/>
          <w:lang w:eastAsia="en-US"/>
        </w:rPr>
      </w:pPr>
    </w:p>
    <w:p w14:paraId="5650DFBB" w14:textId="77777777" w:rsidR="00813A27" w:rsidRPr="00813A27" w:rsidRDefault="00813A27" w:rsidP="00813A27">
      <w:pPr>
        <w:spacing w:after="360" w:line="360" w:lineRule="auto"/>
        <w:ind w:right="-159"/>
        <w:jc w:val="center"/>
        <w:rPr>
          <w:rFonts w:eastAsia="Calibri"/>
          <w:sz w:val="26"/>
          <w:szCs w:val="26"/>
          <w:lang w:eastAsia="en-US"/>
        </w:rPr>
      </w:pPr>
    </w:p>
    <w:p w14:paraId="77A3E35E"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C. Inversión Extranjera Directa</w:t>
      </w:r>
    </w:p>
    <w:p w14:paraId="65569691"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II.pptx!597"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59E7A021" wp14:editId="25F707A1">
            <wp:extent cx="4034790" cy="3194050"/>
            <wp:effectExtent l="0" t="0" r="3810" b="6350"/>
            <wp:docPr id="1642" name="Imagen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2"/>
                    <pic:cNvPicPr>
                      <a:picLocks noChangeAspect="1" noChangeArrowheads="1"/>
                    </pic:cNvPicPr>
                  </pic:nvPicPr>
                  <pic:blipFill>
                    <a:blip r:embed="rId211" cstate="print">
                      <a:extLst>
                        <a:ext uri="{28A0092B-C50C-407E-A947-70E740481C1C}">
                          <a14:useLocalDpi xmlns:a14="http://schemas.microsoft.com/office/drawing/2010/main" val="0"/>
                        </a:ext>
                      </a:extLst>
                    </a:blip>
                    <a:srcRect l="7933" r="3549" b="6944"/>
                    <a:stretch>
                      <a:fillRect/>
                    </a:stretch>
                  </pic:blipFill>
                  <pic:spPr bwMode="auto">
                    <a:xfrm>
                      <a:off x="0" y="0"/>
                      <a:ext cx="4034790" cy="319405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5DB179C" w14:textId="77777777" w:rsidR="00813A27" w:rsidRPr="00813A27" w:rsidRDefault="00813A27" w:rsidP="00813A27">
      <w:pPr>
        <w:spacing w:after="160" w:line="259" w:lineRule="auto"/>
        <w:jc w:val="center"/>
        <w:rPr>
          <w:rFonts w:ascii="Calibri" w:eastAsia="Calibri" w:hAnsi="Calibri"/>
          <w:sz w:val="22"/>
          <w:szCs w:val="22"/>
          <w:lang w:eastAsia="en-US"/>
        </w:rPr>
      </w:pPr>
    </w:p>
    <w:p w14:paraId="01259AD6"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II.pptx!610"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0EC65B6" wp14:editId="5806AFC3">
            <wp:extent cx="4164330" cy="3243580"/>
            <wp:effectExtent l="0" t="0" r="7620" b="0"/>
            <wp:docPr id="1643" name="Imagen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3"/>
                    <pic:cNvPicPr>
                      <a:picLocks noChangeAspect="1" noChangeArrowheads="1"/>
                    </pic:cNvPicPr>
                  </pic:nvPicPr>
                  <pic:blipFill>
                    <a:blip r:embed="rId212" cstate="print">
                      <a:extLst>
                        <a:ext uri="{28A0092B-C50C-407E-A947-70E740481C1C}">
                          <a14:useLocalDpi xmlns:a14="http://schemas.microsoft.com/office/drawing/2010/main" val="0"/>
                        </a:ext>
                      </a:extLst>
                    </a:blip>
                    <a:srcRect l="6471" r="2296" b="5278"/>
                    <a:stretch>
                      <a:fillRect/>
                    </a:stretch>
                  </pic:blipFill>
                  <pic:spPr bwMode="auto">
                    <a:xfrm>
                      <a:off x="0" y="0"/>
                      <a:ext cx="4164330" cy="324358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1AB1AB15" w14:textId="77777777" w:rsidR="00813A27" w:rsidRPr="00A65300" w:rsidRDefault="00813A27" w:rsidP="00813A27">
      <w:pPr>
        <w:spacing w:after="160" w:line="259" w:lineRule="auto"/>
        <w:jc w:val="center"/>
        <w:rPr>
          <w:rFonts w:eastAsia="Calibri"/>
          <w:sz w:val="22"/>
          <w:szCs w:val="22"/>
          <w:lang w:eastAsia="en-US"/>
        </w:rPr>
      </w:pPr>
    </w:p>
    <w:p w14:paraId="2CFD05F8" w14:textId="77777777" w:rsidR="00813A27" w:rsidRPr="00A65300" w:rsidRDefault="00813A27" w:rsidP="00813A27">
      <w:pPr>
        <w:spacing w:after="360" w:line="360" w:lineRule="auto"/>
        <w:ind w:right="-159"/>
        <w:jc w:val="center"/>
        <w:rPr>
          <w:rFonts w:eastAsia="Calibri"/>
          <w:b/>
          <w:sz w:val="26"/>
          <w:szCs w:val="26"/>
          <w:lang w:eastAsia="en-US"/>
        </w:rPr>
      </w:pPr>
    </w:p>
    <w:p w14:paraId="01DAC910" w14:textId="77777777" w:rsidR="00813A27" w:rsidRPr="00813A27" w:rsidRDefault="00813A27" w:rsidP="00A65300">
      <w:pPr>
        <w:spacing w:after="480"/>
        <w:ind w:right="-159"/>
        <w:jc w:val="both"/>
        <w:rPr>
          <w:rFonts w:eastAsia="Calibri"/>
          <w:b/>
          <w:sz w:val="26"/>
          <w:szCs w:val="26"/>
          <w:lang w:eastAsia="en-US"/>
        </w:rPr>
      </w:pPr>
      <w:r w:rsidRPr="00813A27">
        <w:rPr>
          <w:rFonts w:eastAsia="Calibri"/>
          <w:b/>
          <w:sz w:val="26"/>
          <w:szCs w:val="26"/>
          <w:lang w:eastAsia="en-US"/>
        </w:rPr>
        <w:lastRenderedPageBreak/>
        <w:t>Entorno económico y factores que podrían obstaculizar el crecimiento económico de México</w:t>
      </w:r>
    </w:p>
    <w:p w14:paraId="1C929FDC" w14:textId="77777777" w:rsidR="00813A27" w:rsidRPr="00813A27" w:rsidRDefault="00813A27" w:rsidP="00A65300">
      <w:pPr>
        <w:spacing w:before="240" w:after="360" w:line="360" w:lineRule="auto"/>
        <w:ind w:right="-159"/>
        <w:jc w:val="both"/>
        <w:rPr>
          <w:rFonts w:eastAsia="Calibri"/>
          <w:sz w:val="26"/>
          <w:szCs w:val="26"/>
          <w:lang w:eastAsia="en-US"/>
        </w:rPr>
      </w:pPr>
      <w:r w:rsidRPr="00813A27">
        <w:rPr>
          <w:rFonts w:eastAsia="Calibri"/>
          <w:sz w:val="26"/>
          <w:szCs w:val="26"/>
          <w:lang w:eastAsia="en-US"/>
        </w:rPr>
        <w:t>El cuadro siguiente presenta la distribución de las respuestas de los analistas consultados por Banxico en relación con los factores que podrían obstaculizar el crecimiento económico de México en los próximos meses. Como se aprecia, los especialistas consideran que los principales factores son, en orden de importancia: los problemas de inseguridad pública (22% de las respuestas y el de mayor frecuencia por décimo sexto mes consecutivo); la plataforma de producción petrolera (11% de las respuestas)</w:t>
      </w:r>
      <w:r w:rsidRPr="00813A27">
        <w:rPr>
          <w:rFonts w:eastAsia="Calibri"/>
          <w:sz w:val="26"/>
          <w:szCs w:val="26"/>
          <w:vertAlign w:val="superscript"/>
          <w:lang w:eastAsia="en-US"/>
        </w:rPr>
        <w:footnoteReference w:id="21"/>
      </w:r>
      <w:r w:rsidRPr="00813A27">
        <w:rPr>
          <w:rFonts w:eastAsia="Calibri"/>
          <w:sz w:val="26"/>
          <w:szCs w:val="26"/>
          <w:lang w:eastAsia="en-US"/>
        </w:rPr>
        <w:t>; la debilidad en el mercado interno (10% de las respuestas); la inestabilidad financiera internacional (10% de las respuestas); el precio de exportación del petróleo (9% de las respuestas); y la política fiscal que se está instrumentando (9% de las respuestas).</w:t>
      </w:r>
    </w:p>
    <w:tbl>
      <w:tblPr>
        <w:tblW w:w="8702" w:type="dxa"/>
        <w:jc w:val="center"/>
        <w:tblLayout w:type="fixed"/>
        <w:tblLook w:val="04A0" w:firstRow="1" w:lastRow="0" w:firstColumn="1" w:lastColumn="0" w:noHBand="0" w:noVBand="1"/>
      </w:tblPr>
      <w:tblGrid>
        <w:gridCol w:w="3115"/>
        <w:gridCol w:w="424"/>
        <w:gridCol w:w="425"/>
        <w:gridCol w:w="426"/>
        <w:gridCol w:w="426"/>
        <w:gridCol w:w="425"/>
        <w:gridCol w:w="425"/>
        <w:gridCol w:w="426"/>
        <w:gridCol w:w="429"/>
        <w:gridCol w:w="425"/>
        <w:gridCol w:w="425"/>
        <w:gridCol w:w="426"/>
        <w:gridCol w:w="466"/>
        <w:gridCol w:w="439"/>
      </w:tblGrid>
      <w:tr w:rsidR="00813A27" w:rsidRPr="00813A27" w14:paraId="66C1F515" w14:textId="77777777" w:rsidTr="00A65300">
        <w:trPr>
          <w:jc w:val="center"/>
        </w:trPr>
        <w:tc>
          <w:tcPr>
            <w:tcW w:w="8702" w:type="dxa"/>
            <w:gridSpan w:val="14"/>
            <w:tcBorders>
              <w:top w:val="nil"/>
              <w:left w:val="nil"/>
              <w:bottom w:val="single" w:sz="4" w:space="0" w:color="auto"/>
              <w:right w:val="nil"/>
            </w:tcBorders>
          </w:tcPr>
          <w:p w14:paraId="400B8B18"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PORCENTAJE DE RESPUESTAS RESPECTO A LOS PRINCIPALES FACTORES QUE PODRÍAN OBSTACULIZAR EL CRECIMIENTO ECONÓMICO EN MÉXICO</w:t>
            </w:r>
          </w:p>
          <w:p w14:paraId="15E3FF33"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-Distribución porcentual de respuestas-</w:t>
            </w:r>
          </w:p>
        </w:tc>
      </w:tr>
      <w:tr w:rsidR="00813A27" w:rsidRPr="00A65300" w14:paraId="7DAD2B6F" w14:textId="77777777" w:rsidTr="00A65300">
        <w:trPr>
          <w:jc w:val="center"/>
        </w:trPr>
        <w:tc>
          <w:tcPr>
            <w:tcW w:w="3115" w:type="dxa"/>
            <w:vMerge w:val="restart"/>
            <w:tcBorders>
              <w:top w:val="single" w:sz="4" w:space="0" w:color="auto"/>
              <w:left w:val="single" w:sz="4" w:space="0" w:color="auto"/>
              <w:bottom w:val="single" w:sz="4" w:space="0" w:color="auto"/>
              <w:right w:val="single" w:sz="4" w:space="0" w:color="auto"/>
            </w:tcBorders>
            <w:vAlign w:val="center"/>
          </w:tcPr>
          <w:p w14:paraId="39E41141" w14:textId="77777777" w:rsidR="00813A27" w:rsidRPr="00A65300" w:rsidRDefault="00813A27" w:rsidP="00813A27">
            <w:pPr>
              <w:jc w:val="center"/>
              <w:rPr>
                <w:rFonts w:eastAsia="Calibri"/>
                <w:b/>
                <w:sz w:val="14"/>
                <w:szCs w:val="14"/>
                <w:lang w:eastAsia="en-US"/>
              </w:rPr>
            </w:pPr>
          </w:p>
        </w:tc>
        <w:tc>
          <w:tcPr>
            <w:tcW w:w="4256" w:type="dxa"/>
            <w:gridSpan w:val="10"/>
            <w:tcBorders>
              <w:top w:val="single" w:sz="4" w:space="0" w:color="auto"/>
              <w:left w:val="single" w:sz="4" w:space="0" w:color="auto"/>
              <w:bottom w:val="single" w:sz="4" w:space="0" w:color="auto"/>
              <w:right w:val="single" w:sz="4" w:space="0" w:color="auto"/>
            </w:tcBorders>
          </w:tcPr>
          <w:p w14:paraId="7D76B04B" w14:textId="77777777" w:rsidR="00813A27" w:rsidRPr="00A65300" w:rsidRDefault="00813A27" w:rsidP="00813A27">
            <w:pPr>
              <w:ind w:right="-57"/>
              <w:jc w:val="center"/>
              <w:rPr>
                <w:rFonts w:eastAsia="Calibri"/>
                <w:b/>
                <w:sz w:val="14"/>
                <w:szCs w:val="14"/>
                <w:lang w:eastAsia="en-US"/>
              </w:rPr>
            </w:pPr>
            <w:r w:rsidRPr="00A65300">
              <w:rPr>
                <w:rFonts w:eastAsia="Calibri"/>
                <w:b/>
                <w:sz w:val="14"/>
                <w:szCs w:val="14"/>
                <w:lang w:eastAsia="en-US"/>
              </w:rPr>
              <w:t>2014</w:t>
            </w:r>
          </w:p>
        </w:tc>
        <w:tc>
          <w:tcPr>
            <w:tcW w:w="1331" w:type="dxa"/>
            <w:gridSpan w:val="3"/>
            <w:tcBorders>
              <w:top w:val="single" w:sz="4" w:space="0" w:color="auto"/>
              <w:left w:val="single" w:sz="4" w:space="0" w:color="auto"/>
              <w:bottom w:val="single" w:sz="4" w:space="0" w:color="auto"/>
              <w:right w:val="single" w:sz="4" w:space="0" w:color="auto"/>
            </w:tcBorders>
          </w:tcPr>
          <w:p w14:paraId="4D562A9A" w14:textId="77777777" w:rsidR="00813A27" w:rsidRPr="00A65300" w:rsidRDefault="00813A27" w:rsidP="00813A27">
            <w:pPr>
              <w:ind w:right="-57"/>
              <w:jc w:val="center"/>
              <w:rPr>
                <w:rFonts w:eastAsia="Calibri"/>
                <w:b/>
                <w:sz w:val="14"/>
                <w:szCs w:val="14"/>
                <w:lang w:eastAsia="en-US"/>
              </w:rPr>
            </w:pPr>
            <w:r w:rsidRPr="00A65300">
              <w:rPr>
                <w:rFonts w:eastAsia="Calibri"/>
                <w:b/>
                <w:sz w:val="14"/>
                <w:szCs w:val="14"/>
                <w:lang w:eastAsia="en-US"/>
              </w:rPr>
              <w:t>2015</w:t>
            </w:r>
          </w:p>
        </w:tc>
      </w:tr>
      <w:tr w:rsidR="00813A27" w:rsidRPr="00A65300" w14:paraId="6069ABF7" w14:textId="77777777" w:rsidTr="00A65300">
        <w:trPr>
          <w:jc w:val="center"/>
        </w:trPr>
        <w:tc>
          <w:tcPr>
            <w:tcW w:w="3115" w:type="dxa"/>
            <w:vMerge/>
            <w:tcBorders>
              <w:top w:val="single" w:sz="4" w:space="0" w:color="auto"/>
              <w:left w:val="single" w:sz="4" w:space="0" w:color="auto"/>
              <w:bottom w:val="single" w:sz="4" w:space="0" w:color="auto"/>
              <w:right w:val="single" w:sz="4" w:space="0" w:color="auto"/>
            </w:tcBorders>
          </w:tcPr>
          <w:p w14:paraId="77684B30" w14:textId="77777777" w:rsidR="00813A27" w:rsidRPr="00A65300" w:rsidRDefault="00813A27" w:rsidP="00813A27">
            <w:pPr>
              <w:jc w:val="both"/>
              <w:rPr>
                <w:rFonts w:eastAsia="Calibri"/>
                <w:b/>
                <w:sz w:val="14"/>
                <w:szCs w:val="14"/>
                <w:lang w:eastAsia="en-US"/>
              </w:rPr>
            </w:pPr>
          </w:p>
        </w:tc>
        <w:tc>
          <w:tcPr>
            <w:tcW w:w="424" w:type="dxa"/>
            <w:tcBorders>
              <w:top w:val="single" w:sz="4" w:space="0" w:color="auto"/>
              <w:left w:val="single" w:sz="4" w:space="0" w:color="auto"/>
              <w:bottom w:val="single" w:sz="4" w:space="0" w:color="auto"/>
              <w:right w:val="single" w:sz="4" w:space="0" w:color="auto"/>
            </w:tcBorders>
          </w:tcPr>
          <w:p w14:paraId="77197907"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Mar.</w:t>
            </w:r>
          </w:p>
        </w:tc>
        <w:tc>
          <w:tcPr>
            <w:tcW w:w="425" w:type="dxa"/>
            <w:tcBorders>
              <w:top w:val="single" w:sz="4" w:space="0" w:color="auto"/>
              <w:left w:val="single" w:sz="4" w:space="0" w:color="auto"/>
              <w:bottom w:val="single" w:sz="4" w:space="0" w:color="auto"/>
              <w:right w:val="single" w:sz="4" w:space="0" w:color="auto"/>
            </w:tcBorders>
          </w:tcPr>
          <w:p w14:paraId="274506D8"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Abr.</w:t>
            </w:r>
          </w:p>
        </w:tc>
        <w:tc>
          <w:tcPr>
            <w:tcW w:w="426" w:type="dxa"/>
            <w:tcBorders>
              <w:top w:val="single" w:sz="4" w:space="0" w:color="auto"/>
              <w:left w:val="single" w:sz="4" w:space="0" w:color="auto"/>
              <w:bottom w:val="single" w:sz="4" w:space="0" w:color="auto"/>
              <w:right w:val="single" w:sz="4" w:space="0" w:color="auto"/>
            </w:tcBorders>
          </w:tcPr>
          <w:p w14:paraId="1E244557"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May.</w:t>
            </w:r>
          </w:p>
        </w:tc>
        <w:tc>
          <w:tcPr>
            <w:tcW w:w="426" w:type="dxa"/>
            <w:tcBorders>
              <w:top w:val="single" w:sz="4" w:space="0" w:color="auto"/>
              <w:left w:val="single" w:sz="4" w:space="0" w:color="auto"/>
              <w:bottom w:val="single" w:sz="4" w:space="0" w:color="auto"/>
              <w:right w:val="single" w:sz="4" w:space="0" w:color="auto"/>
            </w:tcBorders>
          </w:tcPr>
          <w:p w14:paraId="7084EF46"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Jun.</w:t>
            </w:r>
          </w:p>
        </w:tc>
        <w:tc>
          <w:tcPr>
            <w:tcW w:w="425" w:type="dxa"/>
            <w:tcBorders>
              <w:top w:val="single" w:sz="4" w:space="0" w:color="auto"/>
              <w:left w:val="single" w:sz="4" w:space="0" w:color="auto"/>
              <w:bottom w:val="single" w:sz="4" w:space="0" w:color="auto"/>
              <w:right w:val="single" w:sz="4" w:space="0" w:color="auto"/>
            </w:tcBorders>
          </w:tcPr>
          <w:p w14:paraId="36DC3403"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Jul.</w:t>
            </w:r>
          </w:p>
        </w:tc>
        <w:tc>
          <w:tcPr>
            <w:tcW w:w="425" w:type="dxa"/>
            <w:tcBorders>
              <w:top w:val="single" w:sz="4" w:space="0" w:color="auto"/>
              <w:left w:val="single" w:sz="4" w:space="0" w:color="auto"/>
              <w:bottom w:val="single" w:sz="4" w:space="0" w:color="auto"/>
              <w:right w:val="single" w:sz="4" w:space="0" w:color="auto"/>
            </w:tcBorders>
          </w:tcPr>
          <w:p w14:paraId="38C41A00"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Ago.</w:t>
            </w:r>
          </w:p>
        </w:tc>
        <w:tc>
          <w:tcPr>
            <w:tcW w:w="426" w:type="dxa"/>
            <w:tcBorders>
              <w:top w:val="single" w:sz="4" w:space="0" w:color="auto"/>
              <w:left w:val="single" w:sz="4" w:space="0" w:color="auto"/>
              <w:bottom w:val="single" w:sz="4" w:space="0" w:color="auto"/>
              <w:right w:val="single" w:sz="4" w:space="0" w:color="auto"/>
            </w:tcBorders>
          </w:tcPr>
          <w:p w14:paraId="562653B5"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Sep.</w:t>
            </w:r>
          </w:p>
        </w:tc>
        <w:tc>
          <w:tcPr>
            <w:tcW w:w="429" w:type="dxa"/>
            <w:tcBorders>
              <w:top w:val="single" w:sz="4" w:space="0" w:color="auto"/>
              <w:left w:val="single" w:sz="4" w:space="0" w:color="auto"/>
              <w:bottom w:val="single" w:sz="4" w:space="0" w:color="auto"/>
              <w:right w:val="single" w:sz="4" w:space="0" w:color="auto"/>
            </w:tcBorders>
          </w:tcPr>
          <w:p w14:paraId="17661B33"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Oct.</w:t>
            </w:r>
          </w:p>
        </w:tc>
        <w:tc>
          <w:tcPr>
            <w:tcW w:w="425" w:type="dxa"/>
            <w:tcBorders>
              <w:top w:val="single" w:sz="4" w:space="0" w:color="auto"/>
              <w:left w:val="single" w:sz="4" w:space="0" w:color="auto"/>
              <w:bottom w:val="single" w:sz="4" w:space="0" w:color="auto"/>
              <w:right w:val="single" w:sz="4" w:space="0" w:color="auto"/>
            </w:tcBorders>
          </w:tcPr>
          <w:p w14:paraId="432E4234"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Nov.</w:t>
            </w:r>
          </w:p>
        </w:tc>
        <w:tc>
          <w:tcPr>
            <w:tcW w:w="425" w:type="dxa"/>
            <w:tcBorders>
              <w:top w:val="single" w:sz="4" w:space="0" w:color="auto"/>
              <w:left w:val="single" w:sz="4" w:space="0" w:color="auto"/>
              <w:bottom w:val="single" w:sz="4" w:space="0" w:color="auto"/>
              <w:right w:val="single" w:sz="4" w:space="0" w:color="auto"/>
            </w:tcBorders>
          </w:tcPr>
          <w:p w14:paraId="60AE9417"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Dic.</w:t>
            </w:r>
          </w:p>
        </w:tc>
        <w:tc>
          <w:tcPr>
            <w:tcW w:w="426" w:type="dxa"/>
            <w:tcBorders>
              <w:top w:val="single" w:sz="4" w:space="0" w:color="auto"/>
              <w:left w:val="single" w:sz="4" w:space="0" w:color="auto"/>
              <w:bottom w:val="single" w:sz="4" w:space="0" w:color="auto"/>
              <w:right w:val="single" w:sz="4" w:space="0" w:color="auto"/>
            </w:tcBorders>
          </w:tcPr>
          <w:p w14:paraId="24740FF9"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Ene.</w:t>
            </w:r>
          </w:p>
        </w:tc>
        <w:tc>
          <w:tcPr>
            <w:tcW w:w="466" w:type="dxa"/>
            <w:tcBorders>
              <w:top w:val="single" w:sz="4" w:space="0" w:color="auto"/>
              <w:left w:val="single" w:sz="4" w:space="0" w:color="auto"/>
              <w:bottom w:val="single" w:sz="4" w:space="0" w:color="auto"/>
              <w:right w:val="single" w:sz="4" w:space="0" w:color="auto"/>
            </w:tcBorders>
          </w:tcPr>
          <w:p w14:paraId="1395803A"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Feb.</w:t>
            </w:r>
          </w:p>
        </w:tc>
        <w:tc>
          <w:tcPr>
            <w:tcW w:w="439" w:type="dxa"/>
            <w:tcBorders>
              <w:top w:val="single" w:sz="4" w:space="0" w:color="auto"/>
              <w:left w:val="single" w:sz="4" w:space="0" w:color="auto"/>
              <w:bottom w:val="single" w:sz="4" w:space="0" w:color="auto"/>
              <w:right w:val="single" w:sz="4" w:space="0" w:color="auto"/>
            </w:tcBorders>
          </w:tcPr>
          <w:p w14:paraId="6964F075" w14:textId="77777777" w:rsidR="00813A27" w:rsidRPr="00A65300" w:rsidRDefault="00813A27" w:rsidP="00813A27">
            <w:pPr>
              <w:ind w:right="-113"/>
              <w:jc w:val="center"/>
              <w:rPr>
                <w:rFonts w:eastAsia="Calibri"/>
                <w:b/>
                <w:sz w:val="14"/>
                <w:szCs w:val="14"/>
                <w:lang w:eastAsia="en-US"/>
              </w:rPr>
            </w:pPr>
            <w:r w:rsidRPr="00A65300">
              <w:rPr>
                <w:rFonts w:eastAsia="Calibri"/>
                <w:b/>
                <w:sz w:val="14"/>
                <w:szCs w:val="14"/>
                <w:lang w:eastAsia="en-US"/>
              </w:rPr>
              <w:t>Mar.</w:t>
            </w:r>
          </w:p>
        </w:tc>
      </w:tr>
      <w:tr w:rsidR="00813A27" w:rsidRPr="00813A27" w14:paraId="51EC6163" w14:textId="77777777" w:rsidTr="00A65300">
        <w:trPr>
          <w:jc w:val="center"/>
        </w:trPr>
        <w:tc>
          <w:tcPr>
            <w:tcW w:w="3115" w:type="dxa"/>
            <w:tcBorders>
              <w:top w:val="single" w:sz="4" w:space="0" w:color="auto"/>
              <w:left w:val="single" w:sz="4" w:space="0" w:color="auto"/>
              <w:right w:val="single" w:sz="4" w:space="0" w:color="auto"/>
            </w:tcBorders>
          </w:tcPr>
          <w:p w14:paraId="50F71F69"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Problemas de inseguridad pública</w:t>
            </w:r>
          </w:p>
        </w:tc>
        <w:tc>
          <w:tcPr>
            <w:tcW w:w="424" w:type="dxa"/>
            <w:tcBorders>
              <w:top w:val="single" w:sz="4" w:space="0" w:color="auto"/>
              <w:left w:val="single" w:sz="4" w:space="0" w:color="auto"/>
              <w:right w:val="single" w:sz="4" w:space="0" w:color="auto"/>
            </w:tcBorders>
          </w:tcPr>
          <w:p w14:paraId="337CE29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21</w:t>
            </w:r>
          </w:p>
        </w:tc>
        <w:tc>
          <w:tcPr>
            <w:tcW w:w="425" w:type="dxa"/>
            <w:tcBorders>
              <w:top w:val="single" w:sz="4" w:space="0" w:color="auto"/>
              <w:left w:val="single" w:sz="4" w:space="0" w:color="auto"/>
              <w:right w:val="single" w:sz="4" w:space="0" w:color="auto"/>
            </w:tcBorders>
          </w:tcPr>
          <w:p w14:paraId="590CFCA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20</w:t>
            </w:r>
          </w:p>
        </w:tc>
        <w:tc>
          <w:tcPr>
            <w:tcW w:w="426" w:type="dxa"/>
            <w:tcBorders>
              <w:top w:val="single" w:sz="4" w:space="0" w:color="auto"/>
              <w:left w:val="single" w:sz="4" w:space="0" w:color="auto"/>
              <w:right w:val="single" w:sz="4" w:space="0" w:color="auto"/>
            </w:tcBorders>
          </w:tcPr>
          <w:p w14:paraId="6245E8B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20</w:t>
            </w:r>
          </w:p>
        </w:tc>
        <w:tc>
          <w:tcPr>
            <w:tcW w:w="426" w:type="dxa"/>
            <w:tcBorders>
              <w:top w:val="single" w:sz="4" w:space="0" w:color="auto"/>
              <w:left w:val="single" w:sz="4" w:space="0" w:color="auto"/>
              <w:right w:val="single" w:sz="4" w:space="0" w:color="auto"/>
            </w:tcBorders>
          </w:tcPr>
          <w:p w14:paraId="2EFE727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20</w:t>
            </w:r>
          </w:p>
        </w:tc>
        <w:tc>
          <w:tcPr>
            <w:tcW w:w="425" w:type="dxa"/>
            <w:tcBorders>
              <w:top w:val="single" w:sz="4" w:space="0" w:color="auto"/>
              <w:left w:val="single" w:sz="4" w:space="0" w:color="auto"/>
              <w:right w:val="single" w:sz="4" w:space="0" w:color="auto"/>
            </w:tcBorders>
          </w:tcPr>
          <w:p w14:paraId="727A87A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19</w:t>
            </w:r>
          </w:p>
        </w:tc>
        <w:tc>
          <w:tcPr>
            <w:tcW w:w="425" w:type="dxa"/>
            <w:tcBorders>
              <w:top w:val="single" w:sz="4" w:space="0" w:color="auto"/>
              <w:left w:val="single" w:sz="4" w:space="0" w:color="auto"/>
              <w:right w:val="single" w:sz="4" w:space="0" w:color="auto"/>
            </w:tcBorders>
          </w:tcPr>
          <w:p w14:paraId="61B35A5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22</w:t>
            </w:r>
          </w:p>
        </w:tc>
        <w:tc>
          <w:tcPr>
            <w:tcW w:w="426" w:type="dxa"/>
            <w:tcBorders>
              <w:top w:val="single" w:sz="4" w:space="0" w:color="auto"/>
              <w:left w:val="single" w:sz="4" w:space="0" w:color="auto"/>
              <w:right w:val="single" w:sz="4" w:space="0" w:color="auto"/>
            </w:tcBorders>
          </w:tcPr>
          <w:p w14:paraId="389D0CC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24</w:t>
            </w:r>
          </w:p>
        </w:tc>
        <w:tc>
          <w:tcPr>
            <w:tcW w:w="429" w:type="dxa"/>
            <w:tcBorders>
              <w:top w:val="single" w:sz="4" w:space="0" w:color="auto"/>
              <w:left w:val="single" w:sz="4" w:space="0" w:color="auto"/>
              <w:right w:val="single" w:sz="4" w:space="0" w:color="auto"/>
            </w:tcBorders>
          </w:tcPr>
          <w:p w14:paraId="7BFFF3F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26</w:t>
            </w:r>
          </w:p>
        </w:tc>
        <w:tc>
          <w:tcPr>
            <w:tcW w:w="425" w:type="dxa"/>
            <w:tcBorders>
              <w:top w:val="single" w:sz="4" w:space="0" w:color="auto"/>
              <w:left w:val="single" w:sz="4" w:space="0" w:color="auto"/>
              <w:right w:val="single" w:sz="4" w:space="0" w:color="auto"/>
            </w:tcBorders>
          </w:tcPr>
          <w:p w14:paraId="253F94D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26</w:t>
            </w:r>
          </w:p>
        </w:tc>
        <w:tc>
          <w:tcPr>
            <w:tcW w:w="425" w:type="dxa"/>
            <w:tcBorders>
              <w:top w:val="single" w:sz="4" w:space="0" w:color="auto"/>
              <w:left w:val="single" w:sz="4" w:space="0" w:color="auto"/>
              <w:right w:val="single" w:sz="4" w:space="0" w:color="auto"/>
            </w:tcBorders>
          </w:tcPr>
          <w:p w14:paraId="133CC50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23</w:t>
            </w:r>
          </w:p>
        </w:tc>
        <w:tc>
          <w:tcPr>
            <w:tcW w:w="426" w:type="dxa"/>
            <w:tcBorders>
              <w:top w:val="single" w:sz="4" w:space="0" w:color="auto"/>
              <w:left w:val="single" w:sz="4" w:space="0" w:color="auto"/>
              <w:right w:val="single" w:sz="4" w:space="0" w:color="auto"/>
            </w:tcBorders>
          </w:tcPr>
          <w:p w14:paraId="1D608D9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26</w:t>
            </w:r>
          </w:p>
        </w:tc>
        <w:tc>
          <w:tcPr>
            <w:tcW w:w="466" w:type="dxa"/>
            <w:tcBorders>
              <w:top w:val="single" w:sz="4" w:space="0" w:color="auto"/>
              <w:left w:val="single" w:sz="4" w:space="0" w:color="auto"/>
              <w:right w:val="single" w:sz="4" w:space="0" w:color="auto"/>
            </w:tcBorders>
          </w:tcPr>
          <w:p w14:paraId="1C24BC1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24</w:t>
            </w:r>
          </w:p>
        </w:tc>
        <w:tc>
          <w:tcPr>
            <w:tcW w:w="439" w:type="dxa"/>
            <w:tcBorders>
              <w:top w:val="single" w:sz="4" w:space="0" w:color="auto"/>
              <w:left w:val="single" w:sz="4" w:space="0" w:color="auto"/>
              <w:right w:val="single" w:sz="4" w:space="0" w:color="auto"/>
            </w:tcBorders>
            <w:shd w:val="clear" w:color="auto" w:fill="auto"/>
          </w:tcPr>
          <w:p w14:paraId="485076D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22</w:t>
            </w:r>
          </w:p>
        </w:tc>
      </w:tr>
      <w:tr w:rsidR="00813A27" w:rsidRPr="00813A27" w14:paraId="40B50BCF" w14:textId="77777777" w:rsidTr="00A65300">
        <w:trPr>
          <w:jc w:val="center"/>
        </w:trPr>
        <w:tc>
          <w:tcPr>
            <w:tcW w:w="3115" w:type="dxa"/>
            <w:tcBorders>
              <w:left w:val="single" w:sz="4" w:space="0" w:color="auto"/>
              <w:right w:val="single" w:sz="4" w:space="0" w:color="auto"/>
            </w:tcBorders>
          </w:tcPr>
          <w:p w14:paraId="7460E4C9"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Plataforma de producción petrolera</w:t>
            </w:r>
            <w:r w:rsidRPr="00813A27">
              <w:rPr>
                <w:rFonts w:eastAsia="Calibri"/>
                <w:sz w:val="14"/>
                <w:szCs w:val="14"/>
                <w:u w:val="single"/>
                <w:vertAlign w:val="superscript"/>
                <w:lang w:eastAsia="en-US"/>
              </w:rPr>
              <w:t>1</w:t>
            </w:r>
            <w:r w:rsidRPr="00813A27">
              <w:rPr>
                <w:rFonts w:eastAsia="Calibri"/>
                <w:sz w:val="14"/>
                <w:szCs w:val="14"/>
                <w:vertAlign w:val="superscript"/>
                <w:lang w:eastAsia="en-US"/>
              </w:rPr>
              <w:t>/</w:t>
            </w:r>
          </w:p>
        </w:tc>
        <w:tc>
          <w:tcPr>
            <w:tcW w:w="424" w:type="dxa"/>
            <w:tcBorders>
              <w:left w:val="single" w:sz="4" w:space="0" w:color="auto"/>
              <w:right w:val="single" w:sz="4" w:space="0" w:color="auto"/>
            </w:tcBorders>
          </w:tcPr>
          <w:p w14:paraId="4435DA5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1064E6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9FA25C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C88EA4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B90D0E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DAC0F3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CD0287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78AC35C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1977B5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B62A77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2BF86A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089D94C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2060E81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r>
      <w:tr w:rsidR="00813A27" w:rsidRPr="00813A27" w14:paraId="6A513933" w14:textId="77777777" w:rsidTr="00A65300">
        <w:trPr>
          <w:jc w:val="center"/>
        </w:trPr>
        <w:tc>
          <w:tcPr>
            <w:tcW w:w="3115" w:type="dxa"/>
            <w:tcBorders>
              <w:left w:val="single" w:sz="4" w:space="0" w:color="auto"/>
              <w:right w:val="single" w:sz="4" w:space="0" w:color="auto"/>
            </w:tcBorders>
          </w:tcPr>
          <w:p w14:paraId="7C92D964"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Debilidad del mercado interno</w:t>
            </w:r>
          </w:p>
        </w:tc>
        <w:tc>
          <w:tcPr>
            <w:tcW w:w="424" w:type="dxa"/>
            <w:tcBorders>
              <w:left w:val="single" w:sz="4" w:space="0" w:color="auto"/>
              <w:right w:val="single" w:sz="4" w:space="0" w:color="auto"/>
            </w:tcBorders>
            <w:shd w:val="clear" w:color="auto" w:fill="auto"/>
          </w:tcPr>
          <w:p w14:paraId="28AABF5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25" w:type="dxa"/>
            <w:tcBorders>
              <w:left w:val="single" w:sz="4" w:space="0" w:color="auto"/>
              <w:right w:val="single" w:sz="4" w:space="0" w:color="auto"/>
            </w:tcBorders>
            <w:shd w:val="clear" w:color="auto" w:fill="auto"/>
          </w:tcPr>
          <w:p w14:paraId="397A9F8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15</w:t>
            </w:r>
          </w:p>
        </w:tc>
        <w:tc>
          <w:tcPr>
            <w:tcW w:w="426" w:type="dxa"/>
            <w:tcBorders>
              <w:left w:val="single" w:sz="4" w:space="0" w:color="auto"/>
              <w:right w:val="single" w:sz="4" w:space="0" w:color="auto"/>
            </w:tcBorders>
            <w:shd w:val="clear" w:color="auto" w:fill="auto"/>
          </w:tcPr>
          <w:p w14:paraId="3045F53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26" w:type="dxa"/>
            <w:tcBorders>
              <w:left w:val="single" w:sz="4" w:space="0" w:color="auto"/>
              <w:right w:val="single" w:sz="4" w:space="0" w:color="auto"/>
            </w:tcBorders>
            <w:shd w:val="clear" w:color="auto" w:fill="auto"/>
          </w:tcPr>
          <w:p w14:paraId="06DD71F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18</w:t>
            </w:r>
          </w:p>
        </w:tc>
        <w:tc>
          <w:tcPr>
            <w:tcW w:w="425" w:type="dxa"/>
            <w:tcBorders>
              <w:left w:val="single" w:sz="4" w:space="0" w:color="auto"/>
              <w:right w:val="single" w:sz="4" w:space="0" w:color="auto"/>
            </w:tcBorders>
            <w:shd w:val="clear" w:color="auto" w:fill="auto"/>
          </w:tcPr>
          <w:p w14:paraId="786AA80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15</w:t>
            </w:r>
          </w:p>
        </w:tc>
        <w:tc>
          <w:tcPr>
            <w:tcW w:w="425" w:type="dxa"/>
            <w:tcBorders>
              <w:left w:val="single" w:sz="4" w:space="0" w:color="auto"/>
              <w:right w:val="single" w:sz="4" w:space="0" w:color="auto"/>
            </w:tcBorders>
            <w:shd w:val="clear" w:color="auto" w:fill="auto"/>
          </w:tcPr>
          <w:p w14:paraId="2EBE4DA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19</w:t>
            </w:r>
          </w:p>
        </w:tc>
        <w:tc>
          <w:tcPr>
            <w:tcW w:w="426" w:type="dxa"/>
            <w:tcBorders>
              <w:left w:val="single" w:sz="4" w:space="0" w:color="auto"/>
              <w:right w:val="single" w:sz="4" w:space="0" w:color="auto"/>
            </w:tcBorders>
            <w:shd w:val="clear" w:color="auto" w:fill="auto"/>
          </w:tcPr>
          <w:p w14:paraId="55B5991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14</w:t>
            </w:r>
          </w:p>
        </w:tc>
        <w:tc>
          <w:tcPr>
            <w:tcW w:w="429" w:type="dxa"/>
            <w:tcBorders>
              <w:left w:val="single" w:sz="4" w:space="0" w:color="auto"/>
              <w:right w:val="single" w:sz="4" w:space="0" w:color="auto"/>
            </w:tcBorders>
            <w:shd w:val="clear" w:color="auto" w:fill="auto"/>
          </w:tcPr>
          <w:p w14:paraId="32BE111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25" w:type="dxa"/>
            <w:tcBorders>
              <w:left w:val="single" w:sz="4" w:space="0" w:color="auto"/>
              <w:right w:val="single" w:sz="4" w:space="0" w:color="auto"/>
            </w:tcBorders>
            <w:shd w:val="clear" w:color="auto" w:fill="auto"/>
          </w:tcPr>
          <w:p w14:paraId="40A393F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25" w:type="dxa"/>
            <w:tcBorders>
              <w:left w:val="single" w:sz="4" w:space="0" w:color="auto"/>
              <w:right w:val="single" w:sz="4" w:space="0" w:color="auto"/>
            </w:tcBorders>
            <w:shd w:val="clear" w:color="auto" w:fill="auto"/>
          </w:tcPr>
          <w:p w14:paraId="5E709CC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6" w:type="dxa"/>
            <w:tcBorders>
              <w:left w:val="single" w:sz="4" w:space="0" w:color="auto"/>
              <w:right w:val="single" w:sz="4" w:space="0" w:color="auto"/>
            </w:tcBorders>
            <w:shd w:val="clear" w:color="auto" w:fill="auto"/>
          </w:tcPr>
          <w:p w14:paraId="213AAE7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14</w:t>
            </w:r>
          </w:p>
        </w:tc>
        <w:tc>
          <w:tcPr>
            <w:tcW w:w="466" w:type="dxa"/>
            <w:tcBorders>
              <w:left w:val="single" w:sz="4" w:space="0" w:color="auto"/>
              <w:right w:val="single" w:sz="4" w:space="0" w:color="auto"/>
            </w:tcBorders>
            <w:shd w:val="clear" w:color="auto" w:fill="auto"/>
          </w:tcPr>
          <w:p w14:paraId="634506D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39" w:type="dxa"/>
            <w:tcBorders>
              <w:left w:val="single" w:sz="4" w:space="0" w:color="auto"/>
              <w:right w:val="single" w:sz="4" w:space="0" w:color="auto"/>
            </w:tcBorders>
          </w:tcPr>
          <w:p w14:paraId="6A23611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r>
      <w:tr w:rsidR="00813A27" w:rsidRPr="00813A27" w14:paraId="521A2EEF" w14:textId="77777777" w:rsidTr="00A65300">
        <w:trPr>
          <w:jc w:val="center"/>
        </w:trPr>
        <w:tc>
          <w:tcPr>
            <w:tcW w:w="3115" w:type="dxa"/>
            <w:tcBorders>
              <w:left w:val="single" w:sz="4" w:space="0" w:color="auto"/>
              <w:right w:val="single" w:sz="4" w:space="0" w:color="auto"/>
            </w:tcBorders>
          </w:tcPr>
          <w:p w14:paraId="490C450D"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Inestabilidad financiera internacional</w:t>
            </w:r>
          </w:p>
        </w:tc>
        <w:tc>
          <w:tcPr>
            <w:tcW w:w="424" w:type="dxa"/>
            <w:tcBorders>
              <w:left w:val="single" w:sz="4" w:space="0" w:color="auto"/>
              <w:right w:val="single" w:sz="4" w:space="0" w:color="auto"/>
            </w:tcBorders>
            <w:shd w:val="clear" w:color="auto" w:fill="auto"/>
          </w:tcPr>
          <w:p w14:paraId="76C1D04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25" w:type="dxa"/>
            <w:tcBorders>
              <w:left w:val="single" w:sz="4" w:space="0" w:color="auto"/>
              <w:right w:val="single" w:sz="4" w:space="0" w:color="auto"/>
            </w:tcBorders>
            <w:shd w:val="clear" w:color="auto" w:fill="auto"/>
          </w:tcPr>
          <w:p w14:paraId="0460E5E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26" w:type="dxa"/>
            <w:tcBorders>
              <w:left w:val="single" w:sz="4" w:space="0" w:color="auto"/>
              <w:right w:val="single" w:sz="4" w:space="0" w:color="auto"/>
            </w:tcBorders>
            <w:shd w:val="clear" w:color="auto" w:fill="auto"/>
          </w:tcPr>
          <w:p w14:paraId="145F9C5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8</w:t>
            </w:r>
          </w:p>
        </w:tc>
        <w:tc>
          <w:tcPr>
            <w:tcW w:w="426" w:type="dxa"/>
            <w:tcBorders>
              <w:left w:val="single" w:sz="4" w:space="0" w:color="auto"/>
              <w:right w:val="single" w:sz="4" w:space="0" w:color="auto"/>
            </w:tcBorders>
            <w:shd w:val="clear" w:color="auto" w:fill="auto"/>
          </w:tcPr>
          <w:p w14:paraId="32FE7B6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67D0A2D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25" w:type="dxa"/>
            <w:tcBorders>
              <w:left w:val="single" w:sz="4" w:space="0" w:color="auto"/>
              <w:right w:val="single" w:sz="4" w:space="0" w:color="auto"/>
            </w:tcBorders>
            <w:shd w:val="clear" w:color="auto" w:fill="auto"/>
          </w:tcPr>
          <w:p w14:paraId="4A03E11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6" w:type="dxa"/>
            <w:tcBorders>
              <w:left w:val="single" w:sz="4" w:space="0" w:color="auto"/>
              <w:right w:val="single" w:sz="4" w:space="0" w:color="auto"/>
            </w:tcBorders>
            <w:shd w:val="clear" w:color="auto" w:fill="auto"/>
          </w:tcPr>
          <w:p w14:paraId="11DEA75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14</w:t>
            </w:r>
          </w:p>
        </w:tc>
        <w:tc>
          <w:tcPr>
            <w:tcW w:w="429" w:type="dxa"/>
            <w:tcBorders>
              <w:left w:val="single" w:sz="4" w:space="0" w:color="auto"/>
              <w:right w:val="single" w:sz="4" w:space="0" w:color="auto"/>
            </w:tcBorders>
            <w:shd w:val="clear" w:color="auto" w:fill="auto"/>
          </w:tcPr>
          <w:p w14:paraId="25C67DB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5" w:type="dxa"/>
            <w:tcBorders>
              <w:left w:val="single" w:sz="4" w:space="0" w:color="auto"/>
              <w:right w:val="single" w:sz="4" w:space="0" w:color="auto"/>
            </w:tcBorders>
            <w:shd w:val="clear" w:color="auto" w:fill="auto"/>
          </w:tcPr>
          <w:p w14:paraId="4AD279E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25" w:type="dxa"/>
            <w:tcBorders>
              <w:left w:val="single" w:sz="4" w:space="0" w:color="auto"/>
              <w:right w:val="single" w:sz="4" w:space="0" w:color="auto"/>
            </w:tcBorders>
            <w:shd w:val="clear" w:color="auto" w:fill="auto"/>
          </w:tcPr>
          <w:p w14:paraId="079C50C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6" w:type="dxa"/>
            <w:tcBorders>
              <w:left w:val="single" w:sz="4" w:space="0" w:color="auto"/>
              <w:right w:val="single" w:sz="4" w:space="0" w:color="auto"/>
            </w:tcBorders>
            <w:shd w:val="clear" w:color="auto" w:fill="auto"/>
          </w:tcPr>
          <w:p w14:paraId="12D3369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66" w:type="dxa"/>
            <w:tcBorders>
              <w:left w:val="single" w:sz="4" w:space="0" w:color="auto"/>
              <w:right w:val="single" w:sz="4" w:space="0" w:color="auto"/>
            </w:tcBorders>
            <w:shd w:val="clear" w:color="auto" w:fill="auto"/>
          </w:tcPr>
          <w:p w14:paraId="4BE2DC7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39" w:type="dxa"/>
            <w:tcBorders>
              <w:left w:val="single" w:sz="4" w:space="0" w:color="auto"/>
              <w:right w:val="single" w:sz="4" w:space="0" w:color="auto"/>
            </w:tcBorders>
            <w:shd w:val="clear" w:color="auto" w:fill="FFFFFF"/>
          </w:tcPr>
          <w:p w14:paraId="5931446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r>
      <w:tr w:rsidR="00813A27" w:rsidRPr="00813A27" w14:paraId="444848F1" w14:textId="77777777" w:rsidTr="00A65300">
        <w:trPr>
          <w:jc w:val="center"/>
        </w:trPr>
        <w:tc>
          <w:tcPr>
            <w:tcW w:w="3115" w:type="dxa"/>
            <w:tcBorders>
              <w:left w:val="single" w:sz="4" w:space="0" w:color="auto"/>
              <w:right w:val="single" w:sz="4" w:space="0" w:color="auto"/>
            </w:tcBorders>
          </w:tcPr>
          <w:p w14:paraId="518768E8"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El precio de exportación del petróleo</w:t>
            </w:r>
          </w:p>
        </w:tc>
        <w:tc>
          <w:tcPr>
            <w:tcW w:w="424" w:type="dxa"/>
            <w:tcBorders>
              <w:left w:val="single" w:sz="4" w:space="0" w:color="auto"/>
              <w:right w:val="single" w:sz="4" w:space="0" w:color="auto"/>
            </w:tcBorders>
          </w:tcPr>
          <w:p w14:paraId="52D05D3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E94745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03F653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5B1B2A1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C2A0A1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3D229D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09BDEE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16C2BD1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8</w:t>
            </w:r>
          </w:p>
        </w:tc>
        <w:tc>
          <w:tcPr>
            <w:tcW w:w="425" w:type="dxa"/>
            <w:tcBorders>
              <w:left w:val="single" w:sz="4" w:space="0" w:color="auto"/>
              <w:right w:val="single" w:sz="4" w:space="0" w:color="auto"/>
            </w:tcBorders>
          </w:tcPr>
          <w:p w14:paraId="47DD53F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tcPr>
          <w:p w14:paraId="10EB8D3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14</w:t>
            </w:r>
          </w:p>
        </w:tc>
        <w:tc>
          <w:tcPr>
            <w:tcW w:w="426" w:type="dxa"/>
            <w:tcBorders>
              <w:left w:val="single" w:sz="4" w:space="0" w:color="auto"/>
              <w:right w:val="single" w:sz="4" w:space="0" w:color="auto"/>
            </w:tcBorders>
          </w:tcPr>
          <w:p w14:paraId="37963AD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66" w:type="dxa"/>
            <w:tcBorders>
              <w:left w:val="single" w:sz="4" w:space="0" w:color="auto"/>
              <w:right w:val="single" w:sz="4" w:space="0" w:color="auto"/>
            </w:tcBorders>
          </w:tcPr>
          <w:p w14:paraId="195B661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39" w:type="dxa"/>
            <w:tcBorders>
              <w:left w:val="single" w:sz="4" w:space="0" w:color="auto"/>
              <w:right w:val="single" w:sz="4" w:space="0" w:color="auto"/>
            </w:tcBorders>
          </w:tcPr>
          <w:p w14:paraId="6267D44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r>
      <w:tr w:rsidR="00813A27" w:rsidRPr="00813A27" w14:paraId="575B4815" w14:textId="77777777" w:rsidTr="00A65300">
        <w:trPr>
          <w:jc w:val="center"/>
        </w:trPr>
        <w:tc>
          <w:tcPr>
            <w:tcW w:w="3115" w:type="dxa"/>
            <w:tcBorders>
              <w:left w:val="single" w:sz="4" w:space="0" w:color="auto"/>
              <w:right w:val="single" w:sz="4" w:space="0" w:color="auto"/>
            </w:tcBorders>
          </w:tcPr>
          <w:p w14:paraId="24231D85"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La política fiscal que se está instrumentando</w:t>
            </w:r>
          </w:p>
        </w:tc>
        <w:tc>
          <w:tcPr>
            <w:tcW w:w="424" w:type="dxa"/>
            <w:tcBorders>
              <w:left w:val="single" w:sz="4" w:space="0" w:color="auto"/>
              <w:right w:val="single" w:sz="4" w:space="0" w:color="auto"/>
            </w:tcBorders>
            <w:shd w:val="clear" w:color="auto" w:fill="auto"/>
          </w:tcPr>
          <w:p w14:paraId="7230343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25" w:type="dxa"/>
            <w:tcBorders>
              <w:left w:val="single" w:sz="4" w:space="0" w:color="auto"/>
              <w:right w:val="single" w:sz="4" w:space="0" w:color="auto"/>
            </w:tcBorders>
            <w:shd w:val="clear" w:color="auto" w:fill="auto"/>
          </w:tcPr>
          <w:p w14:paraId="3E50AF2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6" w:type="dxa"/>
            <w:tcBorders>
              <w:left w:val="single" w:sz="4" w:space="0" w:color="auto"/>
              <w:right w:val="single" w:sz="4" w:space="0" w:color="auto"/>
            </w:tcBorders>
            <w:shd w:val="clear" w:color="auto" w:fill="auto"/>
          </w:tcPr>
          <w:p w14:paraId="385B237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6" w:type="dxa"/>
            <w:tcBorders>
              <w:left w:val="single" w:sz="4" w:space="0" w:color="auto"/>
              <w:right w:val="single" w:sz="4" w:space="0" w:color="auto"/>
            </w:tcBorders>
            <w:shd w:val="clear" w:color="auto" w:fill="auto"/>
          </w:tcPr>
          <w:p w14:paraId="1B6D231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25" w:type="dxa"/>
            <w:tcBorders>
              <w:left w:val="single" w:sz="4" w:space="0" w:color="auto"/>
              <w:right w:val="single" w:sz="4" w:space="0" w:color="auto"/>
            </w:tcBorders>
            <w:shd w:val="clear" w:color="auto" w:fill="auto"/>
          </w:tcPr>
          <w:p w14:paraId="44E8EBE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5" w:type="dxa"/>
            <w:tcBorders>
              <w:left w:val="single" w:sz="4" w:space="0" w:color="auto"/>
              <w:right w:val="single" w:sz="4" w:space="0" w:color="auto"/>
            </w:tcBorders>
            <w:shd w:val="clear" w:color="auto" w:fill="auto"/>
          </w:tcPr>
          <w:p w14:paraId="36AF952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6" w:type="dxa"/>
            <w:tcBorders>
              <w:left w:val="single" w:sz="4" w:space="0" w:color="auto"/>
              <w:right w:val="single" w:sz="4" w:space="0" w:color="auto"/>
            </w:tcBorders>
            <w:shd w:val="clear" w:color="auto" w:fill="auto"/>
          </w:tcPr>
          <w:p w14:paraId="08F9B98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15</w:t>
            </w:r>
          </w:p>
        </w:tc>
        <w:tc>
          <w:tcPr>
            <w:tcW w:w="429" w:type="dxa"/>
            <w:tcBorders>
              <w:left w:val="single" w:sz="4" w:space="0" w:color="auto"/>
              <w:right w:val="single" w:sz="4" w:space="0" w:color="auto"/>
            </w:tcBorders>
            <w:shd w:val="clear" w:color="auto" w:fill="auto"/>
          </w:tcPr>
          <w:p w14:paraId="6F4F715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5" w:type="dxa"/>
            <w:tcBorders>
              <w:left w:val="single" w:sz="4" w:space="0" w:color="auto"/>
              <w:right w:val="single" w:sz="4" w:space="0" w:color="auto"/>
            </w:tcBorders>
            <w:shd w:val="clear" w:color="auto" w:fill="auto"/>
          </w:tcPr>
          <w:p w14:paraId="55BD109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5" w:type="dxa"/>
            <w:tcBorders>
              <w:left w:val="single" w:sz="4" w:space="0" w:color="auto"/>
              <w:right w:val="single" w:sz="4" w:space="0" w:color="auto"/>
            </w:tcBorders>
            <w:shd w:val="clear" w:color="auto" w:fill="auto"/>
          </w:tcPr>
          <w:p w14:paraId="513365C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7</w:t>
            </w:r>
          </w:p>
        </w:tc>
        <w:tc>
          <w:tcPr>
            <w:tcW w:w="426" w:type="dxa"/>
            <w:tcBorders>
              <w:left w:val="single" w:sz="4" w:space="0" w:color="auto"/>
              <w:right w:val="single" w:sz="4" w:space="0" w:color="auto"/>
            </w:tcBorders>
            <w:shd w:val="clear" w:color="auto" w:fill="auto"/>
          </w:tcPr>
          <w:p w14:paraId="3BD437B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8</w:t>
            </w:r>
          </w:p>
        </w:tc>
        <w:tc>
          <w:tcPr>
            <w:tcW w:w="466" w:type="dxa"/>
            <w:tcBorders>
              <w:left w:val="single" w:sz="4" w:space="0" w:color="auto"/>
              <w:right w:val="single" w:sz="4" w:space="0" w:color="auto"/>
            </w:tcBorders>
            <w:shd w:val="clear" w:color="auto" w:fill="auto"/>
          </w:tcPr>
          <w:p w14:paraId="576B538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39" w:type="dxa"/>
            <w:tcBorders>
              <w:left w:val="single" w:sz="4" w:space="0" w:color="auto"/>
              <w:right w:val="single" w:sz="4" w:space="0" w:color="auto"/>
            </w:tcBorders>
            <w:shd w:val="clear" w:color="auto" w:fill="auto"/>
          </w:tcPr>
          <w:p w14:paraId="4B715F2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r>
      <w:tr w:rsidR="00813A27" w:rsidRPr="00813A27" w14:paraId="1CB7B662" w14:textId="77777777" w:rsidTr="00A65300">
        <w:trPr>
          <w:jc w:val="center"/>
        </w:trPr>
        <w:tc>
          <w:tcPr>
            <w:tcW w:w="3115" w:type="dxa"/>
            <w:tcBorders>
              <w:left w:val="single" w:sz="4" w:space="0" w:color="auto"/>
              <w:right w:val="single" w:sz="4" w:space="0" w:color="auto"/>
            </w:tcBorders>
          </w:tcPr>
          <w:p w14:paraId="63E93853"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Debilidad de mercado externo y de la economía mundial</w:t>
            </w:r>
          </w:p>
        </w:tc>
        <w:tc>
          <w:tcPr>
            <w:tcW w:w="424" w:type="dxa"/>
            <w:tcBorders>
              <w:left w:val="single" w:sz="4" w:space="0" w:color="auto"/>
              <w:right w:val="single" w:sz="4" w:space="0" w:color="auto"/>
            </w:tcBorders>
            <w:shd w:val="clear" w:color="auto" w:fill="auto"/>
            <w:vAlign w:val="center"/>
          </w:tcPr>
          <w:p w14:paraId="0522BB2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25" w:type="dxa"/>
            <w:tcBorders>
              <w:left w:val="single" w:sz="4" w:space="0" w:color="auto"/>
              <w:right w:val="single" w:sz="4" w:space="0" w:color="auto"/>
            </w:tcBorders>
            <w:shd w:val="clear" w:color="auto" w:fill="auto"/>
            <w:vAlign w:val="center"/>
          </w:tcPr>
          <w:p w14:paraId="2073337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6" w:type="dxa"/>
            <w:tcBorders>
              <w:left w:val="single" w:sz="4" w:space="0" w:color="auto"/>
              <w:right w:val="single" w:sz="4" w:space="0" w:color="auto"/>
            </w:tcBorders>
            <w:shd w:val="clear" w:color="auto" w:fill="auto"/>
            <w:vAlign w:val="center"/>
          </w:tcPr>
          <w:p w14:paraId="7E8B3E9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14</w:t>
            </w:r>
          </w:p>
        </w:tc>
        <w:tc>
          <w:tcPr>
            <w:tcW w:w="426" w:type="dxa"/>
            <w:tcBorders>
              <w:left w:val="single" w:sz="4" w:space="0" w:color="auto"/>
              <w:right w:val="single" w:sz="4" w:space="0" w:color="auto"/>
            </w:tcBorders>
            <w:shd w:val="clear" w:color="auto" w:fill="auto"/>
            <w:vAlign w:val="center"/>
          </w:tcPr>
          <w:p w14:paraId="3EEC19B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16</w:t>
            </w:r>
          </w:p>
        </w:tc>
        <w:tc>
          <w:tcPr>
            <w:tcW w:w="425" w:type="dxa"/>
            <w:tcBorders>
              <w:left w:val="single" w:sz="4" w:space="0" w:color="auto"/>
              <w:right w:val="single" w:sz="4" w:space="0" w:color="auto"/>
            </w:tcBorders>
            <w:shd w:val="clear" w:color="auto" w:fill="auto"/>
            <w:vAlign w:val="center"/>
          </w:tcPr>
          <w:p w14:paraId="02A26D0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5" w:type="dxa"/>
            <w:tcBorders>
              <w:left w:val="single" w:sz="4" w:space="0" w:color="auto"/>
              <w:right w:val="single" w:sz="4" w:space="0" w:color="auto"/>
            </w:tcBorders>
            <w:shd w:val="clear" w:color="auto" w:fill="auto"/>
            <w:vAlign w:val="center"/>
          </w:tcPr>
          <w:p w14:paraId="2C3E45B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6" w:type="dxa"/>
            <w:tcBorders>
              <w:left w:val="single" w:sz="4" w:space="0" w:color="auto"/>
              <w:right w:val="single" w:sz="4" w:space="0" w:color="auto"/>
            </w:tcBorders>
            <w:shd w:val="clear" w:color="auto" w:fill="auto"/>
            <w:vAlign w:val="center"/>
          </w:tcPr>
          <w:p w14:paraId="6C056DF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9" w:type="dxa"/>
            <w:tcBorders>
              <w:left w:val="single" w:sz="4" w:space="0" w:color="auto"/>
              <w:right w:val="single" w:sz="4" w:space="0" w:color="auto"/>
            </w:tcBorders>
            <w:shd w:val="clear" w:color="auto" w:fill="auto"/>
            <w:vAlign w:val="center"/>
          </w:tcPr>
          <w:p w14:paraId="2757E66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5" w:type="dxa"/>
            <w:tcBorders>
              <w:left w:val="single" w:sz="4" w:space="0" w:color="auto"/>
              <w:right w:val="single" w:sz="4" w:space="0" w:color="auto"/>
            </w:tcBorders>
            <w:shd w:val="clear" w:color="auto" w:fill="auto"/>
            <w:vAlign w:val="center"/>
          </w:tcPr>
          <w:p w14:paraId="722F099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5" w:type="dxa"/>
            <w:tcBorders>
              <w:left w:val="single" w:sz="4" w:space="0" w:color="auto"/>
              <w:right w:val="single" w:sz="4" w:space="0" w:color="auto"/>
            </w:tcBorders>
            <w:shd w:val="clear" w:color="auto" w:fill="auto"/>
            <w:vAlign w:val="center"/>
          </w:tcPr>
          <w:p w14:paraId="119079B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11</w:t>
            </w:r>
          </w:p>
        </w:tc>
        <w:tc>
          <w:tcPr>
            <w:tcW w:w="426" w:type="dxa"/>
            <w:tcBorders>
              <w:left w:val="single" w:sz="4" w:space="0" w:color="auto"/>
              <w:right w:val="single" w:sz="4" w:space="0" w:color="auto"/>
            </w:tcBorders>
            <w:shd w:val="clear" w:color="auto" w:fill="auto"/>
            <w:vAlign w:val="center"/>
          </w:tcPr>
          <w:p w14:paraId="6E9B405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66" w:type="dxa"/>
            <w:tcBorders>
              <w:left w:val="single" w:sz="4" w:space="0" w:color="auto"/>
              <w:right w:val="single" w:sz="4" w:space="0" w:color="auto"/>
            </w:tcBorders>
            <w:shd w:val="clear" w:color="auto" w:fill="auto"/>
            <w:vAlign w:val="center"/>
          </w:tcPr>
          <w:p w14:paraId="550147E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7</w:t>
            </w:r>
          </w:p>
        </w:tc>
        <w:tc>
          <w:tcPr>
            <w:tcW w:w="439" w:type="dxa"/>
            <w:tcBorders>
              <w:left w:val="single" w:sz="4" w:space="0" w:color="auto"/>
              <w:right w:val="single" w:sz="4" w:space="0" w:color="auto"/>
            </w:tcBorders>
            <w:shd w:val="clear" w:color="auto" w:fill="auto"/>
            <w:vAlign w:val="center"/>
          </w:tcPr>
          <w:p w14:paraId="2D2FC57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7</w:t>
            </w:r>
          </w:p>
        </w:tc>
      </w:tr>
      <w:tr w:rsidR="00813A27" w:rsidRPr="00813A27" w14:paraId="72032958" w14:textId="77777777" w:rsidTr="00A65300">
        <w:trPr>
          <w:jc w:val="center"/>
        </w:trPr>
        <w:tc>
          <w:tcPr>
            <w:tcW w:w="3115" w:type="dxa"/>
            <w:tcBorders>
              <w:left w:val="single" w:sz="4" w:space="0" w:color="auto"/>
              <w:right w:val="single" w:sz="4" w:space="0" w:color="auto"/>
            </w:tcBorders>
          </w:tcPr>
          <w:p w14:paraId="4EDC9801"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Incertidumbre sobre la situación económica interna</w:t>
            </w:r>
          </w:p>
        </w:tc>
        <w:tc>
          <w:tcPr>
            <w:tcW w:w="424" w:type="dxa"/>
            <w:tcBorders>
              <w:left w:val="single" w:sz="4" w:space="0" w:color="auto"/>
              <w:right w:val="single" w:sz="4" w:space="0" w:color="auto"/>
            </w:tcBorders>
            <w:shd w:val="clear" w:color="auto" w:fill="auto"/>
            <w:vAlign w:val="center"/>
          </w:tcPr>
          <w:p w14:paraId="7FC0465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5" w:type="dxa"/>
            <w:tcBorders>
              <w:left w:val="single" w:sz="4" w:space="0" w:color="auto"/>
              <w:right w:val="single" w:sz="4" w:space="0" w:color="auto"/>
            </w:tcBorders>
            <w:shd w:val="clear" w:color="auto" w:fill="auto"/>
            <w:vAlign w:val="center"/>
          </w:tcPr>
          <w:p w14:paraId="0E583C2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12</w:t>
            </w:r>
          </w:p>
        </w:tc>
        <w:tc>
          <w:tcPr>
            <w:tcW w:w="426" w:type="dxa"/>
            <w:tcBorders>
              <w:left w:val="single" w:sz="4" w:space="0" w:color="auto"/>
              <w:right w:val="single" w:sz="4" w:space="0" w:color="auto"/>
            </w:tcBorders>
            <w:shd w:val="clear" w:color="auto" w:fill="auto"/>
            <w:vAlign w:val="center"/>
          </w:tcPr>
          <w:p w14:paraId="6A073F1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13</w:t>
            </w:r>
          </w:p>
        </w:tc>
        <w:tc>
          <w:tcPr>
            <w:tcW w:w="426" w:type="dxa"/>
            <w:tcBorders>
              <w:left w:val="single" w:sz="4" w:space="0" w:color="auto"/>
              <w:right w:val="single" w:sz="4" w:space="0" w:color="auto"/>
            </w:tcBorders>
            <w:shd w:val="clear" w:color="auto" w:fill="auto"/>
            <w:vAlign w:val="center"/>
          </w:tcPr>
          <w:p w14:paraId="330D0AC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8</w:t>
            </w:r>
          </w:p>
        </w:tc>
        <w:tc>
          <w:tcPr>
            <w:tcW w:w="425" w:type="dxa"/>
            <w:tcBorders>
              <w:left w:val="single" w:sz="4" w:space="0" w:color="auto"/>
              <w:right w:val="single" w:sz="4" w:space="0" w:color="auto"/>
            </w:tcBorders>
            <w:shd w:val="clear" w:color="auto" w:fill="auto"/>
            <w:vAlign w:val="center"/>
          </w:tcPr>
          <w:p w14:paraId="166487C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5" w:type="dxa"/>
            <w:tcBorders>
              <w:left w:val="single" w:sz="4" w:space="0" w:color="auto"/>
              <w:right w:val="single" w:sz="4" w:space="0" w:color="auto"/>
            </w:tcBorders>
            <w:shd w:val="clear" w:color="auto" w:fill="auto"/>
            <w:vAlign w:val="center"/>
          </w:tcPr>
          <w:p w14:paraId="29B9E2A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6</w:t>
            </w:r>
          </w:p>
        </w:tc>
        <w:tc>
          <w:tcPr>
            <w:tcW w:w="426" w:type="dxa"/>
            <w:tcBorders>
              <w:left w:val="single" w:sz="4" w:space="0" w:color="auto"/>
              <w:right w:val="single" w:sz="4" w:space="0" w:color="auto"/>
            </w:tcBorders>
            <w:shd w:val="clear" w:color="auto" w:fill="auto"/>
            <w:vAlign w:val="center"/>
          </w:tcPr>
          <w:p w14:paraId="5B3979E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9" w:type="dxa"/>
            <w:tcBorders>
              <w:left w:val="single" w:sz="4" w:space="0" w:color="auto"/>
              <w:right w:val="single" w:sz="4" w:space="0" w:color="auto"/>
            </w:tcBorders>
            <w:shd w:val="clear" w:color="auto" w:fill="auto"/>
            <w:vAlign w:val="center"/>
          </w:tcPr>
          <w:p w14:paraId="4705C30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shd w:val="clear" w:color="auto" w:fill="auto"/>
            <w:vAlign w:val="center"/>
          </w:tcPr>
          <w:p w14:paraId="4318651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8</w:t>
            </w:r>
          </w:p>
        </w:tc>
        <w:tc>
          <w:tcPr>
            <w:tcW w:w="425" w:type="dxa"/>
            <w:tcBorders>
              <w:left w:val="single" w:sz="4" w:space="0" w:color="auto"/>
              <w:right w:val="single" w:sz="4" w:space="0" w:color="auto"/>
            </w:tcBorders>
            <w:shd w:val="clear" w:color="auto" w:fill="auto"/>
            <w:vAlign w:val="center"/>
          </w:tcPr>
          <w:p w14:paraId="19EA48D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6</w:t>
            </w:r>
          </w:p>
        </w:tc>
        <w:tc>
          <w:tcPr>
            <w:tcW w:w="426" w:type="dxa"/>
            <w:tcBorders>
              <w:left w:val="single" w:sz="4" w:space="0" w:color="auto"/>
              <w:right w:val="single" w:sz="4" w:space="0" w:color="auto"/>
            </w:tcBorders>
            <w:shd w:val="clear" w:color="auto" w:fill="auto"/>
            <w:vAlign w:val="center"/>
          </w:tcPr>
          <w:p w14:paraId="4BF9501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66" w:type="dxa"/>
            <w:tcBorders>
              <w:left w:val="single" w:sz="4" w:space="0" w:color="auto"/>
              <w:right w:val="single" w:sz="4" w:space="0" w:color="auto"/>
            </w:tcBorders>
            <w:shd w:val="clear" w:color="auto" w:fill="auto"/>
            <w:vAlign w:val="center"/>
          </w:tcPr>
          <w:p w14:paraId="3683A44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39" w:type="dxa"/>
            <w:tcBorders>
              <w:left w:val="single" w:sz="4" w:space="0" w:color="auto"/>
              <w:right w:val="single" w:sz="4" w:space="0" w:color="auto"/>
            </w:tcBorders>
            <w:vAlign w:val="center"/>
          </w:tcPr>
          <w:p w14:paraId="7343258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7</w:t>
            </w:r>
          </w:p>
        </w:tc>
      </w:tr>
      <w:tr w:rsidR="00813A27" w:rsidRPr="00813A27" w14:paraId="255B75A2" w14:textId="77777777" w:rsidTr="00A65300">
        <w:trPr>
          <w:jc w:val="center"/>
        </w:trPr>
        <w:tc>
          <w:tcPr>
            <w:tcW w:w="3115" w:type="dxa"/>
            <w:tcBorders>
              <w:left w:val="single" w:sz="4" w:space="0" w:color="auto"/>
              <w:right w:val="single" w:sz="4" w:space="0" w:color="auto"/>
            </w:tcBorders>
          </w:tcPr>
          <w:p w14:paraId="7E56007D"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Incertidumbre cambiaria</w:t>
            </w:r>
          </w:p>
        </w:tc>
        <w:tc>
          <w:tcPr>
            <w:tcW w:w="424" w:type="dxa"/>
            <w:tcBorders>
              <w:left w:val="single" w:sz="4" w:space="0" w:color="auto"/>
              <w:right w:val="single" w:sz="4" w:space="0" w:color="auto"/>
            </w:tcBorders>
          </w:tcPr>
          <w:p w14:paraId="445DAE6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58F95E8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71ACD74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ECAD3E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62EE43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FF5A91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E637C3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39A0322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51B1C20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B6DBD5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5</w:t>
            </w:r>
          </w:p>
        </w:tc>
        <w:tc>
          <w:tcPr>
            <w:tcW w:w="426" w:type="dxa"/>
            <w:tcBorders>
              <w:left w:val="single" w:sz="4" w:space="0" w:color="auto"/>
              <w:right w:val="single" w:sz="4" w:space="0" w:color="auto"/>
            </w:tcBorders>
          </w:tcPr>
          <w:p w14:paraId="2C06A0C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1552E62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39" w:type="dxa"/>
            <w:tcBorders>
              <w:left w:val="single" w:sz="4" w:space="0" w:color="auto"/>
              <w:right w:val="single" w:sz="4" w:space="0" w:color="auto"/>
            </w:tcBorders>
          </w:tcPr>
          <w:p w14:paraId="2853792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r>
      <w:tr w:rsidR="00813A27" w:rsidRPr="00813A27" w14:paraId="302D23E2" w14:textId="77777777" w:rsidTr="00A65300">
        <w:trPr>
          <w:jc w:val="center"/>
        </w:trPr>
        <w:tc>
          <w:tcPr>
            <w:tcW w:w="3115" w:type="dxa"/>
            <w:tcBorders>
              <w:left w:val="single" w:sz="4" w:space="0" w:color="auto"/>
              <w:right w:val="single" w:sz="4" w:space="0" w:color="auto"/>
            </w:tcBorders>
          </w:tcPr>
          <w:p w14:paraId="40BC7EA0"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Incertidumbre política interna</w:t>
            </w:r>
          </w:p>
        </w:tc>
        <w:tc>
          <w:tcPr>
            <w:tcW w:w="424" w:type="dxa"/>
            <w:tcBorders>
              <w:left w:val="single" w:sz="4" w:space="0" w:color="auto"/>
              <w:right w:val="single" w:sz="4" w:space="0" w:color="auto"/>
            </w:tcBorders>
          </w:tcPr>
          <w:p w14:paraId="1A52918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CA4990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6</w:t>
            </w:r>
          </w:p>
        </w:tc>
        <w:tc>
          <w:tcPr>
            <w:tcW w:w="426" w:type="dxa"/>
            <w:tcBorders>
              <w:left w:val="single" w:sz="4" w:space="0" w:color="auto"/>
              <w:right w:val="single" w:sz="4" w:space="0" w:color="auto"/>
            </w:tcBorders>
          </w:tcPr>
          <w:p w14:paraId="018F0D2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67F8CE8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10</w:t>
            </w:r>
          </w:p>
        </w:tc>
        <w:tc>
          <w:tcPr>
            <w:tcW w:w="425" w:type="dxa"/>
            <w:tcBorders>
              <w:left w:val="single" w:sz="4" w:space="0" w:color="auto"/>
              <w:right w:val="single" w:sz="4" w:space="0" w:color="auto"/>
            </w:tcBorders>
          </w:tcPr>
          <w:p w14:paraId="4F1751A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CA465B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59DEBC2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50E3FCA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tcPr>
          <w:p w14:paraId="555F80A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9</w:t>
            </w:r>
          </w:p>
        </w:tc>
        <w:tc>
          <w:tcPr>
            <w:tcW w:w="425" w:type="dxa"/>
            <w:tcBorders>
              <w:left w:val="single" w:sz="4" w:space="0" w:color="auto"/>
              <w:right w:val="single" w:sz="4" w:space="0" w:color="auto"/>
            </w:tcBorders>
          </w:tcPr>
          <w:p w14:paraId="4BD6A00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w:t>
            </w:r>
          </w:p>
        </w:tc>
        <w:tc>
          <w:tcPr>
            <w:tcW w:w="426" w:type="dxa"/>
            <w:tcBorders>
              <w:left w:val="single" w:sz="4" w:space="0" w:color="auto"/>
              <w:right w:val="single" w:sz="4" w:space="0" w:color="auto"/>
            </w:tcBorders>
          </w:tcPr>
          <w:p w14:paraId="03C5992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w:t>
            </w:r>
          </w:p>
        </w:tc>
        <w:tc>
          <w:tcPr>
            <w:tcW w:w="466" w:type="dxa"/>
            <w:tcBorders>
              <w:left w:val="single" w:sz="4" w:space="0" w:color="auto"/>
              <w:right w:val="single" w:sz="4" w:space="0" w:color="auto"/>
            </w:tcBorders>
          </w:tcPr>
          <w:p w14:paraId="4E90ABD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39" w:type="dxa"/>
            <w:tcBorders>
              <w:left w:val="single" w:sz="4" w:space="0" w:color="auto"/>
              <w:right w:val="single" w:sz="4" w:space="0" w:color="auto"/>
            </w:tcBorders>
          </w:tcPr>
          <w:p w14:paraId="1F1CD53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r>
      <w:tr w:rsidR="00813A27" w:rsidRPr="00813A27" w14:paraId="1E8CCF97" w14:textId="77777777" w:rsidTr="00A65300">
        <w:trPr>
          <w:jc w:val="center"/>
        </w:trPr>
        <w:tc>
          <w:tcPr>
            <w:tcW w:w="3115" w:type="dxa"/>
            <w:tcBorders>
              <w:left w:val="single" w:sz="4" w:space="0" w:color="auto"/>
              <w:right w:val="single" w:sz="4" w:space="0" w:color="auto"/>
            </w:tcBorders>
          </w:tcPr>
          <w:p w14:paraId="4EC65AB6"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Elevado costo del financiamiento interno</w:t>
            </w:r>
          </w:p>
        </w:tc>
        <w:tc>
          <w:tcPr>
            <w:tcW w:w="424" w:type="dxa"/>
            <w:tcBorders>
              <w:left w:val="single" w:sz="4" w:space="0" w:color="auto"/>
              <w:right w:val="single" w:sz="4" w:space="0" w:color="auto"/>
            </w:tcBorders>
          </w:tcPr>
          <w:p w14:paraId="2A92C82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tcPr>
          <w:p w14:paraId="5C14E69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5</w:t>
            </w:r>
          </w:p>
        </w:tc>
        <w:tc>
          <w:tcPr>
            <w:tcW w:w="426" w:type="dxa"/>
            <w:tcBorders>
              <w:left w:val="single" w:sz="4" w:space="0" w:color="auto"/>
              <w:right w:val="single" w:sz="4" w:space="0" w:color="auto"/>
            </w:tcBorders>
          </w:tcPr>
          <w:p w14:paraId="28E0179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7F4B2D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17D156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tcPr>
          <w:p w14:paraId="76AA041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736B44E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9" w:type="dxa"/>
            <w:tcBorders>
              <w:left w:val="single" w:sz="4" w:space="0" w:color="auto"/>
              <w:right w:val="single" w:sz="4" w:space="0" w:color="auto"/>
            </w:tcBorders>
          </w:tcPr>
          <w:p w14:paraId="754084B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tcPr>
          <w:p w14:paraId="4730AFC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1D562C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623A55A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72F6170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65DE5C6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r>
      <w:tr w:rsidR="00813A27" w:rsidRPr="00813A27" w14:paraId="64D36323" w14:textId="77777777" w:rsidTr="00A65300">
        <w:trPr>
          <w:jc w:val="center"/>
        </w:trPr>
        <w:tc>
          <w:tcPr>
            <w:tcW w:w="3115" w:type="dxa"/>
            <w:tcBorders>
              <w:left w:val="single" w:sz="4" w:space="0" w:color="auto"/>
              <w:right w:val="single" w:sz="4" w:space="0" w:color="auto"/>
            </w:tcBorders>
          </w:tcPr>
          <w:p w14:paraId="1B048F5A"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Los niveles de las tasas de interés externas</w:t>
            </w:r>
          </w:p>
        </w:tc>
        <w:tc>
          <w:tcPr>
            <w:tcW w:w="424" w:type="dxa"/>
            <w:tcBorders>
              <w:left w:val="single" w:sz="4" w:space="0" w:color="auto"/>
              <w:right w:val="single" w:sz="4" w:space="0" w:color="auto"/>
            </w:tcBorders>
          </w:tcPr>
          <w:p w14:paraId="18FC2BB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tcPr>
          <w:p w14:paraId="1D25D1E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EF2CDF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6" w:type="dxa"/>
            <w:tcBorders>
              <w:left w:val="single" w:sz="4" w:space="0" w:color="auto"/>
              <w:right w:val="single" w:sz="4" w:space="0" w:color="auto"/>
            </w:tcBorders>
          </w:tcPr>
          <w:p w14:paraId="53D4029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773A1B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tcPr>
          <w:p w14:paraId="7A0EA01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6" w:type="dxa"/>
            <w:tcBorders>
              <w:left w:val="single" w:sz="4" w:space="0" w:color="auto"/>
              <w:right w:val="single" w:sz="4" w:space="0" w:color="auto"/>
            </w:tcBorders>
          </w:tcPr>
          <w:p w14:paraId="1E1FC92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5</w:t>
            </w:r>
          </w:p>
        </w:tc>
        <w:tc>
          <w:tcPr>
            <w:tcW w:w="429" w:type="dxa"/>
            <w:tcBorders>
              <w:left w:val="single" w:sz="4" w:space="0" w:color="auto"/>
              <w:right w:val="single" w:sz="4" w:space="0" w:color="auto"/>
            </w:tcBorders>
          </w:tcPr>
          <w:p w14:paraId="4474A55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9F737E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C29194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FBA6EC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w:t>
            </w:r>
          </w:p>
        </w:tc>
        <w:tc>
          <w:tcPr>
            <w:tcW w:w="466" w:type="dxa"/>
            <w:tcBorders>
              <w:left w:val="single" w:sz="4" w:space="0" w:color="auto"/>
              <w:right w:val="single" w:sz="4" w:space="0" w:color="auto"/>
            </w:tcBorders>
          </w:tcPr>
          <w:p w14:paraId="6E38FA3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39" w:type="dxa"/>
            <w:tcBorders>
              <w:left w:val="single" w:sz="4" w:space="0" w:color="auto"/>
              <w:right w:val="single" w:sz="4" w:space="0" w:color="auto"/>
            </w:tcBorders>
          </w:tcPr>
          <w:p w14:paraId="1AE52BF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04EF1587" w14:textId="77777777" w:rsidTr="00A65300">
        <w:trPr>
          <w:jc w:val="center"/>
        </w:trPr>
        <w:tc>
          <w:tcPr>
            <w:tcW w:w="3115" w:type="dxa"/>
            <w:tcBorders>
              <w:left w:val="single" w:sz="4" w:space="0" w:color="auto"/>
              <w:right w:val="single" w:sz="4" w:space="0" w:color="auto"/>
            </w:tcBorders>
          </w:tcPr>
          <w:p w14:paraId="1C8F2476"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Disponibilidad de financiamiento interno en nuestro país</w:t>
            </w:r>
          </w:p>
        </w:tc>
        <w:tc>
          <w:tcPr>
            <w:tcW w:w="424" w:type="dxa"/>
            <w:tcBorders>
              <w:left w:val="single" w:sz="4" w:space="0" w:color="auto"/>
              <w:right w:val="single" w:sz="4" w:space="0" w:color="auto"/>
            </w:tcBorders>
            <w:vAlign w:val="center"/>
          </w:tcPr>
          <w:p w14:paraId="3A76882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vAlign w:val="center"/>
          </w:tcPr>
          <w:p w14:paraId="705300D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vAlign w:val="center"/>
          </w:tcPr>
          <w:p w14:paraId="3B54E1F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vAlign w:val="center"/>
          </w:tcPr>
          <w:p w14:paraId="426CDBA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vAlign w:val="center"/>
          </w:tcPr>
          <w:p w14:paraId="65336E3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vAlign w:val="center"/>
          </w:tcPr>
          <w:p w14:paraId="0118C21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vAlign w:val="center"/>
          </w:tcPr>
          <w:p w14:paraId="2DDB0BC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vAlign w:val="center"/>
          </w:tcPr>
          <w:p w14:paraId="4760A5B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vAlign w:val="center"/>
          </w:tcPr>
          <w:p w14:paraId="61C1640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vAlign w:val="center"/>
          </w:tcPr>
          <w:p w14:paraId="5328730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vAlign w:val="center"/>
          </w:tcPr>
          <w:p w14:paraId="51D2D79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66" w:type="dxa"/>
            <w:tcBorders>
              <w:left w:val="single" w:sz="4" w:space="0" w:color="auto"/>
              <w:right w:val="single" w:sz="4" w:space="0" w:color="auto"/>
            </w:tcBorders>
            <w:vAlign w:val="center"/>
          </w:tcPr>
          <w:p w14:paraId="20A5D78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vAlign w:val="center"/>
          </w:tcPr>
          <w:p w14:paraId="154B4DA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45315ED8" w14:textId="77777777" w:rsidTr="00A65300">
        <w:trPr>
          <w:jc w:val="center"/>
        </w:trPr>
        <w:tc>
          <w:tcPr>
            <w:tcW w:w="3115" w:type="dxa"/>
            <w:tcBorders>
              <w:left w:val="single" w:sz="4" w:space="0" w:color="auto"/>
              <w:right w:val="single" w:sz="4" w:space="0" w:color="auto"/>
            </w:tcBorders>
          </w:tcPr>
          <w:p w14:paraId="63199A4E"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La política monetaria que se está aplicando</w:t>
            </w:r>
          </w:p>
        </w:tc>
        <w:tc>
          <w:tcPr>
            <w:tcW w:w="424" w:type="dxa"/>
            <w:tcBorders>
              <w:left w:val="single" w:sz="4" w:space="0" w:color="auto"/>
              <w:right w:val="single" w:sz="4" w:space="0" w:color="auto"/>
            </w:tcBorders>
          </w:tcPr>
          <w:p w14:paraId="6841A05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8B1FD8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F590E6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68A226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C5721A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5B3327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6A4435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06B761D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430CEF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F80C87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A97B5A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2</w:t>
            </w:r>
          </w:p>
        </w:tc>
        <w:tc>
          <w:tcPr>
            <w:tcW w:w="466" w:type="dxa"/>
            <w:tcBorders>
              <w:left w:val="single" w:sz="4" w:space="0" w:color="auto"/>
              <w:right w:val="single" w:sz="4" w:space="0" w:color="auto"/>
            </w:tcBorders>
          </w:tcPr>
          <w:p w14:paraId="191FBC0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717C360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51BF9E18" w14:textId="77777777" w:rsidTr="00A65300">
        <w:trPr>
          <w:trHeight w:val="50"/>
          <w:jc w:val="center"/>
        </w:trPr>
        <w:tc>
          <w:tcPr>
            <w:tcW w:w="3115" w:type="dxa"/>
            <w:tcBorders>
              <w:left w:val="single" w:sz="4" w:space="0" w:color="auto"/>
              <w:right w:val="single" w:sz="4" w:space="0" w:color="auto"/>
            </w:tcBorders>
          </w:tcPr>
          <w:p w14:paraId="12105638"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Inestabilidad política internacional</w:t>
            </w:r>
          </w:p>
        </w:tc>
        <w:tc>
          <w:tcPr>
            <w:tcW w:w="424" w:type="dxa"/>
            <w:tcBorders>
              <w:left w:val="single" w:sz="4" w:space="0" w:color="auto"/>
              <w:right w:val="single" w:sz="4" w:space="0" w:color="auto"/>
            </w:tcBorders>
          </w:tcPr>
          <w:p w14:paraId="17C85C5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C8B3FB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6" w:type="dxa"/>
            <w:tcBorders>
              <w:left w:val="single" w:sz="4" w:space="0" w:color="auto"/>
              <w:right w:val="single" w:sz="4" w:space="0" w:color="auto"/>
            </w:tcBorders>
          </w:tcPr>
          <w:p w14:paraId="0517F54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3283A5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9530E3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5</w:t>
            </w:r>
          </w:p>
        </w:tc>
        <w:tc>
          <w:tcPr>
            <w:tcW w:w="425" w:type="dxa"/>
            <w:tcBorders>
              <w:left w:val="single" w:sz="4" w:space="0" w:color="auto"/>
              <w:right w:val="single" w:sz="4" w:space="0" w:color="auto"/>
            </w:tcBorders>
          </w:tcPr>
          <w:p w14:paraId="42565D4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5</w:t>
            </w:r>
          </w:p>
        </w:tc>
        <w:tc>
          <w:tcPr>
            <w:tcW w:w="426" w:type="dxa"/>
            <w:tcBorders>
              <w:left w:val="single" w:sz="4" w:space="0" w:color="auto"/>
              <w:right w:val="single" w:sz="4" w:space="0" w:color="auto"/>
            </w:tcBorders>
          </w:tcPr>
          <w:p w14:paraId="06456E3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9" w:type="dxa"/>
            <w:tcBorders>
              <w:left w:val="single" w:sz="4" w:space="0" w:color="auto"/>
              <w:right w:val="single" w:sz="4" w:space="0" w:color="auto"/>
            </w:tcBorders>
          </w:tcPr>
          <w:p w14:paraId="30A1423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577025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1A197D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F4A59C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02634F9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36F0DF9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300FF024" w14:textId="77777777" w:rsidTr="00A65300">
        <w:trPr>
          <w:jc w:val="center"/>
        </w:trPr>
        <w:tc>
          <w:tcPr>
            <w:tcW w:w="3115" w:type="dxa"/>
            <w:tcBorders>
              <w:left w:val="single" w:sz="4" w:space="0" w:color="auto"/>
              <w:right w:val="single" w:sz="4" w:space="0" w:color="auto"/>
            </w:tcBorders>
          </w:tcPr>
          <w:p w14:paraId="3F20EC90"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Ausencia de cambio estructural en México</w:t>
            </w:r>
          </w:p>
        </w:tc>
        <w:tc>
          <w:tcPr>
            <w:tcW w:w="424" w:type="dxa"/>
            <w:tcBorders>
              <w:left w:val="single" w:sz="4" w:space="0" w:color="auto"/>
              <w:right w:val="single" w:sz="4" w:space="0" w:color="auto"/>
            </w:tcBorders>
            <w:shd w:val="clear" w:color="auto" w:fill="auto"/>
          </w:tcPr>
          <w:p w14:paraId="6D20351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07A198F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6" w:type="dxa"/>
            <w:tcBorders>
              <w:left w:val="single" w:sz="4" w:space="0" w:color="auto"/>
              <w:right w:val="single" w:sz="4" w:space="0" w:color="auto"/>
            </w:tcBorders>
            <w:shd w:val="clear" w:color="auto" w:fill="auto"/>
          </w:tcPr>
          <w:p w14:paraId="5D75D48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6" w:type="dxa"/>
            <w:tcBorders>
              <w:left w:val="single" w:sz="4" w:space="0" w:color="auto"/>
              <w:right w:val="single" w:sz="4" w:space="0" w:color="auto"/>
            </w:tcBorders>
            <w:shd w:val="clear" w:color="auto" w:fill="FFFFFF"/>
          </w:tcPr>
          <w:p w14:paraId="0C6743F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4</w:t>
            </w:r>
          </w:p>
        </w:tc>
        <w:tc>
          <w:tcPr>
            <w:tcW w:w="425" w:type="dxa"/>
            <w:tcBorders>
              <w:left w:val="single" w:sz="4" w:space="0" w:color="auto"/>
              <w:right w:val="single" w:sz="4" w:space="0" w:color="auto"/>
            </w:tcBorders>
            <w:shd w:val="clear" w:color="auto" w:fill="auto"/>
          </w:tcPr>
          <w:p w14:paraId="70A73D6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5" w:type="dxa"/>
            <w:tcBorders>
              <w:left w:val="single" w:sz="4" w:space="0" w:color="auto"/>
              <w:right w:val="single" w:sz="4" w:space="0" w:color="auto"/>
            </w:tcBorders>
            <w:shd w:val="clear" w:color="auto" w:fill="auto"/>
          </w:tcPr>
          <w:p w14:paraId="5AEBC77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6" w:type="dxa"/>
            <w:tcBorders>
              <w:left w:val="single" w:sz="4" w:space="0" w:color="auto"/>
              <w:right w:val="single" w:sz="4" w:space="0" w:color="auto"/>
            </w:tcBorders>
            <w:shd w:val="clear" w:color="auto" w:fill="FFFFFF"/>
          </w:tcPr>
          <w:p w14:paraId="224F6C9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shd w:val="clear" w:color="auto" w:fill="auto"/>
          </w:tcPr>
          <w:p w14:paraId="5C064A6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shd w:val="clear" w:color="auto" w:fill="FFFFFF"/>
          </w:tcPr>
          <w:p w14:paraId="78603D6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shd w:val="clear" w:color="auto" w:fill="auto"/>
          </w:tcPr>
          <w:p w14:paraId="1F21AF2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shd w:val="clear" w:color="auto" w:fill="FFFFFF"/>
          </w:tcPr>
          <w:p w14:paraId="6A485CB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shd w:val="clear" w:color="auto" w:fill="auto"/>
          </w:tcPr>
          <w:p w14:paraId="751A404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shd w:val="clear" w:color="auto" w:fill="FFFFFF"/>
          </w:tcPr>
          <w:p w14:paraId="0B21F06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5B804370" w14:textId="77777777" w:rsidTr="00A65300">
        <w:trPr>
          <w:jc w:val="center"/>
        </w:trPr>
        <w:tc>
          <w:tcPr>
            <w:tcW w:w="3115" w:type="dxa"/>
            <w:tcBorders>
              <w:left w:val="single" w:sz="4" w:space="0" w:color="auto"/>
              <w:right w:val="single" w:sz="4" w:space="0" w:color="auto"/>
            </w:tcBorders>
          </w:tcPr>
          <w:p w14:paraId="6E7C5750"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Contracción de la oferta de recursos del exterior</w:t>
            </w:r>
          </w:p>
        </w:tc>
        <w:tc>
          <w:tcPr>
            <w:tcW w:w="424" w:type="dxa"/>
            <w:tcBorders>
              <w:left w:val="single" w:sz="4" w:space="0" w:color="auto"/>
              <w:right w:val="single" w:sz="4" w:space="0" w:color="auto"/>
            </w:tcBorders>
          </w:tcPr>
          <w:p w14:paraId="332E87C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B1BD6E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6102E3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3</w:t>
            </w:r>
          </w:p>
        </w:tc>
        <w:tc>
          <w:tcPr>
            <w:tcW w:w="426" w:type="dxa"/>
            <w:tcBorders>
              <w:left w:val="single" w:sz="4" w:space="0" w:color="auto"/>
              <w:right w:val="single" w:sz="4" w:space="0" w:color="auto"/>
            </w:tcBorders>
          </w:tcPr>
          <w:p w14:paraId="05C8D23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435353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84833E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54FC47D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6D5BCC0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5B0189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FAC3B1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D6399E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4114F85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5C87A98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0F9A8AF6" w14:textId="77777777" w:rsidTr="00A65300">
        <w:trPr>
          <w:trHeight w:val="47"/>
          <w:jc w:val="center"/>
        </w:trPr>
        <w:tc>
          <w:tcPr>
            <w:tcW w:w="3115" w:type="dxa"/>
            <w:tcBorders>
              <w:left w:val="single" w:sz="4" w:space="0" w:color="auto"/>
              <w:right w:val="single" w:sz="4" w:space="0" w:color="auto"/>
            </w:tcBorders>
          </w:tcPr>
          <w:p w14:paraId="62A808E3"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Aumento en los costos salariales</w:t>
            </w:r>
          </w:p>
        </w:tc>
        <w:tc>
          <w:tcPr>
            <w:tcW w:w="424" w:type="dxa"/>
            <w:tcBorders>
              <w:left w:val="single" w:sz="4" w:space="0" w:color="auto"/>
              <w:right w:val="single" w:sz="4" w:space="0" w:color="auto"/>
            </w:tcBorders>
          </w:tcPr>
          <w:p w14:paraId="6369C73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C0BEE7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0C7CCC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C08CDA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8C58EA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DFF5FF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91217E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562C766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2C713B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A4BA26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2A2243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1154E1F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006DCE9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1E4D14C0" w14:textId="77777777" w:rsidTr="00A65300">
        <w:trPr>
          <w:jc w:val="center"/>
        </w:trPr>
        <w:tc>
          <w:tcPr>
            <w:tcW w:w="3115" w:type="dxa"/>
            <w:tcBorders>
              <w:left w:val="single" w:sz="4" w:space="0" w:color="auto"/>
              <w:right w:val="single" w:sz="4" w:space="0" w:color="auto"/>
            </w:tcBorders>
          </w:tcPr>
          <w:p w14:paraId="36D1C3A1"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Aumento en precios de insumos y materias primas</w:t>
            </w:r>
          </w:p>
        </w:tc>
        <w:tc>
          <w:tcPr>
            <w:tcW w:w="424" w:type="dxa"/>
            <w:tcBorders>
              <w:left w:val="single" w:sz="4" w:space="0" w:color="auto"/>
              <w:right w:val="single" w:sz="4" w:space="0" w:color="auto"/>
            </w:tcBorders>
          </w:tcPr>
          <w:p w14:paraId="284AC8A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5801541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603B58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7578DE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4EAAD0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9FDD46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69C9E62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018F609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479C62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EB336E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C4D5F6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7F51000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6179F23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687F69A3" w14:textId="77777777" w:rsidTr="00A65300">
        <w:trPr>
          <w:jc w:val="center"/>
        </w:trPr>
        <w:tc>
          <w:tcPr>
            <w:tcW w:w="3115" w:type="dxa"/>
            <w:tcBorders>
              <w:left w:val="single" w:sz="4" w:space="0" w:color="auto"/>
              <w:right w:val="single" w:sz="4" w:space="0" w:color="auto"/>
            </w:tcBorders>
          </w:tcPr>
          <w:p w14:paraId="0E21C027"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El nivel de endeudamiento de las empresas</w:t>
            </w:r>
          </w:p>
        </w:tc>
        <w:tc>
          <w:tcPr>
            <w:tcW w:w="424" w:type="dxa"/>
            <w:tcBorders>
              <w:left w:val="single" w:sz="4" w:space="0" w:color="auto"/>
              <w:right w:val="single" w:sz="4" w:space="0" w:color="auto"/>
            </w:tcBorders>
          </w:tcPr>
          <w:p w14:paraId="3FD546B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406132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281975A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73C2F08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891CCE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C6F52F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45CF011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316A632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596B33D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0B0F3C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F8430D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2D52A05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55DF099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6E37032B" w14:textId="77777777" w:rsidTr="00A65300">
        <w:trPr>
          <w:jc w:val="center"/>
        </w:trPr>
        <w:tc>
          <w:tcPr>
            <w:tcW w:w="3115" w:type="dxa"/>
            <w:tcBorders>
              <w:left w:val="single" w:sz="4" w:space="0" w:color="auto"/>
              <w:right w:val="single" w:sz="4" w:space="0" w:color="auto"/>
            </w:tcBorders>
          </w:tcPr>
          <w:p w14:paraId="7B0485E7"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El nivel de endeudamiento de las familias</w:t>
            </w:r>
          </w:p>
        </w:tc>
        <w:tc>
          <w:tcPr>
            <w:tcW w:w="424" w:type="dxa"/>
            <w:tcBorders>
              <w:left w:val="single" w:sz="4" w:space="0" w:color="auto"/>
              <w:right w:val="single" w:sz="4" w:space="0" w:color="auto"/>
            </w:tcBorders>
          </w:tcPr>
          <w:p w14:paraId="7791DA2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16A6E3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5B133DC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C35B03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2B52AC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B37127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ACC814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6289538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956DCE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46568D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6174525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46883AC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73430C2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166F56B7" w14:textId="77777777" w:rsidTr="00A65300">
        <w:trPr>
          <w:jc w:val="center"/>
        </w:trPr>
        <w:tc>
          <w:tcPr>
            <w:tcW w:w="3115" w:type="dxa"/>
            <w:tcBorders>
              <w:left w:val="single" w:sz="4" w:space="0" w:color="auto"/>
              <w:right w:val="single" w:sz="4" w:space="0" w:color="auto"/>
            </w:tcBorders>
          </w:tcPr>
          <w:p w14:paraId="4F818D52"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El nivel del tipo de cambio real</w:t>
            </w:r>
          </w:p>
        </w:tc>
        <w:tc>
          <w:tcPr>
            <w:tcW w:w="424" w:type="dxa"/>
            <w:tcBorders>
              <w:left w:val="single" w:sz="4" w:space="0" w:color="auto"/>
              <w:right w:val="single" w:sz="4" w:space="0" w:color="auto"/>
            </w:tcBorders>
          </w:tcPr>
          <w:p w14:paraId="381750A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17D72D9"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74ABF5C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0400B26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29C7FA0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77D06AC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19D855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63118990"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32D7382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592C82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6B16382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4E75B0F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1412205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697A3092" w14:textId="77777777" w:rsidTr="00A65300">
        <w:trPr>
          <w:jc w:val="center"/>
        </w:trPr>
        <w:tc>
          <w:tcPr>
            <w:tcW w:w="3115" w:type="dxa"/>
            <w:tcBorders>
              <w:left w:val="single" w:sz="4" w:space="0" w:color="auto"/>
              <w:right w:val="single" w:sz="4" w:space="0" w:color="auto"/>
            </w:tcBorders>
          </w:tcPr>
          <w:p w14:paraId="485E6B4B"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Presiones inflacionarias en nuestro país</w:t>
            </w:r>
          </w:p>
        </w:tc>
        <w:tc>
          <w:tcPr>
            <w:tcW w:w="424" w:type="dxa"/>
            <w:tcBorders>
              <w:left w:val="single" w:sz="4" w:space="0" w:color="auto"/>
              <w:right w:val="single" w:sz="4" w:space="0" w:color="auto"/>
            </w:tcBorders>
          </w:tcPr>
          <w:p w14:paraId="6946FAA7"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630AD3C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316B3D7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7A22566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1259622C"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A17E0A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5112B9D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right w:val="single" w:sz="4" w:space="0" w:color="auto"/>
            </w:tcBorders>
          </w:tcPr>
          <w:p w14:paraId="566F5B85"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0916D9E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right w:val="single" w:sz="4" w:space="0" w:color="auto"/>
            </w:tcBorders>
          </w:tcPr>
          <w:p w14:paraId="4CB3466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right w:val="single" w:sz="4" w:space="0" w:color="auto"/>
            </w:tcBorders>
          </w:tcPr>
          <w:p w14:paraId="14A1513D"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right w:val="single" w:sz="4" w:space="0" w:color="auto"/>
            </w:tcBorders>
          </w:tcPr>
          <w:p w14:paraId="0BB646E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right w:val="single" w:sz="4" w:space="0" w:color="auto"/>
            </w:tcBorders>
          </w:tcPr>
          <w:p w14:paraId="6ACA2F01"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3AFE6F57" w14:textId="77777777" w:rsidTr="00A65300">
        <w:trPr>
          <w:jc w:val="center"/>
        </w:trPr>
        <w:tc>
          <w:tcPr>
            <w:tcW w:w="3115" w:type="dxa"/>
            <w:tcBorders>
              <w:left w:val="single" w:sz="4" w:space="0" w:color="auto"/>
              <w:bottom w:val="single" w:sz="4" w:space="0" w:color="auto"/>
              <w:right w:val="single" w:sz="4" w:space="0" w:color="auto"/>
            </w:tcBorders>
          </w:tcPr>
          <w:p w14:paraId="0FA650F2" w14:textId="77777777" w:rsidR="00813A27" w:rsidRPr="00813A27" w:rsidRDefault="00813A27" w:rsidP="00813A27">
            <w:pPr>
              <w:jc w:val="both"/>
              <w:rPr>
                <w:rFonts w:eastAsia="Calibri"/>
                <w:sz w:val="14"/>
                <w:szCs w:val="14"/>
                <w:lang w:eastAsia="en-US"/>
              </w:rPr>
            </w:pPr>
            <w:r w:rsidRPr="00813A27">
              <w:rPr>
                <w:rFonts w:eastAsia="Calibri"/>
                <w:sz w:val="14"/>
                <w:szCs w:val="14"/>
                <w:lang w:eastAsia="en-US"/>
              </w:rPr>
              <w:t>Otros</w:t>
            </w:r>
          </w:p>
        </w:tc>
        <w:tc>
          <w:tcPr>
            <w:tcW w:w="424" w:type="dxa"/>
            <w:tcBorders>
              <w:left w:val="single" w:sz="4" w:space="0" w:color="auto"/>
              <w:bottom w:val="single" w:sz="4" w:space="0" w:color="auto"/>
              <w:right w:val="single" w:sz="4" w:space="0" w:color="auto"/>
            </w:tcBorders>
          </w:tcPr>
          <w:p w14:paraId="7A7C09B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038D74FF"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64CE0113"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4E0C16B6"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40D011A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0942A6E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5D091D2B"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9" w:type="dxa"/>
            <w:tcBorders>
              <w:left w:val="single" w:sz="4" w:space="0" w:color="auto"/>
              <w:bottom w:val="single" w:sz="4" w:space="0" w:color="auto"/>
              <w:right w:val="single" w:sz="4" w:space="0" w:color="auto"/>
            </w:tcBorders>
          </w:tcPr>
          <w:p w14:paraId="41B0D822"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38605E34"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5" w:type="dxa"/>
            <w:tcBorders>
              <w:left w:val="single" w:sz="4" w:space="0" w:color="auto"/>
              <w:bottom w:val="single" w:sz="4" w:space="0" w:color="auto"/>
              <w:right w:val="single" w:sz="4" w:space="0" w:color="auto"/>
            </w:tcBorders>
          </w:tcPr>
          <w:p w14:paraId="640AC02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26" w:type="dxa"/>
            <w:tcBorders>
              <w:left w:val="single" w:sz="4" w:space="0" w:color="auto"/>
              <w:bottom w:val="single" w:sz="4" w:space="0" w:color="auto"/>
              <w:right w:val="single" w:sz="4" w:space="0" w:color="auto"/>
            </w:tcBorders>
          </w:tcPr>
          <w:p w14:paraId="0B7AEBD8"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66" w:type="dxa"/>
            <w:tcBorders>
              <w:left w:val="single" w:sz="4" w:space="0" w:color="auto"/>
              <w:bottom w:val="single" w:sz="4" w:space="0" w:color="auto"/>
              <w:right w:val="single" w:sz="4" w:space="0" w:color="auto"/>
            </w:tcBorders>
          </w:tcPr>
          <w:p w14:paraId="05B6761E"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c>
          <w:tcPr>
            <w:tcW w:w="439" w:type="dxa"/>
            <w:tcBorders>
              <w:left w:val="single" w:sz="4" w:space="0" w:color="auto"/>
              <w:bottom w:val="single" w:sz="4" w:space="0" w:color="auto"/>
              <w:right w:val="single" w:sz="4" w:space="0" w:color="auto"/>
            </w:tcBorders>
          </w:tcPr>
          <w:p w14:paraId="43DE1CAA" w14:textId="77777777" w:rsidR="00813A27" w:rsidRPr="00813A27" w:rsidRDefault="00813A27" w:rsidP="00813A27">
            <w:pPr>
              <w:ind w:left="-57" w:right="57"/>
              <w:jc w:val="right"/>
              <w:rPr>
                <w:rFonts w:eastAsia="Calibri"/>
                <w:sz w:val="14"/>
                <w:szCs w:val="14"/>
                <w:lang w:eastAsia="en-US"/>
              </w:rPr>
            </w:pPr>
            <w:r w:rsidRPr="00813A27">
              <w:rPr>
                <w:rFonts w:eastAsia="Calibri"/>
                <w:sz w:val="14"/>
                <w:szCs w:val="14"/>
                <w:lang w:eastAsia="en-US"/>
              </w:rPr>
              <w:t>-</w:t>
            </w:r>
          </w:p>
        </w:tc>
      </w:tr>
      <w:tr w:rsidR="00813A27" w:rsidRPr="00813A27" w14:paraId="28BA7A8A" w14:textId="77777777" w:rsidTr="00A65300">
        <w:trPr>
          <w:jc w:val="center"/>
        </w:trPr>
        <w:tc>
          <w:tcPr>
            <w:tcW w:w="8702" w:type="dxa"/>
            <w:gridSpan w:val="14"/>
            <w:tcBorders>
              <w:top w:val="single" w:sz="4" w:space="0" w:color="auto"/>
              <w:left w:val="nil"/>
              <w:bottom w:val="nil"/>
              <w:right w:val="nil"/>
            </w:tcBorders>
          </w:tcPr>
          <w:p w14:paraId="4E021E51" w14:textId="77777777" w:rsidR="00813A27" w:rsidRPr="00813A27" w:rsidRDefault="00813A27" w:rsidP="00813A27">
            <w:pPr>
              <w:ind w:left="312" w:hanging="369"/>
              <w:jc w:val="both"/>
              <w:rPr>
                <w:rFonts w:eastAsia="Calibri"/>
                <w:sz w:val="14"/>
                <w:szCs w:val="14"/>
                <w:lang w:eastAsia="en-US"/>
              </w:rPr>
            </w:pPr>
            <w:r w:rsidRPr="00813A27">
              <w:rPr>
                <w:rFonts w:eastAsia="Calibri"/>
                <w:sz w:val="14"/>
                <w:szCs w:val="14"/>
                <w:lang w:eastAsia="en-US"/>
              </w:rPr>
              <w:t>Nota: Distribución con respecto al total de respuestas de los analistas, quienes pueden mencionar hasta tres factores que podrían obstaculizar el crecimiento económico de México. El guión indica que el porcentaje de respuestas se ubica estrictamente por debajo de 2%. Los factores se ordenan de acuerdo con la frecuencia con que aparecen las respuestas en la última encuesta. Pregunta de la Encuesta: en su opinión, ¿durante los próximos seis meses, cuáles serían los tres principales factores limitantes al crecimiento de la actividad económica?</w:t>
            </w:r>
          </w:p>
          <w:p w14:paraId="4251EEBB" w14:textId="77777777" w:rsidR="00813A27" w:rsidRPr="00813A27" w:rsidRDefault="00813A27" w:rsidP="00813A27">
            <w:pPr>
              <w:ind w:left="312" w:hanging="369"/>
              <w:jc w:val="both"/>
              <w:rPr>
                <w:rFonts w:eastAsia="Calibri"/>
                <w:sz w:val="14"/>
                <w:szCs w:val="14"/>
                <w:lang w:eastAsia="en-US"/>
              </w:rPr>
            </w:pPr>
            <w:r w:rsidRPr="00813A27">
              <w:rPr>
                <w:rFonts w:eastAsia="Calibri"/>
                <w:sz w:val="14"/>
                <w:szCs w:val="14"/>
                <w:u w:val="single"/>
                <w:lang w:eastAsia="en-US"/>
              </w:rPr>
              <w:t>1</w:t>
            </w:r>
            <w:r w:rsidRPr="00813A27">
              <w:rPr>
                <w:rFonts w:eastAsia="Calibri"/>
                <w:sz w:val="14"/>
                <w:szCs w:val="14"/>
                <w:lang w:eastAsia="en-US"/>
              </w:rPr>
              <w:t>/ Este factor se incorporó por primera vez en la encuesta de marzo de 2015.</w:t>
            </w:r>
          </w:p>
          <w:p w14:paraId="5C404596" w14:textId="77777777" w:rsidR="00813A27" w:rsidRPr="00813A27" w:rsidRDefault="00813A27" w:rsidP="00813A27">
            <w:pPr>
              <w:ind w:left="-57"/>
              <w:jc w:val="both"/>
              <w:rPr>
                <w:rFonts w:eastAsia="Calibri"/>
                <w:sz w:val="14"/>
                <w:szCs w:val="14"/>
                <w:lang w:eastAsia="en-US"/>
              </w:rPr>
            </w:pPr>
            <w:r w:rsidRPr="00813A27">
              <w:rPr>
                <w:rFonts w:eastAsia="Calibri"/>
                <w:sz w:val="14"/>
                <w:szCs w:val="14"/>
                <w:lang w:eastAsia="en-US"/>
              </w:rPr>
              <w:t>FUENTE: Banco de México.</w:t>
            </w:r>
          </w:p>
        </w:tc>
      </w:tr>
    </w:tbl>
    <w:p w14:paraId="14FBBAF4" w14:textId="77777777"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lastRenderedPageBreak/>
        <w:t xml:space="preserve">Asimismo, a continuación se reportan los resultados sobre la percepción que tienen los analistas respecto al entorno económico actual (ver el cuadro </w:t>
      </w:r>
      <w:r w:rsidRPr="00813A27">
        <w:rPr>
          <w:rFonts w:eastAsia="Calibri"/>
          <w:i/>
          <w:sz w:val="26"/>
          <w:szCs w:val="26"/>
          <w:lang w:eastAsia="en-US"/>
        </w:rPr>
        <w:t xml:space="preserve">Percepción del entorno económico </w:t>
      </w:r>
      <w:r w:rsidRPr="00813A27">
        <w:rPr>
          <w:rFonts w:eastAsia="Calibri"/>
          <w:sz w:val="26"/>
          <w:szCs w:val="26"/>
          <w:lang w:eastAsia="en-US"/>
        </w:rPr>
        <w:t>y las tres gráficas siguientes). Se aprecia que:</w:t>
      </w:r>
    </w:p>
    <w:p w14:paraId="183FECAC" w14:textId="77777777" w:rsidR="00813A27" w:rsidRPr="00813A27" w:rsidRDefault="00813A27" w:rsidP="003B27DE">
      <w:pPr>
        <w:numPr>
          <w:ilvl w:val="0"/>
          <w:numId w:val="48"/>
        </w:numPr>
        <w:spacing w:after="360" w:line="360" w:lineRule="auto"/>
        <w:ind w:right="-159"/>
        <w:jc w:val="both"/>
        <w:rPr>
          <w:rFonts w:eastAsia="Calibri"/>
          <w:sz w:val="26"/>
          <w:szCs w:val="26"/>
          <w:lang w:eastAsia="en-US"/>
        </w:rPr>
      </w:pPr>
      <w:r w:rsidRPr="00813A27">
        <w:rPr>
          <w:rFonts w:eastAsia="Calibri"/>
          <w:sz w:val="26"/>
          <w:szCs w:val="26"/>
          <w:lang w:eastAsia="en-US"/>
        </w:rPr>
        <w:t>La proporción de analistas que considera que el clima de negocios mejorará en los próximos seis meses disminuyó con respecto a la encuesta del mes anterior, aunque siguió siendo la preponderante. Por su parte, la fracción de especialistas que piensa que el clima de negocios permanecerá igual aumentó.</w:t>
      </w:r>
    </w:p>
    <w:p w14:paraId="676747A4" w14:textId="77777777" w:rsidR="00813A27" w:rsidRPr="00813A27" w:rsidRDefault="00813A27" w:rsidP="003B27DE">
      <w:pPr>
        <w:numPr>
          <w:ilvl w:val="0"/>
          <w:numId w:val="48"/>
        </w:numPr>
        <w:spacing w:after="360" w:line="360" w:lineRule="auto"/>
        <w:ind w:right="-159"/>
        <w:jc w:val="both"/>
        <w:rPr>
          <w:rFonts w:eastAsia="Calibri"/>
          <w:sz w:val="26"/>
          <w:szCs w:val="26"/>
          <w:lang w:eastAsia="en-US"/>
        </w:rPr>
      </w:pPr>
      <w:r w:rsidRPr="00813A27">
        <w:rPr>
          <w:rFonts w:eastAsia="Calibri"/>
          <w:sz w:val="26"/>
          <w:szCs w:val="26"/>
          <w:lang w:eastAsia="en-US"/>
        </w:rPr>
        <w:t xml:space="preserve">La fracción de analistas que considera que la economía está mejor que hace un año disminuyó en relación con el mes previo, si bien continuó siendo la preponderante. </w:t>
      </w:r>
    </w:p>
    <w:p w14:paraId="00345186" w14:textId="77777777" w:rsidR="00813A27" w:rsidRPr="00813A27" w:rsidRDefault="00813A27" w:rsidP="003B27DE">
      <w:pPr>
        <w:numPr>
          <w:ilvl w:val="0"/>
          <w:numId w:val="48"/>
        </w:numPr>
        <w:spacing w:after="360" w:line="360" w:lineRule="auto"/>
        <w:ind w:right="-159"/>
        <w:jc w:val="both"/>
        <w:rPr>
          <w:rFonts w:eastAsia="Calibri"/>
          <w:sz w:val="26"/>
          <w:szCs w:val="26"/>
          <w:lang w:eastAsia="en-US"/>
        </w:rPr>
      </w:pPr>
      <w:r w:rsidRPr="00813A27">
        <w:rPr>
          <w:rFonts w:eastAsia="Calibri"/>
          <w:sz w:val="26"/>
          <w:szCs w:val="26"/>
          <w:lang w:eastAsia="en-US"/>
        </w:rPr>
        <w:t>El porcentaje de analistas que considera que es un buen momento para invertir disminuyó con respecto a la encuesta del mes previo, aunque continuó siendo el preponderante, al tiempo que la fracción de especialistas que no están seguros sobre la coyuntura actual aumentó.</w:t>
      </w:r>
    </w:p>
    <w:p w14:paraId="72282737" w14:textId="77777777" w:rsidR="00813A27" w:rsidRPr="00813A27" w:rsidRDefault="00813A27" w:rsidP="00813A27">
      <w:pPr>
        <w:spacing w:after="360" w:line="360" w:lineRule="auto"/>
        <w:ind w:right="-159"/>
        <w:jc w:val="both"/>
        <w:rPr>
          <w:rFonts w:eastAsia="Calibri"/>
          <w:sz w:val="26"/>
          <w:szCs w:val="26"/>
          <w:lang w:eastAsia="en-US"/>
        </w:rPr>
      </w:pPr>
    </w:p>
    <w:p w14:paraId="09756943" w14:textId="77777777" w:rsidR="00813A27" w:rsidRPr="00813A27" w:rsidRDefault="00813A27" w:rsidP="00813A27">
      <w:pPr>
        <w:spacing w:after="360" w:line="360" w:lineRule="auto"/>
        <w:ind w:right="-159"/>
        <w:jc w:val="both"/>
        <w:rPr>
          <w:rFonts w:eastAsia="Calibri"/>
          <w:sz w:val="26"/>
          <w:szCs w:val="26"/>
          <w:lang w:eastAsia="en-US"/>
        </w:rPr>
      </w:pPr>
    </w:p>
    <w:p w14:paraId="7853F000" w14:textId="77777777" w:rsidR="00813A27" w:rsidRPr="00813A27" w:rsidRDefault="00813A27" w:rsidP="00813A27">
      <w:pPr>
        <w:spacing w:after="360" w:line="360" w:lineRule="auto"/>
        <w:ind w:right="-159"/>
        <w:jc w:val="both"/>
        <w:rPr>
          <w:rFonts w:eastAsia="Calibri"/>
          <w:sz w:val="26"/>
          <w:szCs w:val="26"/>
          <w:lang w:eastAsia="en-US"/>
        </w:rPr>
      </w:pPr>
    </w:p>
    <w:p w14:paraId="472B26D6" w14:textId="77777777" w:rsidR="00813A27" w:rsidRPr="00813A27" w:rsidRDefault="00813A27" w:rsidP="00813A27">
      <w:pPr>
        <w:spacing w:after="360" w:line="360" w:lineRule="auto"/>
        <w:ind w:right="-159"/>
        <w:jc w:val="both"/>
        <w:rPr>
          <w:rFonts w:eastAsia="Calibri"/>
          <w:sz w:val="26"/>
          <w:szCs w:val="26"/>
          <w:lang w:eastAsia="en-US"/>
        </w:rPr>
      </w:pPr>
    </w:p>
    <w:p w14:paraId="5D7DBCE0" w14:textId="77777777" w:rsidR="00813A27" w:rsidRPr="00813A27" w:rsidRDefault="00813A27" w:rsidP="00813A27">
      <w:pPr>
        <w:spacing w:after="360" w:line="360" w:lineRule="auto"/>
        <w:ind w:right="-159"/>
        <w:jc w:val="both"/>
        <w:rPr>
          <w:rFonts w:eastAsia="Calibri"/>
          <w:sz w:val="26"/>
          <w:szCs w:val="26"/>
          <w:lang w:eastAsia="en-US"/>
        </w:rPr>
      </w:pPr>
    </w:p>
    <w:p w14:paraId="3BC3D51C" w14:textId="77777777" w:rsidR="00813A27" w:rsidRPr="00813A27" w:rsidRDefault="00813A27" w:rsidP="00813A27">
      <w:pPr>
        <w:spacing w:after="360" w:line="360" w:lineRule="auto"/>
        <w:ind w:right="-159"/>
        <w:jc w:val="both"/>
        <w:rPr>
          <w:rFonts w:eastAsia="Calibri"/>
          <w:sz w:val="26"/>
          <w:szCs w:val="26"/>
          <w:lang w:eastAsia="en-US"/>
        </w:rPr>
      </w:pPr>
    </w:p>
    <w:p w14:paraId="62D3770D" w14:textId="77777777" w:rsidR="00813A27" w:rsidRPr="00813A27" w:rsidRDefault="00813A27" w:rsidP="00813A27">
      <w:pPr>
        <w:spacing w:after="360" w:line="360" w:lineRule="auto"/>
        <w:ind w:right="-159"/>
        <w:jc w:val="both"/>
        <w:rPr>
          <w:rFonts w:eastAsia="Calibri"/>
          <w:sz w:val="26"/>
          <w:szCs w:val="26"/>
          <w:lang w:eastAsia="en-US"/>
        </w:rPr>
      </w:pPr>
    </w:p>
    <w:tbl>
      <w:tblPr>
        <w:tblW w:w="0" w:type="auto"/>
        <w:jc w:val="center"/>
        <w:tblLayout w:type="fixed"/>
        <w:tblLook w:val="04A0" w:firstRow="1" w:lastRow="0" w:firstColumn="1" w:lastColumn="0" w:noHBand="0" w:noVBand="1"/>
      </w:tblPr>
      <w:tblGrid>
        <w:gridCol w:w="2977"/>
        <w:gridCol w:w="1199"/>
        <w:gridCol w:w="1211"/>
      </w:tblGrid>
      <w:tr w:rsidR="00813A27" w:rsidRPr="00813A27" w14:paraId="28E3AFD5" w14:textId="77777777" w:rsidTr="00A65300">
        <w:trPr>
          <w:jc w:val="center"/>
        </w:trPr>
        <w:tc>
          <w:tcPr>
            <w:tcW w:w="5387" w:type="dxa"/>
            <w:gridSpan w:val="3"/>
            <w:tcBorders>
              <w:top w:val="nil"/>
              <w:left w:val="nil"/>
              <w:bottom w:val="single" w:sz="4" w:space="0" w:color="auto"/>
              <w:right w:val="nil"/>
            </w:tcBorders>
          </w:tcPr>
          <w:p w14:paraId="658B0C6E"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lastRenderedPageBreak/>
              <w:t>PERCEPCIÓN DEL ENTORNO ECONÓMICO</w:t>
            </w:r>
          </w:p>
          <w:p w14:paraId="2268C895"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-Distribución porcentual de respuestas-</w:t>
            </w:r>
          </w:p>
        </w:tc>
      </w:tr>
      <w:tr w:rsidR="00813A27" w:rsidRPr="00813A27" w14:paraId="0E76B23D" w14:textId="77777777" w:rsidTr="00A65300">
        <w:trPr>
          <w:jc w:val="center"/>
        </w:trPr>
        <w:tc>
          <w:tcPr>
            <w:tcW w:w="2977" w:type="dxa"/>
            <w:vMerge w:val="restart"/>
            <w:tcBorders>
              <w:top w:val="single" w:sz="4" w:space="0" w:color="auto"/>
              <w:left w:val="single" w:sz="4" w:space="0" w:color="auto"/>
              <w:bottom w:val="single" w:sz="4" w:space="0" w:color="auto"/>
              <w:right w:val="single" w:sz="4" w:space="0" w:color="auto"/>
            </w:tcBorders>
          </w:tcPr>
          <w:p w14:paraId="41DD3E98" w14:textId="77777777" w:rsidR="00813A27" w:rsidRPr="00813A27" w:rsidRDefault="00813A27" w:rsidP="00813A27">
            <w:pPr>
              <w:jc w:val="both"/>
              <w:rPr>
                <w:rFonts w:eastAsia="Calibri"/>
                <w:sz w:val="20"/>
                <w:szCs w:val="20"/>
                <w:lang w:eastAsia="en-US"/>
              </w:rPr>
            </w:pPr>
          </w:p>
        </w:tc>
        <w:tc>
          <w:tcPr>
            <w:tcW w:w="2410" w:type="dxa"/>
            <w:gridSpan w:val="2"/>
            <w:tcBorders>
              <w:top w:val="single" w:sz="4" w:space="0" w:color="auto"/>
              <w:left w:val="single" w:sz="4" w:space="0" w:color="auto"/>
              <w:bottom w:val="single" w:sz="4" w:space="0" w:color="auto"/>
              <w:right w:val="single" w:sz="4" w:space="0" w:color="auto"/>
            </w:tcBorders>
          </w:tcPr>
          <w:p w14:paraId="5FB71A3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798050D5" w14:textId="77777777" w:rsidTr="00A65300">
        <w:trPr>
          <w:jc w:val="center"/>
        </w:trPr>
        <w:tc>
          <w:tcPr>
            <w:tcW w:w="2977" w:type="dxa"/>
            <w:vMerge/>
            <w:tcBorders>
              <w:top w:val="single" w:sz="4" w:space="0" w:color="auto"/>
              <w:left w:val="single" w:sz="4" w:space="0" w:color="auto"/>
              <w:bottom w:val="single" w:sz="4" w:space="0" w:color="auto"/>
              <w:right w:val="single" w:sz="4" w:space="0" w:color="auto"/>
            </w:tcBorders>
          </w:tcPr>
          <w:p w14:paraId="7AA08F58" w14:textId="77777777" w:rsidR="00813A27" w:rsidRPr="00813A27" w:rsidRDefault="00813A27" w:rsidP="00813A27">
            <w:pPr>
              <w:jc w:val="both"/>
              <w:rPr>
                <w:rFonts w:eastAsia="Calibri"/>
                <w:sz w:val="20"/>
                <w:szCs w:val="20"/>
                <w:lang w:eastAsia="en-US"/>
              </w:rPr>
            </w:pPr>
          </w:p>
        </w:tc>
        <w:tc>
          <w:tcPr>
            <w:tcW w:w="1199" w:type="dxa"/>
            <w:tcBorders>
              <w:top w:val="single" w:sz="4" w:space="0" w:color="auto"/>
              <w:left w:val="single" w:sz="4" w:space="0" w:color="auto"/>
              <w:bottom w:val="single" w:sz="4" w:space="0" w:color="auto"/>
              <w:right w:val="single" w:sz="4" w:space="0" w:color="auto"/>
            </w:tcBorders>
          </w:tcPr>
          <w:p w14:paraId="7CA82437"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211" w:type="dxa"/>
            <w:tcBorders>
              <w:top w:val="single" w:sz="4" w:space="0" w:color="auto"/>
              <w:left w:val="single" w:sz="4" w:space="0" w:color="auto"/>
              <w:bottom w:val="single" w:sz="4" w:space="0" w:color="auto"/>
              <w:right w:val="single" w:sz="4" w:space="0" w:color="auto"/>
            </w:tcBorders>
          </w:tcPr>
          <w:p w14:paraId="59825EEB"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759E3AE0" w14:textId="77777777" w:rsidTr="00A65300">
        <w:trPr>
          <w:jc w:val="center"/>
        </w:trPr>
        <w:tc>
          <w:tcPr>
            <w:tcW w:w="5387" w:type="dxa"/>
            <w:gridSpan w:val="3"/>
            <w:tcBorders>
              <w:top w:val="single" w:sz="4" w:space="0" w:color="auto"/>
              <w:left w:val="single" w:sz="4" w:space="0" w:color="auto"/>
              <w:right w:val="single" w:sz="4" w:space="0" w:color="auto"/>
            </w:tcBorders>
          </w:tcPr>
          <w:p w14:paraId="4AA9F80F" w14:textId="77777777" w:rsidR="00813A27" w:rsidRPr="00813A27" w:rsidRDefault="00813A27" w:rsidP="00813A27">
            <w:pPr>
              <w:jc w:val="both"/>
              <w:rPr>
                <w:rFonts w:eastAsia="Calibri"/>
                <w:b/>
                <w:sz w:val="20"/>
                <w:szCs w:val="20"/>
                <w:lang w:eastAsia="en-US"/>
              </w:rPr>
            </w:pPr>
            <w:r w:rsidRPr="00813A27">
              <w:rPr>
                <w:rFonts w:eastAsia="Calibri"/>
                <w:b/>
                <w:sz w:val="20"/>
                <w:szCs w:val="20"/>
                <w:lang w:eastAsia="en-US"/>
              </w:rPr>
              <w:t>Clima de los negocios en los próximos seis meses</w:t>
            </w:r>
            <w:r w:rsidRPr="00813A27">
              <w:rPr>
                <w:rFonts w:eastAsia="Calibri"/>
                <w:b/>
                <w:sz w:val="20"/>
                <w:szCs w:val="20"/>
                <w:u w:val="single"/>
                <w:vertAlign w:val="superscript"/>
                <w:lang w:eastAsia="en-US"/>
              </w:rPr>
              <w:t>1</w:t>
            </w:r>
            <w:r w:rsidRPr="00813A27">
              <w:rPr>
                <w:rFonts w:eastAsia="Calibri"/>
                <w:b/>
                <w:sz w:val="20"/>
                <w:szCs w:val="20"/>
                <w:vertAlign w:val="superscript"/>
                <w:lang w:eastAsia="en-US"/>
              </w:rPr>
              <w:t>/</w:t>
            </w:r>
          </w:p>
        </w:tc>
      </w:tr>
      <w:tr w:rsidR="00813A27" w:rsidRPr="00813A27" w14:paraId="3787D520" w14:textId="77777777" w:rsidTr="00A65300">
        <w:trPr>
          <w:jc w:val="center"/>
        </w:trPr>
        <w:tc>
          <w:tcPr>
            <w:tcW w:w="2977" w:type="dxa"/>
            <w:tcBorders>
              <w:left w:val="single" w:sz="4" w:space="0" w:color="auto"/>
              <w:right w:val="single" w:sz="4" w:space="0" w:color="auto"/>
            </w:tcBorders>
          </w:tcPr>
          <w:p w14:paraId="5245A500"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Mejorará</w:t>
            </w:r>
          </w:p>
        </w:tc>
        <w:tc>
          <w:tcPr>
            <w:tcW w:w="1199" w:type="dxa"/>
            <w:tcBorders>
              <w:left w:val="single" w:sz="4" w:space="0" w:color="auto"/>
              <w:right w:val="single" w:sz="4" w:space="0" w:color="auto"/>
            </w:tcBorders>
          </w:tcPr>
          <w:p w14:paraId="54D7D421"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76</w:t>
            </w:r>
          </w:p>
        </w:tc>
        <w:tc>
          <w:tcPr>
            <w:tcW w:w="1211" w:type="dxa"/>
            <w:tcBorders>
              <w:left w:val="single" w:sz="4" w:space="0" w:color="auto"/>
              <w:right w:val="single" w:sz="4" w:space="0" w:color="auto"/>
            </w:tcBorders>
          </w:tcPr>
          <w:p w14:paraId="76F1DBBD"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47</w:t>
            </w:r>
          </w:p>
        </w:tc>
      </w:tr>
      <w:tr w:rsidR="00813A27" w:rsidRPr="00813A27" w14:paraId="20C0EA99" w14:textId="77777777" w:rsidTr="00A65300">
        <w:trPr>
          <w:jc w:val="center"/>
        </w:trPr>
        <w:tc>
          <w:tcPr>
            <w:tcW w:w="2977" w:type="dxa"/>
            <w:tcBorders>
              <w:left w:val="single" w:sz="4" w:space="0" w:color="auto"/>
              <w:right w:val="single" w:sz="4" w:space="0" w:color="auto"/>
            </w:tcBorders>
          </w:tcPr>
          <w:p w14:paraId="71080304"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Permanecerá igual</w:t>
            </w:r>
          </w:p>
        </w:tc>
        <w:tc>
          <w:tcPr>
            <w:tcW w:w="1199" w:type="dxa"/>
            <w:tcBorders>
              <w:left w:val="single" w:sz="4" w:space="0" w:color="auto"/>
              <w:right w:val="single" w:sz="4" w:space="0" w:color="auto"/>
            </w:tcBorders>
          </w:tcPr>
          <w:p w14:paraId="5B689ADA"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21</w:t>
            </w:r>
          </w:p>
        </w:tc>
        <w:tc>
          <w:tcPr>
            <w:tcW w:w="1211" w:type="dxa"/>
            <w:tcBorders>
              <w:left w:val="single" w:sz="4" w:space="0" w:color="auto"/>
              <w:right w:val="single" w:sz="4" w:space="0" w:color="auto"/>
            </w:tcBorders>
          </w:tcPr>
          <w:p w14:paraId="57097456"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44</w:t>
            </w:r>
          </w:p>
        </w:tc>
      </w:tr>
      <w:tr w:rsidR="00813A27" w:rsidRPr="00813A27" w14:paraId="67465BB4" w14:textId="77777777" w:rsidTr="00A65300">
        <w:trPr>
          <w:jc w:val="center"/>
        </w:trPr>
        <w:tc>
          <w:tcPr>
            <w:tcW w:w="2977" w:type="dxa"/>
            <w:tcBorders>
              <w:left w:val="single" w:sz="4" w:space="0" w:color="auto"/>
              <w:right w:val="single" w:sz="4" w:space="0" w:color="auto"/>
            </w:tcBorders>
          </w:tcPr>
          <w:p w14:paraId="23F4C3E1"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Empeorará</w:t>
            </w:r>
          </w:p>
        </w:tc>
        <w:tc>
          <w:tcPr>
            <w:tcW w:w="1199" w:type="dxa"/>
            <w:tcBorders>
              <w:left w:val="single" w:sz="4" w:space="0" w:color="auto"/>
              <w:right w:val="single" w:sz="4" w:space="0" w:color="auto"/>
            </w:tcBorders>
          </w:tcPr>
          <w:p w14:paraId="000B4F7B"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3</w:t>
            </w:r>
          </w:p>
        </w:tc>
        <w:tc>
          <w:tcPr>
            <w:tcW w:w="1211" w:type="dxa"/>
            <w:tcBorders>
              <w:left w:val="single" w:sz="4" w:space="0" w:color="auto"/>
              <w:right w:val="single" w:sz="4" w:space="0" w:color="auto"/>
            </w:tcBorders>
          </w:tcPr>
          <w:p w14:paraId="4CF4D2C3"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9</w:t>
            </w:r>
          </w:p>
        </w:tc>
      </w:tr>
      <w:tr w:rsidR="00813A27" w:rsidRPr="00813A27" w14:paraId="52C98F60" w14:textId="77777777" w:rsidTr="00A65300">
        <w:trPr>
          <w:jc w:val="center"/>
        </w:trPr>
        <w:tc>
          <w:tcPr>
            <w:tcW w:w="5387" w:type="dxa"/>
            <w:gridSpan w:val="3"/>
            <w:tcBorders>
              <w:left w:val="single" w:sz="4" w:space="0" w:color="auto"/>
              <w:right w:val="single" w:sz="4" w:space="0" w:color="auto"/>
            </w:tcBorders>
          </w:tcPr>
          <w:p w14:paraId="11390034" w14:textId="77777777" w:rsidR="00813A27" w:rsidRPr="00813A27" w:rsidRDefault="00813A27" w:rsidP="00813A27">
            <w:pPr>
              <w:ind w:right="454"/>
              <w:jc w:val="both"/>
              <w:rPr>
                <w:rFonts w:eastAsia="Calibri"/>
                <w:b/>
                <w:sz w:val="20"/>
                <w:szCs w:val="20"/>
                <w:lang w:eastAsia="en-US"/>
              </w:rPr>
            </w:pPr>
            <w:r w:rsidRPr="00813A27">
              <w:rPr>
                <w:rFonts w:eastAsia="Calibri"/>
                <w:b/>
                <w:sz w:val="20"/>
                <w:szCs w:val="20"/>
                <w:lang w:eastAsia="en-US"/>
              </w:rPr>
              <w:t>Actualmente la economía está mejor que hace un año</w:t>
            </w:r>
            <w:r w:rsidRPr="00813A27">
              <w:rPr>
                <w:rFonts w:eastAsia="Calibri"/>
                <w:b/>
                <w:sz w:val="20"/>
                <w:szCs w:val="20"/>
                <w:u w:val="single"/>
                <w:vertAlign w:val="superscript"/>
                <w:lang w:eastAsia="en-US"/>
              </w:rPr>
              <w:t>2</w:t>
            </w:r>
            <w:r w:rsidRPr="00813A27">
              <w:rPr>
                <w:rFonts w:eastAsia="Calibri"/>
                <w:b/>
                <w:sz w:val="20"/>
                <w:szCs w:val="20"/>
                <w:vertAlign w:val="superscript"/>
                <w:lang w:eastAsia="en-US"/>
              </w:rPr>
              <w:t>/</w:t>
            </w:r>
          </w:p>
        </w:tc>
      </w:tr>
      <w:tr w:rsidR="00813A27" w:rsidRPr="00813A27" w14:paraId="740B4446" w14:textId="77777777" w:rsidTr="00A65300">
        <w:trPr>
          <w:jc w:val="center"/>
        </w:trPr>
        <w:tc>
          <w:tcPr>
            <w:tcW w:w="2977" w:type="dxa"/>
            <w:tcBorders>
              <w:left w:val="single" w:sz="4" w:space="0" w:color="auto"/>
              <w:right w:val="single" w:sz="4" w:space="0" w:color="auto"/>
            </w:tcBorders>
          </w:tcPr>
          <w:p w14:paraId="198E3077"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Sí</w:t>
            </w:r>
          </w:p>
        </w:tc>
        <w:tc>
          <w:tcPr>
            <w:tcW w:w="1199" w:type="dxa"/>
            <w:tcBorders>
              <w:left w:val="single" w:sz="4" w:space="0" w:color="auto"/>
              <w:right w:val="single" w:sz="4" w:space="0" w:color="auto"/>
            </w:tcBorders>
          </w:tcPr>
          <w:p w14:paraId="7EE60FDB"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82</w:t>
            </w:r>
          </w:p>
        </w:tc>
        <w:tc>
          <w:tcPr>
            <w:tcW w:w="1211" w:type="dxa"/>
            <w:tcBorders>
              <w:left w:val="single" w:sz="4" w:space="0" w:color="auto"/>
              <w:right w:val="single" w:sz="4" w:space="0" w:color="auto"/>
            </w:tcBorders>
          </w:tcPr>
          <w:p w14:paraId="5AFB4176"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74</w:t>
            </w:r>
          </w:p>
        </w:tc>
      </w:tr>
      <w:tr w:rsidR="00813A27" w:rsidRPr="00813A27" w14:paraId="4FA0DCAB" w14:textId="77777777" w:rsidTr="00A65300">
        <w:trPr>
          <w:jc w:val="center"/>
        </w:trPr>
        <w:tc>
          <w:tcPr>
            <w:tcW w:w="2977" w:type="dxa"/>
            <w:tcBorders>
              <w:left w:val="single" w:sz="4" w:space="0" w:color="auto"/>
              <w:right w:val="single" w:sz="4" w:space="0" w:color="auto"/>
            </w:tcBorders>
          </w:tcPr>
          <w:p w14:paraId="6F472DA9"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No</w:t>
            </w:r>
          </w:p>
        </w:tc>
        <w:tc>
          <w:tcPr>
            <w:tcW w:w="1199" w:type="dxa"/>
            <w:tcBorders>
              <w:left w:val="single" w:sz="4" w:space="0" w:color="auto"/>
              <w:right w:val="single" w:sz="4" w:space="0" w:color="auto"/>
            </w:tcBorders>
          </w:tcPr>
          <w:p w14:paraId="18AF8C88"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18</w:t>
            </w:r>
          </w:p>
        </w:tc>
        <w:tc>
          <w:tcPr>
            <w:tcW w:w="1211" w:type="dxa"/>
            <w:tcBorders>
              <w:left w:val="single" w:sz="4" w:space="0" w:color="auto"/>
              <w:right w:val="single" w:sz="4" w:space="0" w:color="auto"/>
            </w:tcBorders>
          </w:tcPr>
          <w:p w14:paraId="21AEF2AF"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26</w:t>
            </w:r>
          </w:p>
        </w:tc>
      </w:tr>
      <w:tr w:rsidR="00813A27" w:rsidRPr="00813A27" w14:paraId="1C3604E2" w14:textId="77777777" w:rsidTr="00A65300">
        <w:trPr>
          <w:jc w:val="center"/>
        </w:trPr>
        <w:tc>
          <w:tcPr>
            <w:tcW w:w="5387" w:type="dxa"/>
            <w:gridSpan w:val="3"/>
            <w:tcBorders>
              <w:left w:val="single" w:sz="4" w:space="0" w:color="auto"/>
              <w:right w:val="single" w:sz="4" w:space="0" w:color="auto"/>
            </w:tcBorders>
          </w:tcPr>
          <w:p w14:paraId="693E75B1" w14:textId="77777777" w:rsidR="00813A27" w:rsidRPr="00813A27" w:rsidRDefault="00813A27" w:rsidP="00813A27">
            <w:pPr>
              <w:ind w:right="454"/>
              <w:jc w:val="both"/>
              <w:rPr>
                <w:rFonts w:eastAsia="Calibri"/>
                <w:b/>
                <w:sz w:val="20"/>
                <w:szCs w:val="20"/>
                <w:lang w:eastAsia="en-US"/>
              </w:rPr>
            </w:pPr>
            <w:r w:rsidRPr="00813A27">
              <w:rPr>
                <w:rFonts w:eastAsia="Calibri"/>
                <w:b/>
                <w:sz w:val="20"/>
                <w:szCs w:val="20"/>
                <w:lang w:eastAsia="en-US"/>
              </w:rPr>
              <w:t>Coyuntura actual para realizar inversiones</w:t>
            </w:r>
            <w:r w:rsidRPr="00813A27">
              <w:rPr>
                <w:rFonts w:eastAsia="Calibri"/>
                <w:b/>
                <w:sz w:val="20"/>
                <w:szCs w:val="20"/>
                <w:u w:val="single"/>
                <w:vertAlign w:val="superscript"/>
                <w:lang w:eastAsia="en-US"/>
              </w:rPr>
              <w:t>3</w:t>
            </w:r>
            <w:r w:rsidRPr="00813A27">
              <w:rPr>
                <w:rFonts w:eastAsia="Calibri"/>
                <w:b/>
                <w:sz w:val="20"/>
                <w:szCs w:val="20"/>
                <w:vertAlign w:val="superscript"/>
                <w:lang w:eastAsia="en-US"/>
              </w:rPr>
              <w:t>/</w:t>
            </w:r>
          </w:p>
        </w:tc>
      </w:tr>
      <w:tr w:rsidR="00813A27" w:rsidRPr="00813A27" w14:paraId="4617E419" w14:textId="77777777" w:rsidTr="00A65300">
        <w:trPr>
          <w:jc w:val="center"/>
        </w:trPr>
        <w:tc>
          <w:tcPr>
            <w:tcW w:w="2977" w:type="dxa"/>
            <w:tcBorders>
              <w:left w:val="single" w:sz="4" w:space="0" w:color="auto"/>
              <w:right w:val="single" w:sz="4" w:space="0" w:color="auto"/>
            </w:tcBorders>
          </w:tcPr>
          <w:p w14:paraId="5F66160F"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Buen momento</w:t>
            </w:r>
          </w:p>
        </w:tc>
        <w:tc>
          <w:tcPr>
            <w:tcW w:w="1199" w:type="dxa"/>
            <w:tcBorders>
              <w:left w:val="single" w:sz="4" w:space="0" w:color="auto"/>
              <w:right w:val="single" w:sz="4" w:space="0" w:color="auto"/>
            </w:tcBorders>
          </w:tcPr>
          <w:p w14:paraId="6A6933FC"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58</w:t>
            </w:r>
          </w:p>
        </w:tc>
        <w:tc>
          <w:tcPr>
            <w:tcW w:w="1211" w:type="dxa"/>
            <w:tcBorders>
              <w:left w:val="single" w:sz="4" w:space="0" w:color="auto"/>
              <w:right w:val="single" w:sz="4" w:space="0" w:color="auto"/>
            </w:tcBorders>
          </w:tcPr>
          <w:p w14:paraId="60FC3205"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48</w:t>
            </w:r>
          </w:p>
        </w:tc>
      </w:tr>
      <w:tr w:rsidR="00813A27" w:rsidRPr="00813A27" w14:paraId="287FE9A2" w14:textId="77777777" w:rsidTr="00A65300">
        <w:trPr>
          <w:jc w:val="center"/>
        </w:trPr>
        <w:tc>
          <w:tcPr>
            <w:tcW w:w="2977" w:type="dxa"/>
            <w:tcBorders>
              <w:left w:val="single" w:sz="4" w:space="0" w:color="auto"/>
              <w:right w:val="single" w:sz="4" w:space="0" w:color="auto"/>
            </w:tcBorders>
          </w:tcPr>
          <w:p w14:paraId="1D967DB5"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Mal momento</w:t>
            </w:r>
          </w:p>
        </w:tc>
        <w:tc>
          <w:tcPr>
            <w:tcW w:w="1199" w:type="dxa"/>
            <w:tcBorders>
              <w:left w:val="single" w:sz="4" w:space="0" w:color="auto"/>
              <w:right w:val="single" w:sz="4" w:space="0" w:color="auto"/>
            </w:tcBorders>
          </w:tcPr>
          <w:p w14:paraId="31614E70"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6</w:t>
            </w:r>
          </w:p>
        </w:tc>
        <w:tc>
          <w:tcPr>
            <w:tcW w:w="1211" w:type="dxa"/>
            <w:tcBorders>
              <w:left w:val="single" w:sz="4" w:space="0" w:color="auto"/>
              <w:right w:val="single" w:sz="4" w:space="0" w:color="auto"/>
            </w:tcBorders>
          </w:tcPr>
          <w:p w14:paraId="7D0AF5AD"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9</w:t>
            </w:r>
          </w:p>
        </w:tc>
      </w:tr>
      <w:tr w:rsidR="00813A27" w:rsidRPr="00813A27" w14:paraId="229B3F8B" w14:textId="77777777" w:rsidTr="00A65300">
        <w:trPr>
          <w:jc w:val="center"/>
        </w:trPr>
        <w:tc>
          <w:tcPr>
            <w:tcW w:w="2977" w:type="dxa"/>
            <w:tcBorders>
              <w:left w:val="single" w:sz="4" w:space="0" w:color="auto"/>
              <w:bottom w:val="single" w:sz="4" w:space="0" w:color="auto"/>
              <w:right w:val="single" w:sz="4" w:space="0" w:color="auto"/>
            </w:tcBorders>
          </w:tcPr>
          <w:p w14:paraId="4E32A206"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 xml:space="preserve">     No está seguro</w:t>
            </w:r>
          </w:p>
        </w:tc>
        <w:tc>
          <w:tcPr>
            <w:tcW w:w="1199" w:type="dxa"/>
            <w:tcBorders>
              <w:left w:val="single" w:sz="4" w:space="0" w:color="auto"/>
              <w:bottom w:val="single" w:sz="4" w:space="0" w:color="auto"/>
              <w:right w:val="single" w:sz="4" w:space="0" w:color="auto"/>
            </w:tcBorders>
          </w:tcPr>
          <w:p w14:paraId="077EA689"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36</w:t>
            </w:r>
          </w:p>
        </w:tc>
        <w:tc>
          <w:tcPr>
            <w:tcW w:w="1211" w:type="dxa"/>
            <w:tcBorders>
              <w:left w:val="single" w:sz="4" w:space="0" w:color="auto"/>
              <w:bottom w:val="single" w:sz="4" w:space="0" w:color="auto"/>
              <w:right w:val="single" w:sz="4" w:space="0" w:color="auto"/>
            </w:tcBorders>
          </w:tcPr>
          <w:p w14:paraId="20C78DE5" w14:textId="77777777" w:rsidR="00813A27" w:rsidRPr="00813A27" w:rsidRDefault="00813A27" w:rsidP="00813A27">
            <w:pPr>
              <w:ind w:right="454"/>
              <w:jc w:val="right"/>
              <w:rPr>
                <w:rFonts w:eastAsia="Calibri"/>
                <w:sz w:val="20"/>
                <w:szCs w:val="20"/>
                <w:lang w:eastAsia="en-US"/>
              </w:rPr>
            </w:pPr>
            <w:r w:rsidRPr="00813A27">
              <w:rPr>
                <w:rFonts w:eastAsia="Calibri"/>
                <w:sz w:val="20"/>
                <w:szCs w:val="20"/>
                <w:lang w:eastAsia="en-US"/>
              </w:rPr>
              <w:t>42</w:t>
            </w:r>
          </w:p>
        </w:tc>
      </w:tr>
      <w:tr w:rsidR="00813A27" w:rsidRPr="00813A27" w14:paraId="4F9428F9" w14:textId="77777777" w:rsidTr="002B3A4F">
        <w:trPr>
          <w:jc w:val="center"/>
        </w:trPr>
        <w:tc>
          <w:tcPr>
            <w:tcW w:w="5387" w:type="dxa"/>
            <w:gridSpan w:val="3"/>
            <w:tcBorders>
              <w:left w:val="nil"/>
              <w:bottom w:val="nil"/>
              <w:right w:val="nil"/>
            </w:tcBorders>
          </w:tcPr>
          <w:p w14:paraId="38E1778F" w14:textId="77777777" w:rsidR="00813A27" w:rsidRPr="00813A27" w:rsidRDefault="00813A27" w:rsidP="00813A27">
            <w:pPr>
              <w:ind w:left="284" w:hanging="284"/>
              <w:jc w:val="both"/>
              <w:rPr>
                <w:rFonts w:eastAsia="Calibri"/>
                <w:sz w:val="20"/>
                <w:szCs w:val="20"/>
                <w:lang w:eastAsia="en-US"/>
              </w:rPr>
            </w:pPr>
            <w:r w:rsidRPr="00813A27">
              <w:rPr>
                <w:rFonts w:eastAsia="Calibri"/>
                <w:sz w:val="20"/>
                <w:szCs w:val="20"/>
                <w:u w:val="single"/>
                <w:lang w:eastAsia="en-US"/>
              </w:rPr>
              <w:t>1</w:t>
            </w:r>
            <w:r w:rsidRPr="00813A27">
              <w:rPr>
                <w:rFonts w:eastAsia="Calibri"/>
                <w:sz w:val="20"/>
                <w:szCs w:val="20"/>
                <w:lang w:eastAsia="en-US"/>
              </w:rPr>
              <w:t>/ ¿Cómo considera que evolucione el clima de negocios para las actividades productivas del sector privado en los próximos seis meses en comparación con los pasados seis meses?</w:t>
            </w:r>
          </w:p>
          <w:p w14:paraId="3CB48E67" w14:textId="77777777" w:rsidR="00813A27" w:rsidRPr="00813A27" w:rsidRDefault="00813A27" w:rsidP="00813A27">
            <w:pPr>
              <w:ind w:left="312" w:hanging="312"/>
              <w:jc w:val="both"/>
              <w:rPr>
                <w:rFonts w:eastAsia="Calibri"/>
                <w:sz w:val="20"/>
                <w:szCs w:val="20"/>
                <w:lang w:eastAsia="en-US"/>
              </w:rPr>
            </w:pPr>
            <w:r w:rsidRPr="00813A27">
              <w:rPr>
                <w:rFonts w:eastAsia="Calibri"/>
                <w:sz w:val="20"/>
                <w:szCs w:val="20"/>
                <w:u w:val="single"/>
                <w:lang w:eastAsia="en-US"/>
              </w:rPr>
              <w:t>2</w:t>
            </w:r>
            <w:r w:rsidRPr="00813A27">
              <w:rPr>
                <w:rFonts w:eastAsia="Calibri"/>
                <w:sz w:val="20"/>
                <w:szCs w:val="20"/>
                <w:lang w:eastAsia="en-US"/>
              </w:rPr>
              <w:t>/ Tomando en cuenta el entorno económico-financiero actual: ¿Considera usted que actualmente la economía del país está mejor que hace un año?</w:t>
            </w:r>
          </w:p>
          <w:p w14:paraId="75C7DD02" w14:textId="77777777" w:rsidR="00813A27" w:rsidRPr="00813A27" w:rsidRDefault="00813A27" w:rsidP="00813A27">
            <w:pPr>
              <w:ind w:left="284" w:hanging="284"/>
              <w:jc w:val="both"/>
              <w:rPr>
                <w:rFonts w:eastAsia="Calibri"/>
                <w:sz w:val="20"/>
                <w:szCs w:val="20"/>
                <w:lang w:eastAsia="en-US"/>
              </w:rPr>
            </w:pPr>
            <w:r w:rsidRPr="00813A27">
              <w:rPr>
                <w:rFonts w:eastAsia="Calibri"/>
                <w:sz w:val="20"/>
                <w:szCs w:val="20"/>
                <w:u w:val="single"/>
                <w:lang w:eastAsia="en-US"/>
              </w:rPr>
              <w:t>3</w:t>
            </w:r>
            <w:r w:rsidRPr="00813A27">
              <w:rPr>
                <w:rFonts w:eastAsia="Calibri"/>
                <w:sz w:val="20"/>
                <w:szCs w:val="20"/>
                <w:lang w:eastAsia="en-US"/>
              </w:rPr>
              <w:t>/ ¿Cómo considera que sea la coyuntura actual de las empresas para efectuar inversiones?</w:t>
            </w:r>
          </w:p>
          <w:p w14:paraId="0F767C88" w14:textId="77777777" w:rsidR="00813A27" w:rsidRPr="00813A27" w:rsidRDefault="00813A27" w:rsidP="00813A27">
            <w:pPr>
              <w:ind w:left="227" w:hanging="227"/>
              <w:jc w:val="both"/>
              <w:rPr>
                <w:rFonts w:eastAsia="Calibri"/>
                <w:sz w:val="20"/>
                <w:szCs w:val="20"/>
                <w:lang w:eastAsia="en-US"/>
              </w:rPr>
            </w:pPr>
            <w:r w:rsidRPr="00813A27">
              <w:rPr>
                <w:rFonts w:eastAsia="Calibri"/>
                <w:sz w:val="20"/>
                <w:szCs w:val="20"/>
                <w:lang w:eastAsia="en-US"/>
              </w:rPr>
              <w:t>FUENTE: Banco de México.</w:t>
            </w:r>
          </w:p>
        </w:tc>
      </w:tr>
    </w:tbl>
    <w:p w14:paraId="01F4C1CF" w14:textId="77777777" w:rsidR="00813A27" w:rsidRPr="00813A27" w:rsidRDefault="00813A27" w:rsidP="00813A27">
      <w:pPr>
        <w:spacing w:after="360" w:line="360" w:lineRule="auto"/>
        <w:ind w:right="-159"/>
        <w:jc w:val="both"/>
        <w:rPr>
          <w:rFonts w:eastAsia="Calibri"/>
          <w:sz w:val="26"/>
          <w:szCs w:val="26"/>
          <w:lang w:eastAsia="en-US"/>
        </w:rPr>
      </w:pPr>
    </w:p>
    <w:p w14:paraId="25BBE48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EXPECTATIVAS.pptx!284"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1391B1F8" wp14:editId="576540AC">
            <wp:extent cx="4905375" cy="3429000"/>
            <wp:effectExtent l="0" t="0" r="9525" b="0"/>
            <wp:docPr id="1644" name="Imagen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9"/>
                    <pic:cNvPicPr>
                      <a:picLocks noChangeAspect="1" noChangeArrowheads="1"/>
                    </pic:cNvPicPr>
                  </pic:nvPicPr>
                  <pic:blipFill>
                    <a:blip r:embed="rId213" cstate="print">
                      <a:extLst>
                        <a:ext uri="{28A0092B-C50C-407E-A947-70E740481C1C}">
                          <a14:useLocalDpi xmlns:a14="http://schemas.microsoft.com/office/drawing/2010/main" val="0"/>
                        </a:ext>
                      </a:extLst>
                    </a:blip>
                    <a:srcRect l="11424" r="7982"/>
                    <a:stretch>
                      <a:fillRect/>
                    </a:stretch>
                  </pic:blipFill>
                  <pic:spPr bwMode="auto">
                    <a:xfrm>
                      <a:off x="0" y="0"/>
                      <a:ext cx="4905375" cy="342900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343A45EB" w14:textId="77777777" w:rsidR="00813A27" w:rsidRPr="00813A27" w:rsidRDefault="00813A27" w:rsidP="00813A27">
      <w:pPr>
        <w:spacing w:after="160" w:line="259" w:lineRule="auto"/>
        <w:jc w:val="center"/>
        <w:rPr>
          <w:rFonts w:ascii="Calibri" w:eastAsia="Calibri" w:hAnsi="Calibri"/>
          <w:sz w:val="22"/>
          <w:szCs w:val="22"/>
          <w:lang w:eastAsia="en-US"/>
        </w:rPr>
      </w:pPr>
    </w:p>
    <w:p w14:paraId="3A990810"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POINT\\13.- GRÁFICAS DE EXPECTATIVAS.pptx!278"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26EEE8F" wp14:editId="54C2C940">
            <wp:extent cx="4404995" cy="3324225"/>
            <wp:effectExtent l="0" t="0" r="0" b="9525"/>
            <wp:docPr id="1645" name="Imagen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0"/>
                    <pic:cNvPicPr>
                      <a:picLocks noChangeAspect="1" noChangeArrowheads="1"/>
                    </pic:cNvPicPr>
                  </pic:nvPicPr>
                  <pic:blipFill>
                    <a:blip r:embed="rId214" cstate="print">
                      <a:extLst>
                        <a:ext uri="{28A0092B-C50C-407E-A947-70E740481C1C}">
                          <a14:useLocalDpi xmlns:a14="http://schemas.microsoft.com/office/drawing/2010/main" val="0"/>
                        </a:ext>
                      </a:extLst>
                    </a:blip>
                    <a:srcRect l="12050" r="15649" b="3055"/>
                    <a:stretch>
                      <a:fillRect/>
                    </a:stretch>
                  </pic:blipFill>
                  <pic:spPr bwMode="auto">
                    <a:xfrm>
                      <a:off x="0" y="0"/>
                      <a:ext cx="4404995" cy="332422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1BD7106D" w14:textId="77777777" w:rsidR="00813A27" w:rsidRPr="00813A27" w:rsidRDefault="00813A27" w:rsidP="00813A27">
      <w:pPr>
        <w:spacing w:after="160" w:line="259" w:lineRule="auto"/>
        <w:jc w:val="center"/>
        <w:rPr>
          <w:rFonts w:ascii="Calibri" w:eastAsia="Calibri" w:hAnsi="Calibri"/>
          <w:sz w:val="22"/>
          <w:szCs w:val="22"/>
          <w:lang w:eastAsia="en-US"/>
        </w:rPr>
      </w:pPr>
    </w:p>
    <w:p w14:paraId="249DEB6F" w14:textId="77777777" w:rsidR="00813A27" w:rsidRPr="00813A27" w:rsidRDefault="00813A27" w:rsidP="00813A27">
      <w:pPr>
        <w:spacing w:after="160" w:line="259" w:lineRule="auto"/>
        <w:jc w:val="center"/>
        <w:rPr>
          <w:rFonts w:ascii="Calibri" w:eastAsia="Calibri" w:hAnsi="Calibri"/>
          <w:sz w:val="22"/>
          <w:szCs w:val="22"/>
          <w:lang w:eastAsia="en-US"/>
        </w:rPr>
      </w:pPr>
    </w:p>
    <w:p w14:paraId="595DBFE3"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POINT\\13.- GRÁFICAS DE EXPECTATIVAS.pptx!281"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4FAF8C44" wp14:editId="1CA4FBC0">
            <wp:extent cx="4380230" cy="3286760"/>
            <wp:effectExtent l="0" t="0" r="1270" b="8890"/>
            <wp:docPr id="1646" name="Imagen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1"/>
                    <pic:cNvPicPr>
                      <a:picLocks noChangeAspect="1" noChangeArrowheads="1"/>
                    </pic:cNvPicPr>
                  </pic:nvPicPr>
                  <pic:blipFill>
                    <a:blip r:embed="rId215" cstate="print">
                      <a:extLst>
                        <a:ext uri="{28A0092B-C50C-407E-A947-70E740481C1C}">
                          <a14:useLocalDpi xmlns:a14="http://schemas.microsoft.com/office/drawing/2010/main" val="0"/>
                        </a:ext>
                      </a:extLst>
                    </a:blip>
                    <a:srcRect l="12207" t="1944" r="15807" b="2222"/>
                    <a:stretch>
                      <a:fillRect/>
                    </a:stretch>
                  </pic:blipFill>
                  <pic:spPr bwMode="auto">
                    <a:xfrm>
                      <a:off x="0" y="0"/>
                      <a:ext cx="4380230" cy="328676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7C975B00" w14:textId="77777777" w:rsidR="00813A27" w:rsidRPr="00813A27" w:rsidRDefault="00813A27" w:rsidP="00813A27">
      <w:pPr>
        <w:spacing w:after="160" w:line="259" w:lineRule="auto"/>
        <w:jc w:val="center"/>
        <w:rPr>
          <w:rFonts w:ascii="Calibri" w:eastAsia="Calibri" w:hAnsi="Calibri"/>
          <w:sz w:val="22"/>
          <w:szCs w:val="22"/>
          <w:lang w:eastAsia="en-US"/>
        </w:rPr>
      </w:pPr>
    </w:p>
    <w:p w14:paraId="558B12A6" w14:textId="77777777" w:rsidR="00813A27" w:rsidRPr="00813A27" w:rsidRDefault="00813A27" w:rsidP="00813A27">
      <w:pPr>
        <w:spacing w:after="160" w:line="259" w:lineRule="auto"/>
        <w:jc w:val="center"/>
        <w:rPr>
          <w:rFonts w:ascii="Calibri" w:eastAsia="Calibri" w:hAnsi="Calibri"/>
          <w:sz w:val="22"/>
          <w:szCs w:val="22"/>
          <w:lang w:eastAsia="en-US"/>
        </w:rPr>
      </w:pPr>
    </w:p>
    <w:p w14:paraId="535749B0" w14:textId="77777777" w:rsidR="00813A27" w:rsidRPr="00813A27" w:rsidRDefault="00813A27" w:rsidP="00813A27">
      <w:pPr>
        <w:spacing w:after="360" w:line="360" w:lineRule="auto"/>
        <w:ind w:right="-159"/>
        <w:jc w:val="center"/>
        <w:rPr>
          <w:rFonts w:eastAsia="Calibri"/>
          <w:sz w:val="26"/>
          <w:szCs w:val="26"/>
          <w:lang w:eastAsia="en-US"/>
        </w:rPr>
      </w:pPr>
    </w:p>
    <w:p w14:paraId="56B2C78B" w14:textId="77777777" w:rsidR="00813A27" w:rsidRPr="00813A27" w:rsidRDefault="00813A27" w:rsidP="00813A27">
      <w:pPr>
        <w:spacing w:after="360" w:line="360" w:lineRule="auto"/>
        <w:ind w:right="-159"/>
        <w:jc w:val="both"/>
        <w:rPr>
          <w:rFonts w:eastAsia="Calibri"/>
          <w:b/>
          <w:sz w:val="26"/>
          <w:szCs w:val="26"/>
          <w:lang w:eastAsia="en-US"/>
        </w:rPr>
      </w:pPr>
      <w:r w:rsidRPr="00813A27">
        <w:rPr>
          <w:rFonts w:eastAsia="Calibri"/>
          <w:b/>
          <w:sz w:val="26"/>
          <w:szCs w:val="26"/>
          <w:lang w:eastAsia="en-US"/>
        </w:rPr>
        <w:lastRenderedPageBreak/>
        <w:t>Evolución de la actividad económica de Estados Unidos de Norteamérica</w:t>
      </w:r>
    </w:p>
    <w:p w14:paraId="239DFAD6" w14:textId="13168732" w:rsidR="00813A27" w:rsidRPr="00813A27" w:rsidRDefault="00813A27" w:rsidP="00813A27">
      <w:pPr>
        <w:spacing w:after="360" w:line="360" w:lineRule="auto"/>
        <w:ind w:right="-159"/>
        <w:jc w:val="both"/>
        <w:rPr>
          <w:rFonts w:eastAsia="Calibri"/>
          <w:sz w:val="26"/>
          <w:szCs w:val="26"/>
          <w:lang w:eastAsia="en-US"/>
        </w:rPr>
      </w:pPr>
      <w:r w:rsidRPr="00813A27">
        <w:rPr>
          <w:rFonts w:eastAsia="Calibri"/>
          <w:sz w:val="26"/>
          <w:szCs w:val="26"/>
          <w:lang w:eastAsia="en-US"/>
        </w:rPr>
        <w:t>Finalmente, las expectativas de crecimiento del PIB de Estados Unidos de Norteamérica para 2015 se revisaron a la baja, al tiempo que para 2016 se mantuvieron en el mismo nivel (ver el cuadro siguiente y las dos gráficas siguientes).</w:t>
      </w:r>
    </w:p>
    <w:tbl>
      <w:tblPr>
        <w:tblW w:w="0" w:type="auto"/>
        <w:jc w:val="center"/>
        <w:tblLook w:val="04A0" w:firstRow="1" w:lastRow="0" w:firstColumn="1" w:lastColumn="0" w:noHBand="0" w:noVBand="1"/>
      </w:tblPr>
      <w:tblGrid>
        <w:gridCol w:w="1293"/>
        <w:gridCol w:w="1194"/>
        <w:gridCol w:w="1194"/>
        <w:gridCol w:w="1194"/>
        <w:gridCol w:w="1194"/>
      </w:tblGrid>
      <w:tr w:rsidR="00813A27" w:rsidRPr="00813A27" w14:paraId="3EE68E69" w14:textId="77777777" w:rsidTr="00A65300">
        <w:trPr>
          <w:jc w:val="center"/>
        </w:trPr>
        <w:tc>
          <w:tcPr>
            <w:tcW w:w="6069" w:type="dxa"/>
            <w:gridSpan w:val="5"/>
            <w:tcBorders>
              <w:top w:val="nil"/>
              <w:left w:val="nil"/>
              <w:bottom w:val="single" w:sz="4" w:space="0" w:color="auto"/>
              <w:right w:val="nil"/>
            </w:tcBorders>
          </w:tcPr>
          <w:p w14:paraId="7EACA753"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PRONÓSTICOS DE LA VARIACIÓN DEL PIB DE ESTADOS UNIDOS DE NORTEAMÉRICA</w:t>
            </w:r>
          </w:p>
          <w:p w14:paraId="409C1536" w14:textId="77777777" w:rsidR="00813A27" w:rsidRPr="00813A27" w:rsidRDefault="00813A27" w:rsidP="00813A27">
            <w:pPr>
              <w:jc w:val="center"/>
              <w:rPr>
                <w:rFonts w:eastAsia="Calibri"/>
                <w:b/>
                <w:sz w:val="22"/>
                <w:szCs w:val="22"/>
                <w:lang w:eastAsia="en-US"/>
              </w:rPr>
            </w:pPr>
            <w:r w:rsidRPr="00813A27">
              <w:rPr>
                <w:rFonts w:eastAsia="Calibri"/>
                <w:b/>
                <w:sz w:val="22"/>
                <w:szCs w:val="22"/>
                <w:lang w:eastAsia="en-US"/>
              </w:rPr>
              <w:t>-Por ciento-</w:t>
            </w:r>
          </w:p>
        </w:tc>
      </w:tr>
      <w:tr w:rsidR="00813A27" w:rsidRPr="00813A27" w14:paraId="5AB1854A" w14:textId="77777777" w:rsidTr="00A65300">
        <w:trPr>
          <w:jc w:val="center"/>
        </w:trPr>
        <w:tc>
          <w:tcPr>
            <w:tcW w:w="1293" w:type="dxa"/>
            <w:vMerge w:val="restart"/>
            <w:tcBorders>
              <w:top w:val="single" w:sz="4" w:space="0" w:color="auto"/>
              <w:left w:val="single" w:sz="4" w:space="0" w:color="auto"/>
              <w:bottom w:val="single" w:sz="4" w:space="0" w:color="auto"/>
              <w:right w:val="single" w:sz="4" w:space="0" w:color="auto"/>
            </w:tcBorders>
          </w:tcPr>
          <w:p w14:paraId="2DF22B29"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3E6E95A4"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w:t>
            </w:r>
          </w:p>
        </w:tc>
        <w:tc>
          <w:tcPr>
            <w:tcW w:w="2388" w:type="dxa"/>
            <w:gridSpan w:val="2"/>
            <w:tcBorders>
              <w:top w:val="single" w:sz="4" w:space="0" w:color="auto"/>
              <w:left w:val="single" w:sz="4" w:space="0" w:color="auto"/>
              <w:bottom w:val="single" w:sz="4" w:space="0" w:color="auto"/>
              <w:right w:val="single" w:sz="4" w:space="0" w:color="auto"/>
            </w:tcBorders>
          </w:tcPr>
          <w:p w14:paraId="336F94F0"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Mediana</w:t>
            </w:r>
          </w:p>
        </w:tc>
      </w:tr>
      <w:tr w:rsidR="00813A27" w:rsidRPr="00813A27" w14:paraId="7AB41EEC"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67535A5F" w14:textId="77777777" w:rsidR="00813A27" w:rsidRPr="00813A27" w:rsidRDefault="00813A27" w:rsidP="00813A27">
            <w:pPr>
              <w:jc w:val="center"/>
              <w:rPr>
                <w:rFonts w:eastAsia="Calibri"/>
                <w:b/>
                <w:sz w:val="20"/>
                <w:szCs w:val="20"/>
                <w:lang w:eastAsia="en-US"/>
              </w:rPr>
            </w:pPr>
          </w:p>
        </w:tc>
        <w:tc>
          <w:tcPr>
            <w:tcW w:w="2388" w:type="dxa"/>
            <w:gridSpan w:val="2"/>
            <w:tcBorders>
              <w:top w:val="single" w:sz="4" w:space="0" w:color="auto"/>
              <w:left w:val="single" w:sz="4" w:space="0" w:color="auto"/>
              <w:bottom w:val="single" w:sz="4" w:space="0" w:color="auto"/>
              <w:right w:val="single" w:sz="4" w:space="0" w:color="auto"/>
            </w:tcBorders>
          </w:tcPr>
          <w:p w14:paraId="03BEDD5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c>
          <w:tcPr>
            <w:tcW w:w="2388" w:type="dxa"/>
            <w:gridSpan w:val="2"/>
            <w:tcBorders>
              <w:top w:val="single" w:sz="4" w:space="0" w:color="auto"/>
              <w:left w:val="single" w:sz="4" w:space="0" w:color="auto"/>
              <w:bottom w:val="single" w:sz="4" w:space="0" w:color="auto"/>
              <w:right w:val="single" w:sz="4" w:space="0" w:color="auto"/>
            </w:tcBorders>
          </w:tcPr>
          <w:p w14:paraId="4C3DD228"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Encuesta</w:t>
            </w:r>
          </w:p>
        </w:tc>
      </w:tr>
      <w:tr w:rsidR="00813A27" w:rsidRPr="00813A27" w14:paraId="78445CB1" w14:textId="77777777" w:rsidTr="00A65300">
        <w:trPr>
          <w:jc w:val="center"/>
        </w:trPr>
        <w:tc>
          <w:tcPr>
            <w:tcW w:w="1293" w:type="dxa"/>
            <w:vMerge/>
            <w:tcBorders>
              <w:top w:val="single" w:sz="4" w:space="0" w:color="auto"/>
              <w:left w:val="single" w:sz="4" w:space="0" w:color="auto"/>
              <w:bottom w:val="single" w:sz="4" w:space="0" w:color="auto"/>
              <w:right w:val="single" w:sz="4" w:space="0" w:color="auto"/>
            </w:tcBorders>
          </w:tcPr>
          <w:p w14:paraId="6B132E21" w14:textId="77777777" w:rsidR="00813A27" w:rsidRPr="00813A27" w:rsidRDefault="00813A27" w:rsidP="00813A27">
            <w:pPr>
              <w:jc w:val="center"/>
              <w:rPr>
                <w:rFonts w:eastAsia="Calibri"/>
                <w:b/>
                <w:sz w:val="20"/>
                <w:szCs w:val="20"/>
                <w:lang w:eastAsia="en-US"/>
              </w:rPr>
            </w:pPr>
          </w:p>
        </w:tc>
        <w:tc>
          <w:tcPr>
            <w:tcW w:w="1194" w:type="dxa"/>
            <w:tcBorders>
              <w:top w:val="single" w:sz="4" w:space="0" w:color="auto"/>
              <w:left w:val="single" w:sz="4" w:space="0" w:color="auto"/>
              <w:bottom w:val="single" w:sz="4" w:space="0" w:color="auto"/>
              <w:right w:val="single" w:sz="4" w:space="0" w:color="auto"/>
            </w:tcBorders>
          </w:tcPr>
          <w:p w14:paraId="59DDA57E"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2722B635"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c>
          <w:tcPr>
            <w:tcW w:w="1194" w:type="dxa"/>
            <w:tcBorders>
              <w:top w:val="single" w:sz="4" w:space="0" w:color="auto"/>
              <w:left w:val="single" w:sz="4" w:space="0" w:color="auto"/>
              <w:bottom w:val="single" w:sz="4" w:space="0" w:color="auto"/>
              <w:right w:val="single" w:sz="4" w:space="0" w:color="auto"/>
            </w:tcBorders>
          </w:tcPr>
          <w:p w14:paraId="79B4C42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Febrero</w:t>
            </w:r>
          </w:p>
        </w:tc>
        <w:tc>
          <w:tcPr>
            <w:tcW w:w="1194" w:type="dxa"/>
            <w:tcBorders>
              <w:top w:val="single" w:sz="4" w:space="0" w:color="auto"/>
              <w:left w:val="single" w:sz="4" w:space="0" w:color="auto"/>
              <w:bottom w:val="single" w:sz="4" w:space="0" w:color="auto"/>
              <w:right w:val="single" w:sz="4" w:space="0" w:color="auto"/>
            </w:tcBorders>
          </w:tcPr>
          <w:p w14:paraId="26D5EF26" w14:textId="77777777" w:rsidR="00813A27" w:rsidRPr="00813A27" w:rsidRDefault="00813A27" w:rsidP="00813A27">
            <w:pPr>
              <w:jc w:val="center"/>
              <w:rPr>
                <w:rFonts w:eastAsia="Calibri"/>
                <w:b/>
                <w:sz w:val="20"/>
                <w:szCs w:val="20"/>
                <w:lang w:eastAsia="en-US"/>
              </w:rPr>
            </w:pPr>
            <w:r w:rsidRPr="00813A27">
              <w:rPr>
                <w:rFonts w:eastAsia="Calibri"/>
                <w:b/>
                <w:sz w:val="20"/>
                <w:szCs w:val="20"/>
                <w:lang w:eastAsia="en-US"/>
              </w:rPr>
              <w:t>Marzo</w:t>
            </w:r>
          </w:p>
        </w:tc>
      </w:tr>
      <w:tr w:rsidR="00813A27" w:rsidRPr="00813A27" w14:paraId="2250398D" w14:textId="77777777" w:rsidTr="00A65300">
        <w:trPr>
          <w:jc w:val="center"/>
        </w:trPr>
        <w:tc>
          <w:tcPr>
            <w:tcW w:w="1293" w:type="dxa"/>
            <w:tcBorders>
              <w:top w:val="single" w:sz="4" w:space="0" w:color="auto"/>
              <w:left w:val="single" w:sz="4" w:space="0" w:color="auto"/>
              <w:right w:val="single" w:sz="4" w:space="0" w:color="auto"/>
            </w:tcBorders>
          </w:tcPr>
          <w:p w14:paraId="71A4F4F9"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2015</w:t>
            </w:r>
          </w:p>
        </w:tc>
        <w:tc>
          <w:tcPr>
            <w:tcW w:w="1194" w:type="dxa"/>
            <w:tcBorders>
              <w:top w:val="single" w:sz="4" w:space="0" w:color="auto"/>
              <w:left w:val="single" w:sz="4" w:space="0" w:color="auto"/>
              <w:right w:val="single" w:sz="4" w:space="0" w:color="auto"/>
            </w:tcBorders>
          </w:tcPr>
          <w:p w14:paraId="6056EC44"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3.09</w:t>
            </w:r>
          </w:p>
        </w:tc>
        <w:tc>
          <w:tcPr>
            <w:tcW w:w="1194" w:type="dxa"/>
            <w:tcBorders>
              <w:top w:val="single" w:sz="4" w:space="0" w:color="auto"/>
              <w:left w:val="single" w:sz="4" w:space="0" w:color="auto"/>
              <w:right w:val="single" w:sz="4" w:space="0" w:color="auto"/>
            </w:tcBorders>
          </w:tcPr>
          <w:p w14:paraId="01B2D7A1"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2.93</w:t>
            </w:r>
          </w:p>
        </w:tc>
        <w:tc>
          <w:tcPr>
            <w:tcW w:w="1194" w:type="dxa"/>
            <w:tcBorders>
              <w:top w:val="single" w:sz="4" w:space="0" w:color="auto"/>
              <w:left w:val="single" w:sz="4" w:space="0" w:color="auto"/>
              <w:right w:val="single" w:sz="4" w:space="0" w:color="auto"/>
            </w:tcBorders>
          </w:tcPr>
          <w:p w14:paraId="4506F6AF"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3.10</w:t>
            </w:r>
          </w:p>
        </w:tc>
        <w:tc>
          <w:tcPr>
            <w:tcW w:w="1194" w:type="dxa"/>
            <w:tcBorders>
              <w:top w:val="single" w:sz="4" w:space="0" w:color="auto"/>
              <w:left w:val="single" w:sz="4" w:space="0" w:color="auto"/>
              <w:right w:val="single" w:sz="4" w:space="0" w:color="auto"/>
            </w:tcBorders>
          </w:tcPr>
          <w:p w14:paraId="37325E16"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r>
      <w:tr w:rsidR="00813A27" w:rsidRPr="00813A27" w14:paraId="1875AAA4" w14:textId="77777777" w:rsidTr="00A65300">
        <w:trPr>
          <w:jc w:val="center"/>
        </w:trPr>
        <w:tc>
          <w:tcPr>
            <w:tcW w:w="1293" w:type="dxa"/>
            <w:tcBorders>
              <w:left w:val="single" w:sz="4" w:space="0" w:color="auto"/>
              <w:bottom w:val="single" w:sz="4" w:space="0" w:color="auto"/>
              <w:right w:val="single" w:sz="4" w:space="0" w:color="auto"/>
            </w:tcBorders>
          </w:tcPr>
          <w:p w14:paraId="7ABC9B9A" w14:textId="77777777" w:rsidR="00813A27" w:rsidRPr="00813A27" w:rsidRDefault="00813A27" w:rsidP="00813A27">
            <w:pPr>
              <w:rPr>
                <w:rFonts w:eastAsia="Calibri"/>
                <w:b/>
                <w:sz w:val="20"/>
                <w:szCs w:val="20"/>
                <w:lang w:eastAsia="en-US"/>
              </w:rPr>
            </w:pPr>
            <w:r w:rsidRPr="00813A27">
              <w:rPr>
                <w:rFonts w:eastAsia="Calibri"/>
                <w:b/>
                <w:sz w:val="20"/>
                <w:szCs w:val="20"/>
                <w:lang w:eastAsia="en-US"/>
              </w:rPr>
              <w:t>Para 2016</w:t>
            </w:r>
          </w:p>
        </w:tc>
        <w:tc>
          <w:tcPr>
            <w:tcW w:w="1194" w:type="dxa"/>
            <w:tcBorders>
              <w:left w:val="single" w:sz="4" w:space="0" w:color="auto"/>
              <w:bottom w:val="single" w:sz="4" w:space="0" w:color="auto"/>
              <w:right w:val="single" w:sz="4" w:space="0" w:color="auto"/>
            </w:tcBorders>
          </w:tcPr>
          <w:p w14:paraId="30AA6AC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c>
          <w:tcPr>
            <w:tcW w:w="1194" w:type="dxa"/>
            <w:tcBorders>
              <w:left w:val="single" w:sz="4" w:space="0" w:color="auto"/>
              <w:bottom w:val="single" w:sz="4" w:space="0" w:color="auto"/>
              <w:right w:val="single" w:sz="4" w:space="0" w:color="auto"/>
            </w:tcBorders>
          </w:tcPr>
          <w:p w14:paraId="14CFAD5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c>
          <w:tcPr>
            <w:tcW w:w="1194" w:type="dxa"/>
            <w:tcBorders>
              <w:left w:val="single" w:sz="4" w:space="0" w:color="auto"/>
              <w:bottom w:val="single" w:sz="4" w:space="0" w:color="auto"/>
              <w:right w:val="single" w:sz="4" w:space="0" w:color="auto"/>
            </w:tcBorders>
          </w:tcPr>
          <w:p w14:paraId="7E3A846D"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c>
          <w:tcPr>
            <w:tcW w:w="1194" w:type="dxa"/>
            <w:tcBorders>
              <w:left w:val="single" w:sz="4" w:space="0" w:color="auto"/>
              <w:bottom w:val="single" w:sz="4" w:space="0" w:color="auto"/>
              <w:right w:val="single" w:sz="4" w:space="0" w:color="auto"/>
            </w:tcBorders>
          </w:tcPr>
          <w:p w14:paraId="25F739EB" w14:textId="77777777" w:rsidR="00813A27" w:rsidRPr="00813A27" w:rsidRDefault="00813A27" w:rsidP="00813A27">
            <w:pPr>
              <w:jc w:val="center"/>
              <w:rPr>
                <w:rFonts w:eastAsia="Calibri"/>
                <w:sz w:val="20"/>
                <w:szCs w:val="20"/>
                <w:lang w:eastAsia="en-US"/>
              </w:rPr>
            </w:pPr>
            <w:r w:rsidRPr="00813A27">
              <w:rPr>
                <w:rFonts w:eastAsia="Calibri"/>
                <w:sz w:val="20"/>
                <w:szCs w:val="20"/>
                <w:lang w:eastAsia="en-US"/>
              </w:rPr>
              <w:t>2.90</w:t>
            </w:r>
          </w:p>
        </w:tc>
      </w:tr>
      <w:tr w:rsidR="00813A27" w:rsidRPr="00813A27" w14:paraId="68B4D382" w14:textId="77777777" w:rsidTr="002B3A4F">
        <w:trPr>
          <w:jc w:val="center"/>
        </w:trPr>
        <w:tc>
          <w:tcPr>
            <w:tcW w:w="6069" w:type="dxa"/>
            <w:gridSpan w:val="5"/>
            <w:tcBorders>
              <w:left w:val="nil"/>
              <w:bottom w:val="nil"/>
              <w:right w:val="nil"/>
            </w:tcBorders>
          </w:tcPr>
          <w:p w14:paraId="752006E1" w14:textId="77777777" w:rsidR="00813A27" w:rsidRPr="00813A27" w:rsidRDefault="00813A27" w:rsidP="00813A27">
            <w:pPr>
              <w:jc w:val="both"/>
              <w:rPr>
                <w:rFonts w:eastAsia="Calibri"/>
                <w:sz w:val="20"/>
                <w:szCs w:val="20"/>
                <w:lang w:eastAsia="en-US"/>
              </w:rPr>
            </w:pPr>
            <w:r w:rsidRPr="00813A27">
              <w:rPr>
                <w:rFonts w:eastAsia="Calibri"/>
                <w:sz w:val="20"/>
                <w:szCs w:val="20"/>
                <w:lang w:eastAsia="en-US"/>
              </w:rPr>
              <w:t>FUENTE: Banco de México.</w:t>
            </w:r>
          </w:p>
        </w:tc>
      </w:tr>
    </w:tbl>
    <w:p w14:paraId="7C23001C" w14:textId="77777777" w:rsidR="00813A27" w:rsidRPr="00813A27" w:rsidRDefault="00813A27" w:rsidP="00813A27">
      <w:pPr>
        <w:spacing w:after="360" w:line="360" w:lineRule="auto"/>
        <w:ind w:right="-159"/>
        <w:jc w:val="both"/>
        <w:rPr>
          <w:rFonts w:eastAsia="Calibri"/>
          <w:sz w:val="26"/>
          <w:szCs w:val="26"/>
          <w:lang w:eastAsia="en-US"/>
        </w:rPr>
      </w:pPr>
    </w:p>
    <w:p w14:paraId="65C822DD"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fldChar w:fldCharType="begin"/>
      </w:r>
      <w:r w:rsidRPr="00813A27">
        <w:rPr>
          <w:rFonts w:ascii="Calibri" w:eastAsia="Calibri" w:hAnsi="Calibri"/>
          <w:sz w:val="22"/>
          <w:szCs w:val="22"/>
          <w:lang w:eastAsia="en-US"/>
        </w:rPr>
        <w:instrText xml:space="preserve"> LINK PowerPoint.Slide.8 "D:\\2015\\ABRIL\\GRÁFICAS POWER POINT\\14.-GRÁFICAS DE EXPECTATIVAS II.pptx!599"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005AAF93" wp14:editId="320E3E12">
            <wp:extent cx="3954145" cy="3268345"/>
            <wp:effectExtent l="0" t="0" r="8255" b="8255"/>
            <wp:docPr id="1647" name="Imagen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1"/>
                    <pic:cNvPicPr>
                      <a:picLocks noChangeAspect="1" noChangeArrowheads="1"/>
                    </pic:cNvPicPr>
                  </pic:nvPicPr>
                  <pic:blipFill>
                    <a:blip r:embed="rId216" cstate="print">
                      <a:extLst>
                        <a:ext uri="{28A0092B-C50C-407E-A947-70E740481C1C}">
                          <a14:useLocalDpi xmlns:a14="http://schemas.microsoft.com/office/drawing/2010/main" val="0"/>
                        </a:ext>
                      </a:extLst>
                    </a:blip>
                    <a:srcRect l="8977" r="4384" b="4723"/>
                    <a:stretch>
                      <a:fillRect/>
                    </a:stretch>
                  </pic:blipFill>
                  <pic:spPr bwMode="auto">
                    <a:xfrm>
                      <a:off x="0" y="0"/>
                      <a:ext cx="3954145" cy="3268345"/>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49EE5951" w14:textId="77777777" w:rsidR="00813A27" w:rsidRPr="00813A27" w:rsidRDefault="00813A27" w:rsidP="00813A27">
      <w:pPr>
        <w:spacing w:after="160" w:line="259" w:lineRule="auto"/>
        <w:jc w:val="center"/>
        <w:rPr>
          <w:rFonts w:ascii="Calibri" w:eastAsia="Calibri" w:hAnsi="Calibri"/>
          <w:sz w:val="22"/>
          <w:szCs w:val="22"/>
          <w:lang w:eastAsia="en-US"/>
        </w:rPr>
      </w:pPr>
    </w:p>
    <w:p w14:paraId="57E55AE1" w14:textId="77777777" w:rsidR="00813A27" w:rsidRPr="00813A27" w:rsidRDefault="00813A27" w:rsidP="00813A27">
      <w:pPr>
        <w:spacing w:after="160" w:line="259" w:lineRule="auto"/>
        <w:jc w:val="center"/>
        <w:rPr>
          <w:rFonts w:ascii="Calibri" w:eastAsia="Calibri" w:hAnsi="Calibri"/>
          <w:sz w:val="22"/>
          <w:szCs w:val="22"/>
          <w:lang w:eastAsia="en-US"/>
        </w:rPr>
      </w:pPr>
      <w:r w:rsidRPr="00813A27">
        <w:rPr>
          <w:rFonts w:ascii="Calibri" w:eastAsia="Calibri" w:hAnsi="Calibri"/>
          <w:sz w:val="22"/>
          <w:szCs w:val="22"/>
          <w:lang w:eastAsia="en-US"/>
        </w:rPr>
        <w:lastRenderedPageBreak/>
        <w:fldChar w:fldCharType="begin"/>
      </w:r>
      <w:r w:rsidRPr="00813A27">
        <w:rPr>
          <w:rFonts w:ascii="Calibri" w:eastAsia="Calibri" w:hAnsi="Calibri"/>
          <w:sz w:val="22"/>
          <w:szCs w:val="22"/>
          <w:lang w:eastAsia="en-US"/>
        </w:rPr>
        <w:instrText xml:space="preserve"> LINK PowerPoint.Slide.8 "D:\\2015\\ABRIL\\GRÁFICAS POWER POINT\\14.-GRÁFICAS DE EXPECTATIVAS II.pptx!611" "" \a \p </w:instrText>
      </w:r>
      <w:r w:rsidRPr="00813A27">
        <w:rPr>
          <w:rFonts w:ascii="Calibri" w:eastAsia="Calibri" w:hAnsi="Calibri"/>
          <w:sz w:val="22"/>
          <w:szCs w:val="22"/>
          <w:lang w:eastAsia="en-US"/>
        </w:rPr>
        <w:fldChar w:fldCharType="separate"/>
      </w:r>
      <w:r w:rsidRPr="00813A27">
        <w:rPr>
          <w:rFonts w:ascii="Calibri" w:eastAsia="Calibri" w:hAnsi="Calibri"/>
          <w:noProof/>
          <w:sz w:val="22"/>
          <w:szCs w:val="22"/>
          <w:lang w:eastAsia="es-MX"/>
        </w:rPr>
        <w:drawing>
          <wp:inline distT="0" distB="0" distL="0" distR="0" wp14:anchorId="676FFDB2" wp14:editId="4E6496FD">
            <wp:extent cx="4010025" cy="3286760"/>
            <wp:effectExtent l="0" t="0" r="9525" b="8890"/>
            <wp:docPr id="1648" name="Imagen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0"/>
                    <pic:cNvPicPr>
                      <a:picLocks noChangeAspect="1" noChangeArrowheads="1"/>
                    </pic:cNvPicPr>
                  </pic:nvPicPr>
                  <pic:blipFill>
                    <a:blip r:embed="rId217" cstate="print">
                      <a:extLst>
                        <a:ext uri="{28A0092B-C50C-407E-A947-70E740481C1C}">
                          <a14:useLocalDpi xmlns:a14="http://schemas.microsoft.com/office/drawing/2010/main" val="0"/>
                        </a:ext>
                      </a:extLst>
                    </a:blip>
                    <a:srcRect l="8142" r="3967" b="4167"/>
                    <a:stretch>
                      <a:fillRect/>
                    </a:stretch>
                  </pic:blipFill>
                  <pic:spPr bwMode="auto">
                    <a:xfrm>
                      <a:off x="0" y="0"/>
                      <a:ext cx="4010025" cy="3286760"/>
                    </a:xfrm>
                    <a:prstGeom prst="rect">
                      <a:avLst/>
                    </a:prstGeom>
                    <a:noFill/>
                    <a:ln>
                      <a:noFill/>
                    </a:ln>
                  </pic:spPr>
                </pic:pic>
              </a:graphicData>
            </a:graphic>
          </wp:inline>
        </w:drawing>
      </w:r>
      <w:r w:rsidRPr="00813A27">
        <w:rPr>
          <w:rFonts w:ascii="Calibri" w:eastAsia="Calibri" w:hAnsi="Calibri"/>
          <w:sz w:val="22"/>
          <w:szCs w:val="22"/>
          <w:lang w:eastAsia="en-US"/>
        </w:rPr>
        <w:fldChar w:fldCharType="end"/>
      </w:r>
    </w:p>
    <w:p w14:paraId="14DC5D81" w14:textId="77777777" w:rsidR="00813A27" w:rsidRPr="00813A27" w:rsidRDefault="00813A27" w:rsidP="00813A27">
      <w:pPr>
        <w:spacing w:after="360" w:line="360" w:lineRule="auto"/>
        <w:ind w:right="-159"/>
        <w:jc w:val="center"/>
        <w:rPr>
          <w:rFonts w:eastAsia="Calibri"/>
          <w:sz w:val="26"/>
          <w:szCs w:val="26"/>
          <w:lang w:eastAsia="en-US"/>
        </w:rPr>
      </w:pPr>
    </w:p>
    <w:p w14:paraId="64FBE9B0" w14:textId="77777777" w:rsidR="00813A27" w:rsidRPr="00813A27" w:rsidRDefault="00813A27" w:rsidP="00813A27">
      <w:pPr>
        <w:ind w:right="-159"/>
        <w:jc w:val="both"/>
        <w:rPr>
          <w:rFonts w:eastAsia="Calibri"/>
          <w:b/>
          <w:sz w:val="20"/>
          <w:szCs w:val="20"/>
          <w:lang w:eastAsia="en-US"/>
        </w:rPr>
      </w:pPr>
      <w:r w:rsidRPr="00813A27">
        <w:rPr>
          <w:rFonts w:eastAsia="Calibri"/>
          <w:b/>
          <w:sz w:val="20"/>
          <w:szCs w:val="20"/>
          <w:lang w:eastAsia="en-US"/>
        </w:rPr>
        <w:t>Fuente de información:</w:t>
      </w:r>
    </w:p>
    <w:p w14:paraId="2F40FE3F" w14:textId="77777777" w:rsidR="00813A27" w:rsidRPr="00A961D8" w:rsidRDefault="0045651A" w:rsidP="00813A27">
      <w:pPr>
        <w:ind w:right="-159"/>
        <w:jc w:val="both"/>
        <w:rPr>
          <w:rFonts w:eastAsia="Calibri"/>
          <w:color w:val="0000FF"/>
          <w:sz w:val="20"/>
          <w:szCs w:val="20"/>
          <w:lang w:eastAsia="en-US"/>
        </w:rPr>
      </w:pPr>
      <w:hyperlink r:id="rId218" w:history="1">
        <w:r w:rsidR="00813A27" w:rsidRPr="00A961D8">
          <w:rPr>
            <w:rFonts w:eastAsia="Calibri"/>
            <w:color w:val="0000FF"/>
            <w:sz w:val="20"/>
            <w:szCs w:val="20"/>
            <w:u w:val="single"/>
            <w:lang w:eastAsia="en-US"/>
          </w:rPr>
          <w:t>http://www.banxico.org.mx/informacion-para-la-prensa/comunicados/resultados-de-encuestas/expectativas-de-los-especialistas/%7B71F0B6AD-3E63-0FA4-6A6D-6A31D5ACE9AE%7D.pdf</w:t>
        </w:r>
      </w:hyperlink>
      <w:r w:rsidR="00813A27" w:rsidRPr="00A961D8">
        <w:rPr>
          <w:rFonts w:eastAsia="Calibri"/>
          <w:color w:val="0000FF"/>
          <w:sz w:val="20"/>
          <w:szCs w:val="20"/>
          <w:lang w:eastAsia="en-US"/>
        </w:rPr>
        <w:t xml:space="preserve"> </w:t>
      </w:r>
    </w:p>
    <w:p w14:paraId="353037D8" w14:textId="77777777" w:rsidR="00D067C7" w:rsidRDefault="00D067C7" w:rsidP="00C443FC">
      <w:pPr>
        <w:spacing w:after="360" w:line="360" w:lineRule="auto"/>
        <w:ind w:right="-159"/>
        <w:jc w:val="both"/>
        <w:rPr>
          <w:rFonts w:eastAsia="Calibri"/>
          <w:sz w:val="26"/>
          <w:szCs w:val="26"/>
          <w:lang w:eastAsia="en-US"/>
        </w:rPr>
      </w:pPr>
    </w:p>
    <w:p w14:paraId="15DB32CA" w14:textId="77777777" w:rsidR="00D067C7" w:rsidRDefault="00D067C7" w:rsidP="00C443FC">
      <w:pPr>
        <w:spacing w:after="360" w:line="360" w:lineRule="auto"/>
        <w:ind w:right="-159"/>
        <w:jc w:val="both"/>
        <w:rPr>
          <w:rFonts w:eastAsia="Calibri"/>
          <w:sz w:val="26"/>
          <w:szCs w:val="26"/>
          <w:lang w:eastAsia="en-US"/>
        </w:rPr>
      </w:pPr>
    </w:p>
    <w:p w14:paraId="362A4E00" w14:textId="1AD21985" w:rsidR="0051422E" w:rsidRDefault="0051422E">
      <w:pPr>
        <w:rPr>
          <w:rFonts w:eastAsia="Calibri"/>
          <w:sz w:val="26"/>
          <w:szCs w:val="26"/>
          <w:lang w:eastAsia="en-US"/>
        </w:rPr>
      </w:pPr>
      <w:r>
        <w:rPr>
          <w:rFonts w:eastAsia="Calibri"/>
          <w:sz w:val="26"/>
          <w:szCs w:val="26"/>
          <w:lang w:eastAsia="en-US"/>
        </w:rPr>
        <w:br w:type="page"/>
      </w:r>
    </w:p>
    <w:p w14:paraId="65C91AD1" w14:textId="77777777" w:rsidR="00320B41" w:rsidRPr="005F5958" w:rsidRDefault="00320B41" w:rsidP="00320B41">
      <w:pPr>
        <w:spacing w:after="360" w:line="360" w:lineRule="auto"/>
        <w:ind w:right="-159"/>
        <w:jc w:val="both"/>
        <w:rPr>
          <w:rFonts w:eastAsia="Calibri"/>
          <w:b/>
          <w:color w:val="0000FF"/>
          <w:sz w:val="28"/>
          <w:szCs w:val="28"/>
          <w:lang w:eastAsia="en-US"/>
        </w:rPr>
      </w:pPr>
      <w:r w:rsidRPr="005F5958">
        <w:rPr>
          <w:rFonts w:eastAsia="Calibri"/>
          <w:b/>
          <w:color w:val="0000FF"/>
          <w:sz w:val="28"/>
          <w:szCs w:val="28"/>
          <w:lang w:eastAsia="en-US"/>
        </w:rPr>
        <w:lastRenderedPageBreak/>
        <w:t>FINANZAS PÚBLICAS</w:t>
      </w:r>
    </w:p>
    <w:p w14:paraId="38F6E1D6" w14:textId="64654002" w:rsidR="00191E41" w:rsidRPr="00191E41" w:rsidRDefault="00191E41" w:rsidP="00191E41">
      <w:pPr>
        <w:spacing w:after="360" w:line="360" w:lineRule="auto"/>
        <w:ind w:right="-159"/>
        <w:jc w:val="both"/>
        <w:rPr>
          <w:rFonts w:eastAsia="Calibri"/>
          <w:b/>
          <w:sz w:val="26"/>
          <w:szCs w:val="26"/>
          <w:lang w:eastAsia="en-US"/>
        </w:rPr>
      </w:pPr>
      <w:r w:rsidRPr="00191E41">
        <w:rPr>
          <w:rFonts w:eastAsia="Calibri"/>
          <w:b/>
          <w:sz w:val="26"/>
          <w:szCs w:val="26"/>
          <w:lang w:eastAsia="en-US"/>
        </w:rPr>
        <w:t xml:space="preserve">Finanzas Públicas y la Deuda Pública a </w:t>
      </w:r>
      <w:r w:rsidR="006B173F">
        <w:rPr>
          <w:rFonts w:eastAsia="Calibri"/>
          <w:b/>
          <w:sz w:val="26"/>
          <w:szCs w:val="26"/>
          <w:lang w:eastAsia="en-US"/>
        </w:rPr>
        <w:t>febrer</w:t>
      </w:r>
      <w:r w:rsidRPr="00191E41">
        <w:rPr>
          <w:rFonts w:eastAsia="Calibri"/>
          <w:b/>
          <w:sz w:val="26"/>
          <w:szCs w:val="26"/>
          <w:lang w:eastAsia="en-US"/>
        </w:rPr>
        <w:t>o de 2015 (SHCP)</w:t>
      </w:r>
    </w:p>
    <w:p w14:paraId="61CCA3E4"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El 30 de marzo de 2015, la Secretaría de Hacienda y Crédito Pública (SHCP) dio a conocer el documento “Las Finanzas Públicas y la Deuda Pública a febrero de 2015”. A continuación se presenta la información.</w:t>
      </w:r>
    </w:p>
    <w:p w14:paraId="02B853A6" w14:textId="77777777" w:rsidR="006B173F" w:rsidRPr="006B173F" w:rsidRDefault="006B173F" w:rsidP="006B173F">
      <w:pPr>
        <w:spacing w:after="360" w:line="360" w:lineRule="auto"/>
        <w:ind w:right="-159"/>
        <w:jc w:val="both"/>
        <w:rPr>
          <w:rFonts w:eastAsia="Calibri"/>
          <w:b/>
          <w:sz w:val="26"/>
          <w:szCs w:val="26"/>
          <w:lang w:eastAsia="en-US"/>
        </w:rPr>
      </w:pPr>
      <w:r w:rsidRPr="006B173F">
        <w:rPr>
          <w:rFonts w:eastAsia="Calibri"/>
          <w:b/>
          <w:sz w:val="26"/>
          <w:szCs w:val="26"/>
          <w:lang w:eastAsia="en-US"/>
        </w:rPr>
        <w:t>Evolución de las finanzas públicas</w:t>
      </w:r>
    </w:p>
    <w:p w14:paraId="746DC2DF" w14:textId="6C0E6E5E"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En enero-febrero de 2015, el balance público registró un déficit de 150 mil 744.5 millones de pesos, en tanto que el balance primario presentó un déficit de 113 mil 316.6 millones de pesos. Si se excluye la inversión productiva para evaluar la meta anual del balance equivalente a 1.0% del Producto Interno Bruto (PIB), de acuerdo con el Artículo 1</w:t>
      </w:r>
      <w:r w:rsidR="00AA4CFE">
        <w:rPr>
          <w:rFonts w:eastAsia="Calibri"/>
          <w:sz w:val="26"/>
          <w:szCs w:val="26"/>
          <w:lang w:eastAsia="en-US"/>
        </w:rPr>
        <w:t xml:space="preserve">º </w:t>
      </w:r>
      <w:r w:rsidRPr="006B173F">
        <w:rPr>
          <w:rFonts w:eastAsia="Calibri"/>
          <w:sz w:val="26"/>
          <w:szCs w:val="26"/>
          <w:lang w:eastAsia="en-US"/>
        </w:rPr>
        <w:t>de la Ley de Ingresos de la Federación para el ejercicio fiscal 2015, el balance público resultó en un déficit de 56 mil 323.8 millones de pesos.</w:t>
      </w:r>
    </w:p>
    <w:p w14:paraId="31D9CE5D"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Los Requerimientos Financieros del Sector Público (RFSP) sumaron 140 mil 600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del Gobierno Federal o de las entidades. Esta medida incluye un ajuste por los ingresos derivados de la venta neta de activos financieros y por la adquisición neta de pasivos distintos a la deuda pública, eliminando así el registro de ingresos no recurrentes.</w:t>
      </w:r>
    </w:p>
    <w:p w14:paraId="0BCE9F2E"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Los resultados obtenidos en los dos primeros meses de 2015 son congruentes con las metas aprobadas para estas variables por el Congreso de la Unión para 2015.</w:t>
      </w:r>
    </w:p>
    <w:p w14:paraId="10BD4F93" w14:textId="77777777" w:rsidR="006B173F" w:rsidRPr="006B173F" w:rsidRDefault="006B173F" w:rsidP="006B173F">
      <w:pPr>
        <w:spacing w:after="360" w:line="360" w:lineRule="auto"/>
        <w:ind w:right="-159"/>
        <w:jc w:val="both"/>
        <w:rPr>
          <w:rFonts w:eastAsia="Calibri"/>
          <w:sz w:val="26"/>
          <w:szCs w:val="26"/>
          <w:lang w:eastAsia="en-US"/>
        </w:rPr>
      </w:pP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1260"/>
        <w:gridCol w:w="1248"/>
        <w:gridCol w:w="738"/>
        <w:gridCol w:w="774"/>
        <w:gridCol w:w="749"/>
      </w:tblGrid>
      <w:tr w:rsidR="006B173F" w:rsidRPr="006B173F" w14:paraId="0278F41D" w14:textId="77777777" w:rsidTr="006B173F">
        <w:trPr>
          <w:jc w:val="center"/>
        </w:trPr>
        <w:tc>
          <w:tcPr>
            <w:tcW w:w="9442" w:type="dxa"/>
            <w:gridSpan w:val="6"/>
            <w:tcBorders>
              <w:top w:val="nil"/>
              <w:left w:val="nil"/>
              <w:bottom w:val="single" w:sz="4" w:space="0" w:color="auto"/>
              <w:right w:val="nil"/>
            </w:tcBorders>
            <w:shd w:val="clear" w:color="auto" w:fill="auto"/>
          </w:tcPr>
          <w:p w14:paraId="49A28628" w14:textId="77777777" w:rsidR="006B173F" w:rsidRPr="006B173F" w:rsidRDefault="006B173F" w:rsidP="006B173F">
            <w:pPr>
              <w:jc w:val="center"/>
              <w:rPr>
                <w:rFonts w:eastAsia="Times New Roman"/>
                <w:b/>
                <w:sz w:val="20"/>
                <w:szCs w:val="20"/>
              </w:rPr>
            </w:pPr>
            <w:r w:rsidRPr="006B173F">
              <w:rPr>
                <w:rFonts w:eastAsia="Times New Roman"/>
                <w:b/>
                <w:sz w:val="20"/>
                <w:szCs w:val="20"/>
              </w:rPr>
              <w:t>SITUACIÓN FINANCIERA DEL SECTOR PÚBLICO</w:t>
            </w:r>
          </w:p>
          <w:p w14:paraId="7B017881" w14:textId="77777777" w:rsidR="006B173F" w:rsidRPr="006B173F" w:rsidRDefault="006B173F" w:rsidP="006B173F">
            <w:pPr>
              <w:jc w:val="center"/>
              <w:rPr>
                <w:rFonts w:eastAsia="Times New Roman"/>
                <w:b/>
                <w:sz w:val="20"/>
                <w:szCs w:val="20"/>
              </w:rPr>
            </w:pPr>
            <w:r w:rsidRPr="006B173F">
              <w:rPr>
                <w:rFonts w:eastAsia="Times New Roman"/>
                <w:b/>
                <w:sz w:val="20"/>
                <w:szCs w:val="20"/>
              </w:rPr>
              <w:t>- Millones de pesos-</w:t>
            </w:r>
          </w:p>
        </w:tc>
      </w:tr>
      <w:tr w:rsidR="006B173F" w:rsidRPr="006B173F" w14:paraId="30DAB8A5" w14:textId="77777777" w:rsidTr="006B173F">
        <w:trPr>
          <w:jc w:val="center"/>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39AAC3" w14:textId="77777777" w:rsidR="006B173F" w:rsidRPr="006B173F" w:rsidRDefault="006B173F" w:rsidP="006B173F">
            <w:pPr>
              <w:jc w:val="center"/>
              <w:rPr>
                <w:rFonts w:eastAsia="Times New Roman"/>
                <w:b/>
                <w:sz w:val="18"/>
                <w:szCs w:val="18"/>
              </w:rPr>
            </w:pPr>
            <w:r w:rsidRPr="006B173F">
              <w:rPr>
                <w:rFonts w:eastAsia="Times New Roman"/>
                <w:b/>
                <w:sz w:val="18"/>
                <w:szCs w:val="18"/>
              </w:rPr>
              <w:t>Concepto</w:t>
            </w:r>
          </w:p>
        </w:tc>
        <w:tc>
          <w:tcPr>
            <w:tcW w:w="25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8FDD1" w14:textId="77777777" w:rsidR="006B173F" w:rsidRPr="006B173F" w:rsidRDefault="006B173F" w:rsidP="006B173F">
            <w:pPr>
              <w:jc w:val="center"/>
              <w:rPr>
                <w:rFonts w:eastAsia="Times New Roman"/>
                <w:b/>
                <w:sz w:val="18"/>
                <w:szCs w:val="18"/>
              </w:rPr>
            </w:pPr>
            <w:r w:rsidRPr="006B173F">
              <w:rPr>
                <w:rFonts w:eastAsia="Times New Roman"/>
                <w:b/>
                <w:sz w:val="18"/>
                <w:szCs w:val="18"/>
              </w:rPr>
              <w:t>Enero-febrero</w:t>
            </w:r>
          </w:p>
        </w:tc>
        <w:tc>
          <w:tcPr>
            <w:tcW w:w="738" w:type="dxa"/>
            <w:tcBorders>
              <w:top w:val="single" w:sz="4" w:space="0" w:color="auto"/>
              <w:left w:val="single" w:sz="4" w:space="0" w:color="auto"/>
              <w:bottom w:val="nil"/>
              <w:right w:val="single" w:sz="4" w:space="0" w:color="auto"/>
            </w:tcBorders>
            <w:shd w:val="clear" w:color="auto" w:fill="auto"/>
          </w:tcPr>
          <w:p w14:paraId="310E18F6" w14:textId="77777777" w:rsidR="006B173F" w:rsidRPr="006B173F" w:rsidRDefault="006B173F" w:rsidP="006B173F">
            <w:pPr>
              <w:jc w:val="center"/>
              <w:rPr>
                <w:rFonts w:eastAsia="Times New Roman"/>
                <w:b/>
                <w:sz w:val="18"/>
                <w:szCs w:val="18"/>
              </w:rPr>
            </w:pPr>
            <w:r w:rsidRPr="006B173F">
              <w:rPr>
                <w:rFonts w:eastAsia="Times New Roman"/>
                <w:b/>
                <w:sz w:val="18"/>
                <w:szCs w:val="18"/>
              </w:rPr>
              <w:t>Var. %</w:t>
            </w:r>
          </w:p>
        </w:tc>
        <w:tc>
          <w:tcPr>
            <w:tcW w:w="15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06DA3" w14:textId="77777777" w:rsidR="006B173F" w:rsidRPr="006B173F" w:rsidRDefault="006B173F" w:rsidP="006B173F">
            <w:pPr>
              <w:jc w:val="center"/>
              <w:rPr>
                <w:rFonts w:eastAsia="Times New Roman"/>
                <w:b/>
                <w:sz w:val="18"/>
                <w:szCs w:val="18"/>
              </w:rPr>
            </w:pPr>
            <w:r w:rsidRPr="006B173F">
              <w:rPr>
                <w:rFonts w:eastAsia="Times New Roman"/>
                <w:b/>
                <w:sz w:val="18"/>
                <w:szCs w:val="18"/>
              </w:rPr>
              <w:t>Composición %</w:t>
            </w:r>
          </w:p>
        </w:tc>
      </w:tr>
      <w:tr w:rsidR="006B173F" w:rsidRPr="006B173F" w14:paraId="71D39300" w14:textId="77777777" w:rsidTr="006B173F">
        <w:trPr>
          <w:jc w:val="center"/>
        </w:trPr>
        <w:tc>
          <w:tcPr>
            <w:tcW w:w="4673" w:type="dxa"/>
            <w:vMerge/>
            <w:tcBorders>
              <w:top w:val="single" w:sz="4" w:space="0" w:color="auto"/>
              <w:left w:val="single" w:sz="4" w:space="0" w:color="auto"/>
              <w:bottom w:val="single" w:sz="4" w:space="0" w:color="auto"/>
              <w:right w:val="single" w:sz="4" w:space="0" w:color="auto"/>
            </w:tcBorders>
            <w:shd w:val="clear" w:color="auto" w:fill="auto"/>
          </w:tcPr>
          <w:p w14:paraId="51EA4EC8" w14:textId="77777777" w:rsidR="006B173F" w:rsidRPr="006B173F" w:rsidRDefault="006B173F" w:rsidP="006B173F">
            <w:pPr>
              <w:jc w:val="center"/>
              <w:rPr>
                <w:rFonts w:eastAsia="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4DD3B61" w14:textId="77777777" w:rsidR="006B173F" w:rsidRPr="006B173F" w:rsidRDefault="006B173F" w:rsidP="006B173F">
            <w:pPr>
              <w:jc w:val="center"/>
              <w:rPr>
                <w:rFonts w:eastAsia="Times New Roman"/>
                <w:b/>
                <w:sz w:val="18"/>
                <w:szCs w:val="18"/>
              </w:rPr>
            </w:pPr>
            <w:r w:rsidRPr="006B173F">
              <w:rPr>
                <w:rFonts w:eastAsia="Times New Roman"/>
                <w:b/>
                <w:sz w:val="18"/>
                <w:szCs w:val="18"/>
              </w:rPr>
              <w:t>2014</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1248" w:type="dxa"/>
            <w:tcBorders>
              <w:top w:val="single" w:sz="4" w:space="0" w:color="auto"/>
              <w:left w:val="single" w:sz="4" w:space="0" w:color="auto"/>
              <w:bottom w:val="single" w:sz="4" w:space="0" w:color="auto"/>
              <w:right w:val="single" w:sz="4" w:space="0" w:color="auto"/>
            </w:tcBorders>
            <w:shd w:val="clear" w:color="auto" w:fill="auto"/>
          </w:tcPr>
          <w:p w14:paraId="563BC138" w14:textId="77777777" w:rsidR="006B173F" w:rsidRPr="006B173F" w:rsidRDefault="006B173F" w:rsidP="006B173F">
            <w:pPr>
              <w:jc w:val="center"/>
              <w:rPr>
                <w:rFonts w:eastAsia="Times New Roman"/>
                <w:b/>
                <w:sz w:val="18"/>
                <w:szCs w:val="18"/>
              </w:rPr>
            </w:pPr>
            <w:r w:rsidRPr="006B173F">
              <w:rPr>
                <w:rFonts w:eastAsia="Times New Roman"/>
                <w:b/>
                <w:sz w:val="18"/>
                <w:szCs w:val="18"/>
              </w:rPr>
              <w:t>2015</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738" w:type="dxa"/>
            <w:tcBorders>
              <w:top w:val="nil"/>
              <w:left w:val="single" w:sz="4" w:space="0" w:color="auto"/>
              <w:bottom w:val="single" w:sz="4" w:space="0" w:color="auto"/>
              <w:right w:val="single" w:sz="4" w:space="0" w:color="auto"/>
            </w:tcBorders>
            <w:shd w:val="clear" w:color="auto" w:fill="auto"/>
          </w:tcPr>
          <w:p w14:paraId="4D705809" w14:textId="77777777" w:rsidR="006B173F" w:rsidRPr="006B173F" w:rsidRDefault="006B173F" w:rsidP="006B173F">
            <w:pPr>
              <w:jc w:val="center"/>
              <w:rPr>
                <w:rFonts w:eastAsia="Times New Roman"/>
                <w:b/>
                <w:sz w:val="18"/>
                <w:szCs w:val="18"/>
              </w:rPr>
            </w:pPr>
            <w:r w:rsidRPr="006B173F">
              <w:rPr>
                <w:rFonts w:eastAsia="Times New Roman"/>
                <w:b/>
                <w:sz w:val="18"/>
                <w:szCs w:val="18"/>
              </w:rPr>
              <w:t>real</w:t>
            </w:r>
          </w:p>
        </w:tc>
        <w:tc>
          <w:tcPr>
            <w:tcW w:w="774" w:type="dxa"/>
            <w:tcBorders>
              <w:top w:val="single" w:sz="4" w:space="0" w:color="auto"/>
              <w:left w:val="single" w:sz="4" w:space="0" w:color="auto"/>
              <w:bottom w:val="single" w:sz="4" w:space="0" w:color="auto"/>
              <w:right w:val="single" w:sz="4" w:space="0" w:color="auto"/>
            </w:tcBorders>
            <w:shd w:val="clear" w:color="auto" w:fill="auto"/>
          </w:tcPr>
          <w:p w14:paraId="69EE312D" w14:textId="77777777" w:rsidR="006B173F" w:rsidRPr="006B173F" w:rsidRDefault="006B173F" w:rsidP="006B173F">
            <w:pPr>
              <w:jc w:val="center"/>
              <w:rPr>
                <w:rFonts w:eastAsia="Times New Roman"/>
                <w:b/>
                <w:sz w:val="18"/>
                <w:szCs w:val="18"/>
              </w:rPr>
            </w:pPr>
            <w:r w:rsidRPr="006B173F">
              <w:rPr>
                <w:rFonts w:eastAsia="Times New Roman"/>
                <w:b/>
                <w:sz w:val="18"/>
                <w:szCs w:val="18"/>
              </w:rPr>
              <w:t>2014</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749" w:type="dxa"/>
            <w:tcBorders>
              <w:top w:val="single" w:sz="4" w:space="0" w:color="auto"/>
              <w:left w:val="single" w:sz="4" w:space="0" w:color="auto"/>
              <w:bottom w:val="single" w:sz="4" w:space="0" w:color="auto"/>
              <w:right w:val="single" w:sz="4" w:space="0" w:color="auto"/>
            </w:tcBorders>
            <w:shd w:val="clear" w:color="auto" w:fill="auto"/>
          </w:tcPr>
          <w:p w14:paraId="71E1785E" w14:textId="77777777" w:rsidR="006B173F" w:rsidRPr="006B173F" w:rsidRDefault="006B173F" w:rsidP="006B173F">
            <w:pPr>
              <w:jc w:val="center"/>
              <w:rPr>
                <w:rFonts w:eastAsia="Times New Roman"/>
                <w:b/>
                <w:sz w:val="18"/>
                <w:szCs w:val="18"/>
              </w:rPr>
            </w:pPr>
            <w:r w:rsidRPr="006B173F">
              <w:rPr>
                <w:rFonts w:eastAsia="Times New Roman"/>
                <w:b/>
                <w:sz w:val="18"/>
                <w:szCs w:val="18"/>
              </w:rPr>
              <w:t>2015</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r>
      <w:tr w:rsidR="006B173F" w:rsidRPr="006B173F" w14:paraId="53517712" w14:textId="77777777" w:rsidTr="006B173F">
        <w:trPr>
          <w:jc w:val="center"/>
        </w:trPr>
        <w:tc>
          <w:tcPr>
            <w:tcW w:w="4673" w:type="dxa"/>
            <w:tcBorders>
              <w:top w:val="single" w:sz="4" w:space="0" w:color="auto"/>
              <w:left w:val="single" w:sz="4" w:space="0" w:color="auto"/>
              <w:bottom w:val="nil"/>
              <w:right w:val="single" w:sz="4" w:space="0" w:color="auto"/>
            </w:tcBorders>
            <w:shd w:val="clear" w:color="auto" w:fill="auto"/>
          </w:tcPr>
          <w:p w14:paraId="5CBB53B8" w14:textId="77777777" w:rsidR="006B173F" w:rsidRPr="006B173F" w:rsidRDefault="006B173F" w:rsidP="006B173F">
            <w:pPr>
              <w:rPr>
                <w:rFonts w:eastAsia="Times New Roman"/>
                <w:b/>
                <w:sz w:val="18"/>
                <w:szCs w:val="18"/>
              </w:rPr>
            </w:pPr>
            <w:r w:rsidRPr="006B173F">
              <w:rPr>
                <w:rFonts w:eastAsia="Times New Roman"/>
                <w:b/>
                <w:sz w:val="18"/>
                <w:szCs w:val="18"/>
              </w:rPr>
              <w:t>BALANCE PÚBLICO</w:t>
            </w:r>
          </w:p>
        </w:tc>
        <w:tc>
          <w:tcPr>
            <w:tcW w:w="1260" w:type="dxa"/>
            <w:tcBorders>
              <w:top w:val="single" w:sz="4" w:space="0" w:color="auto"/>
              <w:left w:val="single" w:sz="4" w:space="0" w:color="auto"/>
              <w:bottom w:val="nil"/>
              <w:right w:val="single" w:sz="4" w:space="0" w:color="auto"/>
            </w:tcBorders>
            <w:shd w:val="clear" w:color="auto" w:fill="auto"/>
          </w:tcPr>
          <w:p w14:paraId="1987A944" w14:textId="77777777" w:rsidR="006B173F" w:rsidRPr="006B173F" w:rsidRDefault="006B173F" w:rsidP="006B173F">
            <w:pPr>
              <w:ind w:right="170"/>
              <w:jc w:val="right"/>
              <w:rPr>
                <w:b/>
                <w:sz w:val="18"/>
                <w:szCs w:val="18"/>
              </w:rPr>
            </w:pPr>
            <w:r w:rsidRPr="006B173F">
              <w:rPr>
                <w:b/>
                <w:sz w:val="18"/>
                <w:szCs w:val="18"/>
              </w:rPr>
              <w:t>-</w:t>
            </w:r>
            <w:r w:rsidRPr="006B173F">
              <w:rPr>
                <w:rFonts w:eastAsia="Calibri"/>
                <w:b/>
                <w:sz w:val="18"/>
                <w:szCs w:val="18"/>
                <w:lang w:eastAsia="en-US"/>
              </w:rPr>
              <w:t>45 727</w:t>
            </w:r>
            <w:r w:rsidRPr="006B173F">
              <w:rPr>
                <w:b/>
                <w:sz w:val="18"/>
                <w:szCs w:val="18"/>
              </w:rPr>
              <w:t xml:space="preserve">.6 </w:t>
            </w:r>
          </w:p>
        </w:tc>
        <w:tc>
          <w:tcPr>
            <w:tcW w:w="1248" w:type="dxa"/>
            <w:tcBorders>
              <w:bottom w:val="nil"/>
            </w:tcBorders>
          </w:tcPr>
          <w:p w14:paraId="04754D01" w14:textId="77777777" w:rsidR="006B173F" w:rsidRPr="006B173F" w:rsidRDefault="006B173F" w:rsidP="006B173F">
            <w:pPr>
              <w:ind w:right="170"/>
              <w:jc w:val="right"/>
              <w:rPr>
                <w:rFonts w:eastAsia="Calibri"/>
                <w:b/>
                <w:sz w:val="18"/>
                <w:szCs w:val="18"/>
                <w:lang w:eastAsia="en-US"/>
              </w:rPr>
            </w:pPr>
            <w:r w:rsidRPr="006B173F">
              <w:rPr>
                <w:rFonts w:eastAsia="Calibri"/>
                <w:b/>
                <w:sz w:val="18"/>
                <w:szCs w:val="18"/>
                <w:lang w:eastAsia="en-US"/>
              </w:rPr>
              <w:t>-150 744.5</w:t>
            </w:r>
          </w:p>
        </w:tc>
        <w:tc>
          <w:tcPr>
            <w:tcW w:w="738" w:type="dxa"/>
            <w:tcBorders>
              <w:bottom w:val="nil"/>
            </w:tcBorders>
          </w:tcPr>
          <w:p w14:paraId="2317D4CA" w14:textId="77777777" w:rsidR="006B173F" w:rsidRPr="006B173F" w:rsidRDefault="006B173F" w:rsidP="006B173F">
            <w:pPr>
              <w:ind w:right="113"/>
              <w:jc w:val="right"/>
              <w:rPr>
                <w:rFonts w:eastAsia="Calibri"/>
                <w:b/>
                <w:sz w:val="18"/>
                <w:szCs w:val="18"/>
                <w:lang w:eastAsia="en-US"/>
              </w:rPr>
            </w:pPr>
            <w:r w:rsidRPr="006B173F">
              <w:rPr>
                <w:rFonts w:eastAsia="Calibri"/>
                <w:b/>
                <w:sz w:val="18"/>
                <w:szCs w:val="18"/>
                <w:lang w:eastAsia="en-US"/>
              </w:rPr>
              <w:t>n.s.</w:t>
            </w:r>
          </w:p>
        </w:tc>
        <w:tc>
          <w:tcPr>
            <w:tcW w:w="774" w:type="dxa"/>
            <w:tcBorders>
              <w:top w:val="single" w:sz="4" w:space="0" w:color="auto"/>
              <w:left w:val="single" w:sz="4" w:space="0" w:color="auto"/>
              <w:bottom w:val="nil"/>
              <w:right w:val="single" w:sz="4" w:space="0" w:color="auto"/>
            </w:tcBorders>
            <w:shd w:val="clear" w:color="auto" w:fill="auto"/>
          </w:tcPr>
          <w:p w14:paraId="644B106A" w14:textId="77777777" w:rsidR="006B173F" w:rsidRPr="006B173F" w:rsidRDefault="006B173F" w:rsidP="006B173F">
            <w:pPr>
              <w:ind w:right="113"/>
              <w:jc w:val="right"/>
              <w:rPr>
                <w:b/>
                <w:sz w:val="18"/>
                <w:szCs w:val="18"/>
              </w:rPr>
            </w:pPr>
          </w:p>
        </w:tc>
        <w:tc>
          <w:tcPr>
            <w:tcW w:w="749" w:type="dxa"/>
            <w:tcBorders>
              <w:top w:val="single" w:sz="4" w:space="0" w:color="auto"/>
              <w:left w:val="single" w:sz="4" w:space="0" w:color="auto"/>
              <w:bottom w:val="nil"/>
              <w:right w:val="single" w:sz="4" w:space="0" w:color="auto"/>
            </w:tcBorders>
            <w:shd w:val="clear" w:color="auto" w:fill="auto"/>
          </w:tcPr>
          <w:p w14:paraId="2EC193D7" w14:textId="77777777" w:rsidR="006B173F" w:rsidRPr="006B173F" w:rsidRDefault="006B173F" w:rsidP="006B173F">
            <w:pPr>
              <w:ind w:right="113"/>
              <w:jc w:val="right"/>
              <w:rPr>
                <w:b/>
                <w:sz w:val="18"/>
                <w:szCs w:val="18"/>
              </w:rPr>
            </w:pPr>
          </w:p>
        </w:tc>
      </w:tr>
      <w:tr w:rsidR="006B173F" w:rsidRPr="006B173F" w14:paraId="3A69E42E"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7751D0D1" w14:textId="77777777" w:rsidR="006B173F" w:rsidRPr="006B173F" w:rsidRDefault="006B173F" w:rsidP="006B173F">
            <w:pPr>
              <w:ind w:right="-113"/>
              <w:rPr>
                <w:rFonts w:eastAsia="Times New Roman"/>
                <w:b/>
                <w:sz w:val="18"/>
                <w:szCs w:val="18"/>
              </w:rPr>
            </w:pPr>
            <w:r w:rsidRPr="006B173F">
              <w:rPr>
                <w:rFonts w:eastAsia="Times New Roman"/>
                <w:b/>
                <w:sz w:val="18"/>
                <w:szCs w:val="18"/>
              </w:rPr>
              <w:t>BALANCE PÚBLICO SIN INVERSIÓN PRODUCTIVA</w:t>
            </w:r>
            <w:r w:rsidRPr="006B173F">
              <w:rPr>
                <w:rFonts w:eastAsia="Times New Roman"/>
                <w:b/>
                <w:sz w:val="18"/>
                <w:szCs w:val="18"/>
                <w:vertAlign w:val="superscript"/>
              </w:rPr>
              <w:t>1/</w:t>
            </w:r>
          </w:p>
        </w:tc>
        <w:tc>
          <w:tcPr>
            <w:tcW w:w="1260" w:type="dxa"/>
            <w:tcBorders>
              <w:top w:val="nil"/>
              <w:bottom w:val="nil"/>
            </w:tcBorders>
          </w:tcPr>
          <w:p w14:paraId="18C4D59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18 193.1 </w:t>
            </w:r>
          </w:p>
        </w:tc>
        <w:tc>
          <w:tcPr>
            <w:tcW w:w="1248" w:type="dxa"/>
            <w:tcBorders>
              <w:top w:val="nil"/>
              <w:bottom w:val="nil"/>
            </w:tcBorders>
          </w:tcPr>
          <w:p w14:paraId="5243D342"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-56 323.8 </w:t>
            </w:r>
          </w:p>
        </w:tc>
        <w:tc>
          <w:tcPr>
            <w:tcW w:w="738" w:type="dxa"/>
            <w:tcBorders>
              <w:top w:val="nil"/>
              <w:bottom w:val="nil"/>
            </w:tcBorders>
          </w:tcPr>
          <w:p w14:paraId="0F0C620C"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n.s. </w:t>
            </w:r>
          </w:p>
        </w:tc>
        <w:tc>
          <w:tcPr>
            <w:tcW w:w="774" w:type="dxa"/>
            <w:tcBorders>
              <w:top w:val="nil"/>
              <w:left w:val="single" w:sz="4" w:space="0" w:color="auto"/>
              <w:bottom w:val="nil"/>
              <w:right w:val="single" w:sz="4" w:space="0" w:color="auto"/>
            </w:tcBorders>
            <w:shd w:val="clear" w:color="auto" w:fill="auto"/>
          </w:tcPr>
          <w:p w14:paraId="691A1C61" w14:textId="77777777" w:rsidR="006B173F" w:rsidRPr="006B173F" w:rsidRDefault="006B173F" w:rsidP="006B173F">
            <w:pPr>
              <w:ind w:right="113"/>
              <w:jc w:val="right"/>
              <w:rPr>
                <w:b/>
                <w:sz w:val="18"/>
                <w:szCs w:val="18"/>
              </w:rPr>
            </w:pPr>
          </w:p>
        </w:tc>
        <w:tc>
          <w:tcPr>
            <w:tcW w:w="749" w:type="dxa"/>
            <w:tcBorders>
              <w:top w:val="nil"/>
              <w:left w:val="single" w:sz="4" w:space="0" w:color="auto"/>
              <w:bottom w:val="nil"/>
              <w:right w:val="single" w:sz="4" w:space="0" w:color="auto"/>
            </w:tcBorders>
            <w:shd w:val="clear" w:color="auto" w:fill="auto"/>
          </w:tcPr>
          <w:p w14:paraId="29BFB405" w14:textId="77777777" w:rsidR="006B173F" w:rsidRPr="006B173F" w:rsidRDefault="006B173F" w:rsidP="006B173F">
            <w:pPr>
              <w:ind w:right="113"/>
              <w:jc w:val="right"/>
              <w:rPr>
                <w:b/>
                <w:sz w:val="18"/>
                <w:szCs w:val="18"/>
              </w:rPr>
            </w:pPr>
          </w:p>
        </w:tc>
      </w:tr>
      <w:tr w:rsidR="006B173F" w:rsidRPr="006B173F" w14:paraId="651CEA12"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0B6393AD" w14:textId="77777777" w:rsidR="006B173F" w:rsidRPr="006B173F" w:rsidRDefault="006B173F" w:rsidP="006B173F">
            <w:pPr>
              <w:ind w:left="113"/>
              <w:rPr>
                <w:rFonts w:eastAsia="Times New Roman"/>
                <w:sz w:val="18"/>
                <w:szCs w:val="18"/>
              </w:rPr>
            </w:pPr>
            <w:r w:rsidRPr="006B173F">
              <w:rPr>
                <w:rFonts w:eastAsia="Times New Roman"/>
                <w:sz w:val="18"/>
                <w:szCs w:val="18"/>
              </w:rPr>
              <w:t xml:space="preserve">Balance presupuestario </w:t>
            </w:r>
          </w:p>
        </w:tc>
        <w:tc>
          <w:tcPr>
            <w:tcW w:w="1260" w:type="dxa"/>
            <w:tcBorders>
              <w:top w:val="nil"/>
              <w:bottom w:val="nil"/>
            </w:tcBorders>
          </w:tcPr>
          <w:p w14:paraId="06251AF5"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-56 678.4 </w:t>
            </w:r>
          </w:p>
        </w:tc>
        <w:tc>
          <w:tcPr>
            <w:tcW w:w="1248" w:type="dxa"/>
            <w:tcBorders>
              <w:top w:val="nil"/>
              <w:bottom w:val="nil"/>
            </w:tcBorders>
          </w:tcPr>
          <w:p w14:paraId="5887EAF1"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-156 403.9 </w:t>
            </w:r>
          </w:p>
        </w:tc>
        <w:tc>
          <w:tcPr>
            <w:tcW w:w="738" w:type="dxa"/>
            <w:tcBorders>
              <w:top w:val="nil"/>
              <w:bottom w:val="nil"/>
            </w:tcBorders>
          </w:tcPr>
          <w:p w14:paraId="714CF365"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n.s. </w:t>
            </w:r>
          </w:p>
        </w:tc>
        <w:tc>
          <w:tcPr>
            <w:tcW w:w="774" w:type="dxa"/>
            <w:tcBorders>
              <w:top w:val="nil"/>
              <w:left w:val="single" w:sz="4" w:space="0" w:color="auto"/>
              <w:bottom w:val="nil"/>
              <w:right w:val="single" w:sz="4" w:space="0" w:color="auto"/>
            </w:tcBorders>
            <w:shd w:val="clear" w:color="auto" w:fill="auto"/>
          </w:tcPr>
          <w:p w14:paraId="30224D59" w14:textId="77777777" w:rsidR="006B173F" w:rsidRPr="006B173F" w:rsidRDefault="006B173F" w:rsidP="006B173F">
            <w:pPr>
              <w:ind w:right="113"/>
              <w:jc w:val="right"/>
              <w:rPr>
                <w:sz w:val="18"/>
                <w:szCs w:val="18"/>
              </w:rPr>
            </w:pPr>
          </w:p>
        </w:tc>
        <w:tc>
          <w:tcPr>
            <w:tcW w:w="749" w:type="dxa"/>
            <w:tcBorders>
              <w:top w:val="nil"/>
              <w:left w:val="single" w:sz="4" w:space="0" w:color="auto"/>
              <w:bottom w:val="nil"/>
              <w:right w:val="single" w:sz="4" w:space="0" w:color="auto"/>
            </w:tcBorders>
            <w:shd w:val="clear" w:color="auto" w:fill="auto"/>
          </w:tcPr>
          <w:p w14:paraId="2EFE194A" w14:textId="77777777" w:rsidR="006B173F" w:rsidRPr="006B173F" w:rsidRDefault="006B173F" w:rsidP="006B173F">
            <w:pPr>
              <w:ind w:right="113"/>
              <w:jc w:val="right"/>
              <w:rPr>
                <w:sz w:val="18"/>
                <w:szCs w:val="18"/>
              </w:rPr>
            </w:pPr>
          </w:p>
        </w:tc>
      </w:tr>
      <w:tr w:rsidR="006B173F" w:rsidRPr="006B173F" w14:paraId="65FD7BF4"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214CAB9A" w14:textId="77777777" w:rsidR="006B173F" w:rsidRPr="006B173F" w:rsidRDefault="006B173F" w:rsidP="006B173F">
            <w:pPr>
              <w:ind w:left="227"/>
              <w:rPr>
                <w:rFonts w:eastAsia="Times New Roman"/>
                <w:sz w:val="18"/>
                <w:szCs w:val="18"/>
              </w:rPr>
            </w:pPr>
            <w:r w:rsidRPr="006B173F">
              <w:rPr>
                <w:rFonts w:eastAsia="Times New Roman"/>
                <w:sz w:val="18"/>
                <w:szCs w:val="18"/>
              </w:rPr>
              <w:t xml:space="preserve">Ingreso presupuestario </w:t>
            </w:r>
          </w:p>
        </w:tc>
        <w:tc>
          <w:tcPr>
            <w:tcW w:w="1260" w:type="dxa"/>
            <w:tcBorders>
              <w:top w:val="nil"/>
              <w:bottom w:val="nil"/>
            </w:tcBorders>
          </w:tcPr>
          <w:p w14:paraId="155FFE7A"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647 791.5 </w:t>
            </w:r>
          </w:p>
        </w:tc>
        <w:tc>
          <w:tcPr>
            <w:tcW w:w="1248" w:type="dxa"/>
            <w:tcBorders>
              <w:top w:val="nil"/>
              <w:bottom w:val="nil"/>
            </w:tcBorders>
          </w:tcPr>
          <w:p w14:paraId="1EB24565"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654 547.2 </w:t>
            </w:r>
          </w:p>
        </w:tc>
        <w:tc>
          <w:tcPr>
            <w:tcW w:w="738" w:type="dxa"/>
            <w:tcBorders>
              <w:top w:val="nil"/>
              <w:bottom w:val="nil"/>
            </w:tcBorders>
          </w:tcPr>
          <w:p w14:paraId="381CFA93"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-1.9 </w:t>
            </w:r>
          </w:p>
        </w:tc>
        <w:tc>
          <w:tcPr>
            <w:tcW w:w="774" w:type="dxa"/>
            <w:tcBorders>
              <w:top w:val="nil"/>
              <w:bottom w:val="nil"/>
            </w:tcBorders>
          </w:tcPr>
          <w:p w14:paraId="4AC5ACCC"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100.0 </w:t>
            </w:r>
          </w:p>
        </w:tc>
        <w:tc>
          <w:tcPr>
            <w:tcW w:w="749" w:type="dxa"/>
            <w:tcBorders>
              <w:top w:val="nil"/>
              <w:bottom w:val="nil"/>
            </w:tcBorders>
          </w:tcPr>
          <w:p w14:paraId="1C82EE52"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100.0 </w:t>
            </w:r>
          </w:p>
        </w:tc>
      </w:tr>
      <w:tr w:rsidR="006B173F" w:rsidRPr="006B173F" w14:paraId="7766F910"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48893A5F" w14:textId="77777777" w:rsidR="006B173F" w:rsidRPr="006B173F" w:rsidRDefault="006B173F" w:rsidP="006B173F">
            <w:pPr>
              <w:ind w:left="340"/>
              <w:rPr>
                <w:rFonts w:eastAsia="Times New Roman"/>
                <w:sz w:val="18"/>
                <w:szCs w:val="18"/>
              </w:rPr>
            </w:pPr>
            <w:r w:rsidRPr="006B173F">
              <w:rPr>
                <w:rFonts w:eastAsia="Times New Roman"/>
                <w:sz w:val="18"/>
                <w:szCs w:val="18"/>
              </w:rPr>
              <w:t>Petrolero</w:t>
            </w:r>
            <w:r w:rsidRPr="006B173F">
              <w:rPr>
                <w:rFonts w:eastAsia="Times New Roman"/>
                <w:sz w:val="18"/>
                <w:szCs w:val="18"/>
                <w:u w:val="single"/>
                <w:vertAlign w:val="superscript"/>
              </w:rPr>
              <w:t>2</w:t>
            </w:r>
            <w:r w:rsidRPr="006B173F">
              <w:rPr>
                <w:rFonts w:eastAsia="Times New Roman"/>
                <w:sz w:val="18"/>
                <w:szCs w:val="18"/>
                <w:vertAlign w:val="superscript"/>
              </w:rPr>
              <w:t>/</w:t>
            </w:r>
          </w:p>
        </w:tc>
        <w:tc>
          <w:tcPr>
            <w:tcW w:w="1260" w:type="dxa"/>
            <w:tcBorders>
              <w:top w:val="nil"/>
              <w:bottom w:val="nil"/>
            </w:tcBorders>
          </w:tcPr>
          <w:p w14:paraId="53913C95"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192 554.6 </w:t>
            </w:r>
          </w:p>
        </w:tc>
        <w:tc>
          <w:tcPr>
            <w:tcW w:w="1248" w:type="dxa"/>
            <w:tcBorders>
              <w:top w:val="nil"/>
              <w:bottom w:val="nil"/>
            </w:tcBorders>
          </w:tcPr>
          <w:p w14:paraId="05CDF374"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106 556.7 </w:t>
            </w:r>
          </w:p>
        </w:tc>
        <w:tc>
          <w:tcPr>
            <w:tcW w:w="738" w:type="dxa"/>
            <w:tcBorders>
              <w:top w:val="nil"/>
              <w:bottom w:val="nil"/>
            </w:tcBorders>
          </w:tcPr>
          <w:p w14:paraId="49015C04"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-46.3 </w:t>
            </w:r>
          </w:p>
        </w:tc>
        <w:tc>
          <w:tcPr>
            <w:tcW w:w="774" w:type="dxa"/>
            <w:tcBorders>
              <w:top w:val="nil"/>
              <w:bottom w:val="nil"/>
            </w:tcBorders>
          </w:tcPr>
          <w:p w14:paraId="5433EC1B"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29.7 </w:t>
            </w:r>
          </w:p>
        </w:tc>
        <w:tc>
          <w:tcPr>
            <w:tcW w:w="749" w:type="dxa"/>
            <w:tcBorders>
              <w:top w:val="nil"/>
              <w:bottom w:val="nil"/>
            </w:tcBorders>
          </w:tcPr>
          <w:p w14:paraId="66F59BCD"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16.3 </w:t>
            </w:r>
          </w:p>
        </w:tc>
      </w:tr>
      <w:tr w:rsidR="006B173F" w:rsidRPr="006B173F" w14:paraId="17B7BC80"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446DC2BD" w14:textId="77777777" w:rsidR="006B173F" w:rsidRPr="006B173F" w:rsidRDefault="006B173F" w:rsidP="006B173F">
            <w:pPr>
              <w:ind w:left="454"/>
              <w:rPr>
                <w:rFonts w:eastAsia="Times New Roman"/>
                <w:sz w:val="18"/>
                <w:szCs w:val="18"/>
              </w:rPr>
            </w:pPr>
            <w:r w:rsidRPr="006B173F">
              <w:rPr>
                <w:rFonts w:eastAsia="Times New Roman"/>
                <w:sz w:val="18"/>
                <w:szCs w:val="18"/>
              </w:rPr>
              <w:t>Pemex</w:t>
            </w:r>
          </w:p>
        </w:tc>
        <w:tc>
          <w:tcPr>
            <w:tcW w:w="1260" w:type="dxa"/>
            <w:tcBorders>
              <w:top w:val="nil"/>
              <w:bottom w:val="nil"/>
            </w:tcBorders>
          </w:tcPr>
          <w:p w14:paraId="41D4A41A"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59 527.3 </w:t>
            </w:r>
          </w:p>
        </w:tc>
        <w:tc>
          <w:tcPr>
            <w:tcW w:w="1248" w:type="dxa"/>
            <w:tcBorders>
              <w:top w:val="nil"/>
              <w:bottom w:val="nil"/>
            </w:tcBorders>
          </w:tcPr>
          <w:p w14:paraId="15A85250"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35 914.9 </w:t>
            </w:r>
          </w:p>
        </w:tc>
        <w:tc>
          <w:tcPr>
            <w:tcW w:w="738" w:type="dxa"/>
            <w:tcBorders>
              <w:top w:val="nil"/>
              <w:bottom w:val="nil"/>
            </w:tcBorders>
          </w:tcPr>
          <w:p w14:paraId="756A8ADF"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-41.4 </w:t>
            </w:r>
          </w:p>
        </w:tc>
        <w:tc>
          <w:tcPr>
            <w:tcW w:w="774" w:type="dxa"/>
            <w:tcBorders>
              <w:top w:val="nil"/>
              <w:bottom w:val="nil"/>
            </w:tcBorders>
          </w:tcPr>
          <w:p w14:paraId="135E759D"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9.2 </w:t>
            </w:r>
          </w:p>
        </w:tc>
        <w:tc>
          <w:tcPr>
            <w:tcW w:w="749" w:type="dxa"/>
            <w:tcBorders>
              <w:top w:val="nil"/>
              <w:bottom w:val="nil"/>
            </w:tcBorders>
          </w:tcPr>
          <w:p w14:paraId="29D2D164"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5.5 </w:t>
            </w:r>
          </w:p>
        </w:tc>
      </w:tr>
      <w:tr w:rsidR="006B173F" w:rsidRPr="006B173F" w14:paraId="614A56C6"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7EC745CD" w14:textId="77777777" w:rsidR="006B173F" w:rsidRPr="006B173F" w:rsidRDefault="006B173F" w:rsidP="006B173F">
            <w:pPr>
              <w:ind w:left="454"/>
              <w:rPr>
                <w:rFonts w:eastAsia="Times New Roman"/>
                <w:sz w:val="18"/>
                <w:szCs w:val="18"/>
              </w:rPr>
            </w:pPr>
            <w:r w:rsidRPr="006B173F">
              <w:rPr>
                <w:rFonts w:eastAsia="Times New Roman"/>
                <w:sz w:val="18"/>
                <w:szCs w:val="18"/>
              </w:rPr>
              <w:t>Gobierno Federal</w:t>
            </w:r>
          </w:p>
        </w:tc>
        <w:tc>
          <w:tcPr>
            <w:tcW w:w="1260" w:type="dxa"/>
            <w:tcBorders>
              <w:top w:val="nil"/>
              <w:bottom w:val="nil"/>
            </w:tcBorders>
          </w:tcPr>
          <w:p w14:paraId="3DCDB85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133 027.3 </w:t>
            </w:r>
          </w:p>
        </w:tc>
        <w:tc>
          <w:tcPr>
            <w:tcW w:w="1248" w:type="dxa"/>
            <w:tcBorders>
              <w:top w:val="nil"/>
              <w:bottom w:val="nil"/>
            </w:tcBorders>
          </w:tcPr>
          <w:p w14:paraId="1826C166"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70 641.8 </w:t>
            </w:r>
          </w:p>
        </w:tc>
        <w:tc>
          <w:tcPr>
            <w:tcW w:w="738" w:type="dxa"/>
            <w:tcBorders>
              <w:top w:val="nil"/>
              <w:bottom w:val="nil"/>
            </w:tcBorders>
          </w:tcPr>
          <w:p w14:paraId="21D611F7"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-48.5 </w:t>
            </w:r>
          </w:p>
        </w:tc>
        <w:tc>
          <w:tcPr>
            <w:tcW w:w="774" w:type="dxa"/>
            <w:tcBorders>
              <w:top w:val="nil"/>
              <w:bottom w:val="nil"/>
            </w:tcBorders>
          </w:tcPr>
          <w:p w14:paraId="2C7BF524"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20.5 </w:t>
            </w:r>
          </w:p>
        </w:tc>
        <w:tc>
          <w:tcPr>
            <w:tcW w:w="749" w:type="dxa"/>
            <w:tcBorders>
              <w:top w:val="nil"/>
              <w:bottom w:val="nil"/>
            </w:tcBorders>
          </w:tcPr>
          <w:p w14:paraId="2A7839B3"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10.8 </w:t>
            </w:r>
          </w:p>
        </w:tc>
      </w:tr>
      <w:tr w:rsidR="006B173F" w:rsidRPr="006B173F" w14:paraId="6B410DA9"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7BEFE675" w14:textId="77777777" w:rsidR="006B173F" w:rsidRPr="006B173F" w:rsidRDefault="006B173F" w:rsidP="006B173F">
            <w:pPr>
              <w:ind w:left="340"/>
              <w:rPr>
                <w:rFonts w:eastAsia="Times New Roman"/>
                <w:sz w:val="18"/>
                <w:szCs w:val="18"/>
              </w:rPr>
            </w:pPr>
            <w:r w:rsidRPr="006B173F">
              <w:rPr>
                <w:rFonts w:eastAsia="Times New Roman"/>
                <w:sz w:val="18"/>
                <w:szCs w:val="18"/>
              </w:rPr>
              <w:t xml:space="preserve">No petrolero </w:t>
            </w:r>
          </w:p>
        </w:tc>
        <w:tc>
          <w:tcPr>
            <w:tcW w:w="1260" w:type="dxa"/>
            <w:tcBorders>
              <w:top w:val="nil"/>
              <w:bottom w:val="nil"/>
            </w:tcBorders>
          </w:tcPr>
          <w:p w14:paraId="3D69125C"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455 236.9 </w:t>
            </w:r>
          </w:p>
        </w:tc>
        <w:tc>
          <w:tcPr>
            <w:tcW w:w="1248" w:type="dxa"/>
            <w:tcBorders>
              <w:top w:val="nil"/>
              <w:bottom w:val="nil"/>
            </w:tcBorders>
          </w:tcPr>
          <w:p w14:paraId="02F23701"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547 990.5 </w:t>
            </w:r>
          </w:p>
        </w:tc>
        <w:tc>
          <w:tcPr>
            <w:tcW w:w="738" w:type="dxa"/>
            <w:tcBorders>
              <w:top w:val="nil"/>
              <w:bottom w:val="nil"/>
            </w:tcBorders>
          </w:tcPr>
          <w:p w14:paraId="2134E434"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16.8 </w:t>
            </w:r>
          </w:p>
        </w:tc>
        <w:tc>
          <w:tcPr>
            <w:tcW w:w="774" w:type="dxa"/>
            <w:tcBorders>
              <w:top w:val="nil"/>
              <w:bottom w:val="nil"/>
            </w:tcBorders>
          </w:tcPr>
          <w:p w14:paraId="05235346"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70.3 </w:t>
            </w:r>
          </w:p>
        </w:tc>
        <w:tc>
          <w:tcPr>
            <w:tcW w:w="749" w:type="dxa"/>
            <w:tcBorders>
              <w:top w:val="nil"/>
              <w:bottom w:val="nil"/>
            </w:tcBorders>
          </w:tcPr>
          <w:p w14:paraId="373E4746"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83.7 </w:t>
            </w:r>
          </w:p>
        </w:tc>
      </w:tr>
      <w:tr w:rsidR="006B173F" w:rsidRPr="006B173F" w14:paraId="15EAC91F"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39B6064E" w14:textId="77777777" w:rsidR="006B173F" w:rsidRPr="006B173F" w:rsidRDefault="006B173F" w:rsidP="006B173F">
            <w:pPr>
              <w:ind w:left="454"/>
              <w:rPr>
                <w:rFonts w:eastAsia="Times New Roman"/>
                <w:sz w:val="18"/>
                <w:szCs w:val="18"/>
              </w:rPr>
            </w:pPr>
            <w:r w:rsidRPr="006B173F">
              <w:rPr>
                <w:rFonts w:eastAsia="Times New Roman"/>
                <w:sz w:val="18"/>
                <w:szCs w:val="18"/>
              </w:rPr>
              <w:t xml:space="preserve">Gobierno Federal </w:t>
            </w:r>
          </w:p>
        </w:tc>
        <w:tc>
          <w:tcPr>
            <w:tcW w:w="1260" w:type="dxa"/>
            <w:tcBorders>
              <w:top w:val="nil"/>
              <w:bottom w:val="nil"/>
            </w:tcBorders>
          </w:tcPr>
          <w:p w14:paraId="171CA632"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359 155.7 </w:t>
            </w:r>
          </w:p>
        </w:tc>
        <w:tc>
          <w:tcPr>
            <w:tcW w:w="1248" w:type="dxa"/>
            <w:tcBorders>
              <w:top w:val="nil"/>
              <w:bottom w:val="nil"/>
            </w:tcBorders>
          </w:tcPr>
          <w:p w14:paraId="4120870F"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448 064.4 </w:t>
            </w:r>
          </w:p>
        </w:tc>
        <w:tc>
          <w:tcPr>
            <w:tcW w:w="738" w:type="dxa"/>
            <w:tcBorders>
              <w:top w:val="nil"/>
              <w:bottom w:val="nil"/>
            </w:tcBorders>
          </w:tcPr>
          <w:p w14:paraId="17EA1B73"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21.1 </w:t>
            </w:r>
          </w:p>
        </w:tc>
        <w:tc>
          <w:tcPr>
            <w:tcW w:w="774" w:type="dxa"/>
            <w:tcBorders>
              <w:top w:val="nil"/>
              <w:bottom w:val="nil"/>
            </w:tcBorders>
          </w:tcPr>
          <w:p w14:paraId="0B2BCBD2"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55.4 </w:t>
            </w:r>
          </w:p>
        </w:tc>
        <w:tc>
          <w:tcPr>
            <w:tcW w:w="749" w:type="dxa"/>
            <w:tcBorders>
              <w:top w:val="nil"/>
              <w:bottom w:val="nil"/>
            </w:tcBorders>
          </w:tcPr>
          <w:p w14:paraId="2A36DDE1"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68.5 </w:t>
            </w:r>
          </w:p>
        </w:tc>
      </w:tr>
      <w:tr w:rsidR="006B173F" w:rsidRPr="006B173F" w14:paraId="4C664455"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6B326F91" w14:textId="77777777" w:rsidR="006B173F" w:rsidRPr="006B173F" w:rsidRDefault="006B173F" w:rsidP="006B173F">
            <w:pPr>
              <w:ind w:left="454"/>
              <w:rPr>
                <w:rFonts w:eastAsia="Times New Roman"/>
                <w:sz w:val="18"/>
                <w:szCs w:val="18"/>
              </w:rPr>
            </w:pPr>
            <w:r w:rsidRPr="006B173F">
              <w:rPr>
                <w:rFonts w:eastAsia="Times New Roman"/>
                <w:sz w:val="18"/>
                <w:szCs w:val="18"/>
              </w:rPr>
              <w:t xml:space="preserve">  Tributarios </w:t>
            </w:r>
          </w:p>
        </w:tc>
        <w:tc>
          <w:tcPr>
            <w:tcW w:w="1260" w:type="dxa"/>
            <w:tcBorders>
              <w:top w:val="nil"/>
              <w:bottom w:val="nil"/>
            </w:tcBorders>
          </w:tcPr>
          <w:p w14:paraId="08EF0E8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335 168.1 </w:t>
            </w:r>
          </w:p>
        </w:tc>
        <w:tc>
          <w:tcPr>
            <w:tcW w:w="1248" w:type="dxa"/>
            <w:tcBorders>
              <w:top w:val="nil"/>
              <w:bottom w:val="nil"/>
            </w:tcBorders>
          </w:tcPr>
          <w:p w14:paraId="560E213F"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414 626.8 </w:t>
            </w:r>
          </w:p>
        </w:tc>
        <w:tc>
          <w:tcPr>
            <w:tcW w:w="738" w:type="dxa"/>
            <w:tcBorders>
              <w:top w:val="nil"/>
              <w:bottom w:val="nil"/>
            </w:tcBorders>
          </w:tcPr>
          <w:p w14:paraId="771E488C"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20.1 </w:t>
            </w:r>
          </w:p>
        </w:tc>
        <w:tc>
          <w:tcPr>
            <w:tcW w:w="774" w:type="dxa"/>
            <w:tcBorders>
              <w:top w:val="nil"/>
              <w:bottom w:val="nil"/>
            </w:tcBorders>
          </w:tcPr>
          <w:p w14:paraId="5FD21AD1"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51.7 </w:t>
            </w:r>
          </w:p>
        </w:tc>
        <w:tc>
          <w:tcPr>
            <w:tcW w:w="749" w:type="dxa"/>
            <w:tcBorders>
              <w:top w:val="nil"/>
              <w:bottom w:val="nil"/>
            </w:tcBorders>
          </w:tcPr>
          <w:p w14:paraId="1A5BBCCA"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63.3 </w:t>
            </w:r>
          </w:p>
        </w:tc>
      </w:tr>
      <w:tr w:rsidR="006B173F" w:rsidRPr="006B173F" w14:paraId="4D724D31"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0A585E81" w14:textId="77777777" w:rsidR="006B173F" w:rsidRPr="006B173F" w:rsidRDefault="006B173F" w:rsidP="006B173F">
            <w:pPr>
              <w:ind w:left="454"/>
              <w:rPr>
                <w:rFonts w:eastAsia="Times New Roman"/>
                <w:sz w:val="18"/>
                <w:szCs w:val="18"/>
              </w:rPr>
            </w:pPr>
            <w:r w:rsidRPr="006B173F">
              <w:rPr>
                <w:rFonts w:eastAsia="Times New Roman"/>
                <w:sz w:val="18"/>
                <w:szCs w:val="18"/>
              </w:rPr>
              <w:t xml:space="preserve">  No tributarios </w:t>
            </w:r>
          </w:p>
        </w:tc>
        <w:tc>
          <w:tcPr>
            <w:tcW w:w="1260" w:type="dxa"/>
            <w:tcBorders>
              <w:top w:val="nil"/>
              <w:bottom w:val="nil"/>
            </w:tcBorders>
          </w:tcPr>
          <w:p w14:paraId="7B2E245F"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23 987.6 </w:t>
            </w:r>
          </w:p>
        </w:tc>
        <w:tc>
          <w:tcPr>
            <w:tcW w:w="1248" w:type="dxa"/>
            <w:tcBorders>
              <w:top w:val="nil"/>
              <w:bottom w:val="nil"/>
            </w:tcBorders>
          </w:tcPr>
          <w:p w14:paraId="3436427B"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33 437.6 </w:t>
            </w:r>
          </w:p>
        </w:tc>
        <w:tc>
          <w:tcPr>
            <w:tcW w:w="738" w:type="dxa"/>
            <w:tcBorders>
              <w:top w:val="nil"/>
              <w:bottom w:val="nil"/>
            </w:tcBorders>
          </w:tcPr>
          <w:p w14:paraId="20A126CD"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35.3 </w:t>
            </w:r>
          </w:p>
        </w:tc>
        <w:tc>
          <w:tcPr>
            <w:tcW w:w="774" w:type="dxa"/>
            <w:tcBorders>
              <w:top w:val="nil"/>
              <w:bottom w:val="nil"/>
            </w:tcBorders>
          </w:tcPr>
          <w:p w14:paraId="615A5033"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3.7 </w:t>
            </w:r>
          </w:p>
        </w:tc>
        <w:tc>
          <w:tcPr>
            <w:tcW w:w="749" w:type="dxa"/>
            <w:tcBorders>
              <w:top w:val="nil"/>
              <w:bottom w:val="nil"/>
            </w:tcBorders>
          </w:tcPr>
          <w:p w14:paraId="60C3AA8A"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5.1 </w:t>
            </w:r>
          </w:p>
        </w:tc>
      </w:tr>
      <w:tr w:rsidR="006B173F" w:rsidRPr="006B173F" w14:paraId="72462186"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35084192" w14:textId="77777777" w:rsidR="006B173F" w:rsidRPr="006B173F" w:rsidRDefault="006B173F" w:rsidP="006B173F">
            <w:pPr>
              <w:ind w:left="454"/>
              <w:rPr>
                <w:rFonts w:eastAsia="Times New Roman"/>
                <w:sz w:val="18"/>
                <w:szCs w:val="18"/>
              </w:rPr>
            </w:pPr>
            <w:r w:rsidRPr="006B173F">
              <w:rPr>
                <w:rFonts w:eastAsia="Times New Roman"/>
                <w:sz w:val="18"/>
                <w:szCs w:val="18"/>
              </w:rPr>
              <w:t xml:space="preserve">Organismos y empresas </w:t>
            </w:r>
          </w:p>
        </w:tc>
        <w:tc>
          <w:tcPr>
            <w:tcW w:w="1260" w:type="dxa"/>
            <w:tcBorders>
              <w:top w:val="nil"/>
              <w:bottom w:val="nil"/>
            </w:tcBorders>
          </w:tcPr>
          <w:p w14:paraId="18C83FA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96 081.2 </w:t>
            </w:r>
          </w:p>
        </w:tc>
        <w:tc>
          <w:tcPr>
            <w:tcW w:w="1248" w:type="dxa"/>
            <w:tcBorders>
              <w:top w:val="nil"/>
              <w:bottom w:val="nil"/>
            </w:tcBorders>
          </w:tcPr>
          <w:p w14:paraId="553FAE2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99 926.2 </w:t>
            </w:r>
          </w:p>
        </w:tc>
        <w:tc>
          <w:tcPr>
            <w:tcW w:w="738" w:type="dxa"/>
            <w:tcBorders>
              <w:top w:val="nil"/>
              <w:bottom w:val="nil"/>
            </w:tcBorders>
          </w:tcPr>
          <w:p w14:paraId="070A0EDB"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0.9 </w:t>
            </w:r>
          </w:p>
        </w:tc>
        <w:tc>
          <w:tcPr>
            <w:tcW w:w="774" w:type="dxa"/>
            <w:tcBorders>
              <w:top w:val="nil"/>
              <w:bottom w:val="nil"/>
            </w:tcBorders>
          </w:tcPr>
          <w:p w14:paraId="27E88981"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14.8 </w:t>
            </w:r>
          </w:p>
        </w:tc>
        <w:tc>
          <w:tcPr>
            <w:tcW w:w="749" w:type="dxa"/>
            <w:tcBorders>
              <w:top w:val="nil"/>
              <w:bottom w:val="nil"/>
            </w:tcBorders>
          </w:tcPr>
          <w:p w14:paraId="1EEFD835"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15.3 </w:t>
            </w:r>
          </w:p>
        </w:tc>
      </w:tr>
      <w:tr w:rsidR="006B173F" w:rsidRPr="006B173F" w14:paraId="085E9F0C"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0780FB55" w14:textId="77777777" w:rsidR="006B173F" w:rsidRPr="006B173F" w:rsidRDefault="006B173F" w:rsidP="006B173F">
            <w:pPr>
              <w:ind w:left="227"/>
              <w:rPr>
                <w:rFonts w:eastAsia="Times New Roman"/>
                <w:sz w:val="18"/>
                <w:szCs w:val="18"/>
              </w:rPr>
            </w:pPr>
            <w:r w:rsidRPr="006B173F">
              <w:rPr>
                <w:rFonts w:eastAsia="Times New Roman"/>
                <w:sz w:val="18"/>
                <w:szCs w:val="18"/>
              </w:rPr>
              <w:t xml:space="preserve">Gasto neto presupuestario </w:t>
            </w:r>
          </w:p>
        </w:tc>
        <w:tc>
          <w:tcPr>
            <w:tcW w:w="1260" w:type="dxa"/>
            <w:tcBorders>
              <w:top w:val="nil"/>
              <w:bottom w:val="nil"/>
            </w:tcBorders>
          </w:tcPr>
          <w:p w14:paraId="7A36A3D9"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704 469.9 </w:t>
            </w:r>
          </w:p>
        </w:tc>
        <w:tc>
          <w:tcPr>
            <w:tcW w:w="1248" w:type="dxa"/>
            <w:tcBorders>
              <w:top w:val="nil"/>
              <w:bottom w:val="nil"/>
            </w:tcBorders>
          </w:tcPr>
          <w:p w14:paraId="1D38AFF9"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810 951.2 </w:t>
            </w:r>
          </w:p>
        </w:tc>
        <w:tc>
          <w:tcPr>
            <w:tcW w:w="738" w:type="dxa"/>
            <w:tcBorders>
              <w:top w:val="nil"/>
              <w:bottom w:val="nil"/>
            </w:tcBorders>
          </w:tcPr>
          <w:p w14:paraId="22C3ABEA"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11.7 </w:t>
            </w:r>
          </w:p>
        </w:tc>
        <w:tc>
          <w:tcPr>
            <w:tcW w:w="774" w:type="dxa"/>
            <w:tcBorders>
              <w:top w:val="nil"/>
              <w:bottom w:val="nil"/>
            </w:tcBorders>
          </w:tcPr>
          <w:p w14:paraId="47A6FC4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100.0 </w:t>
            </w:r>
          </w:p>
        </w:tc>
        <w:tc>
          <w:tcPr>
            <w:tcW w:w="749" w:type="dxa"/>
            <w:tcBorders>
              <w:top w:val="nil"/>
              <w:bottom w:val="nil"/>
            </w:tcBorders>
          </w:tcPr>
          <w:p w14:paraId="6C2952E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100.0 </w:t>
            </w:r>
          </w:p>
        </w:tc>
      </w:tr>
      <w:tr w:rsidR="006B173F" w:rsidRPr="006B173F" w14:paraId="1E326996"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31084024" w14:textId="77777777" w:rsidR="006B173F" w:rsidRPr="006B173F" w:rsidRDefault="006B173F" w:rsidP="006B173F">
            <w:pPr>
              <w:ind w:left="454"/>
              <w:rPr>
                <w:rFonts w:eastAsia="Times New Roman"/>
                <w:sz w:val="18"/>
                <w:szCs w:val="18"/>
              </w:rPr>
            </w:pPr>
            <w:r w:rsidRPr="006B173F">
              <w:rPr>
                <w:rFonts w:eastAsia="Times New Roman"/>
                <w:sz w:val="18"/>
                <w:szCs w:val="18"/>
              </w:rPr>
              <w:t>Programable</w:t>
            </w:r>
          </w:p>
        </w:tc>
        <w:tc>
          <w:tcPr>
            <w:tcW w:w="1260" w:type="dxa"/>
            <w:tcBorders>
              <w:top w:val="nil"/>
              <w:bottom w:val="nil"/>
            </w:tcBorders>
          </w:tcPr>
          <w:p w14:paraId="24916212"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532 492.0 </w:t>
            </w:r>
          </w:p>
        </w:tc>
        <w:tc>
          <w:tcPr>
            <w:tcW w:w="1248" w:type="dxa"/>
            <w:tcBorders>
              <w:top w:val="nil"/>
              <w:bottom w:val="nil"/>
            </w:tcBorders>
          </w:tcPr>
          <w:p w14:paraId="786C20D5"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630 721.7 </w:t>
            </w:r>
          </w:p>
        </w:tc>
        <w:tc>
          <w:tcPr>
            <w:tcW w:w="738" w:type="dxa"/>
            <w:tcBorders>
              <w:top w:val="nil"/>
              <w:bottom w:val="nil"/>
            </w:tcBorders>
          </w:tcPr>
          <w:p w14:paraId="6734727A"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15.0 </w:t>
            </w:r>
          </w:p>
        </w:tc>
        <w:tc>
          <w:tcPr>
            <w:tcW w:w="774" w:type="dxa"/>
            <w:tcBorders>
              <w:top w:val="nil"/>
              <w:bottom w:val="nil"/>
            </w:tcBorders>
          </w:tcPr>
          <w:p w14:paraId="6218B020"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75.6 </w:t>
            </w:r>
          </w:p>
        </w:tc>
        <w:tc>
          <w:tcPr>
            <w:tcW w:w="749" w:type="dxa"/>
            <w:tcBorders>
              <w:top w:val="nil"/>
              <w:bottom w:val="nil"/>
            </w:tcBorders>
          </w:tcPr>
          <w:p w14:paraId="6829947D"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77.8 </w:t>
            </w:r>
          </w:p>
        </w:tc>
      </w:tr>
      <w:tr w:rsidR="006B173F" w:rsidRPr="006B173F" w14:paraId="2F93E10A"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0F0961BB" w14:textId="77777777" w:rsidR="006B173F" w:rsidRPr="006B173F" w:rsidRDefault="006B173F" w:rsidP="006B173F">
            <w:pPr>
              <w:ind w:left="454"/>
              <w:rPr>
                <w:rFonts w:eastAsia="Times New Roman"/>
                <w:sz w:val="18"/>
                <w:szCs w:val="18"/>
              </w:rPr>
            </w:pPr>
            <w:r w:rsidRPr="006B173F">
              <w:rPr>
                <w:rFonts w:eastAsia="Times New Roman"/>
                <w:sz w:val="18"/>
                <w:szCs w:val="18"/>
              </w:rPr>
              <w:t xml:space="preserve">No programable </w:t>
            </w:r>
          </w:p>
        </w:tc>
        <w:tc>
          <w:tcPr>
            <w:tcW w:w="1260" w:type="dxa"/>
            <w:tcBorders>
              <w:top w:val="nil"/>
              <w:bottom w:val="nil"/>
            </w:tcBorders>
          </w:tcPr>
          <w:p w14:paraId="75F70C49"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171 977.9 </w:t>
            </w:r>
          </w:p>
        </w:tc>
        <w:tc>
          <w:tcPr>
            <w:tcW w:w="1248" w:type="dxa"/>
            <w:tcBorders>
              <w:top w:val="nil"/>
              <w:bottom w:val="nil"/>
            </w:tcBorders>
          </w:tcPr>
          <w:p w14:paraId="219F460E"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180 229.4 </w:t>
            </w:r>
          </w:p>
        </w:tc>
        <w:tc>
          <w:tcPr>
            <w:tcW w:w="738" w:type="dxa"/>
            <w:tcBorders>
              <w:top w:val="nil"/>
              <w:bottom w:val="nil"/>
            </w:tcBorders>
          </w:tcPr>
          <w:p w14:paraId="764F528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1.7 </w:t>
            </w:r>
          </w:p>
        </w:tc>
        <w:tc>
          <w:tcPr>
            <w:tcW w:w="774" w:type="dxa"/>
            <w:tcBorders>
              <w:top w:val="nil"/>
              <w:bottom w:val="nil"/>
            </w:tcBorders>
          </w:tcPr>
          <w:p w14:paraId="5C1E4E9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24.4 </w:t>
            </w:r>
          </w:p>
        </w:tc>
        <w:tc>
          <w:tcPr>
            <w:tcW w:w="749" w:type="dxa"/>
            <w:tcBorders>
              <w:top w:val="nil"/>
              <w:bottom w:val="nil"/>
            </w:tcBorders>
          </w:tcPr>
          <w:p w14:paraId="11BA351A"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22.2 </w:t>
            </w:r>
          </w:p>
        </w:tc>
      </w:tr>
      <w:tr w:rsidR="006B173F" w:rsidRPr="006B173F" w14:paraId="016E5DAB" w14:textId="77777777" w:rsidTr="006B173F">
        <w:trPr>
          <w:jc w:val="center"/>
        </w:trPr>
        <w:tc>
          <w:tcPr>
            <w:tcW w:w="4673" w:type="dxa"/>
            <w:tcBorders>
              <w:top w:val="nil"/>
              <w:left w:val="single" w:sz="4" w:space="0" w:color="auto"/>
              <w:bottom w:val="nil"/>
              <w:right w:val="single" w:sz="4" w:space="0" w:color="auto"/>
            </w:tcBorders>
            <w:shd w:val="clear" w:color="auto" w:fill="auto"/>
          </w:tcPr>
          <w:p w14:paraId="572D181F" w14:textId="77777777" w:rsidR="006B173F" w:rsidRPr="006B173F" w:rsidRDefault="006B173F" w:rsidP="006B173F">
            <w:pPr>
              <w:ind w:left="113"/>
              <w:rPr>
                <w:rFonts w:eastAsia="Times New Roman"/>
                <w:sz w:val="18"/>
                <w:szCs w:val="18"/>
              </w:rPr>
            </w:pPr>
            <w:r w:rsidRPr="006B173F">
              <w:rPr>
                <w:rFonts w:eastAsia="Times New Roman"/>
                <w:sz w:val="18"/>
                <w:szCs w:val="18"/>
              </w:rPr>
              <w:t xml:space="preserve">Balance de entidades bajo control presupuestario indirecto </w:t>
            </w:r>
          </w:p>
        </w:tc>
        <w:tc>
          <w:tcPr>
            <w:tcW w:w="1260" w:type="dxa"/>
            <w:tcBorders>
              <w:top w:val="nil"/>
              <w:bottom w:val="nil"/>
            </w:tcBorders>
          </w:tcPr>
          <w:p w14:paraId="78032EC8"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10 950.9 </w:t>
            </w:r>
          </w:p>
        </w:tc>
        <w:tc>
          <w:tcPr>
            <w:tcW w:w="1248" w:type="dxa"/>
            <w:tcBorders>
              <w:top w:val="nil"/>
              <w:bottom w:val="nil"/>
            </w:tcBorders>
          </w:tcPr>
          <w:p w14:paraId="2D26A079"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5 659.4 </w:t>
            </w:r>
          </w:p>
        </w:tc>
        <w:tc>
          <w:tcPr>
            <w:tcW w:w="738" w:type="dxa"/>
            <w:tcBorders>
              <w:top w:val="nil"/>
              <w:bottom w:val="nil"/>
            </w:tcBorders>
          </w:tcPr>
          <w:p w14:paraId="3DE71880"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-49.8 </w:t>
            </w:r>
          </w:p>
        </w:tc>
        <w:tc>
          <w:tcPr>
            <w:tcW w:w="774" w:type="dxa"/>
            <w:tcBorders>
              <w:top w:val="nil"/>
              <w:left w:val="single" w:sz="4" w:space="0" w:color="auto"/>
              <w:bottom w:val="nil"/>
              <w:right w:val="single" w:sz="4" w:space="0" w:color="auto"/>
            </w:tcBorders>
            <w:shd w:val="clear" w:color="auto" w:fill="auto"/>
            <w:vAlign w:val="center"/>
          </w:tcPr>
          <w:p w14:paraId="65A3B878" w14:textId="77777777" w:rsidR="006B173F" w:rsidRPr="006B173F" w:rsidRDefault="006B173F" w:rsidP="006B173F">
            <w:pPr>
              <w:ind w:right="113"/>
              <w:jc w:val="right"/>
              <w:rPr>
                <w:sz w:val="18"/>
                <w:szCs w:val="18"/>
              </w:rPr>
            </w:pPr>
          </w:p>
        </w:tc>
        <w:tc>
          <w:tcPr>
            <w:tcW w:w="749" w:type="dxa"/>
            <w:tcBorders>
              <w:top w:val="nil"/>
              <w:left w:val="single" w:sz="4" w:space="0" w:color="auto"/>
              <w:bottom w:val="nil"/>
              <w:right w:val="single" w:sz="4" w:space="0" w:color="auto"/>
            </w:tcBorders>
            <w:shd w:val="clear" w:color="auto" w:fill="auto"/>
            <w:vAlign w:val="center"/>
          </w:tcPr>
          <w:p w14:paraId="54E8C8DB" w14:textId="77777777" w:rsidR="006B173F" w:rsidRPr="006B173F" w:rsidRDefault="006B173F" w:rsidP="006B173F">
            <w:pPr>
              <w:ind w:right="113"/>
              <w:jc w:val="right"/>
              <w:rPr>
                <w:sz w:val="18"/>
                <w:szCs w:val="18"/>
              </w:rPr>
            </w:pPr>
          </w:p>
        </w:tc>
      </w:tr>
      <w:tr w:rsidR="006B173F" w:rsidRPr="006B173F" w14:paraId="7432F2D0" w14:textId="77777777" w:rsidTr="006B173F">
        <w:trPr>
          <w:jc w:val="center"/>
        </w:trPr>
        <w:tc>
          <w:tcPr>
            <w:tcW w:w="4673" w:type="dxa"/>
            <w:tcBorders>
              <w:top w:val="nil"/>
              <w:left w:val="single" w:sz="4" w:space="0" w:color="auto"/>
              <w:bottom w:val="single" w:sz="4" w:space="0" w:color="auto"/>
              <w:right w:val="single" w:sz="4" w:space="0" w:color="auto"/>
            </w:tcBorders>
            <w:shd w:val="clear" w:color="auto" w:fill="auto"/>
          </w:tcPr>
          <w:p w14:paraId="020C1003" w14:textId="77777777" w:rsidR="006B173F" w:rsidRPr="006B173F" w:rsidRDefault="006B173F" w:rsidP="006B173F">
            <w:pPr>
              <w:rPr>
                <w:rFonts w:eastAsia="Times New Roman"/>
                <w:sz w:val="18"/>
                <w:szCs w:val="18"/>
              </w:rPr>
            </w:pPr>
            <w:r w:rsidRPr="006B173F">
              <w:rPr>
                <w:rFonts w:eastAsia="Times New Roman"/>
                <w:sz w:val="18"/>
                <w:szCs w:val="18"/>
              </w:rPr>
              <w:t>Balance primario</w:t>
            </w:r>
          </w:p>
        </w:tc>
        <w:tc>
          <w:tcPr>
            <w:tcW w:w="1260" w:type="dxa"/>
            <w:tcBorders>
              <w:top w:val="nil"/>
            </w:tcBorders>
          </w:tcPr>
          <w:p w14:paraId="23CF00FC"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-22 254.2 </w:t>
            </w:r>
          </w:p>
        </w:tc>
        <w:tc>
          <w:tcPr>
            <w:tcW w:w="1248" w:type="dxa"/>
            <w:tcBorders>
              <w:top w:val="nil"/>
            </w:tcBorders>
          </w:tcPr>
          <w:p w14:paraId="576583DF" w14:textId="77777777" w:rsidR="006B173F" w:rsidRPr="006B173F" w:rsidRDefault="006B173F" w:rsidP="006B173F">
            <w:pPr>
              <w:ind w:right="170"/>
              <w:jc w:val="right"/>
              <w:rPr>
                <w:rFonts w:eastAsia="Calibri"/>
                <w:sz w:val="18"/>
                <w:szCs w:val="18"/>
                <w:lang w:eastAsia="en-US"/>
              </w:rPr>
            </w:pPr>
            <w:r w:rsidRPr="006B173F">
              <w:rPr>
                <w:rFonts w:eastAsia="Calibri"/>
                <w:sz w:val="18"/>
                <w:szCs w:val="18"/>
                <w:lang w:eastAsia="en-US"/>
              </w:rPr>
              <w:t xml:space="preserve">-113 316.6 </w:t>
            </w:r>
          </w:p>
        </w:tc>
        <w:tc>
          <w:tcPr>
            <w:tcW w:w="738" w:type="dxa"/>
            <w:tcBorders>
              <w:top w:val="nil"/>
            </w:tcBorders>
          </w:tcPr>
          <w:p w14:paraId="6C80D5AB"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n.s. </w:t>
            </w:r>
          </w:p>
        </w:tc>
        <w:tc>
          <w:tcPr>
            <w:tcW w:w="774" w:type="dxa"/>
            <w:tcBorders>
              <w:top w:val="nil"/>
              <w:left w:val="single" w:sz="4" w:space="0" w:color="auto"/>
              <w:bottom w:val="single" w:sz="4" w:space="0" w:color="auto"/>
              <w:right w:val="single" w:sz="4" w:space="0" w:color="auto"/>
            </w:tcBorders>
            <w:shd w:val="clear" w:color="auto" w:fill="auto"/>
          </w:tcPr>
          <w:p w14:paraId="2591E693" w14:textId="77777777" w:rsidR="006B173F" w:rsidRPr="006B173F" w:rsidRDefault="006B173F" w:rsidP="006B173F">
            <w:pPr>
              <w:ind w:right="113"/>
              <w:jc w:val="right"/>
              <w:rPr>
                <w:sz w:val="18"/>
                <w:szCs w:val="18"/>
              </w:rPr>
            </w:pPr>
          </w:p>
        </w:tc>
        <w:tc>
          <w:tcPr>
            <w:tcW w:w="749" w:type="dxa"/>
            <w:tcBorders>
              <w:top w:val="nil"/>
              <w:left w:val="single" w:sz="4" w:space="0" w:color="auto"/>
              <w:bottom w:val="single" w:sz="4" w:space="0" w:color="auto"/>
              <w:right w:val="single" w:sz="4" w:space="0" w:color="auto"/>
            </w:tcBorders>
            <w:shd w:val="clear" w:color="auto" w:fill="auto"/>
          </w:tcPr>
          <w:p w14:paraId="69476D24" w14:textId="77777777" w:rsidR="006B173F" w:rsidRPr="006B173F" w:rsidRDefault="006B173F" w:rsidP="006B173F">
            <w:pPr>
              <w:ind w:right="113"/>
              <w:jc w:val="right"/>
              <w:rPr>
                <w:sz w:val="18"/>
                <w:szCs w:val="18"/>
              </w:rPr>
            </w:pPr>
          </w:p>
        </w:tc>
      </w:tr>
      <w:tr w:rsidR="006B173F" w:rsidRPr="006B173F" w14:paraId="24E594E0" w14:textId="77777777" w:rsidTr="006B173F">
        <w:trPr>
          <w:jc w:val="center"/>
        </w:trPr>
        <w:tc>
          <w:tcPr>
            <w:tcW w:w="9442" w:type="dxa"/>
            <w:gridSpan w:val="6"/>
            <w:tcBorders>
              <w:top w:val="single" w:sz="4" w:space="0" w:color="auto"/>
              <w:left w:val="nil"/>
              <w:bottom w:val="nil"/>
              <w:right w:val="nil"/>
            </w:tcBorders>
            <w:shd w:val="clear" w:color="auto" w:fill="auto"/>
          </w:tcPr>
          <w:p w14:paraId="619A159D" w14:textId="77777777" w:rsidR="006B173F" w:rsidRPr="006B173F" w:rsidRDefault="006B173F" w:rsidP="006B173F">
            <w:pPr>
              <w:jc w:val="both"/>
              <w:rPr>
                <w:rFonts w:eastAsia="Times New Roman"/>
                <w:sz w:val="18"/>
                <w:szCs w:val="18"/>
                <w:lang w:val="es-ES"/>
              </w:rPr>
            </w:pPr>
            <w:r w:rsidRPr="006B173F">
              <w:rPr>
                <w:rFonts w:eastAsia="Times New Roman"/>
                <w:sz w:val="18"/>
                <w:szCs w:val="18"/>
                <w:lang w:val="es-ES"/>
              </w:rPr>
              <w:t>Nota: Las sumas parciales y las variaciones pueden no coincidir debido al redondeo.</w:t>
            </w:r>
          </w:p>
          <w:p w14:paraId="6F3C1235" w14:textId="77777777" w:rsidR="006B173F" w:rsidRPr="006B173F" w:rsidRDefault="006B173F" w:rsidP="006B173F">
            <w:pPr>
              <w:jc w:val="both"/>
              <w:rPr>
                <w:rFonts w:eastAsia="Times New Roman"/>
                <w:sz w:val="18"/>
                <w:szCs w:val="18"/>
              </w:rPr>
            </w:pPr>
            <w:r w:rsidRPr="006B173F">
              <w:rPr>
                <w:rFonts w:eastAsia="Times New Roman"/>
                <w:sz w:val="18"/>
                <w:szCs w:val="18"/>
                <w:u w:val="single"/>
              </w:rPr>
              <w:t>p</w:t>
            </w:r>
            <w:r w:rsidRPr="006B173F">
              <w:rPr>
                <w:rFonts w:eastAsia="Times New Roman"/>
                <w:sz w:val="18"/>
                <w:szCs w:val="18"/>
              </w:rPr>
              <w:t>/ Cifras preliminares.</w:t>
            </w:r>
          </w:p>
          <w:p w14:paraId="6E9363DA" w14:textId="77777777" w:rsidR="006B173F" w:rsidRPr="006B173F" w:rsidRDefault="006B173F" w:rsidP="006B173F">
            <w:pPr>
              <w:jc w:val="both"/>
              <w:rPr>
                <w:rFonts w:eastAsia="Times New Roman"/>
                <w:sz w:val="18"/>
                <w:szCs w:val="18"/>
              </w:rPr>
            </w:pPr>
            <w:r w:rsidRPr="006B173F">
              <w:rPr>
                <w:rFonts w:eastAsia="Times New Roman"/>
                <w:sz w:val="18"/>
                <w:szCs w:val="18"/>
              </w:rPr>
              <w:t>n.s.: no significativo.</w:t>
            </w:r>
          </w:p>
          <w:p w14:paraId="276A91EA" w14:textId="77777777" w:rsidR="006B173F" w:rsidRPr="006B173F" w:rsidRDefault="006B173F" w:rsidP="006B173F">
            <w:pPr>
              <w:jc w:val="both"/>
              <w:rPr>
                <w:rFonts w:eastAsia="Times New Roman"/>
                <w:sz w:val="18"/>
                <w:szCs w:val="18"/>
              </w:rPr>
            </w:pPr>
            <w:r w:rsidRPr="006B173F">
              <w:rPr>
                <w:rFonts w:eastAsia="Times New Roman"/>
                <w:sz w:val="18"/>
                <w:szCs w:val="18"/>
                <w:u w:val="single"/>
              </w:rPr>
              <w:t>1</w:t>
            </w:r>
            <w:r w:rsidRPr="006B173F">
              <w:rPr>
                <w:rFonts w:eastAsia="Times New Roman"/>
                <w:sz w:val="18"/>
                <w:szCs w:val="18"/>
              </w:rPr>
              <w:t>/ Excluye la inversión física de Pemex, CFE e inversiones de alto impacto del Gobierno Federal.</w:t>
            </w:r>
          </w:p>
          <w:p w14:paraId="3E6C9141" w14:textId="77777777" w:rsidR="006B173F" w:rsidRPr="006B173F" w:rsidRDefault="006B173F" w:rsidP="006B173F">
            <w:pPr>
              <w:ind w:left="187" w:hanging="187"/>
              <w:jc w:val="both"/>
              <w:rPr>
                <w:rFonts w:eastAsia="Times New Roman"/>
                <w:sz w:val="18"/>
                <w:szCs w:val="18"/>
                <w:lang w:val="es-ES"/>
              </w:rPr>
            </w:pPr>
            <w:r w:rsidRPr="006B173F">
              <w:rPr>
                <w:rFonts w:eastAsia="Times New Roman"/>
                <w:sz w:val="18"/>
                <w:szCs w:val="18"/>
                <w:u w:val="single"/>
                <w:lang w:val="es-ES"/>
              </w:rPr>
              <w:t>2</w:t>
            </w:r>
            <w:r w:rsidRPr="006B173F">
              <w:rPr>
                <w:rFonts w:eastAsia="Times New Roman"/>
                <w:sz w:val="18"/>
                <w:szCs w:val="18"/>
                <w:lang w:val="es-ES"/>
              </w:rPr>
              <w:t>/ En 2014 incluye los ingresos propios de Pemex y los derechos sobre hidrocarburos. En 2015 incluye los ingresos propios de Pemex, las transferencias del Fondo Mexicano del Petróleo para la Estabilización y el Desarrollo y el impuesto sobre la renta de contratistas y asignatarios por explotación de hidrocarburos</w:t>
            </w:r>
          </w:p>
          <w:p w14:paraId="660D3CE2" w14:textId="77777777" w:rsidR="006B173F" w:rsidRPr="006B173F" w:rsidRDefault="006B173F" w:rsidP="006B173F">
            <w:pPr>
              <w:jc w:val="both"/>
              <w:rPr>
                <w:rFonts w:eastAsia="Times New Roman"/>
                <w:sz w:val="18"/>
                <w:szCs w:val="18"/>
                <w:lang w:val="es-ES"/>
              </w:rPr>
            </w:pPr>
            <w:r w:rsidRPr="006B173F">
              <w:rPr>
                <w:rFonts w:eastAsia="Times New Roman"/>
                <w:sz w:val="18"/>
                <w:szCs w:val="18"/>
                <w:lang w:val="es-ES"/>
              </w:rPr>
              <w:t xml:space="preserve">FUENTE: </w:t>
            </w:r>
            <w:r w:rsidRPr="006B173F">
              <w:rPr>
                <w:rFonts w:eastAsia="Times New Roman"/>
                <w:sz w:val="18"/>
                <w:szCs w:val="18"/>
              </w:rPr>
              <w:t>Dirección General Adjunta de Estadística de la Hacienda Pública, UPEHP.</w:t>
            </w:r>
          </w:p>
        </w:tc>
      </w:tr>
    </w:tbl>
    <w:p w14:paraId="168D28FF" w14:textId="77777777" w:rsidR="006B173F" w:rsidRPr="006B173F" w:rsidRDefault="006B173F" w:rsidP="006B173F">
      <w:pPr>
        <w:spacing w:after="360" w:line="360" w:lineRule="auto"/>
        <w:ind w:right="-159"/>
        <w:jc w:val="both"/>
        <w:rPr>
          <w:rFonts w:eastAsia="Calibri"/>
          <w:sz w:val="26"/>
          <w:szCs w:val="26"/>
          <w:lang w:eastAsia="en-US"/>
        </w:rPr>
      </w:pPr>
    </w:p>
    <w:p w14:paraId="406A8D63" w14:textId="77777777" w:rsidR="006B173F" w:rsidRPr="006B173F" w:rsidRDefault="006B173F" w:rsidP="006B173F">
      <w:pPr>
        <w:spacing w:after="360" w:line="360" w:lineRule="auto"/>
        <w:ind w:right="-159"/>
        <w:jc w:val="both"/>
        <w:rPr>
          <w:rFonts w:eastAsia="Calibri"/>
          <w:b/>
          <w:sz w:val="26"/>
          <w:szCs w:val="26"/>
          <w:lang w:eastAsia="en-US"/>
        </w:rPr>
      </w:pPr>
      <w:r w:rsidRPr="006B173F">
        <w:rPr>
          <w:rFonts w:eastAsia="Calibri"/>
          <w:b/>
          <w:sz w:val="26"/>
          <w:szCs w:val="26"/>
          <w:lang w:eastAsia="en-US"/>
        </w:rPr>
        <w:t>Ingresos presupuestarios del sector público</w:t>
      </w:r>
    </w:p>
    <w:p w14:paraId="52BEE522"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Los ingresos presupuestarios del sector público a febrero de 2015 se ubicaron en          654 mil 547.2 millones de pesos, monto inferior en 1.9% en términos reales respecto al mismo período de 2014. La evolución de los principales rubros de ingresos fue la siguiente:</w:t>
      </w:r>
    </w:p>
    <w:p w14:paraId="00691ED9" w14:textId="77777777" w:rsidR="006B173F" w:rsidRPr="006B173F" w:rsidRDefault="006B173F" w:rsidP="003B27DE">
      <w:pPr>
        <w:numPr>
          <w:ilvl w:val="0"/>
          <w:numId w:val="37"/>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 xml:space="preserve">Los ingresos petroleros se ubicaron en 106 mil 556.7 millones de pesos, inferiores en 46.3% en términos reales a los de enero-febrero de 2014. Este resultado se explica por el menor precio promedio de exportación de la mezcla mexicana de petróleo, de 46.5 dólares por barril (dpb) comparado con 91.2 dpb durante el mismo período de 2014; por la menor producción de petróleo, en 8.3% </w:t>
      </w:r>
      <w:r w:rsidRPr="006B173F">
        <w:rPr>
          <w:rFonts w:eastAsia="Calibri"/>
          <w:sz w:val="26"/>
          <w:szCs w:val="26"/>
          <w:lang w:eastAsia="en-US"/>
        </w:rPr>
        <w:lastRenderedPageBreak/>
        <w:t>respecto al año anterior; así como por el menor precio del gas natural, en 8.7% respecto a enero-febrero de 2014. Estos efectos se compensaron parcialmente con la mayor producción de gas natural, en 16.1%, y la depreciación del tipo de cambio. Estos resultados no incluyen el pago de las coberturas petroleras adquiridas por el Gobierno de la República. En caso de que el precio promedio de 2015 de la mezcla mexicana sea inferior a los 79 dpb, el pago correspondiente a las coberturas petroleras ingresará en diciembre de este año.</w:t>
      </w:r>
    </w:p>
    <w:p w14:paraId="5BD127F9" w14:textId="77777777" w:rsidR="006B173F" w:rsidRPr="006B173F" w:rsidRDefault="006B173F" w:rsidP="003B27DE">
      <w:pPr>
        <w:numPr>
          <w:ilvl w:val="0"/>
          <w:numId w:val="37"/>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Los ingresos tributarios no petroleros ascendieron a 414 mil 626.8 millones de pesos, con un incremento real de 20.1% respecto a 2014. Destacan los crecimientos en la recaudación del Impuesto Especial sobre Producción y Servicios (IEPS), del impuesto a las importaciones, el Impuesto Sobre la Renta (ISR) y el Impuesto al Valor Agregado (IVA) de 272.7, 15.5, 5.9 y 5.5% en términos reales, respectivamente. Estos resultados favorables se explican, principalmente, por las medidas que conforman las reformas hacendaria y energética, así como por las medidas de administración tributaria adoptadas.</w:t>
      </w:r>
    </w:p>
    <w:p w14:paraId="01F75DB2" w14:textId="77777777" w:rsidR="006B173F" w:rsidRPr="006B173F" w:rsidRDefault="006B173F" w:rsidP="003B27DE">
      <w:pPr>
        <w:numPr>
          <w:ilvl w:val="0"/>
          <w:numId w:val="37"/>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Por su parte, los ingresos propios de la Comisión Federal de Electricidad (CFE), Instituto Mexicano del Seguro Social (IMSS) e Instituto de Seguridad y Servicios Sociales de los Trabajadores del Estado (ISSSTE) sumaron 99 mil 926.2 millones de pesos, monto que muestra un incremento de 0.9% en términos reales respecto a 2014. Esto se explica, principalmente, por mayores ingresos por cuotas a la seguridad social del IMSS, que resultaron en un crecimiento de los ingresos de ese organismo de 4.0% real.</w:t>
      </w:r>
    </w:p>
    <w:p w14:paraId="09D21630" w14:textId="77777777" w:rsidR="006B173F" w:rsidRPr="006B173F" w:rsidRDefault="006B173F" w:rsidP="003B27DE">
      <w:pPr>
        <w:numPr>
          <w:ilvl w:val="0"/>
          <w:numId w:val="37"/>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Los ingresos no tributarios del Gobierno Federal sumaron 33 mil 436.6 millones de pesos, lo que representa un aumento real de 35.3% debido a mayores ingresos por aprovechamientos.</w:t>
      </w:r>
    </w:p>
    <w:p w14:paraId="5BA9DC78" w14:textId="77777777" w:rsidR="006B173F" w:rsidRPr="006B173F" w:rsidRDefault="006B173F" w:rsidP="006B173F">
      <w:pPr>
        <w:spacing w:after="360" w:line="360" w:lineRule="auto"/>
        <w:ind w:right="-159"/>
        <w:jc w:val="both"/>
        <w:rPr>
          <w:rFonts w:eastAsia="Calibri"/>
          <w:sz w:val="26"/>
          <w:szCs w:val="26"/>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1189"/>
        <w:gridCol w:w="1197"/>
        <w:gridCol w:w="800"/>
        <w:gridCol w:w="813"/>
        <w:gridCol w:w="807"/>
      </w:tblGrid>
      <w:tr w:rsidR="006B173F" w:rsidRPr="00512C3D" w14:paraId="6DA7A3FA" w14:textId="77777777" w:rsidTr="006B173F">
        <w:trPr>
          <w:jc w:val="center"/>
        </w:trPr>
        <w:tc>
          <w:tcPr>
            <w:tcW w:w="8586" w:type="dxa"/>
            <w:gridSpan w:val="6"/>
            <w:tcBorders>
              <w:top w:val="nil"/>
              <w:left w:val="nil"/>
              <w:bottom w:val="single" w:sz="4" w:space="0" w:color="auto"/>
              <w:right w:val="nil"/>
            </w:tcBorders>
            <w:shd w:val="clear" w:color="auto" w:fill="auto"/>
          </w:tcPr>
          <w:p w14:paraId="1E7BDECC" w14:textId="77777777" w:rsidR="006B173F" w:rsidRPr="00512C3D" w:rsidRDefault="006B173F" w:rsidP="006B173F">
            <w:pPr>
              <w:jc w:val="center"/>
              <w:rPr>
                <w:rFonts w:eastAsia="Calibri"/>
                <w:b/>
                <w:sz w:val="20"/>
                <w:szCs w:val="20"/>
                <w:lang w:eastAsia="en-US"/>
              </w:rPr>
            </w:pPr>
            <w:r w:rsidRPr="00512C3D">
              <w:rPr>
                <w:rFonts w:eastAsia="Calibri"/>
                <w:b/>
                <w:sz w:val="20"/>
                <w:szCs w:val="20"/>
                <w:lang w:eastAsia="en-US"/>
              </w:rPr>
              <w:lastRenderedPageBreak/>
              <w:t>INGRESOS PRESUPUESTARIOS DEL SECTOR PÚBLICO</w:t>
            </w:r>
          </w:p>
          <w:p w14:paraId="111F024B" w14:textId="77777777" w:rsidR="006B173F" w:rsidRPr="00512C3D" w:rsidRDefault="006B173F" w:rsidP="006B173F">
            <w:pPr>
              <w:jc w:val="center"/>
              <w:rPr>
                <w:rFonts w:eastAsia="Calibri"/>
                <w:b/>
                <w:sz w:val="20"/>
                <w:szCs w:val="20"/>
                <w:lang w:eastAsia="en-US"/>
              </w:rPr>
            </w:pPr>
            <w:r w:rsidRPr="00512C3D">
              <w:rPr>
                <w:rFonts w:eastAsia="Calibri"/>
                <w:b/>
                <w:sz w:val="20"/>
                <w:szCs w:val="20"/>
                <w:lang w:eastAsia="en-US"/>
              </w:rPr>
              <w:t>-Millones de pesos-</w:t>
            </w:r>
          </w:p>
        </w:tc>
      </w:tr>
      <w:tr w:rsidR="006B173F" w:rsidRPr="00512C3D" w14:paraId="11C51870" w14:textId="77777777" w:rsidTr="006B173F">
        <w:trPr>
          <w:jc w:val="center"/>
        </w:trPr>
        <w:tc>
          <w:tcPr>
            <w:tcW w:w="37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A9884" w14:textId="77777777" w:rsidR="006B173F" w:rsidRPr="00512C3D" w:rsidRDefault="006B173F" w:rsidP="006B173F">
            <w:pPr>
              <w:jc w:val="center"/>
              <w:rPr>
                <w:rFonts w:eastAsia="Calibri"/>
                <w:b/>
                <w:sz w:val="18"/>
                <w:szCs w:val="18"/>
                <w:lang w:eastAsia="en-US"/>
              </w:rPr>
            </w:pPr>
            <w:r w:rsidRPr="00512C3D">
              <w:rPr>
                <w:rFonts w:eastAsia="Calibri"/>
                <w:b/>
                <w:sz w:val="18"/>
                <w:szCs w:val="18"/>
                <w:lang w:eastAsia="en-US"/>
              </w:rPr>
              <w:t>Concepto</w:t>
            </w:r>
          </w:p>
        </w:tc>
        <w:tc>
          <w:tcPr>
            <w:tcW w:w="2386" w:type="dxa"/>
            <w:gridSpan w:val="2"/>
            <w:tcBorders>
              <w:top w:val="single" w:sz="4" w:space="0" w:color="auto"/>
              <w:left w:val="single" w:sz="4" w:space="0" w:color="auto"/>
              <w:bottom w:val="single" w:sz="4" w:space="0" w:color="auto"/>
              <w:right w:val="single" w:sz="4" w:space="0" w:color="auto"/>
            </w:tcBorders>
            <w:shd w:val="clear" w:color="auto" w:fill="auto"/>
          </w:tcPr>
          <w:p w14:paraId="6FC9F2F7" w14:textId="77777777" w:rsidR="006B173F" w:rsidRPr="00512C3D" w:rsidRDefault="006B173F" w:rsidP="006B173F">
            <w:pPr>
              <w:jc w:val="center"/>
              <w:rPr>
                <w:rFonts w:eastAsia="Calibri"/>
                <w:b/>
                <w:sz w:val="18"/>
                <w:szCs w:val="18"/>
                <w:lang w:eastAsia="en-US"/>
              </w:rPr>
            </w:pPr>
            <w:r w:rsidRPr="00512C3D">
              <w:rPr>
                <w:rFonts w:eastAsia="Calibri"/>
                <w:b/>
                <w:sz w:val="18"/>
                <w:szCs w:val="18"/>
                <w:lang w:eastAsia="en-US"/>
              </w:rPr>
              <w:t>Enero-febrero</w:t>
            </w:r>
          </w:p>
        </w:tc>
        <w:tc>
          <w:tcPr>
            <w:tcW w:w="800" w:type="dxa"/>
            <w:tcBorders>
              <w:top w:val="single" w:sz="4" w:space="0" w:color="auto"/>
              <w:left w:val="single" w:sz="4" w:space="0" w:color="auto"/>
              <w:bottom w:val="nil"/>
              <w:right w:val="single" w:sz="4" w:space="0" w:color="auto"/>
            </w:tcBorders>
            <w:shd w:val="clear" w:color="auto" w:fill="auto"/>
          </w:tcPr>
          <w:p w14:paraId="317AE6F7" w14:textId="77777777" w:rsidR="006B173F" w:rsidRPr="00512C3D" w:rsidRDefault="006B173F" w:rsidP="006B173F">
            <w:pPr>
              <w:jc w:val="center"/>
              <w:rPr>
                <w:rFonts w:eastAsia="Calibri"/>
                <w:b/>
                <w:sz w:val="18"/>
                <w:szCs w:val="18"/>
                <w:lang w:eastAsia="en-US"/>
              </w:rPr>
            </w:pPr>
            <w:r w:rsidRPr="00512C3D">
              <w:rPr>
                <w:rFonts w:eastAsia="Calibri"/>
                <w:b/>
                <w:sz w:val="18"/>
                <w:szCs w:val="18"/>
                <w:lang w:eastAsia="en-US"/>
              </w:rPr>
              <w:t>Var. %</w:t>
            </w: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tcPr>
          <w:p w14:paraId="52FB67AC" w14:textId="77777777" w:rsidR="006B173F" w:rsidRPr="00512C3D" w:rsidRDefault="006B173F" w:rsidP="006B173F">
            <w:pPr>
              <w:jc w:val="center"/>
              <w:rPr>
                <w:rFonts w:eastAsia="Calibri"/>
                <w:b/>
                <w:sz w:val="18"/>
                <w:szCs w:val="18"/>
                <w:lang w:eastAsia="en-US"/>
              </w:rPr>
            </w:pPr>
            <w:r w:rsidRPr="00512C3D">
              <w:rPr>
                <w:rFonts w:eastAsia="Calibri"/>
                <w:b/>
                <w:sz w:val="18"/>
                <w:szCs w:val="18"/>
                <w:lang w:eastAsia="en-US"/>
              </w:rPr>
              <w:t>Composición %</w:t>
            </w:r>
          </w:p>
        </w:tc>
      </w:tr>
      <w:tr w:rsidR="006B173F" w:rsidRPr="00512C3D" w14:paraId="61CFEDC1" w14:textId="77777777" w:rsidTr="006B173F">
        <w:trPr>
          <w:jc w:val="center"/>
        </w:trPr>
        <w:tc>
          <w:tcPr>
            <w:tcW w:w="3780" w:type="dxa"/>
            <w:vMerge/>
            <w:tcBorders>
              <w:top w:val="single" w:sz="4" w:space="0" w:color="auto"/>
              <w:left w:val="single" w:sz="4" w:space="0" w:color="auto"/>
              <w:bottom w:val="single" w:sz="4" w:space="0" w:color="auto"/>
              <w:right w:val="single" w:sz="4" w:space="0" w:color="auto"/>
            </w:tcBorders>
            <w:shd w:val="clear" w:color="auto" w:fill="auto"/>
          </w:tcPr>
          <w:p w14:paraId="51474A31" w14:textId="77777777" w:rsidR="006B173F" w:rsidRPr="00512C3D" w:rsidRDefault="006B173F" w:rsidP="006B173F">
            <w:pPr>
              <w:jc w:val="center"/>
              <w:rPr>
                <w:rFonts w:eastAsia="Calibri"/>
                <w:b/>
                <w:sz w:val="18"/>
                <w:szCs w:val="18"/>
                <w:lang w:eastAsia="en-US"/>
              </w:rPr>
            </w:pPr>
          </w:p>
        </w:tc>
        <w:tc>
          <w:tcPr>
            <w:tcW w:w="1189" w:type="dxa"/>
            <w:tcBorders>
              <w:top w:val="single" w:sz="4" w:space="0" w:color="auto"/>
              <w:left w:val="single" w:sz="4" w:space="0" w:color="auto"/>
              <w:bottom w:val="single" w:sz="4" w:space="0" w:color="auto"/>
              <w:right w:val="single" w:sz="4" w:space="0" w:color="auto"/>
            </w:tcBorders>
            <w:shd w:val="clear" w:color="auto" w:fill="auto"/>
          </w:tcPr>
          <w:p w14:paraId="36F61AE9" w14:textId="77777777" w:rsidR="006B173F" w:rsidRPr="00512C3D" w:rsidRDefault="006B173F" w:rsidP="006B173F">
            <w:pPr>
              <w:jc w:val="center"/>
              <w:rPr>
                <w:rFonts w:eastAsia="Times New Roman"/>
                <w:b/>
                <w:sz w:val="18"/>
                <w:szCs w:val="18"/>
                <w:lang w:eastAsia="en-US"/>
              </w:rPr>
            </w:pPr>
            <w:r w:rsidRPr="00512C3D">
              <w:rPr>
                <w:rFonts w:eastAsia="Times New Roman"/>
                <w:b/>
                <w:sz w:val="18"/>
                <w:szCs w:val="18"/>
                <w:lang w:eastAsia="en-US"/>
              </w:rPr>
              <w:t>2014</w:t>
            </w:r>
            <w:r w:rsidRPr="00512C3D">
              <w:rPr>
                <w:rFonts w:eastAsia="Times New Roman"/>
                <w:b/>
                <w:sz w:val="18"/>
                <w:szCs w:val="18"/>
                <w:u w:val="single"/>
                <w:vertAlign w:val="superscript"/>
                <w:lang w:eastAsia="en-US"/>
              </w:rPr>
              <w:t>p</w:t>
            </w:r>
            <w:r w:rsidRPr="00512C3D">
              <w:rPr>
                <w:rFonts w:eastAsia="Times New Roman"/>
                <w:b/>
                <w:sz w:val="18"/>
                <w:szCs w:val="18"/>
                <w:vertAlign w:val="superscript"/>
                <w:lang w:eastAsia="en-US"/>
              </w:rPr>
              <w:t>/</w:t>
            </w:r>
          </w:p>
        </w:tc>
        <w:tc>
          <w:tcPr>
            <w:tcW w:w="1197" w:type="dxa"/>
            <w:tcBorders>
              <w:top w:val="single" w:sz="4" w:space="0" w:color="auto"/>
              <w:left w:val="single" w:sz="4" w:space="0" w:color="auto"/>
              <w:bottom w:val="single" w:sz="4" w:space="0" w:color="auto"/>
              <w:right w:val="single" w:sz="4" w:space="0" w:color="auto"/>
            </w:tcBorders>
            <w:shd w:val="clear" w:color="auto" w:fill="auto"/>
          </w:tcPr>
          <w:p w14:paraId="1A731FB5" w14:textId="77777777" w:rsidR="006B173F" w:rsidRPr="00512C3D" w:rsidRDefault="006B173F" w:rsidP="006B173F">
            <w:pPr>
              <w:jc w:val="center"/>
              <w:rPr>
                <w:rFonts w:eastAsia="Times New Roman"/>
                <w:b/>
                <w:sz w:val="18"/>
                <w:szCs w:val="18"/>
                <w:lang w:eastAsia="en-US"/>
              </w:rPr>
            </w:pPr>
            <w:r w:rsidRPr="00512C3D">
              <w:rPr>
                <w:rFonts w:eastAsia="Times New Roman"/>
                <w:b/>
                <w:sz w:val="18"/>
                <w:szCs w:val="18"/>
                <w:lang w:eastAsia="en-US"/>
              </w:rPr>
              <w:t>2015</w:t>
            </w:r>
            <w:r w:rsidRPr="00512C3D">
              <w:rPr>
                <w:rFonts w:eastAsia="Times New Roman"/>
                <w:b/>
                <w:sz w:val="18"/>
                <w:szCs w:val="18"/>
                <w:u w:val="single"/>
                <w:vertAlign w:val="superscript"/>
                <w:lang w:eastAsia="en-US"/>
              </w:rPr>
              <w:t>p</w:t>
            </w:r>
            <w:r w:rsidRPr="00512C3D">
              <w:rPr>
                <w:rFonts w:eastAsia="Times New Roman"/>
                <w:b/>
                <w:sz w:val="18"/>
                <w:szCs w:val="18"/>
                <w:vertAlign w:val="superscript"/>
                <w:lang w:eastAsia="en-US"/>
              </w:rPr>
              <w:t>/</w:t>
            </w:r>
          </w:p>
        </w:tc>
        <w:tc>
          <w:tcPr>
            <w:tcW w:w="800" w:type="dxa"/>
            <w:tcBorders>
              <w:top w:val="nil"/>
              <w:left w:val="single" w:sz="4" w:space="0" w:color="auto"/>
              <w:bottom w:val="single" w:sz="4" w:space="0" w:color="auto"/>
              <w:right w:val="single" w:sz="4" w:space="0" w:color="auto"/>
            </w:tcBorders>
            <w:shd w:val="clear" w:color="auto" w:fill="auto"/>
          </w:tcPr>
          <w:p w14:paraId="4D942C09" w14:textId="77777777" w:rsidR="006B173F" w:rsidRPr="00512C3D" w:rsidRDefault="006B173F" w:rsidP="006B173F">
            <w:pPr>
              <w:jc w:val="center"/>
              <w:rPr>
                <w:rFonts w:eastAsia="Calibri"/>
                <w:b/>
                <w:sz w:val="18"/>
                <w:szCs w:val="18"/>
                <w:lang w:eastAsia="en-US"/>
              </w:rPr>
            </w:pPr>
            <w:r w:rsidRPr="00512C3D">
              <w:rPr>
                <w:rFonts w:eastAsia="Calibri"/>
                <w:b/>
                <w:sz w:val="18"/>
                <w:szCs w:val="18"/>
                <w:lang w:eastAsia="en-US"/>
              </w:rPr>
              <w:t>real</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486A2179" w14:textId="77777777" w:rsidR="006B173F" w:rsidRPr="00512C3D" w:rsidRDefault="006B173F" w:rsidP="006B173F">
            <w:pPr>
              <w:jc w:val="center"/>
              <w:rPr>
                <w:rFonts w:eastAsia="Times New Roman"/>
                <w:b/>
                <w:sz w:val="18"/>
                <w:szCs w:val="18"/>
                <w:lang w:eastAsia="en-US"/>
              </w:rPr>
            </w:pPr>
            <w:r w:rsidRPr="00512C3D">
              <w:rPr>
                <w:rFonts w:eastAsia="Times New Roman"/>
                <w:b/>
                <w:sz w:val="18"/>
                <w:szCs w:val="18"/>
                <w:lang w:eastAsia="en-US"/>
              </w:rPr>
              <w:t>2014</w:t>
            </w:r>
            <w:r w:rsidRPr="00512C3D">
              <w:rPr>
                <w:rFonts w:eastAsia="Times New Roman"/>
                <w:b/>
                <w:sz w:val="18"/>
                <w:szCs w:val="18"/>
                <w:u w:val="single"/>
                <w:vertAlign w:val="superscript"/>
                <w:lang w:eastAsia="en-US"/>
              </w:rPr>
              <w:t>p</w:t>
            </w:r>
            <w:r w:rsidRPr="00512C3D">
              <w:rPr>
                <w:rFonts w:eastAsia="Times New Roman"/>
                <w:b/>
                <w:sz w:val="18"/>
                <w:szCs w:val="18"/>
                <w:vertAlign w:val="superscript"/>
                <w:lang w:eastAsia="en-US"/>
              </w:rPr>
              <w:t>/</w:t>
            </w:r>
          </w:p>
        </w:tc>
        <w:tc>
          <w:tcPr>
            <w:tcW w:w="807" w:type="dxa"/>
            <w:tcBorders>
              <w:top w:val="single" w:sz="4" w:space="0" w:color="auto"/>
              <w:left w:val="single" w:sz="4" w:space="0" w:color="auto"/>
              <w:bottom w:val="single" w:sz="4" w:space="0" w:color="auto"/>
              <w:right w:val="single" w:sz="4" w:space="0" w:color="auto"/>
            </w:tcBorders>
            <w:shd w:val="clear" w:color="auto" w:fill="auto"/>
          </w:tcPr>
          <w:p w14:paraId="2A92EE62" w14:textId="77777777" w:rsidR="006B173F" w:rsidRPr="00512C3D" w:rsidRDefault="006B173F" w:rsidP="006B173F">
            <w:pPr>
              <w:jc w:val="center"/>
              <w:rPr>
                <w:rFonts w:eastAsia="Times New Roman"/>
                <w:b/>
                <w:sz w:val="18"/>
                <w:szCs w:val="18"/>
                <w:lang w:eastAsia="en-US"/>
              </w:rPr>
            </w:pPr>
            <w:r w:rsidRPr="00512C3D">
              <w:rPr>
                <w:rFonts w:eastAsia="Times New Roman"/>
                <w:b/>
                <w:sz w:val="18"/>
                <w:szCs w:val="18"/>
                <w:lang w:eastAsia="en-US"/>
              </w:rPr>
              <w:t>2015</w:t>
            </w:r>
            <w:r w:rsidRPr="00512C3D">
              <w:rPr>
                <w:rFonts w:eastAsia="Times New Roman"/>
                <w:b/>
                <w:sz w:val="18"/>
                <w:szCs w:val="18"/>
                <w:u w:val="single"/>
                <w:vertAlign w:val="superscript"/>
                <w:lang w:eastAsia="en-US"/>
              </w:rPr>
              <w:t>p</w:t>
            </w:r>
            <w:r w:rsidRPr="00512C3D">
              <w:rPr>
                <w:rFonts w:eastAsia="Times New Roman"/>
                <w:b/>
                <w:sz w:val="18"/>
                <w:szCs w:val="18"/>
                <w:vertAlign w:val="superscript"/>
                <w:lang w:eastAsia="en-US"/>
              </w:rPr>
              <w:t>/</w:t>
            </w:r>
          </w:p>
        </w:tc>
      </w:tr>
      <w:tr w:rsidR="006B173F" w:rsidRPr="00512C3D" w14:paraId="277C85D9" w14:textId="77777777" w:rsidTr="006B173F">
        <w:trPr>
          <w:jc w:val="center"/>
        </w:trPr>
        <w:tc>
          <w:tcPr>
            <w:tcW w:w="3780" w:type="dxa"/>
            <w:tcBorders>
              <w:top w:val="single" w:sz="4" w:space="0" w:color="auto"/>
              <w:left w:val="single" w:sz="4" w:space="0" w:color="auto"/>
              <w:bottom w:val="nil"/>
              <w:right w:val="single" w:sz="4" w:space="0" w:color="auto"/>
            </w:tcBorders>
            <w:shd w:val="clear" w:color="auto" w:fill="auto"/>
          </w:tcPr>
          <w:p w14:paraId="00E1023F" w14:textId="77777777" w:rsidR="006B173F" w:rsidRPr="00512C3D" w:rsidRDefault="006B173F" w:rsidP="006B173F">
            <w:pPr>
              <w:rPr>
                <w:rFonts w:eastAsia="Calibri"/>
                <w:b/>
                <w:sz w:val="18"/>
                <w:szCs w:val="18"/>
                <w:lang w:eastAsia="en-US"/>
              </w:rPr>
            </w:pPr>
            <w:r w:rsidRPr="00512C3D">
              <w:rPr>
                <w:rFonts w:eastAsia="Calibri"/>
                <w:b/>
                <w:sz w:val="18"/>
                <w:szCs w:val="18"/>
                <w:lang w:eastAsia="en-US"/>
              </w:rPr>
              <w:t>INGRESOS PRESUPUESTARIOS (I+II)</w:t>
            </w:r>
          </w:p>
        </w:tc>
        <w:tc>
          <w:tcPr>
            <w:tcW w:w="1189" w:type="dxa"/>
            <w:tcBorders>
              <w:bottom w:val="nil"/>
            </w:tcBorders>
          </w:tcPr>
          <w:p w14:paraId="531FEB6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b/>
                <w:bCs/>
                <w:sz w:val="18"/>
                <w:szCs w:val="18"/>
                <w:lang w:eastAsia="en-US"/>
              </w:rPr>
              <w:t xml:space="preserve">647 791.5 </w:t>
            </w:r>
          </w:p>
        </w:tc>
        <w:tc>
          <w:tcPr>
            <w:tcW w:w="1197" w:type="dxa"/>
            <w:tcBorders>
              <w:bottom w:val="nil"/>
            </w:tcBorders>
          </w:tcPr>
          <w:p w14:paraId="0A9690F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b/>
                <w:bCs/>
                <w:sz w:val="18"/>
                <w:szCs w:val="18"/>
                <w:lang w:eastAsia="en-US"/>
              </w:rPr>
              <w:t xml:space="preserve">654 547.2 </w:t>
            </w:r>
          </w:p>
        </w:tc>
        <w:tc>
          <w:tcPr>
            <w:tcW w:w="800" w:type="dxa"/>
            <w:tcBorders>
              <w:bottom w:val="nil"/>
            </w:tcBorders>
          </w:tcPr>
          <w:p w14:paraId="4D43D15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b/>
                <w:bCs/>
                <w:sz w:val="18"/>
                <w:szCs w:val="18"/>
                <w:lang w:eastAsia="en-US"/>
              </w:rPr>
              <w:t xml:space="preserve">-1.9 </w:t>
            </w:r>
          </w:p>
        </w:tc>
        <w:tc>
          <w:tcPr>
            <w:tcW w:w="813" w:type="dxa"/>
            <w:tcBorders>
              <w:bottom w:val="nil"/>
            </w:tcBorders>
          </w:tcPr>
          <w:p w14:paraId="3DC28AE9"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b/>
                <w:bCs/>
                <w:sz w:val="18"/>
                <w:szCs w:val="18"/>
                <w:lang w:eastAsia="en-US"/>
              </w:rPr>
              <w:t xml:space="preserve">100.0 </w:t>
            </w:r>
          </w:p>
        </w:tc>
        <w:tc>
          <w:tcPr>
            <w:tcW w:w="807" w:type="dxa"/>
            <w:tcBorders>
              <w:bottom w:val="nil"/>
            </w:tcBorders>
          </w:tcPr>
          <w:p w14:paraId="6B57EF19"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b/>
                <w:bCs/>
                <w:sz w:val="18"/>
                <w:szCs w:val="18"/>
                <w:lang w:eastAsia="en-US"/>
              </w:rPr>
              <w:t xml:space="preserve">100.0 </w:t>
            </w:r>
          </w:p>
        </w:tc>
      </w:tr>
      <w:tr w:rsidR="006B173F" w:rsidRPr="00512C3D" w14:paraId="2CBA3343"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6F27A1BB" w14:textId="77777777" w:rsidR="006B173F" w:rsidRPr="00512C3D" w:rsidRDefault="006B173F" w:rsidP="006B173F">
            <w:pPr>
              <w:ind w:left="113"/>
              <w:rPr>
                <w:rFonts w:eastAsia="Calibri"/>
                <w:sz w:val="18"/>
                <w:szCs w:val="18"/>
                <w:vertAlign w:val="superscript"/>
                <w:lang w:eastAsia="en-US"/>
              </w:rPr>
            </w:pPr>
            <w:r w:rsidRPr="00512C3D">
              <w:rPr>
                <w:rFonts w:eastAsia="Calibri"/>
                <w:sz w:val="18"/>
                <w:szCs w:val="18"/>
                <w:lang w:eastAsia="en-US"/>
              </w:rPr>
              <w:t>I  Petroleros (a+b)</w:t>
            </w:r>
            <w:r w:rsidRPr="00512C3D">
              <w:rPr>
                <w:rFonts w:eastAsia="Calibri"/>
                <w:sz w:val="18"/>
                <w:szCs w:val="18"/>
                <w:u w:val="single"/>
                <w:vertAlign w:val="superscript"/>
                <w:lang w:eastAsia="en-US"/>
              </w:rPr>
              <w:t>1</w:t>
            </w:r>
            <w:r w:rsidRPr="00512C3D">
              <w:rPr>
                <w:rFonts w:eastAsia="Calibri"/>
                <w:sz w:val="18"/>
                <w:szCs w:val="18"/>
                <w:vertAlign w:val="superscript"/>
                <w:lang w:eastAsia="en-US"/>
              </w:rPr>
              <w:t>/</w:t>
            </w:r>
          </w:p>
        </w:tc>
        <w:tc>
          <w:tcPr>
            <w:tcW w:w="1189" w:type="dxa"/>
            <w:tcBorders>
              <w:top w:val="nil"/>
              <w:bottom w:val="nil"/>
            </w:tcBorders>
          </w:tcPr>
          <w:p w14:paraId="5E74833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192 554.6 </w:t>
            </w:r>
          </w:p>
        </w:tc>
        <w:tc>
          <w:tcPr>
            <w:tcW w:w="1197" w:type="dxa"/>
            <w:tcBorders>
              <w:top w:val="nil"/>
              <w:bottom w:val="nil"/>
            </w:tcBorders>
          </w:tcPr>
          <w:p w14:paraId="36DA8742"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106 556.7 </w:t>
            </w:r>
          </w:p>
        </w:tc>
        <w:tc>
          <w:tcPr>
            <w:tcW w:w="800" w:type="dxa"/>
            <w:tcBorders>
              <w:top w:val="nil"/>
              <w:bottom w:val="nil"/>
            </w:tcBorders>
          </w:tcPr>
          <w:p w14:paraId="7883C43E"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-46.3 </w:t>
            </w:r>
          </w:p>
        </w:tc>
        <w:tc>
          <w:tcPr>
            <w:tcW w:w="813" w:type="dxa"/>
            <w:tcBorders>
              <w:top w:val="nil"/>
              <w:bottom w:val="nil"/>
            </w:tcBorders>
          </w:tcPr>
          <w:p w14:paraId="720C737C"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29.7 </w:t>
            </w:r>
          </w:p>
        </w:tc>
        <w:tc>
          <w:tcPr>
            <w:tcW w:w="807" w:type="dxa"/>
            <w:tcBorders>
              <w:top w:val="nil"/>
              <w:bottom w:val="nil"/>
            </w:tcBorders>
          </w:tcPr>
          <w:p w14:paraId="62B74AB7"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16.3 </w:t>
            </w:r>
          </w:p>
        </w:tc>
      </w:tr>
      <w:tr w:rsidR="006B173F" w:rsidRPr="00512C3D" w14:paraId="1B84908E"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7E4D5093" w14:textId="77777777" w:rsidR="006B173F" w:rsidRPr="00512C3D" w:rsidRDefault="006B173F" w:rsidP="006B173F">
            <w:pPr>
              <w:ind w:left="284"/>
              <w:rPr>
                <w:rFonts w:eastAsia="Calibri"/>
                <w:sz w:val="18"/>
                <w:szCs w:val="18"/>
                <w:lang w:eastAsia="en-US"/>
              </w:rPr>
            </w:pPr>
            <w:r w:rsidRPr="00512C3D">
              <w:rPr>
                <w:rFonts w:eastAsia="Calibri"/>
                <w:sz w:val="18"/>
                <w:szCs w:val="18"/>
                <w:lang w:eastAsia="en-US"/>
              </w:rPr>
              <w:t>a) Pemex</w:t>
            </w:r>
          </w:p>
        </w:tc>
        <w:tc>
          <w:tcPr>
            <w:tcW w:w="1189" w:type="dxa"/>
            <w:tcBorders>
              <w:top w:val="nil"/>
              <w:bottom w:val="nil"/>
            </w:tcBorders>
          </w:tcPr>
          <w:p w14:paraId="7719234A"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59 527.3 </w:t>
            </w:r>
          </w:p>
        </w:tc>
        <w:tc>
          <w:tcPr>
            <w:tcW w:w="1197" w:type="dxa"/>
            <w:tcBorders>
              <w:top w:val="nil"/>
              <w:bottom w:val="nil"/>
            </w:tcBorders>
          </w:tcPr>
          <w:p w14:paraId="1A6BD2E2"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35 914.9 </w:t>
            </w:r>
          </w:p>
        </w:tc>
        <w:tc>
          <w:tcPr>
            <w:tcW w:w="800" w:type="dxa"/>
            <w:tcBorders>
              <w:top w:val="nil"/>
              <w:bottom w:val="nil"/>
            </w:tcBorders>
          </w:tcPr>
          <w:p w14:paraId="3585EB77"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-41.4 </w:t>
            </w:r>
          </w:p>
        </w:tc>
        <w:tc>
          <w:tcPr>
            <w:tcW w:w="813" w:type="dxa"/>
            <w:tcBorders>
              <w:top w:val="nil"/>
              <w:bottom w:val="nil"/>
            </w:tcBorders>
          </w:tcPr>
          <w:p w14:paraId="6DA6F30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9.2 </w:t>
            </w:r>
          </w:p>
        </w:tc>
        <w:tc>
          <w:tcPr>
            <w:tcW w:w="807" w:type="dxa"/>
            <w:tcBorders>
              <w:top w:val="nil"/>
              <w:bottom w:val="nil"/>
            </w:tcBorders>
          </w:tcPr>
          <w:p w14:paraId="38C5E8E6"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5.5 </w:t>
            </w:r>
          </w:p>
        </w:tc>
      </w:tr>
      <w:tr w:rsidR="006B173F" w:rsidRPr="00512C3D" w14:paraId="5405D92B"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47AA58A0" w14:textId="77777777" w:rsidR="006B173F" w:rsidRPr="00512C3D" w:rsidRDefault="006B173F" w:rsidP="006B173F">
            <w:pPr>
              <w:ind w:left="284"/>
              <w:rPr>
                <w:rFonts w:eastAsia="Calibri"/>
                <w:sz w:val="18"/>
                <w:szCs w:val="18"/>
                <w:lang w:eastAsia="en-US"/>
              </w:rPr>
            </w:pPr>
            <w:r w:rsidRPr="00512C3D">
              <w:rPr>
                <w:rFonts w:eastAsia="Calibri"/>
                <w:sz w:val="18"/>
                <w:szCs w:val="18"/>
                <w:lang w:eastAsia="en-US"/>
              </w:rPr>
              <w:t>b) Gobierno Federal</w:t>
            </w:r>
          </w:p>
        </w:tc>
        <w:tc>
          <w:tcPr>
            <w:tcW w:w="1189" w:type="dxa"/>
            <w:tcBorders>
              <w:top w:val="nil"/>
              <w:bottom w:val="nil"/>
            </w:tcBorders>
          </w:tcPr>
          <w:p w14:paraId="6D16BF13"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133 027.3 </w:t>
            </w:r>
          </w:p>
        </w:tc>
        <w:tc>
          <w:tcPr>
            <w:tcW w:w="1197" w:type="dxa"/>
            <w:tcBorders>
              <w:top w:val="nil"/>
              <w:bottom w:val="nil"/>
            </w:tcBorders>
          </w:tcPr>
          <w:p w14:paraId="1CAD2AA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70 641.8 </w:t>
            </w:r>
          </w:p>
        </w:tc>
        <w:tc>
          <w:tcPr>
            <w:tcW w:w="800" w:type="dxa"/>
            <w:tcBorders>
              <w:top w:val="nil"/>
              <w:bottom w:val="nil"/>
            </w:tcBorders>
          </w:tcPr>
          <w:p w14:paraId="3A49E7C4"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-48.5 </w:t>
            </w:r>
          </w:p>
        </w:tc>
        <w:tc>
          <w:tcPr>
            <w:tcW w:w="813" w:type="dxa"/>
            <w:tcBorders>
              <w:top w:val="nil"/>
              <w:bottom w:val="nil"/>
            </w:tcBorders>
          </w:tcPr>
          <w:p w14:paraId="404D0C4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20.5 </w:t>
            </w:r>
          </w:p>
        </w:tc>
        <w:tc>
          <w:tcPr>
            <w:tcW w:w="807" w:type="dxa"/>
            <w:tcBorders>
              <w:top w:val="nil"/>
              <w:bottom w:val="nil"/>
            </w:tcBorders>
          </w:tcPr>
          <w:p w14:paraId="66DD54A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10.8 </w:t>
            </w:r>
          </w:p>
        </w:tc>
      </w:tr>
      <w:tr w:rsidR="006B173F" w:rsidRPr="00512C3D" w14:paraId="4D6EEE83"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7F693789" w14:textId="77777777" w:rsidR="006B173F" w:rsidRPr="00512C3D" w:rsidRDefault="006B173F" w:rsidP="006B173F">
            <w:pPr>
              <w:ind w:left="454"/>
              <w:rPr>
                <w:rFonts w:eastAsia="Calibri"/>
                <w:sz w:val="18"/>
                <w:szCs w:val="18"/>
                <w:lang w:eastAsia="en-US"/>
              </w:rPr>
            </w:pPr>
            <w:r w:rsidRPr="00512C3D">
              <w:rPr>
                <w:rFonts w:eastAsia="Calibri"/>
                <w:sz w:val="18"/>
                <w:szCs w:val="18"/>
                <w:lang w:eastAsia="en-US"/>
              </w:rPr>
              <w:t>Fondo Mexicano del Petróleo</w:t>
            </w:r>
          </w:p>
        </w:tc>
        <w:tc>
          <w:tcPr>
            <w:tcW w:w="1189" w:type="dxa"/>
            <w:tcBorders>
              <w:top w:val="nil"/>
              <w:bottom w:val="nil"/>
            </w:tcBorders>
          </w:tcPr>
          <w:p w14:paraId="028478B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0.0 </w:t>
            </w:r>
          </w:p>
        </w:tc>
        <w:tc>
          <w:tcPr>
            <w:tcW w:w="1197" w:type="dxa"/>
            <w:tcBorders>
              <w:top w:val="nil"/>
              <w:bottom w:val="nil"/>
            </w:tcBorders>
          </w:tcPr>
          <w:p w14:paraId="2F178DFF"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59 818.5 </w:t>
            </w:r>
          </w:p>
        </w:tc>
        <w:tc>
          <w:tcPr>
            <w:tcW w:w="800" w:type="dxa"/>
            <w:tcBorders>
              <w:top w:val="nil"/>
              <w:bottom w:val="nil"/>
            </w:tcBorders>
          </w:tcPr>
          <w:p w14:paraId="35AF4C1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n.s. </w:t>
            </w:r>
          </w:p>
        </w:tc>
        <w:tc>
          <w:tcPr>
            <w:tcW w:w="813" w:type="dxa"/>
            <w:tcBorders>
              <w:top w:val="nil"/>
              <w:bottom w:val="nil"/>
            </w:tcBorders>
          </w:tcPr>
          <w:p w14:paraId="21075179"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0.0 </w:t>
            </w:r>
          </w:p>
        </w:tc>
        <w:tc>
          <w:tcPr>
            <w:tcW w:w="807" w:type="dxa"/>
            <w:tcBorders>
              <w:top w:val="nil"/>
              <w:bottom w:val="nil"/>
            </w:tcBorders>
          </w:tcPr>
          <w:p w14:paraId="30CD4222"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9.1 </w:t>
            </w:r>
          </w:p>
        </w:tc>
      </w:tr>
      <w:tr w:rsidR="006B173F" w:rsidRPr="00512C3D" w14:paraId="77557CE9"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33C10177" w14:textId="77777777" w:rsidR="006B173F" w:rsidRPr="00512C3D" w:rsidRDefault="006B173F" w:rsidP="006B173F">
            <w:pPr>
              <w:ind w:left="454"/>
              <w:rPr>
                <w:rFonts w:eastAsia="Calibri"/>
                <w:sz w:val="18"/>
                <w:szCs w:val="18"/>
                <w:lang w:eastAsia="en-US"/>
              </w:rPr>
            </w:pPr>
            <w:r w:rsidRPr="00512C3D">
              <w:rPr>
                <w:rFonts w:eastAsia="Calibri"/>
                <w:sz w:val="18"/>
                <w:szCs w:val="18"/>
                <w:lang w:eastAsia="en-US"/>
              </w:rPr>
              <w:t>ISR de contratistas y asignatarios</w:t>
            </w:r>
          </w:p>
        </w:tc>
        <w:tc>
          <w:tcPr>
            <w:tcW w:w="1189" w:type="dxa"/>
            <w:tcBorders>
              <w:top w:val="nil"/>
              <w:bottom w:val="nil"/>
            </w:tcBorders>
          </w:tcPr>
          <w:p w14:paraId="0E61FEF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0.0 </w:t>
            </w:r>
          </w:p>
        </w:tc>
        <w:tc>
          <w:tcPr>
            <w:tcW w:w="1197" w:type="dxa"/>
            <w:tcBorders>
              <w:top w:val="nil"/>
              <w:bottom w:val="nil"/>
            </w:tcBorders>
          </w:tcPr>
          <w:p w14:paraId="607ED6D7"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654.0 </w:t>
            </w:r>
          </w:p>
        </w:tc>
        <w:tc>
          <w:tcPr>
            <w:tcW w:w="800" w:type="dxa"/>
            <w:tcBorders>
              <w:top w:val="nil"/>
              <w:bottom w:val="nil"/>
            </w:tcBorders>
          </w:tcPr>
          <w:p w14:paraId="7D04EE23"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n.s. </w:t>
            </w:r>
          </w:p>
        </w:tc>
        <w:tc>
          <w:tcPr>
            <w:tcW w:w="813" w:type="dxa"/>
            <w:tcBorders>
              <w:top w:val="nil"/>
              <w:bottom w:val="nil"/>
            </w:tcBorders>
          </w:tcPr>
          <w:p w14:paraId="4130B478"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0.0 </w:t>
            </w:r>
          </w:p>
        </w:tc>
        <w:tc>
          <w:tcPr>
            <w:tcW w:w="807" w:type="dxa"/>
            <w:tcBorders>
              <w:top w:val="nil"/>
              <w:bottom w:val="nil"/>
            </w:tcBorders>
          </w:tcPr>
          <w:p w14:paraId="04882DE6"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0.1 </w:t>
            </w:r>
          </w:p>
        </w:tc>
      </w:tr>
      <w:tr w:rsidR="006B173F" w:rsidRPr="00512C3D" w14:paraId="2F8DFB2A"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25A5E4DE" w14:textId="77777777" w:rsidR="006B173F" w:rsidRPr="00512C3D" w:rsidRDefault="006B173F" w:rsidP="006B173F">
            <w:pPr>
              <w:ind w:left="454"/>
              <w:rPr>
                <w:rFonts w:eastAsia="Calibri"/>
                <w:sz w:val="18"/>
                <w:szCs w:val="18"/>
                <w:lang w:eastAsia="en-US"/>
              </w:rPr>
            </w:pPr>
            <w:r w:rsidRPr="00512C3D">
              <w:rPr>
                <w:rFonts w:eastAsia="Calibri"/>
                <w:sz w:val="18"/>
                <w:szCs w:val="18"/>
                <w:lang w:eastAsia="en-US"/>
              </w:rPr>
              <w:t>Derechos vigentes hasta 2014</w:t>
            </w:r>
          </w:p>
        </w:tc>
        <w:tc>
          <w:tcPr>
            <w:tcW w:w="1189" w:type="dxa"/>
            <w:tcBorders>
              <w:top w:val="nil"/>
              <w:bottom w:val="nil"/>
            </w:tcBorders>
          </w:tcPr>
          <w:p w14:paraId="6849D39D"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133 027.3 </w:t>
            </w:r>
          </w:p>
        </w:tc>
        <w:tc>
          <w:tcPr>
            <w:tcW w:w="1197" w:type="dxa"/>
            <w:tcBorders>
              <w:top w:val="nil"/>
              <w:bottom w:val="nil"/>
            </w:tcBorders>
          </w:tcPr>
          <w:p w14:paraId="73482C5D"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10 169.2 </w:t>
            </w:r>
          </w:p>
        </w:tc>
        <w:tc>
          <w:tcPr>
            <w:tcW w:w="800" w:type="dxa"/>
            <w:tcBorders>
              <w:top w:val="nil"/>
              <w:bottom w:val="nil"/>
            </w:tcBorders>
          </w:tcPr>
          <w:p w14:paraId="32DACF11"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-92.6 </w:t>
            </w:r>
          </w:p>
        </w:tc>
        <w:tc>
          <w:tcPr>
            <w:tcW w:w="813" w:type="dxa"/>
            <w:tcBorders>
              <w:top w:val="nil"/>
              <w:bottom w:val="nil"/>
            </w:tcBorders>
          </w:tcPr>
          <w:p w14:paraId="0F468C94"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20.5 </w:t>
            </w:r>
          </w:p>
        </w:tc>
        <w:tc>
          <w:tcPr>
            <w:tcW w:w="807" w:type="dxa"/>
            <w:tcBorders>
              <w:top w:val="nil"/>
              <w:bottom w:val="nil"/>
            </w:tcBorders>
          </w:tcPr>
          <w:p w14:paraId="208BD598"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1.6 </w:t>
            </w:r>
          </w:p>
        </w:tc>
      </w:tr>
      <w:tr w:rsidR="006B173F" w:rsidRPr="00512C3D" w14:paraId="0EB7AC15"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74E95704" w14:textId="77777777" w:rsidR="006B173F" w:rsidRPr="00512C3D" w:rsidRDefault="006B173F" w:rsidP="006B173F">
            <w:pPr>
              <w:ind w:left="113"/>
              <w:rPr>
                <w:rFonts w:eastAsia="Calibri"/>
                <w:sz w:val="18"/>
                <w:szCs w:val="18"/>
                <w:lang w:eastAsia="en-US"/>
              </w:rPr>
            </w:pPr>
            <w:r w:rsidRPr="00512C3D">
              <w:rPr>
                <w:rFonts w:eastAsia="Calibri"/>
                <w:sz w:val="18"/>
                <w:szCs w:val="18"/>
                <w:lang w:eastAsia="en-US"/>
              </w:rPr>
              <w:t>II. No petroleros (c+d)</w:t>
            </w:r>
          </w:p>
        </w:tc>
        <w:tc>
          <w:tcPr>
            <w:tcW w:w="1189" w:type="dxa"/>
            <w:tcBorders>
              <w:top w:val="nil"/>
              <w:bottom w:val="nil"/>
            </w:tcBorders>
          </w:tcPr>
          <w:p w14:paraId="36BC2FB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455 236.9 </w:t>
            </w:r>
          </w:p>
        </w:tc>
        <w:tc>
          <w:tcPr>
            <w:tcW w:w="1197" w:type="dxa"/>
            <w:tcBorders>
              <w:top w:val="nil"/>
              <w:bottom w:val="nil"/>
            </w:tcBorders>
          </w:tcPr>
          <w:p w14:paraId="6C7F2B50"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547 990.5 </w:t>
            </w:r>
          </w:p>
        </w:tc>
        <w:tc>
          <w:tcPr>
            <w:tcW w:w="800" w:type="dxa"/>
            <w:tcBorders>
              <w:top w:val="nil"/>
              <w:bottom w:val="nil"/>
            </w:tcBorders>
          </w:tcPr>
          <w:p w14:paraId="65AD7FDD"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16.8 </w:t>
            </w:r>
          </w:p>
        </w:tc>
        <w:tc>
          <w:tcPr>
            <w:tcW w:w="813" w:type="dxa"/>
            <w:tcBorders>
              <w:top w:val="nil"/>
              <w:bottom w:val="nil"/>
            </w:tcBorders>
          </w:tcPr>
          <w:p w14:paraId="4C0F3F64"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70.3 </w:t>
            </w:r>
          </w:p>
        </w:tc>
        <w:tc>
          <w:tcPr>
            <w:tcW w:w="807" w:type="dxa"/>
            <w:tcBorders>
              <w:top w:val="nil"/>
              <w:bottom w:val="nil"/>
            </w:tcBorders>
          </w:tcPr>
          <w:p w14:paraId="7FFFADB3"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83.7 </w:t>
            </w:r>
          </w:p>
        </w:tc>
      </w:tr>
      <w:tr w:rsidR="006B173F" w:rsidRPr="00512C3D" w14:paraId="329CE98E"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37516571" w14:textId="77777777" w:rsidR="006B173F" w:rsidRPr="00512C3D" w:rsidRDefault="006B173F" w:rsidP="006B173F">
            <w:pPr>
              <w:ind w:left="284"/>
              <w:rPr>
                <w:rFonts w:eastAsia="Calibri"/>
                <w:sz w:val="18"/>
                <w:szCs w:val="18"/>
                <w:lang w:eastAsia="en-US"/>
              </w:rPr>
            </w:pPr>
            <w:r w:rsidRPr="00512C3D">
              <w:rPr>
                <w:rFonts w:eastAsia="Calibri"/>
                <w:sz w:val="18"/>
                <w:szCs w:val="18"/>
                <w:lang w:eastAsia="en-US"/>
              </w:rPr>
              <w:t>c) Gobierno Federal</w:t>
            </w:r>
          </w:p>
        </w:tc>
        <w:tc>
          <w:tcPr>
            <w:tcW w:w="1189" w:type="dxa"/>
            <w:tcBorders>
              <w:top w:val="nil"/>
              <w:bottom w:val="nil"/>
            </w:tcBorders>
          </w:tcPr>
          <w:p w14:paraId="48AD624A"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359 155.7 </w:t>
            </w:r>
          </w:p>
        </w:tc>
        <w:tc>
          <w:tcPr>
            <w:tcW w:w="1197" w:type="dxa"/>
            <w:tcBorders>
              <w:top w:val="nil"/>
              <w:bottom w:val="nil"/>
            </w:tcBorders>
          </w:tcPr>
          <w:p w14:paraId="3EA07A3D"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448 064.4 </w:t>
            </w:r>
          </w:p>
        </w:tc>
        <w:tc>
          <w:tcPr>
            <w:tcW w:w="800" w:type="dxa"/>
            <w:tcBorders>
              <w:top w:val="nil"/>
              <w:bottom w:val="nil"/>
            </w:tcBorders>
          </w:tcPr>
          <w:p w14:paraId="2D7E495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21.1 </w:t>
            </w:r>
          </w:p>
        </w:tc>
        <w:tc>
          <w:tcPr>
            <w:tcW w:w="813" w:type="dxa"/>
            <w:tcBorders>
              <w:top w:val="nil"/>
              <w:bottom w:val="nil"/>
            </w:tcBorders>
          </w:tcPr>
          <w:p w14:paraId="60D00D2E"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55.4 </w:t>
            </w:r>
          </w:p>
        </w:tc>
        <w:tc>
          <w:tcPr>
            <w:tcW w:w="807" w:type="dxa"/>
            <w:tcBorders>
              <w:top w:val="nil"/>
              <w:bottom w:val="nil"/>
            </w:tcBorders>
          </w:tcPr>
          <w:p w14:paraId="28968C9B"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68.5 </w:t>
            </w:r>
          </w:p>
        </w:tc>
      </w:tr>
      <w:tr w:rsidR="006B173F" w:rsidRPr="00512C3D" w14:paraId="4A8DE91B"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48B8BEDB" w14:textId="77777777" w:rsidR="006B173F" w:rsidRPr="00512C3D" w:rsidRDefault="006B173F" w:rsidP="006B173F">
            <w:pPr>
              <w:ind w:left="454"/>
              <w:rPr>
                <w:rFonts w:eastAsia="Calibri"/>
                <w:sz w:val="18"/>
                <w:szCs w:val="18"/>
                <w:lang w:eastAsia="en-US"/>
              </w:rPr>
            </w:pPr>
            <w:r w:rsidRPr="00512C3D">
              <w:rPr>
                <w:rFonts w:eastAsia="Calibri"/>
                <w:sz w:val="18"/>
                <w:szCs w:val="18"/>
                <w:lang w:eastAsia="en-US"/>
              </w:rPr>
              <w:t>Tributarios</w:t>
            </w:r>
          </w:p>
        </w:tc>
        <w:tc>
          <w:tcPr>
            <w:tcW w:w="1189" w:type="dxa"/>
            <w:tcBorders>
              <w:top w:val="nil"/>
              <w:bottom w:val="nil"/>
            </w:tcBorders>
          </w:tcPr>
          <w:p w14:paraId="727EC254"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335 168.1 </w:t>
            </w:r>
          </w:p>
        </w:tc>
        <w:tc>
          <w:tcPr>
            <w:tcW w:w="1197" w:type="dxa"/>
            <w:tcBorders>
              <w:top w:val="nil"/>
              <w:bottom w:val="nil"/>
            </w:tcBorders>
          </w:tcPr>
          <w:p w14:paraId="03F20A81"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414 626.8 </w:t>
            </w:r>
          </w:p>
        </w:tc>
        <w:tc>
          <w:tcPr>
            <w:tcW w:w="800" w:type="dxa"/>
            <w:tcBorders>
              <w:top w:val="nil"/>
              <w:bottom w:val="nil"/>
            </w:tcBorders>
          </w:tcPr>
          <w:p w14:paraId="77899F3F"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20.1 </w:t>
            </w:r>
          </w:p>
        </w:tc>
        <w:tc>
          <w:tcPr>
            <w:tcW w:w="813" w:type="dxa"/>
            <w:tcBorders>
              <w:top w:val="nil"/>
              <w:bottom w:val="nil"/>
            </w:tcBorders>
          </w:tcPr>
          <w:p w14:paraId="75AF306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51.7 </w:t>
            </w:r>
          </w:p>
        </w:tc>
        <w:tc>
          <w:tcPr>
            <w:tcW w:w="807" w:type="dxa"/>
            <w:tcBorders>
              <w:top w:val="nil"/>
              <w:bottom w:val="nil"/>
            </w:tcBorders>
          </w:tcPr>
          <w:p w14:paraId="5CE14E83"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63.3 </w:t>
            </w:r>
          </w:p>
        </w:tc>
      </w:tr>
      <w:tr w:rsidR="006B173F" w:rsidRPr="00512C3D" w14:paraId="25D60AE5"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413491C4"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ISR</w:t>
            </w:r>
          </w:p>
        </w:tc>
        <w:tc>
          <w:tcPr>
            <w:tcW w:w="1189" w:type="dxa"/>
            <w:tcBorders>
              <w:top w:val="nil"/>
              <w:bottom w:val="nil"/>
            </w:tcBorders>
          </w:tcPr>
          <w:p w14:paraId="18C8E7B1"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184 995.4 </w:t>
            </w:r>
          </w:p>
        </w:tc>
        <w:tc>
          <w:tcPr>
            <w:tcW w:w="1197" w:type="dxa"/>
            <w:tcBorders>
              <w:top w:val="nil"/>
              <w:bottom w:val="nil"/>
            </w:tcBorders>
          </w:tcPr>
          <w:p w14:paraId="6E6D42D2"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201 945.9 </w:t>
            </w:r>
          </w:p>
        </w:tc>
        <w:tc>
          <w:tcPr>
            <w:tcW w:w="800" w:type="dxa"/>
            <w:tcBorders>
              <w:top w:val="nil"/>
              <w:bottom w:val="nil"/>
            </w:tcBorders>
          </w:tcPr>
          <w:p w14:paraId="70A9641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5.9 </w:t>
            </w:r>
          </w:p>
        </w:tc>
        <w:tc>
          <w:tcPr>
            <w:tcW w:w="813" w:type="dxa"/>
            <w:tcBorders>
              <w:top w:val="nil"/>
              <w:bottom w:val="nil"/>
            </w:tcBorders>
          </w:tcPr>
          <w:p w14:paraId="2D72365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28.6 </w:t>
            </w:r>
          </w:p>
        </w:tc>
        <w:tc>
          <w:tcPr>
            <w:tcW w:w="807" w:type="dxa"/>
            <w:tcBorders>
              <w:top w:val="nil"/>
              <w:bottom w:val="nil"/>
            </w:tcBorders>
          </w:tcPr>
          <w:p w14:paraId="119BECBF"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30.9 </w:t>
            </w:r>
          </w:p>
        </w:tc>
      </w:tr>
      <w:tr w:rsidR="006B173F" w:rsidRPr="00512C3D" w14:paraId="4C56CB9C"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1F6CACD0"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IVA</w:t>
            </w:r>
          </w:p>
        </w:tc>
        <w:tc>
          <w:tcPr>
            <w:tcW w:w="1189" w:type="dxa"/>
            <w:tcBorders>
              <w:top w:val="nil"/>
              <w:bottom w:val="nil"/>
            </w:tcBorders>
          </w:tcPr>
          <w:p w14:paraId="272E7531"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122 868.1 </w:t>
            </w:r>
          </w:p>
        </w:tc>
        <w:tc>
          <w:tcPr>
            <w:tcW w:w="1197" w:type="dxa"/>
            <w:tcBorders>
              <w:top w:val="nil"/>
              <w:bottom w:val="nil"/>
            </w:tcBorders>
          </w:tcPr>
          <w:p w14:paraId="3C52932C"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133 528.5 </w:t>
            </w:r>
          </w:p>
        </w:tc>
        <w:tc>
          <w:tcPr>
            <w:tcW w:w="800" w:type="dxa"/>
            <w:tcBorders>
              <w:top w:val="nil"/>
              <w:bottom w:val="nil"/>
            </w:tcBorders>
          </w:tcPr>
          <w:p w14:paraId="46E4C591"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5.5 </w:t>
            </w:r>
          </w:p>
        </w:tc>
        <w:tc>
          <w:tcPr>
            <w:tcW w:w="813" w:type="dxa"/>
            <w:tcBorders>
              <w:top w:val="nil"/>
              <w:bottom w:val="nil"/>
            </w:tcBorders>
          </w:tcPr>
          <w:p w14:paraId="517C298F"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19.0 </w:t>
            </w:r>
          </w:p>
        </w:tc>
        <w:tc>
          <w:tcPr>
            <w:tcW w:w="807" w:type="dxa"/>
            <w:tcBorders>
              <w:top w:val="nil"/>
              <w:bottom w:val="nil"/>
            </w:tcBorders>
          </w:tcPr>
          <w:p w14:paraId="235343A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20.4 </w:t>
            </w:r>
          </w:p>
        </w:tc>
      </w:tr>
      <w:tr w:rsidR="006B173F" w:rsidRPr="00512C3D" w14:paraId="620C27CD"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38CE0221"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IEPS</w:t>
            </w:r>
          </w:p>
        </w:tc>
        <w:tc>
          <w:tcPr>
            <w:tcW w:w="1189" w:type="dxa"/>
            <w:tcBorders>
              <w:top w:val="nil"/>
              <w:bottom w:val="nil"/>
            </w:tcBorders>
          </w:tcPr>
          <w:p w14:paraId="52347963"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17 555.5 </w:t>
            </w:r>
          </w:p>
        </w:tc>
        <w:tc>
          <w:tcPr>
            <w:tcW w:w="1197" w:type="dxa"/>
            <w:tcBorders>
              <w:top w:val="nil"/>
              <w:bottom w:val="nil"/>
            </w:tcBorders>
          </w:tcPr>
          <w:p w14:paraId="4221BD28"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67 416.4 </w:t>
            </w:r>
          </w:p>
        </w:tc>
        <w:tc>
          <w:tcPr>
            <w:tcW w:w="800" w:type="dxa"/>
            <w:tcBorders>
              <w:top w:val="nil"/>
              <w:bottom w:val="nil"/>
            </w:tcBorders>
          </w:tcPr>
          <w:p w14:paraId="23627A7B"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272.7 </w:t>
            </w:r>
          </w:p>
        </w:tc>
        <w:tc>
          <w:tcPr>
            <w:tcW w:w="813" w:type="dxa"/>
            <w:tcBorders>
              <w:top w:val="nil"/>
              <w:bottom w:val="nil"/>
            </w:tcBorders>
          </w:tcPr>
          <w:p w14:paraId="14017716"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2.7 </w:t>
            </w:r>
          </w:p>
        </w:tc>
        <w:tc>
          <w:tcPr>
            <w:tcW w:w="807" w:type="dxa"/>
            <w:tcBorders>
              <w:top w:val="nil"/>
              <w:bottom w:val="nil"/>
            </w:tcBorders>
          </w:tcPr>
          <w:p w14:paraId="17423587"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10.3 </w:t>
            </w:r>
          </w:p>
        </w:tc>
      </w:tr>
      <w:tr w:rsidR="006B173F" w:rsidRPr="00512C3D" w14:paraId="0717DB71"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075FC050"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Importaciones</w:t>
            </w:r>
          </w:p>
        </w:tc>
        <w:tc>
          <w:tcPr>
            <w:tcW w:w="1189" w:type="dxa"/>
            <w:tcBorders>
              <w:top w:val="nil"/>
              <w:bottom w:val="nil"/>
            </w:tcBorders>
          </w:tcPr>
          <w:p w14:paraId="7F61728F"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5 353.3 </w:t>
            </w:r>
          </w:p>
        </w:tc>
        <w:tc>
          <w:tcPr>
            <w:tcW w:w="1197" w:type="dxa"/>
            <w:tcBorders>
              <w:top w:val="nil"/>
              <w:bottom w:val="nil"/>
            </w:tcBorders>
          </w:tcPr>
          <w:p w14:paraId="5874CC50"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6 370.2 </w:t>
            </w:r>
          </w:p>
        </w:tc>
        <w:tc>
          <w:tcPr>
            <w:tcW w:w="800" w:type="dxa"/>
            <w:tcBorders>
              <w:top w:val="nil"/>
              <w:bottom w:val="nil"/>
            </w:tcBorders>
          </w:tcPr>
          <w:p w14:paraId="13CEF65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15.5 </w:t>
            </w:r>
          </w:p>
        </w:tc>
        <w:tc>
          <w:tcPr>
            <w:tcW w:w="813" w:type="dxa"/>
            <w:tcBorders>
              <w:top w:val="nil"/>
              <w:bottom w:val="nil"/>
            </w:tcBorders>
          </w:tcPr>
          <w:p w14:paraId="05CD93A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0.8 </w:t>
            </w:r>
          </w:p>
        </w:tc>
        <w:tc>
          <w:tcPr>
            <w:tcW w:w="807" w:type="dxa"/>
            <w:tcBorders>
              <w:top w:val="nil"/>
              <w:bottom w:val="nil"/>
            </w:tcBorders>
          </w:tcPr>
          <w:p w14:paraId="3AA5D637"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1.0 </w:t>
            </w:r>
          </w:p>
        </w:tc>
      </w:tr>
      <w:tr w:rsidR="006B173F" w:rsidRPr="00512C3D" w14:paraId="55C47F11"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394A4143"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IAEEH</w:t>
            </w:r>
            <w:r w:rsidRPr="00512C3D">
              <w:rPr>
                <w:rFonts w:eastAsia="Calibri"/>
                <w:sz w:val="18"/>
                <w:szCs w:val="18"/>
                <w:u w:val="single"/>
                <w:vertAlign w:val="superscript"/>
                <w:lang w:eastAsia="en-US"/>
              </w:rPr>
              <w:t>2</w:t>
            </w:r>
            <w:r w:rsidRPr="00512C3D">
              <w:rPr>
                <w:rFonts w:eastAsia="Calibri"/>
                <w:sz w:val="18"/>
                <w:szCs w:val="18"/>
                <w:vertAlign w:val="superscript"/>
                <w:lang w:eastAsia="en-US"/>
              </w:rPr>
              <w:t>/</w:t>
            </w:r>
          </w:p>
        </w:tc>
        <w:tc>
          <w:tcPr>
            <w:tcW w:w="1189" w:type="dxa"/>
            <w:tcBorders>
              <w:top w:val="nil"/>
              <w:bottom w:val="nil"/>
            </w:tcBorders>
          </w:tcPr>
          <w:p w14:paraId="70B67E8E"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0.0 </w:t>
            </w:r>
          </w:p>
        </w:tc>
        <w:tc>
          <w:tcPr>
            <w:tcW w:w="1197" w:type="dxa"/>
            <w:tcBorders>
              <w:top w:val="nil"/>
              <w:bottom w:val="nil"/>
            </w:tcBorders>
          </w:tcPr>
          <w:p w14:paraId="2421F7E9"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340.2 </w:t>
            </w:r>
          </w:p>
        </w:tc>
        <w:tc>
          <w:tcPr>
            <w:tcW w:w="800" w:type="dxa"/>
            <w:tcBorders>
              <w:top w:val="nil"/>
              <w:bottom w:val="nil"/>
            </w:tcBorders>
          </w:tcPr>
          <w:p w14:paraId="463075E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n.s. </w:t>
            </w:r>
          </w:p>
        </w:tc>
        <w:tc>
          <w:tcPr>
            <w:tcW w:w="813" w:type="dxa"/>
            <w:tcBorders>
              <w:top w:val="nil"/>
              <w:bottom w:val="nil"/>
            </w:tcBorders>
          </w:tcPr>
          <w:p w14:paraId="4C279A46"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0.0 </w:t>
            </w:r>
          </w:p>
        </w:tc>
        <w:tc>
          <w:tcPr>
            <w:tcW w:w="807" w:type="dxa"/>
            <w:tcBorders>
              <w:top w:val="nil"/>
              <w:bottom w:val="nil"/>
            </w:tcBorders>
          </w:tcPr>
          <w:p w14:paraId="26563F3B"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0.1 </w:t>
            </w:r>
          </w:p>
        </w:tc>
      </w:tr>
      <w:tr w:rsidR="006B173F" w:rsidRPr="00512C3D" w14:paraId="554C4A6E"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6E4B97B3" w14:textId="77777777" w:rsidR="006B173F" w:rsidRPr="00512C3D" w:rsidRDefault="006B173F" w:rsidP="006B173F">
            <w:pPr>
              <w:ind w:left="567"/>
              <w:rPr>
                <w:rFonts w:eastAsia="Calibri"/>
                <w:sz w:val="18"/>
                <w:szCs w:val="18"/>
                <w:lang w:eastAsia="en-US"/>
              </w:rPr>
            </w:pPr>
            <w:r w:rsidRPr="00512C3D">
              <w:rPr>
                <w:rFonts w:eastAsia="Calibri"/>
                <w:sz w:val="18"/>
                <w:szCs w:val="18"/>
                <w:lang w:eastAsia="en-US"/>
              </w:rPr>
              <w:t>Otros impuestos</w:t>
            </w:r>
            <w:r w:rsidRPr="00512C3D">
              <w:rPr>
                <w:rFonts w:eastAsia="Calibri"/>
                <w:sz w:val="18"/>
                <w:szCs w:val="18"/>
                <w:u w:val="single"/>
                <w:vertAlign w:val="superscript"/>
                <w:lang w:eastAsia="en-US"/>
              </w:rPr>
              <w:t>3</w:t>
            </w:r>
            <w:r w:rsidRPr="00512C3D">
              <w:rPr>
                <w:rFonts w:eastAsia="Calibri"/>
                <w:sz w:val="18"/>
                <w:szCs w:val="18"/>
                <w:vertAlign w:val="superscript"/>
                <w:lang w:eastAsia="en-US"/>
              </w:rPr>
              <w:t>/</w:t>
            </w:r>
          </w:p>
        </w:tc>
        <w:tc>
          <w:tcPr>
            <w:tcW w:w="1189" w:type="dxa"/>
            <w:tcBorders>
              <w:top w:val="nil"/>
              <w:bottom w:val="nil"/>
            </w:tcBorders>
          </w:tcPr>
          <w:p w14:paraId="650796C6"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4 395.7 </w:t>
            </w:r>
          </w:p>
        </w:tc>
        <w:tc>
          <w:tcPr>
            <w:tcW w:w="1197" w:type="dxa"/>
            <w:tcBorders>
              <w:top w:val="nil"/>
              <w:bottom w:val="nil"/>
            </w:tcBorders>
          </w:tcPr>
          <w:p w14:paraId="6F3027BB"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5 025.4 </w:t>
            </w:r>
          </w:p>
        </w:tc>
        <w:tc>
          <w:tcPr>
            <w:tcW w:w="800" w:type="dxa"/>
            <w:tcBorders>
              <w:top w:val="nil"/>
              <w:bottom w:val="nil"/>
            </w:tcBorders>
          </w:tcPr>
          <w:p w14:paraId="2571302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11.0 </w:t>
            </w:r>
          </w:p>
        </w:tc>
        <w:tc>
          <w:tcPr>
            <w:tcW w:w="813" w:type="dxa"/>
            <w:tcBorders>
              <w:top w:val="nil"/>
              <w:bottom w:val="nil"/>
            </w:tcBorders>
          </w:tcPr>
          <w:p w14:paraId="02517F39"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0.7 </w:t>
            </w:r>
          </w:p>
        </w:tc>
        <w:tc>
          <w:tcPr>
            <w:tcW w:w="807" w:type="dxa"/>
            <w:tcBorders>
              <w:top w:val="nil"/>
              <w:bottom w:val="nil"/>
            </w:tcBorders>
          </w:tcPr>
          <w:p w14:paraId="0B8A578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0.8 </w:t>
            </w:r>
          </w:p>
        </w:tc>
      </w:tr>
      <w:tr w:rsidR="006B173F" w:rsidRPr="00512C3D" w14:paraId="0233EC1D"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6AD048DF" w14:textId="77777777" w:rsidR="006B173F" w:rsidRPr="00512C3D" w:rsidRDefault="006B173F" w:rsidP="006B173F">
            <w:pPr>
              <w:ind w:left="454"/>
              <w:rPr>
                <w:rFonts w:eastAsia="Calibri"/>
                <w:sz w:val="18"/>
                <w:szCs w:val="18"/>
                <w:lang w:eastAsia="en-US"/>
              </w:rPr>
            </w:pPr>
            <w:r w:rsidRPr="00512C3D">
              <w:rPr>
                <w:rFonts w:eastAsia="Calibri"/>
                <w:sz w:val="18"/>
                <w:szCs w:val="18"/>
                <w:lang w:eastAsia="en-US"/>
              </w:rPr>
              <w:t>No tributarios</w:t>
            </w:r>
          </w:p>
        </w:tc>
        <w:tc>
          <w:tcPr>
            <w:tcW w:w="1189" w:type="dxa"/>
            <w:tcBorders>
              <w:top w:val="nil"/>
              <w:bottom w:val="nil"/>
            </w:tcBorders>
          </w:tcPr>
          <w:p w14:paraId="53888BA5"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23 987.6 </w:t>
            </w:r>
          </w:p>
        </w:tc>
        <w:tc>
          <w:tcPr>
            <w:tcW w:w="1197" w:type="dxa"/>
            <w:tcBorders>
              <w:top w:val="nil"/>
              <w:bottom w:val="nil"/>
            </w:tcBorders>
          </w:tcPr>
          <w:p w14:paraId="386223DD"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33 437.6 </w:t>
            </w:r>
          </w:p>
        </w:tc>
        <w:tc>
          <w:tcPr>
            <w:tcW w:w="800" w:type="dxa"/>
            <w:tcBorders>
              <w:top w:val="nil"/>
              <w:bottom w:val="nil"/>
            </w:tcBorders>
          </w:tcPr>
          <w:p w14:paraId="2806B6D8"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35.3 </w:t>
            </w:r>
          </w:p>
        </w:tc>
        <w:tc>
          <w:tcPr>
            <w:tcW w:w="813" w:type="dxa"/>
            <w:tcBorders>
              <w:top w:val="nil"/>
              <w:bottom w:val="nil"/>
            </w:tcBorders>
          </w:tcPr>
          <w:p w14:paraId="24A142F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3.7 </w:t>
            </w:r>
          </w:p>
        </w:tc>
        <w:tc>
          <w:tcPr>
            <w:tcW w:w="807" w:type="dxa"/>
            <w:tcBorders>
              <w:top w:val="nil"/>
              <w:bottom w:val="nil"/>
            </w:tcBorders>
          </w:tcPr>
          <w:p w14:paraId="599347BC"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5.1 </w:t>
            </w:r>
          </w:p>
        </w:tc>
      </w:tr>
      <w:tr w:rsidR="006B173F" w:rsidRPr="00512C3D" w14:paraId="332794E0" w14:textId="77777777" w:rsidTr="006B173F">
        <w:trPr>
          <w:jc w:val="center"/>
        </w:trPr>
        <w:tc>
          <w:tcPr>
            <w:tcW w:w="3780" w:type="dxa"/>
            <w:tcBorders>
              <w:top w:val="nil"/>
              <w:left w:val="single" w:sz="4" w:space="0" w:color="auto"/>
              <w:bottom w:val="nil"/>
              <w:right w:val="single" w:sz="4" w:space="0" w:color="auto"/>
            </w:tcBorders>
            <w:shd w:val="clear" w:color="auto" w:fill="auto"/>
          </w:tcPr>
          <w:p w14:paraId="1CF5CED5" w14:textId="77777777" w:rsidR="006B173F" w:rsidRPr="00512C3D" w:rsidRDefault="006B173F" w:rsidP="006B173F">
            <w:pPr>
              <w:ind w:left="284"/>
              <w:rPr>
                <w:rFonts w:eastAsia="Calibri"/>
                <w:sz w:val="18"/>
                <w:szCs w:val="18"/>
                <w:vertAlign w:val="superscript"/>
                <w:lang w:eastAsia="en-US"/>
              </w:rPr>
            </w:pPr>
            <w:r w:rsidRPr="00512C3D">
              <w:rPr>
                <w:rFonts w:eastAsia="Calibri"/>
                <w:sz w:val="18"/>
                <w:szCs w:val="18"/>
                <w:lang w:eastAsia="en-US"/>
              </w:rPr>
              <w:t>d) Organismos y empresas</w:t>
            </w:r>
            <w:r w:rsidRPr="00512C3D">
              <w:rPr>
                <w:rFonts w:eastAsia="Calibri"/>
                <w:sz w:val="18"/>
                <w:szCs w:val="18"/>
                <w:u w:val="single"/>
                <w:vertAlign w:val="superscript"/>
                <w:lang w:eastAsia="en-US"/>
              </w:rPr>
              <w:t>4</w:t>
            </w:r>
            <w:r w:rsidRPr="00512C3D">
              <w:rPr>
                <w:rFonts w:eastAsia="Calibri"/>
                <w:sz w:val="18"/>
                <w:szCs w:val="18"/>
                <w:vertAlign w:val="superscript"/>
                <w:lang w:eastAsia="en-US"/>
              </w:rPr>
              <w:t>/</w:t>
            </w:r>
          </w:p>
        </w:tc>
        <w:tc>
          <w:tcPr>
            <w:tcW w:w="1189" w:type="dxa"/>
            <w:tcBorders>
              <w:top w:val="nil"/>
            </w:tcBorders>
          </w:tcPr>
          <w:p w14:paraId="1D0C80FF"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96 081.2 </w:t>
            </w:r>
          </w:p>
        </w:tc>
        <w:tc>
          <w:tcPr>
            <w:tcW w:w="1197" w:type="dxa"/>
            <w:tcBorders>
              <w:top w:val="nil"/>
            </w:tcBorders>
          </w:tcPr>
          <w:p w14:paraId="03BD8949" w14:textId="77777777" w:rsidR="006B173F" w:rsidRPr="00512C3D" w:rsidRDefault="006B173F" w:rsidP="006B173F">
            <w:pPr>
              <w:autoSpaceDE w:val="0"/>
              <w:autoSpaceDN w:val="0"/>
              <w:adjustRightInd w:val="0"/>
              <w:ind w:right="170"/>
              <w:jc w:val="right"/>
              <w:rPr>
                <w:rFonts w:eastAsia="Calibri"/>
                <w:sz w:val="18"/>
                <w:szCs w:val="18"/>
                <w:lang w:eastAsia="en-US"/>
              </w:rPr>
            </w:pPr>
            <w:r w:rsidRPr="00512C3D">
              <w:rPr>
                <w:rFonts w:eastAsia="Calibri"/>
                <w:sz w:val="18"/>
                <w:szCs w:val="18"/>
                <w:lang w:eastAsia="en-US"/>
              </w:rPr>
              <w:t xml:space="preserve">99 926.2 </w:t>
            </w:r>
          </w:p>
        </w:tc>
        <w:tc>
          <w:tcPr>
            <w:tcW w:w="800" w:type="dxa"/>
            <w:tcBorders>
              <w:top w:val="nil"/>
            </w:tcBorders>
          </w:tcPr>
          <w:p w14:paraId="19487669"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0.9 </w:t>
            </w:r>
          </w:p>
        </w:tc>
        <w:tc>
          <w:tcPr>
            <w:tcW w:w="813" w:type="dxa"/>
            <w:tcBorders>
              <w:top w:val="nil"/>
            </w:tcBorders>
          </w:tcPr>
          <w:p w14:paraId="0BF3592A"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14.8 </w:t>
            </w:r>
          </w:p>
        </w:tc>
        <w:tc>
          <w:tcPr>
            <w:tcW w:w="807" w:type="dxa"/>
            <w:tcBorders>
              <w:top w:val="nil"/>
            </w:tcBorders>
          </w:tcPr>
          <w:p w14:paraId="11B04A85" w14:textId="77777777" w:rsidR="006B173F" w:rsidRPr="00512C3D" w:rsidRDefault="006B173F" w:rsidP="006B173F">
            <w:pPr>
              <w:autoSpaceDE w:val="0"/>
              <w:autoSpaceDN w:val="0"/>
              <w:adjustRightInd w:val="0"/>
              <w:ind w:right="113"/>
              <w:jc w:val="right"/>
              <w:rPr>
                <w:rFonts w:eastAsia="Calibri"/>
                <w:sz w:val="18"/>
                <w:szCs w:val="18"/>
                <w:lang w:eastAsia="en-US"/>
              </w:rPr>
            </w:pPr>
            <w:r w:rsidRPr="00512C3D">
              <w:rPr>
                <w:rFonts w:eastAsia="Calibri"/>
                <w:sz w:val="18"/>
                <w:szCs w:val="18"/>
                <w:lang w:eastAsia="en-US"/>
              </w:rPr>
              <w:t xml:space="preserve">15.3 </w:t>
            </w:r>
          </w:p>
        </w:tc>
      </w:tr>
      <w:tr w:rsidR="006B173F" w:rsidRPr="006B173F" w14:paraId="43655331" w14:textId="77777777" w:rsidTr="006B173F">
        <w:trPr>
          <w:jc w:val="center"/>
        </w:trPr>
        <w:tc>
          <w:tcPr>
            <w:tcW w:w="8586" w:type="dxa"/>
            <w:gridSpan w:val="6"/>
            <w:tcBorders>
              <w:top w:val="single" w:sz="4" w:space="0" w:color="auto"/>
              <w:left w:val="nil"/>
              <w:bottom w:val="nil"/>
              <w:right w:val="nil"/>
            </w:tcBorders>
            <w:shd w:val="clear" w:color="auto" w:fill="auto"/>
          </w:tcPr>
          <w:p w14:paraId="108736EF" w14:textId="77777777" w:rsidR="006B173F" w:rsidRPr="006B173F" w:rsidRDefault="006B173F" w:rsidP="006B173F">
            <w:pPr>
              <w:jc w:val="both"/>
              <w:rPr>
                <w:rFonts w:eastAsia="Calibri"/>
                <w:sz w:val="18"/>
                <w:szCs w:val="18"/>
                <w:lang w:eastAsia="en-US"/>
              </w:rPr>
            </w:pPr>
            <w:r w:rsidRPr="006B173F">
              <w:rPr>
                <w:rFonts w:eastAsia="Calibri"/>
                <w:sz w:val="18"/>
                <w:szCs w:val="18"/>
                <w:lang w:eastAsia="en-US"/>
              </w:rPr>
              <w:t>Nota: Las sumas parciales y las variaciones pueden no coincidir debido al redondeo.</w:t>
            </w:r>
          </w:p>
          <w:p w14:paraId="2E533555" w14:textId="77777777" w:rsidR="006B173F" w:rsidRPr="006B173F" w:rsidRDefault="006B173F" w:rsidP="006B173F">
            <w:pPr>
              <w:jc w:val="both"/>
              <w:rPr>
                <w:rFonts w:eastAsia="Calibri"/>
                <w:sz w:val="18"/>
                <w:szCs w:val="18"/>
                <w:lang w:eastAsia="en-US"/>
              </w:rPr>
            </w:pPr>
            <w:r w:rsidRPr="006B173F">
              <w:rPr>
                <w:rFonts w:eastAsia="Calibri"/>
                <w:sz w:val="18"/>
                <w:szCs w:val="18"/>
                <w:u w:val="single"/>
                <w:lang w:eastAsia="en-US"/>
              </w:rPr>
              <w:t>p</w:t>
            </w:r>
            <w:r w:rsidRPr="006B173F">
              <w:rPr>
                <w:rFonts w:eastAsia="Calibri"/>
                <w:sz w:val="18"/>
                <w:szCs w:val="18"/>
                <w:lang w:eastAsia="en-US"/>
              </w:rPr>
              <w:t>/ Cifras preliminares.</w:t>
            </w:r>
          </w:p>
          <w:p w14:paraId="4931D4CC" w14:textId="77777777" w:rsidR="006B173F" w:rsidRPr="006B173F" w:rsidRDefault="006B173F" w:rsidP="006B173F">
            <w:pPr>
              <w:jc w:val="both"/>
              <w:rPr>
                <w:rFonts w:eastAsia="Calibri"/>
                <w:sz w:val="18"/>
                <w:szCs w:val="18"/>
                <w:lang w:eastAsia="en-US"/>
              </w:rPr>
            </w:pPr>
            <w:r w:rsidRPr="006B173F">
              <w:rPr>
                <w:rFonts w:eastAsia="Calibri"/>
                <w:sz w:val="18"/>
                <w:szCs w:val="18"/>
                <w:lang w:eastAsia="en-US"/>
              </w:rPr>
              <w:t>n.s.: no significativo.</w:t>
            </w:r>
          </w:p>
          <w:p w14:paraId="17BD6490" w14:textId="77777777" w:rsidR="006B173F" w:rsidRPr="006B173F" w:rsidRDefault="006B173F" w:rsidP="006B173F">
            <w:pPr>
              <w:ind w:left="170" w:hanging="170"/>
              <w:jc w:val="both"/>
              <w:rPr>
                <w:rFonts w:eastAsia="Calibri"/>
                <w:sz w:val="18"/>
                <w:szCs w:val="18"/>
                <w:lang w:eastAsia="en-US"/>
              </w:rPr>
            </w:pPr>
            <w:r w:rsidRPr="006B173F">
              <w:rPr>
                <w:rFonts w:eastAsia="Calibri"/>
                <w:sz w:val="18"/>
                <w:szCs w:val="18"/>
                <w:u w:val="single"/>
                <w:lang w:eastAsia="en-US"/>
              </w:rPr>
              <w:t>1</w:t>
            </w:r>
            <w:r w:rsidRPr="006B173F">
              <w:rPr>
                <w:rFonts w:eastAsia="Calibri"/>
                <w:sz w:val="18"/>
                <w:szCs w:val="18"/>
                <w:lang w:eastAsia="en-US"/>
              </w:rPr>
              <w:t>/ En 2014 incluye los ingresos propios de Pemex y los derechos sobre hidrocarburos. En 2015 incluye los ingresos propios de Pemex, las transferencias del Fondo Mexicano del Petróleo para la Estabilización y el Desarrollo y el impuesto sobre la renta de contratistas y asignatarios por explotación de hidrocarburos.</w:t>
            </w:r>
          </w:p>
          <w:p w14:paraId="57C7A29B" w14:textId="77777777" w:rsidR="006B173F" w:rsidRPr="006B173F" w:rsidRDefault="006B173F" w:rsidP="006B173F">
            <w:pPr>
              <w:ind w:left="187" w:hanging="187"/>
              <w:jc w:val="both"/>
              <w:rPr>
                <w:rFonts w:eastAsia="Calibri"/>
                <w:sz w:val="18"/>
                <w:szCs w:val="18"/>
                <w:lang w:eastAsia="en-US"/>
              </w:rPr>
            </w:pPr>
            <w:r w:rsidRPr="006B173F">
              <w:rPr>
                <w:rFonts w:eastAsia="Calibri"/>
                <w:sz w:val="18"/>
                <w:szCs w:val="18"/>
                <w:u w:val="single"/>
                <w:lang w:eastAsia="en-US"/>
              </w:rPr>
              <w:t>2</w:t>
            </w:r>
            <w:r w:rsidRPr="006B173F">
              <w:rPr>
                <w:rFonts w:eastAsia="Calibri"/>
                <w:sz w:val="18"/>
                <w:szCs w:val="18"/>
                <w:lang w:eastAsia="en-US"/>
              </w:rPr>
              <w:t>/ impuesto por la actividad de exploración y extracción de hidrocarburos.</w:t>
            </w:r>
          </w:p>
          <w:p w14:paraId="20B5FA4A" w14:textId="77777777" w:rsidR="006B173F" w:rsidRPr="006B173F" w:rsidRDefault="006B173F" w:rsidP="006B173F">
            <w:pPr>
              <w:ind w:left="187" w:hanging="187"/>
              <w:jc w:val="both"/>
              <w:rPr>
                <w:rFonts w:eastAsia="Calibri"/>
                <w:sz w:val="18"/>
                <w:szCs w:val="18"/>
                <w:lang w:eastAsia="en-US"/>
              </w:rPr>
            </w:pPr>
            <w:r w:rsidRPr="006B173F">
              <w:rPr>
                <w:rFonts w:eastAsia="Calibri"/>
                <w:sz w:val="18"/>
                <w:szCs w:val="18"/>
                <w:u w:val="single"/>
                <w:lang w:eastAsia="en-US"/>
              </w:rPr>
              <w:t>3</w:t>
            </w:r>
            <w:r w:rsidRPr="006B173F">
              <w:rPr>
                <w:rFonts w:eastAsia="Calibri"/>
                <w:sz w:val="18"/>
                <w:szCs w:val="18"/>
                <w:lang w:eastAsia="en-US"/>
              </w:rPr>
              <w:t>/ Incluye los impuestos sobre automóviles nuevos, exportaciones, a los rendimientos petroleros, no comprendidos en las fracciones anteriores y accesorios.</w:t>
            </w:r>
          </w:p>
          <w:p w14:paraId="004FA488" w14:textId="77777777" w:rsidR="006B173F" w:rsidRPr="006B173F" w:rsidRDefault="006B173F" w:rsidP="006B173F">
            <w:pPr>
              <w:ind w:left="187" w:hanging="187"/>
              <w:jc w:val="both"/>
              <w:rPr>
                <w:rFonts w:eastAsia="Calibri"/>
                <w:sz w:val="18"/>
                <w:szCs w:val="18"/>
                <w:lang w:eastAsia="en-US"/>
              </w:rPr>
            </w:pPr>
            <w:r w:rsidRPr="006B173F">
              <w:rPr>
                <w:rFonts w:eastAsia="Calibri"/>
                <w:sz w:val="18"/>
                <w:szCs w:val="18"/>
                <w:u w:val="single"/>
                <w:lang w:eastAsia="en-US"/>
              </w:rPr>
              <w:t>4</w:t>
            </w:r>
            <w:r w:rsidRPr="006B173F">
              <w:rPr>
                <w:rFonts w:eastAsia="Calibri"/>
                <w:sz w:val="18"/>
                <w:szCs w:val="18"/>
                <w:lang w:eastAsia="en-US"/>
              </w:rPr>
              <w:t>/ Excluye las aportaciones del Gobierno Federal al ISSSTE.</w:t>
            </w:r>
          </w:p>
          <w:p w14:paraId="0A679900" w14:textId="77777777" w:rsidR="006B173F" w:rsidRPr="006B173F" w:rsidRDefault="006B173F" w:rsidP="006B173F">
            <w:pPr>
              <w:ind w:left="227" w:hanging="227"/>
              <w:jc w:val="both"/>
              <w:rPr>
                <w:rFonts w:eastAsia="Calibri"/>
                <w:sz w:val="18"/>
                <w:szCs w:val="18"/>
                <w:lang w:eastAsia="en-US"/>
              </w:rPr>
            </w:pPr>
            <w:r w:rsidRPr="006B173F">
              <w:rPr>
                <w:rFonts w:eastAsia="Calibri"/>
                <w:sz w:val="18"/>
                <w:szCs w:val="18"/>
                <w:lang w:eastAsia="en-US"/>
              </w:rPr>
              <w:t xml:space="preserve">FUENTE: </w:t>
            </w:r>
            <w:r w:rsidRPr="006B173F">
              <w:rPr>
                <w:rFonts w:eastAsia="Times New Roman"/>
                <w:sz w:val="18"/>
                <w:szCs w:val="18"/>
                <w:lang w:eastAsia="en-US"/>
              </w:rPr>
              <w:t>Dirección General Adjunta de Estadística de la Hacienda Pública, UPEHP.</w:t>
            </w:r>
          </w:p>
        </w:tc>
      </w:tr>
    </w:tbl>
    <w:p w14:paraId="21355DE1" w14:textId="77777777" w:rsidR="006B173F" w:rsidRPr="006B173F" w:rsidRDefault="006B173F" w:rsidP="006B173F">
      <w:pPr>
        <w:spacing w:after="360" w:line="360" w:lineRule="auto"/>
        <w:ind w:right="-159"/>
        <w:jc w:val="center"/>
        <w:rPr>
          <w:rFonts w:eastAsia="Calibri"/>
          <w:sz w:val="26"/>
          <w:szCs w:val="26"/>
          <w:lang w:eastAsia="en-US"/>
        </w:rPr>
      </w:pPr>
    </w:p>
    <w:p w14:paraId="175F3830" w14:textId="77777777" w:rsidR="006B173F" w:rsidRPr="006B173F" w:rsidRDefault="006B173F" w:rsidP="006B173F">
      <w:pPr>
        <w:spacing w:after="360" w:line="360" w:lineRule="auto"/>
        <w:ind w:right="-159"/>
        <w:jc w:val="both"/>
        <w:rPr>
          <w:rFonts w:eastAsia="Calibri"/>
          <w:b/>
          <w:sz w:val="26"/>
          <w:szCs w:val="26"/>
          <w:lang w:eastAsia="en-US"/>
        </w:rPr>
      </w:pPr>
      <w:r w:rsidRPr="006B173F">
        <w:rPr>
          <w:rFonts w:eastAsia="Calibri"/>
          <w:b/>
          <w:sz w:val="26"/>
          <w:szCs w:val="26"/>
          <w:lang w:eastAsia="en-US"/>
        </w:rPr>
        <w:t>Gasto neto presupuestario del sector público</w:t>
      </w:r>
    </w:p>
    <w:p w14:paraId="3AFB4CCC" w14:textId="67F4E727" w:rsid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Durante enero-febrero de 2015</w:t>
      </w:r>
      <w:r w:rsidR="00AA4CFE">
        <w:rPr>
          <w:rFonts w:eastAsia="Calibri"/>
          <w:sz w:val="26"/>
          <w:szCs w:val="26"/>
          <w:lang w:eastAsia="en-US"/>
        </w:rPr>
        <w:t>,</w:t>
      </w:r>
      <w:r w:rsidRPr="006B173F">
        <w:rPr>
          <w:rFonts w:eastAsia="Calibri"/>
          <w:sz w:val="26"/>
          <w:szCs w:val="26"/>
          <w:lang w:eastAsia="en-US"/>
        </w:rPr>
        <w:t xml:space="preserve"> el gasto neto presupuestario del sector público ascendió a 810 mil 951.2 millones de pesos, monto superior al de enero-febrero del año anterior en 11.7% real. El gasto neto pagado en febrero registró un crecimiento real anual de 4.2% real contra 18.1% observado en el mes de enero. Este comportamiento refleja, entre otros, el registro en enero de las aportaciones a los fondos de estabilización provenientes del Fondo Mexicano del Petróleo para la Estabilización y el Desarrollo, cuyos pagos equivalentes se realizaban en el transcurso del ejercicio en años anteriores.</w:t>
      </w:r>
    </w:p>
    <w:p w14:paraId="7FA3718A" w14:textId="77777777" w:rsidR="00512C3D" w:rsidRPr="006B173F" w:rsidRDefault="00512C3D" w:rsidP="006B173F">
      <w:pPr>
        <w:spacing w:after="360" w:line="360" w:lineRule="auto"/>
        <w:ind w:right="-159"/>
        <w:jc w:val="both"/>
        <w:rPr>
          <w:rFonts w:eastAsia="Calibri"/>
          <w:sz w:val="26"/>
          <w:szCs w:val="26"/>
          <w:lang w:eastAsia="en-US"/>
        </w:rPr>
      </w:pPr>
    </w:p>
    <w:p w14:paraId="55BE1343"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lastRenderedPageBreak/>
        <w:t>Sobresale lo siguiente:</w:t>
      </w:r>
    </w:p>
    <w:p w14:paraId="77F5D36B" w14:textId="77777777" w:rsidR="006B173F" w:rsidRPr="006B173F" w:rsidRDefault="006B173F" w:rsidP="003B27DE">
      <w:pPr>
        <w:numPr>
          <w:ilvl w:val="0"/>
          <w:numId w:val="38"/>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El gasto de operación, incluyendo los servicios personales, disminuyó en 5.0% en términos reales.</w:t>
      </w:r>
    </w:p>
    <w:p w14:paraId="2CBCA729" w14:textId="77777777" w:rsidR="006B173F" w:rsidRPr="006B173F" w:rsidRDefault="006B173F" w:rsidP="003B27DE">
      <w:pPr>
        <w:numPr>
          <w:ilvl w:val="0"/>
          <w:numId w:val="38"/>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El gasto de inversión física aumentó 14.2% y en el gasto en subsidios, transferencias y aportaciones corrientes de 40.8%, ambos respecto a enero-febrero de 2014.</w:t>
      </w:r>
    </w:p>
    <w:p w14:paraId="5C6589F6" w14:textId="3954B0CA" w:rsidR="006B173F" w:rsidRPr="006B173F" w:rsidRDefault="006B173F" w:rsidP="003B27DE">
      <w:pPr>
        <w:numPr>
          <w:ilvl w:val="0"/>
          <w:numId w:val="38"/>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Durante enero-febrero</w:t>
      </w:r>
      <w:r w:rsidR="00AA4CFE">
        <w:rPr>
          <w:rFonts w:eastAsia="Calibri"/>
          <w:sz w:val="26"/>
          <w:szCs w:val="26"/>
          <w:lang w:eastAsia="en-US"/>
        </w:rPr>
        <w:t xml:space="preserve"> de 2015,</w:t>
      </w:r>
      <w:r w:rsidRPr="006B173F">
        <w:rPr>
          <w:rFonts w:eastAsia="Calibri"/>
          <w:sz w:val="26"/>
          <w:szCs w:val="26"/>
          <w:lang w:eastAsia="en-US"/>
        </w:rPr>
        <w:t xml:space="preserve"> el gasto programable sumó 630 mil 721.7 millones de pesos.</w:t>
      </w:r>
    </w:p>
    <w:p w14:paraId="3E6A99CE" w14:textId="77777777" w:rsidR="006B173F" w:rsidRPr="006B173F" w:rsidRDefault="006B173F" w:rsidP="003B27DE">
      <w:pPr>
        <w:numPr>
          <w:ilvl w:val="0"/>
          <w:numId w:val="38"/>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En el caso de las dependencias del Gobierno Federal su gasto registró un incremento real en febrero de 16.7%, cifra más moderada que la registrada en enero de 58.1 por ciento.</w:t>
      </w:r>
    </w:p>
    <w:p w14:paraId="1A9B3BD8" w14:textId="010F0543" w:rsidR="006B173F" w:rsidRPr="006B173F" w:rsidRDefault="006B173F" w:rsidP="003B27DE">
      <w:pPr>
        <w:numPr>
          <w:ilvl w:val="0"/>
          <w:numId w:val="38"/>
        </w:numPr>
        <w:spacing w:after="360" w:line="360" w:lineRule="auto"/>
        <w:ind w:left="714" w:right="-159" w:hanging="357"/>
        <w:jc w:val="both"/>
        <w:rPr>
          <w:rFonts w:eastAsia="Calibri"/>
          <w:sz w:val="26"/>
          <w:szCs w:val="26"/>
          <w:lang w:eastAsia="en-US"/>
        </w:rPr>
      </w:pPr>
      <w:r w:rsidRPr="006B173F">
        <w:rPr>
          <w:rFonts w:eastAsia="Calibri"/>
          <w:sz w:val="26"/>
          <w:szCs w:val="26"/>
          <w:lang w:eastAsia="en-US"/>
        </w:rPr>
        <w:t xml:space="preserve">En enero-febrero </w:t>
      </w:r>
      <w:r w:rsidR="00AA4CFE">
        <w:rPr>
          <w:rFonts w:eastAsia="Calibri"/>
          <w:sz w:val="26"/>
          <w:szCs w:val="26"/>
          <w:lang w:eastAsia="en-US"/>
        </w:rPr>
        <w:t xml:space="preserve">del presente año, </w:t>
      </w:r>
      <w:r w:rsidRPr="006B173F">
        <w:rPr>
          <w:rFonts w:eastAsia="Calibri"/>
          <w:sz w:val="26"/>
          <w:szCs w:val="26"/>
          <w:lang w:eastAsia="en-US"/>
        </w:rPr>
        <w:t>los recursos canalizados a las entidades federativas y municipios a través de participaciones, aportaciones y otras transferencias disminuyeron 2.5% real. La disminución real obedece a menores aportaciones para la nómina del magisterio en 18.8% y a menores participaciones federales de 6.0%, debido a la evolución de la Recaudación Federal Participable.</w:t>
      </w:r>
    </w:p>
    <w:p w14:paraId="5053964C" w14:textId="77777777" w:rsidR="006B173F" w:rsidRPr="006B173F" w:rsidRDefault="006B173F" w:rsidP="006B173F">
      <w:pPr>
        <w:spacing w:after="360" w:line="360" w:lineRule="auto"/>
        <w:ind w:right="-159"/>
        <w:jc w:val="both"/>
        <w:rPr>
          <w:rFonts w:eastAsia="Calibri"/>
          <w:sz w:val="26"/>
          <w:szCs w:val="26"/>
          <w:lang w:eastAsia="en-US"/>
        </w:rPr>
      </w:pPr>
    </w:p>
    <w:p w14:paraId="31B9D0BB" w14:textId="77777777" w:rsidR="006B173F" w:rsidRPr="006B173F" w:rsidRDefault="006B173F" w:rsidP="006B173F">
      <w:pPr>
        <w:spacing w:after="360" w:line="360" w:lineRule="auto"/>
        <w:ind w:right="-159"/>
        <w:jc w:val="both"/>
        <w:rPr>
          <w:rFonts w:eastAsia="Calibri"/>
          <w:sz w:val="26"/>
          <w:szCs w:val="26"/>
          <w:lang w:eastAsia="en-US"/>
        </w:rPr>
      </w:pPr>
    </w:p>
    <w:p w14:paraId="408957B9" w14:textId="77777777" w:rsidR="006B173F" w:rsidRPr="006B173F" w:rsidRDefault="006B173F" w:rsidP="006B173F">
      <w:pPr>
        <w:spacing w:after="360" w:line="360" w:lineRule="auto"/>
        <w:ind w:right="-159"/>
        <w:jc w:val="both"/>
        <w:rPr>
          <w:rFonts w:eastAsia="Calibri"/>
          <w:sz w:val="26"/>
          <w:szCs w:val="26"/>
          <w:lang w:eastAsia="en-US"/>
        </w:rPr>
      </w:pPr>
    </w:p>
    <w:p w14:paraId="6FF71A1D" w14:textId="77777777" w:rsidR="006B173F" w:rsidRPr="006B173F" w:rsidRDefault="006B173F" w:rsidP="006B173F">
      <w:pPr>
        <w:spacing w:after="360" w:line="360" w:lineRule="auto"/>
        <w:ind w:right="-159"/>
        <w:jc w:val="both"/>
        <w:rPr>
          <w:rFonts w:eastAsia="Calibri"/>
          <w:sz w:val="26"/>
          <w:szCs w:val="26"/>
          <w:lang w:eastAsia="en-US"/>
        </w:rPr>
      </w:pPr>
    </w:p>
    <w:tbl>
      <w:tblPr>
        <w:tblW w:w="0" w:type="auto"/>
        <w:jc w:val="center"/>
        <w:tblCellMar>
          <w:left w:w="70" w:type="dxa"/>
          <w:right w:w="70" w:type="dxa"/>
        </w:tblCellMar>
        <w:tblLook w:val="0000" w:firstRow="0" w:lastRow="0" w:firstColumn="0" w:lastColumn="0" w:noHBand="0" w:noVBand="0"/>
      </w:tblPr>
      <w:tblGrid>
        <w:gridCol w:w="3852"/>
        <w:gridCol w:w="1244"/>
        <w:gridCol w:w="1244"/>
        <w:gridCol w:w="812"/>
        <w:gridCol w:w="860"/>
        <w:gridCol w:w="826"/>
      </w:tblGrid>
      <w:tr w:rsidR="006B173F" w:rsidRPr="006B173F" w14:paraId="010AD237" w14:textId="77777777" w:rsidTr="006B173F">
        <w:trPr>
          <w:cantSplit/>
          <w:jc w:val="center"/>
        </w:trPr>
        <w:tc>
          <w:tcPr>
            <w:tcW w:w="8838" w:type="dxa"/>
            <w:gridSpan w:val="6"/>
            <w:tcBorders>
              <w:bottom w:val="single" w:sz="4" w:space="0" w:color="auto"/>
            </w:tcBorders>
            <w:shd w:val="clear" w:color="auto" w:fill="auto"/>
          </w:tcPr>
          <w:p w14:paraId="3DB08961" w14:textId="77777777" w:rsidR="006B173F" w:rsidRPr="006B173F" w:rsidRDefault="006B173F" w:rsidP="006B173F">
            <w:pPr>
              <w:jc w:val="center"/>
              <w:rPr>
                <w:rFonts w:eastAsia="Times New Roman"/>
                <w:b/>
                <w:bCs/>
                <w:sz w:val="22"/>
                <w:szCs w:val="22"/>
              </w:rPr>
            </w:pPr>
            <w:r w:rsidRPr="006B173F">
              <w:rPr>
                <w:rFonts w:eastAsia="Times New Roman"/>
                <w:b/>
                <w:bCs/>
                <w:sz w:val="22"/>
                <w:szCs w:val="22"/>
              </w:rPr>
              <w:lastRenderedPageBreak/>
              <w:t>GASTO NETO PRESUPUESTARIO DEL SECTOR PÚBLICO</w:t>
            </w:r>
          </w:p>
          <w:p w14:paraId="38932BF9" w14:textId="77777777" w:rsidR="006B173F" w:rsidRPr="006B173F" w:rsidRDefault="006B173F" w:rsidP="006B173F">
            <w:pPr>
              <w:jc w:val="center"/>
              <w:rPr>
                <w:rFonts w:eastAsia="Times New Roman"/>
                <w:b/>
                <w:bCs/>
                <w:sz w:val="22"/>
                <w:szCs w:val="22"/>
              </w:rPr>
            </w:pPr>
            <w:r w:rsidRPr="006B173F">
              <w:rPr>
                <w:rFonts w:eastAsia="Times New Roman"/>
                <w:b/>
                <w:bCs/>
                <w:sz w:val="22"/>
                <w:szCs w:val="22"/>
              </w:rPr>
              <w:t>-Millones de pesos-</w:t>
            </w:r>
          </w:p>
        </w:tc>
      </w:tr>
      <w:tr w:rsidR="006B173F" w:rsidRPr="006B173F" w14:paraId="2495B869" w14:textId="77777777" w:rsidTr="006B173F">
        <w:trPr>
          <w:cantSplit/>
          <w:jc w:val="center"/>
        </w:trPr>
        <w:tc>
          <w:tcPr>
            <w:tcW w:w="385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2F4AE5" w14:textId="77777777" w:rsidR="006B173F" w:rsidRPr="006B173F" w:rsidRDefault="006B173F" w:rsidP="006B173F">
            <w:pPr>
              <w:jc w:val="center"/>
              <w:rPr>
                <w:rFonts w:eastAsia="Times New Roman"/>
                <w:b/>
                <w:sz w:val="20"/>
                <w:szCs w:val="20"/>
              </w:rPr>
            </w:pPr>
            <w:r w:rsidRPr="006B173F">
              <w:rPr>
                <w:rFonts w:eastAsia="Times New Roman"/>
                <w:b/>
                <w:sz w:val="20"/>
                <w:szCs w:val="20"/>
              </w:rPr>
              <w:t>Concepto</w:t>
            </w:r>
          </w:p>
        </w:tc>
        <w:tc>
          <w:tcPr>
            <w:tcW w:w="2488" w:type="dxa"/>
            <w:gridSpan w:val="2"/>
            <w:tcBorders>
              <w:top w:val="single" w:sz="4" w:space="0" w:color="auto"/>
              <w:left w:val="single" w:sz="4" w:space="0" w:color="auto"/>
              <w:bottom w:val="single" w:sz="4" w:space="0" w:color="auto"/>
              <w:right w:val="single" w:sz="4" w:space="0" w:color="auto"/>
            </w:tcBorders>
            <w:shd w:val="clear" w:color="auto" w:fill="auto"/>
          </w:tcPr>
          <w:p w14:paraId="0C58EE8A" w14:textId="77777777" w:rsidR="006B173F" w:rsidRPr="006B173F" w:rsidRDefault="006B173F" w:rsidP="006B173F">
            <w:pPr>
              <w:jc w:val="center"/>
              <w:rPr>
                <w:rFonts w:eastAsia="Times New Roman"/>
                <w:b/>
                <w:sz w:val="20"/>
                <w:szCs w:val="20"/>
              </w:rPr>
            </w:pPr>
            <w:r w:rsidRPr="006B173F">
              <w:rPr>
                <w:rFonts w:eastAsia="Times New Roman"/>
                <w:b/>
                <w:sz w:val="20"/>
                <w:szCs w:val="20"/>
              </w:rPr>
              <w:t>Enero-febrero</w:t>
            </w:r>
          </w:p>
        </w:tc>
        <w:tc>
          <w:tcPr>
            <w:tcW w:w="812" w:type="dxa"/>
            <w:tcBorders>
              <w:top w:val="single" w:sz="4" w:space="0" w:color="auto"/>
              <w:left w:val="single" w:sz="4" w:space="0" w:color="auto"/>
              <w:right w:val="single" w:sz="4" w:space="0" w:color="auto"/>
            </w:tcBorders>
            <w:shd w:val="clear" w:color="auto" w:fill="auto"/>
          </w:tcPr>
          <w:p w14:paraId="4AC3DDB7" w14:textId="77777777" w:rsidR="006B173F" w:rsidRPr="006B173F" w:rsidRDefault="006B173F" w:rsidP="006B173F">
            <w:pPr>
              <w:jc w:val="center"/>
              <w:rPr>
                <w:rFonts w:eastAsia="Times New Roman"/>
                <w:b/>
                <w:sz w:val="20"/>
                <w:szCs w:val="20"/>
              </w:rPr>
            </w:pPr>
            <w:r w:rsidRPr="006B173F">
              <w:rPr>
                <w:rFonts w:eastAsia="Times New Roman"/>
                <w:b/>
                <w:sz w:val="20"/>
                <w:szCs w:val="20"/>
              </w:rPr>
              <w:t>Var. %</w:t>
            </w:r>
          </w:p>
        </w:tc>
        <w:tc>
          <w:tcPr>
            <w:tcW w:w="1686" w:type="dxa"/>
            <w:gridSpan w:val="2"/>
            <w:tcBorders>
              <w:top w:val="single" w:sz="4" w:space="0" w:color="auto"/>
              <w:left w:val="single" w:sz="4" w:space="0" w:color="auto"/>
              <w:bottom w:val="single" w:sz="4" w:space="0" w:color="auto"/>
              <w:right w:val="single" w:sz="4" w:space="0" w:color="auto"/>
            </w:tcBorders>
            <w:shd w:val="clear" w:color="auto" w:fill="auto"/>
          </w:tcPr>
          <w:p w14:paraId="571D92CD" w14:textId="77777777" w:rsidR="006B173F" w:rsidRPr="006B173F" w:rsidRDefault="006B173F" w:rsidP="006B173F">
            <w:pPr>
              <w:jc w:val="center"/>
              <w:rPr>
                <w:rFonts w:eastAsia="Times New Roman"/>
                <w:b/>
                <w:sz w:val="20"/>
                <w:szCs w:val="20"/>
              </w:rPr>
            </w:pPr>
            <w:r w:rsidRPr="006B173F">
              <w:rPr>
                <w:rFonts w:eastAsia="Times New Roman"/>
                <w:b/>
                <w:sz w:val="20"/>
                <w:szCs w:val="20"/>
              </w:rPr>
              <w:t>Composición %</w:t>
            </w:r>
          </w:p>
        </w:tc>
      </w:tr>
      <w:tr w:rsidR="006B173F" w:rsidRPr="006B173F" w14:paraId="7168FE21" w14:textId="77777777" w:rsidTr="006B173F">
        <w:trPr>
          <w:cantSplit/>
          <w:jc w:val="center"/>
        </w:trPr>
        <w:tc>
          <w:tcPr>
            <w:tcW w:w="3852" w:type="dxa"/>
            <w:vMerge/>
            <w:tcBorders>
              <w:top w:val="single" w:sz="4" w:space="0" w:color="auto"/>
              <w:left w:val="single" w:sz="4" w:space="0" w:color="auto"/>
              <w:bottom w:val="single" w:sz="4" w:space="0" w:color="auto"/>
              <w:right w:val="single" w:sz="4" w:space="0" w:color="auto"/>
            </w:tcBorders>
            <w:shd w:val="clear" w:color="auto" w:fill="auto"/>
          </w:tcPr>
          <w:p w14:paraId="1ED06A3D" w14:textId="77777777" w:rsidR="006B173F" w:rsidRPr="006B173F" w:rsidRDefault="006B173F" w:rsidP="006B173F">
            <w:pPr>
              <w:jc w:val="center"/>
              <w:rPr>
                <w:rFonts w:eastAsia="Times New Roman"/>
                <w:b/>
                <w:sz w:val="20"/>
                <w:szCs w:val="20"/>
              </w:rPr>
            </w:pPr>
          </w:p>
        </w:tc>
        <w:tc>
          <w:tcPr>
            <w:tcW w:w="1244" w:type="dxa"/>
            <w:tcBorders>
              <w:top w:val="single" w:sz="4" w:space="0" w:color="auto"/>
              <w:left w:val="single" w:sz="4" w:space="0" w:color="auto"/>
              <w:bottom w:val="single" w:sz="4" w:space="0" w:color="auto"/>
              <w:right w:val="single" w:sz="4" w:space="0" w:color="auto"/>
            </w:tcBorders>
            <w:shd w:val="clear" w:color="auto" w:fill="auto"/>
          </w:tcPr>
          <w:p w14:paraId="3C8874AF" w14:textId="77777777" w:rsidR="006B173F" w:rsidRPr="006B173F" w:rsidRDefault="006B173F" w:rsidP="006B173F">
            <w:pPr>
              <w:jc w:val="center"/>
              <w:rPr>
                <w:rFonts w:eastAsia="Times New Roman"/>
                <w:b/>
                <w:sz w:val="18"/>
                <w:szCs w:val="18"/>
              </w:rPr>
            </w:pPr>
            <w:r w:rsidRPr="006B173F">
              <w:rPr>
                <w:rFonts w:eastAsia="Times New Roman"/>
                <w:b/>
                <w:sz w:val="18"/>
                <w:szCs w:val="18"/>
              </w:rPr>
              <w:t>2014</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1244" w:type="dxa"/>
            <w:tcBorders>
              <w:top w:val="single" w:sz="4" w:space="0" w:color="auto"/>
              <w:left w:val="single" w:sz="4" w:space="0" w:color="auto"/>
              <w:bottom w:val="single" w:sz="4" w:space="0" w:color="auto"/>
              <w:right w:val="single" w:sz="4" w:space="0" w:color="auto"/>
            </w:tcBorders>
            <w:shd w:val="clear" w:color="auto" w:fill="auto"/>
          </w:tcPr>
          <w:p w14:paraId="59F14533" w14:textId="77777777" w:rsidR="006B173F" w:rsidRPr="006B173F" w:rsidRDefault="006B173F" w:rsidP="006B173F">
            <w:pPr>
              <w:jc w:val="center"/>
              <w:rPr>
                <w:rFonts w:eastAsia="Times New Roman"/>
                <w:b/>
                <w:sz w:val="18"/>
                <w:szCs w:val="18"/>
              </w:rPr>
            </w:pPr>
            <w:r w:rsidRPr="006B173F">
              <w:rPr>
                <w:rFonts w:eastAsia="Times New Roman"/>
                <w:b/>
                <w:sz w:val="18"/>
                <w:szCs w:val="18"/>
              </w:rPr>
              <w:t>2015</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812" w:type="dxa"/>
            <w:tcBorders>
              <w:left w:val="single" w:sz="4" w:space="0" w:color="auto"/>
              <w:bottom w:val="single" w:sz="4" w:space="0" w:color="auto"/>
              <w:right w:val="single" w:sz="4" w:space="0" w:color="auto"/>
            </w:tcBorders>
            <w:shd w:val="clear" w:color="auto" w:fill="auto"/>
          </w:tcPr>
          <w:p w14:paraId="17F89763" w14:textId="77777777" w:rsidR="006B173F" w:rsidRPr="006B173F" w:rsidRDefault="006B173F" w:rsidP="006B173F">
            <w:pPr>
              <w:jc w:val="center"/>
              <w:rPr>
                <w:rFonts w:eastAsia="Times New Roman"/>
                <w:b/>
                <w:sz w:val="20"/>
                <w:szCs w:val="20"/>
              </w:rPr>
            </w:pPr>
            <w:r w:rsidRPr="006B173F">
              <w:rPr>
                <w:rFonts w:eastAsia="Times New Roman"/>
                <w:b/>
                <w:sz w:val="20"/>
                <w:szCs w:val="20"/>
              </w:rPr>
              <w:t>real</w:t>
            </w:r>
          </w:p>
        </w:tc>
        <w:tc>
          <w:tcPr>
            <w:tcW w:w="860" w:type="dxa"/>
            <w:tcBorders>
              <w:top w:val="single" w:sz="4" w:space="0" w:color="auto"/>
              <w:left w:val="single" w:sz="4" w:space="0" w:color="auto"/>
              <w:bottom w:val="single" w:sz="4" w:space="0" w:color="auto"/>
              <w:right w:val="single" w:sz="4" w:space="0" w:color="auto"/>
            </w:tcBorders>
            <w:shd w:val="clear" w:color="auto" w:fill="auto"/>
          </w:tcPr>
          <w:p w14:paraId="36D46CFC" w14:textId="77777777" w:rsidR="006B173F" w:rsidRPr="006B173F" w:rsidRDefault="006B173F" w:rsidP="006B173F">
            <w:pPr>
              <w:jc w:val="center"/>
              <w:rPr>
                <w:rFonts w:eastAsia="Times New Roman"/>
                <w:b/>
                <w:sz w:val="18"/>
                <w:szCs w:val="18"/>
              </w:rPr>
            </w:pPr>
            <w:r w:rsidRPr="006B173F">
              <w:rPr>
                <w:rFonts w:eastAsia="Times New Roman"/>
                <w:b/>
                <w:sz w:val="18"/>
                <w:szCs w:val="18"/>
              </w:rPr>
              <w:t>2014</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c>
          <w:tcPr>
            <w:tcW w:w="826" w:type="dxa"/>
            <w:tcBorders>
              <w:top w:val="single" w:sz="4" w:space="0" w:color="auto"/>
              <w:left w:val="single" w:sz="4" w:space="0" w:color="auto"/>
              <w:bottom w:val="single" w:sz="4" w:space="0" w:color="auto"/>
              <w:right w:val="single" w:sz="4" w:space="0" w:color="auto"/>
            </w:tcBorders>
            <w:shd w:val="clear" w:color="auto" w:fill="auto"/>
          </w:tcPr>
          <w:p w14:paraId="0E65C5FC" w14:textId="77777777" w:rsidR="006B173F" w:rsidRPr="006B173F" w:rsidRDefault="006B173F" w:rsidP="006B173F">
            <w:pPr>
              <w:jc w:val="center"/>
              <w:rPr>
                <w:rFonts w:eastAsia="Times New Roman"/>
                <w:b/>
                <w:sz w:val="18"/>
                <w:szCs w:val="18"/>
              </w:rPr>
            </w:pPr>
            <w:r w:rsidRPr="006B173F">
              <w:rPr>
                <w:rFonts w:eastAsia="Times New Roman"/>
                <w:b/>
                <w:sz w:val="18"/>
                <w:szCs w:val="18"/>
              </w:rPr>
              <w:t>2015</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r>
      <w:tr w:rsidR="006B173F" w:rsidRPr="006B173F" w14:paraId="66BF0BDC" w14:textId="77777777" w:rsidTr="006B173F">
        <w:trPr>
          <w:jc w:val="center"/>
        </w:trPr>
        <w:tc>
          <w:tcPr>
            <w:tcW w:w="3852" w:type="dxa"/>
            <w:tcBorders>
              <w:top w:val="single" w:sz="4" w:space="0" w:color="auto"/>
              <w:left w:val="single" w:sz="4" w:space="0" w:color="auto"/>
              <w:right w:val="single" w:sz="4" w:space="0" w:color="auto"/>
            </w:tcBorders>
            <w:shd w:val="clear" w:color="auto" w:fill="auto"/>
          </w:tcPr>
          <w:p w14:paraId="63EA30EC" w14:textId="77777777" w:rsidR="006B173F" w:rsidRPr="006B173F" w:rsidRDefault="006B173F" w:rsidP="006B173F">
            <w:pPr>
              <w:jc w:val="both"/>
              <w:rPr>
                <w:rFonts w:eastAsia="Times New Roman"/>
                <w:b/>
                <w:bCs/>
                <w:sz w:val="20"/>
                <w:szCs w:val="20"/>
              </w:rPr>
            </w:pPr>
            <w:r w:rsidRPr="006B173F">
              <w:rPr>
                <w:rFonts w:eastAsia="Times New Roman"/>
                <w:b/>
                <w:bCs/>
                <w:sz w:val="20"/>
                <w:szCs w:val="20"/>
              </w:rPr>
              <w:t>TOTAL (I+II)</w:t>
            </w:r>
          </w:p>
        </w:tc>
        <w:tc>
          <w:tcPr>
            <w:tcW w:w="1244" w:type="dxa"/>
            <w:tcBorders>
              <w:right w:val="single" w:sz="4" w:space="0" w:color="auto"/>
            </w:tcBorders>
          </w:tcPr>
          <w:p w14:paraId="2A63AE2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704 469.9 </w:t>
            </w:r>
          </w:p>
        </w:tc>
        <w:tc>
          <w:tcPr>
            <w:tcW w:w="1244" w:type="dxa"/>
            <w:tcBorders>
              <w:top w:val="single" w:sz="4" w:space="0" w:color="auto"/>
              <w:left w:val="single" w:sz="4" w:space="0" w:color="auto"/>
              <w:right w:val="single" w:sz="4" w:space="0" w:color="auto"/>
            </w:tcBorders>
          </w:tcPr>
          <w:p w14:paraId="4D1D78B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810 951.2 </w:t>
            </w:r>
          </w:p>
        </w:tc>
        <w:tc>
          <w:tcPr>
            <w:tcW w:w="812" w:type="dxa"/>
            <w:tcBorders>
              <w:top w:val="single" w:sz="4" w:space="0" w:color="auto"/>
              <w:left w:val="single" w:sz="4" w:space="0" w:color="auto"/>
              <w:right w:val="single" w:sz="4" w:space="0" w:color="auto"/>
            </w:tcBorders>
          </w:tcPr>
          <w:p w14:paraId="7EAC0CA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11.7 </w:t>
            </w:r>
          </w:p>
        </w:tc>
        <w:tc>
          <w:tcPr>
            <w:tcW w:w="860" w:type="dxa"/>
            <w:tcBorders>
              <w:top w:val="single" w:sz="4" w:space="0" w:color="auto"/>
              <w:left w:val="single" w:sz="4" w:space="0" w:color="auto"/>
              <w:right w:val="single" w:sz="4" w:space="0" w:color="auto"/>
            </w:tcBorders>
          </w:tcPr>
          <w:p w14:paraId="296EEB5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100.0 </w:t>
            </w:r>
          </w:p>
        </w:tc>
        <w:tc>
          <w:tcPr>
            <w:tcW w:w="826" w:type="dxa"/>
            <w:tcBorders>
              <w:top w:val="single" w:sz="4" w:space="0" w:color="auto"/>
              <w:left w:val="single" w:sz="4" w:space="0" w:color="auto"/>
              <w:right w:val="single" w:sz="4" w:space="0" w:color="auto"/>
            </w:tcBorders>
          </w:tcPr>
          <w:p w14:paraId="1F464B2F"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100.0 </w:t>
            </w:r>
          </w:p>
        </w:tc>
      </w:tr>
      <w:tr w:rsidR="006B173F" w:rsidRPr="006B173F" w14:paraId="140E6129" w14:textId="77777777" w:rsidTr="006B173F">
        <w:trPr>
          <w:jc w:val="center"/>
        </w:trPr>
        <w:tc>
          <w:tcPr>
            <w:tcW w:w="3852" w:type="dxa"/>
            <w:tcBorders>
              <w:left w:val="single" w:sz="4" w:space="0" w:color="auto"/>
              <w:right w:val="single" w:sz="4" w:space="0" w:color="auto"/>
            </w:tcBorders>
            <w:shd w:val="clear" w:color="auto" w:fill="auto"/>
          </w:tcPr>
          <w:p w14:paraId="4A36E331" w14:textId="77777777" w:rsidR="006B173F" w:rsidRPr="006B173F" w:rsidRDefault="006B173F" w:rsidP="006B173F">
            <w:pPr>
              <w:ind w:left="113"/>
              <w:jc w:val="both"/>
              <w:rPr>
                <w:rFonts w:eastAsia="Times New Roman"/>
                <w:sz w:val="20"/>
                <w:szCs w:val="20"/>
              </w:rPr>
            </w:pPr>
            <w:r w:rsidRPr="006B173F">
              <w:rPr>
                <w:rFonts w:eastAsia="Times New Roman"/>
                <w:sz w:val="20"/>
                <w:szCs w:val="20"/>
              </w:rPr>
              <w:t>I. Gasto primario (a+b)</w:t>
            </w:r>
          </w:p>
        </w:tc>
        <w:tc>
          <w:tcPr>
            <w:tcW w:w="1244" w:type="dxa"/>
            <w:tcBorders>
              <w:right w:val="single" w:sz="4" w:space="0" w:color="auto"/>
            </w:tcBorders>
          </w:tcPr>
          <w:p w14:paraId="36B6BAB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677 057.1 </w:t>
            </w:r>
          </w:p>
        </w:tc>
        <w:tc>
          <w:tcPr>
            <w:tcW w:w="1244" w:type="dxa"/>
            <w:tcBorders>
              <w:left w:val="single" w:sz="4" w:space="0" w:color="auto"/>
              <w:right w:val="single" w:sz="4" w:space="0" w:color="auto"/>
            </w:tcBorders>
          </w:tcPr>
          <w:p w14:paraId="1B252E1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772 356.4 </w:t>
            </w:r>
          </w:p>
        </w:tc>
        <w:tc>
          <w:tcPr>
            <w:tcW w:w="812" w:type="dxa"/>
            <w:tcBorders>
              <w:left w:val="single" w:sz="4" w:space="0" w:color="auto"/>
              <w:right w:val="single" w:sz="4" w:space="0" w:color="auto"/>
            </w:tcBorders>
          </w:tcPr>
          <w:p w14:paraId="7C65B949"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10.7 </w:t>
            </w:r>
          </w:p>
        </w:tc>
        <w:tc>
          <w:tcPr>
            <w:tcW w:w="860" w:type="dxa"/>
            <w:tcBorders>
              <w:left w:val="single" w:sz="4" w:space="0" w:color="auto"/>
              <w:right w:val="single" w:sz="4" w:space="0" w:color="auto"/>
            </w:tcBorders>
          </w:tcPr>
          <w:p w14:paraId="658227A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96.1 </w:t>
            </w:r>
          </w:p>
        </w:tc>
        <w:tc>
          <w:tcPr>
            <w:tcW w:w="826" w:type="dxa"/>
            <w:tcBorders>
              <w:left w:val="single" w:sz="4" w:space="0" w:color="auto"/>
              <w:right w:val="single" w:sz="4" w:space="0" w:color="auto"/>
            </w:tcBorders>
          </w:tcPr>
          <w:p w14:paraId="4D38B89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95.2 </w:t>
            </w:r>
          </w:p>
        </w:tc>
      </w:tr>
      <w:tr w:rsidR="006B173F" w:rsidRPr="006B173F" w14:paraId="5FBF9271" w14:textId="77777777" w:rsidTr="006B173F">
        <w:trPr>
          <w:jc w:val="center"/>
        </w:trPr>
        <w:tc>
          <w:tcPr>
            <w:tcW w:w="3852" w:type="dxa"/>
            <w:tcBorders>
              <w:left w:val="single" w:sz="4" w:space="0" w:color="auto"/>
              <w:right w:val="single" w:sz="4" w:space="0" w:color="auto"/>
            </w:tcBorders>
            <w:shd w:val="clear" w:color="auto" w:fill="auto"/>
          </w:tcPr>
          <w:p w14:paraId="06B20F61" w14:textId="77777777" w:rsidR="006B173F" w:rsidRPr="006B173F" w:rsidRDefault="006B173F" w:rsidP="006B173F">
            <w:pPr>
              <w:ind w:left="284"/>
              <w:jc w:val="both"/>
              <w:rPr>
                <w:rFonts w:eastAsia="Times New Roman"/>
                <w:sz w:val="20"/>
                <w:szCs w:val="20"/>
              </w:rPr>
            </w:pPr>
            <w:r w:rsidRPr="006B173F">
              <w:rPr>
                <w:rFonts w:eastAsia="Times New Roman"/>
                <w:sz w:val="20"/>
                <w:szCs w:val="20"/>
              </w:rPr>
              <w:t>a) Programable</w:t>
            </w:r>
            <w:r w:rsidRPr="006B173F">
              <w:rPr>
                <w:rFonts w:eastAsia="Times New Roman"/>
                <w:sz w:val="20"/>
                <w:szCs w:val="20"/>
                <w:vertAlign w:val="superscript"/>
              </w:rPr>
              <w:t xml:space="preserve"> </w:t>
            </w:r>
          </w:p>
        </w:tc>
        <w:tc>
          <w:tcPr>
            <w:tcW w:w="1244" w:type="dxa"/>
            <w:tcBorders>
              <w:right w:val="single" w:sz="4" w:space="0" w:color="auto"/>
            </w:tcBorders>
          </w:tcPr>
          <w:p w14:paraId="7804B98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532 492.0 </w:t>
            </w:r>
          </w:p>
        </w:tc>
        <w:tc>
          <w:tcPr>
            <w:tcW w:w="1244" w:type="dxa"/>
            <w:tcBorders>
              <w:left w:val="single" w:sz="4" w:space="0" w:color="auto"/>
              <w:right w:val="single" w:sz="4" w:space="0" w:color="auto"/>
            </w:tcBorders>
          </w:tcPr>
          <w:p w14:paraId="684E6035"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630 721.7 </w:t>
            </w:r>
          </w:p>
        </w:tc>
        <w:tc>
          <w:tcPr>
            <w:tcW w:w="812" w:type="dxa"/>
            <w:tcBorders>
              <w:left w:val="single" w:sz="4" w:space="0" w:color="auto"/>
              <w:right w:val="single" w:sz="4" w:space="0" w:color="auto"/>
            </w:tcBorders>
          </w:tcPr>
          <w:p w14:paraId="21CDCE5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15.0 </w:t>
            </w:r>
          </w:p>
        </w:tc>
        <w:tc>
          <w:tcPr>
            <w:tcW w:w="860" w:type="dxa"/>
            <w:tcBorders>
              <w:left w:val="single" w:sz="4" w:space="0" w:color="auto"/>
              <w:right w:val="single" w:sz="4" w:space="0" w:color="auto"/>
            </w:tcBorders>
          </w:tcPr>
          <w:p w14:paraId="6F708C9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75.6 </w:t>
            </w:r>
          </w:p>
        </w:tc>
        <w:tc>
          <w:tcPr>
            <w:tcW w:w="826" w:type="dxa"/>
            <w:tcBorders>
              <w:left w:val="single" w:sz="4" w:space="0" w:color="auto"/>
              <w:right w:val="single" w:sz="4" w:space="0" w:color="auto"/>
            </w:tcBorders>
          </w:tcPr>
          <w:p w14:paraId="4BCF035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77.8 </w:t>
            </w:r>
          </w:p>
        </w:tc>
      </w:tr>
      <w:tr w:rsidR="006B173F" w:rsidRPr="006B173F" w14:paraId="74FB557D" w14:textId="77777777" w:rsidTr="006B173F">
        <w:trPr>
          <w:jc w:val="center"/>
        </w:trPr>
        <w:tc>
          <w:tcPr>
            <w:tcW w:w="3852" w:type="dxa"/>
            <w:tcBorders>
              <w:left w:val="single" w:sz="4" w:space="0" w:color="auto"/>
              <w:right w:val="single" w:sz="4" w:space="0" w:color="auto"/>
            </w:tcBorders>
            <w:shd w:val="clear" w:color="auto" w:fill="auto"/>
          </w:tcPr>
          <w:p w14:paraId="5361EC97"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Ramos autónomos</w:t>
            </w:r>
          </w:p>
        </w:tc>
        <w:tc>
          <w:tcPr>
            <w:tcW w:w="1244" w:type="dxa"/>
            <w:tcBorders>
              <w:right w:val="single" w:sz="4" w:space="0" w:color="auto"/>
            </w:tcBorders>
          </w:tcPr>
          <w:p w14:paraId="6EBE3A2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9 315.7 </w:t>
            </w:r>
          </w:p>
        </w:tc>
        <w:tc>
          <w:tcPr>
            <w:tcW w:w="1244" w:type="dxa"/>
            <w:tcBorders>
              <w:left w:val="single" w:sz="4" w:space="0" w:color="auto"/>
              <w:right w:val="single" w:sz="4" w:space="0" w:color="auto"/>
            </w:tcBorders>
          </w:tcPr>
          <w:p w14:paraId="12C9566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13 234.0 </w:t>
            </w:r>
          </w:p>
        </w:tc>
        <w:tc>
          <w:tcPr>
            <w:tcW w:w="812" w:type="dxa"/>
            <w:tcBorders>
              <w:left w:val="single" w:sz="4" w:space="0" w:color="auto"/>
              <w:right w:val="single" w:sz="4" w:space="0" w:color="auto"/>
            </w:tcBorders>
          </w:tcPr>
          <w:p w14:paraId="5103EF9A"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37.9 </w:t>
            </w:r>
          </w:p>
        </w:tc>
        <w:tc>
          <w:tcPr>
            <w:tcW w:w="860" w:type="dxa"/>
            <w:tcBorders>
              <w:left w:val="single" w:sz="4" w:space="0" w:color="auto"/>
              <w:right w:val="single" w:sz="4" w:space="0" w:color="auto"/>
            </w:tcBorders>
          </w:tcPr>
          <w:p w14:paraId="1F0BC668"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 </w:t>
            </w:r>
          </w:p>
        </w:tc>
        <w:tc>
          <w:tcPr>
            <w:tcW w:w="826" w:type="dxa"/>
            <w:tcBorders>
              <w:left w:val="single" w:sz="4" w:space="0" w:color="auto"/>
              <w:right w:val="single" w:sz="4" w:space="0" w:color="auto"/>
            </w:tcBorders>
          </w:tcPr>
          <w:p w14:paraId="21C746FE"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1.6 </w:t>
            </w:r>
          </w:p>
        </w:tc>
      </w:tr>
      <w:tr w:rsidR="006B173F" w:rsidRPr="006B173F" w14:paraId="421999CA" w14:textId="77777777" w:rsidTr="006B173F">
        <w:trPr>
          <w:jc w:val="center"/>
        </w:trPr>
        <w:tc>
          <w:tcPr>
            <w:tcW w:w="3852" w:type="dxa"/>
            <w:tcBorders>
              <w:left w:val="single" w:sz="4" w:space="0" w:color="auto"/>
              <w:right w:val="single" w:sz="4" w:space="0" w:color="auto"/>
            </w:tcBorders>
            <w:shd w:val="clear" w:color="auto" w:fill="auto"/>
          </w:tcPr>
          <w:p w14:paraId="690B86BB"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Ramos administrativos</w:t>
            </w:r>
          </w:p>
        </w:tc>
        <w:tc>
          <w:tcPr>
            <w:tcW w:w="1244" w:type="dxa"/>
            <w:tcBorders>
              <w:right w:val="single" w:sz="4" w:space="0" w:color="auto"/>
            </w:tcBorders>
          </w:tcPr>
          <w:p w14:paraId="7A3CAA8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140 109.1 </w:t>
            </w:r>
          </w:p>
        </w:tc>
        <w:tc>
          <w:tcPr>
            <w:tcW w:w="1244" w:type="dxa"/>
            <w:tcBorders>
              <w:left w:val="single" w:sz="4" w:space="0" w:color="auto"/>
              <w:right w:val="single" w:sz="4" w:space="0" w:color="auto"/>
            </w:tcBorders>
          </w:tcPr>
          <w:p w14:paraId="046784F2"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192 170.1 </w:t>
            </w:r>
          </w:p>
        </w:tc>
        <w:tc>
          <w:tcPr>
            <w:tcW w:w="812" w:type="dxa"/>
            <w:tcBorders>
              <w:left w:val="single" w:sz="4" w:space="0" w:color="auto"/>
              <w:right w:val="single" w:sz="4" w:space="0" w:color="auto"/>
            </w:tcBorders>
          </w:tcPr>
          <w:p w14:paraId="1263E18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33.1 </w:t>
            </w:r>
          </w:p>
        </w:tc>
        <w:tc>
          <w:tcPr>
            <w:tcW w:w="860" w:type="dxa"/>
            <w:tcBorders>
              <w:left w:val="single" w:sz="4" w:space="0" w:color="auto"/>
              <w:right w:val="single" w:sz="4" w:space="0" w:color="auto"/>
            </w:tcBorders>
          </w:tcPr>
          <w:p w14:paraId="1CCEBE1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19.9 </w:t>
            </w:r>
          </w:p>
        </w:tc>
        <w:tc>
          <w:tcPr>
            <w:tcW w:w="826" w:type="dxa"/>
            <w:tcBorders>
              <w:left w:val="single" w:sz="4" w:space="0" w:color="auto"/>
              <w:right w:val="single" w:sz="4" w:space="0" w:color="auto"/>
            </w:tcBorders>
          </w:tcPr>
          <w:p w14:paraId="425E98D2"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23.7 </w:t>
            </w:r>
          </w:p>
        </w:tc>
      </w:tr>
      <w:tr w:rsidR="006B173F" w:rsidRPr="006B173F" w14:paraId="56368CC7" w14:textId="77777777" w:rsidTr="006B173F">
        <w:trPr>
          <w:jc w:val="center"/>
        </w:trPr>
        <w:tc>
          <w:tcPr>
            <w:tcW w:w="3852" w:type="dxa"/>
            <w:tcBorders>
              <w:left w:val="single" w:sz="4" w:space="0" w:color="auto"/>
              <w:right w:val="single" w:sz="4" w:space="0" w:color="auto"/>
            </w:tcBorders>
            <w:shd w:val="clear" w:color="auto" w:fill="auto"/>
          </w:tcPr>
          <w:p w14:paraId="6B2DAAA1"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Ramos generales</w:t>
            </w:r>
          </w:p>
        </w:tc>
        <w:tc>
          <w:tcPr>
            <w:tcW w:w="1244" w:type="dxa"/>
            <w:tcBorders>
              <w:right w:val="single" w:sz="4" w:space="0" w:color="auto"/>
            </w:tcBorders>
          </w:tcPr>
          <w:p w14:paraId="51F7D0EF"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231 447.5 </w:t>
            </w:r>
          </w:p>
        </w:tc>
        <w:tc>
          <w:tcPr>
            <w:tcW w:w="1244" w:type="dxa"/>
            <w:tcBorders>
              <w:left w:val="single" w:sz="4" w:space="0" w:color="auto"/>
              <w:right w:val="single" w:sz="4" w:space="0" w:color="auto"/>
            </w:tcBorders>
          </w:tcPr>
          <w:p w14:paraId="2B1730C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248 577.8 </w:t>
            </w:r>
          </w:p>
        </w:tc>
        <w:tc>
          <w:tcPr>
            <w:tcW w:w="812" w:type="dxa"/>
            <w:tcBorders>
              <w:left w:val="single" w:sz="4" w:space="0" w:color="auto"/>
              <w:right w:val="single" w:sz="4" w:space="0" w:color="auto"/>
            </w:tcBorders>
          </w:tcPr>
          <w:p w14:paraId="33B6EE8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4.2 </w:t>
            </w:r>
          </w:p>
        </w:tc>
        <w:tc>
          <w:tcPr>
            <w:tcW w:w="860" w:type="dxa"/>
            <w:tcBorders>
              <w:left w:val="single" w:sz="4" w:space="0" w:color="auto"/>
              <w:right w:val="single" w:sz="4" w:space="0" w:color="auto"/>
            </w:tcBorders>
          </w:tcPr>
          <w:p w14:paraId="0BE884C9"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32.9 </w:t>
            </w:r>
          </w:p>
        </w:tc>
        <w:tc>
          <w:tcPr>
            <w:tcW w:w="826" w:type="dxa"/>
            <w:tcBorders>
              <w:left w:val="single" w:sz="4" w:space="0" w:color="auto"/>
              <w:right w:val="single" w:sz="4" w:space="0" w:color="auto"/>
            </w:tcBorders>
          </w:tcPr>
          <w:p w14:paraId="723AD62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30.7 </w:t>
            </w:r>
          </w:p>
        </w:tc>
      </w:tr>
      <w:tr w:rsidR="006B173F" w:rsidRPr="006B173F" w14:paraId="1E901E59" w14:textId="77777777" w:rsidTr="006B173F">
        <w:trPr>
          <w:jc w:val="center"/>
        </w:trPr>
        <w:tc>
          <w:tcPr>
            <w:tcW w:w="3852" w:type="dxa"/>
            <w:tcBorders>
              <w:left w:val="single" w:sz="4" w:space="0" w:color="auto"/>
              <w:right w:val="single" w:sz="4" w:space="0" w:color="auto"/>
            </w:tcBorders>
            <w:shd w:val="clear" w:color="auto" w:fill="auto"/>
          </w:tcPr>
          <w:p w14:paraId="05C39CD1"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Organismos de control presupuestario directo</w:t>
            </w:r>
          </w:p>
        </w:tc>
        <w:tc>
          <w:tcPr>
            <w:tcW w:w="1244" w:type="dxa"/>
            <w:tcBorders>
              <w:right w:val="single" w:sz="4" w:space="0" w:color="auto"/>
            </w:tcBorders>
          </w:tcPr>
          <w:p w14:paraId="3C63AE5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109 598.0 </w:t>
            </w:r>
          </w:p>
        </w:tc>
        <w:tc>
          <w:tcPr>
            <w:tcW w:w="1244" w:type="dxa"/>
            <w:tcBorders>
              <w:left w:val="single" w:sz="4" w:space="0" w:color="auto"/>
              <w:right w:val="single" w:sz="4" w:space="0" w:color="auto"/>
            </w:tcBorders>
          </w:tcPr>
          <w:p w14:paraId="5723B36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116 539.7 </w:t>
            </w:r>
          </w:p>
        </w:tc>
        <w:tc>
          <w:tcPr>
            <w:tcW w:w="812" w:type="dxa"/>
            <w:tcBorders>
              <w:left w:val="single" w:sz="4" w:space="0" w:color="auto"/>
              <w:right w:val="single" w:sz="4" w:space="0" w:color="auto"/>
            </w:tcBorders>
          </w:tcPr>
          <w:p w14:paraId="0FA5EC3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3.2 </w:t>
            </w:r>
          </w:p>
        </w:tc>
        <w:tc>
          <w:tcPr>
            <w:tcW w:w="860" w:type="dxa"/>
            <w:tcBorders>
              <w:left w:val="single" w:sz="4" w:space="0" w:color="auto"/>
              <w:right w:val="single" w:sz="4" w:space="0" w:color="auto"/>
            </w:tcBorders>
          </w:tcPr>
          <w:p w14:paraId="6B64524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15.6 </w:t>
            </w:r>
          </w:p>
        </w:tc>
        <w:tc>
          <w:tcPr>
            <w:tcW w:w="826" w:type="dxa"/>
            <w:tcBorders>
              <w:left w:val="single" w:sz="4" w:space="0" w:color="auto"/>
              <w:right w:val="single" w:sz="4" w:space="0" w:color="auto"/>
            </w:tcBorders>
          </w:tcPr>
          <w:p w14:paraId="02B616AA"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14.4 </w:t>
            </w:r>
          </w:p>
        </w:tc>
      </w:tr>
      <w:tr w:rsidR="006B173F" w:rsidRPr="006B173F" w14:paraId="77354AD4" w14:textId="77777777" w:rsidTr="006B173F">
        <w:trPr>
          <w:jc w:val="center"/>
        </w:trPr>
        <w:tc>
          <w:tcPr>
            <w:tcW w:w="3852" w:type="dxa"/>
            <w:tcBorders>
              <w:left w:val="single" w:sz="4" w:space="0" w:color="auto"/>
              <w:right w:val="single" w:sz="4" w:space="0" w:color="auto"/>
            </w:tcBorders>
            <w:shd w:val="clear" w:color="auto" w:fill="auto"/>
          </w:tcPr>
          <w:p w14:paraId="19E904B8" w14:textId="77777777" w:rsidR="006B173F" w:rsidRPr="006B173F" w:rsidRDefault="006B173F" w:rsidP="006B173F">
            <w:pPr>
              <w:ind w:left="680"/>
              <w:jc w:val="both"/>
              <w:rPr>
                <w:rFonts w:eastAsia="Times New Roman"/>
                <w:sz w:val="20"/>
                <w:szCs w:val="20"/>
              </w:rPr>
            </w:pPr>
            <w:r w:rsidRPr="006B173F">
              <w:rPr>
                <w:rFonts w:eastAsia="Times New Roman"/>
                <w:sz w:val="20"/>
                <w:szCs w:val="20"/>
              </w:rPr>
              <w:t>IMSS</w:t>
            </w:r>
          </w:p>
        </w:tc>
        <w:tc>
          <w:tcPr>
            <w:tcW w:w="1244" w:type="dxa"/>
            <w:tcBorders>
              <w:right w:val="single" w:sz="4" w:space="0" w:color="auto"/>
            </w:tcBorders>
          </w:tcPr>
          <w:p w14:paraId="1B66BCC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69 694.7 </w:t>
            </w:r>
          </w:p>
        </w:tc>
        <w:tc>
          <w:tcPr>
            <w:tcW w:w="1244" w:type="dxa"/>
            <w:tcBorders>
              <w:left w:val="single" w:sz="4" w:space="0" w:color="auto"/>
              <w:right w:val="single" w:sz="4" w:space="0" w:color="auto"/>
            </w:tcBorders>
          </w:tcPr>
          <w:p w14:paraId="4F65893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68 276.5 </w:t>
            </w:r>
          </w:p>
        </w:tc>
        <w:tc>
          <w:tcPr>
            <w:tcW w:w="812" w:type="dxa"/>
            <w:tcBorders>
              <w:left w:val="single" w:sz="4" w:space="0" w:color="auto"/>
              <w:right w:val="single" w:sz="4" w:space="0" w:color="auto"/>
            </w:tcBorders>
          </w:tcPr>
          <w:p w14:paraId="054D07A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-4.9 </w:t>
            </w:r>
          </w:p>
        </w:tc>
        <w:tc>
          <w:tcPr>
            <w:tcW w:w="860" w:type="dxa"/>
            <w:tcBorders>
              <w:left w:val="single" w:sz="4" w:space="0" w:color="auto"/>
              <w:right w:val="single" w:sz="4" w:space="0" w:color="auto"/>
            </w:tcBorders>
          </w:tcPr>
          <w:p w14:paraId="772B45E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9.9 </w:t>
            </w:r>
          </w:p>
        </w:tc>
        <w:tc>
          <w:tcPr>
            <w:tcW w:w="826" w:type="dxa"/>
            <w:tcBorders>
              <w:left w:val="single" w:sz="4" w:space="0" w:color="auto"/>
              <w:right w:val="single" w:sz="4" w:space="0" w:color="auto"/>
            </w:tcBorders>
          </w:tcPr>
          <w:p w14:paraId="52252CD2"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8.4 </w:t>
            </w:r>
          </w:p>
        </w:tc>
      </w:tr>
      <w:tr w:rsidR="006B173F" w:rsidRPr="006B173F" w14:paraId="18069263" w14:textId="77777777" w:rsidTr="006B173F">
        <w:trPr>
          <w:jc w:val="center"/>
        </w:trPr>
        <w:tc>
          <w:tcPr>
            <w:tcW w:w="3852" w:type="dxa"/>
            <w:tcBorders>
              <w:left w:val="single" w:sz="4" w:space="0" w:color="auto"/>
              <w:right w:val="single" w:sz="4" w:space="0" w:color="auto"/>
            </w:tcBorders>
            <w:shd w:val="clear" w:color="auto" w:fill="auto"/>
          </w:tcPr>
          <w:p w14:paraId="52849F5A" w14:textId="77777777" w:rsidR="006B173F" w:rsidRPr="006B173F" w:rsidRDefault="006B173F" w:rsidP="006B173F">
            <w:pPr>
              <w:ind w:left="680"/>
              <w:jc w:val="both"/>
              <w:rPr>
                <w:rFonts w:eastAsia="Times New Roman"/>
                <w:sz w:val="20"/>
                <w:szCs w:val="20"/>
              </w:rPr>
            </w:pPr>
            <w:r w:rsidRPr="006B173F">
              <w:rPr>
                <w:rFonts w:eastAsia="Times New Roman"/>
                <w:sz w:val="20"/>
                <w:szCs w:val="20"/>
              </w:rPr>
              <w:t>ISSSTE</w:t>
            </w:r>
          </w:p>
        </w:tc>
        <w:tc>
          <w:tcPr>
            <w:tcW w:w="1244" w:type="dxa"/>
            <w:tcBorders>
              <w:right w:val="single" w:sz="4" w:space="0" w:color="auto"/>
            </w:tcBorders>
          </w:tcPr>
          <w:p w14:paraId="44E20EBF"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39 903.4 </w:t>
            </w:r>
          </w:p>
        </w:tc>
        <w:tc>
          <w:tcPr>
            <w:tcW w:w="1244" w:type="dxa"/>
            <w:tcBorders>
              <w:left w:val="single" w:sz="4" w:space="0" w:color="auto"/>
              <w:right w:val="single" w:sz="4" w:space="0" w:color="auto"/>
            </w:tcBorders>
          </w:tcPr>
          <w:p w14:paraId="2F5C811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48 263.1 </w:t>
            </w:r>
          </w:p>
        </w:tc>
        <w:tc>
          <w:tcPr>
            <w:tcW w:w="812" w:type="dxa"/>
            <w:tcBorders>
              <w:left w:val="single" w:sz="4" w:space="0" w:color="auto"/>
              <w:right w:val="single" w:sz="4" w:space="0" w:color="auto"/>
            </w:tcBorders>
          </w:tcPr>
          <w:p w14:paraId="0AD02E3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17.4 </w:t>
            </w:r>
          </w:p>
        </w:tc>
        <w:tc>
          <w:tcPr>
            <w:tcW w:w="860" w:type="dxa"/>
            <w:tcBorders>
              <w:left w:val="single" w:sz="4" w:space="0" w:color="auto"/>
              <w:right w:val="single" w:sz="4" w:space="0" w:color="auto"/>
            </w:tcBorders>
          </w:tcPr>
          <w:p w14:paraId="6F88A61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5.7 </w:t>
            </w:r>
          </w:p>
        </w:tc>
        <w:tc>
          <w:tcPr>
            <w:tcW w:w="826" w:type="dxa"/>
            <w:tcBorders>
              <w:left w:val="single" w:sz="4" w:space="0" w:color="auto"/>
              <w:right w:val="single" w:sz="4" w:space="0" w:color="auto"/>
            </w:tcBorders>
          </w:tcPr>
          <w:p w14:paraId="68582168"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6.0 </w:t>
            </w:r>
          </w:p>
        </w:tc>
      </w:tr>
      <w:tr w:rsidR="006B173F" w:rsidRPr="006B173F" w14:paraId="5B5898B1" w14:textId="77777777" w:rsidTr="006B173F">
        <w:trPr>
          <w:jc w:val="center"/>
        </w:trPr>
        <w:tc>
          <w:tcPr>
            <w:tcW w:w="3852" w:type="dxa"/>
            <w:tcBorders>
              <w:left w:val="single" w:sz="4" w:space="0" w:color="auto"/>
              <w:right w:val="single" w:sz="4" w:space="0" w:color="auto"/>
            </w:tcBorders>
            <w:shd w:val="clear" w:color="auto" w:fill="auto"/>
          </w:tcPr>
          <w:p w14:paraId="4F2AA041"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Empresas productivas del estado</w:t>
            </w:r>
          </w:p>
        </w:tc>
        <w:tc>
          <w:tcPr>
            <w:tcW w:w="1244" w:type="dxa"/>
            <w:tcBorders>
              <w:right w:val="single" w:sz="4" w:space="0" w:color="auto"/>
            </w:tcBorders>
          </w:tcPr>
          <w:p w14:paraId="3152B19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137 157.1 </w:t>
            </w:r>
          </w:p>
        </w:tc>
        <w:tc>
          <w:tcPr>
            <w:tcW w:w="1244" w:type="dxa"/>
            <w:tcBorders>
              <w:left w:val="single" w:sz="4" w:space="0" w:color="auto"/>
              <w:right w:val="single" w:sz="4" w:space="0" w:color="auto"/>
            </w:tcBorders>
          </w:tcPr>
          <w:p w14:paraId="4C7478E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163 276.3 </w:t>
            </w:r>
          </w:p>
        </w:tc>
        <w:tc>
          <w:tcPr>
            <w:tcW w:w="812" w:type="dxa"/>
            <w:tcBorders>
              <w:left w:val="single" w:sz="4" w:space="0" w:color="auto"/>
              <w:right w:val="single" w:sz="4" w:space="0" w:color="auto"/>
            </w:tcBorders>
          </w:tcPr>
          <w:p w14:paraId="2B4EF77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15.5 </w:t>
            </w:r>
          </w:p>
        </w:tc>
        <w:tc>
          <w:tcPr>
            <w:tcW w:w="860" w:type="dxa"/>
            <w:tcBorders>
              <w:left w:val="single" w:sz="4" w:space="0" w:color="auto"/>
              <w:right w:val="single" w:sz="4" w:space="0" w:color="auto"/>
            </w:tcBorders>
          </w:tcPr>
          <w:p w14:paraId="0F79010E"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19.5 </w:t>
            </w:r>
          </w:p>
        </w:tc>
        <w:tc>
          <w:tcPr>
            <w:tcW w:w="826" w:type="dxa"/>
            <w:tcBorders>
              <w:left w:val="single" w:sz="4" w:space="0" w:color="auto"/>
              <w:right w:val="single" w:sz="4" w:space="0" w:color="auto"/>
            </w:tcBorders>
          </w:tcPr>
          <w:p w14:paraId="302A219F"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20.1 </w:t>
            </w:r>
          </w:p>
        </w:tc>
      </w:tr>
      <w:tr w:rsidR="006B173F" w:rsidRPr="006B173F" w14:paraId="257AF028" w14:textId="77777777" w:rsidTr="006B173F">
        <w:trPr>
          <w:jc w:val="center"/>
        </w:trPr>
        <w:tc>
          <w:tcPr>
            <w:tcW w:w="3852" w:type="dxa"/>
            <w:tcBorders>
              <w:left w:val="single" w:sz="4" w:space="0" w:color="auto"/>
              <w:right w:val="single" w:sz="4" w:space="0" w:color="auto"/>
            </w:tcBorders>
            <w:shd w:val="clear" w:color="auto" w:fill="auto"/>
          </w:tcPr>
          <w:p w14:paraId="70E6A686" w14:textId="77777777" w:rsidR="006B173F" w:rsidRPr="006B173F" w:rsidRDefault="006B173F" w:rsidP="006B173F">
            <w:pPr>
              <w:ind w:left="680"/>
              <w:jc w:val="both"/>
              <w:rPr>
                <w:rFonts w:eastAsia="Times New Roman"/>
                <w:sz w:val="20"/>
                <w:szCs w:val="20"/>
              </w:rPr>
            </w:pPr>
            <w:r w:rsidRPr="006B173F">
              <w:rPr>
                <w:rFonts w:eastAsia="Times New Roman"/>
                <w:sz w:val="20"/>
                <w:szCs w:val="20"/>
              </w:rPr>
              <w:t>PEMEX</w:t>
            </w:r>
          </w:p>
        </w:tc>
        <w:tc>
          <w:tcPr>
            <w:tcW w:w="1244" w:type="dxa"/>
            <w:tcBorders>
              <w:right w:val="single" w:sz="4" w:space="0" w:color="auto"/>
            </w:tcBorders>
          </w:tcPr>
          <w:p w14:paraId="5B8F55E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96 405.0 </w:t>
            </w:r>
          </w:p>
        </w:tc>
        <w:tc>
          <w:tcPr>
            <w:tcW w:w="1244" w:type="dxa"/>
            <w:tcBorders>
              <w:left w:val="single" w:sz="4" w:space="0" w:color="auto"/>
              <w:right w:val="single" w:sz="4" w:space="0" w:color="auto"/>
            </w:tcBorders>
          </w:tcPr>
          <w:p w14:paraId="24E0004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116 690.1 </w:t>
            </w:r>
          </w:p>
        </w:tc>
        <w:tc>
          <w:tcPr>
            <w:tcW w:w="812" w:type="dxa"/>
            <w:tcBorders>
              <w:left w:val="single" w:sz="4" w:space="0" w:color="auto"/>
              <w:right w:val="single" w:sz="4" w:space="0" w:color="auto"/>
            </w:tcBorders>
          </w:tcPr>
          <w:p w14:paraId="40783AFA"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17.5 </w:t>
            </w:r>
          </w:p>
        </w:tc>
        <w:tc>
          <w:tcPr>
            <w:tcW w:w="860" w:type="dxa"/>
            <w:tcBorders>
              <w:left w:val="single" w:sz="4" w:space="0" w:color="auto"/>
              <w:right w:val="single" w:sz="4" w:space="0" w:color="auto"/>
            </w:tcBorders>
          </w:tcPr>
          <w:p w14:paraId="5F7B5AB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13.7 </w:t>
            </w:r>
          </w:p>
        </w:tc>
        <w:tc>
          <w:tcPr>
            <w:tcW w:w="826" w:type="dxa"/>
            <w:tcBorders>
              <w:left w:val="single" w:sz="4" w:space="0" w:color="auto"/>
              <w:right w:val="single" w:sz="4" w:space="0" w:color="auto"/>
            </w:tcBorders>
          </w:tcPr>
          <w:p w14:paraId="1A540CC7"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14.4 </w:t>
            </w:r>
          </w:p>
        </w:tc>
      </w:tr>
      <w:tr w:rsidR="006B173F" w:rsidRPr="006B173F" w14:paraId="1DDF5661" w14:textId="77777777" w:rsidTr="006B173F">
        <w:trPr>
          <w:jc w:val="center"/>
        </w:trPr>
        <w:tc>
          <w:tcPr>
            <w:tcW w:w="3852" w:type="dxa"/>
            <w:tcBorders>
              <w:left w:val="single" w:sz="4" w:space="0" w:color="auto"/>
              <w:right w:val="single" w:sz="4" w:space="0" w:color="auto"/>
            </w:tcBorders>
            <w:shd w:val="clear" w:color="auto" w:fill="auto"/>
          </w:tcPr>
          <w:p w14:paraId="785BFB68" w14:textId="77777777" w:rsidR="006B173F" w:rsidRPr="006B173F" w:rsidRDefault="006B173F" w:rsidP="006B173F">
            <w:pPr>
              <w:ind w:left="680"/>
              <w:jc w:val="both"/>
              <w:rPr>
                <w:rFonts w:eastAsia="Times New Roman"/>
                <w:sz w:val="20"/>
                <w:szCs w:val="20"/>
              </w:rPr>
            </w:pPr>
            <w:r w:rsidRPr="006B173F">
              <w:rPr>
                <w:rFonts w:eastAsia="Times New Roman"/>
                <w:sz w:val="20"/>
                <w:szCs w:val="20"/>
              </w:rPr>
              <w:t>CFE</w:t>
            </w:r>
          </w:p>
        </w:tc>
        <w:tc>
          <w:tcPr>
            <w:tcW w:w="1244" w:type="dxa"/>
            <w:tcBorders>
              <w:right w:val="single" w:sz="4" w:space="0" w:color="auto"/>
            </w:tcBorders>
          </w:tcPr>
          <w:p w14:paraId="7BC8AC8E"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40 752.1 </w:t>
            </w:r>
          </w:p>
        </w:tc>
        <w:tc>
          <w:tcPr>
            <w:tcW w:w="1244" w:type="dxa"/>
            <w:tcBorders>
              <w:left w:val="single" w:sz="4" w:space="0" w:color="auto"/>
              <w:right w:val="single" w:sz="4" w:space="0" w:color="auto"/>
            </w:tcBorders>
          </w:tcPr>
          <w:p w14:paraId="5C90B37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46 586.2 </w:t>
            </w:r>
          </w:p>
        </w:tc>
        <w:tc>
          <w:tcPr>
            <w:tcW w:w="812" w:type="dxa"/>
            <w:tcBorders>
              <w:left w:val="single" w:sz="4" w:space="0" w:color="auto"/>
              <w:right w:val="single" w:sz="4" w:space="0" w:color="auto"/>
            </w:tcBorders>
          </w:tcPr>
          <w:p w14:paraId="36414A5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11.0 </w:t>
            </w:r>
          </w:p>
        </w:tc>
        <w:tc>
          <w:tcPr>
            <w:tcW w:w="860" w:type="dxa"/>
            <w:tcBorders>
              <w:left w:val="single" w:sz="4" w:space="0" w:color="auto"/>
              <w:right w:val="single" w:sz="4" w:space="0" w:color="auto"/>
            </w:tcBorders>
          </w:tcPr>
          <w:p w14:paraId="01CD1C3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5.8 </w:t>
            </w:r>
          </w:p>
        </w:tc>
        <w:tc>
          <w:tcPr>
            <w:tcW w:w="826" w:type="dxa"/>
            <w:tcBorders>
              <w:left w:val="single" w:sz="4" w:space="0" w:color="auto"/>
              <w:right w:val="single" w:sz="4" w:space="0" w:color="auto"/>
            </w:tcBorders>
          </w:tcPr>
          <w:p w14:paraId="34BEFC3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5.7 </w:t>
            </w:r>
          </w:p>
        </w:tc>
      </w:tr>
      <w:tr w:rsidR="006B173F" w:rsidRPr="006B173F" w14:paraId="7CC59516" w14:textId="77777777" w:rsidTr="006B173F">
        <w:trPr>
          <w:jc w:val="center"/>
        </w:trPr>
        <w:tc>
          <w:tcPr>
            <w:tcW w:w="3852" w:type="dxa"/>
            <w:tcBorders>
              <w:left w:val="single" w:sz="4" w:space="0" w:color="auto"/>
              <w:right w:val="single" w:sz="4" w:space="0" w:color="auto"/>
            </w:tcBorders>
            <w:shd w:val="clear" w:color="auto" w:fill="auto"/>
          </w:tcPr>
          <w:p w14:paraId="1C0183C8"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 Operaciones compensadas</w:t>
            </w:r>
          </w:p>
        </w:tc>
        <w:tc>
          <w:tcPr>
            <w:tcW w:w="1244" w:type="dxa"/>
            <w:tcBorders>
              <w:right w:val="single" w:sz="4" w:space="0" w:color="auto"/>
            </w:tcBorders>
          </w:tcPr>
          <w:p w14:paraId="01296082"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95 135.4 </w:t>
            </w:r>
          </w:p>
        </w:tc>
        <w:tc>
          <w:tcPr>
            <w:tcW w:w="1244" w:type="dxa"/>
            <w:tcBorders>
              <w:left w:val="single" w:sz="4" w:space="0" w:color="auto"/>
              <w:right w:val="single" w:sz="4" w:space="0" w:color="auto"/>
            </w:tcBorders>
          </w:tcPr>
          <w:p w14:paraId="2B680E5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103 076.2 </w:t>
            </w:r>
          </w:p>
        </w:tc>
        <w:tc>
          <w:tcPr>
            <w:tcW w:w="812" w:type="dxa"/>
            <w:tcBorders>
              <w:left w:val="single" w:sz="4" w:space="0" w:color="auto"/>
              <w:right w:val="single" w:sz="4" w:space="0" w:color="auto"/>
            </w:tcBorders>
          </w:tcPr>
          <w:p w14:paraId="51FA81B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5.2 </w:t>
            </w:r>
          </w:p>
        </w:tc>
        <w:tc>
          <w:tcPr>
            <w:tcW w:w="860" w:type="dxa"/>
            <w:tcBorders>
              <w:left w:val="single" w:sz="4" w:space="0" w:color="auto"/>
              <w:right w:val="single" w:sz="4" w:space="0" w:color="auto"/>
            </w:tcBorders>
          </w:tcPr>
          <w:p w14:paraId="124EF64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13.5 </w:t>
            </w:r>
          </w:p>
        </w:tc>
        <w:tc>
          <w:tcPr>
            <w:tcW w:w="826" w:type="dxa"/>
            <w:tcBorders>
              <w:left w:val="single" w:sz="4" w:space="0" w:color="auto"/>
              <w:right w:val="single" w:sz="4" w:space="0" w:color="auto"/>
            </w:tcBorders>
          </w:tcPr>
          <w:p w14:paraId="7A49D03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12.7 </w:t>
            </w:r>
          </w:p>
        </w:tc>
      </w:tr>
      <w:tr w:rsidR="006B173F" w:rsidRPr="006B173F" w14:paraId="161CE3EC" w14:textId="77777777" w:rsidTr="006B173F">
        <w:trPr>
          <w:jc w:val="center"/>
        </w:trPr>
        <w:tc>
          <w:tcPr>
            <w:tcW w:w="3852" w:type="dxa"/>
            <w:tcBorders>
              <w:left w:val="single" w:sz="4" w:space="0" w:color="auto"/>
              <w:right w:val="single" w:sz="4" w:space="0" w:color="auto"/>
            </w:tcBorders>
            <w:shd w:val="clear" w:color="auto" w:fill="auto"/>
          </w:tcPr>
          <w:p w14:paraId="42F5555E" w14:textId="77777777" w:rsidR="006B173F" w:rsidRPr="006B173F" w:rsidRDefault="006B173F" w:rsidP="006B173F">
            <w:pPr>
              <w:ind w:left="284"/>
              <w:jc w:val="both"/>
              <w:rPr>
                <w:rFonts w:eastAsia="Times New Roman"/>
                <w:sz w:val="20"/>
                <w:szCs w:val="20"/>
              </w:rPr>
            </w:pPr>
            <w:r w:rsidRPr="006B173F">
              <w:rPr>
                <w:rFonts w:eastAsia="Times New Roman"/>
                <w:sz w:val="20"/>
                <w:szCs w:val="20"/>
              </w:rPr>
              <w:t>b) No programable</w:t>
            </w:r>
          </w:p>
        </w:tc>
        <w:tc>
          <w:tcPr>
            <w:tcW w:w="1244" w:type="dxa"/>
            <w:tcBorders>
              <w:right w:val="single" w:sz="4" w:space="0" w:color="auto"/>
            </w:tcBorders>
          </w:tcPr>
          <w:p w14:paraId="58D8D209"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144 565.1 </w:t>
            </w:r>
          </w:p>
        </w:tc>
        <w:tc>
          <w:tcPr>
            <w:tcW w:w="1244" w:type="dxa"/>
            <w:tcBorders>
              <w:left w:val="single" w:sz="4" w:space="0" w:color="auto"/>
              <w:right w:val="single" w:sz="4" w:space="0" w:color="auto"/>
            </w:tcBorders>
          </w:tcPr>
          <w:p w14:paraId="10FE89C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141 634.7 </w:t>
            </w:r>
          </w:p>
        </w:tc>
        <w:tc>
          <w:tcPr>
            <w:tcW w:w="812" w:type="dxa"/>
            <w:tcBorders>
              <w:left w:val="single" w:sz="4" w:space="0" w:color="auto"/>
              <w:right w:val="single" w:sz="4" w:space="0" w:color="auto"/>
            </w:tcBorders>
          </w:tcPr>
          <w:p w14:paraId="0FF836FE"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-4.9 </w:t>
            </w:r>
          </w:p>
        </w:tc>
        <w:tc>
          <w:tcPr>
            <w:tcW w:w="860" w:type="dxa"/>
            <w:tcBorders>
              <w:left w:val="single" w:sz="4" w:space="0" w:color="auto"/>
              <w:right w:val="single" w:sz="4" w:space="0" w:color="auto"/>
            </w:tcBorders>
          </w:tcPr>
          <w:p w14:paraId="40625B61"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20.5 </w:t>
            </w:r>
          </w:p>
        </w:tc>
        <w:tc>
          <w:tcPr>
            <w:tcW w:w="826" w:type="dxa"/>
            <w:tcBorders>
              <w:left w:val="single" w:sz="4" w:space="0" w:color="auto"/>
              <w:right w:val="single" w:sz="4" w:space="0" w:color="auto"/>
            </w:tcBorders>
          </w:tcPr>
          <w:p w14:paraId="18587F6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17.5 </w:t>
            </w:r>
          </w:p>
        </w:tc>
      </w:tr>
      <w:tr w:rsidR="006B173F" w:rsidRPr="006B173F" w14:paraId="70B8D9C0" w14:textId="77777777" w:rsidTr="006B173F">
        <w:trPr>
          <w:jc w:val="center"/>
        </w:trPr>
        <w:tc>
          <w:tcPr>
            <w:tcW w:w="3852" w:type="dxa"/>
            <w:tcBorders>
              <w:left w:val="single" w:sz="4" w:space="0" w:color="auto"/>
              <w:right w:val="single" w:sz="4" w:space="0" w:color="auto"/>
            </w:tcBorders>
            <w:shd w:val="clear" w:color="auto" w:fill="auto"/>
          </w:tcPr>
          <w:p w14:paraId="6D60831D"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Participaciones</w:t>
            </w:r>
          </w:p>
        </w:tc>
        <w:tc>
          <w:tcPr>
            <w:tcW w:w="1244" w:type="dxa"/>
            <w:tcBorders>
              <w:right w:val="single" w:sz="4" w:space="0" w:color="auto"/>
            </w:tcBorders>
          </w:tcPr>
          <w:p w14:paraId="2A92DA1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112 769.0 </w:t>
            </w:r>
          </w:p>
        </w:tc>
        <w:tc>
          <w:tcPr>
            <w:tcW w:w="1244" w:type="dxa"/>
            <w:tcBorders>
              <w:left w:val="single" w:sz="4" w:space="0" w:color="auto"/>
              <w:right w:val="single" w:sz="4" w:space="0" w:color="auto"/>
            </w:tcBorders>
          </w:tcPr>
          <w:p w14:paraId="5EC53CD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109 254.2 </w:t>
            </w:r>
          </w:p>
        </w:tc>
        <w:tc>
          <w:tcPr>
            <w:tcW w:w="812" w:type="dxa"/>
            <w:tcBorders>
              <w:left w:val="single" w:sz="4" w:space="0" w:color="auto"/>
              <w:right w:val="single" w:sz="4" w:space="0" w:color="auto"/>
            </w:tcBorders>
          </w:tcPr>
          <w:p w14:paraId="4FBC869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-6.0 </w:t>
            </w:r>
          </w:p>
        </w:tc>
        <w:tc>
          <w:tcPr>
            <w:tcW w:w="860" w:type="dxa"/>
            <w:tcBorders>
              <w:left w:val="single" w:sz="4" w:space="0" w:color="auto"/>
              <w:right w:val="single" w:sz="4" w:space="0" w:color="auto"/>
            </w:tcBorders>
          </w:tcPr>
          <w:p w14:paraId="0E84DB7A"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16.0 </w:t>
            </w:r>
          </w:p>
        </w:tc>
        <w:tc>
          <w:tcPr>
            <w:tcW w:w="826" w:type="dxa"/>
            <w:tcBorders>
              <w:left w:val="single" w:sz="4" w:space="0" w:color="auto"/>
              <w:right w:val="single" w:sz="4" w:space="0" w:color="auto"/>
            </w:tcBorders>
          </w:tcPr>
          <w:p w14:paraId="19E491C4"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13.5 </w:t>
            </w:r>
          </w:p>
        </w:tc>
      </w:tr>
      <w:tr w:rsidR="006B173F" w:rsidRPr="006B173F" w14:paraId="4E8ABAC1" w14:textId="77777777" w:rsidTr="006B173F">
        <w:trPr>
          <w:jc w:val="center"/>
        </w:trPr>
        <w:tc>
          <w:tcPr>
            <w:tcW w:w="3852" w:type="dxa"/>
            <w:tcBorders>
              <w:left w:val="single" w:sz="4" w:space="0" w:color="auto"/>
              <w:right w:val="single" w:sz="4" w:space="0" w:color="auto"/>
            </w:tcBorders>
            <w:shd w:val="clear" w:color="auto" w:fill="auto"/>
          </w:tcPr>
          <w:p w14:paraId="7E869AE0" w14:textId="77777777" w:rsidR="006B173F" w:rsidRPr="006B173F" w:rsidRDefault="006B173F" w:rsidP="006B173F">
            <w:pPr>
              <w:ind w:left="510"/>
              <w:jc w:val="both"/>
              <w:rPr>
                <w:rFonts w:eastAsia="Times New Roman"/>
                <w:sz w:val="20"/>
                <w:szCs w:val="20"/>
              </w:rPr>
            </w:pPr>
            <w:r w:rsidRPr="006B173F">
              <w:rPr>
                <w:rFonts w:eastAsia="Times New Roman"/>
                <w:sz w:val="20"/>
                <w:szCs w:val="20"/>
              </w:rPr>
              <w:t>Adefas y otros</w:t>
            </w:r>
          </w:p>
        </w:tc>
        <w:tc>
          <w:tcPr>
            <w:tcW w:w="1244" w:type="dxa"/>
            <w:tcBorders>
              <w:right w:val="single" w:sz="4" w:space="0" w:color="auto"/>
            </w:tcBorders>
          </w:tcPr>
          <w:p w14:paraId="0CF07498"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31 796.1 </w:t>
            </w:r>
          </w:p>
        </w:tc>
        <w:tc>
          <w:tcPr>
            <w:tcW w:w="1244" w:type="dxa"/>
            <w:tcBorders>
              <w:left w:val="single" w:sz="4" w:space="0" w:color="auto"/>
              <w:right w:val="single" w:sz="4" w:space="0" w:color="auto"/>
            </w:tcBorders>
          </w:tcPr>
          <w:p w14:paraId="7FB5B06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32 380.5 </w:t>
            </w:r>
          </w:p>
        </w:tc>
        <w:tc>
          <w:tcPr>
            <w:tcW w:w="812" w:type="dxa"/>
            <w:tcBorders>
              <w:left w:val="single" w:sz="4" w:space="0" w:color="auto"/>
              <w:right w:val="single" w:sz="4" w:space="0" w:color="auto"/>
            </w:tcBorders>
          </w:tcPr>
          <w:p w14:paraId="783C45D0"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-1.2 </w:t>
            </w:r>
          </w:p>
        </w:tc>
        <w:tc>
          <w:tcPr>
            <w:tcW w:w="860" w:type="dxa"/>
            <w:tcBorders>
              <w:left w:val="single" w:sz="4" w:space="0" w:color="auto"/>
              <w:right w:val="single" w:sz="4" w:space="0" w:color="auto"/>
            </w:tcBorders>
          </w:tcPr>
          <w:p w14:paraId="3B4F2EFB"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4.5 </w:t>
            </w:r>
          </w:p>
        </w:tc>
        <w:tc>
          <w:tcPr>
            <w:tcW w:w="826" w:type="dxa"/>
            <w:tcBorders>
              <w:left w:val="single" w:sz="4" w:space="0" w:color="auto"/>
              <w:right w:val="single" w:sz="4" w:space="0" w:color="auto"/>
            </w:tcBorders>
          </w:tcPr>
          <w:p w14:paraId="67CA14BE"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4.0 </w:t>
            </w:r>
          </w:p>
        </w:tc>
      </w:tr>
      <w:tr w:rsidR="006B173F" w:rsidRPr="006B173F" w14:paraId="55B42EA5" w14:textId="77777777" w:rsidTr="006B173F">
        <w:trPr>
          <w:jc w:val="center"/>
        </w:trPr>
        <w:tc>
          <w:tcPr>
            <w:tcW w:w="3852" w:type="dxa"/>
            <w:tcBorders>
              <w:left w:val="single" w:sz="4" w:space="0" w:color="auto"/>
              <w:bottom w:val="single" w:sz="4" w:space="0" w:color="auto"/>
              <w:right w:val="single" w:sz="4" w:space="0" w:color="auto"/>
            </w:tcBorders>
            <w:shd w:val="clear" w:color="auto" w:fill="auto"/>
          </w:tcPr>
          <w:p w14:paraId="3B2B5003" w14:textId="77777777" w:rsidR="006B173F" w:rsidRPr="006B173F" w:rsidRDefault="006B173F" w:rsidP="006B173F">
            <w:pPr>
              <w:ind w:left="113"/>
              <w:jc w:val="both"/>
              <w:rPr>
                <w:rFonts w:eastAsia="Times New Roman"/>
                <w:sz w:val="20"/>
                <w:szCs w:val="20"/>
              </w:rPr>
            </w:pPr>
            <w:r w:rsidRPr="006B173F">
              <w:rPr>
                <w:rFonts w:eastAsia="Times New Roman"/>
                <w:sz w:val="20"/>
                <w:szCs w:val="20"/>
              </w:rPr>
              <w:t>II. Costo financiero</w:t>
            </w:r>
            <w:r w:rsidRPr="006B173F">
              <w:rPr>
                <w:rFonts w:eastAsia="Times New Roman"/>
                <w:sz w:val="20"/>
                <w:szCs w:val="20"/>
                <w:u w:val="single"/>
                <w:vertAlign w:val="superscript"/>
              </w:rPr>
              <w:t>1</w:t>
            </w:r>
            <w:r w:rsidRPr="006B173F">
              <w:rPr>
                <w:rFonts w:eastAsia="Times New Roman"/>
                <w:sz w:val="20"/>
                <w:szCs w:val="20"/>
                <w:vertAlign w:val="superscript"/>
              </w:rPr>
              <w:t>/</w:t>
            </w:r>
          </w:p>
        </w:tc>
        <w:tc>
          <w:tcPr>
            <w:tcW w:w="1244" w:type="dxa"/>
            <w:tcBorders>
              <w:bottom w:val="single" w:sz="4" w:space="0" w:color="auto"/>
              <w:right w:val="single" w:sz="4" w:space="0" w:color="auto"/>
            </w:tcBorders>
          </w:tcPr>
          <w:p w14:paraId="07A94B06"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27 412.8 </w:t>
            </w:r>
          </w:p>
        </w:tc>
        <w:tc>
          <w:tcPr>
            <w:tcW w:w="1244" w:type="dxa"/>
            <w:tcBorders>
              <w:left w:val="single" w:sz="4" w:space="0" w:color="auto"/>
              <w:bottom w:val="single" w:sz="4" w:space="0" w:color="auto"/>
              <w:right w:val="single" w:sz="4" w:space="0" w:color="auto"/>
            </w:tcBorders>
          </w:tcPr>
          <w:p w14:paraId="04AFE70C"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38 594.7 </w:t>
            </w:r>
          </w:p>
        </w:tc>
        <w:tc>
          <w:tcPr>
            <w:tcW w:w="812" w:type="dxa"/>
            <w:tcBorders>
              <w:left w:val="single" w:sz="4" w:space="0" w:color="auto"/>
              <w:bottom w:val="single" w:sz="4" w:space="0" w:color="auto"/>
              <w:right w:val="single" w:sz="4" w:space="0" w:color="auto"/>
            </w:tcBorders>
          </w:tcPr>
          <w:p w14:paraId="6B3F5DDF"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36.6 </w:t>
            </w:r>
          </w:p>
        </w:tc>
        <w:tc>
          <w:tcPr>
            <w:tcW w:w="860" w:type="dxa"/>
            <w:tcBorders>
              <w:left w:val="single" w:sz="4" w:space="0" w:color="auto"/>
              <w:bottom w:val="single" w:sz="4" w:space="0" w:color="auto"/>
              <w:right w:val="single" w:sz="4" w:space="0" w:color="auto"/>
            </w:tcBorders>
          </w:tcPr>
          <w:p w14:paraId="79011BC9"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3.9 </w:t>
            </w:r>
          </w:p>
        </w:tc>
        <w:tc>
          <w:tcPr>
            <w:tcW w:w="826" w:type="dxa"/>
            <w:tcBorders>
              <w:left w:val="single" w:sz="4" w:space="0" w:color="auto"/>
              <w:bottom w:val="single" w:sz="4" w:space="0" w:color="auto"/>
              <w:right w:val="single" w:sz="4" w:space="0" w:color="auto"/>
            </w:tcBorders>
          </w:tcPr>
          <w:p w14:paraId="3A93DDE3" w14:textId="77777777" w:rsidR="006B173F" w:rsidRPr="006B173F" w:rsidRDefault="006B173F" w:rsidP="006B173F">
            <w:pPr>
              <w:ind w:right="170"/>
              <w:jc w:val="right"/>
              <w:rPr>
                <w:rFonts w:eastAsia="Calibri"/>
                <w:sz w:val="20"/>
                <w:szCs w:val="20"/>
                <w:lang w:eastAsia="en-US"/>
              </w:rPr>
            </w:pPr>
            <w:r w:rsidRPr="006B173F">
              <w:rPr>
                <w:rFonts w:eastAsia="Calibri"/>
                <w:sz w:val="20"/>
                <w:szCs w:val="20"/>
                <w:lang w:eastAsia="en-US"/>
              </w:rPr>
              <w:t xml:space="preserve">4.8 </w:t>
            </w:r>
          </w:p>
        </w:tc>
      </w:tr>
      <w:tr w:rsidR="006B173F" w:rsidRPr="006B173F" w14:paraId="2C71A6F0" w14:textId="77777777" w:rsidTr="006B173F">
        <w:trPr>
          <w:cantSplit/>
          <w:jc w:val="center"/>
        </w:trPr>
        <w:tc>
          <w:tcPr>
            <w:tcW w:w="8838" w:type="dxa"/>
            <w:gridSpan w:val="6"/>
            <w:tcBorders>
              <w:top w:val="single" w:sz="4" w:space="0" w:color="auto"/>
            </w:tcBorders>
            <w:shd w:val="clear" w:color="auto" w:fill="auto"/>
          </w:tcPr>
          <w:p w14:paraId="7C6E6055" w14:textId="77777777" w:rsidR="006B173F" w:rsidRPr="006B173F" w:rsidRDefault="006B173F" w:rsidP="006B173F">
            <w:pPr>
              <w:jc w:val="both"/>
              <w:rPr>
                <w:rFonts w:eastAsia="Times New Roman"/>
                <w:sz w:val="20"/>
                <w:szCs w:val="20"/>
              </w:rPr>
            </w:pPr>
            <w:r w:rsidRPr="006B173F">
              <w:rPr>
                <w:rFonts w:eastAsia="Times New Roman"/>
                <w:sz w:val="20"/>
                <w:szCs w:val="20"/>
              </w:rPr>
              <w:t>Nota: Las sumas parciales y las variaciones pueden no coincidir debido al redondeo.</w:t>
            </w:r>
          </w:p>
          <w:p w14:paraId="31728867" w14:textId="77777777" w:rsidR="006B173F" w:rsidRPr="006B173F" w:rsidRDefault="006B173F" w:rsidP="006B173F">
            <w:pPr>
              <w:jc w:val="both"/>
              <w:rPr>
                <w:rFonts w:eastAsia="Times New Roman"/>
                <w:sz w:val="20"/>
                <w:szCs w:val="20"/>
              </w:rPr>
            </w:pPr>
            <w:r w:rsidRPr="006B173F">
              <w:rPr>
                <w:rFonts w:eastAsia="Times New Roman"/>
                <w:sz w:val="20"/>
                <w:szCs w:val="20"/>
                <w:u w:val="single"/>
              </w:rPr>
              <w:t>p</w:t>
            </w:r>
            <w:r w:rsidRPr="006B173F">
              <w:rPr>
                <w:rFonts w:eastAsia="Times New Roman"/>
                <w:sz w:val="20"/>
                <w:szCs w:val="20"/>
              </w:rPr>
              <w:t>/ Cifras preliminares.</w:t>
            </w:r>
          </w:p>
          <w:p w14:paraId="11E7A413" w14:textId="77777777" w:rsidR="006B173F" w:rsidRPr="006B173F" w:rsidRDefault="006B173F" w:rsidP="006B173F">
            <w:pPr>
              <w:ind w:left="227" w:hanging="227"/>
              <w:jc w:val="both"/>
              <w:rPr>
                <w:rFonts w:eastAsia="Times New Roman"/>
                <w:sz w:val="20"/>
                <w:szCs w:val="20"/>
              </w:rPr>
            </w:pPr>
            <w:r w:rsidRPr="006B173F">
              <w:rPr>
                <w:rFonts w:eastAsia="Times New Roman"/>
                <w:sz w:val="20"/>
                <w:szCs w:val="20"/>
                <w:u w:val="single"/>
              </w:rPr>
              <w:t>1</w:t>
            </w:r>
            <w:r w:rsidRPr="006B173F">
              <w:rPr>
                <w:rFonts w:eastAsia="Times New Roman"/>
                <w:sz w:val="20"/>
                <w:szCs w:val="20"/>
              </w:rPr>
              <w:t>/ Incluye los intereses, comisiones y gastos de la deuda pública, así como las erogaciones para saneamiento financiero y de apoyo a ahorradores y deudores de la banca.</w:t>
            </w:r>
          </w:p>
          <w:p w14:paraId="7E8E1968" w14:textId="77777777" w:rsidR="006B173F" w:rsidRPr="006B173F" w:rsidRDefault="006B173F" w:rsidP="006B173F">
            <w:pPr>
              <w:jc w:val="both"/>
              <w:rPr>
                <w:rFonts w:eastAsia="Times New Roman"/>
                <w:sz w:val="20"/>
                <w:szCs w:val="20"/>
              </w:rPr>
            </w:pPr>
            <w:r w:rsidRPr="006B173F">
              <w:rPr>
                <w:rFonts w:eastAsia="Times New Roman"/>
                <w:sz w:val="20"/>
                <w:szCs w:val="20"/>
              </w:rPr>
              <w:t>FUENTE: Dirección General Adjunta de Estadística de la Hacienda Pública, UPEHP.</w:t>
            </w:r>
          </w:p>
        </w:tc>
      </w:tr>
    </w:tbl>
    <w:p w14:paraId="1F1E1E48" w14:textId="77777777" w:rsidR="006B173F" w:rsidRPr="006B173F" w:rsidRDefault="006B173F" w:rsidP="006B173F">
      <w:pPr>
        <w:spacing w:after="360" w:line="360" w:lineRule="auto"/>
        <w:ind w:right="-159"/>
        <w:jc w:val="both"/>
        <w:rPr>
          <w:rFonts w:eastAsia="Calibri"/>
          <w:sz w:val="26"/>
          <w:szCs w:val="26"/>
          <w:lang w:eastAsia="en-US"/>
        </w:rPr>
      </w:pPr>
    </w:p>
    <w:p w14:paraId="617C6282" w14:textId="77777777" w:rsidR="006B173F" w:rsidRPr="006B173F" w:rsidRDefault="006B173F" w:rsidP="006B173F">
      <w:pPr>
        <w:spacing w:after="360" w:line="360" w:lineRule="auto"/>
        <w:ind w:right="-159"/>
        <w:jc w:val="both"/>
        <w:rPr>
          <w:rFonts w:eastAsia="Calibri"/>
          <w:b/>
          <w:sz w:val="26"/>
          <w:szCs w:val="26"/>
          <w:lang w:eastAsia="en-US"/>
        </w:rPr>
      </w:pPr>
      <w:r w:rsidRPr="006B173F">
        <w:rPr>
          <w:rFonts w:eastAsia="Calibri"/>
          <w:b/>
          <w:sz w:val="26"/>
          <w:szCs w:val="26"/>
          <w:lang w:eastAsia="en-US"/>
        </w:rPr>
        <w:t>Saldo de la deuda pública a febrero</w:t>
      </w:r>
    </w:p>
    <w:p w14:paraId="7BDBF176"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El saldo de la deuda interna neta del Gobierno Federal al cierre de febrero de 2015 fue de 4 billones 431 mil 959.6 millones de pesos, monto superior en 107 mil 839 millones de pesos al registrado al cierre de diciembre de 2014. La variación de los saldos se explica por un endeudamiento neto de 67 mil 137.5 millones de pesos, por ajustes contables al alza de 5 mil 524.5 millones de pesos y por una disminución en las disponibilidades del Gobierno Federal de 35 mil 200 millones de pesos.</w:t>
      </w:r>
    </w:p>
    <w:p w14:paraId="3FCB2CB6" w14:textId="77777777" w:rsidR="006B173F" w:rsidRPr="006B173F" w:rsidRDefault="006B173F" w:rsidP="006B173F">
      <w:pPr>
        <w:spacing w:after="360" w:line="360" w:lineRule="auto"/>
        <w:ind w:right="-159"/>
        <w:jc w:val="both"/>
        <w:rPr>
          <w:rFonts w:eastAsia="Calibri"/>
          <w:sz w:val="26"/>
          <w:szCs w:val="26"/>
          <w:lang w:eastAsia="en-US"/>
        </w:rPr>
      </w:pPr>
    </w:p>
    <w:p w14:paraId="707F0ADF" w14:textId="77777777" w:rsidR="006B173F" w:rsidRPr="006B173F" w:rsidRDefault="006B173F" w:rsidP="006B173F">
      <w:pPr>
        <w:spacing w:after="360" w:line="360" w:lineRule="auto"/>
        <w:ind w:right="-159"/>
        <w:jc w:val="both"/>
        <w:rPr>
          <w:rFonts w:eastAsia="Calibri"/>
          <w:sz w:val="26"/>
          <w:szCs w:val="26"/>
          <w:lang w:eastAsia="en-US"/>
        </w:rPr>
      </w:pPr>
    </w:p>
    <w:p w14:paraId="54D0F529" w14:textId="77777777" w:rsidR="006B173F" w:rsidRPr="006B173F" w:rsidRDefault="006B173F" w:rsidP="006B173F">
      <w:pPr>
        <w:spacing w:after="360" w:line="360" w:lineRule="auto"/>
        <w:ind w:right="-159"/>
        <w:jc w:val="both"/>
        <w:rPr>
          <w:rFonts w:eastAsia="Calibri"/>
          <w:sz w:val="26"/>
          <w:szCs w:val="26"/>
          <w:lang w:eastAsia="en-US"/>
        </w:rPr>
      </w:pPr>
    </w:p>
    <w:tbl>
      <w:tblPr>
        <w:tblW w:w="9351" w:type="dxa"/>
        <w:jc w:val="center"/>
        <w:tblLook w:val="01E0" w:firstRow="1" w:lastRow="1" w:firstColumn="1" w:lastColumn="1" w:noHBand="0" w:noVBand="0"/>
      </w:tblPr>
      <w:tblGrid>
        <w:gridCol w:w="2751"/>
        <w:gridCol w:w="1243"/>
        <w:gridCol w:w="1225"/>
        <w:gridCol w:w="1076"/>
        <w:gridCol w:w="992"/>
        <w:gridCol w:w="899"/>
        <w:gridCol w:w="1165"/>
      </w:tblGrid>
      <w:tr w:rsidR="006B173F" w:rsidRPr="006B173F" w14:paraId="02C6B886" w14:textId="77777777" w:rsidTr="006B173F">
        <w:trPr>
          <w:jc w:val="center"/>
        </w:trPr>
        <w:tc>
          <w:tcPr>
            <w:tcW w:w="9351" w:type="dxa"/>
            <w:gridSpan w:val="7"/>
            <w:tcBorders>
              <w:top w:val="nil"/>
              <w:left w:val="nil"/>
              <w:bottom w:val="single" w:sz="2" w:space="0" w:color="auto"/>
              <w:right w:val="nil"/>
            </w:tcBorders>
            <w:shd w:val="clear" w:color="auto" w:fill="auto"/>
          </w:tcPr>
          <w:p w14:paraId="6F5A1250" w14:textId="77777777" w:rsidR="006B173F" w:rsidRPr="006B173F" w:rsidRDefault="006B173F" w:rsidP="006B173F">
            <w:pPr>
              <w:jc w:val="center"/>
              <w:rPr>
                <w:rFonts w:eastAsia="Times New Roman"/>
                <w:b/>
                <w:iCs/>
                <w:sz w:val="18"/>
                <w:szCs w:val="18"/>
              </w:rPr>
            </w:pPr>
            <w:r w:rsidRPr="006B173F">
              <w:rPr>
                <w:rFonts w:eastAsia="Times New Roman"/>
                <w:b/>
                <w:iCs/>
                <w:sz w:val="18"/>
                <w:szCs w:val="18"/>
              </w:rPr>
              <w:lastRenderedPageBreak/>
              <w:t>DEUDA INTERNA DEL GOBIERNO FEDERAL, FEBRERO</w:t>
            </w:r>
            <w:r w:rsidRPr="006B173F">
              <w:rPr>
                <w:rFonts w:eastAsia="Times New Roman"/>
                <w:b/>
                <w:iCs/>
                <w:sz w:val="18"/>
                <w:szCs w:val="18"/>
                <w:u w:val="single"/>
                <w:vertAlign w:val="superscript"/>
              </w:rPr>
              <w:t>*</w:t>
            </w:r>
            <w:r w:rsidRPr="006B173F">
              <w:rPr>
                <w:rFonts w:eastAsia="Times New Roman"/>
                <w:b/>
                <w:iCs/>
                <w:sz w:val="18"/>
                <w:szCs w:val="18"/>
                <w:vertAlign w:val="superscript"/>
              </w:rPr>
              <w:t>/</w:t>
            </w:r>
          </w:p>
          <w:p w14:paraId="6D7D80E5" w14:textId="77777777" w:rsidR="006B173F" w:rsidRPr="006B173F" w:rsidRDefault="006B173F" w:rsidP="006B173F">
            <w:pPr>
              <w:spacing w:after="120"/>
              <w:jc w:val="center"/>
              <w:rPr>
                <w:rFonts w:eastAsia="Times New Roman"/>
                <w:iCs/>
                <w:sz w:val="18"/>
                <w:szCs w:val="18"/>
              </w:rPr>
            </w:pPr>
            <w:r w:rsidRPr="006B173F">
              <w:rPr>
                <w:rFonts w:eastAsia="Times New Roman"/>
                <w:b/>
                <w:iCs/>
                <w:sz w:val="18"/>
                <w:szCs w:val="18"/>
              </w:rPr>
              <w:t>-Millones de pesos-</w:t>
            </w:r>
          </w:p>
        </w:tc>
      </w:tr>
      <w:tr w:rsidR="006B173F" w:rsidRPr="006B173F" w14:paraId="4ECFB25F" w14:textId="77777777" w:rsidTr="006B173F">
        <w:trPr>
          <w:jc w:val="center"/>
        </w:trPr>
        <w:tc>
          <w:tcPr>
            <w:tcW w:w="2751"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CA18C60" w14:textId="77777777" w:rsidR="006B173F" w:rsidRPr="006B173F" w:rsidRDefault="006B173F" w:rsidP="006B173F">
            <w:pPr>
              <w:jc w:val="center"/>
              <w:rPr>
                <w:rFonts w:eastAsia="Times New Roman"/>
                <w:b/>
                <w:sz w:val="16"/>
                <w:szCs w:val="16"/>
              </w:rPr>
            </w:pPr>
            <w:r w:rsidRPr="006B173F">
              <w:rPr>
                <w:rFonts w:eastAsia="Times New Roman"/>
                <w:b/>
                <w:sz w:val="16"/>
                <w:szCs w:val="16"/>
              </w:rPr>
              <w:t>Concepto</w:t>
            </w:r>
          </w:p>
        </w:tc>
        <w:tc>
          <w:tcPr>
            <w:tcW w:w="1243"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7C931258" w14:textId="77777777" w:rsidR="006B173F" w:rsidRPr="006B173F" w:rsidRDefault="006B173F" w:rsidP="006B173F">
            <w:pPr>
              <w:jc w:val="center"/>
              <w:rPr>
                <w:rFonts w:eastAsia="Times New Roman"/>
                <w:b/>
                <w:sz w:val="16"/>
                <w:szCs w:val="16"/>
              </w:rPr>
            </w:pPr>
            <w:r w:rsidRPr="006B173F">
              <w:rPr>
                <w:rFonts w:eastAsia="Times New Roman"/>
                <w:b/>
                <w:sz w:val="16"/>
                <w:szCs w:val="16"/>
              </w:rPr>
              <w:t>Saldo a diciembre</w:t>
            </w:r>
          </w:p>
          <w:p w14:paraId="3133B826" w14:textId="77777777" w:rsidR="006B173F" w:rsidRPr="006B173F" w:rsidRDefault="006B173F" w:rsidP="006B173F">
            <w:pPr>
              <w:jc w:val="center"/>
              <w:rPr>
                <w:rFonts w:eastAsia="Times New Roman"/>
                <w:b/>
                <w:sz w:val="16"/>
                <w:szCs w:val="16"/>
              </w:rPr>
            </w:pPr>
            <w:r w:rsidRPr="006B173F">
              <w:rPr>
                <w:rFonts w:eastAsia="Times New Roman"/>
                <w:b/>
                <w:sz w:val="16"/>
                <w:szCs w:val="16"/>
              </w:rPr>
              <w:t xml:space="preserve">de </w:t>
            </w:r>
            <w:r w:rsidRPr="006B173F">
              <w:rPr>
                <w:rFonts w:eastAsia="Times New Roman"/>
                <w:b/>
                <w:iCs/>
                <w:sz w:val="16"/>
                <w:szCs w:val="16"/>
              </w:rPr>
              <w:t>2014</w:t>
            </w:r>
            <w:r w:rsidRPr="006B173F">
              <w:rPr>
                <w:rFonts w:eastAsia="Times New Roman"/>
                <w:b/>
                <w:iCs/>
                <w:sz w:val="16"/>
                <w:szCs w:val="16"/>
                <w:u w:val="single"/>
                <w:vertAlign w:val="superscript"/>
              </w:rPr>
              <w:t>p</w:t>
            </w:r>
            <w:r w:rsidRPr="006B173F">
              <w:rPr>
                <w:rFonts w:eastAsia="Times New Roman"/>
                <w:b/>
                <w:iCs/>
                <w:sz w:val="16"/>
                <w:szCs w:val="16"/>
                <w:vertAlign w:val="superscript"/>
              </w:rPr>
              <w:t>/</w:t>
            </w:r>
          </w:p>
        </w:tc>
        <w:tc>
          <w:tcPr>
            <w:tcW w:w="3293"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282C5F26" w14:textId="77777777" w:rsidR="006B173F" w:rsidRPr="006B173F" w:rsidRDefault="006B173F" w:rsidP="006B173F">
            <w:pPr>
              <w:jc w:val="center"/>
              <w:rPr>
                <w:rFonts w:eastAsia="Times New Roman"/>
                <w:b/>
                <w:sz w:val="16"/>
                <w:szCs w:val="16"/>
              </w:rPr>
            </w:pPr>
            <w:r w:rsidRPr="006B173F">
              <w:rPr>
                <w:rFonts w:eastAsia="Times New Roman"/>
                <w:b/>
                <w:sz w:val="16"/>
                <w:szCs w:val="16"/>
              </w:rPr>
              <w:t>Endeudamiento</w:t>
            </w:r>
          </w:p>
        </w:tc>
        <w:tc>
          <w:tcPr>
            <w:tcW w:w="899"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494B0A5F" w14:textId="77777777" w:rsidR="006B173F" w:rsidRPr="006B173F" w:rsidRDefault="006B173F" w:rsidP="006B173F">
            <w:pPr>
              <w:jc w:val="center"/>
              <w:rPr>
                <w:rFonts w:eastAsia="Times New Roman"/>
                <w:b/>
                <w:sz w:val="16"/>
                <w:szCs w:val="16"/>
              </w:rPr>
            </w:pPr>
            <w:r w:rsidRPr="006B173F">
              <w:rPr>
                <w:rFonts w:eastAsia="Times New Roman"/>
                <w:b/>
                <w:sz w:val="16"/>
                <w:szCs w:val="16"/>
              </w:rPr>
              <w:t>Ajustes</w:t>
            </w:r>
            <w:r w:rsidRPr="006B173F">
              <w:rPr>
                <w:rFonts w:eastAsia="Times New Roman"/>
                <w:b/>
                <w:sz w:val="16"/>
                <w:szCs w:val="16"/>
                <w:u w:val="single"/>
                <w:vertAlign w:val="superscript"/>
              </w:rPr>
              <w:t>1</w:t>
            </w:r>
            <w:r w:rsidRPr="006B173F">
              <w:rPr>
                <w:rFonts w:eastAsia="Times New Roman"/>
                <w:b/>
                <w:sz w:val="16"/>
                <w:szCs w:val="16"/>
                <w:vertAlign w:val="superscript"/>
              </w:rPr>
              <w:t>/</w:t>
            </w:r>
          </w:p>
        </w:tc>
        <w:tc>
          <w:tcPr>
            <w:tcW w:w="1165"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5ED9C8FC" w14:textId="77777777" w:rsidR="006B173F" w:rsidRPr="006B173F" w:rsidRDefault="006B173F" w:rsidP="006B173F">
            <w:pPr>
              <w:jc w:val="center"/>
              <w:rPr>
                <w:rFonts w:eastAsia="Times New Roman"/>
                <w:b/>
                <w:iCs/>
                <w:sz w:val="16"/>
                <w:szCs w:val="16"/>
              </w:rPr>
            </w:pPr>
            <w:r w:rsidRPr="006B173F">
              <w:rPr>
                <w:rFonts w:eastAsia="Times New Roman"/>
                <w:b/>
                <w:iCs/>
                <w:sz w:val="16"/>
                <w:szCs w:val="16"/>
              </w:rPr>
              <w:t>Saldo a</w:t>
            </w:r>
          </w:p>
          <w:p w14:paraId="640049A8" w14:textId="77777777" w:rsidR="006B173F" w:rsidRPr="006B173F" w:rsidRDefault="006B173F" w:rsidP="006B173F">
            <w:pPr>
              <w:jc w:val="center"/>
              <w:rPr>
                <w:rFonts w:eastAsia="Times New Roman"/>
                <w:b/>
                <w:iCs/>
                <w:sz w:val="16"/>
                <w:szCs w:val="16"/>
              </w:rPr>
            </w:pPr>
            <w:r w:rsidRPr="006B173F">
              <w:rPr>
                <w:rFonts w:eastAsia="Times New Roman"/>
                <w:b/>
                <w:iCs/>
                <w:sz w:val="16"/>
                <w:szCs w:val="16"/>
              </w:rPr>
              <w:t>febrero</w:t>
            </w:r>
          </w:p>
          <w:p w14:paraId="7A169143" w14:textId="77777777" w:rsidR="006B173F" w:rsidRPr="006B173F" w:rsidRDefault="006B173F" w:rsidP="006B173F">
            <w:pPr>
              <w:jc w:val="center"/>
              <w:rPr>
                <w:rFonts w:eastAsia="Times New Roman"/>
                <w:b/>
                <w:iCs/>
                <w:sz w:val="16"/>
                <w:szCs w:val="16"/>
              </w:rPr>
            </w:pPr>
            <w:r w:rsidRPr="006B173F">
              <w:rPr>
                <w:rFonts w:eastAsia="Times New Roman"/>
                <w:b/>
                <w:iCs/>
                <w:sz w:val="16"/>
                <w:szCs w:val="16"/>
              </w:rPr>
              <w:t>2015</w:t>
            </w:r>
            <w:r w:rsidRPr="006B173F">
              <w:rPr>
                <w:rFonts w:eastAsia="Times New Roman"/>
                <w:b/>
                <w:iCs/>
                <w:sz w:val="16"/>
                <w:szCs w:val="16"/>
                <w:u w:val="single"/>
                <w:vertAlign w:val="superscript"/>
              </w:rPr>
              <w:t>p</w:t>
            </w:r>
            <w:r w:rsidRPr="006B173F">
              <w:rPr>
                <w:rFonts w:eastAsia="Times New Roman"/>
                <w:b/>
                <w:iCs/>
                <w:sz w:val="16"/>
                <w:szCs w:val="16"/>
                <w:vertAlign w:val="superscript"/>
              </w:rPr>
              <w:t>/</w:t>
            </w:r>
          </w:p>
        </w:tc>
      </w:tr>
      <w:tr w:rsidR="006B173F" w:rsidRPr="006B173F" w14:paraId="6434CB4F" w14:textId="77777777" w:rsidTr="006B173F">
        <w:trPr>
          <w:jc w:val="center"/>
        </w:trPr>
        <w:tc>
          <w:tcPr>
            <w:tcW w:w="2751" w:type="dxa"/>
            <w:vMerge/>
            <w:tcBorders>
              <w:top w:val="single" w:sz="2" w:space="0" w:color="auto"/>
              <w:left w:val="single" w:sz="2" w:space="0" w:color="auto"/>
              <w:bottom w:val="single" w:sz="2" w:space="0" w:color="auto"/>
              <w:right w:val="single" w:sz="2" w:space="0" w:color="auto"/>
            </w:tcBorders>
            <w:shd w:val="clear" w:color="auto" w:fill="auto"/>
          </w:tcPr>
          <w:p w14:paraId="10FACA3F" w14:textId="77777777" w:rsidR="006B173F" w:rsidRPr="006B173F" w:rsidRDefault="006B173F" w:rsidP="006B173F">
            <w:pPr>
              <w:jc w:val="center"/>
              <w:rPr>
                <w:rFonts w:eastAsia="Times New Roman"/>
                <w:b/>
                <w:sz w:val="16"/>
                <w:szCs w:val="16"/>
              </w:rPr>
            </w:pPr>
          </w:p>
        </w:tc>
        <w:tc>
          <w:tcPr>
            <w:tcW w:w="1243" w:type="dxa"/>
            <w:vMerge/>
            <w:tcBorders>
              <w:top w:val="single" w:sz="2" w:space="0" w:color="auto"/>
              <w:left w:val="single" w:sz="2" w:space="0" w:color="auto"/>
              <w:bottom w:val="single" w:sz="2" w:space="0" w:color="auto"/>
              <w:right w:val="single" w:sz="2" w:space="0" w:color="auto"/>
            </w:tcBorders>
            <w:shd w:val="clear" w:color="auto" w:fill="auto"/>
          </w:tcPr>
          <w:p w14:paraId="002D7D4D" w14:textId="77777777" w:rsidR="006B173F" w:rsidRPr="006B173F" w:rsidRDefault="006B173F" w:rsidP="006B173F">
            <w:pPr>
              <w:jc w:val="center"/>
              <w:rPr>
                <w:rFonts w:eastAsia="Times New Roman"/>
                <w:b/>
                <w:sz w:val="16"/>
                <w:szCs w:val="16"/>
              </w:rPr>
            </w:pPr>
          </w:p>
        </w:tc>
        <w:tc>
          <w:tcPr>
            <w:tcW w:w="1225" w:type="dxa"/>
            <w:tcBorders>
              <w:top w:val="single" w:sz="2" w:space="0" w:color="auto"/>
              <w:left w:val="single" w:sz="2" w:space="0" w:color="auto"/>
              <w:bottom w:val="single" w:sz="2" w:space="0" w:color="auto"/>
              <w:right w:val="single" w:sz="2" w:space="0" w:color="auto"/>
            </w:tcBorders>
            <w:shd w:val="clear" w:color="auto" w:fill="auto"/>
            <w:vAlign w:val="center"/>
          </w:tcPr>
          <w:p w14:paraId="6C2C9F1A" w14:textId="77777777" w:rsidR="006B173F" w:rsidRPr="006B173F" w:rsidRDefault="006B173F" w:rsidP="006B173F">
            <w:pPr>
              <w:ind w:right="-57"/>
              <w:jc w:val="center"/>
              <w:rPr>
                <w:rFonts w:eastAsia="Times New Roman"/>
                <w:b/>
                <w:sz w:val="16"/>
                <w:szCs w:val="16"/>
              </w:rPr>
            </w:pPr>
            <w:r w:rsidRPr="006B173F">
              <w:rPr>
                <w:rFonts w:eastAsia="Times New Roman"/>
                <w:b/>
                <w:sz w:val="16"/>
                <w:szCs w:val="16"/>
              </w:rPr>
              <w:t>Disp.</w:t>
            </w:r>
          </w:p>
        </w:tc>
        <w:tc>
          <w:tcPr>
            <w:tcW w:w="1076" w:type="dxa"/>
            <w:tcBorders>
              <w:top w:val="single" w:sz="2" w:space="0" w:color="auto"/>
              <w:left w:val="single" w:sz="2" w:space="0" w:color="auto"/>
              <w:bottom w:val="single" w:sz="2" w:space="0" w:color="auto"/>
              <w:right w:val="single" w:sz="2" w:space="0" w:color="auto"/>
            </w:tcBorders>
            <w:shd w:val="clear" w:color="auto" w:fill="auto"/>
            <w:vAlign w:val="center"/>
          </w:tcPr>
          <w:p w14:paraId="06E0A821" w14:textId="77777777" w:rsidR="006B173F" w:rsidRPr="006B173F" w:rsidRDefault="006B173F" w:rsidP="006B173F">
            <w:pPr>
              <w:jc w:val="center"/>
              <w:rPr>
                <w:rFonts w:eastAsia="Times New Roman"/>
                <w:b/>
                <w:sz w:val="16"/>
                <w:szCs w:val="16"/>
              </w:rPr>
            </w:pPr>
            <w:r w:rsidRPr="006B173F">
              <w:rPr>
                <w:rFonts w:eastAsia="Times New Roman"/>
                <w:b/>
                <w:sz w:val="16"/>
                <w:szCs w:val="16"/>
              </w:rPr>
              <w:t>Amort.</w:t>
            </w:r>
          </w:p>
        </w:tc>
        <w:tc>
          <w:tcPr>
            <w:tcW w:w="992" w:type="dxa"/>
            <w:tcBorders>
              <w:top w:val="single" w:sz="2" w:space="0" w:color="auto"/>
              <w:left w:val="single" w:sz="2" w:space="0" w:color="auto"/>
              <w:bottom w:val="single" w:sz="2" w:space="0" w:color="auto"/>
              <w:right w:val="single" w:sz="2" w:space="0" w:color="auto"/>
            </w:tcBorders>
            <w:shd w:val="clear" w:color="auto" w:fill="auto"/>
            <w:vAlign w:val="center"/>
          </w:tcPr>
          <w:p w14:paraId="739EA944" w14:textId="77777777" w:rsidR="006B173F" w:rsidRPr="006B173F" w:rsidRDefault="006B173F" w:rsidP="006B173F">
            <w:pPr>
              <w:jc w:val="center"/>
              <w:rPr>
                <w:rFonts w:eastAsia="Times New Roman"/>
                <w:b/>
                <w:sz w:val="16"/>
                <w:szCs w:val="16"/>
              </w:rPr>
            </w:pPr>
            <w:r w:rsidRPr="006B173F">
              <w:rPr>
                <w:rFonts w:eastAsia="Times New Roman"/>
                <w:b/>
                <w:sz w:val="16"/>
                <w:szCs w:val="16"/>
              </w:rPr>
              <w:t>Neto</w:t>
            </w:r>
          </w:p>
        </w:tc>
        <w:tc>
          <w:tcPr>
            <w:tcW w:w="899" w:type="dxa"/>
            <w:vMerge/>
            <w:tcBorders>
              <w:top w:val="single" w:sz="2" w:space="0" w:color="auto"/>
              <w:left w:val="single" w:sz="2" w:space="0" w:color="auto"/>
              <w:bottom w:val="single" w:sz="2" w:space="0" w:color="auto"/>
              <w:right w:val="single" w:sz="2" w:space="0" w:color="auto"/>
            </w:tcBorders>
            <w:shd w:val="clear" w:color="auto" w:fill="auto"/>
          </w:tcPr>
          <w:p w14:paraId="28D08725" w14:textId="77777777" w:rsidR="006B173F" w:rsidRPr="006B173F" w:rsidRDefault="006B173F" w:rsidP="006B173F">
            <w:pPr>
              <w:jc w:val="center"/>
              <w:rPr>
                <w:rFonts w:eastAsia="Times New Roman"/>
                <w:b/>
                <w:sz w:val="16"/>
                <w:szCs w:val="16"/>
              </w:rPr>
            </w:pPr>
          </w:p>
        </w:tc>
        <w:tc>
          <w:tcPr>
            <w:tcW w:w="1165" w:type="dxa"/>
            <w:vMerge/>
            <w:tcBorders>
              <w:top w:val="single" w:sz="2" w:space="0" w:color="auto"/>
              <w:left w:val="single" w:sz="2" w:space="0" w:color="auto"/>
              <w:bottom w:val="single" w:sz="2" w:space="0" w:color="auto"/>
              <w:right w:val="single" w:sz="2" w:space="0" w:color="auto"/>
            </w:tcBorders>
            <w:shd w:val="clear" w:color="auto" w:fill="auto"/>
          </w:tcPr>
          <w:p w14:paraId="62DD7094" w14:textId="77777777" w:rsidR="006B173F" w:rsidRPr="006B173F" w:rsidRDefault="006B173F" w:rsidP="006B173F">
            <w:pPr>
              <w:jc w:val="center"/>
              <w:rPr>
                <w:rFonts w:eastAsia="Times New Roman"/>
                <w:b/>
                <w:i/>
                <w:iCs/>
                <w:sz w:val="16"/>
                <w:szCs w:val="16"/>
              </w:rPr>
            </w:pPr>
          </w:p>
        </w:tc>
      </w:tr>
      <w:tr w:rsidR="006B173F" w:rsidRPr="006B173F" w14:paraId="1608BA24" w14:textId="77777777" w:rsidTr="006B173F">
        <w:trPr>
          <w:jc w:val="center"/>
        </w:trPr>
        <w:tc>
          <w:tcPr>
            <w:tcW w:w="2751" w:type="dxa"/>
            <w:tcBorders>
              <w:top w:val="single" w:sz="2" w:space="0" w:color="auto"/>
              <w:left w:val="single" w:sz="2" w:space="0" w:color="000000"/>
              <w:right w:val="single" w:sz="2" w:space="0" w:color="000000"/>
            </w:tcBorders>
            <w:shd w:val="clear" w:color="auto" w:fill="auto"/>
          </w:tcPr>
          <w:p w14:paraId="586884F7" w14:textId="77777777" w:rsidR="006B173F" w:rsidRPr="006B173F" w:rsidRDefault="006B173F" w:rsidP="006B173F">
            <w:pPr>
              <w:rPr>
                <w:rFonts w:eastAsia="Times New Roman"/>
                <w:b/>
                <w:sz w:val="16"/>
                <w:szCs w:val="16"/>
              </w:rPr>
            </w:pPr>
            <w:r w:rsidRPr="006B173F">
              <w:rPr>
                <w:rFonts w:eastAsia="Times New Roman"/>
                <w:b/>
                <w:sz w:val="16"/>
                <w:szCs w:val="16"/>
              </w:rPr>
              <w:t>1. Deuda Neta (3-2)</w:t>
            </w:r>
          </w:p>
        </w:tc>
        <w:tc>
          <w:tcPr>
            <w:tcW w:w="1243" w:type="dxa"/>
            <w:tcBorders>
              <w:top w:val="single" w:sz="2" w:space="0" w:color="auto"/>
              <w:left w:val="single" w:sz="2" w:space="0" w:color="000000"/>
              <w:right w:val="single" w:sz="2" w:space="0" w:color="000000"/>
            </w:tcBorders>
            <w:shd w:val="clear" w:color="auto" w:fill="auto"/>
          </w:tcPr>
          <w:p w14:paraId="3CC1EDD1" w14:textId="77777777" w:rsidR="006B173F" w:rsidRPr="006B173F" w:rsidRDefault="006B173F" w:rsidP="006B173F">
            <w:pPr>
              <w:ind w:right="170"/>
              <w:jc w:val="right"/>
              <w:rPr>
                <w:b/>
                <w:sz w:val="18"/>
                <w:szCs w:val="18"/>
              </w:rPr>
            </w:pPr>
            <w:r w:rsidRPr="006B173F">
              <w:rPr>
                <w:b/>
                <w:sz w:val="18"/>
                <w:szCs w:val="18"/>
              </w:rPr>
              <w:t>4 324 120.6</w:t>
            </w:r>
          </w:p>
        </w:tc>
        <w:tc>
          <w:tcPr>
            <w:tcW w:w="1225" w:type="dxa"/>
            <w:tcBorders>
              <w:top w:val="single" w:sz="2" w:space="0" w:color="auto"/>
              <w:left w:val="single" w:sz="2" w:space="0" w:color="000000"/>
              <w:right w:val="single" w:sz="2" w:space="0" w:color="000000"/>
            </w:tcBorders>
            <w:shd w:val="clear" w:color="auto" w:fill="auto"/>
          </w:tcPr>
          <w:p w14:paraId="76CD4EF4" w14:textId="77777777" w:rsidR="006B173F" w:rsidRPr="006B173F" w:rsidRDefault="006B173F" w:rsidP="006B173F">
            <w:pPr>
              <w:ind w:right="113"/>
              <w:jc w:val="right"/>
              <w:rPr>
                <w:b/>
                <w:sz w:val="18"/>
                <w:szCs w:val="18"/>
              </w:rPr>
            </w:pPr>
          </w:p>
        </w:tc>
        <w:tc>
          <w:tcPr>
            <w:tcW w:w="1076" w:type="dxa"/>
            <w:tcBorders>
              <w:top w:val="single" w:sz="2" w:space="0" w:color="auto"/>
              <w:left w:val="single" w:sz="2" w:space="0" w:color="000000"/>
              <w:right w:val="single" w:sz="2" w:space="0" w:color="000000"/>
            </w:tcBorders>
            <w:shd w:val="clear" w:color="auto" w:fill="auto"/>
          </w:tcPr>
          <w:p w14:paraId="3D5AD34A" w14:textId="77777777" w:rsidR="006B173F" w:rsidRPr="006B173F" w:rsidRDefault="006B173F" w:rsidP="006B173F">
            <w:pPr>
              <w:jc w:val="right"/>
              <w:rPr>
                <w:b/>
                <w:sz w:val="18"/>
                <w:szCs w:val="18"/>
              </w:rPr>
            </w:pPr>
          </w:p>
        </w:tc>
        <w:tc>
          <w:tcPr>
            <w:tcW w:w="992" w:type="dxa"/>
            <w:tcBorders>
              <w:top w:val="single" w:sz="2" w:space="0" w:color="auto"/>
              <w:left w:val="single" w:sz="2" w:space="0" w:color="000000"/>
              <w:right w:val="single" w:sz="2" w:space="0" w:color="000000"/>
            </w:tcBorders>
            <w:shd w:val="clear" w:color="auto" w:fill="auto"/>
          </w:tcPr>
          <w:p w14:paraId="6068800B" w14:textId="77777777" w:rsidR="006B173F" w:rsidRPr="006B173F" w:rsidRDefault="006B173F" w:rsidP="006B173F">
            <w:pPr>
              <w:jc w:val="right"/>
              <w:rPr>
                <w:b/>
                <w:sz w:val="18"/>
                <w:szCs w:val="18"/>
              </w:rPr>
            </w:pPr>
          </w:p>
        </w:tc>
        <w:tc>
          <w:tcPr>
            <w:tcW w:w="899" w:type="dxa"/>
            <w:tcBorders>
              <w:top w:val="single" w:sz="2" w:space="0" w:color="auto"/>
              <w:left w:val="single" w:sz="2" w:space="0" w:color="000000"/>
              <w:right w:val="single" w:sz="2" w:space="0" w:color="000000"/>
            </w:tcBorders>
            <w:shd w:val="clear" w:color="auto" w:fill="auto"/>
          </w:tcPr>
          <w:p w14:paraId="24050EBF" w14:textId="77777777" w:rsidR="006B173F" w:rsidRPr="006B173F" w:rsidRDefault="006B173F" w:rsidP="006B173F">
            <w:pPr>
              <w:jc w:val="right"/>
              <w:rPr>
                <w:b/>
                <w:sz w:val="18"/>
                <w:szCs w:val="18"/>
              </w:rPr>
            </w:pPr>
          </w:p>
        </w:tc>
        <w:tc>
          <w:tcPr>
            <w:tcW w:w="1165" w:type="dxa"/>
            <w:tcBorders>
              <w:top w:val="single" w:sz="2" w:space="0" w:color="auto"/>
              <w:right w:val="single" w:sz="4" w:space="0" w:color="000000"/>
            </w:tcBorders>
          </w:tcPr>
          <w:p w14:paraId="71138CAD"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4 431 959.6 </w:t>
            </w:r>
          </w:p>
        </w:tc>
      </w:tr>
      <w:tr w:rsidR="006B173F" w:rsidRPr="006B173F" w14:paraId="3B828BD5" w14:textId="77777777" w:rsidTr="006B173F">
        <w:trPr>
          <w:jc w:val="center"/>
        </w:trPr>
        <w:tc>
          <w:tcPr>
            <w:tcW w:w="2751" w:type="dxa"/>
            <w:tcBorders>
              <w:left w:val="single" w:sz="2" w:space="0" w:color="000000"/>
              <w:right w:val="single" w:sz="2" w:space="0" w:color="000000"/>
            </w:tcBorders>
            <w:shd w:val="clear" w:color="auto" w:fill="auto"/>
          </w:tcPr>
          <w:p w14:paraId="67D9C321" w14:textId="77777777" w:rsidR="006B173F" w:rsidRPr="006B173F" w:rsidRDefault="006B173F" w:rsidP="006B173F">
            <w:pPr>
              <w:rPr>
                <w:rFonts w:eastAsia="Times New Roman"/>
                <w:sz w:val="16"/>
                <w:szCs w:val="16"/>
              </w:rPr>
            </w:pPr>
            <w:r w:rsidRPr="006B173F">
              <w:rPr>
                <w:rFonts w:eastAsia="Times New Roman"/>
                <w:sz w:val="16"/>
                <w:szCs w:val="16"/>
              </w:rPr>
              <w:t>2. Activos</w:t>
            </w:r>
            <w:r w:rsidRPr="006B173F">
              <w:rPr>
                <w:rFonts w:eastAsia="Times New Roman"/>
                <w:sz w:val="16"/>
                <w:szCs w:val="16"/>
                <w:u w:val="single"/>
                <w:vertAlign w:val="superscript"/>
              </w:rPr>
              <w:t>2</w:t>
            </w:r>
            <w:r w:rsidRPr="006B173F">
              <w:rPr>
                <w:rFonts w:eastAsia="Times New Roman"/>
                <w:sz w:val="16"/>
                <w:szCs w:val="16"/>
                <w:vertAlign w:val="superscript"/>
              </w:rPr>
              <w:t>/</w:t>
            </w:r>
          </w:p>
        </w:tc>
        <w:tc>
          <w:tcPr>
            <w:tcW w:w="1243" w:type="dxa"/>
            <w:tcBorders>
              <w:left w:val="single" w:sz="2" w:space="0" w:color="000000"/>
              <w:right w:val="single" w:sz="2" w:space="0" w:color="000000"/>
            </w:tcBorders>
            <w:shd w:val="clear" w:color="auto" w:fill="auto"/>
          </w:tcPr>
          <w:p w14:paraId="281FB0D7" w14:textId="77777777" w:rsidR="006B173F" w:rsidRPr="006B173F" w:rsidRDefault="006B173F" w:rsidP="006B173F">
            <w:pPr>
              <w:ind w:right="170"/>
              <w:jc w:val="right"/>
              <w:rPr>
                <w:sz w:val="18"/>
                <w:szCs w:val="18"/>
              </w:rPr>
            </w:pPr>
            <w:r w:rsidRPr="006B173F">
              <w:rPr>
                <w:sz w:val="18"/>
                <w:szCs w:val="18"/>
              </w:rPr>
              <w:t>222 499.0</w:t>
            </w:r>
          </w:p>
        </w:tc>
        <w:tc>
          <w:tcPr>
            <w:tcW w:w="1225" w:type="dxa"/>
            <w:tcBorders>
              <w:left w:val="single" w:sz="2" w:space="0" w:color="000000"/>
              <w:right w:val="single" w:sz="2" w:space="0" w:color="000000"/>
            </w:tcBorders>
            <w:shd w:val="clear" w:color="auto" w:fill="auto"/>
          </w:tcPr>
          <w:p w14:paraId="62CFF880" w14:textId="77777777" w:rsidR="006B173F" w:rsidRPr="006B173F" w:rsidRDefault="006B173F" w:rsidP="006B173F">
            <w:pPr>
              <w:ind w:right="113"/>
              <w:jc w:val="right"/>
              <w:rPr>
                <w:sz w:val="18"/>
                <w:szCs w:val="18"/>
              </w:rPr>
            </w:pPr>
          </w:p>
        </w:tc>
        <w:tc>
          <w:tcPr>
            <w:tcW w:w="1076" w:type="dxa"/>
            <w:tcBorders>
              <w:left w:val="single" w:sz="2" w:space="0" w:color="000000"/>
              <w:right w:val="single" w:sz="2" w:space="0" w:color="000000"/>
            </w:tcBorders>
            <w:shd w:val="clear" w:color="auto" w:fill="auto"/>
          </w:tcPr>
          <w:p w14:paraId="5F7D42E1" w14:textId="77777777" w:rsidR="006B173F" w:rsidRPr="006B173F" w:rsidRDefault="006B173F" w:rsidP="006B173F">
            <w:pPr>
              <w:jc w:val="right"/>
              <w:rPr>
                <w:sz w:val="18"/>
                <w:szCs w:val="18"/>
              </w:rPr>
            </w:pPr>
          </w:p>
        </w:tc>
        <w:tc>
          <w:tcPr>
            <w:tcW w:w="992" w:type="dxa"/>
            <w:tcBorders>
              <w:left w:val="single" w:sz="2" w:space="0" w:color="000000"/>
              <w:right w:val="single" w:sz="2" w:space="0" w:color="000000"/>
            </w:tcBorders>
            <w:shd w:val="clear" w:color="auto" w:fill="auto"/>
          </w:tcPr>
          <w:p w14:paraId="637B9FA8" w14:textId="77777777" w:rsidR="006B173F" w:rsidRPr="006B173F" w:rsidRDefault="006B173F" w:rsidP="006B173F">
            <w:pPr>
              <w:jc w:val="right"/>
              <w:rPr>
                <w:sz w:val="18"/>
                <w:szCs w:val="18"/>
              </w:rPr>
            </w:pPr>
          </w:p>
        </w:tc>
        <w:tc>
          <w:tcPr>
            <w:tcW w:w="899" w:type="dxa"/>
            <w:tcBorders>
              <w:left w:val="single" w:sz="2" w:space="0" w:color="000000"/>
              <w:right w:val="single" w:sz="2" w:space="0" w:color="000000"/>
            </w:tcBorders>
            <w:shd w:val="clear" w:color="auto" w:fill="auto"/>
          </w:tcPr>
          <w:p w14:paraId="18A8DBC8" w14:textId="77777777" w:rsidR="006B173F" w:rsidRPr="006B173F" w:rsidRDefault="006B173F" w:rsidP="006B173F">
            <w:pPr>
              <w:jc w:val="right"/>
              <w:rPr>
                <w:sz w:val="18"/>
                <w:szCs w:val="18"/>
              </w:rPr>
            </w:pPr>
          </w:p>
        </w:tc>
        <w:tc>
          <w:tcPr>
            <w:tcW w:w="1165" w:type="dxa"/>
            <w:tcBorders>
              <w:right w:val="single" w:sz="4" w:space="0" w:color="000000"/>
            </w:tcBorders>
          </w:tcPr>
          <w:p w14:paraId="210442C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187 322.0 </w:t>
            </w:r>
          </w:p>
        </w:tc>
      </w:tr>
      <w:tr w:rsidR="006B173F" w:rsidRPr="006B173F" w14:paraId="1675B424" w14:textId="77777777" w:rsidTr="006B173F">
        <w:trPr>
          <w:jc w:val="center"/>
        </w:trPr>
        <w:tc>
          <w:tcPr>
            <w:tcW w:w="2751" w:type="dxa"/>
            <w:tcBorders>
              <w:left w:val="single" w:sz="2" w:space="0" w:color="000000"/>
              <w:right w:val="single" w:sz="2" w:space="0" w:color="000000"/>
            </w:tcBorders>
            <w:shd w:val="clear" w:color="auto" w:fill="auto"/>
          </w:tcPr>
          <w:p w14:paraId="1A3B456B" w14:textId="77777777" w:rsidR="006B173F" w:rsidRPr="006B173F" w:rsidRDefault="006B173F" w:rsidP="006B173F">
            <w:pPr>
              <w:rPr>
                <w:rFonts w:eastAsia="Times New Roman"/>
                <w:b/>
                <w:sz w:val="16"/>
                <w:szCs w:val="16"/>
              </w:rPr>
            </w:pPr>
            <w:r w:rsidRPr="006B173F">
              <w:rPr>
                <w:rFonts w:eastAsia="Times New Roman"/>
                <w:b/>
                <w:sz w:val="16"/>
                <w:szCs w:val="16"/>
              </w:rPr>
              <w:t>3. Deuda Bruta</w:t>
            </w:r>
          </w:p>
        </w:tc>
        <w:tc>
          <w:tcPr>
            <w:tcW w:w="1243" w:type="dxa"/>
            <w:tcBorders>
              <w:left w:val="single" w:sz="2" w:space="0" w:color="000000"/>
              <w:right w:val="single" w:sz="2" w:space="0" w:color="000000"/>
            </w:tcBorders>
            <w:shd w:val="clear" w:color="auto" w:fill="auto"/>
          </w:tcPr>
          <w:p w14:paraId="6EE2E7F2" w14:textId="77777777" w:rsidR="006B173F" w:rsidRPr="006B173F" w:rsidRDefault="006B173F" w:rsidP="006B173F">
            <w:pPr>
              <w:ind w:right="170"/>
              <w:jc w:val="right"/>
              <w:rPr>
                <w:b/>
                <w:sz w:val="18"/>
                <w:szCs w:val="18"/>
              </w:rPr>
            </w:pPr>
            <w:r w:rsidRPr="006B173F">
              <w:rPr>
                <w:b/>
                <w:sz w:val="18"/>
                <w:szCs w:val="18"/>
              </w:rPr>
              <w:t>4 546 619.6</w:t>
            </w:r>
          </w:p>
        </w:tc>
        <w:tc>
          <w:tcPr>
            <w:tcW w:w="1225" w:type="dxa"/>
            <w:tcBorders>
              <w:right w:val="single" w:sz="2" w:space="0" w:color="000000"/>
            </w:tcBorders>
          </w:tcPr>
          <w:p w14:paraId="11E91319"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431 619.4 </w:t>
            </w:r>
          </w:p>
        </w:tc>
        <w:tc>
          <w:tcPr>
            <w:tcW w:w="1076" w:type="dxa"/>
            <w:tcBorders>
              <w:left w:val="single" w:sz="2" w:space="0" w:color="000000"/>
              <w:right w:val="single" w:sz="2" w:space="0" w:color="000000"/>
            </w:tcBorders>
          </w:tcPr>
          <w:p w14:paraId="358E5404"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364 481.9 </w:t>
            </w:r>
          </w:p>
        </w:tc>
        <w:tc>
          <w:tcPr>
            <w:tcW w:w="992" w:type="dxa"/>
            <w:tcBorders>
              <w:left w:val="single" w:sz="2" w:space="0" w:color="000000"/>
              <w:right w:val="single" w:sz="2" w:space="0" w:color="000000"/>
            </w:tcBorders>
          </w:tcPr>
          <w:p w14:paraId="3039DE31"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67 137.5 </w:t>
            </w:r>
          </w:p>
        </w:tc>
        <w:tc>
          <w:tcPr>
            <w:tcW w:w="899" w:type="dxa"/>
            <w:tcBorders>
              <w:left w:val="single" w:sz="2" w:space="0" w:color="000000"/>
              <w:right w:val="single" w:sz="2" w:space="0" w:color="000000"/>
            </w:tcBorders>
          </w:tcPr>
          <w:p w14:paraId="370DD53E"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5 524.5 </w:t>
            </w:r>
          </w:p>
        </w:tc>
        <w:tc>
          <w:tcPr>
            <w:tcW w:w="1165" w:type="dxa"/>
            <w:tcBorders>
              <w:left w:val="single" w:sz="2" w:space="0" w:color="000000"/>
              <w:right w:val="single" w:sz="2" w:space="0" w:color="000000"/>
            </w:tcBorders>
          </w:tcPr>
          <w:p w14:paraId="28BA8464" w14:textId="77777777" w:rsidR="006B173F" w:rsidRPr="006B173F" w:rsidRDefault="006B173F" w:rsidP="006B173F">
            <w:pPr>
              <w:ind w:left="-113" w:right="113"/>
              <w:jc w:val="right"/>
              <w:rPr>
                <w:rFonts w:eastAsia="Calibri"/>
                <w:sz w:val="18"/>
                <w:szCs w:val="18"/>
                <w:lang w:eastAsia="en-US"/>
              </w:rPr>
            </w:pPr>
            <w:r w:rsidRPr="006B173F">
              <w:rPr>
                <w:rFonts w:eastAsia="Calibri"/>
                <w:b/>
                <w:bCs/>
                <w:sz w:val="18"/>
                <w:szCs w:val="18"/>
                <w:lang w:eastAsia="en-US"/>
              </w:rPr>
              <w:t xml:space="preserve">4 619 281.6 </w:t>
            </w:r>
          </w:p>
        </w:tc>
      </w:tr>
      <w:tr w:rsidR="006B173F" w:rsidRPr="006B173F" w14:paraId="0137F7A6" w14:textId="77777777" w:rsidTr="006B173F">
        <w:trPr>
          <w:jc w:val="center"/>
        </w:trPr>
        <w:tc>
          <w:tcPr>
            <w:tcW w:w="2751" w:type="dxa"/>
            <w:tcBorders>
              <w:left w:val="single" w:sz="2" w:space="0" w:color="000000"/>
              <w:right w:val="single" w:sz="2" w:space="0" w:color="000000"/>
            </w:tcBorders>
            <w:shd w:val="clear" w:color="auto" w:fill="auto"/>
          </w:tcPr>
          <w:p w14:paraId="3C8C8B51" w14:textId="77777777" w:rsidR="006B173F" w:rsidRPr="006B173F" w:rsidRDefault="006B173F" w:rsidP="006B173F">
            <w:pPr>
              <w:ind w:left="170"/>
              <w:rPr>
                <w:rFonts w:eastAsia="Times New Roman"/>
                <w:sz w:val="16"/>
                <w:szCs w:val="16"/>
              </w:rPr>
            </w:pPr>
            <w:r w:rsidRPr="006B173F">
              <w:rPr>
                <w:rFonts w:eastAsia="Times New Roman"/>
                <w:sz w:val="16"/>
                <w:szCs w:val="16"/>
              </w:rPr>
              <w:t>Valores</w:t>
            </w:r>
          </w:p>
        </w:tc>
        <w:tc>
          <w:tcPr>
            <w:tcW w:w="1243" w:type="dxa"/>
            <w:tcBorders>
              <w:left w:val="single" w:sz="2" w:space="0" w:color="000000"/>
              <w:right w:val="single" w:sz="2" w:space="0" w:color="000000"/>
            </w:tcBorders>
            <w:shd w:val="clear" w:color="auto" w:fill="auto"/>
          </w:tcPr>
          <w:p w14:paraId="76C96BC7" w14:textId="77777777" w:rsidR="006B173F" w:rsidRPr="006B173F" w:rsidRDefault="006B173F" w:rsidP="006B173F">
            <w:pPr>
              <w:ind w:right="170"/>
              <w:jc w:val="right"/>
              <w:rPr>
                <w:sz w:val="18"/>
                <w:szCs w:val="18"/>
              </w:rPr>
            </w:pPr>
            <w:r w:rsidRPr="006B173F">
              <w:rPr>
                <w:sz w:val="18"/>
                <w:szCs w:val="18"/>
              </w:rPr>
              <w:t>4 223 281.4</w:t>
            </w:r>
          </w:p>
        </w:tc>
        <w:tc>
          <w:tcPr>
            <w:tcW w:w="1225" w:type="dxa"/>
            <w:tcBorders>
              <w:right w:val="single" w:sz="2" w:space="0" w:color="000000"/>
            </w:tcBorders>
          </w:tcPr>
          <w:p w14:paraId="2838AAD4"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400 774.4 </w:t>
            </w:r>
          </w:p>
        </w:tc>
        <w:tc>
          <w:tcPr>
            <w:tcW w:w="1076" w:type="dxa"/>
            <w:tcBorders>
              <w:left w:val="single" w:sz="2" w:space="0" w:color="000000"/>
              <w:right w:val="single" w:sz="2" w:space="0" w:color="000000"/>
            </w:tcBorders>
          </w:tcPr>
          <w:p w14:paraId="20FE5278"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331 607.6 </w:t>
            </w:r>
          </w:p>
        </w:tc>
        <w:tc>
          <w:tcPr>
            <w:tcW w:w="992" w:type="dxa"/>
            <w:tcBorders>
              <w:left w:val="single" w:sz="2" w:space="0" w:color="000000"/>
              <w:right w:val="single" w:sz="2" w:space="0" w:color="000000"/>
            </w:tcBorders>
          </w:tcPr>
          <w:p w14:paraId="57AE9C0F"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69 166.8 </w:t>
            </w:r>
          </w:p>
        </w:tc>
        <w:tc>
          <w:tcPr>
            <w:tcW w:w="899" w:type="dxa"/>
            <w:tcBorders>
              <w:left w:val="single" w:sz="2" w:space="0" w:color="000000"/>
              <w:right w:val="single" w:sz="2" w:space="0" w:color="000000"/>
            </w:tcBorders>
          </w:tcPr>
          <w:p w14:paraId="60A5DCD0"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3 579.5 </w:t>
            </w:r>
          </w:p>
        </w:tc>
        <w:tc>
          <w:tcPr>
            <w:tcW w:w="1165" w:type="dxa"/>
            <w:tcBorders>
              <w:left w:val="single" w:sz="2" w:space="0" w:color="000000"/>
              <w:right w:val="single" w:sz="2" w:space="0" w:color="000000"/>
            </w:tcBorders>
          </w:tcPr>
          <w:p w14:paraId="561510F2"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4 296 027.7 </w:t>
            </w:r>
          </w:p>
        </w:tc>
      </w:tr>
      <w:tr w:rsidR="006B173F" w:rsidRPr="006B173F" w14:paraId="3EEF9CE1" w14:textId="77777777" w:rsidTr="006B173F">
        <w:trPr>
          <w:jc w:val="center"/>
        </w:trPr>
        <w:tc>
          <w:tcPr>
            <w:tcW w:w="2751" w:type="dxa"/>
            <w:tcBorders>
              <w:left w:val="single" w:sz="2" w:space="0" w:color="000000"/>
              <w:right w:val="single" w:sz="2" w:space="0" w:color="000000"/>
            </w:tcBorders>
            <w:shd w:val="clear" w:color="auto" w:fill="auto"/>
          </w:tcPr>
          <w:p w14:paraId="5B2445B6" w14:textId="77777777" w:rsidR="006B173F" w:rsidRPr="006B173F" w:rsidRDefault="006B173F" w:rsidP="006B173F">
            <w:pPr>
              <w:ind w:left="284"/>
              <w:rPr>
                <w:rFonts w:eastAsia="Times New Roman"/>
                <w:sz w:val="16"/>
                <w:szCs w:val="16"/>
              </w:rPr>
            </w:pPr>
            <w:r w:rsidRPr="006B173F">
              <w:rPr>
                <w:rFonts w:eastAsia="Times New Roman"/>
                <w:sz w:val="16"/>
                <w:szCs w:val="16"/>
              </w:rPr>
              <w:t>Cetes</w:t>
            </w:r>
          </w:p>
        </w:tc>
        <w:tc>
          <w:tcPr>
            <w:tcW w:w="1243" w:type="dxa"/>
            <w:tcBorders>
              <w:left w:val="single" w:sz="2" w:space="0" w:color="000000"/>
              <w:right w:val="single" w:sz="2" w:space="0" w:color="000000"/>
            </w:tcBorders>
            <w:shd w:val="clear" w:color="auto" w:fill="auto"/>
          </w:tcPr>
          <w:p w14:paraId="19934FFB" w14:textId="77777777" w:rsidR="006B173F" w:rsidRPr="006B173F" w:rsidRDefault="006B173F" w:rsidP="006B173F">
            <w:pPr>
              <w:ind w:right="170"/>
              <w:jc w:val="right"/>
              <w:rPr>
                <w:sz w:val="18"/>
                <w:szCs w:val="18"/>
              </w:rPr>
            </w:pPr>
            <w:r w:rsidRPr="006B173F">
              <w:rPr>
                <w:sz w:val="18"/>
                <w:szCs w:val="18"/>
              </w:rPr>
              <w:t>678 684.4</w:t>
            </w:r>
          </w:p>
        </w:tc>
        <w:tc>
          <w:tcPr>
            <w:tcW w:w="1225" w:type="dxa"/>
            <w:tcBorders>
              <w:right w:val="single" w:sz="2" w:space="0" w:color="000000"/>
            </w:tcBorders>
          </w:tcPr>
          <w:p w14:paraId="43700E99"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265 787.5 </w:t>
            </w:r>
          </w:p>
        </w:tc>
        <w:tc>
          <w:tcPr>
            <w:tcW w:w="1076" w:type="dxa"/>
            <w:tcBorders>
              <w:left w:val="single" w:sz="2" w:space="0" w:color="000000"/>
              <w:right w:val="single" w:sz="2" w:space="0" w:color="000000"/>
            </w:tcBorders>
          </w:tcPr>
          <w:p w14:paraId="3CECE92F"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287 612.4 </w:t>
            </w:r>
          </w:p>
        </w:tc>
        <w:tc>
          <w:tcPr>
            <w:tcW w:w="992" w:type="dxa"/>
            <w:tcBorders>
              <w:left w:val="single" w:sz="2" w:space="0" w:color="000000"/>
              <w:right w:val="single" w:sz="2" w:space="0" w:color="000000"/>
            </w:tcBorders>
          </w:tcPr>
          <w:p w14:paraId="67BA959A"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-21 824.9 </w:t>
            </w:r>
          </w:p>
        </w:tc>
        <w:tc>
          <w:tcPr>
            <w:tcW w:w="899" w:type="dxa"/>
            <w:tcBorders>
              <w:left w:val="single" w:sz="2" w:space="0" w:color="000000"/>
              <w:right w:val="single" w:sz="2" w:space="0" w:color="000000"/>
            </w:tcBorders>
          </w:tcPr>
          <w:p w14:paraId="7C0A1380"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1165" w:type="dxa"/>
            <w:tcBorders>
              <w:left w:val="single" w:sz="2" w:space="0" w:color="000000"/>
              <w:right w:val="single" w:sz="2" w:space="0" w:color="000000"/>
            </w:tcBorders>
          </w:tcPr>
          <w:p w14:paraId="299B1E8C"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656 859.5 </w:t>
            </w:r>
          </w:p>
        </w:tc>
      </w:tr>
      <w:tr w:rsidR="006B173F" w:rsidRPr="006B173F" w14:paraId="007043AB" w14:textId="77777777" w:rsidTr="006B173F">
        <w:trPr>
          <w:jc w:val="center"/>
        </w:trPr>
        <w:tc>
          <w:tcPr>
            <w:tcW w:w="2751" w:type="dxa"/>
            <w:tcBorders>
              <w:left w:val="single" w:sz="2" w:space="0" w:color="000000"/>
              <w:right w:val="single" w:sz="2" w:space="0" w:color="000000"/>
            </w:tcBorders>
            <w:shd w:val="clear" w:color="auto" w:fill="auto"/>
          </w:tcPr>
          <w:p w14:paraId="09622A2D" w14:textId="77777777" w:rsidR="006B173F" w:rsidRPr="006B173F" w:rsidRDefault="006B173F" w:rsidP="006B173F">
            <w:pPr>
              <w:ind w:left="284"/>
              <w:rPr>
                <w:rFonts w:eastAsia="Times New Roman"/>
                <w:sz w:val="16"/>
                <w:szCs w:val="16"/>
                <w:lang w:val="pt-BR"/>
              </w:rPr>
            </w:pPr>
            <w:r w:rsidRPr="006B173F">
              <w:rPr>
                <w:rFonts w:eastAsia="Times New Roman"/>
                <w:sz w:val="16"/>
                <w:szCs w:val="16"/>
                <w:lang w:val="pt-BR"/>
              </w:rPr>
              <w:t>Bondes “D”</w:t>
            </w:r>
          </w:p>
        </w:tc>
        <w:tc>
          <w:tcPr>
            <w:tcW w:w="1243" w:type="dxa"/>
            <w:tcBorders>
              <w:left w:val="single" w:sz="2" w:space="0" w:color="000000"/>
              <w:right w:val="single" w:sz="2" w:space="0" w:color="000000"/>
            </w:tcBorders>
            <w:shd w:val="clear" w:color="auto" w:fill="auto"/>
          </w:tcPr>
          <w:p w14:paraId="15F8A9F0" w14:textId="77777777" w:rsidR="006B173F" w:rsidRPr="006B173F" w:rsidRDefault="006B173F" w:rsidP="006B173F">
            <w:pPr>
              <w:ind w:right="170"/>
              <w:jc w:val="right"/>
              <w:rPr>
                <w:sz w:val="18"/>
                <w:szCs w:val="18"/>
              </w:rPr>
            </w:pPr>
            <w:r w:rsidRPr="006B173F">
              <w:rPr>
                <w:sz w:val="18"/>
                <w:szCs w:val="18"/>
              </w:rPr>
              <w:t>232 622.0</w:t>
            </w:r>
          </w:p>
        </w:tc>
        <w:tc>
          <w:tcPr>
            <w:tcW w:w="1225" w:type="dxa"/>
            <w:tcBorders>
              <w:right w:val="single" w:sz="2" w:space="0" w:color="000000"/>
            </w:tcBorders>
          </w:tcPr>
          <w:p w14:paraId="7F9C0864"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13 601.7 </w:t>
            </w:r>
          </w:p>
        </w:tc>
        <w:tc>
          <w:tcPr>
            <w:tcW w:w="1076" w:type="dxa"/>
            <w:tcBorders>
              <w:left w:val="single" w:sz="2" w:space="0" w:color="000000"/>
              <w:right w:val="single" w:sz="2" w:space="0" w:color="000000"/>
            </w:tcBorders>
          </w:tcPr>
          <w:p w14:paraId="1FFAEAFA"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10 010.0 </w:t>
            </w:r>
          </w:p>
        </w:tc>
        <w:tc>
          <w:tcPr>
            <w:tcW w:w="992" w:type="dxa"/>
            <w:tcBorders>
              <w:left w:val="single" w:sz="2" w:space="0" w:color="000000"/>
              <w:right w:val="single" w:sz="2" w:space="0" w:color="000000"/>
            </w:tcBorders>
          </w:tcPr>
          <w:p w14:paraId="78153C0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3 591.7 </w:t>
            </w:r>
          </w:p>
        </w:tc>
        <w:tc>
          <w:tcPr>
            <w:tcW w:w="899" w:type="dxa"/>
            <w:tcBorders>
              <w:left w:val="single" w:sz="2" w:space="0" w:color="000000"/>
              <w:right w:val="single" w:sz="2" w:space="0" w:color="000000"/>
            </w:tcBorders>
          </w:tcPr>
          <w:p w14:paraId="61ACD61F"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1165" w:type="dxa"/>
            <w:tcBorders>
              <w:left w:val="single" w:sz="2" w:space="0" w:color="000000"/>
              <w:right w:val="single" w:sz="2" w:space="0" w:color="000000"/>
            </w:tcBorders>
          </w:tcPr>
          <w:p w14:paraId="3E9F4D96"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236 213.7 </w:t>
            </w:r>
          </w:p>
        </w:tc>
      </w:tr>
      <w:tr w:rsidR="006B173F" w:rsidRPr="006B173F" w14:paraId="6A2C928D" w14:textId="77777777" w:rsidTr="006B173F">
        <w:trPr>
          <w:jc w:val="center"/>
        </w:trPr>
        <w:tc>
          <w:tcPr>
            <w:tcW w:w="2751" w:type="dxa"/>
            <w:tcBorders>
              <w:left w:val="single" w:sz="2" w:space="0" w:color="000000"/>
              <w:right w:val="single" w:sz="2" w:space="0" w:color="000000"/>
            </w:tcBorders>
            <w:shd w:val="clear" w:color="auto" w:fill="auto"/>
          </w:tcPr>
          <w:p w14:paraId="6DE0B83B" w14:textId="77777777" w:rsidR="006B173F" w:rsidRPr="006B173F" w:rsidRDefault="006B173F" w:rsidP="006B173F">
            <w:pPr>
              <w:ind w:left="284"/>
              <w:rPr>
                <w:rFonts w:eastAsia="Times New Roman"/>
                <w:sz w:val="16"/>
                <w:szCs w:val="16"/>
                <w:lang w:val="es-ES"/>
              </w:rPr>
            </w:pPr>
            <w:r w:rsidRPr="006B173F">
              <w:rPr>
                <w:rFonts w:eastAsia="Times New Roman"/>
                <w:sz w:val="16"/>
                <w:szCs w:val="16"/>
                <w:lang w:val="es-ES"/>
              </w:rPr>
              <w:t>Bonos de desarrollo tasa fija</w:t>
            </w:r>
          </w:p>
        </w:tc>
        <w:tc>
          <w:tcPr>
            <w:tcW w:w="1243" w:type="dxa"/>
            <w:tcBorders>
              <w:left w:val="single" w:sz="2" w:space="0" w:color="000000"/>
              <w:right w:val="single" w:sz="2" w:space="0" w:color="000000"/>
            </w:tcBorders>
            <w:shd w:val="clear" w:color="auto" w:fill="auto"/>
          </w:tcPr>
          <w:p w14:paraId="6108A9B7" w14:textId="77777777" w:rsidR="006B173F" w:rsidRPr="006B173F" w:rsidRDefault="006B173F" w:rsidP="006B173F">
            <w:pPr>
              <w:ind w:right="170"/>
              <w:jc w:val="right"/>
              <w:rPr>
                <w:sz w:val="18"/>
                <w:szCs w:val="18"/>
              </w:rPr>
            </w:pPr>
            <w:r w:rsidRPr="006B173F">
              <w:rPr>
                <w:sz w:val="18"/>
                <w:szCs w:val="18"/>
              </w:rPr>
              <w:t>2 295 828.3</w:t>
            </w:r>
          </w:p>
        </w:tc>
        <w:tc>
          <w:tcPr>
            <w:tcW w:w="1225" w:type="dxa"/>
            <w:tcBorders>
              <w:right w:val="single" w:sz="2" w:space="0" w:color="000000"/>
            </w:tcBorders>
          </w:tcPr>
          <w:p w14:paraId="2463C7A5"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94 645.8 </w:t>
            </w:r>
          </w:p>
        </w:tc>
        <w:tc>
          <w:tcPr>
            <w:tcW w:w="1076" w:type="dxa"/>
            <w:tcBorders>
              <w:left w:val="single" w:sz="2" w:space="0" w:color="000000"/>
              <w:right w:val="single" w:sz="2" w:space="0" w:color="000000"/>
            </w:tcBorders>
          </w:tcPr>
          <w:p w14:paraId="22EEC994"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33 985.2 </w:t>
            </w:r>
          </w:p>
        </w:tc>
        <w:tc>
          <w:tcPr>
            <w:tcW w:w="992" w:type="dxa"/>
            <w:tcBorders>
              <w:left w:val="single" w:sz="2" w:space="0" w:color="000000"/>
              <w:right w:val="single" w:sz="2" w:space="0" w:color="000000"/>
            </w:tcBorders>
          </w:tcPr>
          <w:p w14:paraId="3DB7F4EE"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60 660.6 </w:t>
            </w:r>
          </w:p>
        </w:tc>
        <w:tc>
          <w:tcPr>
            <w:tcW w:w="899" w:type="dxa"/>
            <w:tcBorders>
              <w:left w:val="single" w:sz="2" w:space="0" w:color="000000"/>
              <w:right w:val="single" w:sz="2" w:space="0" w:color="000000"/>
            </w:tcBorders>
          </w:tcPr>
          <w:p w14:paraId="553C10D9"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733.7 </w:t>
            </w:r>
          </w:p>
        </w:tc>
        <w:tc>
          <w:tcPr>
            <w:tcW w:w="1165" w:type="dxa"/>
            <w:tcBorders>
              <w:left w:val="single" w:sz="2" w:space="0" w:color="000000"/>
              <w:right w:val="single" w:sz="2" w:space="0" w:color="000000"/>
            </w:tcBorders>
          </w:tcPr>
          <w:p w14:paraId="7C5F2C1F" w14:textId="534081B7" w:rsidR="006B173F" w:rsidRPr="006B173F" w:rsidRDefault="00D97227" w:rsidP="006B173F">
            <w:pPr>
              <w:ind w:left="-113" w:right="113"/>
              <w:jc w:val="right"/>
              <w:rPr>
                <w:rFonts w:eastAsia="Calibri"/>
                <w:sz w:val="18"/>
                <w:szCs w:val="18"/>
                <w:lang w:eastAsia="en-US"/>
              </w:rPr>
            </w:pPr>
            <w:r>
              <w:rPr>
                <w:rFonts w:eastAsia="Calibri"/>
                <w:sz w:val="18"/>
                <w:szCs w:val="18"/>
                <w:lang w:eastAsia="en-US"/>
              </w:rPr>
              <w:t xml:space="preserve">2 </w:t>
            </w:r>
            <w:r w:rsidR="006B173F" w:rsidRPr="006B173F">
              <w:rPr>
                <w:rFonts w:eastAsia="Calibri"/>
                <w:sz w:val="18"/>
                <w:szCs w:val="18"/>
                <w:lang w:eastAsia="en-US"/>
              </w:rPr>
              <w:t xml:space="preserve">357 222.6 </w:t>
            </w:r>
          </w:p>
        </w:tc>
      </w:tr>
      <w:tr w:rsidR="006B173F" w:rsidRPr="006B173F" w14:paraId="7781167E" w14:textId="77777777" w:rsidTr="006B173F">
        <w:trPr>
          <w:jc w:val="center"/>
        </w:trPr>
        <w:tc>
          <w:tcPr>
            <w:tcW w:w="2751" w:type="dxa"/>
            <w:tcBorders>
              <w:left w:val="single" w:sz="2" w:space="0" w:color="000000"/>
              <w:right w:val="single" w:sz="2" w:space="0" w:color="000000"/>
            </w:tcBorders>
            <w:shd w:val="clear" w:color="auto" w:fill="auto"/>
          </w:tcPr>
          <w:p w14:paraId="4AFF1DA3" w14:textId="77777777" w:rsidR="006B173F" w:rsidRPr="006B173F" w:rsidRDefault="006B173F" w:rsidP="006B173F">
            <w:pPr>
              <w:ind w:left="284"/>
              <w:rPr>
                <w:rFonts w:eastAsia="Times New Roman"/>
                <w:sz w:val="16"/>
                <w:szCs w:val="16"/>
                <w:lang w:val="pt-BR"/>
              </w:rPr>
            </w:pPr>
            <w:r w:rsidRPr="006B173F">
              <w:rPr>
                <w:rFonts w:eastAsia="Times New Roman"/>
                <w:sz w:val="16"/>
                <w:szCs w:val="16"/>
                <w:lang w:val="pt-BR"/>
              </w:rPr>
              <w:t>Udibonos</w:t>
            </w:r>
          </w:p>
        </w:tc>
        <w:tc>
          <w:tcPr>
            <w:tcW w:w="1243" w:type="dxa"/>
            <w:tcBorders>
              <w:left w:val="single" w:sz="2" w:space="0" w:color="000000"/>
              <w:right w:val="single" w:sz="2" w:space="0" w:color="000000"/>
            </w:tcBorders>
            <w:shd w:val="clear" w:color="auto" w:fill="auto"/>
          </w:tcPr>
          <w:p w14:paraId="3820DE11" w14:textId="77777777" w:rsidR="006B173F" w:rsidRPr="006B173F" w:rsidRDefault="006B173F" w:rsidP="006B173F">
            <w:pPr>
              <w:ind w:right="170"/>
              <w:jc w:val="right"/>
              <w:rPr>
                <w:sz w:val="18"/>
                <w:szCs w:val="18"/>
              </w:rPr>
            </w:pPr>
            <w:r w:rsidRPr="006B173F">
              <w:rPr>
                <w:sz w:val="18"/>
                <w:szCs w:val="18"/>
              </w:rPr>
              <w:t>1 011 075.6</w:t>
            </w:r>
          </w:p>
        </w:tc>
        <w:tc>
          <w:tcPr>
            <w:tcW w:w="1225" w:type="dxa"/>
            <w:tcBorders>
              <w:right w:val="single" w:sz="2" w:space="0" w:color="000000"/>
            </w:tcBorders>
          </w:tcPr>
          <w:p w14:paraId="5FF40292"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26 739.4 </w:t>
            </w:r>
          </w:p>
        </w:tc>
        <w:tc>
          <w:tcPr>
            <w:tcW w:w="1076" w:type="dxa"/>
            <w:tcBorders>
              <w:left w:val="single" w:sz="2" w:space="0" w:color="000000"/>
              <w:right w:val="single" w:sz="2" w:space="0" w:color="000000"/>
            </w:tcBorders>
          </w:tcPr>
          <w:p w14:paraId="2F13976C"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992" w:type="dxa"/>
            <w:tcBorders>
              <w:left w:val="single" w:sz="2" w:space="0" w:color="000000"/>
              <w:right w:val="single" w:sz="2" w:space="0" w:color="000000"/>
            </w:tcBorders>
          </w:tcPr>
          <w:p w14:paraId="1DA4D1CB"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26 739.4 </w:t>
            </w:r>
          </w:p>
        </w:tc>
        <w:tc>
          <w:tcPr>
            <w:tcW w:w="899" w:type="dxa"/>
            <w:tcBorders>
              <w:left w:val="single" w:sz="2" w:space="0" w:color="000000"/>
              <w:right w:val="single" w:sz="2" w:space="0" w:color="000000"/>
            </w:tcBorders>
          </w:tcPr>
          <w:p w14:paraId="57111E21"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2 831.7 </w:t>
            </w:r>
          </w:p>
        </w:tc>
        <w:tc>
          <w:tcPr>
            <w:tcW w:w="1165" w:type="dxa"/>
            <w:tcBorders>
              <w:left w:val="single" w:sz="2" w:space="0" w:color="000000"/>
              <w:right w:val="single" w:sz="2" w:space="0" w:color="000000"/>
            </w:tcBorders>
          </w:tcPr>
          <w:p w14:paraId="46BDB978" w14:textId="2E73F8CD" w:rsidR="006B173F" w:rsidRPr="006B173F" w:rsidRDefault="00D97227" w:rsidP="006B173F">
            <w:pPr>
              <w:ind w:left="-113" w:right="113"/>
              <w:jc w:val="right"/>
              <w:rPr>
                <w:rFonts w:eastAsia="Calibri"/>
                <w:sz w:val="18"/>
                <w:szCs w:val="18"/>
                <w:lang w:eastAsia="en-US"/>
              </w:rPr>
            </w:pPr>
            <w:r>
              <w:rPr>
                <w:rFonts w:eastAsia="Calibri"/>
                <w:sz w:val="18"/>
                <w:szCs w:val="18"/>
                <w:lang w:eastAsia="en-US"/>
              </w:rPr>
              <w:t xml:space="preserve">1 </w:t>
            </w:r>
            <w:r w:rsidR="006B173F" w:rsidRPr="006B173F">
              <w:rPr>
                <w:rFonts w:eastAsia="Calibri"/>
                <w:sz w:val="18"/>
                <w:szCs w:val="18"/>
                <w:lang w:eastAsia="en-US"/>
              </w:rPr>
              <w:t xml:space="preserve">040 646.7 </w:t>
            </w:r>
          </w:p>
        </w:tc>
      </w:tr>
      <w:tr w:rsidR="006B173F" w:rsidRPr="006B173F" w14:paraId="561841FD" w14:textId="77777777" w:rsidTr="006B173F">
        <w:trPr>
          <w:jc w:val="center"/>
        </w:trPr>
        <w:tc>
          <w:tcPr>
            <w:tcW w:w="2751" w:type="dxa"/>
            <w:tcBorders>
              <w:left w:val="single" w:sz="2" w:space="0" w:color="000000"/>
              <w:right w:val="single" w:sz="2" w:space="0" w:color="000000"/>
            </w:tcBorders>
            <w:shd w:val="clear" w:color="auto" w:fill="auto"/>
          </w:tcPr>
          <w:p w14:paraId="2E48E12D" w14:textId="77777777" w:rsidR="006B173F" w:rsidRPr="006B173F" w:rsidRDefault="006B173F" w:rsidP="006B173F">
            <w:pPr>
              <w:ind w:left="284"/>
              <w:rPr>
                <w:rFonts w:eastAsia="Times New Roman"/>
                <w:i/>
                <w:sz w:val="16"/>
                <w:szCs w:val="16"/>
                <w:lang w:val="pt-BR"/>
              </w:rPr>
            </w:pPr>
            <w:r w:rsidRPr="006B173F">
              <w:rPr>
                <w:rFonts w:eastAsia="Times New Roman"/>
                <w:i/>
                <w:sz w:val="16"/>
                <w:szCs w:val="16"/>
                <w:lang w:val="pt-BR"/>
              </w:rPr>
              <w:t>Udibonos udi’s</w:t>
            </w:r>
          </w:p>
        </w:tc>
        <w:tc>
          <w:tcPr>
            <w:tcW w:w="1243" w:type="dxa"/>
            <w:tcBorders>
              <w:left w:val="single" w:sz="2" w:space="0" w:color="000000"/>
              <w:right w:val="single" w:sz="2" w:space="0" w:color="000000"/>
            </w:tcBorders>
            <w:shd w:val="clear" w:color="auto" w:fill="auto"/>
          </w:tcPr>
          <w:p w14:paraId="3CF34980" w14:textId="77777777" w:rsidR="006B173F" w:rsidRPr="006B173F" w:rsidRDefault="006B173F" w:rsidP="006B173F">
            <w:pPr>
              <w:ind w:right="170"/>
              <w:jc w:val="right"/>
              <w:rPr>
                <w:i/>
                <w:sz w:val="18"/>
                <w:szCs w:val="18"/>
              </w:rPr>
            </w:pPr>
            <w:r w:rsidRPr="006B173F">
              <w:rPr>
                <w:i/>
                <w:sz w:val="18"/>
                <w:szCs w:val="18"/>
              </w:rPr>
              <w:t>191 841.6</w:t>
            </w:r>
          </w:p>
        </w:tc>
        <w:tc>
          <w:tcPr>
            <w:tcW w:w="1225" w:type="dxa"/>
            <w:tcBorders>
              <w:right w:val="single" w:sz="2" w:space="0" w:color="000000"/>
            </w:tcBorders>
          </w:tcPr>
          <w:p w14:paraId="5C577848"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5 060.5 </w:t>
            </w:r>
          </w:p>
        </w:tc>
        <w:tc>
          <w:tcPr>
            <w:tcW w:w="1076" w:type="dxa"/>
            <w:tcBorders>
              <w:left w:val="single" w:sz="2" w:space="0" w:color="000000"/>
              <w:right w:val="single" w:sz="2" w:space="0" w:color="000000"/>
            </w:tcBorders>
          </w:tcPr>
          <w:p w14:paraId="22AE589F"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992" w:type="dxa"/>
            <w:tcBorders>
              <w:left w:val="single" w:sz="2" w:space="0" w:color="000000"/>
              <w:right w:val="single" w:sz="2" w:space="0" w:color="000000"/>
            </w:tcBorders>
          </w:tcPr>
          <w:p w14:paraId="158A85E9"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5 060.5 </w:t>
            </w:r>
          </w:p>
        </w:tc>
        <w:tc>
          <w:tcPr>
            <w:tcW w:w="899" w:type="dxa"/>
            <w:tcBorders>
              <w:left w:val="single" w:sz="2" w:space="0" w:color="000000"/>
              <w:right w:val="single" w:sz="2" w:space="0" w:color="000000"/>
            </w:tcBorders>
          </w:tcPr>
          <w:p w14:paraId="7E3FED52"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1165" w:type="dxa"/>
            <w:tcBorders>
              <w:left w:val="single" w:sz="2" w:space="0" w:color="000000"/>
              <w:right w:val="single" w:sz="2" w:space="0" w:color="000000"/>
            </w:tcBorders>
          </w:tcPr>
          <w:p w14:paraId="75804D09"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196 902.1 </w:t>
            </w:r>
          </w:p>
        </w:tc>
      </w:tr>
      <w:tr w:rsidR="006B173F" w:rsidRPr="006B173F" w14:paraId="580471BC" w14:textId="77777777" w:rsidTr="006B173F">
        <w:trPr>
          <w:jc w:val="center"/>
        </w:trPr>
        <w:tc>
          <w:tcPr>
            <w:tcW w:w="2751" w:type="dxa"/>
            <w:tcBorders>
              <w:left w:val="single" w:sz="2" w:space="0" w:color="000000"/>
              <w:right w:val="single" w:sz="2" w:space="0" w:color="000000"/>
            </w:tcBorders>
            <w:shd w:val="clear" w:color="auto" w:fill="auto"/>
          </w:tcPr>
          <w:p w14:paraId="7BA85A27" w14:textId="77777777" w:rsidR="006B173F" w:rsidRPr="006B173F" w:rsidRDefault="006B173F" w:rsidP="006B173F">
            <w:pPr>
              <w:ind w:left="284"/>
              <w:rPr>
                <w:rFonts w:eastAsia="Times New Roman"/>
                <w:sz w:val="16"/>
                <w:szCs w:val="16"/>
                <w:lang w:val="pt-BR"/>
              </w:rPr>
            </w:pPr>
            <w:r w:rsidRPr="006B173F">
              <w:rPr>
                <w:rFonts w:eastAsia="Times New Roman"/>
                <w:sz w:val="16"/>
                <w:szCs w:val="16"/>
                <w:lang w:val="pt-BR"/>
              </w:rPr>
              <w:t>Udibonos Segregados</w:t>
            </w:r>
          </w:p>
        </w:tc>
        <w:tc>
          <w:tcPr>
            <w:tcW w:w="1243" w:type="dxa"/>
            <w:tcBorders>
              <w:left w:val="single" w:sz="2" w:space="0" w:color="000000"/>
              <w:right w:val="single" w:sz="2" w:space="0" w:color="000000"/>
            </w:tcBorders>
            <w:shd w:val="clear" w:color="auto" w:fill="auto"/>
          </w:tcPr>
          <w:p w14:paraId="049782CE" w14:textId="77777777" w:rsidR="006B173F" w:rsidRPr="006B173F" w:rsidRDefault="006B173F" w:rsidP="006B173F">
            <w:pPr>
              <w:ind w:right="170"/>
              <w:jc w:val="right"/>
              <w:rPr>
                <w:sz w:val="18"/>
                <w:szCs w:val="18"/>
              </w:rPr>
            </w:pPr>
            <w:r w:rsidRPr="006B173F">
              <w:rPr>
                <w:sz w:val="18"/>
                <w:szCs w:val="18"/>
              </w:rPr>
              <w:t>5 071.1</w:t>
            </w:r>
          </w:p>
        </w:tc>
        <w:tc>
          <w:tcPr>
            <w:tcW w:w="1225" w:type="dxa"/>
            <w:tcBorders>
              <w:right w:val="single" w:sz="2" w:space="0" w:color="000000"/>
            </w:tcBorders>
          </w:tcPr>
          <w:p w14:paraId="4381DD65"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1076" w:type="dxa"/>
            <w:tcBorders>
              <w:left w:val="single" w:sz="2" w:space="0" w:color="000000"/>
              <w:right w:val="single" w:sz="2" w:space="0" w:color="000000"/>
            </w:tcBorders>
          </w:tcPr>
          <w:p w14:paraId="68174D3F"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992" w:type="dxa"/>
            <w:tcBorders>
              <w:left w:val="single" w:sz="2" w:space="0" w:color="000000"/>
              <w:right w:val="single" w:sz="2" w:space="0" w:color="000000"/>
            </w:tcBorders>
          </w:tcPr>
          <w:p w14:paraId="60FB56C1"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0.0 </w:t>
            </w:r>
          </w:p>
        </w:tc>
        <w:tc>
          <w:tcPr>
            <w:tcW w:w="899" w:type="dxa"/>
            <w:tcBorders>
              <w:left w:val="single" w:sz="2" w:space="0" w:color="000000"/>
              <w:right w:val="single" w:sz="2" w:space="0" w:color="000000"/>
            </w:tcBorders>
          </w:tcPr>
          <w:p w14:paraId="253C2765"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14.1 </w:t>
            </w:r>
          </w:p>
        </w:tc>
        <w:tc>
          <w:tcPr>
            <w:tcW w:w="1165" w:type="dxa"/>
            <w:tcBorders>
              <w:left w:val="single" w:sz="2" w:space="0" w:color="000000"/>
              <w:right w:val="single" w:sz="2" w:space="0" w:color="000000"/>
            </w:tcBorders>
          </w:tcPr>
          <w:p w14:paraId="0FC01C25"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5 085.2 </w:t>
            </w:r>
          </w:p>
        </w:tc>
      </w:tr>
      <w:tr w:rsidR="006B173F" w:rsidRPr="006B173F" w14:paraId="3B0763B6" w14:textId="77777777" w:rsidTr="006B173F">
        <w:trPr>
          <w:jc w:val="center"/>
        </w:trPr>
        <w:tc>
          <w:tcPr>
            <w:tcW w:w="2751" w:type="dxa"/>
            <w:tcBorders>
              <w:left w:val="single" w:sz="2" w:space="0" w:color="000000"/>
              <w:right w:val="single" w:sz="2" w:space="0" w:color="000000"/>
            </w:tcBorders>
            <w:shd w:val="clear" w:color="auto" w:fill="auto"/>
          </w:tcPr>
          <w:p w14:paraId="3D8C1F46" w14:textId="77777777" w:rsidR="006B173F" w:rsidRPr="006B173F" w:rsidRDefault="006B173F" w:rsidP="006B173F">
            <w:pPr>
              <w:ind w:left="284"/>
              <w:rPr>
                <w:rFonts w:eastAsia="Times New Roman"/>
                <w:i/>
                <w:sz w:val="16"/>
                <w:szCs w:val="16"/>
                <w:lang w:val="pt-BR"/>
              </w:rPr>
            </w:pPr>
            <w:r w:rsidRPr="006B173F">
              <w:rPr>
                <w:rFonts w:eastAsia="Times New Roman"/>
                <w:i/>
                <w:sz w:val="16"/>
                <w:szCs w:val="16"/>
                <w:lang w:val="pt-BR"/>
              </w:rPr>
              <w:t>Udibonos Segregados udi’s</w:t>
            </w:r>
          </w:p>
        </w:tc>
        <w:tc>
          <w:tcPr>
            <w:tcW w:w="1243" w:type="dxa"/>
            <w:tcBorders>
              <w:left w:val="single" w:sz="2" w:space="0" w:color="000000"/>
              <w:right w:val="single" w:sz="2" w:space="0" w:color="000000"/>
            </w:tcBorders>
            <w:shd w:val="clear" w:color="auto" w:fill="auto"/>
          </w:tcPr>
          <w:p w14:paraId="4398A270" w14:textId="77777777" w:rsidR="006B173F" w:rsidRPr="006B173F" w:rsidRDefault="006B173F" w:rsidP="006B173F">
            <w:pPr>
              <w:ind w:right="170"/>
              <w:jc w:val="right"/>
              <w:rPr>
                <w:i/>
                <w:sz w:val="18"/>
                <w:szCs w:val="18"/>
              </w:rPr>
            </w:pPr>
            <w:r w:rsidRPr="006B173F">
              <w:rPr>
                <w:i/>
                <w:sz w:val="18"/>
                <w:szCs w:val="18"/>
              </w:rPr>
              <w:t>962.2</w:t>
            </w:r>
          </w:p>
        </w:tc>
        <w:tc>
          <w:tcPr>
            <w:tcW w:w="1225" w:type="dxa"/>
            <w:tcBorders>
              <w:right w:val="single" w:sz="2" w:space="0" w:color="000000"/>
            </w:tcBorders>
          </w:tcPr>
          <w:p w14:paraId="519C6CA4"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1076" w:type="dxa"/>
            <w:tcBorders>
              <w:left w:val="single" w:sz="2" w:space="0" w:color="000000"/>
              <w:right w:val="single" w:sz="2" w:space="0" w:color="000000"/>
            </w:tcBorders>
          </w:tcPr>
          <w:p w14:paraId="7900B421"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992" w:type="dxa"/>
            <w:tcBorders>
              <w:left w:val="single" w:sz="2" w:space="0" w:color="000000"/>
              <w:right w:val="single" w:sz="2" w:space="0" w:color="000000"/>
            </w:tcBorders>
          </w:tcPr>
          <w:p w14:paraId="2B0B4D0D"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899" w:type="dxa"/>
            <w:tcBorders>
              <w:left w:val="single" w:sz="2" w:space="0" w:color="000000"/>
              <w:right w:val="single" w:sz="2" w:space="0" w:color="000000"/>
            </w:tcBorders>
          </w:tcPr>
          <w:p w14:paraId="6B97B753"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0.0 </w:t>
            </w:r>
          </w:p>
        </w:tc>
        <w:tc>
          <w:tcPr>
            <w:tcW w:w="1165" w:type="dxa"/>
            <w:tcBorders>
              <w:left w:val="single" w:sz="2" w:space="0" w:color="000000"/>
              <w:right w:val="single" w:sz="2" w:space="0" w:color="000000"/>
            </w:tcBorders>
          </w:tcPr>
          <w:p w14:paraId="3660CF8F" w14:textId="77777777" w:rsidR="006B173F" w:rsidRPr="006B173F" w:rsidRDefault="006B173F" w:rsidP="006B173F">
            <w:pPr>
              <w:ind w:left="-113" w:right="113"/>
              <w:jc w:val="right"/>
              <w:rPr>
                <w:rFonts w:eastAsia="Calibri"/>
                <w:sz w:val="18"/>
                <w:szCs w:val="18"/>
                <w:lang w:eastAsia="en-US"/>
              </w:rPr>
            </w:pPr>
            <w:r w:rsidRPr="006B173F">
              <w:rPr>
                <w:rFonts w:eastAsia="Calibri"/>
                <w:i/>
                <w:iCs/>
                <w:sz w:val="18"/>
                <w:szCs w:val="18"/>
                <w:lang w:eastAsia="en-US"/>
              </w:rPr>
              <w:t xml:space="preserve">962.2 </w:t>
            </w:r>
          </w:p>
        </w:tc>
      </w:tr>
      <w:tr w:rsidR="006B173F" w:rsidRPr="006B173F" w14:paraId="33CEF3BC" w14:textId="77777777" w:rsidTr="006B173F">
        <w:trPr>
          <w:jc w:val="center"/>
        </w:trPr>
        <w:tc>
          <w:tcPr>
            <w:tcW w:w="2751" w:type="dxa"/>
            <w:tcBorders>
              <w:left w:val="single" w:sz="2" w:space="0" w:color="000000"/>
              <w:right w:val="single" w:sz="2" w:space="0" w:color="000000"/>
            </w:tcBorders>
            <w:shd w:val="clear" w:color="auto" w:fill="auto"/>
          </w:tcPr>
          <w:p w14:paraId="258910E4" w14:textId="77777777" w:rsidR="006B173F" w:rsidRPr="006B173F" w:rsidRDefault="006B173F" w:rsidP="006B173F">
            <w:pPr>
              <w:ind w:left="170"/>
              <w:rPr>
                <w:rFonts w:eastAsia="Times New Roman"/>
                <w:sz w:val="16"/>
                <w:szCs w:val="16"/>
              </w:rPr>
            </w:pPr>
            <w:r w:rsidRPr="006B173F">
              <w:rPr>
                <w:rFonts w:eastAsia="Times New Roman"/>
                <w:sz w:val="16"/>
                <w:szCs w:val="16"/>
              </w:rPr>
              <w:t>Fondo de ahorro S.A.R.</w:t>
            </w:r>
          </w:p>
        </w:tc>
        <w:tc>
          <w:tcPr>
            <w:tcW w:w="1243" w:type="dxa"/>
            <w:tcBorders>
              <w:left w:val="single" w:sz="2" w:space="0" w:color="000000"/>
              <w:right w:val="single" w:sz="2" w:space="0" w:color="000000"/>
            </w:tcBorders>
            <w:shd w:val="clear" w:color="auto" w:fill="auto"/>
          </w:tcPr>
          <w:p w14:paraId="1659B127" w14:textId="77777777" w:rsidR="006B173F" w:rsidRPr="006B173F" w:rsidRDefault="006B173F" w:rsidP="006B173F">
            <w:pPr>
              <w:ind w:right="170"/>
              <w:jc w:val="right"/>
              <w:rPr>
                <w:sz w:val="18"/>
                <w:szCs w:val="18"/>
              </w:rPr>
            </w:pPr>
            <w:r w:rsidRPr="006B173F">
              <w:rPr>
                <w:sz w:val="18"/>
                <w:szCs w:val="18"/>
              </w:rPr>
              <w:t>98 018.4</w:t>
            </w:r>
          </w:p>
        </w:tc>
        <w:tc>
          <w:tcPr>
            <w:tcW w:w="1225" w:type="dxa"/>
            <w:tcBorders>
              <w:right w:val="single" w:sz="2" w:space="0" w:color="000000"/>
            </w:tcBorders>
          </w:tcPr>
          <w:p w14:paraId="09EDF319"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29 583.0 </w:t>
            </w:r>
          </w:p>
        </w:tc>
        <w:tc>
          <w:tcPr>
            <w:tcW w:w="1076" w:type="dxa"/>
            <w:tcBorders>
              <w:left w:val="single" w:sz="2" w:space="0" w:color="000000"/>
              <w:right w:val="single" w:sz="2" w:space="0" w:color="000000"/>
            </w:tcBorders>
          </w:tcPr>
          <w:p w14:paraId="0893B5F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27 280.2 </w:t>
            </w:r>
          </w:p>
        </w:tc>
        <w:tc>
          <w:tcPr>
            <w:tcW w:w="992" w:type="dxa"/>
            <w:tcBorders>
              <w:left w:val="single" w:sz="2" w:space="0" w:color="000000"/>
              <w:right w:val="single" w:sz="2" w:space="0" w:color="000000"/>
            </w:tcBorders>
          </w:tcPr>
          <w:p w14:paraId="25B87AD5"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2 302.8 </w:t>
            </w:r>
          </w:p>
        </w:tc>
        <w:tc>
          <w:tcPr>
            <w:tcW w:w="899" w:type="dxa"/>
            <w:tcBorders>
              <w:left w:val="single" w:sz="2" w:space="0" w:color="000000"/>
              <w:right w:val="single" w:sz="2" w:space="0" w:color="000000"/>
            </w:tcBorders>
          </w:tcPr>
          <w:p w14:paraId="314CF66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1 296.5 </w:t>
            </w:r>
          </w:p>
        </w:tc>
        <w:tc>
          <w:tcPr>
            <w:tcW w:w="1165" w:type="dxa"/>
            <w:tcBorders>
              <w:left w:val="single" w:sz="2" w:space="0" w:color="000000"/>
              <w:right w:val="single" w:sz="2" w:space="0" w:color="000000"/>
            </w:tcBorders>
          </w:tcPr>
          <w:p w14:paraId="709589A8"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101 617.7 </w:t>
            </w:r>
          </w:p>
        </w:tc>
      </w:tr>
      <w:tr w:rsidR="006B173F" w:rsidRPr="006B173F" w14:paraId="4CC15D1D" w14:textId="77777777" w:rsidTr="006B173F">
        <w:trPr>
          <w:jc w:val="center"/>
        </w:trPr>
        <w:tc>
          <w:tcPr>
            <w:tcW w:w="2751" w:type="dxa"/>
            <w:tcBorders>
              <w:left w:val="single" w:sz="2" w:space="0" w:color="000000"/>
              <w:right w:val="single" w:sz="2" w:space="0" w:color="000000"/>
            </w:tcBorders>
            <w:shd w:val="clear" w:color="auto" w:fill="auto"/>
          </w:tcPr>
          <w:p w14:paraId="256936F6" w14:textId="77777777" w:rsidR="006B173F" w:rsidRPr="006B173F" w:rsidRDefault="006B173F" w:rsidP="006B173F">
            <w:pPr>
              <w:ind w:left="170"/>
              <w:rPr>
                <w:rFonts w:eastAsia="Times New Roman"/>
                <w:sz w:val="16"/>
                <w:szCs w:val="16"/>
              </w:rPr>
            </w:pPr>
            <w:r w:rsidRPr="006B173F">
              <w:rPr>
                <w:rFonts w:eastAsia="Times New Roman"/>
                <w:sz w:val="16"/>
                <w:szCs w:val="16"/>
              </w:rPr>
              <w:t>Obligaciones por Ley del ISSSTE</w:t>
            </w:r>
          </w:p>
        </w:tc>
        <w:tc>
          <w:tcPr>
            <w:tcW w:w="1243" w:type="dxa"/>
            <w:tcBorders>
              <w:left w:val="single" w:sz="2" w:space="0" w:color="000000"/>
              <w:right w:val="single" w:sz="2" w:space="0" w:color="000000"/>
            </w:tcBorders>
            <w:shd w:val="clear" w:color="auto" w:fill="auto"/>
          </w:tcPr>
          <w:p w14:paraId="506E2FAB" w14:textId="77777777" w:rsidR="006B173F" w:rsidRPr="006B173F" w:rsidRDefault="006B173F" w:rsidP="006B173F">
            <w:pPr>
              <w:ind w:right="170"/>
              <w:jc w:val="right"/>
              <w:rPr>
                <w:sz w:val="18"/>
                <w:szCs w:val="18"/>
              </w:rPr>
            </w:pPr>
            <w:r w:rsidRPr="006B173F">
              <w:rPr>
                <w:sz w:val="18"/>
                <w:szCs w:val="18"/>
              </w:rPr>
              <w:t>161 452.0</w:t>
            </w:r>
          </w:p>
        </w:tc>
        <w:tc>
          <w:tcPr>
            <w:tcW w:w="1225" w:type="dxa"/>
            <w:tcBorders>
              <w:right w:val="single" w:sz="2" w:space="0" w:color="000000"/>
            </w:tcBorders>
          </w:tcPr>
          <w:p w14:paraId="2E2784B8"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16.9 </w:t>
            </w:r>
          </w:p>
        </w:tc>
        <w:tc>
          <w:tcPr>
            <w:tcW w:w="1076" w:type="dxa"/>
            <w:tcBorders>
              <w:left w:val="single" w:sz="2" w:space="0" w:color="000000"/>
              <w:right w:val="single" w:sz="2" w:space="0" w:color="000000"/>
            </w:tcBorders>
          </w:tcPr>
          <w:p w14:paraId="3D1B5944"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5 292.2 </w:t>
            </w:r>
          </w:p>
        </w:tc>
        <w:tc>
          <w:tcPr>
            <w:tcW w:w="992" w:type="dxa"/>
            <w:tcBorders>
              <w:left w:val="single" w:sz="2" w:space="0" w:color="000000"/>
              <w:right w:val="single" w:sz="2" w:space="0" w:color="000000"/>
            </w:tcBorders>
          </w:tcPr>
          <w:p w14:paraId="5D3C580C"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-5 275.3 </w:t>
            </w:r>
          </w:p>
        </w:tc>
        <w:tc>
          <w:tcPr>
            <w:tcW w:w="899" w:type="dxa"/>
            <w:tcBorders>
              <w:left w:val="single" w:sz="2" w:space="0" w:color="000000"/>
              <w:right w:val="single" w:sz="2" w:space="0" w:color="000000"/>
            </w:tcBorders>
          </w:tcPr>
          <w:p w14:paraId="6F0AB619"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470.7 </w:t>
            </w:r>
          </w:p>
        </w:tc>
        <w:tc>
          <w:tcPr>
            <w:tcW w:w="1165" w:type="dxa"/>
            <w:tcBorders>
              <w:left w:val="single" w:sz="2" w:space="0" w:color="000000"/>
              <w:right w:val="single" w:sz="2" w:space="0" w:color="000000"/>
            </w:tcBorders>
          </w:tcPr>
          <w:p w14:paraId="08F8D2F3"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156 647.4 </w:t>
            </w:r>
          </w:p>
        </w:tc>
      </w:tr>
      <w:tr w:rsidR="006B173F" w:rsidRPr="006B173F" w14:paraId="50C96583" w14:textId="77777777" w:rsidTr="006B173F">
        <w:trPr>
          <w:jc w:val="center"/>
        </w:trPr>
        <w:tc>
          <w:tcPr>
            <w:tcW w:w="2751" w:type="dxa"/>
            <w:tcBorders>
              <w:left w:val="single" w:sz="2" w:space="0" w:color="000000"/>
              <w:bottom w:val="single" w:sz="2" w:space="0" w:color="000000"/>
              <w:right w:val="single" w:sz="2" w:space="0" w:color="000000"/>
            </w:tcBorders>
            <w:shd w:val="clear" w:color="auto" w:fill="auto"/>
          </w:tcPr>
          <w:p w14:paraId="311DFB27" w14:textId="77777777" w:rsidR="006B173F" w:rsidRPr="006B173F" w:rsidRDefault="006B173F" w:rsidP="006B173F">
            <w:pPr>
              <w:ind w:left="170"/>
              <w:rPr>
                <w:rFonts w:eastAsia="Times New Roman"/>
                <w:sz w:val="16"/>
                <w:szCs w:val="16"/>
              </w:rPr>
            </w:pPr>
            <w:r w:rsidRPr="006B173F">
              <w:rPr>
                <w:rFonts w:eastAsia="Times New Roman"/>
                <w:sz w:val="16"/>
                <w:szCs w:val="16"/>
              </w:rPr>
              <w:t>Otros</w:t>
            </w:r>
          </w:p>
        </w:tc>
        <w:tc>
          <w:tcPr>
            <w:tcW w:w="1243" w:type="dxa"/>
            <w:tcBorders>
              <w:left w:val="single" w:sz="2" w:space="0" w:color="000000"/>
              <w:bottom w:val="single" w:sz="2" w:space="0" w:color="000000"/>
              <w:right w:val="single" w:sz="2" w:space="0" w:color="000000"/>
            </w:tcBorders>
            <w:shd w:val="clear" w:color="auto" w:fill="auto"/>
          </w:tcPr>
          <w:p w14:paraId="6638C3EF" w14:textId="77777777" w:rsidR="006B173F" w:rsidRPr="006B173F" w:rsidRDefault="006B173F" w:rsidP="006B173F">
            <w:pPr>
              <w:ind w:right="170"/>
              <w:jc w:val="right"/>
              <w:rPr>
                <w:sz w:val="18"/>
                <w:szCs w:val="18"/>
              </w:rPr>
            </w:pPr>
            <w:r w:rsidRPr="006B173F">
              <w:rPr>
                <w:sz w:val="18"/>
                <w:szCs w:val="18"/>
              </w:rPr>
              <w:t>63 867.8</w:t>
            </w:r>
          </w:p>
        </w:tc>
        <w:tc>
          <w:tcPr>
            <w:tcW w:w="1225" w:type="dxa"/>
            <w:tcBorders>
              <w:right w:val="single" w:sz="2" w:space="0" w:color="000000"/>
            </w:tcBorders>
          </w:tcPr>
          <w:p w14:paraId="2AC18D94"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1 245.1 </w:t>
            </w:r>
          </w:p>
        </w:tc>
        <w:tc>
          <w:tcPr>
            <w:tcW w:w="1076" w:type="dxa"/>
            <w:tcBorders>
              <w:left w:val="single" w:sz="2" w:space="0" w:color="000000"/>
              <w:right w:val="single" w:sz="2" w:space="0" w:color="000000"/>
            </w:tcBorders>
          </w:tcPr>
          <w:p w14:paraId="5E6133DE"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301.9 </w:t>
            </w:r>
          </w:p>
        </w:tc>
        <w:tc>
          <w:tcPr>
            <w:tcW w:w="992" w:type="dxa"/>
            <w:tcBorders>
              <w:left w:val="single" w:sz="2" w:space="0" w:color="000000"/>
              <w:right w:val="single" w:sz="2" w:space="0" w:color="000000"/>
            </w:tcBorders>
          </w:tcPr>
          <w:p w14:paraId="520FA1F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943.2 </w:t>
            </w:r>
          </w:p>
        </w:tc>
        <w:tc>
          <w:tcPr>
            <w:tcW w:w="899" w:type="dxa"/>
            <w:tcBorders>
              <w:left w:val="single" w:sz="2" w:space="0" w:color="000000"/>
              <w:right w:val="single" w:sz="2" w:space="0" w:color="000000"/>
            </w:tcBorders>
          </w:tcPr>
          <w:p w14:paraId="3CC56429"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177.8 </w:t>
            </w:r>
          </w:p>
        </w:tc>
        <w:tc>
          <w:tcPr>
            <w:tcW w:w="1165" w:type="dxa"/>
            <w:tcBorders>
              <w:left w:val="single" w:sz="2" w:space="0" w:color="000000"/>
              <w:right w:val="single" w:sz="2" w:space="0" w:color="000000"/>
            </w:tcBorders>
          </w:tcPr>
          <w:p w14:paraId="7BA05427" w14:textId="77777777" w:rsidR="006B173F" w:rsidRPr="006B173F" w:rsidRDefault="006B173F" w:rsidP="006B173F">
            <w:pPr>
              <w:ind w:left="-113" w:right="113"/>
              <w:jc w:val="right"/>
              <w:rPr>
                <w:rFonts w:eastAsia="Calibri"/>
                <w:sz w:val="18"/>
                <w:szCs w:val="18"/>
                <w:lang w:eastAsia="en-US"/>
              </w:rPr>
            </w:pPr>
            <w:r w:rsidRPr="006B173F">
              <w:rPr>
                <w:rFonts w:eastAsia="Calibri"/>
                <w:sz w:val="18"/>
                <w:szCs w:val="18"/>
                <w:lang w:eastAsia="en-US"/>
              </w:rPr>
              <w:t xml:space="preserve">64 988.8 </w:t>
            </w:r>
          </w:p>
        </w:tc>
      </w:tr>
      <w:tr w:rsidR="006B173F" w:rsidRPr="006B173F" w14:paraId="45033AF9" w14:textId="77777777" w:rsidTr="006B173F">
        <w:trPr>
          <w:jc w:val="center"/>
        </w:trPr>
        <w:tc>
          <w:tcPr>
            <w:tcW w:w="9351" w:type="dxa"/>
            <w:gridSpan w:val="7"/>
            <w:tcBorders>
              <w:top w:val="single" w:sz="2" w:space="0" w:color="000000"/>
              <w:left w:val="nil"/>
              <w:bottom w:val="nil"/>
              <w:right w:val="nil"/>
            </w:tcBorders>
            <w:shd w:val="clear" w:color="auto" w:fill="auto"/>
          </w:tcPr>
          <w:p w14:paraId="59482A7B" w14:textId="77777777" w:rsidR="006B173F" w:rsidRPr="006B173F" w:rsidRDefault="006B173F" w:rsidP="006B173F">
            <w:pPr>
              <w:spacing w:before="120"/>
              <w:jc w:val="both"/>
              <w:rPr>
                <w:rFonts w:eastAsia="Times New Roman"/>
                <w:iCs/>
                <w:sz w:val="16"/>
                <w:szCs w:val="16"/>
                <w:lang w:val="es-ES"/>
              </w:rPr>
            </w:pPr>
            <w:r w:rsidRPr="006B173F">
              <w:rPr>
                <w:rFonts w:eastAsia="Times New Roman"/>
                <w:iCs/>
                <w:sz w:val="16"/>
                <w:szCs w:val="16"/>
                <w:lang w:val="es-ES"/>
              </w:rPr>
              <w:t>Nota: Las sumas parciales pueden no coincidir debido al redondeo.</w:t>
            </w:r>
          </w:p>
          <w:p w14:paraId="40928CFF" w14:textId="77777777" w:rsidR="006B173F" w:rsidRPr="006B173F" w:rsidRDefault="006B173F" w:rsidP="006B173F">
            <w:pPr>
              <w:jc w:val="both"/>
              <w:rPr>
                <w:rFonts w:eastAsia="Times New Roman"/>
                <w:iCs/>
                <w:sz w:val="16"/>
                <w:szCs w:val="16"/>
                <w:lang w:val="es-ES"/>
              </w:rPr>
            </w:pPr>
            <w:r w:rsidRPr="006B173F">
              <w:rPr>
                <w:rFonts w:eastAsia="Times New Roman"/>
                <w:iCs/>
                <w:sz w:val="16"/>
                <w:szCs w:val="16"/>
                <w:lang w:val="es-ES"/>
              </w:rPr>
              <w:t>* Cifras sujetas a revisiones por cambios y adecuaciones metodológicas.</w:t>
            </w:r>
          </w:p>
          <w:p w14:paraId="5137E415" w14:textId="77777777" w:rsidR="006B173F" w:rsidRPr="006B173F" w:rsidRDefault="006B173F" w:rsidP="006B173F">
            <w:pPr>
              <w:ind w:left="170" w:hanging="170"/>
              <w:jc w:val="both"/>
              <w:rPr>
                <w:rFonts w:eastAsia="Times New Roman"/>
                <w:iCs/>
                <w:sz w:val="16"/>
                <w:szCs w:val="16"/>
                <w:lang w:val="es-ES"/>
              </w:rPr>
            </w:pPr>
            <w:r w:rsidRPr="006B173F">
              <w:rPr>
                <w:rFonts w:eastAsia="Times New Roman"/>
                <w:iCs/>
                <w:sz w:val="16"/>
                <w:szCs w:val="16"/>
                <w:u w:val="single"/>
                <w:lang w:val="es-ES"/>
              </w:rPr>
              <w:t>p</w:t>
            </w:r>
            <w:r w:rsidRPr="006B173F">
              <w:rPr>
                <w:rFonts w:eastAsia="Times New Roman"/>
                <w:iCs/>
                <w:sz w:val="16"/>
                <w:szCs w:val="16"/>
                <w:lang w:val="es-ES"/>
              </w:rPr>
              <w:t xml:space="preserve">/ Cifras </w:t>
            </w:r>
            <w:r w:rsidRPr="006B173F">
              <w:rPr>
                <w:rFonts w:eastAsia="Times New Roman"/>
                <w:iCs/>
                <w:sz w:val="16"/>
                <w:szCs w:val="16"/>
              </w:rPr>
              <w:t>preliminares</w:t>
            </w:r>
            <w:r w:rsidRPr="006B173F">
              <w:rPr>
                <w:rFonts w:eastAsia="Times New Roman"/>
                <w:iCs/>
                <w:sz w:val="16"/>
                <w:szCs w:val="16"/>
                <w:lang w:val="es-ES"/>
              </w:rPr>
              <w:t>.</w:t>
            </w:r>
          </w:p>
          <w:p w14:paraId="6835E479" w14:textId="77777777" w:rsidR="006B173F" w:rsidRPr="006B173F" w:rsidRDefault="006B173F" w:rsidP="006B173F">
            <w:pPr>
              <w:ind w:left="170" w:hanging="170"/>
              <w:jc w:val="both"/>
              <w:rPr>
                <w:rFonts w:eastAsia="Times New Roman"/>
                <w:iCs/>
                <w:sz w:val="16"/>
                <w:szCs w:val="16"/>
                <w:u w:val="single"/>
              </w:rPr>
            </w:pPr>
            <w:r w:rsidRPr="006B173F">
              <w:rPr>
                <w:rFonts w:eastAsia="Times New Roman"/>
                <w:iCs/>
                <w:sz w:val="16"/>
                <w:szCs w:val="16"/>
                <w:u w:val="single"/>
              </w:rPr>
              <w:t>1</w:t>
            </w:r>
            <w:r w:rsidRPr="006B173F">
              <w:rPr>
                <w:rFonts w:eastAsia="Times New Roman"/>
                <w:iCs/>
                <w:sz w:val="16"/>
                <w:szCs w:val="16"/>
              </w:rPr>
              <w:t xml:space="preserve">/ Corresponde al ajuste por el efecto inflacionario. En Bonos de desarrollo a tasa fija incluye ajustes por operaciones de permuta de deuda. </w:t>
            </w:r>
          </w:p>
          <w:p w14:paraId="768AF6E8" w14:textId="77777777" w:rsidR="006B173F" w:rsidRPr="006B173F" w:rsidRDefault="006B173F" w:rsidP="006B173F">
            <w:pPr>
              <w:jc w:val="both"/>
              <w:rPr>
                <w:rFonts w:eastAsia="Times New Roman"/>
                <w:iCs/>
                <w:sz w:val="16"/>
                <w:szCs w:val="16"/>
                <w:lang w:val="es-ES"/>
              </w:rPr>
            </w:pPr>
            <w:r w:rsidRPr="006B173F">
              <w:rPr>
                <w:rFonts w:eastAsia="Times New Roman"/>
                <w:iCs/>
                <w:sz w:val="16"/>
                <w:szCs w:val="16"/>
                <w:u w:val="single"/>
              </w:rPr>
              <w:t>2</w:t>
            </w:r>
            <w:r w:rsidRPr="006B173F">
              <w:rPr>
                <w:rFonts w:eastAsia="Times New Roman"/>
                <w:iCs/>
                <w:sz w:val="16"/>
                <w:szCs w:val="16"/>
              </w:rPr>
              <w:t>/ Integra el saldo neto denominado en moneda nacional de la Cuenta General de la Tesorería de la Federación.</w:t>
            </w:r>
          </w:p>
          <w:p w14:paraId="4C2F1346" w14:textId="77777777" w:rsidR="006B173F" w:rsidRPr="006B173F" w:rsidRDefault="006B173F" w:rsidP="006B173F">
            <w:pPr>
              <w:jc w:val="both"/>
              <w:rPr>
                <w:rFonts w:eastAsia="Times New Roman"/>
                <w:iCs/>
                <w:sz w:val="16"/>
                <w:szCs w:val="16"/>
              </w:rPr>
            </w:pPr>
            <w:r w:rsidRPr="006B173F">
              <w:rPr>
                <w:rFonts w:eastAsia="Times New Roman"/>
                <w:iCs/>
                <w:sz w:val="16"/>
                <w:szCs w:val="16"/>
              </w:rPr>
              <w:t>FUENTE: Dirección General Adjunta de Deuda Pública, UCP</w:t>
            </w:r>
            <w:r w:rsidRPr="006B173F">
              <w:rPr>
                <w:rFonts w:eastAsia="Times New Roman"/>
                <w:i/>
                <w:iCs/>
                <w:sz w:val="20"/>
                <w:szCs w:val="20"/>
              </w:rPr>
              <w:t>.</w:t>
            </w:r>
          </w:p>
        </w:tc>
      </w:tr>
    </w:tbl>
    <w:p w14:paraId="27FA346E" w14:textId="77777777" w:rsidR="006B173F" w:rsidRPr="006B173F" w:rsidRDefault="006B173F" w:rsidP="006B173F">
      <w:pPr>
        <w:spacing w:after="360" w:line="360" w:lineRule="auto"/>
        <w:ind w:right="-159"/>
        <w:jc w:val="both"/>
        <w:rPr>
          <w:rFonts w:eastAsia="Calibri"/>
          <w:sz w:val="26"/>
          <w:szCs w:val="26"/>
          <w:lang w:eastAsia="en-US"/>
        </w:rPr>
      </w:pPr>
    </w:p>
    <w:p w14:paraId="44BA2EDC"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El saldo de la deuda externa neta del Gobierno Federal al cierre de febrero registró        77 mil 988.4 millones de dólares, cifra superior en 636 millones de dólares a la observada al cierre de 2014. Este resultado se explica por un endeudamiento neto de    2 mil 350 millones de dólares, por ajustes contables a la baja de 147 millones de dólares y un incremento en las disponibilidades del Gobierno Federal de 1 mil 600 millones de dólares.</w:t>
      </w:r>
    </w:p>
    <w:p w14:paraId="35A49207" w14:textId="77777777" w:rsidR="006B173F" w:rsidRPr="006B173F" w:rsidRDefault="006B173F" w:rsidP="006B173F">
      <w:pPr>
        <w:spacing w:after="360" w:line="360" w:lineRule="auto"/>
        <w:ind w:right="-159"/>
        <w:jc w:val="both"/>
        <w:rPr>
          <w:rFonts w:eastAsia="Calibri"/>
          <w:sz w:val="26"/>
          <w:szCs w:val="26"/>
          <w:lang w:eastAsia="en-US"/>
        </w:rPr>
      </w:pPr>
    </w:p>
    <w:p w14:paraId="0582E3CC" w14:textId="77777777" w:rsidR="006B173F" w:rsidRPr="006B173F" w:rsidRDefault="006B173F" w:rsidP="006B173F">
      <w:pPr>
        <w:spacing w:after="360" w:line="360" w:lineRule="auto"/>
        <w:ind w:right="-159"/>
        <w:jc w:val="both"/>
        <w:rPr>
          <w:rFonts w:eastAsia="Calibri"/>
          <w:sz w:val="26"/>
          <w:szCs w:val="26"/>
          <w:lang w:eastAsia="en-US"/>
        </w:rPr>
      </w:pPr>
    </w:p>
    <w:p w14:paraId="0969C701" w14:textId="77777777" w:rsidR="006B173F" w:rsidRPr="006B173F" w:rsidRDefault="006B173F" w:rsidP="006B173F">
      <w:pPr>
        <w:spacing w:after="360" w:line="360" w:lineRule="auto"/>
        <w:ind w:right="-159"/>
        <w:jc w:val="both"/>
        <w:rPr>
          <w:rFonts w:eastAsia="Calibri"/>
          <w:sz w:val="26"/>
          <w:szCs w:val="26"/>
          <w:lang w:eastAsia="en-US"/>
        </w:rPr>
      </w:pPr>
    </w:p>
    <w:p w14:paraId="3A042630" w14:textId="77777777" w:rsidR="006B173F" w:rsidRPr="006B173F" w:rsidRDefault="006B173F" w:rsidP="006B173F">
      <w:pPr>
        <w:spacing w:after="360" w:line="360" w:lineRule="auto"/>
        <w:ind w:right="-159"/>
        <w:jc w:val="both"/>
        <w:rPr>
          <w:rFonts w:eastAsia="Calibri"/>
          <w:sz w:val="26"/>
          <w:szCs w:val="26"/>
          <w:lang w:eastAsia="en-US"/>
        </w:rPr>
      </w:pPr>
    </w:p>
    <w:p w14:paraId="4C39DB73" w14:textId="77777777" w:rsidR="006B173F" w:rsidRPr="006B173F" w:rsidRDefault="006B173F" w:rsidP="006B173F">
      <w:pPr>
        <w:spacing w:after="360" w:line="360" w:lineRule="auto"/>
        <w:ind w:right="-159"/>
        <w:jc w:val="both"/>
        <w:rPr>
          <w:rFonts w:eastAsia="Calibri"/>
          <w:sz w:val="26"/>
          <w:szCs w:val="26"/>
          <w:lang w:eastAsia="en-US"/>
        </w:rPr>
      </w:pPr>
    </w:p>
    <w:tbl>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4"/>
        <w:gridCol w:w="1016"/>
        <w:gridCol w:w="855"/>
        <w:gridCol w:w="871"/>
        <w:gridCol w:w="801"/>
        <w:gridCol w:w="797"/>
        <w:gridCol w:w="1193"/>
      </w:tblGrid>
      <w:tr w:rsidR="006B173F" w:rsidRPr="006B173F" w14:paraId="4E3807DE" w14:textId="77777777" w:rsidTr="006B173F">
        <w:trPr>
          <w:jc w:val="center"/>
        </w:trPr>
        <w:tc>
          <w:tcPr>
            <w:tcW w:w="9317" w:type="dxa"/>
            <w:gridSpan w:val="7"/>
            <w:tcBorders>
              <w:top w:val="nil"/>
              <w:left w:val="nil"/>
              <w:bottom w:val="single" w:sz="4" w:space="0" w:color="auto"/>
              <w:right w:val="nil"/>
            </w:tcBorders>
            <w:shd w:val="clear" w:color="auto" w:fill="auto"/>
            <w:vAlign w:val="center"/>
          </w:tcPr>
          <w:p w14:paraId="62A4A6B6" w14:textId="77777777" w:rsidR="006B173F" w:rsidRPr="006B173F" w:rsidRDefault="006B173F" w:rsidP="006B173F">
            <w:pPr>
              <w:jc w:val="center"/>
              <w:rPr>
                <w:rFonts w:eastAsia="Times New Roman"/>
                <w:b/>
                <w:sz w:val="20"/>
                <w:szCs w:val="20"/>
              </w:rPr>
            </w:pPr>
            <w:r w:rsidRPr="006B173F">
              <w:rPr>
                <w:rFonts w:eastAsia="Times New Roman"/>
                <w:b/>
                <w:sz w:val="20"/>
                <w:szCs w:val="20"/>
              </w:rPr>
              <w:lastRenderedPageBreak/>
              <w:t>DEUDA EXTERNA DEL GOBIERNO FEDERAL, FEBRERO</w:t>
            </w:r>
            <w:r w:rsidRPr="006B173F">
              <w:rPr>
                <w:rFonts w:eastAsia="Times New Roman"/>
                <w:b/>
                <w:sz w:val="20"/>
                <w:szCs w:val="20"/>
                <w:u w:val="single"/>
                <w:vertAlign w:val="superscript"/>
              </w:rPr>
              <w:t>*</w:t>
            </w:r>
            <w:r w:rsidRPr="006B173F">
              <w:rPr>
                <w:rFonts w:eastAsia="Times New Roman"/>
                <w:b/>
                <w:sz w:val="20"/>
                <w:szCs w:val="20"/>
                <w:vertAlign w:val="superscript"/>
              </w:rPr>
              <w:t>/</w:t>
            </w:r>
          </w:p>
          <w:p w14:paraId="619C8F73" w14:textId="77777777" w:rsidR="006B173F" w:rsidRPr="006B173F" w:rsidRDefault="006B173F" w:rsidP="006B173F">
            <w:pPr>
              <w:jc w:val="center"/>
              <w:rPr>
                <w:rFonts w:eastAsia="Times New Roman"/>
                <w:sz w:val="20"/>
                <w:szCs w:val="20"/>
              </w:rPr>
            </w:pPr>
            <w:r w:rsidRPr="006B173F">
              <w:rPr>
                <w:rFonts w:eastAsia="Times New Roman"/>
                <w:b/>
                <w:sz w:val="20"/>
                <w:szCs w:val="20"/>
              </w:rPr>
              <w:t>-Millones de dólares-</w:t>
            </w:r>
          </w:p>
        </w:tc>
      </w:tr>
      <w:tr w:rsidR="006B173F" w:rsidRPr="006B173F" w14:paraId="414C5D12" w14:textId="77777777" w:rsidTr="006B173F">
        <w:trPr>
          <w:jc w:val="center"/>
        </w:trPr>
        <w:tc>
          <w:tcPr>
            <w:tcW w:w="3784" w:type="dxa"/>
            <w:vMerge w:val="restart"/>
            <w:tcBorders>
              <w:bottom w:val="single" w:sz="4" w:space="0" w:color="auto"/>
              <w:right w:val="single" w:sz="4" w:space="0" w:color="auto"/>
            </w:tcBorders>
            <w:shd w:val="clear" w:color="auto" w:fill="auto"/>
            <w:vAlign w:val="center"/>
          </w:tcPr>
          <w:p w14:paraId="5692A85D" w14:textId="77777777" w:rsidR="006B173F" w:rsidRPr="006B173F" w:rsidRDefault="006B173F" w:rsidP="006B173F">
            <w:pPr>
              <w:jc w:val="center"/>
              <w:rPr>
                <w:rFonts w:eastAsia="Times New Roman"/>
                <w:b/>
                <w:sz w:val="18"/>
                <w:szCs w:val="18"/>
              </w:rPr>
            </w:pPr>
            <w:r w:rsidRPr="006B173F">
              <w:rPr>
                <w:rFonts w:eastAsia="Times New Roman"/>
                <w:b/>
                <w:sz w:val="18"/>
                <w:szCs w:val="18"/>
              </w:rPr>
              <w:t>Concepto</w:t>
            </w:r>
          </w:p>
        </w:tc>
        <w:tc>
          <w:tcPr>
            <w:tcW w:w="1016" w:type="dxa"/>
            <w:vMerge w:val="restart"/>
            <w:tcBorders>
              <w:left w:val="single" w:sz="4" w:space="0" w:color="auto"/>
              <w:bottom w:val="single" w:sz="4" w:space="0" w:color="auto"/>
              <w:right w:val="single" w:sz="4" w:space="0" w:color="auto"/>
            </w:tcBorders>
            <w:shd w:val="clear" w:color="auto" w:fill="auto"/>
            <w:vAlign w:val="center"/>
          </w:tcPr>
          <w:p w14:paraId="5351D405" w14:textId="77777777" w:rsidR="006B173F" w:rsidRPr="006B173F" w:rsidRDefault="006B173F" w:rsidP="006B173F">
            <w:pPr>
              <w:jc w:val="center"/>
              <w:rPr>
                <w:rFonts w:eastAsia="Times New Roman"/>
                <w:b/>
                <w:sz w:val="18"/>
                <w:szCs w:val="18"/>
              </w:rPr>
            </w:pPr>
            <w:r w:rsidRPr="006B173F">
              <w:rPr>
                <w:rFonts w:eastAsia="Times New Roman"/>
                <w:b/>
                <w:sz w:val="18"/>
                <w:szCs w:val="18"/>
              </w:rPr>
              <w:t>Saldo a diciembre</w:t>
            </w:r>
          </w:p>
          <w:p w14:paraId="053FB4AA" w14:textId="77777777" w:rsidR="006B173F" w:rsidRPr="006B173F" w:rsidRDefault="006B173F" w:rsidP="006B173F">
            <w:pPr>
              <w:jc w:val="center"/>
              <w:rPr>
                <w:rFonts w:eastAsia="Times New Roman"/>
                <w:b/>
                <w:sz w:val="18"/>
                <w:szCs w:val="18"/>
              </w:rPr>
            </w:pPr>
            <w:r w:rsidRPr="006B173F">
              <w:rPr>
                <w:rFonts w:eastAsia="Times New Roman"/>
                <w:b/>
                <w:sz w:val="18"/>
                <w:szCs w:val="18"/>
              </w:rPr>
              <w:t xml:space="preserve">de </w:t>
            </w:r>
            <w:r w:rsidRPr="006B173F">
              <w:rPr>
                <w:rFonts w:eastAsia="Times New Roman"/>
                <w:b/>
                <w:iCs/>
                <w:sz w:val="18"/>
                <w:szCs w:val="18"/>
              </w:rPr>
              <w:t>2014</w:t>
            </w:r>
            <w:r w:rsidRPr="006B173F">
              <w:rPr>
                <w:rFonts w:eastAsia="Times New Roman"/>
                <w:b/>
                <w:iCs/>
                <w:sz w:val="18"/>
                <w:szCs w:val="18"/>
                <w:u w:val="single"/>
                <w:vertAlign w:val="superscript"/>
              </w:rPr>
              <w:t>p</w:t>
            </w:r>
            <w:r w:rsidRPr="006B173F">
              <w:rPr>
                <w:rFonts w:eastAsia="Times New Roman"/>
                <w:b/>
                <w:iCs/>
                <w:sz w:val="18"/>
                <w:szCs w:val="18"/>
                <w:vertAlign w:val="superscript"/>
              </w:rPr>
              <w:t>/</w:t>
            </w:r>
          </w:p>
        </w:tc>
        <w:tc>
          <w:tcPr>
            <w:tcW w:w="2527" w:type="dxa"/>
            <w:gridSpan w:val="3"/>
            <w:tcBorders>
              <w:left w:val="single" w:sz="4" w:space="0" w:color="auto"/>
              <w:bottom w:val="single" w:sz="4" w:space="0" w:color="auto"/>
              <w:right w:val="single" w:sz="4" w:space="0" w:color="auto"/>
            </w:tcBorders>
            <w:shd w:val="clear" w:color="auto" w:fill="auto"/>
            <w:vAlign w:val="center"/>
          </w:tcPr>
          <w:p w14:paraId="78027FFF" w14:textId="77777777" w:rsidR="006B173F" w:rsidRPr="006B173F" w:rsidRDefault="006B173F" w:rsidP="006B173F">
            <w:pPr>
              <w:jc w:val="center"/>
              <w:rPr>
                <w:rFonts w:eastAsia="Times New Roman"/>
                <w:b/>
                <w:sz w:val="18"/>
                <w:szCs w:val="18"/>
              </w:rPr>
            </w:pPr>
            <w:r w:rsidRPr="006B173F">
              <w:rPr>
                <w:rFonts w:eastAsia="Times New Roman"/>
                <w:b/>
                <w:sz w:val="18"/>
                <w:szCs w:val="18"/>
              </w:rPr>
              <w:t>Endeudamiento</w:t>
            </w:r>
          </w:p>
        </w:tc>
        <w:tc>
          <w:tcPr>
            <w:tcW w:w="797" w:type="dxa"/>
            <w:vMerge w:val="restart"/>
            <w:tcBorders>
              <w:left w:val="single" w:sz="4" w:space="0" w:color="auto"/>
              <w:bottom w:val="single" w:sz="4" w:space="0" w:color="auto"/>
              <w:right w:val="single" w:sz="4" w:space="0" w:color="auto"/>
            </w:tcBorders>
            <w:shd w:val="clear" w:color="auto" w:fill="auto"/>
            <w:vAlign w:val="center"/>
          </w:tcPr>
          <w:p w14:paraId="12F55A37" w14:textId="77777777" w:rsidR="006B173F" w:rsidRPr="006B173F" w:rsidRDefault="006B173F" w:rsidP="006B173F">
            <w:pPr>
              <w:jc w:val="center"/>
              <w:rPr>
                <w:rFonts w:eastAsia="Times New Roman"/>
                <w:b/>
                <w:sz w:val="18"/>
                <w:szCs w:val="18"/>
              </w:rPr>
            </w:pPr>
            <w:r w:rsidRPr="006B173F">
              <w:rPr>
                <w:rFonts w:eastAsia="Times New Roman"/>
                <w:b/>
                <w:sz w:val="18"/>
                <w:szCs w:val="18"/>
              </w:rPr>
              <w:t>Ajustes</w:t>
            </w:r>
          </w:p>
        </w:tc>
        <w:tc>
          <w:tcPr>
            <w:tcW w:w="1193" w:type="dxa"/>
            <w:vMerge w:val="restart"/>
            <w:tcBorders>
              <w:left w:val="single" w:sz="4" w:space="0" w:color="auto"/>
              <w:bottom w:val="single" w:sz="4" w:space="0" w:color="auto"/>
            </w:tcBorders>
            <w:shd w:val="clear" w:color="auto" w:fill="auto"/>
            <w:vAlign w:val="center"/>
          </w:tcPr>
          <w:p w14:paraId="6992BE21" w14:textId="77777777" w:rsidR="006B173F" w:rsidRPr="006B173F" w:rsidRDefault="006B173F" w:rsidP="006B173F">
            <w:pPr>
              <w:jc w:val="center"/>
              <w:rPr>
                <w:rFonts w:eastAsia="Times New Roman"/>
                <w:b/>
                <w:sz w:val="18"/>
                <w:szCs w:val="18"/>
              </w:rPr>
            </w:pPr>
            <w:r w:rsidRPr="006B173F">
              <w:rPr>
                <w:rFonts w:eastAsia="Times New Roman"/>
                <w:b/>
                <w:sz w:val="18"/>
                <w:szCs w:val="18"/>
              </w:rPr>
              <w:t>Saldo a</w:t>
            </w:r>
          </w:p>
          <w:p w14:paraId="3D94E323" w14:textId="77777777" w:rsidR="006B173F" w:rsidRPr="006B173F" w:rsidRDefault="006B173F" w:rsidP="006B173F">
            <w:pPr>
              <w:jc w:val="center"/>
              <w:rPr>
                <w:rFonts w:eastAsia="Times New Roman"/>
                <w:b/>
                <w:sz w:val="18"/>
                <w:szCs w:val="18"/>
              </w:rPr>
            </w:pPr>
            <w:r w:rsidRPr="006B173F">
              <w:rPr>
                <w:rFonts w:eastAsia="Times New Roman"/>
                <w:b/>
                <w:sz w:val="18"/>
                <w:szCs w:val="18"/>
              </w:rPr>
              <w:t>febrero</w:t>
            </w:r>
          </w:p>
          <w:p w14:paraId="13DA85D1" w14:textId="77777777" w:rsidR="006B173F" w:rsidRPr="006B173F" w:rsidRDefault="006B173F" w:rsidP="006B173F">
            <w:pPr>
              <w:jc w:val="center"/>
              <w:rPr>
                <w:rFonts w:eastAsia="Times New Roman"/>
                <w:b/>
                <w:sz w:val="18"/>
                <w:szCs w:val="18"/>
              </w:rPr>
            </w:pPr>
            <w:r w:rsidRPr="006B173F">
              <w:rPr>
                <w:rFonts w:eastAsia="Times New Roman"/>
                <w:b/>
                <w:sz w:val="18"/>
                <w:szCs w:val="18"/>
              </w:rPr>
              <w:t>2015</w:t>
            </w:r>
            <w:r w:rsidRPr="006B173F">
              <w:rPr>
                <w:rFonts w:eastAsia="Times New Roman"/>
                <w:b/>
                <w:sz w:val="18"/>
                <w:szCs w:val="18"/>
                <w:u w:val="single"/>
                <w:vertAlign w:val="superscript"/>
              </w:rPr>
              <w:t>p</w:t>
            </w:r>
            <w:r w:rsidRPr="006B173F">
              <w:rPr>
                <w:rFonts w:eastAsia="Times New Roman"/>
                <w:b/>
                <w:sz w:val="18"/>
                <w:szCs w:val="18"/>
                <w:vertAlign w:val="superscript"/>
              </w:rPr>
              <w:t>/</w:t>
            </w:r>
          </w:p>
        </w:tc>
      </w:tr>
      <w:tr w:rsidR="006B173F" w:rsidRPr="006B173F" w14:paraId="6314A6F3" w14:textId="77777777" w:rsidTr="006B173F">
        <w:trPr>
          <w:jc w:val="center"/>
        </w:trPr>
        <w:tc>
          <w:tcPr>
            <w:tcW w:w="3784" w:type="dxa"/>
            <w:vMerge/>
            <w:tcBorders>
              <w:top w:val="single" w:sz="4" w:space="0" w:color="auto"/>
              <w:bottom w:val="single" w:sz="4" w:space="0" w:color="auto"/>
              <w:right w:val="single" w:sz="4" w:space="0" w:color="auto"/>
            </w:tcBorders>
            <w:shd w:val="clear" w:color="auto" w:fill="auto"/>
            <w:vAlign w:val="center"/>
          </w:tcPr>
          <w:p w14:paraId="299B5395" w14:textId="77777777" w:rsidR="006B173F" w:rsidRPr="006B173F" w:rsidRDefault="006B173F" w:rsidP="006B173F">
            <w:pPr>
              <w:jc w:val="center"/>
              <w:rPr>
                <w:rFonts w:eastAsia="Times New Roman"/>
                <w:b/>
                <w:sz w:val="18"/>
                <w:szCs w:val="18"/>
              </w:rPr>
            </w:pPr>
          </w:p>
        </w:tc>
        <w:tc>
          <w:tcPr>
            <w:tcW w:w="101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E23F04" w14:textId="77777777" w:rsidR="006B173F" w:rsidRPr="006B173F" w:rsidRDefault="006B173F" w:rsidP="006B173F">
            <w:pPr>
              <w:jc w:val="center"/>
              <w:rPr>
                <w:rFonts w:eastAsia="Times New Roman"/>
                <w:b/>
                <w:sz w:val="18"/>
                <w:szCs w:val="18"/>
              </w:rPr>
            </w:pP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709845A8" w14:textId="77777777" w:rsidR="006B173F" w:rsidRPr="006B173F" w:rsidRDefault="006B173F" w:rsidP="006B173F">
            <w:pPr>
              <w:ind w:right="-57"/>
              <w:jc w:val="center"/>
              <w:rPr>
                <w:rFonts w:eastAsia="Times New Roman"/>
                <w:b/>
                <w:sz w:val="18"/>
                <w:szCs w:val="18"/>
              </w:rPr>
            </w:pPr>
            <w:r w:rsidRPr="006B173F">
              <w:rPr>
                <w:rFonts w:eastAsia="Times New Roman"/>
                <w:b/>
                <w:sz w:val="18"/>
                <w:szCs w:val="18"/>
              </w:rPr>
              <w:t>Disp.</w:t>
            </w:r>
          </w:p>
        </w:tc>
        <w:tc>
          <w:tcPr>
            <w:tcW w:w="871" w:type="dxa"/>
            <w:tcBorders>
              <w:top w:val="single" w:sz="4" w:space="0" w:color="auto"/>
              <w:left w:val="single" w:sz="4" w:space="0" w:color="auto"/>
              <w:bottom w:val="single" w:sz="4" w:space="0" w:color="auto"/>
              <w:right w:val="single" w:sz="4" w:space="0" w:color="auto"/>
            </w:tcBorders>
            <w:shd w:val="clear" w:color="auto" w:fill="auto"/>
            <w:vAlign w:val="center"/>
          </w:tcPr>
          <w:p w14:paraId="1CB529A1" w14:textId="77777777" w:rsidR="006B173F" w:rsidRPr="006B173F" w:rsidRDefault="006B173F" w:rsidP="006B173F">
            <w:pPr>
              <w:jc w:val="center"/>
              <w:rPr>
                <w:rFonts w:eastAsia="Times New Roman"/>
                <w:b/>
                <w:sz w:val="18"/>
                <w:szCs w:val="18"/>
              </w:rPr>
            </w:pPr>
            <w:r w:rsidRPr="006B173F">
              <w:rPr>
                <w:rFonts w:eastAsia="Times New Roman"/>
                <w:b/>
                <w:sz w:val="18"/>
                <w:szCs w:val="18"/>
              </w:rPr>
              <w:t>Amort.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D0AD908" w14:textId="77777777" w:rsidR="006B173F" w:rsidRPr="006B173F" w:rsidRDefault="006B173F" w:rsidP="006B173F">
            <w:pPr>
              <w:jc w:val="center"/>
              <w:rPr>
                <w:rFonts w:eastAsia="Times New Roman"/>
                <w:b/>
                <w:sz w:val="18"/>
                <w:szCs w:val="18"/>
              </w:rPr>
            </w:pPr>
            <w:r w:rsidRPr="006B173F">
              <w:rPr>
                <w:rFonts w:eastAsia="Times New Roman"/>
                <w:b/>
                <w:sz w:val="18"/>
                <w:szCs w:val="18"/>
              </w:rPr>
              <w:t>Neto</w:t>
            </w: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34F60D" w14:textId="77777777" w:rsidR="006B173F" w:rsidRPr="006B173F" w:rsidRDefault="006B173F" w:rsidP="006B173F">
            <w:pPr>
              <w:jc w:val="center"/>
              <w:rPr>
                <w:rFonts w:eastAsia="Times New Roman"/>
                <w:b/>
                <w:sz w:val="18"/>
                <w:szCs w:val="18"/>
              </w:rPr>
            </w:pPr>
          </w:p>
        </w:tc>
        <w:tc>
          <w:tcPr>
            <w:tcW w:w="1193" w:type="dxa"/>
            <w:vMerge/>
            <w:tcBorders>
              <w:top w:val="single" w:sz="4" w:space="0" w:color="auto"/>
              <w:left w:val="single" w:sz="4" w:space="0" w:color="auto"/>
              <w:bottom w:val="single" w:sz="4" w:space="0" w:color="auto"/>
            </w:tcBorders>
            <w:shd w:val="clear" w:color="auto" w:fill="auto"/>
            <w:vAlign w:val="center"/>
          </w:tcPr>
          <w:p w14:paraId="0ED02B2A" w14:textId="77777777" w:rsidR="006B173F" w:rsidRPr="006B173F" w:rsidRDefault="006B173F" w:rsidP="006B173F">
            <w:pPr>
              <w:jc w:val="center"/>
              <w:rPr>
                <w:rFonts w:eastAsia="Times New Roman"/>
                <w:b/>
                <w:sz w:val="18"/>
                <w:szCs w:val="18"/>
              </w:rPr>
            </w:pPr>
          </w:p>
        </w:tc>
      </w:tr>
      <w:tr w:rsidR="006B173F" w:rsidRPr="006B173F" w14:paraId="721700DD" w14:textId="77777777" w:rsidTr="006B173F">
        <w:trPr>
          <w:jc w:val="center"/>
        </w:trPr>
        <w:tc>
          <w:tcPr>
            <w:tcW w:w="3784" w:type="dxa"/>
            <w:tcBorders>
              <w:top w:val="single" w:sz="4" w:space="0" w:color="auto"/>
              <w:bottom w:val="nil"/>
              <w:right w:val="single" w:sz="4" w:space="0" w:color="auto"/>
            </w:tcBorders>
            <w:shd w:val="clear" w:color="auto" w:fill="auto"/>
          </w:tcPr>
          <w:p w14:paraId="2A559710" w14:textId="77777777" w:rsidR="006B173F" w:rsidRPr="006B173F" w:rsidRDefault="006B173F" w:rsidP="006B173F">
            <w:pPr>
              <w:rPr>
                <w:rFonts w:eastAsia="Times New Roman"/>
                <w:b/>
                <w:sz w:val="18"/>
                <w:szCs w:val="18"/>
              </w:rPr>
            </w:pPr>
            <w:r w:rsidRPr="006B173F">
              <w:rPr>
                <w:rFonts w:eastAsia="Times New Roman"/>
                <w:b/>
                <w:sz w:val="18"/>
                <w:szCs w:val="18"/>
              </w:rPr>
              <w:t>1. Deuda Neta (3-2)</w:t>
            </w:r>
          </w:p>
        </w:tc>
        <w:tc>
          <w:tcPr>
            <w:tcW w:w="1016" w:type="dxa"/>
            <w:tcBorders>
              <w:top w:val="single" w:sz="4" w:space="0" w:color="auto"/>
              <w:left w:val="single" w:sz="4" w:space="0" w:color="auto"/>
              <w:bottom w:val="nil"/>
              <w:right w:val="single" w:sz="4" w:space="0" w:color="auto"/>
            </w:tcBorders>
            <w:shd w:val="clear" w:color="auto" w:fill="auto"/>
          </w:tcPr>
          <w:p w14:paraId="30911209" w14:textId="77777777" w:rsidR="006B173F" w:rsidRPr="006B173F" w:rsidRDefault="006B173F" w:rsidP="006B173F">
            <w:pPr>
              <w:ind w:right="57"/>
              <w:jc w:val="right"/>
              <w:rPr>
                <w:b/>
                <w:sz w:val="18"/>
                <w:szCs w:val="18"/>
              </w:rPr>
            </w:pPr>
            <w:r w:rsidRPr="006B173F">
              <w:rPr>
                <w:b/>
                <w:sz w:val="18"/>
                <w:szCs w:val="18"/>
              </w:rPr>
              <w:t>77 352.4</w:t>
            </w:r>
          </w:p>
        </w:tc>
        <w:tc>
          <w:tcPr>
            <w:tcW w:w="855" w:type="dxa"/>
            <w:tcBorders>
              <w:top w:val="single" w:sz="4" w:space="0" w:color="auto"/>
              <w:left w:val="single" w:sz="4" w:space="0" w:color="auto"/>
              <w:bottom w:val="nil"/>
              <w:right w:val="single" w:sz="4" w:space="0" w:color="auto"/>
            </w:tcBorders>
            <w:shd w:val="clear" w:color="auto" w:fill="auto"/>
          </w:tcPr>
          <w:p w14:paraId="486DB936" w14:textId="77777777" w:rsidR="006B173F" w:rsidRPr="006B173F" w:rsidRDefault="006B173F" w:rsidP="006B173F">
            <w:pPr>
              <w:jc w:val="right"/>
              <w:rPr>
                <w:b/>
                <w:sz w:val="18"/>
                <w:szCs w:val="18"/>
              </w:rPr>
            </w:pPr>
          </w:p>
        </w:tc>
        <w:tc>
          <w:tcPr>
            <w:tcW w:w="871" w:type="dxa"/>
            <w:tcBorders>
              <w:top w:val="single" w:sz="4" w:space="0" w:color="auto"/>
              <w:left w:val="single" w:sz="4" w:space="0" w:color="auto"/>
              <w:bottom w:val="nil"/>
              <w:right w:val="single" w:sz="4" w:space="0" w:color="auto"/>
            </w:tcBorders>
            <w:shd w:val="clear" w:color="auto" w:fill="auto"/>
          </w:tcPr>
          <w:p w14:paraId="34673392" w14:textId="77777777" w:rsidR="006B173F" w:rsidRPr="006B173F" w:rsidRDefault="006B173F" w:rsidP="006B173F">
            <w:pPr>
              <w:jc w:val="right"/>
              <w:rPr>
                <w:b/>
                <w:sz w:val="18"/>
                <w:szCs w:val="18"/>
              </w:rPr>
            </w:pPr>
          </w:p>
        </w:tc>
        <w:tc>
          <w:tcPr>
            <w:tcW w:w="801" w:type="dxa"/>
            <w:tcBorders>
              <w:top w:val="single" w:sz="4" w:space="0" w:color="auto"/>
              <w:left w:val="single" w:sz="4" w:space="0" w:color="auto"/>
              <w:bottom w:val="nil"/>
              <w:right w:val="single" w:sz="4" w:space="0" w:color="auto"/>
            </w:tcBorders>
            <w:shd w:val="clear" w:color="auto" w:fill="auto"/>
          </w:tcPr>
          <w:p w14:paraId="7632318A" w14:textId="77777777" w:rsidR="006B173F" w:rsidRPr="006B173F" w:rsidRDefault="006B173F" w:rsidP="006B173F">
            <w:pPr>
              <w:jc w:val="right"/>
              <w:rPr>
                <w:b/>
                <w:sz w:val="18"/>
                <w:szCs w:val="18"/>
              </w:rPr>
            </w:pPr>
          </w:p>
        </w:tc>
        <w:tc>
          <w:tcPr>
            <w:tcW w:w="797" w:type="dxa"/>
            <w:tcBorders>
              <w:top w:val="single" w:sz="4" w:space="0" w:color="auto"/>
              <w:left w:val="single" w:sz="4" w:space="0" w:color="auto"/>
              <w:bottom w:val="nil"/>
              <w:right w:val="single" w:sz="4" w:space="0" w:color="auto"/>
            </w:tcBorders>
            <w:shd w:val="clear" w:color="auto" w:fill="auto"/>
          </w:tcPr>
          <w:p w14:paraId="7EA3829A" w14:textId="77777777" w:rsidR="006B173F" w:rsidRPr="006B173F" w:rsidRDefault="006B173F" w:rsidP="006B173F">
            <w:pPr>
              <w:jc w:val="right"/>
              <w:rPr>
                <w:b/>
                <w:sz w:val="18"/>
                <w:szCs w:val="18"/>
              </w:rPr>
            </w:pPr>
          </w:p>
        </w:tc>
        <w:tc>
          <w:tcPr>
            <w:tcW w:w="1193" w:type="dxa"/>
            <w:tcBorders>
              <w:top w:val="single" w:sz="4" w:space="0" w:color="auto"/>
              <w:left w:val="single" w:sz="4" w:space="0" w:color="auto"/>
              <w:bottom w:val="nil"/>
            </w:tcBorders>
            <w:shd w:val="clear" w:color="auto" w:fill="auto"/>
          </w:tcPr>
          <w:p w14:paraId="61D6375E" w14:textId="77777777" w:rsidR="006B173F" w:rsidRPr="006B173F" w:rsidRDefault="006B173F" w:rsidP="006B173F">
            <w:pPr>
              <w:ind w:right="113"/>
              <w:jc w:val="right"/>
              <w:rPr>
                <w:b/>
                <w:sz w:val="18"/>
                <w:szCs w:val="18"/>
              </w:rPr>
            </w:pPr>
            <w:r w:rsidRPr="006B173F">
              <w:rPr>
                <w:b/>
                <w:sz w:val="18"/>
                <w:szCs w:val="18"/>
              </w:rPr>
              <w:t>77 988.4</w:t>
            </w:r>
          </w:p>
        </w:tc>
      </w:tr>
      <w:tr w:rsidR="006B173F" w:rsidRPr="006B173F" w14:paraId="507B4F9C" w14:textId="77777777" w:rsidTr="006B173F">
        <w:trPr>
          <w:jc w:val="center"/>
        </w:trPr>
        <w:tc>
          <w:tcPr>
            <w:tcW w:w="3784" w:type="dxa"/>
            <w:tcBorders>
              <w:top w:val="nil"/>
              <w:bottom w:val="nil"/>
              <w:right w:val="single" w:sz="4" w:space="0" w:color="auto"/>
            </w:tcBorders>
            <w:shd w:val="clear" w:color="auto" w:fill="auto"/>
          </w:tcPr>
          <w:p w14:paraId="778917D1" w14:textId="77777777" w:rsidR="006B173F" w:rsidRPr="006B173F" w:rsidRDefault="006B173F" w:rsidP="006B173F">
            <w:pPr>
              <w:ind w:left="113"/>
              <w:rPr>
                <w:rFonts w:eastAsia="Times New Roman"/>
                <w:sz w:val="18"/>
                <w:szCs w:val="18"/>
              </w:rPr>
            </w:pPr>
            <w:r w:rsidRPr="006B173F">
              <w:rPr>
                <w:rFonts w:eastAsia="Times New Roman"/>
                <w:sz w:val="18"/>
                <w:szCs w:val="18"/>
              </w:rPr>
              <w:t>2. Activos</w:t>
            </w:r>
            <w:r w:rsidRPr="006B173F">
              <w:rPr>
                <w:rFonts w:eastAsia="Times New Roman"/>
                <w:sz w:val="18"/>
                <w:szCs w:val="18"/>
                <w:u w:val="single"/>
                <w:vertAlign w:val="superscript"/>
              </w:rPr>
              <w:t>1</w:t>
            </w:r>
            <w:r w:rsidRPr="006B173F">
              <w:rPr>
                <w:rFonts w:eastAsia="Times New Roman"/>
                <w:sz w:val="18"/>
                <w:szCs w:val="18"/>
                <w:vertAlign w:val="superscript"/>
              </w:rPr>
              <w:t>/</w:t>
            </w:r>
          </w:p>
        </w:tc>
        <w:tc>
          <w:tcPr>
            <w:tcW w:w="1016" w:type="dxa"/>
            <w:tcBorders>
              <w:top w:val="nil"/>
              <w:left w:val="single" w:sz="4" w:space="0" w:color="auto"/>
              <w:bottom w:val="nil"/>
              <w:right w:val="single" w:sz="4" w:space="0" w:color="auto"/>
            </w:tcBorders>
            <w:shd w:val="clear" w:color="auto" w:fill="auto"/>
          </w:tcPr>
          <w:p w14:paraId="61639EBD" w14:textId="2C190D9A" w:rsidR="006B173F" w:rsidRPr="006B173F" w:rsidRDefault="006B173F" w:rsidP="006B173F">
            <w:pPr>
              <w:ind w:right="57"/>
              <w:jc w:val="right"/>
              <w:rPr>
                <w:sz w:val="18"/>
                <w:szCs w:val="18"/>
              </w:rPr>
            </w:pPr>
            <w:r w:rsidRPr="006B173F">
              <w:rPr>
                <w:sz w:val="18"/>
                <w:szCs w:val="18"/>
              </w:rPr>
              <w:t>1</w:t>
            </w:r>
            <w:r w:rsidR="00180143">
              <w:rPr>
                <w:sz w:val="18"/>
                <w:szCs w:val="18"/>
              </w:rPr>
              <w:t xml:space="preserve"> </w:t>
            </w:r>
            <w:r w:rsidRPr="006B173F">
              <w:rPr>
                <w:sz w:val="18"/>
                <w:szCs w:val="18"/>
              </w:rPr>
              <w:t>221.0</w:t>
            </w:r>
          </w:p>
        </w:tc>
        <w:tc>
          <w:tcPr>
            <w:tcW w:w="855" w:type="dxa"/>
            <w:tcBorders>
              <w:top w:val="nil"/>
              <w:left w:val="single" w:sz="4" w:space="0" w:color="auto"/>
              <w:bottom w:val="nil"/>
              <w:right w:val="single" w:sz="4" w:space="0" w:color="auto"/>
            </w:tcBorders>
            <w:shd w:val="clear" w:color="auto" w:fill="auto"/>
          </w:tcPr>
          <w:p w14:paraId="45CDB591" w14:textId="77777777" w:rsidR="006B173F" w:rsidRPr="006B173F" w:rsidRDefault="006B173F" w:rsidP="006B173F">
            <w:pPr>
              <w:jc w:val="right"/>
              <w:rPr>
                <w:sz w:val="18"/>
                <w:szCs w:val="18"/>
              </w:rPr>
            </w:pPr>
          </w:p>
        </w:tc>
        <w:tc>
          <w:tcPr>
            <w:tcW w:w="871" w:type="dxa"/>
            <w:tcBorders>
              <w:top w:val="nil"/>
              <w:left w:val="single" w:sz="4" w:space="0" w:color="auto"/>
              <w:bottom w:val="nil"/>
              <w:right w:val="single" w:sz="4" w:space="0" w:color="auto"/>
            </w:tcBorders>
            <w:shd w:val="clear" w:color="auto" w:fill="auto"/>
          </w:tcPr>
          <w:p w14:paraId="7FBB4DA5" w14:textId="77777777" w:rsidR="006B173F" w:rsidRPr="006B173F" w:rsidRDefault="006B173F" w:rsidP="006B173F">
            <w:pPr>
              <w:jc w:val="right"/>
              <w:rPr>
                <w:sz w:val="18"/>
                <w:szCs w:val="18"/>
              </w:rPr>
            </w:pPr>
          </w:p>
        </w:tc>
        <w:tc>
          <w:tcPr>
            <w:tcW w:w="801" w:type="dxa"/>
            <w:tcBorders>
              <w:top w:val="nil"/>
              <w:left w:val="single" w:sz="4" w:space="0" w:color="auto"/>
              <w:bottom w:val="nil"/>
              <w:right w:val="single" w:sz="4" w:space="0" w:color="auto"/>
            </w:tcBorders>
            <w:shd w:val="clear" w:color="auto" w:fill="auto"/>
          </w:tcPr>
          <w:p w14:paraId="4F9EA834" w14:textId="77777777" w:rsidR="006B173F" w:rsidRPr="006B173F" w:rsidRDefault="006B173F" w:rsidP="006B173F">
            <w:pPr>
              <w:jc w:val="right"/>
              <w:rPr>
                <w:sz w:val="18"/>
                <w:szCs w:val="18"/>
              </w:rPr>
            </w:pPr>
          </w:p>
        </w:tc>
        <w:tc>
          <w:tcPr>
            <w:tcW w:w="797" w:type="dxa"/>
            <w:tcBorders>
              <w:top w:val="nil"/>
              <w:left w:val="single" w:sz="4" w:space="0" w:color="auto"/>
              <w:bottom w:val="nil"/>
              <w:right w:val="single" w:sz="4" w:space="0" w:color="auto"/>
            </w:tcBorders>
            <w:shd w:val="clear" w:color="auto" w:fill="auto"/>
          </w:tcPr>
          <w:p w14:paraId="14A7B713" w14:textId="77777777" w:rsidR="006B173F" w:rsidRPr="006B173F" w:rsidRDefault="006B173F" w:rsidP="006B173F">
            <w:pPr>
              <w:jc w:val="right"/>
              <w:rPr>
                <w:sz w:val="18"/>
                <w:szCs w:val="18"/>
              </w:rPr>
            </w:pPr>
          </w:p>
        </w:tc>
        <w:tc>
          <w:tcPr>
            <w:tcW w:w="1193" w:type="dxa"/>
            <w:tcBorders>
              <w:top w:val="nil"/>
              <w:left w:val="single" w:sz="4" w:space="0" w:color="auto"/>
              <w:bottom w:val="nil"/>
            </w:tcBorders>
            <w:shd w:val="clear" w:color="auto" w:fill="auto"/>
          </w:tcPr>
          <w:p w14:paraId="012701C3" w14:textId="582B93D4" w:rsidR="006B173F" w:rsidRPr="006B173F" w:rsidRDefault="006B173F" w:rsidP="006B173F">
            <w:pPr>
              <w:ind w:right="113"/>
              <w:jc w:val="right"/>
              <w:rPr>
                <w:sz w:val="18"/>
                <w:szCs w:val="18"/>
              </w:rPr>
            </w:pPr>
            <w:r w:rsidRPr="006B173F">
              <w:rPr>
                <w:sz w:val="18"/>
                <w:szCs w:val="18"/>
              </w:rPr>
              <w:t>2</w:t>
            </w:r>
            <w:r w:rsidR="00180143">
              <w:rPr>
                <w:sz w:val="18"/>
                <w:szCs w:val="18"/>
              </w:rPr>
              <w:t xml:space="preserve"> </w:t>
            </w:r>
            <w:r w:rsidRPr="006B173F">
              <w:rPr>
                <w:sz w:val="18"/>
                <w:szCs w:val="18"/>
              </w:rPr>
              <w:t>788.0</w:t>
            </w:r>
          </w:p>
        </w:tc>
      </w:tr>
      <w:tr w:rsidR="006B173F" w:rsidRPr="006B173F" w14:paraId="42C88750" w14:textId="77777777" w:rsidTr="006B173F">
        <w:trPr>
          <w:jc w:val="center"/>
        </w:trPr>
        <w:tc>
          <w:tcPr>
            <w:tcW w:w="3784" w:type="dxa"/>
            <w:tcBorders>
              <w:top w:val="nil"/>
              <w:bottom w:val="nil"/>
              <w:right w:val="single" w:sz="4" w:space="0" w:color="auto"/>
            </w:tcBorders>
            <w:shd w:val="clear" w:color="auto" w:fill="auto"/>
          </w:tcPr>
          <w:p w14:paraId="25A9EF3D" w14:textId="77777777" w:rsidR="006B173F" w:rsidRPr="006B173F" w:rsidRDefault="006B173F" w:rsidP="006B173F">
            <w:pPr>
              <w:rPr>
                <w:rFonts w:eastAsia="Times New Roman"/>
                <w:b/>
                <w:sz w:val="18"/>
                <w:szCs w:val="18"/>
              </w:rPr>
            </w:pPr>
            <w:r w:rsidRPr="006B173F">
              <w:rPr>
                <w:rFonts w:eastAsia="Times New Roman"/>
                <w:b/>
                <w:sz w:val="18"/>
                <w:szCs w:val="18"/>
              </w:rPr>
              <w:t>3. Deuda Bruta</w:t>
            </w:r>
          </w:p>
        </w:tc>
        <w:tc>
          <w:tcPr>
            <w:tcW w:w="1016" w:type="dxa"/>
            <w:tcBorders>
              <w:top w:val="nil"/>
              <w:bottom w:val="nil"/>
            </w:tcBorders>
          </w:tcPr>
          <w:p w14:paraId="034BB4C1" w14:textId="77777777" w:rsidR="006B173F" w:rsidRPr="006B173F" w:rsidRDefault="006B173F" w:rsidP="006B173F">
            <w:pPr>
              <w:ind w:right="57"/>
              <w:jc w:val="right"/>
              <w:rPr>
                <w:rFonts w:eastAsia="Calibri"/>
                <w:sz w:val="18"/>
                <w:szCs w:val="18"/>
                <w:lang w:eastAsia="en-US"/>
              </w:rPr>
            </w:pPr>
            <w:r w:rsidRPr="006B173F">
              <w:rPr>
                <w:rFonts w:eastAsia="Calibri"/>
                <w:b/>
                <w:bCs/>
                <w:sz w:val="18"/>
                <w:szCs w:val="18"/>
                <w:lang w:eastAsia="en-US"/>
              </w:rPr>
              <w:t xml:space="preserve">78 573.4 </w:t>
            </w:r>
          </w:p>
        </w:tc>
        <w:tc>
          <w:tcPr>
            <w:tcW w:w="855" w:type="dxa"/>
            <w:tcBorders>
              <w:top w:val="nil"/>
              <w:bottom w:val="nil"/>
            </w:tcBorders>
          </w:tcPr>
          <w:p w14:paraId="0A620F6E" w14:textId="77777777" w:rsidR="006B173F" w:rsidRPr="006B173F" w:rsidRDefault="006B173F" w:rsidP="006B173F">
            <w:pPr>
              <w:ind w:right="57"/>
              <w:jc w:val="right"/>
              <w:rPr>
                <w:rFonts w:eastAsia="Calibri"/>
                <w:sz w:val="18"/>
                <w:szCs w:val="18"/>
                <w:lang w:eastAsia="en-US"/>
              </w:rPr>
            </w:pPr>
            <w:r w:rsidRPr="006B173F">
              <w:rPr>
                <w:rFonts w:eastAsia="Calibri"/>
                <w:b/>
                <w:bCs/>
                <w:sz w:val="18"/>
                <w:szCs w:val="18"/>
                <w:lang w:eastAsia="en-US"/>
              </w:rPr>
              <w:t xml:space="preserve">4 486.7 </w:t>
            </w:r>
          </w:p>
        </w:tc>
        <w:tc>
          <w:tcPr>
            <w:tcW w:w="871" w:type="dxa"/>
            <w:tcBorders>
              <w:top w:val="nil"/>
              <w:bottom w:val="nil"/>
            </w:tcBorders>
          </w:tcPr>
          <w:p w14:paraId="6EF6B518" w14:textId="77777777" w:rsidR="006B173F" w:rsidRPr="006B173F" w:rsidRDefault="006B173F" w:rsidP="006B173F">
            <w:pPr>
              <w:ind w:right="57"/>
              <w:jc w:val="right"/>
              <w:rPr>
                <w:rFonts w:eastAsia="Calibri"/>
                <w:sz w:val="18"/>
                <w:szCs w:val="18"/>
                <w:lang w:eastAsia="en-US"/>
              </w:rPr>
            </w:pPr>
            <w:r w:rsidRPr="006B173F">
              <w:rPr>
                <w:rFonts w:eastAsia="Calibri"/>
                <w:b/>
                <w:bCs/>
                <w:sz w:val="18"/>
                <w:szCs w:val="18"/>
                <w:lang w:eastAsia="en-US"/>
              </w:rPr>
              <w:t xml:space="preserve">2 136.7 </w:t>
            </w:r>
          </w:p>
        </w:tc>
        <w:tc>
          <w:tcPr>
            <w:tcW w:w="801" w:type="dxa"/>
            <w:tcBorders>
              <w:top w:val="nil"/>
              <w:bottom w:val="nil"/>
            </w:tcBorders>
          </w:tcPr>
          <w:p w14:paraId="098E4B28" w14:textId="77777777" w:rsidR="006B173F" w:rsidRPr="006B173F" w:rsidRDefault="006B173F" w:rsidP="006B173F">
            <w:pPr>
              <w:ind w:left="-57" w:right="57"/>
              <w:jc w:val="right"/>
              <w:rPr>
                <w:rFonts w:eastAsia="Calibri"/>
                <w:sz w:val="18"/>
                <w:szCs w:val="18"/>
                <w:lang w:eastAsia="en-US"/>
              </w:rPr>
            </w:pPr>
            <w:r w:rsidRPr="006B173F">
              <w:rPr>
                <w:rFonts w:eastAsia="Calibri"/>
                <w:b/>
                <w:bCs/>
                <w:sz w:val="18"/>
                <w:szCs w:val="18"/>
                <w:lang w:eastAsia="en-US"/>
              </w:rPr>
              <w:t xml:space="preserve">2 350.0 </w:t>
            </w:r>
          </w:p>
        </w:tc>
        <w:tc>
          <w:tcPr>
            <w:tcW w:w="797" w:type="dxa"/>
            <w:tcBorders>
              <w:top w:val="nil"/>
              <w:bottom w:val="nil"/>
            </w:tcBorders>
          </w:tcPr>
          <w:p w14:paraId="32E5E206" w14:textId="77777777" w:rsidR="006B173F" w:rsidRPr="006B173F" w:rsidRDefault="006B173F" w:rsidP="006B173F">
            <w:pPr>
              <w:ind w:right="57"/>
              <w:jc w:val="right"/>
              <w:rPr>
                <w:rFonts w:eastAsia="Calibri"/>
                <w:sz w:val="18"/>
                <w:szCs w:val="18"/>
                <w:lang w:eastAsia="en-US"/>
              </w:rPr>
            </w:pPr>
            <w:r w:rsidRPr="006B173F">
              <w:rPr>
                <w:rFonts w:eastAsia="Calibri"/>
                <w:b/>
                <w:bCs/>
                <w:sz w:val="18"/>
                <w:szCs w:val="18"/>
                <w:lang w:eastAsia="en-US"/>
              </w:rPr>
              <w:t xml:space="preserve">-147.0 </w:t>
            </w:r>
          </w:p>
        </w:tc>
        <w:tc>
          <w:tcPr>
            <w:tcW w:w="1193" w:type="dxa"/>
            <w:tcBorders>
              <w:top w:val="nil"/>
              <w:bottom w:val="nil"/>
            </w:tcBorders>
          </w:tcPr>
          <w:p w14:paraId="381CC544" w14:textId="77777777" w:rsidR="006B173F" w:rsidRPr="006B173F" w:rsidRDefault="006B173F" w:rsidP="006B173F">
            <w:pPr>
              <w:ind w:right="113"/>
              <w:jc w:val="right"/>
              <w:rPr>
                <w:rFonts w:eastAsia="Calibri"/>
                <w:sz w:val="18"/>
                <w:szCs w:val="18"/>
                <w:lang w:eastAsia="en-US"/>
              </w:rPr>
            </w:pPr>
            <w:r w:rsidRPr="006B173F">
              <w:rPr>
                <w:rFonts w:eastAsia="Calibri"/>
                <w:b/>
                <w:bCs/>
                <w:sz w:val="18"/>
                <w:szCs w:val="18"/>
                <w:lang w:eastAsia="en-US"/>
              </w:rPr>
              <w:t xml:space="preserve">80 776.4 </w:t>
            </w:r>
          </w:p>
        </w:tc>
      </w:tr>
      <w:tr w:rsidR="006B173F" w:rsidRPr="006B173F" w14:paraId="67CA8194" w14:textId="77777777" w:rsidTr="006B173F">
        <w:trPr>
          <w:jc w:val="center"/>
        </w:trPr>
        <w:tc>
          <w:tcPr>
            <w:tcW w:w="3784" w:type="dxa"/>
            <w:tcBorders>
              <w:top w:val="nil"/>
              <w:bottom w:val="nil"/>
              <w:right w:val="single" w:sz="4" w:space="0" w:color="auto"/>
            </w:tcBorders>
            <w:shd w:val="clear" w:color="auto" w:fill="auto"/>
          </w:tcPr>
          <w:p w14:paraId="21FBD817" w14:textId="77777777" w:rsidR="006B173F" w:rsidRPr="006B173F" w:rsidRDefault="006B173F" w:rsidP="006B173F">
            <w:pPr>
              <w:ind w:left="181"/>
              <w:rPr>
                <w:rFonts w:eastAsia="Times New Roman"/>
                <w:sz w:val="18"/>
                <w:szCs w:val="18"/>
              </w:rPr>
            </w:pPr>
            <w:r w:rsidRPr="006B173F">
              <w:rPr>
                <w:rFonts w:eastAsia="Times New Roman"/>
                <w:sz w:val="18"/>
                <w:szCs w:val="18"/>
              </w:rPr>
              <w:t>Mercado de Capitales</w:t>
            </w:r>
          </w:p>
        </w:tc>
        <w:tc>
          <w:tcPr>
            <w:tcW w:w="1016" w:type="dxa"/>
            <w:tcBorders>
              <w:top w:val="nil"/>
              <w:bottom w:val="nil"/>
            </w:tcBorders>
          </w:tcPr>
          <w:p w14:paraId="559D9D88"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52 926.9 </w:t>
            </w:r>
          </w:p>
        </w:tc>
        <w:tc>
          <w:tcPr>
            <w:tcW w:w="855" w:type="dxa"/>
            <w:tcBorders>
              <w:top w:val="nil"/>
              <w:bottom w:val="nil"/>
            </w:tcBorders>
          </w:tcPr>
          <w:p w14:paraId="1AB14692"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4 000.0 </w:t>
            </w:r>
          </w:p>
        </w:tc>
        <w:tc>
          <w:tcPr>
            <w:tcW w:w="871" w:type="dxa"/>
            <w:tcBorders>
              <w:top w:val="nil"/>
              <w:bottom w:val="nil"/>
            </w:tcBorders>
          </w:tcPr>
          <w:p w14:paraId="1DED128D"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2 001.5 </w:t>
            </w:r>
          </w:p>
        </w:tc>
        <w:tc>
          <w:tcPr>
            <w:tcW w:w="801" w:type="dxa"/>
            <w:tcBorders>
              <w:top w:val="nil"/>
              <w:bottom w:val="nil"/>
            </w:tcBorders>
          </w:tcPr>
          <w:p w14:paraId="2AED77F3" w14:textId="77777777" w:rsidR="006B173F" w:rsidRPr="006B173F" w:rsidRDefault="006B173F" w:rsidP="006B173F">
            <w:pPr>
              <w:ind w:left="-57" w:right="57"/>
              <w:jc w:val="right"/>
              <w:rPr>
                <w:rFonts w:eastAsia="Calibri"/>
                <w:sz w:val="18"/>
                <w:szCs w:val="18"/>
                <w:lang w:eastAsia="en-US"/>
              </w:rPr>
            </w:pPr>
            <w:r w:rsidRPr="006B173F">
              <w:rPr>
                <w:rFonts w:eastAsia="Calibri"/>
                <w:sz w:val="18"/>
                <w:szCs w:val="18"/>
                <w:lang w:eastAsia="en-US"/>
              </w:rPr>
              <w:t xml:space="preserve">1 998.5 </w:t>
            </w:r>
          </w:p>
        </w:tc>
        <w:tc>
          <w:tcPr>
            <w:tcW w:w="797" w:type="dxa"/>
            <w:tcBorders>
              <w:top w:val="nil"/>
              <w:bottom w:val="nil"/>
            </w:tcBorders>
          </w:tcPr>
          <w:p w14:paraId="731F7F1D"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-76.4 </w:t>
            </w:r>
          </w:p>
        </w:tc>
        <w:tc>
          <w:tcPr>
            <w:tcW w:w="1193" w:type="dxa"/>
            <w:tcBorders>
              <w:top w:val="nil"/>
              <w:bottom w:val="nil"/>
            </w:tcBorders>
          </w:tcPr>
          <w:p w14:paraId="1A5C7393"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54 849.0 </w:t>
            </w:r>
          </w:p>
        </w:tc>
      </w:tr>
      <w:tr w:rsidR="006B173F" w:rsidRPr="006B173F" w14:paraId="187F3FB2" w14:textId="77777777" w:rsidTr="006B173F">
        <w:trPr>
          <w:jc w:val="center"/>
        </w:trPr>
        <w:tc>
          <w:tcPr>
            <w:tcW w:w="3784" w:type="dxa"/>
            <w:tcBorders>
              <w:top w:val="nil"/>
              <w:bottom w:val="nil"/>
              <w:right w:val="single" w:sz="4" w:space="0" w:color="auto"/>
            </w:tcBorders>
            <w:shd w:val="clear" w:color="auto" w:fill="auto"/>
          </w:tcPr>
          <w:p w14:paraId="5ED9E6ED" w14:textId="77777777" w:rsidR="006B173F" w:rsidRPr="006B173F" w:rsidRDefault="006B173F" w:rsidP="006B173F">
            <w:pPr>
              <w:ind w:left="181"/>
              <w:rPr>
                <w:rFonts w:eastAsia="Times New Roman"/>
                <w:sz w:val="18"/>
                <w:szCs w:val="18"/>
              </w:rPr>
            </w:pPr>
            <w:r w:rsidRPr="006B173F">
              <w:rPr>
                <w:rFonts w:eastAsia="Times New Roman"/>
                <w:sz w:val="18"/>
                <w:szCs w:val="18"/>
              </w:rPr>
              <w:t>Organismos Financieros Internacionales (OFI’s)</w:t>
            </w:r>
          </w:p>
        </w:tc>
        <w:tc>
          <w:tcPr>
            <w:tcW w:w="1016" w:type="dxa"/>
            <w:tcBorders>
              <w:top w:val="nil"/>
              <w:bottom w:val="nil"/>
            </w:tcBorders>
            <w:vAlign w:val="center"/>
          </w:tcPr>
          <w:p w14:paraId="687CFBF8"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23 563.1 </w:t>
            </w:r>
          </w:p>
        </w:tc>
        <w:tc>
          <w:tcPr>
            <w:tcW w:w="855" w:type="dxa"/>
            <w:tcBorders>
              <w:top w:val="nil"/>
              <w:bottom w:val="nil"/>
            </w:tcBorders>
            <w:vAlign w:val="center"/>
          </w:tcPr>
          <w:p w14:paraId="1DDB4C30"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473.1 </w:t>
            </w:r>
          </w:p>
        </w:tc>
        <w:tc>
          <w:tcPr>
            <w:tcW w:w="871" w:type="dxa"/>
            <w:tcBorders>
              <w:top w:val="nil"/>
              <w:bottom w:val="nil"/>
            </w:tcBorders>
            <w:vAlign w:val="center"/>
          </w:tcPr>
          <w:p w14:paraId="010680EB"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120.7 </w:t>
            </w:r>
          </w:p>
        </w:tc>
        <w:tc>
          <w:tcPr>
            <w:tcW w:w="801" w:type="dxa"/>
            <w:tcBorders>
              <w:top w:val="nil"/>
              <w:bottom w:val="nil"/>
            </w:tcBorders>
            <w:vAlign w:val="center"/>
          </w:tcPr>
          <w:p w14:paraId="718C62AD" w14:textId="77777777" w:rsidR="006B173F" w:rsidRPr="006B173F" w:rsidRDefault="006B173F" w:rsidP="006B173F">
            <w:pPr>
              <w:ind w:left="-57" w:right="57"/>
              <w:jc w:val="right"/>
              <w:rPr>
                <w:rFonts w:eastAsia="Calibri"/>
                <w:sz w:val="18"/>
                <w:szCs w:val="18"/>
                <w:lang w:eastAsia="en-US"/>
              </w:rPr>
            </w:pPr>
            <w:r w:rsidRPr="006B173F">
              <w:rPr>
                <w:rFonts w:eastAsia="Calibri"/>
                <w:sz w:val="18"/>
                <w:szCs w:val="18"/>
                <w:lang w:eastAsia="en-US"/>
              </w:rPr>
              <w:t xml:space="preserve">352.4 </w:t>
            </w:r>
          </w:p>
        </w:tc>
        <w:tc>
          <w:tcPr>
            <w:tcW w:w="797" w:type="dxa"/>
            <w:tcBorders>
              <w:top w:val="nil"/>
              <w:bottom w:val="nil"/>
            </w:tcBorders>
            <w:vAlign w:val="center"/>
          </w:tcPr>
          <w:p w14:paraId="31B2869A"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-1.0 </w:t>
            </w:r>
          </w:p>
        </w:tc>
        <w:tc>
          <w:tcPr>
            <w:tcW w:w="1193" w:type="dxa"/>
            <w:tcBorders>
              <w:top w:val="nil"/>
              <w:bottom w:val="nil"/>
            </w:tcBorders>
            <w:vAlign w:val="center"/>
          </w:tcPr>
          <w:p w14:paraId="28E29BC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23 914.5 </w:t>
            </w:r>
          </w:p>
        </w:tc>
      </w:tr>
      <w:tr w:rsidR="006B173F" w:rsidRPr="006B173F" w14:paraId="01479532" w14:textId="77777777" w:rsidTr="006B173F">
        <w:trPr>
          <w:jc w:val="center"/>
        </w:trPr>
        <w:tc>
          <w:tcPr>
            <w:tcW w:w="3784" w:type="dxa"/>
            <w:tcBorders>
              <w:top w:val="nil"/>
              <w:bottom w:val="single" w:sz="4" w:space="0" w:color="auto"/>
              <w:right w:val="single" w:sz="4" w:space="0" w:color="auto"/>
            </w:tcBorders>
            <w:shd w:val="clear" w:color="auto" w:fill="auto"/>
          </w:tcPr>
          <w:p w14:paraId="64BB42B0" w14:textId="77777777" w:rsidR="006B173F" w:rsidRPr="006B173F" w:rsidRDefault="006B173F" w:rsidP="006B173F">
            <w:pPr>
              <w:ind w:left="181"/>
              <w:rPr>
                <w:rFonts w:eastAsia="Times New Roman"/>
                <w:sz w:val="18"/>
                <w:szCs w:val="18"/>
              </w:rPr>
            </w:pPr>
            <w:r w:rsidRPr="006B173F">
              <w:rPr>
                <w:rFonts w:eastAsia="Times New Roman"/>
                <w:sz w:val="18"/>
                <w:szCs w:val="18"/>
              </w:rPr>
              <w:t>Comercio Exterior</w:t>
            </w:r>
          </w:p>
        </w:tc>
        <w:tc>
          <w:tcPr>
            <w:tcW w:w="1016" w:type="dxa"/>
            <w:tcBorders>
              <w:top w:val="nil"/>
            </w:tcBorders>
          </w:tcPr>
          <w:p w14:paraId="7EFA4E86"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2 083.4 </w:t>
            </w:r>
          </w:p>
        </w:tc>
        <w:tc>
          <w:tcPr>
            <w:tcW w:w="855" w:type="dxa"/>
            <w:tcBorders>
              <w:top w:val="nil"/>
            </w:tcBorders>
          </w:tcPr>
          <w:p w14:paraId="63A35CCB"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13.6 </w:t>
            </w:r>
          </w:p>
        </w:tc>
        <w:tc>
          <w:tcPr>
            <w:tcW w:w="871" w:type="dxa"/>
            <w:tcBorders>
              <w:top w:val="nil"/>
            </w:tcBorders>
          </w:tcPr>
          <w:p w14:paraId="0D2BCA2A"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14.5 </w:t>
            </w:r>
          </w:p>
        </w:tc>
        <w:tc>
          <w:tcPr>
            <w:tcW w:w="801" w:type="dxa"/>
            <w:tcBorders>
              <w:top w:val="nil"/>
            </w:tcBorders>
          </w:tcPr>
          <w:p w14:paraId="63F76EBE" w14:textId="77777777" w:rsidR="006B173F" w:rsidRPr="006B173F" w:rsidRDefault="006B173F" w:rsidP="006B173F">
            <w:pPr>
              <w:ind w:left="-57" w:right="57"/>
              <w:jc w:val="right"/>
              <w:rPr>
                <w:rFonts w:eastAsia="Calibri"/>
                <w:sz w:val="18"/>
                <w:szCs w:val="18"/>
                <w:lang w:eastAsia="en-US"/>
              </w:rPr>
            </w:pPr>
            <w:r w:rsidRPr="006B173F">
              <w:rPr>
                <w:rFonts w:eastAsia="Calibri"/>
                <w:sz w:val="18"/>
                <w:szCs w:val="18"/>
                <w:lang w:eastAsia="en-US"/>
              </w:rPr>
              <w:t xml:space="preserve">-0.9 </w:t>
            </w:r>
          </w:p>
        </w:tc>
        <w:tc>
          <w:tcPr>
            <w:tcW w:w="797" w:type="dxa"/>
            <w:tcBorders>
              <w:top w:val="nil"/>
            </w:tcBorders>
          </w:tcPr>
          <w:p w14:paraId="266065C9" w14:textId="77777777" w:rsidR="006B173F" w:rsidRPr="006B173F" w:rsidRDefault="006B173F" w:rsidP="006B173F">
            <w:pPr>
              <w:ind w:right="57"/>
              <w:jc w:val="right"/>
              <w:rPr>
                <w:rFonts w:eastAsia="Calibri"/>
                <w:sz w:val="18"/>
                <w:szCs w:val="18"/>
                <w:lang w:eastAsia="en-US"/>
              </w:rPr>
            </w:pPr>
            <w:r w:rsidRPr="006B173F">
              <w:rPr>
                <w:rFonts w:eastAsia="Calibri"/>
                <w:sz w:val="18"/>
                <w:szCs w:val="18"/>
                <w:lang w:eastAsia="en-US"/>
              </w:rPr>
              <w:t xml:space="preserve">-69.6 </w:t>
            </w:r>
          </w:p>
        </w:tc>
        <w:tc>
          <w:tcPr>
            <w:tcW w:w="1193" w:type="dxa"/>
            <w:tcBorders>
              <w:top w:val="nil"/>
            </w:tcBorders>
          </w:tcPr>
          <w:p w14:paraId="5B2DA609" w14:textId="77777777" w:rsidR="006B173F" w:rsidRPr="006B173F" w:rsidRDefault="006B173F" w:rsidP="006B173F">
            <w:pPr>
              <w:ind w:right="113"/>
              <w:jc w:val="right"/>
              <w:rPr>
                <w:rFonts w:eastAsia="Calibri"/>
                <w:sz w:val="18"/>
                <w:szCs w:val="18"/>
                <w:lang w:eastAsia="en-US"/>
              </w:rPr>
            </w:pPr>
            <w:r w:rsidRPr="006B173F">
              <w:rPr>
                <w:rFonts w:eastAsia="Calibri"/>
                <w:sz w:val="18"/>
                <w:szCs w:val="18"/>
                <w:lang w:eastAsia="en-US"/>
              </w:rPr>
              <w:t xml:space="preserve">2 012.9 </w:t>
            </w:r>
          </w:p>
        </w:tc>
      </w:tr>
      <w:tr w:rsidR="006B173F" w:rsidRPr="006B173F" w14:paraId="135FD973" w14:textId="77777777" w:rsidTr="006B173F">
        <w:trPr>
          <w:jc w:val="center"/>
        </w:trPr>
        <w:tc>
          <w:tcPr>
            <w:tcW w:w="9317" w:type="dxa"/>
            <w:gridSpan w:val="7"/>
            <w:tcBorders>
              <w:top w:val="single" w:sz="4" w:space="0" w:color="auto"/>
              <w:left w:val="nil"/>
              <w:bottom w:val="nil"/>
              <w:right w:val="nil"/>
            </w:tcBorders>
            <w:shd w:val="clear" w:color="auto" w:fill="auto"/>
          </w:tcPr>
          <w:p w14:paraId="32333E30" w14:textId="77777777" w:rsidR="006B173F" w:rsidRPr="006B173F" w:rsidRDefault="006B173F" w:rsidP="006B173F">
            <w:pPr>
              <w:jc w:val="both"/>
              <w:rPr>
                <w:rFonts w:eastAsia="Times New Roman"/>
                <w:sz w:val="18"/>
                <w:szCs w:val="18"/>
              </w:rPr>
            </w:pPr>
            <w:r w:rsidRPr="006B173F">
              <w:rPr>
                <w:rFonts w:eastAsia="Times New Roman"/>
                <w:sz w:val="18"/>
                <w:szCs w:val="18"/>
              </w:rPr>
              <w:t>Nota: Las sumas parciales pueden no coincidir debido al redondeo.</w:t>
            </w:r>
          </w:p>
          <w:p w14:paraId="72E5728E" w14:textId="77777777" w:rsidR="006B173F" w:rsidRPr="006B173F" w:rsidRDefault="006B173F" w:rsidP="006B173F">
            <w:pPr>
              <w:jc w:val="both"/>
              <w:rPr>
                <w:rFonts w:eastAsia="Times New Roman"/>
                <w:sz w:val="18"/>
                <w:szCs w:val="18"/>
              </w:rPr>
            </w:pPr>
            <w:r w:rsidRPr="006B173F">
              <w:rPr>
                <w:rFonts w:eastAsia="Times New Roman"/>
                <w:sz w:val="18"/>
                <w:szCs w:val="18"/>
                <w:u w:val="single"/>
              </w:rPr>
              <w:t>*</w:t>
            </w:r>
            <w:r w:rsidRPr="006B173F">
              <w:rPr>
                <w:rFonts w:eastAsia="Times New Roman"/>
                <w:sz w:val="18"/>
                <w:szCs w:val="18"/>
              </w:rPr>
              <w:t>/ Cifras sujetas a revisiones por cambios y adecuaciones metodológicas.</w:t>
            </w:r>
          </w:p>
          <w:p w14:paraId="6768A2FD" w14:textId="77777777" w:rsidR="006B173F" w:rsidRPr="006B173F" w:rsidRDefault="006B173F" w:rsidP="006B173F">
            <w:pPr>
              <w:jc w:val="both"/>
              <w:rPr>
                <w:rFonts w:eastAsia="Times New Roman"/>
                <w:sz w:val="18"/>
                <w:szCs w:val="18"/>
              </w:rPr>
            </w:pPr>
            <w:r w:rsidRPr="006B173F">
              <w:rPr>
                <w:rFonts w:eastAsia="Times New Roman"/>
                <w:sz w:val="18"/>
                <w:szCs w:val="18"/>
                <w:u w:val="single"/>
              </w:rPr>
              <w:t>p</w:t>
            </w:r>
            <w:r w:rsidRPr="006B173F">
              <w:rPr>
                <w:rFonts w:eastAsia="Times New Roman"/>
                <w:sz w:val="18"/>
                <w:szCs w:val="18"/>
              </w:rPr>
              <w:t>/ Cifras preliminares.</w:t>
            </w:r>
          </w:p>
          <w:p w14:paraId="3441ADA3" w14:textId="77777777" w:rsidR="006B173F" w:rsidRPr="006B173F" w:rsidRDefault="006B173F" w:rsidP="006B173F">
            <w:pPr>
              <w:jc w:val="both"/>
              <w:rPr>
                <w:rFonts w:eastAsia="Times New Roman"/>
                <w:sz w:val="18"/>
                <w:szCs w:val="18"/>
              </w:rPr>
            </w:pPr>
            <w:r w:rsidRPr="006B173F">
              <w:rPr>
                <w:rFonts w:eastAsia="Times New Roman"/>
                <w:sz w:val="18"/>
                <w:szCs w:val="18"/>
                <w:u w:val="single"/>
              </w:rPr>
              <w:t>1</w:t>
            </w:r>
            <w:r w:rsidRPr="006B173F">
              <w:rPr>
                <w:rFonts w:eastAsia="Times New Roman"/>
                <w:sz w:val="18"/>
                <w:szCs w:val="18"/>
              </w:rPr>
              <w:t>/ Considera el saldo neto denominado en dólares de la Cuenta General de la Tesorería de la Federación.</w:t>
            </w:r>
          </w:p>
          <w:p w14:paraId="56AF0501" w14:textId="77777777" w:rsidR="006B173F" w:rsidRPr="006B173F" w:rsidRDefault="006B173F" w:rsidP="006B173F">
            <w:pPr>
              <w:jc w:val="both"/>
              <w:rPr>
                <w:rFonts w:eastAsia="Times New Roman"/>
                <w:sz w:val="18"/>
                <w:szCs w:val="18"/>
              </w:rPr>
            </w:pPr>
            <w:r w:rsidRPr="006B173F">
              <w:rPr>
                <w:rFonts w:eastAsia="Times New Roman"/>
                <w:sz w:val="18"/>
                <w:szCs w:val="18"/>
              </w:rPr>
              <w:t xml:space="preserve">FUENTE: </w:t>
            </w:r>
            <w:r w:rsidRPr="006B173F">
              <w:rPr>
                <w:rFonts w:eastAsia="Times New Roman"/>
                <w:iCs/>
                <w:sz w:val="18"/>
                <w:szCs w:val="18"/>
              </w:rPr>
              <w:t>Dirección General Adjunta de Deuda Pública, UCP</w:t>
            </w:r>
            <w:r w:rsidRPr="006B173F">
              <w:rPr>
                <w:rFonts w:eastAsia="Times New Roman"/>
                <w:i/>
                <w:iCs/>
                <w:sz w:val="18"/>
                <w:szCs w:val="18"/>
              </w:rPr>
              <w:t>.</w:t>
            </w:r>
          </w:p>
        </w:tc>
      </w:tr>
    </w:tbl>
    <w:p w14:paraId="5F25BB56" w14:textId="77777777" w:rsidR="006B173F" w:rsidRPr="006B173F" w:rsidRDefault="006B173F" w:rsidP="006B173F">
      <w:pPr>
        <w:spacing w:after="360" w:line="360" w:lineRule="auto"/>
        <w:ind w:right="-159"/>
        <w:jc w:val="both"/>
        <w:rPr>
          <w:rFonts w:eastAsia="Calibri"/>
          <w:sz w:val="26"/>
          <w:szCs w:val="26"/>
          <w:lang w:eastAsia="en-US"/>
        </w:rPr>
      </w:pPr>
    </w:p>
    <w:p w14:paraId="4590B2AD" w14:textId="1AD2FF6A"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 xml:space="preserve">El saldo de la deuda interna neta del </w:t>
      </w:r>
      <w:r w:rsidR="00AA4CFE">
        <w:rPr>
          <w:rFonts w:eastAsia="Calibri"/>
          <w:sz w:val="26"/>
          <w:szCs w:val="26"/>
          <w:lang w:eastAsia="en-US"/>
        </w:rPr>
        <w:t>S</w:t>
      </w:r>
      <w:r w:rsidRPr="006B173F">
        <w:rPr>
          <w:rFonts w:eastAsia="Calibri"/>
          <w:sz w:val="26"/>
          <w:szCs w:val="26"/>
          <w:lang w:eastAsia="en-US"/>
        </w:rPr>
        <w:t xml:space="preserve">ector </w:t>
      </w:r>
      <w:r w:rsidR="00AA4CFE">
        <w:rPr>
          <w:rFonts w:eastAsia="Calibri"/>
          <w:sz w:val="26"/>
          <w:szCs w:val="26"/>
          <w:lang w:eastAsia="en-US"/>
        </w:rPr>
        <w:t>P</w:t>
      </w:r>
      <w:r w:rsidRPr="006B173F">
        <w:rPr>
          <w:rFonts w:eastAsia="Calibri"/>
          <w:sz w:val="26"/>
          <w:szCs w:val="26"/>
          <w:lang w:eastAsia="en-US"/>
        </w:rPr>
        <w:t xml:space="preserve">úblico </w:t>
      </w:r>
      <w:r w:rsidR="00AA4CFE">
        <w:rPr>
          <w:rFonts w:eastAsia="Calibri"/>
          <w:sz w:val="26"/>
          <w:szCs w:val="26"/>
          <w:lang w:eastAsia="en-US"/>
        </w:rPr>
        <w:t>F</w:t>
      </w:r>
      <w:r w:rsidRPr="006B173F">
        <w:rPr>
          <w:rFonts w:eastAsia="Calibri"/>
          <w:sz w:val="26"/>
          <w:szCs w:val="26"/>
          <w:lang w:eastAsia="en-US"/>
        </w:rPr>
        <w:t>ederal (Gobierno Federal, empresas productivas del estado y la banca de desarrollo) se ubicó en 4 billones 867 mil 904.7 millones de pesos al cierre de febrero, lo que significa un incremento de 63 mil 654.5 millones de pesos respecto del saldo registrado al cierre de 2014. Ello obedece a un endeudamiento interno neto durante el período de 95 mil 632 millones de pesos, a ajustes contables al alza de 4 mil 691.9 millones de pesos y a un incremento en las disponibilidades del sector público federal de 36 mil 700 millones de pesos.</w:t>
      </w:r>
    </w:p>
    <w:p w14:paraId="5B2367EB" w14:textId="77777777" w:rsidR="006B173F" w:rsidRPr="006B173F" w:rsidRDefault="006B173F" w:rsidP="006B173F">
      <w:pPr>
        <w:spacing w:after="360" w:line="360" w:lineRule="auto"/>
        <w:ind w:right="-159"/>
        <w:jc w:val="both"/>
        <w:rPr>
          <w:rFonts w:eastAsia="Calibri"/>
          <w:sz w:val="26"/>
          <w:szCs w:val="26"/>
          <w:lang w:eastAsia="en-US"/>
        </w:rPr>
      </w:pPr>
    </w:p>
    <w:p w14:paraId="785690BD" w14:textId="77777777" w:rsidR="006B173F" w:rsidRDefault="006B173F" w:rsidP="006B173F">
      <w:pPr>
        <w:spacing w:after="360" w:line="360" w:lineRule="auto"/>
        <w:ind w:right="-159"/>
        <w:jc w:val="both"/>
        <w:rPr>
          <w:rFonts w:eastAsia="Calibri"/>
          <w:sz w:val="26"/>
          <w:szCs w:val="26"/>
          <w:lang w:eastAsia="en-US"/>
        </w:rPr>
      </w:pPr>
    </w:p>
    <w:p w14:paraId="36B0BEF3" w14:textId="77777777" w:rsidR="00710C76" w:rsidRPr="006B173F" w:rsidRDefault="00710C76" w:rsidP="006B173F">
      <w:pPr>
        <w:spacing w:after="360" w:line="360" w:lineRule="auto"/>
        <w:ind w:right="-159"/>
        <w:jc w:val="both"/>
        <w:rPr>
          <w:rFonts w:eastAsia="Calibri"/>
          <w:sz w:val="26"/>
          <w:szCs w:val="26"/>
          <w:lang w:eastAsia="en-US"/>
        </w:rPr>
      </w:pPr>
    </w:p>
    <w:p w14:paraId="2BFB91DB" w14:textId="77777777" w:rsidR="006B173F" w:rsidRPr="006B173F" w:rsidRDefault="006B173F" w:rsidP="006B173F">
      <w:pPr>
        <w:spacing w:after="360" w:line="360" w:lineRule="auto"/>
        <w:ind w:right="-159"/>
        <w:jc w:val="both"/>
        <w:rPr>
          <w:rFonts w:eastAsia="Calibri"/>
          <w:sz w:val="26"/>
          <w:szCs w:val="26"/>
          <w:lang w:eastAsia="en-US"/>
        </w:rPr>
      </w:pPr>
    </w:p>
    <w:p w14:paraId="6D174750" w14:textId="77777777" w:rsidR="006B173F" w:rsidRPr="006B173F" w:rsidRDefault="006B173F" w:rsidP="006B173F">
      <w:pPr>
        <w:spacing w:after="360" w:line="360" w:lineRule="auto"/>
        <w:ind w:right="-159"/>
        <w:jc w:val="both"/>
        <w:rPr>
          <w:rFonts w:eastAsia="Calibri"/>
          <w:sz w:val="26"/>
          <w:szCs w:val="26"/>
          <w:lang w:eastAsia="en-US"/>
        </w:rPr>
      </w:pPr>
    </w:p>
    <w:p w14:paraId="3117B037" w14:textId="77777777" w:rsidR="006B173F" w:rsidRPr="006B173F" w:rsidRDefault="006B173F" w:rsidP="006B173F">
      <w:pPr>
        <w:spacing w:after="360" w:line="360" w:lineRule="auto"/>
        <w:ind w:right="-159"/>
        <w:jc w:val="both"/>
        <w:rPr>
          <w:rFonts w:eastAsia="Calibri"/>
          <w:sz w:val="26"/>
          <w:szCs w:val="26"/>
          <w:lang w:eastAsia="en-US"/>
        </w:rPr>
      </w:pPr>
    </w:p>
    <w:p w14:paraId="68D1F71A" w14:textId="77777777" w:rsidR="006B173F" w:rsidRPr="006B173F" w:rsidRDefault="006B173F" w:rsidP="00710C76">
      <w:pPr>
        <w:ind w:right="-159"/>
        <w:jc w:val="both"/>
        <w:rPr>
          <w:rFonts w:eastAsia="Calibri"/>
          <w:sz w:val="26"/>
          <w:szCs w:val="26"/>
          <w:lang w:eastAsia="en-US"/>
        </w:rPr>
      </w:pP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0"/>
        <w:gridCol w:w="1134"/>
        <w:gridCol w:w="983"/>
        <w:gridCol w:w="1002"/>
        <w:gridCol w:w="992"/>
        <w:gridCol w:w="938"/>
        <w:gridCol w:w="1028"/>
      </w:tblGrid>
      <w:tr w:rsidR="006B173F" w:rsidRPr="006B173F" w14:paraId="4B3EE982" w14:textId="77777777" w:rsidTr="006B173F">
        <w:trPr>
          <w:jc w:val="center"/>
        </w:trPr>
        <w:tc>
          <w:tcPr>
            <w:tcW w:w="8987" w:type="dxa"/>
            <w:gridSpan w:val="7"/>
            <w:tcBorders>
              <w:top w:val="nil"/>
              <w:left w:val="nil"/>
              <w:bottom w:val="single" w:sz="4" w:space="0" w:color="auto"/>
              <w:right w:val="nil"/>
            </w:tcBorders>
            <w:shd w:val="clear" w:color="auto" w:fill="auto"/>
            <w:vAlign w:val="center"/>
          </w:tcPr>
          <w:p w14:paraId="5A0187C5" w14:textId="77777777" w:rsidR="006B173F" w:rsidRPr="006B173F" w:rsidRDefault="006B173F" w:rsidP="006B173F">
            <w:pPr>
              <w:jc w:val="center"/>
              <w:rPr>
                <w:rFonts w:eastAsia="Times New Roman"/>
                <w:b/>
                <w:sz w:val="18"/>
                <w:szCs w:val="18"/>
              </w:rPr>
            </w:pPr>
            <w:r w:rsidRPr="006B173F">
              <w:rPr>
                <w:rFonts w:eastAsia="Times New Roman"/>
                <w:b/>
                <w:sz w:val="18"/>
                <w:szCs w:val="18"/>
              </w:rPr>
              <w:t>DEUDA INTERNA DEL SECTOR PÚBLICO FEDERAL, FEBRERO</w:t>
            </w:r>
            <w:r w:rsidRPr="006B173F">
              <w:rPr>
                <w:rFonts w:eastAsia="Times New Roman"/>
                <w:b/>
                <w:sz w:val="18"/>
                <w:szCs w:val="18"/>
                <w:u w:val="single"/>
                <w:vertAlign w:val="superscript"/>
              </w:rPr>
              <w:t>*</w:t>
            </w:r>
            <w:r w:rsidRPr="006B173F">
              <w:rPr>
                <w:rFonts w:eastAsia="Times New Roman"/>
                <w:b/>
                <w:sz w:val="18"/>
                <w:szCs w:val="18"/>
                <w:vertAlign w:val="superscript"/>
              </w:rPr>
              <w:t>/</w:t>
            </w:r>
            <w:r w:rsidRPr="006B173F">
              <w:rPr>
                <w:rFonts w:eastAsia="Times New Roman"/>
                <w:b/>
                <w:sz w:val="18"/>
                <w:szCs w:val="18"/>
                <w:u w:val="single"/>
                <w:vertAlign w:val="superscript"/>
              </w:rPr>
              <w:t>1</w:t>
            </w:r>
            <w:r w:rsidRPr="006B173F">
              <w:rPr>
                <w:rFonts w:eastAsia="Times New Roman"/>
                <w:b/>
                <w:sz w:val="18"/>
                <w:szCs w:val="18"/>
                <w:vertAlign w:val="superscript"/>
              </w:rPr>
              <w:t>/</w:t>
            </w:r>
          </w:p>
          <w:p w14:paraId="07C27CEB" w14:textId="77777777" w:rsidR="006B173F" w:rsidRPr="006B173F" w:rsidRDefault="006B173F" w:rsidP="006B173F">
            <w:pPr>
              <w:jc w:val="center"/>
              <w:rPr>
                <w:rFonts w:eastAsia="Times New Roman"/>
                <w:sz w:val="18"/>
                <w:szCs w:val="18"/>
              </w:rPr>
            </w:pPr>
            <w:r w:rsidRPr="006B173F">
              <w:rPr>
                <w:rFonts w:eastAsia="Times New Roman"/>
                <w:b/>
                <w:sz w:val="18"/>
                <w:szCs w:val="18"/>
              </w:rPr>
              <w:t>-Millones de pesos-</w:t>
            </w:r>
          </w:p>
        </w:tc>
      </w:tr>
      <w:tr w:rsidR="006B173F" w:rsidRPr="006B173F" w14:paraId="6EAC8815" w14:textId="77777777" w:rsidTr="006B173F">
        <w:trPr>
          <w:jc w:val="center"/>
        </w:trPr>
        <w:tc>
          <w:tcPr>
            <w:tcW w:w="2910" w:type="dxa"/>
            <w:vMerge w:val="restart"/>
            <w:tcBorders>
              <w:bottom w:val="single" w:sz="4" w:space="0" w:color="auto"/>
              <w:right w:val="single" w:sz="4" w:space="0" w:color="auto"/>
            </w:tcBorders>
            <w:shd w:val="clear" w:color="auto" w:fill="auto"/>
            <w:vAlign w:val="center"/>
          </w:tcPr>
          <w:p w14:paraId="47910B86" w14:textId="77777777" w:rsidR="006B173F" w:rsidRPr="006B173F" w:rsidRDefault="006B173F" w:rsidP="006B173F">
            <w:pPr>
              <w:jc w:val="center"/>
              <w:rPr>
                <w:rFonts w:eastAsia="Times New Roman"/>
                <w:b/>
                <w:sz w:val="16"/>
                <w:szCs w:val="16"/>
              </w:rPr>
            </w:pPr>
            <w:r w:rsidRPr="006B173F">
              <w:rPr>
                <w:rFonts w:eastAsia="Times New Roman"/>
                <w:b/>
                <w:sz w:val="16"/>
                <w:szCs w:val="16"/>
              </w:rPr>
              <w:t>Concepto</w:t>
            </w:r>
          </w:p>
        </w:tc>
        <w:tc>
          <w:tcPr>
            <w:tcW w:w="1134" w:type="dxa"/>
            <w:vMerge w:val="restart"/>
            <w:tcBorders>
              <w:left w:val="single" w:sz="4" w:space="0" w:color="auto"/>
              <w:bottom w:val="single" w:sz="4" w:space="0" w:color="auto"/>
              <w:right w:val="single" w:sz="4" w:space="0" w:color="auto"/>
            </w:tcBorders>
            <w:shd w:val="clear" w:color="auto" w:fill="auto"/>
            <w:vAlign w:val="center"/>
          </w:tcPr>
          <w:p w14:paraId="2273F1B8" w14:textId="77777777" w:rsidR="006B173F" w:rsidRPr="006B173F" w:rsidRDefault="006B173F" w:rsidP="006B173F">
            <w:pPr>
              <w:jc w:val="center"/>
              <w:rPr>
                <w:rFonts w:eastAsia="Times New Roman"/>
                <w:b/>
                <w:sz w:val="16"/>
                <w:szCs w:val="16"/>
              </w:rPr>
            </w:pPr>
            <w:r w:rsidRPr="006B173F">
              <w:rPr>
                <w:rFonts w:eastAsia="Times New Roman"/>
                <w:b/>
                <w:sz w:val="16"/>
                <w:szCs w:val="16"/>
              </w:rPr>
              <w:t>Saldo a diciembre</w:t>
            </w:r>
          </w:p>
          <w:p w14:paraId="550CD1BF" w14:textId="77777777" w:rsidR="006B173F" w:rsidRPr="006B173F" w:rsidRDefault="006B173F" w:rsidP="006B173F">
            <w:pPr>
              <w:jc w:val="center"/>
              <w:rPr>
                <w:rFonts w:eastAsia="Times New Roman"/>
                <w:b/>
                <w:sz w:val="16"/>
                <w:szCs w:val="16"/>
              </w:rPr>
            </w:pPr>
            <w:r w:rsidRPr="006B173F">
              <w:rPr>
                <w:rFonts w:eastAsia="Times New Roman"/>
                <w:b/>
                <w:sz w:val="16"/>
                <w:szCs w:val="16"/>
              </w:rPr>
              <w:t xml:space="preserve">de </w:t>
            </w:r>
            <w:r w:rsidRPr="006B173F">
              <w:rPr>
                <w:rFonts w:eastAsia="Times New Roman"/>
                <w:b/>
                <w:iCs/>
                <w:sz w:val="16"/>
                <w:szCs w:val="16"/>
              </w:rPr>
              <w:t>2014</w:t>
            </w:r>
            <w:r w:rsidRPr="006B173F">
              <w:rPr>
                <w:rFonts w:eastAsia="Times New Roman"/>
                <w:b/>
                <w:iCs/>
                <w:sz w:val="16"/>
                <w:szCs w:val="16"/>
                <w:u w:val="single"/>
                <w:vertAlign w:val="superscript"/>
              </w:rPr>
              <w:t>p</w:t>
            </w:r>
            <w:r w:rsidRPr="006B173F">
              <w:rPr>
                <w:rFonts w:eastAsia="Times New Roman"/>
                <w:b/>
                <w:iCs/>
                <w:sz w:val="16"/>
                <w:szCs w:val="16"/>
                <w:vertAlign w:val="superscript"/>
              </w:rPr>
              <w:t>/</w:t>
            </w:r>
          </w:p>
        </w:tc>
        <w:tc>
          <w:tcPr>
            <w:tcW w:w="2977" w:type="dxa"/>
            <w:gridSpan w:val="3"/>
            <w:tcBorders>
              <w:left w:val="single" w:sz="4" w:space="0" w:color="auto"/>
              <w:bottom w:val="single" w:sz="4" w:space="0" w:color="auto"/>
              <w:right w:val="single" w:sz="4" w:space="0" w:color="auto"/>
            </w:tcBorders>
            <w:shd w:val="clear" w:color="auto" w:fill="auto"/>
            <w:vAlign w:val="center"/>
          </w:tcPr>
          <w:p w14:paraId="67D7652D" w14:textId="77777777" w:rsidR="006B173F" w:rsidRPr="006B173F" w:rsidRDefault="006B173F" w:rsidP="006B173F">
            <w:pPr>
              <w:jc w:val="center"/>
              <w:rPr>
                <w:rFonts w:eastAsia="Times New Roman"/>
                <w:b/>
                <w:sz w:val="16"/>
                <w:szCs w:val="16"/>
              </w:rPr>
            </w:pPr>
            <w:r w:rsidRPr="006B173F">
              <w:rPr>
                <w:rFonts w:eastAsia="Times New Roman"/>
                <w:b/>
                <w:sz w:val="16"/>
                <w:szCs w:val="16"/>
              </w:rPr>
              <w:t>Endeudamiento</w:t>
            </w:r>
          </w:p>
        </w:tc>
        <w:tc>
          <w:tcPr>
            <w:tcW w:w="938" w:type="dxa"/>
            <w:vMerge w:val="restart"/>
            <w:tcBorders>
              <w:left w:val="single" w:sz="4" w:space="0" w:color="auto"/>
              <w:bottom w:val="single" w:sz="4" w:space="0" w:color="auto"/>
              <w:right w:val="single" w:sz="4" w:space="0" w:color="auto"/>
            </w:tcBorders>
            <w:shd w:val="clear" w:color="auto" w:fill="auto"/>
            <w:vAlign w:val="center"/>
          </w:tcPr>
          <w:p w14:paraId="4D51528D" w14:textId="77777777" w:rsidR="006B173F" w:rsidRPr="006B173F" w:rsidRDefault="006B173F" w:rsidP="006B173F">
            <w:pPr>
              <w:jc w:val="center"/>
              <w:rPr>
                <w:rFonts w:eastAsia="Times New Roman"/>
                <w:b/>
                <w:sz w:val="16"/>
                <w:szCs w:val="16"/>
              </w:rPr>
            </w:pPr>
            <w:r w:rsidRPr="006B173F">
              <w:rPr>
                <w:rFonts w:eastAsia="Times New Roman"/>
                <w:b/>
                <w:sz w:val="16"/>
                <w:szCs w:val="16"/>
              </w:rPr>
              <w:t>Ajustes</w:t>
            </w:r>
          </w:p>
        </w:tc>
        <w:tc>
          <w:tcPr>
            <w:tcW w:w="1028" w:type="dxa"/>
            <w:vMerge w:val="restart"/>
            <w:tcBorders>
              <w:left w:val="single" w:sz="4" w:space="0" w:color="auto"/>
              <w:bottom w:val="single" w:sz="4" w:space="0" w:color="auto"/>
            </w:tcBorders>
            <w:shd w:val="clear" w:color="auto" w:fill="auto"/>
            <w:vAlign w:val="center"/>
          </w:tcPr>
          <w:p w14:paraId="43D8D7F2" w14:textId="77777777" w:rsidR="006B173F" w:rsidRPr="006B173F" w:rsidRDefault="006B173F" w:rsidP="006B173F">
            <w:pPr>
              <w:jc w:val="center"/>
              <w:rPr>
                <w:rFonts w:eastAsia="Times New Roman"/>
                <w:b/>
                <w:sz w:val="16"/>
                <w:szCs w:val="16"/>
              </w:rPr>
            </w:pPr>
            <w:r w:rsidRPr="006B173F">
              <w:rPr>
                <w:rFonts w:eastAsia="Times New Roman"/>
                <w:b/>
                <w:sz w:val="16"/>
                <w:szCs w:val="16"/>
              </w:rPr>
              <w:t>Saldo a</w:t>
            </w:r>
          </w:p>
          <w:p w14:paraId="70E127E4" w14:textId="77777777" w:rsidR="006B173F" w:rsidRPr="006B173F" w:rsidRDefault="006B173F" w:rsidP="006B173F">
            <w:pPr>
              <w:jc w:val="center"/>
              <w:rPr>
                <w:rFonts w:eastAsia="Times New Roman"/>
                <w:b/>
                <w:sz w:val="16"/>
                <w:szCs w:val="16"/>
              </w:rPr>
            </w:pPr>
            <w:r w:rsidRPr="006B173F">
              <w:rPr>
                <w:rFonts w:eastAsia="Times New Roman"/>
                <w:b/>
                <w:sz w:val="16"/>
                <w:szCs w:val="16"/>
              </w:rPr>
              <w:t>febrero</w:t>
            </w:r>
          </w:p>
          <w:p w14:paraId="08C452E3" w14:textId="77777777" w:rsidR="006B173F" w:rsidRPr="006B173F" w:rsidRDefault="006B173F" w:rsidP="006B173F">
            <w:pPr>
              <w:jc w:val="center"/>
              <w:rPr>
                <w:rFonts w:eastAsia="Times New Roman"/>
                <w:b/>
                <w:sz w:val="16"/>
                <w:szCs w:val="16"/>
              </w:rPr>
            </w:pPr>
            <w:r w:rsidRPr="006B173F">
              <w:rPr>
                <w:rFonts w:eastAsia="Times New Roman"/>
                <w:b/>
                <w:sz w:val="16"/>
                <w:szCs w:val="16"/>
              </w:rPr>
              <w:t>de 2015</w:t>
            </w:r>
            <w:r w:rsidRPr="006B173F">
              <w:rPr>
                <w:rFonts w:eastAsia="Times New Roman"/>
                <w:b/>
                <w:sz w:val="16"/>
                <w:szCs w:val="16"/>
                <w:u w:val="single"/>
                <w:vertAlign w:val="superscript"/>
              </w:rPr>
              <w:t>p</w:t>
            </w:r>
            <w:r w:rsidRPr="006B173F">
              <w:rPr>
                <w:rFonts w:eastAsia="Times New Roman"/>
                <w:b/>
                <w:sz w:val="16"/>
                <w:szCs w:val="16"/>
                <w:vertAlign w:val="superscript"/>
              </w:rPr>
              <w:t>/</w:t>
            </w:r>
          </w:p>
        </w:tc>
      </w:tr>
      <w:tr w:rsidR="006B173F" w:rsidRPr="006B173F" w14:paraId="081CB353" w14:textId="77777777" w:rsidTr="006B173F">
        <w:trPr>
          <w:jc w:val="center"/>
        </w:trPr>
        <w:tc>
          <w:tcPr>
            <w:tcW w:w="2910" w:type="dxa"/>
            <w:vMerge/>
            <w:tcBorders>
              <w:top w:val="single" w:sz="4" w:space="0" w:color="auto"/>
              <w:bottom w:val="single" w:sz="4" w:space="0" w:color="auto"/>
              <w:right w:val="single" w:sz="4" w:space="0" w:color="auto"/>
            </w:tcBorders>
            <w:shd w:val="clear" w:color="auto" w:fill="auto"/>
            <w:vAlign w:val="center"/>
          </w:tcPr>
          <w:p w14:paraId="6BED819E" w14:textId="77777777" w:rsidR="006B173F" w:rsidRPr="006B173F" w:rsidRDefault="006B173F" w:rsidP="006B173F">
            <w:pPr>
              <w:jc w:val="center"/>
              <w:rPr>
                <w:rFonts w:eastAsia="Times New Roman"/>
                <w:b/>
                <w:sz w:val="16"/>
                <w:szCs w:val="16"/>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1926B22" w14:textId="77777777" w:rsidR="006B173F" w:rsidRPr="006B173F" w:rsidRDefault="006B173F" w:rsidP="006B173F">
            <w:pPr>
              <w:jc w:val="center"/>
              <w:rPr>
                <w:rFonts w:eastAsia="Times New Roman"/>
                <w:b/>
                <w:sz w:val="16"/>
                <w:szCs w:val="16"/>
              </w:rPr>
            </w:pP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24BE02" w14:textId="77777777" w:rsidR="006B173F" w:rsidRPr="006B173F" w:rsidRDefault="006B173F" w:rsidP="006B173F">
            <w:pPr>
              <w:ind w:right="-57"/>
              <w:jc w:val="center"/>
              <w:rPr>
                <w:rFonts w:eastAsia="Times New Roman"/>
                <w:b/>
                <w:sz w:val="16"/>
                <w:szCs w:val="16"/>
              </w:rPr>
            </w:pPr>
            <w:r w:rsidRPr="006B173F">
              <w:rPr>
                <w:rFonts w:eastAsia="Times New Roman"/>
                <w:b/>
                <w:sz w:val="16"/>
                <w:szCs w:val="16"/>
              </w:rPr>
              <w:t>Disp.</w:t>
            </w:r>
          </w:p>
        </w:tc>
        <w:tc>
          <w:tcPr>
            <w:tcW w:w="1002" w:type="dxa"/>
            <w:tcBorders>
              <w:top w:val="single" w:sz="4" w:space="0" w:color="auto"/>
              <w:left w:val="single" w:sz="4" w:space="0" w:color="auto"/>
              <w:bottom w:val="single" w:sz="4" w:space="0" w:color="auto"/>
              <w:right w:val="single" w:sz="4" w:space="0" w:color="auto"/>
            </w:tcBorders>
            <w:shd w:val="clear" w:color="auto" w:fill="auto"/>
            <w:vAlign w:val="center"/>
          </w:tcPr>
          <w:p w14:paraId="519A3794" w14:textId="77777777" w:rsidR="006B173F" w:rsidRPr="006B173F" w:rsidRDefault="006B173F" w:rsidP="006B173F">
            <w:pPr>
              <w:jc w:val="center"/>
              <w:rPr>
                <w:rFonts w:eastAsia="Times New Roman"/>
                <w:b/>
                <w:sz w:val="16"/>
                <w:szCs w:val="16"/>
              </w:rPr>
            </w:pPr>
            <w:r w:rsidRPr="006B173F">
              <w:rPr>
                <w:rFonts w:eastAsia="Times New Roman"/>
                <w:b/>
                <w:sz w:val="16"/>
                <w:szCs w:val="16"/>
              </w:rPr>
              <w:t>Amort.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531557" w14:textId="77777777" w:rsidR="006B173F" w:rsidRPr="006B173F" w:rsidRDefault="006B173F" w:rsidP="006B173F">
            <w:pPr>
              <w:jc w:val="center"/>
              <w:rPr>
                <w:rFonts w:eastAsia="Times New Roman"/>
                <w:b/>
                <w:sz w:val="16"/>
                <w:szCs w:val="16"/>
              </w:rPr>
            </w:pPr>
            <w:r w:rsidRPr="006B173F">
              <w:rPr>
                <w:rFonts w:eastAsia="Times New Roman"/>
                <w:b/>
                <w:sz w:val="16"/>
                <w:szCs w:val="16"/>
              </w:rPr>
              <w:t>Neto</w:t>
            </w:r>
          </w:p>
        </w:tc>
        <w:tc>
          <w:tcPr>
            <w:tcW w:w="93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6665A7" w14:textId="77777777" w:rsidR="006B173F" w:rsidRPr="006B173F" w:rsidRDefault="006B173F" w:rsidP="006B173F">
            <w:pPr>
              <w:jc w:val="center"/>
              <w:rPr>
                <w:rFonts w:eastAsia="Times New Roman"/>
                <w:b/>
                <w:sz w:val="16"/>
                <w:szCs w:val="16"/>
              </w:rPr>
            </w:pPr>
          </w:p>
        </w:tc>
        <w:tc>
          <w:tcPr>
            <w:tcW w:w="1028" w:type="dxa"/>
            <w:vMerge/>
            <w:tcBorders>
              <w:top w:val="single" w:sz="4" w:space="0" w:color="auto"/>
              <w:left w:val="single" w:sz="4" w:space="0" w:color="auto"/>
              <w:bottom w:val="single" w:sz="4" w:space="0" w:color="auto"/>
            </w:tcBorders>
            <w:shd w:val="clear" w:color="auto" w:fill="auto"/>
            <w:vAlign w:val="center"/>
          </w:tcPr>
          <w:p w14:paraId="4D56703D" w14:textId="77777777" w:rsidR="006B173F" w:rsidRPr="006B173F" w:rsidRDefault="006B173F" w:rsidP="006B173F">
            <w:pPr>
              <w:jc w:val="center"/>
              <w:rPr>
                <w:rFonts w:eastAsia="Times New Roman"/>
                <w:b/>
                <w:sz w:val="16"/>
                <w:szCs w:val="16"/>
              </w:rPr>
            </w:pPr>
          </w:p>
        </w:tc>
      </w:tr>
      <w:tr w:rsidR="006B173F" w:rsidRPr="006B173F" w14:paraId="7AA7EE11" w14:textId="77777777" w:rsidTr="006B173F">
        <w:trPr>
          <w:trHeight w:val="142"/>
          <w:jc w:val="center"/>
        </w:trPr>
        <w:tc>
          <w:tcPr>
            <w:tcW w:w="2910" w:type="dxa"/>
            <w:tcBorders>
              <w:top w:val="single" w:sz="4" w:space="0" w:color="auto"/>
              <w:bottom w:val="nil"/>
              <w:right w:val="single" w:sz="4" w:space="0" w:color="auto"/>
            </w:tcBorders>
            <w:shd w:val="clear" w:color="auto" w:fill="auto"/>
          </w:tcPr>
          <w:p w14:paraId="50181E7D" w14:textId="77777777" w:rsidR="006B173F" w:rsidRPr="006B173F" w:rsidRDefault="006B173F" w:rsidP="006B173F">
            <w:pPr>
              <w:rPr>
                <w:rFonts w:eastAsia="Times New Roman"/>
                <w:b/>
                <w:sz w:val="16"/>
                <w:szCs w:val="16"/>
              </w:rPr>
            </w:pPr>
            <w:r w:rsidRPr="006B173F">
              <w:rPr>
                <w:rFonts w:eastAsia="Times New Roman"/>
                <w:b/>
                <w:sz w:val="16"/>
                <w:szCs w:val="16"/>
              </w:rPr>
              <w:t>1. Deuda Neta (3-2)</w:t>
            </w:r>
          </w:p>
        </w:tc>
        <w:tc>
          <w:tcPr>
            <w:tcW w:w="1134" w:type="dxa"/>
            <w:tcBorders>
              <w:top w:val="single" w:sz="4" w:space="0" w:color="auto"/>
              <w:left w:val="single" w:sz="4" w:space="0" w:color="auto"/>
              <w:bottom w:val="nil"/>
              <w:right w:val="single" w:sz="4" w:space="0" w:color="auto"/>
            </w:tcBorders>
            <w:shd w:val="clear" w:color="auto" w:fill="auto"/>
          </w:tcPr>
          <w:p w14:paraId="4856891C" w14:textId="77777777" w:rsidR="006B173F" w:rsidRPr="006B173F" w:rsidRDefault="006B173F" w:rsidP="006B173F">
            <w:pPr>
              <w:ind w:left="-57" w:right="57"/>
              <w:jc w:val="right"/>
              <w:rPr>
                <w:b/>
                <w:sz w:val="16"/>
                <w:szCs w:val="16"/>
              </w:rPr>
            </w:pPr>
            <w:r w:rsidRPr="006B173F">
              <w:rPr>
                <w:b/>
                <w:sz w:val="16"/>
                <w:szCs w:val="16"/>
              </w:rPr>
              <w:t>4 804 250.2</w:t>
            </w:r>
          </w:p>
        </w:tc>
        <w:tc>
          <w:tcPr>
            <w:tcW w:w="983" w:type="dxa"/>
            <w:tcBorders>
              <w:top w:val="single" w:sz="4" w:space="0" w:color="auto"/>
              <w:left w:val="single" w:sz="4" w:space="0" w:color="auto"/>
              <w:bottom w:val="nil"/>
              <w:right w:val="single" w:sz="4" w:space="0" w:color="auto"/>
            </w:tcBorders>
            <w:shd w:val="clear" w:color="auto" w:fill="auto"/>
          </w:tcPr>
          <w:p w14:paraId="3AD6DFFF" w14:textId="77777777" w:rsidR="006B173F" w:rsidRPr="006B173F" w:rsidRDefault="006B173F" w:rsidP="006B173F">
            <w:pPr>
              <w:ind w:left="-57" w:right="57"/>
              <w:jc w:val="right"/>
              <w:rPr>
                <w:b/>
                <w:sz w:val="16"/>
                <w:szCs w:val="16"/>
              </w:rPr>
            </w:pPr>
          </w:p>
        </w:tc>
        <w:tc>
          <w:tcPr>
            <w:tcW w:w="1002" w:type="dxa"/>
            <w:tcBorders>
              <w:top w:val="single" w:sz="4" w:space="0" w:color="auto"/>
              <w:left w:val="single" w:sz="4" w:space="0" w:color="auto"/>
              <w:bottom w:val="nil"/>
              <w:right w:val="single" w:sz="4" w:space="0" w:color="auto"/>
            </w:tcBorders>
            <w:shd w:val="clear" w:color="auto" w:fill="auto"/>
          </w:tcPr>
          <w:p w14:paraId="605C17E5" w14:textId="77777777" w:rsidR="006B173F" w:rsidRPr="006B173F" w:rsidRDefault="006B173F" w:rsidP="006B173F">
            <w:pPr>
              <w:ind w:left="-57" w:right="57"/>
              <w:jc w:val="right"/>
              <w:rPr>
                <w:sz w:val="16"/>
                <w:szCs w:val="16"/>
              </w:rPr>
            </w:pPr>
          </w:p>
        </w:tc>
        <w:tc>
          <w:tcPr>
            <w:tcW w:w="992" w:type="dxa"/>
            <w:tcBorders>
              <w:top w:val="single" w:sz="4" w:space="0" w:color="auto"/>
              <w:left w:val="single" w:sz="4" w:space="0" w:color="auto"/>
              <w:bottom w:val="nil"/>
              <w:right w:val="single" w:sz="4" w:space="0" w:color="auto"/>
            </w:tcBorders>
            <w:shd w:val="clear" w:color="auto" w:fill="auto"/>
          </w:tcPr>
          <w:p w14:paraId="480D995D" w14:textId="77777777" w:rsidR="006B173F" w:rsidRPr="006B173F" w:rsidRDefault="006B173F" w:rsidP="006B173F">
            <w:pPr>
              <w:ind w:left="-57" w:right="57"/>
              <w:jc w:val="right"/>
              <w:rPr>
                <w:sz w:val="16"/>
                <w:szCs w:val="16"/>
              </w:rPr>
            </w:pPr>
          </w:p>
        </w:tc>
        <w:tc>
          <w:tcPr>
            <w:tcW w:w="938" w:type="dxa"/>
            <w:tcBorders>
              <w:top w:val="single" w:sz="4" w:space="0" w:color="auto"/>
              <w:left w:val="single" w:sz="4" w:space="0" w:color="auto"/>
              <w:bottom w:val="nil"/>
              <w:right w:val="single" w:sz="4" w:space="0" w:color="auto"/>
            </w:tcBorders>
            <w:shd w:val="clear" w:color="auto" w:fill="auto"/>
          </w:tcPr>
          <w:p w14:paraId="4CC15136" w14:textId="77777777" w:rsidR="006B173F" w:rsidRPr="006B173F" w:rsidRDefault="006B173F" w:rsidP="006B173F">
            <w:pPr>
              <w:ind w:left="-57" w:right="57"/>
              <w:jc w:val="right"/>
              <w:rPr>
                <w:sz w:val="16"/>
                <w:szCs w:val="16"/>
              </w:rPr>
            </w:pPr>
          </w:p>
        </w:tc>
        <w:tc>
          <w:tcPr>
            <w:tcW w:w="1028" w:type="dxa"/>
            <w:tcBorders>
              <w:top w:val="single" w:sz="4" w:space="0" w:color="auto"/>
              <w:left w:val="single" w:sz="4" w:space="0" w:color="auto"/>
              <w:bottom w:val="nil"/>
            </w:tcBorders>
            <w:shd w:val="clear" w:color="auto" w:fill="auto"/>
          </w:tcPr>
          <w:p w14:paraId="2F5568F3" w14:textId="77777777" w:rsidR="006B173F" w:rsidRPr="006B173F" w:rsidRDefault="006B173F" w:rsidP="006B173F">
            <w:pPr>
              <w:ind w:left="-57" w:right="57"/>
              <w:jc w:val="right"/>
              <w:rPr>
                <w:b/>
                <w:sz w:val="16"/>
                <w:szCs w:val="16"/>
              </w:rPr>
            </w:pPr>
            <w:r w:rsidRPr="006B173F">
              <w:rPr>
                <w:b/>
                <w:sz w:val="16"/>
                <w:szCs w:val="16"/>
              </w:rPr>
              <w:t>4 867 904.7</w:t>
            </w:r>
          </w:p>
        </w:tc>
      </w:tr>
      <w:tr w:rsidR="006B173F" w:rsidRPr="006B173F" w14:paraId="05F27E85" w14:textId="77777777" w:rsidTr="006B173F">
        <w:trPr>
          <w:jc w:val="center"/>
        </w:trPr>
        <w:tc>
          <w:tcPr>
            <w:tcW w:w="2910" w:type="dxa"/>
            <w:tcBorders>
              <w:top w:val="nil"/>
              <w:bottom w:val="nil"/>
              <w:right w:val="single" w:sz="4" w:space="0" w:color="auto"/>
            </w:tcBorders>
            <w:shd w:val="clear" w:color="auto" w:fill="auto"/>
          </w:tcPr>
          <w:p w14:paraId="1765006F" w14:textId="77777777" w:rsidR="006B173F" w:rsidRPr="006B173F" w:rsidRDefault="006B173F" w:rsidP="006B173F">
            <w:pPr>
              <w:rPr>
                <w:rFonts w:eastAsia="Times New Roman"/>
                <w:sz w:val="16"/>
                <w:szCs w:val="16"/>
              </w:rPr>
            </w:pPr>
            <w:r w:rsidRPr="006B173F">
              <w:rPr>
                <w:rFonts w:eastAsia="Times New Roman"/>
                <w:sz w:val="16"/>
                <w:szCs w:val="16"/>
              </w:rPr>
              <w:t>2. Activos</w:t>
            </w:r>
            <w:r w:rsidRPr="006B173F">
              <w:rPr>
                <w:rFonts w:eastAsia="Times New Roman"/>
                <w:sz w:val="16"/>
                <w:szCs w:val="16"/>
                <w:vertAlign w:val="superscript"/>
              </w:rPr>
              <w:t>2/</w:t>
            </w:r>
          </w:p>
        </w:tc>
        <w:tc>
          <w:tcPr>
            <w:tcW w:w="1134" w:type="dxa"/>
            <w:tcBorders>
              <w:top w:val="nil"/>
              <w:left w:val="single" w:sz="4" w:space="0" w:color="auto"/>
              <w:bottom w:val="nil"/>
              <w:right w:val="single" w:sz="4" w:space="0" w:color="auto"/>
            </w:tcBorders>
            <w:shd w:val="clear" w:color="auto" w:fill="auto"/>
          </w:tcPr>
          <w:p w14:paraId="18CE585A" w14:textId="77777777" w:rsidR="006B173F" w:rsidRPr="006B173F" w:rsidRDefault="006B173F" w:rsidP="006B173F">
            <w:pPr>
              <w:ind w:left="-57" w:right="57"/>
              <w:jc w:val="right"/>
              <w:rPr>
                <w:sz w:val="16"/>
                <w:szCs w:val="16"/>
              </w:rPr>
            </w:pPr>
            <w:r w:rsidRPr="006B173F">
              <w:rPr>
                <w:sz w:val="16"/>
                <w:szCs w:val="16"/>
              </w:rPr>
              <w:t>245 283.1</w:t>
            </w:r>
          </w:p>
        </w:tc>
        <w:tc>
          <w:tcPr>
            <w:tcW w:w="983" w:type="dxa"/>
            <w:tcBorders>
              <w:top w:val="nil"/>
              <w:left w:val="single" w:sz="4" w:space="0" w:color="auto"/>
              <w:bottom w:val="nil"/>
              <w:right w:val="single" w:sz="4" w:space="0" w:color="auto"/>
            </w:tcBorders>
            <w:shd w:val="clear" w:color="auto" w:fill="auto"/>
          </w:tcPr>
          <w:p w14:paraId="3F2026BF" w14:textId="77777777" w:rsidR="006B173F" w:rsidRPr="006B173F" w:rsidRDefault="006B173F" w:rsidP="006B173F">
            <w:pPr>
              <w:ind w:left="-57" w:right="57"/>
              <w:jc w:val="right"/>
              <w:rPr>
                <w:sz w:val="16"/>
                <w:szCs w:val="16"/>
              </w:rPr>
            </w:pPr>
          </w:p>
        </w:tc>
        <w:tc>
          <w:tcPr>
            <w:tcW w:w="1002" w:type="dxa"/>
            <w:tcBorders>
              <w:top w:val="nil"/>
              <w:left w:val="single" w:sz="4" w:space="0" w:color="auto"/>
              <w:bottom w:val="nil"/>
              <w:right w:val="single" w:sz="4" w:space="0" w:color="auto"/>
            </w:tcBorders>
            <w:shd w:val="clear" w:color="auto" w:fill="auto"/>
          </w:tcPr>
          <w:p w14:paraId="4F7B541D" w14:textId="77777777" w:rsidR="006B173F" w:rsidRPr="006B173F" w:rsidRDefault="006B173F" w:rsidP="006B173F">
            <w:pPr>
              <w:ind w:left="-57" w:right="57"/>
              <w:jc w:val="right"/>
              <w:rPr>
                <w:sz w:val="16"/>
                <w:szCs w:val="16"/>
              </w:rPr>
            </w:pPr>
          </w:p>
        </w:tc>
        <w:tc>
          <w:tcPr>
            <w:tcW w:w="992" w:type="dxa"/>
            <w:tcBorders>
              <w:top w:val="nil"/>
              <w:left w:val="single" w:sz="4" w:space="0" w:color="auto"/>
              <w:bottom w:val="nil"/>
              <w:right w:val="single" w:sz="4" w:space="0" w:color="auto"/>
            </w:tcBorders>
            <w:shd w:val="clear" w:color="auto" w:fill="auto"/>
          </w:tcPr>
          <w:p w14:paraId="4956B77F" w14:textId="77777777" w:rsidR="006B173F" w:rsidRPr="006B173F" w:rsidRDefault="006B173F" w:rsidP="006B173F">
            <w:pPr>
              <w:ind w:left="-57" w:right="57"/>
              <w:jc w:val="right"/>
              <w:rPr>
                <w:sz w:val="16"/>
                <w:szCs w:val="16"/>
              </w:rPr>
            </w:pPr>
          </w:p>
        </w:tc>
        <w:tc>
          <w:tcPr>
            <w:tcW w:w="938" w:type="dxa"/>
            <w:tcBorders>
              <w:top w:val="nil"/>
              <w:left w:val="single" w:sz="4" w:space="0" w:color="auto"/>
              <w:bottom w:val="nil"/>
              <w:right w:val="single" w:sz="4" w:space="0" w:color="auto"/>
            </w:tcBorders>
            <w:shd w:val="clear" w:color="auto" w:fill="auto"/>
          </w:tcPr>
          <w:p w14:paraId="1ECA709C" w14:textId="77777777" w:rsidR="006B173F" w:rsidRPr="006B173F" w:rsidRDefault="006B173F" w:rsidP="006B173F">
            <w:pPr>
              <w:ind w:left="-57" w:right="57"/>
              <w:jc w:val="right"/>
              <w:rPr>
                <w:sz w:val="16"/>
                <w:szCs w:val="16"/>
              </w:rPr>
            </w:pPr>
          </w:p>
        </w:tc>
        <w:tc>
          <w:tcPr>
            <w:tcW w:w="1028" w:type="dxa"/>
            <w:tcBorders>
              <w:top w:val="nil"/>
              <w:left w:val="single" w:sz="4" w:space="0" w:color="auto"/>
              <w:bottom w:val="nil"/>
            </w:tcBorders>
            <w:shd w:val="clear" w:color="auto" w:fill="auto"/>
          </w:tcPr>
          <w:p w14:paraId="574ED29C" w14:textId="77777777" w:rsidR="006B173F" w:rsidRPr="006B173F" w:rsidRDefault="006B173F" w:rsidP="006B173F">
            <w:pPr>
              <w:ind w:left="-57" w:right="57"/>
              <w:jc w:val="right"/>
              <w:rPr>
                <w:sz w:val="16"/>
                <w:szCs w:val="16"/>
              </w:rPr>
            </w:pPr>
            <w:r w:rsidRPr="006B173F">
              <w:rPr>
                <w:sz w:val="16"/>
                <w:szCs w:val="16"/>
              </w:rPr>
              <w:t>281 952.5</w:t>
            </w:r>
          </w:p>
        </w:tc>
      </w:tr>
      <w:tr w:rsidR="006B173F" w:rsidRPr="006B173F" w14:paraId="1CE1D2FD" w14:textId="77777777" w:rsidTr="006B173F">
        <w:trPr>
          <w:jc w:val="center"/>
        </w:trPr>
        <w:tc>
          <w:tcPr>
            <w:tcW w:w="2910" w:type="dxa"/>
            <w:tcBorders>
              <w:top w:val="nil"/>
              <w:bottom w:val="nil"/>
              <w:right w:val="single" w:sz="4" w:space="0" w:color="auto"/>
            </w:tcBorders>
            <w:shd w:val="clear" w:color="auto" w:fill="auto"/>
          </w:tcPr>
          <w:p w14:paraId="42EC719C" w14:textId="77777777" w:rsidR="006B173F" w:rsidRPr="006B173F" w:rsidRDefault="006B173F" w:rsidP="006B173F">
            <w:pPr>
              <w:rPr>
                <w:rFonts w:eastAsia="Times New Roman"/>
                <w:b/>
                <w:sz w:val="16"/>
                <w:szCs w:val="16"/>
              </w:rPr>
            </w:pPr>
            <w:r w:rsidRPr="006B173F">
              <w:rPr>
                <w:rFonts w:eastAsia="Times New Roman"/>
                <w:b/>
                <w:sz w:val="16"/>
                <w:szCs w:val="16"/>
              </w:rPr>
              <w:t>3. Deuda Bruta</w:t>
            </w:r>
          </w:p>
        </w:tc>
        <w:tc>
          <w:tcPr>
            <w:tcW w:w="1134" w:type="dxa"/>
            <w:tcBorders>
              <w:top w:val="nil"/>
              <w:bottom w:val="nil"/>
            </w:tcBorders>
          </w:tcPr>
          <w:p w14:paraId="03CF377B"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5 049 533.3 </w:t>
            </w:r>
          </w:p>
        </w:tc>
        <w:tc>
          <w:tcPr>
            <w:tcW w:w="983" w:type="dxa"/>
            <w:tcBorders>
              <w:top w:val="nil"/>
              <w:bottom w:val="nil"/>
            </w:tcBorders>
          </w:tcPr>
          <w:p w14:paraId="3F9019F0"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544 658.6 </w:t>
            </w:r>
          </w:p>
        </w:tc>
        <w:tc>
          <w:tcPr>
            <w:tcW w:w="1002" w:type="dxa"/>
            <w:tcBorders>
              <w:top w:val="nil"/>
              <w:bottom w:val="nil"/>
            </w:tcBorders>
          </w:tcPr>
          <w:p w14:paraId="163FE521"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449 026.6 </w:t>
            </w:r>
          </w:p>
        </w:tc>
        <w:tc>
          <w:tcPr>
            <w:tcW w:w="992" w:type="dxa"/>
            <w:tcBorders>
              <w:top w:val="nil"/>
              <w:bottom w:val="nil"/>
            </w:tcBorders>
          </w:tcPr>
          <w:p w14:paraId="2C45EDC5"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95 632.0 </w:t>
            </w:r>
          </w:p>
        </w:tc>
        <w:tc>
          <w:tcPr>
            <w:tcW w:w="938" w:type="dxa"/>
            <w:tcBorders>
              <w:top w:val="nil"/>
              <w:bottom w:val="nil"/>
            </w:tcBorders>
          </w:tcPr>
          <w:p w14:paraId="11BF5CAF"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4 691.9 </w:t>
            </w:r>
          </w:p>
        </w:tc>
        <w:tc>
          <w:tcPr>
            <w:tcW w:w="1028" w:type="dxa"/>
            <w:tcBorders>
              <w:top w:val="nil"/>
              <w:bottom w:val="nil"/>
            </w:tcBorders>
          </w:tcPr>
          <w:p w14:paraId="75536F4D"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5 149 857.2 </w:t>
            </w:r>
          </w:p>
        </w:tc>
      </w:tr>
      <w:tr w:rsidR="006B173F" w:rsidRPr="006B173F" w14:paraId="5C0F6E24" w14:textId="77777777" w:rsidTr="006B173F">
        <w:trPr>
          <w:jc w:val="center"/>
        </w:trPr>
        <w:tc>
          <w:tcPr>
            <w:tcW w:w="2910" w:type="dxa"/>
            <w:tcBorders>
              <w:top w:val="nil"/>
              <w:bottom w:val="nil"/>
              <w:right w:val="single" w:sz="4" w:space="0" w:color="auto"/>
            </w:tcBorders>
            <w:shd w:val="clear" w:color="auto" w:fill="auto"/>
          </w:tcPr>
          <w:p w14:paraId="1E67EAAF" w14:textId="77777777" w:rsidR="006B173F" w:rsidRPr="006B173F" w:rsidRDefault="006B173F" w:rsidP="006B173F">
            <w:pPr>
              <w:ind w:left="170"/>
              <w:rPr>
                <w:rFonts w:eastAsia="Times New Roman"/>
                <w:b/>
                <w:sz w:val="16"/>
                <w:szCs w:val="16"/>
              </w:rPr>
            </w:pPr>
            <w:r w:rsidRPr="006B173F">
              <w:rPr>
                <w:rFonts w:eastAsia="Times New Roman"/>
                <w:b/>
                <w:sz w:val="16"/>
                <w:szCs w:val="16"/>
              </w:rPr>
              <w:t>Estructura por plazo</w:t>
            </w:r>
          </w:p>
        </w:tc>
        <w:tc>
          <w:tcPr>
            <w:tcW w:w="1134" w:type="dxa"/>
            <w:tcBorders>
              <w:top w:val="nil"/>
              <w:bottom w:val="nil"/>
            </w:tcBorders>
          </w:tcPr>
          <w:p w14:paraId="13A30CF3"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5 049 533.3 </w:t>
            </w:r>
          </w:p>
        </w:tc>
        <w:tc>
          <w:tcPr>
            <w:tcW w:w="983" w:type="dxa"/>
            <w:tcBorders>
              <w:top w:val="nil"/>
              <w:bottom w:val="nil"/>
            </w:tcBorders>
          </w:tcPr>
          <w:p w14:paraId="713483CA"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544 658.6 </w:t>
            </w:r>
          </w:p>
        </w:tc>
        <w:tc>
          <w:tcPr>
            <w:tcW w:w="1002" w:type="dxa"/>
            <w:tcBorders>
              <w:top w:val="nil"/>
              <w:bottom w:val="nil"/>
            </w:tcBorders>
          </w:tcPr>
          <w:p w14:paraId="06B0E176"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449 026.6 </w:t>
            </w:r>
          </w:p>
        </w:tc>
        <w:tc>
          <w:tcPr>
            <w:tcW w:w="992" w:type="dxa"/>
            <w:tcBorders>
              <w:top w:val="nil"/>
              <w:bottom w:val="nil"/>
            </w:tcBorders>
          </w:tcPr>
          <w:p w14:paraId="4AC60FC2"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95 632.0 </w:t>
            </w:r>
          </w:p>
        </w:tc>
        <w:tc>
          <w:tcPr>
            <w:tcW w:w="938" w:type="dxa"/>
            <w:tcBorders>
              <w:top w:val="nil"/>
              <w:bottom w:val="nil"/>
            </w:tcBorders>
          </w:tcPr>
          <w:p w14:paraId="2B575F8B"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4 691.9 </w:t>
            </w:r>
          </w:p>
        </w:tc>
        <w:tc>
          <w:tcPr>
            <w:tcW w:w="1028" w:type="dxa"/>
            <w:tcBorders>
              <w:top w:val="nil"/>
              <w:bottom w:val="nil"/>
            </w:tcBorders>
          </w:tcPr>
          <w:p w14:paraId="51F917B5"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5 149 857.2 </w:t>
            </w:r>
          </w:p>
        </w:tc>
      </w:tr>
      <w:tr w:rsidR="006B173F" w:rsidRPr="006B173F" w14:paraId="07A55115" w14:textId="77777777" w:rsidTr="006B173F">
        <w:trPr>
          <w:jc w:val="center"/>
        </w:trPr>
        <w:tc>
          <w:tcPr>
            <w:tcW w:w="2910" w:type="dxa"/>
            <w:tcBorders>
              <w:top w:val="nil"/>
              <w:bottom w:val="nil"/>
              <w:right w:val="single" w:sz="4" w:space="0" w:color="auto"/>
            </w:tcBorders>
            <w:shd w:val="clear" w:color="auto" w:fill="auto"/>
          </w:tcPr>
          <w:p w14:paraId="570150CA" w14:textId="77777777" w:rsidR="006B173F" w:rsidRPr="006B173F" w:rsidRDefault="006B173F" w:rsidP="006B173F">
            <w:pPr>
              <w:ind w:left="340"/>
              <w:rPr>
                <w:rFonts w:eastAsia="Times New Roman"/>
                <w:sz w:val="16"/>
                <w:szCs w:val="16"/>
              </w:rPr>
            </w:pPr>
            <w:r w:rsidRPr="006B173F">
              <w:rPr>
                <w:rFonts w:eastAsia="Times New Roman"/>
                <w:sz w:val="16"/>
                <w:szCs w:val="16"/>
              </w:rPr>
              <w:t>Largo plazo</w:t>
            </w:r>
          </w:p>
        </w:tc>
        <w:tc>
          <w:tcPr>
            <w:tcW w:w="1134" w:type="dxa"/>
            <w:tcBorders>
              <w:top w:val="nil"/>
              <w:bottom w:val="nil"/>
            </w:tcBorders>
          </w:tcPr>
          <w:p w14:paraId="68853CE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4 518 242.5 </w:t>
            </w:r>
          </w:p>
        </w:tc>
        <w:tc>
          <w:tcPr>
            <w:tcW w:w="983" w:type="dxa"/>
            <w:tcBorders>
              <w:top w:val="nil"/>
              <w:bottom w:val="nil"/>
            </w:tcBorders>
          </w:tcPr>
          <w:p w14:paraId="5A7F77B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216 389.0 </w:t>
            </w:r>
          </w:p>
        </w:tc>
        <w:tc>
          <w:tcPr>
            <w:tcW w:w="1002" w:type="dxa"/>
            <w:tcBorders>
              <w:top w:val="nil"/>
              <w:bottom w:val="nil"/>
            </w:tcBorders>
          </w:tcPr>
          <w:p w14:paraId="6720679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115 678.7 </w:t>
            </w:r>
          </w:p>
        </w:tc>
        <w:tc>
          <w:tcPr>
            <w:tcW w:w="992" w:type="dxa"/>
            <w:tcBorders>
              <w:top w:val="nil"/>
              <w:bottom w:val="nil"/>
            </w:tcBorders>
          </w:tcPr>
          <w:p w14:paraId="613404D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100 710.3 </w:t>
            </w:r>
          </w:p>
        </w:tc>
        <w:tc>
          <w:tcPr>
            <w:tcW w:w="938" w:type="dxa"/>
            <w:tcBorders>
              <w:top w:val="nil"/>
              <w:bottom w:val="nil"/>
            </w:tcBorders>
          </w:tcPr>
          <w:p w14:paraId="23A9BFC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4 691.9 </w:t>
            </w:r>
          </w:p>
        </w:tc>
        <w:tc>
          <w:tcPr>
            <w:tcW w:w="1028" w:type="dxa"/>
            <w:tcBorders>
              <w:top w:val="nil"/>
              <w:bottom w:val="nil"/>
            </w:tcBorders>
          </w:tcPr>
          <w:p w14:paraId="422E5CA7"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4 623 644.7 </w:t>
            </w:r>
          </w:p>
        </w:tc>
      </w:tr>
      <w:tr w:rsidR="006B173F" w:rsidRPr="006B173F" w14:paraId="59F8237F" w14:textId="77777777" w:rsidTr="006B173F">
        <w:trPr>
          <w:jc w:val="center"/>
        </w:trPr>
        <w:tc>
          <w:tcPr>
            <w:tcW w:w="2910" w:type="dxa"/>
            <w:tcBorders>
              <w:top w:val="nil"/>
              <w:bottom w:val="nil"/>
              <w:right w:val="single" w:sz="4" w:space="0" w:color="auto"/>
            </w:tcBorders>
            <w:shd w:val="clear" w:color="auto" w:fill="auto"/>
          </w:tcPr>
          <w:p w14:paraId="6C244102" w14:textId="77777777" w:rsidR="006B173F" w:rsidRPr="006B173F" w:rsidRDefault="006B173F" w:rsidP="006B173F">
            <w:pPr>
              <w:ind w:left="340"/>
              <w:rPr>
                <w:rFonts w:eastAsia="Times New Roman"/>
                <w:sz w:val="16"/>
                <w:szCs w:val="16"/>
              </w:rPr>
            </w:pPr>
            <w:r w:rsidRPr="006B173F">
              <w:rPr>
                <w:rFonts w:eastAsia="Times New Roman"/>
                <w:sz w:val="16"/>
                <w:szCs w:val="16"/>
              </w:rPr>
              <w:t>Corto plazo</w:t>
            </w:r>
          </w:p>
        </w:tc>
        <w:tc>
          <w:tcPr>
            <w:tcW w:w="1134" w:type="dxa"/>
            <w:tcBorders>
              <w:top w:val="nil"/>
              <w:bottom w:val="nil"/>
            </w:tcBorders>
          </w:tcPr>
          <w:p w14:paraId="45DED44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531 290.8 </w:t>
            </w:r>
          </w:p>
        </w:tc>
        <w:tc>
          <w:tcPr>
            <w:tcW w:w="983" w:type="dxa"/>
            <w:tcBorders>
              <w:top w:val="nil"/>
              <w:bottom w:val="nil"/>
            </w:tcBorders>
          </w:tcPr>
          <w:p w14:paraId="108266A9"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328 269.6 </w:t>
            </w:r>
          </w:p>
        </w:tc>
        <w:tc>
          <w:tcPr>
            <w:tcW w:w="1002" w:type="dxa"/>
            <w:tcBorders>
              <w:top w:val="nil"/>
              <w:bottom w:val="nil"/>
            </w:tcBorders>
          </w:tcPr>
          <w:p w14:paraId="75A92414"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333 347.9 </w:t>
            </w:r>
          </w:p>
        </w:tc>
        <w:tc>
          <w:tcPr>
            <w:tcW w:w="992" w:type="dxa"/>
            <w:tcBorders>
              <w:top w:val="nil"/>
              <w:bottom w:val="nil"/>
            </w:tcBorders>
          </w:tcPr>
          <w:p w14:paraId="74DA066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-5 078.3 </w:t>
            </w:r>
          </w:p>
        </w:tc>
        <w:tc>
          <w:tcPr>
            <w:tcW w:w="938" w:type="dxa"/>
            <w:tcBorders>
              <w:top w:val="nil"/>
              <w:bottom w:val="nil"/>
            </w:tcBorders>
          </w:tcPr>
          <w:p w14:paraId="6B358AD7"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0.0 </w:t>
            </w:r>
          </w:p>
        </w:tc>
        <w:tc>
          <w:tcPr>
            <w:tcW w:w="1028" w:type="dxa"/>
            <w:tcBorders>
              <w:top w:val="nil"/>
              <w:bottom w:val="nil"/>
            </w:tcBorders>
          </w:tcPr>
          <w:p w14:paraId="001C551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526 212.5 </w:t>
            </w:r>
          </w:p>
        </w:tc>
      </w:tr>
      <w:tr w:rsidR="006B173F" w:rsidRPr="006B173F" w14:paraId="5F0D6F6C" w14:textId="77777777" w:rsidTr="006B173F">
        <w:trPr>
          <w:jc w:val="center"/>
        </w:trPr>
        <w:tc>
          <w:tcPr>
            <w:tcW w:w="2910" w:type="dxa"/>
            <w:tcBorders>
              <w:top w:val="nil"/>
              <w:bottom w:val="nil"/>
              <w:right w:val="single" w:sz="4" w:space="0" w:color="auto"/>
            </w:tcBorders>
            <w:shd w:val="clear" w:color="auto" w:fill="auto"/>
          </w:tcPr>
          <w:p w14:paraId="1F76B36E" w14:textId="77777777" w:rsidR="006B173F" w:rsidRPr="006B173F" w:rsidRDefault="006B173F" w:rsidP="006B173F">
            <w:pPr>
              <w:ind w:left="170"/>
              <w:rPr>
                <w:rFonts w:eastAsia="Times New Roman"/>
                <w:b/>
                <w:sz w:val="16"/>
                <w:szCs w:val="16"/>
              </w:rPr>
            </w:pPr>
            <w:r w:rsidRPr="006B173F">
              <w:rPr>
                <w:rFonts w:eastAsia="Times New Roman"/>
                <w:b/>
                <w:sz w:val="16"/>
                <w:szCs w:val="16"/>
              </w:rPr>
              <w:t>Estructura por Usuario</w:t>
            </w:r>
          </w:p>
        </w:tc>
        <w:tc>
          <w:tcPr>
            <w:tcW w:w="1134" w:type="dxa"/>
            <w:tcBorders>
              <w:top w:val="nil"/>
              <w:bottom w:val="nil"/>
            </w:tcBorders>
          </w:tcPr>
          <w:p w14:paraId="27CE413A"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5 049 533.3 </w:t>
            </w:r>
          </w:p>
        </w:tc>
        <w:tc>
          <w:tcPr>
            <w:tcW w:w="983" w:type="dxa"/>
            <w:tcBorders>
              <w:top w:val="nil"/>
              <w:bottom w:val="nil"/>
            </w:tcBorders>
          </w:tcPr>
          <w:p w14:paraId="2EA925BD"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544 658.6 </w:t>
            </w:r>
          </w:p>
        </w:tc>
        <w:tc>
          <w:tcPr>
            <w:tcW w:w="1002" w:type="dxa"/>
            <w:tcBorders>
              <w:top w:val="nil"/>
              <w:bottom w:val="nil"/>
            </w:tcBorders>
          </w:tcPr>
          <w:p w14:paraId="2A198B12"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449 026.6 </w:t>
            </w:r>
          </w:p>
        </w:tc>
        <w:tc>
          <w:tcPr>
            <w:tcW w:w="992" w:type="dxa"/>
            <w:tcBorders>
              <w:top w:val="nil"/>
              <w:bottom w:val="nil"/>
            </w:tcBorders>
          </w:tcPr>
          <w:p w14:paraId="30F8E8FD"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95 632.0 </w:t>
            </w:r>
          </w:p>
        </w:tc>
        <w:tc>
          <w:tcPr>
            <w:tcW w:w="938" w:type="dxa"/>
            <w:tcBorders>
              <w:top w:val="nil"/>
              <w:bottom w:val="nil"/>
            </w:tcBorders>
          </w:tcPr>
          <w:p w14:paraId="580EF545"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4 691.9 </w:t>
            </w:r>
          </w:p>
        </w:tc>
        <w:tc>
          <w:tcPr>
            <w:tcW w:w="1028" w:type="dxa"/>
            <w:tcBorders>
              <w:top w:val="nil"/>
              <w:bottom w:val="nil"/>
            </w:tcBorders>
          </w:tcPr>
          <w:p w14:paraId="50E43D38"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5 149 857.2 </w:t>
            </w:r>
          </w:p>
        </w:tc>
      </w:tr>
      <w:tr w:rsidR="006B173F" w:rsidRPr="006B173F" w14:paraId="0CCA0EBF" w14:textId="77777777" w:rsidTr="006B173F">
        <w:trPr>
          <w:jc w:val="center"/>
        </w:trPr>
        <w:tc>
          <w:tcPr>
            <w:tcW w:w="2910" w:type="dxa"/>
            <w:tcBorders>
              <w:top w:val="nil"/>
              <w:bottom w:val="nil"/>
              <w:right w:val="single" w:sz="4" w:space="0" w:color="auto"/>
            </w:tcBorders>
            <w:shd w:val="clear" w:color="auto" w:fill="auto"/>
          </w:tcPr>
          <w:p w14:paraId="21787986" w14:textId="77777777" w:rsidR="006B173F" w:rsidRPr="006B173F" w:rsidRDefault="006B173F" w:rsidP="006B173F">
            <w:pPr>
              <w:ind w:left="340"/>
              <w:rPr>
                <w:rFonts w:eastAsia="Times New Roman"/>
                <w:sz w:val="16"/>
                <w:szCs w:val="16"/>
              </w:rPr>
            </w:pPr>
            <w:r w:rsidRPr="006B173F">
              <w:rPr>
                <w:rFonts w:eastAsia="Times New Roman"/>
                <w:sz w:val="16"/>
                <w:szCs w:val="16"/>
              </w:rPr>
              <w:t>Gobierno Federal</w:t>
            </w:r>
          </w:p>
        </w:tc>
        <w:tc>
          <w:tcPr>
            <w:tcW w:w="1134" w:type="dxa"/>
            <w:tcBorders>
              <w:top w:val="nil"/>
              <w:bottom w:val="nil"/>
            </w:tcBorders>
          </w:tcPr>
          <w:p w14:paraId="25DAC3C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4 546 619.6 </w:t>
            </w:r>
          </w:p>
        </w:tc>
        <w:tc>
          <w:tcPr>
            <w:tcW w:w="983" w:type="dxa"/>
            <w:tcBorders>
              <w:top w:val="nil"/>
              <w:bottom w:val="nil"/>
            </w:tcBorders>
          </w:tcPr>
          <w:p w14:paraId="54946DD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431 619.4 </w:t>
            </w:r>
          </w:p>
        </w:tc>
        <w:tc>
          <w:tcPr>
            <w:tcW w:w="1002" w:type="dxa"/>
            <w:tcBorders>
              <w:top w:val="nil"/>
              <w:bottom w:val="nil"/>
            </w:tcBorders>
          </w:tcPr>
          <w:p w14:paraId="5D45FFA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364 481.9 </w:t>
            </w:r>
          </w:p>
        </w:tc>
        <w:tc>
          <w:tcPr>
            <w:tcW w:w="992" w:type="dxa"/>
            <w:tcBorders>
              <w:top w:val="nil"/>
              <w:bottom w:val="nil"/>
            </w:tcBorders>
          </w:tcPr>
          <w:p w14:paraId="616DBF39"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67 137.5 </w:t>
            </w:r>
          </w:p>
        </w:tc>
        <w:tc>
          <w:tcPr>
            <w:tcW w:w="938" w:type="dxa"/>
            <w:tcBorders>
              <w:top w:val="nil"/>
              <w:bottom w:val="nil"/>
            </w:tcBorders>
          </w:tcPr>
          <w:p w14:paraId="4A4DDCD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5 524.5 </w:t>
            </w:r>
          </w:p>
        </w:tc>
        <w:tc>
          <w:tcPr>
            <w:tcW w:w="1028" w:type="dxa"/>
            <w:tcBorders>
              <w:top w:val="nil"/>
              <w:bottom w:val="nil"/>
            </w:tcBorders>
          </w:tcPr>
          <w:p w14:paraId="281D72C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4 619 281.6 </w:t>
            </w:r>
          </w:p>
        </w:tc>
      </w:tr>
      <w:tr w:rsidR="006B173F" w:rsidRPr="006B173F" w14:paraId="370AC501" w14:textId="77777777" w:rsidTr="006B173F">
        <w:trPr>
          <w:jc w:val="center"/>
        </w:trPr>
        <w:tc>
          <w:tcPr>
            <w:tcW w:w="2910" w:type="dxa"/>
            <w:tcBorders>
              <w:top w:val="nil"/>
              <w:bottom w:val="nil"/>
              <w:right w:val="single" w:sz="4" w:space="0" w:color="auto"/>
            </w:tcBorders>
            <w:shd w:val="clear" w:color="auto" w:fill="auto"/>
          </w:tcPr>
          <w:p w14:paraId="3EA47AEC" w14:textId="77777777" w:rsidR="006B173F" w:rsidRPr="006B173F" w:rsidRDefault="006B173F" w:rsidP="006B173F">
            <w:pPr>
              <w:ind w:left="510"/>
              <w:rPr>
                <w:rFonts w:eastAsia="Times New Roman"/>
                <w:sz w:val="16"/>
                <w:szCs w:val="16"/>
              </w:rPr>
            </w:pPr>
            <w:r w:rsidRPr="006B173F">
              <w:rPr>
                <w:rFonts w:eastAsia="Times New Roman"/>
                <w:sz w:val="16"/>
                <w:szCs w:val="16"/>
              </w:rPr>
              <w:t>Largo plazo</w:t>
            </w:r>
          </w:p>
        </w:tc>
        <w:tc>
          <w:tcPr>
            <w:tcW w:w="1134" w:type="dxa"/>
            <w:tcBorders>
              <w:top w:val="nil"/>
              <w:bottom w:val="nil"/>
            </w:tcBorders>
          </w:tcPr>
          <w:p w14:paraId="470C78CA"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4 025 828.8 </w:t>
            </w:r>
          </w:p>
        </w:tc>
        <w:tc>
          <w:tcPr>
            <w:tcW w:w="983" w:type="dxa"/>
            <w:tcBorders>
              <w:top w:val="nil"/>
              <w:bottom w:val="nil"/>
            </w:tcBorders>
          </w:tcPr>
          <w:p w14:paraId="4482BB0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192 097.6 </w:t>
            </w:r>
          </w:p>
        </w:tc>
        <w:tc>
          <w:tcPr>
            <w:tcW w:w="1002" w:type="dxa"/>
            <w:tcBorders>
              <w:top w:val="nil"/>
              <w:bottom w:val="nil"/>
            </w:tcBorders>
          </w:tcPr>
          <w:p w14:paraId="664E70C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104 464.9 </w:t>
            </w:r>
          </w:p>
        </w:tc>
        <w:tc>
          <w:tcPr>
            <w:tcW w:w="992" w:type="dxa"/>
            <w:tcBorders>
              <w:top w:val="nil"/>
              <w:bottom w:val="nil"/>
            </w:tcBorders>
          </w:tcPr>
          <w:p w14:paraId="6A49960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87 632.7 </w:t>
            </w:r>
          </w:p>
        </w:tc>
        <w:tc>
          <w:tcPr>
            <w:tcW w:w="938" w:type="dxa"/>
            <w:tcBorders>
              <w:top w:val="nil"/>
              <w:bottom w:val="nil"/>
            </w:tcBorders>
          </w:tcPr>
          <w:p w14:paraId="240E520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5 524.5 </w:t>
            </w:r>
          </w:p>
        </w:tc>
        <w:tc>
          <w:tcPr>
            <w:tcW w:w="1028" w:type="dxa"/>
            <w:tcBorders>
              <w:top w:val="nil"/>
              <w:bottom w:val="nil"/>
            </w:tcBorders>
          </w:tcPr>
          <w:p w14:paraId="546EBB0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4 118 986.0 </w:t>
            </w:r>
          </w:p>
        </w:tc>
      </w:tr>
      <w:tr w:rsidR="006B173F" w:rsidRPr="006B173F" w14:paraId="3571438A" w14:textId="77777777" w:rsidTr="006B173F">
        <w:trPr>
          <w:jc w:val="center"/>
        </w:trPr>
        <w:tc>
          <w:tcPr>
            <w:tcW w:w="2910" w:type="dxa"/>
            <w:tcBorders>
              <w:top w:val="nil"/>
              <w:bottom w:val="nil"/>
              <w:right w:val="single" w:sz="4" w:space="0" w:color="auto"/>
            </w:tcBorders>
            <w:shd w:val="clear" w:color="auto" w:fill="auto"/>
          </w:tcPr>
          <w:p w14:paraId="333484B1" w14:textId="77777777" w:rsidR="006B173F" w:rsidRPr="006B173F" w:rsidRDefault="006B173F" w:rsidP="006B173F">
            <w:pPr>
              <w:ind w:left="510"/>
              <w:rPr>
                <w:rFonts w:eastAsia="Times New Roman"/>
                <w:sz w:val="16"/>
                <w:szCs w:val="16"/>
              </w:rPr>
            </w:pPr>
            <w:r w:rsidRPr="006B173F">
              <w:rPr>
                <w:rFonts w:eastAsia="Times New Roman"/>
                <w:sz w:val="16"/>
                <w:szCs w:val="16"/>
              </w:rPr>
              <w:t>Corto plazo</w:t>
            </w:r>
          </w:p>
        </w:tc>
        <w:tc>
          <w:tcPr>
            <w:tcW w:w="1134" w:type="dxa"/>
            <w:tcBorders>
              <w:top w:val="nil"/>
              <w:bottom w:val="nil"/>
            </w:tcBorders>
          </w:tcPr>
          <w:p w14:paraId="00D33F2A"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520 790.8 </w:t>
            </w:r>
          </w:p>
        </w:tc>
        <w:tc>
          <w:tcPr>
            <w:tcW w:w="983" w:type="dxa"/>
            <w:tcBorders>
              <w:top w:val="nil"/>
              <w:bottom w:val="nil"/>
            </w:tcBorders>
          </w:tcPr>
          <w:p w14:paraId="432ADEF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239 521.8 </w:t>
            </w:r>
          </w:p>
        </w:tc>
        <w:tc>
          <w:tcPr>
            <w:tcW w:w="1002" w:type="dxa"/>
            <w:tcBorders>
              <w:top w:val="nil"/>
              <w:bottom w:val="nil"/>
            </w:tcBorders>
          </w:tcPr>
          <w:p w14:paraId="5EB85FC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260 017.0 </w:t>
            </w:r>
          </w:p>
        </w:tc>
        <w:tc>
          <w:tcPr>
            <w:tcW w:w="992" w:type="dxa"/>
            <w:tcBorders>
              <w:top w:val="nil"/>
              <w:bottom w:val="nil"/>
            </w:tcBorders>
          </w:tcPr>
          <w:p w14:paraId="623E52F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-20 495.2 </w:t>
            </w:r>
          </w:p>
        </w:tc>
        <w:tc>
          <w:tcPr>
            <w:tcW w:w="938" w:type="dxa"/>
            <w:tcBorders>
              <w:top w:val="nil"/>
              <w:bottom w:val="nil"/>
            </w:tcBorders>
          </w:tcPr>
          <w:p w14:paraId="0C02B8FC"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0.0 </w:t>
            </w:r>
          </w:p>
        </w:tc>
        <w:tc>
          <w:tcPr>
            <w:tcW w:w="1028" w:type="dxa"/>
            <w:tcBorders>
              <w:top w:val="nil"/>
              <w:bottom w:val="nil"/>
            </w:tcBorders>
          </w:tcPr>
          <w:p w14:paraId="5F7F65C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500 295.6 </w:t>
            </w:r>
          </w:p>
        </w:tc>
      </w:tr>
      <w:tr w:rsidR="006B173F" w:rsidRPr="006B173F" w14:paraId="5E28D627" w14:textId="77777777" w:rsidTr="006B173F">
        <w:trPr>
          <w:jc w:val="center"/>
        </w:trPr>
        <w:tc>
          <w:tcPr>
            <w:tcW w:w="2910" w:type="dxa"/>
            <w:tcBorders>
              <w:top w:val="nil"/>
              <w:bottom w:val="nil"/>
              <w:right w:val="single" w:sz="4" w:space="0" w:color="auto"/>
            </w:tcBorders>
            <w:shd w:val="clear" w:color="auto" w:fill="auto"/>
          </w:tcPr>
          <w:p w14:paraId="5538C558" w14:textId="77777777" w:rsidR="006B173F" w:rsidRPr="006B173F" w:rsidRDefault="006B173F" w:rsidP="006B173F">
            <w:pPr>
              <w:ind w:left="340"/>
              <w:rPr>
                <w:rFonts w:eastAsia="Times New Roman"/>
                <w:sz w:val="16"/>
                <w:szCs w:val="16"/>
              </w:rPr>
            </w:pPr>
            <w:r w:rsidRPr="006B173F">
              <w:rPr>
                <w:rFonts w:eastAsia="Times New Roman"/>
                <w:sz w:val="16"/>
                <w:szCs w:val="16"/>
              </w:rPr>
              <w:t>Empresas productivas del estado</w:t>
            </w:r>
          </w:p>
        </w:tc>
        <w:tc>
          <w:tcPr>
            <w:tcW w:w="1134" w:type="dxa"/>
            <w:tcBorders>
              <w:top w:val="nil"/>
              <w:bottom w:val="nil"/>
            </w:tcBorders>
          </w:tcPr>
          <w:p w14:paraId="7DF7B45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396 402.7 </w:t>
            </w:r>
          </w:p>
        </w:tc>
        <w:tc>
          <w:tcPr>
            <w:tcW w:w="983" w:type="dxa"/>
            <w:tcBorders>
              <w:top w:val="nil"/>
              <w:bottom w:val="nil"/>
            </w:tcBorders>
          </w:tcPr>
          <w:p w14:paraId="22CEFCC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41 804.8 </w:t>
            </w:r>
          </w:p>
        </w:tc>
        <w:tc>
          <w:tcPr>
            <w:tcW w:w="1002" w:type="dxa"/>
            <w:tcBorders>
              <w:top w:val="nil"/>
              <w:bottom w:val="nil"/>
            </w:tcBorders>
          </w:tcPr>
          <w:p w14:paraId="79C3F93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10 123.7 </w:t>
            </w:r>
          </w:p>
        </w:tc>
        <w:tc>
          <w:tcPr>
            <w:tcW w:w="992" w:type="dxa"/>
            <w:tcBorders>
              <w:top w:val="nil"/>
              <w:bottom w:val="nil"/>
            </w:tcBorders>
          </w:tcPr>
          <w:p w14:paraId="6E3BAEA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31 681.1 </w:t>
            </w:r>
          </w:p>
        </w:tc>
        <w:tc>
          <w:tcPr>
            <w:tcW w:w="938" w:type="dxa"/>
            <w:tcBorders>
              <w:top w:val="nil"/>
              <w:bottom w:val="nil"/>
            </w:tcBorders>
          </w:tcPr>
          <w:p w14:paraId="02A8459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-852.9 </w:t>
            </w:r>
          </w:p>
        </w:tc>
        <w:tc>
          <w:tcPr>
            <w:tcW w:w="1028" w:type="dxa"/>
            <w:tcBorders>
              <w:top w:val="nil"/>
              <w:bottom w:val="nil"/>
            </w:tcBorders>
          </w:tcPr>
          <w:p w14:paraId="0C8179C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427 230.9 </w:t>
            </w:r>
          </w:p>
        </w:tc>
      </w:tr>
      <w:tr w:rsidR="006B173F" w:rsidRPr="006B173F" w14:paraId="200534E1" w14:textId="77777777" w:rsidTr="006B173F">
        <w:trPr>
          <w:jc w:val="center"/>
        </w:trPr>
        <w:tc>
          <w:tcPr>
            <w:tcW w:w="2910" w:type="dxa"/>
            <w:tcBorders>
              <w:top w:val="nil"/>
              <w:bottom w:val="nil"/>
              <w:right w:val="single" w:sz="4" w:space="0" w:color="auto"/>
            </w:tcBorders>
            <w:shd w:val="clear" w:color="auto" w:fill="auto"/>
          </w:tcPr>
          <w:p w14:paraId="5FAC7C5C" w14:textId="77777777" w:rsidR="006B173F" w:rsidRPr="006B173F" w:rsidRDefault="006B173F" w:rsidP="006B173F">
            <w:pPr>
              <w:ind w:left="510"/>
              <w:rPr>
                <w:rFonts w:eastAsia="Times New Roman"/>
                <w:sz w:val="16"/>
                <w:szCs w:val="16"/>
              </w:rPr>
            </w:pPr>
            <w:r w:rsidRPr="006B173F">
              <w:rPr>
                <w:rFonts w:eastAsia="Times New Roman"/>
                <w:sz w:val="16"/>
                <w:szCs w:val="16"/>
              </w:rPr>
              <w:t>Largo plazo</w:t>
            </w:r>
          </w:p>
        </w:tc>
        <w:tc>
          <w:tcPr>
            <w:tcW w:w="1134" w:type="dxa"/>
            <w:tcBorders>
              <w:top w:val="nil"/>
              <w:bottom w:val="nil"/>
            </w:tcBorders>
          </w:tcPr>
          <w:p w14:paraId="772BBD0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396 402.7 </w:t>
            </w:r>
          </w:p>
        </w:tc>
        <w:tc>
          <w:tcPr>
            <w:tcW w:w="983" w:type="dxa"/>
            <w:tcBorders>
              <w:top w:val="nil"/>
              <w:bottom w:val="nil"/>
            </w:tcBorders>
          </w:tcPr>
          <w:p w14:paraId="64005737"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24 291.0 </w:t>
            </w:r>
          </w:p>
        </w:tc>
        <w:tc>
          <w:tcPr>
            <w:tcW w:w="1002" w:type="dxa"/>
            <w:tcBorders>
              <w:top w:val="nil"/>
              <w:bottom w:val="nil"/>
            </w:tcBorders>
          </w:tcPr>
          <w:p w14:paraId="7C1EBB8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8 709.8 </w:t>
            </w:r>
          </w:p>
        </w:tc>
        <w:tc>
          <w:tcPr>
            <w:tcW w:w="992" w:type="dxa"/>
            <w:tcBorders>
              <w:top w:val="nil"/>
              <w:bottom w:val="nil"/>
            </w:tcBorders>
          </w:tcPr>
          <w:p w14:paraId="420C64F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15 581.2 </w:t>
            </w:r>
          </w:p>
        </w:tc>
        <w:tc>
          <w:tcPr>
            <w:tcW w:w="938" w:type="dxa"/>
            <w:tcBorders>
              <w:top w:val="nil"/>
              <w:bottom w:val="nil"/>
            </w:tcBorders>
          </w:tcPr>
          <w:p w14:paraId="7089F939"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-852.9 </w:t>
            </w:r>
          </w:p>
        </w:tc>
        <w:tc>
          <w:tcPr>
            <w:tcW w:w="1028" w:type="dxa"/>
            <w:tcBorders>
              <w:top w:val="nil"/>
              <w:bottom w:val="nil"/>
            </w:tcBorders>
          </w:tcPr>
          <w:p w14:paraId="782AE0F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411 131.0 </w:t>
            </w:r>
          </w:p>
        </w:tc>
      </w:tr>
      <w:tr w:rsidR="006B173F" w:rsidRPr="006B173F" w14:paraId="46E596E7" w14:textId="77777777" w:rsidTr="006B173F">
        <w:trPr>
          <w:jc w:val="center"/>
        </w:trPr>
        <w:tc>
          <w:tcPr>
            <w:tcW w:w="2910" w:type="dxa"/>
            <w:tcBorders>
              <w:top w:val="nil"/>
              <w:bottom w:val="nil"/>
              <w:right w:val="single" w:sz="4" w:space="0" w:color="auto"/>
            </w:tcBorders>
            <w:shd w:val="clear" w:color="auto" w:fill="auto"/>
          </w:tcPr>
          <w:p w14:paraId="02CA6ACB" w14:textId="77777777" w:rsidR="006B173F" w:rsidRPr="006B173F" w:rsidRDefault="006B173F" w:rsidP="006B173F">
            <w:pPr>
              <w:ind w:left="510"/>
              <w:rPr>
                <w:rFonts w:eastAsia="Times New Roman"/>
                <w:sz w:val="16"/>
                <w:szCs w:val="16"/>
              </w:rPr>
            </w:pPr>
            <w:r w:rsidRPr="006B173F">
              <w:rPr>
                <w:rFonts w:eastAsia="Times New Roman"/>
                <w:sz w:val="16"/>
                <w:szCs w:val="16"/>
              </w:rPr>
              <w:t>Corto plazo</w:t>
            </w:r>
          </w:p>
        </w:tc>
        <w:tc>
          <w:tcPr>
            <w:tcW w:w="1134" w:type="dxa"/>
            <w:tcBorders>
              <w:top w:val="nil"/>
              <w:bottom w:val="nil"/>
            </w:tcBorders>
          </w:tcPr>
          <w:p w14:paraId="2A6F931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0.0 </w:t>
            </w:r>
          </w:p>
        </w:tc>
        <w:tc>
          <w:tcPr>
            <w:tcW w:w="983" w:type="dxa"/>
            <w:tcBorders>
              <w:top w:val="nil"/>
              <w:bottom w:val="nil"/>
            </w:tcBorders>
          </w:tcPr>
          <w:p w14:paraId="156991D4"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17 513.8 </w:t>
            </w:r>
          </w:p>
        </w:tc>
        <w:tc>
          <w:tcPr>
            <w:tcW w:w="1002" w:type="dxa"/>
            <w:tcBorders>
              <w:top w:val="nil"/>
              <w:bottom w:val="nil"/>
            </w:tcBorders>
          </w:tcPr>
          <w:p w14:paraId="0E0C214C"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1 413.9 </w:t>
            </w:r>
          </w:p>
        </w:tc>
        <w:tc>
          <w:tcPr>
            <w:tcW w:w="992" w:type="dxa"/>
            <w:tcBorders>
              <w:top w:val="nil"/>
              <w:bottom w:val="nil"/>
            </w:tcBorders>
          </w:tcPr>
          <w:p w14:paraId="02662BB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16 099.9 </w:t>
            </w:r>
          </w:p>
        </w:tc>
        <w:tc>
          <w:tcPr>
            <w:tcW w:w="938" w:type="dxa"/>
            <w:tcBorders>
              <w:top w:val="nil"/>
              <w:bottom w:val="nil"/>
            </w:tcBorders>
          </w:tcPr>
          <w:p w14:paraId="24A6D8E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0.0 </w:t>
            </w:r>
          </w:p>
        </w:tc>
        <w:tc>
          <w:tcPr>
            <w:tcW w:w="1028" w:type="dxa"/>
            <w:tcBorders>
              <w:top w:val="nil"/>
              <w:bottom w:val="nil"/>
            </w:tcBorders>
          </w:tcPr>
          <w:p w14:paraId="2FDCDBB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16 099.9 </w:t>
            </w:r>
          </w:p>
        </w:tc>
      </w:tr>
      <w:tr w:rsidR="006B173F" w:rsidRPr="006B173F" w14:paraId="3013C94C" w14:textId="77777777" w:rsidTr="006B173F">
        <w:trPr>
          <w:jc w:val="center"/>
        </w:trPr>
        <w:tc>
          <w:tcPr>
            <w:tcW w:w="2910" w:type="dxa"/>
            <w:tcBorders>
              <w:top w:val="nil"/>
              <w:bottom w:val="nil"/>
              <w:right w:val="single" w:sz="4" w:space="0" w:color="auto"/>
            </w:tcBorders>
            <w:shd w:val="clear" w:color="auto" w:fill="auto"/>
          </w:tcPr>
          <w:p w14:paraId="70DB0830" w14:textId="77777777" w:rsidR="006B173F" w:rsidRPr="006B173F" w:rsidRDefault="006B173F" w:rsidP="006B173F">
            <w:pPr>
              <w:ind w:left="340"/>
              <w:rPr>
                <w:rFonts w:eastAsia="Times New Roman"/>
                <w:sz w:val="16"/>
                <w:szCs w:val="16"/>
              </w:rPr>
            </w:pPr>
            <w:r w:rsidRPr="006B173F">
              <w:rPr>
                <w:rFonts w:eastAsia="Times New Roman"/>
                <w:sz w:val="16"/>
                <w:szCs w:val="16"/>
              </w:rPr>
              <w:t>Banca de Desarrollo</w:t>
            </w:r>
          </w:p>
        </w:tc>
        <w:tc>
          <w:tcPr>
            <w:tcW w:w="1134" w:type="dxa"/>
            <w:tcBorders>
              <w:top w:val="nil"/>
              <w:bottom w:val="nil"/>
            </w:tcBorders>
          </w:tcPr>
          <w:p w14:paraId="1DD6055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106 511.0 </w:t>
            </w:r>
          </w:p>
        </w:tc>
        <w:tc>
          <w:tcPr>
            <w:tcW w:w="983" w:type="dxa"/>
            <w:tcBorders>
              <w:top w:val="nil"/>
              <w:bottom w:val="nil"/>
            </w:tcBorders>
          </w:tcPr>
          <w:p w14:paraId="36977D4C"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71 234.4 </w:t>
            </w:r>
          </w:p>
        </w:tc>
        <w:tc>
          <w:tcPr>
            <w:tcW w:w="1002" w:type="dxa"/>
            <w:tcBorders>
              <w:top w:val="nil"/>
              <w:bottom w:val="nil"/>
            </w:tcBorders>
          </w:tcPr>
          <w:p w14:paraId="6CAEAA44"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74 421.0 </w:t>
            </w:r>
          </w:p>
        </w:tc>
        <w:tc>
          <w:tcPr>
            <w:tcW w:w="992" w:type="dxa"/>
            <w:tcBorders>
              <w:top w:val="nil"/>
              <w:bottom w:val="nil"/>
            </w:tcBorders>
          </w:tcPr>
          <w:p w14:paraId="03C6F4DC"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-3 186.6 </w:t>
            </w:r>
          </w:p>
        </w:tc>
        <w:tc>
          <w:tcPr>
            <w:tcW w:w="938" w:type="dxa"/>
            <w:tcBorders>
              <w:top w:val="nil"/>
              <w:bottom w:val="nil"/>
            </w:tcBorders>
          </w:tcPr>
          <w:p w14:paraId="02AC3CA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20.3 </w:t>
            </w:r>
          </w:p>
        </w:tc>
        <w:tc>
          <w:tcPr>
            <w:tcW w:w="1028" w:type="dxa"/>
            <w:tcBorders>
              <w:top w:val="nil"/>
              <w:bottom w:val="nil"/>
            </w:tcBorders>
          </w:tcPr>
          <w:p w14:paraId="24A02E0F"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103 344.7 </w:t>
            </w:r>
          </w:p>
        </w:tc>
      </w:tr>
      <w:tr w:rsidR="006B173F" w:rsidRPr="006B173F" w14:paraId="41CA47AF" w14:textId="77777777" w:rsidTr="006B173F">
        <w:trPr>
          <w:jc w:val="center"/>
        </w:trPr>
        <w:tc>
          <w:tcPr>
            <w:tcW w:w="2910" w:type="dxa"/>
            <w:tcBorders>
              <w:top w:val="nil"/>
              <w:bottom w:val="nil"/>
              <w:right w:val="single" w:sz="4" w:space="0" w:color="auto"/>
            </w:tcBorders>
            <w:shd w:val="clear" w:color="auto" w:fill="auto"/>
          </w:tcPr>
          <w:p w14:paraId="021E3CE8" w14:textId="77777777" w:rsidR="006B173F" w:rsidRPr="006B173F" w:rsidRDefault="006B173F" w:rsidP="006B173F">
            <w:pPr>
              <w:ind w:left="510"/>
              <w:rPr>
                <w:rFonts w:eastAsia="Times New Roman"/>
                <w:sz w:val="16"/>
                <w:szCs w:val="16"/>
              </w:rPr>
            </w:pPr>
            <w:r w:rsidRPr="006B173F">
              <w:rPr>
                <w:rFonts w:eastAsia="Times New Roman"/>
                <w:sz w:val="16"/>
                <w:szCs w:val="16"/>
              </w:rPr>
              <w:t>Largo plazo</w:t>
            </w:r>
          </w:p>
        </w:tc>
        <w:tc>
          <w:tcPr>
            <w:tcW w:w="1134" w:type="dxa"/>
            <w:tcBorders>
              <w:top w:val="nil"/>
              <w:bottom w:val="nil"/>
            </w:tcBorders>
          </w:tcPr>
          <w:p w14:paraId="5D135105"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96 011.0 </w:t>
            </w:r>
          </w:p>
        </w:tc>
        <w:tc>
          <w:tcPr>
            <w:tcW w:w="983" w:type="dxa"/>
            <w:tcBorders>
              <w:top w:val="nil"/>
              <w:bottom w:val="nil"/>
            </w:tcBorders>
          </w:tcPr>
          <w:p w14:paraId="4918044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0.4 </w:t>
            </w:r>
          </w:p>
        </w:tc>
        <w:tc>
          <w:tcPr>
            <w:tcW w:w="1002" w:type="dxa"/>
            <w:tcBorders>
              <w:top w:val="nil"/>
              <w:bottom w:val="nil"/>
            </w:tcBorders>
          </w:tcPr>
          <w:p w14:paraId="396847D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2 504.0 </w:t>
            </w:r>
          </w:p>
        </w:tc>
        <w:tc>
          <w:tcPr>
            <w:tcW w:w="992" w:type="dxa"/>
            <w:tcBorders>
              <w:top w:val="nil"/>
              <w:bottom w:val="nil"/>
            </w:tcBorders>
          </w:tcPr>
          <w:p w14:paraId="70990A9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-2 503.6 </w:t>
            </w:r>
          </w:p>
        </w:tc>
        <w:tc>
          <w:tcPr>
            <w:tcW w:w="938" w:type="dxa"/>
            <w:tcBorders>
              <w:top w:val="nil"/>
              <w:bottom w:val="nil"/>
            </w:tcBorders>
          </w:tcPr>
          <w:p w14:paraId="3A3792D4"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20.3 </w:t>
            </w:r>
          </w:p>
        </w:tc>
        <w:tc>
          <w:tcPr>
            <w:tcW w:w="1028" w:type="dxa"/>
            <w:tcBorders>
              <w:top w:val="nil"/>
              <w:bottom w:val="nil"/>
            </w:tcBorders>
          </w:tcPr>
          <w:p w14:paraId="0108986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93 527.7 </w:t>
            </w:r>
          </w:p>
        </w:tc>
      </w:tr>
      <w:tr w:rsidR="006B173F" w:rsidRPr="006B173F" w14:paraId="3AC6EEA7" w14:textId="77777777" w:rsidTr="006B173F">
        <w:trPr>
          <w:jc w:val="center"/>
        </w:trPr>
        <w:tc>
          <w:tcPr>
            <w:tcW w:w="2910" w:type="dxa"/>
            <w:tcBorders>
              <w:top w:val="nil"/>
              <w:bottom w:val="nil"/>
              <w:right w:val="single" w:sz="4" w:space="0" w:color="auto"/>
            </w:tcBorders>
            <w:shd w:val="clear" w:color="auto" w:fill="auto"/>
          </w:tcPr>
          <w:p w14:paraId="082CCFE2" w14:textId="77777777" w:rsidR="006B173F" w:rsidRPr="006B173F" w:rsidRDefault="006B173F" w:rsidP="006B173F">
            <w:pPr>
              <w:ind w:left="510"/>
              <w:rPr>
                <w:rFonts w:eastAsia="Times New Roman"/>
                <w:sz w:val="16"/>
                <w:szCs w:val="16"/>
              </w:rPr>
            </w:pPr>
            <w:r w:rsidRPr="006B173F">
              <w:rPr>
                <w:rFonts w:eastAsia="Times New Roman"/>
                <w:sz w:val="16"/>
                <w:szCs w:val="16"/>
              </w:rPr>
              <w:t>Corto plazo</w:t>
            </w:r>
          </w:p>
        </w:tc>
        <w:tc>
          <w:tcPr>
            <w:tcW w:w="1134" w:type="dxa"/>
            <w:tcBorders>
              <w:top w:val="nil"/>
              <w:bottom w:val="nil"/>
            </w:tcBorders>
          </w:tcPr>
          <w:p w14:paraId="3A2FBEBC"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10 500.0 </w:t>
            </w:r>
          </w:p>
        </w:tc>
        <w:tc>
          <w:tcPr>
            <w:tcW w:w="983" w:type="dxa"/>
            <w:tcBorders>
              <w:top w:val="nil"/>
              <w:bottom w:val="nil"/>
            </w:tcBorders>
          </w:tcPr>
          <w:p w14:paraId="54B4FD8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71 234.0 </w:t>
            </w:r>
          </w:p>
        </w:tc>
        <w:tc>
          <w:tcPr>
            <w:tcW w:w="1002" w:type="dxa"/>
            <w:tcBorders>
              <w:top w:val="nil"/>
              <w:bottom w:val="nil"/>
            </w:tcBorders>
          </w:tcPr>
          <w:p w14:paraId="3E6EE59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71 917.0 </w:t>
            </w:r>
          </w:p>
        </w:tc>
        <w:tc>
          <w:tcPr>
            <w:tcW w:w="992" w:type="dxa"/>
            <w:tcBorders>
              <w:top w:val="nil"/>
              <w:bottom w:val="nil"/>
            </w:tcBorders>
          </w:tcPr>
          <w:p w14:paraId="3F6B42A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-683.0 </w:t>
            </w:r>
          </w:p>
        </w:tc>
        <w:tc>
          <w:tcPr>
            <w:tcW w:w="938" w:type="dxa"/>
            <w:tcBorders>
              <w:top w:val="nil"/>
              <w:bottom w:val="nil"/>
            </w:tcBorders>
          </w:tcPr>
          <w:p w14:paraId="10E9B8BF"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0.0 </w:t>
            </w:r>
          </w:p>
        </w:tc>
        <w:tc>
          <w:tcPr>
            <w:tcW w:w="1028" w:type="dxa"/>
            <w:tcBorders>
              <w:top w:val="nil"/>
              <w:bottom w:val="nil"/>
            </w:tcBorders>
          </w:tcPr>
          <w:p w14:paraId="71613F51"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9 817.0 </w:t>
            </w:r>
          </w:p>
        </w:tc>
      </w:tr>
      <w:tr w:rsidR="006B173F" w:rsidRPr="006B173F" w14:paraId="0783BB1D" w14:textId="77777777" w:rsidTr="006B173F">
        <w:trPr>
          <w:jc w:val="center"/>
        </w:trPr>
        <w:tc>
          <w:tcPr>
            <w:tcW w:w="2910" w:type="dxa"/>
            <w:tcBorders>
              <w:top w:val="nil"/>
              <w:bottom w:val="nil"/>
              <w:right w:val="single" w:sz="4" w:space="0" w:color="auto"/>
            </w:tcBorders>
            <w:shd w:val="clear" w:color="auto" w:fill="auto"/>
          </w:tcPr>
          <w:p w14:paraId="7CBE499E" w14:textId="77777777" w:rsidR="006B173F" w:rsidRPr="006B173F" w:rsidRDefault="006B173F" w:rsidP="006B173F">
            <w:pPr>
              <w:ind w:left="170"/>
              <w:rPr>
                <w:rFonts w:eastAsia="Times New Roman"/>
                <w:b/>
                <w:sz w:val="16"/>
                <w:szCs w:val="16"/>
              </w:rPr>
            </w:pPr>
            <w:r w:rsidRPr="006B173F">
              <w:rPr>
                <w:rFonts w:eastAsia="Times New Roman"/>
                <w:b/>
                <w:sz w:val="16"/>
                <w:szCs w:val="16"/>
              </w:rPr>
              <w:t>Por fuentes de financiamiento</w:t>
            </w:r>
          </w:p>
        </w:tc>
        <w:tc>
          <w:tcPr>
            <w:tcW w:w="1134" w:type="dxa"/>
            <w:tcBorders>
              <w:top w:val="nil"/>
              <w:bottom w:val="nil"/>
            </w:tcBorders>
          </w:tcPr>
          <w:p w14:paraId="2B1B2125"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5 049 533.3 </w:t>
            </w:r>
          </w:p>
        </w:tc>
        <w:tc>
          <w:tcPr>
            <w:tcW w:w="983" w:type="dxa"/>
            <w:tcBorders>
              <w:top w:val="nil"/>
              <w:bottom w:val="nil"/>
            </w:tcBorders>
          </w:tcPr>
          <w:p w14:paraId="4AD34DE6"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544 658.6 </w:t>
            </w:r>
          </w:p>
        </w:tc>
        <w:tc>
          <w:tcPr>
            <w:tcW w:w="1002" w:type="dxa"/>
            <w:tcBorders>
              <w:top w:val="nil"/>
              <w:bottom w:val="nil"/>
            </w:tcBorders>
          </w:tcPr>
          <w:p w14:paraId="27605902"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449 026.6 </w:t>
            </w:r>
          </w:p>
        </w:tc>
        <w:tc>
          <w:tcPr>
            <w:tcW w:w="992" w:type="dxa"/>
            <w:tcBorders>
              <w:top w:val="nil"/>
              <w:bottom w:val="nil"/>
            </w:tcBorders>
          </w:tcPr>
          <w:p w14:paraId="36435D25"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95 632.0 </w:t>
            </w:r>
          </w:p>
        </w:tc>
        <w:tc>
          <w:tcPr>
            <w:tcW w:w="938" w:type="dxa"/>
            <w:tcBorders>
              <w:top w:val="nil"/>
              <w:bottom w:val="nil"/>
            </w:tcBorders>
          </w:tcPr>
          <w:p w14:paraId="51592FDA"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4 691.9 </w:t>
            </w:r>
          </w:p>
        </w:tc>
        <w:tc>
          <w:tcPr>
            <w:tcW w:w="1028" w:type="dxa"/>
            <w:tcBorders>
              <w:top w:val="nil"/>
              <w:bottom w:val="nil"/>
            </w:tcBorders>
          </w:tcPr>
          <w:p w14:paraId="658DAF1C" w14:textId="77777777" w:rsidR="006B173F" w:rsidRPr="006B173F" w:rsidRDefault="006B173F" w:rsidP="006B173F">
            <w:pPr>
              <w:ind w:left="-57" w:right="57"/>
              <w:jc w:val="right"/>
              <w:rPr>
                <w:rFonts w:eastAsia="Calibri"/>
                <w:sz w:val="16"/>
                <w:szCs w:val="16"/>
                <w:lang w:eastAsia="en-US"/>
              </w:rPr>
            </w:pPr>
            <w:r w:rsidRPr="006B173F">
              <w:rPr>
                <w:rFonts w:eastAsia="Calibri"/>
                <w:b/>
                <w:bCs/>
                <w:sz w:val="16"/>
                <w:szCs w:val="16"/>
                <w:lang w:eastAsia="en-US"/>
              </w:rPr>
              <w:t xml:space="preserve">5 149 857.2 </w:t>
            </w:r>
          </w:p>
        </w:tc>
      </w:tr>
      <w:tr w:rsidR="006B173F" w:rsidRPr="006B173F" w14:paraId="0B1BEB80" w14:textId="77777777" w:rsidTr="006B173F">
        <w:trPr>
          <w:jc w:val="center"/>
        </w:trPr>
        <w:tc>
          <w:tcPr>
            <w:tcW w:w="2910" w:type="dxa"/>
            <w:tcBorders>
              <w:top w:val="nil"/>
              <w:bottom w:val="nil"/>
              <w:right w:val="single" w:sz="4" w:space="0" w:color="auto"/>
            </w:tcBorders>
            <w:shd w:val="clear" w:color="auto" w:fill="auto"/>
          </w:tcPr>
          <w:p w14:paraId="63ADF743" w14:textId="77777777" w:rsidR="006B173F" w:rsidRPr="006B173F" w:rsidRDefault="006B173F" w:rsidP="006B173F">
            <w:pPr>
              <w:ind w:left="284"/>
              <w:rPr>
                <w:rFonts w:eastAsia="Times New Roman"/>
                <w:sz w:val="16"/>
                <w:szCs w:val="16"/>
              </w:rPr>
            </w:pPr>
            <w:r w:rsidRPr="006B173F">
              <w:rPr>
                <w:rFonts w:eastAsia="Times New Roman"/>
                <w:sz w:val="16"/>
                <w:szCs w:val="16"/>
              </w:rPr>
              <w:t>Emisión de Valores</w:t>
            </w:r>
          </w:p>
        </w:tc>
        <w:tc>
          <w:tcPr>
            <w:tcW w:w="1134" w:type="dxa"/>
            <w:tcBorders>
              <w:top w:val="nil"/>
              <w:bottom w:val="nil"/>
            </w:tcBorders>
          </w:tcPr>
          <w:p w14:paraId="23F3BA3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4 581 547.3 </w:t>
            </w:r>
          </w:p>
        </w:tc>
        <w:tc>
          <w:tcPr>
            <w:tcW w:w="983" w:type="dxa"/>
            <w:tcBorders>
              <w:top w:val="nil"/>
              <w:bottom w:val="nil"/>
            </w:tcBorders>
          </w:tcPr>
          <w:p w14:paraId="583C2AB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425 065.4 </w:t>
            </w:r>
          </w:p>
        </w:tc>
        <w:tc>
          <w:tcPr>
            <w:tcW w:w="1002" w:type="dxa"/>
            <w:tcBorders>
              <w:top w:val="nil"/>
              <w:bottom w:val="nil"/>
            </w:tcBorders>
          </w:tcPr>
          <w:p w14:paraId="173ED08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339 567.4 </w:t>
            </w:r>
          </w:p>
        </w:tc>
        <w:tc>
          <w:tcPr>
            <w:tcW w:w="992" w:type="dxa"/>
            <w:tcBorders>
              <w:top w:val="nil"/>
              <w:bottom w:val="nil"/>
            </w:tcBorders>
          </w:tcPr>
          <w:p w14:paraId="5FD260B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85 498.0 </w:t>
            </w:r>
          </w:p>
        </w:tc>
        <w:tc>
          <w:tcPr>
            <w:tcW w:w="938" w:type="dxa"/>
            <w:tcBorders>
              <w:top w:val="nil"/>
              <w:bottom w:val="nil"/>
            </w:tcBorders>
          </w:tcPr>
          <w:p w14:paraId="24D4797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3 697.4 </w:t>
            </w:r>
          </w:p>
        </w:tc>
        <w:tc>
          <w:tcPr>
            <w:tcW w:w="1028" w:type="dxa"/>
            <w:tcBorders>
              <w:top w:val="nil"/>
              <w:bottom w:val="nil"/>
            </w:tcBorders>
          </w:tcPr>
          <w:p w14:paraId="064473D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4 670 742.7 </w:t>
            </w:r>
          </w:p>
        </w:tc>
      </w:tr>
      <w:tr w:rsidR="006B173F" w:rsidRPr="006B173F" w14:paraId="6CFD76B5" w14:textId="77777777" w:rsidTr="006B173F">
        <w:trPr>
          <w:jc w:val="center"/>
        </w:trPr>
        <w:tc>
          <w:tcPr>
            <w:tcW w:w="2910" w:type="dxa"/>
            <w:tcBorders>
              <w:top w:val="nil"/>
              <w:bottom w:val="nil"/>
              <w:right w:val="single" w:sz="4" w:space="0" w:color="auto"/>
            </w:tcBorders>
            <w:shd w:val="clear" w:color="auto" w:fill="auto"/>
          </w:tcPr>
          <w:p w14:paraId="4926476B" w14:textId="77777777" w:rsidR="006B173F" w:rsidRPr="006B173F" w:rsidRDefault="006B173F" w:rsidP="006B173F">
            <w:pPr>
              <w:ind w:left="284"/>
              <w:rPr>
                <w:rFonts w:eastAsia="Times New Roman"/>
                <w:sz w:val="16"/>
                <w:szCs w:val="16"/>
              </w:rPr>
            </w:pPr>
            <w:r w:rsidRPr="006B173F">
              <w:rPr>
                <w:rFonts w:eastAsia="Times New Roman"/>
                <w:sz w:val="16"/>
                <w:szCs w:val="16"/>
              </w:rPr>
              <w:t>Fondo de Ahorro SAR</w:t>
            </w:r>
          </w:p>
        </w:tc>
        <w:tc>
          <w:tcPr>
            <w:tcW w:w="1134" w:type="dxa"/>
            <w:tcBorders>
              <w:top w:val="nil"/>
              <w:bottom w:val="nil"/>
            </w:tcBorders>
          </w:tcPr>
          <w:p w14:paraId="5C8EBD5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98 018.4 </w:t>
            </w:r>
          </w:p>
        </w:tc>
        <w:tc>
          <w:tcPr>
            <w:tcW w:w="983" w:type="dxa"/>
            <w:tcBorders>
              <w:top w:val="nil"/>
              <w:bottom w:val="nil"/>
            </w:tcBorders>
          </w:tcPr>
          <w:p w14:paraId="6B03B5C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29 583.0 </w:t>
            </w:r>
          </w:p>
        </w:tc>
        <w:tc>
          <w:tcPr>
            <w:tcW w:w="1002" w:type="dxa"/>
            <w:tcBorders>
              <w:top w:val="nil"/>
              <w:bottom w:val="nil"/>
            </w:tcBorders>
          </w:tcPr>
          <w:p w14:paraId="0860C1E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27 280.2 </w:t>
            </w:r>
          </w:p>
        </w:tc>
        <w:tc>
          <w:tcPr>
            <w:tcW w:w="992" w:type="dxa"/>
            <w:tcBorders>
              <w:top w:val="nil"/>
              <w:bottom w:val="nil"/>
            </w:tcBorders>
          </w:tcPr>
          <w:p w14:paraId="02FC4AB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2 302.8 </w:t>
            </w:r>
          </w:p>
        </w:tc>
        <w:tc>
          <w:tcPr>
            <w:tcW w:w="938" w:type="dxa"/>
            <w:tcBorders>
              <w:top w:val="nil"/>
              <w:bottom w:val="nil"/>
            </w:tcBorders>
          </w:tcPr>
          <w:p w14:paraId="23C9EE2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1 296.5 </w:t>
            </w:r>
          </w:p>
        </w:tc>
        <w:tc>
          <w:tcPr>
            <w:tcW w:w="1028" w:type="dxa"/>
            <w:tcBorders>
              <w:top w:val="nil"/>
              <w:bottom w:val="nil"/>
            </w:tcBorders>
          </w:tcPr>
          <w:p w14:paraId="14C1E1B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101 617.7 </w:t>
            </w:r>
          </w:p>
        </w:tc>
      </w:tr>
      <w:tr w:rsidR="006B173F" w:rsidRPr="006B173F" w14:paraId="0E78EC1D" w14:textId="77777777" w:rsidTr="006B173F">
        <w:trPr>
          <w:jc w:val="center"/>
        </w:trPr>
        <w:tc>
          <w:tcPr>
            <w:tcW w:w="2910" w:type="dxa"/>
            <w:tcBorders>
              <w:top w:val="nil"/>
              <w:bottom w:val="nil"/>
              <w:right w:val="single" w:sz="4" w:space="0" w:color="auto"/>
            </w:tcBorders>
            <w:shd w:val="clear" w:color="auto" w:fill="auto"/>
          </w:tcPr>
          <w:p w14:paraId="52BFEB4C" w14:textId="77777777" w:rsidR="006B173F" w:rsidRPr="006B173F" w:rsidRDefault="006B173F" w:rsidP="006B173F">
            <w:pPr>
              <w:ind w:left="284"/>
              <w:rPr>
                <w:rFonts w:eastAsia="Times New Roman"/>
                <w:sz w:val="16"/>
                <w:szCs w:val="16"/>
              </w:rPr>
            </w:pPr>
            <w:r w:rsidRPr="006B173F">
              <w:rPr>
                <w:rFonts w:eastAsia="Times New Roman"/>
                <w:sz w:val="16"/>
                <w:szCs w:val="16"/>
              </w:rPr>
              <w:t>Banca Comercial</w:t>
            </w:r>
          </w:p>
        </w:tc>
        <w:tc>
          <w:tcPr>
            <w:tcW w:w="1134" w:type="dxa"/>
            <w:tcBorders>
              <w:top w:val="nil"/>
              <w:bottom w:val="nil"/>
            </w:tcBorders>
          </w:tcPr>
          <w:p w14:paraId="27B2B20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123 929.7 </w:t>
            </w:r>
          </w:p>
        </w:tc>
        <w:tc>
          <w:tcPr>
            <w:tcW w:w="983" w:type="dxa"/>
            <w:tcBorders>
              <w:top w:val="nil"/>
              <w:bottom w:val="nil"/>
            </w:tcBorders>
          </w:tcPr>
          <w:p w14:paraId="0D649435"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7 000.4 </w:t>
            </w:r>
          </w:p>
        </w:tc>
        <w:tc>
          <w:tcPr>
            <w:tcW w:w="1002" w:type="dxa"/>
            <w:tcBorders>
              <w:top w:val="nil"/>
              <w:bottom w:val="nil"/>
            </w:tcBorders>
          </w:tcPr>
          <w:p w14:paraId="66966AAD"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3 254.0 </w:t>
            </w:r>
          </w:p>
        </w:tc>
        <w:tc>
          <w:tcPr>
            <w:tcW w:w="992" w:type="dxa"/>
            <w:tcBorders>
              <w:top w:val="nil"/>
              <w:bottom w:val="nil"/>
            </w:tcBorders>
          </w:tcPr>
          <w:p w14:paraId="33875C3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3 746.4 </w:t>
            </w:r>
          </w:p>
        </w:tc>
        <w:tc>
          <w:tcPr>
            <w:tcW w:w="938" w:type="dxa"/>
            <w:tcBorders>
              <w:top w:val="nil"/>
              <w:bottom w:val="nil"/>
            </w:tcBorders>
          </w:tcPr>
          <w:p w14:paraId="6AEA97DA"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18.6 </w:t>
            </w:r>
          </w:p>
        </w:tc>
        <w:tc>
          <w:tcPr>
            <w:tcW w:w="1028" w:type="dxa"/>
            <w:tcBorders>
              <w:top w:val="nil"/>
              <w:bottom w:val="nil"/>
            </w:tcBorders>
          </w:tcPr>
          <w:p w14:paraId="44D0848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127 694.7 </w:t>
            </w:r>
          </w:p>
        </w:tc>
      </w:tr>
      <w:tr w:rsidR="006B173F" w:rsidRPr="006B173F" w14:paraId="6D710BD8" w14:textId="77777777" w:rsidTr="006B173F">
        <w:trPr>
          <w:jc w:val="center"/>
        </w:trPr>
        <w:tc>
          <w:tcPr>
            <w:tcW w:w="2910" w:type="dxa"/>
            <w:tcBorders>
              <w:top w:val="nil"/>
              <w:bottom w:val="nil"/>
              <w:right w:val="single" w:sz="4" w:space="0" w:color="auto"/>
            </w:tcBorders>
            <w:shd w:val="clear" w:color="auto" w:fill="auto"/>
          </w:tcPr>
          <w:p w14:paraId="5006C96F" w14:textId="77777777" w:rsidR="006B173F" w:rsidRPr="006B173F" w:rsidRDefault="006B173F" w:rsidP="006B173F">
            <w:pPr>
              <w:ind w:left="284"/>
              <w:rPr>
                <w:rFonts w:eastAsia="Times New Roman"/>
                <w:sz w:val="16"/>
                <w:szCs w:val="16"/>
              </w:rPr>
            </w:pPr>
            <w:r w:rsidRPr="006B173F">
              <w:rPr>
                <w:rFonts w:eastAsia="Times New Roman"/>
                <w:sz w:val="16"/>
                <w:szCs w:val="16"/>
              </w:rPr>
              <w:t>Obligaciones por Ley del ISSSTE</w:t>
            </w:r>
          </w:p>
        </w:tc>
        <w:tc>
          <w:tcPr>
            <w:tcW w:w="1134" w:type="dxa"/>
            <w:tcBorders>
              <w:top w:val="nil"/>
              <w:bottom w:val="nil"/>
            </w:tcBorders>
          </w:tcPr>
          <w:p w14:paraId="2F6A8A4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161 452.0 </w:t>
            </w:r>
          </w:p>
        </w:tc>
        <w:tc>
          <w:tcPr>
            <w:tcW w:w="983" w:type="dxa"/>
            <w:tcBorders>
              <w:top w:val="nil"/>
              <w:bottom w:val="nil"/>
            </w:tcBorders>
          </w:tcPr>
          <w:p w14:paraId="2548AA27"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16.9 </w:t>
            </w:r>
          </w:p>
        </w:tc>
        <w:tc>
          <w:tcPr>
            <w:tcW w:w="1002" w:type="dxa"/>
            <w:tcBorders>
              <w:top w:val="nil"/>
              <w:bottom w:val="nil"/>
            </w:tcBorders>
          </w:tcPr>
          <w:p w14:paraId="6FB46F82"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5 292.2 </w:t>
            </w:r>
          </w:p>
        </w:tc>
        <w:tc>
          <w:tcPr>
            <w:tcW w:w="992" w:type="dxa"/>
            <w:tcBorders>
              <w:top w:val="nil"/>
              <w:bottom w:val="nil"/>
            </w:tcBorders>
          </w:tcPr>
          <w:p w14:paraId="7826CA28"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-5 275.3 </w:t>
            </w:r>
          </w:p>
        </w:tc>
        <w:tc>
          <w:tcPr>
            <w:tcW w:w="938" w:type="dxa"/>
            <w:tcBorders>
              <w:top w:val="nil"/>
              <w:bottom w:val="nil"/>
            </w:tcBorders>
          </w:tcPr>
          <w:p w14:paraId="03264B29"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470.7 </w:t>
            </w:r>
          </w:p>
        </w:tc>
        <w:tc>
          <w:tcPr>
            <w:tcW w:w="1028" w:type="dxa"/>
            <w:tcBorders>
              <w:top w:val="nil"/>
              <w:bottom w:val="nil"/>
            </w:tcBorders>
          </w:tcPr>
          <w:p w14:paraId="6F1E0349"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156 647.4 </w:t>
            </w:r>
          </w:p>
        </w:tc>
      </w:tr>
      <w:tr w:rsidR="006B173F" w:rsidRPr="006B173F" w14:paraId="196B96C7" w14:textId="77777777" w:rsidTr="006B173F">
        <w:trPr>
          <w:jc w:val="center"/>
        </w:trPr>
        <w:tc>
          <w:tcPr>
            <w:tcW w:w="2910" w:type="dxa"/>
            <w:tcBorders>
              <w:top w:val="nil"/>
              <w:bottom w:val="nil"/>
              <w:right w:val="single" w:sz="4" w:space="0" w:color="auto"/>
            </w:tcBorders>
            <w:shd w:val="clear" w:color="auto" w:fill="auto"/>
          </w:tcPr>
          <w:p w14:paraId="24E045D9" w14:textId="77777777" w:rsidR="006B173F" w:rsidRPr="006B173F" w:rsidRDefault="006B173F" w:rsidP="006B173F">
            <w:pPr>
              <w:rPr>
                <w:rFonts w:eastAsia="Times New Roman"/>
                <w:sz w:val="16"/>
                <w:szCs w:val="16"/>
              </w:rPr>
            </w:pPr>
            <w:r w:rsidRPr="006B173F">
              <w:rPr>
                <w:rFonts w:eastAsia="Times New Roman"/>
                <w:sz w:val="16"/>
                <w:szCs w:val="16"/>
              </w:rPr>
              <w:t>Otros</w:t>
            </w:r>
          </w:p>
        </w:tc>
        <w:tc>
          <w:tcPr>
            <w:tcW w:w="1134" w:type="dxa"/>
            <w:tcBorders>
              <w:top w:val="nil"/>
            </w:tcBorders>
          </w:tcPr>
          <w:p w14:paraId="4AE44A5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84 585.9 </w:t>
            </w:r>
          </w:p>
        </w:tc>
        <w:tc>
          <w:tcPr>
            <w:tcW w:w="983" w:type="dxa"/>
            <w:tcBorders>
              <w:top w:val="nil"/>
            </w:tcBorders>
          </w:tcPr>
          <w:p w14:paraId="33056B90"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82 992.9 </w:t>
            </w:r>
          </w:p>
        </w:tc>
        <w:tc>
          <w:tcPr>
            <w:tcW w:w="1002" w:type="dxa"/>
            <w:tcBorders>
              <w:top w:val="nil"/>
            </w:tcBorders>
          </w:tcPr>
          <w:p w14:paraId="71FC395E"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73 632.8 </w:t>
            </w:r>
          </w:p>
        </w:tc>
        <w:tc>
          <w:tcPr>
            <w:tcW w:w="992" w:type="dxa"/>
            <w:tcBorders>
              <w:top w:val="nil"/>
            </w:tcBorders>
          </w:tcPr>
          <w:p w14:paraId="7431C4FB"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9 360.1 </w:t>
            </w:r>
          </w:p>
        </w:tc>
        <w:tc>
          <w:tcPr>
            <w:tcW w:w="938" w:type="dxa"/>
            <w:tcBorders>
              <w:top w:val="nil"/>
            </w:tcBorders>
          </w:tcPr>
          <w:p w14:paraId="345EB883"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-791.3 </w:t>
            </w:r>
          </w:p>
        </w:tc>
        <w:tc>
          <w:tcPr>
            <w:tcW w:w="1028" w:type="dxa"/>
            <w:tcBorders>
              <w:top w:val="nil"/>
            </w:tcBorders>
          </w:tcPr>
          <w:p w14:paraId="30D93FA6" w14:textId="77777777" w:rsidR="006B173F" w:rsidRPr="006B173F" w:rsidRDefault="006B173F" w:rsidP="006B173F">
            <w:pPr>
              <w:ind w:left="-57" w:right="57"/>
              <w:jc w:val="right"/>
              <w:rPr>
                <w:rFonts w:eastAsia="Calibri"/>
                <w:sz w:val="16"/>
                <w:szCs w:val="16"/>
                <w:lang w:eastAsia="en-US"/>
              </w:rPr>
            </w:pPr>
            <w:r w:rsidRPr="006B173F">
              <w:rPr>
                <w:rFonts w:eastAsia="Calibri"/>
                <w:sz w:val="16"/>
                <w:szCs w:val="16"/>
                <w:lang w:eastAsia="en-US"/>
              </w:rPr>
              <w:t xml:space="preserve">93 154.7 </w:t>
            </w:r>
          </w:p>
        </w:tc>
      </w:tr>
      <w:tr w:rsidR="006B173F" w:rsidRPr="006B173F" w14:paraId="388E11FA" w14:textId="77777777" w:rsidTr="006B173F">
        <w:trPr>
          <w:jc w:val="center"/>
        </w:trPr>
        <w:tc>
          <w:tcPr>
            <w:tcW w:w="8987" w:type="dxa"/>
            <w:gridSpan w:val="7"/>
            <w:tcBorders>
              <w:left w:val="nil"/>
              <w:bottom w:val="nil"/>
              <w:right w:val="nil"/>
            </w:tcBorders>
            <w:shd w:val="clear" w:color="auto" w:fill="auto"/>
          </w:tcPr>
          <w:p w14:paraId="4F84111B" w14:textId="77777777" w:rsidR="006B173F" w:rsidRPr="006B173F" w:rsidRDefault="006B173F" w:rsidP="006B173F">
            <w:pPr>
              <w:jc w:val="both"/>
              <w:rPr>
                <w:rFonts w:eastAsia="Times New Roman"/>
                <w:sz w:val="16"/>
                <w:szCs w:val="16"/>
              </w:rPr>
            </w:pPr>
            <w:r w:rsidRPr="006B173F">
              <w:rPr>
                <w:rFonts w:eastAsia="Times New Roman"/>
                <w:sz w:val="16"/>
                <w:szCs w:val="16"/>
              </w:rPr>
              <w:t>Nota: Las sumas parciales pueden no coincidir debido al redondeo.</w:t>
            </w:r>
          </w:p>
          <w:p w14:paraId="18911739" w14:textId="77777777" w:rsidR="006B173F" w:rsidRPr="006B173F" w:rsidRDefault="006B173F" w:rsidP="006B173F">
            <w:pPr>
              <w:jc w:val="both"/>
              <w:rPr>
                <w:rFonts w:eastAsia="Times New Roman"/>
                <w:sz w:val="16"/>
                <w:szCs w:val="16"/>
              </w:rPr>
            </w:pPr>
            <w:r w:rsidRPr="006B173F">
              <w:rPr>
                <w:rFonts w:eastAsia="Times New Roman"/>
                <w:sz w:val="16"/>
                <w:szCs w:val="16"/>
              </w:rPr>
              <w:t>* Cifras sujetas a revisiones por cambios y adecuaciones metodológicas.</w:t>
            </w:r>
          </w:p>
          <w:p w14:paraId="11349417" w14:textId="77777777" w:rsidR="006B173F" w:rsidRPr="006B173F" w:rsidRDefault="006B173F" w:rsidP="006B173F">
            <w:pPr>
              <w:jc w:val="both"/>
              <w:rPr>
                <w:rFonts w:eastAsia="Times New Roman"/>
                <w:sz w:val="16"/>
                <w:szCs w:val="16"/>
              </w:rPr>
            </w:pPr>
            <w:r w:rsidRPr="006B173F">
              <w:rPr>
                <w:rFonts w:eastAsia="Times New Roman"/>
                <w:sz w:val="16"/>
                <w:szCs w:val="16"/>
                <w:u w:val="single"/>
              </w:rPr>
              <w:t>p</w:t>
            </w:r>
            <w:r w:rsidRPr="006B173F">
              <w:rPr>
                <w:rFonts w:eastAsia="Times New Roman"/>
                <w:sz w:val="16"/>
                <w:szCs w:val="16"/>
              </w:rPr>
              <w:t>/ Cifras preliminares.</w:t>
            </w:r>
          </w:p>
          <w:p w14:paraId="2921FA8B" w14:textId="77777777" w:rsidR="006B173F" w:rsidRPr="006B173F" w:rsidRDefault="006B173F" w:rsidP="006B173F">
            <w:pPr>
              <w:jc w:val="both"/>
              <w:rPr>
                <w:rFonts w:eastAsia="Times New Roman"/>
                <w:sz w:val="16"/>
                <w:szCs w:val="16"/>
              </w:rPr>
            </w:pPr>
            <w:r w:rsidRPr="006B173F">
              <w:rPr>
                <w:rFonts w:eastAsia="Times New Roman"/>
                <w:sz w:val="16"/>
                <w:szCs w:val="16"/>
                <w:u w:val="single"/>
              </w:rPr>
              <w:t>1</w:t>
            </w:r>
            <w:r w:rsidRPr="006B173F">
              <w:rPr>
                <w:rFonts w:eastAsia="Times New Roman"/>
                <w:sz w:val="16"/>
                <w:szCs w:val="16"/>
              </w:rPr>
              <w:t>/ Incluye la deuda del Gobierno Federal, Organismos y Empresas y Banca de Desarrollo.</w:t>
            </w:r>
          </w:p>
          <w:p w14:paraId="17956537" w14:textId="77777777" w:rsidR="006B173F" w:rsidRPr="006B173F" w:rsidRDefault="006B173F" w:rsidP="006B173F">
            <w:pPr>
              <w:ind w:left="198" w:hanging="198"/>
              <w:jc w:val="both"/>
              <w:rPr>
                <w:rFonts w:eastAsia="Times New Roman"/>
                <w:sz w:val="16"/>
                <w:szCs w:val="16"/>
              </w:rPr>
            </w:pPr>
            <w:r w:rsidRPr="006B173F">
              <w:rPr>
                <w:rFonts w:eastAsia="Times New Roman"/>
                <w:sz w:val="16"/>
                <w:szCs w:val="16"/>
                <w:u w:val="single"/>
              </w:rPr>
              <w:t>2</w:t>
            </w:r>
            <w:r w:rsidRPr="006B173F">
              <w:rPr>
                <w:rFonts w:eastAsia="Times New Roman"/>
                <w:sz w:val="16"/>
                <w:szCs w:val="16"/>
              </w:rPr>
              <w:t>/ Integra el saldo neto denominado en moneda nacional de la Cuenta General de la Tesorería de la Federación, así como las disponibilidades de los Organismos y Empresas y de la Banca de Desarrollo.</w:t>
            </w:r>
          </w:p>
          <w:p w14:paraId="5958A3BB" w14:textId="77777777" w:rsidR="006B173F" w:rsidRPr="006B173F" w:rsidRDefault="006B173F" w:rsidP="006B173F">
            <w:pPr>
              <w:jc w:val="both"/>
              <w:rPr>
                <w:rFonts w:eastAsia="Times New Roman"/>
                <w:sz w:val="16"/>
                <w:szCs w:val="16"/>
              </w:rPr>
            </w:pPr>
            <w:r w:rsidRPr="006B173F">
              <w:rPr>
                <w:rFonts w:eastAsia="Times New Roman"/>
                <w:sz w:val="16"/>
                <w:szCs w:val="16"/>
              </w:rPr>
              <w:t xml:space="preserve">FUENTE: </w:t>
            </w:r>
            <w:r w:rsidRPr="006B173F">
              <w:rPr>
                <w:rFonts w:eastAsia="Times New Roman"/>
                <w:iCs/>
                <w:sz w:val="16"/>
                <w:szCs w:val="16"/>
              </w:rPr>
              <w:t>Dirección General Adjunta de Deuda Pública, UCP</w:t>
            </w:r>
            <w:r w:rsidRPr="006B173F">
              <w:rPr>
                <w:rFonts w:eastAsia="Times New Roman"/>
                <w:i/>
                <w:iCs/>
                <w:sz w:val="20"/>
                <w:szCs w:val="20"/>
              </w:rPr>
              <w:t>.</w:t>
            </w:r>
          </w:p>
        </w:tc>
      </w:tr>
    </w:tbl>
    <w:p w14:paraId="3D5483E1" w14:textId="77777777" w:rsidR="006B173F" w:rsidRPr="006B173F" w:rsidRDefault="006B173F" w:rsidP="006B173F">
      <w:pPr>
        <w:spacing w:after="360" w:line="360" w:lineRule="auto"/>
        <w:ind w:right="-159"/>
        <w:jc w:val="both"/>
        <w:rPr>
          <w:rFonts w:eastAsia="Calibri"/>
          <w:sz w:val="26"/>
          <w:szCs w:val="26"/>
          <w:lang w:eastAsia="en-US"/>
        </w:rPr>
      </w:pPr>
    </w:p>
    <w:p w14:paraId="6E542354"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Por su parte, el saldo de la deuda externa neta del sector público federal fue de 152 mil 573.3 millones de dólares, monto superior en 7.0 mil millones de dólares al registrado al cierre de 2014. Este resultado se explica por un endeudamiento neto de 11 mil 261.5 millones de dólares, por ajustes contables a la baja de 546 millones de dólares y por un incremento en las disponibilidades del sector público federal de 3 mil 800 millones de dólares.</w:t>
      </w:r>
    </w:p>
    <w:p w14:paraId="2CDC507E" w14:textId="77777777" w:rsidR="006B173F" w:rsidRPr="006B173F" w:rsidRDefault="006B173F" w:rsidP="006B173F">
      <w:pPr>
        <w:spacing w:after="360" w:line="360" w:lineRule="auto"/>
        <w:ind w:right="-159"/>
        <w:jc w:val="both"/>
        <w:rPr>
          <w:rFonts w:eastAsia="Calibri"/>
          <w:sz w:val="26"/>
          <w:szCs w:val="26"/>
          <w:lang w:eastAsia="en-US"/>
        </w:rPr>
      </w:pPr>
    </w:p>
    <w:p w14:paraId="1B08B8BC" w14:textId="77777777" w:rsidR="006B173F" w:rsidRPr="006B173F" w:rsidRDefault="006B173F" w:rsidP="006B173F">
      <w:pPr>
        <w:spacing w:after="360" w:line="360" w:lineRule="auto"/>
        <w:ind w:right="-159"/>
        <w:jc w:val="both"/>
        <w:rPr>
          <w:rFonts w:eastAsia="Calibri"/>
          <w:sz w:val="26"/>
          <w:szCs w:val="26"/>
          <w:lang w:eastAsia="en-US"/>
        </w:rPr>
      </w:pPr>
    </w:p>
    <w:p w14:paraId="38A3B84C" w14:textId="77777777" w:rsidR="006B173F" w:rsidRPr="006B173F" w:rsidRDefault="006B173F" w:rsidP="006B173F">
      <w:pPr>
        <w:spacing w:after="360" w:line="360" w:lineRule="auto"/>
        <w:ind w:right="-159"/>
        <w:jc w:val="both"/>
        <w:rPr>
          <w:rFonts w:eastAsia="Calibri"/>
          <w:sz w:val="26"/>
          <w:szCs w:val="26"/>
          <w:lang w:eastAsia="en-US"/>
        </w:rPr>
      </w:pP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5"/>
        <w:gridCol w:w="1080"/>
        <w:gridCol w:w="900"/>
        <w:gridCol w:w="900"/>
        <w:gridCol w:w="1080"/>
        <w:gridCol w:w="900"/>
        <w:gridCol w:w="1080"/>
      </w:tblGrid>
      <w:tr w:rsidR="006B173F" w:rsidRPr="006B173F" w14:paraId="303AB3E3" w14:textId="77777777" w:rsidTr="006B173F">
        <w:trPr>
          <w:jc w:val="center"/>
        </w:trPr>
        <w:tc>
          <w:tcPr>
            <w:tcW w:w="9525" w:type="dxa"/>
            <w:gridSpan w:val="7"/>
            <w:tcBorders>
              <w:top w:val="nil"/>
              <w:left w:val="nil"/>
              <w:bottom w:val="single" w:sz="4" w:space="0" w:color="auto"/>
              <w:right w:val="nil"/>
            </w:tcBorders>
            <w:shd w:val="clear" w:color="auto" w:fill="auto"/>
            <w:vAlign w:val="center"/>
          </w:tcPr>
          <w:p w14:paraId="7BE217B1" w14:textId="77777777" w:rsidR="006B173F" w:rsidRPr="006B173F" w:rsidRDefault="006B173F" w:rsidP="006B173F">
            <w:pPr>
              <w:jc w:val="center"/>
              <w:rPr>
                <w:rFonts w:eastAsia="Times New Roman"/>
                <w:b/>
                <w:sz w:val="18"/>
                <w:szCs w:val="18"/>
              </w:rPr>
            </w:pPr>
            <w:r w:rsidRPr="006B173F">
              <w:rPr>
                <w:rFonts w:eastAsia="Times New Roman"/>
                <w:b/>
                <w:sz w:val="18"/>
                <w:szCs w:val="18"/>
              </w:rPr>
              <w:lastRenderedPageBreak/>
              <w:t xml:space="preserve">DEUDA EXTERNA DEL SECTOR PÚBLICO FEDERAL, FEBRERO </w:t>
            </w:r>
            <w:r w:rsidRPr="006B173F">
              <w:rPr>
                <w:rFonts w:eastAsia="Times New Roman"/>
                <w:b/>
                <w:sz w:val="18"/>
                <w:szCs w:val="18"/>
                <w:u w:val="single"/>
                <w:vertAlign w:val="superscript"/>
              </w:rPr>
              <w:t>*</w:t>
            </w:r>
            <w:r w:rsidRPr="006B173F">
              <w:rPr>
                <w:rFonts w:eastAsia="Times New Roman"/>
                <w:b/>
                <w:sz w:val="18"/>
                <w:szCs w:val="18"/>
                <w:vertAlign w:val="superscript"/>
              </w:rPr>
              <w:t xml:space="preserve">/ </w:t>
            </w:r>
            <w:r w:rsidRPr="006B173F">
              <w:rPr>
                <w:rFonts w:eastAsia="Times New Roman"/>
                <w:b/>
                <w:sz w:val="18"/>
                <w:szCs w:val="18"/>
                <w:u w:val="single"/>
                <w:vertAlign w:val="superscript"/>
              </w:rPr>
              <w:t>1</w:t>
            </w:r>
            <w:r w:rsidRPr="006B173F">
              <w:rPr>
                <w:rFonts w:eastAsia="Times New Roman"/>
                <w:b/>
                <w:sz w:val="18"/>
                <w:szCs w:val="18"/>
                <w:vertAlign w:val="superscript"/>
              </w:rPr>
              <w:t>/</w:t>
            </w:r>
          </w:p>
          <w:p w14:paraId="2BB3EA92" w14:textId="77777777" w:rsidR="006B173F" w:rsidRPr="006B173F" w:rsidRDefault="006B173F" w:rsidP="006B173F">
            <w:pPr>
              <w:jc w:val="center"/>
              <w:rPr>
                <w:rFonts w:eastAsia="Times New Roman"/>
                <w:sz w:val="18"/>
                <w:szCs w:val="18"/>
              </w:rPr>
            </w:pPr>
            <w:r w:rsidRPr="006B173F">
              <w:rPr>
                <w:rFonts w:eastAsia="Times New Roman"/>
                <w:b/>
                <w:sz w:val="18"/>
                <w:szCs w:val="18"/>
              </w:rPr>
              <w:t>-Millones de dólares-</w:t>
            </w:r>
          </w:p>
        </w:tc>
      </w:tr>
      <w:tr w:rsidR="006B173F" w:rsidRPr="006B173F" w14:paraId="2B554D7E" w14:textId="77777777" w:rsidTr="006B173F">
        <w:trPr>
          <w:jc w:val="center"/>
        </w:trPr>
        <w:tc>
          <w:tcPr>
            <w:tcW w:w="3585" w:type="dxa"/>
            <w:vMerge w:val="restart"/>
            <w:tcBorders>
              <w:bottom w:val="single" w:sz="4" w:space="0" w:color="auto"/>
              <w:right w:val="single" w:sz="4" w:space="0" w:color="auto"/>
            </w:tcBorders>
            <w:shd w:val="clear" w:color="auto" w:fill="auto"/>
            <w:vAlign w:val="center"/>
          </w:tcPr>
          <w:p w14:paraId="5713E4EE" w14:textId="77777777" w:rsidR="006B173F" w:rsidRPr="006B173F" w:rsidRDefault="006B173F" w:rsidP="006B173F">
            <w:pPr>
              <w:jc w:val="center"/>
              <w:rPr>
                <w:rFonts w:eastAsia="Times New Roman"/>
                <w:b/>
                <w:sz w:val="16"/>
                <w:szCs w:val="16"/>
              </w:rPr>
            </w:pPr>
            <w:r w:rsidRPr="006B173F">
              <w:rPr>
                <w:rFonts w:eastAsia="Times New Roman"/>
                <w:b/>
                <w:sz w:val="16"/>
                <w:szCs w:val="16"/>
              </w:rPr>
              <w:t>Concepto</w:t>
            </w:r>
          </w:p>
        </w:tc>
        <w:tc>
          <w:tcPr>
            <w:tcW w:w="1080" w:type="dxa"/>
            <w:vMerge w:val="restart"/>
            <w:tcBorders>
              <w:left w:val="single" w:sz="4" w:space="0" w:color="auto"/>
              <w:bottom w:val="single" w:sz="4" w:space="0" w:color="auto"/>
              <w:right w:val="single" w:sz="4" w:space="0" w:color="auto"/>
            </w:tcBorders>
            <w:shd w:val="clear" w:color="auto" w:fill="auto"/>
            <w:vAlign w:val="center"/>
          </w:tcPr>
          <w:p w14:paraId="314253A8" w14:textId="77777777" w:rsidR="006B173F" w:rsidRPr="006B173F" w:rsidRDefault="006B173F" w:rsidP="006B173F">
            <w:pPr>
              <w:jc w:val="center"/>
              <w:rPr>
                <w:rFonts w:eastAsia="Times New Roman"/>
                <w:b/>
                <w:sz w:val="16"/>
                <w:szCs w:val="16"/>
              </w:rPr>
            </w:pPr>
            <w:r w:rsidRPr="006B173F">
              <w:rPr>
                <w:rFonts w:eastAsia="Times New Roman"/>
                <w:b/>
                <w:sz w:val="16"/>
                <w:szCs w:val="16"/>
              </w:rPr>
              <w:t>Saldo a diciembre</w:t>
            </w:r>
          </w:p>
          <w:p w14:paraId="58901BA9" w14:textId="77777777" w:rsidR="006B173F" w:rsidRPr="006B173F" w:rsidRDefault="006B173F" w:rsidP="006B173F">
            <w:pPr>
              <w:jc w:val="center"/>
              <w:rPr>
                <w:rFonts w:eastAsia="Times New Roman"/>
                <w:b/>
                <w:sz w:val="16"/>
                <w:szCs w:val="16"/>
              </w:rPr>
            </w:pPr>
            <w:r w:rsidRPr="006B173F">
              <w:rPr>
                <w:rFonts w:eastAsia="Times New Roman"/>
                <w:b/>
                <w:sz w:val="16"/>
                <w:szCs w:val="16"/>
              </w:rPr>
              <w:t xml:space="preserve">de </w:t>
            </w:r>
            <w:r w:rsidRPr="006B173F">
              <w:rPr>
                <w:rFonts w:eastAsia="Times New Roman"/>
                <w:b/>
                <w:iCs/>
                <w:sz w:val="16"/>
                <w:szCs w:val="16"/>
              </w:rPr>
              <w:t>2014</w:t>
            </w:r>
            <w:r w:rsidRPr="006B173F">
              <w:rPr>
                <w:rFonts w:eastAsia="Times New Roman"/>
                <w:b/>
                <w:iCs/>
                <w:sz w:val="16"/>
                <w:szCs w:val="16"/>
                <w:u w:val="single"/>
                <w:vertAlign w:val="superscript"/>
              </w:rPr>
              <w:t>p</w:t>
            </w:r>
            <w:r w:rsidRPr="006B173F">
              <w:rPr>
                <w:rFonts w:eastAsia="Times New Roman"/>
                <w:b/>
                <w:iCs/>
                <w:sz w:val="16"/>
                <w:szCs w:val="16"/>
                <w:vertAlign w:val="superscript"/>
              </w:rPr>
              <w:t>/</w:t>
            </w:r>
          </w:p>
        </w:tc>
        <w:tc>
          <w:tcPr>
            <w:tcW w:w="2880" w:type="dxa"/>
            <w:gridSpan w:val="3"/>
            <w:tcBorders>
              <w:left w:val="single" w:sz="4" w:space="0" w:color="auto"/>
              <w:bottom w:val="single" w:sz="4" w:space="0" w:color="auto"/>
              <w:right w:val="single" w:sz="4" w:space="0" w:color="auto"/>
            </w:tcBorders>
            <w:shd w:val="clear" w:color="auto" w:fill="auto"/>
            <w:vAlign w:val="center"/>
          </w:tcPr>
          <w:p w14:paraId="2B82151C" w14:textId="77777777" w:rsidR="006B173F" w:rsidRPr="006B173F" w:rsidRDefault="006B173F" w:rsidP="006B173F">
            <w:pPr>
              <w:jc w:val="center"/>
              <w:rPr>
                <w:rFonts w:eastAsia="Times New Roman"/>
                <w:b/>
                <w:sz w:val="16"/>
                <w:szCs w:val="16"/>
              </w:rPr>
            </w:pPr>
            <w:r w:rsidRPr="006B173F">
              <w:rPr>
                <w:rFonts w:eastAsia="Times New Roman"/>
                <w:b/>
                <w:sz w:val="16"/>
                <w:szCs w:val="16"/>
              </w:rPr>
              <w:t>Endeudamiento</w:t>
            </w:r>
          </w:p>
        </w:tc>
        <w:tc>
          <w:tcPr>
            <w:tcW w:w="900" w:type="dxa"/>
            <w:vMerge w:val="restart"/>
            <w:tcBorders>
              <w:left w:val="single" w:sz="4" w:space="0" w:color="auto"/>
              <w:bottom w:val="single" w:sz="4" w:space="0" w:color="auto"/>
              <w:right w:val="single" w:sz="4" w:space="0" w:color="auto"/>
            </w:tcBorders>
            <w:shd w:val="clear" w:color="auto" w:fill="auto"/>
            <w:vAlign w:val="center"/>
          </w:tcPr>
          <w:p w14:paraId="3870B089" w14:textId="77777777" w:rsidR="006B173F" w:rsidRPr="006B173F" w:rsidRDefault="006B173F" w:rsidP="006B173F">
            <w:pPr>
              <w:jc w:val="center"/>
              <w:rPr>
                <w:rFonts w:eastAsia="Times New Roman"/>
                <w:b/>
                <w:sz w:val="16"/>
                <w:szCs w:val="16"/>
              </w:rPr>
            </w:pPr>
            <w:r w:rsidRPr="006B173F">
              <w:rPr>
                <w:rFonts w:eastAsia="Times New Roman"/>
                <w:b/>
                <w:sz w:val="16"/>
                <w:szCs w:val="16"/>
              </w:rPr>
              <w:t>Ajustes</w:t>
            </w:r>
          </w:p>
        </w:tc>
        <w:tc>
          <w:tcPr>
            <w:tcW w:w="1080" w:type="dxa"/>
            <w:vMerge w:val="restart"/>
            <w:tcBorders>
              <w:left w:val="single" w:sz="4" w:space="0" w:color="auto"/>
              <w:bottom w:val="single" w:sz="4" w:space="0" w:color="auto"/>
            </w:tcBorders>
            <w:shd w:val="clear" w:color="auto" w:fill="auto"/>
            <w:vAlign w:val="center"/>
          </w:tcPr>
          <w:p w14:paraId="563137AF" w14:textId="77777777" w:rsidR="006B173F" w:rsidRPr="006B173F" w:rsidRDefault="006B173F" w:rsidP="006B173F">
            <w:pPr>
              <w:jc w:val="center"/>
              <w:rPr>
                <w:rFonts w:eastAsia="Times New Roman"/>
                <w:b/>
                <w:sz w:val="16"/>
                <w:szCs w:val="16"/>
              </w:rPr>
            </w:pPr>
            <w:r w:rsidRPr="006B173F">
              <w:rPr>
                <w:rFonts w:eastAsia="Times New Roman"/>
                <w:b/>
                <w:sz w:val="16"/>
                <w:szCs w:val="16"/>
              </w:rPr>
              <w:t>Saldo a</w:t>
            </w:r>
          </w:p>
          <w:p w14:paraId="39320C17" w14:textId="77777777" w:rsidR="006B173F" w:rsidRPr="006B173F" w:rsidRDefault="006B173F" w:rsidP="006B173F">
            <w:pPr>
              <w:jc w:val="center"/>
              <w:rPr>
                <w:rFonts w:eastAsia="Times New Roman"/>
                <w:b/>
                <w:sz w:val="16"/>
                <w:szCs w:val="16"/>
              </w:rPr>
            </w:pPr>
            <w:r w:rsidRPr="006B173F">
              <w:rPr>
                <w:rFonts w:eastAsia="Times New Roman"/>
                <w:b/>
                <w:sz w:val="16"/>
                <w:szCs w:val="16"/>
              </w:rPr>
              <w:t>febrero</w:t>
            </w:r>
          </w:p>
          <w:p w14:paraId="5006AE30" w14:textId="77777777" w:rsidR="006B173F" w:rsidRPr="006B173F" w:rsidRDefault="006B173F" w:rsidP="006B173F">
            <w:pPr>
              <w:jc w:val="center"/>
              <w:rPr>
                <w:rFonts w:eastAsia="Times New Roman"/>
                <w:b/>
                <w:sz w:val="16"/>
                <w:szCs w:val="16"/>
              </w:rPr>
            </w:pPr>
            <w:r w:rsidRPr="006B173F">
              <w:rPr>
                <w:rFonts w:eastAsia="Times New Roman"/>
                <w:b/>
                <w:sz w:val="16"/>
                <w:szCs w:val="16"/>
              </w:rPr>
              <w:t>de 2015</w:t>
            </w:r>
            <w:r w:rsidRPr="006B173F">
              <w:rPr>
                <w:rFonts w:eastAsia="Times New Roman"/>
                <w:b/>
                <w:sz w:val="16"/>
                <w:szCs w:val="16"/>
                <w:u w:val="single"/>
                <w:vertAlign w:val="superscript"/>
              </w:rPr>
              <w:t>p</w:t>
            </w:r>
            <w:r w:rsidRPr="006B173F">
              <w:rPr>
                <w:rFonts w:eastAsia="Times New Roman"/>
                <w:b/>
                <w:sz w:val="16"/>
                <w:szCs w:val="16"/>
                <w:vertAlign w:val="superscript"/>
              </w:rPr>
              <w:t>/</w:t>
            </w:r>
          </w:p>
        </w:tc>
      </w:tr>
      <w:tr w:rsidR="006B173F" w:rsidRPr="006B173F" w14:paraId="5E745167" w14:textId="77777777" w:rsidTr="006B173F">
        <w:trPr>
          <w:jc w:val="center"/>
        </w:trPr>
        <w:tc>
          <w:tcPr>
            <w:tcW w:w="3585" w:type="dxa"/>
            <w:vMerge/>
            <w:tcBorders>
              <w:top w:val="single" w:sz="4" w:space="0" w:color="auto"/>
              <w:bottom w:val="single" w:sz="4" w:space="0" w:color="auto"/>
              <w:right w:val="single" w:sz="4" w:space="0" w:color="auto"/>
            </w:tcBorders>
            <w:shd w:val="clear" w:color="auto" w:fill="auto"/>
            <w:vAlign w:val="center"/>
          </w:tcPr>
          <w:p w14:paraId="028A9D64" w14:textId="77777777" w:rsidR="006B173F" w:rsidRPr="006B173F" w:rsidRDefault="006B173F" w:rsidP="006B173F">
            <w:pPr>
              <w:jc w:val="center"/>
              <w:rPr>
                <w:rFonts w:eastAsia="Times New Roman"/>
                <w:b/>
                <w:sz w:val="16"/>
                <w:szCs w:val="16"/>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C4A4CD" w14:textId="77777777" w:rsidR="006B173F" w:rsidRPr="006B173F" w:rsidRDefault="006B173F" w:rsidP="006B173F">
            <w:pPr>
              <w:jc w:val="center"/>
              <w:rPr>
                <w:rFonts w:eastAsia="Times New Roman"/>
                <w:b/>
                <w:sz w:val="16"/>
                <w:szCs w:val="16"/>
              </w:rPr>
            </w:pP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04F30B0B" w14:textId="77777777" w:rsidR="006B173F" w:rsidRPr="006B173F" w:rsidRDefault="006B173F" w:rsidP="006B173F">
            <w:pPr>
              <w:ind w:right="-57"/>
              <w:jc w:val="center"/>
              <w:rPr>
                <w:rFonts w:eastAsia="Times New Roman"/>
                <w:b/>
                <w:sz w:val="16"/>
                <w:szCs w:val="16"/>
              </w:rPr>
            </w:pPr>
            <w:r w:rsidRPr="006B173F">
              <w:rPr>
                <w:rFonts w:eastAsia="Times New Roman"/>
                <w:b/>
                <w:sz w:val="16"/>
                <w:szCs w:val="16"/>
              </w:rPr>
              <w:t>Disp.</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14:paraId="7AFB62CF" w14:textId="77777777" w:rsidR="006B173F" w:rsidRPr="006B173F" w:rsidRDefault="006B173F" w:rsidP="006B173F">
            <w:pPr>
              <w:jc w:val="center"/>
              <w:rPr>
                <w:rFonts w:eastAsia="Times New Roman"/>
                <w:b/>
                <w:sz w:val="16"/>
                <w:szCs w:val="16"/>
              </w:rPr>
            </w:pPr>
            <w:r w:rsidRPr="006B173F">
              <w:rPr>
                <w:rFonts w:eastAsia="Times New Roman"/>
                <w:b/>
                <w:sz w:val="16"/>
                <w:szCs w:val="16"/>
              </w:rPr>
              <w:t>Amort.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90A99C9" w14:textId="77777777" w:rsidR="006B173F" w:rsidRPr="006B173F" w:rsidRDefault="006B173F" w:rsidP="006B173F">
            <w:pPr>
              <w:jc w:val="center"/>
              <w:rPr>
                <w:rFonts w:eastAsia="Times New Roman"/>
                <w:b/>
                <w:sz w:val="16"/>
                <w:szCs w:val="16"/>
              </w:rPr>
            </w:pPr>
            <w:r w:rsidRPr="006B173F">
              <w:rPr>
                <w:rFonts w:eastAsia="Times New Roman"/>
                <w:b/>
                <w:sz w:val="16"/>
                <w:szCs w:val="16"/>
              </w:rPr>
              <w:t>Neto</w:t>
            </w: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BA6DCA" w14:textId="77777777" w:rsidR="006B173F" w:rsidRPr="006B173F" w:rsidRDefault="006B173F" w:rsidP="006B173F">
            <w:pPr>
              <w:jc w:val="center"/>
              <w:rPr>
                <w:rFonts w:eastAsia="Times New Roman"/>
                <w:b/>
                <w:sz w:val="16"/>
                <w:szCs w:val="16"/>
              </w:rPr>
            </w:pPr>
          </w:p>
        </w:tc>
        <w:tc>
          <w:tcPr>
            <w:tcW w:w="1080" w:type="dxa"/>
            <w:vMerge/>
            <w:tcBorders>
              <w:top w:val="single" w:sz="4" w:space="0" w:color="auto"/>
              <w:left w:val="single" w:sz="4" w:space="0" w:color="auto"/>
              <w:bottom w:val="single" w:sz="4" w:space="0" w:color="auto"/>
            </w:tcBorders>
            <w:shd w:val="clear" w:color="auto" w:fill="auto"/>
            <w:vAlign w:val="center"/>
          </w:tcPr>
          <w:p w14:paraId="7912B9F1" w14:textId="77777777" w:rsidR="006B173F" w:rsidRPr="006B173F" w:rsidRDefault="006B173F" w:rsidP="006B173F">
            <w:pPr>
              <w:jc w:val="center"/>
              <w:rPr>
                <w:rFonts w:eastAsia="Times New Roman"/>
                <w:b/>
                <w:sz w:val="16"/>
                <w:szCs w:val="16"/>
              </w:rPr>
            </w:pPr>
          </w:p>
        </w:tc>
      </w:tr>
      <w:tr w:rsidR="006B173F" w:rsidRPr="006B173F" w14:paraId="721A08AB" w14:textId="77777777" w:rsidTr="006B173F">
        <w:trPr>
          <w:jc w:val="center"/>
        </w:trPr>
        <w:tc>
          <w:tcPr>
            <w:tcW w:w="3585" w:type="dxa"/>
            <w:tcBorders>
              <w:top w:val="single" w:sz="4" w:space="0" w:color="auto"/>
              <w:bottom w:val="nil"/>
              <w:right w:val="single" w:sz="4" w:space="0" w:color="auto"/>
            </w:tcBorders>
            <w:shd w:val="clear" w:color="auto" w:fill="auto"/>
          </w:tcPr>
          <w:p w14:paraId="2F63CA30" w14:textId="77777777" w:rsidR="006B173F" w:rsidRPr="006B173F" w:rsidRDefault="006B173F" w:rsidP="006B173F">
            <w:pPr>
              <w:rPr>
                <w:rFonts w:eastAsia="Times New Roman"/>
                <w:b/>
                <w:sz w:val="16"/>
                <w:szCs w:val="16"/>
              </w:rPr>
            </w:pPr>
            <w:r w:rsidRPr="006B173F">
              <w:rPr>
                <w:rFonts w:eastAsia="Times New Roman"/>
                <w:b/>
                <w:sz w:val="16"/>
                <w:szCs w:val="16"/>
              </w:rPr>
              <w:t>1. Deuda Neta (3-2)</w:t>
            </w:r>
          </w:p>
        </w:tc>
        <w:tc>
          <w:tcPr>
            <w:tcW w:w="1080" w:type="dxa"/>
            <w:tcBorders>
              <w:top w:val="single" w:sz="4" w:space="0" w:color="auto"/>
              <w:left w:val="single" w:sz="4" w:space="0" w:color="auto"/>
              <w:bottom w:val="nil"/>
              <w:right w:val="single" w:sz="4" w:space="0" w:color="auto"/>
            </w:tcBorders>
            <w:shd w:val="clear" w:color="auto" w:fill="auto"/>
          </w:tcPr>
          <w:p w14:paraId="22507140" w14:textId="77777777" w:rsidR="006B173F" w:rsidRPr="006B173F" w:rsidRDefault="006B173F" w:rsidP="006B173F">
            <w:pPr>
              <w:ind w:right="113"/>
              <w:jc w:val="right"/>
              <w:rPr>
                <w:b/>
                <w:sz w:val="16"/>
                <w:szCs w:val="16"/>
              </w:rPr>
            </w:pPr>
            <w:r w:rsidRPr="006B173F">
              <w:rPr>
                <w:b/>
                <w:sz w:val="16"/>
                <w:szCs w:val="16"/>
              </w:rPr>
              <w:t>145 617.4</w:t>
            </w:r>
          </w:p>
        </w:tc>
        <w:tc>
          <w:tcPr>
            <w:tcW w:w="900" w:type="dxa"/>
            <w:tcBorders>
              <w:top w:val="single" w:sz="4" w:space="0" w:color="auto"/>
              <w:left w:val="single" w:sz="4" w:space="0" w:color="auto"/>
              <w:bottom w:val="nil"/>
              <w:right w:val="single" w:sz="4" w:space="0" w:color="auto"/>
            </w:tcBorders>
            <w:shd w:val="clear" w:color="auto" w:fill="auto"/>
          </w:tcPr>
          <w:p w14:paraId="0315679D" w14:textId="77777777" w:rsidR="006B173F" w:rsidRPr="006B173F" w:rsidRDefault="006B173F" w:rsidP="006B173F">
            <w:pPr>
              <w:jc w:val="right"/>
              <w:rPr>
                <w:b/>
                <w:sz w:val="16"/>
                <w:szCs w:val="16"/>
              </w:rPr>
            </w:pPr>
          </w:p>
        </w:tc>
        <w:tc>
          <w:tcPr>
            <w:tcW w:w="900" w:type="dxa"/>
            <w:tcBorders>
              <w:top w:val="single" w:sz="4" w:space="0" w:color="auto"/>
              <w:left w:val="single" w:sz="4" w:space="0" w:color="auto"/>
              <w:bottom w:val="nil"/>
              <w:right w:val="single" w:sz="4" w:space="0" w:color="auto"/>
            </w:tcBorders>
            <w:shd w:val="clear" w:color="auto" w:fill="auto"/>
          </w:tcPr>
          <w:p w14:paraId="6734B0D3" w14:textId="77777777" w:rsidR="006B173F" w:rsidRPr="006B173F" w:rsidRDefault="006B173F" w:rsidP="006B173F">
            <w:pPr>
              <w:jc w:val="right"/>
              <w:rPr>
                <w:b/>
                <w:sz w:val="16"/>
                <w:szCs w:val="16"/>
              </w:rPr>
            </w:pPr>
          </w:p>
        </w:tc>
        <w:tc>
          <w:tcPr>
            <w:tcW w:w="1080" w:type="dxa"/>
            <w:tcBorders>
              <w:top w:val="single" w:sz="4" w:space="0" w:color="auto"/>
              <w:left w:val="single" w:sz="4" w:space="0" w:color="auto"/>
              <w:bottom w:val="nil"/>
              <w:right w:val="single" w:sz="4" w:space="0" w:color="auto"/>
            </w:tcBorders>
            <w:shd w:val="clear" w:color="auto" w:fill="auto"/>
          </w:tcPr>
          <w:p w14:paraId="6B7070BC" w14:textId="77777777" w:rsidR="006B173F" w:rsidRPr="006B173F" w:rsidRDefault="006B173F" w:rsidP="006B173F">
            <w:pPr>
              <w:ind w:right="170"/>
              <w:jc w:val="right"/>
              <w:rPr>
                <w:b/>
                <w:sz w:val="16"/>
                <w:szCs w:val="16"/>
              </w:rPr>
            </w:pPr>
          </w:p>
        </w:tc>
        <w:tc>
          <w:tcPr>
            <w:tcW w:w="900" w:type="dxa"/>
            <w:tcBorders>
              <w:top w:val="single" w:sz="4" w:space="0" w:color="auto"/>
              <w:left w:val="single" w:sz="4" w:space="0" w:color="auto"/>
              <w:bottom w:val="nil"/>
              <w:right w:val="single" w:sz="4" w:space="0" w:color="auto"/>
            </w:tcBorders>
            <w:shd w:val="clear" w:color="auto" w:fill="auto"/>
          </w:tcPr>
          <w:p w14:paraId="53A1C439" w14:textId="77777777" w:rsidR="006B173F" w:rsidRPr="006B173F" w:rsidRDefault="006B173F" w:rsidP="006B173F">
            <w:pPr>
              <w:ind w:right="113"/>
              <w:jc w:val="right"/>
              <w:rPr>
                <w:b/>
                <w:sz w:val="16"/>
                <w:szCs w:val="16"/>
              </w:rPr>
            </w:pPr>
          </w:p>
        </w:tc>
        <w:tc>
          <w:tcPr>
            <w:tcW w:w="1080" w:type="dxa"/>
            <w:tcBorders>
              <w:top w:val="single" w:sz="4" w:space="0" w:color="auto"/>
              <w:left w:val="single" w:sz="4" w:space="0" w:color="auto"/>
              <w:bottom w:val="nil"/>
            </w:tcBorders>
            <w:shd w:val="clear" w:color="auto" w:fill="auto"/>
          </w:tcPr>
          <w:p w14:paraId="7FF19625" w14:textId="77777777" w:rsidR="006B173F" w:rsidRPr="006B173F" w:rsidRDefault="006B173F" w:rsidP="006B173F">
            <w:pPr>
              <w:ind w:right="113"/>
              <w:jc w:val="right"/>
              <w:rPr>
                <w:b/>
                <w:sz w:val="16"/>
                <w:szCs w:val="16"/>
              </w:rPr>
            </w:pPr>
            <w:r w:rsidRPr="006B173F">
              <w:rPr>
                <w:b/>
                <w:sz w:val="16"/>
                <w:szCs w:val="16"/>
              </w:rPr>
              <w:t>152 573.3</w:t>
            </w:r>
          </w:p>
        </w:tc>
      </w:tr>
      <w:tr w:rsidR="006B173F" w:rsidRPr="006B173F" w14:paraId="216E961A" w14:textId="77777777" w:rsidTr="006B173F">
        <w:trPr>
          <w:jc w:val="center"/>
        </w:trPr>
        <w:tc>
          <w:tcPr>
            <w:tcW w:w="3585" w:type="dxa"/>
            <w:tcBorders>
              <w:top w:val="nil"/>
              <w:bottom w:val="nil"/>
              <w:right w:val="single" w:sz="4" w:space="0" w:color="auto"/>
            </w:tcBorders>
            <w:shd w:val="clear" w:color="auto" w:fill="auto"/>
          </w:tcPr>
          <w:p w14:paraId="6BCB7271" w14:textId="77777777" w:rsidR="006B173F" w:rsidRPr="006B173F" w:rsidRDefault="006B173F" w:rsidP="006B173F">
            <w:pPr>
              <w:rPr>
                <w:rFonts w:eastAsia="Times New Roman"/>
                <w:sz w:val="16"/>
                <w:szCs w:val="16"/>
              </w:rPr>
            </w:pPr>
            <w:r w:rsidRPr="006B173F">
              <w:rPr>
                <w:rFonts w:eastAsia="Times New Roman"/>
                <w:sz w:val="16"/>
                <w:szCs w:val="16"/>
              </w:rPr>
              <w:t>2. Activos financieros en moneda extranjera</w:t>
            </w:r>
            <w:r w:rsidRPr="006B173F">
              <w:rPr>
                <w:rFonts w:eastAsia="Times New Roman"/>
                <w:sz w:val="16"/>
                <w:szCs w:val="16"/>
                <w:u w:val="single"/>
                <w:vertAlign w:val="superscript"/>
              </w:rPr>
              <w:t>2</w:t>
            </w:r>
            <w:r w:rsidRPr="006B173F">
              <w:rPr>
                <w:rFonts w:eastAsia="Times New Roman"/>
                <w:sz w:val="16"/>
                <w:szCs w:val="16"/>
                <w:vertAlign w:val="superscript"/>
              </w:rPr>
              <w:t>/</w:t>
            </w:r>
          </w:p>
        </w:tc>
        <w:tc>
          <w:tcPr>
            <w:tcW w:w="1080" w:type="dxa"/>
            <w:tcBorders>
              <w:top w:val="nil"/>
              <w:left w:val="single" w:sz="4" w:space="0" w:color="auto"/>
              <w:bottom w:val="nil"/>
              <w:right w:val="single" w:sz="4" w:space="0" w:color="auto"/>
            </w:tcBorders>
            <w:shd w:val="clear" w:color="auto" w:fill="auto"/>
          </w:tcPr>
          <w:p w14:paraId="76F24FA9" w14:textId="77777777" w:rsidR="006B173F" w:rsidRPr="006B173F" w:rsidRDefault="006B173F" w:rsidP="006B173F">
            <w:pPr>
              <w:ind w:right="113"/>
              <w:jc w:val="right"/>
              <w:rPr>
                <w:sz w:val="16"/>
                <w:szCs w:val="16"/>
              </w:rPr>
            </w:pPr>
            <w:r w:rsidRPr="006B173F">
              <w:rPr>
                <w:sz w:val="16"/>
                <w:szCs w:val="16"/>
              </w:rPr>
              <w:t>2 048.4</w:t>
            </w:r>
          </w:p>
        </w:tc>
        <w:tc>
          <w:tcPr>
            <w:tcW w:w="900" w:type="dxa"/>
            <w:tcBorders>
              <w:top w:val="nil"/>
              <w:left w:val="single" w:sz="4" w:space="0" w:color="auto"/>
              <w:bottom w:val="nil"/>
              <w:right w:val="single" w:sz="4" w:space="0" w:color="auto"/>
            </w:tcBorders>
            <w:shd w:val="clear" w:color="auto" w:fill="auto"/>
          </w:tcPr>
          <w:p w14:paraId="48E6F4EA" w14:textId="77777777" w:rsidR="006B173F" w:rsidRPr="006B173F" w:rsidRDefault="006B173F" w:rsidP="006B173F">
            <w:pPr>
              <w:jc w:val="right"/>
              <w:rPr>
                <w:sz w:val="16"/>
                <w:szCs w:val="16"/>
              </w:rPr>
            </w:pPr>
          </w:p>
        </w:tc>
        <w:tc>
          <w:tcPr>
            <w:tcW w:w="900" w:type="dxa"/>
            <w:tcBorders>
              <w:top w:val="nil"/>
              <w:left w:val="single" w:sz="4" w:space="0" w:color="auto"/>
              <w:bottom w:val="nil"/>
              <w:right w:val="single" w:sz="4" w:space="0" w:color="auto"/>
            </w:tcBorders>
            <w:shd w:val="clear" w:color="auto" w:fill="auto"/>
          </w:tcPr>
          <w:p w14:paraId="5F4E8BD9" w14:textId="77777777" w:rsidR="006B173F" w:rsidRPr="006B173F" w:rsidRDefault="006B173F" w:rsidP="006B173F">
            <w:pPr>
              <w:jc w:val="right"/>
              <w:rPr>
                <w:sz w:val="16"/>
                <w:szCs w:val="16"/>
              </w:rPr>
            </w:pPr>
          </w:p>
        </w:tc>
        <w:tc>
          <w:tcPr>
            <w:tcW w:w="1080" w:type="dxa"/>
            <w:tcBorders>
              <w:top w:val="nil"/>
              <w:left w:val="single" w:sz="4" w:space="0" w:color="auto"/>
              <w:bottom w:val="nil"/>
              <w:right w:val="single" w:sz="4" w:space="0" w:color="auto"/>
            </w:tcBorders>
            <w:shd w:val="clear" w:color="auto" w:fill="auto"/>
          </w:tcPr>
          <w:p w14:paraId="6357F1AD" w14:textId="77777777" w:rsidR="006B173F" w:rsidRPr="006B173F" w:rsidRDefault="006B173F" w:rsidP="006B173F">
            <w:pPr>
              <w:ind w:right="170"/>
              <w:jc w:val="right"/>
              <w:rPr>
                <w:sz w:val="16"/>
                <w:szCs w:val="16"/>
              </w:rPr>
            </w:pPr>
          </w:p>
        </w:tc>
        <w:tc>
          <w:tcPr>
            <w:tcW w:w="900" w:type="dxa"/>
            <w:tcBorders>
              <w:top w:val="nil"/>
              <w:left w:val="single" w:sz="4" w:space="0" w:color="auto"/>
              <w:bottom w:val="nil"/>
              <w:right w:val="single" w:sz="4" w:space="0" w:color="auto"/>
            </w:tcBorders>
            <w:shd w:val="clear" w:color="auto" w:fill="auto"/>
          </w:tcPr>
          <w:p w14:paraId="3FDF5EA0" w14:textId="77777777" w:rsidR="006B173F" w:rsidRPr="006B173F" w:rsidRDefault="006B173F" w:rsidP="006B173F">
            <w:pPr>
              <w:ind w:right="113"/>
              <w:jc w:val="right"/>
              <w:rPr>
                <w:sz w:val="16"/>
                <w:szCs w:val="16"/>
              </w:rPr>
            </w:pPr>
          </w:p>
        </w:tc>
        <w:tc>
          <w:tcPr>
            <w:tcW w:w="1080" w:type="dxa"/>
            <w:tcBorders>
              <w:top w:val="nil"/>
              <w:left w:val="single" w:sz="4" w:space="0" w:color="auto"/>
              <w:bottom w:val="nil"/>
            </w:tcBorders>
            <w:shd w:val="clear" w:color="auto" w:fill="auto"/>
          </w:tcPr>
          <w:p w14:paraId="773E05BA" w14:textId="77777777" w:rsidR="006B173F" w:rsidRPr="006B173F" w:rsidRDefault="006B173F" w:rsidP="006B173F">
            <w:pPr>
              <w:ind w:right="113"/>
              <w:jc w:val="right"/>
              <w:rPr>
                <w:sz w:val="16"/>
                <w:szCs w:val="16"/>
              </w:rPr>
            </w:pPr>
            <w:r w:rsidRPr="006B173F">
              <w:rPr>
                <w:sz w:val="16"/>
                <w:szCs w:val="16"/>
              </w:rPr>
              <w:t>5 808.0</w:t>
            </w:r>
          </w:p>
        </w:tc>
      </w:tr>
      <w:tr w:rsidR="006B173F" w:rsidRPr="006B173F" w14:paraId="32851DD8" w14:textId="77777777" w:rsidTr="006B173F">
        <w:trPr>
          <w:jc w:val="center"/>
        </w:trPr>
        <w:tc>
          <w:tcPr>
            <w:tcW w:w="3585" w:type="dxa"/>
            <w:tcBorders>
              <w:top w:val="nil"/>
              <w:bottom w:val="nil"/>
              <w:right w:val="single" w:sz="4" w:space="0" w:color="auto"/>
            </w:tcBorders>
            <w:shd w:val="clear" w:color="auto" w:fill="auto"/>
          </w:tcPr>
          <w:p w14:paraId="2A811BB8" w14:textId="77777777" w:rsidR="006B173F" w:rsidRPr="006B173F" w:rsidRDefault="006B173F" w:rsidP="006B173F">
            <w:pPr>
              <w:rPr>
                <w:rFonts w:eastAsia="Times New Roman"/>
                <w:b/>
                <w:sz w:val="16"/>
                <w:szCs w:val="16"/>
              </w:rPr>
            </w:pPr>
            <w:r w:rsidRPr="006B173F">
              <w:rPr>
                <w:rFonts w:eastAsia="Times New Roman"/>
                <w:b/>
                <w:sz w:val="16"/>
                <w:szCs w:val="16"/>
              </w:rPr>
              <w:t>3. Deuda Bruta</w:t>
            </w:r>
          </w:p>
        </w:tc>
        <w:tc>
          <w:tcPr>
            <w:tcW w:w="1080" w:type="dxa"/>
            <w:tcBorders>
              <w:top w:val="nil"/>
              <w:left w:val="single" w:sz="4" w:space="0" w:color="auto"/>
              <w:bottom w:val="nil"/>
              <w:right w:val="single" w:sz="4" w:space="0" w:color="auto"/>
            </w:tcBorders>
            <w:shd w:val="clear" w:color="auto" w:fill="auto"/>
          </w:tcPr>
          <w:p w14:paraId="36112521" w14:textId="77777777" w:rsidR="006B173F" w:rsidRPr="006B173F" w:rsidRDefault="006B173F" w:rsidP="006B173F">
            <w:pPr>
              <w:ind w:right="113"/>
              <w:jc w:val="right"/>
              <w:rPr>
                <w:b/>
                <w:sz w:val="16"/>
                <w:szCs w:val="16"/>
              </w:rPr>
            </w:pPr>
            <w:r w:rsidRPr="006B173F">
              <w:rPr>
                <w:b/>
                <w:sz w:val="16"/>
                <w:szCs w:val="16"/>
              </w:rPr>
              <w:t>147 665.8</w:t>
            </w:r>
          </w:p>
        </w:tc>
        <w:tc>
          <w:tcPr>
            <w:tcW w:w="900" w:type="dxa"/>
            <w:tcBorders>
              <w:top w:val="nil"/>
              <w:bottom w:val="nil"/>
            </w:tcBorders>
          </w:tcPr>
          <w:p w14:paraId="4ACA412C"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15 561.5 </w:t>
            </w:r>
          </w:p>
        </w:tc>
        <w:tc>
          <w:tcPr>
            <w:tcW w:w="900" w:type="dxa"/>
            <w:tcBorders>
              <w:top w:val="nil"/>
              <w:bottom w:val="nil"/>
            </w:tcBorders>
          </w:tcPr>
          <w:p w14:paraId="4C331B30"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4 300.0 </w:t>
            </w:r>
          </w:p>
        </w:tc>
        <w:tc>
          <w:tcPr>
            <w:tcW w:w="1080" w:type="dxa"/>
            <w:tcBorders>
              <w:top w:val="nil"/>
              <w:bottom w:val="nil"/>
            </w:tcBorders>
          </w:tcPr>
          <w:p w14:paraId="5FA6D0FC"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11 261.5 </w:t>
            </w:r>
          </w:p>
        </w:tc>
        <w:tc>
          <w:tcPr>
            <w:tcW w:w="900" w:type="dxa"/>
            <w:tcBorders>
              <w:top w:val="nil"/>
              <w:bottom w:val="nil"/>
            </w:tcBorders>
          </w:tcPr>
          <w:p w14:paraId="1DAC3781"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-546.0 </w:t>
            </w:r>
          </w:p>
        </w:tc>
        <w:tc>
          <w:tcPr>
            <w:tcW w:w="1080" w:type="dxa"/>
            <w:tcBorders>
              <w:top w:val="nil"/>
              <w:bottom w:val="nil"/>
            </w:tcBorders>
          </w:tcPr>
          <w:p w14:paraId="72DA0F2D" w14:textId="77777777" w:rsidR="006B173F" w:rsidRPr="006B173F" w:rsidRDefault="006B173F" w:rsidP="006B173F">
            <w:pPr>
              <w:ind w:right="113"/>
              <w:jc w:val="right"/>
              <w:rPr>
                <w:rFonts w:eastAsia="Calibri"/>
                <w:sz w:val="16"/>
                <w:szCs w:val="16"/>
                <w:lang w:eastAsia="en-US"/>
              </w:rPr>
            </w:pPr>
            <w:r w:rsidRPr="006B173F">
              <w:rPr>
                <w:rFonts w:eastAsia="Calibri"/>
                <w:b/>
                <w:bCs/>
                <w:sz w:val="16"/>
                <w:szCs w:val="16"/>
                <w:lang w:eastAsia="en-US"/>
              </w:rPr>
              <w:t xml:space="preserve">158 381.3 </w:t>
            </w:r>
          </w:p>
        </w:tc>
      </w:tr>
      <w:tr w:rsidR="006B173F" w:rsidRPr="006B173F" w14:paraId="5B32D158" w14:textId="77777777" w:rsidTr="006B173F">
        <w:trPr>
          <w:jc w:val="center"/>
        </w:trPr>
        <w:tc>
          <w:tcPr>
            <w:tcW w:w="3585" w:type="dxa"/>
            <w:tcBorders>
              <w:top w:val="nil"/>
              <w:bottom w:val="nil"/>
              <w:right w:val="single" w:sz="4" w:space="0" w:color="auto"/>
            </w:tcBorders>
            <w:shd w:val="clear" w:color="auto" w:fill="auto"/>
          </w:tcPr>
          <w:p w14:paraId="37D6C1E8" w14:textId="77777777" w:rsidR="006B173F" w:rsidRPr="006B173F" w:rsidRDefault="006B173F" w:rsidP="006B173F">
            <w:pPr>
              <w:ind w:left="170"/>
              <w:rPr>
                <w:rFonts w:eastAsia="Times New Roman"/>
                <w:b/>
                <w:sz w:val="16"/>
                <w:szCs w:val="16"/>
              </w:rPr>
            </w:pPr>
            <w:r w:rsidRPr="006B173F">
              <w:rPr>
                <w:rFonts w:eastAsia="Times New Roman"/>
                <w:b/>
                <w:sz w:val="16"/>
                <w:szCs w:val="16"/>
              </w:rPr>
              <w:t>Estructura por plazo</w:t>
            </w:r>
          </w:p>
        </w:tc>
        <w:tc>
          <w:tcPr>
            <w:tcW w:w="1080" w:type="dxa"/>
            <w:tcBorders>
              <w:top w:val="nil"/>
              <w:left w:val="single" w:sz="4" w:space="0" w:color="auto"/>
              <w:bottom w:val="nil"/>
              <w:right w:val="single" w:sz="4" w:space="0" w:color="auto"/>
            </w:tcBorders>
            <w:shd w:val="clear" w:color="auto" w:fill="auto"/>
          </w:tcPr>
          <w:p w14:paraId="44D9C456" w14:textId="77777777" w:rsidR="006B173F" w:rsidRPr="006B173F" w:rsidRDefault="006B173F" w:rsidP="006B173F">
            <w:pPr>
              <w:ind w:right="113"/>
              <w:jc w:val="right"/>
              <w:rPr>
                <w:b/>
                <w:sz w:val="16"/>
                <w:szCs w:val="16"/>
              </w:rPr>
            </w:pPr>
            <w:r w:rsidRPr="006B173F">
              <w:rPr>
                <w:b/>
                <w:sz w:val="16"/>
                <w:szCs w:val="16"/>
              </w:rPr>
              <w:t>147 665.8</w:t>
            </w:r>
          </w:p>
        </w:tc>
        <w:tc>
          <w:tcPr>
            <w:tcW w:w="900" w:type="dxa"/>
            <w:tcBorders>
              <w:top w:val="nil"/>
              <w:bottom w:val="nil"/>
            </w:tcBorders>
          </w:tcPr>
          <w:p w14:paraId="714DF606"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15 561.5 </w:t>
            </w:r>
          </w:p>
        </w:tc>
        <w:tc>
          <w:tcPr>
            <w:tcW w:w="900" w:type="dxa"/>
            <w:tcBorders>
              <w:top w:val="nil"/>
              <w:bottom w:val="nil"/>
            </w:tcBorders>
          </w:tcPr>
          <w:p w14:paraId="56E43BC4"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4 300.0 </w:t>
            </w:r>
          </w:p>
        </w:tc>
        <w:tc>
          <w:tcPr>
            <w:tcW w:w="1080" w:type="dxa"/>
            <w:tcBorders>
              <w:top w:val="nil"/>
              <w:bottom w:val="nil"/>
            </w:tcBorders>
          </w:tcPr>
          <w:p w14:paraId="0CD5A426"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11 261.5 </w:t>
            </w:r>
          </w:p>
        </w:tc>
        <w:tc>
          <w:tcPr>
            <w:tcW w:w="900" w:type="dxa"/>
            <w:tcBorders>
              <w:top w:val="nil"/>
              <w:bottom w:val="nil"/>
            </w:tcBorders>
          </w:tcPr>
          <w:p w14:paraId="7B070664"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-546.0 </w:t>
            </w:r>
          </w:p>
        </w:tc>
        <w:tc>
          <w:tcPr>
            <w:tcW w:w="1080" w:type="dxa"/>
            <w:tcBorders>
              <w:top w:val="nil"/>
              <w:bottom w:val="nil"/>
            </w:tcBorders>
          </w:tcPr>
          <w:p w14:paraId="578D1A32" w14:textId="77777777" w:rsidR="006B173F" w:rsidRPr="006B173F" w:rsidRDefault="006B173F" w:rsidP="006B173F">
            <w:pPr>
              <w:ind w:right="113"/>
              <w:jc w:val="right"/>
              <w:rPr>
                <w:rFonts w:eastAsia="Calibri"/>
                <w:sz w:val="16"/>
                <w:szCs w:val="16"/>
                <w:lang w:eastAsia="en-US"/>
              </w:rPr>
            </w:pPr>
            <w:r w:rsidRPr="006B173F">
              <w:rPr>
                <w:rFonts w:eastAsia="Calibri"/>
                <w:b/>
                <w:bCs/>
                <w:sz w:val="16"/>
                <w:szCs w:val="16"/>
                <w:lang w:eastAsia="en-US"/>
              </w:rPr>
              <w:t xml:space="preserve">158 381.3 </w:t>
            </w:r>
          </w:p>
        </w:tc>
      </w:tr>
      <w:tr w:rsidR="006B173F" w:rsidRPr="006B173F" w14:paraId="50559F3D" w14:textId="77777777" w:rsidTr="006B173F">
        <w:trPr>
          <w:jc w:val="center"/>
        </w:trPr>
        <w:tc>
          <w:tcPr>
            <w:tcW w:w="3585" w:type="dxa"/>
            <w:tcBorders>
              <w:top w:val="nil"/>
              <w:bottom w:val="nil"/>
              <w:right w:val="single" w:sz="4" w:space="0" w:color="auto"/>
            </w:tcBorders>
            <w:shd w:val="clear" w:color="auto" w:fill="auto"/>
          </w:tcPr>
          <w:p w14:paraId="47960D5C" w14:textId="77777777" w:rsidR="006B173F" w:rsidRPr="006B173F" w:rsidRDefault="006B173F" w:rsidP="006B173F">
            <w:pPr>
              <w:ind w:left="284"/>
              <w:rPr>
                <w:rFonts w:eastAsia="Times New Roman"/>
                <w:sz w:val="16"/>
                <w:szCs w:val="16"/>
              </w:rPr>
            </w:pPr>
            <w:r w:rsidRPr="006B173F">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628B6DF1" w14:textId="77777777" w:rsidR="006B173F" w:rsidRPr="006B173F" w:rsidRDefault="006B173F" w:rsidP="006B173F">
            <w:pPr>
              <w:ind w:right="113"/>
              <w:jc w:val="right"/>
              <w:rPr>
                <w:sz w:val="16"/>
                <w:szCs w:val="16"/>
              </w:rPr>
            </w:pPr>
            <w:r w:rsidRPr="006B173F">
              <w:rPr>
                <w:sz w:val="16"/>
                <w:szCs w:val="16"/>
              </w:rPr>
              <w:t>142 869.2</w:t>
            </w:r>
          </w:p>
        </w:tc>
        <w:tc>
          <w:tcPr>
            <w:tcW w:w="900" w:type="dxa"/>
            <w:tcBorders>
              <w:top w:val="nil"/>
              <w:bottom w:val="nil"/>
            </w:tcBorders>
          </w:tcPr>
          <w:p w14:paraId="1A05A97E"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13 167.8 </w:t>
            </w:r>
          </w:p>
        </w:tc>
        <w:tc>
          <w:tcPr>
            <w:tcW w:w="900" w:type="dxa"/>
            <w:tcBorders>
              <w:top w:val="nil"/>
              <w:bottom w:val="nil"/>
            </w:tcBorders>
          </w:tcPr>
          <w:p w14:paraId="664412AC"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2 403.7 </w:t>
            </w:r>
          </w:p>
        </w:tc>
        <w:tc>
          <w:tcPr>
            <w:tcW w:w="1080" w:type="dxa"/>
            <w:tcBorders>
              <w:top w:val="nil"/>
              <w:bottom w:val="nil"/>
            </w:tcBorders>
          </w:tcPr>
          <w:p w14:paraId="5C8D50C3"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10 764.1 </w:t>
            </w:r>
          </w:p>
        </w:tc>
        <w:tc>
          <w:tcPr>
            <w:tcW w:w="900" w:type="dxa"/>
            <w:tcBorders>
              <w:top w:val="nil"/>
              <w:bottom w:val="nil"/>
            </w:tcBorders>
          </w:tcPr>
          <w:p w14:paraId="3460217B"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205.3 </w:t>
            </w:r>
          </w:p>
        </w:tc>
        <w:tc>
          <w:tcPr>
            <w:tcW w:w="1080" w:type="dxa"/>
            <w:tcBorders>
              <w:top w:val="nil"/>
              <w:bottom w:val="nil"/>
            </w:tcBorders>
          </w:tcPr>
          <w:p w14:paraId="66F140F3"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153 838.6 </w:t>
            </w:r>
          </w:p>
        </w:tc>
      </w:tr>
      <w:tr w:rsidR="006B173F" w:rsidRPr="006B173F" w14:paraId="677D6103" w14:textId="77777777" w:rsidTr="006B173F">
        <w:trPr>
          <w:jc w:val="center"/>
        </w:trPr>
        <w:tc>
          <w:tcPr>
            <w:tcW w:w="3585" w:type="dxa"/>
            <w:tcBorders>
              <w:top w:val="nil"/>
              <w:bottom w:val="nil"/>
              <w:right w:val="single" w:sz="4" w:space="0" w:color="auto"/>
            </w:tcBorders>
            <w:shd w:val="clear" w:color="auto" w:fill="auto"/>
          </w:tcPr>
          <w:p w14:paraId="7FCAD5C0" w14:textId="77777777" w:rsidR="006B173F" w:rsidRPr="006B173F" w:rsidRDefault="006B173F" w:rsidP="006B173F">
            <w:pPr>
              <w:ind w:left="284"/>
              <w:rPr>
                <w:rFonts w:eastAsia="Times New Roman"/>
                <w:sz w:val="16"/>
                <w:szCs w:val="16"/>
              </w:rPr>
            </w:pPr>
            <w:r w:rsidRPr="006B173F">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23772ADA" w14:textId="77777777" w:rsidR="006B173F" w:rsidRPr="006B173F" w:rsidRDefault="006B173F" w:rsidP="006B173F">
            <w:pPr>
              <w:ind w:right="113"/>
              <w:jc w:val="right"/>
              <w:rPr>
                <w:sz w:val="16"/>
                <w:szCs w:val="16"/>
              </w:rPr>
            </w:pPr>
            <w:r w:rsidRPr="006B173F">
              <w:rPr>
                <w:sz w:val="16"/>
                <w:szCs w:val="16"/>
              </w:rPr>
              <w:t>4 796.6</w:t>
            </w:r>
          </w:p>
        </w:tc>
        <w:tc>
          <w:tcPr>
            <w:tcW w:w="900" w:type="dxa"/>
            <w:tcBorders>
              <w:top w:val="nil"/>
              <w:bottom w:val="nil"/>
            </w:tcBorders>
          </w:tcPr>
          <w:p w14:paraId="2DB3A9AA"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2 393.7 </w:t>
            </w:r>
          </w:p>
        </w:tc>
        <w:tc>
          <w:tcPr>
            <w:tcW w:w="900" w:type="dxa"/>
            <w:tcBorders>
              <w:top w:val="nil"/>
              <w:bottom w:val="nil"/>
            </w:tcBorders>
          </w:tcPr>
          <w:p w14:paraId="6080A8A3"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1 896.3 </w:t>
            </w:r>
          </w:p>
        </w:tc>
        <w:tc>
          <w:tcPr>
            <w:tcW w:w="1080" w:type="dxa"/>
            <w:tcBorders>
              <w:top w:val="nil"/>
              <w:bottom w:val="nil"/>
            </w:tcBorders>
          </w:tcPr>
          <w:p w14:paraId="42D252CD"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497.4 </w:t>
            </w:r>
          </w:p>
        </w:tc>
        <w:tc>
          <w:tcPr>
            <w:tcW w:w="900" w:type="dxa"/>
            <w:tcBorders>
              <w:top w:val="nil"/>
              <w:bottom w:val="nil"/>
            </w:tcBorders>
          </w:tcPr>
          <w:p w14:paraId="19BF574B"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-751.3 </w:t>
            </w:r>
          </w:p>
        </w:tc>
        <w:tc>
          <w:tcPr>
            <w:tcW w:w="1080" w:type="dxa"/>
            <w:tcBorders>
              <w:top w:val="nil"/>
              <w:bottom w:val="nil"/>
            </w:tcBorders>
          </w:tcPr>
          <w:p w14:paraId="5C84A366"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4 542.7 </w:t>
            </w:r>
          </w:p>
        </w:tc>
      </w:tr>
      <w:tr w:rsidR="006B173F" w:rsidRPr="006B173F" w14:paraId="4DCFCC50" w14:textId="77777777" w:rsidTr="006B173F">
        <w:trPr>
          <w:jc w:val="center"/>
        </w:trPr>
        <w:tc>
          <w:tcPr>
            <w:tcW w:w="3585" w:type="dxa"/>
            <w:tcBorders>
              <w:top w:val="nil"/>
              <w:bottom w:val="nil"/>
              <w:right w:val="single" w:sz="4" w:space="0" w:color="auto"/>
            </w:tcBorders>
            <w:shd w:val="clear" w:color="auto" w:fill="auto"/>
          </w:tcPr>
          <w:p w14:paraId="4FFF8B94" w14:textId="77777777" w:rsidR="006B173F" w:rsidRPr="006B173F" w:rsidRDefault="006B173F" w:rsidP="006B173F">
            <w:pPr>
              <w:ind w:left="170"/>
              <w:rPr>
                <w:rFonts w:eastAsia="Times New Roman"/>
                <w:b/>
                <w:sz w:val="16"/>
                <w:szCs w:val="16"/>
              </w:rPr>
            </w:pPr>
            <w:r w:rsidRPr="006B173F">
              <w:rPr>
                <w:rFonts w:eastAsia="Times New Roman"/>
                <w:b/>
                <w:sz w:val="16"/>
                <w:szCs w:val="16"/>
              </w:rPr>
              <w:t>Estructura por Usuario</w:t>
            </w:r>
          </w:p>
        </w:tc>
        <w:tc>
          <w:tcPr>
            <w:tcW w:w="1080" w:type="dxa"/>
            <w:tcBorders>
              <w:top w:val="nil"/>
              <w:left w:val="single" w:sz="4" w:space="0" w:color="auto"/>
              <w:bottom w:val="nil"/>
              <w:right w:val="single" w:sz="4" w:space="0" w:color="auto"/>
            </w:tcBorders>
            <w:shd w:val="clear" w:color="auto" w:fill="auto"/>
          </w:tcPr>
          <w:p w14:paraId="199A7E4A" w14:textId="77777777" w:rsidR="006B173F" w:rsidRPr="006B173F" w:rsidRDefault="006B173F" w:rsidP="006B173F">
            <w:pPr>
              <w:ind w:right="113"/>
              <w:jc w:val="right"/>
              <w:rPr>
                <w:b/>
                <w:sz w:val="16"/>
                <w:szCs w:val="16"/>
              </w:rPr>
            </w:pPr>
            <w:r w:rsidRPr="006B173F">
              <w:rPr>
                <w:b/>
                <w:sz w:val="16"/>
                <w:szCs w:val="16"/>
              </w:rPr>
              <w:t>147 665.8</w:t>
            </w:r>
          </w:p>
        </w:tc>
        <w:tc>
          <w:tcPr>
            <w:tcW w:w="900" w:type="dxa"/>
            <w:tcBorders>
              <w:top w:val="nil"/>
              <w:bottom w:val="nil"/>
            </w:tcBorders>
          </w:tcPr>
          <w:p w14:paraId="56EBA856"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15 561.5 </w:t>
            </w:r>
          </w:p>
        </w:tc>
        <w:tc>
          <w:tcPr>
            <w:tcW w:w="900" w:type="dxa"/>
            <w:tcBorders>
              <w:top w:val="nil"/>
              <w:bottom w:val="nil"/>
            </w:tcBorders>
          </w:tcPr>
          <w:p w14:paraId="29A5C1B6"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4 300.0 </w:t>
            </w:r>
          </w:p>
        </w:tc>
        <w:tc>
          <w:tcPr>
            <w:tcW w:w="1080" w:type="dxa"/>
            <w:tcBorders>
              <w:top w:val="nil"/>
              <w:bottom w:val="nil"/>
            </w:tcBorders>
          </w:tcPr>
          <w:p w14:paraId="57052E1F"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11 261.5 </w:t>
            </w:r>
          </w:p>
        </w:tc>
        <w:tc>
          <w:tcPr>
            <w:tcW w:w="900" w:type="dxa"/>
            <w:tcBorders>
              <w:top w:val="nil"/>
              <w:bottom w:val="nil"/>
            </w:tcBorders>
          </w:tcPr>
          <w:p w14:paraId="7CC72E47"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-546.0 </w:t>
            </w:r>
          </w:p>
        </w:tc>
        <w:tc>
          <w:tcPr>
            <w:tcW w:w="1080" w:type="dxa"/>
            <w:tcBorders>
              <w:top w:val="nil"/>
              <w:bottom w:val="nil"/>
            </w:tcBorders>
          </w:tcPr>
          <w:p w14:paraId="004763E4" w14:textId="77777777" w:rsidR="006B173F" w:rsidRPr="006B173F" w:rsidRDefault="006B173F" w:rsidP="006B173F">
            <w:pPr>
              <w:ind w:right="113"/>
              <w:jc w:val="right"/>
              <w:rPr>
                <w:rFonts w:eastAsia="Calibri"/>
                <w:sz w:val="16"/>
                <w:szCs w:val="16"/>
                <w:lang w:eastAsia="en-US"/>
              </w:rPr>
            </w:pPr>
            <w:r w:rsidRPr="006B173F">
              <w:rPr>
                <w:rFonts w:eastAsia="Calibri"/>
                <w:b/>
                <w:bCs/>
                <w:sz w:val="16"/>
                <w:szCs w:val="16"/>
                <w:lang w:eastAsia="en-US"/>
              </w:rPr>
              <w:t xml:space="preserve">158 381.3 </w:t>
            </w:r>
          </w:p>
        </w:tc>
      </w:tr>
      <w:tr w:rsidR="006B173F" w:rsidRPr="006B173F" w14:paraId="1468F42E" w14:textId="77777777" w:rsidTr="006B173F">
        <w:trPr>
          <w:jc w:val="center"/>
        </w:trPr>
        <w:tc>
          <w:tcPr>
            <w:tcW w:w="3585" w:type="dxa"/>
            <w:tcBorders>
              <w:top w:val="nil"/>
              <w:bottom w:val="nil"/>
              <w:right w:val="single" w:sz="4" w:space="0" w:color="auto"/>
            </w:tcBorders>
            <w:shd w:val="clear" w:color="auto" w:fill="auto"/>
          </w:tcPr>
          <w:p w14:paraId="37DDF287" w14:textId="77777777" w:rsidR="006B173F" w:rsidRPr="006B173F" w:rsidRDefault="006B173F" w:rsidP="006B173F">
            <w:pPr>
              <w:ind w:left="284"/>
              <w:rPr>
                <w:rFonts w:eastAsia="Times New Roman"/>
                <w:sz w:val="16"/>
                <w:szCs w:val="16"/>
              </w:rPr>
            </w:pPr>
            <w:r w:rsidRPr="006B173F">
              <w:rPr>
                <w:rFonts w:eastAsia="Times New Roman"/>
                <w:sz w:val="16"/>
                <w:szCs w:val="16"/>
              </w:rPr>
              <w:t>Gobierno Federal</w:t>
            </w:r>
          </w:p>
        </w:tc>
        <w:tc>
          <w:tcPr>
            <w:tcW w:w="1080" w:type="dxa"/>
            <w:tcBorders>
              <w:top w:val="nil"/>
              <w:left w:val="single" w:sz="4" w:space="0" w:color="auto"/>
              <w:bottom w:val="nil"/>
              <w:right w:val="single" w:sz="4" w:space="0" w:color="auto"/>
            </w:tcBorders>
            <w:shd w:val="clear" w:color="auto" w:fill="auto"/>
          </w:tcPr>
          <w:p w14:paraId="58AE089F" w14:textId="77777777" w:rsidR="006B173F" w:rsidRPr="006B173F" w:rsidRDefault="006B173F" w:rsidP="006B173F">
            <w:pPr>
              <w:ind w:right="113"/>
              <w:jc w:val="right"/>
              <w:rPr>
                <w:sz w:val="16"/>
                <w:szCs w:val="16"/>
              </w:rPr>
            </w:pPr>
            <w:r w:rsidRPr="006B173F">
              <w:rPr>
                <w:sz w:val="16"/>
                <w:szCs w:val="16"/>
              </w:rPr>
              <w:t>78 573.4</w:t>
            </w:r>
          </w:p>
        </w:tc>
        <w:tc>
          <w:tcPr>
            <w:tcW w:w="900" w:type="dxa"/>
            <w:tcBorders>
              <w:top w:val="nil"/>
              <w:bottom w:val="nil"/>
            </w:tcBorders>
          </w:tcPr>
          <w:p w14:paraId="278DA4F6"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4 486.7 </w:t>
            </w:r>
          </w:p>
        </w:tc>
        <w:tc>
          <w:tcPr>
            <w:tcW w:w="900" w:type="dxa"/>
            <w:tcBorders>
              <w:top w:val="nil"/>
              <w:bottom w:val="nil"/>
            </w:tcBorders>
          </w:tcPr>
          <w:p w14:paraId="7FFE4C1A"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2 136.7 </w:t>
            </w:r>
          </w:p>
        </w:tc>
        <w:tc>
          <w:tcPr>
            <w:tcW w:w="1080" w:type="dxa"/>
            <w:tcBorders>
              <w:top w:val="nil"/>
              <w:bottom w:val="nil"/>
            </w:tcBorders>
          </w:tcPr>
          <w:p w14:paraId="59BA805F"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2 350.0 </w:t>
            </w:r>
          </w:p>
        </w:tc>
        <w:tc>
          <w:tcPr>
            <w:tcW w:w="900" w:type="dxa"/>
            <w:tcBorders>
              <w:top w:val="nil"/>
              <w:bottom w:val="nil"/>
            </w:tcBorders>
          </w:tcPr>
          <w:p w14:paraId="62DBB153"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-147.0 </w:t>
            </w:r>
          </w:p>
        </w:tc>
        <w:tc>
          <w:tcPr>
            <w:tcW w:w="1080" w:type="dxa"/>
            <w:tcBorders>
              <w:top w:val="nil"/>
              <w:bottom w:val="nil"/>
            </w:tcBorders>
          </w:tcPr>
          <w:p w14:paraId="212E9DD0"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80 776.4 </w:t>
            </w:r>
          </w:p>
        </w:tc>
      </w:tr>
      <w:tr w:rsidR="006B173F" w:rsidRPr="006B173F" w14:paraId="7A1FD60F" w14:textId="77777777" w:rsidTr="006B173F">
        <w:trPr>
          <w:jc w:val="center"/>
        </w:trPr>
        <w:tc>
          <w:tcPr>
            <w:tcW w:w="3585" w:type="dxa"/>
            <w:tcBorders>
              <w:top w:val="nil"/>
              <w:bottom w:val="nil"/>
              <w:right w:val="single" w:sz="4" w:space="0" w:color="auto"/>
            </w:tcBorders>
            <w:shd w:val="clear" w:color="auto" w:fill="auto"/>
          </w:tcPr>
          <w:p w14:paraId="196C445B" w14:textId="77777777" w:rsidR="006B173F" w:rsidRPr="006B173F" w:rsidRDefault="006B173F" w:rsidP="006B173F">
            <w:pPr>
              <w:ind w:left="397"/>
              <w:rPr>
                <w:rFonts w:eastAsia="Times New Roman"/>
                <w:sz w:val="16"/>
                <w:szCs w:val="16"/>
              </w:rPr>
            </w:pPr>
            <w:r w:rsidRPr="006B173F">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69872103" w14:textId="77777777" w:rsidR="006B173F" w:rsidRPr="006B173F" w:rsidRDefault="006B173F" w:rsidP="006B173F">
            <w:pPr>
              <w:ind w:right="113"/>
              <w:jc w:val="right"/>
              <w:rPr>
                <w:sz w:val="16"/>
                <w:szCs w:val="16"/>
              </w:rPr>
            </w:pPr>
            <w:r w:rsidRPr="006B173F">
              <w:rPr>
                <w:sz w:val="16"/>
                <w:szCs w:val="16"/>
              </w:rPr>
              <w:t>78 573.4</w:t>
            </w:r>
          </w:p>
        </w:tc>
        <w:tc>
          <w:tcPr>
            <w:tcW w:w="900" w:type="dxa"/>
            <w:tcBorders>
              <w:top w:val="nil"/>
              <w:bottom w:val="nil"/>
            </w:tcBorders>
          </w:tcPr>
          <w:p w14:paraId="000A54A6"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4 486.7 </w:t>
            </w:r>
          </w:p>
        </w:tc>
        <w:tc>
          <w:tcPr>
            <w:tcW w:w="900" w:type="dxa"/>
            <w:tcBorders>
              <w:top w:val="nil"/>
              <w:bottom w:val="nil"/>
            </w:tcBorders>
          </w:tcPr>
          <w:p w14:paraId="275E0EA4"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2 136.7 </w:t>
            </w:r>
          </w:p>
        </w:tc>
        <w:tc>
          <w:tcPr>
            <w:tcW w:w="1080" w:type="dxa"/>
            <w:tcBorders>
              <w:top w:val="nil"/>
              <w:bottom w:val="nil"/>
            </w:tcBorders>
          </w:tcPr>
          <w:p w14:paraId="5E64751B"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2 350.0 </w:t>
            </w:r>
          </w:p>
        </w:tc>
        <w:tc>
          <w:tcPr>
            <w:tcW w:w="900" w:type="dxa"/>
            <w:tcBorders>
              <w:top w:val="nil"/>
              <w:bottom w:val="nil"/>
            </w:tcBorders>
          </w:tcPr>
          <w:p w14:paraId="4EED77E1"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-147.0 </w:t>
            </w:r>
          </w:p>
        </w:tc>
        <w:tc>
          <w:tcPr>
            <w:tcW w:w="1080" w:type="dxa"/>
            <w:tcBorders>
              <w:top w:val="nil"/>
              <w:bottom w:val="nil"/>
            </w:tcBorders>
          </w:tcPr>
          <w:p w14:paraId="071CE23C"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80 776.4 </w:t>
            </w:r>
          </w:p>
        </w:tc>
      </w:tr>
      <w:tr w:rsidR="006B173F" w:rsidRPr="006B173F" w14:paraId="5F504E83" w14:textId="77777777" w:rsidTr="006B173F">
        <w:trPr>
          <w:jc w:val="center"/>
        </w:trPr>
        <w:tc>
          <w:tcPr>
            <w:tcW w:w="3585" w:type="dxa"/>
            <w:tcBorders>
              <w:top w:val="nil"/>
              <w:bottom w:val="nil"/>
              <w:right w:val="single" w:sz="4" w:space="0" w:color="auto"/>
            </w:tcBorders>
            <w:shd w:val="clear" w:color="auto" w:fill="auto"/>
          </w:tcPr>
          <w:p w14:paraId="3263FB7B" w14:textId="77777777" w:rsidR="006B173F" w:rsidRPr="006B173F" w:rsidRDefault="006B173F" w:rsidP="006B173F">
            <w:pPr>
              <w:ind w:left="397"/>
              <w:rPr>
                <w:rFonts w:eastAsia="Times New Roman"/>
                <w:sz w:val="16"/>
                <w:szCs w:val="16"/>
              </w:rPr>
            </w:pPr>
            <w:r w:rsidRPr="006B173F">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40B3653E" w14:textId="77777777" w:rsidR="006B173F" w:rsidRPr="006B173F" w:rsidRDefault="006B173F" w:rsidP="006B173F">
            <w:pPr>
              <w:ind w:right="113"/>
              <w:jc w:val="right"/>
              <w:rPr>
                <w:sz w:val="16"/>
                <w:szCs w:val="16"/>
              </w:rPr>
            </w:pPr>
            <w:r w:rsidRPr="006B173F">
              <w:rPr>
                <w:sz w:val="16"/>
                <w:szCs w:val="16"/>
              </w:rPr>
              <w:t>0.0</w:t>
            </w:r>
          </w:p>
        </w:tc>
        <w:tc>
          <w:tcPr>
            <w:tcW w:w="900" w:type="dxa"/>
            <w:tcBorders>
              <w:top w:val="nil"/>
              <w:bottom w:val="nil"/>
            </w:tcBorders>
          </w:tcPr>
          <w:p w14:paraId="3D3FC0E8"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0.0 </w:t>
            </w:r>
          </w:p>
        </w:tc>
        <w:tc>
          <w:tcPr>
            <w:tcW w:w="900" w:type="dxa"/>
            <w:tcBorders>
              <w:top w:val="nil"/>
              <w:bottom w:val="nil"/>
            </w:tcBorders>
          </w:tcPr>
          <w:p w14:paraId="51D865C3"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0.0 </w:t>
            </w:r>
          </w:p>
        </w:tc>
        <w:tc>
          <w:tcPr>
            <w:tcW w:w="1080" w:type="dxa"/>
            <w:tcBorders>
              <w:top w:val="nil"/>
              <w:bottom w:val="nil"/>
            </w:tcBorders>
          </w:tcPr>
          <w:p w14:paraId="75C4CFBD"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0.0 </w:t>
            </w:r>
          </w:p>
        </w:tc>
        <w:tc>
          <w:tcPr>
            <w:tcW w:w="900" w:type="dxa"/>
            <w:tcBorders>
              <w:top w:val="nil"/>
              <w:bottom w:val="nil"/>
            </w:tcBorders>
          </w:tcPr>
          <w:p w14:paraId="1A628710"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0.0 </w:t>
            </w:r>
          </w:p>
        </w:tc>
        <w:tc>
          <w:tcPr>
            <w:tcW w:w="1080" w:type="dxa"/>
            <w:tcBorders>
              <w:top w:val="nil"/>
              <w:bottom w:val="nil"/>
            </w:tcBorders>
          </w:tcPr>
          <w:p w14:paraId="50E43EF6"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0.0 </w:t>
            </w:r>
          </w:p>
        </w:tc>
      </w:tr>
      <w:tr w:rsidR="006B173F" w:rsidRPr="006B173F" w14:paraId="2FAF9FD1" w14:textId="77777777" w:rsidTr="006B173F">
        <w:trPr>
          <w:jc w:val="center"/>
        </w:trPr>
        <w:tc>
          <w:tcPr>
            <w:tcW w:w="3585" w:type="dxa"/>
            <w:tcBorders>
              <w:top w:val="nil"/>
              <w:bottom w:val="nil"/>
              <w:right w:val="single" w:sz="4" w:space="0" w:color="auto"/>
            </w:tcBorders>
            <w:shd w:val="clear" w:color="auto" w:fill="auto"/>
          </w:tcPr>
          <w:p w14:paraId="26E0EE0E" w14:textId="77777777" w:rsidR="006B173F" w:rsidRPr="006B173F" w:rsidRDefault="006B173F" w:rsidP="006B173F">
            <w:pPr>
              <w:ind w:left="284"/>
              <w:rPr>
                <w:rFonts w:eastAsia="Times New Roman"/>
                <w:sz w:val="16"/>
                <w:szCs w:val="16"/>
              </w:rPr>
            </w:pPr>
            <w:r w:rsidRPr="006B173F">
              <w:rPr>
                <w:rFonts w:eastAsia="Times New Roman"/>
                <w:sz w:val="16"/>
                <w:szCs w:val="16"/>
              </w:rPr>
              <w:t>Empresas productivas del estado</w:t>
            </w:r>
          </w:p>
        </w:tc>
        <w:tc>
          <w:tcPr>
            <w:tcW w:w="1080" w:type="dxa"/>
            <w:tcBorders>
              <w:top w:val="nil"/>
              <w:left w:val="single" w:sz="4" w:space="0" w:color="auto"/>
              <w:bottom w:val="nil"/>
              <w:right w:val="single" w:sz="4" w:space="0" w:color="auto"/>
            </w:tcBorders>
            <w:shd w:val="clear" w:color="auto" w:fill="auto"/>
          </w:tcPr>
          <w:p w14:paraId="1E19493C" w14:textId="77777777" w:rsidR="006B173F" w:rsidRPr="006B173F" w:rsidRDefault="006B173F" w:rsidP="006B173F">
            <w:pPr>
              <w:ind w:right="113"/>
              <w:jc w:val="right"/>
              <w:rPr>
                <w:sz w:val="16"/>
                <w:szCs w:val="16"/>
              </w:rPr>
            </w:pPr>
            <w:r w:rsidRPr="006B173F">
              <w:rPr>
                <w:sz w:val="16"/>
                <w:szCs w:val="16"/>
              </w:rPr>
              <w:t>59 563.1</w:t>
            </w:r>
          </w:p>
        </w:tc>
        <w:tc>
          <w:tcPr>
            <w:tcW w:w="900" w:type="dxa"/>
            <w:tcBorders>
              <w:top w:val="nil"/>
              <w:bottom w:val="nil"/>
            </w:tcBorders>
          </w:tcPr>
          <w:p w14:paraId="4B1B3479"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8 814.3 </w:t>
            </w:r>
          </w:p>
        </w:tc>
        <w:tc>
          <w:tcPr>
            <w:tcW w:w="900" w:type="dxa"/>
            <w:tcBorders>
              <w:top w:val="nil"/>
              <w:bottom w:val="nil"/>
            </w:tcBorders>
          </w:tcPr>
          <w:p w14:paraId="6DB8F034"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256.9 </w:t>
            </w:r>
          </w:p>
        </w:tc>
        <w:tc>
          <w:tcPr>
            <w:tcW w:w="1080" w:type="dxa"/>
            <w:tcBorders>
              <w:top w:val="nil"/>
              <w:bottom w:val="nil"/>
            </w:tcBorders>
          </w:tcPr>
          <w:p w14:paraId="6AE3EA75"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8 557.4 </w:t>
            </w:r>
          </w:p>
        </w:tc>
        <w:tc>
          <w:tcPr>
            <w:tcW w:w="900" w:type="dxa"/>
            <w:tcBorders>
              <w:top w:val="nil"/>
              <w:bottom w:val="nil"/>
            </w:tcBorders>
          </w:tcPr>
          <w:p w14:paraId="44A6762D"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-352.6 </w:t>
            </w:r>
          </w:p>
        </w:tc>
        <w:tc>
          <w:tcPr>
            <w:tcW w:w="1080" w:type="dxa"/>
            <w:tcBorders>
              <w:top w:val="nil"/>
              <w:bottom w:val="nil"/>
            </w:tcBorders>
          </w:tcPr>
          <w:p w14:paraId="411076F0"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67 767.9 </w:t>
            </w:r>
          </w:p>
        </w:tc>
      </w:tr>
      <w:tr w:rsidR="006B173F" w:rsidRPr="006B173F" w14:paraId="1F5FAD17" w14:textId="77777777" w:rsidTr="006B173F">
        <w:trPr>
          <w:jc w:val="center"/>
        </w:trPr>
        <w:tc>
          <w:tcPr>
            <w:tcW w:w="3585" w:type="dxa"/>
            <w:tcBorders>
              <w:top w:val="nil"/>
              <w:bottom w:val="nil"/>
              <w:right w:val="single" w:sz="4" w:space="0" w:color="auto"/>
            </w:tcBorders>
            <w:shd w:val="clear" w:color="auto" w:fill="auto"/>
          </w:tcPr>
          <w:p w14:paraId="7F92EB77" w14:textId="77777777" w:rsidR="006B173F" w:rsidRPr="006B173F" w:rsidRDefault="006B173F" w:rsidP="006B173F">
            <w:pPr>
              <w:ind w:left="397"/>
              <w:rPr>
                <w:rFonts w:eastAsia="Times New Roman"/>
                <w:sz w:val="16"/>
                <w:szCs w:val="16"/>
              </w:rPr>
            </w:pPr>
            <w:r w:rsidRPr="006B173F">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42602C91" w14:textId="77777777" w:rsidR="006B173F" w:rsidRPr="006B173F" w:rsidRDefault="006B173F" w:rsidP="006B173F">
            <w:pPr>
              <w:ind w:right="113"/>
              <w:jc w:val="right"/>
              <w:rPr>
                <w:sz w:val="16"/>
                <w:szCs w:val="16"/>
              </w:rPr>
            </w:pPr>
            <w:r w:rsidRPr="006B173F">
              <w:rPr>
                <w:sz w:val="16"/>
                <w:szCs w:val="16"/>
              </w:rPr>
              <w:t>58 863.1</w:t>
            </w:r>
          </w:p>
        </w:tc>
        <w:tc>
          <w:tcPr>
            <w:tcW w:w="900" w:type="dxa"/>
            <w:tcBorders>
              <w:top w:val="nil"/>
              <w:bottom w:val="nil"/>
            </w:tcBorders>
          </w:tcPr>
          <w:p w14:paraId="7E9A85B9"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8 621.1 </w:t>
            </w:r>
          </w:p>
        </w:tc>
        <w:tc>
          <w:tcPr>
            <w:tcW w:w="900" w:type="dxa"/>
            <w:tcBorders>
              <w:top w:val="nil"/>
              <w:bottom w:val="nil"/>
            </w:tcBorders>
          </w:tcPr>
          <w:p w14:paraId="0908FC40"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242.1 </w:t>
            </w:r>
          </w:p>
        </w:tc>
        <w:tc>
          <w:tcPr>
            <w:tcW w:w="1080" w:type="dxa"/>
            <w:tcBorders>
              <w:top w:val="nil"/>
              <w:bottom w:val="nil"/>
            </w:tcBorders>
          </w:tcPr>
          <w:p w14:paraId="38C1E869"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8 379.0 </w:t>
            </w:r>
          </w:p>
        </w:tc>
        <w:tc>
          <w:tcPr>
            <w:tcW w:w="900" w:type="dxa"/>
            <w:tcBorders>
              <w:top w:val="nil"/>
              <w:bottom w:val="nil"/>
            </w:tcBorders>
          </w:tcPr>
          <w:p w14:paraId="01FDD0BA"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347.4 </w:t>
            </w:r>
          </w:p>
        </w:tc>
        <w:tc>
          <w:tcPr>
            <w:tcW w:w="1080" w:type="dxa"/>
            <w:tcBorders>
              <w:top w:val="nil"/>
              <w:bottom w:val="nil"/>
            </w:tcBorders>
          </w:tcPr>
          <w:p w14:paraId="013D151D"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67 589.5 </w:t>
            </w:r>
          </w:p>
        </w:tc>
      </w:tr>
      <w:tr w:rsidR="006B173F" w:rsidRPr="006B173F" w14:paraId="01AF49F6" w14:textId="77777777" w:rsidTr="006B173F">
        <w:trPr>
          <w:jc w:val="center"/>
        </w:trPr>
        <w:tc>
          <w:tcPr>
            <w:tcW w:w="3585" w:type="dxa"/>
            <w:tcBorders>
              <w:top w:val="nil"/>
              <w:bottom w:val="nil"/>
              <w:right w:val="single" w:sz="4" w:space="0" w:color="auto"/>
            </w:tcBorders>
            <w:shd w:val="clear" w:color="auto" w:fill="auto"/>
          </w:tcPr>
          <w:p w14:paraId="348014A1" w14:textId="77777777" w:rsidR="006B173F" w:rsidRPr="006B173F" w:rsidRDefault="006B173F" w:rsidP="006B173F">
            <w:pPr>
              <w:ind w:left="397"/>
              <w:rPr>
                <w:rFonts w:eastAsia="Times New Roman"/>
                <w:sz w:val="16"/>
                <w:szCs w:val="16"/>
              </w:rPr>
            </w:pPr>
            <w:r w:rsidRPr="006B173F">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30A443E9" w14:textId="77777777" w:rsidR="006B173F" w:rsidRPr="006B173F" w:rsidRDefault="006B173F" w:rsidP="006B173F">
            <w:pPr>
              <w:ind w:right="113"/>
              <w:jc w:val="right"/>
              <w:rPr>
                <w:sz w:val="16"/>
                <w:szCs w:val="16"/>
              </w:rPr>
            </w:pPr>
            <w:r w:rsidRPr="006B173F">
              <w:rPr>
                <w:sz w:val="16"/>
                <w:szCs w:val="16"/>
              </w:rPr>
              <w:t>700.0</w:t>
            </w:r>
          </w:p>
        </w:tc>
        <w:tc>
          <w:tcPr>
            <w:tcW w:w="900" w:type="dxa"/>
            <w:tcBorders>
              <w:top w:val="nil"/>
              <w:bottom w:val="nil"/>
            </w:tcBorders>
          </w:tcPr>
          <w:p w14:paraId="28CE148E"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193.2 </w:t>
            </w:r>
          </w:p>
        </w:tc>
        <w:tc>
          <w:tcPr>
            <w:tcW w:w="900" w:type="dxa"/>
            <w:tcBorders>
              <w:top w:val="nil"/>
              <w:bottom w:val="nil"/>
            </w:tcBorders>
          </w:tcPr>
          <w:p w14:paraId="04F751AF"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14.8 </w:t>
            </w:r>
          </w:p>
        </w:tc>
        <w:tc>
          <w:tcPr>
            <w:tcW w:w="1080" w:type="dxa"/>
            <w:tcBorders>
              <w:top w:val="nil"/>
              <w:bottom w:val="nil"/>
            </w:tcBorders>
          </w:tcPr>
          <w:p w14:paraId="1F056A59"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178.4 </w:t>
            </w:r>
          </w:p>
        </w:tc>
        <w:tc>
          <w:tcPr>
            <w:tcW w:w="900" w:type="dxa"/>
            <w:tcBorders>
              <w:top w:val="nil"/>
              <w:bottom w:val="nil"/>
            </w:tcBorders>
          </w:tcPr>
          <w:p w14:paraId="2DCDAA44"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-700.0 </w:t>
            </w:r>
          </w:p>
        </w:tc>
        <w:tc>
          <w:tcPr>
            <w:tcW w:w="1080" w:type="dxa"/>
            <w:tcBorders>
              <w:top w:val="nil"/>
              <w:bottom w:val="nil"/>
            </w:tcBorders>
          </w:tcPr>
          <w:p w14:paraId="4609D14D"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178.4 </w:t>
            </w:r>
          </w:p>
        </w:tc>
      </w:tr>
      <w:tr w:rsidR="006B173F" w:rsidRPr="006B173F" w14:paraId="57F8C471" w14:textId="77777777" w:rsidTr="006B173F">
        <w:trPr>
          <w:jc w:val="center"/>
        </w:trPr>
        <w:tc>
          <w:tcPr>
            <w:tcW w:w="3585" w:type="dxa"/>
            <w:tcBorders>
              <w:top w:val="nil"/>
              <w:bottom w:val="nil"/>
              <w:right w:val="single" w:sz="4" w:space="0" w:color="auto"/>
            </w:tcBorders>
            <w:shd w:val="clear" w:color="auto" w:fill="auto"/>
          </w:tcPr>
          <w:p w14:paraId="3CB50908" w14:textId="77777777" w:rsidR="006B173F" w:rsidRPr="006B173F" w:rsidRDefault="006B173F" w:rsidP="006B173F">
            <w:pPr>
              <w:ind w:left="284"/>
              <w:rPr>
                <w:rFonts w:eastAsia="Times New Roman"/>
                <w:sz w:val="16"/>
                <w:szCs w:val="16"/>
              </w:rPr>
            </w:pPr>
            <w:r w:rsidRPr="006B173F">
              <w:rPr>
                <w:rFonts w:eastAsia="Times New Roman"/>
                <w:sz w:val="16"/>
                <w:szCs w:val="16"/>
              </w:rPr>
              <w:t>Banca de Desarrollo</w:t>
            </w:r>
          </w:p>
        </w:tc>
        <w:tc>
          <w:tcPr>
            <w:tcW w:w="1080" w:type="dxa"/>
            <w:tcBorders>
              <w:top w:val="nil"/>
              <w:left w:val="single" w:sz="4" w:space="0" w:color="auto"/>
              <w:bottom w:val="nil"/>
              <w:right w:val="single" w:sz="4" w:space="0" w:color="auto"/>
            </w:tcBorders>
            <w:shd w:val="clear" w:color="auto" w:fill="auto"/>
          </w:tcPr>
          <w:p w14:paraId="08284743" w14:textId="77777777" w:rsidR="006B173F" w:rsidRPr="006B173F" w:rsidRDefault="006B173F" w:rsidP="006B173F">
            <w:pPr>
              <w:ind w:right="113"/>
              <w:jc w:val="right"/>
              <w:rPr>
                <w:sz w:val="16"/>
                <w:szCs w:val="16"/>
              </w:rPr>
            </w:pPr>
            <w:r w:rsidRPr="006B173F">
              <w:rPr>
                <w:sz w:val="16"/>
                <w:szCs w:val="16"/>
              </w:rPr>
              <w:t>9 529.3</w:t>
            </w:r>
          </w:p>
        </w:tc>
        <w:tc>
          <w:tcPr>
            <w:tcW w:w="900" w:type="dxa"/>
            <w:tcBorders>
              <w:top w:val="nil"/>
              <w:bottom w:val="nil"/>
            </w:tcBorders>
          </w:tcPr>
          <w:p w14:paraId="0C42872C"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2 260.5 </w:t>
            </w:r>
          </w:p>
        </w:tc>
        <w:tc>
          <w:tcPr>
            <w:tcW w:w="900" w:type="dxa"/>
            <w:tcBorders>
              <w:top w:val="nil"/>
              <w:bottom w:val="nil"/>
            </w:tcBorders>
          </w:tcPr>
          <w:p w14:paraId="6F484E71"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1 906.4 </w:t>
            </w:r>
          </w:p>
        </w:tc>
        <w:tc>
          <w:tcPr>
            <w:tcW w:w="1080" w:type="dxa"/>
            <w:tcBorders>
              <w:top w:val="nil"/>
              <w:bottom w:val="nil"/>
            </w:tcBorders>
          </w:tcPr>
          <w:p w14:paraId="43F62C61"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354.1 </w:t>
            </w:r>
          </w:p>
        </w:tc>
        <w:tc>
          <w:tcPr>
            <w:tcW w:w="900" w:type="dxa"/>
            <w:tcBorders>
              <w:top w:val="nil"/>
              <w:bottom w:val="nil"/>
            </w:tcBorders>
          </w:tcPr>
          <w:p w14:paraId="56114B4C"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-46.4 </w:t>
            </w:r>
          </w:p>
        </w:tc>
        <w:tc>
          <w:tcPr>
            <w:tcW w:w="1080" w:type="dxa"/>
            <w:tcBorders>
              <w:top w:val="nil"/>
              <w:bottom w:val="nil"/>
            </w:tcBorders>
          </w:tcPr>
          <w:p w14:paraId="70827614"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9 837.0 </w:t>
            </w:r>
          </w:p>
        </w:tc>
      </w:tr>
      <w:tr w:rsidR="006B173F" w:rsidRPr="006B173F" w14:paraId="44FF2957" w14:textId="77777777" w:rsidTr="006B173F">
        <w:trPr>
          <w:jc w:val="center"/>
        </w:trPr>
        <w:tc>
          <w:tcPr>
            <w:tcW w:w="3585" w:type="dxa"/>
            <w:tcBorders>
              <w:top w:val="nil"/>
              <w:bottom w:val="nil"/>
              <w:right w:val="single" w:sz="4" w:space="0" w:color="auto"/>
            </w:tcBorders>
            <w:shd w:val="clear" w:color="auto" w:fill="auto"/>
          </w:tcPr>
          <w:p w14:paraId="7D950188" w14:textId="77777777" w:rsidR="006B173F" w:rsidRPr="006B173F" w:rsidRDefault="006B173F" w:rsidP="006B173F">
            <w:pPr>
              <w:ind w:left="397"/>
              <w:rPr>
                <w:rFonts w:eastAsia="Times New Roman"/>
                <w:sz w:val="16"/>
                <w:szCs w:val="16"/>
              </w:rPr>
            </w:pPr>
            <w:r w:rsidRPr="006B173F">
              <w:rPr>
                <w:rFonts w:eastAsia="Times New Roman"/>
                <w:sz w:val="16"/>
                <w:szCs w:val="16"/>
              </w:rPr>
              <w:t>Largo Plazo</w:t>
            </w:r>
          </w:p>
        </w:tc>
        <w:tc>
          <w:tcPr>
            <w:tcW w:w="1080" w:type="dxa"/>
            <w:tcBorders>
              <w:top w:val="nil"/>
              <w:left w:val="single" w:sz="4" w:space="0" w:color="auto"/>
              <w:bottom w:val="nil"/>
              <w:right w:val="single" w:sz="4" w:space="0" w:color="auto"/>
            </w:tcBorders>
            <w:shd w:val="clear" w:color="auto" w:fill="auto"/>
          </w:tcPr>
          <w:p w14:paraId="5868C07B" w14:textId="77777777" w:rsidR="006B173F" w:rsidRPr="006B173F" w:rsidRDefault="006B173F" w:rsidP="006B173F">
            <w:pPr>
              <w:ind w:right="113"/>
              <w:jc w:val="right"/>
              <w:rPr>
                <w:sz w:val="16"/>
                <w:szCs w:val="16"/>
              </w:rPr>
            </w:pPr>
            <w:r w:rsidRPr="006B173F">
              <w:rPr>
                <w:sz w:val="16"/>
                <w:szCs w:val="16"/>
              </w:rPr>
              <w:t>5 432.7</w:t>
            </w:r>
          </w:p>
        </w:tc>
        <w:tc>
          <w:tcPr>
            <w:tcW w:w="900" w:type="dxa"/>
            <w:tcBorders>
              <w:top w:val="nil"/>
              <w:bottom w:val="nil"/>
            </w:tcBorders>
          </w:tcPr>
          <w:p w14:paraId="45AD151C"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60.0 </w:t>
            </w:r>
          </w:p>
        </w:tc>
        <w:tc>
          <w:tcPr>
            <w:tcW w:w="900" w:type="dxa"/>
            <w:tcBorders>
              <w:top w:val="nil"/>
              <w:bottom w:val="nil"/>
            </w:tcBorders>
          </w:tcPr>
          <w:p w14:paraId="1C0FB8A1"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24.9 </w:t>
            </w:r>
          </w:p>
        </w:tc>
        <w:tc>
          <w:tcPr>
            <w:tcW w:w="1080" w:type="dxa"/>
            <w:tcBorders>
              <w:top w:val="nil"/>
              <w:bottom w:val="nil"/>
            </w:tcBorders>
          </w:tcPr>
          <w:p w14:paraId="222AA9B8"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35.1 </w:t>
            </w:r>
          </w:p>
        </w:tc>
        <w:tc>
          <w:tcPr>
            <w:tcW w:w="900" w:type="dxa"/>
            <w:tcBorders>
              <w:top w:val="nil"/>
              <w:bottom w:val="nil"/>
            </w:tcBorders>
          </w:tcPr>
          <w:p w14:paraId="59BDB848"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4.9 </w:t>
            </w:r>
          </w:p>
        </w:tc>
        <w:tc>
          <w:tcPr>
            <w:tcW w:w="1080" w:type="dxa"/>
            <w:tcBorders>
              <w:top w:val="nil"/>
              <w:bottom w:val="nil"/>
            </w:tcBorders>
          </w:tcPr>
          <w:p w14:paraId="5E538416"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5 472.7 </w:t>
            </w:r>
          </w:p>
        </w:tc>
      </w:tr>
      <w:tr w:rsidR="006B173F" w:rsidRPr="006B173F" w14:paraId="135DB31B" w14:textId="77777777" w:rsidTr="006B173F">
        <w:trPr>
          <w:jc w:val="center"/>
        </w:trPr>
        <w:tc>
          <w:tcPr>
            <w:tcW w:w="3585" w:type="dxa"/>
            <w:tcBorders>
              <w:top w:val="nil"/>
              <w:bottom w:val="nil"/>
              <w:right w:val="single" w:sz="4" w:space="0" w:color="auto"/>
            </w:tcBorders>
            <w:shd w:val="clear" w:color="auto" w:fill="auto"/>
          </w:tcPr>
          <w:p w14:paraId="0BE1D749" w14:textId="77777777" w:rsidR="006B173F" w:rsidRPr="006B173F" w:rsidRDefault="006B173F" w:rsidP="006B173F">
            <w:pPr>
              <w:ind w:left="397"/>
              <w:rPr>
                <w:rFonts w:eastAsia="Times New Roman"/>
                <w:sz w:val="16"/>
                <w:szCs w:val="16"/>
              </w:rPr>
            </w:pPr>
            <w:r w:rsidRPr="006B173F">
              <w:rPr>
                <w:rFonts w:eastAsia="Times New Roman"/>
                <w:sz w:val="16"/>
                <w:szCs w:val="16"/>
              </w:rPr>
              <w:t>Corto Plazo</w:t>
            </w:r>
          </w:p>
        </w:tc>
        <w:tc>
          <w:tcPr>
            <w:tcW w:w="1080" w:type="dxa"/>
            <w:tcBorders>
              <w:top w:val="nil"/>
              <w:left w:val="single" w:sz="4" w:space="0" w:color="auto"/>
              <w:bottom w:val="nil"/>
              <w:right w:val="single" w:sz="4" w:space="0" w:color="auto"/>
            </w:tcBorders>
            <w:shd w:val="clear" w:color="auto" w:fill="auto"/>
          </w:tcPr>
          <w:p w14:paraId="720CB57A" w14:textId="77777777" w:rsidR="006B173F" w:rsidRPr="006B173F" w:rsidRDefault="006B173F" w:rsidP="006B173F">
            <w:pPr>
              <w:ind w:right="113"/>
              <w:jc w:val="right"/>
              <w:rPr>
                <w:sz w:val="16"/>
                <w:szCs w:val="16"/>
              </w:rPr>
            </w:pPr>
            <w:r w:rsidRPr="006B173F">
              <w:rPr>
                <w:sz w:val="16"/>
                <w:szCs w:val="16"/>
              </w:rPr>
              <w:t>4 096.6</w:t>
            </w:r>
          </w:p>
        </w:tc>
        <w:tc>
          <w:tcPr>
            <w:tcW w:w="900" w:type="dxa"/>
            <w:tcBorders>
              <w:top w:val="nil"/>
              <w:bottom w:val="nil"/>
            </w:tcBorders>
          </w:tcPr>
          <w:p w14:paraId="6C9AFEBB"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2 200.5 </w:t>
            </w:r>
          </w:p>
        </w:tc>
        <w:tc>
          <w:tcPr>
            <w:tcW w:w="900" w:type="dxa"/>
            <w:tcBorders>
              <w:top w:val="nil"/>
              <w:bottom w:val="nil"/>
            </w:tcBorders>
          </w:tcPr>
          <w:p w14:paraId="112B3E0D"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1 881.5 </w:t>
            </w:r>
          </w:p>
        </w:tc>
        <w:tc>
          <w:tcPr>
            <w:tcW w:w="1080" w:type="dxa"/>
            <w:tcBorders>
              <w:top w:val="nil"/>
              <w:bottom w:val="nil"/>
            </w:tcBorders>
          </w:tcPr>
          <w:p w14:paraId="42F844C6"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319.0 </w:t>
            </w:r>
          </w:p>
        </w:tc>
        <w:tc>
          <w:tcPr>
            <w:tcW w:w="900" w:type="dxa"/>
            <w:tcBorders>
              <w:top w:val="nil"/>
              <w:bottom w:val="nil"/>
            </w:tcBorders>
          </w:tcPr>
          <w:p w14:paraId="497347C8"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-51.3 </w:t>
            </w:r>
          </w:p>
        </w:tc>
        <w:tc>
          <w:tcPr>
            <w:tcW w:w="1080" w:type="dxa"/>
            <w:tcBorders>
              <w:top w:val="nil"/>
              <w:bottom w:val="nil"/>
            </w:tcBorders>
          </w:tcPr>
          <w:p w14:paraId="6695940D"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4 364.3 </w:t>
            </w:r>
          </w:p>
        </w:tc>
      </w:tr>
      <w:tr w:rsidR="006B173F" w:rsidRPr="006B173F" w14:paraId="1F35FFCA" w14:textId="77777777" w:rsidTr="006B173F">
        <w:trPr>
          <w:jc w:val="center"/>
        </w:trPr>
        <w:tc>
          <w:tcPr>
            <w:tcW w:w="3585" w:type="dxa"/>
            <w:tcBorders>
              <w:top w:val="nil"/>
              <w:bottom w:val="nil"/>
              <w:right w:val="single" w:sz="4" w:space="0" w:color="auto"/>
            </w:tcBorders>
            <w:shd w:val="clear" w:color="auto" w:fill="auto"/>
          </w:tcPr>
          <w:p w14:paraId="0CACDA5E" w14:textId="77777777" w:rsidR="006B173F" w:rsidRPr="006B173F" w:rsidRDefault="006B173F" w:rsidP="006B173F">
            <w:pPr>
              <w:ind w:left="57"/>
              <w:rPr>
                <w:rFonts w:eastAsia="Times New Roman"/>
                <w:b/>
                <w:sz w:val="16"/>
                <w:szCs w:val="16"/>
              </w:rPr>
            </w:pPr>
            <w:r w:rsidRPr="006B173F">
              <w:rPr>
                <w:rFonts w:eastAsia="Times New Roman"/>
                <w:b/>
                <w:sz w:val="16"/>
                <w:szCs w:val="16"/>
              </w:rPr>
              <w:t>Por fuentes de financiamiento</w:t>
            </w:r>
          </w:p>
        </w:tc>
        <w:tc>
          <w:tcPr>
            <w:tcW w:w="1080" w:type="dxa"/>
            <w:tcBorders>
              <w:top w:val="nil"/>
              <w:left w:val="single" w:sz="4" w:space="0" w:color="auto"/>
              <w:bottom w:val="nil"/>
              <w:right w:val="single" w:sz="4" w:space="0" w:color="auto"/>
            </w:tcBorders>
            <w:shd w:val="clear" w:color="auto" w:fill="auto"/>
          </w:tcPr>
          <w:p w14:paraId="5E420D88" w14:textId="77777777" w:rsidR="006B173F" w:rsidRPr="006B173F" w:rsidRDefault="006B173F" w:rsidP="006B173F">
            <w:pPr>
              <w:ind w:right="113"/>
              <w:jc w:val="right"/>
              <w:rPr>
                <w:b/>
                <w:sz w:val="16"/>
                <w:szCs w:val="16"/>
              </w:rPr>
            </w:pPr>
            <w:r w:rsidRPr="006B173F">
              <w:rPr>
                <w:b/>
                <w:sz w:val="16"/>
                <w:szCs w:val="16"/>
              </w:rPr>
              <w:t>147 665.8</w:t>
            </w:r>
          </w:p>
        </w:tc>
        <w:tc>
          <w:tcPr>
            <w:tcW w:w="900" w:type="dxa"/>
            <w:tcBorders>
              <w:top w:val="nil"/>
              <w:bottom w:val="nil"/>
            </w:tcBorders>
          </w:tcPr>
          <w:p w14:paraId="270DFBE4"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15 561.5 </w:t>
            </w:r>
          </w:p>
        </w:tc>
        <w:tc>
          <w:tcPr>
            <w:tcW w:w="900" w:type="dxa"/>
            <w:tcBorders>
              <w:top w:val="nil"/>
              <w:bottom w:val="nil"/>
            </w:tcBorders>
          </w:tcPr>
          <w:p w14:paraId="5E85195E" w14:textId="77777777" w:rsidR="006B173F" w:rsidRPr="006B173F" w:rsidRDefault="006B173F" w:rsidP="006B173F">
            <w:pPr>
              <w:ind w:right="57"/>
              <w:jc w:val="right"/>
              <w:rPr>
                <w:rFonts w:eastAsia="Calibri"/>
                <w:sz w:val="16"/>
                <w:szCs w:val="16"/>
                <w:lang w:eastAsia="en-US"/>
              </w:rPr>
            </w:pPr>
            <w:r w:rsidRPr="006B173F">
              <w:rPr>
                <w:rFonts w:eastAsia="Calibri"/>
                <w:b/>
                <w:bCs/>
                <w:sz w:val="16"/>
                <w:szCs w:val="16"/>
                <w:lang w:eastAsia="en-US"/>
              </w:rPr>
              <w:t xml:space="preserve">4 300.0 </w:t>
            </w:r>
          </w:p>
        </w:tc>
        <w:tc>
          <w:tcPr>
            <w:tcW w:w="1080" w:type="dxa"/>
            <w:tcBorders>
              <w:top w:val="nil"/>
              <w:bottom w:val="nil"/>
            </w:tcBorders>
          </w:tcPr>
          <w:p w14:paraId="332B0630"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11 261.5 </w:t>
            </w:r>
          </w:p>
        </w:tc>
        <w:tc>
          <w:tcPr>
            <w:tcW w:w="900" w:type="dxa"/>
            <w:tcBorders>
              <w:top w:val="nil"/>
              <w:bottom w:val="nil"/>
            </w:tcBorders>
          </w:tcPr>
          <w:p w14:paraId="14992D84" w14:textId="77777777" w:rsidR="006B173F" w:rsidRPr="006B173F" w:rsidRDefault="006B173F" w:rsidP="006B173F">
            <w:pPr>
              <w:ind w:right="170"/>
              <w:jc w:val="right"/>
              <w:rPr>
                <w:rFonts w:eastAsia="Calibri"/>
                <w:sz w:val="16"/>
                <w:szCs w:val="16"/>
                <w:lang w:eastAsia="en-US"/>
              </w:rPr>
            </w:pPr>
            <w:r w:rsidRPr="006B173F">
              <w:rPr>
                <w:rFonts w:eastAsia="Calibri"/>
                <w:b/>
                <w:bCs/>
                <w:sz w:val="16"/>
                <w:szCs w:val="16"/>
                <w:lang w:eastAsia="en-US"/>
              </w:rPr>
              <w:t xml:space="preserve">-546.0 </w:t>
            </w:r>
          </w:p>
        </w:tc>
        <w:tc>
          <w:tcPr>
            <w:tcW w:w="1080" w:type="dxa"/>
            <w:tcBorders>
              <w:top w:val="nil"/>
              <w:bottom w:val="nil"/>
            </w:tcBorders>
          </w:tcPr>
          <w:p w14:paraId="5373DEC5" w14:textId="77777777" w:rsidR="006B173F" w:rsidRPr="006B173F" w:rsidRDefault="006B173F" w:rsidP="006B173F">
            <w:pPr>
              <w:ind w:right="113"/>
              <w:jc w:val="right"/>
              <w:rPr>
                <w:rFonts w:eastAsia="Calibri"/>
                <w:sz w:val="16"/>
                <w:szCs w:val="16"/>
                <w:lang w:eastAsia="en-US"/>
              </w:rPr>
            </w:pPr>
            <w:r w:rsidRPr="006B173F">
              <w:rPr>
                <w:rFonts w:eastAsia="Calibri"/>
                <w:b/>
                <w:bCs/>
                <w:sz w:val="16"/>
                <w:szCs w:val="16"/>
                <w:lang w:eastAsia="en-US"/>
              </w:rPr>
              <w:t xml:space="preserve">158 381.3 </w:t>
            </w:r>
          </w:p>
        </w:tc>
      </w:tr>
      <w:tr w:rsidR="006B173F" w:rsidRPr="006B173F" w14:paraId="10F1F52E" w14:textId="77777777" w:rsidTr="006B173F">
        <w:trPr>
          <w:jc w:val="center"/>
        </w:trPr>
        <w:tc>
          <w:tcPr>
            <w:tcW w:w="3585" w:type="dxa"/>
            <w:tcBorders>
              <w:top w:val="nil"/>
              <w:bottom w:val="nil"/>
              <w:right w:val="single" w:sz="4" w:space="0" w:color="auto"/>
            </w:tcBorders>
            <w:shd w:val="clear" w:color="auto" w:fill="auto"/>
          </w:tcPr>
          <w:p w14:paraId="75A2A226" w14:textId="77777777" w:rsidR="006B173F" w:rsidRPr="006B173F" w:rsidRDefault="006B173F" w:rsidP="006B173F">
            <w:pPr>
              <w:ind w:left="170"/>
              <w:rPr>
                <w:rFonts w:eastAsia="Times New Roman"/>
                <w:sz w:val="16"/>
                <w:szCs w:val="16"/>
              </w:rPr>
            </w:pPr>
            <w:r w:rsidRPr="006B173F">
              <w:rPr>
                <w:rFonts w:eastAsia="Times New Roman"/>
                <w:sz w:val="16"/>
                <w:szCs w:val="16"/>
              </w:rPr>
              <w:t>Mercado de Capitales</w:t>
            </w:r>
          </w:p>
        </w:tc>
        <w:tc>
          <w:tcPr>
            <w:tcW w:w="1080" w:type="dxa"/>
            <w:tcBorders>
              <w:top w:val="nil"/>
              <w:left w:val="single" w:sz="4" w:space="0" w:color="auto"/>
              <w:bottom w:val="nil"/>
              <w:right w:val="single" w:sz="4" w:space="0" w:color="auto"/>
            </w:tcBorders>
            <w:shd w:val="clear" w:color="auto" w:fill="auto"/>
          </w:tcPr>
          <w:p w14:paraId="7B338DBA" w14:textId="77777777" w:rsidR="006B173F" w:rsidRPr="006B173F" w:rsidRDefault="006B173F" w:rsidP="006B173F">
            <w:pPr>
              <w:ind w:right="113"/>
              <w:jc w:val="right"/>
              <w:rPr>
                <w:sz w:val="16"/>
                <w:szCs w:val="16"/>
              </w:rPr>
            </w:pPr>
            <w:r w:rsidRPr="006B173F">
              <w:rPr>
                <w:sz w:val="16"/>
                <w:szCs w:val="16"/>
              </w:rPr>
              <w:t>100 708.1</w:t>
            </w:r>
          </w:p>
        </w:tc>
        <w:tc>
          <w:tcPr>
            <w:tcW w:w="900" w:type="dxa"/>
            <w:tcBorders>
              <w:top w:val="nil"/>
              <w:bottom w:val="nil"/>
            </w:tcBorders>
          </w:tcPr>
          <w:p w14:paraId="03D11794"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10 000.0 </w:t>
            </w:r>
          </w:p>
        </w:tc>
        <w:tc>
          <w:tcPr>
            <w:tcW w:w="900" w:type="dxa"/>
            <w:tcBorders>
              <w:top w:val="nil"/>
              <w:bottom w:val="nil"/>
            </w:tcBorders>
          </w:tcPr>
          <w:p w14:paraId="078237C0"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2 057.7 </w:t>
            </w:r>
          </w:p>
        </w:tc>
        <w:tc>
          <w:tcPr>
            <w:tcW w:w="1080" w:type="dxa"/>
            <w:tcBorders>
              <w:top w:val="nil"/>
              <w:bottom w:val="nil"/>
            </w:tcBorders>
          </w:tcPr>
          <w:p w14:paraId="29A16FF5"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7 942.3 </w:t>
            </w:r>
          </w:p>
        </w:tc>
        <w:tc>
          <w:tcPr>
            <w:tcW w:w="900" w:type="dxa"/>
            <w:tcBorders>
              <w:top w:val="nil"/>
              <w:bottom w:val="nil"/>
            </w:tcBorders>
          </w:tcPr>
          <w:p w14:paraId="3150CE1D"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-541.8 </w:t>
            </w:r>
          </w:p>
        </w:tc>
        <w:tc>
          <w:tcPr>
            <w:tcW w:w="1080" w:type="dxa"/>
            <w:tcBorders>
              <w:top w:val="nil"/>
              <w:bottom w:val="nil"/>
            </w:tcBorders>
          </w:tcPr>
          <w:p w14:paraId="04000CA6"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108 108.6 </w:t>
            </w:r>
          </w:p>
        </w:tc>
      </w:tr>
      <w:tr w:rsidR="006B173F" w:rsidRPr="006B173F" w14:paraId="272BF2A7" w14:textId="77777777" w:rsidTr="006B173F">
        <w:trPr>
          <w:jc w:val="center"/>
        </w:trPr>
        <w:tc>
          <w:tcPr>
            <w:tcW w:w="3585" w:type="dxa"/>
            <w:tcBorders>
              <w:top w:val="nil"/>
              <w:bottom w:val="nil"/>
              <w:right w:val="single" w:sz="4" w:space="0" w:color="auto"/>
            </w:tcBorders>
            <w:shd w:val="clear" w:color="auto" w:fill="auto"/>
          </w:tcPr>
          <w:p w14:paraId="2D579405" w14:textId="77777777" w:rsidR="006B173F" w:rsidRPr="006B173F" w:rsidRDefault="006B173F" w:rsidP="006B173F">
            <w:pPr>
              <w:ind w:left="170" w:right="-113"/>
              <w:rPr>
                <w:rFonts w:eastAsia="Times New Roman"/>
                <w:sz w:val="16"/>
                <w:szCs w:val="16"/>
              </w:rPr>
            </w:pPr>
            <w:r w:rsidRPr="006B173F">
              <w:rPr>
                <w:rFonts w:eastAsia="Times New Roman"/>
                <w:sz w:val="16"/>
                <w:szCs w:val="16"/>
              </w:rPr>
              <w:t>Organismos Financieros Internacionales (OFI’s)</w:t>
            </w:r>
          </w:p>
        </w:tc>
        <w:tc>
          <w:tcPr>
            <w:tcW w:w="1080" w:type="dxa"/>
            <w:tcBorders>
              <w:top w:val="nil"/>
              <w:left w:val="single" w:sz="4" w:space="0" w:color="auto"/>
              <w:bottom w:val="nil"/>
              <w:right w:val="single" w:sz="4" w:space="0" w:color="auto"/>
            </w:tcBorders>
            <w:shd w:val="clear" w:color="auto" w:fill="auto"/>
            <w:vAlign w:val="center"/>
          </w:tcPr>
          <w:p w14:paraId="13D64109" w14:textId="77777777" w:rsidR="006B173F" w:rsidRPr="006B173F" w:rsidRDefault="006B173F" w:rsidP="006B173F">
            <w:pPr>
              <w:ind w:right="113"/>
              <w:jc w:val="right"/>
              <w:rPr>
                <w:sz w:val="16"/>
                <w:szCs w:val="16"/>
              </w:rPr>
            </w:pPr>
            <w:r w:rsidRPr="006B173F">
              <w:rPr>
                <w:sz w:val="16"/>
                <w:szCs w:val="16"/>
              </w:rPr>
              <w:t>28 186.0</w:t>
            </w:r>
          </w:p>
        </w:tc>
        <w:tc>
          <w:tcPr>
            <w:tcW w:w="900" w:type="dxa"/>
            <w:tcBorders>
              <w:top w:val="nil"/>
              <w:bottom w:val="nil"/>
            </w:tcBorders>
          </w:tcPr>
          <w:p w14:paraId="1D89B91C"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473.1 </w:t>
            </w:r>
          </w:p>
        </w:tc>
        <w:tc>
          <w:tcPr>
            <w:tcW w:w="900" w:type="dxa"/>
            <w:tcBorders>
              <w:top w:val="nil"/>
              <w:bottom w:val="nil"/>
            </w:tcBorders>
          </w:tcPr>
          <w:p w14:paraId="478F1B8C"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127.2 </w:t>
            </w:r>
          </w:p>
        </w:tc>
        <w:tc>
          <w:tcPr>
            <w:tcW w:w="1080" w:type="dxa"/>
            <w:tcBorders>
              <w:top w:val="nil"/>
              <w:bottom w:val="nil"/>
            </w:tcBorders>
          </w:tcPr>
          <w:p w14:paraId="5820A26C"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345.9 </w:t>
            </w:r>
          </w:p>
        </w:tc>
        <w:tc>
          <w:tcPr>
            <w:tcW w:w="900" w:type="dxa"/>
            <w:tcBorders>
              <w:top w:val="nil"/>
              <w:bottom w:val="nil"/>
            </w:tcBorders>
          </w:tcPr>
          <w:p w14:paraId="7703FDE5"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-44.9 </w:t>
            </w:r>
          </w:p>
        </w:tc>
        <w:tc>
          <w:tcPr>
            <w:tcW w:w="1080" w:type="dxa"/>
            <w:tcBorders>
              <w:top w:val="nil"/>
              <w:bottom w:val="nil"/>
            </w:tcBorders>
          </w:tcPr>
          <w:p w14:paraId="6F303346"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28 487.0 </w:t>
            </w:r>
          </w:p>
        </w:tc>
      </w:tr>
      <w:tr w:rsidR="006B173F" w:rsidRPr="006B173F" w14:paraId="62EC9BC0" w14:textId="77777777" w:rsidTr="006B173F">
        <w:trPr>
          <w:jc w:val="center"/>
        </w:trPr>
        <w:tc>
          <w:tcPr>
            <w:tcW w:w="3585" w:type="dxa"/>
            <w:tcBorders>
              <w:top w:val="nil"/>
              <w:bottom w:val="nil"/>
              <w:right w:val="single" w:sz="4" w:space="0" w:color="auto"/>
            </w:tcBorders>
            <w:shd w:val="clear" w:color="auto" w:fill="auto"/>
          </w:tcPr>
          <w:p w14:paraId="5C08ABA3" w14:textId="77777777" w:rsidR="006B173F" w:rsidRPr="006B173F" w:rsidRDefault="006B173F" w:rsidP="006B173F">
            <w:pPr>
              <w:ind w:left="170"/>
              <w:rPr>
                <w:rFonts w:eastAsia="Times New Roman"/>
                <w:sz w:val="16"/>
                <w:szCs w:val="16"/>
              </w:rPr>
            </w:pPr>
            <w:r w:rsidRPr="006B173F">
              <w:rPr>
                <w:rFonts w:eastAsia="Times New Roman"/>
                <w:sz w:val="16"/>
                <w:szCs w:val="16"/>
              </w:rPr>
              <w:t>Comercio Exterior</w:t>
            </w:r>
          </w:p>
        </w:tc>
        <w:tc>
          <w:tcPr>
            <w:tcW w:w="1080" w:type="dxa"/>
            <w:tcBorders>
              <w:top w:val="nil"/>
              <w:left w:val="single" w:sz="4" w:space="0" w:color="auto"/>
              <w:bottom w:val="nil"/>
              <w:right w:val="single" w:sz="4" w:space="0" w:color="auto"/>
            </w:tcBorders>
            <w:shd w:val="clear" w:color="auto" w:fill="auto"/>
          </w:tcPr>
          <w:p w14:paraId="53AD642E" w14:textId="77777777" w:rsidR="006B173F" w:rsidRPr="006B173F" w:rsidRDefault="006B173F" w:rsidP="006B173F">
            <w:pPr>
              <w:ind w:right="113"/>
              <w:jc w:val="right"/>
              <w:rPr>
                <w:sz w:val="16"/>
                <w:szCs w:val="16"/>
              </w:rPr>
            </w:pPr>
            <w:r w:rsidRPr="006B173F">
              <w:rPr>
                <w:sz w:val="16"/>
                <w:szCs w:val="16"/>
              </w:rPr>
              <w:t>9 044.7</w:t>
            </w:r>
          </w:p>
        </w:tc>
        <w:tc>
          <w:tcPr>
            <w:tcW w:w="900" w:type="dxa"/>
            <w:tcBorders>
              <w:top w:val="nil"/>
              <w:bottom w:val="nil"/>
            </w:tcBorders>
          </w:tcPr>
          <w:p w14:paraId="3DE91BFE"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137.3 </w:t>
            </w:r>
          </w:p>
        </w:tc>
        <w:tc>
          <w:tcPr>
            <w:tcW w:w="900" w:type="dxa"/>
            <w:tcBorders>
              <w:top w:val="nil"/>
              <w:bottom w:val="nil"/>
            </w:tcBorders>
          </w:tcPr>
          <w:p w14:paraId="32E3AC9A"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195.9 </w:t>
            </w:r>
          </w:p>
        </w:tc>
        <w:tc>
          <w:tcPr>
            <w:tcW w:w="1080" w:type="dxa"/>
            <w:tcBorders>
              <w:top w:val="nil"/>
              <w:bottom w:val="nil"/>
            </w:tcBorders>
          </w:tcPr>
          <w:p w14:paraId="636154CD"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-58.6 </w:t>
            </w:r>
          </w:p>
        </w:tc>
        <w:tc>
          <w:tcPr>
            <w:tcW w:w="900" w:type="dxa"/>
            <w:tcBorders>
              <w:top w:val="nil"/>
              <w:bottom w:val="nil"/>
            </w:tcBorders>
          </w:tcPr>
          <w:p w14:paraId="27FF39E8"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-66.8 </w:t>
            </w:r>
          </w:p>
        </w:tc>
        <w:tc>
          <w:tcPr>
            <w:tcW w:w="1080" w:type="dxa"/>
            <w:tcBorders>
              <w:top w:val="nil"/>
              <w:bottom w:val="nil"/>
            </w:tcBorders>
          </w:tcPr>
          <w:p w14:paraId="055D2F4F"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8 919.3 </w:t>
            </w:r>
          </w:p>
        </w:tc>
      </w:tr>
      <w:tr w:rsidR="006B173F" w:rsidRPr="006B173F" w14:paraId="123787A5" w14:textId="77777777" w:rsidTr="006B173F">
        <w:trPr>
          <w:jc w:val="center"/>
        </w:trPr>
        <w:tc>
          <w:tcPr>
            <w:tcW w:w="3585" w:type="dxa"/>
            <w:tcBorders>
              <w:top w:val="nil"/>
              <w:bottom w:val="nil"/>
              <w:right w:val="single" w:sz="4" w:space="0" w:color="auto"/>
            </w:tcBorders>
            <w:shd w:val="clear" w:color="auto" w:fill="auto"/>
          </w:tcPr>
          <w:p w14:paraId="2A1FFB7A" w14:textId="77777777" w:rsidR="006B173F" w:rsidRPr="006B173F" w:rsidRDefault="006B173F" w:rsidP="006B173F">
            <w:pPr>
              <w:ind w:left="170"/>
              <w:rPr>
                <w:rFonts w:eastAsia="Times New Roman"/>
                <w:sz w:val="16"/>
                <w:szCs w:val="16"/>
              </w:rPr>
            </w:pPr>
            <w:r w:rsidRPr="006B173F">
              <w:rPr>
                <w:rFonts w:eastAsia="Times New Roman"/>
                <w:sz w:val="16"/>
                <w:szCs w:val="16"/>
              </w:rPr>
              <w:t>Mercado Bancario</w:t>
            </w:r>
          </w:p>
        </w:tc>
        <w:tc>
          <w:tcPr>
            <w:tcW w:w="1080" w:type="dxa"/>
            <w:tcBorders>
              <w:top w:val="nil"/>
              <w:left w:val="single" w:sz="4" w:space="0" w:color="auto"/>
              <w:bottom w:val="nil"/>
              <w:right w:val="single" w:sz="4" w:space="0" w:color="auto"/>
            </w:tcBorders>
            <w:shd w:val="clear" w:color="auto" w:fill="auto"/>
          </w:tcPr>
          <w:p w14:paraId="27FF5249" w14:textId="77777777" w:rsidR="006B173F" w:rsidRPr="006B173F" w:rsidRDefault="006B173F" w:rsidP="006B173F">
            <w:pPr>
              <w:ind w:right="113"/>
              <w:jc w:val="right"/>
              <w:rPr>
                <w:sz w:val="16"/>
                <w:szCs w:val="16"/>
              </w:rPr>
            </w:pPr>
            <w:r w:rsidRPr="006B173F">
              <w:rPr>
                <w:sz w:val="16"/>
                <w:szCs w:val="16"/>
              </w:rPr>
              <w:t>9 533.8</w:t>
            </w:r>
          </w:p>
        </w:tc>
        <w:tc>
          <w:tcPr>
            <w:tcW w:w="900" w:type="dxa"/>
            <w:tcBorders>
              <w:top w:val="nil"/>
              <w:bottom w:val="nil"/>
            </w:tcBorders>
          </w:tcPr>
          <w:p w14:paraId="090481A1"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4 757.9 </w:t>
            </w:r>
          </w:p>
        </w:tc>
        <w:tc>
          <w:tcPr>
            <w:tcW w:w="900" w:type="dxa"/>
            <w:tcBorders>
              <w:top w:val="nil"/>
              <w:bottom w:val="nil"/>
            </w:tcBorders>
          </w:tcPr>
          <w:p w14:paraId="0CEDBF6E"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1 904.4 </w:t>
            </w:r>
          </w:p>
        </w:tc>
        <w:tc>
          <w:tcPr>
            <w:tcW w:w="1080" w:type="dxa"/>
            <w:tcBorders>
              <w:top w:val="nil"/>
              <w:bottom w:val="nil"/>
            </w:tcBorders>
          </w:tcPr>
          <w:p w14:paraId="17D58C72"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2 853.5 </w:t>
            </w:r>
          </w:p>
        </w:tc>
        <w:tc>
          <w:tcPr>
            <w:tcW w:w="900" w:type="dxa"/>
            <w:tcBorders>
              <w:top w:val="nil"/>
              <w:bottom w:val="nil"/>
            </w:tcBorders>
          </w:tcPr>
          <w:p w14:paraId="7679AEB4"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-2.0 </w:t>
            </w:r>
          </w:p>
        </w:tc>
        <w:tc>
          <w:tcPr>
            <w:tcW w:w="1080" w:type="dxa"/>
            <w:tcBorders>
              <w:top w:val="nil"/>
              <w:bottom w:val="nil"/>
            </w:tcBorders>
          </w:tcPr>
          <w:p w14:paraId="35301F8F"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12 385.3 </w:t>
            </w:r>
          </w:p>
        </w:tc>
      </w:tr>
      <w:tr w:rsidR="006B173F" w:rsidRPr="006B173F" w14:paraId="2DBC76C1" w14:textId="77777777" w:rsidTr="006B173F">
        <w:trPr>
          <w:jc w:val="center"/>
        </w:trPr>
        <w:tc>
          <w:tcPr>
            <w:tcW w:w="3585" w:type="dxa"/>
            <w:tcBorders>
              <w:top w:val="nil"/>
              <w:right w:val="single" w:sz="4" w:space="0" w:color="auto"/>
            </w:tcBorders>
            <w:shd w:val="clear" w:color="auto" w:fill="auto"/>
          </w:tcPr>
          <w:p w14:paraId="775B7E7C" w14:textId="77777777" w:rsidR="006B173F" w:rsidRPr="006B173F" w:rsidRDefault="006B173F" w:rsidP="006B173F">
            <w:pPr>
              <w:ind w:left="170"/>
              <w:rPr>
                <w:rFonts w:eastAsia="Times New Roman"/>
                <w:sz w:val="16"/>
                <w:szCs w:val="16"/>
              </w:rPr>
            </w:pPr>
            <w:r w:rsidRPr="006B173F">
              <w:rPr>
                <w:rFonts w:eastAsia="Times New Roman"/>
                <w:sz w:val="16"/>
                <w:szCs w:val="16"/>
              </w:rPr>
              <w:t>Pidiregas</w:t>
            </w:r>
          </w:p>
        </w:tc>
        <w:tc>
          <w:tcPr>
            <w:tcW w:w="1080" w:type="dxa"/>
            <w:tcBorders>
              <w:top w:val="nil"/>
              <w:left w:val="single" w:sz="4" w:space="0" w:color="auto"/>
              <w:right w:val="single" w:sz="4" w:space="0" w:color="auto"/>
            </w:tcBorders>
            <w:shd w:val="clear" w:color="auto" w:fill="auto"/>
          </w:tcPr>
          <w:p w14:paraId="0C104812" w14:textId="77777777" w:rsidR="006B173F" w:rsidRPr="006B173F" w:rsidRDefault="006B173F" w:rsidP="006B173F">
            <w:pPr>
              <w:ind w:right="113"/>
              <w:jc w:val="right"/>
              <w:rPr>
                <w:sz w:val="16"/>
                <w:szCs w:val="16"/>
              </w:rPr>
            </w:pPr>
            <w:r w:rsidRPr="006B173F">
              <w:rPr>
                <w:sz w:val="16"/>
                <w:szCs w:val="16"/>
              </w:rPr>
              <w:t>193.2</w:t>
            </w:r>
          </w:p>
        </w:tc>
        <w:tc>
          <w:tcPr>
            <w:tcW w:w="900" w:type="dxa"/>
            <w:tcBorders>
              <w:top w:val="nil"/>
            </w:tcBorders>
          </w:tcPr>
          <w:p w14:paraId="67A9991A"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193.2 </w:t>
            </w:r>
          </w:p>
        </w:tc>
        <w:tc>
          <w:tcPr>
            <w:tcW w:w="900" w:type="dxa"/>
            <w:tcBorders>
              <w:top w:val="nil"/>
            </w:tcBorders>
          </w:tcPr>
          <w:p w14:paraId="70636DFB" w14:textId="77777777" w:rsidR="006B173F" w:rsidRPr="006B173F" w:rsidRDefault="006B173F" w:rsidP="006B173F">
            <w:pPr>
              <w:ind w:right="57"/>
              <w:jc w:val="right"/>
              <w:rPr>
                <w:rFonts w:eastAsia="Calibri"/>
                <w:sz w:val="16"/>
                <w:szCs w:val="16"/>
                <w:lang w:eastAsia="en-US"/>
              </w:rPr>
            </w:pPr>
            <w:r w:rsidRPr="006B173F">
              <w:rPr>
                <w:rFonts w:eastAsia="Calibri"/>
                <w:sz w:val="16"/>
                <w:szCs w:val="16"/>
                <w:lang w:eastAsia="en-US"/>
              </w:rPr>
              <w:t xml:space="preserve">14.8 </w:t>
            </w:r>
          </w:p>
        </w:tc>
        <w:tc>
          <w:tcPr>
            <w:tcW w:w="1080" w:type="dxa"/>
            <w:tcBorders>
              <w:top w:val="nil"/>
            </w:tcBorders>
          </w:tcPr>
          <w:p w14:paraId="317F39D5"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178.4 </w:t>
            </w:r>
          </w:p>
        </w:tc>
        <w:tc>
          <w:tcPr>
            <w:tcW w:w="900" w:type="dxa"/>
            <w:tcBorders>
              <w:top w:val="nil"/>
            </w:tcBorders>
          </w:tcPr>
          <w:p w14:paraId="78DA7FC2" w14:textId="77777777" w:rsidR="006B173F" w:rsidRPr="006B173F" w:rsidRDefault="006B173F" w:rsidP="006B173F">
            <w:pPr>
              <w:ind w:right="170"/>
              <w:jc w:val="right"/>
              <w:rPr>
                <w:rFonts w:eastAsia="Calibri"/>
                <w:sz w:val="16"/>
                <w:szCs w:val="16"/>
                <w:lang w:eastAsia="en-US"/>
              </w:rPr>
            </w:pPr>
            <w:r w:rsidRPr="006B173F">
              <w:rPr>
                <w:rFonts w:eastAsia="Calibri"/>
                <w:sz w:val="16"/>
                <w:szCs w:val="16"/>
                <w:lang w:eastAsia="en-US"/>
              </w:rPr>
              <w:t xml:space="preserve">109.5 </w:t>
            </w:r>
          </w:p>
        </w:tc>
        <w:tc>
          <w:tcPr>
            <w:tcW w:w="1080" w:type="dxa"/>
            <w:tcBorders>
              <w:top w:val="nil"/>
            </w:tcBorders>
          </w:tcPr>
          <w:p w14:paraId="71643E71" w14:textId="77777777" w:rsidR="006B173F" w:rsidRPr="006B173F" w:rsidRDefault="006B173F" w:rsidP="006B173F">
            <w:pPr>
              <w:ind w:right="113"/>
              <w:jc w:val="right"/>
              <w:rPr>
                <w:rFonts w:eastAsia="Calibri"/>
                <w:sz w:val="16"/>
                <w:szCs w:val="16"/>
                <w:lang w:eastAsia="en-US"/>
              </w:rPr>
            </w:pPr>
            <w:r w:rsidRPr="006B173F">
              <w:rPr>
                <w:rFonts w:eastAsia="Calibri"/>
                <w:sz w:val="16"/>
                <w:szCs w:val="16"/>
                <w:lang w:eastAsia="en-US"/>
              </w:rPr>
              <w:t xml:space="preserve">481.1 </w:t>
            </w:r>
          </w:p>
        </w:tc>
      </w:tr>
      <w:tr w:rsidR="006B173F" w:rsidRPr="006B173F" w14:paraId="24631D82" w14:textId="77777777" w:rsidTr="006B173F">
        <w:trPr>
          <w:jc w:val="center"/>
        </w:trPr>
        <w:tc>
          <w:tcPr>
            <w:tcW w:w="9525" w:type="dxa"/>
            <w:gridSpan w:val="7"/>
            <w:tcBorders>
              <w:left w:val="nil"/>
              <w:bottom w:val="nil"/>
              <w:right w:val="nil"/>
            </w:tcBorders>
            <w:shd w:val="clear" w:color="auto" w:fill="auto"/>
          </w:tcPr>
          <w:p w14:paraId="32248DC6" w14:textId="77777777" w:rsidR="006B173F" w:rsidRPr="006B173F" w:rsidRDefault="006B173F" w:rsidP="006B173F">
            <w:pPr>
              <w:jc w:val="both"/>
              <w:rPr>
                <w:rFonts w:eastAsia="Times New Roman"/>
                <w:sz w:val="16"/>
                <w:szCs w:val="16"/>
              </w:rPr>
            </w:pPr>
            <w:r w:rsidRPr="006B173F">
              <w:rPr>
                <w:rFonts w:eastAsia="Times New Roman"/>
                <w:sz w:val="16"/>
                <w:szCs w:val="16"/>
              </w:rPr>
              <w:t>Nota: Las sumas parciales pueden no coincidir debido al redondeo.</w:t>
            </w:r>
          </w:p>
          <w:p w14:paraId="3F5FBF98" w14:textId="77777777" w:rsidR="006B173F" w:rsidRPr="006B173F" w:rsidRDefault="006B173F" w:rsidP="006B173F">
            <w:pPr>
              <w:jc w:val="both"/>
              <w:rPr>
                <w:rFonts w:eastAsia="Times New Roman"/>
                <w:sz w:val="16"/>
                <w:szCs w:val="16"/>
              </w:rPr>
            </w:pPr>
            <w:r w:rsidRPr="006B173F">
              <w:rPr>
                <w:rFonts w:eastAsia="Times New Roman"/>
                <w:sz w:val="16"/>
                <w:szCs w:val="16"/>
              </w:rPr>
              <w:t>*  Cifras sujetas a revisiones por cambios y adecuaciones metodológicas.</w:t>
            </w:r>
          </w:p>
          <w:p w14:paraId="5745FBD1" w14:textId="77777777" w:rsidR="006B173F" w:rsidRPr="006B173F" w:rsidRDefault="006B173F" w:rsidP="006B173F">
            <w:pPr>
              <w:jc w:val="both"/>
              <w:rPr>
                <w:rFonts w:eastAsia="Times New Roman"/>
                <w:sz w:val="16"/>
                <w:szCs w:val="16"/>
              </w:rPr>
            </w:pPr>
            <w:r w:rsidRPr="006B173F">
              <w:rPr>
                <w:rFonts w:eastAsia="Times New Roman"/>
                <w:sz w:val="16"/>
                <w:szCs w:val="16"/>
                <w:u w:val="single"/>
              </w:rPr>
              <w:t>p</w:t>
            </w:r>
            <w:r w:rsidRPr="006B173F">
              <w:rPr>
                <w:rFonts w:eastAsia="Times New Roman"/>
                <w:sz w:val="16"/>
                <w:szCs w:val="16"/>
              </w:rPr>
              <w:t>/ Cifras preliminares.</w:t>
            </w:r>
          </w:p>
          <w:p w14:paraId="32DA5359" w14:textId="77777777" w:rsidR="006B173F" w:rsidRPr="006B173F" w:rsidRDefault="006B173F" w:rsidP="006B173F">
            <w:pPr>
              <w:jc w:val="both"/>
              <w:rPr>
                <w:rFonts w:eastAsia="Times New Roman"/>
                <w:sz w:val="16"/>
                <w:szCs w:val="16"/>
              </w:rPr>
            </w:pPr>
            <w:r w:rsidRPr="006B173F">
              <w:rPr>
                <w:rFonts w:eastAsia="Times New Roman"/>
                <w:sz w:val="16"/>
                <w:szCs w:val="16"/>
                <w:u w:val="single"/>
              </w:rPr>
              <w:t>1</w:t>
            </w:r>
            <w:r w:rsidRPr="006B173F">
              <w:rPr>
                <w:rFonts w:eastAsia="Times New Roman"/>
                <w:sz w:val="16"/>
                <w:szCs w:val="16"/>
              </w:rPr>
              <w:t>/ Incluye la deuda del Gobierno Federal, Organismos y Empresas y Banca de Desarrollo.</w:t>
            </w:r>
          </w:p>
          <w:p w14:paraId="7CBC4FAD" w14:textId="77777777" w:rsidR="006B173F" w:rsidRPr="006B173F" w:rsidRDefault="006B173F" w:rsidP="006B173F">
            <w:pPr>
              <w:ind w:left="170" w:hanging="170"/>
              <w:jc w:val="both"/>
              <w:rPr>
                <w:rFonts w:eastAsia="Times New Roman"/>
                <w:sz w:val="16"/>
                <w:szCs w:val="16"/>
              </w:rPr>
            </w:pPr>
            <w:r w:rsidRPr="006B173F">
              <w:rPr>
                <w:rFonts w:eastAsia="Times New Roman"/>
                <w:sz w:val="16"/>
                <w:szCs w:val="16"/>
                <w:u w:val="single"/>
              </w:rPr>
              <w:t>2</w:t>
            </w:r>
            <w:r w:rsidRPr="006B173F">
              <w:rPr>
                <w:rFonts w:eastAsia="Times New Roman"/>
                <w:sz w:val="16"/>
                <w:szCs w:val="16"/>
              </w:rPr>
              <w:t>/ Considera el saldo neto denominado en dólares de la Cuenta General de la Tesorería de la Federación, así como las disponibilidades de los Organismos y Empresas Productivas del Estado y de la Banca de Desarrollo.</w:t>
            </w:r>
          </w:p>
          <w:p w14:paraId="5F499196" w14:textId="77777777" w:rsidR="006B173F" w:rsidRPr="006B173F" w:rsidRDefault="006B173F" w:rsidP="006B173F">
            <w:pPr>
              <w:jc w:val="both"/>
              <w:rPr>
                <w:rFonts w:eastAsia="Times New Roman"/>
                <w:sz w:val="16"/>
                <w:szCs w:val="16"/>
              </w:rPr>
            </w:pPr>
            <w:r w:rsidRPr="006B173F">
              <w:rPr>
                <w:rFonts w:eastAsia="Times New Roman"/>
                <w:sz w:val="16"/>
                <w:szCs w:val="16"/>
              </w:rPr>
              <w:t xml:space="preserve">FUENTE: </w:t>
            </w:r>
            <w:r w:rsidRPr="006B173F">
              <w:rPr>
                <w:rFonts w:eastAsia="Times New Roman"/>
                <w:iCs/>
                <w:sz w:val="16"/>
                <w:szCs w:val="16"/>
              </w:rPr>
              <w:t>Dirección General Adjunta de Deuda Pública, UCP</w:t>
            </w:r>
            <w:r w:rsidRPr="006B173F">
              <w:rPr>
                <w:rFonts w:eastAsia="Times New Roman"/>
                <w:i/>
                <w:iCs/>
                <w:sz w:val="20"/>
                <w:szCs w:val="20"/>
              </w:rPr>
              <w:t>.</w:t>
            </w:r>
          </w:p>
        </w:tc>
      </w:tr>
    </w:tbl>
    <w:p w14:paraId="096FBAEE" w14:textId="77777777" w:rsidR="006B173F" w:rsidRPr="006B173F" w:rsidRDefault="006B173F" w:rsidP="006B173F">
      <w:pPr>
        <w:spacing w:after="360" w:line="360" w:lineRule="auto"/>
        <w:ind w:right="-159"/>
        <w:jc w:val="both"/>
        <w:rPr>
          <w:rFonts w:eastAsia="Calibri"/>
          <w:sz w:val="26"/>
          <w:szCs w:val="26"/>
          <w:lang w:eastAsia="en-US"/>
        </w:rPr>
      </w:pPr>
    </w:p>
    <w:p w14:paraId="1E62E081" w14:textId="77777777" w:rsidR="006B173F" w:rsidRPr="006B173F" w:rsidRDefault="006B173F" w:rsidP="006B173F">
      <w:pPr>
        <w:spacing w:after="360" w:line="360" w:lineRule="auto"/>
        <w:ind w:right="-159"/>
        <w:jc w:val="both"/>
        <w:rPr>
          <w:rFonts w:eastAsia="Calibri"/>
          <w:sz w:val="26"/>
          <w:szCs w:val="26"/>
          <w:lang w:eastAsia="en-US"/>
        </w:rPr>
      </w:pPr>
      <w:r w:rsidRPr="006B173F">
        <w:rPr>
          <w:rFonts w:eastAsia="Calibri"/>
          <w:sz w:val="26"/>
          <w:szCs w:val="26"/>
          <w:lang w:eastAsia="en-US"/>
        </w:rPr>
        <w:t>El Saldo Histórico de los RFSP ascendió a 7 billones 662 mil millones de pesos y fue superior en 215 mil millones de pesos al de diciembre de 2014.</w:t>
      </w:r>
    </w:p>
    <w:p w14:paraId="524B7680" w14:textId="77777777" w:rsidR="006B173F" w:rsidRPr="006B173F" w:rsidRDefault="006B173F" w:rsidP="006B173F">
      <w:pPr>
        <w:ind w:right="-159"/>
        <w:jc w:val="both"/>
        <w:rPr>
          <w:rFonts w:eastAsia="Calibri"/>
          <w:b/>
          <w:sz w:val="20"/>
          <w:szCs w:val="20"/>
          <w:lang w:eastAsia="en-US"/>
        </w:rPr>
      </w:pPr>
      <w:r w:rsidRPr="006B173F">
        <w:rPr>
          <w:rFonts w:eastAsia="Calibri"/>
          <w:b/>
          <w:sz w:val="20"/>
          <w:szCs w:val="20"/>
          <w:lang w:eastAsia="en-US"/>
        </w:rPr>
        <w:t>Fuente de información:</w:t>
      </w:r>
    </w:p>
    <w:p w14:paraId="340DEAD6" w14:textId="77777777" w:rsidR="006B173F" w:rsidRPr="00710C76" w:rsidRDefault="0045651A" w:rsidP="00710C76">
      <w:pPr>
        <w:spacing w:after="720"/>
        <w:ind w:right="-159"/>
        <w:jc w:val="both"/>
        <w:rPr>
          <w:rFonts w:eastAsia="Calibri"/>
          <w:color w:val="0000FF"/>
          <w:sz w:val="20"/>
          <w:szCs w:val="20"/>
          <w:lang w:eastAsia="en-US"/>
        </w:rPr>
      </w:pPr>
      <w:hyperlink r:id="rId219" w:history="1">
        <w:r w:rsidR="006B173F" w:rsidRPr="00710C76">
          <w:rPr>
            <w:rFonts w:eastAsia="Calibri"/>
            <w:color w:val="0000FF"/>
            <w:sz w:val="20"/>
            <w:szCs w:val="20"/>
            <w:u w:val="single"/>
            <w:lang w:eastAsia="en-US"/>
          </w:rPr>
          <w:t>http://www.shcp.gob.mx/Biblioteca_noticias_home/comunicado_028_2015.pdf</w:t>
        </w:r>
      </w:hyperlink>
    </w:p>
    <w:p w14:paraId="025300FE" w14:textId="77777777" w:rsidR="00022974" w:rsidRPr="00022974" w:rsidRDefault="00022974" w:rsidP="00022974">
      <w:pPr>
        <w:spacing w:after="360" w:line="360" w:lineRule="auto"/>
        <w:ind w:right="-159"/>
        <w:jc w:val="both"/>
        <w:rPr>
          <w:rFonts w:eastAsia="Calibri"/>
          <w:b/>
          <w:sz w:val="26"/>
          <w:szCs w:val="26"/>
          <w:lang w:eastAsia="en-US"/>
        </w:rPr>
      </w:pPr>
      <w:r w:rsidRPr="00022974">
        <w:rPr>
          <w:rFonts w:eastAsia="Calibri"/>
          <w:b/>
          <w:sz w:val="26"/>
          <w:szCs w:val="26"/>
          <w:lang w:eastAsia="en-US"/>
        </w:rPr>
        <w:t>Nueva emisión de bonos soberanos a 100 años (SHCP)</w:t>
      </w:r>
    </w:p>
    <w:p w14:paraId="4559B4FD" w14:textId="21AB8528"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bCs/>
          <w:sz w:val="26"/>
          <w:szCs w:val="26"/>
          <w:lang w:eastAsia="en-US"/>
        </w:rPr>
        <w:t>El 12 de abril de 2015, la Secretaría de Hacienda y Crédito Público (SHCP) publicó a través de la Unidad de Comunicación Social y Vocero de la SHCP, en su “Informe Semanal del Vocero de la SHCP” correspondiente a la semana que va del 6 al 10 de abril de 2015, una nota informativa en la que se describen las bondades de una nueva emisión de bonos soberanos a 100 años. A continuación se presenta la información.</w:t>
      </w:r>
    </w:p>
    <w:p w14:paraId="1D8127E7"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lastRenderedPageBreak/>
        <w:t>Para el financiamiento de las actividades de gasto e inversión los gobiernos utilizan dos mecanismos:</w:t>
      </w:r>
    </w:p>
    <w:p w14:paraId="7EE4992A" w14:textId="77777777" w:rsidR="00022974" w:rsidRPr="00022974" w:rsidRDefault="00022974" w:rsidP="002D3902">
      <w:pPr>
        <w:numPr>
          <w:ilvl w:val="0"/>
          <w:numId w:val="119"/>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Ingresos: que se recaudan de los impuestos, aprovechamientos y los derivados de los servicios públicos; y</w:t>
      </w:r>
    </w:p>
    <w:p w14:paraId="22D4CEB4" w14:textId="77777777" w:rsidR="00022974" w:rsidRPr="00022974" w:rsidRDefault="00022974" w:rsidP="002D3902">
      <w:pPr>
        <w:numPr>
          <w:ilvl w:val="0"/>
          <w:numId w:val="119"/>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Emisión de deuda pública: consiste en captar recursos de inversionistas.</w:t>
      </w:r>
    </w:p>
    <w:p w14:paraId="590A9F57"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Este último es utilizado para obtener recursos adicionales que provienen tanto del mercado nacional (deuda interna) como de los internacionales (deuda externa). La participación de los gobiernos en estos últimos tiene como objetivos: diversificar la base de inversionistas; mantener liquidez de los bonos de referencia en moneda extranjera, y sobre todo, obtener tasas atractivas de financiamiento. La emisión de deuda en un punto particular del tiempo se utiliza, también como un mecanismo para refinanciar pasivos que tienen un costo mayor o vencimiento de menor plazo.</w:t>
      </w:r>
    </w:p>
    <w:p w14:paraId="078F9F2E" w14:textId="62090C56"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En México, la política de crédito público se instrumenta de acuerdo con tres objetivos principales</w:t>
      </w:r>
      <w:r w:rsidRPr="00022974">
        <w:rPr>
          <w:rFonts w:eastAsia="Calibri"/>
          <w:sz w:val="26"/>
          <w:szCs w:val="26"/>
          <w:vertAlign w:val="superscript"/>
          <w:lang w:eastAsia="en-US"/>
        </w:rPr>
        <w:footnoteReference w:id="22"/>
      </w:r>
      <w:r>
        <w:rPr>
          <w:rFonts w:eastAsia="Calibri"/>
          <w:sz w:val="26"/>
          <w:szCs w:val="26"/>
          <w:lang w:eastAsia="en-US"/>
        </w:rPr>
        <w:t>.</w:t>
      </w:r>
    </w:p>
    <w:p w14:paraId="2BDA61A2" w14:textId="77777777" w:rsidR="00022974" w:rsidRPr="00022974" w:rsidRDefault="00022974" w:rsidP="002D3902">
      <w:pPr>
        <w:numPr>
          <w:ilvl w:val="0"/>
          <w:numId w:val="120"/>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Satisfacer las necesidades de financiamiento del Gobierno Federal a bajos costos en un horizonte de largo plazo y con un bajo nivel de riesgo.</w:t>
      </w:r>
    </w:p>
    <w:p w14:paraId="73E046FC" w14:textId="77777777" w:rsidR="00022974" w:rsidRPr="00022974" w:rsidRDefault="00022974" w:rsidP="002D3902">
      <w:pPr>
        <w:numPr>
          <w:ilvl w:val="0"/>
          <w:numId w:val="120"/>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Mantener la diversidad del acceso al crédito en diferentes mercados.</w:t>
      </w:r>
    </w:p>
    <w:p w14:paraId="7E102828" w14:textId="77777777" w:rsidR="00022974" w:rsidRPr="00022974" w:rsidRDefault="00022974" w:rsidP="002D3902">
      <w:pPr>
        <w:numPr>
          <w:ilvl w:val="0"/>
          <w:numId w:val="120"/>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Incentivar el desarrollo de mercados líquidos y profundos, con curvas de rendimiento que faciliten el acceso al financiamiento a los agentes económicos públicos y privados.</w:t>
      </w:r>
    </w:p>
    <w:p w14:paraId="4CE1750D"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lastRenderedPageBreak/>
        <w:t xml:space="preserve">La estrategia para el logro de los anteriores objetivos se basa en: </w:t>
      </w:r>
    </w:p>
    <w:p w14:paraId="00544A92" w14:textId="77777777" w:rsidR="00022974" w:rsidRPr="00022974" w:rsidRDefault="00022974" w:rsidP="002D3902">
      <w:pPr>
        <w:numPr>
          <w:ilvl w:val="0"/>
          <w:numId w:val="121"/>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El financiamiento de las necesidades de recursos principalmente mediante la emisión de valores gubernamentales en el mercado interno. Esto es, en moneda nacional, a largo plazo con tasa de interés fija.</w:t>
      </w:r>
    </w:p>
    <w:p w14:paraId="3CBD6428" w14:textId="77777777" w:rsidR="00022974" w:rsidRPr="00022974" w:rsidRDefault="00022974" w:rsidP="002D3902">
      <w:pPr>
        <w:numPr>
          <w:ilvl w:val="0"/>
          <w:numId w:val="121"/>
        </w:numPr>
        <w:spacing w:after="360" w:line="360" w:lineRule="auto"/>
        <w:ind w:left="714" w:right="-159" w:hanging="357"/>
        <w:jc w:val="both"/>
        <w:rPr>
          <w:rFonts w:eastAsia="Calibri"/>
          <w:sz w:val="26"/>
          <w:szCs w:val="26"/>
          <w:lang w:eastAsia="en-US"/>
        </w:rPr>
      </w:pPr>
      <w:r w:rsidRPr="00022974">
        <w:rPr>
          <w:rFonts w:eastAsia="Calibri"/>
          <w:sz w:val="26"/>
          <w:szCs w:val="26"/>
          <w:lang w:eastAsia="en-US"/>
        </w:rPr>
        <w:t>Utilizar de manera activa el crédito externo complementario al mercado interno, buscando ampliar y diversificar las fuentes de financiamiento.</w:t>
      </w:r>
    </w:p>
    <w:p w14:paraId="48B83750"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En línea con esta estrategia, actualmente el 79.2% de la deuda del Gobierno es interna y el 20.8% externa. Esta composición implica menores riesgos derivados del movimiento del mercado cambiario.</w:t>
      </w:r>
    </w:p>
    <w:p w14:paraId="5E2EC5B0" w14:textId="77777777" w:rsidR="00022974" w:rsidRPr="00022974" w:rsidRDefault="00022974" w:rsidP="00022974">
      <w:pPr>
        <w:spacing w:after="360" w:line="360" w:lineRule="auto"/>
        <w:ind w:right="-159"/>
        <w:jc w:val="center"/>
        <w:rPr>
          <w:rFonts w:eastAsia="Calibri"/>
          <w:sz w:val="26"/>
          <w:szCs w:val="26"/>
          <w:lang w:eastAsia="en-US"/>
        </w:rPr>
      </w:pPr>
      <w:r w:rsidRPr="00022974">
        <w:rPr>
          <w:rFonts w:ascii="Calibri" w:eastAsia="Calibri" w:hAnsi="Calibri"/>
          <w:noProof/>
          <w:sz w:val="22"/>
          <w:szCs w:val="22"/>
          <w:lang w:eastAsia="es-MX"/>
        </w:rPr>
        <w:drawing>
          <wp:inline distT="0" distB="0" distL="0" distR="0" wp14:anchorId="74AC7239" wp14:editId="16A6D8F7">
            <wp:extent cx="4558925" cy="2330049"/>
            <wp:effectExtent l="0" t="0" r="0" b="0"/>
            <wp:docPr id="1766" name="Imagen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t="1474" b="30594"/>
                    <a:stretch/>
                  </pic:blipFill>
                  <pic:spPr bwMode="auto">
                    <a:xfrm>
                      <a:off x="0" y="0"/>
                      <a:ext cx="4559300" cy="2330241"/>
                    </a:xfrm>
                    <a:prstGeom prst="rect">
                      <a:avLst/>
                    </a:prstGeom>
                    <a:noFill/>
                    <a:ln>
                      <a:noFill/>
                    </a:ln>
                    <a:extLst>
                      <a:ext uri="{53640926-AAD7-44D8-BBD7-CCE9431645EC}">
                        <a14:shadowObscured xmlns:a14="http://schemas.microsoft.com/office/drawing/2010/main"/>
                      </a:ext>
                    </a:extLst>
                  </pic:spPr>
                </pic:pic>
              </a:graphicData>
            </a:graphic>
          </wp:inline>
        </w:drawing>
      </w:r>
    </w:p>
    <w:p w14:paraId="4362D1AC"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Sin embargo, para México resulta importante mantener presencia en los mercados financieros internacionales. La estrategia en esta materia busca procurar un funcionamiento ordenado y eficiente de las curvas de rendimientos en moneda extranjera. Esto implica un manejo de pasivos que amplíe las oportunidades de financiamiento, reduzca el costo de la deuda y sirva como referencia para guiar el costo de otras emisiones del sector público y privado.</w:t>
      </w:r>
    </w:p>
    <w:p w14:paraId="41127A11" w14:textId="741ADF1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lastRenderedPageBreak/>
        <w:t>En este contexto, el pasado 8 de abril el Gobierno Mexicano realizó una emisión de deuda en los mercados internacionales de capi</w:t>
      </w:r>
      <w:r w:rsidR="00380EBF">
        <w:rPr>
          <w:rFonts w:eastAsia="Calibri"/>
          <w:sz w:val="26"/>
          <w:szCs w:val="26"/>
          <w:lang w:eastAsia="en-US"/>
        </w:rPr>
        <w:t>tal a través de la cual colocó un</w:t>
      </w:r>
      <w:r w:rsidRPr="00022974">
        <w:rPr>
          <w:rFonts w:eastAsia="Calibri"/>
          <w:sz w:val="26"/>
          <w:szCs w:val="26"/>
          <w:lang w:eastAsia="en-US"/>
        </w:rPr>
        <w:t xml:space="preserve"> mil 500 millones de euros de Bonos Global</w:t>
      </w:r>
      <w:r w:rsidR="00380EBF">
        <w:rPr>
          <w:rFonts w:eastAsia="Calibri"/>
          <w:sz w:val="26"/>
          <w:szCs w:val="26"/>
          <w:lang w:eastAsia="en-US"/>
        </w:rPr>
        <w:t>es a 100 años (aproximadamente un</w:t>
      </w:r>
      <w:r w:rsidRPr="00022974">
        <w:rPr>
          <w:rFonts w:eastAsia="Calibri"/>
          <w:sz w:val="26"/>
          <w:szCs w:val="26"/>
          <w:lang w:eastAsia="en-US"/>
        </w:rPr>
        <w:t xml:space="preserve"> mil 620 millones de dólares). Se trata de la primera emisión soberana en euros a dicho plazo.</w:t>
      </w:r>
    </w:p>
    <w:p w14:paraId="7CE1BC0F" w14:textId="4FCD297B"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En ésta se contó con la participación de 238 inversionistas, con lo que se recibieron posturas de compra por 6 mil 343 millones de euros, 4.2 veces el monto emitido. La tasa anual del cupón es de 4% anual, mientras que la tasa de rendimiento al vencimiento es de 4.2%, lo cual resultó en un costo financiero menor al registrado en emisiones previas al mismo plazo.</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11"/>
        <w:gridCol w:w="1316"/>
        <w:gridCol w:w="795"/>
        <w:gridCol w:w="1378"/>
        <w:gridCol w:w="2316"/>
      </w:tblGrid>
      <w:tr w:rsidR="00022974" w:rsidRPr="00380EBF" w14:paraId="2BBDDEB4" w14:textId="77777777" w:rsidTr="00D96653">
        <w:trPr>
          <w:jc w:val="center"/>
        </w:trPr>
        <w:tc>
          <w:tcPr>
            <w:tcW w:w="0" w:type="auto"/>
            <w:gridSpan w:val="5"/>
            <w:tcBorders>
              <w:top w:val="nil"/>
              <w:left w:val="nil"/>
              <w:right w:val="nil"/>
            </w:tcBorders>
          </w:tcPr>
          <w:p w14:paraId="29BF521D" w14:textId="0CCBCA27" w:rsidR="00022974" w:rsidRPr="00380EBF" w:rsidRDefault="00022974" w:rsidP="0056360F">
            <w:pPr>
              <w:jc w:val="center"/>
              <w:rPr>
                <w:rFonts w:eastAsia="Calibri"/>
                <w:b/>
                <w:sz w:val="22"/>
                <w:szCs w:val="22"/>
                <w:lang w:eastAsia="en-US"/>
              </w:rPr>
            </w:pPr>
            <w:r w:rsidRPr="00380EBF">
              <w:rPr>
                <w:rFonts w:eastAsia="Calibri"/>
                <w:b/>
                <w:sz w:val="22"/>
                <w:szCs w:val="22"/>
                <w:lang w:eastAsia="en-US"/>
              </w:rPr>
              <w:t>EMISIONES A 100 AÑOS DEL GOBIERNO FEDERAL</w:t>
            </w:r>
          </w:p>
        </w:tc>
      </w:tr>
      <w:tr w:rsidR="00022974" w:rsidRPr="00380EBF" w14:paraId="08357076" w14:textId="77777777" w:rsidTr="00380EBF">
        <w:trPr>
          <w:jc w:val="center"/>
        </w:trPr>
        <w:tc>
          <w:tcPr>
            <w:tcW w:w="0" w:type="auto"/>
            <w:vAlign w:val="center"/>
          </w:tcPr>
          <w:p w14:paraId="2E1573C3" w14:textId="77777777" w:rsidR="00022974" w:rsidRPr="00380EBF" w:rsidRDefault="00022974" w:rsidP="00022974">
            <w:pPr>
              <w:jc w:val="center"/>
              <w:rPr>
                <w:rFonts w:eastAsia="Calibri"/>
                <w:b/>
                <w:sz w:val="20"/>
                <w:szCs w:val="20"/>
                <w:lang w:eastAsia="en-US"/>
              </w:rPr>
            </w:pPr>
            <w:r w:rsidRPr="00380EBF">
              <w:rPr>
                <w:rFonts w:eastAsia="Calibri"/>
                <w:b/>
                <w:sz w:val="20"/>
                <w:szCs w:val="20"/>
                <w:lang w:eastAsia="en-US"/>
              </w:rPr>
              <w:t>Fecha</w:t>
            </w:r>
          </w:p>
        </w:tc>
        <w:tc>
          <w:tcPr>
            <w:tcW w:w="0" w:type="auto"/>
            <w:vAlign w:val="center"/>
          </w:tcPr>
          <w:p w14:paraId="45ED79C1" w14:textId="77777777" w:rsidR="00022974" w:rsidRDefault="00022974" w:rsidP="00022974">
            <w:pPr>
              <w:jc w:val="center"/>
              <w:rPr>
                <w:rFonts w:eastAsia="Calibri"/>
                <w:b/>
                <w:sz w:val="20"/>
                <w:szCs w:val="20"/>
                <w:lang w:eastAsia="en-US"/>
              </w:rPr>
            </w:pPr>
            <w:r w:rsidRPr="00380EBF">
              <w:rPr>
                <w:rFonts w:eastAsia="Calibri"/>
                <w:b/>
                <w:sz w:val="20"/>
                <w:szCs w:val="20"/>
                <w:lang w:eastAsia="en-US"/>
              </w:rPr>
              <w:t>Rendimiento</w:t>
            </w:r>
          </w:p>
          <w:p w14:paraId="0806C78D" w14:textId="4264B974" w:rsidR="00380EBF" w:rsidRPr="00380EBF" w:rsidRDefault="00380EBF" w:rsidP="00022974">
            <w:pPr>
              <w:jc w:val="center"/>
              <w:rPr>
                <w:rFonts w:eastAsia="Calibri"/>
                <w:b/>
                <w:sz w:val="20"/>
                <w:szCs w:val="20"/>
                <w:lang w:eastAsia="en-US"/>
              </w:rPr>
            </w:pPr>
            <w:r>
              <w:rPr>
                <w:rFonts w:eastAsia="Calibri"/>
                <w:b/>
                <w:sz w:val="20"/>
                <w:szCs w:val="20"/>
                <w:lang w:eastAsia="en-US"/>
              </w:rPr>
              <w:t>(%)</w:t>
            </w:r>
          </w:p>
        </w:tc>
        <w:tc>
          <w:tcPr>
            <w:tcW w:w="0" w:type="auto"/>
            <w:vAlign w:val="center"/>
          </w:tcPr>
          <w:p w14:paraId="2D2B76E7" w14:textId="77777777" w:rsidR="00022974" w:rsidRDefault="00022974" w:rsidP="00022974">
            <w:pPr>
              <w:jc w:val="center"/>
              <w:rPr>
                <w:rFonts w:eastAsia="Calibri"/>
                <w:b/>
                <w:sz w:val="20"/>
                <w:szCs w:val="20"/>
                <w:lang w:eastAsia="en-US"/>
              </w:rPr>
            </w:pPr>
            <w:r w:rsidRPr="00380EBF">
              <w:rPr>
                <w:rFonts w:eastAsia="Calibri"/>
                <w:b/>
                <w:sz w:val="20"/>
                <w:szCs w:val="20"/>
                <w:lang w:eastAsia="en-US"/>
              </w:rPr>
              <w:t>Cupón</w:t>
            </w:r>
          </w:p>
          <w:p w14:paraId="0722192F" w14:textId="777D34A3" w:rsidR="00380EBF" w:rsidRPr="00380EBF" w:rsidRDefault="00380EBF" w:rsidP="00022974">
            <w:pPr>
              <w:jc w:val="center"/>
              <w:rPr>
                <w:rFonts w:eastAsia="Calibri"/>
                <w:b/>
                <w:sz w:val="20"/>
                <w:szCs w:val="20"/>
                <w:lang w:eastAsia="en-US"/>
              </w:rPr>
            </w:pPr>
            <w:r>
              <w:rPr>
                <w:rFonts w:eastAsia="Calibri"/>
                <w:b/>
                <w:sz w:val="20"/>
                <w:szCs w:val="20"/>
                <w:lang w:eastAsia="en-US"/>
              </w:rPr>
              <w:t>(%)</w:t>
            </w:r>
          </w:p>
        </w:tc>
        <w:tc>
          <w:tcPr>
            <w:tcW w:w="0" w:type="auto"/>
            <w:vAlign w:val="center"/>
          </w:tcPr>
          <w:p w14:paraId="422CD2F3" w14:textId="77777777" w:rsidR="00022974" w:rsidRPr="00380EBF" w:rsidRDefault="00022974" w:rsidP="00022974">
            <w:pPr>
              <w:jc w:val="center"/>
              <w:rPr>
                <w:rFonts w:eastAsia="Calibri"/>
                <w:b/>
                <w:sz w:val="20"/>
                <w:szCs w:val="20"/>
                <w:lang w:eastAsia="en-US"/>
              </w:rPr>
            </w:pPr>
            <w:r w:rsidRPr="00380EBF">
              <w:rPr>
                <w:rFonts w:eastAsia="Calibri"/>
                <w:b/>
                <w:sz w:val="20"/>
                <w:szCs w:val="20"/>
                <w:lang w:eastAsia="en-US"/>
              </w:rPr>
              <w:t>Monto</w:t>
            </w:r>
          </w:p>
        </w:tc>
        <w:tc>
          <w:tcPr>
            <w:tcW w:w="0" w:type="auto"/>
            <w:vAlign w:val="center"/>
          </w:tcPr>
          <w:p w14:paraId="4CA59AEE" w14:textId="77777777" w:rsidR="00022974" w:rsidRPr="00380EBF" w:rsidRDefault="00022974" w:rsidP="00022974">
            <w:pPr>
              <w:jc w:val="center"/>
              <w:rPr>
                <w:rFonts w:eastAsia="Calibri"/>
                <w:b/>
                <w:sz w:val="20"/>
                <w:szCs w:val="20"/>
                <w:lang w:eastAsia="en-US"/>
              </w:rPr>
            </w:pPr>
            <w:r w:rsidRPr="00380EBF">
              <w:rPr>
                <w:rFonts w:eastAsia="Calibri"/>
                <w:b/>
                <w:sz w:val="20"/>
                <w:szCs w:val="20"/>
                <w:lang w:eastAsia="en-US"/>
              </w:rPr>
              <w:t>Demanda</w:t>
            </w:r>
          </w:p>
        </w:tc>
      </w:tr>
      <w:tr w:rsidR="00022974" w:rsidRPr="00022974" w14:paraId="17656DA7" w14:textId="77777777" w:rsidTr="00380EBF">
        <w:trPr>
          <w:jc w:val="center"/>
        </w:trPr>
        <w:tc>
          <w:tcPr>
            <w:tcW w:w="0" w:type="auto"/>
            <w:tcBorders>
              <w:bottom w:val="nil"/>
            </w:tcBorders>
          </w:tcPr>
          <w:p w14:paraId="052803BC"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Oct 2010</w:t>
            </w:r>
          </w:p>
        </w:tc>
        <w:tc>
          <w:tcPr>
            <w:tcW w:w="0" w:type="auto"/>
            <w:tcBorders>
              <w:bottom w:val="nil"/>
            </w:tcBorders>
          </w:tcPr>
          <w:p w14:paraId="6B2404DB" w14:textId="19593E50" w:rsidR="00022974" w:rsidRPr="00022974" w:rsidRDefault="00022974" w:rsidP="00380EBF">
            <w:pPr>
              <w:jc w:val="center"/>
              <w:rPr>
                <w:rFonts w:eastAsia="Calibri"/>
                <w:sz w:val="20"/>
                <w:szCs w:val="20"/>
                <w:lang w:eastAsia="en-US"/>
              </w:rPr>
            </w:pPr>
            <w:r w:rsidRPr="00022974">
              <w:rPr>
                <w:rFonts w:eastAsia="Calibri"/>
                <w:sz w:val="20"/>
                <w:szCs w:val="20"/>
                <w:lang w:eastAsia="en-US"/>
              </w:rPr>
              <w:t>6.10</w:t>
            </w:r>
          </w:p>
        </w:tc>
        <w:tc>
          <w:tcPr>
            <w:tcW w:w="0" w:type="auto"/>
            <w:tcBorders>
              <w:bottom w:val="nil"/>
            </w:tcBorders>
          </w:tcPr>
          <w:p w14:paraId="5FDB4349" w14:textId="12AB4CF6" w:rsidR="00022974" w:rsidRPr="00022974" w:rsidRDefault="00022974" w:rsidP="00380EBF">
            <w:pPr>
              <w:jc w:val="both"/>
              <w:rPr>
                <w:rFonts w:eastAsia="Calibri"/>
                <w:sz w:val="20"/>
                <w:szCs w:val="20"/>
                <w:lang w:eastAsia="en-US"/>
              </w:rPr>
            </w:pPr>
            <w:r w:rsidRPr="00022974">
              <w:rPr>
                <w:rFonts w:eastAsia="Calibri"/>
                <w:sz w:val="20"/>
                <w:szCs w:val="20"/>
                <w:lang w:eastAsia="en-US"/>
              </w:rPr>
              <w:t>5.750</w:t>
            </w:r>
          </w:p>
        </w:tc>
        <w:tc>
          <w:tcPr>
            <w:tcW w:w="0" w:type="auto"/>
            <w:tcBorders>
              <w:bottom w:val="nil"/>
            </w:tcBorders>
          </w:tcPr>
          <w:p w14:paraId="79B13FED"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1 mil mdd</w:t>
            </w:r>
          </w:p>
        </w:tc>
        <w:tc>
          <w:tcPr>
            <w:tcW w:w="0" w:type="auto"/>
            <w:tcBorders>
              <w:bottom w:val="nil"/>
            </w:tcBorders>
          </w:tcPr>
          <w:p w14:paraId="1FEE6355"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2 mil 500 mdd (2.5 veces)</w:t>
            </w:r>
          </w:p>
        </w:tc>
      </w:tr>
      <w:tr w:rsidR="00022974" w:rsidRPr="00022974" w14:paraId="71CA1D1B" w14:textId="77777777" w:rsidTr="00380EBF">
        <w:trPr>
          <w:jc w:val="center"/>
        </w:trPr>
        <w:tc>
          <w:tcPr>
            <w:tcW w:w="0" w:type="auto"/>
            <w:tcBorders>
              <w:top w:val="nil"/>
              <w:bottom w:val="nil"/>
            </w:tcBorders>
          </w:tcPr>
          <w:p w14:paraId="292C54DE"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Ago 2011</w:t>
            </w:r>
          </w:p>
        </w:tc>
        <w:tc>
          <w:tcPr>
            <w:tcW w:w="0" w:type="auto"/>
            <w:tcBorders>
              <w:top w:val="nil"/>
              <w:bottom w:val="nil"/>
            </w:tcBorders>
          </w:tcPr>
          <w:p w14:paraId="24C0A124" w14:textId="0FB84886" w:rsidR="00022974" w:rsidRPr="00022974" w:rsidRDefault="00022974" w:rsidP="00380EBF">
            <w:pPr>
              <w:jc w:val="center"/>
              <w:rPr>
                <w:rFonts w:eastAsia="Calibri"/>
                <w:sz w:val="20"/>
                <w:szCs w:val="20"/>
                <w:lang w:eastAsia="en-US"/>
              </w:rPr>
            </w:pPr>
            <w:r w:rsidRPr="00022974">
              <w:rPr>
                <w:rFonts w:eastAsia="Calibri"/>
                <w:sz w:val="20"/>
                <w:szCs w:val="20"/>
                <w:lang w:eastAsia="en-US"/>
              </w:rPr>
              <w:t>5.96</w:t>
            </w:r>
          </w:p>
        </w:tc>
        <w:tc>
          <w:tcPr>
            <w:tcW w:w="0" w:type="auto"/>
            <w:tcBorders>
              <w:top w:val="nil"/>
              <w:bottom w:val="nil"/>
            </w:tcBorders>
          </w:tcPr>
          <w:p w14:paraId="0CF2A96A" w14:textId="50B443EC" w:rsidR="00022974" w:rsidRPr="00022974" w:rsidRDefault="00022974" w:rsidP="00380EBF">
            <w:pPr>
              <w:jc w:val="both"/>
              <w:rPr>
                <w:rFonts w:eastAsia="Calibri"/>
                <w:sz w:val="20"/>
                <w:szCs w:val="20"/>
                <w:lang w:eastAsia="en-US"/>
              </w:rPr>
            </w:pPr>
            <w:r w:rsidRPr="00022974">
              <w:rPr>
                <w:rFonts w:eastAsia="Calibri"/>
                <w:sz w:val="20"/>
                <w:szCs w:val="20"/>
                <w:lang w:eastAsia="en-US"/>
              </w:rPr>
              <w:t>5.750</w:t>
            </w:r>
          </w:p>
        </w:tc>
        <w:tc>
          <w:tcPr>
            <w:tcW w:w="0" w:type="auto"/>
            <w:tcBorders>
              <w:top w:val="nil"/>
              <w:bottom w:val="nil"/>
            </w:tcBorders>
          </w:tcPr>
          <w:p w14:paraId="5459F7FC"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1 mil mdd</w:t>
            </w:r>
          </w:p>
        </w:tc>
        <w:tc>
          <w:tcPr>
            <w:tcW w:w="0" w:type="auto"/>
            <w:tcBorders>
              <w:top w:val="nil"/>
              <w:bottom w:val="nil"/>
            </w:tcBorders>
          </w:tcPr>
          <w:p w14:paraId="1A8B6C65"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1 mil 800 mdd (1.8 veces)</w:t>
            </w:r>
          </w:p>
        </w:tc>
      </w:tr>
      <w:tr w:rsidR="00022974" w:rsidRPr="00022974" w14:paraId="60CAA546" w14:textId="77777777" w:rsidTr="00380EBF">
        <w:trPr>
          <w:jc w:val="center"/>
        </w:trPr>
        <w:tc>
          <w:tcPr>
            <w:tcW w:w="0" w:type="auto"/>
            <w:tcBorders>
              <w:top w:val="nil"/>
              <w:bottom w:val="nil"/>
            </w:tcBorders>
          </w:tcPr>
          <w:p w14:paraId="71CB7A69"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Mar 2014</w:t>
            </w:r>
          </w:p>
        </w:tc>
        <w:tc>
          <w:tcPr>
            <w:tcW w:w="0" w:type="auto"/>
            <w:tcBorders>
              <w:top w:val="nil"/>
              <w:bottom w:val="nil"/>
            </w:tcBorders>
          </w:tcPr>
          <w:p w14:paraId="2623F3AD" w14:textId="2BC2FEC5" w:rsidR="00022974" w:rsidRPr="00022974" w:rsidRDefault="00022974" w:rsidP="00380EBF">
            <w:pPr>
              <w:jc w:val="center"/>
              <w:rPr>
                <w:rFonts w:eastAsia="Calibri"/>
                <w:sz w:val="20"/>
                <w:szCs w:val="20"/>
                <w:lang w:eastAsia="en-US"/>
              </w:rPr>
            </w:pPr>
            <w:r w:rsidRPr="00022974">
              <w:rPr>
                <w:rFonts w:eastAsia="Calibri"/>
                <w:sz w:val="20"/>
                <w:szCs w:val="20"/>
                <w:lang w:eastAsia="en-US"/>
              </w:rPr>
              <w:t>5.75</w:t>
            </w:r>
          </w:p>
        </w:tc>
        <w:tc>
          <w:tcPr>
            <w:tcW w:w="0" w:type="auto"/>
            <w:tcBorders>
              <w:top w:val="nil"/>
              <w:bottom w:val="nil"/>
            </w:tcBorders>
          </w:tcPr>
          <w:p w14:paraId="4C47EC1E" w14:textId="2E9E844F" w:rsidR="00022974" w:rsidRPr="00022974" w:rsidRDefault="00022974" w:rsidP="00380EBF">
            <w:pPr>
              <w:jc w:val="both"/>
              <w:rPr>
                <w:rFonts w:eastAsia="Calibri"/>
                <w:sz w:val="20"/>
                <w:szCs w:val="20"/>
                <w:lang w:eastAsia="en-US"/>
              </w:rPr>
            </w:pPr>
            <w:r w:rsidRPr="00022974">
              <w:rPr>
                <w:rFonts w:eastAsia="Calibri"/>
                <w:sz w:val="20"/>
                <w:szCs w:val="20"/>
                <w:lang w:eastAsia="en-US"/>
              </w:rPr>
              <w:t>5.625</w:t>
            </w:r>
          </w:p>
        </w:tc>
        <w:tc>
          <w:tcPr>
            <w:tcW w:w="0" w:type="auto"/>
            <w:tcBorders>
              <w:top w:val="nil"/>
              <w:bottom w:val="nil"/>
            </w:tcBorders>
          </w:tcPr>
          <w:p w14:paraId="7E3A248B"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1 mil mdl</w:t>
            </w:r>
          </w:p>
        </w:tc>
        <w:tc>
          <w:tcPr>
            <w:tcW w:w="0" w:type="auto"/>
            <w:tcBorders>
              <w:top w:val="nil"/>
              <w:bottom w:val="nil"/>
            </w:tcBorders>
          </w:tcPr>
          <w:p w14:paraId="1798ED0C"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2 mil 500 mdl (2.5 veces)</w:t>
            </w:r>
          </w:p>
        </w:tc>
      </w:tr>
      <w:tr w:rsidR="00022974" w:rsidRPr="00022974" w14:paraId="7A6C6EC8" w14:textId="77777777" w:rsidTr="00380EBF">
        <w:trPr>
          <w:jc w:val="center"/>
        </w:trPr>
        <w:tc>
          <w:tcPr>
            <w:tcW w:w="0" w:type="auto"/>
            <w:tcBorders>
              <w:top w:val="nil"/>
              <w:bottom w:val="single" w:sz="2" w:space="0" w:color="auto"/>
            </w:tcBorders>
          </w:tcPr>
          <w:p w14:paraId="593345F2"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Abr 2015</w:t>
            </w:r>
          </w:p>
        </w:tc>
        <w:tc>
          <w:tcPr>
            <w:tcW w:w="0" w:type="auto"/>
            <w:tcBorders>
              <w:top w:val="nil"/>
              <w:bottom w:val="single" w:sz="2" w:space="0" w:color="auto"/>
            </w:tcBorders>
          </w:tcPr>
          <w:p w14:paraId="1F0F34C0" w14:textId="72B486FB" w:rsidR="00022974" w:rsidRPr="00022974" w:rsidRDefault="00022974" w:rsidP="00380EBF">
            <w:pPr>
              <w:jc w:val="center"/>
              <w:rPr>
                <w:rFonts w:eastAsia="Calibri"/>
                <w:sz w:val="20"/>
                <w:szCs w:val="20"/>
                <w:lang w:eastAsia="en-US"/>
              </w:rPr>
            </w:pPr>
            <w:r w:rsidRPr="00022974">
              <w:rPr>
                <w:rFonts w:eastAsia="Calibri"/>
                <w:sz w:val="20"/>
                <w:szCs w:val="20"/>
                <w:lang w:eastAsia="en-US"/>
              </w:rPr>
              <w:t>4.20</w:t>
            </w:r>
          </w:p>
        </w:tc>
        <w:tc>
          <w:tcPr>
            <w:tcW w:w="0" w:type="auto"/>
            <w:tcBorders>
              <w:top w:val="nil"/>
              <w:bottom w:val="single" w:sz="2" w:space="0" w:color="auto"/>
            </w:tcBorders>
          </w:tcPr>
          <w:p w14:paraId="25676971" w14:textId="1246A0CC" w:rsidR="00022974" w:rsidRPr="00022974" w:rsidRDefault="00022974" w:rsidP="00380EBF">
            <w:pPr>
              <w:jc w:val="both"/>
              <w:rPr>
                <w:rFonts w:eastAsia="Calibri"/>
                <w:sz w:val="20"/>
                <w:szCs w:val="20"/>
                <w:lang w:eastAsia="en-US"/>
              </w:rPr>
            </w:pPr>
            <w:r w:rsidRPr="00022974">
              <w:rPr>
                <w:rFonts w:eastAsia="Calibri"/>
                <w:sz w:val="20"/>
                <w:szCs w:val="20"/>
                <w:lang w:eastAsia="en-US"/>
              </w:rPr>
              <w:t>4.000</w:t>
            </w:r>
          </w:p>
        </w:tc>
        <w:tc>
          <w:tcPr>
            <w:tcW w:w="0" w:type="auto"/>
            <w:tcBorders>
              <w:top w:val="nil"/>
              <w:bottom w:val="single" w:sz="2" w:space="0" w:color="auto"/>
            </w:tcBorders>
          </w:tcPr>
          <w:p w14:paraId="0B44D6AA"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1 mil 500 mde</w:t>
            </w:r>
          </w:p>
        </w:tc>
        <w:tc>
          <w:tcPr>
            <w:tcW w:w="0" w:type="auto"/>
            <w:tcBorders>
              <w:top w:val="nil"/>
              <w:bottom w:val="single" w:sz="2" w:space="0" w:color="auto"/>
            </w:tcBorders>
          </w:tcPr>
          <w:p w14:paraId="6AEBFD97"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6 mil 343 mde (4.2 veces)</w:t>
            </w:r>
          </w:p>
        </w:tc>
      </w:tr>
      <w:tr w:rsidR="00022974" w:rsidRPr="00022974" w14:paraId="424BE5D9" w14:textId="77777777" w:rsidTr="00D96653">
        <w:trPr>
          <w:jc w:val="center"/>
        </w:trPr>
        <w:tc>
          <w:tcPr>
            <w:tcW w:w="0" w:type="auto"/>
            <w:gridSpan w:val="5"/>
            <w:tcBorders>
              <w:left w:val="nil"/>
              <w:bottom w:val="nil"/>
              <w:right w:val="nil"/>
            </w:tcBorders>
          </w:tcPr>
          <w:p w14:paraId="170F5566" w14:textId="77777777" w:rsidR="00022974" w:rsidRPr="00022974" w:rsidRDefault="00022974" w:rsidP="00022974">
            <w:pPr>
              <w:jc w:val="both"/>
              <w:rPr>
                <w:rFonts w:eastAsia="Calibri"/>
                <w:sz w:val="20"/>
                <w:szCs w:val="20"/>
                <w:lang w:eastAsia="en-US"/>
              </w:rPr>
            </w:pPr>
            <w:r w:rsidRPr="00022974">
              <w:rPr>
                <w:rFonts w:eastAsia="Calibri"/>
                <w:sz w:val="20"/>
                <w:szCs w:val="20"/>
                <w:lang w:eastAsia="en-US"/>
              </w:rPr>
              <w:t>FUENTE: SHCP.</w:t>
            </w:r>
          </w:p>
        </w:tc>
      </w:tr>
    </w:tbl>
    <w:p w14:paraId="74BD8DB8" w14:textId="77777777" w:rsidR="00022974" w:rsidRPr="00022974" w:rsidRDefault="00022974" w:rsidP="00022974">
      <w:pPr>
        <w:spacing w:after="360" w:line="360" w:lineRule="auto"/>
        <w:ind w:right="-159"/>
        <w:jc w:val="both"/>
        <w:rPr>
          <w:rFonts w:eastAsia="Calibri"/>
          <w:sz w:val="26"/>
          <w:szCs w:val="26"/>
          <w:lang w:eastAsia="en-US"/>
        </w:rPr>
      </w:pPr>
    </w:p>
    <w:p w14:paraId="26F2CE85"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En esta ocasión, la emisión de Bonos Globales a 100 años se llevó a cabo en euros, aprovechando las condiciones favorables que actualmente tiene dicho mercado. La transacción cuenta con las nuevas cláusulas en sus contratos de deuda externa (Acción Colectiva</w:t>
      </w:r>
      <w:r w:rsidRPr="00022974">
        <w:rPr>
          <w:rFonts w:eastAsia="Calibri"/>
          <w:sz w:val="26"/>
          <w:szCs w:val="26"/>
          <w:vertAlign w:val="superscript"/>
          <w:lang w:eastAsia="en-US"/>
        </w:rPr>
        <w:footnoteReference w:id="23"/>
      </w:r>
      <w:r w:rsidRPr="00022974">
        <w:rPr>
          <w:rFonts w:eastAsia="Calibri"/>
          <w:sz w:val="26"/>
          <w:szCs w:val="26"/>
          <w:lang w:eastAsia="en-US"/>
        </w:rPr>
        <w:t xml:space="preserve"> y </w:t>
      </w:r>
      <w:r w:rsidRPr="00022974">
        <w:rPr>
          <w:rFonts w:eastAsia="Calibri"/>
          <w:i/>
          <w:sz w:val="26"/>
          <w:szCs w:val="26"/>
          <w:lang w:eastAsia="en-US"/>
        </w:rPr>
        <w:t>Pari Passu</w:t>
      </w:r>
      <w:r w:rsidRPr="00022974">
        <w:rPr>
          <w:rFonts w:eastAsia="Calibri"/>
          <w:sz w:val="26"/>
          <w:szCs w:val="26"/>
          <w:vertAlign w:val="superscript"/>
          <w:lang w:eastAsia="en-US"/>
        </w:rPr>
        <w:footnoteReference w:id="24"/>
      </w:r>
      <w:r w:rsidRPr="00022974">
        <w:rPr>
          <w:rFonts w:eastAsia="Calibri"/>
          <w:sz w:val="26"/>
          <w:szCs w:val="26"/>
          <w:lang w:eastAsia="en-US"/>
        </w:rPr>
        <w:t>) introducidas por el Gobierno Federal a partir de noviembre de 2014.</w:t>
      </w:r>
    </w:p>
    <w:p w14:paraId="4BE995C3" w14:textId="77777777" w:rsidR="00022974" w:rsidRPr="00380EBF"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 xml:space="preserve">A diferencia de las emisiones de deuda interna que tienen un calendario establecido previamente, la colocación de títulos denominados en moneda extranjera se realiza de </w:t>
      </w:r>
      <w:r w:rsidRPr="00380EBF">
        <w:rPr>
          <w:rFonts w:eastAsia="Calibri"/>
          <w:sz w:val="26"/>
          <w:szCs w:val="26"/>
          <w:lang w:eastAsia="en-US"/>
        </w:rPr>
        <w:lastRenderedPageBreak/>
        <w:t xml:space="preserve">acuerdo con la estrategia de deuda pública y las condiciones de los mercados. </w:t>
      </w:r>
      <w:r w:rsidRPr="00380EBF">
        <w:rPr>
          <w:rFonts w:eastAsia="Calibri"/>
          <w:bCs/>
          <w:sz w:val="26"/>
          <w:szCs w:val="26"/>
          <w:lang w:eastAsia="en-US"/>
        </w:rPr>
        <w:t>Con esta</w:t>
      </w:r>
      <w:r w:rsidRPr="00022974">
        <w:rPr>
          <w:rFonts w:eastAsia="Calibri"/>
          <w:b/>
          <w:bCs/>
          <w:sz w:val="26"/>
          <w:szCs w:val="26"/>
          <w:lang w:eastAsia="en-US"/>
        </w:rPr>
        <w:t xml:space="preserve"> </w:t>
      </w:r>
      <w:r w:rsidRPr="00380EBF">
        <w:rPr>
          <w:rFonts w:eastAsia="Calibri"/>
          <w:bCs/>
          <w:sz w:val="26"/>
          <w:szCs w:val="26"/>
          <w:lang w:eastAsia="en-US"/>
        </w:rPr>
        <w:t>operación, el Gobierno Federal cubrió totalmente sus necesidades de financiamiento externo en 2015</w:t>
      </w:r>
      <w:r w:rsidRPr="00380EBF">
        <w:rPr>
          <w:rFonts w:eastAsia="Calibri"/>
          <w:sz w:val="26"/>
          <w:szCs w:val="26"/>
          <w:lang w:eastAsia="en-US"/>
        </w:rPr>
        <w:t>.</w:t>
      </w:r>
    </w:p>
    <w:p w14:paraId="5B2344B0" w14:textId="77777777"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b/>
          <w:bCs/>
          <w:sz w:val="26"/>
          <w:szCs w:val="26"/>
          <w:lang w:eastAsia="en-US"/>
        </w:rPr>
        <w:t>Conclusión</w:t>
      </w:r>
    </w:p>
    <w:p w14:paraId="730EEE86" w14:textId="0CBD432E" w:rsidR="00022974" w:rsidRPr="00022974" w:rsidRDefault="00022974" w:rsidP="00022974">
      <w:pPr>
        <w:spacing w:after="360" w:line="360" w:lineRule="auto"/>
        <w:ind w:right="-159"/>
        <w:jc w:val="both"/>
        <w:rPr>
          <w:rFonts w:eastAsia="Calibri"/>
          <w:sz w:val="26"/>
          <w:szCs w:val="26"/>
          <w:lang w:eastAsia="en-US"/>
        </w:rPr>
      </w:pPr>
      <w:r w:rsidRPr="00022974">
        <w:rPr>
          <w:rFonts w:eastAsia="Calibri"/>
          <w:sz w:val="26"/>
          <w:szCs w:val="26"/>
          <w:lang w:eastAsia="en-US"/>
        </w:rPr>
        <w:t>Los mercados financieros internacionales permiten a los gobiernos contar con acceso a un amplio universo de inversionistas con lo que pueden: financiar su operación, realizar inversiones y refinanciar sus pasivos de una forma óptima, como un complemento a los ingresos públicos. La reciente emisión mexicana aprovecha el interés de los inversionistas por instrumentos de largo plazo, con lo que se cubren las necesidades de financiamiento externo del país para este año. Con ésta, México se diferencia de otras economías emergentes por contar con un amplio acceso a los mercados internacionales y a un plazo sin precedente.</w:t>
      </w:r>
    </w:p>
    <w:p w14:paraId="1EE17BAD" w14:textId="77777777" w:rsidR="00022974" w:rsidRPr="00022974" w:rsidRDefault="00022974" w:rsidP="00022974">
      <w:pPr>
        <w:ind w:right="-159"/>
        <w:jc w:val="both"/>
        <w:rPr>
          <w:rFonts w:eastAsia="Calibri"/>
          <w:b/>
          <w:sz w:val="20"/>
          <w:szCs w:val="20"/>
          <w:lang w:eastAsia="en-US"/>
        </w:rPr>
      </w:pPr>
      <w:r w:rsidRPr="00022974">
        <w:rPr>
          <w:rFonts w:eastAsia="Calibri"/>
          <w:b/>
          <w:sz w:val="20"/>
          <w:szCs w:val="20"/>
          <w:lang w:eastAsia="en-US"/>
        </w:rPr>
        <w:t>Fuente de información:</w:t>
      </w:r>
    </w:p>
    <w:p w14:paraId="4B524C07" w14:textId="77777777" w:rsidR="00022974" w:rsidRPr="00710C76" w:rsidRDefault="0045651A" w:rsidP="00022974">
      <w:pPr>
        <w:ind w:right="-159"/>
        <w:jc w:val="both"/>
        <w:rPr>
          <w:rFonts w:eastAsia="Calibri"/>
          <w:color w:val="0000FF"/>
          <w:sz w:val="20"/>
          <w:szCs w:val="20"/>
          <w:lang w:eastAsia="en-US"/>
        </w:rPr>
      </w:pPr>
      <w:hyperlink r:id="rId221" w:history="1">
        <w:r w:rsidR="00022974" w:rsidRPr="00710C76">
          <w:rPr>
            <w:rFonts w:eastAsia="Calibri"/>
            <w:color w:val="0000FF"/>
            <w:sz w:val="20"/>
            <w:szCs w:val="20"/>
            <w:u w:val="single"/>
            <w:lang w:eastAsia="en-US"/>
          </w:rPr>
          <w:t>http://www.hacienda.gob.mx/SALAPRENSA/doc_informe_vocero/2015/vocero_15_2015.pdf</w:t>
        </w:r>
      </w:hyperlink>
      <w:r w:rsidR="00022974" w:rsidRPr="00710C76">
        <w:rPr>
          <w:rFonts w:eastAsia="Calibri"/>
          <w:color w:val="0000FF"/>
          <w:sz w:val="20"/>
          <w:szCs w:val="20"/>
          <w:lang w:eastAsia="en-US"/>
        </w:rPr>
        <w:t xml:space="preserve"> </w:t>
      </w:r>
    </w:p>
    <w:p w14:paraId="2F3B7A84" w14:textId="77777777" w:rsidR="00022974" w:rsidRPr="00710C76" w:rsidRDefault="00022974" w:rsidP="00022974">
      <w:pPr>
        <w:ind w:right="-159"/>
        <w:jc w:val="both"/>
        <w:rPr>
          <w:rFonts w:eastAsia="Calibri"/>
          <w:sz w:val="20"/>
          <w:szCs w:val="20"/>
          <w:lang w:eastAsia="en-US"/>
        </w:rPr>
      </w:pPr>
      <w:r w:rsidRPr="00710C76">
        <w:rPr>
          <w:rFonts w:eastAsia="Calibri"/>
          <w:sz w:val="20"/>
          <w:szCs w:val="20"/>
          <w:lang w:eastAsia="en-US"/>
        </w:rPr>
        <w:t>Para tener acceso a información relacionada visite:</w:t>
      </w:r>
    </w:p>
    <w:p w14:paraId="17D7E8DB" w14:textId="77777777" w:rsidR="00022974" w:rsidRPr="00710C76" w:rsidRDefault="0045651A" w:rsidP="00710C76">
      <w:pPr>
        <w:spacing w:after="720"/>
        <w:ind w:right="-159"/>
        <w:jc w:val="both"/>
        <w:rPr>
          <w:rFonts w:eastAsia="Calibri"/>
          <w:color w:val="0000FF"/>
          <w:sz w:val="20"/>
          <w:szCs w:val="20"/>
          <w:lang w:eastAsia="en-US"/>
        </w:rPr>
      </w:pPr>
      <w:hyperlink r:id="rId222" w:history="1">
        <w:r w:rsidR="00022974" w:rsidRPr="00710C76">
          <w:rPr>
            <w:rFonts w:eastAsia="Calibri"/>
            <w:color w:val="0000FF"/>
            <w:sz w:val="20"/>
            <w:szCs w:val="20"/>
            <w:u w:val="single"/>
            <w:lang w:eastAsia="en-US"/>
          </w:rPr>
          <w:t>http://www.hacienda.gob.mx/Biblioteca_noticias_home/comunicado_031_2015.pdf</w:t>
        </w:r>
      </w:hyperlink>
      <w:r w:rsidR="00022974" w:rsidRPr="00710C76">
        <w:rPr>
          <w:rFonts w:eastAsia="Calibri"/>
          <w:color w:val="0000FF"/>
          <w:sz w:val="20"/>
          <w:szCs w:val="20"/>
          <w:lang w:eastAsia="en-US"/>
        </w:rPr>
        <w:t xml:space="preserve"> </w:t>
      </w:r>
    </w:p>
    <w:p w14:paraId="30EBE7B2" w14:textId="77777777" w:rsidR="00BD1006" w:rsidRPr="00BD1006" w:rsidRDefault="00BD1006" w:rsidP="00BD1006">
      <w:pPr>
        <w:rPr>
          <w:rFonts w:eastAsia="Calibri"/>
          <w:b/>
          <w:sz w:val="26"/>
          <w:szCs w:val="26"/>
          <w:lang w:eastAsia="en-US"/>
        </w:rPr>
      </w:pPr>
      <w:r w:rsidRPr="00BD1006">
        <w:rPr>
          <w:rFonts w:eastAsia="Calibri"/>
          <w:b/>
          <w:sz w:val="26"/>
          <w:szCs w:val="26"/>
          <w:lang w:eastAsia="en-US"/>
        </w:rPr>
        <w:t>Inicia el depósito de devoluciones a</w:t>
      </w:r>
    </w:p>
    <w:p w14:paraId="6524679D" w14:textId="77777777" w:rsidR="00BD1006" w:rsidRPr="00BD1006" w:rsidRDefault="00BD1006" w:rsidP="00BD1006">
      <w:pPr>
        <w:rPr>
          <w:rFonts w:eastAsia="Calibri"/>
          <w:b/>
          <w:sz w:val="26"/>
          <w:szCs w:val="26"/>
          <w:lang w:eastAsia="en-US"/>
        </w:rPr>
      </w:pPr>
      <w:r w:rsidRPr="00BD1006">
        <w:rPr>
          <w:rFonts w:eastAsia="Calibri"/>
          <w:b/>
          <w:sz w:val="26"/>
          <w:szCs w:val="26"/>
          <w:lang w:eastAsia="en-US"/>
        </w:rPr>
        <w:t>asalariados que ya  presentaron  su</w:t>
      </w:r>
    </w:p>
    <w:p w14:paraId="40A7DB9C" w14:textId="77777777" w:rsidR="00BD1006" w:rsidRPr="00BD1006" w:rsidRDefault="00BD1006" w:rsidP="00BD1006">
      <w:pPr>
        <w:spacing w:after="360" w:line="360" w:lineRule="auto"/>
        <w:ind w:right="-159"/>
        <w:jc w:val="both"/>
        <w:rPr>
          <w:rFonts w:eastAsia="Calibri"/>
          <w:b/>
          <w:sz w:val="26"/>
          <w:szCs w:val="26"/>
          <w:lang w:eastAsia="en-US"/>
        </w:rPr>
      </w:pPr>
      <w:r w:rsidRPr="00BD1006">
        <w:rPr>
          <w:rFonts w:eastAsia="Calibri"/>
          <w:b/>
          <w:sz w:val="26"/>
          <w:szCs w:val="26"/>
          <w:lang w:eastAsia="en-US"/>
        </w:rPr>
        <w:t>declaración anual (SAT)</w:t>
      </w:r>
    </w:p>
    <w:p w14:paraId="4849A324" w14:textId="72616475"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 xml:space="preserve">El 25 de marzo de 2015, del Servicio de Administración Tributaria (SAT) comunicó que se depositaron las primeras devoluciones del impuesto sobre la renta a los contribuyentes asalariados que ya presentaron correctamente su declaración anual. A continuación </w:t>
      </w:r>
      <w:r>
        <w:rPr>
          <w:rFonts w:eastAsia="Calibri"/>
          <w:sz w:val="26"/>
          <w:szCs w:val="26"/>
          <w:lang w:eastAsia="en-US"/>
        </w:rPr>
        <w:t xml:space="preserve">se presentan </w:t>
      </w:r>
      <w:r w:rsidRPr="00BD1006">
        <w:rPr>
          <w:rFonts w:eastAsia="Calibri"/>
          <w:sz w:val="26"/>
          <w:szCs w:val="26"/>
          <w:lang w:eastAsia="en-US"/>
        </w:rPr>
        <w:t>los detalles.</w:t>
      </w:r>
    </w:p>
    <w:p w14:paraId="4C046DF9" w14:textId="77777777"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El SAT comunicó que se depositaron las primeras devoluciones del impuesto sobre la renta a los contribuyentes asalariados que ya presentaron correctamente su declaración anual.</w:t>
      </w:r>
    </w:p>
    <w:p w14:paraId="60FBD7C0" w14:textId="77777777"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lastRenderedPageBreak/>
        <w:t>Al 25 de marzo se han devuelto 271.23 millones de pesos, correspondientes a 30 mil 679 declaraciones de contribuyentes asalariados que presentaron su declaración con saldo a favor, entre el 13 y el 18 de marzo. El depósito de las devoluciones se hace diariamente, por lo que es importante estar al pendiente.</w:t>
      </w:r>
    </w:p>
    <w:p w14:paraId="3890C8FA" w14:textId="77777777"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A quienes tuvieron saldo a favor y no se les ha depositado puede ser porque aún se está validando la declaración o por que presentan alguna inconsistencia en la información declarada. La próxima semana, a través del portal del SAT, se podrá consultar el estatus de la solicitud de devolución, las posibles inconsistencias y la manera de solucionarlas.</w:t>
      </w:r>
    </w:p>
    <w:p w14:paraId="257AEBB3" w14:textId="77777777"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Quienes únicamente obtuvieron ingresos por salarios ya pueden presentar su declaración y aplicar sus deducciones personales para, en caso de obtener devolución, Hacienda les devuelve en 5 días. Únicamente se requiere RFC, Contraseña y el número de cuenta Clabe del contribuyente que declara para hacer el depósito.</w:t>
      </w:r>
    </w:p>
    <w:p w14:paraId="77B0F370" w14:textId="77777777" w:rsid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Las deducciones personales que se pueden aplicar para obtener un saldo a favor son: gastos por honorarios médicos y dentales, primas por seguros de gastos médicos, intereses reales pagados por créditos hipotecarios, donativos a fundaciones autorizadas, aportaciones adicionales a sistemas y planes de retiro o pensiones, entre otras; así como el estímulo por colegiaturas.</w:t>
      </w:r>
    </w:p>
    <w:p w14:paraId="5A77FF7B" w14:textId="77777777" w:rsidR="00BD1006" w:rsidRPr="00BD1006" w:rsidRDefault="00BD1006" w:rsidP="00BD1006">
      <w:pPr>
        <w:spacing w:after="360" w:line="360" w:lineRule="auto"/>
        <w:ind w:right="-159"/>
        <w:jc w:val="both"/>
        <w:rPr>
          <w:rFonts w:eastAsia="Calibri"/>
          <w:sz w:val="26"/>
          <w:szCs w:val="26"/>
          <w:lang w:eastAsia="en-US"/>
        </w:rPr>
      </w:pPr>
      <w:r w:rsidRPr="00BD1006">
        <w:rPr>
          <w:rFonts w:eastAsia="Calibri"/>
          <w:sz w:val="26"/>
          <w:szCs w:val="26"/>
          <w:lang w:eastAsia="en-US"/>
        </w:rPr>
        <w:t xml:space="preserve">Para mayor información, el Servicio de Administración Tributaria pone a disposición </w:t>
      </w:r>
      <w:r w:rsidRPr="00B44A01">
        <w:rPr>
          <w:rFonts w:eastAsia="Calibri"/>
          <w:sz w:val="26"/>
          <w:szCs w:val="26"/>
          <w:lang w:eastAsia="en-US"/>
        </w:rPr>
        <w:t xml:space="preserve">de los contribuyentes los siguientes canales de comunicación: </w:t>
      </w:r>
      <w:hyperlink r:id="rId223" w:history="1">
        <w:r w:rsidRPr="00B44A01">
          <w:rPr>
            <w:rFonts w:eastAsia="Calibri"/>
            <w:sz w:val="26"/>
            <w:szCs w:val="26"/>
            <w:u w:val="single"/>
            <w:lang w:eastAsia="en-US"/>
          </w:rPr>
          <w:t>http://www.sat.gob.mx</w:t>
        </w:r>
      </w:hyperlink>
      <w:r w:rsidRPr="00B44A01">
        <w:rPr>
          <w:rFonts w:eastAsia="Calibri"/>
          <w:sz w:val="26"/>
          <w:szCs w:val="26"/>
          <w:lang w:eastAsia="en-US"/>
        </w:rPr>
        <w:t xml:space="preserve">, </w:t>
      </w:r>
      <w:r w:rsidRPr="00BD1006">
        <w:rPr>
          <w:rFonts w:eastAsia="Calibri"/>
          <w:sz w:val="26"/>
          <w:szCs w:val="26"/>
          <w:lang w:eastAsia="en-US"/>
        </w:rPr>
        <w:t>la cuenta de twitter @satmx, SAT México en facebook y el INFOSAT 01800 46 36 728.</w:t>
      </w:r>
    </w:p>
    <w:p w14:paraId="4890EBD2" w14:textId="77777777" w:rsidR="00BD1006" w:rsidRPr="00BD1006" w:rsidRDefault="00BD1006" w:rsidP="00BD1006">
      <w:pPr>
        <w:ind w:right="-159"/>
        <w:jc w:val="both"/>
        <w:rPr>
          <w:rFonts w:eastAsia="Calibri"/>
          <w:sz w:val="20"/>
          <w:szCs w:val="20"/>
          <w:lang w:eastAsia="en-US"/>
        </w:rPr>
      </w:pPr>
      <w:r w:rsidRPr="00BD1006">
        <w:rPr>
          <w:rFonts w:eastAsia="Calibri"/>
          <w:b/>
          <w:sz w:val="20"/>
          <w:szCs w:val="20"/>
          <w:lang w:eastAsia="en-US"/>
        </w:rPr>
        <w:t>Fuente de información</w:t>
      </w:r>
      <w:r w:rsidRPr="00BD1006">
        <w:rPr>
          <w:rFonts w:eastAsia="Calibri"/>
          <w:sz w:val="20"/>
          <w:szCs w:val="20"/>
          <w:lang w:eastAsia="en-US"/>
        </w:rPr>
        <w:t>:</w:t>
      </w:r>
    </w:p>
    <w:p w14:paraId="7AB3C4D5" w14:textId="77777777" w:rsidR="00BD1006" w:rsidRPr="00710C76" w:rsidRDefault="0045651A" w:rsidP="00BD1006">
      <w:pPr>
        <w:ind w:right="-159"/>
        <w:jc w:val="both"/>
        <w:rPr>
          <w:rFonts w:eastAsia="Calibri"/>
          <w:color w:val="0000FF"/>
          <w:sz w:val="20"/>
          <w:szCs w:val="20"/>
          <w:u w:val="single"/>
          <w:lang w:eastAsia="en-US"/>
        </w:rPr>
      </w:pPr>
      <w:hyperlink r:id="rId224" w:history="1">
        <w:r w:rsidR="00BD1006" w:rsidRPr="00710C76">
          <w:rPr>
            <w:rFonts w:eastAsia="Calibri"/>
            <w:color w:val="0000FF"/>
            <w:sz w:val="20"/>
            <w:szCs w:val="20"/>
            <w:u w:val="single"/>
            <w:lang w:eastAsia="en-US"/>
          </w:rPr>
          <w:t>http://www.sat.gob.mx/sala_prensa/comunicados_nacionales/Paginas/com2015_037.aspx</w:t>
        </w:r>
      </w:hyperlink>
    </w:p>
    <w:p w14:paraId="5D930EA5" w14:textId="77777777" w:rsidR="00BD1006" w:rsidRPr="00BD1006" w:rsidRDefault="00BD1006" w:rsidP="00BD1006">
      <w:pPr>
        <w:ind w:right="-159"/>
        <w:jc w:val="both"/>
        <w:rPr>
          <w:rFonts w:eastAsia="Calibri"/>
          <w:sz w:val="20"/>
          <w:szCs w:val="20"/>
          <w:lang w:eastAsia="en-US"/>
        </w:rPr>
      </w:pPr>
      <w:r w:rsidRPr="00BD1006">
        <w:rPr>
          <w:rFonts w:eastAsia="Calibri"/>
          <w:sz w:val="20"/>
          <w:szCs w:val="20"/>
          <w:lang w:eastAsia="en-US"/>
        </w:rPr>
        <w:t>Para tener acceso a información relacionada visite:</w:t>
      </w:r>
    </w:p>
    <w:p w14:paraId="6DA5C61A" w14:textId="77777777" w:rsidR="00BD1006" w:rsidRPr="00710C76" w:rsidRDefault="0045651A" w:rsidP="00BD1006">
      <w:pPr>
        <w:ind w:right="-159"/>
        <w:jc w:val="both"/>
        <w:rPr>
          <w:rFonts w:eastAsia="Calibri"/>
          <w:color w:val="0000FF"/>
          <w:sz w:val="20"/>
          <w:szCs w:val="20"/>
          <w:lang w:eastAsia="en-US"/>
        </w:rPr>
      </w:pPr>
      <w:hyperlink r:id="rId225" w:history="1">
        <w:r w:rsidR="00BD1006" w:rsidRPr="00710C76">
          <w:rPr>
            <w:rFonts w:eastAsia="Calibri"/>
            <w:color w:val="0000FF"/>
            <w:sz w:val="20"/>
            <w:szCs w:val="20"/>
            <w:u w:val="single"/>
            <w:lang w:eastAsia="en-US"/>
          </w:rPr>
          <w:t>http://www.sat.gob.mx/sala_prensa/comunicados_nacionales/Paginas/com2015_039.aspx</w:t>
        </w:r>
      </w:hyperlink>
      <w:r w:rsidR="00BD1006" w:rsidRPr="00710C76">
        <w:rPr>
          <w:rFonts w:eastAsia="Calibri"/>
          <w:color w:val="0000FF"/>
          <w:sz w:val="20"/>
          <w:szCs w:val="20"/>
          <w:lang w:eastAsia="en-US"/>
        </w:rPr>
        <w:t xml:space="preserve"> </w:t>
      </w:r>
    </w:p>
    <w:p w14:paraId="0BADBE72" w14:textId="77777777" w:rsidR="00BD1006" w:rsidRPr="00BD1006" w:rsidRDefault="00BD1006" w:rsidP="00BD1006">
      <w:pPr>
        <w:spacing w:after="360" w:line="360" w:lineRule="auto"/>
        <w:ind w:right="-159"/>
        <w:jc w:val="both"/>
        <w:rPr>
          <w:rFonts w:eastAsia="Calibri"/>
          <w:sz w:val="26"/>
          <w:szCs w:val="26"/>
          <w:lang w:eastAsia="en-US"/>
        </w:rPr>
      </w:pPr>
    </w:p>
    <w:p w14:paraId="2C98A260" w14:textId="77777777" w:rsidR="007160E0" w:rsidRPr="007160E0" w:rsidRDefault="007160E0" w:rsidP="007160E0">
      <w:pPr>
        <w:ind w:right="-159"/>
        <w:jc w:val="both"/>
        <w:rPr>
          <w:rFonts w:eastAsia="Calibri"/>
          <w:b/>
          <w:bCs/>
          <w:sz w:val="26"/>
          <w:szCs w:val="26"/>
          <w:lang w:eastAsia="en-US"/>
        </w:rPr>
      </w:pPr>
      <w:r w:rsidRPr="007160E0">
        <w:rPr>
          <w:rFonts w:eastAsia="Calibri"/>
          <w:b/>
          <w:bCs/>
          <w:sz w:val="26"/>
          <w:szCs w:val="26"/>
          <w:lang w:eastAsia="en-US"/>
        </w:rPr>
        <w:lastRenderedPageBreak/>
        <w:t>Se incrementa casi al doble la presentación</w:t>
      </w:r>
    </w:p>
    <w:p w14:paraId="7699FD16" w14:textId="77777777" w:rsidR="007160E0" w:rsidRPr="007160E0" w:rsidRDefault="007160E0" w:rsidP="007160E0">
      <w:pPr>
        <w:spacing w:after="360" w:line="360" w:lineRule="auto"/>
        <w:ind w:right="-159"/>
        <w:jc w:val="both"/>
        <w:rPr>
          <w:rFonts w:eastAsia="Calibri"/>
          <w:b/>
          <w:sz w:val="26"/>
          <w:szCs w:val="26"/>
          <w:lang w:eastAsia="en-US"/>
        </w:rPr>
      </w:pPr>
      <w:r w:rsidRPr="007160E0">
        <w:rPr>
          <w:rFonts w:eastAsia="Calibri"/>
          <w:b/>
          <w:bCs/>
          <w:sz w:val="26"/>
          <w:szCs w:val="26"/>
          <w:lang w:eastAsia="en-US"/>
        </w:rPr>
        <w:t>de declaraciones anuales</w:t>
      </w:r>
      <w:r w:rsidRPr="007160E0">
        <w:rPr>
          <w:rFonts w:eastAsia="Calibri"/>
          <w:b/>
          <w:sz w:val="26"/>
          <w:szCs w:val="26"/>
          <w:lang w:eastAsia="en-US"/>
        </w:rPr>
        <w:t xml:space="preserve"> (SAT)</w:t>
      </w:r>
    </w:p>
    <w:p w14:paraId="0C8F2863" w14:textId="77777777" w:rsidR="007160E0" w:rsidRP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t>El 27 de marzo de 2015, el Servicio de Administración Tributaria (SAT) comunicó que los contribuyentes que tienen ingresos por salarios están cumpliendo ampliamente con la presentación de la “Declaración anual”, pues se han recibido casi el doble de las declaraciones presentadas a la misma fecha el año pasado.</w:t>
      </w:r>
    </w:p>
    <w:p w14:paraId="6B0D06F3" w14:textId="77777777" w:rsidR="007160E0" w:rsidRP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t>Al 24 de marzo se han recibido 258 mil 883 declaraciones de asalariados, 126 mil 550 más que las recibidas a la misma fecha el año pasado. Esto representa 95% más declaraciones.</w:t>
      </w:r>
    </w:p>
    <w:p w14:paraId="6DD07FD3" w14:textId="77777777" w:rsidR="007160E0" w:rsidRP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t>Para presentar la declaración anual, los asalariados tienen a su disposición una herramienta sencilla que les permite presentar fácil y rápidamente su declaración y, en su caso, solicitar la devolución de su saldo a favor.</w:t>
      </w:r>
    </w:p>
    <w:p w14:paraId="72C4C30D" w14:textId="77777777" w:rsidR="007160E0" w:rsidRP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t>Con esta aplicación, en caso de obtener saldo a favor y no presentar inconsistencias en la declaración, Hacienda les devuelve sus impuestos en 5 días, lo único que deben hacer es capturar sus deducciones personales, señalando el nombre del banco y la cuenta Clabe del declarante para recibir el depósito.</w:t>
      </w:r>
    </w:p>
    <w:p w14:paraId="017BBE3E" w14:textId="2B9D3F5B" w:rsid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t>Todos los contribuyentes que tienen ingresos por salarios pueden presentar su declaración para tener la oportunidad de obtener un saldo a favor y la devolución de</w:t>
      </w:r>
      <w:r w:rsidR="00180143">
        <w:rPr>
          <w:rFonts w:eastAsia="Calibri"/>
          <w:sz w:val="26"/>
          <w:szCs w:val="26"/>
          <w:lang w:eastAsia="en-US"/>
        </w:rPr>
        <w:t xml:space="preserve"> </w:t>
      </w:r>
      <w:r w:rsidRPr="007160E0">
        <w:rPr>
          <w:rFonts w:eastAsia="Calibri"/>
          <w:sz w:val="26"/>
          <w:szCs w:val="26"/>
          <w:lang w:eastAsia="en-US"/>
        </w:rPr>
        <w:t>lo mismo. Los asalariados con ingresos superiores a 400 mil pesos están obligados a presentar la declaración.</w:t>
      </w:r>
    </w:p>
    <w:p w14:paraId="63669902" w14:textId="77777777" w:rsidR="000D31C7" w:rsidRDefault="000D31C7" w:rsidP="007160E0">
      <w:pPr>
        <w:spacing w:after="360" w:line="360" w:lineRule="auto"/>
        <w:ind w:right="-159"/>
        <w:jc w:val="both"/>
        <w:rPr>
          <w:rFonts w:eastAsia="Calibri"/>
          <w:sz w:val="26"/>
          <w:szCs w:val="26"/>
          <w:lang w:eastAsia="en-US"/>
        </w:rPr>
      </w:pPr>
    </w:p>
    <w:p w14:paraId="7208BEDC" w14:textId="77777777" w:rsidR="000D31C7" w:rsidRPr="007160E0" w:rsidRDefault="000D31C7" w:rsidP="007160E0">
      <w:pPr>
        <w:spacing w:after="360" w:line="360" w:lineRule="auto"/>
        <w:ind w:right="-159"/>
        <w:jc w:val="both"/>
        <w:rPr>
          <w:rFonts w:eastAsia="Calibri"/>
          <w:sz w:val="26"/>
          <w:szCs w:val="26"/>
          <w:lang w:eastAsia="en-US"/>
        </w:rPr>
      </w:pPr>
    </w:p>
    <w:p w14:paraId="033DEF06" w14:textId="77777777" w:rsidR="007160E0" w:rsidRPr="007160E0" w:rsidRDefault="007160E0" w:rsidP="007160E0">
      <w:pPr>
        <w:spacing w:after="360" w:line="360" w:lineRule="auto"/>
        <w:ind w:right="-159"/>
        <w:jc w:val="both"/>
        <w:rPr>
          <w:rFonts w:eastAsia="Calibri"/>
          <w:sz w:val="26"/>
          <w:szCs w:val="26"/>
          <w:lang w:eastAsia="en-US"/>
        </w:rPr>
      </w:pPr>
      <w:r w:rsidRPr="007160E0">
        <w:rPr>
          <w:rFonts w:eastAsia="Calibri"/>
          <w:sz w:val="26"/>
          <w:szCs w:val="26"/>
          <w:lang w:eastAsia="en-US"/>
        </w:rPr>
        <w:lastRenderedPageBreak/>
        <w:t xml:space="preserve">Para mayor información se puede visitar la página </w:t>
      </w:r>
      <w:hyperlink r:id="rId226" w:history="1">
        <w:r w:rsidRPr="007160E0">
          <w:rPr>
            <w:rFonts w:eastAsia="Calibri"/>
            <w:sz w:val="26"/>
            <w:szCs w:val="26"/>
            <w:u w:val="single"/>
            <w:lang w:eastAsia="en-US"/>
          </w:rPr>
          <w:t>http://www.sat.gob.mx</w:t>
        </w:r>
      </w:hyperlink>
      <w:r w:rsidRPr="007160E0">
        <w:rPr>
          <w:rFonts w:eastAsia="Calibri"/>
          <w:sz w:val="26"/>
          <w:szCs w:val="26"/>
          <w:lang w:eastAsia="en-US"/>
        </w:rPr>
        <w:t xml:space="preserve"> donde se encuentra disponible información sobre la “Declaración anual” y materiales que los ayudan a presentar su declaración.</w:t>
      </w:r>
    </w:p>
    <w:p w14:paraId="7A0769E2" w14:textId="77777777" w:rsidR="007160E0" w:rsidRPr="007160E0" w:rsidRDefault="007160E0" w:rsidP="007160E0">
      <w:pPr>
        <w:ind w:right="-159"/>
        <w:jc w:val="both"/>
        <w:rPr>
          <w:rFonts w:eastAsia="Calibri"/>
          <w:b/>
          <w:sz w:val="20"/>
          <w:szCs w:val="20"/>
          <w:lang w:eastAsia="en-US"/>
        </w:rPr>
      </w:pPr>
      <w:r w:rsidRPr="007160E0">
        <w:rPr>
          <w:rFonts w:eastAsia="Calibri"/>
          <w:b/>
          <w:sz w:val="20"/>
          <w:szCs w:val="20"/>
          <w:lang w:eastAsia="en-US"/>
        </w:rPr>
        <w:t>Fuente de información:</w:t>
      </w:r>
    </w:p>
    <w:p w14:paraId="0975EAFE" w14:textId="77777777" w:rsidR="007160E0" w:rsidRPr="00710C76" w:rsidRDefault="0045651A" w:rsidP="00710C76">
      <w:pPr>
        <w:spacing w:after="720"/>
        <w:ind w:right="-159"/>
        <w:jc w:val="both"/>
        <w:rPr>
          <w:rFonts w:eastAsia="Calibri"/>
          <w:color w:val="0000FF"/>
          <w:sz w:val="20"/>
          <w:szCs w:val="20"/>
          <w:lang w:eastAsia="en-US"/>
        </w:rPr>
      </w:pPr>
      <w:hyperlink r:id="rId227" w:history="1">
        <w:r w:rsidR="007160E0" w:rsidRPr="00710C76">
          <w:rPr>
            <w:rFonts w:eastAsia="Calibri"/>
            <w:color w:val="0000FF"/>
            <w:sz w:val="20"/>
            <w:szCs w:val="20"/>
            <w:u w:val="single"/>
            <w:lang w:eastAsia="en-US"/>
          </w:rPr>
          <w:t>http://www.sat.gob.mx/sala_prensa/comunicados_nacionales/Paginas/com2015_039.aspx</w:t>
        </w:r>
      </w:hyperlink>
      <w:r w:rsidR="007160E0" w:rsidRPr="00710C76">
        <w:rPr>
          <w:rFonts w:eastAsia="Calibri"/>
          <w:color w:val="0000FF"/>
          <w:sz w:val="20"/>
          <w:szCs w:val="20"/>
          <w:lang w:eastAsia="en-US"/>
        </w:rPr>
        <w:t xml:space="preserve"> </w:t>
      </w:r>
    </w:p>
    <w:p w14:paraId="7F9739A5" w14:textId="77777777" w:rsidR="003B27F8" w:rsidRPr="003B27F8" w:rsidRDefault="003B27F8" w:rsidP="003B27F8">
      <w:pPr>
        <w:ind w:right="-159"/>
        <w:jc w:val="both"/>
        <w:rPr>
          <w:rFonts w:eastAsia="Calibri"/>
          <w:b/>
          <w:sz w:val="26"/>
          <w:szCs w:val="26"/>
          <w:lang w:eastAsia="en-US"/>
        </w:rPr>
      </w:pPr>
      <w:r w:rsidRPr="003B27F8">
        <w:rPr>
          <w:rFonts w:eastAsia="Calibri"/>
          <w:b/>
          <w:sz w:val="26"/>
          <w:szCs w:val="26"/>
          <w:lang w:eastAsia="en-US"/>
        </w:rPr>
        <w:t xml:space="preserve">El Gobierno  Federal  establece  estímulo  fiscal </w:t>
      </w:r>
    </w:p>
    <w:p w14:paraId="678B7489" w14:textId="77777777" w:rsidR="003B27F8" w:rsidRPr="003B27F8" w:rsidRDefault="003B27F8" w:rsidP="003B27F8">
      <w:pPr>
        <w:ind w:right="-159"/>
        <w:jc w:val="both"/>
        <w:rPr>
          <w:rFonts w:eastAsia="Calibri"/>
          <w:b/>
          <w:sz w:val="26"/>
          <w:szCs w:val="26"/>
          <w:lang w:eastAsia="en-US"/>
        </w:rPr>
      </w:pPr>
      <w:r w:rsidRPr="003B27F8">
        <w:rPr>
          <w:rFonts w:eastAsia="Calibri"/>
          <w:b/>
          <w:sz w:val="26"/>
          <w:szCs w:val="26"/>
          <w:lang w:eastAsia="en-US"/>
        </w:rPr>
        <w:t xml:space="preserve">para reducir el costo de la vivienda en beneficio </w:t>
      </w:r>
    </w:p>
    <w:p w14:paraId="6C02A6E0" w14:textId="77777777" w:rsidR="003B27F8" w:rsidRPr="003B27F8" w:rsidRDefault="003B27F8" w:rsidP="003B27F8">
      <w:pPr>
        <w:spacing w:after="360" w:line="360" w:lineRule="auto"/>
        <w:ind w:right="-159"/>
        <w:jc w:val="both"/>
        <w:rPr>
          <w:rFonts w:eastAsia="Calibri"/>
          <w:b/>
          <w:sz w:val="26"/>
          <w:szCs w:val="26"/>
          <w:lang w:eastAsia="en-US"/>
        </w:rPr>
      </w:pPr>
      <w:r w:rsidRPr="003B27F8">
        <w:rPr>
          <w:rFonts w:eastAsia="Calibri"/>
          <w:b/>
          <w:sz w:val="26"/>
          <w:szCs w:val="26"/>
          <w:lang w:eastAsia="en-US"/>
        </w:rPr>
        <w:t>de las familias mexicanas (SHCP)</w:t>
      </w:r>
    </w:p>
    <w:p w14:paraId="3CC8C9EC"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El 25 de marzo de 2015, la Secretaría de Hacienda y Crédito Pública (SHCP) dio a conocer el documento “El Gobierno Federal establece estímulo fiscal para reducir el costo de la vivienda en beneficio de las familias mexicanas”, el cual se presenta a continuación.</w:t>
      </w:r>
    </w:p>
    <w:p w14:paraId="7DF747F6"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En evento encabezado por los Secretarios de Hacienda y Crédito Público y de Desarrollo Agrario, Territorial y Urbano, se dio a conocer una medida de carácter fiscal de impulso para el sector vivienda. La medida consiste en un estímulo fiscal equivalente al 100% del Impuesto al Valor Agregado (IVA) que se cause por la prestación de los servicios parciales de construcción de bienes inmuebles destinados a casa habitación.</w:t>
      </w:r>
    </w:p>
    <w:p w14:paraId="1290916B"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Al respecto, el Secretario de Hacienda destaco que “el estímulo permitirá que quienes proporcionen los servicios mencionados no trasladen a las empresas desarrolladoras de vivienda el IVA. Por consecuencia, dicho impuesto tampoco se trasladará a las familias que adquieran una vivienda”. El Secretario de Desarrollo Agrario, Territorial y Urbano resaltó que “con esta medida, se atienden necesidades sociales, que generan empresas más sanas y un sector menos concentrado y por consecuencia, más desarrollo y mejor empleo”.</w:t>
      </w:r>
    </w:p>
    <w:p w14:paraId="4F2782D2"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lastRenderedPageBreak/>
        <w:t>El estímulo anunciado se suma a las medidas fiscales en materia de vivienda que entraron en vigor en enero pasado. Éstas incluyeron la posibilidad para las constructoras de vivienda de que, en el caso de sus ingresos por ventas a plazos, el pago de Impuesto Sobre la Renta (ISR) se determine únicamente con base en el ingreso efectivamente recibido durante el año, en lugar de basarse en el valor total de la venta de la vivienda. Asimismo, una vez disipada la incertidumbre jurídica que existía en torno al tratamiento para el IVA de los servicios de construcción que le prestan las empresas especializadas a los desarrolladores de vivienda, se estableció un esquema para que las empresas prestadoras de servicios parciales de construcción que tuvieran adeudos en el IVA pudieran regularizarse, y que ello se reconociera para efectos de su pago de ISR.</w:t>
      </w:r>
    </w:p>
    <w:p w14:paraId="39D2A109"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El estímulo beneficiará a la economía de las familias mexicanas, facilitando un mayor acceso a viviendas dignas de menor costo. Además, se traducirá en un impulso a la actividad económica, a causa del papel estratégico que juega el sector construcción en términos de la generación de empleos y de la promoción de la inversión en la economía.</w:t>
      </w:r>
    </w:p>
    <w:p w14:paraId="60789B94" w14:textId="77777777" w:rsidR="003B27F8" w:rsidRPr="003B27F8" w:rsidRDefault="003B27F8" w:rsidP="003B27F8">
      <w:pPr>
        <w:ind w:right="-159"/>
        <w:jc w:val="both"/>
        <w:rPr>
          <w:rFonts w:eastAsia="Calibri"/>
          <w:b/>
          <w:sz w:val="20"/>
          <w:szCs w:val="20"/>
          <w:lang w:eastAsia="en-US"/>
        </w:rPr>
      </w:pPr>
      <w:r w:rsidRPr="003B27F8">
        <w:rPr>
          <w:rFonts w:eastAsia="Calibri"/>
          <w:b/>
          <w:sz w:val="20"/>
          <w:szCs w:val="20"/>
          <w:lang w:eastAsia="en-US"/>
        </w:rPr>
        <w:t>Fuente de información:</w:t>
      </w:r>
    </w:p>
    <w:p w14:paraId="0DF55748" w14:textId="77777777" w:rsidR="003B27F8" w:rsidRPr="00710C76" w:rsidRDefault="0045651A" w:rsidP="00710C76">
      <w:pPr>
        <w:spacing w:after="720"/>
        <w:ind w:right="-159"/>
        <w:jc w:val="both"/>
        <w:rPr>
          <w:rFonts w:eastAsia="Calibri"/>
          <w:color w:val="0000FF"/>
          <w:sz w:val="20"/>
          <w:szCs w:val="20"/>
          <w:lang w:eastAsia="en-US"/>
        </w:rPr>
      </w:pPr>
      <w:hyperlink r:id="rId228" w:history="1">
        <w:r w:rsidR="003B27F8" w:rsidRPr="00710C76">
          <w:rPr>
            <w:rFonts w:eastAsia="Calibri"/>
            <w:color w:val="0000FF"/>
            <w:sz w:val="20"/>
            <w:szCs w:val="20"/>
            <w:u w:val="single"/>
            <w:lang w:eastAsia="en-US"/>
          </w:rPr>
          <w:t>http://www.shcp.gob.mx/Biblioteca_noticias_home/comunicado_026_2015.pdf</w:t>
        </w:r>
      </w:hyperlink>
    </w:p>
    <w:p w14:paraId="43BA69B0" w14:textId="77777777" w:rsidR="00507762" w:rsidRPr="00507762" w:rsidRDefault="00507762" w:rsidP="00507762">
      <w:pPr>
        <w:ind w:right="-159"/>
        <w:jc w:val="both"/>
        <w:rPr>
          <w:rFonts w:eastAsia="Times New Roman"/>
          <w:b/>
          <w:bCs/>
          <w:sz w:val="26"/>
          <w:szCs w:val="26"/>
          <w:lang w:val="es-ES"/>
        </w:rPr>
      </w:pPr>
      <w:r w:rsidRPr="00507762">
        <w:rPr>
          <w:rFonts w:eastAsia="Times New Roman"/>
          <w:b/>
          <w:bCs/>
          <w:sz w:val="26"/>
          <w:szCs w:val="26"/>
          <w:lang w:val="es-ES"/>
        </w:rPr>
        <w:t>Modifican beneficios fiscales a  los  contribuyentes</w:t>
      </w:r>
    </w:p>
    <w:p w14:paraId="61754D9E" w14:textId="77777777" w:rsidR="00507762" w:rsidRPr="00507762" w:rsidRDefault="00507762" w:rsidP="00507762">
      <w:pPr>
        <w:ind w:right="-159"/>
        <w:jc w:val="both"/>
        <w:rPr>
          <w:rFonts w:eastAsia="Times New Roman"/>
          <w:b/>
          <w:bCs/>
          <w:sz w:val="26"/>
          <w:szCs w:val="26"/>
          <w:lang w:val="es-ES"/>
        </w:rPr>
      </w:pPr>
      <w:r w:rsidRPr="00507762">
        <w:rPr>
          <w:rFonts w:eastAsia="Times New Roman"/>
          <w:b/>
          <w:bCs/>
          <w:sz w:val="26"/>
          <w:szCs w:val="26"/>
          <w:lang w:val="es-ES"/>
        </w:rPr>
        <w:t>de  las zonas afectadas por lluvias severas durante</w:t>
      </w:r>
    </w:p>
    <w:p w14:paraId="6C2F8794" w14:textId="77777777" w:rsidR="00507762" w:rsidRPr="00507762" w:rsidRDefault="00507762" w:rsidP="00507762">
      <w:pPr>
        <w:spacing w:after="360" w:line="360" w:lineRule="auto"/>
        <w:ind w:right="-159"/>
        <w:jc w:val="both"/>
        <w:rPr>
          <w:rFonts w:eastAsia="Times New Roman"/>
          <w:b/>
          <w:bCs/>
          <w:sz w:val="26"/>
          <w:szCs w:val="26"/>
          <w:lang w:val="es-ES"/>
        </w:rPr>
      </w:pPr>
      <w:r w:rsidRPr="00507762">
        <w:rPr>
          <w:rFonts w:eastAsia="Times New Roman"/>
          <w:b/>
          <w:bCs/>
          <w:sz w:val="26"/>
          <w:szCs w:val="26"/>
          <w:lang w:val="es-ES"/>
        </w:rPr>
        <w:t>septiembre de 2014 (SHCP)</w:t>
      </w:r>
    </w:p>
    <w:p w14:paraId="76712928" w14:textId="10ECA51D" w:rsidR="00507762" w:rsidRPr="00507762" w:rsidRDefault="00507762" w:rsidP="00507762">
      <w:pPr>
        <w:spacing w:after="360" w:line="360" w:lineRule="auto"/>
        <w:ind w:right="-159"/>
        <w:jc w:val="both"/>
        <w:rPr>
          <w:rFonts w:eastAsia="Times New Roman"/>
          <w:bCs/>
          <w:sz w:val="26"/>
          <w:szCs w:val="26"/>
          <w:lang w:val="es-ES"/>
        </w:rPr>
      </w:pPr>
      <w:r w:rsidRPr="00507762">
        <w:rPr>
          <w:rFonts w:eastAsia="Times New Roman"/>
          <w:bCs/>
          <w:sz w:val="26"/>
          <w:szCs w:val="26"/>
          <w:lang w:val="es-ES"/>
        </w:rPr>
        <w:t xml:space="preserve">El 26 de marzo de 2015, la Secretaría de Hacienda y Crédito Público (SHCP) </w:t>
      </w:r>
      <w:r w:rsidR="00180143">
        <w:rPr>
          <w:rFonts w:eastAsia="Times New Roman"/>
          <w:bCs/>
          <w:sz w:val="26"/>
          <w:szCs w:val="26"/>
          <w:lang w:val="es-ES"/>
        </w:rPr>
        <w:t xml:space="preserve">publicó en el Diario Oficial de la Federación (DOF) </w:t>
      </w:r>
      <w:r w:rsidRPr="00507762">
        <w:rPr>
          <w:rFonts w:eastAsia="Times New Roman"/>
          <w:bCs/>
          <w:sz w:val="26"/>
          <w:szCs w:val="26"/>
          <w:lang w:val="es-ES"/>
        </w:rPr>
        <w:t xml:space="preserve">el “Decreto por el que se modifica el diverso por el que se otorgan diversos beneficios fiscales a los contribuyentes de las zonas afectadas que se indican por lluvias severas durante septiembre de 2014, publicado el 19 de septiembre de 2014.” A continuación </w:t>
      </w:r>
      <w:r w:rsidR="00180143">
        <w:rPr>
          <w:rFonts w:eastAsia="Times New Roman"/>
          <w:bCs/>
          <w:sz w:val="26"/>
          <w:szCs w:val="26"/>
          <w:lang w:val="es-ES"/>
        </w:rPr>
        <w:t>se presenta su contenido</w:t>
      </w:r>
      <w:r w:rsidRPr="00507762">
        <w:rPr>
          <w:rFonts w:eastAsia="Times New Roman"/>
          <w:bCs/>
          <w:sz w:val="26"/>
          <w:szCs w:val="26"/>
          <w:lang w:val="es-ES"/>
        </w:rPr>
        <w:t>.</w:t>
      </w:r>
    </w:p>
    <w:p w14:paraId="60C818BC" w14:textId="77777777" w:rsidR="00507762" w:rsidRPr="00507762" w:rsidRDefault="00507762" w:rsidP="00507762">
      <w:pPr>
        <w:spacing w:after="360" w:line="360" w:lineRule="auto"/>
        <w:ind w:right="-159"/>
        <w:jc w:val="both"/>
        <w:rPr>
          <w:rFonts w:eastAsia="Times New Roman"/>
          <w:bCs/>
          <w:sz w:val="26"/>
          <w:szCs w:val="26"/>
          <w:lang w:val="es-ES"/>
        </w:rPr>
      </w:pPr>
      <w:r w:rsidRPr="00507762">
        <w:rPr>
          <w:rFonts w:eastAsia="Times New Roman"/>
          <w:bCs/>
          <w:sz w:val="26"/>
          <w:szCs w:val="26"/>
          <w:lang w:val="es-ES"/>
        </w:rPr>
        <w:t xml:space="preserve">ENRIQUE PEÑA NIETO, Presidente de los Estados Unidos Mexicanos, en ejercicio de la facultad que me confiere el artículo 89, fracción I de la Constitución Política de </w:t>
      </w:r>
      <w:r w:rsidRPr="00507762">
        <w:rPr>
          <w:rFonts w:eastAsia="Times New Roman"/>
          <w:bCs/>
          <w:sz w:val="26"/>
          <w:szCs w:val="26"/>
          <w:lang w:val="es-ES"/>
        </w:rPr>
        <w:lastRenderedPageBreak/>
        <w:t>los Estados Unidos Mexicanos, con fundamento en los artículos 31 de la Ley Orgánica de la Administración Pública Federal, y 39, fracción III del Código Fiscal de la Federación, y</w:t>
      </w:r>
    </w:p>
    <w:p w14:paraId="7769DD9A" w14:textId="77777777" w:rsidR="00507762" w:rsidRPr="00507762" w:rsidRDefault="00507762" w:rsidP="00507762">
      <w:pPr>
        <w:spacing w:after="360" w:line="360" w:lineRule="auto"/>
        <w:ind w:right="-159"/>
        <w:jc w:val="center"/>
        <w:rPr>
          <w:rFonts w:eastAsia="Times New Roman"/>
          <w:b/>
          <w:bCs/>
          <w:sz w:val="26"/>
          <w:szCs w:val="26"/>
          <w:lang w:val="es-ES"/>
        </w:rPr>
      </w:pPr>
      <w:r w:rsidRPr="00507762">
        <w:rPr>
          <w:rFonts w:eastAsia="Times New Roman"/>
          <w:b/>
          <w:bCs/>
          <w:sz w:val="26"/>
          <w:szCs w:val="26"/>
          <w:lang w:val="es-ES"/>
        </w:rPr>
        <w:t>CONSIDERANDO</w:t>
      </w:r>
    </w:p>
    <w:p w14:paraId="33676012" w14:textId="77777777" w:rsidR="00507762" w:rsidRPr="00507762" w:rsidRDefault="00507762" w:rsidP="00507762">
      <w:pPr>
        <w:spacing w:after="360" w:line="360" w:lineRule="auto"/>
        <w:ind w:right="-159"/>
        <w:jc w:val="both"/>
        <w:rPr>
          <w:rFonts w:eastAsia="Times New Roman"/>
          <w:bCs/>
          <w:sz w:val="26"/>
          <w:szCs w:val="26"/>
          <w:lang w:val="es-ES"/>
        </w:rPr>
      </w:pPr>
      <w:r w:rsidRPr="00507762">
        <w:rPr>
          <w:rFonts w:eastAsia="Times New Roman"/>
          <w:bCs/>
          <w:sz w:val="26"/>
          <w:szCs w:val="26"/>
          <w:lang w:val="es-ES"/>
        </w:rPr>
        <w:t>Que el 12 de diciembre de 2014, se publicó en el Diario Oficial de la Federación la modificación al Decreto por el que se otorgan diversos beneficios fiscales a los contribuyentes de las zonas afectadas en el Estado de Baja California Sur, por las lluvias severas ocasionadas por el paso del huracán Odile, durante septiembre de 2014, con la finalidad de ampliar el plazo por el que se autorizó la deducción inmediata hasta por el 100% de las inversiones efectuadas en las mencionadas zonas afectadas al 31 de marzo de 2015, como una medida de apoyo para restaurar los daños severos ocasionados en infraestructura originados por el fenómeno meteorológico de referencia;</w:t>
      </w:r>
    </w:p>
    <w:p w14:paraId="1FDD6796" w14:textId="77777777" w:rsidR="00507762" w:rsidRPr="00507762" w:rsidRDefault="00507762" w:rsidP="00507762">
      <w:pPr>
        <w:spacing w:after="360" w:line="360" w:lineRule="auto"/>
        <w:ind w:right="-159"/>
        <w:jc w:val="both"/>
        <w:rPr>
          <w:rFonts w:eastAsia="Times New Roman"/>
          <w:bCs/>
          <w:sz w:val="26"/>
          <w:szCs w:val="26"/>
          <w:lang w:val="es-ES"/>
        </w:rPr>
      </w:pPr>
      <w:r w:rsidRPr="00507762">
        <w:rPr>
          <w:rFonts w:eastAsia="Times New Roman"/>
          <w:bCs/>
          <w:sz w:val="26"/>
          <w:szCs w:val="26"/>
          <w:lang w:val="es-ES"/>
        </w:rPr>
        <w:t>Que la mayoría de los trabajos de rehabilitación y construcción de infraestructura que se llevan a cabo en las zonas afectadas del Estado de Baja California Sur se encuentran en una etapa muy avanzada para concluir el proceso de recuperación de los activos afectados, por lo que el Gobierno Federal a mi cargo estima conveniente ampliar por última vez el plazo por el que se autorizó la deducción inmediata de las inversiones efectuadas en las mencionadas zonas al 30 de junio de 2015, y</w:t>
      </w:r>
    </w:p>
    <w:p w14:paraId="0BDB9F31" w14:textId="77777777" w:rsidR="00507762" w:rsidRDefault="00507762" w:rsidP="00507762">
      <w:pPr>
        <w:spacing w:after="360" w:line="360" w:lineRule="auto"/>
        <w:ind w:right="-159"/>
        <w:jc w:val="both"/>
        <w:rPr>
          <w:rFonts w:eastAsia="Times New Roman"/>
          <w:bCs/>
          <w:sz w:val="26"/>
          <w:szCs w:val="26"/>
          <w:lang w:val="es-ES"/>
        </w:rPr>
      </w:pPr>
      <w:r w:rsidRPr="00507762">
        <w:rPr>
          <w:rFonts w:eastAsia="Times New Roman"/>
          <w:bCs/>
          <w:sz w:val="26"/>
          <w:szCs w:val="26"/>
          <w:lang w:val="es-ES"/>
        </w:rPr>
        <w:t>Que de conformidad con el Código Fiscal de la Federación, el Ejecutivo Federal puede conceder estímulos fiscales, he tenido a bien expedir el siguiente</w:t>
      </w:r>
    </w:p>
    <w:p w14:paraId="0376C909" w14:textId="77777777" w:rsidR="00507762" w:rsidRPr="00507762" w:rsidRDefault="00507762" w:rsidP="00507762">
      <w:pPr>
        <w:spacing w:after="360" w:line="360" w:lineRule="auto"/>
        <w:ind w:right="-159"/>
        <w:jc w:val="center"/>
        <w:rPr>
          <w:rFonts w:eastAsia="Times New Roman"/>
          <w:b/>
          <w:bCs/>
          <w:sz w:val="26"/>
          <w:szCs w:val="26"/>
          <w:lang w:val="es-ES"/>
        </w:rPr>
      </w:pPr>
      <w:r w:rsidRPr="00507762">
        <w:rPr>
          <w:rFonts w:eastAsia="Times New Roman"/>
          <w:b/>
          <w:bCs/>
          <w:sz w:val="26"/>
          <w:szCs w:val="26"/>
          <w:lang w:val="es-ES"/>
        </w:rPr>
        <w:t>DECRETO</w:t>
      </w:r>
    </w:p>
    <w:p w14:paraId="7F0B1484" w14:textId="6186F1B2" w:rsidR="00507762" w:rsidRPr="00507762" w:rsidRDefault="00507762" w:rsidP="00507762">
      <w:pPr>
        <w:spacing w:after="360" w:line="360" w:lineRule="auto"/>
        <w:ind w:right="-159"/>
        <w:jc w:val="both"/>
        <w:rPr>
          <w:rFonts w:eastAsia="Times New Roman"/>
          <w:bCs/>
          <w:sz w:val="26"/>
          <w:szCs w:val="26"/>
          <w:lang w:val="es-ES"/>
        </w:rPr>
      </w:pPr>
      <w:r w:rsidRPr="00180143">
        <w:rPr>
          <w:rFonts w:eastAsia="Times New Roman"/>
          <w:bCs/>
          <w:sz w:val="26"/>
          <w:szCs w:val="26"/>
          <w:lang w:val="es-ES"/>
        </w:rPr>
        <w:t>ARTÍCULO ÚNICO.</w:t>
      </w:r>
      <w:r w:rsidRPr="00507762">
        <w:rPr>
          <w:rFonts w:eastAsia="Times New Roman"/>
          <w:bCs/>
          <w:sz w:val="26"/>
          <w:szCs w:val="26"/>
          <w:lang w:val="es-ES"/>
        </w:rPr>
        <w:t xml:space="preserve"> Se reforma el artículo Tercero, primer párrafo y transitorio único del “Decreto por el que se otorgan diversos beneficios fiscales a los contribuyentes de las zonas afectadas que se indican por lluvias severas durante septiembre de 2014”, </w:t>
      </w:r>
      <w:r w:rsidRPr="00507762">
        <w:rPr>
          <w:rFonts w:eastAsia="Times New Roman"/>
          <w:bCs/>
          <w:sz w:val="26"/>
          <w:szCs w:val="26"/>
          <w:lang w:val="es-ES"/>
        </w:rPr>
        <w:lastRenderedPageBreak/>
        <w:t>publicado en el Diario Oficial de la Federación el 19 de septiembre de 2014 y su modificación, para quedar como sigue:</w:t>
      </w:r>
    </w:p>
    <w:p w14:paraId="671EF945" w14:textId="10F3214B" w:rsidR="00507762" w:rsidRPr="00507762" w:rsidRDefault="00507762" w:rsidP="00507762">
      <w:pPr>
        <w:spacing w:after="360" w:line="360" w:lineRule="auto"/>
        <w:ind w:right="-159"/>
        <w:jc w:val="both"/>
        <w:rPr>
          <w:rFonts w:eastAsia="Times New Roman"/>
          <w:bCs/>
          <w:sz w:val="26"/>
          <w:szCs w:val="26"/>
          <w:lang w:val="es-ES"/>
        </w:rPr>
      </w:pPr>
      <w:r w:rsidRPr="00180143">
        <w:rPr>
          <w:rFonts w:eastAsia="Times New Roman"/>
          <w:bCs/>
          <w:sz w:val="26"/>
          <w:szCs w:val="26"/>
          <w:lang w:val="es-ES"/>
        </w:rPr>
        <w:t>“ARTÍCULO TERCERO</w:t>
      </w:r>
      <w:r w:rsidRPr="00507762">
        <w:rPr>
          <w:rFonts w:eastAsia="Times New Roman"/>
          <w:b/>
          <w:bCs/>
          <w:sz w:val="26"/>
          <w:szCs w:val="26"/>
          <w:lang w:val="es-ES"/>
        </w:rPr>
        <w:t>.</w:t>
      </w:r>
      <w:r w:rsidRPr="00507762">
        <w:rPr>
          <w:rFonts w:eastAsia="Times New Roman"/>
          <w:bCs/>
          <w:sz w:val="26"/>
          <w:szCs w:val="26"/>
          <w:lang w:val="es-ES"/>
        </w:rPr>
        <w:t xml:space="preserve"> Se otorga un estímulo fiscal a los contribuyentes que tengan su domicilio fiscal, agencia, sucursal o cualquier otro establecimiento, en las zonas afectadas a que se refiere el artículo Décimo Segundo del presente Decreto, consistente en deducir de forma inmediata las inversiones efectuadas en bienes nuevos de activo fijo que realicen en dichas zonas afectadas, durante el período comprendido entre el 15 de septiembre de 2014 y el 30 de junio de 2015, en los ejercicios en los que adquieran dichos bienes, aplicando la tasa del 100% sobre el monto original de la inversión, siempre que dichos activos fijos se utilicen exclusiva y permanentemente en las mencionadas zonas.</w:t>
      </w:r>
    </w:p>
    <w:p w14:paraId="05B943B5" w14:textId="77777777" w:rsidR="00507762" w:rsidRPr="00507762" w:rsidRDefault="00507762" w:rsidP="00507762">
      <w:pPr>
        <w:spacing w:after="360" w:line="360" w:lineRule="auto"/>
        <w:ind w:right="-159"/>
        <w:jc w:val="center"/>
        <w:rPr>
          <w:rFonts w:eastAsia="Times New Roman"/>
          <w:b/>
          <w:bCs/>
          <w:sz w:val="26"/>
          <w:szCs w:val="26"/>
          <w:lang w:val="es-ES"/>
        </w:rPr>
      </w:pPr>
      <w:r w:rsidRPr="00507762">
        <w:rPr>
          <w:rFonts w:eastAsia="Times New Roman"/>
          <w:b/>
          <w:bCs/>
          <w:sz w:val="26"/>
          <w:szCs w:val="26"/>
          <w:lang w:val="es-ES"/>
        </w:rPr>
        <w:t>TRANSITORIO</w:t>
      </w:r>
    </w:p>
    <w:p w14:paraId="2F672F2D" w14:textId="5A50F5BD" w:rsidR="00507762" w:rsidRDefault="00507762" w:rsidP="00507762">
      <w:pPr>
        <w:spacing w:after="360" w:line="360" w:lineRule="auto"/>
        <w:ind w:right="-159"/>
        <w:jc w:val="both"/>
        <w:rPr>
          <w:rFonts w:eastAsia="Times New Roman"/>
          <w:bCs/>
          <w:sz w:val="26"/>
          <w:szCs w:val="26"/>
          <w:lang w:val="es-ES"/>
        </w:rPr>
      </w:pPr>
      <w:r w:rsidRPr="00180143">
        <w:rPr>
          <w:rFonts w:eastAsia="Times New Roman"/>
          <w:bCs/>
          <w:sz w:val="26"/>
          <w:szCs w:val="26"/>
          <w:lang w:val="es-ES"/>
        </w:rPr>
        <w:t>ÚNICO.</w:t>
      </w:r>
      <w:r w:rsidRPr="00507762">
        <w:rPr>
          <w:rFonts w:eastAsia="Times New Roman"/>
          <w:bCs/>
          <w:sz w:val="26"/>
          <w:szCs w:val="26"/>
          <w:lang w:val="es-ES"/>
        </w:rPr>
        <w:t xml:space="preserve"> El presente Decreto entrará en vigor el día de su publicación en el Diario Oficial de la Federación y concluirá su vigencia el 30 de junio de 2015.”</w:t>
      </w:r>
    </w:p>
    <w:p w14:paraId="2489A292" w14:textId="77777777" w:rsidR="00507762" w:rsidRPr="00507762" w:rsidRDefault="00507762" w:rsidP="00507762">
      <w:pPr>
        <w:spacing w:after="360" w:line="360" w:lineRule="auto"/>
        <w:ind w:right="-159"/>
        <w:jc w:val="center"/>
        <w:rPr>
          <w:rFonts w:eastAsia="Times New Roman"/>
          <w:b/>
          <w:bCs/>
          <w:sz w:val="26"/>
          <w:szCs w:val="26"/>
          <w:lang w:val="es-ES"/>
        </w:rPr>
      </w:pPr>
      <w:r w:rsidRPr="00507762">
        <w:rPr>
          <w:rFonts w:eastAsia="Times New Roman"/>
          <w:b/>
          <w:bCs/>
          <w:sz w:val="26"/>
          <w:szCs w:val="26"/>
          <w:lang w:val="es-ES"/>
        </w:rPr>
        <w:t>TRANSITORIO</w:t>
      </w:r>
    </w:p>
    <w:p w14:paraId="4F2E90FB" w14:textId="77777777" w:rsidR="00507762" w:rsidRPr="00507762" w:rsidRDefault="00507762" w:rsidP="00507762">
      <w:pPr>
        <w:spacing w:after="360" w:line="360" w:lineRule="auto"/>
        <w:ind w:right="-159"/>
        <w:jc w:val="both"/>
        <w:rPr>
          <w:rFonts w:eastAsia="Times New Roman"/>
          <w:bCs/>
          <w:sz w:val="26"/>
          <w:szCs w:val="26"/>
          <w:lang w:val="es-ES"/>
        </w:rPr>
      </w:pPr>
      <w:r w:rsidRPr="00507762">
        <w:rPr>
          <w:rFonts w:eastAsia="Times New Roman"/>
          <w:b/>
          <w:bCs/>
          <w:sz w:val="26"/>
          <w:szCs w:val="26"/>
          <w:lang w:val="es-ES"/>
        </w:rPr>
        <w:t>Único</w:t>
      </w:r>
      <w:r w:rsidRPr="00507762">
        <w:rPr>
          <w:rFonts w:eastAsia="Times New Roman"/>
          <w:bCs/>
          <w:sz w:val="26"/>
          <w:szCs w:val="26"/>
          <w:lang w:val="es-ES"/>
        </w:rPr>
        <w:t>. El presente Decreto entrará en vigor el día de su publicación en el Diario Oficial de la Federación.</w:t>
      </w:r>
    </w:p>
    <w:p w14:paraId="487CD423" w14:textId="77777777" w:rsidR="00507762" w:rsidRPr="00507762" w:rsidRDefault="00507762" w:rsidP="00507762">
      <w:pPr>
        <w:ind w:right="-159"/>
        <w:jc w:val="both"/>
        <w:rPr>
          <w:rFonts w:eastAsia="Calibri"/>
          <w:b/>
          <w:sz w:val="20"/>
          <w:szCs w:val="20"/>
          <w:lang w:val="es-ES" w:eastAsia="en-US"/>
        </w:rPr>
      </w:pPr>
      <w:r w:rsidRPr="00507762">
        <w:rPr>
          <w:rFonts w:eastAsia="Calibri"/>
          <w:b/>
          <w:sz w:val="20"/>
          <w:szCs w:val="20"/>
          <w:lang w:val="es-ES" w:eastAsia="en-US"/>
        </w:rPr>
        <w:t>Fuente de información:</w:t>
      </w:r>
    </w:p>
    <w:p w14:paraId="77E30C37" w14:textId="77777777" w:rsidR="00507762" w:rsidRPr="00710C76" w:rsidRDefault="0045651A" w:rsidP="00507762">
      <w:pPr>
        <w:ind w:right="-159"/>
        <w:jc w:val="both"/>
        <w:rPr>
          <w:rFonts w:eastAsia="Calibri"/>
          <w:color w:val="0000FF"/>
          <w:sz w:val="20"/>
          <w:szCs w:val="20"/>
          <w:lang w:eastAsia="en-US"/>
        </w:rPr>
      </w:pPr>
      <w:hyperlink r:id="rId229" w:history="1">
        <w:r w:rsidR="00507762" w:rsidRPr="00710C76">
          <w:rPr>
            <w:rFonts w:eastAsia="Calibri"/>
            <w:color w:val="0000FF"/>
            <w:sz w:val="20"/>
            <w:szCs w:val="20"/>
            <w:u w:val="single"/>
            <w:lang w:eastAsia="en-US"/>
          </w:rPr>
          <w:t>http://www.dof.gob.mx/nota_detalle.php?codigo=5386772&amp;fecha=26/03/2015</w:t>
        </w:r>
      </w:hyperlink>
      <w:r w:rsidR="00507762" w:rsidRPr="00710C76">
        <w:rPr>
          <w:rFonts w:eastAsia="Calibri"/>
          <w:color w:val="0000FF"/>
          <w:sz w:val="20"/>
          <w:szCs w:val="20"/>
          <w:lang w:eastAsia="en-US"/>
        </w:rPr>
        <w:t xml:space="preserve"> </w:t>
      </w:r>
    </w:p>
    <w:p w14:paraId="5C58A173" w14:textId="77777777" w:rsidR="00507762" w:rsidRPr="00710C76" w:rsidRDefault="00507762" w:rsidP="00507762">
      <w:pPr>
        <w:ind w:right="-159"/>
        <w:jc w:val="both"/>
        <w:rPr>
          <w:rFonts w:eastAsia="Calibri"/>
          <w:sz w:val="20"/>
          <w:szCs w:val="20"/>
          <w:lang w:eastAsia="en-US"/>
        </w:rPr>
      </w:pPr>
      <w:r w:rsidRPr="00710C76">
        <w:rPr>
          <w:rFonts w:eastAsia="Calibri"/>
          <w:sz w:val="20"/>
          <w:szCs w:val="20"/>
          <w:lang w:eastAsia="en-US"/>
        </w:rPr>
        <w:t>Información adicional:</w:t>
      </w:r>
    </w:p>
    <w:p w14:paraId="4F36A233" w14:textId="77777777" w:rsidR="00507762" w:rsidRPr="00710C76" w:rsidRDefault="0045651A" w:rsidP="00710C76">
      <w:pPr>
        <w:spacing w:after="720"/>
        <w:ind w:right="-159"/>
        <w:jc w:val="both"/>
        <w:rPr>
          <w:rFonts w:eastAsia="Calibri"/>
          <w:color w:val="0000FF"/>
          <w:sz w:val="20"/>
          <w:szCs w:val="20"/>
          <w:lang w:eastAsia="en-US"/>
        </w:rPr>
      </w:pPr>
      <w:hyperlink r:id="rId230" w:history="1">
        <w:r w:rsidR="00507762" w:rsidRPr="00710C76">
          <w:rPr>
            <w:rFonts w:eastAsia="Calibri"/>
            <w:color w:val="0000FF"/>
            <w:sz w:val="20"/>
            <w:szCs w:val="20"/>
            <w:u w:val="single"/>
            <w:lang w:eastAsia="en-US"/>
          </w:rPr>
          <w:t>http://imcp.org.mx/wp-content/uploads/2015/03/ANEXO-NOTICIAS-FISCALES-93.pdf</w:t>
        </w:r>
      </w:hyperlink>
      <w:r w:rsidR="00507762" w:rsidRPr="00710C76">
        <w:rPr>
          <w:rFonts w:eastAsia="Calibri"/>
          <w:color w:val="0000FF"/>
          <w:sz w:val="20"/>
          <w:szCs w:val="20"/>
          <w:lang w:eastAsia="en-US"/>
        </w:rPr>
        <w:t xml:space="preserve"> </w:t>
      </w:r>
    </w:p>
    <w:p w14:paraId="690A0124" w14:textId="77777777" w:rsidR="00710C76" w:rsidRDefault="00710C76" w:rsidP="00395FC3">
      <w:pPr>
        <w:ind w:right="-159"/>
        <w:jc w:val="both"/>
        <w:rPr>
          <w:rFonts w:eastAsia="Calibri"/>
          <w:b/>
          <w:sz w:val="26"/>
          <w:szCs w:val="26"/>
          <w:lang w:eastAsia="en-US"/>
        </w:rPr>
      </w:pPr>
    </w:p>
    <w:p w14:paraId="3FDAAA01" w14:textId="77777777" w:rsidR="00710C76" w:rsidRDefault="00710C76" w:rsidP="00395FC3">
      <w:pPr>
        <w:ind w:right="-159"/>
        <w:jc w:val="both"/>
        <w:rPr>
          <w:rFonts w:eastAsia="Calibri"/>
          <w:b/>
          <w:sz w:val="26"/>
          <w:szCs w:val="26"/>
          <w:lang w:eastAsia="en-US"/>
        </w:rPr>
      </w:pPr>
    </w:p>
    <w:p w14:paraId="42B8BFBB" w14:textId="77777777" w:rsidR="00710C76" w:rsidRDefault="00710C76" w:rsidP="00395FC3">
      <w:pPr>
        <w:ind w:right="-159"/>
        <w:jc w:val="both"/>
        <w:rPr>
          <w:rFonts w:eastAsia="Calibri"/>
          <w:b/>
          <w:sz w:val="26"/>
          <w:szCs w:val="26"/>
          <w:lang w:eastAsia="en-US"/>
        </w:rPr>
      </w:pPr>
    </w:p>
    <w:p w14:paraId="44A03AD5" w14:textId="77777777" w:rsidR="00710C76" w:rsidRDefault="00710C76" w:rsidP="00395FC3">
      <w:pPr>
        <w:ind w:right="-159"/>
        <w:jc w:val="both"/>
        <w:rPr>
          <w:rFonts w:eastAsia="Calibri"/>
          <w:b/>
          <w:sz w:val="26"/>
          <w:szCs w:val="26"/>
          <w:lang w:eastAsia="en-US"/>
        </w:rPr>
      </w:pPr>
    </w:p>
    <w:p w14:paraId="51FDC54F" w14:textId="77777777" w:rsidR="00710C76" w:rsidRDefault="00710C76" w:rsidP="00395FC3">
      <w:pPr>
        <w:ind w:right="-159"/>
        <w:jc w:val="both"/>
        <w:rPr>
          <w:rFonts w:eastAsia="Calibri"/>
          <w:b/>
          <w:sz w:val="26"/>
          <w:szCs w:val="26"/>
          <w:lang w:eastAsia="en-US"/>
        </w:rPr>
      </w:pPr>
    </w:p>
    <w:p w14:paraId="323BE16C" w14:textId="77777777" w:rsidR="00395FC3" w:rsidRPr="00395FC3" w:rsidRDefault="00395FC3" w:rsidP="00395FC3">
      <w:pPr>
        <w:ind w:right="-159"/>
        <w:jc w:val="both"/>
        <w:rPr>
          <w:rFonts w:eastAsia="Calibri"/>
          <w:b/>
          <w:sz w:val="26"/>
          <w:szCs w:val="26"/>
          <w:lang w:eastAsia="en-US"/>
        </w:rPr>
      </w:pPr>
      <w:r w:rsidRPr="00395FC3">
        <w:rPr>
          <w:rFonts w:eastAsia="Calibri"/>
          <w:b/>
          <w:sz w:val="26"/>
          <w:szCs w:val="26"/>
          <w:lang w:eastAsia="en-US"/>
        </w:rPr>
        <w:lastRenderedPageBreak/>
        <w:t xml:space="preserve">Decreto por el que se otorgan medidas de apoyo </w:t>
      </w:r>
    </w:p>
    <w:p w14:paraId="3E43A900" w14:textId="77777777" w:rsidR="00395FC3" w:rsidRPr="00395FC3" w:rsidRDefault="00395FC3" w:rsidP="00395FC3">
      <w:pPr>
        <w:spacing w:after="360" w:line="360" w:lineRule="auto"/>
        <w:ind w:right="-159"/>
        <w:jc w:val="both"/>
        <w:rPr>
          <w:rFonts w:eastAsia="Calibri"/>
          <w:b/>
          <w:sz w:val="26"/>
          <w:szCs w:val="26"/>
          <w:lang w:eastAsia="en-US"/>
        </w:rPr>
      </w:pPr>
      <w:r w:rsidRPr="00395FC3">
        <w:rPr>
          <w:rFonts w:eastAsia="Calibri"/>
          <w:b/>
          <w:sz w:val="26"/>
          <w:szCs w:val="26"/>
          <w:lang w:eastAsia="en-US"/>
        </w:rPr>
        <w:t>a la vivienda  y  otras  medidas  fiscales  (SHCP)</w:t>
      </w:r>
    </w:p>
    <w:p w14:paraId="44B74AC1"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El 26 de marzo de 2015, la Secretaría de Hacienda y Crédito Público (SHCP) publicó en el Diario Oficial de la Federación (DOF) el “Decreto por el que se otorgan medidas de apoyo a la vivienda y otras medidas fiscales”, el cual se presenta a continuación.</w:t>
      </w:r>
    </w:p>
    <w:p w14:paraId="46BB9B37"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ENRIQUE PEÑA NIETO, Presidente de los Estados Unidos Mexicanos, en ejercicio de la facultad que me confiere el artículo 89, fracción I de la Constitución Política de los Estados Unidos Mexicanos, con fundamento en el artículo 31 de la Ley Orgánica de la Administración Pública Federal y 39, fracciones I, II y III del Código Fiscal de la Federación, y</w:t>
      </w:r>
    </w:p>
    <w:p w14:paraId="263E634D" w14:textId="77777777" w:rsidR="00395FC3" w:rsidRPr="00395FC3" w:rsidRDefault="00395FC3" w:rsidP="00395FC3">
      <w:pPr>
        <w:spacing w:after="360" w:line="360" w:lineRule="auto"/>
        <w:ind w:right="-159"/>
        <w:jc w:val="center"/>
        <w:rPr>
          <w:rFonts w:eastAsia="Calibri"/>
          <w:b/>
          <w:sz w:val="26"/>
          <w:szCs w:val="26"/>
          <w:lang w:eastAsia="en-US"/>
        </w:rPr>
      </w:pPr>
      <w:r w:rsidRPr="00395FC3">
        <w:rPr>
          <w:rFonts w:eastAsia="Calibri"/>
          <w:b/>
          <w:sz w:val="26"/>
          <w:szCs w:val="26"/>
          <w:lang w:eastAsia="en-US"/>
        </w:rPr>
        <w:t>CONSIDERANDO</w:t>
      </w:r>
    </w:p>
    <w:p w14:paraId="42743E0A"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con el fin de promover el desarrollo y construcción de viviendas de calidad a precios accesibles para las familias mexicanas y coadyuvar a que éstas formen un patrimonio propio, que les permita gozar de una mejor calidad de vida y alcanzar un mayor nivel de bienestar, en el mes de enero pasado el Ejecutivo Federal a mi cargo estableció medidas que coadyuvan a mitigar el efecto en los costos que enfrentan las empresas constructoras e incentivan el desarrollo de la oferta de vivienda;</w:t>
      </w:r>
    </w:p>
    <w:p w14:paraId="007CE0E6"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 xml:space="preserve">Que con el propósito de complementar los apoyos al sector de la construcción de la vivienda, dado el papel estratégico que representa, pues se trata de una actividad que tiene efectos multiplicadores en diversas ramas de la economía y, por lo tanto, es impulsora de inversión y generadora de nuevas fuentes de empleo, resulta necesario establecer un beneficio para los prestadores de servicios parciales de construcción destinada a vivienda consistente en un estímulo fiscal equivalente al 100% del Impuesto al Valor Agregado (IVA) que se cause por dichos servicios, con el fin de evitar que este gravamen impacte en un incremento en su precio final y que la medida se vea reflejada </w:t>
      </w:r>
      <w:r w:rsidRPr="00395FC3">
        <w:rPr>
          <w:rFonts w:eastAsia="Calibri"/>
          <w:sz w:val="26"/>
          <w:szCs w:val="26"/>
          <w:lang w:eastAsia="en-US"/>
        </w:rPr>
        <w:lastRenderedPageBreak/>
        <w:t>en beneficio de las familias mexicanas al facilitarles la adquisición de una vivienda de calidad;</w:t>
      </w:r>
    </w:p>
    <w:p w14:paraId="51CC942C"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un inmueble puede tener diferentes destinos, entre ellos el de casa habitación, se estima conveniente precisar que el estímulo fiscal que se otorga mediante el presente Decreto sólo podrá aplicarse tratándose de servicios parciales de construcción prestados en inmuebles por lo que corresponde a las casas habitación y siempre que dichos servicios se identifiquen;</w:t>
      </w:r>
    </w:p>
    <w:p w14:paraId="305D33CE"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de conformidad con la Ley del Impuesto al Valor Agregado la importación y enajenación en territorio nacional de suplementos alimenticios está sujeta a la aplicación de la tasa del 16%. No obstante lo anterior, variadas interpretaciones, incluso judiciales, han dado lugar a una aplicación incorrecta del tratamiento fiscal, con lo que se generaron importantes contingencias fiscales a los contribuyentes;</w:t>
      </w:r>
    </w:p>
    <w:p w14:paraId="02992049"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a efecto de asegurar un tratamiento fiscal homogéneo y condiciones de competencia similares en la enajenación de suplementos alimenticios en toda la cadena de comercialización, resulta necesario condonar el pago del IVA y sus accesorios causado hasta el 31 de diciembre de 2014, siempre que a partir del ejercicio fiscal de 2015, los contribuyentes trasladen, cobren y paguen el IVA a la tasa del 16% por la enajenación de dichos productos;</w:t>
      </w:r>
    </w:p>
    <w:p w14:paraId="477837B5"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las sociedades cooperativas de producción cumplen una importante labor social, al ser organizaciones sociales integradas por personas físicas con intereses comunes y constituidas de acuerdo con los principios de solidaridad, esfuerzo propio y ayuda mutua, con el propósito de satisfacer necesidades individuales y colectivas, a través de la realización de actividades económicas de producción, distribución y consumo de bienes y servicios;</w:t>
      </w:r>
    </w:p>
    <w:p w14:paraId="69FDF485"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lastRenderedPageBreak/>
        <w:t>Que la Ley del Impuesto sobre la Renta permite que las sociedades cooperativas de producción difieran el pago de la totalidad del impuesto del ejercicio fiscal hasta aquél en el que distribuyan la utilidad gravable a sus socios cooperativistas y, en el caso de que se determine y no se distribuya en los dos años siguientes a la fecha en que se determinó, se pagará el Impuesto Sobre la Renta (ISR) en los términos del Título VII, Capítulo VII de la citada Ley;</w:t>
      </w:r>
    </w:p>
    <w:p w14:paraId="4E9A7406"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dichas sociedades cuentan con una estructura de gastos diferentes a la de cualquier otra persona moral, en razón de que por Ley están obligadas a constituir diversos fondos sociales a favor de sus cooperativistas, como son el de educación, vivienda, y algunos otros destinados a la previsión social, por lo que resulta conveniente que se les otorgue un tratamiento diferente en cuanto a los ingresos que perciben;</w:t>
      </w:r>
    </w:p>
    <w:p w14:paraId="1661DEA0"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Que es necesario generar condiciones favorables para que las sociedades cooperativas de producción inviertan sus beneficios en proyectos productivos con períodos más amplios de maduración, generando con ello mayores fuentes de empleo y crecimiento económico en el país;</w:t>
      </w:r>
    </w:p>
    <w:p w14:paraId="43A66ECD" w14:textId="7068881C"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 xml:space="preserve">Que se estima oportuno permitir a las sociedades cooperativas de producción ampliar el plazo de diferimiento del ISR correspondiente a cada uno de sus socios de dos a cinco años, en los casos en que determinen utilidad gravable en el ejercicio que corresponda y no la distribuyan a sus socios, siempre que inviertan un monto equivalente al total del impuesto diferido en inversiones productivas y que el otorgamiento total de préstamos que dichas sociedades realicen a sus partes relacionadas, en su caso, no exceda del equivalente al 3% del total de los ingresos anuales de la sociedad, ello con el fin de evitar que se afecten operaciones reales de las sociedades cooperativas de producción. Lo anterior implica que cuando los préstamos rebasen dicho límite se considerará que se distribuyen utilidades a los socios y se deberá realizar </w:t>
      </w:r>
      <w:r w:rsidR="00CD2EB1">
        <w:rPr>
          <w:rFonts w:eastAsia="Calibri"/>
          <w:sz w:val="26"/>
          <w:szCs w:val="26"/>
          <w:lang w:eastAsia="en-US"/>
        </w:rPr>
        <w:t xml:space="preserve">el pago del impuesto diferido, </w:t>
      </w:r>
    </w:p>
    <w:p w14:paraId="62F57DAC"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lastRenderedPageBreak/>
        <w:t>Que de conformidad con el Código Fiscal de la Federación, el Ejecutivo Federal tiene la facultad de condonar el pago de contribuciones; dictar medidas relacionadas con la administración, control, forma de pago y procedimientos señalados en las leyes fiscales, y conceder estímulos fiscales, he tenido a bien expedir el siguiente</w:t>
      </w:r>
    </w:p>
    <w:p w14:paraId="7EE30918" w14:textId="77777777" w:rsidR="00395FC3" w:rsidRPr="00395FC3" w:rsidRDefault="00395FC3" w:rsidP="00395FC3">
      <w:pPr>
        <w:spacing w:after="360" w:line="360" w:lineRule="auto"/>
        <w:ind w:right="-159"/>
        <w:jc w:val="center"/>
        <w:rPr>
          <w:rFonts w:eastAsia="Calibri"/>
          <w:b/>
          <w:sz w:val="26"/>
          <w:szCs w:val="26"/>
          <w:lang w:eastAsia="en-US"/>
        </w:rPr>
      </w:pPr>
      <w:r w:rsidRPr="00395FC3">
        <w:rPr>
          <w:rFonts w:eastAsia="Calibri"/>
          <w:b/>
          <w:sz w:val="26"/>
          <w:szCs w:val="26"/>
          <w:lang w:eastAsia="en-US"/>
        </w:rPr>
        <w:t>DECRETO</w:t>
      </w:r>
    </w:p>
    <w:p w14:paraId="66E0E736"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Primero. Se otorga un estímulo fiscal a los contribuyentes que presten servicios parciales de construcción de inmuebles destinados a casa habitación, siempre y cuando el prestador del servicio proporcione la mano de obra y materiales. Los servicios mencionados deberán prestarse en la obra en construcción al propietario del inmueble, quien deberá ser titular del permiso, licencia o autorización de la construcción de la vivienda correspondiente.</w:t>
      </w:r>
    </w:p>
    <w:p w14:paraId="5D12E871"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El estímulo fiscal consiste en una cantidad equivalente al 100% del IVA que se cause por la prestación de dichos servicios y se aplicará contra el impuesto causado mencionado.</w:t>
      </w:r>
    </w:p>
    <w:p w14:paraId="396C317C"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Los contribuyentes que opten por el beneficio a que se refiere este artículo deberán considerar los servicios a que el mismo se refiere como actividades por las que no se debe pagar el IVA y producirán los mismos efectos legales.</w:t>
      </w:r>
    </w:p>
    <w:p w14:paraId="06B3343F"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El estímulo fiscal a que se refiere este artículo no será aplicable tratándose de servicios parciales de construcción prestados en inmuebles que además de ser destinados a casa habitación se destinen a otros fines, salvo cuando se identifiquen los servicios mencionados prestados exclusivamente en las casas habitación de dicho inmueble.</w:t>
      </w:r>
    </w:p>
    <w:p w14:paraId="23E81254"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Segundo. Los contribuyentes que opten por aplicar el estímulo fiscal a que se refiere el artículo anterior deberán cumplir con los siguientes requisitos:</w:t>
      </w:r>
    </w:p>
    <w:p w14:paraId="1913F842" w14:textId="77777777" w:rsidR="00395FC3" w:rsidRPr="00395FC3" w:rsidRDefault="00395FC3" w:rsidP="003B27DE">
      <w:pPr>
        <w:numPr>
          <w:ilvl w:val="0"/>
          <w:numId w:val="32"/>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lastRenderedPageBreak/>
        <w:t>No trasladar al prestatario de los servicios a que se refiere el artículo Primero de este Decreto, cantidad alguna por concepto del IVA.</w:t>
      </w:r>
    </w:p>
    <w:p w14:paraId="2E27CA5A" w14:textId="77777777" w:rsidR="00395FC3" w:rsidRPr="00395FC3" w:rsidRDefault="00395FC3" w:rsidP="003B27DE">
      <w:pPr>
        <w:numPr>
          <w:ilvl w:val="0"/>
          <w:numId w:val="32"/>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Expedir comprobantes fiscales que amparen únicamente los servicios parciales de construcción de inmuebles destinados a casa habitación, mismos que además de cumplir con los requisitos que establecen las disposiciones fiscales, contengan lo siguiente:</w:t>
      </w:r>
    </w:p>
    <w:p w14:paraId="478AB862" w14:textId="77777777" w:rsidR="00395FC3" w:rsidRPr="00395FC3" w:rsidRDefault="00395FC3" w:rsidP="003B27DE">
      <w:pPr>
        <w:numPr>
          <w:ilvl w:val="1"/>
          <w:numId w:val="34"/>
        </w:numPr>
        <w:spacing w:after="360" w:line="360" w:lineRule="auto"/>
        <w:ind w:left="924" w:right="-159" w:hanging="357"/>
        <w:jc w:val="both"/>
        <w:rPr>
          <w:rFonts w:eastAsia="Calibri"/>
          <w:sz w:val="26"/>
          <w:szCs w:val="26"/>
          <w:lang w:eastAsia="en-US"/>
        </w:rPr>
      </w:pPr>
      <w:r w:rsidRPr="00395FC3">
        <w:rPr>
          <w:rFonts w:eastAsia="Calibri"/>
          <w:sz w:val="26"/>
          <w:szCs w:val="26"/>
          <w:lang w:eastAsia="en-US"/>
        </w:rPr>
        <w:t>El domicilio del inmueble en el que se proporcionen los servicios parciales de construcción.</w:t>
      </w:r>
    </w:p>
    <w:p w14:paraId="2FD071B4" w14:textId="77777777" w:rsidR="00395FC3" w:rsidRPr="00395FC3" w:rsidRDefault="00395FC3" w:rsidP="003B27DE">
      <w:pPr>
        <w:numPr>
          <w:ilvl w:val="1"/>
          <w:numId w:val="34"/>
        </w:numPr>
        <w:spacing w:after="360" w:line="360" w:lineRule="auto"/>
        <w:ind w:left="924" w:right="-159" w:hanging="357"/>
        <w:jc w:val="both"/>
        <w:rPr>
          <w:rFonts w:eastAsia="Calibri"/>
          <w:sz w:val="26"/>
          <w:szCs w:val="26"/>
          <w:lang w:eastAsia="en-US"/>
        </w:rPr>
      </w:pPr>
      <w:r w:rsidRPr="00395FC3">
        <w:rPr>
          <w:rFonts w:eastAsia="Calibri"/>
          <w:sz w:val="26"/>
          <w:szCs w:val="26"/>
          <w:lang w:eastAsia="en-US"/>
        </w:rPr>
        <w:t>El número de permiso, licencia o autorización de construcción correspondiente que le haya proporcionado el prestatario de los servicios parciales de construcción, el cual deberá coincidir con el señalado en la manifestación a que se refiere la fracción siguiente de este artículo.</w:t>
      </w:r>
    </w:p>
    <w:p w14:paraId="6AA6C1A8" w14:textId="77777777" w:rsidR="00395FC3" w:rsidRPr="00395FC3" w:rsidRDefault="00395FC3" w:rsidP="00395FC3">
      <w:pPr>
        <w:spacing w:after="360" w:line="360" w:lineRule="auto"/>
        <w:ind w:left="567" w:right="-159" w:hanging="567"/>
        <w:jc w:val="both"/>
        <w:rPr>
          <w:rFonts w:eastAsia="Calibri"/>
          <w:sz w:val="26"/>
          <w:szCs w:val="26"/>
          <w:lang w:eastAsia="en-US"/>
        </w:rPr>
      </w:pPr>
      <w:r w:rsidRPr="00395FC3">
        <w:rPr>
          <w:rFonts w:eastAsia="Calibri"/>
          <w:sz w:val="26"/>
          <w:szCs w:val="26"/>
          <w:lang w:eastAsia="en-US"/>
        </w:rPr>
        <w:t>III.</w:t>
      </w:r>
      <w:r w:rsidRPr="00395FC3">
        <w:rPr>
          <w:rFonts w:eastAsia="Calibri"/>
          <w:sz w:val="26"/>
          <w:szCs w:val="26"/>
          <w:lang w:eastAsia="en-US"/>
        </w:rPr>
        <w:tab/>
        <w:t>Recabar del prestatario de los servicios a que se refiere el artículo Primero de este Decreto, una manifestación en donde se asiente:</w:t>
      </w:r>
    </w:p>
    <w:p w14:paraId="1A603DDF" w14:textId="77777777" w:rsidR="00395FC3" w:rsidRPr="00395FC3" w:rsidRDefault="00395FC3" w:rsidP="003B27DE">
      <w:pPr>
        <w:numPr>
          <w:ilvl w:val="0"/>
          <w:numId w:val="33"/>
        </w:numPr>
        <w:spacing w:after="360" w:line="360" w:lineRule="auto"/>
        <w:ind w:left="924" w:right="-159" w:hanging="357"/>
        <w:jc w:val="both"/>
        <w:rPr>
          <w:rFonts w:eastAsia="Calibri"/>
          <w:sz w:val="26"/>
          <w:szCs w:val="26"/>
          <w:lang w:eastAsia="en-US"/>
        </w:rPr>
      </w:pPr>
      <w:r w:rsidRPr="00395FC3">
        <w:rPr>
          <w:rFonts w:eastAsia="Calibri"/>
          <w:sz w:val="26"/>
          <w:szCs w:val="26"/>
          <w:lang w:eastAsia="en-US"/>
        </w:rPr>
        <w:t>Que los inmuebles en construcción en donde se proporcionen los citados servicios se destinan a casa habitación, con base en las especificaciones del inmueble y las licencias, permisos o autorizaciones de construcción correspondientes.</w:t>
      </w:r>
    </w:p>
    <w:p w14:paraId="793266CE" w14:textId="77777777" w:rsidR="00395FC3" w:rsidRPr="00395FC3" w:rsidRDefault="00395FC3" w:rsidP="003B27DE">
      <w:pPr>
        <w:numPr>
          <w:ilvl w:val="0"/>
          <w:numId w:val="33"/>
        </w:numPr>
        <w:spacing w:after="360" w:line="360" w:lineRule="auto"/>
        <w:ind w:left="924" w:right="-159" w:hanging="357"/>
        <w:jc w:val="both"/>
        <w:rPr>
          <w:rFonts w:eastAsia="Calibri"/>
          <w:sz w:val="26"/>
          <w:szCs w:val="26"/>
          <w:lang w:eastAsia="en-US"/>
        </w:rPr>
      </w:pPr>
      <w:r w:rsidRPr="00395FC3">
        <w:rPr>
          <w:rFonts w:eastAsia="Calibri"/>
          <w:sz w:val="26"/>
          <w:szCs w:val="26"/>
          <w:lang w:eastAsia="en-US"/>
        </w:rPr>
        <w:t>El número de licencia, permiso o autorización de construcción correspondiente.</w:t>
      </w:r>
    </w:p>
    <w:p w14:paraId="1D9EE207" w14:textId="77777777" w:rsidR="00395FC3" w:rsidRPr="00395FC3" w:rsidRDefault="00395FC3" w:rsidP="003B27DE">
      <w:pPr>
        <w:numPr>
          <w:ilvl w:val="0"/>
          <w:numId w:val="33"/>
        </w:numPr>
        <w:spacing w:after="360" w:line="360" w:lineRule="auto"/>
        <w:ind w:left="924" w:right="-159" w:hanging="357"/>
        <w:jc w:val="both"/>
        <w:rPr>
          <w:rFonts w:eastAsia="Calibri"/>
          <w:sz w:val="26"/>
          <w:szCs w:val="26"/>
          <w:lang w:eastAsia="en-US"/>
        </w:rPr>
      </w:pPr>
      <w:r w:rsidRPr="00395FC3">
        <w:rPr>
          <w:rFonts w:eastAsia="Calibri"/>
          <w:sz w:val="26"/>
          <w:szCs w:val="26"/>
          <w:lang w:eastAsia="en-US"/>
        </w:rPr>
        <w:t xml:space="preserve">Su voluntad de asumir responsabilidad solidaria en los términos del artículo 26, fracción VIII del Código Fiscal de la Federación por el IVA que corresponda al servicio parcial de construcción proporcionado, en el caso de </w:t>
      </w:r>
      <w:r w:rsidRPr="00395FC3">
        <w:rPr>
          <w:rFonts w:eastAsia="Calibri"/>
          <w:sz w:val="26"/>
          <w:szCs w:val="26"/>
          <w:lang w:eastAsia="en-US"/>
        </w:rPr>
        <w:lastRenderedPageBreak/>
        <w:t>que altere el destino de casa habitación establecido en las licencias, permisos o autorizaciones correspondientes.</w:t>
      </w:r>
    </w:p>
    <w:p w14:paraId="7351DD50" w14:textId="77777777" w:rsidR="00395FC3" w:rsidRPr="00395FC3" w:rsidRDefault="00395FC3" w:rsidP="00395FC3">
      <w:pPr>
        <w:spacing w:after="360" w:line="360" w:lineRule="auto"/>
        <w:ind w:left="924" w:right="-159"/>
        <w:jc w:val="both"/>
        <w:rPr>
          <w:rFonts w:eastAsia="Calibri"/>
          <w:sz w:val="26"/>
          <w:szCs w:val="26"/>
          <w:lang w:eastAsia="en-US"/>
        </w:rPr>
      </w:pPr>
      <w:r w:rsidRPr="00395FC3">
        <w:rPr>
          <w:rFonts w:eastAsia="Calibri"/>
          <w:sz w:val="26"/>
          <w:szCs w:val="26"/>
          <w:lang w:eastAsia="en-US"/>
        </w:rPr>
        <w:t>La manifestación a que se refiere esta fracción deberá recabarse por cada contrato, verbal o escrito, a más tardar en la fecha en la que el prestador de los servicios parciales de construcción deba presentar la primera declaración del IVA por dichos servicios y deberá cumplir los requisitos que establezca el Servicio de Administración Tributaria mediante reglas de carácter general, la cual formará parte de su contabilidad.</w:t>
      </w:r>
    </w:p>
    <w:p w14:paraId="26A43DCD" w14:textId="77777777" w:rsidR="00395FC3" w:rsidRPr="00395FC3" w:rsidRDefault="00395FC3" w:rsidP="00395FC3">
      <w:pPr>
        <w:spacing w:after="360" w:line="360" w:lineRule="auto"/>
        <w:ind w:left="567" w:right="-159" w:hanging="567"/>
        <w:jc w:val="both"/>
        <w:rPr>
          <w:rFonts w:eastAsia="Calibri"/>
          <w:sz w:val="26"/>
          <w:szCs w:val="26"/>
          <w:lang w:eastAsia="en-US"/>
        </w:rPr>
      </w:pPr>
      <w:r w:rsidRPr="00395FC3">
        <w:rPr>
          <w:rFonts w:eastAsia="Calibri"/>
          <w:sz w:val="26"/>
          <w:szCs w:val="26"/>
          <w:lang w:eastAsia="en-US"/>
        </w:rPr>
        <w:t xml:space="preserve">IV. </w:t>
      </w:r>
      <w:r w:rsidRPr="00395FC3">
        <w:rPr>
          <w:rFonts w:eastAsia="Calibri"/>
          <w:sz w:val="26"/>
          <w:szCs w:val="26"/>
          <w:lang w:eastAsia="en-US"/>
        </w:rPr>
        <w:tab/>
        <w:t>Manifestar en la declaración del IVA el monto de los servicios parciales de construcción de inmuebles destinados a casa habitación como una actividad por la que no se debe pagar dicho impuesto.</w:t>
      </w:r>
    </w:p>
    <w:p w14:paraId="05E39F24"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El incumplimiento de cualquiera de los requisitos mencionados hará improcedente la aplicación del estímulo fiscal respecto del servicio parcial de construcción que corresponda.</w:t>
      </w:r>
    </w:p>
    <w:p w14:paraId="085CEE5D"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Tercero. Para los efectos de lo dispuesto por el artículo Segundo del “Decreto por el que se otorgan beneficios fiscales en materia de vivienda”, publicado en el Diario Oficial de la Federación el 22 de enero de 2015, se considera que los contribuyentes que opten por aplicar el beneficio a que se refiere el artículo Primero del presente Decreto cumplen con la obligación de trasladar, cobrar y pagar el IVA conforme a las disposiciones fiscales aplicables.</w:t>
      </w:r>
    </w:p>
    <w:p w14:paraId="703127CB"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Cuarto. Los contribuyentes que apliquen el estímulo a que se refiere el artículo Primero del presente Decreto deberán presentar en el mes de enero de cada año un aviso en donde manifiesten que optan por el beneficio mencionado, en los términos que establezca el Servicio de Administración Tributaria mediante reglas de carácter general.</w:t>
      </w:r>
    </w:p>
    <w:p w14:paraId="28D097ED"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lastRenderedPageBreak/>
        <w:t>El incumplimiento en la presentación del aviso a que se refiere el párrafo anterior hará improcedente la aplicación del estímulo fiscal respecto de los servicios parciales de construcción de inmuebles destinados a casa habitación que se proporcionen durante el período del año que corresponda en que se haya omitido dicha presentación.</w:t>
      </w:r>
    </w:p>
    <w:p w14:paraId="65611844"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Quinto. Se condona el pago del IVA y sus accesorios, que hayan causado hasta el 31 de diciembre de 2014 los contribuyentes por la enajenación de suplementos alimenticios, siempre que:</w:t>
      </w:r>
    </w:p>
    <w:p w14:paraId="58ECD93F" w14:textId="77777777" w:rsidR="00395FC3" w:rsidRPr="00395FC3" w:rsidRDefault="00395FC3" w:rsidP="003B27DE">
      <w:pPr>
        <w:numPr>
          <w:ilvl w:val="2"/>
          <w:numId w:val="35"/>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El IVA que se condona no haya sido trasladado ni cobrado al adquirente de dichos bienes.</w:t>
      </w:r>
    </w:p>
    <w:p w14:paraId="115718FC" w14:textId="77777777" w:rsidR="00395FC3" w:rsidRPr="00395FC3" w:rsidRDefault="00395FC3" w:rsidP="003B27DE">
      <w:pPr>
        <w:numPr>
          <w:ilvl w:val="2"/>
          <w:numId w:val="35"/>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Se traslade, cobre y pague el IVA por la enajenación de suplementos alimenticios conforme a las disposiciones fiscales aplicables, a partir del ejercicio fiscal de 2015.</w:t>
      </w:r>
    </w:p>
    <w:p w14:paraId="55663FE1" w14:textId="77777777" w:rsidR="00395FC3" w:rsidRPr="00395FC3" w:rsidRDefault="00395FC3" w:rsidP="003B27DE">
      <w:pPr>
        <w:numPr>
          <w:ilvl w:val="2"/>
          <w:numId w:val="35"/>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Se presente la información a que se refiere el artículo Sexto del presente Decreto a más tardar el 30 de abril de 2015.</w:t>
      </w:r>
    </w:p>
    <w:p w14:paraId="4EAD8DC1"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La condonación a que se refiere este artículo, no será aplicable a los créditos fiscales determinados respecto de los cuales los contribuyentes hayan interpuesto algún medio de defensa, salvo que se desistan de dichos medios de defensa o cuando los adeudos hubiesen quedado firmes por una resolución o sentencia definitiva, dentro de los sesenta días naturales siguientes a la entrada en vigor del presente Decreto.</w:t>
      </w:r>
    </w:p>
    <w:p w14:paraId="7323F7FB"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 xml:space="preserve">Para los efectos de este Decreto, se consideran “suplementos alimenticios” los que están elaborados con una mezcla de productos de diversa naturaleza (químicos, hierbas, extractos naturales, vitaminas, minerales, etc.) cuya finalidad consiste en otorgarle al cuerpo componentes en niveles superiores a los que obtiene de una alimentación </w:t>
      </w:r>
      <w:r w:rsidRPr="00395FC3">
        <w:rPr>
          <w:rFonts w:eastAsia="Calibri"/>
          <w:sz w:val="26"/>
          <w:szCs w:val="26"/>
          <w:lang w:eastAsia="en-US"/>
        </w:rPr>
        <w:lastRenderedPageBreak/>
        <w:t>tradicional, siendo su ingesta opcional y en ocasiones contienen advertencias, limitantes o contraindicaciones respecto a su uso o consumo.</w:t>
      </w:r>
    </w:p>
    <w:p w14:paraId="45ED5457"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Sexto. Los contribuyentes que se acojan al beneficio que se establece en el artículo Quinto de este Decreto, deberán presentar por cada uno de los ejercicios fiscales en los que se aplique el beneficio mencionado, la información sobre el valor de las enajenaciones de suplementos alimenticios por los que aplicaron la tasa del 0%, separando las enajenaciones realizadas con el público en general, de las demás enajenaciones.</w:t>
      </w:r>
    </w:p>
    <w:p w14:paraId="3CC966B2"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Los contribuyentes únicamente podrán acogerse a la condonación que se establece en el artículo Quinto de este Decreto respecto de las enajenaciones reportadas en tiempo y forma.</w:t>
      </w:r>
    </w:p>
    <w:p w14:paraId="15759362"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Séptimo. Los contribuyentes a que se refiere el artículo Quinto de este Decreto que estén pagando a plazo adeudos en los términos del artículo 66 del Código Fiscal de la Federación, por concepto del IVA derivado de la enajenación de suplementos alimenticios, así como los accesorios correspondientes, gozarán de la condonación a que se refiere el artículo citado por lo que corresponde a los saldos insolutos que de dichos adeudos tengan a la entrada en vigor del presente Decreto.</w:t>
      </w:r>
    </w:p>
    <w:p w14:paraId="5AA3CC79"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Octavo. Los contribuyentes que se encuentren sujetos a un procedimiento administrativo de ejecución o que estén sujetos a facultades de comprobación podrán gozar del beneficio fiscal previsto en el artículo Quinto de este Decreto, siempre que dentro del procedimiento que corresponda manifiesten a la autoridad respectiva que aplicarán dicho beneficio.</w:t>
      </w:r>
    </w:p>
    <w:p w14:paraId="58E82ECC"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 xml:space="preserve">Artículo Noveno. Las sociedades cooperativas de producción que tributen en los términos del Título VII, Capítulo VII de la Ley del Impuesto sobre la Renta, que determinen utilidad gravable del ejercicio fiscal y no la distribuyan, podrán diferir la </w:t>
      </w:r>
      <w:r w:rsidRPr="00395FC3">
        <w:rPr>
          <w:rFonts w:eastAsia="Calibri"/>
          <w:sz w:val="26"/>
          <w:szCs w:val="26"/>
          <w:lang w:eastAsia="en-US"/>
        </w:rPr>
        <w:lastRenderedPageBreak/>
        <w:t>totalidad del ISR del ejercicio determinado conforme al artículo 194, fracción I de la citada Ley, por tres ejercicios fiscales siguientes a los establecidos en el tercer párrafo de la fracción mencionada, siempre que cumplan los siguientes requisitos:</w:t>
      </w:r>
    </w:p>
    <w:p w14:paraId="5E583714" w14:textId="77777777" w:rsidR="00395FC3" w:rsidRPr="00395FC3" w:rsidRDefault="00395FC3" w:rsidP="003B27DE">
      <w:pPr>
        <w:numPr>
          <w:ilvl w:val="2"/>
          <w:numId w:val="36"/>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Inviertan un monto equivalente al ISR diferido, en inversiones productivas que generen mayores empleos o socios cooperativistas. Para estos efectos, se considerará como inversión productiva, las inversiones en los bienes a que se refiere el artículo 32 de la Ley del Impuesto sobre la Renta.</w:t>
      </w:r>
    </w:p>
    <w:p w14:paraId="7945D47A" w14:textId="77777777" w:rsidR="00395FC3" w:rsidRPr="00395FC3" w:rsidRDefault="00395FC3" w:rsidP="003B27DE">
      <w:pPr>
        <w:numPr>
          <w:ilvl w:val="2"/>
          <w:numId w:val="36"/>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En caso de que otorguen préstamos a sus partes relacionadas, el monto total de los mismos no exceda del 3% del total de los ingresos anuales de la sociedad. Se entenderá como parte relacionada lo dispuesto en el artículo 179, quinto párrafo de la Ley del Impuesto sobre la Renta.</w:t>
      </w:r>
    </w:p>
    <w:p w14:paraId="06F540D6" w14:textId="77777777" w:rsidR="00395FC3" w:rsidRPr="00395FC3" w:rsidRDefault="00395FC3" w:rsidP="003B27DE">
      <w:pPr>
        <w:numPr>
          <w:ilvl w:val="2"/>
          <w:numId w:val="36"/>
        </w:numPr>
        <w:spacing w:after="360" w:line="360" w:lineRule="auto"/>
        <w:ind w:left="567" w:right="-159" w:hanging="567"/>
        <w:jc w:val="both"/>
        <w:rPr>
          <w:rFonts w:eastAsia="Calibri"/>
          <w:sz w:val="26"/>
          <w:szCs w:val="26"/>
          <w:lang w:eastAsia="en-US"/>
        </w:rPr>
      </w:pPr>
      <w:r w:rsidRPr="00395FC3">
        <w:rPr>
          <w:rFonts w:eastAsia="Calibri"/>
          <w:sz w:val="26"/>
          <w:szCs w:val="26"/>
          <w:lang w:eastAsia="en-US"/>
        </w:rPr>
        <w:t>Informen al Servicio de Administración Tributaria en la declaración anual del ISR correspondiente al ejercicio fiscal en el que se determine la utilidad gravable, el monto del ISR diferido.</w:t>
      </w:r>
    </w:p>
    <w:p w14:paraId="09C5169B"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Las sociedades cooperativas de producción que se apeguen a lo dispuesto por el presente artículo, pagarán el ISR diferido, en los mismos términos y condiciones que establece el artículo 194 de la Ley del Impuesto sobre la Renta. En los casos en que los préstamos rebasen el límite previsto en la fracción II de este artículo, se considerará que se distribuyen utilidades a los socios y se deberá realizar el pago del impuesto diferido conforme a lo previsto en el citado precepto.</w:t>
      </w:r>
    </w:p>
    <w:p w14:paraId="6900E903"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 xml:space="preserve">Para los efectos de la fracción II de este artículo, las sociedades cooperativas de producción deberán informar al Servicio de Administración Tributaria, el importe de los préstamos que otorguen a sus partes relacionadas, así como el nombre, denominación o razón social, domicilio y clave en el registro federal de contribuyentes </w:t>
      </w:r>
      <w:r w:rsidRPr="00395FC3">
        <w:rPr>
          <w:rFonts w:eastAsia="Calibri"/>
          <w:sz w:val="26"/>
          <w:szCs w:val="26"/>
          <w:lang w:eastAsia="en-US"/>
        </w:rPr>
        <w:lastRenderedPageBreak/>
        <w:t>de los beneficiarios de dichos préstamos, dentro del mes siguiente a aquél en el que se otorguen los mismos.</w:t>
      </w:r>
    </w:p>
    <w:p w14:paraId="62F7F47A"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Décimo. La aplicación de los beneficios fiscales establecidos en el presente Decreto no dará lugar a devolución, compensación, acreditamiento o saldo a favor alguno.</w:t>
      </w:r>
    </w:p>
    <w:p w14:paraId="5D6AC4BC"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Décimo Primero. Los beneficios fiscales previstos en los artículos Primero y Quinto del presente Decreto no se considerarán como ingreso acumulable para los efectos del ISR.</w:t>
      </w:r>
    </w:p>
    <w:p w14:paraId="640A4706"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Artículo Décimo Segundo. El Servicio de Administración Tributaria podrá expedir las disposiciones de carácter general necesarias para la correcta y debida aplicación del presente Decreto.</w:t>
      </w:r>
    </w:p>
    <w:p w14:paraId="79538C24" w14:textId="77777777" w:rsidR="00395FC3" w:rsidRPr="00395FC3" w:rsidRDefault="00395FC3" w:rsidP="00395FC3">
      <w:pPr>
        <w:spacing w:after="360" w:line="360" w:lineRule="auto"/>
        <w:ind w:right="-159"/>
        <w:jc w:val="center"/>
        <w:rPr>
          <w:rFonts w:eastAsia="Calibri"/>
          <w:b/>
          <w:sz w:val="26"/>
          <w:szCs w:val="26"/>
          <w:lang w:eastAsia="en-US"/>
        </w:rPr>
      </w:pPr>
      <w:r w:rsidRPr="00395FC3">
        <w:rPr>
          <w:rFonts w:eastAsia="Calibri"/>
          <w:b/>
          <w:sz w:val="26"/>
          <w:szCs w:val="26"/>
          <w:lang w:eastAsia="en-US"/>
        </w:rPr>
        <w:t>TRANSITORIOS</w:t>
      </w:r>
    </w:p>
    <w:p w14:paraId="15342E8D"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Primero. El presente Decreto entrará en vigor al día siguiente de su publicación en el Diario Oficial de la Federación.</w:t>
      </w:r>
    </w:p>
    <w:p w14:paraId="0DEA993D" w14:textId="77777777" w:rsidR="00395FC3" w:rsidRPr="00395FC3" w:rsidRDefault="00395FC3" w:rsidP="00395FC3">
      <w:pPr>
        <w:spacing w:after="360" w:line="360" w:lineRule="auto"/>
        <w:ind w:right="-159"/>
        <w:jc w:val="both"/>
        <w:rPr>
          <w:rFonts w:eastAsia="Calibri"/>
          <w:sz w:val="26"/>
          <w:szCs w:val="26"/>
          <w:lang w:eastAsia="en-US"/>
        </w:rPr>
      </w:pPr>
      <w:r w:rsidRPr="00395FC3">
        <w:rPr>
          <w:rFonts w:eastAsia="Calibri"/>
          <w:sz w:val="26"/>
          <w:szCs w:val="26"/>
          <w:lang w:eastAsia="en-US"/>
        </w:rPr>
        <w:t>Segundo. Para los efectos del artículo Cuarto de este Decreto, durante 2015 los contribuyentes personas morales deberán presentar el aviso a que se refiere dicho artículo, correspondiente a 2015 dentro de los 15 días siguientes a la presentación de la primera declaración del IVA a que se refiere el artículo Segundo, fracción IV de este Decreto y los contribuyentes personas físicas, deberán presentar el aviso antes mencionado dentro del mes siguiente a aquél en el que presten por primera vez los servicios parciales de construcción por los que opten por aplicar el estímulo fiscal a que se refiere el artículo Primero de este Decreto.</w:t>
      </w:r>
    </w:p>
    <w:p w14:paraId="7C056D9B" w14:textId="77777777" w:rsidR="00395FC3" w:rsidRPr="00395FC3" w:rsidRDefault="00395FC3" w:rsidP="00395FC3">
      <w:pPr>
        <w:ind w:right="-159"/>
        <w:jc w:val="both"/>
        <w:rPr>
          <w:rFonts w:eastAsia="Calibri"/>
          <w:b/>
          <w:sz w:val="20"/>
          <w:szCs w:val="20"/>
          <w:lang w:eastAsia="en-US"/>
        </w:rPr>
      </w:pPr>
      <w:r w:rsidRPr="00395FC3">
        <w:rPr>
          <w:rFonts w:eastAsia="Calibri"/>
          <w:b/>
          <w:sz w:val="20"/>
          <w:szCs w:val="20"/>
          <w:lang w:eastAsia="en-US"/>
        </w:rPr>
        <w:t>Fuente de información:</w:t>
      </w:r>
    </w:p>
    <w:p w14:paraId="774AD934" w14:textId="77777777" w:rsidR="00395FC3" w:rsidRPr="00710C76" w:rsidRDefault="0045651A" w:rsidP="00395FC3">
      <w:pPr>
        <w:ind w:right="-159"/>
        <w:jc w:val="both"/>
        <w:rPr>
          <w:rFonts w:eastAsia="Calibri"/>
          <w:color w:val="0000FF"/>
          <w:sz w:val="20"/>
          <w:szCs w:val="20"/>
          <w:lang w:eastAsia="en-US"/>
        </w:rPr>
      </w:pPr>
      <w:hyperlink r:id="rId231" w:history="1">
        <w:r w:rsidR="00395FC3" w:rsidRPr="00710C76">
          <w:rPr>
            <w:rFonts w:eastAsia="Calibri"/>
            <w:color w:val="0000FF"/>
            <w:sz w:val="20"/>
            <w:szCs w:val="20"/>
            <w:u w:val="single"/>
            <w:lang w:eastAsia="en-US"/>
          </w:rPr>
          <w:t>http://dof.gob.mx/nota_detalle.php?codigo=5386773&amp;fecha=26/03/2015</w:t>
        </w:r>
      </w:hyperlink>
    </w:p>
    <w:p w14:paraId="63EEEF08" w14:textId="6AEE0815" w:rsidR="001F0E6A" w:rsidRPr="001F0E6A" w:rsidRDefault="001F0E6A" w:rsidP="001F0E6A">
      <w:pPr>
        <w:ind w:right="-159"/>
        <w:jc w:val="both"/>
        <w:rPr>
          <w:rFonts w:eastAsia="Times New Roman"/>
          <w:b/>
          <w:bCs/>
          <w:kern w:val="36"/>
          <w:sz w:val="26"/>
          <w:szCs w:val="26"/>
          <w:lang w:val="es-ES" w:eastAsia="es-MX"/>
        </w:rPr>
      </w:pPr>
      <w:r>
        <w:rPr>
          <w:rFonts w:eastAsia="Times New Roman"/>
          <w:b/>
          <w:bCs/>
          <w:kern w:val="36"/>
          <w:sz w:val="26"/>
          <w:szCs w:val="26"/>
          <w:lang w:val="es-ES" w:eastAsia="es-MX"/>
        </w:rPr>
        <w:lastRenderedPageBreak/>
        <w:t>Cuatro</w:t>
      </w:r>
      <w:r w:rsidRPr="001F0E6A">
        <w:rPr>
          <w:rFonts w:eastAsia="Times New Roman"/>
          <w:b/>
          <w:bCs/>
          <w:kern w:val="36"/>
          <w:sz w:val="26"/>
          <w:szCs w:val="26"/>
          <w:lang w:val="es-ES" w:eastAsia="es-MX"/>
        </w:rPr>
        <w:t xml:space="preserve"> razones por las que se disparará</w:t>
      </w:r>
    </w:p>
    <w:p w14:paraId="6054F360" w14:textId="48B8EBF7" w:rsidR="001F0E6A" w:rsidRPr="001F0E6A" w:rsidRDefault="001F0E6A" w:rsidP="001F0E6A">
      <w:pPr>
        <w:spacing w:after="360" w:line="360" w:lineRule="auto"/>
        <w:ind w:right="-159"/>
        <w:jc w:val="both"/>
        <w:rPr>
          <w:rFonts w:eastAsia="Times New Roman"/>
          <w:sz w:val="26"/>
          <w:szCs w:val="26"/>
          <w:lang w:val="es-ES" w:eastAsia="es-MX"/>
        </w:rPr>
      </w:pPr>
      <w:r>
        <w:rPr>
          <w:rFonts w:eastAsia="Times New Roman"/>
          <w:b/>
          <w:bCs/>
          <w:kern w:val="36"/>
          <w:sz w:val="26"/>
          <w:szCs w:val="26"/>
          <w:lang w:val="es-ES" w:eastAsia="es-MX"/>
        </w:rPr>
        <w:t xml:space="preserve">la  </w:t>
      </w:r>
      <w:r w:rsidRPr="001F0E6A">
        <w:rPr>
          <w:rFonts w:eastAsia="Times New Roman"/>
          <w:b/>
          <w:bCs/>
          <w:kern w:val="36"/>
          <w:sz w:val="26"/>
          <w:szCs w:val="26"/>
          <w:lang w:val="es-ES" w:eastAsia="es-MX"/>
        </w:rPr>
        <w:t>deuda de los estados</w:t>
      </w:r>
      <w:r w:rsidRPr="001F0E6A">
        <w:rPr>
          <w:rFonts w:eastAsia="Times New Roman"/>
          <w:sz w:val="26"/>
          <w:szCs w:val="26"/>
          <w:lang w:val="es-ES" w:eastAsia="es-MX"/>
        </w:rPr>
        <w:t xml:space="preserve"> </w:t>
      </w:r>
      <w:r w:rsidRPr="001F0E6A">
        <w:rPr>
          <w:rFonts w:eastAsia="Times New Roman"/>
          <w:b/>
          <w:sz w:val="26"/>
          <w:szCs w:val="26"/>
          <w:lang w:val="es-ES" w:eastAsia="es-MX"/>
        </w:rPr>
        <w:t>(Forbes México)</w:t>
      </w:r>
    </w:p>
    <w:p w14:paraId="3609922D" w14:textId="77777777" w:rsidR="001F0E6A" w:rsidRPr="001F0E6A" w:rsidRDefault="001F0E6A" w:rsidP="001F0E6A">
      <w:pPr>
        <w:spacing w:after="360" w:line="360" w:lineRule="auto"/>
        <w:ind w:right="-159"/>
        <w:jc w:val="both"/>
        <w:outlineLvl w:val="0"/>
        <w:rPr>
          <w:rFonts w:eastAsia="Times New Roman"/>
          <w:sz w:val="26"/>
          <w:szCs w:val="26"/>
          <w:lang w:val="es-ES" w:eastAsia="es-MX"/>
        </w:rPr>
      </w:pPr>
      <w:r w:rsidRPr="001F0E6A">
        <w:rPr>
          <w:rFonts w:eastAsia="Times New Roman"/>
          <w:sz w:val="26"/>
          <w:szCs w:val="26"/>
          <w:lang w:val="es-ES" w:eastAsia="es-MX"/>
        </w:rPr>
        <w:t xml:space="preserve">El 6 de abril de 2015, la </w:t>
      </w:r>
      <w:r w:rsidRPr="001F0E6A">
        <w:rPr>
          <w:rFonts w:eastAsia="Calibri"/>
          <w:sz w:val="26"/>
          <w:szCs w:val="26"/>
          <w:lang w:val="es-ES" w:eastAsia="en-US"/>
        </w:rPr>
        <w:t xml:space="preserve">edición online de la revista de negocios Forbes México señaló que </w:t>
      </w:r>
      <w:r w:rsidRPr="001F0E6A">
        <w:rPr>
          <w:rFonts w:eastAsia="Times New Roman"/>
          <w:sz w:val="26"/>
          <w:szCs w:val="26"/>
          <w:lang w:val="es-ES" w:eastAsia="es-MX"/>
        </w:rPr>
        <w:t>la menor entrega de recursos por parte del Gobierno Federal a los estados es uno de los factores por los que la deuda estatal se acelerará en 2016, explicó Moody’s.</w:t>
      </w:r>
    </w:p>
    <w:p w14:paraId="28399C32" w14:textId="7777777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t>El recorte de 135 mil millones de pesos (mdp) anunciado por el Gobierno Federal aumentará los niveles de deuda de los estados y municipios. Al cierre de 2014, la deuda de los estados ascendió a 509 mil 690 mdp, el equivalente al 3.1% del Producto Interno Bruto (PIB).</w:t>
      </w:r>
    </w:p>
    <w:p w14:paraId="4529E775" w14:textId="54F1936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t xml:space="preserve">Éstas son las </w:t>
      </w:r>
      <w:r>
        <w:rPr>
          <w:rFonts w:eastAsia="Times New Roman"/>
          <w:sz w:val="26"/>
          <w:szCs w:val="26"/>
          <w:lang w:val="es-ES" w:eastAsia="es-MX"/>
        </w:rPr>
        <w:t>cuatro</w:t>
      </w:r>
      <w:r w:rsidRPr="001F0E6A">
        <w:rPr>
          <w:rFonts w:eastAsia="Times New Roman"/>
          <w:sz w:val="26"/>
          <w:szCs w:val="26"/>
          <w:lang w:val="es-ES" w:eastAsia="es-MX"/>
        </w:rPr>
        <w:t xml:space="preserve"> razones principales por las que la deuda estatal puede incrementarse:</w:t>
      </w:r>
    </w:p>
    <w:p w14:paraId="73A13D4E" w14:textId="1F788D23" w:rsidR="001F0E6A" w:rsidRPr="001F0E6A" w:rsidRDefault="001F0E6A" w:rsidP="003B27DE">
      <w:pPr>
        <w:pStyle w:val="Prrafodelista"/>
        <w:numPr>
          <w:ilvl w:val="3"/>
          <w:numId w:val="54"/>
        </w:numPr>
        <w:spacing w:after="360" w:line="360" w:lineRule="auto"/>
        <w:ind w:left="714" w:right="-159" w:hanging="357"/>
        <w:jc w:val="both"/>
        <w:rPr>
          <w:rFonts w:ascii="Times New Roman" w:eastAsia="Times New Roman" w:hAnsi="Times New Roman" w:cs="Times New Roman"/>
          <w:sz w:val="26"/>
          <w:szCs w:val="26"/>
          <w:lang w:val="es-ES" w:eastAsia="es-MX"/>
        </w:rPr>
      </w:pPr>
      <w:r w:rsidRPr="001F0E6A">
        <w:rPr>
          <w:rFonts w:ascii="Times New Roman" w:eastAsia="Times New Roman" w:hAnsi="Times New Roman" w:cs="Times New Roman"/>
          <w:b/>
          <w:bCs/>
          <w:sz w:val="26"/>
          <w:szCs w:val="26"/>
          <w:lang w:val="es-ES" w:eastAsia="es-MX"/>
        </w:rPr>
        <w:t>Reparto de participaciones más lento.</w:t>
      </w:r>
      <w:r w:rsidRPr="001F0E6A">
        <w:rPr>
          <w:rFonts w:ascii="Times New Roman" w:eastAsia="Times New Roman" w:hAnsi="Times New Roman" w:cs="Times New Roman"/>
          <w:sz w:val="26"/>
          <w:szCs w:val="26"/>
          <w:lang w:val="es-ES" w:eastAsia="es-MX"/>
        </w:rPr>
        <w:t xml:space="preserve"> La calificadora Moody’s prevé en un análisis un aumento de 4.5% en términos nominales en las participaciones federales a estados. Pero visto desde una perspectiva histórica, ésta es una tasa de crecimiento lenta.</w:t>
      </w:r>
    </w:p>
    <w:p w14:paraId="0BB9D652" w14:textId="6EF0360A" w:rsidR="001F0E6A" w:rsidRPr="001F0E6A" w:rsidRDefault="001F0E6A" w:rsidP="001F0E6A">
      <w:pPr>
        <w:spacing w:after="360" w:line="360" w:lineRule="auto"/>
        <w:ind w:left="680" w:right="-159"/>
        <w:jc w:val="both"/>
        <w:rPr>
          <w:rFonts w:eastAsia="Times New Roman"/>
          <w:sz w:val="26"/>
          <w:szCs w:val="26"/>
          <w:lang w:val="es-ES" w:eastAsia="es-MX"/>
        </w:rPr>
      </w:pPr>
      <w:r w:rsidRPr="001F0E6A">
        <w:rPr>
          <w:rFonts w:eastAsia="Times New Roman"/>
          <w:sz w:val="26"/>
          <w:szCs w:val="26"/>
          <w:lang w:val="es-ES" w:eastAsia="es-MX"/>
        </w:rPr>
        <w:t xml:space="preserve">Un analista de Moody´s dijo a </w:t>
      </w:r>
      <w:r w:rsidRPr="00CA7282">
        <w:rPr>
          <w:rFonts w:eastAsia="Times New Roman"/>
          <w:bCs/>
          <w:sz w:val="26"/>
          <w:szCs w:val="26"/>
          <w:lang w:val="es-ES" w:eastAsia="es-MX"/>
        </w:rPr>
        <w:t>Forbes México</w:t>
      </w:r>
      <w:r w:rsidRPr="001F0E6A">
        <w:rPr>
          <w:rFonts w:eastAsia="Times New Roman"/>
          <w:sz w:val="26"/>
          <w:szCs w:val="26"/>
          <w:lang w:val="es-ES" w:eastAsia="es-MX"/>
        </w:rPr>
        <w:t xml:space="preserve"> que “los pre criterios de 2016  nos dicen que las participaciones vendrán a un ritmo lento, y sugieren que en base a los recortes que están viendo para el gasto programable, es probable que los convenios (transferencia etiquetadas) vengan bajos”.</w:t>
      </w:r>
    </w:p>
    <w:p w14:paraId="735FBA5D" w14:textId="590574D9" w:rsidR="001F0E6A" w:rsidRPr="001F0E6A" w:rsidRDefault="001F0E6A" w:rsidP="003B27DE">
      <w:pPr>
        <w:pStyle w:val="Prrafodelista"/>
        <w:numPr>
          <w:ilvl w:val="3"/>
          <w:numId w:val="54"/>
        </w:numPr>
        <w:spacing w:after="360" w:line="360" w:lineRule="auto"/>
        <w:ind w:left="714" w:right="-159" w:hanging="357"/>
        <w:jc w:val="both"/>
        <w:rPr>
          <w:rFonts w:ascii="Times New Roman" w:eastAsia="Times New Roman" w:hAnsi="Times New Roman" w:cs="Times New Roman"/>
          <w:b/>
          <w:bCs/>
          <w:sz w:val="26"/>
          <w:szCs w:val="26"/>
          <w:lang w:val="es-ES" w:eastAsia="es-MX"/>
        </w:rPr>
      </w:pPr>
      <w:r w:rsidRPr="001F0E6A">
        <w:rPr>
          <w:rFonts w:ascii="Times New Roman" w:eastAsia="Times New Roman" w:hAnsi="Times New Roman" w:cs="Times New Roman"/>
          <w:b/>
          <w:bCs/>
          <w:sz w:val="26"/>
          <w:szCs w:val="26"/>
          <w:lang w:val="es-ES" w:eastAsia="es-MX"/>
        </w:rPr>
        <w:t>Menos crecimiento, más deuda. Para el analista un segundo riesgo para el endeudamiento estatal en 2016 es el ingreso desigual, el cual se refiere a que los estados que registren un menor crecimiento económico serán quienes recurrirán a pedir más deuda.</w:t>
      </w:r>
    </w:p>
    <w:p w14:paraId="3A7D72ED" w14:textId="77777777" w:rsidR="001F0E6A" w:rsidRPr="001F0E6A" w:rsidRDefault="001F0E6A" w:rsidP="001F0E6A">
      <w:pPr>
        <w:spacing w:after="360" w:line="360" w:lineRule="auto"/>
        <w:ind w:left="680" w:right="-159"/>
        <w:jc w:val="both"/>
        <w:rPr>
          <w:rFonts w:eastAsia="Times New Roman"/>
          <w:sz w:val="26"/>
          <w:szCs w:val="26"/>
          <w:lang w:val="es-ES" w:eastAsia="es-MX"/>
        </w:rPr>
      </w:pPr>
      <w:r w:rsidRPr="001F0E6A">
        <w:rPr>
          <w:rFonts w:eastAsia="Times New Roman"/>
          <w:sz w:val="26"/>
          <w:szCs w:val="26"/>
          <w:lang w:val="es-ES" w:eastAsia="es-MX"/>
        </w:rPr>
        <w:lastRenderedPageBreak/>
        <w:t>“Por el lado de los riesgos, está el ingreso idiosincrásico de cada estado. Que se refiere a qué tanto está creciendo cada entidad, cuánta disponibilidad tiene para hacer ajustes en el gasto o en el ingreso”, apuntó.</w:t>
      </w:r>
    </w:p>
    <w:p w14:paraId="79AED2B9" w14:textId="6D6349C3" w:rsidR="001F0E6A" w:rsidRPr="001F0E6A" w:rsidRDefault="001F0E6A" w:rsidP="003B27DE">
      <w:pPr>
        <w:pStyle w:val="Prrafodelista"/>
        <w:numPr>
          <w:ilvl w:val="3"/>
          <w:numId w:val="54"/>
        </w:numPr>
        <w:spacing w:after="360" w:line="360" w:lineRule="auto"/>
        <w:ind w:left="714" w:right="-159" w:hanging="357"/>
        <w:jc w:val="both"/>
        <w:rPr>
          <w:rFonts w:eastAsia="Times New Roman"/>
          <w:sz w:val="26"/>
          <w:szCs w:val="26"/>
          <w:lang w:val="es-ES" w:eastAsia="es-MX"/>
        </w:rPr>
      </w:pPr>
      <w:r w:rsidRPr="001F0E6A">
        <w:rPr>
          <w:rFonts w:ascii="Times New Roman" w:eastAsia="Times New Roman" w:hAnsi="Times New Roman" w:cs="Times New Roman"/>
          <w:b/>
          <w:bCs/>
          <w:sz w:val="26"/>
          <w:szCs w:val="26"/>
          <w:lang w:val="es-ES" w:eastAsia="es-MX"/>
        </w:rPr>
        <w:t xml:space="preserve">Elecciones en estados. Moody’s señaló en anteriores estudios que las </w:t>
      </w:r>
      <w:hyperlink r:id="rId232" w:tooltip="Mapa electoral 2015: violencia y deuda en los estados" w:history="1">
        <w:r w:rsidRPr="001F0E6A">
          <w:rPr>
            <w:rFonts w:ascii="Times New Roman" w:eastAsia="Times New Roman" w:hAnsi="Times New Roman" w:cs="Times New Roman"/>
            <w:b/>
            <w:bCs/>
            <w:sz w:val="26"/>
            <w:szCs w:val="26"/>
            <w:lang w:val="es-ES" w:eastAsia="es-MX"/>
          </w:rPr>
          <w:t>elecciones</w:t>
        </w:r>
      </w:hyperlink>
      <w:r w:rsidRPr="001F0E6A">
        <w:rPr>
          <w:rFonts w:ascii="Times New Roman" w:eastAsia="Times New Roman" w:hAnsi="Times New Roman" w:cs="Times New Roman"/>
          <w:b/>
          <w:bCs/>
          <w:sz w:val="26"/>
          <w:szCs w:val="26"/>
          <w:lang w:val="es-ES" w:eastAsia="es-MX"/>
        </w:rPr>
        <w:t xml:space="preserve"> pueden ser un factor que genere un mayor endeudamiento en los estados, por lo que es un riesgo a considerarse.</w:t>
      </w:r>
    </w:p>
    <w:p w14:paraId="42D7013D" w14:textId="77777777" w:rsidR="001F0E6A" w:rsidRPr="001F0E6A" w:rsidRDefault="001F0E6A" w:rsidP="001F0E6A">
      <w:pPr>
        <w:spacing w:after="360" w:line="360" w:lineRule="auto"/>
        <w:ind w:left="680" w:right="-159"/>
        <w:jc w:val="both"/>
        <w:rPr>
          <w:rFonts w:eastAsia="Times New Roman"/>
          <w:sz w:val="26"/>
          <w:szCs w:val="26"/>
          <w:lang w:val="es-ES" w:eastAsia="es-MX"/>
        </w:rPr>
      </w:pPr>
      <w:r w:rsidRPr="001F0E6A">
        <w:rPr>
          <w:rFonts w:eastAsia="Times New Roman"/>
          <w:sz w:val="26"/>
          <w:szCs w:val="26"/>
          <w:lang w:val="es-ES" w:eastAsia="es-MX"/>
        </w:rPr>
        <w:t>“Ese siempre está. Cuando hay elecciones es un riesgo latente, porque puede haber mayor deuda a la programada. Sin duda es un tercer riesgo”, expuso el analista.</w:t>
      </w:r>
    </w:p>
    <w:p w14:paraId="4D5748B7" w14:textId="4820D0AD" w:rsidR="001F0E6A" w:rsidRPr="001F0E6A" w:rsidRDefault="001F0E6A" w:rsidP="003B27DE">
      <w:pPr>
        <w:pStyle w:val="Prrafodelista"/>
        <w:numPr>
          <w:ilvl w:val="3"/>
          <w:numId w:val="54"/>
        </w:numPr>
        <w:spacing w:after="360" w:line="360" w:lineRule="auto"/>
        <w:ind w:left="714" w:right="-159" w:hanging="357"/>
        <w:jc w:val="both"/>
        <w:rPr>
          <w:rFonts w:eastAsia="Times New Roman"/>
          <w:sz w:val="26"/>
          <w:szCs w:val="26"/>
          <w:lang w:val="es-ES" w:eastAsia="es-MX"/>
        </w:rPr>
      </w:pPr>
      <w:r w:rsidRPr="001F0E6A">
        <w:rPr>
          <w:rFonts w:ascii="Times New Roman" w:eastAsia="Times New Roman" w:hAnsi="Times New Roman" w:cs="Times New Roman"/>
          <w:b/>
          <w:bCs/>
          <w:sz w:val="26"/>
          <w:szCs w:val="26"/>
          <w:lang w:val="es-ES" w:eastAsia="es-MX"/>
        </w:rPr>
        <w:t>Menor crecimiento del país</w:t>
      </w:r>
    </w:p>
    <w:p w14:paraId="288D803B" w14:textId="77777777" w:rsidR="001F0E6A" w:rsidRPr="001F0E6A" w:rsidRDefault="001F0E6A" w:rsidP="00901B98">
      <w:pPr>
        <w:spacing w:after="360" w:line="360" w:lineRule="auto"/>
        <w:ind w:left="680" w:right="-159"/>
        <w:jc w:val="both"/>
        <w:rPr>
          <w:rFonts w:eastAsia="Times New Roman"/>
          <w:sz w:val="26"/>
          <w:szCs w:val="26"/>
          <w:lang w:val="es-ES" w:eastAsia="es-MX"/>
        </w:rPr>
      </w:pPr>
      <w:r w:rsidRPr="001F0E6A">
        <w:rPr>
          <w:rFonts w:eastAsia="Times New Roman"/>
          <w:sz w:val="26"/>
          <w:szCs w:val="26"/>
          <w:lang w:val="es-ES" w:eastAsia="es-MX"/>
        </w:rPr>
        <w:t>El analista señaló que un cuarto riesgo es que la economía mexicana registre un menor crecimiento a lo previsto por las autoridades.</w:t>
      </w:r>
    </w:p>
    <w:p w14:paraId="577D128D" w14:textId="77777777" w:rsidR="001F0E6A" w:rsidRPr="001F0E6A" w:rsidRDefault="001F0E6A" w:rsidP="00901B98">
      <w:pPr>
        <w:spacing w:after="360" w:line="360" w:lineRule="auto"/>
        <w:ind w:left="680" w:right="-159"/>
        <w:jc w:val="both"/>
        <w:rPr>
          <w:rFonts w:eastAsia="Times New Roman"/>
          <w:sz w:val="26"/>
          <w:szCs w:val="26"/>
          <w:lang w:val="es-ES" w:eastAsia="es-MX"/>
        </w:rPr>
      </w:pPr>
      <w:r w:rsidRPr="001F0E6A">
        <w:rPr>
          <w:rFonts w:eastAsia="Times New Roman"/>
          <w:sz w:val="26"/>
          <w:szCs w:val="26"/>
          <w:lang w:val="es-ES" w:eastAsia="es-MX"/>
        </w:rPr>
        <w:t>“Evidentemente el tema del crecimiento económico (es un riesgo). Un crecimiento económico menor a lo esperado sin duda pondría presión a los estados, por la parte de las participaciones y la recaudación de los impuestos”, explicó.</w:t>
      </w:r>
    </w:p>
    <w:p w14:paraId="743D911F" w14:textId="7777777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t>Ante el panorama de menores recursos entregados por la Federación, el analista apuntó que los estados tienen la opción de recortar gasto o aumentar sus recursos propios.</w:t>
      </w:r>
    </w:p>
    <w:p w14:paraId="78F553A9" w14:textId="7777777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t>El analista explicó que en los últimos años en algunas entidades federativas se ha observado una mayor recaudación a través del Impuesto Sobre la Nómina.</w:t>
      </w:r>
    </w:p>
    <w:p w14:paraId="76976EE8" w14:textId="7777777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lastRenderedPageBreak/>
        <w:t>Moody’s expuso que la presión en las finanzas estatales por menos participación podrá mitigarse con la implementación de las reforma constitucionales para garantizar la disciplina financiera de estados.</w:t>
      </w:r>
    </w:p>
    <w:p w14:paraId="2A86A581" w14:textId="77777777" w:rsidR="001F0E6A" w:rsidRPr="001F0E6A" w:rsidRDefault="001F0E6A" w:rsidP="001F0E6A">
      <w:pPr>
        <w:spacing w:after="360" w:line="360" w:lineRule="auto"/>
        <w:ind w:right="-159"/>
        <w:jc w:val="both"/>
        <w:rPr>
          <w:rFonts w:eastAsia="Times New Roman"/>
          <w:sz w:val="26"/>
          <w:szCs w:val="26"/>
          <w:lang w:val="es-ES" w:eastAsia="es-MX"/>
        </w:rPr>
      </w:pPr>
      <w:r w:rsidRPr="001F0E6A">
        <w:rPr>
          <w:rFonts w:eastAsia="Times New Roman"/>
          <w:sz w:val="26"/>
          <w:szCs w:val="26"/>
          <w:lang w:val="es-ES" w:eastAsia="es-MX"/>
        </w:rPr>
        <w:t>El analista señaló que la calificadora ve con optimismo la Ley de Disciplina Fiscal, que tiene como principal objetivo disminuir el mayor endeudamiento en las entidades federativas. No obstante, indicó que es necesario esperar a que sea aprobada en todos los Congresos estatales del país para observar sus efectos.</w:t>
      </w:r>
    </w:p>
    <w:p w14:paraId="0A881D02" w14:textId="77777777" w:rsidR="001F0E6A" w:rsidRPr="001F0E6A" w:rsidRDefault="001F0E6A" w:rsidP="001F0E6A">
      <w:pPr>
        <w:ind w:right="-159"/>
        <w:jc w:val="both"/>
        <w:rPr>
          <w:rFonts w:eastAsia="Times New Roman"/>
          <w:b/>
          <w:sz w:val="20"/>
          <w:szCs w:val="26"/>
          <w:lang w:val="es-ES" w:eastAsia="es-MX"/>
        </w:rPr>
      </w:pPr>
      <w:r w:rsidRPr="001F0E6A">
        <w:rPr>
          <w:rFonts w:eastAsia="Times New Roman"/>
          <w:b/>
          <w:sz w:val="20"/>
          <w:szCs w:val="26"/>
          <w:lang w:val="es-ES" w:eastAsia="es-MX"/>
        </w:rPr>
        <w:t>Fuente de información:</w:t>
      </w:r>
    </w:p>
    <w:p w14:paraId="22CD92B8" w14:textId="77777777" w:rsidR="001F0E6A" w:rsidRPr="00710C76" w:rsidRDefault="0045651A" w:rsidP="00710C76">
      <w:pPr>
        <w:spacing w:after="720"/>
        <w:ind w:right="-159"/>
        <w:jc w:val="both"/>
        <w:rPr>
          <w:rFonts w:eastAsia="Times New Roman"/>
          <w:color w:val="0000FF"/>
          <w:sz w:val="20"/>
          <w:szCs w:val="20"/>
          <w:u w:val="single"/>
          <w:lang w:val="es-ES" w:eastAsia="es-MX"/>
        </w:rPr>
      </w:pPr>
      <w:hyperlink r:id="rId233" w:history="1">
        <w:r w:rsidR="001F0E6A" w:rsidRPr="00710C76">
          <w:rPr>
            <w:rFonts w:eastAsia="Times New Roman"/>
            <w:color w:val="0000FF"/>
            <w:sz w:val="20"/>
            <w:szCs w:val="20"/>
            <w:u w:val="single"/>
            <w:bdr w:val="none" w:sz="0" w:space="0" w:color="auto" w:frame="1"/>
            <w:lang w:val="es-ES" w:eastAsia="es-MX"/>
          </w:rPr>
          <w:t>http://www.forbes.com.mx/4-razones-por-las-que-se-disparara-la-deuda-de-los-estados/</w:t>
        </w:r>
      </w:hyperlink>
    </w:p>
    <w:p w14:paraId="383D0875" w14:textId="77777777" w:rsidR="004471F7" w:rsidRPr="004471F7" w:rsidRDefault="004471F7" w:rsidP="004471F7">
      <w:pPr>
        <w:ind w:right="-159"/>
        <w:jc w:val="both"/>
        <w:rPr>
          <w:rFonts w:eastAsia="Calibri"/>
          <w:b/>
          <w:sz w:val="26"/>
          <w:szCs w:val="26"/>
          <w:lang w:eastAsia="en-US"/>
        </w:rPr>
      </w:pPr>
      <w:r w:rsidRPr="004471F7">
        <w:rPr>
          <w:rFonts w:eastAsia="Calibri"/>
          <w:b/>
          <w:sz w:val="26"/>
          <w:szCs w:val="26"/>
          <w:lang w:eastAsia="en-US"/>
        </w:rPr>
        <w:t>Posibles  efectos   para   personas   físicas</w:t>
      </w:r>
    </w:p>
    <w:p w14:paraId="187A4CBE" w14:textId="77777777" w:rsidR="004471F7" w:rsidRPr="004471F7" w:rsidRDefault="004471F7" w:rsidP="004471F7">
      <w:pPr>
        <w:ind w:right="-159"/>
        <w:jc w:val="both"/>
        <w:rPr>
          <w:rFonts w:eastAsia="Calibri"/>
          <w:b/>
          <w:sz w:val="26"/>
          <w:szCs w:val="26"/>
          <w:lang w:eastAsia="en-US"/>
        </w:rPr>
      </w:pPr>
      <w:r w:rsidRPr="004471F7">
        <w:rPr>
          <w:rFonts w:eastAsia="Calibri"/>
          <w:b/>
          <w:sz w:val="26"/>
          <w:szCs w:val="26"/>
          <w:lang w:eastAsia="en-US"/>
        </w:rPr>
        <w:t>residentes en México como consecuencia</w:t>
      </w:r>
    </w:p>
    <w:p w14:paraId="26DEDF81" w14:textId="77777777" w:rsidR="004471F7" w:rsidRPr="004471F7" w:rsidRDefault="004471F7" w:rsidP="004471F7">
      <w:pPr>
        <w:spacing w:after="360" w:line="360" w:lineRule="auto"/>
        <w:ind w:right="-159"/>
        <w:jc w:val="both"/>
        <w:rPr>
          <w:rFonts w:eastAsia="Calibri"/>
          <w:b/>
          <w:sz w:val="26"/>
          <w:szCs w:val="26"/>
          <w:lang w:eastAsia="en-US"/>
        </w:rPr>
      </w:pPr>
      <w:r w:rsidRPr="004471F7">
        <w:rPr>
          <w:rFonts w:eastAsia="Calibri"/>
          <w:b/>
          <w:sz w:val="26"/>
          <w:szCs w:val="26"/>
          <w:lang w:eastAsia="en-US"/>
        </w:rPr>
        <w:t>de la globalización fiscal (IMCP)</w:t>
      </w:r>
    </w:p>
    <w:p w14:paraId="4F312078" w14:textId="406143E9"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El 17 de abril de 2015, el Instituto Mexicano de Contadores Públicos (IMCP) publicó, en el marco de su serie “Fiscoactualidades” número 7, el artículo de opinión “</w:t>
      </w:r>
      <w:r w:rsidRPr="004471F7">
        <w:rPr>
          <w:rFonts w:eastAsia="Calibri"/>
          <w:bCs/>
          <w:sz w:val="26"/>
          <w:szCs w:val="26"/>
          <w:lang w:eastAsia="en-US"/>
        </w:rPr>
        <w:t>Posibles efectos para personas físicas residentes en México como consecuencia de la globalización fiscal”, de la autoría de</w:t>
      </w:r>
      <w:r w:rsidRPr="004471F7">
        <w:rPr>
          <w:rFonts w:eastAsia="Calibri"/>
          <w:sz w:val="26"/>
          <w:szCs w:val="26"/>
          <w:lang w:eastAsia="en-US"/>
        </w:rPr>
        <w:t>l C.P.C. Y P.C.FI Francisco Xavier Hoyos Hernández, Integrante de la Comisión Fiscal del IMCP. A continuación se presentan los detalles.</w:t>
      </w:r>
    </w:p>
    <w:p w14:paraId="2AB775CF" w14:textId="77777777" w:rsidR="004471F7" w:rsidRPr="004471F7" w:rsidRDefault="004471F7" w:rsidP="004471F7">
      <w:pPr>
        <w:spacing w:after="360"/>
        <w:ind w:right="-159"/>
        <w:jc w:val="both"/>
        <w:rPr>
          <w:rFonts w:eastAsia="Calibri"/>
          <w:b/>
          <w:sz w:val="26"/>
          <w:szCs w:val="26"/>
          <w:lang w:eastAsia="en-US"/>
        </w:rPr>
      </w:pPr>
      <w:r w:rsidRPr="004471F7">
        <w:rPr>
          <w:rFonts w:eastAsia="Calibri"/>
          <w:b/>
          <w:bCs/>
          <w:sz w:val="26"/>
          <w:szCs w:val="26"/>
          <w:lang w:eastAsia="en-US"/>
        </w:rPr>
        <w:t>Posibles efectos para personas físicas residentes en México como consecuencia de la globalización fiscal</w:t>
      </w:r>
    </w:p>
    <w:p w14:paraId="5B2F5459" w14:textId="77777777" w:rsidR="004471F7" w:rsidRPr="004471F7" w:rsidRDefault="004471F7" w:rsidP="004471F7">
      <w:pPr>
        <w:spacing w:after="360" w:line="360" w:lineRule="auto"/>
        <w:ind w:right="-159"/>
        <w:jc w:val="both"/>
        <w:rPr>
          <w:rFonts w:eastAsia="Calibri"/>
          <w:b/>
          <w:sz w:val="26"/>
          <w:szCs w:val="26"/>
          <w:lang w:eastAsia="en-US"/>
        </w:rPr>
      </w:pPr>
      <w:r w:rsidRPr="004471F7">
        <w:rPr>
          <w:rFonts w:eastAsia="Calibri"/>
          <w:b/>
          <w:sz w:val="26"/>
          <w:szCs w:val="26"/>
          <w:lang w:eastAsia="en-US"/>
        </w:rPr>
        <w:t>Antecedentes</w:t>
      </w:r>
    </w:p>
    <w:p w14:paraId="41C3C57B"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La globalización mundial de la economía ha requerido que se desarrollen diversas estructuras de canalización de recursos financieros hacia mercados que los requieran, o bien, hacia aquellos que ofrecen un rendimiento que resulte atractivo para el </w:t>
      </w:r>
      <w:r w:rsidRPr="004471F7">
        <w:rPr>
          <w:rFonts w:eastAsia="Calibri"/>
          <w:sz w:val="26"/>
          <w:szCs w:val="26"/>
          <w:lang w:eastAsia="en-US"/>
        </w:rPr>
        <w:lastRenderedPageBreak/>
        <w:t>inversionista, lo cual permite que una persona pueda decidir invertir sus recursos financieros en casi cualquier lugar del mundo.</w:t>
      </w:r>
    </w:p>
    <w:p w14:paraId="0E7BCFC9"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Dichos mecanismos, por lo general, permiten generar ingresos, entre otros, por ganancias de capital, dividendos, intereses, arrendamiento, así como permitir una cobertura contra riesgos cambiarios.</w:t>
      </w:r>
    </w:p>
    <w:p w14:paraId="3EDF0C2A" w14:textId="1F5FD29B"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Desde el punto de vista tributario, ha sido el sentir de los miembros de la Organización para la Cooperación y el Desarrollo Económico</w:t>
      </w:r>
      <w:r w:rsidR="00233DB3">
        <w:rPr>
          <w:rFonts w:eastAsia="Calibri"/>
          <w:sz w:val="26"/>
          <w:szCs w:val="26"/>
          <w:lang w:eastAsia="en-US"/>
        </w:rPr>
        <w:t>s</w:t>
      </w:r>
      <w:r w:rsidRPr="004471F7">
        <w:rPr>
          <w:rFonts w:eastAsia="Calibri"/>
          <w:sz w:val="26"/>
          <w:szCs w:val="26"/>
          <w:lang w:eastAsia="en-US"/>
        </w:rPr>
        <w:t xml:space="preserve"> (OCDE), que las administraciones fiscales de los países tanto desarrollados como en vías de desarrollo, no cuentan con los medios de fiscalización adecuados que permita la recaudación del impuesto al nacional o residente del país al que le corresponda.</w:t>
      </w:r>
    </w:p>
    <w:p w14:paraId="0DE27F4D"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Esta consideración fue manifestada de manera formal por primera ocasión por la OCDE en la denominada “Declaración Final de Seúl”, en cuyo desarrollo participó México, e indica en la parte correspondiente:</w:t>
      </w:r>
    </w:p>
    <w:p w14:paraId="453A70DC"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“Asegurar que nuestras respectivas normativas fiscales se cumplen se ha dificultado en la medida en que el intercambio comercial, la liberalización de capitales y los avances en las tecnologías de comunicación han abierto el mercado global a una gama de contribuyentes mucho más amplia. Si bien un entorno económico más abierto favorece los intercambios comerciales y el crecimiento global puede llevar también a estructuras que desafían a la normativa fiscal, y a planes o mecanismos que pueden utilizar tanto los contribuyentes nacionales como extranjeros de manera abusiva para facilitar el incumplimiento de nuestras legislaciones fiscales nacionales. Nuestra obligación, en tanto que responsables de las Administraciones Tributarias de nuestros respectivos países, es garantizar el que todos los contribuyentes respetan la normativa fiscal nacional, incluyendo aquellos cuyas actividades se realizan más allá de nuestras fronteras, todo ello mediante la aplicación eficaz de la normativa y la adopción de medidas preventivas que impidan el incumplimiento. (Sic)</w:t>
      </w:r>
    </w:p>
    <w:p w14:paraId="6E087120" w14:textId="69F61AC3"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lastRenderedPageBreak/>
        <w:t xml:space="preserve">“Las deliberaciones celebradas en Seúl han confirmado que el incumplimiento en el contexto internacional es un problema importante y creciente. El incumplimiento transnacional puede presentarse de muchas maneras, desde el fraude fiscal puro y simple hasta la planificación fiscal agresiva. Por ejemplo, se han utilizado cuentas offshore, sociedades fiduciarias offshore o sociedades ficticias offshore en centros financieros offshore o en otros países para ocultar activos o ingresos tributables, así como tarjetas de crédito emitidas en jurisdicciones </w:t>
      </w:r>
      <w:r w:rsidRPr="00D1555E">
        <w:rPr>
          <w:rFonts w:eastAsia="Calibri"/>
          <w:i/>
          <w:sz w:val="26"/>
          <w:szCs w:val="26"/>
          <w:lang w:eastAsia="en-US"/>
        </w:rPr>
        <w:t>offshore</w:t>
      </w:r>
      <w:r w:rsidRPr="004471F7">
        <w:rPr>
          <w:rFonts w:eastAsia="Calibri"/>
          <w:sz w:val="26"/>
          <w:szCs w:val="26"/>
          <w:lang w:eastAsia="en-US"/>
        </w:rPr>
        <w:t xml:space="preserve"> para obtener acceso a activos encubiertos; ciertas empresas han constituido sociedades tapadera offshore para desplazar beneficios al extranjero, a menudo utilizando facturas ficticias o cobrando de más (o de menos) en transacciones entre entidades afiliadas, y algunas empresas multinacionales (incluyendo instituciones financieras) han utilizado sistemas transnacionales más sofisticados y/o estructuras de inversión que abusan de tratados fiscales, manipulación de precios de transferencia para desplazar artificialmente sus ingresos hacia jurisdicciones de baja tributación y gastos hacia jurisdicciones de alta tributación, que van más allá de sistemas legítimos de minimización fiscal”</w:t>
      </w:r>
      <w:r w:rsidRPr="004471F7">
        <w:rPr>
          <w:rFonts w:eastAsia="Calibri"/>
          <w:sz w:val="26"/>
          <w:szCs w:val="26"/>
          <w:vertAlign w:val="superscript"/>
          <w:lang w:eastAsia="en-US"/>
        </w:rPr>
        <w:footnoteReference w:id="25"/>
      </w:r>
      <w:r w:rsidR="00D1555E">
        <w:rPr>
          <w:rFonts w:eastAsia="Calibri"/>
          <w:sz w:val="26"/>
          <w:szCs w:val="26"/>
          <w:lang w:eastAsia="en-US"/>
        </w:rPr>
        <w:t>.</w:t>
      </w:r>
    </w:p>
    <w:p w14:paraId="54E8C439"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Esta posición de la OCDE se ha incrementado en cada una de las reuniones de Administraciones Tributarias de los países que la conforman, así como de las diversas organizaciones mundiales que son invitadas a participar como el Fondo Monetario Internacional, al grado que en la celebrada en Moscú, Federación Rusa, en 2013, se acordó incrementar la transparencia e intercambio de información, por medio del establecimiento de una serie de acuerdos multilaterales en los que los gobiernos se comprometan a intercambiar la información que acuerden que se considere indispensable para garantizar una adecuada fiscalización de los ingresos que se generen de manera global por parte de sus connacionales.</w:t>
      </w:r>
    </w:p>
    <w:p w14:paraId="00BC9242" w14:textId="02904CFD"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lastRenderedPageBreak/>
        <w:t>Este acuerdo incluso contó con el apoyo y compromiso para su cumplimiento por parte de los integrantes del G</w:t>
      </w:r>
      <w:r w:rsidR="00D1555E">
        <w:rPr>
          <w:rFonts w:eastAsia="Calibri"/>
          <w:sz w:val="26"/>
          <w:szCs w:val="26"/>
          <w:lang w:eastAsia="en-US"/>
        </w:rPr>
        <w:t>-</w:t>
      </w:r>
      <w:r w:rsidRPr="004471F7">
        <w:rPr>
          <w:rFonts w:eastAsia="Calibri"/>
          <w:sz w:val="26"/>
          <w:szCs w:val="26"/>
          <w:lang w:eastAsia="en-US"/>
        </w:rPr>
        <w:t>20, integrado por las principales economías del mundo al que pertenece México.</w:t>
      </w:r>
    </w:p>
    <w:p w14:paraId="5D438F65" w14:textId="541BD761"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Uno de los primeros pasos en el tiempo que se dio por parte de algún gobierno para incrementar la fiscalización de los ingresos de sus nacionales, fue la aprobación por parte del Congreso de Estados Unidos de Norteamérica el 18 de marzo de 2010 de la </w:t>
      </w:r>
      <w:r w:rsidRPr="004471F7">
        <w:rPr>
          <w:rFonts w:eastAsia="Calibri"/>
          <w:i/>
          <w:iCs/>
          <w:sz w:val="26"/>
          <w:szCs w:val="26"/>
          <w:lang w:eastAsia="en-US"/>
        </w:rPr>
        <w:t xml:space="preserve">Foreign Account Tax Compliance Act </w:t>
      </w:r>
      <w:r w:rsidRPr="004471F7">
        <w:rPr>
          <w:rFonts w:eastAsia="Calibri"/>
          <w:sz w:val="26"/>
          <w:szCs w:val="26"/>
          <w:lang w:eastAsia="en-US"/>
        </w:rPr>
        <w:t>(FATCA, por sus siglas en inglés, Cumplimiento Fiscal de Cuentas en el Extranjero, en español).</w:t>
      </w:r>
    </w:p>
    <w:p w14:paraId="03E0EFFC"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Por medio de la FATCA, y como consecuencia de diversos estudios efectuados por el propio Congreso estadounidense con el fin de recuperar de la mejor manera los recursos federales que inyectaron a su economía a través de diversos programas para apoyar a las personas y empresas que se vieron afectada por la crisis económica mundial sufrida en 2008, el Servicio de Rentas Internas (SRI) establece diversas obligaciones de entrega de información de las inversiones que tengan sus connacionales en las instituciones financieras del mundo, ya sea de manera directa o de manera indirecta, a través de estructuras, empresas, fideicomisos, etcétera.</w:t>
      </w:r>
    </w:p>
    <w:p w14:paraId="676350C4" w14:textId="760986F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Ante esta regulación, y con el fin de contar con un régimen de reciprocidad en cuanto al intercambio de información, México celebra en noviembre de 2012 un Acuerdo </w:t>
      </w:r>
      <w:r w:rsidR="00233DB3">
        <w:rPr>
          <w:rFonts w:eastAsia="Calibri"/>
          <w:sz w:val="26"/>
          <w:szCs w:val="26"/>
          <w:lang w:eastAsia="en-US"/>
        </w:rPr>
        <w:t>e</w:t>
      </w:r>
      <w:r w:rsidRPr="004471F7">
        <w:rPr>
          <w:rFonts w:eastAsia="Calibri"/>
          <w:sz w:val="26"/>
          <w:szCs w:val="26"/>
          <w:lang w:eastAsia="en-US"/>
        </w:rPr>
        <w:t>ntre la Secretar</w:t>
      </w:r>
      <w:r w:rsidR="00710C76">
        <w:rPr>
          <w:rFonts w:eastAsia="Calibri"/>
          <w:sz w:val="26"/>
          <w:szCs w:val="26"/>
          <w:lang w:eastAsia="en-US"/>
        </w:rPr>
        <w:t>í</w:t>
      </w:r>
      <w:r w:rsidRPr="004471F7">
        <w:rPr>
          <w:rFonts w:eastAsia="Calibri"/>
          <w:sz w:val="26"/>
          <w:szCs w:val="26"/>
          <w:lang w:eastAsia="en-US"/>
        </w:rPr>
        <w:t>a de Hacienda y Crédito Público y el Departamento del Tesoro de Estados Unidos de Norteamérica en Materia de Intercambio de Información Financiera con Respecto a FATCA (IGA por sus siglas en inglés), en el que se establece el compromiso, obligaciones y características de la información que se deberá intercambiar para fines fiscales entre ambos países.</w:t>
      </w:r>
    </w:p>
    <w:p w14:paraId="681E4E36"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Con base en el IGA, México intercambiará de manera anual y automática, información recabada de las instituciones financieras de los ingresos que se generen como consecuencia de las inversiones efectuadas por nacionales en el otro país.</w:t>
      </w:r>
    </w:p>
    <w:p w14:paraId="6DAB53BE"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lastRenderedPageBreak/>
        <w:t>El primer intercambio se efectuará en el mes de septiembre de 2015, con relación a los ingresos obtenidos durante el año 2014 por mexicanos por aquellas inversiones efectuadas en instrumentos financieros o entidades que operen o se constituyan en Estados Unidos de Norteamérica, a partir de 10.00 dólares en el caso de ingresos por intereses y por cualquier monto tratándose de otros ingresos.</w:t>
      </w:r>
    </w:p>
    <w:p w14:paraId="60B88FF7"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La información que está obligado el sistema financiero estadounidense a enviar al SRI, quien a su vez la enviará al Servicio de Administración Tributaria, es la siguiente: </w:t>
      </w:r>
    </w:p>
    <w:p w14:paraId="2377DEF5" w14:textId="77777777"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nombre, dirección y RFC Mexicano de cualquier persona que sea residente en México y sea el cuentahabiente de la cuenta.</w:t>
      </w:r>
    </w:p>
    <w:p w14:paraId="48B129E1" w14:textId="77777777"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número de cuenta (o su equivalente funcional en caso de no tenerlo).</w:t>
      </w:r>
    </w:p>
    <w:p w14:paraId="4FA08483" w14:textId="77777777"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nombre y número de identificación de la Institución Financiera de Estados Unidos de Norteamérica sujeta a reportar.</w:t>
      </w:r>
    </w:p>
    <w:p w14:paraId="5C088562" w14:textId="77777777"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monto bruto de intereses pagados a una cuenta de depósito.</w:t>
      </w:r>
    </w:p>
    <w:p w14:paraId="4DF1DABD" w14:textId="77777777"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monto bruto de dividendos con fuente de riqueza en Estados Unidos de Norteamérica pagados o acreditados a la cuenta.</w:t>
      </w:r>
    </w:p>
    <w:p w14:paraId="52617234" w14:textId="3FCF95A8" w:rsidR="004471F7" w:rsidRPr="004471F7" w:rsidRDefault="004471F7" w:rsidP="003518F4">
      <w:pPr>
        <w:numPr>
          <w:ilvl w:val="0"/>
          <w:numId w:val="144"/>
        </w:numPr>
        <w:spacing w:after="360" w:line="360" w:lineRule="auto"/>
        <w:ind w:left="357" w:right="-159" w:hanging="357"/>
        <w:jc w:val="both"/>
        <w:rPr>
          <w:rFonts w:eastAsia="Calibri"/>
          <w:sz w:val="26"/>
          <w:szCs w:val="26"/>
          <w:lang w:eastAsia="en-US"/>
        </w:rPr>
      </w:pPr>
      <w:r w:rsidRPr="004471F7">
        <w:rPr>
          <w:rFonts w:eastAsia="Calibri"/>
          <w:sz w:val="26"/>
          <w:szCs w:val="26"/>
          <w:lang w:eastAsia="en-US"/>
        </w:rPr>
        <w:t>El monto bruto de otros ingresos con fuente de riqueza en Estados Unidos de Norteamérica pagados o acreditados a la cuenta, en la medida en la que estén sujetos a reportar de conformidad con el Capítulo 3 o 61 del Subtítulo A del Código de Rentas Internas de Estados Unidos de Norteamérica</w:t>
      </w:r>
      <w:r w:rsidRPr="004471F7">
        <w:rPr>
          <w:rFonts w:eastAsia="Calibri"/>
          <w:sz w:val="26"/>
          <w:szCs w:val="26"/>
          <w:vertAlign w:val="superscript"/>
          <w:lang w:eastAsia="en-US"/>
        </w:rPr>
        <w:footnoteReference w:id="26"/>
      </w:r>
      <w:r w:rsidR="00D1555E">
        <w:rPr>
          <w:rFonts w:eastAsia="Calibri"/>
          <w:sz w:val="26"/>
          <w:szCs w:val="26"/>
          <w:lang w:eastAsia="en-US"/>
        </w:rPr>
        <w:t>.</w:t>
      </w:r>
    </w:p>
    <w:p w14:paraId="7F672428" w14:textId="19B85B1D"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lastRenderedPageBreak/>
        <w:t>Además, en junio de 2013, México, por medio de la Secretaría de Hacienda y Crédito Público presentó solicitud para formar parte de la Iniciativa Piloto de Intercambio Automático de Información. Los países que integran esta iniciativa son Alemania, España, Francia, Italia y Reino Unido. La intención es la de establecer un estándar común para pasar de acuerdos de intercambio de información tributaria bilaterales a un intercambio multilateral y automático de información</w:t>
      </w:r>
      <w:r w:rsidRPr="004471F7">
        <w:rPr>
          <w:rFonts w:eastAsia="Calibri"/>
          <w:sz w:val="26"/>
          <w:szCs w:val="26"/>
          <w:vertAlign w:val="superscript"/>
          <w:lang w:eastAsia="en-US"/>
        </w:rPr>
        <w:footnoteReference w:id="27"/>
      </w:r>
      <w:r w:rsidR="00D1555E">
        <w:rPr>
          <w:rFonts w:eastAsia="Calibri"/>
          <w:sz w:val="26"/>
          <w:szCs w:val="26"/>
          <w:lang w:eastAsia="en-US"/>
        </w:rPr>
        <w:t>.</w:t>
      </w:r>
    </w:p>
    <w:p w14:paraId="32E3089F"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Por su parte, el G20 y la OCDE desarrollaron un modelo estandarizado de acuerdo de intercambio multilateral de información que deberá ser utilizado por los países que se adhieran al proceso de fiscalización global a partir del año 2017, en relación con los ingresos de 2016, denominado Acuerdo Marco para el Intercambio Automático de Cuentas de Información Financiera, conocido como CRS, por sus siglas en inglés (</w:t>
      </w:r>
      <w:r w:rsidRPr="004471F7">
        <w:rPr>
          <w:rFonts w:eastAsia="Calibri"/>
          <w:i/>
          <w:iCs/>
          <w:sz w:val="26"/>
          <w:szCs w:val="26"/>
          <w:lang w:eastAsia="en-US"/>
        </w:rPr>
        <w:t>Common Reporting Standard</w:t>
      </w:r>
      <w:r w:rsidRPr="004471F7">
        <w:rPr>
          <w:rFonts w:eastAsia="Calibri"/>
          <w:sz w:val="26"/>
          <w:szCs w:val="26"/>
          <w:lang w:eastAsia="en-US"/>
        </w:rPr>
        <w:t>).</w:t>
      </w:r>
    </w:p>
    <w:p w14:paraId="4ACE796D" w14:textId="77777777" w:rsidR="004471F7" w:rsidRPr="004471F7" w:rsidRDefault="004471F7" w:rsidP="004471F7">
      <w:pPr>
        <w:spacing w:after="360" w:line="360" w:lineRule="auto"/>
        <w:ind w:right="-159"/>
        <w:jc w:val="both"/>
        <w:rPr>
          <w:rFonts w:eastAsia="Calibri"/>
          <w:b/>
          <w:sz w:val="26"/>
          <w:szCs w:val="26"/>
          <w:lang w:eastAsia="en-US"/>
        </w:rPr>
      </w:pPr>
      <w:r w:rsidRPr="004471F7">
        <w:rPr>
          <w:rFonts w:eastAsia="Calibri"/>
          <w:b/>
          <w:sz w:val="26"/>
          <w:szCs w:val="26"/>
          <w:lang w:eastAsia="en-US"/>
        </w:rPr>
        <w:t>Disposiciones fiscales</w:t>
      </w:r>
    </w:p>
    <w:p w14:paraId="6E15373E"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Con estos acuerdos y compromisos, es evidente que las autoridades fiscales de los países contarán con información de los recursos que han sido invertidos por sus connacionales en países distintos al propio, lo que pudiera traer como consecuencia una serie de actos de fiscalización tendientes a cuestionar el cumplimiento de las obligaciones fiscales que se puedan derivar de los rendimientos obtenidos por las inversiones efectuadas.</w:t>
      </w:r>
    </w:p>
    <w:p w14:paraId="3EF52DE6"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En este sentido, en México el Código Fiscal de la Federación establece que las personas físicas están obligadas a contribuir para los gastos públicos conforme a las leyes fiscales respectivas. Asimismo, indica que se consideran residentes en territorio nacional a las personas físicas que hayan establecido su casa habitación en México, o, entre otros supuestos, si en este se encuentra su centro de intereses vitales, entendiéndose como tal </w:t>
      </w:r>
      <w:r w:rsidRPr="004471F7">
        <w:rPr>
          <w:rFonts w:eastAsia="Calibri"/>
          <w:sz w:val="26"/>
          <w:szCs w:val="26"/>
          <w:lang w:eastAsia="en-US"/>
        </w:rPr>
        <w:lastRenderedPageBreak/>
        <w:t>a la obtención de más de 50% de sus ingresos en el año provengan de fuente de riqueza en el país.</w:t>
      </w:r>
    </w:p>
    <w:p w14:paraId="5EEEAB71"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Se presume salvo prueba en contrario, que las personas físicas de nacionalidad mexicana son residentes en territorio nacional.</w:t>
      </w:r>
    </w:p>
    <w:p w14:paraId="0533F48E"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Por su parte la Ley del Impuesto Sobre la Renta (LISR) establece que las personas físicas residentes en México están obligadas al pago de este impuesto respecto de todos sus ingresos, cualquiera que sea la fuente de riqueza de donde procedan, por los ingresos que obtengan en efectivo, en bienes, devengado cuando la ley lo señale, en crédito, en servicios cuando la ley lo señale, o de cualquier otro tipo. </w:t>
      </w:r>
    </w:p>
    <w:p w14:paraId="3539B1A5"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Es decir, las personas físicas residentes en México pagan el impuesto sobre la renta con base a sus ingresos mundiales.</w:t>
      </w:r>
    </w:p>
    <w:p w14:paraId="0160DA6A"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En caso de que en la fuente de riqueza extranjera de donde procedan los ingresos, y siempre que los mismos sean acumulables, les hubieren retenido alguna cantidad por conceptos equivalentes al impuesto sobre la renta, la persona física podrá sujeta a ciertos requisitos y limitaciones, acreditar dicha retención contra el impuesto que se cause en México.</w:t>
      </w:r>
    </w:p>
    <w:p w14:paraId="7BA7D551"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Tratándose de ganancia cambiaria que la persona física residente en México obtenga por fluctuación de moneda, así como intereses que se generen derivados ambos conceptos de créditos o deudas en moneda extranjera, se considerará que el ingreso se debe acumular conforme se devengue, cuando las operaciones que les dé origen se hubieran celebrado con residentes en el extranjero.</w:t>
      </w:r>
    </w:p>
    <w:p w14:paraId="70AF8932"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Cuando la persona física obtenga ingresos derivados de la enajenación de acciones cotizadas en mercados reconocidos en los que no intervienen intermediarios financieros mexicanos, deberá efectuar el cálculo de la ganancia o pérdida resultante de la </w:t>
      </w:r>
      <w:r w:rsidRPr="004471F7">
        <w:rPr>
          <w:rFonts w:eastAsia="Calibri"/>
          <w:sz w:val="26"/>
          <w:szCs w:val="26"/>
          <w:lang w:eastAsia="en-US"/>
        </w:rPr>
        <w:lastRenderedPageBreak/>
        <w:t>operación y tener a disposición de las autoridades fiscales los estados de cuenta correspondientes que contengan la información necesaria para su determinación.</w:t>
      </w:r>
    </w:p>
    <w:p w14:paraId="192F49D0"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Al igual que en el caso de dividendos provenientes de emisoras residentes en México, en caso de obtener ingresos por dividendos provenientes de residentes en el extranjero, derivados de utilidades que correspondan al ejercicio 2013 o anteriores, que se deben acumular a sus demás ingresos, se deberá enterar de forma adicional el impuesto sobre la renta que se cause de multiplicar la tasa de 10% por el importe de los dividendos percibidos.</w:t>
      </w:r>
    </w:p>
    <w:p w14:paraId="462F73C6"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Para determinar los ingresos acumulables provenientes de fuente de riqueza ubicada en el extranjero por ganancia cambiaria e intereses, la persona física residente en México acumulará los ingresos nominales devengados y deberá calcular el ajuste inflacionario correspondiente a los créditos que le den origen a dichos ingresos. Es decir, pagará en su caso del impuesto sobre la ganancia cambiaria e intereses en términos reales; nominales menos inflación.</w:t>
      </w:r>
    </w:p>
    <w:p w14:paraId="25794A26"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El Reglamento de la LISR establece una opción para determinar la parte acumulable de los ingresos por ganancia cambiaria e intereses descritos en el párrafo anterior, consistente en aplicar al monto del depósito o inversión al inicio del ejercicio fiscal del que se trate, un factor determinado por el SAT, que se publica en la Resolución Miscelánea Fiscal correspondiente. Para el año 2014, el factor aplicable es 0.0363.</w:t>
      </w:r>
    </w:p>
    <w:p w14:paraId="391E57C4" w14:textId="70A7108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 xml:space="preserve">Por lo que se refiere a la obtención de ingresos provenientes de inversiones efectuadas en países que se considera cuentan con un Régimen Fiscal Preferente (REFIPRES), los mismos se deberán acumular en el ejercicio en que se generen independientemente a que se distribuyan con posterioridad. Asímismo los inversionistas están obligados a presentar en febrero del año siguiente al de la inversión una declaración informativa ante el Servicio de Administración Tributaria. </w:t>
      </w:r>
    </w:p>
    <w:p w14:paraId="5C19CA60"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lastRenderedPageBreak/>
        <w:t>Se ha insistido por parte del gremio financiero y fiscal ante las autoridades fiscales a atender la oportunidad que se presenta ante la volatilidad que sufre actualmente el mercado de divisas en el mundo, así como ante la necesidad de generación de recursos fiscales, de emitir disposiciones fiscales que incentiven la repatriación de capitales; sin embargo, la propuesta no ha prosperado a la fecha de preparación del presente artículo.</w:t>
      </w:r>
    </w:p>
    <w:p w14:paraId="6475AC59" w14:textId="77777777" w:rsidR="004471F7" w:rsidRPr="004471F7" w:rsidRDefault="004471F7" w:rsidP="004471F7">
      <w:pPr>
        <w:spacing w:after="360" w:line="360" w:lineRule="auto"/>
        <w:ind w:right="-159"/>
        <w:jc w:val="both"/>
        <w:rPr>
          <w:rFonts w:eastAsia="Calibri"/>
          <w:b/>
          <w:sz w:val="26"/>
          <w:szCs w:val="26"/>
          <w:lang w:eastAsia="en-US"/>
        </w:rPr>
      </w:pPr>
      <w:r w:rsidRPr="004471F7">
        <w:rPr>
          <w:rFonts w:eastAsia="Calibri"/>
          <w:b/>
          <w:sz w:val="26"/>
          <w:szCs w:val="26"/>
          <w:lang w:eastAsia="en-US"/>
        </w:rPr>
        <w:t>Conclusión</w:t>
      </w:r>
    </w:p>
    <w:p w14:paraId="1161CC9E"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Ante la realidad que se presentará a partir de septiembre del presente año de que la autoridad fiscal cuente con información respecto de las inversiones que se hubieren efectuado, en su caso, en Estados Unidos de Norteamérica, y a partir de 2017 en el resto de los países, por parte de personas físicas residentes en México, la diversidad de los tipos de ingresos que se pudieren haber obtenido, así como la cantidad y complejidad de las disposiciones fiscales aplicables, es indispensable para dichas personas determinar los posibles efectos que generarían la aplicación de las disposiciones fiscales antes indicadas, que no son todas las aplicables ya que existen criterios de interpretación de las mismas por parte de las propias autoridades, para evaluar los pasos a seguir en caso de que sea necesario tomar cualquier decisión con respecto a dichas inversiones.</w:t>
      </w:r>
    </w:p>
    <w:p w14:paraId="6FF38DA8" w14:textId="77777777" w:rsidR="004471F7" w:rsidRPr="004471F7" w:rsidRDefault="004471F7" w:rsidP="004471F7">
      <w:pPr>
        <w:spacing w:after="360" w:line="360" w:lineRule="auto"/>
        <w:ind w:right="-159"/>
        <w:jc w:val="both"/>
        <w:rPr>
          <w:rFonts w:eastAsia="Calibri"/>
          <w:sz w:val="26"/>
          <w:szCs w:val="26"/>
          <w:lang w:eastAsia="en-US"/>
        </w:rPr>
      </w:pPr>
      <w:r w:rsidRPr="004471F7">
        <w:rPr>
          <w:rFonts w:eastAsia="Calibri"/>
          <w:sz w:val="26"/>
          <w:szCs w:val="26"/>
          <w:lang w:eastAsia="en-US"/>
        </w:rPr>
        <w:t>Para la determinación comentada, será indispensable considerar las disposiciones fiscales que estuvieron vigentes en años anteriores, en caso de que sea necesario valuar los efectos acumulados desde que los recursos financieros fueron invertidos en el extranjero.</w:t>
      </w:r>
    </w:p>
    <w:p w14:paraId="6D8E5213" w14:textId="77777777" w:rsidR="004471F7" w:rsidRPr="004471F7" w:rsidRDefault="004471F7" w:rsidP="004471F7">
      <w:pPr>
        <w:ind w:right="-159"/>
        <w:jc w:val="both"/>
        <w:rPr>
          <w:rFonts w:eastAsia="Calibri"/>
          <w:b/>
          <w:sz w:val="20"/>
          <w:szCs w:val="20"/>
          <w:lang w:eastAsia="en-US"/>
        </w:rPr>
      </w:pPr>
      <w:r w:rsidRPr="004471F7">
        <w:rPr>
          <w:rFonts w:eastAsia="Calibri"/>
          <w:b/>
          <w:sz w:val="20"/>
          <w:szCs w:val="20"/>
          <w:lang w:eastAsia="en-US"/>
        </w:rPr>
        <w:t>Fuente de información:</w:t>
      </w:r>
    </w:p>
    <w:p w14:paraId="07EFA069" w14:textId="77777777" w:rsidR="004471F7" w:rsidRPr="007846AF" w:rsidRDefault="0045651A" w:rsidP="004471F7">
      <w:pPr>
        <w:ind w:right="-159"/>
        <w:jc w:val="both"/>
        <w:rPr>
          <w:rFonts w:eastAsia="Calibri"/>
          <w:color w:val="0000FF"/>
          <w:sz w:val="20"/>
          <w:szCs w:val="20"/>
          <w:lang w:eastAsia="en-US"/>
        </w:rPr>
      </w:pPr>
      <w:hyperlink r:id="rId234" w:history="1">
        <w:r w:rsidR="004471F7" w:rsidRPr="007846AF">
          <w:rPr>
            <w:rFonts w:eastAsia="Calibri"/>
            <w:color w:val="0000FF"/>
            <w:sz w:val="20"/>
            <w:szCs w:val="20"/>
            <w:u w:val="single"/>
            <w:lang w:eastAsia="en-US"/>
          </w:rPr>
          <w:t>http://imcp.org.mx/wp-content/uploads/2015/04/Fiscoactualidades-abril_n%C3%BAm_071.pdf</w:t>
        </w:r>
      </w:hyperlink>
      <w:r w:rsidR="004471F7" w:rsidRPr="007846AF">
        <w:rPr>
          <w:rFonts w:eastAsia="Calibri"/>
          <w:color w:val="0000FF"/>
          <w:sz w:val="20"/>
          <w:szCs w:val="20"/>
          <w:lang w:eastAsia="en-US"/>
        </w:rPr>
        <w:t xml:space="preserve"> </w:t>
      </w:r>
    </w:p>
    <w:p w14:paraId="0EE99937" w14:textId="77777777" w:rsidR="004471F7" w:rsidRPr="004471F7" w:rsidRDefault="004471F7" w:rsidP="004471F7">
      <w:pPr>
        <w:spacing w:after="360" w:line="360" w:lineRule="auto"/>
        <w:ind w:right="-159"/>
        <w:jc w:val="both"/>
        <w:rPr>
          <w:rFonts w:eastAsia="Calibri"/>
          <w:sz w:val="26"/>
          <w:szCs w:val="26"/>
          <w:lang w:eastAsia="en-US"/>
        </w:rPr>
      </w:pPr>
    </w:p>
    <w:p w14:paraId="6D026C76" w14:textId="77777777" w:rsidR="004471F7" w:rsidRDefault="004471F7" w:rsidP="00395FC3">
      <w:pPr>
        <w:spacing w:after="360" w:line="360" w:lineRule="auto"/>
        <w:ind w:right="-159"/>
        <w:jc w:val="both"/>
        <w:rPr>
          <w:rFonts w:eastAsia="Calibri"/>
          <w:sz w:val="26"/>
          <w:szCs w:val="26"/>
          <w:lang w:eastAsia="en-US"/>
        </w:rPr>
      </w:pPr>
    </w:p>
    <w:p w14:paraId="1107CD53" w14:textId="77777777" w:rsidR="004471F7" w:rsidRPr="00395FC3" w:rsidRDefault="004471F7" w:rsidP="00395FC3">
      <w:pPr>
        <w:spacing w:after="360" w:line="360" w:lineRule="auto"/>
        <w:ind w:right="-159"/>
        <w:jc w:val="both"/>
        <w:rPr>
          <w:rFonts w:eastAsia="Calibri"/>
          <w:sz w:val="26"/>
          <w:szCs w:val="26"/>
          <w:lang w:eastAsia="en-US"/>
        </w:rPr>
      </w:pPr>
    </w:p>
    <w:p w14:paraId="409BE3C2" w14:textId="446E196F" w:rsidR="00F55EB8" w:rsidRPr="00F55EB8" w:rsidRDefault="00F55EB8" w:rsidP="00F55EB8">
      <w:pPr>
        <w:rPr>
          <w:rFonts w:eastAsia="Calibri"/>
          <w:b/>
          <w:sz w:val="26"/>
          <w:szCs w:val="26"/>
          <w:lang w:eastAsia="en-US"/>
        </w:rPr>
      </w:pPr>
      <w:r w:rsidRPr="00F55EB8">
        <w:rPr>
          <w:rFonts w:eastAsia="Calibri"/>
          <w:b/>
          <w:sz w:val="26"/>
          <w:szCs w:val="26"/>
          <w:lang w:eastAsia="en-US"/>
        </w:rPr>
        <w:lastRenderedPageBreak/>
        <w:t xml:space="preserve">El   monotributo </w:t>
      </w:r>
      <w:r w:rsidR="00D1555E">
        <w:rPr>
          <w:rFonts w:eastAsia="Calibri"/>
          <w:b/>
          <w:sz w:val="26"/>
          <w:szCs w:val="26"/>
          <w:lang w:eastAsia="en-US"/>
        </w:rPr>
        <w:t xml:space="preserve"> </w:t>
      </w:r>
      <w:r w:rsidRPr="00F55EB8">
        <w:rPr>
          <w:rFonts w:eastAsia="Calibri"/>
          <w:b/>
          <w:sz w:val="26"/>
          <w:szCs w:val="26"/>
          <w:lang w:eastAsia="en-US"/>
        </w:rPr>
        <w:t xml:space="preserve"> como  herramienta</w:t>
      </w:r>
    </w:p>
    <w:p w14:paraId="377D53A8" w14:textId="77777777" w:rsidR="00F55EB8" w:rsidRPr="00F55EB8" w:rsidRDefault="00F55EB8" w:rsidP="00F55EB8">
      <w:pPr>
        <w:spacing w:after="360" w:line="360" w:lineRule="auto"/>
        <w:ind w:right="-159"/>
        <w:jc w:val="both"/>
        <w:rPr>
          <w:rFonts w:eastAsia="Calibri"/>
          <w:b/>
          <w:sz w:val="26"/>
          <w:szCs w:val="26"/>
          <w:lang w:eastAsia="en-US"/>
        </w:rPr>
      </w:pPr>
      <w:r w:rsidRPr="00F55EB8">
        <w:rPr>
          <w:rFonts w:eastAsia="Calibri"/>
          <w:b/>
          <w:sz w:val="26"/>
          <w:szCs w:val="26"/>
          <w:lang w:eastAsia="en-US"/>
        </w:rPr>
        <w:t>para enfrentar la informalidad (OIT)</w:t>
      </w:r>
    </w:p>
    <w:p w14:paraId="5DFF2720"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El 27 de marzo de 2015, en un libro</w:t>
      </w:r>
      <w:r w:rsidRPr="00F55EB8">
        <w:rPr>
          <w:rFonts w:eastAsia="Calibri"/>
          <w:sz w:val="26"/>
          <w:szCs w:val="26"/>
          <w:vertAlign w:val="superscript"/>
          <w:lang w:eastAsia="en-US"/>
        </w:rPr>
        <w:footnoteReference w:id="28"/>
      </w:r>
      <w:r w:rsidRPr="00F55EB8">
        <w:rPr>
          <w:rFonts w:eastAsia="Calibri"/>
          <w:sz w:val="26"/>
          <w:szCs w:val="26"/>
          <w:lang w:eastAsia="en-US"/>
        </w:rPr>
        <w:t xml:space="preserve"> de reciente aparición, la Organización Internacional del Trabajo (OIT) indica que en tres países de América Latina los regímenes simplificados de tributación son una herramienta eficaz para fomentar la economía formal. A continuación se presentan los detalles de la información.</w:t>
      </w:r>
    </w:p>
    <w:p w14:paraId="208CE153"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En América Latina existen algunos regímenes simplificados de tributación que combinan acceso a otros beneficios como el acceso a la seguridad social por ejemplo, y son conocidos como “monotributo”. Estos pueden ser utilizados como “puente transitorio” para enfrentar la informalidad que afecta a unos 130 millones de trabajadores en América Latina, al reducir trámites que deben enfrentar los cuentapropistas (trabajadores por cuenta propia) y las empresas de menor tamaño.</w:t>
      </w:r>
    </w:p>
    <w:p w14:paraId="57ACF9CE"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Las virtudes, las limitaciones y los desafíos que plantea la implementación de estos sistemas fueron analizados en un estudio de la Oficina Regional de la OIT para América Latina y el Caribe a través de los casos de Argentina, Brasil y Uruguay.</w:t>
      </w:r>
    </w:p>
    <w:p w14:paraId="21F826B5"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Directora regional de la OIT destacó la importancia de contar con este tipo de herramientas considerando que “la informalidad significa millones de latinoamericanos vivir con inestabilidad laboral, bajos salarios, malas condiciones de trabajo, sin protección ni derechos”.</w:t>
      </w:r>
    </w:p>
    <w:p w14:paraId="47F1C38C"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“Hay un vínculo evidente entre informalidad, pobreza y desigualdad”, remarca.</w:t>
      </w:r>
    </w:p>
    <w:p w14:paraId="20E7AAE0"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 xml:space="preserve">Según el análisis de OIT, realizado en el ámbito del Programa de promoción de la formalización en América Latina y el Caribe (FORLAC) de promoción de la formalidad, las mejoras a estos sistemas en el futuro deberá centrarse en facilitar un </w:t>
      </w:r>
      <w:r w:rsidRPr="00F55EB8">
        <w:rPr>
          <w:rFonts w:eastAsia="Calibri"/>
          <w:sz w:val="26"/>
          <w:szCs w:val="26"/>
          <w:lang w:eastAsia="en-US"/>
        </w:rPr>
        <w:lastRenderedPageBreak/>
        <w:t>acceso amplio a estos regímenes, favoreciendo el proceso de formalización, pero manteniendo un equilibrio que evite un sobredimensionamiento de los mismos y permita que sigan siendo “puentes transitorios” hacia la formalidad.</w:t>
      </w:r>
    </w:p>
    <w:p w14:paraId="7293251E"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El objetivo del estudio que realizó la OIT es que sirva de elemento de discusión a los países en el diálogo sobre mecanismos innovadores que faciliten la formalización.</w:t>
      </w:r>
    </w:p>
    <w:p w14:paraId="1203F69F"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Se destaca que estos regímenes facilitan a microemprendedores, trabajadores por cuenta propia (cuentapropistas) y empresas de tamaño reducido los trámites administrativos y regulatorios que impone el cumplimiento tributario.</w:t>
      </w:r>
    </w:p>
    <w:p w14:paraId="3D18FC04"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introducción del monotributo ha producido en aquellos países donde se ha implantado el efecto de facilitar el acceso a la formalidad, a la cobertura de seguridad social y otros derechos de pequeños contribuyentes con actividades económicas caracterizadas por sus bajos ingresos, su informalidad, su pobre estructura organizacional y alta rotación de actividad.</w:t>
      </w:r>
    </w:p>
    <w:p w14:paraId="0288FF85"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integración voluntaria de estos colectivos a la formalidad representan un paso importante hacia el objetivo de la inclusión social y productiva.</w:t>
      </w:r>
    </w:p>
    <w:p w14:paraId="5CBF5187"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“El principal acierto de estos esquemas es haber permitido construir puentes de acceso a la tributación y a la protección social”, asevera la Directora regional de la OIT.</w:t>
      </w:r>
    </w:p>
    <w:p w14:paraId="32A79B70"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El objetivo de estos regímenes especiales no es principalmente la recaudación, de hecho apenas recaudan 1% del total del tributo, sino el ser un puente transitorio hacia la completa integración en el régimen general de numerosos microempresarios.</w:t>
      </w:r>
    </w:p>
    <w:p w14:paraId="6302D7AD"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 xml:space="preserve">Las ventajas para el contribuyente son la reducción de costos sobre la base general y la mayor facilidad de los trámites administrativos y, por supuesto, el acceso a coberturas </w:t>
      </w:r>
      <w:r w:rsidRPr="00F55EB8">
        <w:rPr>
          <w:rFonts w:eastAsia="Calibri"/>
          <w:sz w:val="26"/>
          <w:szCs w:val="26"/>
          <w:lang w:eastAsia="en-US"/>
        </w:rPr>
        <w:lastRenderedPageBreak/>
        <w:t>sociales. Los estados, a su vez, consiguen aumentar el número de contribuyentes y por tanto, reducir la evasión fiscal.</w:t>
      </w:r>
    </w:p>
    <w:p w14:paraId="7F18E654"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Los regímenes aplicados en estos países implican la sustitución tanto de la mayoría (si no todas) de las obligaciones tributarias vigentes en cada caso, así como de las contribuciones de la seguridad social, las cuales aseguran una provisión mínima de cobertura previsional para los pequeños contribuyentes.</w:t>
      </w:r>
    </w:p>
    <w:p w14:paraId="79492697" w14:textId="65076AFF" w:rsidR="00F55EB8" w:rsidRPr="00F55EB8" w:rsidRDefault="00D4097D" w:rsidP="00F55EB8">
      <w:pPr>
        <w:spacing w:after="360" w:line="360" w:lineRule="auto"/>
        <w:ind w:right="-159"/>
        <w:jc w:val="both"/>
        <w:rPr>
          <w:rFonts w:eastAsia="Calibri"/>
          <w:sz w:val="26"/>
          <w:szCs w:val="26"/>
          <w:lang w:eastAsia="en-US"/>
        </w:rPr>
      </w:pPr>
      <w:r>
        <w:rPr>
          <w:rFonts w:eastAsia="Calibri"/>
          <w:sz w:val="26"/>
          <w:szCs w:val="26"/>
          <w:lang w:eastAsia="en-US"/>
        </w:rPr>
        <w:t xml:space="preserve">A continuación se presenta el </w:t>
      </w:r>
      <w:r w:rsidR="00F55EB8" w:rsidRPr="00F55EB8">
        <w:rPr>
          <w:rFonts w:eastAsia="Calibri"/>
          <w:sz w:val="26"/>
          <w:szCs w:val="26"/>
          <w:lang w:eastAsia="en-US"/>
        </w:rPr>
        <w:t xml:space="preserve">Prólogo y el Resumen </w:t>
      </w:r>
      <w:r>
        <w:rPr>
          <w:rFonts w:eastAsia="Calibri"/>
          <w:sz w:val="26"/>
          <w:szCs w:val="26"/>
          <w:lang w:eastAsia="en-US"/>
        </w:rPr>
        <w:t>E</w:t>
      </w:r>
      <w:r w:rsidR="00F55EB8" w:rsidRPr="00F55EB8">
        <w:rPr>
          <w:rFonts w:eastAsia="Calibri"/>
          <w:sz w:val="26"/>
          <w:szCs w:val="26"/>
          <w:lang w:eastAsia="en-US"/>
        </w:rPr>
        <w:t>jecutivo del documento de la OIT.</w:t>
      </w:r>
    </w:p>
    <w:p w14:paraId="065A5549" w14:textId="77777777" w:rsidR="00F55EB8" w:rsidRPr="00F55EB8" w:rsidRDefault="00F55EB8" w:rsidP="00F55EB8">
      <w:pPr>
        <w:spacing w:after="360" w:line="360" w:lineRule="auto"/>
        <w:ind w:right="-159"/>
        <w:jc w:val="both"/>
        <w:rPr>
          <w:rFonts w:eastAsia="Calibri"/>
          <w:b/>
          <w:sz w:val="26"/>
          <w:szCs w:val="26"/>
          <w:lang w:eastAsia="en-US"/>
        </w:rPr>
      </w:pPr>
      <w:r w:rsidRPr="00F55EB8">
        <w:rPr>
          <w:rFonts w:eastAsia="Calibri"/>
          <w:b/>
          <w:sz w:val="26"/>
          <w:szCs w:val="26"/>
          <w:lang w:eastAsia="en-US"/>
        </w:rPr>
        <w:t>Monotributo en América Latina: Los casos de Argentina, Brasil y Uruguay</w:t>
      </w:r>
    </w:p>
    <w:p w14:paraId="528690AF" w14:textId="77777777" w:rsidR="00F55EB8" w:rsidRPr="00F55EB8" w:rsidRDefault="00F55EB8" w:rsidP="003B27DE">
      <w:pPr>
        <w:numPr>
          <w:ilvl w:val="0"/>
          <w:numId w:val="52"/>
        </w:numPr>
        <w:spacing w:after="360" w:line="360" w:lineRule="auto"/>
        <w:ind w:left="357" w:right="-159" w:hanging="357"/>
        <w:jc w:val="both"/>
        <w:rPr>
          <w:rFonts w:eastAsia="Calibri"/>
          <w:b/>
          <w:sz w:val="26"/>
          <w:szCs w:val="26"/>
          <w:lang w:eastAsia="en-US"/>
        </w:rPr>
      </w:pPr>
      <w:r w:rsidRPr="00F55EB8">
        <w:rPr>
          <w:rFonts w:eastAsia="Calibri"/>
          <w:b/>
          <w:sz w:val="26"/>
          <w:szCs w:val="26"/>
          <w:lang w:eastAsia="en-US"/>
        </w:rPr>
        <w:t>Prólogo</w:t>
      </w:r>
    </w:p>
    <w:p w14:paraId="0F696823"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persistente informalidad es uno de los principales obstáculos que enfrenta América Latina para avanzar en la lucha contra la desigualdad en la distribución de los ingresos.</w:t>
      </w:r>
    </w:p>
    <w:p w14:paraId="59CCC308"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informalidad tiene efectos negativos sobre el mercado de trabajo y sus actores, impone serios límites en los alcances de los sistemas de protección social y reduce el espacio fiscal para el financiamiento de las políticas públicas.</w:t>
      </w:r>
    </w:p>
    <w:p w14:paraId="1F62EC37"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Pero además la informalidad significa para al menos 130 millones de latinoamericanos vivir con inestabilidad laboral, bajos salarios, malas condiciones de trabajo, sin protección ni derechos. Hay un vínculo evidente entre informalidad, pobreza y desigualdad.</w:t>
      </w:r>
    </w:p>
    <w:p w14:paraId="310CB972"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Desde hace poco tiempo, algunos países de la región empezaron a desarrollar regímenes simplificados de tributación para trabajadores por cuenta propia (cuentapropistas) y pequeñas empresas para conseguir su incorporación en los registros tributarios.</w:t>
      </w:r>
    </w:p>
    <w:p w14:paraId="50331E7C"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lastRenderedPageBreak/>
        <w:t>Desde los años noventa, ciertos países de manera innovadora combinaron estos esquemas con las contribuciones para el financiamiento de la seguridad social. Destacan los casos de Monotributo en Argentina y Uruguay, y del SIMPLES y SIMEI (Micro Emprendedor Individual) en Brasil.</w:t>
      </w:r>
    </w:p>
    <w:p w14:paraId="54254D3E"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OIT promueve un enfoque integrado en materia de formalización y los esquemas analizados en el documento combinan más de una dimensión de este fenómeno. Por esta razón, desde el Programa de promoción de la formalización en América Latina y el Caribe, FORLAC, se inició un análisis que intenta proporcionar una visión comprehensiva de estos mecanismos, donde se contemplan tanto sus virtudes como sus limitaciones.</w:t>
      </w:r>
    </w:p>
    <w:p w14:paraId="36112754"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El principal acierto de estos esquemas es haber permitido construir puentes de acceso a la tributación y a la protección social.</w:t>
      </w:r>
    </w:p>
    <w:p w14:paraId="4B1E9942"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Sin duda, la situación de nuestras economías demandará la existencia de estos esquemas por un período prolongado, hasta que puedan ser consolidados procesos de desarrollo sostenible. Estos instrumentos deben ser concebidos como “puentes transitorios” entre la condición de informalidad y la de contribuyentes sujetos al cumplimiento de las normas tributarias generales.</w:t>
      </w:r>
    </w:p>
    <w:p w14:paraId="6FEA4759" w14:textId="77777777" w:rsidR="00F55EB8" w:rsidRPr="00F55EB8" w:rsidRDefault="00F55EB8" w:rsidP="00F55EB8">
      <w:pPr>
        <w:spacing w:after="360" w:line="360" w:lineRule="auto"/>
        <w:ind w:right="-159"/>
        <w:jc w:val="both"/>
        <w:rPr>
          <w:rFonts w:eastAsia="Calibri"/>
          <w:sz w:val="26"/>
          <w:szCs w:val="26"/>
          <w:lang w:eastAsia="en-US"/>
        </w:rPr>
      </w:pPr>
      <w:r w:rsidRPr="00F55EB8">
        <w:rPr>
          <w:rFonts w:eastAsia="Calibri"/>
          <w:sz w:val="26"/>
          <w:szCs w:val="26"/>
          <w:lang w:eastAsia="en-US"/>
        </w:rPr>
        <w:t>La OIT espera que una discusión amplia de mecanismos innovadores que tienen impacto en la formalización, como el caso del Monotributo en América Latina, permita a los países y a los interlocutores sociales contar con mejores elementos de juicio para el desarrollo, ejecución y evaluación de las políticas que se inicien en cada país.</w:t>
      </w:r>
    </w:p>
    <w:p w14:paraId="09C02163" w14:textId="77777777" w:rsidR="00F55EB8" w:rsidRDefault="00F55EB8" w:rsidP="00F55EB8">
      <w:pPr>
        <w:spacing w:after="360" w:line="360" w:lineRule="auto"/>
        <w:ind w:right="-159"/>
        <w:jc w:val="right"/>
        <w:rPr>
          <w:rFonts w:eastAsia="Calibri"/>
          <w:sz w:val="26"/>
          <w:szCs w:val="26"/>
          <w:lang w:eastAsia="en-US"/>
        </w:rPr>
      </w:pPr>
      <w:r w:rsidRPr="00F55EB8">
        <w:rPr>
          <w:rFonts w:eastAsia="Calibri"/>
          <w:sz w:val="26"/>
          <w:szCs w:val="26"/>
          <w:lang w:eastAsia="en-US"/>
        </w:rPr>
        <w:t>La Directora Regional de la OIT para América Latina y el Caribe</w:t>
      </w:r>
    </w:p>
    <w:p w14:paraId="6CC347EC" w14:textId="77777777" w:rsidR="00AF7C3F" w:rsidRPr="00F55EB8" w:rsidRDefault="00AF7C3F" w:rsidP="00F55EB8">
      <w:pPr>
        <w:spacing w:after="360" w:line="360" w:lineRule="auto"/>
        <w:ind w:right="-159"/>
        <w:jc w:val="right"/>
        <w:rPr>
          <w:rFonts w:eastAsia="Calibri"/>
          <w:sz w:val="26"/>
          <w:szCs w:val="26"/>
          <w:lang w:eastAsia="en-US"/>
        </w:rPr>
      </w:pPr>
    </w:p>
    <w:p w14:paraId="2C1E1288" w14:textId="151B8EF8" w:rsidR="00F55EB8" w:rsidRPr="00F55EB8" w:rsidRDefault="00F55EB8" w:rsidP="003B27DE">
      <w:pPr>
        <w:numPr>
          <w:ilvl w:val="0"/>
          <w:numId w:val="52"/>
        </w:numPr>
        <w:spacing w:after="360" w:line="360" w:lineRule="auto"/>
        <w:ind w:left="357" w:right="-159" w:hanging="357"/>
        <w:jc w:val="both"/>
        <w:rPr>
          <w:rFonts w:eastAsia="Calibri"/>
          <w:b/>
          <w:sz w:val="26"/>
          <w:szCs w:val="26"/>
          <w:lang w:eastAsia="en-US"/>
        </w:rPr>
      </w:pPr>
      <w:r w:rsidRPr="00F55EB8">
        <w:rPr>
          <w:rFonts w:eastAsia="Calibri"/>
          <w:b/>
          <w:sz w:val="26"/>
          <w:szCs w:val="26"/>
          <w:lang w:eastAsia="en-US"/>
        </w:rPr>
        <w:lastRenderedPageBreak/>
        <w:t xml:space="preserve">Resumen </w:t>
      </w:r>
      <w:r w:rsidR="00D4097D">
        <w:rPr>
          <w:rFonts w:eastAsia="Calibri"/>
          <w:b/>
          <w:sz w:val="26"/>
          <w:szCs w:val="26"/>
          <w:lang w:eastAsia="en-US"/>
        </w:rPr>
        <w:t>E</w:t>
      </w:r>
      <w:r w:rsidRPr="00F55EB8">
        <w:rPr>
          <w:rFonts w:eastAsia="Calibri"/>
          <w:b/>
          <w:sz w:val="26"/>
          <w:szCs w:val="26"/>
          <w:lang w:eastAsia="en-US"/>
        </w:rPr>
        <w:t>jecutivo</w:t>
      </w:r>
    </w:p>
    <w:p w14:paraId="18B9B4C4"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El presente estudio se propone profundizar el análisis en torno a los regímenes simplificados de tributación, en sus diferentes variantes, y valorar su aporte en la reducción de la informalidad.</w:t>
      </w:r>
    </w:p>
    <w:p w14:paraId="27587003"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 informalidad de las economías latinoamericanas está generando diversos efectos negativos sobre el mercado de trabajo, la protección social y la recaudación tributaria.</w:t>
      </w:r>
    </w:p>
    <w:p w14:paraId="06CDEE66"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Las cifras disponibles dan cuenta de la concentración de la informalidad en América Latina de manera especial en algunos sectores de actividad, en ciertos grupos de la población, en determinados establecimientos y en ciertas franjas etarias. En efecto, hay altas tasas de informalidad entre los trabajadores por cuenta propia (83.6%), los trabajadores domésticos (78.0%), los empleadores (34.3%) e incluso los asalariados en las empresas (33.5%). De manera adicional, el análisis de la estructura de la informalidad en la región revela la elevada participación que detentan los trabajadores independientes en el total de informales (41.5% en América Latina).</w:t>
      </w:r>
    </w:p>
    <w:p w14:paraId="253F6139"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 los últimos años, si bien se ha logrado mejorar las condiciones del mercado laboral, lo que se reflejó en una caída de los índices de informalidad, los niveles aún distan de ubicarse en valores comparables a los de países desarrollados, lo que denota la baja capacidad de los mercados de trabajo formal para incluir a la totalidad de la población de estos países. Ello plantea la necesidad de esquemas más amplios de protección social que aseguren cobertura de salud e ingresos a los sectores más desprotegidos de la población.</w:t>
      </w:r>
    </w:p>
    <w:p w14:paraId="0B819AF5"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Consecuentemente, muchos países han avanzado en el desarrollo de componentes adicionales a los mecanismos de seguridad social, en muchos casos </w:t>
      </w:r>
      <w:r w:rsidRPr="00F55EB8">
        <w:rPr>
          <w:rFonts w:eastAsia="Calibri"/>
          <w:sz w:val="26"/>
          <w:szCs w:val="26"/>
          <w:lang w:eastAsia="en-US"/>
        </w:rPr>
        <w:lastRenderedPageBreak/>
        <w:t>de carácter no contributivo o semicontributivo, buscando que el alcance de los derechos asociados a esos mecanismos no dependan exclusivamente de la situación en el mercado laboral de las personas.</w:t>
      </w:r>
    </w:p>
    <w:p w14:paraId="062254EA"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 protección social de los informales es parte de un problema más general en la región y se relaciona con las dificultades que se presentan para consolidar esquemas de cobertura universal y equitativa en salud y pensiones, lo que constituye un factor de inequidad importante.</w:t>
      </w:r>
    </w:p>
    <w:p w14:paraId="6E20596A"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Los niveles elevados de informalidad, como los que se ha visto caracterizan a la región, representan una limitación a la expansión de la cobertura universal ya que condicionan la capacidad de recaudar recursos de la seguridad social y reducen la población con acceso a la seguridad social. Bajo estas circunstancias, la introducción de esquemas simplificados de recaudación de impuestos destinados a pequeños contribuyentes puede representar una ayuda en la transición hacia esquemas de cobertura universal. El cumplimiento voluntario de tanto las obligaciones tributarias como las contribuciones a la seguridad social por parte de los contribuyentes puede reducir la proporción de la población total sin seguro y aumentar los recursos fiscales para atender la oferta pública.</w:t>
      </w:r>
    </w:p>
    <w:p w14:paraId="6A13317D"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La instrumentación de regímenes simplificados en la región no ha tenido como objeto primordial la recaudación tributaria, sino resolver una problemática de administración tributaria con la finalidad de incorporar a la formalidad a un amplio sector de contribuyentes. El promedio de recaudación de estos regímenes en los países latinoamericanos es actualmente cercano al 1% de los ingresos tributarios totales, aunque la mayoría se ubica por debajo de dicho valor. En consecuencia, aún cuando la recaudación generada sea muy poco significativa, se suele destacar la utilidad de estos regímenes simplificados como herramientas para viabilizar la transición de una gran cantidad de contribuyentes que </w:t>
      </w:r>
      <w:r w:rsidRPr="00F55EB8">
        <w:rPr>
          <w:rFonts w:eastAsia="Calibri"/>
          <w:sz w:val="26"/>
          <w:szCs w:val="26"/>
          <w:lang w:eastAsia="en-US"/>
        </w:rPr>
        <w:lastRenderedPageBreak/>
        <w:t>desarrollan sus actividades económicas en la economía informal hacia su inclusión efectiva en el régimen general de tributación vigente en cada país.</w:t>
      </w:r>
    </w:p>
    <w:p w14:paraId="7D5E7D85"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A partir de la implementación de estos regímenes en la mayoría de los países latinoamericanos, se ha buscado facilitar el pago de impuestos de contribuyentes que en general responden a las siguientes características: i) bajos ingresos, ii) un alto número que dificulta el control oficial, iii) mayormente informales iv) pobre estructura organizacional y v) alta movilidad de entrada y salida. De esta manera, se busca la simplificación de las normas legales y trámites administrativos que tiene el cumplimiento de las obligaciones tributarias, apuntando con ello a brindarles un “puente” para atraer a la formalidad a los agentes económicos y, al mismo tiempo, mejorar el manejo de los recursos de la administración tributaria.</w:t>
      </w:r>
    </w:p>
    <w:p w14:paraId="2D0253D9"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Entre los regímenes simplificados de tributación, un caso de particular interés está constituido por aquellos cuya estructura además incluye a las contribuciones o recursos tributarios de la Seguridad Social, tal como existe en Argentina, Brasil y Uruguay.</w:t>
      </w:r>
    </w:p>
    <w:p w14:paraId="4D578179" w14:textId="10560A6F"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 Argentina</w:t>
      </w:r>
      <w:r w:rsidR="00180143">
        <w:rPr>
          <w:rFonts w:eastAsia="Calibri"/>
          <w:sz w:val="26"/>
          <w:szCs w:val="26"/>
          <w:lang w:eastAsia="en-US"/>
        </w:rPr>
        <w:t>,</w:t>
      </w:r>
      <w:r w:rsidRPr="00F55EB8">
        <w:rPr>
          <w:rFonts w:eastAsia="Calibri"/>
          <w:sz w:val="26"/>
          <w:szCs w:val="26"/>
          <w:lang w:eastAsia="en-US"/>
        </w:rPr>
        <w:t xml:space="preserve"> el Régimen de Monotributo fue introducido en el sistema tributario argentino en 1998 a partir de la sanción de la Ley 24.977. Desde sus orígenes, la estructura básica de este régimen contempló la posibilidad para los pequeños contribuyentes (aquellos con hasta un monto máximo de ingresos brutos anuales) de cumplir con sus principales obligaciones tributarias y previsionales a través del pago de una determinada suma fija de dinero. Además, el régimen de Monotributo es complementado por una serie de regímenes especiales.</w:t>
      </w:r>
    </w:p>
    <w:p w14:paraId="310EF066"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lastRenderedPageBreak/>
        <w:t>Para determinar el componente impositivo, el régimen consta de 11 categorías de ingresos brutos anuales, aunque en el caso de locaciones y/o prestaciones de servicios el límite máximo es inferior y sólo hay 8 tramos de ingresos. Así, los montos correspondientes al mencionado componente arrancan desde los $39</w:t>
      </w:r>
      <w:r w:rsidRPr="00F55EB8">
        <w:rPr>
          <w:rFonts w:eastAsia="Calibri"/>
          <w:sz w:val="26"/>
          <w:szCs w:val="26"/>
          <w:vertAlign w:val="superscript"/>
          <w:lang w:eastAsia="en-US"/>
        </w:rPr>
        <w:footnoteReference w:id="29"/>
      </w:r>
      <w:r w:rsidRPr="00F55EB8">
        <w:rPr>
          <w:rFonts w:eastAsia="Calibri"/>
          <w:sz w:val="26"/>
          <w:szCs w:val="26"/>
          <w:lang w:eastAsia="en-US"/>
        </w:rPr>
        <w:t xml:space="preserve"> para todas las actividades (categoría B) y van hasta los $1 mil 600 en el caso de prestaciones de servicios y hasta los $2 mil 700 para la venta de cosas muebles. En cambio, el componente previsional que integra la cuota mensual a pagar es un monto fijo uniforme para todas las categorías, comprendiendo los aportes al Sistema Integrado Previsional Argentino —SIPA— ($157) y al Sistema Nacional de Seguro de Salud a través de las Obras Sociales ($146).</w:t>
      </w:r>
    </w:p>
    <w:p w14:paraId="2529530C" w14:textId="1CE5D638"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Con sus aportes los monotributistas acceden a la cobertura médico asistencial asegurada en el Programa Médico Obligatorio (PMO) y provista a través del Sistema de Obras Sociales. Éstos pueden optar por la elección de las obras sociales inscriptas en el régimen de Monotributo y, asimismo, cuentan con la posibilidad de unificar aportes con otros miembros del grupo familiar así como acceder a planes superadores o complementarios al PMO realizando aportes adicionales voluntarios por encima de la cuota del Monotributo. Mientras que en materia de pensiones la legislación establece que por medio de un aporte que no guarda relación con la escala de ingresos, los monotributistas tienen derecho a la Prestación Básica Universal (PBU), pero dado que siempre </w:t>
      </w:r>
      <w:r w:rsidR="00180143">
        <w:rPr>
          <w:rFonts w:eastAsia="Calibri"/>
          <w:sz w:val="26"/>
          <w:szCs w:val="26"/>
          <w:lang w:eastAsia="en-US"/>
        </w:rPr>
        <w:t>é</w:t>
      </w:r>
      <w:r w:rsidRPr="00F55EB8">
        <w:rPr>
          <w:rFonts w:eastAsia="Calibri"/>
          <w:sz w:val="26"/>
          <w:szCs w:val="26"/>
          <w:lang w:eastAsia="en-US"/>
        </w:rPr>
        <w:t>sta es inferior a la jubilación mínima terminan percibiendo esta última prestación. De este modo, se genera un “desacople” entre la evolución de las prestaciones y la evolución de los aportes previsionales de los monotributistas en este país.</w:t>
      </w:r>
    </w:p>
    <w:p w14:paraId="3D63AC9B" w14:textId="2408EAC4"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Entre los resultados del funcionamiento del régimen debe señalarse que el número de contribuyentes inscritos en el Monotributo ha mostrado un sostenido crecimiento desde su introducción en 1998. No obstante, de 2.7 millones de </w:t>
      </w:r>
      <w:r w:rsidRPr="00F55EB8">
        <w:rPr>
          <w:rFonts w:eastAsia="Calibri"/>
          <w:sz w:val="26"/>
          <w:szCs w:val="26"/>
          <w:lang w:eastAsia="en-US"/>
        </w:rPr>
        <w:lastRenderedPageBreak/>
        <w:t>monotributistas, más de la mitad de los mismos se ubican en la categoría más baja, de los cuales aproximadamente la mitad corresponde a locaciones y/o prestaciones de servicios, el 36% se relaciona con actividades primarias, asociaciones cooperativas y trabajo promovido y sólo 13% se refiere a contribuyentes dedicados a la venta de cosas muebles. Contrariamente, las últimas 3 categorías del régimen (que incorporan requisitos mínimos de empleados a cargo) apenas concentran el 0.2% del total de contribuyentes.</w:t>
      </w:r>
    </w:p>
    <w:p w14:paraId="33E18775"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 Brasil, el régimen se remonta a 1996 momento en que se creó, a nivel federal, el régimen SIMPLES Federal, con el objetivo fundamental de reducir los costos de cumplimiento tributario, facilitar las tareas de control de la Administración Tributaria y estimular el empleo formal en las micro y pequeñas empresas. Posteriormente, en 2006 se creó el régimen SIMPLES Nacional, que reemplazó e integró a los regímenes simplificados que cada nivel de gobierno mantenía hasta ese momento de forma individual, y se determinó la distribución y articulación de las tareas de catastro, recaudación, fiscalización y cobranza de impuestos entre los distintos niveles de gobierno. Mientras que en 2008 se creó el régimen del Microemprendedor Individual (MEI) y el régimen de Agentes de Desarrollo Local (AD).</w:t>
      </w:r>
    </w:p>
    <w:p w14:paraId="6E16627A"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 inclusión de tributos subnacionales, al menos a nivel regional, es una característica distintiva del SIMPLES. Sin embargo, debe señalarse que esto añade complejidad en el funcionamiento del régimen puesto que, tanto para el ICMS estadual como para el ISS municipal, el cobro de estos impuestos sólo pueden incluirse mediante la firma de un Convenio entre el Estado Nacional y el respectivo estado o municipalidad.</w:t>
      </w:r>
    </w:p>
    <w:p w14:paraId="6BCCCD64"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En cuanto a la cobertura brindada, dado que el Sistema Único de Salud (SUS) brinda cobertura universal a toda la población a partir de un sistema integrado </w:t>
      </w:r>
      <w:r w:rsidRPr="00F55EB8">
        <w:rPr>
          <w:rFonts w:eastAsia="Calibri"/>
          <w:sz w:val="26"/>
          <w:szCs w:val="26"/>
          <w:lang w:eastAsia="en-US"/>
        </w:rPr>
        <w:lastRenderedPageBreak/>
        <w:t>financiado con impuestos generales recaudados por los tres niveles de gobierno (federal, estatal y municipal), el régimen simplificado no modifica el acceso al sistema de salud. Mientras que con relación a la cobertura de pensiones, el MEI y el SIMPLES dan acceso a prestaciones previsionales mediante el pago de una contribución proporcional al salario mínimo, tanto para el contribuyente como su grupo familiar.</w:t>
      </w:r>
    </w:p>
    <w:p w14:paraId="2AF064E6" w14:textId="3857DC44"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Entre los resultados asociados a estos regímenes se observa que desde la implementación del SIMPLES Nacional en 2007, la dimensión del régimen se ha ido ampliando año tras año hasta superar los 4.5 millones de contribuyentes en 2013 y a partir de 2009, esta tendencia se intensificó con la creación del MEI. Más del 40% de los inscritos en estos dos regímenes se dedican al comercio de bienes, mayormente en la forma de venta minorista a los consumidores finales.</w:t>
      </w:r>
    </w:p>
    <w:p w14:paraId="635B90DD"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En el caso de Uruguay, la Ley 17.296 de 2001 estableció la creación del régimen simplificado denominado “Monotributo” el cual, en su formato inicial, era aplicable a determinadas empresas unipersonales de reducida dimensión económica que desarrollaran actividad comercial en la vía pública y en espacios públicos, tanto ambulantes como estables. Paralelamente e inspirado en el modelo argentino, en 2011 se creó el Monotributo Social MIDES (Ley 18.874) para personas en situación de vulnerabilidad social. Adicionalmente, el país cuenta con el Régimen de IVA Mínimo para la Pequeña Empresa dirigido a toda pequeña empresa radicada en Uruguay que desarrolle alguna actividad comercial o industrial con utilización concreta de capital y trabajo, cuya facturación anual no supere el límite de las 305 mil U.I. ($770 mil 705 en 2013). A dichos contribuyentes se les exige un pago mínimo mensual en concepto del Impuesto al valor agregado, monto que se actualiza todos los años y que para el año 2013 es de $2 mil 300. Además, estos contribuyentes están exentos del Impuesto a la renta de actividades económicas (IRAE) y del Impuesto al patrimonio </w:t>
      </w:r>
      <w:r w:rsidRPr="00F55EB8">
        <w:rPr>
          <w:rFonts w:eastAsia="Calibri"/>
          <w:sz w:val="26"/>
          <w:szCs w:val="26"/>
          <w:lang w:eastAsia="en-US"/>
        </w:rPr>
        <w:lastRenderedPageBreak/>
        <w:t>empresarial. Sin embargo, sí deben pagar las Contribuciones especiales de seguridad social.</w:t>
      </w:r>
    </w:p>
    <w:p w14:paraId="4AD148CC"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Con relación a la cobertura de la seguridad social, en el caso de los trabajadores independientes (a través del monotributo), éstos pueden contribuir al sistema mediante el pago de una cuota voluntaria. En materia de pensiones, la componente previsional tampoco resulta obligatoria, y se encuentra en consecuencia asociada con el nivel de ingresos de los contribuyentes.</w:t>
      </w:r>
    </w:p>
    <w:p w14:paraId="59E2A422"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 cuanto a los resultados alcanzados debe notarse el incremento en la cantidad de empresas inscriptas en el régimen simplificado desde 2007, así como en la cantidad de personas comprendidas. Más de la mitad de los monotributistas totales (sin incluir al Monotributo Social MIDES) tributan en este régimen simplificado por ingresos generados en actividades de comercio minorista y mayorista y reparación de vehículos y motocicletas. Luego, una cuarta parte de estos contribuyentes se engloban conjuntamente en actividades de servicios sociales, culturales, deportivos y administrativos (15.3%), y en industrias manufactureras (10.4%).</w:t>
      </w:r>
    </w:p>
    <w:p w14:paraId="66BF8703"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A pesar de tener características diferentes por estar diseñados en contextos particulares, la consideración conjunta de los esquemas de tributación simplificada en Argentina, Brasil y Uruguay permite establecer ciertas comparaciones y extraer algunas conclusiones puntuales. Por ejemplo, resulta cierto que los regímenes aplicados en estos países implican la sustitución tanto de la mayoría (si no todas) de las obligaciones tributarias vigentes en cada caso, así como de las contribuciones de la seguridad social, las cuales aseguran una provisión mínima de cobertura previsional para los pequeños contribuyentes.</w:t>
      </w:r>
    </w:p>
    <w:p w14:paraId="5CAB760C" w14:textId="6588BBCD"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lastRenderedPageBreak/>
        <w:t xml:space="preserve">El Monotributo argentino y uruguayo se parecen en su concepción original pero difieren en su diseño: el primero posee 8 u 11 escalas de ingresos brutos de acuerdo </w:t>
      </w:r>
      <w:r w:rsidR="00BA61DD">
        <w:rPr>
          <w:rFonts w:eastAsia="Calibri"/>
          <w:sz w:val="26"/>
          <w:szCs w:val="26"/>
          <w:lang w:eastAsia="en-US"/>
        </w:rPr>
        <w:t>con e</w:t>
      </w:r>
      <w:r w:rsidRPr="00F55EB8">
        <w:rPr>
          <w:rFonts w:eastAsia="Calibri"/>
          <w:sz w:val="26"/>
          <w:szCs w:val="26"/>
          <w:lang w:eastAsia="en-US"/>
        </w:rPr>
        <w:t>l tipo de actividad y provee, además de cobertura previsional, un seguro médico obligatorio; en el segundo no hay escalas de ingresos sino que exige el pago de distintos montos fijos —indexados— y la cobertura de salud es optativa. Por su parte, el SIMEI brasilero es similar a estos dos regímenes en tanto también consiste en el pago de un monto fijo uniforme resultando en tasas efectivas decrecientes a medida que crece el ingreso declarado.</w:t>
      </w:r>
    </w:p>
    <w:p w14:paraId="38DCA325" w14:textId="254CBA55"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Los casos de Monotributo uruguayo y SIMEI comparten la ventaja de poseer un ponderador indexable en la determinación del monto fijo mensual a pagar (en Uruguay se ajusta por los precios domésticos y en Brasil de acuerdo </w:t>
      </w:r>
      <w:r w:rsidR="00BA61DD">
        <w:rPr>
          <w:rFonts w:eastAsia="Calibri"/>
          <w:sz w:val="26"/>
          <w:szCs w:val="26"/>
          <w:lang w:eastAsia="en-US"/>
        </w:rPr>
        <w:t>con e</w:t>
      </w:r>
      <w:r w:rsidRPr="00F55EB8">
        <w:rPr>
          <w:rFonts w:eastAsia="Calibri"/>
          <w:sz w:val="26"/>
          <w:szCs w:val="26"/>
          <w:lang w:eastAsia="en-US"/>
        </w:rPr>
        <w:t xml:space="preserve">l nivel del </w:t>
      </w:r>
      <w:r w:rsidRPr="00CA7282">
        <w:rPr>
          <w:rFonts w:eastAsia="Calibri"/>
          <w:sz w:val="26"/>
          <w:szCs w:val="26"/>
          <w:lang w:eastAsia="en-US"/>
        </w:rPr>
        <w:t>salario mínimo)</w:t>
      </w:r>
      <w:r w:rsidRPr="00F55EB8">
        <w:rPr>
          <w:rFonts w:eastAsia="Calibri"/>
          <w:sz w:val="26"/>
          <w:szCs w:val="26"/>
          <w:lang w:eastAsia="en-US"/>
        </w:rPr>
        <w:t xml:space="preserve"> lo cual hace más automático al esquema, a diferencia del caso argentino.</w:t>
      </w:r>
    </w:p>
    <w:p w14:paraId="036B94CB"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En cambio, a pesar de perseguir objetivos coincidentes, el SIMPLES Nacional es diametralmente distinto en su diseño específico, al constar de diversas tablas de alícuotas progresivas según la actividad que implican la sustitución de todo un paquete de impuestos nacionales y subnacionales y contribuciones a la seguridad social. Ello genera incentivos a subdeclarar ingresos si bien la aplicación de un régimen simplificado de estas características hace que el “salto” al régimen general sea menos traumático o brusco (en términos económicos) que uno estructurado con montos fijos de impuesto y alícuotas decrecientes como las versiones argentina y uruguaya del Monotributo y el mismo SIMEI. El Régimen de IVA Mínimo para Pequeñas Empresas en Uruguay, no quedaría sujeto a estos incentivos “perversos”. El mecanismo de aplicación gradual y reducida que se contempla para este régimen brinda la oportunidad de facilitar la formalización económica de las empresas de menor envergadura.</w:t>
      </w:r>
    </w:p>
    <w:p w14:paraId="5137D4C3"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lastRenderedPageBreak/>
        <w:t>Se ha visto que bajo ciertas circunstancias, estos esquemas pueden ser una herramienta útil para facilitar la transición a sistemas de salud de cobertura universal o para completar la historia contributiva de trabajadores con inestabilidad en empleos formales. Por supuesto, el efecto final dependerá del funcionamiento del mercado de trabajo, la organización de cada subsector de la seguridad social y, de la propia normativa que en cada país de la región establezca esquemas de tributación simplificada.</w:t>
      </w:r>
    </w:p>
    <w:p w14:paraId="65EA0C56"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Las reformas futuras a los regímenes simplificados vigentes deberían poner el foco en el funcionamiento específico de los mismos y en los incentivos que influyen, positiva o negativamente, sobre el comportamiento tributario de los pequeños contribuyentes. En ese sentido, se deberá priorizar un acceso amplio a estos regímenes, favoreciendo el proceso de formalización que propician, aunque también se tendrá que poner énfasis en evitar un sobredimensionamiento de los mismos.</w:t>
      </w:r>
    </w:p>
    <w:p w14:paraId="5EE834BA"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La concepción de estos instrumentos como un “puente transitorio” entre los regímenes tributarios diseñados especialmente para los sectores informales y el cumplimiento voluntario de las normas tributarias generales es la situación que debería prevalecer en aquellos países donde sean aplicados, acotando los requisitos y beneficios otorgados, procurando la reducción progresiva del tiempo de permanencia de los contribuyentes en estos sistemas y tendiendo a su definitiva eliminación en el largo plazo.</w:t>
      </w:r>
    </w:p>
    <w:p w14:paraId="0D3BBC95" w14:textId="77777777" w:rsidR="00F55EB8" w:rsidRPr="00F55EB8" w:rsidRDefault="00F55EB8" w:rsidP="00762467">
      <w:pPr>
        <w:numPr>
          <w:ilvl w:val="0"/>
          <w:numId w:val="62"/>
        </w:numPr>
        <w:spacing w:after="360" w:line="360" w:lineRule="auto"/>
        <w:ind w:right="-159"/>
        <w:jc w:val="both"/>
        <w:rPr>
          <w:rFonts w:eastAsia="Calibri"/>
          <w:sz w:val="26"/>
          <w:szCs w:val="26"/>
          <w:lang w:eastAsia="en-US"/>
        </w:rPr>
      </w:pPr>
      <w:r w:rsidRPr="00F55EB8">
        <w:rPr>
          <w:rFonts w:eastAsia="Calibri"/>
          <w:sz w:val="26"/>
          <w:szCs w:val="26"/>
          <w:lang w:eastAsia="en-US"/>
        </w:rPr>
        <w:t xml:space="preserve">En relación con la cobertura de salud y pensiones, estos regímenes no pueden ser considerados como la solución a problemas de cobertura sino como un complemento que puede ser de extrema utilidad para ciertas situaciones particulares. La consolidación de los derechos a la protección social sólo podrá lograrse con la construcción de sistemas de salud de cobertura universal y </w:t>
      </w:r>
      <w:r w:rsidRPr="00F55EB8">
        <w:rPr>
          <w:rFonts w:eastAsia="Calibri"/>
          <w:sz w:val="26"/>
          <w:szCs w:val="26"/>
          <w:lang w:eastAsia="en-US"/>
        </w:rPr>
        <w:lastRenderedPageBreak/>
        <w:t>sistemas de pensiones con diferentes pilares que atiendan los ingresos de la totalidad de la población adulta mayor. Para ello, la mayor parte de los países de la región requerirán de incrementos sustanciales en la carga tributaria total.</w:t>
      </w:r>
    </w:p>
    <w:p w14:paraId="47BE6104" w14:textId="77777777" w:rsidR="00F55EB8" w:rsidRPr="00F55EB8" w:rsidRDefault="00F55EB8" w:rsidP="00F55EB8">
      <w:pPr>
        <w:ind w:right="-159"/>
        <w:jc w:val="both"/>
        <w:rPr>
          <w:rFonts w:eastAsia="Calibri"/>
          <w:sz w:val="20"/>
          <w:szCs w:val="20"/>
          <w:lang w:eastAsia="en-US"/>
        </w:rPr>
      </w:pPr>
      <w:r w:rsidRPr="00F55EB8">
        <w:rPr>
          <w:rFonts w:eastAsia="Calibri"/>
          <w:b/>
          <w:sz w:val="20"/>
          <w:szCs w:val="20"/>
          <w:lang w:eastAsia="en-US"/>
        </w:rPr>
        <w:t>Fuente de información</w:t>
      </w:r>
      <w:r w:rsidRPr="00F55EB8">
        <w:rPr>
          <w:rFonts w:eastAsia="Calibri"/>
          <w:sz w:val="20"/>
          <w:szCs w:val="20"/>
          <w:lang w:eastAsia="en-US"/>
        </w:rPr>
        <w:t>:</w:t>
      </w:r>
    </w:p>
    <w:p w14:paraId="6D9CBBD4" w14:textId="77777777" w:rsidR="00F55EB8" w:rsidRPr="007846AF" w:rsidRDefault="0045651A" w:rsidP="00F55EB8">
      <w:pPr>
        <w:ind w:right="-159"/>
        <w:jc w:val="both"/>
        <w:rPr>
          <w:rFonts w:eastAsia="Calibri"/>
          <w:color w:val="0000FF"/>
          <w:sz w:val="20"/>
          <w:szCs w:val="20"/>
          <w:u w:val="single"/>
          <w:lang w:eastAsia="en-US"/>
        </w:rPr>
      </w:pPr>
      <w:hyperlink r:id="rId235" w:history="1">
        <w:r w:rsidR="00F55EB8" w:rsidRPr="007846AF">
          <w:rPr>
            <w:rFonts w:eastAsia="Calibri"/>
            <w:color w:val="0000FF"/>
            <w:sz w:val="20"/>
            <w:szCs w:val="20"/>
            <w:u w:val="single"/>
            <w:lang w:eastAsia="en-US"/>
          </w:rPr>
          <w:t>http://www.ilo.org/americas/sala-de-prensa/WCMS_357467/lang--es/index.htm</w:t>
        </w:r>
      </w:hyperlink>
    </w:p>
    <w:p w14:paraId="30DEAB01" w14:textId="77777777" w:rsidR="00F55EB8" w:rsidRPr="007846AF" w:rsidRDefault="0045651A" w:rsidP="007846AF">
      <w:pPr>
        <w:spacing w:after="720"/>
        <w:ind w:right="-159"/>
        <w:jc w:val="both"/>
        <w:rPr>
          <w:rFonts w:eastAsia="Calibri"/>
          <w:color w:val="0000FF"/>
          <w:sz w:val="20"/>
          <w:szCs w:val="20"/>
          <w:u w:val="single"/>
          <w:lang w:eastAsia="en-US"/>
        </w:rPr>
      </w:pPr>
      <w:hyperlink r:id="rId236" w:history="1">
        <w:r w:rsidR="00F55EB8" w:rsidRPr="007846AF">
          <w:rPr>
            <w:rFonts w:eastAsia="Calibri"/>
            <w:color w:val="0000FF"/>
            <w:sz w:val="20"/>
            <w:szCs w:val="20"/>
            <w:u w:val="single"/>
            <w:lang w:eastAsia="en-US"/>
          </w:rPr>
          <w:t>http://www.ilo.org/wcmsp5/groups/public/---americas/---ro-lima/documents/publication/wcms_357452.pdf</w:t>
        </w:r>
      </w:hyperlink>
      <w:r w:rsidR="00F55EB8" w:rsidRPr="007846AF">
        <w:rPr>
          <w:rFonts w:eastAsia="Calibri"/>
          <w:color w:val="0000FF"/>
          <w:sz w:val="20"/>
          <w:szCs w:val="20"/>
          <w:u w:val="single"/>
          <w:lang w:eastAsia="en-US"/>
        </w:rPr>
        <w:t xml:space="preserve"> </w:t>
      </w:r>
    </w:p>
    <w:p w14:paraId="03F05461" w14:textId="353FD93C" w:rsidR="00464661" w:rsidRPr="00464661" w:rsidRDefault="00464661" w:rsidP="00464661">
      <w:pPr>
        <w:spacing w:after="360" w:line="360" w:lineRule="auto"/>
        <w:ind w:right="-159"/>
        <w:jc w:val="both"/>
        <w:rPr>
          <w:rFonts w:eastAsia="Calibri"/>
          <w:b/>
          <w:sz w:val="26"/>
          <w:szCs w:val="26"/>
          <w:lang w:eastAsia="en-US"/>
        </w:rPr>
      </w:pPr>
      <w:r w:rsidRPr="00464661">
        <w:rPr>
          <w:rFonts w:eastAsia="Calibri"/>
          <w:b/>
          <w:sz w:val="26"/>
          <w:szCs w:val="26"/>
          <w:lang w:eastAsia="en-US"/>
        </w:rPr>
        <w:t>Monitor Fiscal (FMI)</w:t>
      </w:r>
    </w:p>
    <w:p w14:paraId="668C9CDF" w14:textId="577A3DB0" w:rsidR="00346DC0" w:rsidRDefault="00464661" w:rsidP="00464661">
      <w:pPr>
        <w:spacing w:after="360" w:line="360" w:lineRule="auto"/>
        <w:ind w:right="-159"/>
        <w:jc w:val="both"/>
        <w:rPr>
          <w:rFonts w:eastAsia="Calibri"/>
          <w:sz w:val="26"/>
          <w:szCs w:val="26"/>
          <w:lang w:eastAsia="en-US"/>
        </w:rPr>
      </w:pPr>
      <w:r>
        <w:rPr>
          <w:rFonts w:eastAsia="Calibri"/>
          <w:sz w:val="26"/>
          <w:szCs w:val="26"/>
          <w:lang w:eastAsia="en-US"/>
        </w:rPr>
        <w:t xml:space="preserve">El </w:t>
      </w:r>
      <w:r w:rsidR="00346DC0">
        <w:rPr>
          <w:rFonts w:eastAsia="Calibri"/>
          <w:sz w:val="26"/>
          <w:szCs w:val="26"/>
          <w:lang w:eastAsia="en-US"/>
        </w:rPr>
        <w:t>15 de abril de 2015, el Fondo Monetario Internacional (FMI) publicó el Resumen Ejecutivo del “Monitor Fiscal”. A continuación se presenta el contenido.</w:t>
      </w:r>
    </w:p>
    <w:p w14:paraId="2D69218D" w14:textId="3B6AFBDE" w:rsidR="00464661" w:rsidRPr="00346DC0" w:rsidRDefault="00464661" w:rsidP="00464661">
      <w:pPr>
        <w:spacing w:after="360" w:line="360" w:lineRule="auto"/>
        <w:ind w:right="-159"/>
        <w:jc w:val="both"/>
        <w:rPr>
          <w:rFonts w:eastAsia="Calibri"/>
          <w:b/>
          <w:sz w:val="26"/>
          <w:szCs w:val="26"/>
          <w:lang w:eastAsia="en-US"/>
        </w:rPr>
      </w:pPr>
      <w:r w:rsidRPr="00346DC0">
        <w:rPr>
          <w:rFonts w:eastAsia="Calibri"/>
          <w:b/>
          <w:sz w:val="26"/>
          <w:szCs w:val="26"/>
          <w:lang w:eastAsia="en-US"/>
        </w:rPr>
        <w:t>Resumen Ejecutivo</w:t>
      </w:r>
    </w:p>
    <w:p w14:paraId="3538E9C1" w14:textId="77777777" w:rsidR="00464661" w:rsidRPr="00346DC0" w:rsidRDefault="00464661" w:rsidP="00464661">
      <w:pPr>
        <w:spacing w:after="360" w:line="360" w:lineRule="auto"/>
        <w:ind w:right="-159"/>
        <w:jc w:val="both"/>
        <w:rPr>
          <w:rFonts w:eastAsia="Calibri"/>
          <w:b/>
          <w:sz w:val="26"/>
          <w:szCs w:val="26"/>
          <w:lang w:eastAsia="en-US"/>
        </w:rPr>
      </w:pPr>
      <w:r w:rsidRPr="00346DC0">
        <w:rPr>
          <w:rFonts w:eastAsia="Calibri"/>
          <w:b/>
          <w:sz w:val="26"/>
          <w:szCs w:val="26"/>
          <w:lang w:eastAsia="en-US"/>
        </w:rPr>
        <w:t>Evolución y perspectivas fiscales recientes</w:t>
      </w:r>
    </w:p>
    <w:p w14:paraId="3F41E71F" w14:textId="512104ED"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En las economías avanzadas está en curso una recuperación moderada y desigual, respaldada</w:t>
      </w:r>
      <w:r>
        <w:rPr>
          <w:rFonts w:eastAsia="Calibri"/>
          <w:sz w:val="26"/>
          <w:szCs w:val="26"/>
          <w:lang w:eastAsia="en-US"/>
        </w:rPr>
        <w:t xml:space="preserve"> </w:t>
      </w:r>
      <w:r w:rsidRPr="00464661">
        <w:rPr>
          <w:rFonts w:eastAsia="Calibri"/>
          <w:sz w:val="26"/>
          <w:szCs w:val="26"/>
          <w:lang w:eastAsia="en-US"/>
        </w:rPr>
        <w:t>por la caída de los precios del petróleo, una política monetaria que continúa siendo</w:t>
      </w:r>
      <w:r>
        <w:rPr>
          <w:rFonts w:eastAsia="Calibri"/>
          <w:sz w:val="26"/>
          <w:szCs w:val="26"/>
          <w:lang w:eastAsia="en-US"/>
        </w:rPr>
        <w:t xml:space="preserve"> </w:t>
      </w:r>
      <w:r w:rsidRPr="00464661">
        <w:rPr>
          <w:rFonts w:eastAsia="Calibri"/>
          <w:sz w:val="26"/>
          <w:szCs w:val="26"/>
          <w:lang w:eastAsia="en-US"/>
        </w:rPr>
        <w:t>acomodaticia y un ajuste fiscal más lento. Sin embargo, los altos niveles de endeudamiento</w:t>
      </w:r>
      <w:r>
        <w:rPr>
          <w:rFonts w:eastAsia="Calibri"/>
          <w:sz w:val="26"/>
          <w:szCs w:val="26"/>
          <w:lang w:eastAsia="en-US"/>
        </w:rPr>
        <w:t xml:space="preserve"> </w:t>
      </w:r>
      <w:r w:rsidRPr="00464661">
        <w:rPr>
          <w:rFonts w:eastAsia="Calibri"/>
          <w:sz w:val="26"/>
          <w:szCs w:val="26"/>
          <w:lang w:eastAsia="en-US"/>
        </w:rPr>
        <w:t>público y privado siguen poniendo trabas al crecimiento y la sostenibilidad de la deuda en</w:t>
      </w:r>
      <w:r>
        <w:rPr>
          <w:rFonts w:eastAsia="Calibri"/>
          <w:sz w:val="26"/>
          <w:szCs w:val="26"/>
          <w:lang w:eastAsia="en-US"/>
        </w:rPr>
        <w:t xml:space="preserve"> </w:t>
      </w:r>
      <w:r w:rsidRPr="00464661">
        <w:rPr>
          <w:rFonts w:eastAsia="Calibri"/>
          <w:sz w:val="26"/>
          <w:szCs w:val="26"/>
          <w:lang w:eastAsia="en-US"/>
        </w:rPr>
        <w:t>algunas economías avanzadas. Además, en muchos países la inflación está muy por debajo</w:t>
      </w:r>
      <w:r>
        <w:rPr>
          <w:rFonts w:eastAsia="Calibri"/>
          <w:sz w:val="26"/>
          <w:szCs w:val="26"/>
          <w:lang w:eastAsia="en-US"/>
        </w:rPr>
        <w:t xml:space="preserve"> </w:t>
      </w:r>
      <w:r w:rsidRPr="00464661">
        <w:rPr>
          <w:rFonts w:eastAsia="Calibri"/>
          <w:sz w:val="26"/>
          <w:szCs w:val="26"/>
          <w:lang w:eastAsia="en-US"/>
        </w:rPr>
        <w:t>de los niveles fijados como meta, lo que dificulta la difícil tarea de reducir los altos niveles</w:t>
      </w:r>
      <w:r>
        <w:rPr>
          <w:rFonts w:eastAsia="Calibri"/>
          <w:sz w:val="26"/>
          <w:szCs w:val="26"/>
          <w:lang w:eastAsia="en-US"/>
        </w:rPr>
        <w:t xml:space="preserve"> </w:t>
      </w:r>
      <w:r w:rsidRPr="00464661">
        <w:rPr>
          <w:rFonts w:eastAsia="Calibri"/>
          <w:sz w:val="26"/>
          <w:szCs w:val="26"/>
          <w:lang w:eastAsia="en-US"/>
        </w:rPr>
        <w:t>de endeudamiento público. El crecimiento en las economías de mercados emergentes está</w:t>
      </w:r>
      <w:r>
        <w:rPr>
          <w:rFonts w:eastAsia="Calibri"/>
          <w:sz w:val="26"/>
          <w:szCs w:val="26"/>
          <w:lang w:eastAsia="en-US"/>
        </w:rPr>
        <w:t xml:space="preserve"> </w:t>
      </w:r>
      <w:r w:rsidRPr="00464661">
        <w:rPr>
          <w:rFonts w:eastAsia="Calibri"/>
          <w:sz w:val="26"/>
          <w:szCs w:val="26"/>
          <w:lang w:eastAsia="en-US"/>
        </w:rPr>
        <w:t>moderándose, y en algunas la volatilidad financiera y cambiaria ha elevado los costos de</w:t>
      </w:r>
      <w:r>
        <w:rPr>
          <w:rFonts w:eastAsia="Calibri"/>
          <w:sz w:val="26"/>
          <w:szCs w:val="26"/>
          <w:lang w:eastAsia="en-US"/>
        </w:rPr>
        <w:t xml:space="preserve"> </w:t>
      </w:r>
      <w:r w:rsidRPr="00464661">
        <w:rPr>
          <w:rFonts w:eastAsia="Calibri"/>
          <w:sz w:val="26"/>
          <w:szCs w:val="26"/>
          <w:lang w:eastAsia="en-US"/>
        </w:rPr>
        <w:t>financiamiento público. Mientras tanto, la disminución de los ingresos provenientes del</w:t>
      </w:r>
      <w:r>
        <w:rPr>
          <w:rFonts w:eastAsia="Calibri"/>
          <w:sz w:val="26"/>
          <w:szCs w:val="26"/>
          <w:lang w:eastAsia="en-US"/>
        </w:rPr>
        <w:t xml:space="preserve"> </w:t>
      </w:r>
      <w:r w:rsidRPr="00464661">
        <w:rPr>
          <w:rFonts w:eastAsia="Calibri"/>
          <w:sz w:val="26"/>
          <w:szCs w:val="26"/>
          <w:lang w:eastAsia="en-US"/>
        </w:rPr>
        <w:t>petróleo y las materias primas presenta desafíos para los países exportadores.</w:t>
      </w:r>
    </w:p>
    <w:p w14:paraId="1EABF586" w14:textId="77777777" w:rsidR="00346DC0"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En este entorno complicado, la política fiscal sigue siendo esencial —junto con la política</w:t>
      </w:r>
      <w:r>
        <w:rPr>
          <w:rFonts w:eastAsia="Calibri"/>
          <w:sz w:val="26"/>
          <w:szCs w:val="26"/>
          <w:lang w:eastAsia="en-US"/>
        </w:rPr>
        <w:t xml:space="preserve"> </w:t>
      </w:r>
      <w:r w:rsidRPr="00464661">
        <w:rPr>
          <w:rFonts w:eastAsia="Calibri"/>
          <w:sz w:val="26"/>
          <w:szCs w:val="26"/>
          <w:lang w:eastAsia="en-US"/>
        </w:rPr>
        <w:t xml:space="preserve">monetaria acomodaticia y las reformas estructurales— para generar confianza </w:t>
      </w:r>
      <w:r w:rsidRPr="00464661">
        <w:rPr>
          <w:rFonts w:eastAsia="Calibri"/>
          <w:sz w:val="26"/>
          <w:szCs w:val="26"/>
          <w:lang w:eastAsia="en-US"/>
        </w:rPr>
        <w:lastRenderedPageBreak/>
        <w:t>y, cuando</w:t>
      </w:r>
      <w:r>
        <w:rPr>
          <w:rFonts w:eastAsia="Calibri"/>
          <w:sz w:val="26"/>
          <w:szCs w:val="26"/>
          <w:lang w:eastAsia="en-US"/>
        </w:rPr>
        <w:t xml:space="preserve"> </w:t>
      </w:r>
      <w:r w:rsidRPr="00464661">
        <w:rPr>
          <w:rFonts w:eastAsia="Calibri"/>
          <w:sz w:val="26"/>
          <w:szCs w:val="26"/>
          <w:lang w:eastAsia="en-US"/>
        </w:rPr>
        <w:t>corresponda, apuntalar la demanda agregada. Dado que los márgenes de maniobra de las</w:t>
      </w:r>
      <w:r>
        <w:rPr>
          <w:rFonts w:eastAsia="Calibri"/>
          <w:sz w:val="26"/>
          <w:szCs w:val="26"/>
          <w:lang w:eastAsia="en-US"/>
        </w:rPr>
        <w:t xml:space="preserve"> </w:t>
      </w:r>
      <w:r w:rsidRPr="00464661">
        <w:rPr>
          <w:rFonts w:eastAsia="Calibri"/>
          <w:sz w:val="26"/>
          <w:szCs w:val="26"/>
          <w:lang w:eastAsia="en-US"/>
        </w:rPr>
        <w:t>políticas son reducidos, hay tres ámbitos de acción que revisten más importancia para una</w:t>
      </w:r>
      <w:r>
        <w:rPr>
          <w:rFonts w:eastAsia="Calibri"/>
          <w:sz w:val="26"/>
          <w:szCs w:val="26"/>
          <w:lang w:eastAsia="en-US"/>
        </w:rPr>
        <w:t xml:space="preserve"> </w:t>
      </w:r>
      <w:r w:rsidRPr="00464661">
        <w:rPr>
          <w:rFonts w:eastAsia="Calibri"/>
          <w:sz w:val="26"/>
          <w:szCs w:val="26"/>
          <w:lang w:eastAsia="en-US"/>
        </w:rPr>
        <w:t>política fiscal sólida:</w:t>
      </w:r>
      <w:r>
        <w:rPr>
          <w:rFonts w:eastAsia="Calibri"/>
          <w:sz w:val="26"/>
          <w:szCs w:val="26"/>
          <w:lang w:eastAsia="en-US"/>
        </w:rPr>
        <w:t xml:space="preserve"> </w:t>
      </w:r>
    </w:p>
    <w:p w14:paraId="552673FF" w14:textId="39A4F610" w:rsidR="00464661" w:rsidRPr="00464661" w:rsidRDefault="00464661" w:rsidP="00464661">
      <w:pPr>
        <w:spacing w:after="360" w:line="360" w:lineRule="auto"/>
        <w:ind w:right="-159"/>
        <w:jc w:val="both"/>
        <w:rPr>
          <w:rFonts w:eastAsia="Calibri"/>
          <w:sz w:val="26"/>
          <w:szCs w:val="26"/>
          <w:lang w:eastAsia="en-US"/>
        </w:rPr>
      </w:pPr>
      <w:r w:rsidRPr="00346DC0">
        <w:rPr>
          <w:rFonts w:eastAsia="Calibri"/>
          <w:b/>
          <w:sz w:val="26"/>
          <w:szCs w:val="26"/>
          <w:lang w:eastAsia="en-US"/>
        </w:rPr>
        <w:t>Usar la política fiscal de manera flexible para apoyar el crecimiento, mitigando al mismo tiempo los riesgos y garantizando la sostenibilidad de la deuda a mediano plazo.</w:t>
      </w:r>
      <w:r w:rsidR="00346DC0">
        <w:rPr>
          <w:rFonts w:eastAsia="Calibri"/>
          <w:b/>
          <w:sz w:val="26"/>
          <w:szCs w:val="26"/>
          <w:lang w:eastAsia="en-US"/>
        </w:rPr>
        <w:t xml:space="preserve"> </w:t>
      </w:r>
      <w:r w:rsidRPr="00464661">
        <w:rPr>
          <w:rFonts w:eastAsia="Calibri"/>
          <w:sz w:val="26"/>
          <w:szCs w:val="26"/>
          <w:lang w:eastAsia="en-US"/>
        </w:rPr>
        <w:t>El grado y el tipo de flexibilidad dependerán de la situación fiscal de cada país, las</w:t>
      </w:r>
      <w:r>
        <w:rPr>
          <w:rFonts w:eastAsia="Calibri"/>
          <w:sz w:val="26"/>
          <w:szCs w:val="26"/>
          <w:lang w:eastAsia="en-US"/>
        </w:rPr>
        <w:t xml:space="preserve"> </w:t>
      </w:r>
      <w:r w:rsidRPr="00464661">
        <w:rPr>
          <w:rFonts w:eastAsia="Calibri"/>
          <w:sz w:val="26"/>
          <w:szCs w:val="26"/>
          <w:lang w:eastAsia="en-US"/>
        </w:rPr>
        <w:t>condiciones macroeconómicas y los riesgos fiscales pertinentes. Los países que disponen de</w:t>
      </w:r>
      <w:r>
        <w:rPr>
          <w:rFonts w:eastAsia="Calibri"/>
          <w:sz w:val="26"/>
          <w:szCs w:val="26"/>
          <w:lang w:eastAsia="en-US"/>
        </w:rPr>
        <w:t xml:space="preserve"> </w:t>
      </w:r>
      <w:r w:rsidRPr="00464661">
        <w:rPr>
          <w:rFonts w:eastAsia="Calibri"/>
          <w:sz w:val="26"/>
          <w:szCs w:val="26"/>
          <w:lang w:eastAsia="en-US"/>
        </w:rPr>
        <w:t>espacio fiscal pueden usarlo para apoyar el crecimiento, particularmente en los casos en que</w:t>
      </w:r>
      <w:r>
        <w:rPr>
          <w:rFonts w:eastAsia="Calibri"/>
          <w:sz w:val="26"/>
          <w:szCs w:val="26"/>
          <w:lang w:eastAsia="en-US"/>
        </w:rPr>
        <w:t xml:space="preserve"> </w:t>
      </w:r>
      <w:r w:rsidRPr="00464661">
        <w:rPr>
          <w:rFonts w:eastAsia="Calibri"/>
          <w:sz w:val="26"/>
          <w:szCs w:val="26"/>
          <w:lang w:eastAsia="en-US"/>
        </w:rPr>
        <w:t>se hayan materializado los riesgos de escaso crecimiento e inflación baja. Por ejemplo, una</w:t>
      </w:r>
      <w:r>
        <w:rPr>
          <w:rFonts w:eastAsia="Calibri"/>
          <w:sz w:val="26"/>
          <w:szCs w:val="26"/>
          <w:lang w:eastAsia="en-US"/>
        </w:rPr>
        <w:t xml:space="preserve"> </w:t>
      </w:r>
      <w:r w:rsidRPr="00464661">
        <w:rPr>
          <w:rFonts w:eastAsia="Calibri"/>
          <w:sz w:val="26"/>
          <w:szCs w:val="26"/>
          <w:lang w:eastAsia="en-US"/>
        </w:rPr>
        <w:t>mayor inversión pública en infraestructura podría elevar la demanda agregada a corto plazo e</w:t>
      </w:r>
      <w:r>
        <w:rPr>
          <w:rFonts w:eastAsia="Calibri"/>
          <w:sz w:val="26"/>
          <w:szCs w:val="26"/>
          <w:lang w:eastAsia="en-US"/>
        </w:rPr>
        <w:t xml:space="preserve"> </w:t>
      </w:r>
      <w:r w:rsidRPr="00464661">
        <w:rPr>
          <w:rFonts w:eastAsia="Calibri"/>
          <w:sz w:val="26"/>
          <w:szCs w:val="26"/>
          <w:lang w:eastAsia="en-US"/>
        </w:rPr>
        <w:t>incrementar el producto potencial a mediano plazo. Los países que estén experimentando</w:t>
      </w:r>
      <w:r>
        <w:rPr>
          <w:rFonts w:eastAsia="Calibri"/>
          <w:sz w:val="26"/>
          <w:szCs w:val="26"/>
          <w:lang w:eastAsia="en-US"/>
        </w:rPr>
        <w:t xml:space="preserve"> </w:t>
      </w:r>
      <w:r w:rsidRPr="00464661">
        <w:rPr>
          <w:rFonts w:eastAsia="Calibri"/>
          <w:sz w:val="26"/>
          <w:szCs w:val="26"/>
          <w:lang w:eastAsia="en-US"/>
        </w:rPr>
        <w:t>más restricciones deberían ir en busca de un reequilibrio fiscal más favorable para el</w:t>
      </w:r>
      <w:r>
        <w:rPr>
          <w:rFonts w:eastAsia="Calibri"/>
          <w:sz w:val="26"/>
          <w:szCs w:val="26"/>
          <w:lang w:eastAsia="en-US"/>
        </w:rPr>
        <w:t xml:space="preserve"> </w:t>
      </w:r>
      <w:r w:rsidRPr="00464661">
        <w:rPr>
          <w:rFonts w:eastAsia="Calibri"/>
          <w:sz w:val="26"/>
          <w:szCs w:val="26"/>
          <w:lang w:eastAsia="en-US"/>
        </w:rPr>
        <w:t>crecimiento y de reformas estructurales que estimulen el crecimiento potencial. Mientras</w:t>
      </w:r>
      <w:r>
        <w:rPr>
          <w:rFonts w:eastAsia="Calibri"/>
          <w:sz w:val="26"/>
          <w:szCs w:val="26"/>
          <w:lang w:eastAsia="en-US"/>
        </w:rPr>
        <w:t xml:space="preserve"> </w:t>
      </w:r>
      <w:r w:rsidRPr="00464661">
        <w:rPr>
          <w:rFonts w:eastAsia="Calibri"/>
          <w:sz w:val="26"/>
          <w:szCs w:val="26"/>
          <w:lang w:eastAsia="en-US"/>
        </w:rPr>
        <w:t>tanto, en los países en que los crecientes riesgos fiscales pueden ejercer presión sobre el</w:t>
      </w:r>
      <w:r>
        <w:rPr>
          <w:rFonts w:eastAsia="Calibri"/>
          <w:sz w:val="26"/>
          <w:szCs w:val="26"/>
          <w:lang w:eastAsia="en-US"/>
        </w:rPr>
        <w:t xml:space="preserve"> </w:t>
      </w:r>
      <w:r w:rsidRPr="00464661">
        <w:rPr>
          <w:rFonts w:eastAsia="Calibri"/>
          <w:sz w:val="26"/>
          <w:szCs w:val="26"/>
          <w:lang w:eastAsia="en-US"/>
        </w:rPr>
        <w:t>mercado, una de las prioridades debería ser recomponer las defensas fiscales. En los países</w:t>
      </w:r>
      <w:r>
        <w:rPr>
          <w:rFonts w:eastAsia="Calibri"/>
          <w:sz w:val="26"/>
          <w:szCs w:val="26"/>
          <w:lang w:eastAsia="en-US"/>
        </w:rPr>
        <w:t xml:space="preserve"> </w:t>
      </w:r>
      <w:r w:rsidRPr="00464661">
        <w:rPr>
          <w:rFonts w:eastAsia="Calibri"/>
          <w:sz w:val="26"/>
          <w:szCs w:val="26"/>
          <w:lang w:eastAsia="en-US"/>
        </w:rPr>
        <w:t>exportadores de petróleo y materias primas, se pueden utilizar los activos financieros del</w:t>
      </w:r>
      <w:r>
        <w:rPr>
          <w:rFonts w:eastAsia="Calibri"/>
          <w:sz w:val="26"/>
          <w:szCs w:val="26"/>
          <w:lang w:eastAsia="en-US"/>
        </w:rPr>
        <w:t xml:space="preserve"> </w:t>
      </w:r>
      <w:r w:rsidRPr="00464661">
        <w:rPr>
          <w:rFonts w:eastAsia="Calibri"/>
          <w:sz w:val="26"/>
          <w:szCs w:val="26"/>
          <w:lang w:eastAsia="en-US"/>
        </w:rPr>
        <w:t>gobierno, si son suficientes, para ajustarse gradualmente al shock derivado de los precios más</w:t>
      </w:r>
      <w:r>
        <w:rPr>
          <w:rFonts w:eastAsia="Calibri"/>
          <w:sz w:val="26"/>
          <w:szCs w:val="26"/>
          <w:lang w:eastAsia="en-US"/>
        </w:rPr>
        <w:t xml:space="preserve"> </w:t>
      </w:r>
      <w:r w:rsidRPr="00464661">
        <w:rPr>
          <w:rFonts w:eastAsia="Calibri"/>
          <w:sz w:val="26"/>
          <w:szCs w:val="26"/>
          <w:lang w:eastAsia="en-US"/>
        </w:rPr>
        <w:t>bajos del petróleo. No obstante, es posible que los recortes sean inevitables en algunos países</w:t>
      </w:r>
      <w:r>
        <w:rPr>
          <w:rFonts w:eastAsia="Calibri"/>
          <w:sz w:val="26"/>
          <w:szCs w:val="26"/>
          <w:lang w:eastAsia="en-US"/>
        </w:rPr>
        <w:t xml:space="preserve"> </w:t>
      </w:r>
      <w:r w:rsidRPr="00464661">
        <w:rPr>
          <w:rFonts w:eastAsia="Calibri"/>
          <w:sz w:val="26"/>
          <w:szCs w:val="26"/>
          <w:lang w:eastAsia="en-US"/>
        </w:rPr>
        <w:t>exportadores de petróleo que sufren restricciones financieras. En las economías con subsidios</w:t>
      </w:r>
      <w:r>
        <w:rPr>
          <w:rFonts w:eastAsia="Calibri"/>
          <w:sz w:val="26"/>
          <w:szCs w:val="26"/>
          <w:lang w:eastAsia="en-US"/>
        </w:rPr>
        <w:t xml:space="preserve"> </w:t>
      </w:r>
      <w:r w:rsidRPr="00464661">
        <w:rPr>
          <w:rFonts w:eastAsia="Calibri"/>
          <w:sz w:val="26"/>
          <w:szCs w:val="26"/>
          <w:lang w:eastAsia="en-US"/>
        </w:rPr>
        <w:t>petroleros, los ingresos extraordinarios derivados de los precios más bajos deberían usarse</w:t>
      </w:r>
      <w:r>
        <w:rPr>
          <w:rFonts w:eastAsia="Calibri"/>
          <w:sz w:val="26"/>
          <w:szCs w:val="26"/>
          <w:lang w:eastAsia="en-US"/>
        </w:rPr>
        <w:t xml:space="preserve"> </w:t>
      </w:r>
      <w:r w:rsidRPr="00464661">
        <w:rPr>
          <w:rFonts w:eastAsia="Calibri"/>
          <w:sz w:val="26"/>
          <w:szCs w:val="26"/>
          <w:lang w:eastAsia="en-US"/>
        </w:rPr>
        <w:t>para incrementar el gasto que pueda estimular el crecimiento y, si las vulnerabilidades</w:t>
      </w:r>
      <w:r>
        <w:rPr>
          <w:rFonts w:eastAsia="Calibri"/>
          <w:sz w:val="26"/>
          <w:szCs w:val="26"/>
          <w:lang w:eastAsia="en-US"/>
        </w:rPr>
        <w:t xml:space="preserve"> </w:t>
      </w:r>
      <w:r w:rsidRPr="00464661">
        <w:rPr>
          <w:rFonts w:eastAsia="Calibri"/>
          <w:sz w:val="26"/>
          <w:szCs w:val="26"/>
          <w:lang w:eastAsia="en-US"/>
        </w:rPr>
        <w:t>macroeconómicas son altas, para recomponer las defensas fiscales.</w:t>
      </w:r>
    </w:p>
    <w:p w14:paraId="23387AE1" w14:textId="3F062D48" w:rsidR="00464661" w:rsidRPr="00464661" w:rsidRDefault="00464661" w:rsidP="00464661">
      <w:pPr>
        <w:spacing w:after="360" w:line="360" w:lineRule="auto"/>
        <w:ind w:right="-159"/>
        <w:jc w:val="both"/>
        <w:rPr>
          <w:rFonts w:eastAsia="Calibri"/>
          <w:sz w:val="26"/>
          <w:szCs w:val="26"/>
          <w:lang w:eastAsia="en-US"/>
        </w:rPr>
      </w:pPr>
      <w:r w:rsidRPr="00346DC0">
        <w:rPr>
          <w:rFonts w:eastAsia="Calibri"/>
          <w:b/>
          <w:sz w:val="26"/>
          <w:szCs w:val="26"/>
          <w:lang w:eastAsia="en-US"/>
        </w:rPr>
        <w:t>Aprovechar la oportunidad que presenta la caída de los precios del petróleo</w:t>
      </w:r>
      <w:r w:rsidRPr="00464661">
        <w:rPr>
          <w:rFonts w:eastAsia="Calibri"/>
          <w:sz w:val="26"/>
          <w:szCs w:val="26"/>
          <w:lang w:eastAsia="en-US"/>
        </w:rPr>
        <w:t>. La reforma</w:t>
      </w:r>
      <w:r>
        <w:rPr>
          <w:rFonts w:eastAsia="Calibri"/>
          <w:sz w:val="26"/>
          <w:szCs w:val="26"/>
          <w:lang w:eastAsia="en-US"/>
        </w:rPr>
        <w:t xml:space="preserve"> </w:t>
      </w:r>
      <w:r w:rsidRPr="00464661">
        <w:rPr>
          <w:rFonts w:eastAsia="Calibri"/>
          <w:sz w:val="26"/>
          <w:szCs w:val="26"/>
          <w:lang w:eastAsia="en-US"/>
        </w:rPr>
        <w:t>de los impuestos a la energía puede ayudar a reducir las externalidades negativas derivadas</w:t>
      </w:r>
      <w:r>
        <w:rPr>
          <w:rFonts w:eastAsia="Calibri"/>
          <w:sz w:val="26"/>
          <w:szCs w:val="26"/>
          <w:lang w:eastAsia="en-US"/>
        </w:rPr>
        <w:t xml:space="preserve"> </w:t>
      </w:r>
      <w:r w:rsidRPr="00464661">
        <w:rPr>
          <w:rFonts w:eastAsia="Calibri"/>
          <w:sz w:val="26"/>
          <w:szCs w:val="26"/>
          <w:lang w:eastAsia="en-US"/>
        </w:rPr>
        <w:t>del consumo de energía y proporcionar un margen de maniobra para reequilibrar la presión</w:t>
      </w:r>
      <w:r>
        <w:rPr>
          <w:rFonts w:eastAsia="Calibri"/>
          <w:sz w:val="26"/>
          <w:szCs w:val="26"/>
          <w:lang w:eastAsia="en-US"/>
        </w:rPr>
        <w:t xml:space="preserve"> </w:t>
      </w:r>
      <w:r w:rsidRPr="00464661">
        <w:rPr>
          <w:rFonts w:eastAsia="Calibri"/>
          <w:sz w:val="26"/>
          <w:szCs w:val="26"/>
          <w:lang w:eastAsia="en-US"/>
        </w:rPr>
        <w:t xml:space="preserve">fiscal, por ejemplo, reduciendo los impuestos al trabajo para </w:t>
      </w:r>
      <w:r w:rsidRPr="00464661">
        <w:rPr>
          <w:rFonts w:eastAsia="Calibri"/>
          <w:sz w:val="26"/>
          <w:szCs w:val="26"/>
          <w:lang w:eastAsia="en-US"/>
        </w:rPr>
        <w:lastRenderedPageBreak/>
        <w:t>promover el empleo. En las</w:t>
      </w:r>
      <w:r>
        <w:rPr>
          <w:rFonts w:eastAsia="Calibri"/>
          <w:sz w:val="26"/>
          <w:szCs w:val="26"/>
          <w:lang w:eastAsia="en-US"/>
        </w:rPr>
        <w:t xml:space="preserve"> </w:t>
      </w:r>
      <w:r w:rsidRPr="00464661">
        <w:rPr>
          <w:rFonts w:eastAsia="Calibri"/>
          <w:sz w:val="26"/>
          <w:szCs w:val="26"/>
          <w:lang w:eastAsia="en-US"/>
        </w:rPr>
        <w:t>economías en desarrollo, una reforma más profunda de los subsidios a la energía podría crear</w:t>
      </w:r>
      <w:r>
        <w:rPr>
          <w:rFonts w:eastAsia="Calibri"/>
          <w:sz w:val="26"/>
          <w:szCs w:val="26"/>
          <w:lang w:eastAsia="en-US"/>
        </w:rPr>
        <w:t xml:space="preserve"> </w:t>
      </w:r>
      <w:r w:rsidRPr="00464661">
        <w:rPr>
          <w:rFonts w:eastAsia="Calibri"/>
          <w:sz w:val="26"/>
          <w:szCs w:val="26"/>
          <w:lang w:eastAsia="en-US"/>
        </w:rPr>
        <w:t>margen para la ejecución de gasto productivo en educación, salud e infraestructura, así como</w:t>
      </w:r>
      <w:r>
        <w:rPr>
          <w:rFonts w:eastAsia="Calibri"/>
          <w:sz w:val="26"/>
          <w:szCs w:val="26"/>
          <w:lang w:eastAsia="en-US"/>
        </w:rPr>
        <w:t xml:space="preserve"> </w:t>
      </w:r>
      <w:r w:rsidRPr="00464661">
        <w:rPr>
          <w:rFonts w:eastAsia="Calibri"/>
          <w:sz w:val="26"/>
          <w:szCs w:val="26"/>
          <w:lang w:eastAsia="en-US"/>
        </w:rPr>
        <w:t>para programas que beneficien a los pobres.</w:t>
      </w:r>
    </w:p>
    <w:p w14:paraId="1150B17C" w14:textId="250449C9" w:rsidR="00464661" w:rsidRPr="00464661" w:rsidRDefault="00464661" w:rsidP="00464661">
      <w:pPr>
        <w:spacing w:after="360" w:line="360" w:lineRule="auto"/>
        <w:ind w:right="-159"/>
        <w:jc w:val="both"/>
        <w:rPr>
          <w:rFonts w:eastAsia="Calibri"/>
          <w:sz w:val="26"/>
          <w:szCs w:val="26"/>
          <w:lang w:eastAsia="en-US"/>
        </w:rPr>
      </w:pPr>
      <w:r w:rsidRPr="00346DC0">
        <w:rPr>
          <w:rFonts w:eastAsia="Calibri"/>
          <w:b/>
          <w:sz w:val="26"/>
          <w:szCs w:val="26"/>
          <w:lang w:eastAsia="en-US"/>
        </w:rPr>
        <w:t>Afianzar los marcos institucionales para gestionar la política fiscal</w:t>
      </w:r>
      <w:r w:rsidRPr="00464661">
        <w:rPr>
          <w:rFonts w:eastAsia="Calibri"/>
          <w:sz w:val="26"/>
          <w:szCs w:val="26"/>
          <w:lang w:eastAsia="en-US"/>
        </w:rPr>
        <w:t>. Los marcos fiscales</w:t>
      </w:r>
      <w:r>
        <w:rPr>
          <w:rFonts w:eastAsia="Calibri"/>
          <w:sz w:val="26"/>
          <w:szCs w:val="26"/>
          <w:lang w:eastAsia="en-US"/>
        </w:rPr>
        <w:t xml:space="preserve"> </w:t>
      </w:r>
      <w:r w:rsidRPr="00464661">
        <w:rPr>
          <w:rFonts w:eastAsia="Calibri"/>
          <w:sz w:val="26"/>
          <w:szCs w:val="26"/>
          <w:lang w:eastAsia="en-US"/>
        </w:rPr>
        <w:t>anclan la política fiscal y la guían hacia sus objetivos a mediano plazo. Estos marcos ayudan</w:t>
      </w:r>
      <w:r>
        <w:rPr>
          <w:rFonts w:eastAsia="Calibri"/>
          <w:sz w:val="26"/>
          <w:szCs w:val="26"/>
          <w:lang w:eastAsia="en-US"/>
        </w:rPr>
        <w:t xml:space="preserve"> </w:t>
      </w:r>
      <w:r w:rsidRPr="00464661">
        <w:rPr>
          <w:rFonts w:eastAsia="Calibri"/>
          <w:sz w:val="26"/>
          <w:szCs w:val="26"/>
          <w:lang w:eastAsia="en-US"/>
        </w:rPr>
        <w:t>a potenciar el efecto de los estabilizadores automáticos a lo largo del ciclo económico y por</w:t>
      </w:r>
      <w:r>
        <w:rPr>
          <w:rFonts w:eastAsia="Calibri"/>
          <w:sz w:val="26"/>
          <w:szCs w:val="26"/>
          <w:lang w:eastAsia="en-US"/>
        </w:rPr>
        <w:t xml:space="preserve"> </w:t>
      </w:r>
      <w:r w:rsidRPr="00464661">
        <w:rPr>
          <w:rFonts w:eastAsia="Calibri"/>
          <w:sz w:val="26"/>
          <w:szCs w:val="26"/>
          <w:lang w:eastAsia="en-US"/>
        </w:rPr>
        <w:t>ende reducen la volatilidad del producto y elevan el crecimiento a mediano plazo. Los</w:t>
      </w:r>
      <w:r>
        <w:rPr>
          <w:rFonts w:eastAsia="Calibri"/>
          <w:sz w:val="26"/>
          <w:szCs w:val="26"/>
          <w:lang w:eastAsia="en-US"/>
        </w:rPr>
        <w:t xml:space="preserve"> </w:t>
      </w:r>
      <w:r w:rsidRPr="00464661">
        <w:rPr>
          <w:rFonts w:eastAsia="Calibri"/>
          <w:sz w:val="26"/>
          <w:szCs w:val="26"/>
          <w:lang w:eastAsia="en-US"/>
        </w:rPr>
        <w:t>marcos fiscales con bases sólidas son especialmente necesarios en los países con altos niveles</w:t>
      </w:r>
      <w:r>
        <w:rPr>
          <w:rFonts w:eastAsia="Calibri"/>
          <w:sz w:val="26"/>
          <w:szCs w:val="26"/>
          <w:lang w:eastAsia="en-US"/>
        </w:rPr>
        <w:t xml:space="preserve"> </w:t>
      </w:r>
      <w:r w:rsidRPr="00464661">
        <w:rPr>
          <w:rFonts w:eastAsia="Calibri"/>
          <w:sz w:val="26"/>
          <w:szCs w:val="26"/>
          <w:lang w:eastAsia="en-US"/>
        </w:rPr>
        <w:t>de endeudamiento público y que están próximos a experimentar un aumento de la carga del</w:t>
      </w:r>
      <w:r>
        <w:rPr>
          <w:rFonts w:eastAsia="Calibri"/>
          <w:sz w:val="26"/>
          <w:szCs w:val="26"/>
          <w:lang w:eastAsia="en-US"/>
        </w:rPr>
        <w:t xml:space="preserve"> </w:t>
      </w:r>
      <w:r w:rsidRPr="00464661">
        <w:rPr>
          <w:rFonts w:eastAsia="Calibri"/>
          <w:sz w:val="26"/>
          <w:szCs w:val="26"/>
          <w:lang w:eastAsia="en-US"/>
        </w:rPr>
        <w:t>gasto relacionado con el envejecimiento.</w:t>
      </w:r>
    </w:p>
    <w:p w14:paraId="5FB5979E" w14:textId="77777777" w:rsidR="00464661" w:rsidRPr="00464661" w:rsidRDefault="00464661" w:rsidP="00464661">
      <w:pPr>
        <w:spacing w:after="360" w:line="360" w:lineRule="auto"/>
        <w:ind w:right="-159"/>
        <w:jc w:val="both"/>
        <w:rPr>
          <w:rFonts w:eastAsia="Calibri"/>
          <w:b/>
          <w:sz w:val="26"/>
          <w:szCs w:val="26"/>
          <w:lang w:eastAsia="en-US"/>
        </w:rPr>
      </w:pPr>
      <w:r w:rsidRPr="00464661">
        <w:rPr>
          <w:rFonts w:eastAsia="Calibri"/>
          <w:b/>
          <w:sz w:val="26"/>
          <w:szCs w:val="26"/>
          <w:lang w:eastAsia="en-US"/>
        </w:rPr>
        <w:t>¿Puede la política fiscal estabilizar el producto?</w:t>
      </w:r>
    </w:p>
    <w:p w14:paraId="5F08FE47" w14:textId="2B58F649"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En un entorno de crecimiento flojo y persistentes riesgos a la baja, una de las prioridades de</w:t>
      </w:r>
      <w:r>
        <w:rPr>
          <w:rFonts w:eastAsia="Calibri"/>
          <w:sz w:val="26"/>
          <w:szCs w:val="26"/>
          <w:lang w:eastAsia="en-US"/>
        </w:rPr>
        <w:t xml:space="preserve"> </w:t>
      </w:r>
      <w:r w:rsidRPr="00464661">
        <w:rPr>
          <w:rFonts w:eastAsia="Calibri"/>
          <w:sz w:val="26"/>
          <w:szCs w:val="26"/>
          <w:lang w:eastAsia="en-US"/>
        </w:rPr>
        <w:t>la agenda de política económica es encontrar maneras de incrementar la capacidad de la</w:t>
      </w:r>
      <w:r>
        <w:rPr>
          <w:rFonts w:eastAsia="Calibri"/>
          <w:sz w:val="26"/>
          <w:szCs w:val="26"/>
          <w:lang w:eastAsia="en-US"/>
        </w:rPr>
        <w:t xml:space="preserve"> </w:t>
      </w:r>
      <w:r w:rsidRPr="00464661">
        <w:rPr>
          <w:rFonts w:eastAsia="Calibri"/>
          <w:sz w:val="26"/>
          <w:szCs w:val="26"/>
          <w:lang w:eastAsia="en-US"/>
        </w:rPr>
        <w:t>política fiscal para amortiguar el efecto de los shocks en la actividad económica. Como lo</w:t>
      </w:r>
      <w:r>
        <w:rPr>
          <w:rFonts w:eastAsia="Calibri"/>
          <w:sz w:val="26"/>
          <w:szCs w:val="26"/>
          <w:lang w:eastAsia="en-US"/>
        </w:rPr>
        <w:t xml:space="preserve"> </w:t>
      </w:r>
      <w:r w:rsidRPr="00464661">
        <w:rPr>
          <w:rFonts w:eastAsia="Calibri"/>
          <w:sz w:val="26"/>
          <w:szCs w:val="26"/>
          <w:lang w:eastAsia="en-US"/>
        </w:rPr>
        <w:t>demuestran claramente los datos recopilados en este Monitor Fiscal, la política fiscal ha sido</w:t>
      </w:r>
      <w:r>
        <w:rPr>
          <w:rFonts w:eastAsia="Calibri"/>
          <w:sz w:val="26"/>
          <w:szCs w:val="26"/>
          <w:lang w:eastAsia="en-US"/>
        </w:rPr>
        <w:t xml:space="preserve"> </w:t>
      </w:r>
      <w:r w:rsidRPr="00464661">
        <w:rPr>
          <w:rFonts w:eastAsia="Calibri"/>
          <w:sz w:val="26"/>
          <w:szCs w:val="26"/>
          <w:lang w:eastAsia="en-US"/>
        </w:rPr>
        <w:t>empleada a menudo para este fin a lo largo de los últimos 30 años. Desde mediados de los</w:t>
      </w:r>
      <w:r>
        <w:rPr>
          <w:rFonts w:eastAsia="Calibri"/>
          <w:sz w:val="26"/>
          <w:szCs w:val="26"/>
          <w:lang w:eastAsia="en-US"/>
        </w:rPr>
        <w:t xml:space="preserve"> </w:t>
      </w:r>
      <w:r w:rsidRPr="00464661">
        <w:rPr>
          <w:rFonts w:eastAsia="Calibri"/>
          <w:sz w:val="26"/>
          <w:szCs w:val="26"/>
          <w:lang w:eastAsia="en-US"/>
        </w:rPr>
        <w:t>años noventa, algunas economías avanzadas también han recurrido con más frecuencia a la</w:t>
      </w:r>
      <w:r>
        <w:rPr>
          <w:rFonts w:eastAsia="Calibri"/>
          <w:sz w:val="26"/>
          <w:szCs w:val="26"/>
          <w:lang w:eastAsia="en-US"/>
        </w:rPr>
        <w:t xml:space="preserve"> </w:t>
      </w:r>
      <w:r w:rsidRPr="00464661">
        <w:rPr>
          <w:rFonts w:eastAsia="Calibri"/>
          <w:sz w:val="26"/>
          <w:szCs w:val="26"/>
          <w:lang w:eastAsia="en-US"/>
        </w:rPr>
        <w:t>política fiscal para ayudar a estabilizar las condiciones económicas. No obstante, muchas</w:t>
      </w:r>
      <w:r>
        <w:rPr>
          <w:rFonts w:eastAsia="Calibri"/>
          <w:sz w:val="26"/>
          <w:szCs w:val="26"/>
          <w:lang w:eastAsia="en-US"/>
        </w:rPr>
        <w:t xml:space="preserve"> </w:t>
      </w:r>
      <w:r w:rsidRPr="00464661">
        <w:rPr>
          <w:rFonts w:eastAsia="Calibri"/>
          <w:sz w:val="26"/>
          <w:szCs w:val="26"/>
          <w:lang w:eastAsia="en-US"/>
        </w:rPr>
        <w:t>economías de mercados emergentes y en desarrollo parecen menos propensas a usar esta</w:t>
      </w:r>
      <w:r>
        <w:rPr>
          <w:rFonts w:eastAsia="Calibri"/>
          <w:sz w:val="26"/>
          <w:szCs w:val="26"/>
          <w:lang w:eastAsia="en-US"/>
        </w:rPr>
        <w:t xml:space="preserve"> </w:t>
      </w:r>
      <w:r w:rsidRPr="00464661">
        <w:rPr>
          <w:rFonts w:eastAsia="Calibri"/>
          <w:sz w:val="26"/>
          <w:szCs w:val="26"/>
          <w:lang w:eastAsia="en-US"/>
        </w:rPr>
        <w:t>estrategia, dadas la menor solidez de sus instrumentos fiscales y la preponderancia de</w:t>
      </w:r>
      <w:r>
        <w:rPr>
          <w:rFonts w:eastAsia="Calibri"/>
          <w:sz w:val="26"/>
          <w:szCs w:val="26"/>
          <w:lang w:eastAsia="en-US"/>
        </w:rPr>
        <w:t xml:space="preserve"> </w:t>
      </w:r>
      <w:r w:rsidRPr="00464661">
        <w:rPr>
          <w:rFonts w:eastAsia="Calibri"/>
          <w:sz w:val="26"/>
          <w:szCs w:val="26"/>
          <w:lang w:eastAsia="en-US"/>
        </w:rPr>
        <w:t>objetivos de política distintos de la estabilidad del producto, como la formación de</w:t>
      </w:r>
      <w:r>
        <w:rPr>
          <w:rFonts w:eastAsia="Calibri"/>
          <w:sz w:val="26"/>
          <w:szCs w:val="26"/>
          <w:lang w:eastAsia="en-US"/>
        </w:rPr>
        <w:t xml:space="preserve"> </w:t>
      </w:r>
      <w:r w:rsidRPr="00464661">
        <w:rPr>
          <w:rFonts w:eastAsia="Calibri"/>
          <w:sz w:val="26"/>
          <w:szCs w:val="26"/>
          <w:lang w:eastAsia="en-US"/>
        </w:rPr>
        <w:t>infraestructura económica y social orientada al desarrollo económico, y la atención de</w:t>
      </w:r>
      <w:r>
        <w:rPr>
          <w:rFonts w:eastAsia="Calibri"/>
          <w:sz w:val="26"/>
          <w:szCs w:val="26"/>
          <w:lang w:eastAsia="en-US"/>
        </w:rPr>
        <w:t xml:space="preserve"> </w:t>
      </w:r>
      <w:r w:rsidRPr="00464661">
        <w:rPr>
          <w:rFonts w:eastAsia="Calibri"/>
          <w:sz w:val="26"/>
          <w:szCs w:val="26"/>
          <w:lang w:eastAsia="en-US"/>
        </w:rPr>
        <w:t>necesidades sociales.</w:t>
      </w:r>
    </w:p>
    <w:p w14:paraId="53CEA3E0" w14:textId="188DDFDD"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La política fiscal puede procurar estabilizar el producto de dos maneras. Una es a través de</w:t>
      </w:r>
      <w:r>
        <w:rPr>
          <w:rFonts w:eastAsia="Calibri"/>
          <w:sz w:val="26"/>
          <w:szCs w:val="26"/>
          <w:lang w:eastAsia="en-US"/>
        </w:rPr>
        <w:t xml:space="preserve"> </w:t>
      </w:r>
      <w:r w:rsidRPr="00464661">
        <w:rPr>
          <w:rFonts w:eastAsia="Calibri"/>
          <w:sz w:val="26"/>
          <w:szCs w:val="26"/>
          <w:lang w:eastAsia="en-US"/>
        </w:rPr>
        <w:t>los denominados estabilizadores automáticos (recaudación de impuestos que fluctúa junto</w:t>
      </w:r>
      <w:r>
        <w:rPr>
          <w:rFonts w:eastAsia="Calibri"/>
          <w:sz w:val="26"/>
          <w:szCs w:val="26"/>
          <w:lang w:eastAsia="en-US"/>
        </w:rPr>
        <w:t xml:space="preserve"> </w:t>
      </w:r>
      <w:r w:rsidRPr="00464661">
        <w:rPr>
          <w:rFonts w:eastAsia="Calibri"/>
          <w:sz w:val="26"/>
          <w:szCs w:val="26"/>
          <w:lang w:eastAsia="en-US"/>
        </w:rPr>
        <w:t xml:space="preserve">con el ingreso y el gasto, y transferencias sociales, como prestaciones por </w:t>
      </w:r>
      <w:r w:rsidRPr="00464661">
        <w:rPr>
          <w:rFonts w:eastAsia="Calibri"/>
          <w:sz w:val="26"/>
          <w:szCs w:val="26"/>
          <w:lang w:eastAsia="en-US"/>
        </w:rPr>
        <w:lastRenderedPageBreak/>
        <w:t>desempleo, que</w:t>
      </w:r>
      <w:r>
        <w:rPr>
          <w:rFonts w:eastAsia="Calibri"/>
          <w:sz w:val="26"/>
          <w:szCs w:val="26"/>
          <w:lang w:eastAsia="en-US"/>
        </w:rPr>
        <w:t xml:space="preserve"> </w:t>
      </w:r>
      <w:r w:rsidRPr="00464661">
        <w:rPr>
          <w:rFonts w:eastAsia="Calibri"/>
          <w:sz w:val="26"/>
          <w:szCs w:val="26"/>
          <w:lang w:eastAsia="en-US"/>
        </w:rPr>
        <w:t>estimulan automáticamente la demanda agregada durante las desaceleraciones y la moderan</w:t>
      </w:r>
      <w:r>
        <w:rPr>
          <w:rFonts w:eastAsia="Calibri"/>
          <w:sz w:val="26"/>
          <w:szCs w:val="26"/>
          <w:lang w:eastAsia="en-US"/>
        </w:rPr>
        <w:t xml:space="preserve"> </w:t>
      </w:r>
      <w:r w:rsidRPr="00464661">
        <w:rPr>
          <w:rFonts w:eastAsia="Calibri"/>
          <w:sz w:val="26"/>
          <w:szCs w:val="26"/>
          <w:lang w:eastAsia="en-US"/>
        </w:rPr>
        <w:t>durante las fases ascendentes del ciclo). Otra manera es a través de medidas deliberadas de</w:t>
      </w:r>
      <w:r>
        <w:rPr>
          <w:rFonts w:eastAsia="Calibri"/>
          <w:sz w:val="26"/>
          <w:szCs w:val="26"/>
          <w:lang w:eastAsia="en-US"/>
        </w:rPr>
        <w:t xml:space="preserve"> </w:t>
      </w:r>
      <w:r w:rsidRPr="00464661">
        <w:rPr>
          <w:rFonts w:eastAsia="Calibri"/>
          <w:sz w:val="26"/>
          <w:szCs w:val="26"/>
          <w:lang w:eastAsia="en-US"/>
        </w:rPr>
        <w:t>política fiscal adoptadas en respuesta a shocks específicos. Los estabilizadores automáticos</w:t>
      </w:r>
      <w:r>
        <w:rPr>
          <w:rFonts w:eastAsia="Calibri"/>
          <w:sz w:val="26"/>
          <w:szCs w:val="26"/>
          <w:lang w:eastAsia="en-US"/>
        </w:rPr>
        <w:t xml:space="preserve"> </w:t>
      </w:r>
      <w:r w:rsidRPr="00464661">
        <w:rPr>
          <w:rFonts w:eastAsia="Calibri"/>
          <w:sz w:val="26"/>
          <w:szCs w:val="26"/>
          <w:lang w:eastAsia="en-US"/>
        </w:rPr>
        <w:t>son oportunos, pero a menudo tienen efectos secundarios perjudiciales para la eficiencia</w:t>
      </w:r>
      <w:r>
        <w:rPr>
          <w:rFonts w:eastAsia="Calibri"/>
          <w:sz w:val="26"/>
          <w:szCs w:val="26"/>
          <w:lang w:eastAsia="en-US"/>
        </w:rPr>
        <w:t xml:space="preserve"> </w:t>
      </w:r>
      <w:r w:rsidRPr="00464661">
        <w:rPr>
          <w:rFonts w:eastAsia="Calibri"/>
          <w:sz w:val="26"/>
          <w:szCs w:val="26"/>
          <w:lang w:eastAsia="en-US"/>
        </w:rPr>
        <w:t>(tales como tasas impositivas marginales elevadas o transferencias demasiado generosas que</w:t>
      </w:r>
      <w:r>
        <w:rPr>
          <w:rFonts w:eastAsia="Calibri"/>
          <w:sz w:val="26"/>
          <w:szCs w:val="26"/>
          <w:lang w:eastAsia="en-US"/>
        </w:rPr>
        <w:t xml:space="preserve"> </w:t>
      </w:r>
      <w:r w:rsidRPr="00464661">
        <w:rPr>
          <w:rFonts w:eastAsia="Calibri"/>
          <w:sz w:val="26"/>
          <w:szCs w:val="26"/>
          <w:lang w:eastAsia="en-US"/>
        </w:rPr>
        <w:t>socavan los incentivos para encontrar trabajo o crear empleo).</w:t>
      </w:r>
      <w:r>
        <w:rPr>
          <w:rFonts w:eastAsia="Calibri"/>
          <w:sz w:val="26"/>
          <w:szCs w:val="26"/>
          <w:lang w:eastAsia="en-US"/>
        </w:rPr>
        <w:t xml:space="preserve"> </w:t>
      </w:r>
    </w:p>
    <w:p w14:paraId="114E4BDE" w14:textId="10337529"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Los estabilizadores automáticos han desempeñado una importante función en la</w:t>
      </w:r>
      <w:r>
        <w:rPr>
          <w:rFonts w:eastAsia="Calibri"/>
          <w:sz w:val="26"/>
          <w:szCs w:val="26"/>
          <w:lang w:eastAsia="en-US"/>
        </w:rPr>
        <w:t xml:space="preserve"> </w:t>
      </w:r>
      <w:r w:rsidRPr="00464661">
        <w:rPr>
          <w:rFonts w:eastAsia="Calibri"/>
          <w:sz w:val="26"/>
          <w:szCs w:val="26"/>
          <w:lang w:eastAsia="en-US"/>
        </w:rPr>
        <w:t>estabilización fiscal, y suelen representar más de la mitad de la respuesta estabilizadora de la</w:t>
      </w:r>
      <w:r>
        <w:rPr>
          <w:rFonts w:eastAsia="Calibri"/>
          <w:sz w:val="26"/>
          <w:szCs w:val="26"/>
          <w:lang w:eastAsia="en-US"/>
        </w:rPr>
        <w:t xml:space="preserve"> </w:t>
      </w:r>
      <w:r w:rsidRPr="00464661">
        <w:rPr>
          <w:rFonts w:eastAsia="Calibri"/>
          <w:sz w:val="26"/>
          <w:szCs w:val="26"/>
          <w:lang w:eastAsia="en-US"/>
        </w:rPr>
        <w:t>política fiscal en las economías avanzadas. No obstante, en general no se ha permitido que</w:t>
      </w:r>
      <w:r>
        <w:rPr>
          <w:rFonts w:eastAsia="Calibri"/>
          <w:sz w:val="26"/>
          <w:szCs w:val="26"/>
          <w:lang w:eastAsia="en-US"/>
        </w:rPr>
        <w:t xml:space="preserve"> </w:t>
      </w:r>
      <w:r w:rsidRPr="00464661">
        <w:rPr>
          <w:rFonts w:eastAsia="Calibri"/>
          <w:sz w:val="26"/>
          <w:szCs w:val="26"/>
          <w:lang w:eastAsia="en-US"/>
        </w:rPr>
        <w:t>funcionen cabalmente durante los períodos de prosperidad, ya que resulta tentador gastar una</w:t>
      </w:r>
      <w:r>
        <w:rPr>
          <w:rFonts w:eastAsia="Calibri"/>
          <w:sz w:val="26"/>
          <w:szCs w:val="26"/>
          <w:lang w:eastAsia="en-US"/>
        </w:rPr>
        <w:t xml:space="preserve"> </w:t>
      </w:r>
      <w:r w:rsidRPr="00464661">
        <w:rPr>
          <w:rFonts w:eastAsia="Calibri"/>
          <w:sz w:val="26"/>
          <w:szCs w:val="26"/>
          <w:lang w:eastAsia="en-US"/>
        </w:rPr>
        <w:t>porción de los ingresos extraordinarios. La consiguiente asimetría de la respuesta de las</w:t>
      </w:r>
      <w:r>
        <w:rPr>
          <w:rFonts w:eastAsia="Calibri"/>
          <w:sz w:val="26"/>
          <w:szCs w:val="26"/>
          <w:lang w:eastAsia="en-US"/>
        </w:rPr>
        <w:t xml:space="preserve"> </w:t>
      </w:r>
      <w:r w:rsidRPr="00464661">
        <w:rPr>
          <w:rFonts w:eastAsia="Calibri"/>
          <w:sz w:val="26"/>
          <w:szCs w:val="26"/>
          <w:lang w:eastAsia="en-US"/>
        </w:rPr>
        <w:t>políticas a los shocks del producto impide el restablecimiento de las defensas fiscales cuando</w:t>
      </w:r>
      <w:r>
        <w:rPr>
          <w:rFonts w:eastAsia="Calibri"/>
          <w:sz w:val="26"/>
          <w:szCs w:val="26"/>
          <w:lang w:eastAsia="en-US"/>
        </w:rPr>
        <w:t xml:space="preserve"> </w:t>
      </w:r>
      <w:r w:rsidRPr="00464661">
        <w:rPr>
          <w:rFonts w:eastAsia="Calibri"/>
          <w:sz w:val="26"/>
          <w:szCs w:val="26"/>
          <w:lang w:eastAsia="en-US"/>
        </w:rPr>
        <w:t>el crecimiento es fuerte y puede contribuir a una considerable acumulación de deuda pública</w:t>
      </w:r>
      <w:r>
        <w:rPr>
          <w:rFonts w:eastAsia="Calibri"/>
          <w:sz w:val="26"/>
          <w:szCs w:val="26"/>
          <w:lang w:eastAsia="en-US"/>
        </w:rPr>
        <w:t xml:space="preserve"> </w:t>
      </w:r>
      <w:r w:rsidRPr="00464661">
        <w:rPr>
          <w:rFonts w:eastAsia="Calibri"/>
          <w:sz w:val="26"/>
          <w:szCs w:val="26"/>
          <w:lang w:eastAsia="en-US"/>
        </w:rPr>
        <w:t>a lo largo del tiempo.</w:t>
      </w:r>
    </w:p>
    <w:p w14:paraId="0D726CF7" w14:textId="1370C37D"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t>Si el pasado da indicios sobre el futuro, una política fiscal que responda mejor a los shocks</w:t>
      </w:r>
      <w:r>
        <w:rPr>
          <w:rFonts w:eastAsia="Calibri"/>
          <w:sz w:val="26"/>
          <w:szCs w:val="26"/>
          <w:lang w:eastAsia="en-US"/>
        </w:rPr>
        <w:t xml:space="preserve"> </w:t>
      </w:r>
      <w:r w:rsidRPr="00464661">
        <w:rPr>
          <w:rFonts w:eastAsia="Calibri"/>
          <w:sz w:val="26"/>
          <w:szCs w:val="26"/>
          <w:lang w:eastAsia="en-US"/>
        </w:rPr>
        <w:t>del producto podría reducir sustancialmente la volatilidad macroeconómica. Las ventajas de</w:t>
      </w:r>
      <w:r>
        <w:rPr>
          <w:rFonts w:eastAsia="Calibri"/>
          <w:sz w:val="26"/>
          <w:szCs w:val="26"/>
          <w:lang w:eastAsia="en-US"/>
        </w:rPr>
        <w:t xml:space="preserve"> </w:t>
      </w:r>
      <w:r w:rsidRPr="00464661">
        <w:rPr>
          <w:rFonts w:eastAsia="Calibri"/>
          <w:sz w:val="26"/>
          <w:szCs w:val="26"/>
          <w:lang w:eastAsia="en-US"/>
        </w:rPr>
        <w:t>una mayor estabilización fiscal son especialmente importantes en las economías avanzadas,</w:t>
      </w:r>
      <w:r>
        <w:rPr>
          <w:rFonts w:eastAsia="Calibri"/>
          <w:sz w:val="26"/>
          <w:szCs w:val="26"/>
          <w:lang w:eastAsia="en-US"/>
        </w:rPr>
        <w:t xml:space="preserve"> </w:t>
      </w:r>
      <w:r w:rsidRPr="00464661">
        <w:rPr>
          <w:rFonts w:eastAsia="Calibri"/>
          <w:sz w:val="26"/>
          <w:szCs w:val="26"/>
          <w:lang w:eastAsia="en-US"/>
        </w:rPr>
        <w:t>donde podrían reducir la volatilidad del producto hasta un 20%. El menor grado de</w:t>
      </w:r>
      <w:r>
        <w:rPr>
          <w:rFonts w:eastAsia="Calibri"/>
          <w:sz w:val="26"/>
          <w:szCs w:val="26"/>
          <w:lang w:eastAsia="en-US"/>
        </w:rPr>
        <w:t xml:space="preserve"> </w:t>
      </w:r>
      <w:r w:rsidRPr="00464661">
        <w:rPr>
          <w:rFonts w:eastAsia="Calibri"/>
          <w:sz w:val="26"/>
          <w:szCs w:val="26"/>
          <w:lang w:eastAsia="en-US"/>
        </w:rPr>
        <w:t>volatilidad e incertidumbre podría a su vez fomentar el crecimiento a mediano plazo. Un</w:t>
      </w:r>
      <w:r>
        <w:rPr>
          <w:rFonts w:eastAsia="Calibri"/>
          <w:sz w:val="26"/>
          <w:szCs w:val="26"/>
          <w:lang w:eastAsia="en-US"/>
        </w:rPr>
        <w:t xml:space="preserve"> </w:t>
      </w:r>
      <w:r w:rsidRPr="00464661">
        <w:rPr>
          <w:rFonts w:eastAsia="Calibri"/>
          <w:sz w:val="26"/>
          <w:szCs w:val="26"/>
          <w:lang w:eastAsia="en-US"/>
        </w:rPr>
        <w:t>aumento promedio —equivalente a una desviación estándar en la muestra— de la capacidad</w:t>
      </w:r>
      <w:r>
        <w:rPr>
          <w:rFonts w:eastAsia="Calibri"/>
          <w:sz w:val="26"/>
          <w:szCs w:val="26"/>
          <w:lang w:eastAsia="en-US"/>
        </w:rPr>
        <w:t xml:space="preserve"> </w:t>
      </w:r>
      <w:r w:rsidRPr="00464661">
        <w:rPr>
          <w:rFonts w:eastAsia="Calibri"/>
          <w:sz w:val="26"/>
          <w:szCs w:val="26"/>
          <w:lang w:eastAsia="en-US"/>
        </w:rPr>
        <w:t>de respuesta de la política fiscal ante el producto podría estimular el crecimiento anual</w:t>
      </w:r>
      <w:r>
        <w:rPr>
          <w:rFonts w:eastAsia="Calibri"/>
          <w:sz w:val="26"/>
          <w:szCs w:val="26"/>
          <w:lang w:eastAsia="en-US"/>
        </w:rPr>
        <w:t xml:space="preserve"> </w:t>
      </w:r>
      <w:r w:rsidRPr="00464661">
        <w:rPr>
          <w:rFonts w:eastAsia="Calibri"/>
          <w:sz w:val="26"/>
          <w:szCs w:val="26"/>
          <w:lang w:eastAsia="en-US"/>
        </w:rPr>
        <w:t>alrededor de 0</w:t>
      </w:r>
      <w:r w:rsidR="0056360F">
        <w:rPr>
          <w:rFonts w:eastAsia="Calibri"/>
          <w:sz w:val="26"/>
          <w:szCs w:val="26"/>
          <w:lang w:eastAsia="en-US"/>
        </w:rPr>
        <w:t>.</w:t>
      </w:r>
      <w:r w:rsidRPr="00464661">
        <w:rPr>
          <w:rFonts w:eastAsia="Calibri"/>
          <w:sz w:val="26"/>
          <w:szCs w:val="26"/>
          <w:lang w:eastAsia="en-US"/>
        </w:rPr>
        <w:t>3 puntos porcentuales en las economías avanzadas. Los aumentos parecen ser</w:t>
      </w:r>
      <w:r>
        <w:rPr>
          <w:rFonts w:eastAsia="Calibri"/>
          <w:sz w:val="26"/>
          <w:szCs w:val="26"/>
          <w:lang w:eastAsia="en-US"/>
        </w:rPr>
        <w:t xml:space="preserve"> </w:t>
      </w:r>
      <w:r w:rsidRPr="00464661">
        <w:rPr>
          <w:rFonts w:eastAsia="Calibri"/>
          <w:sz w:val="26"/>
          <w:szCs w:val="26"/>
          <w:lang w:eastAsia="en-US"/>
        </w:rPr>
        <w:t>mucho más pequeños en las economías de mercados emergentes y en desarrollo, donde la</w:t>
      </w:r>
      <w:r>
        <w:rPr>
          <w:rFonts w:eastAsia="Calibri"/>
          <w:sz w:val="26"/>
          <w:szCs w:val="26"/>
          <w:lang w:eastAsia="en-US"/>
        </w:rPr>
        <w:t xml:space="preserve"> </w:t>
      </w:r>
      <w:r w:rsidRPr="00464661">
        <w:rPr>
          <w:rFonts w:eastAsia="Calibri"/>
          <w:sz w:val="26"/>
          <w:szCs w:val="26"/>
          <w:lang w:eastAsia="en-US"/>
        </w:rPr>
        <w:t>estabilización fiscal es menos eficaz y está subordinada a prioridades de desarrollo.</w:t>
      </w:r>
    </w:p>
    <w:p w14:paraId="1D4C3EF1" w14:textId="36ECCB4B" w:rsidR="00464661" w:rsidRPr="00464661" w:rsidRDefault="00464661" w:rsidP="00464661">
      <w:pPr>
        <w:spacing w:after="360" w:line="360" w:lineRule="auto"/>
        <w:ind w:right="-159"/>
        <w:jc w:val="both"/>
        <w:rPr>
          <w:rFonts w:eastAsia="Calibri"/>
          <w:sz w:val="26"/>
          <w:szCs w:val="26"/>
          <w:lang w:eastAsia="en-US"/>
        </w:rPr>
      </w:pPr>
      <w:r w:rsidRPr="00464661">
        <w:rPr>
          <w:rFonts w:eastAsia="Calibri"/>
          <w:sz w:val="26"/>
          <w:szCs w:val="26"/>
          <w:lang w:eastAsia="en-US"/>
        </w:rPr>
        <w:lastRenderedPageBreak/>
        <w:t>En resumen, la estabilidad y el crecimiento podrían beneficiarse si se evitaran medidas</w:t>
      </w:r>
      <w:r>
        <w:rPr>
          <w:rFonts w:eastAsia="Calibri"/>
          <w:sz w:val="26"/>
          <w:szCs w:val="26"/>
          <w:lang w:eastAsia="en-US"/>
        </w:rPr>
        <w:t xml:space="preserve"> </w:t>
      </w:r>
      <w:r w:rsidRPr="00464661">
        <w:rPr>
          <w:rFonts w:eastAsia="Calibri"/>
          <w:sz w:val="26"/>
          <w:szCs w:val="26"/>
          <w:lang w:eastAsia="en-US"/>
        </w:rPr>
        <w:t>fiscales procíclicas. Las reglas fiscales y los marcos a mediano plazo bien concebidos pueden</w:t>
      </w:r>
      <w:r>
        <w:rPr>
          <w:rFonts w:eastAsia="Calibri"/>
          <w:sz w:val="26"/>
          <w:szCs w:val="26"/>
          <w:lang w:eastAsia="en-US"/>
        </w:rPr>
        <w:t xml:space="preserve"> </w:t>
      </w:r>
      <w:r w:rsidRPr="00464661">
        <w:rPr>
          <w:rFonts w:eastAsia="Calibri"/>
          <w:sz w:val="26"/>
          <w:szCs w:val="26"/>
          <w:lang w:eastAsia="en-US"/>
        </w:rPr>
        <w:t>permitir que los estabilizadores automáticos funcionen tanto en las buenas épocas como en</w:t>
      </w:r>
      <w:r>
        <w:rPr>
          <w:rFonts w:eastAsia="Calibri"/>
          <w:sz w:val="26"/>
          <w:szCs w:val="26"/>
          <w:lang w:eastAsia="en-US"/>
        </w:rPr>
        <w:t xml:space="preserve"> </w:t>
      </w:r>
      <w:r w:rsidRPr="00464661">
        <w:rPr>
          <w:rFonts w:eastAsia="Calibri"/>
          <w:sz w:val="26"/>
          <w:szCs w:val="26"/>
          <w:lang w:eastAsia="en-US"/>
        </w:rPr>
        <w:t>las malas. Los países interesados en reforzar sus estabilizadores automáticos deberían adoptar</w:t>
      </w:r>
      <w:r>
        <w:rPr>
          <w:rFonts w:eastAsia="Calibri"/>
          <w:sz w:val="26"/>
          <w:szCs w:val="26"/>
          <w:lang w:eastAsia="en-US"/>
        </w:rPr>
        <w:t xml:space="preserve"> </w:t>
      </w:r>
      <w:r w:rsidRPr="00464661">
        <w:rPr>
          <w:rFonts w:eastAsia="Calibri"/>
          <w:sz w:val="26"/>
          <w:szCs w:val="26"/>
          <w:lang w:eastAsia="en-US"/>
        </w:rPr>
        <w:t>medidas que no impliquen costos fuertes en materia de eficiencia (por ejemplo, hacer menos</w:t>
      </w:r>
      <w:r>
        <w:rPr>
          <w:rFonts w:eastAsia="Calibri"/>
          <w:sz w:val="26"/>
          <w:szCs w:val="26"/>
          <w:lang w:eastAsia="en-US"/>
        </w:rPr>
        <w:t xml:space="preserve"> </w:t>
      </w:r>
      <w:r w:rsidRPr="00464661">
        <w:rPr>
          <w:rFonts w:eastAsia="Calibri"/>
          <w:sz w:val="26"/>
          <w:szCs w:val="26"/>
          <w:lang w:eastAsia="en-US"/>
        </w:rPr>
        <w:t>procíclicas las exenciones tributarias como el crédito impositivo a la inversión o el descuento</w:t>
      </w:r>
      <w:r>
        <w:rPr>
          <w:rFonts w:eastAsia="Calibri"/>
          <w:sz w:val="26"/>
          <w:szCs w:val="26"/>
          <w:lang w:eastAsia="en-US"/>
        </w:rPr>
        <w:t xml:space="preserve"> </w:t>
      </w:r>
      <w:r w:rsidRPr="00464661">
        <w:rPr>
          <w:rFonts w:eastAsia="Calibri"/>
          <w:sz w:val="26"/>
          <w:szCs w:val="26"/>
          <w:lang w:eastAsia="en-US"/>
        </w:rPr>
        <w:t>de los intereses hipotecarios). Los rezagos debidos al proceso de toma de decisiones y la</w:t>
      </w:r>
      <w:r>
        <w:rPr>
          <w:rFonts w:eastAsia="Calibri"/>
          <w:sz w:val="26"/>
          <w:szCs w:val="26"/>
          <w:lang w:eastAsia="en-US"/>
        </w:rPr>
        <w:t xml:space="preserve"> </w:t>
      </w:r>
      <w:r w:rsidRPr="00464661">
        <w:rPr>
          <w:rFonts w:eastAsia="Calibri"/>
          <w:sz w:val="26"/>
          <w:szCs w:val="26"/>
          <w:lang w:eastAsia="en-US"/>
        </w:rPr>
        <w:t>implementación y que son característicos de la estabilización discrecional podrían reducirse,</w:t>
      </w:r>
      <w:r>
        <w:rPr>
          <w:rFonts w:eastAsia="Calibri"/>
          <w:sz w:val="26"/>
          <w:szCs w:val="26"/>
          <w:lang w:eastAsia="en-US"/>
        </w:rPr>
        <w:t xml:space="preserve"> </w:t>
      </w:r>
      <w:r w:rsidRPr="00464661">
        <w:rPr>
          <w:rFonts w:eastAsia="Calibri"/>
          <w:sz w:val="26"/>
          <w:szCs w:val="26"/>
          <w:lang w:eastAsia="en-US"/>
        </w:rPr>
        <w:t>por ejemplo, identificando sin demora gastos de capital y mantenimiento que sean fáciles de</w:t>
      </w:r>
      <w:r>
        <w:rPr>
          <w:rFonts w:eastAsia="Calibri"/>
          <w:sz w:val="26"/>
          <w:szCs w:val="26"/>
          <w:lang w:eastAsia="en-US"/>
        </w:rPr>
        <w:t xml:space="preserve"> </w:t>
      </w:r>
      <w:r w:rsidRPr="00464661">
        <w:rPr>
          <w:rFonts w:eastAsia="Calibri"/>
          <w:sz w:val="26"/>
          <w:szCs w:val="26"/>
          <w:lang w:eastAsia="en-US"/>
        </w:rPr>
        <w:t>poner en práctica.</w:t>
      </w:r>
    </w:p>
    <w:p w14:paraId="18FD0B5B" w14:textId="6F8FF2DA" w:rsidR="00180143" w:rsidRPr="00346DC0" w:rsidRDefault="00464661" w:rsidP="00346DC0">
      <w:pPr>
        <w:ind w:right="-159"/>
        <w:jc w:val="both"/>
        <w:rPr>
          <w:rFonts w:eastAsia="Calibri"/>
          <w:b/>
          <w:sz w:val="20"/>
          <w:szCs w:val="20"/>
          <w:lang w:eastAsia="en-US"/>
        </w:rPr>
      </w:pPr>
      <w:r w:rsidRPr="00346DC0">
        <w:rPr>
          <w:rFonts w:eastAsia="Calibri"/>
          <w:b/>
          <w:sz w:val="20"/>
          <w:szCs w:val="20"/>
          <w:lang w:eastAsia="en-US"/>
        </w:rPr>
        <w:t>Fuente de información:</w:t>
      </w:r>
    </w:p>
    <w:p w14:paraId="0095E8F1" w14:textId="1762E8EA" w:rsidR="00464661" w:rsidRPr="007846AF" w:rsidRDefault="0045651A" w:rsidP="007846AF">
      <w:pPr>
        <w:spacing w:after="720"/>
        <w:ind w:right="-159"/>
        <w:jc w:val="both"/>
        <w:rPr>
          <w:rFonts w:eastAsia="Calibri"/>
          <w:color w:val="0000FF"/>
          <w:sz w:val="20"/>
          <w:szCs w:val="20"/>
          <w:lang w:eastAsia="en-US"/>
        </w:rPr>
      </w:pPr>
      <w:hyperlink r:id="rId237" w:history="1">
        <w:r w:rsidR="00346DC0" w:rsidRPr="007846AF">
          <w:rPr>
            <w:rStyle w:val="Hipervnculo"/>
            <w:rFonts w:eastAsia="Calibri"/>
            <w:sz w:val="20"/>
            <w:szCs w:val="20"/>
            <w:lang w:eastAsia="en-US"/>
          </w:rPr>
          <w:t>https://www.imf.org/external/spanish/pubs/ft/fm/2015/01/pdf/fmexss.pdf</w:t>
        </w:r>
      </w:hyperlink>
    </w:p>
    <w:p w14:paraId="52C188AE" w14:textId="77777777" w:rsidR="004353B8" w:rsidRPr="004353B8" w:rsidRDefault="004353B8" w:rsidP="004353B8">
      <w:pPr>
        <w:ind w:right="-159"/>
        <w:jc w:val="both"/>
        <w:rPr>
          <w:rFonts w:eastAsia="Calibri"/>
          <w:b/>
          <w:sz w:val="26"/>
          <w:szCs w:val="26"/>
          <w:lang w:eastAsia="en-US"/>
        </w:rPr>
      </w:pPr>
      <w:r w:rsidRPr="004353B8">
        <w:rPr>
          <w:rFonts w:eastAsia="Calibri"/>
          <w:b/>
          <w:sz w:val="26"/>
          <w:szCs w:val="26"/>
          <w:lang w:eastAsia="en-US"/>
        </w:rPr>
        <w:t>El crecimiento se intensifica y se reducen los</w:t>
      </w:r>
    </w:p>
    <w:p w14:paraId="65A54EC1" w14:textId="77777777" w:rsidR="004353B8" w:rsidRPr="004353B8" w:rsidRDefault="004353B8" w:rsidP="004353B8">
      <w:pPr>
        <w:spacing w:after="360" w:line="360" w:lineRule="auto"/>
        <w:ind w:right="-159"/>
        <w:jc w:val="both"/>
        <w:rPr>
          <w:rFonts w:eastAsia="Calibri"/>
          <w:b/>
          <w:sz w:val="26"/>
          <w:szCs w:val="26"/>
          <w:lang w:eastAsia="en-US"/>
        </w:rPr>
      </w:pPr>
      <w:r w:rsidRPr="004353B8">
        <w:rPr>
          <w:rFonts w:eastAsia="Calibri"/>
          <w:b/>
          <w:sz w:val="26"/>
          <w:szCs w:val="26"/>
          <w:lang w:eastAsia="en-US"/>
        </w:rPr>
        <w:t>desequilibrios en España (Economy Weblog)</w:t>
      </w:r>
    </w:p>
    <w:p w14:paraId="11CB3043" w14:textId="3EA96A24"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El 30 de marzo de 2015, el sitio electrónico Economy Weblog (</w:t>
      </w:r>
      <w:r w:rsidRPr="004353B8">
        <w:rPr>
          <w:rFonts w:eastAsia="Calibri"/>
          <w:i/>
          <w:sz w:val="26"/>
          <w:szCs w:val="26"/>
          <w:lang w:val="es-ES" w:eastAsia="en-US"/>
        </w:rPr>
        <w:t>EW</w:t>
      </w:r>
      <w:r w:rsidRPr="004353B8">
        <w:rPr>
          <w:rFonts w:eastAsia="Calibri"/>
          <w:sz w:val="26"/>
          <w:szCs w:val="26"/>
          <w:lang w:val="es-ES" w:eastAsia="en-US"/>
        </w:rPr>
        <w:t>) publicó que el 27 de marzo pasado el Ministro de Hacienda informó sobre la evolución del déficit público en el año 2014 y el Instituto Nacional de Estadística (INE) dio a conocer la Cifra de Negocios Empresarial de enero. El año pasado</w:t>
      </w:r>
      <w:r w:rsidR="00180143">
        <w:rPr>
          <w:rFonts w:eastAsia="Calibri"/>
          <w:sz w:val="26"/>
          <w:szCs w:val="26"/>
          <w:lang w:val="es-ES" w:eastAsia="en-US"/>
        </w:rPr>
        <w:t>,</w:t>
      </w:r>
      <w:r w:rsidRPr="004353B8">
        <w:rPr>
          <w:rFonts w:eastAsia="Calibri"/>
          <w:sz w:val="26"/>
          <w:szCs w:val="26"/>
          <w:lang w:val="es-ES" w:eastAsia="en-US"/>
        </w:rPr>
        <w:t xml:space="preserve"> el déficit público de la economía española se redujo hasta el 5.7% del Producto Interno Bruto (PIB); muy cerca del objetivo de estabilidad previsto (5.5%) y por debajo del 6.8% del año 2013. Este mayor equilibrio fiscal es el resultado del esfuerzo del Gobierno por reducir el gasto pero sobre todo es fruto del aumento de la actividad económica y del crecimiento del empleo.</w:t>
      </w:r>
    </w:p>
    <w:p w14:paraId="3B072E44"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 xml:space="preserve">Es bien sabido que a medida que crece el nivel de actividad, aumenta la recaudación impositiva y a medida que se reduce el desempleo disminuye el gasto público en prestaciones y el subsidio de desempleo. De ahí que en este año 2015, a pesar de ser </w:t>
      </w:r>
      <w:r w:rsidRPr="004353B8">
        <w:rPr>
          <w:rFonts w:eastAsia="Calibri"/>
          <w:sz w:val="26"/>
          <w:szCs w:val="26"/>
          <w:lang w:val="es-ES" w:eastAsia="en-US"/>
        </w:rPr>
        <w:lastRenderedPageBreak/>
        <w:t>año electoral, se espera que el déficit público se reduzca todavía más ya que la economía española está intensificando el crecimiento y la creación de empleo, tal como señaló el Informe Trimestral de la Economía Española del Banco de España este 26 de marzo. El PIB aumentó un 0.8% entre el cuarto trimestre del año pasado y el primer trimestre de este año. Lo que supone que la economía está avanzando a una velocidad de crucero del 3.2% anual. Esta mejoría es consecuencia, entre otras cosas, de la caída de los precios del petróleo, de la depreciación del euro y de las mayores facilidades de financiamiento que están teniendo las familias y las empresas.</w:t>
      </w:r>
    </w:p>
    <w:p w14:paraId="1D86BBD3"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Este fortalecimiento de la recuperación también ha quedado patente en los datos publicados el 29 de marzo por el INE sobre Cifra de Negocios Empresarial que permite ver, mes a mes, cómo evoluciona la economía española. Este indicador, corregido de efectos estacionales y de calendario, registró en el mes de enero de este año un aumento anual del 2.6%, encadenando quince meses de crecimientos continuados.</w:t>
      </w:r>
    </w:p>
    <w:p w14:paraId="54E04E51"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 xml:space="preserve">Los Indicadores de Actividad del Sector Servicios conocidos también entre el 23 y el 27 de marzo van en esa misma dirección. La actividad del sector servicios creció en enero un 3.3% anual desestacionalizado, manteniendo así la velocidad que alcanzó en el cuarto trimestre del año pasado y consolidando una tendencia claramente positiva desde hace un año y medio. Además, este crecimiento ha permitido que el empleo en el sector servicios siga aumentando rápidamente.  </w:t>
      </w:r>
    </w:p>
    <w:p w14:paraId="3C2949E6"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 xml:space="preserve">Un crecimiento del empleo que se está produciendo no solo en ese sector sino también en el conjunto de la economía española. Según el Banco de España, en este primer trimestre del año el empleo ha crecido a un ritmo del 2.7% anual, algo que no sucedía desde el año 2007. </w:t>
      </w:r>
    </w:p>
    <w:p w14:paraId="1704D98B"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 xml:space="preserve">En definitiva, el viento de cola que impulsa la economía española está reduciendo el desequilibrio de las cuentas públicas y el del mercado laboral. Y junto a ellos se está </w:t>
      </w:r>
      <w:r w:rsidRPr="004353B8">
        <w:rPr>
          <w:rFonts w:eastAsia="Calibri"/>
          <w:sz w:val="26"/>
          <w:szCs w:val="26"/>
          <w:lang w:val="es-ES" w:eastAsia="en-US"/>
        </w:rPr>
        <w:lastRenderedPageBreak/>
        <w:t xml:space="preserve">produciendo una disminución del stock de viviendas que están a la venta, es decir, también se reduce el desequilibrio del mercado inmobiliario.  </w:t>
      </w:r>
    </w:p>
    <w:p w14:paraId="301A6CEF"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Efectivamente, la política monetaria del Banco Central Europeo (BCE) y el saneamiento de las finanzas públicas están bajando los tipos de interés que, unido a la mejora del empleo, generan un aumento de la demanda en el mercado inmobiliario. Una venta de inmuebles que se apoya en las mayores facilidades para la concesión de créditos hipotecarios. Según los últimos datos del INE sobre hipotecas, publicados antes del 29 de marzo, en enero se inscribieron en España 20 mil 913 hipotecas, un 20% más que en el mismo mes del año anterior y la mayor parte de ellas fueron destinadas a la compra de vivienda. Además, quienes se endeudan lo están haciendo a tipos más bajos ya que el tipo de interés medio en enero fue del 3.29%, frente al 4.19% del mismo mes de 2014. La compra de vivienda es un indicador más de la reducción del desequilibrio del mercado inmobiliario y una buena noticia para el sector, que ve cómo disminuye el considerable stock de vivienda acumulada durante los años de la burbuja inmobiliaria y que siguió aumentando durante la crisis.</w:t>
      </w:r>
    </w:p>
    <w:p w14:paraId="00D1D296" w14:textId="00C99A60"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t>Por último</w:t>
      </w:r>
      <w:r w:rsidR="00180143">
        <w:rPr>
          <w:rFonts w:eastAsia="Calibri"/>
          <w:sz w:val="26"/>
          <w:szCs w:val="26"/>
          <w:lang w:val="es-ES" w:eastAsia="en-US"/>
        </w:rPr>
        <w:t>,</w:t>
      </w:r>
      <w:r w:rsidRPr="004353B8">
        <w:rPr>
          <w:rFonts w:eastAsia="Calibri"/>
          <w:sz w:val="26"/>
          <w:szCs w:val="26"/>
          <w:lang w:val="es-ES" w:eastAsia="en-US"/>
        </w:rPr>
        <w:t xml:space="preserve"> ha desaparecido el déficit por cuenta corriente que era uno de los grandes desequilibrios que hasta hace bien poco sufría la economía española. Desde hace dos años el saldo de la cuenta corriente es positivo. La depreciación del euro y la caída del precio del petróleo están favoreciendo este superávit. Sin embargo, no debemos confiarnos. Parece que el tipo de cambio del euro y los precios del petróleo, que desde hace un año han ayudado a que mejore la competitividad de la economía, podrían dejar de tener ese efecto balsámico en la segunda mitad de este año. Así, entre el 23 y el 28 de marzo</w:t>
      </w:r>
      <w:r w:rsidR="00180143">
        <w:rPr>
          <w:rFonts w:eastAsia="Calibri"/>
          <w:sz w:val="26"/>
          <w:szCs w:val="26"/>
          <w:lang w:val="es-ES" w:eastAsia="en-US"/>
        </w:rPr>
        <w:t>,</w:t>
      </w:r>
      <w:r w:rsidRPr="004353B8">
        <w:rPr>
          <w:rFonts w:eastAsia="Calibri"/>
          <w:sz w:val="26"/>
          <w:szCs w:val="26"/>
          <w:lang w:val="es-ES" w:eastAsia="en-US"/>
        </w:rPr>
        <w:t xml:space="preserve"> los precios del petróleo han recuperado parte de su caída aumentando un 12% y el euro se ha apreciado frente al dólar (2%). La economía española debe, por tanto, reforzar su capital humano y tecnológico para conseguir que la mayor parte de su competitividad proceda de los aumentos de la productividad y poder así mantener el equilibrio exterior y lograr un crecimiento económico duradero en el largo plazo.</w:t>
      </w:r>
    </w:p>
    <w:p w14:paraId="0C887C18" w14:textId="77777777" w:rsidR="004353B8" w:rsidRPr="004353B8" w:rsidRDefault="004353B8" w:rsidP="004353B8">
      <w:pPr>
        <w:spacing w:after="360" w:line="360" w:lineRule="auto"/>
        <w:ind w:right="-159"/>
        <w:jc w:val="both"/>
        <w:rPr>
          <w:rFonts w:eastAsia="Calibri"/>
          <w:sz w:val="26"/>
          <w:szCs w:val="26"/>
          <w:lang w:val="es-ES" w:eastAsia="en-US"/>
        </w:rPr>
      </w:pPr>
      <w:r w:rsidRPr="004353B8">
        <w:rPr>
          <w:rFonts w:eastAsia="Calibri"/>
          <w:sz w:val="26"/>
          <w:szCs w:val="26"/>
          <w:lang w:val="es-ES" w:eastAsia="en-US"/>
        </w:rPr>
        <w:lastRenderedPageBreak/>
        <w:t>Los indicadores de coyuntura publicados entre el 23 y el 28 de marzo señalan que España sigue cambiando su modelo productivo. Hay que insistir en la necesidad de reforzar este patrón de crecimiento basado en las exportaciones y en la producción de bienes y servicios de alto nivel tecnológico para continuar reduciendo los desequilibrios en las cuentas públicas, el mercado inmobiliario y el mercado laboral y mantener el equilibrio del sector externo.</w:t>
      </w:r>
    </w:p>
    <w:p w14:paraId="6B0D4FA7" w14:textId="77777777" w:rsidR="004353B8" w:rsidRPr="004353B8" w:rsidRDefault="004353B8" w:rsidP="004353B8">
      <w:pPr>
        <w:ind w:right="-159"/>
        <w:jc w:val="both"/>
        <w:rPr>
          <w:rFonts w:eastAsia="Calibri"/>
          <w:b/>
          <w:sz w:val="20"/>
          <w:szCs w:val="20"/>
          <w:lang w:val="es-ES" w:eastAsia="en-US"/>
        </w:rPr>
      </w:pPr>
      <w:r w:rsidRPr="004353B8">
        <w:rPr>
          <w:rFonts w:eastAsia="Calibri"/>
          <w:b/>
          <w:sz w:val="20"/>
          <w:szCs w:val="20"/>
          <w:lang w:val="es-ES" w:eastAsia="en-US"/>
        </w:rPr>
        <w:t>Fuente de información:</w:t>
      </w:r>
    </w:p>
    <w:p w14:paraId="78B5A214" w14:textId="77777777" w:rsidR="004353B8" w:rsidRPr="007846AF" w:rsidRDefault="0045651A" w:rsidP="007846AF">
      <w:pPr>
        <w:spacing w:after="720"/>
        <w:ind w:right="-159"/>
        <w:jc w:val="both"/>
        <w:rPr>
          <w:rFonts w:eastAsia="Calibri"/>
          <w:color w:val="0000FF"/>
          <w:sz w:val="20"/>
          <w:szCs w:val="20"/>
          <w:lang w:val="es-ES" w:eastAsia="en-US"/>
        </w:rPr>
      </w:pPr>
      <w:hyperlink r:id="rId238" w:history="1">
        <w:r w:rsidR="004353B8" w:rsidRPr="007846AF">
          <w:rPr>
            <w:rFonts w:eastAsia="Calibri"/>
            <w:color w:val="0000FF"/>
            <w:sz w:val="20"/>
            <w:szCs w:val="20"/>
            <w:u w:val="single"/>
            <w:lang w:val="es-ES" w:eastAsia="en-US"/>
          </w:rPr>
          <w:t>http://economy.blogs.ie.edu/archives/2015/03/el-crecimiento-se-intensifica-y-se-reducen-los-desequilibrios.php</w:t>
        </w:r>
      </w:hyperlink>
    </w:p>
    <w:p w14:paraId="5356A653" w14:textId="77777777" w:rsidR="00A82C6C" w:rsidRPr="00A82C6C" w:rsidRDefault="00A82C6C" w:rsidP="00A82C6C">
      <w:pPr>
        <w:ind w:right="-159"/>
        <w:jc w:val="both"/>
        <w:rPr>
          <w:rFonts w:eastAsia="Calibri"/>
          <w:b/>
          <w:sz w:val="26"/>
          <w:szCs w:val="26"/>
          <w:lang w:val="es-ES" w:eastAsia="en-US"/>
        </w:rPr>
      </w:pPr>
      <w:r w:rsidRPr="00A82C6C">
        <w:rPr>
          <w:rFonts w:eastAsia="Calibri"/>
          <w:b/>
          <w:sz w:val="26"/>
          <w:szCs w:val="26"/>
          <w:lang w:eastAsia="en-US"/>
        </w:rPr>
        <w:t xml:space="preserve">Negociaciones </w:t>
      </w:r>
      <w:r w:rsidRPr="00A82C6C">
        <w:rPr>
          <w:rFonts w:eastAsia="Calibri"/>
          <w:b/>
          <w:sz w:val="26"/>
          <w:szCs w:val="26"/>
          <w:lang w:val="es-ES" w:eastAsia="en-US"/>
        </w:rPr>
        <w:t>para adhesión de España al Banco</w:t>
      </w:r>
    </w:p>
    <w:p w14:paraId="3E379645" w14:textId="77777777" w:rsidR="00A82C6C" w:rsidRPr="00A82C6C" w:rsidRDefault="00A82C6C" w:rsidP="00A82C6C">
      <w:pPr>
        <w:ind w:right="-159"/>
        <w:jc w:val="both"/>
        <w:rPr>
          <w:rFonts w:eastAsia="Calibri"/>
          <w:b/>
          <w:sz w:val="26"/>
          <w:szCs w:val="26"/>
          <w:lang w:val="es-ES" w:eastAsia="en-US"/>
        </w:rPr>
      </w:pPr>
      <w:r w:rsidRPr="00A82C6C">
        <w:rPr>
          <w:rFonts w:eastAsia="Calibri"/>
          <w:b/>
          <w:sz w:val="26"/>
          <w:szCs w:val="26"/>
          <w:lang w:val="es-ES" w:eastAsia="en-US"/>
        </w:rPr>
        <w:t>Asiático  para  Inversión  de  Infraestructuras</w:t>
      </w:r>
    </w:p>
    <w:p w14:paraId="758C9FEB" w14:textId="77777777" w:rsidR="00A82C6C" w:rsidRPr="00A82C6C" w:rsidRDefault="00A82C6C" w:rsidP="00A82C6C">
      <w:pPr>
        <w:spacing w:after="360" w:line="360" w:lineRule="auto"/>
        <w:ind w:right="-159"/>
        <w:jc w:val="both"/>
        <w:rPr>
          <w:rFonts w:eastAsia="Calibri"/>
          <w:b/>
          <w:sz w:val="26"/>
          <w:szCs w:val="26"/>
          <w:lang w:eastAsia="en-US"/>
        </w:rPr>
      </w:pPr>
      <w:r w:rsidRPr="00A82C6C">
        <w:rPr>
          <w:rFonts w:eastAsia="Calibri"/>
          <w:b/>
          <w:sz w:val="26"/>
          <w:szCs w:val="26"/>
          <w:lang w:eastAsia="en-US"/>
        </w:rPr>
        <w:t>(Gobierno de España)</w:t>
      </w:r>
    </w:p>
    <w:p w14:paraId="2EDFE5D2" w14:textId="7BB2E398"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eastAsia="en-US"/>
        </w:rPr>
        <w:t xml:space="preserve">El 27 de marzo de 2015, el Gobierno de España comunicó que la </w:t>
      </w:r>
      <w:r w:rsidRPr="00A82C6C">
        <w:rPr>
          <w:rFonts w:eastAsia="Calibri"/>
          <w:sz w:val="26"/>
          <w:szCs w:val="26"/>
          <w:lang w:val="es-ES" w:eastAsia="en-US"/>
        </w:rPr>
        <w:t xml:space="preserve">apertura de negociaciones para la adhesión de España al Banco Asiático para Inversión de Infraestructuras dio inicio. A continuación </w:t>
      </w:r>
      <w:r w:rsidR="005B5C5D">
        <w:rPr>
          <w:rFonts w:eastAsia="Calibri"/>
          <w:sz w:val="26"/>
          <w:szCs w:val="26"/>
          <w:lang w:val="es-ES" w:eastAsia="en-US"/>
        </w:rPr>
        <w:t xml:space="preserve">se presentan </w:t>
      </w:r>
      <w:r w:rsidRPr="00A82C6C">
        <w:rPr>
          <w:rFonts w:eastAsia="Calibri"/>
          <w:sz w:val="26"/>
          <w:szCs w:val="26"/>
          <w:lang w:val="es-ES" w:eastAsia="en-US"/>
        </w:rPr>
        <w:t>mayores detalles.</w:t>
      </w:r>
    </w:p>
    <w:p w14:paraId="5E806F0C" w14:textId="77777777"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val="es-ES" w:eastAsia="en-US"/>
        </w:rPr>
        <w:t>El Consejo de Ministros aprobó un Acuerdo por el que se toma conocimiento de la apertura del proceso de negociación de un tratado internacional para la adhesión de España al Banco Asiático para Inversión en Infraestructuras.</w:t>
      </w:r>
    </w:p>
    <w:p w14:paraId="0030FD53" w14:textId="77777777"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val="es-ES" w:eastAsia="en-US"/>
        </w:rPr>
        <w:t>El proyecto del Banco Asiático para la Inversión en Infraestructuras (BAII) fue presentado por el presidente chino en octubre de 2013. El lanzamiento oficial del BAII, con sede en Pekín, se produjo con la firma de un Memorando de entendimiento suscrito en primer término por veintidós países de la región a finales de octubre de 2014 y el objetivo es que comience a operar a finales del año 2015.</w:t>
      </w:r>
    </w:p>
    <w:p w14:paraId="72730415" w14:textId="51341709"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val="es-ES" w:eastAsia="en-US"/>
        </w:rPr>
        <w:t xml:space="preserve">Actualmente son veintisiete los potenciales Estados miembros regionales. Algunos países de Europa Occidental, como Reino Unido, Luxemburgo, Suiza, Alemania, Francia e Italia anunciaron su intención de convertirse también en potenciales </w:t>
      </w:r>
      <w:r w:rsidRPr="00A82C6C">
        <w:rPr>
          <w:rFonts w:eastAsia="Calibri"/>
          <w:sz w:val="26"/>
          <w:szCs w:val="26"/>
          <w:lang w:val="es-ES" w:eastAsia="en-US"/>
        </w:rPr>
        <w:lastRenderedPageBreak/>
        <w:t>miembros fundadores, como hace ahora España. Estos países deben firmar una carta de intenciones, enviar una carta de solicitud al Gobierno chino, carta que España ya envió, y lograr que un mínimo del 75% del resto de países fundadores manifiesten su ausencia de oposición a la misma.</w:t>
      </w:r>
    </w:p>
    <w:p w14:paraId="41709CE8" w14:textId="77777777"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b/>
          <w:bCs/>
          <w:sz w:val="26"/>
          <w:szCs w:val="26"/>
          <w:lang w:val="es-ES" w:eastAsia="en-US"/>
        </w:rPr>
        <w:t>Financiamiento de infraestructuras de energía, transporte y telecomunicaciones</w:t>
      </w:r>
    </w:p>
    <w:p w14:paraId="18403B23" w14:textId="77777777"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val="es-ES" w:eastAsia="en-US"/>
        </w:rPr>
        <w:t>El objetivo del BAII es promover el desarrollo sostenible de Asia, concentrándose en el financiamiento de infraestructuras de energía, transporte y telecomunicaciones, así como en el financiamiento de proyectos para el desarrollo urbano y rural y la conservación del medio ambiente en la región. La institución tendrá un capital autorizado de cien mil millones de dólares y proporcionará su apoyo financiero a proyectos en los países asiáticos mediante la concesión de préstamos, la inversión en capital o la concesión de garantías. El Banco funcionará en estrecha colaboración con otros bancos de desarrollo multilaterales existentes como el Banco Asiático de Desarrollo o el Banco Mundial. La participación financiera de España se decidirá tras la aprobación del Convenio Constitutivo, en el momento de su ingreso efectivo en la institución.</w:t>
      </w:r>
    </w:p>
    <w:p w14:paraId="732972CC" w14:textId="77777777" w:rsidR="00A82C6C" w:rsidRPr="00A82C6C" w:rsidRDefault="00A82C6C" w:rsidP="00A82C6C">
      <w:pPr>
        <w:spacing w:after="360" w:line="360" w:lineRule="auto"/>
        <w:ind w:right="-159"/>
        <w:jc w:val="both"/>
        <w:rPr>
          <w:rFonts w:eastAsia="Calibri"/>
          <w:sz w:val="26"/>
          <w:szCs w:val="26"/>
          <w:lang w:val="es-ES" w:eastAsia="en-US"/>
        </w:rPr>
      </w:pPr>
      <w:r w:rsidRPr="00A82C6C">
        <w:rPr>
          <w:rFonts w:eastAsia="Calibri"/>
          <w:sz w:val="26"/>
          <w:szCs w:val="26"/>
          <w:lang w:val="es-ES" w:eastAsia="en-US"/>
        </w:rPr>
        <w:t>España valora la participación por diversas razones: la intención de varios países europeos tendentes a participar, la incorporación de España como miembro fundador le daría la oportunidad de participar en el mismo y una mayor capacidad de influencia en sus decisiones y la importancia internacional de las empresas españolas del sector de obras públicas. Participar como miembro fundador del Banco Asiático para Inversión en Infraestructuras permitiría, por tanto, a estas empresas acceder en buenas condiciones a las facilidades adicionales de crédito que el Banco pueda ofrecer para obras que se realicen en la región asiática.</w:t>
      </w:r>
    </w:p>
    <w:p w14:paraId="1825E815" w14:textId="77777777" w:rsidR="00A82C6C" w:rsidRPr="00A82C6C" w:rsidRDefault="00A82C6C" w:rsidP="00A82C6C">
      <w:pPr>
        <w:ind w:right="-159"/>
        <w:jc w:val="both"/>
        <w:rPr>
          <w:rFonts w:eastAsia="Calibri"/>
          <w:b/>
          <w:sz w:val="20"/>
          <w:szCs w:val="20"/>
          <w:lang w:eastAsia="en-US"/>
        </w:rPr>
      </w:pPr>
      <w:r w:rsidRPr="00A82C6C">
        <w:rPr>
          <w:rFonts w:eastAsia="Calibri"/>
          <w:b/>
          <w:sz w:val="20"/>
          <w:szCs w:val="20"/>
          <w:lang w:eastAsia="en-US"/>
        </w:rPr>
        <w:t>Fuente de información:</w:t>
      </w:r>
    </w:p>
    <w:p w14:paraId="01453DBB" w14:textId="77777777" w:rsidR="00A82C6C" w:rsidRPr="007846AF" w:rsidRDefault="0045651A" w:rsidP="00A82C6C">
      <w:pPr>
        <w:ind w:right="-159"/>
        <w:jc w:val="both"/>
        <w:rPr>
          <w:rFonts w:eastAsia="Calibri"/>
          <w:color w:val="0000FF"/>
          <w:sz w:val="20"/>
          <w:szCs w:val="20"/>
          <w:lang w:eastAsia="en-US"/>
        </w:rPr>
      </w:pPr>
      <w:hyperlink r:id="rId239" w:history="1">
        <w:r w:rsidR="00A82C6C" w:rsidRPr="007846AF">
          <w:rPr>
            <w:rFonts w:eastAsia="Calibri"/>
            <w:color w:val="0000FF"/>
            <w:sz w:val="20"/>
            <w:szCs w:val="20"/>
            <w:u w:val="single"/>
            <w:lang w:eastAsia="en-US"/>
          </w:rPr>
          <w:t>http://www.lamoncloa.gob.es/consejodeministros/Paginas/enlaces/270315enlaceasiatico.aspx</w:t>
        </w:r>
      </w:hyperlink>
      <w:r w:rsidR="00A82C6C" w:rsidRPr="007846AF">
        <w:rPr>
          <w:rFonts w:eastAsia="Calibri"/>
          <w:color w:val="0000FF"/>
          <w:sz w:val="20"/>
          <w:szCs w:val="20"/>
          <w:lang w:eastAsia="en-US"/>
        </w:rPr>
        <w:t xml:space="preserve"> </w:t>
      </w:r>
    </w:p>
    <w:p w14:paraId="25C37C4F" w14:textId="77777777" w:rsidR="00A82C6C" w:rsidRPr="00A82C6C" w:rsidRDefault="00A82C6C" w:rsidP="00A82C6C">
      <w:pPr>
        <w:spacing w:after="360" w:line="360" w:lineRule="auto"/>
        <w:ind w:right="-159"/>
        <w:jc w:val="both"/>
        <w:rPr>
          <w:rFonts w:eastAsia="Calibri"/>
          <w:sz w:val="26"/>
          <w:szCs w:val="26"/>
          <w:lang w:eastAsia="en-US"/>
        </w:rPr>
      </w:pPr>
    </w:p>
    <w:p w14:paraId="6921D8A7" w14:textId="63977088" w:rsidR="00CD6E15" w:rsidRPr="00CD6E15" w:rsidRDefault="00CD6E15" w:rsidP="00CD6E15">
      <w:pPr>
        <w:ind w:right="-159"/>
        <w:jc w:val="both"/>
        <w:rPr>
          <w:rFonts w:eastAsia="Calibri"/>
          <w:b/>
          <w:sz w:val="26"/>
          <w:szCs w:val="26"/>
          <w:lang w:eastAsia="en-US"/>
        </w:rPr>
      </w:pPr>
      <w:r w:rsidRPr="00CD6E15">
        <w:rPr>
          <w:rFonts w:eastAsia="Calibri"/>
          <w:b/>
          <w:sz w:val="26"/>
          <w:szCs w:val="26"/>
          <w:lang w:eastAsia="en-US"/>
        </w:rPr>
        <w:lastRenderedPageBreak/>
        <w:t xml:space="preserve">Consolidaciones </w:t>
      </w:r>
      <w:r w:rsidR="00CB1803">
        <w:rPr>
          <w:rFonts w:eastAsia="Calibri"/>
          <w:b/>
          <w:sz w:val="26"/>
          <w:szCs w:val="26"/>
          <w:lang w:eastAsia="en-US"/>
        </w:rPr>
        <w:t xml:space="preserve"> </w:t>
      </w:r>
      <w:r w:rsidRPr="00CD6E15">
        <w:rPr>
          <w:rFonts w:eastAsia="Calibri"/>
          <w:b/>
          <w:sz w:val="26"/>
          <w:szCs w:val="26"/>
          <w:lang w:eastAsia="en-US"/>
        </w:rPr>
        <w:t xml:space="preserve">fiscales </w:t>
      </w:r>
      <w:r w:rsidR="00CB1803">
        <w:rPr>
          <w:rFonts w:eastAsia="Calibri"/>
          <w:b/>
          <w:sz w:val="26"/>
          <w:szCs w:val="26"/>
          <w:lang w:eastAsia="en-US"/>
        </w:rPr>
        <w:t xml:space="preserve"> </w:t>
      </w:r>
      <w:r w:rsidRPr="00CD6E15">
        <w:rPr>
          <w:rFonts w:eastAsia="Calibri"/>
          <w:b/>
          <w:sz w:val="26"/>
          <w:szCs w:val="26"/>
          <w:lang w:eastAsia="en-US"/>
        </w:rPr>
        <w:t xml:space="preserve">para </w:t>
      </w:r>
      <w:r w:rsidR="00CB1803">
        <w:rPr>
          <w:rFonts w:eastAsia="Calibri"/>
          <w:b/>
          <w:sz w:val="26"/>
          <w:szCs w:val="26"/>
          <w:lang w:eastAsia="en-US"/>
        </w:rPr>
        <w:t xml:space="preserve"> </w:t>
      </w:r>
      <w:r w:rsidRPr="00CD6E15">
        <w:rPr>
          <w:rFonts w:eastAsia="Calibri"/>
          <w:b/>
          <w:sz w:val="26"/>
          <w:szCs w:val="26"/>
          <w:lang w:eastAsia="en-US"/>
        </w:rPr>
        <w:t>la</w:t>
      </w:r>
      <w:r w:rsidR="00CB1803">
        <w:rPr>
          <w:rFonts w:eastAsia="Calibri"/>
          <w:b/>
          <w:sz w:val="26"/>
          <w:szCs w:val="26"/>
          <w:lang w:eastAsia="en-US"/>
        </w:rPr>
        <w:t xml:space="preserve">   productividad</w:t>
      </w:r>
    </w:p>
    <w:p w14:paraId="528162EC" w14:textId="3FAC1302" w:rsidR="00CD6E15" w:rsidRPr="00CD6E15" w:rsidRDefault="00CD6E15" w:rsidP="00CD6E15">
      <w:pPr>
        <w:ind w:right="-159"/>
        <w:jc w:val="both"/>
        <w:rPr>
          <w:rFonts w:eastAsia="Calibri"/>
          <w:b/>
          <w:sz w:val="26"/>
          <w:szCs w:val="26"/>
          <w:lang w:eastAsia="en-US"/>
        </w:rPr>
      </w:pPr>
      <w:r w:rsidRPr="00CD6E15">
        <w:rPr>
          <w:rFonts w:eastAsia="Calibri"/>
          <w:b/>
          <w:sz w:val="26"/>
          <w:szCs w:val="26"/>
          <w:lang w:eastAsia="en-US"/>
        </w:rPr>
        <w:t>e inclusión social</w:t>
      </w:r>
      <w:r w:rsidR="00CB1803">
        <w:rPr>
          <w:rFonts w:eastAsia="Calibri"/>
          <w:b/>
          <w:sz w:val="26"/>
          <w:szCs w:val="26"/>
          <w:lang w:eastAsia="en-US"/>
        </w:rPr>
        <w:t xml:space="preserve"> previstas para América Lantina</w:t>
      </w:r>
    </w:p>
    <w:p w14:paraId="0EF483C0" w14:textId="77777777" w:rsidR="00CD6E15" w:rsidRPr="00CD6E15" w:rsidRDefault="00CD6E15" w:rsidP="00CD6E15">
      <w:pPr>
        <w:spacing w:after="360" w:line="360" w:lineRule="auto"/>
        <w:ind w:right="-159"/>
        <w:jc w:val="both"/>
        <w:rPr>
          <w:rFonts w:eastAsia="Calibri"/>
          <w:b/>
          <w:sz w:val="26"/>
          <w:szCs w:val="26"/>
          <w:lang w:eastAsia="en-US"/>
        </w:rPr>
      </w:pPr>
      <w:r w:rsidRPr="00CD6E15">
        <w:rPr>
          <w:rFonts w:eastAsia="Calibri"/>
          <w:b/>
          <w:sz w:val="26"/>
          <w:szCs w:val="26"/>
          <w:lang w:eastAsia="en-US"/>
        </w:rPr>
        <w:t>y el Caribe (BID)</w:t>
      </w:r>
    </w:p>
    <w:p w14:paraId="556F1253" w14:textId="276DF9E2"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El 29 de marzo de 2015</w:t>
      </w:r>
      <w:r w:rsidR="00CB1803">
        <w:rPr>
          <w:rFonts w:eastAsia="Calibri"/>
          <w:sz w:val="26"/>
          <w:szCs w:val="26"/>
          <w:lang w:eastAsia="en-US"/>
        </w:rPr>
        <w:t>,</w:t>
      </w:r>
      <w:r w:rsidRPr="00CD6E15">
        <w:rPr>
          <w:rFonts w:eastAsia="Calibri"/>
          <w:sz w:val="26"/>
          <w:szCs w:val="26"/>
          <w:lang w:eastAsia="en-US"/>
        </w:rPr>
        <w:t xml:space="preserve"> el Banco Interamericano de Desarrollo (BID) informó que varios países de América Latina y el Caribe necesitan realizar consolidaciones fiscales debido a crecientes desbalances presupuestarios y riesgos financieros, según el </w:t>
      </w:r>
      <w:r w:rsidR="00CB1803">
        <w:rPr>
          <w:rFonts w:eastAsia="Calibri"/>
          <w:sz w:val="26"/>
          <w:szCs w:val="26"/>
          <w:lang w:eastAsia="en-US"/>
        </w:rPr>
        <w:t>I</w:t>
      </w:r>
      <w:r w:rsidRPr="00CD6E15">
        <w:rPr>
          <w:rFonts w:eastAsia="Calibri"/>
          <w:sz w:val="26"/>
          <w:szCs w:val="26"/>
          <w:lang w:eastAsia="en-US"/>
        </w:rPr>
        <w:t xml:space="preserve">nforme </w:t>
      </w:r>
      <w:r w:rsidR="00CB1803">
        <w:rPr>
          <w:rFonts w:eastAsia="Calibri"/>
          <w:sz w:val="26"/>
          <w:szCs w:val="26"/>
          <w:lang w:eastAsia="en-US"/>
        </w:rPr>
        <w:t>A</w:t>
      </w:r>
      <w:r w:rsidRPr="00CD6E15">
        <w:rPr>
          <w:rFonts w:eastAsia="Calibri"/>
          <w:sz w:val="26"/>
          <w:szCs w:val="26"/>
          <w:lang w:eastAsia="en-US"/>
        </w:rPr>
        <w:t xml:space="preserve">nual </w:t>
      </w:r>
      <w:r w:rsidR="00CB1803">
        <w:rPr>
          <w:rFonts w:eastAsia="Calibri"/>
          <w:sz w:val="26"/>
          <w:szCs w:val="26"/>
          <w:lang w:eastAsia="en-US"/>
        </w:rPr>
        <w:t>M</w:t>
      </w:r>
      <w:r w:rsidRPr="00CD6E15">
        <w:rPr>
          <w:rFonts w:eastAsia="Calibri"/>
          <w:sz w:val="26"/>
          <w:szCs w:val="26"/>
          <w:lang w:eastAsia="en-US"/>
        </w:rPr>
        <w:t>acroeconómico del BID.</w:t>
      </w:r>
    </w:p>
    <w:p w14:paraId="211ECF20"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El informe 2015 aborda la cuestión de cómo deberían adecuarse los presupuestos y a qué velocidad, al tiempo que proyecta un escenario de base de crecimiento anual para 2016-2019 del 3%, similar a la década de 1990 pero por debajo del 4.7% registrado durante el período pre-crisis de 2003-2008. Nuevos </w:t>
      </w:r>
      <w:r w:rsidRPr="00CD6E15">
        <w:rPr>
          <w:rFonts w:eastAsia="Calibri"/>
          <w:i/>
          <w:sz w:val="26"/>
          <w:szCs w:val="26"/>
          <w:lang w:eastAsia="en-US"/>
        </w:rPr>
        <w:t>shocks</w:t>
      </w:r>
      <w:r w:rsidRPr="00CD6E15">
        <w:rPr>
          <w:rFonts w:eastAsia="Calibri"/>
          <w:sz w:val="26"/>
          <w:szCs w:val="26"/>
          <w:lang w:eastAsia="en-US"/>
        </w:rPr>
        <w:t xml:space="preserve"> externos negativos en China, Japón y Europa podrían erosionar más aun el crecimiento económico.</w:t>
      </w:r>
    </w:p>
    <w:p w14:paraId="35FCB15A"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Del lado positivo, un crecimiento más vigoroso de Estados Unidos de Norteamérica y precios más moderados de las materias primas, incluyendo el petróleo, podrían ayudar a los países importadores de energía y que tienen fuertes lazos comerciales con Estados Unidos de Norteamérica.</w:t>
      </w:r>
    </w:p>
    <w:p w14:paraId="3A2CA269"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“América Latina y el Caribe ha tenido un buen desempeño en los años que siguieron a la crisis financiera global, aumentando el gasto fiscal para impulsar el crecimiento económico”, dijo el Economista Jefe del BID. “Pero los menores precios de las </w:t>
      </w:r>
      <w:r w:rsidRPr="00CD6E15">
        <w:rPr>
          <w:rFonts w:eastAsia="Calibri"/>
          <w:i/>
          <w:sz w:val="26"/>
          <w:szCs w:val="26"/>
          <w:lang w:eastAsia="en-US"/>
        </w:rPr>
        <w:t>commodities</w:t>
      </w:r>
      <w:r w:rsidRPr="00CD6E15">
        <w:rPr>
          <w:rFonts w:eastAsia="Calibri"/>
          <w:sz w:val="26"/>
          <w:szCs w:val="26"/>
          <w:lang w:eastAsia="en-US"/>
        </w:rPr>
        <w:t xml:space="preserve"> y un mayor gasto inflexible amenazan con erosionar esos avances. Los países deberán encontrar la forma de incrementar sus ingresos y mejorar la eficiencia del gasto, y a la vez proteger sus logros sociales”.</w:t>
      </w:r>
    </w:p>
    <w:p w14:paraId="5D5F7261"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El informe —El Laberinto, Cómo Puede América Latina y el Caribe Navegar la Economía Global— señala tendencias comunes que afectan a toda la región y también aporta un análisis de situaciones específicas que enfrentan los países por separado, al </w:t>
      </w:r>
      <w:r w:rsidRPr="00CD6E15">
        <w:rPr>
          <w:rFonts w:eastAsia="Calibri"/>
          <w:sz w:val="26"/>
          <w:szCs w:val="26"/>
          <w:lang w:eastAsia="en-US"/>
        </w:rPr>
        <w:lastRenderedPageBreak/>
        <w:t>tiempo que formula sugerencias de políticas para llevarlas a cabo. El reporte fue emitido durante la Reunión Anual del BID en Busan, Corea.</w:t>
      </w:r>
    </w:p>
    <w:p w14:paraId="31B3E415"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La desaceleración del crecimiento se produce en momentos de alta inflación en algunos países, lo que reducirá su capacidad de utilizar la depreciación cambiaria para responder a los </w:t>
      </w:r>
      <w:r w:rsidRPr="00CD6E15">
        <w:rPr>
          <w:rFonts w:eastAsia="Calibri"/>
          <w:i/>
          <w:sz w:val="26"/>
          <w:szCs w:val="26"/>
          <w:lang w:eastAsia="en-US"/>
        </w:rPr>
        <w:t>shocks</w:t>
      </w:r>
      <w:r w:rsidRPr="00CD6E15">
        <w:rPr>
          <w:rFonts w:eastAsia="Calibri"/>
          <w:sz w:val="26"/>
          <w:szCs w:val="26"/>
          <w:lang w:eastAsia="en-US"/>
        </w:rPr>
        <w:t xml:space="preserve"> negativos.</w:t>
      </w:r>
    </w:p>
    <w:p w14:paraId="5D41C23C" w14:textId="77777777" w:rsid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Al mismo tiempo, se espera que las amortizaciones de bonos corporativos aumenten anualmente para alcanzar 64 mil millones en 2020, su mayor parte en dólares. La emisión en dólares se catapultó en los últimos años pero ahora está descendiendo y podría caer por debajo del nivel requerido para afrontar los pagos.</w:t>
      </w:r>
    </w:p>
    <w:p w14:paraId="3EC55203" w14:textId="77777777" w:rsidR="00CD6E15" w:rsidRPr="00CD6E15" w:rsidRDefault="00CD6E15" w:rsidP="00CD6E15">
      <w:pPr>
        <w:spacing w:after="360" w:line="360" w:lineRule="auto"/>
        <w:ind w:right="-159"/>
        <w:jc w:val="both"/>
        <w:rPr>
          <w:rFonts w:eastAsia="Calibri"/>
          <w:b/>
          <w:sz w:val="26"/>
          <w:szCs w:val="26"/>
          <w:lang w:eastAsia="en-US"/>
        </w:rPr>
      </w:pPr>
      <w:r w:rsidRPr="00CD6E15">
        <w:rPr>
          <w:rFonts w:eastAsia="Calibri"/>
          <w:b/>
          <w:sz w:val="26"/>
          <w:szCs w:val="26"/>
          <w:lang w:eastAsia="en-US"/>
        </w:rPr>
        <w:t>Commodities: ganadores y perdedores</w:t>
      </w:r>
    </w:p>
    <w:p w14:paraId="32E80B3E"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Desde el 2011 hasta la fecha, los precios de los metales han caído un 44%, los de los alimentos un 20%, y los del petróleo un 59%. Si bien los precios de las </w:t>
      </w:r>
      <w:r w:rsidRPr="00CD6E15">
        <w:rPr>
          <w:rFonts w:eastAsia="Calibri"/>
          <w:i/>
          <w:sz w:val="26"/>
          <w:szCs w:val="26"/>
          <w:lang w:eastAsia="en-US"/>
        </w:rPr>
        <w:t>commodities</w:t>
      </w:r>
      <w:r w:rsidRPr="00CD6E15">
        <w:rPr>
          <w:rFonts w:eastAsia="Calibri"/>
          <w:sz w:val="26"/>
          <w:szCs w:val="26"/>
          <w:lang w:eastAsia="en-US"/>
        </w:rPr>
        <w:t xml:space="preserve"> están sujetos a volatilidad, el informe no anticipa un rebote de precios a sus anteriores altos niveles en el futuro cercano.</w:t>
      </w:r>
    </w:p>
    <w:p w14:paraId="0B040E50"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En nueve países dependientes de las materias primas, la caída anual promedio de ingreso fiscal es del 9% en el escenario de línea de base. Esto incluye desde un 2% para Perú hasta más de un 10% para Trinidad y Tobago, Ecuador y Venezuela.</w:t>
      </w:r>
    </w:p>
    <w:p w14:paraId="35A5BCCC"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 xml:space="preserve">El impacto sobre la balanza comercial varía mucho de país en país. Los ganadores son 11 países de América Central y el Caribe que gozarán de un efecto positivo superior al 1.5% del Producto Interno Bruto (PIB) gracias a la caída de los precios de las </w:t>
      </w:r>
      <w:r w:rsidRPr="00CD6E15">
        <w:rPr>
          <w:rFonts w:eastAsia="Calibri"/>
          <w:i/>
          <w:sz w:val="26"/>
          <w:szCs w:val="26"/>
          <w:lang w:eastAsia="en-US"/>
        </w:rPr>
        <w:t>commodities</w:t>
      </w:r>
      <w:r w:rsidRPr="00CD6E15">
        <w:rPr>
          <w:rFonts w:eastAsia="Calibri"/>
          <w:sz w:val="26"/>
          <w:szCs w:val="26"/>
          <w:lang w:eastAsia="en-US"/>
        </w:rPr>
        <w:t>. Por otro lado, países como Brasil y México sufrirán efectos negativos leves, en tanto que Bolivia, Trinidad y Tobago, Colombia, Venezuela y Ecuador se verán más afectados.</w:t>
      </w:r>
    </w:p>
    <w:p w14:paraId="3248BE9E" w14:textId="77777777" w:rsidR="00CD6E15" w:rsidRPr="00CD6E15" w:rsidRDefault="00CD6E15" w:rsidP="00CD6E15">
      <w:pPr>
        <w:spacing w:after="360" w:line="360" w:lineRule="auto"/>
        <w:ind w:right="-159"/>
        <w:jc w:val="both"/>
        <w:rPr>
          <w:rFonts w:eastAsia="Calibri"/>
          <w:b/>
          <w:sz w:val="26"/>
          <w:szCs w:val="26"/>
          <w:lang w:eastAsia="en-US"/>
        </w:rPr>
      </w:pPr>
      <w:r w:rsidRPr="00CD6E15">
        <w:rPr>
          <w:rFonts w:eastAsia="Calibri"/>
          <w:b/>
          <w:sz w:val="26"/>
          <w:szCs w:val="26"/>
          <w:lang w:eastAsia="en-US"/>
        </w:rPr>
        <w:lastRenderedPageBreak/>
        <w:t>Consolidación fiscal</w:t>
      </w:r>
    </w:p>
    <w:p w14:paraId="2BC58B71"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Por cuarto año consecutivo, el presupuesto fiscal estructural primario se ubicó en territorio negativo, de 1.1% del PIB en 2014. Desde 2010, el balance fiscal estructural primario mejoró en sólo 6 de 20 países. Once de ellos —que representan el 58.5% del PIB regional— deberían hacer consolidaciones fiscales para evitar mayores niveles de endeudamiento.</w:t>
      </w:r>
    </w:p>
    <w:p w14:paraId="548331EF"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La consolidación fiscal adecuada variará de país en país. Retrotraer el nivel de gastos puede ser difícil para muchos en la región. En un plazo de siete años, el gasto público primario creció 3.7% del PIB, del cual 2.7 puntos porcentuales corresponden a gastos inflexibles como salarios, subsidios y transferencias.</w:t>
      </w:r>
    </w:p>
    <w:p w14:paraId="481F8D64"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Los países con altos ingresos impositivos podrían beneficiarse de una reducción del gasto, en tanto que aquellos con bajos ingresos fiscales como proporción del PIB podrían optar por ampliar la base impositiva, eliminar subsidios y excepciones a los gravámenes, y mejorar la administración impositiva. Los bajos precios de la energía ofrecen una oportunidad para considerar impuestos verdes que también podrían redundar en beneficios ambientales.</w:t>
      </w:r>
    </w:p>
    <w:p w14:paraId="7D8020EC"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Los países también podrían aprovechar mejor sus recursos. En salud, la región se ubica entre 12 y 44 puntos porcentuales por debajo de las naciones más eficientes en generación de una expectativa de vida saludable con los recursos disponibles. En educación, el gasto se elevó desde el 4.2% del PIB al 5.6% del PIB en 13 años, con pocas evidencias de una mayor efectividad.</w:t>
      </w:r>
    </w:p>
    <w:p w14:paraId="377BF7A5" w14:textId="77777777"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Casi uno de cada cuatro habitantes de la región se beneficia de transferencias condicionales de efectivo, pero muchos programas podrían enfocarse con mayor precisión en la pobreza extrema.</w:t>
      </w:r>
    </w:p>
    <w:p w14:paraId="22E41C83" w14:textId="77777777" w:rsidR="004727D3"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lastRenderedPageBreak/>
        <w:t xml:space="preserve">“Muchos países deben encontrar un equilibrio complicado: por un lado, es necesaria una mayor productividad para impulsar el crecimiento potencial; pero por el otro, y dadas las magras perspectivas a nivel mundial, no deben perder de vista la aritmética de la sostenibilidad de la deuda”, dijo el Coordinador del informe del BID. </w:t>
      </w:r>
    </w:p>
    <w:p w14:paraId="29D83CCD" w14:textId="24269260" w:rsidR="00CD6E15" w:rsidRPr="00CD6E15" w:rsidRDefault="00CD6E15" w:rsidP="00CD6E15">
      <w:pPr>
        <w:spacing w:after="360" w:line="360" w:lineRule="auto"/>
        <w:ind w:right="-159"/>
        <w:jc w:val="both"/>
        <w:rPr>
          <w:rFonts w:eastAsia="Calibri"/>
          <w:sz w:val="26"/>
          <w:szCs w:val="26"/>
          <w:lang w:eastAsia="en-US"/>
        </w:rPr>
      </w:pPr>
      <w:r w:rsidRPr="00CD6E15">
        <w:rPr>
          <w:rFonts w:eastAsia="Calibri"/>
          <w:sz w:val="26"/>
          <w:szCs w:val="26"/>
          <w:lang w:eastAsia="en-US"/>
        </w:rPr>
        <w:t>“Se deben calibrar cuidadosamente los esfuerzos de consolidación tanto en el cuándo y el cómo se llevan a cabo en los años venideros”, agregó.</w:t>
      </w:r>
    </w:p>
    <w:p w14:paraId="67A13F5D" w14:textId="77777777" w:rsidR="00CD6E15" w:rsidRPr="00CD6E15" w:rsidRDefault="00CD6E15" w:rsidP="00CD6E15">
      <w:pPr>
        <w:ind w:right="-159"/>
        <w:jc w:val="both"/>
        <w:rPr>
          <w:rFonts w:eastAsia="Calibri"/>
          <w:b/>
          <w:sz w:val="20"/>
          <w:szCs w:val="20"/>
          <w:lang w:eastAsia="en-US"/>
        </w:rPr>
      </w:pPr>
      <w:r w:rsidRPr="00CD6E15">
        <w:rPr>
          <w:rFonts w:eastAsia="Calibri"/>
          <w:b/>
          <w:sz w:val="20"/>
          <w:szCs w:val="20"/>
          <w:lang w:eastAsia="en-US"/>
        </w:rPr>
        <w:t>Fuente de información:</w:t>
      </w:r>
    </w:p>
    <w:p w14:paraId="3008CA26" w14:textId="77777777" w:rsidR="00CD6E15" w:rsidRPr="007846AF" w:rsidRDefault="0045651A" w:rsidP="007846AF">
      <w:pPr>
        <w:spacing w:after="720"/>
        <w:ind w:right="-159"/>
        <w:jc w:val="both"/>
        <w:rPr>
          <w:rFonts w:eastAsia="Calibri"/>
          <w:color w:val="0000FF"/>
          <w:sz w:val="20"/>
          <w:szCs w:val="20"/>
          <w:lang w:eastAsia="en-US"/>
        </w:rPr>
      </w:pPr>
      <w:hyperlink r:id="rId240" w:history="1">
        <w:r w:rsidR="00CD6E15" w:rsidRPr="007846AF">
          <w:rPr>
            <w:rFonts w:eastAsia="Calibri"/>
            <w:color w:val="0000FF"/>
            <w:sz w:val="20"/>
            <w:szCs w:val="20"/>
            <w:u w:val="single"/>
            <w:lang w:eastAsia="en-US"/>
          </w:rPr>
          <w:t>http://www.iadb.org/es/noticias/comunicados-de-prensa/2015-03-29/informe-macroeconomico-del-bid-2015,11104.html</w:t>
        </w:r>
      </w:hyperlink>
      <w:r w:rsidR="00CD6E15" w:rsidRPr="007846AF">
        <w:rPr>
          <w:rFonts w:eastAsia="Calibri"/>
          <w:color w:val="0000FF"/>
          <w:sz w:val="20"/>
          <w:szCs w:val="20"/>
          <w:lang w:eastAsia="en-US"/>
        </w:rPr>
        <w:t xml:space="preserve"> </w:t>
      </w:r>
    </w:p>
    <w:p w14:paraId="5BEBCB2F" w14:textId="77777777" w:rsidR="002D1E9E" w:rsidRPr="002D1E9E" w:rsidRDefault="002D1E9E" w:rsidP="002D1E9E">
      <w:pPr>
        <w:spacing w:after="360" w:line="360" w:lineRule="auto"/>
        <w:ind w:right="-159"/>
        <w:jc w:val="both"/>
        <w:rPr>
          <w:rFonts w:eastAsia="Calibri"/>
          <w:b/>
          <w:sz w:val="26"/>
          <w:szCs w:val="26"/>
          <w:lang w:eastAsia="en-US"/>
        </w:rPr>
      </w:pPr>
      <w:r w:rsidRPr="002D1E9E">
        <w:rPr>
          <w:rFonts w:eastAsia="Calibri"/>
          <w:b/>
          <w:sz w:val="26"/>
          <w:szCs w:val="26"/>
          <w:lang w:eastAsia="en-US"/>
        </w:rPr>
        <w:t>Enredo en la macroeconomía (Project Syndicate)</w:t>
      </w:r>
    </w:p>
    <w:p w14:paraId="7FDEB571" w14:textId="08CAADF4"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El 24 de marzo de 2015, la organización Project Syndicate (</w:t>
      </w:r>
      <w:r w:rsidRPr="002D1E9E">
        <w:rPr>
          <w:rFonts w:eastAsia="Calibri"/>
          <w:i/>
          <w:sz w:val="26"/>
          <w:szCs w:val="26"/>
          <w:lang w:val="es-ES" w:eastAsia="en-US"/>
        </w:rPr>
        <w:t>PS</w:t>
      </w:r>
      <w:r w:rsidRPr="002D1E9E">
        <w:rPr>
          <w:rFonts w:eastAsia="Calibri"/>
          <w:sz w:val="26"/>
          <w:szCs w:val="26"/>
          <w:lang w:val="es-ES" w:eastAsia="en-US"/>
        </w:rPr>
        <w:t>) publicó el artículo “Enredo en la macroeconomía”</w:t>
      </w:r>
      <w:r w:rsidR="000F24E2">
        <w:rPr>
          <w:rFonts w:eastAsia="Calibri"/>
          <w:sz w:val="26"/>
          <w:szCs w:val="26"/>
          <w:lang w:val="es-ES" w:eastAsia="en-US"/>
        </w:rPr>
        <w:t>,</w:t>
      </w:r>
      <w:r w:rsidRPr="002D1E9E">
        <w:rPr>
          <w:rFonts w:eastAsia="Calibri"/>
          <w:sz w:val="26"/>
          <w:szCs w:val="26"/>
          <w:lang w:val="es-ES" w:eastAsia="en-US"/>
        </w:rPr>
        <w:t xml:space="preserve"> elaborado por Robert Skidelsky</w:t>
      </w:r>
      <w:r w:rsidRPr="002D1E9E">
        <w:rPr>
          <w:rFonts w:eastAsia="Calibri"/>
          <w:sz w:val="26"/>
          <w:szCs w:val="26"/>
          <w:vertAlign w:val="superscript"/>
          <w:lang w:val="es-ES" w:eastAsia="en-US"/>
        </w:rPr>
        <w:footnoteReference w:id="30"/>
      </w:r>
      <w:r w:rsidR="000F24E2">
        <w:rPr>
          <w:rFonts w:eastAsia="Calibri"/>
          <w:sz w:val="26"/>
          <w:szCs w:val="26"/>
          <w:lang w:val="es-ES" w:eastAsia="en-US"/>
        </w:rPr>
        <w:t>,</w:t>
      </w:r>
      <w:r w:rsidRPr="002D1E9E">
        <w:rPr>
          <w:rFonts w:eastAsia="Calibri"/>
          <w:sz w:val="26"/>
          <w:szCs w:val="26"/>
          <w:lang w:val="es-ES" w:eastAsia="en-US"/>
        </w:rPr>
        <w:t xml:space="preserve"> en </w:t>
      </w:r>
      <w:r w:rsidR="000F24E2">
        <w:rPr>
          <w:rFonts w:eastAsia="Calibri"/>
          <w:sz w:val="26"/>
          <w:szCs w:val="26"/>
          <w:lang w:val="es-ES" w:eastAsia="en-US"/>
        </w:rPr>
        <w:t>el cual analiza</w:t>
      </w:r>
      <w:r w:rsidRPr="002D1E9E">
        <w:rPr>
          <w:rFonts w:eastAsia="Calibri"/>
          <w:sz w:val="26"/>
          <w:szCs w:val="26"/>
          <w:lang w:val="es-ES" w:eastAsia="en-US"/>
        </w:rPr>
        <w:t xml:space="preserve"> la actual situación macroeconómica. A continuación se </w:t>
      </w:r>
      <w:r w:rsidR="005B5C5D">
        <w:rPr>
          <w:rFonts w:eastAsia="Calibri"/>
          <w:sz w:val="26"/>
          <w:szCs w:val="26"/>
          <w:lang w:val="es-ES" w:eastAsia="en-US"/>
        </w:rPr>
        <w:t>presenta</w:t>
      </w:r>
      <w:r w:rsidRPr="002D1E9E">
        <w:rPr>
          <w:rFonts w:eastAsia="Calibri"/>
          <w:sz w:val="26"/>
          <w:szCs w:val="26"/>
          <w:lang w:val="es-ES" w:eastAsia="en-US"/>
        </w:rPr>
        <w:t xml:space="preserve"> el contenido.</w:t>
      </w:r>
    </w:p>
    <w:p w14:paraId="1DE3BB6B" w14:textId="56649D05"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Hasta hace algunos años, economistas de todas doctrinas afirmaban enérgicamente que nunca se repetiría la Gran Depresión. Hasta cierto punto tuvieron razón. Después del estallido de la crisis financiera de 2008, lo que sobrevino en cambio fue la Gran Recesión. Los gobiernos pudieron controlar los daños mediante inyecciones de enormes sumas de dinero a la economía mundial y recortando a niveles cercanos a cero las tasas de interés. Sin embargo, interrumpir la caída de 2008-2009 agotó sus recursos intelectuales y políticos.</w:t>
      </w:r>
    </w:p>
    <w:p w14:paraId="4499CC04"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lastRenderedPageBreak/>
        <w:t>Los asesores económicos aseguraron a sus jefes que la recuperación vendría rápidamente. Y sí hubo un poco de reactivación pero después se estancó en 2010. Mientras tanto, los gobiernos tenían enormes déficit —legado de la desaceleración económica— que se supone sería moderada por un crecimiento restablecido. En la eurozona, países como Grecia enfrentaron crisis de deuda soberana pues los rescates bancarios convirtieron la deuda privada en deuda pública.</w:t>
      </w:r>
    </w:p>
    <w:p w14:paraId="5B348E9E"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La atención se dirigió al problema de los déficit fiscales y su relación con el crecimiento económico. ¿Deberían los gobiernos ampliar deliberadamente sus déficit a fin de contrarrestar la caída de la demanda de vivienda e inversiones? ¿O deberían tratar de recortar el gasto público con el fin de disponer de dinero para el gasto privado?</w:t>
      </w:r>
    </w:p>
    <w:p w14:paraId="0A502316"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Dependiendo de la teoría macroeconómica que se adopte, las dos opciones arriba mencionadas podrían haber sido presentadas como políticas favorecedoras del crecimiento. La primera podría generar la expansión de la economía porque el gobierno estaba aumentando el gasto público; la segunda tendría el mismo efecto pero porque se recortaba el gasto público. La teoría keynesiana sugiere la primera opción; y los gobiernos le tienen unánimemente fe a la segunda.</w:t>
      </w:r>
    </w:p>
    <w:p w14:paraId="3F5EB4BF"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Las consecuencias de esta opción son claras. Ahora se acepta generalmente que una mayor disciplina fiscal costó a las economías desarrolladas entre 5 y 10 puntos porcentuales de crecimiento del Producto Interno Bruto (PIB) desde 2010. El conjunto de la producción e ingresos se han perdido definitivamente. Además, como la austeridad fiscal sofocó el crecimiento económico se complicó mucho más la tarea de reducir el déficit de presupuesto y la deuda nacional como proporción del PIB. Se descubrió que recortar el gasto público no era lo mismo que reducir el déficit porque desaceleró la economía.</w:t>
      </w:r>
    </w:p>
    <w:p w14:paraId="2F48CE3E"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 xml:space="preserve">Ello debió haber sido suficiente razón para no hacerlo. Pero no fue así. Algunos economistas señalan que los gobiernos enfrentaron un equilibrio de riesgo en 2010: </w:t>
      </w:r>
      <w:r w:rsidRPr="002D1E9E">
        <w:rPr>
          <w:rFonts w:eastAsia="Calibri"/>
          <w:sz w:val="26"/>
          <w:szCs w:val="26"/>
          <w:lang w:val="es-ES" w:eastAsia="en-US"/>
        </w:rPr>
        <w:lastRenderedPageBreak/>
        <w:t>reducir el déficit pudo haber desacelerado el crecimiento; pero de haberlo dejado así pudo haber empeorado las cosas.</w:t>
      </w:r>
    </w:p>
    <w:p w14:paraId="171CE59C"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El argumento decía que el remedio keynesiano ignoraba el efecto de políticas fiscales en las expectativas. Si la opinión pública pensara que recortar el déficit era lo pertinente, entonces permitir un aumento del déficit anularía cualquier esperanza de efecto de estímulo. Pensar que los impuestos tendrían que aumentar para “financiar” el gasto extra, entonces hogares y compañías aumentarían su ahorro. Temer a los impagos soberanos, entonces los mercados de obligaciones cobrarían a los gobiernos tasas de interés punitivas sobre los créditos que solicitaran.</w:t>
      </w:r>
    </w:p>
    <w:p w14:paraId="4AA15748"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Y aquí está el punto clave: al comprometerse a aplicar una mayor disciplina fiscal, los ministros de Finanzas se otorgaron el margen de maniobra para un poco de flexibilidad fiscal. Proclamar virtudes fiscales les permitió caer en indulgencia fiscal. Pudieron crear la ilusión de disciplina fiscal mediante un recorte menor que el prometido; y eso es lo que hicieron gran parte de los ministros de Finanzas.</w:t>
      </w:r>
    </w:p>
    <w:p w14:paraId="2A9E352E"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Esto es en parte el problema en el que se han metido los macroeconomistas. Una vez que las creencias y expectativas entran en la economía, como es razonable pensar, los resultados de política fiscal se vuelven indeterminados. Mucho depende de cómo perciben las personas que serán los resultados de una política. En la jerga de los economistas, los resultados de política son “dependientes del modelo”.</w:t>
      </w:r>
    </w:p>
    <w:p w14:paraId="126AFF41"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El economista y Premio Nobel, Paul Krugman, ha ridiculizado lo que denomina “el hada de la confianza”, la afirmación de que la política fiscal tiene que exigir el respaldo de los mercados de obligaciones. Sin embargo, mostrar que una política corriente empeoró las cosas no significa que existiera una mejor. El éxito adecuado de una política puede depender de las expectativas del público sobre sus efectos. La pregunta sin responder es por qué el público tendría expectativas equivocadas.</w:t>
      </w:r>
    </w:p>
    <w:p w14:paraId="2DCF166A"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lastRenderedPageBreak/>
        <w:t>Si la política fiscal es un enredo, la política monetaria también. Los bancos centrales han tratado de evitar el hada de la confianza mediante impresión de dinero —técnicamente, comprando bonos gubernamentales en el mercado secundario—. Se espera que el dinero extra permee en la economía y acelerar la actividad. El Banco Central Europeo (BCE) acaba de empezar un programa de compra de bonos por 1.17 billones de dólares para sortear el veto alemán sobre expansión fiscal.</w:t>
      </w:r>
    </w:p>
    <w:p w14:paraId="7C9BA404"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Sin embargo, los efectos de la llamada facilitación cuantitativa también dependen de las expectativas. Si ofrecer a las empresas dinero extra les da mayor confianza, entonces gastarán más, pero si desconfían de la política, entonces acumularán el dinero.</w:t>
      </w:r>
    </w:p>
    <w:p w14:paraId="79F0208A"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Los resultados de la facilitación cuantitativa en los Estados Unidos de Norteamérica y Reino Unido han sido ambiguos. Es cierto que los gobiernos podían obtener crédito más asequible a medida que caían los rendimientos. Sin embargo, los bancos no estaban ofreciendo los créditos que se habían puesto a disposición de los gobiernos, en parte porque lo usaban para pagar sus propias deudas, y también porque había una baja demanda de créditos.</w:t>
      </w:r>
    </w:p>
    <w:p w14:paraId="0C1D4E57"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El efecto positivo más importante de la facilitación cuantitativa se dio en los precios de los activos —principalmente activos financieros—. Sin embargo, más riqueza para los ricos no produce necesariamente mucho más gasto extra. Incrementa la desigualdad y crea riesgo de burbujas de activos, lo que puede desembocar en una nueva quiebra financiera.</w:t>
      </w:r>
    </w:p>
    <w:p w14:paraId="5B530AFD"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 xml:space="preserve">Así pues, llegamos a la era poscrisis sin una postura definida correcta sobre la política macroeconómica para la recuperación y prevención de futuras desaceleraciones. Grandes esperanzas se sustentan en una mejor regulación financiera para frenar la excesiva creación de crédito. No obstante, ¿qué es “excesivo”? ¿Seguirán los bancos centrales fijando una meta de 2% de inflación? ¿O deberían fijar como objetivo el </w:t>
      </w:r>
      <w:r w:rsidRPr="002D1E9E">
        <w:rPr>
          <w:rFonts w:eastAsia="Calibri"/>
          <w:sz w:val="26"/>
          <w:szCs w:val="26"/>
          <w:lang w:val="es-ES" w:eastAsia="en-US"/>
        </w:rPr>
        <w:lastRenderedPageBreak/>
        <w:t>“ingreso nominal”? ¿Cómo deberían ser las nuevas reglas fiscales y cómo —en la eurozona— se deben poner en vigor?</w:t>
      </w:r>
    </w:p>
    <w:p w14:paraId="1BD96C45" w14:textId="77777777" w:rsidR="002D1E9E" w:rsidRPr="002D1E9E" w:rsidRDefault="002D1E9E" w:rsidP="002D1E9E">
      <w:pPr>
        <w:spacing w:after="360" w:line="360" w:lineRule="auto"/>
        <w:ind w:right="-159"/>
        <w:jc w:val="both"/>
        <w:rPr>
          <w:rFonts w:eastAsia="Calibri"/>
          <w:sz w:val="26"/>
          <w:szCs w:val="26"/>
          <w:lang w:val="es-ES" w:eastAsia="en-US"/>
        </w:rPr>
      </w:pPr>
      <w:r w:rsidRPr="002D1E9E">
        <w:rPr>
          <w:rFonts w:eastAsia="Calibri"/>
          <w:sz w:val="26"/>
          <w:szCs w:val="26"/>
          <w:lang w:val="es-ES" w:eastAsia="en-US"/>
        </w:rPr>
        <w:t>Los economistas debaten si las economías de mercado son naturalmente estables. Como keynesiano pienso firmemente que las economías de mercado necesitan políticas estabilizadoras. Sin embargo, los keynesianos tienen que enfrentar la incómoda verdad de que el éxito de políticas estabilizadoras puede depender de la comunidad empresarial con expectativas keynesianas. Necesitan tener de su lado al hada de la confianza.</w:t>
      </w:r>
    </w:p>
    <w:p w14:paraId="7F1B5D2B" w14:textId="77777777" w:rsidR="002D1E9E" w:rsidRPr="002D1E9E" w:rsidRDefault="002D1E9E" w:rsidP="002D1E9E">
      <w:pPr>
        <w:ind w:right="-159"/>
        <w:jc w:val="both"/>
        <w:rPr>
          <w:rFonts w:eastAsia="Calibri"/>
          <w:b/>
          <w:sz w:val="20"/>
          <w:szCs w:val="20"/>
          <w:lang w:eastAsia="en-US"/>
        </w:rPr>
      </w:pPr>
      <w:r w:rsidRPr="002D1E9E">
        <w:rPr>
          <w:rFonts w:eastAsia="Calibri"/>
          <w:b/>
          <w:sz w:val="20"/>
          <w:szCs w:val="20"/>
          <w:lang w:eastAsia="en-US"/>
        </w:rPr>
        <w:t>Fuente de información:</w:t>
      </w:r>
    </w:p>
    <w:p w14:paraId="57D22D1C" w14:textId="77777777" w:rsidR="002D1E9E" w:rsidRPr="007846AF" w:rsidRDefault="0045651A" w:rsidP="002D1E9E">
      <w:pPr>
        <w:ind w:right="-159"/>
        <w:jc w:val="both"/>
        <w:rPr>
          <w:rFonts w:eastAsia="Calibri"/>
          <w:color w:val="0000FF"/>
          <w:sz w:val="20"/>
          <w:szCs w:val="20"/>
          <w:lang w:val="es-ES" w:eastAsia="en-US"/>
        </w:rPr>
      </w:pPr>
      <w:hyperlink r:id="rId241" w:history="1">
        <w:r w:rsidR="002D1E9E" w:rsidRPr="007846AF">
          <w:rPr>
            <w:rFonts w:eastAsia="Calibri"/>
            <w:color w:val="0000FF"/>
            <w:sz w:val="20"/>
            <w:szCs w:val="20"/>
            <w:u w:val="single"/>
            <w:lang w:val="es-ES" w:eastAsia="en-US"/>
          </w:rPr>
          <w:t>http://www.project-syndicate.org/commentary/economic-policies-public-expectations-by-robert-skidelsky-2015-03/spanish</w:t>
        </w:r>
      </w:hyperlink>
    </w:p>
    <w:p w14:paraId="7750D9B1" w14:textId="5888B618" w:rsidR="000D31C7" w:rsidRDefault="000D31C7">
      <w:pPr>
        <w:rPr>
          <w:rFonts w:eastAsia="Calibri"/>
          <w:sz w:val="26"/>
          <w:szCs w:val="26"/>
          <w:lang w:eastAsia="en-US"/>
        </w:rPr>
      </w:pPr>
      <w:r>
        <w:rPr>
          <w:rFonts w:eastAsia="Calibri"/>
          <w:sz w:val="26"/>
          <w:szCs w:val="26"/>
          <w:lang w:eastAsia="en-US"/>
        </w:rPr>
        <w:br w:type="page"/>
      </w:r>
    </w:p>
    <w:p w14:paraId="51CCEA04" w14:textId="77777777" w:rsidR="00502AED" w:rsidRPr="005F5958" w:rsidRDefault="00012C3A" w:rsidP="0015239D">
      <w:pPr>
        <w:spacing w:after="360" w:line="360" w:lineRule="auto"/>
        <w:ind w:right="-159"/>
        <w:jc w:val="both"/>
        <w:rPr>
          <w:b/>
          <w:color w:val="0000FF"/>
          <w:sz w:val="28"/>
          <w:szCs w:val="28"/>
        </w:rPr>
      </w:pPr>
      <w:r w:rsidRPr="005F5958">
        <w:rPr>
          <w:b/>
          <w:color w:val="0000FF"/>
          <w:sz w:val="28"/>
          <w:szCs w:val="28"/>
        </w:rPr>
        <w:lastRenderedPageBreak/>
        <w:t>POLÍTICA FINANCIERA Y CREDITICIA</w:t>
      </w:r>
    </w:p>
    <w:p w14:paraId="3B738E31" w14:textId="77777777" w:rsidR="0037350D" w:rsidRPr="0037350D" w:rsidRDefault="0037350D" w:rsidP="0037350D">
      <w:pPr>
        <w:ind w:right="-159"/>
        <w:jc w:val="both"/>
        <w:rPr>
          <w:rFonts w:eastAsia="Calibri"/>
          <w:b/>
          <w:sz w:val="26"/>
          <w:szCs w:val="26"/>
          <w:lang w:eastAsia="en-US"/>
        </w:rPr>
      </w:pPr>
      <w:r w:rsidRPr="0037350D">
        <w:rPr>
          <w:rFonts w:eastAsia="Calibri"/>
          <w:b/>
          <w:sz w:val="26"/>
          <w:szCs w:val="26"/>
          <w:lang w:eastAsia="en-US"/>
        </w:rPr>
        <w:t>Aprueban Ley de Ahorro y Crédito</w:t>
      </w:r>
    </w:p>
    <w:p w14:paraId="5B22C7F0" w14:textId="77777777" w:rsidR="0037350D" w:rsidRPr="0037350D" w:rsidRDefault="0037350D" w:rsidP="0037350D">
      <w:pPr>
        <w:spacing w:after="360" w:line="360" w:lineRule="auto"/>
        <w:ind w:right="-159"/>
        <w:jc w:val="both"/>
        <w:rPr>
          <w:rFonts w:eastAsia="Calibri"/>
          <w:b/>
          <w:sz w:val="26"/>
          <w:szCs w:val="26"/>
          <w:lang w:eastAsia="en-US"/>
        </w:rPr>
      </w:pPr>
      <w:r w:rsidRPr="0037350D">
        <w:rPr>
          <w:rFonts w:eastAsia="Calibri"/>
          <w:b/>
          <w:sz w:val="26"/>
          <w:szCs w:val="26"/>
          <w:lang w:eastAsia="en-US"/>
        </w:rPr>
        <w:t>Popular (Cámara de Diputados)</w:t>
      </w:r>
    </w:p>
    <w:p w14:paraId="605D2FBB"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22 de abril de 2015, la Cámara de Diputados aprobó la Ley de Ahorro y Crédito Popular, la envían al Senado. Los aspectos a destacar son:</w:t>
      </w:r>
    </w:p>
    <w:p w14:paraId="71FD0833" w14:textId="77777777" w:rsidR="0037350D" w:rsidRPr="0037350D" w:rsidRDefault="0037350D" w:rsidP="00667577">
      <w:pPr>
        <w:numPr>
          <w:ilvl w:val="0"/>
          <w:numId w:val="181"/>
        </w:numPr>
        <w:spacing w:after="360" w:line="360" w:lineRule="auto"/>
        <w:ind w:left="714" w:right="-159" w:hanging="357"/>
        <w:jc w:val="both"/>
        <w:rPr>
          <w:rFonts w:eastAsia="Calibri"/>
          <w:sz w:val="26"/>
          <w:szCs w:val="26"/>
          <w:lang w:eastAsia="en-US"/>
        </w:rPr>
      </w:pPr>
      <w:r w:rsidRPr="0037350D">
        <w:rPr>
          <w:rFonts w:eastAsia="Calibri"/>
          <w:bCs/>
          <w:sz w:val="26"/>
          <w:szCs w:val="26"/>
          <w:lang w:eastAsia="en-US"/>
        </w:rPr>
        <w:t>Habrá un Fondo para Atención de Pequeños Ahorradores de Sociedades Financieras Populares, para protegerlos hasta con un millón de pesos.</w:t>
      </w:r>
    </w:p>
    <w:p w14:paraId="1330829E" w14:textId="77777777" w:rsidR="0037350D" w:rsidRPr="0037350D" w:rsidRDefault="0037350D" w:rsidP="00667577">
      <w:pPr>
        <w:numPr>
          <w:ilvl w:val="0"/>
          <w:numId w:val="181"/>
        </w:numPr>
        <w:spacing w:after="360" w:line="360" w:lineRule="auto"/>
        <w:ind w:left="714" w:right="-159" w:hanging="357"/>
        <w:jc w:val="both"/>
        <w:rPr>
          <w:rFonts w:eastAsia="Calibri"/>
          <w:sz w:val="26"/>
          <w:szCs w:val="26"/>
          <w:lang w:eastAsia="en-US"/>
        </w:rPr>
      </w:pPr>
      <w:r w:rsidRPr="0037350D">
        <w:rPr>
          <w:rFonts w:eastAsia="Calibri"/>
          <w:bCs/>
          <w:sz w:val="26"/>
          <w:szCs w:val="26"/>
          <w:lang w:eastAsia="en-US"/>
        </w:rPr>
        <w:t>Además, se crean los instrumentos legales para ayudar a miles de ahorradores defraudados por Ficrea.</w:t>
      </w:r>
    </w:p>
    <w:p w14:paraId="470FA51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 continuación se presenta la información.</w:t>
      </w:r>
    </w:p>
    <w:p w14:paraId="3E3C4375"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La Cámara de Diputados aprobó, en el general y particular, el dictamen que expide la “Ley de Ahorro y Crédito Popular”, cuyo propósito es proteger el ahorro popular, robustecer el sistema financiero nacional y otorgar más facultades a las autoridades, así como regular a los intermediarios financieros para que operen de manera profesional y segura.</w:t>
      </w:r>
    </w:p>
    <w:p w14:paraId="28F4C7E1"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Además, crea el “Fondo para la Atención de Pequeños Ahorradores de Sociedades Financieras Populares (Sofipos)” que tendrá por objeto cubrir el principal y los accesorios de los ahorros de las personas físicas depositados en Sofipos que, hasta antes de la entrada en vigor del decreto, hayan sido revocadas por estar en estado de disolución y liquidación, hasta por un monto de un millón pesos.</w:t>
      </w:r>
    </w:p>
    <w:p w14:paraId="51A4DD8D"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 xml:space="preserve">También atiende la problemática de los ahorradores de la Sociedad Financiera Popular en Liquidación (Ficrea), que evidenció distintas irregularidades y serios problemas al no cumplir la regulación, faltó a la transparencia e integridad de la información y no </w:t>
      </w:r>
      <w:r w:rsidRPr="0037350D">
        <w:rPr>
          <w:rFonts w:eastAsia="Calibri"/>
          <w:sz w:val="26"/>
          <w:szCs w:val="26"/>
          <w:lang w:eastAsia="en-US"/>
        </w:rPr>
        <w:lastRenderedPageBreak/>
        <w:t>atendió, de manera adecuada, los requerimientos de información de la Comisión Nacional Bancaria y de Valores (CNBV).</w:t>
      </w:r>
    </w:p>
    <w:p w14:paraId="3CD449C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documento avalado en lo general, con 328 votos a favor, 35 en contra y 16 abstenciones, también reforma las leyes para Regular las Actividades de las Sociedades Cooperativas de Ahorro y Préstamo y de la Comisión Nacional Bancaria y de Valores, así como el Código Federal de Procedimientos Penales. Fue enviado al Senado de la República para sus efectos constitucionales.</w:t>
      </w:r>
    </w:p>
    <w:p w14:paraId="371E61A8"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Respecto al “Fondo para la Atención de Pequeños Ahorradores de Sofipo”, el dictamen señala que para determinar el monto a pagar por ahorrador, se deberán descontar de sus depósitos, el saldo insoluto de los créditos respecto de los cuales sea deudor el propio ahorrador frente a la sociedad financiera popular en liquidación, así como el monto del seguro de depósito correspondiente.</w:t>
      </w:r>
    </w:p>
    <w:p w14:paraId="23953D21"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fondo deberá realizar los actos necesarios a fin de que a los 30 días siguientes contados a partir de la entrada en vigor del decreto se encuentre en posibilidades de recibir las solicitudes de pago, en un período que no podrá exceder los 120 días posteriores.</w:t>
      </w:r>
    </w:p>
    <w:p w14:paraId="2F56DF53"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citado fondo se constituirá como una subcuenta en el Fideicomiso que administrará el Fondo para el Fortalecimiento de Sociedades y Cooperativas de Ahorro y Préstamo y de Apoyo a sus Ahorradores. El Gobierno federal realizará las aportaciones necesarias para éstos efectos.</w:t>
      </w:r>
    </w:p>
    <w:p w14:paraId="32C23FCE"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Los montos de pago quedarán sujetos a los recursos disponibles aportados por el Gobierno federal; los términos y condiciones serán establecidos mediante las reglas que para tal efecto establezca el Comité Técnico del Fideicomiso que administrará el Fondo para el Fortalecimiento de Sociedades y Cooperativas de Ahorro y Préstamo y de Apoyo a sus Ahorradores.</w:t>
      </w:r>
    </w:p>
    <w:p w14:paraId="611694B4"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Para efectos del pago a los ahorradores, dicho Comité Técnico se podrá auxiliar del Fondo de Protección de Sociedades Financieras Populares y de Protección a sus Ahorradores previsto en la “Ley de Ahorro y Crédito Popular” vigente a la fecha de disolución y liquidación de la sociedad financiera popular de que se trate.</w:t>
      </w:r>
    </w:p>
    <w:p w14:paraId="3A53B98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Se establece que, adicionalmente, Ficrea, S.A. de C.V., Sociedad Financiera Popular en Liquidación estará obligada a entregar al Comité Técnico toda la información y documentación necesaria a fin de proceder al pago a los ahorradores.</w:t>
      </w:r>
    </w:p>
    <w:p w14:paraId="390208E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En la fundamentación, el Secretario de la Comisión de Hacienda y Crédito Público (de la Cámara de diputados) expresó que con el dictamen se fortalece el sistema financiero nacional y crea los mecanismos e instrumentos legales para ayudar a los miles de ahorradores que fueron defraudados por Ficrea.</w:t>
      </w:r>
    </w:p>
    <w:p w14:paraId="1E1B4B2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Aseveró que esta nueva ley pretende asegurar que las entidades de ahorro y crédito popular no se desvíen de su objeto y operen con solidez; limita los saldos permitidos en el sector, fortalece el gobierno corporativo de los intermediarios, establece una regulación prudencial diferenciada en función del riesgo de las instituciones y prohíbe la creación de entidades no autorizadas.</w:t>
      </w:r>
    </w:p>
    <w:p w14:paraId="181DC49F"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Fortalece los mecanismos de supervisión para fomentar el sano desarrollo de las entidades del sector y elimina la supervisión auxiliar de las Sofipos que se hace y se hacía a través de federaciones formadas por ellas mismas, creando así un conflicto de interés que en nada podía ayudar a los ahorradores que confían sus recursos en éstas entidades, añadió.</w:t>
      </w:r>
    </w:p>
    <w:p w14:paraId="490CD1DE"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Además, amplía las opciones para atender de forma expedita y eficiente a las entidades en problemas, ya que se va a poder implementar uno o varios mecanismos de resolución, fusión, escisión de solución y liquidación.</w:t>
      </w:r>
    </w:p>
    <w:p w14:paraId="0BDBFDC7"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Establece que el “seguro de depósito”, para los ahorradores del sector de ahorro y crédito popular, será administrado por un fideicomiso público controlado por el Estado; precisa que se trabajará en una eventual transición para que dicho seguro sea administrado por el Instituto para la Protección al Ahorro Bancario (IPAB) en un futuro.</w:t>
      </w:r>
    </w:p>
    <w:p w14:paraId="11A383C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Secretario de la Comisión de Hacienda y Crédito Público sostuvo que es labor del Legislativo seguir vigilando para que estas sociedades actúen de manera correcta y continúen fortaleciéndose y se avance hacia una educación financiera que le permita a la gente tomar mejores decisiones en el momento en que confía sus ahorros a este tipo de instituciones.</w:t>
      </w:r>
    </w:p>
    <w:p w14:paraId="49022907"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Enseguida, se aceptaron, en votación económica, las propuestas de modificación de la Comisión de Hacienda que consideran, entre otros aspectos, ampliar los límites máximos de las operaciones de las Sofipos, para recibir depósito de dinero a la vista, de ahorro, a plazo, retirables en días preestablecidos y con previo aviso, hasta por 400 mil unidades de inversión (UDIs) para personas físicas, en lugar de 200 mil, y un millón 400 mil UDIs para las personas morales, en lugar de un millón.</w:t>
      </w:r>
    </w:p>
    <w:p w14:paraId="72ECC7EF"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También se avaló que las “Sociedades Financieras Comunitarias” tengan hasta el 31 de diciembre de 2016 para solicitar ante la CNBV autorización para operar y organizarse como Sofipos. Se determinó que la Comisión Nacional Bancaria y de Valores emita las disposiciones de carácter general a que se refiere este decreto, a más tardar en noviembre de 2015.</w:t>
      </w:r>
    </w:p>
    <w:p w14:paraId="00BF063A"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La CNBV deberá otorgar la asistencia técnica financiera y jurídica necesaria que requieran las Sofipos, para lograr la transformación; ésta deberá tomar en consideración el trabajo realizado, así como los antecedentes de la sociedad respectiva, para agilizar y facilitar el proceso que se siga.</w:t>
      </w:r>
    </w:p>
    <w:p w14:paraId="3B5E8FD9"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Además, asesorará a las Sofipos, constituidas a la fecha de entrada en vigor de este decreto, que pretendan solicitar autorización para transformarse en otro tipo de entidad financiera. Esta asesoría incluirá aspectos como la idoneidad financiera y jurídica de la transformación y se realizará de forma previa a la presentación de la solicitud.</w:t>
      </w:r>
    </w:p>
    <w:p w14:paraId="35C15B30" w14:textId="77777777" w:rsidR="0037350D" w:rsidRPr="0037350D" w:rsidRDefault="0037350D" w:rsidP="0037350D">
      <w:pPr>
        <w:spacing w:after="360" w:line="360" w:lineRule="auto"/>
        <w:ind w:right="-159"/>
        <w:jc w:val="both"/>
        <w:rPr>
          <w:rFonts w:eastAsia="Calibri"/>
          <w:b/>
          <w:sz w:val="26"/>
          <w:szCs w:val="26"/>
          <w:lang w:eastAsia="en-US"/>
        </w:rPr>
      </w:pPr>
      <w:r w:rsidRPr="0037350D">
        <w:rPr>
          <w:rFonts w:eastAsia="Calibri"/>
          <w:b/>
          <w:sz w:val="26"/>
          <w:szCs w:val="26"/>
          <w:lang w:eastAsia="en-US"/>
        </w:rPr>
        <w:t>Posicionamiento:</w:t>
      </w:r>
    </w:p>
    <w:p w14:paraId="55D4203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Al iniciar los posicionamientos, la diputada de Morena, Loretta Ortíz Ahlf, sostuvo que lo sucedido en Ficrea no fue por falta de regulaciones, sino por las omisiones cometidas por funcionarios de la CNBV y de la Secretaría de Hacienda y Crédito Público, y afirmó que el dictamen pretende imponer un modelo regulatorio ajeno a las organizaciones populares.</w:t>
      </w:r>
    </w:p>
    <w:p w14:paraId="45E3FD3F"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Resaltó que para la elaboración del dictamen no se consultó a las cooperativas del sector popular, pero sí a las instituciones bancarias. “Con el rescate de Ficrea sí se está creando un nuevo Fobaproa; Hacienda va pagar nuevamente este adeudo. Hay una distinción entre pequeños y grandes ahorradores que va en contra de la Constitución”, añadió.</w:t>
      </w:r>
    </w:p>
    <w:p w14:paraId="567746FB"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La diputada María Sanjuana Cerda Franco (Nueva Alianza) recordó que el fraude de Ficrea asciende a más de 5 mil 800 millones de pesos, afectando a más de seis millones de ahorradores, y destacó que con este dictamen se fortalece el sistema financiero y elimina la supervisión auxiliar a través de las federaciones que fungían como juez y parte.</w:t>
      </w:r>
    </w:p>
    <w:p w14:paraId="38EAF70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Destacó la importancia de emprender una mejor educación financiera y sostuvo que el dictamen fortalece el marco normativo en materia de crédito popular y da respuesta, en tiempo y forma, a los ahorradores que fueron afectados por Ficrea; de ese modo, agregó, por lo menos 80 % de los defraudados recuperarán su inversión a través del Fondo para la Atención de Pequeños Ahorradores de Sofipos.</w:t>
      </w:r>
    </w:p>
    <w:p w14:paraId="2912C9D1"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Del PT, la diputada Lilia Aguilar Gil sostuvo que hoy el Congreso cumple su compromiso con los defraudados por Ficrea, pero además con una responsabilidad de una deuda que tiene desde hace 15 años, pues en este tiempo “nunca se había dado un paso de regulación a las sociedades que prestan servicios financieros no bancarios como éste”.</w:t>
      </w:r>
    </w:p>
    <w:p w14:paraId="192D956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Explicó que se crea un fondo de apoyo entre un mil 500 y un mil 700 millones de pesos para los ahorradores de Ficrea y puedan, mediante este fideicomiso, vender o entregar su deuda con el propósito de que el gobierno se responsabilice y sea el único acreedor. “Es un rescate para los usuarios de Ficrea, no para los bancos, no para los dueños”, apuntó.</w:t>
      </w:r>
    </w:p>
    <w:p w14:paraId="04C89B29"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Juan Ignacio Samperio Montaño, diputado de Movimiento Ciudadano, argumentó que datos de la Comisión Nacional Bancaria de Valores refieren que entre junio de 2011 y junio de 2012 el número de préstamos personales otorgados por la banca aumentó 31%, por lo cual resulta importante vigilar el correcto actuar de las entidades financieras; en específico, de las actividades que realicen las sociedades financieras populares.</w:t>
      </w:r>
    </w:p>
    <w:p w14:paraId="1EF51D1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Dijo estar a favor de las mejoras regulatorias que permitan total certeza a los ahorradores y dar respuesta inmediata a todas aquellas familias que han invertido todos sus ahorros y de que los responsables del fraude de más de 6 mil 600 millones de pesos sean procesados y sancionados penalmente; sin embargo, manifestó su postura en contra de los acuerdos que permitan disponer del dinero público, para solventar las irregularidades de Ficrea.</w:t>
      </w:r>
    </w:p>
    <w:p w14:paraId="3C6A6AE7"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Por el PVEM, el diputado David Pérez Tejada Padilla resaltó que el actual Sistema Financiero Mexicano implica severas deficiencias, las cuales afectan significativamente al progreso social del país y a todos los ciudadanos en lo individual. Por ello, dijo, es urgente tener un nuevo contexto en el cual no existiera la autorregulación.</w:t>
      </w:r>
    </w:p>
    <w:p w14:paraId="5993EE71"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Aclaró que la creación del fondo de apoyo —que podrá ser cobrado a partir del mes de mayo—, no es un rescate financiero, “como lo fue el Fobaproa, es un instrumento mediante el cual se permitirá adelantar los recursos de la liquidación en beneficio de los ahorradores más pequeños”.</w:t>
      </w:r>
    </w:p>
    <w:p w14:paraId="1B2F4CAE"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Fernando Belaunzarán Méndez, diputado del PRD, enfatizó que esta es una solución satisfactoria a un problema complejo y aclaró que no se trata de un “Fobaproa” ni tampoco un rescate porque no es dinero público el que asumirá la deuda o el fraude de Ficrea y el gobierno va a recuperar lo que invierta para apoyar a los ahorradores.</w:t>
      </w:r>
    </w:p>
    <w:p w14:paraId="009D6AB5"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Hay muchas cooperativas que trabajan bien, “pero hay un problema: no sólo hay fraude en las zonas urbanas sino también en las rurales todos los días con la gente más desprotegida”. Por ello, dijo, es necesario tener medidas preventivas para que no ocurran nuevos fraudes.</w:t>
      </w:r>
    </w:p>
    <w:p w14:paraId="32135DC6"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diputado Juan Bueno Torio (PAN) indicó que se pretende acabar con los abusos y fraudes de que son víctimas millones de mexicanos que acuden a llevar sus ahorros a este tipo de instituciones. Se pronunció a favor del dictamen, porque fortalece y consolida al sector financiero de ahorro y crédito popular.</w:t>
      </w:r>
    </w:p>
    <w:p w14:paraId="2C013B5D"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Se robustecen, añadió, los mecanismos para una mejor supervisión, mayor seguridad para los ahorradores, se fortalecen las facultades de las autoridades financieras y hacendarias y, se definen claramente las sanciones que se impondrán. Sin embargo, dijo, que no está de acuerdo en resolver el problema de los ahorradores de Ficrea porque “ya la ley hoy les otorga un seguro de 132 mil pesos para cada uno”.</w:t>
      </w:r>
    </w:p>
    <w:p w14:paraId="464F3A3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 xml:space="preserve">La diputada Elsa Patricia Araujo de la Torre (PRI) explicó que la importancia del dictamen radica en que las instituciones de ahorro popular atienden a gente de escasos recursos que no tiene acceso a los servicios de banca tradicional, “a personas que como </w:t>
      </w:r>
      <w:r w:rsidRPr="0037350D">
        <w:rPr>
          <w:rFonts w:eastAsia="Calibri"/>
          <w:sz w:val="26"/>
          <w:szCs w:val="26"/>
          <w:lang w:eastAsia="en-US"/>
        </w:rPr>
        <w:lastRenderedPageBreak/>
        <w:t>en el caso de Ficrea, invirtieron los ahorros de toda una vida para tener una vejez más tranquila.</w:t>
      </w:r>
    </w:p>
    <w:p w14:paraId="6879F104"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Con este dictamen más de cinco mil ahorradores recuperarán el 100% de su dinero, hasta la cantidad de un millón de pesos, a partir de mayo, vía un Fondo de Apoyo, “el cual no representará costo alguno para el erario”, afirmó.</w:t>
      </w:r>
    </w:p>
    <w:p w14:paraId="2920071D" w14:textId="77777777" w:rsidR="0037350D" w:rsidRPr="0037350D" w:rsidRDefault="0037350D" w:rsidP="0037350D">
      <w:pPr>
        <w:spacing w:after="360" w:line="360" w:lineRule="auto"/>
        <w:ind w:right="-159"/>
        <w:jc w:val="both"/>
        <w:rPr>
          <w:rFonts w:eastAsia="Calibri"/>
          <w:b/>
          <w:sz w:val="26"/>
          <w:szCs w:val="26"/>
          <w:lang w:eastAsia="en-US"/>
        </w:rPr>
      </w:pPr>
      <w:r w:rsidRPr="0037350D">
        <w:rPr>
          <w:rFonts w:eastAsia="Calibri"/>
          <w:b/>
          <w:sz w:val="26"/>
          <w:szCs w:val="26"/>
          <w:lang w:eastAsia="en-US"/>
        </w:rPr>
        <w:t>Debate:</w:t>
      </w:r>
    </w:p>
    <w:p w14:paraId="4CBDA326"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Durante la discusión, la diputada Zuleyma Huidobro González (Movimiento Ciudadano) planteó que este dictamen afectará a más de 400 mil pequeños ahorradores, y paulatinamente, a más de 6 millones porque no tendrán acceso a los sistemas financieros tradicionales.</w:t>
      </w:r>
    </w:p>
    <w:p w14:paraId="2228CAD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diputado Ricardo Astudillo Suárez (PVEM) afirmó la reforma disminuye la probabilidad de que se den situaciones como la de Ficrea, “se puedan salvaguardar y otorgar resguardo a todos los ahorradores que fueron defraudados en nuestro país”.</w:t>
      </w:r>
    </w:p>
    <w:p w14:paraId="11F95785"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Luisa María Alcalde Luján, diputada de Morena, consideró que la propuesta representa un riesgo en la operación de instituciones financieras populares que otorgan créditos a las familias y productores más vulnerables, pues desaparece figuras e instituciones básicas de acceso al crédito como las sociedades financieras comunitarias y las obliga a emigrar al régimen de populares de manera unilateral.</w:t>
      </w:r>
    </w:p>
    <w:p w14:paraId="259F478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Del PRD, el diputado Ernesto Germán Sánchez Jiménez comentó que se trata de dotar de certidumbre jurídica a quienes hoy se encuentran en estado de indefensión; no solamente por la comisión de delitos sino por el bien de todo el sistema financiero mexicano, en virtud de los impactos económicos que pudieran presentarse en un futuro y con ello evitar replicar estas experiencias.</w:t>
      </w:r>
    </w:p>
    <w:p w14:paraId="6A8716E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lastRenderedPageBreak/>
        <w:t>De la misma bancada, el diputado Uriel Flores Aguayo estimó que este dictamen “es un rescate porque se van a utilizar recursos públicos y no se va a recuperar más que un pequeño porcentaje; pero lo peor es que se exime y se lava las responsabilidades de Hacienda y Condusef”.</w:t>
      </w:r>
    </w:p>
    <w:p w14:paraId="5B874DA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Al hablar a favor, el diputado Javier López Zavala (PRI) manifestó que es inaceptable que instituciones como Ficrea sigan defraudando a las personas; destacó la creación del Fondo de Ahorro Popular que beneficiará de manera directa y a corto plazo al 70% de los ahorradores, e hizo votos por establecer una mayor regulación a fin de generar mayor confianza en los inversionistas.</w:t>
      </w:r>
    </w:p>
    <w:p w14:paraId="70B9D08F"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Raquel Jiménez Cerrillo, diputada del PAN, expresó que este fondo para los ahorradores de Ficrea, constituye un rescate que usará recursos públicos. Condenó que se pretenda solapar a las instituciones defraudadoras y expuso que se puede dar preferencia a los defraudados, cuando millones de mexicanos viven en pobreza extrema y los programas sociales se vieron afectados por el recorte presupuestal.</w:t>
      </w:r>
    </w:p>
    <w:p w14:paraId="2382EB3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La legisladora Martha Beatriz Córdova Bernal (Movimiento Ciudadano) resaltó la necesidad de una mayor regulación de las sociedades financieras populares y cooperativas de ahorro y préstamo. Cuestionó la opacidad y los actos de corrupción, así como el uso electoral de la reforma y aclaró que se trata de un rescate de los ahorradores afectados.</w:t>
      </w:r>
    </w:p>
    <w:p w14:paraId="7085B0B5"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Previo a los posicionamientos, se rechazaron las mociones suspensivas presentadas por los diputados del PRD, Javier Orihuela García y Gloria Bautista Cuevas, quienes solicitaron que el dictamen se devolviera para un mejor análisis y un debate con las organizaciones comunitarias y financieras.</w:t>
      </w:r>
    </w:p>
    <w:p w14:paraId="41A2F793" w14:textId="77777777" w:rsidR="007846AF" w:rsidRDefault="007846AF" w:rsidP="0037350D">
      <w:pPr>
        <w:spacing w:after="360" w:line="360" w:lineRule="auto"/>
        <w:ind w:right="-159"/>
        <w:jc w:val="both"/>
        <w:rPr>
          <w:rFonts w:eastAsia="Calibri"/>
          <w:b/>
          <w:bCs/>
          <w:iCs/>
          <w:sz w:val="26"/>
          <w:szCs w:val="26"/>
          <w:lang w:eastAsia="en-US"/>
        </w:rPr>
      </w:pPr>
    </w:p>
    <w:p w14:paraId="53D8FDE6"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b/>
          <w:bCs/>
          <w:iCs/>
          <w:sz w:val="26"/>
          <w:szCs w:val="26"/>
          <w:lang w:eastAsia="en-US"/>
        </w:rPr>
        <w:lastRenderedPageBreak/>
        <w:t>Discusión en lo particular</w:t>
      </w:r>
    </w:p>
    <w:p w14:paraId="46913AFE"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El Pleno aprobó en términos del dictamen, con 305 votos a favor, 42 en contra y 12 abstenciones, los artículos 7, 10, 12, 14, 23, 31 y 40 contenidos en el artículo primero del decreto referente a la Ley de Ahorro y Crédito Popular.</w:t>
      </w:r>
    </w:p>
    <w:p w14:paraId="4C910554"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Con 233 votos a favor, 129 en contra y una abstención, se avalaron en términos del dictamen, los artículos transitorios 1, 2, 3, 4, 5, 6, 7,8, 9, 10, 11, 12, 13, 14 y 15 de la Ley de Ahorro y Crédito Popular.</w:t>
      </w:r>
    </w:p>
    <w:p w14:paraId="7286464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También se aprobó en términos del dictamen, con 282 votos a favor, 50 en contra y 9 abstenciones los artículos 8, 13, 14, 15, 15 Bis 16, 17, 19 y 71 y el sexto transitorio de la Ley para Regular las Actividades de las Sociedades Cooperativas de Ahorro y Préstamo, así el artículo 19 Bis 1 de la Ley de la Comisión Nacional Bancaria y de Valores.</w:t>
      </w:r>
    </w:p>
    <w:p w14:paraId="2443C93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w:t>
      </w:r>
    </w:p>
    <w:p w14:paraId="578A591B"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Posteriormente, se levantó la sesión y se citó para la de mañana jueves 23 de abril a las 11:00 horas.</w:t>
      </w:r>
    </w:p>
    <w:p w14:paraId="718947C2" w14:textId="77777777" w:rsidR="0037350D" w:rsidRPr="0037350D" w:rsidRDefault="0037350D" w:rsidP="0037350D">
      <w:pPr>
        <w:ind w:right="-159"/>
        <w:jc w:val="both"/>
        <w:rPr>
          <w:rFonts w:eastAsia="Calibri"/>
          <w:b/>
          <w:sz w:val="20"/>
          <w:szCs w:val="20"/>
          <w:lang w:eastAsia="en-US"/>
        </w:rPr>
      </w:pPr>
      <w:r w:rsidRPr="0037350D">
        <w:rPr>
          <w:rFonts w:eastAsia="Calibri"/>
          <w:b/>
          <w:sz w:val="20"/>
          <w:szCs w:val="20"/>
          <w:lang w:eastAsia="en-US"/>
        </w:rPr>
        <w:t>Fuente de información:</w:t>
      </w:r>
    </w:p>
    <w:p w14:paraId="3A92CD58" w14:textId="77777777" w:rsidR="0037350D" w:rsidRPr="007846AF" w:rsidRDefault="0045651A" w:rsidP="0037350D">
      <w:pPr>
        <w:ind w:right="-159"/>
        <w:jc w:val="both"/>
        <w:rPr>
          <w:rFonts w:eastAsia="Calibri"/>
          <w:color w:val="0000FF"/>
          <w:sz w:val="20"/>
          <w:szCs w:val="20"/>
          <w:lang w:eastAsia="en-US"/>
        </w:rPr>
      </w:pPr>
      <w:hyperlink r:id="rId242" w:history="1">
        <w:r w:rsidR="0037350D" w:rsidRPr="007846AF">
          <w:rPr>
            <w:rFonts w:eastAsia="Calibri"/>
            <w:color w:val="0000FF"/>
            <w:sz w:val="20"/>
            <w:szCs w:val="20"/>
            <w:u w:val="single"/>
            <w:lang w:eastAsia="en-US"/>
          </w:rPr>
          <w:t>http://www5.diputados.gob.mx/index.php/esl/Comunicacion/Boletines/2015/Abril/22/5512-Aprueban-diputados-Ley-de-Ahorro-y-Credito-Popular-la-envian-al-Senado</w:t>
        </w:r>
      </w:hyperlink>
      <w:r w:rsidR="0037350D" w:rsidRPr="007846AF">
        <w:rPr>
          <w:rFonts w:eastAsia="Calibri"/>
          <w:color w:val="0000FF"/>
          <w:sz w:val="20"/>
          <w:szCs w:val="20"/>
          <w:lang w:eastAsia="en-US"/>
        </w:rPr>
        <w:t xml:space="preserve"> </w:t>
      </w:r>
    </w:p>
    <w:p w14:paraId="2CDC8A27" w14:textId="77777777" w:rsidR="0037350D" w:rsidRPr="007846AF" w:rsidRDefault="0037350D" w:rsidP="0037350D">
      <w:pPr>
        <w:ind w:right="-159"/>
        <w:jc w:val="both"/>
        <w:rPr>
          <w:rFonts w:eastAsia="Calibri"/>
          <w:sz w:val="20"/>
          <w:szCs w:val="20"/>
          <w:lang w:eastAsia="en-US"/>
        </w:rPr>
      </w:pPr>
      <w:r w:rsidRPr="007846AF">
        <w:rPr>
          <w:rFonts w:eastAsia="Calibri"/>
          <w:sz w:val="20"/>
          <w:szCs w:val="20"/>
          <w:lang w:eastAsia="en-US"/>
        </w:rPr>
        <w:t>Para tener acceso a información relacionada visite:</w:t>
      </w:r>
    </w:p>
    <w:p w14:paraId="23ACC433" w14:textId="77777777" w:rsidR="0037350D" w:rsidRPr="007846AF" w:rsidRDefault="0045651A" w:rsidP="0037350D">
      <w:pPr>
        <w:ind w:right="-159"/>
        <w:jc w:val="both"/>
        <w:rPr>
          <w:rFonts w:eastAsia="Calibri"/>
          <w:color w:val="0000FF"/>
          <w:sz w:val="20"/>
          <w:szCs w:val="20"/>
          <w:lang w:eastAsia="en-US"/>
        </w:rPr>
      </w:pPr>
      <w:hyperlink r:id="rId243" w:history="1">
        <w:r w:rsidR="0037350D" w:rsidRPr="007846AF">
          <w:rPr>
            <w:rFonts w:eastAsia="Calibri"/>
            <w:color w:val="0000FF"/>
            <w:sz w:val="20"/>
            <w:szCs w:val="20"/>
            <w:u w:val="single"/>
            <w:lang w:eastAsia="en-US"/>
          </w:rPr>
          <w:t>http://comunicacion.senado.gob.mx/index.php/informacion/boletines/20065-en-mayo-inicia-pago-al-80-por-ciento-de-defraudados-por-ficrea-anuncian-legisladores.html</w:t>
        </w:r>
      </w:hyperlink>
      <w:r w:rsidR="0037350D" w:rsidRPr="007846AF">
        <w:rPr>
          <w:rFonts w:eastAsia="Calibri"/>
          <w:color w:val="0000FF"/>
          <w:sz w:val="20"/>
          <w:szCs w:val="20"/>
          <w:lang w:eastAsia="en-US"/>
        </w:rPr>
        <w:t xml:space="preserve"> </w:t>
      </w:r>
    </w:p>
    <w:p w14:paraId="35EF9DB0" w14:textId="77777777" w:rsidR="0037350D" w:rsidRPr="007846AF" w:rsidRDefault="0045651A" w:rsidP="0037350D">
      <w:pPr>
        <w:ind w:right="-159"/>
        <w:jc w:val="both"/>
        <w:rPr>
          <w:rFonts w:eastAsia="Calibri"/>
          <w:color w:val="0000FF"/>
          <w:sz w:val="20"/>
          <w:szCs w:val="20"/>
          <w:lang w:eastAsia="en-US"/>
        </w:rPr>
      </w:pPr>
      <w:hyperlink r:id="rId244" w:history="1">
        <w:r w:rsidR="0037350D" w:rsidRPr="007846AF">
          <w:rPr>
            <w:rFonts w:eastAsia="Calibri"/>
            <w:color w:val="0000FF"/>
            <w:sz w:val="20"/>
            <w:szCs w:val="20"/>
            <w:u w:val="single"/>
            <w:lang w:eastAsia="en-US"/>
          </w:rPr>
          <w:t>http://www.cnbv.gob.mx/SECTORES-SUPERVISADOS/SECTOR-POPULAR/Difusión/Prensa%20%20Sociedades%20Financieras%20Populares/Comunicado%20de%20Prensa%20del%20proceso%20de%20liquidación%20de%20Ficrea%20Abr.pdf</w:t>
        </w:r>
      </w:hyperlink>
      <w:r w:rsidR="0037350D" w:rsidRPr="007846AF">
        <w:rPr>
          <w:rFonts w:eastAsia="Calibri"/>
          <w:color w:val="0000FF"/>
          <w:sz w:val="20"/>
          <w:szCs w:val="20"/>
          <w:lang w:eastAsia="en-US"/>
        </w:rPr>
        <w:t xml:space="preserve"> </w:t>
      </w:r>
    </w:p>
    <w:p w14:paraId="44813584" w14:textId="77777777" w:rsidR="0037350D" w:rsidRPr="007846AF" w:rsidRDefault="0045651A" w:rsidP="0037350D">
      <w:pPr>
        <w:ind w:right="-159"/>
        <w:jc w:val="both"/>
        <w:rPr>
          <w:rFonts w:eastAsia="Calibri"/>
          <w:color w:val="0000FF"/>
          <w:sz w:val="20"/>
          <w:szCs w:val="20"/>
          <w:lang w:eastAsia="en-US"/>
        </w:rPr>
      </w:pPr>
      <w:hyperlink r:id="rId245" w:history="1">
        <w:r w:rsidR="0037350D" w:rsidRPr="007846AF">
          <w:rPr>
            <w:rFonts w:eastAsia="Calibri"/>
            <w:color w:val="0000FF"/>
            <w:sz w:val="20"/>
            <w:szCs w:val="20"/>
            <w:u w:val="single"/>
            <w:lang w:eastAsia="en-US"/>
          </w:rPr>
          <w:t>http://www.cnbv.gob.mx/SECTORES-SUPERVISADOS/SECTOR-POPULAR/Difusión/Prensa%20%20Sociedades%20Financieras%20Populares/Comunicado_de_Prensa_Resolucion_IFAI_Ficrea.pdf</w:t>
        </w:r>
      </w:hyperlink>
      <w:r w:rsidR="0037350D" w:rsidRPr="007846AF">
        <w:rPr>
          <w:rFonts w:eastAsia="Calibri"/>
          <w:color w:val="0000FF"/>
          <w:sz w:val="20"/>
          <w:szCs w:val="20"/>
          <w:lang w:eastAsia="en-US"/>
        </w:rPr>
        <w:t xml:space="preserve"> </w:t>
      </w:r>
    </w:p>
    <w:p w14:paraId="2BEED4DB" w14:textId="77777777" w:rsidR="0037350D" w:rsidRPr="007846AF" w:rsidRDefault="0045651A" w:rsidP="0037350D">
      <w:pPr>
        <w:ind w:right="-159"/>
        <w:jc w:val="both"/>
        <w:rPr>
          <w:rFonts w:eastAsia="Calibri"/>
          <w:color w:val="0000FF"/>
          <w:sz w:val="20"/>
          <w:szCs w:val="20"/>
          <w:lang w:eastAsia="en-US"/>
        </w:rPr>
      </w:pPr>
      <w:hyperlink r:id="rId246" w:history="1">
        <w:r w:rsidR="0037350D" w:rsidRPr="007846AF">
          <w:rPr>
            <w:rFonts w:eastAsia="Calibri"/>
            <w:color w:val="0000FF"/>
            <w:sz w:val="20"/>
            <w:szCs w:val="20"/>
            <w:u w:val="single"/>
            <w:lang w:eastAsia="en-US"/>
          </w:rPr>
          <w:t>http://www.cnbv.gob.mx/SECTORES-SUPERVISADOS/SECTOR-POPULAR/Difusión/Prensa%20%20Sociedades%20Financieras%20Populares/Comunicado%20de%20proceso%20de%20liquidación%20Ficrea%20mar6.pdf</w:t>
        </w:r>
      </w:hyperlink>
      <w:r w:rsidR="0037350D" w:rsidRPr="007846AF">
        <w:rPr>
          <w:rFonts w:eastAsia="Calibri"/>
          <w:color w:val="0000FF"/>
          <w:sz w:val="20"/>
          <w:szCs w:val="20"/>
          <w:lang w:eastAsia="en-US"/>
        </w:rPr>
        <w:t xml:space="preserve"> </w:t>
      </w:r>
    </w:p>
    <w:p w14:paraId="0468AF7A" w14:textId="77777777" w:rsidR="0037350D" w:rsidRDefault="0037350D" w:rsidP="0037350D">
      <w:pPr>
        <w:spacing w:after="360" w:line="360" w:lineRule="auto"/>
        <w:ind w:right="-159"/>
        <w:jc w:val="both"/>
        <w:rPr>
          <w:rFonts w:eastAsia="Calibri"/>
          <w:sz w:val="26"/>
          <w:szCs w:val="26"/>
          <w:lang w:eastAsia="en-US"/>
        </w:rPr>
      </w:pPr>
    </w:p>
    <w:p w14:paraId="06A8AAA6" w14:textId="77777777" w:rsidR="0037350D" w:rsidRPr="0037350D" w:rsidRDefault="0037350D" w:rsidP="0037350D">
      <w:pPr>
        <w:ind w:right="-159"/>
        <w:jc w:val="both"/>
        <w:rPr>
          <w:rFonts w:eastAsia="Calibri"/>
          <w:b/>
          <w:bCs/>
          <w:sz w:val="26"/>
          <w:szCs w:val="26"/>
          <w:lang w:eastAsia="en-US"/>
        </w:rPr>
      </w:pPr>
      <w:r w:rsidRPr="0037350D">
        <w:rPr>
          <w:rFonts w:eastAsia="Calibri"/>
          <w:b/>
          <w:bCs/>
          <w:sz w:val="26"/>
          <w:szCs w:val="26"/>
          <w:lang w:eastAsia="en-US"/>
        </w:rPr>
        <w:lastRenderedPageBreak/>
        <w:t>Reporte sobre las condiciones de competencia en el crédito</w:t>
      </w:r>
    </w:p>
    <w:p w14:paraId="0FA76854" w14:textId="77777777" w:rsidR="0037350D" w:rsidRPr="0037350D" w:rsidRDefault="0037350D" w:rsidP="0037350D">
      <w:pPr>
        <w:spacing w:after="360" w:line="360" w:lineRule="auto"/>
        <w:ind w:right="-159"/>
        <w:jc w:val="both"/>
        <w:rPr>
          <w:rFonts w:eastAsia="Calibri"/>
          <w:b/>
          <w:bCs/>
          <w:sz w:val="26"/>
          <w:szCs w:val="26"/>
          <w:lang w:eastAsia="en-US"/>
        </w:rPr>
      </w:pPr>
      <w:r w:rsidRPr="0037350D">
        <w:rPr>
          <w:rFonts w:eastAsia="Calibri"/>
          <w:b/>
          <w:bCs/>
          <w:sz w:val="26"/>
          <w:szCs w:val="26"/>
          <w:lang w:eastAsia="en-US"/>
        </w:rPr>
        <w:t xml:space="preserve">a micro, pequeñas y medianas empresas </w:t>
      </w:r>
      <w:r w:rsidRPr="0037350D">
        <w:rPr>
          <w:rFonts w:eastAsia="Calibri"/>
          <w:b/>
          <w:sz w:val="26"/>
          <w:szCs w:val="26"/>
          <w:lang w:eastAsia="en-US"/>
        </w:rPr>
        <w:t>(Banxico)</w:t>
      </w:r>
    </w:p>
    <w:p w14:paraId="245A1B52"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 xml:space="preserve">El </w:t>
      </w:r>
      <w:r w:rsidRPr="0037350D">
        <w:rPr>
          <w:rFonts w:eastAsia="Calibri"/>
          <w:bCs/>
          <w:sz w:val="26"/>
          <w:szCs w:val="26"/>
          <w:lang w:eastAsia="en-US"/>
        </w:rPr>
        <w:t>22 de abril de 2015, Banco de México (Banxico) comunicó de la realización del reporte sobre las condiciones de competencia en el crédito a micro, pequeñas y medianas empresas (PYMES). A continuación se presenta la información.</w:t>
      </w:r>
    </w:p>
    <w:p w14:paraId="2FD6EED8"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Con fundamento en la “Ley para la Transparencia y Ordenamiento de los Servicios Financieros”,</w:t>
      </w:r>
      <w:r w:rsidRPr="0037350D">
        <w:rPr>
          <w:rFonts w:eastAsia="Calibri"/>
          <w:sz w:val="26"/>
          <w:szCs w:val="26"/>
          <w:vertAlign w:val="superscript"/>
          <w:lang w:eastAsia="en-US"/>
        </w:rPr>
        <w:footnoteReference w:id="31"/>
      </w:r>
      <w:r w:rsidRPr="0037350D">
        <w:rPr>
          <w:rFonts w:eastAsia="Calibri"/>
          <w:sz w:val="26"/>
          <w:szCs w:val="26"/>
          <w:lang w:eastAsia="en-US"/>
        </w:rPr>
        <w:t xml:space="preserve"> el Banco de México realiza el reporte sobre las condiciones de competencia en el otorgamiento de crédito a PYMES. El análisis de las condiciones en que las PYMES acceden al crédito es de interés para las autoridades financieras por la relevancia que estas tienen en la economía.</w:t>
      </w:r>
    </w:p>
    <w:p w14:paraId="6395B2B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b/>
          <w:bCs/>
          <w:sz w:val="26"/>
          <w:szCs w:val="26"/>
          <w:lang w:eastAsia="en-US"/>
        </w:rPr>
        <w:t>Los principales resultados del estudio son:</w:t>
      </w:r>
    </w:p>
    <w:p w14:paraId="00F506CF" w14:textId="77777777" w:rsidR="0037350D" w:rsidRPr="0037350D" w:rsidRDefault="0037350D" w:rsidP="00667577">
      <w:pPr>
        <w:numPr>
          <w:ilvl w:val="0"/>
          <w:numId w:val="182"/>
        </w:numPr>
        <w:spacing w:after="360" w:line="360" w:lineRule="auto"/>
        <w:ind w:left="357" w:right="-159" w:hanging="357"/>
        <w:jc w:val="both"/>
        <w:rPr>
          <w:rFonts w:eastAsia="Calibri"/>
          <w:sz w:val="26"/>
          <w:szCs w:val="26"/>
          <w:lang w:eastAsia="en-US"/>
        </w:rPr>
      </w:pPr>
      <w:r w:rsidRPr="0037350D">
        <w:rPr>
          <w:rFonts w:eastAsia="Calibri"/>
          <w:bCs/>
          <w:sz w:val="26"/>
          <w:szCs w:val="26"/>
          <w:lang w:eastAsia="en-US"/>
        </w:rPr>
        <w:t>La concurrencia de oferentes al mercado de crédito PYME es dinámica. Actualmente participan 32 bancos y al menos 329 intermediarios financieros no bancarios.</w:t>
      </w:r>
    </w:p>
    <w:p w14:paraId="5312EE8B" w14:textId="77777777" w:rsidR="0037350D" w:rsidRPr="0037350D" w:rsidRDefault="0037350D" w:rsidP="00667577">
      <w:pPr>
        <w:numPr>
          <w:ilvl w:val="0"/>
          <w:numId w:val="182"/>
        </w:numPr>
        <w:spacing w:after="360" w:line="360" w:lineRule="auto"/>
        <w:ind w:left="357" w:right="-159" w:hanging="357"/>
        <w:jc w:val="both"/>
        <w:rPr>
          <w:rFonts w:eastAsia="Calibri"/>
          <w:sz w:val="26"/>
          <w:szCs w:val="26"/>
          <w:lang w:eastAsia="en-US"/>
        </w:rPr>
      </w:pPr>
      <w:r w:rsidRPr="0037350D">
        <w:rPr>
          <w:rFonts w:eastAsia="Calibri"/>
          <w:bCs/>
          <w:sz w:val="26"/>
          <w:szCs w:val="26"/>
          <w:lang w:eastAsia="en-US"/>
        </w:rPr>
        <w:t>En el período 2009-2014, el crédito del sector bancario a PYMES creció a una tasa real promedio anual de 12% y el número de PYMES atendidas pasó de 240 mil a 303 mil.</w:t>
      </w:r>
    </w:p>
    <w:p w14:paraId="18561EF2" w14:textId="77777777" w:rsidR="0037350D" w:rsidRPr="0037350D" w:rsidRDefault="0037350D" w:rsidP="00667577">
      <w:pPr>
        <w:numPr>
          <w:ilvl w:val="0"/>
          <w:numId w:val="182"/>
        </w:numPr>
        <w:spacing w:after="360" w:line="360" w:lineRule="auto"/>
        <w:ind w:left="357" w:right="-159" w:hanging="357"/>
        <w:jc w:val="both"/>
        <w:rPr>
          <w:rFonts w:eastAsia="Calibri"/>
          <w:sz w:val="26"/>
          <w:szCs w:val="26"/>
          <w:lang w:eastAsia="en-US"/>
        </w:rPr>
      </w:pPr>
      <w:r w:rsidRPr="0037350D">
        <w:rPr>
          <w:rFonts w:eastAsia="Calibri"/>
          <w:bCs/>
          <w:sz w:val="26"/>
          <w:szCs w:val="26"/>
          <w:lang w:eastAsia="en-US"/>
        </w:rPr>
        <w:t>En el mismo lapso, la tasa de interés promedio ponderado en crédito a PYMES se redujo de 13.74 a 11.34 por ciento.</w:t>
      </w:r>
    </w:p>
    <w:p w14:paraId="3AEDDDB1" w14:textId="77777777" w:rsidR="0037350D" w:rsidRPr="0037350D" w:rsidRDefault="0037350D" w:rsidP="00667577">
      <w:pPr>
        <w:numPr>
          <w:ilvl w:val="0"/>
          <w:numId w:val="182"/>
        </w:numPr>
        <w:spacing w:after="360" w:line="360" w:lineRule="auto"/>
        <w:ind w:left="357" w:right="-159" w:hanging="357"/>
        <w:jc w:val="both"/>
        <w:rPr>
          <w:rFonts w:eastAsia="Calibri"/>
          <w:sz w:val="26"/>
          <w:szCs w:val="26"/>
          <w:lang w:eastAsia="en-US"/>
        </w:rPr>
      </w:pPr>
      <w:r w:rsidRPr="0037350D">
        <w:rPr>
          <w:rFonts w:eastAsia="Calibri"/>
          <w:bCs/>
          <w:sz w:val="26"/>
          <w:szCs w:val="26"/>
          <w:lang w:eastAsia="en-US"/>
        </w:rPr>
        <w:t xml:space="preserve">Las condiciones de crédito para empresas micro y pequeñas son menos favorables que para las medianas. Las primeras pagan tasas de interés promedio tres puntos porcentuales más elevados que las segundas y este efecto permanece aun cuando la </w:t>
      </w:r>
      <w:r w:rsidRPr="0037350D">
        <w:rPr>
          <w:rFonts w:eastAsia="Calibri"/>
          <w:bCs/>
          <w:sz w:val="26"/>
          <w:szCs w:val="26"/>
          <w:lang w:eastAsia="en-US"/>
        </w:rPr>
        <w:lastRenderedPageBreak/>
        <w:t>tasa se ajusta por el riesgo. Asimismo, las micro y pequeñas empresas presentan indicadores de movilidad inferiores a los correspondientes a las medianas y grandes.</w:t>
      </w:r>
    </w:p>
    <w:p w14:paraId="525E967B" w14:textId="77777777" w:rsidR="0037350D" w:rsidRPr="0037350D" w:rsidRDefault="0037350D" w:rsidP="00667577">
      <w:pPr>
        <w:numPr>
          <w:ilvl w:val="0"/>
          <w:numId w:val="182"/>
        </w:numPr>
        <w:spacing w:after="360" w:line="360" w:lineRule="auto"/>
        <w:ind w:left="357" w:right="-159" w:hanging="357"/>
        <w:jc w:val="both"/>
        <w:rPr>
          <w:rFonts w:eastAsia="Calibri"/>
          <w:sz w:val="26"/>
          <w:szCs w:val="26"/>
          <w:lang w:eastAsia="en-US"/>
        </w:rPr>
      </w:pPr>
      <w:r w:rsidRPr="0037350D">
        <w:rPr>
          <w:rFonts w:eastAsia="Calibri"/>
          <w:bCs/>
          <w:sz w:val="26"/>
          <w:szCs w:val="26"/>
          <w:lang w:eastAsia="en-US"/>
        </w:rPr>
        <w:t>Los modelos de negocio prevalecientes conducen a que los oferentes de crédito a micro y pequeña empresa no se disputan a los clientes de manera intensa.</w:t>
      </w:r>
    </w:p>
    <w:p w14:paraId="11BFDBF5"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Este reporte estudia las condiciones de competencia en el otorgamiento de crédito a las PYMES que tienen acceso al crédito de intermediarios regulados.</w:t>
      </w:r>
    </w:p>
    <w:p w14:paraId="0865EF5E"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Las características de las PYMES dificultan el otorgamiento de crédito debido a: i) el reducido monto de crédito que estas empresas reciben con respecto al costo fijo de evaluación y ii) el problema de asimetría de información que caracteriza a los mercados de crédito se agudiza en el caso de las PYMES.</w:t>
      </w:r>
    </w:p>
    <w:p w14:paraId="499CA6D0"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Los intermediarios han desarrollado modelos de negocios para enfrentar estos problemas. Destacan dos modelos. El primero ha sido adoptado por un reducido número de intermediarios, aquellos que cuentan con una red extendida de oferta de servicios; este modelo se basa en el aprovechamiento de economías de escala y alcance que se logra a través de la provisión de múltiples servicios financieros a las PYMES, utiliza modelos paramétricos que reducen el costo del análisis crediticio echando mano de información generada, entre otros, en la provisión de otros servicios. Este modelo permite una oferta masiva de créditos. El segundo modelo es el de evaluación de crédito tradicional, que presenta costos unitarios elevados de identificación de clientes, promoción y otorgamiento; los créditos otorgados bajo este esquema son de montos mayores. El número de intermediarios que aplica este segundo modelo es amplio pero de una escala relativamente pequeña.</w:t>
      </w:r>
    </w:p>
    <w:p w14:paraId="19B86636"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 xml:space="preserve">El modelo de negocio que utilizan los bancos con redes extendidas se basa en el aprovechamiento de economías de escala y alcance y se sustenta en que la información generada en la provisión de múltiples servicios sólo es conocida por la institución que </w:t>
      </w:r>
      <w:r w:rsidRPr="0037350D">
        <w:rPr>
          <w:rFonts w:eastAsia="Calibri"/>
          <w:sz w:val="26"/>
          <w:szCs w:val="26"/>
          <w:lang w:eastAsia="en-US"/>
        </w:rPr>
        <w:lastRenderedPageBreak/>
        <w:t>los proporciona. En contraste, los intermediarios de menor escala enfrentan limitaciones en la información, por lo que utilizan modelos de crédito tradicionales que les generan costos más elevados. Esto les impide ofrecer créditos de bajo monto. Esto conduce a que el mercado de crédito a las micro y pequeñas empresas no sea intensamente disputado.</w:t>
      </w:r>
    </w:p>
    <w:p w14:paraId="5235E7A1"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b/>
          <w:bCs/>
          <w:sz w:val="26"/>
          <w:szCs w:val="26"/>
          <w:lang w:eastAsia="en-US"/>
        </w:rPr>
        <w:t>Perspectivas y oportunidades de mejora identificadas</w:t>
      </w:r>
    </w:p>
    <w:p w14:paraId="7903E64C" w14:textId="77777777" w:rsidR="0037350D" w:rsidRPr="0037350D" w:rsidRDefault="0037350D" w:rsidP="0037350D">
      <w:pPr>
        <w:spacing w:after="360" w:line="360" w:lineRule="auto"/>
        <w:ind w:right="-159"/>
        <w:jc w:val="both"/>
        <w:rPr>
          <w:rFonts w:eastAsia="Calibri"/>
          <w:sz w:val="26"/>
          <w:szCs w:val="26"/>
          <w:lang w:eastAsia="en-US"/>
        </w:rPr>
      </w:pPr>
      <w:r w:rsidRPr="0037350D">
        <w:rPr>
          <w:rFonts w:eastAsia="Calibri"/>
          <w:sz w:val="26"/>
          <w:szCs w:val="26"/>
          <w:lang w:eastAsia="en-US"/>
        </w:rPr>
        <w:t>Se identifican diversas oportunidades que pueden derivar en una mejora en las condiciones de competencia en la provisión de crédito a las micros y pequeñas empresas. Entre ellas destacan las siguientes:</w:t>
      </w:r>
    </w:p>
    <w:p w14:paraId="25A6F782" w14:textId="77777777" w:rsidR="0037350D" w:rsidRPr="0037350D" w:rsidRDefault="0037350D" w:rsidP="0037350D">
      <w:pPr>
        <w:spacing w:after="360" w:line="360" w:lineRule="auto"/>
        <w:ind w:right="-159"/>
        <w:jc w:val="both"/>
        <w:rPr>
          <w:rFonts w:eastAsia="Calibri"/>
          <w:i/>
          <w:sz w:val="26"/>
          <w:szCs w:val="26"/>
          <w:lang w:eastAsia="en-US"/>
        </w:rPr>
      </w:pPr>
      <w:r w:rsidRPr="0037350D">
        <w:rPr>
          <w:rFonts w:eastAsia="Calibri"/>
          <w:i/>
          <w:sz w:val="26"/>
          <w:szCs w:val="26"/>
          <w:lang w:eastAsia="en-US"/>
        </w:rPr>
        <w:t>Mitigantes del problema de información asimétrica</w:t>
      </w:r>
    </w:p>
    <w:p w14:paraId="1172007C" w14:textId="77777777" w:rsidR="0037350D" w:rsidRPr="0037350D" w:rsidRDefault="0037350D" w:rsidP="00667577">
      <w:pPr>
        <w:numPr>
          <w:ilvl w:val="0"/>
          <w:numId w:val="183"/>
        </w:numPr>
        <w:spacing w:after="360" w:line="360" w:lineRule="auto"/>
        <w:ind w:left="357" w:right="-159" w:hanging="357"/>
        <w:jc w:val="both"/>
        <w:rPr>
          <w:rFonts w:eastAsia="Calibri"/>
          <w:sz w:val="26"/>
          <w:szCs w:val="26"/>
          <w:lang w:eastAsia="en-US"/>
        </w:rPr>
      </w:pPr>
      <w:r w:rsidRPr="0037350D">
        <w:rPr>
          <w:rFonts w:eastAsia="Calibri"/>
          <w:sz w:val="26"/>
          <w:szCs w:val="26"/>
          <w:lang w:eastAsia="en-US"/>
        </w:rPr>
        <w:t>Completar las bases de datos y mejorar aún más la calidad de la información disponible de las Sociedades de Información Crediticia (SIC) para evaluar el riesgo de crédito de las PYMES.</w:t>
      </w:r>
    </w:p>
    <w:p w14:paraId="5D8948BF" w14:textId="77777777" w:rsidR="0037350D" w:rsidRPr="0037350D" w:rsidRDefault="0037350D" w:rsidP="00667577">
      <w:pPr>
        <w:numPr>
          <w:ilvl w:val="0"/>
          <w:numId w:val="183"/>
        </w:numPr>
        <w:spacing w:after="360" w:line="360" w:lineRule="auto"/>
        <w:ind w:left="357" w:right="-159" w:hanging="357"/>
        <w:jc w:val="both"/>
        <w:rPr>
          <w:rFonts w:eastAsia="Calibri"/>
          <w:sz w:val="26"/>
          <w:szCs w:val="26"/>
          <w:lang w:eastAsia="en-US"/>
        </w:rPr>
      </w:pPr>
      <w:r w:rsidRPr="0037350D">
        <w:rPr>
          <w:rFonts w:eastAsia="Calibri"/>
          <w:sz w:val="26"/>
          <w:szCs w:val="26"/>
          <w:lang w:eastAsia="en-US"/>
        </w:rPr>
        <w:t>Mejorar la oferta de servicios de valor agregado de las SIC, en particular de la calificación de créditos mediante valoraciones numéricas, y la provisión de reportes y de calificaciones que consideren en conjunto el historial de la PYME y el de sus propietarios.</w:t>
      </w:r>
    </w:p>
    <w:p w14:paraId="02DB46D4" w14:textId="77777777" w:rsidR="0037350D" w:rsidRPr="0037350D" w:rsidRDefault="0037350D" w:rsidP="0037350D">
      <w:pPr>
        <w:spacing w:after="360" w:line="360" w:lineRule="auto"/>
        <w:ind w:right="-159"/>
        <w:jc w:val="both"/>
        <w:rPr>
          <w:rFonts w:eastAsia="Calibri"/>
          <w:i/>
          <w:sz w:val="26"/>
          <w:szCs w:val="26"/>
          <w:lang w:eastAsia="en-US"/>
        </w:rPr>
      </w:pPr>
      <w:r w:rsidRPr="0037350D">
        <w:rPr>
          <w:rFonts w:eastAsia="Calibri"/>
          <w:i/>
          <w:sz w:val="26"/>
          <w:szCs w:val="26"/>
          <w:lang w:eastAsia="en-US"/>
        </w:rPr>
        <w:t>Participación de NAFIN</w:t>
      </w:r>
    </w:p>
    <w:p w14:paraId="3138F434" w14:textId="77777777" w:rsidR="0037350D" w:rsidRPr="0037350D" w:rsidRDefault="0037350D" w:rsidP="00667577">
      <w:pPr>
        <w:numPr>
          <w:ilvl w:val="0"/>
          <w:numId w:val="183"/>
        </w:numPr>
        <w:spacing w:after="360" w:line="360" w:lineRule="auto"/>
        <w:ind w:left="357" w:right="-159" w:hanging="357"/>
        <w:jc w:val="both"/>
        <w:rPr>
          <w:rFonts w:eastAsia="Calibri"/>
          <w:sz w:val="26"/>
          <w:szCs w:val="26"/>
          <w:lang w:eastAsia="en-US"/>
        </w:rPr>
      </w:pPr>
      <w:r w:rsidRPr="0037350D">
        <w:rPr>
          <w:rFonts w:eastAsia="Calibri"/>
          <w:sz w:val="26"/>
          <w:szCs w:val="26"/>
          <w:lang w:eastAsia="en-US"/>
        </w:rPr>
        <w:t>Mantener el esquema de fondeo actual que es aprovechado en mayor medida por los intermediarios que carecen de infraestructura y promover la diversificación de fuentes de financiamiento de los mismos.</w:t>
      </w:r>
    </w:p>
    <w:p w14:paraId="70FD49C7" w14:textId="77777777" w:rsidR="0037350D" w:rsidRPr="0037350D" w:rsidRDefault="0037350D" w:rsidP="00667577">
      <w:pPr>
        <w:numPr>
          <w:ilvl w:val="0"/>
          <w:numId w:val="183"/>
        </w:numPr>
        <w:spacing w:after="360" w:line="360" w:lineRule="auto"/>
        <w:ind w:left="357" w:right="-159" w:hanging="357"/>
        <w:jc w:val="both"/>
        <w:rPr>
          <w:rFonts w:eastAsia="Calibri"/>
          <w:sz w:val="26"/>
          <w:szCs w:val="26"/>
          <w:lang w:eastAsia="en-US"/>
        </w:rPr>
      </w:pPr>
      <w:r w:rsidRPr="0037350D">
        <w:rPr>
          <w:rFonts w:eastAsia="Calibri"/>
          <w:sz w:val="26"/>
          <w:szCs w:val="26"/>
          <w:lang w:eastAsia="en-US"/>
        </w:rPr>
        <w:lastRenderedPageBreak/>
        <w:t>Establecer mecanismos de asignación de garantías de NAFIN que partan de una evaluación del riesgo de cada PYME; con dicha evaluación y la garantía de NAFIN correspondiente, la PYME sometería a concurso las condiciones del crédito entre los posibles oferentes.</w:t>
      </w:r>
    </w:p>
    <w:p w14:paraId="400454CC" w14:textId="77777777" w:rsidR="0037350D" w:rsidRPr="0037350D" w:rsidRDefault="0037350D" w:rsidP="0037350D">
      <w:pPr>
        <w:spacing w:after="360" w:line="360" w:lineRule="auto"/>
        <w:ind w:right="-159"/>
        <w:jc w:val="both"/>
        <w:rPr>
          <w:rFonts w:eastAsia="Calibri"/>
          <w:i/>
          <w:sz w:val="26"/>
          <w:szCs w:val="26"/>
          <w:lang w:eastAsia="en-US"/>
        </w:rPr>
      </w:pPr>
      <w:r w:rsidRPr="0037350D">
        <w:rPr>
          <w:rFonts w:eastAsia="Calibri"/>
          <w:i/>
          <w:sz w:val="26"/>
          <w:szCs w:val="26"/>
          <w:lang w:eastAsia="en-US"/>
        </w:rPr>
        <w:t>Abatimiento de costos de cambio y de búsqueda</w:t>
      </w:r>
    </w:p>
    <w:p w14:paraId="0135F98B" w14:textId="77777777" w:rsidR="0037350D" w:rsidRPr="0037350D" w:rsidRDefault="0037350D" w:rsidP="00667577">
      <w:pPr>
        <w:numPr>
          <w:ilvl w:val="0"/>
          <w:numId w:val="183"/>
        </w:numPr>
        <w:spacing w:after="360" w:line="360" w:lineRule="auto"/>
        <w:ind w:right="-159"/>
        <w:contextualSpacing/>
        <w:jc w:val="both"/>
        <w:rPr>
          <w:rFonts w:eastAsia="Calibri"/>
          <w:sz w:val="26"/>
          <w:szCs w:val="26"/>
          <w:lang w:eastAsia="en-US"/>
        </w:rPr>
      </w:pPr>
      <w:r w:rsidRPr="0037350D">
        <w:rPr>
          <w:rFonts w:eastAsia="Calibri"/>
          <w:sz w:val="26"/>
          <w:szCs w:val="26"/>
          <w:lang w:eastAsia="en-US"/>
        </w:rPr>
        <w:t>Dar seguimiento al impacto y promover el acogimiento de las PYMES a la regulación emitida por la CONDUSEF que permite que el banco receptor se encargue de todos los trámites de cancelación del crédito contratado con el banco originador.</w:t>
      </w:r>
    </w:p>
    <w:p w14:paraId="0EB2FE66" w14:textId="77777777" w:rsidR="0037350D" w:rsidRPr="0037350D" w:rsidRDefault="0037350D" w:rsidP="0037350D">
      <w:pPr>
        <w:ind w:right="-159"/>
        <w:jc w:val="both"/>
        <w:rPr>
          <w:rFonts w:eastAsia="Calibri"/>
          <w:b/>
          <w:sz w:val="20"/>
          <w:szCs w:val="20"/>
          <w:lang w:eastAsia="en-US"/>
        </w:rPr>
      </w:pPr>
      <w:r w:rsidRPr="0037350D">
        <w:rPr>
          <w:rFonts w:eastAsia="Calibri"/>
          <w:b/>
          <w:sz w:val="20"/>
          <w:szCs w:val="20"/>
          <w:lang w:eastAsia="en-US"/>
        </w:rPr>
        <w:t>Fuente de información:</w:t>
      </w:r>
    </w:p>
    <w:p w14:paraId="03D64BAD" w14:textId="77777777" w:rsidR="0037350D" w:rsidRPr="007846AF" w:rsidRDefault="0045651A" w:rsidP="007846AF">
      <w:pPr>
        <w:spacing w:after="720"/>
        <w:ind w:right="-159"/>
        <w:jc w:val="both"/>
        <w:rPr>
          <w:rFonts w:eastAsia="Calibri"/>
          <w:color w:val="0000FF"/>
          <w:sz w:val="20"/>
          <w:szCs w:val="20"/>
          <w:lang w:eastAsia="en-US"/>
        </w:rPr>
      </w:pPr>
      <w:hyperlink r:id="rId247" w:history="1">
        <w:r w:rsidR="0037350D" w:rsidRPr="007846AF">
          <w:rPr>
            <w:rFonts w:eastAsia="Calibri"/>
            <w:color w:val="0000FF"/>
            <w:sz w:val="20"/>
            <w:szCs w:val="20"/>
            <w:u w:val="single"/>
            <w:lang w:eastAsia="en-US"/>
          </w:rPr>
          <w:t>http://www.banxico.org.mx/informacion-para-la-prensa/comunicados/miscelaneos/boletines/%7b331FE908-CFF0-3152-61E4-C893FBEB3A59%7d.pdf</w:t>
        </w:r>
      </w:hyperlink>
      <w:r w:rsidR="0037350D" w:rsidRPr="007846AF">
        <w:rPr>
          <w:rFonts w:eastAsia="Calibri"/>
          <w:color w:val="0000FF"/>
          <w:sz w:val="20"/>
          <w:szCs w:val="20"/>
          <w:lang w:eastAsia="en-US"/>
        </w:rPr>
        <w:t xml:space="preserve"> </w:t>
      </w:r>
    </w:p>
    <w:p w14:paraId="3A08F0C4" w14:textId="77777777" w:rsidR="00DD7DDB" w:rsidRPr="00DD7DDB" w:rsidRDefault="00DD7DDB" w:rsidP="00DD7DDB">
      <w:pPr>
        <w:ind w:right="-159"/>
        <w:jc w:val="both"/>
        <w:rPr>
          <w:rFonts w:eastAsia="Calibri"/>
          <w:b/>
          <w:sz w:val="26"/>
          <w:szCs w:val="26"/>
          <w:lang w:eastAsia="en-US"/>
        </w:rPr>
      </w:pPr>
      <w:r w:rsidRPr="00DD7DDB">
        <w:rPr>
          <w:rFonts w:eastAsia="Calibri"/>
          <w:b/>
          <w:sz w:val="26"/>
          <w:szCs w:val="26"/>
          <w:lang w:eastAsia="en-US"/>
        </w:rPr>
        <w:t>Evolución del mercado de redes de</w:t>
      </w:r>
    </w:p>
    <w:p w14:paraId="040973E9"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medios de disposición (Banxico)</w:t>
      </w:r>
    </w:p>
    <w:p w14:paraId="79B069EA"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El 8 de abril de 2015, el Banco de México (Banxico) publicó la comparecencia del Gobernador del Banco de México ante la Cámara de Diputados del Congreso de la Unión cuyo título es “Evolución del mercado de redes de medios de disposición”. A continuación se presenta el contenido.</w:t>
      </w:r>
    </w:p>
    <w:p w14:paraId="7FDC1FA7"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Evolución del mercado de redes de medios de disposición</w:t>
      </w:r>
    </w:p>
    <w:p w14:paraId="3AB74E5E" w14:textId="77777777" w:rsidR="00DD7DDB" w:rsidRPr="00DD7DDB" w:rsidRDefault="00DD7DDB" w:rsidP="0056360F">
      <w:pPr>
        <w:numPr>
          <w:ilvl w:val="0"/>
          <w:numId w:val="76"/>
        </w:numPr>
        <w:spacing w:after="360" w:line="360" w:lineRule="auto"/>
        <w:ind w:left="357" w:right="-159" w:hanging="357"/>
        <w:jc w:val="both"/>
        <w:rPr>
          <w:rFonts w:eastAsia="Calibri"/>
          <w:sz w:val="26"/>
          <w:szCs w:val="26"/>
          <w:lang w:eastAsia="en-US"/>
        </w:rPr>
      </w:pPr>
      <w:r w:rsidRPr="00DD7DDB">
        <w:rPr>
          <w:rFonts w:eastAsia="Calibri"/>
          <w:b/>
          <w:bCs/>
          <w:sz w:val="26"/>
          <w:szCs w:val="26"/>
          <w:lang w:eastAsia="en-US"/>
        </w:rPr>
        <w:t>Introducción</w:t>
      </w:r>
    </w:p>
    <w:p w14:paraId="25463A00"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El objetivo de esta comparecencia es informar a esta Cámara de Diputados ─en cumplimiento a lo establecido en la Reforma Financiera publicada el 10 de enero de 2014, así como al acuerdo correspondiente de la Junta de Coordinación Política─ sobre:</w:t>
      </w:r>
    </w:p>
    <w:p w14:paraId="122BE147" w14:textId="77777777" w:rsidR="00DD7DDB" w:rsidRPr="00DD7DDB" w:rsidRDefault="00DD7DDB" w:rsidP="002D3902">
      <w:pPr>
        <w:numPr>
          <w:ilvl w:val="0"/>
          <w:numId w:val="8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lastRenderedPageBreak/>
        <w:t>La evolución del mercado de redes de medios de disposición y</w:t>
      </w:r>
    </w:p>
    <w:p w14:paraId="386E1B03" w14:textId="77777777" w:rsidR="00DD7DDB" w:rsidRPr="00DD7DDB" w:rsidRDefault="00DD7DDB" w:rsidP="002D3902">
      <w:pPr>
        <w:numPr>
          <w:ilvl w:val="0"/>
          <w:numId w:val="8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Respecto de las disposiciones de carácter general para regular los términos y condiciones en que se presten servicios relacionados con Redes de medios de disposición, así como las cuotas de intercambio y comisiones que se cobren.</w:t>
      </w:r>
    </w:p>
    <w:p w14:paraId="730F2119"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Durante marzo de 2014, el Banco de México cumplió en tiempo y forma con el mandato establecido por la Reforma Financiera para emitir:</w:t>
      </w:r>
    </w:p>
    <w:p w14:paraId="2675A236" w14:textId="77777777" w:rsidR="00DD7DDB" w:rsidRPr="007A233D" w:rsidRDefault="00DD7DDB" w:rsidP="002D3902">
      <w:pPr>
        <w:numPr>
          <w:ilvl w:val="0"/>
          <w:numId w:val="88"/>
        </w:numPr>
        <w:spacing w:after="360" w:line="360" w:lineRule="auto"/>
        <w:ind w:left="714" w:right="-159" w:hanging="357"/>
        <w:jc w:val="both"/>
        <w:rPr>
          <w:rFonts w:eastAsia="Calibri"/>
          <w:sz w:val="26"/>
          <w:szCs w:val="26"/>
          <w:lang w:eastAsia="en-US"/>
        </w:rPr>
      </w:pPr>
      <w:r w:rsidRPr="007A233D">
        <w:rPr>
          <w:rFonts w:eastAsia="Calibri"/>
          <w:sz w:val="26"/>
          <w:szCs w:val="26"/>
          <w:lang w:eastAsia="en-US"/>
        </w:rPr>
        <w:t xml:space="preserve">Las disposiciones aplicables a </w:t>
      </w:r>
      <w:r w:rsidRPr="007A233D">
        <w:rPr>
          <w:rFonts w:eastAsia="Calibri"/>
          <w:bCs/>
          <w:sz w:val="26"/>
          <w:szCs w:val="26"/>
          <w:lang w:eastAsia="en-US"/>
        </w:rPr>
        <w:t>cámaras de compensación</w:t>
      </w:r>
      <w:r w:rsidRPr="007A233D">
        <w:rPr>
          <w:rFonts w:eastAsia="Calibri"/>
          <w:sz w:val="26"/>
          <w:szCs w:val="26"/>
          <w:lang w:eastAsia="en-US"/>
        </w:rPr>
        <w:t>, con opinión de la Comisión Nacional Bancaria y de Valores (CNBV), y</w:t>
      </w:r>
    </w:p>
    <w:p w14:paraId="09DCBB46" w14:textId="77777777" w:rsidR="00DD7DDB" w:rsidRPr="007A233D" w:rsidRDefault="00DD7DDB" w:rsidP="002D3902">
      <w:pPr>
        <w:numPr>
          <w:ilvl w:val="0"/>
          <w:numId w:val="88"/>
        </w:numPr>
        <w:spacing w:after="360" w:line="360" w:lineRule="auto"/>
        <w:ind w:left="714" w:right="-159" w:hanging="357"/>
        <w:jc w:val="both"/>
        <w:rPr>
          <w:rFonts w:eastAsia="Calibri"/>
          <w:sz w:val="26"/>
          <w:szCs w:val="26"/>
          <w:lang w:eastAsia="en-US"/>
        </w:rPr>
      </w:pPr>
      <w:r w:rsidRPr="007A233D">
        <w:rPr>
          <w:rFonts w:eastAsia="Calibri"/>
          <w:sz w:val="26"/>
          <w:szCs w:val="26"/>
          <w:lang w:eastAsia="en-US"/>
        </w:rPr>
        <w:t xml:space="preserve">Las disposiciones aplicables a </w:t>
      </w:r>
      <w:r w:rsidRPr="007A233D">
        <w:rPr>
          <w:rFonts w:eastAsia="Calibri"/>
          <w:bCs/>
          <w:sz w:val="26"/>
          <w:szCs w:val="26"/>
          <w:lang w:eastAsia="en-US"/>
        </w:rPr>
        <w:t>Redes de medios de disposición</w:t>
      </w:r>
      <w:r w:rsidRPr="007A233D">
        <w:rPr>
          <w:rFonts w:eastAsia="Calibri"/>
          <w:sz w:val="26"/>
          <w:szCs w:val="26"/>
          <w:lang w:eastAsia="en-US"/>
        </w:rPr>
        <w:t>, conjuntamente con la CNBV.</w:t>
      </w:r>
    </w:p>
    <w:p w14:paraId="7409351B"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Además, el Banco de México ha llevado a cabo acciones adicionales para contribuir a mejorar las redes de medios de disposición, como fueron reportadas a esta Cámara de Diputados durante las comparecencias de abril y octubre de 2014.</w:t>
      </w:r>
    </w:p>
    <w:p w14:paraId="2047545B"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Para describir mejor la evolución reciente de las redes de medios de disposición, así como del impacto de las acciones implementadas, esta comparecencia se estructura con base en los servicios más relevantes para los usuarios de medios de pagos:</w:t>
      </w:r>
    </w:p>
    <w:p w14:paraId="6B7BF129" w14:textId="77777777" w:rsidR="00DD7DDB" w:rsidRPr="00DD7DDB" w:rsidRDefault="00DD7DDB" w:rsidP="002D3902">
      <w:pPr>
        <w:numPr>
          <w:ilvl w:val="0"/>
          <w:numId w:val="77"/>
        </w:numPr>
        <w:spacing w:after="360" w:line="360" w:lineRule="auto"/>
        <w:ind w:right="-159"/>
        <w:jc w:val="both"/>
        <w:rPr>
          <w:rFonts w:eastAsia="Calibri"/>
          <w:sz w:val="26"/>
          <w:szCs w:val="26"/>
          <w:lang w:eastAsia="en-US"/>
        </w:rPr>
      </w:pPr>
      <w:r w:rsidRPr="00DD7DDB">
        <w:rPr>
          <w:rFonts w:eastAsia="Calibri"/>
          <w:sz w:val="26"/>
          <w:szCs w:val="26"/>
          <w:lang w:eastAsia="en-US"/>
        </w:rPr>
        <w:t>Pagos con tarjetas</w:t>
      </w:r>
    </w:p>
    <w:p w14:paraId="0CDFA463" w14:textId="77777777" w:rsidR="00DD7DDB" w:rsidRPr="00DD7DDB" w:rsidRDefault="00DD7DDB" w:rsidP="002D3902">
      <w:pPr>
        <w:numPr>
          <w:ilvl w:val="0"/>
          <w:numId w:val="77"/>
        </w:numPr>
        <w:spacing w:after="360" w:line="360" w:lineRule="auto"/>
        <w:ind w:right="-159"/>
        <w:jc w:val="both"/>
        <w:rPr>
          <w:rFonts w:eastAsia="Calibri"/>
          <w:sz w:val="26"/>
          <w:szCs w:val="26"/>
          <w:lang w:eastAsia="en-US"/>
        </w:rPr>
      </w:pPr>
      <w:r w:rsidRPr="00DD7DDB">
        <w:rPr>
          <w:rFonts w:eastAsia="Calibri"/>
          <w:sz w:val="26"/>
          <w:szCs w:val="26"/>
          <w:lang w:eastAsia="en-US"/>
        </w:rPr>
        <w:t>Retiros de efectivo con tarjetas</w:t>
      </w:r>
    </w:p>
    <w:p w14:paraId="7AB2326B" w14:textId="77777777" w:rsidR="00DD7DDB" w:rsidRPr="00DD7DDB" w:rsidRDefault="00DD7DDB" w:rsidP="002D3902">
      <w:pPr>
        <w:numPr>
          <w:ilvl w:val="0"/>
          <w:numId w:val="77"/>
        </w:numPr>
        <w:spacing w:after="360" w:line="360" w:lineRule="auto"/>
        <w:ind w:right="-159"/>
        <w:jc w:val="both"/>
        <w:rPr>
          <w:rFonts w:eastAsia="Calibri"/>
          <w:sz w:val="26"/>
          <w:szCs w:val="26"/>
          <w:lang w:eastAsia="en-US"/>
        </w:rPr>
      </w:pPr>
      <w:r w:rsidRPr="00DD7DDB">
        <w:rPr>
          <w:rFonts w:eastAsia="Calibri"/>
          <w:sz w:val="26"/>
          <w:szCs w:val="26"/>
          <w:lang w:eastAsia="en-US"/>
        </w:rPr>
        <w:t>Pagos móviles</w:t>
      </w:r>
    </w:p>
    <w:p w14:paraId="21452583"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lastRenderedPageBreak/>
        <w:t>Los primeros dos son los servicios más utilizados por los usuarios, mientras que los pagos móviles constituyen una oportunidad para mejorar las condiciones de pagos en términos de calidad, costo y acceso.</w:t>
      </w:r>
    </w:p>
    <w:p w14:paraId="74BCE921" w14:textId="77777777" w:rsidR="00DD7DDB" w:rsidRPr="00DD7DDB" w:rsidRDefault="00DD7DDB" w:rsidP="002D3902">
      <w:pPr>
        <w:numPr>
          <w:ilvl w:val="0"/>
          <w:numId w:val="76"/>
        </w:numPr>
        <w:spacing w:after="360" w:line="360" w:lineRule="auto"/>
        <w:ind w:left="357" w:right="-159" w:hanging="357"/>
        <w:jc w:val="both"/>
        <w:rPr>
          <w:rFonts w:eastAsia="Calibri"/>
          <w:b/>
          <w:sz w:val="26"/>
          <w:szCs w:val="26"/>
          <w:lang w:eastAsia="en-US"/>
        </w:rPr>
      </w:pPr>
      <w:r w:rsidRPr="00DD7DDB">
        <w:rPr>
          <w:rFonts w:eastAsia="Calibri"/>
          <w:b/>
          <w:sz w:val="26"/>
          <w:szCs w:val="26"/>
          <w:lang w:eastAsia="en-US"/>
        </w:rPr>
        <w:t>Acciones e impacto</w:t>
      </w:r>
    </w:p>
    <w:p w14:paraId="0E488F54" w14:textId="77777777" w:rsidR="00DD7DDB" w:rsidRPr="00DD7DDB" w:rsidRDefault="00DD7DDB" w:rsidP="002D3902">
      <w:pPr>
        <w:numPr>
          <w:ilvl w:val="0"/>
          <w:numId w:val="82"/>
        </w:numPr>
        <w:spacing w:after="360" w:line="360" w:lineRule="auto"/>
        <w:ind w:left="357" w:right="-159" w:hanging="357"/>
        <w:jc w:val="both"/>
        <w:rPr>
          <w:rFonts w:eastAsia="Calibri"/>
          <w:b/>
          <w:sz w:val="26"/>
          <w:szCs w:val="26"/>
          <w:lang w:eastAsia="en-US"/>
        </w:rPr>
      </w:pPr>
      <w:r w:rsidRPr="00DD7DDB">
        <w:rPr>
          <w:rFonts w:eastAsia="Calibri"/>
          <w:b/>
          <w:sz w:val="26"/>
          <w:szCs w:val="26"/>
          <w:lang w:eastAsia="en-US"/>
        </w:rPr>
        <w:t>Pagos con tarjetas</w:t>
      </w:r>
    </w:p>
    <w:p w14:paraId="10AF3234"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Cámaras de compensación</w:t>
      </w:r>
    </w:p>
    <w:p w14:paraId="2C25C092" w14:textId="77777777" w:rsidR="00DD7DDB" w:rsidRPr="007A233D" w:rsidRDefault="00DD7DDB" w:rsidP="00DD7DDB">
      <w:pPr>
        <w:spacing w:after="360" w:line="360" w:lineRule="auto"/>
        <w:ind w:right="-159"/>
        <w:jc w:val="both"/>
        <w:rPr>
          <w:rFonts w:eastAsia="Calibri"/>
          <w:sz w:val="26"/>
          <w:szCs w:val="26"/>
          <w:lang w:eastAsia="en-US"/>
        </w:rPr>
      </w:pPr>
      <w:r w:rsidRPr="007A233D">
        <w:rPr>
          <w:rFonts w:eastAsia="Calibri"/>
          <w:sz w:val="26"/>
          <w:szCs w:val="26"/>
          <w:lang w:eastAsia="en-US"/>
        </w:rPr>
        <w:t xml:space="preserve">Las </w:t>
      </w:r>
      <w:r w:rsidRPr="007A233D">
        <w:rPr>
          <w:rFonts w:eastAsia="Calibri"/>
          <w:bCs/>
          <w:sz w:val="26"/>
          <w:szCs w:val="26"/>
          <w:lang w:eastAsia="en-US"/>
        </w:rPr>
        <w:t xml:space="preserve">cámaras de compensación </w:t>
      </w:r>
      <w:r w:rsidRPr="007A233D">
        <w:rPr>
          <w:rFonts w:eastAsia="Calibri"/>
          <w:sz w:val="26"/>
          <w:szCs w:val="26"/>
          <w:lang w:eastAsia="en-US"/>
        </w:rPr>
        <w:t>proveen servicios de ruteo, compensación y liquidación de las operaciones con tarjetas. Para promover la entrada de un mayor número de cámaras y corregir algunas de las fallas de mercado detectadas, el Banco de México:</w:t>
      </w:r>
    </w:p>
    <w:p w14:paraId="3F59660C" w14:textId="77777777" w:rsidR="00DD7DDB" w:rsidRPr="007A233D" w:rsidRDefault="00DD7DDB" w:rsidP="009E5D36">
      <w:pPr>
        <w:numPr>
          <w:ilvl w:val="0"/>
          <w:numId w:val="78"/>
        </w:numPr>
        <w:spacing w:after="360" w:line="360" w:lineRule="auto"/>
        <w:ind w:left="357" w:right="-159" w:hanging="357"/>
        <w:jc w:val="both"/>
        <w:rPr>
          <w:rFonts w:eastAsia="Calibri"/>
          <w:sz w:val="26"/>
          <w:szCs w:val="26"/>
          <w:lang w:eastAsia="en-US"/>
        </w:rPr>
      </w:pPr>
      <w:r w:rsidRPr="007A233D">
        <w:rPr>
          <w:rFonts w:eastAsia="Calibri"/>
          <w:sz w:val="26"/>
          <w:szCs w:val="26"/>
          <w:lang w:eastAsia="en-US"/>
        </w:rPr>
        <w:t xml:space="preserve">Emitió </w:t>
      </w:r>
      <w:r w:rsidRPr="007A233D">
        <w:rPr>
          <w:rFonts w:eastAsia="Calibri"/>
          <w:bCs/>
          <w:sz w:val="26"/>
          <w:szCs w:val="26"/>
          <w:lang w:eastAsia="en-US"/>
        </w:rPr>
        <w:t xml:space="preserve">reglas aplicables a cámaras de compensación para pagos con tarjeta </w:t>
      </w:r>
      <w:r w:rsidRPr="007A233D">
        <w:rPr>
          <w:rFonts w:eastAsia="Calibri"/>
          <w:sz w:val="26"/>
          <w:szCs w:val="26"/>
          <w:lang w:eastAsia="en-US"/>
        </w:rPr>
        <w:t>(marzo de 2014) que establecen:</w:t>
      </w:r>
    </w:p>
    <w:p w14:paraId="63ACBF5C" w14:textId="77777777" w:rsidR="00DD7DDB" w:rsidRPr="00DD7DDB" w:rsidRDefault="00DD7DDB" w:rsidP="003518F4">
      <w:pPr>
        <w:numPr>
          <w:ilvl w:val="0"/>
          <w:numId w:val="12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Requisitos técnicos, operativos y corporativos que deben cumplir las cámaras. Esto brinda claridad y transparencia a los interesados en participar.</w:t>
      </w:r>
    </w:p>
    <w:p w14:paraId="753626ED" w14:textId="77777777" w:rsidR="00DD7DDB" w:rsidRPr="00DD7DDB" w:rsidRDefault="00DD7DDB" w:rsidP="003518F4">
      <w:pPr>
        <w:numPr>
          <w:ilvl w:val="0"/>
          <w:numId w:val="12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Requisitos para contratar con terceros servicios propios de las cámaras (ruteo, compensación y liquidación), con el fin de fomentar un uso más eficiente de la infraestructura existente, así como su ampliación (modificación a las reglas en octubre de 2014).</w:t>
      </w:r>
    </w:p>
    <w:p w14:paraId="398051A0" w14:textId="77777777" w:rsidR="00DD7DDB" w:rsidRPr="00DD7DDB" w:rsidRDefault="00DD7DDB" w:rsidP="002D3902">
      <w:pPr>
        <w:numPr>
          <w:ilvl w:val="0"/>
          <w:numId w:val="78"/>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t>Autorizó las condiciones para el intercambio de información de operaciones entre cámaras propuestas por los participantes en este mercado (octubre 2014) y que establecen, entre otros aspectos:</w:t>
      </w:r>
    </w:p>
    <w:p w14:paraId="0AC846F6" w14:textId="77777777" w:rsidR="00DD7DDB" w:rsidRPr="00DD7DDB" w:rsidRDefault="00DD7DDB" w:rsidP="003518F4">
      <w:pPr>
        <w:numPr>
          <w:ilvl w:val="0"/>
          <w:numId w:val="12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lastRenderedPageBreak/>
        <w:t>El detalle de las especificaciones técnicas y operativas para los mensajes, comunicaciones, y procesos de compensación y liquidación.</w:t>
      </w:r>
    </w:p>
    <w:p w14:paraId="40570B0E" w14:textId="77777777" w:rsidR="00DD7DDB" w:rsidRPr="00DD7DDB" w:rsidRDefault="00DD7DDB" w:rsidP="003518F4">
      <w:pPr>
        <w:numPr>
          <w:ilvl w:val="0"/>
          <w:numId w:val="12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Las condiciones para formar un comité representativo de toda la industria para establecer y proponer modificaciones futuras a dichas condiciones sin sesgos hacia los participantes de mayor tamaño.</w:t>
      </w:r>
    </w:p>
    <w:p w14:paraId="6650010F" w14:textId="77777777" w:rsidR="00DD7DDB" w:rsidRPr="00DD7DDB" w:rsidRDefault="00DD7DDB" w:rsidP="003518F4">
      <w:pPr>
        <w:numPr>
          <w:ilvl w:val="0"/>
          <w:numId w:val="12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El requerimiento para los titulares de marca de presentar al Banco de México los procedimientos para garantizar la liquidación diaria de los pagos con tarjeta, los cuales deberán instrumentar en coordinación con las cámaras de compensación.</w:t>
      </w:r>
    </w:p>
    <w:p w14:paraId="264588A6" w14:textId="77777777" w:rsidR="00DD7DDB" w:rsidRPr="00DD7DDB" w:rsidRDefault="00DD7DDB" w:rsidP="00E57236">
      <w:pPr>
        <w:spacing w:after="360" w:line="360" w:lineRule="auto"/>
        <w:ind w:left="714" w:right="-159"/>
        <w:jc w:val="both"/>
        <w:rPr>
          <w:rFonts w:eastAsia="Calibri"/>
          <w:sz w:val="26"/>
          <w:szCs w:val="26"/>
          <w:lang w:eastAsia="en-US"/>
        </w:rPr>
      </w:pPr>
      <w:r w:rsidRPr="00DD7DDB">
        <w:rPr>
          <w:rFonts w:eastAsia="Calibri"/>
          <w:sz w:val="26"/>
          <w:szCs w:val="26"/>
          <w:lang w:eastAsia="en-US"/>
        </w:rPr>
        <w:t>Lo anterior da mayor certeza a los participantes, en particular a los comercios, quienes ahora ya cuentan con la garantía de que recibirán los recursos de los pagos con tarjeta que acepten, aun en caso de incumplimiento por parte de algún emisor.</w:t>
      </w:r>
    </w:p>
    <w:p w14:paraId="78F91CB8"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Impacto: Competencia entre cámaras de compensación</w:t>
      </w:r>
    </w:p>
    <w:p w14:paraId="07CFC485"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Las acciones mencionadas han generado mejores condiciones de competencia, lo que se ha visto reflejado en que:</w:t>
      </w:r>
    </w:p>
    <w:p w14:paraId="48B2D797" w14:textId="77777777" w:rsidR="00DD7DDB" w:rsidRPr="00DD7DDB" w:rsidRDefault="00DD7DDB" w:rsidP="002D3902">
      <w:pPr>
        <w:numPr>
          <w:ilvl w:val="0"/>
          <w:numId w:val="79"/>
        </w:numPr>
        <w:spacing w:after="360" w:line="360" w:lineRule="auto"/>
        <w:ind w:right="-159"/>
        <w:contextualSpacing/>
        <w:jc w:val="both"/>
        <w:rPr>
          <w:rFonts w:eastAsia="Calibri"/>
          <w:sz w:val="26"/>
          <w:szCs w:val="26"/>
          <w:lang w:eastAsia="en-US"/>
        </w:rPr>
      </w:pPr>
      <w:r w:rsidRPr="00DD7DDB">
        <w:rPr>
          <w:rFonts w:eastAsia="Calibri"/>
          <w:sz w:val="26"/>
          <w:szCs w:val="26"/>
          <w:lang w:eastAsia="en-US"/>
        </w:rPr>
        <w:t>Se elimine el cobro por intercambiar operaciones a nuevas cámaras.</w:t>
      </w:r>
    </w:p>
    <w:p w14:paraId="10059B51"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drawing>
          <wp:inline distT="0" distB="0" distL="0" distR="0" wp14:anchorId="1D83C126" wp14:editId="62958E6B">
            <wp:extent cx="4558726" cy="1824317"/>
            <wp:effectExtent l="0" t="0" r="0" b="5080"/>
            <wp:docPr id="1585" name="Imagen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8" cstate="print">
                      <a:extLst>
                        <a:ext uri="{28A0092B-C50C-407E-A947-70E740481C1C}">
                          <a14:useLocalDpi xmlns:a14="http://schemas.microsoft.com/office/drawing/2010/main" val="0"/>
                        </a:ext>
                      </a:extLst>
                    </a:blip>
                    <a:srcRect t="9091" b="37719"/>
                    <a:stretch/>
                  </pic:blipFill>
                  <pic:spPr bwMode="auto">
                    <a:xfrm>
                      <a:off x="0" y="0"/>
                      <a:ext cx="4559300" cy="1824547"/>
                    </a:xfrm>
                    <a:prstGeom prst="rect">
                      <a:avLst/>
                    </a:prstGeom>
                    <a:noFill/>
                    <a:ln>
                      <a:noFill/>
                    </a:ln>
                    <a:extLst>
                      <a:ext uri="{53640926-AAD7-44D8-BBD7-CCE9431645EC}">
                        <a14:shadowObscured xmlns:a14="http://schemas.microsoft.com/office/drawing/2010/main"/>
                      </a:ext>
                    </a:extLst>
                  </pic:spPr>
                </pic:pic>
              </a:graphicData>
            </a:graphic>
          </wp:inline>
        </w:drawing>
      </w:r>
    </w:p>
    <w:p w14:paraId="422435A3" w14:textId="77777777" w:rsidR="00DD7DDB" w:rsidRPr="00DD7DDB" w:rsidRDefault="00DD7DDB" w:rsidP="002D3902">
      <w:pPr>
        <w:numPr>
          <w:ilvl w:val="0"/>
          <w:numId w:val="79"/>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lastRenderedPageBreak/>
        <w:t>Se reduzcan los costos de procesamiento, especialmente para los clientes con bajo volumen de operaciones.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146"/>
        <w:gridCol w:w="1505"/>
        <w:gridCol w:w="1505"/>
      </w:tblGrid>
      <w:tr w:rsidR="00DD7DDB" w:rsidRPr="00DD7DDB" w14:paraId="7367F3C7" w14:textId="77777777" w:rsidTr="00835D95">
        <w:trPr>
          <w:jc w:val="center"/>
        </w:trPr>
        <w:tc>
          <w:tcPr>
            <w:tcW w:w="8155" w:type="dxa"/>
            <w:gridSpan w:val="3"/>
            <w:tcBorders>
              <w:top w:val="nil"/>
              <w:left w:val="nil"/>
              <w:right w:val="nil"/>
            </w:tcBorders>
          </w:tcPr>
          <w:p w14:paraId="022A856F" w14:textId="77777777" w:rsidR="00DD7DDB" w:rsidRPr="00DD7DDB" w:rsidRDefault="00DD7DDB" w:rsidP="00E57236">
            <w:pPr>
              <w:jc w:val="center"/>
              <w:rPr>
                <w:rFonts w:eastAsia="Calibri"/>
                <w:b/>
                <w:sz w:val="22"/>
                <w:szCs w:val="22"/>
                <w:lang w:eastAsia="en-US"/>
              </w:rPr>
            </w:pPr>
            <w:r w:rsidRPr="00DD7DDB">
              <w:rPr>
                <w:rFonts w:eastAsia="Calibri"/>
                <w:b/>
                <w:sz w:val="22"/>
                <w:szCs w:val="22"/>
                <w:lang w:eastAsia="en-US"/>
              </w:rPr>
              <w:t>REDUCCIONES EN LAS COMISIONES Y TARIFAS</w:t>
            </w:r>
          </w:p>
          <w:p w14:paraId="344DB749" w14:textId="77777777" w:rsidR="00DD7DDB" w:rsidRPr="00DD7DDB" w:rsidRDefault="00DD7DDB" w:rsidP="00E57236">
            <w:pPr>
              <w:jc w:val="center"/>
              <w:rPr>
                <w:rFonts w:eastAsia="Calibri"/>
                <w:sz w:val="22"/>
                <w:szCs w:val="22"/>
                <w:lang w:eastAsia="en-US"/>
              </w:rPr>
            </w:pPr>
            <w:r w:rsidRPr="00DD7DDB">
              <w:rPr>
                <w:rFonts w:eastAsia="Calibri"/>
                <w:b/>
                <w:sz w:val="22"/>
                <w:szCs w:val="22"/>
                <w:lang w:eastAsia="en-US"/>
              </w:rPr>
              <w:t>-Cifras en porcentajes-</w:t>
            </w:r>
          </w:p>
          <w:p w14:paraId="247D3BB2" w14:textId="77777777" w:rsidR="00DD7DDB" w:rsidRPr="00DD7DDB" w:rsidRDefault="00DD7DDB" w:rsidP="00E57236">
            <w:pPr>
              <w:jc w:val="center"/>
              <w:rPr>
                <w:rFonts w:eastAsia="Calibri"/>
                <w:sz w:val="22"/>
                <w:szCs w:val="22"/>
                <w:lang w:eastAsia="en-US"/>
              </w:rPr>
            </w:pPr>
          </w:p>
        </w:tc>
      </w:tr>
      <w:tr w:rsidR="00DD7DDB" w:rsidRPr="00E57236" w14:paraId="0A70945E" w14:textId="77777777" w:rsidTr="00835D95">
        <w:trPr>
          <w:jc w:val="center"/>
        </w:trPr>
        <w:tc>
          <w:tcPr>
            <w:tcW w:w="5085" w:type="dxa"/>
          </w:tcPr>
          <w:p w14:paraId="76000A82" w14:textId="77777777" w:rsidR="00DD7DDB" w:rsidRPr="00E57236" w:rsidRDefault="00DD7DDB" w:rsidP="00E57236">
            <w:pPr>
              <w:jc w:val="center"/>
              <w:rPr>
                <w:rFonts w:eastAsia="Calibri"/>
                <w:b/>
                <w:sz w:val="22"/>
                <w:szCs w:val="22"/>
                <w:lang w:eastAsia="en-US"/>
              </w:rPr>
            </w:pPr>
            <w:r w:rsidRPr="00E57236">
              <w:rPr>
                <w:rFonts w:eastAsia="Calibri"/>
                <w:b/>
                <w:sz w:val="22"/>
                <w:szCs w:val="22"/>
                <w:lang w:eastAsia="en-US"/>
              </w:rPr>
              <w:t>Concepto</w:t>
            </w:r>
          </w:p>
        </w:tc>
        <w:tc>
          <w:tcPr>
            <w:tcW w:w="0" w:type="auto"/>
          </w:tcPr>
          <w:p w14:paraId="7AA008BF" w14:textId="77777777" w:rsidR="00DD7DDB" w:rsidRPr="00E57236" w:rsidRDefault="00DD7DDB" w:rsidP="00E57236">
            <w:pPr>
              <w:jc w:val="center"/>
              <w:rPr>
                <w:rFonts w:eastAsia="Calibri"/>
                <w:b/>
                <w:sz w:val="22"/>
                <w:szCs w:val="22"/>
                <w:lang w:eastAsia="en-US"/>
              </w:rPr>
            </w:pPr>
            <w:r w:rsidRPr="00E57236">
              <w:rPr>
                <w:rFonts w:eastAsia="Calibri"/>
                <w:b/>
                <w:sz w:val="22"/>
                <w:szCs w:val="22"/>
                <w:lang w:eastAsia="en-US"/>
              </w:rPr>
              <w:t>Cámara A</w:t>
            </w:r>
          </w:p>
        </w:tc>
        <w:tc>
          <w:tcPr>
            <w:tcW w:w="0" w:type="auto"/>
          </w:tcPr>
          <w:p w14:paraId="687C7A66" w14:textId="77777777" w:rsidR="00DD7DDB" w:rsidRPr="00E57236" w:rsidRDefault="00DD7DDB" w:rsidP="00E57236">
            <w:pPr>
              <w:jc w:val="center"/>
              <w:rPr>
                <w:rFonts w:eastAsia="Calibri"/>
                <w:b/>
                <w:sz w:val="22"/>
                <w:szCs w:val="22"/>
                <w:lang w:eastAsia="en-US"/>
              </w:rPr>
            </w:pPr>
            <w:r w:rsidRPr="00E57236">
              <w:rPr>
                <w:rFonts w:eastAsia="Calibri"/>
                <w:b/>
                <w:sz w:val="22"/>
                <w:szCs w:val="22"/>
                <w:lang w:eastAsia="en-US"/>
              </w:rPr>
              <w:t>Cámara B</w:t>
            </w:r>
          </w:p>
        </w:tc>
      </w:tr>
      <w:tr w:rsidR="00DD7DDB" w:rsidRPr="00DD7DDB" w14:paraId="4C2D37A2" w14:textId="77777777" w:rsidTr="00E57236">
        <w:trPr>
          <w:jc w:val="center"/>
        </w:trPr>
        <w:tc>
          <w:tcPr>
            <w:tcW w:w="5085" w:type="dxa"/>
            <w:tcBorders>
              <w:bottom w:val="nil"/>
            </w:tcBorders>
          </w:tcPr>
          <w:p w14:paraId="1BF8908D" w14:textId="77777777" w:rsidR="00DD7DDB" w:rsidRPr="00DD7DDB" w:rsidRDefault="00DD7DDB" w:rsidP="00E57236">
            <w:pPr>
              <w:jc w:val="both"/>
              <w:rPr>
                <w:rFonts w:eastAsia="Calibri"/>
                <w:sz w:val="22"/>
                <w:szCs w:val="22"/>
                <w:lang w:eastAsia="en-US"/>
              </w:rPr>
            </w:pPr>
            <w:r w:rsidRPr="00DD7DDB">
              <w:rPr>
                <w:rFonts w:eastAsia="Calibri"/>
                <w:sz w:val="22"/>
                <w:szCs w:val="22"/>
                <w:lang w:eastAsia="en-US"/>
              </w:rPr>
              <w:t>Tarifa para clientes con ALTO volumen de operación</w:t>
            </w:r>
          </w:p>
        </w:tc>
        <w:tc>
          <w:tcPr>
            <w:tcW w:w="0" w:type="auto"/>
            <w:tcBorders>
              <w:bottom w:val="nil"/>
            </w:tcBorders>
          </w:tcPr>
          <w:p w14:paraId="29CE1FC1"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-4</w:t>
            </w:r>
          </w:p>
        </w:tc>
        <w:tc>
          <w:tcPr>
            <w:tcW w:w="0" w:type="auto"/>
            <w:tcBorders>
              <w:bottom w:val="nil"/>
            </w:tcBorders>
          </w:tcPr>
          <w:p w14:paraId="63A5013C"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-13*</w:t>
            </w:r>
          </w:p>
        </w:tc>
      </w:tr>
      <w:tr w:rsidR="00DD7DDB" w:rsidRPr="00DD7DDB" w14:paraId="386E6367" w14:textId="77777777" w:rsidTr="00E57236">
        <w:trPr>
          <w:jc w:val="center"/>
        </w:trPr>
        <w:tc>
          <w:tcPr>
            <w:tcW w:w="5085" w:type="dxa"/>
            <w:tcBorders>
              <w:top w:val="nil"/>
              <w:bottom w:val="nil"/>
            </w:tcBorders>
          </w:tcPr>
          <w:p w14:paraId="7DBC1DB6" w14:textId="77777777" w:rsidR="00DD7DDB" w:rsidRPr="00DD7DDB" w:rsidRDefault="00DD7DDB" w:rsidP="00E57236">
            <w:pPr>
              <w:jc w:val="both"/>
              <w:rPr>
                <w:rFonts w:eastAsia="Calibri"/>
                <w:sz w:val="22"/>
                <w:szCs w:val="22"/>
                <w:lang w:eastAsia="en-US"/>
              </w:rPr>
            </w:pPr>
            <w:r w:rsidRPr="00DD7DDB">
              <w:rPr>
                <w:rFonts w:eastAsia="Calibri"/>
                <w:sz w:val="22"/>
                <w:szCs w:val="22"/>
                <w:lang w:eastAsia="en-US"/>
              </w:rPr>
              <w:t>Tarifa para clientes con BAJO volumen de operación</w:t>
            </w:r>
          </w:p>
        </w:tc>
        <w:tc>
          <w:tcPr>
            <w:tcW w:w="0" w:type="auto"/>
            <w:tcBorders>
              <w:top w:val="nil"/>
              <w:bottom w:val="nil"/>
            </w:tcBorders>
          </w:tcPr>
          <w:p w14:paraId="34CCC37B"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-16</w:t>
            </w:r>
          </w:p>
        </w:tc>
        <w:tc>
          <w:tcPr>
            <w:tcW w:w="0" w:type="auto"/>
            <w:tcBorders>
              <w:top w:val="nil"/>
              <w:bottom w:val="nil"/>
            </w:tcBorders>
          </w:tcPr>
          <w:p w14:paraId="2E7422F9"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-81</w:t>
            </w:r>
          </w:p>
        </w:tc>
      </w:tr>
      <w:tr w:rsidR="00DD7DDB" w:rsidRPr="00DD7DDB" w14:paraId="1B7D5180" w14:textId="77777777" w:rsidTr="00E57236">
        <w:trPr>
          <w:jc w:val="center"/>
        </w:trPr>
        <w:tc>
          <w:tcPr>
            <w:tcW w:w="5085" w:type="dxa"/>
            <w:tcBorders>
              <w:top w:val="nil"/>
              <w:bottom w:val="single" w:sz="2" w:space="0" w:color="auto"/>
            </w:tcBorders>
          </w:tcPr>
          <w:p w14:paraId="7DE8420D" w14:textId="77777777" w:rsidR="00DD7DDB" w:rsidRPr="00DD7DDB" w:rsidRDefault="00DD7DDB" w:rsidP="00E57236">
            <w:pPr>
              <w:jc w:val="both"/>
              <w:rPr>
                <w:rFonts w:eastAsia="Calibri"/>
                <w:sz w:val="22"/>
                <w:szCs w:val="22"/>
                <w:lang w:eastAsia="en-US"/>
              </w:rPr>
            </w:pPr>
            <w:r w:rsidRPr="00DD7DDB">
              <w:rPr>
                <w:rFonts w:eastAsia="Calibri"/>
                <w:sz w:val="22"/>
                <w:szCs w:val="22"/>
                <w:lang w:eastAsia="en-US"/>
              </w:rPr>
              <w:t>Diferencial entre la tarifa más alta y la más baja</w:t>
            </w:r>
          </w:p>
        </w:tc>
        <w:tc>
          <w:tcPr>
            <w:tcW w:w="0" w:type="auto"/>
            <w:tcBorders>
              <w:top w:val="nil"/>
              <w:bottom w:val="single" w:sz="2" w:space="0" w:color="auto"/>
            </w:tcBorders>
          </w:tcPr>
          <w:p w14:paraId="523AF28B"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Pasó de 15 a 5</w:t>
            </w:r>
          </w:p>
        </w:tc>
        <w:tc>
          <w:tcPr>
            <w:tcW w:w="0" w:type="auto"/>
            <w:tcBorders>
              <w:top w:val="nil"/>
              <w:bottom w:val="single" w:sz="2" w:space="0" w:color="auto"/>
            </w:tcBorders>
          </w:tcPr>
          <w:p w14:paraId="3A77A838" w14:textId="77777777" w:rsidR="00DD7DDB" w:rsidRPr="00DD7DDB" w:rsidRDefault="00DD7DDB" w:rsidP="00E57236">
            <w:pPr>
              <w:jc w:val="center"/>
              <w:rPr>
                <w:rFonts w:eastAsia="Calibri"/>
                <w:sz w:val="22"/>
                <w:szCs w:val="22"/>
                <w:lang w:eastAsia="en-US"/>
              </w:rPr>
            </w:pPr>
            <w:r w:rsidRPr="00DD7DDB">
              <w:rPr>
                <w:rFonts w:eastAsia="Calibri"/>
                <w:sz w:val="22"/>
                <w:szCs w:val="22"/>
                <w:lang w:eastAsia="en-US"/>
              </w:rPr>
              <w:t>Pasó de 89 a 5</w:t>
            </w:r>
          </w:p>
        </w:tc>
      </w:tr>
      <w:tr w:rsidR="00DD7DDB" w:rsidRPr="00DD7DDB" w14:paraId="3D34A123" w14:textId="77777777" w:rsidTr="00835D95">
        <w:trPr>
          <w:jc w:val="center"/>
        </w:trPr>
        <w:tc>
          <w:tcPr>
            <w:tcW w:w="8155" w:type="dxa"/>
            <w:gridSpan w:val="3"/>
            <w:tcBorders>
              <w:left w:val="nil"/>
              <w:bottom w:val="nil"/>
              <w:right w:val="nil"/>
            </w:tcBorders>
          </w:tcPr>
          <w:p w14:paraId="31AC5738" w14:textId="77777777" w:rsidR="00DD7DDB" w:rsidRPr="00DD7DDB" w:rsidRDefault="00DD7DDB" w:rsidP="002D3902">
            <w:pPr>
              <w:numPr>
                <w:ilvl w:val="0"/>
                <w:numId w:val="80"/>
              </w:numPr>
              <w:ind w:left="357" w:hanging="357"/>
              <w:jc w:val="both"/>
              <w:rPr>
                <w:rFonts w:eastAsia="Calibri"/>
                <w:sz w:val="20"/>
                <w:szCs w:val="20"/>
                <w:lang w:eastAsia="en-US"/>
              </w:rPr>
            </w:pPr>
            <w:r w:rsidRPr="00DD7DDB">
              <w:rPr>
                <w:rFonts w:eastAsia="Calibri"/>
                <w:sz w:val="20"/>
                <w:szCs w:val="20"/>
                <w:lang w:eastAsia="en-US"/>
              </w:rPr>
              <w:t>La cámara A eliminó la comisión de entrada, la cámara B incrementó las tarifas de procesamiento para su cliente con mayor volumen y la cifra reportada no lo considera.</w:t>
            </w:r>
          </w:p>
          <w:p w14:paraId="3B9AD044" w14:textId="77777777" w:rsidR="00DD7DDB" w:rsidRPr="00DD7DDB" w:rsidRDefault="00DD7DDB" w:rsidP="00E57236">
            <w:pPr>
              <w:jc w:val="both"/>
              <w:rPr>
                <w:rFonts w:eastAsia="Calibri"/>
                <w:sz w:val="20"/>
                <w:szCs w:val="20"/>
                <w:lang w:eastAsia="en-US"/>
              </w:rPr>
            </w:pPr>
            <w:r w:rsidRPr="00DD7DDB">
              <w:rPr>
                <w:rFonts w:eastAsia="Calibri"/>
                <w:sz w:val="20"/>
                <w:szCs w:val="20"/>
                <w:lang w:eastAsia="en-US"/>
              </w:rPr>
              <w:t>FUENTE: Banco de México.</w:t>
            </w:r>
          </w:p>
        </w:tc>
      </w:tr>
    </w:tbl>
    <w:p w14:paraId="27168CCA" w14:textId="77777777" w:rsidR="00DD7DDB" w:rsidRPr="00DD7DDB" w:rsidRDefault="00DD7DDB" w:rsidP="00DD7DDB">
      <w:pPr>
        <w:spacing w:line="360" w:lineRule="auto"/>
        <w:ind w:right="-159"/>
        <w:jc w:val="both"/>
        <w:rPr>
          <w:rFonts w:eastAsia="Calibri"/>
          <w:sz w:val="26"/>
          <w:szCs w:val="26"/>
          <w:lang w:eastAsia="en-US"/>
        </w:rPr>
      </w:pPr>
    </w:p>
    <w:p w14:paraId="2723E964" w14:textId="77777777" w:rsidR="00DD7DDB" w:rsidRPr="00DD7DDB" w:rsidRDefault="00DD7DDB" w:rsidP="002D3902">
      <w:pPr>
        <w:numPr>
          <w:ilvl w:val="0"/>
          <w:numId w:val="79"/>
        </w:numPr>
        <w:spacing w:after="360" w:line="360" w:lineRule="auto"/>
        <w:ind w:right="-159"/>
        <w:contextualSpacing/>
        <w:jc w:val="both"/>
        <w:rPr>
          <w:rFonts w:eastAsia="Calibri"/>
          <w:sz w:val="26"/>
          <w:szCs w:val="26"/>
          <w:lang w:eastAsia="en-US"/>
        </w:rPr>
      </w:pPr>
      <w:r w:rsidRPr="00DD7DDB">
        <w:rPr>
          <w:rFonts w:eastAsia="Calibri"/>
          <w:sz w:val="26"/>
          <w:szCs w:val="26"/>
          <w:lang w:eastAsia="en-US"/>
        </w:rPr>
        <w:t>Se autorizaran dos cámaras de compensación (octubre 2014) y otras tres entidades más estén en proceso de autorización.</w:t>
      </w:r>
    </w:p>
    <w:p w14:paraId="612E1B74" w14:textId="31286106" w:rsidR="00DD7DDB" w:rsidRPr="00DD7DDB" w:rsidRDefault="007846AF" w:rsidP="00DD7DDB">
      <w:pPr>
        <w:spacing w:after="360" w:line="360" w:lineRule="auto"/>
        <w:ind w:right="-159"/>
        <w:jc w:val="both"/>
        <w:rPr>
          <w:rFonts w:eastAsia="Calibri"/>
          <w:b/>
          <w:sz w:val="26"/>
          <w:szCs w:val="26"/>
          <w:lang w:eastAsia="en-US"/>
        </w:rPr>
      </w:pPr>
      <w:r>
        <w:rPr>
          <w:rFonts w:eastAsia="Calibri"/>
          <w:b/>
          <w:sz w:val="26"/>
          <w:szCs w:val="26"/>
          <w:lang w:eastAsia="en-US"/>
        </w:rPr>
        <w:br/>
      </w:r>
      <w:r w:rsidR="00DD7DDB" w:rsidRPr="00DD7DDB">
        <w:rPr>
          <w:rFonts w:eastAsia="Calibri"/>
          <w:b/>
          <w:sz w:val="26"/>
          <w:szCs w:val="26"/>
          <w:lang w:eastAsia="en-US"/>
        </w:rPr>
        <w:t>Acciones: Pagos con tarjetas – Redes de medios de disposición</w:t>
      </w:r>
    </w:p>
    <w:p w14:paraId="40E01D6A"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En cuanto a redes de medios de disposición, el objetivo central fue fomentar la competencia, ampliar la infraestructura y reducir el cobro de comisiones. Para ello:</w:t>
      </w:r>
    </w:p>
    <w:p w14:paraId="70D5310A" w14:textId="77777777" w:rsidR="00DD7DDB" w:rsidRPr="00DD7DDB" w:rsidRDefault="00DD7DDB" w:rsidP="002D3902">
      <w:pPr>
        <w:numPr>
          <w:ilvl w:val="0"/>
          <w:numId w:val="81"/>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t>El Banco de México y la Comisión Nacional Bancaria y de Valores emitieron disposiciones aplicables a redes de medios de disposición (marzo 2014) que establecen:</w:t>
      </w:r>
    </w:p>
    <w:p w14:paraId="3DC73C0D" w14:textId="6F0AA4A2" w:rsidR="00DD7DDB" w:rsidRPr="00DD7DDB" w:rsidRDefault="00DD7DDB" w:rsidP="002D3902">
      <w:pPr>
        <w:numPr>
          <w:ilvl w:val="0"/>
          <w:numId w:val="89"/>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 xml:space="preserve">Medidas de transparencia en el cobro de comisiones mediante el registro de </w:t>
      </w:r>
      <w:r w:rsidR="009E5D36">
        <w:rPr>
          <w:rFonts w:eastAsia="Calibri"/>
          <w:sz w:val="26"/>
          <w:szCs w:val="26"/>
          <w:lang w:eastAsia="en-US"/>
        </w:rPr>
        <w:t>é</w:t>
      </w:r>
      <w:r w:rsidRPr="00DD7DDB">
        <w:rPr>
          <w:rFonts w:eastAsia="Calibri"/>
          <w:sz w:val="26"/>
          <w:szCs w:val="26"/>
          <w:lang w:eastAsia="en-US"/>
        </w:rPr>
        <w:t>stas y la emisión de estados de cuenta claros.</w:t>
      </w:r>
    </w:p>
    <w:p w14:paraId="1F579C76" w14:textId="77777777" w:rsidR="00DD7DDB" w:rsidRPr="00DD7DDB" w:rsidRDefault="00DD7DDB" w:rsidP="002D3902">
      <w:pPr>
        <w:numPr>
          <w:ilvl w:val="0"/>
          <w:numId w:val="89"/>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Prohibición de empaquetar servicios o realizar ventas atadas.</w:t>
      </w:r>
    </w:p>
    <w:p w14:paraId="7F1A1742" w14:textId="77777777" w:rsidR="00DD7DDB" w:rsidRPr="00DD7DDB" w:rsidRDefault="00DD7DDB" w:rsidP="002D3902">
      <w:pPr>
        <w:numPr>
          <w:ilvl w:val="0"/>
          <w:numId w:val="89"/>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Prohibición de diferenciar precios por volumen.</w:t>
      </w:r>
    </w:p>
    <w:p w14:paraId="26FB2841" w14:textId="77777777" w:rsidR="00DD7DDB" w:rsidRPr="00DD7DDB" w:rsidRDefault="00DD7DDB" w:rsidP="002D3902">
      <w:pPr>
        <w:numPr>
          <w:ilvl w:val="0"/>
          <w:numId w:val="89"/>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Obligación de contar con infraestructura tecnológica abierta que permita su uso en distintas redes de pagos con tarjetas.</w:t>
      </w:r>
    </w:p>
    <w:p w14:paraId="0C440109" w14:textId="77777777" w:rsidR="00DD7DDB" w:rsidRPr="00DD7DDB" w:rsidRDefault="00DD7DDB" w:rsidP="002D3902">
      <w:pPr>
        <w:numPr>
          <w:ilvl w:val="0"/>
          <w:numId w:val="89"/>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lastRenderedPageBreak/>
        <w:t>Obligación de titulares de marca de garantizar la liquidación de operaciones con tarjetas.</w:t>
      </w:r>
    </w:p>
    <w:p w14:paraId="27E86B52" w14:textId="77777777" w:rsidR="00DD7DDB" w:rsidRDefault="00DD7DDB" w:rsidP="002D3902">
      <w:pPr>
        <w:numPr>
          <w:ilvl w:val="0"/>
          <w:numId w:val="81"/>
        </w:numPr>
        <w:spacing w:after="360" w:line="360" w:lineRule="auto"/>
        <w:ind w:right="-159"/>
        <w:contextualSpacing/>
        <w:jc w:val="both"/>
        <w:rPr>
          <w:rFonts w:eastAsia="Calibri"/>
          <w:sz w:val="26"/>
          <w:szCs w:val="26"/>
          <w:lang w:eastAsia="en-US"/>
        </w:rPr>
      </w:pPr>
      <w:r w:rsidRPr="00DD7DDB">
        <w:rPr>
          <w:rFonts w:eastAsia="Calibri"/>
          <w:sz w:val="26"/>
          <w:szCs w:val="26"/>
          <w:lang w:eastAsia="en-US"/>
        </w:rPr>
        <w:t>Desde septiembre de 2014, el Banco de México publica la información del registro de comisiones de adquirencia (es decir, tasas de descuento), en la cual se muestra el cobro promedio, mínimo y máximo.</w:t>
      </w:r>
    </w:p>
    <w:p w14:paraId="049C515A" w14:textId="77777777" w:rsidR="00975355" w:rsidRDefault="00975355" w:rsidP="00975355">
      <w:pPr>
        <w:spacing w:after="360" w:line="360" w:lineRule="auto"/>
        <w:ind w:right="-159"/>
        <w:contextualSpacing/>
        <w:jc w:val="both"/>
        <w:rPr>
          <w:rFonts w:eastAsia="Calibri"/>
          <w:sz w:val="26"/>
          <w:szCs w:val="26"/>
          <w:lang w:eastAsia="en-US"/>
        </w:rPr>
      </w:pPr>
    </w:p>
    <w:p w14:paraId="571B2ACF" w14:textId="77777777" w:rsidR="00975355" w:rsidRPr="00DD7DDB" w:rsidRDefault="00975355" w:rsidP="00975355">
      <w:pPr>
        <w:spacing w:after="360" w:line="360" w:lineRule="auto"/>
        <w:ind w:right="-159"/>
        <w:contextualSpacing/>
        <w:jc w:val="both"/>
        <w:rPr>
          <w:rFonts w:eastAsia="Calibri"/>
          <w:sz w:val="26"/>
          <w:szCs w:val="26"/>
          <w:lang w:eastAsia="en-US"/>
        </w:rPr>
      </w:pPr>
    </w:p>
    <w:tbl>
      <w:tblPr>
        <w:tblStyle w:val="Tablaconcuadrcula"/>
        <w:tblW w:w="0" w:type="auto"/>
        <w:jc w:val="center"/>
        <w:tblLayout w:type="fixed"/>
        <w:tblLook w:val="04A0" w:firstRow="1" w:lastRow="0" w:firstColumn="1" w:lastColumn="0" w:noHBand="0" w:noVBand="1"/>
      </w:tblPr>
      <w:tblGrid>
        <w:gridCol w:w="1541"/>
        <w:gridCol w:w="883"/>
        <w:gridCol w:w="834"/>
        <w:gridCol w:w="849"/>
        <w:gridCol w:w="708"/>
        <w:gridCol w:w="1405"/>
        <w:gridCol w:w="939"/>
        <w:gridCol w:w="821"/>
        <w:gridCol w:w="848"/>
      </w:tblGrid>
      <w:tr w:rsidR="00975355" w:rsidRPr="00275461" w14:paraId="317E8D1B" w14:textId="77777777" w:rsidTr="00AF7C3F">
        <w:trPr>
          <w:jc w:val="center"/>
        </w:trPr>
        <w:tc>
          <w:tcPr>
            <w:tcW w:w="4107" w:type="dxa"/>
            <w:gridSpan w:val="4"/>
            <w:tcBorders>
              <w:top w:val="nil"/>
              <w:left w:val="nil"/>
              <w:right w:val="nil"/>
            </w:tcBorders>
            <w:vAlign w:val="center"/>
          </w:tcPr>
          <w:p w14:paraId="3A39D35C" w14:textId="77777777" w:rsidR="007846AF" w:rsidRDefault="00975355" w:rsidP="007846AF">
            <w:pPr>
              <w:pStyle w:val="Texto"/>
              <w:numPr>
                <w:ilvl w:val="0"/>
                <w:numId w:val="81"/>
              </w:numPr>
              <w:spacing w:after="0" w:line="240" w:lineRule="auto"/>
              <w:ind w:left="357" w:hanging="357"/>
              <w:jc w:val="center"/>
              <w:rPr>
                <w:rFonts w:ascii="Times New Roman" w:hAnsi="Times New Roman" w:cs="Times New Roman"/>
                <w:b/>
                <w:bCs/>
                <w:sz w:val="16"/>
                <w:szCs w:val="16"/>
              </w:rPr>
            </w:pPr>
            <w:r w:rsidRPr="00275461">
              <w:rPr>
                <w:rFonts w:ascii="Times New Roman" w:hAnsi="Times New Roman" w:cs="Times New Roman"/>
                <w:b/>
                <w:bCs/>
                <w:sz w:val="16"/>
                <w:szCs w:val="16"/>
              </w:rPr>
              <w:t>TASA DE DESCUENTO PARA TARJETAS DE DÉBITO POR GIRO</w:t>
            </w:r>
          </w:p>
          <w:p w14:paraId="72638E4B" w14:textId="35491CBE" w:rsidR="007846AF" w:rsidRPr="007846AF" w:rsidRDefault="007846AF" w:rsidP="007846AF">
            <w:pPr>
              <w:pStyle w:val="Texto"/>
              <w:spacing w:after="0" w:line="240" w:lineRule="auto"/>
              <w:ind w:left="1077" w:firstLine="0"/>
              <w:jc w:val="left"/>
              <w:rPr>
                <w:rFonts w:ascii="Times New Roman" w:hAnsi="Times New Roman" w:cs="Times New Roman"/>
                <w:b/>
                <w:bCs/>
                <w:sz w:val="16"/>
                <w:szCs w:val="16"/>
              </w:rPr>
            </w:pPr>
            <w:r>
              <w:rPr>
                <w:rFonts w:ascii="Times New Roman" w:hAnsi="Times New Roman" w:cs="Times New Roman"/>
                <w:b/>
                <w:bCs/>
                <w:sz w:val="16"/>
                <w:szCs w:val="16"/>
              </w:rPr>
              <w:t xml:space="preserve">                -Por ciento-</w:t>
            </w:r>
          </w:p>
        </w:tc>
        <w:tc>
          <w:tcPr>
            <w:tcW w:w="708" w:type="dxa"/>
            <w:tcBorders>
              <w:top w:val="nil"/>
              <w:left w:val="nil"/>
              <w:bottom w:val="nil"/>
              <w:right w:val="nil"/>
            </w:tcBorders>
            <w:vAlign w:val="center"/>
          </w:tcPr>
          <w:p w14:paraId="7056BA92"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p>
        </w:tc>
        <w:tc>
          <w:tcPr>
            <w:tcW w:w="1405" w:type="dxa"/>
            <w:tcBorders>
              <w:top w:val="nil"/>
              <w:left w:val="nil"/>
              <w:bottom w:val="nil"/>
              <w:right w:val="nil"/>
            </w:tcBorders>
            <w:shd w:val="clear" w:color="auto" w:fill="auto"/>
            <w:vAlign w:val="center"/>
          </w:tcPr>
          <w:p w14:paraId="4A405F76" w14:textId="77777777" w:rsidR="00975355" w:rsidRPr="00AF7C3F" w:rsidRDefault="00975355" w:rsidP="00770CA7">
            <w:pPr>
              <w:autoSpaceDE w:val="0"/>
              <w:autoSpaceDN w:val="0"/>
              <w:adjustRightInd w:val="0"/>
              <w:jc w:val="center"/>
              <w:rPr>
                <w:b/>
                <w:sz w:val="16"/>
                <w:szCs w:val="16"/>
              </w:rPr>
            </w:pPr>
          </w:p>
        </w:tc>
        <w:tc>
          <w:tcPr>
            <w:tcW w:w="939" w:type="dxa"/>
            <w:tcBorders>
              <w:top w:val="nil"/>
              <w:left w:val="nil"/>
              <w:bottom w:val="nil"/>
              <w:right w:val="nil"/>
            </w:tcBorders>
            <w:shd w:val="clear" w:color="auto" w:fill="auto"/>
            <w:vAlign w:val="center"/>
          </w:tcPr>
          <w:p w14:paraId="229B056A" w14:textId="77777777" w:rsidR="00975355" w:rsidRPr="00AF7C3F" w:rsidRDefault="00975355" w:rsidP="00770CA7">
            <w:pPr>
              <w:autoSpaceDE w:val="0"/>
              <w:autoSpaceDN w:val="0"/>
              <w:adjustRightInd w:val="0"/>
              <w:jc w:val="center"/>
              <w:rPr>
                <w:b/>
                <w:sz w:val="16"/>
                <w:szCs w:val="16"/>
              </w:rPr>
            </w:pPr>
          </w:p>
        </w:tc>
        <w:tc>
          <w:tcPr>
            <w:tcW w:w="821" w:type="dxa"/>
            <w:tcBorders>
              <w:top w:val="nil"/>
              <w:left w:val="nil"/>
              <w:bottom w:val="nil"/>
              <w:right w:val="nil"/>
            </w:tcBorders>
            <w:shd w:val="clear" w:color="auto" w:fill="auto"/>
            <w:vAlign w:val="center"/>
          </w:tcPr>
          <w:p w14:paraId="302B7B4A" w14:textId="77777777" w:rsidR="00975355" w:rsidRPr="00AF7C3F" w:rsidRDefault="00975355" w:rsidP="00770CA7">
            <w:pPr>
              <w:autoSpaceDE w:val="0"/>
              <w:autoSpaceDN w:val="0"/>
              <w:adjustRightInd w:val="0"/>
              <w:jc w:val="center"/>
              <w:rPr>
                <w:b/>
                <w:sz w:val="16"/>
                <w:szCs w:val="16"/>
              </w:rPr>
            </w:pPr>
          </w:p>
        </w:tc>
        <w:tc>
          <w:tcPr>
            <w:tcW w:w="848" w:type="dxa"/>
            <w:tcBorders>
              <w:top w:val="nil"/>
              <w:left w:val="nil"/>
              <w:bottom w:val="nil"/>
              <w:right w:val="nil"/>
            </w:tcBorders>
            <w:shd w:val="clear" w:color="auto" w:fill="auto"/>
            <w:vAlign w:val="center"/>
          </w:tcPr>
          <w:p w14:paraId="0F25A02D" w14:textId="77777777" w:rsidR="00975355" w:rsidRPr="00AF7C3F" w:rsidRDefault="00975355" w:rsidP="00770CA7">
            <w:pPr>
              <w:autoSpaceDE w:val="0"/>
              <w:autoSpaceDN w:val="0"/>
              <w:adjustRightInd w:val="0"/>
              <w:jc w:val="center"/>
              <w:rPr>
                <w:b/>
                <w:sz w:val="16"/>
                <w:szCs w:val="16"/>
              </w:rPr>
            </w:pPr>
          </w:p>
        </w:tc>
      </w:tr>
      <w:tr w:rsidR="00975355" w14:paraId="14897B7D" w14:textId="77777777" w:rsidTr="00AF7C3F">
        <w:trPr>
          <w:jc w:val="center"/>
        </w:trPr>
        <w:tc>
          <w:tcPr>
            <w:tcW w:w="1541" w:type="dxa"/>
            <w:tcBorders>
              <w:bottom w:val="single" w:sz="4" w:space="0" w:color="auto"/>
            </w:tcBorders>
            <w:vAlign w:val="center"/>
          </w:tcPr>
          <w:p w14:paraId="5EF80578"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r w:rsidRPr="00275461">
              <w:rPr>
                <w:rFonts w:ascii="Times New Roman" w:hAnsi="Times New Roman" w:cs="Times New Roman"/>
                <w:b/>
                <w:bCs/>
                <w:sz w:val="16"/>
                <w:szCs w:val="16"/>
              </w:rPr>
              <w:t>Giro comercial</w:t>
            </w:r>
          </w:p>
        </w:tc>
        <w:tc>
          <w:tcPr>
            <w:tcW w:w="883" w:type="dxa"/>
            <w:tcBorders>
              <w:bottom w:val="single" w:sz="4" w:space="0" w:color="auto"/>
            </w:tcBorders>
            <w:vAlign w:val="center"/>
          </w:tcPr>
          <w:p w14:paraId="6BF6C36D"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r w:rsidRPr="00275461">
              <w:rPr>
                <w:rFonts w:ascii="Times New Roman" w:hAnsi="Times New Roman" w:cs="Times New Roman"/>
                <w:b/>
                <w:bCs/>
                <w:sz w:val="16"/>
                <w:szCs w:val="16"/>
              </w:rPr>
              <w:t>Promedio</w:t>
            </w:r>
          </w:p>
        </w:tc>
        <w:tc>
          <w:tcPr>
            <w:tcW w:w="834" w:type="dxa"/>
            <w:tcBorders>
              <w:bottom w:val="single" w:sz="4" w:space="0" w:color="auto"/>
            </w:tcBorders>
            <w:vAlign w:val="center"/>
          </w:tcPr>
          <w:p w14:paraId="74B42FF2"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r w:rsidRPr="00275461">
              <w:rPr>
                <w:rFonts w:ascii="Times New Roman" w:hAnsi="Times New Roman" w:cs="Times New Roman"/>
                <w:b/>
                <w:bCs/>
                <w:sz w:val="16"/>
                <w:szCs w:val="16"/>
              </w:rPr>
              <w:t>Mínimos</w:t>
            </w:r>
          </w:p>
        </w:tc>
        <w:tc>
          <w:tcPr>
            <w:tcW w:w="849" w:type="dxa"/>
            <w:tcBorders>
              <w:bottom w:val="single" w:sz="4" w:space="0" w:color="auto"/>
            </w:tcBorders>
            <w:vAlign w:val="center"/>
          </w:tcPr>
          <w:p w14:paraId="3FA040CA"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r w:rsidRPr="00275461">
              <w:rPr>
                <w:rFonts w:ascii="Times New Roman" w:hAnsi="Times New Roman" w:cs="Times New Roman"/>
                <w:b/>
                <w:bCs/>
                <w:sz w:val="16"/>
                <w:szCs w:val="16"/>
              </w:rPr>
              <w:t>Máximos</w:t>
            </w:r>
          </w:p>
        </w:tc>
        <w:tc>
          <w:tcPr>
            <w:tcW w:w="708" w:type="dxa"/>
            <w:tcBorders>
              <w:top w:val="nil"/>
              <w:bottom w:val="nil"/>
              <w:right w:val="nil"/>
            </w:tcBorders>
            <w:vAlign w:val="center"/>
          </w:tcPr>
          <w:p w14:paraId="01E25230"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6277B5E1"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p>
        </w:tc>
        <w:tc>
          <w:tcPr>
            <w:tcW w:w="939" w:type="dxa"/>
            <w:tcBorders>
              <w:top w:val="nil"/>
              <w:left w:val="nil"/>
              <w:bottom w:val="nil"/>
              <w:right w:val="nil"/>
            </w:tcBorders>
            <w:shd w:val="clear" w:color="auto" w:fill="auto"/>
            <w:vAlign w:val="center"/>
          </w:tcPr>
          <w:p w14:paraId="25896CA8"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p>
        </w:tc>
        <w:tc>
          <w:tcPr>
            <w:tcW w:w="821" w:type="dxa"/>
            <w:tcBorders>
              <w:top w:val="nil"/>
              <w:left w:val="nil"/>
              <w:bottom w:val="nil"/>
              <w:right w:val="nil"/>
            </w:tcBorders>
            <w:shd w:val="clear" w:color="auto" w:fill="auto"/>
            <w:vAlign w:val="center"/>
          </w:tcPr>
          <w:p w14:paraId="241A3370"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p>
        </w:tc>
        <w:tc>
          <w:tcPr>
            <w:tcW w:w="848" w:type="dxa"/>
            <w:tcBorders>
              <w:top w:val="nil"/>
              <w:left w:val="nil"/>
              <w:bottom w:val="nil"/>
              <w:right w:val="nil"/>
            </w:tcBorders>
            <w:shd w:val="clear" w:color="auto" w:fill="auto"/>
            <w:vAlign w:val="center"/>
          </w:tcPr>
          <w:p w14:paraId="1C341154"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p>
        </w:tc>
      </w:tr>
      <w:tr w:rsidR="00975355" w14:paraId="5C0E6775" w14:textId="77777777" w:rsidTr="00AF7C3F">
        <w:trPr>
          <w:jc w:val="center"/>
        </w:trPr>
        <w:tc>
          <w:tcPr>
            <w:tcW w:w="1541" w:type="dxa"/>
            <w:tcBorders>
              <w:bottom w:val="nil"/>
            </w:tcBorders>
            <w:vAlign w:val="center"/>
          </w:tcPr>
          <w:p w14:paraId="7953382F" w14:textId="77777777" w:rsidR="00975355" w:rsidRPr="006D7208" w:rsidRDefault="00975355" w:rsidP="00770CA7">
            <w:pPr>
              <w:pStyle w:val="Texto"/>
              <w:spacing w:before="120"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Agencias de viajes</w:t>
            </w:r>
          </w:p>
        </w:tc>
        <w:tc>
          <w:tcPr>
            <w:tcW w:w="883" w:type="dxa"/>
            <w:tcBorders>
              <w:bottom w:val="nil"/>
            </w:tcBorders>
            <w:vAlign w:val="center"/>
          </w:tcPr>
          <w:p w14:paraId="089F51BF" w14:textId="751EE0FE" w:rsidR="00975355" w:rsidRPr="006D7208" w:rsidRDefault="00975355" w:rsidP="007846AF">
            <w:pPr>
              <w:pStyle w:val="Texto"/>
              <w:spacing w:before="120"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1.79</w:t>
            </w:r>
          </w:p>
        </w:tc>
        <w:tc>
          <w:tcPr>
            <w:tcW w:w="834" w:type="dxa"/>
            <w:tcBorders>
              <w:bottom w:val="nil"/>
            </w:tcBorders>
            <w:vAlign w:val="center"/>
          </w:tcPr>
          <w:p w14:paraId="630FCACD" w14:textId="18C68722" w:rsidR="00975355" w:rsidRPr="006D7208" w:rsidRDefault="00975355" w:rsidP="007846AF">
            <w:pPr>
              <w:pStyle w:val="Texto"/>
              <w:spacing w:before="120"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1.15</w:t>
            </w:r>
          </w:p>
        </w:tc>
        <w:tc>
          <w:tcPr>
            <w:tcW w:w="849" w:type="dxa"/>
            <w:tcBorders>
              <w:bottom w:val="nil"/>
            </w:tcBorders>
            <w:vAlign w:val="center"/>
          </w:tcPr>
          <w:p w14:paraId="6FE40013" w14:textId="72CAF599" w:rsidR="00975355" w:rsidRPr="006D7208" w:rsidRDefault="00975355" w:rsidP="007846AF">
            <w:pPr>
              <w:pStyle w:val="Texto"/>
              <w:spacing w:before="120"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right w:val="nil"/>
            </w:tcBorders>
            <w:vAlign w:val="center"/>
          </w:tcPr>
          <w:p w14:paraId="18E3BE6F" w14:textId="77777777" w:rsidR="00975355" w:rsidRPr="006D7208" w:rsidRDefault="00975355" w:rsidP="00770CA7">
            <w:pPr>
              <w:pStyle w:val="Texto"/>
              <w:spacing w:before="120"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740D6098" w14:textId="77777777" w:rsidR="00975355" w:rsidRPr="00AF7C3F" w:rsidRDefault="00975355" w:rsidP="00770CA7">
            <w:pPr>
              <w:autoSpaceDE w:val="0"/>
              <w:autoSpaceDN w:val="0"/>
              <w:adjustRightInd w:val="0"/>
              <w:spacing w:before="120"/>
              <w:rPr>
                <w:sz w:val="16"/>
                <w:szCs w:val="16"/>
              </w:rPr>
            </w:pPr>
          </w:p>
        </w:tc>
        <w:tc>
          <w:tcPr>
            <w:tcW w:w="939" w:type="dxa"/>
            <w:tcBorders>
              <w:top w:val="nil"/>
              <w:left w:val="nil"/>
              <w:bottom w:val="nil"/>
              <w:right w:val="nil"/>
            </w:tcBorders>
            <w:shd w:val="clear" w:color="auto" w:fill="auto"/>
            <w:vAlign w:val="center"/>
          </w:tcPr>
          <w:p w14:paraId="403F90DE" w14:textId="77777777" w:rsidR="00975355" w:rsidRPr="00AF7C3F" w:rsidRDefault="00975355" w:rsidP="00770CA7">
            <w:pPr>
              <w:autoSpaceDE w:val="0"/>
              <w:autoSpaceDN w:val="0"/>
              <w:adjustRightInd w:val="0"/>
              <w:spacing w:before="120"/>
              <w:rPr>
                <w:sz w:val="16"/>
                <w:szCs w:val="16"/>
              </w:rPr>
            </w:pPr>
          </w:p>
        </w:tc>
        <w:tc>
          <w:tcPr>
            <w:tcW w:w="821" w:type="dxa"/>
            <w:tcBorders>
              <w:top w:val="nil"/>
              <w:left w:val="nil"/>
              <w:bottom w:val="nil"/>
              <w:right w:val="nil"/>
            </w:tcBorders>
            <w:shd w:val="clear" w:color="auto" w:fill="auto"/>
            <w:vAlign w:val="center"/>
          </w:tcPr>
          <w:p w14:paraId="61A572FB" w14:textId="77777777" w:rsidR="00975355" w:rsidRPr="00AF7C3F" w:rsidRDefault="00975355" w:rsidP="00770CA7">
            <w:pPr>
              <w:autoSpaceDE w:val="0"/>
              <w:autoSpaceDN w:val="0"/>
              <w:adjustRightInd w:val="0"/>
              <w:spacing w:before="120"/>
              <w:rPr>
                <w:sz w:val="16"/>
                <w:szCs w:val="16"/>
              </w:rPr>
            </w:pPr>
          </w:p>
        </w:tc>
        <w:tc>
          <w:tcPr>
            <w:tcW w:w="848" w:type="dxa"/>
            <w:tcBorders>
              <w:top w:val="nil"/>
              <w:left w:val="nil"/>
              <w:bottom w:val="nil"/>
              <w:right w:val="nil"/>
            </w:tcBorders>
            <w:shd w:val="clear" w:color="auto" w:fill="auto"/>
            <w:vAlign w:val="center"/>
          </w:tcPr>
          <w:p w14:paraId="2338FB53" w14:textId="77777777" w:rsidR="00975355" w:rsidRPr="00AF7C3F" w:rsidRDefault="00975355" w:rsidP="00770CA7">
            <w:pPr>
              <w:autoSpaceDE w:val="0"/>
              <w:autoSpaceDN w:val="0"/>
              <w:adjustRightInd w:val="0"/>
              <w:spacing w:before="120"/>
              <w:rPr>
                <w:sz w:val="16"/>
                <w:szCs w:val="16"/>
              </w:rPr>
            </w:pPr>
          </w:p>
        </w:tc>
      </w:tr>
      <w:tr w:rsidR="00975355" w14:paraId="6F4F8972" w14:textId="77777777" w:rsidTr="00AF7C3F">
        <w:trPr>
          <w:jc w:val="center"/>
        </w:trPr>
        <w:tc>
          <w:tcPr>
            <w:tcW w:w="1541" w:type="dxa"/>
            <w:tcBorders>
              <w:top w:val="nil"/>
              <w:bottom w:val="nil"/>
            </w:tcBorders>
            <w:vAlign w:val="center"/>
          </w:tcPr>
          <w:p w14:paraId="2FA3D835"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A</w:t>
            </w:r>
            <w:r>
              <w:rPr>
                <w:rFonts w:ascii="Times New Roman" w:hAnsi="Times New Roman" w:cs="Times New Roman"/>
                <w:bCs/>
                <w:sz w:val="16"/>
                <w:szCs w:val="16"/>
              </w:rPr>
              <w:t>gregadores</w:t>
            </w:r>
          </w:p>
        </w:tc>
        <w:tc>
          <w:tcPr>
            <w:tcW w:w="883" w:type="dxa"/>
            <w:tcBorders>
              <w:top w:val="nil"/>
              <w:bottom w:val="nil"/>
            </w:tcBorders>
            <w:vAlign w:val="center"/>
          </w:tcPr>
          <w:p w14:paraId="3BAA47E4" w14:textId="3CAA6ADB"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2.07</w:t>
            </w:r>
          </w:p>
        </w:tc>
        <w:tc>
          <w:tcPr>
            <w:tcW w:w="834" w:type="dxa"/>
            <w:tcBorders>
              <w:top w:val="nil"/>
              <w:bottom w:val="nil"/>
            </w:tcBorders>
            <w:vAlign w:val="center"/>
          </w:tcPr>
          <w:p w14:paraId="0E94B91E" w14:textId="133AD73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1.17</w:t>
            </w:r>
          </w:p>
        </w:tc>
        <w:tc>
          <w:tcPr>
            <w:tcW w:w="849" w:type="dxa"/>
            <w:tcBorders>
              <w:top w:val="nil"/>
              <w:bottom w:val="nil"/>
            </w:tcBorders>
            <w:vAlign w:val="center"/>
          </w:tcPr>
          <w:p w14:paraId="7A8E6BB7" w14:textId="6F3CEC3C"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4.00</w:t>
            </w:r>
          </w:p>
        </w:tc>
        <w:tc>
          <w:tcPr>
            <w:tcW w:w="708" w:type="dxa"/>
            <w:tcBorders>
              <w:top w:val="nil"/>
              <w:bottom w:val="nil"/>
              <w:right w:val="nil"/>
            </w:tcBorders>
            <w:vAlign w:val="center"/>
          </w:tcPr>
          <w:p w14:paraId="44C7580C"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2E8994E9" w14:textId="77777777" w:rsidR="00975355" w:rsidRPr="00AF7C3F" w:rsidRDefault="00975355" w:rsidP="00770CA7">
            <w:pPr>
              <w:autoSpaceDE w:val="0"/>
              <w:autoSpaceDN w:val="0"/>
              <w:adjustRightInd w:val="0"/>
              <w:rPr>
                <w:sz w:val="16"/>
                <w:szCs w:val="16"/>
              </w:rPr>
            </w:pPr>
          </w:p>
        </w:tc>
        <w:tc>
          <w:tcPr>
            <w:tcW w:w="939" w:type="dxa"/>
            <w:tcBorders>
              <w:top w:val="nil"/>
              <w:left w:val="nil"/>
              <w:bottom w:val="nil"/>
              <w:right w:val="nil"/>
            </w:tcBorders>
            <w:shd w:val="clear" w:color="auto" w:fill="auto"/>
            <w:vAlign w:val="center"/>
          </w:tcPr>
          <w:p w14:paraId="6F226C3C" w14:textId="77777777" w:rsidR="00975355" w:rsidRPr="00AF7C3F" w:rsidRDefault="00975355" w:rsidP="00770CA7">
            <w:pPr>
              <w:autoSpaceDE w:val="0"/>
              <w:autoSpaceDN w:val="0"/>
              <w:adjustRightInd w:val="0"/>
              <w:rPr>
                <w:sz w:val="16"/>
                <w:szCs w:val="16"/>
              </w:rPr>
            </w:pPr>
          </w:p>
        </w:tc>
        <w:tc>
          <w:tcPr>
            <w:tcW w:w="821" w:type="dxa"/>
            <w:tcBorders>
              <w:top w:val="nil"/>
              <w:left w:val="nil"/>
              <w:bottom w:val="nil"/>
              <w:right w:val="nil"/>
            </w:tcBorders>
            <w:shd w:val="clear" w:color="auto" w:fill="auto"/>
            <w:vAlign w:val="center"/>
          </w:tcPr>
          <w:p w14:paraId="169F1F7A" w14:textId="77777777" w:rsidR="00975355" w:rsidRPr="00AF7C3F" w:rsidRDefault="00975355" w:rsidP="00770CA7">
            <w:pPr>
              <w:autoSpaceDE w:val="0"/>
              <w:autoSpaceDN w:val="0"/>
              <w:adjustRightInd w:val="0"/>
              <w:rPr>
                <w:sz w:val="16"/>
                <w:szCs w:val="16"/>
              </w:rPr>
            </w:pPr>
          </w:p>
        </w:tc>
        <w:tc>
          <w:tcPr>
            <w:tcW w:w="848" w:type="dxa"/>
            <w:tcBorders>
              <w:top w:val="nil"/>
              <w:left w:val="nil"/>
              <w:bottom w:val="nil"/>
              <w:right w:val="nil"/>
            </w:tcBorders>
            <w:shd w:val="clear" w:color="auto" w:fill="auto"/>
            <w:vAlign w:val="center"/>
          </w:tcPr>
          <w:p w14:paraId="71875187" w14:textId="77777777" w:rsidR="00975355" w:rsidRPr="00AF7C3F" w:rsidRDefault="00975355" w:rsidP="00770CA7">
            <w:pPr>
              <w:autoSpaceDE w:val="0"/>
              <w:autoSpaceDN w:val="0"/>
              <w:adjustRightInd w:val="0"/>
              <w:rPr>
                <w:sz w:val="16"/>
                <w:szCs w:val="16"/>
              </w:rPr>
            </w:pPr>
          </w:p>
        </w:tc>
      </w:tr>
      <w:tr w:rsidR="00975355" w14:paraId="385819F3" w14:textId="77777777" w:rsidTr="00AF7C3F">
        <w:trPr>
          <w:jc w:val="center"/>
        </w:trPr>
        <w:tc>
          <w:tcPr>
            <w:tcW w:w="1541" w:type="dxa"/>
            <w:tcBorders>
              <w:top w:val="nil"/>
              <w:bottom w:val="nil"/>
            </w:tcBorders>
            <w:vAlign w:val="center"/>
          </w:tcPr>
          <w:p w14:paraId="5958DFB6"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Aseguradoras</w:t>
            </w:r>
          </w:p>
        </w:tc>
        <w:tc>
          <w:tcPr>
            <w:tcW w:w="883" w:type="dxa"/>
            <w:tcBorders>
              <w:top w:val="nil"/>
              <w:bottom w:val="nil"/>
            </w:tcBorders>
            <w:vAlign w:val="center"/>
          </w:tcPr>
          <w:p w14:paraId="418B285A" w14:textId="70D233B0"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1.71</w:t>
            </w:r>
          </w:p>
        </w:tc>
        <w:tc>
          <w:tcPr>
            <w:tcW w:w="834" w:type="dxa"/>
            <w:tcBorders>
              <w:top w:val="nil"/>
              <w:bottom w:val="nil"/>
            </w:tcBorders>
            <w:vAlign w:val="center"/>
          </w:tcPr>
          <w:p w14:paraId="1297D95E" w14:textId="535EB40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667AA85D" w14:textId="0F3FAB2B"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right w:val="nil"/>
            </w:tcBorders>
            <w:vAlign w:val="center"/>
          </w:tcPr>
          <w:p w14:paraId="0A99E0FD"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4C58FE49" w14:textId="77777777" w:rsidR="00975355" w:rsidRPr="00AF7C3F" w:rsidRDefault="00975355" w:rsidP="00770CA7">
            <w:pPr>
              <w:autoSpaceDE w:val="0"/>
              <w:autoSpaceDN w:val="0"/>
              <w:adjustRightInd w:val="0"/>
              <w:rPr>
                <w:sz w:val="16"/>
                <w:szCs w:val="16"/>
              </w:rPr>
            </w:pPr>
          </w:p>
        </w:tc>
        <w:tc>
          <w:tcPr>
            <w:tcW w:w="939" w:type="dxa"/>
            <w:tcBorders>
              <w:top w:val="nil"/>
              <w:left w:val="nil"/>
              <w:bottom w:val="nil"/>
              <w:right w:val="nil"/>
            </w:tcBorders>
            <w:shd w:val="clear" w:color="auto" w:fill="auto"/>
            <w:vAlign w:val="center"/>
          </w:tcPr>
          <w:p w14:paraId="0D200F17" w14:textId="77777777" w:rsidR="00975355" w:rsidRPr="00AF7C3F" w:rsidRDefault="00975355" w:rsidP="00770CA7">
            <w:pPr>
              <w:autoSpaceDE w:val="0"/>
              <w:autoSpaceDN w:val="0"/>
              <w:adjustRightInd w:val="0"/>
              <w:rPr>
                <w:sz w:val="16"/>
                <w:szCs w:val="16"/>
              </w:rPr>
            </w:pPr>
          </w:p>
        </w:tc>
        <w:tc>
          <w:tcPr>
            <w:tcW w:w="821" w:type="dxa"/>
            <w:tcBorders>
              <w:top w:val="nil"/>
              <w:left w:val="nil"/>
              <w:bottom w:val="nil"/>
              <w:right w:val="nil"/>
            </w:tcBorders>
            <w:shd w:val="clear" w:color="auto" w:fill="auto"/>
            <w:vAlign w:val="center"/>
          </w:tcPr>
          <w:p w14:paraId="21EF8D4B" w14:textId="77777777" w:rsidR="00975355" w:rsidRPr="00AF7C3F" w:rsidRDefault="00975355" w:rsidP="00770CA7">
            <w:pPr>
              <w:autoSpaceDE w:val="0"/>
              <w:autoSpaceDN w:val="0"/>
              <w:adjustRightInd w:val="0"/>
              <w:rPr>
                <w:sz w:val="16"/>
                <w:szCs w:val="16"/>
              </w:rPr>
            </w:pPr>
          </w:p>
        </w:tc>
        <w:tc>
          <w:tcPr>
            <w:tcW w:w="848" w:type="dxa"/>
            <w:tcBorders>
              <w:top w:val="nil"/>
              <w:left w:val="nil"/>
              <w:bottom w:val="nil"/>
              <w:right w:val="nil"/>
            </w:tcBorders>
            <w:shd w:val="clear" w:color="auto" w:fill="auto"/>
            <w:vAlign w:val="center"/>
          </w:tcPr>
          <w:p w14:paraId="7E0C48F7" w14:textId="77777777" w:rsidR="00975355" w:rsidRPr="00AF7C3F" w:rsidRDefault="00975355" w:rsidP="00770CA7">
            <w:pPr>
              <w:autoSpaceDE w:val="0"/>
              <w:autoSpaceDN w:val="0"/>
              <w:adjustRightInd w:val="0"/>
              <w:rPr>
                <w:sz w:val="16"/>
                <w:szCs w:val="16"/>
              </w:rPr>
            </w:pPr>
          </w:p>
        </w:tc>
      </w:tr>
      <w:tr w:rsidR="00975355" w14:paraId="7200924F" w14:textId="77777777" w:rsidTr="00AF7C3F">
        <w:trPr>
          <w:jc w:val="center"/>
        </w:trPr>
        <w:tc>
          <w:tcPr>
            <w:tcW w:w="1541" w:type="dxa"/>
            <w:tcBorders>
              <w:top w:val="nil"/>
              <w:bottom w:val="nil"/>
            </w:tcBorders>
            <w:vAlign w:val="center"/>
          </w:tcPr>
          <w:p w14:paraId="26E8609C"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Beneficiencia</w:t>
            </w:r>
          </w:p>
        </w:tc>
        <w:tc>
          <w:tcPr>
            <w:tcW w:w="883" w:type="dxa"/>
            <w:tcBorders>
              <w:top w:val="nil"/>
              <w:bottom w:val="nil"/>
            </w:tcBorders>
            <w:vAlign w:val="center"/>
          </w:tcPr>
          <w:p w14:paraId="3BCF18A3" w14:textId="4B15E8D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1.19</w:t>
            </w:r>
          </w:p>
        </w:tc>
        <w:tc>
          <w:tcPr>
            <w:tcW w:w="834" w:type="dxa"/>
            <w:tcBorders>
              <w:top w:val="nil"/>
              <w:bottom w:val="nil"/>
            </w:tcBorders>
            <w:vAlign w:val="center"/>
          </w:tcPr>
          <w:p w14:paraId="12F1087F" w14:textId="732DCEC7"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0.50</w:t>
            </w:r>
          </w:p>
        </w:tc>
        <w:tc>
          <w:tcPr>
            <w:tcW w:w="849" w:type="dxa"/>
            <w:tcBorders>
              <w:top w:val="nil"/>
              <w:bottom w:val="nil"/>
            </w:tcBorders>
            <w:vAlign w:val="center"/>
          </w:tcPr>
          <w:p w14:paraId="43DFBD76" w14:textId="18963D5B"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2.00</w:t>
            </w:r>
          </w:p>
        </w:tc>
        <w:tc>
          <w:tcPr>
            <w:tcW w:w="708" w:type="dxa"/>
            <w:tcBorders>
              <w:top w:val="nil"/>
              <w:bottom w:val="nil"/>
              <w:right w:val="nil"/>
            </w:tcBorders>
            <w:vAlign w:val="center"/>
          </w:tcPr>
          <w:p w14:paraId="7974431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7C3EA06B" w14:textId="77777777" w:rsidR="00975355" w:rsidRPr="00AF7C3F" w:rsidRDefault="00975355" w:rsidP="00770CA7">
            <w:pPr>
              <w:autoSpaceDE w:val="0"/>
              <w:autoSpaceDN w:val="0"/>
              <w:adjustRightInd w:val="0"/>
              <w:rPr>
                <w:sz w:val="16"/>
                <w:szCs w:val="16"/>
              </w:rPr>
            </w:pPr>
          </w:p>
        </w:tc>
        <w:tc>
          <w:tcPr>
            <w:tcW w:w="939" w:type="dxa"/>
            <w:tcBorders>
              <w:top w:val="nil"/>
              <w:left w:val="nil"/>
              <w:bottom w:val="nil"/>
              <w:right w:val="nil"/>
            </w:tcBorders>
            <w:shd w:val="clear" w:color="auto" w:fill="auto"/>
            <w:vAlign w:val="center"/>
          </w:tcPr>
          <w:p w14:paraId="099D2BC6" w14:textId="77777777" w:rsidR="00975355" w:rsidRPr="00AF7C3F" w:rsidRDefault="00975355" w:rsidP="00770CA7">
            <w:pPr>
              <w:autoSpaceDE w:val="0"/>
              <w:autoSpaceDN w:val="0"/>
              <w:adjustRightInd w:val="0"/>
              <w:rPr>
                <w:sz w:val="16"/>
                <w:szCs w:val="16"/>
              </w:rPr>
            </w:pPr>
          </w:p>
        </w:tc>
        <w:tc>
          <w:tcPr>
            <w:tcW w:w="821" w:type="dxa"/>
            <w:tcBorders>
              <w:top w:val="nil"/>
              <w:left w:val="nil"/>
              <w:bottom w:val="nil"/>
              <w:right w:val="nil"/>
            </w:tcBorders>
            <w:shd w:val="clear" w:color="auto" w:fill="auto"/>
            <w:vAlign w:val="center"/>
          </w:tcPr>
          <w:p w14:paraId="6DA50AFE" w14:textId="77777777" w:rsidR="00975355" w:rsidRPr="00AF7C3F" w:rsidRDefault="00975355" w:rsidP="00770CA7">
            <w:pPr>
              <w:autoSpaceDE w:val="0"/>
              <w:autoSpaceDN w:val="0"/>
              <w:adjustRightInd w:val="0"/>
              <w:rPr>
                <w:sz w:val="16"/>
                <w:szCs w:val="16"/>
              </w:rPr>
            </w:pPr>
          </w:p>
        </w:tc>
        <w:tc>
          <w:tcPr>
            <w:tcW w:w="848" w:type="dxa"/>
            <w:tcBorders>
              <w:top w:val="nil"/>
              <w:left w:val="nil"/>
              <w:bottom w:val="nil"/>
              <w:right w:val="nil"/>
            </w:tcBorders>
            <w:shd w:val="clear" w:color="auto" w:fill="auto"/>
            <w:vAlign w:val="center"/>
          </w:tcPr>
          <w:p w14:paraId="6FA397B9" w14:textId="77777777" w:rsidR="00975355" w:rsidRPr="00AF7C3F" w:rsidRDefault="00975355" w:rsidP="00770CA7">
            <w:pPr>
              <w:autoSpaceDE w:val="0"/>
              <w:autoSpaceDN w:val="0"/>
              <w:adjustRightInd w:val="0"/>
              <w:rPr>
                <w:sz w:val="16"/>
                <w:szCs w:val="16"/>
              </w:rPr>
            </w:pPr>
          </w:p>
        </w:tc>
      </w:tr>
      <w:tr w:rsidR="00975355" w14:paraId="7BA57AB6" w14:textId="77777777" w:rsidTr="00AF7C3F">
        <w:trPr>
          <w:jc w:val="center"/>
        </w:trPr>
        <w:tc>
          <w:tcPr>
            <w:tcW w:w="1541" w:type="dxa"/>
            <w:tcBorders>
              <w:top w:val="nil"/>
              <w:bottom w:val="nil"/>
            </w:tcBorders>
            <w:vAlign w:val="center"/>
          </w:tcPr>
          <w:p w14:paraId="1AF9D584"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Colegios y universidades</w:t>
            </w:r>
          </w:p>
        </w:tc>
        <w:tc>
          <w:tcPr>
            <w:tcW w:w="883" w:type="dxa"/>
            <w:tcBorders>
              <w:top w:val="nil"/>
              <w:bottom w:val="nil"/>
            </w:tcBorders>
            <w:vAlign w:val="center"/>
          </w:tcPr>
          <w:p w14:paraId="7D80E352" w14:textId="22933EE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1.38</w:t>
            </w:r>
          </w:p>
        </w:tc>
        <w:tc>
          <w:tcPr>
            <w:tcW w:w="834" w:type="dxa"/>
            <w:tcBorders>
              <w:top w:val="nil"/>
              <w:bottom w:val="nil"/>
            </w:tcBorders>
            <w:vAlign w:val="center"/>
          </w:tcPr>
          <w:p w14:paraId="549DADBC" w14:textId="3F629EC1"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0.80</w:t>
            </w:r>
          </w:p>
        </w:tc>
        <w:tc>
          <w:tcPr>
            <w:tcW w:w="849" w:type="dxa"/>
            <w:tcBorders>
              <w:top w:val="nil"/>
              <w:bottom w:val="nil"/>
            </w:tcBorders>
            <w:vAlign w:val="center"/>
          </w:tcPr>
          <w:p w14:paraId="401EE355" w14:textId="56BC906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right w:val="nil"/>
            </w:tcBorders>
            <w:vAlign w:val="center"/>
          </w:tcPr>
          <w:p w14:paraId="7C040C24"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4013" w:type="dxa"/>
            <w:gridSpan w:val="4"/>
            <w:tcBorders>
              <w:top w:val="nil"/>
              <w:left w:val="nil"/>
              <w:bottom w:val="single" w:sz="4" w:space="0" w:color="auto"/>
              <w:right w:val="nil"/>
            </w:tcBorders>
            <w:shd w:val="clear" w:color="auto" w:fill="auto"/>
            <w:vAlign w:val="center"/>
          </w:tcPr>
          <w:p w14:paraId="116D4A43" w14:textId="77777777" w:rsidR="00975355" w:rsidRDefault="00975355" w:rsidP="007846AF">
            <w:pPr>
              <w:jc w:val="center"/>
              <w:rPr>
                <w:b/>
                <w:sz w:val="16"/>
                <w:szCs w:val="16"/>
              </w:rPr>
            </w:pPr>
            <w:r w:rsidRPr="00AF7C3F">
              <w:rPr>
                <w:b/>
                <w:sz w:val="16"/>
                <w:szCs w:val="16"/>
              </w:rPr>
              <w:t>TASAS DE DESCUENTO COBRADAS EN “RESTAURANTES” CON TARJETAS DE DÉBITO</w:t>
            </w:r>
          </w:p>
          <w:p w14:paraId="4252C03B" w14:textId="28C6A091" w:rsidR="007846AF" w:rsidRPr="00AF7C3F" w:rsidRDefault="007846AF" w:rsidP="007846AF">
            <w:pPr>
              <w:jc w:val="center"/>
              <w:rPr>
                <w:b/>
                <w:sz w:val="16"/>
                <w:szCs w:val="16"/>
              </w:rPr>
            </w:pPr>
            <w:r>
              <w:rPr>
                <w:b/>
                <w:bCs/>
                <w:sz w:val="16"/>
                <w:szCs w:val="16"/>
              </w:rPr>
              <w:t>-Por ciento-</w:t>
            </w:r>
          </w:p>
        </w:tc>
      </w:tr>
      <w:tr w:rsidR="00975355" w14:paraId="34DA0153" w14:textId="77777777" w:rsidTr="00AF7C3F">
        <w:trPr>
          <w:jc w:val="center"/>
        </w:trPr>
        <w:tc>
          <w:tcPr>
            <w:tcW w:w="1541" w:type="dxa"/>
            <w:tcBorders>
              <w:top w:val="nil"/>
              <w:bottom w:val="nil"/>
            </w:tcBorders>
            <w:vAlign w:val="center"/>
          </w:tcPr>
          <w:p w14:paraId="16618BCF"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Comida rápida</w:t>
            </w:r>
          </w:p>
        </w:tc>
        <w:tc>
          <w:tcPr>
            <w:tcW w:w="883" w:type="dxa"/>
            <w:tcBorders>
              <w:top w:val="nil"/>
              <w:bottom w:val="nil"/>
            </w:tcBorders>
            <w:vAlign w:val="center"/>
          </w:tcPr>
          <w:p w14:paraId="373D490F" w14:textId="05E1DF5F"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1.77</w:t>
            </w:r>
          </w:p>
        </w:tc>
        <w:tc>
          <w:tcPr>
            <w:tcW w:w="834" w:type="dxa"/>
            <w:tcBorders>
              <w:top w:val="nil"/>
              <w:bottom w:val="nil"/>
            </w:tcBorders>
            <w:vAlign w:val="center"/>
          </w:tcPr>
          <w:p w14:paraId="45289B84" w14:textId="457132B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0.76</w:t>
            </w:r>
          </w:p>
        </w:tc>
        <w:tc>
          <w:tcPr>
            <w:tcW w:w="849" w:type="dxa"/>
            <w:tcBorders>
              <w:top w:val="nil"/>
              <w:bottom w:val="nil"/>
            </w:tcBorders>
            <w:vAlign w:val="center"/>
          </w:tcPr>
          <w:p w14:paraId="41E2F357" w14:textId="1AFC3F58"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3A9E290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single" w:sz="4" w:space="0" w:color="auto"/>
              <w:bottom w:val="single" w:sz="4" w:space="0" w:color="auto"/>
            </w:tcBorders>
            <w:shd w:val="clear" w:color="auto" w:fill="auto"/>
            <w:vAlign w:val="center"/>
          </w:tcPr>
          <w:p w14:paraId="60988B8B"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r w:rsidRPr="00AF7C3F">
              <w:rPr>
                <w:rFonts w:ascii="Times New Roman" w:hAnsi="Times New Roman" w:cs="Times New Roman"/>
                <w:b/>
                <w:bCs/>
                <w:noProof/>
                <w:sz w:val="16"/>
                <w:szCs w:val="16"/>
              </w:rPr>
              <mc:AlternateContent>
                <mc:Choice Requires="wps">
                  <w:drawing>
                    <wp:anchor distT="0" distB="0" distL="114300" distR="114300" simplePos="0" relativeHeight="251678720" behindDoc="0" locked="0" layoutInCell="1" allowOverlap="1" wp14:anchorId="3DBF6F16" wp14:editId="741567BF">
                      <wp:simplePos x="0" y="0"/>
                      <wp:positionH relativeFrom="column">
                        <wp:posOffset>-518795</wp:posOffset>
                      </wp:positionH>
                      <wp:positionV relativeFrom="paragraph">
                        <wp:posOffset>108585</wp:posOffset>
                      </wp:positionV>
                      <wp:extent cx="441960" cy="2118360"/>
                      <wp:effectExtent l="0" t="38100" r="53340" b="15240"/>
                      <wp:wrapNone/>
                      <wp:docPr id="1812" name="Conector recto de flecha 1812"/>
                      <wp:cNvGraphicFramePr/>
                      <a:graphic xmlns:a="http://schemas.openxmlformats.org/drawingml/2006/main">
                        <a:graphicData uri="http://schemas.microsoft.com/office/word/2010/wordprocessingShape">
                          <wps:wsp>
                            <wps:cNvCnPr/>
                            <wps:spPr>
                              <a:xfrm flipV="1">
                                <a:off x="0" y="0"/>
                                <a:ext cx="441960" cy="21183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F3BB4E" id="_x0000_t32" coordsize="21600,21600" o:spt="32" o:oned="t" path="m,l21600,21600e" filled="f">
                      <v:path arrowok="t" fillok="f" o:connecttype="none"/>
                      <o:lock v:ext="edit" shapetype="t"/>
                    </v:shapetype>
                    <v:shape id="Conector recto de flecha 1812" o:spid="_x0000_s1026" type="#_x0000_t32" style="position:absolute;margin-left:-40.85pt;margin-top:8.55pt;width:34.8pt;height:166.8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" strokecolor="black [3040]">
                      <v:stroke endarrow="block"/>
                    </v:shape>
                  </w:pict>
                </mc:Fallback>
              </mc:AlternateContent>
            </w:r>
            <w:r w:rsidRPr="00AF7C3F">
              <w:rPr>
                <w:rFonts w:ascii="Times New Roman" w:hAnsi="Times New Roman" w:cs="Times New Roman"/>
                <w:b/>
                <w:bCs/>
                <w:sz w:val="16"/>
                <w:szCs w:val="16"/>
              </w:rPr>
              <w:t>Banco</w:t>
            </w:r>
          </w:p>
        </w:tc>
        <w:tc>
          <w:tcPr>
            <w:tcW w:w="939" w:type="dxa"/>
            <w:tcBorders>
              <w:top w:val="single" w:sz="4" w:space="0" w:color="auto"/>
              <w:bottom w:val="single" w:sz="4" w:space="0" w:color="auto"/>
            </w:tcBorders>
            <w:shd w:val="clear" w:color="auto" w:fill="auto"/>
            <w:vAlign w:val="center"/>
          </w:tcPr>
          <w:p w14:paraId="572E2E75"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r w:rsidRPr="00AF7C3F">
              <w:rPr>
                <w:rFonts w:ascii="Times New Roman" w:hAnsi="Times New Roman" w:cs="Times New Roman"/>
                <w:b/>
                <w:bCs/>
                <w:sz w:val="16"/>
                <w:szCs w:val="16"/>
              </w:rPr>
              <w:t>Promedio</w:t>
            </w:r>
          </w:p>
        </w:tc>
        <w:tc>
          <w:tcPr>
            <w:tcW w:w="821" w:type="dxa"/>
            <w:tcBorders>
              <w:top w:val="single" w:sz="4" w:space="0" w:color="auto"/>
              <w:bottom w:val="single" w:sz="4" w:space="0" w:color="auto"/>
            </w:tcBorders>
            <w:shd w:val="clear" w:color="auto" w:fill="auto"/>
            <w:vAlign w:val="center"/>
          </w:tcPr>
          <w:p w14:paraId="21B92BFA"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r w:rsidRPr="00AF7C3F">
              <w:rPr>
                <w:rFonts w:ascii="Times New Roman" w:hAnsi="Times New Roman" w:cs="Times New Roman"/>
                <w:b/>
                <w:bCs/>
                <w:sz w:val="16"/>
                <w:szCs w:val="16"/>
              </w:rPr>
              <w:t>Mínimos</w:t>
            </w:r>
          </w:p>
        </w:tc>
        <w:tc>
          <w:tcPr>
            <w:tcW w:w="848" w:type="dxa"/>
            <w:tcBorders>
              <w:top w:val="single" w:sz="4" w:space="0" w:color="auto"/>
              <w:bottom w:val="single" w:sz="4" w:space="0" w:color="auto"/>
            </w:tcBorders>
            <w:shd w:val="clear" w:color="auto" w:fill="auto"/>
            <w:vAlign w:val="center"/>
          </w:tcPr>
          <w:p w14:paraId="57D8D7C2" w14:textId="77777777" w:rsidR="00975355" w:rsidRPr="00AF7C3F" w:rsidRDefault="00975355" w:rsidP="00770CA7">
            <w:pPr>
              <w:pStyle w:val="Texto"/>
              <w:spacing w:after="0" w:line="240" w:lineRule="auto"/>
              <w:ind w:firstLine="0"/>
              <w:jc w:val="center"/>
              <w:rPr>
                <w:rFonts w:ascii="Times New Roman" w:hAnsi="Times New Roman" w:cs="Times New Roman"/>
                <w:b/>
                <w:bCs/>
                <w:sz w:val="16"/>
                <w:szCs w:val="16"/>
              </w:rPr>
            </w:pPr>
            <w:r w:rsidRPr="00AF7C3F">
              <w:rPr>
                <w:rFonts w:ascii="Times New Roman" w:hAnsi="Times New Roman" w:cs="Times New Roman"/>
                <w:b/>
                <w:bCs/>
                <w:sz w:val="16"/>
                <w:szCs w:val="16"/>
              </w:rPr>
              <w:t>Máximos</w:t>
            </w:r>
          </w:p>
        </w:tc>
      </w:tr>
      <w:tr w:rsidR="00975355" w14:paraId="553C9C84" w14:textId="77777777" w:rsidTr="00AF7C3F">
        <w:trPr>
          <w:jc w:val="center"/>
        </w:trPr>
        <w:tc>
          <w:tcPr>
            <w:tcW w:w="1541" w:type="dxa"/>
            <w:tcBorders>
              <w:top w:val="nil"/>
              <w:bottom w:val="nil"/>
            </w:tcBorders>
            <w:vAlign w:val="center"/>
          </w:tcPr>
          <w:p w14:paraId="2A718A72"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Educación básica</w:t>
            </w:r>
          </w:p>
        </w:tc>
        <w:tc>
          <w:tcPr>
            <w:tcW w:w="883" w:type="dxa"/>
            <w:tcBorders>
              <w:top w:val="nil"/>
              <w:bottom w:val="nil"/>
            </w:tcBorders>
            <w:vAlign w:val="center"/>
          </w:tcPr>
          <w:p w14:paraId="60D90137" w14:textId="4542E7C0"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1.44</w:t>
            </w:r>
          </w:p>
        </w:tc>
        <w:tc>
          <w:tcPr>
            <w:tcW w:w="834" w:type="dxa"/>
            <w:tcBorders>
              <w:top w:val="nil"/>
              <w:bottom w:val="nil"/>
            </w:tcBorders>
            <w:vAlign w:val="center"/>
          </w:tcPr>
          <w:p w14:paraId="001097F7" w14:textId="22B2B5A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0.76</w:t>
            </w:r>
          </w:p>
        </w:tc>
        <w:tc>
          <w:tcPr>
            <w:tcW w:w="849" w:type="dxa"/>
            <w:tcBorders>
              <w:top w:val="nil"/>
              <w:bottom w:val="nil"/>
            </w:tcBorders>
            <w:vAlign w:val="center"/>
          </w:tcPr>
          <w:p w14:paraId="17A2914F" w14:textId="5A16E5D7"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2.63</w:t>
            </w:r>
          </w:p>
        </w:tc>
        <w:tc>
          <w:tcPr>
            <w:tcW w:w="708" w:type="dxa"/>
            <w:tcBorders>
              <w:top w:val="nil"/>
              <w:bottom w:val="nil"/>
            </w:tcBorders>
            <w:vAlign w:val="center"/>
          </w:tcPr>
          <w:p w14:paraId="52AD4E7A"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single" w:sz="4" w:space="0" w:color="auto"/>
              <w:bottom w:val="nil"/>
            </w:tcBorders>
            <w:shd w:val="clear" w:color="auto" w:fill="auto"/>
            <w:vAlign w:val="center"/>
          </w:tcPr>
          <w:p w14:paraId="5DA89074" w14:textId="77777777" w:rsidR="00975355" w:rsidRPr="00AF7C3F" w:rsidRDefault="00975355" w:rsidP="00770CA7">
            <w:pPr>
              <w:autoSpaceDE w:val="0"/>
              <w:autoSpaceDN w:val="0"/>
              <w:adjustRightInd w:val="0"/>
              <w:spacing w:before="120"/>
              <w:jc w:val="center"/>
              <w:rPr>
                <w:sz w:val="16"/>
                <w:szCs w:val="16"/>
              </w:rPr>
            </w:pPr>
            <w:r w:rsidRPr="00AF7C3F">
              <w:rPr>
                <w:sz w:val="16"/>
                <w:szCs w:val="16"/>
              </w:rPr>
              <w:t>Mifel</w:t>
            </w:r>
          </w:p>
        </w:tc>
        <w:tc>
          <w:tcPr>
            <w:tcW w:w="939" w:type="dxa"/>
            <w:tcBorders>
              <w:top w:val="single" w:sz="4" w:space="0" w:color="auto"/>
              <w:bottom w:val="nil"/>
            </w:tcBorders>
            <w:shd w:val="clear" w:color="auto" w:fill="auto"/>
            <w:vAlign w:val="center"/>
          </w:tcPr>
          <w:p w14:paraId="26BA9C9E" w14:textId="45D416CD" w:rsidR="00975355" w:rsidRPr="00AF7C3F" w:rsidRDefault="00975355" w:rsidP="007846AF">
            <w:pPr>
              <w:autoSpaceDE w:val="0"/>
              <w:autoSpaceDN w:val="0"/>
              <w:adjustRightInd w:val="0"/>
              <w:spacing w:before="120"/>
              <w:ind w:right="113"/>
              <w:jc w:val="right"/>
              <w:rPr>
                <w:sz w:val="16"/>
                <w:szCs w:val="16"/>
              </w:rPr>
            </w:pPr>
            <w:r w:rsidRPr="00AF7C3F">
              <w:rPr>
                <w:sz w:val="16"/>
                <w:szCs w:val="16"/>
              </w:rPr>
              <w:t>1.37</w:t>
            </w:r>
          </w:p>
        </w:tc>
        <w:tc>
          <w:tcPr>
            <w:tcW w:w="821" w:type="dxa"/>
            <w:tcBorders>
              <w:top w:val="single" w:sz="4" w:space="0" w:color="auto"/>
              <w:bottom w:val="nil"/>
            </w:tcBorders>
            <w:shd w:val="clear" w:color="auto" w:fill="auto"/>
            <w:vAlign w:val="center"/>
          </w:tcPr>
          <w:p w14:paraId="60171125" w14:textId="45103E40" w:rsidR="00975355" w:rsidRPr="00AF7C3F" w:rsidRDefault="00975355" w:rsidP="007846AF">
            <w:pPr>
              <w:autoSpaceDE w:val="0"/>
              <w:autoSpaceDN w:val="0"/>
              <w:adjustRightInd w:val="0"/>
              <w:spacing w:before="120"/>
              <w:ind w:right="113"/>
              <w:jc w:val="right"/>
              <w:rPr>
                <w:sz w:val="16"/>
                <w:szCs w:val="16"/>
              </w:rPr>
            </w:pPr>
            <w:r w:rsidRPr="00AF7C3F">
              <w:rPr>
                <w:sz w:val="16"/>
                <w:szCs w:val="16"/>
              </w:rPr>
              <w:t>1.17</w:t>
            </w:r>
          </w:p>
        </w:tc>
        <w:tc>
          <w:tcPr>
            <w:tcW w:w="848" w:type="dxa"/>
            <w:tcBorders>
              <w:top w:val="single" w:sz="4" w:space="0" w:color="auto"/>
              <w:bottom w:val="nil"/>
            </w:tcBorders>
            <w:shd w:val="clear" w:color="auto" w:fill="auto"/>
            <w:vAlign w:val="center"/>
          </w:tcPr>
          <w:p w14:paraId="6FF997AC" w14:textId="7A2BB38C" w:rsidR="00975355" w:rsidRPr="00AF7C3F" w:rsidRDefault="00975355" w:rsidP="007846AF">
            <w:pPr>
              <w:autoSpaceDE w:val="0"/>
              <w:autoSpaceDN w:val="0"/>
              <w:adjustRightInd w:val="0"/>
              <w:spacing w:before="120"/>
              <w:ind w:right="113"/>
              <w:jc w:val="right"/>
              <w:rPr>
                <w:sz w:val="16"/>
                <w:szCs w:val="16"/>
              </w:rPr>
            </w:pPr>
            <w:r w:rsidRPr="00AF7C3F">
              <w:rPr>
                <w:sz w:val="16"/>
                <w:szCs w:val="16"/>
              </w:rPr>
              <w:t>1.93</w:t>
            </w:r>
          </w:p>
        </w:tc>
      </w:tr>
      <w:tr w:rsidR="00975355" w14:paraId="6DF4E7F4" w14:textId="77777777" w:rsidTr="00AF7C3F">
        <w:trPr>
          <w:jc w:val="center"/>
        </w:trPr>
        <w:tc>
          <w:tcPr>
            <w:tcW w:w="1541" w:type="dxa"/>
            <w:tcBorders>
              <w:top w:val="nil"/>
              <w:bottom w:val="nil"/>
            </w:tcBorders>
            <w:vAlign w:val="center"/>
          </w:tcPr>
          <w:p w14:paraId="114D57B0"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Entretenimiento</w:t>
            </w:r>
          </w:p>
        </w:tc>
        <w:tc>
          <w:tcPr>
            <w:tcW w:w="883" w:type="dxa"/>
            <w:tcBorders>
              <w:top w:val="nil"/>
              <w:bottom w:val="nil"/>
            </w:tcBorders>
            <w:vAlign w:val="center"/>
          </w:tcPr>
          <w:p w14:paraId="5F29A558" w14:textId="32C178FB"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1.83</w:t>
            </w:r>
          </w:p>
        </w:tc>
        <w:tc>
          <w:tcPr>
            <w:tcW w:w="834" w:type="dxa"/>
            <w:tcBorders>
              <w:top w:val="nil"/>
              <w:bottom w:val="nil"/>
            </w:tcBorders>
            <w:vAlign w:val="center"/>
          </w:tcPr>
          <w:p w14:paraId="5BB919D4" w14:textId="3CF06D9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1.11</w:t>
            </w:r>
          </w:p>
        </w:tc>
        <w:tc>
          <w:tcPr>
            <w:tcW w:w="849" w:type="dxa"/>
            <w:tcBorders>
              <w:top w:val="nil"/>
              <w:bottom w:val="nil"/>
            </w:tcBorders>
            <w:vAlign w:val="center"/>
          </w:tcPr>
          <w:p w14:paraId="6720B354" w14:textId="3B7C3EE6"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6C8C8B22"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66C28D96" w14:textId="77777777" w:rsidR="00975355" w:rsidRPr="00AF7C3F" w:rsidRDefault="00975355" w:rsidP="00770CA7">
            <w:pPr>
              <w:autoSpaceDE w:val="0"/>
              <w:autoSpaceDN w:val="0"/>
              <w:adjustRightInd w:val="0"/>
              <w:jc w:val="center"/>
              <w:rPr>
                <w:sz w:val="16"/>
                <w:szCs w:val="16"/>
              </w:rPr>
            </w:pPr>
            <w:r w:rsidRPr="00AF7C3F">
              <w:rPr>
                <w:sz w:val="16"/>
                <w:szCs w:val="16"/>
              </w:rPr>
              <w:t>Banamex</w:t>
            </w:r>
          </w:p>
        </w:tc>
        <w:tc>
          <w:tcPr>
            <w:tcW w:w="939" w:type="dxa"/>
            <w:tcBorders>
              <w:top w:val="nil"/>
              <w:bottom w:val="nil"/>
            </w:tcBorders>
            <w:shd w:val="clear" w:color="auto" w:fill="auto"/>
            <w:vAlign w:val="center"/>
          </w:tcPr>
          <w:p w14:paraId="50BEA59B" w14:textId="747B8392" w:rsidR="00975355" w:rsidRPr="00AF7C3F" w:rsidRDefault="00975355" w:rsidP="007846AF">
            <w:pPr>
              <w:autoSpaceDE w:val="0"/>
              <w:autoSpaceDN w:val="0"/>
              <w:adjustRightInd w:val="0"/>
              <w:ind w:right="113"/>
              <w:jc w:val="right"/>
              <w:rPr>
                <w:sz w:val="16"/>
                <w:szCs w:val="16"/>
              </w:rPr>
            </w:pPr>
            <w:r w:rsidRPr="00AF7C3F">
              <w:rPr>
                <w:sz w:val="16"/>
                <w:szCs w:val="16"/>
              </w:rPr>
              <w:t>1.47</w:t>
            </w:r>
          </w:p>
        </w:tc>
        <w:tc>
          <w:tcPr>
            <w:tcW w:w="821" w:type="dxa"/>
            <w:tcBorders>
              <w:top w:val="nil"/>
              <w:bottom w:val="nil"/>
            </w:tcBorders>
            <w:shd w:val="clear" w:color="auto" w:fill="auto"/>
            <w:vAlign w:val="center"/>
          </w:tcPr>
          <w:p w14:paraId="3CE41DA6" w14:textId="1B30F4D8" w:rsidR="00975355" w:rsidRPr="00AF7C3F" w:rsidRDefault="00975355" w:rsidP="007846AF">
            <w:pPr>
              <w:autoSpaceDE w:val="0"/>
              <w:autoSpaceDN w:val="0"/>
              <w:adjustRightInd w:val="0"/>
              <w:ind w:right="113"/>
              <w:jc w:val="right"/>
              <w:rPr>
                <w:sz w:val="16"/>
                <w:szCs w:val="16"/>
              </w:rPr>
            </w:pPr>
            <w:r w:rsidRPr="00AF7C3F">
              <w:rPr>
                <w:sz w:val="16"/>
                <w:szCs w:val="16"/>
              </w:rPr>
              <w:t>1.16</w:t>
            </w:r>
          </w:p>
        </w:tc>
        <w:tc>
          <w:tcPr>
            <w:tcW w:w="848" w:type="dxa"/>
            <w:tcBorders>
              <w:top w:val="nil"/>
              <w:bottom w:val="nil"/>
            </w:tcBorders>
            <w:shd w:val="clear" w:color="auto" w:fill="auto"/>
            <w:vAlign w:val="center"/>
          </w:tcPr>
          <w:p w14:paraId="16524A31" w14:textId="7993EF8D" w:rsidR="00975355" w:rsidRPr="00AF7C3F" w:rsidRDefault="00975355" w:rsidP="007846AF">
            <w:pPr>
              <w:autoSpaceDE w:val="0"/>
              <w:autoSpaceDN w:val="0"/>
              <w:adjustRightInd w:val="0"/>
              <w:ind w:right="113"/>
              <w:jc w:val="right"/>
              <w:rPr>
                <w:sz w:val="16"/>
                <w:szCs w:val="16"/>
              </w:rPr>
            </w:pPr>
            <w:r w:rsidRPr="00AF7C3F">
              <w:rPr>
                <w:sz w:val="16"/>
                <w:szCs w:val="16"/>
              </w:rPr>
              <w:t>2.00</w:t>
            </w:r>
          </w:p>
        </w:tc>
      </w:tr>
      <w:tr w:rsidR="00975355" w14:paraId="4F9D1830" w14:textId="77777777" w:rsidTr="00AF7C3F">
        <w:trPr>
          <w:jc w:val="center"/>
        </w:trPr>
        <w:tc>
          <w:tcPr>
            <w:tcW w:w="1541" w:type="dxa"/>
            <w:tcBorders>
              <w:top w:val="nil"/>
              <w:bottom w:val="nil"/>
            </w:tcBorders>
            <w:vAlign w:val="center"/>
          </w:tcPr>
          <w:p w14:paraId="677377A5"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Estacionamientos</w:t>
            </w:r>
          </w:p>
        </w:tc>
        <w:tc>
          <w:tcPr>
            <w:tcW w:w="883" w:type="dxa"/>
            <w:tcBorders>
              <w:top w:val="nil"/>
              <w:bottom w:val="nil"/>
            </w:tcBorders>
            <w:vAlign w:val="center"/>
          </w:tcPr>
          <w:p w14:paraId="53C1E675" w14:textId="434B12EB"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1.74</w:t>
            </w:r>
          </w:p>
        </w:tc>
        <w:tc>
          <w:tcPr>
            <w:tcW w:w="834" w:type="dxa"/>
            <w:tcBorders>
              <w:top w:val="nil"/>
              <w:bottom w:val="nil"/>
            </w:tcBorders>
            <w:vAlign w:val="center"/>
          </w:tcPr>
          <w:p w14:paraId="50B2F776" w14:textId="6EA9E99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1.07</w:t>
            </w:r>
          </w:p>
        </w:tc>
        <w:tc>
          <w:tcPr>
            <w:tcW w:w="849" w:type="dxa"/>
            <w:tcBorders>
              <w:top w:val="nil"/>
              <w:bottom w:val="nil"/>
            </w:tcBorders>
            <w:vAlign w:val="center"/>
          </w:tcPr>
          <w:p w14:paraId="7CCC455A" w14:textId="2885D69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3.15</w:t>
            </w:r>
          </w:p>
        </w:tc>
        <w:tc>
          <w:tcPr>
            <w:tcW w:w="708" w:type="dxa"/>
            <w:tcBorders>
              <w:top w:val="nil"/>
              <w:bottom w:val="nil"/>
            </w:tcBorders>
            <w:vAlign w:val="center"/>
          </w:tcPr>
          <w:p w14:paraId="438D8595"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274A7095" w14:textId="77777777" w:rsidR="00975355" w:rsidRPr="00AF7C3F" w:rsidRDefault="00975355" w:rsidP="00770CA7">
            <w:pPr>
              <w:autoSpaceDE w:val="0"/>
              <w:autoSpaceDN w:val="0"/>
              <w:adjustRightInd w:val="0"/>
              <w:jc w:val="center"/>
              <w:rPr>
                <w:sz w:val="16"/>
                <w:szCs w:val="16"/>
              </w:rPr>
            </w:pPr>
            <w:r w:rsidRPr="00AF7C3F">
              <w:rPr>
                <w:sz w:val="16"/>
                <w:szCs w:val="16"/>
              </w:rPr>
              <w:t>BBVA Bancomer</w:t>
            </w:r>
          </w:p>
        </w:tc>
        <w:tc>
          <w:tcPr>
            <w:tcW w:w="939" w:type="dxa"/>
            <w:tcBorders>
              <w:top w:val="nil"/>
              <w:bottom w:val="nil"/>
            </w:tcBorders>
            <w:shd w:val="clear" w:color="auto" w:fill="auto"/>
            <w:vAlign w:val="center"/>
          </w:tcPr>
          <w:p w14:paraId="6DCDDA98" w14:textId="417374B8" w:rsidR="00975355" w:rsidRPr="00AF7C3F" w:rsidRDefault="00975355" w:rsidP="007846AF">
            <w:pPr>
              <w:autoSpaceDE w:val="0"/>
              <w:autoSpaceDN w:val="0"/>
              <w:adjustRightInd w:val="0"/>
              <w:ind w:right="113"/>
              <w:jc w:val="right"/>
              <w:rPr>
                <w:sz w:val="16"/>
                <w:szCs w:val="16"/>
              </w:rPr>
            </w:pPr>
            <w:r w:rsidRPr="00AF7C3F">
              <w:rPr>
                <w:sz w:val="16"/>
                <w:szCs w:val="16"/>
              </w:rPr>
              <w:t>1.48</w:t>
            </w:r>
          </w:p>
        </w:tc>
        <w:tc>
          <w:tcPr>
            <w:tcW w:w="821" w:type="dxa"/>
            <w:tcBorders>
              <w:top w:val="nil"/>
              <w:bottom w:val="nil"/>
            </w:tcBorders>
            <w:shd w:val="clear" w:color="auto" w:fill="auto"/>
            <w:vAlign w:val="center"/>
          </w:tcPr>
          <w:p w14:paraId="0D47EA97" w14:textId="402DC2E8" w:rsidR="00975355" w:rsidRPr="00AF7C3F" w:rsidRDefault="00975355" w:rsidP="007846AF">
            <w:pPr>
              <w:autoSpaceDE w:val="0"/>
              <w:autoSpaceDN w:val="0"/>
              <w:adjustRightInd w:val="0"/>
              <w:ind w:right="113"/>
              <w:jc w:val="right"/>
              <w:rPr>
                <w:sz w:val="16"/>
                <w:szCs w:val="16"/>
              </w:rPr>
            </w:pPr>
            <w:r w:rsidRPr="00AF7C3F">
              <w:rPr>
                <w:sz w:val="16"/>
                <w:szCs w:val="16"/>
              </w:rPr>
              <w:t>1.19</w:t>
            </w:r>
          </w:p>
        </w:tc>
        <w:tc>
          <w:tcPr>
            <w:tcW w:w="848" w:type="dxa"/>
            <w:tcBorders>
              <w:top w:val="nil"/>
              <w:bottom w:val="nil"/>
            </w:tcBorders>
            <w:shd w:val="clear" w:color="auto" w:fill="auto"/>
            <w:vAlign w:val="center"/>
          </w:tcPr>
          <w:p w14:paraId="1AFF4F97" w14:textId="3B59F16E" w:rsidR="00975355" w:rsidRPr="00AF7C3F" w:rsidRDefault="00975355" w:rsidP="007846AF">
            <w:pPr>
              <w:autoSpaceDE w:val="0"/>
              <w:autoSpaceDN w:val="0"/>
              <w:adjustRightInd w:val="0"/>
              <w:ind w:right="113"/>
              <w:jc w:val="right"/>
              <w:rPr>
                <w:sz w:val="16"/>
                <w:szCs w:val="16"/>
              </w:rPr>
            </w:pPr>
            <w:r w:rsidRPr="00AF7C3F">
              <w:rPr>
                <w:sz w:val="16"/>
                <w:szCs w:val="16"/>
              </w:rPr>
              <w:t>1.75</w:t>
            </w:r>
          </w:p>
        </w:tc>
      </w:tr>
      <w:tr w:rsidR="00975355" w14:paraId="239A3615" w14:textId="77777777" w:rsidTr="00AF7C3F">
        <w:trPr>
          <w:jc w:val="center"/>
        </w:trPr>
        <w:tc>
          <w:tcPr>
            <w:tcW w:w="1541" w:type="dxa"/>
            <w:tcBorders>
              <w:top w:val="nil"/>
              <w:bottom w:val="nil"/>
            </w:tcBorders>
            <w:vAlign w:val="center"/>
          </w:tcPr>
          <w:p w14:paraId="58B5DC74"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Farmacias</w:t>
            </w:r>
          </w:p>
        </w:tc>
        <w:tc>
          <w:tcPr>
            <w:tcW w:w="883" w:type="dxa"/>
            <w:tcBorders>
              <w:top w:val="nil"/>
              <w:bottom w:val="nil"/>
            </w:tcBorders>
            <w:vAlign w:val="center"/>
          </w:tcPr>
          <w:p w14:paraId="53D72103" w14:textId="3221A421"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1.58</w:t>
            </w:r>
          </w:p>
        </w:tc>
        <w:tc>
          <w:tcPr>
            <w:tcW w:w="834" w:type="dxa"/>
            <w:tcBorders>
              <w:top w:val="nil"/>
              <w:bottom w:val="nil"/>
            </w:tcBorders>
            <w:vAlign w:val="center"/>
          </w:tcPr>
          <w:p w14:paraId="7F1A45E1" w14:textId="0774141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1.05</w:t>
            </w:r>
          </w:p>
        </w:tc>
        <w:tc>
          <w:tcPr>
            <w:tcW w:w="849" w:type="dxa"/>
            <w:tcBorders>
              <w:top w:val="nil"/>
              <w:bottom w:val="nil"/>
            </w:tcBorders>
            <w:vAlign w:val="center"/>
          </w:tcPr>
          <w:p w14:paraId="2DF7C81E" w14:textId="318570C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15C4F8A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4083B24D" w14:textId="77777777" w:rsidR="00975355" w:rsidRPr="00AF7C3F" w:rsidRDefault="00975355" w:rsidP="00770CA7">
            <w:pPr>
              <w:autoSpaceDE w:val="0"/>
              <w:autoSpaceDN w:val="0"/>
              <w:adjustRightInd w:val="0"/>
              <w:jc w:val="center"/>
              <w:rPr>
                <w:sz w:val="16"/>
                <w:szCs w:val="16"/>
              </w:rPr>
            </w:pPr>
            <w:r w:rsidRPr="00AF7C3F">
              <w:rPr>
                <w:sz w:val="16"/>
                <w:szCs w:val="16"/>
              </w:rPr>
              <w:t>Inbursa</w:t>
            </w:r>
          </w:p>
        </w:tc>
        <w:tc>
          <w:tcPr>
            <w:tcW w:w="939" w:type="dxa"/>
            <w:tcBorders>
              <w:top w:val="nil"/>
              <w:bottom w:val="nil"/>
            </w:tcBorders>
            <w:shd w:val="clear" w:color="auto" w:fill="auto"/>
            <w:vAlign w:val="center"/>
          </w:tcPr>
          <w:p w14:paraId="175BFE14" w14:textId="05519A47" w:rsidR="00975355" w:rsidRPr="00AF7C3F" w:rsidRDefault="00975355" w:rsidP="007846AF">
            <w:pPr>
              <w:autoSpaceDE w:val="0"/>
              <w:autoSpaceDN w:val="0"/>
              <w:adjustRightInd w:val="0"/>
              <w:ind w:right="113"/>
              <w:jc w:val="right"/>
              <w:rPr>
                <w:sz w:val="16"/>
                <w:szCs w:val="16"/>
              </w:rPr>
            </w:pPr>
            <w:r w:rsidRPr="00AF7C3F">
              <w:rPr>
                <w:sz w:val="16"/>
                <w:szCs w:val="16"/>
              </w:rPr>
              <w:t>1.70</w:t>
            </w:r>
          </w:p>
        </w:tc>
        <w:tc>
          <w:tcPr>
            <w:tcW w:w="821" w:type="dxa"/>
            <w:tcBorders>
              <w:top w:val="nil"/>
              <w:bottom w:val="nil"/>
            </w:tcBorders>
            <w:shd w:val="clear" w:color="auto" w:fill="auto"/>
            <w:vAlign w:val="center"/>
          </w:tcPr>
          <w:p w14:paraId="3F2F1165" w14:textId="369B2037" w:rsidR="00975355" w:rsidRPr="00AF7C3F" w:rsidRDefault="00975355" w:rsidP="007846AF">
            <w:pPr>
              <w:autoSpaceDE w:val="0"/>
              <w:autoSpaceDN w:val="0"/>
              <w:adjustRightInd w:val="0"/>
              <w:ind w:right="113"/>
              <w:jc w:val="right"/>
              <w:rPr>
                <w:sz w:val="16"/>
                <w:szCs w:val="16"/>
              </w:rPr>
            </w:pPr>
            <w:r w:rsidRPr="00AF7C3F">
              <w:rPr>
                <w:sz w:val="16"/>
                <w:szCs w:val="16"/>
              </w:rPr>
              <w:t>1.29</w:t>
            </w:r>
          </w:p>
        </w:tc>
        <w:tc>
          <w:tcPr>
            <w:tcW w:w="848" w:type="dxa"/>
            <w:tcBorders>
              <w:top w:val="nil"/>
              <w:bottom w:val="nil"/>
            </w:tcBorders>
            <w:shd w:val="clear" w:color="auto" w:fill="auto"/>
            <w:vAlign w:val="center"/>
          </w:tcPr>
          <w:p w14:paraId="0BBB1827" w14:textId="048FD085" w:rsidR="00975355" w:rsidRPr="00AF7C3F" w:rsidRDefault="00975355" w:rsidP="007846AF">
            <w:pPr>
              <w:autoSpaceDE w:val="0"/>
              <w:autoSpaceDN w:val="0"/>
              <w:adjustRightInd w:val="0"/>
              <w:ind w:right="113"/>
              <w:jc w:val="right"/>
              <w:rPr>
                <w:sz w:val="16"/>
                <w:szCs w:val="16"/>
              </w:rPr>
            </w:pPr>
            <w:r w:rsidRPr="00AF7C3F">
              <w:rPr>
                <w:sz w:val="16"/>
                <w:szCs w:val="16"/>
              </w:rPr>
              <w:t>1.90</w:t>
            </w:r>
          </w:p>
        </w:tc>
      </w:tr>
      <w:tr w:rsidR="00975355" w14:paraId="4AC8BA66" w14:textId="77777777" w:rsidTr="00AF7C3F">
        <w:trPr>
          <w:jc w:val="center"/>
        </w:trPr>
        <w:tc>
          <w:tcPr>
            <w:tcW w:w="1541" w:type="dxa"/>
            <w:tcBorders>
              <w:top w:val="nil"/>
              <w:bottom w:val="nil"/>
            </w:tcBorders>
            <w:vAlign w:val="center"/>
          </w:tcPr>
          <w:p w14:paraId="6E199A05"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Gasolineras</w:t>
            </w:r>
          </w:p>
        </w:tc>
        <w:tc>
          <w:tcPr>
            <w:tcW w:w="883" w:type="dxa"/>
            <w:tcBorders>
              <w:top w:val="nil"/>
              <w:bottom w:val="nil"/>
            </w:tcBorders>
            <w:vAlign w:val="center"/>
          </w:tcPr>
          <w:p w14:paraId="67369C36" w14:textId="4FA248E6"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0.97</w:t>
            </w:r>
          </w:p>
        </w:tc>
        <w:tc>
          <w:tcPr>
            <w:tcW w:w="834" w:type="dxa"/>
            <w:tcBorders>
              <w:top w:val="nil"/>
              <w:bottom w:val="nil"/>
            </w:tcBorders>
            <w:vAlign w:val="center"/>
          </w:tcPr>
          <w:p w14:paraId="3513C120" w14:textId="0B345B8E"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0.55</w:t>
            </w:r>
          </w:p>
        </w:tc>
        <w:tc>
          <w:tcPr>
            <w:tcW w:w="849" w:type="dxa"/>
            <w:tcBorders>
              <w:top w:val="nil"/>
              <w:bottom w:val="nil"/>
            </w:tcBorders>
            <w:vAlign w:val="center"/>
          </w:tcPr>
          <w:p w14:paraId="51E4A59E" w14:textId="6744AF60"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3.80</w:t>
            </w:r>
          </w:p>
        </w:tc>
        <w:tc>
          <w:tcPr>
            <w:tcW w:w="708" w:type="dxa"/>
            <w:tcBorders>
              <w:top w:val="nil"/>
              <w:bottom w:val="nil"/>
            </w:tcBorders>
            <w:vAlign w:val="center"/>
          </w:tcPr>
          <w:p w14:paraId="4BB272B1"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17E6D768" w14:textId="77777777" w:rsidR="00975355" w:rsidRPr="00AF7C3F" w:rsidRDefault="00975355" w:rsidP="00770CA7">
            <w:pPr>
              <w:autoSpaceDE w:val="0"/>
              <w:autoSpaceDN w:val="0"/>
              <w:adjustRightInd w:val="0"/>
              <w:jc w:val="center"/>
              <w:rPr>
                <w:sz w:val="16"/>
                <w:szCs w:val="16"/>
              </w:rPr>
            </w:pPr>
            <w:r w:rsidRPr="00AF7C3F">
              <w:rPr>
                <w:sz w:val="16"/>
                <w:szCs w:val="16"/>
              </w:rPr>
              <w:t>Banregio</w:t>
            </w:r>
          </w:p>
        </w:tc>
        <w:tc>
          <w:tcPr>
            <w:tcW w:w="939" w:type="dxa"/>
            <w:tcBorders>
              <w:top w:val="nil"/>
              <w:bottom w:val="nil"/>
            </w:tcBorders>
            <w:shd w:val="clear" w:color="auto" w:fill="auto"/>
            <w:vAlign w:val="center"/>
          </w:tcPr>
          <w:p w14:paraId="0DE261DD" w14:textId="26984AB2" w:rsidR="00975355" w:rsidRPr="00AF7C3F" w:rsidRDefault="00975355" w:rsidP="007846AF">
            <w:pPr>
              <w:autoSpaceDE w:val="0"/>
              <w:autoSpaceDN w:val="0"/>
              <w:adjustRightInd w:val="0"/>
              <w:ind w:right="113"/>
              <w:jc w:val="right"/>
              <w:rPr>
                <w:sz w:val="16"/>
                <w:szCs w:val="16"/>
              </w:rPr>
            </w:pPr>
            <w:r w:rsidRPr="00AF7C3F">
              <w:rPr>
                <w:sz w:val="16"/>
                <w:szCs w:val="16"/>
              </w:rPr>
              <w:t>1.71</w:t>
            </w:r>
          </w:p>
        </w:tc>
        <w:tc>
          <w:tcPr>
            <w:tcW w:w="821" w:type="dxa"/>
            <w:tcBorders>
              <w:top w:val="nil"/>
              <w:bottom w:val="nil"/>
            </w:tcBorders>
            <w:shd w:val="clear" w:color="auto" w:fill="auto"/>
            <w:vAlign w:val="center"/>
          </w:tcPr>
          <w:p w14:paraId="40D10DC9" w14:textId="782FA0F7" w:rsidR="00975355" w:rsidRPr="00AF7C3F" w:rsidRDefault="00975355" w:rsidP="007846AF">
            <w:pPr>
              <w:autoSpaceDE w:val="0"/>
              <w:autoSpaceDN w:val="0"/>
              <w:adjustRightInd w:val="0"/>
              <w:ind w:right="113"/>
              <w:jc w:val="right"/>
              <w:rPr>
                <w:sz w:val="16"/>
                <w:szCs w:val="16"/>
              </w:rPr>
            </w:pPr>
            <w:r w:rsidRPr="00AF7C3F">
              <w:rPr>
                <w:sz w:val="16"/>
                <w:szCs w:val="16"/>
              </w:rPr>
              <w:t>1.18</w:t>
            </w:r>
          </w:p>
        </w:tc>
        <w:tc>
          <w:tcPr>
            <w:tcW w:w="848" w:type="dxa"/>
            <w:tcBorders>
              <w:top w:val="nil"/>
              <w:bottom w:val="nil"/>
            </w:tcBorders>
            <w:shd w:val="clear" w:color="auto" w:fill="auto"/>
            <w:vAlign w:val="center"/>
          </w:tcPr>
          <w:p w14:paraId="2F0AC232" w14:textId="1C3F43B4" w:rsidR="00975355" w:rsidRPr="00AF7C3F" w:rsidRDefault="00975355" w:rsidP="007846AF">
            <w:pPr>
              <w:autoSpaceDE w:val="0"/>
              <w:autoSpaceDN w:val="0"/>
              <w:adjustRightInd w:val="0"/>
              <w:ind w:right="113"/>
              <w:jc w:val="right"/>
              <w:rPr>
                <w:sz w:val="16"/>
                <w:szCs w:val="16"/>
              </w:rPr>
            </w:pPr>
            <w:r w:rsidRPr="00AF7C3F">
              <w:rPr>
                <w:sz w:val="16"/>
                <w:szCs w:val="16"/>
              </w:rPr>
              <w:t>2.55</w:t>
            </w:r>
          </w:p>
        </w:tc>
      </w:tr>
      <w:tr w:rsidR="00975355" w14:paraId="5A5A7BB7" w14:textId="77777777" w:rsidTr="00AF7C3F">
        <w:trPr>
          <w:jc w:val="center"/>
        </w:trPr>
        <w:tc>
          <w:tcPr>
            <w:tcW w:w="1541" w:type="dxa"/>
            <w:tcBorders>
              <w:top w:val="nil"/>
              <w:bottom w:val="nil"/>
            </w:tcBorders>
            <w:vAlign w:val="center"/>
          </w:tcPr>
          <w:p w14:paraId="11A3CAC7"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Gobierno</w:t>
            </w:r>
          </w:p>
        </w:tc>
        <w:tc>
          <w:tcPr>
            <w:tcW w:w="883" w:type="dxa"/>
            <w:tcBorders>
              <w:top w:val="nil"/>
              <w:bottom w:val="nil"/>
            </w:tcBorders>
            <w:vAlign w:val="center"/>
          </w:tcPr>
          <w:p w14:paraId="53A6E119" w14:textId="1FD38143"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1.29</w:t>
            </w:r>
          </w:p>
        </w:tc>
        <w:tc>
          <w:tcPr>
            <w:tcW w:w="834" w:type="dxa"/>
            <w:tcBorders>
              <w:top w:val="nil"/>
              <w:bottom w:val="nil"/>
            </w:tcBorders>
            <w:vAlign w:val="center"/>
          </w:tcPr>
          <w:p w14:paraId="44166DC0" w14:textId="72A900D8"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0.70</w:t>
            </w:r>
          </w:p>
        </w:tc>
        <w:tc>
          <w:tcPr>
            <w:tcW w:w="849" w:type="dxa"/>
            <w:tcBorders>
              <w:top w:val="nil"/>
              <w:bottom w:val="nil"/>
            </w:tcBorders>
            <w:vAlign w:val="center"/>
          </w:tcPr>
          <w:p w14:paraId="2B7D2748" w14:textId="5108E657"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2.40</w:t>
            </w:r>
          </w:p>
        </w:tc>
        <w:tc>
          <w:tcPr>
            <w:tcW w:w="708" w:type="dxa"/>
            <w:tcBorders>
              <w:top w:val="nil"/>
              <w:bottom w:val="nil"/>
            </w:tcBorders>
            <w:vAlign w:val="center"/>
          </w:tcPr>
          <w:p w14:paraId="7B58C86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180CE9B1" w14:textId="77777777" w:rsidR="00975355" w:rsidRPr="00AF7C3F" w:rsidRDefault="00975355" w:rsidP="00770CA7">
            <w:pPr>
              <w:autoSpaceDE w:val="0"/>
              <w:autoSpaceDN w:val="0"/>
              <w:adjustRightInd w:val="0"/>
              <w:jc w:val="center"/>
              <w:rPr>
                <w:sz w:val="16"/>
                <w:szCs w:val="16"/>
              </w:rPr>
            </w:pPr>
            <w:r w:rsidRPr="00AF7C3F">
              <w:rPr>
                <w:sz w:val="16"/>
                <w:szCs w:val="16"/>
              </w:rPr>
              <w:t>HSBC</w:t>
            </w:r>
          </w:p>
        </w:tc>
        <w:tc>
          <w:tcPr>
            <w:tcW w:w="939" w:type="dxa"/>
            <w:tcBorders>
              <w:top w:val="nil"/>
              <w:bottom w:val="nil"/>
            </w:tcBorders>
            <w:shd w:val="clear" w:color="auto" w:fill="auto"/>
            <w:vAlign w:val="center"/>
          </w:tcPr>
          <w:p w14:paraId="426DEFDC" w14:textId="3B764B48" w:rsidR="00975355" w:rsidRPr="00AF7C3F" w:rsidRDefault="00975355" w:rsidP="007846AF">
            <w:pPr>
              <w:autoSpaceDE w:val="0"/>
              <w:autoSpaceDN w:val="0"/>
              <w:adjustRightInd w:val="0"/>
              <w:ind w:right="113"/>
              <w:jc w:val="right"/>
              <w:rPr>
                <w:sz w:val="16"/>
                <w:szCs w:val="16"/>
              </w:rPr>
            </w:pPr>
            <w:r w:rsidRPr="00AF7C3F">
              <w:rPr>
                <w:sz w:val="16"/>
                <w:szCs w:val="16"/>
              </w:rPr>
              <w:t>1.89</w:t>
            </w:r>
          </w:p>
        </w:tc>
        <w:tc>
          <w:tcPr>
            <w:tcW w:w="821" w:type="dxa"/>
            <w:tcBorders>
              <w:top w:val="nil"/>
              <w:bottom w:val="nil"/>
            </w:tcBorders>
            <w:shd w:val="clear" w:color="auto" w:fill="auto"/>
            <w:vAlign w:val="center"/>
          </w:tcPr>
          <w:p w14:paraId="0E97AC7B" w14:textId="563F0C67" w:rsidR="00975355" w:rsidRPr="00AF7C3F" w:rsidRDefault="00975355" w:rsidP="007846AF">
            <w:pPr>
              <w:autoSpaceDE w:val="0"/>
              <w:autoSpaceDN w:val="0"/>
              <w:adjustRightInd w:val="0"/>
              <w:ind w:right="113"/>
              <w:jc w:val="right"/>
              <w:rPr>
                <w:sz w:val="16"/>
                <w:szCs w:val="16"/>
              </w:rPr>
            </w:pPr>
            <w:r w:rsidRPr="00AF7C3F">
              <w:rPr>
                <w:sz w:val="16"/>
                <w:szCs w:val="16"/>
              </w:rPr>
              <w:t>1.20</w:t>
            </w:r>
          </w:p>
        </w:tc>
        <w:tc>
          <w:tcPr>
            <w:tcW w:w="848" w:type="dxa"/>
            <w:tcBorders>
              <w:top w:val="nil"/>
              <w:bottom w:val="nil"/>
            </w:tcBorders>
            <w:shd w:val="clear" w:color="auto" w:fill="auto"/>
            <w:vAlign w:val="center"/>
          </w:tcPr>
          <w:p w14:paraId="6BC0B130" w14:textId="42150B82" w:rsidR="00975355" w:rsidRPr="00AF7C3F" w:rsidRDefault="00975355" w:rsidP="007846AF">
            <w:pPr>
              <w:autoSpaceDE w:val="0"/>
              <w:autoSpaceDN w:val="0"/>
              <w:adjustRightInd w:val="0"/>
              <w:ind w:right="113"/>
              <w:jc w:val="right"/>
              <w:rPr>
                <w:sz w:val="16"/>
                <w:szCs w:val="16"/>
              </w:rPr>
            </w:pPr>
            <w:r w:rsidRPr="00AF7C3F">
              <w:rPr>
                <w:sz w:val="16"/>
                <w:szCs w:val="16"/>
              </w:rPr>
              <w:t>2.80</w:t>
            </w:r>
          </w:p>
        </w:tc>
      </w:tr>
      <w:tr w:rsidR="00975355" w14:paraId="41991904" w14:textId="77777777" w:rsidTr="00AF7C3F">
        <w:trPr>
          <w:jc w:val="center"/>
        </w:trPr>
        <w:tc>
          <w:tcPr>
            <w:tcW w:w="1541" w:type="dxa"/>
            <w:tcBorders>
              <w:top w:val="nil"/>
              <w:bottom w:val="nil"/>
            </w:tcBorders>
            <w:vAlign w:val="center"/>
          </w:tcPr>
          <w:p w14:paraId="5C49104B"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Grandes superficies</w:t>
            </w:r>
          </w:p>
        </w:tc>
        <w:tc>
          <w:tcPr>
            <w:tcW w:w="883" w:type="dxa"/>
            <w:tcBorders>
              <w:top w:val="nil"/>
              <w:bottom w:val="nil"/>
            </w:tcBorders>
            <w:vAlign w:val="center"/>
          </w:tcPr>
          <w:p w14:paraId="7A02EDE6" w14:textId="77777777" w:rsidR="00975355" w:rsidRPr="006D7208" w:rsidRDefault="00975355" w:rsidP="00770CA7">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$1.69</w:t>
            </w:r>
          </w:p>
        </w:tc>
        <w:tc>
          <w:tcPr>
            <w:tcW w:w="834" w:type="dxa"/>
            <w:tcBorders>
              <w:top w:val="nil"/>
              <w:bottom w:val="nil"/>
            </w:tcBorders>
            <w:vAlign w:val="center"/>
          </w:tcPr>
          <w:p w14:paraId="5D6D9CE5" w14:textId="77777777" w:rsidR="00975355" w:rsidRPr="006D7208" w:rsidRDefault="00975355" w:rsidP="00770CA7">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$1.19</w:t>
            </w:r>
          </w:p>
        </w:tc>
        <w:tc>
          <w:tcPr>
            <w:tcW w:w="849" w:type="dxa"/>
            <w:tcBorders>
              <w:top w:val="nil"/>
              <w:bottom w:val="nil"/>
            </w:tcBorders>
            <w:vAlign w:val="center"/>
          </w:tcPr>
          <w:p w14:paraId="5128DF46" w14:textId="77777777" w:rsidR="00975355" w:rsidRPr="006D7208" w:rsidRDefault="00975355" w:rsidP="00770CA7">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$3.50</w:t>
            </w:r>
          </w:p>
        </w:tc>
        <w:tc>
          <w:tcPr>
            <w:tcW w:w="708" w:type="dxa"/>
            <w:tcBorders>
              <w:top w:val="nil"/>
              <w:bottom w:val="nil"/>
            </w:tcBorders>
            <w:vAlign w:val="center"/>
          </w:tcPr>
          <w:p w14:paraId="280A515B"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2EDFCA21" w14:textId="77777777" w:rsidR="00975355" w:rsidRPr="00AF7C3F" w:rsidRDefault="00975355" w:rsidP="00770CA7">
            <w:pPr>
              <w:autoSpaceDE w:val="0"/>
              <w:autoSpaceDN w:val="0"/>
              <w:adjustRightInd w:val="0"/>
              <w:jc w:val="center"/>
              <w:rPr>
                <w:sz w:val="16"/>
                <w:szCs w:val="16"/>
              </w:rPr>
            </w:pPr>
            <w:r w:rsidRPr="00AF7C3F">
              <w:rPr>
                <w:sz w:val="16"/>
                <w:szCs w:val="16"/>
              </w:rPr>
              <w:t>Azteca</w:t>
            </w:r>
          </w:p>
        </w:tc>
        <w:tc>
          <w:tcPr>
            <w:tcW w:w="939" w:type="dxa"/>
            <w:tcBorders>
              <w:top w:val="nil"/>
              <w:bottom w:val="nil"/>
            </w:tcBorders>
            <w:shd w:val="clear" w:color="auto" w:fill="auto"/>
            <w:vAlign w:val="center"/>
          </w:tcPr>
          <w:p w14:paraId="5A5A250F" w14:textId="4432E0F9" w:rsidR="00975355" w:rsidRPr="00AF7C3F" w:rsidRDefault="00975355" w:rsidP="007846AF">
            <w:pPr>
              <w:autoSpaceDE w:val="0"/>
              <w:autoSpaceDN w:val="0"/>
              <w:adjustRightInd w:val="0"/>
              <w:ind w:right="113"/>
              <w:jc w:val="right"/>
              <w:rPr>
                <w:sz w:val="16"/>
                <w:szCs w:val="16"/>
              </w:rPr>
            </w:pPr>
            <w:r w:rsidRPr="00AF7C3F">
              <w:rPr>
                <w:sz w:val="16"/>
                <w:szCs w:val="16"/>
              </w:rPr>
              <w:t>1.90</w:t>
            </w:r>
          </w:p>
        </w:tc>
        <w:tc>
          <w:tcPr>
            <w:tcW w:w="821" w:type="dxa"/>
            <w:tcBorders>
              <w:top w:val="nil"/>
              <w:bottom w:val="nil"/>
            </w:tcBorders>
            <w:shd w:val="clear" w:color="auto" w:fill="auto"/>
            <w:vAlign w:val="center"/>
          </w:tcPr>
          <w:p w14:paraId="4F4C9ED1" w14:textId="4BCBC22E" w:rsidR="00975355" w:rsidRPr="00AF7C3F" w:rsidRDefault="00975355" w:rsidP="007846AF">
            <w:pPr>
              <w:autoSpaceDE w:val="0"/>
              <w:autoSpaceDN w:val="0"/>
              <w:adjustRightInd w:val="0"/>
              <w:ind w:right="113"/>
              <w:jc w:val="right"/>
              <w:rPr>
                <w:sz w:val="16"/>
                <w:szCs w:val="16"/>
              </w:rPr>
            </w:pPr>
            <w:r w:rsidRPr="00AF7C3F">
              <w:rPr>
                <w:sz w:val="16"/>
                <w:szCs w:val="16"/>
              </w:rPr>
              <w:t>1.65</w:t>
            </w:r>
          </w:p>
        </w:tc>
        <w:tc>
          <w:tcPr>
            <w:tcW w:w="848" w:type="dxa"/>
            <w:tcBorders>
              <w:top w:val="nil"/>
              <w:bottom w:val="nil"/>
            </w:tcBorders>
            <w:shd w:val="clear" w:color="auto" w:fill="auto"/>
            <w:vAlign w:val="center"/>
          </w:tcPr>
          <w:p w14:paraId="4975A71E" w14:textId="3C676021" w:rsidR="00975355" w:rsidRPr="00AF7C3F" w:rsidRDefault="00975355" w:rsidP="007846AF">
            <w:pPr>
              <w:autoSpaceDE w:val="0"/>
              <w:autoSpaceDN w:val="0"/>
              <w:adjustRightInd w:val="0"/>
              <w:ind w:right="113"/>
              <w:jc w:val="right"/>
              <w:rPr>
                <w:sz w:val="16"/>
                <w:szCs w:val="16"/>
              </w:rPr>
            </w:pPr>
            <w:r w:rsidRPr="00AF7C3F">
              <w:rPr>
                <w:sz w:val="16"/>
                <w:szCs w:val="16"/>
              </w:rPr>
              <w:t>2.50</w:t>
            </w:r>
          </w:p>
        </w:tc>
      </w:tr>
      <w:tr w:rsidR="00975355" w14:paraId="5320F81A" w14:textId="77777777" w:rsidTr="00AF7C3F">
        <w:trPr>
          <w:jc w:val="center"/>
        </w:trPr>
        <w:tc>
          <w:tcPr>
            <w:tcW w:w="1541" w:type="dxa"/>
            <w:tcBorders>
              <w:top w:val="nil"/>
              <w:bottom w:val="nil"/>
            </w:tcBorders>
            <w:vAlign w:val="center"/>
          </w:tcPr>
          <w:p w14:paraId="2961969B"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Guarderías</w:t>
            </w:r>
          </w:p>
        </w:tc>
        <w:tc>
          <w:tcPr>
            <w:tcW w:w="883" w:type="dxa"/>
            <w:tcBorders>
              <w:top w:val="nil"/>
              <w:bottom w:val="nil"/>
            </w:tcBorders>
            <w:vAlign w:val="center"/>
          </w:tcPr>
          <w:p w14:paraId="1FDB7E38" w14:textId="1012BBC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2.12</w:t>
            </w:r>
          </w:p>
        </w:tc>
        <w:tc>
          <w:tcPr>
            <w:tcW w:w="834" w:type="dxa"/>
            <w:tcBorders>
              <w:top w:val="nil"/>
              <w:bottom w:val="nil"/>
            </w:tcBorders>
            <w:vAlign w:val="center"/>
          </w:tcPr>
          <w:p w14:paraId="4285EFE1" w14:textId="5892496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1.20</w:t>
            </w:r>
          </w:p>
        </w:tc>
        <w:tc>
          <w:tcPr>
            <w:tcW w:w="849" w:type="dxa"/>
            <w:tcBorders>
              <w:top w:val="nil"/>
              <w:bottom w:val="nil"/>
            </w:tcBorders>
            <w:vAlign w:val="center"/>
          </w:tcPr>
          <w:p w14:paraId="275053CC" w14:textId="5D798A18"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4FAB7068"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7F042191" w14:textId="77777777" w:rsidR="00975355" w:rsidRPr="00AF7C3F" w:rsidRDefault="00975355" w:rsidP="00770CA7">
            <w:pPr>
              <w:autoSpaceDE w:val="0"/>
              <w:autoSpaceDN w:val="0"/>
              <w:adjustRightInd w:val="0"/>
              <w:jc w:val="center"/>
              <w:rPr>
                <w:sz w:val="16"/>
                <w:szCs w:val="16"/>
              </w:rPr>
            </w:pPr>
            <w:r w:rsidRPr="00AF7C3F">
              <w:rPr>
                <w:sz w:val="16"/>
                <w:szCs w:val="16"/>
              </w:rPr>
              <w:t>Multiva</w:t>
            </w:r>
          </w:p>
        </w:tc>
        <w:tc>
          <w:tcPr>
            <w:tcW w:w="939" w:type="dxa"/>
            <w:tcBorders>
              <w:top w:val="nil"/>
              <w:bottom w:val="nil"/>
            </w:tcBorders>
            <w:shd w:val="clear" w:color="auto" w:fill="auto"/>
            <w:vAlign w:val="center"/>
          </w:tcPr>
          <w:p w14:paraId="5C88A512" w14:textId="6EED85CC" w:rsidR="00975355" w:rsidRPr="00AF7C3F" w:rsidRDefault="00975355" w:rsidP="007846AF">
            <w:pPr>
              <w:autoSpaceDE w:val="0"/>
              <w:autoSpaceDN w:val="0"/>
              <w:adjustRightInd w:val="0"/>
              <w:ind w:right="113"/>
              <w:jc w:val="right"/>
              <w:rPr>
                <w:sz w:val="16"/>
                <w:szCs w:val="16"/>
              </w:rPr>
            </w:pPr>
            <w:r w:rsidRPr="00AF7C3F">
              <w:rPr>
                <w:sz w:val="16"/>
                <w:szCs w:val="16"/>
              </w:rPr>
              <w:t>1.90</w:t>
            </w:r>
          </w:p>
        </w:tc>
        <w:tc>
          <w:tcPr>
            <w:tcW w:w="821" w:type="dxa"/>
            <w:tcBorders>
              <w:top w:val="nil"/>
              <w:bottom w:val="nil"/>
            </w:tcBorders>
            <w:shd w:val="clear" w:color="auto" w:fill="auto"/>
            <w:vAlign w:val="center"/>
          </w:tcPr>
          <w:p w14:paraId="013184E0" w14:textId="62E534BA" w:rsidR="00975355" w:rsidRPr="00AF7C3F" w:rsidRDefault="00975355" w:rsidP="007846AF">
            <w:pPr>
              <w:autoSpaceDE w:val="0"/>
              <w:autoSpaceDN w:val="0"/>
              <w:adjustRightInd w:val="0"/>
              <w:ind w:right="113"/>
              <w:jc w:val="right"/>
              <w:rPr>
                <w:sz w:val="16"/>
                <w:szCs w:val="16"/>
              </w:rPr>
            </w:pPr>
            <w:r w:rsidRPr="00AF7C3F">
              <w:rPr>
                <w:sz w:val="16"/>
                <w:szCs w:val="16"/>
              </w:rPr>
              <w:t>1.22</w:t>
            </w:r>
          </w:p>
        </w:tc>
        <w:tc>
          <w:tcPr>
            <w:tcW w:w="848" w:type="dxa"/>
            <w:tcBorders>
              <w:top w:val="nil"/>
              <w:bottom w:val="nil"/>
            </w:tcBorders>
            <w:shd w:val="clear" w:color="auto" w:fill="auto"/>
            <w:vAlign w:val="center"/>
          </w:tcPr>
          <w:p w14:paraId="63C336FA" w14:textId="64DFAD06" w:rsidR="00975355" w:rsidRPr="00AF7C3F" w:rsidRDefault="00975355" w:rsidP="007846AF">
            <w:pPr>
              <w:autoSpaceDE w:val="0"/>
              <w:autoSpaceDN w:val="0"/>
              <w:adjustRightInd w:val="0"/>
              <w:ind w:right="113"/>
              <w:jc w:val="right"/>
              <w:rPr>
                <w:sz w:val="16"/>
                <w:szCs w:val="16"/>
              </w:rPr>
            </w:pPr>
            <w:r w:rsidRPr="00AF7C3F">
              <w:rPr>
                <w:sz w:val="16"/>
                <w:szCs w:val="16"/>
              </w:rPr>
              <w:t>2.78</w:t>
            </w:r>
          </w:p>
        </w:tc>
      </w:tr>
      <w:tr w:rsidR="00975355" w14:paraId="7B4B7408" w14:textId="77777777" w:rsidTr="00AF7C3F">
        <w:trPr>
          <w:jc w:val="center"/>
        </w:trPr>
        <w:tc>
          <w:tcPr>
            <w:tcW w:w="1541" w:type="dxa"/>
            <w:tcBorders>
              <w:top w:val="nil"/>
              <w:bottom w:val="nil"/>
            </w:tcBorders>
            <w:vAlign w:val="center"/>
          </w:tcPr>
          <w:p w14:paraId="32DAD63D"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Hospitales</w:t>
            </w:r>
          </w:p>
        </w:tc>
        <w:tc>
          <w:tcPr>
            <w:tcW w:w="883" w:type="dxa"/>
            <w:tcBorders>
              <w:top w:val="nil"/>
              <w:bottom w:val="nil"/>
            </w:tcBorders>
            <w:vAlign w:val="center"/>
          </w:tcPr>
          <w:p w14:paraId="10599F01" w14:textId="39BADCB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1.80</w:t>
            </w:r>
          </w:p>
        </w:tc>
        <w:tc>
          <w:tcPr>
            <w:tcW w:w="834" w:type="dxa"/>
            <w:tcBorders>
              <w:top w:val="nil"/>
              <w:bottom w:val="nil"/>
            </w:tcBorders>
            <w:vAlign w:val="center"/>
          </w:tcPr>
          <w:p w14:paraId="5935AFB8" w14:textId="7F1662F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7BA3152F" w14:textId="1AB3A98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3A70A921"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0F1536FA" w14:textId="77777777" w:rsidR="00975355" w:rsidRPr="00AF7C3F" w:rsidRDefault="00975355" w:rsidP="00770CA7">
            <w:pPr>
              <w:autoSpaceDE w:val="0"/>
              <w:autoSpaceDN w:val="0"/>
              <w:adjustRightInd w:val="0"/>
              <w:jc w:val="center"/>
              <w:rPr>
                <w:sz w:val="16"/>
                <w:szCs w:val="16"/>
              </w:rPr>
            </w:pPr>
            <w:r w:rsidRPr="00AF7C3F">
              <w:rPr>
                <w:sz w:val="16"/>
                <w:szCs w:val="16"/>
              </w:rPr>
              <w:t>Banorte</w:t>
            </w:r>
          </w:p>
        </w:tc>
        <w:tc>
          <w:tcPr>
            <w:tcW w:w="939" w:type="dxa"/>
            <w:tcBorders>
              <w:top w:val="nil"/>
              <w:bottom w:val="nil"/>
            </w:tcBorders>
            <w:shd w:val="clear" w:color="auto" w:fill="auto"/>
            <w:vAlign w:val="center"/>
          </w:tcPr>
          <w:p w14:paraId="3BEABC15" w14:textId="2932DF0B" w:rsidR="00975355" w:rsidRPr="00AF7C3F" w:rsidRDefault="00975355" w:rsidP="007846AF">
            <w:pPr>
              <w:autoSpaceDE w:val="0"/>
              <w:autoSpaceDN w:val="0"/>
              <w:adjustRightInd w:val="0"/>
              <w:ind w:right="113"/>
              <w:jc w:val="right"/>
              <w:rPr>
                <w:sz w:val="16"/>
                <w:szCs w:val="16"/>
              </w:rPr>
            </w:pPr>
            <w:r w:rsidRPr="00AF7C3F">
              <w:rPr>
                <w:sz w:val="16"/>
                <w:szCs w:val="16"/>
              </w:rPr>
              <w:t>2.13</w:t>
            </w:r>
          </w:p>
        </w:tc>
        <w:tc>
          <w:tcPr>
            <w:tcW w:w="821" w:type="dxa"/>
            <w:tcBorders>
              <w:top w:val="nil"/>
              <w:bottom w:val="nil"/>
            </w:tcBorders>
            <w:shd w:val="clear" w:color="auto" w:fill="auto"/>
            <w:vAlign w:val="center"/>
          </w:tcPr>
          <w:p w14:paraId="373E525D" w14:textId="0E24B17E" w:rsidR="00975355" w:rsidRPr="00AF7C3F" w:rsidRDefault="00975355" w:rsidP="007846AF">
            <w:pPr>
              <w:autoSpaceDE w:val="0"/>
              <w:autoSpaceDN w:val="0"/>
              <w:adjustRightInd w:val="0"/>
              <w:ind w:right="113"/>
              <w:jc w:val="right"/>
              <w:rPr>
                <w:sz w:val="16"/>
                <w:szCs w:val="16"/>
              </w:rPr>
            </w:pPr>
            <w:r w:rsidRPr="00AF7C3F">
              <w:rPr>
                <w:sz w:val="16"/>
                <w:szCs w:val="16"/>
              </w:rPr>
              <w:t>1.20</w:t>
            </w:r>
          </w:p>
        </w:tc>
        <w:tc>
          <w:tcPr>
            <w:tcW w:w="848" w:type="dxa"/>
            <w:tcBorders>
              <w:top w:val="nil"/>
              <w:bottom w:val="nil"/>
            </w:tcBorders>
            <w:shd w:val="clear" w:color="auto" w:fill="auto"/>
            <w:vAlign w:val="center"/>
          </w:tcPr>
          <w:p w14:paraId="6CEA805D" w14:textId="73FDB39E" w:rsidR="00975355" w:rsidRPr="00AF7C3F" w:rsidRDefault="00975355" w:rsidP="007846AF">
            <w:pPr>
              <w:autoSpaceDE w:val="0"/>
              <w:autoSpaceDN w:val="0"/>
              <w:adjustRightInd w:val="0"/>
              <w:ind w:right="113"/>
              <w:jc w:val="right"/>
              <w:rPr>
                <w:sz w:val="16"/>
                <w:szCs w:val="16"/>
              </w:rPr>
            </w:pPr>
            <w:r w:rsidRPr="00AF7C3F">
              <w:rPr>
                <w:sz w:val="16"/>
                <w:szCs w:val="16"/>
              </w:rPr>
              <w:t>2.65</w:t>
            </w:r>
          </w:p>
        </w:tc>
      </w:tr>
      <w:tr w:rsidR="00975355" w14:paraId="2C8D1C1E" w14:textId="77777777" w:rsidTr="00AF7C3F">
        <w:trPr>
          <w:jc w:val="center"/>
        </w:trPr>
        <w:tc>
          <w:tcPr>
            <w:tcW w:w="1541" w:type="dxa"/>
            <w:tcBorders>
              <w:top w:val="nil"/>
              <w:bottom w:val="nil"/>
            </w:tcBorders>
            <w:vAlign w:val="center"/>
          </w:tcPr>
          <w:p w14:paraId="18AF47AD"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Hoteles</w:t>
            </w:r>
          </w:p>
        </w:tc>
        <w:tc>
          <w:tcPr>
            <w:tcW w:w="883" w:type="dxa"/>
            <w:tcBorders>
              <w:top w:val="nil"/>
              <w:bottom w:val="nil"/>
            </w:tcBorders>
            <w:vAlign w:val="center"/>
          </w:tcPr>
          <w:p w14:paraId="175D7990" w14:textId="50B167D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1.74</w:t>
            </w:r>
          </w:p>
        </w:tc>
        <w:tc>
          <w:tcPr>
            <w:tcW w:w="834" w:type="dxa"/>
            <w:tcBorders>
              <w:top w:val="nil"/>
              <w:bottom w:val="nil"/>
            </w:tcBorders>
            <w:vAlign w:val="center"/>
          </w:tcPr>
          <w:p w14:paraId="780D4840" w14:textId="18DF44D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1.11</w:t>
            </w:r>
          </w:p>
        </w:tc>
        <w:tc>
          <w:tcPr>
            <w:tcW w:w="849" w:type="dxa"/>
            <w:tcBorders>
              <w:top w:val="nil"/>
              <w:bottom w:val="nil"/>
            </w:tcBorders>
            <w:vAlign w:val="center"/>
          </w:tcPr>
          <w:p w14:paraId="3099AF45" w14:textId="797BDF68"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4.95</w:t>
            </w:r>
          </w:p>
        </w:tc>
        <w:tc>
          <w:tcPr>
            <w:tcW w:w="708" w:type="dxa"/>
            <w:tcBorders>
              <w:top w:val="nil"/>
              <w:bottom w:val="nil"/>
            </w:tcBorders>
            <w:vAlign w:val="center"/>
          </w:tcPr>
          <w:p w14:paraId="12E5B2D3"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110A0A71" w14:textId="77777777" w:rsidR="00975355" w:rsidRPr="00AF7C3F" w:rsidRDefault="00975355" w:rsidP="00770CA7">
            <w:pPr>
              <w:autoSpaceDE w:val="0"/>
              <w:autoSpaceDN w:val="0"/>
              <w:adjustRightInd w:val="0"/>
              <w:jc w:val="center"/>
              <w:rPr>
                <w:sz w:val="16"/>
                <w:szCs w:val="16"/>
              </w:rPr>
            </w:pPr>
            <w:r w:rsidRPr="00AF7C3F">
              <w:rPr>
                <w:sz w:val="16"/>
                <w:szCs w:val="16"/>
              </w:rPr>
              <w:t>Santander</w:t>
            </w:r>
          </w:p>
        </w:tc>
        <w:tc>
          <w:tcPr>
            <w:tcW w:w="939" w:type="dxa"/>
            <w:tcBorders>
              <w:top w:val="nil"/>
              <w:bottom w:val="nil"/>
            </w:tcBorders>
            <w:shd w:val="clear" w:color="auto" w:fill="auto"/>
            <w:vAlign w:val="center"/>
          </w:tcPr>
          <w:p w14:paraId="493F56F5" w14:textId="1FA36D42" w:rsidR="00975355" w:rsidRPr="00AF7C3F" w:rsidRDefault="00975355" w:rsidP="007846AF">
            <w:pPr>
              <w:autoSpaceDE w:val="0"/>
              <w:autoSpaceDN w:val="0"/>
              <w:adjustRightInd w:val="0"/>
              <w:ind w:right="113"/>
              <w:jc w:val="right"/>
              <w:rPr>
                <w:sz w:val="16"/>
                <w:szCs w:val="16"/>
              </w:rPr>
            </w:pPr>
            <w:r w:rsidRPr="00AF7C3F">
              <w:rPr>
                <w:sz w:val="16"/>
                <w:szCs w:val="16"/>
              </w:rPr>
              <w:t>2.14</w:t>
            </w:r>
          </w:p>
        </w:tc>
        <w:tc>
          <w:tcPr>
            <w:tcW w:w="821" w:type="dxa"/>
            <w:tcBorders>
              <w:top w:val="nil"/>
              <w:bottom w:val="nil"/>
            </w:tcBorders>
            <w:shd w:val="clear" w:color="auto" w:fill="auto"/>
            <w:vAlign w:val="center"/>
          </w:tcPr>
          <w:p w14:paraId="1DF7E0E7" w14:textId="30B9F429" w:rsidR="00975355" w:rsidRPr="00AF7C3F" w:rsidRDefault="00975355" w:rsidP="007846AF">
            <w:pPr>
              <w:autoSpaceDE w:val="0"/>
              <w:autoSpaceDN w:val="0"/>
              <w:adjustRightInd w:val="0"/>
              <w:ind w:right="113"/>
              <w:jc w:val="right"/>
              <w:rPr>
                <w:sz w:val="16"/>
                <w:szCs w:val="16"/>
              </w:rPr>
            </w:pPr>
            <w:r w:rsidRPr="00AF7C3F">
              <w:rPr>
                <w:sz w:val="16"/>
                <w:szCs w:val="16"/>
              </w:rPr>
              <w:t>1.20</w:t>
            </w:r>
          </w:p>
        </w:tc>
        <w:tc>
          <w:tcPr>
            <w:tcW w:w="848" w:type="dxa"/>
            <w:tcBorders>
              <w:top w:val="nil"/>
              <w:bottom w:val="nil"/>
            </w:tcBorders>
            <w:shd w:val="clear" w:color="auto" w:fill="auto"/>
            <w:vAlign w:val="center"/>
          </w:tcPr>
          <w:p w14:paraId="497BC6F9" w14:textId="66E09893" w:rsidR="00975355" w:rsidRPr="00AF7C3F" w:rsidRDefault="00975355" w:rsidP="007846AF">
            <w:pPr>
              <w:autoSpaceDE w:val="0"/>
              <w:autoSpaceDN w:val="0"/>
              <w:adjustRightInd w:val="0"/>
              <w:ind w:right="113"/>
              <w:jc w:val="right"/>
              <w:rPr>
                <w:sz w:val="16"/>
                <w:szCs w:val="16"/>
              </w:rPr>
            </w:pPr>
            <w:r w:rsidRPr="00AF7C3F">
              <w:rPr>
                <w:sz w:val="16"/>
                <w:szCs w:val="16"/>
              </w:rPr>
              <w:t>2.50</w:t>
            </w:r>
          </w:p>
        </w:tc>
      </w:tr>
      <w:tr w:rsidR="00975355" w14:paraId="20ED2153" w14:textId="77777777" w:rsidTr="00AF7C3F">
        <w:trPr>
          <w:jc w:val="center"/>
        </w:trPr>
        <w:tc>
          <w:tcPr>
            <w:tcW w:w="1541" w:type="dxa"/>
            <w:tcBorders>
              <w:top w:val="nil"/>
              <w:bottom w:val="nil"/>
            </w:tcBorders>
            <w:vAlign w:val="center"/>
          </w:tcPr>
          <w:p w14:paraId="3C7C86B0"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Médicos y dentistas</w:t>
            </w:r>
          </w:p>
        </w:tc>
        <w:tc>
          <w:tcPr>
            <w:tcW w:w="883" w:type="dxa"/>
            <w:tcBorders>
              <w:top w:val="nil"/>
              <w:bottom w:val="nil"/>
            </w:tcBorders>
            <w:vAlign w:val="center"/>
          </w:tcPr>
          <w:p w14:paraId="1047D4F9" w14:textId="40EA62E6"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2.16</w:t>
            </w:r>
          </w:p>
        </w:tc>
        <w:tc>
          <w:tcPr>
            <w:tcW w:w="834" w:type="dxa"/>
            <w:tcBorders>
              <w:top w:val="nil"/>
              <w:bottom w:val="nil"/>
            </w:tcBorders>
            <w:vAlign w:val="center"/>
          </w:tcPr>
          <w:p w14:paraId="2EC20F6D" w14:textId="4860E56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65D6A090" w14:textId="2036958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6.00</w:t>
            </w:r>
          </w:p>
        </w:tc>
        <w:tc>
          <w:tcPr>
            <w:tcW w:w="708" w:type="dxa"/>
            <w:tcBorders>
              <w:top w:val="nil"/>
              <w:bottom w:val="nil"/>
            </w:tcBorders>
            <w:vAlign w:val="center"/>
          </w:tcPr>
          <w:p w14:paraId="75DA9797"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5DF66F8B" w14:textId="77777777" w:rsidR="00975355" w:rsidRPr="00AF7C3F" w:rsidRDefault="00975355" w:rsidP="00770CA7">
            <w:pPr>
              <w:autoSpaceDE w:val="0"/>
              <w:autoSpaceDN w:val="0"/>
              <w:adjustRightInd w:val="0"/>
              <w:jc w:val="center"/>
              <w:rPr>
                <w:sz w:val="16"/>
                <w:szCs w:val="16"/>
              </w:rPr>
            </w:pPr>
            <w:r w:rsidRPr="00AF7C3F">
              <w:rPr>
                <w:sz w:val="16"/>
                <w:szCs w:val="16"/>
              </w:rPr>
              <w:t>Famsa</w:t>
            </w:r>
          </w:p>
        </w:tc>
        <w:tc>
          <w:tcPr>
            <w:tcW w:w="939" w:type="dxa"/>
            <w:tcBorders>
              <w:top w:val="nil"/>
              <w:bottom w:val="nil"/>
            </w:tcBorders>
            <w:shd w:val="clear" w:color="auto" w:fill="auto"/>
            <w:vAlign w:val="center"/>
          </w:tcPr>
          <w:p w14:paraId="522212B8" w14:textId="5BA342A9" w:rsidR="00975355" w:rsidRPr="00AF7C3F" w:rsidRDefault="00975355" w:rsidP="007846AF">
            <w:pPr>
              <w:autoSpaceDE w:val="0"/>
              <w:autoSpaceDN w:val="0"/>
              <w:adjustRightInd w:val="0"/>
              <w:ind w:right="113"/>
              <w:jc w:val="right"/>
              <w:rPr>
                <w:sz w:val="16"/>
                <w:szCs w:val="16"/>
              </w:rPr>
            </w:pPr>
            <w:r w:rsidRPr="00AF7C3F">
              <w:rPr>
                <w:sz w:val="16"/>
                <w:szCs w:val="16"/>
              </w:rPr>
              <w:t>2.27</w:t>
            </w:r>
          </w:p>
        </w:tc>
        <w:tc>
          <w:tcPr>
            <w:tcW w:w="821" w:type="dxa"/>
            <w:tcBorders>
              <w:top w:val="nil"/>
              <w:bottom w:val="nil"/>
            </w:tcBorders>
            <w:shd w:val="clear" w:color="auto" w:fill="auto"/>
            <w:vAlign w:val="center"/>
          </w:tcPr>
          <w:p w14:paraId="0034F3EA" w14:textId="68D88403" w:rsidR="00975355" w:rsidRPr="00AF7C3F" w:rsidRDefault="00975355" w:rsidP="007846AF">
            <w:pPr>
              <w:autoSpaceDE w:val="0"/>
              <w:autoSpaceDN w:val="0"/>
              <w:adjustRightInd w:val="0"/>
              <w:ind w:right="113"/>
              <w:jc w:val="right"/>
              <w:rPr>
                <w:sz w:val="16"/>
                <w:szCs w:val="16"/>
              </w:rPr>
            </w:pPr>
            <w:r w:rsidRPr="00AF7C3F">
              <w:rPr>
                <w:sz w:val="16"/>
                <w:szCs w:val="16"/>
              </w:rPr>
              <w:t>1.30</w:t>
            </w:r>
          </w:p>
        </w:tc>
        <w:tc>
          <w:tcPr>
            <w:tcW w:w="848" w:type="dxa"/>
            <w:tcBorders>
              <w:top w:val="nil"/>
              <w:bottom w:val="nil"/>
            </w:tcBorders>
            <w:shd w:val="clear" w:color="auto" w:fill="auto"/>
            <w:vAlign w:val="center"/>
          </w:tcPr>
          <w:p w14:paraId="0A7E0E09" w14:textId="514A3A0F" w:rsidR="00975355" w:rsidRPr="00AF7C3F" w:rsidRDefault="00975355" w:rsidP="007846AF">
            <w:pPr>
              <w:autoSpaceDE w:val="0"/>
              <w:autoSpaceDN w:val="0"/>
              <w:adjustRightInd w:val="0"/>
              <w:ind w:right="113"/>
              <w:jc w:val="right"/>
              <w:rPr>
                <w:sz w:val="16"/>
                <w:szCs w:val="16"/>
              </w:rPr>
            </w:pPr>
            <w:r w:rsidRPr="00AF7C3F">
              <w:rPr>
                <w:sz w:val="16"/>
                <w:szCs w:val="16"/>
              </w:rPr>
              <w:t>2.50</w:t>
            </w:r>
          </w:p>
        </w:tc>
      </w:tr>
      <w:tr w:rsidR="00975355" w14:paraId="306B91F7" w14:textId="77777777" w:rsidTr="00AF7C3F">
        <w:trPr>
          <w:jc w:val="center"/>
        </w:trPr>
        <w:tc>
          <w:tcPr>
            <w:tcW w:w="1541" w:type="dxa"/>
            <w:tcBorders>
              <w:top w:val="nil"/>
              <w:bottom w:val="nil"/>
            </w:tcBorders>
            <w:vAlign w:val="center"/>
          </w:tcPr>
          <w:p w14:paraId="44243BE5"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Misceláneas</w:t>
            </w:r>
          </w:p>
        </w:tc>
        <w:tc>
          <w:tcPr>
            <w:tcW w:w="883" w:type="dxa"/>
            <w:tcBorders>
              <w:top w:val="nil"/>
              <w:bottom w:val="nil"/>
            </w:tcBorders>
            <w:vAlign w:val="center"/>
          </w:tcPr>
          <w:p w14:paraId="3D1A871D" w14:textId="7AE0F4AE"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2.08</w:t>
            </w:r>
          </w:p>
        </w:tc>
        <w:tc>
          <w:tcPr>
            <w:tcW w:w="834" w:type="dxa"/>
            <w:tcBorders>
              <w:top w:val="nil"/>
              <w:bottom w:val="nil"/>
            </w:tcBorders>
            <w:vAlign w:val="center"/>
          </w:tcPr>
          <w:p w14:paraId="3DBE2745" w14:textId="484DF04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42F563B3" w14:textId="6913933E"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Pr>
                <w:rFonts w:ascii="Times New Roman" w:hAnsi="Times New Roman" w:cs="Times New Roman"/>
                <w:bCs/>
                <w:noProof/>
                <w:sz w:val="16"/>
                <w:szCs w:val="16"/>
              </w:rPr>
              <mc:AlternateContent>
                <mc:Choice Requires="wps">
                  <w:drawing>
                    <wp:anchor distT="0" distB="0" distL="114300" distR="114300" simplePos="0" relativeHeight="251677696" behindDoc="0" locked="0" layoutInCell="1" allowOverlap="1" wp14:anchorId="7439F289" wp14:editId="6E1A5E30">
                      <wp:simplePos x="0" y="0"/>
                      <wp:positionH relativeFrom="column">
                        <wp:posOffset>466725</wp:posOffset>
                      </wp:positionH>
                      <wp:positionV relativeFrom="paragraph">
                        <wp:posOffset>814705</wp:posOffset>
                      </wp:positionV>
                      <wp:extent cx="411480" cy="81280"/>
                      <wp:effectExtent l="0" t="0" r="83820" b="71120"/>
                      <wp:wrapNone/>
                      <wp:docPr id="1813" name="Conector recto de flecha 1813"/>
                      <wp:cNvGraphicFramePr/>
                      <a:graphic xmlns:a="http://schemas.openxmlformats.org/drawingml/2006/main">
                        <a:graphicData uri="http://schemas.microsoft.com/office/word/2010/wordprocessingShape">
                          <wps:wsp>
                            <wps:cNvCnPr/>
                            <wps:spPr>
                              <a:xfrm>
                                <a:off x="0" y="0"/>
                                <a:ext cx="411480" cy="812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620FEC" id="Conector recto de flecha 1813" o:spid="_x0000_s1026" type="#_x0000_t32" style="position:absolute;margin-left:36.75pt;margin-top:64.15pt;width:32.4pt;height:6.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" strokecolor="black [3040]">
                      <v:stroke endarrow="block"/>
                    </v:shape>
                  </w:pict>
                </mc:Fallback>
              </mc:AlternateContent>
            </w:r>
            <w:r w:rsidRPr="006D7208">
              <w:rPr>
                <w:rFonts w:ascii="Times New Roman" w:hAnsi="Times New Roman" w:cs="Times New Roman"/>
                <w:bCs/>
                <w:sz w:val="16"/>
                <w:szCs w:val="16"/>
              </w:rPr>
              <w:t>4.50</w:t>
            </w:r>
          </w:p>
        </w:tc>
        <w:tc>
          <w:tcPr>
            <w:tcW w:w="708" w:type="dxa"/>
            <w:tcBorders>
              <w:top w:val="nil"/>
              <w:bottom w:val="nil"/>
            </w:tcBorders>
            <w:vAlign w:val="center"/>
          </w:tcPr>
          <w:p w14:paraId="5AFE9780"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740702A8" w14:textId="77777777" w:rsidR="00975355" w:rsidRPr="00AF7C3F" w:rsidRDefault="00975355" w:rsidP="00770CA7">
            <w:pPr>
              <w:autoSpaceDE w:val="0"/>
              <w:autoSpaceDN w:val="0"/>
              <w:adjustRightInd w:val="0"/>
              <w:jc w:val="center"/>
              <w:rPr>
                <w:sz w:val="16"/>
                <w:szCs w:val="16"/>
              </w:rPr>
            </w:pPr>
            <w:r w:rsidRPr="00AF7C3F">
              <w:rPr>
                <w:sz w:val="16"/>
                <w:szCs w:val="16"/>
              </w:rPr>
              <w:t>Afirme</w:t>
            </w:r>
          </w:p>
        </w:tc>
        <w:tc>
          <w:tcPr>
            <w:tcW w:w="939" w:type="dxa"/>
            <w:tcBorders>
              <w:top w:val="nil"/>
              <w:bottom w:val="nil"/>
            </w:tcBorders>
            <w:shd w:val="clear" w:color="auto" w:fill="auto"/>
            <w:vAlign w:val="center"/>
          </w:tcPr>
          <w:p w14:paraId="4BFDDC38" w14:textId="21412463" w:rsidR="00975355" w:rsidRPr="00AF7C3F" w:rsidRDefault="00975355" w:rsidP="007846AF">
            <w:pPr>
              <w:autoSpaceDE w:val="0"/>
              <w:autoSpaceDN w:val="0"/>
              <w:adjustRightInd w:val="0"/>
              <w:ind w:right="113"/>
              <w:jc w:val="right"/>
              <w:rPr>
                <w:sz w:val="16"/>
                <w:szCs w:val="16"/>
              </w:rPr>
            </w:pPr>
            <w:r w:rsidRPr="00AF7C3F">
              <w:rPr>
                <w:sz w:val="16"/>
                <w:szCs w:val="16"/>
              </w:rPr>
              <w:t>2.32</w:t>
            </w:r>
          </w:p>
        </w:tc>
        <w:tc>
          <w:tcPr>
            <w:tcW w:w="821" w:type="dxa"/>
            <w:tcBorders>
              <w:top w:val="nil"/>
              <w:bottom w:val="nil"/>
            </w:tcBorders>
            <w:shd w:val="clear" w:color="auto" w:fill="auto"/>
            <w:vAlign w:val="center"/>
          </w:tcPr>
          <w:p w14:paraId="64F62D7A" w14:textId="554D4CFE" w:rsidR="00975355" w:rsidRPr="00AF7C3F" w:rsidRDefault="00975355" w:rsidP="007846AF">
            <w:pPr>
              <w:autoSpaceDE w:val="0"/>
              <w:autoSpaceDN w:val="0"/>
              <w:adjustRightInd w:val="0"/>
              <w:ind w:right="113"/>
              <w:jc w:val="right"/>
              <w:rPr>
                <w:sz w:val="16"/>
                <w:szCs w:val="16"/>
              </w:rPr>
            </w:pPr>
            <w:r w:rsidRPr="00AF7C3F">
              <w:rPr>
                <w:sz w:val="16"/>
                <w:szCs w:val="16"/>
              </w:rPr>
              <w:t>1.55</w:t>
            </w:r>
          </w:p>
        </w:tc>
        <w:tc>
          <w:tcPr>
            <w:tcW w:w="848" w:type="dxa"/>
            <w:tcBorders>
              <w:top w:val="nil"/>
              <w:bottom w:val="nil"/>
            </w:tcBorders>
            <w:shd w:val="clear" w:color="auto" w:fill="auto"/>
            <w:vAlign w:val="center"/>
          </w:tcPr>
          <w:p w14:paraId="533B990E" w14:textId="27A2388D" w:rsidR="00975355" w:rsidRPr="00AF7C3F" w:rsidRDefault="00975355" w:rsidP="007846AF">
            <w:pPr>
              <w:autoSpaceDE w:val="0"/>
              <w:autoSpaceDN w:val="0"/>
              <w:adjustRightInd w:val="0"/>
              <w:ind w:right="113"/>
              <w:jc w:val="right"/>
              <w:rPr>
                <w:sz w:val="16"/>
                <w:szCs w:val="16"/>
              </w:rPr>
            </w:pPr>
            <w:r w:rsidRPr="00AF7C3F">
              <w:rPr>
                <w:sz w:val="16"/>
                <w:szCs w:val="16"/>
              </w:rPr>
              <w:t>2.50</w:t>
            </w:r>
          </w:p>
        </w:tc>
      </w:tr>
      <w:tr w:rsidR="00975355" w14:paraId="58AF26F0" w14:textId="77777777" w:rsidTr="00AF7C3F">
        <w:trPr>
          <w:jc w:val="center"/>
        </w:trPr>
        <w:tc>
          <w:tcPr>
            <w:tcW w:w="1541" w:type="dxa"/>
            <w:tcBorders>
              <w:top w:val="nil"/>
              <w:bottom w:val="nil"/>
            </w:tcBorders>
            <w:vAlign w:val="center"/>
          </w:tcPr>
          <w:p w14:paraId="29CB8F71"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Otros</w:t>
            </w:r>
          </w:p>
        </w:tc>
        <w:tc>
          <w:tcPr>
            <w:tcW w:w="883" w:type="dxa"/>
            <w:tcBorders>
              <w:top w:val="nil"/>
              <w:bottom w:val="nil"/>
            </w:tcBorders>
            <w:vAlign w:val="center"/>
          </w:tcPr>
          <w:p w14:paraId="014AAC4F" w14:textId="2317C35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2.02</w:t>
            </w:r>
          </w:p>
        </w:tc>
        <w:tc>
          <w:tcPr>
            <w:tcW w:w="834" w:type="dxa"/>
            <w:tcBorders>
              <w:top w:val="nil"/>
              <w:bottom w:val="nil"/>
            </w:tcBorders>
            <w:vAlign w:val="center"/>
          </w:tcPr>
          <w:p w14:paraId="28C10667" w14:textId="71075BF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101F5DA3" w14:textId="2F048FA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6.00</w:t>
            </w:r>
          </w:p>
        </w:tc>
        <w:tc>
          <w:tcPr>
            <w:tcW w:w="708" w:type="dxa"/>
            <w:tcBorders>
              <w:top w:val="nil"/>
              <w:bottom w:val="nil"/>
            </w:tcBorders>
            <w:vAlign w:val="center"/>
          </w:tcPr>
          <w:p w14:paraId="1E57E862"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2D7AAF3D" w14:textId="77777777" w:rsidR="00975355" w:rsidRPr="00AF7C3F" w:rsidRDefault="00975355" w:rsidP="00770CA7">
            <w:pPr>
              <w:autoSpaceDE w:val="0"/>
              <w:autoSpaceDN w:val="0"/>
              <w:adjustRightInd w:val="0"/>
              <w:jc w:val="center"/>
              <w:rPr>
                <w:sz w:val="16"/>
                <w:szCs w:val="16"/>
              </w:rPr>
            </w:pPr>
            <w:r w:rsidRPr="00AF7C3F">
              <w:rPr>
                <w:sz w:val="16"/>
                <w:szCs w:val="16"/>
              </w:rPr>
              <w:t>Autofin</w:t>
            </w:r>
          </w:p>
        </w:tc>
        <w:tc>
          <w:tcPr>
            <w:tcW w:w="939" w:type="dxa"/>
            <w:tcBorders>
              <w:top w:val="nil"/>
              <w:bottom w:val="nil"/>
            </w:tcBorders>
            <w:shd w:val="clear" w:color="auto" w:fill="auto"/>
            <w:vAlign w:val="center"/>
          </w:tcPr>
          <w:p w14:paraId="56A178C2" w14:textId="5B1DBF62" w:rsidR="00975355" w:rsidRPr="00AF7C3F" w:rsidRDefault="00975355" w:rsidP="007846AF">
            <w:pPr>
              <w:autoSpaceDE w:val="0"/>
              <w:autoSpaceDN w:val="0"/>
              <w:adjustRightInd w:val="0"/>
              <w:ind w:right="113"/>
              <w:jc w:val="right"/>
              <w:rPr>
                <w:sz w:val="16"/>
                <w:szCs w:val="16"/>
              </w:rPr>
            </w:pPr>
            <w:r w:rsidRPr="00AF7C3F">
              <w:rPr>
                <w:sz w:val="16"/>
                <w:szCs w:val="16"/>
              </w:rPr>
              <w:t>2.45</w:t>
            </w:r>
          </w:p>
        </w:tc>
        <w:tc>
          <w:tcPr>
            <w:tcW w:w="821" w:type="dxa"/>
            <w:tcBorders>
              <w:top w:val="nil"/>
              <w:bottom w:val="nil"/>
            </w:tcBorders>
            <w:shd w:val="clear" w:color="auto" w:fill="auto"/>
            <w:vAlign w:val="center"/>
          </w:tcPr>
          <w:p w14:paraId="0BA29883" w14:textId="118F8751" w:rsidR="00975355" w:rsidRPr="00AF7C3F" w:rsidRDefault="00975355" w:rsidP="007846AF">
            <w:pPr>
              <w:autoSpaceDE w:val="0"/>
              <w:autoSpaceDN w:val="0"/>
              <w:adjustRightInd w:val="0"/>
              <w:ind w:right="113"/>
              <w:jc w:val="right"/>
              <w:rPr>
                <w:sz w:val="16"/>
                <w:szCs w:val="16"/>
              </w:rPr>
            </w:pPr>
            <w:r w:rsidRPr="00AF7C3F">
              <w:rPr>
                <w:sz w:val="16"/>
                <w:szCs w:val="16"/>
              </w:rPr>
              <w:t>2.00</w:t>
            </w:r>
          </w:p>
        </w:tc>
        <w:tc>
          <w:tcPr>
            <w:tcW w:w="848" w:type="dxa"/>
            <w:tcBorders>
              <w:top w:val="nil"/>
              <w:bottom w:val="nil"/>
            </w:tcBorders>
            <w:shd w:val="clear" w:color="auto" w:fill="auto"/>
            <w:vAlign w:val="center"/>
          </w:tcPr>
          <w:p w14:paraId="77C19647" w14:textId="156050AB" w:rsidR="00975355" w:rsidRPr="00AF7C3F" w:rsidRDefault="00975355" w:rsidP="007846AF">
            <w:pPr>
              <w:autoSpaceDE w:val="0"/>
              <w:autoSpaceDN w:val="0"/>
              <w:adjustRightInd w:val="0"/>
              <w:ind w:right="113"/>
              <w:jc w:val="right"/>
              <w:rPr>
                <w:sz w:val="16"/>
                <w:szCs w:val="16"/>
              </w:rPr>
            </w:pPr>
            <w:r w:rsidRPr="00AF7C3F">
              <w:rPr>
                <w:sz w:val="16"/>
                <w:szCs w:val="16"/>
              </w:rPr>
              <w:t>2.80</w:t>
            </w:r>
          </w:p>
        </w:tc>
      </w:tr>
      <w:tr w:rsidR="00975355" w14:paraId="34B0809B" w14:textId="77777777" w:rsidTr="00AF7C3F">
        <w:trPr>
          <w:jc w:val="center"/>
        </w:trPr>
        <w:tc>
          <w:tcPr>
            <w:tcW w:w="1541" w:type="dxa"/>
            <w:tcBorders>
              <w:top w:val="nil"/>
              <w:bottom w:val="nil"/>
            </w:tcBorders>
            <w:vAlign w:val="center"/>
          </w:tcPr>
          <w:p w14:paraId="5275BCD9"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Peaje</w:t>
            </w:r>
          </w:p>
        </w:tc>
        <w:tc>
          <w:tcPr>
            <w:tcW w:w="883" w:type="dxa"/>
            <w:tcBorders>
              <w:top w:val="nil"/>
              <w:bottom w:val="nil"/>
            </w:tcBorders>
            <w:vAlign w:val="center"/>
          </w:tcPr>
          <w:p w14:paraId="09DAADBF" w14:textId="61AD3AC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1.32</w:t>
            </w:r>
          </w:p>
        </w:tc>
        <w:tc>
          <w:tcPr>
            <w:tcW w:w="834" w:type="dxa"/>
            <w:tcBorders>
              <w:top w:val="nil"/>
              <w:bottom w:val="nil"/>
            </w:tcBorders>
            <w:vAlign w:val="center"/>
          </w:tcPr>
          <w:p w14:paraId="254834DB" w14:textId="425FBE7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1.15</w:t>
            </w:r>
          </w:p>
        </w:tc>
        <w:tc>
          <w:tcPr>
            <w:tcW w:w="849" w:type="dxa"/>
            <w:tcBorders>
              <w:top w:val="nil"/>
              <w:bottom w:val="nil"/>
            </w:tcBorders>
            <w:vAlign w:val="center"/>
          </w:tcPr>
          <w:p w14:paraId="5E207F70" w14:textId="5D07191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3.15</w:t>
            </w:r>
          </w:p>
        </w:tc>
        <w:tc>
          <w:tcPr>
            <w:tcW w:w="708" w:type="dxa"/>
            <w:tcBorders>
              <w:top w:val="nil"/>
              <w:bottom w:val="nil"/>
            </w:tcBorders>
            <w:vAlign w:val="center"/>
          </w:tcPr>
          <w:p w14:paraId="1FC5C94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01C75741" w14:textId="77777777" w:rsidR="00975355" w:rsidRPr="00AF7C3F" w:rsidRDefault="00975355" w:rsidP="00770CA7">
            <w:pPr>
              <w:autoSpaceDE w:val="0"/>
              <w:autoSpaceDN w:val="0"/>
              <w:adjustRightInd w:val="0"/>
              <w:jc w:val="center"/>
              <w:rPr>
                <w:sz w:val="16"/>
                <w:szCs w:val="16"/>
              </w:rPr>
            </w:pPr>
            <w:r w:rsidRPr="00AF7C3F">
              <w:rPr>
                <w:sz w:val="16"/>
                <w:szCs w:val="16"/>
              </w:rPr>
              <w:t>Bajío</w:t>
            </w:r>
          </w:p>
        </w:tc>
        <w:tc>
          <w:tcPr>
            <w:tcW w:w="939" w:type="dxa"/>
            <w:tcBorders>
              <w:top w:val="nil"/>
              <w:bottom w:val="nil"/>
            </w:tcBorders>
            <w:shd w:val="clear" w:color="auto" w:fill="auto"/>
            <w:vAlign w:val="center"/>
          </w:tcPr>
          <w:p w14:paraId="576AFD67" w14:textId="1F43EF24" w:rsidR="00975355" w:rsidRPr="00AF7C3F" w:rsidRDefault="00975355" w:rsidP="007846AF">
            <w:pPr>
              <w:autoSpaceDE w:val="0"/>
              <w:autoSpaceDN w:val="0"/>
              <w:adjustRightInd w:val="0"/>
              <w:ind w:right="113"/>
              <w:jc w:val="right"/>
              <w:rPr>
                <w:sz w:val="16"/>
                <w:szCs w:val="16"/>
              </w:rPr>
            </w:pPr>
            <w:r w:rsidRPr="00AF7C3F">
              <w:rPr>
                <w:sz w:val="16"/>
                <w:szCs w:val="16"/>
              </w:rPr>
              <w:t>2.57</w:t>
            </w:r>
          </w:p>
        </w:tc>
        <w:tc>
          <w:tcPr>
            <w:tcW w:w="821" w:type="dxa"/>
            <w:tcBorders>
              <w:top w:val="nil"/>
              <w:bottom w:val="nil"/>
            </w:tcBorders>
            <w:shd w:val="clear" w:color="auto" w:fill="auto"/>
            <w:vAlign w:val="center"/>
          </w:tcPr>
          <w:p w14:paraId="3E883961" w14:textId="4A46D623" w:rsidR="00975355" w:rsidRPr="00AF7C3F" w:rsidRDefault="00975355" w:rsidP="007846AF">
            <w:pPr>
              <w:autoSpaceDE w:val="0"/>
              <w:autoSpaceDN w:val="0"/>
              <w:adjustRightInd w:val="0"/>
              <w:ind w:right="113"/>
              <w:jc w:val="right"/>
              <w:rPr>
                <w:sz w:val="16"/>
                <w:szCs w:val="16"/>
              </w:rPr>
            </w:pPr>
            <w:r w:rsidRPr="00AF7C3F">
              <w:rPr>
                <w:sz w:val="16"/>
                <w:szCs w:val="16"/>
              </w:rPr>
              <w:t>1.20</w:t>
            </w:r>
          </w:p>
        </w:tc>
        <w:tc>
          <w:tcPr>
            <w:tcW w:w="848" w:type="dxa"/>
            <w:tcBorders>
              <w:top w:val="nil"/>
              <w:bottom w:val="nil"/>
            </w:tcBorders>
            <w:shd w:val="clear" w:color="auto" w:fill="auto"/>
            <w:vAlign w:val="center"/>
          </w:tcPr>
          <w:p w14:paraId="0B0E0A5E" w14:textId="2B0362A0" w:rsidR="00975355" w:rsidRPr="00AF7C3F" w:rsidRDefault="00975355" w:rsidP="007846AF">
            <w:pPr>
              <w:autoSpaceDE w:val="0"/>
              <w:autoSpaceDN w:val="0"/>
              <w:adjustRightInd w:val="0"/>
              <w:ind w:right="113"/>
              <w:jc w:val="right"/>
              <w:rPr>
                <w:sz w:val="16"/>
                <w:szCs w:val="16"/>
              </w:rPr>
            </w:pPr>
            <w:r w:rsidRPr="00AF7C3F">
              <w:rPr>
                <w:sz w:val="16"/>
                <w:szCs w:val="16"/>
              </w:rPr>
              <w:t>4.50</w:t>
            </w:r>
          </w:p>
        </w:tc>
      </w:tr>
      <w:tr w:rsidR="00975355" w14:paraId="4F585C8A" w14:textId="77777777" w:rsidTr="00AF7C3F">
        <w:trPr>
          <w:jc w:val="center"/>
        </w:trPr>
        <w:tc>
          <w:tcPr>
            <w:tcW w:w="1541" w:type="dxa"/>
            <w:tcBorders>
              <w:top w:val="nil"/>
              <w:bottom w:val="nil"/>
            </w:tcBorders>
            <w:vAlign w:val="center"/>
          </w:tcPr>
          <w:p w14:paraId="72428695"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Refacciones y ferreterías</w:t>
            </w:r>
          </w:p>
        </w:tc>
        <w:tc>
          <w:tcPr>
            <w:tcW w:w="883" w:type="dxa"/>
            <w:tcBorders>
              <w:top w:val="nil"/>
              <w:bottom w:val="nil"/>
            </w:tcBorders>
            <w:vAlign w:val="center"/>
          </w:tcPr>
          <w:p w14:paraId="7D31FEE2" w14:textId="4DB4557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2.01</w:t>
            </w:r>
          </w:p>
        </w:tc>
        <w:tc>
          <w:tcPr>
            <w:tcW w:w="834" w:type="dxa"/>
            <w:tcBorders>
              <w:top w:val="nil"/>
              <w:bottom w:val="nil"/>
            </w:tcBorders>
            <w:vAlign w:val="center"/>
          </w:tcPr>
          <w:p w14:paraId="020C0E94" w14:textId="6E1B9E3E"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2397FB97" w14:textId="745A35A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tcBorders>
            <w:vAlign w:val="center"/>
          </w:tcPr>
          <w:p w14:paraId="189B8FB3"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22E48738" w14:textId="77777777" w:rsidR="00975355" w:rsidRPr="00AF7C3F" w:rsidRDefault="00975355" w:rsidP="00770CA7">
            <w:pPr>
              <w:autoSpaceDE w:val="0"/>
              <w:autoSpaceDN w:val="0"/>
              <w:adjustRightInd w:val="0"/>
              <w:jc w:val="center"/>
              <w:rPr>
                <w:sz w:val="16"/>
                <w:szCs w:val="16"/>
              </w:rPr>
            </w:pPr>
            <w:r w:rsidRPr="00AF7C3F">
              <w:rPr>
                <w:sz w:val="16"/>
                <w:szCs w:val="16"/>
              </w:rPr>
              <w:t>Scotiabank</w:t>
            </w:r>
          </w:p>
        </w:tc>
        <w:tc>
          <w:tcPr>
            <w:tcW w:w="939" w:type="dxa"/>
            <w:tcBorders>
              <w:top w:val="nil"/>
              <w:bottom w:val="nil"/>
            </w:tcBorders>
            <w:shd w:val="clear" w:color="auto" w:fill="auto"/>
            <w:vAlign w:val="center"/>
          </w:tcPr>
          <w:p w14:paraId="342423DF" w14:textId="0C39F812" w:rsidR="00975355" w:rsidRPr="00AF7C3F" w:rsidRDefault="00975355" w:rsidP="007846AF">
            <w:pPr>
              <w:autoSpaceDE w:val="0"/>
              <w:autoSpaceDN w:val="0"/>
              <w:adjustRightInd w:val="0"/>
              <w:ind w:right="113"/>
              <w:jc w:val="right"/>
              <w:rPr>
                <w:sz w:val="16"/>
                <w:szCs w:val="16"/>
              </w:rPr>
            </w:pPr>
            <w:r w:rsidRPr="00AF7C3F">
              <w:rPr>
                <w:sz w:val="16"/>
                <w:szCs w:val="16"/>
              </w:rPr>
              <w:t>2.58</w:t>
            </w:r>
          </w:p>
        </w:tc>
        <w:tc>
          <w:tcPr>
            <w:tcW w:w="821" w:type="dxa"/>
            <w:tcBorders>
              <w:top w:val="nil"/>
              <w:bottom w:val="nil"/>
            </w:tcBorders>
            <w:shd w:val="clear" w:color="auto" w:fill="auto"/>
            <w:vAlign w:val="center"/>
          </w:tcPr>
          <w:p w14:paraId="6980E226" w14:textId="1A91E0E6" w:rsidR="00975355" w:rsidRPr="00AF7C3F" w:rsidRDefault="00975355" w:rsidP="007846AF">
            <w:pPr>
              <w:autoSpaceDE w:val="0"/>
              <w:autoSpaceDN w:val="0"/>
              <w:adjustRightInd w:val="0"/>
              <w:ind w:right="113"/>
              <w:jc w:val="right"/>
              <w:rPr>
                <w:sz w:val="16"/>
                <w:szCs w:val="16"/>
              </w:rPr>
            </w:pPr>
            <w:r w:rsidRPr="00AF7C3F">
              <w:rPr>
                <w:sz w:val="16"/>
                <w:szCs w:val="16"/>
              </w:rPr>
              <w:t>1.50</w:t>
            </w:r>
          </w:p>
        </w:tc>
        <w:tc>
          <w:tcPr>
            <w:tcW w:w="848" w:type="dxa"/>
            <w:tcBorders>
              <w:top w:val="nil"/>
              <w:bottom w:val="nil"/>
            </w:tcBorders>
            <w:shd w:val="clear" w:color="auto" w:fill="auto"/>
            <w:vAlign w:val="center"/>
          </w:tcPr>
          <w:p w14:paraId="1070B83B" w14:textId="3BEB57F0" w:rsidR="00975355" w:rsidRPr="00AF7C3F" w:rsidRDefault="00975355" w:rsidP="007846AF">
            <w:pPr>
              <w:autoSpaceDE w:val="0"/>
              <w:autoSpaceDN w:val="0"/>
              <w:adjustRightInd w:val="0"/>
              <w:ind w:right="113"/>
              <w:jc w:val="right"/>
              <w:rPr>
                <w:sz w:val="16"/>
                <w:szCs w:val="16"/>
              </w:rPr>
            </w:pPr>
            <w:r w:rsidRPr="00AF7C3F">
              <w:rPr>
                <w:sz w:val="16"/>
                <w:szCs w:val="16"/>
              </w:rPr>
              <w:t>2.83</w:t>
            </w:r>
          </w:p>
        </w:tc>
      </w:tr>
      <w:tr w:rsidR="00975355" w14:paraId="19B63120" w14:textId="77777777" w:rsidTr="00AF7C3F">
        <w:trPr>
          <w:jc w:val="center"/>
        </w:trPr>
        <w:tc>
          <w:tcPr>
            <w:tcW w:w="1541" w:type="dxa"/>
            <w:tcBorders>
              <w:top w:val="nil"/>
              <w:bottom w:val="nil"/>
            </w:tcBorders>
            <w:vAlign w:val="center"/>
          </w:tcPr>
          <w:p w14:paraId="0BE30150"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Renta de autos</w:t>
            </w:r>
          </w:p>
        </w:tc>
        <w:tc>
          <w:tcPr>
            <w:tcW w:w="883" w:type="dxa"/>
            <w:tcBorders>
              <w:top w:val="nil"/>
              <w:bottom w:val="nil"/>
            </w:tcBorders>
            <w:vAlign w:val="center"/>
          </w:tcPr>
          <w:p w14:paraId="1EB6121C" w14:textId="1A3F44B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1.73</w:t>
            </w:r>
          </w:p>
        </w:tc>
        <w:tc>
          <w:tcPr>
            <w:tcW w:w="834" w:type="dxa"/>
            <w:tcBorders>
              <w:top w:val="nil"/>
              <w:bottom w:val="nil"/>
            </w:tcBorders>
            <w:vAlign w:val="center"/>
          </w:tcPr>
          <w:p w14:paraId="49E190EA" w14:textId="3492B2C0"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nil"/>
            </w:tcBorders>
            <w:vAlign w:val="center"/>
          </w:tcPr>
          <w:p w14:paraId="6D814B8E" w14:textId="43C977F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3.48</w:t>
            </w:r>
          </w:p>
        </w:tc>
        <w:tc>
          <w:tcPr>
            <w:tcW w:w="708" w:type="dxa"/>
            <w:tcBorders>
              <w:top w:val="nil"/>
              <w:bottom w:val="nil"/>
            </w:tcBorders>
            <w:vAlign w:val="center"/>
          </w:tcPr>
          <w:p w14:paraId="143C6BAB"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6CFB33F1" w14:textId="77777777" w:rsidR="00975355" w:rsidRPr="00AF7C3F" w:rsidRDefault="00975355" w:rsidP="00770CA7">
            <w:pPr>
              <w:autoSpaceDE w:val="0"/>
              <w:autoSpaceDN w:val="0"/>
              <w:adjustRightInd w:val="0"/>
              <w:jc w:val="center"/>
              <w:rPr>
                <w:sz w:val="16"/>
                <w:szCs w:val="16"/>
              </w:rPr>
            </w:pPr>
            <w:r w:rsidRPr="00AF7C3F">
              <w:rPr>
                <w:sz w:val="16"/>
                <w:szCs w:val="16"/>
              </w:rPr>
              <w:t>Banjército</w:t>
            </w:r>
          </w:p>
        </w:tc>
        <w:tc>
          <w:tcPr>
            <w:tcW w:w="939" w:type="dxa"/>
            <w:tcBorders>
              <w:top w:val="nil"/>
              <w:bottom w:val="nil"/>
            </w:tcBorders>
            <w:shd w:val="clear" w:color="auto" w:fill="auto"/>
            <w:vAlign w:val="center"/>
          </w:tcPr>
          <w:p w14:paraId="7C04A6EC" w14:textId="26EE82AA" w:rsidR="00975355" w:rsidRPr="00AF7C3F" w:rsidRDefault="00975355" w:rsidP="007846AF">
            <w:pPr>
              <w:autoSpaceDE w:val="0"/>
              <w:autoSpaceDN w:val="0"/>
              <w:adjustRightInd w:val="0"/>
              <w:ind w:right="113"/>
              <w:jc w:val="right"/>
              <w:rPr>
                <w:sz w:val="16"/>
                <w:szCs w:val="16"/>
              </w:rPr>
            </w:pPr>
            <w:r w:rsidRPr="00AF7C3F">
              <w:rPr>
                <w:sz w:val="16"/>
                <w:szCs w:val="16"/>
              </w:rPr>
              <w:t>3.41</w:t>
            </w:r>
          </w:p>
        </w:tc>
        <w:tc>
          <w:tcPr>
            <w:tcW w:w="821" w:type="dxa"/>
            <w:tcBorders>
              <w:top w:val="nil"/>
              <w:bottom w:val="nil"/>
            </w:tcBorders>
            <w:shd w:val="clear" w:color="auto" w:fill="auto"/>
            <w:vAlign w:val="center"/>
          </w:tcPr>
          <w:p w14:paraId="5984AE09" w14:textId="696D8569" w:rsidR="00975355" w:rsidRPr="00AF7C3F" w:rsidRDefault="00975355" w:rsidP="007846AF">
            <w:pPr>
              <w:autoSpaceDE w:val="0"/>
              <w:autoSpaceDN w:val="0"/>
              <w:adjustRightInd w:val="0"/>
              <w:ind w:right="113"/>
              <w:jc w:val="right"/>
              <w:rPr>
                <w:sz w:val="16"/>
                <w:szCs w:val="16"/>
              </w:rPr>
            </w:pPr>
            <w:r w:rsidRPr="00AF7C3F">
              <w:rPr>
                <w:sz w:val="16"/>
                <w:szCs w:val="16"/>
              </w:rPr>
              <w:t>2.50</w:t>
            </w:r>
          </w:p>
        </w:tc>
        <w:tc>
          <w:tcPr>
            <w:tcW w:w="848" w:type="dxa"/>
            <w:tcBorders>
              <w:top w:val="nil"/>
              <w:bottom w:val="nil"/>
            </w:tcBorders>
            <w:shd w:val="clear" w:color="auto" w:fill="auto"/>
            <w:vAlign w:val="center"/>
          </w:tcPr>
          <w:p w14:paraId="52156450" w14:textId="4E99546C" w:rsidR="00975355" w:rsidRPr="00AF7C3F" w:rsidRDefault="00975355" w:rsidP="007846AF">
            <w:pPr>
              <w:autoSpaceDE w:val="0"/>
              <w:autoSpaceDN w:val="0"/>
              <w:adjustRightInd w:val="0"/>
              <w:ind w:right="113"/>
              <w:jc w:val="right"/>
              <w:rPr>
                <w:sz w:val="16"/>
                <w:szCs w:val="16"/>
              </w:rPr>
            </w:pPr>
            <w:r w:rsidRPr="00AF7C3F">
              <w:rPr>
                <w:sz w:val="16"/>
                <w:szCs w:val="16"/>
              </w:rPr>
              <w:t>5.84</w:t>
            </w:r>
          </w:p>
        </w:tc>
      </w:tr>
      <w:tr w:rsidR="00975355" w14:paraId="112B4DDB" w14:textId="77777777" w:rsidTr="00AF7C3F">
        <w:trPr>
          <w:jc w:val="center"/>
        </w:trPr>
        <w:tc>
          <w:tcPr>
            <w:tcW w:w="1541" w:type="dxa"/>
            <w:tcBorders>
              <w:top w:val="nil"/>
              <w:bottom w:val="single" w:sz="8" w:space="0" w:color="auto"/>
            </w:tcBorders>
            <w:vAlign w:val="center"/>
          </w:tcPr>
          <w:p w14:paraId="7D8746DA" w14:textId="77777777" w:rsidR="00975355" w:rsidRPr="00275461" w:rsidRDefault="00975355" w:rsidP="00770CA7">
            <w:pPr>
              <w:pStyle w:val="Texto"/>
              <w:spacing w:after="0" w:line="240" w:lineRule="auto"/>
              <w:ind w:firstLine="0"/>
              <w:jc w:val="center"/>
              <w:rPr>
                <w:rFonts w:ascii="Times New Roman" w:hAnsi="Times New Roman" w:cs="Times New Roman"/>
                <w:b/>
                <w:bCs/>
                <w:sz w:val="16"/>
                <w:szCs w:val="16"/>
              </w:rPr>
            </w:pPr>
            <w:r w:rsidRPr="00275461">
              <w:rPr>
                <w:rFonts w:ascii="Times New Roman" w:hAnsi="Times New Roman" w:cs="Times New Roman"/>
                <w:b/>
                <w:bCs/>
                <w:sz w:val="16"/>
                <w:szCs w:val="16"/>
              </w:rPr>
              <w:t>Restaurantes</w:t>
            </w:r>
          </w:p>
        </w:tc>
        <w:tc>
          <w:tcPr>
            <w:tcW w:w="883" w:type="dxa"/>
            <w:tcBorders>
              <w:top w:val="nil"/>
              <w:bottom w:val="single" w:sz="8" w:space="0" w:color="auto"/>
            </w:tcBorders>
            <w:vAlign w:val="center"/>
          </w:tcPr>
          <w:p w14:paraId="49B61C2B" w14:textId="083B1651" w:rsidR="00975355" w:rsidRPr="00275461" w:rsidRDefault="00975355" w:rsidP="007846AF">
            <w:pPr>
              <w:pStyle w:val="Texto"/>
              <w:spacing w:after="0" w:line="240" w:lineRule="auto"/>
              <w:ind w:right="113" w:firstLine="0"/>
              <w:jc w:val="right"/>
              <w:rPr>
                <w:rFonts w:ascii="Times New Roman" w:hAnsi="Times New Roman" w:cs="Times New Roman"/>
                <w:b/>
                <w:bCs/>
                <w:sz w:val="16"/>
                <w:szCs w:val="16"/>
              </w:rPr>
            </w:pPr>
            <w:r w:rsidRPr="00275461">
              <w:rPr>
                <w:rFonts w:ascii="Times New Roman" w:hAnsi="Times New Roman" w:cs="Times New Roman"/>
                <w:b/>
                <w:bCs/>
                <w:sz w:val="16"/>
                <w:szCs w:val="16"/>
              </w:rPr>
              <w:t>2.03</w:t>
            </w:r>
          </w:p>
        </w:tc>
        <w:tc>
          <w:tcPr>
            <w:tcW w:w="834" w:type="dxa"/>
            <w:tcBorders>
              <w:top w:val="nil"/>
              <w:bottom w:val="single" w:sz="8" w:space="0" w:color="auto"/>
            </w:tcBorders>
            <w:vAlign w:val="center"/>
          </w:tcPr>
          <w:p w14:paraId="6A638AF0" w14:textId="7AE03DE6" w:rsidR="00975355" w:rsidRPr="00275461" w:rsidRDefault="00975355" w:rsidP="007846AF">
            <w:pPr>
              <w:pStyle w:val="Texto"/>
              <w:spacing w:after="0" w:line="240" w:lineRule="auto"/>
              <w:ind w:right="113" w:firstLine="0"/>
              <w:jc w:val="right"/>
              <w:rPr>
                <w:rFonts w:ascii="Times New Roman" w:hAnsi="Times New Roman" w:cs="Times New Roman"/>
                <w:b/>
                <w:bCs/>
                <w:sz w:val="16"/>
                <w:szCs w:val="16"/>
              </w:rPr>
            </w:pPr>
            <w:r w:rsidRPr="00275461">
              <w:rPr>
                <w:rFonts w:ascii="Times New Roman" w:hAnsi="Times New Roman" w:cs="Times New Roman"/>
                <w:b/>
                <w:bCs/>
                <w:sz w:val="16"/>
                <w:szCs w:val="16"/>
              </w:rPr>
              <w:t>1.16</w:t>
            </w:r>
          </w:p>
        </w:tc>
        <w:tc>
          <w:tcPr>
            <w:tcW w:w="849" w:type="dxa"/>
            <w:tcBorders>
              <w:top w:val="nil"/>
              <w:bottom w:val="single" w:sz="8" w:space="0" w:color="auto"/>
            </w:tcBorders>
            <w:vAlign w:val="center"/>
          </w:tcPr>
          <w:p w14:paraId="07D619EB" w14:textId="230C74BC" w:rsidR="00975355" w:rsidRPr="00275461" w:rsidRDefault="00975355" w:rsidP="007846AF">
            <w:pPr>
              <w:pStyle w:val="Texto"/>
              <w:spacing w:after="0" w:line="240" w:lineRule="auto"/>
              <w:ind w:right="113" w:firstLine="0"/>
              <w:jc w:val="right"/>
              <w:rPr>
                <w:rFonts w:ascii="Times New Roman" w:hAnsi="Times New Roman" w:cs="Times New Roman"/>
                <w:b/>
                <w:bCs/>
                <w:sz w:val="16"/>
                <w:szCs w:val="16"/>
              </w:rPr>
            </w:pPr>
            <w:r w:rsidRPr="00275461">
              <w:rPr>
                <w:rFonts w:ascii="Times New Roman" w:hAnsi="Times New Roman" w:cs="Times New Roman"/>
                <w:b/>
                <w:bCs/>
                <w:sz w:val="16"/>
                <w:szCs w:val="16"/>
              </w:rPr>
              <w:t>4.50</w:t>
            </w:r>
          </w:p>
        </w:tc>
        <w:tc>
          <w:tcPr>
            <w:tcW w:w="708" w:type="dxa"/>
            <w:tcBorders>
              <w:top w:val="nil"/>
              <w:bottom w:val="nil"/>
            </w:tcBorders>
            <w:vAlign w:val="center"/>
          </w:tcPr>
          <w:p w14:paraId="3BAD0218"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nil"/>
            </w:tcBorders>
            <w:shd w:val="clear" w:color="auto" w:fill="auto"/>
            <w:vAlign w:val="center"/>
          </w:tcPr>
          <w:p w14:paraId="7736359F" w14:textId="77777777" w:rsidR="00975355" w:rsidRPr="00AF7C3F" w:rsidRDefault="00975355" w:rsidP="00770CA7">
            <w:pPr>
              <w:autoSpaceDE w:val="0"/>
              <w:autoSpaceDN w:val="0"/>
              <w:adjustRightInd w:val="0"/>
              <w:jc w:val="center"/>
              <w:rPr>
                <w:sz w:val="16"/>
                <w:szCs w:val="16"/>
              </w:rPr>
            </w:pPr>
            <w:r w:rsidRPr="00AF7C3F">
              <w:rPr>
                <w:sz w:val="16"/>
                <w:szCs w:val="16"/>
              </w:rPr>
              <w:t>iZettle</w:t>
            </w:r>
          </w:p>
        </w:tc>
        <w:tc>
          <w:tcPr>
            <w:tcW w:w="939" w:type="dxa"/>
            <w:tcBorders>
              <w:top w:val="nil"/>
              <w:bottom w:val="nil"/>
            </w:tcBorders>
            <w:shd w:val="clear" w:color="auto" w:fill="auto"/>
            <w:vAlign w:val="center"/>
          </w:tcPr>
          <w:p w14:paraId="75B40BF8" w14:textId="2717691C" w:rsidR="00975355" w:rsidRPr="00AF7C3F" w:rsidRDefault="00975355" w:rsidP="007846AF">
            <w:pPr>
              <w:autoSpaceDE w:val="0"/>
              <w:autoSpaceDN w:val="0"/>
              <w:adjustRightInd w:val="0"/>
              <w:ind w:right="113"/>
              <w:jc w:val="right"/>
              <w:rPr>
                <w:sz w:val="16"/>
                <w:szCs w:val="16"/>
              </w:rPr>
            </w:pPr>
            <w:r w:rsidRPr="00AF7C3F">
              <w:rPr>
                <w:sz w:val="16"/>
                <w:szCs w:val="16"/>
              </w:rPr>
              <w:t>3.75</w:t>
            </w:r>
          </w:p>
        </w:tc>
        <w:tc>
          <w:tcPr>
            <w:tcW w:w="821" w:type="dxa"/>
            <w:tcBorders>
              <w:top w:val="nil"/>
              <w:bottom w:val="nil"/>
            </w:tcBorders>
            <w:shd w:val="clear" w:color="auto" w:fill="auto"/>
            <w:vAlign w:val="center"/>
          </w:tcPr>
          <w:p w14:paraId="173C2900" w14:textId="29A3ED47" w:rsidR="00975355" w:rsidRPr="00AF7C3F" w:rsidRDefault="00975355" w:rsidP="007846AF">
            <w:pPr>
              <w:autoSpaceDE w:val="0"/>
              <w:autoSpaceDN w:val="0"/>
              <w:adjustRightInd w:val="0"/>
              <w:ind w:right="113"/>
              <w:jc w:val="right"/>
              <w:rPr>
                <w:sz w:val="16"/>
                <w:szCs w:val="16"/>
              </w:rPr>
            </w:pPr>
            <w:r w:rsidRPr="00AF7C3F">
              <w:rPr>
                <w:sz w:val="16"/>
                <w:szCs w:val="16"/>
              </w:rPr>
              <w:t>3.75</w:t>
            </w:r>
          </w:p>
        </w:tc>
        <w:tc>
          <w:tcPr>
            <w:tcW w:w="848" w:type="dxa"/>
            <w:tcBorders>
              <w:top w:val="nil"/>
              <w:bottom w:val="nil"/>
            </w:tcBorders>
            <w:shd w:val="clear" w:color="auto" w:fill="auto"/>
            <w:vAlign w:val="center"/>
          </w:tcPr>
          <w:p w14:paraId="79FD9ADF" w14:textId="6B48A2F3" w:rsidR="00975355" w:rsidRPr="00AF7C3F" w:rsidRDefault="00975355" w:rsidP="007846AF">
            <w:pPr>
              <w:autoSpaceDE w:val="0"/>
              <w:autoSpaceDN w:val="0"/>
              <w:adjustRightInd w:val="0"/>
              <w:ind w:right="113"/>
              <w:jc w:val="right"/>
              <w:rPr>
                <w:sz w:val="16"/>
                <w:szCs w:val="16"/>
              </w:rPr>
            </w:pPr>
            <w:r w:rsidRPr="00AF7C3F">
              <w:rPr>
                <w:sz w:val="16"/>
                <w:szCs w:val="16"/>
              </w:rPr>
              <w:t>3.75</w:t>
            </w:r>
          </w:p>
        </w:tc>
      </w:tr>
      <w:tr w:rsidR="00975355" w14:paraId="063E575D" w14:textId="77777777" w:rsidTr="00AF7C3F">
        <w:trPr>
          <w:jc w:val="center"/>
        </w:trPr>
        <w:tc>
          <w:tcPr>
            <w:tcW w:w="1541" w:type="dxa"/>
            <w:tcBorders>
              <w:top w:val="single" w:sz="8" w:space="0" w:color="auto"/>
              <w:bottom w:val="nil"/>
            </w:tcBorders>
            <w:vAlign w:val="center"/>
          </w:tcPr>
          <w:p w14:paraId="45569350"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Salones de belleza</w:t>
            </w:r>
          </w:p>
        </w:tc>
        <w:tc>
          <w:tcPr>
            <w:tcW w:w="883" w:type="dxa"/>
            <w:tcBorders>
              <w:top w:val="single" w:sz="8" w:space="0" w:color="auto"/>
              <w:bottom w:val="nil"/>
            </w:tcBorders>
            <w:vAlign w:val="center"/>
          </w:tcPr>
          <w:p w14:paraId="255E4C37" w14:textId="5DD3D6FF"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2.22</w:t>
            </w:r>
          </w:p>
        </w:tc>
        <w:tc>
          <w:tcPr>
            <w:tcW w:w="834" w:type="dxa"/>
            <w:tcBorders>
              <w:top w:val="single" w:sz="8" w:space="0" w:color="auto"/>
              <w:bottom w:val="nil"/>
            </w:tcBorders>
            <w:vAlign w:val="center"/>
          </w:tcPr>
          <w:p w14:paraId="2D9E9FE4" w14:textId="07B38BB5"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1.20</w:t>
            </w:r>
          </w:p>
        </w:tc>
        <w:tc>
          <w:tcPr>
            <w:tcW w:w="849" w:type="dxa"/>
            <w:tcBorders>
              <w:top w:val="single" w:sz="8" w:space="0" w:color="auto"/>
              <w:bottom w:val="nil"/>
            </w:tcBorders>
            <w:vAlign w:val="center"/>
          </w:tcPr>
          <w:p w14:paraId="3968B35D" w14:textId="2FE70BA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6.00</w:t>
            </w:r>
          </w:p>
        </w:tc>
        <w:tc>
          <w:tcPr>
            <w:tcW w:w="708" w:type="dxa"/>
            <w:tcBorders>
              <w:top w:val="nil"/>
              <w:bottom w:val="nil"/>
            </w:tcBorders>
            <w:vAlign w:val="center"/>
          </w:tcPr>
          <w:p w14:paraId="00B5BFD8"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bottom w:val="single" w:sz="4" w:space="0" w:color="auto"/>
            </w:tcBorders>
            <w:shd w:val="clear" w:color="auto" w:fill="auto"/>
            <w:vAlign w:val="center"/>
          </w:tcPr>
          <w:p w14:paraId="578D78C4" w14:textId="77777777" w:rsidR="00975355" w:rsidRPr="00AF7C3F" w:rsidRDefault="00975355" w:rsidP="00770CA7">
            <w:pPr>
              <w:autoSpaceDE w:val="0"/>
              <w:autoSpaceDN w:val="0"/>
              <w:adjustRightInd w:val="0"/>
              <w:jc w:val="center"/>
              <w:rPr>
                <w:sz w:val="16"/>
                <w:szCs w:val="16"/>
              </w:rPr>
            </w:pPr>
            <w:r w:rsidRPr="00AF7C3F">
              <w:rPr>
                <w:b/>
                <w:bCs/>
                <w:sz w:val="16"/>
                <w:szCs w:val="16"/>
              </w:rPr>
              <w:t>Total</w:t>
            </w:r>
          </w:p>
        </w:tc>
        <w:tc>
          <w:tcPr>
            <w:tcW w:w="939" w:type="dxa"/>
            <w:tcBorders>
              <w:top w:val="nil"/>
              <w:bottom w:val="single" w:sz="4" w:space="0" w:color="auto"/>
            </w:tcBorders>
            <w:shd w:val="clear" w:color="auto" w:fill="auto"/>
            <w:vAlign w:val="center"/>
          </w:tcPr>
          <w:p w14:paraId="695ED2FD" w14:textId="4828173C" w:rsidR="00975355" w:rsidRPr="00AF7C3F" w:rsidRDefault="00975355" w:rsidP="007846AF">
            <w:pPr>
              <w:autoSpaceDE w:val="0"/>
              <w:autoSpaceDN w:val="0"/>
              <w:adjustRightInd w:val="0"/>
              <w:ind w:right="113"/>
              <w:jc w:val="right"/>
              <w:rPr>
                <w:sz w:val="16"/>
                <w:szCs w:val="16"/>
              </w:rPr>
            </w:pPr>
            <w:r w:rsidRPr="00AF7C3F">
              <w:rPr>
                <w:b/>
                <w:bCs/>
                <w:sz w:val="16"/>
                <w:szCs w:val="16"/>
              </w:rPr>
              <w:t>2.03</w:t>
            </w:r>
          </w:p>
        </w:tc>
        <w:tc>
          <w:tcPr>
            <w:tcW w:w="821" w:type="dxa"/>
            <w:tcBorders>
              <w:top w:val="nil"/>
              <w:bottom w:val="single" w:sz="4" w:space="0" w:color="auto"/>
            </w:tcBorders>
            <w:shd w:val="clear" w:color="auto" w:fill="auto"/>
            <w:vAlign w:val="center"/>
          </w:tcPr>
          <w:p w14:paraId="75D12CC4" w14:textId="10D2985C" w:rsidR="00975355" w:rsidRPr="00AF7C3F" w:rsidRDefault="00975355" w:rsidP="007846AF">
            <w:pPr>
              <w:autoSpaceDE w:val="0"/>
              <w:autoSpaceDN w:val="0"/>
              <w:adjustRightInd w:val="0"/>
              <w:ind w:right="113"/>
              <w:jc w:val="right"/>
              <w:rPr>
                <w:sz w:val="16"/>
                <w:szCs w:val="16"/>
              </w:rPr>
            </w:pPr>
            <w:r w:rsidRPr="00AF7C3F">
              <w:rPr>
                <w:b/>
                <w:bCs/>
                <w:sz w:val="16"/>
                <w:szCs w:val="16"/>
              </w:rPr>
              <w:t>1.16</w:t>
            </w:r>
          </w:p>
        </w:tc>
        <w:tc>
          <w:tcPr>
            <w:tcW w:w="848" w:type="dxa"/>
            <w:tcBorders>
              <w:top w:val="nil"/>
              <w:bottom w:val="single" w:sz="4" w:space="0" w:color="auto"/>
            </w:tcBorders>
            <w:shd w:val="clear" w:color="auto" w:fill="auto"/>
            <w:vAlign w:val="center"/>
          </w:tcPr>
          <w:p w14:paraId="74AF5AE1" w14:textId="5CA03DCF" w:rsidR="00975355" w:rsidRPr="00AF7C3F" w:rsidRDefault="00975355" w:rsidP="007846AF">
            <w:pPr>
              <w:spacing w:after="120"/>
              <w:jc w:val="center"/>
              <w:rPr>
                <w:sz w:val="16"/>
                <w:szCs w:val="16"/>
              </w:rPr>
            </w:pPr>
            <w:r w:rsidRPr="00AF7C3F">
              <w:rPr>
                <w:b/>
                <w:bCs/>
                <w:sz w:val="16"/>
                <w:szCs w:val="16"/>
              </w:rPr>
              <w:t>4.50</w:t>
            </w:r>
          </w:p>
        </w:tc>
      </w:tr>
      <w:tr w:rsidR="00975355" w14:paraId="030214A4" w14:textId="77777777" w:rsidTr="00AF7C3F">
        <w:trPr>
          <w:jc w:val="center"/>
        </w:trPr>
        <w:tc>
          <w:tcPr>
            <w:tcW w:w="1541" w:type="dxa"/>
            <w:tcBorders>
              <w:top w:val="nil"/>
              <w:bottom w:val="nil"/>
            </w:tcBorders>
            <w:vAlign w:val="center"/>
          </w:tcPr>
          <w:p w14:paraId="20AA345F"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Supermercados</w:t>
            </w:r>
          </w:p>
        </w:tc>
        <w:tc>
          <w:tcPr>
            <w:tcW w:w="883" w:type="dxa"/>
            <w:tcBorders>
              <w:top w:val="nil"/>
              <w:bottom w:val="nil"/>
            </w:tcBorders>
            <w:vAlign w:val="center"/>
          </w:tcPr>
          <w:p w14:paraId="3CA7F315" w14:textId="22EBEFF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1.74</w:t>
            </w:r>
          </w:p>
        </w:tc>
        <w:tc>
          <w:tcPr>
            <w:tcW w:w="834" w:type="dxa"/>
            <w:tcBorders>
              <w:top w:val="nil"/>
              <w:bottom w:val="nil"/>
            </w:tcBorders>
            <w:vAlign w:val="center"/>
          </w:tcPr>
          <w:p w14:paraId="12254CEA" w14:textId="0E0348A4"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1.13</w:t>
            </w:r>
          </w:p>
        </w:tc>
        <w:tc>
          <w:tcPr>
            <w:tcW w:w="849" w:type="dxa"/>
            <w:tcBorders>
              <w:top w:val="nil"/>
              <w:bottom w:val="nil"/>
            </w:tcBorders>
            <w:vAlign w:val="center"/>
          </w:tcPr>
          <w:p w14:paraId="3C047025" w14:textId="4DB66706"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4.20</w:t>
            </w:r>
          </w:p>
        </w:tc>
        <w:tc>
          <w:tcPr>
            <w:tcW w:w="708" w:type="dxa"/>
            <w:tcBorders>
              <w:top w:val="nil"/>
              <w:bottom w:val="nil"/>
              <w:right w:val="nil"/>
            </w:tcBorders>
            <w:vAlign w:val="center"/>
          </w:tcPr>
          <w:p w14:paraId="114F0BB1"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single" w:sz="4" w:space="0" w:color="auto"/>
              <w:left w:val="nil"/>
              <w:bottom w:val="nil"/>
              <w:right w:val="nil"/>
            </w:tcBorders>
            <w:shd w:val="clear" w:color="auto" w:fill="auto"/>
            <w:vAlign w:val="center"/>
          </w:tcPr>
          <w:p w14:paraId="20804D62"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939" w:type="dxa"/>
            <w:tcBorders>
              <w:top w:val="single" w:sz="4" w:space="0" w:color="auto"/>
              <w:left w:val="nil"/>
              <w:bottom w:val="nil"/>
              <w:right w:val="nil"/>
            </w:tcBorders>
            <w:shd w:val="clear" w:color="auto" w:fill="auto"/>
            <w:vAlign w:val="center"/>
          </w:tcPr>
          <w:p w14:paraId="75257866"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21" w:type="dxa"/>
            <w:tcBorders>
              <w:top w:val="single" w:sz="4" w:space="0" w:color="auto"/>
              <w:left w:val="nil"/>
              <w:bottom w:val="nil"/>
              <w:right w:val="nil"/>
            </w:tcBorders>
            <w:shd w:val="clear" w:color="auto" w:fill="auto"/>
            <w:vAlign w:val="center"/>
          </w:tcPr>
          <w:p w14:paraId="3988CC0E"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48" w:type="dxa"/>
            <w:tcBorders>
              <w:top w:val="single" w:sz="4" w:space="0" w:color="auto"/>
              <w:left w:val="nil"/>
              <w:bottom w:val="nil"/>
              <w:right w:val="nil"/>
            </w:tcBorders>
            <w:shd w:val="clear" w:color="auto" w:fill="auto"/>
            <w:vAlign w:val="center"/>
          </w:tcPr>
          <w:p w14:paraId="5008F73F"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r>
      <w:tr w:rsidR="00975355" w14:paraId="5FF58FB3" w14:textId="77777777" w:rsidTr="00AF7C3F">
        <w:trPr>
          <w:jc w:val="center"/>
        </w:trPr>
        <w:tc>
          <w:tcPr>
            <w:tcW w:w="1541" w:type="dxa"/>
            <w:tcBorders>
              <w:top w:val="nil"/>
              <w:bottom w:val="nil"/>
            </w:tcBorders>
            <w:vAlign w:val="center"/>
          </w:tcPr>
          <w:p w14:paraId="01DE8883"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Telecomunicaciones</w:t>
            </w:r>
          </w:p>
        </w:tc>
        <w:tc>
          <w:tcPr>
            <w:tcW w:w="883" w:type="dxa"/>
            <w:tcBorders>
              <w:top w:val="nil"/>
              <w:bottom w:val="nil"/>
            </w:tcBorders>
            <w:vAlign w:val="center"/>
          </w:tcPr>
          <w:p w14:paraId="5127AE28" w14:textId="5061D62F"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1.57</w:t>
            </w:r>
          </w:p>
        </w:tc>
        <w:tc>
          <w:tcPr>
            <w:tcW w:w="834" w:type="dxa"/>
            <w:tcBorders>
              <w:top w:val="nil"/>
              <w:bottom w:val="nil"/>
            </w:tcBorders>
            <w:vAlign w:val="center"/>
          </w:tcPr>
          <w:p w14:paraId="7A511794" w14:textId="2F0683A9"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1.20</w:t>
            </w:r>
          </w:p>
        </w:tc>
        <w:tc>
          <w:tcPr>
            <w:tcW w:w="849" w:type="dxa"/>
            <w:tcBorders>
              <w:top w:val="nil"/>
              <w:bottom w:val="nil"/>
            </w:tcBorders>
            <w:vAlign w:val="center"/>
          </w:tcPr>
          <w:p w14:paraId="14028646" w14:textId="699B1FD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3.15</w:t>
            </w:r>
          </w:p>
        </w:tc>
        <w:tc>
          <w:tcPr>
            <w:tcW w:w="708" w:type="dxa"/>
            <w:tcBorders>
              <w:top w:val="nil"/>
              <w:bottom w:val="nil"/>
              <w:right w:val="nil"/>
            </w:tcBorders>
            <w:vAlign w:val="center"/>
          </w:tcPr>
          <w:p w14:paraId="3FE5E87F"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72152B66"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939" w:type="dxa"/>
            <w:tcBorders>
              <w:top w:val="nil"/>
              <w:left w:val="nil"/>
              <w:bottom w:val="nil"/>
              <w:right w:val="nil"/>
            </w:tcBorders>
            <w:shd w:val="clear" w:color="auto" w:fill="auto"/>
            <w:vAlign w:val="center"/>
          </w:tcPr>
          <w:p w14:paraId="312ECB09"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21" w:type="dxa"/>
            <w:tcBorders>
              <w:top w:val="nil"/>
              <w:left w:val="nil"/>
              <w:bottom w:val="nil"/>
              <w:right w:val="nil"/>
            </w:tcBorders>
            <w:shd w:val="clear" w:color="auto" w:fill="auto"/>
            <w:vAlign w:val="center"/>
          </w:tcPr>
          <w:p w14:paraId="6B2FF028"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48" w:type="dxa"/>
            <w:tcBorders>
              <w:top w:val="nil"/>
              <w:left w:val="nil"/>
              <w:bottom w:val="nil"/>
              <w:right w:val="nil"/>
            </w:tcBorders>
            <w:shd w:val="clear" w:color="auto" w:fill="auto"/>
            <w:vAlign w:val="center"/>
          </w:tcPr>
          <w:p w14:paraId="291D3135"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r>
      <w:tr w:rsidR="00975355" w14:paraId="278683FF" w14:textId="77777777" w:rsidTr="00AF7C3F">
        <w:trPr>
          <w:jc w:val="center"/>
        </w:trPr>
        <w:tc>
          <w:tcPr>
            <w:tcW w:w="1541" w:type="dxa"/>
            <w:tcBorders>
              <w:top w:val="nil"/>
              <w:bottom w:val="nil"/>
            </w:tcBorders>
            <w:vAlign w:val="center"/>
          </w:tcPr>
          <w:p w14:paraId="6A96B0DF"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Transporte aéreo</w:t>
            </w:r>
          </w:p>
        </w:tc>
        <w:tc>
          <w:tcPr>
            <w:tcW w:w="883" w:type="dxa"/>
            <w:tcBorders>
              <w:top w:val="nil"/>
              <w:bottom w:val="nil"/>
            </w:tcBorders>
            <w:vAlign w:val="center"/>
          </w:tcPr>
          <w:p w14:paraId="320C5BF7" w14:textId="5462A1CA"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1.26</w:t>
            </w:r>
          </w:p>
        </w:tc>
        <w:tc>
          <w:tcPr>
            <w:tcW w:w="834" w:type="dxa"/>
            <w:tcBorders>
              <w:top w:val="nil"/>
              <w:bottom w:val="nil"/>
            </w:tcBorders>
            <w:vAlign w:val="center"/>
          </w:tcPr>
          <w:p w14:paraId="1F30DD5D" w14:textId="27F5BA32"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0.80</w:t>
            </w:r>
          </w:p>
        </w:tc>
        <w:tc>
          <w:tcPr>
            <w:tcW w:w="849" w:type="dxa"/>
            <w:tcBorders>
              <w:top w:val="nil"/>
              <w:bottom w:val="nil"/>
            </w:tcBorders>
            <w:vAlign w:val="center"/>
          </w:tcPr>
          <w:p w14:paraId="30A8E8F7" w14:textId="7F21E3C1"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3.15</w:t>
            </w:r>
          </w:p>
        </w:tc>
        <w:tc>
          <w:tcPr>
            <w:tcW w:w="708" w:type="dxa"/>
            <w:tcBorders>
              <w:top w:val="nil"/>
              <w:bottom w:val="nil"/>
              <w:right w:val="nil"/>
            </w:tcBorders>
            <w:vAlign w:val="center"/>
          </w:tcPr>
          <w:p w14:paraId="5AFE1DB3"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61C6514A"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939" w:type="dxa"/>
            <w:tcBorders>
              <w:top w:val="nil"/>
              <w:left w:val="nil"/>
              <w:bottom w:val="nil"/>
              <w:right w:val="nil"/>
            </w:tcBorders>
            <w:shd w:val="clear" w:color="auto" w:fill="auto"/>
            <w:vAlign w:val="center"/>
          </w:tcPr>
          <w:p w14:paraId="102967FE"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21" w:type="dxa"/>
            <w:tcBorders>
              <w:top w:val="nil"/>
              <w:left w:val="nil"/>
              <w:bottom w:val="nil"/>
              <w:right w:val="nil"/>
            </w:tcBorders>
            <w:shd w:val="clear" w:color="auto" w:fill="auto"/>
            <w:vAlign w:val="center"/>
          </w:tcPr>
          <w:p w14:paraId="1F87222A"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48" w:type="dxa"/>
            <w:tcBorders>
              <w:top w:val="nil"/>
              <w:left w:val="nil"/>
              <w:bottom w:val="nil"/>
              <w:right w:val="nil"/>
            </w:tcBorders>
            <w:shd w:val="clear" w:color="auto" w:fill="auto"/>
            <w:vAlign w:val="center"/>
          </w:tcPr>
          <w:p w14:paraId="1E366327"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r>
      <w:tr w:rsidR="00975355" w14:paraId="52756E8C" w14:textId="77777777" w:rsidTr="00AF7C3F">
        <w:trPr>
          <w:jc w:val="center"/>
        </w:trPr>
        <w:tc>
          <w:tcPr>
            <w:tcW w:w="1541" w:type="dxa"/>
            <w:tcBorders>
              <w:top w:val="nil"/>
              <w:bottom w:val="nil"/>
            </w:tcBorders>
            <w:vAlign w:val="center"/>
          </w:tcPr>
          <w:p w14:paraId="6E828348" w14:textId="77777777" w:rsidR="00975355" w:rsidRPr="006D7208" w:rsidRDefault="00975355" w:rsidP="00770CA7">
            <w:pPr>
              <w:pStyle w:val="Texto"/>
              <w:spacing w:after="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Transporte terrestre de pasajeros</w:t>
            </w:r>
          </w:p>
        </w:tc>
        <w:tc>
          <w:tcPr>
            <w:tcW w:w="883" w:type="dxa"/>
            <w:tcBorders>
              <w:top w:val="nil"/>
              <w:bottom w:val="nil"/>
            </w:tcBorders>
            <w:vAlign w:val="center"/>
          </w:tcPr>
          <w:p w14:paraId="1FF36375" w14:textId="66E59E9E"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1.69</w:t>
            </w:r>
          </w:p>
        </w:tc>
        <w:tc>
          <w:tcPr>
            <w:tcW w:w="834" w:type="dxa"/>
            <w:tcBorders>
              <w:top w:val="nil"/>
              <w:bottom w:val="nil"/>
            </w:tcBorders>
            <w:vAlign w:val="center"/>
          </w:tcPr>
          <w:p w14:paraId="573B548C" w14:textId="18F4D4CD"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1.20</w:t>
            </w:r>
          </w:p>
        </w:tc>
        <w:tc>
          <w:tcPr>
            <w:tcW w:w="849" w:type="dxa"/>
            <w:tcBorders>
              <w:top w:val="nil"/>
              <w:bottom w:val="nil"/>
            </w:tcBorders>
            <w:vAlign w:val="center"/>
          </w:tcPr>
          <w:p w14:paraId="1A275EEC" w14:textId="522B6317" w:rsidR="00975355" w:rsidRPr="006D7208" w:rsidRDefault="00975355" w:rsidP="007846AF">
            <w:pPr>
              <w:pStyle w:val="Texto"/>
              <w:spacing w:after="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3.15</w:t>
            </w:r>
          </w:p>
        </w:tc>
        <w:tc>
          <w:tcPr>
            <w:tcW w:w="708" w:type="dxa"/>
            <w:tcBorders>
              <w:top w:val="nil"/>
              <w:bottom w:val="nil"/>
              <w:right w:val="nil"/>
            </w:tcBorders>
            <w:vAlign w:val="center"/>
          </w:tcPr>
          <w:p w14:paraId="737131F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5896AD57"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939" w:type="dxa"/>
            <w:tcBorders>
              <w:top w:val="nil"/>
              <w:left w:val="nil"/>
              <w:bottom w:val="nil"/>
              <w:right w:val="nil"/>
            </w:tcBorders>
            <w:shd w:val="clear" w:color="auto" w:fill="auto"/>
            <w:vAlign w:val="center"/>
          </w:tcPr>
          <w:p w14:paraId="2784CFED"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21" w:type="dxa"/>
            <w:tcBorders>
              <w:top w:val="nil"/>
              <w:left w:val="nil"/>
              <w:bottom w:val="nil"/>
              <w:right w:val="nil"/>
            </w:tcBorders>
            <w:shd w:val="clear" w:color="auto" w:fill="auto"/>
            <w:vAlign w:val="center"/>
          </w:tcPr>
          <w:p w14:paraId="2D299176"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48" w:type="dxa"/>
            <w:tcBorders>
              <w:top w:val="nil"/>
              <w:left w:val="nil"/>
              <w:bottom w:val="nil"/>
              <w:right w:val="nil"/>
            </w:tcBorders>
            <w:shd w:val="clear" w:color="auto" w:fill="auto"/>
            <w:vAlign w:val="center"/>
          </w:tcPr>
          <w:p w14:paraId="2EBE37F5"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r>
      <w:tr w:rsidR="00975355" w14:paraId="649ED707" w14:textId="77777777" w:rsidTr="00AF7C3F">
        <w:trPr>
          <w:jc w:val="center"/>
        </w:trPr>
        <w:tc>
          <w:tcPr>
            <w:tcW w:w="1541" w:type="dxa"/>
            <w:tcBorders>
              <w:top w:val="nil"/>
              <w:bottom w:val="single" w:sz="4" w:space="0" w:color="auto"/>
            </w:tcBorders>
            <w:vAlign w:val="center"/>
          </w:tcPr>
          <w:p w14:paraId="7E1EC1B4" w14:textId="77777777" w:rsidR="00975355" w:rsidRPr="006D7208" w:rsidRDefault="00975355" w:rsidP="00770CA7">
            <w:pPr>
              <w:pStyle w:val="Texto"/>
              <w:spacing w:after="120" w:line="240" w:lineRule="auto"/>
              <w:ind w:firstLine="0"/>
              <w:jc w:val="center"/>
              <w:rPr>
                <w:rFonts w:ascii="Times New Roman" w:hAnsi="Times New Roman" w:cs="Times New Roman"/>
                <w:bCs/>
                <w:sz w:val="16"/>
                <w:szCs w:val="16"/>
              </w:rPr>
            </w:pPr>
            <w:r w:rsidRPr="006D7208">
              <w:rPr>
                <w:rFonts w:ascii="Times New Roman" w:hAnsi="Times New Roman" w:cs="Times New Roman"/>
                <w:bCs/>
                <w:sz w:val="16"/>
                <w:szCs w:val="16"/>
              </w:rPr>
              <w:t>Ventas al menudeo</w:t>
            </w:r>
          </w:p>
        </w:tc>
        <w:tc>
          <w:tcPr>
            <w:tcW w:w="883" w:type="dxa"/>
            <w:tcBorders>
              <w:top w:val="nil"/>
              <w:bottom w:val="single" w:sz="4" w:space="0" w:color="auto"/>
            </w:tcBorders>
            <w:vAlign w:val="center"/>
          </w:tcPr>
          <w:p w14:paraId="7CFA1637" w14:textId="1203043E" w:rsidR="00975355" w:rsidRPr="006D7208" w:rsidRDefault="00975355" w:rsidP="007846AF">
            <w:pPr>
              <w:pStyle w:val="Texto"/>
              <w:spacing w:after="12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1.94</w:t>
            </w:r>
          </w:p>
        </w:tc>
        <w:tc>
          <w:tcPr>
            <w:tcW w:w="834" w:type="dxa"/>
            <w:tcBorders>
              <w:top w:val="nil"/>
              <w:bottom w:val="single" w:sz="4" w:space="0" w:color="auto"/>
            </w:tcBorders>
            <w:vAlign w:val="center"/>
          </w:tcPr>
          <w:p w14:paraId="213337B0" w14:textId="03947EA3" w:rsidR="00975355" w:rsidRPr="006D7208" w:rsidRDefault="00975355" w:rsidP="007846AF">
            <w:pPr>
              <w:pStyle w:val="Texto"/>
              <w:spacing w:after="12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1.16</w:t>
            </w:r>
          </w:p>
        </w:tc>
        <w:tc>
          <w:tcPr>
            <w:tcW w:w="849" w:type="dxa"/>
            <w:tcBorders>
              <w:top w:val="nil"/>
              <w:bottom w:val="single" w:sz="4" w:space="0" w:color="auto"/>
            </w:tcBorders>
            <w:vAlign w:val="center"/>
          </w:tcPr>
          <w:p w14:paraId="44EC3095" w14:textId="65854C7C" w:rsidR="00975355" w:rsidRPr="006D7208" w:rsidRDefault="00975355" w:rsidP="007846AF">
            <w:pPr>
              <w:pStyle w:val="Texto"/>
              <w:spacing w:after="120" w:line="240" w:lineRule="auto"/>
              <w:ind w:right="113" w:firstLine="0"/>
              <w:jc w:val="right"/>
              <w:rPr>
                <w:rFonts w:ascii="Times New Roman" w:hAnsi="Times New Roman" w:cs="Times New Roman"/>
                <w:bCs/>
                <w:sz w:val="16"/>
                <w:szCs w:val="16"/>
              </w:rPr>
            </w:pPr>
            <w:r w:rsidRPr="006D7208">
              <w:rPr>
                <w:rFonts w:ascii="Times New Roman" w:hAnsi="Times New Roman" w:cs="Times New Roman"/>
                <w:bCs/>
                <w:sz w:val="16"/>
                <w:szCs w:val="16"/>
              </w:rPr>
              <w:t>4.50</w:t>
            </w:r>
          </w:p>
        </w:tc>
        <w:tc>
          <w:tcPr>
            <w:tcW w:w="708" w:type="dxa"/>
            <w:tcBorders>
              <w:top w:val="nil"/>
              <w:bottom w:val="nil"/>
              <w:right w:val="nil"/>
            </w:tcBorders>
            <w:vAlign w:val="center"/>
          </w:tcPr>
          <w:p w14:paraId="34108F35" w14:textId="77777777" w:rsidR="00975355" w:rsidRPr="006D7208" w:rsidRDefault="00975355" w:rsidP="00770CA7">
            <w:pPr>
              <w:pStyle w:val="Texto"/>
              <w:spacing w:after="12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7A52BE3D" w14:textId="77777777" w:rsidR="00975355" w:rsidRPr="00AF7C3F" w:rsidRDefault="00975355" w:rsidP="00770CA7">
            <w:pPr>
              <w:pStyle w:val="Texto"/>
              <w:spacing w:after="120" w:line="240" w:lineRule="auto"/>
              <w:ind w:firstLine="0"/>
              <w:rPr>
                <w:rFonts w:ascii="Times New Roman" w:hAnsi="Times New Roman" w:cs="Times New Roman"/>
                <w:bCs/>
                <w:sz w:val="16"/>
                <w:szCs w:val="16"/>
              </w:rPr>
            </w:pPr>
          </w:p>
        </w:tc>
        <w:tc>
          <w:tcPr>
            <w:tcW w:w="939" w:type="dxa"/>
            <w:tcBorders>
              <w:top w:val="nil"/>
              <w:left w:val="nil"/>
              <w:bottom w:val="nil"/>
              <w:right w:val="nil"/>
            </w:tcBorders>
            <w:shd w:val="clear" w:color="auto" w:fill="auto"/>
            <w:vAlign w:val="center"/>
          </w:tcPr>
          <w:p w14:paraId="53593022" w14:textId="77777777" w:rsidR="00975355" w:rsidRPr="00AF7C3F" w:rsidRDefault="00975355" w:rsidP="00770CA7">
            <w:pPr>
              <w:pStyle w:val="Texto"/>
              <w:spacing w:after="120" w:line="240" w:lineRule="auto"/>
              <w:ind w:firstLine="0"/>
              <w:rPr>
                <w:rFonts w:ascii="Times New Roman" w:hAnsi="Times New Roman" w:cs="Times New Roman"/>
                <w:bCs/>
                <w:sz w:val="16"/>
                <w:szCs w:val="16"/>
              </w:rPr>
            </w:pPr>
          </w:p>
        </w:tc>
        <w:tc>
          <w:tcPr>
            <w:tcW w:w="821" w:type="dxa"/>
            <w:tcBorders>
              <w:top w:val="nil"/>
              <w:left w:val="nil"/>
              <w:bottom w:val="nil"/>
              <w:right w:val="nil"/>
            </w:tcBorders>
            <w:shd w:val="clear" w:color="auto" w:fill="auto"/>
            <w:vAlign w:val="center"/>
          </w:tcPr>
          <w:p w14:paraId="1F985980" w14:textId="77777777" w:rsidR="00975355" w:rsidRPr="00AF7C3F" w:rsidRDefault="00975355" w:rsidP="00770CA7">
            <w:pPr>
              <w:pStyle w:val="Texto"/>
              <w:spacing w:after="120" w:line="240" w:lineRule="auto"/>
              <w:ind w:firstLine="0"/>
              <w:rPr>
                <w:rFonts w:ascii="Times New Roman" w:hAnsi="Times New Roman" w:cs="Times New Roman"/>
                <w:bCs/>
                <w:sz w:val="16"/>
                <w:szCs w:val="16"/>
              </w:rPr>
            </w:pPr>
          </w:p>
        </w:tc>
        <w:tc>
          <w:tcPr>
            <w:tcW w:w="848" w:type="dxa"/>
            <w:tcBorders>
              <w:top w:val="nil"/>
              <w:left w:val="nil"/>
              <w:bottom w:val="nil"/>
              <w:right w:val="nil"/>
            </w:tcBorders>
            <w:shd w:val="clear" w:color="auto" w:fill="auto"/>
            <w:vAlign w:val="center"/>
          </w:tcPr>
          <w:p w14:paraId="32AE527A" w14:textId="77777777" w:rsidR="00975355" w:rsidRPr="00AF7C3F" w:rsidRDefault="00975355" w:rsidP="00770CA7">
            <w:pPr>
              <w:pStyle w:val="Texto"/>
              <w:spacing w:after="120" w:line="240" w:lineRule="auto"/>
              <w:ind w:firstLine="0"/>
              <w:rPr>
                <w:rFonts w:ascii="Times New Roman" w:hAnsi="Times New Roman" w:cs="Times New Roman"/>
                <w:bCs/>
                <w:sz w:val="16"/>
                <w:szCs w:val="16"/>
              </w:rPr>
            </w:pPr>
          </w:p>
        </w:tc>
      </w:tr>
      <w:tr w:rsidR="00975355" w14:paraId="1C15B775" w14:textId="77777777" w:rsidTr="00AF7C3F">
        <w:trPr>
          <w:jc w:val="center"/>
        </w:trPr>
        <w:tc>
          <w:tcPr>
            <w:tcW w:w="4107" w:type="dxa"/>
            <w:gridSpan w:val="4"/>
            <w:tcBorders>
              <w:top w:val="single" w:sz="4" w:space="0" w:color="auto"/>
              <w:left w:val="nil"/>
              <w:bottom w:val="nil"/>
              <w:right w:val="nil"/>
            </w:tcBorders>
            <w:vAlign w:val="center"/>
          </w:tcPr>
          <w:p w14:paraId="3CAC1709"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r>
              <w:rPr>
                <w:rFonts w:ascii="Times New Roman" w:hAnsi="Times New Roman" w:cs="Times New Roman"/>
                <w:bCs/>
                <w:sz w:val="16"/>
                <w:szCs w:val="16"/>
              </w:rPr>
              <w:t>FUENTE: Banco de México.</w:t>
            </w:r>
          </w:p>
        </w:tc>
        <w:tc>
          <w:tcPr>
            <w:tcW w:w="708" w:type="dxa"/>
            <w:tcBorders>
              <w:top w:val="nil"/>
              <w:left w:val="nil"/>
              <w:bottom w:val="nil"/>
              <w:right w:val="nil"/>
            </w:tcBorders>
            <w:vAlign w:val="center"/>
          </w:tcPr>
          <w:p w14:paraId="30FC98E6" w14:textId="77777777" w:rsidR="00975355" w:rsidRPr="006D7208" w:rsidRDefault="00975355" w:rsidP="00770CA7">
            <w:pPr>
              <w:pStyle w:val="Texto"/>
              <w:spacing w:after="0" w:line="240" w:lineRule="auto"/>
              <w:ind w:firstLine="0"/>
              <w:rPr>
                <w:rFonts w:ascii="Times New Roman" w:hAnsi="Times New Roman" w:cs="Times New Roman"/>
                <w:bCs/>
                <w:sz w:val="16"/>
                <w:szCs w:val="16"/>
              </w:rPr>
            </w:pPr>
          </w:p>
        </w:tc>
        <w:tc>
          <w:tcPr>
            <w:tcW w:w="1405" w:type="dxa"/>
            <w:tcBorders>
              <w:top w:val="nil"/>
              <w:left w:val="nil"/>
              <w:bottom w:val="nil"/>
              <w:right w:val="nil"/>
            </w:tcBorders>
            <w:shd w:val="clear" w:color="auto" w:fill="auto"/>
            <w:vAlign w:val="center"/>
          </w:tcPr>
          <w:p w14:paraId="65828738"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939" w:type="dxa"/>
            <w:tcBorders>
              <w:top w:val="nil"/>
              <w:left w:val="nil"/>
              <w:bottom w:val="nil"/>
              <w:right w:val="nil"/>
            </w:tcBorders>
            <w:shd w:val="clear" w:color="auto" w:fill="auto"/>
            <w:vAlign w:val="center"/>
          </w:tcPr>
          <w:p w14:paraId="5B8A5D1D"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21" w:type="dxa"/>
            <w:tcBorders>
              <w:top w:val="nil"/>
              <w:left w:val="nil"/>
              <w:bottom w:val="nil"/>
              <w:right w:val="nil"/>
            </w:tcBorders>
            <w:shd w:val="clear" w:color="auto" w:fill="auto"/>
            <w:vAlign w:val="center"/>
          </w:tcPr>
          <w:p w14:paraId="6622FF58"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c>
          <w:tcPr>
            <w:tcW w:w="848" w:type="dxa"/>
            <w:tcBorders>
              <w:top w:val="nil"/>
              <w:left w:val="nil"/>
              <w:bottom w:val="nil"/>
              <w:right w:val="nil"/>
            </w:tcBorders>
            <w:shd w:val="clear" w:color="auto" w:fill="auto"/>
            <w:vAlign w:val="center"/>
          </w:tcPr>
          <w:p w14:paraId="67AABCB1" w14:textId="77777777" w:rsidR="00975355" w:rsidRPr="00AF7C3F" w:rsidRDefault="00975355" w:rsidP="00770CA7">
            <w:pPr>
              <w:pStyle w:val="Texto"/>
              <w:spacing w:after="0" w:line="240" w:lineRule="auto"/>
              <w:ind w:firstLine="0"/>
              <w:rPr>
                <w:rFonts w:ascii="Times New Roman" w:hAnsi="Times New Roman" w:cs="Times New Roman"/>
                <w:bCs/>
                <w:sz w:val="16"/>
                <w:szCs w:val="16"/>
              </w:rPr>
            </w:pPr>
          </w:p>
        </w:tc>
      </w:tr>
    </w:tbl>
    <w:p w14:paraId="1A69F358" w14:textId="4F7DD95A" w:rsidR="00DD7DDB" w:rsidRPr="00DD7DDB" w:rsidRDefault="00DD7DDB" w:rsidP="00DD7DDB">
      <w:pPr>
        <w:spacing w:after="360" w:line="360" w:lineRule="auto"/>
        <w:ind w:right="-159"/>
        <w:jc w:val="center"/>
        <w:rPr>
          <w:rFonts w:eastAsia="Calibri"/>
          <w:sz w:val="26"/>
          <w:szCs w:val="26"/>
          <w:lang w:eastAsia="en-US"/>
        </w:rPr>
      </w:pPr>
    </w:p>
    <w:p w14:paraId="36F329B9" w14:textId="77777777" w:rsidR="007846AF" w:rsidRDefault="007846AF" w:rsidP="00DD7DDB">
      <w:pPr>
        <w:spacing w:after="360" w:line="360" w:lineRule="auto"/>
        <w:ind w:right="-159"/>
        <w:jc w:val="both"/>
        <w:rPr>
          <w:rFonts w:eastAsia="Calibri"/>
          <w:b/>
          <w:sz w:val="26"/>
          <w:szCs w:val="26"/>
          <w:lang w:eastAsia="en-US"/>
        </w:rPr>
      </w:pPr>
    </w:p>
    <w:p w14:paraId="6DA9468A"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lastRenderedPageBreak/>
        <w:t>Impacto: Mayor número emisores y adquirentes</w:t>
      </w:r>
    </w:p>
    <w:p w14:paraId="12041898"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El nuevo esquema regulatorio ha permitido la presencia de más emisores y adquirentes, así como el desarrollo de los participantes enfocados a mejorar el acceso a los medios de pagos electrónicos:</w:t>
      </w:r>
    </w:p>
    <w:p w14:paraId="42302775" w14:textId="77777777" w:rsidR="00DD7DDB" w:rsidRPr="00DD7DDB" w:rsidRDefault="00DD7DDB" w:rsidP="002D3902">
      <w:pPr>
        <w:numPr>
          <w:ilvl w:val="0"/>
          <w:numId w:val="90"/>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El esquema de cobros con precios diferenciados por volumen representaba una barrera a la entrada.</w:t>
      </w:r>
    </w:p>
    <w:p w14:paraId="4C667BBC" w14:textId="77777777" w:rsidR="00DD7DDB" w:rsidRPr="00DD7DDB" w:rsidRDefault="00DD7DDB" w:rsidP="002D3902">
      <w:pPr>
        <w:numPr>
          <w:ilvl w:val="0"/>
          <w:numId w:val="90"/>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La regulación ha facilitado que en el último año se incorporen al menos 14 nuevos emisores, entre los cuales hay dos bancos, dos SOFOMES y 10 entidades del sistema de ahorro y crédito popular.</w:t>
      </w:r>
    </w:p>
    <w:p w14:paraId="12A5B909" w14:textId="065ABE96" w:rsidR="00DD7DDB" w:rsidRPr="00DD7DDB" w:rsidRDefault="00DD7DDB" w:rsidP="002D3902">
      <w:pPr>
        <w:numPr>
          <w:ilvl w:val="0"/>
          <w:numId w:val="90"/>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De igual forma, ya se encuentra operando un nuevo banco especializado en adquirencia</w:t>
      </w:r>
      <w:r w:rsidR="009E5D36">
        <w:rPr>
          <w:rFonts w:eastAsia="Calibri"/>
          <w:sz w:val="26"/>
          <w:szCs w:val="26"/>
          <w:lang w:eastAsia="en-US"/>
        </w:rPr>
        <w:t>,</w:t>
      </w:r>
      <w:r w:rsidRPr="00DD7DDB">
        <w:rPr>
          <w:rFonts w:eastAsia="Calibri"/>
          <w:sz w:val="26"/>
          <w:szCs w:val="26"/>
          <w:lang w:eastAsia="en-US"/>
        </w:rPr>
        <w:t xml:space="preserve"> el cual está afiliando pequeños comercios: misceláneas, voceadores, fondas, salones de belleza, refaccionarias, taxis, etcétera.</w:t>
      </w:r>
    </w:p>
    <w:p w14:paraId="7AB84AA9" w14:textId="77777777" w:rsidR="00DD7DDB" w:rsidRPr="00DD7DDB" w:rsidRDefault="00DD7DDB" w:rsidP="002D3902">
      <w:pPr>
        <w:numPr>
          <w:ilvl w:val="0"/>
          <w:numId w:val="90"/>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definió la figura de agregador para permitir el desarrollo de nuevas tecnologías y la especialización de servicios de recepción de pagos con tarjetas, lo cual ha contribuido a la afiliación de nuevos comercios.</w:t>
      </w:r>
    </w:p>
    <w:p w14:paraId="0B151EAC"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Impacto: Mayor número de comercios</w:t>
      </w:r>
    </w:p>
    <w:p w14:paraId="444667E7"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Los agregadores ofrecen a los comercios servicios de recepción de pagos y generalmente cobran una proporción del monto del pago sin rentas mensuales.</w:t>
      </w:r>
    </w:p>
    <w:p w14:paraId="5C0CE454"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lastRenderedPageBreak/>
        <w:drawing>
          <wp:inline distT="0" distB="0" distL="0" distR="0" wp14:anchorId="6883C7DA" wp14:editId="2296ED43">
            <wp:extent cx="4411465" cy="2510560"/>
            <wp:effectExtent l="0" t="0" r="8255" b="4445"/>
            <wp:docPr id="1587" name="Imagen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9" cstate="print">
                      <a:extLst>
                        <a:ext uri="{28A0092B-C50C-407E-A947-70E740481C1C}">
                          <a14:useLocalDpi xmlns:a14="http://schemas.microsoft.com/office/drawing/2010/main" val="0"/>
                        </a:ext>
                      </a:extLst>
                    </a:blip>
                    <a:srcRect l="1571" t="3562" r="1637" b="23223"/>
                    <a:stretch/>
                  </pic:blipFill>
                  <pic:spPr bwMode="auto">
                    <a:xfrm>
                      <a:off x="0" y="0"/>
                      <a:ext cx="4412986" cy="2511426"/>
                    </a:xfrm>
                    <a:prstGeom prst="rect">
                      <a:avLst/>
                    </a:prstGeom>
                    <a:noFill/>
                    <a:ln>
                      <a:noFill/>
                    </a:ln>
                    <a:extLst>
                      <a:ext uri="{53640926-AAD7-44D8-BBD7-CCE9431645EC}">
                        <a14:shadowObscured xmlns:a14="http://schemas.microsoft.com/office/drawing/2010/main"/>
                      </a:ext>
                    </a:extLst>
                  </pic:spPr>
                </pic:pic>
              </a:graphicData>
            </a:graphic>
          </wp:inline>
        </w:drawing>
      </w:r>
    </w:p>
    <w:p w14:paraId="75A05B6E"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El esquema de comisiones de los agregadores permite que los comercios que tienen una facturación mensual baja, paguen menos que si contrataran el servicio de aceptación de pagos con tarjeta con un banco.</w:t>
      </w:r>
    </w:p>
    <w:p w14:paraId="23E080E6" w14:textId="2F39E394" w:rsidR="00DD7DDB" w:rsidRPr="00DD7DDB" w:rsidRDefault="00975355" w:rsidP="00DD7DDB">
      <w:pPr>
        <w:spacing w:after="360" w:line="360" w:lineRule="auto"/>
        <w:ind w:right="-159"/>
        <w:jc w:val="center"/>
        <w:rPr>
          <w:rFonts w:eastAsia="Calibri"/>
          <w:sz w:val="26"/>
          <w:szCs w:val="26"/>
          <w:lang w:eastAsia="en-US"/>
        </w:rPr>
      </w:pPr>
      <w:r w:rsidRPr="00975355">
        <w:rPr>
          <w:rFonts w:ascii="Calibri" w:eastAsia="Calibri" w:hAnsi="Calibri"/>
          <w:noProof/>
          <w:sz w:val="22"/>
          <w:szCs w:val="22"/>
          <w:lang w:eastAsia="es-MX"/>
        </w:rPr>
        <w:drawing>
          <wp:inline distT="0" distB="0" distL="0" distR="0" wp14:anchorId="5ADC65BA" wp14:editId="54377CEA">
            <wp:extent cx="4558424" cy="2902761"/>
            <wp:effectExtent l="0" t="0" r="0" b="0"/>
            <wp:docPr id="1809" name="Imagen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0" cstate="print">
                      <a:extLst>
                        <a:ext uri="{28A0092B-C50C-407E-A947-70E740481C1C}">
                          <a14:useLocalDpi xmlns:a14="http://schemas.microsoft.com/office/drawing/2010/main" val="0"/>
                        </a:ext>
                      </a:extLst>
                    </a:blip>
                    <a:srcRect t="1106" b="14256"/>
                    <a:stretch/>
                  </pic:blipFill>
                  <pic:spPr bwMode="auto">
                    <a:xfrm>
                      <a:off x="0" y="0"/>
                      <a:ext cx="4559300" cy="2903319"/>
                    </a:xfrm>
                    <a:prstGeom prst="rect">
                      <a:avLst/>
                    </a:prstGeom>
                    <a:noFill/>
                    <a:ln>
                      <a:noFill/>
                    </a:ln>
                    <a:extLst>
                      <a:ext uri="{53640926-AAD7-44D8-BBD7-CCE9431645EC}">
                        <a14:shadowObscured xmlns:a14="http://schemas.microsoft.com/office/drawing/2010/main"/>
                      </a:ext>
                    </a:extLst>
                  </pic:spPr>
                </pic:pic>
              </a:graphicData>
            </a:graphic>
          </wp:inline>
        </w:drawing>
      </w:r>
    </w:p>
    <w:p w14:paraId="76BDCDCB"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regulación establece mejores condiciones para la entrada de nuevos participantes y el desarrollo de los existentes, principalmente en el mercado adquirente.</w:t>
      </w:r>
    </w:p>
    <w:p w14:paraId="6A8CE792"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presencia de los agregadores ha contribuido a ampliar los puntos de acceso.</w:t>
      </w:r>
    </w:p>
    <w:p w14:paraId="276EF095"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lastRenderedPageBreak/>
        <w:drawing>
          <wp:inline distT="0" distB="0" distL="0" distR="0" wp14:anchorId="7DC47F49" wp14:editId="76540D33">
            <wp:extent cx="4559037" cy="2342749"/>
            <wp:effectExtent l="0" t="0" r="0" b="635"/>
            <wp:docPr id="1589" name="Imagen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1" cstate="print">
                      <a:extLst>
                        <a:ext uri="{28A0092B-C50C-407E-A947-70E740481C1C}">
                          <a14:useLocalDpi xmlns:a14="http://schemas.microsoft.com/office/drawing/2010/main" val="0"/>
                        </a:ext>
                      </a:extLst>
                    </a:blip>
                    <a:srcRect t="1474" b="30225"/>
                    <a:stretch/>
                  </pic:blipFill>
                  <pic:spPr bwMode="auto">
                    <a:xfrm>
                      <a:off x="0" y="0"/>
                      <a:ext cx="4559300" cy="2342884"/>
                    </a:xfrm>
                    <a:prstGeom prst="rect">
                      <a:avLst/>
                    </a:prstGeom>
                    <a:noFill/>
                    <a:ln>
                      <a:noFill/>
                    </a:ln>
                    <a:extLst>
                      <a:ext uri="{53640926-AAD7-44D8-BBD7-CCE9431645EC}">
                        <a14:shadowObscured xmlns:a14="http://schemas.microsoft.com/office/drawing/2010/main"/>
                      </a:ext>
                    </a:extLst>
                  </pic:spPr>
                </pic:pic>
              </a:graphicData>
            </a:graphic>
          </wp:inline>
        </w:drawing>
      </w:r>
    </w:p>
    <w:p w14:paraId="1BEF1068"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Impacto: Más pagos de bajo monto</w:t>
      </w:r>
    </w:p>
    <w:p w14:paraId="3D55326F" w14:textId="585A97D5"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Las reducciones en costos de procesamiento por parte de las cámaras de compensación han hecho viables las transacciones por montos bajos y</w:t>
      </w:r>
      <w:r w:rsidR="009E5D36">
        <w:rPr>
          <w:rFonts w:eastAsia="Calibri"/>
          <w:sz w:val="26"/>
          <w:szCs w:val="26"/>
          <w:lang w:eastAsia="en-US"/>
        </w:rPr>
        <w:t>,</w:t>
      </w:r>
      <w:r w:rsidRPr="00DD7DDB">
        <w:rPr>
          <w:rFonts w:eastAsia="Calibri"/>
          <w:sz w:val="26"/>
          <w:szCs w:val="26"/>
          <w:lang w:eastAsia="en-US"/>
        </w:rPr>
        <w:t xml:space="preserve"> por lo tanto, hoy es factible afiliar comercios pequeños y medianos.</w:t>
      </w:r>
    </w:p>
    <w:p w14:paraId="087C9F33" w14:textId="77777777" w:rsidR="00DD7DDB" w:rsidRPr="00DD7DDB" w:rsidRDefault="00DD7DDB" w:rsidP="002D3902">
      <w:pPr>
        <w:numPr>
          <w:ilvl w:val="0"/>
          <w:numId w:val="91"/>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Durante el último año, se ha observado que la distribución del monto de pagos con tarjeta se empieza a desplazar a la izquierda.</w:t>
      </w:r>
    </w:p>
    <w:p w14:paraId="2FF416F5" w14:textId="77777777" w:rsidR="00DD7DDB" w:rsidRPr="00DD7DDB" w:rsidRDefault="00DD7DDB" w:rsidP="002D3902">
      <w:pPr>
        <w:numPr>
          <w:ilvl w:val="0"/>
          <w:numId w:val="91"/>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En 2014, el 23% de los pagos con tarjeta de débito eran menores a 50 pesos</w:t>
      </w:r>
    </w:p>
    <w:p w14:paraId="42218E05"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drawing>
          <wp:inline distT="0" distB="0" distL="0" distR="0" wp14:anchorId="118B5D22" wp14:editId="2A80A1B7">
            <wp:extent cx="4558824" cy="2325779"/>
            <wp:effectExtent l="0" t="0" r="0" b="0"/>
            <wp:docPr id="1590" name="Imagen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2" cstate="print">
                      <a:extLst>
                        <a:ext uri="{28A0092B-C50C-407E-A947-70E740481C1C}">
                          <a14:useLocalDpi xmlns:a14="http://schemas.microsoft.com/office/drawing/2010/main" val="0"/>
                        </a:ext>
                      </a:extLst>
                    </a:blip>
                    <a:srcRect t="2580" b="29611"/>
                    <a:stretch/>
                  </pic:blipFill>
                  <pic:spPr bwMode="auto">
                    <a:xfrm>
                      <a:off x="0" y="0"/>
                      <a:ext cx="4559300" cy="2326022"/>
                    </a:xfrm>
                    <a:prstGeom prst="rect">
                      <a:avLst/>
                    </a:prstGeom>
                    <a:noFill/>
                    <a:ln>
                      <a:noFill/>
                    </a:ln>
                    <a:extLst>
                      <a:ext uri="{53640926-AAD7-44D8-BBD7-CCE9431645EC}">
                        <a14:shadowObscured xmlns:a14="http://schemas.microsoft.com/office/drawing/2010/main"/>
                      </a:ext>
                    </a:extLst>
                  </pic:spPr>
                </pic:pic>
              </a:graphicData>
            </a:graphic>
          </wp:inline>
        </w:drawing>
      </w:r>
    </w:p>
    <w:p w14:paraId="1C522791"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lastRenderedPageBreak/>
        <w:t>Impacto: Menores comisiones (tasas de descuento)</w:t>
      </w:r>
    </w:p>
    <w:p w14:paraId="16C49FAC"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mayor oferta de servicios de adquirencia y la reducción en costos de las cámaras de compensación, han contribuido a reducciones en las tasas de descuento.</w:t>
      </w:r>
    </w:p>
    <w:p w14:paraId="102E5397" w14:textId="320D39E0" w:rsidR="00DD7DDB" w:rsidRPr="00DD7DDB" w:rsidRDefault="00975355" w:rsidP="00DD7DDB">
      <w:pPr>
        <w:spacing w:after="360" w:line="360" w:lineRule="auto"/>
        <w:ind w:right="-159"/>
        <w:jc w:val="center"/>
        <w:rPr>
          <w:rFonts w:eastAsia="Calibri"/>
          <w:sz w:val="26"/>
          <w:szCs w:val="26"/>
          <w:lang w:eastAsia="en-US"/>
        </w:rPr>
      </w:pPr>
      <w:r w:rsidRPr="00975355">
        <w:rPr>
          <w:rFonts w:ascii="Calibri" w:eastAsia="Calibri" w:hAnsi="Calibri"/>
          <w:noProof/>
          <w:sz w:val="22"/>
          <w:szCs w:val="22"/>
          <w:lang w:eastAsia="es-MX"/>
        </w:rPr>
        <w:drawing>
          <wp:inline distT="0" distB="0" distL="0" distR="0" wp14:anchorId="40720AEF" wp14:editId="721A5461">
            <wp:extent cx="4558204" cy="2700421"/>
            <wp:effectExtent l="0" t="0" r="0" b="5080"/>
            <wp:docPr id="1808" name="Imagen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3" cstate="print">
                      <a:extLst>
                        <a:ext uri="{28A0092B-C50C-407E-A947-70E740481C1C}">
                          <a14:useLocalDpi xmlns:a14="http://schemas.microsoft.com/office/drawing/2010/main" val="0"/>
                        </a:ext>
                      </a:extLst>
                    </a:blip>
                    <a:srcRect l="-10" t="615" r="10" b="20644"/>
                    <a:stretch/>
                  </pic:blipFill>
                  <pic:spPr bwMode="auto">
                    <a:xfrm>
                      <a:off x="0" y="0"/>
                      <a:ext cx="4559300" cy="2701070"/>
                    </a:xfrm>
                    <a:prstGeom prst="rect">
                      <a:avLst/>
                    </a:prstGeom>
                    <a:noFill/>
                    <a:ln>
                      <a:noFill/>
                    </a:ln>
                    <a:extLst>
                      <a:ext uri="{53640926-AAD7-44D8-BBD7-CCE9431645EC}">
                        <a14:shadowObscured xmlns:a14="http://schemas.microsoft.com/office/drawing/2010/main"/>
                      </a:ext>
                    </a:extLst>
                  </pic:spPr>
                </pic:pic>
              </a:graphicData>
            </a:graphic>
          </wp:inline>
        </w:drawing>
      </w:r>
    </w:p>
    <w:p w14:paraId="5C4993FB" w14:textId="77777777" w:rsidR="00DD7DDB" w:rsidRPr="00DD7DDB" w:rsidRDefault="00DD7DDB" w:rsidP="009940FA">
      <w:pPr>
        <w:numPr>
          <w:ilvl w:val="0"/>
          <w:numId w:val="82"/>
        </w:numPr>
        <w:spacing w:after="360" w:line="360" w:lineRule="auto"/>
        <w:ind w:left="357" w:right="-159" w:hanging="357"/>
        <w:jc w:val="both"/>
        <w:rPr>
          <w:rFonts w:eastAsia="Calibri"/>
          <w:b/>
          <w:sz w:val="26"/>
          <w:szCs w:val="26"/>
          <w:lang w:eastAsia="en-US"/>
        </w:rPr>
      </w:pPr>
      <w:r w:rsidRPr="00DD7DDB">
        <w:rPr>
          <w:rFonts w:eastAsia="Calibri"/>
          <w:b/>
          <w:sz w:val="26"/>
          <w:szCs w:val="26"/>
          <w:lang w:eastAsia="en-US"/>
        </w:rPr>
        <w:t>Retiros de efectivo con tarjetas: Acciones</w:t>
      </w:r>
    </w:p>
    <w:p w14:paraId="0DBEF302"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En octubre de 2014, conforme a lo dispuesto por la Reforma Financiera, el Banco de México modificó su regulación para permitir a los bancos la celebración de convenios para compartir sus infraestructuras de cajeros automáticos. Estos convenios buscan:</w:t>
      </w:r>
    </w:p>
    <w:p w14:paraId="717D39A3" w14:textId="77777777" w:rsidR="00DD7DDB" w:rsidRPr="00DD7DDB" w:rsidRDefault="00DD7DDB" w:rsidP="002D3902">
      <w:pPr>
        <w:numPr>
          <w:ilvl w:val="0"/>
          <w:numId w:val="92"/>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Mayor eficiencia en el uso de la red de cajeros automáticos.</w:t>
      </w:r>
    </w:p>
    <w:p w14:paraId="6C191EF8" w14:textId="77777777" w:rsidR="00DD7DDB" w:rsidRPr="00DD7DDB" w:rsidRDefault="00DD7DDB" w:rsidP="002D3902">
      <w:pPr>
        <w:numPr>
          <w:ilvl w:val="0"/>
          <w:numId w:val="92"/>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Mayor competencia, al facilitar a los bancos de menor escala aliarse para compartir su red de cajeros y lograr una mayor cobertura.</w:t>
      </w:r>
    </w:p>
    <w:p w14:paraId="1AC5FA92" w14:textId="77777777" w:rsidR="00DD7DDB" w:rsidRPr="00DD7DDB" w:rsidRDefault="00DD7DDB" w:rsidP="002D3902">
      <w:pPr>
        <w:numPr>
          <w:ilvl w:val="0"/>
          <w:numId w:val="92"/>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Reducir a los tarjetahabientes las comisiones por retiro de efectivo cuando utilizan cajeros de los bancos que son parte del convenio.</w:t>
      </w:r>
    </w:p>
    <w:p w14:paraId="29946192" w14:textId="77777777" w:rsidR="007846AF" w:rsidRDefault="007846AF" w:rsidP="00DD7DDB">
      <w:pPr>
        <w:spacing w:after="360" w:line="360" w:lineRule="auto"/>
        <w:ind w:right="-159"/>
        <w:jc w:val="both"/>
        <w:rPr>
          <w:rFonts w:eastAsia="Calibri"/>
          <w:b/>
          <w:sz w:val="26"/>
          <w:szCs w:val="26"/>
          <w:lang w:eastAsia="en-US"/>
        </w:rPr>
      </w:pPr>
    </w:p>
    <w:p w14:paraId="382A6ADD"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lastRenderedPageBreak/>
        <w:t>Acciones: UbiCajeros</w:t>
      </w:r>
    </w:p>
    <w:p w14:paraId="4E526020"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En este año, el Banco de México llevó a cabo mejoras a su aplicación para teléfonos móviles e Internet para localizar los cajeros automáticos cercanos e informar el monto de la comisión por retiro.</w:t>
      </w:r>
    </w:p>
    <w:p w14:paraId="493E7C2C"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drawing>
          <wp:inline distT="0" distB="0" distL="0" distR="0" wp14:anchorId="70F7A69D" wp14:editId="67BFCF3E">
            <wp:extent cx="4558452" cy="2017948"/>
            <wp:effectExtent l="0" t="0" r="0" b="1905"/>
            <wp:docPr id="1596" name="Imagen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4" cstate="print">
                      <a:extLst>
                        <a:ext uri="{28A0092B-C50C-407E-A947-70E740481C1C}">
                          <a14:useLocalDpi xmlns:a14="http://schemas.microsoft.com/office/drawing/2010/main" val="0"/>
                        </a:ext>
                      </a:extLst>
                    </a:blip>
                    <a:srcRect t="15481" b="25680"/>
                    <a:stretch/>
                  </pic:blipFill>
                  <pic:spPr bwMode="auto">
                    <a:xfrm>
                      <a:off x="0" y="0"/>
                      <a:ext cx="4559300" cy="2018323"/>
                    </a:xfrm>
                    <a:prstGeom prst="rect">
                      <a:avLst/>
                    </a:prstGeom>
                    <a:noFill/>
                    <a:ln>
                      <a:noFill/>
                    </a:ln>
                    <a:extLst>
                      <a:ext uri="{53640926-AAD7-44D8-BBD7-CCE9431645EC}">
                        <a14:shadowObscured xmlns:a14="http://schemas.microsoft.com/office/drawing/2010/main"/>
                      </a:ext>
                    </a:extLst>
                  </pic:spPr>
                </pic:pic>
              </a:graphicData>
            </a:graphic>
          </wp:inline>
        </w:drawing>
      </w:r>
    </w:p>
    <w:p w14:paraId="7D2E87EF"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Impacto: Menores comisiones por retiro</w:t>
      </w:r>
    </w:p>
    <w:p w14:paraId="7D21E7DD"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Los convenios están redituando en menores comisiones para los clientes.</w:t>
      </w:r>
    </w:p>
    <w:p w14:paraId="18C8F5DC" w14:textId="77777777" w:rsidR="00DD7DDB" w:rsidRPr="00DD7DDB" w:rsidRDefault="00DD7DDB" w:rsidP="002D3902">
      <w:pPr>
        <w:numPr>
          <w:ilvl w:val="0"/>
          <w:numId w:val="93"/>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han autorizado tres convenios.</w:t>
      </w:r>
    </w:p>
    <w:p w14:paraId="708CB40A" w14:textId="77777777" w:rsidR="00DD7DDB" w:rsidRPr="00DD7DDB" w:rsidRDefault="00DD7DDB" w:rsidP="002D3902">
      <w:pPr>
        <w:numPr>
          <w:ilvl w:val="0"/>
          <w:numId w:val="93"/>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Otro convenio para compartir cajeros y sucursales está en proceso de autorización.</w:t>
      </w:r>
    </w:p>
    <w:p w14:paraId="60E3C989" w14:textId="77777777" w:rsidR="00DD7DDB" w:rsidRPr="00DD7DDB" w:rsidRDefault="00DD7DDB" w:rsidP="002D3902">
      <w:pPr>
        <w:numPr>
          <w:ilvl w:val="0"/>
          <w:numId w:val="93"/>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titulares de casi 4.5 millones de tarjetas se beneficiarán de la eliminación de comisiones por retiros en bancos del convenio (hoy las comisiones alcanzan los 30 pesos).</w:t>
      </w:r>
    </w:p>
    <w:p w14:paraId="1DB767CF"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lastRenderedPageBreak/>
        <w:drawing>
          <wp:inline distT="0" distB="0" distL="0" distR="0" wp14:anchorId="447E6141" wp14:editId="3F65CB63">
            <wp:extent cx="4559208" cy="2738931"/>
            <wp:effectExtent l="0" t="0" r="0" b="4445"/>
            <wp:docPr id="1670" name="Imagen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5" cstate="print">
                      <a:extLst>
                        <a:ext uri="{28A0092B-C50C-407E-A947-70E740481C1C}">
                          <a14:useLocalDpi xmlns:a14="http://schemas.microsoft.com/office/drawing/2010/main" val="0"/>
                        </a:ext>
                      </a:extLst>
                    </a:blip>
                    <a:srcRect t="1105" b="19047"/>
                    <a:stretch/>
                  </pic:blipFill>
                  <pic:spPr bwMode="auto">
                    <a:xfrm>
                      <a:off x="0" y="0"/>
                      <a:ext cx="4559300" cy="2738986"/>
                    </a:xfrm>
                    <a:prstGeom prst="rect">
                      <a:avLst/>
                    </a:prstGeom>
                    <a:noFill/>
                    <a:ln>
                      <a:noFill/>
                    </a:ln>
                    <a:extLst>
                      <a:ext uri="{53640926-AAD7-44D8-BBD7-CCE9431645EC}">
                        <a14:shadowObscured xmlns:a14="http://schemas.microsoft.com/office/drawing/2010/main"/>
                      </a:ext>
                    </a:extLst>
                  </pic:spPr>
                </pic:pic>
              </a:graphicData>
            </a:graphic>
          </wp:inline>
        </w:drawing>
      </w:r>
    </w:p>
    <w:p w14:paraId="20163E47"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Medidas adicionales: Más puntos de atención</w:t>
      </w:r>
    </w:p>
    <w:p w14:paraId="105FE79D"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El crecimiento del número de retiros de efectivo presentó tasas altas, impulsado en parte por el incremento de 16.2 mil puntos de acceso registrados en los últimos dos años, tanto en el número de cajeros automáticos (2 mil 800), como por el de otros puntos de atención alternativos como las cajas de comercios (400) y los comisionistas bancarios (13 mil disponibles desde marzo de 2015).</w:t>
      </w:r>
    </w:p>
    <w:p w14:paraId="4A451FE4"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Estos puntos de acceso alternativos representan un potencial de crecimiento importante y son una fuente de competencia a la infraestructura tradicional. Por lo anterior, el marco regulatorio está en proceso de adecuación para fomentar condiciones que permitan a este mercado continuar creciendo.</w:t>
      </w:r>
    </w:p>
    <w:p w14:paraId="58E54DF6" w14:textId="4C166A6A" w:rsidR="00DD7DDB" w:rsidRPr="00DD7DDB" w:rsidRDefault="00975355" w:rsidP="00DD7DDB">
      <w:pPr>
        <w:spacing w:after="360" w:line="360" w:lineRule="auto"/>
        <w:ind w:right="-159"/>
        <w:jc w:val="center"/>
        <w:rPr>
          <w:rFonts w:eastAsia="Calibri"/>
          <w:sz w:val="26"/>
          <w:szCs w:val="26"/>
          <w:lang w:eastAsia="en-US"/>
        </w:rPr>
      </w:pPr>
      <w:r w:rsidRPr="00975355">
        <w:rPr>
          <w:rFonts w:ascii="Calibri" w:eastAsia="Calibri" w:hAnsi="Calibri"/>
          <w:noProof/>
          <w:sz w:val="22"/>
          <w:szCs w:val="22"/>
          <w:lang w:eastAsia="es-MX"/>
        </w:rPr>
        <w:lastRenderedPageBreak/>
        <w:drawing>
          <wp:inline distT="0" distB="0" distL="0" distR="0" wp14:anchorId="12FD3B94" wp14:editId="17E352CB">
            <wp:extent cx="4559300" cy="2494584"/>
            <wp:effectExtent l="0" t="0" r="0" b="1270"/>
            <wp:docPr id="1810" name="Imagen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6" cstate="print">
                      <a:extLst>
                        <a:ext uri="{28A0092B-C50C-407E-A947-70E740481C1C}">
                          <a14:useLocalDpi xmlns:a14="http://schemas.microsoft.com/office/drawing/2010/main" val="0"/>
                        </a:ext>
                      </a:extLst>
                    </a:blip>
                    <a:srcRect b="27277"/>
                    <a:stretch/>
                  </pic:blipFill>
                  <pic:spPr bwMode="auto">
                    <a:xfrm>
                      <a:off x="0" y="0"/>
                      <a:ext cx="4559300" cy="2494584"/>
                    </a:xfrm>
                    <a:prstGeom prst="rect">
                      <a:avLst/>
                    </a:prstGeom>
                    <a:noFill/>
                    <a:ln>
                      <a:noFill/>
                    </a:ln>
                    <a:extLst>
                      <a:ext uri="{53640926-AAD7-44D8-BBD7-CCE9431645EC}">
                        <a14:shadowObscured xmlns:a14="http://schemas.microsoft.com/office/drawing/2010/main"/>
                      </a:ext>
                    </a:extLst>
                  </pic:spPr>
                </pic:pic>
              </a:graphicData>
            </a:graphic>
          </wp:inline>
        </w:drawing>
      </w:r>
    </w:p>
    <w:p w14:paraId="6FECB1ED"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Medidas adicionales: Mayor uso de infraestructura alternativa</w:t>
      </w:r>
    </w:p>
    <w:p w14:paraId="6672CFF3"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Dado el crecimiento de las operaciones de retiro de efectivo en comercios, “cash back”, y los beneficios que generan a los consumidores, el Banco de México, en coordinación con la CNBV, impulsará cambios en la regulación a finales del año para fortalecer su crecimiento. Estas operaciones han permitido:</w:t>
      </w:r>
    </w:p>
    <w:p w14:paraId="5DA08B0C" w14:textId="77777777" w:rsidR="00DD7DDB" w:rsidRPr="00DD7DDB" w:rsidRDefault="00DD7DDB" w:rsidP="002D3902">
      <w:pPr>
        <w:numPr>
          <w:ilvl w:val="0"/>
          <w:numId w:val="94"/>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Un crecimiento acelerado de alrededor de 25% anual entre 2009 y 2014.</w:t>
      </w:r>
    </w:p>
    <w:p w14:paraId="7303292B" w14:textId="77777777" w:rsidR="00DD7DDB" w:rsidRPr="00DD7DDB" w:rsidRDefault="00DD7DDB" w:rsidP="002D3902">
      <w:pPr>
        <w:numPr>
          <w:ilvl w:val="0"/>
          <w:numId w:val="94"/>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Ampliar significativamente los puntos para retirar efectivo.</w:t>
      </w:r>
    </w:p>
    <w:p w14:paraId="5B4F4058" w14:textId="77777777" w:rsidR="00DD7DDB" w:rsidRPr="00DD7DDB" w:rsidRDefault="00DD7DDB" w:rsidP="002D3902">
      <w:pPr>
        <w:numPr>
          <w:ilvl w:val="0"/>
          <w:numId w:val="94"/>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Reducir costos, ya que las comisiones que cobran son muy inferiores a las de los cajeros automáticos (de 0 a 5 pesos contra un promedio de 24.5 pesos en cajeros automáticos).</w:t>
      </w:r>
    </w:p>
    <w:p w14:paraId="0A645533" w14:textId="77777777" w:rsidR="00DD7DDB" w:rsidRPr="00DD7DDB" w:rsidRDefault="00DD7DDB" w:rsidP="00DD7DDB">
      <w:pPr>
        <w:spacing w:after="360" w:line="360" w:lineRule="auto"/>
        <w:ind w:right="-159"/>
        <w:jc w:val="center"/>
        <w:rPr>
          <w:rFonts w:eastAsia="Calibri"/>
          <w:sz w:val="26"/>
          <w:szCs w:val="26"/>
          <w:lang w:eastAsia="en-US"/>
        </w:rPr>
      </w:pPr>
      <w:r w:rsidRPr="00DD7DDB">
        <w:rPr>
          <w:rFonts w:ascii="Calibri" w:eastAsia="Calibri" w:hAnsi="Calibri"/>
          <w:noProof/>
          <w:sz w:val="22"/>
          <w:szCs w:val="22"/>
          <w:lang w:eastAsia="es-MX"/>
        </w:rPr>
        <w:lastRenderedPageBreak/>
        <w:drawing>
          <wp:inline distT="0" distB="0" distL="0" distR="0" wp14:anchorId="1DAF1955" wp14:editId="616BA1D3">
            <wp:extent cx="4558966" cy="2081474"/>
            <wp:effectExtent l="0" t="0" r="0" b="0"/>
            <wp:docPr id="1672" name="Imagen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7" cstate="print">
                      <a:extLst>
                        <a:ext uri="{28A0092B-C50C-407E-A947-70E740481C1C}">
                          <a14:useLocalDpi xmlns:a14="http://schemas.microsoft.com/office/drawing/2010/main" val="0"/>
                        </a:ext>
                      </a:extLst>
                    </a:blip>
                    <a:srcRect t="982" b="38334"/>
                    <a:stretch/>
                  </pic:blipFill>
                  <pic:spPr bwMode="auto">
                    <a:xfrm>
                      <a:off x="0" y="0"/>
                      <a:ext cx="4559300" cy="2081627"/>
                    </a:xfrm>
                    <a:prstGeom prst="rect">
                      <a:avLst/>
                    </a:prstGeom>
                    <a:noFill/>
                    <a:ln>
                      <a:noFill/>
                    </a:ln>
                    <a:extLst>
                      <a:ext uri="{53640926-AAD7-44D8-BBD7-CCE9431645EC}">
                        <a14:shadowObscured xmlns:a14="http://schemas.microsoft.com/office/drawing/2010/main"/>
                      </a:ext>
                    </a:extLst>
                  </pic:spPr>
                </pic:pic>
              </a:graphicData>
            </a:graphic>
          </wp:inline>
        </w:drawing>
      </w:r>
    </w:p>
    <w:p w14:paraId="46254837" w14:textId="77777777" w:rsidR="00DD7DDB" w:rsidRPr="00DD7DDB" w:rsidRDefault="00DD7DDB" w:rsidP="009E5D36">
      <w:pPr>
        <w:numPr>
          <w:ilvl w:val="0"/>
          <w:numId w:val="82"/>
        </w:numPr>
        <w:spacing w:after="360" w:line="360" w:lineRule="auto"/>
        <w:ind w:left="357" w:right="-159" w:hanging="357"/>
        <w:jc w:val="both"/>
        <w:rPr>
          <w:rFonts w:eastAsia="Calibri"/>
          <w:b/>
          <w:sz w:val="26"/>
          <w:szCs w:val="26"/>
          <w:lang w:eastAsia="en-US"/>
        </w:rPr>
      </w:pPr>
      <w:r w:rsidRPr="00DD7DDB">
        <w:rPr>
          <w:rFonts w:eastAsia="Calibri"/>
          <w:b/>
          <w:sz w:val="26"/>
          <w:szCs w:val="26"/>
          <w:lang w:eastAsia="en-US"/>
        </w:rPr>
        <w:t>Pagos móviles</w:t>
      </w:r>
    </w:p>
    <w:p w14:paraId="1F5032C9"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b/>
          <w:sz w:val="26"/>
          <w:szCs w:val="26"/>
          <w:lang w:eastAsia="en-US"/>
        </w:rPr>
        <w:t>Acciones</w:t>
      </w:r>
    </w:p>
    <w:p w14:paraId="62B90376" w14:textId="0EE446B2"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Para aprovechar el potencial que tienen los dispositivos móviles para realizar pagos, en 2014</w:t>
      </w:r>
      <w:r w:rsidR="009E5D36">
        <w:rPr>
          <w:rFonts w:eastAsia="Calibri"/>
          <w:sz w:val="26"/>
          <w:szCs w:val="26"/>
          <w:lang w:eastAsia="en-US"/>
        </w:rPr>
        <w:t>,</w:t>
      </w:r>
      <w:r w:rsidRPr="00DD7DDB">
        <w:rPr>
          <w:rFonts w:eastAsia="Calibri"/>
          <w:sz w:val="26"/>
          <w:szCs w:val="26"/>
          <w:lang w:eastAsia="en-US"/>
        </w:rPr>
        <w:t xml:space="preserve"> el Banco de México emitió regulación para promover las transferencias a través de dichos dispositivos.</w:t>
      </w:r>
    </w:p>
    <w:p w14:paraId="6EC6B9C7"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nueva regulación sienta bases sólidas para el sano desarrollo del servicio de pagos móviles.</w:t>
      </w:r>
    </w:p>
    <w:p w14:paraId="58D2076B" w14:textId="77777777" w:rsidR="00DD7DDB" w:rsidRPr="00DD7DDB" w:rsidRDefault="00DD7DDB" w:rsidP="002D3902">
      <w:pPr>
        <w:numPr>
          <w:ilvl w:val="0"/>
          <w:numId w:val="9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establece el SPEI como mecanismo de interconexión para asegurar la interoperabilidad del sistema.</w:t>
      </w:r>
    </w:p>
    <w:p w14:paraId="0C738517" w14:textId="77777777" w:rsidR="00DD7DDB" w:rsidRPr="00DD7DDB" w:rsidRDefault="00DD7DDB" w:rsidP="002D3902">
      <w:pPr>
        <w:numPr>
          <w:ilvl w:val="0"/>
          <w:numId w:val="9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requiere que los participantes que ofrecen el servicio de pagos móviles lo hagan de manera sencilla, económica, en horarios amplios y en pocos segundos.</w:t>
      </w:r>
    </w:p>
    <w:p w14:paraId="46C58870" w14:textId="77777777" w:rsidR="00DD7DDB" w:rsidRPr="00DD7DDB" w:rsidRDefault="00DD7DDB" w:rsidP="002D3902">
      <w:pPr>
        <w:numPr>
          <w:ilvl w:val="0"/>
          <w:numId w:val="9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establecen requisitos para la autorización y operación de las cámaras de compensación para pagos móviles.</w:t>
      </w:r>
    </w:p>
    <w:p w14:paraId="7B1FCAF8" w14:textId="77777777" w:rsidR="00AF7C3F" w:rsidRDefault="00AF7C3F" w:rsidP="00DD7DDB">
      <w:pPr>
        <w:spacing w:after="360" w:line="360" w:lineRule="auto"/>
        <w:ind w:right="-159"/>
        <w:jc w:val="both"/>
        <w:rPr>
          <w:rFonts w:eastAsia="Calibri"/>
          <w:b/>
          <w:sz w:val="26"/>
          <w:szCs w:val="26"/>
          <w:lang w:eastAsia="en-US"/>
        </w:rPr>
      </w:pPr>
    </w:p>
    <w:p w14:paraId="23101CA9"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lastRenderedPageBreak/>
        <w:t>Impacto: Mejores condiciones de competencia</w:t>
      </w:r>
    </w:p>
    <w:p w14:paraId="3C284F6B"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regulación propicia mejores condiciones de competencia.</w:t>
      </w:r>
    </w:p>
    <w:p w14:paraId="717B9568" w14:textId="77777777" w:rsidR="00DD7DDB" w:rsidRPr="00DD7DDB" w:rsidRDefault="00DD7DDB" w:rsidP="002D3902">
      <w:pPr>
        <w:numPr>
          <w:ilvl w:val="0"/>
          <w:numId w:val="9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Ya se tiene autorizada una cámara de compensación de transferencias a través de dispositivos móviles (marzo de 2015) y otra entidad más se encuentra en proceso.</w:t>
      </w:r>
    </w:p>
    <w:p w14:paraId="2D1FB94F" w14:textId="77777777" w:rsidR="00DD7DDB" w:rsidRPr="00DD7DDB" w:rsidRDefault="00DD7DDB" w:rsidP="002D3902">
      <w:pPr>
        <w:numPr>
          <w:ilvl w:val="0"/>
          <w:numId w:val="9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bancos que proveen el servicio de pagos móviles pueden ofrecer a sus clientes acreditar cualquier cuenta de depósito del sistema bancario.</w:t>
      </w:r>
    </w:p>
    <w:p w14:paraId="3514CF5C" w14:textId="77777777" w:rsidR="00DD7DDB" w:rsidRPr="00DD7DDB" w:rsidRDefault="00DD7DDB" w:rsidP="002D3902">
      <w:pPr>
        <w:numPr>
          <w:ilvl w:val="0"/>
          <w:numId w:val="9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bancos deben ofrecer la misma calidad de servicio para transferencias mismo banco e interbancarias.</w:t>
      </w:r>
    </w:p>
    <w:p w14:paraId="7A63D715" w14:textId="77777777" w:rsidR="00DD7DDB" w:rsidRPr="00DD7DDB" w:rsidRDefault="00DD7DDB" w:rsidP="002D3902">
      <w:pPr>
        <w:numPr>
          <w:ilvl w:val="0"/>
          <w:numId w:val="9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aprovechan las economías de red, y</w:t>
      </w:r>
    </w:p>
    <w:p w14:paraId="633F3896" w14:textId="77777777" w:rsidR="00DD7DDB" w:rsidRPr="00DD7DDB" w:rsidRDefault="00DD7DDB" w:rsidP="002D3902">
      <w:pPr>
        <w:numPr>
          <w:ilvl w:val="0"/>
          <w:numId w:val="9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mitiga el riesgo de que se generen prácticas anticompetitivas.</w:t>
      </w:r>
    </w:p>
    <w:p w14:paraId="0B6ACB5B" w14:textId="77777777" w:rsidR="00DD7DDB" w:rsidRPr="00DD7DDB" w:rsidRDefault="00DD7DDB" w:rsidP="00DD7DDB">
      <w:pPr>
        <w:spacing w:after="360" w:line="360" w:lineRule="auto"/>
        <w:ind w:right="-159"/>
        <w:jc w:val="both"/>
        <w:rPr>
          <w:rFonts w:eastAsia="Calibri"/>
          <w:b/>
          <w:sz w:val="26"/>
          <w:szCs w:val="26"/>
          <w:lang w:eastAsia="en-US"/>
        </w:rPr>
      </w:pPr>
      <w:r w:rsidRPr="00DD7DDB">
        <w:rPr>
          <w:rFonts w:eastAsia="Calibri"/>
          <w:b/>
          <w:sz w:val="26"/>
          <w:szCs w:val="26"/>
          <w:lang w:eastAsia="en-US"/>
        </w:rPr>
        <w:t>Impacto: Más y mejores servicios para los clientes</w:t>
      </w:r>
    </w:p>
    <w:p w14:paraId="1B081503"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regulación propicia servicios de pagos móviles más convenientes.</w:t>
      </w:r>
    </w:p>
    <w:p w14:paraId="201ADB59" w14:textId="77777777" w:rsidR="00DD7DDB" w:rsidRPr="00DD7DDB" w:rsidRDefault="00DD7DDB" w:rsidP="002D3902">
      <w:pPr>
        <w:numPr>
          <w:ilvl w:val="0"/>
          <w:numId w:val="9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cuentahabientes ya pueden solicitar a su banco identificar sus cuentas de depósito con los números de su teléfono celular.</w:t>
      </w:r>
    </w:p>
    <w:p w14:paraId="415DB535" w14:textId="77777777" w:rsidR="00DD7DDB" w:rsidRPr="00DD7DDB" w:rsidRDefault="00DD7DDB" w:rsidP="002D3902">
      <w:pPr>
        <w:numPr>
          <w:ilvl w:val="0"/>
          <w:numId w:val="9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pagos móviles deben ser fáciles de realizar sin importar el banco del beneficiario.</w:t>
      </w:r>
    </w:p>
    <w:p w14:paraId="42FD7DDB" w14:textId="77777777" w:rsidR="00DD7DDB" w:rsidRPr="00DD7DDB" w:rsidRDefault="00DD7DDB" w:rsidP="002D3902">
      <w:pPr>
        <w:numPr>
          <w:ilvl w:val="0"/>
          <w:numId w:val="9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Los horarios para realizarlos son 20 x 7 (24 x 7 en noviembre de 2015).</w:t>
      </w:r>
    </w:p>
    <w:p w14:paraId="11D21EF7" w14:textId="77777777" w:rsidR="00DD7DDB" w:rsidRPr="00DD7DDB" w:rsidRDefault="00DD7DDB" w:rsidP="002D3902">
      <w:pPr>
        <w:numPr>
          <w:ilvl w:val="0"/>
          <w:numId w:val="9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Deben completarse en menos de 15 segundos.</w:t>
      </w:r>
    </w:p>
    <w:p w14:paraId="44FAAC7E" w14:textId="77777777" w:rsidR="00DD7DDB" w:rsidRPr="00DD7DDB" w:rsidRDefault="00DD7DDB" w:rsidP="002D3902">
      <w:pPr>
        <w:numPr>
          <w:ilvl w:val="0"/>
          <w:numId w:val="97"/>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lastRenderedPageBreak/>
        <w:t>Los costos de las transferencias son bajos.</w:t>
      </w:r>
    </w:p>
    <w:p w14:paraId="5FB8318B" w14:textId="66185CAE" w:rsidR="00DD7DDB" w:rsidRPr="00DD7DDB" w:rsidRDefault="00DD7DDB" w:rsidP="009E5D36">
      <w:pPr>
        <w:numPr>
          <w:ilvl w:val="0"/>
          <w:numId w:val="76"/>
        </w:numPr>
        <w:spacing w:after="360" w:line="360" w:lineRule="auto"/>
        <w:ind w:left="357" w:right="-159" w:hanging="357"/>
        <w:jc w:val="both"/>
        <w:rPr>
          <w:rFonts w:eastAsia="Calibri"/>
          <w:b/>
          <w:sz w:val="26"/>
          <w:szCs w:val="26"/>
          <w:lang w:eastAsia="en-US"/>
        </w:rPr>
      </w:pPr>
      <w:r w:rsidRPr="00DD7DDB">
        <w:rPr>
          <w:rFonts w:eastAsia="Calibri"/>
          <w:b/>
          <w:sz w:val="26"/>
          <w:szCs w:val="26"/>
          <w:lang w:eastAsia="en-US"/>
        </w:rPr>
        <w:t>Comentarios finale</w:t>
      </w:r>
      <w:r w:rsidR="009E5D36">
        <w:rPr>
          <w:rFonts w:eastAsia="Calibri"/>
          <w:b/>
          <w:sz w:val="26"/>
          <w:szCs w:val="26"/>
          <w:lang w:eastAsia="en-US"/>
        </w:rPr>
        <w:t>s</w:t>
      </w:r>
    </w:p>
    <w:p w14:paraId="38517E2F"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t>La Reforma Financiera aprobada por la presente Legislatura sentó bases sólidas para el sano desarrollo de las redes de medios de disposición y la regulación emitida por las autoridades han redituado en las bondades siguientes:</w:t>
      </w:r>
    </w:p>
    <w:p w14:paraId="29629F00" w14:textId="77777777" w:rsidR="00DD7DDB" w:rsidRPr="00DD7DDB" w:rsidRDefault="00DD7DDB" w:rsidP="002D3902">
      <w:pPr>
        <w:numPr>
          <w:ilvl w:val="0"/>
          <w:numId w:val="83"/>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t>Pagos con tarjeta</w:t>
      </w:r>
    </w:p>
    <w:p w14:paraId="477A993E" w14:textId="77777777" w:rsidR="00DD7DDB" w:rsidRPr="00DD7DDB" w:rsidRDefault="00DD7DDB" w:rsidP="002D3902">
      <w:pPr>
        <w:numPr>
          <w:ilvl w:val="0"/>
          <w:numId w:val="8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Menores costos de procesamiento y mayor transparencia. Esto ha generado tasas de descuento más bajas y mayor aceptación de pagos por montos bajos.</w:t>
      </w:r>
    </w:p>
    <w:p w14:paraId="4555BBFC" w14:textId="77777777" w:rsidR="00DD7DDB" w:rsidRPr="00DD7DDB" w:rsidRDefault="00DD7DDB" w:rsidP="002D3902">
      <w:pPr>
        <w:numPr>
          <w:ilvl w:val="0"/>
          <w:numId w:val="86"/>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han incrementado los puntos de acceso para realizar pagos con tarjetas, incluyendo a comercios que antes no eran atendidos.</w:t>
      </w:r>
    </w:p>
    <w:p w14:paraId="051991EF" w14:textId="77777777" w:rsidR="00DD7DDB" w:rsidRPr="00DD7DDB" w:rsidRDefault="00DD7DDB" w:rsidP="002D3902">
      <w:pPr>
        <w:numPr>
          <w:ilvl w:val="0"/>
          <w:numId w:val="83"/>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t>Retiros de efectivo</w:t>
      </w:r>
    </w:p>
    <w:p w14:paraId="41003A11" w14:textId="77777777" w:rsidR="00DD7DDB" w:rsidRPr="00DD7DDB" w:rsidRDefault="00DD7DDB" w:rsidP="002D3902">
      <w:pPr>
        <w:numPr>
          <w:ilvl w:val="0"/>
          <w:numId w:val="8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Se ha incrementado el número de sitios para efectuar retiros de efectivo (cajeros automáticos y cajas de supermercados).</w:t>
      </w:r>
    </w:p>
    <w:p w14:paraId="40C07983" w14:textId="77777777" w:rsidR="00DD7DDB" w:rsidRPr="00DD7DDB" w:rsidRDefault="00DD7DDB" w:rsidP="002D3902">
      <w:pPr>
        <w:numPr>
          <w:ilvl w:val="0"/>
          <w:numId w:val="85"/>
        </w:numPr>
        <w:spacing w:after="360" w:line="360" w:lineRule="auto"/>
        <w:ind w:left="714" w:right="-159" w:hanging="357"/>
        <w:jc w:val="both"/>
        <w:rPr>
          <w:rFonts w:eastAsia="Calibri"/>
          <w:sz w:val="26"/>
          <w:szCs w:val="26"/>
          <w:lang w:eastAsia="en-US"/>
        </w:rPr>
      </w:pPr>
      <w:r w:rsidRPr="00DD7DDB">
        <w:rPr>
          <w:rFonts w:eastAsia="Calibri"/>
          <w:sz w:val="26"/>
          <w:szCs w:val="26"/>
          <w:lang w:eastAsia="en-US"/>
        </w:rPr>
        <w:t>Derivado de las alianzas entre bancos, se han reducido las comisiones por retiro en cajeros para un número importante de cuentahabientes.</w:t>
      </w:r>
    </w:p>
    <w:p w14:paraId="3302808A" w14:textId="77777777" w:rsidR="00DD7DDB" w:rsidRPr="00DD7DDB" w:rsidRDefault="00DD7DDB" w:rsidP="002D3902">
      <w:pPr>
        <w:numPr>
          <w:ilvl w:val="0"/>
          <w:numId w:val="83"/>
        </w:numPr>
        <w:spacing w:after="360" w:line="360" w:lineRule="auto"/>
        <w:ind w:left="357" w:right="-159" w:hanging="357"/>
        <w:jc w:val="both"/>
        <w:rPr>
          <w:rFonts w:eastAsia="Calibri"/>
          <w:sz w:val="26"/>
          <w:szCs w:val="26"/>
          <w:lang w:eastAsia="en-US"/>
        </w:rPr>
      </w:pPr>
      <w:r w:rsidRPr="00DD7DDB">
        <w:rPr>
          <w:rFonts w:eastAsia="Calibri"/>
          <w:sz w:val="26"/>
          <w:szCs w:val="26"/>
          <w:lang w:eastAsia="en-US"/>
        </w:rPr>
        <w:t>Transferencias a través de dispositivos móviles.</w:t>
      </w:r>
    </w:p>
    <w:p w14:paraId="020A01D5" w14:textId="77777777" w:rsidR="00DD7DDB" w:rsidRPr="00DD7DDB" w:rsidRDefault="00DD7DDB" w:rsidP="002D3902">
      <w:pPr>
        <w:numPr>
          <w:ilvl w:val="0"/>
          <w:numId w:val="84"/>
        </w:numPr>
        <w:spacing w:after="360" w:line="360" w:lineRule="auto"/>
        <w:ind w:right="-159" w:hanging="357"/>
        <w:jc w:val="both"/>
        <w:rPr>
          <w:rFonts w:eastAsia="Calibri"/>
          <w:sz w:val="26"/>
          <w:szCs w:val="26"/>
          <w:lang w:eastAsia="en-US"/>
        </w:rPr>
      </w:pPr>
      <w:r w:rsidRPr="00DD7DDB">
        <w:rPr>
          <w:rFonts w:eastAsia="Calibri"/>
          <w:sz w:val="26"/>
          <w:szCs w:val="26"/>
          <w:lang w:eastAsia="en-US"/>
        </w:rPr>
        <w:t>En poco tiempo se podrán usar para pagos inmediatos en cualquier horario.</w:t>
      </w:r>
    </w:p>
    <w:p w14:paraId="54F4F7BC" w14:textId="77777777" w:rsidR="00DD7DDB" w:rsidRPr="00DD7DDB" w:rsidRDefault="00DD7DDB" w:rsidP="002D3902">
      <w:pPr>
        <w:numPr>
          <w:ilvl w:val="0"/>
          <w:numId w:val="84"/>
        </w:numPr>
        <w:spacing w:after="360" w:line="360" w:lineRule="auto"/>
        <w:ind w:right="-159" w:hanging="357"/>
        <w:jc w:val="both"/>
        <w:rPr>
          <w:rFonts w:eastAsia="Calibri"/>
          <w:sz w:val="26"/>
          <w:szCs w:val="26"/>
          <w:lang w:eastAsia="en-US"/>
        </w:rPr>
      </w:pPr>
      <w:r w:rsidRPr="00DD7DDB">
        <w:rPr>
          <w:rFonts w:eastAsia="Calibri"/>
          <w:sz w:val="26"/>
          <w:szCs w:val="26"/>
          <w:lang w:eastAsia="en-US"/>
        </w:rPr>
        <w:t>La mayor participación en servicios de pagos móviles genera comisiones bajas.</w:t>
      </w:r>
    </w:p>
    <w:p w14:paraId="54D0B958" w14:textId="77777777" w:rsidR="00DD7DDB" w:rsidRPr="00DD7DDB" w:rsidRDefault="00DD7DDB" w:rsidP="00DD7DDB">
      <w:pPr>
        <w:spacing w:after="360" w:line="360" w:lineRule="auto"/>
        <w:ind w:right="-159"/>
        <w:jc w:val="both"/>
        <w:rPr>
          <w:rFonts w:eastAsia="Calibri"/>
          <w:sz w:val="26"/>
          <w:szCs w:val="26"/>
          <w:lang w:eastAsia="en-US"/>
        </w:rPr>
      </w:pPr>
      <w:r w:rsidRPr="00DD7DDB">
        <w:rPr>
          <w:rFonts w:eastAsia="Calibri"/>
          <w:sz w:val="26"/>
          <w:szCs w:val="26"/>
          <w:lang w:eastAsia="en-US"/>
        </w:rPr>
        <w:lastRenderedPageBreak/>
        <w:t>El Banco de México continuará con sus esfuerzos para que cada vez más mexicanos se beneficien del uso de medios de pagos más eficientes.</w:t>
      </w:r>
    </w:p>
    <w:p w14:paraId="666351D6" w14:textId="77777777" w:rsidR="00DD7DDB" w:rsidRPr="00DD7DDB" w:rsidRDefault="00DD7DDB" w:rsidP="00DD7DDB">
      <w:pPr>
        <w:ind w:right="-159"/>
        <w:jc w:val="both"/>
        <w:rPr>
          <w:rFonts w:eastAsia="Calibri"/>
          <w:b/>
          <w:sz w:val="20"/>
          <w:szCs w:val="20"/>
          <w:lang w:eastAsia="en-US"/>
        </w:rPr>
      </w:pPr>
      <w:r w:rsidRPr="00DD7DDB">
        <w:rPr>
          <w:rFonts w:eastAsia="Calibri"/>
          <w:b/>
          <w:sz w:val="20"/>
          <w:szCs w:val="20"/>
          <w:lang w:eastAsia="en-US"/>
        </w:rPr>
        <w:t>Fuente de información:</w:t>
      </w:r>
    </w:p>
    <w:p w14:paraId="0B477C07" w14:textId="77777777" w:rsidR="00DD7DDB" w:rsidRPr="007846AF" w:rsidRDefault="0045651A" w:rsidP="007846AF">
      <w:pPr>
        <w:spacing w:after="720"/>
        <w:ind w:right="-159"/>
        <w:jc w:val="both"/>
        <w:rPr>
          <w:rFonts w:eastAsia="Calibri"/>
          <w:color w:val="0000FF"/>
          <w:sz w:val="20"/>
          <w:szCs w:val="20"/>
          <w:lang w:eastAsia="en-US"/>
        </w:rPr>
      </w:pPr>
      <w:hyperlink r:id="rId258" w:history="1">
        <w:r w:rsidR="00DD7DDB" w:rsidRPr="007846AF">
          <w:rPr>
            <w:rFonts w:eastAsia="Calibri"/>
            <w:color w:val="0000FF"/>
            <w:sz w:val="20"/>
            <w:szCs w:val="20"/>
            <w:u w:val="single"/>
            <w:lang w:eastAsia="en-US"/>
          </w:rPr>
          <w:t>http://www.banxico.org.mx/publicaciones-y-discursos/discursos-y-presentaciones/presentaciones/%7b996A2DD5-6CD0-67B0-F249-DA77AFB7C1C0%7d.pdf</w:t>
        </w:r>
      </w:hyperlink>
      <w:r w:rsidR="00DD7DDB" w:rsidRPr="007846AF">
        <w:rPr>
          <w:rFonts w:eastAsia="Calibri"/>
          <w:color w:val="0000FF"/>
          <w:sz w:val="20"/>
          <w:szCs w:val="20"/>
          <w:lang w:eastAsia="en-US"/>
        </w:rPr>
        <w:t xml:space="preserve"> </w:t>
      </w:r>
    </w:p>
    <w:p w14:paraId="769EDF07" w14:textId="77777777" w:rsidR="00651355" w:rsidRPr="00651355" w:rsidRDefault="00651355" w:rsidP="00651355">
      <w:pPr>
        <w:ind w:right="-159"/>
        <w:jc w:val="both"/>
        <w:rPr>
          <w:rFonts w:eastAsia="Calibri"/>
          <w:b/>
          <w:sz w:val="26"/>
          <w:szCs w:val="26"/>
          <w:lang w:eastAsia="en-US"/>
        </w:rPr>
      </w:pPr>
      <w:r w:rsidRPr="00651355">
        <w:rPr>
          <w:rFonts w:eastAsia="Calibri"/>
          <w:b/>
          <w:sz w:val="26"/>
          <w:szCs w:val="26"/>
          <w:lang w:eastAsia="en-US"/>
        </w:rPr>
        <w:t>Información estadística  del  sector  de</w:t>
      </w:r>
    </w:p>
    <w:p w14:paraId="47DF1357"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banca múltiple a febrero 2015 (CNBV)</w:t>
      </w:r>
    </w:p>
    <w:p w14:paraId="53F5DDED"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9 de abril de 2015, la Comisión Nacional Bancaria y de Valores (CNBV) publicó información estadística al cierre de febrero de 2015 del sector de banca múltiple, integrado por 45 instituciones en operación. A continuación se presentan los detalles.</w:t>
      </w:r>
    </w:p>
    <w:p w14:paraId="1A4FA777"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Características del sector</w:t>
      </w:r>
    </w:p>
    <w:p w14:paraId="7CD835F3" w14:textId="1DA5370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 xml:space="preserve">Al cierre de febrero de 2015, el sector de banca múltiple estuvo integrado por </w:t>
      </w:r>
      <w:r w:rsidR="00BD39EC">
        <w:rPr>
          <w:rFonts w:eastAsia="Calibri"/>
          <w:sz w:val="26"/>
          <w:szCs w:val="26"/>
          <w:lang w:eastAsia="en-US"/>
        </w:rPr>
        <w:t xml:space="preserve">                       </w:t>
      </w:r>
      <w:r w:rsidRPr="00651355">
        <w:rPr>
          <w:rFonts w:eastAsia="Calibri"/>
          <w:sz w:val="26"/>
          <w:szCs w:val="26"/>
          <w:lang w:eastAsia="en-US"/>
        </w:rPr>
        <w:t>45 instituciones en operación, una institución menos que al cierre de febrero de 2014.</w:t>
      </w:r>
    </w:p>
    <w:p w14:paraId="0D9AB48D"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Entre el cierre de febrero de 2014 y febrero de 2015, inició operaciones Banco Pagatodo, se llevó acabo la fusión de The Bank of New York Mellon con CI Banco y se revocó la autorización de Banco Bicentenario para operar como institución de banca múltiple.</w:t>
      </w:r>
    </w:p>
    <w:p w14:paraId="030D2FB6" w14:textId="77777777" w:rsid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Adicionalmente, dos instituciones cambiaron de denominación social: The Royal Bank of Scotland a Investa Bank (marzo 2014) e Interbanco a Intercam Banco (junio de 2014).</w:t>
      </w:r>
    </w:p>
    <w:p w14:paraId="484ED53C" w14:textId="77777777" w:rsidR="00AF7C3F" w:rsidRDefault="00AF7C3F" w:rsidP="00651355">
      <w:pPr>
        <w:spacing w:after="360" w:line="360" w:lineRule="auto"/>
        <w:ind w:right="-159"/>
        <w:jc w:val="both"/>
        <w:rPr>
          <w:rFonts w:eastAsia="Calibri"/>
          <w:sz w:val="26"/>
          <w:szCs w:val="26"/>
          <w:lang w:eastAsia="en-US"/>
        </w:rPr>
      </w:pPr>
    </w:p>
    <w:p w14:paraId="135747B3" w14:textId="77777777" w:rsidR="00AF7C3F" w:rsidRPr="00651355" w:rsidRDefault="00AF7C3F" w:rsidP="00651355">
      <w:pPr>
        <w:spacing w:after="360" w:line="360" w:lineRule="auto"/>
        <w:ind w:right="-159"/>
        <w:jc w:val="both"/>
        <w:rPr>
          <w:rFonts w:eastAsia="Calibri"/>
          <w:sz w:val="26"/>
          <w:szCs w:val="26"/>
          <w:lang w:eastAsia="en-US"/>
        </w:rPr>
      </w:pPr>
    </w:p>
    <w:p w14:paraId="2BEC0C38"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lastRenderedPageBreak/>
        <w:t>Balance general</w:t>
      </w:r>
    </w:p>
    <w:p w14:paraId="199D958B" w14:textId="4696F5AE"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 xml:space="preserve">El saldo de los activos totales del sector se ubicó en 7 mil 118 </w:t>
      </w:r>
      <w:r w:rsidR="00BD39EC">
        <w:rPr>
          <w:rFonts w:eastAsia="Calibri"/>
          <w:sz w:val="26"/>
          <w:szCs w:val="26"/>
          <w:lang w:eastAsia="en-US"/>
        </w:rPr>
        <w:t>miles de millones de pesos (</w:t>
      </w:r>
      <w:r w:rsidRPr="00651355">
        <w:rPr>
          <w:rFonts w:eastAsia="Calibri"/>
          <w:sz w:val="26"/>
          <w:szCs w:val="26"/>
          <w:lang w:eastAsia="en-US"/>
        </w:rPr>
        <w:t>mmdp</w:t>
      </w:r>
      <w:r w:rsidR="00BD39EC">
        <w:rPr>
          <w:rFonts w:eastAsia="Calibri"/>
          <w:sz w:val="26"/>
          <w:szCs w:val="26"/>
          <w:lang w:eastAsia="en-US"/>
        </w:rPr>
        <w:t>)</w:t>
      </w:r>
      <w:r w:rsidRPr="00651355">
        <w:rPr>
          <w:rFonts w:eastAsia="Calibri"/>
          <w:sz w:val="26"/>
          <w:szCs w:val="26"/>
          <w:lang w:eastAsia="en-US"/>
        </w:rPr>
        <w:t>, presentando un incremento anual de 8.8 por ciento.</w:t>
      </w:r>
    </w:p>
    <w:tbl>
      <w:tblPr>
        <w:tblW w:w="8859" w:type="dxa"/>
        <w:jc w:val="center"/>
        <w:tblLayout w:type="fixed"/>
        <w:tblLook w:val="01E0" w:firstRow="1" w:lastRow="1" w:firstColumn="1" w:lastColumn="1" w:noHBand="0" w:noVBand="0"/>
      </w:tblPr>
      <w:tblGrid>
        <w:gridCol w:w="2479"/>
        <w:gridCol w:w="1276"/>
        <w:gridCol w:w="1276"/>
        <w:gridCol w:w="1276"/>
        <w:gridCol w:w="1276"/>
        <w:gridCol w:w="1276"/>
      </w:tblGrid>
      <w:tr w:rsidR="00651355" w:rsidRPr="00651355" w14:paraId="2108E299" w14:textId="77777777" w:rsidTr="00651355">
        <w:trPr>
          <w:trHeight w:val="552"/>
          <w:jc w:val="center"/>
        </w:trPr>
        <w:tc>
          <w:tcPr>
            <w:tcW w:w="8859" w:type="dxa"/>
            <w:gridSpan w:val="6"/>
            <w:tcBorders>
              <w:top w:val="nil"/>
              <w:bottom w:val="single" w:sz="4" w:space="0" w:color="auto"/>
            </w:tcBorders>
            <w:shd w:val="clear" w:color="auto" w:fill="auto"/>
            <w:vAlign w:val="center"/>
          </w:tcPr>
          <w:p w14:paraId="11F81D72" w14:textId="77777777" w:rsidR="00651355" w:rsidRPr="00651355" w:rsidRDefault="00651355" w:rsidP="00651355">
            <w:pPr>
              <w:jc w:val="center"/>
              <w:rPr>
                <w:rFonts w:eastAsia="Calibri"/>
                <w:b/>
                <w:bCs/>
                <w:sz w:val="22"/>
                <w:szCs w:val="22"/>
                <w:lang w:eastAsia="en-US"/>
              </w:rPr>
            </w:pPr>
            <w:r w:rsidRPr="00651355">
              <w:rPr>
                <w:rFonts w:eastAsia="Calibri"/>
                <w:b/>
                <w:bCs/>
                <w:sz w:val="22"/>
                <w:szCs w:val="22"/>
                <w:lang w:eastAsia="en-US"/>
              </w:rPr>
              <w:t>BANCA MÚLTIPLE: BALANCE GENERAL</w:t>
            </w:r>
          </w:p>
          <w:p w14:paraId="4B83F989" w14:textId="075B56D7" w:rsidR="00651355" w:rsidRPr="00651355" w:rsidRDefault="00651355" w:rsidP="00651355">
            <w:pPr>
              <w:jc w:val="center"/>
              <w:rPr>
                <w:rFonts w:eastAsia="Calibri"/>
                <w:b/>
                <w:bCs/>
                <w:sz w:val="22"/>
                <w:szCs w:val="22"/>
                <w:lang w:eastAsia="en-US"/>
              </w:rPr>
            </w:pPr>
            <w:r w:rsidRPr="00651355">
              <w:rPr>
                <w:rFonts w:eastAsia="Calibri"/>
                <w:b/>
                <w:bCs/>
                <w:sz w:val="22"/>
                <w:szCs w:val="22"/>
                <w:lang w:eastAsia="en-US"/>
              </w:rPr>
              <w:t>-Saldos en MMDP-</w:t>
            </w:r>
          </w:p>
        </w:tc>
      </w:tr>
      <w:tr w:rsidR="00651355" w:rsidRPr="00651355" w14:paraId="185D6E5A" w14:textId="77777777" w:rsidTr="00651355">
        <w:trPr>
          <w:trHeight w:val="183"/>
          <w:jc w:val="center"/>
        </w:trPr>
        <w:tc>
          <w:tcPr>
            <w:tcW w:w="247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E9DBA6" w14:textId="77777777" w:rsidR="00651355" w:rsidRPr="00651355" w:rsidRDefault="00651355" w:rsidP="00651355">
            <w:pPr>
              <w:jc w:val="center"/>
              <w:rPr>
                <w:rFonts w:eastAsia="Calibri"/>
                <w:b/>
                <w:bCs/>
                <w:sz w:val="20"/>
                <w:szCs w:val="20"/>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9C67DD"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2014</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96D2B"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2015</w:t>
            </w:r>
          </w:p>
        </w:tc>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DC2F8" w14:textId="77777777" w:rsidR="00651355" w:rsidRPr="00651355" w:rsidRDefault="00651355" w:rsidP="00651355">
            <w:pPr>
              <w:jc w:val="center"/>
              <w:rPr>
                <w:rFonts w:eastAsia="Calibri"/>
                <w:b/>
                <w:bCs/>
                <w:sz w:val="20"/>
                <w:szCs w:val="20"/>
                <w:lang w:eastAsia="en-US"/>
              </w:rPr>
            </w:pPr>
            <w:r w:rsidRPr="00651355">
              <w:rPr>
                <w:rFonts w:eastAsia="Calibri"/>
                <w:b/>
                <w:bCs/>
                <w:sz w:val="20"/>
                <w:szCs w:val="20"/>
                <w:lang w:eastAsia="en-US"/>
              </w:rPr>
              <w:t>Diferencia %</w:t>
            </w:r>
          </w:p>
        </w:tc>
      </w:tr>
      <w:tr w:rsidR="00651355" w:rsidRPr="00651355" w14:paraId="753BC301" w14:textId="77777777" w:rsidTr="00651355">
        <w:trPr>
          <w:jc w:val="center"/>
        </w:trPr>
        <w:tc>
          <w:tcPr>
            <w:tcW w:w="247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5F2665" w14:textId="77777777" w:rsidR="00651355" w:rsidRPr="00651355" w:rsidRDefault="00651355" w:rsidP="00651355">
            <w:pPr>
              <w:jc w:val="center"/>
              <w:rPr>
                <w:rFonts w:eastAsia="Calibri"/>
                <w:b/>
                <w:bCs/>
                <w:sz w:val="20"/>
                <w:szCs w:val="20"/>
                <w:lang w:val="en-US"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50D746"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C5F3F18"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044B11"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C0B2BB"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Anual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956475" w14:textId="77777777" w:rsidR="00651355" w:rsidRPr="00651355" w:rsidRDefault="00651355" w:rsidP="00651355">
            <w:pPr>
              <w:jc w:val="center"/>
              <w:rPr>
                <w:rFonts w:eastAsia="Calibri"/>
                <w:b/>
                <w:bCs/>
                <w:sz w:val="20"/>
                <w:szCs w:val="20"/>
                <w:lang w:eastAsia="en-US"/>
              </w:rPr>
            </w:pPr>
            <w:r w:rsidRPr="00651355">
              <w:rPr>
                <w:rFonts w:eastAsia="Calibri"/>
                <w:b/>
                <w:bCs/>
                <w:sz w:val="20"/>
                <w:szCs w:val="20"/>
                <w:lang w:eastAsia="en-US"/>
              </w:rPr>
              <w:t>Mensual</w:t>
            </w:r>
          </w:p>
        </w:tc>
      </w:tr>
      <w:tr w:rsidR="00651355" w:rsidRPr="00651355" w14:paraId="7EDAB588" w14:textId="77777777" w:rsidTr="00651355">
        <w:trPr>
          <w:jc w:val="center"/>
        </w:trPr>
        <w:tc>
          <w:tcPr>
            <w:tcW w:w="2479" w:type="dxa"/>
            <w:tcBorders>
              <w:top w:val="single" w:sz="4" w:space="0" w:color="auto"/>
              <w:left w:val="single" w:sz="4" w:space="0" w:color="auto"/>
              <w:bottom w:val="nil"/>
              <w:right w:val="single" w:sz="4" w:space="0" w:color="auto"/>
            </w:tcBorders>
            <w:shd w:val="clear" w:color="auto" w:fill="auto"/>
            <w:vAlign w:val="center"/>
          </w:tcPr>
          <w:p w14:paraId="10B4E9CA" w14:textId="77777777" w:rsidR="00651355" w:rsidRPr="00651355" w:rsidRDefault="00651355" w:rsidP="00651355">
            <w:pPr>
              <w:spacing w:before="120" w:after="120"/>
              <w:jc w:val="both"/>
              <w:rPr>
                <w:rFonts w:eastAsia="Calibri"/>
                <w:bCs/>
                <w:sz w:val="20"/>
                <w:szCs w:val="20"/>
                <w:lang w:val="en-US" w:eastAsia="en-US"/>
              </w:rPr>
            </w:pPr>
            <w:r w:rsidRPr="00651355">
              <w:rPr>
                <w:rFonts w:eastAsia="Calibri"/>
                <w:bCs/>
                <w:sz w:val="20"/>
                <w:szCs w:val="20"/>
                <w:lang w:val="en-US" w:eastAsia="en-US"/>
              </w:rPr>
              <w:t>Activo total</w:t>
            </w:r>
          </w:p>
        </w:tc>
        <w:tc>
          <w:tcPr>
            <w:tcW w:w="1276" w:type="dxa"/>
            <w:tcBorders>
              <w:top w:val="single" w:sz="4" w:space="0" w:color="auto"/>
              <w:left w:val="single" w:sz="4" w:space="0" w:color="auto"/>
              <w:right w:val="single" w:sz="4" w:space="0" w:color="auto"/>
            </w:tcBorders>
            <w:shd w:val="clear" w:color="auto" w:fill="auto"/>
            <w:vAlign w:val="center"/>
          </w:tcPr>
          <w:p w14:paraId="07799791"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6 544</w:t>
            </w:r>
          </w:p>
        </w:tc>
        <w:tc>
          <w:tcPr>
            <w:tcW w:w="1276" w:type="dxa"/>
            <w:tcBorders>
              <w:top w:val="single" w:sz="4" w:space="0" w:color="auto"/>
              <w:left w:val="single" w:sz="4" w:space="0" w:color="auto"/>
              <w:bottom w:val="nil"/>
              <w:right w:val="single" w:sz="4" w:space="0" w:color="auto"/>
            </w:tcBorders>
            <w:shd w:val="clear" w:color="auto" w:fill="auto"/>
            <w:vAlign w:val="center"/>
          </w:tcPr>
          <w:p w14:paraId="5EB85D75"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7 176</w:t>
            </w:r>
          </w:p>
        </w:tc>
        <w:tc>
          <w:tcPr>
            <w:tcW w:w="1276" w:type="dxa"/>
            <w:tcBorders>
              <w:top w:val="single" w:sz="4" w:space="0" w:color="auto"/>
              <w:left w:val="single" w:sz="4" w:space="0" w:color="auto"/>
              <w:right w:val="single" w:sz="4" w:space="0" w:color="auto"/>
            </w:tcBorders>
            <w:shd w:val="clear" w:color="auto" w:fill="auto"/>
            <w:vAlign w:val="center"/>
          </w:tcPr>
          <w:p w14:paraId="61E62BCA"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7 118</w:t>
            </w:r>
          </w:p>
        </w:tc>
        <w:tc>
          <w:tcPr>
            <w:tcW w:w="1276" w:type="dxa"/>
            <w:tcBorders>
              <w:top w:val="single" w:sz="4" w:space="0" w:color="auto"/>
              <w:left w:val="single" w:sz="4" w:space="0" w:color="auto"/>
              <w:bottom w:val="nil"/>
              <w:right w:val="single" w:sz="4" w:space="0" w:color="auto"/>
            </w:tcBorders>
            <w:shd w:val="clear" w:color="auto" w:fill="auto"/>
            <w:vAlign w:val="center"/>
          </w:tcPr>
          <w:p w14:paraId="562ADFDD"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8.8</w:t>
            </w:r>
          </w:p>
        </w:tc>
        <w:tc>
          <w:tcPr>
            <w:tcW w:w="1276" w:type="dxa"/>
            <w:tcBorders>
              <w:top w:val="single" w:sz="4" w:space="0" w:color="auto"/>
              <w:left w:val="single" w:sz="4" w:space="0" w:color="auto"/>
              <w:bottom w:val="nil"/>
              <w:right w:val="single" w:sz="4" w:space="0" w:color="auto"/>
            </w:tcBorders>
            <w:shd w:val="clear" w:color="auto" w:fill="auto"/>
            <w:vAlign w:val="center"/>
          </w:tcPr>
          <w:p w14:paraId="45DB0850" w14:textId="77777777" w:rsidR="00651355" w:rsidRPr="00651355" w:rsidRDefault="00651355" w:rsidP="00651355">
            <w:pPr>
              <w:spacing w:before="120" w:after="120"/>
              <w:ind w:right="284"/>
              <w:jc w:val="right"/>
              <w:rPr>
                <w:rFonts w:eastAsia="Calibri"/>
                <w:bCs/>
                <w:sz w:val="20"/>
                <w:szCs w:val="20"/>
                <w:lang w:val="en-US" w:eastAsia="en-US"/>
              </w:rPr>
            </w:pPr>
            <w:r w:rsidRPr="00651355">
              <w:rPr>
                <w:rFonts w:eastAsia="Calibri"/>
                <w:bCs/>
                <w:sz w:val="20"/>
                <w:szCs w:val="20"/>
                <w:lang w:val="en-US" w:eastAsia="en-US"/>
              </w:rPr>
              <w:t>-0.8</w:t>
            </w:r>
          </w:p>
        </w:tc>
      </w:tr>
      <w:tr w:rsidR="00651355" w:rsidRPr="00651355" w14:paraId="5709F2DF" w14:textId="77777777" w:rsidTr="00845A3F">
        <w:trPr>
          <w:jc w:val="center"/>
        </w:trPr>
        <w:tc>
          <w:tcPr>
            <w:tcW w:w="2479" w:type="dxa"/>
            <w:tcBorders>
              <w:top w:val="nil"/>
              <w:left w:val="single" w:sz="4" w:space="0" w:color="auto"/>
              <w:bottom w:val="nil"/>
              <w:right w:val="single" w:sz="4" w:space="0" w:color="auto"/>
            </w:tcBorders>
            <w:shd w:val="clear" w:color="auto" w:fill="auto"/>
            <w:vAlign w:val="center"/>
          </w:tcPr>
          <w:p w14:paraId="277325C2" w14:textId="77777777" w:rsidR="00651355" w:rsidRPr="00651355" w:rsidRDefault="00651355" w:rsidP="00651355">
            <w:pPr>
              <w:spacing w:before="120" w:after="120"/>
              <w:jc w:val="both"/>
              <w:rPr>
                <w:rFonts w:eastAsia="Calibri"/>
                <w:bCs/>
                <w:sz w:val="20"/>
                <w:szCs w:val="20"/>
                <w:lang w:val="en-US" w:eastAsia="en-US"/>
              </w:rPr>
            </w:pPr>
            <w:r w:rsidRPr="00651355">
              <w:rPr>
                <w:rFonts w:eastAsia="Calibri"/>
                <w:bCs/>
                <w:sz w:val="20"/>
                <w:szCs w:val="20"/>
                <w:lang w:val="en-US" w:eastAsia="en-US"/>
              </w:rPr>
              <w:t>Pasivo total</w:t>
            </w:r>
          </w:p>
        </w:tc>
        <w:tc>
          <w:tcPr>
            <w:tcW w:w="1276" w:type="dxa"/>
            <w:tcBorders>
              <w:left w:val="single" w:sz="4" w:space="0" w:color="auto"/>
              <w:right w:val="single" w:sz="4" w:space="0" w:color="auto"/>
            </w:tcBorders>
            <w:shd w:val="clear" w:color="auto" w:fill="auto"/>
            <w:vAlign w:val="center"/>
          </w:tcPr>
          <w:p w14:paraId="077C46FE"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5 854</w:t>
            </w:r>
          </w:p>
        </w:tc>
        <w:tc>
          <w:tcPr>
            <w:tcW w:w="1276" w:type="dxa"/>
            <w:tcBorders>
              <w:top w:val="nil"/>
              <w:left w:val="single" w:sz="4" w:space="0" w:color="auto"/>
              <w:bottom w:val="nil"/>
              <w:right w:val="single" w:sz="4" w:space="0" w:color="auto"/>
            </w:tcBorders>
            <w:shd w:val="clear" w:color="auto" w:fill="auto"/>
            <w:vAlign w:val="center"/>
          </w:tcPr>
          <w:p w14:paraId="45BC24A3"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6 413</w:t>
            </w:r>
          </w:p>
        </w:tc>
        <w:tc>
          <w:tcPr>
            <w:tcW w:w="1276" w:type="dxa"/>
            <w:tcBorders>
              <w:left w:val="single" w:sz="4" w:space="0" w:color="auto"/>
              <w:right w:val="single" w:sz="4" w:space="0" w:color="auto"/>
            </w:tcBorders>
            <w:shd w:val="clear" w:color="auto" w:fill="auto"/>
            <w:vAlign w:val="center"/>
          </w:tcPr>
          <w:p w14:paraId="5DD65B0D"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6 352</w:t>
            </w:r>
          </w:p>
        </w:tc>
        <w:tc>
          <w:tcPr>
            <w:tcW w:w="1276" w:type="dxa"/>
            <w:tcBorders>
              <w:top w:val="nil"/>
              <w:left w:val="single" w:sz="4" w:space="0" w:color="auto"/>
              <w:bottom w:val="nil"/>
              <w:right w:val="single" w:sz="4" w:space="0" w:color="auto"/>
            </w:tcBorders>
            <w:shd w:val="clear" w:color="auto" w:fill="auto"/>
            <w:vAlign w:val="center"/>
          </w:tcPr>
          <w:p w14:paraId="036FF9C3"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8.5</w:t>
            </w:r>
          </w:p>
        </w:tc>
        <w:tc>
          <w:tcPr>
            <w:tcW w:w="1276" w:type="dxa"/>
            <w:tcBorders>
              <w:top w:val="nil"/>
              <w:left w:val="single" w:sz="4" w:space="0" w:color="auto"/>
              <w:bottom w:val="nil"/>
              <w:right w:val="single" w:sz="4" w:space="0" w:color="auto"/>
            </w:tcBorders>
            <w:shd w:val="clear" w:color="auto" w:fill="auto"/>
            <w:vAlign w:val="center"/>
          </w:tcPr>
          <w:p w14:paraId="79CD60DD" w14:textId="77777777" w:rsidR="00651355" w:rsidRPr="00651355" w:rsidRDefault="00651355" w:rsidP="00651355">
            <w:pPr>
              <w:spacing w:before="120" w:after="120"/>
              <w:ind w:right="284"/>
              <w:jc w:val="right"/>
              <w:rPr>
                <w:rFonts w:eastAsia="Calibri"/>
                <w:bCs/>
                <w:sz w:val="20"/>
                <w:szCs w:val="20"/>
                <w:lang w:val="en-US" w:eastAsia="en-US"/>
              </w:rPr>
            </w:pPr>
            <w:r w:rsidRPr="00651355">
              <w:rPr>
                <w:rFonts w:eastAsia="Calibri"/>
                <w:bCs/>
                <w:sz w:val="20"/>
                <w:szCs w:val="20"/>
                <w:lang w:val="en-US" w:eastAsia="en-US"/>
              </w:rPr>
              <w:t>-1.0</w:t>
            </w:r>
          </w:p>
        </w:tc>
      </w:tr>
      <w:tr w:rsidR="00651355" w:rsidRPr="00651355" w14:paraId="644FCD73" w14:textId="77777777" w:rsidTr="00845A3F">
        <w:trPr>
          <w:jc w:val="center"/>
        </w:trPr>
        <w:tc>
          <w:tcPr>
            <w:tcW w:w="2479" w:type="dxa"/>
            <w:tcBorders>
              <w:top w:val="nil"/>
              <w:left w:val="single" w:sz="4" w:space="0" w:color="auto"/>
              <w:bottom w:val="single" w:sz="4" w:space="0" w:color="auto"/>
              <w:right w:val="single" w:sz="4" w:space="0" w:color="auto"/>
            </w:tcBorders>
            <w:shd w:val="clear" w:color="auto" w:fill="auto"/>
            <w:vAlign w:val="center"/>
          </w:tcPr>
          <w:p w14:paraId="33B74721" w14:textId="77777777" w:rsidR="00651355" w:rsidRPr="00651355" w:rsidRDefault="00651355" w:rsidP="00651355">
            <w:pPr>
              <w:spacing w:before="120" w:after="120"/>
              <w:jc w:val="both"/>
              <w:rPr>
                <w:rFonts w:eastAsia="Calibri"/>
                <w:bCs/>
                <w:sz w:val="20"/>
                <w:szCs w:val="20"/>
                <w:lang w:val="en-US" w:eastAsia="en-US"/>
              </w:rPr>
            </w:pPr>
            <w:r w:rsidRPr="00651355">
              <w:rPr>
                <w:rFonts w:eastAsia="Calibri"/>
                <w:bCs/>
                <w:sz w:val="20"/>
                <w:szCs w:val="20"/>
                <w:lang w:val="en-US" w:eastAsia="en-US"/>
              </w:rPr>
              <w:t>Capital contable</w:t>
            </w:r>
          </w:p>
        </w:tc>
        <w:tc>
          <w:tcPr>
            <w:tcW w:w="1276" w:type="dxa"/>
            <w:tcBorders>
              <w:left w:val="single" w:sz="4" w:space="0" w:color="auto"/>
              <w:bottom w:val="single" w:sz="4" w:space="0" w:color="auto"/>
              <w:right w:val="single" w:sz="4" w:space="0" w:color="auto"/>
            </w:tcBorders>
            <w:shd w:val="clear" w:color="auto" w:fill="auto"/>
            <w:vAlign w:val="center"/>
          </w:tcPr>
          <w:p w14:paraId="193088F8"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689</w:t>
            </w:r>
          </w:p>
        </w:tc>
        <w:tc>
          <w:tcPr>
            <w:tcW w:w="1276" w:type="dxa"/>
            <w:tcBorders>
              <w:top w:val="nil"/>
              <w:left w:val="single" w:sz="4" w:space="0" w:color="auto"/>
              <w:bottom w:val="single" w:sz="4" w:space="0" w:color="auto"/>
              <w:right w:val="single" w:sz="4" w:space="0" w:color="auto"/>
            </w:tcBorders>
            <w:shd w:val="clear" w:color="auto" w:fill="auto"/>
            <w:vAlign w:val="center"/>
          </w:tcPr>
          <w:p w14:paraId="76034C9C"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763</w:t>
            </w:r>
          </w:p>
        </w:tc>
        <w:tc>
          <w:tcPr>
            <w:tcW w:w="1276" w:type="dxa"/>
            <w:tcBorders>
              <w:left w:val="single" w:sz="4" w:space="0" w:color="auto"/>
              <w:bottom w:val="single" w:sz="4" w:space="0" w:color="auto"/>
              <w:right w:val="single" w:sz="4" w:space="0" w:color="auto"/>
            </w:tcBorders>
            <w:shd w:val="clear" w:color="auto" w:fill="auto"/>
            <w:vAlign w:val="center"/>
          </w:tcPr>
          <w:p w14:paraId="779EF78D"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765</w:t>
            </w:r>
          </w:p>
        </w:tc>
        <w:tc>
          <w:tcPr>
            <w:tcW w:w="1276" w:type="dxa"/>
            <w:tcBorders>
              <w:top w:val="nil"/>
              <w:left w:val="single" w:sz="4" w:space="0" w:color="auto"/>
              <w:bottom w:val="single" w:sz="4" w:space="0" w:color="auto"/>
              <w:right w:val="single" w:sz="4" w:space="0" w:color="auto"/>
            </w:tcBorders>
            <w:shd w:val="clear" w:color="auto" w:fill="auto"/>
            <w:vAlign w:val="center"/>
          </w:tcPr>
          <w:p w14:paraId="288BD83B" w14:textId="77777777" w:rsidR="00651355" w:rsidRPr="00651355" w:rsidRDefault="00651355" w:rsidP="00651355">
            <w:pPr>
              <w:spacing w:before="120" w:after="120"/>
              <w:ind w:right="284"/>
              <w:jc w:val="right"/>
              <w:rPr>
                <w:rFonts w:eastAsia="Calibri"/>
                <w:sz w:val="20"/>
                <w:szCs w:val="20"/>
                <w:lang w:val="en-US" w:eastAsia="en-US"/>
              </w:rPr>
            </w:pPr>
            <w:r w:rsidRPr="00651355">
              <w:rPr>
                <w:rFonts w:eastAsia="Calibri"/>
                <w:sz w:val="20"/>
                <w:szCs w:val="20"/>
                <w:lang w:val="en-US" w:eastAsia="en-US"/>
              </w:rPr>
              <w:t>11.0</w:t>
            </w:r>
          </w:p>
        </w:tc>
        <w:tc>
          <w:tcPr>
            <w:tcW w:w="1276" w:type="dxa"/>
            <w:tcBorders>
              <w:top w:val="nil"/>
              <w:left w:val="single" w:sz="4" w:space="0" w:color="auto"/>
              <w:bottom w:val="single" w:sz="4" w:space="0" w:color="auto"/>
              <w:right w:val="single" w:sz="4" w:space="0" w:color="auto"/>
            </w:tcBorders>
            <w:shd w:val="clear" w:color="auto" w:fill="auto"/>
            <w:vAlign w:val="center"/>
          </w:tcPr>
          <w:p w14:paraId="17F31A97" w14:textId="77777777" w:rsidR="00651355" w:rsidRPr="00651355" w:rsidRDefault="00651355" w:rsidP="00651355">
            <w:pPr>
              <w:spacing w:before="120" w:after="120"/>
              <w:ind w:right="284"/>
              <w:jc w:val="right"/>
              <w:rPr>
                <w:rFonts w:eastAsia="Calibri"/>
                <w:bCs/>
                <w:sz w:val="20"/>
                <w:szCs w:val="20"/>
                <w:lang w:val="en-US" w:eastAsia="en-US"/>
              </w:rPr>
            </w:pPr>
            <w:r w:rsidRPr="00651355">
              <w:rPr>
                <w:rFonts w:eastAsia="Calibri"/>
                <w:bCs/>
                <w:sz w:val="20"/>
                <w:szCs w:val="20"/>
                <w:lang w:val="en-US" w:eastAsia="en-US"/>
              </w:rPr>
              <w:t>0.3</w:t>
            </w:r>
          </w:p>
        </w:tc>
      </w:tr>
      <w:tr w:rsidR="00651355" w:rsidRPr="00651355" w14:paraId="0C70523B" w14:textId="77777777" w:rsidTr="00651355">
        <w:trPr>
          <w:jc w:val="center"/>
        </w:trPr>
        <w:tc>
          <w:tcPr>
            <w:tcW w:w="8859" w:type="dxa"/>
            <w:gridSpan w:val="6"/>
            <w:tcBorders>
              <w:top w:val="single" w:sz="4" w:space="0" w:color="auto"/>
              <w:left w:val="single" w:sz="4" w:space="0" w:color="FFFFFF"/>
              <w:bottom w:val="single" w:sz="4" w:space="0" w:color="FFFFFF"/>
            </w:tcBorders>
            <w:shd w:val="clear" w:color="auto" w:fill="auto"/>
            <w:vAlign w:val="center"/>
          </w:tcPr>
          <w:p w14:paraId="64899043" w14:textId="77777777" w:rsidR="00651355" w:rsidRPr="00651355" w:rsidRDefault="00651355" w:rsidP="00651355">
            <w:pPr>
              <w:spacing w:before="120"/>
              <w:jc w:val="both"/>
              <w:rPr>
                <w:rFonts w:eastAsia="Calibri"/>
                <w:b/>
                <w:bCs/>
                <w:sz w:val="20"/>
                <w:szCs w:val="20"/>
                <w:lang w:eastAsia="en-US"/>
              </w:rPr>
            </w:pPr>
            <w:r w:rsidRPr="00651355">
              <w:rPr>
                <w:rFonts w:eastAsia="Calibri"/>
                <w:bCs/>
                <w:sz w:val="20"/>
                <w:szCs w:val="20"/>
                <w:lang w:eastAsia="en-US"/>
              </w:rPr>
              <w:t>FUENTE: CNBV.</w:t>
            </w:r>
          </w:p>
        </w:tc>
      </w:tr>
    </w:tbl>
    <w:p w14:paraId="4C0F4686" w14:textId="77777777" w:rsidR="00651355" w:rsidRPr="00651355" w:rsidRDefault="00651355" w:rsidP="00651355">
      <w:pPr>
        <w:spacing w:after="360" w:line="360" w:lineRule="auto"/>
        <w:ind w:right="-159"/>
        <w:jc w:val="both"/>
        <w:rPr>
          <w:rFonts w:eastAsia="Calibri"/>
          <w:sz w:val="26"/>
          <w:szCs w:val="26"/>
          <w:lang w:eastAsia="en-US"/>
        </w:rPr>
      </w:pPr>
    </w:p>
    <w:p w14:paraId="01115927"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pasivo total registró un saldo de 6 mil 352 mmdp, 8.5% más que en febrero de 2014. Por su parte, el capital contable alcanzó un monto de 765 mmdp con una variación anual positiva de 11 por ciento.</w:t>
      </w:r>
    </w:p>
    <w:p w14:paraId="1195D1D0"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Cartera de crédito</w:t>
      </w:r>
    </w:p>
    <w:p w14:paraId="3B9EC539" w14:textId="33BBF133"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La cartera total de crédito, la cual incluye la cartera de las Sociedades Financieras de Objeto Múltiple Reguladas asociadas a instituciones de banca múltiple, alcanzó un saldo de 3 mil 376 mmdp y registró un aumento anual de 11.4 por ciento.</w:t>
      </w:r>
    </w:p>
    <w:p w14:paraId="5500E493" w14:textId="77777777" w:rsidR="00651355" w:rsidRPr="00651355" w:rsidRDefault="00651355" w:rsidP="00651355">
      <w:pPr>
        <w:spacing w:after="360" w:line="360" w:lineRule="auto"/>
        <w:ind w:right="-159"/>
        <w:jc w:val="both"/>
        <w:rPr>
          <w:rFonts w:eastAsia="Calibri"/>
          <w:sz w:val="26"/>
          <w:szCs w:val="26"/>
          <w:lang w:eastAsia="en-US"/>
        </w:rPr>
      </w:pPr>
    </w:p>
    <w:p w14:paraId="1E4DBADD" w14:textId="77777777" w:rsidR="00651355" w:rsidRPr="00651355" w:rsidRDefault="00651355" w:rsidP="00651355">
      <w:pPr>
        <w:spacing w:after="360" w:line="360" w:lineRule="auto"/>
        <w:ind w:right="-159"/>
        <w:jc w:val="both"/>
        <w:rPr>
          <w:rFonts w:eastAsia="Calibri"/>
          <w:sz w:val="26"/>
          <w:szCs w:val="26"/>
          <w:lang w:eastAsia="en-US"/>
        </w:rPr>
      </w:pPr>
    </w:p>
    <w:p w14:paraId="2706737F" w14:textId="77777777" w:rsidR="00651355" w:rsidRPr="00651355" w:rsidRDefault="00651355" w:rsidP="00651355">
      <w:pPr>
        <w:spacing w:after="360" w:line="360" w:lineRule="auto"/>
        <w:ind w:right="-159"/>
        <w:jc w:val="both"/>
        <w:rPr>
          <w:rFonts w:eastAsia="Calibri"/>
          <w:sz w:val="26"/>
          <w:szCs w:val="26"/>
          <w:lang w:eastAsia="en-US"/>
        </w:rPr>
      </w:pPr>
    </w:p>
    <w:p w14:paraId="3D89A65B" w14:textId="77777777" w:rsidR="00651355" w:rsidRPr="00651355" w:rsidRDefault="00651355" w:rsidP="00651355">
      <w:pPr>
        <w:spacing w:after="360" w:line="360" w:lineRule="auto"/>
        <w:ind w:right="-159"/>
        <w:jc w:val="both"/>
        <w:rPr>
          <w:rFonts w:eastAsia="Calibri"/>
          <w:sz w:val="26"/>
          <w:szCs w:val="26"/>
          <w:lang w:eastAsia="en-US"/>
        </w:rPr>
      </w:pPr>
    </w:p>
    <w:tbl>
      <w:tblPr>
        <w:tblW w:w="8789" w:type="dxa"/>
        <w:jc w:val="center"/>
        <w:tblLayout w:type="fixed"/>
        <w:tblLook w:val="01E0" w:firstRow="1" w:lastRow="1" w:firstColumn="1" w:lastColumn="1" w:noHBand="0" w:noVBand="0"/>
      </w:tblPr>
      <w:tblGrid>
        <w:gridCol w:w="3283"/>
        <w:gridCol w:w="1112"/>
        <w:gridCol w:w="1275"/>
        <w:gridCol w:w="1134"/>
        <w:gridCol w:w="993"/>
        <w:gridCol w:w="992"/>
      </w:tblGrid>
      <w:tr w:rsidR="00651355" w:rsidRPr="00651355" w14:paraId="359B6341" w14:textId="77777777" w:rsidTr="00845A3F">
        <w:trPr>
          <w:trHeight w:val="552"/>
          <w:jc w:val="center"/>
        </w:trPr>
        <w:tc>
          <w:tcPr>
            <w:tcW w:w="8789" w:type="dxa"/>
            <w:gridSpan w:val="6"/>
            <w:tcBorders>
              <w:top w:val="nil"/>
              <w:bottom w:val="single" w:sz="4" w:space="0" w:color="auto"/>
            </w:tcBorders>
            <w:vAlign w:val="center"/>
          </w:tcPr>
          <w:p w14:paraId="207FE163" w14:textId="77777777" w:rsidR="00651355" w:rsidRPr="00651355" w:rsidRDefault="00651355" w:rsidP="00651355">
            <w:pPr>
              <w:jc w:val="center"/>
              <w:rPr>
                <w:rFonts w:eastAsia="Calibri"/>
                <w:b/>
                <w:bCs/>
                <w:sz w:val="22"/>
                <w:szCs w:val="22"/>
                <w:lang w:eastAsia="en-US"/>
              </w:rPr>
            </w:pPr>
            <w:r w:rsidRPr="00651355">
              <w:rPr>
                <w:rFonts w:eastAsia="Calibri"/>
                <w:b/>
                <w:bCs/>
                <w:sz w:val="22"/>
                <w:szCs w:val="22"/>
                <w:lang w:eastAsia="en-US"/>
              </w:rPr>
              <w:lastRenderedPageBreak/>
              <w:t>BANCA MÚLTIPLE: CARTERA DE CRÉDITO TOTAL</w:t>
            </w:r>
          </w:p>
          <w:p w14:paraId="5BD5D6B9" w14:textId="561F3100"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-Saldos en MMDP-</w:t>
            </w:r>
          </w:p>
        </w:tc>
      </w:tr>
      <w:tr w:rsidR="00651355" w:rsidRPr="00651355" w14:paraId="68E72F3F" w14:textId="77777777" w:rsidTr="00845A3F">
        <w:trPr>
          <w:trHeight w:val="71"/>
          <w:jc w:val="center"/>
        </w:trPr>
        <w:tc>
          <w:tcPr>
            <w:tcW w:w="3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3B8B9B" w14:textId="77777777" w:rsidR="00651355" w:rsidRPr="00651355" w:rsidRDefault="00651355" w:rsidP="00651355">
            <w:pPr>
              <w:spacing w:before="40" w:after="40"/>
              <w:jc w:val="center"/>
              <w:rPr>
                <w:rFonts w:eastAsia="Calibri"/>
                <w:bCs/>
                <w:sz w:val="18"/>
                <w:szCs w:val="18"/>
                <w:lang w:eastAsia="en-US"/>
              </w:rPr>
            </w:pP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78678EB9"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DB521C"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9BC3C"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w:t>
            </w:r>
          </w:p>
        </w:tc>
      </w:tr>
      <w:tr w:rsidR="00651355" w:rsidRPr="00651355" w14:paraId="1E0C9A2B" w14:textId="77777777" w:rsidTr="00845A3F">
        <w:trPr>
          <w:trHeight w:val="165"/>
          <w:jc w:val="center"/>
        </w:trPr>
        <w:tc>
          <w:tcPr>
            <w:tcW w:w="328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80C81FF" w14:textId="77777777" w:rsidR="00651355" w:rsidRPr="00651355" w:rsidRDefault="00651355" w:rsidP="00651355">
            <w:pPr>
              <w:spacing w:before="40" w:after="40"/>
              <w:jc w:val="center"/>
              <w:rPr>
                <w:rFonts w:eastAsia="Calibri"/>
                <w:bCs/>
                <w:sz w:val="18"/>
                <w:szCs w:val="18"/>
                <w:lang w:eastAsia="en-US"/>
              </w:rPr>
            </w:pP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62E3BBA6"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A2A8FE"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3A025F"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79D825"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65D0EB"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563DFBF4" w14:textId="77777777" w:rsidTr="00845A3F">
        <w:trPr>
          <w:trHeight w:val="115"/>
          <w:jc w:val="center"/>
        </w:trPr>
        <w:tc>
          <w:tcPr>
            <w:tcW w:w="3283" w:type="dxa"/>
            <w:tcBorders>
              <w:top w:val="single" w:sz="4" w:space="0" w:color="auto"/>
              <w:left w:val="single" w:sz="4" w:space="0" w:color="auto"/>
              <w:bottom w:val="nil"/>
              <w:right w:val="single" w:sz="4" w:space="0" w:color="auto"/>
            </w:tcBorders>
            <w:shd w:val="clear" w:color="auto" w:fill="auto"/>
            <w:vAlign w:val="center"/>
          </w:tcPr>
          <w:p w14:paraId="64833272" w14:textId="77777777" w:rsidR="00651355" w:rsidRPr="00651355" w:rsidRDefault="00651355" w:rsidP="00651355">
            <w:pPr>
              <w:spacing w:before="120"/>
              <w:rPr>
                <w:rFonts w:eastAsia="Calibri"/>
                <w:b/>
                <w:bCs/>
                <w:sz w:val="18"/>
                <w:szCs w:val="18"/>
                <w:lang w:val="en-US" w:eastAsia="en-US"/>
              </w:rPr>
            </w:pPr>
            <w:r w:rsidRPr="00651355">
              <w:rPr>
                <w:rFonts w:eastAsia="Calibri"/>
                <w:b/>
                <w:bCs/>
                <w:sz w:val="18"/>
                <w:szCs w:val="18"/>
                <w:lang w:val="en-US" w:eastAsia="en-US"/>
              </w:rPr>
              <w:t>Cartera de crédito total</w:t>
            </w:r>
          </w:p>
        </w:tc>
        <w:tc>
          <w:tcPr>
            <w:tcW w:w="1112" w:type="dxa"/>
            <w:tcBorders>
              <w:top w:val="single" w:sz="4" w:space="0" w:color="auto"/>
              <w:left w:val="single" w:sz="4" w:space="0" w:color="auto"/>
              <w:right w:val="single" w:sz="4" w:space="0" w:color="auto"/>
            </w:tcBorders>
            <w:shd w:val="clear" w:color="auto" w:fill="auto"/>
            <w:vAlign w:val="center"/>
          </w:tcPr>
          <w:p w14:paraId="18331C8D"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3 029</w:t>
            </w:r>
          </w:p>
        </w:tc>
        <w:tc>
          <w:tcPr>
            <w:tcW w:w="1275" w:type="dxa"/>
            <w:tcBorders>
              <w:top w:val="single" w:sz="4" w:space="0" w:color="auto"/>
              <w:left w:val="single" w:sz="4" w:space="0" w:color="auto"/>
              <w:bottom w:val="nil"/>
              <w:right w:val="single" w:sz="4" w:space="0" w:color="auto"/>
            </w:tcBorders>
            <w:shd w:val="clear" w:color="auto" w:fill="auto"/>
            <w:vAlign w:val="center"/>
          </w:tcPr>
          <w:p w14:paraId="7BDB1E97"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3 384</w:t>
            </w:r>
          </w:p>
        </w:tc>
        <w:tc>
          <w:tcPr>
            <w:tcW w:w="1134" w:type="dxa"/>
            <w:tcBorders>
              <w:top w:val="single" w:sz="4" w:space="0" w:color="auto"/>
              <w:left w:val="single" w:sz="4" w:space="0" w:color="auto"/>
              <w:right w:val="single" w:sz="4" w:space="0" w:color="auto"/>
            </w:tcBorders>
            <w:shd w:val="clear" w:color="auto" w:fill="auto"/>
            <w:vAlign w:val="center"/>
          </w:tcPr>
          <w:p w14:paraId="2031911A"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3 376</w:t>
            </w:r>
          </w:p>
        </w:tc>
        <w:tc>
          <w:tcPr>
            <w:tcW w:w="993" w:type="dxa"/>
            <w:tcBorders>
              <w:top w:val="single" w:sz="4" w:space="0" w:color="auto"/>
              <w:left w:val="single" w:sz="4" w:space="0" w:color="auto"/>
              <w:bottom w:val="nil"/>
              <w:right w:val="single" w:sz="4" w:space="0" w:color="auto"/>
            </w:tcBorders>
            <w:shd w:val="clear" w:color="auto" w:fill="auto"/>
            <w:vAlign w:val="center"/>
          </w:tcPr>
          <w:p w14:paraId="28984ADE" w14:textId="77777777" w:rsidR="00651355" w:rsidRPr="00651355" w:rsidRDefault="00651355" w:rsidP="00651355">
            <w:pPr>
              <w:spacing w:before="120" w:after="40"/>
              <w:ind w:right="170"/>
              <w:jc w:val="right"/>
              <w:rPr>
                <w:rFonts w:eastAsia="Calibri"/>
                <w:b/>
                <w:sz w:val="18"/>
                <w:szCs w:val="18"/>
                <w:lang w:val="en-US" w:eastAsia="en-US"/>
              </w:rPr>
            </w:pPr>
            <w:r w:rsidRPr="00651355">
              <w:rPr>
                <w:rFonts w:eastAsia="Calibri"/>
                <w:b/>
                <w:sz w:val="18"/>
                <w:szCs w:val="18"/>
                <w:lang w:val="en-US" w:eastAsia="en-US"/>
              </w:rPr>
              <w:t>11.4</w:t>
            </w:r>
          </w:p>
        </w:tc>
        <w:tc>
          <w:tcPr>
            <w:tcW w:w="992" w:type="dxa"/>
            <w:tcBorders>
              <w:top w:val="single" w:sz="4" w:space="0" w:color="auto"/>
              <w:left w:val="single" w:sz="4" w:space="0" w:color="auto"/>
              <w:bottom w:val="nil"/>
              <w:right w:val="single" w:sz="4" w:space="0" w:color="auto"/>
            </w:tcBorders>
            <w:shd w:val="clear" w:color="auto" w:fill="auto"/>
            <w:vAlign w:val="center"/>
          </w:tcPr>
          <w:p w14:paraId="757CF7DE" w14:textId="77777777" w:rsidR="00651355" w:rsidRPr="00651355" w:rsidRDefault="00651355" w:rsidP="00651355">
            <w:pPr>
              <w:spacing w:before="120" w:after="40"/>
              <w:ind w:right="284"/>
              <w:jc w:val="right"/>
              <w:rPr>
                <w:rFonts w:eastAsia="Calibri"/>
                <w:b/>
                <w:bCs/>
                <w:sz w:val="18"/>
                <w:szCs w:val="18"/>
                <w:lang w:val="en-US" w:eastAsia="en-US"/>
              </w:rPr>
            </w:pPr>
            <w:r w:rsidRPr="00651355">
              <w:rPr>
                <w:rFonts w:eastAsia="Calibri"/>
                <w:b/>
                <w:bCs/>
                <w:sz w:val="18"/>
                <w:szCs w:val="18"/>
                <w:lang w:val="en-US" w:eastAsia="en-US"/>
              </w:rPr>
              <w:t>-0.3</w:t>
            </w:r>
          </w:p>
        </w:tc>
      </w:tr>
      <w:tr w:rsidR="00651355" w:rsidRPr="00651355" w14:paraId="21E2F051"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2F7A6AB"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Créditos comerciales</w:t>
            </w:r>
          </w:p>
        </w:tc>
        <w:tc>
          <w:tcPr>
            <w:tcW w:w="1112" w:type="dxa"/>
            <w:tcBorders>
              <w:left w:val="single" w:sz="4" w:space="0" w:color="auto"/>
              <w:right w:val="single" w:sz="4" w:space="0" w:color="auto"/>
            </w:tcBorders>
            <w:shd w:val="clear" w:color="auto" w:fill="auto"/>
            <w:vAlign w:val="center"/>
          </w:tcPr>
          <w:p w14:paraId="11C1BE99"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1 837</w:t>
            </w:r>
          </w:p>
        </w:tc>
        <w:tc>
          <w:tcPr>
            <w:tcW w:w="1275" w:type="dxa"/>
            <w:tcBorders>
              <w:top w:val="nil"/>
              <w:left w:val="single" w:sz="4" w:space="0" w:color="auto"/>
              <w:bottom w:val="nil"/>
              <w:right w:val="single" w:sz="4" w:space="0" w:color="auto"/>
            </w:tcBorders>
            <w:shd w:val="clear" w:color="auto" w:fill="auto"/>
            <w:vAlign w:val="center"/>
          </w:tcPr>
          <w:p w14:paraId="50B9AA34"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2 103</w:t>
            </w:r>
          </w:p>
        </w:tc>
        <w:tc>
          <w:tcPr>
            <w:tcW w:w="1134" w:type="dxa"/>
            <w:tcBorders>
              <w:left w:val="single" w:sz="4" w:space="0" w:color="auto"/>
              <w:right w:val="single" w:sz="4" w:space="0" w:color="auto"/>
            </w:tcBorders>
            <w:shd w:val="clear" w:color="auto" w:fill="auto"/>
            <w:vAlign w:val="center"/>
          </w:tcPr>
          <w:p w14:paraId="7DC376B0"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2 092</w:t>
            </w:r>
          </w:p>
        </w:tc>
        <w:tc>
          <w:tcPr>
            <w:tcW w:w="993" w:type="dxa"/>
            <w:tcBorders>
              <w:top w:val="nil"/>
              <w:left w:val="single" w:sz="4" w:space="0" w:color="auto"/>
              <w:bottom w:val="nil"/>
              <w:right w:val="single" w:sz="4" w:space="0" w:color="auto"/>
            </w:tcBorders>
            <w:shd w:val="clear" w:color="auto" w:fill="auto"/>
            <w:vAlign w:val="center"/>
          </w:tcPr>
          <w:p w14:paraId="4EAD2A0F" w14:textId="77777777" w:rsidR="00651355" w:rsidRPr="00651355" w:rsidRDefault="00651355" w:rsidP="00651355">
            <w:pPr>
              <w:spacing w:before="40" w:after="40"/>
              <w:ind w:right="170"/>
              <w:jc w:val="right"/>
              <w:rPr>
                <w:rFonts w:eastAsia="Calibri"/>
                <w:sz w:val="18"/>
                <w:szCs w:val="18"/>
                <w:lang w:val="en-US" w:eastAsia="en-US"/>
              </w:rPr>
            </w:pPr>
            <w:r w:rsidRPr="00651355">
              <w:rPr>
                <w:rFonts w:eastAsia="Calibri"/>
                <w:sz w:val="18"/>
                <w:szCs w:val="18"/>
                <w:lang w:val="en-US" w:eastAsia="en-US"/>
              </w:rPr>
              <w:t>13.9</w:t>
            </w:r>
          </w:p>
        </w:tc>
        <w:tc>
          <w:tcPr>
            <w:tcW w:w="992" w:type="dxa"/>
            <w:tcBorders>
              <w:top w:val="nil"/>
              <w:left w:val="single" w:sz="4" w:space="0" w:color="auto"/>
              <w:bottom w:val="nil"/>
              <w:right w:val="single" w:sz="4" w:space="0" w:color="auto"/>
            </w:tcBorders>
            <w:shd w:val="clear" w:color="auto" w:fill="auto"/>
            <w:vAlign w:val="center"/>
          </w:tcPr>
          <w:p w14:paraId="64335F7B" w14:textId="77777777" w:rsidR="00651355" w:rsidRPr="00651355" w:rsidRDefault="00651355" w:rsidP="00651355">
            <w:pPr>
              <w:spacing w:before="40" w:after="40"/>
              <w:ind w:right="284"/>
              <w:jc w:val="right"/>
              <w:rPr>
                <w:rFonts w:eastAsia="Calibri"/>
                <w:bCs/>
                <w:sz w:val="18"/>
                <w:szCs w:val="18"/>
                <w:lang w:val="en-US" w:eastAsia="en-US"/>
              </w:rPr>
            </w:pPr>
            <w:r w:rsidRPr="00651355">
              <w:rPr>
                <w:rFonts w:eastAsia="Calibri"/>
                <w:bCs/>
                <w:sz w:val="18"/>
                <w:szCs w:val="18"/>
                <w:lang w:val="en-US" w:eastAsia="en-US"/>
              </w:rPr>
              <w:t>-0.5</w:t>
            </w:r>
          </w:p>
        </w:tc>
      </w:tr>
      <w:tr w:rsidR="00651355" w:rsidRPr="00651355" w14:paraId="4E69E2A4"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1A2A05DB" w14:textId="77777777" w:rsidR="00651355" w:rsidRPr="00651355" w:rsidRDefault="00651355" w:rsidP="00651355">
            <w:pPr>
              <w:ind w:left="227"/>
              <w:rPr>
                <w:rFonts w:eastAsia="Calibri"/>
                <w:bCs/>
                <w:sz w:val="18"/>
                <w:szCs w:val="18"/>
                <w:lang w:val="en-US" w:eastAsia="en-US"/>
              </w:rPr>
            </w:pPr>
            <w:r w:rsidRPr="00651355">
              <w:rPr>
                <w:rFonts w:eastAsia="Calibri"/>
                <w:bCs/>
                <w:sz w:val="18"/>
                <w:szCs w:val="18"/>
                <w:lang w:val="en-US" w:eastAsia="en-US"/>
              </w:rPr>
              <w:t>Empresas</w:t>
            </w:r>
          </w:p>
        </w:tc>
        <w:tc>
          <w:tcPr>
            <w:tcW w:w="1112" w:type="dxa"/>
            <w:tcBorders>
              <w:left w:val="single" w:sz="4" w:space="0" w:color="auto"/>
              <w:right w:val="single" w:sz="4" w:space="0" w:color="auto"/>
            </w:tcBorders>
            <w:shd w:val="clear" w:color="auto" w:fill="auto"/>
            <w:vAlign w:val="center"/>
          </w:tcPr>
          <w:p w14:paraId="592F5F66"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1 322</w:t>
            </w:r>
          </w:p>
        </w:tc>
        <w:tc>
          <w:tcPr>
            <w:tcW w:w="1275" w:type="dxa"/>
            <w:tcBorders>
              <w:top w:val="nil"/>
              <w:left w:val="single" w:sz="4" w:space="0" w:color="auto"/>
              <w:bottom w:val="nil"/>
              <w:right w:val="single" w:sz="4" w:space="0" w:color="auto"/>
            </w:tcBorders>
            <w:shd w:val="clear" w:color="auto" w:fill="auto"/>
            <w:vAlign w:val="center"/>
          </w:tcPr>
          <w:p w14:paraId="096BB8C7"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1 469</w:t>
            </w:r>
          </w:p>
        </w:tc>
        <w:tc>
          <w:tcPr>
            <w:tcW w:w="1134" w:type="dxa"/>
            <w:tcBorders>
              <w:left w:val="single" w:sz="4" w:space="0" w:color="auto"/>
              <w:right w:val="single" w:sz="4" w:space="0" w:color="auto"/>
            </w:tcBorders>
            <w:shd w:val="clear" w:color="auto" w:fill="auto"/>
            <w:vAlign w:val="center"/>
          </w:tcPr>
          <w:p w14:paraId="049C7347"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1 462</w:t>
            </w:r>
          </w:p>
        </w:tc>
        <w:tc>
          <w:tcPr>
            <w:tcW w:w="993" w:type="dxa"/>
            <w:tcBorders>
              <w:top w:val="nil"/>
              <w:left w:val="single" w:sz="4" w:space="0" w:color="auto"/>
              <w:bottom w:val="nil"/>
              <w:right w:val="single" w:sz="4" w:space="0" w:color="auto"/>
            </w:tcBorders>
            <w:shd w:val="clear" w:color="auto" w:fill="auto"/>
            <w:vAlign w:val="center"/>
          </w:tcPr>
          <w:p w14:paraId="00FF1B20" w14:textId="77777777" w:rsidR="00651355" w:rsidRPr="00651355" w:rsidRDefault="00651355" w:rsidP="00651355">
            <w:pPr>
              <w:spacing w:before="40" w:after="40"/>
              <w:ind w:right="170"/>
              <w:jc w:val="right"/>
              <w:rPr>
                <w:rFonts w:eastAsia="Calibri"/>
                <w:sz w:val="18"/>
                <w:szCs w:val="18"/>
                <w:lang w:val="en-US" w:eastAsia="en-US"/>
              </w:rPr>
            </w:pPr>
            <w:r w:rsidRPr="00651355">
              <w:rPr>
                <w:rFonts w:eastAsia="Calibri"/>
                <w:sz w:val="18"/>
                <w:szCs w:val="18"/>
                <w:lang w:val="en-US" w:eastAsia="en-US"/>
              </w:rPr>
              <w:t>10.6</w:t>
            </w:r>
          </w:p>
        </w:tc>
        <w:tc>
          <w:tcPr>
            <w:tcW w:w="992" w:type="dxa"/>
            <w:tcBorders>
              <w:top w:val="nil"/>
              <w:left w:val="single" w:sz="4" w:space="0" w:color="auto"/>
              <w:bottom w:val="nil"/>
              <w:right w:val="single" w:sz="4" w:space="0" w:color="auto"/>
            </w:tcBorders>
            <w:shd w:val="clear" w:color="auto" w:fill="auto"/>
            <w:vAlign w:val="center"/>
          </w:tcPr>
          <w:p w14:paraId="55C0542B" w14:textId="77777777" w:rsidR="00651355" w:rsidRPr="00651355" w:rsidRDefault="00651355" w:rsidP="00651355">
            <w:pPr>
              <w:spacing w:before="40" w:after="40"/>
              <w:ind w:right="284"/>
              <w:jc w:val="right"/>
              <w:rPr>
                <w:rFonts w:eastAsia="Calibri"/>
                <w:bCs/>
                <w:sz w:val="18"/>
                <w:szCs w:val="18"/>
                <w:lang w:val="en-US" w:eastAsia="en-US"/>
              </w:rPr>
            </w:pPr>
            <w:r w:rsidRPr="00651355">
              <w:rPr>
                <w:rFonts w:eastAsia="Calibri"/>
                <w:bCs/>
                <w:sz w:val="18"/>
                <w:szCs w:val="18"/>
                <w:lang w:val="en-US" w:eastAsia="en-US"/>
              </w:rPr>
              <w:t>-0.5</w:t>
            </w:r>
          </w:p>
        </w:tc>
      </w:tr>
      <w:tr w:rsidR="00651355" w:rsidRPr="00651355" w14:paraId="2FB7602F"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4F289DE5" w14:textId="77777777" w:rsidR="00651355" w:rsidRPr="00651355" w:rsidRDefault="00651355" w:rsidP="00651355">
            <w:pPr>
              <w:ind w:left="227"/>
              <w:rPr>
                <w:rFonts w:eastAsia="Calibri"/>
                <w:bCs/>
                <w:sz w:val="18"/>
                <w:szCs w:val="18"/>
                <w:lang w:val="en-US" w:eastAsia="en-US"/>
              </w:rPr>
            </w:pPr>
            <w:r w:rsidRPr="00651355">
              <w:rPr>
                <w:rFonts w:eastAsia="Calibri"/>
                <w:bCs/>
                <w:sz w:val="18"/>
                <w:szCs w:val="18"/>
                <w:lang w:val="en-US" w:eastAsia="en-US"/>
              </w:rPr>
              <w:t>Entidades financieras</w:t>
            </w:r>
          </w:p>
        </w:tc>
        <w:tc>
          <w:tcPr>
            <w:tcW w:w="1112" w:type="dxa"/>
            <w:tcBorders>
              <w:left w:val="single" w:sz="4" w:space="0" w:color="auto"/>
              <w:right w:val="single" w:sz="4" w:space="0" w:color="auto"/>
            </w:tcBorders>
            <w:shd w:val="clear" w:color="auto" w:fill="auto"/>
            <w:vAlign w:val="center"/>
          </w:tcPr>
          <w:p w14:paraId="643E3EBE"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111</w:t>
            </w:r>
          </w:p>
        </w:tc>
        <w:tc>
          <w:tcPr>
            <w:tcW w:w="1275" w:type="dxa"/>
            <w:tcBorders>
              <w:top w:val="nil"/>
              <w:left w:val="single" w:sz="4" w:space="0" w:color="auto"/>
              <w:bottom w:val="nil"/>
              <w:right w:val="single" w:sz="4" w:space="0" w:color="auto"/>
            </w:tcBorders>
            <w:shd w:val="clear" w:color="auto" w:fill="auto"/>
            <w:vAlign w:val="center"/>
          </w:tcPr>
          <w:p w14:paraId="42F9F616"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116</w:t>
            </w:r>
          </w:p>
        </w:tc>
        <w:tc>
          <w:tcPr>
            <w:tcW w:w="1134" w:type="dxa"/>
            <w:tcBorders>
              <w:left w:val="single" w:sz="4" w:space="0" w:color="auto"/>
              <w:right w:val="single" w:sz="4" w:space="0" w:color="auto"/>
            </w:tcBorders>
            <w:shd w:val="clear" w:color="auto" w:fill="auto"/>
            <w:vAlign w:val="center"/>
          </w:tcPr>
          <w:p w14:paraId="0A627586"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114</w:t>
            </w:r>
          </w:p>
        </w:tc>
        <w:tc>
          <w:tcPr>
            <w:tcW w:w="993" w:type="dxa"/>
            <w:tcBorders>
              <w:top w:val="nil"/>
              <w:left w:val="single" w:sz="4" w:space="0" w:color="auto"/>
              <w:bottom w:val="nil"/>
              <w:right w:val="single" w:sz="4" w:space="0" w:color="auto"/>
            </w:tcBorders>
            <w:shd w:val="clear" w:color="auto" w:fill="auto"/>
            <w:vAlign w:val="center"/>
          </w:tcPr>
          <w:p w14:paraId="7E434CC0" w14:textId="77777777" w:rsidR="00651355" w:rsidRPr="00651355" w:rsidRDefault="00651355" w:rsidP="00651355">
            <w:pPr>
              <w:spacing w:before="40" w:after="40"/>
              <w:ind w:right="170"/>
              <w:jc w:val="right"/>
              <w:rPr>
                <w:rFonts w:eastAsia="Calibri"/>
                <w:sz w:val="18"/>
                <w:szCs w:val="18"/>
                <w:lang w:val="en-US" w:eastAsia="en-US"/>
              </w:rPr>
            </w:pPr>
            <w:r w:rsidRPr="00651355">
              <w:rPr>
                <w:rFonts w:eastAsia="Calibri"/>
                <w:sz w:val="18"/>
                <w:szCs w:val="18"/>
                <w:lang w:val="en-US" w:eastAsia="en-US"/>
              </w:rPr>
              <w:t>3.3</w:t>
            </w:r>
          </w:p>
        </w:tc>
        <w:tc>
          <w:tcPr>
            <w:tcW w:w="992" w:type="dxa"/>
            <w:tcBorders>
              <w:top w:val="nil"/>
              <w:left w:val="single" w:sz="4" w:space="0" w:color="auto"/>
              <w:bottom w:val="nil"/>
              <w:right w:val="single" w:sz="4" w:space="0" w:color="auto"/>
            </w:tcBorders>
            <w:shd w:val="clear" w:color="auto" w:fill="auto"/>
            <w:vAlign w:val="center"/>
          </w:tcPr>
          <w:p w14:paraId="76E44EFE" w14:textId="77777777" w:rsidR="00651355" w:rsidRPr="00651355" w:rsidRDefault="00651355" w:rsidP="00651355">
            <w:pPr>
              <w:spacing w:before="40" w:after="40"/>
              <w:ind w:right="284"/>
              <w:jc w:val="right"/>
              <w:rPr>
                <w:rFonts w:eastAsia="Calibri"/>
                <w:bCs/>
                <w:sz w:val="18"/>
                <w:szCs w:val="18"/>
                <w:lang w:val="en-US" w:eastAsia="en-US"/>
              </w:rPr>
            </w:pPr>
            <w:r w:rsidRPr="00651355">
              <w:rPr>
                <w:rFonts w:eastAsia="Calibri"/>
                <w:bCs/>
                <w:sz w:val="18"/>
                <w:szCs w:val="18"/>
                <w:lang w:val="en-US" w:eastAsia="en-US"/>
              </w:rPr>
              <w:t>-1.1</w:t>
            </w:r>
          </w:p>
        </w:tc>
      </w:tr>
      <w:tr w:rsidR="00651355" w:rsidRPr="00651355" w14:paraId="7D8B3E06"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8F1B2EF" w14:textId="77777777" w:rsidR="00651355" w:rsidRPr="00651355" w:rsidRDefault="00651355" w:rsidP="00651355">
            <w:pPr>
              <w:ind w:left="227"/>
              <w:rPr>
                <w:rFonts w:eastAsia="Calibri"/>
                <w:bCs/>
                <w:sz w:val="18"/>
                <w:szCs w:val="18"/>
                <w:lang w:val="en-US" w:eastAsia="en-US"/>
              </w:rPr>
            </w:pPr>
            <w:r w:rsidRPr="00651355">
              <w:rPr>
                <w:rFonts w:eastAsia="Calibri"/>
                <w:bCs/>
                <w:sz w:val="18"/>
                <w:szCs w:val="18"/>
                <w:lang w:val="en-US" w:eastAsia="en-US"/>
              </w:rPr>
              <w:t>Entidades gubernamentales</w:t>
            </w:r>
          </w:p>
        </w:tc>
        <w:tc>
          <w:tcPr>
            <w:tcW w:w="1112" w:type="dxa"/>
            <w:tcBorders>
              <w:left w:val="single" w:sz="4" w:space="0" w:color="auto"/>
              <w:right w:val="single" w:sz="4" w:space="0" w:color="auto"/>
            </w:tcBorders>
            <w:shd w:val="clear" w:color="auto" w:fill="auto"/>
            <w:vAlign w:val="center"/>
          </w:tcPr>
          <w:p w14:paraId="5B6A35B7"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404</w:t>
            </w:r>
          </w:p>
        </w:tc>
        <w:tc>
          <w:tcPr>
            <w:tcW w:w="1275" w:type="dxa"/>
            <w:tcBorders>
              <w:top w:val="nil"/>
              <w:left w:val="single" w:sz="4" w:space="0" w:color="auto"/>
              <w:bottom w:val="nil"/>
              <w:right w:val="single" w:sz="4" w:space="0" w:color="auto"/>
            </w:tcBorders>
            <w:shd w:val="clear" w:color="auto" w:fill="auto"/>
            <w:vAlign w:val="center"/>
          </w:tcPr>
          <w:p w14:paraId="149BA4D8"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518</w:t>
            </w:r>
          </w:p>
        </w:tc>
        <w:tc>
          <w:tcPr>
            <w:tcW w:w="1134" w:type="dxa"/>
            <w:tcBorders>
              <w:left w:val="single" w:sz="4" w:space="0" w:color="auto"/>
              <w:right w:val="single" w:sz="4" w:space="0" w:color="auto"/>
            </w:tcBorders>
            <w:shd w:val="clear" w:color="auto" w:fill="auto"/>
            <w:vAlign w:val="center"/>
          </w:tcPr>
          <w:p w14:paraId="320FB382"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516</w:t>
            </w:r>
          </w:p>
        </w:tc>
        <w:tc>
          <w:tcPr>
            <w:tcW w:w="993" w:type="dxa"/>
            <w:tcBorders>
              <w:top w:val="nil"/>
              <w:left w:val="single" w:sz="4" w:space="0" w:color="auto"/>
              <w:bottom w:val="nil"/>
              <w:right w:val="single" w:sz="4" w:space="0" w:color="auto"/>
            </w:tcBorders>
            <w:shd w:val="clear" w:color="auto" w:fill="auto"/>
            <w:vAlign w:val="center"/>
          </w:tcPr>
          <w:p w14:paraId="1F664F2E" w14:textId="77777777" w:rsidR="00651355" w:rsidRPr="00651355" w:rsidRDefault="00651355" w:rsidP="00651355">
            <w:pPr>
              <w:spacing w:before="40" w:after="40"/>
              <w:ind w:right="170"/>
              <w:jc w:val="right"/>
              <w:rPr>
                <w:rFonts w:eastAsia="Calibri"/>
                <w:sz w:val="18"/>
                <w:szCs w:val="18"/>
                <w:lang w:val="en-US" w:eastAsia="en-US"/>
              </w:rPr>
            </w:pPr>
            <w:r w:rsidRPr="00651355">
              <w:rPr>
                <w:rFonts w:eastAsia="Calibri"/>
                <w:sz w:val="18"/>
                <w:szCs w:val="18"/>
                <w:lang w:val="en-US" w:eastAsia="en-US"/>
              </w:rPr>
              <w:t>27.6</w:t>
            </w:r>
          </w:p>
        </w:tc>
        <w:tc>
          <w:tcPr>
            <w:tcW w:w="992" w:type="dxa"/>
            <w:tcBorders>
              <w:top w:val="nil"/>
              <w:left w:val="single" w:sz="4" w:space="0" w:color="auto"/>
              <w:bottom w:val="nil"/>
              <w:right w:val="single" w:sz="4" w:space="0" w:color="auto"/>
            </w:tcBorders>
            <w:shd w:val="clear" w:color="auto" w:fill="auto"/>
            <w:vAlign w:val="center"/>
          </w:tcPr>
          <w:p w14:paraId="32F86018" w14:textId="77777777" w:rsidR="00651355" w:rsidRPr="00651355" w:rsidRDefault="00651355" w:rsidP="00651355">
            <w:pPr>
              <w:spacing w:before="40" w:after="40"/>
              <w:ind w:right="284"/>
              <w:jc w:val="right"/>
              <w:rPr>
                <w:rFonts w:eastAsia="Calibri"/>
                <w:bCs/>
                <w:sz w:val="18"/>
                <w:szCs w:val="18"/>
                <w:lang w:val="en-US" w:eastAsia="en-US"/>
              </w:rPr>
            </w:pPr>
            <w:r w:rsidRPr="00651355">
              <w:rPr>
                <w:rFonts w:eastAsia="Calibri"/>
                <w:bCs/>
                <w:sz w:val="18"/>
                <w:szCs w:val="18"/>
                <w:lang w:val="en-US" w:eastAsia="en-US"/>
              </w:rPr>
              <w:t>-0.4</w:t>
            </w:r>
          </w:p>
        </w:tc>
      </w:tr>
      <w:tr w:rsidR="00651355" w:rsidRPr="00651355" w14:paraId="7C90FF34"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61D76D0E"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Créditos al Gobierno Federal o con su garantía</w:t>
            </w:r>
          </w:p>
        </w:tc>
        <w:tc>
          <w:tcPr>
            <w:tcW w:w="1112" w:type="dxa"/>
            <w:tcBorders>
              <w:left w:val="single" w:sz="4" w:space="0" w:color="auto"/>
              <w:right w:val="single" w:sz="4" w:space="0" w:color="auto"/>
            </w:tcBorders>
            <w:shd w:val="clear" w:color="auto" w:fill="auto"/>
            <w:vAlign w:val="center"/>
          </w:tcPr>
          <w:p w14:paraId="207F9C1D"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28</w:t>
            </w:r>
          </w:p>
        </w:tc>
        <w:tc>
          <w:tcPr>
            <w:tcW w:w="1275" w:type="dxa"/>
            <w:tcBorders>
              <w:top w:val="nil"/>
              <w:left w:val="single" w:sz="4" w:space="0" w:color="auto"/>
              <w:bottom w:val="nil"/>
              <w:right w:val="single" w:sz="4" w:space="0" w:color="auto"/>
            </w:tcBorders>
            <w:shd w:val="clear" w:color="auto" w:fill="auto"/>
            <w:vAlign w:val="center"/>
          </w:tcPr>
          <w:p w14:paraId="5A94B8D5"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49</w:t>
            </w:r>
          </w:p>
        </w:tc>
        <w:tc>
          <w:tcPr>
            <w:tcW w:w="1134" w:type="dxa"/>
            <w:tcBorders>
              <w:left w:val="single" w:sz="4" w:space="0" w:color="auto"/>
              <w:right w:val="single" w:sz="4" w:space="0" w:color="auto"/>
            </w:tcBorders>
            <w:shd w:val="clear" w:color="auto" w:fill="auto"/>
            <w:vAlign w:val="center"/>
          </w:tcPr>
          <w:p w14:paraId="1683BB58"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49</w:t>
            </w:r>
          </w:p>
        </w:tc>
        <w:tc>
          <w:tcPr>
            <w:tcW w:w="993" w:type="dxa"/>
            <w:tcBorders>
              <w:top w:val="nil"/>
              <w:left w:val="single" w:sz="4" w:space="0" w:color="auto"/>
              <w:bottom w:val="nil"/>
              <w:right w:val="single" w:sz="4" w:space="0" w:color="auto"/>
            </w:tcBorders>
            <w:shd w:val="clear" w:color="auto" w:fill="auto"/>
            <w:vAlign w:val="center"/>
          </w:tcPr>
          <w:p w14:paraId="56B6CB07"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74.5</w:t>
            </w:r>
          </w:p>
        </w:tc>
        <w:tc>
          <w:tcPr>
            <w:tcW w:w="992" w:type="dxa"/>
            <w:tcBorders>
              <w:top w:val="nil"/>
              <w:left w:val="single" w:sz="4" w:space="0" w:color="auto"/>
              <w:bottom w:val="nil"/>
              <w:right w:val="single" w:sz="4" w:space="0" w:color="auto"/>
            </w:tcBorders>
            <w:shd w:val="clear" w:color="auto" w:fill="auto"/>
            <w:vAlign w:val="center"/>
          </w:tcPr>
          <w:p w14:paraId="3D979DE4"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-0.9</w:t>
            </w:r>
          </w:p>
        </w:tc>
      </w:tr>
      <w:tr w:rsidR="00651355" w:rsidRPr="00651355" w14:paraId="3F22F62E"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619B63C0"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Créditos a estados y municipios o con su garantía</w:t>
            </w:r>
          </w:p>
        </w:tc>
        <w:tc>
          <w:tcPr>
            <w:tcW w:w="1112" w:type="dxa"/>
            <w:tcBorders>
              <w:left w:val="single" w:sz="4" w:space="0" w:color="auto"/>
              <w:right w:val="single" w:sz="4" w:space="0" w:color="auto"/>
            </w:tcBorders>
            <w:shd w:val="clear" w:color="auto" w:fill="auto"/>
            <w:vAlign w:val="center"/>
          </w:tcPr>
          <w:p w14:paraId="214EB251"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285</w:t>
            </w:r>
          </w:p>
        </w:tc>
        <w:tc>
          <w:tcPr>
            <w:tcW w:w="1275" w:type="dxa"/>
            <w:tcBorders>
              <w:top w:val="nil"/>
              <w:left w:val="single" w:sz="4" w:space="0" w:color="auto"/>
              <w:bottom w:val="nil"/>
              <w:right w:val="single" w:sz="4" w:space="0" w:color="auto"/>
            </w:tcBorders>
            <w:shd w:val="clear" w:color="auto" w:fill="auto"/>
            <w:vAlign w:val="center"/>
          </w:tcPr>
          <w:p w14:paraId="631B80AD"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306</w:t>
            </w:r>
          </w:p>
        </w:tc>
        <w:tc>
          <w:tcPr>
            <w:tcW w:w="1134" w:type="dxa"/>
            <w:tcBorders>
              <w:left w:val="single" w:sz="4" w:space="0" w:color="auto"/>
              <w:right w:val="single" w:sz="4" w:space="0" w:color="auto"/>
            </w:tcBorders>
            <w:shd w:val="clear" w:color="auto" w:fill="auto"/>
            <w:vAlign w:val="center"/>
          </w:tcPr>
          <w:p w14:paraId="31244FFB"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308</w:t>
            </w:r>
          </w:p>
        </w:tc>
        <w:tc>
          <w:tcPr>
            <w:tcW w:w="993" w:type="dxa"/>
            <w:tcBorders>
              <w:top w:val="nil"/>
              <w:left w:val="single" w:sz="4" w:space="0" w:color="auto"/>
              <w:bottom w:val="nil"/>
              <w:right w:val="single" w:sz="4" w:space="0" w:color="auto"/>
            </w:tcBorders>
            <w:shd w:val="clear" w:color="auto" w:fill="auto"/>
            <w:vAlign w:val="center"/>
          </w:tcPr>
          <w:p w14:paraId="591D0F92"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8.1</w:t>
            </w:r>
          </w:p>
        </w:tc>
        <w:tc>
          <w:tcPr>
            <w:tcW w:w="992" w:type="dxa"/>
            <w:tcBorders>
              <w:top w:val="nil"/>
              <w:left w:val="single" w:sz="4" w:space="0" w:color="auto"/>
              <w:bottom w:val="nil"/>
              <w:right w:val="single" w:sz="4" w:space="0" w:color="auto"/>
            </w:tcBorders>
            <w:shd w:val="clear" w:color="auto" w:fill="auto"/>
            <w:vAlign w:val="center"/>
          </w:tcPr>
          <w:p w14:paraId="4AEB4781"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0.8</w:t>
            </w:r>
          </w:p>
        </w:tc>
      </w:tr>
      <w:tr w:rsidR="00651355" w:rsidRPr="00651355" w14:paraId="38FF55A8"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3B4B2624" w14:textId="77777777" w:rsidR="00651355" w:rsidRPr="00651355" w:rsidRDefault="00651355" w:rsidP="00651355">
            <w:pPr>
              <w:spacing w:after="120"/>
              <w:ind w:left="340"/>
              <w:rPr>
                <w:rFonts w:eastAsia="Calibri"/>
                <w:bCs/>
                <w:sz w:val="18"/>
                <w:szCs w:val="18"/>
                <w:lang w:eastAsia="en-US"/>
              </w:rPr>
            </w:pPr>
            <w:r w:rsidRPr="00651355">
              <w:rPr>
                <w:rFonts w:eastAsia="Calibri"/>
                <w:bCs/>
                <w:sz w:val="18"/>
                <w:szCs w:val="18"/>
                <w:lang w:eastAsia="en-US"/>
              </w:rPr>
              <w:t>Créditos a organismos descentralizados o desconcentrados</w:t>
            </w:r>
          </w:p>
        </w:tc>
        <w:tc>
          <w:tcPr>
            <w:tcW w:w="1112" w:type="dxa"/>
            <w:tcBorders>
              <w:left w:val="single" w:sz="4" w:space="0" w:color="auto"/>
              <w:right w:val="single" w:sz="4" w:space="0" w:color="auto"/>
            </w:tcBorders>
            <w:shd w:val="clear" w:color="auto" w:fill="auto"/>
            <w:vAlign w:val="center"/>
          </w:tcPr>
          <w:p w14:paraId="4D030E5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91</w:t>
            </w:r>
          </w:p>
        </w:tc>
        <w:tc>
          <w:tcPr>
            <w:tcW w:w="1275" w:type="dxa"/>
            <w:tcBorders>
              <w:top w:val="nil"/>
              <w:left w:val="single" w:sz="4" w:space="0" w:color="auto"/>
              <w:bottom w:val="nil"/>
              <w:right w:val="single" w:sz="4" w:space="0" w:color="auto"/>
            </w:tcBorders>
            <w:shd w:val="clear" w:color="auto" w:fill="auto"/>
            <w:vAlign w:val="center"/>
          </w:tcPr>
          <w:p w14:paraId="094A029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162</w:t>
            </w:r>
          </w:p>
        </w:tc>
        <w:tc>
          <w:tcPr>
            <w:tcW w:w="1134" w:type="dxa"/>
            <w:tcBorders>
              <w:left w:val="single" w:sz="4" w:space="0" w:color="auto"/>
              <w:right w:val="single" w:sz="4" w:space="0" w:color="auto"/>
            </w:tcBorders>
            <w:shd w:val="clear" w:color="auto" w:fill="auto"/>
            <w:vAlign w:val="center"/>
          </w:tcPr>
          <w:p w14:paraId="77520C4E"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158</w:t>
            </w:r>
          </w:p>
        </w:tc>
        <w:tc>
          <w:tcPr>
            <w:tcW w:w="993" w:type="dxa"/>
            <w:tcBorders>
              <w:top w:val="nil"/>
              <w:left w:val="single" w:sz="4" w:space="0" w:color="auto"/>
              <w:bottom w:val="nil"/>
              <w:right w:val="single" w:sz="4" w:space="0" w:color="auto"/>
            </w:tcBorders>
            <w:shd w:val="clear" w:color="auto" w:fill="auto"/>
            <w:vAlign w:val="center"/>
          </w:tcPr>
          <w:p w14:paraId="21AF080B"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74.5</w:t>
            </w:r>
          </w:p>
        </w:tc>
        <w:tc>
          <w:tcPr>
            <w:tcW w:w="992" w:type="dxa"/>
            <w:tcBorders>
              <w:top w:val="nil"/>
              <w:left w:val="single" w:sz="4" w:space="0" w:color="auto"/>
              <w:bottom w:val="nil"/>
              <w:right w:val="single" w:sz="4" w:space="0" w:color="auto"/>
            </w:tcBorders>
            <w:shd w:val="clear" w:color="auto" w:fill="auto"/>
            <w:vAlign w:val="center"/>
          </w:tcPr>
          <w:p w14:paraId="52D463A3"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-2.5</w:t>
            </w:r>
          </w:p>
        </w:tc>
      </w:tr>
      <w:tr w:rsidR="00651355" w:rsidRPr="00651355" w14:paraId="6C505D54"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3685E805"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Consumo</w:t>
            </w:r>
          </w:p>
        </w:tc>
        <w:tc>
          <w:tcPr>
            <w:tcW w:w="1112" w:type="dxa"/>
            <w:tcBorders>
              <w:left w:val="single" w:sz="4" w:space="0" w:color="auto"/>
              <w:right w:val="single" w:sz="4" w:space="0" w:color="auto"/>
            </w:tcBorders>
            <w:shd w:val="clear" w:color="auto" w:fill="auto"/>
            <w:vAlign w:val="center"/>
          </w:tcPr>
          <w:p w14:paraId="4A22E76D"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672</w:t>
            </w:r>
          </w:p>
        </w:tc>
        <w:tc>
          <w:tcPr>
            <w:tcW w:w="1275" w:type="dxa"/>
            <w:tcBorders>
              <w:top w:val="nil"/>
              <w:left w:val="single" w:sz="4" w:space="0" w:color="auto"/>
              <w:bottom w:val="nil"/>
              <w:right w:val="single" w:sz="4" w:space="0" w:color="auto"/>
            </w:tcBorders>
            <w:shd w:val="clear" w:color="auto" w:fill="auto"/>
            <w:vAlign w:val="center"/>
          </w:tcPr>
          <w:p w14:paraId="381511BF"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713</w:t>
            </w:r>
          </w:p>
        </w:tc>
        <w:tc>
          <w:tcPr>
            <w:tcW w:w="1134" w:type="dxa"/>
            <w:tcBorders>
              <w:left w:val="single" w:sz="4" w:space="0" w:color="auto"/>
              <w:right w:val="single" w:sz="4" w:space="0" w:color="auto"/>
            </w:tcBorders>
            <w:shd w:val="clear" w:color="auto" w:fill="auto"/>
            <w:vAlign w:val="center"/>
          </w:tcPr>
          <w:p w14:paraId="1B569B5D"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713</w:t>
            </w:r>
          </w:p>
        </w:tc>
        <w:tc>
          <w:tcPr>
            <w:tcW w:w="993" w:type="dxa"/>
            <w:tcBorders>
              <w:top w:val="nil"/>
              <w:left w:val="single" w:sz="4" w:space="0" w:color="auto"/>
              <w:bottom w:val="nil"/>
              <w:right w:val="single" w:sz="4" w:space="0" w:color="auto"/>
            </w:tcBorders>
            <w:shd w:val="clear" w:color="auto" w:fill="auto"/>
            <w:vAlign w:val="center"/>
          </w:tcPr>
          <w:p w14:paraId="6493037E" w14:textId="77777777" w:rsidR="00651355" w:rsidRPr="00651355" w:rsidRDefault="00651355" w:rsidP="00651355">
            <w:pPr>
              <w:spacing w:before="40" w:after="40"/>
              <w:ind w:right="170"/>
              <w:jc w:val="right"/>
              <w:rPr>
                <w:rFonts w:eastAsia="Calibri"/>
                <w:b/>
                <w:sz w:val="18"/>
                <w:szCs w:val="18"/>
                <w:lang w:eastAsia="en-US"/>
              </w:rPr>
            </w:pPr>
            <w:r w:rsidRPr="00651355">
              <w:rPr>
                <w:rFonts w:eastAsia="Calibri"/>
                <w:b/>
                <w:sz w:val="18"/>
                <w:szCs w:val="18"/>
                <w:lang w:eastAsia="en-US"/>
              </w:rPr>
              <w:t>6.0</w:t>
            </w:r>
          </w:p>
        </w:tc>
        <w:tc>
          <w:tcPr>
            <w:tcW w:w="992" w:type="dxa"/>
            <w:tcBorders>
              <w:top w:val="nil"/>
              <w:left w:val="single" w:sz="4" w:space="0" w:color="auto"/>
              <w:bottom w:val="nil"/>
              <w:right w:val="single" w:sz="4" w:space="0" w:color="auto"/>
            </w:tcBorders>
            <w:shd w:val="clear" w:color="auto" w:fill="auto"/>
            <w:vAlign w:val="center"/>
          </w:tcPr>
          <w:p w14:paraId="76F9E844" w14:textId="77777777" w:rsidR="00651355" w:rsidRPr="00651355" w:rsidRDefault="00651355" w:rsidP="00651355">
            <w:pPr>
              <w:spacing w:before="40" w:after="40"/>
              <w:ind w:right="284"/>
              <w:jc w:val="right"/>
              <w:rPr>
                <w:rFonts w:eastAsia="Calibri"/>
                <w:b/>
                <w:bCs/>
                <w:sz w:val="18"/>
                <w:szCs w:val="18"/>
                <w:lang w:eastAsia="en-US"/>
              </w:rPr>
            </w:pPr>
            <w:r w:rsidRPr="00651355">
              <w:rPr>
                <w:rFonts w:eastAsia="Calibri"/>
                <w:b/>
                <w:bCs/>
                <w:sz w:val="18"/>
                <w:szCs w:val="18"/>
                <w:lang w:eastAsia="en-US"/>
              </w:rPr>
              <w:t>0.0</w:t>
            </w:r>
          </w:p>
        </w:tc>
      </w:tr>
      <w:tr w:rsidR="00651355" w:rsidRPr="00651355" w14:paraId="3B74AB04"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62195D9E"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Tarjeta de crédito</w:t>
            </w:r>
          </w:p>
        </w:tc>
        <w:tc>
          <w:tcPr>
            <w:tcW w:w="1112" w:type="dxa"/>
            <w:tcBorders>
              <w:left w:val="single" w:sz="4" w:space="0" w:color="auto"/>
              <w:right w:val="single" w:sz="4" w:space="0" w:color="auto"/>
            </w:tcBorders>
            <w:shd w:val="clear" w:color="auto" w:fill="auto"/>
            <w:vAlign w:val="center"/>
          </w:tcPr>
          <w:p w14:paraId="02296B3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299</w:t>
            </w:r>
          </w:p>
        </w:tc>
        <w:tc>
          <w:tcPr>
            <w:tcW w:w="1275" w:type="dxa"/>
            <w:tcBorders>
              <w:top w:val="nil"/>
              <w:left w:val="single" w:sz="4" w:space="0" w:color="auto"/>
              <w:bottom w:val="nil"/>
              <w:right w:val="single" w:sz="4" w:space="0" w:color="auto"/>
            </w:tcBorders>
            <w:shd w:val="clear" w:color="auto" w:fill="auto"/>
            <w:vAlign w:val="center"/>
          </w:tcPr>
          <w:p w14:paraId="0A02D74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309</w:t>
            </w:r>
          </w:p>
        </w:tc>
        <w:tc>
          <w:tcPr>
            <w:tcW w:w="1134" w:type="dxa"/>
            <w:tcBorders>
              <w:left w:val="single" w:sz="4" w:space="0" w:color="auto"/>
              <w:right w:val="single" w:sz="4" w:space="0" w:color="auto"/>
            </w:tcBorders>
            <w:shd w:val="clear" w:color="auto" w:fill="auto"/>
            <w:vAlign w:val="center"/>
          </w:tcPr>
          <w:p w14:paraId="2A097E69"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306</w:t>
            </w:r>
          </w:p>
        </w:tc>
        <w:tc>
          <w:tcPr>
            <w:tcW w:w="993" w:type="dxa"/>
            <w:tcBorders>
              <w:top w:val="nil"/>
              <w:left w:val="single" w:sz="4" w:space="0" w:color="auto"/>
              <w:bottom w:val="nil"/>
              <w:right w:val="single" w:sz="4" w:space="0" w:color="auto"/>
            </w:tcBorders>
            <w:shd w:val="clear" w:color="auto" w:fill="auto"/>
            <w:vAlign w:val="center"/>
          </w:tcPr>
          <w:p w14:paraId="494354C8"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2.3</w:t>
            </w:r>
          </w:p>
        </w:tc>
        <w:tc>
          <w:tcPr>
            <w:tcW w:w="992" w:type="dxa"/>
            <w:tcBorders>
              <w:top w:val="nil"/>
              <w:left w:val="single" w:sz="4" w:space="0" w:color="auto"/>
              <w:bottom w:val="nil"/>
              <w:right w:val="single" w:sz="4" w:space="0" w:color="auto"/>
            </w:tcBorders>
            <w:shd w:val="clear" w:color="auto" w:fill="auto"/>
            <w:vAlign w:val="center"/>
          </w:tcPr>
          <w:p w14:paraId="371854A9"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-0.8</w:t>
            </w:r>
          </w:p>
        </w:tc>
      </w:tr>
      <w:tr w:rsidR="00651355" w:rsidRPr="00651355" w14:paraId="211F2AB6"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05D18735"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Personales</w:t>
            </w:r>
          </w:p>
        </w:tc>
        <w:tc>
          <w:tcPr>
            <w:tcW w:w="1112" w:type="dxa"/>
            <w:tcBorders>
              <w:left w:val="single" w:sz="4" w:space="0" w:color="auto"/>
              <w:right w:val="single" w:sz="4" w:space="0" w:color="auto"/>
            </w:tcBorders>
            <w:shd w:val="clear" w:color="auto" w:fill="auto"/>
            <w:vAlign w:val="center"/>
          </w:tcPr>
          <w:p w14:paraId="523CAC0F"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129</w:t>
            </w:r>
          </w:p>
        </w:tc>
        <w:tc>
          <w:tcPr>
            <w:tcW w:w="1275" w:type="dxa"/>
            <w:tcBorders>
              <w:top w:val="nil"/>
              <w:left w:val="single" w:sz="4" w:space="0" w:color="auto"/>
              <w:bottom w:val="nil"/>
              <w:right w:val="single" w:sz="4" w:space="0" w:color="auto"/>
            </w:tcBorders>
            <w:shd w:val="clear" w:color="auto" w:fill="auto"/>
            <w:vAlign w:val="center"/>
          </w:tcPr>
          <w:p w14:paraId="7CA190F0"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136</w:t>
            </w:r>
          </w:p>
        </w:tc>
        <w:tc>
          <w:tcPr>
            <w:tcW w:w="1134" w:type="dxa"/>
            <w:tcBorders>
              <w:left w:val="single" w:sz="4" w:space="0" w:color="auto"/>
              <w:right w:val="single" w:sz="4" w:space="0" w:color="auto"/>
            </w:tcBorders>
            <w:shd w:val="clear" w:color="auto" w:fill="auto"/>
            <w:vAlign w:val="center"/>
          </w:tcPr>
          <w:p w14:paraId="5D42510E"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136</w:t>
            </w:r>
          </w:p>
        </w:tc>
        <w:tc>
          <w:tcPr>
            <w:tcW w:w="993" w:type="dxa"/>
            <w:tcBorders>
              <w:top w:val="nil"/>
              <w:left w:val="single" w:sz="4" w:space="0" w:color="auto"/>
              <w:bottom w:val="nil"/>
              <w:right w:val="single" w:sz="4" w:space="0" w:color="auto"/>
            </w:tcBorders>
            <w:shd w:val="clear" w:color="auto" w:fill="auto"/>
            <w:vAlign w:val="center"/>
          </w:tcPr>
          <w:p w14:paraId="542C6851"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5.7</w:t>
            </w:r>
          </w:p>
        </w:tc>
        <w:tc>
          <w:tcPr>
            <w:tcW w:w="992" w:type="dxa"/>
            <w:tcBorders>
              <w:top w:val="nil"/>
              <w:left w:val="single" w:sz="4" w:space="0" w:color="auto"/>
              <w:bottom w:val="nil"/>
              <w:right w:val="single" w:sz="4" w:space="0" w:color="auto"/>
            </w:tcBorders>
            <w:shd w:val="clear" w:color="auto" w:fill="auto"/>
            <w:vAlign w:val="center"/>
          </w:tcPr>
          <w:p w14:paraId="46AACA49"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0.0</w:t>
            </w:r>
          </w:p>
        </w:tc>
      </w:tr>
      <w:tr w:rsidR="00651355" w:rsidRPr="00651355" w14:paraId="151FA269"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43B659F0"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Nómina</w:t>
            </w:r>
          </w:p>
        </w:tc>
        <w:tc>
          <w:tcPr>
            <w:tcW w:w="1112" w:type="dxa"/>
            <w:tcBorders>
              <w:left w:val="single" w:sz="4" w:space="0" w:color="auto"/>
              <w:right w:val="single" w:sz="4" w:space="0" w:color="auto"/>
            </w:tcBorders>
            <w:shd w:val="clear" w:color="auto" w:fill="auto"/>
            <w:vAlign w:val="center"/>
          </w:tcPr>
          <w:p w14:paraId="45A53383"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139</w:t>
            </w:r>
          </w:p>
        </w:tc>
        <w:tc>
          <w:tcPr>
            <w:tcW w:w="1275" w:type="dxa"/>
            <w:tcBorders>
              <w:top w:val="nil"/>
              <w:left w:val="single" w:sz="4" w:space="0" w:color="auto"/>
              <w:bottom w:val="nil"/>
              <w:right w:val="single" w:sz="4" w:space="0" w:color="auto"/>
            </w:tcBorders>
            <w:shd w:val="clear" w:color="auto" w:fill="auto"/>
            <w:vAlign w:val="center"/>
          </w:tcPr>
          <w:p w14:paraId="6DB614EF"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162</w:t>
            </w:r>
          </w:p>
        </w:tc>
        <w:tc>
          <w:tcPr>
            <w:tcW w:w="1134" w:type="dxa"/>
            <w:tcBorders>
              <w:left w:val="single" w:sz="4" w:space="0" w:color="auto"/>
              <w:right w:val="single" w:sz="4" w:space="0" w:color="auto"/>
            </w:tcBorders>
            <w:shd w:val="clear" w:color="auto" w:fill="auto"/>
            <w:vAlign w:val="center"/>
          </w:tcPr>
          <w:p w14:paraId="7D4E07B0"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164</w:t>
            </w:r>
          </w:p>
        </w:tc>
        <w:tc>
          <w:tcPr>
            <w:tcW w:w="993" w:type="dxa"/>
            <w:tcBorders>
              <w:top w:val="nil"/>
              <w:left w:val="single" w:sz="4" w:space="0" w:color="auto"/>
              <w:bottom w:val="nil"/>
              <w:right w:val="single" w:sz="4" w:space="0" w:color="auto"/>
            </w:tcBorders>
            <w:shd w:val="clear" w:color="auto" w:fill="auto"/>
            <w:vAlign w:val="center"/>
          </w:tcPr>
          <w:p w14:paraId="3589D650"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17.9</w:t>
            </w:r>
          </w:p>
        </w:tc>
        <w:tc>
          <w:tcPr>
            <w:tcW w:w="992" w:type="dxa"/>
            <w:tcBorders>
              <w:top w:val="nil"/>
              <w:left w:val="single" w:sz="4" w:space="0" w:color="auto"/>
              <w:bottom w:val="nil"/>
              <w:right w:val="single" w:sz="4" w:space="0" w:color="auto"/>
            </w:tcBorders>
            <w:shd w:val="clear" w:color="auto" w:fill="auto"/>
            <w:vAlign w:val="center"/>
          </w:tcPr>
          <w:p w14:paraId="03EF79C8"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1.3</w:t>
            </w:r>
          </w:p>
        </w:tc>
      </w:tr>
      <w:tr w:rsidR="00651355" w:rsidRPr="00651355" w14:paraId="67E01DA4"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79A644D2"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ABCD</w:t>
            </w:r>
          </w:p>
        </w:tc>
        <w:tc>
          <w:tcPr>
            <w:tcW w:w="1112" w:type="dxa"/>
            <w:tcBorders>
              <w:left w:val="single" w:sz="4" w:space="0" w:color="auto"/>
              <w:right w:val="single" w:sz="4" w:space="0" w:color="auto"/>
            </w:tcBorders>
            <w:shd w:val="clear" w:color="auto" w:fill="auto"/>
            <w:vAlign w:val="center"/>
          </w:tcPr>
          <w:p w14:paraId="7AAB32B5"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78</w:t>
            </w:r>
          </w:p>
        </w:tc>
        <w:tc>
          <w:tcPr>
            <w:tcW w:w="1275" w:type="dxa"/>
            <w:tcBorders>
              <w:top w:val="nil"/>
              <w:left w:val="single" w:sz="4" w:space="0" w:color="auto"/>
              <w:bottom w:val="nil"/>
              <w:right w:val="single" w:sz="4" w:space="0" w:color="auto"/>
            </w:tcBorders>
            <w:shd w:val="clear" w:color="auto" w:fill="auto"/>
            <w:vAlign w:val="center"/>
          </w:tcPr>
          <w:p w14:paraId="14C544DD"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83</w:t>
            </w:r>
          </w:p>
        </w:tc>
        <w:tc>
          <w:tcPr>
            <w:tcW w:w="1134" w:type="dxa"/>
            <w:tcBorders>
              <w:left w:val="single" w:sz="4" w:space="0" w:color="auto"/>
              <w:right w:val="single" w:sz="4" w:space="0" w:color="auto"/>
            </w:tcBorders>
            <w:shd w:val="clear" w:color="auto" w:fill="auto"/>
            <w:vAlign w:val="center"/>
          </w:tcPr>
          <w:p w14:paraId="6EEF968B"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84</w:t>
            </w:r>
          </w:p>
        </w:tc>
        <w:tc>
          <w:tcPr>
            <w:tcW w:w="993" w:type="dxa"/>
            <w:tcBorders>
              <w:top w:val="nil"/>
              <w:left w:val="single" w:sz="4" w:space="0" w:color="auto"/>
              <w:bottom w:val="nil"/>
              <w:right w:val="single" w:sz="4" w:space="0" w:color="auto"/>
            </w:tcBorders>
            <w:shd w:val="clear" w:color="auto" w:fill="auto"/>
            <w:vAlign w:val="center"/>
          </w:tcPr>
          <w:p w14:paraId="786F3E8A"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6.6</w:t>
            </w:r>
          </w:p>
        </w:tc>
        <w:tc>
          <w:tcPr>
            <w:tcW w:w="992" w:type="dxa"/>
            <w:tcBorders>
              <w:top w:val="nil"/>
              <w:left w:val="single" w:sz="4" w:space="0" w:color="auto"/>
              <w:bottom w:val="nil"/>
              <w:right w:val="single" w:sz="4" w:space="0" w:color="auto"/>
            </w:tcBorders>
            <w:shd w:val="clear" w:color="auto" w:fill="auto"/>
            <w:vAlign w:val="center"/>
          </w:tcPr>
          <w:p w14:paraId="5EBF31A3"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0.7</w:t>
            </w:r>
          </w:p>
        </w:tc>
      </w:tr>
      <w:tr w:rsidR="00651355" w:rsidRPr="00651355" w14:paraId="52589AC9"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1BDE1E35"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Automotriz</w:t>
            </w:r>
          </w:p>
        </w:tc>
        <w:tc>
          <w:tcPr>
            <w:tcW w:w="1112" w:type="dxa"/>
            <w:tcBorders>
              <w:left w:val="single" w:sz="4" w:space="0" w:color="auto"/>
              <w:right w:val="single" w:sz="4" w:space="0" w:color="auto"/>
            </w:tcBorders>
            <w:shd w:val="clear" w:color="auto" w:fill="auto"/>
            <w:vAlign w:val="center"/>
          </w:tcPr>
          <w:p w14:paraId="333993DF"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76</w:t>
            </w:r>
          </w:p>
        </w:tc>
        <w:tc>
          <w:tcPr>
            <w:tcW w:w="1275" w:type="dxa"/>
            <w:tcBorders>
              <w:top w:val="nil"/>
              <w:left w:val="single" w:sz="4" w:space="0" w:color="auto"/>
              <w:bottom w:val="nil"/>
              <w:right w:val="single" w:sz="4" w:space="0" w:color="auto"/>
            </w:tcBorders>
            <w:shd w:val="clear" w:color="auto" w:fill="auto"/>
            <w:vAlign w:val="center"/>
          </w:tcPr>
          <w:p w14:paraId="42EAA9D4"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77</w:t>
            </w:r>
          </w:p>
        </w:tc>
        <w:tc>
          <w:tcPr>
            <w:tcW w:w="1134" w:type="dxa"/>
            <w:tcBorders>
              <w:left w:val="single" w:sz="4" w:space="0" w:color="auto"/>
              <w:right w:val="single" w:sz="4" w:space="0" w:color="auto"/>
            </w:tcBorders>
            <w:shd w:val="clear" w:color="auto" w:fill="auto"/>
            <w:vAlign w:val="center"/>
          </w:tcPr>
          <w:p w14:paraId="3F81FF5C"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78</w:t>
            </w:r>
          </w:p>
        </w:tc>
        <w:tc>
          <w:tcPr>
            <w:tcW w:w="993" w:type="dxa"/>
            <w:tcBorders>
              <w:top w:val="nil"/>
              <w:left w:val="single" w:sz="4" w:space="0" w:color="auto"/>
              <w:bottom w:val="nil"/>
              <w:right w:val="single" w:sz="4" w:space="0" w:color="auto"/>
            </w:tcBorders>
            <w:shd w:val="clear" w:color="auto" w:fill="auto"/>
            <w:vAlign w:val="center"/>
          </w:tcPr>
          <w:p w14:paraId="792E41FD"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2.3</w:t>
            </w:r>
          </w:p>
        </w:tc>
        <w:tc>
          <w:tcPr>
            <w:tcW w:w="992" w:type="dxa"/>
            <w:tcBorders>
              <w:top w:val="nil"/>
              <w:left w:val="single" w:sz="4" w:space="0" w:color="auto"/>
              <w:bottom w:val="nil"/>
              <w:right w:val="single" w:sz="4" w:space="0" w:color="auto"/>
            </w:tcBorders>
            <w:shd w:val="clear" w:color="auto" w:fill="auto"/>
            <w:vAlign w:val="center"/>
          </w:tcPr>
          <w:p w14:paraId="7EA67161"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0.6</w:t>
            </w:r>
          </w:p>
        </w:tc>
      </w:tr>
      <w:tr w:rsidR="00651355" w:rsidRPr="00651355" w14:paraId="3FC3515F" w14:textId="77777777" w:rsidTr="00845A3F">
        <w:trPr>
          <w:trHeight w:val="271"/>
          <w:jc w:val="center"/>
        </w:trPr>
        <w:tc>
          <w:tcPr>
            <w:tcW w:w="3283" w:type="dxa"/>
            <w:tcBorders>
              <w:top w:val="nil"/>
              <w:left w:val="single" w:sz="4" w:space="0" w:color="auto"/>
              <w:bottom w:val="nil"/>
              <w:right w:val="single" w:sz="4" w:space="0" w:color="auto"/>
            </w:tcBorders>
            <w:shd w:val="clear" w:color="auto" w:fill="auto"/>
            <w:vAlign w:val="center"/>
          </w:tcPr>
          <w:p w14:paraId="2C36F74C"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Adquisición de bienes muebles</w:t>
            </w:r>
          </w:p>
        </w:tc>
        <w:tc>
          <w:tcPr>
            <w:tcW w:w="1112" w:type="dxa"/>
            <w:tcBorders>
              <w:left w:val="single" w:sz="4" w:space="0" w:color="auto"/>
              <w:right w:val="single" w:sz="4" w:space="0" w:color="auto"/>
            </w:tcBorders>
            <w:shd w:val="clear" w:color="auto" w:fill="auto"/>
            <w:vAlign w:val="center"/>
          </w:tcPr>
          <w:p w14:paraId="53B9F620"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w:t>
            </w:r>
          </w:p>
        </w:tc>
        <w:tc>
          <w:tcPr>
            <w:tcW w:w="1275" w:type="dxa"/>
            <w:tcBorders>
              <w:top w:val="nil"/>
              <w:left w:val="single" w:sz="4" w:space="0" w:color="auto"/>
              <w:bottom w:val="nil"/>
              <w:right w:val="single" w:sz="4" w:space="0" w:color="auto"/>
            </w:tcBorders>
            <w:shd w:val="clear" w:color="auto" w:fill="auto"/>
            <w:vAlign w:val="center"/>
          </w:tcPr>
          <w:p w14:paraId="20240976"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6</w:t>
            </w:r>
          </w:p>
        </w:tc>
        <w:tc>
          <w:tcPr>
            <w:tcW w:w="1134" w:type="dxa"/>
            <w:tcBorders>
              <w:left w:val="single" w:sz="4" w:space="0" w:color="auto"/>
              <w:right w:val="single" w:sz="4" w:space="0" w:color="auto"/>
            </w:tcBorders>
            <w:shd w:val="clear" w:color="auto" w:fill="auto"/>
            <w:vAlign w:val="center"/>
          </w:tcPr>
          <w:p w14:paraId="218BB38F"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6</w:t>
            </w:r>
          </w:p>
        </w:tc>
        <w:tc>
          <w:tcPr>
            <w:tcW w:w="993" w:type="dxa"/>
            <w:tcBorders>
              <w:top w:val="nil"/>
              <w:left w:val="single" w:sz="4" w:space="0" w:color="auto"/>
              <w:bottom w:val="nil"/>
              <w:right w:val="single" w:sz="4" w:space="0" w:color="auto"/>
            </w:tcBorders>
            <w:shd w:val="clear" w:color="auto" w:fill="auto"/>
            <w:vAlign w:val="center"/>
          </w:tcPr>
          <w:p w14:paraId="07743790"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124.5</w:t>
            </w:r>
          </w:p>
        </w:tc>
        <w:tc>
          <w:tcPr>
            <w:tcW w:w="992" w:type="dxa"/>
            <w:tcBorders>
              <w:top w:val="nil"/>
              <w:left w:val="single" w:sz="4" w:space="0" w:color="auto"/>
              <w:bottom w:val="nil"/>
              <w:right w:val="single" w:sz="4" w:space="0" w:color="auto"/>
            </w:tcBorders>
            <w:shd w:val="clear" w:color="auto" w:fill="auto"/>
            <w:vAlign w:val="center"/>
          </w:tcPr>
          <w:p w14:paraId="10845526"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2.2</w:t>
            </w:r>
          </w:p>
        </w:tc>
      </w:tr>
      <w:tr w:rsidR="00651355" w:rsidRPr="00651355" w14:paraId="68B521EE"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431576B0"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Operaciones de arrendamiento capitalizable</w:t>
            </w:r>
          </w:p>
        </w:tc>
        <w:tc>
          <w:tcPr>
            <w:tcW w:w="1112" w:type="dxa"/>
            <w:tcBorders>
              <w:left w:val="single" w:sz="4" w:space="0" w:color="auto"/>
              <w:right w:val="single" w:sz="4" w:space="0" w:color="auto"/>
            </w:tcBorders>
            <w:shd w:val="clear" w:color="auto" w:fill="auto"/>
            <w:vAlign w:val="center"/>
          </w:tcPr>
          <w:p w14:paraId="29771B3A"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3</w:t>
            </w:r>
          </w:p>
        </w:tc>
        <w:tc>
          <w:tcPr>
            <w:tcW w:w="1275" w:type="dxa"/>
            <w:tcBorders>
              <w:top w:val="nil"/>
              <w:left w:val="single" w:sz="4" w:space="0" w:color="auto"/>
              <w:bottom w:val="nil"/>
              <w:right w:val="single" w:sz="4" w:space="0" w:color="auto"/>
            </w:tcBorders>
            <w:shd w:val="clear" w:color="auto" w:fill="auto"/>
            <w:vAlign w:val="center"/>
          </w:tcPr>
          <w:p w14:paraId="595C3904"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w:t>
            </w:r>
          </w:p>
        </w:tc>
        <w:tc>
          <w:tcPr>
            <w:tcW w:w="1134" w:type="dxa"/>
            <w:tcBorders>
              <w:left w:val="single" w:sz="4" w:space="0" w:color="auto"/>
              <w:right w:val="single" w:sz="4" w:space="0" w:color="auto"/>
            </w:tcBorders>
            <w:shd w:val="clear" w:color="auto" w:fill="auto"/>
            <w:vAlign w:val="center"/>
          </w:tcPr>
          <w:p w14:paraId="42042A1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1</w:t>
            </w:r>
          </w:p>
        </w:tc>
        <w:tc>
          <w:tcPr>
            <w:tcW w:w="993" w:type="dxa"/>
            <w:tcBorders>
              <w:top w:val="nil"/>
              <w:left w:val="single" w:sz="4" w:space="0" w:color="auto"/>
              <w:bottom w:val="nil"/>
              <w:right w:val="single" w:sz="4" w:space="0" w:color="auto"/>
            </w:tcBorders>
            <w:shd w:val="clear" w:color="auto" w:fill="auto"/>
            <w:vAlign w:val="center"/>
          </w:tcPr>
          <w:p w14:paraId="34CF93D1"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-68.8</w:t>
            </w:r>
          </w:p>
        </w:tc>
        <w:tc>
          <w:tcPr>
            <w:tcW w:w="992" w:type="dxa"/>
            <w:tcBorders>
              <w:top w:val="nil"/>
              <w:left w:val="single" w:sz="4" w:space="0" w:color="auto"/>
              <w:bottom w:val="nil"/>
              <w:right w:val="single" w:sz="4" w:space="0" w:color="auto"/>
            </w:tcBorders>
            <w:shd w:val="clear" w:color="auto" w:fill="auto"/>
            <w:vAlign w:val="center"/>
          </w:tcPr>
          <w:p w14:paraId="1A667C24"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-6.8</w:t>
            </w:r>
          </w:p>
        </w:tc>
      </w:tr>
      <w:tr w:rsidR="00651355" w:rsidRPr="00651355" w14:paraId="18EF5AC0"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07E391CA"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Otros créditos de consumo</w:t>
            </w:r>
          </w:p>
        </w:tc>
        <w:tc>
          <w:tcPr>
            <w:tcW w:w="1112" w:type="dxa"/>
            <w:tcBorders>
              <w:left w:val="single" w:sz="4" w:space="0" w:color="auto"/>
              <w:right w:val="single" w:sz="4" w:space="0" w:color="auto"/>
            </w:tcBorders>
            <w:shd w:val="clear" w:color="auto" w:fill="auto"/>
            <w:vAlign w:val="center"/>
          </w:tcPr>
          <w:p w14:paraId="405C9C31"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24</w:t>
            </w:r>
          </w:p>
        </w:tc>
        <w:tc>
          <w:tcPr>
            <w:tcW w:w="1275" w:type="dxa"/>
            <w:tcBorders>
              <w:top w:val="nil"/>
              <w:left w:val="single" w:sz="4" w:space="0" w:color="auto"/>
              <w:bottom w:val="nil"/>
              <w:right w:val="single" w:sz="4" w:space="0" w:color="auto"/>
            </w:tcBorders>
            <w:shd w:val="clear" w:color="auto" w:fill="auto"/>
            <w:vAlign w:val="center"/>
          </w:tcPr>
          <w:p w14:paraId="3BE0EB4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22</w:t>
            </w:r>
          </w:p>
        </w:tc>
        <w:tc>
          <w:tcPr>
            <w:tcW w:w="1134" w:type="dxa"/>
            <w:tcBorders>
              <w:left w:val="single" w:sz="4" w:space="0" w:color="auto"/>
              <w:right w:val="single" w:sz="4" w:space="0" w:color="auto"/>
            </w:tcBorders>
            <w:shd w:val="clear" w:color="auto" w:fill="auto"/>
            <w:vAlign w:val="center"/>
          </w:tcPr>
          <w:p w14:paraId="3EAED6B7"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22</w:t>
            </w:r>
          </w:p>
        </w:tc>
        <w:tc>
          <w:tcPr>
            <w:tcW w:w="993" w:type="dxa"/>
            <w:tcBorders>
              <w:top w:val="nil"/>
              <w:left w:val="single" w:sz="4" w:space="0" w:color="auto"/>
              <w:bottom w:val="nil"/>
              <w:right w:val="single" w:sz="4" w:space="0" w:color="auto"/>
            </w:tcBorders>
            <w:shd w:val="clear" w:color="auto" w:fill="auto"/>
            <w:vAlign w:val="center"/>
          </w:tcPr>
          <w:p w14:paraId="546FEEBD"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-8.5</w:t>
            </w:r>
          </w:p>
        </w:tc>
        <w:tc>
          <w:tcPr>
            <w:tcW w:w="992" w:type="dxa"/>
            <w:tcBorders>
              <w:top w:val="nil"/>
              <w:left w:val="single" w:sz="4" w:space="0" w:color="auto"/>
              <w:bottom w:val="nil"/>
              <w:right w:val="single" w:sz="4" w:space="0" w:color="auto"/>
            </w:tcBorders>
            <w:shd w:val="clear" w:color="auto" w:fill="auto"/>
            <w:vAlign w:val="center"/>
          </w:tcPr>
          <w:p w14:paraId="6526B4B4"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-1.0</w:t>
            </w:r>
          </w:p>
        </w:tc>
      </w:tr>
      <w:tr w:rsidR="00651355" w:rsidRPr="00651355" w14:paraId="432117CC"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317926CE"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Vivienda</w:t>
            </w:r>
          </w:p>
        </w:tc>
        <w:tc>
          <w:tcPr>
            <w:tcW w:w="1112" w:type="dxa"/>
            <w:tcBorders>
              <w:left w:val="single" w:sz="4" w:space="0" w:color="auto"/>
              <w:right w:val="single" w:sz="4" w:space="0" w:color="auto"/>
            </w:tcBorders>
            <w:shd w:val="clear" w:color="auto" w:fill="auto"/>
            <w:vAlign w:val="center"/>
          </w:tcPr>
          <w:p w14:paraId="0FD28960"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520</w:t>
            </w:r>
          </w:p>
        </w:tc>
        <w:tc>
          <w:tcPr>
            <w:tcW w:w="1275" w:type="dxa"/>
            <w:tcBorders>
              <w:top w:val="nil"/>
              <w:left w:val="single" w:sz="4" w:space="0" w:color="auto"/>
              <w:bottom w:val="nil"/>
              <w:right w:val="single" w:sz="4" w:space="0" w:color="auto"/>
            </w:tcBorders>
            <w:shd w:val="clear" w:color="auto" w:fill="auto"/>
            <w:vAlign w:val="center"/>
          </w:tcPr>
          <w:p w14:paraId="1AECE7DE"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569</w:t>
            </w:r>
          </w:p>
        </w:tc>
        <w:tc>
          <w:tcPr>
            <w:tcW w:w="1134" w:type="dxa"/>
            <w:tcBorders>
              <w:left w:val="single" w:sz="4" w:space="0" w:color="auto"/>
              <w:right w:val="single" w:sz="4" w:space="0" w:color="auto"/>
            </w:tcBorders>
            <w:shd w:val="clear" w:color="auto" w:fill="auto"/>
            <w:vAlign w:val="center"/>
          </w:tcPr>
          <w:p w14:paraId="0D87E7C6" w14:textId="77777777" w:rsidR="00651355" w:rsidRPr="00651355" w:rsidRDefault="00651355" w:rsidP="00651355">
            <w:pPr>
              <w:spacing w:before="40" w:after="40"/>
              <w:ind w:right="227"/>
              <w:jc w:val="right"/>
              <w:rPr>
                <w:rFonts w:eastAsia="Calibri"/>
                <w:b/>
                <w:sz w:val="18"/>
                <w:szCs w:val="18"/>
                <w:lang w:eastAsia="en-US"/>
              </w:rPr>
            </w:pPr>
            <w:r w:rsidRPr="00651355">
              <w:rPr>
                <w:rFonts w:eastAsia="Calibri"/>
                <w:b/>
                <w:sz w:val="18"/>
                <w:szCs w:val="18"/>
                <w:lang w:eastAsia="en-US"/>
              </w:rPr>
              <w:t>571</w:t>
            </w:r>
          </w:p>
        </w:tc>
        <w:tc>
          <w:tcPr>
            <w:tcW w:w="993" w:type="dxa"/>
            <w:tcBorders>
              <w:top w:val="nil"/>
              <w:left w:val="single" w:sz="4" w:space="0" w:color="auto"/>
              <w:bottom w:val="nil"/>
              <w:right w:val="single" w:sz="4" w:space="0" w:color="auto"/>
            </w:tcBorders>
            <w:shd w:val="clear" w:color="auto" w:fill="auto"/>
            <w:vAlign w:val="center"/>
          </w:tcPr>
          <w:p w14:paraId="31D34C48" w14:textId="77777777" w:rsidR="00651355" w:rsidRPr="00651355" w:rsidRDefault="00651355" w:rsidP="00651355">
            <w:pPr>
              <w:spacing w:before="40" w:after="40"/>
              <w:ind w:right="170"/>
              <w:jc w:val="right"/>
              <w:rPr>
                <w:rFonts w:eastAsia="Calibri"/>
                <w:b/>
                <w:sz w:val="18"/>
                <w:szCs w:val="18"/>
                <w:lang w:eastAsia="en-US"/>
              </w:rPr>
            </w:pPr>
            <w:r w:rsidRPr="00651355">
              <w:rPr>
                <w:rFonts w:eastAsia="Calibri"/>
                <w:b/>
                <w:sz w:val="18"/>
                <w:szCs w:val="18"/>
                <w:lang w:eastAsia="en-US"/>
              </w:rPr>
              <w:t>9.8</w:t>
            </w:r>
          </w:p>
        </w:tc>
        <w:tc>
          <w:tcPr>
            <w:tcW w:w="992" w:type="dxa"/>
            <w:tcBorders>
              <w:top w:val="nil"/>
              <w:left w:val="single" w:sz="4" w:space="0" w:color="auto"/>
              <w:bottom w:val="nil"/>
              <w:right w:val="single" w:sz="4" w:space="0" w:color="auto"/>
            </w:tcBorders>
            <w:shd w:val="clear" w:color="auto" w:fill="auto"/>
            <w:vAlign w:val="center"/>
          </w:tcPr>
          <w:p w14:paraId="12222639" w14:textId="77777777" w:rsidR="00651355" w:rsidRPr="00651355" w:rsidRDefault="00651355" w:rsidP="00651355">
            <w:pPr>
              <w:spacing w:before="40" w:after="40"/>
              <w:ind w:right="284"/>
              <w:jc w:val="right"/>
              <w:rPr>
                <w:rFonts w:eastAsia="Calibri"/>
                <w:b/>
                <w:bCs/>
                <w:sz w:val="18"/>
                <w:szCs w:val="18"/>
                <w:lang w:eastAsia="en-US"/>
              </w:rPr>
            </w:pPr>
            <w:r w:rsidRPr="00651355">
              <w:rPr>
                <w:rFonts w:eastAsia="Calibri"/>
                <w:b/>
                <w:bCs/>
                <w:sz w:val="18"/>
                <w:szCs w:val="18"/>
                <w:lang w:eastAsia="en-US"/>
              </w:rPr>
              <w:t>0.4</w:t>
            </w:r>
          </w:p>
        </w:tc>
      </w:tr>
      <w:tr w:rsidR="00651355" w:rsidRPr="00651355" w14:paraId="1F666158" w14:textId="77777777" w:rsidTr="00845A3F">
        <w:trPr>
          <w:trHeight w:val="261"/>
          <w:jc w:val="center"/>
        </w:trPr>
        <w:tc>
          <w:tcPr>
            <w:tcW w:w="3283" w:type="dxa"/>
            <w:tcBorders>
              <w:top w:val="nil"/>
              <w:left w:val="single" w:sz="4" w:space="0" w:color="auto"/>
              <w:bottom w:val="nil"/>
              <w:right w:val="single" w:sz="4" w:space="0" w:color="auto"/>
            </w:tcBorders>
            <w:shd w:val="clear" w:color="auto" w:fill="auto"/>
            <w:vAlign w:val="center"/>
          </w:tcPr>
          <w:p w14:paraId="679AC4B3"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Media y Residencial</w:t>
            </w:r>
          </w:p>
        </w:tc>
        <w:tc>
          <w:tcPr>
            <w:tcW w:w="1112" w:type="dxa"/>
            <w:tcBorders>
              <w:left w:val="single" w:sz="4" w:space="0" w:color="auto"/>
              <w:right w:val="single" w:sz="4" w:space="0" w:color="auto"/>
            </w:tcBorders>
            <w:shd w:val="clear" w:color="auto" w:fill="auto"/>
            <w:vAlign w:val="center"/>
          </w:tcPr>
          <w:p w14:paraId="3778EDD4"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427</w:t>
            </w:r>
          </w:p>
        </w:tc>
        <w:tc>
          <w:tcPr>
            <w:tcW w:w="1275" w:type="dxa"/>
            <w:tcBorders>
              <w:top w:val="nil"/>
              <w:left w:val="single" w:sz="4" w:space="0" w:color="auto"/>
              <w:bottom w:val="nil"/>
              <w:right w:val="single" w:sz="4" w:space="0" w:color="auto"/>
            </w:tcBorders>
            <w:shd w:val="clear" w:color="auto" w:fill="auto"/>
            <w:vAlign w:val="center"/>
          </w:tcPr>
          <w:p w14:paraId="3548BFF3"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486</w:t>
            </w:r>
          </w:p>
        </w:tc>
        <w:tc>
          <w:tcPr>
            <w:tcW w:w="1134" w:type="dxa"/>
            <w:tcBorders>
              <w:left w:val="single" w:sz="4" w:space="0" w:color="auto"/>
              <w:right w:val="single" w:sz="4" w:space="0" w:color="auto"/>
            </w:tcBorders>
            <w:shd w:val="clear" w:color="auto" w:fill="auto"/>
            <w:vAlign w:val="center"/>
          </w:tcPr>
          <w:p w14:paraId="42F89043"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489</w:t>
            </w:r>
          </w:p>
        </w:tc>
        <w:tc>
          <w:tcPr>
            <w:tcW w:w="993" w:type="dxa"/>
            <w:tcBorders>
              <w:top w:val="nil"/>
              <w:left w:val="single" w:sz="4" w:space="0" w:color="auto"/>
              <w:bottom w:val="nil"/>
              <w:right w:val="single" w:sz="4" w:space="0" w:color="auto"/>
            </w:tcBorders>
            <w:shd w:val="clear" w:color="auto" w:fill="auto"/>
            <w:vAlign w:val="center"/>
          </w:tcPr>
          <w:p w14:paraId="54C34304"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14.5</w:t>
            </w:r>
          </w:p>
        </w:tc>
        <w:tc>
          <w:tcPr>
            <w:tcW w:w="992" w:type="dxa"/>
            <w:tcBorders>
              <w:top w:val="nil"/>
              <w:left w:val="single" w:sz="4" w:space="0" w:color="auto"/>
              <w:bottom w:val="nil"/>
              <w:right w:val="single" w:sz="4" w:space="0" w:color="auto"/>
            </w:tcBorders>
            <w:shd w:val="clear" w:color="auto" w:fill="auto"/>
            <w:vAlign w:val="center"/>
          </w:tcPr>
          <w:p w14:paraId="61EEC0C6"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0.6</w:t>
            </w:r>
          </w:p>
        </w:tc>
      </w:tr>
      <w:tr w:rsidR="00651355" w:rsidRPr="00651355" w14:paraId="52E45C45" w14:textId="77777777" w:rsidTr="00845A3F">
        <w:trPr>
          <w:trHeight w:val="261"/>
          <w:jc w:val="center"/>
        </w:trPr>
        <w:tc>
          <w:tcPr>
            <w:tcW w:w="3283" w:type="dxa"/>
            <w:tcBorders>
              <w:top w:val="nil"/>
              <w:left w:val="single" w:sz="4" w:space="0" w:color="auto"/>
              <w:bottom w:val="single" w:sz="4" w:space="0" w:color="auto"/>
              <w:right w:val="single" w:sz="4" w:space="0" w:color="auto"/>
            </w:tcBorders>
            <w:shd w:val="clear" w:color="auto" w:fill="auto"/>
            <w:vAlign w:val="center"/>
          </w:tcPr>
          <w:p w14:paraId="35B138A6"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De interés social</w:t>
            </w:r>
          </w:p>
        </w:tc>
        <w:tc>
          <w:tcPr>
            <w:tcW w:w="1112" w:type="dxa"/>
            <w:tcBorders>
              <w:left w:val="single" w:sz="4" w:space="0" w:color="auto"/>
              <w:bottom w:val="single" w:sz="4" w:space="0" w:color="auto"/>
              <w:right w:val="single" w:sz="4" w:space="0" w:color="auto"/>
            </w:tcBorders>
            <w:shd w:val="clear" w:color="auto" w:fill="auto"/>
            <w:vAlign w:val="center"/>
          </w:tcPr>
          <w:p w14:paraId="6AD6FD50"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93</w:t>
            </w:r>
          </w:p>
        </w:tc>
        <w:tc>
          <w:tcPr>
            <w:tcW w:w="1275" w:type="dxa"/>
            <w:tcBorders>
              <w:top w:val="nil"/>
              <w:left w:val="single" w:sz="4" w:space="0" w:color="auto"/>
              <w:bottom w:val="single" w:sz="4" w:space="0" w:color="auto"/>
              <w:right w:val="single" w:sz="4" w:space="0" w:color="auto"/>
            </w:tcBorders>
            <w:shd w:val="clear" w:color="auto" w:fill="auto"/>
            <w:vAlign w:val="center"/>
          </w:tcPr>
          <w:p w14:paraId="54C0CB11"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83</w:t>
            </w:r>
          </w:p>
        </w:tc>
        <w:tc>
          <w:tcPr>
            <w:tcW w:w="1134" w:type="dxa"/>
            <w:tcBorders>
              <w:left w:val="single" w:sz="4" w:space="0" w:color="auto"/>
              <w:bottom w:val="single" w:sz="4" w:space="0" w:color="auto"/>
              <w:right w:val="single" w:sz="4" w:space="0" w:color="auto"/>
            </w:tcBorders>
            <w:shd w:val="clear" w:color="auto" w:fill="auto"/>
            <w:vAlign w:val="center"/>
          </w:tcPr>
          <w:p w14:paraId="033B1F53" w14:textId="77777777" w:rsidR="00651355" w:rsidRPr="00651355" w:rsidRDefault="00651355" w:rsidP="00651355">
            <w:pPr>
              <w:spacing w:before="40" w:after="40"/>
              <w:ind w:right="227"/>
              <w:jc w:val="right"/>
              <w:rPr>
                <w:rFonts w:eastAsia="Calibri"/>
                <w:sz w:val="18"/>
                <w:szCs w:val="18"/>
                <w:lang w:eastAsia="en-US"/>
              </w:rPr>
            </w:pPr>
            <w:r w:rsidRPr="00651355">
              <w:rPr>
                <w:rFonts w:eastAsia="Calibri"/>
                <w:sz w:val="18"/>
                <w:szCs w:val="18"/>
                <w:lang w:eastAsia="en-US"/>
              </w:rPr>
              <w:t>82</w:t>
            </w:r>
          </w:p>
        </w:tc>
        <w:tc>
          <w:tcPr>
            <w:tcW w:w="993" w:type="dxa"/>
            <w:tcBorders>
              <w:top w:val="nil"/>
              <w:left w:val="single" w:sz="4" w:space="0" w:color="auto"/>
              <w:bottom w:val="single" w:sz="4" w:space="0" w:color="auto"/>
              <w:right w:val="single" w:sz="4" w:space="0" w:color="auto"/>
            </w:tcBorders>
            <w:shd w:val="clear" w:color="auto" w:fill="auto"/>
            <w:vAlign w:val="center"/>
          </w:tcPr>
          <w:p w14:paraId="0E2D65F5" w14:textId="77777777" w:rsidR="00651355" w:rsidRPr="00651355" w:rsidRDefault="00651355" w:rsidP="00651355">
            <w:pPr>
              <w:spacing w:before="40" w:after="40"/>
              <w:ind w:right="170"/>
              <w:jc w:val="right"/>
              <w:rPr>
                <w:rFonts w:eastAsia="Calibri"/>
                <w:sz w:val="18"/>
                <w:szCs w:val="18"/>
                <w:lang w:eastAsia="en-US"/>
              </w:rPr>
            </w:pPr>
            <w:r w:rsidRPr="00651355">
              <w:rPr>
                <w:rFonts w:eastAsia="Calibri"/>
                <w:sz w:val="18"/>
                <w:szCs w:val="18"/>
                <w:lang w:eastAsia="en-US"/>
              </w:rPr>
              <w:t>-11.4</w:t>
            </w:r>
          </w:p>
        </w:tc>
        <w:tc>
          <w:tcPr>
            <w:tcW w:w="992" w:type="dxa"/>
            <w:tcBorders>
              <w:top w:val="nil"/>
              <w:left w:val="single" w:sz="4" w:space="0" w:color="auto"/>
              <w:bottom w:val="single" w:sz="4" w:space="0" w:color="auto"/>
              <w:right w:val="single" w:sz="4" w:space="0" w:color="auto"/>
            </w:tcBorders>
            <w:shd w:val="clear" w:color="auto" w:fill="auto"/>
            <w:vAlign w:val="center"/>
          </w:tcPr>
          <w:p w14:paraId="7EAD2153" w14:textId="77777777" w:rsidR="00651355" w:rsidRPr="00651355" w:rsidRDefault="00651355" w:rsidP="00651355">
            <w:pPr>
              <w:spacing w:before="40" w:after="40"/>
              <w:ind w:right="284"/>
              <w:jc w:val="right"/>
              <w:rPr>
                <w:rFonts w:eastAsia="Calibri"/>
                <w:bCs/>
                <w:sz w:val="18"/>
                <w:szCs w:val="18"/>
                <w:lang w:eastAsia="en-US"/>
              </w:rPr>
            </w:pPr>
            <w:r w:rsidRPr="00651355">
              <w:rPr>
                <w:rFonts w:eastAsia="Calibri"/>
                <w:bCs/>
                <w:sz w:val="18"/>
                <w:szCs w:val="18"/>
                <w:lang w:eastAsia="en-US"/>
              </w:rPr>
              <w:t>-0.8</w:t>
            </w:r>
          </w:p>
        </w:tc>
      </w:tr>
      <w:tr w:rsidR="00651355" w:rsidRPr="00651355" w14:paraId="371C2920" w14:textId="77777777" w:rsidTr="00845A3F">
        <w:trPr>
          <w:trHeight w:val="261"/>
          <w:jc w:val="center"/>
        </w:trPr>
        <w:tc>
          <w:tcPr>
            <w:tcW w:w="8789" w:type="dxa"/>
            <w:gridSpan w:val="6"/>
            <w:tcBorders>
              <w:top w:val="single" w:sz="4" w:space="0" w:color="auto"/>
              <w:bottom w:val="nil"/>
            </w:tcBorders>
            <w:vAlign w:val="center"/>
          </w:tcPr>
          <w:p w14:paraId="1DB4AB4B" w14:textId="77777777" w:rsidR="00651355" w:rsidRPr="00651355" w:rsidRDefault="00651355" w:rsidP="00651355">
            <w:pPr>
              <w:spacing w:before="120"/>
              <w:rPr>
                <w:rFonts w:eastAsia="Calibri"/>
                <w:bCs/>
                <w:sz w:val="20"/>
                <w:szCs w:val="20"/>
                <w:lang w:eastAsia="en-US"/>
              </w:rPr>
            </w:pPr>
            <w:r w:rsidRPr="00651355">
              <w:rPr>
                <w:rFonts w:eastAsia="Calibri"/>
                <w:bCs/>
                <w:sz w:val="20"/>
                <w:szCs w:val="20"/>
                <w:lang w:eastAsia="en-US"/>
              </w:rPr>
              <w:t>FUENTE: CNBV.</w:t>
            </w:r>
          </w:p>
        </w:tc>
      </w:tr>
    </w:tbl>
    <w:p w14:paraId="4E627209" w14:textId="77777777" w:rsidR="00651355" w:rsidRPr="00651355" w:rsidRDefault="00651355" w:rsidP="00651355">
      <w:pPr>
        <w:spacing w:before="360" w:after="360" w:line="360" w:lineRule="auto"/>
        <w:ind w:right="-159"/>
        <w:jc w:val="both"/>
        <w:rPr>
          <w:rFonts w:eastAsia="Calibri"/>
          <w:sz w:val="26"/>
          <w:szCs w:val="26"/>
          <w:lang w:eastAsia="en-US"/>
        </w:rPr>
      </w:pPr>
    </w:p>
    <w:p w14:paraId="31BDB310" w14:textId="4C2106B8" w:rsidR="00651355" w:rsidRPr="00651355" w:rsidRDefault="00651355" w:rsidP="00651355">
      <w:pPr>
        <w:spacing w:before="360" w:after="360" w:line="360" w:lineRule="auto"/>
        <w:ind w:right="-159"/>
        <w:jc w:val="both"/>
        <w:rPr>
          <w:rFonts w:eastAsia="Calibri"/>
          <w:sz w:val="26"/>
          <w:szCs w:val="26"/>
          <w:lang w:eastAsia="en-US"/>
        </w:rPr>
      </w:pPr>
      <w:r w:rsidRPr="00651355">
        <w:rPr>
          <w:rFonts w:eastAsia="Calibri"/>
          <w:sz w:val="26"/>
          <w:szCs w:val="26"/>
          <w:lang w:eastAsia="en-US"/>
        </w:rPr>
        <w:t>El crédito comercial concentró 62% de la cartera total y se incrementó 13.9% contra el mismo mes del año anterior, alcanzando un saldo de 2 mil 92 mmdp. La cartera empresarial conformó, a su vez, 69.9% del crédito comercial, con un saldo de 1 mil 462 mmdp y un crecimiento anual de 10.6%. El crédito a entidades financieras se incrementó 3.3% en el último año con un saldo a febrero de 2015 de 114 mmdp, (5.5% de la cartera comercial); mientras que el crédito a entidades gubernamentales registró una variación positiva anual de 27.6 y un saldo de 516 mmdp (24.6% de la cartera comercial</w:t>
      </w:r>
      <w:r w:rsidR="00D3436F">
        <w:rPr>
          <w:rFonts w:eastAsia="Calibri"/>
          <w:sz w:val="26"/>
          <w:szCs w:val="26"/>
          <w:lang w:eastAsia="en-US"/>
        </w:rPr>
        <w:t>)</w:t>
      </w:r>
      <w:r w:rsidRPr="00651355">
        <w:rPr>
          <w:rFonts w:eastAsia="Calibri"/>
          <w:sz w:val="26"/>
          <w:szCs w:val="26"/>
          <w:lang w:eastAsia="en-US"/>
        </w:rPr>
        <w:t>.</w:t>
      </w:r>
    </w:p>
    <w:p w14:paraId="558B46F3" w14:textId="77777777" w:rsidR="00651355" w:rsidRPr="00651355" w:rsidRDefault="00651355" w:rsidP="00651355">
      <w:pPr>
        <w:spacing w:before="360" w:after="360" w:line="360" w:lineRule="auto"/>
        <w:ind w:right="-159"/>
        <w:jc w:val="both"/>
        <w:rPr>
          <w:rFonts w:eastAsia="Calibri"/>
          <w:sz w:val="26"/>
          <w:szCs w:val="26"/>
          <w:lang w:eastAsia="en-US"/>
        </w:rPr>
      </w:pPr>
      <w:r w:rsidRPr="00651355">
        <w:rPr>
          <w:rFonts w:eastAsia="Calibri"/>
          <w:sz w:val="26"/>
          <w:szCs w:val="26"/>
          <w:lang w:eastAsia="en-US"/>
        </w:rPr>
        <w:lastRenderedPageBreak/>
        <w:t>El financiamiento al sector empresarial estuvo conformado por 75% para las grandes empresas y fideicomisos, registrando una tasa de crecimiento anual de 12.2% y una disminución anual en su participación dentro del segmento de 0.4 puntos porcentuales (pp); mientras que los créditos a las micro, pequeñas y medianas empresas concentraron 25%, con una tasa de crecimiento anual conjunta de 10.1%, y variaciones individuales positivas en su participación de 0.8, 0.2 y -0.6 pp, respectivamente.</w:t>
      </w:r>
    </w:p>
    <w:tbl>
      <w:tblPr>
        <w:tblW w:w="8600" w:type="dxa"/>
        <w:jc w:val="center"/>
        <w:tblLayout w:type="fixed"/>
        <w:tblLook w:val="01E0" w:firstRow="1" w:lastRow="1" w:firstColumn="1" w:lastColumn="1" w:noHBand="0" w:noVBand="0"/>
      </w:tblPr>
      <w:tblGrid>
        <w:gridCol w:w="2505"/>
        <w:gridCol w:w="1275"/>
        <w:gridCol w:w="1276"/>
        <w:gridCol w:w="1277"/>
        <w:gridCol w:w="1133"/>
        <w:gridCol w:w="1134"/>
      </w:tblGrid>
      <w:tr w:rsidR="00651355" w:rsidRPr="00651355" w14:paraId="6B598B83" w14:textId="77777777" w:rsidTr="00845A3F">
        <w:trPr>
          <w:trHeight w:val="552"/>
          <w:jc w:val="center"/>
        </w:trPr>
        <w:tc>
          <w:tcPr>
            <w:tcW w:w="8600" w:type="dxa"/>
            <w:gridSpan w:val="6"/>
            <w:tcBorders>
              <w:top w:val="nil"/>
              <w:bottom w:val="single" w:sz="4" w:space="0" w:color="auto"/>
            </w:tcBorders>
            <w:vAlign w:val="center"/>
          </w:tcPr>
          <w:p w14:paraId="5B2DC5D2" w14:textId="77777777" w:rsidR="00651355" w:rsidRPr="00651355" w:rsidRDefault="00651355" w:rsidP="00651355">
            <w:pPr>
              <w:jc w:val="center"/>
              <w:rPr>
                <w:rFonts w:eastAsia="Calibri"/>
                <w:b/>
                <w:bCs/>
                <w:sz w:val="22"/>
                <w:szCs w:val="22"/>
                <w:lang w:eastAsia="en-US"/>
              </w:rPr>
            </w:pPr>
            <w:r w:rsidRPr="00651355">
              <w:rPr>
                <w:rFonts w:eastAsia="Calibri"/>
                <w:b/>
                <w:bCs/>
                <w:sz w:val="22"/>
                <w:szCs w:val="22"/>
                <w:lang w:eastAsia="en-US"/>
              </w:rPr>
              <w:t>CARTERA EMPRESARIAL POR TAMAÑO DE EMPRESA</w:t>
            </w:r>
          </w:p>
          <w:p w14:paraId="6DEE55AC" w14:textId="05A79E00"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-En por ciento-</w:t>
            </w:r>
          </w:p>
        </w:tc>
      </w:tr>
      <w:tr w:rsidR="00651355" w:rsidRPr="00651355" w14:paraId="73DC55B0" w14:textId="77777777" w:rsidTr="00845A3F">
        <w:trPr>
          <w:trHeight w:val="312"/>
          <w:jc w:val="center"/>
        </w:trPr>
        <w:tc>
          <w:tcPr>
            <w:tcW w:w="250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4A0D4F" w14:textId="77777777" w:rsidR="00651355" w:rsidRPr="00651355" w:rsidRDefault="00651355" w:rsidP="00651355">
            <w:pPr>
              <w:spacing w:before="40" w:after="40"/>
              <w:jc w:val="center"/>
              <w:rPr>
                <w:rFonts w:eastAsia="Calibri"/>
                <w:bCs/>
                <w:sz w:val="18"/>
                <w:szCs w:val="18"/>
                <w:lang w:eastAsia="en-US"/>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D7F1E"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5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327F90"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46CBC"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4F4BF71D" w14:textId="77777777" w:rsidTr="00845A3F">
        <w:trPr>
          <w:trHeight w:val="281"/>
          <w:jc w:val="center"/>
        </w:trPr>
        <w:tc>
          <w:tcPr>
            <w:tcW w:w="250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D048A1" w14:textId="77777777" w:rsidR="00651355" w:rsidRPr="00651355" w:rsidRDefault="00651355" w:rsidP="00651355">
            <w:pPr>
              <w:spacing w:before="40" w:after="40"/>
              <w:jc w:val="center"/>
              <w:rPr>
                <w:rFonts w:eastAsia="Calibri"/>
                <w:bCs/>
                <w:sz w:val="18"/>
                <w:szCs w:val="18"/>
                <w:lang w:eastAsia="en-US"/>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F7F46E4"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CF8314"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23E45F79"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B2F6A32"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09AD59"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4A3FB78C" w14:textId="77777777" w:rsidTr="00845A3F">
        <w:trPr>
          <w:trHeight w:val="271"/>
          <w:jc w:val="center"/>
        </w:trPr>
        <w:tc>
          <w:tcPr>
            <w:tcW w:w="2505" w:type="dxa"/>
            <w:tcBorders>
              <w:top w:val="single" w:sz="4" w:space="0" w:color="auto"/>
              <w:left w:val="single" w:sz="4" w:space="0" w:color="auto"/>
              <w:bottom w:val="nil"/>
              <w:right w:val="single" w:sz="4" w:space="0" w:color="auto"/>
            </w:tcBorders>
            <w:shd w:val="clear" w:color="auto" w:fill="auto"/>
            <w:vAlign w:val="center"/>
          </w:tcPr>
          <w:p w14:paraId="3053EDD3" w14:textId="77777777" w:rsidR="00651355" w:rsidRPr="00651355" w:rsidRDefault="00651355" w:rsidP="00651355">
            <w:pPr>
              <w:spacing w:before="120" w:after="40"/>
              <w:jc w:val="both"/>
              <w:rPr>
                <w:rFonts w:eastAsia="Calibri"/>
                <w:b/>
                <w:bCs/>
                <w:sz w:val="18"/>
                <w:szCs w:val="18"/>
                <w:lang w:val="en-US" w:eastAsia="en-US"/>
              </w:rPr>
            </w:pPr>
            <w:r w:rsidRPr="00651355">
              <w:rPr>
                <w:rFonts w:eastAsia="Calibri"/>
                <w:b/>
                <w:bCs/>
                <w:sz w:val="18"/>
                <w:szCs w:val="18"/>
                <w:lang w:val="en-US" w:eastAsia="en-US"/>
              </w:rPr>
              <w:t>MiPyMes</w:t>
            </w:r>
          </w:p>
        </w:tc>
        <w:tc>
          <w:tcPr>
            <w:tcW w:w="1275" w:type="dxa"/>
            <w:tcBorders>
              <w:top w:val="single" w:sz="4" w:space="0" w:color="auto"/>
              <w:left w:val="single" w:sz="4" w:space="0" w:color="auto"/>
              <w:right w:val="single" w:sz="4" w:space="0" w:color="auto"/>
            </w:tcBorders>
            <w:shd w:val="clear" w:color="auto" w:fill="auto"/>
            <w:vAlign w:val="center"/>
          </w:tcPr>
          <w:p w14:paraId="1ED78CC6"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24.6</w:t>
            </w:r>
          </w:p>
        </w:tc>
        <w:tc>
          <w:tcPr>
            <w:tcW w:w="1276" w:type="dxa"/>
            <w:tcBorders>
              <w:top w:val="single" w:sz="4" w:space="0" w:color="auto"/>
              <w:left w:val="single" w:sz="4" w:space="0" w:color="auto"/>
              <w:bottom w:val="nil"/>
              <w:right w:val="single" w:sz="4" w:space="0" w:color="auto"/>
            </w:tcBorders>
            <w:shd w:val="clear" w:color="auto" w:fill="auto"/>
            <w:vAlign w:val="center"/>
          </w:tcPr>
          <w:p w14:paraId="4E404898"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24.7</w:t>
            </w:r>
          </w:p>
        </w:tc>
        <w:tc>
          <w:tcPr>
            <w:tcW w:w="1277" w:type="dxa"/>
            <w:tcBorders>
              <w:top w:val="single" w:sz="4" w:space="0" w:color="auto"/>
              <w:left w:val="single" w:sz="4" w:space="0" w:color="auto"/>
              <w:right w:val="single" w:sz="4" w:space="0" w:color="auto"/>
            </w:tcBorders>
            <w:shd w:val="clear" w:color="auto" w:fill="auto"/>
            <w:vAlign w:val="center"/>
          </w:tcPr>
          <w:p w14:paraId="132DBFB2"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25.0</w:t>
            </w:r>
          </w:p>
        </w:tc>
        <w:tc>
          <w:tcPr>
            <w:tcW w:w="1133" w:type="dxa"/>
            <w:tcBorders>
              <w:top w:val="single" w:sz="4" w:space="0" w:color="auto"/>
              <w:left w:val="single" w:sz="4" w:space="0" w:color="auto"/>
              <w:bottom w:val="nil"/>
              <w:right w:val="single" w:sz="4" w:space="0" w:color="auto"/>
            </w:tcBorders>
            <w:shd w:val="clear" w:color="auto" w:fill="auto"/>
            <w:vAlign w:val="center"/>
          </w:tcPr>
          <w:p w14:paraId="5D1FC649"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0.4</w:t>
            </w:r>
          </w:p>
        </w:tc>
        <w:tc>
          <w:tcPr>
            <w:tcW w:w="1134" w:type="dxa"/>
            <w:tcBorders>
              <w:top w:val="single" w:sz="4" w:space="0" w:color="auto"/>
              <w:left w:val="single" w:sz="4" w:space="0" w:color="auto"/>
              <w:bottom w:val="nil"/>
              <w:right w:val="single" w:sz="4" w:space="0" w:color="auto"/>
            </w:tcBorders>
            <w:shd w:val="clear" w:color="auto" w:fill="auto"/>
            <w:vAlign w:val="center"/>
          </w:tcPr>
          <w:p w14:paraId="2706C852" w14:textId="77777777" w:rsidR="00651355" w:rsidRPr="00651355" w:rsidRDefault="00651355" w:rsidP="00651355">
            <w:pPr>
              <w:spacing w:before="120" w:after="40"/>
              <w:ind w:right="227"/>
              <w:jc w:val="right"/>
              <w:rPr>
                <w:rFonts w:eastAsia="Calibri"/>
                <w:b/>
                <w:bCs/>
                <w:sz w:val="18"/>
                <w:szCs w:val="18"/>
                <w:lang w:val="en-US" w:eastAsia="en-US"/>
              </w:rPr>
            </w:pPr>
            <w:r w:rsidRPr="00651355">
              <w:rPr>
                <w:rFonts w:eastAsia="Calibri"/>
                <w:b/>
                <w:bCs/>
                <w:sz w:val="18"/>
                <w:szCs w:val="18"/>
                <w:lang w:val="en-US" w:eastAsia="en-US"/>
              </w:rPr>
              <w:t>0.3</w:t>
            </w:r>
          </w:p>
        </w:tc>
      </w:tr>
      <w:tr w:rsidR="00651355" w:rsidRPr="00651355" w14:paraId="2619894C" w14:textId="77777777" w:rsidTr="00845A3F">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097153D3" w14:textId="77777777" w:rsidR="00651355" w:rsidRPr="00651355" w:rsidRDefault="00651355" w:rsidP="00651355">
            <w:pPr>
              <w:spacing w:before="40" w:after="40"/>
              <w:ind w:left="170"/>
              <w:jc w:val="both"/>
              <w:rPr>
                <w:rFonts w:eastAsia="Calibri"/>
                <w:bCs/>
                <w:sz w:val="18"/>
                <w:szCs w:val="18"/>
                <w:lang w:val="en-US" w:eastAsia="en-US"/>
              </w:rPr>
            </w:pPr>
            <w:r w:rsidRPr="00651355">
              <w:rPr>
                <w:rFonts w:eastAsia="Calibri"/>
                <w:bCs/>
                <w:sz w:val="18"/>
                <w:szCs w:val="18"/>
                <w:lang w:val="en-US" w:eastAsia="en-US"/>
              </w:rPr>
              <w:t>Micro</w:t>
            </w:r>
          </w:p>
        </w:tc>
        <w:tc>
          <w:tcPr>
            <w:tcW w:w="1275" w:type="dxa"/>
            <w:tcBorders>
              <w:left w:val="single" w:sz="4" w:space="0" w:color="auto"/>
              <w:right w:val="single" w:sz="4" w:space="0" w:color="auto"/>
            </w:tcBorders>
            <w:shd w:val="clear" w:color="auto" w:fill="auto"/>
            <w:vAlign w:val="center"/>
          </w:tcPr>
          <w:p w14:paraId="5BA97096"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8.5</w:t>
            </w:r>
          </w:p>
        </w:tc>
        <w:tc>
          <w:tcPr>
            <w:tcW w:w="1276" w:type="dxa"/>
            <w:tcBorders>
              <w:top w:val="nil"/>
              <w:left w:val="single" w:sz="4" w:space="0" w:color="auto"/>
              <w:bottom w:val="nil"/>
              <w:right w:val="single" w:sz="4" w:space="0" w:color="auto"/>
            </w:tcBorders>
            <w:shd w:val="clear" w:color="auto" w:fill="auto"/>
            <w:vAlign w:val="center"/>
          </w:tcPr>
          <w:p w14:paraId="0E510768"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9.1</w:t>
            </w:r>
          </w:p>
        </w:tc>
        <w:tc>
          <w:tcPr>
            <w:tcW w:w="1277" w:type="dxa"/>
            <w:tcBorders>
              <w:left w:val="single" w:sz="4" w:space="0" w:color="auto"/>
              <w:right w:val="single" w:sz="4" w:space="0" w:color="auto"/>
            </w:tcBorders>
            <w:shd w:val="clear" w:color="auto" w:fill="auto"/>
            <w:vAlign w:val="center"/>
          </w:tcPr>
          <w:p w14:paraId="5595DD3F"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9.3</w:t>
            </w:r>
          </w:p>
        </w:tc>
        <w:tc>
          <w:tcPr>
            <w:tcW w:w="1133" w:type="dxa"/>
            <w:tcBorders>
              <w:top w:val="nil"/>
              <w:left w:val="single" w:sz="4" w:space="0" w:color="auto"/>
              <w:bottom w:val="nil"/>
              <w:right w:val="single" w:sz="4" w:space="0" w:color="auto"/>
            </w:tcBorders>
            <w:shd w:val="clear" w:color="auto" w:fill="auto"/>
            <w:vAlign w:val="center"/>
          </w:tcPr>
          <w:p w14:paraId="7155AA20"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0.8</w:t>
            </w:r>
          </w:p>
        </w:tc>
        <w:tc>
          <w:tcPr>
            <w:tcW w:w="1134" w:type="dxa"/>
            <w:tcBorders>
              <w:top w:val="nil"/>
              <w:left w:val="single" w:sz="4" w:space="0" w:color="auto"/>
              <w:bottom w:val="nil"/>
              <w:right w:val="single" w:sz="4" w:space="0" w:color="auto"/>
            </w:tcBorders>
            <w:shd w:val="clear" w:color="auto" w:fill="auto"/>
            <w:vAlign w:val="center"/>
          </w:tcPr>
          <w:p w14:paraId="7E6C9192" w14:textId="77777777" w:rsidR="00651355" w:rsidRPr="00651355" w:rsidRDefault="00651355" w:rsidP="00651355">
            <w:pPr>
              <w:spacing w:before="40" w:after="40"/>
              <w:ind w:right="227"/>
              <w:jc w:val="right"/>
              <w:rPr>
                <w:rFonts w:eastAsia="Calibri"/>
                <w:bCs/>
                <w:sz w:val="18"/>
                <w:szCs w:val="18"/>
                <w:lang w:val="en-US" w:eastAsia="en-US"/>
              </w:rPr>
            </w:pPr>
            <w:r w:rsidRPr="00651355">
              <w:rPr>
                <w:rFonts w:eastAsia="Calibri"/>
                <w:bCs/>
                <w:sz w:val="18"/>
                <w:szCs w:val="18"/>
                <w:lang w:val="en-US" w:eastAsia="en-US"/>
              </w:rPr>
              <w:t>0.2</w:t>
            </w:r>
          </w:p>
        </w:tc>
      </w:tr>
      <w:tr w:rsidR="00651355" w:rsidRPr="00651355" w14:paraId="0AF825BA" w14:textId="77777777" w:rsidTr="00845A3F">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3CB4FACE" w14:textId="77777777" w:rsidR="00651355" w:rsidRPr="00651355" w:rsidRDefault="00651355" w:rsidP="00651355">
            <w:pPr>
              <w:spacing w:before="40" w:after="40"/>
              <w:ind w:left="170"/>
              <w:jc w:val="both"/>
              <w:rPr>
                <w:rFonts w:eastAsia="Calibri"/>
                <w:bCs/>
                <w:sz w:val="18"/>
                <w:szCs w:val="18"/>
                <w:lang w:val="en-US" w:eastAsia="en-US"/>
              </w:rPr>
            </w:pPr>
            <w:r w:rsidRPr="00651355">
              <w:rPr>
                <w:rFonts w:eastAsia="Calibri"/>
                <w:bCs/>
                <w:sz w:val="18"/>
                <w:szCs w:val="18"/>
                <w:lang w:val="en-US" w:eastAsia="en-US"/>
              </w:rPr>
              <w:t>Pequeña</w:t>
            </w:r>
          </w:p>
        </w:tc>
        <w:tc>
          <w:tcPr>
            <w:tcW w:w="1275" w:type="dxa"/>
            <w:tcBorders>
              <w:left w:val="single" w:sz="4" w:space="0" w:color="auto"/>
              <w:right w:val="single" w:sz="4" w:space="0" w:color="auto"/>
            </w:tcBorders>
            <w:shd w:val="clear" w:color="auto" w:fill="auto"/>
            <w:vAlign w:val="center"/>
          </w:tcPr>
          <w:p w14:paraId="060694A5"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10.8</w:t>
            </w:r>
          </w:p>
        </w:tc>
        <w:tc>
          <w:tcPr>
            <w:tcW w:w="1276" w:type="dxa"/>
            <w:tcBorders>
              <w:top w:val="nil"/>
              <w:left w:val="single" w:sz="4" w:space="0" w:color="auto"/>
              <w:bottom w:val="nil"/>
              <w:right w:val="single" w:sz="4" w:space="0" w:color="auto"/>
            </w:tcBorders>
            <w:shd w:val="clear" w:color="auto" w:fill="auto"/>
            <w:vAlign w:val="center"/>
          </w:tcPr>
          <w:p w14:paraId="45812F52"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10.9</w:t>
            </w:r>
          </w:p>
        </w:tc>
        <w:tc>
          <w:tcPr>
            <w:tcW w:w="1277" w:type="dxa"/>
            <w:tcBorders>
              <w:left w:val="single" w:sz="4" w:space="0" w:color="auto"/>
              <w:right w:val="single" w:sz="4" w:space="0" w:color="auto"/>
            </w:tcBorders>
            <w:shd w:val="clear" w:color="auto" w:fill="auto"/>
            <w:vAlign w:val="center"/>
          </w:tcPr>
          <w:p w14:paraId="08012B2B"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11.0</w:t>
            </w:r>
          </w:p>
        </w:tc>
        <w:tc>
          <w:tcPr>
            <w:tcW w:w="1133" w:type="dxa"/>
            <w:tcBorders>
              <w:top w:val="nil"/>
              <w:left w:val="single" w:sz="4" w:space="0" w:color="auto"/>
              <w:bottom w:val="nil"/>
              <w:right w:val="single" w:sz="4" w:space="0" w:color="auto"/>
            </w:tcBorders>
            <w:shd w:val="clear" w:color="auto" w:fill="auto"/>
            <w:vAlign w:val="center"/>
          </w:tcPr>
          <w:p w14:paraId="2FE1C3F3" w14:textId="77777777" w:rsidR="00651355" w:rsidRPr="00651355" w:rsidRDefault="00651355" w:rsidP="00651355">
            <w:pPr>
              <w:spacing w:before="40" w:after="40"/>
              <w:ind w:right="227"/>
              <w:jc w:val="right"/>
              <w:rPr>
                <w:rFonts w:eastAsia="Calibri"/>
                <w:sz w:val="18"/>
                <w:szCs w:val="18"/>
                <w:lang w:val="en-US" w:eastAsia="en-US"/>
              </w:rPr>
            </w:pPr>
            <w:r w:rsidRPr="00651355">
              <w:rPr>
                <w:rFonts w:eastAsia="Calibri"/>
                <w:sz w:val="18"/>
                <w:szCs w:val="18"/>
                <w:lang w:val="en-US" w:eastAsia="en-US"/>
              </w:rPr>
              <w:t>0.2</w:t>
            </w:r>
          </w:p>
        </w:tc>
        <w:tc>
          <w:tcPr>
            <w:tcW w:w="1134" w:type="dxa"/>
            <w:tcBorders>
              <w:top w:val="nil"/>
              <w:left w:val="single" w:sz="4" w:space="0" w:color="auto"/>
              <w:bottom w:val="nil"/>
              <w:right w:val="single" w:sz="4" w:space="0" w:color="auto"/>
            </w:tcBorders>
            <w:shd w:val="clear" w:color="auto" w:fill="auto"/>
            <w:vAlign w:val="center"/>
          </w:tcPr>
          <w:p w14:paraId="03270504" w14:textId="77777777" w:rsidR="00651355" w:rsidRPr="00651355" w:rsidRDefault="00651355" w:rsidP="00651355">
            <w:pPr>
              <w:spacing w:before="40" w:after="40"/>
              <w:ind w:right="227"/>
              <w:jc w:val="right"/>
              <w:rPr>
                <w:rFonts w:eastAsia="Calibri"/>
                <w:bCs/>
                <w:sz w:val="18"/>
                <w:szCs w:val="18"/>
                <w:lang w:val="en-US" w:eastAsia="en-US"/>
              </w:rPr>
            </w:pPr>
            <w:r w:rsidRPr="00651355">
              <w:rPr>
                <w:rFonts w:eastAsia="Calibri"/>
                <w:bCs/>
                <w:sz w:val="18"/>
                <w:szCs w:val="18"/>
                <w:lang w:val="en-US" w:eastAsia="en-US"/>
              </w:rPr>
              <w:t>0.1</w:t>
            </w:r>
          </w:p>
        </w:tc>
      </w:tr>
      <w:tr w:rsidR="00651355" w:rsidRPr="00651355" w14:paraId="794025D1" w14:textId="77777777" w:rsidTr="00845A3F">
        <w:trPr>
          <w:trHeight w:val="271"/>
          <w:jc w:val="center"/>
        </w:trPr>
        <w:tc>
          <w:tcPr>
            <w:tcW w:w="2505" w:type="dxa"/>
            <w:tcBorders>
              <w:top w:val="nil"/>
              <w:left w:val="single" w:sz="4" w:space="0" w:color="auto"/>
              <w:bottom w:val="nil"/>
              <w:right w:val="single" w:sz="4" w:space="0" w:color="auto"/>
            </w:tcBorders>
            <w:shd w:val="clear" w:color="auto" w:fill="auto"/>
            <w:vAlign w:val="center"/>
          </w:tcPr>
          <w:p w14:paraId="6CCBF7AF" w14:textId="77777777" w:rsidR="00651355" w:rsidRPr="00651355" w:rsidRDefault="00651355" w:rsidP="00651355">
            <w:pPr>
              <w:spacing w:before="40" w:after="120"/>
              <w:ind w:left="170"/>
              <w:jc w:val="both"/>
              <w:rPr>
                <w:rFonts w:eastAsia="Calibri"/>
                <w:bCs/>
                <w:sz w:val="18"/>
                <w:szCs w:val="18"/>
                <w:lang w:val="en-US" w:eastAsia="en-US"/>
              </w:rPr>
            </w:pPr>
            <w:r w:rsidRPr="00651355">
              <w:rPr>
                <w:rFonts w:eastAsia="Calibri"/>
                <w:bCs/>
                <w:sz w:val="18"/>
                <w:szCs w:val="18"/>
                <w:lang w:val="en-US" w:eastAsia="en-US"/>
              </w:rPr>
              <w:t>Mediana</w:t>
            </w:r>
          </w:p>
        </w:tc>
        <w:tc>
          <w:tcPr>
            <w:tcW w:w="1275" w:type="dxa"/>
            <w:tcBorders>
              <w:left w:val="single" w:sz="4" w:space="0" w:color="auto"/>
              <w:right w:val="single" w:sz="4" w:space="0" w:color="auto"/>
            </w:tcBorders>
            <w:shd w:val="clear" w:color="auto" w:fill="auto"/>
            <w:vAlign w:val="center"/>
          </w:tcPr>
          <w:p w14:paraId="67E9DE5D" w14:textId="77777777" w:rsidR="00651355" w:rsidRPr="00651355" w:rsidRDefault="00651355" w:rsidP="00651355">
            <w:pPr>
              <w:spacing w:before="40" w:after="120"/>
              <w:ind w:right="227"/>
              <w:jc w:val="right"/>
              <w:rPr>
                <w:rFonts w:eastAsia="Calibri"/>
                <w:sz w:val="18"/>
                <w:szCs w:val="18"/>
                <w:lang w:val="en-US" w:eastAsia="en-US"/>
              </w:rPr>
            </w:pPr>
            <w:r w:rsidRPr="00651355">
              <w:rPr>
                <w:rFonts w:eastAsia="Calibri"/>
                <w:sz w:val="18"/>
                <w:szCs w:val="18"/>
                <w:lang w:val="en-US" w:eastAsia="en-US"/>
              </w:rPr>
              <w:t>5.3</w:t>
            </w:r>
          </w:p>
        </w:tc>
        <w:tc>
          <w:tcPr>
            <w:tcW w:w="1276" w:type="dxa"/>
            <w:tcBorders>
              <w:top w:val="nil"/>
              <w:left w:val="single" w:sz="4" w:space="0" w:color="auto"/>
              <w:bottom w:val="nil"/>
              <w:right w:val="single" w:sz="4" w:space="0" w:color="auto"/>
            </w:tcBorders>
            <w:shd w:val="clear" w:color="auto" w:fill="auto"/>
            <w:vAlign w:val="center"/>
          </w:tcPr>
          <w:p w14:paraId="120472C6" w14:textId="77777777" w:rsidR="00651355" w:rsidRPr="00651355" w:rsidRDefault="00651355" w:rsidP="00651355">
            <w:pPr>
              <w:spacing w:before="40" w:after="120"/>
              <w:ind w:right="227"/>
              <w:jc w:val="right"/>
              <w:rPr>
                <w:rFonts w:eastAsia="Calibri"/>
                <w:sz w:val="18"/>
                <w:szCs w:val="18"/>
                <w:lang w:val="en-US" w:eastAsia="en-US"/>
              </w:rPr>
            </w:pPr>
            <w:r w:rsidRPr="00651355">
              <w:rPr>
                <w:rFonts w:eastAsia="Calibri"/>
                <w:sz w:val="18"/>
                <w:szCs w:val="18"/>
                <w:lang w:val="en-US" w:eastAsia="en-US"/>
              </w:rPr>
              <w:t>4.7</w:t>
            </w:r>
          </w:p>
        </w:tc>
        <w:tc>
          <w:tcPr>
            <w:tcW w:w="1277" w:type="dxa"/>
            <w:tcBorders>
              <w:left w:val="single" w:sz="4" w:space="0" w:color="auto"/>
              <w:right w:val="single" w:sz="4" w:space="0" w:color="auto"/>
            </w:tcBorders>
            <w:shd w:val="clear" w:color="auto" w:fill="auto"/>
            <w:vAlign w:val="center"/>
          </w:tcPr>
          <w:p w14:paraId="4FB3D95D" w14:textId="77777777" w:rsidR="00651355" w:rsidRPr="00651355" w:rsidRDefault="00651355" w:rsidP="00651355">
            <w:pPr>
              <w:spacing w:before="40" w:after="120"/>
              <w:ind w:right="227"/>
              <w:jc w:val="right"/>
              <w:rPr>
                <w:rFonts w:eastAsia="Calibri"/>
                <w:sz w:val="18"/>
                <w:szCs w:val="18"/>
                <w:lang w:val="en-US" w:eastAsia="en-US"/>
              </w:rPr>
            </w:pPr>
            <w:r w:rsidRPr="00651355">
              <w:rPr>
                <w:rFonts w:eastAsia="Calibri"/>
                <w:sz w:val="18"/>
                <w:szCs w:val="18"/>
                <w:lang w:val="en-US" w:eastAsia="en-US"/>
              </w:rPr>
              <w:t>4.7</w:t>
            </w:r>
          </w:p>
        </w:tc>
        <w:tc>
          <w:tcPr>
            <w:tcW w:w="1133" w:type="dxa"/>
            <w:tcBorders>
              <w:top w:val="nil"/>
              <w:left w:val="single" w:sz="4" w:space="0" w:color="auto"/>
              <w:bottom w:val="nil"/>
              <w:right w:val="single" w:sz="4" w:space="0" w:color="auto"/>
            </w:tcBorders>
            <w:shd w:val="clear" w:color="auto" w:fill="auto"/>
            <w:vAlign w:val="center"/>
          </w:tcPr>
          <w:p w14:paraId="41A6B0E8" w14:textId="77777777" w:rsidR="00651355" w:rsidRPr="00651355" w:rsidRDefault="00651355" w:rsidP="00651355">
            <w:pPr>
              <w:spacing w:before="40" w:after="120"/>
              <w:ind w:right="227"/>
              <w:jc w:val="right"/>
              <w:rPr>
                <w:rFonts w:eastAsia="Calibri"/>
                <w:sz w:val="18"/>
                <w:szCs w:val="18"/>
                <w:lang w:val="en-US" w:eastAsia="en-US"/>
              </w:rPr>
            </w:pPr>
            <w:r w:rsidRPr="00651355">
              <w:rPr>
                <w:rFonts w:eastAsia="Calibri"/>
                <w:sz w:val="18"/>
                <w:szCs w:val="18"/>
                <w:lang w:val="en-US" w:eastAsia="en-US"/>
              </w:rPr>
              <w:t>-0.6</w:t>
            </w:r>
          </w:p>
        </w:tc>
        <w:tc>
          <w:tcPr>
            <w:tcW w:w="1134" w:type="dxa"/>
            <w:tcBorders>
              <w:top w:val="nil"/>
              <w:left w:val="single" w:sz="4" w:space="0" w:color="auto"/>
              <w:bottom w:val="nil"/>
              <w:right w:val="single" w:sz="4" w:space="0" w:color="auto"/>
            </w:tcBorders>
            <w:shd w:val="clear" w:color="auto" w:fill="auto"/>
            <w:vAlign w:val="center"/>
          </w:tcPr>
          <w:p w14:paraId="32DD923E" w14:textId="77777777" w:rsidR="00651355" w:rsidRPr="00651355" w:rsidRDefault="00651355" w:rsidP="00651355">
            <w:pPr>
              <w:spacing w:before="40" w:after="120"/>
              <w:ind w:right="227"/>
              <w:jc w:val="right"/>
              <w:rPr>
                <w:rFonts w:eastAsia="Calibri"/>
                <w:bCs/>
                <w:sz w:val="18"/>
                <w:szCs w:val="18"/>
                <w:lang w:val="en-US" w:eastAsia="en-US"/>
              </w:rPr>
            </w:pPr>
            <w:r w:rsidRPr="00651355">
              <w:rPr>
                <w:rFonts w:eastAsia="Calibri"/>
                <w:bCs/>
                <w:sz w:val="18"/>
                <w:szCs w:val="18"/>
                <w:lang w:val="en-US" w:eastAsia="en-US"/>
              </w:rPr>
              <w:t>0.0</w:t>
            </w:r>
          </w:p>
        </w:tc>
      </w:tr>
      <w:tr w:rsidR="00651355" w:rsidRPr="00651355" w14:paraId="2F4E16B1" w14:textId="77777777" w:rsidTr="00845A3F">
        <w:trPr>
          <w:trHeight w:val="271"/>
          <w:jc w:val="center"/>
        </w:trPr>
        <w:tc>
          <w:tcPr>
            <w:tcW w:w="2505" w:type="dxa"/>
            <w:tcBorders>
              <w:top w:val="nil"/>
              <w:left w:val="single" w:sz="4" w:space="0" w:color="auto"/>
              <w:bottom w:val="single" w:sz="4" w:space="0" w:color="auto"/>
              <w:right w:val="single" w:sz="4" w:space="0" w:color="auto"/>
            </w:tcBorders>
            <w:shd w:val="clear" w:color="auto" w:fill="auto"/>
            <w:vAlign w:val="center"/>
          </w:tcPr>
          <w:p w14:paraId="2CF7C634" w14:textId="77777777" w:rsidR="00651355" w:rsidRPr="00651355" w:rsidRDefault="00651355" w:rsidP="00651355">
            <w:pPr>
              <w:spacing w:before="40" w:after="120"/>
              <w:jc w:val="both"/>
              <w:rPr>
                <w:rFonts w:eastAsia="Calibri"/>
                <w:b/>
                <w:bCs/>
                <w:sz w:val="18"/>
                <w:szCs w:val="18"/>
                <w:lang w:val="en-US" w:eastAsia="en-US"/>
              </w:rPr>
            </w:pPr>
            <w:r w:rsidRPr="00651355">
              <w:rPr>
                <w:rFonts w:eastAsia="Calibri"/>
                <w:b/>
                <w:bCs/>
                <w:sz w:val="18"/>
                <w:szCs w:val="18"/>
                <w:lang w:val="en-US" w:eastAsia="en-US"/>
              </w:rPr>
              <w:t>Grande</w:t>
            </w:r>
            <w:r w:rsidRPr="00651355">
              <w:rPr>
                <w:rFonts w:eastAsia="Calibri"/>
                <w:b/>
                <w:bCs/>
                <w:sz w:val="18"/>
                <w:szCs w:val="18"/>
                <w:u w:val="single"/>
                <w:vertAlign w:val="superscript"/>
                <w:lang w:val="en-US" w:eastAsia="en-US"/>
              </w:rPr>
              <w:t>1</w:t>
            </w:r>
            <w:r w:rsidRPr="00651355">
              <w:rPr>
                <w:rFonts w:eastAsia="Calibri"/>
                <w:b/>
                <w:bCs/>
                <w:sz w:val="18"/>
                <w:szCs w:val="18"/>
                <w:vertAlign w:val="superscript"/>
                <w:lang w:val="en-US" w:eastAsia="en-US"/>
              </w:rPr>
              <w:t>/</w:t>
            </w:r>
          </w:p>
        </w:tc>
        <w:tc>
          <w:tcPr>
            <w:tcW w:w="1275" w:type="dxa"/>
            <w:tcBorders>
              <w:left w:val="single" w:sz="4" w:space="0" w:color="auto"/>
              <w:bottom w:val="single" w:sz="4" w:space="0" w:color="auto"/>
              <w:right w:val="single" w:sz="4" w:space="0" w:color="auto"/>
            </w:tcBorders>
            <w:shd w:val="clear" w:color="auto" w:fill="auto"/>
            <w:vAlign w:val="center"/>
          </w:tcPr>
          <w:p w14:paraId="387B755C" w14:textId="77777777" w:rsidR="00651355" w:rsidRPr="00651355" w:rsidRDefault="00651355" w:rsidP="00651355">
            <w:pPr>
              <w:spacing w:before="40" w:after="120"/>
              <w:ind w:right="227"/>
              <w:jc w:val="right"/>
              <w:rPr>
                <w:rFonts w:eastAsia="Calibri"/>
                <w:b/>
                <w:sz w:val="18"/>
                <w:szCs w:val="18"/>
                <w:lang w:val="en-US" w:eastAsia="en-US"/>
              </w:rPr>
            </w:pPr>
            <w:r w:rsidRPr="00651355">
              <w:rPr>
                <w:rFonts w:eastAsia="Calibri"/>
                <w:b/>
                <w:sz w:val="18"/>
                <w:szCs w:val="18"/>
                <w:lang w:val="en-US" w:eastAsia="en-US"/>
              </w:rPr>
              <w:t>75.4</w:t>
            </w:r>
          </w:p>
        </w:tc>
        <w:tc>
          <w:tcPr>
            <w:tcW w:w="1276" w:type="dxa"/>
            <w:tcBorders>
              <w:top w:val="nil"/>
              <w:left w:val="single" w:sz="4" w:space="0" w:color="auto"/>
              <w:bottom w:val="single" w:sz="4" w:space="0" w:color="auto"/>
              <w:right w:val="single" w:sz="4" w:space="0" w:color="auto"/>
            </w:tcBorders>
            <w:shd w:val="clear" w:color="auto" w:fill="auto"/>
            <w:vAlign w:val="center"/>
          </w:tcPr>
          <w:p w14:paraId="7352144C" w14:textId="77777777" w:rsidR="00651355" w:rsidRPr="00651355" w:rsidRDefault="00651355" w:rsidP="00651355">
            <w:pPr>
              <w:spacing w:before="40" w:after="120"/>
              <w:ind w:right="227"/>
              <w:jc w:val="right"/>
              <w:rPr>
                <w:rFonts w:eastAsia="Calibri"/>
                <w:b/>
                <w:sz w:val="18"/>
                <w:szCs w:val="18"/>
                <w:lang w:val="en-US" w:eastAsia="en-US"/>
              </w:rPr>
            </w:pPr>
            <w:r w:rsidRPr="00651355">
              <w:rPr>
                <w:rFonts w:eastAsia="Calibri"/>
                <w:b/>
                <w:sz w:val="18"/>
                <w:szCs w:val="18"/>
                <w:lang w:val="en-US" w:eastAsia="en-US"/>
              </w:rPr>
              <w:t>75.3</w:t>
            </w:r>
          </w:p>
        </w:tc>
        <w:tc>
          <w:tcPr>
            <w:tcW w:w="1277" w:type="dxa"/>
            <w:tcBorders>
              <w:left w:val="single" w:sz="4" w:space="0" w:color="auto"/>
              <w:bottom w:val="single" w:sz="4" w:space="0" w:color="auto"/>
              <w:right w:val="single" w:sz="4" w:space="0" w:color="auto"/>
            </w:tcBorders>
            <w:shd w:val="clear" w:color="auto" w:fill="auto"/>
            <w:vAlign w:val="center"/>
          </w:tcPr>
          <w:p w14:paraId="2EE1AB8F" w14:textId="77777777" w:rsidR="00651355" w:rsidRPr="00651355" w:rsidRDefault="00651355" w:rsidP="00651355">
            <w:pPr>
              <w:spacing w:before="40" w:after="120"/>
              <w:ind w:right="227"/>
              <w:jc w:val="right"/>
              <w:rPr>
                <w:rFonts w:eastAsia="Calibri"/>
                <w:b/>
                <w:sz w:val="18"/>
                <w:szCs w:val="18"/>
                <w:lang w:val="en-US" w:eastAsia="en-US"/>
              </w:rPr>
            </w:pPr>
            <w:r w:rsidRPr="00651355">
              <w:rPr>
                <w:rFonts w:eastAsia="Calibri"/>
                <w:b/>
                <w:sz w:val="18"/>
                <w:szCs w:val="18"/>
                <w:lang w:val="en-US" w:eastAsia="en-US"/>
              </w:rPr>
              <w:t>75.0</w:t>
            </w:r>
          </w:p>
        </w:tc>
        <w:tc>
          <w:tcPr>
            <w:tcW w:w="1133" w:type="dxa"/>
            <w:tcBorders>
              <w:top w:val="nil"/>
              <w:left w:val="single" w:sz="4" w:space="0" w:color="auto"/>
              <w:bottom w:val="single" w:sz="4" w:space="0" w:color="auto"/>
              <w:right w:val="single" w:sz="4" w:space="0" w:color="auto"/>
            </w:tcBorders>
            <w:shd w:val="clear" w:color="auto" w:fill="auto"/>
            <w:vAlign w:val="center"/>
          </w:tcPr>
          <w:p w14:paraId="227F61D8" w14:textId="77777777" w:rsidR="00651355" w:rsidRPr="00651355" w:rsidRDefault="00651355" w:rsidP="00651355">
            <w:pPr>
              <w:spacing w:before="40" w:after="120"/>
              <w:ind w:right="227"/>
              <w:jc w:val="right"/>
              <w:rPr>
                <w:rFonts w:eastAsia="Calibri"/>
                <w:b/>
                <w:sz w:val="18"/>
                <w:szCs w:val="18"/>
                <w:lang w:val="en-US" w:eastAsia="en-US"/>
              </w:rPr>
            </w:pPr>
            <w:r w:rsidRPr="00651355">
              <w:rPr>
                <w:rFonts w:eastAsia="Calibri"/>
                <w:b/>
                <w:sz w:val="18"/>
                <w:szCs w:val="18"/>
                <w:lang w:val="en-US" w:eastAsia="en-US"/>
              </w:rPr>
              <w:t>-0.4</w:t>
            </w:r>
          </w:p>
        </w:tc>
        <w:tc>
          <w:tcPr>
            <w:tcW w:w="1134" w:type="dxa"/>
            <w:tcBorders>
              <w:top w:val="nil"/>
              <w:left w:val="single" w:sz="4" w:space="0" w:color="auto"/>
              <w:bottom w:val="single" w:sz="4" w:space="0" w:color="auto"/>
              <w:right w:val="single" w:sz="4" w:space="0" w:color="auto"/>
            </w:tcBorders>
            <w:shd w:val="clear" w:color="auto" w:fill="auto"/>
            <w:vAlign w:val="center"/>
          </w:tcPr>
          <w:p w14:paraId="0BD96D98" w14:textId="77777777" w:rsidR="00651355" w:rsidRPr="00651355" w:rsidRDefault="00651355" w:rsidP="00651355">
            <w:pPr>
              <w:spacing w:before="40" w:after="120"/>
              <w:ind w:right="227"/>
              <w:jc w:val="right"/>
              <w:rPr>
                <w:rFonts w:eastAsia="Calibri"/>
                <w:b/>
                <w:bCs/>
                <w:sz w:val="18"/>
                <w:szCs w:val="18"/>
                <w:lang w:val="en-US" w:eastAsia="en-US"/>
              </w:rPr>
            </w:pPr>
            <w:r w:rsidRPr="00651355">
              <w:rPr>
                <w:rFonts w:eastAsia="Calibri"/>
                <w:b/>
                <w:bCs/>
                <w:sz w:val="18"/>
                <w:szCs w:val="18"/>
                <w:lang w:val="en-US" w:eastAsia="en-US"/>
              </w:rPr>
              <w:t>-0.3</w:t>
            </w:r>
          </w:p>
        </w:tc>
      </w:tr>
      <w:tr w:rsidR="00651355" w:rsidRPr="00651355" w14:paraId="59B93630" w14:textId="77777777" w:rsidTr="00845A3F">
        <w:trPr>
          <w:trHeight w:val="271"/>
          <w:jc w:val="center"/>
        </w:trPr>
        <w:tc>
          <w:tcPr>
            <w:tcW w:w="8600" w:type="dxa"/>
            <w:gridSpan w:val="6"/>
            <w:tcBorders>
              <w:top w:val="single" w:sz="4" w:space="0" w:color="auto"/>
              <w:bottom w:val="nil"/>
            </w:tcBorders>
            <w:vAlign w:val="center"/>
          </w:tcPr>
          <w:p w14:paraId="61C96029" w14:textId="77777777" w:rsidR="00651355" w:rsidRPr="00651355" w:rsidRDefault="00651355" w:rsidP="00651355">
            <w:pPr>
              <w:spacing w:before="120"/>
              <w:ind w:right="284"/>
              <w:jc w:val="both"/>
              <w:rPr>
                <w:rFonts w:eastAsia="Calibri"/>
                <w:bCs/>
                <w:sz w:val="20"/>
                <w:szCs w:val="20"/>
                <w:lang w:val="en-US" w:eastAsia="en-US"/>
              </w:rPr>
            </w:pPr>
            <w:r w:rsidRPr="00651355">
              <w:rPr>
                <w:rFonts w:eastAsia="Calibri"/>
                <w:bCs/>
                <w:sz w:val="20"/>
                <w:szCs w:val="20"/>
                <w:u w:val="single"/>
                <w:lang w:val="en-US" w:eastAsia="en-US"/>
              </w:rPr>
              <w:t>1</w:t>
            </w:r>
            <w:r w:rsidRPr="00651355">
              <w:rPr>
                <w:rFonts w:eastAsia="Calibri"/>
                <w:bCs/>
                <w:sz w:val="20"/>
                <w:szCs w:val="20"/>
                <w:lang w:val="en-US" w:eastAsia="en-US"/>
              </w:rPr>
              <w:t>/ Incluye empresas grandes y fideicomisos.</w:t>
            </w:r>
          </w:p>
          <w:p w14:paraId="057AF943" w14:textId="77777777" w:rsidR="00651355" w:rsidRPr="00651355" w:rsidRDefault="00651355" w:rsidP="00651355">
            <w:pPr>
              <w:ind w:right="284"/>
              <w:jc w:val="both"/>
              <w:rPr>
                <w:rFonts w:eastAsia="Calibri"/>
                <w:bCs/>
                <w:sz w:val="20"/>
                <w:szCs w:val="20"/>
                <w:lang w:val="en-US" w:eastAsia="en-US"/>
              </w:rPr>
            </w:pPr>
            <w:r w:rsidRPr="00651355">
              <w:rPr>
                <w:rFonts w:eastAsia="Calibri"/>
                <w:bCs/>
                <w:sz w:val="20"/>
                <w:szCs w:val="20"/>
                <w:lang w:val="en-US" w:eastAsia="en-US"/>
              </w:rPr>
              <w:t>FUENTE: CNBV.</w:t>
            </w:r>
          </w:p>
        </w:tc>
      </w:tr>
    </w:tbl>
    <w:p w14:paraId="3160A7C7" w14:textId="77777777" w:rsidR="00651355" w:rsidRPr="00651355" w:rsidRDefault="00651355" w:rsidP="00651355">
      <w:pPr>
        <w:spacing w:after="360" w:line="360" w:lineRule="auto"/>
        <w:ind w:right="-159"/>
        <w:jc w:val="both"/>
        <w:rPr>
          <w:rFonts w:eastAsia="Calibri"/>
          <w:sz w:val="26"/>
          <w:szCs w:val="26"/>
          <w:lang w:eastAsia="en-US"/>
        </w:rPr>
      </w:pPr>
    </w:p>
    <w:p w14:paraId="64115D0D" w14:textId="2A0BAED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crédito al consumo creció 6% para alcanzar un saldo de 713 mmdp (equivalentes al 21.1% de la cartera total). El crédito a través de tarjetas de crédito aumentó 2.3% y se ubicó en 306 mmdp (42.9% de la cartera al consumo); mientras que los créditos personales alcanzaron un saldo de 136 mmdp, 5.7% más en términos anuales y con una participación dentro de la cartera de consumo de 19.1%. Por su parte, los créditos de nómina conformaron 23% de este portafolio (164 mmdp), y crecieron 17.9 por ciento.</w:t>
      </w:r>
    </w:p>
    <w:p w14:paraId="092B9ACF" w14:textId="1B8B46D1"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 xml:space="preserve">El segmento de vivienda sumó 16.9% del total de cartera y alcanzó un saldo de </w:t>
      </w:r>
      <w:r w:rsidR="00BD39EC">
        <w:rPr>
          <w:rFonts w:eastAsia="Calibri"/>
          <w:sz w:val="26"/>
          <w:szCs w:val="26"/>
          <w:lang w:eastAsia="en-US"/>
        </w:rPr>
        <w:t xml:space="preserve">                </w:t>
      </w:r>
      <w:r w:rsidRPr="00651355">
        <w:rPr>
          <w:rFonts w:eastAsia="Calibri"/>
          <w:sz w:val="26"/>
          <w:szCs w:val="26"/>
          <w:lang w:eastAsia="en-US"/>
        </w:rPr>
        <w:t xml:space="preserve">571 mmdp con un incremento anual de 9.8%. El 85.6% de la cartera de vivienda corresponde al segmento de vivienda media y residencial con 489 mmdp, el cual se incrementó 14.5% en el período. La cartera de vivienda de interés social se ubicó en </w:t>
      </w:r>
      <w:r w:rsidR="00BD39EC">
        <w:rPr>
          <w:rFonts w:eastAsia="Calibri"/>
          <w:sz w:val="26"/>
          <w:szCs w:val="26"/>
          <w:lang w:eastAsia="en-US"/>
        </w:rPr>
        <w:t xml:space="preserve">        </w:t>
      </w:r>
      <w:r w:rsidRPr="00651355">
        <w:rPr>
          <w:rFonts w:eastAsia="Calibri"/>
          <w:sz w:val="26"/>
          <w:szCs w:val="26"/>
          <w:lang w:eastAsia="en-US"/>
        </w:rPr>
        <w:t>82 mmdp (14.4% de la cartera vivienda) con una disminución anual de 11.4 por ciento.</w:t>
      </w:r>
    </w:p>
    <w:p w14:paraId="68DEBDEE" w14:textId="1D3F3A76"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lastRenderedPageBreak/>
        <w:t xml:space="preserve">El índice de morosidad (IMOR) de la cartera total se situó en 3.15%, 0.23 </w:t>
      </w:r>
      <w:r w:rsidR="00BD39EC">
        <w:rPr>
          <w:rFonts w:eastAsia="Calibri"/>
          <w:sz w:val="26"/>
          <w:szCs w:val="26"/>
          <w:lang w:eastAsia="en-US"/>
        </w:rPr>
        <w:t>puntos porcentuales (</w:t>
      </w:r>
      <w:r w:rsidRPr="00651355">
        <w:rPr>
          <w:rFonts w:eastAsia="Calibri"/>
          <w:sz w:val="26"/>
          <w:szCs w:val="26"/>
          <w:lang w:eastAsia="en-US"/>
        </w:rPr>
        <w:t>pp</w:t>
      </w:r>
      <w:r w:rsidR="00BD39EC">
        <w:rPr>
          <w:rFonts w:eastAsia="Calibri"/>
          <w:sz w:val="26"/>
          <w:szCs w:val="26"/>
          <w:lang w:eastAsia="en-US"/>
        </w:rPr>
        <w:t>)</w:t>
      </w:r>
      <w:r w:rsidRPr="00651355">
        <w:rPr>
          <w:rFonts w:eastAsia="Calibri"/>
          <w:sz w:val="26"/>
          <w:szCs w:val="26"/>
          <w:lang w:eastAsia="en-US"/>
        </w:rPr>
        <w:t xml:space="preserve"> menos que el nivel observado en febrero de 2014. El IMOR de la cartera comercial fue 2.29%, menor en 0.36 pp al nivel registrado en el mismo mes de 2014. La cartera de empresas tuvo un IMOR de 3.23%, 0.45 pp por debajo del registrado en el mismo período del año anterior.</w:t>
      </w:r>
    </w:p>
    <w:p w14:paraId="44293F48"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IMOR de la cartera de consumo fue 5.10 al cierre de febrero de 2015, con una variación positiva de 0.13 pp superior en términos anuales. Por segmentos, la cartera de tarjeta de crédito registró un IMOR de 5.44%, 0.46 pp más que el año anterior, mientras que los créditos personales presentaron un IMOR de 8.24%, 0.61 pp por arriba de la cifra registrada en febrero de 2014. Por último, los créditos de nómina registraron un IMOR de 3.08%, con un decremento anual de 0.47 pp.</w:t>
      </w:r>
    </w:p>
    <w:p w14:paraId="7D6D959A" w14:textId="62AD3F8F"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La morosidad de los créditos a la vivienda se situó en 3.88%, 0.05 pp menos que en febrero de 2014. El crédito destinado a vivienda media residencial alcanzó un IMOR de 3.86%, mientras que el segmento de vivienda de interés social registró un IMOR de 3.98%; lo que represent</w:t>
      </w:r>
      <w:r w:rsidR="00D3436F">
        <w:rPr>
          <w:rFonts w:eastAsia="Calibri"/>
          <w:sz w:val="26"/>
          <w:szCs w:val="26"/>
          <w:lang w:eastAsia="en-US"/>
        </w:rPr>
        <w:t>ó</w:t>
      </w:r>
      <w:r w:rsidRPr="00651355">
        <w:rPr>
          <w:rFonts w:eastAsia="Calibri"/>
          <w:sz w:val="26"/>
          <w:szCs w:val="26"/>
          <w:lang w:eastAsia="en-US"/>
        </w:rPr>
        <w:t xml:space="preserve"> un aumento de 0.10 pp y una disminución de 0.72 pp contra los registros a febrero de 2014, respectivamente.</w:t>
      </w:r>
    </w:p>
    <w:p w14:paraId="70113D16" w14:textId="77777777" w:rsidR="00651355" w:rsidRPr="00651355" w:rsidRDefault="00651355" w:rsidP="00651355">
      <w:pPr>
        <w:spacing w:after="360" w:line="360" w:lineRule="auto"/>
        <w:ind w:right="-159"/>
        <w:jc w:val="both"/>
        <w:rPr>
          <w:rFonts w:eastAsia="Calibri"/>
          <w:sz w:val="26"/>
          <w:szCs w:val="26"/>
          <w:lang w:eastAsia="en-US"/>
        </w:rPr>
      </w:pPr>
    </w:p>
    <w:p w14:paraId="606176D7" w14:textId="77777777" w:rsidR="00651355" w:rsidRPr="00651355" w:rsidRDefault="00651355" w:rsidP="00651355">
      <w:pPr>
        <w:spacing w:after="360" w:line="360" w:lineRule="auto"/>
        <w:ind w:right="-159"/>
        <w:jc w:val="both"/>
        <w:rPr>
          <w:rFonts w:eastAsia="Calibri"/>
          <w:sz w:val="26"/>
          <w:szCs w:val="26"/>
          <w:lang w:eastAsia="en-US"/>
        </w:rPr>
      </w:pPr>
    </w:p>
    <w:p w14:paraId="16190E12" w14:textId="77777777" w:rsidR="00651355" w:rsidRPr="00651355" w:rsidRDefault="00651355" w:rsidP="00651355">
      <w:pPr>
        <w:spacing w:after="360" w:line="360" w:lineRule="auto"/>
        <w:ind w:right="-159"/>
        <w:jc w:val="both"/>
        <w:rPr>
          <w:rFonts w:eastAsia="Calibri"/>
          <w:sz w:val="26"/>
          <w:szCs w:val="26"/>
          <w:lang w:eastAsia="en-US"/>
        </w:rPr>
      </w:pPr>
    </w:p>
    <w:p w14:paraId="5A3D7498" w14:textId="77777777" w:rsidR="00651355" w:rsidRPr="00651355" w:rsidRDefault="00651355" w:rsidP="00651355">
      <w:pPr>
        <w:spacing w:after="360" w:line="360" w:lineRule="auto"/>
        <w:ind w:right="-159"/>
        <w:jc w:val="both"/>
        <w:rPr>
          <w:rFonts w:eastAsia="Calibri"/>
          <w:sz w:val="26"/>
          <w:szCs w:val="26"/>
          <w:lang w:eastAsia="en-US"/>
        </w:rPr>
      </w:pPr>
    </w:p>
    <w:p w14:paraId="02AEE3EF" w14:textId="77777777" w:rsidR="00651355" w:rsidRPr="00651355" w:rsidRDefault="00651355" w:rsidP="00651355">
      <w:pPr>
        <w:spacing w:after="360" w:line="360" w:lineRule="auto"/>
        <w:ind w:right="-159"/>
        <w:jc w:val="both"/>
        <w:rPr>
          <w:rFonts w:eastAsia="Calibri"/>
          <w:sz w:val="26"/>
          <w:szCs w:val="26"/>
          <w:lang w:eastAsia="en-US"/>
        </w:rPr>
      </w:pPr>
    </w:p>
    <w:p w14:paraId="0A6AECD8" w14:textId="77777777" w:rsidR="00651355" w:rsidRPr="00651355" w:rsidRDefault="00651355" w:rsidP="00651355">
      <w:pPr>
        <w:spacing w:after="360" w:line="360" w:lineRule="auto"/>
        <w:ind w:right="-159"/>
        <w:jc w:val="both"/>
        <w:rPr>
          <w:rFonts w:eastAsia="Calibri"/>
          <w:sz w:val="26"/>
          <w:szCs w:val="26"/>
          <w:lang w:eastAsia="en-US"/>
        </w:rPr>
      </w:pPr>
    </w:p>
    <w:tbl>
      <w:tblPr>
        <w:tblW w:w="8652" w:type="dxa"/>
        <w:jc w:val="center"/>
        <w:tblLayout w:type="fixed"/>
        <w:tblLook w:val="01E0" w:firstRow="1" w:lastRow="1" w:firstColumn="1" w:lastColumn="1" w:noHBand="0" w:noVBand="0"/>
      </w:tblPr>
      <w:tblGrid>
        <w:gridCol w:w="2835"/>
        <w:gridCol w:w="1134"/>
        <w:gridCol w:w="1276"/>
        <w:gridCol w:w="1134"/>
        <w:gridCol w:w="1139"/>
        <w:gridCol w:w="1134"/>
      </w:tblGrid>
      <w:tr w:rsidR="00651355" w:rsidRPr="00651355" w14:paraId="264C3098" w14:textId="77777777" w:rsidTr="00845A3F">
        <w:trPr>
          <w:trHeight w:val="552"/>
          <w:jc w:val="center"/>
        </w:trPr>
        <w:tc>
          <w:tcPr>
            <w:tcW w:w="8652" w:type="dxa"/>
            <w:gridSpan w:val="6"/>
            <w:tcBorders>
              <w:top w:val="nil"/>
              <w:bottom w:val="single" w:sz="4" w:space="0" w:color="auto"/>
            </w:tcBorders>
            <w:vAlign w:val="center"/>
          </w:tcPr>
          <w:p w14:paraId="430CC39B"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lastRenderedPageBreak/>
              <w:t>BANCA MÚLTIPLE: IMOR</w:t>
            </w:r>
            <w:r w:rsidRPr="00651355">
              <w:rPr>
                <w:rFonts w:eastAsia="Calibri"/>
                <w:b/>
                <w:bCs/>
                <w:sz w:val="22"/>
                <w:szCs w:val="22"/>
                <w:u w:val="single"/>
                <w:vertAlign w:val="superscript"/>
                <w:lang w:eastAsia="en-US"/>
              </w:rPr>
              <w:t>1</w:t>
            </w:r>
            <w:r w:rsidRPr="00651355">
              <w:rPr>
                <w:rFonts w:eastAsia="Calibri"/>
                <w:b/>
                <w:bCs/>
                <w:sz w:val="22"/>
                <w:szCs w:val="22"/>
                <w:vertAlign w:val="superscript"/>
                <w:lang w:eastAsia="en-US"/>
              </w:rPr>
              <w:t>/</w:t>
            </w:r>
          </w:p>
          <w:p w14:paraId="61F8F141" w14:textId="0A65270B"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-Cifras en porcentaje-</w:t>
            </w:r>
          </w:p>
        </w:tc>
      </w:tr>
      <w:tr w:rsidR="00651355" w:rsidRPr="00651355" w14:paraId="482D3B3D" w14:textId="77777777" w:rsidTr="00845A3F">
        <w:trPr>
          <w:trHeight w:val="312"/>
          <w:jc w:val="cent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0F2DC" w14:textId="77777777" w:rsidR="00651355" w:rsidRPr="00651355" w:rsidRDefault="00651355" w:rsidP="00651355">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DA1D23D"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B52B7"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22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1072D"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1A27B4AA" w14:textId="77777777" w:rsidTr="00845A3F">
        <w:trPr>
          <w:trHeight w:val="281"/>
          <w:jc w:val="center"/>
        </w:trPr>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467099" w14:textId="77777777" w:rsidR="00651355" w:rsidRPr="00651355" w:rsidRDefault="00651355" w:rsidP="00651355">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5A6477"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CCFCA0"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046656"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7D6AD69"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C76984"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3276D099" w14:textId="77777777" w:rsidTr="00845A3F">
        <w:trPr>
          <w:trHeight w:val="271"/>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004A8AB8" w14:textId="77777777" w:rsidR="00651355" w:rsidRPr="00651355" w:rsidRDefault="00651355" w:rsidP="00651355">
            <w:pPr>
              <w:spacing w:before="120"/>
              <w:rPr>
                <w:rFonts w:eastAsia="Calibri"/>
                <w:b/>
                <w:bCs/>
                <w:sz w:val="18"/>
                <w:szCs w:val="18"/>
                <w:lang w:val="en-US" w:eastAsia="en-US"/>
              </w:rPr>
            </w:pPr>
            <w:r w:rsidRPr="00651355">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center"/>
          </w:tcPr>
          <w:p w14:paraId="46B867B8" w14:textId="77777777" w:rsidR="00651355" w:rsidRPr="00651355" w:rsidRDefault="00651355" w:rsidP="00651355">
            <w:pPr>
              <w:spacing w:before="120" w:after="40"/>
              <w:ind w:right="284"/>
              <w:jc w:val="right"/>
              <w:rPr>
                <w:rFonts w:eastAsia="Calibri"/>
                <w:b/>
                <w:sz w:val="18"/>
                <w:szCs w:val="18"/>
                <w:lang w:val="en-US" w:eastAsia="en-US"/>
              </w:rPr>
            </w:pPr>
            <w:r w:rsidRPr="00651355">
              <w:rPr>
                <w:rFonts w:eastAsia="Calibri"/>
                <w:b/>
                <w:sz w:val="18"/>
                <w:szCs w:val="18"/>
                <w:lang w:val="en-US" w:eastAsia="en-US"/>
              </w:rPr>
              <w:t>3.39</w:t>
            </w:r>
          </w:p>
        </w:tc>
        <w:tc>
          <w:tcPr>
            <w:tcW w:w="1276" w:type="dxa"/>
            <w:tcBorders>
              <w:top w:val="single" w:sz="4" w:space="0" w:color="auto"/>
              <w:left w:val="single" w:sz="4" w:space="0" w:color="auto"/>
              <w:bottom w:val="nil"/>
              <w:right w:val="single" w:sz="4" w:space="0" w:color="auto"/>
            </w:tcBorders>
            <w:shd w:val="clear" w:color="auto" w:fill="auto"/>
            <w:vAlign w:val="center"/>
          </w:tcPr>
          <w:p w14:paraId="2B6FE480"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3.13</w:t>
            </w:r>
          </w:p>
        </w:tc>
        <w:tc>
          <w:tcPr>
            <w:tcW w:w="1134" w:type="dxa"/>
            <w:tcBorders>
              <w:top w:val="single" w:sz="4" w:space="0" w:color="auto"/>
              <w:left w:val="single" w:sz="4" w:space="0" w:color="auto"/>
              <w:right w:val="single" w:sz="4" w:space="0" w:color="auto"/>
            </w:tcBorders>
            <w:shd w:val="clear" w:color="auto" w:fill="auto"/>
            <w:vAlign w:val="center"/>
          </w:tcPr>
          <w:p w14:paraId="7E9DBE84"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3.15</w:t>
            </w:r>
          </w:p>
        </w:tc>
        <w:tc>
          <w:tcPr>
            <w:tcW w:w="1139" w:type="dxa"/>
            <w:tcBorders>
              <w:top w:val="single" w:sz="4" w:space="0" w:color="auto"/>
              <w:left w:val="single" w:sz="4" w:space="0" w:color="auto"/>
              <w:bottom w:val="nil"/>
              <w:right w:val="single" w:sz="4" w:space="0" w:color="auto"/>
            </w:tcBorders>
            <w:shd w:val="clear" w:color="auto" w:fill="auto"/>
            <w:vAlign w:val="center"/>
          </w:tcPr>
          <w:p w14:paraId="04A2BAC1" w14:textId="77777777" w:rsidR="00651355" w:rsidRPr="00651355" w:rsidRDefault="00651355" w:rsidP="00651355">
            <w:pPr>
              <w:spacing w:before="120" w:after="40"/>
              <w:ind w:right="170"/>
              <w:jc w:val="right"/>
              <w:rPr>
                <w:rFonts w:eastAsia="Calibri"/>
                <w:b/>
                <w:sz w:val="18"/>
                <w:szCs w:val="18"/>
                <w:lang w:val="en-US" w:eastAsia="en-US"/>
              </w:rPr>
            </w:pPr>
            <w:r w:rsidRPr="00651355">
              <w:rPr>
                <w:rFonts w:eastAsia="Calibri"/>
                <w:b/>
                <w:sz w:val="18"/>
                <w:szCs w:val="18"/>
                <w:lang w:val="en-US" w:eastAsia="en-US"/>
              </w:rPr>
              <w:t>-0.23</w:t>
            </w:r>
          </w:p>
        </w:tc>
        <w:tc>
          <w:tcPr>
            <w:tcW w:w="1134" w:type="dxa"/>
            <w:tcBorders>
              <w:top w:val="single" w:sz="4" w:space="0" w:color="auto"/>
              <w:left w:val="single" w:sz="4" w:space="0" w:color="auto"/>
              <w:bottom w:val="nil"/>
              <w:right w:val="single" w:sz="4" w:space="0" w:color="auto"/>
            </w:tcBorders>
            <w:shd w:val="clear" w:color="auto" w:fill="auto"/>
            <w:vAlign w:val="center"/>
          </w:tcPr>
          <w:p w14:paraId="71E327B2" w14:textId="77777777" w:rsidR="00651355" w:rsidRPr="00651355" w:rsidRDefault="00651355" w:rsidP="00651355">
            <w:pPr>
              <w:spacing w:before="120" w:after="40"/>
              <w:ind w:right="284"/>
              <w:jc w:val="right"/>
              <w:rPr>
                <w:rFonts w:eastAsia="Calibri"/>
                <w:b/>
                <w:bCs/>
                <w:sz w:val="18"/>
                <w:szCs w:val="18"/>
                <w:lang w:val="en-US" w:eastAsia="en-US"/>
              </w:rPr>
            </w:pPr>
            <w:r w:rsidRPr="00651355">
              <w:rPr>
                <w:rFonts w:eastAsia="Calibri"/>
                <w:b/>
                <w:bCs/>
                <w:sz w:val="18"/>
                <w:szCs w:val="18"/>
                <w:lang w:val="en-US" w:eastAsia="en-US"/>
              </w:rPr>
              <w:t>0.02</w:t>
            </w:r>
          </w:p>
        </w:tc>
      </w:tr>
      <w:tr w:rsidR="00651355" w:rsidRPr="00651355" w14:paraId="2C865F63"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32D5E05"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center"/>
          </w:tcPr>
          <w:p w14:paraId="4E7C9086"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2.65</w:t>
            </w:r>
          </w:p>
        </w:tc>
        <w:tc>
          <w:tcPr>
            <w:tcW w:w="1276" w:type="dxa"/>
            <w:tcBorders>
              <w:top w:val="nil"/>
              <w:left w:val="single" w:sz="4" w:space="0" w:color="auto"/>
              <w:bottom w:val="nil"/>
              <w:right w:val="single" w:sz="4" w:space="0" w:color="auto"/>
            </w:tcBorders>
            <w:shd w:val="clear" w:color="auto" w:fill="auto"/>
            <w:vAlign w:val="center"/>
          </w:tcPr>
          <w:p w14:paraId="1BC1530D"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2.25</w:t>
            </w:r>
          </w:p>
        </w:tc>
        <w:tc>
          <w:tcPr>
            <w:tcW w:w="1134" w:type="dxa"/>
            <w:tcBorders>
              <w:left w:val="single" w:sz="4" w:space="0" w:color="auto"/>
              <w:right w:val="single" w:sz="4" w:space="0" w:color="auto"/>
            </w:tcBorders>
            <w:shd w:val="clear" w:color="auto" w:fill="auto"/>
            <w:vAlign w:val="center"/>
          </w:tcPr>
          <w:p w14:paraId="629BE28D"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2.29</w:t>
            </w:r>
          </w:p>
        </w:tc>
        <w:tc>
          <w:tcPr>
            <w:tcW w:w="1139" w:type="dxa"/>
            <w:tcBorders>
              <w:top w:val="nil"/>
              <w:left w:val="single" w:sz="4" w:space="0" w:color="auto"/>
              <w:bottom w:val="nil"/>
              <w:right w:val="single" w:sz="4" w:space="0" w:color="auto"/>
            </w:tcBorders>
            <w:shd w:val="clear" w:color="auto" w:fill="auto"/>
            <w:vAlign w:val="center"/>
          </w:tcPr>
          <w:p w14:paraId="114F2A58"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-0.36</w:t>
            </w:r>
          </w:p>
        </w:tc>
        <w:tc>
          <w:tcPr>
            <w:tcW w:w="1134" w:type="dxa"/>
            <w:tcBorders>
              <w:top w:val="nil"/>
              <w:left w:val="single" w:sz="4" w:space="0" w:color="auto"/>
              <w:bottom w:val="nil"/>
              <w:right w:val="single" w:sz="4" w:space="0" w:color="auto"/>
            </w:tcBorders>
            <w:shd w:val="clear" w:color="auto" w:fill="auto"/>
            <w:vAlign w:val="center"/>
          </w:tcPr>
          <w:p w14:paraId="251833C2"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0.04</w:t>
            </w:r>
          </w:p>
        </w:tc>
      </w:tr>
      <w:tr w:rsidR="00651355" w:rsidRPr="00651355" w14:paraId="21C3F482"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A061E80"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center"/>
          </w:tcPr>
          <w:p w14:paraId="17CCDD8F"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3.67</w:t>
            </w:r>
          </w:p>
        </w:tc>
        <w:tc>
          <w:tcPr>
            <w:tcW w:w="1276" w:type="dxa"/>
            <w:tcBorders>
              <w:top w:val="nil"/>
              <w:left w:val="single" w:sz="4" w:space="0" w:color="auto"/>
              <w:bottom w:val="nil"/>
              <w:right w:val="single" w:sz="4" w:space="0" w:color="auto"/>
            </w:tcBorders>
            <w:shd w:val="clear" w:color="auto" w:fill="auto"/>
            <w:vAlign w:val="center"/>
          </w:tcPr>
          <w:p w14:paraId="295C6E3F"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3.20</w:t>
            </w:r>
          </w:p>
        </w:tc>
        <w:tc>
          <w:tcPr>
            <w:tcW w:w="1134" w:type="dxa"/>
            <w:tcBorders>
              <w:left w:val="single" w:sz="4" w:space="0" w:color="auto"/>
              <w:right w:val="single" w:sz="4" w:space="0" w:color="auto"/>
            </w:tcBorders>
            <w:shd w:val="clear" w:color="auto" w:fill="auto"/>
            <w:vAlign w:val="center"/>
          </w:tcPr>
          <w:p w14:paraId="59FE42AC"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3.23</w:t>
            </w:r>
          </w:p>
        </w:tc>
        <w:tc>
          <w:tcPr>
            <w:tcW w:w="1139" w:type="dxa"/>
            <w:tcBorders>
              <w:top w:val="nil"/>
              <w:left w:val="single" w:sz="4" w:space="0" w:color="auto"/>
              <w:bottom w:val="nil"/>
              <w:right w:val="single" w:sz="4" w:space="0" w:color="auto"/>
            </w:tcBorders>
            <w:shd w:val="clear" w:color="auto" w:fill="auto"/>
            <w:vAlign w:val="center"/>
          </w:tcPr>
          <w:p w14:paraId="0A50ADE2"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-0.45</w:t>
            </w:r>
          </w:p>
        </w:tc>
        <w:tc>
          <w:tcPr>
            <w:tcW w:w="1134" w:type="dxa"/>
            <w:tcBorders>
              <w:top w:val="nil"/>
              <w:left w:val="single" w:sz="4" w:space="0" w:color="auto"/>
              <w:bottom w:val="nil"/>
              <w:right w:val="single" w:sz="4" w:space="0" w:color="auto"/>
            </w:tcBorders>
            <w:shd w:val="clear" w:color="auto" w:fill="auto"/>
            <w:vAlign w:val="center"/>
          </w:tcPr>
          <w:p w14:paraId="542B7212"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0.02</w:t>
            </w:r>
          </w:p>
        </w:tc>
      </w:tr>
      <w:tr w:rsidR="00651355" w:rsidRPr="00651355" w14:paraId="00557F3C"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587DC24"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center"/>
          </w:tcPr>
          <w:p w14:paraId="781544C4"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0.07</w:t>
            </w:r>
          </w:p>
        </w:tc>
        <w:tc>
          <w:tcPr>
            <w:tcW w:w="1276" w:type="dxa"/>
            <w:tcBorders>
              <w:top w:val="nil"/>
              <w:left w:val="single" w:sz="4" w:space="0" w:color="auto"/>
              <w:bottom w:val="nil"/>
              <w:right w:val="single" w:sz="4" w:space="0" w:color="auto"/>
            </w:tcBorders>
            <w:shd w:val="clear" w:color="auto" w:fill="auto"/>
            <w:vAlign w:val="center"/>
          </w:tcPr>
          <w:p w14:paraId="62FBFE6C"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0.18</w:t>
            </w:r>
          </w:p>
        </w:tc>
        <w:tc>
          <w:tcPr>
            <w:tcW w:w="1134" w:type="dxa"/>
            <w:tcBorders>
              <w:left w:val="single" w:sz="4" w:space="0" w:color="auto"/>
              <w:right w:val="single" w:sz="4" w:space="0" w:color="auto"/>
            </w:tcBorders>
            <w:shd w:val="clear" w:color="auto" w:fill="auto"/>
            <w:vAlign w:val="center"/>
          </w:tcPr>
          <w:p w14:paraId="785C72BC"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0.60</w:t>
            </w:r>
          </w:p>
        </w:tc>
        <w:tc>
          <w:tcPr>
            <w:tcW w:w="1139" w:type="dxa"/>
            <w:tcBorders>
              <w:top w:val="nil"/>
              <w:left w:val="single" w:sz="4" w:space="0" w:color="auto"/>
              <w:bottom w:val="nil"/>
              <w:right w:val="single" w:sz="4" w:space="0" w:color="auto"/>
            </w:tcBorders>
            <w:shd w:val="clear" w:color="auto" w:fill="auto"/>
            <w:vAlign w:val="center"/>
          </w:tcPr>
          <w:p w14:paraId="0DAAA005"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0.53</w:t>
            </w:r>
          </w:p>
        </w:tc>
        <w:tc>
          <w:tcPr>
            <w:tcW w:w="1134" w:type="dxa"/>
            <w:tcBorders>
              <w:top w:val="nil"/>
              <w:left w:val="single" w:sz="4" w:space="0" w:color="auto"/>
              <w:bottom w:val="nil"/>
              <w:right w:val="single" w:sz="4" w:space="0" w:color="auto"/>
            </w:tcBorders>
            <w:shd w:val="clear" w:color="auto" w:fill="auto"/>
            <w:vAlign w:val="center"/>
          </w:tcPr>
          <w:p w14:paraId="65C98DE5"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0.42</w:t>
            </w:r>
          </w:p>
        </w:tc>
      </w:tr>
      <w:tr w:rsidR="00651355" w:rsidRPr="00651355" w14:paraId="6EAE73DD"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6AFEC9A1" w14:textId="77777777" w:rsidR="00651355" w:rsidRPr="00651355" w:rsidRDefault="00651355" w:rsidP="00651355">
            <w:pPr>
              <w:spacing w:after="120"/>
              <w:ind w:left="170"/>
              <w:rPr>
                <w:rFonts w:eastAsia="Calibri"/>
                <w:bCs/>
                <w:sz w:val="18"/>
                <w:szCs w:val="18"/>
                <w:lang w:val="en-US" w:eastAsia="en-US"/>
              </w:rPr>
            </w:pPr>
            <w:r w:rsidRPr="00651355">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center"/>
          </w:tcPr>
          <w:p w14:paraId="4B8A2578" w14:textId="77777777" w:rsidR="00651355" w:rsidRPr="00651355" w:rsidRDefault="00651355" w:rsidP="00651355">
            <w:pPr>
              <w:spacing w:after="120"/>
              <w:ind w:right="284"/>
              <w:jc w:val="right"/>
              <w:rPr>
                <w:rFonts w:eastAsia="Calibri"/>
                <w:sz w:val="18"/>
                <w:szCs w:val="18"/>
                <w:lang w:val="en-US" w:eastAsia="en-US"/>
              </w:rPr>
            </w:pPr>
            <w:r w:rsidRPr="00651355">
              <w:rPr>
                <w:rFonts w:eastAsia="Calibri"/>
                <w:sz w:val="18"/>
                <w:szCs w:val="18"/>
                <w:lang w:val="en-US" w:eastAsia="en-US"/>
              </w:rPr>
              <w:t>0.02</w:t>
            </w:r>
          </w:p>
        </w:tc>
        <w:tc>
          <w:tcPr>
            <w:tcW w:w="1276" w:type="dxa"/>
            <w:tcBorders>
              <w:top w:val="nil"/>
              <w:left w:val="single" w:sz="4" w:space="0" w:color="auto"/>
              <w:bottom w:val="nil"/>
              <w:right w:val="single" w:sz="4" w:space="0" w:color="auto"/>
            </w:tcBorders>
            <w:shd w:val="clear" w:color="auto" w:fill="auto"/>
            <w:vAlign w:val="center"/>
          </w:tcPr>
          <w:p w14:paraId="0DCC37C0" w14:textId="77777777" w:rsidR="00651355" w:rsidRPr="00651355" w:rsidRDefault="00651355" w:rsidP="00651355">
            <w:pPr>
              <w:spacing w:after="120"/>
              <w:ind w:right="227"/>
              <w:jc w:val="right"/>
              <w:rPr>
                <w:rFonts w:eastAsia="Calibri"/>
                <w:sz w:val="18"/>
                <w:szCs w:val="18"/>
                <w:lang w:val="en-US" w:eastAsia="en-US"/>
              </w:rPr>
            </w:pPr>
            <w:r w:rsidRPr="00651355">
              <w:rPr>
                <w:rFonts w:eastAsia="Calibri"/>
                <w:sz w:val="18"/>
                <w:szCs w:val="18"/>
                <w:lang w:val="en-US" w:eastAsia="en-US"/>
              </w:rPr>
              <w:t>0.02</w:t>
            </w:r>
          </w:p>
        </w:tc>
        <w:tc>
          <w:tcPr>
            <w:tcW w:w="1134" w:type="dxa"/>
            <w:tcBorders>
              <w:left w:val="single" w:sz="4" w:space="0" w:color="auto"/>
              <w:right w:val="single" w:sz="4" w:space="0" w:color="auto"/>
            </w:tcBorders>
            <w:shd w:val="clear" w:color="auto" w:fill="auto"/>
            <w:vAlign w:val="center"/>
          </w:tcPr>
          <w:p w14:paraId="6E837B57" w14:textId="77777777" w:rsidR="00651355" w:rsidRPr="00651355" w:rsidRDefault="00651355" w:rsidP="00651355">
            <w:pPr>
              <w:spacing w:after="120"/>
              <w:ind w:right="227"/>
              <w:jc w:val="right"/>
              <w:rPr>
                <w:rFonts w:eastAsia="Calibri"/>
                <w:sz w:val="18"/>
                <w:szCs w:val="18"/>
                <w:lang w:val="en-US" w:eastAsia="en-US"/>
              </w:rPr>
            </w:pPr>
            <w:r w:rsidRPr="00651355">
              <w:rPr>
                <w:rFonts w:eastAsia="Calibri"/>
                <w:sz w:val="18"/>
                <w:szCs w:val="18"/>
                <w:lang w:val="en-US" w:eastAsia="en-US"/>
              </w:rPr>
              <w:t>0.02</w:t>
            </w:r>
          </w:p>
        </w:tc>
        <w:tc>
          <w:tcPr>
            <w:tcW w:w="1139" w:type="dxa"/>
            <w:tcBorders>
              <w:top w:val="nil"/>
              <w:left w:val="single" w:sz="4" w:space="0" w:color="auto"/>
              <w:bottom w:val="nil"/>
              <w:right w:val="single" w:sz="4" w:space="0" w:color="auto"/>
            </w:tcBorders>
            <w:shd w:val="clear" w:color="auto" w:fill="auto"/>
            <w:vAlign w:val="center"/>
          </w:tcPr>
          <w:p w14:paraId="451FBA75"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0.01</w:t>
            </w:r>
          </w:p>
        </w:tc>
        <w:tc>
          <w:tcPr>
            <w:tcW w:w="1134" w:type="dxa"/>
            <w:tcBorders>
              <w:top w:val="nil"/>
              <w:left w:val="single" w:sz="4" w:space="0" w:color="auto"/>
              <w:bottom w:val="nil"/>
              <w:right w:val="single" w:sz="4" w:space="0" w:color="auto"/>
            </w:tcBorders>
            <w:shd w:val="clear" w:color="auto" w:fill="auto"/>
            <w:vAlign w:val="center"/>
          </w:tcPr>
          <w:p w14:paraId="6D40EC19" w14:textId="77777777" w:rsidR="00651355" w:rsidRPr="00651355" w:rsidRDefault="00651355" w:rsidP="00651355">
            <w:pPr>
              <w:spacing w:after="120"/>
              <w:ind w:right="284"/>
              <w:jc w:val="right"/>
              <w:rPr>
                <w:rFonts w:eastAsia="Calibri"/>
                <w:bCs/>
                <w:sz w:val="18"/>
                <w:szCs w:val="18"/>
                <w:lang w:val="en-US" w:eastAsia="en-US"/>
              </w:rPr>
            </w:pPr>
            <w:r w:rsidRPr="00651355">
              <w:rPr>
                <w:rFonts w:eastAsia="Calibri"/>
                <w:bCs/>
                <w:sz w:val="18"/>
                <w:szCs w:val="18"/>
                <w:lang w:val="en-US" w:eastAsia="en-US"/>
              </w:rPr>
              <w:t>0.00</w:t>
            </w:r>
          </w:p>
        </w:tc>
      </w:tr>
      <w:tr w:rsidR="00651355" w:rsidRPr="00651355" w14:paraId="5D2234E9" w14:textId="77777777" w:rsidTr="00845A3F">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359FDDFF"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center"/>
          </w:tcPr>
          <w:p w14:paraId="51144B17" w14:textId="77777777" w:rsidR="00651355" w:rsidRPr="00651355" w:rsidRDefault="00651355" w:rsidP="00651355">
            <w:pPr>
              <w:ind w:right="284"/>
              <w:jc w:val="right"/>
              <w:rPr>
                <w:rFonts w:eastAsia="Calibri"/>
                <w:b/>
                <w:sz w:val="18"/>
                <w:szCs w:val="18"/>
                <w:lang w:eastAsia="en-US"/>
              </w:rPr>
            </w:pPr>
            <w:r w:rsidRPr="00651355">
              <w:rPr>
                <w:rFonts w:eastAsia="Calibri"/>
                <w:b/>
                <w:sz w:val="18"/>
                <w:szCs w:val="18"/>
                <w:lang w:eastAsia="en-US"/>
              </w:rPr>
              <w:t>4.97</w:t>
            </w:r>
          </w:p>
        </w:tc>
        <w:tc>
          <w:tcPr>
            <w:tcW w:w="1276" w:type="dxa"/>
            <w:tcBorders>
              <w:top w:val="nil"/>
              <w:left w:val="single" w:sz="4" w:space="0" w:color="auto"/>
              <w:bottom w:val="nil"/>
              <w:right w:val="single" w:sz="4" w:space="0" w:color="auto"/>
            </w:tcBorders>
            <w:shd w:val="clear" w:color="auto" w:fill="auto"/>
            <w:vAlign w:val="center"/>
          </w:tcPr>
          <w:p w14:paraId="129187D3"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5.11</w:t>
            </w:r>
          </w:p>
        </w:tc>
        <w:tc>
          <w:tcPr>
            <w:tcW w:w="1134" w:type="dxa"/>
            <w:tcBorders>
              <w:left w:val="single" w:sz="4" w:space="0" w:color="auto"/>
              <w:right w:val="single" w:sz="4" w:space="0" w:color="auto"/>
            </w:tcBorders>
            <w:shd w:val="clear" w:color="auto" w:fill="auto"/>
            <w:vAlign w:val="center"/>
          </w:tcPr>
          <w:p w14:paraId="741474A7"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5.10</w:t>
            </w:r>
          </w:p>
        </w:tc>
        <w:tc>
          <w:tcPr>
            <w:tcW w:w="1139" w:type="dxa"/>
            <w:tcBorders>
              <w:top w:val="nil"/>
              <w:left w:val="single" w:sz="4" w:space="0" w:color="auto"/>
              <w:bottom w:val="nil"/>
              <w:right w:val="single" w:sz="4" w:space="0" w:color="auto"/>
            </w:tcBorders>
            <w:shd w:val="clear" w:color="auto" w:fill="auto"/>
            <w:vAlign w:val="center"/>
          </w:tcPr>
          <w:p w14:paraId="4FCC240D"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0.13</w:t>
            </w:r>
          </w:p>
        </w:tc>
        <w:tc>
          <w:tcPr>
            <w:tcW w:w="1134" w:type="dxa"/>
            <w:tcBorders>
              <w:top w:val="nil"/>
              <w:left w:val="single" w:sz="4" w:space="0" w:color="auto"/>
              <w:bottom w:val="nil"/>
              <w:right w:val="single" w:sz="4" w:space="0" w:color="auto"/>
            </w:tcBorders>
            <w:shd w:val="clear" w:color="auto" w:fill="auto"/>
            <w:vAlign w:val="center"/>
          </w:tcPr>
          <w:p w14:paraId="658FEA73" w14:textId="77777777" w:rsidR="00651355" w:rsidRPr="00651355" w:rsidRDefault="00651355" w:rsidP="00651355">
            <w:pPr>
              <w:ind w:right="284"/>
              <w:jc w:val="right"/>
              <w:rPr>
                <w:rFonts w:eastAsia="Calibri"/>
                <w:b/>
                <w:bCs/>
                <w:sz w:val="18"/>
                <w:szCs w:val="18"/>
                <w:lang w:eastAsia="en-US"/>
              </w:rPr>
            </w:pPr>
            <w:r w:rsidRPr="00651355">
              <w:rPr>
                <w:rFonts w:eastAsia="Calibri"/>
                <w:b/>
                <w:bCs/>
                <w:sz w:val="18"/>
                <w:szCs w:val="18"/>
                <w:lang w:eastAsia="en-US"/>
              </w:rPr>
              <w:t>-0.01</w:t>
            </w:r>
          </w:p>
        </w:tc>
      </w:tr>
      <w:tr w:rsidR="00651355" w:rsidRPr="00651355" w14:paraId="44F6FC4D" w14:textId="77777777" w:rsidTr="00845A3F">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0454C782"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center"/>
          </w:tcPr>
          <w:p w14:paraId="4376792E"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4.98</w:t>
            </w:r>
          </w:p>
        </w:tc>
        <w:tc>
          <w:tcPr>
            <w:tcW w:w="1276" w:type="dxa"/>
            <w:tcBorders>
              <w:top w:val="nil"/>
              <w:left w:val="single" w:sz="4" w:space="0" w:color="auto"/>
              <w:bottom w:val="nil"/>
              <w:right w:val="single" w:sz="4" w:space="0" w:color="auto"/>
            </w:tcBorders>
            <w:shd w:val="clear" w:color="auto" w:fill="auto"/>
            <w:vAlign w:val="center"/>
          </w:tcPr>
          <w:p w14:paraId="3313A0F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5.38</w:t>
            </w:r>
          </w:p>
        </w:tc>
        <w:tc>
          <w:tcPr>
            <w:tcW w:w="1134" w:type="dxa"/>
            <w:tcBorders>
              <w:left w:val="single" w:sz="4" w:space="0" w:color="auto"/>
              <w:right w:val="single" w:sz="4" w:space="0" w:color="auto"/>
            </w:tcBorders>
            <w:shd w:val="clear" w:color="auto" w:fill="auto"/>
            <w:vAlign w:val="center"/>
          </w:tcPr>
          <w:p w14:paraId="131319F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5.44</w:t>
            </w:r>
          </w:p>
        </w:tc>
        <w:tc>
          <w:tcPr>
            <w:tcW w:w="1139" w:type="dxa"/>
            <w:tcBorders>
              <w:top w:val="nil"/>
              <w:left w:val="single" w:sz="4" w:space="0" w:color="auto"/>
              <w:bottom w:val="nil"/>
              <w:right w:val="single" w:sz="4" w:space="0" w:color="auto"/>
            </w:tcBorders>
            <w:shd w:val="clear" w:color="auto" w:fill="auto"/>
            <w:vAlign w:val="center"/>
          </w:tcPr>
          <w:p w14:paraId="5ED80AB2"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0.46</w:t>
            </w:r>
          </w:p>
        </w:tc>
        <w:tc>
          <w:tcPr>
            <w:tcW w:w="1134" w:type="dxa"/>
            <w:tcBorders>
              <w:top w:val="nil"/>
              <w:left w:val="single" w:sz="4" w:space="0" w:color="auto"/>
              <w:bottom w:val="nil"/>
              <w:right w:val="single" w:sz="4" w:space="0" w:color="auto"/>
            </w:tcBorders>
            <w:shd w:val="clear" w:color="auto" w:fill="auto"/>
            <w:vAlign w:val="center"/>
          </w:tcPr>
          <w:p w14:paraId="211F3312"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0.06</w:t>
            </w:r>
          </w:p>
        </w:tc>
      </w:tr>
      <w:tr w:rsidR="00651355" w:rsidRPr="00651355" w14:paraId="2BD3A70C"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5239E9BE"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center"/>
          </w:tcPr>
          <w:p w14:paraId="12C8FAB6"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7.63</w:t>
            </w:r>
          </w:p>
        </w:tc>
        <w:tc>
          <w:tcPr>
            <w:tcW w:w="1276" w:type="dxa"/>
            <w:tcBorders>
              <w:top w:val="nil"/>
              <w:left w:val="single" w:sz="4" w:space="0" w:color="auto"/>
              <w:bottom w:val="nil"/>
              <w:right w:val="single" w:sz="4" w:space="0" w:color="auto"/>
            </w:tcBorders>
            <w:shd w:val="clear" w:color="auto" w:fill="auto"/>
            <w:vAlign w:val="center"/>
          </w:tcPr>
          <w:p w14:paraId="4346E60B"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8.27</w:t>
            </w:r>
          </w:p>
        </w:tc>
        <w:tc>
          <w:tcPr>
            <w:tcW w:w="1134" w:type="dxa"/>
            <w:tcBorders>
              <w:left w:val="single" w:sz="4" w:space="0" w:color="auto"/>
              <w:right w:val="single" w:sz="4" w:space="0" w:color="auto"/>
            </w:tcBorders>
            <w:shd w:val="clear" w:color="auto" w:fill="auto"/>
            <w:vAlign w:val="center"/>
          </w:tcPr>
          <w:p w14:paraId="11F40A3E"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8.24</w:t>
            </w:r>
          </w:p>
        </w:tc>
        <w:tc>
          <w:tcPr>
            <w:tcW w:w="1139" w:type="dxa"/>
            <w:tcBorders>
              <w:top w:val="nil"/>
              <w:left w:val="single" w:sz="4" w:space="0" w:color="auto"/>
              <w:bottom w:val="nil"/>
              <w:right w:val="single" w:sz="4" w:space="0" w:color="auto"/>
            </w:tcBorders>
            <w:shd w:val="clear" w:color="auto" w:fill="auto"/>
            <w:vAlign w:val="center"/>
          </w:tcPr>
          <w:p w14:paraId="5A39A29F"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0.61</w:t>
            </w:r>
          </w:p>
        </w:tc>
        <w:tc>
          <w:tcPr>
            <w:tcW w:w="1134" w:type="dxa"/>
            <w:tcBorders>
              <w:top w:val="nil"/>
              <w:left w:val="single" w:sz="4" w:space="0" w:color="auto"/>
              <w:bottom w:val="nil"/>
              <w:right w:val="single" w:sz="4" w:space="0" w:color="auto"/>
            </w:tcBorders>
            <w:shd w:val="clear" w:color="auto" w:fill="auto"/>
            <w:vAlign w:val="center"/>
          </w:tcPr>
          <w:p w14:paraId="70208D25"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-0.03</w:t>
            </w:r>
          </w:p>
        </w:tc>
      </w:tr>
      <w:tr w:rsidR="00651355" w:rsidRPr="00651355" w14:paraId="4790180E"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1BC52B2"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center"/>
          </w:tcPr>
          <w:p w14:paraId="60BD609C"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3.55</w:t>
            </w:r>
          </w:p>
        </w:tc>
        <w:tc>
          <w:tcPr>
            <w:tcW w:w="1276" w:type="dxa"/>
            <w:tcBorders>
              <w:top w:val="nil"/>
              <w:left w:val="single" w:sz="4" w:space="0" w:color="auto"/>
              <w:bottom w:val="nil"/>
              <w:right w:val="single" w:sz="4" w:space="0" w:color="auto"/>
            </w:tcBorders>
            <w:shd w:val="clear" w:color="auto" w:fill="auto"/>
            <w:vAlign w:val="center"/>
          </w:tcPr>
          <w:p w14:paraId="5C303AE1"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3.14</w:t>
            </w:r>
          </w:p>
        </w:tc>
        <w:tc>
          <w:tcPr>
            <w:tcW w:w="1134" w:type="dxa"/>
            <w:tcBorders>
              <w:left w:val="single" w:sz="4" w:space="0" w:color="auto"/>
              <w:right w:val="single" w:sz="4" w:space="0" w:color="auto"/>
            </w:tcBorders>
            <w:shd w:val="clear" w:color="auto" w:fill="auto"/>
            <w:vAlign w:val="center"/>
          </w:tcPr>
          <w:p w14:paraId="414FAD65"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3.08</w:t>
            </w:r>
          </w:p>
        </w:tc>
        <w:tc>
          <w:tcPr>
            <w:tcW w:w="1139" w:type="dxa"/>
            <w:tcBorders>
              <w:top w:val="nil"/>
              <w:left w:val="single" w:sz="4" w:space="0" w:color="auto"/>
              <w:bottom w:val="nil"/>
              <w:right w:val="single" w:sz="4" w:space="0" w:color="auto"/>
            </w:tcBorders>
            <w:shd w:val="clear" w:color="auto" w:fill="auto"/>
            <w:vAlign w:val="center"/>
          </w:tcPr>
          <w:p w14:paraId="28BBC57F"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-0.47</w:t>
            </w:r>
          </w:p>
        </w:tc>
        <w:tc>
          <w:tcPr>
            <w:tcW w:w="1134" w:type="dxa"/>
            <w:tcBorders>
              <w:top w:val="nil"/>
              <w:left w:val="single" w:sz="4" w:space="0" w:color="auto"/>
              <w:bottom w:val="nil"/>
              <w:right w:val="single" w:sz="4" w:space="0" w:color="auto"/>
            </w:tcBorders>
            <w:shd w:val="clear" w:color="auto" w:fill="auto"/>
            <w:vAlign w:val="center"/>
          </w:tcPr>
          <w:p w14:paraId="46946FC1"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-0.06</w:t>
            </w:r>
          </w:p>
        </w:tc>
      </w:tr>
      <w:tr w:rsidR="00651355" w:rsidRPr="00651355" w14:paraId="405A41B7"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DF79BDC"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center"/>
          </w:tcPr>
          <w:p w14:paraId="1F2351C4"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1.94</w:t>
            </w:r>
          </w:p>
        </w:tc>
        <w:tc>
          <w:tcPr>
            <w:tcW w:w="1276" w:type="dxa"/>
            <w:tcBorders>
              <w:top w:val="nil"/>
              <w:left w:val="single" w:sz="4" w:space="0" w:color="auto"/>
              <w:bottom w:val="nil"/>
              <w:right w:val="single" w:sz="4" w:space="0" w:color="auto"/>
            </w:tcBorders>
            <w:shd w:val="clear" w:color="auto" w:fill="auto"/>
            <w:vAlign w:val="center"/>
          </w:tcPr>
          <w:p w14:paraId="29049602"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1.97</w:t>
            </w:r>
          </w:p>
        </w:tc>
        <w:tc>
          <w:tcPr>
            <w:tcW w:w="1134" w:type="dxa"/>
            <w:tcBorders>
              <w:left w:val="single" w:sz="4" w:space="0" w:color="auto"/>
              <w:right w:val="single" w:sz="4" w:space="0" w:color="auto"/>
            </w:tcBorders>
            <w:shd w:val="clear" w:color="auto" w:fill="auto"/>
            <w:vAlign w:val="center"/>
          </w:tcPr>
          <w:p w14:paraId="2FFBA15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1.95</w:t>
            </w:r>
          </w:p>
        </w:tc>
        <w:tc>
          <w:tcPr>
            <w:tcW w:w="1139" w:type="dxa"/>
            <w:tcBorders>
              <w:top w:val="nil"/>
              <w:left w:val="single" w:sz="4" w:space="0" w:color="auto"/>
              <w:bottom w:val="nil"/>
              <w:right w:val="single" w:sz="4" w:space="0" w:color="auto"/>
            </w:tcBorders>
            <w:shd w:val="clear" w:color="auto" w:fill="auto"/>
            <w:vAlign w:val="center"/>
          </w:tcPr>
          <w:p w14:paraId="636985E8"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0.02</w:t>
            </w:r>
          </w:p>
        </w:tc>
        <w:tc>
          <w:tcPr>
            <w:tcW w:w="1134" w:type="dxa"/>
            <w:tcBorders>
              <w:top w:val="nil"/>
              <w:left w:val="single" w:sz="4" w:space="0" w:color="auto"/>
              <w:bottom w:val="nil"/>
              <w:right w:val="single" w:sz="4" w:space="0" w:color="auto"/>
            </w:tcBorders>
            <w:shd w:val="clear" w:color="auto" w:fill="auto"/>
            <w:vAlign w:val="center"/>
          </w:tcPr>
          <w:p w14:paraId="6243066C"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-0.01</w:t>
            </w:r>
          </w:p>
        </w:tc>
      </w:tr>
      <w:tr w:rsidR="00651355" w:rsidRPr="00651355" w14:paraId="2F877A0C"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6197D335"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center"/>
          </w:tcPr>
          <w:p w14:paraId="188E8E45"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1.77</w:t>
            </w:r>
          </w:p>
        </w:tc>
        <w:tc>
          <w:tcPr>
            <w:tcW w:w="1276" w:type="dxa"/>
            <w:tcBorders>
              <w:top w:val="nil"/>
              <w:left w:val="single" w:sz="4" w:space="0" w:color="auto"/>
              <w:bottom w:val="nil"/>
              <w:right w:val="single" w:sz="4" w:space="0" w:color="auto"/>
            </w:tcBorders>
            <w:shd w:val="clear" w:color="auto" w:fill="auto"/>
            <w:vAlign w:val="center"/>
          </w:tcPr>
          <w:p w14:paraId="2FF4A3C4"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1.74</w:t>
            </w:r>
          </w:p>
        </w:tc>
        <w:tc>
          <w:tcPr>
            <w:tcW w:w="1134" w:type="dxa"/>
            <w:tcBorders>
              <w:left w:val="single" w:sz="4" w:space="0" w:color="auto"/>
              <w:right w:val="single" w:sz="4" w:space="0" w:color="auto"/>
            </w:tcBorders>
            <w:shd w:val="clear" w:color="auto" w:fill="auto"/>
            <w:vAlign w:val="center"/>
          </w:tcPr>
          <w:p w14:paraId="573B609B"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1.69</w:t>
            </w:r>
          </w:p>
        </w:tc>
        <w:tc>
          <w:tcPr>
            <w:tcW w:w="1139" w:type="dxa"/>
            <w:tcBorders>
              <w:top w:val="nil"/>
              <w:left w:val="single" w:sz="4" w:space="0" w:color="auto"/>
              <w:bottom w:val="nil"/>
              <w:right w:val="single" w:sz="4" w:space="0" w:color="auto"/>
            </w:tcBorders>
            <w:shd w:val="clear" w:color="auto" w:fill="auto"/>
            <w:vAlign w:val="center"/>
          </w:tcPr>
          <w:p w14:paraId="1BF60250"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-0.08</w:t>
            </w:r>
          </w:p>
        </w:tc>
        <w:tc>
          <w:tcPr>
            <w:tcW w:w="1134" w:type="dxa"/>
            <w:tcBorders>
              <w:top w:val="nil"/>
              <w:left w:val="single" w:sz="4" w:space="0" w:color="auto"/>
              <w:bottom w:val="nil"/>
              <w:right w:val="single" w:sz="4" w:space="0" w:color="auto"/>
            </w:tcBorders>
            <w:shd w:val="clear" w:color="auto" w:fill="auto"/>
            <w:vAlign w:val="center"/>
          </w:tcPr>
          <w:p w14:paraId="47C36F09"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-0.04</w:t>
            </w:r>
          </w:p>
        </w:tc>
      </w:tr>
      <w:tr w:rsidR="00651355" w:rsidRPr="00651355" w14:paraId="6AE16149"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B61E6A9"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center"/>
          </w:tcPr>
          <w:p w14:paraId="75DAEC75"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6.50</w:t>
            </w:r>
          </w:p>
        </w:tc>
        <w:tc>
          <w:tcPr>
            <w:tcW w:w="1276" w:type="dxa"/>
            <w:tcBorders>
              <w:top w:val="nil"/>
              <w:left w:val="single" w:sz="4" w:space="0" w:color="auto"/>
              <w:bottom w:val="nil"/>
              <w:right w:val="single" w:sz="4" w:space="0" w:color="auto"/>
            </w:tcBorders>
            <w:shd w:val="clear" w:color="auto" w:fill="auto"/>
            <w:vAlign w:val="center"/>
          </w:tcPr>
          <w:p w14:paraId="6AAE4980"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4.95</w:t>
            </w:r>
          </w:p>
        </w:tc>
        <w:tc>
          <w:tcPr>
            <w:tcW w:w="1134" w:type="dxa"/>
            <w:tcBorders>
              <w:left w:val="single" w:sz="4" w:space="0" w:color="auto"/>
              <w:right w:val="single" w:sz="4" w:space="0" w:color="auto"/>
            </w:tcBorders>
            <w:shd w:val="clear" w:color="auto" w:fill="auto"/>
            <w:vAlign w:val="center"/>
          </w:tcPr>
          <w:p w14:paraId="3B469D39"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5.27</w:t>
            </w:r>
          </w:p>
        </w:tc>
        <w:tc>
          <w:tcPr>
            <w:tcW w:w="1139" w:type="dxa"/>
            <w:tcBorders>
              <w:top w:val="nil"/>
              <w:left w:val="single" w:sz="4" w:space="0" w:color="auto"/>
              <w:bottom w:val="nil"/>
              <w:right w:val="single" w:sz="4" w:space="0" w:color="auto"/>
            </w:tcBorders>
            <w:shd w:val="clear" w:color="auto" w:fill="auto"/>
            <w:vAlign w:val="center"/>
          </w:tcPr>
          <w:p w14:paraId="1F0A78DD"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-1.23</w:t>
            </w:r>
          </w:p>
        </w:tc>
        <w:tc>
          <w:tcPr>
            <w:tcW w:w="1134" w:type="dxa"/>
            <w:tcBorders>
              <w:top w:val="nil"/>
              <w:left w:val="single" w:sz="4" w:space="0" w:color="auto"/>
              <w:bottom w:val="nil"/>
              <w:right w:val="single" w:sz="4" w:space="0" w:color="auto"/>
            </w:tcBorders>
            <w:shd w:val="clear" w:color="auto" w:fill="auto"/>
            <w:vAlign w:val="center"/>
          </w:tcPr>
          <w:p w14:paraId="6FCB7200"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0.33</w:t>
            </w:r>
          </w:p>
        </w:tc>
      </w:tr>
      <w:tr w:rsidR="00651355" w:rsidRPr="00651355" w14:paraId="6E973A9E"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635E0DF3"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center"/>
          </w:tcPr>
          <w:p w14:paraId="2A4A1ACA"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14.73</w:t>
            </w:r>
          </w:p>
        </w:tc>
        <w:tc>
          <w:tcPr>
            <w:tcW w:w="1276" w:type="dxa"/>
            <w:tcBorders>
              <w:top w:val="nil"/>
              <w:left w:val="single" w:sz="4" w:space="0" w:color="auto"/>
              <w:bottom w:val="nil"/>
              <w:right w:val="single" w:sz="4" w:space="0" w:color="auto"/>
            </w:tcBorders>
            <w:shd w:val="clear" w:color="auto" w:fill="auto"/>
            <w:vAlign w:val="center"/>
          </w:tcPr>
          <w:p w14:paraId="77F2865B"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22.51</w:t>
            </w:r>
          </w:p>
        </w:tc>
        <w:tc>
          <w:tcPr>
            <w:tcW w:w="1134" w:type="dxa"/>
            <w:tcBorders>
              <w:left w:val="single" w:sz="4" w:space="0" w:color="auto"/>
              <w:right w:val="single" w:sz="4" w:space="0" w:color="auto"/>
            </w:tcBorders>
            <w:shd w:val="clear" w:color="auto" w:fill="auto"/>
            <w:vAlign w:val="center"/>
          </w:tcPr>
          <w:p w14:paraId="2E193C22"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22.60</w:t>
            </w:r>
          </w:p>
        </w:tc>
        <w:tc>
          <w:tcPr>
            <w:tcW w:w="1139" w:type="dxa"/>
            <w:tcBorders>
              <w:top w:val="nil"/>
              <w:left w:val="single" w:sz="4" w:space="0" w:color="auto"/>
              <w:bottom w:val="nil"/>
              <w:right w:val="single" w:sz="4" w:space="0" w:color="auto"/>
            </w:tcBorders>
            <w:shd w:val="clear" w:color="auto" w:fill="auto"/>
            <w:vAlign w:val="center"/>
          </w:tcPr>
          <w:p w14:paraId="1924AD8F"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7.86</w:t>
            </w:r>
          </w:p>
        </w:tc>
        <w:tc>
          <w:tcPr>
            <w:tcW w:w="1134" w:type="dxa"/>
            <w:tcBorders>
              <w:top w:val="nil"/>
              <w:left w:val="single" w:sz="4" w:space="0" w:color="auto"/>
              <w:bottom w:val="nil"/>
              <w:right w:val="single" w:sz="4" w:space="0" w:color="auto"/>
            </w:tcBorders>
            <w:shd w:val="clear" w:color="auto" w:fill="auto"/>
            <w:vAlign w:val="center"/>
          </w:tcPr>
          <w:p w14:paraId="2F230C2F"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0.09</w:t>
            </w:r>
          </w:p>
        </w:tc>
      </w:tr>
      <w:tr w:rsidR="00651355" w:rsidRPr="00651355" w14:paraId="78087EDF"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AB0AD8B"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center"/>
          </w:tcPr>
          <w:p w14:paraId="26FE87F0" w14:textId="77777777" w:rsidR="00651355" w:rsidRPr="00651355" w:rsidRDefault="00651355" w:rsidP="00651355">
            <w:pPr>
              <w:spacing w:after="120"/>
              <w:ind w:right="284"/>
              <w:jc w:val="right"/>
              <w:rPr>
                <w:rFonts w:eastAsia="Calibri"/>
                <w:sz w:val="18"/>
                <w:szCs w:val="18"/>
                <w:lang w:eastAsia="en-US"/>
              </w:rPr>
            </w:pPr>
            <w:r w:rsidRPr="00651355">
              <w:rPr>
                <w:rFonts w:eastAsia="Calibri"/>
                <w:sz w:val="18"/>
                <w:szCs w:val="18"/>
                <w:lang w:eastAsia="en-US"/>
              </w:rPr>
              <w:t>7.60</w:t>
            </w:r>
          </w:p>
        </w:tc>
        <w:tc>
          <w:tcPr>
            <w:tcW w:w="1276" w:type="dxa"/>
            <w:tcBorders>
              <w:top w:val="nil"/>
              <w:left w:val="single" w:sz="4" w:space="0" w:color="auto"/>
              <w:bottom w:val="nil"/>
              <w:right w:val="single" w:sz="4" w:space="0" w:color="auto"/>
            </w:tcBorders>
            <w:shd w:val="clear" w:color="auto" w:fill="auto"/>
            <w:vAlign w:val="center"/>
          </w:tcPr>
          <w:p w14:paraId="0DB1BEE2"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7.30</w:t>
            </w:r>
          </w:p>
        </w:tc>
        <w:tc>
          <w:tcPr>
            <w:tcW w:w="1134" w:type="dxa"/>
            <w:tcBorders>
              <w:left w:val="single" w:sz="4" w:space="0" w:color="auto"/>
              <w:right w:val="single" w:sz="4" w:space="0" w:color="auto"/>
            </w:tcBorders>
            <w:shd w:val="clear" w:color="auto" w:fill="auto"/>
            <w:vAlign w:val="center"/>
          </w:tcPr>
          <w:p w14:paraId="76F49C85"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7.38</w:t>
            </w:r>
          </w:p>
        </w:tc>
        <w:tc>
          <w:tcPr>
            <w:tcW w:w="1139" w:type="dxa"/>
            <w:tcBorders>
              <w:top w:val="nil"/>
              <w:left w:val="single" w:sz="4" w:space="0" w:color="auto"/>
              <w:bottom w:val="nil"/>
              <w:right w:val="single" w:sz="4" w:space="0" w:color="auto"/>
            </w:tcBorders>
            <w:shd w:val="clear" w:color="auto" w:fill="auto"/>
            <w:vAlign w:val="center"/>
          </w:tcPr>
          <w:p w14:paraId="212591E7"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-0.23</w:t>
            </w:r>
          </w:p>
        </w:tc>
        <w:tc>
          <w:tcPr>
            <w:tcW w:w="1134" w:type="dxa"/>
            <w:tcBorders>
              <w:top w:val="nil"/>
              <w:left w:val="single" w:sz="4" w:space="0" w:color="auto"/>
              <w:bottom w:val="nil"/>
              <w:right w:val="single" w:sz="4" w:space="0" w:color="auto"/>
            </w:tcBorders>
            <w:shd w:val="clear" w:color="auto" w:fill="auto"/>
            <w:vAlign w:val="center"/>
          </w:tcPr>
          <w:p w14:paraId="395B20DD" w14:textId="77777777" w:rsidR="00651355" w:rsidRPr="00651355" w:rsidRDefault="00651355" w:rsidP="00651355">
            <w:pPr>
              <w:spacing w:after="120"/>
              <w:ind w:right="284"/>
              <w:jc w:val="right"/>
              <w:rPr>
                <w:rFonts w:eastAsia="Calibri"/>
                <w:bCs/>
                <w:sz w:val="18"/>
                <w:szCs w:val="18"/>
                <w:lang w:eastAsia="en-US"/>
              </w:rPr>
            </w:pPr>
            <w:r w:rsidRPr="00651355">
              <w:rPr>
                <w:rFonts w:eastAsia="Calibri"/>
                <w:bCs/>
                <w:sz w:val="18"/>
                <w:szCs w:val="18"/>
                <w:lang w:eastAsia="en-US"/>
              </w:rPr>
              <w:t>0.07</w:t>
            </w:r>
          </w:p>
        </w:tc>
      </w:tr>
      <w:tr w:rsidR="00651355" w:rsidRPr="00651355" w14:paraId="08FAFF60"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8F820E0"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center"/>
          </w:tcPr>
          <w:p w14:paraId="621238EB" w14:textId="77777777" w:rsidR="00651355" w:rsidRPr="00651355" w:rsidRDefault="00651355" w:rsidP="00651355">
            <w:pPr>
              <w:ind w:right="284"/>
              <w:jc w:val="right"/>
              <w:rPr>
                <w:rFonts w:eastAsia="Calibri"/>
                <w:b/>
                <w:sz w:val="18"/>
                <w:szCs w:val="18"/>
                <w:lang w:eastAsia="en-US"/>
              </w:rPr>
            </w:pPr>
            <w:r w:rsidRPr="00651355">
              <w:rPr>
                <w:rFonts w:eastAsia="Calibri"/>
                <w:b/>
                <w:sz w:val="18"/>
                <w:szCs w:val="18"/>
                <w:lang w:eastAsia="en-US"/>
              </w:rPr>
              <w:t>3.93</w:t>
            </w:r>
          </w:p>
        </w:tc>
        <w:tc>
          <w:tcPr>
            <w:tcW w:w="1276" w:type="dxa"/>
            <w:tcBorders>
              <w:top w:val="nil"/>
              <w:left w:val="single" w:sz="4" w:space="0" w:color="auto"/>
              <w:bottom w:val="nil"/>
              <w:right w:val="single" w:sz="4" w:space="0" w:color="auto"/>
            </w:tcBorders>
            <w:shd w:val="clear" w:color="auto" w:fill="auto"/>
            <w:vAlign w:val="center"/>
          </w:tcPr>
          <w:p w14:paraId="701E7FD6"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3.89</w:t>
            </w:r>
          </w:p>
        </w:tc>
        <w:tc>
          <w:tcPr>
            <w:tcW w:w="1134" w:type="dxa"/>
            <w:tcBorders>
              <w:left w:val="single" w:sz="4" w:space="0" w:color="auto"/>
              <w:right w:val="single" w:sz="4" w:space="0" w:color="auto"/>
            </w:tcBorders>
            <w:shd w:val="clear" w:color="auto" w:fill="auto"/>
            <w:vAlign w:val="center"/>
          </w:tcPr>
          <w:p w14:paraId="5D1B273B"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3.88</w:t>
            </w:r>
          </w:p>
        </w:tc>
        <w:tc>
          <w:tcPr>
            <w:tcW w:w="1139" w:type="dxa"/>
            <w:tcBorders>
              <w:top w:val="nil"/>
              <w:left w:val="single" w:sz="4" w:space="0" w:color="auto"/>
              <w:bottom w:val="nil"/>
              <w:right w:val="single" w:sz="4" w:space="0" w:color="auto"/>
            </w:tcBorders>
            <w:shd w:val="clear" w:color="auto" w:fill="auto"/>
            <w:vAlign w:val="center"/>
          </w:tcPr>
          <w:p w14:paraId="75BCF140"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-0.05</w:t>
            </w:r>
          </w:p>
        </w:tc>
        <w:tc>
          <w:tcPr>
            <w:tcW w:w="1134" w:type="dxa"/>
            <w:tcBorders>
              <w:top w:val="nil"/>
              <w:left w:val="single" w:sz="4" w:space="0" w:color="auto"/>
              <w:bottom w:val="nil"/>
              <w:right w:val="single" w:sz="4" w:space="0" w:color="auto"/>
            </w:tcBorders>
            <w:shd w:val="clear" w:color="auto" w:fill="auto"/>
            <w:vAlign w:val="center"/>
          </w:tcPr>
          <w:p w14:paraId="6C8016E3" w14:textId="77777777" w:rsidR="00651355" w:rsidRPr="00651355" w:rsidRDefault="00651355" w:rsidP="00651355">
            <w:pPr>
              <w:ind w:right="284"/>
              <w:jc w:val="right"/>
              <w:rPr>
                <w:rFonts w:eastAsia="Calibri"/>
                <w:b/>
                <w:bCs/>
                <w:sz w:val="18"/>
                <w:szCs w:val="18"/>
                <w:lang w:eastAsia="en-US"/>
              </w:rPr>
            </w:pPr>
            <w:r w:rsidRPr="00651355">
              <w:rPr>
                <w:rFonts w:eastAsia="Calibri"/>
                <w:b/>
                <w:bCs/>
                <w:sz w:val="18"/>
                <w:szCs w:val="18"/>
                <w:lang w:eastAsia="en-US"/>
              </w:rPr>
              <w:t>-0.01</w:t>
            </w:r>
          </w:p>
        </w:tc>
      </w:tr>
      <w:tr w:rsidR="00651355" w:rsidRPr="00651355" w14:paraId="593D31F8" w14:textId="77777777" w:rsidTr="00845A3F">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2023B18F"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center"/>
          </w:tcPr>
          <w:p w14:paraId="145F90D2"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3.76</w:t>
            </w:r>
          </w:p>
        </w:tc>
        <w:tc>
          <w:tcPr>
            <w:tcW w:w="1276" w:type="dxa"/>
            <w:tcBorders>
              <w:top w:val="nil"/>
              <w:left w:val="single" w:sz="4" w:space="0" w:color="auto"/>
              <w:bottom w:val="nil"/>
              <w:right w:val="single" w:sz="4" w:space="0" w:color="auto"/>
            </w:tcBorders>
            <w:shd w:val="clear" w:color="auto" w:fill="auto"/>
            <w:vAlign w:val="center"/>
          </w:tcPr>
          <w:p w14:paraId="314381E9"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3.93</w:t>
            </w:r>
          </w:p>
        </w:tc>
        <w:tc>
          <w:tcPr>
            <w:tcW w:w="1134" w:type="dxa"/>
            <w:tcBorders>
              <w:left w:val="single" w:sz="4" w:space="0" w:color="auto"/>
              <w:right w:val="single" w:sz="4" w:space="0" w:color="auto"/>
            </w:tcBorders>
            <w:shd w:val="clear" w:color="auto" w:fill="auto"/>
            <w:vAlign w:val="center"/>
          </w:tcPr>
          <w:p w14:paraId="05DB954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3.86</w:t>
            </w:r>
          </w:p>
        </w:tc>
        <w:tc>
          <w:tcPr>
            <w:tcW w:w="1139" w:type="dxa"/>
            <w:tcBorders>
              <w:top w:val="nil"/>
              <w:left w:val="single" w:sz="4" w:space="0" w:color="auto"/>
              <w:bottom w:val="nil"/>
              <w:right w:val="single" w:sz="4" w:space="0" w:color="auto"/>
            </w:tcBorders>
            <w:shd w:val="clear" w:color="auto" w:fill="auto"/>
            <w:vAlign w:val="center"/>
          </w:tcPr>
          <w:p w14:paraId="53FA58CC"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0.10</w:t>
            </w:r>
          </w:p>
        </w:tc>
        <w:tc>
          <w:tcPr>
            <w:tcW w:w="1134" w:type="dxa"/>
            <w:tcBorders>
              <w:top w:val="nil"/>
              <w:left w:val="single" w:sz="4" w:space="0" w:color="auto"/>
              <w:bottom w:val="nil"/>
              <w:right w:val="single" w:sz="4" w:space="0" w:color="auto"/>
            </w:tcBorders>
            <w:shd w:val="clear" w:color="auto" w:fill="auto"/>
            <w:vAlign w:val="center"/>
          </w:tcPr>
          <w:p w14:paraId="462D770E"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-0.07</w:t>
            </w:r>
          </w:p>
        </w:tc>
      </w:tr>
      <w:tr w:rsidR="00651355" w:rsidRPr="00651355" w14:paraId="4DEF8EB2" w14:textId="77777777" w:rsidTr="00845A3F">
        <w:trPr>
          <w:trHeight w:val="261"/>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1BB2E7CA"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center"/>
          </w:tcPr>
          <w:p w14:paraId="3972EB0D" w14:textId="77777777" w:rsidR="00651355" w:rsidRPr="00651355" w:rsidRDefault="00651355" w:rsidP="00651355">
            <w:pPr>
              <w:spacing w:before="40" w:after="120"/>
              <w:ind w:right="284"/>
              <w:jc w:val="right"/>
              <w:rPr>
                <w:rFonts w:eastAsia="Calibri"/>
                <w:sz w:val="18"/>
                <w:szCs w:val="18"/>
                <w:lang w:eastAsia="en-US"/>
              </w:rPr>
            </w:pPr>
            <w:r w:rsidRPr="00651355">
              <w:rPr>
                <w:rFonts w:eastAsia="Calibri"/>
                <w:sz w:val="18"/>
                <w:szCs w:val="18"/>
                <w:lang w:eastAsia="en-US"/>
              </w:rPr>
              <w:t>4.71</w:t>
            </w:r>
          </w:p>
        </w:tc>
        <w:tc>
          <w:tcPr>
            <w:tcW w:w="1276" w:type="dxa"/>
            <w:tcBorders>
              <w:top w:val="nil"/>
              <w:left w:val="single" w:sz="4" w:space="0" w:color="auto"/>
              <w:bottom w:val="single" w:sz="4" w:space="0" w:color="auto"/>
              <w:right w:val="single" w:sz="4" w:space="0" w:color="auto"/>
            </w:tcBorders>
            <w:shd w:val="clear" w:color="auto" w:fill="auto"/>
            <w:vAlign w:val="center"/>
          </w:tcPr>
          <w:p w14:paraId="08B0342F" w14:textId="77777777" w:rsidR="00651355" w:rsidRPr="00651355" w:rsidRDefault="00651355" w:rsidP="00651355">
            <w:pPr>
              <w:spacing w:before="40" w:after="120"/>
              <w:ind w:right="227"/>
              <w:jc w:val="right"/>
              <w:rPr>
                <w:rFonts w:eastAsia="Calibri"/>
                <w:sz w:val="18"/>
                <w:szCs w:val="18"/>
                <w:lang w:eastAsia="en-US"/>
              </w:rPr>
            </w:pPr>
            <w:r w:rsidRPr="00651355">
              <w:rPr>
                <w:rFonts w:eastAsia="Calibri"/>
                <w:sz w:val="18"/>
                <w:szCs w:val="18"/>
                <w:lang w:eastAsia="en-US"/>
              </w:rPr>
              <w:t>3.65</w:t>
            </w:r>
          </w:p>
        </w:tc>
        <w:tc>
          <w:tcPr>
            <w:tcW w:w="1134" w:type="dxa"/>
            <w:tcBorders>
              <w:left w:val="single" w:sz="4" w:space="0" w:color="auto"/>
              <w:bottom w:val="single" w:sz="4" w:space="0" w:color="auto"/>
              <w:right w:val="single" w:sz="4" w:space="0" w:color="auto"/>
            </w:tcBorders>
            <w:shd w:val="clear" w:color="auto" w:fill="auto"/>
            <w:vAlign w:val="center"/>
          </w:tcPr>
          <w:p w14:paraId="6ACE961C" w14:textId="77777777" w:rsidR="00651355" w:rsidRPr="00651355" w:rsidRDefault="00651355" w:rsidP="00651355">
            <w:pPr>
              <w:spacing w:before="40" w:after="120"/>
              <w:ind w:right="227"/>
              <w:jc w:val="right"/>
              <w:rPr>
                <w:rFonts w:eastAsia="Calibri"/>
                <w:sz w:val="18"/>
                <w:szCs w:val="18"/>
                <w:lang w:eastAsia="en-US"/>
              </w:rPr>
            </w:pPr>
            <w:r w:rsidRPr="00651355">
              <w:rPr>
                <w:rFonts w:eastAsia="Calibri"/>
                <w:sz w:val="18"/>
                <w:szCs w:val="18"/>
                <w:lang w:eastAsia="en-US"/>
              </w:rPr>
              <w:t>3.98</w:t>
            </w:r>
          </w:p>
        </w:tc>
        <w:tc>
          <w:tcPr>
            <w:tcW w:w="1139" w:type="dxa"/>
            <w:tcBorders>
              <w:top w:val="nil"/>
              <w:left w:val="single" w:sz="4" w:space="0" w:color="auto"/>
              <w:bottom w:val="single" w:sz="4" w:space="0" w:color="auto"/>
              <w:right w:val="single" w:sz="4" w:space="0" w:color="auto"/>
            </w:tcBorders>
            <w:shd w:val="clear" w:color="auto" w:fill="auto"/>
            <w:vAlign w:val="center"/>
          </w:tcPr>
          <w:p w14:paraId="1261A25E" w14:textId="77777777" w:rsidR="00651355" w:rsidRPr="00651355" w:rsidRDefault="00651355" w:rsidP="00651355">
            <w:pPr>
              <w:spacing w:before="40" w:after="120"/>
              <w:ind w:right="170"/>
              <w:jc w:val="right"/>
              <w:rPr>
                <w:rFonts w:eastAsia="Calibri"/>
                <w:sz w:val="18"/>
                <w:szCs w:val="18"/>
                <w:lang w:eastAsia="en-US"/>
              </w:rPr>
            </w:pPr>
            <w:r w:rsidRPr="00651355">
              <w:rPr>
                <w:rFonts w:eastAsia="Calibri"/>
                <w:sz w:val="18"/>
                <w:szCs w:val="18"/>
                <w:lang w:eastAsia="en-US"/>
              </w:rPr>
              <w:t>-0.72</w:t>
            </w:r>
          </w:p>
        </w:tc>
        <w:tc>
          <w:tcPr>
            <w:tcW w:w="1134" w:type="dxa"/>
            <w:tcBorders>
              <w:top w:val="nil"/>
              <w:left w:val="single" w:sz="4" w:space="0" w:color="auto"/>
              <w:bottom w:val="single" w:sz="4" w:space="0" w:color="auto"/>
              <w:right w:val="single" w:sz="4" w:space="0" w:color="auto"/>
            </w:tcBorders>
            <w:shd w:val="clear" w:color="auto" w:fill="auto"/>
            <w:vAlign w:val="center"/>
          </w:tcPr>
          <w:p w14:paraId="469E9CBB" w14:textId="77777777" w:rsidR="00651355" w:rsidRPr="00651355" w:rsidRDefault="00651355" w:rsidP="00651355">
            <w:pPr>
              <w:spacing w:before="40" w:after="120"/>
              <w:ind w:right="284"/>
              <w:jc w:val="right"/>
              <w:rPr>
                <w:rFonts w:eastAsia="Calibri"/>
                <w:bCs/>
                <w:sz w:val="18"/>
                <w:szCs w:val="18"/>
                <w:lang w:eastAsia="en-US"/>
              </w:rPr>
            </w:pPr>
            <w:r w:rsidRPr="00651355">
              <w:rPr>
                <w:rFonts w:eastAsia="Calibri"/>
                <w:bCs/>
                <w:sz w:val="18"/>
                <w:szCs w:val="18"/>
                <w:lang w:eastAsia="en-US"/>
              </w:rPr>
              <w:t>0.33</w:t>
            </w:r>
          </w:p>
        </w:tc>
      </w:tr>
      <w:tr w:rsidR="00651355" w:rsidRPr="00651355" w14:paraId="7DDFDE5F" w14:textId="77777777" w:rsidTr="00845A3F">
        <w:trPr>
          <w:trHeight w:val="261"/>
          <w:jc w:val="center"/>
        </w:trPr>
        <w:tc>
          <w:tcPr>
            <w:tcW w:w="8652" w:type="dxa"/>
            <w:gridSpan w:val="6"/>
            <w:tcBorders>
              <w:top w:val="single" w:sz="4" w:space="0" w:color="auto"/>
              <w:bottom w:val="nil"/>
            </w:tcBorders>
            <w:vAlign w:val="center"/>
          </w:tcPr>
          <w:p w14:paraId="7A42178E" w14:textId="77777777" w:rsidR="00651355" w:rsidRPr="00651355" w:rsidRDefault="00651355" w:rsidP="00651355">
            <w:pPr>
              <w:spacing w:before="120"/>
              <w:ind w:left="227" w:hanging="227"/>
              <w:jc w:val="both"/>
              <w:rPr>
                <w:rFonts w:eastAsia="Calibri"/>
                <w:bCs/>
                <w:sz w:val="20"/>
                <w:szCs w:val="20"/>
                <w:lang w:eastAsia="en-US"/>
              </w:rPr>
            </w:pPr>
            <w:r w:rsidRPr="00651355">
              <w:rPr>
                <w:rFonts w:eastAsia="Calibri"/>
                <w:bCs/>
                <w:sz w:val="20"/>
                <w:szCs w:val="20"/>
                <w:u w:val="single"/>
                <w:lang w:eastAsia="en-US"/>
              </w:rPr>
              <w:t>1</w:t>
            </w:r>
            <w:r w:rsidRPr="00651355">
              <w:rPr>
                <w:rFonts w:eastAsia="Calibri"/>
                <w:bCs/>
                <w:sz w:val="20"/>
                <w:szCs w:val="20"/>
                <w:lang w:eastAsia="en-US"/>
              </w:rPr>
              <w:t>/ IMOR = Índice de morosidad = Cartera Vencida / Cartera total.</w:t>
            </w:r>
          </w:p>
          <w:p w14:paraId="548E9B12" w14:textId="77777777" w:rsidR="00651355" w:rsidRPr="00651355" w:rsidRDefault="00651355" w:rsidP="00651355">
            <w:pPr>
              <w:jc w:val="both"/>
              <w:rPr>
                <w:rFonts w:eastAsia="Calibri"/>
                <w:bCs/>
                <w:sz w:val="20"/>
                <w:szCs w:val="20"/>
                <w:lang w:eastAsia="en-US"/>
              </w:rPr>
            </w:pPr>
            <w:r w:rsidRPr="00651355">
              <w:rPr>
                <w:rFonts w:eastAsia="Calibri"/>
                <w:bCs/>
                <w:sz w:val="20"/>
                <w:szCs w:val="20"/>
                <w:lang w:eastAsia="en-US"/>
              </w:rPr>
              <w:t>FUENTE: CNBV.</w:t>
            </w:r>
          </w:p>
        </w:tc>
      </w:tr>
    </w:tbl>
    <w:p w14:paraId="1062E4BE" w14:textId="77777777" w:rsidR="00651355" w:rsidRPr="00651355" w:rsidRDefault="00651355" w:rsidP="00651355">
      <w:pPr>
        <w:spacing w:after="360" w:line="360" w:lineRule="auto"/>
        <w:ind w:right="-159"/>
        <w:jc w:val="both"/>
        <w:rPr>
          <w:rFonts w:eastAsia="Calibri"/>
          <w:sz w:val="26"/>
          <w:szCs w:val="26"/>
          <w:lang w:eastAsia="en-US"/>
        </w:rPr>
      </w:pPr>
    </w:p>
    <w:p w14:paraId="3CEDF4D0"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Con la finalidad de presentar indicadores complementarios relativos a la calidad crediticia de la cartera, se muestra la tasa de deterioro ajustada (TDA). Ésta se ubicó para el total de la banca en 6.39% al cierre de febrero de 2015.</w:t>
      </w:r>
    </w:p>
    <w:p w14:paraId="0FD5945A" w14:textId="77777777" w:rsidR="00651355" w:rsidRPr="00651355" w:rsidRDefault="00651355" w:rsidP="00651355">
      <w:pPr>
        <w:spacing w:after="360" w:line="360" w:lineRule="auto"/>
        <w:ind w:right="-159"/>
        <w:jc w:val="both"/>
        <w:rPr>
          <w:rFonts w:eastAsia="Calibri"/>
          <w:sz w:val="26"/>
          <w:szCs w:val="26"/>
          <w:lang w:eastAsia="en-US"/>
        </w:rPr>
      </w:pPr>
    </w:p>
    <w:p w14:paraId="0FA8EA6F" w14:textId="77777777" w:rsidR="00651355" w:rsidRPr="00651355" w:rsidRDefault="00651355" w:rsidP="00651355">
      <w:pPr>
        <w:spacing w:after="360" w:line="360" w:lineRule="auto"/>
        <w:ind w:right="-159"/>
        <w:jc w:val="both"/>
        <w:rPr>
          <w:rFonts w:eastAsia="Calibri"/>
          <w:sz w:val="26"/>
          <w:szCs w:val="26"/>
          <w:lang w:eastAsia="en-US"/>
        </w:rPr>
      </w:pPr>
    </w:p>
    <w:p w14:paraId="5E365E78" w14:textId="77777777" w:rsidR="00651355" w:rsidRPr="00651355" w:rsidRDefault="00651355" w:rsidP="00651355">
      <w:pPr>
        <w:spacing w:after="360" w:line="360" w:lineRule="auto"/>
        <w:ind w:right="-159"/>
        <w:jc w:val="both"/>
        <w:rPr>
          <w:rFonts w:eastAsia="Calibri"/>
          <w:sz w:val="26"/>
          <w:szCs w:val="26"/>
          <w:lang w:eastAsia="en-US"/>
        </w:rPr>
      </w:pPr>
    </w:p>
    <w:p w14:paraId="66D2F9A2" w14:textId="77777777" w:rsidR="00651355" w:rsidRPr="00651355" w:rsidRDefault="00651355" w:rsidP="00651355">
      <w:pPr>
        <w:spacing w:after="360" w:line="360" w:lineRule="auto"/>
        <w:ind w:right="-159"/>
        <w:jc w:val="both"/>
        <w:rPr>
          <w:rFonts w:eastAsia="Calibri"/>
          <w:sz w:val="26"/>
          <w:szCs w:val="26"/>
          <w:lang w:eastAsia="en-US"/>
        </w:rPr>
      </w:pPr>
    </w:p>
    <w:tbl>
      <w:tblPr>
        <w:tblW w:w="8696" w:type="dxa"/>
        <w:jc w:val="center"/>
        <w:tblLayout w:type="fixed"/>
        <w:tblLook w:val="01E0" w:firstRow="1" w:lastRow="1" w:firstColumn="1" w:lastColumn="1" w:noHBand="0" w:noVBand="0"/>
      </w:tblPr>
      <w:tblGrid>
        <w:gridCol w:w="2835"/>
        <w:gridCol w:w="1276"/>
        <w:gridCol w:w="1134"/>
        <w:gridCol w:w="1183"/>
        <w:gridCol w:w="1134"/>
        <w:gridCol w:w="1134"/>
      </w:tblGrid>
      <w:tr w:rsidR="00651355" w:rsidRPr="00651355" w14:paraId="64090C76" w14:textId="77777777" w:rsidTr="00845A3F">
        <w:trPr>
          <w:trHeight w:val="552"/>
          <w:jc w:val="center"/>
        </w:trPr>
        <w:tc>
          <w:tcPr>
            <w:tcW w:w="8696" w:type="dxa"/>
            <w:gridSpan w:val="6"/>
            <w:tcBorders>
              <w:top w:val="nil"/>
              <w:bottom w:val="single" w:sz="4" w:space="0" w:color="auto"/>
            </w:tcBorders>
            <w:vAlign w:val="center"/>
          </w:tcPr>
          <w:p w14:paraId="46BFA61A"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lastRenderedPageBreak/>
              <w:t>BANCA MÚLTIPLE: TDA</w:t>
            </w:r>
            <w:r w:rsidRPr="00651355">
              <w:rPr>
                <w:rFonts w:eastAsia="Calibri"/>
                <w:b/>
                <w:bCs/>
                <w:sz w:val="22"/>
                <w:szCs w:val="22"/>
                <w:u w:val="single"/>
                <w:vertAlign w:val="superscript"/>
                <w:lang w:eastAsia="en-US"/>
              </w:rPr>
              <w:t>1</w:t>
            </w:r>
            <w:r w:rsidRPr="00651355">
              <w:rPr>
                <w:rFonts w:eastAsia="Calibri"/>
                <w:b/>
                <w:bCs/>
                <w:sz w:val="22"/>
                <w:szCs w:val="22"/>
                <w:vertAlign w:val="superscript"/>
                <w:lang w:eastAsia="en-US"/>
              </w:rPr>
              <w:t>/</w:t>
            </w:r>
          </w:p>
          <w:p w14:paraId="4E1057E7" w14:textId="65977795"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-Cifras en porcentaje-</w:t>
            </w:r>
          </w:p>
        </w:tc>
      </w:tr>
      <w:tr w:rsidR="00651355" w:rsidRPr="00651355" w14:paraId="63D6D677" w14:textId="77777777" w:rsidTr="00845A3F">
        <w:trPr>
          <w:trHeight w:val="312"/>
          <w:jc w:val="center"/>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2FF903" w14:textId="77777777" w:rsidR="00651355" w:rsidRPr="00651355" w:rsidRDefault="00651355" w:rsidP="00651355">
            <w:pPr>
              <w:spacing w:before="40" w:after="40"/>
              <w:jc w:val="center"/>
              <w:rPr>
                <w:rFonts w:eastAsia="Calibri"/>
                <w:bCs/>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70C261"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3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DD85B"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20216"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3A7BD57E" w14:textId="77777777" w:rsidTr="00845A3F">
        <w:trPr>
          <w:trHeight w:val="281"/>
          <w:jc w:val="center"/>
        </w:trPr>
        <w:tc>
          <w:tcPr>
            <w:tcW w:w="2835" w:type="dxa"/>
            <w:vMerge/>
            <w:tcBorders>
              <w:top w:val="nil"/>
              <w:left w:val="single" w:sz="4" w:space="0" w:color="auto"/>
              <w:bottom w:val="single" w:sz="4" w:space="0" w:color="auto"/>
              <w:right w:val="single" w:sz="4" w:space="0" w:color="auto"/>
            </w:tcBorders>
            <w:shd w:val="clear" w:color="auto" w:fill="auto"/>
            <w:vAlign w:val="center"/>
          </w:tcPr>
          <w:p w14:paraId="43EE7037" w14:textId="77777777" w:rsidR="00651355" w:rsidRPr="00651355" w:rsidRDefault="00651355" w:rsidP="00651355">
            <w:pPr>
              <w:spacing w:before="40" w:after="40"/>
              <w:jc w:val="center"/>
              <w:rPr>
                <w:rFonts w:eastAsia="Calibri"/>
                <w:bCs/>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53D7C8"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89D96B"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tcPr>
          <w:p w14:paraId="37669578"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80EDE3"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E3320BD"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47ED9309" w14:textId="77777777" w:rsidTr="00845A3F">
        <w:trPr>
          <w:trHeight w:val="271"/>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BBA0CBA" w14:textId="77777777" w:rsidR="00651355" w:rsidRPr="00651355" w:rsidRDefault="00651355" w:rsidP="00651355">
            <w:pPr>
              <w:spacing w:before="120"/>
              <w:rPr>
                <w:rFonts w:eastAsia="Calibri"/>
                <w:b/>
                <w:bCs/>
                <w:sz w:val="18"/>
                <w:szCs w:val="18"/>
                <w:lang w:val="en-US" w:eastAsia="en-US"/>
              </w:rPr>
            </w:pPr>
            <w:r w:rsidRPr="00651355">
              <w:rPr>
                <w:rFonts w:eastAsia="Calibri"/>
                <w:b/>
                <w:bCs/>
                <w:sz w:val="18"/>
                <w:szCs w:val="18"/>
                <w:lang w:val="en-US" w:eastAsia="en-US"/>
              </w:rPr>
              <w:t>Cartera de crédito total</w:t>
            </w:r>
          </w:p>
        </w:tc>
        <w:tc>
          <w:tcPr>
            <w:tcW w:w="1276" w:type="dxa"/>
            <w:tcBorders>
              <w:top w:val="single" w:sz="4" w:space="0" w:color="auto"/>
              <w:left w:val="single" w:sz="4" w:space="0" w:color="auto"/>
              <w:right w:val="single" w:sz="4" w:space="0" w:color="auto"/>
            </w:tcBorders>
            <w:shd w:val="clear" w:color="auto" w:fill="auto"/>
            <w:vAlign w:val="center"/>
          </w:tcPr>
          <w:p w14:paraId="6B87201F" w14:textId="77777777" w:rsidR="00651355" w:rsidRPr="00651355" w:rsidRDefault="00651355" w:rsidP="00651355">
            <w:pPr>
              <w:spacing w:before="120" w:after="40"/>
              <w:ind w:right="284"/>
              <w:jc w:val="right"/>
              <w:rPr>
                <w:rFonts w:eastAsia="Calibri"/>
                <w:b/>
                <w:sz w:val="18"/>
                <w:szCs w:val="18"/>
                <w:lang w:val="en-US" w:eastAsia="en-US"/>
              </w:rPr>
            </w:pPr>
            <w:r w:rsidRPr="00651355">
              <w:rPr>
                <w:rFonts w:eastAsia="Calibri"/>
                <w:b/>
                <w:sz w:val="18"/>
                <w:szCs w:val="18"/>
                <w:lang w:val="en-US" w:eastAsia="en-US"/>
              </w:rPr>
              <w:t>5.37</w:t>
            </w:r>
          </w:p>
        </w:tc>
        <w:tc>
          <w:tcPr>
            <w:tcW w:w="1134" w:type="dxa"/>
            <w:tcBorders>
              <w:top w:val="single" w:sz="4" w:space="0" w:color="auto"/>
              <w:left w:val="single" w:sz="4" w:space="0" w:color="auto"/>
              <w:bottom w:val="nil"/>
              <w:right w:val="single" w:sz="4" w:space="0" w:color="auto"/>
            </w:tcBorders>
            <w:shd w:val="clear" w:color="auto" w:fill="auto"/>
            <w:vAlign w:val="center"/>
          </w:tcPr>
          <w:p w14:paraId="39E83C53"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6.42</w:t>
            </w:r>
          </w:p>
        </w:tc>
        <w:tc>
          <w:tcPr>
            <w:tcW w:w="1183" w:type="dxa"/>
            <w:tcBorders>
              <w:top w:val="single" w:sz="4" w:space="0" w:color="auto"/>
              <w:left w:val="single" w:sz="4" w:space="0" w:color="auto"/>
              <w:right w:val="single" w:sz="4" w:space="0" w:color="auto"/>
            </w:tcBorders>
            <w:shd w:val="clear" w:color="auto" w:fill="auto"/>
            <w:vAlign w:val="center"/>
          </w:tcPr>
          <w:p w14:paraId="1D5F07C2" w14:textId="77777777" w:rsidR="00651355" w:rsidRPr="00651355" w:rsidRDefault="00651355" w:rsidP="00651355">
            <w:pPr>
              <w:spacing w:before="120" w:after="40"/>
              <w:ind w:right="227"/>
              <w:jc w:val="right"/>
              <w:rPr>
                <w:rFonts w:eastAsia="Calibri"/>
                <w:b/>
                <w:sz w:val="18"/>
                <w:szCs w:val="18"/>
                <w:lang w:val="en-US" w:eastAsia="en-US"/>
              </w:rPr>
            </w:pPr>
            <w:r w:rsidRPr="00651355">
              <w:rPr>
                <w:rFonts w:eastAsia="Calibri"/>
                <w:b/>
                <w:sz w:val="18"/>
                <w:szCs w:val="18"/>
                <w:lang w:val="en-US" w:eastAsia="en-US"/>
              </w:rPr>
              <w:t>6.39</w:t>
            </w:r>
          </w:p>
        </w:tc>
        <w:tc>
          <w:tcPr>
            <w:tcW w:w="1134" w:type="dxa"/>
            <w:tcBorders>
              <w:top w:val="single" w:sz="4" w:space="0" w:color="auto"/>
              <w:left w:val="single" w:sz="4" w:space="0" w:color="auto"/>
              <w:bottom w:val="nil"/>
              <w:right w:val="single" w:sz="4" w:space="0" w:color="auto"/>
            </w:tcBorders>
            <w:shd w:val="clear" w:color="auto" w:fill="auto"/>
            <w:vAlign w:val="center"/>
          </w:tcPr>
          <w:p w14:paraId="61B95B84" w14:textId="77777777" w:rsidR="00651355" w:rsidRPr="00651355" w:rsidRDefault="00651355" w:rsidP="00651355">
            <w:pPr>
              <w:spacing w:before="120" w:after="40"/>
              <w:ind w:right="170"/>
              <w:jc w:val="right"/>
              <w:rPr>
                <w:rFonts w:eastAsia="Calibri"/>
                <w:b/>
                <w:sz w:val="18"/>
                <w:szCs w:val="18"/>
                <w:lang w:val="en-US" w:eastAsia="en-US"/>
              </w:rPr>
            </w:pPr>
            <w:r w:rsidRPr="00651355">
              <w:rPr>
                <w:rFonts w:eastAsia="Calibri"/>
                <w:b/>
                <w:sz w:val="18"/>
                <w:szCs w:val="18"/>
                <w:lang w:val="en-US" w:eastAsia="en-US"/>
              </w:rPr>
              <w:t>1.03</w:t>
            </w:r>
          </w:p>
        </w:tc>
        <w:tc>
          <w:tcPr>
            <w:tcW w:w="1134" w:type="dxa"/>
            <w:tcBorders>
              <w:top w:val="single" w:sz="4" w:space="0" w:color="auto"/>
              <w:left w:val="single" w:sz="4" w:space="0" w:color="auto"/>
              <w:bottom w:val="nil"/>
              <w:right w:val="single" w:sz="4" w:space="0" w:color="auto"/>
            </w:tcBorders>
            <w:shd w:val="clear" w:color="auto" w:fill="auto"/>
            <w:vAlign w:val="center"/>
          </w:tcPr>
          <w:p w14:paraId="1EF8C014" w14:textId="77777777" w:rsidR="00651355" w:rsidRPr="00651355" w:rsidRDefault="00651355" w:rsidP="00651355">
            <w:pPr>
              <w:spacing w:before="120" w:after="40"/>
              <w:ind w:right="284"/>
              <w:jc w:val="right"/>
              <w:rPr>
                <w:rFonts w:eastAsia="Calibri"/>
                <w:b/>
                <w:bCs/>
                <w:sz w:val="18"/>
                <w:szCs w:val="18"/>
                <w:lang w:val="en-US" w:eastAsia="en-US"/>
              </w:rPr>
            </w:pPr>
            <w:r w:rsidRPr="00651355">
              <w:rPr>
                <w:rFonts w:eastAsia="Calibri"/>
                <w:b/>
                <w:bCs/>
                <w:sz w:val="18"/>
                <w:szCs w:val="18"/>
                <w:lang w:val="en-US" w:eastAsia="en-US"/>
              </w:rPr>
              <w:t>-0.03</w:t>
            </w:r>
          </w:p>
        </w:tc>
      </w:tr>
      <w:tr w:rsidR="00651355" w:rsidRPr="00651355" w14:paraId="27320847"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002E9CF6"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Créditos comerciales</w:t>
            </w:r>
          </w:p>
        </w:tc>
        <w:tc>
          <w:tcPr>
            <w:tcW w:w="1276" w:type="dxa"/>
            <w:tcBorders>
              <w:left w:val="single" w:sz="4" w:space="0" w:color="auto"/>
              <w:right w:val="single" w:sz="4" w:space="0" w:color="auto"/>
            </w:tcBorders>
            <w:shd w:val="clear" w:color="auto" w:fill="auto"/>
            <w:vAlign w:val="center"/>
          </w:tcPr>
          <w:p w14:paraId="174830EF"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2.88</w:t>
            </w:r>
          </w:p>
        </w:tc>
        <w:tc>
          <w:tcPr>
            <w:tcW w:w="1134" w:type="dxa"/>
            <w:tcBorders>
              <w:top w:val="nil"/>
              <w:left w:val="single" w:sz="4" w:space="0" w:color="auto"/>
              <w:bottom w:val="nil"/>
              <w:right w:val="single" w:sz="4" w:space="0" w:color="auto"/>
            </w:tcBorders>
            <w:shd w:val="clear" w:color="auto" w:fill="auto"/>
            <w:vAlign w:val="center"/>
          </w:tcPr>
          <w:p w14:paraId="4789F0B4"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3.33</w:t>
            </w:r>
          </w:p>
        </w:tc>
        <w:tc>
          <w:tcPr>
            <w:tcW w:w="1183" w:type="dxa"/>
            <w:tcBorders>
              <w:left w:val="single" w:sz="4" w:space="0" w:color="auto"/>
              <w:right w:val="single" w:sz="4" w:space="0" w:color="auto"/>
            </w:tcBorders>
            <w:shd w:val="clear" w:color="auto" w:fill="auto"/>
            <w:vAlign w:val="center"/>
          </w:tcPr>
          <w:p w14:paraId="11E41439"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3.31</w:t>
            </w:r>
          </w:p>
        </w:tc>
        <w:tc>
          <w:tcPr>
            <w:tcW w:w="1134" w:type="dxa"/>
            <w:tcBorders>
              <w:top w:val="nil"/>
              <w:left w:val="single" w:sz="4" w:space="0" w:color="auto"/>
              <w:bottom w:val="nil"/>
              <w:right w:val="single" w:sz="4" w:space="0" w:color="auto"/>
            </w:tcBorders>
            <w:shd w:val="clear" w:color="auto" w:fill="auto"/>
            <w:vAlign w:val="center"/>
          </w:tcPr>
          <w:p w14:paraId="75E88ACC"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0.43</w:t>
            </w:r>
          </w:p>
        </w:tc>
        <w:tc>
          <w:tcPr>
            <w:tcW w:w="1134" w:type="dxa"/>
            <w:tcBorders>
              <w:top w:val="nil"/>
              <w:left w:val="single" w:sz="4" w:space="0" w:color="auto"/>
              <w:bottom w:val="nil"/>
              <w:right w:val="single" w:sz="4" w:space="0" w:color="auto"/>
            </w:tcBorders>
            <w:shd w:val="clear" w:color="auto" w:fill="auto"/>
            <w:vAlign w:val="center"/>
          </w:tcPr>
          <w:p w14:paraId="7521A7DF"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-0.02</w:t>
            </w:r>
          </w:p>
        </w:tc>
      </w:tr>
      <w:tr w:rsidR="00651355" w:rsidRPr="00651355" w14:paraId="6218155F"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457465C8"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Empresas</w:t>
            </w:r>
          </w:p>
        </w:tc>
        <w:tc>
          <w:tcPr>
            <w:tcW w:w="1276" w:type="dxa"/>
            <w:tcBorders>
              <w:left w:val="single" w:sz="4" w:space="0" w:color="auto"/>
              <w:right w:val="single" w:sz="4" w:space="0" w:color="auto"/>
            </w:tcBorders>
            <w:shd w:val="clear" w:color="auto" w:fill="auto"/>
            <w:vAlign w:val="center"/>
          </w:tcPr>
          <w:p w14:paraId="1D718944"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3.93</w:t>
            </w:r>
          </w:p>
        </w:tc>
        <w:tc>
          <w:tcPr>
            <w:tcW w:w="1134" w:type="dxa"/>
            <w:tcBorders>
              <w:top w:val="nil"/>
              <w:left w:val="single" w:sz="4" w:space="0" w:color="auto"/>
              <w:bottom w:val="nil"/>
              <w:right w:val="single" w:sz="4" w:space="0" w:color="auto"/>
            </w:tcBorders>
            <w:shd w:val="clear" w:color="auto" w:fill="auto"/>
            <w:vAlign w:val="center"/>
          </w:tcPr>
          <w:p w14:paraId="27ABC6DA"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4.63</w:t>
            </w:r>
          </w:p>
        </w:tc>
        <w:tc>
          <w:tcPr>
            <w:tcW w:w="1183" w:type="dxa"/>
            <w:tcBorders>
              <w:left w:val="single" w:sz="4" w:space="0" w:color="auto"/>
              <w:right w:val="single" w:sz="4" w:space="0" w:color="auto"/>
            </w:tcBorders>
            <w:shd w:val="clear" w:color="auto" w:fill="auto"/>
            <w:vAlign w:val="center"/>
          </w:tcPr>
          <w:p w14:paraId="03F8682C"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4.61</w:t>
            </w:r>
          </w:p>
        </w:tc>
        <w:tc>
          <w:tcPr>
            <w:tcW w:w="1134" w:type="dxa"/>
            <w:tcBorders>
              <w:top w:val="nil"/>
              <w:left w:val="single" w:sz="4" w:space="0" w:color="auto"/>
              <w:bottom w:val="nil"/>
              <w:right w:val="single" w:sz="4" w:space="0" w:color="auto"/>
            </w:tcBorders>
            <w:shd w:val="clear" w:color="auto" w:fill="auto"/>
            <w:vAlign w:val="center"/>
          </w:tcPr>
          <w:p w14:paraId="6BC124B1"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0.67</w:t>
            </w:r>
          </w:p>
        </w:tc>
        <w:tc>
          <w:tcPr>
            <w:tcW w:w="1134" w:type="dxa"/>
            <w:tcBorders>
              <w:top w:val="nil"/>
              <w:left w:val="single" w:sz="4" w:space="0" w:color="auto"/>
              <w:bottom w:val="nil"/>
              <w:right w:val="single" w:sz="4" w:space="0" w:color="auto"/>
            </w:tcBorders>
            <w:shd w:val="clear" w:color="auto" w:fill="auto"/>
            <w:vAlign w:val="center"/>
          </w:tcPr>
          <w:p w14:paraId="6BA989CB"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-0.02</w:t>
            </w:r>
          </w:p>
        </w:tc>
      </w:tr>
      <w:tr w:rsidR="00651355" w:rsidRPr="00651355" w14:paraId="595FAAFE"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50F8DB9E"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Entidades financieras</w:t>
            </w:r>
          </w:p>
        </w:tc>
        <w:tc>
          <w:tcPr>
            <w:tcW w:w="1276" w:type="dxa"/>
            <w:tcBorders>
              <w:left w:val="single" w:sz="4" w:space="0" w:color="auto"/>
              <w:right w:val="single" w:sz="4" w:space="0" w:color="auto"/>
            </w:tcBorders>
            <w:shd w:val="clear" w:color="auto" w:fill="auto"/>
            <w:vAlign w:val="center"/>
          </w:tcPr>
          <w:p w14:paraId="760E0AC5"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0.19</w:t>
            </w:r>
          </w:p>
        </w:tc>
        <w:tc>
          <w:tcPr>
            <w:tcW w:w="1134" w:type="dxa"/>
            <w:tcBorders>
              <w:top w:val="nil"/>
              <w:left w:val="single" w:sz="4" w:space="0" w:color="auto"/>
              <w:bottom w:val="nil"/>
              <w:right w:val="single" w:sz="4" w:space="0" w:color="auto"/>
            </w:tcBorders>
            <w:shd w:val="clear" w:color="auto" w:fill="auto"/>
            <w:vAlign w:val="center"/>
          </w:tcPr>
          <w:p w14:paraId="13C0279F"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0.15</w:t>
            </w:r>
          </w:p>
        </w:tc>
        <w:tc>
          <w:tcPr>
            <w:tcW w:w="1183" w:type="dxa"/>
            <w:tcBorders>
              <w:left w:val="single" w:sz="4" w:space="0" w:color="auto"/>
              <w:right w:val="single" w:sz="4" w:space="0" w:color="auto"/>
            </w:tcBorders>
            <w:shd w:val="clear" w:color="auto" w:fill="auto"/>
            <w:vAlign w:val="center"/>
          </w:tcPr>
          <w:p w14:paraId="4DBCC292"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0.19</w:t>
            </w:r>
          </w:p>
        </w:tc>
        <w:tc>
          <w:tcPr>
            <w:tcW w:w="1134" w:type="dxa"/>
            <w:tcBorders>
              <w:top w:val="nil"/>
              <w:left w:val="single" w:sz="4" w:space="0" w:color="auto"/>
              <w:bottom w:val="nil"/>
              <w:right w:val="single" w:sz="4" w:space="0" w:color="auto"/>
            </w:tcBorders>
            <w:shd w:val="clear" w:color="auto" w:fill="auto"/>
            <w:vAlign w:val="center"/>
          </w:tcPr>
          <w:p w14:paraId="5D8143A3"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0.00</w:t>
            </w:r>
          </w:p>
        </w:tc>
        <w:tc>
          <w:tcPr>
            <w:tcW w:w="1134" w:type="dxa"/>
            <w:tcBorders>
              <w:top w:val="nil"/>
              <w:left w:val="single" w:sz="4" w:space="0" w:color="auto"/>
              <w:bottom w:val="nil"/>
              <w:right w:val="single" w:sz="4" w:space="0" w:color="auto"/>
            </w:tcBorders>
            <w:shd w:val="clear" w:color="auto" w:fill="auto"/>
            <w:vAlign w:val="center"/>
          </w:tcPr>
          <w:p w14:paraId="430CB3EF"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0.04</w:t>
            </w:r>
          </w:p>
        </w:tc>
      </w:tr>
      <w:tr w:rsidR="00651355" w:rsidRPr="00651355" w14:paraId="2D2A1832"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462FC3F1" w14:textId="77777777" w:rsidR="00651355" w:rsidRPr="00651355" w:rsidRDefault="00651355" w:rsidP="00651355">
            <w:pPr>
              <w:spacing w:after="120"/>
              <w:ind w:left="170"/>
              <w:rPr>
                <w:rFonts w:eastAsia="Calibri"/>
                <w:bCs/>
                <w:sz w:val="18"/>
                <w:szCs w:val="18"/>
                <w:lang w:val="en-US" w:eastAsia="en-US"/>
              </w:rPr>
            </w:pPr>
            <w:r w:rsidRPr="00651355">
              <w:rPr>
                <w:rFonts w:eastAsia="Calibri"/>
                <w:bCs/>
                <w:sz w:val="18"/>
                <w:szCs w:val="18"/>
                <w:lang w:val="en-US" w:eastAsia="en-US"/>
              </w:rPr>
              <w:t>Entidades gubernamentales</w:t>
            </w:r>
          </w:p>
        </w:tc>
        <w:tc>
          <w:tcPr>
            <w:tcW w:w="1276" w:type="dxa"/>
            <w:tcBorders>
              <w:left w:val="single" w:sz="4" w:space="0" w:color="auto"/>
              <w:right w:val="single" w:sz="4" w:space="0" w:color="auto"/>
            </w:tcBorders>
            <w:shd w:val="clear" w:color="auto" w:fill="auto"/>
            <w:vAlign w:val="center"/>
          </w:tcPr>
          <w:p w14:paraId="317CBD15" w14:textId="77777777" w:rsidR="00651355" w:rsidRPr="00651355" w:rsidRDefault="00651355" w:rsidP="00651355">
            <w:pPr>
              <w:spacing w:after="120"/>
              <w:ind w:right="284"/>
              <w:jc w:val="right"/>
              <w:rPr>
                <w:rFonts w:eastAsia="Calibri"/>
                <w:sz w:val="18"/>
                <w:szCs w:val="18"/>
                <w:lang w:val="en-US" w:eastAsia="en-US"/>
              </w:rPr>
            </w:pPr>
            <w:r w:rsidRPr="00651355">
              <w:rPr>
                <w:rFonts w:eastAsia="Calibri"/>
                <w:sz w:val="18"/>
                <w:szCs w:val="18"/>
                <w:lang w:val="en-US" w:eastAsia="en-US"/>
              </w:rPr>
              <w:t>0.04</w:t>
            </w:r>
          </w:p>
        </w:tc>
        <w:tc>
          <w:tcPr>
            <w:tcW w:w="1134" w:type="dxa"/>
            <w:tcBorders>
              <w:top w:val="nil"/>
              <w:left w:val="single" w:sz="4" w:space="0" w:color="auto"/>
              <w:bottom w:val="nil"/>
              <w:right w:val="single" w:sz="4" w:space="0" w:color="auto"/>
            </w:tcBorders>
            <w:shd w:val="clear" w:color="auto" w:fill="auto"/>
            <w:vAlign w:val="center"/>
          </w:tcPr>
          <w:p w14:paraId="196EA1E0" w14:textId="77777777" w:rsidR="00651355" w:rsidRPr="00651355" w:rsidRDefault="00651355" w:rsidP="00651355">
            <w:pPr>
              <w:spacing w:after="120"/>
              <w:ind w:right="227"/>
              <w:jc w:val="right"/>
              <w:rPr>
                <w:rFonts w:eastAsia="Calibri"/>
                <w:sz w:val="18"/>
                <w:szCs w:val="18"/>
                <w:lang w:val="en-US" w:eastAsia="en-US"/>
              </w:rPr>
            </w:pPr>
            <w:r w:rsidRPr="00651355">
              <w:rPr>
                <w:rFonts w:eastAsia="Calibri"/>
                <w:sz w:val="18"/>
                <w:szCs w:val="18"/>
                <w:lang w:val="en-US" w:eastAsia="en-US"/>
              </w:rPr>
              <w:t>0.03</w:t>
            </w:r>
          </w:p>
        </w:tc>
        <w:tc>
          <w:tcPr>
            <w:tcW w:w="1183" w:type="dxa"/>
            <w:tcBorders>
              <w:left w:val="single" w:sz="4" w:space="0" w:color="auto"/>
              <w:right w:val="single" w:sz="4" w:space="0" w:color="auto"/>
            </w:tcBorders>
            <w:shd w:val="clear" w:color="auto" w:fill="auto"/>
            <w:vAlign w:val="center"/>
          </w:tcPr>
          <w:p w14:paraId="4444E0A5" w14:textId="77777777" w:rsidR="00651355" w:rsidRPr="00651355" w:rsidRDefault="00651355" w:rsidP="00651355">
            <w:pPr>
              <w:spacing w:after="120"/>
              <w:ind w:right="227"/>
              <w:jc w:val="right"/>
              <w:rPr>
                <w:rFonts w:eastAsia="Calibri"/>
                <w:sz w:val="18"/>
                <w:szCs w:val="18"/>
                <w:lang w:val="en-US" w:eastAsia="en-US"/>
              </w:rPr>
            </w:pPr>
            <w:r w:rsidRPr="00651355">
              <w:rPr>
                <w:rFonts w:eastAsia="Calibri"/>
                <w:sz w:val="18"/>
                <w:szCs w:val="18"/>
                <w:lang w:val="en-US" w:eastAsia="en-US"/>
              </w:rPr>
              <w:t>0.03</w:t>
            </w:r>
          </w:p>
        </w:tc>
        <w:tc>
          <w:tcPr>
            <w:tcW w:w="1134" w:type="dxa"/>
            <w:tcBorders>
              <w:top w:val="nil"/>
              <w:left w:val="single" w:sz="4" w:space="0" w:color="auto"/>
              <w:bottom w:val="nil"/>
              <w:right w:val="single" w:sz="4" w:space="0" w:color="auto"/>
            </w:tcBorders>
            <w:shd w:val="clear" w:color="auto" w:fill="auto"/>
            <w:vAlign w:val="center"/>
          </w:tcPr>
          <w:p w14:paraId="216B04B7"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-0.01</w:t>
            </w:r>
          </w:p>
        </w:tc>
        <w:tc>
          <w:tcPr>
            <w:tcW w:w="1134" w:type="dxa"/>
            <w:tcBorders>
              <w:top w:val="nil"/>
              <w:left w:val="single" w:sz="4" w:space="0" w:color="auto"/>
              <w:bottom w:val="nil"/>
              <w:right w:val="single" w:sz="4" w:space="0" w:color="auto"/>
            </w:tcBorders>
            <w:shd w:val="clear" w:color="auto" w:fill="auto"/>
            <w:vAlign w:val="center"/>
          </w:tcPr>
          <w:p w14:paraId="21A0B41A" w14:textId="77777777" w:rsidR="00651355" w:rsidRPr="00651355" w:rsidRDefault="00651355" w:rsidP="00651355">
            <w:pPr>
              <w:spacing w:after="120"/>
              <w:ind w:right="284"/>
              <w:jc w:val="right"/>
              <w:rPr>
                <w:rFonts w:eastAsia="Calibri"/>
                <w:bCs/>
                <w:sz w:val="18"/>
                <w:szCs w:val="18"/>
                <w:lang w:val="en-US" w:eastAsia="en-US"/>
              </w:rPr>
            </w:pPr>
            <w:r w:rsidRPr="00651355">
              <w:rPr>
                <w:rFonts w:eastAsia="Calibri"/>
                <w:bCs/>
                <w:sz w:val="18"/>
                <w:szCs w:val="18"/>
                <w:lang w:val="en-US" w:eastAsia="en-US"/>
              </w:rPr>
              <w:t>0.00</w:t>
            </w:r>
          </w:p>
        </w:tc>
      </w:tr>
      <w:tr w:rsidR="00651355" w:rsidRPr="00651355" w14:paraId="7FB8A0C5" w14:textId="77777777" w:rsidTr="00845A3F">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42EF0C55"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Consumo</w:t>
            </w:r>
          </w:p>
        </w:tc>
        <w:tc>
          <w:tcPr>
            <w:tcW w:w="1276" w:type="dxa"/>
            <w:tcBorders>
              <w:left w:val="single" w:sz="4" w:space="0" w:color="auto"/>
              <w:right w:val="single" w:sz="4" w:space="0" w:color="auto"/>
            </w:tcBorders>
            <w:shd w:val="clear" w:color="auto" w:fill="auto"/>
            <w:vAlign w:val="center"/>
          </w:tcPr>
          <w:p w14:paraId="67B8EE5F" w14:textId="77777777" w:rsidR="00651355" w:rsidRPr="00651355" w:rsidRDefault="00651355" w:rsidP="00651355">
            <w:pPr>
              <w:ind w:right="284"/>
              <w:jc w:val="right"/>
              <w:rPr>
                <w:rFonts w:eastAsia="Calibri"/>
                <w:b/>
                <w:sz w:val="18"/>
                <w:szCs w:val="18"/>
                <w:lang w:eastAsia="en-US"/>
              </w:rPr>
            </w:pPr>
            <w:r w:rsidRPr="00651355">
              <w:rPr>
                <w:rFonts w:eastAsia="Calibri"/>
                <w:b/>
                <w:sz w:val="18"/>
                <w:szCs w:val="18"/>
                <w:lang w:eastAsia="en-US"/>
              </w:rPr>
              <w:t>12.00</w:t>
            </w:r>
          </w:p>
        </w:tc>
        <w:tc>
          <w:tcPr>
            <w:tcW w:w="1134" w:type="dxa"/>
            <w:tcBorders>
              <w:top w:val="nil"/>
              <w:left w:val="single" w:sz="4" w:space="0" w:color="auto"/>
              <w:bottom w:val="nil"/>
              <w:right w:val="single" w:sz="4" w:space="0" w:color="auto"/>
            </w:tcBorders>
            <w:shd w:val="clear" w:color="auto" w:fill="auto"/>
            <w:vAlign w:val="center"/>
          </w:tcPr>
          <w:p w14:paraId="3C9D9604"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14.69</w:t>
            </w:r>
          </w:p>
        </w:tc>
        <w:tc>
          <w:tcPr>
            <w:tcW w:w="1183" w:type="dxa"/>
            <w:tcBorders>
              <w:left w:val="single" w:sz="4" w:space="0" w:color="auto"/>
              <w:right w:val="single" w:sz="4" w:space="0" w:color="auto"/>
            </w:tcBorders>
            <w:shd w:val="clear" w:color="auto" w:fill="auto"/>
            <w:vAlign w:val="center"/>
          </w:tcPr>
          <w:p w14:paraId="0490F9B0"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14.71</w:t>
            </w:r>
          </w:p>
        </w:tc>
        <w:tc>
          <w:tcPr>
            <w:tcW w:w="1134" w:type="dxa"/>
            <w:tcBorders>
              <w:top w:val="nil"/>
              <w:left w:val="single" w:sz="4" w:space="0" w:color="auto"/>
              <w:bottom w:val="nil"/>
              <w:right w:val="single" w:sz="4" w:space="0" w:color="auto"/>
            </w:tcBorders>
            <w:shd w:val="clear" w:color="auto" w:fill="auto"/>
            <w:vAlign w:val="center"/>
          </w:tcPr>
          <w:p w14:paraId="48C78D6F"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2.72</w:t>
            </w:r>
          </w:p>
        </w:tc>
        <w:tc>
          <w:tcPr>
            <w:tcW w:w="1134" w:type="dxa"/>
            <w:tcBorders>
              <w:top w:val="nil"/>
              <w:left w:val="single" w:sz="4" w:space="0" w:color="auto"/>
              <w:bottom w:val="nil"/>
              <w:right w:val="single" w:sz="4" w:space="0" w:color="auto"/>
            </w:tcBorders>
            <w:shd w:val="clear" w:color="auto" w:fill="auto"/>
            <w:vAlign w:val="center"/>
          </w:tcPr>
          <w:p w14:paraId="2A89B384" w14:textId="77777777" w:rsidR="00651355" w:rsidRPr="00651355" w:rsidRDefault="00651355" w:rsidP="00651355">
            <w:pPr>
              <w:ind w:right="284"/>
              <w:jc w:val="right"/>
              <w:rPr>
                <w:rFonts w:eastAsia="Calibri"/>
                <w:b/>
                <w:bCs/>
                <w:sz w:val="18"/>
                <w:szCs w:val="18"/>
                <w:lang w:eastAsia="en-US"/>
              </w:rPr>
            </w:pPr>
            <w:r w:rsidRPr="00651355">
              <w:rPr>
                <w:rFonts w:eastAsia="Calibri"/>
                <w:b/>
                <w:bCs/>
                <w:sz w:val="18"/>
                <w:szCs w:val="18"/>
                <w:lang w:eastAsia="en-US"/>
              </w:rPr>
              <w:t>0.02</w:t>
            </w:r>
          </w:p>
        </w:tc>
      </w:tr>
      <w:tr w:rsidR="00651355" w:rsidRPr="00651355" w14:paraId="2185A732" w14:textId="77777777" w:rsidTr="00845A3F">
        <w:trPr>
          <w:trHeight w:val="261"/>
          <w:jc w:val="center"/>
        </w:trPr>
        <w:tc>
          <w:tcPr>
            <w:tcW w:w="2835" w:type="dxa"/>
            <w:tcBorders>
              <w:top w:val="nil"/>
              <w:left w:val="single" w:sz="4" w:space="0" w:color="auto"/>
              <w:bottom w:val="nil"/>
              <w:right w:val="single" w:sz="4" w:space="0" w:color="auto"/>
            </w:tcBorders>
            <w:shd w:val="clear" w:color="auto" w:fill="auto"/>
            <w:vAlign w:val="center"/>
          </w:tcPr>
          <w:p w14:paraId="68FCB341"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Tarjeta de crédito</w:t>
            </w:r>
          </w:p>
        </w:tc>
        <w:tc>
          <w:tcPr>
            <w:tcW w:w="1276" w:type="dxa"/>
            <w:tcBorders>
              <w:left w:val="single" w:sz="4" w:space="0" w:color="auto"/>
              <w:right w:val="single" w:sz="4" w:space="0" w:color="auto"/>
            </w:tcBorders>
            <w:shd w:val="clear" w:color="auto" w:fill="auto"/>
            <w:vAlign w:val="center"/>
          </w:tcPr>
          <w:p w14:paraId="4175B109"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12.53</w:t>
            </w:r>
          </w:p>
        </w:tc>
        <w:tc>
          <w:tcPr>
            <w:tcW w:w="1134" w:type="dxa"/>
            <w:tcBorders>
              <w:top w:val="nil"/>
              <w:left w:val="single" w:sz="4" w:space="0" w:color="auto"/>
              <w:bottom w:val="nil"/>
              <w:right w:val="single" w:sz="4" w:space="0" w:color="auto"/>
            </w:tcBorders>
            <w:shd w:val="clear" w:color="auto" w:fill="auto"/>
            <w:vAlign w:val="center"/>
          </w:tcPr>
          <w:p w14:paraId="5B1579BD"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16.75</w:t>
            </w:r>
          </w:p>
        </w:tc>
        <w:tc>
          <w:tcPr>
            <w:tcW w:w="1183" w:type="dxa"/>
            <w:tcBorders>
              <w:left w:val="single" w:sz="4" w:space="0" w:color="auto"/>
              <w:right w:val="single" w:sz="4" w:space="0" w:color="auto"/>
            </w:tcBorders>
            <w:shd w:val="clear" w:color="auto" w:fill="auto"/>
            <w:vAlign w:val="center"/>
          </w:tcPr>
          <w:p w14:paraId="61EC2ED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16.83</w:t>
            </w:r>
          </w:p>
        </w:tc>
        <w:tc>
          <w:tcPr>
            <w:tcW w:w="1134" w:type="dxa"/>
            <w:tcBorders>
              <w:top w:val="nil"/>
              <w:left w:val="single" w:sz="4" w:space="0" w:color="auto"/>
              <w:bottom w:val="nil"/>
              <w:right w:val="single" w:sz="4" w:space="0" w:color="auto"/>
            </w:tcBorders>
            <w:shd w:val="clear" w:color="auto" w:fill="auto"/>
            <w:vAlign w:val="center"/>
          </w:tcPr>
          <w:p w14:paraId="3CCDA627"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4.30</w:t>
            </w:r>
          </w:p>
        </w:tc>
        <w:tc>
          <w:tcPr>
            <w:tcW w:w="1134" w:type="dxa"/>
            <w:tcBorders>
              <w:top w:val="nil"/>
              <w:left w:val="single" w:sz="4" w:space="0" w:color="auto"/>
              <w:bottom w:val="nil"/>
              <w:right w:val="single" w:sz="4" w:space="0" w:color="auto"/>
            </w:tcBorders>
            <w:shd w:val="clear" w:color="auto" w:fill="auto"/>
            <w:vAlign w:val="center"/>
          </w:tcPr>
          <w:p w14:paraId="386BFAEA"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0.08</w:t>
            </w:r>
          </w:p>
        </w:tc>
      </w:tr>
      <w:tr w:rsidR="00651355" w:rsidRPr="00651355" w14:paraId="4FFD6B6E"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F6BE7E2"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Personales</w:t>
            </w:r>
          </w:p>
        </w:tc>
        <w:tc>
          <w:tcPr>
            <w:tcW w:w="1276" w:type="dxa"/>
            <w:tcBorders>
              <w:left w:val="single" w:sz="4" w:space="0" w:color="auto"/>
              <w:right w:val="single" w:sz="4" w:space="0" w:color="auto"/>
            </w:tcBorders>
            <w:shd w:val="clear" w:color="auto" w:fill="auto"/>
            <w:vAlign w:val="center"/>
          </w:tcPr>
          <w:p w14:paraId="09AB7DDB"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15.00</w:t>
            </w:r>
          </w:p>
        </w:tc>
        <w:tc>
          <w:tcPr>
            <w:tcW w:w="1134" w:type="dxa"/>
            <w:tcBorders>
              <w:top w:val="nil"/>
              <w:left w:val="single" w:sz="4" w:space="0" w:color="auto"/>
              <w:bottom w:val="nil"/>
              <w:right w:val="single" w:sz="4" w:space="0" w:color="auto"/>
            </w:tcBorders>
            <w:shd w:val="clear" w:color="auto" w:fill="auto"/>
            <w:vAlign w:val="center"/>
          </w:tcPr>
          <w:p w14:paraId="1307E93E"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18.07</w:t>
            </w:r>
          </w:p>
        </w:tc>
        <w:tc>
          <w:tcPr>
            <w:tcW w:w="1183" w:type="dxa"/>
            <w:tcBorders>
              <w:left w:val="single" w:sz="4" w:space="0" w:color="auto"/>
              <w:right w:val="single" w:sz="4" w:space="0" w:color="auto"/>
            </w:tcBorders>
            <w:shd w:val="clear" w:color="auto" w:fill="auto"/>
            <w:vAlign w:val="center"/>
          </w:tcPr>
          <w:p w14:paraId="318BA93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18.25</w:t>
            </w:r>
          </w:p>
        </w:tc>
        <w:tc>
          <w:tcPr>
            <w:tcW w:w="1134" w:type="dxa"/>
            <w:tcBorders>
              <w:top w:val="nil"/>
              <w:left w:val="single" w:sz="4" w:space="0" w:color="auto"/>
              <w:bottom w:val="nil"/>
              <w:right w:val="single" w:sz="4" w:space="0" w:color="auto"/>
            </w:tcBorders>
            <w:shd w:val="clear" w:color="auto" w:fill="auto"/>
            <w:vAlign w:val="center"/>
          </w:tcPr>
          <w:p w14:paraId="55E79DF0"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3.25</w:t>
            </w:r>
          </w:p>
        </w:tc>
        <w:tc>
          <w:tcPr>
            <w:tcW w:w="1134" w:type="dxa"/>
            <w:tcBorders>
              <w:top w:val="nil"/>
              <w:left w:val="single" w:sz="4" w:space="0" w:color="auto"/>
              <w:bottom w:val="nil"/>
              <w:right w:val="single" w:sz="4" w:space="0" w:color="auto"/>
            </w:tcBorders>
            <w:shd w:val="clear" w:color="auto" w:fill="auto"/>
            <w:vAlign w:val="center"/>
          </w:tcPr>
          <w:p w14:paraId="31A2DCCD"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0.18</w:t>
            </w:r>
          </w:p>
        </w:tc>
      </w:tr>
      <w:tr w:rsidR="00651355" w:rsidRPr="00651355" w14:paraId="3848016C"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480F3553"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Nómina</w:t>
            </w:r>
          </w:p>
        </w:tc>
        <w:tc>
          <w:tcPr>
            <w:tcW w:w="1276" w:type="dxa"/>
            <w:tcBorders>
              <w:left w:val="single" w:sz="4" w:space="0" w:color="auto"/>
              <w:right w:val="single" w:sz="4" w:space="0" w:color="auto"/>
            </w:tcBorders>
            <w:shd w:val="clear" w:color="auto" w:fill="auto"/>
            <w:vAlign w:val="center"/>
          </w:tcPr>
          <w:p w14:paraId="0A7D8D3E"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10.25</w:t>
            </w:r>
          </w:p>
        </w:tc>
        <w:tc>
          <w:tcPr>
            <w:tcW w:w="1134" w:type="dxa"/>
            <w:tcBorders>
              <w:top w:val="nil"/>
              <w:left w:val="single" w:sz="4" w:space="0" w:color="auto"/>
              <w:bottom w:val="nil"/>
              <w:right w:val="single" w:sz="4" w:space="0" w:color="auto"/>
            </w:tcBorders>
            <w:shd w:val="clear" w:color="auto" w:fill="auto"/>
            <w:vAlign w:val="center"/>
          </w:tcPr>
          <w:p w14:paraId="0DA04012"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11.42</w:t>
            </w:r>
          </w:p>
        </w:tc>
        <w:tc>
          <w:tcPr>
            <w:tcW w:w="1183" w:type="dxa"/>
            <w:tcBorders>
              <w:left w:val="single" w:sz="4" w:space="0" w:color="auto"/>
              <w:right w:val="single" w:sz="4" w:space="0" w:color="auto"/>
            </w:tcBorders>
            <w:shd w:val="clear" w:color="auto" w:fill="auto"/>
            <w:vAlign w:val="center"/>
          </w:tcPr>
          <w:p w14:paraId="57C69D0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11.27</w:t>
            </w:r>
          </w:p>
        </w:tc>
        <w:tc>
          <w:tcPr>
            <w:tcW w:w="1134" w:type="dxa"/>
            <w:tcBorders>
              <w:top w:val="nil"/>
              <w:left w:val="single" w:sz="4" w:space="0" w:color="auto"/>
              <w:bottom w:val="nil"/>
              <w:right w:val="single" w:sz="4" w:space="0" w:color="auto"/>
            </w:tcBorders>
            <w:shd w:val="clear" w:color="auto" w:fill="auto"/>
            <w:vAlign w:val="center"/>
          </w:tcPr>
          <w:p w14:paraId="7982C8A4"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1.02</w:t>
            </w:r>
          </w:p>
        </w:tc>
        <w:tc>
          <w:tcPr>
            <w:tcW w:w="1134" w:type="dxa"/>
            <w:tcBorders>
              <w:top w:val="nil"/>
              <w:left w:val="single" w:sz="4" w:space="0" w:color="auto"/>
              <w:bottom w:val="nil"/>
              <w:right w:val="single" w:sz="4" w:space="0" w:color="auto"/>
            </w:tcBorders>
            <w:shd w:val="clear" w:color="auto" w:fill="auto"/>
            <w:vAlign w:val="center"/>
          </w:tcPr>
          <w:p w14:paraId="29583723"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-0.15</w:t>
            </w:r>
          </w:p>
        </w:tc>
      </w:tr>
      <w:tr w:rsidR="00651355" w:rsidRPr="00651355" w14:paraId="461122AA"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3D6B5F8E"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ABCD</w:t>
            </w:r>
          </w:p>
        </w:tc>
        <w:tc>
          <w:tcPr>
            <w:tcW w:w="1276" w:type="dxa"/>
            <w:tcBorders>
              <w:left w:val="single" w:sz="4" w:space="0" w:color="auto"/>
              <w:right w:val="single" w:sz="4" w:space="0" w:color="auto"/>
            </w:tcBorders>
            <w:shd w:val="clear" w:color="auto" w:fill="auto"/>
            <w:vAlign w:val="center"/>
          </w:tcPr>
          <w:p w14:paraId="5B3DA3D3"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7.26</w:t>
            </w:r>
          </w:p>
        </w:tc>
        <w:tc>
          <w:tcPr>
            <w:tcW w:w="1134" w:type="dxa"/>
            <w:tcBorders>
              <w:top w:val="nil"/>
              <w:left w:val="single" w:sz="4" w:space="0" w:color="auto"/>
              <w:bottom w:val="nil"/>
              <w:right w:val="single" w:sz="4" w:space="0" w:color="auto"/>
            </w:tcBorders>
            <w:shd w:val="clear" w:color="auto" w:fill="auto"/>
            <w:vAlign w:val="center"/>
          </w:tcPr>
          <w:p w14:paraId="66C2BC4D"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7.11</w:t>
            </w:r>
          </w:p>
        </w:tc>
        <w:tc>
          <w:tcPr>
            <w:tcW w:w="1183" w:type="dxa"/>
            <w:tcBorders>
              <w:left w:val="single" w:sz="4" w:space="0" w:color="auto"/>
              <w:right w:val="single" w:sz="4" w:space="0" w:color="auto"/>
            </w:tcBorders>
            <w:shd w:val="clear" w:color="auto" w:fill="auto"/>
            <w:vAlign w:val="center"/>
          </w:tcPr>
          <w:p w14:paraId="57BED054"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7.01</w:t>
            </w:r>
          </w:p>
        </w:tc>
        <w:tc>
          <w:tcPr>
            <w:tcW w:w="1134" w:type="dxa"/>
            <w:tcBorders>
              <w:top w:val="nil"/>
              <w:left w:val="single" w:sz="4" w:space="0" w:color="auto"/>
              <w:bottom w:val="nil"/>
              <w:right w:val="single" w:sz="4" w:space="0" w:color="auto"/>
            </w:tcBorders>
            <w:shd w:val="clear" w:color="auto" w:fill="auto"/>
            <w:vAlign w:val="center"/>
          </w:tcPr>
          <w:p w14:paraId="4E4B181B"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-0.26</w:t>
            </w:r>
          </w:p>
        </w:tc>
        <w:tc>
          <w:tcPr>
            <w:tcW w:w="1134" w:type="dxa"/>
            <w:tcBorders>
              <w:top w:val="nil"/>
              <w:left w:val="single" w:sz="4" w:space="0" w:color="auto"/>
              <w:bottom w:val="nil"/>
              <w:right w:val="single" w:sz="4" w:space="0" w:color="auto"/>
            </w:tcBorders>
            <w:shd w:val="clear" w:color="auto" w:fill="auto"/>
            <w:vAlign w:val="center"/>
          </w:tcPr>
          <w:p w14:paraId="31E8ABBC"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-0.10</w:t>
            </w:r>
          </w:p>
        </w:tc>
      </w:tr>
      <w:tr w:rsidR="00651355" w:rsidRPr="00651355" w14:paraId="3FD58F99"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1A6BA5A8"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Automotriz</w:t>
            </w:r>
          </w:p>
        </w:tc>
        <w:tc>
          <w:tcPr>
            <w:tcW w:w="1276" w:type="dxa"/>
            <w:tcBorders>
              <w:left w:val="single" w:sz="4" w:space="0" w:color="auto"/>
              <w:right w:val="single" w:sz="4" w:space="0" w:color="auto"/>
            </w:tcBorders>
            <w:shd w:val="clear" w:color="auto" w:fill="auto"/>
            <w:vAlign w:val="center"/>
          </w:tcPr>
          <w:p w14:paraId="2EBEE5F7"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3.32</w:t>
            </w:r>
          </w:p>
        </w:tc>
        <w:tc>
          <w:tcPr>
            <w:tcW w:w="1134" w:type="dxa"/>
            <w:tcBorders>
              <w:top w:val="nil"/>
              <w:left w:val="single" w:sz="4" w:space="0" w:color="auto"/>
              <w:bottom w:val="nil"/>
              <w:right w:val="single" w:sz="4" w:space="0" w:color="auto"/>
            </w:tcBorders>
            <w:shd w:val="clear" w:color="auto" w:fill="auto"/>
            <w:vAlign w:val="center"/>
          </w:tcPr>
          <w:p w14:paraId="6C88F697"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4.19</w:t>
            </w:r>
          </w:p>
        </w:tc>
        <w:tc>
          <w:tcPr>
            <w:tcW w:w="1183" w:type="dxa"/>
            <w:tcBorders>
              <w:left w:val="single" w:sz="4" w:space="0" w:color="auto"/>
              <w:right w:val="single" w:sz="4" w:space="0" w:color="auto"/>
            </w:tcBorders>
            <w:shd w:val="clear" w:color="auto" w:fill="auto"/>
            <w:vAlign w:val="center"/>
          </w:tcPr>
          <w:p w14:paraId="5D68F21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4.17</w:t>
            </w:r>
          </w:p>
        </w:tc>
        <w:tc>
          <w:tcPr>
            <w:tcW w:w="1134" w:type="dxa"/>
            <w:tcBorders>
              <w:top w:val="nil"/>
              <w:left w:val="single" w:sz="4" w:space="0" w:color="auto"/>
              <w:bottom w:val="nil"/>
              <w:right w:val="single" w:sz="4" w:space="0" w:color="auto"/>
            </w:tcBorders>
            <w:shd w:val="clear" w:color="auto" w:fill="auto"/>
            <w:vAlign w:val="center"/>
          </w:tcPr>
          <w:p w14:paraId="1E1C6AA6"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0.86</w:t>
            </w:r>
          </w:p>
        </w:tc>
        <w:tc>
          <w:tcPr>
            <w:tcW w:w="1134" w:type="dxa"/>
            <w:tcBorders>
              <w:top w:val="nil"/>
              <w:left w:val="single" w:sz="4" w:space="0" w:color="auto"/>
              <w:bottom w:val="nil"/>
              <w:right w:val="single" w:sz="4" w:space="0" w:color="auto"/>
            </w:tcBorders>
            <w:shd w:val="clear" w:color="auto" w:fill="auto"/>
            <w:vAlign w:val="center"/>
          </w:tcPr>
          <w:p w14:paraId="4334134F"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-0.01</w:t>
            </w:r>
          </w:p>
        </w:tc>
      </w:tr>
      <w:tr w:rsidR="00651355" w:rsidRPr="00651355" w14:paraId="2DE94307"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7EF2A882"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Adquisición de bienes muebles</w:t>
            </w:r>
          </w:p>
        </w:tc>
        <w:tc>
          <w:tcPr>
            <w:tcW w:w="1276" w:type="dxa"/>
            <w:tcBorders>
              <w:left w:val="single" w:sz="4" w:space="0" w:color="auto"/>
              <w:right w:val="single" w:sz="4" w:space="0" w:color="auto"/>
            </w:tcBorders>
            <w:shd w:val="clear" w:color="auto" w:fill="auto"/>
            <w:vAlign w:val="center"/>
          </w:tcPr>
          <w:p w14:paraId="3E3791D1"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56.37</w:t>
            </w:r>
          </w:p>
        </w:tc>
        <w:tc>
          <w:tcPr>
            <w:tcW w:w="1134" w:type="dxa"/>
            <w:tcBorders>
              <w:top w:val="nil"/>
              <w:left w:val="single" w:sz="4" w:space="0" w:color="auto"/>
              <w:bottom w:val="nil"/>
              <w:right w:val="single" w:sz="4" w:space="0" w:color="auto"/>
            </w:tcBorders>
            <w:shd w:val="clear" w:color="auto" w:fill="auto"/>
            <w:vAlign w:val="center"/>
          </w:tcPr>
          <w:p w14:paraId="74E1CBE0"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40.13</w:t>
            </w:r>
          </w:p>
        </w:tc>
        <w:tc>
          <w:tcPr>
            <w:tcW w:w="1183" w:type="dxa"/>
            <w:tcBorders>
              <w:left w:val="single" w:sz="4" w:space="0" w:color="auto"/>
              <w:right w:val="single" w:sz="4" w:space="0" w:color="auto"/>
            </w:tcBorders>
            <w:shd w:val="clear" w:color="auto" w:fill="auto"/>
            <w:vAlign w:val="center"/>
          </w:tcPr>
          <w:p w14:paraId="15573F1F"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38.09</w:t>
            </w:r>
          </w:p>
        </w:tc>
        <w:tc>
          <w:tcPr>
            <w:tcW w:w="1134" w:type="dxa"/>
            <w:tcBorders>
              <w:top w:val="nil"/>
              <w:left w:val="single" w:sz="4" w:space="0" w:color="auto"/>
              <w:bottom w:val="nil"/>
              <w:right w:val="single" w:sz="4" w:space="0" w:color="auto"/>
            </w:tcBorders>
            <w:shd w:val="clear" w:color="auto" w:fill="auto"/>
            <w:vAlign w:val="center"/>
          </w:tcPr>
          <w:p w14:paraId="4F1D4DB8"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-18.28</w:t>
            </w:r>
          </w:p>
        </w:tc>
        <w:tc>
          <w:tcPr>
            <w:tcW w:w="1134" w:type="dxa"/>
            <w:tcBorders>
              <w:top w:val="nil"/>
              <w:left w:val="single" w:sz="4" w:space="0" w:color="auto"/>
              <w:bottom w:val="nil"/>
              <w:right w:val="single" w:sz="4" w:space="0" w:color="auto"/>
            </w:tcBorders>
            <w:shd w:val="clear" w:color="auto" w:fill="auto"/>
            <w:vAlign w:val="center"/>
          </w:tcPr>
          <w:p w14:paraId="323B744C"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-2.04</w:t>
            </w:r>
          </w:p>
        </w:tc>
      </w:tr>
      <w:tr w:rsidR="00651355" w:rsidRPr="00651355" w14:paraId="3CCB6A0F"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68BD3EF4"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Operaciones de arrendamiento capitalizable</w:t>
            </w:r>
          </w:p>
        </w:tc>
        <w:tc>
          <w:tcPr>
            <w:tcW w:w="1276" w:type="dxa"/>
            <w:tcBorders>
              <w:left w:val="single" w:sz="4" w:space="0" w:color="auto"/>
              <w:right w:val="single" w:sz="4" w:space="0" w:color="auto"/>
            </w:tcBorders>
            <w:shd w:val="clear" w:color="auto" w:fill="auto"/>
            <w:vAlign w:val="center"/>
          </w:tcPr>
          <w:p w14:paraId="3F25078F"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20.98</w:t>
            </w:r>
          </w:p>
        </w:tc>
        <w:tc>
          <w:tcPr>
            <w:tcW w:w="1134" w:type="dxa"/>
            <w:tcBorders>
              <w:top w:val="nil"/>
              <w:left w:val="single" w:sz="4" w:space="0" w:color="auto"/>
              <w:bottom w:val="nil"/>
              <w:right w:val="single" w:sz="4" w:space="0" w:color="auto"/>
            </w:tcBorders>
            <w:shd w:val="clear" w:color="auto" w:fill="auto"/>
            <w:vAlign w:val="center"/>
          </w:tcPr>
          <w:p w14:paraId="0A9FC887"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35.53</w:t>
            </w:r>
          </w:p>
        </w:tc>
        <w:tc>
          <w:tcPr>
            <w:tcW w:w="1183" w:type="dxa"/>
            <w:tcBorders>
              <w:left w:val="single" w:sz="4" w:space="0" w:color="auto"/>
              <w:right w:val="single" w:sz="4" w:space="0" w:color="auto"/>
            </w:tcBorders>
            <w:shd w:val="clear" w:color="auto" w:fill="auto"/>
            <w:vAlign w:val="center"/>
          </w:tcPr>
          <w:p w14:paraId="2EDC92C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35.26</w:t>
            </w:r>
          </w:p>
        </w:tc>
        <w:tc>
          <w:tcPr>
            <w:tcW w:w="1134" w:type="dxa"/>
            <w:tcBorders>
              <w:top w:val="nil"/>
              <w:left w:val="single" w:sz="4" w:space="0" w:color="auto"/>
              <w:bottom w:val="nil"/>
              <w:right w:val="single" w:sz="4" w:space="0" w:color="auto"/>
            </w:tcBorders>
            <w:shd w:val="clear" w:color="auto" w:fill="auto"/>
            <w:vAlign w:val="center"/>
          </w:tcPr>
          <w:p w14:paraId="5EF78474"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14.29</w:t>
            </w:r>
          </w:p>
        </w:tc>
        <w:tc>
          <w:tcPr>
            <w:tcW w:w="1134" w:type="dxa"/>
            <w:tcBorders>
              <w:top w:val="nil"/>
              <w:left w:val="single" w:sz="4" w:space="0" w:color="auto"/>
              <w:bottom w:val="nil"/>
              <w:right w:val="single" w:sz="4" w:space="0" w:color="auto"/>
            </w:tcBorders>
            <w:shd w:val="clear" w:color="auto" w:fill="auto"/>
            <w:vAlign w:val="center"/>
          </w:tcPr>
          <w:p w14:paraId="58A13DC4"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1.73</w:t>
            </w:r>
          </w:p>
        </w:tc>
      </w:tr>
      <w:tr w:rsidR="00651355" w:rsidRPr="00651355" w14:paraId="41EDE415" w14:textId="77777777" w:rsidTr="00845A3F">
        <w:trPr>
          <w:trHeight w:val="271"/>
          <w:jc w:val="center"/>
        </w:trPr>
        <w:tc>
          <w:tcPr>
            <w:tcW w:w="2835" w:type="dxa"/>
            <w:tcBorders>
              <w:top w:val="nil"/>
              <w:left w:val="single" w:sz="4" w:space="0" w:color="auto"/>
              <w:bottom w:val="nil"/>
              <w:right w:val="single" w:sz="4" w:space="0" w:color="auto"/>
            </w:tcBorders>
            <w:shd w:val="clear" w:color="auto" w:fill="auto"/>
            <w:vAlign w:val="center"/>
          </w:tcPr>
          <w:p w14:paraId="62B0A3D4"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Otros créditos de consumo</w:t>
            </w:r>
          </w:p>
        </w:tc>
        <w:tc>
          <w:tcPr>
            <w:tcW w:w="1276" w:type="dxa"/>
            <w:tcBorders>
              <w:left w:val="single" w:sz="4" w:space="0" w:color="auto"/>
              <w:right w:val="single" w:sz="4" w:space="0" w:color="auto"/>
            </w:tcBorders>
            <w:shd w:val="clear" w:color="auto" w:fill="auto"/>
            <w:vAlign w:val="center"/>
          </w:tcPr>
          <w:p w14:paraId="2D89E8D0" w14:textId="77777777" w:rsidR="00651355" w:rsidRPr="00651355" w:rsidRDefault="00651355" w:rsidP="00651355">
            <w:pPr>
              <w:spacing w:after="120"/>
              <w:ind w:right="284"/>
              <w:jc w:val="right"/>
              <w:rPr>
                <w:rFonts w:eastAsia="Calibri"/>
                <w:sz w:val="18"/>
                <w:szCs w:val="18"/>
                <w:lang w:eastAsia="en-US"/>
              </w:rPr>
            </w:pPr>
            <w:r w:rsidRPr="00651355">
              <w:rPr>
                <w:rFonts w:eastAsia="Calibri"/>
                <w:sz w:val="18"/>
                <w:szCs w:val="18"/>
                <w:lang w:eastAsia="en-US"/>
              </w:rPr>
              <w:t>12.81</w:t>
            </w:r>
          </w:p>
        </w:tc>
        <w:tc>
          <w:tcPr>
            <w:tcW w:w="1134" w:type="dxa"/>
            <w:tcBorders>
              <w:top w:val="nil"/>
              <w:left w:val="single" w:sz="4" w:space="0" w:color="auto"/>
              <w:bottom w:val="nil"/>
              <w:right w:val="single" w:sz="4" w:space="0" w:color="auto"/>
            </w:tcBorders>
            <w:shd w:val="clear" w:color="auto" w:fill="auto"/>
            <w:vAlign w:val="center"/>
          </w:tcPr>
          <w:p w14:paraId="1EB54383"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10.63</w:t>
            </w:r>
          </w:p>
        </w:tc>
        <w:tc>
          <w:tcPr>
            <w:tcW w:w="1183" w:type="dxa"/>
            <w:tcBorders>
              <w:left w:val="single" w:sz="4" w:space="0" w:color="auto"/>
              <w:right w:val="single" w:sz="4" w:space="0" w:color="auto"/>
            </w:tcBorders>
            <w:shd w:val="clear" w:color="auto" w:fill="auto"/>
            <w:vAlign w:val="center"/>
          </w:tcPr>
          <w:p w14:paraId="2AEBCB2A"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10.66</w:t>
            </w:r>
          </w:p>
        </w:tc>
        <w:tc>
          <w:tcPr>
            <w:tcW w:w="1134" w:type="dxa"/>
            <w:tcBorders>
              <w:top w:val="nil"/>
              <w:left w:val="single" w:sz="4" w:space="0" w:color="auto"/>
              <w:bottom w:val="nil"/>
              <w:right w:val="single" w:sz="4" w:space="0" w:color="auto"/>
            </w:tcBorders>
            <w:shd w:val="clear" w:color="auto" w:fill="auto"/>
            <w:vAlign w:val="center"/>
          </w:tcPr>
          <w:p w14:paraId="32DDC42E"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-2.16</w:t>
            </w:r>
          </w:p>
        </w:tc>
        <w:tc>
          <w:tcPr>
            <w:tcW w:w="1134" w:type="dxa"/>
            <w:tcBorders>
              <w:top w:val="nil"/>
              <w:left w:val="single" w:sz="4" w:space="0" w:color="auto"/>
              <w:bottom w:val="nil"/>
              <w:right w:val="single" w:sz="4" w:space="0" w:color="auto"/>
            </w:tcBorders>
            <w:shd w:val="clear" w:color="auto" w:fill="auto"/>
            <w:vAlign w:val="center"/>
          </w:tcPr>
          <w:p w14:paraId="00BBDBDA" w14:textId="77777777" w:rsidR="00651355" w:rsidRPr="00651355" w:rsidRDefault="00651355" w:rsidP="00651355">
            <w:pPr>
              <w:spacing w:after="120"/>
              <w:ind w:right="284"/>
              <w:jc w:val="right"/>
              <w:rPr>
                <w:rFonts w:eastAsia="Calibri"/>
                <w:bCs/>
                <w:sz w:val="18"/>
                <w:szCs w:val="18"/>
                <w:lang w:eastAsia="en-US"/>
              </w:rPr>
            </w:pPr>
            <w:r w:rsidRPr="00651355">
              <w:rPr>
                <w:rFonts w:eastAsia="Calibri"/>
                <w:bCs/>
                <w:sz w:val="18"/>
                <w:szCs w:val="18"/>
                <w:lang w:eastAsia="en-US"/>
              </w:rPr>
              <w:t>0.02</w:t>
            </w:r>
          </w:p>
        </w:tc>
      </w:tr>
      <w:tr w:rsidR="00651355" w:rsidRPr="00651355" w14:paraId="4E1726EA" w14:textId="77777777" w:rsidTr="00845A3F">
        <w:trPr>
          <w:trHeight w:val="271"/>
          <w:jc w:val="center"/>
        </w:trPr>
        <w:tc>
          <w:tcPr>
            <w:tcW w:w="2835" w:type="dxa"/>
            <w:tcBorders>
              <w:top w:val="nil"/>
              <w:left w:val="single" w:sz="4" w:space="0" w:color="auto"/>
              <w:bottom w:val="single" w:sz="4" w:space="0" w:color="auto"/>
              <w:right w:val="single" w:sz="4" w:space="0" w:color="auto"/>
            </w:tcBorders>
            <w:shd w:val="clear" w:color="auto" w:fill="auto"/>
            <w:vAlign w:val="center"/>
          </w:tcPr>
          <w:p w14:paraId="5E53C1B6" w14:textId="77777777" w:rsidR="00651355" w:rsidRPr="00651355" w:rsidRDefault="00651355" w:rsidP="00651355">
            <w:pPr>
              <w:spacing w:after="120"/>
              <w:rPr>
                <w:rFonts w:eastAsia="Calibri"/>
                <w:b/>
                <w:bCs/>
                <w:sz w:val="18"/>
                <w:szCs w:val="18"/>
                <w:lang w:eastAsia="en-US"/>
              </w:rPr>
            </w:pPr>
            <w:r w:rsidRPr="00651355">
              <w:rPr>
                <w:rFonts w:eastAsia="Calibri"/>
                <w:b/>
                <w:bCs/>
                <w:sz w:val="18"/>
                <w:szCs w:val="18"/>
                <w:lang w:eastAsia="en-US"/>
              </w:rPr>
              <w:t>Vivienda</w:t>
            </w:r>
          </w:p>
        </w:tc>
        <w:tc>
          <w:tcPr>
            <w:tcW w:w="1276" w:type="dxa"/>
            <w:tcBorders>
              <w:left w:val="single" w:sz="4" w:space="0" w:color="auto"/>
              <w:bottom w:val="single" w:sz="4" w:space="0" w:color="auto"/>
              <w:right w:val="single" w:sz="4" w:space="0" w:color="auto"/>
            </w:tcBorders>
            <w:shd w:val="clear" w:color="auto" w:fill="auto"/>
            <w:vAlign w:val="center"/>
          </w:tcPr>
          <w:p w14:paraId="4E3B3E61" w14:textId="77777777" w:rsidR="00651355" w:rsidRPr="00651355" w:rsidRDefault="00651355" w:rsidP="00651355">
            <w:pPr>
              <w:spacing w:after="120"/>
              <w:ind w:right="284"/>
              <w:jc w:val="right"/>
              <w:rPr>
                <w:rFonts w:eastAsia="Calibri"/>
                <w:b/>
                <w:sz w:val="18"/>
                <w:szCs w:val="18"/>
                <w:lang w:eastAsia="en-US"/>
              </w:rPr>
            </w:pPr>
            <w:r w:rsidRPr="00651355">
              <w:rPr>
                <w:rFonts w:eastAsia="Calibri"/>
                <w:b/>
                <w:sz w:val="18"/>
                <w:szCs w:val="18"/>
                <w:lang w:eastAsia="en-US"/>
              </w:rPr>
              <w:t>4.92</w:t>
            </w:r>
          </w:p>
        </w:tc>
        <w:tc>
          <w:tcPr>
            <w:tcW w:w="1134" w:type="dxa"/>
            <w:tcBorders>
              <w:top w:val="nil"/>
              <w:left w:val="single" w:sz="4" w:space="0" w:color="auto"/>
              <w:bottom w:val="single" w:sz="4" w:space="0" w:color="auto"/>
              <w:right w:val="single" w:sz="4" w:space="0" w:color="auto"/>
            </w:tcBorders>
            <w:shd w:val="clear" w:color="auto" w:fill="auto"/>
            <w:vAlign w:val="center"/>
          </w:tcPr>
          <w:p w14:paraId="51D4F238" w14:textId="77777777" w:rsidR="00651355" w:rsidRPr="00651355" w:rsidRDefault="00651355" w:rsidP="00651355">
            <w:pPr>
              <w:spacing w:after="120"/>
              <w:ind w:right="227"/>
              <w:jc w:val="right"/>
              <w:rPr>
                <w:rFonts w:eastAsia="Calibri"/>
                <w:b/>
                <w:sz w:val="18"/>
                <w:szCs w:val="18"/>
                <w:lang w:eastAsia="en-US"/>
              </w:rPr>
            </w:pPr>
            <w:r w:rsidRPr="00651355">
              <w:rPr>
                <w:rFonts w:eastAsia="Calibri"/>
                <w:b/>
                <w:sz w:val="18"/>
                <w:szCs w:val="18"/>
                <w:lang w:eastAsia="en-US"/>
              </w:rPr>
              <w:t>5.65</w:t>
            </w:r>
          </w:p>
        </w:tc>
        <w:tc>
          <w:tcPr>
            <w:tcW w:w="1183" w:type="dxa"/>
            <w:tcBorders>
              <w:left w:val="single" w:sz="4" w:space="0" w:color="auto"/>
              <w:bottom w:val="single" w:sz="4" w:space="0" w:color="auto"/>
              <w:right w:val="single" w:sz="4" w:space="0" w:color="auto"/>
            </w:tcBorders>
            <w:shd w:val="clear" w:color="auto" w:fill="auto"/>
            <w:vAlign w:val="center"/>
          </w:tcPr>
          <w:p w14:paraId="715D2628" w14:textId="77777777" w:rsidR="00651355" w:rsidRPr="00651355" w:rsidRDefault="00651355" w:rsidP="00651355">
            <w:pPr>
              <w:spacing w:after="120"/>
              <w:ind w:right="227"/>
              <w:jc w:val="right"/>
              <w:rPr>
                <w:rFonts w:eastAsia="Calibri"/>
                <w:b/>
                <w:sz w:val="18"/>
                <w:szCs w:val="18"/>
                <w:lang w:eastAsia="en-US"/>
              </w:rPr>
            </w:pPr>
            <w:r w:rsidRPr="00651355">
              <w:rPr>
                <w:rFonts w:eastAsia="Calibri"/>
                <w:b/>
                <w:sz w:val="18"/>
                <w:szCs w:val="18"/>
                <w:lang w:eastAsia="en-US"/>
              </w:rPr>
              <w:t>5.60</w:t>
            </w:r>
          </w:p>
        </w:tc>
        <w:tc>
          <w:tcPr>
            <w:tcW w:w="1134" w:type="dxa"/>
            <w:tcBorders>
              <w:top w:val="nil"/>
              <w:left w:val="single" w:sz="4" w:space="0" w:color="auto"/>
              <w:bottom w:val="single" w:sz="4" w:space="0" w:color="auto"/>
              <w:right w:val="single" w:sz="4" w:space="0" w:color="auto"/>
            </w:tcBorders>
            <w:shd w:val="clear" w:color="auto" w:fill="auto"/>
            <w:vAlign w:val="center"/>
          </w:tcPr>
          <w:p w14:paraId="1D8DC83E" w14:textId="77777777" w:rsidR="00651355" w:rsidRPr="00651355" w:rsidRDefault="00651355" w:rsidP="00651355">
            <w:pPr>
              <w:spacing w:after="120"/>
              <w:ind w:right="170"/>
              <w:jc w:val="right"/>
              <w:rPr>
                <w:rFonts w:eastAsia="Calibri"/>
                <w:b/>
                <w:sz w:val="18"/>
                <w:szCs w:val="18"/>
                <w:lang w:eastAsia="en-US"/>
              </w:rPr>
            </w:pPr>
            <w:r w:rsidRPr="00651355">
              <w:rPr>
                <w:rFonts w:eastAsia="Calibri"/>
                <w:b/>
                <w:sz w:val="18"/>
                <w:szCs w:val="18"/>
                <w:lang w:eastAsia="en-US"/>
              </w:rPr>
              <w:t>0.67</w:t>
            </w:r>
          </w:p>
        </w:tc>
        <w:tc>
          <w:tcPr>
            <w:tcW w:w="1134" w:type="dxa"/>
            <w:tcBorders>
              <w:top w:val="nil"/>
              <w:left w:val="single" w:sz="4" w:space="0" w:color="auto"/>
              <w:bottom w:val="single" w:sz="4" w:space="0" w:color="auto"/>
              <w:right w:val="single" w:sz="4" w:space="0" w:color="auto"/>
            </w:tcBorders>
            <w:shd w:val="clear" w:color="auto" w:fill="auto"/>
            <w:vAlign w:val="center"/>
          </w:tcPr>
          <w:p w14:paraId="6347A1CD" w14:textId="77777777" w:rsidR="00651355" w:rsidRPr="00651355" w:rsidRDefault="00651355" w:rsidP="00651355">
            <w:pPr>
              <w:spacing w:after="120"/>
              <w:ind w:right="284"/>
              <w:jc w:val="right"/>
              <w:rPr>
                <w:rFonts w:eastAsia="Calibri"/>
                <w:bCs/>
                <w:sz w:val="18"/>
                <w:szCs w:val="18"/>
                <w:lang w:eastAsia="en-US"/>
              </w:rPr>
            </w:pPr>
            <w:r w:rsidRPr="00651355">
              <w:rPr>
                <w:rFonts w:eastAsia="Calibri"/>
                <w:bCs/>
                <w:sz w:val="18"/>
                <w:szCs w:val="18"/>
                <w:lang w:eastAsia="en-US"/>
              </w:rPr>
              <w:t>-0.05</w:t>
            </w:r>
          </w:p>
        </w:tc>
      </w:tr>
      <w:tr w:rsidR="00651355" w:rsidRPr="00651355" w14:paraId="4E6DB809" w14:textId="77777777" w:rsidTr="00845A3F">
        <w:trPr>
          <w:trHeight w:val="261"/>
          <w:jc w:val="center"/>
        </w:trPr>
        <w:tc>
          <w:tcPr>
            <w:tcW w:w="8696" w:type="dxa"/>
            <w:gridSpan w:val="6"/>
            <w:tcBorders>
              <w:top w:val="single" w:sz="4" w:space="0" w:color="auto"/>
              <w:bottom w:val="nil"/>
            </w:tcBorders>
            <w:vAlign w:val="center"/>
          </w:tcPr>
          <w:p w14:paraId="693CB8FF" w14:textId="77777777" w:rsidR="00651355" w:rsidRPr="00651355" w:rsidRDefault="00651355" w:rsidP="00651355">
            <w:pPr>
              <w:spacing w:before="120"/>
              <w:ind w:left="227" w:hanging="227"/>
              <w:jc w:val="both"/>
              <w:rPr>
                <w:rFonts w:eastAsia="Calibri"/>
                <w:bCs/>
                <w:sz w:val="20"/>
                <w:szCs w:val="20"/>
                <w:lang w:eastAsia="en-US"/>
              </w:rPr>
            </w:pPr>
            <w:r w:rsidRPr="00651355">
              <w:rPr>
                <w:rFonts w:eastAsia="Calibri"/>
                <w:bCs/>
                <w:sz w:val="20"/>
                <w:szCs w:val="20"/>
                <w:u w:val="single"/>
                <w:lang w:eastAsia="en-US"/>
              </w:rPr>
              <w:t>1</w:t>
            </w:r>
            <w:r w:rsidRPr="00651355">
              <w:rPr>
                <w:rFonts w:eastAsia="Calibri"/>
                <w:bCs/>
                <w:sz w:val="20"/>
                <w:szCs w:val="20"/>
                <w:lang w:eastAsia="en-US"/>
              </w:rPr>
              <w:t>/ TDA = Tasa de deterioro ajustada = (promedio 12 meses de cartera vencida + suma 12 meses de quitas y castigos) / (promedio 12 meses de cartera total + suma 12 meses de quitas y castigos).</w:t>
            </w:r>
          </w:p>
          <w:p w14:paraId="5991EE3E" w14:textId="77777777" w:rsidR="00651355" w:rsidRPr="00651355" w:rsidRDefault="00651355" w:rsidP="00651355">
            <w:pPr>
              <w:jc w:val="both"/>
              <w:rPr>
                <w:rFonts w:eastAsia="Calibri"/>
                <w:bCs/>
                <w:sz w:val="20"/>
                <w:szCs w:val="20"/>
                <w:lang w:eastAsia="en-US"/>
              </w:rPr>
            </w:pPr>
            <w:r w:rsidRPr="00651355">
              <w:rPr>
                <w:rFonts w:eastAsia="Calibri"/>
                <w:bCs/>
                <w:sz w:val="20"/>
                <w:szCs w:val="20"/>
                <w:lang w:eastAsia="en-US"/>
              </w:rPr>
              <w:t>FUENTE: CNBV.</w:t>
            </w:r>
          </w:p>
        </w:tc>
      </w:tr>
    </w:tbl>
    <w:p w14:paraId="623A003E" w14:textId="77777777" w:rsidR="00651355" w:rsidRPr="00651355" w:rsidRDefault="00651355" w:rsidP="00651355">
      <w:pPr>
        <w:spacing w:after="360" w:line="360" w:lineRule="auto"/>
        <w:ind w:right="-159"/>
        <w:jc w:val="both"/>
        <w:rPr>
          <w:rFonts w:eastAsia="Calibri"/>
          <w:sz w:val="26"/>
          <w:szCs w:val="26"/>
          <w:lang w:eastAsia="en-US"/>
        </w:rPr>
      </w:pPr>
    </w:p>
    <w:p w14:paraId="66283598"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Asimismo, al cierre de febrero de 2015, la razón de estimaciones preventivas entre cartera de crédito total (EPRC/Cartera) fue de 4.13% con una disminución de 0.85 pp. Esta razón se ubicó en 2.63% para la cartera comercial (un decremento de 1.03 pp respecto a febrero 2014); 9.4% para el segmento de crédito al consumo (0.38 pp menos que en el mismo período del año anterior); y 1.77% y para la cartera de vivienda (0.11 pp menos que a febrero de 2014).</w:t>
      </w:r>
    </w:p>
    <w:p w14:paraId="2F9CF7B7" w14:textId="77777777" w:rsidR="00651355" w:rsidRPr="00651355" w:rsidRDefault="00651355" w:rsidP="00651355">
      <w:pPr>
        <w:spacing w:after="360" w:line="360" w:lineRule="auto"/>
        <w:ind w:right="-159"/>
        <w:jc w:val="both"/>
        <w:rPr>
          <w:rFonts w:eastAsia="Calibri"/>
          <w:sz w:val="26"/>
          <w:szCs w:val="26"/>
          <w:lang w:eastAsia="en-US"/>
        </w:rPr>
      </w:pPr>
    </w:p>
    <w:p w14:paraId="33D7E5BF" w14:textId="77777777" w:rsidR="00651355" w:rsidRPr="00651355" w:rsidRDefault="00651355" w:rsidP="00651355">
      <w:pPr>
        <w:spacing w:after="360" w:line="360" w:lineRule="auto"/>
        <w:ind w:right="-159"/>
        <w:jc w:val="both"/>
        <w:rPr>
          <w:rFonts w:eastAsia="Calibri"/>
          <w:sz w:val="26"/>
          <w:szCs w:val="26"/>
          <w:lang w:eastAsia="en-US"/>
        </w:rPr>
      </w:pPr>
    </w:p>
    <w:p w14:paraId="7C95A80D" w14:textId="77777777" w:rsidR="00651355" w:rsidRPr="00651355" w:rsidRDefault="00651355" w:rsidP="00651355">
      <w:pPr>
        <w:spacing w:after="360" w:line="360" w:lineRule="auto"/>
        <w:ind w:right="-159"/>
        <w:jc w:val="both"/>
        <w:rPr>
          <w:rFonts w:eastAsia="Calibri"/>
          <w:sz w:val="26"/>
          <w:szCs w:val="26"/>
          <w:lang w:eastAsia="en-US"/>
        </w:rPr>
      </w:pPr>
    </w:p>
    <w:tbl>
      <w:tblPr>
        <w:tblW w:w="8564" w:type="dxa"/>
        <w:jc w:val="center"/>
        <w:tblLayout w:type="fixed"/>
        <w:tblLook w:val="01E0" w:firstRow="1" w:lastRow="1" w:firstColumn="1" w:lastColumn="1" w:noHBand="0" w:noVBand="0"/>
      </w:tblPr>
      <w:tblGrid>
        <w:gridCol w:w="2840"/>
        <w:gridCol w:w="1134"/>
        <w:gridCol w:w="1134"/>
        <w:gridCol w:w="1134"/>
        <w:gridCol w:w="1134"/>
        <w:gridCol w:w="1188"/>
      </w:tblGrid>
      <w:tr w:rsidR="00651355" w:rsidRPr="00651355" w14:paraId="104FA23E" w14:textId="77777777" w:rsidTr="00845A3F">
        <w:trPr>
          <w:trHeight w:val="552"/>
          <w:jc w:val="center"/>
        </w:trPr>
        <w:tc>
          <w:tcPr>
            <w:tcW w:w="8564" w:type="dxa"/>
            <w:gridSpan w:val="6"/>
            <w:tcBorders>
              <w:top w:val="nil"/>
              <w:bottom w:val="single" w:sz="4" w:space="0" w:color="auto"/>
            </w:tcBorders>
            <w:vAlign w:val="center"/>
          </w:tcPr>
          <w:p w14:paraId="145CE87F"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lastRenderedPageBreak/>
              <w:t>BANCA MÚLTIPLE: EPRC/CARTERA</w:t>
            </w:r>
            <w:r w:rsidRPr="00651355">
              <w:rPr>
                <w:rFonts w:eastAsia="Calibri"/>
                <w:b/>
                <w:bCs/>
                <w:sz w:val="22"/>
                <w:szCs w:val="22"/>
                <w:u w:val="single"/>
                <w:vertAlign w:val="superscript"/>
                <w:lang w:eastAsia="en-US"/>
              </w:rPr>
              <w:t>1</w:t>
            </w:r>
            <w:r w:rsidRPr="00651355">
              <w:rPr>
                <w:rFonts w:eastAsia="Calibri"/>
                <w:b/>
                <w:bCs/>
                <w:sz w:val="22"/>
                <w:szCs w:val="22"/>
                <w:vertAlign w:val="superscript"/>
                <w:lang w:eastAsia="en-US"/>
              </w:rPr>
              <w:t>/</w:t>
            </w:r>
          </w:p>
          <w:p w14:paraId="5842A8B9" w14:textId="7ED37DDF"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-Cifras en porcentaje-</w:t>
            </w:r>
          </w:p>
        </w:tc>
      </w:tr>
      <w:tr w:rsidR="00651355" w:rsidRPr="00651355" w14:paraId="016C6636" w14:textId="77777777" w:rsidTr="00845A3F">
        <w:trPr>
          <w:trHeight w:val="312"/>
          <w:jc w:val="center"/>
        </w:trPr>
        <w:tc>
          <w:tcPr>
            <w:tcW w:w="28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0FE09D" w14:textId="77777777" w:rsidR="00651355" w:rsidRPr="00651355" w:rsidRDefault="00651355" w:rsidP="00651355">
            <w:pPr>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E28DACD"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5EB64C"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23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847AEA"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571A775F" w14:textId="77777777" w:rsidTr="00845A3F">
        <w:trPr>
          <w:trHeight w:val="281"/>
          <w:jc w:val="center"/>
        </w:trPr>
        <w:tc>
          <w:tcPr>
            <w:tcW w:w="284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99DB31" w14:textId="77777777" w:rsidR="00651355" w:rsidRPr="00651355" w:rsidRDefault="00651355" w:rsidP="00651355">
            <w:pPr>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77ABBC5"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82591F"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5A1CAF7"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F40AE6"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14:paraId="6F52D0A0"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15790D10" w14:textId="77777777" w:rsidTr="00845A3F">
        <w:trPr>
          <w:trHeight w:val="271"/>
          <w:jc w:val="center"/>
        </w:trPr>
        <w:tc>
          <w:tcPr>
            <w:tcW w:w="2840" w:type="dxa"/>
            <w:tcBorders>
              <w:top w:val="single" w:sz="4" w:space="0" w:color="auto"/>
              <w:left w:val="single" w:sz="4" w:space="0" w:color="auto"/>
              <w:bottom w:val="nil"/>
              <w:right w:val="single" w:sz="4" w:space="0" w:color="auto"/>
            </w:tcBorders>
            <w:shd w:val="clear" w:color="auto" w:fill="auto"/>
            <w:vAlign w:val="center"/>
          </w:tcPr>
          <w:p w14:paraId="2D624B0F" w14:textId="77777777" w:rsidR="00651355" w:rsidRPr="00651355" w:rsidRDefault="00651355" w:rsidP="00651355">
            <w:pPr>
              <w:spacing w:before="120"/>
              <w:rPr>
                <w:rFonts w:eastAsia="Calibri"/>
                <w:b/>
                <w:bCs/>
                <w:sz w:val="18"/>
                <w:szCs w:val="18"/>
                <w:lang w:val="en-US" w:eastAsia="en-US"/>
              </w:rPr>
            </w:pPr>
            <w:r w:rsidRPr="00651355">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center"/>
          </w:tcPr>
          <w:p w14:paraId="2EE6463B" w14:textId="77777777" w:rsidR="00651355" w:rsidRPr="00651355" w:rsidRDefault="00651355" w:rsidP="00651355">
            <w:pPr>
              <w:spacing w:before="120"/>
              <w:ind w:right="284"/>
              <w:jc w:val="right"/>
              <w:rPr>
                <w:rFonts w:eastAsia="Calibri"/>
                <w:b/>
                <w:sz w:val="18"/>
                <w:szCs w:val="18"/>
                <w:lang w:val="en-US" w:eastAsia="en-US"/>
              </w:rPr>
            </w:pPr>
            <w:r w:rsidRPr="00651355">
              <w:rPr>
                <w:rFonts w:eastAsia="Calibri"/>
                <w:b/>
                <w:sz w:val="18"/>
                <w:szCs w:val="18"/>
                <w:lang w:val="en-US" w:eastAsia="en-US"/>
              </w:rPr>
              <w:t>4.97</w:t>
            </w:r>
          </w:p>
        </w:tc>
        <w:tc>
          <w:tcPr>
            <w:tcW w:w="1134" w:type="dxa"/>
            <w:tcBorders>
              <w:top w:val="single" w:sz="4" w:space="0" w:color="auto"/>
              <w:left w:val="single" w:sz="4" w:space="0" w:color="auto"/>
              <w:bottom w:val="nil"/>
              <w:right w:val="single" w:sz="4" w:space="0" w:color="auto"/>
            </w:tcBorders>
            <w:shd w:val="clear" w:color="auto" w:fill="auto"/>
            <w:vAlign w:val="center"/>
          </w:tcPr>
          <w:p w14:paraId="53211FB9" w14:textId="77777777" w:rsidR="00651355" w:rsidRPr="00651355" w:rsidRDefault="00651355" w:rsidP="00651355">
            <w:pPr>
              <w:spacing w:before="120"/>
              <w:ind w:right="227"/>
              <w:jc w:val="right"/>
              <w:rPr>
                <w:rFonts w:eastAsia="Calibri"/>
                <w:b/>
                <w:sz w:val="18"/>
                <w:szCs w:val="18"/>
                <w:lang w:val="en-US" w:eastAsia="en-US"/>
              </w:rPr>
            </w:pPr>
            <w:r w:rsidRPr="00651355">
              <w:rPr>
                <w:rFonts w:eastAsia="Calibri"/>
                <w:b/>
                <w:sz w:val="18"/>
                <w:szCs w:val="18"/>
                <w:lang w:val="en-US" w:eastAsia="en-US"/>
              </w:rPr>
              <w:t>4.07</w:t>
            </w:r>
          </w:p>
        </w:tc>
        <w:tc>
          <w:tcPr>
            <w:tcW w:w="1134" w:type="dxa"/>
            <w:tcBorders>
              <w:top w:val="single" w:sz="4" w:space="0" w:color="auto"/>
              <w:left w:val="single" w:sz="4" w:space="0" w:color="auto"/>
              <w:right w:val="single" w:sz="4" w:space="0" w:color="auto"/>
            </w:tcBorders>
            <w:shd w:val="clear" w:color="auto" w:fill="auto"/>
            <w:vAlign w:val="center"/>
          </w:tcPr>
          <w:p w14:paraId="38CAD154" w14:textId="77777777" w:rsidR="00651355" w:rsidRPr="00651355" w:rsidRDefault="00651355" w:rsidP="00651355">
            <w:pPr>
              <w:spacing w:before="120"/>
              <w:ind w:right="227"/>
              <w:jc w:val="right"/>
              <w:rPr>
                <w:rFonts w:eastAsia="Calibri"/>
                <w:b/>
                <w:sz w:val="18"/>
                <w:szCs w:val="18"/>
                <w:lang w:val="en-US" w:eastAsia="en-US"/>
              </w:rPr>
            </w:pPr>
            <w:r w:rsidRPr="00651355">
              <w:rPr>
                <w:rFonts w:eastAsia="Calibri"/>
                <w:b/>
                <w:sz w:val="18"/>
                <w:szCs w:val="18"/>
                <w:lang w:val="en-US" w:eastAsia="en-US"/>
              </w:rPr>
              <w:t>4.13</w:t>
            </w:r>
          </w:p>
        </w:tc>
        <w:tc>
          <w:tcPr>
            <w:tcW w:w="1134" w:type="dxa"/>
            <w:tcBorders>
              <w:top w:val="single" w:sz="4" w:space="0" w:color="auto"/>
              <w:left w:val="single" w:sz="4" w:space="0" w:color="auto"/>
              <w:bottom w:val="nil"/>
              <w:right w:val="single" w:sz="4" w:space="0" w:color="auto"/>
            </w:tcBorders>
            <w:shd w:val="clear" w:color="auto" w:fill="auto"/>
            <w:vAlign w:val="center"/>
          </w:tcPr>
          <w:p w14:paraId="57CD442D" w14:textId="77777777" w:rsidR="00651355" w:rsidRPr="00651355" w:rsidRDefault="00651355" w:rsidP="00651355">
            <w:pPr>
              <w:spacing w:before="120"/>
              <w:ind w:right="170"/>
              <w:jc w:val="right"/>
              <w:rPr>
                <w:rFonts w:eastAsia="Calibri"/>
                <w:b/>
                <w:sz w:val="18"/>
                <w:szCs w:val="18"/>
                <w:lang w:val="en-US" w:eastAsia="en-US"/>
              </w:rPr>
            </w:pPr>
            <w:r w:rsidRPr="00651355">
              <w:rPr>
                <w:rFonts w:eastAsia="Calibri"/>
                <w:b/>
                <w:sz w:val="18"/>
                <w:szCs w:val="18"/>
                <w:lang w:val="en-US" w:eastAsia="en-US"/>
              </w:rPr>
              <w:t>-0.85</w:t>
            </w:r>
          </w:p>
        </w:tc>
        <w:tc>
          <w:tcPr>
            <w:tcW w:w="1188" w:type="dxa"/>
            <w:tcBorders>
              <w:top w:val="single" w:sz="4" w:space="0" w:color="auto"/>
              <w:left w:val="single" w:sz="4" w:space="0" w:color="auto"/>
              <w:bottom w:val="nil"/>
              <w:right w:val="single" w:sz="4" w:space="0" w:color="auto"/>
            </w:tcBorders>
            <w:shd w:val="clear" w:color="auto" w:fill="auto"/>
            <w:vAlign w:val="center"/>
          </w:tcPr>
          <w:p w14:paraId="78BD692E" w14:textId="77777777" w:rsidR="00651355" w:rsidRPr="00651355" w:rsidRDefault="00651355" w:rsidP="00651355">
            <w:pPr>
              <w:spacing w:before="120"/>
              <w:ind w:right="284"/>
              <w:jc w:val="right"/>
              <w:rPr>
                <w:rFonts w:eastAsia="Calibri"/>
                <w:b/>
                <w:bCs/>
                <w:sz w:val="18"/>
                <w:szCs w:val="18"/>
                <w:lang w:val="en-US" w:eastAsia="en-US"/>
              </w:rPr>
            </w:pPr>
            <w:r w:rsidRPr="00651355">
              <w:rPr>
                <w:rFonts w:eastAsia="Calibri"/>
                <w:b/>
                <w:bCs/>
                <w:sz w:val="18"/>
                <w:szCs w:val="18"/>
                <w:lang w:val="en-US" w:eastAsia="en-US"/>
              </w:rPr>
              <w:t>0.05</w:t>
            </w:r>
          </w:p>
        </w:tc>
      </w:tr>
      <w:tr w:rsidR="00651355" w:rsidRPr="00651355" w14:paraId="0E212650"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5FF6E252"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center"/>
          </w:tcPr>
          <w:p w14:paraId="1D5556E2"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3.66</w:t>
            </w:r>
          </w:p>
        </w:tc>
        <w:tc>
          <w:tcPr>
            <w:tcW w:w="1134" w:type="dxa"/>
            <w:tcBorders>
              <w:top w:val="nil"/>
              <w:left w:val="single" w:sz="4" w:space="0" w:color="auto"/>
              <w:bottom w:val="nil"/>
              <w:right w:val="single" w:sz="4" w:space="0" w:color="auto"/>
            </w:tcBorders>
            <w:shd w:val="clear" w:color="auto" w:fill="auto"/>
            <w:vAlign w:val="center"/>
          </w:tcPr>
          <w:p w14:paraId="6DF2CF93"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2.58</w:t>
            </w:r>
          </w:p>
        </w:tc>
        <w:tc>
          <w:tcPr>
            <w:tcW w:w="1134" w:type="dxa"/>
            <w:tcBorders>
              <w:left w:val="single" w:sz="4" w:space="0" w:color="auto"/>
              <w:right w:val="single" w:sz="4" w:space="0" w:color="auto"/>
            </w:tcBorders>
            <w:shd w:val="clear" w:color="auto" w:fill="auto"/>
            <w:vAlign w:val="center"/>
          </w:tcPr>
          <w:p w14:paraId="17123271"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2.63</w:t>
            </w:r>
          </w:p>
        </w:tc>
        <w:tc>
          <w:tcPr>
            <w:tcW w:w="1134" w:type="dxa"/>
            <w:tcBorders>
              <w:top w:val="nil"/>
              <w:left w:val="single" w:sz="4" w:space="0" w:color="auto"/>
              <w:bottom w:val="nil"/>
              <w:right w:val="single" w:sz="4" w:space="0" w:color="auto"/>
            </w:tcBorders>
            <w:shd w:val="clear" w:color="auto" w:fill="auto"/>
            <w:vAlign w:val="center"/>
          </w:tcPr>
          <w:p w14:paraId="3025CC3A"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-1.03</w:t>
            </w:r>
          </w:p>
        </w:tc>
        <w:tc>
          <w:tcPr>
            <w:tcW w:w="1188" w:type="dxa"/>
            <w:tcBorders>
              <w:top w:val="nil"/>
              <w:left w:val="single" w:sz="4" w:space="0" w:color="auto"/>
              <w:bottom w:val="nil"/>
              <w:right w:val="single" w:sz="4" w:space="0" w:color="auto"/>
            </w:tcBorders>
            <w:shd w:val="clear" w:color="auto" w:fill="auto"/>
            <w:vAlign w:val="center"/>
          </w:tcPr>
          <w:p w14:paraId="3518A93C"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0.05</w:t>
            </w:r>
          </w:p>
        </w:tc>
      </w:tr>
      <w:tr w:rsidR="00651355" w:rsidRPr="00651355" w14:paraId="50A128B1"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28C7716D"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center"/>
          </w:tcPr>
          <w:p w14:paraId="06573C71"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4.47</w:t>
            </w:r>
          </w:p>
        </w:tc>
        <w:tc>
          <w:tcPr>
            <w:tcW w:w="1134" w:type="dxa"/>
            <w:tcBorders>
              <w:top w:val="nil"/>
              <w:left w:val="single" w:sz="4" w:space="0" w:color="auto"/>
              <w:bottom w:val="nil"/>
              <w:right w:val="single" w:sz="4" w:space="0" w:color="auto"/>
            </w:tcBorders>
            <w:shd w:val="clear" w:color="auto" w:fill="auto"/>
            <w:vAlign w:val="center"/>
          </w:tcPr>
          <w:p w14:paraId="5BB6665C"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3.24</w:t>
            </w:r>
          </w:p>
        </w:tc>
        <w:tc>
          <w:tcPr>
            <w:tcW w:w="1134" w:type="dxa"/>
            <w:tcBorders>
              <w:left w:val="single" w:sz="4" w:space="0" w:color="auto"/>
              <w:right w:val="single" w:sz="4" w:space="0" w:color="auto"/>
            </w:tcBorders>
            <w:shd w:val="clear" w:color="auto" w:fill="auto"/>
            <w:vAlign w:val="center"/>
          </w:tcPr>
          <w:p w14:paraId="7F81B0CF"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3.30</w:t>
            </w:r>
          </w:p>
        </w:tc>
        <w:tc>
          <w:tcPr>
            <w:tcW w:w="1134" w:type="dxa"/>
            <w:tcBorders>
              <w:top w:val="nil"/>
              <w:left w:val="single" w:sz="4" w:space="0" w:color="auto"/>
              <w:bottom w:val="nil"/>
              <w:right w:val="single" w:sz="4" w:space="0" w:color="auto"/>
            </w:tcBorders>
            <w:shd w:val="clear" w:color="auto" w:fill="auto"/>
            <w:vAlign w:val="center"/>
          </w:tcPr>
          <w:p w14:paraId="2D68E9CA"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-1.17</w:t>
            </w:r>
          </w:p>
        </w:tc>
        <w:tc>
          <w:tcPr>
            <w:tcW w:w="1188" w:type="dxa"/>
            <w:tcBorders>
              <w:top w:val="nil"/>
              <w:left w:val="single" w:sz="4" w:space="0" w:color="auto"/>
              <w:bottom w:val="nil"/>
              <w:right w:val="single" w:sz="4" w:space="0" w:color="auto"/>
            </w:tcBorders>
            <w:shd w:val="clear" w:color="auto" w:fill="auto"/>
            <w:vAlign w:val="center"/>
          </w:tcPr>
          <w:p w14:paraId="2CDDB623"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0.06</w:t>
            </w:r>
          </w:p>
        </w:tc>
      </w:tr>
      <w:tr w:rsidR="00651355" w:rsidRPr="00651355" w14:paraId="00FD923A"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51A2EF2F"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center"/>
          </w:tcPr>
          <w:p w14:paraId="72BEB297" w14:textId="77777777" w:rsidR="00651355" w:rsidRPr="00651355" w:rsidRDefault="00651355" w:rsidP="00651355">
            <w:pPr>
              <w:ind w:right="284"/>
              <w:jc w:val="right"/>
              <w:rPr>
                <w:rFonts w:eastAsia="Calibri"/>
                <w:sz w:val="18"/>
                <w:szCs w:val="18"/>
                <w:lang w:val="en-US" w:eastAsia="en-US"/>
              </w:rPr>
            </w:pPr>
            <w:r w:rsidRPr="00651355">
              <w:rPr>
                <w:rFonts w:eastAsia="Calibri"/>
                <w:sz w:val="18"/>
                <w:szCs w:val="18"/>
                <w:lang w:val="en-US" w:eastAsia="en-US"/>
              </w:rPr>
              <w:t>2.78</w:t>
            </w:r>
          </w:p>
        </w:tc>
        <w:tc>
          <w:tcPr>
            <w:tcW w:w="1134" w:type="dxa"/>
            <w:tcBorders>
              <w:top w:val="nil"/>
              <w:left w:val="single" w:sz="4" w:space="0" w:color="auto"/>
              <w:bottom w:val="nil"/>
              <w:right w:val="single" w:sz="4" w:space="0" w:color="auto"/>
            </w:tcBorders>
            <w:shd w:val="clear" w:color="auto" w:fill="auto"/>
            <w:vAlign w:val="center"/>
          </w:tcPr>
          <w:p w14:paraId="18D646DD"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2.27</w:t>
            </w:r>
          </w:p>
        </w:tc>
        <w:tc>
          <w:tcPr>
            <w:tcW w:w="1134" w:type="dxa"/>
            <w:tcBorders>
              <w:left w:val="single" w:sz="4" w:space="0" w:color="auto"/>
              <w:right w:val="single" w:sz="4" w:space="0" w:color="auto"/>
            </w:tcBorders>
            <w:shd w:val="clear" w:color="auto" w:fill="auto"/>
            <w:vAlign w:val="center"/>
          </w:tcPr>
          <w:p w14:paraId="6F695770"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2.32</w:t>
            </w:r>
          </w:p>
        </w:tc>
        <w:tc>
          <w:tcPr>
            <w:tcW w:w="1134" w:type="dxa"/>
            <w:tcBorders>
              <w:top w:val="nil"/>
              <w:left w:val="single" w:sz="4" w:space="0" w:color="auto"/>
              <w:bottom w:val="nil"/>
              <w:right w:val="single" w:sz="4" w:space="0" w:color="auto"/>
            </w:tcBorders>
            <w:shd w:val="clear" w:color="auto" w:fill="auto"/>
            <w:vAlign w:val="center"/>
          </w:tcPr>
          <w:p w14:paraId="374C44A5"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-0.46</w:t>
            </w:r>
          </w:p>
        </w:tc>
        <w:tc>
          <w:tcPr>
            <w:tcW w:w="1188" w:type="dxa"/>
            <w:tcBorders>
              <w:top w:val="nil"/>
              <w:left w:val="single" w:sz="4" w:space="0" w:color="auto"/>
              <w:bottom w:val="nil"/>
              <w:right w:val="single" w:sz="4" w:space="0" w:color="auto"/>
            </w:tcBorders>
            <w:shd w:val="clear" w:color="auto" w:fill="auto"/>
            <w:vAlign w:val="center"/>
          </w:tcPr>
          <w:p w14:paraId="03F24995" w14:textId="77777777" w:rsidR="00651355" w:rsidRPr="00651355" w:rsidRDefault="00651355" w:rsidP="00651355">
            <w:pPr>
              <w:ind w:right="284"/>
              <w:jc w:val="right"/>
              <w:rPr>
                <w:rFonts w:eastAsia="Calibri"/>
                <w:bCs/>
                <w:sz w:val="18"/>
                <w:szCs w:val="18"/>
                <w:lang w:val="en-US" w:eastAsia="en-US"/>
              </w:rPr>
            </w:pPr>
            <w:r w:rsidRPr="00651355">
              <w:rPr>
                <w:rFonts w:eastAsia="Calibri"/>
                <w:bCs/>
                <w:sz w:val="18"/>
                <w:szCs w:val="18"/>
                <w:lang w:val="en-US" w:eastAsia="en-US"/>
              </w:rPr>
              <w:t>0.05</w:t>
            </w:r>
          </w:p>
        </w:tc>
      </w:tr>
      <w:tr w:rsidR="00651355" w:rsidRPr="00651355" w14:paraId="44AAC76E"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1ADF7E49" w14:textId="77777777" w:rsidR="00651355" w:rsidRPr="00651355" w:rsidRDefault="00651355" w:rsidP="00651355">
            <w:pPr>
              <w:spacing w:after="120"/>
              <w:ind w:left="170"/>
              <w:rPr>
                <w:rFonts w:eastAsia="Calibri"/>
                <w:bCs/>
                <w:sz w:val="18"/>
                <w:szCs w:val="18"/>
                <w:lang w:val="en-US" w:eastAsia="en-US"/>
              </w:rPr>
            </w:pPr>
            <w:r w:rsidRPr="00651355">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center"/>
          </w:tcPr>
          <w:p w14:paraId="0AFC6761" w14:textId="77777777" w:rsidR="00651355" w:rsidRPr="00651355" w:rsidRDefault="00651355" w:rsidP="00651355">
            <w:pPr>
              <w:spacing w:after="120"/>
              <w:ind w:right="284"/>
              <w:jc w:val="right"/>
              <w:rPr>
                <w:rFonts w:eastAsia="Calibri"/>
                <w:sz w:val="18"/>
                <w:szCs w:val="18"/>
                <w:lang w:val="en-US" w:eastAsia="en-US"/>
              </w:rPr>
            </w:pPr>
            <w:r w:rsidRPr="00651355">
              <w:rPr>
                <w:rFonts w:eastAsia="Calibri"/>
                <w:sz w:val="18"/>
                <w:szCs w:val="18"/>
                <w:lang w:val="en-US" w:eastAsia="en-US"/>
              </w:rPr>
              <w:t>1.25</w:t>
            </w:r>
          </w:p>
        </w:tc>
        <w:tc>
          <w:tcPr>
            <w:tcW w:w="1134" w:type="dxa"/>
            <w:tcBorders>
              <w:top w:val="nil"/>
              <w:left w:val="single" w:sz="4" w:space="0" w:color="auto"/>
              <w:bottom w:val="nil"/>
              <w:right w:val="single" w:sz="4" w:space="0" w:color="auto"/>
            </w:tcBorders>
            <w:shd w:val="clear" w:color="auto" w:fill="auto"/>
            <w:vAlign w:val="center"/>
          </w:tcPr>
          <w:p w14:paraId="10169D57" w14:textId="77777777" w:rsidR="00651355" w:rsidRPr="00651355" w:rsidRDefault="00651355" w:rsidP="00651355">
            <w:pPr>
              <w:spacing w:after="120"/>
              <w:ind w:right="227"/>
              <w:jc w:val="right"/>
              <w:rPr>
                <w:rFonts w:eastAsia="Calibri"/>
                <w:sz w:val="18"/>
                <w:szCs w:val="18"/>
                <w:lang w:val="en-US" w:eastAsia="en-US"/>
              </w:rPr>
            </w:pPr>
            <w:r w:rsidRPr="00651355">
              <w:rPr>
                <w:rFonts w:eastAsia="Calibri"/>
                <w:sz w:val="18"/>
                <w:szCs w:val="18"/>
                <w:lang w:val="en-US" w:eastAsia="en-US"/>
              </w:rPr>
              <w:t>0.77</w:t>
            </w:r>
          </w:p>
        </w:tc>
        <w:tc>
          <w:tcPr>
            <w:tcW w:w="1134" w:type="dxa"/>
            <w:tcBorders>
              <w:left w:val="single" w:sz="4" w:space="0" w:color="auto"/>
              <w:right w:val="single" w:sz="4" w:space="0" w:color="auto"/>
            </w:tcBorders>
            <w:shd w:val="clear" w:color="auto" w:fill="auto"/>
            <w:vAlign w:val="center"/>
          </w:tcPr>
          <w:p w14:paraId="4E9ECB10" w14:textId="77777777" w:rsidR="00651355" w:rsidRPr="00651355" w:rsidRDefault="00651355" w:rsidP="00651355">
            <w:pPr>
              <w:ind w:right="227"/>
              <w:jc w:val="right"/>
              <w:rPr>
                <w:rFonts w:eastAsia="Calibri"/>
                <w:sz w:val="18"/>
                <w:szCs w:val="18"/>
                <w:lang w:val="en-US" w:eastAsia="en-US"/>
              </w:rPr>
            </w:pPr>
            <w:r w:rsidRPr="00651355">
              <w:rPr>
                <w:rFonts w:eastAsia="Calibri"/>
                <w:sz w:val="18"/>
                <w:szCs w:val="18"/>
                <w:lang w:val="en-US" w:eastAsia="en-US"/>
              </w:rPr>
              <w:t>0.79</w:t>
            </w:r>
          </w:p>
        </w:tc>
        <w:tc>
          <w:tcPr>
            <w:tcW w:w="1134" w:type="dxa"/>
            <w:tcBorders>
              <w:top w:val="nil"/>
              <w:left w:val="single" w:sz="4" w:space="0" w:color="auto"/>
              <w:bottom w:val="nil"/>
              <w:right w:val="single" w:sz="4" w:space="0" w:color="auto"/>
            </w:tcBorders>
            <w:shd w:val="clear" w:color="auto" w:fill="auto"/>
            <w:vAlign w:val="center"/>
          </w:tcPr>
          <w:p w14:paraId="3CE10CB3"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-0.46</w:t>
            </w:r>
          </w:p>
        </w:tc>
        <w:tc>
          <w:tcPr>
            <w:tcW w:w="1188" w:type="dxa"/>
            <w:tcBorders>
              <w:top w:val="nil"/>
              <w:left w:val="single" w:sz="4" w:space="0" w:color="auto"/>
              <w:bottom w:val="nil"/>
              <w:right w:val="single" w:sz="4" w:space="0" w:color="auto"/>
            </w:tcBorders>
            <w:shd w:val="clear" w:color="auto" w:fill="auto"/>
            <w:vAlign w:val="center"/>
          </w:tcPr>
          <w:p w14:paraId="20B11622" w14:textId="77777777" w:rsidR="00651355" w:rsidRPr="00651355" w:rsidRDefault="00651355" w:rsidP="00651355">
            <w:pPr>
              <w:spacing w:after="120"/>
              <w:ind w:right="284"/>
              <w:jc w:val="right"/>
              <w:rPr>
                <w:rFonts w:eastAsia="Calibri"/>
                <w:bCs/>
                <w:sz w:val="18"/>
                <w:szCs w:val="18"/>
                <w:lang w:val="en-US" w:eastAsia="en-US"/>
              </w:rPr>
            </w:pPr>
            <w:r w:rsidRPr="00651355">
              <w:rPr>
                <w:rFonts w:eastAsia="Calibri"/>
                <w:bCs/>
                <w:sz w:val="18"/>
                <w:szCs w:val="18"/>
                <w:lang w:val="en-US" w:eastAsia="en-US"/>
              </w:rPr>
              <w:t>0.02</w:t>
            </w:r>
          </w:p>
        </w:tc>
      </w:tr>
      <w:tr w:rsidR="00651355" w:rsidRPr="00651355" w14:paraId="1A8BF427" w14:textId="77777777" w:rsidTr="00845A3F">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66B19FD3"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center"/>
          </w:tcPr>
          <w:p w14:paraId="474D4BD3" w14:textId="77777777" w:rsidR="00651355" w:rsidRPr="00651355" w:rsidRDefault="00651355" w:rsidP="00651355">
            <w:pPr>
              <w:ind w:right="284"/>
              <w:jc w:val="right"/>
              <w:rPr>
                <w:rFonts w:eastAsia="Calibri"/>
                <w:b/>
                <w:sz w:val="18"/>
                <w:szCs w:val="18"/>
                <w:lang w:eastAsia="en-US"/>
              </w:rPr>
            </w:pPr>
            <w:r w:rsidRPr="00651355">
              <w:rPr>
                <w:rFonts w:eastAsia="Calibri"/>
                <w:b/>
                <w:sz w:val="18"/>
                <w:szCs w:val="18"/>
                <w:lang w:eastAsia="en-US"/>
              </w:rPr>
              <w:t>9.77</w:t>
            </w:r>
          </w:p>
        </w:tc>
        <w:tc>
          <w:tcPr>
            <w:tcW w:w="1134" w:type="dxa"/>
            <w:tcBorders>
              <w:top w:val="nil"/>
              <w:left w:val="single" w:sz="4" w:space="0" w:color="auto"/>
              <w:bottom w:val="nil"/>
              <w:right w:val="single" w:sz="4" w:space="0" w:color="auto"/>
            </w:tcBorders>
            <w:shd w:val="clear" w:color="auto" w:fill="auto"/>
            <w:vAlign w:val="center"/>
          </w:tcPr>
          <w:p w14:paraId="7B62C640"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9.34</w:t>
            </w:r>
          </w:p>
        </w:tc>
        <w:tc>
          <w:tcPr>
            <w:tcW w:w="1134" w:type="dxa"/>
            <w:tcBorders>
              <w:left w:val="single" w:sz="4" w:space="0" w:color="auto"/>
              <w:right w:val="single" w:sz="4" w:space="0" w:color="auto"/>
            </w:tcBorders>
            <w:shd w:val="clear" w:color="auto" w:fill="auto"/>
            <w:vAlign w:val="center"/>
          </w:tcPr>
          <w:p w14:paraId="175C74F9" w14:textId="77777777" w:rsidR="00651355" w:rsidRPr="00651355" w:rsidRDefault="00651355" w:rsidP="00651355">
            <w:pPr>
              <w:ind w:right="227"/>
              <w:jc w:val="right"/>
              <w:rPr>
                <w:rFonts w:eastAsia="Calibri"/>
                <w:b/>
                <w:sz w:val="18"/>
                <w:szCs w:val="18"/>
                <w:lang w:val="en-US" w:eastAsia="en-US"/>
              </w:rPr>
            </w:pPr>
            <w:r w:rsidRPr="00651355">
              <w:rPr>
                <w:rFonts w:eastAsia="Calibri"/>
                <w:b/>
                <w:sz w:val="18"/>
                <w:szCs w:val="18"/>
                <w:lang w:val="en-US" w:eastAsia="en-US"/>
              </w:rPr>
              <w:t>9.40</w:t>
            </w:r>
          </w:p>
        </w:tc>
        <w:tc>
          <w:tcPr>
            <w:tcW w:w="1134" w:type="dxa"/>
            <w:tcBorders>
              <w:top w:val="nil"/>
              <w:left w:val="single" w:sz="4" w:space="0" w:color="auto"/>
              <w:bottom w:val="nil"/>
              <w:right w:val="single" w:sz="4" w:space="0" w:color="auto"/>
            </w:tcBorders>
            <w:shd w:val="clear" w:color="auto" w:fill="auto"/>
            <w:vAlign w:val="center"/>
          </w:tcPr>
          <w:p w14:paraId="51002157"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-0.38</w:t>
            </w:r>
          </w:p>
        </w:tc>
        <w:tc>
          <w:tcPr>
            <w:tcW w:w="1188" w:type="dxa"/>
            <w:tcBorders>
              <w:top w:val="nil"/>
              <w:left w:val="single" w:sz="4" w:space="0" w:color="auto"/>
              <w:bottom w:val="nil"/>
              <w:right w:val="single" w:sz="4" w:space="0" w:color="auto"/>
            </w:tcBorders>
            <w:shd w:val="clear" w:color="auto" w:fill="auto"/>
            <w:vAlign w:val="center"/>
          </w:tcPr>
          <w:p w14:paraId="0D0BD8E1" w14:textId="77777777" w:rsidR="00651355" w:rsidRPr="00651355" w:rsidRDefault="00651355" w:rsidP="00651355">
            <w:pPr>
              <w:ind w:right="284"/>
              <w:jc w:val="right"/>
              <w:rPr>
                <w:rFonts w:eastAsia="Calibri"/>
                <w:b/>
                <w:bCs/>
                <w:sz w:val="18"/>
                <w:szCs w:val="18"/>
                <w:lang w:eastAsia="en-US"/>
              </w:rPr>
            </w:pPr>
            <w:r w:rsidRPr="00651355">
              <w:rPr>
                <w:rFonts w:eastAsia="Calibri"/>
                <w:b/>
                <w:bCs/>
                <w:sz w:val="18"/>
                <w:szCs w:val="18"/>
                <w:lang w:eastAsia="en-US"/>
              </w:rPr>
              <w:t>0.06</w:t>
            </w:r>
          </w:p>
        </w:tc>
      </w:tr>
      <w:tr w:rsidR="00651355" w:rsidRPr="00651355" w14:paraId="60DE729D" w14:textId="77777777" w:rsidTr="00845A3F">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0622296E"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center"/>
          </w:tcPr>
          <w:p w14:paraId="679C0958"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12.12</w:t>
            </w:r>
          </w:p>
        </w:tc>
        <w:tc>
          <w:tcPr>
            <w:tcW w:w="1134" w:type="dxa"/>
            <w:tcBorders>
              <w:top w:val="nil"/>
              <w:left w:val="single" w:sz="4" w:space="0" w:color="auto"/>
              <w:bottom w:val="nil"/>
              <w:right w:val="single" w:sz="4" w:space="0" w:color="auto"/>
            </w:tcBorders>
            <w:shd w:val="clear" w:color="auto" w:fill="auto"/>
            <w:vAlign w:val="center"/>
          </w:tcPr>
          <w:p w14:paraId="681F717F"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11.58</w:t>
            </w:r>
          </w:p>
        </w:tc>
        <w:tc>
          <w:tcPr>
            <w:tcW w:w="1134" w:type="dxa"/>
            <w:tcBorders>
              <w:left w:val="single" w:sz="4" w:space="0" w:color="auto"/>
              <w:right w:val="single" w:sz="4" w:space="0" w:color="auto"/>
            </w:tcBorders>
            <w:shd w:val="clear" w:color="auto" w:fill="auto"/>
            <w:vAlign w:val="center"/>
          </w:tcPr>
          <w:p w14:paraId="195210FF"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11.88</w:t>
            </w:r>
          </w:p>
        </w:tc>
        <w:tc>
          <w:tcPr>
            <w:tcW w:w="1134" w:type="dxa"/>
            <w:tcBorders>
              <w:top w:val="nil"/>
              <w:left w:val="single" w:sz="4" w:space="0" w:color="auto"/>
              <w:bottom w:val="nil"/>
              <w:right w:val="single" w:sz="4" w:space="0" w:color="auto"/>
            </w:tcBorders>
            <w:shd w:val="clear" w:color="auto" w:fill="auto"/>
            <w:vAlign w:val="center"/>
          </w:tcPr>
          <w:p w14:paraId="7C62C3C6"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-0.24</w:t>
            </w:r>
          </w:p>
        </w:tc>
        <w:tc>
          <w:tcPr>
            <w:tcW w:w="1188" w:type="dxa"/>
            <w:tcBorders>
              <w:top w:val="nil"/>
              <w:left w:val="single" w:sz="4" w:space="0" w:color="auto"/>
              <w:bottom w:val="nil"/>
              <w:right w:val="single" w:sz="4" w:space="0" w:color="auto"/>
            </w:tcBorders>
            <w:shd w:val="clear" w:color="auto" w:fill="auto"/>
            <w:vAlign w:val="center"/>
          </w:tcPr>
          <w:p w14:paraId="73FD8B85"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0.31</w:t>
            </w:r>
          </w:p>
        </w:tc>
      </w:tr>
      <w:tr w:rsidR="00651355" w:rsidRPr="00651355" w14:paraId="6AB9E33D"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50DFD045"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center"/>
          </w:tcPr>
          <w:p w14:paraId="3545BBBD"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11.14</w:t>
            </w:r>
          </w:p>
        </w:tc>
        <w:tc>
          <w:tcPr>
            <w:tcW w:w="1134" w:type="dxa"/>
            <w:tcBorders>
              <w:top w:val="nil"/>
              <w:left w:val="single" w:sz="4" w:space="0" w:color="auto"/>
              <w:bottom w:val="nil"/>
              <w:right w:val="single" w:sz="4" w:space="0" w:color="auto"/>
            </w:tcBorders>
            <w:shd w:val="clear" w:color="auto" w:fill="auto"/>
            <w:vAlign w:val="center"/>
          </w:tcPr>
          <w:p w14:paraId="4F3FFEE0"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10.85</w:t>
            </w:r>
          </w:p>
        </w:tc>
        <w:tc>
          <w:tcPr>
            <w:tcW w:w="1134" w:type="dxa"/>
            <w:tcBorders>
              <w:left w:val="single" w:sz="4" w:space="0" w:color="auto"/>
              <w:right w:val="single" w:sz="4" w:space="0" w:color="auto"/>
            </w:tcBorders>
            <w:shd w:val="clear" w:color="auto" w:fill="auto"/>
            <w:vAlign w:val="center"/>
          </w:tcPr>
          <w:p w14:paraId="6521C093"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10.72</w:t>
            </w:r>
          </w:p>
        </w:tc>
        <w:tc>
          <w:tcPr>
            <w:tcW w:w="1134" w:type="dxa"/>
            <w:tcBorders>
              <w:top w:val="nil"/>
              <w:left w:val="single" w:sz="4" w:space="0" w:color="auto"/>
              <w:bottom w:val="nil"/>
              <w:right w:val="single" w:sz="4" w:space="0" w:color="auto"/>
            </w:tcBorders>
            <w:shd w:val="clear" w:color="auto" w:fill="auto"/>
            <w:vAlign w:val="center"/>
          </w:tcPr>
          <w:p w14:paraId="5AE5A224"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-0.42</w:t>
            </w:r>
          </w:p>
        </w:tc>
        <w:tc>
          <w:tcPr>
            <w:tcW w:w="1188" w:type="dxa"/>
            <w:tcBorders>
              <w:top w:val="nil"/>
              <w:left w:val="single" w:sz="4" w:space="0" w:color="auto"/>
              <w:bottom w:val="nil"/>
              <w:right w:val="single" w:sz="4" w:space="0" w:color="auto"/>
            </w:tcBorders>
            <w:shd w:val="clear" w:color="auto" w:fill="auto"/>
            <w:vAlign w:val="center"/>
          </w:tcPr>
          <w:p w14:paraId="368A17A5"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-0.14</w:t>
            </w:r>
          </w:p>
        </w:tc>
      </w:tr>
      <w:tr w:rsidR="00651355" w:rsidRPr="00651355" w14:paraId="47134D06"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784F943E"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center"/>
          </w:tcPr>
          <w:p w14:paraId="1FF6FCBF"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7.29</w:t>
            </w:r>
          </w:p>
        </w:tc>
        <w:tc>
          <w:tcPr>
            <w:tcW w:w="1134" w:type="dxa"/>
            <w:tcBorders>
              <w:top w:val="nil"/>
              <w:left w:val="single" w:sz="4" w:space="0" w:color="auto"/>
              <w:bottom w:val="nil"/>
              <w:right w:val="single" w:sz="4" w:space="0" w:color="auto"/>
            </w:tcBorders>
            <w:shd w:val="clear" w:color="auto" w:fill="auto"/>
            <w:vAlign w:val="center"/>
          </w:tcPr>
          <w:p w14:paraId="614AE65B"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6.91</w:t>
            </w:r>
          </w:p>
        </w:tc>
        <w:tc>
          <w:tcPr>
            <w:tcW w:w="1134" w:type="dxa"/>
            <w:tcBorders>
              <w:left w:val="single" w:sz="4" w:space="0" w:color="auto"/>
              <w:right w:val="single" w:sz="4" w:space="0" w:color="auto"/>
            </w:tcBorders>
            <w:shd w:val="clear" w:color="auto" w:fill="auto"/>
            <w:vAlign w:val="center"/>
          </w:tcPr>
          <w:p w14:paraId="11740907"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6.80</w:t>
            </w:r>
          </w:p>
        </w:tc>
        <w:tc>
          <w:tcPr>
            <w:tcW w:w="1134" w:type="dxa"/>
            <w:tcBorders>
              <w:top w:val="nil"/>
              <w:left w:val="single" w:sz="4" w:space="0" w:color="auto"/>
              <w:bottom w:val="nil"/>
              <w:right w:val="single" w:sz="4" w:space="0" w:color="auto"/>
            </w:tcBorders>
            <w:shd w:val="clear" w:color="auto" w:fill="auto"/>
            <w:vAlign w:val="center"/>
          </w:tcPr>
          <w:p w14:paraId="2B8B0E76"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-0.50</w:t>
            </w:r>
          </w:p>
        </w:tc>
        <w:tc>
          <w:tcPr>
            <w:tcW w:w="1188" w:type="dxa"/>
            <w:tcBorders>
              <w:top w:val="nil"/>
              <w:left w:val="single" w:sz="4" w:space="0" w:color="auto"/>
              <w:bottom w:val="nil"/>
              <w:right w:val="single" w:sz="4" w:space="0" w:color="auto"/>
            </w:tcBorders>
            <w:shd w:val="clear" w:color="auto" w:fill="auto"/>
            <w:vAlign w:val="center"/>
          </w:tcPr>
          <w:p w14:paraId="10B69232"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-0.11</w:t>
            </w:r>
          </w:p>
        </w:tc>
      </w:tr>
      <w:tr w:rsidR="00651355" w:rsidRPr="00651355" w14:paraId="3A206405"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4A7EB63F"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center"/>
          </w:tcPr>
          <w:p w14:paraId="7A226B45"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3.79</w:t>
            </w:r>
          </w:p>
        </w:tc>
        <w:tc>
          <w:tcPr>
            <w:tcW w:w="1134" w:type="dxa"/>
            <w:tcBorders>
              <w:top w:val="nil"/>
              <w:left w:val="single" w:sz="4" w:space="0" w:color="auto"/>
              <w:bottom w:val="nil"/>
              <w:right w:val="single" w:sz="4" w:space="0" w:color="auto"/>
            </w:tcBorders>
            <w:shd w:val="clear" w:color="auto" w:fill="auto"/>
            <w:vAlign w:val="center"/>
          </w:tcPr>
          <w:p w14:paraId="157A34D9"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3.94</w:t>
            </w:r>
          </w:p>
        </w:tc>
        <w:tc>
          <w:tcPr>
            <w:tcW w:w="1134" w:type="dxa"/>
            <w:tcBorders>
              <w:left w:val="single" w:sz="4" w:space="0" w:color="auto"/>
              <w:right w:val="single" w:sz="4" w:space="0" w:color="auto"/>
            </w:tcBorders>
            <w:shd w:val="clear" w:color="auto" w:fill="auto"/>
            <w:vAlign w:val="center"/>
          </w:tcPr>
          <w:p w14:paraId="0C4A2933"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3.91</w:t>
            </w:r>
          </w:p>
        </w:tc>
        <w:tc>
          <w:tcPr>
            <w:tcW w:w="1134" w:type="dxa"/>
            <w:tcBorders>
              <w:top w:val="nil"/>
              <w:left w:val="single" w:sz="4" w:space="0" w:color="auto"/>
              <w:bottom w:val="nil"/>
              <w:right w:val="single" w:sz="4" w:space="0" w:color="auto"/>
            </w:tcBorders>
            <w:shd w:val="clear" w:color="auto" w:fill="auto"/>
            <w:vAlign w:val="center"/>
          </w:tcPr>
          <w:p w14:paraId="141B3E2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0.12</w:t>
            </w:r>
          </w:p>
        </w:tc>
        <w:tc>
          <w:tcPr>
            <w:tcW w:w="1188" w:type="dxa"/>
            <w:tcBorders>
              <w:top w:val="nil"/>
              <w:left w:val="single" w:sz="4" w:space="0" w:color="auto"/>
              <w:bottom w:val="nil"/>
              <w:right w:val="single" w:sz="4" w:space="0" w:color="auto"/>
            </w:tcBorders>
            <w:shd w:val="clear" w:color="auto" w:fill="auto"/>
            <w:vAlign w:val="center"/>
          </w:tcPr>
          <w:p w14:paraId="742B3F18"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-0.03</w:t>
            </w:r>
          </w:p>
        </w:tc>
      </w:tr>
      <w:tr w:rsidR="00651355" w:rsidRPr="00651355" w14:paraId="5E52913D"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07A9E7AA"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center"/>
          </w:tcPr>
          <w:p w14:paraId="1C29220D"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3.75</w:t>
            </w:r>
          </w:p>
        </w:tc>
        <w:tc>
          <w:tcPr>
            <w:tcW w:w="1134" w:type="dxa"/>
            <w:tcBorders>
              <w:top w:val="nil"/>
              <w:left w:val="single" w:sz="4" w:space="0" w:color="auto"/>
              <w:bottom w:val="nil"/>
              <w:right w:val="single" w:sz="4" w:space="0" w:color="auto"/>
            </w:tcBorders>
            <w:shd w:val="clear" w:color="auto" w:fill="auto"/>
            <w:vAlign w:val="center"/>
          </w:tcPr>
          <w:p w14:paraId="710C168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3.88</w:t>
            </w:r>
          </w:p>
        </w:tc>
        <w:tc>
          <w:tcPr>
            <w:tcW w:w="1134" w:type="dxa"/>
            <w:tcBorders>
              <w:left w:val="single" w:sz="4" w:space="0" w:color="auto"/>
              <w:right w:val="single" w:sz="4" w:space="0" w:color="auto"/>
            </w:tcBorders>
            <w:shd w:val="clear" w:color="auto" w:fill="auto"/>
            <w:vAlign w:val="center"/>
          </w:tcPr>
          <w:p w14:paraId="77C90FA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3.82</w:t>
            </w:r>
          </w:p>
        </w:tc>
        <w:tc>
          <w:tcPr>
            <w:tcW w:w="1134" w:type="dxa"/>
            <w:tcBorders>
              <w:top w:val="nil"/>
              <w:left w:val="single" w:sz="4" w:space="0" w:color="auto"/>
              <w:bottom w:val="nil"/>
              <w:right w:val="single" w:sz="4" w:space="0" w:color="auto"/>
            </w:tcBorders>
            <w:shd w:val="clear" w:color="auto" w:fill="auto"/>
            <w:vAlign w:val="center"/>
          </w:tcPr>
          <w:p w14:paraId="776A9F55"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0.07</w:t>
            </w:r>
          </w:p>
        </w:tc>
        <w:tc>
          <w:tcPr>
            <w:tcW w:w="1188" w:type="dxa"/>
            <w:tcBorders>
              <w:top w:val="nil"/>
              <w:left w:val="single" w:sz="4" w:space="0" w:color="auto"/>
              <w:bottom w:val="nil"/>
              <w:right w:val="single" w:sz="4" w:space="0" w:color="auto"/>
            </w:tcBorders>
            <w:shd w:val="clear" w:color="auto" w:fill="auto"/>
            <w:vAlign w:val="center"/>
          </w:tcPr>
          <w:p w14:paraId="506F7118"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-0.06</w:t>
            </w:r>
          </w:p>
        </w:tc>
      </w:tr>
      <w:tr w:rsidR="00651355" w:rsidRPr="00651355" w14:paraId="7077A748"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209AC41A"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center"/>
          </w:tcPr>
          <w:p w14:paraId="6C61E558"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4.96</w:t>
            </w:r>
          </w:p>
        </w:tc>
        <w:tc>
          <w:tcPr>
            <w:tcW w:w="1134" w:type="dxa"/>
            <w:tcBorders>
              <w:top w:val="nil"/>
              <w:left w:val="single" w:sz="4" w:space="0" w:color="auto"/>
              <w:bottom w:val="nil"/>
              <w:right w:val="single" w:sz="4" w:space="0" w:color="auto"/>
            </w:tcBorders>
            <w:shd w:val="clear" w:color="auto" w:fill="auto"/>
            <w:vAlign w:val="center"/>
          </w:tcPr>
          <w:p w14:paraId="02A86140"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4.68</w:t>
            </w:r>
          </w:p>
        </w:tc>
        <w:tc>
          <w:tcPr>
            <w:tcW w:w="1134" w:type="dxa"/>
            <w:tcBorders>
              <w:left w:val="single" w:sz="4" w:space="0" w:color="auto"/>
              <w:right w:val="single" w:sz="4" w:space="0" w:color="auto"/>
            </w:tcBorders>
            <w:shd w:val="clear" w:color="auto" w:fill="auto"/>
            <w:vAlign w:val="center"/>
          </w:tcPr>
          <w:p w14:paraId="10A78688"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5.06</w:t>
            </w:r>
          </w:p>
        </w:tc>
        <w:tc>
          <w:tcPr>
            <w:tcW w:w="1134" w:type="dxa"/>
            <w:tcBorders>
              <w:top w:val="nil"/>
              <w:left w:val="single" w:sz="4" w:space="0" w:color="auto"/>
              <w:bottom w:val="nil"/>
              <w:right w:val="single" w:sz="4" w:space="0" w:color="auto"/>
            </w:tcBorders>
            <w:shd w:val="clear" w:color="auto" w:fill="auto"/>
            <w:vAlign w:val="center"/>
          </w:tcPr>
          <w:p w14:paraId="05E0BE5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0.11</w:t>
            </w:r>
          </w:p>
        </w:tc>
        <w:tc>
          <w:tcPr>
            <w:tcW w:w="1188" w:type="dxa"/>
            <w:tcBorders>
              <w:top w:val="nil"/>
              <w:left w:val="single" w:sz="4" w:space="0" w:color="auto"/>
              <w:bottom w:val="nil"/>
              <w:right w:val="single" w:sz="4" w:space="0" w:color="auto"/>
            </w:tcBorders>
            <w:shd w:val="clear" w:color="auto" w:fill="auto"/>
            <w:vAlign w:val="center"/>
          </w:tcPr>
          <w:p w14:paraId="19F1E8AB"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0.38</w:t>
            </w:r>
          </w:p>
        </w:tc>
      </w:tr>
      <w:tr w:rsidR="00651355" w:rsidRPr="00651355" w14:paraId="189E0DC7"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39597A14"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center"/>
          </w:tcPr>
          <w:p w14:paraId="38AD3419"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8.95</w:t>
            </w:r>
          </w:p>
        </w:tc>
        <w:tc>
          <w:tcPr>
            <w:tcW w:w="1134" w:type="dxa"/>
            <w:tcBorders>
              <w:top w:val="nil"/>
              <w:left w:val="single" w:sz="4" w:space="0" w:color="auto"/>
              <w:bottom w:val="nil"/>
              <w:right w:val="single" w:sz="4" w:space="0" w:color="auto"/>
            </w:tcBorders>
            <w:shd w:val="clear" w:color="auto" w:fill="auto"/>
            <w:vAlign w:val="center"/>
          </w:tcPr>
          <w:p w14:paraId="67B46CF6"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12.52</w:t>
            </w:r>
          </w:p>
        </w:tc>
        <w:tc>
          <w:tcPr>
            <w:tcW w:w="1134" w:type="dxa"/>
            <w:tcBorders>
              <w:left w:val="single" w:sz="4" w:space="0" w:color="auto"/>
              <w:right w:val="single" w:sz="4" w:space="0" w:color="auto"/>
            </w:tcBorders>
            <w:shd w:val="clear" w:color="auto" w:fill="auto"/>
            <w:vAlign w:val="center"/>
          </w:tcPr>
          <w:p w14:paraId="0FC4F6F5"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12.80</w:t>
            </w:r>
          </w:p>
        </w:tc>
        <w:tc>
          <w:tcPr>
            <w:tcW w:w="1134" w:type="dxa"/>
            <w:tcBorders>
              <w:top w:val="nil"/>
              <w:left w:val="single" w:sz="4" w:space="0" w:color="auto"/>
              <w:bottom w:val="nil"/>
              <w:right w:val="single" w:sz="4" w:space="0" w:color="auto"/>
            </w:tcBorders>
            <w:shd w:val="clear" w:color="auto" w:fill="auto"/>
            <w:vAlign w:val="center"/>
          </w:tcPr>
          <w:p w14:paraId="1242C376"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3.85</w:t>
            </w:r>
          </w:p>
        </w:tc>
        <w:tc>
          <w:tcPr>
            <w:tcW w:w="1188" w:type="dxa"/>
            <w:tcBorders>
              <w:top w:val="nil"/>
              <w:left w:val="single" w:sz="4" w:space="0" w:color="auto"/>
              <w:bottom w:val="nil"/>
              <w:right w:val="single" w:sz="4" w:space="0" w:color="auto"/>
            </w:tcBorders>
            <w:shd w:val="clear" w:color="auto" w:fill="auto"/>
            <w:vAlign w:val="center"/>
          </w:tcPr>
          <w:p w14:paraId="26515106"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0.28</w:t>
            </w:r>
          </w:p>
        </w:tc>
      </w:tr>
      <w:tr w:rsidR="00651355" w:rsidRPr="00651355" w14:paraId="27C660D7"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0283406C"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center"/>
          </w:tcPr>
          <w:p w14:paraId="004B1A66" w14:textId="77777777" w:rsidR="00651355" w:rsidRPr="00651355" w:rsidRDefault="00651355" w:rsidP="00651355">
            <w:pPr>
              <w:spacing w:after="120"/>
              <w:ind w:right="284"/>
              <w:jc w:val="right"/>
              <w:rPr>
                <w:rFonts w:eastAsia="Calibri"/>
                <w:sz w:val="18"/>
                <w:szCs w:val="18"/>
                <w:lang w:eastAsia="en-US"/>
              </w:rPr>
            </w:pPr>
            <w:r w:rsidRPr="00651355">
              <w:rPr>
                <w:rFonts w:eastAsia="Calibri"/>
                <w:sz w:val="18"/>
                <w:szCs w:val="18"/>
                <w:lang w:eastAsia="en-US"/>
              </w:rPr>
              <w:t>7.16</w:t>
            </w:r>
          </w:p>
        </w:tc>
        <w:tc>
          <w:tcPr>
            <w:tcW w:w="1134" w:type="dxa"/>
            <w:tcBorders>
              <w:top w:val="nil"/>
              <w:left w:val="single" w:sz="4" w:space="0" w:color="auto"/>
              <w:bottom w:val="nil"/>
              <w:right w:val="single" w:sz="4" w:space="0" w:color="auto"/>
            </w:tcBorders>
            <w:shd w:val="clear" w:color="auto" w:fill="auto"/>
            <w:vAlign w:val="center"/>
          </w:tcPr>
          <w:p w14:paraId="5C406025"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6.77</w:t>
            </w:r>
          </w:p>
        </w:tc>
        <w:tc>
          <w:tcPr>
            <w:tcW w:w="1134" w:type="dxa"/>
            <w:tcBorders>
              <w:left w:val="single" w:sz="4" w:space="0" w:color="auto"/>
              <w:right w:val="single" w:sz="4" w:space="0" w:color="auto"/>
            </w:tcBorders>
            <w:shd w:val="clear" w:color="auto" w:fill="auto"/>
            <w:vAlign w:val="center"/>
          </w:tcPr>
          <w:p w14:paraId="2CB558E8"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6.77</w:t>
            </w:r>
          </w:p>
        </w:tc>
        <w:tc>
          <w:tcPr>
            <w:tcW w:w="1134" w:type="dxa"/>
            <w:tcBorders>
              <w:top w:val="nil"/>
              <w:left w:val="single" w:sz="4" w:space="0" w:color="auto"/>
              <w:bottom w:val="nil"/>
              <w:right w:val="single" w:sz="4" w:space="0" w:color="auto"/>
            </w:tcBorders>
            <w:shd w:val="clear" w:color="auto" w:fill="auto"/>
            <w:vAlign w:val="center"/>
          </w:tcPr>
          <w:p w14:paraId="44209452"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-0.39</w:t>
            </w:r>
          </w:p>
        </w:tc>
        <w:tc>
          <w:tcPr>
            <w:tcW w:w="1188" w:type="dxa"/>
            <w:tcBorders>
              <w:top w:val="nil"/>
              <w:left w:val="single" w:sz="4" w:space="0" w:color="auto"/>
              <w:bottom w:val="nil"/>
              <w:right w:val="single" w:sz="4" w:space="0" w:color="auto"/>
            </w:tcBorders>
            <w:shd w:val="clear" w:color="auto" w:fill="auto"/>
            <w:vAlign w:val="center"/>
          </w:tcPr>
          <w:p w14:paraId="30E6F80A" w14:textId="77777777" w:rsidR="00651355" w:rsidRPr="00651355" w:rsidRDefault="00651355" w:rsidP="00651355">
            <w:pPr>
              <w:spacing w:after="120"/>
              <w:ind w:right="284"/>
              <w:jc w:val="right"/>
              <w:rPr>
                <w:rFonts w:eastAsia="Calibri"/>
                <w:bCs/>
                <w:sz w:val="18"/>
                <w:szCs w:val="18"/>
                <w:lang w:eastAsia="en-US"/>
              </w:rPr>
            </w:pPr>
            <w:r w:rsidRPr="00651355">
              <w:rPr>
                <w:rFonts w:eastAsia="Calibri"/>
                <w:bCs/>
                <w:sz w:val="18"/>
                <w:szCs w:val="18"/>
                <w:lang w:eastAsia="en-US"/>
              </w:rPr>
              <w:t>0.00</w:t>
            </w:r>
          </w:p>
        </w:tc>
      </w:tr>
      <w:tr w:rsidR="00651355" w:rsidRPr="00651355" w14:paraId="4A556777" w14:textId="77777777" w:rsidTr="00845A3F">
        <w:trPr>
          <w:trHeight w:val="271"/>
          <w:jc w:val="center"/>
        </w:trPr>
        <w:tc>
          <w:tcPr>
            <w:tcW w:w="2840" w:type="dxa"/>
            <w:tcBorders>
              <w:top w:val="nil"/>
              <w:left w:val="single" w:sz="4" w:space="0" w:color="auto"/>
              <w:bottom w:val="nil"/>
              <w:right w:val="single" w:sz="4" w:space="0" w:color="auto"/>
            </w:tcBorders>
            <w:shd w:val="clear" w:color="auto" w:fill="auto"/>
            <w:vAlign w:val="center"/>
          </w:tcPr>
          <w:p w14:paraId="007DDD58"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center"/>
          </w:tcPr>
          <w:p w14:paraId="77A12626" w14:textId="77777777" w:rsidR="00651355" w:rsidRPr="00651355" w:rsidRDefault="00651355" w:rsidP="00651355">
            <w:pPr>
              <w:ind w:right="284"/>
              <w:jc w:val="right"/>
              <w:rPr>
                <w:rFonts w:eastAsia="Calibri"/>
                <w:b/>
                <w:sz w:val="18"/>
                <w:szCs w:val="18"/>
                <w:lang w:eastAsia="en-US"/>
              </w:rPr>
            </w:pPr>
            <w:r w:rsidRPr="00651355">
              <w:rPr>
                <w:rFonts w:eastAsia="Calibri"/>
                <w:b/>
                <w:sz w:val="18"/>
                <w:szCs w:val="18"/>
                <w:lang w:eastAsia="en-US"/>
              </w:rPr>
              <w:t>1.87</w:t>
            </w:r>
          </w:p>
        </w:tc>
        <w:tc>
          <w:tcPr>
            <w:tcW w:w="1134" w:type="dxa"/>
            <w:tcBorders>
              <w:top w:val="nil"/>
              <w:left w:val="single" w:sz="4" w:space="0" w:color="auto"/>
              <w:bottom w:val="nil"/>
              <w:right w:val="single" w:sz="4" w:space="0" w:color="auto"/>
            </w:tcBorders>
            <w:shd w:val="clear" w:color="auto" w:fill="auto"/>
            <w:vAlign w:val="center"/>
          </w:tcPr>
          <w:p w14:paraId="7C416DF2"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1.77</w:t>
            </w:r>
          </w:p>
        </w:tc>
        <w:tc>
          <w:tcPr>
            <w:tcW w:w="1134" w:type="dxa"/>
            <w:tcBorders>
              <w:left w:val="single" w:sz="4" w:space="0" w:color="auto"/>
              <w:right w:val="single" w:sz="4" w:space="0" w:color="auto"/>
            </w:tcBorders>
            <w:shd w:val="clear" w:color="auto" w:fill="auto"/>
            <w:vAlign w:val="center"/>
          </w:tcPr>
          <w:p w14:paraId="7523E91A" w14:textId="77777777" w:rsidR="00651355" w:rsidRPr="00651355" w:rsidRDefault="00651355" w:rsidP="00651355">
            <w:pPr>
              <w:ind w:right="227"/>
              <w:jc w:val="right"/>
              <w:rPr>
                <w:rFonts w:eastAsia="Calibri"/>
                <w:b/>
                <w:sz w:val="18"/>
                <w:szCs w:val="18"/>
                <w:lang w:eastAsia="en-US"/>
              </w:rPr>
            </w:pPr>
            <w:r w:rsidRPr="00651355">
              <w:rPr>
                <w:rFonts w:eastAsia="Calibri"/>
                <w:b/>
                <w:sz w:val="18"/>
                <w:szCs w:val="18"/>
                <w:lang w:eastAsia="en-US"/>
              </w:rPr>
              <w:t>1.77</w:t>
            </w:r>
          </w:p>
        </w:tc>
        <w:tc>
          <w:tcPr>
            <w:tcW w:w="1134" w:type="dxa"/>
            <w:tcBorders>
              <w:top w:val="nil"/>
              <w:left w:val="single" w:sz="4" w:space="0" w:color="auto"/>
              <w:bottom w:val="nil"/>
              <w:right w:val="single" w:sz="4" w:space="0" w:color="auto"/>
            </w:tcBorders>
            <w:shd w:val="clear" w:color="auto" w:fill="auto"/>
            <w:vAlign w:val="center"/>
          </w:tcPr>
          <w:p w14:paraId="7DB284F3"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-0.11</w:t>
            </w:r>
          </w:p>
        </w:tc>
        <w:tc>
          <w:tcPr>
            <w:tcW w:w="1188" w:type="dxa"/>
            <w:tcBorders>
              <w:top w:val="nil"/>
              <w:left w:val="single" w:sz="4" w:space="0" w:color="auto"/>
              <w:bottom w:val="nil"/>
              <w:right w:val="single" w:sz="4" w:space="0" w:color="auto"/>
            </w:tcBorders>
            <w:shd w:val="clear" w:color="auto" w:fill="auto"/>
            <w:vAlign w:val="center"/>
          </w:tcPr>
          <w:p w14:paraId="44A35DE1" w14:textId="77777777" w:rsidR="00651355" w:rsidRPr="00651355" w:rsidRDefault="00651355" w:rsidP="00651355">
            <w:pPr>
              <w:ind w:right="284"/>
              <w:jc w:val="right"/>
              <w:rPr>
                <w:rFonts w:eastAsia="Calibri"/>
                <w:b/>
                <w:bCs/>
                <w:sz w:val="18"/>
                <w:szCs w:val="18"/>
                <w:lang w:eastAsia="en-US"/>
              </w:rPr>
            </w:pPr>
            <w:r w:rsidRPr="00651355">
              <w:rPr>
                <w:rFonts w:eastAsia="Calibri"/>
                <w:b/>
                <w:bCs/>
                <w:sz w:val="18"/>
                <w:szCs w:val="18"/>
                <w:lang w:eastAsia="en-US"/>
              </w:rPr>
              <w:t>0.00</w:t>
            </w:r>
          </w:p>
        </w:tc>
      </w:tr>
      <w:tr w:rsidR="00651355" w:rsidRPr="00651355" w14:paraId="366C7652" w14:textId="77777777" w:rsidTr="00845A3F">
        <w:trPr>
          <w:trHeight w:val="261"/>
          <w:jc w:val="center"/>
        </w:trPr>
        <w:tc>
          <w:tcPr>
            <w:tcW w:w="2840" w:type="dxa"/>
            <w:tcBorders>
              <w:top w:val="nil"/>
              <w:left w:val="single" w:sz="4" w:space="0" w:color="auto"/>
              <w:bottom w:val="nil"/>
              <w:right w:val="single" w:sz="4" w:space="0" w:color="auto"/>
            </w:tcBorders>
            <w:shd w:val="clear" w:color="auto" w:fill="auto"/>
            <w:vAlign w:val="center"/>
          </w:tcPr>
          <w:p w14:paraId="496F1B31"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center"/>
          </w:tcPr>
          <w:p w14:paraId="46731445" w14:textId="77777777" w:rsidR="00651355" w:rsidRPr="00651355" w:rsidRDefault="00651355" w:rsidP="00651355">
            <w:pPr>
              <w:ind w:right="284"/>
              <w:jc w:val="right"/>
              <w:rPr>
                <w:rFonts w:eastAsia="Calibri"/>
                <w:sz w:val="18"/>
                <w:szCs w:val="18"/>
                <w:lang w:eastAsia="en-US"/>
              </w:rPr>
            </w:pPr>
            <w:r w:rsidRPr="00651355">
              <w:rPr>
                <w:rFonts w:eastAsia="Calibri"/>
                <w:sz w:val="18"/>
                <w:szCs w:val="18"/>
                <w:lang w:eastAsia="en-US"/>
              </w:rPr>
              <w:t>1.58</w:t>
            </w:r>
          </w:p>
        </w:tc>
        <w:tc>
          <w:tcPr>
            <w:tcW w:w="1134" w:type="dxa"/>
            <w:tcBorders>
              <w:top w:val="nil"/>
              <w:left w:val="single" w:sz="4" w:space="0" w:color="auto"/>
              <w:bottom w:val="nil"/>
              <w:right w:val="single" w:sz="4" w:space="0" w:color="auto"/>
            </w:tcBorders>
            <w:shd w:val="clear" w:color="auto" w:fill="auto"/>
            <w:vAlign w:val="center"/>
          </w:tcPr>
          <w:p w14:paraId="47DD835E"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1.66</w:t>
            </w:r>
          </w:p>
        </w:tc>
        <w:tc>
          <w:tcPr>
            <w:tcW w:w="1134" w:type="dxa"/>
            <w:tcBorders>
              <w:left w:val="single" w:sz="4" w:space="0" w:color="auto"/>
              <w:right w:val="single" w:sz="4" w:space="0" w:color="auto"/>
            </w:tcBorders>
            <w:shd w:val="clear" w:color="auto" w:fill="auto"/>
            <w:vAlign w:val="center"/>
          </w:tcPr>
          <w:p w14:paraId="180580FF" w14:textId="77777777" w:rsidR="00651355" w:rsidRPr="00651355" w:rsidRDefault="00651355" w:rsidP="00651355">
            <w:pPr>
              <w:ind w:right="227"/>
              <w:jc w:val="right"/>
              <w:rPr>
                <w:rFonts w:eastAsia="Calibri"/>
                <w:sz w:val="18"/>
                <w:szCs w:val="18"/>
                <w:lang w:eastAsia="en-US"/>
              </w:rPr>
            </w:pPr>
            <w:r w:rsidRPr="00651355">
              <w:rPr>
                <w:rFonts w:eastAsia="Calibri"/>
                <w:sz w:val="18"/>
                <w:szCs w:val="18"/>
                <w:lang w:eastAsia="en-US"/>
              </w:rPr>
              <w:t>1.63</w:t>
            </w:r>
          </w:p>
        </w:tc>
        <w:tc>
          <w:tcPr>
            <w:tcW w:w="1134" w:type="dxa"/>
            <w:tcBorders>
              <w:top w:val="nil"/>
              <w:left w:val="single" w:sz="4" w:space="0" w:color="auto"/>
              <w:bottom w:val="nil"/>
              <w:right w:val="single" w:sz="4" w:space="0" w:color="auto"/>
            </w:tcBorders>
            <w:shd w:val="clear" w:color="auto" w:fill="auto"/>
            <w:vAlign w:val="center"/>
          </w:tcPr>
          <w:p w14:paraId="263273EE"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0.05</w:t>
            </w:r>
          </w:p>
        </w:tc>
        <w:tc>
          <w:tcPr>
            <w:tcW w:w="1188" w:type="dxa"/>
            <w:tcBorders>
              <w:top w:val="nil"/>
              <w:left w:val="single" w:sz="4" w:space="0" w:color="auto"/>
              <w:bottom w:val="nil"/>
              <w:right w:val="single" w:sz="4" w:space="0" w:color="auto"/>
            </w:tcBorders>
            <w:shd w:val="clear" w:color="auto" w:fill="auto"/>
            <w:vAlign w:val="center"/>
          </w:tcPr>
          <w:p w14:paraId="78963B43" w14:textId="77777777" w:rsidR="00651355" w:rsidRPr="00651355" w:rsidRDefault="00651355" w:rsidP="00651355">
            <w:pPr>
              <w:ind w:right="284"/>
              <w:jc w:val="right"/>
              <w:rPr>
                <w:rFonts w:eastAsia="Calibri"/>
                <w:bCs/>
                <w:sz w:val="18"/>
                <w:szCs w:val="18"/>
                <w:lang w:eastAsia="en-US"/>
              </w:rPr>
            </w:pPr>
            <w:r w:rsidRPr="00651355">
              <w:rPr>
                <w:rFonts w:eastAsia="Calibri"/>
                <w:bCs/>
                <w:sz w:val="18"/>
                <w:szCs w:val="18"/>
                <w:lang w:eastAsia="en-US"/>
              </w:rPr>
              <w:t>-0.03</w:t>
            </w:r>
          </w:p>
        </w:tc>
      </w:tr>
      <w:tr w:rsidR="00651355" w:rsidRPr="00651355" w14:paraId="4477ADDA" w14:textId="77777777" w:rsidTr="00845A3F">
        <w:trPr>
          <w:trHeight w:val="261"/>
          <w:jc w:val="center"/>
        </w:trPr>
        <w:tc>
          <w:tcPr>
            <w:tcW w:w="2840" w:type="dxa"/>
            <w:tcBorders>
              <w:top w:val="nil"/>
              <w:left w:val="single" w:sz="4" w:space="0" w:color="auto"/>
              <w:bottom w:val="single" w:sz="4" w:space="0" w:color="auto"/>
              <w:right w:val="single" w:sz="4" w:space="0" w:color="auto"/>
            </w:tcBorders>
            <w:shd w:val="clear" w:color="auto" w:fill="auto"/>
            <w:vAlign w:val="center"/>
          </w:tcPr>
          <w:p w14:paraId="7A0400BA"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center"/>
          </w:tcPr>
          <w:p w14:paraId="069CD0B7" w14:textId="77777777" w:rsidR="00651355" w:rsidRPr="00651355" w:rsidRDefault="00651355" w:rsidP="00651355">
            <w:pPr>
              <w:spacing w:after="120"/>
              <w:ind w:right="284"/>
              <w:jc w:val="right"/>
              <w:rPr>
                <w:rFonts w:eastAsia="Calibri"/>
                <w:sz w:val="18"/>
                <w:szCs w:val="18"/>
                <w:lang w:eastAsia="en-US"/>
              </w:rPr>
            </w:pPr>
            <w:r w:rsidRPr="00651355">
              <w:rPr>
                <w:rFonts w:eastAsia="Calibri"/>
                <w:sz w:val="18"/>
                <w:szCs w:val="18"/>
                <w:lang w:eastAsia="en-US"/>
              </w:rPr>
              <w:t>3.21</w:t>
            </w:r>
          </w:p>
        </w:tc>
        <w:tc>
          <w:tcPr>
            <w:tcW w:w="1134" w:type="dxa"/>
            <w:tcBorders>
              <w:top w:val="nil"/>
              <w:left w:val="single" w:sz="4" w:space="0" w:color="auto"/>
              <w:bottom w:val="single" w:sz="4" w:space="0" w:color="auto"/>
              <w:right w:val="single" w:sz="4" w:space="0" w:color="auto"/>
            </w:tcBorders>
            <w:shd w:val="clear" w:color="auto" w:fill="auto"/>
            <w:vAlign w:val="center"/>
          </w:tcPr>
          <w:p w14:paraId="48FFBABF"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2.42</w:t>
            </w:r>
          </w:p>
        </w:tc>
        <w:tc>
          <w:tcPr>
            <w:tcW w:w="1134" w:type="dxa"/>
            <w:tcBorders>
              <w:left w:val="single" w:sz="4" w:space="0" w:color="auto"/>
              <w:bottom w:val="single" w:sz="4" w:space="0" w:color="auto"/>
              <w:right w:val="single" w:sz="4" w:space="0" w:color="auto"/>
            </w:tcBorders>
            <w:shd w:val="clear" w:color="auto" w:fill="auto"/>
            <w:vAlign w:val="center"/>
          </w:tcPr>
          <w:p w14:paraId="15AC090E" w14:textId="77777777" w:rsidR="00651355" w:rsidRPr="00651355" w:rsidRDefault="00651355" w:rsidP="00651355">
            <w:pPr>
              <w:spacing w:after="120"/>
              <w:ind w:right="227"/>
              <w:jc w:val="right"/>
              <w:rPr>
                <w:rFonts w:eastAsia="Calibri"/>
                <w:sz w:val="18"/>
                <w:szCs w:val="18"/>
                <w:lang w:eastAsia="en-US"/>
              </w:rPr>
            </w:pPr>
            <w:r w:rsidRPr="00651355">
              <w:rPr>
                <w:rFonts w:eastAsia="Calibri"/>
                <w:sz w:val="18"/>
                <w:szCs w:val="18"/>
                <w:lang w:eastAsia="en-US"/>
              </w:rPr>
              <w:t>2.59</w:t>
            </w:r>
          </w:p>
        </w:tc>
        <w:tc>
          <w:tcPr>
            <w:tcW w:w="1134" w:type="dxa"/>
            <w:tcBorders>
              <w:top w:val="nil"/>
              <w:left w:val="single" w:sz="4" w:space="0" w:color="auto"/>
              <w:bottom w:val="single" w:sz="4" w:space="0" w:color="auto"/>
              <w:right w:val="single" w:sz="4" w:space="0" w:color="auto"/>
            </w:tcBorders>
            <w:shd w:val="clear" w:color="auto" w:fill="auto"/>
            <w:vAlign w:val="center"/>
          </w:tcPr>
          <w:p w14:paraId="03E4257F"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-0.62</w:t>
            </w:r>
          </w:p>
        </w:tc>
        <w:tc>
          <w:tcPr>
            <w:tcW w:w="1188" w:type="dxa"/>
            <w:tcBorders>
              <w:top w:val="nil"/>
              <w:left w:val="single" w:sz="4" w:space="0" w:color="auto"/>
              <w:bottom w:val="single" w:sz="4" w:space="0" w:color="auto"/>
              <w:right w:val="single" w:sz="4" w:space="0" w:color="auto"/>
            </w:tcBorders>
            <w:shd w:val="clear" w:color="auto" w:fill="auto"/>
            <w:vAlign w:val="center"/>
          </w:tcPr>
          <w:p w14:paraId="627F3095" w14:textId="77777777" w:rsidR="00651355" w:rsidRPr="00651355" w:rsidRDefault="00651355" w:rsidP="00651355">
            <w:pPr>
              <w:spacing w:after="120"/>
              <w:ind w:right="284"/>
              <w:jc w:val="right"/>
              <w:rPr>
                <w:rFonts w:eastAsia="Calibri"/>
                <w:bCs/>
                <w:sz w:val="18"/>
                <w:szCs w:val="18"/>
                <w:lang w:eastAsia="en-US"/>
              </w:rPr>
            </w:pPr>
            <w:r w:rsidRPr="00651355">
              <w:rPr>
                <w:rFonts w:eastAsia="Calibri"/>
                <w:bCs/>
                <w:sz w:val="18"/>
                <w:szCs w:val="18"/>
                <w:lang w:eastAsia="en-US"/>
              </w:rPr>
              <w:t>0.17</w:t>
            </w:r>
          </w:p>
        </w:tc>
      </w:tr>
      <w:tr w:rsidR="00651355" w:rsidRPr="00651355" w14:paraId="2E877C6F" w14:textId="77777777" w:rsidTr="00845A3F">
        <w:trPr>
          <w:trHeight w:val="261"/>
          <w:jc w:val="center"/>
        </w:trPr>
        <w:tc>
          <w:tcPr>
            <w:tcW w:w="8564" w:type="dxa"/>
            <w:gridSpan w:val="6"/>
            <w:tcBorders>
              <w:top w:val="single" w:sz="4" w:space="0" w:color="auto"/>
              <w:bottom w:val="nil"/>
            </w:tcBorders>
            <w:vAlign w:val="center"/>
          </w:tcPr>
          <w:p w14:paraId="3E556959" w14:textId="77777777" w:rsidR="00651355" w:rsidRPr="00651355" w:rsidRDefault="00651355" w:rsidP="00651355">
            <w:pPr>
              <w:spacing w:before="120"/>
              <w:jc w:val="both"/>
              <w:rPr>
                <w:rFonts w:eastAsia="Calibri"/>
                <w:bCs/>
                <w:sz w:val="20"/>
                <w:szCs w:val="20"/>
                <w:lang w:eastAsia="en-US"/>
              </w:rPr>
            </w:pPr>
            <w:r w:rsidRPr="00651355">
              <w:rPr>
                <w:rFonts w:eastAsia="Calibri"/>
                <w:bCs/>
                <w:sz w:val="20"/>
                <w:szCs w:val="20"/>
                <w:u w:val="single"/>
                <w:lang w:eastAsia="en-US"/>
              </w:rPr>
              <w:t>1</w:t>
            </w:r>
            <w:r w:rsidRPr="00651355">
              <w:rPr>
                <w:rFonts w:eastAsia="Calibri"/>
                <w:bCs/>
                <w:sz w:val="20"/>
                <w:szCs w:val="20"/>
                <w:lang w:eastAsia="en-US"/>
              </w:rPr>
              <w:t>/ EPRC = Estimaciones preventivas para riesgo crediticio de balance / cartera total.</w:t>
            </w:r>
          </w:p>
          <w:p w14:paraId="6DB75D69" w14:textId="77777777" w:rsidR="00651355" w:rsidRPr="00651355" w:rsidRDefault="00651355" w:rsidP="00651355">
            <w:pPr>
              <w:jc w:val="both"/>
              <w:rPr>
                <w:rFonts w:eastAsia="Calibri"/>
                <w:bCs/>
                <w:sz w:val="20"/>
                <w:szCs w:val="20"/>
                <w:lang w:eastAsia="en-US"/>
              </w:rPr>
            </w:pPr>
            <w:r w:rsidRPr="00651355">
              <w:rPr>
                <w:rFonts w:eastAsia="Calibri"/>
                <w:bCs/>
                <w:sz w:val="20"/>
                <w:szCs w:val="20"/>
                <w:lang w:eastAsia="en-US"/>
              </w:rPr>
              <w:t>FUENTE: CNBV.</w:t>
            </w:r>
          </w:p>
        </w:tc>
      </w:tr>
    </w:tbl>
    <w:p w14:paraId="1EBD6865" w14:textId="77777777" w:rsidR="00651355" w:rsidRPr="00651355" w:rsidRDefault="00651355" w:rsidP="00651355">
      <w:pPr>
        <w:spacing w:after="360" w:line="360" w:lineRule="auto"/>
        <w:ind w:right="-159"/>
        <w:jc w:val="both"/>
        <w:rPr>
          <w:rFonts w:eastAsia="Calibri"/>
          <w:sz w:val="26"/>
          <w:szCs w:val="26"/>
          <w:lang w:eastAsia="en-US"/>
        </w:rPr>
      </w:pPr>
    </w:p>
    <w:p w14:paraId="635ABBC3"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Índice de Cobertura (ICOR) de la cartera total fue de 130.84% al cierre de febrero de 2015. Este índice se ubicó en 114.63% para el segmento comercial, en 184.14% para el de consumo y en 45.56% para el de vivienda. En el último caso este índice es menor por el valor de las garantías en este tipo de financiamiento, el cual es relevante para el cálculo de la severidad de la pérdida en caso de incumplimiento.</w:t>
      </w:r>
    </w:p>
    <w:p w14:paraId="2AE21636" w14:textId="77777777" w:rsidR="00651355" w:rsidRPr="00651355" w:rsidRDefault="00651355" w:rsidP="00651355">
      <w:pPr>
        <w:spacing w:after="360" w:line="360" w:lineRule="auto"/>
        <w:ind w:right="-159"/>
        <w:jc w:val="both"/>
        <w:rPr>
          <w:rFonts w:eastAsia="Calibri"/>
          <w:sz w:val="26"/>
          <w:szCs w:val="26"/>
          <w:lang w:eastAsia="en-US"/>
        </w:rPr>
      </w:pPr>
    </w:p>
    <w:p w14:paraId="3E7ADE73" w14:textId="77777777" w:rsidR="00651355" w:rsidRPr="00651355" w:rsidRDefault="00651355" w:rsidP="00651355">
      <w:pPr>
        <w:spacing w:after="360" w:line="360" w:lineRule="auto"/>
        <w:ind w:right="-159"/>
        <w:jc w:val="both"/>
        <w:rPr>
          <w:rFonts w:eastAsia="Calibri"/>
          <w:sz w:val="26"/>
          <w:szCs w:val="26"/>
          <w:lang w:eastAsia="en-US"/>
        </w:rPr>
      </w:pPr>
    </w:p>
    <w:p w14:paraId="0AB4AA89" w14:textId="77777777" w:rsidR="00651355" w:rsidRPr="00651355" w:rsidRDefault="00651355" w:rsidP="00651355">
      <w:pPr>
        <w:spacing w:after="360" w:line="360" w:lineRule="auto"/>
        <w:ind w:right="-159"/>
        <w:jc w:val="both"/>
        <w:rPr>
          <w:rFonts w:eastAsia="Calibri"/>
          <w:sz w:val="26"/>
          <w:szCs w:val="26"/>
          <w:lang w:eastAsia="en-US"/>
        </w:rPr>
      </w:pPr>
    </w:p>
    <w:tbl>
      <w:tblPr>
        <w:tblW w:w="8860" w:type="dxa"/>
        <w:jc w:val="center"/>
        <w:tblLayout w:type="fixed"/>
        <w:tblLook w:val="01E0" w:firstRow="1" w:lastRow="1" w:firstColumn="1" w:lastColumn="1" w:noHBand="0" w:noVBand="0"/>
      </w:tblPr>
      <w:tblGrid>
        <w:gridCol w:w="2846"/>
        <w:gridCol w:w="1134"/>
        <w:gridCol w:w="1276"/>
        <w:gridCol w:w="1276"/>
        <w:gridCol w:w="1134"/>
        <w:gridCol w:w="1194"/>
      </w:tblGrid>
      <w:tr w:rsidR="00651355" w:rsidRPr="00651355" w14:paraId="40DE3C8F" w14:textId="77777777" w:rsidTr="00845A3F">
        <w:trPr>
          <w:trHeight w:val="552"/>
          <w:jc w:val="center"/>
        </w:trPr>
        <w:tc>
          <w:tcPr>
            <w:tcW w:w="8860" w:type="dxa"/>
            <w:gridSpan w:val="6"/>
            <w:tcBorders>
              <w:top w:val="nil"/>
              <w:bottom w:val="single" w:sz="4" w:space="0" w:color="auto"/>
            </w:tcBorders>
            <w:vAlign w:val="center"/>
          </w:tcPr>
          <w:p w14:paraId="4FFF0B8E"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lastRenderedPageBreak/>
              <w:t>BANCA MÚLTIPLE: ICOR</w:t>
            </w:r>
            <w:r w:rsidRPr="00651355">
              <w:rPr>
                <w:rFonts w:eastAsia="Calibri"/>
                <w:b/>
                <w:bCs/>
                <w:sz w:val="22"/>
                <w:szCs w:val="22"/>
                <w:u w:val="single"/>
                <w:vertAlign w:val="superscript"/>
                <w:lang w:eastAsia="en-US"/>
              </w:rPr>
              <w:t>1</w:t>
            </w:r>
            <w:r w:rsidRPr="00651355">
              <w:rPr>
                <w:rFonts w:eastAsia="Calibri"/>
                <w:b/>
                <w:bCs/>
                <w:sz w:val="22"/>
                <w:szCs w:val="22"/>
                <w:vertAlign w:val="superscript"/>
                <w:lang w:eastAsia="en-US"/>
              </w:rPr>
              <w:t>/</w:t>
            </w:r>
          </w:p>
          <w:p w14:paraId="598AE774" w14:textId="1290BFB0"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-Cifras en porcentaje-</w:t>
            </w:r>
          </w:p>
        </w:tc>
      </w:tr>
      <w:tr w:rsidR="00651355" w:rsidRPr="00651355" w14:paraId="3C4BA46E" w14:textId="77777777" w:rsidTr="00845A3F">
        <w:trPr>
          <w:trHeight w:val="312"/>
          <w:jc w:val="center"/>
        </w:trPr>
        <w:tc>
          <w:tcPr>
            <w:tcW w:w="28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C6179C" w14:textId="77777777" w:rsidR="00651355" w:rsidRPr="00651355" w:rsidRDefault="00651355" w:rsidP="00651355">
            <w:pPr>
              <w:spacing w:before="40" w:after="40"/>
              <w:jc w:val="center"/>
              <w:rPr>
                <w:rFonts w:eastAsia="Calibri"/>
                <w:bCs/>
                <w:sz w:val="18"/>
                <w:szCs w:val="18"/>
                <w:lang w:eastAsia="en-US"/>
              </w:rPr>
            </w:pP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49775"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B350E6"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23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3368E3"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74EF00BA" w14:textId="77777777" w:rsidTr="00845A3F">
        <w:trPr>
          <w:trHeight w:val="281"/>
          <w:jc w:val="center"/>
        </w:trPr>
        <w:tc>
          <w:tcPr>
            <w:tcW w:w="284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EFF33E" w14:textId="77777777" w:rsidR="00651355" w:rsidRPr="00651355" w:rsidRDefault="00651355" w:rsidP="00651355">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535ED9"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56A960F"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0B6E27" w14:textId="7518FAD9" w:rsidR="00651355" w:rsidRPr="00651355" w:rsidRDefault="00D3436F" w:rsidP="00D3436F">
            <w:pPr>
              <w:jc w:val="center"/>
              <w:rPr>
                <w:rFonts w:eastAsia="Calibri"/>
                <w:b/>
                <w:sz w:val="20"/>
                <w:szCs w:val="20"/>
                <w:lang w:eastAsia="en-US"/>
              </w:rPr>
            </w:pPr>
            <w:r>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8DAA8F"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1194" w:type="dxa"/>
            <w:tcBorders>
              <w:top w:val="single" w:sz="4" w:space="0" w:color="auto"/>
              <w:left w:val="single" w:sz="4" w:space="0" w:color="auto"/>
              <w:bottom w:val="single" w:sz="4" w:space="0" w:color="auto"/>
              <w:right w:val="single" w:sz="4" w:space="0" w:color="auto"/>
            </w:tcBorders>
            <w:shd w:val="clear" w:color="auto" w:fill="auto"/>
            <w:vAlign w:val="center"/>
          </w:tcPr>
          <w:p w14:paraId="0FD4E201"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5A1A6824" w14:textId="77777777" w:rsidTr="00845A3F">
        <w:trPr>
          <w:trHeight w:val="271"/>
          <w:jc w:val="center"/>
        </w:trPr>
        <w:tc>
          <w:tcPr>
            <w:tcW w:w="2846" w:type="dxa"/>
            <w:tcBorders>
              <w:top w:val="single" w:sz="4" w:space="0" w:color="auto"/>
              <w:left w:val="single" w:sz="4" w:space="0" w:color="auto"/>
              <w:bottom w:val="nil"/>
              <w:right w:val="single" w:sz="4" w:space="0" w:color="auto"/>
            </w:tcBorders>
            <w:shd w:val="clear" w:color="auto" w:fill="auto"/>
            <w:vAlign w:val="center"/>
          </w:tcPr>
          <w:p w14:paraId="0FFBD18A" w14:textId="77777777" w:rsidR="00651355" w:rsidRPr="00651355" w:rsidRDefault="00651355" w:rsidP="00651355">
            <w:pPr>
              <w:spacing w:before="120"/>
              <w:rPr>
                <w:rFonts w:eastAsia="Calibri"/>
                <w:b/>
                <w:bCs/>
                <w:sz w:val="18"/>
                <w:szCs w:val="18"/>
                <w:lang w:val="en-US" w:eastAsia="en-US"/>
              </w:rPr>
            </w:pPr>
            <w:r w:rsidRPr="00651355">
              <w:rPr>
                <w:rFonts w:eastAsia="Calibri"/>
                <w:b/>
                <w:bCs/>
                <w:sz w:val="18"/>
                <w:szCs w:val="18"/>
                <w:lang w:val="en-US" w:eastAsia="en-US"/>
              </w:rPr>
              <w:t>Cartera de crédito total</w:t>
            </w:r>
          </w:p>
        </w:tc>
        <w:tc>
          <w:tcPr>
            <w:tcW w:w="1134" w:type="dxa"/>
            <w:tcBorders>
              <w:top w:val="single" w:sz="4" w:space="0" w:color="auto"/>
              <w:left w:val="single" w:sz="4" w:space="0" w:color="auto"/>
              <w:right w:val="single" w:sz="4" w:space="0" w:color="auto"/>
            </w:tcBorders>
            <w:shd w:val="clear" w:color="auto" w:fill="auto"/>
            <w:vAlign w:val="bottom"/>
          </w:tcPr>
          <w:p w14:paraId="4AA2593F" w14:textId="77777777" w:rsidR="00651355" w:rsidRPr="00651355" w:rsidRDefault="00651355" w:rsidP="00651355">
            <w:pPr>
              <w:spacing w:before="120"/>
              <w:ind w:right="170"/>
              <w:jc w:val="right"/>
              <w:rPr>
                <w:rFonts w:eastAsia="Calibri"/>
                <w:b/>
                <w:sz w:val="18"/>
                <w:szCs w:val="18"/>
                <w:lang w:val="en-US" w:eastAsia="en-US"/>
              </w:rPr>
            </w:pPr>
            <w:r w:rsidRPr="00651355">
              <w:rPr>
                <w:rFonts w:eastAsia="Calibri"/>
                <w:b/>
                <w:sz w:val="18"/>
                <w:szCs w:val="18"/>
                <w:lang w:val="en-US" w:eastAsia="en-US"/>
              </w:rPr>
              <w:t>146.86</w:t>
            </w:r>
          </w:p>
        </w:tc>
        <w:tc>
          <w:tcPr>
            <w:tcW w:w="1276" w:type="dxa"/>
            <w:tcBorders>
              <w:top w:val="single" w:sz="4" w:space="0" w:color="auto"/>
              <w:left w:val="single" w:sz="4" w:space="0" w:color="auto"/>
              <w:bottom w:val="nil"/>
              <w:right w:val="single" w:sz="4" w:space="0" w:color="auto"/>
            </w:tcBorders>
            <w:shd w:val="clear" w:color="auto" w:fill="auto"/>
            <w:vAlign w:val="bottom"/>
          </w:tcPr>
          <w:p w14:paraId="5146B5FB" w14:textId="77777777" w:rsidR="00651355" w:rsidRPr="00651355" w:rsidRDefault="00651355" w:rsidP="00651355">
            <w:pPr>
              <w:spacing w:before="120"/>
              <w:ind w:right="170"/>
              <w:jc w:val="right"/>
              <w:rPr>
                <w:rFonts w:eastAsia="Calibri"/>
                <w:b/>
                <w:sz w:val="18"/>
                <w:szCs w:val="18"/>
                <w:lang w:val="en-US" w:eastAsia="en-US"/>
              </w:rPr>
            </w:pPr>
            <w:r w:rsidRPr="00651355">
              <w:rPr>
                <w:rFonts w:eastAsia="Calibri"/>
                <w:b/>
                <w:sz w:val="18"/>
                <w:szCs w:val="18"/>
                <w:lang w:val="en-US" w:eastAsia="en-US"/>
              </w:rPr>
              <w:t>130.09</w:t>
            </w:r>
          </w:p>
        </w:tc>
        <w:tc>
          <w:tcPr>
            <w:tcW w:w="1276" w:type="dxa"/>
            <w:tcBorders>
              <w:top w:val="single" w:sz="4" w:space="0" w:color="auto"/>
              <w:left w:val="single" w:sz="4" w:space="0" w:color="auto"/>
              <w:right w:val="single" w:sz="4" w:space="0" w:color="auto"/>
            </w:tcBorders>
            <w:shd w:val="clear" w:color="auto" w:fill="auto"/>
            <w:vAlign w:val="bottom"/>
          </w:tcPr>
          <w:p w14:paraId="20C02DD6" w14:textId="77777777" w:rsidR="00651355" w:rsidRPr="00651355" w:rsidRDefault="00651355" w:rsidP="00651355">
            <w:pPr>
              <w:spacing w:before="120"/>
              <w:ind w:right="170"/>
              <w:jc w:val="right"/>
              <w:rPr>
                <w:rFonts w:eastAsia="Calibri"/>
                <w:b/>
                <w:sz w:val="18"/>
                <w:szCs w:val="18"/>
                <w:lang w:val="en-US" w:eastAsia="en-US"/>
              </w:rPr>
            </w:pPr>
            <w:r w:rsidRPr="00651355">
              <w:rPr>
                <w:rFonts w:eastAsia="Calibri"/>
                <w:b/>
                <w:sz w:val="18"/>
                <w:szCs w:val="18"/>
                <w:lang w:val="en-US" w:eastAsia="en-US"/>
              </w:rPr>
              <w:t>130.84</w:t>
            </w:r>
          </w:p>
        </w:tc>
        <w:tc>
          <w:tcPr>
            <w:tcW w:w="1134" w:type="dxa"/>
            <w:tcBorders>
              <w:top w:val="single" w:sz="4" w:space="0" w:color="auto"/>
              <w:left w:val="single" w:sz="4" w:space="0" w:color="auto"/>
              <w:bottom w:val="nil"/>
              <w:right w:val="single" w:sz="4" w:space="0" w:color="auto"/>
            </w:tcBorders>
            <w:shd w:val="clear" w:color="auto" w:fill="auto"/>
            <w:vAlign w:val="bottom"/>
          </w:tcPr>
          <w:p w14:paraId="07AB2172" w14:textId="77777777" w:rsidR="00651355" w:rsidRPr="00651355" w:rsidRDefault="00651355" w:rsidP="00651355">
            <w:pPr>
              <w:spacing w:before="120"/>
              <w:ind w:right="170"/>
              <w:jc w:val="right"/>
              <w:rPr>
                <w:rFonts w:eastAsia="Calibri"/>
                <w:b/>
                <w:sz w:val="18"/>
                <w:szCs w:val="18"/>
                <w:lang w:val="en-US" w:eastAsia="en-US"/>
              </w:rPr>
            </w:pPr>
            <w:r w:rsidRPr="00651355">
              <w:rPr>
                <w:rFonts w:eastAsia="Calibri"/>
                <w:b/>
                <w:sz w:val="18"/>
                <w:szCs w:val="18"/>
                <w:lang w:val="en-US" w:eastAsia="en-US"/>
              </w:rPr>
              <w:t>-16.02</w:t>
            </w:r>
          </w:p>
        </w:tc>
        <w:tc>
          <w:tcPr>
            <w:tcW w:w="1194" w:type="dxa"/>
            <w:tcBorders>
              <w:top w:val="single" w:sz="4" w:space="0" w:color="auto"/>
              <w:left w:val="single" w:sz="4" w:space="0" w:color="auto"/>
              <w:bottom w:val="nil"/>
              <w:right w:val="single" w:sz="4" w:space="0" w:color="auto"/>
            </w:tcBorders>
            <w:shd w:val="clear" w:color="auto" w:fill="auto"/>
            <w:vAlign w:val="bottom"/>
          </w:tcPr>
          <w:p w14:paraId="4B2EB674" w14:textId="77777777" w:rsidR="00651355" w:rsidRPr="00651355" w:rsidRDefault="00651355" w:rsidP="00651355">
            <w:pPr>
              <w:spacing w:before="120"/>
              <w:ind w:right="170"/>
              <w:jc w:val="right"/>
              <w:rPr>
                <w:rFonts w:eastAsia="Calibri"/>
                <w:b/>
                <w:bCs/>
                <w:sz w:val="18"/>
                <w:szCs w:val="18"/>
                <w:lang w:val="en-US" w:eastAsia="en-US"/>
              </w:rPr>
            </w:pPr>
            <w:r w:rsidRPr="00651355">
              <w:rPr>
                <w:rFonts w:eastAsia="Calibri"/>
                <w:b/>
                <w:bCs/>
                <w:sz w:val="18"/>
                <w:szCs w:val="18"/>
                <w:lang w:val="en-US" w:eastAsia="en-US"/>
              </w:rPr>
              <w:t>0.75</w:t>
            </w:r>
          </w:p>
        </w:tc>
      </w:tr>
      <w:tr w:rsidR="00651355" w:rsidRPr="00651355" w14:paraId="7E3CFEBD" w14:textId="77777777" w:rsidTr="00845A3F">
        <w:trPr>
          <w:trHeight w:val="132"/>
          <w:jc w:val="center"/>
        </w:trPr>
        <w:tc>
          <w:tcPr>
            <w:tcW w:w="2846" w:type="dxa"/>
            <w:tcBorders>
              <w:top w:val="nil"/>
              <w:left w:val="single" w:sz="4" w:space="0" w:color="auto"/>
              <w:bottom w:val="nil"/>
              <w:right w:val="single" w:sz="4" w:space="0" w:color="auto"/>
            </w:tcBorders>
            <w:shd w:val="clear" w:color="auto" w:fill="auto"/>
            <w:vAlign w:val="center"/>
          </w:tcPr>
          <w:p w14:paraId="421A0B6A"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Créditos comerciales</w:t>
            </w:r>
          </w:p>
        </w:tc>
        <w:tc>
          <w:tcPr>
            <w:tcW w:w="1134" w:type="dxa"/>
            <w:tcBorders>
              <w:left w:val="single" w:sz="4" w:space="0" w:color="auto"/>
              <w:right w:val="single" w:sz="4" w:space="0" w:color="auto"/>
            </w:tcBorders>
            <w:shd w:val="clear" w:color="auto" w:fill="auto"/>
            <w:vAlign w:val="bottom"/>
          </w:tcPr>
          <w:p w14:paraId="7C34AF48"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138.05</w:t>
            </w:r>
          </w:p>
        </w:tc>
        <w:tc>
          <w:tcPr>
            <w:tcW w:w="1276" w:type="dxa"/>
            <w:tcBorders>
              <w:top w:val="nil"/>
              <w:left w:val="single" w:sz="4" w:space="0" w:color="auto"/>
              <w:bottom w:val="nil"/>
              <w:right w:val="single" w:sz="4" w:space="0" w:color="auto"/>
            </w:tcBorders>
            <w:shd w:val="clear" w:color="auto" w:fill="auto"/>
            <w:vAlign w:val="bottom"/>
          </w:tcPr>
          <w:p w14:paraId="0C354BD4"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114.49</w:t>
            </w:r>
          </w:p>
        </w:tc>
        <w:tc>
          <w:tcPr>
            <w:tcW w:w="1276" w:type="dxa"/>
            <w:tcBorders>
              <w:left w:val="single" w:sz="4" w:space="0" w:color="auto"/>
              <w:right w:val="single" w:sz="4" w:space="0" w:color="auto"/>
            </w:tcBorders>
            <w:shd w:val="clear" w:color="auto" w:fill="auto"/>
            <w:vAlign w:val="bottom"/>
          </w:tcPr>
          <w:p w14:paraId="73AAC26E"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114.63</w:t>
            </w:r>
          </w:p>
        </w:tc>
        <w:tc>
          <w:tcPr>
            <w:tcW w:w="1134" w:type="dxa"/>
            <w:tcBorders>
              <w:top w:val="nil"/>
              <w:left w:val="single" w:sz="4" w:space="0" w:color="auto"/>
              <w:bottom w:val="nil"/>
              <w:right w:val="single" w:sz="4" w:space="0" w:color="auto"/>
            </w:tcBorders>
            <w:shd w:val="clear" w:color="auto" w:fill="auto"/>
            <w:vAlign w:val="bottom"/>
          </w:tcPr>
          <w:p w14:paraId="78F1DB90"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-23.43</w:t>
            </w:r>
          </w:p>
        </w:tc>
        <w:tc>
          <w:tcPr>
            <w:tcW w:w="1194" w:type="dxa"/>
            <w:tcBorders>
              <w:top w:val="nil"/>
              <w:left w:val="single" w:sz="4" w:space="0" w:color="auto"/>
              <w:bottom w:val="nil"/>
              <w:right w:val="single" w:sz="4" w:space="0" w:color="auto"/>
            </w:tcBorders>
            <w:shd w:val="clear" w:color="auto" w:fill="auto"/>
            <w:vAlign w:val="bottom"/>
          </w:tcPr>
          <w:p w14:paraId="718108D6" w14:textId="77777777" w:rsidR="00651355" w:rsidRPr="00651355" w:rsidRDefault="00651355" w:rsidP="00651355">
            <w:pPr>
              <w:ind w:right="170"/>
              <w:jc w:val="right"/>
              <w:rPr>
                <w:rFonts w:eastAsia="Calibri"/>
                <w:bCs/>
                <w:sz w:val="18"/>
                <w:szCs w:val="18"/>
                <w:lang w:val="en-US" w:eastAsia="en-US"/>
              </w:rPr>
            </w:pPr>
            <w:r w:rsidRPr="00651355">
              <w:rPr>
                <w:rFonts w:eastAsia="Calibri"/>
                <w:bCs/>
                <w:sz w:val="18"/>
                <w:szCs w:val="18"/>
                <w:lang w:val="en-US" w:eastAsia="en-US"/>
              </w:rPr>
              <w:t>0.14</w:t>
            </w:r>
          </w:p>
        </w:tc>
      </w:tr>
      <w:tr w:rsidR="00651355" w:rsidRPr="00651355" w14:paraId="48789A79" w14:textId="77777777" w:rsidTr="00845A3F">
        <w:trPr>
          <w:trHeight w:val="150"/>
          <w:jc w:val="center"/>
        </w:trPr>
        <w:tc>
          <w:tcPr>
            <w:tcW w:w="2846" w:type="dxa"/>
            <w:tcBorders>
              <w:top w:val="nil"/>
              <w:left w:val="single" w:sz="4" w:space="0" w:color="auto"/>
              <w:bottom w:val="nil"/>
              <w:right w:val="single" w:sz="4" w:space="0" w:color="auto"/>
            </w:tcBorders>
            <w:shd w:val="clear" w:color="auto" w:fill="auto"/>
            <w:vAlign w:val="center"/>
          </w:tcPr>
          <w:p w14:paraId="05058263"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Empresas</w:t>
            </w:r>
          </w:p>
        </w:tc>
        <w:tc>
          <w:tcPr>
            <w:tcW w:w="1134" w:type="dxa"/>
            <w:tcBorders>
              <w:left w:val="single" w:sz="4" w:space="0" w:color="auto"/>
              <w:right w:val="single" w:sz="4" w:space="0" w:color="auto"/>
            </w:tcBorders>
            <w:shd w:val="clear" w:color="auto" w:fill="auto"/>
            <w:vAlign w:val="bottom"/>
          </w:tcPr>
          <w:p w14:paraId="3F67CED4"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121.75</w:t>
            </w:r>
          </w:p>
        </w:tc>
        <w:tc>
          <w:tcPr>
            <w:tcW w:w="1276" w:type="dxa"/>
            <w:tcBorders>
              <w:top w:val="nil"/>
              <w:left w:val="single" w:sz="4" w:space="0" w:color="auto"/>
              <w:bottom w:val="nil"/>
              <w:right w:val="single" w:sz="4" w:space="0" w:color="auto"/>
            </w:tcBorders>
            <w:shd w:val="clear" w:color="auto" w:fill="auto"/>
            <w:vAlign w:val="bottom"/>
          </w:tcPr>
          <w:p w14:paraId="0C768412"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101.21</w:t>
            </w:r>
          </w:p>
        </w:tc>
        <w:tc>
          <w:tcPr>
            <w:tcW w:w="1276" w:type="dxa"/>
            <w:tcBorders>
              <w:left w:val="single" w:sz="4" w:space="0" w:color="auto"/>
              <w:right w:val="single" w:sz="4" w:space="0" w:color="auto"/>
            </w:tcBorders>
            <w:shd w:val="clear" w:color="auto" w:fill="auto"/>
            <w:vAlign w:val="bottom"/>
          </w:tcPr>
          <w:p w14:paraId="39B54CFA"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102.31</w:t>
            </w:r>
          </w:p>
        </w:tc>
        <w:tc>
          <w:tcPr>
            <w:tcW w:w="1134" w:type="dxa"/>
            <w:tcBorders>
              <w:top w:val="nil"/>
              <w:left w:val="single" w:sz="4" w:space="0" w:color="auto"/>
              <w:bottom w:val="nil"/>
              <w:right w:val="single" w:sz="4" w:space="0" w:color="auto"/>
            </w:tcBorders>
            <w:shd w:val="clear" w:color="auto" w:fill="auto"/>
            <w:vAlign w:val="bottom"/>
          </w:tcPr>
          <w:p w14:paraId="7B56F3A0"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-19.43</w:t>
            </w:r>
          </w:p>
        </w:tc>
        <w:tc>
          <w:tcPr>
            <w:tcW w:w="1194" w:type="dxa"/>
            <w:tcBorders>
              <w:top w:val="nil"/>
              <w:left w:val="single" w:sz="4" w:space="0" w:color="auto"/>
              <w:bottom w:val="nil"/>
              <w:right w:val="single" w:sz="4" w:space="0" w:color="auto"/>
            </w:tcBorders>
            <w:shd w:val="clear" w:color="auto" w:fill="auto"/>
            <w:vAlign w:val="bottom"/>
          </w:tcPr>
          <w:p w14:paraId="51CD350A" w14:textId="77777777" w:rsidR="00651355" w:rsidRPr="00651355" w:rsidRDefault="00651355" w:rsidP="00651355">
            <w:pPr>
              <w:ind w:right="170"/>
              <w:jc w:val="right"/>
              <w:rPr>
                <w:rFonts w:eastAsia="Calibri"/>
                <w:bCs/>
                <w:sz w:val="18"/>
                <w:szCs w:val="18"/>
                <w:lang w:val="en-US" w:eastAsia="en-US"/>
              </w:rPr>
            </w:pPr>
            <w:r w:rsidRPr="00651355">
              <w:rPr>
                <w:rFonts w:eastAsia="Calibri"/>
                <w:bCs/>
                <w:sz w:val="18"/>
                <w:szCs w:val="18"/>
                <w:lang w:val="en-US" w:eastAsia="en-US"/>
              </w:rPr>
              <w:t>1.11</w:t>
            </w:r>
          </w:p>
        </w:tc>
      </w:tr>
      <w:tr w:rsidR="00651355" w:rsidRPr="00651355" w14:paraId="0F469A3A" w14:textId="77777777" w:rsidTr="00845A3F">
        <w:trPr>
          <w:trHeight w:val="168"/>
          <w:jc w:val="center"/>
        </w:trPr>
        <w:tc>
          <w:tcPr>
            <w:tcW w:w="2846" w:type="dxa"/>
            <w:tcBorders>
              <w:top w:val="nil"/>
              <w:left w:val="single" w:sz="4" w:space="0" w:color="auto"/>
              <w:bottom w:val="nil"/>
              <w:right w:val="single" w:sz="4" w:space="0" w:color="auto"/>
            </w:tcBorders>
            <w:shd w:val="clear" w:color="auto" w:fill="auto"/>
            <w:vAlign w:val="center"/>
          </w:tcPr>
          <w:p w14:paraId="55CAE5A1" w14:textId="77777777" w:rsidR="00651355" w:rsidRPr="00651355" w:rsidRDefault="00651355" w:rsidP="00651355">
            <w:pPr>
              <w:ind w:left="170"/>
              <w:rPr>
                <w:rFonts w:eastAsia="Calibri"/>
                <w:bCs/>
                <w:sz w:val="18"/>
                <w:szCs w:val="18"/>
                <w:lang w:val="en-US" w:eastAsia="en-US"/>
              </w:rPr>
            </w:pPr>
            <w:r w:rsidRPr="00651355">
              <w:rPr>
                <w:rFonts w:eastAsia="Calibri"/>
                <w:bCs/>
                <w:sz w:val="18"/>
                <w:szCs w:val="18"/>
                <w:lang w:val="en-US" w:eastAsia="en-US"/>
              </w:rPr>
              <w:t>Entidades financieras</w:t>
            </w:r>
          </w:p>
        </w:tc>
        <w:tc>
          <w:tcPr>
            <w:tcW w:w="1134" w:type="dxa"/>
            <w:tcBorders>
              <w:left w:val="single" w:sz="4" w:space="0" w:color="auto"/>
              <w:right w:val="single" w:sz="4" w:space="0" w:color="auto"/>
            </w:tcBorders>
            <w:shd w:val="clear" w:color="auto" w:fill="auto"/>
            <w:vAlign w:val="bottom"/>
          </w:tcPr>
          <w:p w14:paraId="63D82AE0"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3 786.92</w:t>
            </w:r>
          </w:p>
        </w:tc>
        <w:tc>
          <w:tcPr>
            <w:tcW w:w="1276" w:type="dxa"/>
            <w:tcBorders>
              <w:top w:val="nil"/>
              <w:left w:val="single" w:sz="4" w:space="0" w:color="auto"/>
              <w:bottom w:val="nil"/>
              <w:right w:val="single" w:sz="4" w:space="0" w:color="auto"/>
            </w:tcBorders>
            <w:shd w:val="clear" w:color="auto" w:fill="auto"/>
            <w:vAlign w:val="bottom"/>
          </w:tcPr>
          <w:p w14:paraId="76F1C7F6"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1 237.86</w:t>
            </w:r>
          </w:p>
        </w:tc>
        <w:tc>
          <w:tcPr>
            <w:tcW w:w="1276" w:type="dxa"/>
            <w:tcBorders>
              <w:left w:val="single" w:sz="4" w:space="0" w:color="auto"/>
              <w:right w:val="single" w:sz="4" w:space="0" w:color="auto"/>
            </w:tcBorders>
            <w:shd w:val="clear" w:color="auto" w:fill="auto"/>
            <w:vAlign w:val="bottom"/>
          </w:tcPr>
          <w:p w14:paraId="34911A7C"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385.23</w:t>
            </w:r>
          </w:p>
        </w:tc>
        <w:tc>
          <w:tcPr>
            <w:tcW w:w="1134" w:type="dxa"/>
            <w:tcBorders>
              <w:top w:val="nil"/>
              <w:left w:val="single" w:sz="4" w:space="0" w:color="auto"/>
              <w:bottom w:val="nil"/>
              <w:right w:val="single" w:sz="4" w:space="0" w:color="auto"/>
            </w:tcBorders>
            <w:shd w:val="clear" w:color="auto" w:fill="auto"/>
            <w:vAlign w:val="bottom"/>
          </w:tcPr>
          <w:p w14:paraId="3DB1D319" w14:textId="77777777" w:rsidR="00651355" w:rsidRPr="00651355" w:rsidRDefault="00651355" w:rsidP="00651355">
            <w:pPr>
              <w:ind w:right="170"/>
              <w:jc w:val="right"/>
              <w:rPr>
                <w:rFonts w:eastAsia="Calibri"/>
                <w:sz w:val="18"/>
                <w:szCs w:val="18"/>
                <w:lang w:val="en-US" w:eastAsia="en-US"/>
              </w:rPr>
            </w:pPr>
            <w:r w:rsidRPr="00651355">
              <w:rPr>
                <w:rFonts w:eastAsia="Calibri"/>
                <w:sz w:val="18"/>
                <w:szCs w:val="18"/>
                <w:lang w:val="en-US" w:eastAsia="en-US"/>
              </w:rPr>
              <w:t>-3 401.69</w:t>
            </w:r>
          </w:p>
        </w:tc>
        <w:tc>
          <w:tcPr>
            <w:tcW w:w="1194" w:type="dxa"/>
            <w:tcBorders>
              <w:top w:val="nil"/>
              <w:left w:val="single" w:sz="4" w:space="0" w:color="auto"/>
              <w:bottom w:val="nil"/>
              <w:right w:val="single" w:sz="4" w:space="0" w:color="auto"/>
            </w:tcBorders>
            <w:shd w:val="clear" w:color="auto" w:fill="auto"/>
            <w:vAlign w:val="bottom"/>
          </w:tcPr>
          <w:p w14:paraId="69FC4DEE" w14:textId="77777777" w:rsidR="00651355" w:rsidRPr="00651355" w:rsidRDefault="00651355" w:rsidP="00651355">
            <w:pPr>
              <w:ind w:right="170"/>
              <w:jc w:val="right"/>
              <w:rPr>
                <w:rFonts w:eastAsia="Calibri"/>
                <w:bCs/>
                <w:sz w:val="18"/>
                <w:szCs w:val="18"/>
                <w:lang w:val="en-US" w:eastAsia="en-US"/>
              </w:rPr>
            </w:pPr>
            <w:r w:rsidRPr="00651355">
              <w:rPr>
                <w:rFonts w:eastAsia="Calibri"/>
                <w:bCs/>
                <w:sz w:val="18"/>
                <w:szCs w:val="18"/>
                <w:lang w:val="en-US" w:eastAsia="en-US"/>
              </w:rPr>
              <w:t>-852.62</w:t>
            </w:r>
          </w:p>
        </w:tc>
      </w:tr>
      <w:tr w:rsidR="00651355" w:rsidRPr="00651355" w14:paraId="0485F40B" w14:textId="77777777" w:rsidTr="00845A3F">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229752BA" w14:textId="77777777" w:rsidR="00651355" w:rsidRPr="00651355" w:rsidRDefault="00651355" w:rsidP="00651355">
            <w:pPr>
              <w:spacing w:after="120"/>
              <w:ind w:left="170"/>
              <w:rPr>
                <w:rFonts w:eastAsia="Calibri"/>
                <w:bCs/>
                <w:sz w:val="18"/>
                <w:szCs w:val="18"/>
                <w:lang w:val="en-US" w:eastAsia="en-US"/>
              </w:rPr>
            </w:pPr>
            <w:r w:rsidRPr="00651355">
              <w:rPr>
                <w:rFonts w:eastAsia="Calibri"/>
                <w:bCs/>
                <w:sz w:val="18"/>
                <w:szCs w:val="18"/>
                <w:lang w:val="en-US" w:eastAsia="en-US"/>
              </w:rPr>
              <w:t>Entidades gubernamentales</w:t>
            </w:r>
          </w:p>
        </w:tc>
        <w:tc>
          <w:tcPr>
            <w:tcW w:w="1134" w:type="dxa"/>
            <w:tcBorders>
              <w:left w:val="single" w:sz="4" w:space="0" w:color="auto"/>
              <w:right w:val="single" w:sz="4" w:space="0" w:color="auto"/>
            </w:tcBorders>
            <w:shd w:val="clear" w:color="auto" w:fill="auto"/>
            <w:vAlign w:val="bottom"/>
          </w:tcPr>
          <w:p w14:paraId="224D7121"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7 994.66</w:t>
            </w:r>
          </w:p>
        </w:tc>
        <w:tc>
          <w:tcPr>
            <w:tcW w:w="1276" w:type="dxa"/>
            <w:tcBorders>
              <w:top w:val="nil"/>
              <w:left w:val="single" w:sz="4" w:space="0" w:color="auto"/>
              <w:bottom w:val="nil"/>
              <w:right w:val="single" w:sz="4" w:space="0" w:color="auto"/>
            </w:tcBorders>
            <w:shd w:val="clear" w:color="auto" w:fill="auto"/>
            <w:vAlign w:val="bottom"/>
          </w:tcPr>
          <w:p w14:paraId="0FF9C460"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3 621.78</w:t>
            </w:r>
          </w:p>
        </w:tc>
        <w:tc>
          <w:tcPr>
            <w:tcW w:w="1276" w:type="dxa"/>
            <w:tcBorders>
              <w:left w:val="single" w:sz="4" w:space="0" w:color="auto"/>
              <w:right w:val="single" w:sz="4" w:space="0" w:color="auto"/>
            </w:tcBorders>
            <w:shd w:val="clear" w:color="auto" w:fill="auto"/>
            <w:vAlign w:val="bottom"/>
          </w:tcPr>
          <w:p w14:paraId="7BEF51FD"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3 689.53</w:t>
            </w:r>
          </w:p>
        </w:tc>
        <w:tc>
          <w:tcPr>
            <w:tcW w:w="1134" w:type="dxa"/>
            <w:tcBorders>
              <w:top w:val="nil"/>
              <w:left w:val="single" w:sz="4" w:space="0" w:color="auto"/>
              <w:bottom w:val="nil"/>
              <w:right w:val="single" w:sz="4" w:space="0" w:color="auto"/>
            </w:tcBorders>
            <w:shd w:val="clear" w:color="auto" w:fill="auto"/>
            <w:vAlign w:val="bottom"/>
          </w:tcPr>
          <w:p w14:paraId="2729632E" w14:textId="77777777" w:rsidR="00651355" w:rsidRPr="00651355" w:rsidRDefault="00651355" w:rsidP="00651355">
            <w:pPr>
              <w:spacing w:after="120"/>
              <w:ind w:right="170"/>
              <w:jc w:val="right"/>
              <w:rPr>
                <w:rFonts w:eastAsia="Calibri"/>
                <w:sz w:val="18"/>
                <w:szCs w:val="18"/>
                <w:lang w:val="en-US" w:eastAsia="en-US"/>
              </w:rPr>
            </w:pPr>
            <w:r w:rsidRPr="00651355">
              <w:rPr>
                <w:rFonts w:eastAsia="Calibri"/>
                <w:sz w:val="18"/>
                <w:szCs w:val="18"/>
                <w:lang w:val="en-US" w:eastAsia="en-US"/>
              </w:rPr>
              <w:t>-4 305.12</w:t>
            </w:r>
          </w:p>
        </w:tc>
        <w:tc>
          <w:tcPr>
            <w:tcW w:w="1194" w:type="dxa"/>
            <w:tcBorders>
              <w:top w:val="nil"/>
              <w:left w:val="single" w:sz="4" w:space="0" w:color="auto"/>
              <w:bottom w:val="nil"/>
              <w:right w:val="single" w:sz="4" w:space="0" w:color="auto"/>
            </w:tcBorders>
            <w:shd w:val="clear" w:color="auto" w:fill="auto"/>
            <w:vAlign w:val="bottom"/>
          </w:tcPr>
          <w:p w14:paraId="79CE9062" w14:textId="77777777" w:rsidR="00651355" w:rsidRPr="00651355" w:rsidRDefault="00651355" w:rsidP="00651355">
            <w:pPr>
              <w:spacing w:after="120"/>
              <w:ind w:right="170"/>
              <w:jc w:val="right"/>
              <w:rPr>
                <w:rFonts w:eastAsia="Calibri"/>
                <w:bCs/>
                <w:sz w:val="18"/>
                <w:szCs w:val="18"/>
                <w:lang w:val="en-US" w:eastAsia="en-US"/>
              </w:rPr>
            </w:pPr>
            <w:r w:rsidRPr="00651355">
              <w:rPr>
                <w:rFonts w:eastAsia="Calibri"/>
                <w:bCs/>
                <w:sz w:val="18"/>
                <w:szCs w:val="18"/>
                <w:lang w:val="en-US" w:eastAsia="en-US"/>
              </w:rPr>
              <w:t>67.75</w:t>
            </w:r>
          </w:p>
        </w:tc>
      </w:tr>
      <w:tr w:rsidR="00651355" w:rsidRPr="00651355" w14:paraId="656B2EAF" w14:textId="77777777" w:rsidTr="00845A3F">
        <w:trPr>
          <w:trHeight w:val="261"/>
          <w:jc w:val="center"/>
        </w:trPr>
        <w:tc>
          <w:tcPr>
            <w:tcW w:w="2846" w:type="dxa"/>
            <w:tcBorders>
              <w:top w:val="nil"/>
              <w:left w:val="single" w:sz="4" w:space="0" w:color="auto"/>
              <w:bottom w:val="nil"/>
              <w:right w:val="single" w:sz="4" w:space="0" w:color="auto"/>
            </w:tcBorders>
            <w:shd w:val="clear" w:color="auto" w:fill="auto"/>
            <w:vAlign w:val="center"/>
          </w:tcPr>
          <w:p w14:paraId="21F007F7"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Consumo</w:t>
            </w:r>
          </w:p>
        </w:tc>
        <w:tc>
          <w:tcPr>
            <w:tcW w:w="1134" w:type="dxa"/>
            <w:tcBorders>
              <w:left w:val="single" w:sz="4" w:space="0" w:color="auto"/>
              <w:right w:val="single" w:sz="4" w:space="0" w:color="auto"/>
            </w:tcBorders>
            <w:shd w:val="clear" w:color="auto" w:fill="auto"/>
            <w:vAlign w:val="bottom"/>
          </w:tcPr>
          <w:p w14:paraId="106E4A87"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196.61</w:t>
            </w:r>
          </w:p>
        </w:tc>
        <w:tc>
          <w:tcPr>
            <w:tcW w:w="1276" w:type="dxa"/>
            <w:tcBorders>
              <w:top w:val="nil"/>
              <w:left w:val="single" w:sz="4" w:space="0" w:color="auto"/>
              <w:bottom w:val="nil"/>
              <w:right w:val="single" w:sz="4" w:space="0" w:color="auto"/>
            </w:tcBorders>
            <w:shd w:val="clear" w:color="auto" w:fill="auto"/>
            <w:vAlign w:val="bottom"/>
          </w:tcPr>
          <w:p w14:paraId="722DCE91"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182.83</w:t>
            </w:r>
          </w:p>
        </w:tc>
        <w:tc>
          <w:tcPr>
            <w:tcW w:w="1276" w:type="dxa"/>
            <w:tcBorders>
              <w:left w:val="single" w:sz="4" w:space="0" w:color="auto"/>
              <w:right w:val="single" w:sz="4" w:space="0" w:color="auto"/>
            </w:tcBorders>
            <w:shd w:val="clear" w:color="auto" w:fill="auto"/>
            <w:vAlign w:val="bottom"/>
          </w:tcPr>
          <w:p w14:paraId="625A9359"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184.14</w:t>
            </w:r>
          </w:p>
        </w:tc>
        <w:tc>
          <w:tcPr>
            <w:tcW w:w="1134" w:type="dxa"/>
            <w:tcBorders>
              <w:top w:val="nil"/>
              <w:left w:val="single" w:sz="4" w:space="0" w:color="auto"/>
              <w:bottom w:val="nil"/>
              <w:right w:val="single" w:sz="4" w:space="0" w:color="auto"/>
            </w:tcBorders>
            <w:shd w:val="clear" w:color="auto" w:fill="auto"/>
            <w:vAlign w:val="bottom"/>
          </w:tcPr>
          <w:p w14:paraId="47D3B524"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-12.47</w:t>
            </w:r>
          </w:p>
        </w:tc>
        <w:tc>
          <w:tcPr>
            <w:tcW w:w="1194" w:type="dxa"/>
            <w:tcBorders>
              <w:top w:val="nil"/>
              <w:left w:val="single" w:sz="4" w:space="0" w:color="auto"/>
              <w:bottom w:val="nil"/>
              <w:right w:val="single" w:sz="4" w:space="0" w:color="auto"/>
            </w:tcBorders>
            <w:shd w:val="clear" w:color="auto" w:fill="auto"/>
            <w:vAlign w:val="bottom"/>
          </w:tcPr>
          <w:p w14:paraId="1FD910EE" w14:textId="77777777" w:rsidR="00651355" w:rsidRPr="00651355" w:rsidRDefault="00651355" w:rsidP="00651355">
            <w:pPr>
              <w:ind w:right="170"/>
              <w:jc w:val="right"/>
              <w:rPr>
                <w:rFonts w:eastAsia="Calibri"/>
                <w:b/>
                <w:bCs/>
                <w:sz w:val="18"/>
                <w:szCs w:val="18"/>
                <w:lang w:eastAsia="en-US"/>
              </w:rPr>
            </w:pPr>
            <w:r w:rsidRPr="00651355">
              <w:rPr>
                <w:rFonts w:eastAsia="Calibri"/>
                <w:b/>
                <w:bCs/>
                <w:sz w:val="18"/>
                <w:szCs w:val="18"/>
                <w:lang w:eastAsia="en-US"/>
              </w:rPr>
              <w:t>1.31</w:t>
            </w:r>
          </w:p>
        </w:tc>
      </w:tr>
      <w:tr w:rsidR="00651355" w:rsidRPr="00651355" w14:paraId="1584C367" w14:textId="77777777" w:rsidTr="00845A3F">
        <w:trPr>
          <w:trHeight w:val="64"/>
          <w:jc w:val="center"/>
        </w:trPr>
        <w:tc>
          <w:tcPr>
            <w:tcW w:w="2846" w:type="dxa"/>
            <w:tcBorders>
              <w:top w:val="nil"/>
              <w:left w:val="single" w:sz="4" w:space="0" w:color="auto"/>
              <w:bottom w:val="nil"/>
              <w:right w:val="single" w:sz="4" w:space="0" w:color="auto"/>
            </w:tcBorders>
            <w:shd w:val="clear" w:color="auto" w:fill="auto"/>
            <w:vAlign w:val="center"/>
          </w:tcPr>
          <w:p w14:paraId="5BEAE091"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Tarjeta de crédito</w:t>
            </w:r>
          </w:p>
        </w:tc>
        <w:tc>
          <w:tcPr>
            <w:tcW w:w="1134" w:type="dxa"/>
            <w:tcBorders>
              <w:left w:val="single" w:sz="4" w:space="0" w:color="auto"/>
              <w:right w:val="single" w:sz="4" w:space="0" w:color="auto"/>
            </w:tcBorders>
            <w:shd w:val="clear" w:color="auto" w:fill="auto"/>
            <w:vAlign w:val="bottom"/>
          </w:tcPr>
          <w:p w14:paraId="5CB5F137"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243.29</w:t>
            </w:r>
          </w:p>
        </w:tc>
        <w:tc>
          <w:tcPr>
            <w:tcW w:w="1276" w:type="dxa"/>
            <w:tcBorders>
              <w:top w:val="nil"/>
              <w:left w:val="single" w:sz="4" w:space="0" w:color="auto"/>
              <w:bottom w:val="nil"/>
              <w:right w:val="single" w:sz="4" w:space="0" w:color="auto"/>
            </w:tcBorders>
            <w:shd w:val="clear" w:color="auto" w:fill="auto"/>
            <w:vAlign w:val="bottom"/>
          </w:tcPr>
          <w:p w14:paraId="4AF3C35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215.16</w:t>
            </w:r>
          </w:p>
        </w:tc>
        <w:tc>
          <w:tcPr>
            <w:tcW w:w="1276" w:type="dxa"/>
            <w:tcBorders>
              <w:left w:val="single" w:sz="4" w:space="0" w:color="auto"/>
              <w:right w:val="single" w:sz="4" w:space="0" w:color="auto"/>
            </w:tcBorders>
            <w:shd w:val="clear" w:color="auto" w:fill="auto"/>
            <w:vAlign w:val="bottom"/>
          </w:tcPr>
          <w:p w14:paraId="0498C954"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218.40</w:t>
            </w:r>
          </w:p>
        </w:tc>
        <w:tc>
          <w:tcPr>
            <w:tcW w:w="1134" w:type="dxa"/>
            <w:tcBorders>
              <w:top w:val="nil"/>
              <w:left w:val="single" w:sz="4" w:space="0" w:color="auto"/>
              <w:bottom w:val="nil"/>
              <w:right w:val="single" w:sz="4" w:space="0" w:color="auto"/>
            </w:tcBorders>
            <w:shd w:val="clear" w:color="auto" w:fill="auto"/>
            <w:vAlign w:val="bottom"/>
          </w:tcPr>
          <w:p w14:paraId="7470594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-24.89</w:t>
            </w:r>
          </w:p>
        </w:tc>
        <w:tc>
          <w:tcPr>
            <w:tcW w:w="1194" w:type="dxa"/>
            <w:tcBorders>
              <w:top w:val="nil"/>
              <w:left w:val="single" w:sz="4" w:space="0" w:color="auto"/>
              <w:bottom w:val="nil"/>
              <w:right w:val="single" w:sz="4" w:space="0" w:color="auto"/>
            </w:tcBorders>
            <w:shd w:val="clear" w:color="auto" w:fill="auto"/>
            <w:vAlign w:val="bottom"/>
          </w:tcPr>
          <w:p w14:paraId="151D063B"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3.24</w:t>
            </w:r>
          </w:p>
        </w:tc>
      </w:tr>
      <w:tr w:rsidR="00651355" w:rsidRPr="00651355" w14:paraId="64F5D0C0" w14:textId="77777777" w:rsidTr="00845A3F">
        <w:trPr>
          <w:trHeight w:val="139"/>
          <w:jc w:val="center"/>
        </w:trPr>
        <w:tc>
          <w:tcPr>
            <w:tcW w:w="2846" w:type="dxa"/>
            <w:tcBorders>
              <w:top w:val="nil"/>
              <w:left w:val="single" w:sz="4" w:space="0" w:color="auto"/>
              <w:bottom w:val="nil"/>
              <w:right w:val="single" w:sz="4" w:space="0" w:color="auto"/>
            </w:tcBorders>
            <w:shd w:val="clear" w:color="auto" w:fill="auto"/>
            <w:vAlign w:val="center"/>
          </w:tcPr>
          <w:p w14:paraId="21490237"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Personales</w:t>
            </w:r>
          </w:p>
        </w:tc>
        <w:tc>
          <w:tcPr>
            <w:tcW w:w="1134" w:type="dxa"/>
            <w:tcBorders>
              <w:left w:val="single" w:sz="4" w:space="0" w:color="auto"/>
              <w:right w:val="single" w:sz="4" w:space="0" w:color="auto"/>
            </w:tcBorders>
            <w:shd w:val="clear" w:color="auto" w:fill="auto"/>
            <w:vAlign w:val="bottom"/>
          </w:tcPr>
          <w:p w14:paraId="08E6A983"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146.00</w:t>
            </w:r>
          </w:p>
        </w:tc>
        <w:tc>
          <w:tcPr>
            <w:tcW w:w="1276" w:type="dxa"/>
            <w:tcBorders>
              <w:top w:val="nil"/>
              <w:left w:val="single" w:sz="4" w:space="0" w:color="auto"/>
              <w:bottom w:val="nil"/>
              <w:right w:val="single" w:sz="4" w:space="0" w:color="auto"/>
            </w:tcBorders>
            <w:shd w:val="clear" w:color="auto" w:fill="auto"/>
            <w:vAlign w:val="bottom"/>
          </w:tcPr>
          <w:p w14:paraId="1401BC8B"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131.18</w:t>
            </w:r>
          </w:p>
        </w:tc>
        <w:tc>
          <w:tcPr>
            <w:tcW w:w="1276" w:type="dxa"/>
            <w:tcBorders>
              <w:left w:val="single" w:sz="4" w:space="0" w:color="auto"/>
              <w:right w:val="single" w:sz="4" w:space="0" w:color="auto"/>
            </w:tcBorders>
            <w:shd w:val="clear" w:color="auto" w:fill="auto"/>
            <w:vAlign w:val="bottom"/>
          </w:tcPr>
          <w:p w14:paraId="21AACB95"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130.07</w:t>
            </w:r>
          </w:p>
        </w:tc>
        <w:tc>
          <w:tcPr>
            <w:tcW w:w="1134" w:type="dxa"/>
            <w:tcBorders>
              <w:top w:val="nil"/>
              <w:left w:val="single" w:sz="4" w:space="0" w:color="auto"/>
              <w:bottom w:val="nil"/>
              <w:right w:val="single" w:sz="4" w:space="0" w:color="auto"/>
            </w:tcBorders>
            <w:shd w:val="clear" w:color="auto" w:fill="auto"/>
            <w:vAlign w:val="bottom"/>
          </w:tcPr>
          <w:p w14:paraId="3050D79D"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-15.93</w:t>
            </w:r>
          </w:p>
        </w:tc>
        <w:tc>
          <w:tcPr>
            <w:tcW w:w="1194" w:type="dxa"/>
            <w:tcBorders>
              <w:top w:val="nil"/>
              <w:left w:val="single" w:sz="4" w:space="0" w:color="auto"/>
              <w:bottom w:val="nil"/>
              <w:right w:val="single" w:sz="4" w:space="0" w:color="auto"/>
            </w:tcBorders>
            <w:shd w:val="clear" w:color="auto" w:fill="auto"/>
            <w:vAlign w:val="bottom"/>
          </w:tcPr>
          <w:p w14:paraId="286C7CA0"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-1.10</w:t>
            </w:r>
          </w:p>
        </w:tc>
      </w:tr>
      <w:tr w:rsidR="00651355" w:rsidRPr="00651355" w14:paraId="074AA66E" w14:textId="77777777" w:rsidTr="00845A3F">
        <w:trPr>
          <w:trHeight w:val="71"/>
          <w:jc w:val="center"/>
        </w:trPr>
        <w:tc>
          <w:tcPr>
            <w:tcW w:w="2846" w:type="dxa"/>
            <w:tcBorders>
              <w:top w:val="nil"/>
              <w:left w:val="single" w:sz="4" w:space="0" w:color="auto"/>
              <w:bottom w:val="nil"/>
              <w:right w:val="single" w:sz="4" w:space="0" w:color="auto"/>
            </w:tcBorders>
            <w:shd w:val="clear" w:color="auto" w:fill="auto"/>
            <w:vAlign w:val="center"/>
          </w:tcPr>
          <w:p w14:paraId="455652A8"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Nómina</w:t>
            </w:r>
          </w:p>
        </w:tc>
        <w:tc>
          <w:tcPr>
            <w:tcW w:w="1134" w:type="dxa"/>
            <w:tcBorders>
              <w:left w:val="single" w:sz="4" w:space="0" w:color="auto"/>
              <w:right w:val="single" w:sz="4" w:space="0" w:color="auto"/>
            </w:tcBorders>
            <w:shd w:val="clear" w:color="auto" w:fill="auto"/>
            <w:vAlign w:val="bottom"/>
          </w:tcPr>
          <w:p w14:paraId="1BADC90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205.45</w:t>
            </w:r>
          </w:p>
        </w:tc>
        <w:tc>
          <w:tcPr>
            <w:tcW w:w="1276" w:type="dxa"/>
            <w:tcBorders>
              <w:top w:val="nil"/>
              <w:left w:val="single" w:sz="4" w:space="0" w:color="auto"/>
              <w:bottom w:val="nil"/>
              <w:right w:val="single" w:sz="4" w:space="0" w:color="auto"/>
            </w:tcBorders>
            <w:shd w:val="clear" w:color="auto" w:fill="auto"/>
            <w:vAlign w:val="bottom"/>
          </w:tcPr>
          <w:p w14:paraId="7504FA43" w14:textId="43E873CB" w:rsidR="00651355" w:rsidRPr="00651355" w:rsidRDefault="00651355" w:rsidP="00D3436F">
            <w:pPr>
              <w:ind w:right="170"/>
              <w:jc w:val="right"/>
              <w:rPr>
                <w:rFonts w:eastAsia="Calibri"/>
                <w:sz w:val="18"/>
                <w:szCs w:val="18"/>
                <w:lang w:eastAsia="en-US"/>
              </w:rPr>
            </w:pPr>
            <w:r w:rsidRPr="00651355">
              <w:rPr>
                <w:rFonts w:eastAsia="Calibri"/>
                <w:sz w:val="18"/>
                <w:szCs w:val="18"/>
                <w:lang w:eastAsia="en-US"/>
              </w:rPr>
              <w:t>2</w:t>
            </w:r>
            <w:r w:rsidR="00D3436F">
              <w:rPr>
                <w:rFonts w:eastAsia="Calibri"/>
                <w:sz w:val="18"/>
                <w:szCs w:val="18"/>
                <w:lang w:eastAsia="en-US"/>
              </w:rPr>
              <w:t>20.16</w:t>
            </w:r>
          </w:p>
        </w:tc>
        <w:tc>
          <w:tcPr>
            <w:tcW w:w="1276" w:type="dxa"/>
            <w:tcBorders>
              <w:left w:val="single" w:sz="4" w:space="0" w:color="auto"/>
              <w:right w:val="single" w:sz="4" w:space="0" w:color="auto"/>
            </w:tcBorders>
            <w:shd w:val="clear" w:color="auto" w:fill="auto"/>
            <w:vAlign w:val="bottom"/>
          </w:tcPr>
          <w:p w14:paraId="5B01C07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220.82</w:t>
            </w:r>
          </w:p>
        </w:tc>
        <w:tc>
          <w:tcPr>
            <w:tcW w:w="1134" w:type="dxa"/>
            <w:tcBorders>
              <w:top w:val="nil"/>
              <w:left w:val="single" w:sz="4" w:space="0" w:color="auto"/>
              <w:bottom w:val="nil"/>
              <w:right w:val="single" w:sz="4" w:space="0" w:color="auto"/>
            </w:tcBorders>
            <w:shd w:val="clear" w:color="auto" w:fill="auto"/>
            <w:vAlign w:val="bottom"/>
          </w:tcPr>
          <w:p w14:paraId="6D40A2AA"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15.37</w:t>
            </w:r>
          </w:p>
        </w:tc>
        <w:tc>
          <w:tcPr>
            <w:tcW w:w="1194" w:type="dxa"/>
            <w:tcBorders>
              <w:top w:val="nil"/>
              <w:left w:val="single" w:sz="4" w:space="0" w:color="auto"/>
              <w:bottom w:val="nil"/>
              <w:right w:val="single" w:sz="4" w:space="0" w:color="auto"/>
            </w:tcBorders>
            <w:shd w:val="clear" w:color="auto" w:fill="auto"/>
            <w:vAlign w:val="bottom"/>
          </w:tcPr>
          <w:p w14:paraId="63AD3803"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0.67</w:t>
            </w:r>
          </w:p>
        </w:tc>
      </w:tr>
      <w:tr w:rsidR="00651355" w:rsidRPr="00651355" w14:paraId="6E2EA964" w14:textId="77777777" w:rsidTr="00845A3F">
        <w:trPr>
          <w:trHeight w:val="52"/>
          <w:jc w:val="center"/>
        </w:trPr>
        <w:tc>
          <w:tcPr>
            <w:tcW w:w="2846" w:type="dxa"/>
            <w:tcBorders>
              <w:top w:val="nil"/>
              <w:left w:val="single" w:sz="4" w:space="0" w:color="auto"/>
              <w:bottom w:val="nil"/>
              <w:right w:val="single" w:sz="4" w:space="0" w:color="auto"/>
            </w:tcBorders>
            <w:shd w:val="clear" w:color="auto" w:fill="auto"/>
            <w:vAlign w:val="center"/>
          </w:tcPr>
          <w:p w14:paraId="55DF8D8C"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ABCD</w:t>
            </w:r>
          </w:p>
        </w:tc>
        <w:tc>
          <w:tcPr>
            <w:tcW w:w="1134" w:type="dxa"/>
            <w:tcBorders>
              <w:left w:val="single" w:sz="4" w:space="0" w:color="auto"/>
              <w:right w:val="single" w:sz="4" w:space="0" w:color="auto"/>
            </w:tcBorders>
            <w:shd w:val="clear" w:color="auto" w:fill="auto"/>
            <w:vAlign w:val="bottom"/>
          </w:tcPr>
          <w:p w14:paraId="7C46078D"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0.00</w:t>
            </w:r>
          </w:p>
        </w:tc>
        <w:tc>
          <w:tcPr>
            <w:tcW w:w="1276" w:type="dxa"/>
            <w:tcBorders>
              <w:top w:val="nil"/>
              <w:left w:val="single" w:sz="4" w:space="0" w:color="auto"/>
              <w:bottom w:val="nil"/>
              <w:right w:val="single" w:sz="4" w:space="0" w:color="auto"/>
            </w:tcBorders>
            <w:shd w:val="clear" w:color="auto" w:fill="auto"/>
            <w:vAlign w:val="bottom"/>
          </w:tcPr>
          <w:p w14:paraId="259CA84E"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0.00</w:t>
            </w:r>
          </w:p>
        </w:tc>
        <w:tc>
          <w:tcPr>
            <w:tcW w:w="1276" w:type="dxa"/>
            <w:tcBorders>
              <w:left w:val="single" w:sz="4" w:space="0" w:color="auto"/>
              <w:right w:val="single" w:sz="4" w:space="0" w:color="auto"/>
            </w:tcBorders>
            <w:shd w:val="clear" w:color="auto" w:fill="auto"/>
            <w:vAlign w:val="bottom"/>
          </w:tcPr>
          <w:p w14:paraId="05F18A63"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0.00</w:t>
            </w:r>
          </w:p>
        </w:tc>
        <w:tc>
          <w:tcPr>
            <w:tcW w:w="1134" w:type="dxa"/>
            <w:tcBorders>
              <w:top w:val="nil"/>
              <w:left w:val="single" w:sz="4" w:space="0" w:color="auto"/>
              <w:bottom w:val="nil"/>
              <w:right w:val="single" w:sz="4" w:space="0" w:color="auto"/>
            </w:tcBorders>
            <w:shd w:val="clear" w:color="auto" w:fill="auto"/>
            <w:vAlign w:val="bottom"/>
          </w:tcPr>
          <w:p w14:paraId="1E56A779"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0.00</w:t>
            </w:r>
          </w:p>
        </w:tc>
        <w:tc>
          <w:tcPr>
            <w:tcW w:w="1194" w:type="dxa"/>
            <w:tcBorders>
              <w:top w:val="nil"/>
              <w:left w:val="single" w:sz="4" w:space="0" w:color="auto"/>
              <w:bottom w:val="nil"/>
              <w:right w:val="single" w:sz="4" w:space="0" w:color="auto"/>
            </w:tcBorders>
            <w:shd w:val="clear" w:color="auto" w:fill="auto"/>
            <w:vAlign w:val="bottom"/>
          </w:tcPr>
          <w:p w14:paraId="7D638693"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0.00</w:t>
            </w:r>
          </w:p>
        </w:tc>
      </w:tr>
      <w:tr w:rsidR="00651355" w:rsidRPr="00651355" w14:paraId="6BBB108F" w14:textId="77777777" w:rsidTr="00845A3F">
        <w:trPr>
          <w:trHeight w:val="91"/>
          <w:jc w:val="center"/>
        </w:trPr>
        <w:tc>
          <w:tcPr>
            <w:tcW w:w="2846" w:type="dxa"/>
            <w:tcBorders>
              <w:top w:val="nil"/>
              <w:left w:val="single" w:sz="4" w:space="0" w:color="auto"/>
              <w:bottom w:val="nil"/>
              <w:right w:val="single" w:sz="4" w:space="0" w:color="auto"/>
            </w:tcBorders>
            <w:shd w:val="clear" w:color="auto" w:fill="auto"/>
            <w:vAlign w:val="center"/>
          </w:tcPr>
          <w:p w14:paraId="0F254210"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Automotriz</w:t>
            </w:r>
          </w:p>
        </w:tc>
        <w:tc>
          <w:tcPr>
            <w:tcW w:w="1134" w:type="dxa"/>
            <w:tcBorders>
              <w:left w:val="single" w:sz="4" w:space="0" w:color="auto"/>
              <w:right w:val="single" w:sz="4" w:space="0" w:color="auto"/>
            </w:tcBorders>
            <w:shd w:val="clear" w:color="auto" w:fill="auto"/>
            <w:vAlign w:val="bottom"/>
          </w:tcPr>
          <w:p w14:paraId="23642679"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211.56</w:t>
            </w:r>
          </w:p>
        </w:tc>
        <w:tc>
          <w:tcPr>
            <w:tcW w:w="1276" w:type="dxa"/>
            <w:tcBorders>
              <w:top w:val="nil"/>
              <w:left w:val="single" w:sz="4" w:space="0" w:color="auto"/>
              <w:bottom w:val="nil"/>
              <w:right w:val="single" w:sz="4" w:space="0" w:color="auto"/>
            </w:tcBorders>
            <w:shd w:val="clear" w:color="auto" w:fill="auto"/>
            <w:vAlign w:val="bottom"/>
          </w:tcPr>
          <w:p w14:paraId="5424AE72"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223.60</w:t>
            </w:r>
          </w:p>
        </w:tc>
        <w:tc>
          <w:tcPr>
            <w:tcW w:w="1276" w:type="dxa"/>
            <w:tcBorders>
              <w:left w:val="single" w:sz="4" w:space="0" w:color="auto"/>
              <w:right w:val="single" w:sz="4" w:space="0" w:color="auto"/>
            </w:tcBorders>
            <w:shd w:val="clear" w:color="auto" w:fill="auto"/>
            <w:vAlign w:val="bottom"/>
          </w:tcPr>
          <w:p w14:paraId="1E4537FD"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225.61</w:t>
            </w:r>
          </w:p>
        </w:tc>
        <w:tc>
          <w:tcPr>
            <w:tcW w:w="1134" w:type="dxa"/>
            <w:tcBorders>
              <w:top w:val="nil"/>
              <w:left w:val="single" w:sz="4" w:space="0" w:color="auto"/>
              <w:bottom w:val="nil"/>
              <w:right w:val="single" w:sz="4" w:space="0" w:color="auto"/>
            </w:tcBorders>
            <w:shd w:val="clear" w:color="auto" w:fill="auto"/>
            <w:vAlign w:val="bottom"/>
          </w:tcPr>
          <w:p w14:paraId="60819FF4"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14.04</w:t>
            </w:r>
          </w:p>
        </w:tc>
        <w:tc>
          <w:tcPr>
            <w:tcW w:w="1194" w:type="dxa"/>
            <w:tcBorders>
              <w:top w:val="nil"/>
              <w:left w:val="single" w:sz="4" w:space="0" w:color="auto"/>
              <w:bottom w:val="nil"/>
              <w:right w:val="single" w:sz="4" w:space="0" w:color="auto"/>
            </w:tcBorders>
            <w:shd w:val="clear" w:color="auto" w:fill="auto"/>
            <w:vAlign w:val="bottom"/>
          </w:tcPr>
          <w:p w14:paraId="67E23293"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2.01</w:t>
            </w:r>
          </w:p>
        </w:tc>
      </w:tr>
      <w:tr w:rsidR="00651355" w:rsidRPr="00651355" w14:paraId="04068223" w14:textId="77777777" w:rsidTr="00845A3F">
        <w:trPr>
          <w:trHeight w:val="52"/>
          <w:jc w:val="center"/>
        </w:trPr>
        <w:tc>
          <w:tcPr>
            <w:tcW w:w="2846" w:type="dxa"/>
            <w:tcBorders>
              <w:top w:val="nil"/>
              <w:left w:val="single" w:sz="4" w:space="0" w:color="auto"/>
              <w:bottom w:val="nil"/>
              <w:right w:val="single" w:sz="4" w:space="0" w:color="auto"/>
            </w:tcBorders>
            <w:shd w:val="clear" w:color="auto" w:fill="auto"/>
            <w:vAlign w:val="center"/>
          </w:tcPr>
          <w:p w14:paraId="02773204" w14:textId="77777777" w:rsidR="00651355" w:rsidRPr="00651355" w:rsidRDefault="00651355" w:rsidP="00651355">
            <w:pPr>
              <w:ind w:left="340"/>
              <w:rPr>
                <w:rFonts w:eastAsia="Calibri"/>
                <w:bCs/>
                <w:sz w:val="18"/>
                <w:szCs w:val="18"/>
                <w:lang w:eastAsia="en-US"/>
              </w:rPr>
            </w:pPr>
            <w:r w:rsidRPr="00651355">
              <w:rPr>
                <w:rFonts w:eastAsia="Calibri"/>
                <w:bCs/>
                <w:sz w:val="18"/>
                <w:szCs w:val="18"/>
                <w:lang w:eastAsia="en-US"/>
              </w:rPr>
              <w:t>Adquisición de bienes muebles</w:t>
            </w:r>
          </w:p>
        </w:tc>
        <w:tc>
          <w:tcPr>
            <w:tcW w:w="1134" w:type="dxa"/>
            <w:tcBorders>
              <w:left w:val="single" w:sz="4" w:space="0" w:color="auto"/>
              <w:right w:val="single" w:sz="4" w:space="0" w:color="auto"/>
            </w:tcBorders>
            <w:shd w:val="clear" w:color="auto" w:fill="auto"/>
            <w:vAlign w:val="bottom"/>
          </w:tcPr>
          <w:p w14:paraId="31C684DE"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76.28</w:t>
            </w:r>
          </w:p>
        </w:tc>
        <w:tc>
          <w:tcPr>
            <w:tcW w:w="1276" w:type="dxa"/>
            <w:tcBorders>
              <w:top w:val="nil"/>
              <w:left w:val="single" w:sz="4" w:space="0" w:color="auto"/>
              <w:bottom w:val="nil"/>
              <w:right w:val="single" w:sz="4" w:space="0" w:color="auto"/>
            </w:tcBorders>
            <w:shd w:val="clear" w:color="auto" w:fill="auto"/>
            <w:vAlign w:val="bottom"/>
          </w:tcPr>
          <w:p w14:paraId="27E40215"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94.62</w:t>
            </w:r>
          </w:p>
        </w:tc>
        <w:tc>
          <w:tcPr>
            <w:tcW w:w="1276" w:type="dxa"/>
            <w:tcBorders>
              <w:left w:val="single" w:sz="4" w:space="0" w:color="auto"/>
              <w:right w:val="single" w:sz="4" w:space="0" w:color="auto"/>
            </w:tcBorders>
            <w:shd w:val="clear" w:color="auto" w:fill="auto"/>
            <w:vAlign w:val="bottom"/>
          </w:tcPr>
          <w:p w14:paraId="7130AA68"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96.06</w:t>
            </w:r>
          </w:p>
        </w:tc>
        <w:tc>
          <w:tcPr>
            <w:tcW w:w="1134" w:type="dxa"/>
            <w:tcBorders>
              <w:top w:val="nil"/>
              <w:left w:val="single" w:sz="4" w:space="0" w:color="auto"/>
              <w:bottom w:val="nil"/>
              <w:right w:val="single" w:sz="4" w:space="0" w:color="auto"/>
            </w:tcBorders>
            <w:shd w:val="clear" w:color="auto" w:fill="auto"/>
            <w:vAlign w:val="bottom"/>
          </w:tcPr>
          <w:p w14:paraId="73063C42"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19.78</w:t>
            </w:r>
          </w:p>
        </w:tc>
        <w:tc>
          <w:tcPr>
            <w:tcW w:w="1194" w:type="dxa"/>
            <w:tcBorders>
              <w:top w:val="nil"/>
              <w:left w:val="single" w:sz="4" w:space="0" w:color="auto"/>
              <w:bottom w:val="nil"/>
              <w:right w:val="single" w:sz="4" w:space="0" w:color="auto"/>
            </w:tcBorders>
            <w:shd w:val="clear" w:color="auto" w:fill="auto"/>
            <w:vAlign w:val="bottom"/>
          </w:tcPr>
          <w:p w14:paraId="5142A025"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1.45</w:t>
            </w:r>
          </w:p>
        </w:tc>
      </w:tr>
      <w:tr w:rsidR="00651355" w:rsidRPr="00651355" w14:paraId="0D07F58C" w14:textId="77777777" w:rsidTr="00845A3F">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08BB3243"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Operaciones de arrendamiento capitalizable</w:t>
            </w:r>
          </w:p>
        </w:tc>
        <w:tc>
          <w:tcPr>
            <w:tcW w:w="1134" w:type="dxa"/>
            <w:tcBorders>
              <w:left w:val="single" w:sz="4" w:space="0" w:color="auto"/>
              <w:right w:val="single" w:sz="4" w:space="0" w:color="auto"/>
            </w:tcBorders>
            <w:shd w:val="clear" w:color="auto" w:fill="auto"/>
            <w:vAlign w:val="bottom"/>
          </w:tcPr>
          <w:p w14:paraId="1083FB00"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60.76</w:t>
            </w:r>
          </w:p>
        </w:tc>
        <w:tc>
          <w:tcPr>
            <w:tcW w:w="1276" w:type="dxa"/>
            <w:tcBorders>
              <w:top w:val="nil"/>
              <w:left w:val="single" w:sz="4" w:space="0" w:color="auto"/>
              <w:bottom w:val="nil"/>
              <w:right w:val="single" w:sz="4" w:space="0" w:color="auto"/>
            </w:tcBorders>
            <w:shd w:val="clear" w:color="auto" w:fill="auto"/>
            <w:vAlign w:val="bottom"/>
          </w:tcPr>
          <w:p w14:paraId="3240ED7E"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55.64</w:t>
            </w:r>
          </w:p>
        </w:tc>
        <w:tc>
          <w:tcPr>
            <w:tcW w:w="1276" w:type="dxa"/>
            <w:tcBorders>
              <w:left w:val="single" w:sz="4" w:space="0" w:color="auto"/>
              <w:right w:val="single" w:sz="4" w:space="0" w:color="auto"/>
            </w:tcBorders>
            <w:shd w:val="clear" w:color="auto" w:fill="auto"/>
            <w:vAlign w:val="bottom"/>
          </w:tcPr>
          <w:p w14:paraId="7FE3C0FA"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56.66</w:t>
            </w:r>
          </w:p>
        </w:tc>
        <w:tc>
          <w:tcPr>
            <w:tcW w:w="1134" w:type="dxa"/>
            <w:tcBorders>
              <w:top w:val="nil"/>
              <w:left w:val="single" w:sz="4" w:space="0" w:color="auto"/>
              <w:bottom w:val="nil"/>
              <w:right w:val="single" w:sz="4" w:space="0" w:color="auto"/>
            </w:tcBorders>
            <w:shd w:val="clear" w:color="auto" w:fill="auto"/>
            <w:vAlign w:val="bottom"/>
          </w:tcPr>
          <w:p w14:paraId="5F6F3E97"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-4.09</w:t>
            </w:r>
          </w:p>
        </w:tc>
        <w:tc>
          <w:tcPr>
            <w:tcW w:w="1194" w:type="dxa"/>
            <w:tcBorders>
              <w:top w:val="nil"/>
              <w:left w:val="single" w:sz="4" w:space="0" w:color="auto"/>
              <w:bottom w:val="nil"/>
              <w:right w:val="single" w:sz="4" w:space="0" w:color="auto"/>
            </w:tcBorders>
            <w:shd w:val="clear" w:color="auto" w:fill="auto"/>
            <w:vAlign w:val="bottom"/>
          </w:tcPr>
          <w:p w14:paraId="49C105CA"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1.02</w:t>
            </w:r>
          </w:p>
        </w:tc>
      </w:tr>
      <w:tr w:rsidR="00651355" w:rsidRPr="00651355" w14:paraId="6D916E9F" w14:textId="77777777" w:rsidTr="00845A3F">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0563A333"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Otros créditos de consumo</w:t>
            </w:r>
          </w:p>
        </w:tc>
        <w:tc>
          <w:tcPr>
            <w:tcW w:w="1134" w:type="dxa"/>
            <w:tcBorders>
              <w:left w:val="single" w:sz="4" w:space="0" w:color="auto"/>
              <w:right w:val="single" w:sz="4" w:space="0" w:color="auto"/>
            </w:tcBorders>
            <w:shd w:val="clear" w:color="auto" w:fill="auto"/>
            <w:vAlign w:val="bottom"/>
          </w:tcPr>
          <w:p w14:paraId="5A789CDD"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94.16</w:t>
            </w:r>
          </w:p>
        </w:tc>
        <w:tc>
          <w:tcPr>
            <w:tcW w:w="1276" w:type="dxa"/>
            <w:tcBorders>
              <w:top w:val="nil"/>
              <w:left w:val="single" w:sz="4" w:space="0" w:color="auto"/>
              <w:bottom w:val="nil"/>
              <w:right w:val="single" w:sz="4" w:space="0" w:color="auto"/>
            </w:tcBorders>
            <w:shd w:val="clear" w:color="auto" w:fill="auto"/>
            <w:vAlign w:val="bottom"/>
          </w:tcPr>
          <w:p w14:paraId="6026B31C"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92.69</w:t>
            </w:r>
          </w:p>
        </w:tc>
        <w:tc>
          <w:tcPr>
            <w:tcW w:w="1276" w:type="dxa"/>
            <w:tcBorders>
              <w:left w:val="single" w:sz="4" w:space="0" w:color="auto"/>
              <w:right w:val="single" w:sz="4" w:space="0" w:color="auto"/>
            </w:tcBorders>
            <w:shd w:val="clear" w:color="auto" w:fill="auto"/>
            <w:vAlign w:val="bottom"/>
          </w:tcPr>
          <w:p w14:paraId="47B2176E"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91.79</w:t>
            </w:r>
          </w:p>
        </w:tc>
        <w:tc>
          <w:tcPr>
            <w:tcW w:w="1134" w:type="dxa"/>
            <w:tcBorders>
              <w:top w:val="nil"/>
              <w:left w:val="single" w:sz="4" w:space="0" w:color="auto"/>
              <w:bottom w:val="nil"/>
              <w:right w:val="single" w:sz="4" w:space="0" w:color="auto"/>
            </w:tcBorders>
            <w:shd w:val="clear" w:color="auto" w:fill="auto"/>
            <w:vAlign w:val="bottom"/>
          </w:tcPr>
          <w:p w14:paraId="1639C422"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-2.37</w:t>
            </w:r>
          </w:p>
        </w:tc>
        <w:tc>
          <w:tcPr>
            <w:tcW w:w="1194" w:type="dxa"/>
            <w:tcBorders>
              <w:top w:val="nil"/>
              <w:left w:val="single" w:sz="4" w:space="0" w:color="auto"/>
              <w:bottom w:val="nil"/>
              <w:right w:val="single" w:sz="4" w:space="0" w:color="auto"/>
            </w:tcBorders>
            <w:shd w:val="clear" w:color="auto" w:fill="auto"/>
            <w:vAlign w:val="bottom"/>
          </w:tcPr>
          <w:p w14:paraId="412618C7" w14:textId="77777777" w:rsidR="00651355" w:rsidRPr="00651355" w:rsidRDefault="00651355" w:rsidP="00651355">
            <w:pPr>
              <w:spacing w:after="120"/>
              <w:ind w:right="170"/>
              <w:jc w:val="right"/>
              <w:rPr>
                <w:rFonts w:eastAsia="Calibri"/>
                <w:bCs/>
                <w:sz w:val="18"/>
                <w:szCs w:val="18"/>
                <w:lang w:eastAsia="en-US"/>
              </w:rPr>
            </w:pPr>
            <w:r w:rsidRPr="00651355">
              <w:rPr>
                <w:rFonts w:eastAsia="Calibri"/>
                <w:bCs/>
                <w:sz w:val="18"/>
                <w:szCs w:val="18"/>
                <w:lang w:eastAsia="en-US"/>
              </w:rPr>
              <w:t>-0.90</w:t>
            </w:r>
          </w:p>
        </w:tc>
      </w:tr>
      <w:tr w:rsidR="00651355" w:rsidRPr="00651355" w14:paraId="3850A465" w14:textId="77777777" w:rsidTr="00845A3F">
        <w:trPr>
          <w:trHeight w:val="271"/>
          <w:jc w:val="center"/>
        </w:trPr>
        <w:tc>
          <w:tcPr>
            <w:tcW w:w="2846" w:type="dxa"/>
            <w:tcBorders>
              <w:top w:val="nil"/>
              <w:left w:val="single" w:sz="4" w:space="0" w:color="auto"/>
              <w:bottom w:val="nil"/>
              <w:right w:val="single" w:sz="4" w:space="0" w:color="auto"/>
            </w:tcBorders>
            <w:shd w:val="clear" w:color="auto" w:fill="auto"/>
            <w:vAlign w:val="center"/>
          </w:tcPr>
          <w:p w14:paraId="7F4DABEA" w14:textId="77777777" w:rsidR="00651355" w:rsidRPr="00651355" w:rsidRDefault="00651355" w:rsidP="00651355">
            <w:pPr>
              <w:rPr>
                <w:rFonts w:eastAsia="Calibri"/>
                <w:b/>
                <w:bCs/>
                <w:sz w:val="18"/>
                <w:szCs w:val="18"/>
                <w:lang w:eastAsia="en-US"/>
              </w:rPr>
            </w:pPr>
            <w:r w:rsidRPr="00651355">
              <w:rPr>
                <w:rFonts w:eastAsia="Calibri"/>
                <w:b/>
                <w:bCs/>
                <w:sz w:val="18"/>
                <w:szCs w:val="18"/>
                <w:lang w:eastAsia="en-US"/>
              </w:rPr>
              <w:t>Vivienda</w:t>
            </w:r>
          </w:p>
        </w:tc>
        <w:tc>
          <w:tcPr>
            <w:tcW w:w="1134" w:type="dxa"/>
            <w:tcBorders>
              <w:left w:val="single" w:sz="4" w:space="0" w:color="auto"/>
              <w:right w:val="single" w:sz="4" w:space="0" w:color="auto"/>
            </w:tcBorders>
            <w:shd w:val="clear" w:color="auto" w:fill="auto"/>
            <w:vAlign w:val="bottom"/>
          </w:tcPr>
          <w:p w14:paraId="61C92E69"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47.65</w:t>
            </w:r>
          </w:p>
        </w:tc>
        <w:tc>
          <w:tcPr>
            <w:tcW w:w="1276" w:type="dxa"/>
            <w:tcBorders>
              <w:top w:val="nil"/>
              <w:left w:val="single" w:sz="4" w:space="0" w:color="auto"/>
              <w:bottom w:val="nil"/>
              <w:right w:val="single" w:sz="4" w:space="0" w:color="auto"/>
            </w:tcBorders>
            <w:shd w:val="clear" w:color="auto" w:fill="auto"/>
            <w:vAlign w:val="bottom"/>
          </w:tcPr>
          <w:p w14:paraId="7E065C77"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45.53</w:t>
            </w:r>
          </w:p>
        </w:tc>
        <w:tc>
          <w:tcPr>
            <w:tcW w:w="1276" w:type="dxa"/>
            <w:tcBorders>
              <w:left w:val="single" w:sz="4" w:space="0" w:color="auto"/>
              <w:right w:val="single" w:sz="4" w:space="0" w:color="auto"/>
            </w:tcBorders>
            <w:shd w:val="clear" w:color="auto" w:fill="auto"/>
            <w:vAlign w:val="bottom"/>
          </w:tcPr>
          <w:p w14:paraId="551637C4"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45.56</w:t>
            </w:r>
          </w:p>
        </w:tc>
        <w:tc>
          <w:tcPr>
            <w:tcW w:w="1134" w:type="dxa"/>
            <w:tcBorders>
              <w:top w:val="nil"/>
              <w:left w:val="single" w:sz="4" w:space="0" w:color="auto"/>
              <w:bottom w:val="nil"/>
              <w:right w:val="single" w:sz="4" w:space="0" w:color="auto"/>
            </w:tcBorders>
            <w:shd w:val="clear" w:color="auto" w:fill="auto"/>
            <w:vAlign w:val="bottom"/>
          </w:tcPr>
          <w:p w14:paraId="506641D4" w14:textId="77777777" w:rsidR="00651355" w:rsidRPr="00651355" w:rsidRDefault="00651355" w:rsidP="00651355">
            <w:pPr>
              <w:ind w:right="170"/>
              <w:jc w:val="right"/>
              <w:rPr>
                <w:rFonts w:eastAsia="Calibri"/>
                <w:b/>
                <w:sz w:val="18"/>
                <w:szCs w:val="18"/>
                <w:lang w:eastAsia="en-US"/>
              </w:rPr>
            </w:pPr>
            <w:r w:rsidRPr="00651355">
              <w:rPr>
                <w:rFonts w:eastAsia="Calibri"/>
                <w:b/>
                <w:sz w:val="18"/>
                <w:szCs w:val="18"/>
                <w:lang w:eastAsia="en-US"/>
              </w:rPr>
              <w:t>-2.09</w:t>
            </w:r>
          </w:p>
        </w:tc>
        <w:tc>
          <w:tcPr>
            <w:tcW w:w="1194" w:type="dxa"/>
            <w:tcBorders>
              <w:top w:val="nil"/>
              <w:left w:val="single" w:sz="4" w:space="0" w:color="auto"/>
              <w:bottom w:val="nil"/>
              <w:right w:val="single" w:sz="4" w:space="0" w:color="auto"/>
            </w:tcBorders>
            <w:shd w:val="clear" w:color="auto" w:fill="auto"/>
            <w:vAlign w:val="bottom"/>
          </w:tcPr>
          <w:p w14:paraId="7DF843DE" w14:textId="77777777" w:rsidR="00651355" w:rsidRPr="00651355" w:rsidRDefault="00651355" w:rsidP="00651355">
            <w:pPr>
              <w:ind w:right="170"/>
              <w:jc w:val="right"/>
              <w:rPr>
                <w:rFonts w:eastAsia="Calibri"/>
                <w:b/>
                <w:bCs/>
                <w:sz w:val="18"/>
                <w:szCs w:val="18"/>
                <w:lang w:eastAsia="en-US"/>
              </w:rPr>
            </w:pPr>
            <w:r w:rsidRPr="00651355">
              <w:rPr>
                <w:rFonts w:eastAsia="Calibri"/>
                <w:b/>
                <w:bCs/>
                <w:sz w:val="18"/>
                <w:szCs w:val="18"/>
                <w:lang w:eastAsia="en-US"/>
              </w:rPr>
              <w:t>0.03</w:t>
            </w:r>
          </w:p>
        </w:tc>
      </w:tr>
      <w:tr w:rsidR="00651355" w:rsidRPr="00651355" w14:paraId="7441D175" w14:textId="77777777" w:rsidTr="00845A3F">
        <w:trPr>
          <w:trHeight w:val="82"/>
          <w:jc w:val="center"/>
        </w:trPr>
        <w:tc>
          <w:tcPr>
            <w:tcW w:w="2846" w:type="dxa"/>
            <w:tcBorders>
              <w:top w:val="nil"/>
              <w:left w:val="single" w:sz="4" w:space="0" w:color="auto"/>
              <w:bottom w:val="nil"/>
              <w:right w:val="single" w:sz="4" w:space="0" w:color="auto"/>
            </w:tcBorders>
            <w:shd w:val="clear" w:color="auto" w:fill="auto"/>
            <w:vAlign w:val="center"/>
          </w:tcPr>
          <w:p w14:paraId="08BF7D34" w14:textId="77777777" w:rsidR="00651355" w:rsidRPr="00651355" w:rsidRDefault="00651355" w:rsidP="00651355">
            <w:pPr>
              <w:ind w:left="170"/>
              <w:rPr>
                <w:rFonts w:eastAsia="Calibri"/>
                <w:bCs/>
                <w:sz w:val="18"/>
                <w:szCs w:val="18"/>
                <w:lang w:eastAsia="en-US"/>
              </w:rPr>
            </w:pPr>
            <w:r w:rsidRPr="00651355">
              <w:rPr>
                <w:rFonts w:eastAsia="Calibri"/>
                <w:bCs/>
                <w:sz w:val="18"/>
                <w:szCs w:val="18"/>
                <w:lang w:eastAsia="en-US"/>
              </w:rPr>
              <w:t>Media y residencial</w:t>
            </w:r>
          </w:p>
        </w:tc>
        <w:tc>
          <w:tcPr>
            <w:tcW w:w="1134" w:type="dxa"/>
            <w:tcBorders>
              <w:left w:val="single" w:sz="4" w:space="0" w:color="auto"/>
              <w:right w:val="single" w:sz="4" w:space="0" w:color="auto"/>
            </w:tcBorders>
            <w:shd w:val="clear" w:color="auto" w:fill="auto"/>
            <w:vAlign w:val="bottom"/>
          </w:tcPr>
          <w:p w14:paraId="3532E472"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42.06</w:t>
            </w:r>
          </w:p>
        </w:tc>
        <w:tc>
          <w:tcPr>
            <w:tcW w:w="1276" w:type="dxa"/>
            <w:tcBorders>
              <w:top w:val="nil"/>
              <w:left w:val="single" w:sz="4" w:space="0" w:color="auto"/>
              <w:bottom w:val="nil"/>
              <w:right w:val="single" w:sz="4" w:space="0" w:color="auto"/>
            </w:tcBorders>
            <w:shd w:val="clear" w:color="auto" w:fill="auto"/>
            <w:vAlign w:val="bottom"/>
          </w:tcPr>
          <w:p w14:paraId="7C72B7DC"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42.25</w:t>
            </w:r>
          </w:p>
        </w:tc>
        <w:tc>
          <w:tcPr>
            <w:tcW w:w="1276" w:type="dxa"/>
            <w:tcBorders>
              <w:left w:val="single" w:sz="4" w:space="0" w:color="auto"/>
              <w:right w:val="single" w:sz="4" w:space="0" w:color="auto"/>
            </w:tcBorders>
            <w:shd w:val="clear" w:color="auto" w:fill="auto"/>
            <w:vAlign w:val="bottom"/>
          </w:tcPr>
          <w:p w14:paraId="580479F1"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42.19</w:t>
            </w:r>
          </w:p>
        </w:tc>
        <w:tc>
          <w:tcPr>
            <w:tcW w:w="1134" w:type="dxa"/>
            <w:tcBorders>
              <w:top w:val="nil"/>
              <w:left w:val="single" w:sz="4" w:space="0" w:color="auto"/>
              <w:bottom w:val="nil"/>
              <w:right w:val="single" w:sz="4" w:space="0" w:color="auto"/>
            </w:tcBorders>
            <w:shd w:val="clear" w:color="auto" w:fill="auto"/>
            <w:vAlign w:val="bottom"/>
          </w:tcPr>
          <w:p w14:paraId="3EC6F8AE" w14:textId="77777777" w:rsidR="00651355" w:rsidRPr="00651355" w:rsidRDefault="00651355" w:rsidP="00651355">
            <w:pPr>
              <w:ind w:right="170"/>
              <w:jc w:val="right"/>
              <w:rPr>
                <w:rFonts w:eastAsia="Calibri"/>
                <w:sz w:val="18"/>
                <w:szCs w:val="18"/>
                <w:lang w:eastAsia="en-US"/>
              </w:rPr>
            </w:pPr>
            <w:r w:rsidRPr="00651355">
              <w:rPr>
                <w:rFonts w:eastAsia="Calibri"/>
                <w:sz w:val="18"/>
                <w:szCs w:val="18"/>
                <w:lang w:eastAsia="en-US"/>
              </w:rPr>
              <w:t>0.13</w:t>
            </w:r>
          </w:p>
        </w:tc>
        <w:tc>
          <w:tcPr>
            <w:tcW w:w="1194" w:type="dxa"/>
            <w:tcBorders>
              <w:top w:val="nil"/>
              <w:left w:val="single" w:sz="4" w:space="0" w:color="auto"/>
              <w:bottom w:val="nil"/>
              <w:right w:val="single" w:sz="4" w:space="0" w:color="auto"/>
            </w:tcBorders>
            <w:shd w:val="clear" w:color="auto" w:fill="auto"/>
            <w:vAlign w:val="bottom"/>
          </w:tcPr>
          <w:p w14:paraId="723EF4CA" w14:textId="77777777" w:rsidR="00651355" w:rsidRPr="00651355" w:rsidRDefault="00651355" w:rsidP="00651355">
            <w:pPr>
              <w:ind w:right="170"/>
              <w:jc w:val="right"/>
              <w:rPr>
                <w:rFonts w:eastAsia="Calibri"/>
                <w:bCs/>
                <w:sz w:val="18"/>
                <w:szCs w:val="18"/>
                <w:lang w:eastAsia="en-US"/>
              </w:rPr>
            </w:pPr>
            <w:r w:rsidRPr="00651355">
              <w:rPr>
                <w:rFonts w:eastAsia="Calibri"/>
                <w:bCs/>
                <w:sz w:val="18"/>
                <w:szCs w:val="18"/>
                <w:lang w:eastAsia="en-US"/>
              </w:rPr>
              <w:t>-0.06</w:t>
            </w:r>
          </w:p>
        </w:tc>
      </w:tr>
      <w:tr w:rsidR="00651355" w:rsidRPr="00651355" w14:paraId="53778C6C" w14:textId="77777777" w:rsidTr="00845A3F">
        <w:trPr>
          <w:trHeight w:val="156"/>
          <w:jc w:val="center"/>
        </w:trPr>
        <w:tc>
          <w:tcPr>
            <w:tcW w:w="2846" w:type="dxa"/>
            <w:tcBorders>
              <w:top w:val="nil"/>
              <w:left w:val="single" w:sz="4" w:space="0" w:color="auto"/>
              <w:bottom w:val="single" w:sz="4" w:space="0" w:color="auto"/>
              <w:right w:val="single" w:sz="4" w:space="0" w:color="auto"/>
            </w:tcBorders>
            <w:shd w:val="clear" w:color="auto" w:fill="auto"/>
            <w:vAlign w:val="center"/>
          </w:tcPr>
          <w:p w14:paraId="1C0D5AE2" w14:textId="77777777" w:rsidR="00651355" w:rsidRPr="00651355" w:rsidRDefault="00651355" w:rsidP="00651355">
            <w:pPr>
              <w:spacing w:after="120"/>
              <w:ind w:left="170"/>
              <w:rPr>
                <w:rFonts w:eastAsia="Calibri"/>
                <w:bCs/>
                <w:sz w:val="18"/>
                <w:szCs w:val="18"/>
                <w:lang w:eastAsia="en-US"/>
              </w:rPr>
            </w:pPr>
            <w:r w:rsidRPr="00651355">
              <w:rPr>
                <w:rFonts w:eastAsia="Calibri"/>
                <w:bCs/>
                <w:sz w:val="18"/>
                <w:szCs w:val="18"/>
                <w:lang w:eastAsia="en-US"/>
              </w:rPr>
              <w:t>De interés social</w:t>
            </w:r>
          </w:p>
        </w:tc>
        <w:tc>
          <w:tcPr>
            <w:tcW w:w="1134" w:type="dxa"/>
            <w:tcBorders>
              <w:left w:val="single" w:sz="4" w:space="0" w:color="auto"/>
              <w:bottom w:val="single" w:sz="4" w:space="0" w:color="auto"/>
              <w:right w:val="single" w:sz="4" w:space="0" w:color="auto"/>
            </w:tcBorders>
            <w:shd w:val="clear" w:color="auto" w:fill="auto"/>
            <w:vAlign w:val="bottom"/>
          </w:tcPr>
          <w:p w14:paraId="476460CD"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68.15</w:t>
            </w:r>
          </w:p>
        </w:tc>
        <w:tc>
          <w:tcPr>
            <w:tcW w:w="1276" w:type="dxa"/>
            <w:tcBorders>
              <w:top w:val="nil"/>
              <w:left w:val="single" w:sz="4" w:space="0" w:color="auto"/>
              <w:bottom w:val="single" w:sz="4" w:space="0" w:color="auto"/>
              <w:right w:val="single" w:sz="4" w:space="0" w:color="auto"/>
            </w:tcBorders>
            <w:shd w:val="clear" w:color="auto" w:fill="auto"/>
            <w:vAlign w:val="bottom"/>
          </w:tcPr>
          <w:p w14:paraId="70E263FF"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66.13</w:t>
            </w:r>
          </w:p>
        </w:tc>
        <w:tc>
          <w:tcPr>
            <w:tcW w:w="1276" w:type="dxa"/>
            <w:tcBorders>
              <w:left w:val="single" w:sz="4" w:space="0" w:color="auto"/>
              <w:bottom w:val="single" w:sz="4" w:space="0" w:color="auto"/>
              <w:right w:val="single" w:sz="4" w:space="0" w:color="auto"/>
            </w:tcBorders>
            <w:shd w:val="clear" w:color="auto" w:fill="auto"/>
            <w:vAlign w:val="bottom"/>
          </w:tcPr>
          <w:p w14:paraId="38233170"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64.95</w:t>
            </w:r>
          </w:p>
        </w:tc>
        <w:tc>
          <w:tcPr>
            <w:tcW w:w="1134" w:type="dxa"/>
            <w:tcBorders>
              <w:top w:val="nil"/>
              <w:left w:val="single" w:sz="4" w:space="0" w:color="auto"/>
              <w:bottom w:val="single" w:sz="4" w:space="0" w:color="auto"/>
              <w:right w:val="single" w:sz="4" w:space="0" w:color="auto"/>
            </w:tcBorders>
            <w:shd w:val="clear" w:color="auto" w:fill="auto"/>
            <w:vAlign w:val="bottom"/>
          </w:tcPr>
          <w:p w14:paraId="392C5CA5" w14:textId="77777777" w:rsidR="00651355" w:rsidRPr="00651355" w:rsidRDefault="00651355" w:rsidP="00651355">
            <w:pPr>
              <w:spacing w:after="120"/>
              <w:ind w:right="170"/>
              <w:jc w:val="right"/>
              <w:rPr>
                <w:rFonts w:eastAsia="Calibri"/>
                <w:sz w:val="18"/>
                <w:szCs w:val="18"/>
                <w:lang w:eastAsia="en-US"/>
              </w:rPr>
            </w:pPr>
            <w:r w:rsidRPr="00651355">
              <w:rPr>
                <w:rFonts w:eastAsia="Calibri"/>
                <w:sz w:val="18"/>
                <w:szCs w:val="18"/>
                <w:lang w:eastAsia="en-US"/>
              </w:rPr>
              <w:t>-3.20</w:t>
            </w:r>
          </w:p>
        </w:tc>
        <w:tc>
          <w:tcPr>
            <w:tcW w:w="1194" w:type="dxa"/>
            <w:tcBorders>
              <w:top w:val="nil"/>
              <w:left w:val="single" w:sz="4" w:space="0" w:color="auto"/>
              <w:bottom w:val="single" w:sz="4" w:space="0" w:color="auto"/>
              <w:right w:val="single" w:sz="4" w:space="0" w:color="auto"/>
            </w:tcBorders>
            <w:shd w:val="clear" w:color="auto" w:fill="auto"/>
            <w:vAlign w:val="bottom"/>
          </w:tcPr>
          <w:p w14:paraId="75EB004D" w14:textId="77777777" w:rsidR="00651355" w:rsidRPr="00651355" w:rsidRDefault="00651355" w:rsidP="00651355">
            <w:pPr>
              <w:spacing w:after="120"/>
              <w:ind w:right="170"/>
              <w:jc w:val="right"/>
              <w:rPr>
                <w:rFonts w:eastAsia="Calibri"/>
                <w:bCs/>
                <w:sz w:val="18"/>
                <w:szCs w:val="18"/>
                <w:lang w:eastAsia="en-US"/>
              </w:rPr>
            </w:pPr>
            <w:r w:rsidRPr="00651355">
              <w:rPr>
                <w:rFonts w:eastAsia="Calibri"/>
                <w:bCs/>
                <w:sz w:val="18"/>
                <w:szCs w:val="18"/>
                <w:lang w:eastAsia="en-US"/>
              </w:rPr>
              <w:t>-1.18</w:t>
            </w:r>
          </w:p>
        </w:tc>
      </w:tr>
      <w:tr w:rsidR="00651355" w:rsidRPr="00651355" w14:paraId="2BC4E674" w14:textId="77777777" w:rsidTr="00845A3F">
        <w:trPr>
          <w:trHeight w:val="261"/>
          <w:jc w:val="center"/>
        </w:trPr>
        <w:tc>
          <w:tcPr>
            <w:tcW w:w="8860" w:type="dxa"/>
            <w:gridSpan w:val="6"/>
            <w:tcBorders>
              <w:top w:val="single" w:sz="4" w:space="0" w:color="auto"/>
              <w:bottom w:val="nil"/>
            </w:tcBorders>
            <w:vAlign w:val="center"/>
          </w:tcPr>
          <w:p w14:paraId="2C52EE37" w14:textId="77777777" w:rsidR="00651355" w:rsidRPr="00651355" w:rsidRDefault="00651355" w:rsidP="00651355">
            <w:pPr>
              <w:spacing w:before="120"/>
              <w:ind w:left="227" w:hanging="227"/>
              <w:jc w:val="both"/>
              <w:rPr>
                <w:rFonts w:eastAsia="Calibri"/>
                <w:bCs/>
                <w:sz w:val="20"/>
                <w:szCs w:val="20"/>
                <w:lang w:eastAsia="en-US"/>
              </w:rPr>
            </w:pPr>
            <w:r w:rsidRPr="00651355">
              <w:rPr>
                <w:rFonts w:eastAsia="Calibri"/>
                <w:bCs/>
                <w:sz w:val="20"/>
                <w:szCs w:val="20"/>
                <w:u w:val="single"/>
                <w:lang w:eastAsia="en-US"/>
              </w:rPr>
              <w:t>1</w:t>
            </w:r>
            <w:r w:rsidRPr="00651355">
              <w:rPr>
                <w:rFonts w:eastAsia="Calibri"/>
                <w:bCs/>
                <w:sz w:val="20"/>
                <w:szCs w:val="20"/>
                <w:lang w:eastAsia="en-US"/>
              </w:rPr>
              <w:t>/ ICOR = Estimaciones preventivas para riesgos crediticios de balance / cartera vencida.</w:t>
            </w:r>
          </w:p>
          <w:p w14:paraId="04898BCD" w14:textId="77777777" w:rsidR="00651355" w:rsidRPr="00651355" w:rsidRDefault="00651355" w:rsidP="00651355">
            <w:pPr>
              <w:jc w:val="both"/>
              <w:rPr>
                <w:rFonts w:eastAsia="Calibri"/>
                <w:bCs/>
                <w:sz w:val="20"/>
                <w:szCs w:val="20"/>
                <w:lang w:eastAsia="en-US"/>
              </w:rPr>
            </w:pPr>
            <w:r w:rsidRPr="00651355">
              <w:rPr>
                <w:rFonts w:eastAsia="Calibri"/>
                <w:bCs/>
                <w:sz w:val="20"/>
                <w:szCs w:val="20"/>
                <w:lang w:eastAsia="en-US"/>
              </w:rPr>
              <w:t>FUENTE: CNBV.</w:t>
            </w:r>
          </w:p>
        </w:tc>
      </w:tr>
    </w:tbl>
    <w:p w14:paraId="3BC9C5B6" w14:textId="77777777" w:rsidR="00651355" w:rsidRPr="00651355" w:rsidRDefault="00651355" w:rsidP="00651355">
      <w:pPr>
        <w:spacing w:after="360" w:line="360" w:lineRule="auto"/>
        <w:ind w:right="-159"/>
        <w:jc w:val="both"/>
        <w:rPr>
          <w:rFonts w:eastAsia="Calibri"/>
          <w:sz w:val="26"/>
          <w:szCs w:val="26"/>
          <w:lang w:eastAsia="en-US"/>
        </w:rPr>
      </w:pPr>
    </w:p>
    <w:p w14:paraId="46B29B3A"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Captación de recursos</w:t>
      </w:r>
    </w:p>
    <w:p w14:paraId="4CF9DE2E"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La captación total de recursos fue de 3 mil 854 mmdp, 16.5% más que la observada al cierre de febrero de 2014. Los depósitos de exigibilidad inmediata registraron un incremento anual de 17.1% y los depósitos a plazo del público en general aumentaron 5.8%. Por su parte, la captación a través del mercado de dinero y de títulos de crédito registró un incremento de 40.6%, a la vez que los préstamos interbancarios y de otros organismos tuvieron una variación anual positiva de 11.8 por ciento.</w:t>
      </w:r>
    </w:p>
    <w:p w14:paraId="28CD69F2" w14:textId="77777777" w:rsidR="00651355" w:rsidRDefault="00651355" w:rsidP="00651355">
      <w:pPr>
        <w:spacing w:after="360" w:line="360" w:lineRule="auto"/>
        <w:ind w:right="-159"/>
        <w:jc w:val="both"/>
        <w:rPr>
          <w:rFonts w:eastAsia="Calibri"/>
          <w:sz w:val="26"/>
          <w:szCs w:val="26"/>
          <w:lang w:eastAsia="en-US"/>
        </w:rPr>
      </w:pPr>
    </w:p>
    <w:p w14:paraId="56167729" w14:textId="77777777" w:rsidR="00651355" w:rsidRPr="00651355" w:rsidRDefault="00651355" w:rsidP="00651355">
      <w:pPr>
        <w:spacing w:after="360" w:line="360" w:lineRule="auto"/>
        <w:ind w:right="-159"/>
        <w:jc w:val="both"/>
        <w:rPr>
          <w:rFonts w:eastAsia="Calibri"/>
          <w:sz w:val="26"/>
          <w:szCs w:val="26"/>
          <w:lang w:eastAsia="en-US"/>
        </w:rPr>
      </w:pPr>
    </w:p>
    <w:p w14:paraId="6B663D95" w14:textId="77777777" w:rsidR="00651355" w:rsidRPr="00651355" w:rsidRDefault="00651355" w:rsidP="00651355">
      <w:pPr>
        <w:spacing w:after="360" w:line="360" w:lineRule="auto"/>
        <w:ind w:right="-159"/>
        <w:jc w:val="both"/>
        <w:rPr>
          <w:rFonts w:eastAsia="Calibri"/>
          <w:sz w:val="26"/>
          <w:szCs w:val="26"/>
          <w:lang w:eastAsia="en-US"/>
        </w:rPr>
      </w:pPr>
    </w:p>
    <w:tbl>
      <w:tblPr>
        <w:tblW w:w="9072" w:type="dxa"/>
        <w:jc w:val="center"/>
        <w:tblLayout w:type="fixed"/>
        <w:tblLook w:val="01E0" w:firstRow="1" w:lastRow="1" w:firstColumn="1" w:lastColumn="1" w:noHBand="0" w:noVBand="0"/>
      </w:tblPr>
      <w:tblGrid>
        <w:gridCol w:w="3828"/>
        <w:gridCol w:w="1134"/>
        <w:gridCol w:w="1134"/>
        <w:gridCol w:w="992"/>
        <w:gridCol w:w="992"/>
        <w:gridCol w:w="992"/>
      </w:tblGrid>
      <w:tr w:rsidR="00651355" w:rsidRPr="00651355" w14:paraId="6938D2B2" w14:textId="77777777" w:rsidTr="00845A3F">
        <w:trPr>
          <w:trHeight w:val="552"/>
          <w:jc w:val="center"/>
        </w:trPr>
        <w:tc>
          <w:tcPr>
            <w:tcW w:w="9072" w:type="dxa"/>
            <w:gridSpan w:val="6"/>
            <w:tcBorders>
              <w:top w:val="nil"/>
              <w:bottom w:val="single" w:sz="4" w:space="0" w:color="auto"/>
            </w:tcBorders>
            <w:vAlign w:val="center"/>
          </w:tcPr>
          <w:p w14:paraId="4C5560B5"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lastRenderedPageBreak/>
              <w:t>BANCA MÚLTIPLE: BALANCE GENERAL</w:t>
            </w:r>
          </w:p>
          <w:p w14:paraId="00D79341" w14:textId="36E650E3"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-Saldos en mmdp-</w:t>
            </w:r>
          </w:p>
        </w:tc>
      </w:tr>
      <w:tr w:rsidR="00651355" w:rsidRPr="00651355" w14:paraId="70CA0FCB" w14:textId="77777777" w:rsidTr="00845A3F">
        <w:trPr>
          <w:trHeight w:val="312"/>
          <w:jc w:val="center"/>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F7DC56" w14:textId="77777777" w:rsidR="00651355" w:rsidRPr="00651355" w:rsidRDefault="00651355" w:rsidP="00651355">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CCA8A2"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2014</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1D14"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2015</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5E5404"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Diferencia en PP</w:t>
            </w:r>
          </w:p>
        </w:tc>
      </w:tr>
      <w:tr w:rsidR="00651355" w:rsidRPr="00651355" w14:paraId="3FC38010" w14:textId="77777777" w:rsidTr="00845A3F">
        <w:trPr>
          <w:trHeight w:val="281"/>
          <w:jc w:val="center"/>
        </w:trPr>
        <w:tc>
          <w:tcPr>
            <w:tcW w:w="382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2CCBFA2" w14:textId="77777777" w:rsidR="00651355" w:rsidRPr="00651355" w:rsidRDefault="00651355" w:rsidP="00651355">
            <w:pPr>
              <w:spacing w:before="40" w:after="40"/>
              <w:jc w:val="center"/>
              <w:rPr>
                <w:rFonts w:eastAsia="Calibri"/>
                <w:bCs/>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3E05815"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Febrero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9FFA3D"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Enero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4FE37A" w14:textId="77777777" w:rsidR="00651355" w:rsidRPr="00651355" w:rsidRDefault="00651355" w:rsidP="00651355">
            <w:pPr>
              <w:jc w:val="center"/>
              <w:rPr>
                <w:rFonts w:eastAsia="Calibri"/>
                <w:b/>
                <w:sz w:val="20"/>
                <w:szCs w:val="20"/>
                <w:lang w:eastAsia="en-US"/>
              </w:rPr>
            </w:pPr>
            <w:r w:rsidRPr="00651355">
              <w:rPr>
                <w:rFonts w:eastAsia="Calibri"/>
                <w:b/>
                <w:sz w:val="20"/>
                <w:szCs w:val="20"/>
                <w:lang w:eastAsia="en-US"/>
              </w:rPr>
              <w:t xml:space="preserve">Febrero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7D6C00C" w14:textId="77777777" w:rsidR="00651355" w:rsidRPr="00651355" w:rsidRDefault="00651355" w:rsidP="00651355">
            <w:pPr>
              <w:jc w:val="center"/>
              <w:rPr>
                <w:rFonts w:eastAsia="Calibri"/>
                <w:b/>
                <w:sz w:val="18"/>
                <w:szCs w:val="18"/>
                <w:lang w:eastAsia="en-US"/>
              </w:rPr>
            </w:pPr>
            <w:r w:rsidRPr="00651355">
              <w:rPr>
                <w:rFonts w:eastAsia="Calibri"/>
                <w:b/>
                <w:sz w:val="18"/>
                <w:szCs w:val="18"/>
                <w:lang w:eastAsia="en-US"/>
              </w:rPr>
              <w:t>Anual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926899" w14:textId="77777777" w:rsidR="00651355" w:rsidRPr="00651355" w:rsidRDefault="00651355" w:rsidP="00651355">
            <w:pPr>
              <w:jc w:val="center"/>
              <w:rPr>
                <w:rFonts w:eastAsia="Calibri"/>
                <w:b/>
                <w:bCs/>
                <w:sz w:val="18"/>
                <w:szCs w:val="18"/>
                <w:lang w:eastAsia="en-US"/>
              </w:rPr>
            </w:pPr>
            <w:r w:rsidRPr="00651355">
              <w:rPr>
                <w:rFonts w:eastAsia="Calibri"/>
                <w:b/>
                <w:bCs/>
                <w:sz w:val="18"/>
                <w:szCs w:val="18"/>
                <w:lang w:eastAsia="en-US"/>
              </w:rPr>
              <w:t>Mensual</w:t>
            </w:r>
          </w:p>
        </w:tc>
      </w:tr>
      <w:tr w:rsidR="00651355" w:rsidRPr="00651355" w14:paraId="313C9FF6" w14:textId="77777777" w:rsidTr="00845A3F">
        <w:trPr>
          <w:trHeight w:val="271"/>
          <w:jc w:val="center"/>
        </w:trPr>
        <w:tc>
          <w:tcPr>
            <w:tcW w:w="3828" w:type="dxa"/>
            <w:tcBorders>
              <w:top w:val="single" w:sz="4" w:space="0" w:color="auto"/>
              <w:left w:val="single" w:sz="4" w:space="0" w:color="auto"/>
              <w:bottom w:val="nil"/>
              <w:right w:val="single" w:sz="4" w:space="0" w:color="auto"/>
            </w:tcBorders>
            <w:shd w:val="clear" w:color="auto" w:fill="auto"/>
            <w:vAlign w:val="center"/>
          </w:tcPr>
          <w:p w14:paraId="4A14AE6B" w14:textId="77777777" w:rsidR="00651355" w:rsidRPr="00651355" w:rsidRDefault="00651355" w:rsidP="00651355">
            <w:pPr>
              <w:spacing w:before="120" w:after="60"/>
              <w:rPr>
                <w:rFonts w:eastAsia="Calibri"/>
                <w:b/>
                <w:bCs/>
                <w:sz w:val="18"/>
                <w:szCs w:val="18"/>
                <w:lang w:val="en-US" w:eastAsia="en-US"/>
              </w:rPr>
            </w:pPr>
            <w:r w:rsidRPr="00651355">
              <w:rPr>
                <w:rFonts w:eastAsia="Calibri"/>
                <w:b/>
                <w:bCs/>
                <w:sz w:val="18"/>
                <w:szCs w:val="18"/>
                <w:lang w:val="en-US" w:eastAsia="en-US"/>
              </w:rPr>
              <w:t>Captación total</w:t>
            </w:r>
          </w:p>
        </w:tc>
        <w:tc>
          <w:tcPr>
            <w:tcW w:w="1134" w:type="dxa"/>
            <w:tcBorders>
              <w:top w:val="single" w:sz="4" w:space="0" w:color="auto"/>
              <w:left w:val="single" w:sz="4" w:space="0" w:color="auto"/>
              <w:right w:val="single" w:sz="4" w:space="0" w:color="auto"/>
            </w:tcBorders>
            <w:shd w:val="clear" w:color="auto" w:fill="auto"/>
            <w:vAlign w:val="center"/>
          </w:tcPr>
          <w:p w14:paraId="16741916" w14:textId="77777777" w:rsidR="00651355" w:rsidRPr="00651355" w:rsidRDefault="00651355" w:rsidP="00651355">
            <w:pPr>
              <w:spacing w:before="120" w:after="60"/>
              <w:ind w:right="170"/>
              <w:jc w:val="right"/>
              <w:rPr>
                <w:rFonts w:eastAsia="Calibri"/>
                <w:b/>
                <w:sz w:val="18"/>
                <w:szCs w:val="18"/>
                <w:lang w:val="en-US" w:eastAsia="en-US"/>
              </w:rPr>
            </w:pPr>
            <w:r w:rsidRPr="00651355">
              <w:rPr>
                <w:rFonts w:eastAsia="Calibri"/>
                <w:b/>
                <w:sz w:val="18"/>
                <w:szCs w:val="18"/>
                <w:lang w:val="en-US" w:eastAsia="en-US"/>
              </w:rPr>
              <w:t>3 308</w:t>
            </w:r>
          </w:p>
        </w:tc>
        <w:tc>
          <w:tcPr>
            <w:tcW w:w="1134" w:type="dxa"/>
            <w:tcBorders>
              <w:top w:val="single" w:sz="4" w:space="0" w:color="auto"/>
              <w:left w:val="single" w:sz="4" w:space="0" w:color="auto"/>
              <w:bottom w:val="nil"/>
              <w:right w:val="single" w:sz="4" w:space="0" w:color="auto"/>
            </w:tcBorders>
            <w:shd w:val="clear" w:color="auto" w:fill="auto"/>
            <w:vAlign w:val="center"/>
          </w:tcPr>
          <w:p w14:paraId="7EF32F24" w14:textId="77777777" w:rsidR="00651355" w:rsidRPr="00651355" w:rsidRDefault="00651355" w:rsidP="00651355">
            <w:pPr>
              <w:spacing w:before="120" w:after="60"/>
              <w:ind w:right="170"/>
              <w:jc w:val="right"/>
              <w:rPr>
                <w:rFonts w:eastAsia="Calibri"/>
                <w:b/>
                <w:sz w:val="18"/>
                <w:szCs w:val="18"/>
                <w:lang w:val="en-US" w:eastAsia="en-US"/>
              </w:rPr>
            </w:pPr>
            <w:r w:rsidRPr="00651355">
              <w:rPr>
                <w:rFonts w:eastAsia="Calibri"/>
                <w:b/>
                <w:sz w:val="18"/>
                <w:szCs w:val="18"/>
                <w:lang w:val="en-US" w:eastAsia="en-US"/>
              </w:rPr>
              <w:t>3 797</w:t>
            </w:r>
          </w:p>
        </w:tc>
        <w:tc>
          <w:tcPr>
            <w:tcW w:w="992" w:type="dxa"/>
            <w:tcBorders>
              <w:top w:val="single" w:sz="4" w:space="0" w:color="auto"/>
              <w:left w:val="single" w:sz="4" w:space="0" w:color="auto"/>
              <w:right w:val="single" w:sz="4" w:space="0" w:color="auto"/>
            </w:tcBorders>
            <w:shd w:val="clear" w:color="auto" w:fill="auto"/>
            <w:vAlign w:val="center"/>
          </w:tcPr>
          <w:p w14:paraId="5264633A" w14:textId="77777777" w:rsidR="00651355" w:rsidRPr="00651355" w:rsidRDefault="00651355" w:rsidP="00651355">
            <w:pPr>
              <w:spacing w:before="120" w:after="60"/>
              <w:ind w:right="170"/>
              <w:jc w:val="right"/>
              <w:rPr>
                <w:rFonts w:eastAsia="Calibri"/>
                <w:b/>
                <w:sz w:val="18"/>
                <w:szCs w:val="18"/>
                <w:lang w:val="en-US" w:eastAsia="en-US"/>
              </w:rPr>
            </w:pPr>
            <w:r w:rsidRPr="00651355">
              <w:rPr>
                <w:rFonts w:eastAsia="Calibri"/>
                <w:b/>
                <w:sz w:val="18"/>
                <w:szCs w:val="18"/>
                <w:lang w:val="en-US" w:eastAsia="en-US"/>
              </w:rPr>
              <w:t>3 854</w:t>
            </w:r>
          </w:p>
        </w:tc>
        <w:tc>
          <w:tcPr>
            <w:tcW w:w="992" w:type="dxa"/>
            <w:tcBorders>
              <w:top w:val="single" w:sz="4" w:space="0" w:color="auto"/>
              <w:left w:val="single" w:sz="4" w:space="0" w:color="auto"/>
              <w:bottom w:val="nil"/>
              <w:right w:val="single" w:sz="4" w:space="0" w:color="auto"/>
            </w:tcBorders>
            <w:shd w:val="clear" w:color="auto" w:fill="auto"/>
            <w:vAlign w:val="center"/>
          </w:tcPr>
          <w:p w14:paraId="703F7851" w14:textId="77777777" w:rsidR="00651355" w:rsidRPr="00651355" w:rsidRDefault="00651355" w:rsidP="00651355">
            <w:pPr>
              <w:spacing w:before="120" w:after="60"/>
              <w:ind w:right="227"/>
              <w:jc w:val="right"/>
              <w:rPr>
                <w:rFonts w:eastAsia="Calibri"/>
                <w:b/>
                <w:sz w:val="18"/>
                <w:szCs w:val="18"/>
                <w:lang w:val="en-US" w:eastAsia="en-US"/>
              </w:rPr>
            </w:pPr>
            <w:r w:rsidRPr="00651355">
              <w:rPr>
                <w:rFonts w:eastAsia="Calibri"/>
                <w:b/>
                <w:sz w:val="18"/>
                <w:szCs w:val="18"/>
                <w:lang w:val="en-US" w:eastAsia="en-US"/>
              </w:rPr>
              <w:t>16.5</w:t>
            </w:r>
          </w:p>
        </w:tc>
        <w:tc>
          <w:tcPr>
            <w:tcW w:w="992" w:type="dxa"/>
            <w:tcBorders>
              <w:top w:val="single" w:sz="4" w:space="0" w:color="auto"/>
              <w:left w:val="single" w:sz="4" w:space="0" w:color="auto"/>
              <w:bottom w:val="nil"/>
              <w:right w:val="single" w:sz="4" w:space="0" w:color="auto"/>
            </w:tcBorders>
            <w:shd w:val="clear" w:color="auto" w:fill="auto"/>
            <w:vAlign w:val="center"/>
          </w:tcPr>
          <w:p w14:paraId="4DF7A9DF" w14:textId="77777777" w:rsidR="00651355" w:rsidRPr="00651355" w:rsidRDefault="00651355" w:rsidP="00651355">
            <w:pPr>
              <w:spacing w:before="120" w:after="60"/>
              <w:ind w:right="227"/>
              <w:jc w:val="right"/>
              <w:rPr>
                <w:rFonts w:eastAsia="Calibri"/>
                <w:b/>
                <w:bCs/>
                <w:sz w:val="18"/>
                <w:szCs w:val="18"/>
                <w:lang w:val="en-US" w:eastAsia="en-US"/>
              </w:rPr>
            </w:pPr>
            <w:r w:rsidRPr="00651355">
              <w:rPr>
                <w:rFonts w:eastAsia="Calibri"/>
                <w:b/>
                <w:bCs/>
                <w:sz w:val="18"/>
                <w:szCs w:val="18"/>
                <w:lang w:val="en-US" w:eastAsia="en-US"/>
              </w:rPr>
              <w:t>1.5</w:t>
            </w:r>
          </w:p>
        </w:tc>
      </w:tr>
      <w:tr w:rsidR="00651355" w:rsidRPr="00651355" w14:paraId="45E00FCF" w14:textId="77777777" w:rsidTr="00845A3F">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7DD172EF" w14:textId="77777777" w:rsidR="00651355" w:rsidRPr="00651355" w:rsidRDefault="00651355" w:rsidP="00651355">
            <w:pPr>
              <w:spacing w:before="60" w:after="60"/>
              <w:ind w:left="113"/>
              <w:rPr>
                <w:rFonts w:eastAsia="Calibri"/>
                <w:bCs/>
                <w:sz w:val="18"/>
                <w:szCs w:val="18"/>
                <w:lang w:val="en-US" w:eastAsia="en-US"/>
              </w:rPr>
            </w:pPr>
            <w:r w:rsidRPr="00651355">
              <w:rPr>
                <w:rFonts w:eastAsia="Calibri"/>
                <w:bCs/>
                <w:sz w:val="18"/>
                <w:szCs w:val="18"/>
                <w:lang w:val="en-US" w:eastAsia="en-US"/>
              </w:rPr>
              <w:t>Depósitos de exigibilidad inmediata</w:t>
            </w:r>
          </w:p>
        </w:tc>
        <w:tc>
          <w:tcPr>
            <w:tcW w:w="1134" w:type="dxa"/>
            <w:tcBorders>
              <w:left w:val="single" w:sz="4" w:space="0" w:color="auto"/>
              <w:right w:val="single" w:sz="4" w:space="0" w:color="auto"/>
            </w:tcBorders>
            <w:shd w:val="clear" w:color="auto" w:fill="auto"/>
            <w:vAlign w:val="center"/>
          </w:tcPr>
          <w:p w14:paraId="67334178" w14:textId="77777777" w:rsidR="00651355" w:rsidRPr="00651355" w:rsidRDefault="00651355" w:rsidP="00651355">
            <w:pPr>
              <w:spacing w:before="60" w:after="60"/>
              <w:ind w:right="170"/>
              <w:jc w:val="right"/>
              <w:rPr>
                <w:rFonts w:eastAsia="Calibri"/>
                <w:sz w:val="18"/>
                <w:szCs w:val="18"/>
                <w:lang w:val="en-US" w:eastAsia="en-US"/>
              </w:rPr>
            </w:pPr>
            <w:r w:rsidRPr="00651355">
              <w:rPr>
                <w:rFonts w:eastAsia="Calibri"/>
                <w:sz w:val="18"/>
                <w:szCs w:val="18"/>
                <w:lang w:val="en-US" w:eastAsia="en-US"/>
              </w:rPr>
              <w:t>1 900</w:t>
            </w:r>
          </w:p>
        </w:tc>
        <w:tc>
          <w:tcPr>
            <w:tcW w:w="1134" w:type="dxa"/>
            <w:tcBorders>
              <w:top w:val="nil"/>
              <w:left w:val="single" w:sz="4" w:space="0" w:color="auto"/>
              <w:bottom w:val="nil"/>
              <w:right w:val="single" w:sz="4" w:space="0" w:color="auto"/>
            </w:tcBorders>
            <w:shd w:val="clear" w:color="auto" w:fill="auto"/>
            <w:vAlign w:val="center"/>
          </w:tcPr>
          <w:p w14:paraId="3463822B" w14:textId="77777777" w:rsidR="00651355" w:rsidRPr="00651355" w:rsidRDefault="00651355" w:rsidP="00651355">
            <w:pPr>
              <w:spacing w:before="60" w:after="60"/>
              <w:ind w:right="170"/>
              <w:jc w:val="right"/>
              <w:rPr>
                <w:rFonts w:eastAsia="Calibri"/>
                <w:sz w:val="18"/>
                <w:szCs w:val="18"/>
                <w:lang w:val="en-US" w:eastAsia="en-US"/>
              </w:rPr>
            </w:pPr>
            <w:r w:rsidRPr="00651355">
              <w:rPr>
                <w:rFonts w:eastAsia="Calibri"/>
                <w:sz w:val="18"/>
                <w:szCs w:val="18"/>
                <w:lang w:val="en-US" w:eastAsia="en-US"/>
              </w:rPr>
              <w:t>2 228</w:t>
            </w:r>
          </w:p>
        </w:tc>
        <w:tc>
          <w:tcPr>
            <w:tcW w:w="992" w:type="dxa"/>
            <w:tcBorders>
              <w:left w:val="single" w:sz="4" w:space="0" w:color="auto"/>
              <w:right w:val="single" w:sz="4" w:space="0" w:color="auto"/>
            </w:tcBorders>
            <w:shd w:val="clear" w:color="auto" w:fill="auto"/>
            <w:vAlign w:val="center"/>
          </w:tcPr>
          <w:p w14:paraId="688582D6" w14:textId="77777777" w:rsidR="00651355" w:rsidRPr="00651355" w:rsidRDefault="00651355" w:rsidP="00651355">
            <w:pPr>
              <w:spacing w:before="60" w:after="60"/>
              <w:ind w:right="170"/>
              <w:jc w:val="right"/>
              <w:rPr>
                <w:rFonts w:eastAsia="Calibri"/>
                <w:sz w:val="18"/>
                <w:szCs w:val="18"/>
                <w:lang w:val="en-US" w:eastAsia="en-US"/>
              </w:rPr>
            </w:pPr>
            <w:r w:rsidRPr="00651355">
              <w:rPr>
                <w:rFonts w:eastAsia="Calibri"/>
                <w:sz w:val="18"/>
                <w:szCs w:val="18"/>
                <w:lang w:val="en-US" w:eastAsia="en-US"/>
              </w:rPr>
              <w:t>2 226</w:t>
            </w:r>
          </w:p>
        </w:tc>
        <w:tc>
          <w:tcPr>
            <w:tcW w:w="992" w:type="dxa"/>
            <w:tcBorders>
              <w:top w:val="nil"/>
              <w:left w:val="single" w:sz="4" w:space="0" w:color="auto"/>
              <w:bottom w:val="nil"/>
              <w:right w:val="single" w:sz="4" w:space="0" w:color="auto"/>
            </w:tcBorders>
            <w:shd w:val="clear" w:color="auto" w:fill="auto"/>
            <w:vAlign w:val="center"/>
          </w:tcPr>
          <w:p w14:paraId="64F93610" w14:textId="77777777" w:rsidR="00651355" w:rsidRPr="00651355" w:rsidRDefault="00651355" w:rsidP="00651355">
            <w:pPr>
              <w:spacing w:before="60" w:after="60"/>
              <w:ind w:right="227"/>
              <w:jc w:val="right"/>
              <w:rPr>
                <w:rFonts w:eastAsia="Calibri"/>
                <w:sz w:val="18"/>
                <w:szCs w:val="18"/>
                <w:lang w:val="en-US" w:eastAsia="en-US"/>
              </w:rPr>
            </w:pPr>
            <w:r w:rsidRPr="00651355">
              <w:rPr>
                <w:rFonts w:eastAsia="Calibri"/>
                <w:sz w:val="18"/>
                <w:szCs w:val="18"/>
                <w:lang w:val="en-US" w:eastAsia="en-US"/>
              </w:rPr>
              <w:t>17.1</w:t>
            </w:r>
          </w:p>
        </w:tc>
        <w:tc>
          <w:tcPr>
            <w:tcW w:w="992" w:type="dxa"/>
            <w:tcBorders>
              <w:top w:val="nil"/>
              <w:left w:val="single" w:sz="4" w:space="0" w:color="auto"/>
              <w:bottom w:val="nil"/>
              <w:right w:val="single" w:sz="4" w:space="0" w:color="auto"/>
            </w:tcBorders>
            <w:shd w:val="clear" w:color="auto" w:fill="auto"/>
            <w:vAlign w:val="center"/>
          </w:tcPr>
          <w:p w14:paraId="479BFA59" w14:textId="77777777" w:rsidR="00651355" w:rsidRPr="00651355" w:rsidRDefault="00651355" w:rsidP="00651355">
            <w:pPr>
              <w:spacing w:before="60" w:after="60"/>
              <w:ind w:right="227"/>
              <w:jc w:val="right"/>
              <w:rPr>
                <w:rFonts w:eastAsia="Calibri"/>
                <w:bCs/>
                <w:sz w:val="18"/>
                <w:szCs w:val="18"/>
                <w:lang w:val="en-US" w:eastAsia="en-US"/>
              </w:rPr>
            </w:pPr>
            <w:r w:rsidRPr="00651355">
              <w:rPr>
                <w:rFonts w:eastAsia="Calibri"/>
                <w:bCs/>
                <w:sz w:val="18"/>
                <w:szCs w:val="18"/>
                <w:lang w:val="en-US" w:eastAsia="en-US"/>
              </w:rPr>
              <w:t>-0.1</w:t>
            </w:r>
          </w:p>
        </w:tc>
      </w:tr>
      <w:tr w:rsidR="00651355" w:rsidRPr="00651355" w14:paraId="3BBF3F2B" w14:textId="77777777" w:rsidTr="00845A3F">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3FCB4C1F" w14:textId="77777777" w:rsidR="00651355" w:rsidRPr="00651355" w:rsidRDefault="00651355" w:rsidP="00651355">
            <w:pPr>
              <w:spacing w:before="60" w:after="60"/>
              <w:ind w:left="113"/>
              <w:rPr>
                <w:rFonts w:eastAsia="Calibri"/>
                <w:bCs/>
                <w:sz w:val="18"/>
                <w:szCs w:val="18"/>
                <w:lang w:eastAsia="en-US"/>
              </w:rPr>
            </w:pPr>
            <w:r w:rsidRPr="00651355">
              <w:rPr>
                <w:rFonts w:eastAsia="Calibri"/>
                <w:bCs/>
                <w:sz w:val="18"/>
                <w:szCs w:val="18"/>
                <w:lang w:eastAsia="en-US"/>
              </w:rPr>
              <w:t>Depósitos a plazo del público en general</w:t>
            </w:r>
          </w:p>
        </w:tc>
        <w:tc>
          <w:tcPr>
            <w:tcW w:w="1134" w:type="dxa"/>
            <w:tcBorders>
              <w:left w:val="single" w:sz="4" w:space="0" w:color="auto"/>
              <w:right w:val="single" w:sz="4" w:space="0" w:color="auto"/>
            </w:tcBorders>
            <w:shd w:val="clear" w:color="auto" w:fill="auto"/>
            <w:vAlign w:val="center"/>
          </w:tcPr>
          <w:p w14:paraId="75340585"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818</w:t>
            </w:r>
          </w:p>
        </w:tc>
        <w:tc>
          <w:tcPr>
            <w:tcW w:w="1134" w:type="dxa"/>
            <w:tcBorders>
              <w:top w:val="nil"/>
              <w:left w:val="single" w:sz="4" w:space="0" w:color="auto"/>
              <w:bottom w:val="nil"/>
              <w:right w:val="single" w:sz="4" w:space="0" w:color="auto"/>
            </w:tcBorders>
            <w:shd w:val="clear" w:color="auto" w:fill="auto"/>
            <w:vAlign w:val="center"/>
          </w:tcPr>
          <w:p w14:paraId="67C4AB5C"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856</w:t>
            </w:r>
          </w:p>
        </w:tc>
        <w:tc>
          <w:tcPr>
            <w:tcW w:w="992" w:type="dxa"/>
            <w:tcBorders>
              <w:left w:val="single" w:sz="4" w:space="0" w:color="auto"/>
              <w:right w:val="single" w:sz="4" w:space="0" w:color="auto"/>
            </w:tcBorders>
            <w:shd w:val="clear" w:color="auto" w:fill="auto"/>
            <w:vAlign w:val="center"/>
          </w:tcPr>
          <w:p w14:paraId="7EEEE5EC"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865</w:t>
            </w:r>
          </w:p>
        </w:tc>
        <w:tc>
          <w:tcPr>
            <w:tcW w:w="992" w:type="dxa"/>
            <w:tcBorders>
              <w:top w:val="nil"/>
              <w:left w:val="single" w:sz="4" w:space="0" w:color="auto"/>
              <w:bottom w:val="nil"/>
              <w:right w:val="single" w:sz="4" w:space="0" w:color="auto"/>
            </w:tcBorders>
            <w:shd w:val="clear" w:color="auto" w:fill="auto"/>
            <w:vAlign w:val="center"/>
          </w:tcPr>
          <w:p w14:paraId="2DF79874" w14:textId="77777777" w:rsidR="00651355" w:rsidRPr="00651355" w:rsidRDefault="00651355" w:rsidP="00651355">
            <w:pPr>
              <w:spacing w:before="60" w:after="60"/>
              <w:ind w:right="227"/>
              <w:jc w:val="right"/>
              <w:rPr>
                <w:rFonts w:eastAsia="Calibri"/>
                <w:sz w:val="18"/>
                <w:szCs w:val="18"/>
                <w:lang w:eastAsia="en-US"/>
              </w:rPr>
            </w:pPr>
            <w:r w:rsidRPr="00651355">
              <w:rPr>
                <w:rFonts w:eastAsia="Calibri"/>
                <w:sz w:val="18"/>
                <w:szCs w:val="18"/>
                <w:lang w:eastAsia="en-US"/>
              </w:rPr>
              <w:t>5.8</w:t>
            </w:r>
          </w:p>
        </w:tc>
        <w:tc>
          <w:tcPr>
            <w:tcW w:w="992" w:type="dxa"/>
            <w:tcBorders>
              <w:top w:val="nil"/>
              <w:left w:val="single" w:sz="4" w:space="0" w:color="auto"/>
              <w:bottom w:val="nil"/>
              <w:right w:val="single" w:sz="4" w:space="0" w:color="auto"/>
            </w:tcBorders>
            <w:shd w:val="clear" w:color="auto" w:fill="auto"/>
            <w:vAlign w:val="center"/>
          </w:tcPr>
          <w:p w14:paraId="0EA06E97" w14:textId="77777777" w:rsidR="00651355" w:rsidRPr="00651355" w:rsidRDefault="00651355" w:rsidP="00651355">
            <w:pPr>
              <w:spacing w:before="60" w:after="60"/>
              <w:ind w:right="227"/>
              <w:jc w:val="right"/>
              <w:rPr>
                <w:rFonts w:eastAsia="Calibri"/>
                <w:bCs/>
                <w:sz w:val="18"/>
                <w:szCs w:val="18"/>
                <w:lang w:eastAsia="en-US"/>
              </w:rPr>
            </w:pPr>
            <w:r w:rsidRPr="00651355">
              <w:rPr>
                <w:rFonts w:eastAsia="Calibri"/>
                <w:bCs/>
                <w:sz w:val="18"/>
                <w:szCs w:val="18"/>
                <w:lang w:eastAsia="en-US"/>
              </w:rPr>
              <w:t>1.0</w:t>
            </w:r>
          </w:p>
        </w:tc>
      </w:tr>
      <w:tr w:rsidR="00651355" w:rsidRPr="00651355" w14:paraId="5FF4BBB5" w14:textId="77777777" w:rsidTr="00845A3F">
        <w:trPr>
          <w:trHeight w:val="271"/>
          <w:jc w:val="center"/>
        </w:trPr>
        <w:tc>
          <w:tcPr>
            <w:tcW w:w="3828" w:type="dxa"/>
            <w:tcBorders>
              <w:top w:val="nil"/>
              <w:left w:val="single" w:sz="4" w:space="0" w:color="auto"/>
              <w:bottom w:val="nil"/>
              <w:right w:val="single" w:sz="4" w:space="0" w:color="auto"/>
            </w:tcBorders>
            <w:shd w:val="clear" w:color="auto" w:fill="auto"/>
            <w:vAlign w:val="center"/>
          </w:tcPr>
          <w:p w14:paraId="32E723D2" w14:textId="77777777" w:rsidR="00651355" w:rsidRPr="00651355" w:rsidRDefault="00651355" w:rsidP="00651355">
            <w:pPr>
              <w:spacing w:before="60" w:after="60"/>
              <w:ind w:left="113"/>
              <w:rPr>
                <w:rFonts w:eastAsia="Calibri"/>
                <w:bCs/>
                <w:sz w:val="18"/>
                <w:szCs w:val="18"/>
                <w:lang w:eastAsia="en-US"/>
              </w:rPr>
            </w:pPr>
            <w:r w:rsidRPr="00651355">
              <w:rPr>
                <w:rFonts w:eastAsia="Calibri"/>
                <w:bCs/>
                <w:sz w:val="18"/>
                <w:szCs w:val="18"/>
                <w:lang w:eastAsia="en-US"/>
              </w:rPr>
              <w:t>Mercado de dinero y títulos de crédito emitidos</w:t>
            </w:r>
          </w:p>
        </w:tc>
        <w:tc>
          <w:tcPr>
            <w:tcW w:w="1134" w:type="dxa"/>
            <w:tcBorders>
              <w:left w:val="single" w:sz="4" w:space="0" w:color="auto"/>
              <w:right w:val="single" w:sz="4" w:space="0" w:color="auto"/>
            </w:tcBorders>
            <w:shd w:val="clear" w:color="auto" w:fill="auto"/>
            <w:vAlign w:val="center"/>
          </w:tcPr>
          <w:p w14:paraId="685608E7"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357</w:t>
            </w:r>
          </w:p>
        </w:tc>
        <w:tc>
          <w:tcPr>
            <w:tcW w:w="1134" w:type="dxa"/>
            <w:tcBorders>
              <w:top w:val="nil"/>
              <w:left w:val="single" w:sz="4" w:space="0" w:color="auto"/>
              <w:bottom w:val="nil"/>
              <w:right w:val="single" w:sz="4" w:space="0" w:color="auto"/>
            </w:tcBorders>
            <w:shd w:val="clear" w:color="auto" w:fill="auto"/>
            <w:vAlign w:val="center"/>
          </w:tcPr>
          <w:p w14:paraId="47A0690C"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467</w:t>
            </w:r>
          </w:p>
        </w:tc>
        <w:tc>
          <w:tcPr>
            <w:tcW w:w="992" w:type="dxa"/>
            <w:tcBorders>
              <w:left w:val="single" w:sz="4" w:space="0" w:color="auto"/>
              <w:right w:val="single" w:sz="4" w:space="0" w:color="auto"/>
            </w:tcBorders>
            <w:shd w:val="clear" w:color="auto" w:fill="auto"/>
            <w:vAlign w:val="center"/>
          </w:tcPr>
          <w:p w14:paraId="6FEAD71C" w14:textId="77777777" w:rsidR="00651355" w:rsidRPr="00651355" w:rsidRDefault="00651355" w:rsidP="00651355">
            <w:pPr>
              <w:spacing w:before="60" w:after="60"/>
              <w:ind w:right="170"/>
              <w:jc w:val="right"/>
              <w:rPr>
                <w:rFonts w:eastAsia="Calibri"/>
                <w:sz w:val="18"/>
                <w:szCs w:val="18"/>
                <w:lang w:eastAsia="en-US"/>
              </w:rPr>
            </w:pPr>
            <w:r w:rsidRPr="00651355">
              <w:rPr>
                <w:rFonts w:eastAsia="Calibri"/>
                <w:sz w:val="18"/>
                <w:szCs w:val="18"/>
                <w:lang w:eastAsia="en-US"/>
              </w:rPr>
              <w:t>502</w:t>
            </w:r>
          </w:p>
        </w:tc>
        <w:tc>
          <w:tcPr>
            <w:tcW w:w="992" w:type="dxa"/>
            <w:tcBorders>
              <w:top w:val="nil"/>
              <w:left w:val="single" w:sz="4" w:space="0" w:color="auto"/>
              <w:bottom w:val="nil"/>
              <w:right w:val="single" w:sz="4" w:space="0" w:color="auto"/>
            </w:tcBorders>
            <w:shd w:val="clear" w:color="auto" w:fill="auto"/>
            <w:vAlign w:val="center"/>
          </w:tcPr>
          <w:p w14:paraId="1F4B40A4" w14:textId="77777777" w:rsidR="00651355" w:rsidRPr="00651355" w:rsidRDefault="00651355" w:rsidP="00651355">
            <w:pPr>
              <w:spacing w:before="60" w:after="60"/>
              <w:ind w:right="227"/>
              <w:jc w:val="right"/>
              <w:rPr>
                <w:rFonts w:eastAsia="Calibri"/>
                <w:sz w:val="18"/>
                <w:szCs w:val="18"/>
                <w:lang w:eastAsia="en-US"/>
              </w:rPr>
            </w:pPr>
            <w:r w:rsidRPr="00651355">
              <w:rPr>
                <w:rFonts w:eastAsia="Calibri"/>
                <w:sz w:val="18"/>
                <w:szCs w:val="18"/>
                <w:lang w:eastAsia="en-US"/>
              </w:rPr>
              <w:t>40.6</w:t>
            </w:r>
          </w:p>
        </w:tc>
        <w:tc>
          <w:tcPr>
            <w:tcW w:w="992" w:type="dxa"/>
            <w:tcBorders>
              <w:top w:val="nil"/>
              <w:left w:val="single" w:sz="4" w:space="0" w:color="auto"/>
              <w:bottom w:val="nil"/>
              <w:right w:val="single" w:sz="4" w:space="0" w:color="auto"/>
            </w:tcBorders>
            <w:shd w:val="clear" w:color="auto" w:fill="auto"/>
            <w:vAlign w:val="center"/>
          </w:tcPr>
          <w:p w14:paraId="24FB839C" w14:textId="77777777" w:rsidR="00651355" w:rsidRPr="00651355" w:rsidRDefault="00651355" w:rsidP="00651355">
            <w:pPr>
              <w:spacing w:before="60" w:after="60"/>
              <w:ind w:right="227"/>
              <w:jc w:val="right"/>
              <w:rPr>
                <w:rFonts w:eastAsia="Calibri"/>
                <w:bCs/>
                <w:sz w:val="18"/>
                <w:szCs w:val="18"/>
                <w:lang w:eastAsia="en-US"/>
              </w:rPr>
            </w:pPr>
            <w:r w:rsidRPr="00651355">
              <w:rPr>
                <w:rFonts w:eastAsia="Calibri"/>
                <w:bCs/>
                <w:sz w:val="18"/>
                <w:szCs w:val="18"/>
                <w:lang w:eastAsia="en-US"/>
              </w:rPr>
              <w:t>7.6</w:t>
            </w:r>
          </w:p>
        </w:tc>
      </w:tr>
      <w:tr w:rsidR="00651355" w:rsidRPr="00651355" w14:paraId="32A789BC" w14:textId="77777777" w:rsidTr="00845A3F">
        <w:trPr>
          <w:trHeight w:val="261"/>
          <w:jc w:val="center"/>
        </w:trPr>
        <w:tc>
          <w:tcPr>
            <w:tcW w:w="3828" w:type="dxa"/>
            <w:tcBorders>
              <w:top w:val="nil"/>
              <w:left w:val="single" w:sz="4" w:space="0" w:color="auto"/>
              <w:bottom w:val="single" w:sz="4" w:space="0" w:color="auto"/>
              <w:right w:val="single" w:sz="4" w:space="0" w:color="auto"/>
            </w:tcBorders>
            <w:shd w:val="clear" w:color="auto" w:fill="auto"/>
            <w:vAlign w:val="center"/>
          </w:tcPr>
          <w:p w14:paraId="4AD1E5E5" w14:textId="77777777" w:rsidR="00651355" w:rsidRPr="00651355" w:rsidRDefault="00651355" w:rsidP="00651355">
            <w:pPr>
              <w:spacing w:before="60" w:after="120"/>
              <w:ind w:left="113"/>
              <w:rPr>
                <w:rFonts w:eastAsia="Calibri"/>
                <w:bCs/>
                <w:sz w:val="18"/>
                <w:szCs w:val="18"/>
                <w:lang w:eastAsia="en-US"/>
              </w:rPr>
            </w:pPr>
            <w:r w:rsidRPr="00651355">
              <w:rPr>
                <w:rFonts w:eastAsia="Calibri"/>
                <w:bCs/>
                <w:sz w:val="18"/>
                <w:szCs w:val="18"/>
                <w:lang w:eastAsia="en-US"/>
              </w:rPr>
              <w:t>Préstamos interbancarios y de otros organismos</w:t>
            </w:r>
          </w:p>
        </w:tc>
        <w:tc>
          <w:tcPr>
            <w:tcW w:w="1134" w:type="dxa"/>
            <w:tcBorders>
              <w:left w:val="single" w:sz="4" w:space="0" w:color="auto"/>
              <w:bottom w:val="single" w:sz="4" w:space="0" w:color="auto"/>
              <w:right w:val="single" w:sz="4" w:space="0" w:color="auto"/>
            </w:tcBorders>
            <w:shd w:val="clear" w:color="auto" w:fill="auto"/>
            <w:vAlign w:val="center"/>
          </w:tcPr>
          <w:p w14:paraId="716D658B" w14:textId="77777777" w:rsidR="00651355" w:rsidRPr="00651355" w:rsidRDefault="00651355" w:rsidP="00651355">
            <w:pPr>
              <w:spacing w:before="60" w:after="120"/>
              <w:ind w:right="170"/>
              <w:jc w:val="right"/>
              <w:rPr>
                <w:rFonts w:eastAsia="Calibri"/>
                <w:sz w:val="18"/>
                <w:szCs w:val="18"/>
                <w:lang w:eastAsia="en-US"/>
              </w:rPr>
            </w:pPr>
            <w:r w:rsidRPr="00651355">
              <w:rPr>
                <w:rFonts w:eastAsia="Calibri"/>
                <w:sz w:val="18"/>
                <w:szCs w:val="18"/>
                <w:lang w:eastAsia="en-US"/>
              </w:rPr>
              <w:t>233</w:t>
            </w:r>
          </w:p>
        </w:tc>
        <w:tc>
          <w:tcPr>
            <w:tcW w:w="1134" w:type="dxa"/>
            <w:tcBorders>
              <w:top w:val="nil"/>
              <w:left w:val="single" w:sz="4" w:space="0" w:color="auto"/>
              <w:bottom w:val="single" w:sz="4" w:space="0" w:color="auto"/>
              <w:right w:val="single" w:sz="4" w:space="0" w:color="auto"/>
            </w:tcBorders>
            <w:shd w:val="clear" w:color="auto" w:fill="auto"/>
            <w:vAlign w:val="center"/>
          </w:tcPr>
          <w:p w14:paraId="0CDD8028" w14:textId="77777777" w:rsidR="00651355" w:rsidRPr="00651355" w:rsidRDefault="00651355" w:rsidP="00651355">
            <w:pPr>
              <w:spacing w:before="60" w:after="120"/>
              <w:ind w:right="170"/>
              <w:jc w:val="right"/>
              <w:rPr>
                <w:rFonts w:eastAsia="Calibri"/>
                <w:sz w:val="18"/>
                <w:szCs w:val="18"/>
                <w:lang w:eastAsia="en-US"/>
              </w:rPr>
            </w:pPr>
            <w:r w:rsidRPr="00651355">
              <w:rPr>
                <w:rFonts w:eastAsia="Calibri"/>
                <w:sz w:val="18"/>
                <w:szCs w:val="18"/>
                <w:lang w:eastAsia="en-US"/>
              </w:rPr>
              <w:t>245</w:t>
            </w:r>
          </w:p>
        </w:tc>
        <w:tc>
          <w:tcPr>
            <w:tcW w:w="992" w:type="dxa"/>
            <w:tcBorders>
              <w:left w:val="single" w:sz="4" w:space="0" w:color="auto"/>
              <w:bottom w:val="single" w:sz="4" w:space="0" w:color="auto"/>
              <w:right w:val="single" w:sz="4" w:space="0" w:color="auto"/>
            </w:tcBorders>
            <w:shd w:val="clear" w:color="auto" w:fill="auto"/>
            <w:vAlign w:val="center"/>
          </w:tcPr>
          <w:p w14:paraId="288A3F59" w14:textId="77777777" w:rsidR="00651355" w:rsidRPr="00651355" w:rsidRDefault="00651355" w:rsidP="00651355">
            <w:pPr>
              <w:spacing w:before="60" w:after="120"/>
              <w:ind w:right="170"/>
              <w:jc w:val="right"/>
              <w:rPr>
                <w:rFonts w:eastAsia="Calibri"/>
                <w:sz w:val="18"/>
                <w:szCs w:val="18"/>
                <w:lang w:eastAsia="en-US"/>
              </w:rPr>
            </w:pPr>
            <w:r w:rsidRPr="00651355">
              <w:rPr>
                <w:rFonts w:eastAsia="Calibri"/>
                <w:sz w:val="18"/>
                <w:szCs w:val="18"/>
                <w:lang w:eastAsia="en-US"/>
              </w:rPr>
              <w:t>261</w:t>
            </w:r>
          </w:p>
        </w:tc>
        <w:tc>
          <w:tcPr>
            <w:tcW w:w="992" w:type="dxa"/>
            <w:tcBorders>
              <w:top w:val="nil"/>
              <w:left w:val="single" w:sz="4" w:space="0" w:color="auto"/>
              <w:bottom w:val="single" w:sz="4" w:space="0" w:color="auto"/>
              <w:right w:val="single" w:sz="4" w:space="0" w:color="auto"/>
            </w:tcBorders>
            <w:shd w:val="clear" w:color="auto" w:fill="auto"/>
            <w:vAlign w:val="center"/>
          </w:tcPr>
          <w:p w14:paraId="5AACF161" w14:textId="77777777" w:rsidR="00651355" w:rsidRPr="00651355" w:rsidRDefault="00651355" w:rsidP="00651355">
            <w:pPr>
              <w:spacing w:before="60" w:after="120"/>
              <w:ind w:right="227"/>
              <w:jc w:val="right"/>
              <w:rPr>
                <w:rFonts w:eastAsia="Calibri"/>
                <w:sz w:val="18"/>
                <w:szCs w:val="18"/>
                <w:lang w:eastAsia="en-US"/>
              </w:rPr>
            </w:pPr>
            <w:r w:rsidRPr="00651355">
              <w:rPr>
                <w:rFonts w:eastAsia="Calibri"/>
                <w:sz w:val="18"/>
                <w:szCs w:val="18"/>
                <w:lang w:eastAsia="en-US"/>
              </w:rPr>
              <w:t>11.8</w:t>
            </w:r>
          </w:p>
        </w:tc>
        <w:tc>
          <w:tcPr>
            <w:tcW w:w="992" w:type="dxa"/>
            <w:tcBorders>
              <w:top w:val="nil"/>
              <w:left w:val="single" w:sz="4" w:space="0" w:color="auto"/>
              <w:bottom w:val="single" w:sz="4" w:space="0" w:color="auto"/>
              <w:right w:val="single" w:sz="4" w:space="0" w:color="auto"/>
            </w:tcBorders>
            <w:shd w:val="clear" w:color="auto" w:fill="auto"/>
            <w:vAlign w:val="center"/>
          </w:tcPr>
          <w:p w14:paraId="37B4EAFC" w14:textId="77777777" w:rsidR="00651355" w:rsidRPr="00651355" w:rsidRDefault="00651355" w:rsidP="00651355">
            <w:pPr>
              <w:spacing w:before="60" w:after="120"/>
              <w:ind w:right="227"/>
              <w:jc w:val="right"/>
              <w:rPr>
                <w:rFonts w:eastAsia="Calibri"/>
                <w:bCs/>
                <w:sz w:val="18"/>
                <w:szCs w:val="18"/>
                <w:lang w:eastAsia="en-US"/>
              </w:rPr>
            </w:pPr>
            <w:r w:rsidRPr="00651355">
              <w:rPr>
                <w:rFonts w:eastAsia="Calibri"/>
                <w:bCs/>
                <w:sz w:val="18"/>
                <w:szCs w:val="18"/>
                <w:lang w:eastAsia="en-US"/>
              </w:rPr>
              <w:t>6.3</w:t>
            </w:r>
          </w:p>
        </w:tc>
      </w:tr>
      <w:tr w:rsidR="00651355" w:rsidRPr="00651355" w14:paraId="387C3E34" w14:textId="77777777" w:rsidTr="00845A3F">
        <w:trPr>
          <w:trHeight w:val="261"/>
          <w:jc w:val="center"/>
        </w:trPr>
        <w:tc>
          <w:tcPr>
            <w:tcW w:w="9072" w:type="dxa"/>
            <w:gridSpan w:val="6"/>
            <w:tcBorders>
              <w:top w:val="single" w:sz="4" w:space="0" w:color="auto"/>
              <w:bottom w:val="nil"/>
            </w:tcBorders>
            <w:vAlign w:val="center"/>
          </w:tcPr>
          <w:p w14:paraId="605BB003" w14:textId="77777777" w:rsidR="00651355" w:rsidRPr="00651355" w:rsidRDefault="00651355" w:rsidP="00651355">
            <w:pPr>
              <w:spacing w:before="120"/>
              <w:jc w:val="both"/>
              <w:rPr>
                <w:rFonts w:eastAsia="Calibri"/>
                <w:bCs/>
                <w:sz w:val="20"/>
                <w:szCs w:val="20"/>
                <w:lang w:eastAsia="en-US"/>
              </w:rPr>
            </w:pPr>
            <w:r w:rsidRPr="00651355">
              <w:rPr>
                <w:rFonts w:eastAsia="Calibri"/>
                <w:bCs/>
                <w:sz w:val="20"/>
                <w:szCs w:val="20"/>
                <w:lang w:eastAsia="en-US"/>
              </w:rPr>
              <w:t>FUENTE: CNBV.</w:t>
            </w:r>
          </w:p>
        </w:tc>
      </w:tr>
    </w:tbl>
    <w:p w14:paraId="116B25F0" w14:textId="77777777" w:rsidR="00651355" w:rsidRPr="00651355" w:rsidRDefault="00651355" w:rsidP="00651355">
      <w:pPr>
        <w:spacing w:after="360" w:line="360" w:lineRule="auto"/>
        <w:ind w:right="-159"/>
        <w:jc w:val="both"/>
        <w:rPr>
          <w:rFonts w:eastAsia="Calibri"/>
          <w:sz w:val="26"/>
          <w:szCs w:val="26"/>
          <w:lang w:eastAsia="en-US"/>
        </w:rPr>
      </w:pPr>
    </w:p>
    <w:p w14:paraId="569B21E2"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Estado de resultados</w:t>
      </w:r>
    </w:p>
    <w:p w14:paraId="186FAFB3"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El resultado neto de la banca múltiple fue de 16 mmdp al cierre de febrero de 2015, cifra 6.7% mayor a la del mismo período del año previo.</w:t>
      </w:r>
    </w:p>
    <w:tbl>
      <w:tblPr>
        <w:tblW w:w="8588" w:type="dxa"/>
        <w:jc w:val="center"/>
        <w:tblLayout w:type="fixed"/>
        <w:tblLook w:val="01E0" w:firstRow="1" w:lastRow="1" w:firstColumn="1" w:lastColumn="1" w:noHBand="0" w:noVBand="0"/>
      </w:tblPr>
      <w:tblGrid>
        <w:gridCol w:w="4253"/>
        <w:gridCol w:w="1134"/>
        <w:gridCol w:w="1134"/>
        <w:gridCol w:w="992"/>
        <w:gridCol w:w="1004"/>
        <w:gridCol w:w="71"/>
      </w:tblGrid>
      <w:tr w:rsidR="00651355" w:rsidRPr="00651355" w14:paraId="63F91A9F" w14:textId="77777777" w:rsidTr="00845A3F">
        <w:trPr>
          <w:gridAfter w:val="1"/>
          <w:wAfter w:w="71" w:type="dxa"/>
          <w:trHeight w:val="552"/>
          <w:jc w:val="center"/>
        </w:trPr>
        <w:tc>
          <w:tcPr>
            <w:tcW w:w="8517" w:type="dxa"/>
            <w:gridSpan w:val="5"/>
            <w:tcBorders>
              <w:top w:val="nil"/>
              <w:bottom w:val="single" w:sz="4" w:space="0" w:color="auto"/>
            </w:tcBorders>
            <w:vAlign w:val="center"/>
          </w:tcPr>
          <w:p w14:paraId="0FB41C47" w14:textId="77777777" w:rsidR="00651355" w:rsidRPr="00651355" w:rsidRDefault="00651355" w:rsidP="00651355">
            <w:pPr>
              <w:jc w:val="center"/>
              <w:rPr>
                <w:rFonts w:eastAsia="Calibri"/>
                <w:bCs/>
                <w:sz w:val="22"/>
                <w:szCs w:val="22"/>
                <w:lang w:eastAsia="en-US"/>
              </w:rPr>
            </w:pPr>
            <w:r w:rsidRPr="00651355">
              <w:rPr>
                <w:rFonts w:eastAsia="Calibri"/>
                <w:b/>
                <w:bCs/>
                <w:sz w:val="22"/>
                <w:szCs w:val="22"/>
                <w:lang w:eastAsia="en-US"/>
              </w:rPr>
              <w:t>BANCA MÚLTIPLE: ESTADO DE RESULTADOS</w:t>
            </w:r>
          </w:p>
          <w:p w14:paraId="0BAD96C1" w14:textId="77777777" w:rsidR="00651355" w:rsidRPr="00651355" w:rsidRDefault="00651355" w:rsidP="00651355">
            <w:pPr>
              <w:jc w:val="center"/>
              <w:rPr>
                <w:rFonts w:eastAsia="Calibri"/>
                <w:b/>
                <w:bCs/>
                <w:sz w:val="22"/>
                <w:szCs w:val="22"/>
                <w:lang w:eastAsia="en-US"/>
              </w:rPr>
            </w:pPr>
            <w:r w:rsidRPr="00651355">
              <w:rPr>
                <w:rFonts w:eastAsia="Calibri"/>
                <w:b/>
                <w:bCs/>
                <w:sz w:val="22"/>
                <w:szCs w:val="22"/>
                <w:lang w:eastAsia="en-US"/>
              </w:rPr>
              <w:t>-Resultado acumulado en mmdp-</w:t>
            </w:r>
          </w:p>
          <w:p w14:paraId="1D7D1E1E" w14:textId="77777777" w:rsidR="00651355" w:rsidRPr="00651355" w:rsidRDefault="00651355" w:rsidP="00651355">
            <w:pPr>
              <w:jc w:val="center"/>
              <w:rPr>
                <w:rFonts w:eastAsia="Calibri"/>
                <w:bCs/>
                <w:sz w:val="22"/>
                <w:szCs w:val="22"/>
                <w:lang w:eastAsia="en-US"/>
              </w:rPr>
            </w:pPr>
          </w:p>
        </w:tc>
      </w:tr>
      <w:tr w:rsidR="00651355" w:rsidRPr="00651355" w14:paraId="4619DD13" w14:textId="77777777" w:rsidTr="00845A3F">
        <w:trPr>
          <w:trHeight w:val="103"/>
          <w:jc w:val="center"/>
        </w:trPr>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67F28AA" w14:textId="77777777" w:rsidR="00651355" w:rsidRPr="00651355" w:rsidRDefault="00651355" w:rsidP="00651355">
            <w:pPr>
              <w:jc w:val="center"/>
              <w:rPr>
                <w:rFonts w:eastAsia="Calibri"/>
                <w:bCs/>
                <w:sz w:val="16"/>
                <w:szCs w:val="16"/>
                <w:lang w:eastAsia="en-US"/>
              </w:rPr>
            </w:pPr>
          </w:p>
        </w:tc>
        <w:tc>
          <w:tcPr>
            <w:tcW w:w="1134" w:type="dxa"/>
            <w:tcBorders>
              <w:top w:val="single" w:sz="4" w:space="0" w:color="auto"/>
              <w:left w:val="single" w:sz="4" w:space="0" w:color="auto"/>
              <w:right w:val="single" w:sz="4" w:space="0" w:color="auto"/>
            </w:tcBorders>
            <w:shd w:val="clear" w:color="auto" w:fill="auto"/>
            <w:vAlign w:val="center"/>
          </w:tcPr>
          <w:p w14:paraId="3747F8F8" w14:textId="77777777" w:rsidR="00651355" w:rsidRPr="00651355" w:rsidRDefault="00651355" w:rsidP="00651355">
            <w:pPr>
              <w:jc w:val="center"/>
              <w:rPr>
                <w:rFonts w:eastAsia="Calibri"/>
                <w:b/>
                <w:sz w:val="16"/>
                <w:szCs w:val="16"/>
                <w:lang w:eastAsia="en-US"/>
              </w:rPr>
            </w:pPr>
            <w:r w:rsidRPr="00651355">
              <w:rPr>
                <w:rFonts w:eastAsia="Calibri"/>
                <w:b/>
                <w:sz w:val="16"/>
                <w:szCs w:val="16"/>
                <w:lang w:eastAsia="en-US"/>
              </w:rPr>
              <w:t>Febrero</w:t>
            </w:r>
          </w:p>
        </w:tc>
        <w:tc>
          <w:tcPr>
            <w:tcW w:w="1134" w:type="dxa"/>
            <w:tcBorders>
              <w:top w:val="single" w:sz="4" w:space="0" w:color="auto"/>
              <w:left w:val="single" w:sz="4" w:space="0" w:color="auto"/>
              <w:bottom w:val="nil"/>
              <w:right w:val="single" w:sz="4" w:space="0" w:color="auto"/>
            </w:tcBorders>
            <w:shd w:val="clear" w:color="auto" w:fill="auto"/>
            <w:vAlign w:val="center"/>
          </w:tcPr>
          <w:p w14:paraId="5F271B8E" w14:textId="77777777" w:rsidR="00651355" w:rsidRPr="00651355" w:rsidRDefault="00651355" w:rsidP="00651355">
            <w:pPr>
              <w:jc w:val="center"/>
              <w:rPr>
                <w:rFonts w:eastAsia="Calibri"/>
                <w:b/>
                <w:sz w:val="16"/>
                <w:szCs w:val="16"/>
                <w:lang w:eastAsia="en-US"/>
              </w:rPr>
            </w:pPr>
            <w:r w:rsidRPr="00651355">
              <w:rPr>
                <w:rFonts w:eastAsia="Calibri"/>
                <w:b/>
                <w:sz w:val="16"/>
                <w:szCs w:val="16"/>
                <w:lang w:eastAsia="en-US"/>
              </w:rPr>
              <w:t>Febrero</w:t>
            </w:r>
          </w:p>
        </w:tc>
        <w:tc>
          <w:tcPr>
            <w:tcW w:w="20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591224" w14:textId="77777777" w:rsidR="00651355" w:rsidRPr="00651355" w:rsidRDefault="00651355" w:rsidP="00651355">
            <w:pPr>
              <w:jc w:val="center"/>
              <w:rPr>
                <w:rFonts w:eastAsia="Calibri"/>
                <w:bCs/>
                <w:sz w:val="16"/>
                <w:szCs w:val="16"/>
                <w:lang w:eastAsia="en-US"/>
              </w:rPr>
            </w:pPr>
            <w:r w:rsidRPr="00651355">
              <w:rPr>
                <w:rFonts w:eastAsia="Calibri"/>
                <w:b/>
                <w:bCs/>
                <w:sz w:val="16"/>
                <w:szCs w:val="16"/>
                <w:lang w:eastAsia="en-US"/>
              </w:rPr>
              <w:t>Diferencia anual en:</w:t>
            </w:r>
          </w:p>
        </w:tc>
      </w:tr>
      <w:tr w:rsidR="00651355" w:rsidRPr="00651355" w14:paraId="727B80BE" w14:textId="77777777" w:rsidTr="00845A3F">
        <w:trPr>
          <w:trHeight w:val="79"/>
          <w:jc w:val="center"/>
        </w:trPr>
        <w:tc>
          <w:tcPr>
            <w:tcW w:w="4253" w:type="dxa"/>
            <w:vMerge/>
            <w:tcBorders>
              <w:top w:val="nil"/>
              <w:left w:val="single" w:sz="4" w:space="0" w:color="auto"/>
              <w:bottom w:val="single" w:sz="4" w:space="0" w:color="auto"/>
              <w:right w:val="single" w:sz="4" w:space="0" w:color="auto"/>
            </w:tcBorders>
            <w:shd w:val="clear" w:color="auto" w:fill="auto"/>
            <w:vAlign w:val="center"/>
          </w:tcPr>
          <w:p w14:paraId="6942EE41" w14:textId="77777777" w:rsidR="00651355" w:rsidRPr="00651355" w:rsidRDefault="00651355" w:rsidP="00651355">
            <w:pPr>
              <w:jc w:val="center"/>
              <w:rPr>
                <w:rFonts w:eastAsia="Calibri"/>
                <w:bCs/>
                <w:sz w:val="16"/>
                <w:szCs w:val="16"/>
                <w:lang w:eastAsia="en-US"/>
              </w:rPr>
            </w:pPr>
          </w:p>
        </w:tc>
        <w:tc>
          <w:tcPr>
            <w:tcW w:w="1134" w:type="dxa"/>
            <w:tcBorders>
              <w:left w:val="single" w:sz="4" w:space="0" w:color="auto"/>
              <w:bottom w:val="single" w:sz="4" w:space="0" w:color="auto"/>
              <w:right w:val="single" w:sz="4" w:space="0" w:color="auto"/>
            </w:tcBorders>
            <w:shd w:val="clear" w:color="auto" w:fill="auto"/>
            <w:vAlign w:val="center"/>
          </w:tcPr>
          <w:p w14:paraId="47BB10F9" w14:textId="77777777" w:rsidR="00651355" w:rsidRPr="00651355" w:rsidRDefault="00651355" w:rsidP="00651355">
            <w:pPr>
              <w:jc w:val="center"/>
              <w:rPr>
                <w:rFonts w:eastAsia="Calibri"/>
                <w:b/>
                <w:sz w:val="16"/>
                <w:szCs w:val="16"/>
                <w:lang w:eastAsia="en-US"/>
              </w:rPr>
            </w:pPr>
            <w:r w:rsidRPr="00651355">
              <w:rPr>
                <w:rFonts w:eastAsia="Calibri"/>
                <w:b/>
                <w:sz w:val="16"/>
                <w:szCs w:val="16"/>
                <w:lang w:eastAsia="en-US"/>
              </w:rPr>
              <w:t>2014</w:t>
            </w:r>
          </w:p>
        </w:tc>
        <w:tc>
          <w:tcPr>
            <w:tcW w:w="1134" w:type="dxa"/>
            <w:tcBorders>
              <w:top w:val="nil"/>
              <w:left w:val="single" w:sz="4" w:space="0" w:color="auto"/>
              <w:bottom w:val="single" w:sz="4" w:space="0" w:color="auto"/>
              <w:right w:val="single" w:sz="4" w:space="0" w:color="auto"/>
            </w:tcBorders>
            <w:shd w:val="clear" w:color="auto" w:fill="auto"/>
            <w:vAlign w:val="center"/>
          </w:tcPr>
          <w:p w14:paraId="6E8706BB" w14:textId="77777777" w:rsidR="00651355" w:rsidRPr="00651355" w:rsidRDefault="00651355" w:rsidP="00651355">
            <w:pPr>
              <w:jc w:val="center"/>
              <w:rPr>
                <w:rFonts w:eastAsia="Calibri"/>
                <w:b/>
                <w:sz w:val="16"/>
                <w:szCs w:val="16"/>
                <w:lang w:eastAsia="en-US"/>
              </w:rPr>
            </w:pPr>
            <w:r w:rsidRPr="00651355">
              <w:rPr>
                <w:rFonts w:eastAsia="Calibri"/>
                <w:b/>
                <w:sz w:val="16"/>
                <w:szCs w:val="16"/>
                <w:lang w:eastAsia="en-US"/>
              </w:rPr>
              <w:t>2015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1A31D0" w14:textId="77777777" w:rsidR="00651355" w:rsidRPr="00651355" w:rsidRDefault="00651355" w:rsidP="00651355">
            <w:pPr>
              <w:jc w:val="center"/>
              <w:rPr>
                <w:rFonts w:eastAsia="Calibri"/>
                <w:b/>
                <w:sz w:val="16"/>
                <w:szCs w:val="16"/>
                <w:lang w:eastAsia="en-US"/>
              </w:rPr>
            </w:pPr>
            <w:r w:rsidRPr="00651355">
              <w:rPr>
                <w:rFonts w:eastAsia="Calibri"/>
                <w:b/>
                <w:sz w:val="16"/>
                <w:szCs w:val="16"/>
                <w:lang w:eastAsia="en-US"/>
              </w:rPr>
              <w:t>MMDP</w:t>
            </w:r>
          </w:p>
        </w:tc>
        <w:tc>
          <w:tcPr>
            <w:tcW w:w="10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5D866" w14:textId="77777777" w:rsidR="00651355" w:rsidRPr="00651355" w:rsidRDefault="00651355" w:rsidP="00651355">
            <w:pPr>
              <w:jc w:val="center"/>
              <w:rPr>
                <w:rFonts w:eastAsia="Calibri"/>
                <w:bCs/>
                <w:sz w:val="16"/>
                <w:szCs w:val="16"/>
                <w:lang w:eastAsia="en-US"/>
              </w:rPr>
            </w:pPr>
            <w:r w:rsidRPr="00651355">
              <w:rPr>
                <w:rFonts w:eastAsia="Calibri"/>
                <w:b/>
                <w:bCs/>
                <w:sz w:val="16"/>
                <w:szCs w:val="16"/>
                <w:lang w:eastAsia="en-US"/>
              </w:rPr>
              <w:t>%</w:t>
            </w:r>
          </w:p>
        </w:tc>
      </w:tr>
      <w:tr w:rsidR="00651355" w:rsidRPr="00651355" w14:paraId="74D0A8E5" w14:textId="77777777" w:rsidTr="00845A3F">
        <w:trPr>
          <w:trHeight w:val="271"/>
          <w:jc w:val="center"/>
        </w:trPr>
        <w:tc>
          <w:tcPr>
            <w:tcW w:w="4253" w:type="dxa"/>
            <w:tcBorders>
              <w:top w:val="single" w:sz="4" w:space="0" w:color="auto"/>
              <w:left w:val="single" w:sz="4" w:space="0" w:color="auto"/>
              <w:bottom w:val="nil"/>
              <w:right w:val="single" w:sz="4" w:space="0" w:color="auto"/>
            </w:tcBorders>
            <w:shd w:val="clear" w:color="auto" w:fill="auto"/>
            <w:vAlign w:val="center"/>
          </w:tcPr>
          <w:p w14:paraId="0706E201" w14:textId="77777777" w:rsidR="00651355" w:rsidRPr="00651355" w:rsidRDefault="00651355" w:rsidP="00651355">
            <w:pPr>
              <w:spacing w:before="120"/>
              <w:ind w:left="170"/>
              <w:rPr>
                <w:rFonts w:eastAsia="Calibri"/>
                <w:bCs/>
                <w:sz w:val="16"/>
                <w:szCs w:val="16"/>
                <w:lang w:val="en-US" w:eastAsia="en-US"/>
              </w:rPr>
            </w:pPr>
            <w:r w:rsidRPr="00651355">
              <w:rPr>
                <w:rFonts w:eastAsia="Calibri"/>
                <w:bCs/>
                <w:sz w:val="16"/>
                <w:szCs w:val="16"/>
                <w:lang w:val="en-US" w:eastAsia="en-US"/>
              </w:rPr>
              <w:t>Ingresos por intereses</w:t>
            </w:r>
          </w:p>
        </w:tc>
        <w:tc>
          <w:tcPr>
            <w:tcW w:w="1134" w:type="dxa"/>
            <w:tcBorders>
              <w:top w:val="single" w:sz="4" w:space="0" w:color="auto"/>
              <w:left w:val="single" w:sz="4" w:space="0" w:color="auto"/>
              <w:right w:val="single" w:sz="4" w:space="0" w:color="auto"/>
            </w:tcBorders>
            <w:shd w:val="clear" w:color="auto" w:fill="auto"/>
            <w:vAlign w:val="center"/>
          </w:tcPr>
          <w:p w14:paraId="2E18EB73" w14:textId="77777777" w:rsidR="00651355" w:rsidRPr="00651355" w:rsidRDefault="00651355" w:rsidP="00651355">
            <w:pPr>
              <w:spacing w:before="120"/>
              <w:ind w:right="340"/>
              <w:jc w:val="right"/>
              <w:rPr>
                <w:rFonts w:eastAsia="Calibri"/>
                <w:sz w:val="16"/>
                <w:szCs w:val="16"/>
                <w:lang w:val="en-US" w:eastAsia="en-US"/>
              </w:rPr>
            </w:pPr>
            <w:r w:rsidRPr="00651355">
              <w:rPr>
                <w:rFonts w:eastAsia="Calibri"/>
                <w:sz w:val="16"/>
                <w:szCs w:val="16"/>
                <w:lang w:val="en-US" w:eastAsia="en-US"/>
              </w:rPr>
              <w:t>75</w:t>
            </w:r>
          </w:p>
        </w:tc>
        <w:tc>
          <w:tcPr>
            <w:tcW w:w="1134" w:type="dxa"/>
            <w:tcBorders>
              <w:top w:val="single" w:sz="4" w:space="0" w:color="auto"/>
              <w:left w:val="single" w:sz="4" w:space="0" w:color="auto"/>
              <w:bottom w:val="nil"/>
              <w:right w:val="single" w:sz="4" w:space="0" w:color="auto"/>
            </w:tcBorders>
            <w:shd w:val="clear" w:color="auto" w:fill="auto"/>
            <w:vAlign w:val="center"/>
          </w:tcPr>
          <w:p w14:paraId="0D0D5F44" w14:textId="77777777" w:rsidR="00651355" w:rsidRPr="00651355" w:rsidRDefault="00651355" w:rsidP="00651355">
            <w:pPr>
              <w:spacing w:before="120"/>
              <w:ind w:right="340"/>
              <w:jc w:val="right"/>
              <w:rPr>
                <w:rFonts w:eastAsia="Calibri"/>
                <w:sz w:val="16"/>
                <w:szCs w:val="16"/>
                <w:lang w:val="en-US" w:eastAsia="en-US"/>
              </w:rPr>
            </w:pPr>
            <w:r w:rsidRPr="00651355">
              <w:rPr>
                <w:rFonts w:eastAsia="Calibri"/>
                <w:sz w:val="16"/>
                <w:szCs w:val="16"/>
                <w:lang w:val="en-US" w:eastAsia="en-US"/>
              </w:rPr>
              <w:t>79</w:t>
            </w:r>
          </w:p>
        </w:tc>
        <w:tc>
          <w:tcPr>
            <w:tcW w:w="992" w:type="dxa"/>
            <w:tcBorders>
              <w:top w:val="single" w:sz="4" w:space="0" w:color="auto"/>
              <w:left w:val="single" w:sz="4" w:space="0" w:color="auto"/>
              <w:right w:val="single" w:sz="4" w:space="0" w:color="auto"/>
            </w:tcBorders>
            <w:shd w:val="clear" w:color="auto" w:fill="auto"/>
            <w:vAlign w:val="center"/>
          </w:tcPr>
          <w:p w14:paraId="550C67ED" w14:textId="77777777" w:rsidR="00651355" w:rsidRPr="00651355" w:rsidRDefault="00651355" w:rsidP="00651355">
            <w:pPr>
              <w:spacing w:before="120"/>
              <w:ind w:right="340"/>
              <w:jc w:val="right"/>
              <w:rPr>
                <w:rFonts w:eastAsia="Calibri"/>
                <w:sz w:val="16"/>
                <w:szCs w:val="16"/>
                <w:lang w:val="en-US" w:eastAsia="en-US"/>
              </w:rPr>
            </w:pPr>
            <w:r w:rsidRPr="00651355">
              <w:rPr>
                <w:rFonts w:eastAsia="Calibri"/>
                <w:sz w:val="16"/>
                <w:szCs w:val="16"/>
                <w:lang w:val="en-US" w:eastAsia="en-US"/>
              </w:rPr>
              <w:t>4</w:t>
            </w:r>
          </w:p>
        </w:tc>
        <w:tc>
          <w:tcPr>
            <w:tcW w:w="1075" w:type="dxa"/>
            <w:gridSpan w:val="2"/>
            <w:tcBorders>
              <w:top w:val="single" w:sz="4" w:space="0" w:color="auto"/>
              <w:left w:val="single" w:sz="4" w:space="0" w:color="auto"/>
              <w:bottom w:val="nil"/>
              <w:right w:val="single" w:sz="4" w:space="0" w:color="auto"/>
            </w:tcBorders>
            <w:shd w:val="clear" w:color="auto" w:fill="auto"/>
            <w:vAlign w:val="center"/>
          </w:tcPr>
          <w:p w14:paraId="57FBE017" w14:textId="77777777" w:rsidR="00651355" w:rsidRPr="00651355" w:rsidRDefault="00651355" w:rsidP="00651355">
            <w:pPr>
              <w:spacing w:before="120"/>
              <w:ind w:right="284"/>
              <w:jc w:val="right"/>
              <w:rPr>
                <w:rFonts w:eastAsia="Calibri"/>
                <w:bCs/>
                <w:sz w:val="16"/>
                <w:szCs w:val="16"/>
                <w:lang w:eastAsia="en-US"/>
              </w:rPr>
            </w:pPr>
            <w:r w:rsidRPr="00651355">
              <w:rPr>
                <w:rFonts w:eastAsia="Calibri"/>
                <w:bCs/>
                <w:sz w:val="16"/>
                <w:szCs w:val="16"/>
                <w:lang w:eastAsia="en-US"/>
              </w:rPr>
              <w:t>5.2</w:t>
            </w:r>
          </w:p>
        </w:tc>
      </w:tr>
      <w:tr w:rsidR="00651355" w:rsidRPr="00651355" w14:paraId="53C72112"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03EC5188" w14:textId="77777777" w:rsidR="00651355" w:rsidRPr="00651355" w:rsidRDefault="00651355" w:rsidP="00651355">
            <w:pPr>
              <w:spacing w:after="120"/>
              <w:ind w:left="170"/>
              <w:rPr>
                <w:rFonts w:eastAsia="Calibri"/>
                <w:bCs/>
                <w:sz w:val="16"/>
                <w:szCs w:val="16"/>
                <w:lang w:eastAsia="en-US"/>
              </w:rPr>
            </w:pPr>
            <w:r w:rsidRPr="00651355">
              <w:rPr>
                <w:rFonts w:eastAsia="Calibri"/>
                <w:bCs/>
                <w:sz w:val="16"/>
                <w:szCs w:val="16"/>
                <w:lang w:eastAsia="en-US"/>
              </w:rPr>
              <w:t>Gastos por intereses</w:t>
            </w:r>
          </w:p>
        </w:tc>
        <w:tc>
          <w:tcPr>
            <w:tcW w:w="1134" w:type="dxa"/>
            <w:tcBorders>
              <w:left w:val="single" w:sz="4" w:space="0" w:color="auto"/>
              <w:right w:val="single" w:sz="4" w:space="0" w:color="auto"/>
            </w:tcBorders>
            <w:shd w:val="clear" w:color="auto" w:fill="auto"/>
            <w:vAlign w:val="center"/>
          </w:tcPr>
          <w:p w14:paraId="1C007718"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25</w:t>
            </w:r>
          </w:p>
        </w:tc>
        <w:tc>
          <w:tcPr>
            <w:tcW w:w="1134" w:type="dxa"/>
            <w:tcBorders>
              <w:top w:val="nil"/>
              <w:left w:val="single" w:sz="4" w:space="0" w:color="auto"/>
              <w:bottom w:val="nil"/>
              <w:right w:val="single" w:sz="4" w:space="0" w:color="auto"/>
            </w:tcBorders>
            <w:shd w:val="clear" w:color="auto" w:fill="auto"/>
            <w:vAlign w:val="center"/>
          </w:tcPr>
          <w:p w14:paraId="58E59F65"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27</w:t>
            </w:r>
          </w:p>
        </w:tc>
        <w:tc>
          <w:tcPr>
            <w:tcW w:w="992" w:type="dxa"/>
            <w:tcBorders>
              <w:left w:val="single" w:sz="4" w:space="0" w:color="auto"/>
              <w:right w:val="single" w:sz="4" w:space="0" w:color="auto"/>
            </w:tcBorders>
            <w:shd w:val="clear" w:color="auto" w:fill="auto"/>
            <w:vAlign w:val="center"/>
          </w:tcPr>
          <w:p w14:paraId="7C20D10F"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120137D2" w14:textId="77777777" w:rsidR="00651355" w:rsidRPr="00651355" w:rsidRDefault="00651355" w:rsidP="00651355">
            <w:pPr>
              <w:spacing w:after="120"/>
              <w:ind w:right="284"/>
              <w:jc w:val="right"/>
              <w:rPr>
                <w:rFonts w:eastAsia="Calibri"/>
                <w:bCs/>
                <w:sz w:val="16"/>
                <w:szCs w:val="16"/>
                <w:lang w:eastAsia="en-US"/>
              </w:rPr>
            </w:pPr>
            <w:r w:rsidRPr="00651355">
              <w:rPr>
                <w:rFonts w:eastAsia="Calibri"/>
                <w:bCs/>
                <w:sz w:val="16"/>
                <w:szCs w:val="16"/>
                <w:lang w:eastAsia="en-US"/>
              </w:rPr>
              <w:t>8.7</w:t>
            </w:r>
          </w:p>
        </w:tc>
      </w:tr>
      <w:tr w:rsidR="00651355" w:rsidRPr="00651355" w14:paraId="737005A5"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194C88B5" w14:textId="77777777" w:rsidR="00651355" w:rsidRPr="00651355" w:rsidRDefault="00651355" w:rsidP="00651355">
            <w:pPr>
              <w:rPr>
                <w:rFonts w:eastAsia="Calibri"/>
                <w:b/>
                <w:bCs/>
                <w:sz w:val="16"/>
                <w:szCs w:val="16"/>
                <w:lang w:eastAsia="en-US"/>
              </w:rPr>
            </w:pPr>
            <w:r w:rsidRPr="00651355">
              <w:rPr>
                <w:rFonts w:eastAsia="Calibri"/>
                <w:b/>
                <w:bCs/>
                <w:sz w:val="16"/>
                <w:szCs w:val="16"/>
                <w:lang w:eastAsia="en-US"/>
              </w:rPr>
              <w:t>Margen financiero</w:t>
            </w:r>
          </w:p>
        </w:tc>
        <w:tc>
          <w:tcPr>
            <w:tcW w:w="1134" w:type="dxa"/>
            <w:tcBorders>
              <w:left w:val="single" w:sz="4" w:space="0" w:color="auto"/>
              <w:right w:val="single" w:sz="4" w:space="0" w:color="auto"/>
            </w:tcBorders>
            <w:shd w:val="clear" w:color="auto" w:fill="auto"/>
            <w:vAlign w:val="center"/>
          </w:tcPr>
          <w:p w14:paraId="28254113"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50</w:t>
            </w:r>
          </w:p>
        </w:tc>
        <w:tc>
          <w:tcPr>
            <w:tcW w:w="1134" w:type="dxa"/>
            <w:tcBorders>
              <w:top w:val="nil"/>
              <w:left w:val="single" w:sz="4" w:space="0" w:color="auto"/>
              <w:bottom w:val="nil"/>
              <w:right w:val="single" w:sz="4" w:space="0" w:color="auto"/>
            </w:tcBorders>
            <w:shd w:val="clear" w:color="auto" w:fill="auto"/>
            <w:vAlign w:val="center"/>
          </w:tcPr>
          <w:p w14:paraId="383E4E05"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52</w:t>
            </w:r>
          </w:p>
        </w:tc>
        <w:tc>
          <w:tcPr>
            <w:tcW w:w="992" w:type="dxa"/>
            <w:tcBorders>
              <w:left w:val="single" w:sz="4" w:space="0" w:color="auto"/>
              <w:right w:val="single" w:sz="4" w:space="0" w:color="auto"/>
            </w:tcBorders>
            <w:shd w:val="clear" w:color="auto" w:fill="auto"/>
            <w:vAlign w:val="center"/>
          </w:tcPr>
          <w:p w14:paraId="4943E0AB"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4C0EEB91" w14:textId="77777777" w:rsidR="00651355" w:rsidRPr="00651355" w:rsidRDefault="00651355" w:rsidP="00651355">
            <w:pPr>
              <w:ind w:right="284"/>
              <w:jc w:val="right"/>
              <w:rPr>
                <w:rFonts w:eastAsia="Calibri"/>
                <w:b/>
                <w:bCs/>
                <w:sz w:val="16"/>
                <w:szCs w:val="16"/>
                <w:lang w:eastAsia="en-US"/>
              </w:rPr>
            </w:pPr>
            <w:r w:rsidRPr="00651355">
              <w:rPr>
                <w:rFonts w:eastAsia="Calibri"/>
                <w:b/>
                <w:bCs/>
                <w:sz w:val="16"/>
                <w:szCs w:val="16"/>
                <w:lang w:eastAsia="en-US"/>
              </w:rPr>
              <w:t>3.5</w:t>
            </w:r>
          </w:p>
        </w:tc>
      </w:tr>
      <w:tr w:rsidR="00651355" w:rsidRPr="00651355" w14:paraId="74CEB583"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2B958154" w14:textId="77777777" w:rsidR="00651355" w:rsidRPr="00651355" w:rsidRDefault="00651355" w:rsidP="00651355">
            <w:pPr>
              <w:spacing w:after="120"/>
              <w:ind w:left="170"/>
              <w:rPr>
                <w:rFonts w:eastAsia="Calibri"/>
                <w:bCs/>
                <w:sz w:val="16"/>
                <w:szCs w:val="16"/>
                <w:lang w:eastAsia="en-US"/>
              </w:rPr>
            </w:pPr>
            <w:r w:rsidRPr="00651355">
              <w:rPr>
                <w:rFonts w:eastAsia="Calibri"/>
                <w:bCs/>
                <w:sz w:val="16"/>
                <w:szCs w:val="16"/>
                <w:lang w:eastAsia="en-US"/>
              </w:rPr>
              <w:t>Estimaciones preventivas para riesgos crediticios</w:t>
            </w:r>
          </w:p>
        </w:tc>
        <w:tc>
          <w:tcPr>
            <w:tcW w:w="1134" w:type="dxa"/>
            <w:tcBorders>
              <w:left w:val="single" w:sz="4" w:space="0" w:color="auto"/>
              <w:right w:val="single" w:sz="4" w:space="0" w:color="auto"/>
            </w:tcBorders>
            <w:shd w:val="clear" w:color="auto" w:fill="auto"/>
            <w:vAlign w:val="center"/>
          </w:tcPr>
          <w:p w14:paraId="218F4D0F"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14</w:t>
            </w:r>
          </w:p>
        </w:tc>
        <w:tc>
          <w:tcPr>
            <w:tcW w:w="1134" w:type="dxa"/>
            <w:tcBorders>
              <w:top w:val="nil"/>
              <w:left w:val="single" w:sz="4" w:space="0" w:color="auto"/>
              <w:bottom w:val="nil"/>
              <w:right w:val="single" w:sz="4" w:space="0" w:color="auto"/>
            </w:tcBorders>
            <w:shd w:val="clear" w:color="auto" w:fill="auto"/>
            <w:vAlign w:val="center"/>
          </w:tcPr>
          <w:p w14:paraId="118BEE40"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15</w:t>
            </w:r>
          </w:p>
        </w:tc>
        <w:tc>
          <w:tcPr>
            <w:tcW w:w="992" w:type="dxa"/>
            <w:tcBorders>
              <w:left w:val="single" w:sz="4" w:space="0" w:color="auto"/>
              <w:right w:val="single" w:sz="4" w:space="0" w:color="auto"/>
            </w:tcBorders>
            <w:shd w:val="clear" w:color="auto" w:fill="auto"/>
            <w:vAlign w:val="center"/>
          </w:tcPr>
          <w:p w14:paraId="403FD0C3"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2</w:t>
            </w:r>
          </w:p>
        </w:tc>
        <w:tc>
          <w:tcPr>
            <w:tcW w:w="1075" w:type="dxa"/>
            <w:gridSpan w:val="2"/>
            <w:tcBorders>
              <w:top w:val="nil"/>
              <w:left w:val="single" w:sz="4" w:space="0" w:color="auto"/>
              <w:bottom w:val="nil"/>
              <w:right w:val="single" w:sz="4" w:space="0" w:color="auto"/>
            </w:tcBorders>
            <w:shd w:val="clear" w:color="auto" w:fill="auto"/>
            <w:vAlign w:val="center"/>
          </w:tcPr>
          <w:p w14:paraId="6B389590" w14:textId="77777777" w:rsidR="00651355" w:rsidRPr="00651355" w:rsidRDefault="00651355" w:rsidP="00651355">
            <w:pPr>
              <w:spacing w:after="120"/>
              <w:ind w:right="284"/>
              <w:jc w:val="right"/>
              <w:rPr>
                <w:rFonts w:eastAsia="Calibri"/>
                <w:bCs/>
                <w:sz w:val="16"/>
                <w:szCs w:val="16"/>
                <w:lang w:eastAsia="en-US"/>
              </w:rPr>
            </w:pPr>
            <w:r w:rsidRPr="00651355">
              <w:rPr>
                <w:rFonts w:eastAsia="Calibri"/>
                <w:bCs/>
                <w:sz w:val="16"/>
                <w:szCs w:val="16"/>
                <w:lang w:eastAsia="en-US"/>
              </w:rPr>
              <w:t>11.5</w:t>
            </w:r>
          </w:p>
        </w:tc>
      </w:tr>
      <w:tr w:rsidR="00651355" w:rsidRPr="00651355" w14:paraId="54191C69"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39165AB3" w14:textId="77777777" w:rsidR="00651355" w:rsidRPr="00651355" w:rsidRDefault="00651355" w:rsidP="00651355">
            <w:pPr>
              <w:rPr>
                <w:rFonts w:eastAsia="Calibri"/>
                <w:b/>
                <w:bCs/>
                <w:sz w:val="16"/>
                <w:szCs w:val="16"/>
                <w:lang w:eastAsia="en-US"/>
              </w:rPr>
            </w:pPr>
            <w:r w:rsidRPr="00651355">
              <w:rPr>
                <w:rFonts w:eastAsia="Calibri"/>
                <w:b/>
                <w:bCs/>
                <w:sz w:val="16"/>
                <w:szCs w:val="16"/>
                <w:lang w:eastAsia="en-US"/>
              </w:rPr>
              <w:t>Margen financiero ajustado por riesgos crediticios</w:t>
            </w:r>
          </w:p>
        </w:tc>
        <w:tc>
          <w:tcPr>
            <w:tcW w:w="1134" w:type="dxa"/>
            <w:tcBorders>
              <w:left w:val="single" w:sz="4" w:space="0" w:color="auto"/>
              <w:right w:val="single" w:sz="4" w:space="0" w:color="auto"/>
            </w:tcBorders>
            <w:shd w:val="clear" w:color="auto" w:fill="auto"/>
            <w:vAlign w:val="center"/>
          </w:tcPr>
          <w:p w14:paraId="29A26576"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37</w:t>
            </w:r>
          </w:p>
        </w:tc>
        <w:tc>
          <w:tcPr>
            <w:tcW w:w="1134" w:type="dxa"/>
            <w:tcBorders>
              <w:top w:val="nil"/>
              <w:left w:val="single" w:sz="4" w:space="0" w:color="auto"/>
              <w:bottom w:val="nil"/>
              <w:right w:val="single" w:sz="4" w:space="0" w:color="auto"/>
            </w:tcBorders>
            <w:shd w:val="clear" w:color="auto" w:fill="auto"/>
            <w:vAlign w:val="center"/>
          </w:tcPr>
          <w:p w14:paraId="561B30F0"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37</w:t>
            </w:r>
          </w:p>
        </w:tc>
        <w:tc>
          <w:tcPr>
            <w:tcW w:w="992" w:type="dxa"/>
            <w:tcBorders>
              <w:left w:val="single" w:sz="4" w:space="0" w:color="auto"/>
              <w:right w:val="single" w:sz="4" w:space="0" w:color="auto"/>
            </w:tcBorders>
            <w:shd w:val="clear" w:color="auto" w:fill="auto"/>
            <w:vAlign w:val="center"/>
          </w:tcPr>
          <w:p w14:paraId="6C31558E"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3BAC17C8" w14:textId="77777777" w:rsidR="00651355" w:rsidRPr="00651355" w:rsidRDefault="00651355" w:rsidP="00651355">
            <w:pPr>
              <w:ind w:right="284"/>
              <w:jc w:val="right"/>
              <w:rPr>
                <w:rFonts w:eastAsia="Calibri"/>
                <w:b/>
                <w:bCs/>
                <w:sz w:val="16"/>
                <w:szCs w:val="16"/>
                <w:lang w:eastAsia="en-US"/>
              </w:rPr>
            </w:pPr>
            <w:r w:rsidRPr="00651355">
              <w:rPr>
                <w:rFonts w:eastAsia="Calibri"/>
                <w:b/>
                <w:bCs/>
                <w:sz w:val="16"/>
                <w:szCs w:val="16"/>
                <w:lang w:eastAsia="en-US"/>
              </w:rPr>
              <w:t>0.6</w:t>
            </w:r>
          </w:p>
        </w:tc>
      </w:tr>
      <w:tr w:rsidR="00651355" w:rsidRPr="00651355" w14:paraId="0FBF866F" w14:textId="77777777" w:rsidTr="00845A3F">
        <w:trPr>
          <w:trHeight w:val="261"/>
          <w:jc w:val="center"/>
        </w:trPr>
        <w:tc>
          <w:tcPr>
            <w:tcW w:w="4253" w:type="dxa"/>
            <w:tcBorders>
              <w:top w:val="nil"/>
              <w:left w:val="single" w:sz="4" w:space="0" w:color="auto"/>
              <w:bottom w:val="nil"/>
              <w:right w:val="single" w:sz="4" w:space="0" w:color="auto"/>
            </w:tcBorders>
            <w:shd w:val="clear" w:color="auto" w:fill="auto"/>
            <w:vAlign w:val="center"/>
          </w:tcPr>
          <w:p w14:paraId="6263D04B" w14:textId="77777777" w:rsidR="00651355" w:rsidRPr="00651355" w:rsidRDefault="00651355" w:rsidP="00651355">
            <w:pPr>
              <w:ind w:left="170"/>
              <w:rPr>
                <w:rFonts w:eastAsia="Calibri"/>
                <w:bCs/>
                <w:sz w:val="16"/>
                <w:szCs w:val="16"/>
                <w:lang w:eastAsia="en-US"/>
              </w:rPr>
            </w:pPr>
            <w:r w:rsidRPr="00651355">
              <w:rPr>
                <w:rFonts w:eastAsia="Calibri"/>
                <w:bCs/>
                <w:sz w:val="16"/>
                <w:szCs w:val="16"/>
                <w:lang w:eastAsia="en-US"/>
              </w:rPr>
              <w:t>Comisiones y tarifas netas</w:t>
            </w:r>
          </w:p>
        </w:tc>
        <w:tc>
          <w:tcPr>
            <w:tcW w:w="1134" w:type="dxa"/>
            <w:tcBorders>
              <w:left w:val="single" w:sz="4" w:space="0" w:color="auto"/>
              <w:right w:val="single" w:sz="4" w:space="0" w:color="auto"/>
            </w:tcBorders>
            <w:shd w:val="clear" w:color="auto" w:fill="auto"/>
            <w:vAlign w:val="center"/>
          </w:tcPr>
          <w:p w14:paraId="2A3AB985"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9</w:t>
            </w:r>
          </w:p>
        </w:tc>
        <w:tc>
          <w:tcPr>
            <w:tcW w:w="1134" w:type="dxa"/>
            <w:tcBorders>
              <w:top w:val="nil"/>
              <w:left w:val="single" w:sz="4" w:space="0" w:color="auto"/>
              <w:bottom w:val="nil"/>
              <w:right w:val="single" w:sz="4" w:space="0" w:color="auto"/>
            </w:tcBorders>
            <w:shd w:val="clear" w:color="auto" w:fill="auto"/>
            <w:vAlign w:val="center"/>
          </w:tcPr>
          <w:p w14:paraId="29EBE8DA"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10</w:t>
            </w:r>
          </w:p>
        </w:tc>
        <w:tc>
          <w:tcPr>
            <w:tcW w:w="992" w:type="dxa"/>
            <w:tcBorders>
              <w:left w:val="single" w:sz="4" w:space="0" w:color="auto"/>
              <w:right w:val="single" w:sz="4" w:space="0" w:color="auto"/>
            </w:tcBorders>
            <w:shd w:val="clear" w:color="auto" w:fill="auto"/>
            <w:vAlign w:val="center"/>
          </w:tcPr>
          <w:p w14:paraId="5A50BC40"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6652C0E9" w14:textId="77777777" w:rsidR="00651355" w:rsidRPr="00651355" w:rsidRDefault="00651355" w:rsidP="00651355">
            <w:pPr>
              <w:ind w:right="284"/>
              <w:jc w:val="right"/>
              <w:rPr>
                <w:rFonts w:eastAsia="Calibri"/>
                <w:bCs/>
                <w:sz w:val="16"/>
                <w:szCs w:val="16"/>
                <w:lang w:eastAsia="en-US"/>
              </w:rPr>
            </w:pPr>
            <w:r w:rsidRPr="00651355">
              <w:rPr>
                <w:rFonts w:eastAsia="Calibri"/>
                <w:bCs/>
                <w:sz w:val="16"/>
                <w:szCs w:val="16"/>
                <w:lang w:eastAsia="en-US"/>
              </w:rPr>
              <w:t>8.8</w:t>
            </w:r>
          </w:p>
        </w:tc>
      </w:tr>
      <w:tr w:rsidR="00651355" w:rsidRPr="00651355" w14:paraId="75B33C5E" w14:textId="77777777" w:rsidTr="00845A3F">
        <w:trPr>
          <w:trHeight w:val="261"/>
          <w:jc w:val="center"/>
        </w:trPr>
        <w:tc>
          <w:tcPr>
            <w:tcW w:w="4253" w:type="dxa"/>
            <w:tcBorders>
              <w:top w:val="nil"/>
              <w:left w:val="single" w:sz="4" w:space="0" w:color="auto"/>
              <w:bottom w:val="nil"/>
              <w:right w:val="single" w:sz="4" w:space="0" w:color="auto"/>
            </w:tcBorders>
            <w:shd w:val="clear" w:color="auto" w:fill="auto"/>
            <w:vAlign w:val="center"/>
          </w:tcPr>
          <w:p w14:paraId="4195175B" w14:textId="77777777" w:rsidR="00651355" w:rsidRPr="00651355" w:rsidRDefault="00651355" w:rsidP="00651355">
            <w:pPr>
              <w:ind w:left="170"/>
              <w:rPr>
                <w:rFonts w:eastAsia="Calibri"/>
                <w:bCs/>
                <w:sz w:val="16"/>
                <w:szCs w:val="16"/>
                <w:lang w:eastAsia="en-US"/>
              </w:rPr>
            </w:pPr>
            <w:r w:rsidRPr="00651355">
              <w:rPr>
                <w:rFonts w:eastAsia="Calibri"/>
                <w:bCs/>
                <w:sz w:val="16"/>
                <w:szCs w:val="16"/>
                <w:lang w:eastAsia="en-US"/>
              </w:rPr>
              <w:t>Resultado por intermediación</w:t>
            </w:r>
          </w:p>
        </w:tc>
        <w:tc>
          <w:tcPr>
            <w:tcW w:w="1134" w:type="dxa"/>
            <w:tcBorders>
              <w:left w:val="single" w:sz="4" w:space="0" w:color="auto"/>
              <w:right w:val="single" w:sz="4" w:space="0" w:color="auto"/>
            </w:tcBorders>
            <w:shd w:val="clear" w:color="auto" w:fill="auto"/>
            <w:vAlign w:val="center"/>
          </w:tcPr>
          <w:p w14:paraId="0FADDF65"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3</w:t>
            </w:r>
          </w:p>
        </w:tc>
        <w:tc>
          <w:tcPr>
            <w:tcW w:w="1134" w:type="dxa"/>
            <w:tcBorders>
              <w:top w:val="nil"/>
              <w:left w:val="single" w:sz="4" w:space="0" w:color="auto"/>
              <w:bottom w:val="nil"/>
              <w:right w:val="single" w:sz="4" w:space="0" w:color="auto"/>
            </w:tcBorders>
            <w:shd w:val="clear" w:color="auto" w:fill="auto"/>
            <w:vAlign w:val="center"/>
          </w:tcPr>
          <w:p w14:paraId="1C5FD74C"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2</w:t>
            </w:r>
          </w:p>
        </w:tc>
        <w:tc>
          <w:tcPr>
            <w:tcW w:w="992" w:type="dxa"/>
            <w:tcBorders>
              <w:left w:val="single" w:sz="4" w:space="0" w:color="auto"/>
              <w:right w:val="single" w:sz="4" w:space="0" w:color="auto"/>
            </w:tcBorders>
            <w:shd w:val="clear" w:color="auto" w:fill="auto"/>
            <w:vAlign w:val="center"/>
          </w:tcPr>
          <w:p w14:paraId="23D33B87"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799F775E" w14:textId="77777777" w:rsidR="00651355" w:rsidRPr="00651355" w:rsidRDefault="00651355" w:rsidP="00651355">
            <w:pPr>
              <w:ind w:right="284"/>
              <w:jc w:val="right"/>
              <w:rPr>
                <w:rFonts w:eastAsia="Calibri"/>
                <w:bCs/>
                <w:sz w:val="16"/>
                <w:szCs w:val="16"/>
                <w:lang w:eastAsia="en-US"/>
              </w:rPr>
            </w:pPr>
            <w:r w:rsidRPr="00651355">
              <w:rPr>
                <w:rFonts w:eastAsia="Calibri"/>
                <w:bCs/>
                <w:sz w:val="16"/>
                <w:szCs w:val="16"/>
                <w:lang w:eastAsia="en-US"/>
              </w:rPr>
              <w:t>-20.2</w:t>
            </w:r>
          </w:p>
        </w:tc>
      </w:tr>
      <w:tr w:rsidR="00651355" w:rsidRPr="00651355" w14:paraId="7A18C327"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781FDFA6" w14:textId="77777777" w:rsidR="00651355" w:rsidRPr="00651355" w:rsidRDefault="00651355" w:rsidP="00651355">
            <w:pPr>
              <w:ind w:left="170"/>
              <w:rPr>
                <w:rFonts w:eastAsia="Calibri"/>
                <w:bCs/>
                <w:sz w:val="16"/>
                <w:szCs w:val="16"/>
                <w:lang w:eastAsia="en-US"/>
              </w:rPr>
            </w:pPr>
            <w:r w:rsidRPr="00651355">
              <w:rPr>
                <w:rFonts w:eastAsia="Calibri"/>
                <w:bCs/>
                <w:sz w:val="16"/>
                <w:szCs w:val="16"/>
                <w:lang w:eastAsia="en-US"/>
              </w:rPr>
              <w:t>Otros ingresos (egresos) de la operación</w:t>
            </w:r>
          </w:p>
        </w:tc>
        <w:tc>
          <w:tcPr>
            <w:tcW w:w="1134" w:type="dxa"/>
            <w:tcBorders>
              <w:left w:val="single" w:sz="4" w:space="0" w:color="auto"/>
              <w:right w:val="single" w:sz="4" w:space="0" w:color="auto"/>
            </w:tcBorders>
            <w:shd w:val="clear" w:color="auto" w:fill="auto"/>
            <w:vAlign w:val="center"/>
          </w:tcPr>
          <w:p w14:paraId="79D3ED18"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6</w:t>
            </w:r>
          </w:p>
        </w:tc>
        <w:tc>
          <w:tcPr>
            <w:tcW w:w="1134" w:type="dxa"/>
            <w:tcBorders>
              <w:top w:val="nil"/>
              <w:left w:val="single" w:sz="4" w:space="0" w:color="auto"/>
              <w:bottom w:val="nil"/>
              <w:right w:val="single" w:sz="4" w:space="0" w:color="auto"/>
            </w:tcBorders>
            <w:shd w:val="clear" w:color="auto" w:fill="auto"/>
            <w:vAlign w:val="center"/>
          </w:tcPr>
          <w:p w14:paraId="523BB36B"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7</w:t>
            </w:r>
          </w:p>
        </w:tc>
        <w:tc>
          <w:tcPr>
            <w:tcW w:w="992" w:type="dxa"/>
            <w:tcBorders>
              <w:left w:val="single" w:sz="4" w:space="0" w:color="auto"/>
              <w:right w:val="single" w:sz="4" w:space="0" w:color="auto"/>
            </w:tcBorders>
            <w:shd w:val="clear" w:color="auto" w:fill="auto"/>
            <w:vAlign w:val="center"/>
          </w:tcPr>
          <w:p w14:paraId="575EF9E5" w14:textId="77777777" w:rsidR="00651355" w:rsidRPr="00651355" w:rsidRDefault="00651355" w:rsidP="00651355">
            <w:pPr>
              <w:ind w:right="340"/>
              <w:jc w:val="right"/>
              <w:rPr>
                <w:rFonts w:eastAsia="Calibri"/>
                <w:sz w:val="16"/>
                <w:szCs w:val="16"/>
                <w:lang w:eastAsia="en-US"/>
              </w:rPr>
            </w:pPr>
            <w:r w:rsidRPr="0065135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71A5A0DA" w14:textId="77777777" w:rsidR="00651355" w:rsidRPr="00651355" w:rsidRDefault="00651355" w:rsidP="00651355">
            <w:pPr>
              <w:ind w:right="284"/>
              <w:jc w:val="right"/>
              <w:rPr>
                <w:rFonts w:eastAsia="Calibri"/>
                <w:bCs/>
                <w:sz w:val="16"/>
                <w:szCs w:val="16"/>
                <w:lang w:eastAsia="en-US"/>
              </w:rPr>
            </w:pPr>
            <w:r w:rsidRPr="00651355">
              <w:rPr>
                <w:rFonts w:eastAsia="Calibri"/>
                <w:bCs/>
                <w:sz w:val="16"/>
                <w:szCs w:val="16"/>
                <w:lang w:eastAsia="en-US"/>
              </w:rPr>
              <w:t>18.5</w:t>
            </w:r>
          </w:p>
        </w:tc>
      </w:tr>
      <w:tr w:rsidR="00651355" w:rsidRPr="00651355" w14:paraId="1D9C4E7E"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2303A808" w14:textId="77777777" w:rsidR="00651355" w:rsidRPr="00651355" w:rsidRDefault="00651355" w:rsidP="00651355">
            <w:pPr>
              <w:spacing w:after="120"/>
              <w:ind w:left="170"/>
              <w:rPr>
                <w:rFonts w:eastAsia="Calibri"/>
                <w:bCs/>
                <w:sz w:val="16"/>
                <w:szCs w:val="16"/>
                <w:lang w:eastAsia="en-US"/>
              </w:rPr>
            </w:pPr>
            <w:r w:rsidRPr="00651355">
              <w:rPr>
                <w:rFonts w:eastAsia="Calibri"/>
                <w:bCs/>
                <w:sz w:val="16"/>
                <w:szCs w:val="16"/>
                <w:lang w:eastAsia="en-US"/>
              </w:rPr>
              <w:t>Gastos de administración y promoción</w:t>
            </w:r>
          </w:p>
        </w:tc>
        <w:tc>
          <w:tcPr>
            <w:tcW w:w="1134" w:type="dxa"/>
            <w:tcBorders>
              <w:left w:val="single" w:sz="4" w:space="0" w:color="auto"/>
              <w:right w:val="single" w:sz="4" w:space="0" w:color="auto"/>
            </w:tcBorders>
            <w:shd w:val="clear" w:color="auto" w:fill="auto"/>
            <w:vAlign w:val="center"/>
          </w:tcPr>
          <w:p w14:paraId="5E51EDEE"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40</w:t>
            </w:r>
          </w:p>
        </w:tc>
        <w:tc>
          <w:tcPr>
            <w:tcW w:w="1134" w:type="dxa"/>
            <w:tcBorders>
              <w:top w:val="nil"/>
              <w:left w:val="single" w:sz="4" w:space="0" w:color="auto"/>
              <w:bottom w:val="nil"/>
              <w:right w:val="single" w:sz="4" w:space="0" w:color="auto"/>
            </w:tcBorders>
            <w:shd w:val="clear" w:color="auto" w:fill="auto"/>
            <w:vAlign w:val="center"/>
          </w:tcPr>
          <w:p w14:paraId="0821B80E"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41</w:t>
            </w:r>
          </w:p>
        </w:tc>
        <w:tc>
          <w:tcPr>
            <w:tcW w:w="992" w:type="dxa"/>
            <w:tcBorders>
              <w:left w:val="single" w:sz="4" w:space="0" w:color="auto"/>
              <w:right w:val="single" w:sz="4" w:space="0" w:color="auto"/>
            </w:tcBorders>
            <w:shd w:val="clear" w:color="auto" w:fill="auto"/>
            <w:vAlign w:val="center"/>
          </w:tcPr>
          <w:p w14:paraId="109E967A"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2EFF924D" w14:textId="77777777" w:rsidR="00651355" w:rsidRPr="00651355" w:rsidRDefault="00651355" w:rsidP="00651355">
            <w:pPr>
              <w:spacing w:before="40" w:after="120"/>
              <w:ind w:right="284"/>
              <w:jc w:val="right"/>
              <w:rPr>
                <w:rFonts w:eastAsia="Calibri"/>
                <w:bCs/>
                <w:sz w:val="16"/>
                <w:szCs w:val="16"/>
                <w:lang w:eastAsia="en-US"/>
              </w:rPr>
            </w:pPr>
            <w:r w:rsidRPr="00651355">
              <w:rPr>
                <w:rFonts w:eastAsia="Calibri"/>
                <w:bCs/>
                <w:sz w:val="16"/>
                <w:szCs w:val="16"/>
                <w:lang w:eastAsia="en-US"/>
              </w:rPr>
              <w:t>3.3</w:t>
            </w:r>
          </w:p>
        </w:tc>
      </w:tr>
      <w:tr w:rsidR="00651355" w:rsidRPr="00651355" w14:paraId="01F3794C"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107C0C4C" w14:textId="77777777" w:rsidR="00651355" w:rsidRPr="00651355" w:rsidRDefault="00651355" w:rsidP="00651355">
            <w:pPr>
              <w:rPr>
                <w:rFonts w:eastAsia="Calibri"/>
                <w:b/>
                <w:bCs/>
                <w:sz w:val="16"/>
                <w:szCs w:val="16"/>
                <w:lang w:eastAsia="en-US"/>
              </w:rPr>
            </w:pPr>
            <w:r w:rsidRPr="00651355">
              <w:rPr>
                <w:rFonts w:eastAsia="Calibri"/>
                <w:b/>
                <w:bCs/>
                <w:sz w:val="16"/>
                <w:szCs w:val="16"/>
                <w:lang w:eastAsia="en-US"/>
              </w:rPr>
              <w:t>Resultado de la operación</w:t>
            </w:r>
          </w:p>
        </w:tc>
        <w:tc>
          <w:tcPr>
            <w:tcW w:w="1134" w:type="dxa"/>
            <w:tcBorders>
              <w:left w:val="single" w:sz="4" w:space="0" w:color="auto"/>
              <w:right w:val="single" w:sz="4" w:space="0" w:color="auto"/>
            </w:tcBorders>
            <w:shd w:val="clear" w:color="auto" w:fill="auto"/>
            <w:vAlign w:val="center"/>
          </w:tcPr>
          <w:p w14:paraId="01F06EE5"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15</w:t>
            </w:r>
          </w:p>
        </w:tc>
        <w:tc>
          <w:tcPr>
            <w:tcW w:w="1134" w:type="dxa"/>
            <w:tcBorders>
              <w:top w:val="nil"/>
              <w:left w:val="single" w:sz="4" w:space="0" w:color="auto"/>
              <w:bottom w:val="nil"/>
              <w:right w:val="single" w:sz="4" w:space="0" w:color="auto"/>
            </w:tcBorders>
            <w:shd w:val="clear" w:color="auto" w:fill="auto"/>
            <w:vAlign w:val="center"/>
          </w:tcPr>
          <w:p w14:paraId="7FDAEBE7"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15</w:t>
            </w:r>
          </w:p>
        </w:tc>
        <w:tc>
          <w:tcPr>
            <w:tcW w:w="992" w:type="dxa"/>
            <w:tcBorders>
              <w:left w:val="single" w:sz="4" w:space="0" w:color="auto"/>
              <w:right w:val="single" w:sz="4" w:space="0" w:color="auto"/>
            </w:tcBorders>
            <w:shd w:val="clear" w:color="auto" w:fill="auto"/>
            <w:vAlign w:val="center"/>
          </w:tcPr>
          <w:p w14:paraId="0C98FD47"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643936AD" w14:textId="77777777" w:rsidR="00651355" w:rsidRPr="00651355" w:rsidRDefault="00651355" w:rsidP="00651355">
            <w:pPr>
              <w:ind w:right="284"/>
              <w:jc w:val="right"/>
              <w:rPr>
                <w:rFonts w:eastAsia="Calibri"/>
                <w:b/>
                <w:bCs/>
                <w:sz w:val="16"/>
                <w:szCs w:val="16"/>
                <w:lang w:eastAsia="en-US"/>
              </w:rPr>
            </w:pPr>
            <w:r w:rsidRPr="00651355">
              <w:rPr>
                <w:rFonts w:eastAsia="Calibri"/>
                <w:b/>
                <w:bCs/>
                <w:sz w:val="16"/>
                <w:szCs w:val="16"/>
                <w:lang w:eastAsia="en-US"/>
              </w:rPr>
              <w:t>1.2</w:t>
            </w:r>
          </w:p>
        </w:tc>
      </w:tr>
      <w:tr w:rsidR="00651355" w:rsidRPr="00651355" w14:paraId="5CF1C65C"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7481020B" w14:textId="77777777" w:rsidR="00651355" w:rsidRPr="00651355" w:rsidRDefault="00651355" w:rsidP="00651355">
            <w:pPr>
              <w:spacing w:after="120"/>
              <w:ind w:left="170"/>
              <w:rPr>
                <w:rFonts w:eastAsia="Calibri"/>
                <w:bCs/>
                <w:sz w:val="16"/>
                <w:szCs w:val="16"/>
                <w:lang w:eastAsia="en-US"/>
              </w:rPr>
            </w:pPr>
            <w:r w:rsidRPr="00651355">
              <w:rPr>
                <w:rFonts w:eastAsia="Calibri"/>
                <w:bCs/>
                <w:sz w:val="16"/>
                <w:szCs w:val="16"/>
                <w:lang w:eastAsia="en-US"/>
              </w:rPr>
              <w:t>Participación en el resultado de subsidiarias no consolidadas y asociadas</w:t>
            </w:r>
          </w:p>
        </w:tc>
        <w:tc>
          <w:tcPr>
            <w:tcW w:w="1134" w:type="dxa"/>
            <w:tcBorders>
              <w:left w:val="single" w:sz="4" w:space="0" w:color="auto"/>
              <w:right w:val="single" w:sz="4" w:space="0" w:color="auto"/>
            </w:tcBorders>
            <w:shd w:val="clear" w:color="auto" w:fill="auto"/>
            <w:vAlign w:val="center"/>
          </w:tcPr>
          <w:p w14:paraId="14384B00"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3</w:t>
            </w:r>
          </w:p>
        </w:tc>
        <w:tc>
          <w:tcPr>
            <w:tcW w:w="1134" w:type="dxa"/>
            <w:tcBorders>
              <w:top w:val="nil"/>
              <w:left w:val="single" w:sz="4" w:space="0" w:color="auto"/>
              <w:bottom w:val="nil"/>
              <w:right w:val="single" w:sz="4" w:space="0" w:color="auto"/>
            </w:tcBorders>
            <w:shd w:val="clear" w:color="auto" w:fill="auto"/>
            <w:vAlign w:val="center"/>
          </w:tcPr>
          <w:p w14:paraId="4EA1F1E0"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3</w:t>
            </w:r>
          </w:p>
        </w:tc>
        <w:tc>
          <w:tcPr>
            <w:tcW w:w="992" w:type="dxa"/>
            <w:tcBorders>
              <w:left w:val="single" w:sz="4" w:space="0" w:color="auto"/>
              <w:right w:val="single" w:sz="4" w:space="0" w:color="auto"/>
            </w:tcBorders>
            <w:shd w:val="clear" w:color="auto" w:fill="auto"/>
            <w:vAlign w:val="center"/>
          </w:tcPr>
          <w:p w14:paraId="35C90507"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7BD2B189" w14:textId="77777777" w:rsidR="00651355" w:rsidRPr="00651355" w:rsidRDefault="00651355" w:rsidP="00651355">
            <w:pPr>
              <w:spacing w:after="120"/>
              <w:ind w:right="284"/>
              <w:jc w:val="right"/>
              <w:rPr>
                <w:rFonts w:eastAsia="Calibri"/>
                <w:bCs/>
                <w:sz w:val="16"/>
                <w:szCs w:val="16"/>
                <w:lang w:eastAsia="en-US"/>
              </w:rPr>
            </w:pPr>
            <w:r w:rsidRPr="00651355">
              <w:rPr>
                <w:rFonts w:eastAsia="Calibri"/>
                <w:bCs/>
                <w:sz w:val="16"/>
                <w:szCs w:val="16"/>
                <w:lang w:eastAsia="en-US"/>
              </w:rPr>
              <w:t>1.1</w:t>
            </w:r>
          </w:p>
        </w:tc>
      </w:tr>
      <w:tr w:rsidR="00651355" w:rsidRPr="00651355" w14:paraId="0D09C672"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42539F59" w14:textId="77777777" w:rsidR="00651355" w:rsidRPr="00651355" w:rsidRDefault="00651355" w:rsidP="00651355">
            <w:pPr>
              <w:rPr>
                <w:rFonts w:eastAsia="Calibri"/>
                <w:b/>
                <w:bCs/>
                <w:sz w:val="16"/>
                <w:szCs w:val="16"/>
                <w:lang w:eastAsia="en-US"/>
              </w:rPr>
            </w:pPr>
            <w:r w:rsidRPr="00651355">
              <w:rPr>
                <w:rFonts w:eastAsia="Calibri"/>
                <w:b/>
                <w:bCs/>
                <w:sz w:val="16"/>
                <w:szCs w:val="16"/>
                <w:lang w:eastAsia="en-US"/>
              </w:rPr>
              <w:t>Resultado antes de impuestos a la utilidad</w:t>
            </w:r>
          </w:p>
        </w:tc>
        <w:tc>
          <w:tcPr>
            <w:tcW w:w="1134" w:type="dxa"/>
            <w:tcBorders>
              <w:left w:val="single" w:sz="4" w:space="0" w:color="auto"/>
              <w:right w:val="single" w:sz="4" w:space="0" w:color="auto"/>
            </w:tcBorders>
            <w:shd w:val="clear" w:color="auto" w:fill="auto"/>
            <w:vAlign w:val="center"/>
          </w:tcPr>
          <w:p w14:paraId="1D14F0B3"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18</w:t>
            </w:r>
          </w:p>
        </w:tc>
        <w:tc>
          <w:tcPr>
            <w:tcW w:w="1134" w:type="dxa"/>
            <w:tcBorders>
              <w:top w:val="nil"/>
              <w:left w:val="single" w:sz="4" w:space="0" w:color="auto"/>
              <w:bottom w:val="nil"/>
              <w:right w:val="single" w:sz="4" w:space="0" w:color="auto"/>
            </w:tcBorders>
            <w:shd w:val="clear" w:color="auto" w:fill="auto"/>
            <w:vAlign w:val="center"/>
          </w:tcPr>
          <w:p w14:paraId="4762D4ED"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18</w:t>
            </w:r>
          </w:p>
        </w:tc>
        <w:tc>
          <w:tcPr>
            <w:tcW w:w="992" w:type="dxa"/>
            <w:tcBorders>
              <w:left w:val="single" w:sz="4" w:space="0" w:color="auto"/>
              <w:right w:val="single" w:sz="4" w:space="0" w:color="auto"/>
            </w:tcBorders>
            <w:shd w:val="clear" w:color="auto" w:fill="auto"/>
            <w:vAlign w:val="center"/>
          </w:tcPr>
          <w:p w14:paraId="358F5008"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55FE04C4" w14:textId="77777777" w:rsidR="00651355" w:rsidRPr="00651355" w:rsidRDefault="00651355" w:rsidP="00651355">
            <w:pPr>
              <w:ind w:right="284"/>
              <w:jc w:val="right"/>
              <w:rPr>
                <w:rFonts w:eastAsia="Calibri"/>
                <w:b/>
                <w:bCs/>
                <w:sz w:val="16"/>
                <w:szCs w:val="16"/>
                <w:lang w:eastAsia="en-US"/>
              </w:rPr>
            </w:pPr>
            <w:r w:rsidRPr="00651355">
              <w:rPr>
                <w:rFonts w:eastAsia="Calibri"/>
                <w:b/>
                <w:bCs/>
                <w:sz w:val="16"/>
                <w:szCs w:val="16"/>
                <w:lang w:eastAsia="en-US"/>
              </w:rPr>
              <w:t>1.2</w:t>
            </w:r>
          </w:p>
        </w:tc>
      </w:tr>
      <w:tr w:rsidR="00651355" w:rsidRPr="00651355" w14:paraId="758F52AE"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4B0EC4D3" w14:textId="77777777" w:rsidR="00651355" w:rsidRPr="00651355" w:rsidRDefault="00651355" w:rsidP="00651355">
            <w:pPr>
              <w:spacing w:after="120"/>
              <w:ind w:left="170"/>
              <w:rPr>
                <w:rFonts w:eastAsia="Calibri"/>
                <w:bCs/>
                <w:sz w:val="16"/>
                <w:szCs w:val="16"/>
                <w:lang w:eastAsia="en-US"/>
              </w:rPr>
            </w:pPr>
            <w:r w:rsidRPr="00651355">
              <w:rPr>
                <w:rFonts w:eastAsia="Calibri"/>
                <w:bCs/>
                <w:sz w:val="16"/>
                <w:szCs w:val="16"/>
                <w:lang w:eastAsia="en-US"/>
              </w:rPr>
              <w:t>Impuestos a la utilidad netos</w:t>
            </w:r>
          </w:p>
        </w:tc>
        <w:tc>
          <w:tcPr>
            <w:tcW w:w="1134" w:type="dxa"/>
            <w:tcBorders>
              <w:left w:val="single" w:sz="4" w:space="0" w:color="auto"/>
              <w:right w:val="single" w:sz="4" w:space="0" w:color="auto"/>
            </w:tcBorders>
            <w:shd w:val="clear" w:color="auto" w:fill="auto"/>
            <w:vAlign w:val="center"/>
          </w:tcPr>
          <w:p w14:paraId="10A1C273"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-4</w:t>
            </w:r>
          </w:p>
        </w:tc>
        <w:tc>
          <w:tcPr>
            <w:tcW w:w="1134" w:type="dxa"/>
            <w:tcBorders>
              <w:top w:val="nil"/>
              <w:left w:val="single" w:sz="4" w:space="0" w:color="auto"/>
              <w:bottom w:val="nil"/>
              <w:right w:val="single" w:sz="4" w:space="0" w:color="auto"/>
            </w:tcBorders>
            <w:shd w:val="clear" w:color="auto" w:fill="auto"/>
            <w:vAlign w:val="center"/>
          </w:tcPr>
          <w:p w14:paraId="28AD698E"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-3</w:t>
            </w:r>
          </w:p>
        </w:tc>
        <w:tc>
          <w:tcPr>
            <w:tcW w:w="992" w:type="dxa"/>
            <w:tcBorders>
              <w:left w:val="single" w:sz="4" w:space="0" w:color="auto"/>
              <w:right w:val="single" w:sz="4" w:space="0" w:color="auto"/>
            </w:tcBorders>
            <w:shd w:val="clear" w:color="auto" w:fill="auto"/>
            <w:vAlign w:val="center"/>
          </w:tcPr>
          <w:p w14:paraId="1FB733C5" w14:textId="77777777" w:rsidR="00651355" w:rsidRPr="00651355" w:rsidRDefault="00651355" w:rsidP="00651355">
            <w:pPr>
              <w:spacing w:after="120"/>
              <w:ind w:right="340"/>
              <w:jc w:val="right"/>
              <w:rPr>
                <w:rFonts w:eastAsia="Calibri"/>
                <w:sz w:val="16"/>
                <w:szCs w:val="16"/>
                <w:lang w:eastAsia="en-US"/>
              </w:rPr>
            </w:pPr>
            <w:r w:rsidRPr="00651355">
              <w:rPr>
                <w:rFonts w:eastAsia="Calibri"/>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5249D579" w14:textId="77777777" w:rsidR="00651355" w:rsidRPr="00651355" w:rsidRDefault="00651355" w:rsidP="00651355">
            <w:pPr>
              <w:spacing w:after="120"/>
              <w:ind w:right="284"/>
              <w:jc w:val="right"/>
              <w:rPr>
                <w:rFonts w:eastAsia="Calibri"/>
                <w:bCs/>
                <w:sz w:val="16"/>
                <w:szCs w:val="16"/>
                <w:lang w:eastAsia="en-US"/>
              </w:rPr>
            </w:pPr>
            <w:r w:rsidRPr="00651355">
              <w:rPr>
                <w:rFonts w:eastAsia="Calibri"/>
                <w:bCs/>
                <w:sz w:val="16"/>
                <w:szCs w:val="16"/>
                <w:lang w:eastAsia="en-US"/>
              </w:rPr>
              <w:t>-21.2</w:t>
            </w:r>
          </w:p>
        </w:tc>
      </w:tr>
      <w:tr w:rsidR="00651355" w:rsidRPr="00651355" w14:paraId="06E73A8F"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1663C13E" w14:textId="77777777" w:rsidR="00651355" w:rsidRPr="00651355" w:rsidRDefault="00651355" w:rsidP="00651355">
            <w:pPr>
              <w:jc w:val="both"/>
              <w:rPr>
                <w:rFonts w:eastAsia="Calibri"/>
                <w:b/>
                <w:bCs/>
                <w:sz w:val="16"/>
                <w:szCs w:val="16"/>
                <w:lang w:eastAsia="en-US"/>
              </w:rPr>
            </w:pPr>
            <w:r w:rsidRPr="00651355">
              <w:rPr>
                <w:rFonts w:eastAsia="Calibri"/>
                <w:b/>
                <w:bCs/>
                <w:sz w:val="16"/>
                <w:szCs w:val="16"/>
                <w:lang w:eastAsia="en-US"/>
              </w:rPr>
              <w:t>Resultado antes de operaciones discontinuadas</w:t>
            </w:r>
          </w:p>
        </w:tc>
        <w:tc>
          <w:tcPr>
            <w:tcW w:w="1134" w:type="dxa"/>
            <w:tcBorders>
              <w:left w:val="single" w:sz="4" w:space="0" w:color="auto"/>
              <w:right w:val="single" w:sz="4" w:space="0" w:color="auto"/>
            </w:tcBorders>
            <w:shd w:val="clear" w:color="auto" w:fill="auto"/>
            <w:vAlign w:val="center"/>
          </w:tcPr>
          <w:p w14:paraId="0BF92DE2"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15</w:t>
            </w:r>
          </w:p>
        </w:tc>
        <w:tc>
          <w:tcPr>
            <w:tcW w:w="1134" w:type="dxa"/>
            <w:tcBorders>
              <w:top w:val="nil"/>
              <w:left w:val="single" w:sz="4" w:space="0" w:color="auto"/>
              <w:bottom w:val="nil"/>
              <w:right w:val="single" w:sz="4" w:space="0" w:color="auto"/>
            </w:tcBorders>
            <w:shd w:val="clear" w:color="auto" w:fill="auto"/>
            <w:vAlign w:val="center"/>
          </w:tcPr>
          <w:p w14:paraId="71620014"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16</w:t>
            </w:r>
          </w:p>
        </w:tc>
        <w:tc>
          <w:tcPr>
            <w:tcW w:w="992" w:type="dxa"/>
            <w:tcBorders>
              <w:left w:val="single" w:sz="4" w:space="0" w:color="auto"/>
              <w:right w:val="single" w:sz="4" w:space="0" w:color="auto"/>
            </w:tcBorders>
            <w:shd w:val="clear" w:color="auto" w:fill="auto"/>
            <w:vAlign w:val="center"/>
          </w:tcPr>
          <w:p w14:paraId="57A9FC52" w14:textId="77777777" w:rsidR="00651355" w:rsidRPr="00651355" w:rsidRDefault="00651355" w:rsidP="00651355">
            <w:pPr>
              <w:ind w:right="340"/>
              <w:jc w:val="right"/>
              <w:rPr>
                <w:rFonts w:eastAsia="Calibri"/>
                <w:b/>
                <w:sz w:val="16"/>
                <w:szCs w:val="16"/>
                <w:lang w:eastAsia="en-US"/>
              </w:rPr>
            </w:pPr>
            <w:r w:rsidRPr="00651355">
              <w:rPr>
                <w:rFonts w:eastAsia="Calibri"/>
                <w:b/>
                <w:sz w:val="16"/>
                <w:szCs w:val="16"/>
                <w:lang w:eastAsia="en-US"/>
              </w:rPr>
              <w:t>1</w:t>
            </w:r>
          </w:p>
        </w:tc>
        <w:tc>
          <w:tcPr>
            <w:tcW w:w="1075" w:type="dxa"/>
            <w:gridSpan w:val="2"/>
            <w:tcBorders>
              <w:top w:val="nil"/>
              <w:left w:val="single" w:sz="4" w:space="0" w:color="auto"/>
              <w:bottom w:val="nil"/>
              <w:right w:val="single" w:sz="4" w:space="0" w:color="auto"/>
            </w:tcBorders>
            <w:shd w:val="clear" w:color="auto" w:fill="auto"/>
            <w:vAlign w:val="center"/>
          </w:tcPr>
          <w:p w14:paraId="2F41B5C6" w14:textId="77777777" w:rsidR="00651355" w:rsidRPr="00651355" w:rsidRDefault="00651355" w:rsidP="00651355">
            <w:pPr>
              <w:ind w:right="284"/>
              <w:jc w:val="right"/>
              <w:rPr>
                <w:rFonts w:eastAsia="Calibri"/>
                <w:bCs/>
                <w:sz w:val="16"/>
                <w:szCs w:val="16"/>
                <w:lang w:eastAsia="en-US"/>
              </w:rPr>
            </w:pPr>
            <w:r w:rsidRPr="00651355">
              <w:rPr>
                <w:rFonts w:eastAsia="Calibri"/>
                <w:bCs/>
                <w:sz w:val="16"/>
                <w:szCs w:val="16"/>
                <w:lang w:eastAsia="en-US"/>
              </w:rPr>
              <w:t>6.7</w:t>
            </w:r>
          </w:p>
        </w:tc>
      </w:tr>
      <w:tr w:rsidR="00651355" w:rsidRPr="00651355" w14:paraId="18EAB29B" w14:textId="77777777" w:rsidTr="00845A3F">
        <w:trPr>
          <w:trHeight w:val="271"/>
          <w:jc w:val="center"/>
        </w:trPr>
        <w:tc>
          <w:tcPr>
            <w:tcW w:w="4253" w:type="dxa"/>
            <w:tcBorders>
              <w:top w:val="nil"/>
              <w:left w:val="single" w:sz="4" w:space="0" w:color="auto"/>
              <w:bottom w:val="nil"/>
              <w:right w:val="single" w:sz="4" w:space="0" w:color="auto"/>
            </w:tcBorders>
            <w:shd w:val="clear" w:color="auto" w:fill="auto"/>
            <w:vAlign w:val="center"/>
          </w:tcPr>
          <w:p w14:paraId="6FBE3A51" w14:textId="77777777" w:rsidR="00651355" w:rsidRPr="00651355" w:rsidRDefault="00651355" w:rsidP="00651355">
            <w:pPr>
              <w:spacing w:before="40" w:after="120"/>
              <w:ind w:left="170"/>
              <w:rPr>
                <w:rFonts w:eastAsia="Calibri"/>
                <w:bCs/>
                <w:sz w:val="16"/>
                <w:szCs w:val="16"/>
                <w:lang w:eastAsia="en-US"/>
              </w:rPr>
            </w:pPr>
            <w:r w:rsidRPr="00651355">
              <w:rPr>
                <w:rFonts w:eastAsia="Calibri"/>
                <w:bCs/>
                <w:sz w:val="16"/>
                <w:szCs w:val="16"/>
                <w:lang w:eastAsia="en-US"/>
              </w:rPr>
              <w:t>Operaciones discontinuadas</w:t>
            </w:r>
          </w:p>
        </w:tc>
        <w:tc>
          <w:tcPr>
            <w:tcW w:w="1134" w:type="dxa"/>
            <w:tcBorders>
              <w:left w:val="single" w:sz="4" w:space="0" w:color="auto"/>
              <w:right w:val="single" w:sz="4" w:space="0" w:color="auto"/>
            </w:tcBorders>
            <w:shd w:val="clear" w:color="auto" w:fill="auto"/>
            <w:vAlign w:val="center"/>
          </w:tcPr>
          <w:p w14:paraId="6FD0225E"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0</w:t>
            </w:r>
          </w:p>
        </w:tc>
        <w:tc>
          <w:tcPr>
            <w:tcW w:w="1134" w:type="dxa"/>
            <w:tcBorders>
              <w:top w:val="nil"/>
              <w:left w:val="single" w:sz="4" w:space="0" w:color="auto"/>
              <w:bottom w:val="nil"/>
              <w:right w:val="single" w:sz="4" w:space="0" w:color="auto"/>
            </w:tcBorders>
            <w:shd w:val="clear" w:color="auto" w:fill="auto"/>
            <w:vAlign w:val="center"/>
          </w:tcPr>
          <w:p w14:paraId="1EC3748D"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0</w:t>
            </w:r>
          </w:p>
        </w:tc>
        <w:tc>
          <w:tcPr>
            <w:tcW w:w="992" w:type="dxa"/>
            <w:tcBorders>
              <w:left w:val="single" w:sz="4" w:space="0" w:color="auto"/>
              <w:right w:val="single" w:sz="4" w:space="0" w:color="auto"/>
            </w:tcBorders>
            <w:shd w:val="clear" w:color="auto" w:fill="auto"/>
            <w:vAlign w:val="center"/>
          </w:tcPr>
          <w:p w14:paraId="4B5AF733" w14:textId="77777777" w:rsidR="00651355" w:rsidRPr="00651355" w:rsidRDefault="00651355" w:rsidP="00651355">
            <w:pPr>
              <w:spacing w:before="40" w:after="120"/>
              <w:ind w:right="340"/>
              <w:jc w:val="right"/>
              <w:rPr>
                <w:rFonts w:eastAsia="Calibri"/>
                <w:sz w:val="16"/>
                <w:szCs w:val="16"/>
                <w:lang w:eastAsia="en-US"/>
              </w:rPr>
            </w:pPr>
            <w:r w:rsidRPr="00651355">
              <w:rPr>
                <w:rFonts w:eastAsia="Calibri"/>
                <w:sz w:val="16"/>
                <w:szCs w:val="16"/>
                <w:lang w:eastAsia="en-US"/>
              </w:rPr>
              <w:t>0</w:t>
            </w:r>
          </w:p>
        </w:tc>
        <w:tc>
          <w:tcPr>
            <w:tcW w:w="1075" w:type="dxa"/>
            <w:gridSpan w:val="2"/>
            <w:tcBorders>
              <w:top w:val="nil"/>
              <w:left w:val="single" w:sz="4" w:space="0" w:color="auto"/>
              <w:bottom w:val="nil"/>
              <w:right w:val="single" w:sz="4" w:space="0" w:color="auto"/>
            </w:tcBorders>
            <w:shd w:val="clear" w:color="auto" w:fill="auto"/>
            <w:vAlign w:val="center"/>
          </w:tcPr>
          <w:p w14:paraId="7BCA3F48" w14:textId="77777777" w:rsidR="00651355" w:rsidRPr="00651355" w:rsidRDefault="00651355" w:rsidP="00651355">
            <w:pPr>
              <w:spacing w:before="40" w:after="120"/>
              <w:ind w:right="284"/>
              <w:jc w:val="right"/>
              <w:rPr>
                <w:rFonts w:eastAsia="Calibri"/>
                <w:bCs/>
                <w:sz w:val="16"/>
                <w:szCs w:val="16"/>
                <w:lang w:eastAsia="en-US"/>
              </w:rPr>
            </w:pPr>
            <w:r w:rsidRPr="00651355">
              <w:rPr>
                <w:rFonts w:eastAsia="Calibri"/>
                <w:bCs/>
                <w:sz w:val="16"/>
                <w:szCs w:val="16"/>
                <w:lang w:eastAsia="en-US"/>
              </w:rPr>
              <w:t>n.a.</w:t>
            </w:r>
          </w:p>
        </w:tc>
      </w:tr>
      <w:tr w:rsidR="00651355" w:rsidRPr="00651355" w14:paraId="06BDEDD8" w14:textId="77777777" w:rsidTr="00845A3F">
        <w:trPr>
          <w:trHeight w:val="271"/>
          <w:jc w:val="center"/>
        </w:trPr>
        <w:tc>
          <w:tcPr>
            <w:tcW w:w="4253" w:type="dxa"/>
            <w:tcBorders>
              <w:top w:val="nil"/>
              <w:left w:val="single" w:sz="4" w:space="0" w:color="auto"/>
              <w:bottom w:val="single" w:sz="4" w:space="0" w:color="auto"/>
              <w:right w:val="single" w:sz="4" w:space="0" w:color="auto"/>
            </w:tcBorders>
            <w:shd w:val="clear" w:color="auto" w:fill="auto"/>
            <w:vAlign w:val="center"/>
          </w:tcPr>
          <w:p w14:paraId="7ED2AB1D" w14:textId="77777777" w:rsidR="00651355" w:rsidRPr="00651355" w:rsidRDefault="00651355" w:rsidP="00651355">
            <w:pPr>
              <w:spacing w:before="40" w:after="120"/>
              <w:rPr>
                <w:rFonts w:eastAsia="Calibri"/>
                <w:b/>
                <w:bCs/>
                <w:sz w:val="16"/>
                <w:szCs w:val="16"/>
                <w:lang w:eastAsia="en-US"/>
              </w:rPr>
            </w:pPr>
            <w:r w:rsidRPr="00651355">
              <w:rPr>
                <w:rFonts w:eastAsia="Calibri"/>
                <w:b/>
                <w:bCs/>
                <w:sz w:val="16"/>
                <w:szCs w:val="16"/>
                <w:lang w:eastAsia="en-US"/>
              </w:rPr>
              <w:t>Resultado neto</w:t>
            </w:r>
          </w:p>
        </w:tc>
        <w:tc>
          <w:tcPr>
            <w:tcW w:w="1134" w:type="dxa"/>
            <w:tcBorders>
              <w:left w:val="single" w:sz="4" w:space="0" w:color="auto"/>
              <w:bottom w:val="single" w:sz="4" w:space="0" w:color="auto"/>
              <w:right w:val="single" w:sz="4" w:space="0" w:color="auto"/>
            </w:tcBorders>
            <w:shd w:val="clear" w:color="auto" w:fill="auto"/>
            <w:vAlign w:val="center"/>
          </w:tcPr>
          <w:p w14:paraId="72FB6A53" w14:textId="77777777" w:rsidR="00651355" w:rsidRPr="00651355" w:rsidRDefault="00651355" w:rsidP="00651355">
            <w:pPr>
              <w:spacing w:before="40" w:after="120"/>
              <w:ind w:right="340"/>
              <w:jc w:val="right"/>
              <w:rPr>
                <w:rFonts w:eastAsia="Calibri"/>
                <w:b/>
                <w:sz w:val="16"/>
                <w:szCs w:val="16"/>
                <w:lang w:eastAsia="en-US"/>
              </w:rPr>
            </w:pPr>
            <w:r w:rsidRPr="00651355">
              <w:rPr>
                <w:rFonts w:eastAsia="Calibri"/>
                <w:b/>
                <w:sz w:val="16"/>
                <w:szCs w:val="16"/>
                <w:lang w:eastAsia="en-US"/>
              </w:rPr>
              <w:t>15</w:t>
            </w:r>
          </w:p>
        </w:tc>
        <w:tc>
          <w:tcPr>
            <w:tcW w:w="1134" w:type="dxa"/>
            <w:tcBorders>
              <w:top w:val="nil"/>
              <w:left w:val="single" w:sz="4" w:space="0" w:color="auto"/>
              <w:bottom w:val="single" w:sz="4" w:space="0" w:color="auto"/>
              <w:right w:val="single" w:sz="4" w:space="0" w:color="auto"/>
            </w:tcBorders>
            <w:shd w:val="clear" w:color="auto" w:fill="auto"/>
            <w:vAlign w:val="center"/>
          </w:tcPr>
          <w:p w14:paraId="322AD67C" w14:textId="77777777" w:rsidR="00651355" w:rsidRPr="00651355" w:rsidRDefault="00651355" w:rsidP="00651355">
            <w:pPr>
              <w:spacing w:before="40" w:after="120"/>
              <w:ind w:right="340"/>
              <w:jc w:val="right"/>
              <w:rPr>
                <w:rFonts w:eastAsia="Calibri"/>
                <w:b/>
                <w:sz w:val="16"/>
                <w:szCs w:val="16"/>
                <w:lang w:eastAsia="en-US"/>
              </w:rPr>
            </w:pPr>
            <w:r w:rsidRPr="00651355">
              <w:rPr>
                <w:rFonts w:eastAsia="Calibri"/>
                <w:b/>
                <w:sz w:val="16"/>
                <w:szCs w:val="16"/>
                <w:lang w:eastAsia="en-US"/>
              </w:rPr>
              <w:t>16</w:t>
            </w:r>
          </w:p>
        </w:tc>
        <w:tc>
          <w:tcPr>
            <w:tcW w:w="992" w:type="dxa"/>
            <w:tcBorders>
              <w:left w:val="single" w:sz="4" w:space="0" w:color="auto"/>
              <w:bottom w:val="single" w:sz="4" w:space="0" w:color="auto"/>
              <w:right w:val="single" w:sz="4" w:space="0" w:color="auto"/>
            </w:tcBorders>
            <w:shd w:val="clear" w:color="auto" w:fill="auto"/>
            <w:vAlign w:val="center"/>
          </w:tcPr>
          <w:p w14:paraId="30730EEA" w14:textId="77777777" w:rsidR="00651355" w:rsidRPr="00651355" w:rsidRDefault="00651355" w:rsidP="00651355">
            <w:pPr>
              <w:spacing w:before="40" w:after="120"/>
              <w:ind w:right="340"/>
              <w:jc w:val="right"/>
              <w:rPr>
                <w:rFonts w:eastAsia="Calibri"/>
                <w:b/>
                <w:sz w:val="16"/>
                <w:szCs w:val="16"/>
                <w:lang w:eastAsia="en-US"/>
              </w:rPr>
            </w:pPr>
            <w:r w:rsidRPr="00651355">
              <w:rPr>
                <w:rFonts w:eastAsia="Calibri"/>
                <w:b/>
                <w:sz w:val="16"/>
                <w:szCs w:val="16"/>
                <w:lang w:eastAsia="en-US"/>
              </w:rPr>
              <w:t>1</w:t>
            </w:r>
          </w:p>
        </w:tc>
        <w:tc>
          <w:tcPr>
            <w:tcW w:w="1075" w:type="dxa"/>
            <w:gridSpan w:val="2"/>
            <w:tcBorders>
              <w:top w:val="nil"/>
              <w:left w:val="single" w:sz="4" w:space="0" w:color="auto"/>
              <w:bottom w:val="single" w:sz="4" w:space="0" w:color="auto"/>
              <w:right w:val="single" w:sz="4" w:space="0" w:color="auto"/>
            </w:tcBorders>
            <w:shd w:val="clear" w:color="auto" w:fill="auto"/>
            <w:vAlign w:val="center"/>
          </w:tcPr>
          <w:p w14:paraId="491005DE" w14:textId="77777777" w:rsidR="00651355" w:rsidRPr="00651355" w:rsidRDefault="00651355" w:rsidP="00651355">
            <w:pPr>
              <w:spacing w:before="40" w:after="120"/>
              <w:ind w:right="284"/>
              <w:jc w:val="right"/>
              <w:rPr>
                <w:rFonts w:eastAsia="Calibri"/>
                <w:b/>
                <w:bCs/>
                <w:sz w:val="16"/>
                <w:szCs w:val="16"/>
                <w:lang w:eastAsia="en-US"/>
              </w:rPr>
            </w:pPr>
            <w:r w:rsidRPr="00651355">
              <w:rPr>
                <w:rFonts w:eastAsia="Calibri"/>
                <w:b/>
                <w:bCs/>
                <w:sz w:val="16"/>
                <w:szCs w:val="16"/>
                <w:lang w:eastAsia="en-US"/>
              </w:rPr>
              <w:t>6.7</w:t>
            </w:r>
          </w:p>
        </w:tc>
      </w:tr>
      <w:tr w:rsidR="001E79CA" w:rsidRPr="00651355" w14:paraId="7FFAC56C" w14:textId="77777777" w:rsidTr="001E79CA">
        <w:trPr>
          <w:trHeight w:val="271"/>
          <w:jc w:val="center"/>
        </w:trPr>
        <w:tc>
          <w:tcPr>
            <w:tcW w:w="8588" w:type="dxa"/>
            <w:gridSpan w:val="6"/>
            <w:tcBorders>
              <w:top w:val="single" w:sz="4" w:space="0" w:color="auto"/>
              <w:bottom w:val="nil"/>
            </w:tcBorders>
            <w:shd w:val="clear" w:color="auto" w:fill="auto"/>
            <w:vAlign w:val="center"/>
          </w:tcPr>
          <w:p w14:paraId="3F5A22ED" w14:textId="77777777" w:rsidR="00651355" w:rsidRPr="00651355" w:rsidRDefault="00651355" w:rsidP="00651355">
            <w:pPr>
              <w:spacing w:before="120"/>
              <w:ind w:right="340"/>
              <w:jc w:val="both"/>
              <w:rPr>
                <w:rFonts w:eastAsia="Calibri"/>
                <w:bCs/>
                <w:sz w:val="20"/>
                <w:szCs w:val="20"/>
                <w:lang w:eastAsia="en-US"/>
              </w:rPr>
            </w:pPr>
            <w:r w:rsidRPr="00651355">
              <w:rPr>
                <w:rFonts w:eastAsia="Calibri"/>
                <w:bCs/>
                <w:sz w:val="20"/>
                <w:szCs w:val="20"/>
                <w:lang w:eastAsia="en-US"/>
              </w:rPr>
              <w:t>FUENTE: CNBV.</w:t>
            </w:r>
          </w:p>
        </w:tc>
      </w:tr>
    </w:tbl>
    <w:p w14:paraId="5274AC94" w14:textId="77777777" w:rsidR="00651355" w:rsidRPr="00651355" w:rsidRDefault="00651355" w:rsidP="001B3CD5">
      <w:pPr>
        <w:spacing w:before="360" w:after="480" w:line="360" w:lineRule="auto"/>
        <w:ind w:right="-159"/>
        <w:jc w:val="both"/>
        <w:rPr>
          <w:rFonts w:eastAsia="Calibri"/>
          <w:sz w:val="26"/>
          <w:szCs w:val="26"/>
          <w:lang w:eastAsia="en-US"/>
        </w:rPr>
      </w:pPr>
      <w:r w:rsidRPr="00651355">
        <w:rPr>
          <w:rFonts w:eastAsia="Calibri"/>
          <w:sz w:val="26"/>
          <w:szCs w:val="26"/>
          <w:lang w:eastAsia="en-US"/>
        </w:rPr>
        <w:lastRenderedPageBreak/>
        <w:t>Los rentabilidad de los activos medida por el ROA se redujo 0.17 pp, mientras que la rentabilidad del capital medida por el ROE disminuyó 1.33 pp. Asimismo, el resultado neto acumulado 12 meses presentó una variación negativa de 2.5 pp, mientras que los activos y el capital contable promedio a 12 meses se incrementaron en 10.1 y 7.7%, respectivamente.</w:t>
      </w:r>
    </w:p>
    <w:tbl>
      <w:tblPr>
        <w:tblW w:w="8978" w:type="dxa"/>
        <w:tblLayout w:type="fixed"/>
        <w:tblLook w:val="01E0" w:firstRow="1" w:lastRow="1" w:firstColumn="1" w:lastColumn="1" w:noHBand="0" w:noVBand="0"/>
      </w:tblPr>
      <w:tblGrid>
        <w:gridCol w:w="3472"/>
        <w:gridCol w:w="1101"/>
        <w:gridCol w:w="1101"/>
        <w:gridCol w:w="1101"/>
        <w:gridCol w:w="1101"/>
        <w:gridCol w:w="1055"/>
        <w:gridCol w:w="47"/>
      </w:tblGrid>
      <w:tr w:rsidR="00651355" w:rsidRPr="00651355" w14:paraId="5B2C29C1" w14:textId="77777777" w:rsidTr="00AF7C3F">
        <w:trPr>
          <w:trHeight w:val="552"/>
        </w:trPr>
        <w:tc>
          <w:tcPr>
            <w:tcW w:w="8978" w:type="dxa"/>
            <w:gridSpan w:val="7"/>
            <w:tcBorders>
              <w:top w:val="nil"/>
              <w:left w:val="nil"/>
              <w:bottom w:val="single" w:sz="4" w:space="0" w:color="auto"/>
              <w:right w:val="nil"/>
            </w:tcBorders>
            <w:shd w:val="clear" w:color="auto" w:fill="auto"/>
          </w:tcPr>
          <w:p w14:paraId="610D9CC7" w14:textId="77777777" w:rsidR="00651355" w:rsidRPr="00AF7C3F" w:rsidRDefault="00651355" w:rsidP="00651355">
            <w:pPr>
              <w:spacing w:before="120"/>
              <w:jc w:val="center"/>
              <w:rPr>
                <w:rFonts w:eastAsia="Calibri"/>
                <w:b/>
                <w:bCs/>
                <w:sz w:val="22"/>
                <w:szCs w:val="22"/>
                <w:lang w:eastAsia="en-US"/>
              </w:rPr>
            </w:pPr>
            <w:r w:rsidRPr="00AF7C3F">
              <w:rPr>
                <w:rFonts w:eastAsia="Calibri"/>
                <w:b/>
                <w:bCs/>
                <w:sz w:val="22"/>
                <w:szCs w:val="22"/>
                <w:lang w:eastAsia="en-US"/>
              </w:rPr>
              <w:t>BANCA MÚLTIPLE: INDICADORES FINANCIEROS</w:t>
            </w:r>
          </w:p>
          <w:p w14:paraId="77AA4BD5" w14:textId="0F5BBD0F" w:rsidR="00651355" w:rsidRPr="00AF7C3F" w:rsidRDefault="00651355" w:rsidP="001B3CD5">
            <w:pPr>
              <w:jc w:val="center"/>
              <w:rPr>
                <w:rFonts w:eastAsia="Calibri"/>
                <w:b/>
                <w:bCs/>
                <w:sz w:val="22"/>
                <w:szCs w:val="22"/>
                <w:lang w:eastAsia="en-US"/>
              </w:rPr>
            </w:pPr>
            <w:r w:rsidRPr="00AF7C3F">
              <w:rPr>
                <w:rFonts w:eastAsia="Calibri"/>
                <w:b/>
                <w:bCs/>
                <w:sz w:val="22"/>
                <w:szCs w:val="22"/>
                <w:lang w:eastAsia="en-US"/>
              </w:rPr>
              <w:t>-En miles de millones de pesos (MMDP)-</w:t>
            </w:r>
          </w:p>
        </w:tc>
      </w:tr>
      <w:tr w:rsidR="00651355" w:rsidRPr="00651355" w14:paraId="5E68CCD8" w14:textId="77777777" w:rsidTr="00845A3F">
        <w:trPr>
          <w:trHeight w:val="190"/>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tcPr>
          <w:p w14:paraId="484AC939" w14:textId="77777777" w:rsidR="00651355" w:rsidRPr="00AF7C3F" w:rsidRDefault="00651355" w:rsidP="00651355">
            <w:pPr>
              <w:jc w:val="center"/>
              <w:rPr>
                <w:rFonts w:eastAsia="Calibri"/>
                <w:b/>
                <w:bCs/>
                <w:sz w:val="18"/>
                <w:szCs w:val="18"/>
                <w:lang w:eastAsia="en-US"/>
              </w:rPr>
            </w:pPr>
          </w:p>
        </w:tc>
        <w:tc>
          <w:tcPr>
            <w:tcW w:w="1101" w:type="dxa"/>
            <w:tcBorders>
              <w:top w:val="single" w:sz="4" w:space="0" w:color="auto"/>
              <w:left w:val="single" w:sz="4" w:space="0" w:color="auto"/>
              <w:bottom w:val="single" w:sz="2" w:space="0" w:color="auto"/>
              <w:right w:val="single" w:sz="4" w:space="0" w:color="auto"/>
            </w:tcBorders>
            <w:shd w:val="clear" w:color="auto" w:fill="auto"/>
            <w:vAlign w:val="center"/>
          </w:tcPr>
          <w:p w14:paraId="78167010"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2014</w:t>
            </w: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60648"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2015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tcPr>
          <w:p w14:paraId="20BBC45C" w14:textId="77777777" w:rsidR="00651355" w:rsidRPr="00AF7C3F" w:rsidRDefault="00651355" w:rsidP="00651355">
            <w:pPr>
              <w:jc w:val="center"/>
              <w:rPr>
                <w:rFonts w:eastAsia="Calibri"/>
                <w:b/>
                <w:bCs/>
                <w:sz w:val="18"/>
                <w:szCs w:val="18"/>
                <w:lang w:eastAsia="en-US"/>
              </w:rPr>
            </w:pPr>
            <w:r w:rsidRPr="00AF7C3F">
              <w:rPr>
                <w:rFonts w:eastAsia="Calibri"/>
                <w:b/>
                <w:bCs/>
                <w:sz w:val="18"/>
                <w:szCs w:val="18"/>
                <w:lang w:eastAsia="en-US"/>
              </w:rPr>
              <w:t>Variaciones anuales en:</w:t>
            </w:r>
          </w:p>
        </w:tc>
      </w:tr>
      <w:tr w:rsidR="00651355" w:rsidRPr="00651355" w14:paraId="1B364D55" w14:textId="77777777" w:rsidTr="00845A3F">
        <w:tc>
          <w:tcPr>
            <w:tcW w:w="3472" w:type="dxa"/>
            <w:vMerge/>
            <w:tcBorders>
              <w:top w:val="single" w:sz="2" w:space="0" w:color="auto"/>
              <w:left w:val="single" w:sz="4" w:space="0" w:color="auto"/>
              <w:bottom w:val="single" w:sz="4" w:space="0" w:color="auto"/>
              <w:right w:val="single" w:sz="4" w:space="0" w:color="auto"/>
            </w:tcBorders>
            <w:shd w:val="clear" w:color="auto" w:fill="auto"/>
          </w:tcPr>
          <w:p w14:paraId="758768FC" w14:textId="77777777" w:rsidR="00651355" w:rsidRPr="00AF7C3F" w:rsidRDefault="00651355" w:rsidP="00651355">
            <w:pPr>
              <w:jc w:val="center"/>
              <w:rPr>
                <w:rFonts w:eastAsia="Calibri"/>
                <w:b/>
                <w:bCs/>
                <w:sz w:val="18"/>
                <w:szCs w:val="18"/>
                <w:lang w:val="en-US" w:eastAsia="en-US"/>
              </w:rPr>
            </w:pPr>
          </w:p>
        </w:tc>
        <w:tc>
          <w:tcPr>
            <w:tcW w:w="1101" w:type="dxa"/>
            <w:tcBorders>
              <w:top w:val="single" w:sz="2" w:space="0" w:color="auto"/>
              <w:left w:val="single" w:sz="4" w:space="0" w:color="auto"/>
              <w:bottom w:val="single" w:sz="4" w:space="0" w:color="auto"/>
              <w:right w:val="single" w:sz="4" w:space="0" w:color="auto"/>
            </w:tcBorders>
            <w:shd w:val="clear" w:color="auto" w:fill="auto"/>
            <w:vAlign w:val="center"/>
          </w:tcPr>
          <w:p w14:paraId="66D388AD"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Febrero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5C2F3BDF"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B18D0DA"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 xml:space="preserve">Febrero </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2210F1D2"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MMDP</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7F19C8B9" w14:textId="77777777" w:rsidR="00651355" w:rsidRPr="00AF7C3F" w:rsidRDefault="00651355" w:rsidP="00651355">
            <w:pPr>
              <w:jc w:val="center"/>
              <w:rPr>
                <w:rFonts w:eastAsia="Calibri"/>
                <w:b/>
                <w:bCs/>
                <w:sz w:val="18"/>
                <w:szCs w:val="18"/>
                <w:lang w:eastAsia="en-US"/>
              </w:rPr>
            </w:pPr>
            <w:r w:rsidRPr="00AF7C3F">
              <w:rPr>
                <w:rFonts w:eastAsia="Calibri"/>
                <w:b/>
                <w:bCs/>
                <w:sz w:val="18"/>
                <w:szCs w:val="18"/>
                <w:lang w:eastAsia="en-US"/>
              </w:rPr>
              <w:t>%</w:t>
            </w:r>
          </w:p>
        </w:tc>
      </w:tr>
      <w:tr w:rsidR="00651355" w:rsidRPr="00651355" w14:paraId="49A14AC8" w14:textId="77777777" w:rsidTr="00845A3F">
        <w:tc>
          <w:tcPr>
            <w:tcW w:w="3472" w:type="dxa"/>
            <w:tcBorders>
              <w:top w:val="single" w:sz="4" w:space="0" w:color="auto"/>
              <w:left w:val="single" w:sz="4" w:space="0" w:color="auto"/>
              <w:bottom w:val="nil"/>
              <w:right w:val="single" w:sz="4" w:space="0" w:color="auto"/>
            </w:tcBorders>
            <w:shd w:val="clear" w:color="auto" w:fill="auto"/>
          </w:tcPr>
          <w:p w14:paraId="0D416D8E" w14:textId="77777777" w:rsidR="00651355" w:rsidRPr="00AF7C3F" w:rsidRDefault="00651355" w:rsidP="00651355">
            <w:pPr>
              <w:spacing w:before="120" w:after="40"/>
              <w:jc w:val="both"/>
              <w:rPr>
                <w:rFonts w:eastAsia="Calibri"/>
                <w:bCs/>
                <w:sz w:val="18"/>
                <w:szCs w:val="18"/>
                <w:lang w:val="en-US" w:eastAsia="en-US"/>
              </w:rPr>
            </w:pPr>
            <w:r w:rsidRPr="00AF7C3F">
              <w:rPr>
                <w:rFonts w:eastAsia="Calibri"/>
                <w:bCs/>
                <w:sz w:val="18"/>
                <w:szCs w:val="18"/>
                <w:lang w:val="en-US" w:eastAsia="en-US"/>
              </w:rPr>
              <w:t>Resultado neto (flujo 12 meses)</w:t>
            </w:r>
          </w:p>
        </w:tc>
        <w:tc>
          <w:tcPr>
            <w:tcW w:w="1101" w:type="dxa"/>
            <w:tcBorders>
              <w:top w:val="single" w:sz="4" w:space="0" w:color="auto"/>
              <w:left w:val="single" w:sz="4" w:space="0" w:color="auto"/>
              <w:bottom w:val="nil"/>
              <w:right w:val="single" w:sz="4" w:space="0" w:color="auto"/>
            </w:tcBorders>
            <w:shd w:val="clear" w:color="auto" w:fill="auto"/>
          </w:tcPr>
          <w:p w14:paraId="2214927E"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96</w:t>
            </w:r>
          </w:p>
        </w:tc>
        <w:tc>
          <w:tcPr>
            <w:tcW w:w="1101" w:type="dxa"/>
            <w:tcBorders>
              <w:top w:val="single" w:sz="4" w:space="0" w:color="auto"/>
              <w:left w:val="single" w:sz="4" w:space="0" w:color="auto"/>
              <w:bottom w:val="nil"/>
              <w:right w:val="single" w:sz="4" w:space="0" w:color="auto"/>
            </w:tcBorders>
            <w:shd w:val="clear" w:color="auto" w:fill="auto"/>
          </w:tcPr>
          <w:p w14:paraId="0A449E34"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94</w:t>
            </w:r>
          </w:p>
        </w:tc>
        <w:tc>
          <w:tcPr>
            <w:tcW w:w="1101" w:type="dxa"/>
            <w:tcBorders>
              <w:top w:val="single" w:sz="4" w:space="0" w:color="auto"/>
              <w:left w:val="single" w:sz="4" w:space="0" w:color="auto"/>
              <w:bottom w:val="nil"/>
              <w:right w:val="single" w:sz="4" w:space="0" w:color="auto"/>
            </w:tcBorders>
            <w:shd w:val="clear" w:color="auto" w:fill="auto"/>
          </w:tcPr>
          <w:p w14:paraId="0575EDBC"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94</w:t>
            </w:r>
          </w:p>
        </w:tc>
        <w:tc>
          <w:tcPr>
            <w:tcW w:w="1101" w:type="dxa"/>
            <w:tcBorders>
              <w:top w:val="single" w:sz="4" w:space="0" w:color="auto"/>
              <w:left w:val="single" w:sz="4" w:space="0" w:color="auto"/>
              <w:bottom w:val="nil"/>
              <w:right w:val="single" w:sz="4" w:space="0" w:color="auto"/>
            </w:tcBorders>
            <w:shd w:val="clear" w:color="auto" w:fill="auto"/>
          </w:tcPr>
          <w:p w14:paraId="182E0BA8"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-2</w:t>
            </w:r>
          </w:p>
        </w:tc>
        <w:tc>
          <w:tcPr>
            <w:tcW w:w="1102" w:type="dxa"/>
            <w:gridSpan w:val="2"/>
            <w:tcBorders>
              <w:top w:val="single" w:sz="4" w:space="0" w:color="auto"/>
              <w:left w:val="single" w:sz="4" w:space="0" w:color="auto"/>
              <w:bottom w:val="nil"/>
              <w:right w:val="single" w:sz="4" w:space="0" w:color="auto"/>
            </w:tcBorders>
            <w:shd w:val="clear" w:color="auto" w:fill="auto"/>
          </w:tcPr>
          <w:p w14:paraId="3981F503" w14:textId="77777777" w:rsidR="00651355" w:rsidRPr="00AF7C3F" w:rsidRDefault="00651355" w:rsidP="00651355">
            <w:pPr>
              <w:spacing w:before="120" w:after="40"/>
              <w:ind w:right="227"/>
              <w:jc w:val="right"/>
              <w:rPr>
                <w:rFonts w:eastAsia="Calibri"/>
                <w:b/>
                <w:bCs/>
                <w:sz w:val="18"/>
                <w:szCs w:val="18"/>
                <w:lang w:val="en-US" w:eastAsia="en-US"/>
              </w:rPr>
            </w:pPr>
            <w:r w:rsidRPr="00AF7C3F">
              <w:rPr>
                <w:rFonts w:eastAsia="Calibri"/>
                <w:b/>
                <w:bCs/>
                <w:sz w:val="18"/>
                <w:szCs w:val="18"/>
                <w:lang w:val="en-US" w:eastAsia="en-US"/>
              </w:rPr>
              <w:t>-2.5</w:t>
            </w:r>
          </w:p>
        </w:tc>
      </w:tr>
      <w:tr w:rsidR="00651355" w:rsidRPr="00651355" w14:paraId="763E4590" w14:textId="77777777" w:rsidTr="00845A3F">
        <w:tc>
          <w:tcPr>
            <w:tcW w:w="3472" w:type="dxa"/>
            <w:tcBorders>
              <w:top w:val="nil"/>
              <w:left w:val="single" w:sz="4" w:space="0" w:color="auto"/>
              <w:bottom w:val="nil"/>
              <w:right w:val="single" w:sz="4" w:space="0" w:color="auto"/>
            </w:tcBorders>
            <w:shd w:val="clear" w:color="auto" w:fill="auto"/>
          </w:tcPr>
          <w:p w14:paraId="4BBEBA90" w14:textId="77777777" w:rsidR="00651355" w:rsidRPr="00AF7C3F" w:rsidRDefault="00651355" w:rsidP="00651355">
            <w:pPr>
              <w:spacing w:before="40" w:after="40"/>
              <w:jc w:val="both"/>
              <w:rPr>
                <w:rFonts w:eastAsia="Calibri"/>
                <w:bCs/>
                <w:sz w:val="18"/>
                <w:szCs w:val="18"/>
                <w:lang w:val="en-US" w:eastAsia="en-US"/>
              </w:rPr>
            </w:pPr>
            <w:r w:rsidRPr="00AF7C3F">
              <w:rPr>
                <w:rFonts w:eastAsia="Calibri"/>
                <w:bCs/>
                <w:sz w:val="18"/>
                <w:szCs w:val="18"/>
                <w:lang w:val="en-US" w:eastAsia="en-US"/>
              </w:rPr>
              <w:t>Activo promedio (12 meses)</w:t>
            </w:r>
          </w:p>
        </w:tc>
        <w:tc>
          <w:tcPr>
            <w:tcW w:w="1101" w:type="dxa"/>
            <w:tcBorders>
              <w:top w:val="nil"/>
              <w:left w:val="single" w:sz="4" w:space="0" w:color="auto"/>
              <w:bottom w:val="nil"/>
              <w:right w:val="single" w:sz="4" w:space="0" w:color="auto"/>
            </w:tcBorders>
            <w:shd w:val="clear" w:color="auto" w:fill="auto"/>
          </w:tcPr>
          <w:p w14:paraId="6F081355" w14:textId="77777777" w:rsidR="00651355" w:rsidRPr="00AF7C3F" w:rsidRDefault="00651355" w:rsidP="00651355">
            <w:pPr>
              <w:spacing w:before="40" w:after="40"/>
              <w:ind w:right="227"/>
              <w:jc w:val="right"/>
              <w:rPr>
                <w:rFonts w:eastAsia="Calibri"/>
                <w:sz w:val="18"/>
                <w:szCs w:val="18"/>
                <w:lang w:val="en-US" w:eastAsia="en-US"/>
              </w:rPr>
            </w:pPr>
            <w:r w:rsidRPr="00AF7C3F">
              <w:rPr>
                <w:rFonts w:eastAsia="Calibri"/>
                <w:sz w:val="18"/>
                <w:szCs w:val="18"/>
                <w:lang w:val="en-US" w:eastAsia="en-US"/>
              </w:rPr>
              <w:t>6 359</w:t>
            </w:r>
          </w:p>
        </w:tc>
        <w:tc>
          <w:tcPr>
            <w:tcW w:w="1101" w:type="dxa"/>
            <w:tcBorders>
              <w:top w:val="nil"/>
              <w:left w:val="single" w:sz="4" w:space="0" w:color="auto"/>
              <w:bottom w:val="nil"/>
              <w:right w:val="single" w:sz="4" w:space="0" w:color="auto"/>
            </w:tcBorders>
            <w:shd w:val="clear" w:color="auto" w:fill="auto"/>
          </w:tcPr>
          <w:p w14:paraId="23DA88BC" w14:textId="77777777" w:rsidR="00651355" w:rsidRPr="00AF7C3F" w:rsidRDefault="00651355" w:rsidP="00651355">
            <w:pPr>
              <w:spacing w:before="40" w:after="40"/>
              <w:ind w:right="227"/>
              <w:jc w:val="right"/>
              <w:rPr>
                <w:rFonts w:eastAsia="Calibri"/>
                <w:sz w:val="18"/>
                <w:szCs w:val="18"/>
                <w:lang w:val="en-US" w:eastAsia="en-US"/>
              </w:rPr>
            </w:pPr>
            <w:r w:rsidRPr="00AF7C3F">
              <w:rPr>
                <w:rFonts w:eastAsia="Calibri"/>
                <w:sz w:val="18"/>
                <w:szCs w:val="18"/>
                <w:lang w:val="en-US" w:eastAsia="en-US"/>
              </w:rPr>
              <w:t>6 951</w:t>
            </w:r>
          </w:p>
        </w:tc>
        <w:tc>
          <w:tcPr>
            <w:tcW w:w="1101" w:type="dxa"/>
            <w:tcBorders>
              <w:top w:val="nil"/>
              <w:left w:val="single" w:sz="4" w:space="0" w:color="auto"/>
              <w:bottom w:val="nil"/>
              <w:right w:val="single" w:sz="4" w:space="0" w:color="auto"/>
            </w:tcBorders>
            <w:shd w:val="clear" w:color="auto" w:fill="auto"/>
          </w:tcPr>
          <w:p w14:paraId="11BC5AA8" w14:textId="77777777" w:rsidR="00651355" w:rsidRPr="00AF7C3F" w:rsidRDefault="00651355" w:rsidP="00651355">
            <w:pPr>
              <w:spacing w:before="40" w:after="40"/>
              <w:ind w:right="227"/>
              <w:jc w:val="right"/>
              <w:rPr>
                <w:rFonts w:eastAsia="Calibri"/>
                <w:sz w:val="18"/>
                <w:szCs w:val="18"/>
                <w:lang w:val="en-US" w:eastAsia="en-US"/>
              </w:rPr>
            </w:pPr>
            <w:r w:rsidRPr="00AF7C3F">
              <w:rPr>
                <w:rFonts w:eastAsia="Calibri"/>
                <w:sz w:val="18"/>
                <w:szCs w:val="18"/>
                <w:lang w:val="en-US" w:eastAsia="en-US"/>
              </w:rPr>
              <w:t>6 999</w:t>
            </w:r>
          </w:p>
        </w:tc>
        <w:tc>
          <w:tcPr>
            <w:tcW w:w="1101" w:type="dxa"/>
            <w:tcBorders>
              <w:top w:val="nil"/>
              <w:left w:val="single" w:sz="4" w:space="0" w:color="auto"/>
              <w:bottom w:val="nil"/>
              <w:right w:val="single" w:sz="4" w:space="0" w:color="auto"/>
            </w:tcBorders>
            <w:shd w:val="clear" w:color="auto" w:fill="auto"/>
          </w:tcPr>
          <w:p w14:paraId="01EEA804" w14:textId="77777777" w:rsidR="00651355" w:rsidRPr="00AF7C3F" w:rsidRDefault="00651355" w:rsidP="00651355">
            <w:pPr>
              <w:spacing w:before="40" w:after="40"/>
              <w:ind w:right="227"/>
              <w:jc w:val="right"/>
              <w:rPr>
                <w:rFonts w:eastAsia="Calibri"/>
                <w:sz w:val="18"/>
                <w:szCs w:val="18"/>
                <w:lang w:val="en-US" w:eastAsia="en-US"/>
              </w:rPr>
            </w:pPr>
            <w:r w:rsidRPr="00AF7C3F">
              <w:rPr>
                <w:rFonts w:eastAsia="Calibri"/>
                <w:sz w:val="18"/>
                <w:szCs w:val="18"/>
                <w:lang w:val="en-US" w:eastAsia="en-US"/>
              </w:rPr>
              <w:t>640</w:t>
            </w:r>
          </w:p>
        </w:tc>
        <w:tc>
          <w:tcPr>
            <w:tcW w:w="1102" w:type="dxa"/>
            <w:gridSpan w:val="2"/>
            <w:tcBorders>
              <w:top w:val="nil"/>
              <w:left w:val="single" w:sz="4" w:space="0" w:color="auto"/>
              <w:bottom w:val="nil"/>
              <w:right w:val="single" w:sz="4" w:space="0" w:color="auto"/>
            </w:tcBorders>
            <w:shd w:val="clear" w:color="auto" w:fill="auto"/>
          </w:tcPr>
          <w:p w14:paraId="3BB051C8" w14:textId="77777777" w:rsidR="00651355" w:rsidRPr="00AF7C3F" w:rsidRDefault="00651355" w:rsidP="00651355">
            <w:pPr>
              <w:spacing w:before="40" w:after="40"/>
              <w:ind w:right="227"/>
              <w:jc w:val="right"/>
              <w:rPr>
                <w:rFonts w:eastAsia="Calibri"/>
                <w:b/>
                <w:bCs/>
                <w:sz w:val="18"/>
                <w:szCs w:val="18"/>
                <w:lang w:val="en-US" w:eastAsia="en-US"/>
              </w:rPr>
            </w:pPr>
            <w:r w:rsidRPr="00AF7C3F">
              <w:rPr>
                <w:rFonts w:eastAsia="Calibri"/>
                <w:b/>
                <w:bCs/>
                <w:sz w:val="18"/>
                <w:szCs w:val="18"/>
                <w:lang w:val="en-US" w:eastAsia="en-US"/>
              </w:rPr>
              <w:t>10.1</w:t>
            </w:r>
          </w:p>
        </w:tc>
      </w:tr>
      <w:tr w:rsidR="00651355" w:rsidRPr="00651355" w14:paraId="43C83FD4" w14:textId="77777777" w:rsidTr="00845A3F">
        <w:tc>
          <w:tcPr>
            <w:tcW w:w="3472" w:type="dxa"/>
            <w:tcBorders>
              <w:top w:val="nil"/>
              <w:left w:val="single" w:sz="4" w:space="0" w:color="auto"/>
              <w:bottom w:val="single" w:sz="4" w:space="0" w:color="auto"/>
              <w:right w:val="single" w:sz="4" w:space="0" w:color="auto"/>
            </w:tcBorders>
            <w:shd w:val="clear" w:color="auto" w:fill="auto"/>
          </w:tcPr>
          <w:p w14:paraId="4DFFA956" w14:textId="77777777" w:rsidR="00651355" w:rsidRPr="00AF7C3F" w:rsidRDefault="00651355" w:rsidP="00651355">
            <w:pPr>
              <w:spacing w:before="40" w:after="120"/>
              <w:jc w:val="both"/>
              <w:rPr>
                <w:rFonts w:eastAsia="Calibri"/>
                <w:bCs/>
                <w:sz w:val="18"/>
                <w:szCs w:val="18"/>
                <w:lang w:val="en-US" w:eastAsia="en-US"/>
              </w:rPr>
            </w:pPr>
            <w:r w:rsidRPr="00AF7C3F">
              <w:rPr>
                <w:rFonts w:eastAsia="Calibri"/>
                <w:bCs/>
                <w:sz w:val="18"/>
                <w:szCs w:val="18"/>
                <w:lang w:val="en-US" w:eastAsia="en-US"/>
              </w:rPr>
              <w:t>Capital contable promedio (12 meses)</w:t>
            </w:r>
          </w:p>
        </w:tc>
        <w:tc>
          <w:tcPr>
            <w:tcW w:w="1101" w:type="dxa"/>
            <w:tcBorders>
              <w:top w:val="nil"/>
              <w:left w:val="single" w:sz="4" w:space="0" w:color="auto"/>
              <w:bottom w:val="single" w:sz="4" w:space="0" w:color="auto"/>
              <w:right w:val="single" w:sz="4" w:space="0" w:color="auto"/>
            </w:tcBorders>
            <w:shd w:val="clear" w:color="auto" w:fill="auto"/>
          </w:tcPr>
          <w:p w14:paraId="6410242D"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682</w:t>
            </w:r>
          </w:p>
        </w:tc>
        <w:tc>
          <w:tcPr>
            <w:tcW w:w="1101" w:type="dxa"/>
            <w:tcBorders>
              <w:top w:val="nil"/>
              <w:left w:val="single" w:sz="4" w:space="0" w:color="auto"/>
              <w:bottom w:val="single" w:sz="4" w:space="0" w:color="auto"/>
              <w:right w:val="single" w:sz="4" w:space="0" w:color="auto"/>
            </w:tcBorders>
            <w:shd w:val="clear" w:color="auto" w:fill="auto"/>
          </w:tcPr>
          <w:p w14:paraId="5A48CDAE"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728</w:t>
            </w:r>
          </w:p>
        </w:tc>
        <w:tc>
          <w:tcPr>
            <w:tcW w:w="1101" w:type="dxa"/>
            <w:tcBorders>
              <w:top w:val="nil"/>
              <w:left w:val="single" w:sz="4" w:space="0" w:color="auto"/>
              <w:bottom w:val="single" w:sz="4" w:space="0" w:color="auto"/>
              <w:right w:val="single" w:sz="4" w:space="0" w:color="auto"/>
            </w:tcBorders>
            <w:shd w:val="clear" w:color="auto" w:fill="auto"/>
          </w:tcPr>
          <w:p w14:paraId="3607654D"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734</w:t>
            </w:r>
          </w:p>
        </w:tc>
        <w:tc>
          <w:tcPr>
            <w:tcW w:w="1101" w:type="dxa"/>
            <w:tcBorders>
              <w:top w:val="nil"/>
              <w:left w:val="single" w:sz="4" w:space="0" w:color="auto"/>
              <w:bottom w:val="single" w:sz="4" w:space="0" w:color="auto"/>
              <w:right w:val="single" w:sz="4" w:space="0" w:color="auto"/>
            </w:tcBorders>
            <w:shd w:val="clear" w:color="auto" w:fill="auto"/>
          </w:tcPr>
          <w:p w14:paraId="54C613B0"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52</w:t>
            </w:r>
          </w:p>
        </w:tc>
        <w:tc>
          <w:tcPr>
            <w:tcW w:w="1102" w:type="dxa"/>
            <w:gridSpan w:val="2"/>
            <w:tcBorders>
              <w:top w:val="nil"/>
              <w:left w:val="single" w:sz="4" w:space="0" w:color="auto"/>
              <w:bottom w:val="single" w:sz="4" w:space="0" w:color="auto"/>
              <w:right w:val="single" w:sz="4" w:space="0" w:color="auto"/>
            </w:tcBorders>
            <w:shd w:val="clear" w:color="auto" w:fill="auto"/>
          </w:tcPr>
          <w:p w14:paraId="4DEE232C" w14:textId="77777777" w:rsidR="00651355" w:rsidRPr="00AF7C3F" w:rsidRDefault="00651355" w:rsidP="00651355">
            <w:pPr>
              <w:spacing w:before="40" w:after="120"/>
              <w:ind w:right="227"/>
              <w:jc w:val="right"/>
              <w:rPr>
                <w:rFonts w:eastAsia="Calibri"/>
                <w:b/>
                <w:bCs/>
                <w:sz w:val="18"/>
                <w:szCs w:val="18"/>
                <w:lang w:val="en-US" w:eastAsia="en-US"/>
              </w:rPr>
            </w:pPr>
            <w:r w:rsidRPr="00AF7C3F">
              <w:rPr>
                <w:rFonts w:eastAsia="Calibri"/>
                <w:b/>
                <w:bCs/>
                <w:sz w:val="18"/>
                <w:szCs w:val="18"/>
                <w:lang w:val="en-US" w:eastAsia="en-US"/>
              </w:rPr>
              <w:t>7.7</w:t>
            </w:r>
          </w:p>
        </w:tc>
      </w:tr>
      <w:tr w:rsidR="00651355" w:rsidRPr="00651355" w14:paraId="3DECCE3E" w14:textId="77777777" w:rsidTr="00AF7C3F">
        <w:trPr>
          <w:trHeight w:val="552"/>
        </w:trPr>
        <w:tc>
          <w:tcPr>
            <w:tcW w:w="8978" w:type="dxa"/>
            <w:gridSpan w:val="7"/>
            <w:tcBorders>
              <w:top w:val="single" w:sz="4" w:space="0" w:color="auto"/>
              <w:bottom w:val="single" w:sz="4" w:space="0" w:color="auto"/>
            </w:tcBorders>
            <w:shd w:val="clear" w:color="auto" w:fill="auto"/>
          </w:tcPr>
          <w:p w14:paraId="7445709E" w14:textId="77777777" w:rsidR="00651355" w:rsidRPr="00AF7C3F" w:rsidRDefault="00651355" w:rsidP="00651355">
            <w:pPr>
              <w:spacing w:before="120"/>
              <w:jc w:val="center"/>
              <w:rPr>
                <w:rFonts w:eastAsia="Calibri"/>
                <w:b/>
                <w:bCs/>
                <w:sz w:val="22"/>
                <w:szCs w:val="22"/>
                <w:lang w:eastAsia="en-US"/>
              </w:rPr>
            </w:pPr>
            <w:r w:rsidRPr="00AF7C3F">
              <w:rPr>
                <w:rFonts w:eastAsia="Calibri"/>
                <w:b/>
                <w:bCs/>
                <w:sz w:val="22"/>
                <w:szCs w:val="22"/>
                <w:lang w:eastAsia="en-US"/>
              </w:rPr>
              <w:t>BANCA MÚLTIPLE: INDICADORES FINANCIEROS</w:t>
            </w:r>
          </w:p>
          <w:p w14:paraId="26FE5DFA" w14:textId="77777777" w:rsidR="00651355" w:rsidRPr="00AF7C3F" w:rsidRDefault="00651355" w:rsidP="00651355">
            <w:pPr>
              <w:jc w:val="center"/>
              <w:rPr>
                <w:rFonts w:eastAsia="Calibri"/>
                <w:b/>
                <w:bCs/>
                <w:sz w:val="22"/>
                <w:szCs w:val="22"/>
                <w:lang w:eastAsia="en-US"/>
              </w:rPr>
            </w:pPr>
            <w:r w:rsidRPr="00AF7C3F">
              <w:rPr>
                <w:rFonts w:eastAsia="Calibri"/>
                <w:b/>
                <w:bCs/>
                <w:sz w:val="22"/>
                <w:szCs w:val="22"/>
                <w:lang w:eastAsia="en-US"/>
              </w:rPr>
              <w:t>-En porcentaje-</w:t>
            </w:r>
          </w:p>
          <w:p w14:paraId="07680DF9" w14:textId="77777777" w:rsidR="00651355" w:rsidRPr="00AF7C3F" w:rsidRDefault="00651355" w:rsidP="00651355">
            <w:pPr>
              <w:jc w:val="center"/>
              <w:rPr>
                <w:rFonts w:eastAsia="Calibri"/>
                <w:b/>
                <w:bCs/>
                <w:sz w:val="18"/>
                <w:szCs w:val="18"/>
                <w:lang w:eastAsia="en-US"/>
              </w:rPr>
            </w:pPr>
          </w:p>
        </w:tc>
      </w:tr>
      <w:tr w:rsidR="00651355" w:rsidRPr="00651355" w14:paraId="79FEC1A7" w14:textId="77777777" w:rsidTr="00845A3F">
        <w:trPr>
          <w:trHeight w:val="266"/>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tcPr>
          <w:p w14:paraId="40B0F09F" w14:textId="77777777" w:rsidR="00651355" w:rsidRPr="00AF7C3F" w:rsidRDefault="00651355" w:rsidP="00651355">
            <w:pPr>
              <w:jc w:val="center"/>
              <w:rPr>
                <w:rFonts w:eastAsia="Calibri"/>
                <w:b/>
                <w:bCs/>
                <w:sz w:val="18"/>
                <w:szCs w:val="18"/>
                <w:lang w:eastAsia="en-US"/>
              </w:rPr>
            </w:pPr>
          </w:p>
        </w:tc>
        <w:tc>
          <w:tcPr>
            <w:tcW w:w="1101" w:type="dxa"/>
            <w:tcBorders>
              <w:top w:val="single" w:sz="4" w:space="0" w:color="auto"/>
              <w:left w:val="single" w:sz="4" w:space="0" w:color="auto"/>
              <w:bottom w:val="nil"/>
              <w:right w:val="single" w:sz="4" w:space="0" w:color="auto"/>
            </w:tcBorders>
            <w:shd w:val="clear" w:color="auto" w:fill="auto"/>
            <w:vAlign w:val="center"/>
          </w:tcPr>
          <w:p w14:paraId="5F0BE445"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2014</w:t>
            </w: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1031B"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2015</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210D0E" w14:textId="77777777" w:rsidR="00651355" w:rsidRPr="00AF7C3F" w:rsidRDefault="00651355" w:rsidP="00651355">
            <w:pPr>
              <w:jc w:val="center"/>
              <w:rPr>
                <w:rFonts w:eastAsia="Calibri"/>
                <w:b/>
                <w:bCs/>
                <w:sz w:val="18"/>
                <w:szCs w:val="18"/>
                <w:lang w:eastAsia="en-US"/>
              </w:rPr>
            </w:pPr>
            <w:r w:rsidRPr="00AF7C3F">
              <w:rPr>
                <w:rFonts w:eastAsia="Calibri"/>
                <w:b/>
                <w:bCs/>
                <w:sz w:val="18"/>
                <w:szCs w:val="18"/>
                <w:lang w:eastAsia="en-US"/>
              </w:rPr>
              <w:t>Diferencias en pp</w:t>
            </w:r>
          </w:p>
        </w:tc>
      </w:tr>
      <w:tr w:rsidR="00651355" w:rsidRPr="00651355" w14:paraId="6CBCEEF3" w14:textId="77777777" w:rsidTr="00845A3F">
        <w:tc>
          <w:tcPr>
            <w:tcW w:w="3472" w:type="dxa"/>
            <w:vMerge/>
            <w:tcBorders>
              <w:top w:val="single" w:sz="4" w:space="0" w:color="auto"/>
              <w:left w:val="single" w:sz="4" w:space="0" w:color="auto"/>
              <w:bottom w:val="single" w:sz="4" w:space="0" w:color="auto"/>
              <w:right w:val="single" w:sz="4" w:space="0" w:color="auto"/>
            </w:tcBorders>
            <w:shd w:val="clear" w:color="auto" w:fill="auto"/>
          </w:tcPr>
          <w:p w14:paraId="3D580F44" w14:textId="77777777" w:rsidR="00651355" w:rsidRPr="00AF7C3F" w:rsidRDefault="00651355" w:rsidP="00651355">
            <w:pPr>
              <w:jc w:val="center"/>
              <w:rPr>
                <w:rFonts w:eastAsia="Calibri"/>
                <w:b/>
                <w:bCs/>
                <w:sz w:val="18"/>
                <w:szCs w:val="18"/>
                <w:lang w:eastAsia="en-US"/>
              </w:rPr>
            </w:pPr>
          </w:p>
        </w:tc>
        <w:tc>
          <w:tcPr>
            <w:tcW w:w="1101" w:type="dxa"/>
            <w:tcBorders>
              <w:top w:val="nil"/>
              <w:left w:val="single" w:sz="4" w:space="0" w:color="auto"/>
              <w:bottom w:val="single" w:sz="4" w:space="0" w:color="auto"/>
              <w:right w:val="single" w:sz="4" w:space="0" w:color="auto"/>
            </w:tcBorders>
            <w:shd w:val="clear" w:color="auto" w:fill="auto"/>
            <w:vAlign w:val="center"/>
          </w:tcPr>
          <w:p w14:paraId="764E773F"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Febrero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B419A08"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Enero</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5EBEFF58" w14:textId="77777777" w:rsidR="00651355" w:rsidRPr="00AF7C3F" w:rsidRDefault="00651355" w:rsidP="00651355">
            <w:pPr>
              <w:jc w:val="center"/>
              <w:rPr>
                <w:rFonts w:eastAsia="Calibri"/>
                <w:b/>
                <w:sz w:val="20"/>
                <w:szCs w:val="20"/>
                <w:lang w:eastAsia="en-US"/>
              </w:rPr>
            </w:pPr>
            <w:r w:rsidRPr="00AF7C3F">
              <w:rPr>
                <w:rFonts w:eastAsia="Calibri"/>
                <w:b/>
                <w:sz w:val="20"/>
                <w:szCs w:val="20"/>
                <w:lang w:eastAsia="en-US"/>
              </w:rPr>
              <w:t>Febrero</w:t>
            </w:r>
          </w:p>
        </w:tc>
        <w:tc>
          <w:tcPr>
            <w:tcW w:w="1101" w:type="dxa"/>
            <w:tcBorders>
              <w:top w:val="single" w:sz="4" w:space="0" w:color="auto"/>
              <w:left w:val="single" w:sz="4" w:space="0" w:color="auto"/>
              <w:bottom w:val="single" w:sz="4" w:space="0" w:color="auto"/>
              <w:right w:val="single" w:sz="4" w:space="0" w:color="auto"/>
            </w:tcBorders>
            <w:shd w:val="clear" w:color="auto" w:fill="auto"/>
          </w:tcPr>
          <w:p w14:paraId="6056B606" w14:textId="77777777" w:rsidR="00651355" w:rsidRPr="00AF7C3F" w:rsidRDefault="00651355" w:rsidP="00651355">
            <w:pPr>
              <w:jc w:val="center"/>
              <w:rPr>
                <w:rFonts w:eastAsia="Calibri"/>
                <w:b/>
                <w:sz w:val="18"/>
                <w:szCs w:val="18"/>
                <w:lang w:eastAsia="en-US"/>
              </w:rPr>
            </w:pPr>
            <w:r w:rsidRPr="00AF7C3F">
              <w:rPr>
                <w:rFonts w:eastAsia="Calibri"/>
                <w:b/>
                <w:sz w:val="18"/>
                <w:szCs w:val="18"/>
                <w:lang w:eastAsia="en-US"/>
              </w:rPr>
              <w:t>Anual</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tcPr>
          <w:p w14:paraId="7991E2F6" w14:textId="77777777" w:rsidR="00651355" w:rsidRPr="00AF7C3F" w:rsidRDefault="00651355" w:rsidP="00651355">
            <w:pPr>
              <w:jc w:val="center"/>
              <w:rPr>
                <w:rFonts w:eastAsia="Calibri"/>
                <w:b/>
                <w:bCs/>
                <w:sz w:val="18"/>
                <w:szCs w:val="18"/>
                <w:lang w:eastAsia="en-US"/>
              </w:rPr>
            </w:pPr>
            <w:r w:rsidRPr="00AF7C3F">
              <w:rPr>
                <w:rFonts w:eastAsia="Calibri"/>
                <w:b/>
                <w:bCs/>
                <w:sz w:val="18"/>
                <w:szCs w:val="18"/>
                <w:lang w:eastAsia="en-US"/>
              </w:rPr>
              <w:t>Mensual</w:t>
            </w:r>
          </w:p>
        </w:tc>
      </w:tr>
      <w:tr w:rsidR="00651355" w:rsidRPr="00651355" w14:paraId="52E9EB58" w14:textId="77777777" w:rsidTr="00845A3F">
        <w:tc>
          <w:tcPr>
            <w:tcW w:w="3472" w:type="dxa"/>
            <w:tcBorders>
              <w:top w:val="single" w:sz="4" w:space="0" w:color="auto"/>
              <w:left w:val="single" w:sz="4" w:space="0" w:color="auto"/>
              <w:bottom w:val="nil"/>
              <w:right w:val="single" w:sz="4" w:space="0" w:color="auto"/>
            </w:tcBorders>
            <w:shd w:val="clear" w:color="auto" w:fill="auto"/>
          </w:tcPr>
          <w:p w14:paraId="2727DC96" w14:textId="77777777" w:rsidR="00651355" w:rsidRPr="00AF7C3F" w:rsidRDefault="00651355" w:rsidP="00651355">
            <w:pPr>
              <w:spacing w:before="120" w:after="40"/>
              <w:jc w:val="center"/>
              <w:rPr>
                <w:rFonts w:eastAsia="Calibri"/>
                <w:bCs/>
                <w:sz w:val="18"/>
                <w:szCs w:val="18"/>
                <w:lang w:val="en-US" w:eastAsia="en-US"/>
              </w:rPr>
            </w:pPr>
            <w:r w:rsidRPr="00AF7C3F">
              <w:rPr>
                <w:rFonts w:eastAsia="Calibri"/>
                <w:bCs/>
                <w:sz w:val="18"/>
                <w:szCs w:val="18"/>
                <w:lang w:val="en-US" w:eastAsia="en-US"/>
              </w:rPr>
              <w:t xml:space="preserve">ROA </w:t>
            </w:r>
            <w:r w:rsidRPr="00AF7C3F">
              <w:rPr>
                <w:rFonts w:eastAsia="Calibri"/>
                <w:bCs/>
                <w:sz w:val="18"/>
                <w:szCs w:val="18"/>
                <w:u w:val="single"/>
                <w:vertAlign w:val="superscript"/>
                <w:lang w:val="en-US" w:eastAsia="en-US"/>
              </w:rPr>
              <w:t>1/</w:t>
            </w:r>
          </w:p>
        </w:tc>
        <w:tc>
          <w:tcPr>
            <w:tcW w:w="1101" w:type="dxa"/>
            <w:tcBorders>
              <w:top w:val="single" w:sz="4" w:space="0" w:color="auto"/>
              <w:left w:val="single" w:sz="4" w:space="0" w:color="auto"/>
              <w:bottom w:val="nil"/>
              <w:right w:val="single" w:sz="4" w:space="0" w:color="auto"/>
            </w:tcBorders>
            <w:shd w:val="clear" w:color="auto" w:fill="auto"/>
          </w:tcPr>
          <w:p w14:paraId="3F462728"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1.51</w:t>
            </w:r>
          </w:p>
        </w:tc>
        <w:tc>
          <w:tcPr>
            <w:tcW w:w="1101" w:type="dxa"/>
            <w:tcBorders>
              <w:top w:val="single" w:sz="4" w:space="0" w:color="auto"/>
              <w:left w:val="single" w:sz="4" w:space="0" w:color="auto"/>
              <w:bottom w:val="nil"/>
              <w:right w:val="single" w:sz="4" w:space="0" w:color="auto"/>
            </w:tcBorders>
            <w:shd w:val="clear" w:color="auto" w:fill="auto"/>
          </w:tcPr>
          <w:p w14:paraId="0158FA02"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1.36</w:t>
            </w:r>
          </w:p>
        </w:tc>
        <w:tc>
          <w:tcPr>
            <w:tcW w:w="1101" w:type="dxa"/>
            <w:tcBorders>
              <w:top w:val="single" w:sz="4" w:space="0" w:color="auto"/>
              <w:left w:val="single" w:sz="4" w:space="0" w:color="auto"/>
              <w:bottom w:val="nil"/>
              <w:right w:val="single" w:sz="4" w:space="0" w:color="auto"/>
            </w:tcBorders>
            <w:shd w:val="clear" w:color="auto" w:fill="auto"/>
          </w:tcPr>
          <w:p w14:paraId="4D7BD559"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1.34</w:t>
            </w:r>
          </w:p>
        </w:tc>
        <w:tc>
          <w:tcPr>
            <w:tcW w:w="1101" w:type="dxa"/>
            <w:tcBorders>
              <w:top w:val="single" w:sz="4" w:space="0" w:color="auto"/>
              <w:left w:val="single" w:sz="4" w:space="0" w:color="auto"/>
              <w:bottom w:val="nil"/>
              <w:right w:val="single" w:sz="4" w:space="0" w:color="auto"/>
            </w:tcBorders>
            <w:shd w:val="clear" w:color="auto" w:fill="auto"/>
          </w:tcPr>
          <w:p w14:paraId="22B4A122" w14:textId="77777777" w:rsidR="00651355" w:rsidRPr="00AF7C3F" w:rsidRDefault="00651355" w:rsidP="00651355">
            <w:pPr>
              <w:spacing w:before="120" w:after="40"/>
              <w:ind w:right="227"/>
              <w:jc w:val="right"/>
              <w:rPr>
                <w:rFonts w:eastAsia="Calibri"/>
                <w:sz w:val="18"/>
                <w:szCs w:val="18"/>
                <w:lang w:val="en-US" w:eastAsia="en-US"/>
              </w:rPr>
            </w:pPr>
            <w:r w:rsidRPr="00AF7C3F">
              <w:rPr>
                <w:rFonts w:eastAsia="Calibri"/>
                <w:sz w:val="18"/>
                <w:szCs w:val="18"/>
                <w:lang w:val="en-US" w:eastAsia="en-US"/>
              </w:rPr>
              <w:t>-0.17</w:t>
            </w:r>
          </w:p>
        </w:tc>
        <w:tc>
          <w:tcPr>
            <w:tcW w:w="1102" w:type="dxa"/>
            <w:gridSpan w:val="2"/>
            <w:tcBorders>
              <w:top w:val="single" w:sz="4" w:space="0" w:color="auto"/>
              <w:left w:val="single" w:sz="4" w:space="0" w:color="auto"/>
              <w:bottom w:val="nil"/>
              <w:right w:val="single" w:sz="4" w:space="0" w:color="auto"/>
            </w:tcBorders>
            <w:shd w:val="clear" w:color="auto" w:fill="auto"/>
          </w:tcPr>
          <w:p w14:paraId="06966694" w14:textId="77777777" w:rsidR="00651355" w:rsidRPr="00AF7C3F" w:rsidRDefault="00651355" w:rsidP="00651355">
            <w:pPr>
              <w:spacing w:before="120" w:after="40"/>
              <w:ind w:right="227"/>
              <w:jc w:val="right"/>
              <w:rPr>
                <w:rFonts w:eastAsia="Calibri"/>
                <w:bCs/>
                <w:sz w:val="18"/>
                <w:szCs w:val="18"/>
                <w:lang w:val="en-US" w:eastAsia="en-US"/>
              </w:rPr>
            </w:pPr>
            <w:r w:rsidRPr="00AF7C3F">
              <w:rPr>
                <w:rFonts w:eastAsia="Calibri"/>
                <w:bCs/>
                <w:sz w:val="18"/>
                <w:szCs w:val="18"/>
                <w:lang w:val="en-US" w:eastAsia="en-US"/>
              </w:rPr>
              <w:t>-0.02</w:t>
            </w:r>
          </w:p>
        </w:tc>
      </w:tr>
      <w:tr w:rsidR="00651355" w:rsidRPr="00651355" w14:paraId="2FB2F723" w14:textId="77777777" w:rsidTr="00845A3F">
        <w:tc>
          <w:tcPr>
            <w:tcW w:w="3472" w:type="dxa"/>
            <w:tcBorders>
              <w:top w:val="nil"/>
              <w:left w:val="single" w:sz="4" w:space="0" w:color="auto"/>
              <w:bottom w:val="single" w:sz="4" w:space="0" w:color="auto"/>
              <w:right w:val="single" w:sz="4" w:space="0" w:color="auto"/>
            </w:tcBorders>
            <w:shd w:val="clear" w:color="auto" w:fill="auto"/>
          </w:tcPr>
          <w:p w14:paraId="72F675EB" w14:textId="77777777" w:rsidR="00651355" w:rsidRPr="00AF7C3F" w:rsidRDefault="00651355" w:rsidP="00651355">
            <w:pPr>
              <w:spacing w:before="40" w:after="120"/>
              <w:jc w:val="center"/>
              <w:rPr>
                <w:rFonts w:eastAsia="Calibri"/>
                <w:bCs/>
                <w:sz w:val="18"/>
                <w:szCs w:val="18"/>
                <w:lang w:val="en-US" w:eastAsia="en-US"/>
              </w:rPr>
            </w:pPr>
            <w:r w:rsidRPr="00AF7C3F">
              <w:rPr>
                <w:rFonts w:eastAsia="Calibri"/>
                <w:bCs/>
                <w:sz w:val="18"/>
                <w:szCs w:val="18"/>
                <w:lang w:val="en-US" w:eastAsia="en-US"/>
              </w:rPr>
              <w:t xml:space="preserve">ROE </w:t>
            </w:r>
            <w:r w:rsidRPr="00AF7C3F">
              <w:rPr>
                <w:rFonts w:eastAsia="Calibri"/>
                <w:bCs/>
                <w:sz w:val="18"/>
                <w:szCs w:val="18"/>
                <w:u w:val="single"/>
                <w:vertAlign w:val="superscript"/>
                <w:lang w:val="en-US" w:eastAsia="en-US"/>
              </w:rPr>
              <w:t>2</w:t>
            </w:r>
            <w:r w:rsidRPr="00AF7C3F">
              <w:rPr>
                <w:rFonts w:eastAsia="Calibri"/>
                <w:bCs/>
                <w:sz w:val="18"/>
                <w:szCs w:val="18"/>
                <w:vertAlign w:val="superscript"/>
                <w:lang w:val="en-US" w:eastAsia="en-US"/>
              </w:rPr>
              <w:t>/</w:t>
            </w:r>
          </w:p>
        </w:tc>
        <w:tc>
          <w:tcPr>
            <w:tcW w:w="1101" w:type="dxa"/>
            <w:tcBorders>
              <w:top w:val="nil"/>
              <w:left w:val="single" w:sz="4" w:space="0" w:color="auto"/>
              <w:bottom w:val="single" w:sz="4" w:space="0" w:color="auto"/>
              <w:right w:val="single" w:sz="4" w:space="0" w:color="auto"/>
            </w:tcBorders>
            <w:shd w:val="clear" w:color="auto" w:fill="auto"/>
          </w:tcPr>
          <w:p w14:paraId="7416A83C"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14.09</w:t>
            </w:r>
          </w:p>
        </w:tc>
        <w:tc>
          <w:tcPr>
            <w:tcW w:w="1101" w:type="dxa"/>
            <w:tcBorders>
              <w:top w:val="nil"/>
              <w:left w:val="single" w:sz="4" w:space="0" w:color="auto"/>
              <w:bottom w:val="single" w:sz="4" w:space="0" w:color="auto"/>
              <w:right w:val="single" w:sz="4" w:space="0" w:color="auto"/>
            </w:tcBorders>
            <w:shd w:val="clear" w:color="auto" w:fill="auto"/>
          </w:tcPr>
          <w:p w14:paraId="24410D58"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12.97</w:t>
            </w:r>
          </w:p>
        </w:tc>
        <w:tc>
          <w:tcPr>
            <w:tcW w:w="1101" w:type="dxa"/>
            <w:tcBorders>
              <w:top w:val="nil"/>
              <w:left w:val="single" w:sz="4" w:space="0" w:color="auto"/>
              <w:bottom w:val="single" w:sz="4" w:space="0" w:color="auto"/>
              <w:right w:val="single" w:sz="4" w:space="0" w:color="auto"/>
            </w:tcBorders>
            <w:shd w:val="clear" w:color="auto" w:fill="auto"/>
          </w:tcPr>
          <w:p w14:paraId="6EA9B312"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12.76</w:t>
            </w:r>
          </w:p>
        </w:tc>
        <w:tc>
          <w:tcPr>
            <w:tcW w:w="1101" w:type="dxa"/>
            <w:tcBorders>
              <w:top w:val="nil"/>
              <w:left w:val="single" w:sz="4" w:space="0" w:color="auto"/>
              <w:bottom w:val="single" w:sz="4" w:space="0" w:color="auto"/>
              <w:right w:val="single" w:sz="4" w:space="0" w:color="auto"/>
            </w:tcBorders>
            <w:shd w:val="clear" w:color="auto" w:fill="auto"/>
          </w:tcPr>
          <w:p w14:paraId="7F47AC07" w14:textId="77777777" w:rsidR="00651355" w:rsidRPr="00AF7C3F" w:rsidRDefault="00651355" w:rsidP="00651355">
            <w:pPr>
              <w:spacing w:before="40" w:after="120"/>
              <w:ind w:right="227"/>
              <w:jc w:val="right"/>
              <w:rPr>
                <w:rFonts w:eastAsia="Calibri"/>
                <w:sz w:val="18"/>
                <w:szCs w:val="18"/>
                <w:lang w:val="en-US" w:eastAsia="en-US"/>
              </w:rPr>
            </w:pPr>
            <w:r w:rsidRPr="00AF7C3F">
              <w:rPr>
                <w:rFonts w:eastAsia="Calibri"/>
                <w:sz w:val="18"/>
                <w:szCs w:val="18"/>
                <w:lang w:val="en-US" w:eastAsia="en-US"/>
              </w:rPr>
              <w:t>-1.33</w:t>
            </w:r>
          </w:p>
        </w:tc>
        <w:tc>
          <w:tcPr>
            <w:tcW w:w="1102" w:type="dxa"/>
            <w:gridSpan w:val="2"/>
            <w:tcBorders>
              <w:top w:val="nil"/>
              <w:left w:val="single" w:sz="4" w:space="0" w:color="auto"/>
              <w:bottom w:val="single" w:sz="4" w:space="0" w:color="auto"/>
              <w:right w:val="single" w:sz="4" w:space="0" w:color="auto"/>
            </w:tcBorders>
            <w:shd w:val="clear" w:color="auto" w:fill="auto"/>
          </w:tcPr>
          <w:p w14:paraId="7B9F775C" w14:textId="77777777" w:rsidR="00651355" w:rsidRPr="00AF7C3F" w:rsidRDefault="00651355" w:rsidP="00651355">
            <w:pPr>
              <w:spacing w:before="40" w:after="120"/>
              <w:ind w:right="227"/>
              <w:jc w:val="right"/>
              <w:rPr>
                <w:rFonts w:eastAsia="Calibri"/>
                <w:bCs/>
                <w:sz w:val="18"/>
                <w:szCs w:val="18"/>
                <w:lang w:val="en-US" w:eastAsia="en-US"/>
              </w:rPr>
            </w:pPr>
            <w:r w:rsidRPr="00AF7C3F">
              <w:rPr>
                <w:rFonts w:eastAsia="Calibri"/>
                <w:bCs/>
                <w:sz w:val="18"/>
                <w:szCs w:val="18"/>
                <w:lang w:val="en-US" w:eastAsia="en-US"/>
              </w:rPr>
              <w:t>-0.21</w:t>
            </w:r>
          </w:p>
        </w:tc>
      </w:tr>
      <w:tr w:rsidR="00AF7C3F" w:rsidRPr="00AF7C3F" w14:paraId="569216EC" w14:textId="77777777" w:rsidTr="00AF7C3F">
        <w:trPr>
          <w:gridAfter w:val="1"/>
          <w:wAfter w:w="47" w:type="dxa"/>
        </w:trPr>
        <w:tc>
          <w:tcPr>
            <w:tcW w:w="8931" w:type="dxa"/>
            <w:gridSpan w:val="6"/>
            <w:tcBorders>
              <w:top w:val="nil"/>
              <w:left w:val="nil"/>
              <w:bottom w:val="nil"/>
              <w:right w:val="nil"/>
            </w:tcBorders>
            <w:shd w:val="clear" w:color="auto" w:fill="auto"/>
          </w:tcPr>
          <w:p w14:paraId="7FBFD726" w14:textId="77777777" w:rsidR="00651355" w:rsidRPr="00AF7C3F" w:rsidRDefault="00651355" w:rsidP="00651355">
            <w:pPr>
              <w:spacing w:before="120"/>
              <w:jc w:val="both"/>
              <w:rPr>
                <w:rFonts w:eastAsia="Calibri"/>
                <w:bCs/>
                <w:sz w:val="18"/>
                <w:szCs w:val="18"/>
                <w:lang w:eastAsia="en-US"/>
              </w:rPr>
            </w:pPr>
            <w:r w:rsidRPr="00AF7C3F">
              <w:rPr>
                <w:rFonts w:eastAsia="Calibri"/>
                <w:bCs/>
                <w:sz w:val="18"/>
                <w:szCs w:val="18"/>
                <w:u w:val="single"/>
                <w:lang w:eastAsia="en-US"/>
              </w:rPr>
              <w:t>1</w:t>
            </w:r>
            <w:r w:rsidRPr="00AF7C3F">
              <w:rPr>
                <w:rFonts w:eastAsia="Calibri"/>
                <w:bCs/>
                <w:sz w:val="18"/>
                <w:szCs w:val="18"/>
                <w:lang w:eastAsia="en-US"/>
              </w:rPr>
              <w:t>/  ROA = Resultado neto (flujo 12 meses) / Activo total promedio 12 meses.</w:t>
            </w:r>
          </w:p>
          <w:p w14:paraId="7DADBA0C" w14:textId="77777777" w:rsidR="00651355" w:rsidRPr="00AF7C3F" w:rsidRDefault="00651355" w:rsidP="00651355">
            <w:pPr>
              <w:jc w:val="both"/>
              <w:rPr>
                <w:rFonts w:eastAsia="Calibri"/>
                <w:bCs/>
                <w:sz w:val="18"/>
                <w:szCs w:val="18"/>
                <w:lang w:eastAsia="en-US"/>
              </w:rPr>
            </w:pPr>
            <w:r w:rsidRPr="00AF7C3F">
              <w:rPr>
                <w:rFonts w:eastAsia="Calibri"/>
                <w:bCs/>
                <w:sz w:val="18"/>
                <w:szCs w:val="18"/>
                <w:u w:val="single"/>
                <w:lang w:eastAsia="en-US"/>
              </w:rPr>
              <w:t>2</w:t>
            </w:r>
            <w:r w:rsidRPr="00AF7C3F">
              <w:rPr>
                <w:rFonts w:eastAsia="Calibri"/>
                <w:bCs/>
                <w:sz w:val="18"/>
                <w:szCs w:val="18"/>
                <w:lang w:eastAsia="en-US"/>
              </w:rPr>
              <w:t>/  ROE = Resultado neto (flujo 12 meses) / Capital contable promedio 12 meses.</w:t>
            </w:r>
          </w:p>
          <w:p w14:paraId="0CC75845" w14:textId="77777777" w:rsidR="00651355" w:rsidRPr="00AF7C3F" w:rsidRDefault="00651355" w:rsidP="00651355">
            <w:pPr>
              <w:jc w:val="both"/>
              <w:rPr>
                <w:rFonts w:eastAsia="Calibri"/>
                <w:bCs/>
                <w:sz w:val="18"/>
                <w:szCs w:val="18"/>
                <w:lang w:eastAsia="en-US"/>
              </w:rPr>
            </w:pPr>
            <w:r w:rsidRPr="00AF7C3F">
              <w:rPr>
                <w:rFonts w:eastAsia="Calibri"/>
                <w:bCs/>
                <w:sz w:val="18"/>
                <w:szCs w:val="18"/>
                <w:lang w:eastAsia="en-US"/>
              </w:rPr>
              <w:t>FUENTE: CNBV.</w:t>
            </w:r>
          </w:p>
        </w:tc>
      </w:tr>
    </w:tbl>
    <w:p w14:paraId="3D863CFE" w14:textId="77777777" w:rsidR="00651355" w:rsidRPr="00651355" w:rsidRDefault="00651355" w:rsidP="00651355">
      <w:pPr>
        <w:spacing w:after="360" w:line="360" w:lineRule="auto"/>
        <w:ind w:right="-159"/>
        <w:jc w:val="both"/>
        <w:rPr>
          <w:rFonts w:eastAsia="Calibri"/>
          <w:sz w:val="26"/>
          <w:szCs w:val="26"/>
          <w:lang w:eastAsia="en-US"/>
        </w:rPr>
      </w:pPr>
    </w:p>
    <w:p w14:paraId="61DEAD45"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Evaluación de la calidad de la información</w:t>
      </w:r>
    </w:p>
    <w:p w14:paraId="36AA1778" w14:textId="77777777" w:rsidR="00651355" w:rsidRPr="00D3436F" w:rsidRDefault="00651355" w:rsidP="00651355">
      <w:pPr>
        <w:spacing w:after="360" w:line="360" w:lineRule="auto"/>
        <w:ind w:right="-159"/>
        <w:jc w:val="both"/>
        <w:rPr>
          <w:rFonts w:eastAsia="Calibri"/>
          <w:b/>
          <w:sz w:val="26"/>
          <w:szCs w:val="26"/>
          <w:lang w:eastAsia="en-US"/>
        </w:rPr>
      </w:pPr>
      <w:r w:rsidRPr="00D3436F">
        <w:rPr>
          <w:rFonts w:eastAsia="Calibri"/>
          <w:b/>
          <w:sz w:val="26"/>
          <w:szCs w:val="26"/>
          <w:lang w:eastAsia="en-US"/>
        </w:rPr>
        <w:t>Situación financiera</w:t>
      </w:r>
    </w:p>
    <w:p w14:paraId="3653238C"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 xml:space="preserve">Durante el plazo de entrega de la información correspondiente al período de febrero de 2015, diez bancos presentaron inconsistencias. Se calificó en amarillo a Banco Ahorro Famsa, Banco Wal-Mart, Banorte/IXE, BBVA Bancomer, Dondé Banco, Forjadores y HSBC debido a que no cumplieron con los requerimientos mínimos de calidad establecidos por esta Comisión en la serie R04 A, relativa a la cartera de crédito. En los casos de Actinver y Bank of America, obtuvieron calificación amarilla por falta de </w:t>
      </w:r>
      <w:r w:rsidRPr="00651355">
        <w:rPr>
          <w:rFonts w:eastAsia="Calibri"/>
          <w:sz w:val="26"/>
          <w:szCs w:val="26"/>
          <w:lang w:eastAsia="en-US"/>
        </w:rPr>
        <w:lastRenderedPageBreak/>
        <w:t>cumplimiento con los requerimientos mínimos de calidad establecidos por esta Comisión aplicables a los reportes de la serie R12 A, referente a la consolidación de los estados financieros del banco con subsidiarias. De manera similar, Bancoppel fue calificado en amarillo ante el incumplimiento con los requerimientos mínimos de calidad establecidos por esta Comisión aplicables a los reportes de la serie R10, concerniente a reclasificaciones de cuentas.</w:t>
      </w:r>
    </w:p>
    <w:p w14:paraId="2E877A3E"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Consistencia con la información detallada de cartera</w:t>
      </w:r>
    </w:p>
    <w:p w14:paraId="1E6961D6" w14:textId="77777777" w:rsidR="00651355" w:rsidRPr="00D3436F" w:rsidRDefault="00651355" w:rsidP="00651355">
      <w:pPr>
        <w:spacing w:after="360" w:line="360" w:lineRule="auto"/>
        <w:ind w:right="-159"/>
        <w:jc w:val="both"/>
        <w:rPr>
          <w:rFonts w:eastAsia="Calibri"/>
          <w:b/>
          <w:sz w:val="26"/>
          <w:szCs w:val="26"/>
          <w:lang w:eastAsia="en-US"/>
        </w:rPr>
      </w:pPr>
      <w:r w:rsidRPr="00D3436F">
        <w:rPr>
          <w:rFonts w:eastAsia="Calibri"/>
          <w:b/>
          <w:sz w:val="26"/>
          <w:szCs w:val="26"/>
          <w:lang w:eastAsia="en-US"/>
        </w:rPr>
        <w:t>Cartera comercial: Reportes de pérdida incurrida</w:t>
      </w:r>
    </w:p>
    <w:p w14:paraId="4BDB02E4"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En lo que respecta a la consistencia de los saldos recibidos en los reportes de situación financiera y los que se obtienen con la información a detalle de cada crédito para febrero de 2015, se califican en rojo a Banorte e Intercam Banco por tener una diferencia absoluta mayor al 1 por ciento.</w:t>
      </w:r>
    </w:p>
    <w:p w14:paraId="2C0ACEDA" w14:textId="77777777" w:rsidR="00651355" w:rsidRPr="00D3436F" w:rsidRDefault="00651355" w:rsidP="00651355">
      <w:pPr>
        <w:spacing w:after="360" w:line="360" w:lineRule="auto"/>
        <w:ind w:right="-159"/>
        <w:jc w:val="both"/>
        <w:rPr>
          <w:rFonts w:eastAsia="Calibri"/>
          <w:b/>
          <w:sz w:val="26"/>
          <w:szCs w:val="26"/>
          <w:lang w:eastAsia="en-US"/>
        </w:rPr>
      </w:pPr>
      <w:r w:rsidRPr="00D3436F">
        <w:rPr>
          <w:rFonts w:eastAsia="Calibri"/>
          <w:b/>
          <w:sz w:val="26"/>
          <w:szCs w:val="26"/>
          <w:lang w:eastAsia="en-US"/>
        </w:rPr>
        <w:t>Cartera comercial: Reportes de pérdida esperada</w:t>
      </w:r>
    </w:p>
    <w:p w14:paraId="35AE5BDC"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En cuanto a esta información correspondiente a febrero de 2015, siete bancos presentaron inconsistencias. La calificación en color amarillo es para aquellas instituciones que presentan una diferencia absoluta entre las cifras de los reportes de situación financiera y el de información detallada de 1% y la calificación en rojo para los que tienen una diferencia absoluta mayor a 3% o no entregaron los reportes en tiempo.</w:t>
      </w:r>
    </w:p>
    <w:p w14:paraId="7D06D884" w14:textId="59A9DA4A"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Cabe destacar que, desde que entraron en vigor los reportes detallados de cartera comercial con la metodología de calificación de pérdida esperada</w:t>
      </w:r>
      <w:r w:rsidR="00D3436F">
        <w:rPr>
          <w:rFonts w:eastAsia="Calibri"/>
          <w:sz w:val="26"/>
          <w:szCs w:val="26"/>
          <w:lang w:eastAsia="en-US"/>
        </w:rPr>
        <w:t>,</w:t>
      </w:r>
      <w:r w:rsidRPr="00651355">
        <w:rPr>
          <w:rFonts w:eastAsia="Calibri"/>
          <w:sz w:val="26"/>
          <w:szCs w:val="26"/>
          <w:lang w:eastAsia="en-US"/>
        </w:rPr>
        <w:t xml:space="preserve"> Scotiabank los ha entregado parcialmente, sin haber entregado alguno desde julio de 2014, esa institución está calificada en rojo.</w:t>
      </w:r>
    </w:p>
    <w:p w14:paraId="0AAD38BE"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lastRenderedPageBreak/>
        <w:t>Por tipo de cartera, se calificó en rojo a Banco Ahorro Famsa y a Banco Azteca en cartera empresarial. Para la cartera de entidades financieras, se asignó una evaluación en rojo a Banco Azteca. En el caso de la cartera a estados y municipios Bansí fue calificado en rojo. Adicionalmente en la cartera de gobierno federal y organismos desconcentrados, se calificó en rojo a Banamex y Bansí.</w:t>
      </w:r>
    </w:p>
    <w:p w14:paraId="32667D02" w14:textId="77777777" w:rsidR="00651355" w:rsidRPr="00651355" w:rsidRDefault="00651355" w:rsidP="00651355">
      <w:pPr>
        <w:spacing w:after="360" w:line="360" w:lineRule="auto"/>
        <w:ind w:right="-159"/>
        <w:jc w:val="both"/>
        <w:rPr>
          <w:rFonts w:eastAsia="Calibri"/>
          <w:b/>
          <w:sz w:val="26"/>
          <w:szCs w:val="26"/>
          <w:lang w:eastAsia="en-US"/>
        </w:rPr>
      </w:pPr>
      <w:r w:rsidRPr="00651355">
        <w:rPr>
          <w:rFonts w:eastAsia="Calibri"/>
          <w:b/>
          <w:sz w:val="26"/>
          <w:szCs w:val="26"/>
          <w:lang w:eastAsia="en-US"/>
        </w:rPr>
        <w:t>Cartera a la vivienda</w:t>
      </w:r>
    </w:p>
    <w:p w14:paraId="20D6811B" w14:textId="2601FD33"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 xml:space="preserve">En lo que respecta a la consistencia entre los saldos recibidos en los reportes de situación financiera y los que se obtienen con la información a detalle de cada crédito, Banorte obtuvo una calificación en rojo por tener una diferencia absoluta mayor al </w:t>
      </w:r>
      <w:r w:rsidR="00D3436F">
        <w:rPr>
          <w:rFonts w:eastAsia="Calibri"/>
          <w:sz w:val="26"/>
          <w:szCs w:val="26"/>
          <w:lang w:eastAsia="en-US"/>
        </w:rPr>
        <w:t>un</w:t>
      </w:r>
      <w:r w:rsidR="00922A0D">
        <w:rPr>
          <w:rFonts w:eastAsia="Calibri"/>
          <w:sz w:val="26"/>
          <w:szCs w:val="26"/>
          <w:lang w:eastAsia="en-US"/>
        </w:rPr>
        <w:t xml:space="preserve">o </w:t>
      </w:r>
      <w:r w:rsidRPr="00651355">
        <w:rPr>
          <w:rFonts w:eastAsia="Calibri"/>
          <w:sz w:val="26"/>
          <w:szCs w:val="26"/>
          <w:lang w:eastAsia="en-US"/>
        </w:rPr>
        <w:t>por ciento.</w:t>
      </w:r>
    </w:p>
    <w:p w14:paraId="6023B84E"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Para todos los casos anteriores se recomiendan reservas en el uso de su información.</w:t>
      </w:r>
    </w:p>
    <w:p w14:paraId="55627DD3" w14:textId="77777777" w:rsidR="00651355" w:rsidRPr="00651355" w:rsidRDefault="00651355" w:rsidP="00651355">
      <w:pPr>
        <w:spacing w:after="360" w:line="360" w:lineRule="auto"/>
        <w:ind w:right="-159"/>
        <w:jc w:val="both"/>
        <w:rPr>
          <w:rFonts w:eastAsia="Calibri"/>
          <w:sz w:val="26"/>
          <w:szCs w:val="26"/>
          <w:lang w:eastAsia="en-US"/>
        </w:rPr>
      </w:pPr>
      <w:r w:rsidRPr="00651355">
        <w:rPr>
          <w:rFonts w:eastAsia="Calibri"/>
          <w:sz w:val="26"/>
          <w:szCs w:val="26"/>
          <w:lang w:eastAsia="en-US"/>
        </w:rPr>
        <w:t>Esta Comisión evalúa continuamente la calidad de la información que envían las instituciones a través de los distintos reportes regulatorios. En este sentido, es importante que los usuarios consideren que en línea con los estándares de calidad el semáforo de calidad puede ser modificado</w:t>
      </w:r>
      <w:r w:rsidRPr="00651355">
        <w:rPr>
          <w:rFonts w:eastAsia="Calibri"/>
          <w:sz w:val="26"/>
          <w:szCs w:val="26"/>
          <w:vertAlign w:val="superscript"/>
          <w:lang w:eastAsia="en-US"/>
        </w:rPr>
        <w:footnoteReference w:id="32"/>
      </w:r>
      <w:r w:rsidRPr="00651355">
        <w:rPr>
          <w:rFonts w:eastAsia="Calibri"/>
          <w:sz w:val="26"/>
          <w:szCs w:val="26"/>
          <w:lang w:eastAsia="en-US"/>
        </w:rPr>
        <w:t>.</w:t>
      </w:r>
    </w:p>
    <w:p w14:paraId="3E81DA4C" w14:textId="77777777" w:rsidR="00651355" w:rsidRPr="00651355" w:rsidRDefault="00651355" w:rsidP="00651355">
      <w:pPr>
        <w:spacing w:after="360" w:line="360" w:lineRule="auto"/>
        <w:ind w:right="-159"/>
        <w:jc w:val="both"/>
        <w:rPr>
          <w:rFonts w:eastAsia="Calibri"/>
          <w:sz w:val="26"/>
          <w:szCs w:val="26"/>
          <w:lang w:eastAsia="en-US"/>
        </w:rPr>
      </w:pPr>
    </w:p>
    <w:p w14:paraId="16A07CDD" w14:textId="77777777" w:rsidR="00651355" w:rsidRPr="00651355" w:rsidRDefault="00651355" w:rsidP="00651355">
      <w:pPr>
        <w:spacing w:after="360" w:line="360" w:lineRule="auto"/>
        <w:ind w:right="-159"/>
        <w:jc w:val="both"/>
        <w:rPr>
          <w:rFonts w:eastAsia="Calibri"/>
          <w:sz w:val="26"/>
          <w:szCs w:val="26"/>
          <w:lang w:eastAsia="en-US"/>
        </w:rPr>
      </w:pPr>
    </w:p>
    <w:p w14:paraId="25E2E94D" w14:textId="77777777" w:rsidR="00651355" w:rsidRPr="00651355" w:rsidRDefault="00651355" w:rsidP="00651355">
      <w:pPr>
        <w:spacing w:after="360" w:line="360" w:lineRule="auto"/>
        <w:ind w:right="-159"/>
        <w:jc w:val="both"/>
        <w:rPr>
          <w:rFonts w:eastAsia="Calibri"/>
          <w:sz w:val="26"/>
          <w:szCs w:val="26"/>
          <w:lang w:eastAsia="en-US"/>
        </w:rPr>
      </w:pPr>
    </w:p>
    <w:p w14:paraId="0D1CFF99" w14:textId="77777777" w:rsidR="00651355" w:rsidRPr="00651355" w:rsidRDefault="00651355" w:rsidP="00651355">
      <w:pPr>
        <w:ind w:right="-159"/>
        <w:jc w:val="both"/>
        <w:rPr>
          <w:rFonts w:eastAsia="Calibri"/>
          <w:sz w:val="26"/>
          <w:szCs w:val="26"/>
          <w:lang w:eastAsia="en-US"/>
        </w:rPr>
      </w:pPr>
    </w:p>
    <w:p w14:paraId="2C865525" w14:textId="77777777" w:rsidR="00651355" w:rsidRPr="00651355" w:rsidRDefault="00651355" w:rsidP="00651355">
      <w:pPr>
        <w:ind w:right="-159"/>
        <w:jc w:val="both"/>
        <w:rPr>
          <w:rFonts w:eastAsia="Calibri"/>
          <w:sz w:val="26"/>
          <w:szCs w:val="26"/>
          <w:lang w:eastAsia="en-US"/>
        </w:rPr>
      </w:pPr>
    </w:p>
    <w:p w14:paraId="387D27A3" w14:textId="77777777" w:rsidR="00651355" w:rsidRPr="00651355" w:rsidRDefault="00651355" w:rsidP="00651355">
      <w:pPr>
        <w:ind w:right="-159"/>
        <w:jc w:val="both"/>
        <w:rPr>
          <w:rFonts w:eastAsia="Calibri"/>
          <w:sz w:val="26"/>
          <w:szCs w:val="26"/>
          <w:lang w:eastAsia="en-US"/>
        </w:rPr>
      </w:pPr>
    </w:p>
    <w:tbl>
      <w:tblPr>
        <w:tblStyle w:val="Tablaconcuadrcula"/>
        <w:tblW w:w="0" w:type="auto"/>
        <w:jc w:val="center"/>
        <w:tblLayout w:type="fixed"/>
        <w:tblLook w:val="04A0" w:firstRow="1" w:lastRow="0" w:firstColumn="1" w:lastColumn="0" w:noHBand="0" w:noVBand="1"/>
      </w:tblPr>
      <w:tblGrid>
        <w:gridCol w:w="421"/>
        <w:gridCol w:w="1842"/>
        <w:gridCol w:w="993"/>
        <w:gridCol w:w="796"/>
        <w:gridCol w:w="796"/>
        <w:gridCol w:w="796"/>
        <w:gridCol w:w="796"/>
        <w:gridCol w:w="796"/>
        <w:gridCol w:w="796"/>
        <w:gridCol w:w="796"/>
      </w:tblGrid>
      <w:tr w:rsidR="00A4176D" w:rsidRPr="00E30250" w14:paraId="251D0B62" w14:textId="77777777" w:rsidTr="00DC44B9">
        <w:trPr>
          <w:jc w:val="center"/>
        </w:trPr>
        <w:tc>
          <w:tcPr>
            <w:tcW w:w="8828" w:type="dxa"/>
            <w:gridSpan w:val="10"/>
            <w:tcBorders>
              <w:top w:val="nil"/>
              <w:left w:val="nil"/>
              <w:right w:val="nil"/>
            </w:tcBorders>
            <w:shd w:val="clear" w:color="auto" w:fill="FFFFFF" w:themeFill="background1"/>
            <w:vAlign w:val="center"/>
          </w:tcPr>
          <w:p w14:paraId="277BB9C6" w14:textId="77777777" w:rsidR="00A4176D" w:rsidRDefault="00A4176D" w:rsidP="00DC44B9">
            <w:pPr>
              <w:jc w:val="center"/>
              <w:rPr>
                <w:b/>
              </w:rPr>
            </w:pPr>
            <w:r>
              <w:rPr>
                <w:b/>
              </w:rPr>
              <w:lastRenderedPageBreak/>
              <w:t>FICHA DE EVALUACIÓN DE CALIDAD</w:t>
            </w:r>
          </w:p>
          <w:p w14:paraId="5092A6FD" w14:textId="77777777" w:rsidR="00A4176D" w:rsidRPr="004802D8" w:rsidRDefault="00A4176D" w:rsidP="00DC44B9">
            <w:pPr>
              <w:jc w:val="center"/>
              <w:rPr>
                <w:b/>
              </w:rPr>
            </w:pPr>
          </w:p>
        </w:tc>
      </w:tr>
      <w:tr w:rsidR="00A4176D" w:rsidRPr="00E30250" w14:paraId="03CC8A16" w14:textId="77777777" w:rsidTr="00DC44B9">
        <w:trPr>
          <w:jc w:val="center"/>
        </w:trPr>
        <w:tc>
          <w:tcPr>
            <w:tcW w:w="2263" w:type="dxa"/>
            <w:gridSpan w:val="2"/>
            <w:vMerge w:val="restart"/>
            <w:shd w:val="clear" w:color="auto" w:fill="D9D9D9" w:themeFill="background1" w:themeFillShade="D9"/>
            <w:vAlign w:val="center"/>
          </w:tcPr>
          <w:p w14:paraId="664A6F6A" w14:textId="77777777" w:rsidR="00A4176D" w:rsidRPr="00E30250" w:rsidRDefault="00A4176D" w:rsidP="00DC44B9">
            <w:pPr>
              <w:jc w:val="center"/>
              <w:rPr>
                <w:b/>
                <w:sz w:val="16"/>
                <w:szCs w:val="16"/>
              </w:rPr>
            </w:pPr>
            <w:r w:rsidRPr="00E30250">
              <w:rPr>
                <w:b/>
                <w:sz w:val="16"/>
                <w:szCs w:val="16"/>
              </w:rPr>
              <w:t>Institución</w:t>
            </w:r>
          </w:p>
        </w:tc>
        <w:tc>
          <w:tcPr>
            <w:tcW w:w="1789" w:type="dxa"/>
            <w:gridSpan w:val="2"/>
            <w:shd w:val="clear" w:color="auto" w:fill="D9D9D9" w:themeFill="background1" w:themeFillShade="D9"/>
            <w:vAlign w:val="center"/>
          </w:tcPr>
          <w:p w14:paraId="50A113EB" w14:textId="77777777" w:rsidR="00A4176D" w:rsidRPr="00E30250" w:rsidRDefault="00A4176D" w:rsidP="00DC44B9">
            <w:pPr>
              <w:jc w:val="center"/>
              <w:rPr>
                <w:b/>
                <w:sz w:val="16"/>
                <w:szCs w:val="16"/>
              </w:rPr>
            </w:pPr>
            <w:r>
              <w:rPr>
                <w:b/>
                <w:sz w:val="16"/>
                <w:szCs w:val="16"/>
              </w:rPr>
              <w:t>Información de Situación Financiera</w:t>
            </w:r>
          </w:p>
        </w:tc>
        <w:tc>
          <w:tcPr>
            <w:tcW w:w="4776" w:type="dxa"/>
            <w:gridSpan w:val="6"/>
            <w:shd w:val="clear" w:color="auto" w:fill="D9D9D9" w:themeFill="background1" w:themeFillShade="D9"/>
            <w:vAlign w:val="center"/>
          </w:tcPr>
          <w:p w14:paraId="4E85F31D" w14:textId="77777777" w:rsidR="00A4176D" w:rsidRPr="00E30250" w:rsidRDefault="00A4176D" w:rsidP="00DC44B9">
            <w:pPr>
              <w:jc w:val="center"/>
              <w:rPr>
                <w:b/>
                <w:sz w:val="16"/>
                <w:szCs w:val="16"/>
              </w:rPr>
            </w:pPr>
            <w:r>
              <w:rPr>
                <w:b/>
                <w:sz w:val="16"/>
                <w:szCs w:val="16"/>
              </w:rPr>
              <w:t>Consistencia de saldos entre los reportes de Situación Financiera y los detallados de Cartera</w:t>
            </w:r>
          </w:p>
        </w:tc>
      </w:tr>
      <w:tr w:rsidR="00A4176D" w:rsidRPr="00E30250" w14:paraId="6B4A0EA7" w14:textId="77777777" w:rsidTr="00DC44B9">
        <w:trPr>
          <w:cantSplit/>
          <w:trHeight w:val="1607"/>
          <w:jc w:val="center"/>
        </w:trPr>
        <w:tc>
          <w:tcPr>
            <w:tcW w:w="2263" w:type="dxa"/>
            <w:gridSpan w:val="2"/>
            <w:vMerge/>
            <w:tcBorders>
              <w:bottom w:val="single" w:sz="4" w:space="0" w:color="auto"/>
            </w:tcBorders>
            <w:shd w:val="clear" w:color="auto" w:fill="D9D9D9" w:themeFill="background1" w:themeFillShade="D9"/>
            <w:vAlign w:val="center"/>
          </w:tcPr>
          <w:p w14:paraId="58DA2CB5" w14:textId="77777777" w:rsidR="00A4176D" w:rsidRPr="00E30250" w:rsidRDefault="00A4176D" w:rsidP="00DC44B9">
            <w:pPr>
              <w:jc w:val="center"/>
              <w:rPr>
                <w:b/>
                <w:sz w:val="16"/>
                <w:szCs w:val="16"/>
              </w:rPr>
            </w:pPr>
          </w:p>
        </w:tc>
        <w:tc>
          <w:tcPr>
            <w:tcW w:w="993" w:type="dxa"/>
            <w:tcBorders>
              <w:bottom w:val="single" w:sz="4" w:space="0" w:color="auto"/>
            </w:tcBorders>
            <w:shd w:val="clear" w:color="auto" w:fill="D9D9D9" w:themeFill="background1" w:themeFillShade="D9"/>
            <w:textDirection w:val="btLr"/>
            <w:vAlign w:val="center"/>
          </w:tcPr>
          <w:p w14:paraId="44F1F6DE" w14:textId="77777777" w:rsidR="00A4176D" w:rsidRPr="00E30250" w:rsidRDefault="00A4176D" w:rsidP="00DC44B9">
            <w:pPr>
              <w:ind w:left="113" w:right="113"/>
              <w:jc w:val="center"/>
              <w:rPr>
                <w:b/>
                <w:sz w:val="16"/>
                <w:szCs w:val="16"/>
              </w:rPr>
            </w:pPr>
            <w:r w:rsidRPr="00E30250">
              <w:rPr>
                <w:b/>
                <w:sz w:val="16"/>
                <w:szCs w:val="16"/>
              </w:rPr>
              <w:t>Evaluación de hábitos de envío durante 2014</w:t>
            </w:r>
          </w:p>
        </w:tc>
        <w:tc>
          <w:tcPr>
            <w:tcW w:w="796" w:type="dxa"/>
            <w:tcBorders>
              <w:bottom w:val="single" w:sz="4" w:space="0" w:color="auto"/>
            </w:tcBorders>
            <w:shd w:val="clear" w:color="auto" w:fill="D9D9D9" w:themeFill="background1" w:themeFillShade="D9"/>
            <w:textDirection w:val="btLr"/>
            <w:vAlign w:val="center"/>
          </w:tcPr>
          <w:p w14:paraId="119877B2" w14:textId="77777777" w:rsidR="00A4176D" w:rsidRPr="00E30250" w:rsidRDefault="00A4176D" w:rsidP="00DC44B9">
            <w:pPr>
              <w:ind w:left="113" w:right="113"/>
              <w:jc w:val="center"/>
              <w:rPr>
                <w:b/>
                <w:sz w:val="16"/>
                <w:szCs w:val="16"/>
              </w:rPr>
            </w:pPr>
            <w:r w:rsidRPr="00E30250">
              <w:rPr>
                <w:b/>
                <w:sz w:val="16"/>
                <w:szCs w:val="16"/>
              </w:rPr>
              <w:t>Recomendación de uso</w:t>
            </w:r>
          </w:p>
        </w:tc>
        <w:tc>
          <w:tcPr>
            <w:tcW w:w="796" w:type="dxa"/>
            <w:tcBorders>
              <w:bottom w:val="single" w:sz="4" w:space="0" w:color="auto"/>
            </w:tcBorders>
            <w:shd w:val="clear" w:color="auto" w:fill="D9D9D9" w:themeFill="background1" w:themeFillShade="D9"/>
            <w:textDirection w:val="btLr"/>
            <w:vAlign w:val="center"/>
          </w:tcPr>
          <w:p w14:paraId="2134A15C" w14:textId="77777777" w:rsidR="00A4176D" w:rsidRDefault="00A4176D" w:rsidP="00DC44B9">
            <w:pPr>
              <w:ind w:left="113" w:right="113"/>
              <w:jc w:val="center"/>
              <w:rPr>
                <w:b/>
                <w:sz w:val="16"/>
                <w:szCs w:val="16"/>
              </w:rPr>
            </w:pPr>
            <w:r w:rsidRPr="00E30250">
              <w:rPr>
                <w:b/>
                <w:sz w:val="16"/>
                <w:szCs w:val="16"/>
              </w:rPr>
              <w:t xml:space="preserve">Comercial </w:t>
            </w:r>
          </w:p>
          <w:p w14:paraId="7B1F1B03" w14:textId="77777777" w:rsidR="00A4176D" w:rsidRPr="00E30250" w:rsidRDefault="00A4176D" w:rsidP="00DC44B9">
            <w:pPr>
              <w:ind w:left="113" w:right="113"/>
              <w:jc w:val="center"/>
              <w:rPr>
                <w:b/>
                <w:sz w:val="16"/>
                <w:szCs w:val="16"/>
              </w:rPr>
            </w:pPr>
            <w:r w:rsidRPr="00E30250">
              <w:rPr>
                <w:b/>
                <w:sz w:val="16"/>
                <w:szCs w:val="16"/>
              </w:rPr>
              <w:t>(Pérdida incurrida)</w:t>
            </w:r>
          </w:p>
        </w:tc>
        <w:tc>
          <w:tcPr>
            <w:tcW w:w="796" w:type="dxa"/>
            <w:tcBorders>
              <w:bottom w:val="single" w:sz="4" w:space="0" w:color="auto"/>
            </w:tcBorders>
            <w:shd w:val="clear" w:color="auto" w:fill="D9D9D9" w:themeFill="background1" w:themeFillShade="D9"/>
            <w:textDirection w:val="btLr"/>
            <w:vAlign w:val="center"/>
          </w:tcPr>
          <w:p w14:paraId="735C4510" w14:textId="77777777" w:rsidR="00A4176D" w:rsidRDefault="00A4176D" w:rsidP="00DC44B9">
            <w:pPr>
              <w:ind w:left="113" w:right="113"/>
              <w:jc w:val="center"/>
              <w:rPr>
                <w:b/>
                <w:sz w:val="16"/>
                <w:szCs w:val="16"/>
              </w:rPr>
            </w:pPr>
            <w:r w:rsidRPr="00E30250">
              <w:rPr>
                <w:b/>
                <w:sz w:val="16"/>
                <w:szCs w:val="16"/>
              </w:rPr>
              <w:t xml:space="preserve">Empresas </w:t>
            </w:r>
          </w:p>
          <w:p w14:paraId="35D26422" w14:textId="77777777" w:rsidR="00A4176D" w:rsidRPr="00E30250" w:rsidRDefault="00A4176D" w:rsidP="00DC44B9">
            <w:pPr>
              <w:ind w:left="113" w:right="113"/>
              <w:jc w:val="center"/>
              <w:rPr>
                <w:b/>
                <w:sz w:val="16"/>
                <w:szCs w:val="16"/>
              </w:rPr>
            </w:pPr>
            <w:r w:rsidRPr="00E30250">
              <w:rPr>
                <w:b/>
                <w:sz w:val="16"/>
                <w:szCs w:val="16"/>
              </w:rPr>
              <w:t>(Pérdida esperada)</w:t>
            </w:r>
          </w:p>
        </w:tc>
        <w:tc>
          <w:tcPr>
            <w:tcW w:w="796" w:type="dxa"/>
            <w:tcBorders>
              <w:bottom w:val="single" w:sz="4" w:space="0" w:color="auto"/>
            </w:tcBorders>
            <w:shd w:val="clear" w:color="auto" w:fill="D9D9D9" w:themeFill="background1" w:themeFillShade="D9"/>
            <w:textDirection w:val="btLr"/>
            <w:vAlign w:val="center"/>
          </w:tcPr>
          <w:p w14:paraId="635846CA" w14:textId="77777777" w:rsidR="00A4176D" w:rsidRPr="00E30250" w:rsidRDefault="00A4176D" w:rsidP="00DC44B9">
            <w:pPr>
              <w:ind w:left="113" w:right="113"/>
              <w:jc w:val="center"/>
              <w:rPr>
                <w:b/>
                <w:sz w:val="16"/>
                <w:szCs w:val="16"/>
              </w:rPr>
            </w:pPr>
            <w:r w:rsidRPr="00E30250">
              <w:rPr>
                <w:b/>
                <w:sz w:val="16"/>
                <w:szCs w:val="16"/>
              </w:rPr>
              <w:t>Entidades financieras (Pérdida esperada)</w:t>
            </w:r>
          </w:p>
        </w:tc>
        <w:tc>
          <w:tcPr>
            <w:tcW w:w="796" w:type="dxa"/>
            <w:tcBorders>
              <w:bottom w:val="single" w:sz="4" w:space="0" w:color="auto"/>
            </w:tcBorders>
            <w:shd w:val="clear" w:color="auto" w:fill="D9D9D9" w:themeFill="background1" w:themeFillShade="D9"/>
            <w:textDirection w:val="btLr"/>
            <w:vAlign w:val="center"/>
          </w:tcPr>
          <w:p w14:paraId="4CA09670" w14:textId="77777777" w:rsidR="00A4176D" w:rsidRPr="00E30250" w:rsidRDefault="00A4176D" w:rsidP="00DC44B9">
            <w:pPr>
              <w:ind w:left="113" w:right="113"/>
              <w:jc w:val="center"/>
              <w:rPr>
                <w:b/>
                <w:sz w:val="16"/>
                <w:szCs w:val="16"/>
              </w:rPr>
            </w:pPr>
            <w:r w:rsidRPr="00E30250">
              <w:rPr>
                <w:b/>
                <w:sz w:val="16"/>
                <w:szCs w:val="16"/>
              </w:rPr>
              <w:t>Estados y municipios (Pérdida esperada)</w:t>
            </w:r>
          </w:p>
        </w:tc>
        <w:tc>
          <w:tcPr>
            <w:tcW w:w="796" w:type="dxa"/>
            <w:tcBorders>
              <w:bottom w:val="single" w:sz="4" w:space="0" w:color="auto"/>
            </w:tcBorders>
            <w:shd w:val="clear" w:color="auto" w:fill="D9D9D9" w:themeFill="background1" w:themeFillShade="D9"/>
            <w:textDirection w:val="btLr"/>
            <w:vAlign w:val="center"/>
          </w:tcPr>
          <w:p w14:paraId="47B82579" w14:textId="77777777" w:rsidR="00A4176D" w:rsidRPr="00E30250" w:rsidRDefault="00A4176D" w:rsidP="00DC44B9">
            <w:pPr>
              <w:ind w:left="113" w:right="113"/>
              <w:jc w:val="center"/>
              <w:rPr>
                <w:b/>
                <w:sz w:val="16"/>
                <w:szCs w:val="16"/>
              </w:rPr>
            </w:pPr>
            <w:r w:rsidRPr="00E30250">
              <w:rPr>
                <w:b/>
                <w:sz w:val="16"/>
                <w:szCs w:val="16"/>
              </w:rPr>
              <w:t>Gob. Federal y Org</w:t>
            </w:r>
            <w:r>
              <w:rPr>
                <w:b/>
                <w:sz w:val="16"/>
                <w:szCs w:val="16"/>
              </w:rPr>
              <w:t>.</w:t>
            </w:r>
            <w:r w:rsidRPr="00E30250">
              <w:rPr>
                <w:b/>
                <w:sz w:val="16"/>
                <w:szCs w:val="16"/>
              </w:rPr>
              <w:t xml:space="preserve"> Desconcentrados (Pérdida esperada)</w:t>
            </w:r>
          </w:p>
        </w:tc>
        <w:tc>
          <w:tcPr>
            <w:tcW w:w="796" w:type="dxa"/>
            <w:tcBorders>
              <w:bottom w:val="single" w:sz="4" w:space="0" w:color="auto"/>
            </w:tcBorders>
            <w:shd w:val="clear" w:color="auto" w:fill="D9D9D9" w:themeFill="background1" w:themeFillShade="D9"/>
            <w:textDirection w:val="btLr"/>
            <w:vAlign w:val="center"/>
          </w:tcPr>
          <w:p w14:paraId="7E82642D" w14:textId="77777777" w:rsidR="00A4176D" w:rsidRPr="00E30250" w:rsidRDefault="00A4176D" w:rsidP="00DC44B9">
            <w:pPr>
              <w:ind w:left="113" w:right="113"/>
              <w:jc w:val="center"/>
              <w:rPr>
                <w:b/>
                <w:sz w:val="16"/>
                <w:szCs w:val="16"/>
              </w:rPr>
            </w:pPr>
            <w:r w:rsidRPr="00E30250">
              <w:rPr>
                <w:b/>
                <w:sz w:val="16"/>
                <w:szCs w:val="16"/>
              </w:rPr>
              <w:t>Vivienda</w:t>
            </w:r>
          </w:p>
        </w:tc>
      </w:tr>
      <w:tr w:rsidR="00A4176D" w14:paraId="63E0C9FC" w14:textId="77777777" w:rsidTr="00DC44B9">
        <w:trPr>
          <w:jc w:val="center"/>
        </w:trPr>
        <w:tc>
          <w:tcPr>
            <w:tcW w:w="2263" w:type="dxa"/>
            <w:gridSpan w:val="2"/>
            <w:tcBorders>
              <w:bottom w:val="nil"/>
            </w:tcBorders>
            <w:vAlign w:val="center"/>
          </w:tcPr>
          <w:p w14:paraId="132103B3" w14:textId="77777777" w:rsidR="00A4176D" w:rsidRPr="00E30250" w:rsidRDefault="00A4176D" w:rsidP="00DC44B9">
            <w:pPr>
              <w:spacing w:before="120"/>
              <w:jc w:val="both"/>
              <w:rPr>
                <w:sz w:val="16"/>
                <w:szCs w:val="16"/>
              </w:rPr>
            </w:pPr>
            <w:r>
              <w:rPr>
                <w:sz w:val="16"/>
                <w:szCs w:val="16"/>
              </w:rPr>
              <w:t>ABC Capital</w:t>
            </w:r>
          </w:p>
        </w:tc>
        <w:tc>
          <w:tcPr>
            <w:tcW w:w="993" w:type="dxa"/>
            <w:tcBorders>
              <w:bottom w:val="nil"/>
            </w:tcBorders>
            <w:vAlign w:val="center"/>
          </w:tcPr>
          <w:p w14:paraId="74979436" w14:textId="77777777" w:rsidR="00A4176D" w:rsidRPr="00E30250" w:rsidRDefault="00A4176D" w:rsidP="00DC44B9">
            <w:pPr>
              <w:spacing w:before="120"/>
              <w:jc w:val="center"/>
              <w:rPr>
                <w:sz w:val="16"/>
                <w:szCs w:val="16"/>
              </w:rPr>
            </w:pPr>
            <w:r>
              <w:rPr>
                <w:sz w:val="16"/>
                <w:szCs w:val="16"/>
              </w:rPr>
              <w:t>100</w:t>
            </w:r>
          </w:p>
        </w:tc>
        <w:tc>
          <w:tcPr>
            <w:tcW w:w="796" w:type="dxa"/>
            <w:tcBorders>
              <w:bottom w:val="nil"/>
            </w:tcBorders>
            <w:shd w:val="clear" w:color="auto" w:fill="00B050"/>
            <w:vAlign w:val="center"/>
          </w:tcPr>
          <w:p w14:paraId="761DBF92" w14:textId="77777777" w:rsidR="00A4176D" w:rsidRPr="00E30250" w:rsidRDefault="00A4176D" w:rsidP="00DC44B9">
            <w:pPr>
              <w:spacing w:before="120"/>
              <w:jc w:val="center"/>
              <w:rPr>
                <w:sz w:val="16"/>
                <w:szCs w:val="16"/>
              </w:rPr>
            </w:pPr>
          </w:p>
        </w:tc>
        <w:tc>
          <w:tcPr>
            <w:tcW w:w="796" w:type="dxa"/>
            <w:tcBorders>
              <w:bottom w:val="nil"/>
            </w:tcBorders>
            <w:shd w:val="clear" w:color="auto" w:fill="00B050"/>
            <w:vAlign w:val="center"/>
          </w:tcPr>
          <w:p w14:paraId="6E4B29DD" w14:textId="77777777" w:rsidR="00A4176D" w:rsidRPr="00E30250" w:rsidRDefault="00A4176D" w:rsidP="00DC44B9">
            <w:pPr>
              <w:spacing w:before="120"/>
              <w:jc w:val="center"/>
              <w:rPr>
                <w:sz w:val="16"/>
                <w:szCs w:val="16"/>
              </w:rPr>
            </w:pPr>
          </w:p>
        </w:tc>
        <w:tc>
          <w:tcPr>
            <w:tcW w:w="796" w:type="dxa"/>
            <w:tcBorders>
              <w:bottom w:val="nil"/>
            </w:tcBorders>
            <w:shd w:val="clear" w:color="auto" w:fill="00B050"/>
            <w:vAlign w:val="center"/>
          </w:tcPr>
          <w:p w14:paraId="5491FDCB" w14:textId="77777777" w:rsidR="00A4176D" w:rsidRPr="00E30250" w:rsidRDefault="00A4176D" w:rsidP="00DC44B9">
            <w:pPr>
              <w:spacing w:before="120"/>
              <w:jc w:val="center"/>
              <w:rPr>
                <w:sz w:val="16"/>
                <w:szCs w:val="16"/>
              </w:rPr>
            </w:pPr>
          </w:p>
        </w:tc>
        <w:tc>
          <w:tcPr>
            <w:tcW w:w="796" w:type="dxa"/>
            <w:tcBorders>
              <w:bottom w:val="nil"/>
            </w:tcBorders>
            <w:shd w:val="clear" w:color="auto" w:fill="00B050"/>
            <w:vAlign w:val="center"/>
          </w:tcPr>
          <w:p w14:paraId="7FC22DFB" w14:textId="77777777" w:rsidR="00A4176D" w:rsidRPr="00E30250" w:rsidRDefault="00A4176D" w:rsidP="00DC44B9">
            <w:pPr>
              <w:spacing w:before="120"/>
              <w:jc w:val="center"/>
              <w:rPr>
                <w:sz w:val="16"/>
                <w:szCs w:val="16"/>
              </w:rPr>
            </w:pPr>
          </w:p>
        </w:tc>
        <w:tc>
          <w:tcPr>
            <w:tcW w:w="796" w:type="dxa"/>
            <w:tcBorders>
              <w:bottom w:val="nil"/>
            </w:tcBorders>
            <w:shd w:val="clear" w:color="auto" w:fill="00B050"/>
            <w:vAlign w:val="center"/>
          </w:tcPr>
          <w:p w14:paraId="576B0333" w14:textId="77777777" w:rsidR="00A4176D" w:rsidRPr="00E30250" w:rsidRDefault="00A4176D" w:rsidP="00DC44B9">
            <w:pPr>
              <w:spacing w:before="120"/>
              <w:jc w:val="center"/>
              <w:rPr>
                <w:sz w:val="16"/>
                <w:szCs w:val="16"/>
              </w:rPr>
            </w:pPr>
          </w:p>
        </w:tc>
        <w:tc>
          <w:tcPr>
            <w:tcW w:w="796" w:type="dxa"/>
            <w:tcBorders>
              <w:bottom w:val="nil"/>
            </w:tcBorders>
            <w:shd w:val="clear" w:color="auto" w:fill="D9D9D9" w:themeFill="background1" w:themeFillShade="D9"/>
            <w:vAlign w:val="center"/>
          </w:tcPr>
          <w:p w14:paraId="3F668FAC" w14:textId="77777777" w:rsidR="00A4176D" w:rsidRPr="00E30250" w:rsidRDefault="00A4176D" w:rsidP="00DC44B9">
            <w:pPr>
              <w:spacing w:before="120"/>
              <w:jc w:val="center"/>
              <w:rPr>
                <w:sz w:val="16"/>
                <w:szCs w:val="16"/>
              </w:rPr>
            </w:pPr>
          </w:p>
        </w:tc>
        <w:tc>
          <w:tcPr>
            <w:tcW w:w="796" w:type="dxa"/>
            <w:tcBorders>
              <w:bottom w:val="nil"/>
            </w:tcBorders>
            <w:shd w:val="clear" w:color="auto" w:fill="00B050"/>
            <w:vAlign w:val="center"/>
          </w:tcPr>
          <w:p w14:paraId="5CA292A6" w14:textId="77777777" w:rsidR="00A4176D" w:rsidRPr="00E30250" w:rsidRDefault="00A4176D" w:rsidP="00DC44B9">
            <w:pPr>
              <w:spacing w:before="120"/>
              <w:jc w:val="center"/>
              <w:rPr>
                <w:sz w:val="16"/>
                <w:szCs w:val="16"/>
              </w:rPr>
            </w:pPr>
          </w:p>
        </w:tc>
      </w:tr>
      <w:tr w:rsidR="00A4176D" w14:paraId="652CCF6C" w14:textId="77777777" w:rsidTr="00DC44B9">
        <w:trPr>
          <w:jc w:val="center"/>
        </w:trPr>
        <w:tc>
          <w:tcPr>
            <w:tcW w:w="2263" w:type="dxa"/>
            <w:gridSpan w:val="2"/>
            <w:tcBorders>
              <w:top w:val="nil"/>
              <w:bottom w:val="nil"/>
            </w:tcBorders>
            <w:vAlign w:val="center"/>
          </w:tcPr>
          <w:p w14:paraId="41B1C707" w14:textId="77777777" w:rsidR="00A4176D" w:rsidRPr="00E30250" w:rsidRDefault="00A4176D" w:rsidP="00DC44B9">
            <w:pPr>
              <w:jc w:val="both"/>
              <w:rPr>
                <w:sz w:val="16"/>
                <w:szCs w:val="16"/>
              </w:rPr>
            </w:pPr>
            <w:r>
              <w:rPr>
                <w:sz w:val="16"/>
                <w:szCs w:val="16"/>
              </w:rPr>
              <w:t>Actinver</w:t>
            </w:r>
          </w:p>
        </w:tc>
        <w:tc>
          <w:tcPr>
            <w:tcW w:w="993" w:type="dxa"/>
            <w:tcBorders>
              <w:top w:val="nil"/>
              <w:bottom w:val="nil"/>
            </w:tcBorders>
            <w:vAlign w:val="center"/>
          </w:tcPr>
          <w:p w14:paraId="5C2D2265" w14:textId="77777777" w:rsidR="00A4176D" w:rsidRPr="00E30250" w:rsidRDefault="00A4176D" w:rsidP="00DC44B9">
            <w:pPr>
              <w:jc w:val="center"/>
              <w:rPr>
                <w:sz w:val="16"/>
                <w:szCs w:val="16"/>
              </w:rPr>
            </w:pPr>
            <w:r>
              <w:rPr>
                <w:sz w:val="16"/>
                <w:szCs w:val="16"/>
              </w:rPr>
              <w:t>95</w:t>
            </w:r>
          </w:p>
        </w:tc>
        <w:tc>
          <w:tcPr>
            <w:tcW w:w="796" w:type="dxa"/>
            <w:tcBorders>
              <w:top w:val="nil"/>
              <w:bottom w:val="nil"/>
            </w:tcBorders>
            <w:shd w:val="clear" w:color="auto" w:fill="FFFF00"/>
            <w:vAlign w:val="center"/>
          </w:tcPr>
          <w:p w14:paraId="4A8D6823" w14:textId="77777777" w:rsidR="00A4176D" w:rsidRPr="00E52246" w:rsidRDefault="00A4176D" w:rsidP="00DC44B9">
            <w:pPr>
              <w:jc w:val="center"/>
              <w:rPr>
                <w:sz w:val="16"/>
                <w:szCs w:val="16"/>
                <w:highlight w:val="yellow"/>
              </w:rPr>
            </w:pPr>
          </w:p>
        </w:tc>
        <w:tc>
          <w:tcPr>
            <w:tcW w:w="796" w:type="dxa"/>
            <w:tcBorders>
              <w:top w:val="nil"/>
              <w:bottom w:val="nil"/>
            </w:tcBorders>
            <w:shd w:val="clear" w:color="auto" w:fill="00B050"/>
            <w:vAlign w:val="center"/>
          </w:tcPr>
          <w:p w14:paraId="2DE0F2B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9CB19F6"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FAFCBE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62E5F7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C105C12"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AA91F91" w14:textId="77777777" w:rsidR="00A4176D" w:rsidRPr="00E30250" w:rsidRDefault="00A4176D" w:rsidP="00DC44B9">
            <w:pPr>
              <w:jc w:val="center"/>
              <w:rPr>
                <w:sz w:val="16"/>
                <w:szCs w:val="16"/>
              </w:rPr>
            </w:pPr>
          </w:p>
        </w:tc>
      </w:tr>
      <w:tr w:rsidR="00A4176D" w14:paraId="3D7948C6" w14:textId="77777777" w:rsidTr="00DC44B9">
        <w:trPr>
          <w:jc w:val="center"/>
        </w:trPr>
        <w:tc>
          <w:tcPr>
            <w:tcW w:w="2263" w:type="dxa"/>
            <w:gridSpan w:val="2"/>
            <w:tcBorders>
              <w:top w:val="nil"/>
              <w:bottom w:val="nil"/>
            </w:tcBorders>
            <w:vAlign w:val="center"/>
          </w:tcPr>
          <w:p w14:paraId="031E4299" w14:textId="77777777" w:rsidR="00A4176D" w:rsidRPr="00E30250" w:rsidRDefault="00A4176D" w:rsidP="00DC44B9">
            <w:pPr>
              <w:jc w:val="both"/>
              <w:rPr>
                <w:sz w:val="16"/>
                <w:szCs w:val="16"/>
              </w:rPr>
            </w:pPr>
            <w:r>
              <w:rPr>
                <w:sz w:val="16"/>
                <w:szCs w:val="16"/>
              </w:rPr>
              <w:t>Afirme</w:t>
            </w:r>
          </w:p>
        </w:tc>
        <w:tc>
          <w:tcPr>
            <w:tcW w:w="993" w:type="dxa"/>
            <w:tcBorders>
              <w:top w:val="nil"/>
              <w:bottom w:val="nil"/>
            </w:tcBorders>
            <w:vAlign w:val="center"/>
          </w:tcPr>
          <w:p w14:paraId="3AED8B53" w14:textId="77777777" w:rsidR="00A4176D" w:rsidRPr="00E30250" w:rsidRDefault="00A4176D" w:rsidP="00DC44B9">
            <w:pPr>
              <w:jc w:val="center"/>
              <w:rPr>
                <w:sz w:val="16"/>
                <w:szCs w:val="16"/>
              </w:rPr>
            </w:pPr>
            <w:r>
              <w:rPr>
                <w:sz w:val="16"/>
                <w:szCs w:val="16"/>
              </w:rPr>
              <w:t>90</w:t>
            </w:r>
          </w:p>
        </w:tc>
        <w:tc>
          <w:tcPr>
            <w:tcW w:w="796" w:type="dxa"/>
            <w:tcBorders>
              <w:top w:val="nil"/>
              <w:bottom w:val="nil"/>
            </w:tcBorders>
            <w:shd w:val="clear" w:color="auto" w:fill="00B050"/>
            <w:vAlign w:val="center"/>
          </w:tcPr>
          <w:p w14:paraId="4606BB4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B4B989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E2AA89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5933FE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D06D1C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9AB02A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090C8EF" w14:textId="77777777" w:rsidR="00A4176D" w:rsidRPr="00E30250" w:rsidRDefault="00A4176D" w:rsidP="00DC44B9">
            <w:pPr>
              <w:jc w:val="center"/>
              <w:rPr>
                <w:sz w:val="16"/>
                <w:szCs w:val="16"/>
              </w:rPr>
            </w:pPr>
          </w:p>
        </w:tc>
      </w:tr>
      <w:tr w:rsidR="00A4176D" w14:paraId="6C6358AD" w14:textId="77777777" w:rsidTr="00DC44B9">
        <w:trPr>
          <w:jc w:val="center"/>
        </w:trPr>
        <w:tc>
          <w:tcPr>
            <w:tcW w:w="2263" w:type="dxa"/>
            <w:gridSpan w:val="2"/>
            <w:tcBorders>
              <w:top w:val="nil"/>
              <w:bottom w:val="nil"/>
            </w:tcBorders>
            <w:vAlign w:val="center"/>
          </w:tcPr>
          <w:p w14:paraId="70E9A67F" w14:textId="77777777" w:rsidR="00A4176D" w:rsidRPr="00E30250" w:rsidRDefault="00A4176D" w:rsidP="00DC44B9">
            <w:pPr>
              <w:jc w:val="both"/>
              <w:rPr>
                <w:sz w:val="16"/>
                <w:szCs w:val="16"/>
              </w:rPr>
            </w:pPr>
            <w:r>
              <w:rPr>
                <w:sz w:val="16"/>
                <w:szCs w:val="16"/>
              </w:rPr>
              <w:t>American Express</w:t>
            </w:r>
          </w:p>
        </w:tc>
        <w:tc>
          <w:tcPr>
            <w:tcW w:w="993" w:type="dxa"/>
            <w:tcBorders>
              <w:top w:val="nil"/>
              <w:bottom w:val="nil"/>
            </w:tcBorders>
            <w:vAlign w:val="center"/>
          </w:tcPr>
          <w:p w14:paraId="4EA55CC8"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38E54E3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FF704A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27A3EA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C176AA"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F218D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0B0F6F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FFDF316" w14:textId="77777777" w:rsidR="00A4176D" w:rsidRPr="00E30250" w:rsidRDefault="00A4176D" w:rsidP="00DC44B9">
            <w:pPr>
              <w:jc w:val="center"/>
              <w:rPr>
                <w:sz w:val="16"/>
                <w:szCs w:val="16"/>
              </w:rPr>
            </w:pPr>
          </w:p>
        </w:tc>
      </w:tr>
      <w:tr w:rsidR="00A4176D" w14:paraId="0458576E" w14:textId="77777777" w:rsidTr="00DC44B9">
        <w:trPr>
          <w:jc w:val="center"/>
        </w:trPr>
        <w:tc>
          <w:tcPr>
            <w:tcW w:w="2263" w:type="dxa"/>
            <w:gridSpan w:val="2"/>
            <w:tcBorders>
              <w:top w:val="nil"/>
              <w:bottom w:val="nil"/>
            </w:tcBorders>
            <w:vAlign w:val="center"/>
          </w:tcPr>
          <w:p w14:paraId="3A4DC757" w14:textId="77777777" w:rsidR="00A4176D" w:rsidRPr="00E30250" w:rsidRDefault="00A4176D" w:rsidP="00DC44B9">
            <w:pPr>
              <w:jc w:val="both"/>
              <w:rPr>
                <w:sz w:val="16"/>
                <w:szCs w:val="16"/>
              </w:rPr>
            </w:pPr>
            <w:r>
              <w:rPr>
                <w:sz w:val="16"/>
                <w:szCs w:val="16"/>
              </w:rPr>
              <w:t>Autofín</w:t>
            </w:r>
          </w:p>
        </w:tc>
        <w:tc>
          <w:tcPr>
            <w:tcW w:w="993" w:type="dxa"/>
            <w:tcBorders>
              <w:top w:val="nil"/>
              <w:bottom w:val="nil"/>
            </w:tcBorders>
            <w:vAlign w:val="center"/>
          </w:tcPr>
          <w:p w14:paraId="54E538C9"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78C04B3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413434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2096FE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F16108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C8627A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1ACD6B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EB5ED2A" w14:textId="77777777" w:rsidR="00A4176D" w:rsidRPr="00E30250" w:rsidRDefault="00A4176D" w:rsidP="00DC44B9">
            <w:pPr>
              <w:jc w:val="center"/>
              <w:rPr>
                <w:sz w:val="16"/>
                <w:szCs w:val="16"/>
              </w:rPr>
            </w:pPr>
          </w:p>
        </w:tc>
      </w:tr>
      <w:tr w:rsidR="00A4176D" w14:paraId="6800381D" w14:textId="77777777" w:rsidTr="00DC44B9">
        <w:trPr>
          <w:jc w:val="center"/>
        </w:trPr>
        <w:tc>
          <w:tcPr>
            <w:tcW w:w="2263" w:type="dxa"/>
            <w:gridSpan w:val="2"/>
            <w:tcBorders>
              <w:top w:val="nil"/>
              <w:bottom w:val="nil"/>
            </w:tcBorders>
            <w:vAlign w:val="center"/>
          </w:tcPr>
          <w:p w14:paraId="4C1EC20B" w14:textId="77777777" w:rsidR="00A4176D" w:rsidRPr="00E30250" w:rsidRDefault="00A4176D" w:rsidP="00DC44B9">
            <w:pPr>
              <w:jc w:val="both"/>
              <w:rPr>
                <w:sz w:val="16"/>
                <w:szCs w:val="16"/>
              </w:rPr>
            </w:pPr>
            <w:r>
              <w:rPr>
                <w:sz w:val="16"/>
                <w:szCs w:val="16"/>
              </w:rPr>
              <w:t>Banamex</w:t>
            </w:r>
          </w:p>
        </w:tc>
        <w:tc>
          <w:tcPr>
            <w:tcW w:w="993" w:type="dxa"/>
            <w:tcBorders>
              <w:top w:val="nil"/>
              <w:bottom w:val="nil"/>
            </w:tcBorders>
            <w:vAlign w:val="center"/>
          </w:tcPr>
          <w:p w14:paraId="53070AD8"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5037DB0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9DB991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88C6AC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DEA592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26BBBE3"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6A13B13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0820B82" w14:textId="77777777" w:rsidR="00A4176D" w:rsidRPr="00E30250" w:rsidRDefault="00A4176D" w:rsidP="00DC44B9">
            <w:pPr>
              <w:jc w:val="center"/>
              <w:rPr>
                <w:sz w:val="16"/>
                <w:szCs w:val="16"/>
              </w:rPr>
            </w:pPr>
          </w:p>
        </w:tc>
      </w:tr>
      <w:tr w:rsidR="00A4176D" w14:paraId="361FA369" w14:textId="77777777" w:rsidTr="00DC44B9">
        <w:trPr>
          <w:jc w:val="center"/>
        </w:trPr>
        <w:tc>
          <w:tcPr>
            <w:tcW w:w="2263" w:type="dxa"/>
            <w:gridSpan w:val="2"/>
            <w:tcBorders>
              <w:top w:val="nil"/>
              <w:bottom w:val="nil"/>
            </w:tcBorders>
            <w:vAlign w:val="center"/>
          </w:tcPr>
          <w:p w14:paraId="6B75B215" w14:textId="77777777" w:rsidR="00A4176D" w:rsidRPr="00E30250" w:rsidRDefault="00A4176D" w:rsidP="00DC44B9">
            <w:pPr>
              <w:jc w:val="both"/>
              <w:rPr>
                <w:sz w:val="16"/>
                <w:szCs w:val="16"/>
              </w:rPr>
            </w:pPr>
            <w:r>
              <w:rPr>
                <w:sz w:val="16"/>
                <w:szCs w:val="16"/>
              </w:rPr>
              <w:t>Banca Mifel</w:t>
            </w:r>
          </w:p>
        </w:tc>
        <w:tc>
          <w:tcPr>
            <w:tcW w:w="993" w:type="dxa"/>
            <w:tcBorders>
              <w:top w:val="nil"/>
              <w:bottom w:val="nil"/>
            </w:tcBorders>
            <w:vAlign w:val="center"/>
          </w:tcPr>
          <w:p w14:paraId="1D3DD202"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7AE4C4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4B1FAF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AF4C8A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BC2144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F915D7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6BC289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B6E6B85" w14:textId="77777777" w:rsidR="00A4176D" w:rsidRPr="00E30250" w:rsidRDefault="00A4176D" w:rsidP="00DC44B9">
            <w:pPr>
              <w:jc w:val="center"/>
              <w:rPr>
                <w:sz w:val="16"/>
                <w:szCs w:val="16"/>
              </w:rPr>
            </w:pPr>
          </w:p>
        </w:tc>
      </w:tr>
      <w:tr w:rsidR="00A4176D" w14:paraId="1CB2F43B" w14:textId="77777777" w:rsidTr="00DC44B9">
        <w:trPr>
          <w:trHeight w:val="114"/>
          <w:jc w:val="center"/>
        </w:trPr>
        <w:tc>
          <w:tcPr>
            <w:tcW w:w="2263" w:type="dxa"/>
            <w:gridSpan w:val="2"/>
            <w:tcBorders>
              <w:top w:val="nil"/>
              <w:bottom w:val="nil"/>
            </w:tcBorders>
            <w:vAlign w:val="center"/>
          </w:tcPr>
          <w:p w14:paraId="76CCC1AB" w14:textId="77777777" w:rsidR="00A4176D" w:rsidRPr="00E30250" w:rsidRDefault="00A4176D" w:rsidP="00DC44B9">
            <w:pPr>
              <w:jc w:val="both"/>
              <w:rPr>
                <w:sz w:val="16"/>
                <w:szCs w:val="16"/>
              </w:rPr>
            </w:pPr>
            <w:r>
              <w:rPr>
                <w:sz w:val="16"/>
                <w:szCs w:val="16"/>
              </w:rPr>
              <w:t>Banco Ahorro Famsa</w:t>
            </w:r>
          </w:p>
        </w:tc>
        <w:tc>
          <w:tcPr>
            <w:tcW w:w="993" w:type="dxa"/>
            <w:tcBorders>
              <w:top w:val="nil"/>
              <w:bottom w:val="nil"/>
            </w:tcBorders>
            <w:vAlign w:val="center"/>
          </w:tcPr>
          <w:p w14:paraId="282EA4C0" w14:textId="77777777" w:rsidR="00A4176D" w:rsidRPr="00E30250" w:rsidRDefault="00A4176D" w:rsidP="00DC44B9">
            <w:pPr>
              <w:jc w:val="center"/>
              <w:rPr>
                <w:sz w:val="16"/>
                <w:szCs w:val="16"/>
              </w:rPr>
            </w:pPr>
            <w:r w:rsidRPr="00E52246">
              <w:rPr>
                <w:sz w:val="16"/>
                <w:szCs w:val="16"/>
              </w:rPr>
              <w:t>100</w:t>
            </w:r>
          </w:p>
        </w:tc>
        <w:tc>
          <w:tcPr>
            <w:tcW w:w="796" w:type="dxa"/>
            <w:tcBorders>
              <w:top w:val="nil"/>
              <w:bottom w:val="nil"/>
            </w:tcBorders>
            <w:shd w:val="clear" w:color="auto" w:fill="FFFF00"/>
            <w:vAlign w:val="center"/>
          </w:tcPr>
          <w:p w14:paraId="20731552" w14:textId="77777777" w:rsidR="00A4176D" w:rsidRPr="00E52246" w:rsidRDefault="00A4176D" w:rsidP="00DC44B9">
            <w:pPr>
              <w:jc w:val="center"/>
              <w:rPr>
                <w:sz w:val="16"/>
                <w:szCs w:val="16"/>
                <w:highlight w:val="yellow"/>
              </w:rPr>
            </w:pPr>
          </w:p>
        </w:tc>
        <w:tc>
          <w:tcPr>
            <w:tcW w:w="796" w:type="dxa"/>
            <w:tcBorders>
              <w:top w:val="nil"/>
              <w:bottom w:val="nil"/>
            </w:tcBorders>
            <w:shd w:val="clear" w:color="auto" w:fill="00B050"/>
            <w:vAlign w:val="center"/>
          </w:tcPr>
          <w:p w14:paraId="7A05ADC6"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46E86D9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DC1A3B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8B22CC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66C6F7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8FDD3CB" w14:textId="77777777" w:rsidR="00A4176D" w:rsidRPr="00E30250" w:rsidRDefault="00A4176D" w:rsidP="00DC44B9">
            <w:pPr>
              <w:jc w:val="center"/>
              <w:rPr>
                <w:sz w:val="16"/>
                <w:szCs w:val="16"/>
              </w:rPr>
            </w:pPr>
          </w:p>
        </w:tc>
      </w:tr>
      <w:tr w:rsidR="00A4176D" w14:paraId="4A1E2CFC" w14:textId="77777777" w:rsidTr="00DC44B9">
        <w:trPr>
          <w:jc w:val="center"/>
        </w:trPr>
        <w:tc>
          <w:tcPr>
            <w:tcW w:w="2263" w:type="dxa"/>
            <w:gridSpan w:val="2"/>
            <w:tcBorders>
              <w:top w:val="nil"/>
              <w:bottom w:val="nil"/>
            </w:tcBorders>
            <w:vAlign w:val="center"/>
          </w:tcPr>
          <w:p w14:paraId="18503AFA" w14:textId="77777777" w:rsidR="00A4176D" w:rsidRPr="00E30250" w:rsidRDefault="00A4176D" w:rsidP="00DC44B9">
            <w:pPr>
              <w:jc w:val="both"/>
              <w:rPr>
                <w:sz w:val="16"/>
                <w:szCs w:val="16"/>
              </w:rPr>
            </w:pPr>
            <w:r>
              <w:rPr>
                <w:sz w:val="16"/>
                <w:szCs w:val="16"/>
              </w:rPr>
              <w:t>Banco Azteca</w:t>
            </w:r>
          </w:p>
        </w:tc>
        <w:tc>
          <w:tcPr>
            <w:tcW w:w="993" w:type="dxa"/>
            <w:tcBorders>
              <w:top w:val="nil"/>
              <w:bottom w:val="nil"/>
            </w:tcBorders>
            <w:vAlign w:val="center"/>
          </w:tcPr>
          <w:p w14:paraId="58F33D7E"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068AFF3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D6D9ECC"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1171CC55"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55B892A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4DEC5D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159AE2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87A6269" w14:textId="77777777" w:rsidR="00A4176D" w:rsidRPr="00E30250" w:rsidRDefault="00A4176D" w:rsidP="00DC44B9">
            <w:pPr>
              <w:jc w:val="center"/>
              <w:rPr>
                <w:sz w:val="16"/>
                <w:szCs w:val="16"/>
              </w:rPr>
            </w:pPr>
          </w:p>
        </w:tc>
      </w:tr>
      <w:tr w:rsidR="00A4176D" w14:paraId="060DB45F" w14:textId="77777777" w:rsidTr="00DC44B9">
        <w:trPr>
          <w:jc w:val="center"/>
        </w:trPr>
        <w:tc>
          <w:tcPr>
            <w:tcW w:w="2263" w:type="dxa"/>
            <w:gridSpan w:val="2"/>
            <w:tcBorders>
              <w:top w:val="nil"/>
              <w:bottom w:val="nil"/>
            </w:tcBorders>
            <w:vAlign w:val="center"/>
          </w:tcPr>
          <w:p w14:paraId="02B0AD65" w14:textId="77777777" w:rsidR="00A4176D" w:rsidRPr="00E30250" w:rsidRDefault="00A4176D" w:rsidP="00DC44B9">
            <w:pPr>
              <w:jc w:val="both"/>
              <w:rPr>
                <w:sz w:val="16"/>
                <w:szCs w:val="16"/>
              </w:rPr>
            </w:pPr>
            <w:r>
              <w:rPr>
                <w:sz w:val="16"/>
                <w:szCs w:val="16"/>
              </w:rPr>
              <w:t>Banco Bancrea</w:t>
            </w:r>
          </w:p>
        </w:tc>
        <w:tc>
          <w:tcPr>
            <w:tcW w:w="993" w:type="dxa"/>
            <w:tcBorders>
              <w:top w:val="nil"/>
              <w:bottom w:val="nil"/>
            </w:tcBorders>
            <w:vAlign w:val="center"/>
          </w:tcPr>
          <w:p w14:paraId="4EF8BA1B" w14:textId="77777777" w:rsidR="00A4176D" w:rsidRPr="00E30250" w:rsidRDefault="00A4176D" w:rsidP="00DC44B9">
            <w:pPr>
              <w:jc w:val="center"/>
              <w:rPr>
                <w:sz w:val="16"/>
                <w:szCs w:val="16"/>
              </w:rPr>
            </w:pPr>
            <w:r>
              <w:rPr>
                <w:sz w:val="16"/>
                <w:szCs w:val="16"/>
              </w:rPr>
              <w:t>75</w:t>
            </w:r>
          </w:p>
        </w:tc>
        <w:tc>
          <w:tcPr>
            <w:tcW w:w="796" w:type="dxa"/>
            <w:tcBorders>
              <w:top w:val="nil"/>
              <w:bottom w:val="nil"/>
            </w:tcBorders>
            <w:shd w:val="clear" w:color="auto" w:fill="00B050"/>
            <w:vAlign w:val="center"/>
          </w:tcPr>
          <w:p w14:paraId="3708836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CA64FA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34B755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0E16E1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34A0A6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A7DF04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C77ABFC" w14:textId="77777777" w:rsidR="00A4176D" w:rsidRPr="00E30250" w:rsidRDefault="00A4176D" w:rsidP="00DC44B9">
            <w:pPr>
              <w:jc w:val="center"/>
              <w:rPr>
                <w:sz w:val="16"/>
                <w:szCs w:val="16"/>
              </w:rPr>
            </w:pPr>
          </w:p>
        </w:tc>
      </w:tr>
      <w:tr w:rsidR="00A4176D" w14:paraId="2601F531" w14:textId="77777777" w:rsidTr="00DC44B9">
        <w:trPr>
          <w:jc w:val="center"/>
        </w:trPr>
        <w:tc>
          <w:tcPr>
            <w:tcW w:w="2263" w:type="dxa"/>
            <w:gridSpan w:val="2"/>
            <w:tcBorders>
              <w:top w:val="nil"/>
              <w:bottom w:val="nil"/>
            </w:tcBorders>
            <w:vAlign w:val="center"/>
          </w:tcPr>
          <w:p w14:paraId="56CD6179" w14:textId="77777777" w:rsidR="00A4176D" w:rsidRPr="00E30250" w:rsidRDefault="00A4176D" w:rsidP="00DC44B9">
            <w:pPr>
              <w:jc w:val="both"/>
              <w:rPr>
                <w:sz w:val="16"/>
                <w:szCs w:val="16"/>
              </w:rPr>
            </w:pPr>
            <w:r>
              <w:rPr>
                <w:sz w:val="16"/>
                <w:szCs w:val="16"/>
              </w:rPr>
              <w:t>Banco Base</w:t>
            </w:r>
          </w:p>
        </w:tc>
        <w:tc>
          <w:tcPr>
            <w:tcW w:w="993" w:type="dxa"/>
            <w:tcBorders>
              <w:top w:val="nil"/>
              <w:bottom w:val="nil"/>
            </w:tcBorders>
            <w:vAlign w:val="center"/>
          </w:tcPr>
          <w:p w14:paraId="20214B4E" w14:textId="77777777" w:rsidR="00A4176D" w:rsidRPr="00E30250" w:rsidRDefault="00A4176D" w:rsidP="00DC44B9">
            <w:pPr>
              <w:jc w:val="center"/>
              <w:rPr>
                <w:sz w:val="16"/>
                <w:szCs w:val="16"/>
              </w:rPr>
            </w:pPr>
            <w:r>
              <w:rPr>
                <w:sz w:val="16"/>
                <w:szCs w:val="16"/>
              </w:rPr>
              <w:t>90</w:t>
            </w:r>
          </w:p>
        </w:tc>
        <w:tc>
          <w:tcPr>
            <w:tcW w:w="796" w:type="dxa"/>
            <w:tcBorders>
              <w:top w:val="nil"/>
              <w:bottom w:val="nil"/>
            </w:tcBorders>
            <w:shd w:val="clear" w:color="auto" w:fill="00B050"/>
            <w:vAlign w:val="center"/>
          </w:tcPr>
          <w:p w14:paraId="3852BBD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8FCEC0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9F819AA"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DFD8D63"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325E7E8"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03E7A1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7DD75EE" w14:textId="77777777" w:rsidR="00A4176D" w:rsidRPr="00E30250" w:rsidRDefault="00A4176D" w:rsidP="00DC44B9">
            <w:pPr>
              <w:jc w:val="center"/>
              <w:rPr>
                <w:sz w:val="16"/>
                <w:szCs w:val="16"/>
              </w:rPr>
            </w:pPr>
          </w:p>
        </w:tc>
      </w:tr>
      <w:tr w:rsidR="00A4176D" w14:paraId="29B8A578" w14:textId="77777777" w:rsidTr="00DC44B9">
        <w:trPr>
          <w:jc w:val="center"/>
        </w:trPr>
        <w:tc>
          <w:tcPr>
            <w:tcW w:w="2263" w:type="dxa"/>
            <w:gridSpan w:val="2"/>
            <w:tcBorders>
              <w:top w:val="nil"/>
              <w:bottom w:val="nil"/>
            </w:tcBorders>
            <w:vAlign w:val="center"/>
          </w:tcPr>
          <w:p w14:paraId="34282873" w14:textId="77777777" w:rsidR="00A4176D" w:rsidRPr="00E30250" w:rsidRDefault="00A4176D" w:rsidP="00DC44B9">
            <w:pPr>
              <w:jc w:val="both"/>
              <w:rPr>
                <w:sz w:val="16"/>
                <w:szCs w:val="16"/>
              </w:rPr>
            </w:pPr>
            <w:r>
              <w:rPr>
                <w:sz w:val="16"/>
                <w:szCs w:val="16"/>
              </w:rPr>
              <w:t>Banco Credit Suisse</w:t>
            </w:r>
          </w:p>
        </w:tc>
        <w:tc>
          <w:tcPr>
            <w:tcW w:w="993" w:type="dxa"/>
            <w:tcBorders>
              <w:top w:val="nil"/>
              <w:bottom w:val="nil"/>
            </w:tcBorders>
            <w:vAlign w:val="center"/>
          </w:tcPr>
          <w:p w14:paraId="03A4A0D8"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5DBB2282"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F27BD3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293386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4E7BBA2"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916052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CCF7D3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F033944" w14:textId="77777777" w:rsidR="00A4176D" w:rsidRPr="00E30250" w:rsidRDefault="00A4176D" w:rsidP="00DC44B9">
            <w:pPr>
              <w:jc w:val="center"/>
              <w:rPr>
                <w:sz w:val="16"/>
                <w:szCs w:val="16"/>
              </w:rPr>
            </w:pPr>
          </w:p>
        </w:tc>
      </w:tr>
      <w:tr w:rsidR="00A4176D" w14:paraId="24F5CDB7" w14:textId="77777777" w:rsidTr="00DC44B9">
        <w:trPr>
          <w:jc w:val="center"/>
        </w:trPr>
        <w:tc>
          <w:tcPr>
            <w:tcW w:w="2263" w:type="dxa"/>
            <w:gridSpan w:val="2"/>
            <w:tcBorders>
              <w:top w:val="nil"/>
              <w:bottom w:val="nil"/>
            </w:tcBorders>
            <w:vAlign w:val="center"/>
          </w:tcPr>
          <w:p w14:paraId="2BB0B62D" w14:textId="77777777" w:rsidR="00A4176D" w:rsidRPr="00E30250" w:rsidRDefault="00A4176D" w:rsidP="00DC44B9">
            <w:pPr>
              <w:jc w:val="both"/>
              <w:rPr>
                <w:sz w:val="16"/>
                <w:szCs w:val="16"/>
              </w:rPr>
            </w:pPr>
            <w:r>
              <w:rPr>
                <w:sz w:val="16"/>
                <w:szCs w:val="16"/>
              </w:rPr>
              <w:t>Banco del Bajío</w:t>
            </w:r>
          </w:p>
        </w:tc>
        <w:tc>
          <w:tcPr>
            <w:tcW w:w="993" w:type="dxa"/>
            <w:tcBorders>
              <w:top w:val="nil"/>
              <w:bottom w:val="nil"/>
            </w:tcBorders>
            <w:vAlign w:val="center"/>
          </w:tcPr>
          <w:p w14:paraId="35499E10"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4418AC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174D7C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A86693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180771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864B79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AE3213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67D6E1A" w14:textId="77777777" w:rsidR="00A4176D" w:rsidRPr="00E30250" w:rsidRDefault="00A4176D" w:rsidP="00DC44B9">
            <w:pPr>
              <w:jc w:val="center"/>
              <w:rPr>
                <w:sz w:val="16"/>
                <w:szCs w:val="16"/>
              </w:rPr>
            </w:pPr>
          </w:p>
        </w:tc>
      </w:tr>
      <w:tr w:rsidR="00A4176D" w14:paraId="04F91149" w14:textId="77777777" w:rsidTr="00DC44B9">
        <w:trPr>
          <w:jc w:val="center"/>
        </w:trPr>
        <w:tc>
          <w:tcPr>
            <w:tcW w:w="2263" w:type="dxa"/>
            <w:gridSpan w:val="2"/>
            <w:tcBorders>
              <w:top w:val="nil"/>
              <w:bottom w:val="nil"/>
            </w:tcBorders>
            <w:vAlign w:val="center"/>
          </w:tcPr>
          <w:p w14:paraId="04E19909" w14:textId="77777777" w:rsidR="00A4176D" w:rsidRPr="00E30250" w:rsidRDefault="00A4176D" w:rsidP="00DC44B9">
            <w:pPr>
              <w:jc w:val="both"/>
              <w:rPr>
                <w:sz w:val="16"/>
                <w:szCs w:val="16"/>
              </w:rPr>
            </w:pPr>
            <w:r>
              <w:rPr>
                <w:sz w:val="16"/>
                <w:szCs w:val="16"/>
              </w:rPr>
              <w:t>Banco Wal-Mart</w:t>
            </w:r>
          </w:p>
        </w:tc>
        <w:tc>
          <w:tcPr>
            <w:tcW w:w="993" w:type="dxa"/>
            <w:tcBorders>
              <w:top w:val="nil"/>
              <w:bottom w:val="nil"/>
            </w:tcBorders>
            <w:vAlign w:val="center"/>
          </w:tcPr>
          <w:p w14:paraId="5DB8A08C"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0EF3F02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F4FF09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8CD991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276BEB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07FC86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137E14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7CB1533" w14:textId="77777777" w:rsidR="00A4176D" w:rsidRPr="00E30250" w:rsidRDefault="00A4176D" w:rsidP="00DC44B9">
            <w:pPr>
              <w:jc w:val="center"/>
              <w:rPr>
                <w:sz w:val="16"/>
                <w:szCs w:val="16"/>
              </w:rPr>
            </w:pPr>
          </w:p>
        </w:tc>
      </w:tr>
      <w:tr w:rsidR="00A4176D" w14:paraId="7840042D" w14:textId="77777777" w:rsidTr="00DC44B9">
        <w:trPr>
          <w:jc w:val="center"/>
        </w:trPr>
        <w:tc>
          <w:tcPr>
            <w:tcW w:w="2263" w:type="dxa"/>
            <w:gridSpan w:val="2"/>
            <w:tcBorders>
              <w:top w:val="nil"/>
              <w:bottom w:val="nil"/>
            </w:tcBorders>
            <w:vAlign w:val="center"/>
          </w:tcPr>
          <w:p w14:paraId="6218C322" w14:textId="77777777" w:rsidR="00A4176D" w:rsidRPr="00E30250" w:rsidRDefault="00A4176D" w:rsidP="00DC44B9">
            <w:pPr>
              <w:jc w:val="both"/>
              <w:rPr>
                <w:sz w:val="16"/>
                <w:szCs w:val="16"/>
              </w:rPr>
            </w:pPr>
            <w:r>
              <w:rPr>
                <w:sz w:val="16"/>
                <w:szCs w:val="16"/>
              </w:rPr>
              <w:t>Bancoppel</w:t>
            </w:r>
          </w:p>
        </w:tc>
        <w:tc>
          <w:tcPr>
            <w:tcW w:w="993" w:type="dxa"/>
            <w:tcBorders>
              <w:top w:val="nil"/>
              <w:bottom w:val="nil"/>
            </w:tcBorders>
            <w:vAlign w:val="center"/>
          </w:tcPr>
          <w:p w14:paraId="6B02D03B"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65FB625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7F7931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FD1E49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23C5B8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0908464"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333C03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361567E" w14:textId="77777777" w:rsidR="00A4176D" w:rsidRPr="00E30250" w:rsidRDefault="00A4176D" w:rsidP="00DC44B9">
            <w:pPr>
              <w:jc w:val="center"/>
              <w:rPr>
                <w:sz w:val="16"/>
                <w:szCs w:val="16"/>
              </w:rPr>
            </w:pPr>
          </w:p>
        </w:tc>
      </w:tr>
      <w:tr w:rsidR="00A4176D" w14:paraId="2D1FA153" w14:textId="77777777" w:rsidTr="00DC44B9">
        <w:trPr>
          <w:jc w:val="center"/>
        </w:trPr>
        <w:tc>
          <w:tcPr>
            <w:tcW w:w="2263" w:type="dxa"/>
            <w:gridSpan w:val="2"/>
            <w:tcBorders>
              <w:top w:val="nil"/>
              <w:bottom w:val="nil"/>
            </w:tcBorders>
            <w:vAlign w:val="center"/>
          </w:tcPr>
          <w:p w14:paraId="4AED328D" w14:textId="77777777" w:rsidR="00A4176D" w:rsidRDefault="00A4176D" w:rsidP="00DC44B9">
            <w:pPr>
              <w:jc w:val="both"/>
              <w:rPr>
                <w:sz w:val="16"/>
                <w:szCs w:val="16"/>
              </w:rPr>
            </w:pPr>
            <w:r>
              <w:rPr>
                <w:sz w:val="16"/>
                <w:szCs w:val="16"/>
              </w:rPr>
              <w:t>Bank of America</w:t>
            </w:r>
          </w:p>
        </w:tc>
        <w:tc>
          <w:tcPr>
            <w:tcW w:w="993" w:type="dxa"/>
            <w:tcBorders>
              <w:top w:val="nil"/>
              <w:bottom w:val="nil"/>
            </w:tcBorders>
            <w:vAlign w:val="center"/>
          </w:tcPr>
          <w:p w14:paraId="08B91CF9"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4099367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0CACA3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EBD9F0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B8A24E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DB6CAE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893962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0F33407" w14:textId="77777777" w:rsidR="00A4176D" w:rsidRPr="00E30250" w:rsidRDefault="00A4176D" w:rsidP="00DC44B9">
            <w:pPr>
              <w:jc w:val="center"/>
              <w:rPr>
                <w:sz w:val="16"/>
                <w:szCs w:val="16"/>
              </w:rPr>
            </w:pPr>
          </w:p>
        </w:tc>
      </w:tr>
      <w:tr w:rsidR="00A4176D" w14:paraId="5D5A1BDE" w14:textId="77777777" w:rsidTr="00DC44B9">
        <w:trPr>
          <w:jc w:val="center"/>
        </w:trPr>
        <w:tc>
          <w:tcPr>
            <w:tcW w:w="2263" w:type="dxa"/>
            <w:gridSpan w:val="2"/>
            <w:tcBorders>
              <w:top w:val="nil"/>
              <w:bottom w:val="nil"/>
            </w:tcBorders>
            <w:vAlign w:val="center"/>
          </w:tcPr>
          <w:p w14:paraId="317CAA25" w14:textId="77777777" w:rsidR="00A4176D" w:rsidRPr="00E30250" w:rsidRDefault="00A4176D" w:rsidP="00DC44B9">
            <w:pPr>
              <w:jc w:val="both"/>
              <w:rPr>
                <w:sz w:val="16"/>
                <w:szCs w:val="16"/>
              </w:rPr>
            </w:pPr>
            <w:r>
              <w:rPr>
                <w:sz w:val="16"/>
                <w:szCs w:val="16"/>
              </w:rPr>
              <w:t>Bank of Tokyo-Mitsubish UFJ</w:t>
            </w:r>
          </w:p>
        </w:tc>
        <w:tc>
          <w:tcPr>
            <w:tcW w:w="993" w:type="dxa"/>
            <w:tcBorders>
              <w:top w:val="nil"/>
              <w:bottom w:val="nil"/>
            </w:tcBorders>
            <w:vAlign w:val="center"/>
          </w:tcPr>
          <w:p w14:paraId="169821BD"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553106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EA8F07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21F110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CDC172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271DBA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504B2B8"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0490BE5" w14:textId="77777777" w:rsidR="00A4176D" w:rsidRPr="00E30250" w:rsidRDefault="00A4176D" w:rsidP="00DC44B9">
            <w:pPr>
              <w:jc w:val="center"/>
              <w:rPr>
                <w:sz w:val="16"/>
                <w:szCs w:val="16"/>
              </w:rPr>
            </w:pPr>
          </w:p>
        </w:tc>
      </w:tr>
      <w:tr w:rsidR="00A4176D" w14:paraId="785B69F4" w14:textId="77777777" w:rsidTr="00DC44B9">
        <w:trPr>
          <w:jc w:val="center"/>
        </w:trPr>
        <w:tc>
          <w:tcPr>
            <w:tcW w:w="2263" w:type="dxa"/>
            <w:gridSpan w:val="2"/>
            <w:tcBorders>
              <w:top w:val="nil"/>
              <w:bottom w:val="nil"/>
            </w:tcBorders>
            <w:vAlign w:val="center"/>
          </w:tcPr>
          <w:p w14:paraId="64EBFF05" w14:textId="77777777" w:rsidR="00A4176D" w:rsidRPr="00E30250" w:rsidRDefault="00A4176D" w:rsidP="00DC44B9">
            <w:pPr>
              <w:jc w:val="both"/>
              <w:rPr>
                <w:sz w:val="16"/>
                <w:szCs w:val="16"/>
              </w:rPr>
            </w:pPr>
            <w:r>
              <w:rPr>
                <w:sz w:val="16"/>
                <w:szCs w:val="16"/>
              </w:rPr>
              <w:t>Bankaool</w:t>
            </w:r>
          </w:p>
        </w:tc>
        <w:tc>
          <w:tcPr>
            <w:tcW w:w="993" w:type="dxa"/>
            <w:tcBorders>
              <w:top w:val="nil"/>
              <w:bottom w:val="nil"/>
            </w:tcBorders>
            <w:vAlign w:val="center"/>
          </w:tcPr>
          <w:p w14:paraId="4CA347D2"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2F07176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E1AD67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6A3591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39DC5D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BB6D9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F684BAA"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F2BA4BA" w14:textId="77777777" w:rsidR="00A4176D" w:rsidRPr="00E30250" w:rsidRDefault="00A4176D" w:rsidP="00DC44B9">
            <w:pPr>
              <w:jc w:val="center"/>
              <w:rPr>
                <w:sz w:val="16"/>
                <w:szCs w:val="16"/>
              </w:rPr>
            </w:pPr>
          </w:p>
        </w:tc>
      </w:tr>
      <w:tr w:rsidR="00A4176D" w14:paraId="59B1130A" w14:textId="77777777" w:rsidTr="00DC44B9">
        <w:trPr>
          <w:jc w:val="center"/>
        </w:trPr>
        <w:tc>
          <w:tcPr>
            <w:tcW w:w="2263" w:type="dxa"/>
            <w:gridSpan w:val="2"/>
            <w:tcBorders>
              <w:top w:val="nil"/>
              <w:bottom w:val="nil"/>
            </w:tcBorders>
            <w:vAlign w:val="center"/>
          </w:tcPr>
          <w:p w14:paraId="65FCB58B" w14:textId="77777777" w:rsidR="00A4176D" w:rsidRPr="00E30250" w:rsidRDefault="00A4176D" w:rsidP="00DC44B9">
            <w:pPr>
              <w:jc w:val="both"/>
              <w:rPr>
                <w:sz w:val="16"/>
                <w:szCs w:val="16"/>
              </w:rPr>
            </w:pPr>
            <w:r>
              <w:rPr>
                <w:sz w:val="16"/>
                <w:szCs w:val="16"/>
              </w:rPr>
              <w:t>Banorte/Ixe</w:t>
            </w:r>
          </w:p>
        </w:tc>
        <w:tc>
          <w:tcPr>
            <w:tcW w:w="993" w:type="dxa"/>
            <w:tcBorders>
              <w:top w:val="nil"/>
              <w:bottom w:val="nil"/>
            </w:tcBorders>
            <w:vAlign w:val="center"/>
          </w:tcPr>
          <w:p w14:paraId="2ACD71BC"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269103C7"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244AB1E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0979EC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3B2B9B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A8B8CA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69ECC97"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151B7701" w14:textId="77777777" w:rsidR="00A4176D" w:rsidRPr="00E30250" w:rsidRDefault="00A4176D" w:rsidP="00DC44B9">
            <w:pPr>
              <w:jc w:val="center"/>
              <w:rPr>
                <w:sz w:val="16"/>
                <w:szCs w:val="16"/>
              </w:rPr>
            </w:pPr>
          </w:p>
        </w:tc>
      </w:tr>
      <w:tr w:rsidR="00A4176D" w14:paraId="5A3AAAAF" w14:textId="77777777" w:rsidTr="00DC44B9">
        <w:trPr>
          <w:jc w:val="center"/>
        </w:trPr>
        <w:tc>
          <w:tcPr>
            <w:tcW w:w="2263" w:type="dxa"/>
            <w:gridSpan w:val="2"/>
            <w:tcBorders>
              <w:top w:val="nil"/>
              <w:bottom w:val="nil"/>
            </w:tcBorders>
            <w:vAlign w:val="center"/>
          </w:tcPr>
          <w:p w14:paraId="793450E1" w14:textId="77777777" w:rsidR="00A4176D" w:rsidRPr="00E30250" w:rsidRDefault="00A4176D" w:rsidP="00DC44B9">
            <w:pPr>
              <w:jc w:val="both"/>
              <w:rPr>
                <w:sz w:val="16"/>
                <w:szCs w:val="16"/>
              </w:rPr>
            </w:pPr>
            <w:r>
              <w:rPr>
                <w:sz w:val="16"/>
                <w:szCs w:val="16"/>
              </w:rPr>
              <w:t>Banregio</w:t>
            </w:r>
          </w:p>
        </w:tc>
        <w:tc>
          <w:tcPr>
            <w:tcW w:w="993" w:type="dxa"/>
            <w:tcBorders>
              <w:top w:val="nil"/>
              <w:bottom w:val="nil"/>
            </w:tcBorders>
            <w:vAlign w:val="center"/>
          </w:tcPr>
          <w:p w14:paraId="670FB74E"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0F8170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897823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76C482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01A0DB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28DDD4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76DFF7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1EE9E46" w14:textId="77777777" w:rsidR="00A4176D" w:rsidRPr="00E30250" w:rsidRDefault="00A4176D" w:rsidP="00DC44B9">
            <w:pPr>
              <w:jc w:val="center"/>
              <w:rPr>
                <w:sz w:val="16"/>
                <w:szCs w:val="16"/>
              </w:rPr>
            </w:pPr>
          </w:p>
        </w:tc>
      </w:tr>
      <w:tr w:rsidR="00A4176D" w14:paraId="5A9D319D" w14:textId="77777777" w:rsidTr="00DC44B9">
        <w:trPr>
          <w:jc w:val="center"/>
        </w:trPr>
        <w:tc>
          <w:tcPr>
            <w:tcW w:w="2263" w:type="dxa"/>
            <w:gridSpan w:val="2"/>
            <w:tcBorders>
              <w:top w:val="nil"/>
              <w:bottom w:val="nil"/>
            </w:tcBorders>
            <w:vAlign w:val="center"/>
          </w:tcPr>
          <w:p w14:paraId="17B2F1D0" w14:textId="77777777" w:rsidR="00A4176D" w:rsidRPr="00E30250" w:rsidRDefault="00A4176D" w:rsidP="00DC44B9">
            <w:pPr>
              <w:jc w:val="both"/>
              <w:rPr>
                <w:sz w:val="16"/>
                <w:szCs w:val="16"/>
              </w:rPr>
            </w:pPr>
            <w:r>
              <w:rPr>
                <w:sz w:val="16"/>
                <w:szCs w:val="16"/>
              </w:rPr>
              <w:t>Bansí</w:t>
            </w:r>
          </w:p>
        </w:tc>
        <w:tc>
          <w:tcPr>
            <w:tcW w:w="993" w:type="dxa"/>
            <w:tcBorders>
              <w:top w:val="nil"/>
              <w:bottom w:val="nil"/>
            </w:tcBorders>
            <w:vAlign w:val="center"/>
          </w:tcPr>
          <w:p w14:paraId="46F3842A"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072223A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3BEF38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F91091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A166DAE"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597A7A23"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4AAC66F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2F6A177" w14:textId="77777777" w:rsidR="00A4176D" w:rsidRPr="00E30250" w:rsidRDefault="00A4176D" w:rsidP="00DC44B9">
            <w:pPr>
              <w:jc w:val="center"/>
              <w:rPr>
                <w:sz w:val="16"/>
                <w:szCs w:val="16"/>
              </w:rPr>
            </w:pPr>
          </w:p>
        </w:tc>
      </w:tr>
      <w:tr w:rsidR="00A4176D" w14:paraId="15772EAD" w14:textId="77777777" w:rsidTr="00DC44B9">
        <w:trPr>
          <w:jc w:val="center"/>
        </w:trPr>
        <w:tc>
          <w:tcPr>
            <w:tcW w:w="2263" w:type="dxa"/>
            <w:gridSpan w:val="2"/>
            <w:tcBorders>
              <w:top w:val="nil"/>
              <w:bottom w:val="nil"/>
            </w:tcBorders>
            <w:vAlign w:val="center"/>
          </w:tcPr>
          <w:p w14:paraId="5B8536A4" w14:textId="77777777" w:rsidR="00A4176D" w:rsidRPr="00E30250" w:rsidRDefault="00A4176D" w:rsidP="00DC44B9">
            <w:pPr>
              <w:jc w:val="both"/>
              <w:rPr>
                <w:sz w:val="16"/>
                <w:szCs w:val="16"/>
              </w:rPr>
            </w:pPr>
            <w:r>
              <w:rPr>
                <w:sz w:val="16"/>
                <w:szCs w:val="16"/>
              </w:rPr>
              <w:t>Banclays</w:t>
            </w:r>
          </w:p>
        </w:tc>
        <w:tc>
          <w:tcPr>
            <w:tcW w:w="993" w:type="dxa"/>
            <w:tcBorders>
              <w:top w:val="nil"/>
              <w:bottom w:val="nil"/>
            </w:tcBorders>
            <w:vAlign w:val="center"/>
          </w:tcPr>
          <w:p w14:paraId="208E0CEB"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049256F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D1EC8B2"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10650B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A54817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6F6553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32F18C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0D6A4A6" w14:textId="77777777" w:rsidR="00A4176D" w:rsidRPr="00E30250" w:rsidRDefault="00A4176D" w:rsidP="00DC44B9">
            <w:pPr>
              <w:jc w:val="center"/>
              <w:rPr>
                <w:sz w:val="16"/>
                <w:szCs w:val="16"/>
              </w:rPr>
            </w:pPr>
          </w:p>
        </w:tc>
      </w:tr>
      <w:tr w:rsidR="00A4176D" w14:paraId="7279706E" w14:textId="77777777" w:rsidTr="00DC44B9">
        <w:trPr>
          <w:jc w:val="center"/>
        </w:trPr>
        <w:tc>
          <w:tcPr>
            <w:tcW w:w="2263" w:type="dxa"/>
            <w:gridSpan w:val="2"/>
            <w:tcBorders>
              <w:top w:val="nil"/>
              <w:bottom w:val="nil"/>
            </w:tcBorders>
            <w:vAlign w:val="center"/>
          </w:tcPr>
          <w:p w14:paraId="1846696F" w14:textId="77777777" w:rsidR="00A4176D" w:rsidRPr="00E30250" w:rsidRDefault="00A4176D" w:rsidP="00DC44B9">
            <w:pPr>
              <w:jc w:val="both"/>
              <w:rPr>
                <w:sz w:val="16"/>
                <w:szCs w:val="16"/>
              </w:rPr>
            </w:pPr>
            <w:r>
              <w:rPr>
                <w:sz w:val="16"/>
                <w:szCs w:val="16"/>
              </w:rPr>
              <w:t>BBVA Bancomer</w:t>
            </w:r>
          </w:p>
        </w:tc>
        <w:tc>
          <w:tcPr>
            <w:tcW w:w="993" w:type="dxa"/>
            <w:tcBorders>
              <w:top w:val="nil"/>
              <w:bottom w:val="nil"/>
            </w:tcBorders>
            <w:vAlign w:val="center"/>
          </w:tcPr>
          <w:p w14:paraId="60477ED8"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31DA152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66AA6E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492B48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B2578F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79F4DB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5761E9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F80FD11" w14:textId="77777777" w:rsidR="00A4176D" w:rsidRPr="00E30250" w:rsidRDefault="00A4176D" w:rsidP="00DC44B9">
            <w:pPr>
              <w:jc w:val="center"/>
              <w:rPr>
                <w:sz w:val="16"/>
                <w:szCs w:val="16"/>
              </w:rPr>
            </w:pPr>
          </w:p>
        </w:tc>
      </w:tr>
      <w:tr w:rsidR="00A4176D" w14:paraId="7E641086" w14:textId="77777777" w:rsidTr="00DC44B9">
        <w:trPr>
          <w:jc w:val="center"/>
        </w:trPr>
        <w:tc>
          <w:tcPr>
            <w:tcW w:w="2263" w:type="dxa"/>
            <w:gridSpan w:val="2"/>
            <w:tcBorders>
              <w:top w:val="nil"/>
              <w:bottom w:val="nil"/>
            </w:tcBorders>
            <w:vAlign w:val="center"/>
          </w:tcPr>
          <w:p w14:paraId="37DB2472" w14:textId="77777777" w:rsidR="00A4176D" w:rsidRPr="00E30250" w:rsidRDefault="00A4176D" w:rsidP="00DC44B9">
            <w:pPr>
              <w:jc w:val="both"/>
              <w:rPr>
                <w:sz w:val="16"/>
                <w:szCs w:val="16"/>
              </w:rPr>
            </w:pPr>
            <w:r>
              <w:rPr>
                <w:sz w:val="16"/>
                <w:szCs w:val="16"/>
              </w:rPr>
              <w:t>CIBanco</w:t>
            </w:r>
          </w:p>
        </w:tc>
        <w:tc>
          <w:tcPr>
            <w:tcW w:w="993" w:type="dxa"/>
            <w:tcBorders>
              <w:top w:val="nil"/>
              <w:bottom w:val="nil"/>
            </w:tcBorders>
            <w:vAlign w:val="center"/>
          </w:tcPr>
          <w:p w14:paraId="6D12063F"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786A11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2DFA3B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8975BB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1A6984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F2DC8D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A7EDE8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02B0B7A" w14:textId="77777777" w:rsidR="00A4176D" w:rsidRPr="00E30250" w:rsidRDefault="00A4176D" w:rsidP="00DC44B9">
            <w:pPr>
              <w:jc w:val="center"/>
              <w:rPr>
                <w:sz w:val="16"/>
                <w:szCs w:val="16"/>
              </w:rPr>
            </w:pPr>
          </w:p>
        </w:tc>
      </w:tr>
      <w:tr w:rsidR="00A4176D" w14:paraId="0F06BA91" w14:textId="77777777" w:rsidTr="00DC44B9">
        <w:trPr>
          <w:jc w:val="center"/>
        </w:trPr>
        <w:tc>
          <w:tcPr>
            <w:tcW w:w="2263" w:type="dxa"/>
            <w:gridSpan w:val="2"/>
            <w:tcBorders>
              <w:top w:val="nil"/>
              <w:bottom w:val="nil"/>
            </w:tcBorders>
            <w:vAlign w:val="center"/>
          </w:tcPr>
          <w:p w14:paraId="5FDAD046" w14:textId="77777777" w:rsidR="00A4176D" w:rsidRPr="00E30250" w:rsidRDefault="00A4176D" w:rsidP="00DC44B9">
            <w:pPr>
              <w:jc w:val="both"/>
              <w:rPr>
                <w:sz w:val="16"/>
                <w:szCs w:val="16"/>
              </w:rPr>
            </w:pPr>
            <w:r>
              <w:rPr>
                <w:sz w:val="16"/>
                <w:szCs w:val="16"/>
              </w:rPr>
              <w:t>Compartamos</w:t>
            </w:r>
          </w:p>
        </w:tc>
        <w:tc>
          <w:tcPr>
            <w:tcW w:w="993" w:type="dxa"/>
            <w:tcBorders>
              <w:top w:val="nil"/>
              <w:bottom w:val="nil"/>
            </w:tcBorders>
            <w:vAlign w:val="center"/>
          </w:tcPr>
          <w:p w14:paraId="68750756"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CA75C62"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B901C4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298BEC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8DCD2E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A93E19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42AA3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87B3BA" w14:textId="77777777" w:rsidR="00A4176D" w:rsidRPr="00E30250" w:rsidRDefault="00A4176D" w:rsidP="00DC44B9">
            <w:pPr>
              <w:jc w:val="center"/>
              <w:rPr>
                <w:sz w:val="16"/>
                <w:szCs w:val="16"/>
              </w:rPr>
            </w:pPr>
          </w:p>
        </w:tc>
      </w:tr>
      <w:tr w:rsidR="00A4176D" w14:paraId="4ABEC26C" w14:textId="77777777" w:rsidTr="00DC44B9">
        <w:trPr>
          <w:jc w:val="center"/>
        </w:trPr>
        <w:tc>
          <w:tcPr>
            <w:tcW w:w="2263" w:type="dxa"/>
            <w:gridSpan w:val="2"/>
            <w:tcBorders>
              <w:top w:val="nil"/>
              <w:bottom w:val="nil"/>
            </w:tcBorders>
            <w:vAlign w:val="center"/>
          </w:tcPr>
          <w:p w14:paraId="103017E8" w14:textId="77777777" w:rsidR="00A4176D" w:rsidRPr="00E30250" w:rsidRDefault="00A4176D" w:rsidP="00DC44B9">
            <w:pPr>
              <w:jc w:val="both"/>
              <w:rPr>
                <w:sz w:val="16"/>
                <w:szCs w:val="16"/>
              </w:rPr>
            </w:pPr>
            <w:r>
              <w:rPr>
                <w:sz w:val="16"/>
                <w:szCs w:val="16"/>
              </w:rPr>
              <w:t>Consubanco</w:t>
            </w:r>
          </w:p>
        </w:tc>
        <w:tc>
          <w:tcPr>
            <w:tcW w:w="993" w:type="dxa"/>
            <w:tcBorders>
              <w:top w:val="nil"/>
              <w:bottom w:val="nil"/>
            </w:tcBorders>
            <w:vAlign w:val="center"/>
          </w:tcPr>
          <w:p w14:paraId="2011E0D9" w14:textId="77777777" w:rsidR="00A4176D" w:rsidRPr="00E30250" w:rsidRDefault="00A4176D" w:rsidP="00DC44B9">
            <w:pPr>
              <w:jc w:val="center"/>
              <w:rPr>
                <w:sz w:val="16"/>
                <w:szCs w:val="16"/>
              </w:rPr>
            </w:pPr>
            <w:r>
              <w:rPr>
                <w:sz w:val="16"/>
                <w:szCs w:val="16"/>
              </w:rPr>
              <w:t>98</w:t>
            </w:r>
          </w:p>
        </w:tc>
        <w:tc>
          <w:tcPr>
            <w:tcW w:w="796" w:type="dxa"/>
            <w:tcBorders>
              <w:top w:val="nil"/>
              <w:bottom w:val="nil"/>
            </w:tcBorders>
            <w:shd w:val="clear" w:color="auto" w:fill="00B050"/>
            <w:vAlign w:val="center"/>
          </w:tcPr>
          <w:p w14:paraId="68EB95D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0E004A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D1ECF83"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20B9674"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197AD04"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2D55A3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DF352DE" w14:textId="77777777" w:rsidR="00A4176D" w:rsidRPr="00E30250" w:rsidRDefault="00A4176D" w:rsidP="00DC44B9">
            <w:pPr>
              <w:jc w:val="center"/>
              <w:rPr>
                <w:sz w:val="16"/>
                <w:szCs w:val="16"/>
              </w:rPr>
            </w:pPr>
          </w:p>
        </w:tc>
      </w:tr>
      <w:tr w:rsidR="00A4176D" w14:paraId="56F2ADFC" w14:textId="77777777" w:rsidTr="00DC44B9">
        <w:trPr>
          <w:jc w:val="center"/>
        </w:trPr>
        <w:tc>
          <w:tcPr>
            <w:tcW w:w="2263" w:type="dxa"/>
            <w:gridSpan w:val="2"/>
            <w:tcBorders>
              <w:top w:val="nil"/>
              <w:bottom w:val="nil"/>
            </w:tcBorders>
            <w:vAlign w:val="center"/>
          </w:tcPr>
          <w:p w14:paraId="133596C8" w14:textId="77777777" w:rsidR="00A4176D" w:rsidRPr="00E30250" w:rsidRDefault="00A4176D" w:rsidP="00DC44B9">
            <w:pPr>
              <w:jc w:val="both"/>
              <w:rPr>
                <w:sz w:val="16"/>
                <w:szCs w:val="16"/>
              </w:rPr>
            </w:pPr>
            <w:r>
              <w:rPr>
                <w:sz w:val="16"/>
                <w:szCs w:val="16"/>
              </w:rPr>
              <w:t>Deutsche Bank</w:t>
            </w:r>
          </w:p>
        </w:tc>
        <w:tc>
          <w:tcPr>
            <w:tcW w:w="993" w:type="dxa"/>
            <w:tcBorders>
              <w:top w:val="nil"/>
              <w:bottom w:val="nil"/>
            </w:tcBorders>
            <w:vAlign w:val="center"/>
          </w:tcPr>
          <w:p w14:paraId="09E63F91"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121470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4AF084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9DE384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D20FDF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5BCADB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26171B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F555035" w14:textId="77777777" w:rsidR="00A4176D" w:rsidRPr="00E30250" w:rsidRDefault="00A4176D" w:rsidP="00DC44B9">
            <w:pPr>
              <w:jc w:val="center"/>
              <w:rPr>
                <w:sz w:val="16"/>
                <w:szCs w:val="16"/>
              </w:rPr>
            </w:pPr>
          </w:p>
        </w:tc>
      </w:tr>
      <w:tr w:rsidR="00A4176D" w14:paraId="212BD95B" w14:textId="77777777" w:rsidTr="00DC44B9">
        <w:trPr>
          <w:jc w:val="center"/>
        </w:trPr>
        <w:tc>
          <w:tcPr>
            <w:tcW w:w="2263" w:type="dxa"/>
            <w:gridSpan w:val="2"/>
            <w:tcBorders>
              <w:top w:val="nil"/>
              <w:bottom w:val="nil"/>
            </w:tcBorders>
            <w:vAlign w:val="center"/>
          </w:tcPr>
          <w:p w14:paraId="3709873F" w14:textId="77777777" w:rsidR="00A4176D" w:rsidRPr="00E30250" w:rsidRDefault="00A4176D" w:rsidP="00DC44B9">
            <w:pPr>
              <w:jc w:val="both"/>
              <w:rPr>
                <w:sz w:val="16"/>
                <w:szCs w:val="16"/>
              </w:rPr>
            </w:pPr>
            <w:r>
              <w:rPr>
                <w:sz w:val="16"/>
                <w:szCs w:val="16"/>
              </w:rPr>
              <w:t>Dondé Banco</w:t>
            </w:r>
          </w:p>
        </w:tc>
        <w:tc>
          <w:tcPr>
            <w:tcW w:w="993" w:type="dxa"/>
            <w:tcBorders>
              <w:top w:val="nil"/>
              <w:bottom w:val="nil"/>
            </w:tcBorders>
            <w:vAlign w:val="center"/>
          </w:tcPr>
          <w:p w14:paraId="0396488B"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3769A90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B85612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6ED148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03A109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E9BEAB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E894C19"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439317A" w14:textId="77777777" w:rsidR="00A4176D" w:rsidRPr="00E30250" w:rsidRDefault="00A4176D" w:rsidP="00DC44B9">
            <w:pPr>
              <w:jc w:val="center"/>
              <w:rPr>
                <w:sz w:val="16"/>
                <w:szCs w:val="16"/>
              </w:rPr>
            </w:pPr>
          </w:p>
        </w:tc>
      </w:tr>
      <w:tr w:rsidR="00A4176D" w14:paraId="0AE00F05" w14:textId="77777777" w:rsidTr="00DC44B9">
        <w:trPr>
          <w:jc w:val="center"/>
        </w:trPr>
        <w:tc>
          <w:tcPr>
            <w:tcW w:w="2263" w:type="dxa"/>
            <w:gridSpan w:val="2"/>
            <w:tcBorders>
              <w:top w:val="nil"/>
              <w:bottom w:val="nil"/>
            </w:tcBorders>
            <w:vAlign w:val="center"/>
          </w:tcPr>
          <w:p w14:paraId="2A3E4F34" w14:textId="77777777" w:rsidR="00A4176D" w:rsidRDefault="00A4176D" w:rsidP="00DC44B9">
            <w:pPr>
              <w:jc w:val="both"/>
              <w:rPr>
                <w:sz w:val="16"/>
                <w:szCs w:val="16"/>
              </w:rPr>
            </w:pPr>
            <w:r>
              <w:rPr>
                <w:sz w:val="16"/>
                <w:szCs w:val="16"/>
              </w:rPr>
              <w:t>Forjadores</w:t>
            </w:r>
          </w:p>
        </w:tc>
        <w:tc>
          <w:tcPr>
            <w:tcW w:w="993" w:type="dxa"/>
            <w:tcBorders>
              <w:top w:val="nil"/>
              <w:bottom w:val="nil"/>
            </w:tcBorders>
            <w:vAlign w:val="center"/>
          </w:tcPr>
          <w:p w14:paraId="33713AE2"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FFFF00"/>
            <w:vAlign w:val="center"/>
          </w:tcPr>
          <w:p w14:paraId="19ECC46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B373DC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14A6C3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F25464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406E22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71E998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BF54189" w14:textId="77777777" w:rsidR="00A4176D" w:rsidRPr="00E30250" w:rsidRDefault="00A4176D" w:rsidP="00DC44B9">
            <w:pPr>
              <w:jc w:val="center"/>
              <w:rPr>
                <w:sz w:val="16"/>
                <w:szCs w:val="16"/>
              </w:rPr>
            </w:pPr>
          </w:p>
        </w:tc>
      </w:tr>
      <w:tr w:rsidR="00A4176D" w14:paraId="72758A1D" w14:textId="77777777" w:rsidTr="00DC44B9">
        <w:trPr>
          <w:jc w:val="center"/>
        </w:trPr>
        <w:tc>
          <w:tcPr>
            <w:tcW w:w="2263" w:type="dxa"/>
            <w:gridSpan w:val="2"/>
            <w:tcBorders>
              <w:top w:val="nil"/>
              <w:bottom w:val="nil"/>
            </w:tcBorders>
            <w:vAlign w:val="center"/>
          </w:tcPr>
          <w:p w14:paraId="50ACFC2C" w14:textId="77777777" w:rsidR="00A4176D" w:rsidRDefault="00A4176D" w:rsidP="00DC44B9">
            <w:pPr>
              <w:jc w:val="both"/>
              <w:rPr>
                <w:sz w:val="16"/>
                <w:szCs w:val="16"/>
              </w:rPr>
            </w:pPr>
            <w:r>
              <w:rPr>
                <w:sz w:val="16"/>
                <w:szCs w:val="16"/>
              </w:rPr>
              <w:t>HSBC</w:t>
            </w:r>
          </w:p>
        </w:tc>
        <w:tc>
          <w:tcPr>
            <w:tcW w:w="993" w:type="dxa"/>
            <w:tcBorders>
              <w:top w:val="nil"/>
              <w:bottom w:val="nil"/>
            </w:tcBorders>
            <w:vAlign w:val="center"/>
          </w:tcPr>
          <w:p w14:paraId="1752F728" w14:textId="77777777" w:rsidR="00A4176D" w:rsidRPr="00E30250" w:rsidRDefault="00A4176D" w:rsidP="00DC44B9">
            <w:pPr>
              <w:jc w:val="center"/>
              <w:rPr>
                <w:sz w:val="16"/>
                <w:szCs w:val="16"/>
              </w:rPr>
            </w:pPr>
            <w:r>
              <w:rPr>
                <w:sz w:val="16"/>
                <w:szCs w:val="16"/>
              </w:rPr>
              <w:t>90</w:t>
            </w:r>
          </w:p>
        </w:tc>
        <w:tc>
          <w:tcPr>
            <w:tcW w:w="796" w:type="dxa"/>
            <w:tcBorders>
              <w:top w:val="nil"/>
              <w:bottom w:val="nil"/>
            </w:tcBorders>
            <w:shd w:val="clear" w:color="auto" w:fill="FFFF00"/>
            <w:vAlign w:val="center"/>
          </w:tcPr>
          <w:p w14:paraId="64E084D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454CE4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47A26A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D2A8D1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474A2A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991741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C1FFE8E" w14:textId="77777777" w:rsidR="00A4176D" w:rsidRPr="00E30250" w:rsidRDefault="00A4176D" w:rsidP="00DC44B9">
            <w:pPr>
              <w:jc w:val="center"/>
              <w:rPr>
                <w:sz w:val="16"/>
                <w:szCs w:val="16"/>
              </w:rPr>
            </w:pPr>
          </w:p>
        </w:tc>
      </w:tr>
      <w:tr w:rsidR="00A4176D" w14:paraId="2207E90B" w14:textId="77777777" w:rsidTr="00DC44B9">
        <w:trPr>
          <w:jc w:val="center"/>
        </w:trPr>
        <w:tc>
          <w:tcPr>
            <w:tcW w:w="2263" w:type="dxa"/>
            <w:gridSpan w:val="2"/>
            <w:tcBorders>
              <w:top w:val="nil"/>
              <w:bottom w:val="nil"/>
            </w:tcBorders>
            <w:vAlign w:val="center"/>
          </w:tcPr>
          <w:p w14:paraId="2240768B" w14:textId="77777777" w:rsidR="00A4176D" w:rsidRDefault="00A4176D" w:rsidP="00DC44B9">
            <w:pPr>
              <w:jc w:val="both"/>
              <w:rPr>
                <w:sz w:val="16"/>
                <w:szCs w:val="16"/>
              </w:rPr>
            </w:pPr>
            <w:r>
              <w:rPr>
                <w:sz w:val="16"/>
                <w:szCs w:val="16"/>
              </w:rPr>
              <w:t>Inbursa</w:t>
            </w:r>
          </w:p>
        </w:tc>
        <w:tc>
          <w:tcPr>
            <w:tcW w:w="993" w:type="dxa"/>
            <w:tcBorders>
              <w:top w:val="nil"/>
              <w:bottom w:val="nil"/>
            </w:tcBorders>
            <w:vAlign w:val="center"/>
          </w:tcPr>
          <w:p w14:paraId="1E107DA7"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79B12A4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CAF27D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697C19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6EB7676"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22C38DA"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458DCE9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C3AACE6" w14:textId="77777777" w:rsidR="00A4176D" w:rsidRPr="00E30250" w:rsidRDefault="00A4176D" w:rsidP="00DC44B9">
            <w:pPr>
              <w:jc w:val="center"/>
              <w:rPr>
                <w:sz w:val="16"/>
                <w:szCs w:val="16"/>
              </w:rPr>
            </w:pPr>
          </w:p>
        </w:tc>
      </w:tr>
      <w:tr w:rsidR="00A4176D" w14:paraId="5CDD73AE" w14:textId="77777777" w:rsidTr="00DC44B9">
        <w:trPr>
          <w:jc w:val="center"/>
        </w:trPr>
        <w:tc>
          <w:tcPr>
            <w:tcW w:w="2263" w:type="dxa"/>
            <w:gridSpan w:val="2"/>
            <w:tcBorders>
              <w:top w:val="nil"/>
              <w:bottom w:val="nil"/>
            </w:tcBorders>
            <w:vAlign w:val="center"/>
          </w:tcPr>
          <w:p w14:paraId="24841DA5" w14:textId="77777777" w:rsidR="00A4176D" w:rsidRDefault="00A4176D" w:rsidP="00DC44B9">
            <w:pPr>
              <w:jc w:val="both"/>
              <w:rPr>
                <w:sz w:val="16"/>
                <w:szCs w:val="16"/>
              </w:rPr>
            </w:pPr>
            <w:r>
              <w:rPr>
                <w:sz w:val="16"/>
                <w:szCs w:val="16"/>
              </w:rPr>
              <w:t>Inmobiliario Mexicano</w:t>
            </w:r>
          </w:p>
        </w:tc>
        <w:tc>
          <w:tcPr>
            <w:tcW w:w="993" w:type="dxa"/>
            <w:tcBorders>
              <w:top w:val="nil"/>
              <w:bottom w:val="nil"/>
            </w:tcBorders>
            <w:vAlign w:val="center"/>
          </w:tcPr>
          <w:p w14:paraId="7B7203D3"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009C16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14D106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47A97D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E2089F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15AC28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1E53BB6"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2309553" w14:textId="77777777" w:rsidR="00A4176D" w:rsidRPr="00E30250" w:rsidRDefault="00A4176D" w:rsidP="00DC44B9">
            <w:pPr>
              <w:jc w:val="center"/>
              <w:rPr>
                <w:sz w:val="16"/>
                <w:szCs w:val="16"/>
              </w:rPr>
            </w:pPr>
          </w:p>
        </w:tc>
      </w:tr>
      <w:tr w:rsidR="00A4176D" w14:paraId="7F63EBEE" w14:textId="77777777" w:rsidTr="00DC44B9">
        <w:trPr>
          <w:jc w:val="center"/>
        </w:trPr>
        <w:tc>
          <w:tcPr>
            <w:tcW w:w="2263" w:type="dxa"/>
            <w:gridSpan w:val="2"/>
            <w:tcBorders>
              <w:top w:val="nil"/>
              <w:bottom w:val="nil"/>
            </w:tcBorders>
            <w:vAlign w:val="center"/>
          </w:tcPr>
          <w:p w14:paraId="36ABD4F2" w14:textId="77777777" w:rsidR="00A4176D" w:rsidRDefault="00A4176D" w:rsidP="00DC44B9">
            <w:pPr>
              <w:jc w:val="both"/>
              <w:rPr>
                <w:sz w:val="16"/>
                <w:szCs w:val="16"/>
              </w:rPr>
            </w:pPr>
            <w:r>
              <w:rPr>
                <w:sz w:val="16"/>
                <w:szCs w:val="16"/>
              </w:rPr>
              <w:t>Interacciones</w:t>
            </w:r>
          </w:p>
        </w:tc>
        <w:tc>
          <w:tcPr>
            <w:tcW w:w="993" w:type="dxa"/>
            <w:tcBorders>
              <w:top w:val="nil"/>
              <w:bottom w:val="nil"/>
            </w:tcBorders>
            <w:vAlign w:val="center"/>
          </w:tcPr>
          <w:p w14:paraId="79150F9E"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38051A1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6C670D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5E4DB4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7BDECF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C38B16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5FA5E96"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10B73BE" w14:textId="77777777" w:rsidR="00A4176D" w:rsidRPr="00E30250" w:rsidRDefault="00A4176D" w:rsidP="00DC44B9">
            <w:pPr>
              <w:jc w:val="center"/>
              <w:rPr>
                <w:sz w:val="16"/>
                <w:szCs w:val="16"/>
              </w:rPr>
            </w:pPr>
          </w:p>
        </w:tc>
      </w:tr>
      <w:tr w:rsidR="00A4176D" w14:paraId="31DF7284" w14:textId="77777777" w:rsidTr="00DC44B9">
        <w:trPr>
          <w:jc w:val="center"/>
        </w:trPr>
        <w:tc>
          <w:tcPr>
            <w:tcW w:w="2263" w:type="dxa"/>
            <w:gridSpan w:val="2"/>
            <w:tcBorders>
              <w:top w:val="nil"/>
              <w:bottom w:val="nil"/>
            </w:tcBorders>
            <w:vAlign w:val="center"/>
          </w:tcPr>
          <w:p w14:paraId="375EF43C" w14:textId="77777777" w:rsidR="00A4176D" w:rsidRDefault="00A4176D" w:rsidP="00DC44B9">
            <w:pPr>
              <w:jc w:val="both"/>
              <w:rPr>
                <w:sz w:val="16"/>
                <w:szCs w:val="16"/>
              </w:rPr>
            </w:pPr>
            <w:r>
              <w:rPr>
                <w:sz w:val="16"/>
                <w:szCs w:val="16"/>
              </w:rPr>
              <w:t>Intercam Banco</w:t>
            </w:r>
          </w:p>
        </w:tc>
        <w:tc>
          <w:tcPr>
            <w:tcW w:w="993" w:type="dxa"/>
            <w:tcBorders>
              <w:top w:val="nil"/>
              <w:bottom w:val="nil"/>
            </w:tcBorders>
            <w:vAlign w:val="center"/>
          </w:tcPr>
          <w:p w14:paraId="50CC757E" w14:textId="77777777" w:rsidR="00A4176D" w:rsidRPr="00E30250" w:rsidRDefault="00A4176D" w:rsidP="00DC44B9">
            <w:pPr>
              <w:jc w:val="center"/>
              <w:rPr>
                <w:sz w:val="16"/>
                <w:szCs w:val="16"/>
              </w:rPr>
            </w:pPr>
            <w:r>
              <w:rPr>
                <w:sz w:val="16"/>
                <w:szCs w:val="16"/>
              </w:rPr>
              <w:t>98</w:t>
            </w:r>
          </w:p>
        </w:tc>
        <w:tc>
          <w:tcPr>
            <w:tcW w:w="796" w:type="dxa"/>
            <w:tcBorders>
              <w:top w:val="nil"/>
              <w:bottom w:val="nil"/>
            </w:tcBorders>
            <w:shd w:val="clear" w:color="auto" w:fill="00B050"/>
            <w:vAlign w:val="center"/>
          </w:tcPr>
          <w:p w14:paraId="4EC4387E"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58B80BD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7AA4D2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B5ED784"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07EB09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748FE7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6583B14" w14:textId="77777777" w:rsidR="00A4176D" w:rsidRPr="00E30250" w:rsidRDefault="00A4176D" w:rsidP="00DC44B9">
            <w:pPr>
              <w:jc w:val="center"/>
              <w:rPr>
                <w:sz w:val="16"/>
                <w:szCs w:val="16"/>
              </w:rPr>
            </w:pPr>
          </w:p>
        </w:tc>
      </w:tr>
      <w:tr w:rsidR="00A4176D" w14:paraId="3AB6D3F5" w14:textId="77777777" w:rsidTr="00DC44B9">
        <w:trPr>
          <w:jc w:val="center"/>
        </w:trPr>
        <w:tc>
          <w:tcPr>
            <w:tcW w:w="2263" w:type="dxa"/>
            <w:gridSpan w:val="2"/>
            <w:tcBorders>
              <w:top w:val="nil"/>
              <w:bottom w:val="nil"/>
            </w:tcBorders>
            <w:vAlign w:val="center"/>
          </w:tcPr>
          <w:p w14:paraId="6438FC5B" w14:textId="77777777" w:rsidR="00A4176D" w:rsidRDefault="00A4176D" w:rsidP="00DC44B9">
            <w:pPr>
              <w:jc w:val="both"/>
              <w:rPr>
                <w:sz w:val="16"/>
                <w:szCs w:val="16"/>
              </w:rPr>
            </w:pPr>
            <w:r>
              <w:rPr>
                <w:sz w:val="16"/>
                <w:szCs w:val="16"/>
              </w:rPr>
              <w:t>Investa Bank</w:t>
            </w:r>
          </w:p>
        </w:tc>
        <w:tc>
          <w:tcPr>
            <w:tcW w:w="993" w:type="dxa"/>
            <w:tcBorders>
              <w:top w:val="nil"/>
              <w:bottom w:val="nil"/>
            </w:tcBorders>
            <w:vAlign w:val="center"/>
          </w:tcPr>
          <w:p w14:paraId="7936170E" w14:textId="77777777" w:rsidR="00A4176D" w:rsidRPr="00E30250" w:rsidRDefault="00A4176D" w:rsidP="00DC44B9">
            <w:pPr>
              <w:jc w:val="center"/>
              <w:rPr>
                <w:sz w:val="16"/>
                <w:szCs w:val="16"/>
              </w:rPr>
            </w:pPr>
            <w:r>
              <w:rPr>
                <w:sz w:val="16"/>
                <w:szCs w:val="16"/>
              </w:rPr>
              <w:t>78</w:t>
            </w:r>
          </w:p>
        </w:tc>
        <w:tc>
          <w:tcPr>
            <w:tcW w:w="796" w:type="dxa"/>
            <w:tcBorders>
              <w:top w:val="nil"/>
              <w:bottom w:val="nil"/>
            </w:tcBorders>
            <w:shd w:val="clear" w:color="auto" w:fill="00B050"/>
            <w:vAlign w:val="center"/>
          </w:tcPr>
          <w:p w14:paraId="2B1F78C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16984D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81B2E4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5CB874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C108F46"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2552EE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8F5D9F1" w14:textId="77777777" w:rsidR="00A4176D" w:rsidRPr="00E30250" w:rsidRDefault="00A4176D" w:rsidP="00DC44B9">
            <w:pPr>
              <w:jc w:val="center"/>
              <w:rPr>
                <w:sz w:val="16"/>
                <w:szCs w:val="16"/>
              </w:rPr>
            </w:pPr>
          </w:p>
        </w:tc>
      </w:tr>
      <w:tr w:rsidR="00A4176D" w14:paraId="44422979" w14:textId="77777777" w:rsidTr="00DC44B9">
        <w:trPr>
          <w:jc w:val="center"/>
        </w:trPr>
        <w:tc>
          <w:tcPr>
            <w:tcW w:w="2263" w:type="dxa"/>
            <w:gridSpan w:val="2"/>
            <w:tcBorders>
              <w:top w:val="nil"/>
              <w:bottom w:val="nil"/>
            </w:tcBorders>
            <w:vAlign w:val="center"/>
          </w:tcPr>
          <w:p w14:paraId="12EE3CF1" w14:textId="77777777" w:rsidR="00A4176D" w:rsidRDefault="00A4176D" w:rsidP="00DC44B9">
            <w:pPr>
              <w:jc w:val="both"/>
              <w:rPr>
                <w:sz w:val="16"/>
                <w:szCs w:val="16"/>
              </w:rPr>
            </w:pPr>
            <w:r>
              <w:rPr>
                <w:sz w:val="16"/>
                <w:szCs w:val="16"/>
              </w:rPr>
              <w:t>Invex</w:t>
            </w:r>
          </w:p>
        </w:tc>
        <w:tc>
          <w:tcPr>
            <w:tcW w:w="993" w:type="dxa"/>
            <w:tcBorders>
              <w:top w:val="nil"/>
              <w:bottom w:val="nil"/>
            </w:tcBorders>
            <w:vAlign w:val="center"/>
          </w:tcPr>
          <w:p w14:paraId="58A4A258"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3EF4FE0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7C2609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701032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CE20D9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73106D7"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EE058E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FBF2D85" w14:textId="77777777" w:rsidR="00A4176D" w:rsidRPr="00E30250" w:rsidRDefault="00A4176D" w:rsidP="00DC44B9">
            <w:pPr>
              <w:jc w:val="center"/>
              <w:rPr>
                <w:sz w:val="16"/>
                <w:szCs w:val="16"/>
              </w:rPr>
            </w:pPr>
          </w:p>
        </w:tc>
      </w:tr>
      <w:tr w:rsidR="00A4176D" w14:paraId="790BF9BC" w14:textId="77777777" w:rsidTr="00DC44B9">
        <w:trPr>
          <w:jc w:val="center"/>
        </w:trPr>
        <w:tc>
          <w:tcPr>
            <w:tcW w:w="2263" w:type="dxa"/>
            <w:gridSpan w:val="2"/>
            <w:tcBorders>
              <w:top w:val="nil"/>
              <w:bottom w:val="nil"/>
            </w:tcBorders>
            <w:vAlign w:val="center"/>
          </w:tcPr>
          <w:p w14:paraId="393DDED9" w14:textId="77777777" w:rsidR="00A4176D" w:rsidRDefault="00A4176D" w:rsidP="00DC44B9">
            <w:pPr>
              <w:jc w:val="both"/>
              <w:rPr>
                <w:sz w:val="16"/>
                <w:szCs w:val="16"/>
              </w:rPr>
            </w:pPr>
            <w:r>
              <w:rPr>
                <w:sz w:val="16"/>
                <w:szCs w:val="16"/>
              </w:rPr>
              <w:t>JP Morgan</w:t>
            </w:r>
          </w:p>
        </w:tc>
        <w:tc>
          <w:tcPr>
            <w:tcW w:w="993" w:type="dxa"/>
            <w:tcBorders>
              <w:top w:val="nil"/>
              <w:bottom w:val="nil"/>
            </w:tcBorders>
            <w:vAlign w:val="center"/>
          </w:tcPr>
          <w:p w14:paraId="159B0726" w14:textId="77777777" w:rsidR="00A4176D" w:rsidRPr="00E30250" w:rsidRDefault="00A4176D" w:rsidP="00DC44B9">
            <w:pPr>
              <w:jc w:val="center"/>
              <w:rPr>
                <w:sz w:val="16"/>
                <w:szCs w:val="16"/>
              </w:rPr>
            </w:pPr>
            <w:r>
              <w:rPr>
                <w:sz w:val="16"/>
                <w:szCs w:val="16"/>
              </w:rPr>
              <w:t>98</w:t>
            </w:r>
          </w:p>
        </w:tc>
        <w:tc>
          <w:tcPr>
            <w:tcW w:w="796" w:type="dxa"/>
            <w:tcBorders>
              <w:top w:val="nil"/>
              <w:bottom w:val="nil"/>
            </w:tcBorders>
            <w:shd w:val="clear" w:color="auto" w:fill="00B050"/>
            <w:vAlign w:val="center"/>
          </w:tcPr>
          <w:p w14:paraId="776DE7E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E65DA5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47509C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0905D60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FF10BE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D63A28C"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25F9CB8" w14:textId="77777777" w:rsidR="00A4176D" w:rsidRPr="00E30250" w:rsidRDefault="00A4176D" w:rsidP="00DC44B9">
            <w:pPr>
              <w:jc w:val="center"/>
              <w:rPr>
                <w:sz w:val="16"/>
                <w:szCs w:val="16"/>
              </w:rPr>
            </w:pPr>
          </w:p>
        </w:tc>
      </w:tr>
      <w:tr w:rsidR="00A4176D" w14:paraId="1975D5E1" w14:textId="77777777" w:rsidTr="00DC44B9">
        <w:trPr>
          <w:jc w:val="center"/>
        </w:trPr>
        <w:tc>
          <w:tcPr>
            <w:tcW w:w="2263" w:type="dxa"/>
            <w:gridSpan w:val="2"/>
            <w:tcBorders>
              <w:top w:val="nil"/>
              <w:bottom w:val="nil"/>
            </w:tcBorders>
            <w:vAlign w:val="center"/>
          </w:tcPr>
          <w:p w14:paraId="5B7898A8" w14:textId="77777777" w:rsidR="00A4176D" w:rsidRDefault="00A4176D" w:rsidP="00DC44B9">
            <w:pPr>
              <w:jc w:val="both"/>
              <w:rPr>
                <w:sz w:val="16"/>
                <w:szCs w:val="16"/>
              </w:rPr>
            </w:pPr>
            <w:r>
              <w:rPr>
                <w:sz w:val="16"/>
                <w:szCs w:val="16"/>
              </w:rPr>
              <w:t>Monex</w:t>
            </w:r>
          </w:p>
        </w:tc>
        <w:tc>
          <w:tcPr>
            <w:tcW w:w="993" w:type="dxa"/>
            <w:tcBorders>
              <w:top w:val="nil"/>
              <w:bottom w:val="nil"/>
            </w:tcBorders>
            <w:vAlign w:val="center"/>
          </w:tcPr>
          <w:p w14:paraId="3C854C82"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60D4EB2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34DD51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BF3B2DC"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F2178EB"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2287E6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686F823"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2EA16B3" w14:textId="77777777" w:rsidR="00A4176D" w:rsidRPr="00E30250" w:rsidRDefault="00A4176D" w:rsidP="00DC44B9">
            <w:pPr>
              <w:jc w:val="center"/>
              <w:rPr>
                <w:sz w:val="16"/>
                <w:szCs w:val="16"/>
              </w:rPr>
            </w:pPr>
          </w:p>
        </w:tc>
      </w:tr>
      <w:tr w:rsidR="00A4176D" w14:paraId="2DE477F8" w14:textId="77777777" w:rsidTr="00DC44B9">
        <w:trPr>
          <w:jc w:val="center"/>
        </w:trPr>
        <w:tc>
          <w:tcPr>
            <w:tcW w:w="2263" w:type="dxa"/>
            <w:gridSpan w:val="2"/>
            <w:tcBorders>
              <w:top w:val="nil"/>
              <w:bottom w:val="nil"/>
            </w:tcBorders>
            <w:vAlign w:val="center"/>
          </w:tcPr>
          <w:p w14:paraId="589ACE29" w14:textId="77777777" w:rsidR="00A4176D" w:rsidRDefault="00A4176D" w:rsidP="00DC44B9">
            <w:pPr>
              <w:jc w:val="both"/>
              <w:rPr>
                <w:sz w:val="16"/>
                <w:szCs w:val="16"/>
              </w:rPr>
            </w:pPr>
            <w:r>
              <w:rPr>
                <w:sz w:val="16"/>
                <w:szCs w:val="16"/>
              </w:rPr>
              <w:t>Multiva</w:t>
            </w:r>
          </w:p>
        </w:tc>
        <w:tc>
          <w:tcPr>
            <w:tcW w:w="993" w:type="dxa"/>
            <w:tcBorders>
              <w:top w:val="nil"/>
              <w:bottom w:val="nil"/>
            </w:tcBorders>
            <w:vAlign w:val="center"/>
          </w:tcPr>
          <w:p w14:paraId="45E3E84A"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5353403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BD355F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5950832"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168337E"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58C2DA3"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6DBF76E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541F1C1" w14:textId="77777777" w:rsidR="00A4176D" w:rsidRPr="00E30250" w:rsidRDefault="00A4176D" w:rsidP="00DC44B9">
            <w:pPr>
              <w:jc w:val="center"/>
              <w:rPr>
                <w:sz w:val="16"/>
                <w:szCs w:val="16"/>
              </w:rPr>
            </w:pPr>
          </w:p>
        </w:tc>
      </w:tr>
      <w:tr w:rsidR="00A4176D" w14:paraId="3BFF8DD2" w14:textId="77777777" w:rsidTr="00DC44B9">
        <w:trPr>
          <w:jc w:val="center"/>
        </w:trPr>
        <w:tc>
          <w:tcPr>
            <w:tcW w:w="2263" w:type="dxa"/>
            <w:gridSpan w:val="2"/>
            <w:tcBorders>
              <w:top w:val="nil"/>
              <w:bottom w:val="nil"/>
            </w:tcBorders>
            <w:vAlign w:val="center"/>
          </w:tcPr>
          <w:p w14:paraId="30DB2C6D" w14:textId="77777777" w:rsidR="00A4176D" w:rsidRDefault="00A4176D" w:rsidP="00DC44B9">
            <w:pPr>
              <w:jc w:val="both"/>
              <w:rPr>
                <w:sz w:val="16"/>
                <w:szCs w:val="16"/>
              </w:rPr>
            </w:pPr>
            <w:r>
              <w:rPr>
                <w:sz w:val="16"/>
                <w:szCs w:val="16"/>
              </w:rPr>
              <w:t>Pagatodo</w:t>
            </w:r>
          </w:p>
        </w:tc>
        <w:tc>
          <w:tcPr>
            <w:tcW w:w="993" w:type="dxa"/>
            <w:tcBorders>
              <w:top w:val="nil"/>
              <w:bottom w:val="nil"/>
            </w:tcBorders>
            <w:vAlign w:val="center"/>
          </w:tcPr>
          <w:p w14:paraId="63442870"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48D03E88"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7FBCC2F"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1D50CA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35542E60"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983F76E"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6B8400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57C48BE" w14:textId="77777777" w:rsidR="00A4176D" w:rsidRPr="00E30250" w:rsidRDefault="00A4176D" w:rsidP="00DC44B9">
            <w:pPr>
              <w:jc w:val="center"/>
              <w:rPr>
                <w:sz w:val="16"/>
                <w:szCs w:val="16"/>
              </w:rPr>
            </w:pPr>
          </w:p>
        </w:tc>
      </w:tr>
      <w:tr w:rsidR="00A4176D" w14:paraId="2CA44468" w14:textId="77777777" w:rsidTr="00DC44B9">
        <w:trPr>
          <w:jc w:val="center"/>
        </w:trPr>
        <w:tc>
          <w:tcPr>
            <w:tcW w:w="2263" w:type="dxa"/>
            <w:gridSpan w:val="2"/>
            <w:tcBorders>
              <w:top w:val="nil"/>
              <w:bottom w:val="nil"/>
            </w:tcBorders>
            <w:vAlign w:val="center"/>
          </w:tcPr>
          <w:p w14:paraId="55F0813D" w14:textId="77777777" w:rsidR="00A4176D" w:rsidRDefault="00A4176D" w:rsidP="00DC44B9">
            <w:pPr>
              <w:jc w:val="both"/>
              <w:rPr>
                <w:sz w:val="16"/>
                <w:szCs w:val="16"/>
              </w:rPr>
            </w:pPr>
            <w:r>
              <w:rPr>
                <w:sz w:val="16"/>
                <w:szCs w:val="16"/>
              </w:rPr>
              <w:t>Santander</w:t>
            </w:r>
          </w:p>
        </w:tc>
        <w:tc>
          <w:tcPr>
            <w:tcW w:w="993" w:type="dxa"/>
            <w:tcBorders>
              <w:top w:val="nil"/>
              <w:bottom w:val="nil"/>
            </w:tcBorders>
            <w:vAlign w:val="center"/>
          </w:tcPr>
          <w:p w14:paraId="069AD3BC"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7CB98D37"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756B607A"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3611EEF"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2FEC7EFB"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ED039F4"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54C062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4094EF11" w14:textId="77777777" w:rsidR="00A4176D" w:rsidRPr="00E30250" w:rsidRDefault="00A4176D" w:rsidP="00DC44B9">
            <w:pPr>
              <w:jc w:val="center"/>
              <w:rPr>
                <w:sz w:val="16"/>
                <w:szCs w:val="16"/>
              </w:rPr>
            </w:pPr>
          </w:p>
        </w:tc>
      </w:tr>
      <w:tr w:rsidR="00A4176D" w14:paraId="0AFA526A" w14:textId="77777777" w:rsidTr="00DC44B9">
        <w:trPr>
          <w:jc w:val="center"/>
        </w:trPr>
        <w:tc>
          <w:tcPr>
            <w:tcW w:w="2263" w:type="dxa"/>
            <w:gridSpan w:val="2"/>
            <w:tcBorders>
              <w:top w:val="nil"/>
              <w:bottom w:val="nil"/>
            </w:tcBorders>
            <w:vAlign w:val="center"/>
          </w:tcPr>
          <w:p w14:paraId="34E10C78" w14:textId="77777777" w:rsidR="00A4176D" w:rsidRDefault="00A4176D" w:rsidP="00DC44B9">
            <w:pPr>
              <w:jc w:val="both"/>
              <w:rPr>
                <w:sz w:val="16"/>
                <w:szCs w:val="16"/>
              </w:rPr>
            </w:pPr>
            <w:r>
              <w:rPr>
                <w:sz w:val="16"/>
                <w:szCs w:val="16"/>
              </w:rPr>
              <w:t>Scotiabank</w:t>
            </w:r>
          </w:p>
        </w:tc>
        <w:tc>
          <w:tcPr>
            <w:tcW w:w="993" w:type="dxa"/>
            <w:tcBorders>
              <w:top w:val="nil"/>
              <w:bottom w:val="nil"/>
            </w:tcBorders>
            <w:vAlign w:val="center"/>
          </w:tcPr>
          <w:p w14:paraId="38A82465"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2589178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757570E"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0CB3677D"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5995F11D"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684FC30B" w14:textId="77777777" w:rsidR="00A4176D" w:rsidRPr="00E30250" w:rsidRDefault="00A4176D" w:rsidP="00DC44B9">
            <w:pPr>
              <w:jc w:val="center"/>
              <w:rPr>
                <w:sz w:val="16"/>
                <w:szCs w:val="16"/>
              </w:rPr>
            </w:pPr>
          </w:p>
        </w:tc>
        <w:tc>
          <w:tcPr>
            <w:tcW w:w="796" w:type="dxa"/>
            <w:tcBorders>
              <w:top w:val="nil"/>
              <w:bottom w:val="nil"/>
            </w:tcBorders>
            <w:shd w:val="clear" w:color="auto" w:fill="FF0000"/>
            <w:vAlign w:val="center"/>
          </w:tcPr>
          <w:p w14:paraId="56FA7135"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0D5F3E4" w14:textId="77777777" w:rsidR="00A4176D" w:rsidRPr="00E30250" w:rsidRDefault="00A4176D" w:rsidP="00DC44B9">
            <w:pPr>
              <w:jc w:val="center"/>
              <w:rPr>
                <w:sz w:val="16"/>
                <w:szCs w:val="16"/>
              </w:rPr>
            </w:pPr>
          </w:p>
        </w:tc>
      </w:tr>
      <w:tr w:rsidR="00A4176D" w14:paraId="4241C34F" w14:textId="77777777" w:rsidTr="00DC44B9">
        <w:trPr>
          <w:jc w:val="center"/>
        </w:trPr>
        <w:tc>
          <w:tcPr>
            <w:tcW w:w="2263" w:type="dxa"/>
            <w:gridSpan w:val="2"/>
            <w:tcBorders>
              <w:top w:val="nil"/>
              <w:bottom w:val="nil"/>
            </w:tcBorders>
            <w:vAlign w:val="center"/>
          </w:tcPr>
          <w:p w14:paraId="40386527" w14:textId="77777777" w:rsidR="00A4176D" w:rsidRDefault="00A4176D" w:rsidP="00DC44B9">
            <w:pPr>
              <w:jc w:val="both"/>
              <w:rPr>
                <w:sz w:val="16"/>
                <w:szCs w:val="16"/>
              </w:rPr>
            </w:pPr>
            <w:r>
              <w:rPr>
                <w:sz w:val="16"/>
                <w:szCs w:val="16"/>
              </w:rPr>
              <w:t>UBS</w:t>
            </w:r>
          </w:p>
        </w:tc>
        <w:tc>
          <w:tcPr>
            <w:tcW w:w="993" w:type="dxa"/>
            <w:tcBorders>
              <w:top w:val="nil"/>
              <w:bottom w:val="nil"/>
            </w:tcBorders>
            <w:vAlign w:val="center"/>
          </w:tcPr>
          <w:p w14:paraId="4E8D6F4B"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22F38031"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2899983"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23D31BE5"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74E1E9D8"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9D4F284"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19686CED" w14:textId="77777777" w:rsidR="00A4176D" w:rsidRPr="00E30250" w:rsidRDefault="00A4176D" w:rsidP="00DC44B9">
            <w:pPr>
              <w:jc w:val="center"/>
              <w:rPr>
                <w:sz w:val="16"/>
                <w:szCs w:val="16"/>
              </w:rPr>
            </w:pPr>
          </w:p>
        </w:tc>
        <w:tc>
          <w:tcPr>
            <w:tcW w:w="796" w:type="dxa"/>
            <w:tcBorders>
              <w:top w:val="nil"/>
              <w:bottom w:val="nil"/>
            </w:tcBorders>
            <w:shd w:val="clear" w:color="auto" w:fill="D9D9D9" w:themeFill="background1" w:themeFillShade="D9"/>
            <w:vAlign w:val="center"/>
          </w:tcPr>
          <w:p w14:paraId="562771B3" w14:textId="77777777" w:rsidR="00A4176D" w:rsidRPr="00E30250" w:rsidRDefault="00A4176D" w:rsidP="00DC44B9">
            <w:pPr>
              <w:jc w:val="center"/>
              <w:rPr>
                <w:sz w:val="16"/>
                <w:szCs w:val="16"/>
              </w:rPr>
            </w:pPr>
          </w:p>
        </w:tc>
      </w:tr>
      <w:tr w:rsidR="00A4176D" w14:paraId="112BBC97" w14:textId="77777777" w:rsidTr="00DC44B9">
        <w:trPr>
          <w:jc w:val="center"/>
        </w:trPr>
        <w:tc>
          <w:tcPr>
            <w:tcW w:w="2263" w:type="dxa"/>
            <w:gridSpan w:val="2"/>
            <w:tcBorders>
              <w:top w:val="nil"/>
              <w:bottom w:val="nil"/>
            </w:tcBorders>
            <w:vAlign w:val="center"/>
          </w:tcPr>
          <w:p w14:paraId="6FEE7B06" w14:textId="77777777" w:rsidR="00A4176D" w:rsidRDefault="00A4176D" w:rsidP="00DC44B9">
            <w:pPr>
              <w:jc w:val="both"/>
              <w:rPr>
                <w:sz w:val="16"/>
                <w:szCs w:val="16"/>
              </w:rPr>
            </w:pPr>
            <w:r>
              <w:rPr>
                <w:sz w:val="16"/>
                <w:szCs w:val="16"/>
              </w:rPr>
              <w:t>Ve por Más</w:t>
            </w:r>
          </w:p>
        </w:tc>
        <w:tc>
          <w:tcPr>
            <w:tcW w:w="993" w:type="dxa"/>
            <w:tcBorders>
              <w:top w:val="nil"/>
              <w:bottom w:val="nil"/>
            </w:tcBorders>
            <w:vAlign w:val="center"/>
          </w:tcPr>
          <w:p w14:paraId="2AF28067" w14:textId="77777777" w:rsidR="00A4176D" w:rsidRPr="00E30250" w:rsidRDefault="00A4176D" w:rsidP="00DC44B9">
            <w:pPr>
              <w:jc w:val="center"/>
              <w:rPr>
                <w:sz w:val="16"/>
                <w:szCs w:val="16"/>
              </w:rPr>
            </w:pPr>
            <w:r>
              <w:rPr>
                <w:sz w:val="16"/>
                <w:szCs w:val="16"/>
              </w:rPr>
              <w:t>100</w:t>
            </w:r>
          </w:p>
        </w:tc>
        <w:tc>
          <w:tcPr>
            <w:tcW w:w="796" w:type="dxa"/>
            <w:tcBorders>
              <w:top w:val="nil"/>
              <w:bottom w:val="nil"/>
            </w:tcBorders>
            <w:shd w:val="clear" w:color="auto" w:fill="00B050"/>
            <w:vAlign w:val="center"/>
          </w:tcPr>
          <w:p w14:paraId="3434C690"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67B23F4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3C3367A1"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1B1B7298"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707E24D"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54815679" w14:textId="77777777" w:rsidR="00A4176D" w:rsidRPr="00E30250" w:rsidRDefault="00A4176D" w:rsidP="00DC44B9">
            <w:pPr>
              <w:jc w:val="center"/>
              <w:rPr>
                <w:sz w:val="16"/>
                <w:szCs w:val="16"/>
              </w:rPr>
            </w:pPr>
          </w:p>
        </w:tc>
        <w:tc>
          <w:tcPr>
            <w:tcW w:w="796" w:type="dxa"/>
            <w:tcBorders>
              <w:top w:val="nil"/>
              <w:bottom w:val="nil"/>
            </w:tcBorders>
            <w:shd w:val="clear" w:color="auto" w:fill="00B050"/>
            <w:vAlign w:val="center"/>
          </w:tcPr>
          <w:p w14:paraId="00DF4A22" w14:textId="77777777" w:rsidR="00A4176D" w:rsidRPr="00E30250" w:rsidRDefault="00A4176D" w:rsidP="00DC44B9">
            <w:pPr>
              <w:jc w:val="center"/>
              <w:rPr>
                <w:sz w:val="16"/>
                <w:szCs w:val="16"/>
              </w:rPr>
            </w:pPr>
          </w:p>
        </w:tc>
      </w:tr>
      <w:tr w:rsidR="00A4176D" w14:paraId="0D5EF33F" w14:textId="77777777" w:rsidTr="00DC44B9">
        <w:trPr>
          <w:jc w:val="center"/>
        </w:trPr>
        <w:tc>
          <w:tcPr>
            <w:tcW w:w="2263" w:type="dxa"/>
            <w:gridSpan w:val="2"/>
            <w:tcBorders>
              <w:top w:val="nil"/>
              <w:bottom w:val="single" w:sz="4" w:space="0" w:color="auto"/>
            </w:tcBorders>
            <w:vAlign w:val="center"/>
          </w:tcPr>
          <w:p w14:paraId="55EEB636" w14:textId="77777777" w:rsidR="00A4176D" w:rsidRDefault="00A4176D" w:rsidP="00DC44B9">
            <w:pPr>
              <w:spacing w:after="120"/>
              <w:jc w:val="both"/>
              <w:rPr>
                <w:sz w:val="16"/>
                <w:szCs w:val="16"/>
              </w:rPr>
            </w:pPr>
            <w:r>
              <w:rPr>
                <w:sz w:val="16"/>
                <w:szCs w:val="16"/>
              </w:rPr>
              <w:t>Volkswagen Bank</w:t>
            </w:r>
          </w:p>
        </w:tc>
        <w:tc>
          <w:tcPr>
            <w:tcW w:w="993" w:type="dxa"/>
            <w:tcBorders>
              <w:top w:val="nil"/>
              <w:bottom w:val="single" w:sz="4" w:space="0" w:color="auto"/>
            </w:tcBorders>
            <w:vAlign w:val="center"/>
          </w:tcPr>
          <w:p w14:paraId="41D1144A" w14:textId="77777777" w:rsidR="00A4176D" w:rsidRPr="00E30250" w:rsidRDefault="00A4176D" w:rsidP="00DC44B9">
            <w:pPr>
              <w:jc w:val="center"/>
              <w:rPr>
                <w:sz w:val="16"/>
                <w:szCs w:val="16"/>
              </w:rPr>
            </w:pPr>
            <w:r>
              <w:rPr>
                <w:sz w:val="16"/>
                <w:szCs w:val="16"/>
              </w:rPr>
              <w:t>100</w:t>
            </w:r>
          </w:p>
        </w:tc>
        <w:tc>
          <w:tcPr>
            <w:tcW w:w="796" w:type="dxa"/>
            <w:tcBorders>
              <w:top w:val="nil"/>
              <w:bottom w:val="single" w:sz="4" w:space="0" w:color="auto"/>
            </w:tcBorders>
            <w:shd w:val="clear" w:color="auto" w:fill="00B050"/>
            <w:vAlign w:val="center"/>
          </w:tcPr>
          <w:p w14:paraId="0D0434CD"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756A4EBF"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0A5BF106"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043A1B92"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44405FD8"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74A9B6F6" w14:textId="77777777" w:rsidR="00A4176D" w:rsidRPr="00E30250" w:rsidRDefault="00A4176D" w:rsidP="00DC44B9">
            <w:pPr>
              <w:spacing w:after="120"/>
              <w:jc w:val="center"/>
              <w:rPr>
                <w:sz w:val="16"/>
                <w:szCs w:val="16"/>
              </w:rPr>
            </w:pPr>
          </w:p>
        </w:tc>
        <w:tc>
          <w:tcPr>
            <w:tcW w:w="796" w:type="dxa"/>
            <w:tcBorders>
              <w:top w:val="nil"/>
              <w:bottom w:val="single" w:sz="4" w:space="0" w:color="auto"/>
            </w:tcBorders>
            <w:shd w:val="clear" w:color="auto" w:fill="D9D9D9" w:themeFill="background1" w:themeFillShade="D9"/>
            <w:vAlign w:val="center"/>
          </w:tcPr>
          <w:p w14:paraId="2DDCDEE0" w14:textId="77777777" w:rsidR="00A4176D" w:rsidRPr="00E30250" w:rsidRDefault="00A4176D" w:rsidP="00DC44B9">
            <w:pPr>
              <w:spacing w:after="120"/>
              <w:jc w:val="center"/>
              <w:rPr>
                <w:sz w:val="16"/>
                <w:szCs w:val="16"/>
              </w:rPr>
            </w:pPr>
          </w:p>
        </w:tc>
      </w:tr>
      <w:tr w:rsidR="00A4176D" w:rsidRPr="004802D8" w14:paraId="7B933891" w14:textId="77777777" w:rsidTr="00DC44B9">
        <w:trPr>
          <w:jc w:val="center"/>
        </w:trPr>
        <w:tc>
          <w:tcPr>
            <w:tcW w:w="421" w:type="dxa"/>
            <w:tcBorders>
              <w:left w:val="nil"/>
              <w:bottom w:val="nil"/>
              <w:right w:val="nil"/>
            </w:tcBorders>
            <w:shd w:val="clear" w:color="auto" w:fill="00B050"/>
            <w:vAlign w:val="center"/>
          </w:tcPr>
          <w:p w14:paraId="0EA67063" w14:textId="77777777" w:rsidR="00A4176D" w:rsidRPr="004802D8" w:rsidRDefault="00A4176D" w:rsidP="00DC44B9">
            <w:pPr>
              <w:jc w:val="both"/>
              <w:rPr>
                <w:sz w:val="18"/>
                <w:szCs w:val="18"/>
              </w:rPr>
            </w:pPr>
          </w:p>
        </w:tc>
        <w:tc>
          <w:tcPr>
            <w:tcW w:w="8407" w:type="dxa"/>
            <w:gridSpan w:val="9"/>
            <w:tcBorders>
              <w:left w:val="nil"/>
              <w:bottom w:val="nil"/>
              <w:right w:val="nil"/>
            </w:tcBorders>
            <w:shd w:val="clear" w:color="auto" w:fill="FFFFFF" w:themeFill="background1"/>
            <w:vAlign w:val="center"/>
          </w:tcPr>
          <w:p w14:paraId="223237CB" w14:textId="77777777" w:rsidR="00A4176D" w:rsidRPr="004802D8" w:rsidRDefault="00A4176D" w:rsidP="00DC44B9">
            <w:pPr>
              <w:spacing w:before="120" w:after="120"/>
              <w:jc w:val="both"/>
              <w:rPr>
                <w:sz w:val="18"/>
                <w:szCs w:val="18"/>
              </w:rPr>
            </w:pPr>
            <w:r w:rsidRPr="004802D8">
              <w:rPr>
                <w:sz w:val="18"/>
                <w:szCs w:val="18"/>
              </w:rPr>
              <w:t>La información cumple con los criterios mínimos de calidad y consistencia, por tanto puede ser utilizada.</w:t>
            </w:r>
          </w:p>
        </w:tc>
      </w:tr>
      <w:tr w:rsidR="00A4176D" w:rsidRPr="004802D8" w14:paraId="2D4208B5" w14:textId="77777777" w:rsidTr="00DC44B9">
        <w:trPr>
          <w:jc w:val="center"/>
        </w:trPr>
        <w:tc>
          <w:tcPr>
            <w:tcW w:w="421" w:type="dxa"/>
            <w:tcBorders>
              <w:top w:val="nil"/>
              <w:left w:val="nil"/>
              <w:bottom w:val="nil"/>
              <w:right w:val="nil"/>
            </w:tcBorders>
            <w:shd w:val="clear" w:color="auto" w:fill="FFFF00"/>
            <w:vAlign w:val="center"/>
          </w:tcPr>
          <w:p w14:paraId="59EDFA00" w14:textId="77777777" w:rsidR="00A4176D" w:rsidRPr="004802D8" w:rsidRDefault="00A4176D" w:rsidP="00DC44B9">
            <w:pPr>
              <w:jc w:val="both"/>
              <w:rPr>
                <w:sz w:val="18"/>
                <w:szCs w:val="18"/>
              </w:rPr>
            </w:pPr>
          </w:p>
        </w:tc>
        <w:tc>
          <w:tcPr>
            <w:tcW w:w="8407" w:type="dxa"/>
            <w:gridSpan w:val="9"/>
            <w:tcBorders>
              <w:top w:val="nil"/>
              <w:left w:val="nil"/>
              <w:bottom w:val="nil"/>
              <w:right w:val="nil"/>
            </w:tcBorders>
            <w:shd w:val="clear" w:color="auto" w:fill="FFFFFF" w:themeFill="background1"/>
            <w:vAlign w:val="center"/>
          </w:tcPr>
          <w:p w14:paraId="199CBE6D" w14:textId="77777777" w:rsidR="00A4176D" w:rsidRPr="004802D8" w:rsidRDefault="00A4176D" w:rsidP="00DC44B9">
            <w:pPr>
              <w:jc w:val="both"/>
              <w:rPr>
                <w:sz w:val="18"/>
                <w:szCs w:val="18"/>
              </w:rPr>
            </w:pPr>
            <w:r w:rsidRPr="004802D8">
              <w:rPr>
                <w:sz w:val="18"/>
                <w:szCs w:val="18"/>
              </w:rPr>
              <w:t>La información no cumple con los criterios mínimos de calidad establecidos por esta Comisión, por lo que debe usarse con reservas.</w:t>
            </w:r>
          </w:p>
        </w:tc>
      </w:tr>
      <w:tr w:rsidR="00A4176D" w:rsidRPr="004802D8" w14:paraId="0C90BDBD" w14:textId="77777777" w:rsidTr="00DC44B9">
        <w:trPr>
          <w:jc w:val="center"/>
        </w:trPr>
        <w:tc>
          <w:tcPr>
            <w:tcW w:w="421" w:type="dxa"/>
            <w:tcBorders>
              <w:top w:val="nil"/>
              <w:left w:val="nil"/>
              <w:bottom w:val="nil"/>
              <w:right w:val="nil"/>
            </w:tcBorders>
            <w:shd w:val="clear" w:color="auto" w:fill="FF0000"/>
            <w:vAlign w:val="center"/>
          </w:tcPr>
          <w:p w14:paraId="5954C891" w14:textId="77777777" w:rsidR="00A4176D" w:rsidRPr="004802D8" w:rsidRDefault="00A4176D" w:rsidP="00DC44B9">
            <w:pPr>
              <w:jc w:val="both"/>
              <w:rPr>
                <w:sz w:val="18"/>
                <w:szCs w:val="18"/>
              </w:rPr>
            </w:pPr>
          </w:p>
        </w:tc>
        <w:tc>
          <w:tcPr>
            <w:tcW w:w="8407" w:type="dxa"/>
            <w:gridSpan w:val="9"/>
            <w:tcBorders>
              <w:top w:val="nil"/>
              <w:left w:val="nil"/>
              <w:bottom w:val="nil"/>
              <w:right w:val="nil"/>
            </w:tcBorders>
            <w:shd w:val="clear" w:color="auto" w:fill="FFFFFF" w:themeFill="background1"/>
            <w:vAlign w:val="center"/>
          </w:tcPr>
          <w:p w14:paraId="249F4116" w14:textId="77777777" w:rsidR="00A4176D" w:rsidRPr="004802D8" w:rsidRDefault="00A4176D" w:rsidP="00DC44B9">
            <w:pPr>
              <w:jc w:val="both"/>
              <w:rPr>
                <w:sz w:val="18"/>
                <w:szCs w:val="18"/>
              </w:rPr>
            </w:pPr>
            <w:r w:rsidRPr="004802D8">
              <w:rPr>
                <w:sz w:val="18"/>
                <w:szCs w:val="18"/>
              </w:rPr>
              <w:t>No se recomienda el uso de la información ya que presenta inconsistencias graves o no presentaron la información en el plazo establecido en las Disposiciones.</w:t>
            </w:r>
          </w:p>
        </w:tc>
      </w:tr>
      <w:tr w:rsidR="00A4176D" w:rsidRPr="004802D8" w14:paraId="4E8BA68C" w14:textId="77777777" w:rsidTr="00DC44B9">
        <w:trPr>
          <w:jc w:val="center"/>
        </w:trPr>
        <w:tc>
          <w:tcPr>
            <w:tcW w:w="8828" w:type="dxa"/>
            <w:gridSpan w:val="10"/>
            <w:tcBorders>
              <w:top w:val="nil"/>
              <w:left w:val="nil"/>
              <w:bottom w:val="nil"/>
              <w:right w:val="nil"/>
            </w:tcBorders>
            <w:shd w:val="clear" w:color="auto" w:fill="FFFFFF" w:themeFill="background1"/>
            <w:vAlign w:val="center"/>
          </w:tcPr>
          <w:p w14:paraId="27CBBFD9" w14:textId="77777777" w:rsidR="00A4176D" w:rsidRPr="004802D8" w:rsidRDefault="00A4176D" w:rsidP="00DC44B9">
            <w:pPr>
              <w:jc w:val="both"/>
              <w:rPr>
                <w:sz w:val="18"/>
                <w:szCs w:val="18"/>
              </w:rPr>
            </w:pPr>
            <w:r w:rsidRPr="004802D8">
              <w:rPr>
                <w:sz w:val="18"/>
                <w:szCs w:val="18"/>
              </w:rPr>
              <w:t>FUENTE: CNBV.</w:t>
            </w:r>
          </w:p>
        </w:tc>
      </w:tr>
    </w:tbl>
    <w:p w14:paraId="157BA607" w14:textId="77777777" w:rsidR="00651355" w:rsidRPr="00651355" w:rsidRDefault="00651355" w:rsidP="00651355">
      <w:pPr>
        <w:spacing w:after="360" w:line="360" w:lineRule="auto"/>
        <w:ind w:right="-159"/>
        <w:jc w:val="both"/>
        <w:rPr>
          <w:rFonts w:eastAsia="Calibri"/>
          <w:sz w:val="26"/>
          <w:szCs w:val="26"/>
          <w:lang w:eastAsia="en-US"/>
        </w:rPr>
      </w:pPr>
    </w:p>
    <w:p w14:paraId="439D26E5" w14:textId="77777777" w:rsidR="00651355" w:rsidRPr="00651355" w:rsidRDefault="00651355" w:rsidP="00651355">
      <w:pPr>
        <w:ind w:right="-159"/>
        <w:jc w:val="both"/>
        <w:rPr>
          <w:rFonts w:eastAsia="Calibri"/>
          <w:b/>
          <w:sz w:val="20"/>
          <w:szCs w:val="20"/>
          <w:lang w:eastAsia="en-US"/>
        </w:rPr>
      </w:pPr>
      <w:r w:rsidRPr="00651355">
        <w:rPr>
          <w:rFonts w:eastAsia="Calibri"/>
          <w:b/>
          <w:sz w:val="20"/>
          <w:szCs w:val="20"/>
          <w:lang w:eastAsia="en-US"/>
        </w:rPr>
        <w:lastRenderedPageBreak/>
        <w:t>Fuente de información:</w:t>
      </w:r>
    </w:p>
    <w:p w14:paraId="7EE9FC8C" w14:textId="77777777" w:rsidR="00651355" w:rsidRPr="001256B5" w:rsidRDefault="0045651A" w:rsidP="00651355">
      <w:pPr>
        <w:ind w:right="-159"/>
        <w:jc w:val="both"/>
        <w:rPr>
          <w:rFonts w:eastAsia="Calibri"/>
          <w:color w:val="0000FF"/>
          <w:sz w:val="20"/>
          <w:szCs w:val="20"/>
          <w:lang w:val="es-ES" w:eastAsia="en-US"/>
        </w:rPr>
      </w:pPr>
      <w:hyperlink r:id="rId259" w:history="1">
        <w:r w:rsidR="00651355" w:rsidRPr="001256B5">
          <w:rPr>
            <w:rFonts w:eastAsia="Calibri"/>
            <w:color w:val="0000FF"/>
            <w:sz w:val="20"/>
            <w:szCs w:val="20"/>
            <w:u w:val="single"/>
            <w:lang w:val="es-ES" w:eastAsia="en-US"/>
          </w:rPr>
          <w:t>http://www.cnbv.gob.mx/SECTORES-SUPERVISADOS/BANCA-MULTIPLE/Prensa%20%20Sector%20Bancario/Comunicado_de_Prensa_Banca_Multiple_Feb_15.pdf</w:t>
        </w:r>
      </w:hyperlink>
      <w:r w:rsidR="00651355" w:rsidRPr="001256B5">
        <w:rPr>
          <w:rFonts w:eastAsia="Calibri"/>
          <w:color w:val="0000FF"/>
          <w:sz w:val="20"/>
          <w:szCs w:val="20"/>
          <w:lang w:val="es-ES" w:eastAsia="en-US"/>
        </w:rPr>
        <w:t xml:space="preserve"> </w:t>
      </w:r>
    </w:p>
    <w:p w14:paraId="718A937F" w14:textId="77777777" w:rsidR="00651355" w:rsidRPr="001256B5" w:rsidRDefault="00651355" w:rsidP="00651355">
      <w:pPr>
        <w:ind w:right="-159"/>
        <w:jc w:val="both"/>
        <w:rPr>
          <w:rFonts w:eastAsia="Calibri"/>
          <w:sz w:val="20"/>
          <w:szCs w:val="20"/>
          <w:lang w:val="es-ES" w:eastAsia="en-US"/>
        </w:rPr>
      </w:pPr>
      <w:r w:rsidRPr="001256B5">
        <w:rPr>
          <w:rFonts w:eastAsia="Calibri"/>
          <w:sz w:val="20"/>
          <w:szCs w:val="20"/>
          <w:lang w:val="es-ES" w:eastAsia="en-US"/>
        </w:rPr>
        <w:t>Para tener acceso a información adicional visite:</w:t>
      </w:r>
    </w:p>
    <w:p w14:paraId="6C496D17" w14:textId="77777777" w:rsidR="00651355" w:rsidRPr="001256B5" w:rsidRDefault="0045651A" w:rsidP="001256B5">
      <w:pPr>
        <w:spacing w:after="720"/>
        <w:ind w:right="-159"/>
        <w:jc w:val="both"/>
        <w:rPr>
          <w:rFonts w:eastAsia="Calibri"/>
          <w:color w:val="0000FF"/>
          <w:sz w:val="20"/>
          <w:szCs w:val="20"/>
          <w:lang w:val="es-ES" w:eastAsia="en-US"/>
        </w:rPr>
      </w:pPr>
      <w:hyperlink r:id="rId260" w:history="1">
        <w:r w:rsidR="00651355" w:rsidRPr="001256B5">
          <w:rPr>
            <w:rFonts w:eastAsia="Calibri"/>
            <w:color w:val="0000FF"/>
            <w:sz w:val="20"/>
            <w:szCs w:val="20"/>
            <w:u w:val="single"/>
            <w:lang w:val="es-ES" w:eastAsia="en-US"/>
          </w:rPr>
          <w:t>http://portafoliodeinformacion.cnbv.gob.mx/bm1/Paginas/infosituacion.aspx</w:t>
        </w:r>
      </w:hyperlink>
      <w:r w:rsidR="00651355" w:rsidRPr="001256B5">
        <w:rPr>
          <w:rFonts w:eastAsia="Calibri"/>
          <w:color w:val="0000FF"/>
          <w:sz w:val="20"/>
          <w:szCs w:val="20"/>
          <w:lang w:val="es-ES" w:eastAsia="en-US"/>
        </w:rPr>
        <w:t xml:space="preserve"> </w:t>
      </w:r>
    </w:p>
    <w:p w14:paraId="347E0DD3" w14:textId="77777777" w:rsidR="00D96653" w:rsidRPr="00D96653" w:rsidRDefault="00D96653" w:rsidP="00D96653">
      <w:pPr>
        <w:ind w:right="-159"/>
        <w:jc w:val="both"/>
        <w:rPr>
          <w:rFonts w:eastAsia="Calibri"/>
          <w:b/>
          <w:sz w:val="26"/>
          <w:szCs w:val="26"/>
          <w:lang w:eastAsia="en-US"/>
        </w:rPr>
      </w:pPr>
      <w:r w:rsidRPr="00D96653">
        <w:rPr>
          <w:rFonts w:eastAsia="Calibri"/>
          <w:b/>
          <w:sz w:val="26"/>
          <w:szCs w:val="26"/>
          <w:lang w:eastAsia="en-US"/>
        </w:rPr>
        <w:t xml:space="preserve">Información estadística y financiera </w:t>
      </w:r>
    </w:p>
    <w:p w14:paraId="62E53097"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de los 22 grupos financieros (CNBV)</w:t>
      </w:r>
    </w:p>
    <w:p w14:paraId="0D860200" w14:textId="721034ED"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El 20 de marzo de 2015, la Comisión Nacional Bancaria y de Valores (CNBV) publicó información estadística y financiera de los 22 grupos financieros que se encontraban en operación al cierre de diciembre de 2014</w:t>
      </w:r>
      <w:r w:rsidRPr="00D96653">
        <w:rPr>
          <w:rFonts w:eastAsia="Calibri"/>
          <w:sz w:val="26"/>
          <w:szCs w:val="26"/>
          <w:vertAlign w:val="superscript"/>
          <w:lang w:eastAsia="en-US"/>
        </w:rPr>
        <w:footnoteReference w:id="33"/>
      </w:r>
      <w:r w:rsidR="00E57236">
        <w:rPr>
          <w:rFonts w:eastAsia="Calibri"/>
          <w:sz w:val="26"/>
          <w:szCs w:val="26"/>
          <w:lang w:eastAsia="en-US"/>
        </w:rPr>
        <w:t>.</w:t>
      </w:r>
      <w:r w:rsidRPr="00D96653">
        <w:rPr>
          <w:rFonts w:eastAsia="Calibri"/>
          <w:sz w:val="26"/>
          <w:szCs w:val="26"/>
          <w:lang w:eastAsia="en-US"/>
        </w:rPr>
        <w:t xml:space="preserve"> A continuación se presenta la información.</w:t>
      </w:r>
    </w:p>
    <w:p w14:paraId="6907781D"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Características del sector</w:t>
      </w:r>
    </w:p>
    <w:p w14:paraId="5E97E0A0"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Al cierre de diciembre de 2014, el sector de grupos financieros estuvo integrado por 22 agrupaciones, una más que las registradas en diciembre del año previo, debido a la incorporación de Intercam Grupo Financiero, S.A. de C.V., el 26 de febrero de 2014.</w:t>
      </w:r>
    </w:p>
    <w:p w14:paraId="03915024"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Balance general</w:t>
      </w:r>
    </w:p>
    <w:p w14:paraId="78BC2BC6" w14:textId="0084C4A8" w:rsid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En diciembre de 2014</w:t>
      </w:r>
      <w:r w:rsidR="009E5D36">
        <w:rPr>
          <w:rFonts w:eastAsia="Calibri"/>
          <w:sz w:val="26"/>
          <w:szCs w:val="26"/>
          <w:lang w:eastAsia="en-US"/>
        </w:rPr>
        <w:t>,</w:t>
      </w:r>
      <w:r w:rsidRPr="00D96653">
        <w:rPr>
          <w:rFonts w:eastAsia="Calibri"/>
          <w:sz w:val="26"/>
          <w:szCs w:val="26"/>
          <w:lang w:eastAsia="en-US"/>
        </w:rPr>
        <w:t xml:space="preserve"> los grupos financieros registraron activos por 7 mil 78 mmdp, 8.8% más que los reportados en el mismo mes de 2013. La cartera de crédito fue el activo más significativo al representar 44.2% con un saldo de 3 mil 128 mmdp, y un crecimiento anual de 10.9%, mientras que las inversiones en valores, siendo el segundo activo con mayor participación con 33.1%, se ubicaron en 2 mil 345 mmdp y tuvieron un incremento anual de 4.1 por ciento.</w:t>
      </w:r>
    </w:p>
    <w:p w14:paraId="65E83BB2"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lastRenderedPageBreak/>
        <w:t>El 56.3% de los activos del sector lo concentran Grupo Financiero BBVA Bancomer con el 23.7%, Grupo Financiero Banamex con el 17% y Grupo Financiero Banorte con el 15.5 por ciento.</w:t>
      </w:r>
    </w:p>
    <w:tbl>
      <w:tblPr>
        <w:tblW w:w="9072" w:type="dxa"/>
        <w:jc w:val="center"/>
        <w:tblLayout w:type="fixed"/>
        <w:tblLook w:val="01E0" w:firstRow="1" w:lastRow="1" w:firstColumn="1" w:lastColumn="1" w:noHBand="0" w:noVBand="0"/>
      </w:tblPr>
      <w:tblGrid>
        <w:gridCol w:w="3544"/>
        <w:gridCol w:w="1134"/>
        <w:gridCol w:w="1134"/>
        <w:gridCol w:w="1134"/>
        <w:gridCol w:w="992"/>
        <w:gridCol w:w="1134"/>
      </w:tblGrid>
      <w:tr w:rsidR="00D96653" w:rsidRPr="00D96653" w14:paraId="44097C20" w14:textId="77777777" w:rsidTr="00D96653">
        <w:trPr>
          <w:trHeight w:val="552"/>
          <w:jc w:val="center"/>
        </w:trPr>
        <w:tc>
          <w:tcPr>
            <w:tcW w:w="9072" w:type="dxa"/>
            <w:gridSpan w:val="6"/>
            <w:tcBorders>
              <w:top w:val="nil"/>
              <w:bottom w:val="single" w:sz="4" w:space="0" w:color="auto"/>
            </w:tcBorders>
            <w:vAlign w:val="center"/>
          </w:tcPr>
          <w:p w14:paraId="54674EF6" w14:textId="77777777" w:rsidR="00D96653" w:rsidRPr="00D96653" w:rsidRDefault="00D96653" w:rsidP="00D96653">
            <w:pPr>
              <w:jc w:val="center"/>
              <w:rPr>
                <w:rFonts w:eastAsia="Times New Roman"/>
                <w:b/>
                <w:bCs/>
                <w:sz w:val="22"/>
                <w:szCs w:val="22"/>
                <w:lang w:val="es-ES"/>
              </w:rPr>
            </w:pPr>
            <w:r w:rsidRPr="00D96653">
              <w:rPr>
                <w:rFonts w:eastAsia="Times New Roman"/>
                <w:b/>
                <w:bCs/>
                <w:sz w:val="22"/>
                <w:szCs w:val="22"/>
                <w:lang w:val="es-ES"/>
              </w:rPr>
              <w:t>GRUPOS FINANCIEROS: BALANCE GENERAL</w:t>
            </w:r>
          </w:p>
          <w:p w14:paraId="1C5355A6" w14:textId="3311460A" w:rsidR="00D96653" w:rsidRPr="00D96653" w:rsidRDefault="00D96653" w:rsidP="005061B6">
            <w:pPr>
              <w:jc w:val="center"/>
              <w:rPr>
                <w:rFonts w:eastAsia="Times New Roman"/>
                <w:bCs/>
                <w:sz w:val="22"/>
                <w:szCs w:val="22"/>
                <w:lang w:val="es-ES"/>
              </w:rPr>
            </w:pPr>
            <w:r w:rsidRPr="00D96653">
              <w:rPr>
                <w:rFonts w:eastAsia="Times New Roman"/>
                <w:b/>
                <w:bCs/>
                <w:sz w:val="22"/>
                <w:szCs w:val="22"/>
                <w:lang w:val="es-ES"/>
              </w:rPr>
              <w:t>-Saldos en mmdp-</w:t>
            </w:r>
          </w:p>
        </w:tc>
      </w:tr>
      <w:tr w:rsidR="00D96653" w:rsidRPr="00D96653" w14:paraId="2AFB4ECF" w14:textId="77777777" w:rsidTr="00D96653">
        <w:trPr>
          <w:trHeight w:val="262"/>
          <w:jc w:val="center"/>
        </w:trPr>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BA1A8" w14:textId="77777777" w:rsidR="00D96653" w:rsidRPr="00D96653" w:rsidRDefault="00D96653" w:rsidP="00D96653">
            <w:pPr>
              <w:jc w:val="center"/>
              <w:rPr>
                <w:rFonts w:eastAsia="Times New Roman"/>
                <w:bCs/>
                <w:sz w:val="18"/>
                <w:szCs w:val="18"/>
                <w:lang w:val="es-ES"/>
              </w:rPr>
            </w:pPr>
          </w:p>
        </w:tc>
        <w:tc>
          <w:tcPr>
            <w:tcW w:w="1134" w:type="dxa"/>
            <w:tcBorders>
              <w:top w:val="single" w:sz="4" w:space="0" w:color="auto"/>
              <w:left w:val="single" w:sz="4" w:space="0" w:color="auto"/>
              <w:right w:val="single" w:sz="4" w:space="0" w:color="auto"/>
            </w:tcBorders>
            <w:shd w:val="clear" w:color="auto" w:fill="auto"/>
            <w:vAlign w:val="center"/>
          </w:tcPr>
          <w:p w14:paraId="7CA56F30" w14:textId="77777777" w:rsidR="00D96653" w:rsidRPr="00D96653" w:rsidRDefault="00D96653" w:rsidP="00D96653">
            <w:pPr>
              <w:jc w:val="center"/>
              <w:rPr>
                <w:rFonts w:eastAsia="Times New Roman"/>
                <w:b/>
                <w:color w:val="5F497A"/>
                <w:sz w:val="18"/>
                <w:szCs w:val="18"/>
                <w:lang w:val="es-ES"/>
              </w:rPr>
            </w:pPr>
            <w:r w:rsidRPr="00D96653">
              <w:rPr>
                <w:rFonts w:eastAsia="Times New Roman"/>
                <w:b/>
                <w:sz w:val="18"/>
                <w:szCs w:val="18"/>
                <w:lang w:val="es-ES"/>
              </w:rPr>
              <w:t>2013</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77760"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2014</w:t>
            </w:r>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9B904A" w14:textId="77777777" w:rsidR="00D96653" w:rsidRPr="00D96653" w:rsidRDefault="00D96653" w:rsidP="00D96653">
            <w:pPr>
              <w:jc w:val="center"/>
              <w:rPr>
                <w:rFonts w:eastAsia="Times New Roman"/>
                <w:bCs/>
                <w:sz w:val="18"/>
                <w:szCs w:val="18"/>
                <w:lang w:val="es-ES"/>
              </w:rPr>
            </w:pPr>
            <w:r w:rsidRPr="00D96653">
              <w:rPr>
                <w:rFonts w:eastAsia="Times New Roman"/>
                <w:b/>
                <w:bCs/>
                <w:sz w:val="18"/>
                <w:szCs w:val="18"/>
                <w:lang w:val="es-ES"/>
              </w:rPr>
              <w:t>Diferencias (%)</w:t>
            </w:r>
          </w:p>
        </w:tc>
      </w:tr>
      <w:tr w:rsidR="00D96653" w:rsidRPr="00D96653" w14:paraId="068E50DF" w14:textId="77777777" w:rsidTr="00D96653">
        <w:trPr>
          <w:trHeight w:val="132"/>
          <w:jc w:val="center"/>
        </w:trPr>
        <w:tc>
          <w:tcPr>
            <w:tcW w:w="354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0B3292" w14:textId="77777777" w:rsidR="00D96653" w:rsidRPr="00D96653" w:rsidRDefault="00D96653" w:rsidP="00D96653">
            <w:pPr>
              <w:jc w:val="center"/>
              <w:rPr>
                <w:rFonts w:eastAsia="Times New Roman"/>
                <w:bCs/>
                <w:sz w:val="18"/>
                <w:szCs w:val="18"/>
                <w:lang w:val="es-ES"/>
              </w:rPr>
            </w:pPr>
          </w:p>
        </w:tc>
        <w:tc>
          <w:tcPr>
            <w:tcW w:w="1134" w:type="dxa"/>
            <w:tcBorders>
              <w:left w:val="single" w:sz="4" w:space="0" w:color="auto"/>
              <w:bottom w:val="single" w:sz="4" w:space="0" w:color="auto"/>
              <w:right w:val="single" w:sz="4" w:space="0" w:color="auto"/>
            </w:tcBorders>
            <w:shd w:val="clear" w:color="auto" w:fill="auto"/>
            <w:vAlign w:val="center"/>
          </w:tcPr>
          <w:p w14:paraId="769FB692"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2BED55"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Septiembre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3CBE1A"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55DEAF"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Anual</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24CC77F" w14:textId="77777777" w:rsidR="00D96653" w:rsidRPr="00D96653" w:rsidRDefault="00D96653" w:rsidP="00D96653">
            <w:pPr>
              <w:jc w:val="center"/>
              <w:rPr>
                <w:rFonts w:eastAsia="Times New Roman"/>
                <w:b/>
                <w:bCs/>
                <w:sz w:val="18"/>
                <w:szCs w:val="18"/>
                <w:lang w:val="es-ES"/>
              </w:rPr>
            </w:pPr>
            <w:r w:rsidRPr="00D96653">
              <w:rPr>
                <w:rFonts w:eastAsia="Times New Roman"/>
                <w:b/>
                <w:bCs/>
                <w:sz w:val="18"/>
                <w:szCs w:val="18"/>
                <w:lang w:val="es-ES"/>
              </w:rPr>
              <w:t>Trimestral</w:t>
            </w:r>
          </w:p>
        </w:tc>
      </w:tr>
      <w:tr w:rsidR="00D96653" w:rsidRPr="00D96653" w14:paraId="32F91264" w14:textId="77777777" w:rsidTr="00D96653">
        <w:trPr>
          <w:trHeight w:val="271"/>
          <w:jc w:val="center"/>
        </w:trPr>
        <w:tc>
          <w:tcPr>
            <w:tcW w:w="3544" w:type="dxa"/>
            <w:tcBorders>
              <w:top w:val="single" w:sz="4" w:space="0" w:color="auto"/>
              <w:left w:val="single" w:sz="4" w:space="0" w:color="auto"/>
              <w:bottom w:val="nil"/>
              <w:right w:val="single" w:sz="4" w:space="0" w:color="auto"/>
            </w:tcBorders>
            <w:shd w:val="clear" w:color="auto" w:fill="auto"/>
            <w:vAlign w:val="center"/>
          </w:tcPr>
          <w:p w14:paraId="1CC126B3" w14:textId="77777777" w:rsidR="00D96653" w:rsidRPr="00D96653" w:rsidRDefault="00D96653" w:rsidP="00D96653">
            <w:pPr>
              <w:spacing w:before="120"/>
              <w:rPr>
                <w:rFonts w:eastAsia="Times New Roman"/>
                <w:b/>
                <w:bCs/>
                <w:sz w:val="18"/>
                <w:szCs w:val="18"/>
              </w:rPr>
            </w:pPr>
            <w:r w:rsidRPr="00D96653">
              <w:rPr>
                <w:rFonts w:eastAsia="Times New Roman"/>
                <w:b/>
                <w:bCs/>
                <w:sz w:val="18"/>
                <w:szCs w:val="18"/>
              </w:rPr>
              <w:t>Activo total</w:t>
            </w:r>
          </w:p>
        </w:tc>
        <w:tc>
          <w:tcPr>
            <w:tcW w:w="1134" w:type="dxa"/>
            <w:tcBorders>
              <w:top w:val="single" w:sz="4" w:space="0" w:color="auto"/>
              <w:left w:val="single" w:sz="4" w:space="0" w:color="auto"/>
              <w:right w:val="single" w:sz="4" w:space="0" w:color="auto"/>
            </w:tcBorders>
            <w:shd w:val="clear" w:color="auto" w:fill="auto"/>
            <w:vAlign w:val="bottom"/>
          </w:tcPr>
          <w:p w14:paraId="38F65088" w14:textId="77777777" w:rsidR="00D96653" w:rsidRPr="00D96653" w:rsidRDefault="00D96653" w:rsidP="005061B6">
            <w:pPr>
              <w:ind w:right="227"/>
              <w:jc w:val="right"/>
              <w:rPr>
                <w:rFonts w:eastAsia="Calibri"/>
                <w:b/>
                <w:sz w:val="16"/>
                <w:szCs w:val="16"/>
                <w:lang w:eastAsia="en-US"/>
              </w:rPr>
            </w:pPr>
            <w:r w:rsidRPr="00D96653">
              <w:rPr>
                <w:rFonts w:eastAsia="Calibri"/>
                <w:b/>
                <w:sz w:val="16"/>
                <w:szCs w:val="16"/>
                <w:lang w:eastAsia="en-US"/>
              </w:rPr>
              <w:t>6 506</w:t>
            </w:r>
          </w:p>
        </w:tc>
        <w:tc>
          <w:tcPr>
            <w:tcW w:w="1134" w:type="dxa"/>
            <w:tcBorders>
              <w:top w:val="single" w:sz="4" w:space="0" w:color="auto"/>
              <w:left w:val="single" w:sz="4" w:space="0" w:color="auto"/>
              <w:bottom w:val="nil"/>
              <w:right w:val="single" w:sz="4" w:space="0" w:color="auto"/>
            </w:tcBorders>
            <w:shd w:val="clear" w:color="auto" w:fill="auto"/>
            <w:vAlign w:val="bottom"/>
          </w:tcPr>
          <w:p w14:paraId="5C7C5163" w14:textId="77777777" w:rsidR="00D96653" w:rsidRPr="00D96653" w:rsidRDefault="00D96653" w:rsidP="00D96653">
            <w:pPr>
              <w:ind w:right="170"/>
              <w:jc w:val="right"/>
              <w:rPr>
                <w:rFonts w:eastAsia="Calibri"/>
                <w:b/>
                <w:sz w:val="16"/>
                <w:szCs w:val="16"/>
                <w:lang w:eastAsia="en-US"/>
              </w:rPr>
            </w:pPr>
            <w:r w:rsidRPr="00D96653">
              <w:rPr>
                <w:rFonts w:eastAsia="Calibri"/>
                <w:b/>
                <w:sz w:val="16"/>
                <w:szCs w:val="16"/>
                <w:lang w:eastAsia="en-US"/>
              </w:rPr>
              <w:t>6 955</w:t>
            </w:r>
          </w:p>
        </w:tc>
        <w:tc>
          <w:tcPr>
            <w:tcW w:w="1134" w:type="dxa"/>
            <w:tcBorders>
              <w:top w:val="single" w:sz="4" w:space="0" w:color="auto"/>
              <w:left w:val="single" w:sz="4" w:space="0" w:color="auto"/>
              <w:right w:val="single" w:sz="4" w:space="0" w:color="auto"/>
            </w:tcBorders>
            <w:shd w:val="clear" w:color="auto" w:fill="auto"/>
            <w:vAlign w:val="bottom"/>
          </w:tcPr>
          <w:p w14:paraId="284B36F5"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7 078</w:t>
            </w:r>
          </w:p>
        </w:tc>
        <w:tc>
          <w:tcPr>
            <w:tcW w:w="992" w:type="dxa"/>
            <w:tcBorders>
              <w:top w:val="single" w:sz="4" w:space="0" w:color="auto"/>
              <w:left w:val="single" w:sz="4" w:space="0" w:color="auto"/>
              <w:bottom w:val="nil"/>
              <w:right w:val="single" w:sz="4" w:space="0" w:color="auto"/>
            </w:tcBorders>
            <w:shd w:val="clear" w:color="auto" w:fill="auto"/>
            <w:vAlign w:val="bottom"/>
          </w:tcPr>
          <w:p w14:paraId="68880F5F"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8.8</w:t>
            </w:r>
          </w:p>
        </w:tc>
        <w:tc>
          <w:tcPr>
            <w:tcW w:w="1134" w:type="dxa"/>
            <w:tcBorders>
              <w:top w:val="single" w:sz="4" w:space="0" w:color="auto"/>
              <w:left w:val="single" w:sz="4" w:space="0" w:color="auto"/>
              <w:bottom w:val="nil"/>
              <w:right w:val="single" w:sz="4" w:space="0" w:color="auto"/>
            </w:tcBorders>
            <w:shd w:val="clear" w:color="auto" w:fill="auto"/>
            <w:vAlign w:val="bottom"/>
          </w:tcPr>
          <w:p w14:paraId="46C29C75" w14:textId="77777777" w:rsidR="00D96653" w:rsidRPr="00D96653" w:rsidRDefault="00D96653" w:rsidP="00D96653">
            <w:pPr>
              <w:ind w:right="284"/>
              <w:jc w:val="right"/>
              <w:rPr>
                <w:rFonts w:eastAsia="Calibri"/>
                <w:b/>
                <w:bCs/>
                <w:sz w:val="16"/>
                <w:szCs w:val="16"/>
                <w:lang w:eastAsia="en-US"/>
              </w:rPr>
            </w:pPr>
            <w:r w:rsidRPr="00D96653">
              <w:rPr>
                <w:rFonts w:eastAsia="Calibri"/>
                <w:b/>
                <w:bCs/>
                <w:sz w:val="16"/>
                <w:szCs w:val="16"/>
                <w:lang w:eastAsia="en-US"/>
              </w:rPr>
              <w:t>1.8</w:t>
            </w:r>
          </w:p>
        </w:tc>
      </w:tr>
      <w:tr w:rsidR="00D96653" w:rsidRPr="00D96653" w14:paraId="7D19FC78"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184350A9"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Disponibilidades</w:t>
            </w:r>
          </w:p>
        </w:tc>
        <w:tc>
          <w:tcPr>
            <w:tcW w:w="1134" w:type="dxa"/>
            <w:tcBorders>
              <w:left w:val="single" w:sz="4" w:space="0" w:color="auto"/>
              <w:right w:val="single" w:sz="4" w:space="0" w:color="auto"/>
            </w:tcBorders>
            <w:shd w:val="clear" w:color="auto" w:fill="auto"/>
            <w:vAlign w:val="bottom"/>
          </w:tcPr>
          <w:p w14:paraId="697A1E10"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550</w:t>
            </w:r>
          </w:p>
        </w:tc>
        <w:tc>
          <w:tcPr>
            <w:tcW w:w="1134" w:type="dxa"/>
            <w:tcBorders>
              <w:top w:val="nil"/>
              <w:left w:val="single" w:sz="4" w:space="0" w:color="auto"/>
              <w:bottom w:val="nil"/>
              <w:right w:val="single" w:sz="4" w:space="0" w:color="auto"/>
            </w:tcBorders>
            <w:shd w:val="clear" w:color="auto" w:fill="auto"/>
            <w:vAlign w:val="bottom"/>
          </w:tcPr>
          <w:p w14:paraId="0CE02E46"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507</w:t>
            </w:r>
          </w:p>
        </w:tc>
        <w:tc>
          <w:tcPr>
            <w:tcW w:w="1134" w:type="dxa"/>
            <w:tcBorders>
              <w:left w:val="single" w:sz="4" w:space="0" w:color="auto"/>
              <w:right w:val="single" w:sz="4" w:space="0" w:color="auto"/>
            </w:tcBorders>
            <w:shd w:val="clear" w:color="auto" w:fill="auto"/>
            <w:vAlign w:val="bottom"/>
          </w:tcPr>
          <w:p w14:paraId="0F5BDA78"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553</w:t>
            </w:r>
          </w:p>
        </w:tc>
        <w:tc>
          <w:tcPr>
            <w:tcW w:w="992" w:type="dxa"/>
            <w:tcBorders>
              <w:top w:val="nil"/>
              <w:left w:val="single" w:sz="4" w:space="0" w:color="auto"/>
              <w:bottom w:val="nil"/>
              <w:right w:val="single" w:sz="4" w:space="0" w:color="auto"/>
            </w:tcBorders>
            <w:shd w:val="clear" w:color="auto" w:fill="auto"/>
            <w:vAlign w:val="bottom"/>
          </w:tcPr>
          <w:p w14:paraId="51D8F96C"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0.6</w:t>
            </w:r>
          </w:p>
        </w:tc>
        <w:tc>
          <w:tcPr>
            <w:tcW w:w="1134" w:type="dxa"/>
            <w:tcBorders>
              <w:top w:val="nil"/>
              <w:left w:val="single" w:sz="4" w:space="0" w:color="auto"/>
              <w:bottom w:val="nil"/>
              <w:right w:val="single" w:sz="4" w:space="0" w:color="auto"/>
            </w:tcBorders>
            <w:shd w:val="clear" w:color="auto" w:fill="auto"/>
            <w:vAlign w:val="bottom"/>
          </w:tcPr>
          <w:p w14:paraId="0BE5772F"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9.2</w:t>
            </w:r>
          </w:p>
        </w:tc>
      </w:tr>
      <w:tr w:rsidR="00D96653" w:rsidRPr="00D96653" w14:paraId="345DC3E1"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68F782D9"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Inversiones en valores</w:t>
            </w:r>
          </w:p>
        </w:tc>
        <w:tc>
          <w:tcPr>
            <w:tcW w:w="1134" w:type="dxa"/>
            <w:tcBorders>
              <w:left w:val="single" w:sz="4" w:space="0" w:color="auto"/>
              <w:right w:val="single" w:sz="4" w:space="0" w:color="auto"/>
            </w:tcBorders>
            <w:shd w:val="clear" w:color="auto" w:fill="auto"/>
            <w:vAlign w:val="bottom"/>
          </w:tcPr>
          <w:p w14:paraId="7A63B763"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2 252</w:t>
            </w:r>
          </w:p>
        </w:tc>
        <w:tc>
          <w:tcPr>
            <w:tcW w:w="1134" w:type="dxa"/>
            <w:tcBorders>
              <w:top w:val="nil"/>
              <w:left w:val="single" w:sz="4" w:space="0" w:color="auto"/>
              <w:bottom w:val="nil"/>
              <w:right w:val="single" w:sz="4" w:space="0" w:color="auto"/>
            </w:tcBorders>
            <w:shd w:val="clear" w:color="auto" w:fill="auto"/>
            <w:vAlign w:val="bottom"/>
          </w:tcPr>
          <w:p w14:paraId="5E7F5B22"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2 449</w:t>
            </w:r>
          </w:p>
        </w:tc>
        <w:tc>
          <w:tcPr>
            <w:tcW w:w="1134" w:type="dxa"/>
            <w:tcBorders>
              <w:left w:val="single" w:sz="4" w:space="0" w:color="auto"/>
              <w:right w:val="single" w:sz="4" w:space="0" w:color="auto"/>
            </w:tcBorders>
            <w:shd w:val="clear" w:color="auto" w:fill="auto"/>
            <w:vAlign w:val="bottom"/>
          </w:tcPr>
          <w:p w14:paraId="56D7FF17"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2 345</w:t>
            </w:r>
          </w:p>
        </w:tc>
        <w:tc>
          <w:tcPr>
            <w:tcW w:w="992" w:type="dxa"/>
            <w:tcBorders>
              <w:top w:val="nil"/>
              <w:left w:val="single" w:sz="4" w:space="0" w:color="auto"/>
              <w:bottom w:val="nil"/>
              <w:right w:val="single" w:sz="4" w:space="0" w:color="auto"/>
            </w:tcBorders>
            <w:shd w:val="clear" w:color="auto" w:fill="auto"/>
            <w:vAlign w:val="bottom"/>
          </w:tcPr>
          <w:p w14:paraId="37620A18"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4.1</w:t>
            </w:r>
          </w:p>
        </w:tc>
        <w:tc>
          <w:tcPr>
            <w:tcW w:w="1134" w:type="dxa"/>
            <w:tcBorders>
              <w:top w:val="nil"/>
              <w:left w:val="single" w:sz="4" w:space="0" w:color="auto"/>
              <w:bottom w:val="nil"/>
              <w:right w:val="single" w:sz="4" w:space="0" w:color="auto"/>
            </w:tcBorders>
            <w:shd w:val="clear" w:color="auto" w:fill="auto"/>
            <w:vAlign w:val="bottom"/>
          </w:tcPr>
          <w:p w14:paraId="472A1468"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-4.3</w:t>
            </w:r>
          </w:p>
        </w:tc>
      </w:tr>
      <w:tr w:rsidR="00D96653" w:rsidRPr="00D96653" w14:paraId="76D78EE9"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0C307060"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Deudores por reporto</w:t>
            </w:r>
          </w:p>
        </w:tc>
        <w:tc>
          <w:tcPr>
            <w:tcW w:w="1134" w:type="dxa"/>
            <w:tcBorders>
              <w:left w:val="single" w:sz="4" w:space="0" w:color="auto"/>
              <w:right w:val="single" w:sz="4" w:space="0" w:color="auto"/>
            </w:tcBorders>
            <w:shd w:val="clear" w:color="auto" w:fill="auto"/>
            <w:vAlign w:val="bottom"/>
          </w:tcPr>
          <w:p w14:paraId="3953B9FD"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91</w:t>
            </w:r>
          </w:p>
        </w:tc>
        <w:tc>
          <w:tcPr>
            <w:tcW w:w="1134" w:type="dxa"/>
            <w:tcBorders>
              <w:top w:val="nil"/>
              <w:left w:val="single" w:sz="4" w:space="0" w:color="auto"/>
              <w:bottom w:val="nil"/>
              <w:right w:val="single" w:sz="4" w:space="0" w:color="auto"/>
            </w:tcBorders>
            <w:shd w:val="clear" w:color="auto" w:fill="auto"/>
            <w:vAlign w:val="bottom"/>
          </w:tcPr>
          <w:p w14:paraId="5C12F1B4"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47</w:t>
            </w:r>
          </w:p>
        </w:tc>
        <w:tc>
          <w:tcPr>
            <w:tcW w:w="1134" w:type="dxa"/>
            <w:tcBorders>
              <w:left w:val="single" w:sz="4" w:space="0" w:color="auto"/>
              <w:right w:val="single" w:sz="4" w:space="0" w:color="auto"/>
            </w:tcBorders>
            <w:shd w:val="clear" w:color="auto" w:fill="auto"/>
            <w:vAlign w:val="bottom"/>
          </w:tcPr>
          <w:p w14:paraId="5DCF7B94"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45</w:t>
            </w:r>
          </w:p>
        </w:tc>
        <w:tc>
          <w:tcPr>
            <w:tcW w:w="992" w:type="dxa"/>
            <w:tcBorders>
              <w:top w:val="nil"/>
              <w:left w:val="single" w:sz="4" w:space="0" w:color="auto"/>
              <w:bottom w:val="nil"/>
              <w:right w:val="single" w:sz="4" w:space="0" w:color="auto"/>
            </w:tcBorders>
            <w:shd w:val="clear" w:color="auto" w:fill="auto"/>
            <w:vAlign w:val="bottom"/>
          </w:tcPr>
          <w:p w14:paraId="7BC4B9E6"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-50.2</w:t>
            </w:r>
          </w:p>
        </w:tc>
        <w:tc>
          <w:tcPr>
            <w:tcW w:w="1134" w:type="dxa"/>
            <w:tcBorders>
              <w:top w:val="nil"/>
              <w:left w:val="single" w:sz="4" w:space="0" w:color="auto"/>
              <w:bottom w:val="nil"/>
              <w:right w:val="single" w:sz="4" w:space="0" w:color="auto"/>
            </w:tcBorders>
            <w:shd w:val="clear" w:color="auto" w:fill="auto"/>
            <w:vAlign w:val="bottom"/>
          </w:tcPr>
          <w:p w14:paraId="451CA44A"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-3.4</w:t>
            </w:r>
          </w:p>
        </w:tc>
      </w:tr>
      <w:tr w:rsidR="00D96653" w:rsidRPr="00D96653" w14:paraId="10CC2B58"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46926D4A"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Operaciones con valores y derivados</w:t>
            </w:r>
          </w:p>
        </w:tc>
        <w:tc>
          <w:tcPr>
            <w:tcW w:w="1134" w:type="dxa"/>
            <w:tcBorders>
              <w:left w:val="single" w:sz="4" w:space="0" w:color="auto"/>
              <w:right w:val="single" w:sz="4" w:space="0" w:color="auto"/>
            </w:tcBorders>
            <w:shd w:val="clear" w:color="auto" w:fill="auto"/>
            <w:vAlign w:val="bottom"/>
          </w:tcPr>
          <w:p w14:paraId="7A779868"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255</w:t>
            </w:r>
          </w:p>
        </w:tc>
        <w:tc>
          <w:tcPr>
            <w:tcW w:w="1134" w:type="dxa"/>
            <w:tcBorders>
              <w:top w:val="nil"/>
              <w:left w:val="single" w:sz="4" w:space="0" w:color="auto"/>
              <w:bottom w:val="nil"/>
              <w:right w:val="single" w:sz="4" w:space="0" w:color="auto"/>
            </w:tcBorders>
            <w:shd w:val="clear" w:color="auto" w:fill="auto"/>
            <w:vAlign w:val="bottom"/>
          </w:tcPr>
          <w:p w14:paraId="591EB688"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282</w:t>
            </w:r>
          </w:p>
        </w:tc>
        <w:tc>
          <w:tcPr>
            <w:tcW w:w="1134" w:type="dxa"/>
            <w:tcBorders>
              <w:left w:val="single" w:sz="4" w:space="0" w:color="auto"/>
              <w:right w:val="single" w:sz="4" w:space="0" w:color="auto"/>
            </w:tcBorders>
            <w:shd w:val="clear" w:color="auto" w:fill="auto"/>
            <w:vAlign w:val="bottom"/>
          </w:tcPr>
          <w:p w14:paraId="0A4D56DA"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380</w:t>
            </w:r>
          </w:p>
        </w:tc>
        <w:tc>
          <w:tcPr>
            <w:tcW w:w="992" w:type="dxa"/>
            <w:tcBorders>
              <w:top w:val="nil"/>
              <w:left w:val="single" w:sz="4" w:space="0" w:color="auto"/>
              <w:bottom w:val="nil"/>
              <w:right w:val="single" w:sz="4" w:space="0" w:color="auto"/>
            </w:tcBorders>
            <w:shd w:val="clear" w:color="auto" w:fill="auto"/>
            <w:vAlign w:val="bottom"/>
          </w:tcPr>
          <w:p w14:paraId="54099BB2"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48.9</w:t>
            </w:r>
          </w:p>
        </w:tc>
        <w:tc>
          <w:tcPr>
            <w:tcW w:w="1134" w:type="dxa"/>
            <w:tcBorders>
              <w:top w:val="nil"/>
              <w:left w:val="single" w:sz="4" w:space="0" w:color="auto"/>
              <w:bottom w:val="nil"/>
              <w:right w:val="single" w:sz="4" w:space="0" w:color="auto"/>
            </w:tcBorders>
            <w:shd w:val="clear" w:color="auto" w:fill="auto"/>
            <w:vAlign w:val="bottom"/>
          </w:tcPr>
          <w:p w14:paraId="0FA6E5D7"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35.0</w:t>
            </w:r>
          </w:p>
        </w:tc>
      </w:tr>
      <w:tr w:rsidR="00D96653" w:rsidRPr="00D96653" w14:paraId="2210927B" w14:textId="77777777" w:rsidTr="00D96653">
        <w:trPr>
          <w:trHeight w:val="261"/>
          <w:jc w:val="center"/>
        </w:trPr>
        <w:tc>
          <w:tcPr>
            <w:tcW w:w="3544" w:type="dxa"/>
            <w:tcBorders>
              <w:top w:val="nil"/>
              <w:left w:val="single" w:sz="4" w:space="0" w:color="auto"/>
              <w:bottom w:val="nil"/>
              <w:right w:val="single" w:sz="4" w:space="0" w:color="auto"/>
            </w:tcBorders>
            <w:shd w:val="clear" w:color="auto" w:fill="auto"/>
            <w:vAlign w:val="bottom"/>
          </w:tcPr>
          <w:p w14:paraId="03A79854"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Cartera de crédito total</w:t>
            </w:r>
          </w:p>
        </w:tc>
        <w:tc>
          <w:tcPr>
            <w:tcW w:w="1134" w:type="dxa"/>
            <w:tcBorders>
              <w:left w:val="single" w:sz="4" w:space="0" w:color="auto"/>
              <w:right w:val="single" w:sz="4" w:space="0" w:color="auto"/>
            </w:tcBorders>
            <w:shd w:val="clear" w:color="auto" w:fill="auto"/>
            <w:vAlign w:val="bottom"/>
          </w:tcPr>
          <w:p w14:paraId="4F8B7B52"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2 822</w:t>
            </w:r>
          </w:p>
        </w:tc>
        <w:tc>
          <w:tcPr>
            <w:tcW w:w="1134" w:type="dxa"/>
            <w:tcBorders>
              <w:top w:val="nil"/>
              <w:left w:val="single" w:sz="4" w:space="0" w:color="auto"/>
              <w:bottom w:val="nil"/>
              <w:right w:val="single" w:sz="4" w:space="0" w:color="auto"/>
            </w:tcBorders>
            <w:shd w:val="clear" w:color="auto" w:fill="auto"/>
            <w:vAlign w:val="bottom"/>
          </w:tcPr>
          <w:p w14:paraId="3506EA75"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2 953</w:t>
            </w:r>
          </w:p>
        </w:tc>
        <w:tc>
          <w:tcPr>
            <w:tcW w:w="1134" w:type="dxa"/>
            <w:tcBorders>
              <w:left w:val="single" w:sz="4" w:space="0" w:color="auto"/>
              <w:right w:val="single" w:sz="4" w:space="0" w:color="auto"/>
            </w:tcBorders>
            <w:shd w:val="clear" w:color="auto" w:fill="auto"/>
            <w:vAlign w:val="bottom"/>
          </w:tcPr>
          <w:p w14:paraId="655D5308"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3 128</w:t>
            </w:r>
          </w:p>
        </w:tc>
        <w:tc>
          <w:tcPr>
            <w:tcW w:w="992" w:type="dxa"/>
            <w:tcBorders>
              <w:top w:val="nil"/>
              <w:left w:val="single" w:sz="4" w:space="0" w:color="auto"/>
              <w:bottom w:val="nil"/>
              <w:right w:val="single" w:sz="4" w:space="0" w:color="auto"/>
            </w:tcBorders>
            <w:shd w:val="clear" w:color="auto" w:fill="auto"/>
            <w:vAlign w:val="bottom"/>
          </w:tcPr>
          <w:p w14:paraId="48475384"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10.9</w:t>
            </w:r>
          </w:p>
        </w:tc>
        <w:tc>
          <w:tcPr>
            <w:tcW w:w="1134" w:type="dxa"/>
            <w:tcBorders>
              <w:top w:val="nil"/>
              <w:left w:val="single" w:sz="4" w:space="0" w:color="auto"/>
              <w:bottom w:val="nil"/>
              <w:right w:val="single" w:sz="4" w:space="0" w:color="auto"/>
            </w:tcBorders>
            <w:shd w:val="clear" w:color="auto" w:fill="auto"/>
            <w:vAlign w:val="bottom"/>
          </w:tcPr>
          <w:p w14:paraId="735BC139"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5.9</w:t>
            </w:r>
          </w:p>
        </w:tc>
      </w:tr>
      <w:tr w:rsidR="00D96653" w:rsidRPr="00D96653" w14:paraId="6CA16719"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70D04C60" w14:textId="3F25FBA2"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Estimaciones preventivas para riesgo</w:t>
            </w:r>
            <w:r w:rsidR="009E5D36">
              <w:rPr>
                <w:rFonts w:eastAsia="Calibri"/>
                <w:bCs/>
                <w:sz w:val="16"/>
                <w:szCs w:val="16"/>
                <w:lang w:eastAsia="en-US"/>
              </w:rPr>
              <w:t>s</w:t>
            </w:r>
            <w:r w:rsidRPr="00D96653">
              <w:rPr>
                <w:rFonts w:eastAsia="Calibri"/>
                <w:bCs/>
                <w:sz w:val="16"/>
                <w:szCs w:val="16"/>
                <w:lang w:eastAsia="en-US"/>
              </w:rPr>
              <w:t xml:space="preserve"> crediticio</w:t>
            </w:r>
            <w:r w:rsidR="009E5D36">
              <w:rPr>
                <w:rFonts w:eastAsia="Calibri"/>
                <w:bCs/>
                <w:sz w:val="16"/>
                <w:szCs w:val="16"/>
                <w:lang w:eastAsia="en-US"/>
              </w:rPr>
              <w:t>s</w:t>
            </w:r>
          </w:p>
        </w:tc>
        <w:tc>
          <w:tcPr>
            <w:tcW w:w="1134" w:type="dxa"/>
            <w:tcBorders>
              <w:left w:val="single" w:sz="4" w:space="0" w:color="auto"/>
              <w:right w:val="single" w:sz="4" w:space="0" w:color="auto"/>
            </w:tcBorders>
            <w:shd w:val="clear" w:color="auto" w:fill="auto"/>
            <w:vAlign w:val="bottom"/>
          </w:tcPr>
          <w:p w14:paraId="020EFAF6"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-134</w:t>
            </w:r>
          </w:p>
        </w:tc>
        <w:tc>
          <w:tcPr>
            <w:tcW w:w="1134" w:type="dxa"/>
            <w:tcBorders>
              <w:top w:val="nil"/>
              <w:left w:val="single" w:sz="4" w:space="0" w:color="auto"/>
              <w:bottom w:val="nil"/>
              <w:right w:val="single" w:sz="4" w:space="0" w:color="auto"/>
            </w:tcBorders>
            <w:shd w:val="clear" w:color="auto" w:fill="auto"/>
            <w:vAlign w:val="bottom"/>
          </w:tcPr>
          <w:p w14:paraId="13BE5B0E"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-128</w:t>
            </w:r>
          </w:p>
        </w:tc>
        <w:tc>
          <w:tcPr>
            <w:tcW w:w="1134" w:type="dxa"/>
            <w:tcBorders>
              <w:left w:val="single" w:sz="4" w:space="0" w:color="auto"/>
              <w:right w:val="single" w:sz="4" w:space="0" w:color="auto"/>
            </w:tcBorders>
            <w:shd w:val="clear" w:color="auto" w:fill="auto"/>
            <w:vAlign w:val="bottom"/>
          </w:tcPr>
          <w:p w14:paraId="08B7D799"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-123</w:t>
            </w:r>
          </w:p>
        </w:tc>
        <w:tc>
          <w:tcPr>
            <w:tcW w:w="992" w:type="dxa"/>
            <w:tcBorders>
              <w:top w:val="nil"/>
              <w:left w:val="single" w:sz="4" w:space="0" w:color="auto"/>
              <w:bottom w:val="nil"/>
              <w:right w:val="single" w:sz="4" w:space="0" w:color="auto"/>
            </w:tcBorders>
            <w:shd w:val="clear" w:color="auto" w:fill="auto"/>
            <w:vAlign w:val="bottom"/>
          </w:tcPr>
          <w:p w14:paraId="0FD6B2D8"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-8.1</w:t>
            </w:r>
          </w:p>
        </w:tc>
        <w:tc>
          <w:tcPr>
            <w:tcW w:w="1134" w:type="dxa"/>
            <w:tcBorders>
              <w:top w:val="nil"/>
              <w:left w:val="single" w:sz="4" w:space="0" w:color="auto"/>
              <w:bottom w:val="nil"/>
              <w:right w:val="single" w:sz="4" w:space="0" w:color="auto"/>
            </w:tcBorders>
            <w:shd w:val="clear" w:color="auto" w:fill="auto"/>
            <w:vAlign w:val="bottom"/>
          </w:tcPr>
          <w:p w14:paraId="3A97CD07"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-4.0</w:t>
            </w:r>
          </w:p>
        </w:tc>
      </w:tr>
      <w:tr w:rsidR="00D96653" w:rsidRPr="00D96653" w14:paraId="6E51146E"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06FD16F5"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Otras cuentas por cobrar</w:t>
            </w:r>
          </w:p>
        </w:tc>
        <w:tc>
          <w:tcPr>
            <w:tcW w:w="1134" w:type="dxa"/>
            <w:tcBorders>
              <w:left w:val="single" w:sz="4" w:space="0" w:color="auto"/>
              <w:right w:val="single" w:sz="4" w:space="0" w:color="auto"/>
            </w:tcBorders>
            <w:shd w:val="clear" w:color="auto" w:fill="auto"/>
            <w:vAlign w:val="bottom"/>
          </w:tcPr>
          <w:p w14:paraId="366665A2"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326</w:t>
            </w:r>
          </w:p>
        </w:tc>
        <w:tc>
          <w:tcPr>
            <w:tcW w:w="1134" w:type="dxa"/>
            <w:tcBorders>
              <w:top w:val="nil"/>
              <w:left w:val="single" w:sz="4" w:space="0" w:color="auto"/>
              <w:bottom w:val="nil"/>
              <w:right w:val="single" w:sz="4" w:space="0" w:color="auto"/>
            </w:tcBorders>
            <w:shd w:val="clear" w:color="auto" w:fill="auto"/>
            <w:vAlign w:val="bottom"/>
          </w:tcPr>
          <w:p w14:paraId="1155CD46"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487</w:t>
            </w:r>
          </w:p>
        </w:tc>
        <w:tc>
          <w:tcPr>
            <w:tcW w:w="1134" w:type="dxa"/>
            <w:tcBorders>
              <w:left w:val="single" w:sz="4" w:space="0" w:color="auto"/>
              <w:right w:val="single" w:sz="4" w:space="0" w:color="auto"/>
            </w:tcBorders>
            <w:shd w:val="clear" w:color="auto" w:fill="auto"/>
            <w:vAlign w:val="bottom"/>
          </w:tcPr>
          <w:p w14:paraId="23B0AC9B"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375</w:t>
            </w:r>
          </w:p>
        </w:tc>
        <w:tc>
          <w:tcPr>
            <w:tcW w:w="992" w:type="dxa"/>
            <w:tcBorders>
              <w:top w:val="nil"/>
              <w:left w:val="single" w:sz="4" w:space="0" w:color="auto"/>
              <w:bottom w:val="nil"/>
              <w:right w:val="single" w:sz="4" w:space="0" w:color="auto"/>
            </w:tcBorders>
            <w:shd w:val="clear" w:color="auto" w:fill="auto"/>
            <w:vAlign w:val="bottom"/>
          </w:tcPr>
          <w:p w14:paraId="4BDA764C"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14.9</w:t>
            </w:r>
          </w:p>
        </w:tc>
        <w:tc>
          <w:tcPr>
            <w:tcW w:w="1134" w:type="dxa"/>
            <w:tcBorders>
              <w:top w:val="nil"/>
              <w:left w:val="single" w:sz="4" w:space="0" w:color="auto"/>
              <w:bottom w:val="nil"/>
              <w:right w:val="single" w:sz="4" w:space="0" w:color="auto"/>
            </w:tcBorders>
            <w:shd w:val="clear" w:color="auto" w:fill="auto"/>
            <w:vAlign w:val="bottom"/>
          </w:tcPr>
          <w:p w14:paraId="16F92019"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-23.0</w:t>
            </w:r>
          </w:p>
        </w:tc>
      </w:tr>
      <w:tr w:rsidR="00D96653" w:rsidRPr="00D96653" w14:paraId="36BEFA1F"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3789A664"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 xml:space="preserve">Otros activos </w:t>
            </w:r>
            <w:r w:rsidRPr="00D96653">
              <w:rPr>
                <w:rFonts w:eastAsia="Calibri"/>
                <w:bCs/>
                <w:sz w:val="16"/>
                <w:szCs w:val="16"/>
                <w:u w:val="single"/>
                <w:vertAlign w:val="superscript"/>
                <w:lang w:eastAsia="en-US"/>
              </w:rPr>
              <w:t>1</w:t>
            </w:r>
            <w:r w:rsidRPr="00D96653">
              <w:rPr>
                <w:rFonts w:eastAsia="Calibri"/>
                <w:bCs/>
                <w:sz w:val="16"/>
                <w:szCs w:val="16"/>
                <w:vertAlign w:val="superscript"/>
                <w:lang w:eastAsia="en-US"/>
              </w:rPr>
              <w:t>/</w:t>
            </w:r>
          </w:p>
        </w:tc>
        <w:tc>
          <w:tcPr>
            <w:tcW w:w="1134" w:type="dxa"/>
            <w:tcBorders>
              <w:left w:val="single" w:sz="4" w:space="0" w:color="auto"/>
              <w:right w:val="single" w:sz="4" w:space="0" w:color="auto"/>
            </w:tcBorders>
            <w:shd w:val="clear" w:color="auto" w:fill="auto"/>
            <w:vAlign w:val="bottom"/>
          </w:tcPr>
          <w:p w14:paraId="36C1097E"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344</w:t>
            </w:r>
          </w:p>
        </w:tc>
        <w:tc>
          <w:tcPr>
            <w:tcW w:w="1134" w:type="dxa"/>
            <w:tcBorders>
              <w:top w:val="nil"/>
              <w:left w:val="single" w:sz="4" w:space="0" w:color="auto"/>
              <w:bottom w:val="nil"/>
              <w:right w:val="single" w:sz="4" w:space="0" w:color="auto"/>
            </w:tcBorders>
            <w:shd w:val="clear" w:color="auto" w:fill="auto"/>
            <w:vAlign w:val="bottom"/>
          </w:tcPr>
          <w:p w14:paraId="26960556"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359</w:t>
            </w:r>
          </w:p>
        </w:tc>
        <w:tc>
          <w:tcPr>
            <w:tcW w:w="1134" w:type="dxa"/>
            <w:tcBorders>
              <w:left w:val="single" w:sz="4" w:space="0" w:color="auto"/>
              <w:right w:val="single" w:sz="4" w:space="0" w:color="auto"/>
            </w:tcBorders>
            <w:shd w:val="clear" w:color="auto" w:fill="auto"/>
            <w:vAlign w:val="bottom"/>
          </w:tcPr>
          <w:p w14:paraId="6457708F"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374</w:t>
            </w:r>
          </w:p>
        </w:tc>
        <w:tc>
          <w:tcPr>
            <w:tcW w:w="992" w:type="dxa"/>
            <w:tcBorders>
              <w:top w:val="nil"/>
              <w:left w:val="single" w:sz="4" w:space="0" w:color="auto"/>
              <w:bottom w:val="nil"/>
              <w:right w:val="single" w:sz="4" w:space="0" w:color="auto"/>
            </w:tcBorders>
            <w:shd w:val="clear" w:color="auto" w:fill="auto"/>
            <w:vAlign w:val="bottom"/>
          </w:tcPr>
          <w:p w14:paraId="09860042"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8.7</w:t>
            </w:r>
          </w:p>
        </w:tc>
        <w:tc>
          <w:tcPr>
            <w:tcW w:w="1134" w:type="dxa"/>
            <w:tcBorders>
              <w:top w:val="nil"/>
              <w:left w:val="single" w:sz="4" w:space="0" w:color="auto"/>
              <w:bottom w:val="nil"/>
              <w:right w:val="single" w:sz="4" w:space="0" w:color="auto"/>
            </w:tcBorders>
            <w:shd w:val="clear" w:color="auto" w:fill="auto"/>
            <w:vAlign w:val="bottom"/>
          </w:tcPr>
          <w:p w14:paraId="74C4A370"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4.2</w:t>
            </w:r>
          </w:p>
        </w:tc>
      </w:tr>
      <w:tr w:rsidR="00D96653" w:rsidRPr="00D96653" w14:paraId="21051B58"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center"/>
          </w:tcPr>
          <w:p w14:paraId="578E499B" w14:textId="77777777" w:rsidR="00D96653" w:rsidRPr="00D96653" w:rsidRDefault="00D96653" w:rsidP="00D96653">
            <w:pPr>
              <w:spacing w:before="120"/>
              <w:rPr>
                <w:rFonts w:eastAsia="Times New Roman"/>
                <w:b/>
                <w:bCs/>
                <w:sz w:val="18"/>
                <w:szCs w:val="18"/>
              </w:rPr>
            </w:pPr>
            <w:r w:rsidRPr="00D96653">
              <w:rPr>
                <w:rFonts w:eastAsia="Times New Roman"/>
                <w:b/>
                <w:bCs/>
                <w:sz w:val="18"/>
                <w:szCs w:val="18"/>
              </w:rPr>
              <w:t>Pasivo total</w:t>
            </w:r>
          </w:p>
        </w:tc>
        <w:tc>
          <w:tcPr>
            <w:tcW w:w="1134" w:type="dxa"/>
            <w:tcBorders>
              <w:left w:val="single" w:sz="4" w:space="0" w:color="auto"/>
              <w:right w:val="single" w:sz="4" w:space="0" w:color="auto"/>
            </w:tcBorders>
            <w:shd w:val="clear" w:color="auto" w:fill="auto"/>
            <w:vAlign w:val="bottom"/>
          </w:tcPr>
          <w:p w14:paraId="08AAB10E" w14:textId="77777777" w:rsidR="00D96653" w:rsidRPr="00D96653" w:rsidRDefault="00D96653" w:rsidP="005061B6">
            <w:pPr>
              <w:ind w:right="227"/>
              <w:jc w:val="right"/>
              <w:rPr>
                <w:rFonts w:eastAsia="Calibri"/>
                <w:b/>
                <w:sz w:val="16"/>
                <w:szCs w:val="16"/>
                <w:lang w:eastAsia="en-US"/>
              </w:rPr>
            </w:pPr>
            <w:r w:rsidRPr="00D96653">
              <w:rPr>
                <w:rFonts w:eastAsia="Calibri"/>
                <w:b/>
                <w:sz w:val="16"/>
                <w:szCs w:val="16"/>
                <w:lang w:eastAsia="en-US"/>
              </w:rPr>
              <w:t>5 753</w:t>
            </w:r>
          </w:p>
        </w:tc>
        <w:tc>
          <w:tcPr>
            <w:tcW w:w="1134" w:type="dxa"/>
            <w:tcBorders>
              <w:top w:val="nil"/>
              <w:left w:val="single" w:sz="4" w:space="0" w:color="auto"/>
              <w:bottom w:val="nil"/>
              <w:right w:val="single" w:sz="4" w:space="0" w:color="auto"/>
            </w:tcBorders>
            <w:shd w:val="clear" w:color="auto" w:fill="auto"/>
            <w:vAlign w:val="bottom"/>
          </w:tcPr>
          <w:p w14:paraId="17570F39" w14:textId="77777777" w:rsidR="00D96653" w:rsidRPr="00D96653" w:rsidRDefault="00D96653" w:rsidP="00D96653">
            <w:pPr>
              <w:ind w:right="170"/>
              <w:jc w:val="right"/>
              <w:rPr>
                <w:rFonts w:eastAsia="Calibri"/>
                <w:b/>
                <w:sz w:val="16"/>
                <w:szCs w:val="16"/>
                <w:lang w:eastAsia="en-US"/>
              </w:rPr>
            </w:pPr>
            <w:r w:rsidRPr="00D96653">
              <w:rPr>
                <w:rFonts w:eastAsia="Calibri"/>
                <w:b/>
                <w:sz w:val="16"/>
                <w:szCs w:val="16"/>
                <w:lang w:eastAsia="en-US"/>
              </w:rPr>
              <w:t>6 146</w:t>
            </w:r>
          </w:p>
        </w:tc>
        <w:tc>
          <w:tcPr>
            <w:tcW w:w="1134" w:type="dxa"/>
            <w:tcBorders>
              <w:left w:val="single" w:sz="4" w:space="0" w:color="auto"/>
              <w:right w:val="single" w:sz="4" w:space="0" w:color="auto"/>
            </w:tcBorders>
            <w:shd w:val="clear" w:color="auto" w:fill="auto"/>
            <w:vAlign w:val="bottom"/>
          </w:tcPr>
          <w:p w14:paraId="01EFCCD6"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6 248</w:t>
            </w:r>
          </w:p>
        </w:tc>
        <w:tc>
          <w:tcPr>
            <w:tcW w:w="992" w:type="dxa"/>
            <w:tcBorders>
              <w:top w:val="nil"/>
              <w:left w:val="single" w:sz="4" w:space="0" w:color="auto"/>
              <w:bottom w:val="nil"/>
              <w:right w:val="single" w:sz="4" w:space="0" w:color="auto"/>
            </w:tcBorders>
            <w:shd w:val="clear" w:color="auto" w:fill="auto"/>
            <w:vAlign w:val="bottom"/>
          </w:tcPr>
          <w:p w14:paraId="6791DA06"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8.6</w:t>
            </w:r>
          </w:p>
        </w:tc>
        <w:tc>
          <w:tcPr>
            <w:tcW w:w="1134" w:type="dxa"/>
            <w:tcBorders>
              <w:top w:val="nil"/>
              <w:left w:val="single" w:sz="4" w:space="0" w:color="auto"/>
              <w:bottom w:val="nil"/>
              <w:right w:val="single" w:sz="4" w:space="0" w:color="auto"/>
            </w:tcBorders>
            <w:shd w:val="clear" w:color="auto" w:fill="auto"/>
            <w:vAlign w:val="bottom"/>
          </w:tcPr>
          <w:p w14:paraId="6165FF6E" w14:textId="77777777" w:rsidR="00D96653" w:rsidRPr="00D96653" w:rsidRDefault="00D96653" w:rsidP="00D96653">
            <w:pPr>
              <w:ind w:right="284"/>
              <w:jc w:val="right"/>
              <w:rPr>
                <w:rFonts w:eastAsia="Calibri"/>
                <w:b/>
                <w:bCs/>
                <w:sz w:val="16"/>
                <w:szCs w:val="16"/>
                <w:lang w:eastAsia="en-US"/>
              </w:rPr>
            </w:pPr>
            <w:r w:rsidRPr="00D96653">
              <w:rPr>
                <w:rFonts w:eastAsia="Calibri"/>
                <w:b/>
                <w:bCs/>
                <w:sz w:val="16"/>
                <w:szCs w:val="16"/>
                <w:lang w:eastAsia="en-US"/>
              </w:rPr>
              <w:t>1.7</w:t>
            </w:r>
          </w:p>
        </w:tc>
      </w:tr>
      <w:tr w:rsidR="00D96653" w:rsidRPr="00D96653" w14:paraId="7EDA3EC5"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5BF6C686"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Captación total</w:t>
            </w:r>
          </w:p>
        </w:tc>
        <w:tc>
          <w:tcPr>
            <w:tcW w:w="1134" w:type="dxa"/>
            <w:tcBorders>
              <w:left w:val="single" w:sz="4" w:space="0" w:color="auto"/>
              <w:right w:val="single" w:sz="4" w:space="0" w:color="auto"/>
            </w:tcBorders>
            <w:shd w:val="clear" w:color="auto" w:fill="auto"/>
            <w:vAlign w:val="bottom"/>
          </w:tcPr>
          <w:p w14:paraId="252AEE6E"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3 153</w:t>
            </w:r>
          </w:p>
        </w:tc>
        <w:tc>
          <w:tcPr>
            <w:tcW w:w="1134" w:type="dxa"/>
            <w:tcBorders>
              <w:top w:val="nil"/>
              <w:left w:val="single" w:sz="4" w:space="0" w:color="auto"/>
              <w:bottom w:val="nil"/>
              <w:right w:val="single" w:sz="4" w:space="0" w:color="auto"/>
            </w:tcBorders>
            <w:shd w:val="clear" w:color="auto" w:fill="auto"/>
            <w:vAlign w:val="bottom"/>
          </w:tcPr>
          <w:p w14:paraId="7B09AD13"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3 241</w:t>
            </w:r>
          </w:p>
        </w:tc>
        <w:tc>
          <w:tcPr>
            <w:tcW w:w="1134" w:type="dxa"/>
            <w:tcBorders>
              <w:left w:val="single" w:sz="4" w:space="0" w:color="auto"/>
              <w:right w:val="single" w:sz="4" w:space="0" w:color="auto"/>
            </w:tcBorders>
            <w:shd w:val="clear" w:color="auto" w:fill="auto"/>
            <w:vAlign w:val="bottom"/>
          </w:tcPr>
          <w:p w14:paraId="3D41BE2B"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3 509</w:t>
            </w:r>
          </w:p>
        </w:tc>
        <w:tc>
          <w:tcPr>
            <w:tcW w:w="992" w:type="dxa"/>
            <w:tcBorders>
              <w:top w:val="nil"/>
              <w:left w:val="single" w:sz="4" w:space="0" w:color="auto"/>
              <w:bottom w:val="nil"/>
              <w:right w:val="single" w:sz="4" w:space="0" w:color="auto"/>
            </w:tcBorders>
            <w:shd w:val="clear" w:color="auto" w:fill="auto"/>
            <w:vAlign w:val="bottom"/>
          </w:tcPr>
          <w:p w14:paraId="1E2952A9"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11.3</w:t>
            </w:r>
          </w:p>
        </w:tc>
        <w:tc>
          <w:tcPr>
            <w:tcW w:w="1134" w:type="dxa"/>
            <w:tcBorders>
              <w:top w:val="nil"/>
              <w:left w:val="single" w:sz="4" w:space="0" w:color="auto"/>
              <w:bottom w:val="nil"/>
              <w:right w:val="single" w:sz="4" w:space="0" w:color="auto"/>
            </w:tcBorders>
            <w:shd w:val="clear" w:color="auto" w:fill="auto"/>
            <w:vAlign w:val="bottom"/>
          </w:tcPr>
          <w:p w14:paraId="3254EB79"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8.3</w:t>
            </w:r>
          </w:p>
        </w:tc>
      </w:tr>
      <w:tr w:rsidR="00D96653" w:rsidRPr="00D96653" w14:paraId="7B3E5CC9"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15A70627"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Operaciones con valores y derivados</w:t>
            </w:r>
          </w:p>
        </w:tc>
        <w:tc>
          <w:tcPr>
            <w:tcW w:w="1134" w:type="dxa"/>
            <w:tcBorders>
              <w:left w:val="single" w:sz="4" w:space="0" w:color="auto"/>
              <w:right w:val="single" w:sz="4" w:space="0" w:color="auto"/>
            </w:tcBorders>
            <w:shd w:val="clear" w:color="auto" w:fill="auto"/>
            <w:vAlign w:val="bottom"/>
          </w:tcPr>
          <w:p w14:paraId="43A3BFF0"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428</w:t>
            </w:r>
          </w:p>
        </w:tc>
        <w:tc>
          <w:tcPr>
            <w:tcW w:w="1134" w:type="dxa"/>
            <w:tcBorders>
              <w:top w:val="nil"/>
              <w:left w:val="single" w:sz="4" w:space="0" w:color="auto"/>
              <w:bottom w:val="nil"/>
              <w:right w:val="single" w:sz="4" w:space="0" w:color="auto"/>
            </w:tcBorders>
            <w:shd w:val="clear" w:color="auto" w:fill="auto"/>
            <w:vAlign w:val="bottom"/>
          </w:tcPr>
          <w:p w14:paraId="7C0735BF"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461</w:t>
            </w:r>
          </w:p>
        </w:tc>
        <w:tc>
          <w:tcPr>
            <w:tcW w:w="1134" w:type="dxa"/>
            <w:tcBorders>
              <w:left w:val="single" w:sz="4" w:space="0" w:color="auto"/>
              <w:right w:val="single" w:sz="4" w:space="0" w:color="auto"/>
            </w:tcBorders>
            <w:shd w:val="clear" w:color="auto" w:fill="auto"/>
            <w:vAlign w:val="bottom"/>
          </w:tcPr>
          <w:p w14:paraId="3BA5DF3E"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580</w:t>
            </w:r>
          </w:p>
        </w:tc>
        <w:tc>
          <w:tcPr>
            <w:tcW w:w="992" w:type="dxa"/>
            <w:tcBorders>
              <w:top w:val="nil"/>
              <w:left w:val="single" w:sz="4" w:space="0" w:color="auto"/>
              <w:bottom w:val="nil"/>
              <w:right w:val="single" w:sz="4" w:space="0" w:color="auto"/>
            </w:tcBorders>
            <w:shd w:val="clear" w:color="auto" w:fill="auto"/>
            <w:vAlign w:val="bottom"/>
          </w:tcPr>
          <w:p w14:paraId="657214EE"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35.5</w:t>
            </w:r>
          </w:p>
        </w:tc>
        <w:tc>
          <w:tcPr>
            <w:tcW w:w="1134" w:type="dxa"/>
            <w:tcBorders>
              <w:top w:val="nil"/>
              <w:left w:val="single" w:sz="4" w:space="0" w:color="auto"/>
              <w:bottom w:val="nil"/>
              <w:right w:val="single" w:sz="4" w:space="0" w:color="auto"/>
            </w:tcBorders>
            <w:shd w:val="clear" w:color="auto" w:fill="auto"/>
            <w:vAlign w:val="bottom"/>
          </w:tcPr>
          <w:p w14:paraId="6499CC45"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25.9</w:t>
            </w:r>
          </w:p>
        </w:tc>
      </w:tr>
      <w:tr w:rsidR="00D96653" w:rsidRPr="00D96653" w14:paraId="058FCDF4"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227A968A"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Acreedores por reporto</w:t>
            </w:r>
          </w:p>
        </w:tc>
        <w:tc>
          <w:tcPr>
            <w:tcW w:w="1134" w:type="dxa"/>
            <w:tcBorders>
              <w:left w:val="single" w:sz="4" w:space="0" w:color="auto"/>
              <w:right w:val="single" w:sz="4" w:space="0" w:color="auto"/>
            </w:tcBorders>
            <w:shd w:val="clear" w:color="auto" w:fill="auto"/>
            <w:vAlign w:val="bottom"/>
          </w:tcPr>
          <w:p w14:paraId="53EDE800"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1 230</w:t>
            </w:r>
          </w:p>
        </w:tc>
        <w:tc>
          <w:tcPr>
            <w:tcW w:w="1134" w:type="dxa"/>
            <w:tcBorders>
              <w:top w:val="nil"/>
              <w:left w:val="single" w:sz="4" w:space="0" w:color="auto"/>
              <w:bottom w:val="nil"/>
              <w:right w:val="single" w:sz="4" w:space="0" w:color="auto"/>
            </w:tcBorders>
            <w:shd w:val="clear" w:color="auto" w:fill="auto"/>
            <w:vAlign w:val="bottom"/>
          </w:tcPr>
          <w:p w14:paraId="68EA26DB"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1 343</w:t>
            </w:r>
          </w:p>
        </w:tc>
        <w:tc>
          <w:tcPr>
            <w:tcW w:w="1134" w:type="dxa"/>
            <w:tcBorders>
              <w:left w:val="single" w:sz="4" w:space="0" w:color="auto"/>
              <w:right w:val="single" w:sz="4" w:space="0" w:color="auto"/>
            </w:tcBorders>
            <w:shd w:val="clear" w:color="auto" w:fill="auto"/>
            <w:vAlign w:val="bottom"/>
          </w:tcPr>
          <w:p w14:paraId="79E19E1C"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1 180</w:t>
            </w:r>
          </w:p>
        </w:tc>
        <w:tc>
          <w:tcPr>
            <w:tcW w:w="992" w:type="dxa"/>
            <w:tcBorders>
              <w:top w:val="nil"/>
              <w:left w:val="single" w:sz="4" w:space="0" w:color="auto"/>
              <w:bottom w:val="nil"/>
              <w:right w:val="single" w:sz="4" w:space="0" w:color="auto"/>
            </w:tcBorders>
            <w:shd w:val="clear" w:color="auto" w:fill="auto"/>
            <w:vAlign w:val="bottom"/>
          </w:tcPr>
          <w:p w14:paraId="5F7B905B"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-4.1</w:t>
            </w:r>
          </w:p>
        </w:tc>
        <w:tc>
          <w:tcPr>
            <w:tcW w:w="1134" w:type="dxa"/>
            <w:tcBorders>
              <w:top w:val="nil"/>
              <w:left w:val="single" w:sz="4" w:space="0" w:color="auto"/>
              <w:bottom w:val="nil"/>
              <w:right w:val="single" w:sz="4" w:space="0" w:color="auto"/>
            </w:tcBorders>
            <w:shd w:val="clear" w:color="auto" w:fill="auto"/>
            <w:vAlign w:val="bottom"/>
          </w:tcPr>
          <w:p w14:paraId="225DDA63"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-12.1</w:t>
            </w:r>
          </w:p>
        </w:tc>
      </w:tr>
      <w:tr w:rsidR="00D96653" w:rsidRPr="00D96653" w14:paraId="673244AE"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78DCAFC7"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Otras cuentas por pagar</w:t>
            </w:r>
          </w:p>
        </w:tc>
        <w:tc>
          <w:tcPr>
            <w:tcW w:w="1134" w:type="dxa"/>
            <w:tcBorders>
              <w:left w:val="single" w:sz="4" w:space="0" w:color="auto"/>
              <w:right w:val="single" w:sz="4" w:space="0" w:color="auto"/>
            </w:tcBorders>
            <w:shd w:val="clear" w:color="auto" w:fill="auto"/>
            <w:vAlign w:val="bottom"/>
          </w:tcPr>
          <w:p w14:paraId="45505097"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481</w:t>
            </w:r>
          </w:p>
        </w:tc>
        <w:tc>
          <w:tcPr>
            <w:tcW w:w="1134" w:type="dxa"/>
            <w:tcBorders>
              <w:top w:val="nil"/>
              <w:left w:val="single" w:sz="4" w:space="0" w:color="auto"/>
              <w:bottom w:val="nil"/>
              <w:right w:val="single" w:sz="4" w:space="0" w:color="auto"/>
            </w:tcBorders>
            <w:shd w:val="clear" w:color="auto" w:fill="auto"/>
            <w:vAlign w:val="bottom"/>
          </w:tcPr>
          <w:p w14:paraId="35308EE4"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598</w:t>
            </w:r>
          </w:p>
        </w:tc>
        <w:tc>
          <w:tcPr>
            <w:tcW w:w="1134" w:type="dxa"/>
            <w:tcBorders>
              <w:left w:val="single" w:sz="4" w:space="0" w:color="auto"/>
              <w:right w:val="single" w:sz="4" w:space="0" w:color="auto"/>
            </w:tcBorders>
            <w:shd w:val="clear" w:color="auto" w:fill="auto"/>
            <w:vAlign w:val="bottom"/>
          </w:tcPr>
          <w:p w14:paraId="22E69919"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453</w:t>
            </w:r>
          </w:p>
        </w:tc>
        <w:tc>
          <w:tcPr>
            <w:tcW w:w="992" w:type="dxa"/>
            <w:tcBorders>
              <w:top w:val="nil"/>
              <w:left w:val="single" w:sz="4" w:space="0" w:color="auto"/>
              <w:bottom w:val="nil"/>
              <w:right w:val="single" w:sz="4" w:space="0" w:color="auto"/>
            </w:tcBorders>
            <w:shd w:val="clear" w:color="auto" w:fill="auto"/>
            <w:vAlign w:val="bottom"/>
          </w:tcPr>
          <w:p w14:paraId="038C0683"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-5.8</w:t>
            </w:r>
          </w:p>
        </w:tc>
        <w:tc>
          <w:tcPr>
            <w:tcW w:w="1134" w:type="dxa"/>
            <w:tcBorders>
              <w:top w:val="nil"/>
              <w:left w:val="single" w:sz="4" w:space="0" w:color="auto"/>
              <w:bottom w:val="nil"/>
              <w:right w:val="single" w:sz="4" w:space="0" w:color="auto"/>
            </w:tcBorders>
            <w:shd w:val="clear" w:color="auto" w:fill="auto"/>
            <w:vAlign w:val="bottom"/>
          </w:tcPr>
          <w:p w14:paraId="2DE28C6F"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-24.2</w:t>
            </w:r>
          </w:p>
        </w:tc>
      </w:tr>
      <w:tr w:rsidR="00D96653" w:rsidRPr="00D96653" w14:paraId="5BA408AE" w14:textId="77777777" w:rsidTr="00D96653">
        <w:trPr>
          <w:trHeight w:val="271"/>
          <w:jc w:val="center"/>
        </w:trPr>
        <w:tc>
          <w:tcPr>
            <w:tcW w:w="3544" w:type="dxa"/>
            <w:tcBorders>
              <w:top w:val="nil"/>
              <w:left w:val="single" w:sz="4" w:space="0" w:color="auto"/>
              <w:bottom w:val="nil"/>
              <w:right w:val="single" w:sz="4" w:space="0" w:color="auto"/>
            </w:tcBorders>
            <w:shd w:val="clear" w:color="auto" w:fill="auto"/>
            <w:vAlign w:val="bottom"/>
          </w:tcPr>
          <w:p w14:paraId="0E81B68F"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 xml:space="preserve">Otros pasivos </w:t>
            </w:r>
            <w:r w:rsidRPr="00D96653">
              <w:rPr>
                <w:rFonts w:eastAsia="Calibri"/>
                <w:bCs/>
                <w:sz w:val="16"/>
                <w:szCs w:val="16"/>
                <w:u w:val="single"/>
                <w:vertAlign w:val="superscript"/>
                <w:lang w:eastAsia="en-US"/>
              </w:rPr>
              <w:t>2</w:t>
            </w:r>
            <w:r w:rsidRPr="00D96653">
              <w:rPr>
                <w:rFonts w:eastAsia="Calibri"/>
                <w:bCs/>
                <w:sz w:val="16"/>
                <w:szCs w:val="16"/>
                <w:vertAlign w:val="superscript"/>
                <w:lang w:eastAsia="en-US"/>
              </w:rPr>
              <w:t>/</w:t>
            </w:r>
          </w:p>
        </w:tc>
        <w:tc>
          <w:tcPr>
            <w:tcW w:w="1134" w:type="dxa"/>
            <w:tcBorders>
              <w:left w:val="single" w:sz="4" w:space="0" w:color="auto"/>
              <w:right w:val="single" w:sz="4" w:space="0" w:color="auto"/>
            </w:tcBorders>
            <w:shd w:val="clear" w:color="auto" w:fill="auto"/>
            <w:vAlign w:val="bottom"/>
          </w:tcPr>
          <w:p w14:paraId="21453C48"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460</w:t>
            </w:r>
          </w:p>
        </w:tc>
        <w:tc>
          <w:tcPr>
            <w:tcW w:w="1134" w:type="dxa"/>
            <w:tcBorders>
              <w:top w:val="nil"/>
              <w:left w:val="single" w:sz="4" w:space="0" w:color="auto"/>
              <w:bottom w:val="nil"/>
              <w:right w:val="single" w:sz="4" w:space="0" w:color="auto"/>
            </w:tcBorders>
            <w:shd w:val="clear" w:color="auto" w:fill="auto"/>
            <w:vAlign w:val="bottom"/>
          </w:tcPr>
          <w:p w14:paraId="78264FB3"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503</w:t>
            </w:r>
          </w:p>
        </w:tc>
        <w:tc>
          <w:tcPr>
            <w:tcW w:w="1134" w:type="dxa"/>
            <w:tcBorders>
              <w:left w:val="single" w:sz="4" w:space="0" w:color="auto"/>
              <w:right w:val="single" w:sz="4" w:space="0" w:color="auto"/>
            </w:tcBorders>
            <w:shd w:val="clear" w:color="auto" w:fill="auto"/>
            <w:vAlign w:val="bottom"/>
          </w:tcPr>
          <w:p w14:paraId="70CC730C"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526</w:t>
            </w:r>
          </w:p>
        </w:tc>
        <w:tc>
          <w:tcPr>
            <w:tcW w:w="992" w:type="dxa"/>
            <w:tcBorders>
              <w:top w:val="nil"/>
              <w:left w:val="single" w:sz="4" w:space="0" w:color="auto"/>
              <w:bottom w:val="nil"/>
              <w:right w:val="single" w:sz="4" w:space="0" w:color="auto"/>
            </w:tcBorders>
            <w:shd w:val="clear" w:color="auto" w:fill="auto"/>
            <w:vAlign w:val="bottom"/>
          </w:tcPr>
          <w:p w14:paraId="6E667849"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14.2</w:t>
            </w:r>
          </w:p>
        </w:tc>
        <w:tc>
          <w:tcPr>
            <w:tcW w:w="1134" w:type="dxa"/>
            <w:tcBorders>
              <w:top w:val="nil"/>
              <w:left w:val="single" w:sz="4" w:space="0" w:color="auto"/>
              <w:bottom w:val="nil"/>
              <w:right w:val="single" w:sz="4" w:space="0" w:color="auto"/>
            </w:tcBorders>
            <w:shd w:val="clear" w:color="auto" w:fill="auto"/>
            <w:vAlign w:val="bottom"/>
          </w:tcPr>
          <w:p w14:paraId="6C217C22"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4.4</w:t>
            </w:r>
          </w:p>
        </w:tc>
      </w:tr>
      <w:tr w:rsidR="00D96653" w:rsidRPr="00D96653" w14:paraId="72FC77F6" w14:textId="77777777" w:rsidTr="00D96653">
        <w:trPr>
          <w:trHeight w:val="261"/>
          <w:jc w:val="center"/>
        </w:trPr>
        <w:tc>
          <w:tcPr>
            <w:tcW w:w="3544" w:type="dxa"/>
            <w:tcBorders>
              <w:top w:val="nil"/>
              <w:left w:val="single" w:sz="4" w:space="0" w:color="auto"/>
              <w:bottom w:val="nil"/>
              <w:right w:val="single" w:sz="4" w:space="0" w:color="auto"/>
            </w:tcBorders>
            <w:shd w:val="clear" w:color="auto" w:fill="auto"/>
            <w:vAlign w:val="center"/>
          </w:tcPr>
          <w:p w14:paraId="3EEDDD71" w14:textId="77777777" w:rsidR="00D96653" w:rsidRPr="00D96653" w:rsidRDefault="00D96653" w:rsidP="00D96653">
            <w:pPr>
              <w:spacing w:before="120"/>
              <w:rPr>
                <w:rFonts w:eastAsia="Times New Roman"/>
                <w:b/>
                <w:bCs/>
                <w:sz w:val="18"/>
                <w:szCs w:val="18"/>
              </w:rPr>
            </w:pPr>
            <w:r w:rsidRPr="00D96653">
              <w:rPr>
                <w:rFonts w:eastAsia="Times New Roman"/>
                <w:b/>
                <w:bCs/>
                <w:sz w:val="18"/>
                <w:szCs w:val="18"/>
              </w:rPr>
              <w:t>Capital contable</w:t>
            </w:r>
          </w:p>
        </w:tc>
        <w:tc>
          <w:tcPr>
            <w:tcW w:w="1134" w:type="dxa"/>
            <w:tcBorders>
              <w:left w:val="single" w:sz="4" w:space="0" w:color="auto"/>
              <w:right w:val="single" w:sz="4" w:space="0" w:color="auto"/>
            </w:tcBorders>
            <w:shd w:val="clear" w:color="auto" w:fill="auto"/>
            <w:vAlign w:val="bottom"/>
          </w:tcPr>
          <w:p w14:paraId="465516E9" w14:textId="77777777" w:rsidR="00D96653" w:rsidRPr="00D96653" w:rsidRDefault="00D96653" w:rsidP="005061B6">
            <w:pPr>
              <w:ind w:right="227"/>
              <w:jc w:val="right"/>
              <w:rPr>
                <w:rFonts w:eastAsia="Calibri"/>
                <w:b/>
                <w:sz w:val="16"/>
                <w:szCs w:val="16"/>
                <w:lang w:eastAsia="en-US"/>
              </w:rPr>
            </w:pPr>
            <w:r w:rsidRPr="00D96653">
              <w:rPr>
                <w:rFonts w:eastAsia="Calibri"/>
                <w:b/>
                <w:sz w:val="16"/>
                <w:szCs w:val="16"/>
                <w:lang w:eastAsia="en-US"/>
              </w:rPr>
              <w:t>753</w:t>
            </w:r>
          </w:p>
        </w:tc>
        <w:tc>
          <w:tcPr>
            <w:tcW w:w="1134" w:type="dxa"/>
            <w:tcBorders>
              <w:top w:val="nil"/>
              <w:left w:val="single" w:sz="4" w:space="0" w:color="auto"/>
              <w:bottom w:val="nil"/>
              <w:right w:val="single" w:sz="4" w:space="0" w:color="auto"/>
            </w:tcBorders>
            <w:shd w:val="clear" w:color="auto" w:fill="auto"/>
            <w:vAlign w:val="bottom"/>
          </w:tcPr>
          <w:p w14:paraId="495CC0D6" w14:textId="77777777" w:rsidR="00D96653" w:rsidRPr="00D96653" w:rsidRDefault="00D96653" w:rsidP="00D96653">
            <w:pPr>
              <w:ind w:right="170"/>
              <w:jc w:val="right"/>
              <w:rPr>
                <w:rFonts w:eastAsia="Calibri"/>
                <w:b/>
                <w:sz w:val="16"/>
                <w:szCs w:val="16"/>
                <w:lang w:eastAsia="en-US"/>
              </w:rPr>
            </w:pPr>
            <w:r w:rsidRPr="00D96653">
              <w:rPr>
                <w:rFonts w:eastAsia="Calibri"/>
                <w:b/>
                <w:sz w:val="16"/>
                <w:szCs w:val="16"/>
                <w:lang w:eastAsia="en-US"/>
              </w:rPr>
              <w:t>809</w:t>
            </w:r>
          </w:p>
        </w:tc>
        <w:tc>
          <w:tcPr>
            <w:tcW w:w="1134" w:type="dxa"/>
            <w:tcBorders>
              <w:left w:val="single" w:sz="4" w:space="0" w:color="auto"/>
              <w:right w:val="single" w:sz="4" w:space="0" w:color="auto"/>
            </w:tcBorders>
            <w:shd w:val="clear" w:color="auto" w:fill="auto"/>
            <w:vAlign w:val="bottom"/>
          </w:tcPr>
          <w:p w14:paraId="065EA391"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829</w:t>
            </w:r>
          </w:p>
        </w:tc>
        <w:tc>
          <w:tcPr>
            <w:tcW w:w="992" w:type="dxa"/>
            <w:tcBorders>
              <w:top w:val="nil"/>
              <w:left w:val="single" w:sz="4" w:space="0" w:color="auto"/>
              <w:bottom w:val="nil"/>
              <w:right w:val="single" w:sz="4" w:space="0" w:color="auto"/>
            </w:tcBorders>
            <w:shd w:val="clear" w:color="auto" w:fill="auto"/>
            <w:vAlign w:val="bottom"/>
          </w:tcPr>
          <w:p w14:paraId="77B5B2A3" w14:textId="77777777" w:rsidR="00D96653" w:rsidRPr="00D96653" w:rsidRDefault="00D96653" w:rsidP="00D96653">
            <w:pPr>
              <w:ind w:right="227"/>
              <w:jc w:val="right"/>
              <w:rPr>
                <w:rFonts w:eastAsia="Calibri"/>
                <w:b/>
                <w:sz w:val="16"/>
                <w:szCs w:val="16"/>
                <w:lang w:eastAsia="en-US"/>
              </w:rPr>
            </w:pPr>
            <w:r w:rsidRPr="00D96653">
              <w:rPr>
                <w:rFonts w:eastAsia="Calibri"/>
                <w:b/>
                <w:sz w:val="16"/>
                <w:szCs w:val="16"/>
                <w:lang w:eastAsia="en-US"/>
              </w:rPr>
              <w:t>10.1</w:t>
            </w:r>
          </w:p>
        </w:tc>
        <w:tc>
          <w:tcPr>
            <w:tcW w:w="1134" w:type="dxa"/>
            <w:tcBorders>
              <w:top w:val="nil"/>
              <w:left w:val="single" w:sz="4" w:space="0" w:color="auto"/>
              <w:bottom w:val="nil"/>
              <w:right w:val="single" w:sz="4" w:space="0" w:color="auto"/>
            </w:tcBorders>
            <w:shd w:val="clear" w:color="auto" w:fill="auto"/>
            <w:vAlign w:val="bottom"/>
          </w:tcPr>
          <w:p w14:paraId="10930390" w14:textId="77777777" w:rsidR="00D96653" w:rsidRPr="00D96653" w:rsidRDefault="00D96653" w:rsidP="00D96653">
            <w:pPr>
              <w:ind w:right="284"/>
              <w:jc w:val="right"/>
              <w:rPr>
                <w:rFonts w:eastAsia="Calibri"/>
                <w:b/>
                <w:bCs/>
                <w:sz w:val="16"/>
                <w:szCs w:val="16"/>
                <w:lang w:eastAsia="en-US"/>
              </w:rPr>
            </w:pPr>
            <w:r w:rsidRPr="00D96653">
              <w:rPr>
                <w:rFonts w:eastAsia="Calibri"/>
                <w:b/>
                <w:bCs/>
                <w:sz w:val="16"/>
                <w:szCs w:val="16"/>
                <w:lang w:eastAsia="en-US"/>
              </w:rPr>
              <w:t>2.5</w:t>
            </w:r>
          </w:p>
        </w:tc>
      </w:tr>
      <w:tr w:rsidR="00D96653" w:rsidRPr="00D96653" w14:paraId="7E43C5F3" w14:textId="77777777" w:rsidTr="00D96653">
        <w:trPr>
          <w:trHeight w:val="261"/>
          <w:jc w:val="center"/>
        </w:trPr>
        <w:tc>
          <w:tcPr>
            <w:tcW w:w="3544" w:type="dxa"/>
            <w:tcBorders>
              <w:top w:val="nil"/>
              <w:left w:val="single" w:sz="4" w:space="0" w:color="auto"/>
              <w:bottom w:val="nil"/>
              <w:right w:val="single" w:sz="4" w:space="0" w:color="auto"/>
            </w:tcBorders>
            <w:shd w:val="clear" w:color="auto" w:fill="auto"/>
            <w:vAlign w:val="center"/>
          </w:tcPr>
          <w:p w14:paraId="5A93119A" w14:textId="77777777" w:rsidR="00D96653" w:rsidRPr="00D96653" w:rsidRDefault="00D96653" w:rsidP="00D96653">
            <w:pPr>
              <w:ind w:left="170"/>
              <w:rPr>
                <w:rFonts w:eastAsia="Times New Roman"/>
                <w:bCs/>
                <w:sz w:val="18"/>
                <w:szCs w:val="18"/>
              </w:rPr>
            </w:pPr>
            <w:r w:rsidRPr="00D96653">
              <w:rPr>
                <w:rFonts w:eastAsia="Times New Roman"/>
                <w:bCs/>
                <w:sz w:val="18"/>
                <w:szCs w:val="18"/>
              </w:rPr>
              <w:t>Capital contribuido</w:t>
            </w:r>
          </w:p>
        </w:tc>
        <w:tc>
          <w:tcPr>
            <w:tcW w:w="1134" w:type="dxa"/>
            <w:tcBorders>
              <w:left w:val="single" w:sz="4" w:space="0" w:color="auto"/>
              <w:right w:val="single" w:sz="4" w:space="0" w:color="auto"/>
            </w:tcBorders>
            <w:shd w:val="clear" w:color="auto" w:fill="auto"/>
            <w:vAlign w:val="bottom"/>
          </w:tcPr>
          <w:p w14:paraId="571716E3" w14:textId="77777777" w:rsidR="00D96653" w:rsidRPr="00D96653" w:rsidRDefault="00D96653" w:rsidP="005061B6">
            <w:pPr>
              <w:ind w:right="227"/>
              <w:jc w:val="right"/>
              <w:rPr>
                <w:rFonts w:eastAsia="Calibri"/>
                <w:sz w:val="16"/>
                <w:szCs w:val="16"/>
                <w:lang w:eastAsia="en-US"/>
              </w:rPr>
            </w:pPr>
            <w:r w:rsidRPr="00D96653">
              <w:rPr>
                <w:rFonts w:eastAsia="Calibri"/>
                <w:sz w:val="16"/>
                <w:szCs w:val="16"/>
                <w:lang w:eastAsia="en-US"/>
              </w:rPr>
              <w:t>338</w:t>
            </w:r>
          </w:p>
        </w:tc>
        <w:tc>
          <w:tcPr>
            <w:tcW w:w="1134" w:type="dxa"/>
            <w:tcBorders>
              <w:top w:val="nil"/>
              <w:left w:val="single" w:sz="4" w:space="0" w:color="auto"/>
              <w:bottom w:val="nil"/>
              <w:right w:val="single" w:sz="4" w:space="0" w:color="auto"/>
            </w:tcBorders>
            <w:shd w:val="clear" w:color="auto" w:fill="auto"/>
            <w:vAlign w:val="bottom"/>
          </w:tcPr>
          <w:p w14:paraId="2BD5E96B" w14:textId="77777777" w:rsidR="00D96653" w:rsidRPr="00D96653" w:rsidRDefault="00D96653" w:rsidP="00D96653">
            <w:pPr>
              <w:ind w:right="170"/>
              <w:jc w:val="right"/>
              <w:rPr>
                <w:rFonts w:eastAsia="Calibri"/>
                <w:sz w:val="16"/>
                <w:szCs w:val="16"/>
                <w:lang w:eastAsia="en-US"/>
              </w:rPr>
            </w:pPr>
            <w:r w:rsidRPr="00D96653">
              <w:rPr>
                <w:rFonts w:eastAsia="Calibri"/>
                <w:sz w:val="16"/>
                <w:szCs w:val="16"/>
                <w:lang w:eastAsia="en-US"/>
              </w:rPr>
              <w:t>342</w:t>
            </w:r>
          </w:p>
        </w:tc>
        <w:tc>
          <w:tcPr>
            <w:tcW w:w="1134" w:type="dxa"/>
            <w:tcBorders>
              <w:left w:val="single" w:sz="4" w:space="0" w:color="auto"/>
              <w:right w:val="single" w:sz="4" w:space="0" w:color="auto"/>
            </w:tcBorders>
            <w:shd w:val="clear" w:color="auto" w:fill="auto"/>
            <w:vAlign w:val="bottom"/>
          </w:tcPr>
          <w:p w14:paraId="48687760"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343</w:t>
            </w:r>
          </w:p>
        </w:tc>
        <w:tc>
          <w:tcPr>
            <w:tcW w:w="992" w:type="dxa"/>
            <w:tcBorders>
              <w:top w:val="nil"/>
              <w:left w:val="single" w:sz="4" w:space="0" w:color="auto"/>
              <w:bottom w:val="nil"/>
              <w:right w:val="single" w:sz="4" w:space="0" w:color="auto"/>
            </w:tcBorders>
            <w:shd w:val="clear" w:color="auto" w:fill="auto"/>
            <w:vAlign w:val="bottom"/>
          </w:tcPr>
          <w:p w14:paraId="6AB87EFB" w14:textId="77777777" w:rsidR="00D96653" w:rsidRPr="00D96653" w:rsidRDefault="00D96653" w:rsidP="00D96653">
            <w:pPr>
              <w:ind w:right="227"/>
              <w:jc w:val="right"/>
              <w:rPr>
                <w:rFonts w:eastAsia="Calibri"/>
                <w:sz w:val="16"/>
                <w:szCs w:val="16"/>
                <w:lang w:eastAsia="en-US"/>
              </w:rPr>
            </w:pPr>
            <w:r w:rsidRPr="00D96653">
              <w:rPr>
                <w:rFonts w:eastAsia="Calibri"/>
                <w:sz w:val="16"/>
                <w:szCs w:val="16"/>
                <w:lang w:eastAsia="en-US"/>
              </w:rPr>
              <w:t>1.5</w:t>
            </w:r>
          </w:p>
        </w:tc>
        <w:tc>
          <w:tcPr>
            <w:tcW w:w="1134" w:type="dxa"/>
            <w:tcBorders>
              <w:top w:val="nil"/>
              <w:left w:val="single" w:sz="4" w:space="0" w:color="auto"/>
              <w:bottom w:val="nil"/>
              <w:right w:val="single" w:sz="4" w:space="0" w:color="auto"/>
            </w:tcBorders>
            <w:shd w:val="clear" w:color="auto" w:fill="auto"/>
            <w:vAlign w:val="bottom"/>
          </w:tcPr>
          <w:p w14:paraId="42EC4C9C"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0.2</w:t>
            </w:r>
          </w:p>
        </w:tc>
      </w:tr>
      <w:tr w:rsidR="00D96653" w:rsidRPr="00D96653" w14:paraId="5D112E0D" w14:textId="77777777" w:rsidTr="00D96653">
        <w:trPr>
          <w:trHeight w:val="261"/>
          <w:jc w:val="center"/>
        </w:trPr>
        <w:tc>
          <w:tcPr>
            <w:tcW w:w="3544" w:type="dxa"/>
            <w:tcBorders>
              <w:top w:val="nil"/>
              <w:left w:val="single" w:sz="4" w:space="0" w:color="auto"/>
              <w:bottom w:val="nil"/>
              <w:right w:val="single" w:sz="4" w:space="0" w:color="auto"/>
            </w:tcBorders>
            <w:shd w:val="clear" w:color="auto" w:fill="auto"/>
            <w:vAlign w:val="center"/>
          </w:tcPr>
          <w:p w14:paraId="090DEDD9" w14:textId="77777777" w:rsidR="00D96653" w:rsidRPr="00D96653" w:rsidRDefault="00D96653" w:rsidP="00D96653">
            <w:pPr>
              <w:spacing w:after="120"/>
              <w:ind w:left="170"/>
              <w:rPr>
                <w:rFonts w:eastAsia="Times New Roman"/>
                <w:b/>
                <w:bCs/>
                <w:color w:val="5F497A"/>
                <w:sz w:val="18"/>
                <w:szCs w:val="18"/>
              </w:rPr>
            </w:pPr>
            <w:r w:rsidRPr="00D96653">
              <w:rPr>
                <w:rFonts w:eastAsia="Times New Roman"/>
                <w:bCs/>
                <w:sz w:val="18"/>
                <w:szCs w:val="18"/>
              </w:rPr>
              <w:t>Capital ganado</w:t>
            </w:r>
          </w:p>
        </w:tc>
        <w:tc>
          <w:tcPr>
            <w:tcW w:w="1134" w:type="dxa"/>
            <w:tcBorders>
              <w:left w:val="single" w:sz="4" w:space="0" w:color="auto"/>
              <w:right w:val="single" w:sz="4" w:space="0" w:color="auto"/>
            </w:tcBorders>
            <w:shd w:val="clear" w:color="auto" w:fill="auto"/>
            <w:vAlign w:val="bottom"/>
          </w:tcPr>
          <w:p w14:paraId="766A46F7" w14:textId="77777777" w:rsidR="00D96653" w:rsidRPr="00D96653" w:rsidRDefault="00D96653" w:rsidP="005061B6">
            <w:pPr>
              <w:spacing w:after="120"/>
              <w:ind w:right="227"/>
              <w:jc w:val="right"/>
              <w:rPr>
                <w:rFonts w:eastAsia="Calibri"/>
                <w:sz w:val="16"/>
                <w:szCs w:val="16"/>
                <w:lang w:eastAsia="en-US"/>
              </w:rPr>
            </w:pPr>
            <w:r w:rsidRPr="00D96653">
              <w:rPr>
                <w:rFonts w:eastAsia="Calibri"/>
                <w:sz w:val="16"/>
                <w:szCs w:val="16"/>
                <w:lang w:eastAsia="en-US"/>
              </w:rPr>
              <w:t>412</w:t>
            </w:r>
          </w:p>
        </w:tc>
        <w:tc>
          <w:tcPr>
            <w:tcW w:w="1134" w:type="dxa"/>
            <w:tcBorders>
              <w:top w:val="nil"/>
              <w:left w:val="single" w:sz="4" w:space="0" w:color="auto"/>
              <w:bottom w:val="nil"/>
              <w:right w:val="single" w:sz="4" w:space="0" w:color="auto"/>
            </w:tcBorders>
            <w:shd w:val="clear" w:color="auto" w:fill="auto"/>
            <w:vAlign w:val="bottom"/>
          </w:tcPr>
          <w:p w14:paraId="66316737" w14:textId="77777777" w:rsidR="00D96653" w:rsidRPr="00D96653" w:rsidRDefault="00D96653" w:rsidP="00D96653">
            <w:pPr>
              <w:spacing w:after="120"/>
              <w:ind w:right="170"/>
              <w:jc w:val="right"/>
              <w:rPr>
                <w:rFonts w:eastAsia="Calibri"/>
                <w:sz w:val="16"/>
                <w:szCs w:val="16"/>
                <w:lang w:eastAsia="en-US"/>
              </w:rPr>
            </w:pPr>
            <w:r w:rsidRPr="00D96653">
              <w:rPr>
                <w:rFonts w:eastAsia="Calibri"/>
                <w:sz w:val="16"/>
                <w:szCs w:val="16"/>
                <w:lang w:eastAsia="en-US"/>
              </w:rPr>
              <w:t>464</w:t>
            </w:r>
          </w:p>
        </w:tc>
        <w:tc>
          <w:tcPr>
            <w:tcW w:w="1134" w:type="dxa"/>
            <w:tcBorders>
              <w:left w:val="single" w:sz="4" w:space="0" w:color="auto"/>
              <w:right w:val="single" w:sz="4" w:space="0" w:color="auto"/>
            </w:tcBorders>
            <w:shd w:val="clear" w:color="auto" w:fill="auto"/>
            <w:vAlign w:val="bottom"/>
          </w:tcPr>
          <w:p w14:paraId="1051A1FE" w14:textId="77777777" w:rsidR="00D96653" w:rsidRPr="00D96653" w:rsidRDefault="00D96653" w:rsidP="00D96653">
            <w:pPr>
              <w:spacing w:after="120"/>
              <w:ind w:right="227"/>
              <w:jc w:val="right"/>
              <w:rPr>
                <w:rFonts w:eastAsia="Calibri"/>
                <w:sz w:val="16"/>
                <w:szCs w:val="16"/>
                <w:lang w:eastAsia="en-US"/>
              </w:rPr>
            </w:pPr>
            <w:r w:rsidRPr="00D96653">
              <w:rPr>
                <w:rFonts w:eastAsia="Calibri"/>
                <w:sz w:val="16"/>
                <w:szCs w:val="16"/>
                <w:lang w:eastAsia="en-US"/>
              </w:rPr>
              <w:t>483</w:t>
            </w:r>
          </w:p>
        </w:tc>
        <w:tc>
          <w:tcPr>
            <w:tcW w:w="992" w:type="dxa"/>
            <w:tcBorders>
              <w:top w:val="nil"/>
              <w:left w:val="single" w:sz="4" w:space="0" w:color="auto"/>
              <w:bottom w:val="nil"/>
              <w:right w:val="single" w:sz="4" w:space="0" w:color="auto"/>
            </w:tcBorders>
            <w:shd w:val="clear" w:color="auto" w:fill="auto"/>
            <w:vAlign w:val="bottom"/>
          </w:tcPr>
          <w:p w14:paraId="26C04E2A" w14:textId="77777777" w:rsidR="00D96653" w:rsidRPr="00D96653" w:rsidRDefault="00D96653" w:rsidP="00D96653">
            <w:pPr>
              <w:spacing w:after="120"/>
              <w:ind w:right="227"/>
              <w:jc w:val="right"/>
              <w:rPr>
                <w:rFonts w:eastAsia="Calibri"/>
                <w:sz w:val="16"/>
                <w:szCs w:val="16"/>
                <w:lang w:eastAsia="en-US"/>
              </w:rPr>
            </w:pPr>
            <w:r w:rsidRPr="00D96653">
              <w:rPr>
                <w:rFonts w:eastAsia="Calibri"/>
                <w:sz w:val="16"/>
                <w:szCs w:val="16"/>
                <w:lang w:eastAsia="en-US"/>
              </w:rPr>
              <w:t>17.3</w:t>
            </w:r>
          </w:p>
        </w:tc>
        <w:tc>
          <w:tcPr>
            <w:tcW w:w="1134" w:type="dxa"/>
            <w:tcBorders>
              <w:top w:val="nil"/>
              <w:left w:val="single" w:sz="4" w:space="0" w:color="auto"/>
              <w:bottom w:val="nil"/>
              <w:right w:val="single" w:sz="4" w:space="0" w:color="auto"/>
            </w:tcBorders>
            <w:shd w:val="clear" w:color="auto" w:fill="auto"/>
            <w:vAlign w:val="bottom"/>
          </w:tcPr>
          <w:p w14:paraId="3A836046" w14:textId="77777777" w:rsidR="00D96653" w:rsidRPr="00D96653" w:rsidRDefault="00D96653" w:rsidP="00D96653">
            <w:pPr>
              <w:spacing w:after="120"/>
              <w:ind w:right="284"/>
              <w:jc w:val="right"/>
              <w:rPr>
                <w:rFonts w:eastAsia="Calibri"/>
                <w:bCs/>
                <w:sz w:val="16"/>
                <w:szCs w:val="16"/>
                <w:lang w:eastAsia="en-US"/>
              </w:rPr>
            </w:pPr>
            <w:r w:rsidRPr="00D96653">
              <w:rPr>
                <w:rFonts w:eastAsia="Calibri"/>
                <w:bCs/>
                <w:sz w:val="16"/>
                <w:szCs w:val="16"/>
                <w:lang w:eastAsia="en-US"/>
              </w:rPr>
              <w:t>4.1</w:t>
            </w:r>
          </w:p>
        </w:tc>
      </w:tr>
      <w:tr w:rsidR="00D96653" w:rsidRPr="00D96653" w14:paraId="5C7D7662" w14:textId="77777777" w:rsidTr="00D96653">
        <w:trPr>
          <w:trHeight w:val="261"/>
          <w:jc w:val="center"/>
        </w:trPr>
        <w:tc>
          <w:tcPr>
            <w:tcW w:w="9072" w:type="dxa"/>
            <w:gridSpan w:val="6"/>
            <w:tcBorders>
              <w:top w:val="single" w:sz="4" w:space="0" w:color="auto"/>
              <w:bottom w:val="nil"/>
            </w:tcBorders>
            <w:vAlign w:val="center"/>
          </w:tcPr>
          <w:p w14:paraId="772093A4" w14:textId="77777777" w:rsidR="00D96653" w:rsidRPr="005061B6" w:rsidRDefault="00D96653" w:rsidP="005061B6">
            <w:pPr>
              <w:spacing w:before="120"/>
              <w:ind w:left="227" w:hanging="227"/>
              <w:jc w:val="both"/>
              <w:rPr>
                <w:rFonts w:eastAsia="Times New Roman"/>
                <w:bCs/>
                <w:sz w:val="18"/>
                <w:szCs w:val="18"/>
              </w:rPr>
            </w:pPr>
            <w:r w:rsidRPr="005061B6">
              <w:rPr>
                <w:rFonts w:eastAsia="Times New Roman"/>
                <w:bCs/>
                <w:sz w:val="18"/>
                <w:szCs w:val="18"/>
                <w:u w:val="single"/>
              </w:rPr>
              <w:t>1</w:t>
            </w:r>
            <w:r w:rsidRPr="005061B6">
              <w:rPr>
                <w:rFonts w:eastAsia="Times New Roman"/>
                <w:bCs/>
                <w:sz w:val="18"/>
                <w:szCs w:val="18"/>
              </w:rPr>
              <w:t>/ Incluye bienes adjudicados, inmuebles, mobiliario y equipo, inversiones permanentes, activos de larga duración disponibles para la venta, impuestos y PTU diferidos (a favor).</w:t>
            </w:r>
          </w:p>
          <w:p w14:paraId="37CD0280" w14:textId="77777777" w:rsidR="00D96653" w:rsidRPr="005061B6" w:rsidRDefault="00D96653" w:rsidP="005061B6">
            <w:pPr>
              <w:ind w:left="170" w:hanging="170"/>
              <w:jc w:val="both"/>
              <w:rPr>
                <w:rFonts w:eastAsia="Times New Roman"/>
                <w:bCs/>
                <w:sz w:val="18"/>
                <w:szCs w:val="18"/>
              </w:rPr>
            </w:pPr>
            <w:r w:rsidRPr="005061B6">
              <w:rPr>
                <w:rFonts w:eastAsia="Times New Roman"/>
                <w:bCs/>
                <w:sz w:val="18"/>
                <w:szCs w:val="18"/>
                <w:u w:val="single"/>
              </w:rPr>
              <w:t>2</w:t>
            </w:r>
            <w:r w:rsidRPr="005061B6">
              <w:rPr>
                <w:rFonts w:eastAsia="Times New Roman"/>
                <w:bCs/>
                <w:sz w:val="18"/>
                <w:szCs w:val="18"/>
              </w:rPr>
              <w:t>/ Incluye colaterales vendidos, impuestos y PTU diferidos (a cargo), créditos diferidos y cobros anticipados, obligaciones subordinadas en circulación.</w:t>
            </w:r>
          </w:p>
          <w:p w14:paraId="4EE5AF28" w14:textId="77777777" w:rsidR="00D96653" w:rsidRPr="005061B6" w:rsidRDefault="00D96653" w:rsidP="005061B6">
            <w:pPr>
              <w:ind w:left="170" w:hanging="170"/>
              <w:jc w:val="both"/>
              <w:rPr>
                <w:rFonts w:eastAsia="Times New Roman"/>
                <w:bCs/>
                <w:sz w:val="18"/>
                <w:szCs w:val="18"/>
              </w:rPr>
            </w:pPr>
            <w:r w:rsidRPr="005061B6">
              <w:rPr>
                <w:rFonts w:eastAsia="Times New Roman"/>
                <w:bCs/>
                <w:sz w:val="18"/>
                <w:szCs w:val="18"/>
              </w:rPr>
              <w:t>FUENTE: CNBV.</w:t>
            </w:r>
          </w:p>
        </w:tc>
      </w:tr>
    </w:tbl>
    <w:p w14:paraId="54337A2C" w14:textId="77777777" w:rsidR="00D96653" w:rsidRPr="00D96653" w:rsidRDefault="00D96653" w:rsidP="00D96653">
      <w:pPr>
        <w:spacing w:after="360" w:line="360" w:lineRule="auto"/>
        <w:ind w:right="-159"/>
        <w:jc w:val="both"/>
        <w:rPr>
          <w:rFonts w:eastAsia="Calibri"/>
          <w:sz w:val="26"/>
          <w:szCs w:val="26"/>
          <w:lang w:eastAsia="en-US"/>
        </w:rPr>
      </w:pPr>
    </w:p>
    <w:p w14:paraId="55E2CB64"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El saldo de los pasivos fue 6 mil 248 mmdp, con un incremento anual de 8.6%. La captación total alcanzó un saldo de 3 mil 509 mmdp y conformó 56.2% del total de los pasivos, con un crecimiento de 11.3%. Los acreedores por reporto se ubicaron en 1 mil 180 mmdp, cifra 4.1% menor a la del año anterior y representaron 18.9% de los pasivos.</w:t>
      </w:r>
    </w:p>
    <w:p w14:paraId="78A19A42"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lastRenderedPageBreak/>
        <w:t>El capital contable de este sector fue 829 mmdp, monto superior en 10.1% al del mismo mes de 2013. La razón financiera de capital contable a activos se ubicó en 11.7% cifra mayor en 0.14 puntos porcentuales (pp) a la de diciembre de 2013 (11.6%).</w:t>
      </w:r>
    </w:p>
    <w:p w14:paraId="449C8B5A"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Captación de recursos</w:t>
      </w:r>
    </w:p>
    <w:p w14:paraId="449ACAF8"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Los depósitos de exigibilidad inmediata registraron un incremento anual de 11.2%, para alcanzar un saldo de 2 mil 70 mmdp, y los depósitos a plazo aumentaron 9.2% con un saldo de 934 mmdp, mientras que los préstamos interbancarios y de otros organismos aumentaron 9.5% registrando un saldo de 256 mmdp. La captación a través de títulos de crédito emitidos registró un incremento de 23.4% con un saldo de 249 mmdp.</w:t>
      </w:r>
    </w:p>
    <w:tbl>
      <w:tblPr>
        <w:tblW w:w="8857" w:type="dxa"/>
        <w:jc w:val="center"/>
        <w:tblLayout w:type="fixed"/>
        <w:tblLook w:val="01E0" w:firstRow="1" w:lastRow="1" w:firstColumn="1" w:lastColumn="1" w:noHBand="0" w:noVBand="0"/>
      </w:tblPr>
      <w:tblGrid>
        <w:gridCol w:w="3412"/>
        <w:gridCol w:w="1134"/>
        <w:gridCol w:w="1134"/>
        <w:gridCol w:w="1134"/>
        <w:gridCol w:w="993"/>
        <w:gridCol w:w="1050"/>
      </w:tblGrid>
      <w:tr w:rsidR="00D96653" w:rsidRPr="00D96653" w14:paraId="15B02EFC" w14:textId="77777777" w:rsidTr="004D3FE5">
        <w:trPr>
          <w:jc w:val="center"/>
        </w:trPr>
        <w:tc>
          <w:tcPr>
            <w:tcW w:w="8857" w:type="dxa"/>
            <w:gridSpan w:val="6"/>
            <w:tcBorders>
              <w:bottom w:val="single" w:sz="4" w:space="0" w:color="auto"/>
            </w:tcBorders>
            <w:shd w:val="clear" w:color="auto" w:fill="auto"/>
            <w:vAlign w:val="center"/>
          </w:tcPr>
          <w:p w14:paraId="01696CAE" w14:textId="77777777" w:rsidR="00D96653" w:rsidRPr="004D3FE5" w:rsidRDefault="00D96653" w:rsidP="00D96653">
            <w:pPr>
              <w:jc w:val="center"/>
              <w:rPr>
                <w:rFonts w:eastAsia="Times New Roman"/>
                <w:b/>
                <w:bCs/>
                <w:sz w:val="22"/>
                <w:szCs w:val="22"/>
                <w:lang w:val="es-ES"/>
              </w:rPr>
            </w:pPr>
            <w:r w:rsidRPr="004D3FE5">
              <w:rPr>
                <w:rFonts w:eastAsia="Times New Roman"/>
                <w:b/>
                <w:bCs/>
                <w:sz w:val="22"/>
                <w:szCs w:val="22"/>
                <w:lang w:val="es-ES"/>
              </w:rPr>
              <w:t>GRUPOS FINANCIEROS: CAPTACIÓN TOTAL</w:t>
            </w:r>
          </w:p>
          <w:p w14:paraId="3EE942B0" w14:textId="22604E97" w:rsidR="00D96653" w:rsidRPr="004D3FE5" w:rsidRDefault="00D96653" w:rsidP="004D3FE5">
            <w:pPr>
              <w:jc w:val="center"/>
              <w:rPr>
                <w:rFonts w:eastAsia="Times New Roman"/>
                <w:bCs/>
                <w:sz w:val="22"/>
                <w:szCs w:val="22"/>
                <w:lang w:val="es-ES"/>
              </w:rPr>
            </w:pPr>
            <w:r w:rsidRPr="004D3FE5">
              <w:rPr>
                <w:rFonts w:eastAsia="Times New Roman"/>
                <w:b/>
                <w:bCs/>
                <w:sz w:val="22"/>
                <w:szCs w:val="22"/>
                <w:lang w:val="es-ES"/>
              </w:rPr>
              <w:t>-Saldos en mmdp-</w:t>
            </w:r>
          </w:p>
        </w:tc>
      </w:tr>
      <w:tr w:rsidR="00D96653" w:rsidRPr="00D96653" w14:paraId="76334E38" w14:textId="77777777" w:rsidTr="00D96653">
        <w:trPr>
          <w:jc w:val="center"/>
        </w:trPr>
        <w:tc>
          <w:tcPr>
            <w:tcW w:w="34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07333E" w14:textId="77777777" w:rsidR="00D96653" w:rsidRPr="004D3FE5" w:rsidRDefault="00D96653" w:rsidP="00D96653">
            <w:pPr>
              <w:jc w:val="center"/>
              <w:rPr>
                <w:rFonts w:eastAsia="Times New Roman"/>
                <w:bCs/>
                <w:sz w:val="18"/>
                <w:szCs w:val="18"/>
                <w:lang w:val="es-ES"/>
              </w:rPr>
            </w:pPr>
          </w:p>
        </w:tc>
        <w:tc>
          <w:tcPr>
            <w:tcW w:w="1134" w:type="dxa"/>
            <w:tcBorders>
              <w:top w:val="single" w:sz="4" w:space="0" w:color="auto"/>
              <w:left w:val="single" w:sz="4" w:space="0" w:color="auto"/>
              <w:bottom w:val="nil"/>
              <w:right w:val="single" w:sz="4" w:space="0" w:color="auto"/>
            </w:tcBorders>
            <w:shd w:val="clear" w:color="auto" w:fill="auto"/>
            <w:vAlign w:val="center"/>
          </w:tcPr>
          <w:p w14:paraId="6645A61E"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2013</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02A983"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2014</w:t>
            </w:r>
          </w:p>
        </w:tc>
        <w:tc>
          <w:tcPr>
            <w:tcW w:w="20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DCD8D" w14:textId="77777777" w:rsidR="00D96653" w:rsidRPr="004D3FE5" w:rsidRDefault="00D96653" w:rsidP="00D96653">
            <w:pPr>
              <w:jc w:val="center"/>
              <w:rPr>
                <w:rFonts w:eastAsia="Times New Roman"/>
                <w:bCs/>
                <w:sz w:val="18"/>
                <w:szCs w:val="18"/>
                <w:lang w:val="es-ES"/>
              </w:rPr>
            </w:pPr>
            <w:r w:rsidRPr="004D3FE5">
              <w:rPr>
                <w:rFonts w:eastAsia="Times New Roman"/>
                <w:b/>
                <w:bCs/>
                <w:sz w:val="18"/>
                <w:szCs w:val="18"/>
                <w:lang w:val="es-ES"/>
              </w:rPr>
              <w:t>Diferencias (%)</w:t>
            </w:r>
          </w:p>
        </w:tc>
      </w:tr>
      <w:tr w:rsidR="00D96653" w:rsidRPr="00D96653" w14:paraId="3B73C775" w14:textId="77777777" w:rsidTr="00D96653">
        <w:trPr>
          <w:jc w:val="center"/>
        </w:trPr>
        <w:tc>
          <w:tcPr>
            <w:tcW w:w="34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4CBCCC" w14:textId="77777777" w:rsidR="00D96653" w:rsidRPr="004D3FE5" w:rsidRDefault="00D96653" w:rsidP="00D96653">
            <w:pPr>
              <w:jc w:val="center"/>
              <w:rPr>
                <w:rFonts w:eastAsia="Times New Roman"/>
                <w:bCs/>
                <w:sz w:val="18"/>
                <w:szCs w:val="18"/>
                <w:lang w:val="es-ES"/>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7FF39AB9"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83A963"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Septiembre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906104F"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AC7C45"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Anual</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4C28272D" w14:textId="77777777" w:rsidR="00D96653" w:rsidRPr="004D3FE5" w:rsidRDefault="00D96653" w:rsidP="00D96653">
            <w:pPr>
              <w:jc w:val="center"/>
              <w:rPr>
                <w:rFonts w:eastAsia="Times New Roman"/>
                <w:b/>
                <w:bCs/>
                <w:sz w:val="18"/>
                <w:szCs w:val="18"/>
                <w:lang w:val="es-ES"/>
              </w:rPr>
            </w:pPr>
            <w:r w:rsidRPr="004D3FE5">
              <w:rPr>
                <w:rFonts w:eastAsia="Times New Roman"/>
                <w:b/>
                <w:bCs/>
                <w:sz w:val="18"/>
                <w:szCs w:val="18"/>
                <w:lang w:val="es-ES"/>
              </w:rPr>
              <w:t>Trimestral</w:t>
            </w:r>
          </w:p>
        </w:tc>
      </w:tr>
      <w:tr w:rsidR="00D96653" w:rsidRPr="00D96653" w14:paraId="722880F5" w14:textId="77777777" w:rsidTr="00D96653">
        <w:trPr>
          <w:jc w:val="center"/>
        </w:trPr>
        <w:tc>
          <w:tcPr>
            <w:tcW w:w="3412" w:type="dxa"/>
            <w:tcBorders>
              <w:top w:val="single" w:sz="4" w:space="0" w:color="auto"/>
              <w:left w:val="single" w:sz="4" w:space="0" w:color="auto"/>
              <w:bottom w:val="nil"/>
              <w:right w:val="single" w:sz="4" w:space="0" w:color="auto"/>
            </w:tcBorders>
            <w:shd w:val="clear" w:color="auto" w:fill="auto"/>
            <w:vAlign w:val="bottom"/>
          </w:tcPr>
          <w:p w14:paraId="63B7B2BC" w14:textId="77777777" w:rsidR="00D96653" w:rsidRPr="004D3FE5" w:rsidRDefault="00D96653" w:rsidP="00D96653">
            <w:pPr>
              <w:spacing w:before="40" w:after="40"/>
              <w:rPr>
                <w:rFonts w:eastAsia="Calibri"/>
                <w:b/>
                <w:bCs/>
                <w:sz w:val="18"/>
                <w:szCs w:val="18"/>
                <w:lang w:val="en-US" w:eastAsia="en-US"/>
              </w:rPr>
            </w:pPr>
            <w:r w:rsidRPr="004D3FE5">
              <w:rPr>
                <w:rFonts w:eastAsia="Calibri"/>
                <w:b/>
                <w:bCs/>
                <w:sz w:val="18"/>
                <w:szCs w:val="18"/>
                <w:lang w:val="en-US" w:eastAsia="en-US"/>
              </w:rPr>
              <w:t>Captación total</w:t>
            </w:r>
          </w:p>
        </w:tc>
        <w:tc>
          <w:tcPr>
            <w:tcW w:w="1134" w:type="dxa"/>
            <w:tcBorders>
              <w:top w:val="single" w:sz="4" w:space="0" w:color="auto"/>
              <w:left w:val="single" w:sz="4" w:space="0" w:color="auto"/>
              <w:bottom w:val="nil"/>
              <w:right w:val="single" w:sz="4" w:space="0" w:color="auto"/>
            </w:tcBorders>
            <w:shd w:val="clear" w:color="auto" w:fill="auto"/>
            <w:vAlign w:val="bottom"/>
          </w:tcPr>
          <w:p w14:paraId="1950D155" w14:textId="77777777" w:rsidR="00D96653" w:rsidRPr="004D3FE5" w:rsidRDefault="00D96653" w:rsidP="00D96653">
            <w:pPr>
              <w:spacing w:before="40" w:after="40"/>
              <w:ind w:right="227"/>
              <w:jc w:val="right"/>
              <w:rPr>
                <w:rFonts w:eastAsia="Calibri"/>
                <w:b/>
                <w:sz w:val="18"/>
                <w:szCs w:val="18"/>
                <w:lang w:val="en-US" w:eastAsia="en-US"/>
              </w:rPr>
            </w:pPr>
            <w:r w:rsidRPr="004D3FE5">
              <w:rPr>
                <w:rFonts w:eastAsia="Calibri"/>
                <w:b/>
                <w:sz w:val="18"/>
                <w:szCs w:val="18"/>
                <w:lang w:val="en-US" w:eastAsia="en-US"/>
              </w:rPr>
              <w:t>3 153</w:t>
            </w:r>
          </w:p>
        </w:tc>
        <w:tc>
          <w:tcPr>
            <w:tcW w:w="1134" w:type="dxa"/>
            <w:tcBorders>
              <w:top w:val="single" w:sz="4" w:space="0" w:color="auto"/>
              <w:left w:val="single" w:sz="4" w:space="0" w:color="auto"/>
              <w:bottom w:val="nil"/>
              <w:right w:val="single" w:sz="4" w:space="0" w:color="auto"/>
            </w:tcBorders>
            <w:shd w:val="clear" w:color="auto" w:fill="auto"/>
            <w:vAlign w:val="bottom"/>
          </w:tcPr>
          <w:p w14:paraId="4C7B6718" w14:textId="77777777" w:rsidR="00D96653" w:rsidRPr="004D3FE5" w:rsidRDefault="00D96653" w:rsidP="00D96653">
            <w:pPr>
              <w:spacing w:before="40" w:after="40"/>
              <w:ind w:right="227"/>
              <w:jc w:val="right"/>
              <w:rPr>
                <w:rFonts w:eastAsia="Calibri"/>
                <w:b/>
                <w:sz w:val="18"/>
                <w:szCs w:val="18"/>
                <w:lang w:val="en-US" w:eastAsia="en-US"/>
              </w:rPr>
            </w:pPr>
            <w:r w:rsidRPr="004D3FE5">
              <w:rPr>
                <w:rFonts w:eastAsia="Calibri"/>
                <w:b/>
                <w:sz w:val="18"/>
                <w:szCs w:val="18"/>
                <w:lang w:val="en-US" w:eastAsia="en-US"/>
              </w:rPr>
              <w:t>3 241</w:t>
            </w:r>
          </w:p>
        </w:tc>
        <w:tc>
          <w:tcPr>
            <w:tcW w:w="1134" w:type="dxa"/>
            <w:tcBorders>
              <w:top w:val="single" w:sz="4" w:space="0" w:color="auto"/>
              <w:left w:val="single" w:sz="4" w:space="0" w:color="auto"/>
              <w:bottom w:val="nil"/>
              <w:right w:val="single" w:sz="4" w:space="0" w:color="auto"/>
            </w:tcBorders>
            <w:shd w:val="clear" w:color="auto" w:fill="auto"/>
            <w:vAlign w:val="bottom"/>
          </w:tcPr>
          <w:p w14:paraId="352EECEB" w14:textId="77777777" w:rsidR="00D96653" w:rsidRPr="004D3FE5" w:rsidRDefault="00D96653" w:rsidP="00D96653">
            <w:pPr>
              <w:spacing w:before="40" w:after="40"/>
              <w:ind w:right="227"/>
              <w:jc w:val="right"/>
              <w:rPr>
                <w:rFonts w:eastAsia="Calibri"/>
                <w:b/>
                <w:sz w:val="18"/>
                <w:szCs w:val="18"/>
                <w:lang w:val="en-US" w:eastAsia="en-US"/>
              </w:rPr>
            </w:pPr>
            <w:r w:rsidRPr="004D3FE5">
              <w:rPr>
                <w:rFonts w:eastAsia="Calibri"/>
                <w:b/>
                <w:sz w:val="18"/>
                <w:szCs w:val="18"/>
                <w:lang w:val="en-US" w:eastAsia="en-US"/>
              </w:rPr>
              <w:t>3 509</w:t>
            </w:r>
          </w:p>
        </w:tc>
        <w:tc>
          <w:tcPr>
            <w:tcW w:w="993" w:type="dxa"/>
            <w:tcBorders>
              <w:top w:val="single" w:sz="4" w:space="0" w:color="auto"/>
              <w:left w:val="single" w:sz="4" w:space="0" w:color="auto"/>
              <w:bottom w:val="nil"/>
              <w:right w:val="single" w:sz="4" w:space="0" w:color="auto"/>
            </w:tcBorders>
            <w:shd w:val="clear" w:color="auto" w:fill="auto"/>
            <w:vAlign w:val="bottom"/>
          </w:tcPr>
          <w:p w14:paraId="6443CE1B" w14:textId="77777777" w:rsidR="00D96653" w:rsidRPr="004D3FE5" w:rsidRDefault="00D96653" w:rsidP="00D96653">
            <w:pPr>
              <w:spacing w:before="40" w:after="40"/>
              <w:ind w:right="227"/>
              <w:jc w:val="right"/>
              <w:rPr>
                <w:rFonts w:eastAsia="Calibri"/>
                <w:b/>
                <w:sz w:val="18"/>
                <w:szCs w:val="18"/>
                <w:lang w:val="en-US" w:eastAsia="en-US"/>
              </w:rPr>
            </w:pPr>
            <w:r w:rsidRPr="004D3FE5">
              <w:rPr>
                <w:rFonts w:eastAsia="Calibri"/>
                <w:b/>
                <w:sz w:val="18"/>
                <w:szCs w:val="18"/>
                <w:lang w:val="en-US" w:eastAsia="en-US"/>
              </w:rPr>
              <w:t>11.3</w:t>
            </w:r>
          </w:p>
        </w:tc>
        <w:tc>
          <w:tcPr>
            <w:tcW w:w="1050" w:type="dxa"/>
            <w:tcBorders>
              <w:top w:val="single" w:sz="4" w:space="0" w:color="auto"/>
              <w:left w:val="single" w:sz="4" w:space="0" w:color="auto"/>
              <w:bottom w:val="nil"/>
              <w:right w:val="single" w:sz="4" w:space="0" w:color="auto"/>
            </w:tcBorders>
            <w:shd w:val="clear" w:color="auto" w:fill="auto"/>
            <w:vAlign w:val="bottom"/>
          </w:tcPr>
          <w:p w14:paraId="1846E0BD" w14:textId="77777777" w:rsidR="00D96653" w:rsidRPr="004D3FE5" w:rsidRDefault="00D96653" w:rsidP="00D96653">
            <w:pPr>
              <w:spacing w:before="40" w:after="40"/>
              <w:ind w:right="227"/>
              <w:jc w:val="right"/>
              <w:rPr>
                <w:rFonts w:eastAsia="Calibri"/>
                <w:b/>
                <w:bCs/>
                <w:sz w:val="18"/>
                <w:szCs w:val="18"/>
                <w:lang w:val="en-US" w:eastAsia="en-US"/>
              </w:rPr>
            </w:pPr>
            <w:r w:rsidRPr="004D3FE5">
              <w:rPr>
                <w:rFonts w:eastAsia="Calibri"/>
                <w:b/>
                <w:bCs/>
                <w:sz w:val="18"/>
                <w:szCs w:val="18"/>
                <w:lang w:val="en-US" w:eastAsia="en-US"/>
              </w:rPr>
              <w:t>8.3</w:t>
            </w:r>
          </w:p>
        </w:tc>
      </w:tr>
      <w:tr w:rsidR="00D96653" w:rsidRPr="00D96653" w14:paraId="53312DBF" w14:textId="77777777" w:rsidTr="00D96653">
        <w:trPr>
          <w:jc w:val="center"/>
        </w:trPr>
        <w:tc>
          <w:tcPr>
            <w:tcW w:w="3412" w:type="dxa"/>
            <w:tcBorders>
              <w:top w:val="nil"/>
              <w:left w:val="single" w:sz="4" w:space="0" w:color="auto"/>
              <w:bottom w:val="nil"/>
              <w:right w:val="single" w:sz="4" w:space="0" w:color="auto"/>
            </w:tcBorders>
            <w:shd w:val="clear" w:color="auto" w:fill="auto"/>
            <w:vAlign w:val="bottom"/>
          </w:tcPr>
          <w:p w14:paraId="16E83017" w14:textId="77777777" w:rsidR="00D96653" w:rsidRPr="004D3FE5" w:rsidRDefault="00D96653" w:rsidP="00D96653">
            <w:pPr>
              <w:spacing w:before="40" w:after="40"/>
              <w:ind w:left="57"/>
              <w:rPr>
                <w:rFonts w:eastAsia="Calibri"/>
                <w:bCs/>
                <w:sz w:val="18"/>
                <w:szCs w:val="18"/>
                <w:lang w:val="en-US" w:eastAsia="en-US"/>
              </w:rPr>
            </w:pPr>
            <w:r w:rsidRPr="004D3FE5">
              <w:rPr>
                <w:rFonts w:eastAsia="Calibri"/>
                <w:bCs/>
                <w:sz w:val="18"/>
                <w:szCs w:val="18"/>
                <w:lang w:val="en-US" w:eastAsia="en-US"/>
              </w:rPr>
              <w:t>Depósitos de exigibilidad inmediata</w:t>
            </w:r>
          </w:p>
        </w:tc>
        <w:tc>
          <w:tcPr>
            <w:tcW w:w="1134" w:type="dxa"/>
            <w:tcBorders>
              <w:top w:val="nil"/>
              <w:left w:val="single" w:sz="4" w:space="0" w:color="auto"/>
              <w:bottom w:val="nil"/>
              <w:right w:val="single" w:sz="4" w:space="0" w:color="auto"/>
            </w:tcBorders>
            <w:shd w:val="clear" w:color="auto" w:fill="auto"/>
            <w:vAlign w:val="bottom"/>
          </w:tcPr>
          <w:p w14:paraId="6489AA36"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1 861</w:t>
            </w:r>
          </w:p>
        </w:tc>
        <w:tc>
          <w:tcPr>
            <w:tcW w:w="1134" w:type="dxa"/>
            <w:tcBorders>
              <w:top w:val="nil"/>
              <w:left w:val="single" w:sz="4" w:space="0" w:color="auto"/>
              <w:bottom w:val="nil"/>
              <w:right w:val="single" w:sz="4" w:space="0" w:color="auto"/>
            </w:tcBorders>
            <w:shd w:val="clear" w:color="auto" w:fill="auto"/>
            <w:vAlign w:val="bottom"/>
          </w:tcPr>
          <w:p w14:paraId="1053BAE1"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1 924</w:t>
            </w:r>
          </w:p>
        </w:tc>
        <w:tc>
          <w:tcPr>
            <w:tcW w:w="1134" w:type="dxa"/>
            <w:tcBorders>
              <w:top w:val="nil"/>
              <w:left w:val="single" w:sz="4" w:space="0" w:color="auto"/>
              <w:bottom w:val="nil"/>
              <w:right w:val="single" w:sz="4" w:space="0" w:color="auto"/>
            </w:tcBorders>
            <w:shd w:val="clear" w:color="auto" w:fill="auto"/>
            <w:vAlign w:val="bottom"/>
          </w:tcPr>
          <w:p w14:paraId="7734F45F"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2 070</w:t>
            </w:r>
          </w:p>
        </w:tc>
        <w:tc>
          <w:tcPr>
            <w:tcW w:w="993" w:type="dxa"/>
            <w:tcBorders>
              <w:top w:val="nil"/>
              <w:left w:val="single" w:sz="4" w:space="0" w:color="auto"/>
              <w:bottom w:val="nil"/>
              <w:right w:val="single" w:sz="4" w:space="0" w:color="auto"/>
            </w:tcBorders>
            <w:shd w:val="clear" w:color="auto" w:fill="auto"/>
            <w:vAlign w:val="bottom"/>
          </w:tcPr>
          <w:p w14:paraId="458FC7EA"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11.2</w:t>
            </w:r>
          </w:p>
        </w:tc>
        <w:tc>
          <w:tcPr>
            <w:tcW w:w="1050" w:type="dxa"/>
            <w:tcBorders>
              <w:top w:val="nil"/>
              <w:left w:val="single" w:sz="4" w:space="0" w:color="auto"/>
              <w:bottom w:val="nil"/>
              <w:right w:val="single" w:sz="4" w:space="0" w:color="auto"/>
            </w:tcBorders>
            <w:shd w:val="clear" w:color="auto" w:fill="auto"/>
            <w:vAlign w:val="bottom"/>
          </w:tcPr>
          <w:p w14:paraId="37F528F6" w14:textId="77777777" w:rsidR="00D96653" w:rsidRPr="004D3FE5" w:rsidRDefault="00D96653" w:rsidP="00D96653">
            <w:pPr>
              <w:spacing w:before="40" w:after="40"/>
              <w:ind w:right="227"/>
              <w:jc w:val="right"/>
              <w:rPr>
                <w:rFonts w:eastAsia="Calibri"/>
                <w:bCs/>
                <w:sz w:val="18"/>
                <w:szCs w:val="18"/>
                <w:lang w:val="en-US" w:eastAsia="en-US"/>
              </w:rPr>
            </w:pPr>
            <w:r w:rsidRPr="004D3FE5">
              <w:rPr>
                <w:rFonts w:eastAsia="Calibri"/>
                <w:bCs/>
                <w:sz w:val="18"/>
                <w:szCs w:val="18"/>
                <w:lang w:val="en-US" w:eastAsia="en-US"/>
              </w:rPr>
              <w:t>7.6</w:t>
            </w:r>
          </w:p>
        </w:tc>
      </w:tr>
      <w:tr w:rsidR="00D96653" w:rsidRPr="00D96653" w14:paraId="25B754AC" w14:textId="77777777" w:rsidTr="00D96653">
        <w:trPr>
          <w:jc w:val="center"/>
        </w:trPr>
        <w:tc>
          <w:tcPr>
            <w:tcW w:w="3412" w:type="dxa"/>
            <w:tcBorders>
              <w:top w:val="nil"/>
              <w:left w:val="single" w:sz="4" w:space="0" w:color="auto"/>
              <w:bottom w:val="nil"/>
              <w:right w:val="single" w:sz="4" w:space="0" w:color="auto"/>
            </w:tcBorders>
            <w:shd w:val="clear" w:color="auto" w:fill="auto"/>
            <w:vAlign w:val="bottom"/>
          </w:tcPr>
          <w:p w14:paraId="20B4E410" w14:textId="77777777" w:rsidR="00D96653" w:rsidRPr="004D3FE5" w:rsidRDefault="00D96653" w:rsidP="00D96653">
            <w:pPr>
              <w:spacing w:before="40" w:after="40"/>
              <w:ind w:left="57"/>
              <w:rPr>
                <w:rFonts w:eastAsia="Calibri"/>
                <w:bCs/>
                <w:sz w:val="18"/>
                <w:szCs w:val="18"/>
                <w:lang w:eastAsia="en-US"/>
              </w:rPr>
            </w:pPr>
            <w:r w:rsidRPr="004D3FE5">
              <w:rPr>
                <w:rFonts w:eastAsia="Calibri"/>
                <w:bCs/>
                <w:sz w:val="18"/>
                <w:szCs w:val="18"/>
                <w:lang w:eastAsia="en-US"/>
              </w:rPr>
              <w:t>Depósitos a plazo</w:t>
            </w:r>
          </w:p>
        </w:tc>
        <w:tc>
          <w:tcPr>
            <w:tcW w:w="1134" w:type="dxa"/>
            <w:tcBorders>
              <w:top w:val="nil"/>
              <w:left w:val="single" w:sz="4" w:space="0" w:color="auto"/>
              <w:bottom w:val="nil"/>
              <w:right w:val="single" w:sz="4" w:space="0" w:color="auto"/>
            </w:tcBorders>
            <w:shd w:val="clear" w:color="auto" w:fill="auto"/>
            <w:vAlign w:val="bottom"/>
          </w:tcPr>
          <w:p w14:paraId="569DEDF6"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856</w:t>
            </w:r>
          </w:p>
        </w:tc>
        <w:tc>
          <w:tcPr>
            <w:tcW w:w="1134" w:type="dxa"/>
            <w:tcBorders>
              <w:top w:val="nil"/>
              <w:left w:val="single" w:sz="4" w:space="0" w:color="auto"/>
              <w:bottom w:val="nil"/>
              <w:right w:val="single" w:sz="4" w:space="0" w:color="auto"/>
            </w:tcBorders>
            <w:shd w:val="clear" w:color="auto" w:fill="auto"/>
            <w:vAlign w:val="bottom"/>
          </w:tcPr>
          <w:p w14:paraId="03BEE065"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872</w:t>
            </w:r>
          </w:p>
        </w:tc>
        <w:tc>
          <w:tcPr>
            <w:tcW w:w="1134" w:type="dxa"/>
            <w:tcBorders>
              <w:top w:val="nil"/>
              <w:left w:val="single" w:sz="4" w:space="0" w:color="auto"/>
              <w:bottom w:val="nil"/>
              <w:right w:val="single" w:sz="4" w:space="0" w:color="auto"/>
            </w:tcBorders>
            <w:shd w:val="clear" w:color="auto" w:fill="auto"/>
            <w:vAlign w:val="bottom"/>
          </w:tcPr>
          <w:p w14:paraId="4CB336FE"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934</w:t>
            </w:r>
          </w:p>
        </w:tc>
        <w:tc>
          <w:tcPr>
            <w:tcW w:w="993" w:type="dxa"/>
            <w:tcBorders>
              <w:top w:val="nil"/>
              <w:left w:val="single" w:sz="4" w:space="0" w:color="auto"/>
              <w:bottom w:val="nil"/>
              <w:right w:val="single" w:sz="4" w:space="0" w:color="auto"/>
            </w:tcBorders>
            <w:shd w:val="clear" w:color="auto" w:fill="auto"/>
            <w:vAlign w:val="bottom"/>
          </w:tcPr>
          <w:p w14:paraId="12517FE0"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9.2</w:t>
            </w:r>
          </w:p>
        </w:tc>
        <w:tc>
          <w:tcPr>
            <w:tcW w:w="1050" w:type="dxa"/>
            <w:tcBorders>
              <w:top w:val="nil"/>
              <w:left w:val="single" w:sz="4" w:space="0" w:color="auto"/>
              <w:bottom w:val="nil"/>
              <w:right w:val="single" w:sz="4" w:space="0" w:color="auto"/>
            </w:tcBorders>
            <w:shd w:val="clear" w:color="auto" w:fill="auto"/>
            <w:vAlign w:val="bottom"/>
          </w:tcPr>
          <w:p w14:paraId="5BA3606E" w14:textId="77777777" w:rsidR="00D96653" w:rsidRPr="004D3FE5" w:rsidRDefault="00D96653" w:rsidP="00D96653">
            <w:pPr>
              <w:spacing w:before="40" w:after="40"/>
              <w:ind w:right="227"/>
              <w:jc w:val="right"/>
              <w:rPr>
                <w:rFonts w:eastAsia="Calibri"/>
                <w:bCs/>
                <w:sz w:val="18"/>
                <w:szCs w:val="18"/>
                <w:lang w:eastAsia="en-US"/>
              </w:rPr>
            </w:pPr>
            <w:r w:rsidRPr="004D3FE5">
              <w:rPr>
                <w:rFonts w:eastAsia="Calibri"/>
                <w:bCs/>
                <w:sz w:val="18"/>
                <w:szCs w:val="18"/>
                <w:lang w:eastAsia="en-US"/>
              </w:rPr>
              <w:t>7.1</w:t>
            </w:r>
          </w:p>
        </w:tc>
      </w:tr>
      <w:tr w:rsidR="00D96653" w:rsidRPr="00D96653" w14:paraId="72929094" w14:textId="77777777" w:rsidTr="00D96653">
        <w:trPr>
          <w:jc w:val="center"/>
        </w:trPr>
        <w:tc>
          <w:tcPr>
            <w:tcW w:w="3412" w:type="dxa"/>
            <w:tcBorders>
              <w:top w:val="nil"/>
              <w:left w:val="single" w:sz="4" w:space="0" w:color="auto"/>
              <w:bottom w:val="nil"/>
              <w:right w:val="single" w:sz="4" w:space="0" w:color="auto"/>
            </w:tcBorders>
            <w:shd w:val="clear" w:color="auto" w:fill="auto"/>
            <w:vAlign w:val="bottom"/>
          </w:tcPr>
          <w:p w14:paraId="053815DE" w14:textId="77777777" w:rsidR="00D96653" w:rsidRPr="004D3FE5" w:rsidRDefault="00D96653" w:rsidP="00D96653">
            <w:pPr>
              <w:spacing w:before="40" w:after="40"/>
              <w:ind w:left="57"/>
              <w:rPr>
                <w:rFonts w:eastAsia="Calibri"/>
                <w:bCs/>
                <w:sz w:val="18"/>
                <w:szCs w:val="18"/>
                <w:lang w:eastAsia="en-US"/>
              </w:rPr>
            </w:pPr>
            <w:r w:rsidRPr="004D3FE5">
              <w:rPr>
                <w:rFonts w:eastAsia="Calibri"/>
                <w:bCs/>
                <w:sz w:val="18"/>
                <w:szCs w:val="18"/>
                <w:lang w:eastAsia="en-US"/>
              </w:rPr>
              <w:t>Títulos de crédito emitidos</w:t>
            </w:r>
          </w:p>
        </w:tc>
        <w:tc>
          <w:tcPr>
            <w:tcW w:w="1134" w:type="dxa"/>
            <w:tcBorders>
              <w:top w:val="nil"/>
              <w:left w:val="single" w:sz="4" w:space="0" w:color="auto"/>
              <w:bottom w:val="nil"/>
              <w:right w:val="single" w:sz="4" w:space="0" w:color="auto"/>
            </w:tcBorders>
            <w:shd w:val="clear" w:color="auto" w:fill="auto"/>
            <w:vAlign w:val="bottom"/>
          </w:tcPr>
          <w:p w14:paraId="53AB8EC8"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201</w:t>
            </w:r>
          </w:p>
        </w:tc>
        <w:tc>
          <w:tcPr>
            <w:tcW w:w="1134" w:type="dxa"/>
            <w:tcBorders>
              <w:top w:val="nil"/>
              <w:left w:val="single" w:sz="4" w:space="0" w:color="auto"/>
              <w:bottom w:val="nil"/>
              <w:right w:val="single" w:sz="4" w:space="0" w:color="auto"/>
            </w:tcBorders>
            <w:shd w:val="clear" w:color="auto" w:fill="auto"/>
            <w:vAlign w:val="bottom"/>
          </w:tcPr>
          <w:p w14:paraId="77918424"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239</w:t>
            </w:r>
          </w:p>
        </w:tc>
        <w:tc>
          <w:tcPr>
            <w:tcW w:w="1134" w:type="dxa"/>
            <w:tcBorders>
              <w:top w:val="nil"/>
              <w:left w:val="single" w:sz="4" w:space="0" w:color="auto"/>
              <w:bottom w:val="nil"/>
              <w:right w:val="single" w:sz="4" w:space="0" w:color="auto"/>
            </w:tcBorders>
            <w:shd w:val="clear" w:color="auto" w:fill="auto"/>
            <w:vAlign w:val="bottom"/>
          </w:tcPr>
          <w:p w14:paraId="24875217"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249</w:t>
            </w:r>
          </w:p>
        </w:tc>
        <w:tc>
          <w:tcPr>
            <w:tcW w:w="993" w:type="dxa"/>
            <w:tcBorders>
              <w:top w:val="nil"/>
              <w:left w:val="single" w:sz="4" w:space="0" w:color="auto"/>
              <w:bottom w:val="nil"/>
              <w:right w:val="single" w:sz="4" w:space="0" w:color="auto"/>
            </w:tcBorders>
            <w:shd w:val="clear" w:color="auto" w:fill="auto"/>
            <w:vAlign w:val="bottom"/>
          </w:tcPr>
          <w:p w14:paraId="7664FD51"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23.4</w:t>
            </w:r>
          </w:p>
        </w:tc>
        <w:tc>
          <w:tcPr>
            <w:tcW w:w="1050" w:type="dxa"/>
            <w:tcBorders>
              <w:top w:val="nil"/>
              <w:left w:val="single" w:sz="4" w:space="0" w:color="auto"/>
              <w:bottom w:val="nil"/>
              <w:right w:val="single" w:sz="4" w:space="0" w:color="auto"/>
            </w:tcBorders>
            <w:shd w:val="clear" w:color="auto" w:fill="auto"/>
            <w:vAlign w:val="bottom"/>
          </w:tcPr>
          <w:p w14:paraId="1B56F8C6" w14:textId="77777777" w:rsidR="00D96653" w:rsidRPr="004D3FE5" w:rsidRDefault="00D96653" w:rsidP="00D96653">
            <w:pPr>
              <w:spacing w:before="40" w:after="40"/>
              <w:ind w:right="227"/>
              <w:jc w:val="right"/>
              <w:rPr>
                <w:rFonts w:eastAsia="Calibri"/>
                <w:bCs/>
                <w:sz w:val="18"/>
                <w:szCs w:val="18"/>
                <w:lang w:eastAsia="en-US"/>
              </w:rPr>
            </w:pPr>
            <w:r w:rsidRPr="004D3FE5">
              <w:rPr>
                <w:rFonts w:eastAsia="Calibri"/>
                <w:bCs/>
                <w:sz w:val="18"/>
                <w:szCs w:val="18"/>
                <w:lang w:eastAsia="en-US"/>
              </w:rPr>
              <w:t>4.2</w:t>
            </w:r>
          </w:p>
        </w:tc>
      </w:tr>
      <w:tr w:rsidR="00D96653" w:rsidRPr="00D96653" w14:paraId="6ACD6448" w14:textId="77777777" w:rsidTr="00D96653">
        <w:trPr>
          <w:jc w:val="center"/>
        </w:trPr>
        <w:tc>
          <w:tcPr>
            <w:tcW w:w="3412" w:type="dxa"/>
            <w:tcBorders>
              <w:top w:val="nil"/>
              <w:left w:val="single" w:sz="4" w:space="0" w:color="auto"/>
              <w:bottom w:val="single" w:sz="4" w:space="0" w:color="auto"/>
              <w:right w:val="single" w:sz="4" w:space="0" w:color="auto"/>
            </w:tcBorders>
            <w:shd w:val="clear" w:color="auto" w:fill="auto"/>
            <w:vAlign w:val="bottom"/>
          </w:tcPr>
          <w:p w14:paraId="7BC176FF" w14:textId="77777777" w:rsidR="00D96653" w:rsidRPr="004D3FE5" w:rsidRDefault="00D96653" w:rsidP="00D96653">
            <w:pPr>
              <w:spacing w:before="40" w:after="40"/>
              <w:ind w:left="57"/>
              <w:rPr>
                <w:rFonts w:eastAsia="Calibri"/>
                <w:bCs/>
                <w:sz w:val="18"/>
                <w:szCs w:val="18"/>
                <w:lang w:eastAsia="en-US"/>
              </w:rPr>
            </w:pPr>
            <w:r w:rsidRPr="004D3FE5">
              <w:rPr>
                <w:rFonts w:eastAsia="Calibri"/>
                <w:bCs/>
                <w:sz w:val="18"/>
                <w:szCs w:val="18"/>
                <w:lang w:eastAsia="en-US"/>
              </w:rPr>
              <w:t>Préstamos bancarios y de otros organismos</w:t>
            </w:r>
          </w:p>
        </w:tc>
        <w:tc>
          <w:tcPr>
            <w:tcW w:w="1134" w:type="dxa"/>
            <w:tcBorders>
              <w:top w:val="nil"/>
              <w:left w:val="single" w:sz="4" w:space="0" w:color="auto"/>
              <w:bottom w:val="single" w:sz="4" w:space="0" w:color="auto"/>
              <w:right w:val="single" w:sz="4" w:space="0" w:color="auto"/>
            </w:tcBorders>
            <w:shd w:val="clear" w:color="auto" w:fill="auto"/>
            <w:vAlign w:val="bottom"/>
          </w:tcPr>
          <w:p w14:paraId="47FF10F1"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234</w:t>
            </w:r>
          </w:p>
        </w:tc>
        <w:tc>
          <w:tcPr>
            <w:tcW w:w="1134" w:type="dxa"/>
            <w:tcBorders>
              <w:top w:val="nil"/>
              <w:left w:val="single" w:sz="4" w:space="0" w:color="auto"/>
              <w:bottom w:val="single" w:sz="4" w:space="0" w:color="auto"/>
              <w:right w:val="single" w:sz="4" w:space="0" w:color="auto"/>
            </w:tcBorders>
            <w:shd w:val="clear" w:color="auto" w:fill="auto"/>
            <w:vAlign w:val="bottom"/>
          </w:tcPr>
          <w:p w14:paraId="1F39D494"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206</w:t>
            </w:r>
          </w:p>
        </w:tc>
        <w:tc>
          <w:tcPr>
            <w:tcW w:w="1134" w:type="dxa"/>
            <w:tcBorders>
              <w:top w:val="nil"/>
              <w:left w:val="single" w:sz="4" w:space="0" w:color="auto"/>
              <w:bottom w:val="single" w:sz="4" w:space="0" w:color="auto"/>
              <w:right w:val="single" w:sz="4" w:space="0" w:color="auto"/>
            </w:tcBorders>
            <w:shd w:val="clear" w:color="auto" w:fill="auto"/>
            <w:vAlign w:val="bottom"/>
          </w:tcPr>
          <w:p w14:paraId="089D023E"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256</w:t>
            </w:r>
          </w:p>
        </w:tc>
        <w:tc>
          <w:tcPr>
            <w:tcW w:w="993" w:type="dxa"/>
            <w:tcBorders>
              <w:top w:val="nil"/>
              <w:left w:val="single" w:sz="4" w:space="0" w:color="auto"/>
              <w:bottom w:val="single" w:sz="4" w:space="0" w:color="auto"/>
              <w:right w:val="single" w:sz="4" w:space="0" w:color="auto"/>
            </w:tcBorders>
            <w:shd w:val="clear" w:color="auto" w:fill="auto"/>
            <w:vAlign w:val="bottom"/>
          </w:tcPr>
          <w:p w14:paraId="0A6BBB26"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9.5</w:t>
            </w:r>
          </w:p>
        </w:tc>
        <w:tc>
          <w:tcPr>
            <w:tcW w:w="1050" w:type="dxa"/>
            <w:tcBorders>
              <w:top w:val="nil"/>
              <w:left w:val="single" w:sz="4" w:space="0" w:color="auto"/>
              <w:bottom w:val="single" w:sz="4" w:space="0" w:color="auto"/>
              <w:right w:val="single" w:sz="4" w:space="0" w:color="auto"/>
            </w:tcBorders>
            <w:shd w:val="clear" w:color="auto" w:fill="auto"/>
            <w:vAlign w:val="bottom"/>
          </w:tcPr>
          <w:p w14:paraId="61F7643D" w14:textId="77777777" w:rsidR="00D96653" w:rsidRPr="004D3FE5" w:rsidRDefault="00D96653" w:rsidP="00D96653">
            <w:pPr>
              <w:spacing w:before="40" w:after="40"/>
              <w:ind w:right="227"/>
              <w:jc w:val="right"/>
              <w:rPr>
                <w:rFonts w:eastAsia="Calibri"/>
                <w:bCs/>
                <w:sz w:val="18"/>
                <w:szCs w:val="18"/>
                <w:lang w:eastAsia="en-US"/>
              </w:rPr>
            </w:pPr>
            <w:r w:rsidRPr="004D3FE5">
              <w:rPr>
                <w:rFonts w:eastAsia="Calibri"/>
                <w:bCs/>
                <w:sz w:val="18"/>
                <w:szCs w:val="18"/>
                <w:lang w:eastAsia="en-US"/>
              </w:rPr>
              <w:t>24.1</w:t>
            </w:r>
          </w:p>
        </w:tc>
      </w:tr>
      <w:tr w:rsidR="00D96653" w:rsidRPr="00D96653" w14:paraId="0FB0DC59" w14:textId="77777777" w:rsidTr="004D3FE5">
        <w:trPr>
          <w:jc w:val="center"/>
        </w:trPr>
        <w:tc>
          <w:tcPr>
            <w:tcW w:w="8857" w:type="dxa"/>
            <w:gridSpan w:val="6"/>
            <w:tcBorders>
              <w:top w:val="single" w:sz="4" w:space="0" w:color="auto"/>
              <w:bottom w:val="nil"/>
            </w:tcBorders>
            <w:shd w:val="clear" w:color="auto" w:fill="auto"/>
            <w:vAlign w:val="center"/>
          </w:tcPr>
          <w:p w14:paraId="648CFC1D" w14:textId="77777777" w:rsidR="00D96653" w:rsidRPr="005061B6" w:rsidRDefault="00D96653" w:rsidP="00D96653">
            <w:pPr>
              <w:spacing w:before="120"/>
              <w:ind w:right="227"/>
              <w:jc w:val="both"/>
              <w:rPr>
                <w:rFonts w:eastAsia="Times New Roman"/>
                <w:bCs/>
                <w:sz w:val="16"/>
                <w:szCs w:val="16"/>
              </w:rPr>
            </w:pPr>
            <w:r w:rsidRPr="005061B6">
              <w:rPr>
                <w:rFonts w:eastAsia="Times New Roman"/>
                <w:bCs/>
                <w:sz w:val="16"/>
                <w:szCs w:val="16"/>
              </w:rPr>
              <w:t>FUENTE: CNBV.</w:t>
            </w:r>
          </w:p>
        </w:tc>
      </w:tr>
    </w:tbl>
    <w:p w14:paraId="0F0206D2" w14:textId="77777777" w:rsidR="00D96653" w:rsidRPr="00D96653" w:rsidRDefault="00D96653" w:rsidP="00D96653">
      <w:pPr>
        <w:spacing w:after="360" w:line="360" w:lineRule="auto"/>
        <w:ind w:right="-159"/>
        <w:jc w:val="both"/>
        <w:rPr>
          <w:rFonts w:eastAsia="Calibri"/>
          <w:sz w:val="26"/>
          <w:szCs w:val="26"/>
          <w:lang w:eastAsia="en-US"/>
        </w:rPr>
      </w:pPr>
    </w:p>
    <w:p w14:paraId="5BCC5A83"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Cartera de crédito total</w:t>
      </w:r>
    </w:p>
    <w:p w14:paraId="49B94495"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La cartera de crédito presentó un crecimiento anual de 10.9%. Grupo Financiero BBVA Bancomer, Grupo Financiero Banorte y Grupo Financiero Banamex participaron en el total de la cartera de crédito con 25.8, 15.5 y 15.3%, respectivamente; lo que en conjunto significó 56.7% de la cartera total del sector.</w:t>
      </w:r>
    </w:p>
    <w:p w14:paraId="0ED667F6" w14:textId="77777777" w:rsidR="004D3FE5" w:rsidRPr="00D96653" w:rsidRDefault="004D3FE5" w:rsidP="00D96653">
      <w:pPr>
        <w:spacing w:after="360" w:line="360" w:lineRule="auto"/>
        <w:ind w:right="-159"/>
        <w:jc w:val="both"/>
        <w:rPr>
          <w:rFonts w:eastAsia="Calibri"/>
          <w:sz w:val="26"/>
          <w:szCs w:val="26"/>
          <w:lang w:eastAsia="en-US"/>
        </w:rPr>
      </w:pPr>
    </w:p>
    <w:p w14:paraId="070FDD68" w14:textId="77777777" w:rsidR="00D96653" w:rsidRPr="00D96653" w:rsidRDefault="00D96653" w:rsidP="00D96653">
      <w:pPr>
        <w:spacing w:after="360" w:line="360" w:lineRule="auto"/>
        <w:ind w:right="-159"/>
        <w:jc w:val="both"/>
        <w:rPr>
          <w:rFonts w:eastAsia="Calibri"/>
          <w:sz w:val="26"/>
          <w:szCs w:val="26"/>
          <w:lang w:eastAsia="en-US"/>
        </w:rPr>
      </w:pPr>
    </w:p>
    <w:tbl>
      <w:tblPr>
        <w:tblW w:w="8857" w:type="dxa"/>
        <w:jc w:val="center"/>
        <w:tblLayout w:type="fixed"/>
        <w:tblLook w:val="01E0" w:firstRow="1" w:lastRow="1" w:firstColumn="1" w:lastColumn="1" w:noHBand="0" w:noVBand="0"/>
      </w:tblPr>
      <w:tblGrid>
        <w:gridCol w:w="3119"/>
        <w:gridCol w:w="1134"/>
        <w:gridCol w:w="1276"/>
        <w:gridCol w:w="1144"/>
        <w:gridCol w:w="1134"/>
        <w:gridCol w:w="1050"/>
      </w:tblGrid>
      <w:tr w:rsidR="00D96653" w:rsidRPr="00D96653" w14:paraId="7A1192AA" w14:textId="77777777" w:rsidTr="00D96653">
        <w:trPr>
          <w:jc w:val="center"/>
        </w:trPr>
        <w:tc>
          <w:tcPr>
            <w:tcW w:w="8857" w:type="dxa"/>
            <w:gridSpan w:val="6"/>
            <w:tcBorders>
              <w:bottom w:val="single" w:sz="4" w:space="0" w:color="auto"/>
            </w:tcBorders>
            <w:vAlign w:val="center"/>
          </w:tcPr>
          <w:p w14:paraId="06AD9C87" w14:textId="77777777" w:rsidR="00D96653" w:rsidRPr="004D3FE5" w:rsidRDefault="00D96653" w:rsidP="00D96653">
            <w:pPr>
              <w:jc w:val="center"/>
              <w:rPr>
                <w:rFonts w:eastAsia="Times New Roman"/>
                <w:b/>
                <w:bCs/>
                <w:sz w:val="22"/>
                <w:szCs w:val="22"/>
                <w:lang w:val="es-ES"/>
              </w:rPr>
            </w:pPr>
            <w:r w:rsidRPr="004D3FE5">
              <w:rPr>
                <w:rFonts w:eastAsia="Times New Roman"/>
                <w:b/>
                <w:bCs/>
                <w:sz w:val="22"/>
                <w:szCs w:val="22"/>
                <w:lang w:val="es-ES"/>
              </w:rPr>
              <w:lastRenderedPageBreak/>
              <w:t>GRUPOS FINANCIEROS: CARTERA DE CRÉDITO</w:t>
            </w:r>
          </w:p>
          <w:p w14:paraId="2603C7B8" w14:textId="525F056F" w:rsidR="00D96653" w:rsidRPr="004D3FE5" w:rsidRDefault="00D96653" w:rsidP="004D3FE5">
            <w:pPr>
              <w:jc w:val="center"/>
              <w:rPr>
                <w:rFonts w:eastAsia="Times New Roman"/>
                <w:bCs/>
                <w:sz w:val="22"/>
                <w:szCs w:val="22"/>
                <w:lang w:val="es-ES"/>
              </w:rPr>
            </w:pPr>
            <w:r w:rsidRPr="004D3FE5">
              <w:rPr>
                <w:rFonts w:eastAsia="Times New Roman"/>
                <w:b/>
                <w:bCs/>
                <w:sz w:val="22"/>
                <w:szCs w:val="22"/>
                <w:lang w:val="es-ES"/>
              </w:rPr>
              <w:t>-Saldos en mmdp-</w:t>
            </w:r>
          </w:p>
        </w:tc>
      </w:tr>
      <w:tr w:rsidR="00D96653" w:rsidRPr="00D96653" w14:paraId="754A29F9" w14:textId="77777777" w:rsidTr="00D96653">
        <w:trPr>
          <w:jc w:val="center"/>
        </w:trPr>
        <w:tc>
          <w:tcPr>
            <w:tcW w:w="3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F348623" w14:textId="77777777" w:rsidR="00D96653" w:rsidRPr="004D3FE5" w:rsidRDefault="00D96653" w:rsidP="00D96653">
            <w:pPr>
              <w:jc w:val="center"/>
              <w:rPr>
                <w:rFonts w:eastAsia="Times New Roman"/>
                <w:bCs/>
                <w:sz w:val="18"/>
                <w:szCs w:val="18"/>
                <w:lang w:val="es-ES"/>
              </w:rPr>
            </w:pPr>
          </w:p>
        </w:tc>
        <w:tc>
          <w:tcPr>
            <w:tcW w:w="1134" w:type="dxa"/>
            <w:tcBorders>
              <w:top w:val="single" w:sz="4" w:space="0" w:color="auto"/>
              <w:left w:val="single" w:sz="4" w:space="0" w:color="auto"/>
              <w:bottom w:val="nil"/>
              <w:right w:val="single" w:sz="4" w:space="0" w:color="auto"/>
            </w:tcBorders>
            <w:shd w:val="clear" w:color="auto" w:fill="auto"/>
            <w:vAlign w:val="center"/>
          </w:tcPr>
          <w:p w14:paraId="6D0AA249"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2013</w:t>
            </w: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00C5DA"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2014</w:t>
            </w:r>
          </w:p>
        </w:tc>
        <w:tc>
          <w:tcPr>
            <w:tcW w:w="21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B3156F" w14:textId="77777777" w:rsidR="00D96653" w:rsidRPr="004D3FE5" w:rsidRDefault="00D96653" w:rsidP="00D96653">
            <w:pPr>
              <w:jc w:val="center"/>
              <w:rPr>
                <w:rFonts w:eastAsia="Times New Roman"/>
                <w:bCs/>
                <w:sz w:val="18"/>
                <w:szCs w:val="18"/>
                <w:lang w:val="es-ES"/>
              </w:rPr>
            </w:pPr>
            <w:r w:rsidRPr="004D3FE5">
              <w:rPr>
                <w:rFonts w:eastAsia="Times New Roman"/>
                <w:b/>
                <w:bCs/>
                <w:sz w:val="18"/>
                <w:szCs w:val="18"/>
                <w:lang w:val="es-ES"/>
              </w:rPr>
              <w:t>Diferencias (%)</w:t>
            </w:r>
          </w:p>
        </w:tc>
      </w:tr>
      <w:tr w:rsidR="00D96653" w:rsidRPr="00D96653" w14:paraId="12E34C9D" w14:textId="77777777" w:rsidTr="00D96653">
        <w:trPr>
          <w:jc w:val="center"/>
        </w:trPr>
        <w:tc>
          <w:tcPr>
            <w:tcW w:w="3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92FD1" w14:textId="77777777" w:rsidR="00D96653" w:rsidRPr="004D3FE5" w:rsidRDefault="00D96653" w:rsidP="00D96653">
            <w:pPr>
              <w:jc w:val="center"/>
              <w:rPr>
                <w:rFonts w:eastAsia="Times New Roman"/>
                <w:bCs/>
                <w:sz w:val="18"/>
                <w:szCs w:val="18"/>
                <w:lang w:val="es-ES"/>
              </w:rPr>
            </w:pPr>
          </w:p>
        </w:tc>
        <w:tc>
          <w:tcPr>
            <w:tcW w:w="1134" w:type="dxa"/>
            <w:tcBorders>
              <w:top w:val="nil"/>
              <w:left w:val="single" w:sz="4" w:space="0" w:color="auto"/>
              <w:bottom w:val="single" w:sz="4" w:space="0" w:color="auto"/>
              <w:right w:val="single" w:sz="4" w:space="0" w:color="auto"/>
            </w:tcBorders>
            <w:shd w:val="clear" w:color="auto" w:fill="auto"/>
            <w:vAlign w:val="center"/>
          </w:tcPr>
          <w:p w14:paraId="61EC303A"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030FF7"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Septiembre</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398849FA"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8ACE18"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Anual</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14:paraId="34113321" w14:textId="77777777" w:rsidR="00D96653" w:rsidRPr="004D3FE5" w:rsidRDefault="00D96653" w:rsidP="00D96653">
            <w:pPr>
              <w:jc w:val="center"/>
              <w:rPr>
                <w:rFonts w:eastAsia="Times New Roman"/>
                <w:b/>
                <w:bCs/>
                <w:sz w:val="18"/>
                <w:szCs w:val="18"/>
                <w:lang w:val="es-ES"/>
              </w:rPr>
            </w:pPr>
            <w:r w:rsidRPr="004D3FE5">
              <w:rPr>
                <w:rFonts w:eastAsia="Times New Roman"/>
                <w:b/>
                <w:bCs/>
                <w:sz w:val="18"/>
                <w:szCs w:val="18"/>
                <w:lang w:val="es-ES"/>
              </w:rPr>
              <w:t>Trimestral</w:t>
            </w:r>
          </w:p>
        </w:tc>
      </w:tr>
      <w:tr w:rsidR="00D96653" w:rsidRPr="00D96653" w14:paraId="15105FB9" w14:textId="77777777" w:rsidTr="00D96653">
        <w:trPr>
          <w:jc w:val="center"/>
        </w:trPr>
        <w:tc>
          <w:tcPr>
            <w:tcW w:w="3119" w:type="dxa"/>
            <w:tcBorders>
              <w:top w:val="single" w:sz="4" w:space="0" w:color="auto"/>
              <w:left w:val="single" w:sz="4" w:space="0" w:color="auto"/>
              <w:bottom w:val="nil"/>
              <w:right w:val="single" w:sz="4" w:space="0" w:color="auto"/>
            </w:tcBorders>
            <w:shd w:val="clear" w:color="auto" w:fill="auto"/>
            <w:vAlign w:val="bottom"/>
          </w:tcPr>
          <w:p w14:paraId="34FECB6C" w14:textId="77777777" w:rsidR="00D96653" w:rsidRPr="004D3FE5" w:rsidRDefault="00D96653" w:rsidP="00D96653">
            <w:pPr>
              <w:spacing w:before="120" w:after="40"/>
              <w:rPr>
                <w:rFonts w:eastAsia="Calibri"/>
                <w:b/>
                <w:bCs/>
                <w:sz w:val="16"/>
                <w:szCs w:val="16"/>
                <w:lang w:val="en-US" w:eastAsia="en-US"/>
              </w:rPr>
            </w:pPr>
            <w:r w:rsidRPr="004D3FE5">
              <w:rPr>
                <w:rFonts w:eastAsia="Calibri"/>
                <w:b/>
                <w:bCs/>
                <w:sz w:val="16"/>
                <w:szCs w:val="16"/>
                <w:lang w:val="en-US" w:eastAsia="en-US"/>
              </w:rPr>
              <w:t>Cartera de crédito total</w:t>
            </w:r>
          </w:p>
        </w:tc>
        <w:tc>
          <w:tcPr>
            <w:tcW w:w="1134" w:type="dxa"/>
            <w:tcBorders>
              <w:top w:val="single" w:sz="4" w:space="0" w:color="auto"/>
              <w:left w:val="single" w:sz="4" w:space="0" w:color="auto"/>
              <w:bottom w:val="nil"/>
              <w:right w:val="single" w:sz="4" w:space="0" w:color="auto"/>
            </w:tcBorders>
            <w:shd w:val="clear" w:color="auto" w:fill="auto"/>
            <w:vAlign w:val="bottom"/>
          </w:tcPr>
          <w:p w14:paraId="2DCEC467" w14:textId="77777777" w:rsidR="00D96653" w:rsidRPr="004D3FE5" w:rsidRDefault="00D96653" w:rsidP="00D96653">
            <w:pPr>
              <w:spacing w:before="120" w:after="40"/>
              <w:ind w:right="284"/>
              <w:jc w:val="right"/>
              <w:rPr>
                <w:rFonts w:eastAsia="Calibri"/>
                <w:b/>
                <w:sz w:val="16"/>
                <w:szCs w:val="16"/>
                <w:lang w:val="en-US" w:eastAsia="en-US"/>
              </w:rPr>
            </w:pPr>
            <w:r w:rsidRPr="004D3FE5">
              <w:rPr>
                <w:rFonts w:eastAsia="Calibri"/>
                <w:b/>
                <w:sz w:val="16"/>
                <w:szCs w:val="16"/>
                <w:lang w:val="en-US" w:eastAsia="en-US"/>
              </w:rPr>
              <w:t>2 822</w:t>
            </w:r>
          </w:p>
        </w:tc>
        <w:tc>
          <w:tcPr>
            <w:tcW w:w="1276" w:type="dxa"/>
            <w:tcBorders>
              <w:top w:val="single" w:sz="4" w:space="0" w:color="auto"/>
              <w:left w:val="single" w:sz="4" w:space="0" w:color="auto"/>
              <w:bottom w:val="nil"/>
              <w:right w:val="single" w:sz="4" w:space="0" w:color="auto"/>
            </w:tcBorders>
            <w:shd w:val="clear" w:color="auto" w:fill="auto"/>
            <w:vAlign w:val="bottom"/>
          </w:tcPr>
          <w:p w14:paraId="705178E9" w14:textId="77777777" w:rsidR="00D96653" w:rsidRPr="004D3FE5" w:rsidRDefault="00D96653" w:rsidP="00D96653">
            <w:pPr>
              <w:spacing w:before="120" w:after="40"/>
              <w:ind w:right="227"/>
              <w:jc w:val="right"/>
              <w:rPr>
                <w:rFonts w:eastAsia="Calibri"/>
                <w:b/>
                <w:sz w:val="16"/>
                <w:szCs w:val="16"/>
                <w:lang w:val="en-US" w:eastAsia="en-US"/>
              </w:rPr>
            </w:pPr>
            <w:r w:rsidRPr="004D3FE5">
              <w:rPr>
                <w:rFonts w:eastAsia="Calibri"/>
                <w:b/>
                <w:sz w:val="16"/>
                <w:szCs w:val="16"/>
                <w:lang w:val="en-US" w:eastAsia="en-US"/>
              </w:rPr>
              <w:t>2 953</w:t>
            </w:r>
          </w:p>
        </w:tc>
        <w:tc>
          <w:tcPr>
            <w:tcW w:w="1144" w:type="dxa"/>
            <w:tcBorders>
              <w:top w:val="single" w:sz="4" w:space="0" w:color="auto"/>
              <w:left w:val="single" w:sz="4" w:space="0" w:color="auto"/>
              <w:bottom w:val="nil"/>
              <w:right w:val="single" w:sz="4" w:space="0" w:color="auto"/>
            </w:tcBorders>
            <w:shd w:val="clear" w:color="auto" w:fill="auto"/>
            <w:vAlign w:val="bottom"/>
          </w:tcPr>
          <w:p w14:paraId="00986627" w14:textId="77777777" w:rsidR="00D96653" w:rsidRPr="004D3FE5" w:rsidRDefault="00D96653" w:rsidP="00D96653">
            <w:pPr>
              <w:spacing w:before="120" w:after="40"/>
              <w:ind w:right="227"/>
              <w:jc w:val="right"/>
              <w:rPr>
                <w:rFonts w:eastAsia="Calibri"/>
                <w:b/>
                <w:sz w:val="16"/>
                <w:szCs w:val="16"/>
                <w:lang w:val="en-US" w:eastAsia="en-US"/>
              </w:rPr>
            </w:pPr>
            <w:r w:rsidRPr="004D3FE5">
              <w:rPr>
                <w:rFonts w:eastAsia="Calibri"/>
                <w:b/>
                <w:sz w:val="16"/>
                <w:szCs w:val="16"/>
                <w:lang w:val="en-US" w:eastAsia="en-US"/>
              </w:rPr>
              <w:t>3 128</w:t>
            </w:r>
          </w:p>
        </w:tc>
        <w:tc>
          <w:tcPr>
            <w:tcW w:w="1134" w:type="dxa"/>
            <w:tcBorders>
              <w:top w:val="single" w:sz="4" w:space="0" w:color="auto"/>
              <w:left w:val="single" w:sz="4" w:space="0" w:color="auto"/>
              <w:bottom w:val="nil"/>
              <w:right w:val="single" w:sz="4" w:space="0" w:color="auto"/>
            </w:tcBorders>
            <w:shd w:val="clear" w:color="auto" w:fill="auto"/>
            <w:vAlign w:val="bottom"/>
          </w:tcPr>
          <w:p w14:paraId="7193A208" w14:textId="77777777" w:rsidR="00D96653" w:rsidRPr="004D3FE5" w:rsidRDefault="00D96653" w:rsidP="00D96653">
            <w:pPr>
              <w:spacing w:before="120" w:after="40"/>
              <w:ind w:right="170"/>
              <w:jc w:val="right"/>
              <w:rPr>
                <w:rFonts w:eastAsia="Calibri"/>
                <w:b/>
                <w:sz w:val="16"/>
                <w:szCs w:val="16"/>
                <w:lang w:val="en-US" w:eastAsia="en-US"/>
              </w:rPr>
            </w:pPr>
            <w:r w:rsidRPr="004D3FE5">
              <w:rPr>
                <w:rFonts w:eastAsia="Calibri"/>
                <w:b/>
                <w:sz w:val="16"/>
                <w:szCs w:val="16"/>
                <w:lang w:val="en-US" w:eastAsia="en-US"/>
              </w:rPr>
              <w:t>10.9</w:t>
            </w:r>
          </w:p>
        </w:tc>
        <w:tc>
          <w:tcPr>
            <w:tcW w:w="1050" w:type="dxa"/>
            <w:tcBorders>
              <w:top w:val="single" w:sz="4" w:space="0" w:color="auto"/>
              <w:left w:val="single" w:sz="4" w:space="0" w:color="auto"/>
              <w:bottom w:val="nil"/>
              <w:right w:val="single" w:sz="4" w:space="0" w:color="auto"/>
            </w:tcBorders>
            <w:shd w:val="clear" w:color="auto" w:fill="auto"/>
            <w:vAlign w:val="bottom"/>
          </w:tcPr>
          <w:p w14:paraId="47BC1221" w14:textId="77777777" w:rsidR="00D96653" w:rsidRPr="004D3FE5" w:rsidRDefault="00D96653" w:rsidP="00D96653">
            <w:pPr>
              <w:spacing w:before="120" w:after="40"/>
              <w:ind w:right="284"/>
              <w:jc w:val="right"/>
              <w:rPr>
                <w:rFonts w:eastAsia="Calibri"/>
                <w:b/>
                <w:bCs/>
                <w:sz w:val="16"/>
                <w:szCs w:val="16"/>
                <w:lang w:val="en-US" w:eastAsia="en-US"/>
              </w:rPr>
            </w:pPr>
            <w:r w:rsidRPr="004D3FE5">
              <w:rPr>
                <w:rFonts w:eastAsia="Calibri"/>
                <w:b/>
                <w:bCs/>
                <w:sz w:val="16"/>
                <w:szCs w:val="16"/>
                <w:lang w:val="en-US" w:eastAsia="en-US"/>
              </w:rPr>
              <w:t>5.9</w:t>
            </w:r>
          </w:p>
        </w:tc>
      </w:tr>
      <w:tr w:rsidR="00D96653" w:rsidRPr="00D96653" w14:paraId="30D8CDA6" w14:textId="77777777" w:rsidTr="00D96653">
        <w:trPr>
          <w:jc w:val="center"/>
        </w:trPr>
        <w:tc>
          <w:tcPr>
            <w:tcW w:w="3119" w:type="dxa"/>
            <w:tcBorders>
              <w:top w:val="nil"/>
              <w:left w:val="single" w:sz="4" w:space="0" w:color="auto"/>
              <w:bottom w:val="nil"/>
              <w:right w:val="single" w:sz="4" w:space="0" w:color="auto"/>
            </w:tcBorders>
            <w:shd w:val="clear" w:color="auto" w:fill="auto"/>
            <w:vAlign w:val="bottom"/>
          </w:tcPr>
          <w:p w14:paraId="3034E69E" w14:textId="77777777" w:rsidR="00D96653" w:rsidRPr="004D3FE5" w:rsidRDefault="00D96653" w:rsidP="00D96653">
            <w:pPr>
              <w:spacing w:before="40" w:after="40"/>
              <w:ind w:left="170"/>
              <w:rPr>
                <w:rFonts w:eastAsia="Calibri"/>
                <w:bCs/>
                <w:sz w:val="16"/>
                <w:szCs w:val="16"/>
                <w:lang w:val="en-US" w:eastAsia="en-US"/>
              </w:rPr>
            </w:pPr>
            <w:r w:rsidRPr="004D3FE5">
              <w:rPr>
                <w:rFonts w:eastAsia="Calibri"/>
                <w:bCs/>
                <w:sz w:val="16"/>
                <w:szCs w:val="16"/>
                <w:lang w:val="en-US" w:eastAsia="en-US"/>
              </w:rPr>
              <w:t>Créditos comerciales</w:t>
            </w:r>
          </w:p>
        </w:tc>
        <w:tc>
          <w:tcPr>
            <w:tcW w:w="1134" w:type="dxa"/>
            <w:tcBorders>
              <w:top w:val="nil"/>
              <w:left w:val="single" w:sz="4" w:space="0" w:color="auto"/>
              <w:bottom w:val="nil"/>
              <w:right w:val="single" w:sz="4" w:space="0" w:color="auto"/>
            </w:tcBorders>
            <w:shd w:val="clear" w:color="auto" w:fill="auto"/>
            <w:vAlign w:val="bottom"/>
          </w:tcPr>
          <w:p w14:paraId="78800DE4" w14:textId="77777777" w:rsidR="00D96653" w:rsidRPr="004D3FE5" w:rsidRDefault="00D96653" w:rsidP="00D96653">
            <w:pPr>
              <w:spacing w:before="40" w:after="40"/>
              <w:ind w:right="284"/>
              <w:jc w:val="right"/>
              <w:rPr>
                <w:rFonts w:eastAsia="Calibri"/>
                <w:sz w:val="16"/>
                <w:szCs w:val="16"/>
                <w:lang w:val="en-US" w:eastAsia="en-US"/>
              </w:rPr>
            </w:pPr>
            <w:r w:rsidRPr="004D3FE5">
              <w:rPr>
                <w:rFonts w:eastAsia="Calibri"/>
                <w:sz w:val="16"/>
                <w:szCs w:val="16"/>
                <w:lang w:val="en-US" w:eastAsia="en-US"/>
              </w:rPr>
              <w:t>1 729</w:t>
            </w:r>
          </w:p>
        </w:tc>
        <w:tc>
          <w:tcPr>
            <w:tcW w:w="1276" w:type="dxa"/>
            <w:tcBorders>
              <w:top w:val="nil"/>
              <w:left w:val="single" w:sz="4" w:space="0" w:color="auto"/>
              <w:bottom w:val="nil"/>
              <w:right w:val="single" w:sz="4" w:space="0" w:color="auto"/>
            </w:tcBorders>
            <w:shd w:val="clear" w:color="auto" w:fill="auto"/>
            <w:vAlign w:val="bottom"/>
          </w:tcPr>
          <w:p w14:paraId="63A1E381"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1 791</w:t>
            </w:r>
          </w:p>
        </w:tc>
        <w:tc>
          <w:tcPr>
            <w:tcW w:w="1144" w:type="dxa"/>
            <w:tcBorders>
              <w:top w:val="nil"/>
              <w:left w:val="single" w:sz="4" w:space="0" w:color="auto"/>
              <w:bottom w:val="nil"/>
              <w:right w:val="single" w:sz="4" w:space="0" w:color="auto"/>
            </w:tcBorders>
            <w:shd w:val="clear" w:color="auto" w:fill="auto"/>
            <w:vAlign w:val="bottom"/>
          </w:tcPr>
          <w:p w14:paraId="54A1B97C"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1 940</w:t>
            </w:r>
          </w:p>
        </w:tc>
        <w:tc>
          <w:tcPr>
            <w:tcW w:w="1134" w:type="dxa"/>
            <w:tcBorders>
              <w:top w:val="nil"/>
              <w:left w:val="single" w:sz="4" w:space="0" w:color="auto"/>
              <w:bottom w:val="nil"/>
              <w:right w:val="single" w:sz="4" w:space="0" w:color="auto"/>
            </w:tcBorders>
            <w:shd w:val="clear" w:color="auto" w:fill="auto"/>
            <w:vAlign w:val="bottom"/>
          </w:tcPr>
          <w:p w14:paraId="5B5599EB" w14:textId="77777777" w:rsidR="00D96653" w:rsidRPr="004D3FE5" w:rsidRDefault="00D96653" w:rsidP="00D96653">
            <w:pPr>
              <w:spacing w:before="40" w:after="40"/>
              <w:ind w:right="170"/>
              <w:jc w:val="right"/>
              <w:rPr>
                <w:rFonts w:eastAsia="Calibri"/>
                <w:sz w:val="16"/>
                <w:szCs w:val="16"/>
                <w:lang w:val="en-US" w:eastAsia="en-US"/>
              </w:rPr>
            </w:pPr>
            <w:r w:rsidRPr="004D3FE5">
              <w:rPr>
                <w:rFonts w:eastAsia="Calibri"/>
                <w:sz w:val="16"/>
                <w:szCs w:val="16"/>
                <w:lang w:val="en-US" w:eastAsia="en-US"/>
              </w:rPr>
              <w:t>12.2</w:t>
            </w:r>
          </w:p>
        </w:tc>
        <w:tc>
          <w:tcPr>
            <w:tcW w:w="1050" w:type="dxa"/>
            <w:tcBorders>
              <w:top w:val="nil"/>
              <w:left w:val="single" w:sz="4" w:space="0" w:color="auto"/>
              <w:bottom w:val="nil"/>
              <w:right w:val="single" w:sz="4" w:space="0" w:color="auto"/>
            </w:tcBorders>
            <w:shd w:val="clear" w:color="auto" w:fill="auto"/>
            <w:vAlign w:val="bottom"/>
          </w:tcPr>
          <w:p w14:paraId="7DFEBE55" w14:textId="77777777" w:rsidR="00D96653" w:rsidRPr="004D3FE5" w:rsidRDefault="00D96653" w:rsidP="00D96653">
            <w:pPr>
              <w:spacing w:before="40" w:after="40"/>
              <w:ind w:right="284"/>
              <w:jc w:val="right"/>
              <w:rPr>
                <w:rFonts w:eastAsia="Calibri"/>
                <w:bCs/>
                <w:sz w:val="16"/>
                <w:szCs w:val="16"/>
                <w:lang w:val="en-US" w:eastAsia="en-US"/>
              </w:rPr>
            </w:pPr>
            <w:r w:rsidRPr="004D3FE5">
              <w:rPr>
                <w:rFonts w:eastAsia="Calibri"/>
                <w:bCs/>
                <w:sz w:val="16"/>
                <w:szCs w:val="16"/>
                <w:lang w:val="en-US" w:eastAsia="en-US"/>
              </w:rPr>
              <w:t>8.3</w:t>
            </w:r>
          </w:p>
        </w:tc>
      </w:tr>
      <w:tr w:rsidR="00D96653" w:rsidRPr="00D96653" w14:paraId="7F0DE748" w14:textId="77777777" w:rsidTr="00D96653">
        <w:trPr>
          <w:jc w:val="center"/>
        </w:trPr>
        <w:tc>
          <w:tcPr>
            <w:tcW w:w="3119" w:type="dxa"/>
            <w:tcBorders>
              <w:top w:val="nil"/>
              <w:left w:val="single" w:sz="4" w:space="0" w:color="auto"/>
              <w:bottom w:val="nil"/>
              <w:right w:val="single" w:sz="4" w:space="0" w:color="auto"/>
            </w:tcBorders>
            <w:shd w:val="clear" w:color="auto" w:fill="auto"/>
            <w:vAlign w:val="bottom"/>
          </w:tcPr>
          <w:p w14:paraId="08561C12" w14:textId="77777777" w:rsidR="00D96653" w:rsidRPr="004D3FE5" w:rsidRDefault="00D96653" w:rsidP="00D96653">
            <w:pPr>
              <w:spacing w:before="40" w:after="40"/>
              <w:ind w:left="284"/>
              <w:rPr>
                <w:rFonts w:eastAsia="Calibri"/>
                <w:bCs/>
                <w:sz w:val="16"/>
                <w:szCs w:val="16"/>
                <w:lang w:val="en-US" w:eastAsia="en-US"/>
              </w:rPr>
            </w:pPr>
            <w:r w:rsidRPr="004D3FE5">
              <w:rPr>
                <w:rFonts w:eastAsia="Calibri"/>
                <w:bCs/>
                <w:sz w:val="16"/>
                <w:szCs w:val="16"/>
                <w:lang w:val="en-US" w:eastAsia="en-US"/>
              </w:rPr>
              <w:t>Empresas</w:t>
            </w:r>
          </w:p>
        </w:tc>
        <w:tc>
          <w:tcPr>
            <w:tcW w:w="1134" w:type="dxa"/>
            <w:tcBorders>
              <w:top w:val="nil"/>
              <w:left w:val="single" w:sz="4" w:space="0" w:color="auto"/>
              <w:bottom w:val="nil"/>
              <w:right w:val="single" w:sz="4" w:space="0" w:color="auto"/>
            </w:tcBorders>
            <w:shd w:val="clear" w:color="auto" w:fill="auto"/>
            <w:vAlign w:val="bottom"/>
          </w:tcPr>
          <w:p w14:paraId="6A7F8BF1" w14:textId="77777777" w:rsidR="00D96653" w:rsidRPr="004D3FE5" w:rsidRDefault="00D96653" w:rsidP="00D96653">
            <w:pPr>
              <w:spacing w:before="40" w:after="40"/>
              <w:ind w:right="284"/>
              <w:jc w:val="right"/>
              <w:rPr>
                <w:rFonts w:eastAsia="Calibri"/>
                <w:sz w:val="16"/>
                <w:szCs w:val="16"/>
                <w:lang w:val="en-US" w:eastAsia="en-US"/>
              </w:rPr>
            </w:pPr>
            <w:r w:rsidRPr="004D3FE5">
              <w:rPr>
                <w:rFonts w:eastAsia="Calibri"/>
                <w:sz w:val="16"/>
                <w:szCs w:val="16"/>
                <w:lang w:val="en-US" w:eastAsia="en-US"/>
              </w:rPr>
              <w:t>1 268</w:t>
            </w:r>
          </w:p>
        </w:tc>
        <w:tc>
          <w:tcPr>
            <w:tcW w:w="1276" w:type="dxa"/>
            <w:tcBorders>
              <w:top w:val="nil"/>
              <w:left w:val="single" w:sz="4" w:space="0" w:color="auto"/>
              <w:bottom w:val="nil"/>
              <w:right w:val="single" w:sz="4" w:space="0" w:color="auto"/>
            </w:tcBorders>
            <w:shd w:val="clear" w:color="auto" w:fill="auto"/>
            <w:vAlign w:val="bottom"/>
          </w:tcPr>
          <w:p w14:paraId="3A289F9A"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1 305</w:t>
            </w:r>
          </w:p>
        </w:tc>
        <w:tc>
          <w:tcPr>
            <w:tcW w:w="1144" w:type="dxa"/>
            <w:tcBorders>
              <w:top w:val="nil"/>
              <w:left w:val="single" w:sz="4" w:space="0" w:color="auto"/>
              <w:bottom w:val="nil"/>
              <w:right w:val="single" w:sz="4" w:space="0" w:color="auto"/>
            </w:tcBorders>
            <w:shd w:val="clear" w:color="auto" w:fill="auto"/>
            <w:vAlign w:val="bottom"/>
          </w:tcPr>
          <w:p w14:paraId="437FA4DF"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1 370</w:t>
            </w:r>
          </w:p>
        </w:tc>
        <w:tc>
          <w:tcPr>
            <w:tcW w:w="1134" w:type="dxa"/>
            <w:tcBorders>
              <w:top w:val="nil"/>
              <w:left w:val="single" w:sz="4" w:space="0" w:color="auto"/>
              <w:bottom w:val="nil"/>
              <w:right w:val="single" w:sz="4" w:space="0" w:color="auto"/>
            </w:tcBorders>
            <w:shd w:val="clear" w:color="auto" w:fill="auto"/>
            <w:vAlign w:val="bottom"/>
          </w:tcPr>
          <w:p w14:paraId="12E4D542" w14:textId="77777777" w:rsidR="00D96653" w:rsidRPr="004D3FE5" w:rsidRDefault="00D96653" w:rsidP="00D96653">
            <w:pPr>
              <w:spacing w:before="40" w:after="40"/>
              <w:ind w:right="170"/>
              <w:jc w:val="right"/>
              <w:rPr>
                <w:rFonts w:eastAsia="Calibri"/>
                <w:sz w:val="16"/>
                <w:szCs w:val="16"/>
                <w:lang w:val="en-US" w:eastAsia="en-US"/>
              </w:rPr>
            </w:pPr>
            <w:r w:rsidRPr="004D3FE5">
              <w:rPr>
                <w:rFonts w:eastAsia="Calibri"/>
                <w:sz w:val="16"/>
                <w:szCs w:val="16"/>
                <w:lang w:val="en-US" w:eastAsia="en-US"/>
              </w:rPr>
              <w:t>8.1</w:t>
            </w:r>
          </w:p>
        </w:tc>
        <w:tc>
          <w:tcPr>
            <w:tcW w:w="1050" w:type="dxa"/>
            <w:tcBorders>
              <w:top w:val="nil"/>
              <w:left w:val="single" w:sz="4" w:space="0" w:color="auto"/>
              <w:bottom w:val="nil"/>
              <w:right w:val="single" w:sz="4" w:space="0" w:color="auto"/>
            </w:tcBorders>
            <w:shd w:val="clear" w:color="auto" w:fill="auto"/>
            <w:vAlign w:val="bottom"/>
          </w:tcPr>
          <w:p w14:paraId="6FD5FB12" w14:textId="77777777" w:rsidR="00D96653" w:rsidRPr="004D3FE5" w:rsidRDefault="00D96653" w:rsidP="00D96653">
            <w:pPr>
              <w:spacing w:before="40" w:after="40"/>
              <w:ind w:right="284"/>
              <w:jc w:val="right"/>
              <w:rPr>
                <w:rFonts w:eastAsia="Calibri"/>
                <w:bCs/>
                <w:sz w:val="16"/>
                <w:szCs w:val="16"/>
                <w:lang w:val="en-US" w:eastAsia="en-US"/>
              </w:rPr>
            </w:pPr>
            <w:r w:rsidRPr="004D3FE5">
              <w:rPr>
                <w:rFonts w:eastAsia="Calibri"/>
                <w:bCs/>
                <w:sz w:val="16"/>
                <w:szCs w:val="16"/>
                <w:lang w:val="en-US" w:eastAsia="en-US"/>
              </w:rPr>
              <w:t>5.0</w:t>
            </w:r>
          </w:p>
        </w:tc>
      </w:tr>
      <w:tr w:rsidR="00D96653" w:rsidRPr="00D96653" w14:paraId="51C0535D" w14:textId="77777777" w:rsidTr="00D96653">
        <w:trPr>
          <w:jc w:val="center"/>
        </w:trPr>
        <w:tc>
          <w:tcPr>
            <w:tcW w:w="3119" w:type="dxa"/>
            <w:tcBorders>
              <w:top w:val="nil"/>
              <w:left w:val="single" w:sz="4" w:space="0" w:color="auto"/>
              <w:bottom w:val="nil"/>
              <w:right w:val="single" w:sz="4" w:space="0" w:color="auto"/>
            </w:tcBorders>
            <w:shd w:val="clear" w:color="auto" w:fill="auto"/>
            <w:vAlign w:val="bottom"/>
          </w:tcPr>
          <w:p w14:paraId="536EBE33" w14:textId="77777777" w:rsidR="00D96653" w:rsidRPr="004D3FE5" w:rsidRDefault="00D96653" w:rsidP="00D96653">
            <w:pPr>
              <w:spacing w:before="40" w:after="40"/>
              <w:ind w:left="284"/>
              <w:rPr>
                <w:rFonts w:eastAsia="Calibri"/>
                <w:bCs/>
                <w:sz w:val="16"/>
                <w:szCs w:val="16"/>
                <w:lang w:val="en-US" w:eastAsia="en-US"/>
              </w:rPr>
            </w:pPr>
            <w:r w:rsidRPr="004D3FE5">
              <w:rPr>
                <w:rFonts w:eastAsia="Calibri"/>
                <w:bCs/>
                <w:sz w:val="16"/>
                <w:szCs w:val="16"/>
                <w:lang w:val="en-US" w:eastAsia="en-US"/>
              </w:rPr>
              <w:t>Entidades financieras</w:t>
            </w:r>
          </w:p>
        </w:tc>
        <w:tc>
          <w:tcPr>
            <w:tcW w:w="1134" w:type="dxa"/>
            <w:tcBorders>
              <w:top w:val="nil"/>
              <w:left w:val="single" w:sz="4" w:space="0" w:color="auto"/>
              <w:bottom w:val="nil"/>
              <w:right w:val="single" w:sz="4" w:space="0" w:color="auto"/>
            </w:tcBorders>
            <w:shd w:val="clear" w:color="auto" w:fill="auto"/>
            <w:vAlign w:val="bottom"/>
          </w:tcPr>
          <w:p w14:paraId="5A838CE8" w14:textId="77777777" w:rsidR="00D96653" w:rsidRPr="004D3FE5" w:rsidRDefault="00D96653" w:rsidP="00D96653">
            <w:pPr>
              <w:spacing w:before="40" w:after="40"/>
              <w:ind w:right="284"/>
              <w:jc w:val="right"/>
              <w:rPr>
                <w:rFonts w:eastAsia="Calibri"/>
                <w:sz w:val="16"/>
                <w:szCs w:val="16"/>
                <w:lang w:val="en-US" w:eastAsia="en-US"/>
              </w:rPr>
            </w:pPr>
            <w:r w:rsidRPr="004D3FE5">
              <w:rPr>
                <w:rFonts w:eastAsia="Calibri"/>
                <w:sz w:val="16"/>
                <w:szCs w:val="16"/>
                <w:lang w:val="en-US" w:eastAsia="en-US"/>
              </w:rPr>
              <w:t>73</w:t>
            </w:r>
          </w:p>
        </w:tc>
        <w:tc>
          <w:tcPr>
            <w:tcW w:w="1276" w:type="dxa"/>
            <w:tcBorders>
              <w:top w:val="nil"/>
              <w:left w:val="single" w:sz="4" w:space="0" w:color="auto"/>
              <w:bottom w:val="nil"/>
              <w:right w:val="single" w:sz="4" w:space="0" w:color="auto"/>
            </w:tcBorders>
            <w:shd w:val="clear" w:color="auto" w:fill="auto"/>
            <w:vAlign w:val="bottom"/>
          </w:tcPr>
          <w:p w14:paraId="03C18D15"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71</w:t>
            </w:r>
          </w:p>
        </w:tc>
        <w:tc>
          <w:tcPr>
            <w:tcW w:w="1144" w:type="dxa"/>
            <w:tcBorders>
              <w:top w:val="nil"/>
              <w:left w:val="single" w:sz="4" w:space="0" w:color="auto"/>
              <w:bottom w:val="nil"/>
              <w:right w:val="single" w:sz="4" w:space="0" w:color="auto"/>
            </w:tcBorders>
            <w:shd w:val="clear" w:color="auto" w:fill="auto"/>
            <w:vAlign w:val="bottom"/>
          </w:tcPr>
          <w:p w14:paraId="334E0837"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82</w:t>
            </w:r>
          </w:p>
        </w:tc>
        <w:tc>
          <w:tcPr>
            <w:tcW w:w="1134" w:type="dxa"/>
            <w:tcBorders>
              <w:top w:val="nil"/>
              <w:left w:val="single" w:sz="4" w:space="0" w:color="auto"/>
              <w:bottom w:val="nil"/>
              <w:right w:val="single" w:sz="4" w:space="0" w:color="auto"/>
            </w:tcBorders>
            <w:shd w:val="clear" w:color="auto" w:fill="auto"/>
            <w:vAlign w:val="bottom"/>
          </w:tcPr>
          <w:p w14:paraId="539DF88D" w14:textId="77777777" w:rsidR="00D96653" w:rsidRPr="004D3FE5" w:rsidRDefault="00D96653" w:rsidP="00D96653">
            <w:pPr>
              <w:spacing w:before="40" w:after="40"/>
              <w:ind w:right="170"/>
              <w:jc w:val="right"/>
              <w:rPr>
                <w:rFonts w:eastAsia="Calibri"/>
                <w:sz w:val="16"/>
                <w:szCs w:val="16"/>
                <w:lang w:val="en-US" w:eastAsia="en-US"/>
              </w:rPr>
            </w:pPr>
            <w:r w:rsidRPr="004D3FE5">
              <w:rPr>
                <w:rFonts w:eastAsia="Calibri"/>
                <w:sz w:val="16"/>
                <w:szCs w:val="16"/>
                <w:lang w:val="en-US" w:eastAsia="en-US"/>
              </w:rPr>
              <w:t>12.5</w:t>
            </w:r>
          </w:p>
        </w:tc>
        <w:tc>
          <w:tcPr>
            <w:tcW w:w="1050" w:type="dxa"/>
            <w:tcBorders>
              <w:top w:val="nil"/>
              <w:left w:val="single" w:sz="4" w:space="0" w:color="auto"/>
              <w:bottom w:val="nil"/>
              <w:right w:val="single" w:sz="4" w:space="0" w:color="auto"/>
            </w:tcBorders>
            <w:shd w:val="clear" w:color="auto" w:fill="auto"/>
            <w:vAlign w:val="bottom"/>
          </w:tcPr>
          <w:p w14:paraId="6E551981" w14:textId="77777777" w:rsidR="00D96653" w:rsidRPr="004D3FE5" w:rsidRDefault="00D96653" w:rsidP="00D96653">
            <w:pPr>
              <w:spacing w:before="40" w:after="40"/>
              <w:ind w:right="284"/>
              <w:jc w:val="right"/>
              <w:rPr>
                <w:rFonts w:eastAsia="Calibri"/>
                <w:bCs/>
                <w:sz w:val="16"/>
                <w:szCs w:val="16"/>
                <w:lang w:val="en-US" w:eastAsia="en-US"/>
              </w:rPr>
            </w:pPr>
            <w:r w:rsidRPr="004D3FE5">
              <w:rPr>
                <w:rFonts w:eastAsia="Calibri"/>
                <w:bCs/>
                <w:sz w:val="16"/>
                <w:szCs w:val="16"/>
                <w:lang w:val="en-US" w:eastAsia="en-US"/>
              </w:rPr>
              <w:t>15.6</w:t>
            </w:r>
          </w:p>
        </w:tc>
      </w:tr>
      <w:tr w:rsidR="00D96653" w:rsidRPr="00D96653" w14:paraId="59667419" w14:textId="77777777" w:rsidTr="00D96653">
        <w:trPr>
          <w:jc w:val="center"/>
        </w:trPr>
        <w:tc>
          <w:tcPr>
            <w:tcW w:w="3119" w:type="dxa"/>
            <w:tcBorders>
              <w:top w:val="nil"/>
              <w:left w:val="single" w:sz="4" w:space="0" w:color="auto"/>
              <w:bottom w:val="nil"/>
              <w:right w:val="single" w:sz="4" w:space="0" w:color="auto"/>
            </w:tcBorders>
            <w:shd w:val="clear" w:color="auto" w:fill="auto"/>
            <w:vAlign w:val="bottom"/>
          </w:tcPr>
          <w:p w14:paraId="5A4AE708" w14:textId="77777777" w:rsidR="00D96653" w:rsidRPr="004D3FE5" w:rsidRDefault="00D96653" w:rsidP="00D96653">
            <w:pPr>
              <w:spacing w:before="40" w:after="40"/>
              <w:ind w:left="284"/>
              <w:rPr>
                <w:rFonts w:eastAsia="Calibri"/>
                <w:bCs/>
                <w:sz w:val="16"/>
                <w:szCs w:val="16"/>
                <w:lang w:val="en-US" w:eastAsia="en-US"/>
              </w:rPr>
            </w:pPr>
            <w:r w:rsidRPr="004D3FE5">
              <w:rPr>
                <w:rFonts w:eastAsia="Calibri"/>
                <w:bCs/>
                <w:sz w:val="16"/>
                <w:szCs w:val="16"/>
                <w:lang w:val="en-US" w:eastAsia="en-US"/>
              </w:rPr>
              <w:t>Entidades gubernamentales</w:t>
            </w:r>
          </w:p>
        </w:tc>
        <w:tc>
          <w:tcPr>
            <w:tcW w:w="1134" w:type="dxa"/>
            <w:tcBorders>
              <w:top w:val="nil"/>
              <w:left w:val="single" w:sz="4" w:space="0" w:color="auto"/>
              <w:bottom w:val="nil"/>
              <w:right w:val="single" w:sz="4" w:space="0" w:color="auto"/>
            </w:tcBorders>
            <w:shd w:val="clear" w:color="auto" w:fill="auto"/>
            <w:vAlign w:val="bottom"/>
          </w:tcPr>
          <w:p w14:paraId="068E0C5B" w14:textId="77777777" w:rsidR="00D96653" w:rsidRPr="004D3FE5" w:rsidRDefault="00D96653" w:rsidP="00D96653">
            <w:pPr>
              <w:spacing w:before="40" w:after="40"/>
              <w:ind w:right="284"/>
              <w:jc w:val="right"/>
              <w:rPr>
                <w:rFonts w:eastAsia="Calibri"/>
                <w:sz w:val="16"/>
                <w:szCs w:val="16"/>
                <w:lang w:val="en-US" w:eastAsia="en-US"/>
              </w:rPr>
            </w:pPr>
            <w:r w:rsidRPr="004D3FE5">
              <w:rPr>
                <w:rFonts w:eastAsia="Calibri"/>
                <w:sz w:val="16"/>
                <w:szCs w:val="16"/>
                <w:lang w:val="en-US" w:eastAsia="en-US"/>
              </w:rPr>
              <w:t>388</w:t>
            </w:r>
          </w:p>
        </w:tc>
        <w:tc>
          <w:tcPr>
            <w:tcW w:w="1276" w:type="dxa"/>
            <w:tcBorders>
              <w:top w:val="nil"/>
              <w:left w:val="single" w:sz="4" w:space="0" w:color="auto"/>
              <w:bottom w:val="nil"/>
              <w:right w:val="single" w:sz="4" w:space="0" w:color="auto"/>
            </w:tcBorders>
            <w:shd w:val="clear" w:color="auto" w:fill="auto"/>
            <w:vAlign w:val="bottom"/>
          </w:tcPr>
          <w:p w14:paraId="127CA87F"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416</w:t>
            </w:r>
          </w:p>
        </w:tc>
        <w:tc>
          <w:tcPr>
            <w:tcW w:w="1144" w:type="dxa"/>
            <w:tcBorders>
              <w:top w:val="nil"/>
              <w:left w:val="single" w:sz="4" w:space="0" w:color="auto"/>
              <w:bottom w:val="nil"/>
              <w:right w:val="single" w:sz="4" w:space="0" w:color="auto"/>
            </w:tcBorders>
            <w:shd w:val="clear" w:color="auto" w:fill="auto"/>
            <w:vAlign w:val="bottom"/>
          </w:tcPr>
          <w:p w14:paraId="5358D4C5" w14:textId="77777777" w:rsidR="00D96653" w:rsidRPr="004D3FE5" w:rsidRDefault="00D96653" w:rsidP="00D96653">
            <w:pPr>
              <w:spacing w:before="40" w:after="40"/>
              <w:ind w:right="227"/>
              <w:jc w:val="right"/>
              <w:rPr>
                <w:rFonts w:eastAsia="Calibri"/>
                <w:sz w:val="16"/>
                <w:szCs w:val="16"/>
                <w:lang w:val="en-US" w:eastAsia="en-US"/>
              </w:rPr>
            </w:pPr>
            <w:r w:rsidRPr="004D3FE5">
              <w:rPr>
                <w:rFonts w:eastAsia="Calibri"/>
                <w:sz w:val="16"/>
                <w:szCs w:val="16"/>
                <w:lang w:val="en-US" w:eastAsia="en-US"/>
              </w:rPr>
              <w:t>488</w:t>
            </w:r>
          </w:p>
        </w:tc>
        <w:tc>
          <w:tcPr>
            <w:tcW w:w="1134" w:type="dxa"/>
            <w:tcBorders>
              <w:top w:val="nil"/>
              <w:left w:val="single" w:sz="4" w:space="0" w:color="auto"/>
              <w:bottom w:val="nil"/>
              <w:right w:val="single" w:sz="4" w:space="0" w:color="auto"/>
            </w:tcBorders>
            <w:shd w:val="clear" w:color="auto" w:fill="auto"/>
            <w:vAlign w:val="bottom"/>
          </w:tcPr>
          <w:p w14:paraId="11E77218" w14:textId="77777777" w:rsidR="00D96653" w:rsidRPr="004D3FE5" w:rsidRDefault="00D96653" w:rsidP="00D96653">
            <w:pPr>
              <w:spacing w:before="40" w:after="40"/>
              <w:ind w:right="170"/>
              <w:jc w:val="right"/>
              <w:rPr>
                <w:rFonts w:eastAsia="Calibri"/>
                <w:sz w:val="16"/>
                <w:szCs w:val="16"/>
                <w:lang w:val="en-US" w:eastAsia="en-US"/>
              </w:rPr>
            </w:pPr>
            <w:r w:rsidRPr="004D3FE5">
              <w:rPr>
                <w:rFonts w:eastAsia="Calibri"/>
                <w:sz w:val="16"/>
                <w:szCs w:val="16"/>
                <w:lang w:val="en-US" w:eastAsia="en-US"/>
              </w:rPr>
              <w:t>25.6</w:t>
            </w:r>
          </w:p>
        </w:tc>
        <w:tc>
          <w:tcPr>
            <w:tcW w:w="1050" w:type="dxa"/>
            <w:tcBorders>
              <w:top w:val="nil"/>
              <w:left w:val="single" w:sz="4" w:space="0" w:color="auto"/>
              <w:bottom w:val="nil"/>
              <w:right w:val="single" w:sz="4" w:space="0" w:color="auto"/>
            </w:tcBorders>
            <w:shd w:val="clear" w:color="auto" w:fill="auto"/>
            <w:vAlign w:val="bottom"/>
          </w:tcPr>
          <w:p w14:paraId="7710C51A" w14:textId="77777777" w:rsidR="00D96653" w:rsidRPr="004D3FE5" w:rsidRDefault="00D96653" w:rsidP="00D96653">
            <w:pPr>
              <w:spacing w:before="40" w:after="40"/>
              <w:ind w:right="284"/>
              <w:jc w:val="right"/>
              <w:rPr>
                <w:rFonts w:eastAsia="Calibri"/>
                <w:bCs/>
                <w:sz w:val="16"/>
                <w:szCs w:val="16"/>
                <w:lang w:val="en-US" w:eastAsia="en-US"/>
              </w:rPr>
            </w:pPr>
            <w:r w:rsidRPr="004D3FE5">
              <w:rPr>
                <w:rFonts w:eastAsia="Calibri"/>
                <w:bCs/>
                <w:sz w:val="16"/>
                <w:szCs w:val="16"/>
                <w:lang w:val="en-US" w:eastAsia="en-US"/>
              </w:rPr>
              <w:t>17.3</w:t>
            </w:r>
          </w:p>
        </w:tc>
      </w:tr>
      <w:tr w:rsidR="00D96653" w:rsidRPr="00D96653" w14:paraId="39F4EBCB" w14:textId="77777777" w:rsidTr="00D96653">
        <w:trPr>
          <w:jc w:val="center"/>
        </w:trPr>
        <w:tc>
          <w:tcPr>
            <w:tcW w:w="3119" w:type="dxa"/>
            <w:tcBorders>
              <w:top w:val="nil"/>
              <w:left w:val="single" w:sz="4" w:space="0" w:color="auto"/>
              <w:bottom w:val="nil"/>
              <w:right w:val="single" w:sz="4" w:space="0" w:color="auto"/>
            </w:tcBorders>
            <w:shd w:val="clear" w:color="auto" w:fill="auto"/>
            <w:vAlign w:val="bottom"/>
          </w:tcPr>
          <w:p w14:paraId="4A80D473" w14:textId="77777777" w:rsidR="00D96653" w:rsidRPr="004D3FE5" w:rsidRDefault="00D96653" w:rsidP="00D96653">
            <w:pPr>
              <w:spacing w:before="40" w:after="40"/>
              <w:rPr>
                <w:rFonts w:eastAsia="Calibri"/>
                <w:bCs/>
                <w:sz w:val="16"/>
                <w:szCs w:val="16"/>
                <w:lang w:eastAsia="en-US"/>
              </w:rPr>
            </w:pPr>
            <w:r w:rsidRPr="004D3FE5">
              <w:rPr>
                <w:rFonts w:eastAsia="Calibri"/>
                <w:bCs/>
                <w:sz w:val="16"/>
                <w:szCs w:val="16"/>
                <w:lang w:eastAsia="en-US"/>
              </w:rPr>
              <w:t>Consumo</w:t>
            </w:r>
          </w:p>
        </w:tc>
        <w:tc>
          <w:tcPr>
            <w:tcW w:w="1134" w:type="dxa"/>
            <w:tcBorders>
              <w:top w:val="nil"/>
              <w:left w:val="single" w:sz="4" w:space="0" w:color="auto"/>
              <w:bottom w:val="nil"/>
              <w:right w:val="single" w:sz="4" w:space="0" w:color="auto"/>
            </w:tcBorders>
            <w:shd w:val="clear" w:color="auto" w:fill="auto"/>
            <w:vAlign w:val="bottom"/>
          </w:tcPr>
          <w:p w14:paraId="4B6312CC" w14:textId="77777777" w:rsidR="00D96653" w:rsidRPr="004D3FE5" w:rsidRDefault="00D96653" w:rsidP="00D96653">
            <w:pPr>
              <w:spacing w:before="40" w:after="40"/>
              <w:ind w:right="284"/>
              <w:jc w:val="right"/>
              <w:rPr>
                <w:rFonts w:eastAsia="Calibri"/>
                <w:sz w:val="16"/>
                <w:szCs w:val="16"/>
                <w:lang w:eastAsia="en-US"/>
              </w:rPr>
            </w:pPr>
            <w:r w:rsidRPr="004D3FE5">
              <w:rPr>
                <w:rFonts w:eastAsia="Calibri"/>
                <w:sz w:val="16"/>
                <w:szCs w:val="16"/>
                <w:lang w:eastAsia="en-US"/>
              </w:rPr>
              <w:t>581</w:t>
            </w:r>
          </w:p>
        </w:tc>
        <w:tc>
          <w:tcPr>
            <w:tcW w:w="1276" w:type="dxa"/>
            <w:tcBorders>
              <w:top w:val="nil"/>
              <w:left w:val="single" w:sz="4" w:space="0" w:color="auto"/>
              <w:bottom w:val="nil"/>
              <w:right w:val="single" w:sz="4" w:space="0" w:color="auto"/>
            </w:tcBorders>
            <w:shd w:val="clear" w:color="auto" w:fill="auto"/>
            <w:vAlign w:val="bottom"/>
          </w:tcPr>
          <w:p w14:paraId="32D4FFD7" w14:textId="77777777" w:rsidR="00D96653" w:rsidRPr="004D3FE5" w:rsidRDefault="00D96653" w:rsidP="00D96653">
            <w:pPr>
              <w:spacing w:before="40" w:after="40"/>
              <w:ind w:right="227"/>
              <w:jc w:val="right"/>
              <w:rPr>
                <w:rFonts w:eastAsia="Calibri"/>
                <w:sz w:val="16"/>
                <w:szCs w:val="16"/>
                <w:lang w:eastAsia="en-US"/>
              </w:rPr>
            </w:pPr>
            <w:r w:rsidRPr="004D3FE5">
              <w:rPr>
                <w:rFonts w:eastAsia="Calibri"/>
                <w:sz w:val="16"/>
                <w:szCs w:val="16"/>
                <w:lang w:eastAsia="en-US"/>
              </w:rPr>
              <w:t>615</w:t>
            </w:r>
          </w:p>
        </w:tc>
        <w:tc>
          <w:tcPr>
            <w:tcW w:w="1144" w:type="dxa"/>
            <w:tcBorders>
              <w:top w:val="nil"/>
              <w:left w:val="single" w:sz="4" w:space="0" w:color="auto"/>
              <w:bottom w:val="nil"/>
              <w:right w:val="single" w:sz="4" w:space="0" w:color="auto"/>
            </w:tcBorders>
            <w:shd w:val="clear" w:color="auto" w:fill="auto"/>
            <w:vAlign w:val="bottom"/>
          </w:tcPr>
          <w:p w14:paraId="3067ABE1" w14:textId="77777777" w:rsidR="00D96653" w:rsidRPr="004D3FE5" w:rsidRDefault="00D96653" w:rsidP="00D96653">
            <w:pPr>
              <w:spacing w:before="40" w:after="40"/>
              <w:ind w:right="227"/>
              <w:jc w:val="right"/>
              <w:rPr>
                <w:rFonts w:eastAsia="Calibri"/>
                <w:sz w:val="16"/>
                <w:szCs w:val="16"/>
                <w:lang w:eastAsia="en-US"/>
              </w:rPr>
            </w:pPr>
            <w:r w:rsidRPr="004D3FE5">
              <w:rPr>
                <w:rFonts w:eastAsia="Calibri"/>
                <w:sz w:val="16"/>
                <w:szCs w:val="16"/>
                <w:lang w:eastAsia="en-US"/>
              </w:rPr>
              <w:t>627</w:t>
            </w:r>
          </w:p>
        </w:tc>
        <w:tc>
          <w:tcPr>
            <w:tcW w:w="1134" w:type="dxa"/>
            <w:tcBorders>
              <w:top w:val="nil"/>
              <w:left w:val="single" w:sz="4" w:space="0" w:color="auto"/>
              <w:bottom w:val="nil"/>
              <w:right w:val="single" w:sz="4" w:space="0" w:color="auto"/>
            </w:tcBorders>
            <w:shd w:val="clear" w:color="auto" w:fill="auto"/>
            <w:vAlign w:val="bottom"/>
          </w:tcPr>
          <w:p w14:paraId="1439A93D" w14:textId="77777777" w:rsidR="00D96653" w:rsidRPr="004D3FE5" w:rsidRDefault="00D96653" w:rsidP="00D96653">
            <w:pPr>
              <w:spacing w:before="40" w:after="40"/>
              <w:ind w:right="170"/>
              <w:jc w:val="right"/>
              <w:rPr>
                <w:rFonts w:eastAsia="Calibri"/>
                <w:sz w:val="16"/>
                <w:szCs w:val="16"/>
                <w:lang w:eastAsia="en-US"/>
              </w:rPr>
            </w:pPr>
            <w:r w:rsidRPr="004D3FE5">
              <w:rPr>
                <w:rFonts w:eastAsia="Calibri"/>
                <w:sz w:val="16"/>
                <w:szCs w:val="16"/>
                <w:lang w:eastAsia="en-US"/>
              </w:rPr>
              <w:t>8.0</w:t>
            </w:r>
          </w:p>
        </w:tc>
        <w:tc>
          <w:tcPr>
            <w:tcW w:w="1050" w:type="dxa"/>
            <w:tcBorders>
              <w:top w:val="nil"/>
              <w:left w:val="single" w:sz="4" w:space="0" w:color="auto"/>
              <w:bottom w:val="nil"/>
              <w:right w:val="single" w:sz="4" w:space="0" w:color="auto"/>
            </w:tcBorders>
            <w:shd w:val="clear" w:color="auto" w:fill="auto"/>
            <w:vAlign w:val="bottom"/>
          </w:tcPr>
          <w:p w14:paraId="031E3C1E" w14:textId="77777777" w:rsidR="00D96653" w:rsidRPr="004D3FE5" w:rsidRDefault="00D96653" w:rsidP="00D96653">
            <w:pPr>
              <w:spacing w:before="40" w:after="40"/>
              <w:ind w:right="284"/>
              <w:jc w:val="right"/>
              <w:rPr>
                <w:rFonts w:eastAsia="Calibri"/>
                <w:bCs/>
                <w:sz w:val="16"/>
                <w:szCs w:val="16"/>
                <w:lang w:eastAsia="en-US"/>
              </w:rPr>
            </w:pPr>
            <w:r w:rsidRPr="004D3FE5">
              <w:rPr>
                <w:rFonts w:eastAsia="Calibri"/>
                <w:bCs/>
                <w:sz w:val="16"/>
                <w:szCs w:val="16"/>
                <w:lang w:eastAsia="en-US"/>
              </w:rPr>
              <w:t>1.9</w:t>
            </w:r>
          </w:p>
        </w:tc>
      </w:tr>
      <w:tr w:rsidR="00D96653" w:rsidRPr="00D96653" w14:paraId="60FB62A0" w14:textId="77777777" w:rsidTr="00D96653">
        <w:trPr>
          <w:jc w:val="center"/>
        </w:trPr>
        <w:tc>
          <w:tcPr>
            <w:tcW w:w="3119" w:type="dxa"/>
            <w:tcBorders>
              <w:top w:val="nil"/>
              <w:left w:val="single" w:sz="4" w:space="0" w:color="auto"/>
              <w:bottom w:val="single" w:sz="4" w:space="0" w:color="auto"/>
              <w:right w:val="single" w:sz="4" w:space="0" w:color="auto"/>
            </w:tcBorders>
            <w:shd w:val="clear" w:color="auto" w:fill="auto"/>
            <w:vAlign w:val="bottom"/>
          </w:tcPr>
          <w:p w14:paraId="04069AA0" w14:textId="77777777" w:rsidR="00D96653" w:rsidRPr="004D3FE5" w:rsidRDefault="00D96653" w:rsidP="00D96653">
            <w:pPr>
              <w:spacing w:before="40" w:after="120"/>
              <w:rPr>
                <w:rFonts w:eastAsia="Calibri"/>
                <w:bCs/>
                <w:sz w:val="16"/>
                <w:szCs w:val="16"/>
                <w:lang w:eastAsia="en-US"/>
              </w:rPr>
            </w:pPr>
            <w:r w:rsidRPr="004D3FE5">
              <w:rPr>
                <w:rFonts w:eastAsia="Calibri"/>
                <w:bCs/>
                <w:sz w:val="16"/>
                <w:szCs w:val="16"/>
                <w:lang w:eastAsia="en-US"/>
              </w:rPr>
              <w:t>Vivienda</w:t>
            </w:r>
          </w:p>
        </w:tc>
        <w:tc>
          <w:tcPr>
            <w:tcW w:w="1134" w:type="dxa"/>
            <w:tcBorders>
              <w:top w:val="nil"/>
              <w:left w:val="single" w:sz="4" w:space="0" w:color="auto"/>
              <w:bottom w:val="single" w:sz="4" w:space="0" w:color="auto"/>
              <w:right w:val="single" w:sz="4" w:space="0" w:color="auto"/>
            </w:tcBorders>
            <w:shd w:val="clear" w:color="auto" w:fill="auto"/>
            <w:vAlign w:val="bottom"/>
          </w:tcPr>
          <w:p w14:paraId="0C66A85F" w14:textId="77777777" w:rsidR="00D96653" w:rsidRPr="004D3FE5" w:rsidRDefault="00D96653" w:rsidP="00D96653">
            <w:pPr>
              <w:spacing w:before="40" w:after="120"/>
              <w:ind w:right="284"/>
              <w:jc w:val="right"/>
              <w:rPr>
                <w:rFonts w:eastAsia="Calibri"/>
                <w:sz w:val="16"/>
                <w:szCs w:val="16"/>
                <w:lang w:eastAsia="en-US"/>
              </w:rPr>
            </w:pPr>
            <w:r w:rsidRPr="004D3FE5">
              <w:rPr>
                <w:rFonts w:eastAsia="Calibri"/>
                <w:sz w:val="16"/>
                <w:szCs w:val="16"/>
                <w:lang w:eastAsia="en-US"/>
              </w:rPr>
              <w:t>511</w:t>
            </w:r>
          </w:p>
        </w:tc>
        <w:tc>
          <w:tcPr>
            <w:tcW w:w="1276" w:type="dxa"/>
            <w:tcBorders>
              <w:top w:val="nil"/>
              <w:left w:val="single" w:sz="4" w:space="0" w:color="auto"/>
              <w:bottom w:val="single" w:sz="4" w:space="0" w:color="auto"/>
              <w:right w:val="single" w:sz="4" w:space="0" w:color="auto"/>
            </w:tcBorders>
            <w:shd w:val="clear" w:color="auto" w:fill="auto"/>
            <w:vAlign w:val="bottom"/>
          </w:tcPr>
          <w:p w14:paraId="5955F97C" w14:textId="77777777" w:rsidR="00D96653" w:rsidRPr="004D3FE5" w:rsidRDefault="00D96653" w:rsidP="00D96653">
            <w:pPr>
              <w:spacing w:before="40" w:after="120"/>
              <w:ind w:right="227"/>
              <w:jc w:val="right"/>
              <w:rPr>
                <w:rFonts w:eastAsia="Calibri"/>
                <w:sz w:val="16"/>
                <w:szCs w:val="16"/>
                <w:lang w:eastAsia="en-US"/>
              </w:rPr>
            </w:pPr>
            <w:r w:rsidRPr="004D3FE5">
              <w:rPr>
                <w:rFonts w:eastAsia="Calibri"/>
                <w:sz w:val="16"/>
                <w:szCs w:val="16"/>
                <w:lang w:eastAsia="en-US"/>
              </w:rPr>
              <w:t>547</w:t>
            </w:r>
          </w:p>
        </w:tc>
        <w:tc>
          <w:tcPr>
            <w:tcW w:w="1144" w:type="dxa"/>
            <w:tcBorders>
              <w:top w:val="nil"/>
              <w:left w:val="single" w:sz="4" w:space="0" w:color="auto"/>
              <w:bottom w:val="single" w:sz="4" w:space="0" w:color="auto"/>
              <w:right w:val="single" w:sz="4" w:space="0" w:color="auto"/>
            </w:tcBorders>
            <w:shd w:val="clear" w:color="auto" w:fill="auto"/>
            <w:vAlign w:val="bottom"/>
          </w:tcPr>
          <w:p w14:paraId="5250F3FF" w14:textId="77777777" w:rsidR="00D96653" w:rsidRPr="004D3FE5" w:rsidRDefault="00D96653" w:rsidP="00D96653">
            <w:pPr>
              <w:spacing w:before="40" w:after="120"/>
              <w:ind w:right="227"/>
              <w:jc w:val="right"/>
              <w:rPr>
                <w:rFonts w:eastAsia="Calibri"/>
                <w:sz w:val="16"/>
                <w:szCs w:val="16"/>
                <w:lang w:eastAsia="en-US"/>
              </w:rPr>
            </w:pPr>
            <w:r w:rsidRPr="004D3FE5">
              <w:rPr>
                <w:rFonts w:eastAsia="Calibri"/>
                <w:sz w:val="16"/>
                <w:szCs w:val="16"/>
                <w:lang w:eastAsia="en-US"/>
              </w:rPr>
              <w:t>561</w:t>
            </w:r>
          </w:p>
        </w:tc>
        <w:tc>
          <w:tcPr>
            <w:tcW w:w="1134" w:type="dxa"/>
            <w:tcBorders>
              <w:top w:val="nil"/>
              <w:left w:val="single" w:sz="4" w:space="0" w:color="auto"/>
              <w:bottom w:val="single" w:sz="4" w:space="0" w:color="auto"/>
              <w:right w:val="single" w:sz="4" w:space="0" w:color="auto"/>
            </w:tcBorders>
            <w:shd w:val="clear" w:color="auto" w:fill="auto"/>
            <w:vAlign w:val="bottom"/>
          </w:tcPr>
          <w:p w14:paraId="06AD5156" w14:textId="77777777" w:rsidR="00D96653" w:rsidRPr="004D3FE5" w:rsidRDefault="00D96653" w:rsidP="00D96653">
            <w:pPr>
              <w:spacing w:before="40" w:after="120"/>
              <w:ind w:right="170"/>
              <w:jc w:val="right"/>
              <w:rPr>
                <w:rFonts w:eastAsia="Calibri"/>
                <w:sz w:val="16"/>
                <w:szCs w:val="16"/>
                <w:lang w:eastAsia="en-US"/>
              </w:rPr>
            </w:pPr>
            <w:r w:rsidRPr="004D3FE5">
              <w:rPr>
                <w:rFonts w:eastAsia="Calibri"/>
                <w:sz w:val="16"/>
                <w:szCs w:val="16"/>
                <w:lang w:eastAsia="en-US"/>
              </w:rPr>
              <w:t>9.7</w:t>
            </w:r>
          </w:p>
        </w:tc>
        <w:tc>
          <w:tcPr>
            <w:tcW w:w="1050" w:type="dxa"/>
            <w:tcBorders>
              <w:top w:val="nil"/>
              <w:left w:val="single" w:sz="4" w:space="0" w:color="auto"/>
              <w:bottom w:val="single" w:sz="4" w:space="0" w:color="auto"/>
              <w:right w:val="single" w:sz="4" w:space="0" w:color="auto"/>
            </w:tcBorders>
            <w:shd w:val="clear" w:color="auto" w:fill="auto"/>
            <w:vAlign w:val="bottom"/>
          </w:tcPr>
          <w:p w14:paraId="4215FF99" w14:textId="77777777" w:rsidR="00D96653" w:rsidRPr="004D3FE5" w:rsidRDefault="00D96653" w:rsidP="00D96653">
            <w:pPr>
              <w:spacing w:before="40" w:after="120"/>
              <w:ind w:right="284"/>
              <w:jc w:val="right"/>
              <w:rPr>
                <w:rFonts w:eastAsia="Calibri"/>
                <w:bCs/>
                <w:sz w:val="16"/>
                <w:szCs w:val="16"/>
                <w:lang w:eastAsia="en-US"/>
              </w:rPr>
            </w:pPr>
            <w:r w:rsidRPr="004D3FE5">
              <w:rPr>
                <w:rFonts w:eastAsia="Calibri"/>
                <w:bCs/>
                <w:sz w:val="16"/>
                <w:szCs w:val="16"/>
                <w:lang w:eastAsia="en-US"/>
              </w:rPr>
              <w:t>2.6</w:t>
            </w:r>
          </w:p>
        </w:tc>
      </w:tr>
      <w:tr w:rsidR="00D96653" w:rsidRPr="00D96653" w14:paraId="4EC5D30B" w14:textId="77777777" w:rsidTr="00D96653">
        <w:trPr>
          <w:jc w:val="center"/>
        </w:trPr>
        <w:tc>
          <w:tcPr>
            <w:tcW w:w="8857" w:type="dxa"/>
            <w:gridSpan w:val="6"/>
            <w:tcBorders>
              <w:top w:val="single" w:sz="4" w:space="0" w:color="auto"/>
              <w:bottom w:val="nil"/>
            </w:tcBorders>
            <w:vAlign w:val="center"/>
          </w:tcPr>
          <w:p w14:paraId="2703905C" w14:textId="77777777" w:rsidR="00D96653" w:rsidRPr="005061B6" w:rsidRDefault="00D96653" w:rsidP="00D96653">
            <w:pPr>
              <w:spacing w:before="120"/>
              <w:ind w:right="227"/>
              <w:jc w:val="both"/>
              <w:rPr>
                <w:rFonts w:eastAsia="Times New Roman"/>
                <w:bCs/>
                <w:sz w:val="16"/>
                <w:szCs w:val="16"/>
              </w:rPr>
            </w:pPr>
            <w:r w:rsidRPr="005061B6">
              <w:rPr>
                <w:rFonts w:eastAsia="Times New Roman"/>
                <w:bCs/>
                <w:sz w:val="16"/>
                <w:szCs w:val="16"/>
              </w:rPr>
              <w:t>FUENTE: CNBV.</w:t>
            </w:r>
          </w:p>
        </w:tc>
      </w:tr>
    </w:tbl>
    <w:p w14:paraId="163E1AA0" w14:textId="77777777" w:rsidR="00D96653" w:rsidRPr="00D96653" w:rsidRDefault="00D96653" w:rsidP="00D96653">
      <w:pPr>
        <w:spacing w:after="360" w:line="360" w:lineRule="auto"/>
        <w:ind w:right="-159"/>
        <w:jc w:val="both"/>
        <w:rPr>
          <w:rFonts w:eastAsia="Calibri"/>
          <w:sz w:val="26"/>
          <w:szCs w:val="26"/>
          <w:lang w:eastAsia="en-US"/>
        </w:rPr>
      </w:pPr>
    </w:p>
    <w:p w14:paraId="6790267E"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El segmento empresarial reportó un saldo de 1 mil 370 mmdp con un incremento anual de 8.1%, representando 43.8% de la cartera total. El crédito a entidades gubernamentales fue 488 mmdp, 25.6% más que lo registrado en el mismo período de 2013 y una participación de 15.6% en el total, mientras que el crédito a entidades financieras fue 82 mmdp con un crecimiento de 12.5% y una participación de 2.6 por ciento.</w:t>
      </w:r>
    </w:p>
    <w:p w14:paraId="20219CB9" w14:textId="1596E42B"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La cartera de consumo se ubicó en 627 mmdp, 8% más que en diciembre de 2013 y 20% de la cartera total. Por su parte, los créditos para vivienda se ubicaron en 561 mmdp con un incremento de 9.7% y una participación de 17.9% del total de la cartera.</w:t>
      </w:r>
    </w:p>
    <w:p w14:paraId="44861CBB" w14:textId="77777777" w:rsidR="00D96653" w:rsidRPr="00D96653" w:rsidRDefault="00D96653" w:rsidP="00D96653">
      <w:pPr>
        <w:spacing w:after="360" w:line="360" w:lineRule="auto"/>
        <w:ind w:right="-159"/>
        <w:jc w:val="both"/>
        <w:rPr>
          <w:rFonts w:eastAsia="Calibri"/>
          <w:sz w:val="26"/>
          <w:szCs w:val="26"/>
          <w:lang w:eastAsia="en-US"/>
        </w:rPr>
      </w:pPr>
    </w:p>
    <w:p w14:paraId="6808FC43" w14:textId="77777777" w:rsidR="00D96653" w:rsidRDefault="00D96653" w:rsidP="00D96653">
      <w:pPr>
        <w:spacing w:after="360" w:line="360" w:lineRule="auto"/>
        <w:ind w:right="-159"/>
        <w:jc w:val="both"/>
        <w:rPr>
          <w:rFonts w:eastAsia="Calibri"/>
          <w:sz w:val="26"/>
          <w:szCs w:val="26"/>
          <w:lang w:eastAsia="en-US"/>
        </w:rPr>
      </w:pPr>
    </w:p>
    <w:p w14:paraId="63B3B378" w14:textId="77777777" w:rsidR="004D3FE5" w:rsidRPr="00D96653" w:rsidRDefault="004D3FE5" w:rsidP="00D96653">
      <w:pPr>
        <w:spacing w:after="360" w:line="360" w:lineRule="auto"/>
        <w:ind w:right="-159"/>
        <w:jc w:val="both"/>
        <w:rPr>
          <w:rFonts w:eastAsia="Calibri"/>
          <w:sz w:val="26"/>
          <w:szCs w:val="26"/>
          <w:lang w:eastAsia="en-US"/>
        </w:rPr>
      </w:pPr>
    </w:p>
    <w:p w14:paraId="3BC2775F" w14:textId="77777777" w:rsidR="00D96653" w:rsidRPr="00D96653" w:rsidRDefault="00D96653" w:rsidP="00D96653">
      <w:pPr>
        <w:spacing w:after="360" w:line="360" w:lineRule="auto"/>
        <w:ind w:right="-159"/>
        <w:jc w:val="both"/>
        <w:rPr>
          <w:rFonts w:eastAsia="Calibri"/>
          <w:sz w:val="26"/>
          <w:szCs w:val="26"/>
          <w:lang w:eastAsia="en-US"/>
        </w:rPr>
      </w:pPr>
    </w:p>
    <w:p w14:paraId="2E6A59F8" w14:textId="77777777" w:rsidR="00D96653" w:rsidRPr="00D96653" w:rsidRDefault="00D96653" w:rsidP="00D96653">
      <w:pPr>
        <w:spacing w:after="360" w:line="360" w:lineRule="auto"/>
        <w:ind w:right="-159"/>
        <w:jc w:val="both"/>
        <w:rPr>
          <w:rFonts w:eastAsia="Calibri"/>
          <w:sz w:val="26"/>
          <w:szCs w:val="26"/>
          <w:lang w:eastAsia="en-US"/>
        </w:rPr>
      </w:pPr>
    </w:p>
    <w:tbl>
      <w:tblPr>
        <w:tblW w:w="8970" w:type="dxa"/>
        <w:jc w:val="center"/>
        <w:tblLayout w:type="fixed"/>
        <w:tblLook w:val="01E0" w:firstRow="1" w:lastRow="1" w:firstColumn="1" w:lastColumn="1" w:noHBand="0" w:noVBand="0"/>
      </w:tblPr>
      <w:tblGrid>
        <w:gridCol w:w="3510"/>
        <w:gridCol w:w="1036"/>
        <w:gridCol w:w="1134"/>
        <w:gridCol w:w="1106"/>
        <w:gridCol w:w="1134"/>
        <w:gridCol w:w="1050"/>
      </w:tblGrid>
      <w:tr w:rsidR="00D96653" w:rsidRPr="00D96653" w14:paraId="0E5CAE9D" w14:textId="77777777" w:rsidTr="00D96653">
        <w:trPr>
          <w:jc w:val="center"/>
        </w:trPr>
        <w:tc>
          <w:tcPr>
            <w:tcW w:w="8970" w:type="dxa"/>
            <w:gridSpan w:val="6"/>
            <w:tcBorders>
              <w:bottom w:val="single" w:sz="2" w:space="0" w:color="auto"/>
            </w:tcBorders>
            <w:vAlign w:val="center"/>
          </w:tcPr>
          <w:p w14:paraId="410A4C7F" w14:textId="77777777" w:rsidR="00D96653" w:rsidRPr="004D3FE5" w:rsidRDefault="00D96653" w:rsidP="00D96653">
            <w:pPr>
              <w:jc w:val="center"/>
              <w:rPr>
                <w:rFonts w:eastAsia="Times New Roman"/>
                <w:bCs/>
                <w:sz w:val="22"/>
                <w:szCs w:val="22"/>
                <w:lang w:val="es-ES"/>
              </w:rPr>
            </w:pPr>
            <w:r w:rsidRPr="004D3FE5">
              <w:rPr>
                <w:rFonts w:eastAsia="Times New Roman"/>
                <w:b/>
                <w:bCs/>
                <w:sz w:val="22"/>
                <w:szCs w:val="22"/>
                <w:lang w:val="es-ES"/>
              </w:rPr>
              <w:lastRenderedPageBreak/>
              <w:t>GRUPOS FINANCIEROS: IMOR</w:t>
            </w:r>
            <w:r w:rsidRPr="004D3FE5">
              <w:rPr>
                <w:rFonts w:eastAsia="Times New Roman"/>
                <w:b/>
                <w:bCs/>
                <w:sz w:val="22"/>
                <w:szCs w:val="22"/>
                <w:u w:val="single"/>
                <w:vertAlign w:val="superscript"/>
                <w:lang w:val="es-ES"/>
              </w:rPr>
              <w:t>*</w:t>
            </w:r>
            <w:r w:rsidRPr="004D3FE5">
              <w:rPr>
                <w:rFonts w:eastAsia="Times New Roman"/>
                <w:b/>
                <w:bCs/>
                <w:sz w:val="22"/>
                <w:szCs w:val="22"/>
                <w:vertAlign w:val="superscript"/>
                <w:lang w:val="es-ES"/>
              </w:rPr>
              <w:t>/</w:t>
            </w:r>
          </w:p>
          <w:p w14:paraId="0E4529AE" w14:textId="0E9F8147" w:rsidR="00D96653" w:rsidRPr="004D3FE5" w:rsidRDefault="00D96653" w:rsidP="004D3FE5">
            <w:pPr>
              <w:jc w:val="center"/>
              <w:rPr>
                <w:rFonts w:eastAsia="Times New Roman"/>
                <w:bCs/>
                <w:sz w:val="22"/>
                <w:szCs w:val="22"/>
                <w:lang w:val="es-ES"/>
              </w:rPr>
            </w:pPr>
            <w:r w:rsidRPr="004D3FE5">
              <w:rPr>
                <w:rFonts w:eastAsia="Times New Roman"/>
                <w:b/>
                <w:bCs/>
                <w:sz w:val="22"/>
                <w:szCs w:val="22"/>
                <w:lang w:val="es-ES"/>
              </w:rPr>
              <w:t>-En porcentaje-</w:t>
            </w:r>
          </w:p>
        </w:tc>
      </w:tr>
      <w:tr w:rsidR="00D96653" w:rsidRPr="00D96653" w14:paraId="2070584C" w14:textId="77777777" w:rsidTr="00D96653">
        <w:trPr>
          <w:jc w:val="center"/>
        </w:trPr>
        <w:tc>
          <w:tcPr>
            <w:tcW w:w="3510"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4A36B92" w14:textId="77777777" w:rsidR="00D96653" w:rsidRPr="004D3FE5" w:rsidRDefault="00D96653" w:rsidP="00D96653">
            <w:pPr>
              <w:spacing w:before="120" w:after="40"/>
              <w:jc w:val="center"/>
              <w:rPr>
                <w:rFonts w:eastAsia="Times New Roman"/>
                <w:bCs/>
                <w:sz w:val="18"/>
                <w:szCs w:val="18"/>
                <w:lang w:val="es-ES"/>
              </w:rPr>
            </w:pPr>
          </w:p>
        </w:tc>
        <w:tc>
          <w:tcPr>
            <w:tcW w:w="1036" w:type="dxa"/>
            <w:tcBorders>
              <w:top w:val="single" w:sz="2" w:space="0" w:color="auto"/>
              <w:left w:val="single" w:sz="2" w:space="0" w:color="auto"/>
              <w:bottom w:val="single" w:sz="2" w:space="0" w:color="auto"/>
              <w:right w:val="single" w:sz="2" w:space="0" w:color="auto"/>
            </w:tcBorders>
            <w:shd w:val="clear" w:color="auto" w:fill="auto"/>
            <w:vAlign w:val="center"/>
          </w:tcPr>
          <w:p w14:paraId="5C626BCC"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2013</w:t>
            </w:r>
          </w:p>
        </w:tc>
        <w:tc>
          <w:tcPr>
            <w:tcW w:w="2240"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6CE4DF2"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2014</w:t>
            </w:r>
          </w:p>
        </w:tc>
        <w:tc>
          <w:tcPr>
            <w:tcW w:w="218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39118C6" w14:textId="77777777" w:rsidR="00D96653" w:rsidRPr="004D3FE5" w:rsidRDefault="00D96653" w:rsidP="00D96653">
            <w:pPr>
              <w:jc w:val="center"/>
              <w:rPr>
                <w:rFonts w:eastAsia="Times New Roman"/>
                <w:bCs/>
                <w:sz w:val="18"/>
                <w:szCs w:val="18"/>
                <w:lang w:val="es-ES"/>
              </w:rPr>
            </w:pPr>
            <w:r w:rsidRPr="004D3FE5">
              <w:rPr>
                <w:rFonts w:eastAsia="Times New Roman"/>
                <w:b/>
                <w:bCs/>
                <w:sz w:val="18"/>
                <w:szCs w:val="18"/>
                <w:lang w:val="es-ES"/>
              </w:rPr>
              <w:t>Diferencias en PP</w:t>
            </w:r>
          </w:p>
        </w:tc>
      </w:tr>
      <w:tr w:rsidR="00D96653" w:rsidRPr="00D96653" w14:paraId="5C76E87F" w14:textId="77777777" w:rsidTr="00D96653">
        <w:trPr>
          <w:jc w:val="center"/>
        </w:trPr>
        <w:tc>
          <w:tcPr>
            <w:tcW w:w="3510" w:type="dxa"/>
            <w:vMerge/>
            <w:tcBorders>
              <w:top w:val="single" w:sz="2" w:space="0" w:color="auto"/>
              <w:left w:val="single" w:sz="2" w:space="0" w:color="auto"/>
              <w:bottom w:val="single" w:sz="2" w:space="0" w:color="auto"/>
              <w:right w:val="single" w:sz="2" w:space="0" w:color="auto"/>
            </w:tcBorders>
            <w:shd w:val="clear" w:color="auto" w:fill="auto"/>
            <w:vAlign w:val="center"/>
          </w:tcPr>
          <w:p w14:paraId="10F81289" w14:textId="77777777" w:rsidR="00D96653" w:rsidRPr="004D3FE5" w:rsidRDefault="00D96653" w:rsidP="00D96653">
            <w:pPr>
              <w:spacing w:before="120" w:after="40"/>
              <w:jc w:val="center"/>
              <w:rPr>
                <w:rFonts w:eastAsia="Times New Roman"/>
                <w:bCs/>
                <w:sz w:val="18"/>
                <w:szCs w:val="18"/>
                <w:lang w:val="es-ES"/>
              </w:rPr>
            </w:pPr>
          </w:p>
        </w:tc>
        <w:tc>
          <w:tcPr>
            <w:tcW w:w="1036" w:type="dxa"/>
            <w:tcBorders>
              <w:top w:val="single" w:sz="2" w:space="0" w:color="auto"/>
              <w:left w:val="single" w:sz="2" w:space="0" w:color="auto"/>
              <w:bottom w:val="single" w:sz="2" w:space="0" w:color="auto"/>
              <w:right w:val="single" w:sz="2" w:space="0" w:color="auto"/>
            </w:tcBorders>
            <w:shd w:val="clear" w:color="auto" w:fill="auto"/>
            <w:vAlign w:val="center"/>
          </w:tcPr>
          <w:p w14:paraId="17EBCAB8"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1134" w:type="dxa"/>
            <w:tcBorders>
              <w:top w:val="single" w:sz="2" w:space="0" w:color="auto"/>
              <w:left w:val="single" w:sz="2" w:space="0" w:color="auto"/>
              <w:bottom w:val="single" w:sz="2" w:space="0" w:color="auto"/>
              <w:right w:val="single" w:sz="2" w:space="0" w:color="auto"/>
            </w:tcBorders>
            <w:shd w:val="clear" w:color="auto" w:fill="auto"/>
            <w:vAlign w:val="center"/>
          </w:tcPr>
          <w:p w14:paraId="4BCCAA1E"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Septiembre</w:t>
            </w:r>
          </w:p>
        </w:tc>
        <w:tc>
          <w:tcPr>
            <w:tcW w:w="1106" w:type="dxa"/>
            <w:tcBorders>
              <w:top w:val="single" w:sz="2" w:space="0" w:color="auto"/>
              <w:left w:val="single" w:sz="2" w:space="0" w:color="auto"/>
              <w:bottom w:val="single" w:sz="2" w:space="0" w:color="auto"/>
              <w:right w:val="single" w:sz="2" w:space="0" w:color="auto"/>
            </w:tcBorders>
            <w:shd w:val="clear" w:color="auto" w:fill="auto"/>
            <w:vAlign w:val="center"/>
          </w:tcPr>
          <w:p w14:paraId="05A7205C"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Diciembre</w:t>
            </w:r>
          </w:p>
        </w:tc>
        <w:tc>
          <w:tcPr>
            <w:tcW w:w="1134" w:type="dxa"/>
            <w:tcBorders>
              <w:top w:val="single" w:sz="2" w:space="0" w:color="auto"/>
              <w:left w:val="single" w:sz="2" w:space="0" w:color="auto"/>
              <w:bottom w:val="single" w:sz="2" w:space="0" w:color="auto"/>
              <w:right w:val="single" w:sz="2" w:space="0" w:color="auto"/>
            </w:tcBorders>
            <w:shd w:val="clear" w:color="auto" w:fill="auto"/>
            <w:vAlign w:val="center"/>
          </w:tcPr>
          <w:p w14:paraId="77912CA1" w14:textId="77777777" w:rsidR="00D96653" w:rsidRPr="004D3FE5" w:rsidRDefault="00D96653" w:rsidP="00D96653">
            <w:pPr>
              <w:jc w:val="center"/>
              <w:rPr>
                <w:rFonts w:eastAsia="Times New Roman"/>
                <w:b/>
                <w:sz w:val="18"/>
                <w:szCs w:val="18"/>
                <w:lang w:val="es-ES"/>
              </w:rPr>
            </w:pPr>
            <w:r w:rsidRPr="004D3FE5">
              <w:rPr>
                <w:rFonts w:eastAsia="Times New Roman"/>
                <w:b/>
                <w:sz w:val="18"/>
                <w:szCs w:val="18"/>
                <w:lang w:val="es-ES"/>
              </w:rPr>
              <w:t>Anual</w:t>
            </w:r>
          </w:p>
        </w:tc>
        <w:tc>
          <w:tcPr>
            <w:tcW w:w="1050" w:type="dxa"/>
            <w:tcBorders>
              <w:top w:val="single" w:sz="2" w:space="0" w:color="auto"/>
              <w:left w:val="single" w:sz="2" w:space="0" w:color="auto"/>
              <w:bottom w:val="single" w:sz="2" w:space="0" w:color="auto"/>
              <w:right w:val="single" w:sz="2" w:space="0" w:color="auto"/>
            </w:tcBorders>
            <w:shd w:val="clear" w:color="auto" w:fill="auto"/>
            <w:vAlign w:val="center"/>
          </w:tcPr>
          <w:p w14:paraId="176A1A12" w14:textId="77777777" w:rsidR="00D96653" w:rsidRPr="004D3FE5" w:rsidRDefault="00D96653" w:rsidP="00D96653">
            <w:pPr>
              <w:jc w:val="center"/>
              <w:rPr>
                <w:rFonts w:eastAsia="Times New Roman"/>
                <w:b/>
                <w:bCs/>
                <w:sz w:val="18"/>
                <w:szCs w:val="18"/>
                <w:lang w:val="es-ES"/>
              </w:rPr>
            </w:pPr>
            <w:r w:rsidRPr="004D3FE5">
              <w:rPr>
                <w:rFonts w:eastAsia="Times New Roman"/>
                <w:b/>
                <w:bCs/>
                <w:sz w:val="18"/>
                <w:szCs w:val="18"/>
                <w:lang w:val="es-ES"/>
              </w:rPr>
              <w:t>Trimestral</w:t>
            </w:r>
          </w:p>
        </w:tc>
      </w:tr>
      <w:tr w:rsidR="00D96653" w:rsidRPr="00D96653" w14:paraId="43D1D3D2" w14:textId="77777777" w:rsidTr="004D3FE5">
        <w:trPr>
          <w:jc w:val="center"/>
        </w:trPr>
        <w:tc>
          <w:tcPr>
            <w:tcW w:w="3510" w:type="dxa"/>
            <w:tcBorders>
              <w:top w:val="single" w:sz="2" w:space="0" w:color="auto"/>
              <w:left w:val="single" w:sz="2" w:space="0" w:color="auto"/>
              <w:right w:val="single" w:sz="2" w:space="0" w:color="auto"/>
            </w:tcBorders>
            <w:shd w:val="clear" w:color="auto" w:fill="auto"/>
            <w:vAlign w:val="bottom"/>
          </w:tcPr>
          <w:p w14:paraId="58C246AC" w14:textId="77777777" w:rsidR="00D96653" w:rsidRPr="004D3FE5" w:rsidRDefault="00D96653" w:rsidP="00D96653">
            <w:pPr>
              <w:spacing w:before="120" w:after="40"/>
              <w:rPr>
                <w:rFonts w:eastAsia="Calibri"/>
                <w:b/>
                <w:bCs/>
                <w:sz w:val="18"/>
                <w:szCs w:val="18"/>
                <w:lang w:val="en-US" w:eastAsia="en-US"/>
              </w:rPr>
            </w:pPr>
            <w:r w:rsidRPr="004D3FE5">
              <w:rPr>
                <w:rFonts w:eastAsia="Calibri"/>
                <w:b/>
                <w:bCs/>
                <w:sz w:val="18"/>
                <w:szCs w:val="18"/>
                <w:lang w:val="en-US" w:eastAsia="en-US"/>
              </w:rPr>
              <w:t>Cartera de crédito total</w:t>
            </w:r>
          </w:p>
        </w:tc>
        <w:tc>
          <w:tcPr>
            <w:tcW w:w="1036" w:type="dxa"/>
            <w:tcBorders>
              <w:top w:val="single" w:sz="2" w:space="0" w:color="auto"/>
              <w:left w:val="single" w:sz="2" w:space="0" w:color="auto"/>
              <w:right w:val="single" w:sz="2" w:space="0" w:color="auto"/>
            </w:tcBorders>
            <w:shd w:val="clear" w:color="auto" w:fill="auto"/>
            <w:vAlign w:val="bottom"/>
          </w:tcPr>
          <w:p w14:paraId="301E1BF6" w14:textId="77777777" w:rsidR="00D96653" w:rsidRPr="004D3FE5" w:rsidRDefault="00D96653" w:rsidP="00D96653">
            <w:pPr>
              <w:spacing w:before="120" w:after="40"/>
              <w:ind w:right="170"/>
              <w:jc w:val="right"/>
              <w:rPr>
                <w:rFonts w:eastAsia="Calibri"/>
                <w:b/>
                <w:sz w:val="18"/>
                <w:szCs w:val="18"/>
                <w:lang w:val="en-US" w:eastAsia="en-US"/>
              </w:rPr>
            </w:pPr>
            <w:r w:rsidRPr="004D3FE5">
              <w:rPr>
                <w:rFonts w:eastAsia="Calibri"/>
                <w:b/>
                <w:sz w:val="18"/>
                <w:szCs w:val="18"/>
                <w:lang w:val="en-US" w:eastAsia="en-US"/>
              </w:rPr>
              <w:t>3.19</w:t>
            </w:r>
          </w:p>
        </w:tc>
        <w:tc>
          <w:tcPr>
            <w:tcW w:w="1134" w:type="dxa"/>
            <w:tcBorders>
              <w:top w:val="single" w:sz="2" w:space="0" w:color="auto"/>
              <w:left w:val="single" w:sz="2" w:space="0" w:color="auto"/>
              <w:right w:val="single" w:sz="2" w:space="0" w:color="auto"/>
            </w:tcBorders>
            <w:shd w:val="clear" w:color="auto" w:fill="auto"/>
            <w:vAlign w:val="bottom"/>
          </w:tcPr>
          <w:p w14:paraId="0E23804A" w14:textId="77777777" w:rsidR="00D96653" w:rsidRPr="004D3FE5" w:rsidRDefault="00D96653" w:rsidP="00D96653">
            <w:pPr>
              <w:spacing w:before="120" w:after="40"/>
              <w:ind w:right="227"/>
              <w:jc w:val="right"/>
              <w:rPr>
                <w:rFonts w:eastAsia="Calibri"/>
                <w:b/>
                <w:sz w:val="18"/>
                <w:szCs w:val="18"/>
                <w:lang w:val="en-US" w:eastAsia="en-US"/>
              </w:rPr>
            </w:pPr>
            <w:r w:rsidRPr="004D3FE5">
              <w:rPr>
                <w:rFonts w:eastAsia="Calibri"/>
                <w:b/>
                <w:sz w:val="18"/>
                <w:szCs w:val="18"/>
                <w:lang w:val="en-US" w:eastAsia="en-US"/>
              </w:rPr>
              <w:t>3.21</w:t>
            </w:r>
          </w:p>
        </w:tc>
        <w:tc>
          <w:tcPr>
            <w:tcW w:w="1106" w:type="dxa"/>
            <w:tcBorders>
              <w:top w:val="single" w:sz="2" w:space="0" w:color="auto"/>
              <w:left w:val="single" w:sz="2" w:space="0" w:color="auto"/>
              <w:right w:val="single" w:sz="2" w:space="0" w:color="auto"/>
            </w:tcBorders>
            <w:shd w:val="clear" w:color="auto" w:fill="auto"/>
            <w:vAlign w:val="bottom"/>
          </w:tcPr>
          <w:p w14:paraId="02FD5B26" w14:textId="77777777" w:rsidR="00D96653" w:rsidRPr="004D3FE5" w:rsidRDefault="00D96653" w:rsidP="00D96653">
            <w:pPr>
              <w:spacing w:before="120" w:after="40"/>
              <w:ind w:right="227"/>
              <w:jc w:val="right"/>
              <w:rPr>
                <w:rFonts w:eastAsia="Calibri"/>
                <w:b/>
                <w:sz w:val="18"/>
                <w:szCs w:val="18"/>
                <w:lang w:val="en-US" w:eastAsia="en-US"/>
              </w:rPr>
            </w:pPr>
            <w:r w:rsidRPr="004D3FE5">
              <w:rPr>
                <w:rFonts w:eastAsia="Calibri"/>
                <w:b/>
                <w:sz w:val="18"/>
                <w:szCs w:val="18"/>
                <w:lang w:val="en-US" w:eastAsia="en-US"/>
              </w:rPr>
              <w:t>2.96</w:t>
            </w:r>
          </w:p>
        </w:tc>
        <w:tc>
          <w:tcPr>
            <w:tcW w:w="1134" w:type="dxa"/>
            <w:tcBorders>
              <w:top w:val="single" w:sz="2" w:space="0" w:color="auto"/>
              <w:left w:val="single" w:sz="2" w:space="0" w:color="auto"/>
              <w:right w:val="single" w:sz="2" w:space="0" w:color="auto"/>
            </w:tcBorders>
            <w:shd w:val="clear" w:color="auto" w:fill="auto"/>
            <w:vAlign w:val="bottom"/>
          </w:tcPr>
          <w:p w14:paraId="4C9E6020" w14:textId="77777777" w:rsidR="00D96653" w:rsidRPr="004D3FE5" w:rsidRDefault="00D96653" w:rsidP="00D96653">
            <w:pPr>
              <w:spacing w:before="120" w:after="40"/>
              <w:ind w:right="170"/>
              <w:jc w:val="right"/>
              <w:rPr>
                <w:rFonts w:eastAsia="Calibri"/>
                <w:b/>
                <w:sz w:val="18"/>
                <w:szCs w:val="18"/>
                <w:lang w:val="en-US" w:eastAsia="en-US"/>
              </w:rPr>
            </w:pPr>
            <w:r w:rsidRPr="004D3FE5">
              <w:rPr>
                <w:rFonts w:eastAsia="Calibri"/>
                <w:b/>
                <w:sz w:val="18"/>
                <w:szCs w:val="18"/>
                <w:lang w:val="en-US" w:eastAsia="en-US"/>
              </w:rPr>
              <w:t>-0.22</w:t>
            </w:r>
          </w:p>
        </w:tc>
        <w:tc>
          <w:tcPr>
            <w:tcW w:w="1050" w:type="dxa"/>
            <w:tcBorders>
              <w:top w:val="single" w:sz="2" w:space="0" w:color="auto"/>
              <w:left w:val="single" w:sz="2" w:space="0" w:color="auto"/>
              <w:right w:val="single" w:sz="2" w:space="0" w:color="auto"/>
            </w:tcBorders>
            <w:shd w:val="clear" w:color="auto" w:fill="auto"/>
            <w:vAlign w:val="bottom"/>
          </w:tcPr>
          <w:p w14:paraId="72DA829E" w14:textId="77777777" w:rsidR="00D96653" w:rsidRPr="004D3FE5" w:rsidRDefault="00D96653" w:rsidP="00D96653">
            <w:pPr>
              <w:spacing w:before="120" w:after="40"/>
              <w:ind w:right="170"/>
              <w:jc w:val="right"/>
              <w:rPr>
                <w:rFonts w:eastAsia="Calibri"/>
                <w:bCs/>
                <w:sz w:val="18"/>
                <w:szCs w:val="18"/>
                <w:lang w:val="en-US" w:eastAsia="en-US"/>
              </w:rPr>
            </w:pPr>
            <w:r w:rsidRPr="004D3FE5">
              <w:rPr>
                <w:rFonts w:eastAsia="Calibri"/>
                <w:bCs/>
                <w:sz w:val="18"/>
                <w:szCs w:val="18"/>
                <w:lang w:val="en-US" w:eastAsia="en-US"/>
              </w:rPr>
              <w:t>-0.25</w:t>
            </w:r>
          </w:p>
        </w:tc>
      </w:tr>
      <w:tr w:rsidR="00D96653" w:rsidRPr="00D96653" w14:paraId="3A8B1F7F" w14:textId="77777777" w:rsidTr="004D3FE5">
        <w:trPr>
          <w:jc w:val="center"/>
        </w:trPr>
        <w:tc>
          <w:tcPr>
            <w:tcW w:w="3510" w:type="dxa"/>
            <w:tcBorders>
              <w:left w:val="single" w:sz="2" w:space="0" w:color="auto"/>
              <w:right w:val="single" w:sz="2" w:space="0" w:color="auto"/>
            </w:tcBorders>
            <w:shd w:val="clear" w:color="auto" w:fill="auto"/>
            <w:vAlign w:val="bottom"/>
          </w:tcPr>
          <w:p w14:paraId="63B7F2D5" w14:textId="77777777" w:rsidR="00D96653" w:rsidRPr="004D3FE5" w:rsidRDefault="00D96653" w:rsidP="00D96653">
            <w:pPr>
              <w:spacing w:before="40" w:after="40"/>
              <w:ind w:left="170"/>
              <w:rPr>
                <w:rFonts w:eastAsia="Calibri"/>
                <w:bCs/>
                <w:sz w:val="18"/>
                <w:szCs w:val="18"/>
                <w:lang w:val="en-US" w:eastAsia="en-US"/>
              </w:rPr>
            </w:pPr>
            <w:r w:rsidRPr="004D3FE5">
              <w:rPr>
                <w:rFonts w:eastAsia="Calibri"/>
                <w:bCs/>
                <w:sz w:val="18"/>
                <w:szCs w:val="18"/>
                <w:lang w:val="en-US" w:eastAsia="en-US"/>
              </w:rPr>
              <w:t>Créditos comerciales</w:t>
            </w:r>
          </w:p>
        </w:tc>
        <w:tc>
          <w:tcPr>
            <w:tcW w:w="1036" w:type="dxa"/>
            <w:tcBorders>
              <w:left w:val="single" w:sz="2" w:space="0" w:color="auto"/>
              <w:right w:val="single" w:sz="2" w:space="0" w:color="auto"/>
            </w:tcBorders>
            <w:shd w:val="clear" w:color="auto" w:fill="auto"/>
            <w:vAlign w:val="bottom"/>
          </w:tcPr>
          <w:p w14:paraId="22EBC387"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2.69</w:t>
            </w:r>
          </w:p>
        </w:tc>
        <w:tc>
          <w:tcPr>
            <w:tcW w:w="1134" w:type="dxa"/>
            <w:tcBorders>
              <w:left w:val="single" w:sz="2" w:space="0" w:color="auto"/>
              <w:right w:val="single" w:sz="2" w:space="0" w:color="auto"/>
            </w:tcBorders>
            <w:shd w:val="clear" w:color="auto" w:fill="auto"/>
            <w:vAlign w:val="bottom"/>
          </w:tcPr>
          <w:p w14:paraId="49B8C5F8"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2.67</w:t>
            </w:r>
          </w:p>
        </w:tc>
        <w:tc>
          <w:tcPr>
            <w:tcW w:w="1106" w:type="dxa"/>
            <w:tcBorders>
              <w:left w:val="single" w:sz="2" w:space="0" w:color="auto"/>
              <w:right w:val="single" w:sz="2" w:space="0" w:color="auto"/>
            </w:tcBorders>
            <w:shd w:val="clear" w:color="auto" w:fill="auto"/>
            <w:vAlign w:val="bottom"/>
          </w:tcPr>
          <w:p w14:paraId="508F9036"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2.33</w:t>
            </w:r>
          </w:p>
        </w:tc>
        <w:tc>
          <w:tcPr>
            <w:tcW w:w="1134" w:type="dxa"/>
            <w:tcBorders>
              <w:left w:val="single" w:sz="2" w:space="0" w:color="auto"/>
              <w:right w:val="single" w:sz="2" w:space="0" w:color="auto"/>
            </w:tcBorders>
            <w:shd w:val="clear" w:color="auto" w:fill="auto"/>
            <w:vAlign w:val="bottom"/>
          </w:tcPr>
          <w:p w14:paraId="2E9C4EA5"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-0.36</w:t>
            </w:r>
          </w:p>
        </w:tc>
        <w:tc>
          <w:tcPr>
            <w:tcW w:w="1050" w:type="dxa"/>
            <w:tcBorders>
              <w:left w:val="single" w:sz="2" w:space="0" w:color="auto"/>
              <w:right w:val="single" w:sz="2" w:space="0" w:color="auto"/>
            </w:tcBorders>
            <w:shd w:val="clear" w:color="auto" w:fill="auto"/>
            <w:vAlign w:val="bottom"/>
          </w:tcPr>
          <w:p w14:paraId="3D81E06A" w14:textId="77777777" w:rsidR="00D96653" w:rsidRPr="004D3FE5" w:rsidRDefault="00D96653" w:rsidP="00D96653">
            <w:pPr>
              <w:spacing w:before="40" w:after="40"/>
              <w:ind w:right="170"/>
              <w:jc w:val="right"/>
              <w:rPr>
                <w:rFonts w:eastAsia="Calibri"/>
                <w:bCs/>
                <w:sz w:val="18"/>
                <w:szCs w:val="18"/>
                <w:lang w:val="en-US" w:eastAsia="en-US"/>
              </w:rPr>
            </w:pPr>
            <w:r w:rsidRPr="004D3FE5">
              <w:rPr>
                <w:rFonts w:eastAsia="Calibri"/>
                <w:bCs/>
                <w:sz w:val="18"/>
                <w:szCs w:val="18"/>
                <w:lang w:val="en-US" w:eastAsia="en-US"/>
              </w:rPr>
              <w:t>-0.34</w:t>
            </w:r>
          </w:p>
        </w:tc>
      </w:tr>
      <w:tr w:rsidR="00D96653" w:rsidRPr="00D96653" w14:paraId="59C3F6F5" w14:textId="77777777" w:rsidTr="004D3FE5">
        <w:trPr>
          <w:jc w:val="center"/>
        </w:trPr>
        <w:tc>
          <w:tcPr>
            <w:tcW w:w="3510" w:type="dxa"/>
            <w:tcBorders>
              <w:left w:val="single" w:sz="2" w:space="0" w:color="auto"/>
              <w:right w:val="single" w:sz="2" w:space="0" w:color="auto"/>
            </w:tcBorders>
            <w:shd w:val="clear" w:color="auto" w:fill="auto"/>
            <w:vAlign w:val="bottom"/>
          </w:tcPr>
          <w:p w14:paraId="06440E93" w14:textId="77777777" w:rsidR="00D96653" w:rsidRPr="004D3FE5" w:rsidRDefault="00D96653" w:rsidP="00D96653">
            <w:pPr>
              <w:spacing w:before="40" w:after="40"/>
              <w:ind w:left="284"/>
              <w:rPr>
                <w:rFonts w:eastAsia="Calibri"/>
                <w:bCs/>
                <w:sz w:val="18"/>
                <w:szCs w:val="18"/>
                <w:lang w:val="en-US" w:eastAsia="en-US"/>
              </w:rPr>
            </w:pPr>
            <w:r w:rsidRPr="004D3FE5">
              <w:rPr>
                <w:rFonts w:eastAsia="Calibri"/>
                <w:bCs/>
                <w:sz w:val="18"/>
                <w:szCs w:val="18"/>
                <w:lang w:val="en-US" w:eastAsia="en-US"/>
              </w:rPr>
              <w:t>Empresas</w:t>
            </w:r>
          </w:p>
        </w:tc>
        <w:tc>
          <w:tcPr>
            <w:tcW w:w="1036" w:type="dxa"/>
            <w:tcBorders>
              <w:left w:val="single" w:sz="2" w:space="0" w:color="auto"/>
              <w:right w:val="single" w:sz="2" w:space="0" w:color="auto"/>
            </w:tcBorders>
            <w:shd w:val="clear" w:color="auto" w:fill="auto"/>
            <w:vAlign w:val="bottom"/>
          </w:tcPr>
          <w:p w14:paraId="7BEFE328"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3.65</w:t>
            </w:r>
          </w:p>
        </w:tc>
        <w:tc>
          <w:tcPr>
            <w:tcW w:w="1134" w:type="dxa"/>
            <w:tcBorders>
              <w:left w:val="single" w:sz="2" w:space="0" w:color="auto"/>
              <w:right w:val="single" w:sz="2" w:space="0" w:color="auto"/>
            </w:tcBorders>
            <w:shd w:val="clear" w:color="auto" w:fill="auto"/>
            <w:vAlign w:val="bottom"/>
          </w:tcPr>
          <w:p w14:paraId="3CEA79DB"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3.65</w:t>
            </w:r>
          </w:p>
        </w:tc>
        <w:tc>
          <w:tcPr>
            <w:tcW w:w="1106" w:type="dxa"/>
            <w:tcBorders>
              <w:left w:val="single" w:sz="2" w:space="0" w:color="auto"/>
              <w:right w:val="single" w:sz="2" w:space="0" w:color="auto"/>
            </w:tcBorders>
            <w:shd w:val="clear" w:color="auto" w:fill="auto"/>
            <w:vAlign w:val="bottom"/>
          </w:tcPr>
          <w:p w14:paraId="0A519802"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3.28</w:t>
            </w:r>
          </w:p>
        </w:tc>
        <w:tc>
          <w:tcPr>
            <w:tcW w:w="1134" w:type="dxa"/>
            <w:tcBorders>
              <w:left w:val="single" w:sz="2" w:space="0" w:color="auto"/>
              <w:right w:val="single" w:sz="2" w:space="0" w:color="auto"/>
            </w:tcBorders>
            <w:shd w:val="clear" w:color="auto" w:fill="auto"/>
            <w:vAlign w:val="bottom"/>
          </w:tcPr>
          <w:p w14:paraId="77414935"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-0.37</w:t>
            </w:r>
          </w:p>
        </w:tc>
        <w:tc>
          <w:tcPr>
            <w:tcW w:w="1050" w:type="dxa"/>
            <w:tcBorders>
              <w:left w:val="single" w:sz="2" w:space="0" w:color="auto"/>
              <w:right w:val="single" w:sz="2" w:space="0" w:color="auto"/>
            </w:tcBorders>
            <w:shd w:val="clear" w:color="auto" w:fill="auto"/>
            <w:vAlign w:val="bottom"/>
          </w:tcPr>
          <w:p w14:paraId="1EA27735" w14:textId="77777777" w:rsidR="00D96653" w:rsidRPr="004D3FE5" w:rsidRDefault="00D96653" w:rsidP="00D96653">
            <w:pPr>
              <w:spacing w:before="40" w:after="40"/>
              <w:ind w:right="170"/>
              <w:jc w:val="right"/>
              <w:rPr>
                <w:rFonts w:eastAsia="Calibri"/>
                <w:bCs/>
                <w:sz w:val="18"/>
                <w:szCs w:val="18"/>
                <w:lang w:val="en-US" w:eastAsia="en-US"/>
              </w:rPr>
            </w:pPr>
            <w:r w:rsidRPr="004D3FE5">
              <w:rPr>
                <w:rFonts w:eastAsia="Calibri"/>
                <w:bCs/>
                <w:sz w:val="18"/>
                <w:szCs w:val="18"/>
                <w:lang w:val="en-US" w:eastAsia="en-US"/>
              </w:rPr>
              <w:t>-0.37</w:t>
            </w:r>
          </w:p>
        </w:tc>
      </w:tr>
      <w:tr w:rsidR="00D96653" w:rsidRPr="00D96653" w14:paraId="5E87A2E8" w14:textId="77777777" w:rsidTr="004D3FE5">
        <w:trPr>
          <w:jc w:val="center"/>
        </w:trPr>
        <w:tc>
          <w:tcPr>
            <w:tcW w:w="3510" w:type="dxa"/>
            <w:tcBorders>
              <w:left w:val="single" w:sz="2" w:space="0" w:color="auto"/>
              <w:right w:val="single" w:sz="2" w:space="0" w:color="auto"/>
            </w:tcBorders>
            <w:shd w:val="clear" w:color="auto" w:fill="auto"/>
            <w:vAlign w:val="bottom"/>
          </w:tcPr>
          <w:p w14:paraId="4DE5F284" w14:textId="77777777" w:rsidR="00D96653" w:rsidRPr="004D3FE5" w:rsidRDefault="00D96653" w:rsidP="00D96653">
            <w:pPr>
              <w:spacing w:before="40" w:after="40"/>
              <w:ind w:left="284"/>
              <w:rPr>
                <w:rFonts w:eastAsia="Calibri"/>
                <w:bCs/>
                <w:sz w:val="18"/>
                <w:szCs w:val="18"/>
                <w:lang w:val="en-US" w:eastAsia="en-US"/>
              </w:rPr>
            </w:pPr>
            <w:r w:rsidRPr="004D3FE5">
              <w:rPr>
                <w:rFonts w:eastAsia="Calibri"/>
                <w:bCs/>
                <w:sz w:val="18"/>
                <w:szCs w:val="18"/>
                <w:lang w:val="en-US" w:eastAsia="en-US"/>
              </w:rPr>
              <w:t>Entidades financieras</w:t>
            </w:r>
          </w:p>
        </w:tc>
        <w:tc>
          <w:tcPr>
            <w:tcW w:w="1036" w:type="dxa"/>
            <w:tcBorders>
              <w:left w:val="single" w:sz="2" w:space="0" w:color="auto"/>
              <w:right w:val="single" w:sz="2" w:space="0" w:color="auto"/>
            </w:tcBorders>
            <w:shd w:val="clear" w:color="auto" w:fill="auto"/>
            <w:vAlign w:val="bottom"/>
          </w:tcPr>
          <w:p w14:paraId="09957FCF"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0.06</w:t>
            </w:r>
          </w:p>
        </w:tc>
        <w:tc>
          <w:tcPr>
            <w:tcW w:w="1134" w:type="dxa"/>
            <w:tcBorders>
              <w:left w:val="single" w:sz="2" w:space="0" w:color="auto"/>
              <w:right w:val="single" w:sz="2" w:space="0" w:color="auto"/>
            </w:tcBorders>
            <w:shd w:val="clear" w:color="auto" w:fill="auto"/>
            <w:vAlign w:val="bottom"/>
          </w:tcPr>
          <w:p w14:paraId="4754D11C"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0.20</w:t>
            </w:r>
          </w:p>
        </w:tc>
        <w:tc>
          <w:tcPr>
            <w:tcW w:w="1106" w:type="dxa"/>
            <w:tcBorders>
              <w:left w:val="single" w:sz="2" w:space="0" w:color="auto"/>
              <w:right w:val="single" w:sz="2" w:space="0" w:color="auto"/>
            </w:tcBorders>
            <w:shd w:val="clear" w:color="auto" w:fill="auto"/>
            <w:vAlign w:val="bottom"/>
          </w:tcPr>
          <w:p w14:paraId="1BE6FFC2"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0.18</w:t>
            </w:r>
          </w:p>
        </w:tc>
        <w:tc>
          <w:tcPr>
            <w:tcW w:w="1134" w:type="dxa"/>
            <w:tcBorders>
              <w:left w:val="single" w:sz="2" w:space="0" w:color="auto"/>
              <w:right w:val="single" w:sz="2" w:space="0" w:color="auto"/>
            </w:tcBorders>
            <w:shd w:val="clear" w:color="auto" w:fill="auto"/>
            <w:vAlign w:val="bottom"/>
          </w:tcPr>
          <w:p w14:paraId="07EE6E20"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0.11</w:t>
            </w:r>
          </w:p>
        </w:tc>
        <w:tc>
          <w:tcPr>
            <w:tcW w:w="1050" w:type="dxa"/>
            <w:tcBorders>
              <w:left w:val="single" w:sz="2" w:space="0" w:color="auto"/>
              <w:right w:val="single" w:sz="2" w:space="0" w:color="auto"/>
            </w:tcBorders>
            <w:shd w:val="clear" w:color="auto" w:fill="auto"/>
            <w:vAlign w:val="bottom"/>
          </w:tcPr>
          <w:p w14:paraId="61038163" w14:textId="77777777" w:rsidR="00D96653" w:rsidRPr="004D3FE5" w:rsidRDefault="00D96653" w:rsidP="00D96653">
            <w:pPr>
              <w:spacing w:before="40" w:after="40"/>
              <w:ind w:right="170"/>
              <w:jc w:val="right"/>
              <w:rPr>
                <w:rFonts w:eastAsia="Calibri"/>
                <w:bCs/>
                <w:sz w:val="18"/>
                <w:szCs w:val="18"/>
                <w:lang w:val="en-US" w:eastAsia="en-US"/>
              </w:rPr>
            </w:pPr>
            <w:r w:rsidRPr="004D3FE5">
              <w:rPr>
                <w:rFonts w:eastAsia="Calibri"/>
                <w:bCs/>
                <w:sz w:val="18"/>
                <w:szCs w:val="18"/>
                <w:lang w:val="en-US" w:eastAsia="en-US"/>
              </w:rPr>
              <w:t>-0.02</w:t>
            </w:r>
          </w:p>
        </w:tc>
      </w:tr>
      <w:tr w:rsidR="00D96653" w:rsidRPr="00D96653" w14:paraId="5392909E" w14:textId="77777777" w:rsidTr="004D3FE5">
        <w:trPr>
          <w:jc w:val="center"/>
        </w:trPr>
        <w:tc>
          <w:tcPr>
            <w:tcW w:w="3510" w:type="dxa"/>
            <w:tcBorders>
              <w:left w:val="single" w:sz="2" w:space="0" w:color="auto"/>
              <w:right w:val="single" w:sz="2" w:space="0" w:color="auto"/>
            </w:tcBorders>
            <w:shd w:val="clear" w:color="auto" w:fill="auto"/>
            <w:vAlign w:val="bottom"/>
          </w:tcPr>
          <w:p w14:paraId="1481865C" w14:textId="77777777" w:rsidR="00D96653" w:rsidRPr="004D3FE5" w:rsidRDefault="00D96653" w:rsidP="00D96653">
            <w:pPr>
              <w:spacing w:before="40" w:after="40"/>
              <w:ind w:left="284"/>
              <w:rPr>
                <w:rFonts w:eastAsia="Calibri"/>
                <w:bCs/>
                <w:sz w:val="18"/>
                <w:szCs w:val="18"/>
                <w:lang w:val="en-US" w:eastAsia="en-US"/>
              </w:rPr>
            </w:pPr>
            <w:r w:rsidRPr="004D3FE5">
              <w:rPr>
                <w:rFonts w:eastAsia="Calibri"/>
                <w:bCs/>
                <w:sz w:val="18"/>
                <w:szCs w:val="18"/>
                <w:lang w:val="en-US" w:eastAsia="en-US"/>
              </w:rPr>
              <w:t>Entidades gubernamentales</w:t>
            </w:r>
          </w:p>
        </w:tc>
        <w:tc>
          <w:tcPr>
            <w:tcW w:w="1036" w:type="dxa"/>
            <w:tcBorders>
              <w:left w:val="single" w:sz="2" w:space="0" w:color="auto"/>
              <w:right w:val="single" w:sz="2" w:space="0" w:color="auto"/>
            </w:tcBorders>
            <w:shd w:val="clear" w:color="auto" w:fill="auto"/>
            <w:vAlign w:val="bottom"/>
          </w:tcPr>
          <w:p w14:paraId="480C365D"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0.04</w:t>
            </w:r>
          </w:p>
        </w:tc>
        <w:tc>
          <w:tcPr>
            <w:tcW w:w="1134" w:type="dxa"/>
            <w:tcBorders>
              <w:left w:val="single" w:sz="2" w:space="0" w:color="auto"/>
              <w:right w:val="single" w:sz="2" w:space="0" w:color="auto"/>
            </w:tcBorders>
            <w:shd w:val="clear" w:color="auto" w:fill="auto"/>
            <w:vAlign w:val="bottom"/>
          </w:tcPr>
          <w:p w14:paraId="178E5771"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0.02</w:t>
            </w:r>
          </w:p>
        </w:tc>
        <w:tc>
          <w:tcPr>
            <w:tcW w:w="1106" w:type="dxa"/>
            <w:tcBorders>
              <w:left w:val="single" w:sz="2" w:space="0" w:color="auto"/>
              <w:right w:val="single" w:sz="2" w:space="0" w:color="auto"/>
            </w:tcBorders>
            <w:shd w:val="clear" w:color="auto" w:fill="auto"/>
            <w:vAlign w:val="bottom"/>
          </w:tcPr>
          <w:p w14:paraId="4ABD52BB" w14:textId="77777777" w:rsidR="00D96653" w:rsidRPr="004D3FE5" w:rsidRDefault="00D96653" w:rsidP="00D96653">
            <w:pPr>
              <w:spacing w:before="40" w:after="40"/>
              <w:ind w:right="227"/>
              <w:jc w:val="right"/>
              <w:rPr>
                <w:rFonts w:eastAsia="Calibri"/>
                <w:sz w:val="18"/>
                <w:szCs w:val="18"/>
                <w:lang w:val="en-US" w:eastAsia="en-US"/>
              </w:rPr>
            </w:pPr>
            <w:r w:rsidRPr="004D3FE5">
              <w:rPr>
                <w:rFonts w:eastAsia="Calibri"/>
                <w:sz w:val="18"/>
                <w:szCs w:val="18"/>
                <w:lang w:val="en-US" w:eastAsia="en-US"/>
              </w:rPr>
              <w:t>0.02</w:t>
            </w:r>
          </w:p>
        </w:tc>
        <w:tc>
          <w:tcPr>
            <w:tcW w:w="1134" w:type="dxa"/>
            <w:tcBorders>
              <w:left w:val="single" w:sz="2" w:space="0" w:color="auto"/>
              <w:right w:val="single" w:sz="2" w:space="0" w:color="auto"/>
            </w:tcBorders>
            <w:shd w:val="clear" w:color="auto" w:fill="auto"/>
            <w:vAlign w:val="bottom"/>
          </w:tcPr>
          <w:p w14:paraId="5C1BB11D" w14:textId="77777777" w:rsidR="00D96653" w:rsidRPr="004D3FE5" w:rsidRDefault="00D96653" w:rsidP="00D96653">
            <w:pPr>
              <w:spacing w:before="40" w:after="40"/>
              <w:ind w:right="170"/>
              <w:jc w:val="right"/>
              <w:rPr>
                <w:rFonts w:eastAsia="Calibri"/>
                <w:sz w:val="18"/>
                <w:szCs w:val="18"/>
                <w:lang w:val="en-US" w:eastAsia="en-US"/>
              </w:rPr>
            </w:pPr>
            <w:r w:rsidRPr="004D3FE5">
              <w:rPr>
                <w:rFonts w:eastAsia="Calibri"/>
                <w:sz w:val="18"/>
                <w:szCs w:val="18"/>
                <w:lang w:val="en-US" w:eastAsia="en-US"/>
              </w:rPr>
              <w:t>-0.02</w:t>
            </w:r>
          </w:p>
        </w:tc>
        <w:tc>
          <w:tcPr>
            <w:tcW w:w="1050" w:type="dxa"/>
            <w:tcBorders>
              <w:left w:val="single" w:sz="2" w:space="0" w:color="auto"/>
              <w:right w:val="single" w:sz="2" w:space="0" w:color="auto"/>
            </w:tcBorders>
            <w:shd w:val="clear" w:color="auto" w:fill="auto"/>
            <w:vAlign w:val="bottom"/>
          </w:tcPr>
          <w:p w14:paraId="2D6695EE" w14:textId="77777777" w:rsidR="00D96653" w:rsidRPr="004D3FE5" w:rsidRDefault="00D96653" w:rsidP="00D96653">
            <w:pPr>
              <w:spacing w:before="40" w:after="40"/>
              <w:ind w:right="170"/>
              <w:jc w:val="right"/>
              <w:rPr>
                <w:rFonts w:eastAsia="Calibri"/>
                <w:bCs/>
                <w:sz w:val="18"/>
                <w:szCs w:val="18"/>
                <w:lang w:val="en-US" w:eastAsia="en-US"/>
              </w:rPr>
            </w:pPr>
            <w:r w:rsidRPr="004D3FE5">
              <w:rPr>
                <w:rFonts w:eastAsia="Calibri"/>
                <w:bCs/>
                <w:sz w:val="18"/>
                <w:szCs w:val="18"/>
                <w:lang w:val="en-US" w:eastAsia="en-US"/>
              </w:rPr>
              <w:t>0.00</w:t>
            </w:r>
          </w:p>
        </w:tc>
      </w:tr>
      <w:tr w:rsidR="00D96653" w:rsidRPr="00D96653" w14:paraId="049410F3" w14:textId="77777777" w:rsidTr="004D3FE5">
        <w:trPr>
          <w:jc w:val="center"/>
        </w:trPr>
        <w:tc>
          <w:tcPr>
            <w:tcW w:w="3510" w:type="dxa"/>
            <w:tcBorders>
              <w:left w:val="single" w:sz="2" w:space="0" w:color="auto"/>
              <w:right w:val="single" w:sz="2" w:space="0" w:color="auto"/>
            </w:tcBorders>
            <w:shd w:val="clear" w:color="auto" w:fill="auto"/>
            <w:vAlign w:val="bottom"/>
          </w:tcPr>
          <w:p w14:paraId="38C2F057" w14:textId="77777777" w:rsidR="00D96653" w:rsidRPr="004D3FE5" w:rsidRDefault="00D96653" w:rsidP="00D96653">
            <w:pPr>
              <w:spacing w:before="40" w:after="40"/>
              <w:rPr>
                <w:rFonts w:eastAsia="Calibri"/>
                <w:bCs/>
                <w:sz w:val="18"/>
                <w:szCs w:val="18"/>
                <w:lang w:eastAsia="en-US"/>
              </w:rPr>
            </w:pPr>
            <w:r w:rsidRPr="004D3FE5">
              <w:rPr>
                <w:rFonts w:eastAsia="Calibri"/>
                <w:bCs/>
                <w:sz w:val="18"/>
                <w:szCs w:val="18"/>
                <w:lang w:eastAsia="en-US"/>
              </w:rPr>
              <w:t>Consumo</w:t>
            </w:r>
          </w:p>
        </w:tc>
        <w:tc>
          <w:tcPr>
            <w:tcW w:w="1036" w:type="dxa"/>
            <w:tcBorders>
              <w:left w:val="single" w:sz="2" w:space="0" w:color="auto"/>
              <w:right w:val="single" w:sz="2" w:space="0" w:color="auto"/>
            </w:tcBorders>
            <w:shd w:val="clear" w:color="auto" w:fill="auto"/>
            <w:vAlign w:val="bottom"/>
          </w:tcPr>
          <w:p w14:paraId="298B0582" w14:textId="77777777" w:rsidR="00D96653" w:rsidRPr="004D3FE5" w:rsidRDefault="00D96653" w:rsidP="00D96653">
            <w:pPr>
              <w:spacing w:before="40" w:after="40"/>
              <w:ind w:right="170"/>
              <w:jc w:val="right"/>
              <w:rPr>
                <w:rFonts w:eastAsia="Calibri"/>
                <w:sz w:val="18"/>
                <w:szCs w:val="18"/>
                <w:lang w:eastAsia="en-US"/>
              </w:rPr>
            </w:pPr>
            <w:r w:rsidRPr="004D3FE5">
              <w:rPr>
                <w:rFonts w:eastAsia="Calibri"/>
                <w:sz w:val="18"/>
                <w:szCs w:val="18"/>
                <w:lang w:eastAsia="en-US"/>
              </w:rPr>
              <w:t>4.10</w:t>
            </w:r>
          </w:p>
        </w:tc>
        <w:tc>
          <w:tcPr>
            <w:tcW w:w="1134" w:type="dxa"/>
            <w:tcBorders>
              <w:left w:val="single" w:sz="2" w:space="0" w:color="auto"/>
              <w:right w:val="single" w:sz="2" w:space="0" w:color="auto"/>
            </w:tcBorders>
            <w:shd w:val="clear" w:color="auto" w:fill="auto"/>
            <w:vAlign w:val="bottom"/>
          </w:tcPr>
          <w:p w14:paraId="555F2624"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4.26</w:t>
            </w:r>
          </w:p>
        </w:tc>
        <w:tc>
          <w:tcPr>
            <w:tcW w:w="1106" w:type="dxa"/>
            <w:tcBorders>
              <w:left w:val="single" w:sz="2" w:space="0" w:color="auto"/>
              <w:right w:val="single" w:sz="2" w:space="0" w:color="auto"/>
            </w:tcBorders>
            <w:shd w:val="clear" w:color="auto" w:fill="auto"/>
            <w:vAlign w:val="bottom"/>
          </w:tcPr>
          <w:p w14:paraId="3E470BB8" w14:textId="77777777" w:rsidR="00D96653" w:rsidRPr="004D3FE5" w:rsidRDefault="00D96653" w:rsidP="00D96653">
            <w:pPr>
              <w:spacing w:before="40" w:after="40"/>
              <w:ind w:right="227"/>
              <w:jc w:val="right"/>
              <w:rPr>
                <w:rFonts w:eastAsia="Calibri"/>
                <w:sz w:val="18"/>
                <w:szCs w:val="18"/>
                <w:lang w:eastAsia="en-US"/>
              </w:rPr>
            </w:pPr>
            <w:r w:rsidRPr="004D3FE5">
              <w:rPr>
                <w:rFonts w:eastAsia="Calibri"/>
                <w:sz w:val="18"/>
                <w:szCs w:val="18"/>
                <w:lang w:eastAsia="en-US"/>
              </w:rPr>
              <w:t>4.22</w:t>
            </w:r>
          </w:p>
        </w:tc>
        <w:tc>
          <w:tcPr>
            <w:tcW w:w="1134" w:type="dxa"/>
            <w:tcBorders>
              <w:left w:val="single" w:sz="2" w:space="0" w:color="auto"/>
              <w:right w:val="single" w:sz="2" w:space="0" w:color="auto"/>
            </w:tcBorders>
            <w:shd w:val="clear" w:color="auto" w:fill="auto"/>
            <w:vAlign w:val="bottom"/>
          </w:tcPr>
          <w:p w14:paraId="4699671D" w14:textId="77777777" w:rsidR="00D96653" w:rsidRPr="004D3FE5" w:rsidRDefault="00D96653" w:rsidP="00D96653">
            <w:pPr>
              <w:spacing w:before="40" w:after="40"/>
              <w:ind w:right="170"/>
              <w:jc w:val="right"/>
              <w:rPr>
                <w:rFonts w:eastAsia="Calibri"/>
                <w:sz w:val="18"/>
                <w:szCs w:val="18"/>
                <w:lang w:eastAsia="en-US"/>
              </w:rPr>
            </w:pPr>
            <w:r w:rsidRPr="004D3FE5">
              <w:rPr>
                <w:rFonts w:eastAsia="Calibri"/>
                <w:sz w:val="18"/>
                <w:szCs w:val="18"/>
                <w:lang w:eastAsia="en-US"/>
              </w:rPr>
              <w:t>0.12</w:t>
            </w:r>
          </w:p>
        </w:tc>
        <w:tc>
          <w:tcPr>
            <w:tcW w:w="1050" w:type="dxa"/>
            <w:tcBorders>
              <w:left w:val="single" w:sz="2" w:space="0" w:color="auto"/>
              <w:right w:val="single" w:sz="2" w:space="0" w:color="auto"/>
            </w:tcBorders>
            <w:shd w:val="clear" w:color="auto" w:fill="auto"/>
            <w:vAlign w:val="bottom"/>
          </w:tcPr>
          <w:p w14:paraId="06159224" w14:textId="77777777" w:rsidR="00D96653" w:rsidRPr="004D3FE5" w:rsidRDefault="00D96653" w:rsidP="00D96653">
            <w:pPr>
              <w:spacing w:before="40" w:after="40"/>
              <w:ind w:right="170"/>
              <w:jc w:val="right"/>
              <w:rPr>
                <w:rFonts w:eastAsia="Calibri"/>
                <w:bCs/>
                <w:sz w:val="18"/>
                <w:szCs w:val="18"/>
                <w:lang w:eastAsia="en-US"/>
              </w:rPr>
            </w:pPr>
            <w:r w:rsidRPr="004D3FE5">
              <w:rPr>
                <w:rFonts w:eastAsia="Calibri"/>
                <w:bCs/>
                <w:sz w:val="18"/>
                <w:szCs w:val="18"/>
                <w:lang w:eastAsia="en-US"/>
              </w:rPr>
              <w:t>-0.05</w:t>
            </w:r>
          </w:p>
        </w:tc>
      </w:tr>
      <w:tr w:rsidR="00D96653" w:rsidRPr="00D96653" w14:paraId="0E5D1847" w14:textId="77777777" w:rsidTr="004D3FE5">
        <w:trPr>
          <w:jc w:val="center"/>
        </w:trPr>
        <w:tc>
          <w:tcPr>
            <w:tcW w:w="3510" w:type="dxa"/>
            <w:tcBorders>
              <w:left w:val="single" w:sz="2" w:space="0" w:color="auto"/>
              <w:bottom w:val="single" w:sz="2" w:space="0" w:color="auto"/>
              <w:right w:val="single" w:sz="2" w:space="0" w:color="auto"/>
            </w:tcBorders>
            <w:shd w:val="clear" w:color="auto" w:fill="auto"/>
            <w:vAlign w:val="bottom"/>
          </w:tcPr>
          <w:p w14:paraId="3F5AF1A6" w14:textId="77777777" w:rsidR="00D96653" w:rsidRPr="004D3FE5" w:rsidRDefault="00D96653" w:rsidP="00D96653">
            <w:pPr>
              <w:spacing w:before="40" w:after="120"/>
              <w:rPr>
                <w:rFonts w:eastAsia="Calibri"/>
                <w:bCs/>
                <w:sz w:val="18"/>
                <w:szCs w:val="18"/>
                <w:lang w:eastAsia="en-US"/>
              </w:rPr>
            </w:pPr>
            <w:r w:rsidRPr="004D3FE5">
              <w:rPr>
                <w:rFonts w:eastAsia="Calibri"/>
                <w:bCs/>
                <w:sz w:val="18"/>
                <w:szCs w:val="18"/>
                <w:lang w:eastAsia="en-US"/>
              </w:rPr>
              <w:t>Vivienda</w:t>
            </w:r>
          </w:p>
        </w:tc>
        <w:tc>
          <w:tcPr>
            <w:tcW w:w="1036" w:type="dxa"/>
            <w:tcBorders>
              <w:left w:val="single" w:sz="2" w:space="0" w:color="auto"/>
              <w:bottom w:val="single" w:sz="2" w:space="0" w:color="auto"/>
              <w:right w:val="single" w:sz="2" w:space="0" w:color="auto"/>
            </w:tcBorders>
            <w:shd w:val="clear" w:color="auto" w:fill="auto"/>
            <w:vAlign w:val="bottom"/>
          </w:tcPr>
          <w:p w14:paraId="1EF55010" w14:textId="77777777" w:rsidR="00D96653" w:rsidRPr="004D3FE5" w:rsidRDefault="00D96653" w:rsidP="00D96653">
            <w:pPr>
              <w:spacing w:before="40" w:after="120"/>
              <w:ind w:right="170"/>
              <w:jc w:val="right"/>
              <w:rPr>
                <w:rFonts w:eastAsia="Calibri"/>
                <w:sz w:val="18"/>
                <w:szCs w:val="18"/>
                <w:lang w:eastAsia="en-US"/>
              </w:rPr>
            </w:pPr>
            <w:r w:rsidRPr="004D3FE5">
              <w:rPr>
                <w:rFonts w:eastAsia="Calibri"/>
                <w:sz w:val="18"/>
                <w:szCs w:val="18"/>
                <w:lang w:eastAsia="en-US"/>
              </w:rPr>
              <w:t>3.84</w:t>
            </w:r>
          </w:p>
        </w:tc>
        <w:tc>
          <w:tcPr>
            <w:tcW w:w="1134" w:type="dxa"/>
            <w:tcBorders>
              <w:left w:val="single" w:sz="2" w:space="0" w:color="auto"/>
              <w:bottom w:val="single" w:sz="2" w:space="0" w:color="auto"/>
              <w:right w:val="single" w:sz="2" w:space="0" w:color="auto"/>
            </w:tcBorders>
            <w:shd w:val="clear" w:color="auto" w:fill="auto"/>
            <w:vAlign w:val="bottom"/>
          </w:tcPr>
          <w:p w14:paraId="440D38B9" w14:textId="77777777" w:rsidR="00D96653" w:rsidRPr="004D3FE5" w:rsidRDefault="00D96653" w:rsidP="00D96653">
            <w:pPr>
              <w:spacing w:before="40" w:after="120"/>
              <w:ind w:right="227"/>
              <w:jc w:val="right"/>
              <w:rPr>
                <w:rFonts w:eastAsia="Calibri"/>
                <w:sz w:val="18"/>
                <w:szCs w:val="18"/>
                <w:lang w:eastAsia="en-US"/>
              </w:rPr>
            </w:pPr>
            <w:r w:rsidRPr="004D3FE5">
              <w:rPr>
                <w:rFonts w:eastAsia="Calibri"/>
                <w:sz w:val="18"/>
                <w:szCs w:val="18"/>
                <w:lang w:eastAsia="en-US"/>
              </w:rPr>
              <w:t>3.83</w:t>
            </w:r>
          </w:p>
        </w:tc>
        <w:tc>
          <w:tcPr>
            <w:tcW w:w="1106" w:type="dxa"/>
            <w:tcBorders>
              <w:left w:val="single" w:sz="2" w:space="0" w:color="auto"/>
              <w:bottom w:val="single" w:sz="2" w:space="0" w:color="auto"/>
              <w:right w:val="single" w:sz="2" w:space="0" w:color="auto"/>
            </w:tcBorders>
            <w:shd w:val="clear" w:color="auto" w:fill="auto"/>
            <w:vAlign w:val="bottom"/>
          </w:tcPr>
          <w:p w14:paraId="4A45F2EA" w14:textId="77777777" w:rsidR="00D96653" w:rsidRPr="004D3FE5" w:rsidRDefault="00D96653" w:rsidP="00D96653">
            <w:pPr>
              <w:spacing w:before="40" w:after="120"/>
              <w:ind w:right="227"/>
              <w:jc w:val="right"/>
              <w:rPr>
                <w:rFonts w:eastAsia="Calibri"/>
                <w:sz w:val="18"/>
                <w:szCs w:val="18"/>
                <w:lang w:eastAsia="en-US"/>
              </w:rPr>
            </w:pPr>
            <w:r w:rsidRPr="004D3FE5">
              <w:rPr>
                <w:rFonts w:eastAsia="Calibri"/>
                <w:sz w:val="18"/>
                <w:szCs w:val="18"/>
                <w:lang w:eastAsia="en-US"/>
              </w:rPr>
              <w:t>3.76</w:t>
            </w:r>
          </w:p>
        </w:tc>
        <w:tc>
          <w:tcPr>
            <w:tcW w:w="1134" w:type="dxa"/>
            <w:tcBorders>
              <w:left w:val="single" w:sz="2" w:space="0" w:color="auto"/>
              <w:bottom w:val="single" w:sz="2" w:space="0" w:color="auto"/>
              <w:right w:val="single" w:sz="2" w:space="0" w:color="auto"/>
            </w:tcBorders>
            <w:shd w:val="clear" w:color="auto" w:fill="auto"/>
            <w:vAlign w:val="bottom"/>
          </w:tcPr>
          <w:p w14:paraId="7884CF73" w14:textId="77777777" w:rsidR="00D96653" w:rsidRPr="004D3FE5" w:rsidRDefault="00D96653" w:rsidP="00D96653">
            <w:pPr>
              <w:spacing w:before="40" w:after="120"/>
              <w:ind w:right="170"/>
              <w:jc w:val="right"/>
              <w:rPr>
                <w:rFonts w:eastAsia="Calibri"/>
                <w:sz w:val="18"/>
                <w:szCs w:val="18"/>
                <w:lang w:eastAsia="en-US"/>
              </w:rPr>
            </w:pPr>
            <w:r w:rsidRPr="004D3FE5">
              <w:rPr>
                <w:rFonts w:eastAsia="Calibri"/>
                <w:sz w:val="18"/>
                <w:szCs w:val="18"/>
                <w:lang w:eastAsia="en-US"/>
              </w:rPr>
              <w:t>-0.07</w:t>
            </w:r>
          </w:p>
        </w:tc>
        <w:tc>
          <w:tcPr>
            <w:tcW w:w="1050" w:type="dxa"/>
            <w:tcBorders>
              <w:left w:val="single" w:sz="2" w:space="0" w:color="auto"/>
              <w:bottom w:val="single" w:sz="2" w:space="0" w:color="auto"/>
              <w:right w:val="single" w:sz="2" w:space="0" w:color="auto"/>
            </w:tcBorders>
            <w:shd w:val="clear" w:color="auto" w:fill="auto"/>
            <w:vAlign w:val="bottom"/>
          </w:tcPr>
          <w:p w14:paraId="1A1763D1" w14:textId="77777777" w:rsidR="00D96653" w:rsidRPr="004D3FE5" w:rsidRDefault="00D96653" w:rsidP="00D96653">
            <w:pPr>
              <w:spacing w:before="40" w:after="120"/>
              <w:ind w:right="170"/>
              <w:jc w:val="right"/>
              <w:rPr>
                <w:rFonts w:eastAsia="Calibri"/>
                <w:bCs/>
                <w:sz w:val="18"/>
                <w:szCs w:val="18"/>
                <w:lang w:eastAsia="en-US"/>
              </w:rPr>
            </w:pPr>
            <w:r w:rsidRPr="004D3FE5">
              <w:rPr>
                <w:rFonts w:eastAsia="Calibri"/>
                <w:bCs/>
                <w:sz w:val="18"/>
                <w:szCs w:val="18"/>
                <w:lang w:eastAsia="en-US"/>
              </w:rPr>
              <w:t>-0.06</w:t>
            </w:r>
          </w:p>
        </w:tc>
      </w:tr>
      <w:tr w:rsidR="00D96653" w:rsidRPr="00D96653" w14:paraId="6AF82D0A" w14:textId="77777777" w:rsidTr="00D96653">
        <w:trPr>
          <w:jc w:val="center"/>
        </w:trPr>
        <w:tc>
          <w:tcPr>
            <w:tcW w:w="8970" w:type="dxa"/>
            <w:gridSpan w:val="6"/>
            <w:tcBorders>
              <w:top w:val="single" w:sz="2" w:space="0" w:color="auto"/>
              <w:bottom w:val="nil"/>
            </w:tcBorders>
            <w:vAlign w:val="center"/>
          </w:tcPr>
          <w:p w14:paraId="24791CFC" w14:textId="77777777" w:rsidR="00D96653" w:rsidRPr="005061B6" w:rsidRDefault="00D96653" w:rsidP="00D96653">
            <w:pPr>
              <w:spacing w:before="120"/>
              <w:ind w:right="227"/>
              <w:jc w:val="both"/>
              <w:rPr>
                <w:rFonts w:eastAsia="Times New Roman"/>
                <w:bCs/>
                <w:sz w:val="16"/>
                <w:szCs w:val="16"/>
              </w:rPr>
            </w:pPr>
            <w:r w:rsidRPr="005061B6">
              <w:rPr>
                <w:rFonts w:eastAsia="Times New Roman"/>
                <w:bCs/>
                <w:sz w:val="16"/>
                <w:szCs w:val="16"/>
                <w:u w:val="single"/>
              </w:rPr>
              <w:t>*</w:t>
            </w:r>
            <w:r w:rsidRPr="005061B6">
              <w:rPr>
                <w:rFonts w:eastAsia="Times New Roman"/>
                <w:bCs/>
                <w:sz w:val="16"/>
                <w:szCs w:val="16"/>
              </w:rPr>
              <w:t>/ IMOR = Cartera vencida / Cartera total.</w:t>
            </w:r>
          </w:p>
          <w:p w14:paraId="5559A412" w14:textId="77777777" w:rsidR="00D96653" w:rsidRPr="005061B6" w:rsidRDefault="00D96653" w:rsidP="00D96653">
            <w:pPr>
              <w:ind w:right="227"/>
              <w:jc w:val="both"/>
              <w:rPr>
                <w:rFonts w:eastAsia="Times New Roman"/>
                <w:bCs/>
                <w:sz w:val="16"/>
                <w:szCs w:val="16"/>
              </w:rPr>
            </w:pPr>
            <w:r w:rsidRPr="005061B6">
              <w:rPr>
                <w:rFonts w:eastAsia="Times New Roman"/>
                <w:bCs/>
                <w:sz w:val="16"/>
                <w:szCs w:val="16"/>
              </w:rPr>
              <w:t>FUENTE: CNBV.</w:t>
            </w:r>
          </w:p>
        </w:tc>
      </w:tr>
    </w:tbl>
    <w:p w14:paraId="4DE4C50E" w14:textId="77777777" w:rsidR="00D96653" w:rsidRPr="00D96653" w:rsidRDefault="00D96653" w:rsidP="00D96653">
      <w:pPr>
        <w:spacing w:after="360" w:line="360" w:lineRule="auto"/>
        <w:ind w:right="-159"/>
        <w:jc w:val="both"/>
        <w:rPr>
          <w:rFonts w:eastAsia="Calibri"/>
          <w:sz w:val="26"/>
          <w:szCs w:val="26"/>
          <w:lang w:eastAsia="en-US"/>
        </w:rPr>
      </w:pPr>
    </w:p>
    <w:p w14:paraId="5C687DA1"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El índice de Morosidad (IMOR) de la cartera total se ubicó en 2.96%, 0.22 pp menos que el nivel observado en diciembre de 2013. El segmento de entidades financieras aumentó 0.11 pp a un IMOR de 0.18%, mientras que estos indicadores para la cartera empresarial y la cartera gubernamental se ubicaron en 3.28 y 0.02%, lo que representó una disminución de 0.37 y de 0.02 pp, respectivamente.</w:t>
      </w:r>
    </w:p>
    <w:p w14:paraId="2FA877A2"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El crédito al consumo alcanzó un IMOR de 4.22%, mayor en 0.12pp que el año previo, mientras que para el segmento de vivienda fue de 3.76%, lo que significó 0.07pp menos que el registrado en el mismo período del año previo.</w:t>
      </w:r>
    </w:p>
    <w:p w14:paraId="6D025C23" w14:textId="77777777" w:rsidR="00D96653" w:rsidRPr="00D96653" w:rsidRDefault="00D96653" w:rsidP="00D96653">
      <w:pPr>
        <w:spacing w:after="360" w:line="360" w:lineRule="auto"/>
        <w:ind w:right="-159"/>
        <w:jc w:val="both"/>
        <w:rPr>
          <w:rFonts w:eastAsia="Calibri"/>
          <w:b/>
          <w:sz w:val="26"/>
          <w:szCs w:val="26"/>
          <w:lang w:eastAsia="en-US"/>
        </w:rPr>
      </w:pPr>
      <w:r w:rsidRPr="00D96653">
        <w:rPr>
          <w:rFonts w:eastAsia="Calibri"/>
          <w:b/>
          <w:sz w:val="26"/>
          <w:szCs w:val="26"/>
          <w:lang w:eastAsia="en-US"/>
        </w:rPr>
        <w:t>Estado de resultados</w:t>
      </w:r>
    </w:p>
    <w:p w14:paraId="0E95A633" w14:textId="5FB1567E"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 xml:space="preserve">Al cierre de diciembre de 2014, el resultado neto acumulado fue de 108 mmdp, 12.1% menos que en el mismo período del año anterior. Esto se explica principalmente por un aumento en los gastos de administración y promoción de 19 mmdp (9.3%), una disminución en las operaciones discontinuadas de 10 mmdp derivada de la venta de ciertos activos relevantes de una de las instituciones en 2013 y por una disminución en el resultado por intermediación de 14 mmdp (36.6%), los cuales, en conjunto, fueron </w:t>
      </w:r>
      <w:r w:rsidRPr="00D96653">
        <w:rPr>
          <w:rFonts w:eastAsia="Calibri"/>
          <w:sz w:val="26"/>
          <w:szCs w:val="26"/>
          <w:lang w:eastAsia="en-US"/>
        </w:rPr>
        <w:lastRenderedPageBreak/>
        <w:t>mayores al incremento en el margen financiero ajustado de 15 mmdp, 7.3% mayor y en otros ingresos (egresos) de la operación de 14 mmdp (108.6%)</w:t>
      </w:r>
      <w:r w:rsidRPr="00D96653">
        <w:rPr>
          <w:rFonts w:eastAsia="Calibri"/>
          <w:sz w:val="26"/>
          <w:szCs w:val="26"/>
          <w:vertAlign w:val="superscript"/>
          <w:lang w:eastAsia="en-US"/>
        </w:rPr>
        <w:footnoteReference w:id="34"/>
      </w:r>
      <w:r w:rsidR="009E5D36">
        <w:rPr>
          <w:rFonts w:eastAsia="Calibri"/>
          <w:sz w:val="26"/>
          <w:szCs w:val="26"/>
          <w:lang w:eastAsia="en-US"/>
        </w:rPr>
        <w:t>.</w:t>
      </w:r>
    </w:p>
    <w:tbl>
      <w:tblPr>
        <w:tblW w:w="8944" w:type="dxa"/>
        <w:tblLayout w:type="fixed"/>
        <w:tblLook w:val="01E0" w:firstRow="1" w:lastRow="1" w:firstColumn="1" w:lastColumn="1" w:noHBand="0" w:noVBand="0"/>
      </w:tblPr>
      <w:tblGrid>
        <w:gridCol w:w="4378"/>
        <w:gridCol w:w="1134"/>
        <w:gridCol w:w="1164"/>
        <w:gridCol w:w="1134"/>
        <w:gridCol w:w="1134"/>
      </w:tblGrid>
      <w:tr w:rsidR="00D96653" w:rsidRPr="00D96653" w14:paraId="7994654E" w14:textId="77777777" w:rsidTr="00D96653">
        <w:trPr>
          <w:trHeight w:val="552"/>
        </w:trPr>
        <w:tc>
          <w:tcPr>
            <w:tcW w:w="8944" w:type="dxa"/>
            <w:gridSpan w:val="5"/>
            <w:tcBorders>
              <w:bottom w:val="single" w:sz="2" w:space="0" w:color="auto"/>
            </w:tcBorders>
          </w:tcPr>
          <w:p w14:paraId="1E15B331" w14:textId="77777777" w:rsidR="00D96653" w:rsidRPr="00D96653" w:rsidRDefault="00D96653" w:rsidP="00D96653">
            <w:pPr>
              <w:jc w:val="center"/>
              <w:rPr>
                <w:rFonts w:eastAsia="Calibri"/>
                <w:b/>
                <w:bCs/>
                <w:sz w:val="22"/>
                <w:szCs w:val="22"/>
                <w:lang w:eastAsia="en-US"/>
              </w:rPr>
            </w:pPr>
            <w:r w:rsidRPr="00D96653">
              <w:rPr>
                <w:rFonts w:eastAsia="Calibri"/>
                <w:b/>
                <w:bCs/>
                <w:sz w:val="22"/>
                <w:szCs w:val="22"/>
                <w:lang w:eastAsia="en-US"/>
              </w:rPr>
              <w:t>GRUPOS FINANCIEROS: ESTADO DE RESULTADOS</w:t>
            </w:r>
          </w:p>
          <w:p w14:paraId="208A6D6B" w14:textId="7FF900C5" w:rsidR="00D96653" w:rsidRPr="00D96653" w:rsidRDefault="00D96653" w:rsidP="004D3FE5">
            <w:pPr>
              <w:jc w:val="center"/>
              <w:rPr>
                <w:rFonts w:eastAsia="Calibri"/>
                <w:b/>
                <w:bCs/>
                <w:sz w:val="22"/>
                <w:szCs w:val="22"/>
                <w:lang w:eastAsia="en-US"/>
              </w:rPr>
            </w:pPr>
            <w:r w:rsidRPr="00D96653">
              <w:rPr>
                <w:rFonts w:eastAsia="Calibri"/>
                <w:b/>
                <w:bCs/>
                <w:sz w:val="22"/>
                <w:szCs w:val="22"/>
                <w:lang w:eastAsia="en-US"/>
              </w:rPr>
              <w:t>-Flujos acumulados en mmdp-</w:t>
            </w:r>
          </w:p>
        </w:tc>
      </w:tr>
      <w:tr w:rsidR="00D96653" w:rsidRPr="00D96653" w14:paraId="49FB68A4" w14:textId="77777777" w:rsidTr="00D96653">
        <w:trPr>
          <w:trHeight w:val="203"/>
        </w:trPr>
        <w:tc>
          <w:tcPr>
            <w:tcW w:w="4378" w:type="dxa"/>
            <w:vMerge w:val="restart"/>
            <w:tcBorders>
              <w:top w:val="single" w:sz="2" w:space="0" w:color="auto"/>
              <w:left w:val="single" w:sz="2" w:space="0" w:color="auto"/>
              <w:bottom w:val="single" w:sz="2" w:space="0" w:color="auto"/>
              <w:right w:val="single" w:sz="2" w:space="0" w:color="auto"/>
            </w:tcBorders>
            <w:shd w:val="clear" w:color="auto" w:fill="auto"/>
          </w:tcPr>
          <w:p w14:paraId="4CFF4D75" w14:textId="77777777" w:rsidR="00D96653" w:rsidRPr="00D96653" w:rsidRDefault="00D96653" w:rsidP="00D96653">
            <w:pPr>
              <w:jc w:val="center"/>
              <w:rPr>
                <w:rFonts w:eastAsia="Calibri"/>
                <w:bCs/>
                <w:sz w:val="16"/>
                <w:szCs w:val="16"/>
                <w:lang w:eastAsia="en-US"/>
              </w:rPr>
            </w:pPr>
          </w:p>
        </w:tc>
        <w:tc>
          <w:tcPr>
            <w:tcW w:w="1134" w:type="dxa"/>
            <w:vMerge w:val="restart"/>
            <w:tcBorders>
              <w:top w:val="single" w:sz="2" w:space="0" w:color="auto"/>
              <w:left w:val="single" w:sz="2" w:space="0" w:color="auto"/>
              <w:bottom w:val="single" w:sz="2" w:space="0" w:color="auto"/>
              <w:right w:val="single" w:sz="2" w:space="0" w:color="auto"/>
            </w:tcBorders>
            <w:shd w:val="clear" w:color="auto" w:fill="auto"/>
          </w:tcPr>
          <w:p w14:paraId="794B5F89" w14:textId="77777777" w:rsidR="00D96653" w:rsidRPr="00D96653" w:rsidRDefault="00D96653" w:rsidP="00D96653">
            <w:pPr>
              <w:jc w:val="center"/>
              <w:rPr>
                <w:rFonts w:eastAsia="Calibri"/>
                <w:b/>
                <w:sz w:val="16"/>
                <w:szCs w:val="16"/>
                <w:lang w:eastAsia="en-US"/>
              </w:rPr>
            </w:pPr>
            <w:r w:rsidRPr="00D96653">
              <w:rPr>
                <w:rFonts w:eastAsia="Calibri"/>
                <w:b/>
                <w:sz w:val="16"/>
                <w:szCs w:val="16"/>
                <w:lang w:eastAsia="en-US"/>
              </w:rPr>
              <w:t>Diciembre</w:t>
            </w:r>
          </w:p>
          <w:p w14:paraId="5B9D0966" w14:textId="77777777" w:rsidR="00D96653" w:rsidRPr="00D96653" w:rsidRDefault="00D96653" w:rsidP="00D96653">
            <w:pPr>
              <w:jc w:val="center"/>
              <w:rPr>
                <w:rFonts w:eastAsia="Calibri"/>
                <w:b/>
                <w:sz w:val="16"/>
                <w:szCs w:val="16"/>
                <w:lang w:eastAsia="en-US"/>
              </w:rPr>
            </w:pPr>
            <w:r w:rsidRPr="00D96653">
              <w:rPr>
                <w:rFonts w:eastAsia="Calibri"/>
                <w:b/>
                <w:sz w:val="16"/>
                <w:szCs w:val="16"/>
                <w:lang w:eastAsia="en-US"/>
              </w:rPr>
              <w:t>2013</w:t>
            </w:r>
          </w:p>
        </w:tc>
        <w:tc>
          <w:tcPr>
            <w:tcW w:w="1164" w:type="dxa"/>
            <w:vMerge w:val="restart"/>
            <w:tcBorders>
              <w:top w:val="single" w:sz="2" w:space="0" w:color="auto"/>
              <w:left w:val="single" w:sz="2" w:space="0" w:color="auto"/>
              <w:bottom w:val="single" w:sz="2" w:space="0" w:color="auto"/>
              <w:right w:val="single" w:sz="2" w:space="0" w:color="auto"/>
            </w:tcBorders>
            <w:shd w:val="clear" w:color="auto" w:fill="auto"/>
          </w:tcPr>
          <w:p w14:paraId="327E66FF" w14:textId="77777777" w:rsidR="00D96653" w:rsidRPr="00D96653" w:rsidRDefault="00D96653" w:rsidP="00D96653">
            <w:pPr>
              <w:jc w:val="center"/>
              <w:rPr>
                <w:rFonts w:eastAsia="Calibri"/>
                <w:b/>
                <w:sz w:val="16"/>
                <w:szCs w:val="16"/>
                <w:lang w:eastAsia="en-US"/>
              </w:rPr>
            </w:pPr>
            <w:r w:rsidRPr="00D96653">
              <w:rPr>
                <w:rFonts w:eastAsia="Calibri"/>
                <w:b/>
                <w:sz w:val="16"/>
                <w:szCs w:val="16"/>
                <w:lang w:eastAsia="en-US"/>
              </w:rPr>
              <w:t>Diciembre</w:t>
            </w:r>
          </w:p>
          <w:p w14:paraId="36420F6B" w14:textId="77777777" w:rsidR="00D96653" w:rsidRPr="00D96653" w:rsidRDefault="00D96653" w:rsidP="00D96653">
            <w:pPr>
              <w:jc w:val="center"/>
              <w:rPr>
                <w:rFonts w:eastAsia="Calibri"/>
                <w:b/>
                <w:sz w:val="16"/>
                <w:szCs w:val="16"/>
                <w:lang w:eastAsia="en-US"/>
              </w:rPr>
            </w:pPr>
            <w:r w:rsidRPr="00D96653">
              <w:rPr>
                <w:rFonts w:eastAsia="Calibri"/>
                <w:b/>
                <w:sz w:val="16"/>
                <w:szCs w:val="16"/>
                <w:lang w:eastAsia="en-US"/>
              </w:rPr>
              <w:t>2014</w:t>
            </w:r>
          </w:p>
        </w:tc>
        <w:tc>
          <w:tcPr>
            <w:tcW w:w="2268" w:type="dxa"/>
            <w:gridSpan w:val="2"/>
            <w:tcBorders>
              <w:top w:val="single" w:sz="2" w:space="0" w:color="auto"/>
              <w:left w:val="single" w:sz="2" w:space="0" w:color="auto"/>
              <w:bottom w:val="single" w:sz="2" w:space="0" w:color="auto"/>
              <w:right w:val="single" w:sz="2" w:space="0" w:color="auto"/>
            </w:tcBorders>
            <w:shd w:val="clear" w:color="auto" w:fill="auto"/>
          </w:tcPr>
          <w:p w14:paraId="1F5639FD" w14:textId="77777777" w:rsidR="00D96653" w:rsidRPr="00D96653" w:rsidRDefault="00D96653" w:rsidP="00D96653">
            <w:pPr>
              <w:jc w:val="center"/>
              <w:rPr>
                <w:rFonts w:eastAsia="Calibri"/>
                <w:b/>
                <w:bCs/>
                <w:sz w:val="16"/>
                <w:szCs w:val="16"/>
                <w:lang w:eastAsia="en-US"/>
              </w:rPr>
            </w:pPr>
            <w:r w:rsidRPr="00D96653">
              <w:rPr>
                <w:rFonts w:eastAsia="Calibri"/>
                <w:b/>
                <w:bCs/>
                <w:sz w:val="16"/>
                <w:szCs w:val="16"/>
                <w:lang w:eastAsia="en-US"/>
              </w:rPr>
              <w:t>Diferencias</w:t>
            </w:r>
          </w:p>
        </w:tc>
      </w:tr>
      <w:tr w:rsidR="00D96653" w:rsidRPr="00D96653" w14:paraId="14D071CA" w14:textId="77777777" w:rsidTr="00D96653">
        <w:trPr>
          <w:trHeight w:val="208"/>
        </w:trPr>
        <w:tc>
          <w:tcPr>
            <w:tcW w:w="4378" w:type="dxa"/>
            <w:vMerge/>
            <w:tcBorders>
              <w:top w:val="single" w:sz="2" w:space="0" w:color="auto"/>
              <w:left w:val="single" w:sz="2" w:space="0" w:color="auto"/>
              <w:bottom w:val="single" w:sz="2" w:space="0" w:color="auto"/>
              <w:right w:val="single" w:sz="2" w:space="0" w:color="auto"/>
            </w:tcBorders>
            <w:shd w:val="clear" w:color="auto" w:fill="auto"/>
          </w:tcPr>
          <w:p w14:paraId="4CEA2B3A" w14:textId="77777777" w:rsidR="00D96653" w:rsidRPr="00D96653" w:rsidRDefault="00D96653" w:rsidP="00D96653">
            <w:pPr>
              <w:jc w:val="center"/>
              <w:rPr>
                <w:rFonts w:eastAsia="Calibri"/>
                <w:bCs/>
                <w:sz w:val="16"/>
                <w:szCs w:val="16"/>
                <w:lang w:eastAsia="en-US"/>
              </w:rPr>
            </w:pPr>
          </w:p>
        </w:tc>
        <w:tc>
          <w:tcPr>
            <w:tcW w:w="1134" w:type="dxa"/>
            <w:vMerge/>
            <w:tcBorders>
              <w:top w:val="single" w:sz="2" w:space="0" w:color="auto"/>
              <w:left w:val="single" w:sz="2" w:space="0" w:color="auto"/>
              <w:bottom w:val="single" w:sz="2" w:space="0" w:color="auto"/>
              <w:right w:val="single" w:sz="2" w:space="0" w:color="auto"/>
            </w:tcBorders>
            <w:shd w:val="clear" w:color="auto" w:fill="auto"/>
          </w:tcPr>
          <w:p w14:paraId="4E892D21" w14:textId="77777777" w:rsidR="00D96653" w:rsidRPr="00D96653" w:rsidRDefault="00D96653" w:rsidP="00D96653">
            <w:pPr>
              <w:jc w:val="center"/>
              <w:rPr>
                <w:rFonts w:eastAsia="Calibri"/>
                <w:b/>
                <w:sz w:val="16"/>
                <w:szCs w:val="16"/>
                <w:lang w:eastAsia="en-US"/>
              </w:rPr>
            </w:pPr>
          </w:p>
        </w:tc>
        <w:tc>
          <w:tcPr>
            <w:tcW w:w="1164" w:type="dxa"/>
            <w:vMerge/>
            <w:tcBorders>
              <w:top w:val="single" w:sz="2" w:space="0" w:color="auto"/>
              <w:left w:val="single" w:sz="2" w:space="0" w:color="auto"/>
              <w:bottom w:val="single" w:sz="2" w:space="0" w:color="auto"/>
              <w:right w:val="single" w:sz="2" w:space="0" w:color="auto"/>
            </w:tcBorders>
            <w:shd w:val="clear" w:color="auto" w:fill="auto"/>
          </w:tcPr>
          <w:p w14:paraId="7F953BC0" w14:textId="77777777" w:rsidR="00D96653" w:rsidRPr="00D96653" w:rsidRDefault="00D96653" w:rsidP="00D96653">
            <w:pPr>
              <w:jc w:val="center"/>
              <w:rPr>
                <w:rFonts w:eastAsia="Calibri"/>
                <w:b/>
                <w:sz w:val="16"/>
                <w:szCs w:val="16"/>
                <w:lang w:eastAsia="en-US"/>
              </w:rPr>
            </w:pP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1B22431E" w14:textId="77777777" w:rsidR="00D96653" w:rsidRPr="00D96653" w:rsidRDefault="00D96653" w:rsidP="00D96653">
            <w:pPr>
              <w:jc w:val="center"/>
              <w:rPr>
                <w:rFonts w:eastAsia="Calibri"/>
                <w:b/>
                <w:sz w:val="16"/>
                <w:szCs w:val="16"/>
                <w:lang w:eastAsia="en-US"/>
              </w:rPr>
            </w:pPr>
            <w:r w:rsidRPr="00D96653">
              <w:rPr>
                <w:rFonts w:eastAsia="Calibri"/>
                <w:b/>
                <w:sz w:val="16"/>
                <w:szCs w:val="16"/>
                <w:lang w:eastAsia="en-US"/>
              </w:rPr>
              <w:t>Monto</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C758DE0" w14:textId="77777777" w:rsidR="00D96653" w:rsidRPr="00D96653" w:rsidRDefault="00D96653" w:rsidP="00D96653">
            <w:pPr>
              <w:jc w:val="center"/>
              <w:rPr>
                <w:rFonts w:eastAsia="Calibri"/>
                <w:b/>
                <w:bCs/>
                <w:sz w:val="16"/>
                <w:szCs w:val="16"/>
                <w:lang w:eastAsia="en-US"/>
              </w:rPr>
            </w:pPr>
            <w:r w:rsidRPr="00D96653">
              <w:rPr>
                <w:rFonts w:eastAsia="Calibri"/>
                <w:b/>
                <w:bCs/>
                <w:sz w:val="16"/>
                <w:szCs w:val="16"/>
                <w:lang w:eastAsia="en-US"/>
              </w:rPr>
              <w:t>%</w:t>
            </w:r>
          </w:p>
        </w:tc>
      </w:tr>
      <w:tr w:rsidR="00D96653" w:rsidRPr="00D96653" w14:paraId="4CA5A821" w14:textId="77777777" w:rsidTr="004D3FE5">
        <w:tc>
          <w:tcPr>
            <w:tcW w:w="4378" w:type="dxa"/>
            <w:tcBorders>
              <w:top w:val="single" w:sz="2" w:space="0" w:color="auto"/>
              <w:left w:val="single" w:sz="2" w:space="0" w:color="auto"/>
              <w:right w:val="single" w:sz="2" w:space="0" w:color="auto"/>
            </w:tcBorders>
            <w:shd w:val="clear" w:color="auto" w:fill="auto"/>
          </w:tcPr>
          <w:p w14:paraId="1BAA1AB1" w14:textId="77777777" w:rsidR="00D96653" w:rsidRPr="00D96653" w:rsidRDefault="00D96653" w:rsidP="00D96653">
            <w:pPr>
              <w:ind w:left="170"/>
              <w:rPr>
                <w:rFonts w:eastAsia="Calibri"/>
                <w:bCs/>
                <w:sz w:val="16"/>
                <w:szCs w:val="16"/>
                <w:lang w:val="en-US" w:eastAsia="en-US"/>
              </w:rPr>
            </w:pPr>
            <w:r w:rsidRPr="00D96653">
              <w:rPr>
                <w:rFonts w:eastAsia="Calibri"/>
                <w:bCs/>
                <w:sz w:val="16"/>
                <w:szCs w:val="16"/>
                <w:lang w:val="en-US" w:eastAsia="en-US"/>
              </w:rPr>
              <w:t>Ingresos por intereses</w:t>
            </w:r>
          </w:p>
        </w:tc>
        <w:tc>
          <w:tcPr>
            <w:tcW w:w="1134" w:type="dxa"/>
            <w:tcBorders>
              <w:top w:val="single" w:sz="2" w:space="0" w:color="auto"/>
              <w:left w:val="single" w:sz="2" w:space="0" w:color="auto"/>
              <w:right w:val="single" w:sz="2" w:space="0" w:color="auto"/>
            </w:tcBorders>
            <w:shd w:val="clear" w:color="auto" w:fill="auto"/>
          </w:tcPr>
          <w:p w14:paraId="67CEB6A4"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451</w:t>
            </w:r>
          </w:p>
        </w:tc>
        <w:tc>
          <w:tcPr>
            <w:tcW w:w="1164" w:type="dxa"/>
            <w:tcBorders>
              <w:top w:val="single" w:sz="2" w:space="0" w:color="auto"/>
              <w:left w:val="single" w:sz="2" w:space="0" w:color="auto"/>
              <w:right w:val="single" w:sz="2" w:space="0" w:color="auto"/>
            </w:tcBorders>
            <w:shd w:val="clear" w:color="auto" w:fill="auto"/>
          </w:tcPr>
          <w:p w14:paraId="00419037"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457</w:t>
            </w:r>
          </w:p>
        </w:tc>
        <w:tc>
          <w:tcPr>
            <w:tcW w:w="1134" w:type="dxa"/>
            <w:tcBorders>
              <w:top w:val="single" w:sz="2" w:space="0" w:color="auto"/>
              <w:left w:val="single" w:sz="2" w:space="0" w:color="auto"/>
              <w:right w:val="single" w:sz="2" w:space="0" w:color="auto"/>
            </w:tcBorders>
            <w:shd w:val="clear" w:color="auto" w:fill="auto"/>
          </w:tcPr>
          <w:p w14:paraId="6E465143"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7</w:t>
            </w:r>
          </w:p>
        </w:tc>
        <w:tc>
          <w:tcPr>
            <w:tcW w:w="1134" w:type="dxa"/>
            <w:tcBorders>
              <w:top w:val="single" w:sz="2" w:space="0" w:color="auto"/>
              <w:left w:val="single" w:sz="2" w:space="0" w:color="auto"/>
              <w:right w:val="single" w:sz="2" w:space="0" w:color="auto"/>
            </w:tcBorders>
            <w:shd w:val="clear" w:color="auto" w:fill="auto"/>
          </w:tcPr>
          <w:p w14:paraId="1AA87BE4"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1.5</w:t>
            </w:r>
          </w:p>
        </w:tc>
      </w:tr>
      <w:tr w:rsidR="00D96653" w:rsidRPr="00D96653" w14:paraId="5B57EC28" w14:textId="77777777" w:rsidTr="004D3FE5">
        <w:tc>
          <w:tcPr>
            <w:tcW w:w="4378" w:type="dxa"/>
            <w:tcBorders>
              <w:left w:val="single" w:sz="2" w:space="0" w:color="auto"/>
              <w:right w:val="single" w:sz="2" w:space="0" w:color="auto"/>
            </w:tcBorders>
            <w:shd w:val="clear" w:color="auto" w:fill="auto"/>
          </w:tcPr>
          <w:p w14:paraId="0A2FCCB6" w14:textId="77777777" w:rsidR="00D96653" w:rsidRPr="00D96653" w:rsidRDefault="00D96653" w:rsidP="00D96653">
            <w:pPr>
              <w:ind w:left="170"/>
              <w:rPr>
                <w:rFonts w:eastAsia="Calibri"/>
                <w:bCs/>
                <w:sz w:val="16"/>
                <w:szCs w:val="16"/>
                <w:lang w:val="en-US" w:eastAsia="en-US"/>
              </w:rPr>
            </w:pPr>
            <w:r w:rsidRPr="00D96653">
              <w:rPr>
                <w:rFonts w:eastAsia="Calibri"/>
                <w:bCs/>
                <w:sz w:val="16"/>
                <w:szCs w:val="16"/>
                <w:lang w:val="en-US" w:eastAsia="en-US"/>
              </w:rPr>
              <w:t>Ingresos por primas (neto)</w:t>
            </w:r>
          </w:p>
        </w:tc>
        <w:tc>
          <w:tcPr>
            <w:tcW w:w="1134" w:type="dxa"/>
            <w:tcBorders>
              <w:left w:val="single" w:sz="2" w:space="0" w:color="auto"/>
              <w:right w:val="single" w:sz="2" w:space="0" w:color="auto"/>
            </w:tcBorders>
            <w:shd w:val="clear" w:color="auto" w:fill="auto"/>
          </w:tcPr>
          <w:p w14:paraId="66CD29F9"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61</w:t>
            </w:r>
          </w:p>
        </w:tc>
        <w:tc>
          <w:tcPr>
            <w:tcW w:w="1164" w:type="dxa"/>
            <w:tcBorders>
              <w:left w:val="single" w:sz="2" w:space="0" w:color="auto"/>
              <w:right w:val="single" w:sz="2" w:space="0" w:color="auto"/>
            </w:tcBorders>
            <w:shd w:val="clear" w:color="auto" w:fill="auto"/>
          </w:tcPr>
          <w:p w14:paraId="67D016B6"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87</w:t>
            </w:r>
          </w:p>
        </w:tc>
        <w:tc>
          <w:tcPr>
            <w:tcW w:w="1134" w:type="dxa"/>
            <w:tcBorders>
              <w:left w:val="single" w:sz="2" w:space="0" w:color="auto"/>
              <w:right w:val="single" w:sz="2" w:space="0" w:color="auto"/>
            </w:tcBorders>
            <w:shd w:val="clear" w:color="auto" w:fill="auto"/>
          </w:tcPr>
          <w:p w14:paraId="35043B7B" w14:textId="77777777" w:rsidR="00D96653" w:rsidRPr="00D96653" w:rsidRDefault="00D96653" w:rsidP="00D96653">
            <w:pPr>
              <w:ind w:left="170" w:right="284"/>
              <w:jc w:val="right"/>
              <w:rPr>
                <w:rFonts w:eastAsia="Calibri"/>
                <w:sz w:val="16"/>
                <w:szCs w:val="16"/>
                <w:lang w:val="en-US" w:eastAsia="en-US"/>
              </w:rPr>
            </w:pPr>
            <w:r w:rsidRPr="00D96653">
              <w:rPr>
                <w:rFonts w:eastAsia="Calibri"/>
                <w:sz w:val="16"/>
                <w:szCs w:val="16"/>
                <w:lang w:val="en-US" w:eastAsia="en-US"/>
              </w:rPr>
              <w:t>25</w:t>
            </w:r>
          </w:p>
        </w:tc>
        <w:tc>
          <w:tcPr>
            <w:tcW w:w="1134" w:type="dxa"/>
            <w:tcBorders>
              <w:left w:val="single" w:sz="2" w:space="0" w:color="auto"/>
              <w:right w:val="single" w:sz="2" w:space="0" w:color="auto"/>
            </w:tcBorders>
            <w:shd w:val="clear" w:color="auto" w:fill="auto"/>
          </w:tcPr>
          <w:p w14:paraId="7E6A9EB8"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41.5</w:t>
            </w:r>
          </w:p>
        </w:tc>
      </w:tr>
      <w:tr w:rsidR="00D96653" w:rsidRPr="00D96653" w14:paraId="09BBACA7" w14:textId="77777777" w:rsidTr="004D3FE5">
        <w:tc>
          <w:tcPr>
            <w:tcW w:w="4378" w:type="dxa"/>
            <w:tcBorders>
              <w:left w:val="single" w:sz="2" w:space="0" w:color="auto"/>
              <w:right w:val="single" w:sz="2" w:space="0" w:color="auto"/>
            </w:tcBorders>
            <w:shd w:val="clear" w:color="auto" w:fill="auto"/>
          </w:tcPr>
          <w:p w14:paraId="570BA959"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Gastos por intereses</w:t>
            </w:r>
          </w:p>
        </w:tc>
        <w:tc>
          <w:tcPr>
            <w:tcW w:w="1134" w:type="dxa"/>
            <w:tcBorders>
              <w:left w:val="single" w:sz="2" w:space="0" w:color="auto"/>
              <w:right w:val="single" w:sz="2" w:space="0" w:color="auto"/>
            </w:tcBorders>
            <w:shd w:val="clear" w:color="auto" w:fill="auto"/>
          </w:tcPr>
          <w:p w14:paraId="756CADF8"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151</w:t>
            </w:r>
          </w:p>
        </w:tc>
        <w:tc>
          <w:tcPr>
            <w:tcW w:w="1164" w:type="dxa"/>
            <w:tcBorders>
              <w:left w:val="single" w:sz="2" w:space="0" w:color="auto"/>
              <w:right w:val="single" w:sz="2" w:space="0" w:color="auto"/>
            </w:tcBorders>
            <w:shd w:val="clear" w:color="auto" w:fill="auto"/>
          </w:tcPr>
          <w:p w14:paraId="655AFFD9"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147</w:t>
            </w:r>
          </w:p>
        </w:tc>
        <w:tc>
          <w:tcPr>
            <w:tcW w:w="1134" w:type="dxa"/>
            <w:tcBorders>
              <w:left w:val="single" w:sz="2" w:space="0" w:color="auto"/>
              <w:right w:val="single" w:sz="2" w:space="0" w:color="auto"/>
            </w:tcBorders>
            <w:shd w:val="clear" w:color="auto" w:fill="auto"/>
          </w:tcPr>
          <w:p w14:paraId="6F16124D"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-4</w:t>
            </w:r>
          </w:p>
        </w:tc>
        <w:tc>
          <w:tcPr>
            <w:tcW w:w="1134" w:type="dxa"/>
            <w:tcBorders>
              <w:left w:val="single" w:sz="2" w:space="0" w:color="auto"/>
              <w:right w:val="single" w:sz="2" w:space="0" w:color="auto"/>
            </w:tcBorders>
            <w:shd w:val="clear" w:color="auto" w:fill="auto"/>
          </w:tcPr>
          <w:p w14:paraId="3CC91872"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-2.6</w:t>
            </w:r>
          </w:p>
        </w:tc>
      </w:tr>
      <w:tr w:rsidR="00D96653" w:rsidRPr="00D96653" w14:paraId="68F288EA" w14:textId="77777777" w:rsidTr="004D3FE5">
        <w:tc>
          <w:tcPr>
            <w:tcW w:w="4378" w:type="dxa"/>
            <w:tcBorders>
              <w:left w:val="single" w:sz="2" w:space="0" w:color="auto"/>
              <w:right w:val="single" w:sz="2" w:space="0" w:color="auto"/>
            </w:tcBorders>
            <w:shd w:val="clear" w:color="auto" w:fill="auto"/>
          </w:tcPr>
          <w:p w14:paraId="7FDB30F8"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Incremento neto de reservas técnicas</w:t>
            </w:r>
          </w:p>
        </w:tc>
        <w:tc>
          <w:tcPr>
            <w:tcW w:w="1134" w:type="dxa"/>
            <w:tcBorders>
              <w:left w:val="single" w:sz="2" w:space="0" w:color="auto"/>
              <w:right w:val="single" w:sz="2" w:space="0" w:color="auto"/>
            </w:tcBorders>
            <w:shd w:val="clear" w:color="auto" w:fill="auto"/>
          </w:tcPr>
          <w:p w14:paraId="16F2A40A"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31</w:t>
            </w:r>
          </w:p>
        </w:tc>
        <w:tc>
          <w:tcPr>
            <w:tcW w:w="1164" w:type="dxa"/>
            <w:tcBorders>
              <w:left w:val="single" w:sz="2" w:space="0" w:color="auto"/>
              <w:right w:val="single" w:sz="2" w:space="0" w:color="auto"/>
            </w:tcBorders>
            <w:shd w:val="clear" w:color="auto" w:fill="auto"/>
          </w:tcPr>
          <w:p w14:paraId="758BD68A"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36</w:t>
            </w:r>
          </w:p>
        </w:tc>
        <w:tc>
          <w:tcPr>
            <w:tcW w:w="1134" w:type="dxa"/>
            <w:tcBorders>
              <w:left w:val="single" w:sz="2" w:space="0" w:color="auto"/>
              <w:right w:val="single" w:sz="2" w:space="0" w:color="auto"/>
            </w:tcBorders>
            <w:shd w:val="clear" w:color="auto" w:fill="auto"/>
          </w:tcPr>
          <w:p w14:paraId="10B27435"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5</w:t>
            </w:r>
          </w:p>
        </w:tc>
        <w:tc>
          <w:tcPr>
            <w:tcW w:w="1134" w:type="dxa"/>
            <w:tcBorders>
              <w:left w:val="single" w:sz="2" w:space="0" w:color="auto"/>
              <w:right w:val="single" w:sz="2" w:space="0" w:color="auto"/>
            </w:tcBorders>
            <w:shd w:val="clear" w:color="auto" w:fill="auto"/>
          </w:tcPr>
          <w:p w14:paraId="2920C356"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16.8</w:t>
            </w:r>
          </w:p>
        </w:tc>
      </w:tr>
      <w:tr w:rsidR="00D96653" w:rsidRPr="00D96653" w14:paraId="0BA9B749" w14:textId="77777777" w:rsidTr="004D3FE5">
        <w:tc>
          <w:tcPr>
            <w:tcW w:w="4378" w:type="dxa"/>
            <w:tcBorders>
              <w:left w:val="single" w:sz="2" w:space="0" w:color="auto"/>
              <w:right w:val="single" w:sz="2" w:space="0" w:color="auto"/>
            </w:tcBorders>
            <w:shd w:val="clear" w:color="auto" w:fill="auto"/>
          </w:tcPr>
          <w:p w14:paraId="3B7B6E92"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Siniestralidad, reclamaciones y otras obligaciones (neto)</w:t>
            </w:r>
          </w:p>
        </w:tc>
        <w:tc>
          <w:tcPr>
            <w:tcW w:w="1134" w:type="dxa"/>
            <w:tcBorders>
              <w:left w:val="single" w:sz="2" w:space="0" w:color="auto"/>
              <w:right w:val="single" w:sz="2" w:space="0" w:color="auto"/>
            </w:tcBorders>
            <w:shd w:val="clear" w:color="auto" w:fill="auto"/>
          </w:tcPr>
          <w:p w14:paraId="094DB0A8"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40</w:t>
            </w:r>
          </w:p>
        </w:tc>
        <w:tc>
          <w:tcPr>
            <w:tcW w:w="1164" w:type="dxa"/>
            <w:tcBorders>
              <w:left w:val="single" w:sz="2" w:space="0" w:color="auto"/>
              <w:right w:val="single" w:sz="2" w:space="0" w:color="auto"/>
            </w:tcBorders>
            <w:shd w:val="clear" w:color="auto" w:fill="auto"/>
          </w:tcPr>
          <w:p w14:paraId="047ED9CD"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46</w:t>
            </w:r>
          </w:p>
        </w:tc>
        <w:tc>
          <w:tcPr>
            <w:tcW w:w="1134" w:type="dxa"/>
            <w:tcBorders>
              <w:left w:val="single" w:sz="2" w:space="0" w:color="auto"/>
              <w:right w:val="single" w:sz="2" w:space="0" w:color="auto"/>
            </w:tcBorders>
            <w:shd w:val="clear" w:color="auto" w:fill="auto"/>
          </w:tcPr>
          <w:p w14:paraId="11764CDD"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6</w:t>
            </w:r>
          </w:p>
        </w:tc>
        <w:tc>
          <w:tcPr>
            <w:tcW w:w="1134" w:type="dxa"/>
            <w:tcBorders>
              <w:left w:val="single" w:sz="2" w:space="0" w:color="auto"/>
              <w:right w:val="single" w:sz="2" w:space="0" w:color="auto"/>
            </w:tcBorders>
            <w:shd w:val="clear" w:color="auto" w:fill="auto"/>
          </w:tcPr>
          <w:p w14:paraId="026F8764"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14.8</w:t>
            </w:r>
          </w:p>
        </w:tc>
      </w:tr>
      <w:tr w:rsidR="00D96653" w:rsidRPr="00D96653" w14:paraId="6181C1BD" w14:textId="77777777" w:rsidTr="004D3FE5">
        <w:tc>
          <w:tcPr>
            <w:tcW w:w="4378" w:type="dxa"/>
            <w:tcBorders>
              <w:left w:val="single" w:sz="2" w:space="0" w:color="auto"/>
              <w:right w:val="single" w:sz="2" w:space="0" w:color="auto"/>
            </w:tcBorders>
            <w:shd w:val="clear" w:color="auto" w:fill="auto"/>
          </w:tcPr>
          <w:p w14:paraId="08E92898" w14:textId="77777777" w:rsidR="00D96653" w:rsidRPr="00D96653" w:rsidRDefault="00D96653" w:rsidP="00D96653">
            <w:pPr>
              <w:rPr>
                <w:rFonts w:eastAsia="Calibri"/>
                <w:b/>
                <w:bCs/>
                <w:sz w:val="16"/>
                <w:szCs w:val="16"/>
                <w:lang w:eastAsia="en-US"/>
              </w:rPr>
            </w:pPr>
            <w:r w:rsidRPr="00D96653">
              <w:rPr>
                <w:rFonts w:eastAsia="Calibri"/>
                <w:b/>
                <w:bCs/>
                <w:sz w:val="16"/>
                <w:szCs w:val="16"/>
                <w:lang w:eastAsia="en-US"/>
              </w:rPr>
              <w:t>Margen financiero</w:t>
            </w:r>
          </w:p>
        </w:tc>
        <w:tc>
          <w:tcPr>
            <w:tcW w:w="1134" w:type="dxa"/>
            <w:tcBorders>
              <w:left w:val="single" w:sz="2" w:space="0" w:color="auto"/>
              <w:right w:val="single" w:sz="2" w:space="0" w:color="auto"/>
            </w:tcBorders>
            <w:shd w:val="clear" w:color="auto" w:fill="auto"/>
          </w:tcPr>
          <w:p w14:paraId="73C6F4BF"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290</w:t>
            </w:r>
          </w:p>
        </w:tc>
        <w:tc>
          <w:tcPr>
            <w:tcW w:w="1164" w:type="dxa"/>
            <w:tcBorders>
              <w:left w:val="single" w:sz="2" w:space="0" w:color="auto"/>
              <w:right w:val="single" w:sz="2" w:space="0" w:color="auto"/>
            </w:tcBorders>
            <w:shd w:val="clear" w:color="auto" w:fill="auto"/>
          </w:tcPr>
          <w:p w14:paraId="32A83468"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314</w:t>
            </w:r>
          </w:p>
        </w:tc>
        <w:tc>
          <w:tcPr>
            <w:tcW w:w="1134" w:type="dxa"/>
            <w:tcBorders>
              <w:left w:val="single" w:sz="2" w:space="0" w:color="auto"/>
              <w:right w:val="single" w:sz="2" w:space="0" w:color="auto"/>
            </w:tcBorders>
            <w:shd w:val="clear" w:color="auto" w:fill="auto"/>
          </w:tcPr>
          <w:p w14:paraId="79EF57D0"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25</w:t>
            </w:r>
          </w:p>
        </w:tc>
        <w:tc>
          <w:tcPr>
            <w:tcW w:w="1134" w:type="dxa"/>
            <w:tcBorders>
              <w:left w:val="single" w:sz="2" w:space="0" w:color="auto"/>
              <w:right w:val="single" w:sz="2" w:space="0" w:color="auto"/>
            </w:tcBorders>
            <w:shd w:val="clear" w:color="auto" w:fill="auto"/>
          </w:tcPr>
          <w:p w14:paraId="6E08C530" w14:textId="77777777" w:rsidR="00D96653" w:rsidRPr="00D96653" w:rsidRDefault="00D96653" w:rsidP="00D96653">
            <w:pPr>
              <w:ind w:right="284"/>
              <w:jc w:val="right"/>
              <w:rPr>
                <w:rFonts w:eastAsia="Calibri"/>
                <w:b/>
                <w:bCs/>
                <w:sz w:val="16"/>
                <w:szCs w:val="16"/>
                <w:lang w:eastAsia="en-US"/>
              </w:rPr>
            </w:pPr>
            <w:r w:rsidRPr="00D96653">
              <w:rPr>
                <w:rFonts w:eastAsia="Calibri"/>
                <w:b/>
                <w:bCs/>
                <w:sz w:val="16"/>
                <w:szCs w:val="16"/>
                <w:lang w:eastAsia="en-US"/>
              </w:rPr>
              <w:t>8.6</w:t>
            </w:r>
          </w:p>
        </w:tc>
      </w:tr>
      <w:tr w:rsidR="00D96653" w:rsidRPr="00D96653" w14:paraId="608C00B4" w14:textId="77777777" w:rsidTr="004D3FE5">
        <w:tc>
          <w:tcPr>
            <w:tcW w:w="4378" w:type="dxa"/>
            <w:tcBorders>
              <w:left w:val="single" w:sz="2" w:space="0" w:color="auto"/>
              <w:right w:val="single" w:sz="2" w:space="0" w:color="auto"/>
            </w:tcBorders>
            <w:shd w:val="clear" w:color="auto" w:fill="auto"/>
          </w:tcPr>
          <w:p w14:paraId="49F260E0"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Estimaciones preventivas para riesgos crediticios</w:t>
            </w:r>
          </w:p>
        </w:tc>
        <w:tc>
          <w:tcPr>
            <w:tcW w:w="1134" w:type="dxa"/>
            <w:tcBorders>
              <w:left w:val="single" w:sz="2" w:space="0" w:color="auto"/>
              <w:right w:val="single" w:sz="2" w:space="0" w:color="auto"/>
            </w:tcBorders>
            <w:shd w:val="clear" w:color="auto" w:fill="auto"/>
          </w:tcPr>
          <w:p w14:paraId="727B5CD2"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89</w:t>
            </w:r>
          </w:p>
        </w:tc>
        <w:tc>
          <w:tcPr>
            <w:tcW w:w="1164" w:type="dxa"/>
            <w:tcBorders>
              <w:left w:val="single" w:sz="2" w:space="0" w:color="auto"/>
              <w:right w:val="single" w:sz="2" w:space="0" w:color="auto"/>
            </w:tcBorders>
            <w:shd w:val="clear" w:color="auto" w:fill="auto"/>
          </w:tcPr>
          <w:p w14:paraId="01A4D044"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99</w:t>
            </w:r>
          </w:p>
        </w:tc>
        <w:tc>
          <w:tcPr>
            <w:tcW w:w="1134" w:type="dxa"/>
            <w:tcBorders>
              <w:left w:val="single" w:sz="2" w:space="0" w:color="auto"/>
              <w:right w:val="single" w:sz="2" w:space="0" w:color="auto"/>
            </w:tcBorders>
            <w:shd w:val="clear" w:color="auto" w:fill="auto"/>
          </w:tcPr>
          <w:p w14:paraId="2AD66A71"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10</w:t>
            </w:r>
          </w:p>
        </w:tc>
        <w:tc>
          <w:tcPr>
            <w:tcW w:w="1134" w:type="dxa"/>
            <w:tcBorders>
              <w:left w:val="single" w:sz="2" w:space="0" w:color="auto"/>
              <w:right w:val="single" w:sz="2" w:space="0" w:color="auto"/>
            </w:tcBorders>
            <w:shd w:val="clear" w:color="auto" w:fill="auto"/>
          </w:tcPr>
          <w:p w14:paraId="7EBE2B31"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11.4</w:t>
            </w:r>
          </w:p>
        </w:tc>
      </w:tr>
      <w:tr w:rsidR="00D96653" w:rsidRPr="00D96653" w14:paraId="27E5301D" w14:textId="77777777" w:rsidTr="004D3FE5">
        <w:tc>
          <w:tcPr>
            <w:tcW w:w="4378" w:type="dxa"/>
            <w:tcBorders>
              <w:left w:val="single" w:sz="2" w:space="0" w:color="auto"/>
              <w:right w:val="single" w:sz="2" w:space="0" w:color="auto"/>
            </w:tcBorders>
            <w:shd w:val="clear" w:color="auto" w:fill="auto"/>
          </w:tcPr>
          <w:p w14:paraId="7603F266" w14:textId="77777777" w:rsidR="00D96653" w:rsidRPr="00D96653" w:rsidRDefault="00D96653" w:rsidP="00D96653">
            <w:pPr>
              <w:rPr>
                <w:rFonts w:eastAsia="Calibri"/>
                <w:b/>
                <w:bCs/>
                <w:sz w:val="16"/>
                <w:szCs w:val="16"/>
                <w:lang w:eastAsia="en-US"/>
              </w:rPr>
            </w:pPr>
            <w:r w:rsidRPr="00D96653">
              <w:rPr>
                <w:rFonts w:eastAsia="Calibri"/>
                <w:b/>
                <w:bCs/>
                <w:sz w:val="16"/>
                <w:szCs w:val="16"/>
                <w:lang w:eastAsia="en-US"/>
              </w:rPr>
              <w:t>Margen financiero ajustado por riesgos crediticios</w:t>
            </w:r>
          </w:p>
        </w:tc>
        <w:tc>
          <w:tcPr>
            <w:tcW w:w="1134" w:type="dxa"/>
            <w:tcBorders>
              <w:left w:val="single" w:sz="2" w:space="0" w:color="auto"/>
              <w:right w:val="single" w:sz="2" w:space="0" w:color="auto"/>
            </w:tcBorders>
            <w:shd w:val="clear" w:color="auto" w:fill="auto"/>
          </w:tcPr>
          <w:p w14:paraId="10771A4F"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200</w:t>
            </w:r>
          </w:p>
        </w:tc>
        <w:tc>
          <w:tcPr>
            <w:tcW w:w="1164" w:type="dxa"/>
            <w:tcBorders>
              <w:left w:val="single" w:sz="2" w:space="0" w:color="auto"/>
              <w:right w:val="single" w:sz="2" w:space="0" w:color="auto"/>
            </w:tcBorders>
            <w:shd w:val="clear" w:color="auto" w:fill="auto"/>
          </w:tcPr>
          <w:p w14:paraId="443907DD"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215</w:t>
            </w:r>
          </w:p>
        </w:tc>
        <w:tc>
          <w:tcPr>
            <w:tcW w:w="1134" w:type="dxa"/>
            <w:tcBorders>
              <w:left w:val="single" w:sz="2" w:space="0" w:color="auto"/>
              <w:right w:val="single" w:sz="2" w:space="0" w:color="auto"/>
            </w:tcBorders>
            <w:shd w:val="clear" w:color="auto" w:fill="auto"/>
          </w:tcPr>
          <w:p w14:paraId="5AEF87D8" w14:textId="77777777" w:rsidR="00D96653" w:rsidRPr="00D96653" w:rsidRDefault="00D96653" w:rsidP="00D96653">
            <w:pPr>
              <w:ind w:right="284"/>
              <w:jc w:val="right"/>
              <w:rPr>
                <w:rFonts w:eastAsia="Calibri"/>
                <w:b/>
                <w:sz w:val="16"/>
                <w:szCs w:val="16"/>
                <w:lang w:eastAsia="en-US"/>
              </w:rPr>
            </w:pPr>
            <w:r w:rsidRPr="00D96653">
              <w:rPr>
                <w:rFonts w:eastAsia="Calibri"/>
                <w:b/>
                <w:sz w:val="16"/>
                <w:szCs w:val="16"/>
                <w:lang w:eastAsia="en-US"/>
              </w:rPr>
              <w:t>15</w:t>
            </w:r>
          </w:p>
        </w:tc>
        <w:tc>
          <w:tcPr>
            <w:tcW w:w="1134" w:type="dxa"/>
            <w:tcBorders>
              <w:left w:val="single" w:sz="2" w:space="0" w:color="auto"/>
              <w:right w:val="single" w:sz="2" w:space="0" w:color="auto"/>
            </w:tcBorders>
            <w:shd w:val="clear" w:color="auto" w:fill="auto"/>
          </w:tcPr>
          <w:p w14:paraId="323B4C27" w14:textId="77777777" w:rsidR="00D96653" w:rsidRPr="00D96653" w:rsidRDefault="00D96653" w:rsidP="00D96653">
            <w:pPr>
              <w:ind w:right="284"/>
              <w:jc w:val="right"/>
              <w:rPr>
                <w:rFonts w:eastAsia="Calibri"/>
                <w:b/>
                <w:bCs/>
                <w:sz w:val="16"/>
                <w:szCs w:val="16"/>
                <w:lang w:eastAsia="en-US"/>
              </w:rPr>
            </w:pPr>
            <w:r w:rsidRPr="00D96653">
              <w:rPr>
                <w:rFonts w:eastAsia="Calibri"/>
                <w:b/>
                <w:bCs/>
                <w:sz w:val="16"/>
                <w:szCs w:val="16"/>
                <w:lang w:eastAsia="en-US"/>
              </w:rPr>
              <w:t>7.3</w:t>
            </w:r>
          </w:p>
        </w:tc>
      </w:tr>
      <w:tr w:rsidR="00D96653" w:rsidRPr="00D96653" w14:paraId="2A4BDFD1" w14:textId="77777777" w:rsidTr="004D3FE5">
        <w:tc>
          <w:tcPr>
            <w:tcW w:w="4378" w:type="dxa"/>
            <w:tcBorders>
              <w:left w:val="single" w:sz="2" w:space="0" w:color="auto"/>
              <w:right w:val="single" w:sz="2" w:space="0" w:color="auto"/>
            </w:tcBorders>
            <w:shd w:val="clear" w:color="auto" w:fill="auto"/>
          </w:tcPr>
          <w:p w14:paraId="1E738800"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Comisiones y tarifas netas</w:t>
            </w:r>
            <w:r w:rsidRPr="00D96653">
              <w:rPr>
                <w:rFonts w:eastAsia="Calibri"/>
                <w:bCs/>
                <w:sz w:val="16"/>
                <w:szCs w:val="16"/>
                <w:u w:val="single"/>
                <w:vertAlign w:val="superscript"/>
                <w:lang w:eastAsia="en-US"/>
              </w:rPr>
              <w:t>1</w:t>
            </w:r>
            <w:r w:rsidRPr="00D96653">
              <w:rPr>
                <w:rFonts w:eastAsia="Calibri"/>
                <w:bCs/>
                <w:sz w:val="16"/>
                <w:szCs w:val="16"/>
                <w:vertAlign w:val="superscript"/>
                <w:lang w:eastAsia="en-US"/>
              </w:rPr>
              <w:t>/</w:t>
            </w:r>
          </w:p>
        </w:tc>
        <w:tc>
          <w:tcPr>
            <w:tcW w:w="1134" w:type="dxa"/>
            <w:tcBorders>
              <w:left w:val="single" w:sz="2" w:space="0" w:color="auto"/>
              <w:right w:val="single" w:sz="2" w:space="0" w:color="auto"/>
            </w:tcBorders>
            <w:shd w:val="clear" w:color="auto" w:fill="auto"/>
          </w:tcPr>
          <w:p w14:paraId="51353C12"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88</w:t>
            </w:r>
          </w:p>
        </w:tc>
        <w:tc>
          <w:tcPr>
            <w:tcW w:w="1164" w:type="dxa"/>
            <w:tcBorders>
              <w:left w:val="single" w:sz="2" w:space="0" w:color="auto"/>
              <w:right w:val="single" w:sz="2" w:space="0" w:color="auto"/>
            </w:tcBorders>
            <w:shd w:val="clear" w:color="auto" w:fill="auto"/>
          </w:tcPr>
          <w:p w14:paraId="024E50BD"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90</w:t>
            </w:r>
          </w:p>
        </w:tc>
        <w:tc>
          <w:tcPr>
            <w:tcW w:w="1134" w:type="dxa"/>
            <w:tcBorders>
              <w:left w:val="single" w:sz="2" w:space="0" w:color="auto"/>
              <w:right w:val="single" w:sz="2" w:space="0" w:color="auto"/>
            </w:tcBorders>
            <w:shd w:val="clear" w:color="auto" w:fill="auto"/>
          </w:tcPr>
          <w:p w14:paraId="117C201B"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w:t>
            </w:r>
          </w:p>
        </w:tc>
        <w:tc>
          <w:tcPr>
            <w:tcW w:w="1134" w:type="dxa"/>
            <w:tcBorders>
              <w:left w:val="single" w:sz="2" w:space="0" w:color="auto"/>
              <w:right w:val="single" w:sz="2" w:space="0" w:color="auto"/>
            </w:tcBorders>
            <w:shd w:val="clear" w:color="auto" w:fill="auto"/>
          </w:tcPr>
          <w:p w14:paraId="61E85D30"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2.0</w:t>
            </w:r>
          </w:p>
        </w:tc>
      </w:tr>
      <w:tr w:rsidR="00D96653" w:rsidRPr="00D96653" w14:paraId="51130AF7" w14:textId="77777777" w:rsidTr="004D3FE5">
        <w:tc>
          <w:tcPr>
            <w:tcW w:w="4378" w:type="dxa"/>
            <w:tcBorders>
              <w:left w:val="single" w:sz="2" w:space="0" w:color="auto"/>
              <w:right w:val="single" w:sz="2" w:space="0" w:color="auto"/>
            </w:tcBorders>
            <w:shd w:val="clear" w:color="auto" w:fill="auto"/>
          </w:tcPr>
          <w:p w14:paraId="3BD6258D"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Resultado por intermediación</w:t>
            </w:r>
          </w:p>
        </w:tc>
        <w:tc>
          <w:tcPr>
            <w:tcW w:w="1134" w:type="dxa"/>
            <w:tcBorders>
              <w:left w:val="single" w:sz="2" w:space="0" w:color="auto"/>
              <w:right w:val="single" w:sz="2" w:space="0" w:color="auto"/>
            </w:tcBorders>
            <w:shd w:val="clear" w:color="auto" w:fill="auto"/>
          </w:tcPr>
          <w:p w14:paraId="216B56C9"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38</w:t>
            </w:r>
          </w:p>
        </w:tc>
        <w:tc>
          <w:tcPr>
            <w:tcW w:w="1164" w:type="dxa"/>
            <w:tcBorders>
              <w:left w:val="single" w:sz="2" w:space="0" w:color="auto"/>
              <w:right w:val="single" w:sz="2" w:space="0" w:color="auto"/>
            </w:tcBorders>
            <w:shd w:val="clear" w:color="auto" w:fill="auto"/>
          </w:tcPr>
          <w:p w14:paraId="2DED1837"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24</w:t>
            </w:r>
          </w:p>
        </w:tc>
        <w:tc>
          <w:tcPr>
            <w:tcW w:w="1134" w:type="dxa"/>
            <w:tcBorders>
              <w:left w:val="single" w:sz="2" w:space="0" w:color="auto"/>
              <w:right w:val="single" w:sz="2" w:space="0" w:color="auto"/>
            </w:tcBorders>
            <w:shd w:val="clear" w:color="auto" w:fill="auto"/>
          </w:tcPr>
          <w:p w14:paraId="7BC6BC7C"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-14</w:t>
            </w:r>
          </w:p>
        </w:tc>
        <w:tc>
          <w:tcPr>
            <w:tcW w:w="1134" w:type="dxa"/>
            <w:tcBorders>
              <w:left w:val="single" w:sz="2" w:space="0" w:color="auto"/>
              <w:right w:val="single" w:sz="2" w:space="0" w:color="auto"/>
            </w:tcBorders>
            <w:shd w:val="clear" w:color="auto" w:fill="auto"/>
          </w:tcPr>
          <w:p w14:paraId="1239DE55"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-36.6</w:t>
            </w:r>
          </w:p>
        </w:tc>
      </w:tr>
      <w:tr w:rsidR="00D96653" w:rsidRPr="00D96653" w14:paraId="25CF0FA8" w14:textId="77777777" w:rsidTr="004D3FE5">
        <w:tc>
          <w:tcPr>
            <w:tcW w:w="4378" w:type="dxa"/>
            <w:tcBorders>
              <w:left w:val="single" w:sz="2" w:space="0" w:color="auto"/>
              <w:right w:val="single" w:sz="2" w:space="0" w:color="auto"/>
            </w:tcBorders>
            <w:shd w:val="clear" w:color="auto" w:fill="auto"/>
          </w:tcPr>
          <w:p w14:paraId="62988663"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Otros ingresos (egresos) de la operación</w:t>
            </w:r>
          </w:p>
        </w:tc>
        <w:tc>
          <w:tcPr>
            <w:tcW w:w="1134" w:type="dxa"/>
            <w:tcBorders>
              <w:left w:val="single" w:sz="2" w:space="0" w:color="auto"/>
              <w:right w:val="single" w:sz="2" w:space="0" w:color="auto"/>
            </w:tcBorders>
            <w:shd w:val="clear" w:color="auto" w:fill="auto"/>
          </w:tcPr>
          <w:p w14:paraId="106869F2"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13</w:t>
            </w:r>
          </w:p>
        </w:tc>
        <w:tc>
          <w:tcPr>
            <w:tcW w:w="1164" w:type="dxa"/>
            <w:tcBorders>
              <w:left w:val="single" w:sz="2" w:space="0" w:color="auto"/>
              <w:right w:val="single" w:sz="2" w:space="0" w:color="auto"/>
            </w:tcBorders>
            <w:shd w:val="clear" w:color="auto" w:fill="auto"/>
          </w:tcPr>
          <w:p w14:paraId="10B5248F"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27</w:t>
            </w:r>
          </w:p>
        </w:tc>
        <w:tc>
          <w:tcPr>
            <w:tcW w:w="1134" w:type="dxa"/>
            <w:tcBorders>
              <w:left w:val="single" w:sz="2" w:space="0" w:color="auto"/>
              <w:right w:val="single" w:sz="2" w:space="0" w:color="auto"/>
            </w:tcBorders>
            <w:shd w:val="clear" w:color="auto" w:fill="auto"/>
          </w:tcPr>
          <w:p w14:paraId="10484BE8"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14</w:t>
            </w:r>
          </w:p>
        </w:tc>
        <w:tc>
          <w:tcPr>
            <w:tcW w:w="1134" w:type="dxa"/>
            <w:tcBorders>
              <w:left w:val="single" w:sz="2" w:space="0" w:color="auto"/>
              <w:right w:val="single" w:sz="2" w:space="0" w:color="auto"/>
            </w:tcBorders>
            <w:shd w:val="clear" w:color="auto" w:fill="auto"/>
          </w:tcPr>
          <w:p w14:paraId="4094C179"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108.6</w:t>
            </w:r>
          </w:p>
        </w:tc>
      </w:tr>
      <w:tr w:rsidR="00D96653" w:rsidRPr="00D96653" w14:paraId="6B4AA152" w14:textId="77777777" w:rsidTr="004D3FE5">
        <w:tc>
          <w:tcPr>
            <w:tcW w:w="4378" w:type="dxa"/>
            <w:tcBorders>
              <w:left w:val="single" w:sz="2" w:space="0" w:color="auto"/>
              <w:right w:val="single" w:sz="2" w:space="0" w:color="auto"/>
            </w:tcBorders>
            <w:shd w:val="clear" w:color="auto" w:fill="auto"/>
          </w:tcPr>
          <w:p w14:paraId="13986B90"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Gastos de administración y promoción</w:t>
            </w:r>
          </w:p>
        </w:tc>
        <w:tc>
          <w:tcPr>
            <w:tcW w:w="1134" w:type="dxa"/>
            <w:tcBorders>
              <w:left w:val="single" w:sz="2" w:space="0" w:color="auto"/>
              <w:right w:val="single" w:sz="2" w:space="0" w:color="auto"/>
            </w:tcBorders>
            <w:shd w:val="clear" w:color="auto" w:fill="auto"/>
          </w:tcPr>
          <w:p w14:paraId="59632A62"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200</w:t>
            </w:r>
          </w:p>
        </w:tc>
        <w:tc>
          <w:tcPr>
            <w:tcW w:w="1164" w:type="dxa"/>
            <w:tcBorders>
              <w:left w:val="single" w:sz="2" w:space="0" w:color="auto"/>
              <w:right w:val="single" w:sz="2" w:space="0" w:color="auto"/>
            </w:tcBorders>
            <w:shd w:val="clear" w:color="auto" w:fill="auto"/>
          </w:tcPr>
          <w:p w14:paraId="4C5DDED9"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219</w:t>
            </w:r>
          </w:p>
        </w:tc>
        <w:tc>
          <w:tcPr>
            <w:tcW w:w="1134" w:type="dxa"/>
            <w:tcBorders>
              <w:left w:val="single" w:sz="2" w:space="0" w:color="auto"/>
              <w:right w:val="single" w:sz="2" w:space="0" w:color="auto"/>
            </w:tcBorders>
            <w:shd w:val="clear" w:color="auto" w:fill="auto"/>
          </w:tcPr>
          <w:p w14:paraId="483AFE3A"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19</w:t>
            </w:r>
          </w:p>
        </w:tc>
        <w:tc>
          <w:tcPr>
            <w:tcW w:w="1134" w:type="dxa"/>
            <w:tcBorders>
              <w:left w:val="single" w:sz="2" w:space="0" w:color="auto"/>
              <w:right w:val="single" w:sz="2" w:space="0" w:color="auto"/>
            </w:tcBorders>
            <w:shd w:val="clear" w:color="auto" w:fill="auto"/>
          </w:tcPr>
          <w:p w14:paraId="1A37D748"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9.3</w:t>
            </w:r>
          </w:p>
        </w:tc>
      </w:tr>
      <w:tr w:rsidR="00D96653" w:rsidRPr="00D96653" w14:paraId="78F250B8" w14:textId="77777777" w:rsidTr="004D3FE5">
        <w:tc>
          <w:tcPr>
            <w:tcW w:w="4378" w:type="dxa"/>
            <w:tcBorders>
              <w:left w:val="single" w:sz="2" w:space="0" w:color="auto"/>
              <w:right w:val="single" w:sz="2" w:space="0" w:color="auto"/>
            </w:tcBorders>
            <w:shd w:val="clear" w:color="auto" w:fill="auto"/>
          </w:tcPr>
          <w:p w14:paraId="291BC186" w14:textId="77777777" w:rsidR="00D96653" w:rsidRPr="00D96653" w:rsidRDefault="00D96653" w:rsidP="00D96653">
            <w:pPr>
              <w:rPr>
                <w:rFonts w:eastAsia="Calibri"/>
                <w:b/>
                <w:bCs/>
                <w:sz w:val="16"/>
                <w:szCs w:val="16"/>
                <w:lang w:eastAsia="en-US"/>
              </w:rPr>
            </w:pPr>
            <w:r w:rsidRPr="00D96653">
              <w:rPr>
                <w:rFonts w:eastAsia="Calibri"/>
                <w:b/>
                <w:bCs/>
                <w:sz w:val="16"/>
                <w:szCs w:val="16"/>
                <w:lang w:eastAsia="en-US"/>
              </w:rPr>
              <w:t>Resultado de la operación</w:t>
            </w:r>
          </w:p>
        </w:tc>
        <w:tc>
          <w:tcPr>
            <w:tcW w:w="1134" w:type="dxa"/>
            <w:tcBorders>
              <w:left w:val="single" w:sz="2" w:space="0" w:color="auto"/>
              <w:right w:val="single" w:sz="2" w:space="0" w:color="auto"/>
            </w:tcBorders>
            <w:shd w:val="clear" w:color="auto" w:fill="auto"/>
          </w:tcPr>
          <w:p w14:paraId="28DBF98A"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139</w:t>
            </w:r>
          </w:p>
        </w:tc>
        <w:tc>
          <w:tcPr>
            <w:tcW w:w="1164" w:type="dxa"/>
            <w:tcBorders>
              <w:left w:val="single" w:sz="2" w:space="0" w:color="auto"/>
              <w:right w:val="single" w:sz="2" w:space="0" w:color="auto"/>
            </w:tcBorders>
            <w:shd w:val="clear" w:color="auto" w:fill="auto"/>
          </w:tcPr>
          <w:p w14:paraId="1A00DE07"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137</w:t>
            </w:r>
          </w:p>
        </w:tc>
        <w:tc>
          <w:tcPr>
            <w:tcW w:w="1134" w:type="dxa"/>
            <w:tcBorders>
              <w:left w:val="single" w:sz="2" w:space="0" w:color="auto"/>
              <w:right w:val="single" w:sz="2" w:space="0" w:color="auto"/>
            </w:tcBorders>
            <w:shd w:val="clear" w:color="auto" w:fill="auto"/>
          </w:tcPr>
          <w:p w14:paraId="2E52838B"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-2</w:t>
            </w:r>
          </w:p>
        </w:tc>
        <w:tc>
          <w:tcPr>
            <w:tcW w:w="1134" w:type="dxa"/>
            <w:tcBorders>
              <w:left w:val="single" w:sz="2" w:space="0" w:color="auto"/>
              <w:right w:val="single" w:sz="2" w:space="0" w:color="auto"/>
            </w:tcBorders>
            <w:shd w:val="clear" w:color="auto" w:fill="auto"/>
          </w:tcPr>
          <w:p w14:paraId="2E8D2C89" w14:textId="77777777" w:rsidR="00D96653" w:rsidRPr="00D96653" w:rsidRDefault="00D96653" w:rsidP="00D96653">
            <w:pPr>
              <w:ind w:left="170" w:right="284"/>
              <w:jc w:val="right"/>
              <w:rPr>
                <w:rFonts w:eastAsia="Calibri"/>
                <w:b/>
                <w:bCs/>
                <w:sz w:val="16"/>
                <w:szCs w:val="16"/>
                <w:lang w:eastAsia="en-US"/>
              </w:rPr>
            </w:pPr>
            <w:r w:rsidRPr="00D96653">
              <w:rPr>
                <w:rFonts w:eastAsia="Calibri"/>
                <w:b/>
                <w:bCs/>
                <w:sz w:val="16"/>
                <w:szCs w:val="16"/>
                <w:lang w:eastAsia="en-US"/>
              </w:rPr>
              <w:t>-1.6</w:t>
            </w:r>
          </w:p>
        </w:tc>
      </w:tr>
      <w:tr w:rsidR="00D96653" w:rsidRPr="00D96653" w14:paraId="65909BF8" w14:textId="77777777" w:rsidTr="004D3FE5">
        <w:tc>
          <w:tcPr>
            <w:tcW w:w="4378" w:type="dxa"/>
            <w:tcBorders>
              <w:left w:val="single" w:sz="2" w:space="0" w:color="auto"/>
              <w:right w:val="single" w:sz="2" w:space="0" w:color="auto"/>
            </w:tcBorders>
            <w:shd w:val="clear" w:color="auto" w:fill="auto"/>
          </w:tcPr>
          <w:p w14:paraId="030F9198"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Participación en el res. de sub. no consolidadas y asociadas</w:t>
            </w:r>
          </w:p>
        </w:tc>
        <w:tc>
          <w:tcPr>
            <w:tcW w:w="1134" w:type="dxa"/>
            <w:tcBorders>
              <w:left w:val="single" w:sz="2" w:space="0" w:color="auto"/>
              <w:right w:val="single" w:sz="2" w:space="0" w:color="auto"/>
            </w:tcBorders>
            <w:shd w:val="clear" w:color="auto" w:fill="auto"/>
          </w:tcPr>
          <w:p w14:paraId="07511351"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w:t>
            </w:r>
          </w:p>
        </w:tc>
        <w:tc>
          <w:tcPr>
            <w:tcW w:w="1164" w:type="dxa"/>
            <w:tcBorders>
              <w:left w:val="single" w:sz="2" w:space="0" w:color="auto"/>
              <w:right w:val="single" w:sz="2" w:space="0" w:color="auto"/>
            </w:tcBorders>
            <w:shd w:val="clear" w:color="auto" w:fill="auto"/>
          </w:tcPr>
          <w:p w14:paraId="4C5ECC84"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3</w:t>
            </w:r>
          </w:p>
        </w:tc>
        <w:tc>
          <w:tcPr>
            <w:tcW w:w="1134" w:type="dxa"/>
            <w:tcBorders>
              <w:left w:val="single" w:sz="2" w:space="0" w:color="auto"/>
              <w:right w:val="single" w:sz="2" w:space="0" w:color="auto"/>
            </w:tcBorders>
            <w:shd w:val="clear" w:color="auto" w:fill="auto"/>
          </w:tcPr>
          <w:p w14:paraId="6BD8B65D"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0</w:t>
            </w:r>
          </w:p>
        </w:tc>
        <w:tc>
          <w:tcPr>
            <w:tcW w:w="1134" w:type="dxa"/>
            <w:tcBorders>
              <w:left w:val="single" w:sz="2" w:space="0" w:color="auto"/>
              <w:right w:val="single" w:sz="2" w:space="0" w:color="auto"/>
            </w:tcBorders>
            <w:shd w:val="clear" w:color="auto" w:fill="auto"/>
          </w:tcPr>
          <w:p w14:paraId="73D8F735"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20.1</w:t>
            </w:r>
          </w:p>
        </w:tc>
      </w:tr>
      <w:tr w:rsidR="00D96653" w:rsidRPr="00D96653" w14:paraId="0105B102" w14:textId="77777777" w:rsidTr="004D3FE5">
        <w:tc>
          <w:tcPr>
            <w:tcW w:w="4378" w:type="dxa"/>
            <w:tcBorders>
              <w:left w:val="single" w:sz="2" w:space="0" w:color="auto"/>
              <w:right w:val="single" w:sz="2" w:space="0" w:color="auto"/>
            </w:tcBorders>
            <w:shd w:val="clear" w:color="auto" w:fill="auto"/>
          </w:tcPr>
          <w:p w14:paraId="77BC72B3" w14:textId="77777777" w:rsidR="00D96653" w:rsidRPr="00D96653" w:rsidRDefault="00D96653" w:rsidP="00D96653">
            <w:pPr>
              <w:rPr>
                <w:rFonts w:eastAsia="Calibri"/>
                <w:b/>
                <w:bCs/>
                <w:sz w:val="16"/>
                <w:szCs w:val="16"/>
                <w:lang w:eastAsia="en-US"/>
              </w:rPr>
            </w:pPr>
            <w:r w:rsidRPr="00D96653">
              <w:rPr>
                <w:rFonts w:eastAsia="Calibri"/>
                <w:b/>
                <w:bCs/>
                <w:sz w:val="16"/>
                <w:szCs w:val="16"/>
                <w:lang w:eastAsia="en-US"/>
              </w:rPr>
              <w:t>Resultado antes de impuestos a la utilidad</w:t>
            </w:r>
          </w:p>
        </w:tc>
        <w:tc>
          <w:tcPr>
            <w:tcW w:w="1134" w:type="dxa"/>
            <w:tcBorders>
              <w:left w:val="single" w:sz="2" w:space="0" w:color="auto"/>
              <w:right w:val="single" w:sz="2" w:space="0" w:color="auto"/>
            </w:tcBorders>
            <w:shd w:val="clear" w:color="auto" w:fill="auto"/>
          </w:tcPr>
          <w:p w14:paraId="138935AA"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141</w:t>
            </w:r>
          </w:p>
        </w:tc>
        <w:tc>
          <w:tcPr>
            <w:tcW w:w="1164" w:type="dxa"/>
            <w:tcBorders>
              <w:left w:val="single" w:sz="2" w:space="0" w:color="auto"/>
              <w:right w:val="single" w:sz="2" w:space="0" w:color="auto"/>
            </w:tcBorders>
            <w:shd w:val="clear" w:color="auto" w:fill="auto"/>
          </w:tcPr>
          <w:p w14:paraId="11DC7F52"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139</w:t>
            </w:r>
          </w:p>
        </w:tc>
        <w:tc>
          <w:tcPr>
            <w:tcW w:w="1134" w:type="dxa"/>
            <w:tcBorders>
              <w:left w:val="single" w:sz="2" w:space="0" w:color="auto"/>
              <w:right w:val="single" w:sz="2" w:space="0" w:color="auto"/>
            </w:tcBorders>
            <w:shd w:val="clear" w:color="auto" w:fill="auto"/>
          </w:tcPr>
          <w:p w14:paraId="530D27FB"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-2</w:t>
            </w:r>
          </w:p>
        </w:tc>
        <w:tc>
          <w:tcPr>
            <w:tcW w:w="1134" w:type="dxa"/>
            <w:tcBorders>
              <w:left w:val="single" w:sz="2" w:space="0" w:color="auto"/>
              <w:right w:val="single" w:sz="2" w:space="0" w:color="auto"/>
            </w:tcBorders>
            <w:shd w:val="clear" w:color="auto" w:fill="auto"/>
          </w:tcPr>
          <w:p w14:paraId="3AC3B50E" w14:textId="77777777" w:rsidR="00D96653" w:rsidRPr="00D96653" w:rsidRDefault="00D96653" w:rsidP="00D96653">
            <w:pPr>
              <w:ind w:left="170" w:right="284"/>
              <w:jc w:val="right"/>
              <w:rPr>
                <w:rFonts w:eastAsia="Calibri"/>
                <w:b/>
                <w:bCs/>
                <w:sz w:val="16"/>
                <w:szCs w:val="16"/>
                <w:lang w:eastAsia="en-US"/>
              </w:rPr>
            </w:pPr>
            <w:r w:rsidRPr="00D96653">
              <w:rPr>
                <w:rFonts w:eastAsia="Calibri"/>
                <w:b/>
                <w:bCs/>
                <w:sz w:val="16"/>
                <w:szCs w:val="16"/>
                <w:lang w:eastAsia="en-US"/>
              </w:rPr>
              <w:t>-1.2</w:t>
            </w:r>
          </w:p>
        </w:tc>
      </w:tr>
      <w:tr w:rsidR="00D96653" w:rsidRPr="00D96653" w14:paraId="52B2A752" w14:textId="77777777" w:rsidTr="004D3FE5">
        <w:tc>
          <w:tcPr>
            <w:tcW w:w="4378" w:type="dxa"/>
            <w:tcBorders>
              <w:left w:val="single" w:sz="2" w:space="0" w:color="auto"/>
              <w:right w:val="single" w:sz="2" w:space="0" w:color="auto"/>
            </w:tcBorders>
            <w:shd w:val="clear" w:color="auto" w:fill="auto"/>
          </w:tcPr>
          <w:p w14:paraId="526441D0"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Impuestos a la utilidad causados</w:t>
            </w:r>
          </w:p>
        </w:tc>
        <w:tc>
          <w:tcPr>
            <w:tcW w:w="1134" w:type="dxa"/>
            <w:tcBorders>
              <w:left w:val="single" w:sz="2" w:space="0" w:color="auto"/>
              <w:right w:val="single" w:sz="2" w:space="0" w:color="auto"/>
            </w:tcBorders>
            <w:shd w:val="clear" w:color="auto" w:fill="auto"/>
          </w:tcPr>
          <w:p w14:paraId="6B3DA938"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35</w:t>
            </w:r>
          </w:p>
        </w:tc>
        <w:tc>
          <w:tcPr>
            <w:tcW w:w="1164" w:type="dxa"/>
            <w:tcBorders>
              <w:left w:val="single" w:sz="2" w:space="0" w:color="auto"/>
              <w:right w:val="single" w:sz="2" w:space="0" w:color="auto"/>
            </w:tcBorders>
            <w:shd w:val="clear" w:color="auto" w:fill="auto"/>
          </w:tcPr>
          <w:p w14:paraId="3791BAC9"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39</w:t>
            </w:r>
          </w:p>
        </w:tc>
        <w:tc>
          <w:tcPr>
            <w:tcW w:w="1134" w:type="dxa"/>
            <w:tcBorders>
              <w:left w:val="single" w:sz="2" w:space="0" w:color="auto"/>
              <w:right w:val="single" w:sz="2" w:space="0" w:color="auto"/>
            </w:tcBorders>
            <w:shd w:val="clear" w:color="auto" w:fill="auto"/>
          </w:tcPr>
          <w:p w14:paraId="6CB78B28"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4</w:t>
            </w:r>
          </w:p>
        </w:tc>
        <w:tc>
          <w:tcPr>
            <w:tcW w:w="1134" w:type="dxa"/>
            <w:tcBorders>
              <w:left w:val="single" w:sz="2" w:space="0" w:color="auto"/>
              <w:right w:val="single" w:sz="2" w:space="0" w:color="auto"/>
            </w:tcBorders>
            <w:shd w:val="clear" w:color="auto" w:fill="auto"/>
          </w:tcPr>
          <w:p w14:paraId="58626B13"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12.5</w:t>
            </w:r>
          </w:p>
        </w:tc>
      </w:tr>
      <w:tr w:rsidR="00D96653" w:rsidRPr="00D96653" w14:paraId="6CBBD048" w14:textId="77777777" w:rsidTr="004D3FE5">
        <w:tc>
          <w:tcPr>
            <w:tcW w:w="4378" w:type="dxa"/>
            <w:tcBorders>
              <w:left w:val="single" w:sz="2" w:space="0" w:color="auto"/>
              <w:right w:val="single" w:sz="2" w:space="0" w:color="auto"/>
            </w:tcBorders>
            <w:shd w:val="clear" w:color="auto" w:fill="auto"/>
          </w:tcPr>
          <w:p w14:paraId="2AC9D273"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Impuestos a la utilidad diferidos</w:t>
            </w:r>
          </w:p>
        </w:tc>
        <w:tc>
          <w:tcPr>
            <w:tcW w:w="1134" w:type="dxa"/>
            <w:tcBorders>
              <w:left w:val="single" w:sz="2" w:space="0" w:color="auto"/>
              <w:right w:val="single" w:sz="2" w:space="0" w:color="auto"/>
            </w:tcBorders>
            <w:shd w:val="clear" w:color="auto" w:fill="auto"/>
          </w:tcPr>
          <w:p w14:paraId="1B9B6191"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6</w:t>
            </w:r>
          </w:p>
        </w:tc>
        <w:tc>
          <w:tcPr>
            <w:tcW w:w="1164" w:type="dxa"/>
            <w:tcBorders>
              <w:left w:val="single" w:sz="2" w:space="0" w:color="auto"/>
              <w:right w:val="single" w:sz="2" w:space="0" w:color="auto"/>
            </w:tcBorders>
            <w:shd w:val="clear" w:color="auto" w:fill="auto"/>
          </w:tcPr>
          <w:p w14:paraId="32FABEB5"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8</w:t>
            </w:r>
          </w:p>
        </w:tc>
        <w:tc>
          <w:tcPr>
            <w:tcW w:w="1134" w:type="dxa"/>
            <w:tcBorders>
              <w:left w:val="single" w:sz="2" w:space="0" w:color="auto"/>
              <w:right w:val="single" w:sz="2" w:space="0" w:color="auto"/>
            </w:tcBorders>
            <w:shd w:val="clear" w:color="auto" w:fill="auto"/>
          </w:tcPr>
          <w:p w14:paraId="58730716"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2</w:t>
            </w:r>
          </w:p>
        </w:tc>
        <w:tc>
          <w:tcPr>
            <w:tcW w:w="1134" w:type="dxa"/>
            <w:tcBorders>
              <w:left w:val="single" w:sz="2" w:space="0" w:color="auto"/>
              <w:right w:val="single" w:sz="2" w:space="0" w:color="auto"/>
            </w:tcBorders>
            <w:shd w:val="clear" w:color="auto" w:fill="auto"/>
          </w:tcPr>
          <w:p w14:paraId="4FE3AEF5"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26.3</w:t>
            </w:r>
          </w:p>
        </w:tc>
      </w:tr>
      <w:tr w:rsidR="00D96653" w:rsidRPr="00D96653" w14:paraId="6173D701" w14:textId="77777777" w:rsidTr="004D3FE5">
        <w:tc>
          <w:tcPr>
            <w:tcW w:w="4378" w:type="dxa"/>
            <w:tcBorders>
              <w:left w:val="single" w:sz="2" w:space="0" w:color="auto"/>
              <w:right w:val="single" w:sz="2" w:space="0" w:color="auto"/>
            </w:tcBorders>
            <w:shd w:val="clear" w:color="auto" w:fill="auto"/>
          </w:tcPr>
          <w:p w14:paraId="7C324DD8" w14:textId="77777777" w:rsidR="00D96653" w:rsidRPr="00D96653" w:rsidRDefault="00D96653" w:rsidP="00D96653">
            <w:pPr>
              <w:rPr>
                <w:rFonts w:eastAsia="Calibri"/>
                <w:b/>
                <w:bCs/>
                <w:sz w:val="16"/>
                <w:szCs w:val="16"/>
                <w:lang w:eastAsia="en-US"/>
              </w:rPr>
            </w:pPr>
            <w:r w:rsidRPr="00D96653">
              <w:rPr>
                <w:rFonts w:eastAsia="Calibri"/>
                <w:b/>
                <w:bCs/>
                <w:sz w:val="16"/>
                <w:szCs w:val="16"/>
                <w:lang w:eastAsia="en-US"/>
              </w:rPr>
              <w:t>Resultado antes de operaciones discontinuadas</w:t>
            </w:r>
          </w:p>
        </w:tc>
        <w:tc>
          <w:tcPr>
            <w:tcW w:w="1134" w:type="dxa"/>
            <w:tcBorders>
              <w:left w:val="single" w:sz="2" w:space="0" w:color="auto"/>
              <w:right w:val="single" w:sz="2" w:space="0" w:color="auto"/>
            </w:tcBorders>
            <w:shd w:val="clear" w:color="auto" w:fill="auto"/>
          </w:tcPr>
          <w:p w14:paraId="30E142B1"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112</w:t>
            </w:r>
          </w:p>
        </w:tc>
        <w:tc>
          <w:tcPr>
            <w:tcW w:w="1164" w:type="dxa"/>
            <w:tcBorders>
              <w:left w:val="single" w:sz="2" w:space="0" w:color="auto"/>
              <w:right w:val="single" w:sz="2" w:space="0" w:color="auto"/>
            </w:tcBorders>
            <w:shd w:val="clear" w:color="auto" w:fill="auto"/>
          </w:tcPr>
          <w:p w14:paraId="4CC85771"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108</w:t>
            </w:r>
          </w:p>
        </w:tc>
        <w:tc>
          <w:tcPr>
            <w:tcW w:w="1134" w:type="dxa"/>
            <w:tcBorders>
              <w:left w:val="single" w:sz="2" w:space="0" w:color="auto"/>
              <w:right w:val="single" w:sz="2" w:space="0" w:color="auto"/>
            </w:tcBorders>
            <w:shd w:val="clear" w:color="auto" w:fill="auto"/>
          </w:tcPr>
          <w:p w14:paraId="3CCF6D68"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-5</w:t>
            </w:r>
          </w:p>
        </w:tc>
        <w:tc>
          <w:tcPr>
            <w:tcW w:w="1134" w:type="dxa"/>
            <w:tcBorders>
              <w:left w:val="single" w:sz="2" w:space="0" w:color="auto"/>
              <w:right w:val="single" w:sz="2" w:space="0" w:color="auto"/>
            </w:tcBorders>
            <w:shd w:val="clear" w:color="auto" w:fill="auto"/>
          </w:tcPr>
          <w:p w14:paraId="7CA50312" w14:textId="77777777" w:rsidR="00D96653" w:rsidRPr="00D96653" w:rsidRDefault="00D96653" w:rsidP="00D96653">
            <w:pPr>
              <w:ind w:left="170" w:right="284"/>
              <w:jc w:val="right"/>
              <w:rPr>
                <w:rFonts w:eastAsia="Calibri"/>
                <w:b/>
                <w:bCs/>
                <w:sz w:val="16"/>
                <w:szCs w:val="16"/>
                <w:lang w:eastAsia="en-US"/>
              </w:rPr>
            </w:pPr>
            <w:r w:rsidRPr="00D96653">
              <w:rPr>
                <w:rFonts w:eastAsia="Calibri"/>
                <w:b/>
                <w:bCs/>
                <w:sz w:val="16"/>
                <w:szCs w:val="16"/>
                <w:lang w:eastAsia="en-US"/>
              </w:rPr>
              <w:t>-4.0</w:t>
            </w:r>
          </w:p>
        </w:tc>
      </w:tr>
      <w:tr w:rsidR="00D96653" w:rsidRPr="00D96653" w14:paraId="151AF724" w14:textId="77777777" w:rsidTr="004D3FE5">
        <w:tc>
          <w:tcPr>
            <w:tcW w:w="4378" w:type="dxa"/>
            <w:tcBorders>
              <w:left w:val="single" w:sz="2" w:space="0" w:color="auto"/>
              <w:right w:val="single" w:sz="2" w:space="0" w:color="auto"/>
            </w:tcBorders>
            <w:shd w:val="clear" w:color="auto" w:fill="auto"/>
          </w:tcPr>
          <w:p w14:paraId="340C18CE"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Operaciones discontinuadas</w:t>
            </w:r>
          </w:p>
        </w:tc>
        <w:tc>
          <w:tcPr>
            <w:tcW w:w="1134" w:type="dxa"/>
            <w:tcBorders>
              <w:left w:val="single" w:sz="2" w:space="0" w:color="auto"/>
              <w:right w:val="single" w:sz="2" w:space="0" w:color="auto"/>
            </w:tcBorders>
            <w:shd w:val="clear" w:color="auto" w:fill="auto"/>
          </w:tcPr>
          <w:p w14:paraId="4F206FB3"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10</w:t>
            </w:r>
          </w:p>
        </w:tc>
        <w:tc>
          <w:tcPr>
            <w:tcW w:w="1164" w:type="dxa"/>
            <w:tcBorders>
              <w:left w:val="single" w:sz="2" w:space="0" w:color="auto"/>
              <w:right w:val="single" w:sz="2" w:space="0" w:color="auto"/>
            </w:tcBorders>
            <w:shd w:val="clear" w:color="auto" w:fill="auto"/>
          </w:tcPr>
          <w:p w14:paraId="2A6A1034"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0</w:t>
            </w:r>
          </w:p>
        </w:tc>
        <w:tc>
          <w:tcPr>
            <w:tcW w:w="1134" w:type="dxa"/>
            <w:tcBorders>
              <w:left w:val="single" w:sz="2" w:space="0" w:color="auto"/>
              <w:right w:val="single" w:sz="2" w:space="0" w:color="auto"/>
            </w:tcBorders>
            <w:shd w:val="clear" w:color="auto" w:fill="auto"/>
          </w:tcPr>
          <w:p w14:paraId="41FC5D21" w14:textId="77777777" w:rsidR="00D96653" w:rsidRPr="00D96653" w:rsidRDefault="00D96653" w:rsidP="00D96653">
            <w:pPr>
              <w:ind w:right="284"/>
              <w:jc w:val="right"/>
              <w:rPr>
                <w:rFonts w:eastAsia="Calibri"/>
                <w:sz w:val="16"/>
                <w:szCs w:val="16"/>
                <w:lang w:eastAsia="en-US"/>
              </w:rPr>
            </w:pPr>
            <w:r w:rsidRPr="00D96653">
              <w:rPr>
                <w:rFonts w:eastAsia="Calibri"/>
                <w:sz w:val="16"/>
                <w:szCs w:val="16"/>
                <w:lang w:eastAsia="en-US"/>
              </w:rPr>
              <w:t>-10</w:t>
            </w:r>
          </w:p>
        </w:tc>
        <w:tc>
          <w:tcPr>
            <w:tcW w:w="1134" w:type="dxa"/>
            <w:tcBorders>
              <w:left w:val="single" w:sz="2" w:space="0" w:color="auto"/>
              <w:right w:val="single" w:sz="2" w:space="0" w:color="auto"/>
            </w:tcBorders>
            <w:shd w:val="clear" w:color="auto" w:fill="auto"/>
          </w:tcPr>
          <w:p w14:paraId="098D8459" w14:textId="77777777" w:rsidR="00D96653" w:rsidRPr="00D96653" w:rsidRDefault="00D96653" w:rsidP="00D96653">
            <w:pPr>
              <w:ind w:right="284"/>
              <w:jc w:val="right"/>
              <w:rPr>
                <w:rFonts w:eastAsia="Calibri"/>
                <w:bCs/>
                <w:sz w:val="16"/>
                <w:szCs w:val="16"/>
                <w:lang w:eastAsia="en-US"/>
              </w:rPr>
            </w:pPr>
            <w:r w:rsidRPr="00D96653">
              <w:rPr>
                <w:rFonts w:eastAsia="Calibri"/>
                <w:bCs/>
                <w:sz w:val="16"/>
                <w:szCs w:val="16"/>
                <w:lang w:eastAsia="en-US"/>
              </w:rPr>
              <w:t>-100.0</w:t>
            </w:r>
          </w:p>
        </w:tc>
      </w:tr>
      <w:tr w:rsidR="00D96653" w:rsidRPr="00D96653" w14:paraId="300233CA" w14:textId="77777777" w:rsidTr="004D3FE5">
        <w:tc>
          <w:tcPr>
            <w:tcW w:w="4378" w:type="dxa"/>
            <w:tcBorders>
              <w:left w:val="single" w:sz="2" w:space="0" w:color="auto"/>
              <w:right w:val="single" w:sz="2" w:space="0" w:color="auto"/>
            </w:tcBorders>
            <w:shd w:val="clear" w:color="auto" w:fill="auto"/>
          </w:tcPr>
          <w:p w14:paraId="4687EB62" w14:textId="77777777" w:rsidR="00D96653" w:rsidRPr="00D96653" w:rsidRDefault="00D96653" w:rsidP="00D96653">
            <w:pPr>
              <w:ind w:left="170"/>
              <w:rPr>
                <w:rFonts w:eastAsia="Calibri"/>
                <w:b/>
                <w:bCs/>
                <w:sz w:val="16"/>
                <w:szCs w:val="16"/>
                <w:lang w:eastAsia="en-US"/>
              </w:rPr>
            </w:pPr>
            <w:r w:rsidRPr="00D96653">
              <w:rPr>
                <w:rFonts w:eastAsia="Calibri"/>
                <w:b/>
                <w:bCs/>
                <w:sz w:val="16"/>
                <w:szCs w:val="16"/>
                <w:lang w:eastAsia="en-US"/>
              </w:rPr>
              <w:t>Resultado neto</w:t>
            </w:r>
          </w:p>
        </w:tc>
        <w:tc>
          <w:tcPr>
            <w:tcW w:w="1134" w:type="dxa"/>
            <w:tcBorders>
              <w:left w:val="single" w:sz="2" w:space="0" w:color="auto"/>
              <w:right w:val="single" w:sz="2" w:space="0" w:color="auto"/>
            </w:tcBorders>
            <w:shd w:val="clear" w:color="auto" w:fill="auto"/>
          </w:tcPr>
          <w:p w14:paraId="675DD721"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122</w:t>
            </w:r>
          </w:p>
        </w:tc>
        <w:tc>
          <w:tcPr>
            <w:tcW w:w="1164" w:type="dxa"/>
            <w:tcBorders>
              <w:left w:val="single" w:sz="2" w:space="0" w:color="auto"/>
              <w:right w:val="single" w:sz="2" w:space="0" w:color="auto"/>
            </w:tcBorders>
            <w:shd w:val="clear" w:color="auto" w:fill="auto"/>
          </w:tcPr>
          <w:p w14:paraId="1613069A"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108</w:t>
            </w:r>
          </w:p>
        </w:tc>
        <w:tc>
          <w:tcPr>
            <w:tcW w:w="1134" w:type="dxa"/>
            <w:tcBorders>
              <w:left w:val="single" w:sz="2" w:space="0" w:color="auto"/>
              <w:right w:val="single" w:sz="2" w:space="0" w:color="auto"/>
            </w:tcBorders>
            <w:shd w:val="clear" w:color="auto" w:fill="auto"/>
          </w:tcPr>
          <w:p w14:paraId="72F0EDDA" w14:textId="77777777" w:rsidR="00D96653" w:rsidRPr="00D96653" w:rsidRDefault="00D96653" w:rsidP="00D96653">
            <w:pPr>
              <w:ind w:left="170" w:right="284"/>
              <w:jc w:val="right"/>
              <w:rPr>
                <w:rFonts w:eastAsia="Calibri"/>
                <w:b/>
                <w:sz w:val="16"/>
                <w:szCs w:val="16"/>
                <w:lang w:eastAsia="en-US"/>
              </w:rPr>
            </w:pPr>
            <w:r w:rsidRPr="00D96653">
              <w:rPr>
                <w:rFonts w:eastAsia="Calibri"/>
                <w:b/>
                <w:sz w:val="16"/>
                <w:szCs w:val="16"/>
                <w:lang w:eastAsia="en-US"/>
              </w:rPr>
              <w:t>-15</w:t>
            </w:r>
          </w:p>
        </w:tc>
        <w:tc>
          <w:tcPr>
            <w:tcW w:w="1134" w:type="dxa"/>
            <w:tcBorders>
              <w:left w:val="single" w:sz="2" w:space="0" w:color="auto"/>
              <w:right w:val="single" w:sz="2" w:space="0" w:color="auto"/>
            </w:tcBorders>
            <w:shd w:val="clear" w:color="auto" w:fill="auto"/>
          </w:tcPr>
          <w:p w14:paraId="1FE1AEF8" w14:textId="77777777" w:rsidR="00D96653" w:rsidRPr="00D96653" w:rsidRDefault="00D96653" w:rsidP="00D96653">
            <w:pPr>
              <w:ind w:left="170" w:right="284"/>
              <w:jc w:val="right"/>
              <w:rPr>
                <w:rFonts w:eastAsia="Calibri"/>
                <w:b/>
                <w:bCs/>
                <w:sz w:val="16"/>
                <w:szCs w:val="16"/>
                <w:lang w:eastAsia="en-US"/>
              </w:rPr>
            </w:pPr>
            <w:r w:rsidRPr="00D96653">
              <w:rPr>
                <w:rFonts w:eastAsia="Calibri"/>
                <w:b/>
                <w:bCs/>
                <w:sz w:val="16"/>
                <w:szCs w:val="16"/>
                <w:lang w:eastAsia="en-US"/>
              </w:rPr>
              <w:t>-12.1</w:t>
            </w:r>
          </w:p>
        </w:tc>
      </w:tr>
      <w:tr w:rsidR="00D96653" w:rsidRPr="00D96653" w14:paraId="4BA253EB" w14:textId="77777777" w:rsidTr="004D3FE5">
        <w:tc>
          <w:tcPr>
            <w:tcW w:w="4378" w:type="dxa"/>
            <w:tcBorders>
              <w:left w:val="single" w:sz="2" w:space="0" w:color="auto"/>
              <w:bottom w:val="single" w:sz="2" w:space="0" w:color="auto"/>
              <w:right w:val="single" w:sz="2" w:space="0" w:color="auto"/>
            </w:tcBorders>
            <w:shd w:val="clear" w:color="auto" w:fill="auto"/>
          </w:tcPr>
          <w:p w14:paraId="5F89A219" w14:textId="77777777" w:rsidR="00D96653" w:rsidRPr="00D96653" w:rsidRDefault="00D96653" w:rsidP="00D96653">
            <w:pPr>
              <w:ind w:left="170"/>
              <w:rPr>
                <w:rFonts w:eastAsia="Calibri"/>
                <w:bCs/>
                <w:sz w:val="16"/>
                <w:szCs w:val="16"/>
                <w:lang w:eastAsia="en-US"/>
              </w:rPr>
            </w:pPr>
            <w:r w:rsidRPr="00D96653">
              <w:rPr>
                <w:rFonts w:eastAsia="Calibri"/>
                <w:bCs/>
                <w:sz w:val="16"/>
                <w:szCs w:val="16"/>
                <w:lang w:eastAsia="en-US"/>
              </w:rPr>
              <w:t>Participación no controladora</w:t>
            </w:r>
          </w:p>
        </w:tc>
        <w:tc>
          <w:tcPr>
            <w:tcW w:w="1134" w:type="dxa"/>
            <w:tcBorders>
              <w:left w:val="single" w:sz="2" w:space="0" w:color="auto"/>
              <w:bottom w:val="single" w:sz="2" w:space="0" w:color="auto"/>
              <w:right w:val="single" w:sz="2" w:space="0" w:color="auto"/>
            </w:tcBorders>
            <w:shd w:val="clear" w:color="auto" w:fill="auto"/>
          </w:tcPr>
          <w:p w14:paraId="3E1C917E"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-1</w:t>
            </w:r>
          </w:p>
        </w:tc>
        <w:tc>
          <w:tcPr>
            <w:tcW w:w="1164" w:type="dxa"/>
            <w:tcBorders>
              <w:left w:val="single" w:sz="2" w:space="0" w:color="auto"/>
              <w:bottom w:val="single" w:sz="2" w:space="0" w:color="auto"/>
              <w:right w:val="single" w:sz="2" w:space="0" w:color="auto"/>
            </w:tcBorders>
            <w:shd w:val="clear" w:color="auto" w:fill="auto"/>
          </w:tcPr>
          <w:p w14:paraId="690664A4"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0</w:t>
            </w:r>
          </w:p>
        </w:tc>
        <w:tc>
          <w:tcPr>
            <w:tcW w:w="1134" w:type="dxa"/>
            <w:tcBorders>
              <w:left w:val="single" w:sz="2" w:space="0" w:color="auto"/>
              <w:bottom w:val="single" w:sz="2" w:space="0" w:color="auto"/>
              <w:right w:val="single" w:sz="2" w:space="0" w:color="auto"/>
            </w:tcBorders>
            <w:shd w:val="clear" w:color="auto" w:fill="auto"/>
          </w:tcPr>
          <w:p w14:paraId="354FC790" w14:textId="77777777" w:rsidR="00D96653" w:rsidRPr="00D96653" w:rsidRDefault="00D96653" w:rsidP="00D96653">
            <w:pPr>
              <w:ind w:left="170" w:right="284"/>
              <w:jc w:val="right"/>
              <w:rPr>
                <w:rFonts w:eastAsia="Calibri"/>
                <w:sz w:val="16"/>
                <w:szCs w:val="16"/>
                <w:lang w:eastAsia="en-US"/>
              </w:rPr>
            </w:pPr>
            <w:r w:rsidRPr="00D96653">
              <w:rPr>
                <w:rFonts w:eastAsia="Calibri"/>
                <w:sz w:val="16"/>
                <w:szCs w:val="16"/>
                <w:lang w:eastAsia="en-US"/>
              </w:rPr>
              <w:t>1</w:t>
            </w:r>
          </w:p>
        </w:tc>
        <w:tc>
          <w:tcPr>
            <w:tcW w:w="1134" w:type="dxa"/>
            <w:tcBorders>
              <w:left w:val="single" w:sz="2" w:space="0" w:color="auto"/>
              <w:bottom w:val="single" w:sz="2" w:space="0" w:color="auto"/>
              <w:right w:val="single" w:sz="2" w:space="0" w:color="auto"/>
            </w:tcBorders>
            <w:shd w:val="clear" w:color="auto" w:fill="auto"/>
          </w:tcPr>
          <w:p w14:paraId="50A7ACF0" w14:textId="77777777" w:rsidR="00D96653" w:rsidRPr="00D96653" w:rsidRDefault="00D96653" w:rsidP="00D96653">
            <w:pPr>
              <w:ind w:left="170" w:right="284"/>
              <w:jc w:val="right"/>
              <w:rPr>
                <w:rFonts w:eastAsia="Calibri"/>
                <w:bCs/>
                <w:sz w:val="16"/>
                <w:szCs w:val="16"/>
                <w:lang w:eastAsia="en-US"/>
              </w:rPr>
            </w:pPr>
            <w:r w:rsidRPr="00D96653">
              <w:rPr>
                <w:rFonts w:eastAsia="Calibri"/>
                <w:bCs/>
                <w:sz w:val="16"/>
                <w:szCs w:val="16"/>
                <w:lang w:eastAsia="en-US"/>
              </w:rPr>
              <w:t>-71.0</w:t>
            </w:r>
          </w:p>
        </w:tc>
      </w:tr>
      <w:tr w:rsidR="00D96653" w:rsidRPr="00D96653" w14:paraId="1CB80765" w14:textId="77777777" w:rsidTr="00D96653">
        <w:tc>
          <w:tcPr>
            <w:tcW w:w="8944" w:type="dxa"/>
            <w:gridSpan w:val="5"/>
            <w:tcBorders>
              <w:top w:val="single" w:sz="2" w:space="0" w:color="auto"/>
            </w:tcBorders>
          </w:tcPr>
          <w:p w14:paraId="2D7A4B51" w14:textId="77777777" w:rsidR="00D96653" w:rsidRPr="005061B6" w:rsidRDefault="00D96653" w:rsidP="00D96653">
            <w:pPr>
              <w:spacing w:before="120"/>
              <w:ind w:right="284"/>
              <w:rPr>
                <w:rFonts w:eastAsia="Calibri"/>
                <w:bCs/>
                <w:sz w:val="16"/>
                <w:szCs w:val="16"/>
                <w:lang w:eastAsia="en-US"/>
              </w:rPr>
            </w:pPr>
            <w:r w:rsidRPr="005061B6">
              <w:rPr>
                <w:rFonts w:eastAsia="Calibri"/>
                <w:bCs/>
                <w:sz w:val="16"/>
                <w:szCs w:val="16"/>
                <w:u w:val="single"/>
                <w:lang w:eastAsia="en-US"/>
              </w:rPr>
              <w:t>1</w:t>
            </w:r>
            <w:r w:rsidRPr="005061B6">
              <w:rPr>
                <w:rFonts w:eastAsia="Calibri"/>
                <w:bCs/>
                <w:sz w:val="16"/>
                <w:szCs w:val="16"/>
                <w:lang w:eastAsia="en-US"/>
              </w:rPr>
              <w:t>/ Comisiones y tarifas netas = Comisiones y tarifas cobradas menos Comisiones y tarifas pagadas.</w:t>
            </w:r>
          </w:p>
          <w:p w14:paraId="47A84050" w14:textId="77777777" w:rsidR="00D96653" w:rsidRPr="005061B6" w:rsidRDefault="00D96653" w:rsidP="00D96653">
            <w:pPr>
              <w:rPr>
                <w:rFonts w:eastAsia="Calibri"/>
                <w:bCs/>
                <w:sz w:val="16"/>
                <w:szCs w:val="16"/>
                <w:lang w:eastAsia="en-US"/>
              </w:rPr>
            </w:pPr>
            <w:r w:rsidRPr="005061B6">
              <w:rPr>
                <w:rFonts w:eastAsia="Calibri"/>
                <w:bCs/>
                <w:sz w:val="16"/>
                <w:szCs w:val="16"/>
                <w:lang w:eastAsia="en-US"/>
              </w:rPr>
              <w:t>FUENTE: CNBV.</w:t>
            </w:r>
          </w:p>
        </w:tc>
      </w:tr>
    </w:tbl>
    <w:p w14:paraId="5B00685C" w14:textId="77777777" w:rsidR="00D96653" w:rsidRPr="00D96653" w:rsidRDefault="00D96653" w:rsidP="00D96653">
      <w:pPr>
        <w:spacing w:after="360" w:line="360" w:lineRule="auto"/>
        <w:ind w:right="-159"/>
        <w:jc w:val="both"/>
        <w:rPr>
          <w:rFonts w:eastAsia="Calibri"/>
          <w:sz w:val="26"/>
          <w:szCs w:val="26"/>
          <w:lang w:eastAsia="en-US"/>
        </w:rPr>
      </w:pPr>
    </w:p>
    <w:p w14:paraId="39B073E1" w14:textId="77777777" w:rsidR="00D96653" w:rsidRPr="00D96653" w:rsidRDefault="00D96653" w:rsidP="00D96653">
      <w:pPr>
        <w:spacing w:after="360" w:line="360" w:lineRule="auto"/>
        <w:ind w:right="-159"/>
        <w:jc w:val="both"/>
        <w:rPr>
          <w:rFonts w:eastAsia="Calibri"/>
          <w:sz w:val="26"/>
          <w:szCs w:val="26"/>
          <w:lang w:eastAsia="en-US"/>
        </w:rPr>
      </w:pPr>
      <w:r w:rsidRPr="00D96653">
        <w:rPr>
          <w:rFonts w:eastAsia="Calibri"/>
          <w:sz w:val="26"/>
          <w:szCs w:val="26"/>
          <w:lang w:eastAsia="en-US"/>
        </w:rPr>
        <w:t>Los principales indicadores de rentabilidad ROA</w:t>
      </w:r>
      <w:r w:rsidRPr="00D96653">
        <w:rPr>
          <w:rFonts w:eastAsia="Calibri"/>
          <w:sz w:val="26"/>
          <w:szCs w:val="26"/>
          <w:vertAlign w:val="superscript"/>
          <w:lang w:eastAsia="en-US"/>
        </w:rPr>
        <w:footnoteReference w:id="35"/>
      </w:r>
      <w:r w:rsidRPr="00D96653">
        <w:rPr>
          <w:rFonts w:eastAsia="Calibri"/>
          <w:sz w:val="26"/>
          <w:szCs w:val="26"/>
          <w:lang w:eastAsia="en-US"/>
        </w:rPr>
        <w:t xml:space="preserve"> y ROE</w:t>
      </w:r>
      <w:r w:rsidRPr="00D96653">
        <w:rPr>
          <w:rFonts w:eastAsia="Calibri"/>
          <w:sz w:val="26"/>
          <w:szCs w:val="26"/>
          <w:vertAlign w:val="superscript"/>
          <w:lang w:eastAsia="en-US"/>
        </w:rPr>
        <w:footnoteReference w:id="36"/>
      </w:r>
      <w:r w:rsidRPr="00D96653">
        <w:rPr>
          <w:rFonts w:eastAsia="Calibri"/>
          <w:sz w:val="26"/>
          <w:szCs w:val="26"/>
          <w:lang w:eastAsia="en-US"/>
        </w:rPr>
        <w:t xml:space="preserve"> acumulados a 12 meses presentaron una disminución de 0.38 y 2.82 pp, al compararlos con diciembre de 2013, y se explican por un mayor crecimiento relativo en los activos promedio y en el capital contable promedio respecto al incremento en el resultado neto acumulado de los últimos cuatro trimestres.</w:t>
      </w:r>
    </w:p>
    <w:p w14:paraId="415A4C24" w14:textId="77777777" w:rsidR="00D96653" w:rsidRDefault="00D96653" w:rsidP="00D96653">
      <w:pPr>
        <w:spacing w:after="360" w:line="360" w:lineRule="auto"/>
        <w:ind w:right="-159"/>
        <w:jc w:val="both"/>
        <w:rPr>
          <w:rFonts w:eastAsia="Calibri"/>
          <w:sz w:val="26"/>
          <w:szCs w:val="26"/>
          <w:lang w:eastAsia="en-US"/>
        </w:rPr>
      </w:pPr>
    </w:p>
    <w:p w14:paraId="749F7ED1" w14:textId="77777777" w:rsidR="004D3FE5" w:rsidRPr="00D96653" w:rsidRDefault="004D3FE5" w:rsidP="000D31C7">
      <w:pPr>
        <w:spacing w:after="240"/>
        <w:ind w:right="-159"/>
        <w:jc w:val="both"/>
        <w:rPr>
          <w:rFonts w:eastAsia="Calibri"/>
          <w:sz w:val="26"/>
          <w:szCs w:val="26"/>
          <w:lang w:eastAsia="en-US"/>
        </w:rPr>
      </w:pPr>
    </w:p>
    <w:tbl>
      <w:tblPr>
        <w:tblW w:w="8978" w:type="dxa"/>
        <w:jc w:val="center"/>
        <w:tblLayout w:type="fixed"/>
        <w:tblLook w:val="01E0" w:firstRow="1" w:lastRow="1" w:firstColumn="1" w:lastColumn="1" w:noHBand="0" w:noVBand="0"/>
      </w:tblPr>
      <w:tblGrid>
        <w:gridCol w:w="3472"/>
        <w:gridCol w:w="1101"/>
        <w:gridCol w:w="1101"/>
        <w:gridCol w:w="1101"/>
        <w:gridCol w:w="1101"/>
        <w:gridCol w:w="1055"/>
        <w:gridCol w:w="47"/>
      </w:tblGrid>
      <w:tr w:rsidR="00D96653" w:rsidRPr="00D96653" w14:paraId="00A494D6" w14:textId="77777777" w:rsidTr="004D3FE5">
        <w:trPr>
          <w:trHeight w:val="552"/>
          <w:jc w:val="center"/>
        </w:trPr>
        <w:tc>
          <w:tcPr>
            <w:tcW w:w="8978" w:type="dxa"/>
            <w:gridSpan w:val="7"/>
            <w:tcBorders>
              <w:top w:val="nil"/>
              <w:bottom w:val="single" w:sz="8" w:space="0" w:color="auto"/>
            </w:tcBorders>
            <w:shd w:val="clear" w:color="auto" w:fill="auto"/>
            <w:vAlign w:val="center"/>
          </w:tcPr>
          <w:p w14:paraId="4027CCE8" w14:textId="77777777" w:rsidR="00D96653" w:rsidRPr="00D96653" w:rsidRDefault="00D96653" w:rsidP="00D96653">
            <w:pPr>
              <w:jc w:val="center"/>
              <w:rPr>
                <w:rFonts w:eastAsia="Calibri"/>
                <w:b/>
                <w:bCs/>
                <w:sz w:val="22"/>
                <w:szCs w:val="22"/>
                <w:lang w:eastAsia="en-US"/>
              </w:rPr>
            </w:pPr>
            <w:r w:rsidRPr="00D96653">
              <w:rPr>
                <w:rFonts w:eastAsia="Calibri"/>
                <w:b/>
                <w:bCs/>
                <w:sz w:val="22"/>
                <w:szCs w:val="22"/>
                <w:lang w:eastAsia="en-US"/>
              </w:rPr>
              <w:lastRenderedPageBreak/>
              <w:t>GRUPOS FINANCIEROS: INDICADORES</w:t>
            </w:r>
          </w:p>
          <w:p w14:paraId="51ECB33A" w14:textId="77777777" w:rsidR="00D96653" w:rsidRPr="00D96653" w:rsidRDefault="00D96653" w:rsidP="00D96653">
            <w:pPr>
              <w:jc w:val="center"/>
              <w:rPr>
                <w:rFonts w:eastAsia="Calibri"/>
                <w:b/>
                <w:bCs/>
                <w:sz w:val="22"/>
                <w:szCs w:val="22"/>
                <w:lang w:eastAsia="en-US"/>
              </w:rPr>
            </w:pPr>
            <w:r w:rsidRPr="00D96653">
              <w:rPr>
                <w:rFonts w:eastAsia="Calibri"/>
                <w:b/>
                <w:bCs/>
                <w:sz w:val="22"/>
                <w:szCs w:val="22"/>
                <w:lang w:eastAsia="en-US"/>
              </w:rPr>
              <w:t>-En porcentaje-</w:t>
            </w:r>
          </w:p>
        </w:tc>
      </w:tr>
      <w:tr w:rsidR="00D96653" w:rsidRPr="00D96653" w14:paraId="15E5A056" w14:textId="77777777" w:rsidTr="004D3FE5">
        <w:trPr>
          <w:trHeight w:val="183"/>
          <w:jc w:val="center"/>
        </w:trPr>
        <w:tc>
          <w:tcPr>
            <w:tcW w:w="3472" w:type="dxa"/>
            <w:vMerge w:val="restart"/>
            <w:tcBorders>
              <w:top w:val="single" w:sz="8" w:space="0" w:color="auto"/>
              <w:left w:val="single" w:sz="8" w:space="0" w:color="auto"/>
              <w:bottom w:val="single" w:sz="8" w:space="0" w:color="auto"/>
              <w:right w:val="single" w:sz="8" w:space="0" w:color="auto"/>
            </w:tcBorders>
            <w:shd w:val="clear" w:color="auto" w:fill="auto"/>
            <w:vAlign w:val="center"/>
          </w:tcPr>
          <w:p w14:paraId="44EE8446" w14:textId="77777777" w:rsidR="00D96653" w:rsidRPr="00D96653" w:rsidRDefault="00D96653" w:rsidP="00D96653">
            <w:pPr>
              <w:jc w:val="center"/>
              <w:rPr>
                <w:rFonts w:eastAsia="Calibri"/>
                <w:b/>
                <w:bCs/>
                <w:sz w:val="18"/>
                <w:szCs w:val="18"/>
                <w:lang w:eastAsia="en-US"/>
              </w:rPr>
            </w:pPr>
          </w:p>
        </w:tc>
        <w:tc>
          <w:tcPr>
            <w:tcW w:w="1101" w:type="dxa"/>
            <w:tcBorders>
              <w:top w:val="single" w:sz="8" w:space="0" w:color="auto"/>
              <w:left w:val="single" w:sz="8" w:space="0" w:color="auto"/>
              <w:bottom w:val="single" w:sz="8" w:space="0" w:color="auto"/>
              <w:right w:val="single" w:sz="8" w:space="0" w:color="auto"/>
            </w:tcBorders>
            <w:shd w:val="clear" w:color="auto" w:fill="auto"/>
            <w:vAlign w:val="center"/>
          </w:tcPr>
          <w:p w14:paraId="0D55438E"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2013</w:t>
            </w:r>
          </w:p>
        </w:tc>
        <w:tc>
          <w:tcPr>
            <w:tcW w:w="22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B0D6087"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2014</w:t>
            </w:r>
          </w:p>
        </w:tc>
        <w:tc>
          <w:tcPr>
            <w:tcW w:w="2203" w:type="dxa"/>
            <w:gridSpan w:val="3"/>
            <w:tcBorders>
              <w:top w:val="single" w:sz="8" w:space="0" w:color="auto"/>
              <w:left w:val="single" w:sz="8" w:space="0" w:color="auto"/>
              <w:bottom w:val="single" w:sz="8" w:space="0" w:color="auto"/>
              <w:right w:val="single" w:sz="8" w:space="0" w:color="auto"/>
            </w:tcBorders>
            <w:shd w:val="clear" w:color="auto" w:fill="auto"/>
            <w:vAlign w:val="center"/>
          </w:tcPr>
          <w:p w14:paraId="6B3CC886" w14:textId="77777777" w:rsidR="00D96653" w:rsidRPr="00D96653" w:rsidRDefault="00D96653" w:rsidP="00D96653">
            <w:pPr>
              <w:jc w:val="center"/>
              <w:rPr>
                <w:rFonts w:eastAsia="Times New Roman"/>
                <w:bCs/>
                <w:sz w:val="18"/>
                <w:szCs w:val="18"/>
                <w:lang w:val="es-ES"/>
              </w:rPr>
            </w:pPr>
            <w:r w:rsidRPr="00D96653">
              <w:rPr>
                <w:rFonts w:eastAsia="Times New Roman"/>
                <w:b/>
                <w:bCs/>
                <w:sz w:val="18"/>
                <w:szCs w:val="18"/>
                <w:lang w:val="es-ES"/>
              </w:rPr>
              <w:t>Diferencias en PP</w:t>
            </w:r>
          </w:p>
        </w:tc>
      </w:tr>
      <w:tr w:rsidR="00D96653" w:rsidRPr="00D96653" w14:paraId="6DE78E8D" w14:textId="77777777" w:rsidTr="004D3FE5">
        <w:trPr>
          <w:jc w:val="center"/>
        </w:trPr>
        <w:tc>
          <w:tcPr>
            <w:tcW w:w="3472" w:type="dxa"/>
            <w:vMerge/>
            <w:tcBorders>
              <w:top w:val="single" w:sz="8" w:space="0" w:color="auto"/>
              <w:left w:val="single" w:sz="8" w:space="0" w:color="auto"/>
              <w:bottom w:val="single" w:sz="8" w:space="0" w:color="auto"/>
              <w:right w:val="single" w:sz="8" w:space="0" w:color="auto"/>
            </w:tcBorders>
            <w:shd w:val="clear" w:color="auto" w:fill="auto"/>
            <w:vAlign w:val="center"/>
          </w:tcPr>
          <w:p w14:paraId="2544CD33" w14:textId="77777777" w:rsidR="00D96653" w:rsidRPr="00D96653" w:rsidRDefault="00D96653" w:rsidP="00D96653">
            <w:pPr>
              <w:jc w:val="center"/>
              <w:rPr>
                <w:rFonts w:eastAsia="Calibri"/>
                <w:b/>
                <w:bCs/>
                <w:sz w:val="18"/>
                <w:szCs w:val="18"/>
                <w:lang w:val="en-US" w:eastAsia="en-US"/>
              </w:rPr>
            </w:pPr>
          </w:p>
        </w:tc>
        <w:tc>
          <w:tcPr>
            <w:tcW w:w="1101" w:type="dxa"/>
            <w:tcBorders>
              <w:top w:val="single" w:sz="8" w:space="0" w:color="auto"/>
              <w:left w:val="single" w:sz="8" w:space="0" w:color="auto"/>
              <w:bottom w:val="single" w:sz="8" w:space="0" w:color="auto"/>
              <w:right w:val="single" w:sz="8" w:space="0" w:color="auto"/>
            </w:tcBorders>
            <w:shd w:val="clear" w:color="auto" w:fill="auto"/>
            <w:vAlign w:val="center"/>
          </w:tcPr>
          <w:p w14:paraId="5B80DBB7"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1101" w:type="dxa"/>
            <w:tcBorders>
              <w:top w:val="single" w:sz="8" w:space="0" w:color="auto"/>
              <w:left w:val="single" w:sz="8" w:space="0" w:color="auto"/>
              <w:bottom w:val="single" w:sz="8" w:space="0" w:color="auto"/>
              <w:right w:val="single" w:sz="8" w:space="0" w:color="auto"/>
            </w:tcBorders>
            <w:shd w:val="clear" w:color="auto" w:fill="auto"/>
            <w:vAlign w:val="center"/>
          </w:tcPr>
          <w:p w14:paraId="7979F28A"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Septiembre</w:t>
            </w:r>
          </w:p>
        </w:tc>
        <w:tc>
          <w:tcPr>
            <w:tcW w:w="1101" w:type="dxa"/>
            <w:tcBorders>
              <w:top w:val="single" w:sz="8" w:space="0" w:color="auto"/>
              <w:left w:val="single" w:sz="8" w:space="0" w:color="auto"/>
              <w:bottom w:val="single" w:sz="8" w:space="0" w:color="auto"/>
              <w:right w:val="single" w:sz="8" w:space="0" w:color="auto"/>
            </w:tcBorders>
            <w:shd w:val="clear" w:color="auto" w:fill="auto"/>
            <w:vAlign w:val="center"/>
          </w:tcPr>
          <w:p w14:paraId="565A8A06"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1101" w:type="dxa"/>
            <w:tcBorders>
              <w:top w:val="single" w:sz="8" w:space="0" w:color="auto"/>
              <w:left w:val="single" w:sz="8" w:space="0" w:color="auto"/>
              <w:bottom w:val="single" w:sz="8" w:space="0" w:color="auto"/>
              <w:right w:val="single" w:sz="8" w:space="0" w:color="auto"/>
            </w:tcBorders>
            <w:shd w:val="clear" w:color="auto" w:fill="auto"/>
            <w:vAlign w:val="center"/>
          </w:tcPr>
          <w:p w14:paraId="6A6DE59D"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Anual</w:t>
            </w:r>
          </w:p>
        </w:tc>
        <w:tc>
          <w:tcPr>
            <w:tcW w:w="1102"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50EA549" w14:textId="77777777" w:rsidR="00D96653" w:rsidRPr="00D96653" w:rsidRDefault="00D96653" w:rsidP="00D96653">
            <w:pPr>
              <w:jc w:val="center"/>
              <w:rPr>
                <w:rFonts w:eastAsia="Times New Roman"/>
                <w:b/>
                <w:bCs/>
                <w:sz w:val="18"/>
                <w:szCs w:val="18"/>
                <w:lang w:val="es-ES"/>
              </w:rPr>
            </w:pPr>
            <w:r w:rsidRPr="00D96653">
              <w:rPr>
                <w:rFonts w:eastAsia="Times New Roman"/>
                <w:b/>
                <w:bCs/>
                <w:sz w:val="18"/>
                <w:szCs w:val="18"/>
                <w:lang w:val="es-ES"/>
              </w:rPr>
              <w:t>Trimestral</w:t>
            </w:r>
          </w:p>
        </w:tc>
      </w:tr>
      <w:tr w:rsidR="00D96653" w:rsidRPr="00D96653" w14:paraId="7425FFEF" w14:textId="77777777" w:rsidTr="004D3FE5">
        <w:trPr>
          <w:jc w:val="center"/>
        </w:trPr>
        <w:tc>
          <w:tcPr>
            <w:tcW w:w="3472" w:type="dxa"/>
            <w:tcBorders>
              <w:top w:val="single" w:sz="8" w:space="0" w:color="auto"/>
              <w:left w:val="single" w:sz="8" w:space="0" w:color="auto"/>
              <w:right w:val="single" w:sz="8" w:space="0" w:color="auto"/>
            </w:tcBorders>
            <w:shd w:val="clear" w:color="auto" w:fill="auto"/>
            <w:vAlign w:val="center"/>
          </w:tcPr>
          <w:p w14:paraId="6754976E" w14:textId="77777777" w:rsidR="00D96653" w:rsidRPr="00D96653" w:rsidRDefault="00D96653" w:rsidP="00D96653">
            <w:pPr>
              <w:spacing w:before="120" w:after="40"/>
              <w:jc w:val="center"/>
              <w:rPr>
                <w:rFonts w:eastAsia="Calibri"/>
                <w:bCs/>
                <w:sz w:val="18"/>
                <w:szCs w:val="18"/>
                <w:lang w:val="en-US" w:eastAsia="en-US"/>
              </w:rPr>
            </w:pPr>
            <w:r w:rsidRPr="00D96653">
              <w:rPr>
                <w:rFonts w:eastAsia="Calibri"/>
                <w:bCs/>
                <w:sz w:val="18"/>
                <w:szCs w:val="18"/>
                <w:lang w:val="en-US" w:eastAsia="en-US"/>
              </w:rPr>
              <w:t xml:space="preserve">ROA </w:t>
            </w:r>
            <w:r w:rsidRPr="00D96653">
              <w:rPr>
                <w:rFonts w:eastAsia="Calibri"/>
                <w:bCs/>
                <w:sz w:val="18"/>
                <w:szCs w:val="18"/>
                <w:u w:val="single"/>
                <w:vertAlign w:val="superscript"/>
                <w:lang w:val="en-US" w:eastAsia="en-US"/>
              </w:rPr>
              <w:t>i</w:t>
            </w:r>
            <w:r w:rsidRPr="00D96653">
              <w:rPr>
                <w:rFonts w:eastAsia="Calibri"/>
                <w:bCs/>
                <w:sz w:val="18"/>
                <w:szCs w:val="18"/>
                <w:vertAlign w:val="superscript"/>
                <w:lang w:val="en-US" w:eastAsia="en-US"/>
              </w:rPr>
              <w:t>/</w:t>
            </w:r>
          </w:p>
        </w:tc>
        <w:tc>
          <w:tcPr>
            <w:tcW w:w="1101" w:type="dxa"/>
            <w:tcBorders>
              <w:top w:val="single" w:sz="8" w:space="0" w:color="auto"/>
              <w:left w:val="single" w:sz="8" w:space="0" w:color="auto"/>
              <w:right w:val="single" w:sz="8" w:space="0" w:color="auto"/>
            </w:tcBorders>
            <w:shd w:val="clear" w:color="auto" w:fill="auto"/>
            <w:vAlign w:val="center"/>
          </w:tcPr>
          <w:p w14:paraId="3342397E"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1.94</w:t>
            </w:r>
          </w:p>
        </w:tc>
        <w:tc>
          <w:tcPr>
            <w:tcW w:w="1101" w:type="dxa"/>
            <w:tcBorders>
              <w:top w:val="single" w:sz="8" w:space="0" w:color="auto"/>
              <w:left w:val="single" w:sz="8" w:space="0" w:color="auto"/>
              <w:right w:val="single" w:sz="8" w:space="0" w:color="auto"/>
            </w:tcBorders>
            <w:shd w:val="clear" w:color="auto" w:fill="auto"/>
            <w:vAlign w:val="center"/>
          </w:tcPr>
          <w:p w14:paraId="0EA46B25"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1.71</w:t>
            </w:r>
          </w:p>
        </w:tc>
        <w:tc>
          <w:tcPr>
            <w:tcW w:w="1101" w:type="dxa"/>
            <w:tcBorders>
              <w:top w:val="single" w:sz="8" w:space="0" w:color="auto"/>
              <w:left w:val="single" w:sz="8" w:space="0" w:color="auto"/>
              <w:right w:val="single" w:sz="8" w:space="0" w:color="auto"/>
            </w:tcBorders>
            <w:shd w:val="clear" w:color="auto" w:fill="auto"/>
            <w:vAlign w:val="center"/>
          </w:tcPr>
          <w:p w14:paraId="54AF3226"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1.56</w:t>
            </w:r>
          </w:p>
        </w:tc>
        <w:tc>
          <w:tcPr>
            <w:tcW w:w="1101" w:type="dxa"/>
            <w:tcBorders>
              <w:top w:val="single" w:sz="8" w:space="0" w:color="auto"/>
              <w:left w:val="single" w:sz="8" w:space="0" w:color="auto"/>
              <w:right w:val="single" w:sz="8" w:space="0" w:color="auto"/>
            </w:tcBorders>
            <w:shd w:val="clear" w:color="auto" w:fill="auto"/>
            <w:vAlign w:val="center"/>
          </w:tcPr>
          <w:p w14:paraId="6023AF20"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-0.38</w:t>
            </w:r>
          </w:p>
        </w:tc>
        <w:tc>
          <w:tcPr>
            <w:tcW w:w="1102" w:type="dxa"/>
            <w:gridSpan w:val="2"/>
            <w:tcBorders>
              <w:top w:val="single" w:sz="8" w:space="0" w:color="auto"/>
              <w:left w:val="single" w:sz="8" w:space="0" w:color="auto"/>
              <w:right w:val="single" w:sz="8" w:space="0" w:color="auto"/>
            </w:tcBorders>
            <w:shd w:val="clear" w:color="auto" w:fill="auto"/>
            <w:vAlign w:val="center"/>
          </w:tcPr>
          <w:p w14:paraId="540237DD" w14:textId="77777777" w:rsidR="00D96653" w:rsidRPr="00D96653" w:rsidRDefault="00D96653" w:rsidP="00D96653">
            <w:pPr>
              <w:spacing w:before="40" w:after="40"/>
              <w:ind w:right="227"/>
              <w:jc w:val="right"/>
              <w:rPr>
                <w:rFonts w:eastAsia="Calibri"/>
                <w:bCs/>
                <w:sz w:val="16"/>
                <w:szCs w:val="16"/>
                <w:lang w:val="en-US" w:eastAsia="en-US"/>
              </w:rPr>
            </w:pPr>
            <w:r w:rsidRPr="00D96653">
              <w:rPr>
                <w:rFonts w:eastAsia="Calibri"/>
                <w:bCs/>
                <w:sz w:val="16"/>
                <w:szCs w:val="16"/>
                <w:lang w:val="en-US" w:eastAsia="en-US"/>
              </w:rPr>
              <w:t>-0.15</w:t>
            </w:r>
          </w:p>
        </w:tc>
      </w:tr>
      <w:tr w:rsidR="00D96653" w:rsidRPr="00D96653" w14:paraId="39939B4F" w14:textId="77777777" w:rsidTr="004D3FE5">
        <w:trPr>
          <w:jc w:val="center"/>
        </w:trPr>
        <w:tc>
          <w:tcPr>
            <w:tcW w:w="3472" w:type="dxa"/>
            <w:tcBorders>
              <w:left w:val="single" w:sz="8" w:space="0" w:color="auto"/>
              <w:bottom w:val="single" w:sz="8" w:space="0" w:color="auto"/>
              <w:right w:val="single" w:sz="8" w:space="0" w:color="auto"/>
            </w:tcBorders>
            <w:shd w:val="clear" w:color="auto" w:fill="auto"/>
            <w:vAlign w:val="center"/>
          </w:tcPr>
          <w:p w14:paraId="70D86E2E" w14:textId="77777777" w:rsidR="00D96653" w:rsidRPr="00D96653" w:rsidRDefault="00D96653" w:rsidP="00D96653">
            <w:pPr>
              <w:spacing w:before="40" w:after="120"/>
              <w:jc w:val="center"/>
              <w:rPr>
                <w:rFonts w:eastAsia="Calibri"/>
                <w:bCs/>
                <w:sz w:val="18"/>
                <w:szCs w:val="18"/>
                <w:lang w:val="en-US" w:eastAsia="en-US"/>
              </w:rPr>
            </w:pPr>
            <w:r w:rsidRPr="00D96653">
              <w:rPr>
                <w:rFonts w:eastAsia="Calibri"/>
                <w:bCs/>
                <w:sz w:val="18"/>
                <w:szCs w:val="18"/>
                <w:lang w:val="en-US" w:eastAsia="en-US"/>
              </w:rPr>
              <w:t xml:space="preserve">ROE </w:t>
            </w:r>
            <w:r w:rsidRPr="00D96653">
              <w:rPr>
                <w:rFonts w:eastAsia="Calibri"/>
                <w:bCs/>
                <w:sz w:val="18"/>
                <w:szCs w:val="18"/>
                <w:u w:val="single"/>
                <w:vertAlign w:val="superscript"/>
                <w:lang w:val="en-US" w:eastAsia="en-US"/>
              </w:rPr>
              <w:t>ii</w:t>
            </w:r>
            <w:r w:rsidRPr="00D96653">
              <w:rPr>
                <w:rFonts w:eastAsia="Calibri"/>
                <w:bCs/>
                <w:sz w:val="18"/>
                <w:szCs w:val="18"/>
                <w:vertAlign w:val="superscript"/>
                <w:lang w:val="en-US" w:eastAsia="en-US"/>
              </w:rPr>
              <w:t>/</w:t>
            </w:r>
          </w:p>
        </w:tc>
        <w:tc>
          <w:tcPr>
            <w:tcW w:w="1101" w:type="dxa"/>
            <w:tcBorders>
              <w:left w:val="single" w:sz="8" w:space="0" w:color="auto"/>
              <w:bottom w:val="single" w:sz="8" w:space="0" w:color="auto"/>
              <w:right w:val="single" w:sz="8" w:space="0" w:color="auto"/>
            </w:tcBorders>
            <w:shd w:val="clear" w:color="auto" w:fill="auto"/>
            <w:vAlign w:val="center"/>
          </w:tcPr>
          <w:p w14:paraId="3A07CC61"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16.32</w:t>
            </w:r>
          </w:p>
        </w:tc>
        <w:tc>
          <w:tcPr>
            <w:tcW w:w="1101" w:type="dxa"/>
            <w:tcBorders>
              <w:left w:val="single" w:sz="8" w:space="0" w:color="auto"/>
              <w:bottom w:val="single" w:sz="8" w:space="0" w:color="auto"/>
              <w:right w:val="single" w:sz="8" w:space="0" w:color="auto"/>
            </w:tcBorders>
            <w:shd w:val="clear" w:color="auto" w:fill="auto"/>
            <w:vAlign w:val="center"/>
          </w:tcPr>
          <w:p w14:paraId="58386DD8"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14.85</w:t>
            </w:r>
          </w:p>
        </w:tc>
        <w:tc>
          <w:tcPr>
            <w:tcW w:w="1101" w:type="dxa"/>
            <w:tcBorders>
              <w:left w:val="single" w:sz="8" w:space="0" w:color="auto"/>
              <w:bottom w:val="single" w:sz="8" w:space="0" w:color="auto"/>
              <w:right w:val="single" w:sz="8" w:space="0" w:color="auto"/>
            </w:tcBorders>
            <w:shd w:val="clear" w:color="auto" w:fill="auto"/>
            <w:vAlign w:val="center"/>
          </w:tcPr>
          <w:p w14:paraId="07DAD1B0"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13.50</w:t>
            </w:r>
          </w:p>
        </w:tc>
        <w:tc>
          <w:tcPr>
            <w:tcW w:w="1101" w:type="dxa"/>
            <w:tcBorders>
              <w:left w:val="single" w:sz="8" w:space="0" w:color="auto"/>
              <w:bottom w:val="single" w:sz="8" w:space="0" w:color="auto"/>
              <w:right w:val="single" w:sz="8" w:space="0" w:color="auto"/>
            </w:tcBorders>
            <w:shd w:val="clear" w:color="auto" w:fill="auto"/>
            <w:vAlign w:val="center"/>
          </w:tcPr>
          <w:p w14:paraId="70AAF4B9" w14:textId="77777777" w:rsidR="00D96653" w:rsidRPr="00D96653" w:rsidRDefault="00D96653" w:rsidP="00D96653">
            <w:pPr>
              <w:spacing w:before="40" w:after="40"/>
              <w:ind w:right="227"/>
              <w:jc w:val="right"/>
              <w:rPr>
                <w:rFonts w:eastAsia="Calibri"/>
                <w:sz w:val="16"/>
                <w:szCs w:val="16"/>
                <w:lang w:val="en-US" w:eastAsia="en-US"/>
              </w:rPr>
            </w:pPr>
            <w:r w:rsidRPr="00D96653">
              <w:rPr>
                <w:rFonts w:eastAsia="Calibri"/>
                <w:sz w:val="16"/>
                <w:szCs w:val="16"/>
                <w:lang w:val="en-US" w:eastAsia="en-US"/>
              </w:rPr>
              <w:t>-2.82</w:t>
            </w:r>
          </w:p>
        </w:tc>
        <w:tc>
          <w:tcPr>
            <w:tcW w:w="1102" w:type="dxa"/>
            <w:gridSpan w:val="2"/>
            <w:tcBorders>
              <w:left w:val="single" w:sz="8" w:space="0" w:color="auto"/>
              <w:bottom w:val="single" w:sz="8" w:space="0" w:color="auto"/>
              <w:right w:val="single" w:sz="8" w:space="0" w:color="auto"/>
            </w:tcBorders>
            <w:shd w:val="clear" w:color="auto" w:fill="auto"/>
            <w:vAlign w:val="center"/>
          </w:tcPr>
          <w:p w14:paraId="697B485A" w14:textId="77777777" w:rsidR="00D96653" w:rsidRPr="00D96653" w:rsidRDefault="00D96653" w:rsidP="00D96653">
            <w:pPr>
              <w:spacing w:before="40" w:after="40"/>
              <w:ind w:right="227"/>
              <w:jc w:val="right"/>
              <w:rPr>
                <w:rFonts w:eastAsia="Calibri"/>
                <w:bCs/>
                <w:sz w:val="16"/>
                <w:szCs w:val="16"/>
                <w:lang w:val="en-US" w:eastAsia="en-US"/>
              </w:rPr>
            </w:pPr>
            <w:r w:rsidRPr="00D96653">
              <w:rPr>
                <w:rFonts w:eastAsia="Calibri"/>
                <w:bCs/>
                <w:sz w:val="16"/>
                <w:szCs w:val="16"/>
                <w:lang w:val="en-US" w:eastAsia="en-US"/>
              </w:rPr>
              <w:t>-1.35</w:t>
            </w:r>
          </w:p>
        </w:tc>
      </w:tr>
      <w:tr w:rsidR="00D96653" w:rsidRPr="00D96653" w14:paraId="5A4D0A36" w14:textId="77777777" w:rsidTr="004D3FE5">
        <w:trPr>
          <w:trHeight w:val="552"/>
          <w:jc w:val="center"/>
        </w:trPr>
        <w:tc>
          <w:tcPr>
            <w:tcW w:w="8978" w:type="dxa"/>
            <w:gridSpan w:val="7"/>
            <w:tcBorders>
              <w:top w:val="single" w:sz="8" w:space="0" w:color="auto"/>
              <w:bottom w:val="single" w:sz="4" w:space="0" w:color="auto"/>
            </w:tcBorders>
            <w:shd w:val="clear" w:color="auto" w:fill="auto"/>
            <w:vAlign w:val="center"/>
          </w:tcPr>
          <w:p w14:paraId="6EB9EDC7" w14:textId="77777777" w:rsidR="00D96653" w:rsidRPr="00D96653" w:rsidRDefault="00D96653" w:rsidP="00D96653">
            <w:pPr>
              <w:spacing w:before="120"/>
              <w:jc w:val="center"/>
              <w:rPr>
                <w:rFonts w:eastAsia="Calibri"/>
                <w:b/>
                <w:bCs/>
                <w:sz w:val="22"/>
                <w:szCs w:val="22"/>
                <w:lang w:eastAsia="en-US"/>
              </w:rPr>
            </w:pPr>
            <w:r w:rsidRPr="00D96653">
              <w:rPr>
                <w:rFonts w:eastAsia="Calibri"/>
                <w:b/>
                <w:bCs/>
                <w:sz w:val="22"/>
                <w:szCs w:val="22"/>
                <w:lang w:eastAsia="en-US"/>
              </w:rPr>
              <w:t>GRUPOS FINANCIEROS: INDICADORES</w:t>
            </w:r>
          </w:p>
          <w:p w14:paraId="6DE3E174" w14:textId="77777777" w:rsidR="00D96653" w:rsidRPr="00D96653" w:rsidRDefault="00D96653" w:rsidP="004D3FE5">
            <w:pPr>
              <w:jc w:val="center"/>
              <w:rPr>
                <w:rFonts w:eastAsia="Calibri"/>
                <w:b/>
                <w:bCs/>
                <w:sz w:val="22"/>
                <w:szCs w:val="22"/>
                <w:lang w:eastAsia="en-US"/>
              </w:rPr>
            </w:pPr>
            <w:r w:rsidRPr="00D96653">
              <w:rPr>
                <w:rFonts w:eastAsia="Calibri"/>
                <w:b/>
                <w:bCs/>
                <w:sz w:val="22"/>
                <w:szCs w:val="22"/>
                <w:lang w:eastAsia="en-US"/>
              </w:rPr>
              <w:t>-Cifras en mmdp-</w:t>
            </w:r>
          </w:p>
        </w:tc>
      </w:tr>
      <w:tr w:rsidR="00D96653" w:rsidRPr="00D96653" w14:paraId="0591BD3B" w14:textId="77777777" w:rsidTr="00D96653">
        <w:trPr>
          <w:trHeight w:val="266"/>
          <w:jc w:val="center"/>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8DA92F" w14:textId="77777777" w:rsidR="00D96653" w:rsidRPr="00D96653" w:rsidRDefault="00D96653" w:rsidP="00D96653">
            <w:pPr>
              <w:jc w:val="center"/>
              <w:rPr>
                <w:rFonts w:eastAsia="Calibri"/>
                <w:b/>
                <w:bCs/>
                <w:sz w:val="18"/>
                <w:szCs w:val="18"/>
                <w:lang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DA05BAC"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2013</w:t>
            </w: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E9A908"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2014</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065FAF" w14:textId="77777777" w:rsidR="00D96653" w:rsidRPr="00D96653" w:rsidRDefault="00D96653" w:rsidP="00D96653">
            <w:pPr>
              <w:jc w:val="center"/>
              <w:rPr>
                <w:rFonts w:eastAsia="Times New Roman"/>
                <w:bCs/>
                <w:sz w:val="18"/>
                <w:szCs w:val="18"/>
                <w:lang w:val="es-ES"/>
              </w:rPr>
            </w:pPr>
            <w:r w:rsidRPr="00D96653">
              <w:rPr>
                <w:rFonts w:eastAsia="Times New Roman"/>
                <w:b/>
                <w:bCs/>
                <w:sz w:val="18"/>
                <w:szCs w:val="18"/>
                <w:lang w:val="es-ES"/>
              </w:rPr>
              <w:t>Diferencias Anuales</w:t>
            </w:r>
          </w:p>
        </w:tc>
      </w:tr>
      <w:tr w:rsidR="00D96653" w:rsidRPr="00D96653" w14:paraId="4818E06C" w14:textId="77777777" w:rsidTr="00D96653">
        <w:trPr>
          <w:jc w:val="center"/>
        </w:trPr>
        <w:tc>
          <w:tcPr>
            <w:tcW w:w="347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152F44" w14:textId="77777777" w:rsidR="00D96653" w:rsidRPr="00D96653" w:rsidRDefault="00D96653" w:rsidP="00D96653">
            <w:pPr>
              <w:jc w:val="center"/>
              <w:rPr>
                <w:rFonts w:eastAsia="Calibri"/>
                <w:b/>
                <w:bCs/>
                <w:sz w:val="18"/>
                <w:szCs w:val="18"/>
                <w:lang w:val="en-US"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C30B56"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B96AE98"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Septiembre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B4DA95"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B32460C" w14:textId="77777777" w:rsidR="00D96653" w:rsidRPr="00D96653" w:rsidRDefault="00D96653" w:rsidP="00D96653">
            <w:pPr>
              <w:jc w:val="center"/>
              <w:rPr>
                <w:rFonts w:eastAsia="Times New Roman"/>
                <w:b/>
                <w:sz w:val="18"/>
                <w:szCs w:val="18"/>
                <w:lang w:val="es-ES"/>
              </w:rPr>
            </w:pPr>
            <w:r w:rsidRPr="00D96653">
              <w:rPr>
                <w:rFonts w:eastAsia="Times New Roman"/>
                <w:b/>
                <w:sz w:val="18"/>
                <w:szCs w:val="18"/>
                <w:lang w:val="es-ES"/>
              </w:rPr>
              <w:t>MMDP</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EB82" w14:textId="77777777" w:rsidR="00D96653" w:rsidRPr="00D96653" w:rsidRDefault="00D96653" w:rsidP="00D96653">
            <w:pPr>
              <w:jc w:val="center"/>
              <w:rPr>
                <w:rFonts w:eastAsia="Times New Roman"/>
                <w:b/>
                <w:bCs/>
                <w:sz w:val="18"/>
                <w:szCs w:val="18"/>
                <w:lang w:val="es-ES"/>
              </w:rPr>
            </w:pPr>
            <w:r w:rsidRPr="00D96653">
              <w:rPr>
                <w:rFonts w:eastAsia="Times New Roman"/>
                <w:b/>
                <w:bCs/>
                <w:sz w:val="18"/>
                <w:szCs w:val="18"/>
                <w:lang w:val="es-ES"/>
              </w:rPr>
              <w:t>%</w:t>
            </w:r>
          </w:p>
        </w:tc>
      </w:tr>
      <w:tr w:rsidR="00D96653" w:rsidRPr="00D96653" w14:paraId="419E832C" w14:textId="77777777" w:rsidTr="00D96653">
        <w:trPr>
          <w:jc w:val="center"/>
        </w:trPr>
        <w:tc>
          <w:tcPr>
            <w:tcW w:w="3472" w:type="dxa"/>
            <w:tcBorders>
              <w:top w:val="single" w:sz="4" w:space="0" w:color="auto"/>
              <w:left w:val="single" w:sz="4" w:space="0" w:color="auto"/>
              <w:right w:val="single" w:sz="4" w:space="0" w:color="auto"/>
            </w:tcBorders>
            <w:shd w:val="clear" w:color="auto" w:fill="auto"/>
            <w:vAlign w:val="center"/>
          </w:tcPr>
          <w:p w14:paraId="7D66755C" w14:textId="77777777" w:rsidR="00D96653" w:rsidRPr="00D96653" w:rsidRDefault="00D96653" w:rsidP="00D96653">
            <w:pPr>
              <w:spacing w:before="120" w:after="40"/>
              <w:jc w:val="both"/>
              <w:rPr>
                <w:rFonts w:eastAsia="Calibri"/>
                <w:bCs/>
                <w:sz w:val="18"/>
                <w:szCs w:val="18"/>
                <w:lang w:val="en-US" w:eastAsia="en-US"/>
              </w:rPr>
            </w:pPr>
            <w:r w:rsidRPr="00D96653">
              <w:rPr>
                <w:rFonts w:eastAsia="Calibri"/>
                <w:bCs/>
                <w:sz w:val="18"/>
                <w:szCs w:val="18"/>
                <w:lang w:val="en-US" w:eastAsia="en-US"/>
              </w:rPr>
              <w:t>Resultado neto (acumulado 12 meses)</w:t>
            </w:r>
          </w:p>
        </w:tc>
        <w:tc>
          <w:tcPr>
            <w:tcW w:w="1101" w:type="dxa"/>
            <w:tcBorders>
              <w:top w:val="single" w:sz="4" w:space="0" w:color="auto"/>
              <w:left w:val="single" w:sz="4" w:space="0" w:color="auto"/>
              <w:right w:val="single" w:sz="4" w:space="0" w:color="auto"/>
            </w:tcBorders>
            <w:shd w:val="clear" w:color="auto" w:fill="auto"/>
            <w:vAlign w:val="center"/>
          </w:tcPr>
          <w:p w14:paraId="5EB13A5D"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122</w:t>
            </w:r>
          </w:p>
        </w:tc>
        <w:tc>
          <w:tcPr>
            <w:tcW w:w="1101" w:type="dxa"/>
            <w:tcBorders>
              <w:top w:val="single" w:sz="4" w:space="0" w:color="auto"/>
              <w:left w:val="single" w:sz="4" w:space="0" w:color="auto"/>
              <w:right w:val="single" w:sz="4" w:space="0" w:color="auto"/>
            </w:tcBorders>
            <w:shd w:val="clear" w:color="auto" w:fill="auto"/>
            <w:vAlign w:val="center"/>
          </w:tcPr>
          <w:p w14:paraId="5018EA02"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115</w:t>
            </w:r>
          </w:p>
        </w:tc>
        <w:tc>
          <w:tcPr>
            <w:tcW w:w="1101" w:type="dxa"/>
            <w:tcBorders>
              <w:top w:val="single" w:sz="4" w:space="0" w:color="auto"/>
              <w:left w:val="single" w:sz="4" w:space="0" w:color="auto"/>
              <w:right w:val="single" w:sz="4" w:space="0" w:color="auto"/>
            </w:tcBorders>
            <w:shd w:val="clear" w:color="auto" w:fill="auto"/>
            <w:vAlign w:val="center"/>
          </w:tcPr>
          <w:p w14:paraId="66D641F7"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108</w:t>
            </w:r>
          </w:p>
        </w:tc>
        <w:tc>
          <w:tcPr>
            <w:tcW w:w="1101" w:type="dxa"/>
            <w:tcBorders>
              <w:top w:val="single" w:sz="4" w:space="0" w:color="auto"/>
              <w:left w:val="single" w:sz="4" w:space="0" w:color="auto"/>
              <w:right w:val="single" w:sz="4" w:space="0" w:color="auto"/>
            </w:tcBorders>
            <w:shd w:val="clear" w:color="auto" w:fill="auto"/>
            <w:vAlign w:val="center"/>
          </w:tcPr>
          <w:p w14:paraId="44AD8882"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-15</w:t>
            </w:r>
          </w:p>
        </w:tc>
        <w:tc>
          <w:tcPr>
            <w:tcW w:w="1102" w:type="dxa"/>
            <w:gridSpan w:val="2"/>
            <w:tcBorders>
              <w:top w:val="single" w:sz="4" w:space="0" w:color="auto"/>
              <w:left w:val="single" w:sz="4" w:space="0" w:color="auto"/>
              <w:right w:val="single" w:sz="4" w:space="0" w:color="auto"/>
            </w:tcBorders>
            <w:shd w:val="clear" w:color="auto" w:fill="auto"/>
            <w:vAlign w:val="center"/>
          </w:tcPr>
          <w:p w14:paraId="505AACA8" w14:textId="77777777" w:rsidR="00D96653" w:rsidRPr="00D96653" w:rsidRDefault="00D96653" w:rsidP="00D96653">
            <w:pPr>
              <w:spacing w:before="40" w:after="40"/>
              <w:ind w:right="284"/>
              <w:jc w:val="right"/>
              <w:rPr>
                <w:rFonts w:eastAsia="Calibri"/>
                <w:b/>
                <w:bCs/>
                <w:sz w:val="16"/>
                <w:szCs w:val="16"/>
                <w:lang w:eastAsia="en-US"/>
              </w:rPr>
            </w:pPr>
            <w:r w:rsidRPr="00D96653">
              <w:rPr>
                <w:rFonts w:eastAsia="Calibri"/>
                <w:b/>
                <w:bCs/>
                <w:sz w:val="16"/>
                <w:szCs w:val="16"/>
                <w:lang w:eastAsia="en-US"/>
              </w:rPr>
              <w:t>-12.1</w:t>
            </w:r>
          </w:p>
        </w:tc>
      </w:tr>
      <w:tr w:rsidR="00D96653" w:rsidRPr="00D96653" w14:paraId="7FB345C2" w14:textId="77777777" w:rsidTr="00D96653">
        <w:trPr>
          <w:jc w:val="center"/>
        </w:trPr>
        <w:tc>
          <w:tcPr>
            <w:tcW w:w="3472" w:type="dxa"/>
            <w:tcBorders>
              <w:left w:val="single" w:sz="4" w:space="0" w:color="auto"/>
              <w:right w:val="single" w:sz="4" w:space="0" w:color="auto"/>
            </w:tcBorders>
            <w:shd w:val="clear" w:color="auto" w:fill="auto"/>
            <w:vAlign w:val="center"/>
          </w:tcPr>
          <w:p w14:paraId="791AF62A" w14:textId="77777777" w:rsidR="00D96653" w:rsidRPr="00D96653" w:rsidRDefault="00D96653" w:rsidP="00D96653">
            <w:pPr>
              <w:spacing w:before="120" w:after="40"/>
              <w:jc w:val="both"/>
              <w:rPr>
                <w:rFonts w:eastAsia="Calibri"/>
                <w:bCs/>
                <w:sz w:val="18"/>
                <w:szCs w:val="18"/>
                <w:lang w:eastAsia="en-US"/>
              </w:rPr>
            </w:pPr>
            <w:r w:rsidRPr="00D96653">
              <w:rPr>
                <w:rFonts w:eastAsia="Calibri"/>
                <w:bCs/>
                <w:sz w:val="18"/>
                <w:szCs w:val="18"/>
                <w:lang w:eastAsia="en-US"/>
              </w:rPr>
              <w:t>Activo total (promedio 12 meses)</w:t>
            </w:r>
          </w:p>
        </w:tc>
        <w:tc>
          <w:tcPr>
            <w:tcW w:w="1101" w:type="dxa"/>
            <w:tcBorders>
              <w:left w:val="single" w:sz="4" w:space="0" w:color="auto"/>
              <w:right w:val="single" w:sz="4" w:space="0" w:color="auto"/>
            </w:tcBorders>
            <w:shd w:val="clear" w:color="auto" w:fill="auto"/>
            <w:vAlign w:val="center"/>
          </w:tcPr>
          <w:p w14:paraId="1A629887"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6 299</w:t>
            </w:r>
          </w:p>
        </w:tc>
        <w:tc>
          <w:tcPr>
            <w:tcW w:w="1101" w:type="dxa"/>
            <w:tcBorders>
              <w:left w:val="single" w:sz="4" w:space="0" w:color="auto"/>
              <w:right w:val="single" w:sz="4" w:space="0" w:color="auto"/>
            </w:tcBorders>
            <w:shd w:val="clear" w:color="auto" w:fill="auto"/>
            <w:vAlign w:val="center"/>
          </w:tcPr>
          <w:p w14:paraId="538242D7"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6 755</w:t>
            </w:r>
          </w:p>
        </w:tc>
        <w:tc>
          <w:tcPr>
            <w:tcW w:w="1101" w:type="dxa"/>
            <w:tcBorders>
              <w:left w:val="single" w:sz="4" w:space="0" w:color="auto"/>
              <w:right w:val="single" w:sz="4" w:space="0" w:color="auto"/>
            </w:tcBorders>
            <w:shd w:val="clear" w:color="auto" w:fill="auto"/>
            <w:vAlign w:val="center"/>
          </w:tcPr>
          <w:p w14:paraId="474B1D1A"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6 898</w:t>
            </w:r>
          </w:p>
        </w:tc>
        <w:tc>
          <w:tcPr>
            <w:tcW w:w="1101" w:type="dxa"/>
            <w:tcBorders>
              <w:left w:val="single" w:sz="4" w:space="0" w:color="auto"/>
              <w:right w:val="single" w:sz="4" w:space="0" w:color="auto"/>
            </w:tcBorders>
            <w:shd w:val="clear" w:color="auto" w:fill="auto"/>
            <w:vAlign w:val="center"/>
          </w:tcPr>
          <w:p w14:paraId="27A856F9"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599</w:t>
            </w:r>
          </w:p>
        </w:tc>
        <w:tc>
          <w:tcPr>
            <w:tcW w:w="1102" w:type="dxa"/>
            <w:gridSpan w:val="2"/>
            <w:tcBorders>
              <w:left w:val="single" w:sz="4" w:space="0" w:color="auto"/>
              <w:right w:val="single" w:sz="4" w:space="0" w:color="auto"/>
            </w:tcBorders>
            <w:shd w:val="clear" w:color="auto" w:fill="auto"/>
            <w:vAlign w:val="center"/>
          </w:tcPr>
          <w:p w14:paraId="001D50D9" w14:textId="77777777" w:rsidR="00D96653" w:rsidRPr="00D96653" w:rsidRDefault="00D96653" w:rsidP="00D96653">
            <w:pPr>
              <w:spacing w:before="40" w:after="40"/>
              <w:ind w:right="284"/>
              <w:jc w:val="right"/>
              <w:rPr>
                <w:rFonts w:eastAsia="Calibri"/>
                <w:b/>
                <w:bCs/>
                <w:sz w:val="16"/>
                <w:szCs w:val="16"/>
                <w:lang w:eastAsia="en-US"/>
              </w:rPr>
            </w:pPr>
            <w:r w:rsidRPr="00D96653">
              <w:rPr>
                <w:rFonts w:eastAsia="Calibri"/>
                <w:b/>
                <w:bCs/>
                <w:sz w:val="16"/>
                <w:szCs w:val="16"/>
                <w:lang w:eastAsia="en-US"/>
              </w:rPr>
              <w:t>9.5</w:t>
            </w:r>
          </w:p>
        </w:tc>
      </w:tr>
      <w:tr w:rsidR="00D96653" w:rsidRPr="00D96653" w14:paraId="4A12B38A" w14:textId="77777777" w:rsidTr="00D96653">
        <w:trPr>
          <w:jc w:val="center"/>
        </w:trPr>
        <w:tc>
          <w:tcPr>
            <w:tcW w:w="3472" w:type="dxa"/>
            <w:tcBorders>
              <w:left w:val="single" w:sz="4" w:space="0" w:color="auto"/>
              <w:bottom w:val="single" w:sz="4" w:space="0" w:color="auto"/>
              <w:right w:val="single" w:sz="4" w:space="0" w:color="auto"/>
            </w:tcBorders>
            <w:shd w:val="clear" w:color="auto" w:fill="auto"/>
            <w:vAlign w:val="center"/>
          </w:tcPr>
          <w:p w14:paraId="1B8814C6" w14:textId="77777777" w:rsidR="00D96653" w:rsidRPr="00D96653" w:rsidRDefault="00D96653" w:rsidP="00D96653">
            <w:pPr>
              <w:spacing w:before="120" w:after="120"/>
              <w:jc w:val="both"/>
              <w:rPr>
                <w:rFonts w:eastAsia="Calibri"/>
                <w:bCs/>
                <w:sz w:val="18"/>
                <w:szCs w:val="18"/>
                <w:lang w:eastAsia="en-US"/>
              </w:rPr>
            </w:pPr>
            <w:r w:rsidRPr="00D96653">
              <w:rPr>
                <w:rFonts w:eastAsia="Calibri"/>
                <w:bCs/>
                <w:sz w:val="18"/>
                <w:szCs w:val="18"/>
                <w:lang w:eastAsia="en-US"/>
              </w:rPr>
              <w:t>Capital contable (promedio 12 meses)</w:t>
            </w:r>
          </w:p>
        </w:tc>
        <w:tc>
          <w:tcPr>
            <w:tcW w:w="1101" w:type="dxa"/>
            <w:tcBorders>
              <w:left w:val="single" w:sz="4" w:space="0" w:color="auto"/>
              <w:bottom w:val="single" w:sz="4" w:space="0" w:color="auto"/>
              <w:right w:val="single" w:sz="4" w:space="0" w:color="auto"/>
            </w:tcBorders>
            <w:shd w:val="clear" w:color="auto" w:fill="auto"/>
            <w:vAlign w:val="center"/>
          </w:tcPr>
          <w:p w14:paraId="4E91A401"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750</w:t>
            </w:r>
          </w:p>
        </w:tc>
        <w:tc>
          <w:tcPr>
            <w:tcW w:w="1101" w:type="dxa"/>
            <w:tcBorders>
              <w:left w:val="single" w:sz="4" w:space="0" w:color="auto"/>
              <w:bottom w:val="single" w:sz="4" w:space="0" w:color="auto"/>
              <w:right w:val="single" w:sz="4" w:space="0" w:color="auto"/>
            </w:tcBorders>
            <w:shd w:val="clear" w:color="auto" w:fill="auto"/>
            <w:vAlign w:val="center"/>
          </w:tcPr>
          <w:p w14:paraId="444D9D6B"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778</w:t>
            </w:r>
          </w:p>
        </w:tc>
        <w:tc>
          <w:tcPr>
            <w:tcW w:w="1101" w:type="dxa"/>
            <w:tcBorders>
              <w:left w:val="single" w:sz="4" w:space="0" w:color="auto"/>
              <w:bottom w:val="single" w:sz="4" w:space="0" w:color="auto"/>
              <w:right w:val="single" w:sz="4" w:space="0" w:color="auto"/>
            </w:tcBorders>
            <w:shd w:val="clear" w:color="auto" w:fill="auto"/>
            <w:vAlign w:val="center"/>
          </w:tcPr>
          <w:p w14:paraId="709CF0A7"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797</w:t>
            </w:r>
          </w:p>
        </w:tc>
        <w:tc>
          <w:tcPr>
            <w:tcW w:w="1101" w:type="dxa"/>
            <w:tcBorders>
              <w:left w:val="single" w:sz="4" w:space="0" w:color="auto"/>
              <w:bottom w:val="single" w:sz="4" w:space="0" w:color="auto"/>
              <w:right w:val="single" w:sz="4" w:space="0" w:color="auto"/>
            </w:tcBorders>
            <w:shd w:val="clear" w:color="auto" w:fill="auto"/>
            <w:vAlign w:val="center"/>
          </w:tcPr>
          <w:p w14:paraId="4FC92E41" w14:textId="77777777" w:rsidR="00D96653" w:rsidRPr="00D96653" w:rsidRDefault="00D96653" w:rsidP="00D96653">
            <w:pPr>
              <w:spacing w:before="40" w:after="40"/>
              <w:ind w:right="284"/>
              <w:jc w:val="right"/>
              <w:rPr>
                <w:rFonts w:eastAsia="Calibri"/>
                <w:sz w:val="16"/>
                <w:szCs w:val="16"/>
                <w:lang w:eastAsia="en-US"/>
              </w:rPr>
            </w:pPr>
            <w:r w:rsidRPr="00D96653">
              <w:rPr>
                <w:rFonts w:eastAsia="Calibri"/>
                <w:sz w:val="16"/>
                <w:szCs w:val="16"/>
                <w:lang w:eastAsia="en-US"/>
              </w:rPr>
              <w:t>47</w:t>
            </w:r>
          </w:p>
        </w:tc>
        <w:tc>
          <w:tcPr>
            <w:tcW w:w="1102" w:type="dxa"/>
            <w:gridSpan w:val="2"/>
            <w:tcBorders>
              <w:left w:val="single" w:sz="4" w:space="0" w:color="auto"/>
              <w:bottom w:val="single" w:sz="4" w:space="0" w:color="auto"/>
              <w:right w:val="single" w:sz="4" w:space="0" w:color="auto"/>
            </w:tcBorders>
            <w:shd w:val="clear" w:color="auto" w:fill="auto"/>
            <w:vAlign w:val="center"/>
          </w:tcPr>
          <w:p w14:paraId="7400498E" w14:textId="77777777" w:rsidR="00D96653" w:rsidRPr="00D96653" w:rsidRDefault="00D96653" w:rsidP="00D96653">
            <w:pPr>
              <w:spacing w:before="40" w:after="40"/>
              <w:ind w:right="284"/>
              <w:jc w:val="right"/>
              <w:rPr>
                <w:rFonts w:eastAsia="Calibri"/>
                <w:bCs/>
                <w:sz w:val="16"/>
                <w:szCs w:val="16"/>
                <w:lang w:eastAsia="en-US"/>
              </w:rPr>
            </w:pPr>
            <w:r w:rsidRPr="00D96653">
              <w:rPr>
                <w:rFonts w:eastAsia="Calibri"/>
                <w:bCs/>
                <w:sz w:val="16"/>
                <w:szCs w:val="16"/>
                <w:lang w:eastAsia="en-US"/>
              </w:rPr>
              <w:t>6.3</w:t>
            </w:r>
          </w:p>
        </w:tc>
      </w:tr>
      <w:tr w:rsidR="00D96653" w:rsidRPr="00D96653" w14:paraId="652FE2BD" w14:textId="77777777" w:rsidTr="00D96653">
        <w:trPr>
          <w:gridAfter w:val="1"/>
          <w:wAfter w:w="47" w:type="dxa"/>
          <w:jc w:val="center"/>
        </w:trPr>
        <w:tc>
          <w:tcPr>
            <w:tcW w:w="8931" w:type="dxa"/>
            <w:gridSpan w:val="6"/>
            <w:tcBorders>
              <w:bottom w:val="nil"/>
            </w:tcBorders>
            <w:shd w:val="clear" w:color="auto" w:fill="auto"/>
            <w:vAlign w:val="center"/>
          </w:tcPr>
          <w:p w14:paraId="4A7E7EC9" w14:textId="77777777" w:rsidR="00D96653" w:rsidRPr="005061B6" w:rsidRDefault="00D96653" w:rsidP="00D96653">
            <w:pPr>
              <w:spacing w:before="120"/>
              <w:ind w:left="227" w:hanging="227"/>
              <w:jc w:val="both"/>
              <w:rPr>
                <w:rFonts w:eastAsia="Calibri"/>
                <w:bCs/>
                <w:sz w:val="18"/>
                <w:szCs w:val="18"/>
                <w:lang w:eastAsia="en-US"/>
              </w:rPr>
            </w:pPr>
            <w:r w:rsidRPr="005061B6">
              <w:rPr>
                <w:rFonts w:eastAsia="Calibri"/>
                <w:bCs/>
                <w:sz w:val="18"/>
                <w:szCs w:val="18"/>
                <w:u w:val="single"/>
                <w:lang w:eastAsia="en-US"/>
              </w:rPr>
              <w:t>i</w:t>
            </w:r>
            <w:r w:rsidRPr="005061B6">
              <w:rPr>
                <w:rFonts w:eastAsia="Calibri"/>
                <w:bCs/>
                <w:sz w:val="18"/>
                <w:szCs w:val="18"/>
                <w:lang w:eastAsia="en-US"/>
              </w:rPr>
              <w:t>/  ROA = Resultado neto (acumulado 12 meses) / Activo total, promedio 12 meses.</w:t>
            </w:r>
          </w:p>
          <w:p w14:paraId="71D2D40F" w14:textId="77777777" w:rsidR="00D96653" w:rsidRPr="005061B6" w:rsidRDefault="00D96653" w:rsidP="00D96653">
            <w:pPr>
              <w:ind w:left="227" w:hanging="227"/>
              <w:jc w:val="both"/>
              <w:rPr>
                <w:rFonts w:eastAsia="Calibri"/>
                <w:bCs/>
                <w:sz w:val="18"/>
                <w:szCs w:val="18"/>
                <w:u w:val="single"/>
                <w:lang w:eastAsia="en-US"/>
              </w:rPr>
            </w:pPr>
            <w:r w:rsidRPr="005061B6">
              <w:rPr>
                <w:rFonts w:eastAsia="Calibri"/>
                <w:bCs/>
                <w:sz w:val="18"/>
                <w:szCs w:val="18"/>
                <w:u w:val="single"/>
                <w:lang w:eastAsia="en-US"/>
              </w:rPr>
              <w:t>ii</w:t>
            </w:r>
            <w:r w:rsidRPr="005061B6">
              <w:rPr>
                <w:rFonts w:eastAsia="Calibri"/>
                <w:bCs/>
                <w:sz w:val="18"/>
                <w:szCs w:val="18"/>
                <w:lang w:eastAsia="en-US"/>
              </w:rPr>
              <w:t>/ ROE = Resultado neto (acumulado 12 meses) / Capital contable, promedio 12 meses.</w:t>
            </w:r>
          </w:p>
          <w:p w14:paraId="401E4AFF" w14:textId="77777777" w:rsidR="00D96653" w:rsidRPr="005061B6" w:rsidRDefault="00D96653" w:rsidP="00D96653">
            <w:pPr>
              <w:jc w:val="both"/>
              <w:rPr>
                <w:rFonts w:eastAsia="Calibri"/>
                <w:bCs/>
                <w:sz w:val="18"/>
                <w:szCs w:val="18"/>
                <w:lang w:eastAsia="en-US"/>
              </w:rPr>
            </w:pPr>
            <w:r w:rsidRPr="005061B6">
              <w:rPr>
                <w:rFonts w:eastAsia="Calibri"/>
                <w:bCs/>
                <w:sz w:val="18"/>
                <w:szCs w:val="18"/>
                <w:lang w:eastAsia="en-US"/>
              </w:rPr>
              <w:t>FUENTE: CNBV.</w:t>
            </w:r>
          </w:p>
        </w:tc>
      </w:tr>
    </w:tbl>
    <w:p w14:paraId="791A5F26" w14:textId="77777777" w:rsidR="00D96653" w:rsidRPr="00D96653" w:rsidRDefault="00D96653" w:rsidP="00D96653">
      <w:pPr>
        <w:spacing w:after="360" w:line="360" w:lineRule="auto"/>
        <w:ind w:right="-159"/>
        <w:jc w:val="both"/>
        <w:rPr>
          <w:rFonts w:eastAsia="Calibri"/>
          <w:sz w:val="26"/>
          <w:szCs w:val="26"/>
          <w:lang w:eastAsia="en-US"/>
        </w:rPr>
      </w:pPr>
    </w:p>
    <w:p w14:paraId="03C123A1" w14:textId="77777777" w:rsidR="00D96653" w:rsidRPr="00D96653" w:rsidRDefault="00D96653" w:rsidP="00D96653">
      <w:pPr>
        <w:ind w:right="-159"/>
        <w:jc w:val="both"/>
        <w:rPr>
          <w:rFonts w:eastAsia="Calibri"/>
          <w:b/>
          <w:sz w:val="20"/>
          <w:szCs w:val="20"/>
          <w:lang w:val="es-ES" w:eastAsia="en-US"/>
        </w:rPr>
      </w:pPr>
      <w:r w:rsidRPr="00D96653">
        <w:rPr>
          <w:rFonts w:eastAsia="Calibri"/>
          <w:b/>
          <w:sz w:val="20"/>
          <w:szCs w:val="20"/>
          <w:lang w:val="es-ES" w:eastAsia="en-US"/>
        </w:rPr>
        <w:t>Fuente de información:</w:t>
      </w:r>
    </w:p>
    <w:p w14:paraId="23807D7B" w14:textId="77777777" w:rsidR="00D96653" w:rsidRPr="001256B5" w:rsidRDefault="0045651A" w:rsidP="00D96653">
      <w:pPr>
        <w:ind w:right="-159"/>
        <w:jc w:val="both"/>
        <w:rPr>
          <w:rFonts w:eastAsia="Calibri"/>
          <w:color w:val="0000FF"/>
          <w:sz w:val="20"/>
          <w:szCs w:val="20"/>
          <w:lang w:val="es-ES" w:eastAsia="en-US"/>
        </w:rPr>
      </w:pPr>
      <w:hyperlink r:id="rId261" w:history="1">
        <w:r w:rsidR="00D96653" w:rsidRPr="001256B5">
          <w:rPr>
            <w:rFonts w:eastAsia="Calibri"/>
            <w:color w:val="0000FF"/>
            <w:sz w:val="20"/>
            <w:szCs w:val="20"/>
            <w:u w:val="single"/>
            <w:lang w:val="es-ES" w:eastAsia="en-US"/>
          </w:rPr>
          <w:t>http://www.cnbv.gob.mx/SECTORES-SUPERVISADOS/OTROS-SUPERVISADOS/Boletines-de-Prensa/Prensa%20%20Grupos%20Financieros/Comunicado_GF_Diciembre_2014.pdf</w:t>
        </w:r>
      </w:hyperlink>
      <w:r w:rsidR="00D96653" w:rsidRPr="001256B5">
        <w:rPr>
          <w:rFonts w:eastAsia="Calibri"/>
          <w:color w:val="0000FF"/>
          <w:sz w:val="20"/>
          <w:szCs w:val="20"/>
          <w:lang w:val="es-ES" w:eastAsia="en-US"/>
        </w:rPr>
        <w:t xml:space="preserve"> </w:t>
      </w:r>
    </w:p>
    <w:p w14:paraId="135A8EAF" w14:textId="77777777" w:rsidR="00D96653" w:rsidRPr="001256B5" w:rsidRDefault="00D96653" w:rsidP="00D96653">
      <w:pPr>
        <w:ind w:right="-159"/>
        <w:jc w:val="both"/>
        <w:rPr>
          <w:rFonts w:eastAsia="Calibri"/>
          <w:sz w:val="20"/>
          <w:szCs w:val="20"/>
          <w:lang w:val="es-ES" w:eastAsia="en-US"/>
        </w:rPr>
      </w:pPr>
      <w:r w:rsidRPr="001256B5">
        <w:rPr>
          <w:rFonts w:eastAsia="Calibri"/>
          <w:sz w:val="20"/>
          <w:szCs w:val="20"/>
          <w:lang w:val="es-ES" w:eastAsia="en-US"/>
        </w:rPr>
        <w:t>Para tener acceso a información adicional visite:</w:t>
      </w:r>
    </w:p>
    <w:p w14:paraId="14208F7E" w14:textId="77777777" w:rsidR="00D96653" w:rsidRPr="001256B5" w:rsidRDefault="0045651A" w:rsidP="001256B5">
      <w:pPr>
        <w:spacing w:after="720"/>
        <w:ind w:right="-159"/>
        <w:jc w:val="both"/>
        <w:rPr>
          <w:rFonts w:eastAsia="Calibri"/>
          <w:color w:val="0000FF"/>
          <w:sz w:val="20"/>
          <w:szCs w:val="20"/>
          <w:lang w:val="es-ES" w:eastAsia="en-US"/>
        </w:rPr>
      </w:pPr>
      <w:hyperlink r:id="rId262" w:history="1">
        <w:r w:rsidR="00D96653" w:rsidRPr="001256B5">
          <w:rPr>
            <w:rFonts w:eastAsia="Calibri"/>
            <w:color w:val="0000FF"/>
            <w:sz w:val="20"/>
            <w:szCs w:val="20"/>
            <w:u w:val="single"/>
            <w:lang w:val="es-ES" w:eastAsia="en-US"/>
          </w:rPr>
          <w:t>http://portafoliodeinformacion.cnbv.gob.mx/gf1/Paginas/infosituacion.aspx</w:t>
        </w:r>
      </w:hyperlink>
      <w:r w:rsidR="00D96653" w:rsidRPr="001256B5">
        <w:rPr>
          <w:rFonts w:eastAsia="Calibri"/>
          <w:color w:val="0000FF"/>
          <w:sz w:val="20"/>
          <w:szCs w:val="20"/>
          <w:lang w:val="es-ES" w:eastAsia="en-US"/>
        </w:rPr>
        <w:t xml:space="preserve"> </w:t>
      </w:r>
    </w:p>
    <w:p w14:paraId="40B70E95" w14:textId="77777777" w:rsidR="00AA6D1D" w:rsidRPr="00AA6D1D" w:rsidRDefault="00AA6D1D" w:rsidP="00AA6D1D">
      <w:pPr>
        <w:spacing w:after="360" w:line="360" w:lineRule="auto"/>
        <w:ind w:right="-159"/>
        <w:jc w:val="both"/>
        <w:rPr>
          <w:b/>
          <w:sz w:val="26"/>
          <w:szCs w:val="26"/>
        </w:rPr>
      </w:pPr>
      <w:r w:rsidRPr="00AA6D1D">
        <w:rPr>
          <w:b/>
          <w:sz w:val="26"/>
          <w:szCs w:val="26"/>
        </w:rPr>
        <w:t>Financiamiento Bancario (Banxico)</w:t>
      </w:r>
    </w:p>
    <w:p w14:paraId="49B72EFD" w14:textId="77777777" w:rsidR="00AA6D1D" w:rsidRPr="00AA6D1D" w:rsidRDefault="00AA6D1D" w:rsidP="00AA6D1D">
      <w:pPr>
        <w:spacing w:after="360" w:line="360" w:lineRule="auto"/>
        <w:ind w:right="-159"/>
        <w:jc w:val="both"/>
        <w:rPr>
          <w:sz w:val="26"/>
          <w:szCs w:val="26"/>
          <w:lang w:val="es-ES"/>
        </w:rPr>
      </w:pPr>
      <w:r w:rsidRPr="00AA6D1D">
        <w:rPr>
          <w:sz w:val="26"/>
          <w:szCs w:val="26"/>
          <w:lang w:val="es-ES"/>
        </w:rPr>
        <w:t>Información del Banco de México (Banxico) publicada en los “Agregados Monetarios y Actividad Financiera”, al cierre de febrero de 2015, muestra que el saldo del financiamiento otorgado por la banca comercial, a través de valores, cartera de crédito vigente y vencida, títulos asociados a programas de reestructura, así como por las Sofom Reguladas de tarjetas de crédito (Tarjetas Banamex, Santader Consumo, IXE Tarjetas y Sociedad Financiera Inbursa) fue de 4 billones 12 mil millones de pesos, cantidad que significó un incremento en términos reales de 11.9% con respecto al mismo mes de 2014.</w:t>
      </w:r>
    </w:p>
    <w:p w14:paraId="139276FB" w14:textId="77777777" w:rsidR="00AA6D1D" w:rsidRPr="00AA6D1D" w:rsidRDefault="00AA6D1D" w:rsidP="00AA6D1D">
      <w:pPr>
        <w:spacing w:after="360" w:line="360" w:lineRule="auto"/>
        <w:ind w:right="-159"/>
        <w:jc w:val="both"/>
        <w:rPr>
          <w:sz w:val="26"/>
          <w:szCs w:val="26"/>
          <w:lang w:val="es-ES"/>
        </w:rPr>
      </w:pPr>
      <w:r w:rsidRPr="00AA6D1D">
        <w:rPr>
          <w:sz w:val="26"/>
          <w:szCs w:val="26"/>
          <w:lang w:val="es-ES"/>
        </w:rPr>
        <w:lastRenderedPageBreak/>
        <w:t>En febrero de 2015, del total del financiamiento, el otorgado al sector privado fue de         2 billones 923 mil millones de pesos, con una participación de 72.9% del total, y presentó un aumento de 5.3%. La tenencia de valores y el saldo del crédito directo total (vigente y vencido) otorgado al sector público federal que representa 17.7% del financiamiento otorgado por la banca comercial, se situaron en 710 mil 700 millones de pesos, que implicó un aumento de 47.0%. Preliminarmente, el incremento en el financiamiento de la banca comercial al sector público federal parece haber respondido, en parte, a que algunas instituciones han estado adquiriendo títulos a cargo del Gobierno Federal en firme en vez de mediante reportos, en respuesta a la nueva regulación de liquidez que tendrán que seguir. El saldo del financiamiento a los estados y municipios, que conforma 7.8% del financiamiento otorgado por la banca comercial, ascendió a  313 mil 700 millones de pesos y registró un crecimiento de 4.2%. Por último, el saldo del financiamiento a otros sectores, que comprende el financiamiento al Instituto para la Protección al Ahorro Bancario (IPAB), Pidiregas de la Comisión Federal de Electricidad (CFE) y el Fondo Nacional de Infraestructura (Fonadin), y que representa 1.6% del mencionado financiamiento, se ubicó en 64 mil 600 millones de pesos, lo que implicó un incremento de 169.1 por ciento.</w:t>
      </w:r>
    </w:p>
    <w:p w14:paraId="74EB3134" w14:textId="77777777" w:rsidR="00AA6D1D" w:rsidRPr="00AA6D1D" w:rsidRDefault="00AA6D1D" w:rsidP="00AA6D1D">
      <w:pPr>
        <w:spacing w:after="360" w:line="360" w:lineRule="auto"/>
        <w:ind w:right="-159"/>
        <w:jc w:val="both"/>
        <w:rPr>
          <w:b/>
          <w:sz w:val="26"/>
          <w:szCs w:val="26"/>
          <w:lang w:val="es-ES"/>
        </w:rPr>
      </w:pPr>
      <w:r w:rsidRPr="00AA6D1D">
        <w:rPr>
          <w:b/>
          <w:sz w:val="26"/>
          <w:szCs w:val="26"/>
          <w:lang w:val="es-ES"/>
        </w:rPr>
        <w:t>Crédito Vigente de la banca comercial al sector privado</w:t>
      </w:r>
    </w:p>
    <w:p w14:paraId="7DCB96AA" w14:textId="36F65388" w:rsidR="00AA6D1D" w:rsidRPr="00AA6D1D" w:rsidRDefault="00AA6D1D" w:rsidP="00AA6D1D">
      <w:pPr>
        <w:spacing w:after="360" w:line="360" w:lineRule="auto"/>
        <w:ind w:right="-159"/>
        <w:jc w:val="both"/>
        <w:rPr>
          <w:sz w:val="26"/>
          <w:szCs w:val="26"/>
          <w:lang w:val="es-ES"/>
        </w:rPr>
      </w:pPr>
      <w:r w:rsidRPr="00AA6D1D">
        <w:rPr>
          <w:sz w:val="26"/>
          <w:szCs w:val="26"/>
          <w:lang w:val="es-ES"/>
        </w:rPr>
        <w:t>El crédito vigente de la banca comercial al sector privado, las variaciones en por ciento del financiamiento otorgado por la banca comercial, así como de sus componentes, se expresan en términos reales anuales, ascendió en febrero de 2015 a 2 billones 718 mil millones de pesos, siendo su expansión de 5.7% anual en términos reales</w:t>
      </w:r>
      <w:r w:rsidRPr="00AA6D1D">
        <w:rPr>
          <w:sz w:val="26"/>
          <w:szCs w:val="26"/>
          <w:vertAlign w:val="superscript"/>
          <w:lang w:val="es-ES"/>
        </w:rPr>
        <w:footnoteReference w:id="37"/>
      </w:r>
      <w:r w:rsidRPr="00AA6D1D">
        <w:rPr>
          <w:sz w:val="26"/>
          <w:szCs w:val="26"/>
          <w:lang w:val="es-ES"/>
        </w:rPr>
        <w:t xml:space="preserve">. De este saldo, 685 mil 100 millones de pesos fueron destinados al crédito al consumo, lo que implicó un aumento de 2.6%. El saldo del crédito a la vivienda fue de 523 mil 800 millones de pesos y creció 6.5%. Por su parte, el crédito a empresas no financieras y </w:t>
      </w:r>
      <w:r w:rsidRPr="00AA6D1D">
        <w:rPr>
          <w:sz w:val="26"/>
          <w:szCs w:val="26"/>
          <w:lang w:val="es-ES"/>
        </w:rPr>
        <w:lastRenderedPageBreak/>
        <w:t xml:space="preserve">personas físicas con actividad empresarial tuvo un saldo de </w:t>
      </w:r>
      <w:r w:rsidR="004D3FE5">
        <w:rPr>
          <w:sz w:val="26"/>
          <w:szCs w:val="26"/>
          <w:lang w:val="es-ES"/>
        </w:rPr>
        <w:t>un</w:t>
      </w:r>
      <w:r w:rsidRPr="00AA6D1D">
        <w:rPr>
          <w:sz w:val="26"/>
          <w:szCs w:val="26"/>
          <w:lang w:val="es-ES"/>
        </w:rPr>
        <w:t xml:space="preserve"> billón 383 mil 600 millones de pesos, que representó un incremento, a tasa anual, de 6.6%. Finalmente, el saldo del crédito otorgado a intermediarios financieros no bancarios se ubicó en            125 mil 500 millones de pesos, registrando una variación de 11.3% en términos reales.</w:t>
      </w:r>
    </w:p>
    <w:p w14:paraId="066004DA" w14:textId="77777777" w:rsidR="00AA6D1D" w:rsidRPr="00AA6D1D" w:rsidRDefault="00AA6D1D" w:rsidP="00AA6D1D">
      <w:pPr>
        <w:spacing w:after="360" w:line="360" w:lineRule="auto"/>
        <w:ind w:right="-159"/>
        <w:jc w:val="both"/>
        <w:rPr>
          <w:b/>
          <w:sz w:val="26"/>
          <w:szCs w:val="26"/>
          <w:lang w:val="es-ES"/>
        </w:rPr>
      </w:pPr>
      <w:r w:rsidRPr="00AA6D1D">
        <w:rPr>
          <w:b/>
          <w:sz w:val="26"/>
          <w:szCs w:val="26"/>
          <w:lang w:val="es-ES"/>
        </w:rPr>
        <w:t>Financiamiento de la Banca de Desarrollo</w:t>
      </w:r>
    </w:p>
    <w:p w14:paraId="2CA6D3DF" w14:textId="77777777" w:rsidR="00AA6D1D" w:rsidRPr="00AA6D1D" w:rsidRDefault="00AA6D1D" w:rsidP="00AA6D1D">
      <w:pPr>
        <w:spacing w:after="360" w:line="360" w:lineRule="auto"/>
        <w:ind w:right="-159"/>
        <w:jc w:val="both"/>
        <w:rPr>
          <w:sz w:val="26"/>
          <w:szCs w:val="26"/>
          <w:lang w:val="es-ES"/>
        </w:rPr>
      </w:pPr>
      <w:r w:rsidRPr="00AA6D1D">
        <w:rPr>
          <w:sz w:val="26"/>
          <w:szCs w:val="26"/>
          <w:lang w:val="es-ES"/>
        </w:rPr>
        <w:t>El financiamiento otorgado por la banca de desarrollo en febrero de 2015 presentó un saldo de 733 mil 900 millones de pesos y tuvo un crecimiento real anual de 18.7%. El financiamiento de la banca de desarrollo incluye a la cartera de crédito vigente y vencida, los títulos asociados a programas de reestructura y de valores. También incluye a Nacional Financiera, S.A. (Nafin), Banco Nacional de Comercio Exterior (Bancomex), Banco Nacional de Obras y Servicios Públicos (Banobras), Sociedad Hipotecaria Federal (SHF), Banco del Ejército (Banjercito) y Banco del Ahorro Nacional y Servicios Financieros (Bansefi).</w:t>
      </w:r>
    </w:p>
    <w:p w14:paraId="171AE017" w14:textId="77777777" w:rsidR="00AA6D1D" w:rsidRPr="00AA6D1D" w:rsidRDefault="00AA6D1D" w:rsidP="00AA6D1D">
      <w:pPr>
        <w:spacing w:after="360" w:line="360" w:lineRule="auto"/>
        <w:ind w:right="-159"/>
        <w:jc w:val="both"/>
        <w:rPr>
          <w:sz w:val="26"/>
          <w:szCs w:val="26"/>
          <w:lang w:val="es-ES"/>
        </w:rPr>
      </w:pPr>
      <w:r w:rsidRPr="00AA6D1D">
        <w:rPr>
          <w:sz w:val="26"/>
          <w:szCs w:val="26"/>
          <w:lang w:val="es-ES"/>
        </w:rPr>
        <w:t>Del monto de financiamiento, 382 mil 800 millones de pesos correspondieron al financiamiento canalizado al sector privado, con una participación de 52.2% del total, lo que significó un aumento a tasa real anual de 17.3%. El financiamiento a estados y municipios, que representa el 19.4% del total, reportó un saldo de 142 mil 400 millones de pesos presentando un incremento real anual de 2.9%. La tenencia de valores y el saldo del crédito directo total (vigente y vencido) al sector público federal, que conforman el 24.1% del financiamiento total, se situaron en 176 mil 600 millones de pesos, lo que implicó un aumento de 37.9%. Finalmente, el saldo del financiamiento a otros sectores, que comprenden el financiamiento al IPAB, Pidiregas de CFE y Fonadin, y que representa 4.4% del mencionado financiamiento, se ubicó en 32 mil 200 millones de pesos, registrando un incremento de 26.8 por ciento.</w:t>
      </w:r>
    </w:p>
    <w:p w14:paraId="7D13902B" w14:textId="77777777" w:rsidR="00AA6D1D" w:rsidRPr="00AA6D1D" w:rsidRDefault="00AA6D1D" w:rsidP="00AA6D1D">
      <w:pPr>
        <w:spacing w:after="360" w:line="360" w:lineRule="auto"/>
        <w:ind w:right="-159"/>
        <w:jc w:val="both"/>
        <w:rPr>
          <w:sz w:val="26"/>
          <w:szCs w:val="26"/>
          <w:lang w:val="es-ES"/>
        </w:rPr>
      </w:pPr>
    </w:p>
    <w:tbl>
      <w:tblPr>
        <w:tblW w:w="7834" w:type="dxa"/>
        <w:jc w:val="center"/>
        <w:tblLook w:val="0000" w:firstRow="0" w:lastRow="0" w:firstColumn="0" w:lastColumn="0" w:noHBand="0" w:noVBand="0"/>
      </w:tblPr>
      <w:tblGrid>
        <w:gridCol w:w="1800"/>
        <w:gridCol w:w="1500"/>
        <w:gridCol w:w="1543"/>
        <w:gridCol w:w="1432"/>
        <w:gridCol w:w="1559"/>
      </w:tblGrid>
      <w:tr w:rsidR="00AA6D1D" w:rsidRPr="00AA6D1D" w14:paraId="652849B0" w14:textId="77777777" w:rsidTr="002B3A4F">
        <w:trPr>
          <w:cantSplit/>
          <w:jc w:val="center"/>
        </w:trPr>
        <w:tc>
          <w:tcPr>
            <w:tcW w:w="7834" w:type="dxa"/>
            <w:gridSpan w:val="5"/>
            <w:tcBorders>
              <w:bottom w:val="single" w:sz="4" w:space="0" w:color="auto"/>
            </w:tcBorders>
          </w:tcPr>
          <w:p w14:paraId="57E405F8" w14:textId="77777777" w:rsidR="00AA6D1D" w:rsidRPr="00AA6D1D" w:rsidRDefault="00AA6D1D" w:rsidP="00AA6D1D">
            <w:pPr>
              <w:widowControl w:val="0"/>
              <w:adjustRightInd w:val="0"/>
              <w:jc w:val="center"/>
              <w:textAlignment w:val="baseline"/>
              <w:rPr>
                <w:b/>
                <w:bCs/>
                <w:sz w:val="22"/>
                <w:szCs w:val="22"/>
              </w:rPr>
            </w:pPr>
            <w:r w:rsidRPr="00AA6D1D">
              <w:rPr>
                <w:sz w:val="26"/>
              </w:rPr>
              <w:lastRenderedPageBreak/>
              <w:br w:type="page"/>
            </w:r>
            <w:r w:rsidRPr="00AA6D1D">
              <w:rPr>
                <w:b/>
                <w:bCs/>
                <w:sz w:val="22"/>
                <w:szCs w:val="22"/>
              </w:rPr>
              <w:t xml:space="preserve">FINANCIAMIENTO DE LA BANCA COMERCIAL </w:t>
            </w:r>
          </w:p>
          <w:p w14:paraId="61C5E5B7" w14:textId="77777777" w:rsidR="00AA6D1D" w:rsidRPr="00AA6D1D" w:rsidRDefault="00AA6D1D" w:rsidP="00AA6D1D">
            <w:pPr>
              <w:widowControl w:val="0"/>
              <w:adjustRightInd w:val="0"/>
              <w:jc w:val="center"/>
              <w:textAlignment w:val="baseline"/>
              <w:rPr>
                <w:b/>
                <w:bCs/>
                <w:sz w:val="22"/>
                <w:szCs w:val="22"/>
              </w:rPr>
            </w:pPr>
            <w:r w:rsidRPr="00AA6D1D">
              <w:rPr>
                <w:b/>
                <w:bCs/>
                <w:sz w:val="22"/>
                <w:szCs w:val="22"/>
              </w:rPr>
              <w:t>AL SECTOR NO BANCARIO</w:t>
            </w:r>
            <w:r w:rsidRPr="00AA6D1D">
              <w:rPr>
                <w:b/>
                <w:bCs/>
                <w:sz w:val="22"/>
                <w:szCs w:val="22"/>
                <w:u w:val="single"/>
                <w:vertAlign w:val="superscript"/>
              </w:rPr>
              <w:t>1</w:t>
            </w:r>
            <w:r w:rsidRPr="00AA6D1D">
              <w:rPr>
                <w:b/>
                <w:bCs/>
                <w:sz w:val="22"/>
                <w:szCs w:val="22"/>
                <w:vertAlign w:val="superscript"/>
              </w:rPr>
              <w:t>/</w:t>
            </w:r>
          </w:p>
          <w:p w14:paraId="000A8988" w14:textId="77777777" w:rsidR="00AA6D1D" w:rsidRPr="00AA6D1D" w:rsidRDefault="00AA6D1D" w:rsidP="00AA6D1D">
            <w:pPr>
              <w:widowControl w:val="0"/>
              <w:adjustRightInd w:val="0"/>
              <w:jc w:val="center"/>
              <w:textAlignment w:val="baseline"/>
              <w:rPr>
                <w:b/>
                <w:bCs/>
                <w:sz w:val="22"/>
                <w:szCs w:val="22"/>
              </w:rPr>
            </w:pPr>
            <w:r w:rsidRPr="00AA6D1D">
              <w:rPr>
                <w:b/>
                <w:bCs/>
                <w:sz w:val="22"/>
                <w:szCs w:val="22"/>
              </w:rPr>
              <w:t>2010-2015</w:t>
            </w:r>
          </w:p>
          <w:p w14:paraId="2F4AD709" w14:textId="77777777" w:rsidR="00AA6D1D" w:rsidRPr="00AA6D1D" w:rsidRDefault="00AA6D1D" w:rsidP="00AA6D1D">
            <w:pPr>
              <w:widowControl w:val="0"/>
              <w:adjustRightInd w:val="0"/>
              <w:jc w:val="center"/>
              <w:textAlignment w:val="baseline"/>
              <w:rPr>
                <w:b/>
                <w:bCs/>
              </w:rPr>
            </w:pPr>
            <w:r w:rsidRPr="00AA6D1D">
              <w:rPr>
                <w:b/>
                <w:bCs/>
                <w:sz w:val="22"/>
                <w:szCs w:val="22"/>
              </w:rPr>
              <w:t>-Saldo en miles de millones de pesos-</w:t>
            </w:r>
          </w:p>
        </w:tc>
      </w:tr>
      <w:tr w:rsidR="00AA6D1D" w:rsidRPr="00AA6D1D" w14:paraId="39F71ABB" w14:textId="77777777" w:rsidTr="002B3A4F">
        <w:trPr>
          <w:jc w:val="center"/>
        </w:trPr>
        <w:tc>
          <w:tcPr>
            <w:tcW w:w="1800" w:type="dxa"/>
            <w:tcBorders>
              <w:top w:val="single" w:sz="4" w:space="0" w:color="auto"/>
              <w:left w:val="single" w:sz="4" w:space="0" w:color="auto"/>
              <w:bottom w:val="single" w:sz="4" w:space="0" w:color="auto"/>
            </w:tcBorders>
            <w:vAlign w:val="center"/>
          </w:tcPr>
          <w:p w14:paraId="559FCF1C" w14:textId="77777777" w:rsidR="00AA6D1D" w:rsidRPr="00AA6D1D" w:rsidRDefault="00AA6D1D" w:rsidP="00AA6D1D">
            <w:pPr>
              <w:widowControl w:val="0"/>
              <w:adjustRightInd w:val="0"/>
              <w:jc w:val="center"/>
              <w:textAlignment w:val="baseline"/>
              <w:rPr>
                <w:b/>
                <w:sz w:val="20"/>
              </w:rPr>
            </w:pPr>
            <w:r w:rsidRPr="00AA6D1D">
              <w:rPr>
                <w:b/>
                <w:sz w:val="20"/>
              </w:rPr>
              <w:t>Mes</w:t>
            </w:r>
          </w:p>
        </w:tc>
        <w:tc>
          <w:tcPr>
            <w:tcW w:w="1500" w:type="dxa"/>
            <w:tcBorders>
              <w:top w:val="single" w:sz="4" w:space="0" w:color="auto"/>
              <w:bottom w:val="single" w:sz="4" w:space="0" w:color="auto"/>
            </w:tcBorders>
            <w:vAlign w:val="center"/>
          </w:tcPr>
          <w:p w14:paraId="6ED94DC5" w14:textId="77777777" w:rsidR="00AA6D1D" w:rsidRPr="00AA6D1D" w:rsidRDefault="00AA6D1D" w:rsidP="00AA6D1D">
            <w:pPr>
              <w:widowControl w:val="0"/>
              <w:adjustRightInd w:val="0"/>
              <w:jc w:val="center"/>
              <w:textAlignment w:val="baseline"/>
              <w:rPr>
                <w:b/>
                <w:sz w:val="20"/>
              </w:rPr>
            </w:pPr>
            <w:r w:rsidRPr="00AA6D1D">
              <w:rPr>
                <w:b/>
                <w:sz w:val="20"/>
              </w:rPr>
              <w:t>Total</w:t>
            </w:r>
            <w:r w:rsidRPr="00AA6D1D">
              <w:rPr>
                <w:b/>
                <w:sz w:val="20"/>
                <w:u w:val="single"/>
                <w:vertAlign w:val="superscript"/>
              </w:rPr>
              <w:t>2</w:t>
            </w:r>
            <w:r w:rsidRPr="00AA6D1D">
              <w:rPr>
                <w:b/>
                <w:sz w:val="20"/>
                <w:vertAlign w:val="superscript"/>
              </w:rPr>
              <w:t>/</w:t>
            </w:r>
          </w:p>
        </w:tc>
        <w:tc>
          <w:tcPr>
            <w:tcW w:w="1543" w:type="dxa"/>
            <w:tcBorders>
              <w:top w:val="single" w:sz="4" w:space="0" w:color="auto"/>
              <w:bottom w:val="single" w:sz="4" w:space="0" w:color="auto"/>
            </w:tcBorders>
            <w:vAlign w:val="center"/>
          </w:tcPr>
          <w:p w14:paraId="21896E49" w14:textId="77777777" w:rsidR="00AA6D1D" w:rsidRPr="00AA6D1D" w:rsidRDefault="00AA6D1D" w:rsidP="00AA6D1D">
            <w:pPr>
              <w:widowControl w:val="0"/>
              <w:adjustRightInd w:val="0"/>
              <w:jc w:val="center"/>
              <w:textAlignment w:val="baseline"/>
              <w:rPr>
                <w:b/>
                <w:sz w:val="20"/>
              </w:rPr>
            </w:pPr>
            <w:r w:rsidRPr="00AA6D1D">
              <w:rPr>
                <w:b/>
                <w:sz w:val="20"/>
              </w:rPr>
              <w:t>Sector Privado</w:t>
            </w:r>
          </w:p>
        </w:tc>
        <w:tc>
          <w:tcPr>
            <w:tcW w:w="1432" w:type="dxa"/>
            <w:tcBorders>
              <w:top w:val="single" w:sz="4" w:space="0" w:color="auto"/>
              <w:bottom w:val="single" w:sz="4" w:space="0" w:color="auto"/>
            </w:tcBorders>
          </w:tcPr>
          <w:p w14:paraId="3058B9C4" w14:textId="77777777" w:rsidR="00AA6D1D" w:rsidRPr="00AA6D1D" w:rsidRDefault="00AA6D1D" w:rsidP="00AA6D1D">
            <w:pPr>
              <w:widowControl w:val="0"/>
              <w:adjustRightInd w:val="0"/>
              <w:jc w:val="center"/>
              <w:textAlignment w:val="baseline"/>
              <w:rPr>
                <w:b/>
                <w:sz w:val="20"/>
              </w:rPr>
            </w:pPr>
            <w:r w:rsidRPr="00AA6D1D">
              <w:rPr>
                <w:b/>
                <w:sz w:val="20"/>
              </w:rPr>
              <w:t>Estados y Municipios</w:t>
            </w:r>
          </w:p>
        </w:tc>
        <w:tc>
          <w:tcPr>
            <w:tcW w:w="1559" w:type="dxa"/>
            <w:tcBorders>
              <w:top w:val="single" w:sz="4" w:space="0" w:color="auto"/>
              <w:bottom w:val="single" w:sz="4" w:space="0" w:color="auto"/>
              <w:right w:val="single" w:sz="4" w:space="0" w:color="auto"/>
            </w:tcBorders>
          </w:tcPr>
          <w:p w14:paraId="56DB6679" w14:textId="77777777" w:rsidR="00AA6D1D" w:rsidRPr="00AA6D1D" w:rsidRDefault="00AA6D1D" w:rsidP="00AA6D1D">
            <w:pPr>
              <w:widowControl w:val="0"/>
              <w:adjustRightInd w:val="0"/>
              <w:jc w:val="center"/>
              <w:textAlignment w:val="baseline"/>
              <w:rPr>
                <w:b/>
                <w:sz w:val="20"/>
              </w:rPr>
            </w:pPr>
            <w:r w:rsidRPr="00AA6D1D">
              <w:rPr>
                <w:b/>
                <w:sz w:val="20"/>
              </w:rPr>
              <w:t>Sector Público no bancario</w:t>
            </w:r>
          </w:p>
        </w:tc>
      </w:tr>
      <w:tr w:rsidR="00AA6D1D" w:rsidRPr="00AA6D1D" w14:paraId="5C366013" w14:textId="77777777" w:rsidTr="002B3A4F">
        <w:trPr>
          <w:jc w:val="center"/>
        </w:trPr>
        <w:tc>
          <w:tcPr>
            <w:tcW w:w="1800" w:type="dxa"/>
            <w:tcBorders>
              <w:left w:val="single" w:sz="4" w:space="0" w:color="auto"/>
            </w:tcBorders>
          </w:tcPr>
          <w:p w14:paraId="57C94B8D" w14:textId="77777777" w:rsidR="00AA6D1D" w:rsidRPr="00AA6D1D" w:rsidRDefault="00AA6D1D" w:rsidP="00AA6D1D">
            <w:pPr>
              <w:widowControl w:val="0"/>
              <w:adjustRightInd w:val="0"/>
              <w:jc w:val="both"/>
              <w:textAlignment w:val="baseline"/>
              <w:rPr>
                <w:sz w:val="20"/>
              </w:rPr>
            </w:pPr>
            <w:bookmarkStart w:id="11" w:name="_Hlk55628772"/>
            <w:r w:rsidRPr="00AA6D1D">
              <w:rPr>
                <w:sz w:val="20"/>
              </w:rPr>
              <w:t>Diciembre 2010</w:t>
            </w:r>
          </w:p>
        </w:tc>
        <w:tc>
          <w:tcPr>
            <w:tcW w:w="1500" w:type="dxa"/>
          </w:tcPr>
          <w:p w14:paraId="60645555" w14:textId="77777777" w:rsidR="00AA6D1D" w:rsidRPr="00AA6D1D" w:rsidRDefault="00AA6D1D" w:rsidP="00AA6D1D">
            <w:pPr>
              <w:widowControl w:val="0"/>
              <w:adjustRightInd w:val="0"/>
              <w:ind w:right="340"/>
              <w:jc w:val="right"/>
              <w:textAlignment w:val="baseline"/>
              <w:rPr>
                <w:sz w:val="20"/>
              </w:rPr>
            </w:pPr>
            <w:r w:rsidRPr="00AA6D1D">
              <w:rPr>
                <w:sz w:val="20"/>
              </w:rPr>
              <w:t>2 807.5</w:t>
            </w:r>
          </w:p>
        </w:tc>
        <w:tc>
          <w:tcPr>
            <w:tcW w:w="1543" w:type="dxa"/>
          </w:tcPr>
          <w:p w14:paraId="042A9A6A" w14:textId="77777777" w:rsidR="00AA6D1D" w:rsidRPr="00AA6D1D" w:rsidRDefault="00AA6D1D" w:rsidP="00AA6D1D">
            <w:pPr>
              <w:widowControl w:val="0"/>
              <w:adjustRightInd w:val="0"/>
              <w:ind w:right="397"/>
              <w:jc w:val="right"/>
              <w:textAlignment w:val="baseline"/>
              <w:rPr>
                <w:sz w:val="20"/>
              </w:rPr>
            </w:pPr>
            <w:r w:rsidRPr="00AA6D1D">
              <w:rPr>
                <w:sz w:val="20"/>
              </w:rPr>
              <w:t>1 921.9</w:t>
            </w:r>
          </w:p>
        </w:tc>
        <w:tc>
          <w:tcPr>
            <w:tcW w:w="1432" w:type="dxa"/>
          </w:tcPr>
          <w:p w14:paraId="717283A3" w14:textId="77777777" w:rsidR="00AA6D1D" w:rsidRPr="00AA6D1D" w:rsidRDefault="00AA6D1D" w:rsidP="00AA6D1D">
            <w:pPr>
              <w:widowControl w:val="0"/>
              <w:adjustRightInd w:val="0"/>
              <w:jc w:val="center"/>
              <w:textAlignment w:val="baseline"/>
              <w:rPr>
                <w:sz w:val="20"/>
              </w:rPr>
            </w:pPr>
            <w:r w:rsidRPr="00AA6D1D">
              <w:rPr>
                <w:sz w:val="20"/>
              </w:rPr>
              <w:t>219.0</w:t>
            </w:r>
          </w:p>
        </w:tc>
        <w:tc>
          <w:tcPr>
            <w:tcW w:w="1559" w:type="dxa"/>
            <w:tcBorders>
              <w:right w:val="single" w:sz="4" w:space="0" w:color="auto"/>
            </w:tcBorders>
          </w:tcPr>
          <w:p w14:paraId="5130E7B8" w14:textId="77777777" w:rsidR="00AA6D1D" w:rsidRPr="00AA6D1D" w:rsidRDefault="00AA6D1D" w:rsidP="00AA6D1D">
            <w:pPr>
              <w:widowControl w:val="0"/>
              <w:adjustRightInd w:val="0"/>
              <w:ind w:right="454"/>
              <w:jc w:val="right"/>
              <w:textAlignment w:val="baseline"/>
              <w:rPr>
                <w:sz w:val="20"/>
              </w:rPr>
            </w:pPr>
            <w:r w:rsidRPr="00AA6D1D">
              <w:rPr>
                <w:sz w:val="20"/>
              </w:rPr>
              <w:t>561.1</w:t>
            </w:r>
          </w:p>
        </w:tc>
      </w:tr>
      <w:tr w:rsidR="00AA6D1D" w:rsidRPr="00AA6D1D" w14:paraId="2F5EF0A4" w14:textId="77777777" w:rsidTr="002B3A4F">
        <w:trPr>
          <w:jc w:val="center"/>
        </w:trPr>
        <w:tc>
          <w:tcPr>
            <w:tcW w:w="1800" w:type="dxa"/>
            <w:tcBorders>
              <w:left w:val="single" w:sz="4" w:space="0" w:color="auto"/>
            </w:tcBorders>
          </w:tcPr>
          <w:p w14:paraId="2D1097C3" w14:textId="77777777" w:rsidR="00AA6D1D" w:rsidRPr="00AA6D1D" w:rsidRDefault="00AA6D1D" w:rsidP="00AA6D1D">
            <w:pPr>
              <w:widowControl w:val="0"/>
              <w:adjustRightInd w:val="0"/>
              <w:jc w:val="both"/>
              <w:textAlignment w:val="baseline"/>
              <w:rPr>
                <w:sz w:val="20"/>
              </w:rPr>
            </w:pPr>
            <w:r w:rsidRPr="00AA6D1D">
              <w:rPr>
                <w:sz w:val="20"/>
              </w:rPr>
              <w:t>Diciembre 2011</w:t>
            </w:r>
          </w:p>
        </w:tc>
        <w:tc>
          <w:tcPr>
            <w:tcW w:w="1500" w:type="dxa"/>
          </w:tcPr>
          <w:p w14:paraId="709AEC07" w14:textId="77777777" w:rsidR="00AA6D1D" w:rsidRPr="00AA6D1D" w:rsidRDefault="00AA6D1D" w:rsidP="00AA6D1D">
            <w:pPr>
              <w:widowControl w:val="0"/>
              <w:adjustRightInd w:val="0"/>
              <w:ind w:right="340"/>
              <w:jc w:val="right"/>
              <w:textAlignment w:val="baseline"/>
              <w:rPr>
                <w:sz w:val="20"/>
              </w:rPr>
            </w:pPr>
            <w:r w:rsidRPr="00AA6D1D">
              <w:rPr>
                <w:sz w:val="20"/>
              </w:rPr>
              <w:t>3 145.1</w:t>
            </w:r>
          </w:p>
        </w:tc>
        <w:tc>
          <w:tcPr>
            <w:tcW w:w="1543" w:type="dxa"/>
          </w:tcPr>
          <w:p w14:paraId="025DC0BB" w14:textId="77777777" w:rsidR="00AA6D1D" w:rsidRPr="00AA6D1D" w:rsidRDefault="00AA6D1D" w:rsidP="00AA6D1D">
            <w:pPr>
              <w:widowControl w:val="0"/>
              <w:adjustRightInd w:val="0"/>
              <w:ind w:right="397"/>
              <w:jc w:val="right"/>
              <w:textAlignment w:val="baseline"/>
              <w:rPr>
                <w:sz w:val="20"/>
              </w:rPr>
            </w:pPr>
            <w:r w:rsidRPr="00AA6D1D">
              <w:rPr>
                <w:sz w:val="20"/>
              </w:rPr>
              <w:t>2 222.3</w:t>
            </w:r>
          </w:p>
        </w:tc>
        <w:tc>
          <w:tcPr>
            <w:tcW w:w="1432" w:type="dxa"/>
          </w:tcPr>
          <w:p w14:paraId="61B786E5" w14:textId="77777777" w:rsidR="00AA6D1D" w:rsidRPr="00AA6D1D" w:rsidRDefault="00AA6D1D" w:rsidP="00AA6D1D">
            <w:pPr>
              <w:widowControl w:val="0"/>
              <w:adjustRightInd w:val="0"/>
              <w:jc w:val="center"/>
              <w:textAlignment w:val="baseline"/>
              <w:rPr>
                <w:sz w:val="20"/>
              </w:rPr>
            </w:pPr>
            <w:r w:rsidRPr="00AA6D1D">
              <w:rPr>
                <w:sz w:val="20"/>
              </w:rPr>
              <w:t>223.6</w:t>
            </w:r>
          </w:p>
        </w:tc>
        <w:tc>
          <w:tcPr>
            <w:tcW w:w="1559" w:type="dxa"/>
            <w:tcBorders>
              <w:right w:val="single" w:sz="4" w:space="0" w:color="auto"/>
            </w:tcBorders>
          </w:tcPr>
          <w:p w14:paraId="58BEEB8A" w14:textId="77777777" w:rsidR="00AA6D1D" w:rsidRPr="00AA6D1D" w:rsidRDefault="00AA6D1D" w:rsidP="00AA6D1D">
            <w:pPr>
              <w:widowControl w:val="0"/>
              <w:adjustRightInd w:val="0"/>
              <w:ind w:right="454"/>
              <w:jc w:val="right"/>
              <w:textAlignment w:val="baseline"/>
              <w:rPr>
                <w:sz w:val="20"/>
              </w:rPr>
            </w:pPr>
            <w:r w:rsidRPr="00AA6D1D">
              <w:rPr>
                <w:sz w:val="20"/>
              </w:rPr>
              <w:t>582.9</w:t>
            </w:r>
          </w:p>
        </w:tc>
      </w:tr>
      <w:tr w:rsidR="00AA6D1D" w:rsidRPr="00AA6D1D" w14:paraId="5893BA7C" w14:textId="77777777" w:rsidTr="002B3A4F">
        <w:trPr>
          <w:jc w:val="center"/>
        </w:trPr>
        <w:tc>
          <w:tcPr>
            <w:tcW w:w="1800" w:type="dxa"/>
            <w:tcBorders>
              <w:left w:val="single" w:sz="4" w:space="0" w:color="auto"/>
            </w:tcBorders>
          </w:tcPr>
          <w:p w14:paraId="68427F72" w14:textId="77777777" w:rsidR="00AA6D1D" w:rsidRPr="00AA6D1D" w:rsidRDefault="00AA6D1D" w:rsidP="00AA6D1D">
            <w:pPr>
              <w:widowControl w:val="0"/>
              <w:adjustRightInd w:val="0"/>
              <w:jc w:val="both"/>
              <w:textAlignment w:val="baseline"/>
              <w:rPr>
                <w:sz w:val="20"/>
              </w:rPr>
            </w:pPr>
            <w:r w:rsidRPr="00AA6D1D">
              <w:rPr>
                <w:sz w:val="20"/>
              </w:rPr>
              <w:t>Diciembre 2012</w:t>
            </w:r>
          </w:p>
        </w:tc>
        <w:tc>
          <w:tcPr>
            <w:tcW w:w="1500" w:type="dxa"/>
          </w:tcPr>
          <w:p w14:paraId="5A201746" w14:textId="77777777" w:rsidR="00AA6D1D" w:rsidRPr="00AA6D1D" w:rsidRDefault="00AA6D1D" w:rsidP="00AA6D1D">
            <w:pPr>
              <w:widowControl w:val="0"/>
              <w:adjustRightInd w:val="0"/>
              <w:ind w:right="340"/>
              <w:jc w:val="right"/>
              <w:textAlignment w:val="baseline"/>
              <w:rPr>
                <w:sz w:val="20"/>
              </w:rPr>
            </w:pPr>
            <w:r w:rsidRPr="00AA6D1D">
              <w:rPr>
                <w:sz w:val="20"/>
              </w:rPr>
              <w:t>3 335.1</w:t>
            </w:r>
          </w:p>
        </w:tc>
        <w:tc>
          <w:tcPr>
            <w:tcW w:w="1543" w:type="dxa"/>
          </w:tcPr>
          <w:p w14:paraId="1C29B09F" w14:textId="77777777" w:rsidR="00AA6D1D" w:rsidRPr="00AA6D1D" w:rsidRDefault="00AA6D1D" w:rsidP="00AA6D1D">
            <w:pPr>
              <w:widowControl w:val="0"/>
              <w:adjustRightInd w:val="0"/>
              <w:ind w:right="397"/>
              <w:jc w:val="right"/>
              <w:textAlignment w:val="baseline"/>
              <w:rPr>
                <w:sz w:val="20"/>
              </w:rPr>
            </w:pPr>
            <w:r w:rsidRPr="00AA6D1D">
              <w:rPr>
                <w:sz w:val="20"/>
              </w:rPr>
              <w:t>2 464.4</w:t>
            </w:r>
          </w:p>
        </w:tc>
        <w:tc>
          <w:tcPr>
            <w:tcW w:w="1432" w:type="dxa"/>
          </w:tcPr>
          <w:p w14:paraId="06699596" w14:textId="77777777" w:rsidR="00AA6D1D" w:rsidRPr="00AA6D1D" w:rsidRDefault="00AA6D1D" w:rsidP="00AA6D1D">
            <w:pPr>
              <w:widowControl w:val="0"/>
              <w:adjustRightInd w:val="0"/>
              <w:jc w:val="center"/>
              <w:textAlignment w:val="baseline"/>
              <w:rPr>
                <w:sz w:val="20"/>
              </w:rPr>
            </w:pPr>
            <w:r w:rsidRPr="00AA6D1D">
              <w:rPr>
                <w:sz w:val="20"/>
              </w:rPr>
              <w:t>270.3</w:t>
            </w:r>
          </w:p>
        </w:tc>
        <w:tc>
          <w:tcPr>
            <w:tcW w:w="1559" w:type="dxa"/>
            <w:tcBorders>
              <w:right w:val="single" w:sz="4" w:space="0" w:color="auto"/>
            </w:tcBorders>
          </w:tcPr>
          <w:p w14:paraId="1B9C5C75" w14:textId="77777777" w:rsidR="00AA6D1D" w:rsidRPr="00AA6D1D" w:rsidRDefault="00AA6D1D" w:rsidP="00AA6D1D">
            <w:pPr>
              <w:widowControl w:val="0"/>
              <w:adjustRightInd w:val="0"/>
              <w:ind w:right="454"/>
              <w:jc w:val="right"/>
              <w:textAlignment w:val="baseline"/>
              <w:rPr>
                <w:sz w:val="20"/>
              </w:rPr>
            </w:pPr>
            <w:r w:rsidRPr="00AA6D1D">
              <w:rPr>
                <w:sz w:val="20"/>
              </w:rPr>
              <w:t>527.0</w:t>
            </w:r>
          </w:p>
        </w:tc>
      </w:tr>
      <w:tr w:rsidR="00AA6D1D" w:rsidRPr="00AA6D1D" w14:paraId="5526C5E8" w14:textId="77777777" w:rsidTr="002B3A4F">
        <w:trPr>
          <w:jc w:val="center"/>
        </w:trPr>
        <w:tc>
          <w:tcPr>
            <w:tcW w:w="1800" w:type="dxa"/>
            <w:tcBorders>
              <w:left w:val="single" w:sz="4" w:space="0" w:color="auto"/>
            </w:tcBorders>
          </w:tcPr>
          <w:p w14:paraId="366619EA" w14:textId="77777777" w:rsidR="00AA6D1D" w:rsidRPr="00AA6D1D" w:rsidRDefault="00AA6D1D" w:rsidP="00AA6D1D">
            <w:pPr>
              <w:widowControl w:val="0"/>
              <w:adjustRightInd w:val="0"/>
              <w:jc w:val="both"/>
              <w:textAlignment w:val="baseline"/>
              <w:rPr>
                <w:sz w:val="20"/>
              </w:rPr>
            </w:pPr>
            <w:r w:rsidRPr="00AA6D1D">
              <w:rPr>
                <w:sz w:val="20"/>
              </w:rPr>
              <w:t>Diciembre 2013</w:t>
            </w:r>
          </w:p>
        </w:tc>
        <w:tc>
          <w:tcPr>
            <w:tcW w:w="1500" w:type="dxa"/>
          </w:tcPr>
          <w:p w14:paraId="05FCEAF2" w14:textId="77777777" w:rsidR="00AA6D1D" w:rsidRPr="00AA6D1D" w:rsidRDefault="00AA6D1D" w:rsidP="00AA6D1D">
            <w:pPr>
              <w:widowControl w:val="0"/>
              <w:adjustRightInd w:val="0"/>
              <w:ind w:right="340"/>
              <w:jc w:val="right"/>
              <w:textAlignment w:val="baseline"/>
              <w:rPr>
                <w:sz w:val="20"/>
              </w:rPr>
            </w:pPr>
            <w:r w:rsidRPr="00AA6D1D">
              <w:rPr>
                <w:sz w:val="20"/>
              </w:rPr>
              <w:t>3 615.0</w:t>
            </w:r>
          </w:p>
        </w:tc>
        <w:tc>
          <w:tcPr>
            <w:tcW w:w="1543" w:type="dxa"/>
          </w:tcPr>
          <w:p w14:paraId="52CDFD96" w14:textId="77777777" w:rsidR="00AA6D1D" w:rsidRPr="00AA6D1D" w:rsidRDefault="00AA6D1D" w:rsidP="00AA6D1D">
            <w:pPr>
              <w:widowControl w:val="0"/>
              <w:adjustRightInd w:val="0"/>
              <w:ind w:right="397"/>
              <w:jc w:val="right"/>
              <w:textAlignment w:val="baseline"/>
              <w:rPr>
                <w:sz w:val="20"/>
              </w:rPr>
            </w:pPr>
            <w:r w:rsidRPr="00AA6D1D">
              <w:rPr>
                <w:sz w:val="20"/>
              </w:rPr>
              <w:t>2 710.6</w:t>
            </w:r>
          </w:p>
        </w:tc>
        <w:tc>
          <w:tcPr>
            <w:tcW w:w="1432" w:type="dxa"/>
          </w:tcPr>
          <w:p w14:paraId="43863BC2" w14:textId="77777777" w:rsidR="00AA6D1D" w:rsidRPr="00AA6D1D" w:rsidRDefault="00AA6D1D" w:rsidP="00AA6D1D">
            <w:pPr>
              <w:widowControl w:val="0"/>
              <w:adjustRightInd w:val="0"/>
              <w:jc w:val="center"/>
              <w:textAlignment w:val="baseline"/>
              <w:rPr>
                <w:sz w:val="20"/>
              </w:rPr>
            </w:pPr>
            <w:r w:rsidRPr="00AA6D1D">
              <w:rPr>
                <w:sz w:val="20"/>
              </w:rPr>
              <w:t>295.0</w:t>
            </w:r>
          </w:p>
        </w:tc>
        <w:tc>
          <w:tcPr>
            <w:tcW w:w="1559" w:type="dxa"/>
            <w:tcBorders>
              <w:right w:val="single" w:sz="4" w:space="0" w:color="auto"/>
            </w:tcBorders>
          </w:tcPr>
          <w:p w14:paraId="0FAF5A45" w14:textId="77777777" w:rsidR="00AA6D1D" w:rsidRPr="00AA6D1D" w:rsidRDefault="00AA6D1D" w:rsidP="00AA6D1D">
            <w:pPr>
              <w:widowControl w:val="0"/>
              <w:adjustRightInd w:val="0"/>
              <w:ind w:right="454"/>
              <w:jc w:val="right"/>
              <w:textAlignment w:val="baseline"/>
              <w:rPr>
                <w:sz w:val="20"/>
              </w:rPr>
            </w:pPr>
            <w:r w:rsidRPr="00AA6D1D">
              <w:rPr>
                <w:sz w:val="20"/>
              </w:rPr>
              <w:t>555.4</w:t>
            </w:r>
          </w:p>
        </w:tc>
      </w:tr>
      <w:tr w:rsidR="00AA6D1D" w:rsidRPr="00AA6D1D" w14:paraId="0587E959" w14:textId="77777777" w:rsidTr="002B3A4F">
        <w:trPr>
          <w:jc w:val="center"/>
        </w:trPr>
        <w:tc>
          <w:tcPr>
            <w:tcW w:w="7834" w:type="dxa"/>
            <w:gridSpan w:val="5"/>
            <w:tcBorders>
              <w:left w:val="single" w:sz="4" w:space="0" w:color="auto"/>
              <w:right w:val="single" w:sz="4" w:space="0" w:color="auto"/>
            </w:tcBorders>
          </w:tcPr>
          <w:p w14:paraId="4B834200" w14:textId="77777777" w:rsidR="00AA6D1D" w:rsidRPr="00AA6D1D" w:rsidRDefault="00AA6D1D" w:rsidP="00AA6D1D">
            <w:pPr>
              <w:widowControl w:val="0"/>
              <w:adjustRightInd w:val="0"/>
              <w:ind w:right="284"/>
              <w:jc w:val="center"/>
              <w:textAlignment w:val="baseline"/>
              <w:rPr>
                <w:b/>
                <w:sz w:val="20"/>
              </w:rPr>
            </w:pPr>
            <w:r w:rsidRPr="00AA6D1D">
              <w:rPr>
                <w:b/>
                <w:sz w:val="20"/>
              </w:rPr>
              <w:t>2014</w:t>
            </w:r>
          </w:p>
        </w:tc>
      </w:tr>
      <w:tr w:rsidR="00AA6D1D" w:rsidRPr="00AA6D1D" w14:paraId="7131944F" w14:textId="77777777" w:rsidTr="002B3A4F">
        <w:trPr>
          <w:jc w:val="center"/>
        </w:trPr>
        <w:tc>
          <w:tcPr>
            <w:tcW w:w="1800" w:type="dxa"/>
            <w:tcBorders>
              <w:left w:val="single" w:sz="4" w:space="0" w:color="auto"/>
            </w:tcBorders>
          </w:tcPr>
          <w:p w14:paraId="4A0FABA9" w14:textId="77777777" w:rsidR="00AA6D1D" w:rsidRPr="00AA6D1D" w:rsidRDefault="00AA6D1D" w:rsidP="00AA6D1D">
            <w:pPr>
              <w:widowControl w:val="0"/>
              <w:adjustRightInd w:val="0"/>
              <w:jc w:val="both"/>
              <w:textAlignment w:val="baseline"/>
              <w:rPr>
                <w:sz w:val="20"/>
              </w:rPr>
            </w:pPr>
            <w:r w:rsidRPr="00AA6D1D">
              <w:rPr>
                <w:sz w:val="20"/>
              </w:rPr>
              <w:t>Enero</w:t>
            </w:r>
          </w:p>
        </w:tc>
        <w:tc>
          <w:tcPr>
            <w:tcW w:w="1500" w:type="dxa"/>
          </w:tcPr>
          <w:p w14:paraId="5639524D" w14:textId="77777777" w:rsidR="00AA6D1D" w:rsidRPr="00AA6D1D" w:rsidRDefault="00AA6D1D" w:rsidP="00AA6D1D">
            <w:pPr>
              <w:widowControl w:val="0"/>
              <w:adjustRightInd w:val="0"/>
              <w:ind w:right="340"/>
              <w:jc w:val="right"/>
              <w:textAlignment w:val="baseline"/>
              <w:rPr>
                <w:sz w:val="20"/>
              </w:rPr>
            </w:pPr>
            <w:r w:rsidRPr="00AA6D1D">
              <w:rPr>
                <w:sz w:val="20"/>
              </w:rPr>
              <w:t>3 543.0</w:t>
            </w:r>
          </w:p>
        </w:tc>
        <w:tc>
          <w:tcPr>
            <w:tcW w:w="1543" w:type="dxa"/>
          </w:tcPr>
          <w:p w14:paraId="701740FE" w14:textId="77777777" w:rsidR="00AA6D1D" w:rsidRPr="00AA6D1D" w:rsidRDefault="00AA6D1D" w:rsidP="00AA6D1D">
            <w:pPr>
              <w:widowControl w:val="0"/>
              <w:adjustRightInd w:val="0"/>
              <w:ind w:right="397"/>
              <w:jc w:val="right"/>
              <w:textAlignment w:val="baseline"/>
              <w:rPr>
                <w:sz w:val="20"/>
              </w:rPr>
            </w:pPr>
            <w:r w:rsidRPr="00AA6D1D">
              <w:rPr>
                <w:sz w:val="20"/>
              </w:rPr>
              <w:t>2 695.2</w:t>
            </w:r>
          </w:p>
        </w:tc>
        <w:tc>
          <w:tcPr>
            <w:tcW w:w="1432" w:type="dxa"/>
          </w:tcPr>
          <w:p w14:paraId="47253520" w14:textId="77777777" w:rsidR="00AA6D1D" w:rsidRPr="00AA6D1D" w:rsidRDefault="00AA6D1D" w:rsidP="00AA6D1D">
            <w:pPr>
              <w:widowControl w:val="0"/>
              <w:adjustRightInd w:val="0"/>
              <w:jc w:val="center"/>
              <w:textAlignment w:val="baseline"/>
              <w:rPr>
                <w:sz w:val="20"/>
              </w:rPr>
            </w:pPr>
            <w:r w:rsidRPr="00AA6D1D">
              <w:rPr>
                <w:sz w:val="20"/>
              </w:rPr>
              <w:t>292.7</w:t>
            </w:r>
          </w:p>
        </w:tc>
        <w:tc>
          <w:tcPr>
            <w:tcW w:w="1559" w:type="dxa"/>
            <w:tcBorders>
              <w:right w:val="single" w:sz="4" w:space="0" w:color="auto"/>
            </w:tcBorders>
          </w:tcPr>
          <w:p w14:paraId="7973F958" w14:textId="77777777" w:rsidR="00AA6D1D" w:rsidRPr="00AA6D1D" w:rsidRDefault="00AA6D1D" w:rsidP="00AA6D1D">
            <w:pPr>
              <w:widowControl w:val="0"/>
              <w:adjustRightInd w:val="0"/>
              <w:ind w:right="454"/>
              <w:jc w:val="right"/>
              <w:textAlignment w:val="baseline"/>
              <w:rPr>
                <w:sz w:val="20"/>
              </w:rPr>
            </w:pPr>
            <w:r w:rsidRPr="00AA6D1D">
              <w:rPr>
                <w:sz w:val="20"/>
              </w:rPr>
              <w:t>517.4</w:t>
            </w:r>
          </w:p>
        </w:tc>
      </w:tr>
      <w:tr w:rsidR="00AA6D1D" w:rsidRPr="00AA6D1D" w14:paraId="59EF43D8" w14:textId="77777777" w:rsidTr="002B3A4F">
        <w:trPr>
          <w:jc w:val="center"/>
        </w:trPr>
        <w:tc>
          <w:tcPr>
            <w:tcW w:w="1800" w:type="dxa"/>
            <w:tcBorders>
              <w:left w:val="single" w:sz="4" w:space="0" w:color="auto"/>
            </w:tcBorders>
          </w:tcPr>
          <w:p w14:paraId="161397E8" w14:textId="77777777" w:rsidR="00AA6D1D" w:rsidRPr="00AA6D1D" w:rsidRDefault="00AA6D1D" w:rsidP="00AA6D1D">
            <w:pPr>
              <w:widowControl w:val="0"/>
              <w:adjustRightInd w:val="0"/>
              <w:jc w:val="both"/>
              <w:textAlignment w:val="baseline"/>
              <w:rPr>
                <w:sz w:val="20"/>
              </w:rPr>
            </w:pPr>
            <w:r w:rsidRPr="00AA6D1D">
              <w:rPr>
                <w:sz w:val="20"/>
              </w:rPr>
              <w:t>Febrero</w:t>
            </w:r>
          </w:p>
        </w:tc>
        <w:tc>
          <w:tcPr>
            <w:tcW w:w="1500" w:type="dxa"/>
          </w:tcPr>
          <w:p w14:paraId="08B766D7" w14:textId="77777777" w:rsidR="00AA6D1D" w:rsidRPr="00AA6D1D" w:rsidRDefault="00AA6D1D" w:rsidP="00AA6D1D">
            <w:pPr>
              <w:widowControl w:val="0"/>
              <w:adjustRightInd w:val="0"/>
              <w:ind w:right="340"/>
              <w:jc w:val="right"/>
              <w:textAlignment w:val="baseline"/>
              <w:rPr>
                <w:sz w:val="20"/>
              </w:rPr>
            </w:pPr>
            <w:r w:rsidRPr="00AA6D1D">
              <w:rPr>
                <w:sz w:val="20"/>
              </w:rPr>
              <w:t>3 480.9</w:t>
            </w:r>
          </w:p>
        </w:tc>
        <w:tc>
          <w:tcPr>
            <w:tcW w:w="1543" w:type="dxa"/>
          </w:tcPr>
          <w:p w14:paraId="7EF10B7C" w14:textId="77777777" w:rsidR="00AA6D1D" w:rsidRPr="00AA6D1D" w:rsidRDefault="00AA6D1D" w:rsidP="00AA6D1D">
            <w:pPr>
              <w:widowControl w:val="0"/>
              <w:adjustRightInd w:val="0"/>
              <w:ind w:right="397"/>
              <w:jc w:val="right"/>
              <w:textAlignment w:val="baseline"/>
              <w:rPr>
                <w:sz w:val="20"/>
              </w:rPr>
            </w:pPr>
            <w:r w:rsidRPr="00AA6D1D">
              <w:rPr>
                <w:sz w:val="20"/>
              </w:rPr>
              <w:t>2 696.0</w:t>
            </w:r>
          </w:p>
        </w:tc>
        <w:tc>
          <w:tcPr>
            <w:tcW w:w="1432" w:type="dxa"/>
          </w:tcPr>
          <w:p w14:paraId="00529BE5" w14:textId="77777777" w:rsidR="00AA6D1D" w:rsidRPr="00AA6D1D" w:rsidRDefault="00AA6D1D" w:rsidP="00AA6D1D">
            <w:pPr>
              <w:widowControl w:val="0"/>
              <w:adjustRightInd w:val="0"/>
              <w:jc w:val="center"/>
              <w:textAlignment w:val="baseline"/>
              <w:rPr>
                <w:sz w:val="20"/>
              </w:rPr>
            </w:pPr>
            <w:r w:rsidRPr="00AA6D1D">
              <w:rPr>
                <w:sz w:val="20"/>
              </w:rPr>
              <w:t>292.3</w:t>
            </w:r>
          </w:p>
        </w:tc>
        <w:tc>
          <w:tcPr>
            <w:tcW w:w="1559" w:type="dxa"/>
            <w:tcBorders>
              <w:right w:val="single" w:sz="4" w:space="0" w:color="auto"/>
            </w:tcBorders>
          </w:tcPr>
          <w:p w14:paraId="7C335FCD" w14:textId="77777777" w:rsidR="00AA6D1D" w:rsidRPr="00AA6D1D" w:rsidRDefault="00AA6D1D" w:rsidP="00AA6D1D">
            <w:pPr>
              <w:widowControl w:val="0"/>
              <w:adjustRightInd w:val="0"/>
              <w:ind w:right="454"/>
              <w:jc w:val="right"/>
              <w:textAlignment w:val="baseline"/>
              <w:rPr>
                <w:sz w:val="20"/>
              </w:rPr>
            </w:pPr>
            <w:r w:rsidRPr="00AA6D1D">
              <w:rPr>
                <w:sz w:val="20"/>
              </w:rPr>
              <w:t>469.3</w:t>
            </w:r>
          </w:p>
        </w:tc>
      </w:tr>
      <w:tr w:rsidR="00AA6D1D" w:rsidRPr="00AA6D1D" w14:paraId="545BD4E7" w14:textId="77777777" w:rsidTr="002B3A4F">
        <w:trPr>
          <w:jc w:val="center"/>
        </w:trPr>
        <w:tc>
          <w:tcPr>
            <w:tcW w:w="1800" w:type="dxa"/>
            <w:tcBorders>
              <w:left w:val="single" w:sz="4" w:space="0" w:color="auto"/>
            </w:tcBorders>
          </w:tcPr>
          <w:p w14:paraId="4B0A8DCF" w14:textId="77777777" w:rsidR="00AA6D1D" w:rsidRPr="00AA6D1D" w:rsidRDefault="00AA6D1D" w:rsidP="00AA6D1D">
            <w:pPr>
              <w:widowControl w:val="0"/>
              <w:adjustRightInd w:val="0"/>
              <w:jc w:val="both"/>
              <w:textAlignment w:val="baseline"/>
              <w:rPr>
                <w:sz w:val="20"/>
              </w:rPr>
            </w:pPr>
            <w:r w:rsidRPr="00AA6D1D">
              <w:rPr>
                <w:sz w:val="20"/>
              </w:rPr>
              <w:t>Marzo</w:t>
            </w:r>
          </w:p>
        </w:tc>
        <w:tc>
          <w:tcPr>
            <w:tcW w:w="1500" w:type="dxa"/>
          </w:tcPr>
          <w:p w14:paraId="6EEF1DF4" w14:textId="77777777" w:rsidR="00AA6D1D" w:rsidRPr="00AA6D1D" w:rsidRDefault="00AA6D1D" w:rsidP="00AA6D1D">
            <w:pPr>
              <w:widowControl w:val="0"/>
              <w:adjustRightInd w:val="0"/>
              <w:ind w:right="340"/>
              <w:jc w:val="right"/>
              <w:textAlignment w:val="baseline"/>
              <w:rPr>
                <w:sz w:val="20"/>
              </w:rPr>
            </w:pPr>
            <w:r w:rsidRPr="00AA6D1D">
              <w:rPr>
                <w:sz w:val="20"/>
              </w:rPr>
              <w:t>3 674.6</w:t>
            </w:r>
          </w:p>
        </w:tc>
        <w:tc>
          <w:tcPr>
            <w:tcW w:w="1543" w:type="dxa"/>
          </w:tcPr>
          <w:p w14:paraId="665D1F16" w14:textId="77777777" w:rsidR="00AA6D1D" w:rsidRPr="00AA6D1D" w:rsidRDefault="00AA6D1D" w:rsidP="00AA6D1D">
            <w:pPr>
              <w:widowControl w:val="0"/>
              <w:adjustRightInd w:val="0"/>
              <w:ind w:right="397"/>
              <w:jc w:val="right"/>
              <w:textAlignment w:val="baseline"/>
              <w:rPr>
                <w:sz w:val="20"/>
              </w:rPr>
            </w:pPr>
            <w:r w:rsidRPr="00AA6D1D">
              <w:rPr>
                <w:sz w:val="20"/>
              </w:rPr>
              <w:t>2 707.3</w:t>
            </w:r>
          </w:p>
        </w:tc>
        <w:tc>
          <w:tcPr>
            <w:tcW w:w="1432" w:type="dxa"/>
          </w:tcPr>
          <w:p w14:paraId="1D7E7C2A" w14:textId="77777777" w:rsidR="00AA6D1D" w:rsidRPr="00AA6D1D" w:rsidRDefault="00AA6D1D" w:rsidP="00AA6D1D">
            <w:pPr>
              <w:widowControl w:val="0"/>
              <w:adjustRightInd w:val="0"/>
              <w:jc w:val="center"/>
              <w:textAlignment w:val="baseline"/>
              <w:rPr>
                <w:sz w:val="20"/>
              </w:rPr>
            </w:pPr>
            <w:r w:rsidRPr="00AA6D1D">
              <w:rPr>
                <w:sz w:val="20"/>
              </w:rPr>
              <w:t>290.8</w:t>
            </w:r>
          </w:p>
        </w:tc>
        <w:tc>
          <w:tcPr>
            <w:tcW w:w="1559" w:type="dxa"/>
            <w:tcBorders>
              <w:right w:val="single" w:sz="4" w:space="0" w:color="auto"/>
            </w:tcBorders>
          </w:tcPr>
          <w:p w14:paraId="186E23B0" w14:textId="77777777" w:rsidR="00AA6D1D" w:rsidRPr="00AA6D1D" w:rsidRDefault="00AA6D1D" w:rsidP="00AA6D1D">
            <w:pPr>
              <w:widowControl w:val="0"/>
              <w:adjustRightInd w:val="0"/>
              <w:ind w:right="454"/>
              <w:jc w:val="right"/>
              <w:textAlignment w:val="baseline"/>
              <w:rPr>
                <w:sz w:val="20"/>
              </w:rPr>
            </w:pPr>
            <w:r w:rsidRPr="00AA6D1D">
              <w:rPr>
                <w:sz w:val="20"/>
              </w:rPr>
              <w:t>626.7</w:t>
            </w:r>
          </w:p>
        </w:tc>
      </w:tr>
      <w:tr w:rsidR="00AA6D1D" w:rsidRPr="00AA6D1D" w14:paraId="6DAB025E" w14:textId="77777777" w:rsidTr="002B3A4F">
        <w:trPr>
          <w:jc w:val="center"/>
        </w:trPr>
        <w:tc>
          <w:tcPr>
            <w:tcW w:w="1800" w:type="dxa"/>
            <w:tcBorders>
              <w:left w:val="single" w:sz="4" w:space="0" w:color="auto"/>
            </w:tcBorders>
          </w:tcPr>
          <w:p w14:paraId="62038413" w14:textId="77777777" w:rsidR="00AA6D1D" w:rsidRPr="00AA6D1D" w:rsidRDefault="00AA6D1D" w:rsidP="00AA6D1D">
            <w:pPr>
              <w:widowControl w:val="0"/>
              <w:adjustRightInd w:val="0"/>
              <w:jc w:val="both"/>
              <w:textAlignment w:val="baseline"/>
              <w:rPr>
                <w:sz w:val="20"/>
              </w:rPr>
            </w:pPr>
            <w:r w:rsidRPr="00AA6D1D">
              <w:rPr>
                <w:sz w:val="20"/>
              </w:rPr>
              <w:t>Abril</w:t>
            </w:r>
          </w:p>
        </w:tc>
        <w:tc>
          <w:tcPr>
            <w:tcW w:w="1500" w:type="dxa"/>
          </w:tcPr>
          <w:p w14:paraId="3BEEA4CB" w14:textId="77777777" w:rsidR="00AA6D1D" w:rsidRPr="00AA6D1D" w:rsidRDefault="00AA6D1D" w:rsidP="00AA6D1D">
            <w:pPr>
              <w:widowControl w:val="0"/>
              <w:adjustRightInd w:val="0"/>
              <w:ind w:right="340"/>
              <w:jc w:val="right"/>
              <w:textAlignment w:val="baseline"/>
              <w:rPr>
                <w:sz w:val="20"/>
              </w:rPr>
            </w:pPr>
            <w:r w:rsidRPr="00AA6D1D">
              <w:rPr>
                <w:sz w:val="20"/>
              </w:rPr>
              <w:t>3 641.7</w:t>
            </w:r>
          </w:p>
        </w:tc>
        <w:tc>
          <w:tcPr>
            <w:tcW w:w="1543" w:type="dxa"/>
          </w:tcPr>
          <w:p w14:paraId="4D34DC0F" w14:textId="77777777" w:rsidR="00AA6D1D" w:rsidRPr="00AA6D1D" w:rsidRDefault="00AA6D1D" w:rsidP="00AA6D1D">
            <w:pPr>
              <w:widowControl w:val="0"/>
              <w:adjustRightInd w:val="0"/>
              <w:ind w:right="397"/>
              <w:jc w:val="right"/>
              <w:textAlignment w:val="baseline"/>
              <w:rPr>
                <w:sz w:val="20"/>
              </w:rPr>
            </w:pPr>
            <w:r w:rsidRPr="00AA6D1D">
              <w:rPr>
                <w:sz w:val="20"/>
              </w:rPr>
              <w:t>2 715.0</w:t>
            </w:r>
          </w:p>
        </w:tc>
        <w:tc>
          <w:tcPr>
            <w:tcW w:w="1432" w:type="dxa"/>
          </w:tcPr>
          <w:p w14:paraId="7FEAFCE5" w14:textId="77777777" w:rsidR="00AA6D1D" w:rsidRPr="00AA6D1D" w:rsidRDefault="00AA6D1D" w:rsidP="00AA6D1D">
            <w:pPr>
              <w:widowControl w:val="0"/>
              <w:adjustRightInd w:val="0"/>
              <w:jc w:val="center"/>
              <w:textAlignment w:val="baseline"/>
              <w:rPr>
                <w:sz w:val="20"/>
              </w:rPr>
            </w:pPr>
            <w:r w:rsidRPr="00AA6D1D">
              <w:rPr>
                <w:sz w:val="20"/>
              </w:rPr>
              <w:t>290.8</w:t>
            </w:r>
          </w:p>
        </w:tc>
        <w:tc>
          <w:tcPr>
            <w:tcW w:w="1559" w:type="dxa"/>
            <w:tcBorders>
              <w:right w:val="single" w:sz="4" w:space="0" w:color="auto"/>
            </w:tcBorders>
          </w:tcPr>
          <w:p w14:paraId="74F4C809" w14:textId="77777777" w:rsidR="00AA6D1D" w:rsidRPr="00AA6D1D" w:rsidRDefault="00AA6D1D" w:rsidP="00AA6D1D">
            <w:pPr>
              <w:widowControl w:val="0"/>
              <w:adjustRightInd w:val="0"/>
              <w:ind w:right="454"/>
              <w:jc w:val="right"/>
              <w:textAlignment w:val="baseline"/>
              <w:rPr>
                <w:sz w:val="20"/>
              </w:rPr>
            </w:pPr>
            <w:r w:rsidRPr="00AA6D1D">
              <w:rPr>
                <w:sz w:val="20"/>
              </w:rPr>
              <w:t>601.2</w:t>
            </w:r>
          </w:p>
        </w:tc>
      </w:tr>
      <w:tr w:rsidR="00AA6D1D" w:rsidRPr="00AA6D1D" w14:paraId="16959932" w14:textId="77777777" w:rsidTr="002B3A4F">
        <w:trPr>
          <w:jc w:val="center"/>
        </w:trPr>
        <w:tc>
          <w:tcPr>
            <w:tcW w:w="1800" w:type="dxa"/>
            <w:tcBorders>
              <w:left w:val="single" w:sz="4" w:space="0" w:color="auto"/>
            </w:tcBorders>
          </w:tcPr>
          <w:p w14:paraId="5486CF27" w14:textId="77777777" w:rsidR="00AA6D1D" w:rsidRPr="00AA6D1D" w:rsidRDefault="00AA6D1D" w:rsidP="00AA6D1D">
            <w:pPr>
              <w:widowControl w:val="0"/>
              <w:adjustRightInd w:val="0"/>
              <w:jc w:val="both"/>
              <w:textAlignment w:val="baseline"/>
              <w:rPr>
                <w:sz w:val="20"/>
              </w:rPr>
            </w:pPr>
            <w:r w:rsidRPr="00AA6D1D">
              <w:rPr>
                <w:sz w:val="20"/>
              </w:rPr>
              <w:t>Mayo</w:t>
            </w:r>
          </w:p>
        </w:tc>
        <w:tc>
          <w:tcPr>
            <w:tcW w:w="1500" w:type="dxa"/>
          </w:tcPr>
          <w:p w14:paraId="52C5E083" w14:textId="77777777" w:rsidR="00AA6D1D" w:rsidRPr="00AA6D1D" w:rsidRDefault="00AA6D1D" w:rsidP="00AA6D1D">
            <w:pPr>
              <w:widowControl w:val="0"/>
              <w:adjustRightInd w:val="0"/>
              <w:ind w:right="340"/>
              <w:jc w:val="right"/>
              <w:textAlignment w:val="baseline"/>
              <w:rPr>
                <w:sz w:val="20"/>
              </w:rPr>
            </w:pPr>
            <w:r w:rsidRPr="00AA6D1D">
              <w:rPr>
                <w:sz w:val="20"/>
              </w:rPr>
              <w:t>3 637.9</w:t>
            </w:r>
          </w:p>
        </w:tc>
        <w:tc>
          <w:tcPr>
            <w:tcW w:w="1543" w:type="dxa"/>
          </w:tcPr>
          <w:p w14:paraId="0C42D729" w14:textId="77777777" w:rsidR="00AA6D1D" w:rsidRPr="00AA6D1D" w:rsidRDefault="00AA6D1D" w:rsidP="00AA6D1D">
            <w:pPr>
              <w:widowControl w:val="0"/>
              <w:adjustRightInd w:val="0"/>
              <w:ind w:right="397"/>
              <w:jc w:val="right"/>
              <w:textAlignment w:val="baseline"/>
              <w:rPr>
                <w:sz w:val="20"/>
              </w:rPr>
            </w:pPr>
            <w:r w:rsidRPr="00AA6D1D">
              <w:rPr>
                <w:sz w:val="20"/>
              </w:rPr>
              <w:t>2 764.5</w:t>
            </w:r>
          </w:p>
        </w:tc>
        <w:tc>
          <w:tcPr>
            <w:tcW w:w="1432" w:type="dxa"/>
          </w:tcPr>
          <w:p w14:paraId="7B450400" w14:textId="77777777" w:rsidR="00AA6D1D" w:rsidRPr="00AA6D1D" w:rsidRDefault="00AA6D1D" w:rsidP="00AA6D1D">
            <w:pPr>
              <w:widowControl w:val="0"/>
              <w:adjustRightInd w:val="0"/>
              <w:jc w:val="center"/>
              <w:textAlignment w:val="baseline"/>
              <w:rPr>
                <w:sz w:val="20"/>
              </w:rPr>
            </w:pPr>
            <w:r w:rsidRPr="00AA6D1D">
              <w:rPr>
                <w:sz w:val="20"/>
              </w:rPr>
              <w:t>294.0</w:t>
            </w:r>
          </w:p>
        </w:tc>
        <w:tc>
          <w:tcPr>
            <w:tcW w:w="1559" w:type="dxa"/>
            <w:tcBorders>
              <w:right w:val="single" w:sz="4" w:space="0" w:color="auto"/>
            </w:tcBorders>
          </w:tcPr>
          <w:p w14:paraId="21B7787A" w14:textId="77777777" w:rsidR="00AA6D1D" w:rsidRPr="00AA6D1D" w:rsidRDefault="00AA6D1D" w:rsidP="00AA6D1D">
            <w:pPr>
              <w:widowControl w:val="0"/>
              <w:adjustRightInd w:val="0"/>
              <w:ind w:right="454"/>
              <w:jc w:val="right"/>
              <w:textAlignment w:val="baseline"/>
              <w:rPr>
                <w:sz w:val="20"/>
              </w:rPr>
            </w:pPr>
            <w:r w:rsidRPr="00AA6D1D">
              <w:rPr>
                <w:sz w:val="20"/>
              </w:rPr>
              <w:t>557.0</w:t>
            </w:r>
          </w:p>
        </w:tc>
      </w:tr>
      <w:tr w:rsidR="00AA6D1D" w:rsidRPr="00AA6D1D" w14:paraId="5F592228" w14:textId="77777777" w:rsidTr="002B3A4F">
        <w:trPr>
          <w:jc w:val="center"/>
        </w:trPr>
        <w:tc>
          <w:tcPr>
            <w:tcW w:w="1800" w:type="dxa"/>
            <w:tcBorders>
              <w:left w:val="single" w:sz="4" w:space="0" w:color="auto"/>
            </w:tcBorders>
          </w:tcPr>
          <w:p w14:paraId="0422C179" w14:textId="77777777" w:rsidR="00AA6D1D" w:rsidRPr="00AA6D1D" w:rsidRDefault="00AA6D1D" w:rsidP="00AA6D1D">
            <w:pPr>
              <w:widowControl w:val="0"/>
              <w:adjustRightInd w:val="0"/>
              <w:jc w:val="both"/>
              <w:textAlignment w:val="baseline"/>
              <w:rPr>
                <w:sz w:val="20"/>
              </w:rPr>
            </w:pPr>
            <w:r w:rsidRPr="00AA6D1D">
              <w:rPr>
                <w:sz w:val="20"/>
              </w:rPr>
              <w:t>Junio</w:t>
            </w:r>
          </w:p>
        </w:tc>
        <w:tc>
          <w:tcPr>
            <w:tcW w:w="1500" w:type="dxa"/>
          </w:tcPr>
          <w:p w14:paraId="4464FC2C" w14:textId="77777777" w:rsidR="00AA6D1D" w:rsidRPr="00AA6D1D" w:rsidRDefault="00AA6D1D" w:rsidP="00AA6D1D">
            <w:pPr>
              <w:widowControl w:val="0"/>
              <w:adjustRightInd w:val="0"/>
              <w:ind w:right="340"/>
              <w:jc w:val="right"/>
              <w:textAlignment w:val="baseline"/>
              <w:rPr>
                <w:sz w:val="20"/>
              </w:rPr>
            </w:pPr>
            <w:r w:rsidRPr="00AA6D1D">
              <w:rPr>
                <w:sz w:val="20"/>
              </w:rPr>
              <w:t>3 710.1</w:t>
            </w:r>
          </w:p>
        </w:tc>
        <w:tc>
          <w:tcPr>
            <w:tcW w:w="1543" w:type="dxa"/>
          </w:tcPr>
          <w:p w14:paraId="712B0D2E" w14:textId="77777777" w:rsidR="00AA6D1D" w:rsidRPr="00AA6D1D" w:rsidRDefault="00AA6D1D" w:rsidP="00AA6D1D">
            <w:pPr>
              <w:widowControl w:val="0"/>
              <w:adjustRightInd w:val="0"/>
              <w:ind w:right="397"/>
              <w:jc w:val="right"/>
              <w:textAlignment w:val="baseline"/>
              <w:rPr>
                <w:sz w:val="20"/>
              </w:rPr>
            </w:pPr>
            <w:r w:rsidRPr="00AA6D1D">
              <w:rPr>
                <w:sz w:val="20"/>
              </w:rPr>
              <w:t>2 778.9</w:t>
            </w:r>
          </w:p>
        </w:tc>
        <w:tc>
          <w:tcPr>
            <w:tcW w:w="1432" w:type="dxa"/>
          </w:tcPr>
          <w:p w14:paraId="1BA59ED1" w14:textId="77777777" w:rsidR="00AA6D1D" w:rsidRPr="00AA6D1D" w:rsidRDefault="00AA6D1D" w:rsidP="00AA6D1D">
            <w:pPr>
              <w:widowControl w:val="0"/>
              <w:adjustRightInd w:val="0"/>
              <w:jc w:val="center"/>
              <w:textAlignment w:val="baseline"/>
              <w:rPr>
                <w:sz w:val="20"/>
              </w:rPr>
            </w:pPr>
            <w:r w:rsidRPr="00AA6D1D">
              <w:rPr>
                <w:sz w:val="20"/>
              </w:rPr>
              <w:t>294.1</w:t>
            </w:r>
          </w:p>
        </w:tc>
        <w:tc>
          <w:tcPr>
            <w:tcW w:w="1559" w:type="dxa"/>
            <w:tcBorders>
              <w:right w:val="single" w:sz="4" w:space="0" w:color="auto"/>
            </w:tcBorders>
          </w:tcPr>
          <w:p w14:paraId="3BCA6A34" w14:textId="77777777" w:rsidR="00AA6D1D" w:rsidRPr="00AA6D1D" w:rsidRDefault="00AA6D1D" w:rsidP="00AA6D1D">
            <w:pPr>
              <w:widowControl w:val="0"/>
              <w:adjustRightInd w:val="0"/>
              <w:ind w:right="454"/>
              <w:jc w:val="right"/>
              <w:textAlignment w:val="baseline"/>
              <w:rPr>
                <w:sz w:val="20"/>
              </w:rPr>
            </w:pPr>
            <w:r w:rsidRPr="00AA6D1D">
              <w:rPr>
                <w:sz w:val="20"/>
              </w:rPr>
              <w:t>604.7</w:t>
            </w:r>
          </w:p>
        </w:tc>
      </w:tr>
      <w:tr w:rsidR="00AA6D1D" w:rsidRPr="00AA6D1D" w14:paraId="3A34F729" w14:textId="77777777" w:rsidTr="002B3A4F">
        <w:trPr>
          <w:jc w:val="center"/>
        </w:trPr>
        <w:tc>
          <w:tcPr>
            <w:tcW w:w="1800" w:type="dxa"/>
            <w:tcBorders>
              <w:left w:val="single" w:sz="4" w:space="0" w:color="auto"/>
            </w:tcBorders>
          </w:tcPr>
          <w:p w14:paraId="79804D7E" w14:textId="77777777" w:rsidR="00AA6D1D" w:rsidRPr="00AA6D1D" w:rsidRDefault="00AA6D1D" w:rsidP="00AA6D1D">
            <w:pPr>
              <w:widowControl w:val="0"/>
              <w:adjustRightInd w:val="0"/>
              <w:jc w:val="both"/>
              <w:textAlignment w:val="baseline"/>
              <w:rPr>
                <w:sz w:val="20"/>
              </w:rPr>
            </w:pPr>
            <w:r w:rsidRPr="00AA6D1D">
              <w:rPr>
                <w:sz w:val="20"/>
              </w:rPr>
              <w:t>Julio</w:t>
            </w:r>
          </w:p>
        </w:tc>
        <w:tc>
          <w:tcPr>
            <w:tcW w:w="1500" w:type="dxa"/>
          </w:tcPr>
          <w:p w14:paraId="4A29C95E" w14:textId="77777777" w:rsidR="00AA6D1D" w:rsidRPr="00AA6D1D" w:rsidRDefault="00AA6D1D" w:rsidP="00AA6D1D">
            <w:pPr>
              <w:widowControl w:val="0"/>
              <w:adjustRightInd w:val="0"/>
              <w:ind w:right="340"/>
              <w:jc w:val="right"/>
              <w:textAlignment w:val="baseline"/>
              <w:rPr>
                <w:sz w:val="20"/>
              </w:rPr>
            </w:pPr>
            <w:r w:rsidRPr="00AA6D1D">
              <w:rPr>
                <w:sz w:val="20"/>
              </w:rPr>
              <w:t>3 697.6</w:t>
            </w:r>
          </w:p>
        </w:tc>
        <w:tc>
          <w:tcPr>
            <w:tcW w:w="1543" w:type="dxa"/>
          </w:tcPr>
          <w:p w14:paraId="401EF8E2" w14:textId="77777777" w:rsidR="00AA6D1D" w:rsidRPr="00AA6D1D" w:rsidRDefault="00AA6D1D" w:rsidP="00AA6D1D">
            <w:pPr>
              <w:widowControl w:val="0"/>
              <w:adjustRightInd w:val="0"/>
              <w:ind w:right="397"/>
              <w:jc w:val="right"/>
              <w:textAlignment w:val="baseline"/>
              <w:rPr>
                <w:sz w:val="20"/>
              </w:rPr>
            </w:pPr>
            <w:r w:rsidRPr="00AA6D1D">
              <w:rPr>
                <w:sz w:val="20"/>
              </w:rPr>
              <w:t>2 791.3</w:t>
            </w:r>
          </w:p>
        </w:tc>
        <w:tc>
          <w:tcPr>
            <w:tcW w:w="1432" w:type="dxa"/>
          </w:tcPr>
          <w:p w14:paraId="7F3ED8DB" w14:textId="77777777" w:rsidR="00AA6D1D" w:rsidRPr="00AA6D1D" w:rsidRDefault="00AA6D1D" w:rsidP="00AA6D1D">
            <w:pPr>
              <w:widowControl w:val="0"/>
              <w:adjustRightInd w:val="0"/>
              <w:jc w:val="center"/>
              <w:textAlignment w:val="baseline"/>
              <w:rPr>
                <w:sz w:val="20"/>
              </w:rPr>
            </w:pPr>
            <w:r w:rsidRPr="00AA6D1D">
              <w:rPr>
                <w:sz w:val="20"/>
              </w:rPr>
              <w:t>294.8</w:t>
            </w:r>
          </w:p>
        </w:tc>
        <w:tc>
          <w:tcPr>
            <w:tcW w:w="1559" w:type="dxa"/>
            <w:tcBorders>
              <w:right w:val="single" w:sz="4" w:space="0" w:color="auto"/>
            </w:tcBorders>
          </w:tcPr>
          <w:p w14:paraId="291232D6" w14:textId="77777777" w:rsidR="00AA6D1D" w:rsidRPr="00AA6D1D" w:rsidRDefault="00AA6D1D" w:rsidP="00AA6D1D">
            <w:pPr>
              <w:widowControl w:val="0"/>
              <w:adjustRightInd w:val="0"/>
              <w:ind w:right="454"/>
              <w:jc w:val="right"/>
              <w:textAlignment w:val="baseline"/>
              <w:rPr>
                <w:sz w:val="20"/>
              </w:rPr>
            </w:pPr>
            <w:r w:rsidRPr="00AA6D1D">
              <w:rPr>
                <w:sz w:val="20"/>
              </w:rPr>
              <w:t>587.2</w:t>
            </w:r>
          </w:p>
        </w:tc>
      </w:tr>
      <w:tr w:rsidR="00AA6D1D" w:rsidRPr="00AA6D1D" w14:paraId="3C0E5508" w14:textId="77777777" w:rsidTr="002B3A4F">
        <w:trPr>
          <w:jc w:val="center"/>
        </w:trPr>
        <w:tc>
          <w:tcPr>
            <w:tcW w:w="1800" w:type="dxa"/>
            <w:tcBorders>
              <w:left w:val="single" w:sz="4" w:space="0" w:color="auto"/>
            </w:tcBorders>
          </w:tcPr>
          <w:p w14:paraId="1CFABB4F" w14:textId="77777777" w:rsidR="00AA6D1D" w:rsidRPr="00AA6D1D" w:rsidRDefault="00AA6D1D" w:rsidP="00AA6D1D">
            <w:pPr>
              <w:widowControl w:val="0"/>
              <w:adjustRightInd w:val="0"/>
              <w:jc w:val="both"/>
              <w:textAlignment w:val="baseline"/>
              <w:rPr>
                <w:sz w:val="20"/>
              </w:rPr>
            </w:pPr>
            <w:r w:rsidRPr="00AA6D1D">
              <w:rPr>
                <w:sz w:val="20"/>
              </w:rPr>
              <w:t>Agosto</w:t>
            </w:r>
          </w:p>
        </w:tc>
        <w:tc>
          <w:tcPr>
            <w:tcW w:w="1500" w:type="dxa"/>
          </w:tcPr>
          <w:p w14:paraId="59F09040" w14:textId="77777777" w:rsidR="00AA6D1D" w:rsidRPr="00AA6D1D" w:rsidRDefault="00AA6D1D" w:rsidP="00AA6D1D">
            <w:pPr>
              <w:widowControl w:val="0"/>
              <w:adjustRightInd w:val="0"/>
              <w:ind w:right="340"/>
              <w:jc w:val="right"/>
              <w:textAlignment w:val="baseline"/>
              <w:rPr>
                <w:sz w:val="20"/>
              </w:rPr>
            </w:pPr>
            <w:r w:rsidRPr="00AA6D1D">
              <w:rPr>
                <w:sz w:val="20"/>
              </w:rPr>
              <w:t>3 731.1</w:t>
            </w:r>
          </w:p>
        </w:tc>
        <w:tc>
          <w:tcPr>
            <w:tcW w:w="1543" w:type="dxa"/>
          </w:tcPr>
          <w:p w14:paraId="7CDADD2F" w14:textId="77777777" w:rsidR="00AA6D1D" w:rsidRPr="00AA6D1D" w:rsidRDefault="00AA6D1D" w:rsidP="00AA6D1D">
            <w:pPr>
              <w:widowControl w:val="0"/>
              <w:adjustRightInd w:val="0"/>
              <w:ind w:right="397"/>
              <w:jc w:val="right"/>
              <w:textAlignment w:val="baseline"/>
              <w:rPr>
                <w:sz w:val="20"/>
              </w:rPr>
            </w:pPr>
            <w:r w:rsidRPr="00AA6D1D">
              <w:rPr>
                <w:sz w:val="20"/>
              </w:rPr>
              <w:t>2 813.1</w:t>
            </w:r>
          </w:p>
        </w:tc>
        <w:tc>
          <w:tcPr>
            <w:tcW w:w="1432" w:type="dxa"/>
          </w:tcPr>
          <w:p w14:paraId="73645087" w14:textId="77777777" w:rsidR="00AA6D1D" w:rsidRPr="00AA6D1D" w:rsidRDefault="00AA6D1D" w:rsidP="00AA6D1D">
            <w:pPr>
              <w:widowControl w:val="0"/>
              <w:adjustRightInd w:val="0"/>
              <w:jc w:val="center"/>
              <w:textAlignment w:val="baseline"/>
              <w:rPr>
                <w:sz w:val="20"/>
              </w:rPr>
            </w:pPr>
            <w:r w:rsidRPr="00AA6D1D">
              <w:rPr>
                <w:sz w:val="20"/>
              </w:rPr>
              <w:t>295.6</w:t>
            </w:r>
          </w:p>
        </w:tc>
        <w:tc>
          <w:tcPr>
            <w:tcW w:w="1559" w:type="dxa"/>
            <w:tcBorders>
              <w:right w:val="single" w:sz="4" w:space="0" w:color="auto"/>
            </w:tcBorders>
          </w:tcPr>
          <w:p w14:paraId="6A724001" w14:textId="77777777" w:rsidR="00AA6D1D" w:rsidRPr="00AA6D1D" w:rsidRDefault="00AA6D1D" w:rsidP="00AA6D1D">
            <w:pPr>
              <w:widowControl w:val="0"/>
              <w:adjustRightInd w:val="0"/>
              <w:ind w:right="454"/>
              <w:jc w:val="right"/>
              <w:textAlignment w:val="baseline"/>
              <w:rPr>
                <w:sz w:val="20"/>
              </w:rPr>
            </w:pPr>
            <w:r w:rsidRPr="00AA6D1D">
              <w:rPr>
                <w:sz w:val="20"/>
              </w:rPr>
              <w:t>588.1</w:t>
            </w:r>
          </w:p>
        </w:tc>
      </w:tr>
      <w:tr w:rsidR="00AA6D1D" w:rsidRPr="00AA6D1D" w14:paraId="10EE3844" w14:textId="77777777" w:rsidTr="002B3A4F">
        <w:trPr>
          <w:jc w:val="center"/>
        </w:trPr>
        <w:tc>
          <w:tcPr>
            <w:tcW w:w="1800" w:type="dxa"/>
            <w:tcBorders>
              <w:left w:val="single" w:sz="4" w:space="0" w:color="auto"/>
            </w:tcBorders>
          </w:tcPr>
          <w:p w14:paraId="0CE0F89D" w14:textId="77777777" w:rsidR="00AA6D1D" w:rsidRPr="00AA6D1D" w:rsidRDefault="00AA6D1D" w:rsidP="00AA6D1D">
            <w:pPr>
              <w:widowControl w:val="0"/>
              <w:adjustRightInd w:val="0"/>
              <w:jc w:val="both"/>
              <w:textAlignment w:val="baseline"/>
              <w:rPr>
                <w:sz w:val="20"/>
              </w:rPr>
            </w:pPr>
            <w:r w:rsidRPr="00AA6D1D">
              <w:rPr>
                <w:sz w:val="20"/>
              </w:rPr>
              <w:t>Septiembre</w:t>
            </w:r>
          </w:p>
        </w:tc>
        <w:tc>
          <w:tcPr>
            <w:tcW w:w="1500" w:type="dxa"/>
          </w:tcPr>
          <w:p w14:paraId="2DAE574F" w14:textId="77777777" w:rsidR="00AA6D1D" w:rsidRPr="00AA6D1D" w:rsidRDefault="00AA6D1D" w:rsidP="00AA6D1D">
            <w:pPr>
              <w:widowControl w:val="0"/>
              <w:adjustRightInd w:val="0"/>
              <w:ind w:right="340"/>
              <w:jc w:val="right"/>
              <w:textAlignment w:val="baseline"/>
              <w:rPr>
                <w:sz w:val="20"/>
              </w:rPr>
            </w:pPr>
            <w:r w:rsidRPr="00AA6D1D">
              <w:rPr>
                <w:sz w:val="20"/>
              </w:rPr>
              <w:t>3 753.8</w:t>
            </w:r>
          </w:p>
        </w:tc>
        <w:tc>
          <w:tcPr>
            <w:tcW w:w="1543" w:type="dxa"/>
          </w:tcPr>
          <w:p w14:paraId="145834FD" w14:textId="77777777" w:rsidR="00AA6D1D" w:rsidRPr="00AA6D1D" w:rsidRDefault="00AA6D1D" w:rsidP="00AA6D1D">
            <w:pPr>
              <w:widowControl w:val="0"/>
              <w:adjustRightInd w:val="0"/>
              <w:ind w:right="397"/>
              <w:jc w:val="right"/>
              <w:textAlignment w:val="baseline"/>
              <w:rPr>
                <w:sz w:val="20"/>
              </w:rPr>
            </w:pPr>
            <w:r w:rsidRPr="00AA6D1D">
              <w:rPr>
                <w:sz w:val="20"/>
              </w:rPr>
              <w:t>2 823.6</w:t>
            </w:r>
          </w:p>
        </w:tc>
        <w:tc>
          <w:tcPr>
            <w:tcW w:w="1432" w:type="dxa"/>
          </w:tcPr>
          <w:p w14:paraId="16F585BC" w14:textId="77777777" w:rsidR="00AA6D1D" w:rsidRPr="00AA6D1D" w:rsidRDefault="00AA6D1D" w:rsidP="00AA6D1D">
            <w:pPr>
              <w:widowControl w:val="0"/>
              <w:adjustRightInd w:val="0"/>
              <w:jc w:val="center"/>
              <w:textAlignment w:val="baseline"/>
              <w:rPr>
                <w:sz w:val="20"/>
              </w:rPr>
            </w:pPr>
            <w:r w:rsidRPr="00AA6D1D">
              <w:rPr>
                <w:sz w:val="20"/>
              </w:rPr>
              <w:t>293.5</w:t>
            </w:r>
          </w:p>
        </w:tc>
        <w:tc>
          <w:tcPr>
            <w:tcW w:w="1559" w:type="dxa"/>
            <w:tcBorders>
              <w:right w:val="single" w:sz="4" w:space="0" w:color="auto"/>
            </w:tcBorders>
          </w:tcPr>
          <w:p w14:paraId="64183D22" w14:textId="77777777" w:rsidR="00AA6D1D" w:rsidRPr="00AA6D1D" w:rsidRDefault="00AA6D1D" w:rsidP="00AA6D1D">
            <w:pPr>
              <w:widowControl w:val="0"/>
              <w:adjustRightInd w:val="0"/>
              <w:ind w:right="454"/>
              <w:jc w:val="right"/>
              <w:textAlignment w:val="baseline"/>
              <w:rPr>
                <w:sz w:val="20"/>
              </w:rPr>
            </w:pPr>
            <w:r w:rsidRPr="00AA6D1D">
              <w:rPr>
                <w:sz w:val="20"/>
              </w:rPr>
              <w:t>599.2</w:t>
            </w:r>
          </w:p>
        </w:tc>
      </w:tr>
      <w:tr w:rsidR="00AA6D1D" w:rsidRPr="00AA6D1D" w14:paraId="0113BBF7" w14:textId="77777777" w:rsidTr="002B3A4F">
        <w:trPr>
          <w:jc w:val="center"/>
        </w:trPr>
        <w:tc>
          <w:tcPr>
            <w:tcW w:w="1800" w:type="dxa"/>
            <w:tcBorders>
              <w:left w:val="single" w:sz="4" w:space="0" w:color="auto"/>
            </w:tcBorders>
          </w:tcPr>
          <w:p w14:paraId="1DF1464C" w14:textId="77777777" w:rsidR="00AA6D1D" w:rsidRPr="00AA6D1D" w:rsidRDefault="00AA6D1D" w:rsidP="00AA6D1D">
            <w:pPr>
              <w:widowControl w:val="0"/>
              <w:adjustRightInd w:val="0"/>
              <w:jc w:val="both"/>
              <w:textAlignment w:val="baseline"/>
              <w:rPr>
                <w:sz w:val="20"/>
              </w:rPr>
            </w:pPr>
            <w:r w:rsidRPr="00AA6D1D">
              <w:rPr>
                <w:sz w:val="20"/>
              </w:rPr>
              <w:t>Octubre</w:t>
            </w:r>
          </w:p>
        </w:tc>
        <w:tc>
          <w:tcPr>
            <w:tcW w:w="1500" w:type="dxa"/>
          </w:tcPr>
          <w:p w14:paraId="4C2290EC" w14:textId="77777777" w:rsidR="00AA6D1D" w:rsidRPr="00AA6D1D" w:rsidRDefault="00AA6D1D" w:rsidP="00AA6D1D">
            <w:pPr>
              <w:widowControl w:val="0"/>
              <w:adjustRightInd w:val="0"/>
              <w:ind w:right="340"/>
              <w:jc w:val="right"/>
              <w:textAlignment w:val="baseline"/>
              <w:rPr>
                <w:sz w:val="20"/>
              </w:rPr>
            </w:pPr>
            <w:r w:rsidRPr="00AA6D1D">
              <w:rPr>
                <w:sz w:val="20"/>
              </w:rPr>
              <w:t>3 804.2</w:t>
            </w:r>
          </w:p>
        </w:tc>
        <w:tc>
          <w:tcPr>
            <w:tcW w:w="1543" w:type="dxa"/>
          </w:tcPr>
          <w:p w14:paraId="651E9A3B" w14:textId="77777777" w:rsidR="00AA6D1D" w:rsidRPr="00AA6D1D" w:rsidRDefault="00AA6D1D" w:rsidP="00AA6D1D">
            <w:pPr>
              <w:widowControl w:val="0"/>
              <w:adjustRightInd w:val="0"/>
              <w:ind w:right="397"/>
              <w:jc w:val="right"/>
              <w:textAlignment w:val="baseline"/>
              <w:rPr>
                <w:sz w:val="20"/>
              </w:rPr>
            </w:pPr>
            <w:r w:rsidRPr="00AA6D1D">
              <w:rPr>
                <w:sz w:val="20"/>
              </w:rPr>
              <w:t>2 848.0</w:t>
            </w:r>
          </w:p>
        </w:tc>
        <w:tc>
          <w:tcPr>
            <w:tcW w:w="1432" w:type="dxa"/>
          </w:tcPr>
          <w:p w14:paraId="620FA3DF" w14:textId="77777777" w:rsidR="00AA6D1D" w:rsidRPr="00AA6D1D" w:rsidRDefault="00AA6D1D" w:rsidP="00AA6D1D">
            <w:pPr>
              <w:widowControl w:val="0"/>
              <w:adjustRightInd w:val="0"/>
              <w:jc w:val="center"/>
              <w:textAlignment w:val="baseline"/>
              <w:rPr>
                <w:sz w:val="20"/>
              </w:rPr>
            </w:pPr>
            <w:r w:rsidRPr="00AA6D1D">
              <w:rPr>
                <w:sz w:val="20"/>
              </w:rPr>
              <w:t>296.8</w:t>
            </w:r>
          </w:p>
        </w:tc>
        <w:tc>
          <w:tcPr>
            <w:tcW w:w="1559" w:type="dxa"/>
            <w:tcBorders>
              <w:right w:val="single" w:sz="4" w:space="0" w:color="auto"/>
            </w:tcBorders>
          </w:tcPr>
          <w:p w14:paraId="0D0E8512" w14:textId="77777777" w:rsidR="00AA6D1D" w:rsidRPr="00AA6D1D" w:rsidRDefault="00AA6D1D" w:rsidP="00AA6D1D">
            <w:pPr>
              <w:widowControl w:val="0"/>
              <w:adjustRightInd w:val="0"/>
              <w:ind w:right="454"/>
              <w:jc w:val="right"/>
              <w:textAlignment w:val="baseline"/>
              <w:rPr>
                <w:sz w:val="20"/>
              </w:rPr>
            </w:pPr>
            <w:r w:rsidRPr="00AA6D1D">
              <w:rPr>
                <w:sz w:val="20"/>
              </w:rPr>
              <w:t>607.7</w:t>
            </w:r>
          </w:p>
        </w:tc>
      </w:tr>
      <w:tr w:rsidR="00AA6D1D" w:rsidRPr="00AA6D1D" w14:paraId="4B154142" w14:textId="77777777" w:rsidTr="002B3A4F">
        <w:trPr>
          <w:jc w:val="center"/>
        </w:trPr>
        <w:tc>
          <w:tcPr>
            <w:tcW w:w="1800" w:type="dxa"/>
            <w:tcBorders>
              <w:left w:val="single" w:sz="4" w:space="0" w:color="auto"/>
            </w:tcBorders>
          </w:tcPr>
          <w:p w14:paraId="6D1E9D96" w14:textId="77777777" w:rsidR="00AA6D1D" w:rsidRPr="00AA6D1D" w:rsidRDefault="00AA6D1D" w:rsidP="00AA6D1D">
            <w:pPr>
              <w:widowControl w:val="0"/>
              <w:adjustRightInd w:val="0"/>
              <w:jc w:val="both"/>
              <w:textAlignment w:val="baseline"/>
              <w:rPr>
                <w:sz w:val="20"/>
              </w:rPr>
            </w:pPr>
            <w:r w:rsidRPr="00AA6D1D">
              <w:rPr>
                <w:sz w:val="20"/>
              </w:rPr>
              <w:t>Noviembre</w:t>
            </w:r>
          </w:p>
        </w:tc>
        <w:tc>
          <w:tcPr>
            <w:tcW w:w="1500" w:type="dxa"/>
          </w:tcPr>
          <w:p w14:paraId="4A907FCD" w14:textId="77777777" w:rsidR="00AA6D1D" w:rsidRPr="00AA6D1D" w:rsidRDefault="00AA6D1D" w:rsidP="00AA6D1D">
            <w:pPr>
              <w:widowControl w:val="0"/>
              <w:adjustRightInd w:val="0"/>
              <w:ind w:right="340"/>
              <w:jc w:val="right"/>
              <w:textAlignment w:val="baseline"/>
              <w:rPr>
                <w:sz w:val="20"/>
              </w:rPr>
            </w:pPr>
            <w:r w:rsidRPr="00AA6D1D">
              <w:rPr>
                <w:sz w:val="20"/>
              </w:rPr>
              <w:t>3 723.3</w:t>
            </w:r>
          </w:p>
        </w:tc>
        <w:tc>
          <w:tcPr>
            <w:tcW w:w="1543" w:type="dxa"/>
          </w:tcPr>
          <w:p w14:paraId="2483A7AD" w14:textId="77777777" w:rsidR="00AA6D1D" w:rsidRPr="00AA6D1D" w:rsidRDefault="00AA6D1D" w:rsidP="00AA6D1D">
            <w:pPr>
              <w:widowControl w:val="0"/>
              <w:adjustRightInd w:val="0"/>
              <w:ind w:right="397"/>
              <w:jc w:val="right"/>
              <w:textAlignment w:val="baseline"/>
              <w:rPr>
                <w:sz w:val="20"/>
              </w:rPr>
            </w:pPr>
            <w:r w:rsidRPr="00AA6D1D">
              <w:rPr>
                <w:sz w:val="20"/>
              </w:rPr>
              <w:t>2 899.4</w:t>
            </w:r>
          </w:p>
        </w:tc>
        <w:tc>
          <w:tcPr>
            <w:tcW w:w="1432" w:type="dxa"/>
          </w:tcPr>
          <w:p w14:paraId="69C46745" w14:textId="77777777" w:rsidR="00AA6D1D" w:rsidRPr="00AA6D1D" w:rsidRDefault="00AA6D1D" w:rsidP="00AA6D1D">
            <w:pPr>
              <w:widowControl w:val="0"/>
              <w:adjustRightInd w:val="0"/>
              <w:jc w:val="center"/>
              <w:textAlignment w:val="baseline"/>
              <w:rPr>
                <w:sz w:val="20"/>
              </w:rPr>
            </w:pPr>
            <w:r w:rsidRPr="00AA6D1D">
              <w:rPr>
                <w:sz w:val="20"/>
              </w:rPr>
              <w:t>303.9</w:t>
            </w:r>
          </w:p>
        </w:tc>
        <w:tc>
          <w:tcPr>
            <w:tcW w:w="1559" w:type="dxa"/>
            <w:tcBorders>
              <w:right w:val="single" w:sz="4" w:space="0" w:color="auto"/>
            </w:tcBorders>
          </w:tcPr>
          <w:p w14:paraId="2EBAB096" w14:textId="77777777" w:rsidR="00AA6D1D" w:rsidRPr="00AA6D1D" w:rsidRDefault="00AA6D1D" w:rsidP="00AA6D1D">
            <w:pPr>
              <w:widowControl w:val="0"/>
              <w:adjustRightInd w:val="0"/>
              <w:ind w:right="454"/>
              <w:jc w:val="right"/>
              <w:textAlignment w:val="baseline"/>
              <w:rPr>
                <w:sz w:val="20"/>
              </w:rPr>
            </w:pPr>
            <w:r w:rsidRPr="00AA6D1D">
              <w:rPr>
                <w:sz w:val="20"/>
              </w:rPr>
              <w:t>494.2</w:t>
            </w:r>
          </w:p>
        </w:tc>
      </w:tr>
      <w:tr w:rsidR="00AA6D1D" w:rsidRPr="00AA6D1D" w14:paraId="3C88681B" w14:textId="77777777" w:rsidTr="002B3A4F">
        <w:trPr>
          <w:jc w:val="center"/>
        </w:trPr>
        <w:tc>
          <w:tcPr>
            <w:tcW w:w="1800" w:type="dxa"/>
            <w:tcBorders>
              <w:left w:val="single" w:sz="4" w:space="0" w:color="auto"/>
            </w:tcBorders>
          </w:tcPr>
          <w:p w14:paraId="097567DB" w14:textId="77777777" w:rsidR="00AA6D1D" w:rsidRPr="00AA6D1D" w:rsidRDefault="00AA6D1D" w:rsidP="00AA6D1D">
            <w:pPr>
              <w:widowControl w:val="0"/>
              <w:adjustRightInd w:val="0"/>
              <w:jc w:val="both"/>
              <w:textAlignment w:val="baseline"/>
              <w:rPr>
                <w:sz w:val="20"/>
              </w:rPr>
            </w:pPr>
            <w:r w:rsidRPr="00AA6D1D">
              <w:rPr>
                <w:sz w:val="20"/>
              </w:rPr>
              <w:t>Diciembre</w:t>
            </w:r>
          </w:p>
        </w:tc>
        <w:tc>
          <w:tcPr>
            <w:tcW w:w="1500" w:type="dxa"/>
          </w:tcPr>
          <w:p w14:paraId="781DFF18" w14:textId="77777777" w:rsidR="00AA6D1D" w:rsidRPr="00AA6D1D" w:rsidRDefault="00AA6D1D" w:rsidP="00AA6D1D">
            <w:pPr>
              <w:widowControl w:val="0"/>
              <w:adjustRightInd w:val="0"/>
              <w:ind w:right="340"/>
              <w:jc w:val="right"/>
              <w:textAlignment w:val="baseline"/>
              <w:rPr>
                <w:sz w:val="20"/>
              </w:rPr>
            </w:pPr>
            <w:r w:rsidRPr="00AA6D1D">
              <w:rPr>
                <w:sz w:val="20"/>
              </w:rPr>
              <w:t>3 971.9</w:t>
            </w:r>
          </w:p>
        </w:tc>
        <w:tc>
          <w:tcPr>
            <w:tcW w:w="1543" w:type="dxa"/>
          </w:tcPr>
          <w:p w14:paraId="31D020F3" w14:textId="77777777" w:rsidR="00AA6D1D" w:rsidRPr="00AA6D1D" w:rsidRDefault="00AA6D1D" w:rsidP="00AA6D1D">
            <w:pPr>
              <w:widowControl w:val="0"/>
              <w:adjustRightInd w:val="0"/>
              <w:ind w:right="397"/>
              <w:jc w:val="right"/>
              <w:textAlignment w:val="baseline"/>
              <w:rPr>
                <w:sz w:val="20"/>
              </w:rPr>
            </w:pPr>
            <w:r w:rsidRPr="00AA6D1D">
              <w:rPr>
                <w:sz w:val="20"/>
              </w:rPr>
              <w:t>2 920.2</w:t>
            </w:r>
          </w:p>
        </w:tc>
        <w:tc>
          <w:tcPr>
            <w:tcW w:w="1432" w:type="dxa"/>
          </w:tcPr>
          <w:p w14:paraId="188CCD0B" w14:textId="77777777" w:rsidR="00AA6D1D" w:rsidRPr="00AA6D1D" w:rsidRDefault="00AA6D1D" w:rsidP="00AA6D1D">
            <w:pPr>
              <w:widowControl w:val="0"/>
              <w:adjustRightInd w:val="0"/>
              <w:jc w:val="center"/>
              <w:textAlignment w:val="baseline"/>
              <w:rPr>
                <w:sz w:val="20"/>
              </w:rPr>
            </w:pPr>
            <w:r w:rsidRPr="00AA6D1D">
              <w:rPr>
                <w:sz w:val="20"/>
              </w:rPr>
              <w:t>312.3</w:t>
            </w:r>
          </w:p>
        </w:tc>
        <w:tc>
          <w:tcPr>
            <w:tcW w:w="1559" w:type="dxa"/>
            <w:tcBorders>
              <w:right w:val="single" w:sz="4" w:space="0" w:color="auto"/>
            </w:tcBorders>
          </w:tcPr>
          <w:p w14:paraId="6CA2CC66" w14:textId="77777777" w:rsidR="00AA6D1D" w:rsidRPr="00AA6D1D" w:rsidRDefault="00AA6D1D" w:rsidP="00AA6D1D">
            <w:pPr>
              <w:widowControl w:val="0"/>
              <w:adjustRightInd w:val="0"/>
              <w:ind w:right="454"/>
              <w:jc w:val="right"/>
              <w:textAlignment w:val="baseline"/>
              <w:rPr>
                <w:sz w:val="20"/>
              </w:rPr>
            </w:pPr>
            <w:r w:rsidRPr="00AA6D1D">
              <w:rPr>
                <w:sz w:val="20"/>
              </w:rPr>
              <w:t>669.3</w:t>
            </w:r>
          </w:p>
        </w:tc>
      </w:tr>
      <w:tr w:rsidR="00AA6D1D" w:rsidRPr="00AA6D1D" w14:paraId="44625F69" w14:textId="77777777" w:rsidTr="002B3A4F">
        <w:trPr>
          <w:jc w:val="center"/>
        </w:trPr>
        <w:tc>
          <w:tcPr>
            <w:tcW w:w="7834" w:type="dxa"/>
            <w:gridSpan w:val="5"/>
            <w:tcBorders>
              <w:left w:val="single" w:sz="4" w:space="0" w:color="auto"/>
              <w:right w:val="single" w:sz="4" w:space="0" w:color="auto"/>
            </w:tcBorders>
          </w:tcPr>
          <w:p w14:paraId="580EA1CF" w14:textId="77777777" w:rsidR="00AA6D1D" w:rsidRPr="00AA6D1D" w:rsidRDefault="00AA6D1D" w:rsidP="00AA6D1D">
            <w:pPr>
              <w:widowControl w:val="0"/>
              <w:adjustRightInd w:val="0"/>
              <w:ind w:right="454"/>
              <w:jc w:val="center"/>
              <w:textAlignment w:val="baseline"/>
              <w:rPr>
                <w:sz w:val="20"/>
              </w:rPr>
            </w:pPr>
            <w:r w:rsidRPr="00AA6D1D">
              <w:rPr>
                <w:b/>
                <w:sz w:val="20"/>
              </w:rPr>
              <w:t>2015</w:t>
            </w:r>
          </w:p>
        </w:tc>
      </w:tr>
      <w:tr w:rsidR="00AA6D1D" w:rsidRPr="00AA6D1D" w14:paraId="300DEC2D" w14:textId="77777777" w:rsidTr="002B3A4F">
        <w:trPr>
          <w:jc w:val="center"/>
        </w:trPr>
        <w:tc>
          <w:tcPr>
            <w:tcW w:w="1800" w:type="dxa"/>
            <w:tcBorders>
              <w:left w:val="single" w:sz="4" w:space="0" w:color="auto"/>
            </w:tcBorders>
          </w:tcPr>
          <w:p w14:paraId="0CF3177D" w14:textId="77777777" w:rsidR="00AA6D1D" w:rsidRPr="00AA6D1D" w:rsidRDefault="00AA6D1D" w:rsidP="00AA6D1D">
            <w:pPr>
              <w:widowControl w:val="0"/>
              <w:adjustRightInd w:val="0"/>
              <w:jc w:val="both"/>
              <w:textAlignment w:val="baseline"/>
              <w:rPr>
                <w:sz w:val="20"/>
              </w:rPr>
            </w:pPr>
            <w:r w:rsidRPr="00AA6D1D">
              <w:rPr>
                <w:sz w:val="20"/>
              </w:rPr>
              <w:t>Enero</w:t>
            </w:r>
          </w:p>
        </w:tc>
        <w:tc>
          <w:tcPr>
            <w:tcW w:w="1500" w:type="dxa"/>
          </w:tcPr>
          <w:p w14:paraId="64D8CFCE" w14:textId="77777777" w:rsidR="00AA6D1D" w:rsidRPr="00AA6D1D" w:rsidRDefault="00AA6D1D" w:rsidP="00AA6D1D">
            <w:pPr>
              <w:widowControl w:val="0"/>
              <w:adjustRightInd w:val="0"/>
              <w:ind w:right="340"/>
              <w:jc w:val="right"/>
              <w:textAlignment w:val="baseline"/>
              <w:rPr>
                <w:sz w:val="20"/>
              </w:rPr>
            </w:pPr>
            <w:r w:rsidRPr="00AA6D1D">
              <w:rPr>
                <w:sz w:val="20"/>
              </w:rPr>
              <w:t>3 936.7</w:t>
            </w:r>
          </w:p>
        </w:tc>
        <w:tc>
          <w:tcPr>
            <w:tcW w:w="1543" w:type="dxa"/>
          </w:tcPr>
          <w:p w14:paraId="6CA8F0EB" w14:textId="77777777" w:rsidR="00AA6D1D" w:rsidRPr="00AA6D1D" w:rsidRDefault="00AA6D1D" w:rsidP="00AA6D1D">
            <w:pPr>
              <w:widowControl w:val="0"/>
              <w:adjustRightInd w:val="0"/>
              <w:ind w:right="397"/>
              <w:jc w:val="right"/>
              <w:textAlignment w:val="baseline"/>
              <w:rPr>
                <w:sz w:val="20"/>
              </w:rPr>
            </w:pPr>
            <w:r w:rsidRPr="00AA6D1D">
              <w:rPr>
                <w:sz w:val="20"/>
              </w:rPr>
              <w:t>2 932.8</w:t>
            </w:r>
          </w:p>
        </w:tc>
        <w:tc>
          <w:tcPr>
            <w:tcW w:w="1432" w:type="dxa"/>
          </w:tcPr>
          <w:p w14:paraId="282F5478" w14:textId="77777777" w:rsidR="00AA6D1D" w:rsidRPr="00AA6D1D" w:rsidRDefault="00AA6D1D" w:rsidP="00AA6D1D">
            <w:pPr>
              <w:widowControl w:val="0"/>
              <w:adjustRightInd w:val="0"/>
              <w:jc w:val="center"/>
              <w:textAlignment w:val="baseline"/>
              <w:rPr>
                <w:sz w:val="20"/>
              </w:rPr>
            </w:pPr>
            <w:r w:rsidRPr="00AA6D1D">
              <w:rPr>
                <w:sz w:val="20"/>
              </w:rPr>
              <w:t>312.3</w:t>
            </w:r>
          </w:p>
        </w:tc>
        <w:tc>
          <w:tcPr>
            <w:tcW w:w="1559" w:type="dxa"/>
            <w:tcBorders>
              <w:right w:val="single" w:sz="4" w:space="0" w:color="auto"/>
            </w:tcBorders>
          </w:tcPr>
          <w:p w14:paraId="3AC8450E" w14:textId="77777777" w:rsidR="00AA6D1D" w:rsidRPr="00AA6D1D" w:rsidRDefault="00AA6D1D" w:rsidP="00AA6D1D">
            <w:pPr>
              <w:widowControl w:val="0"/>
              <w:adjustRightInd w:val="0"/>
              <w:ind w:right="454"/>
              <w:jc w:val="right"/>
              <w:textAlignment w:val="baseline"/>
              <w:rPr>
                <w:sz w:val="20"/>
              </w:rPr>
            </w:pPr>
            <w:r w:rsidRPr="00AA6D1D">
              <w:rPr>
                <w:sz w:val="20"/>
              </w:rPr>
              <w:t>634.9</w:t>
            </w:r>
          </w:p>
        </w:tc>
      </w:tr>
      <w:tr w:rsidR="00AA6D1D" w:rsidRPr="00AA6D1D" w14:paraId="2C1A5344" w14:textId="77777777" w:rsidTr="002B3A4F">
        <w:trPr>
          <w:jc w:val="center"/>
        </w:trPr>
        <w:tc>
          <w:tcPr>
            <w:tcW w:w="1800" w:type="dxa"/>
            <w:tcBorders>
              <w:left w:val="single" w:sz="4" w:space="0" w:color="auto"/>
              <w:bottom w:val="single" w:sz="4" w:space="0" w:color="auto"/>
            </w:tcBorders>
          </w:tcPr>
          <w:p w14:paraId="212A35C5" w14:textId="77777777" w:rsidR="00AA6D1D" w:rsidRPr="00AA6D1D" w:rsidRDefault="00AA6D1D" w:rsidP="00AA6D1D">
            <w:pPr>
              <w:widowControl w:val="0"/>
              <w:adjustRightInd w:val="0"/>
              <w:jc w:val="both"/>
              <w:textAlignment w:val="baseline"/>
              <w:rPr>
                <w:sz w:val="20"/>
              </w:rPr>
            </w:pPr>
            <w:r w:rsidRPr="00AA6D1D">
              <w:rPr>
                <w:sz w:val="20"/>
              </w:rPr>
              <w:t>Febrero</w:t>
            </w:r>
          </w:p>
        </w:tc>
        <w:tc>
          <w:tcPr>
            <w:tcW w:w="1500" w:type="dxa"/>
            <w:tcBorders>
              <w:bottom w:val="single" w:sz="4" w:space="0" w:color="auto"/>
            </w:tcBorders>
          </w:tcPr>
          <w:p w14:paraId="6B5D7B9D" w14:textId="77777777" w:rsidR="00AA6D1D" w:rsidRPr="00AA6D1D" w:rsidRDefault="00AA6D1D" w:rsidP="00AA6D1D">
            <w:pPr>
              <w:widowControl w:val="0"/>
              <w:adjustRightInd w:val="0"/>
              <w:ind w:right="340"/>
              <w:jc w:val="right"/>
              <w:textAlignment w:val="baseline"/>
              <w:rPr>
                <w:sz w:val="20"/>
              </w:rPr>
            </w:pPr>
            <w:r w:rsidRPr="00AA6D1D">
              <w:rPr>
                <w:sz w:val="20"/>
              </w:rPr>
              <w:t>4 012.0</w:t>
            </w:r>
          </w:p>
        </w:tc>
        <w:tc>
          <w:tcPr>
            <w:tcW w:w="1543" w:type="dxa"/>
            <w:tcBorders>
              <w:bottom w:val="single" w:sz="4" w:space="0" w:color="auto"/>
            </w:tcBorders>
          </w:tcPr>
          <w:p w14:paraId="7C5C26F3" w14:textId="77777777" w:rsidR="00AA6D1D" w:rsidRPr="00AA6D1D" w:rsidRDefault="00AA6D1D" w:rsidP="00AA6D1D">
            <w:pPr>
              <w:widowControl w:val="0"/>
              <w:adjustRightInd w:val="0"/>
              <w:ind w:right="397"/>
              <w:jc w:val="right"/>
              <w:textAlignment w:val="baseline"/>
              <w:rPr>
                <w:sz w:val="20"/>
              </w:rPr>
            </w:pPr>
            <w:r w:rsidRPr="00AA6D1D">
              <w:rPr>
                <w:sz w:val="20"/>
              </w:rPr>
              <w:t>2 923.0</w:t>
            </w:r>
          </w:p>
        </w:tc>
        <w:tc>
          <w:tcPr>
            <w:tcW w:w="1432" w:type="dxa"/>
            <w:tcBorders>
              <w:bottom w:val="single" w:sz="4" w:space="0" w:color="auto"/>
            </w:tcBorders>
          </w:tcPr>
          <w:p w14:paraId="764F2E49" w14:textId="77777777" w:rsidR="00AA6D1D" w:rsidRPr="00AA6D1D" w:rsidRDefault="00AA6D1D" w:rsidP="00AA6D1D">
            <w:pPr>
              <w:widowControl w:val="0"/>
              <w:adjustRightInd w:val="0"/>
              <w:jc w:val="center"/>
              <w:textAlignment w:val="baseline"/>
              <w:rPr>
                <w:sz w:val="20"/>
              </w:rPr>
            </w:pPr>
            <w:r w:rsidRPr="00AA6D1D">
              <w:rPr>
                <w:sz w:val="20"/>
              </w:rPr>
              <w:t>313.7</w:t>
            </w:r>
          </w:p>
        </w:tc>
        <w:tc>
          <w:tcPr>
            <w:tcW w:w="1559" w:type="dxa"/>
            <w:tcBorders>
              <w:bottom w:val="single" w:sz="4" w:space="0" w:color="auto"/>
              <w:right w:val="single" w:sz="4" w:space="0" w:color="auto"/>
            </w:tcBorders>
          </w:tcPr>
          <w:p w14:paraId="56AFAA05" w14:textId="77777777" w:rsidR="00AA6D1D" w:rsidRPr="00AA6D1D" w:rsidRDefault="00AA6D1D" w:rsidP="00AA6D1D">
            <w:pPr>
              <w:widowControl w:val="0"/>
              <w:adjustRightInd w:val="0"/>
              <w:ind w:right="454"/>
              <w:jc w:val="right"/>
              <w:textAlignment w:val="baseline"/>
              <w:rPr>
                <w:sz w:val="20"/>
              </w:rPr>
            </w:pPr>
            <w:r w:rsidRPr="00AA6D1D">
              <w:rPr>
                <w:sz w:val="20"/>
              </w:rPr>
              <w:t>710.7</w:t>
            </w:r>
          </w:p>
        </w:tc>
      </w:tr>
      <w:tr w:rsidR="00AA6D1D" w:rsidRPr="00AA6D1D" w14:paraId="5484EA03" w14:textId="77777777" w:rsidTr="002B3A4F">
        <w:trPr>
          <w:jc w:val="center"/>
        </w:trPr>
        <w:tc>
          <w:tcPr>
            <w:tcW w:w="7834" w:type="dxa"/>
            <w:gridSpan w:val="5"/>
            <w:tcBorders>
              <w:top w:val="single" w:sz="4" w:space="0" w:color="auto"/>
            </w:tcBorders>
          </w:tcPr>
          <w:p w14:paraId="08F91C31" w14:textId="77777777" w:rsidR="00AA6D1D" w:rsidRPr="00AA6D1D" w:rsidRDefault="00AA6D1D" w:rsidP="00AA6D1D">
            <w:pPr>
              <w:widowControl w:val="0"/>
              <w:adjustRightInd w:val="0"/>
              <w:ind w:left="539" w:hanging="539"/>
              <w:jc w:val="both"/>
              <w:textAlignment w:val="baseline"/>
              <w:rPr>
                <w:sz w:val="20"/>
                <w:szCs w:val="18"/>
              </w:rPr>
            </w:pPr>
            <w:r w:rsidRPr="00AA6D1D">
              <w:rPr>
                <w:sz w:val="20"/>
                <w:szCs w:val="18"/>
              </w:rPr>
              <w:t>Nota: Cabe destacar que en la columna del total de financiamiento se incorpora el rubro de “Otros” que incluye al Instituto de Protección al Ahorro Bancario (IPAB), Proyectos de Infraestructura Productiva de Largo Plazo (Pidiregas) y el Fondo Nacional de Infraestructura (Fonadin) antes Fideicomiso de Apoyo al Rescate de Autopistas Concesionadas (Farac).</w:t>
            </w:r>
          </w:p>
          <w:p w14:paraId="57BB3806" w14:textId="77777777" w:rsidR="00AA6D1D" w:rsidRPr="00AA6D1D" w:rsidRDefault="00AA6D1D" w:rsidP="00AA6D1D">
            <w:pPr>
              <w:widowControl w:val="0"/>
              <w:adjustRightInd w:val="0"/>
              <w:ind w:left="170" w:hanging="170"/>
              <w:jc w:val="both"/>
              <w:textAlignment w:val="baseline"/>
              <w:rPr>
                <w:sz w:val="20"/>
                <w:szCs w:val="18"/>
              </w:rPr>
            </w:pPr>
            <w:r w:rsidRPr="00AA6D1D">
              <w:rPr>
                <w:sz w:val="20"/>
                <w:szCs w:val="18"/>
                <w:u w:val="single"/>
              </w:rPr>
              <w:t>1</w:t>
            </w:r>
            <w:r w:rsidRPr="00AA6D1D">
              <w:rPr>
                <w:sz w:val="20"/>
                <w:szCs w:val="18"/>
              </w:rPr>
              <w:t>/ Incluye las cifras de las Sofom Reguladas de tarjetas de crédito: Tarjetas Banamex, Santander Consumo, Ixe Tarjetas y Sociedad Financiera Inbursa.</w:t>
            </w:r>
          </w:p>
          <w:p w14:paraId="44612F2C" w14:textId="77777777" w:rsidR="00AA6D1D" w:rsidRPr="00AA6D1D" w:rsidRDefault="00AA6D1D" w:rsidP="00AA6D1D">
            <w:pPr>
              <w:widowControl w:val="0"/>
              <w:adjustRightInd w:val="0"/>
              <w:ind w:left="198" w:hanging="198"/>
              <w:jc w:val="both"/>
              <w:textAlignment w:val="baseline"/>
              <w:rPr>
                <w:sz w:val="20"/>
                <w:szCs w:val="18"/>
              </w:rPr>
            </w:pPr>
            <w:r w:rsidRPr="00AA6D1D">
              <w:rPr>
                <w:sz w:val="20"/>
                <w:szCs w:val="18"/>
                <w:u w:val="single"/>
              </w:rPr>
              <w:t>2</w:t>
            </w:r>
            <w:r w:rsidRPr="00AA6D1D">
              <w:rPr>
                <w:sz w:val="20"/>
                <w:szCs w:val="18"/>
              </w:rPr>
              <w:t>/ Se refiere al sector no bancario, incluye valores, cartera de crédito vigente y vencida, así como títulos asociados a programas de reestructura. Asimismo, para que las partes que se presentan sumaran estas cifras, habría que agregar: el crédito directo y valores del IPAB; el financiamiento otorgado a Proyectos de Infraestructura Productiva de Largo Plazo en moneda nacional y en moneda extranjera; y el diferimento a través de créditos y valores del Fideicomiso Fondo Nacional de Infraestructura (FOADIN) DOF 7/02/2008 (antes FARAC).</w:t>
            </w:r>
          </w:p>
          <w:p w14:paraId="5F5B8186" w14:textId="77777777" w:rsidR="00AA6D1D" w:rsidRPr="00AA6D1D" w:rsidRDefault="00AA6D1D" w:rsidP="00AA6D1D">
            <w:pPr>
              <w:widowControl w:val="0"/>
              <w:adjustRightInd w:val="0"/>
              <w:ind w:left="907" w:hanging="907"/>
              <w:jc w:val="both"/>
              <w:textAlignment w:val="baseline"/>
              <w:rPr>
                <w:sz w:val="18"/>
                <w:szCs w:val="18"/>
              </w:rPr>
            </w:pPr>
            <w:r w:rsidRPr="00AA6D1D">
              <w:rPr>
                <w:sz w:val="20"/>
                <w:szCs w:val="18"/>
              </w:rPr>
              <w:t xml:space="preserve">FUENTE: Elaborado por </w:t>
            </w:r>
            <w:smartTag w:uri="urn:schemas-microsoft-com:office:smarttags" w:element="PersonName">
              <w:smartTagPr>
                <w:attr w:name="ProductID" w:val="La Comisi￳n Nacional"/>
              </w:smartTagPr>
              <w:r w:rsidRPr="00AA6D1D">
                <w:rPr>
                  <w:sz w:val="20"/>
                  <w:szCs w:val="18"/>
                </w:rPr>
                <w:t>la Comisión Nacional</w:t>
              </w:r>
            </w:smartTag>
            <w:r w:rsidRPr="00AA6D1D">
              <w:rPr>
                <w:sz w:val="20"/>
                <w:szCs w:val="18"/>
              </w:rPr>
              <w:t xml:space="preserve"> de los Salarios Mínimos con información del Banco de México.</w:t>
            </w:r>
          </w:p>
        </w:tc>
      </w:tr>
      <w:bookmarkEnd w:id="11"/>
    </w:tbl>
    <w:p w14:paraId="0A126A5B" w14:textId="77777777" w:rsidR="00AA6D1D" w:rsidRDefault="00AA6D1D" w:rsidP="00AA6D1D">
      <w:pPr>
        <w:ind w:right="-159"/>
        <w:jc w:val="both"/>
        <w:rPr>
          <w:b/>
          <w:sz w:val="20"/>
          <w:szCs w:val="20"/>
        </w:rPr>
      </w:pPr>
    </w:p>
    <w:p w14:paraId="16665CE5" w14:textId="77777777" w:rsidR="00AF7C3F" w:rsidRDefault="00AF7C3F" w:rsidP="00AA6D1D">
      <w:pPr>
        <w:ind w:right="-159"/>
        <w:jc w:val="both"/>
        <w:rPr>
          <w:b/>
          <w:sz w:val="20"/>
          <w:szCs w:val="20"/>
        </w:rPr>
      </w:pPr>
    </w:p>
    <w:p w14:paraId="70067FE0" w14:textId="77777777" w:rsidR="00AF7C3F" w:rsidRPr="00AA6D1D" w:rsidRDefault="00AF7C3F" w:rsidP="00AA6D1D">
      <w:pPr>
        <w:ind w:right="-159"/>
        <w:jc w:val="both"/>
        <w:rPr>
          <w:b/>
          <w:sz w:val="20"/>
          <w:szCs w:val="20"/>
        </w:rPr>
      </w:pPr>
    </w:p>
    <w:p w14:paraId="7F86E2CC" w14:textId="77777777" w:rsidR="00AA6D1D" w:rsidRPr="00AA6D1D" w:rsidRDefault="00AA6D1D" w:rsidP="00AA6D1D">
      <w:pPr>
        <w:ind w:right="-159"/>
        <w:jc w:val="both"/>
        <w:rPr>
          <w:b/>
          <w:sz w:val="20"/>
          <w:szCs w:val="20"/>
        </w:rPr>
      </w:pPr>
      <w:r w:rsidRPr="00AA6D1D">
        <w:rPr>
          <w:b/>
          <w:sz w:val="20"/>
          <w:szCs w:val="20"/>
        </w:rPr>
        <w:t>Fuente de información:</w:t>
      </w:r>
    </w:p>
    <w:p w14:paraId="74B79FB9" w14:textId="77777777" w:rsidR="00AA6D1D" w:rsidRPr="007B0259" w:rsidRDefault="0045651A" w:rsidP="00AA6D1D">
      <w:pPr>
        <w:rPr>
          <w:color w:val="0000FF"/>
          <w:sz w:val="20"/>
          <w:szCs w:val="20"/>
        </w:rPr>
      </w:pPr>
      <w:hyperlink r:id="rId263" w:history="1">
        <w:r w:rsidR="00AA6D1D" w:rsidRPr="007B0259">
          <w:rPr>
            <w:color w:val="0000FF"/>
            <w:sz w:val="20"/>
            <w:szCs w:val="20"/>
            <w:u w:val="single"/>
          </w:rPr>
          <w:t>http://www.banxico.org.mx/informacion-para-la-prensa/comunicados/sector-financiero/agregados-monetarios/%7B32145847-BF5F-48FE-8EB4-DB997AA5A4AC%7D.pdf</w:t>
        </w:r>
      </w:hyperlink>
      <w:r w:rsidR="00AA6D1D" w:rsidRPr="007B0259">
        <w:rPr>
          <w:color w:val="0000FF"/>
          <w:sz w:val="20"/>
          <w:szCs w:val="20"/>
        </w:rPr>
        <w:t xml:space="preserve"> </w:t>
      </w:r>
    </w:p>
    <w:p w14:paraId="461207A8" w14:textId="73669034" w:rsidR="007F7B4C" w:rsidRDefault="007F7B4C" w:rsidP="001C4330">
      <w:pPr>
        <w:spacing w:after="360" w:line="360" w:lineRule="auto"/>
        <w:ind w:right="-159"/>
        <w:jc w:val="both"/>
        <w:rPr>
          <w:sz w:val="26"/>
          <w:szCs w:val="26"/>
          <w:lang w:val="es-ES"/>
        </w:rPr>
      </w:pPr>
    </w:p>
    <w:p w14:paraId="27F97B23" w14:textId="77777777" w:rsidR="000D31C7" w:rsidRDefault="000D31C7" w:rsidP="001C4330">
      <w:pPr>
        <w:spacing w:after="360" w:line="360" w:lineRule="auto"/>
        <w:ind w:right="-159"/>
        <w:jc w:val="both"/>
        <w:rPr>
          <w:sz w:val="26"/>
          <w:szCs w:val="26"/>
          <w:lang w:val="es-ES"/>
        </w:rPr>
      </w:pPr>
    </w:p>
    <w:p w14:paraId="5F0D8491" w14:textId="77777777" w:rsidR="000D31C7" w:rsidRDefault="000D31C7" w:rsidP="001C4330">
      <w:pPr>
        <w:spacing w:after="360" w:line="360" w:lineRule="auto"/>
        <w:ind w:right="-159"/>
        <w:jc w:val="both"/>
        <w:rPr>
          <w:sz w:val="26"/>
          <w:szCs w:val="26"/>
          <w:lang w:val="es-ES"/>
        </w:rPr>
      </w:pPr>
    </w:p>
    <w:p w14:paraId="6CB68B92"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lastRenderedPageBreak/>
        <w:t>Sector Uniones de Crédito (CNBV)</w:t>
      </w:r>
    </w:p>
    <w:p w14:paraId="32155A79"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El 27 de marzo de 2015, la Comisión Nacional Bancaria y de Valores (CNBV) publicó Información Estadística y Financiera al cierre de diciembre de 2014 del Sector de Uniones de Crédito</w:t>
      </w:r>
      <w:r w:rsidRPr="00DA7FF3">
        <w:rPr>
          <w:rFonts w:eastAsia="Calibri"/>
          <w:sz w:val="26"/>
          <w:szCs w:val="26"/>
          <w:vertAlign w:val="superscript"/>
          <w:lang w:eastAsia="en-US"/>
        </w:rPr>
        <w:footnoteReference w:id="38"/>
      </w:r>
      <w:r w:rsidRPr="00DA7FF3">
        <w:rPr>
          <w:rFonts w:eastAsia="Calibri"/>
          <w:sz w:val="26"/>
          <w:szCs w:val="26"/>
          <w:lang w:eastAsia="en-US"/>
        </w:rPr>
        <w:t>. A continuación se presenta la información.</w:t>
      </w:r>
    </w:p>
    <w:p w14:paraId="783CA64D"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t>Características del sector</w:t>
      </w:r>
    </w:p>
    <w:p w14:paraId="49C4C9B7" w14:textId="64AC07C2"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Durante 2014 se revocó la autorización para operar a tres uniones de crédito</w:t>
      </w:r>
      <w:r w:rsidRPr="00DA7FF3">
        <w:rPr>
          <w:rFonts w:eastAsia="Calibri"/>
          <w:sz w:val="26"/>
          <w:szCs w:val="26"/>
          <w:vertAlign w:val="superscript"/>
          <w:lang w:eastAsia="en-US"/>
        </w:rPr>
        <w:footnoteReference w:id="39"/>
      </w:r>
      <w:r w:rsidR="009E5D36">
        <w:rPr>
          <w:rFonts w:eastAsia="Calibri"/>
          <w:sz w:val="26"/>
          <w:szCs w:val="26"/>
          <w:lang w:eastAsia="en-US"/>
        </w:rPr>
        <w:t>,</w:t>
      </w:r>
      <w:r w:rsidRPr="00DA7FF3">
        <w:rPr>
          <w:rFonts w:eastAsia="Calibri"/>
          <w:sz w:val="26"/>
          <w:szCs w:val="26"/>
          <w:lang w:eastAsia="en-US"/>
        </w:rPr>
        <w:t xml:space="preserve"> con lo que el número de entidades en operación a diciembre de 2014 alcanzó 101. Del total de entidades en operación, 96</w:t>
      </w:r>
      <w:r w:rsidRPr="00DA7FF3">
        <w:rPr>
          <w:rFonts w:eastAsia="Calibri"/>
          <w:sz w:val="26"/>
          <w:szCs w:val="26"/>
          <w:vertAlign w:val="superscript"/>
          <w:lang w:eastAsia="en-US"/>
        </w:rPr>
        <w:footnoteReference w:id="40"/>
      </w:r>
      <w:r w:rsidRPr="00DA7FF3">
        <w:rPr>
          <w:rFonts w:eastAsia="Calibri"/>
          <w:sz w:val="26"/>
          <w:szCs w:val="26"/>
          <w:lang w:eastAsia="en-US"/>
        </w:rPr>
        <w:t xml:space="preserve"> enviaron información en tiempo y forma de acuerdo con las disposiciones de carácter general aplicables a las uniones de crédito.</w:t>
      </w:r>
    </w:p>
    <w:p w14:paraId="1D7B4122"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t>Balance general</w:t>
      </w:r>
    </w:p>
    <w:p w14:paraId="1C7E6C0D"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Los activos totales al cierre de diciembre de 2014 ascendieron a 43 mil 515 mdp, cifra 4.6% superior a la registrada en el mismo mes de 2013. La cartera de crédito representó 74.5% de los activos totales, con un saldo de 32 mil 423 mdp y un crecimiento anual de 4.8%. Las inversiones en valores participaron con 15.7% al alcanzar un saldo de 6 mil 828 mdp.</w:t>
      </w:r>
    </w:p>
    <w:p w14:paraId="3903F921"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Cinco instituciones concentran 45.4% de los activos del sector: Industrial y Agropecuario de la Laguna (12.1%), Ficein (10.4%), Agricultores de Cuauhtémoc (9.8%), Progreso (7.8%) y Define (5.1 por ciento).</w:t>
      </w:r>
    </w:p>
    <w:tbl>
      <w:tblPr>
        <w:tblW w:w="8923" w:type="dxa"/>
        <w:jc w:val="center"/>
        <w:tblLayout w:type="fixed"/>
        <w:tblLook w:val="01E0" w:firstRow="1" w:lastRow="1" w:firstColumn="1" w:lastColumn="1" w:noHBand="0" w:noVBand="0"/>
      </w:tblPr>
      <w:tblGrid>
        <w:gridCol w:w="3408"/>
        <w:gridCol w:w="1103"/>
        <w:gridCol w:w="1103"/>
        <w:gridCol w:w="1103"/>
        <w:gridCol w:w="1103"/>
        <w:gridCol w:w="1103"/>
      </w:tblGrid>
      <w:tr w:rsidR="00DA7FF3" w:rsidRPr="00DA7FF3" w14:paraId="3BF7CB97" w14:textId="77777777" w:rsidTr="00DA7FF3">
        <w:trPr>
          <w:trHeight w:val="552"/>
          <w:jc w:val="center"/>
        </w:trPr>
        <w:tc>
          <w:tcPr>
            <w:tcW w:w="8923" w:type="dxa"/>
            <w:gridSpan w:val="6"/>
            <w:tcBorders>
              <w:top w:val="nil"/>
              <w:bottom w:val="single" w:sz="4" w:space="0" w:color="auto"/>
            </w:tcBorders>
            <w:shd w:val="clear" w:color="auto" w:fill="auto"/>
            <w:vAlign w:val="center"/>
          </w:tcPr>
          <w:p w14:paraId="0B186077"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lastRenderedPageBreak/>
              <w:t>UNIONES DE CRÉDITO: BALANCE GENERAL</w:t>
            </w:r>
          </w:p>
          <w:p w14:paraId="50A3EE3F" w14:textId="28EA5E14"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-Saldos en millones de pesos-</w:t>
            </w:r>
          </w:p>
        </w:tc>
      </w:tr>
      <w:tr w:rsidR="00DA7FF3" w:rsidRPr="00DA7FF3" w14:paraId="0D99DEA4" w14:textId="77777777" w:rsidTr="00DA7FF3">
        <w:trPr>
          <w:trHeight w:val="174"/>
          <w:jc w:val="center"/>
        </w:trPr>
        <w:tc>
          <w:tcPr>
            <w:tcW w:w="34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4A3E7E"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374C2B0F"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CBCA3"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7D790D"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w:t>
            </w:r>
          </w:p>
        </w:tc>
      </w:tr>
      <w:tr w:rsidR="00DA7FF3" w:rsidRPr="00DA7FF3" w14:paraId="559AB20A" w14:textId="77777777" w:rsidTr="00DA7FF3">
        <w:trPr>
          <w:trHeight w:val="244"/>
          <w:jc w:val="center"/>
        </w:trPr>
        <w:tc>
          <w:tcPr>
            <w:tcW w:w="340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FEDF31"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66C53BAE" w14:textId="77777777" w:rsidR="00DA7FF3" w:rsidRPr="00DA7FF3" w:rsidRDefault="00DA7FF3" w:rsidP="00DA7FF3">
            <w:pP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378F7D18"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16BED75D"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3258D5DD"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Anual</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15115947"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Trimestral</w:t>
            </w:r>
          </w:p>
        </w:tc>
      </w:tr>
      <w:tr w:rsidR="00DA7FF3" w:rsidRPr="00DA7FF3" w14:paraId="5E009D25" w14:textId="77777777" w:rsidTr="00DA7FF3">
        <w:trPr>
          <w:trHeight w:val="271"/>
          <w:jc w:val="center"/>
        </w:trPr>
        <w:tc>
          <w:tcPr>
            <w:tcW w:w="3408" w:type="dxa"/>
            <w:tcBorders>
              <w:top w:val="single" w:sz="4" w:space="0" w:color="auto"/>
              <w:left w:val="single" w:sz="4" w:space="0" w:color="auto"/>
              <w:right w:val="single" w:sz="4" w:space="0" w:color="auto"/>
            </w:tcBorders>
            <w:shd w:val="clear" w:color="auto" w:fill="auto"/>
            <w:vAlign w:val="center"/>
          </w:tcPr>
          <w:p w14:paraId="2AACFAC8" w14:textId="77777777" w:rsidR="00DA7FF3" w:rsidRPr="00DA7FF3" w:rsidRDefault="00DA7FF3" w:rsidP="00DA7FF3">
            <w:pPr>
              <w:rPr>
                <w:rFonts w:eastAsia="Calibri"/>
                <w:sz w:val="18"/>
                <w:szCs w:val="18"/>
                <w:lang w:eastAsia="en-US"/>
              </w:rPr>
            </w:pPr>
            <w:r w:rsidRPr="00DA7FF3">
              <w:rPr>
                <w:rFonts w:eastAsia="Calibri"/>
                <w:sz w:val="18"/>
                <w:szCs w:val="18"/>
                <w:lang w:eastAsia="en-US"/>
              </w:rPr>
              <w:t>Activo total</w:t>
            </w:r>
          </w:p>
        </w:tc>
        <w:tc>
          <w:tcPr>
            <w:tcW w:w="1103" w:type="dxa"/>
            <w:tcBorders>
              <w:top w:val="single" w:sz="4" w:space="0" w:color="auto"/>
              <w:left w:val="single" w:sz="4" w:space="0" w:color="auto"/>
              <w:right w:val="single" w:sz="4" w:space="0" w:color="auto"/>
            </w:tcBorders>
            <w:shd w:val="clear" w:color="auto" w:fill="auto"/>
            <w:vAlign w:val="center"/>
          </w:tcPr>
          <w:p w14:paraId="491D99A1"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41 589</w:t>
            </w:r>
          </w:p>
        </w:tc>
        <w:tc>
          <w:tcPr>
            <w:tcW w:w="1103" w:type="dxa"/>
            <w:tcBorders>
              <w:top w:val="single" w:sz="4" w:space="0" w:color="auto"/>
              <w:left w:val="single" w:sz="4" w:space="0" w:color="auto"/>
              <w:right w:val="single" w:sz="4" w:space="0" w:color="auto"/>
            </w:tcBorders>
            <w:shd w:val="clear" w:color="auto" w:fill="auto"/>
            <w:vAlign w:val="center"/>
          </w:tcPr>
          <w:p w14:paraId="0F9BA090"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43 152</w:t>
            </w:r>
          </w:p>
        </w:tc>
        <w:tc>
          <w:tcPr>
            <w:tcW w:w="1103" w:type="dxa"/>
            <w:tcBorders>
              <w:top w:val="single" w:sz="4" w:space="0" w:color="auto"/>
              <w:left w:val="single" w:sz="4" w:space="0" w:color="auto"/>
              <w:right w:val="single" w:sz="4" w:space="0" w:color="auto"/>
            </w:tcBorders>
            <w:shd w:val="clear" w:color="auto" w:fill="auto"/>
            <w:vAlign w:val="center"/>
          </w:tcPr>
          <w:p w14:paraId="606B7D71"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43 515</w:t>
            </w:r>
          </w:p>
        </w:tc>
        <w:tc>
          <w:tcPr>
            <w:tcW w:w="1103" w:type="dxa"/>
            <w:tcBorders>
              <w:top w:val="single" w:sz="4" w:space="0" w:color="auto"/>
              <w:left w:val="single" w:sz="4" w:space="0" w:color="auto"/>
              <w:right w:val="single" w:sz="4" w:space="0" w:color="auto"/>
            </w:tcBorders>
            <w:shd w:val="clear" w:color="auto" w:fill="auto"/>
            <w:vAlign w:val="center"/>
          </w:tcPr>
          <w:p w14:paraId="16B83CAF"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4.6</w:t>
            </w:r>
          </w:p>
        </w:tc>
        <w:tc>
          <w:tcPr>
            <w:tcW w:w="1103" w:type="dxa"/>
            <w:tcBorders>
              <w:top w:val="single" w:sz="4" w:space="0" w:color="auto"/>
              <w:left w:val="single" w:sz="4" w:space="0" w:color="auto"/>
              <w:right w:val="single" w:sz="4" w:space="0" w:color="auto"/>
            </w:tcBorders>
            <w:shd w:val="clear" w:color="auto" w:fill="auto"/>
            <w:vAlign w:val="center"/>
          </w:tcPr>
          <w:p w14:paraId="34FCB6E1" w14:textId="77777777" w:rsidR="00DA7FF3" w:rsidRPr="00DA7FF3" w:rsidRDefault="00DA7FF3" w:rsidP="00DA7FF3">
            <w:pPr>
              <w:ind w:right="284"/>
              <w:jc w:val="right"/>
              <w:rPr>
                <w:rFonts w:eastAsia="Calibri"/>
                <w:sz w:val="18"/>
                <w:szCs w:val="18"/>
                <w:lang w:eastAsia="en-US"/>
              </w:rPr>
            </w:pPr>
            <w:r w:rsidRPr="00DA7FF3">
              <w:rPr>
                <w:rFonts w:eastAsia="Calibri"/>
                <w:sz w:val="18"/>
                <w:szCs w:val="18"/>
                <w:lang w:eastAsia="en-US"/>
              </w:rPr>
              <w:t>0.8</w:t>
            </w:r>
          </w:p>
        </w:tc>
      </w:tr>
      <w:tr w:rsidR="00DA7FF3" w:rsidRPr="00DA7FF3" w14:paraId="231D1577"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58997240"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Disponibilidades</w:t>
            </w:r>
          </w:p>
        </w:tc>
        <w:tc>
          <w:tcPr>
            <w:tcW w:w="1103" w:type="dxa"/>
            <w:tcBorders>
              <w:left w:val="single" w:sz="4" w:space="0" w:color="auto"/>
              <w:right w:val="single" w:sz="4" w:space="0" w:color="auto"/>
            </w:tcBorders>
            <w:shd w:val="clear" w:color="auto" w:fill="auto"/>
            <w:vAlign w:val="center"/>
          </w:tcPr>
          <w:p w14:paraId="11C0EAF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1 905</w:t>
            </w:r>
          </w:p>
        </w:tc>
        <w:tc>
          <w:tcPr>
            <w:tcW w:w="1103" w:type="dxa"/>
            <w:tcBorders>
              <w:left w:val="single" w:sz="4" w:space="0" w:color="auto"/>
              <w:right w:val="single" w:sz="4" w:space="0" w:color="auto"/>
            </w:tcBorders>
            <w:shd w:val="clear" w:color="auto" w:fill="auto"/>
            <w:vAlign w:val="center"/>
          </w:tcPr>
          <w:p w14:paraId="3103379D"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1 351</w:t>
            </w:r>
          </w:p>
        </w:tc>
        <w:tc>
          <w:tcPr>
            <w:tcW w:w="1103" w:type="dxa"/>
            <w:tcBorders>
              <w:left w:val="single" w:sz="4" w:space="0" w:color="auto"/>
              <w:right w:val="single" w:sz="4" w:space="0" w:color="auto"/>
            </w:tcBorders>
            <w:shd w:val="clear" w:color="auto" w:fill="auto"/>
            <w:vAlign w:val="center"/>
          </w:tcPr>
          <w:p w14:paraId="63793DC0"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1 891</w:t>
            </w:r>
          </w:p>
        </w:tc>
        <w:tc>
          <w:tcPr>
            <w:tcW w:w="1103" w:type="dxa"/>
            <w:tcBorders>
              <w:left w:val="single" w:sz="4" w:space="0" w:color="auto"/>
              <w:right w:val="single" w:sz="4" w:space="0" w:color="auto"/>
            </w:tcBorders>
            <w:shd w:val="clear" w:color="auto" w:fill="auto"/>
            <w:vAlign w:val="center"/>
          </w:tcPr>
          <w:p w14:paraId="3D42E609"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-0.7</w:t>
            </w:r>
          </w:p>
        </w:tc>
        <w:tc>
          <w:tcPr>
            <w:tcW w:w="1103" w:type="dxa"/>
            <w:tcBorders>
              <w:left w:val="single" w:sz="4" w:space="0" w:color="auto"/>
              <w:right w:val="single" w:sz="4" w:space="0" w:color="auto"/>
            </w:tcBorders>
            <w:shd w:val="clear" w:color="auto" w:fill="auto"/>
            <w:vAlign w:val="center"/>
          </w:tcPr>
          <w:p w14:paraId="4A7FC7B4"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40.0</w:t>
            </w:r>
          </w:p>
        </w:tc>
      </w:tr>
      <w:tr w:rsidR="00DA7FF3" w:rsidRPr="00DA7FF3" w14:paraId="568AA906"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2DCD3E3D"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Inversiones en valores</w:t>
            </w:r>
          </w:p>
        </w:tc>
        <w:tc>
          <w:tcPr>
            <w:tcW w:w="1103" w:type="dxa"/>
            <w:tcBorders>
              <w:left w:val="single" w:sz="4" w:space="0" w:color="auto"/>
              <w:right w:val="single" w:sz="4" w:space="0" w:color="auto"/>
            </w:tcBorders>
            <w:shd w:val="clear" w:color="auto" w:fill="auto"/>
            <w:vAlign w:val="center"/>
          </w:tcPr>
          <w:p w14:paraId="35D972FE"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6 747</w:t>
            </w:r>
          </w:p>
        </w:tc>
        <w:tc>
          <w:tcPr>
            <w:tcW w:w="1103" w:type="dxa"/>
            <w:tcBorders>
              <w:left w:val="single" w:sz="4" w:space="0" w:color="auto"/>
              <w:right w:val="single" w:sz="4" w:space="0" w:color="auto"/>
            </w:tcBorders>
            <w:shd w:val="clear" w:color="auto" w:fill="auto"/>
            <w:vAlign w:val="center"/>
          </w:tcPr>
          <w:p w14:paraId="721D4307"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7 340</w:t>
            </w:r>
          </w:p>
        </w:tc>
        <w:tc>
          <w:tcPr>
            <w:tcW w:w="1103" w:type="dxa"/>
            <w:tcBorders>
              <w:left w:val="single" w:sz="4" w:space="0" w:color="auto"/>
              <w:right w:val="single" w:sz="4" w:space="0" w:color="auto"/>
            </w:tcBorders>
            <w:shd w:val="clear" w:color="auto" w:fill="auto"/>
            <w:vAlign w:val="center"/>
          </w:tcPr>
          <w:p w14:paraId="67A14BB1"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6 828</w:t>
            </w:r>
          </w:p>
        </w:tc>
        <w:tc>
          <w:tcPr>
            <w:tcW w:w="1103" w:type="dxa"/>
            <w:tcBorders>
              <w:left w:val="single" w:sz="4" w:space="0" w:color="auto"/>
              <w:right w:val="single" w:sz="4" w:space="0" w:color="auto"/>
            </w:tcBorders>
            <w:shd w:val="clear" w:color="auto" w:fill="auto"/>
            <w:vAlign w:val="center"/>
          </w:tcPr>
          <w:p w14:paraId="31E1B1B9"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1.2</w:t>
            </w:r>
          </w:p>
        </w:tc>
        <w:tc>
          <w:tcPr>
            <w:tcW w:w="1103" w:type="dxa"/>
            <w:tcBorders>
              <w:left w:val="single" w:sz="4" w:space="0" w:color="auto"/>
              <w:right w:val="single" w:sz="4" w:space="0" w:color="auto"/>
            </w:tcBorders>
            <w:shd w:val="clear" w:color="auto" w:fill="auto"/>
            <w:vAlign w:val="center"/>
          </w:tcPr>
          <w:p w14:paraId="3A6BD9AE"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-7.0</w:t>
            </w:r>
          </w:p>
        </w:tc>
      </w:tr>
      <w:tr w:rsidR="00DA7FF3" w:rsidRPr="00DA7FF3" w14:paraId="72407F27"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20832997"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Cartera de crédito total</w:t>
            </w:r>
          </w:p>
        </w:tc>
        <w:tc>
          <w:tcPr>
            <w:tcW w:w="1103" w:type="dxa"/>
            <w:tcBorders>
              <w:left w:val="single" w:sz="4" w:space="0" w:color="auto"/>
              <w:right w:val="single" w:sz="4" w:space="0" w:color="auto"/>
            </w:tcBorders>
            <w:shd w:val="clear" w:color="auto" w:fill="auto"/>
            <w:vAlign w:val="center"/>
          </w:tcPr>
          <w:p w14:paraId="62DF5A99"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30 926</w:t>
            </w:r>
          </w:p>
        </w:tc>
        <w:tc>
          <w:tcPr>
            <w:tcW w:w="1103" w:type="dxa"/>
            <w:tcBorders>
              <w:left w:val="single" w:sz="4" w:space="0" w:color="auto"/>
              <w:right w:val="single" w:sz="4" w:space="0" w:color="auto"/>
            </w:tcBorders>
            <w:shd w:val="clear" w:color="auto" w:fill="auto"/>
            <w:vAlign w:val="center"/>
          </w:tcPr>
          <w:p w14:paraId="2DA38A22"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32 146</w:t>
            </w:r>
          </w:p>
        </w:tc>
        <w:tc>
          <w:tcPr>
            <w:tcW w:w="1103" w:type="dxa"/>
            <w:tcBorders>
              <w:left w:val="single" w:sz="4" w:space="0" w:color="auto"/>
              <w:right w:val="single" w:sz="4" w:space="0" w:color="auto"/>
            </w:tcBorders>
            <w:shd w:val="clear" w:color="auto" w:fill="auto"/>
            <w:vAlign w:val="center"/>
          </w:tcPr>
          <w:p w14:paraId="75F6F910"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32 423</w:t>
            </w:r>
          </w:p>
        </w:tc>
        <w:tc>
          <w:tcPr>
            <w:tcW w:w="1103" w:type="dxa"/>
            <w:tcBorders>
              <w:left w:val="single" w:sz="4" w:space="0" w:color="auto"/>
              <w:right w:val="single" w:sz="4" w:space="0" w:color="auto"/>
            </w:tcBorders>
            <w:shd w:val="clear" w:color="auto" w:fill="auto"/>
            <w:vAlign w:val="center"/>
          </w:tcPr>
          <w:p w14:paraId="1EBDDC4A"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4.8</w:t>
            </w:r>
          </w:p>
        </w:tc>
        <w:tc>
          <w:tcPr>
            <w:tcW w:w="1103" w:type="dxa"/>
            <w:tcBorders>
              <w:left w:val="single" w:sz="4" w:space="0" w:color="auto"/>
              <w:right w:val="single" w:sz="4" w:space="0" w:color="auto"/>
            </w:tcBorders>
            <w:shd w:val="clear" w:color="auto" w:fill="auto"/>
            <w:vAlign w:val="center"/>
          </w:tcPr>
          <w:p w14:paraId="74B8D7EC"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0.9</w:t>
            </w:r>
          </w:p>
        </w:tc>
      </w:tr>
      <w:tr w:rsidR="00DA7FF3" w:rsidRPr="00DA7FF3" w14:paraId="1B30FCEE"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2F5AF647"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Estimaciones preventivas para riesgo crediticio</w:t>
            </w:r>
          </w:p>
        </w:tc>
        <w:tc>
          <w:tcPr>
            <w:tcW w:w="1103" w:type="dxa"/>
            <w:tcBorders>
              <w:left w:val="single" w:sz="4" w:space="0" w:color="auto"/>
              <w:right w:val="single" w:sz="4" w:space="0" w:color="auto"/>
            </w:tcBorders>
            <w:shd w:val="clear" w:color="auto" w:fill="auto"/>
            <w:vAlign w:val="center"/>
          </w:tcPr>
          <w:p w14:paraId="4FA6C60D"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-762</w:t>
            </w:r>
          </w:p>
        </w:tc>
        <w:tc>
          <w:tcPr>
            <w:tcW w:w="1103" w:type="dxa"/>
            <w:tcBorders>
              <w:left w:val="single" w:sz="4" w:space="0" w:color="auto"/>
              <w:right w:val="single" w:sz="4" w:space="0" w:color="auto"/>
            </w:tcBorders>
            <w:shd w:val="clear" w:color="auto" w:fill="auto"/>
            <w:vAlign w:val="center"/>
          </w:tcPr>
          <w:p w14:paraId="4C08CCC5"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-909</w:t>
            </w:r>
          </w:p>
        </w:tc>
        <w:tc>
          <w:tcPr>
            <w:tcW w:w="1103" w:type="dxa"/>
            <w:tcBorders>
              <w:left w:val="single" w:sz="4" w:space="0" w:color="auto"/>
              <w:right w:val="single" w:sz="4" w:space="0" w:color="auto"/>
            </w:tcBorders>
            <w:shd w:val="clear" w:color="auto" w:fill="auto"/>
            <w:vAlign w:val="center"/>
          </w:tcPr>
          <w:p w14:paraId="08A47890"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-884</w:t>
            </w:r>
          </w:p>
        </w:tc>
        <w:tc>
          <w:tcPr>
            <w:tcW w:w="1103" w:type="dxa"/>
            <w:tcBorders>
              <w:left w:val="single" w:sz="4" w:space="0" w:color="auto"/>
              <w:right w:val="single" w:sz="4" w:space="0" w:color="auto"/>
            </w:tcBorders>
            <w:shd w:val="clear" w:color="auto" w:fill="auto"/>
            <w:vAlign w:val="center"/>
          </w:tcPr>
          <w:p w14:paraId="28B1DB5F"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16.0</w:t>
            </w:r>
          </w:p>
        </w:tc>
        <w:tc>
          <w:tcPr>
            <w:tcW w:w="1103" w:type="dxa"/>
            <w:tcBorders>
              <w:left w:val="single" w:sz="4" w:space="0" w:color="auto"/>
              <w:right w:val="single" w:sz="4" w:space="0" w:color="auto"/>
            </w:tcBorders>
            <w:shd w:val="clear" w:color="auto" w:fill="auto"/>
            <w:vAlign w:val="center"/>
          </w:tcPr>
          <w:p w14:paraId="4A3981AF"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-2.7</w:t>
            </w:r>
          </w:p>
        </w:tc>
      </w:tr>
      <w:tr w:rsidR="00DA7FF3" w:rsidRPr="00DA7FF3" w14:paraId="555E6A42" w14:textId="77777777" w:rsidTr="00DA7FF3">
        <w:trPr>
          <w:trHeight w:val="261"/>
          <w:jc w:val="center"/>
        </w:trPr>
        <w:tc>
          <w:tcPr>
            <w:tcW w:w="3408" w:type="dxa"/>
            <w:tcBorders>
              <w:left w:val="single" w:sz="4" w:space="0" w:color="auto"/>
              <w:right w:val="single" w:sz="4" w:space="0" w:color="auto"/>
            </w:tcBorders>
            <w:shd w:val="clear" w:color="auto" w:fill="auto"/>
            <w:vAlign w:val="center"/>
          </w:tcPr>
          <w:p w14:paraId="4163EE95"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Otras cuentas por cobrar</w:t>
            </w:r>
          </w:p>
        </w:tc>
        <w:tc>
          <w:tcPr>
            <w:tcW w:w="1103" w:type="dxa"/>
            <w:tcBorders>
              <w:left w:val="single" w:sz="4" w:space="0" w:color="auto"/>
              <w:right w:val="single" w:sz="4" w:space="0" w:color="auto"/>
            </w:tcBorders>
            <w:shd w:val="clear" w:color="auto" w:fill="auto"/>
            <w:vAlign w:val="center"/>
          </w:tcPr>
          <w:p w14:paraId="31C4A5D8"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331</w:t>
            </w:r>
          </w:p>
        </w:tc>
        <w:tc>
          <w:tcPr>
            <w:tcW w:w="1103" w:type="dxa"/>
            <w:tcBorders>
              <w:left w:val="single" w:sz="4" w:space="0" w:color="auto"/>
              <w:right w:val="single" w:sz="4" w:space="0" w:color="auto"/>
            </w:tcBorders>
            <w:shd w:val="clear" w:color="auto" w:fill="auto"/>
            <w:vAlign w:val="center"/>
          </w:tcPr>
          <w:p w14:paraId="601B0F88"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535</w:t>
            </w:r>
          </w:p>
        </w:tc>
        <w:tc>
          <w:tcPr>
            <w:tcW w:w="1103" w:type="dxa"/>
            <w:tcBorders>
              <w:left w:val="single" w:sz="4" w:space="0" w:color="auto"/>
              <w:right w:val="single" w:sz="4" w:space="0" w:color="auto"/>
            </w:tcBorders>
            <w:shd w:val="clear" w:color="auto" w:fill="auto"/>
            <w:vAlign w:val="center"/>
          </w:tcPr>
          <w:p w14:paraId="092FB9DD"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470</w:t>
            </w:r>
          </w:p>
        </w:tc>
        <w:tc>
          <w:tcPr>
            <w:tcW w:w="1103" w:type="dxa"/>
            <w:tcBorders>
              <w:left w:val="single" w:sz="4" w:space="0" w:color="auto"/>
              <w:right w:val="single" w:sz="4" w:space="0" w:color="auto"/>
            </w:tcBorders>
            <w:shd w:val="clear" w:color="auto" w:fill="auto"/>
            <w:vAlign w:val="center"/>
          </w:tcPr>
          <w:p w14:paraId="06FA0484"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42.2</w:t>
            </w:r>
          </w:p>
        </w:tc>
        <w:tc>
          <w:tcPr>
            <w:tcW w:w="1103" w:type="dxa"/>
            <w:tcBorders>
              <w:left w:val="single" w:sz="4" w:space="0" w:color="auto"/>
              <w:right w:val="single" w:sz="4" w:space="0" w:color="auto"/>
            </w:tcBorders>
            <w:shd w:val="clear" w:color="auto" w:fill="auto"/>
            <w:vAlign w:val="center"/>
          </w:tcPr>
          <w:p w14:paraId="408BFC64"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-12.1</w:t>
            </w:r>
          </w:p>
        </w:tc>
      </w:tr>
      <w:tr w:rsidR="00DA7FF3" w:rsidRPr="00DA7FF3" w14:paraId="1E1C335F"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221F4F54"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Otros activos</w:t>
            </w:r>
            <w:r w:rsidRPr="00DA7FF3">
              <w:rPr>
                <w:rFonts w:eastAsia="Calibri"/>
                <w:sz w:val="18"/>
                <w:szCs w:val="18"/>
                <w:u w:val="single"/>
                <w:vertAlign w:val="superscript"/>
                <w:lang w:eastAsia="en-US"/>
              </w:rPr>
              <w:t>1</w:t>
            </w:r>
            <w:r w:rsidRPr="00DA7FF3">
              <w:rPr>
                <w:rFonts w:eastAsia="Calibri"/>
                <w:sz w:val="18"/>
                <w:szCs w:val="18"/>
                <w:vertAlign w:val="superscript"/>
                <w:lang w:eastAsia="en-US"/>
              </w:rPr>
              <w:t>/</w:t>
            </w:r>
          </w:p>
        </w:tc>
        <w:tc>
          <w:tcPr>
            <w:tcW w:w="1103" w:type="dxa"/>
            <w:tcBorders>
              <w:left w:val="single" w:sz="4" w:space="0" w:color="auto"/>
              <w:right w:val="single" w:sz="4" w:space="0" w:color="auto"/>
            </w:tcBorders>
            <w:shd w:val="clear" w:color="auto" w:fill="auto"/>
            <w:vAlign w:val="center"/>
          </w:tcPr>
          <w:p w14:paraId="26330BD4"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2 443</w:t>
            </w:r>
          </w:p>
        </w:tc>
        <w:tc>
          <w:tcPr>
            <w:tcW w:w="1103" w:type="dxa"/>
            <w:tcBorders>
              <w:left w:val="single" w:sz="4" w:space="0" w:color="auto"/>
              <w:right w:val="single" w:sz="4" w:space="0" w:color="auto"/>
            </w:tcBorders>
            <w:shd w:val="clear" w:color="auto" w:fill="auto"/>
            <w:vAlign w:val="center"/>
          </w:tcPr>
          <w:p w14:paraId="0F599458"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2 689</w:t>
            </w:r>
          </w:p>
        </w:tc>
        <w:tc>
          <w:tcPr>
            <w:tcW w:w="1103" w:type="dxa"/>
            <w:tcBorders>
              <w:left w:val="single" w:sz="4" w:space="0" w:color="auto"/>
              <w:right w:val="single" w:sz="4" w:space="0" w:color="auto"/>
            </w:tcBorders>
            <w:shd w:val="clear" w:color="auto" w:fill="auto"/>
            <w:vAlign w:val="center"/>
          </w:tcPr>
          <w:p w14:paraId="7A9C9CA7"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2 786</w:t>
            </w:r>
          </w:p>
        </w:tc>
        <w:tc>
          <w:tcPr>
            <w:tcW w:w="1103" w:type="dxa"/>
            <w:tcBorders>
              <w:left w:val="single" w:sz="4" w:space="0" w:color="auto"/>
              <w:right w:val="single" w:sz="4" w:space="0" w:color="auto"/>
            </w:tcBorders>
            <w:shd w:val="clear" w:color="auto" w:fill="auto"/>
            <w:vAlign w:val="center"/>
          </w:tcPr>
          <w:p w14:paraId="6532A4B5"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14.0</w:t>
            </w:r>
          </w:p>
        </w:tc>
        <w:tc>
          <w:tcPr>
            <w:tcW w:w="1103" w:type="dxa"/>
            <w:tcBorders>
              <w:left w:val="single" w:sz="4" w:space="0" w:color="auto"/>
              <w:right w:val="single" w:sz="4" w:space="0" w:color="auto"/>
            </w:tcBorders>
            <w:shd w:val="clear" w:color="auto" w:fill="auto"/>
            <w:vAlign w:val="center"/>
          </w:tcPr>
          <w:p w14:paraId="62E59F46"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3.6</w:t>
            </w:r>
          </w:p>
        </w:tc>
      </w:tr>
      <w:tr w:rsidR="00DA7FF3" w:rsidRPr="00DA7FF3" w14:paraId="6AA93995"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3AEB8F6A" w14:textId="77777777" w:rsidR="00DA7FF3" w:rsidRPr="00DA7FF3" w:rsidRDefault="00DA7FF3" w:rsidP="00DA7FF3">
            <w:pPr>
              <w:rPr>
                <w:rFonts w:eastAsia="Calibri"/>
                <w:sz w:val="18"/>
                <w:szCs w:val="18"/>
                <w:lang w:eastAsia="en-US"/>
              </w:rPr>
            </w:pPr>
            <w:r w:rsidRPr="00DA7FF3">
              <w:rPr>
                <w:rFonts w:eastAsia="Calibri"/>
                <w:sz w:val="18"/>
                <w:szCs w:val="18"/>
                <w:lang w:eastAsia="en-US"/>
              </w:rPr>
              <w:t>Pasivo total</w:t>
            </w:r>
          </w:p>
        </w:tc>
        <w:tc>
          <w:tcPr>
            <w:tcW w:w="1103" w:type="dxa"/>
            <w:tcBorders>
              <w:left w:val="single" w:sz="4" w:space="0" w:color="auto"/>
              <w:right w:val="single" w:sz="4" w:space="0" w:color="auto"/>
            </w:tcBorders>
            <w:shd w:val="clear" w:color="auto" w:fill="auto"/>
            <w:vAlign w:val="center"/>
          </w:tcPr>
          <w:p w14:paraId="79E9AF6B"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35 210</w:t>
            </w:r>
          </w:p>
        </w:tc>
        <w:tc>
          <w:tcPr>
            <w:tcW w:w="1103" w:type="dxa"/>
            <w:tcBorders>
              <w:left w:val="single" w:sz="4" w:space="0" w:color="auto"/>
              <w:right w:val="single" w:sz="4" w:space="0" w:color="auto"/>
            </w:tcBorders>
            <w:shd w:val="clear" w:color="auto" w:fill="auto"/>
            <w:vAlign w:val="center"/>
          </w:tcPr>
          <w:p w14:paraId="14FB9AE1"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36 272</w:t>
            </w:r>
          </w:p>
        </w:tc>
        <w:tc>
          <w:tcPr>
            <w:tcW w:w="1103" w:type="dxa"/>
            <w:tcBorders>
              <w:left w:val="single" w:sz="4" w:space="0" w:color="auto"/>
              <w:right w:val="single" w:sz="4" w:space="0" w:color="auto"/>
            </w:tcBorders>
            <w:shd w:val="clear" w:color="auto" w:fill="auto"/>
            <w:vAlign w:val="center"/>
          </w:tcPr>
          <w:p w14:paraId="137158B9"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36 463</w:t>
            </w:r>
          </w:p>
        </w:tc>
        <w:tc>
          <w:tcPr>
            <w:tcW w:w="1103" w:type="dxa"/>
            <w:tcBorders>
              <w:left w:val="single" w:sz="4" w:space="0" w:color="auto"/>
              <w:right w:val="single" w:sz="4" w:space="0" w:color="auto"/>
            </w:tcBorders>
            <w:shd w:val="clear" w:color="auto" w:fill="auto"/>
            <w:vAlign w:val="center"/>
          </w:tcPr>
          <w:p w14:paraId="7E656069"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3.6</w:t>
            </w:r>
          </w:p>
        </w:tc>
        <w:tc>
          <w:tcPr>
            <w:tcW w:w="1103" w:type="dxa"/>
            <w:tcBorders>
              <w:left w:val="single" w:sz="4" w:space="0" w:color="auto"/>
              <w:right w:val="single" w:sz="4" w:space="0" w:color="auto"/>
            </w:tcBorders>
            <w:shd w:val="clear" w:color="auto" w:fill="auto"/>
            <w:vAlign w:val="center"/>
          </w:tcPr>
          <w:p w14:paraId="1230869F" w14:textId="77777777" w:rsidR="00DA7FF3" w:rsidRPr="00DA7FF3" w:rsidRDefault="00DA7FF3" w:rsidP="00DA7FF3">
            <w:pPr>
              <w:ind w:right="284"/>
              <w:jc w:val="right"/>
              <w:rPr>
                <w:rFonts w:eastAsia="Calibri"/>
                <w:sz w:val="18"/>
                <w:szCs w:val="18"/>
                <w:lang w:eastAsia="en-US"/>
              </w:rPr>
            </w:pPr>
            <w:r w:rsidRPr="00DA7FF3">
              <w:rPr>
                <w:rFonts w:eastAsia="Calibri"/>
                <w:sz w:val="18"/>
                <w:szCs w:val="18"/>
                <w:lang w:eastAsia="en-US"/>
              </w:rPr>
              <w:t>0.5</w:t>
            </w:r>
          </w:p>
        </w:tc>
      </w:tr>
      <w:tr w:rsidR="00DA7FF3" w:rsidRPr="00DA7FF3" w14:paraId="3CED6352"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7912EF54"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Préstamos bancarios, de socios y otros organismos</w:t>
            </w:r>
          </w:p>
        </w:tc>
        <w:tc>
          <w:tcPr>
            <w:tcW w:w="1103" w:type="dxa"/>
            <w:tcBorders>
              <w:left w:val="single" w:sz="4" w:space="0" w:color="auto"/>
              <w:right w:val="single" w:sz="4" w:space="0" w:color="auto"/>
            </w:tcBorders>
            <w:shd w:val="clear" w:color="auto" w:fill="auto"/>
            <w:vAlign w:val="center"/>
          </w:tcPr>
          <w:p w14:paraId="6674606D"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34 435</w:t>
            </w:r>
          </w:p>
        </w:tc>
        <w:tc>
          <w:tcPr>
            <w:tcW w:w="1103" w:type="dxa"/>
            <w:tcBorders>
              <w:left w:val="single" w:sz="4" w:space="0" w:color="auto"/>
              <w:right w:val="single" w:sz="4" w:space="0" w:color="auto"/>
            </w:tcBorders>
            <w:shd w:val="clear" w:color="auto" w:fill="auto"/>
            <w:vAlign w:val="center"/>
          </w:tcPr>
          <w:p w14:paraId="19A419A1"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35 480</w:t>
            </w:r>
          </w:p>
        </w:tc>
        <w:tc>
          <w:tcPr>
            <w:tcW w:w="1103" w:type="dxa"/>
            <w:tcBorders>
              <w:left w:val="single" w:sz="4" w:space="0" w:color="auto"/>
              <w:right w:val="single" w:sz="4" w:space="0" w:color="auto"/>
            </w:tcBorders>
            <w:shd w:val="clear" w:color="auto" w:fill="auto"/>
            <w:vAlign w:val="center"/>
          </w:tcPr>
          <w:p w14:paraId="4777FBC5"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35 676</w:t>
            </w:r>
          </w:p>
        </w:tc>
        <w:tc>
          <w:tcPr>
            <w:tcW w:w="1103" w:type="dxa"/>
            <w:tcBorders>
              <w:left w:val="single" w:sz="4" w:space="0" w:color="auto"/>
              <w:right w:val="single" w:sz="4" w:space="0" w:color="auto"/>
            </w:tcBorders>
            <w:shd w:val="clear" w:color="auto" w:fill="auto"/>
            <w:vAlign w:val="center"/>
          </w:tcPr>
          <w:p w14:paraId="61029CF1"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3.6</w:t>
            </w:r>
          </w:p>
        </w:tc>
        <w:tc>
          <w:tcPr>
            <w:tcW w:w="1103" w:type="dxa"/>
            <w:tcBorders>
              <w:left w:val="single" w:sz="4" w:space="0" w:color="auto"/>
              <w:right w:val="single" w:sz="4" w:space="0" w:color="auto"/>
            </w:tcBorders>
            <w:shd w:val="clear" w:color="auto" w:fill="auto"/>
            <w:vAlign w:val="center"/>
          </w:tcPr>
          <w:p w14:paraId="3C4BA45D"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0.6</w:t>
            </w:r>
          </w:p>
        </w:tc>
      </w:tr>
      <w:tr w:rsidR="00DA7FF3" w:rsidRPr="00DA7FF3" w14:paraId="5895690E"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7A080AF7"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Otras cuentas por pagar</w:t>
            </w:r>
          </w:p>
        </w:tc>
        <w:tc>
          <w:tcPr>
            <w:tcW w:w="1103" w:type="dxa"/>
            <w:tcBorders>
              <w:left w:val="single" w:sz="4" w:space="0" w:color="auto"/>
              <w:right w:val="single" w:sz="4" w:space="0" w:color="auto"/>
            </w:tcBorders>
            <w:shd w:val="clear" w:color="auto" w:fill="auto"/>
            <w:vAlign w:val="center"/>
          </w:tcPr>
          <w:p w14:paraId="21999F31"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687</w:t>
            </w:r>
          </w:p>
        </w:tc>
        <w:tc>
          <w:tcPr>
            <w:tcW w:w="1103" w:type="dxa"/>
            <w:tcBorders>
              <w:left w:val="single" w:sz="4" w:space="0" w:color="auto"/>
              <w:right w:val="single" w:sz="4" w:space="0" w:color="auto"/>
            </w:tcBorders>
            <w:shd w:val="clear" w:color="auto" w:fill="auto"/>
            <w:vAlign w:val="center"/>
          </w:tcPr>
          <w:p w14:paraId="1D7CDF3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665</w:t>
            </w:r>
          </w:p>
        </w:tc>
        <w:tc>
          <w:tcPr>
            <w:tcW w:w="1103" w:type="dxa"/>
            <w:tcBorders>
              <w:left w:val="single" w:sz="4" w:space="0" w:color="auto"/>
              <w:right w:val="single" w:sz="4" w:space="0" w:color="auto"/>
            </w:tcBorders>
            <w:shd w:val="clear" w:color="auto" w:fill="auto"/>
            <w:vAlign w:val="center"/>
          </w:tcPr>
          <w:p w14:paraId="5A8BEE3C"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655</w:t>
            </w:r>
          </w:p>
        </w:tc>
        <w:tc>
          <w:tcPr>
            <w:tcW w:w="1103" w:type="dxa"/>
            <w:tcBorders>
              <w:left w:val="single" w:sz="4" w:space="0" w:color="auto"/>
              <w:right w:val="single" w:sz="4" w:space="0" w:color="auto"/>
            </w:tcBorders>
            <w:shd w:val="clear" w:color="auto" w:fill="auto"/>
            <w:vAlign w:val="center"/>
          </w:tcPr>
          <w:p w14:paraId="453F68E9"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-4.6</w:t>
            </w:r>
          </w:p>
        </w:tc>
        <w:tc>
          <w:tcPr>
            <w:tcW w:w="1103" w:type="dxa"/>
            <w:tcBorders>
              <w:left w:val="single" w:sz="4" w:space="0" w:color="auto"/>
              <w:right w:val="single" w:sz="4" w:space="0" w:color="auto"/>
            </w:tcBorders>
            <w:shd w:val="clear" w:color="auto" w:fill="auto"/>
            <w:vAlign w:val="center"/>
          </w:tcPr>
          <w:p w14:paraId="2CA888D0"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-1.5</w:t>
            </w:r>
          </w:p>
        </w:tc>
      </w:tr>
      <w:tr w:rsidR="00DA7FF3" w:rsidRPr="00DA7FF3" w14:paraId="728899AE" w14:textId="77777777" w:rsidTr="00DA7FF3">
        <w:trPr>
          <w:trHeight w:val="271"/>
          <w:jc w:val="center"/>
        </w:trPr>
        <w:tc>
          <w:tcPr>
            <w:tcW w:w="3408" w:type="dxa"/>
            <w:tcBorders>
              <w:left w:val="single" w:sz="4" w:space="0" w:color="auto"/>
              <w:right w:val="single" w:sz="4" w:space="0" w:color="auto"/>
            </w:tcBorders>
            <w:shd w:val="clear" w:color="auto" w:fill="auto"/>
            <w:vAlign w:val="center"/>
          </w:tcPr>
          <w:p w14:paraId="76EC2196"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Otros pasivos</w:t>
            </w:r>
            <w:r w:rsidRPr="00DA7FF3">
              <w:rPr>
                <w:rFonts w:eastAsia="Calibri"/>
                <w:sz w:val="18"/>
                <w:szCs w:val="18"/>
                <w:u w:val="single"/>
                <w:vertAlign w:val="superscript"/>
                <w:lang w:eastAsia="en-US"/>
              </w:rPr>
              <w:t>2</w:t>
            </w:r>
            <w:r w:rsidRPr="00DA7FF3">
              <w:rPr>
                <w:rFonts w:eastAsia="Calibri"/>
                <w:sz w:val="18"/>
                <w:szCs w:val="18"/>
                <w:vertAlign w:val="superscript"/>
                <w:lang w:eastAsia="en-US"/>
              </w:rPr>
              <w:t>/</w:t>
            </w:r>
          </w:p>
        </w:tc>
        <w:tc>
          <w:tcPr>
            <w:tcW w:w="1103" w:type="dxa"/>
            <w:tcBorders>
              <w:left w:val="single" w:sz="4" w:space="0" w:color="auto"/>
              <w:right w:val="single" w:sz="4" w:space="0" w:color="auto"/>
            </w:tcBorders>
            <w:shd w:val="clear" w:color="auto" w:fill="auto"/>
            <w:vAlign w:val="center"/>
          </w:tcPr>
          <w:p w14:paraId="5BD1801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88</w:t>
            </w:r>
          </w:p>
        </w:tc>
        <w:tc>
          <w:tcPr>
            <w:tcW w:w="1103" w:type="dxa"/>
            <w:tcBorders>
              <w:left w:val="single" w:sz="4" w:space="0" w:color="auto"/>
              <w:right w:val="single" w:sz="4" w:space="0" w:color="auto"/>
            </w:tcBorders>
            <w:shd w:val="clear" w:color="auto" w:fill="auto"/>
            <w:vAlign w:val="center"/>
          </w:tcPr>
          <w:p w14:paraId="0F2BAAEE"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127</w:t>
            </w:r>
          </w:p>
        </w:tc>
        <w:tc>
          <w:tcPr>
            <w:tcW w:w="1103" w:type="dxa"/>
            <w:tcBorders>
              <w:left w:val="single" w:sz="4" w:space="0" w:color="auto"/>
              <w:right w:val="single" w:sz="4" w:space="0" w:color="auto"/>
            </w:tcBorders>
            <w:shd w:val="clear" w:color="auto" w:fill="auto"/>
            <w:vAlign w:val="center"/>
          </w:tcPr>
          <w:p w14:paraId="19492542"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131</w:t>
            </w:r>
          </w:p>
        </w:tc>
        <w:tc>
          <w:tcPr>
            <w:tcW w:w="1103" w:type="dxa"/>
            <w:tcBorders>
              <w:left w:val="single" w:sz="4" w:space="0" w:color="auto"/>
              <w:right w:val="single" w:sz="4" w:space="0" w:color="auto"/>
            </w:tcBorders>
            <w:shd w:val="clear" w:color="auto" w:fill="auto"/>
            <w:vAlign w:val="center"/>
          </w:tcPr>
          <w:p w14:paraId="262722AE"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48.9</w:t>
            </w:r>
          </w:p>
        </w:tc>
        <w:tc>
          <w:tcPr>
            <w:tcW w:w="1103" w:type="dxa"/>
            <w:tcBorders>
              <w:left w:val="single" w:sz="4" w:space="0" w:color="auto"/>
              <w:right w:val="single" w:sz="4" w:space="0" w:color="auto"/>
            </w:tcBorders>
            <w:shd w:val="clear" w:color="auto" w:fill="auto"/>
            <w:vAlign w:val="center"/>
          </w:tcPr>
          <w:p w14:paraId="466A2E8C"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3.4</w:t>
            </w:r>
          </w:p>
        </w:tc>
      </w:tr>
      <w:tr w:rsidR="00DA7FF3" w:rsidRPr="00DA7FF3" w14:paraId="221D40E5" w14:textId="77777777" w:rsidTr="00DA7FF3">
        <w:trPr>
          <w:trHeight w:val="261"/>
          <w:jc w:val="center"/>
        </w:trPr>
        <w:tc>
          <w:tcPr>
            <w:tcW w:w="3408" w:type="dxa"/>
            <w:tcBorders>
              <w:left w:val="single" w:sz="4" w:space="0" w:color="auto"/>
              <w:right w:val="single" w:sz="4" w:space="0" w:color="auto"/>
            </w:tcBorders>
            <w:shd w:val="clear" w:color="auto" w:fill="auto"/>
            <w:vAlign w:val="center"/>
          </w:tcPr>
          <w:p w14:paraId="7D7CACD5" w14:textId="77777777" w:rsidR="00DA7FF3" w:rsidRPr="00DA7FF3" w:rsidRDefault="00DA7FF3" w:rsidP="00DA7FF3">
            <w:pPr>
              <w:rPr>
                <w:rFonts w:eastAsia="Calibri"/>
                <w:sz w:val="18"/>
                <w:szCs w:val="18"/>
                <w:lang w:eastAsia="en-US"/>
              </w:rPr>
            </w:pPr>
            <w:r w:rsidRPr="00DA7FF3">
              <w:rPr>
                <w:rFonts w:eastAsia="Calibri"/>
                <w:sz w:val="18"/>
                <w:szCs w:val="18"/>
                <w:lang w:eastAsia="en-US"/>
              </w:rPr>
              <w:t>Capital contable</w:t>
            </w:r>
          </w:p>
        </w:tc>
        <w:tc>
          <w:tcPr>
            <w:tcW w:w="1103" w:type="dxa"/>
            <w:tcBorders>
              <w:left w:val="single" w:sz="4" w:space="0" w:color="auto"/>
              <w:right w:val="single" w:sz="4" w:space="0" w:color="auto"/>
            </w:tcBorders>
            <w:shd w:val="clear" w:color="auto" w:fill="auto"/>
            <w:vAlign w:val="center"/>
          </w:tcPr>
          <w:p w14:paraId="32FF54B3"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6 379</w:t>
            </w:r>
          </w:p>
        </w:tc>
        <w:tc>
          <w:tcPr>
            <w:tcW w:w="1103" w:type="dxa"/>
            <w:tcBorders>
              <w:left w:val="single" w:sz="4" w:space="0" w:color="auto"/>
              <w:right w:val="single" w:sz="4" w:space="0" w:color="auto"/>
            </w:tcBorders>
            <w:shd w:val="clear" w:color="auto" w:fill="auto"/>
            <w:vAlign w:val="center"/>
          </w:tcPr>
          <w:p w14:paraId="08613178"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6 879</w:t>
            </w:r>
          </w:p>
        </w:tc>
        <w:tc>
          <w:tcPr>
            <w:tcW w:w="1103" w:type="dxa"/>
            <w:tcBorders>
              <w:left w:val="single" w:sz="4" w:space="0" w:color="auto"/>
              <w:right w:val="single" w:sz="4" w:space="0" w:color="auto"/>
            </w:tcBorders>
            <w:shd w:val="clear" w:color="auto" w:fill="auto"/>
            <w:vAlign w:val="center"/>
          </w:tcPr>
          <w:p w14:paraId="13B3854A"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7 052</w:t>
            </w:r>
          </w:p>
        </w:tc>
        <w:tc>
          <w:tcPr>
            <w:tcW w:w="1103" w:type="dxa"/>
            <w:tcBorders>
              <w:left w:val="single" w:sz="4" w:space="0" w:color="auto"/>
              <w:right w:val="single" w:sz="4" w:space="0" w:color="auto"/>
            </w:tcBorders>
            <w:shd w:val="clear" w:color="auto" w:fill="auto"/>
            <w:vAlign w:val="center"/>
          </w:tcPr>
          <w:p w14:paraId="690D204D"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10.6</w:t>
            </w:r>
          </w:p>
        </w:tc>
        <w:tc>
          <w:tcPr>
            <w:tcW w:w="1103" w:type="dxa"/>
            <w:tcBorders>
              <w:left w:val="single" w:sz="4" w:space="0" w:color="auto"/>
              <w:right w:val="single" w:sz="4" w:space="0" w:color="auto"/>
            </w:tcBorders>
            <w:shd w:val="clear" w:color="auto" w:fill="auto"/>
            <w:vAlign w:val="center"/>
          </w:tcPr>
          <w:p w14:paraId="379D218F" w14:textId="77777777" w:rsidR="00DA7FF3" w:rsidRPr="00DA7FF3" w:rsidRDefault="00DA7FF3" w:rsidP="00DA7FF3">
            <w:pPr>
              <w:ind w:right="284"/>
              <w:jc w:val="right"/>
              <w:rPr>
                <w:rFonts w:eastAsia="Calibri"/>
                <w:sz w:val="18"/>
                <w:szCs w:val="18"/>
                <w:lang w:eastAsia="en-US"/>
              </w:rPr>
            </w:pPr>
            <w:r w:rsidRPr="00DA7FF3">
              <w:rPr>
                <w:rFonts w:eastAsia="Calibri"/>
                <w:sz w:val="18"/>
                <w:szCs w:val="18"/>
                <w:lang w:eastAsia="en-US"/>
              </w:rPr>
              <w:t>2.5</w:t>
            </w:r>
          </w:p>
        </w:tc>
      </w:tr>
      <w:tr w:rsidR="00DA7FF3" w:rsidRPr="00DA7FF3" w14:paraId="2E6207FA" w14:textId="77777777" w:rsidTr="00DA7FF3">
        <w:trPr>
          <w:trHeight w:val="261"/>
          <w:jc w:val="center"/>
        </w:trPr>
        <w:tc>
          <w:tcPr>
            <w:tcW w:w="3408" w:type="dxa"/>
            <w:tcBorders>
              <w:left w:val="single" w:sz="4" w:space="0" w:color="auto"/>
              <w:right w:val="single" w:sz="4" w:space="0" w:color="auto"/>
            </w:tcBorders>
            <w:shd w:val="clear" w:color="auto" w:fill="auto"/>
            <w:vAlign w:val="center"/>
          </w:tcPr>
          <w:p w14:paraId="574F51C7"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Capital contribuido</w:t>
            </w:r>
          </w:p>
        </w:tc>
        <w:tc>
          <w:tcPr>
            <w:tcW w:w="1103" w:type="dxa"/>
            <w:tcBorders>
              <w:left w:val="single" w:sz="4" w:space="0" w:color="auto"/>
              <w:right w:val="single" w:sz="4" w:space="0" w:color="auto"/>
            </w:tcBorders>
            <w:shd w:val="clear" w:color="auto" w:fill="auto"/>
            <w:vAlign w:val="center"/>
          </w:tcPr>
          <w:p w14:paraId="19012F2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5 933</w:t>
            </w:r>
          </w:p>
        </w:tc>
        <w:tc>
          <w:tcPr>
            <w:tcW w:w="1103" w:type="dxa"/>
            <w:tcBorders>
              <w:left w:val="single" w:sz="4" w:space="0" w:color="auto"/>
              <w:right w:val="single" w:sz="4" w:space="0" w:color="auto"/>
            </w:tcBorders>
            <w:shd w:val="clear" w:color="auto" w:fill="auto"/>
            <w:vAlign w:val="center"/>
          </w:tcPr>
          <w:p w14:paraId="5D7B1900"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6 069</w:t>
            </w:r>
          </w:p>
        </w:tc>
        <w:tc>
          <w:tcPr>
            <w:tcW w:w="1103" w:type="dxa"/>
            <w:tcBorders>
              <w:left w:val="single" w:sz="4" w:space="0" w:color="auto"/>
              <w:right w:val="single" w:sz="4" w:space="0" w:color="auto"/>
            </w:tcBorders>
            <w:shd w:val="clear" w:color="auto" w:fill="auto"/>
            <w:vAlign w:val="center"/>
          </w:tcPr>
          <w:p w14:paraId="567AFE6C"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5 962</w:t>
            </w:r>
          </w:p>
        </w:tc>
        <w:tc>
          <w:tcPr>
            <w:tcW w:w="1103" w:type="dxa"/>
            <w:tcBorders>
              <w:left w:val="single" w:sz="4" w:space="0" w:color="auto"/>
              <w:right w:val="single" w:sz="4" w:space="0" w:color="auto"/>
            </w:tcBorders>
            <w:shd w:val="clear" w:color="auto" w:fill="auto"/>
            <w:vAlign w:val="center"/>
          </w:tcPr>
          <w:p w14:paraId="477F64E1"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0.5</w:t>
            </w:r>
          </w:p>
        </w:tc>
        <w:tc>
          <w:tcPr>
            <w:tcW w:w="1103" w:type="dxa"/>
            <w:tcBorders>
              <w:left w:val="single" w:sz="4" w:space="0" w:color="auto"/>
              <w:right w:val="single" w:sz="4" w:space="0" w:color="auto"/>
            </w:tcBorders>
            <w:shd w:val="clear" w:color="auto" w:fill="auto"/>
            <w:vAlign w:val="center"/>
          </w:tcPr>
          <w:p w14:paraId="7D4DD7F0"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-1.8</w:t>
            </w:r>
          </w:p>
        </w:tc>
      </w:tr>
      <w:tr w:rsidR="00DA7FF3" w:rsidRPr="00DA7FF3" w14:paraId="54A9D59F" w14:textId="77777777" w:rsidTr="00DA7FF3">
        <w:trPr>
          <w:trHeight w:val="261"/>
          <w:jc w:val="center"/>
        </w:trPr>
        <w:tc>
          <w:tcPr>
            <w:tcW w:w="3408" w:type="dxa"/>
            <w:tcBorders>
              <w:left w:val="single" w:sz="4" w:space="0" w:color="auto"/>
              <w:bottom w:val="single" w:sz="4" w:space="0" w:color="auto"/>
              <w:right w:val="single" w:sz="4" w:space="0" w:color="auto"/>
            </w:tcBorders>
            <w:shd w:val="clear" w:color="auto" w:fill="auto"/>
            <w:vAlign w:val="center"/>
          </w:tcPr>
          <w:p w14:paraId="01D8C9FB"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Capital ganado</w:t>
            </w:r>
          </w:p>
        </w:tc>
        <w:tc>
          <w:tcPr>
            <w:tcW w:w="1103" w:type="dxa"/>
            <w:tcBorders>
              <w:left w:val="single" w:sz="4" w:space="0" w:color="auto"/>
              <w:bottom w:val="single" w:sz="4" w:space="0" w:color="auto"/>
              <w:right w:val="single" w:sz="4" w:space="0" w:color="auto"/>
            </w:tcBorders>
            <w:shd w:val="clear" w:color="auto" w:fill="auto"/>
            <w:vAlign w:val="center"/>
          </w:tcPr>
          <w:p w14:paraId="74C9529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446</w:t>
            </w:r>
          </w:p>
        </w:tc>
        <w:tc>
          <w:tcPr>
            <w:tcW w:w="1103" w:type="dxa"/>
            <w:tcBorders>
              <w:left w:val="single" w:sz="4" w:space="0" w:color="auto"/>
              <w:bottom w:val="single" w:sz="4" w:space="0" w:color="auto"/>
              <w:right w:val="single" w:sz="4" w:space="0" w:color="auto"/>
            </w:tcBorders>
            <w:shd w:val="clear" w:color="auto" w:fill="auto"/>
            <w:vAlign w:val="center"/>
          </w:tcPr>
          <w:p w14:paraId="6A722B5E"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810</w:t>
            </w:r>
          </w:p>
        </w:tc>
        <w:tc>
          <w:tcPr>
            <w:tcW w:w="1103" w:type="dxa"/>
            <w:tcBorders>
              <w:left w:val="single" w:sz="4" w:space="0" w:color="auto"/>
              <w:bottom w:val="single" w:sz="4" w:space="0" w:color="auto"/>
              <w:right w:val="single" w:sz="4" w:space="0" w:color="auto"/>
            </w:tcBorders>
            <w:shd w:val="clear" w:color="auto" w:fill="auto"/>
            <w:vAlign w:val="center"/>
          </w:tcPr>
          <w:p w14:paraId="38F6B50D"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1 090</w:t>
            </w:r>
          </w:p>
        </w:tc>
        <w:tc>
          <w:tcPr>
            <w:tcW w:w="1103" w:type="dxa"/>
            <w:tcBorders>
              <w:left w:val="single" w:sz="4" w:space="0" w:color="auto"/>
              <w:bottom w:val="single" w:sz="4" w:space="0" w:color="auto"/>
              <w:right w:val="single" w:sz="4" w:space="0" w:color="auto"/>
            </w:tcBorders>
            <w:shd w:val="clear" w:color="auto" w:fill="auto"/>
            <w:vAlign w:val="center"/>
          </w:tcPr>
          <w:p w14:paraId="6B8C8FE2"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144.6</w:t>
            </w:r>
          </w:p>
        </w:tc>
        <w:tc>
          <w:tcPr>
            <w:tcW w:w="1103" w:type="dxa"/>
            <w:tcBorders>
              <w:left w:val="single" w:sz="4" w:space="0" w:color="auto"/>
              <w:bottom w:val="single" w:sz="4" w:space="0" w:color="auto"/>
              <w:right w:val="single" w:sz="4" w:space="0" w:color="auto"/>
            </w:tcBorders>
            <w:shd w:val="clear" w:color="auto" w:fill="auto"/>
            <w:vAlign w:val="center"/>
          </w:tcPr>
          <w:p w14:paraId="0A78BAFB" w14:textId="77777777" w:rsidR="00DA7FF3" w:rsidRPr="00DA7FF3" w:rsidRDefault="00DA7FF3" w:rsidP="00DA7FF3">
            <w:pPr>
              <w:ind w:right="284"/>
              <w:jc w:val="right"/>
              <w:rPr>
                <w:rFonts w:eastAsia="Calibri"/>
                <w:b/>
                <w:sz w:val="18"/>
                <w:szCs w:val="18"/>
                <w:lang w:eastAsia="en-US"/>
              </w:rPr>
            </w:pPr>
            <w:r w:rsidRPr="00DA7FF3">
              <w:rPr>
                <w:rFonts w:eastAsia="Calibri"/>
                <w:sz w:val="18"/>
                <w:szCs w:val="18"/>
                <w:lang w:eastAsia="en-US"/>
              </w:rPr>
              <w:t>34.5</w:t>
            </w:r>
          </w:p>
        </w:tc>
      </w:tr>
      <w:tr w:rsidR="00DA7FF3" w:rsidRPr="00DA7FF3" w14:paraId="1985F778" w14:textId="77777777" w:rsidTr="00DA7FF3">
        <w:tblPrEx>
          <w:tblBorders>
            <w:top w:val="single" w:sz="8" w:space="0" w:color="9BBB59"/>
          </w:tblBorders>
        </w:tblPrEx>
        <w:trPr>
          <w:trHeight w:val="261"/>
          <w:jc w:val="center"/>
        </w:trPr>
        <w:tc>
          <w:tcPr>
            <w:tcW w:w="8923" w:type="dxa"/>
            <w:gridSpan w:val="6"/>
            <w:tcBorders>
              <w:top w:val="single" w:sz="4" w:space="0" w:color="auto"/>
            </w:tcBorders>
            <w:shd w:val="clear" w:color="auto" w:fill="auto"/>
            <w:vAlign w:val="center"/>
          </w:tcPr>
          <w:p w14:paraId="12751592" w14:textId="77777777" w:rsidR="00DA7FF3" w:rsidRPr="00DA7FF3" w:rsidRDefault="00DA7FF3" w:rsidP="00DA7FF3">
            <w:pPr>
              <w:ind w:left="284" w:hanging="284"/>
              <w:rPr>
                <w:rFonts w:eastAsia="Calibri"/>
                <w:b/>
                <w:sz w:val="18"/>
                <w:szCs w:val="18"/>
                <w:lang w:eastAsia="en-US"/>
              </w:rPr>
            </w:pPr>
            <w:r w:rsidRPr="00DA7FF3">
              <w:rPr>
                <w:rFonts w:eastAsia="Calibri"/>
                <w:sz w:val="18"/>
                <w:szCs w:val="18"/>
                <w:u w:val="single"/>
                <w:lang w:eastAsia="en-US"/>
              </w:rPr>
              <w:t>1</w:t>
            </w:r>
            <w:r w:rsidRPr="00DA7FF3">
              <w:rPr>
                <w:rFonts w:eastAsia="Calibri"/>
                <w:sz w:val="18"/>
                <w:szCs w:val="18"/>
                <w:lang w:eastAsia="en-US"/>
              </w:rPr>
              <w:t>/  Incluye inventario de mercancías, bienes adjudicados, inmuebles, mobiliario y equipo, inversiones permanentes, impuestos y PTU diferidos (a favor) y otros activos.</w:t>
            </w:r>
          </w:p>
          <w:p w14:paraId="30C94F97" w14:textId="77777777" w:rsidR="00DA7FF3" w:rsidRPr="00DA7FF3" w:rsidRDefault="00DA7FF3" w:rsidP="00DA7FF3">
            <w:pPr>
              <w:ind w:left="284" w:hanging="284"/>
              <w:rPr>
                <w:rFonts w:eastAsia="Calibri"/>
                <w:b/>
                <w:sz w:val="18"/>
                <w:szCs w:val="18"/>
                <w:lang w:eastAsia="en-US"/>
              </w:rPr>
            </w:pPr>
            <w:r w:rsidRPr="00DA7FF3">
              <w:rPr>
                <w:rFonts w:eastAsia="Calibri"/>
                <w:sz w:val="18"/>
                <w:szCs w:val="18"/>
                <w:u w:val="single"/>
                <w:lang w:eastAsia="en-US"/>
              </w:rPr>
              <w:t>2</w:t>
            </w:r>
            <w:r w:rsidRPr="00DA7FF3">
              <w:rPr>
                <w:rFonts w:eastAsia="Calibri"/>
                <w:sz w:val="18"/>
                <w:szCs w:val="18"/>
                <w:lang w:eastAsia="en-US"/>
              </w:rPr>
              <w:t>/   Incluye impuestos y PTU diferidos (a cargo) y créditos diferidos y cobros anticipados.</w:t>
            </w:r>
          </w:p>
          <w:p w14:paraId="35FF2D9F" w14:textId="77777777" w:rsidR="00DA7FF3" w:rsidRPr="00DA7FF3" w:rsidRDefault="00DA7FF3" w:rsidP="00DA7FF3">
            <w:pPr>
              <w:ind w:left="113" w:hanging="170"/>
              <w:rPr>
                <w:rFonts w:eastAsia="Calibri"/>
                <w:b/>
                <w:sz w:val="18"/>
                <w:szCs w:val="18"/>
                <w:lang w:eastAsia="en-US"/>
              </w:rPr>
            </w:pPr>
            <w:r w:rsidRPr="00DA7FF3">
              <w:rPr>
                <w:rFonts w:eastAsia="Calibri"/>
                <w:sz w:val="18"/>
                <w:szCs w:val="18"/>
                <w:lang w:eastAsia="en-US"/>
              </w:rPr>
              <w:t>FUENTE: CNBV.</w:t>
            </w:r>
          </w:p>
        </w:tc>
      </w:tr>
    </w:tbl>
    <w:p w14:paraId="43736DBE" w14:textId="77777777" w:rsidR="00DA7FF3" w:rsidRPr="00DA7FF3" w:rsidRDefault="00DA7FF3" w:rsidP="00DA7FF3">
      <w:pPr>
        <w:spacing w:after="360" w:line="360" w:lineRule="auto"/>
        <w:ind w:left="227" w:right="-159"/>
        <w:jc w:val="both"/>
        <w:rPr>
          <w:rFonts w:eastAsia="Calibri"/>
          <w:sz w:val="26"/>
          <w:szCs w:val="26"/>
          <w:lang w:eastAsia="en-US"/>
        </w:rPr>
      </w:pPr>
    </w:p>
    <w:p w14:paraId="3E45DFE0" w14:textId="36B2791D"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El saldo de los pasivos ascendió a 36 mil 463 mdp</w:t>
      </w:r>
      <w:r w:rsidR="009E5D36">
        <w:rPr>
          <w:rFonts w:eastAsia="Calibri"/>
          <w:sz w:val="26"/>
          <w:szCs w:val="26"/>
          <w:lang w:eastAsia="en-US"/>
        </w:rPr>
        <w:t>,</w:t>
      </w:r>
      <w:r w:rsidRPr="00DA7FF3">
        <w:rPr>
          <w:rFonts w:eastAsia="Calibri"/>
          <w:sz w:val="26"/>
          <w:szCs w:val="26"/>
          <w:lang w:eastAsia="en-US"/>
        </w:rPr>
        <w:t xml:space="preserve"> lo que representó un incremento anual de 3.6%. Los préstamos bancarios de socios y de otros organismos conformaron 97.8% del pasivo total, alcanzando un saldo de 35 mil 676 mdp y un aumento anual de 3.6 por ciento.</w:t>
      </w:r>
    </w:p>
    <w:p w14:paraId="19AA63A7"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El capital contable del sector fue de 7 mil 52 mdp, monto superior en 10.6% al de diciembre de 2013. El capital contribuido tuvo una participación de 84.5% con un saldo de 5 mil 962 mdp, mayor en 0.5% en términos anuales. El capital ganado alcanzó una cifra de 1 mil 90 mdp y representó 15.5% restante del capital contable, con un aumento anual de 144.6 por ciento.</w:t>
      </w:r>
    </w:p>
    <w:p w14:paraId="38BDB7E3"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La razón de capital contable sobre activo total a diciembre 2014 fue 16.2%, mientras que en el mismo mes de 2013 fue 15.3 por ciento.</w:t>
      </w:r>
    </w:p>
    <w:p w14:paraId="61445E79"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lastRenderedPageBreak/>
        <w:t>Cartera de crédito</w:t>
      </w:r>
    </w:p>
    <w:p w14:paraId="16E92E16"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La cartera de crédito total alcanzó un saldo de 32 mil 423 mdp. Los créditos documentados con otras garantías (diferentes a inmobiliarias) conformaron el 49.1% de la cartera total, con 15 mil 925 mdp y un crecimiento anual de 3.6%. Por su parte, los créditos documentados con garantía inmobiliaria representaron 42.4% del total de la cartera de crédito con una cifra de 13 mil 749 mdp, 5.3% superior que la observada para diciembre de 2013.</w:t>
      </w:r>
    </w:p>
    <w:tbl>
      <w:tblPr>
        <w:tblW w:w="8781" w:type="dxa"/>
        <w:jc w:val="center"/>
        <w:tblLayout w:type="fixed"/>
        <w:tblLook w:val="01E0" w:firstRow="1" w:lastRow="1" w:firstColumn="1" w:lastColumn="1" w:noHBand="0" w:noVBand="0"/>
      </w:tblPr>
      <w:tblGrid>
        <w:gridCol w:w="3266"/>
        <w:gridCol w:w="1103"/>
        <w:gridCol w:w="1103"/>
        <w:gridCol w:w="1103"/>
        <w:gridCol w:w="1103"/>
        <w:gridCol w:w="1103"/>
      </w:tblGrid>
      <w:tr w:rsidR="00DA7FF3" w:rsidRPr="00DA7FF3" w14:paraId="1FCBF2C3" w14:textId="77777777" w:rsidTr="00DA7FF3">
        <w:trPr>
          <w:trHeight w:val="552"/>
          <w:jc w:val="center"/>
        </w:trPr>
        <w:tc>
          <w:tcPr>
            <w:tcW w:w="8781" w:type="dxa"/>
            <w:gridSpan w:val="6"/>
            <w:tcBorders>
              <w:top w:val="nil"/>
              <w:bottom w:val="single" w:sz="4" w:space="0" w:color="auto"/>
            </w:tcBorders>
            <w:shd w:val="clear" w:color="auto" w:fill="auto"/>
            <w:vAlign w:val="center"/>
          </w:tcPr>
          <w:p w14:paraId="0A99CB93"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UNIONES DE CRÉDITO: CARTERA DE CRÉDITO</w:t>
            </w:r>
          </w:p>
          <w:p w14:paraId="7329A5D6" w14:textId="40DA0C2D"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-Saldos en millones de pesos-</w:t>
            </w:r>
          </w:p>
        </w:tc>
      </w:tr>
      <w:tr w:rsidR="00DA7FF3" w:rsidRPr="00DA7FF3" w14:paraId="5EC59E67" w14:textId="77777777" w:rsidTr="00DA7FF3">
        <w:trPr>
          <w:trHeight w:val="174"/>
          <w:jc w:val="center"/>
        </w:trPr>
        <w:tc>
          <w:tcPr>
            <w:tcW w:w="32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2CEB98"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4C570E5E"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F1892"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E6C83"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w:t>
            </w:r>
          </w:p>
        </w:tc>
      </w:tr>
      <w:tr w:rsidR="00DA7FF3" w:rsidRPr="00DA7FF3" w14:paraId="0A4F8F31" w14:textId="77777777" w:rsidTr="00DA7FF3">
        <w:trPr>
          <w:trHeight w:val="244"/>
          <w:jc w:val="center"/>
        </w:trPr>
        <w:tc>
          <w:tcPr>
            <w:tcW w:w="32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5AB3D3"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58B1A0C2"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31711D07"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5B735442"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72744316"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Anual</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713E9E65"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Trimestral</w:t>
            </w:r>
          </w:p>
        </w:tc>
      </w:tr>
      <w:tr w:rsidR="00DA7FF3" w:rsidRPr="00DA7FF3" w14:paraId="7CBAE116" w14:textId="77777777" w:rsidTr="00DA7FF3">
        <w:trPr>
          <w:trHeight w:val="271"/>
          <w:jc w:val="center"/>
        </w:trPr>
        <w:tc>
          <w:tcPr>
            <w:tcW w:w="3266" w:type="dxa"/>
            <w:tcBorders>
              <w:top w:val="single" w:sz="4" w:space="0" w:color="auto"/>
              <w:left w:val="single" w:sz="4" w:space="0" w:color="auto"/>
              <w:right w:val="single" w:sz="4" w:space="0" w:color="auto"/>
            </w:tcBorders>
            <w:shd w:val="clear" w:color="auto" w:fill="auto"/>
            <w:vAlign w:val="bottom"/>
          </w:tcPr>
          <w:p w14:paraId="29350014" w14:textId="77777777" w:rsidR="00DA7FF3" w:rsidRPr="00DA7FF3" w:rsidRDefault="00DA7FF3" w:rsidP="00DA7FF3">
            <w:pPr>
              <w:rPr>
                <w:rFonts w:eastAsia="Calibri"/>
                <w:sz w:val="18"/>
                <w:szCs w:val="18"/>
                <w:lang w:val="en-US" w:eastAsia="en-US"/>
              </w:rPr>
            </w:pPr>
            <w:r w:rsidRPr="00DA7FF3">
              <w:rPr>
                <w:rFonts w:eastAsia="Calibri"/>
                <w:sz w:val="18"/>
                <w:szCs w:val="18"/>
                <w:lang w:val="en-US" w:eastAsia="en-US"/>
              </w:rPr>
              <w:t>Cartera de crédito total</w:t>
            </w:r>
          </w:p>
        </w:tc>
        <w:tc>
          <w:tcPr>
            <w:tcW w:w="1103" w:type="dxa"/>
            <w:tcBorders>
              <w:top w:val="single" w:sz="4" w:space="0" w:color="auto"/>
              <w:left w:val="single" w:sz="4" w:space="0" w:color="auto"/>
              <w:right w:val="single" w:sz="4" w:space="0" w:color="auto"/>
            </w:tcBorders>
            <w:shd w:val="clear" w:color="auto" w:fill="auto"/>
            <w:vAlign w:val="bottom"/>
          </w:tcPr>
          <w:p w14:paraId="7150B85C" w14:textId="77777777" w:rsidR="00DA7FF3" w:rsidRPr="00DA7FF3" w:rsidRDefault="00DA7FF3" w:rsidP="00DA7FF3">
            <w:pPr>
              <w:ind w:right="170"/>
              <w:jc w:val="right"/>
              <w:rPr>
                <w:rFonts w:eastAsia="Calibri"/>
                <w:b/>
                <w:sz w:val="18"/>
                <w:szCs w:val="18"/>
                <w:lang w:val="en-US" w:eastAsia="en-US"/>
              </w:rPr>
            </w:pPr>
            <w:r w:rsidRPr="00DA7FF3">
              <w:rPr>
                <w:rFonts w:eastAsia="Calibri"/>
                <w:b/>
                <w:sz w:val="18"/>
                <w:szCs w:val="18"/>
                <w:lang w:val="en-US" w:eastAsia="en-US"/>
              </w:rPr>
              <w:t>30 926</w:t>
            </w:r>
          </w:p>
        </w:tc>
        <w:tc>
          <w:tcPr>
            <w:tcW w:w="1103" w:type="dxa"/>
            <w:tcBorders>
              <w:top w:val="single" w:sz="4" w:space="0" w:color="auto"/>
              <w:left w:val="single" w:sz="4" w:space="0" w:color="auto"/>
              <w:right w:val="single" w:sz="4" w:space="0" w:color="auto"/>
            </w:tcBorders>
            <w:shd w:val="clear" w:color="auto" w:fill="auto"/>
            <w:vAlign w:val="bottom"/>
          </w:tcPr>
          <w:p w14:paraId="40BD8AFF" w14:textId="77777777" w:rsidR="00DA7FF3" w:rsidRPr="00DA7FF3" w:rsidRDefault="00DA7FF3" w:rsidP="00DA7FF3">
            <w:pPr>
              <w:ind w:right="170"/>
              <w:jc w:val="right"/>
              <w:rPr>
                <w:rFonts w:eastAsia="Calibri"/>
                <w:b/>
                <w:sz w:val="18"/>
                <w:szCs w:val="18"/>
                <w:lang w:val="en-US" w:eastAsia="en-US"/>
              </w:rPr>
            </w:pPr>
            <w:r w:rsidRPr="00DA7FF3">
              <w:rPr>
                <w:rFonts w:eastAsia="Calibri"/>
                <w:b/>
                <w:sz w:val="18"/>
                <w:szCs w:val="18"/>
                <w:lang w:val="en-US" w:eastAsia="en-US"/>
              </w:rPr>
              <w:t>32 146</w:t>
            </w:r>
          </w:p>
        </w:tc>
        <w:tc>
          <w:tcPr>
            <w:tcW w:w="1103" w:type="dxa"/>
            <w:tcBorders>
              <w:top w:val="single" w:sz="4" w:space="0" w:color="auto"/>
              <w:left w:val="single" w:sz="4" w:space="0" w:color="auto"/>
              <w:right w:val="single" w:sz="4" w:space="0" w:color="auto"/>
            </w:tcBorders>
            <w:shd w:val="clear" w:color="auto" w:fill="auto"/>
            <w:vAlign w:val="bottom"/>
          </w:tcPr>
          <w:p w14:paraId="428A2FEE" w14:textId="77777777" w:rsidR="00DA7FF3" w:rsidRPr="00DA7FF3" w:rsidRDefault="00DA7FF3" w:rsidP="00DA7FF3">
            <w:pPr>
              <w:ind w:right="227"/>
              <w:jc w:val="right"/>
              <w:rPr>
                <w:rFonts w:eastAsia="Calibri"/>
                <w:b/>
                <w:sz w:val="18"/>
                <w:szCs w:val="18"/>
                <w:lang w:val="en-US" w:eastAsia="en-US"/>
              </w:rPr>
            </w:pPr>
            <w:r w:rsidRPr="00DA7FF3">
              <w:rPr>
                <w:rFonts w:eastAsia="Calibri"/>
                <w:b/>
                <w:sz w:val="18"/>
                <w:szCs w:val="18"/>
                <w:lang w:val="en-US" w:eastAsia="en-US"/>
              </w:rPr>
              <w:t>32 423</w:t>
            </w:r>
          </w:p>
        </w:tc>
        <w:tc>
          <w:tcPr>
            <w:tcW w:w="1103" w:type="dxa"/>
            <w:tcBorders>
              <w:top w:val="single" w:sz="4" w:space="0" w:color="auto"/>
              <w:left w:val="single" w:sz="4" w:space="0" w:color="auto"/>
              <w:right w:val="single" w:sz="4" w:space="0" w:color="auto"/>
            </w:tcBorders>
            <w:shd w:val="clear" w:color="auto" w:fill="auto"/>
            <w:vAlign w:val="bottom"/>
          </w:tcPr>
          <w:p w14:paraId="4A5D8864" w14:textId="77777777" w:rsidR="00DA7FF3" w:rsidRPr="00DA7FF3" w:rsidRDefault="00DA7FF3" w:rsidP="00DA7FF3">
            <w:pPr>
              <w:ind w:right="227"/>
              <w:jc w:val="right"/>
              <w:rPr>
                <w:rFonts w:eastAsia="Calibri"/>
                <w:b/>
                <w:sz w:val="18"/>
                <w:szCs w:val="18"/>
                <w:lang w:val="en-US" w:eastAsia="en-US"/>
              </w:rPr>
            </w:pPr>
            <w:r w:rsidRPr="00DA7FF3">
              <w:rPr>
                <w:rFonts w:eastAsia="Calibri"/>
                <w:b/>
                <w:sz w:val="18"/>
                <w:szCs w:val="18"/>
                <w:lang w:val="en-US" w:eastAsia="en-US"/>
              </w:rPr>
              <w:t>4.8</w:t>
            </w:r>
          </w:p>
        </w:tc>
        <w:tc>
          <w:tcPr>
            <w:tcW w:w="1103" w:type="dxa"/>
            <w:tcBorders>
              <w:top w:val="single" w:sz="4" w:space="0" w:color="auto"/>
              <w:left w:val="single" w:sz="4" w:space="0" w:color="auto"/>
              <w:right w:val="single" w:sz="4" w:space="0" w:color="auto"/>
            </w:tcBorders>
            <w:shd w:val="clear" w:color="auto" w:fill="auto"/>
            <w:vAlign w:val="bottom"/>
          </w:tcPr>
          <w:p w14:paraId="01463062"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0.9</w:t>
            </w:r>
          </w:p>
        </w:tc>
      </w:tr>
      <w:tr w:rsidR="00DA7FF3" w:rsidRPr="00DA7FF3" w14:paraId="24C47D3E" w14:textId="77777777" w:rsidTr="00DA7FF3">
        <w:trPr>
          <w:trHeight w:val="271"/>
          <w:jc w:val="center"/>
        </w:trPr>
        <w:tc>
          <w:tcPr>
            <w:tcW w:w="3266" w:type="dxa"/>
            <w:tcBorders>
              <w:left w:val="single" w:sz="4" w:space="0" w:color="auto"/>
              <w:right w:val="single" w:sz="4" w:space="0" w:color="auto"/>
            </w:tcBorders>
            <w:shd w:val="clear" w:color="auto" w:fill="auto"/>
            <w:vAlign w:val="bottom"/>
          </w:tcPr>
          <w:p w14:paraId="2859FFC2"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Documentados con garantía inmobiliaria</w:t>
            </w:r>
          </w:p>
        </w:tc>
        <w:tc>
          <w:tcPr>
            <w:tcW w:w="1103" w:type="dxa"/>
            <w:tcBorders>
              <w:left w:val="single" w:sz="4" w:space="0" w:color="auto"/>
              <w:right w:val="single" w:sz="4" w:space="0" w:color="auto"/>
            </w:tcBorders>
            <w:shd w:val="clear" w:color="auto" w:fill="auto"/>
            <w:vAlign w:val="bottom"/>
          </w:tcPr>
          <w:p w14:paraId="1FB570BF"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13 056</w:t>
            </w:r>
          </w:p>
        </w:tc>
        <w:tc>
          <w:tcPr>
            <w:tcW w:w="1103" w:type="dxa"/>
            <w:tcBorders>
              <w:left w:val="single" w:sz="4" w:space="0" w:color="auto"/>
              <w:right w:val="single" w:sz="4" w:space="0" w:color="auto"/>
            </w:tcBorders>
            <w:shd w:val="clear" w:color="auto" w:fill="auto"/>
            <w:vAlign w:val="bottom"/>
          </w:tcPr>
          <w:p w14:paraId="0EB31CDE"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13 221</w:t>
            </w:r>
          </w:p>
        </w:tc>
        <w:tc>
          <w:tcPr>
            <w:tcW w:w="1103" w:type="dxa"/>
            <w:tcBorders>
              <w:left w:val="single" w:sz="4" w:space="0" w:color="auto"/>
              <w:right w:val="single" w:sz="4" w:space="0" w:color="auto"/>
            </w:tcBorders>
            <w:shd w:val="clear" w:color="auto" w:fill="auto"/>
            <w:vAlign w:val="bottom"/>
          </w:tcPr>
          <w:p w14:paraId="08671D16"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13 749</w:t>
            </w:r>
          </w:p>
        </w:tc>
        <w:tc>
          <w:tcPr>
            <w:tcW w:w="1103" w:type="dxa"/>
            <w:tcBorders>
              <w:left w:val="single" w:sz="4" w:space="0" w:color="auto"/>
              <w:right w:val="single" w:sz="4" w:space="0" w:color="auto"/>
            </w:tcBorders>
            <w:shd w:val="clear" w:color="auto" w:fill="auto"/>
            <w:vAlign w:val="bottom"/>
          </w:tcPr>
          <w:p w14:paraId="76D37D73"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5.3</w:t>
            </w:r>
          </w:p>
        </w:tc>
        <w:tc>
          <w:tcPr>
            <w:tcW w:w="1103" w:type="dxa"/>
            <w:tcBorders>
              <w:left w:val="single" w:sz="4" w:space="0" w:color="auto"/>
              <w:right w:val="single" w:sz="4" w:space="0" w:color="auto"/>
            </w:tcBorders>
            <w:shd w:val="clear" w:color="auto" w:fill="auto"/>
            <w:vAlign w:val="bottom"/>
          </w:tcPr>
          <w:p w14:paraId="2A80A847"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4.0</w:t>
            </w:r>
          </w:p>
        </w:tc>
      </w:tr>
      <w:tr w:rsidR="00DA7FF3" w:rsidRPr="00DA7FF3" w14:paraId="6F707A4F" w14:textId="77777777" w:rsidTr="00DA7FF3">
        <w:trPr>
          <w:trHeight w:val="271"/>
          <w:jc w:val="center"/>
        </w:trPr>
        <w:tc>
          <w:tcPr>
            <w:tcW w:w="3266" w:type="dxa"/>
            <w:tcBorders>
              <w:left w:val="single" w:sz="4" w:space="0" w:color="auto"/>
              <w:right w:val="single" w:sz="4" w:space="0" w:color="auto"/>
            </w:tcBorders>
            <w:shd w:val="clear" w:color="auto" w:fill="auto"/>
            <w:vAlign w:val="bottom"/>
          </w:tcPr>
          <w:p w14:paraId="21057803"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Documentados con otras garantías</w:t>
            </w:r>
          </w:p>
        </w:tc>
        <w:tc>
          <w:tcPr>
            <w:tcW w:w="1103" w:type="dxa"/>
            <w:tcBorders>
              <w:left w:val="single" w:sz="4" w:space="0" w:color="auto"/>
              <w:right w:val="single" w:sz="4" w:space="0" w:color="auto"/>
            </w:tcBorders>
            <w:shd w:val="clear" w:color="auto" w:fill="auto"/>
            <w:vAlign w:val="bottom"/>
          </w:tcPr>
          <w:p w14:paraId="69D9BF50"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15 365</w:t>
            </w:r>
          </w:p>
        </w:tc>
        <w:tc>
          <w:tcPr>
            <w:tcW w:w="1103" w:type="dxa"/>
            <w:tcBorders>
              <w:left w:val="single" w:sz="4" w:space="0" w:color="auto"/>
              <w:right w:val="single" w:sz="4" w:space="0" w:color="auto"/>
            </w:tcBorders>
            <w:shd w:val="clear" w:color="auto" w:fill="auto"/>
            <w:vAlign w:val="bottom"/>
          </w:tcPr>
          <w:p w14:paraId="618D510D"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16 261</w:t>
            </w:r>
          </w:p>
        </w:tc>
        <w:tc>
          <w:tcPr>
            <w:tcW w:w="1103" w:type="dxa"/>
            <w:tcBorders>
              <w:left w:val="single" w:sz="4" w:space="0" w:color="auto"/>
              <w:right w:val="single" w:sz="4" w:space="0" w:color="auto"/>
            </w:tcBorders>
            <w:shd w:val="clear" w:color="auto" w:fill="auto"/>
            <w:vAlign w:val="bottom"/>
          </w:tcPr>
          <w:p w14:paraId="056B5CA2"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15 925</w:t>
            </w:r>
          </w:p>
        </w:tc>
        <w:tc>
          <w:tcPr>
            <w:tcW w:w="1103" w:type="dxa"/>
            <w:tcBorders>
              <w:left w:val="single" w:sz="4" w:space="0" w:color="auto"/>
              <w:right w:val="single" w:sz="4" w:space="0" w:color="auto"/>
            </w:tcBorders>
            <w:shd w:val="clear" w:color="auto" w:fill="auto"/>
            <w:vAlign w:val="bottom"/>
          </w:tcPr>
          <w:p w14:paraId="02CD5E77"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3.6</w:t>
            </w:r>
          </w:p>
        </w:tc>
        <w:tc>
          <w:tcPr>
            <w:tcW w:w="1103" w:type="dxa"/>
            <w:tcBorders>
              <w:left w:val="single" w:sz="4" w:space="0" w:color="auto"/>
              <w:right w:val="single" w:sz="4" w:space="0" w:color="auto"/>
            </w:tcBorders>
            <w:shd w:val="clear" w:color="auto" w:fill="auto"/>
            <w:vAlign w:val="bottom"/>
          </w:tcPr>
          <w:p w14:paraId="1BADA3C5"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-2.0</w:t>
            </w:r>
          </w:p>
        </w:tc>
      </w:tr>
      <w:tr w:rsidR="00DA7FF3" w:rsidRPr="00DA7FF3" w14:paraId="4F4F4301" w14:textId="77777777" w:rsidTr="00DA7FF3">
        <w:trPr>
          <w:trHeight w:val="271"/>
          <w:jc w:val="center"/>
        </w:trPr>
        <w:tc>
          <w:tcPr>
            <w:tcW w:w="3266" w:type="dxa"/>
            <w:tcBorders>
              <w:left w:val="single" w:sz="4" w:space="0" w:color="auto"/>
              <w:right w:val="single" w:sz="4" w:space="0" w:color="auto"/>
            </w:tcBorders>
            <w:shd w:val="clear" w:color="auto" w:fill="auto"/>
            <w:vAlign w:val="bottom"/>
          </w:tcPr>
          <w:p w14:paraId="49110CF4"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Sin garantía</w:t>
            </w:r>
          </w:p>
        </w:tc>
        <w:tc>
          <w:tcPr>
            <w:tcW w:w="1103" w:type="dxa"/>
            <w:tcBorders>
              <w:left w:val="single" w:sz="4" w:space="0" w:color="auto"/>
              <w:right w:val="single" w:sz="4" w:space="0" w:color="auto"/>
            </w:tcBorders>
            <w:shd w:val="clear" w:color="auto" w:fill="auto"/>
            <w:vAlign w:val="bottom"/>
          </w:tcPr>
          <w:p w14:paraId="2E2AC7FB"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2 447</w:t>
            </w:r>
          </w:p>
        </w:tc>
        <w:tc>
          <w:tcPr>
            <w:tcW w:w="1103" w:type="dxa"/>
            <w:tcBorders>
              <w:left w:val="single" w:sz="4" w:space="0" w:color="auto"/>
              <w:right w:val="single" w:sz="4" w:space="0" w:color="auto"/>
            </w:tcBorders>
            <w:shd w:val="clear" w:color="auto" w:fill="auto"/>
            <w:vAlign w:val="bottom"/>
          </w:tcPr>
          <w:p w14:paraId="3A46ABC5"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2 552</w:t>
            </w:r>
          </w:p>
        </w:tc>
        <w:tc>
          <w:tcPr>
            <w:tcW w:w="1103" w:type="dxa"/>
            <w:tcBorders>
              <w:left w:val="single" w:sz="4" w:space="0" w:color="auto"/>
              <w:right w:val="single" w:sz="4" w:space="0" w:color="auto"/>
            </w:tcBorders>
            <w:shd w:val="clear" w:color="auto" w:fill="auto"/>
            <w:vAlign w:val="bottom"/>
          </w:tcPr>
          <w:p w14:paraId="44387843"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2 656</w:t>
            </w:r>
          </w:p>
        </w:tc>
        <w:tc>
          <w:tcPr>
            <w:tcW w:w="1103" w:type="dxa"/>
            <w:tcBorders>
              <w:left w:val="single" w:sz="4" w:space="0" w:color="auto"/>
              <w:right w:val="single" w:sz="4" w:space="0" w:color="auto"/>
            </w:tcBorders>
            <w:shd w:val="clear" w:color="auto" w:fill="auto"/>
            <w:vAlign w:val="bottom"/>
          </w:tcPr>
          <w:p w14:paraId="456A780F"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8.5</w:t>
            </w:r>
          </w:p>
        </w:tc>
        <w:tc>
          <w:tcPr>
            <w:tcW w:w="1103" w:type="dxa"/>
            <w:tcBorders>
              <w:left w:val="single" w:sz="4" w:space="0" w:color="auto"/>
              <w:right w:val="single" w:sz="4" w:space="0" w:color="auto"/>
            </w:tcBorders>
            <w:shd w:val="clear" w:color="auto" w:fill="auto"/>
            <w:vAlign w:val="bottom"/>
          </w:tcPr>
          <w:p w14:paraId="208CA97F"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4.0</w:t>
            </w:r>
          </w:p>
        </w:tc>
      </w:tr>
      <w:tr w:rsidR="00DA7FF3" w:rsidRPr="00DA7FF3" w14:paraId="4F1958FD" w14:textId="77777777" w:rsidTr="00DA7FF3">
        <w:trPr>
          <w:trHeight w:val="271"/>
          <w:jc w:val="center"/>
        </w:trPr>
        <w:tc>
          <w:tcPr>
            <w:tcW w:w="3266" w:type="dxa"/>
            <w:tcBorders>
              <w:left w:val="single" w:sz="4" w:space="0" w:color="auto"/>
              <w:right w:val="single" w:sz="4" w:space="0" w:color="auto"/>
            </w:tcBorders>
            <w:shd w:val="clear" w:color="auto" w:fill="auto"/>
            <w:vAlign w:val="bottom"/>
          </w:tcPr>
          <w:p w14:paraId="2ECA5D59"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Operaciones de factoraje</w:t>
            </w:r>
          </w:p>
        </w:tc>
        <w:tc>
          <w:tcPr>
            <w:tcW w:w="1103" w:type="dxa"/>
            <w:tcBorders>
              <w:left w:val="single" w:sz="4" w:space="0" w:color="auto"/>
              <w:right w:val="single" w:sz="4" w:space="0" w:color="auto"/>
            </w:tcBorders>
            <w:shd w:val="clear" w:color="auto" w:fill="auto"/>
            <w:vAlign w:val="bottom"/>
          </w:tcPr>
          <w:p w14:paraId="246BECF6" w14:textId="77777777" w:rsidR="00DA7FF3" w:rsidRPr="00DA7FF3" w:rsidRDefault="00DA7FF3" w:rsidP="00DA7FF3">
            <w:pPr>
              <w:ind w:right="170"/>
              <w:jc w:val="right"/>
              <w:rPr>
                <w:rFonts w:eastAsia="Calibri"/>
                <w:bCs/>
                <w:sz w:val="18"/>
                <w:szCs w:val="18"/>
                <w:lang w:val="en-US" w:eastAsia="en-US"/>
              </w:rPr>
            </w:pPr>
            <w:r w:rsidRPr="00DA7FF3">
              <w:rPr>
                <w:rFonts w:eastAsia="Calibri"/>
                <w:bCs/>
                <w:sz w:val="18"/>
                <w:szCs w:val="18"/>
                <w:lang w:val="en-US" w:eastAsia="en-US"/>
              </w:rPr>
              <w:t>0</w:t>
            </w:r>
          </w:p>
        </w:tc>
        <w:tc>
          <w:tcPr>
            <w:tcW w:w="1103" w:type="dxa"/>
            <w:tcBorders>
              <w:left w:val="single" w:sz="4" w:space="0" w:color="auto"/>
              <w:right w:val="single" w:sz="4" w:space="0" w:color="auto"/>
            </w:tcBorders>
            <w:shd w:val="clear" w:color="auto" w:fill="auto"/>
            <w:vAlign w:val="bottom"/>
          </w:tcPr>
          <w:p w14:paraId="5B6E53BC" w14:textId="77777777" w:rsidR="00DA7FF3" w:rsidRPr="00DA7FF3" w:rsidRDefault="00DA7FF3" w:rsidP="00DA7FF3">
            <w:pPr>
              <w:ind w:right="170"/>
              <w:jc w:val="right"/>
              <w:rPr>
                <w:rFonts w:eastAsia="Calibri"/>
                <w:bCs/>
                <w:sz w:val="18"/>
                <w:szCs w:val="18"/>
                <w:lang w:val="en-US" w:eastAsia="en-US"/>
              </w:rPr>
            </w:pPr>
            <w:r w:rsidRPr="00DA7FF3">
              <w:rPr>
                <w:rFonts w:eastAsia="Calibri"/>
                <w:bCs/>
                <w:sz w:val="18"/>
                <w:szCs w:val="18"/>
                <w:lang w:val="en-US" w:eastAsia="en-US"/>
              </w:rPr>
              <w:t>18</w:t>
            </w:r>
          </w:p>
        </w:tc>
        <w:tc>
          <w:tcPr>
            <w:tcW w:w="1103" w:type="dxa"/>
            <w:tcBorders>
              <w:left w:val="single" w:sz="4" w:space="0" w:color="auto"/>
              <w:right w:val="single" w:sz="4" w:space="0" w:color="auto"/>
            </w:tcBorders>
            <w:shd w:val="clear" w:color="auto" w:fill="auto"/>
            <w:vAlign w:val="bottom"/>
          </w:tcPr>
          <w:p w14:paraId="328F403E" w14:textId="77777777" w:rsidR="00DA7FF3" w:rsidRPr="00DA7FF3" w:rsidRDefault="00DA7FF3" w:rsidP="00DA7FF3">
            <w:pPr>
              <w:ind w:right="227"/>
              <w:jc w:val="right"/>
              <w:rPr>
                <w:rFonts w:eastAsia="Calibri"/>
                <w:bCs/>
                <w:sz w:val="18"/>
                <w:szCs w:val="18"/>
                <w:lang w:val="en-US" w:eastAsia="en-US"/>
              </w:rPr>
            </w:pPr>
            <w:r w:rsidRPr="00DA7FF3">
              <w:rPr>
                <w:rFonts w:eastAsia="Calibri"/>
                <w:bCs/>
                <w:sz w:val="18"/>
                <w:szCs w:val="18"/>
                <w:lang w:val="en-US" w:eastAsia="en-US"/>
              </w:rPr>
              <w:t>13</w:t>
            </w:r>
          </w:p>
        </w:tc>
        <w:tc>
          <w:tcPr>
            <w:tcW w:w="1103" w:type="dxa"/>
            <w:tcBorders>
              <w:left w:val="single" w:sz="4" w:space="0" w:color="auto"/>
              <w:right w:val="single" w:sz="4" w:space="0" w:color="auto"/>
            </w:tcBorders>
            <w:shd w:val="clear" w:color="auto" w:fill="auto"/>
            <w:vAlign w:val="bottom"/>
          </w:tcPr>
          <w:p w14:paraId="3CA06869" w14:textId="77777777" w:rsidR="00DA7FF3" w:rsidRPr="00DA7FF3" w:rsidRDefault="00DA7FF3" w:rsidP="00DA7FF3">
            <w:pPr>
              <w:ind w:right="227"/>
              <w:jc w:val="right"/>
              <w:rPr>
                <w:rFonts w:eastAsia="Calibri"/>
                <w:bCs/>
                <w:sz w:val="18"/>
                <w:szCs w:val="18"/>
                <w:lang w:val="en-US" w:eastAsia="en-US"/>
              </w:rPr>
            </w:pPr>
            <w:r w:rsidRPr="00DA7FF3">
              <w:rPr>
                <w:rFonts w:eastAsia="Calibri"/>
                <w:bCs/>
                <w:sz w:val="18"/>
                <w:szCs w:val="18"/>
                <w:lang w:val="en-US" w:eastAsia="en-US"/>
              </w:rPr>
              <w:t>n.a.</w:t>
            </w:r>
          </w:p>
        </w:tc>
        <w:tc>
          <w:tcPr>
            <w:tcW w:w="1103" w:type="dxa"/>
            <w:tcBorders>
              <w:left w:val="single" w:sz="4" w:space="0" w:color="auto"/>
              <w:right w:val="single" w:sz="4" w:space="0" w:color="auto"/>
            </w:tcBorders>
            <w:shd w:val="clear" w:color="auto" w:fill="auto"/>
            <w:vAlign w:val="bottom"/>
          </w:tcPr>
          <w:p w14:paraId="70D24E79"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-28.0</w:t>
            </w:r>
          </w:p>
        </w:tc>
      </w:tr>
      <w:tr w:rsidR="00DA7FF3" w:rsidRPr="00DA7FF3" w14:paraId="5D83C01D" w14:textId="77777777" w:rsidTr="00DA7FF3">
        <w:trPr>
          <w:trHeight w:val="271"/>
          <w:jc w:val="center"/>
        </w:trPr>
        <w:tc>
          <w:tcPr>
            <w:tcW w:w="3266" w:type="dxa"/>
            <w:tcBorders>
              <w:left w:val="single" w:sz="4" w:space="0" w:color="auto"/>
              <w:bottom w:val="single" w:sz="4" w:space="0" w:color="auto"/>
              <w:right w:val="single" w:sz="4" w:space="0" w:color="auto"/>
            </w:tcBorders>
            <w:shd w:val="clear" w:color="auto" w:fill="auto"/>
            <w:vAlign w:val="bottom"/>
          </w:tcPr>
          <w:p w14:paraId="1A77C472"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Operaciones de arrendamiento capitalizable</w:t>
            </w:r>
          </w:p>
        </w:tc>
        <w:tc>
          <w:tcPr>
            <w:tcW w:w="1103" w:type="dxa"/>
            <w:tcBorders>
              <w:left w:val="single" w:sz="4" w:space="0" w:color="auto"/>
              <w:bottom w:val="single" w:sz="4" w:space="0" w:color="auto"/>
              <w:right w:val="single" w:sz="4" w:space="0" w:color="auto"/>
            </w:tcBorders>
            <w:shd w:val="clear" w:color="auto" w:fill="auto"/>
            <w:vAlign w:val="bottom"/>
          </w:tcPr>
          <w:p w14:paraId="7FB7F76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58</w:t>
            </w:r>
          </w:p>
        </w:tc>
        <w:tc>
          <w:tcPr>
            <w:tcW w:w="1103" w:type="dxa"/>
            <w:tcBorders>
              <w:left w:val="single" w:sz="4" w:space="0" w:color="auto"/>
              <w:bottom w:val="single" w:sz="4" w:space="0" w:color="auto"/>
              <w:right w:val="single" w:sz="4" w:space="0" w:color="auto"/>
            </w:tcBorders>
            <w:shd w:val="clear" w:color="auto" w:fill="auto"/>
            <w:vAlign w:val="bottom"/>
          </w:tcPr>
          <w:p w14:paraId="4F9BB1F1"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94</w:t>
            </w:r>
          </w:p>
        </w:tc>
        <w:tc>
          <w:tcPr>
            <w:tcW w:w="1103" w:type="dxa"/>
            <w:tcBorders>
              <w:left w:val="single" w:sz="4" w:space="0" w:color="auto"/>
              <w:bottom w:val="single" w:sz="4" w:space="0" w:color="auto"/>
              <w:right w:val="single" w:sz="4" w:space="0" w:color="auto"/>
            </w:tcBorders>
            <w:shd w:val="clear" w:color="auto" w:fill="auto"/>
            <w:vAlign w:val="bottom"/>
          </w:tcPr>
          <w:p w14:paraId="23063DF3"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80</w:t>
            </w:r>
          </w:p>
        </w:tc>
        <w:tc>
          <w:tcPr>
            <w:tcW w:w="1103" w:type="dxa"/>
            <w:tcBorders>
              <w:left w:val="single" w:sz="4" w:space="0" w:color="auto"/>
              <w:bottom w:val="single" w:sz="4" w:space="0" w:color="auto"/>
              <w:right w:val="single" w:sz="4" w:space="0" w:color="auto"/>
            </w:tcBorders>
            <w:shd w:val="clear" w:color="auto" w:fill="auto"/>
            <w:vAlign w:val="bottom"/>
          </w:tcPr>
          <w:p w14:paraId="41834D1F"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39.3</w:t>
            </w:r>
          </w:p>
        </w:tc>
        <w:tc>
          <w:tcPr>
            <w:tcW w:w="1103" w:type="dxa"/>
            <w:tcBorders>
              <w:left w:val="single" w:sz="4" w:space="0" w:color="auto"/>
              <w:bottom w:val="single" w:sz="4" w:space="0" w:color="auto"/>
              <w:right w:val="single" w:sz="4" w:space="0" w:color="auto"/>
            </w:tcBorders>
            <w:shd w:val="clear" w:color="auto" w:fill="auto"/>
            <w:vAlign w:val="bottom"/>
          </w:tcPr>
          <w:p w14:paraId="653280CA"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-15.0</w:t>
            </w:r>
          </w:p>
        </w:tc>
      </w:tr>
      <w:tr w:rsidR="00DA7FF3" w:rsidRPr="00DA7FF3" w14:paraId="0DFC68BB" w14:textId="77777777" w:rsidTr="00DA7FF3">
        <w:tblPrEx>
          <w:tblBorders>
            <w:top w:val="single" w:sz="8" w:space="0" w:color="9BBB59"/>
          </w:tblBorders>
        </w:tblPrEx>
        <w:trPr>
          <w:trHeight w:val="261"/>
          <w:jc w:val="center"/>
        </w:trPr>
        <w:tc>
          <w:tcPr>
            <w:tcW w:w="8781" w:type="dxa"/>
            <w:gridSpan w:val="6"/>
            <w:tcBorders>
              <w:top w:val="single" w:sz="4" w:space="0" w:color="auto"/>
              <w:bottom w:val="nil"/>
            </w:tcBorders>
            <w:shd w:val="clear" w:color="auto" w:fill="auto"/>
            <w:vAlign w:val="center"/>
          </w:tcPr>
          <w:p w14:paraId="226E069B" w14:textId="77777777" w:rsidR="00DA7FF3" w:rsidRPr="005061B6" w:rsidRDefault="00DA7FF3" w:rsidP="00DA7FF3">
            <w:pPr>
              <w:rPr>
                <w:rFonts w:eastAsia="Calibri"/>
                <w:b/>
                <w:sz w:val="18"/>
                <w:szCs w:val="18"/>
                <w:lang w:eastAsia="en-US"/>
              </w:rPr>
            </w:pPr>
            <w:r w:rsidRPr="005061B6">
              <w:rPr>
                <w:rFonts w:eastAsia="Calibri"/>
                <w:sz w:val="18"/>
                <w:szCs w:val="18"/>
                <w:lang w:eastAsia="en-US"/>
              </w:rPr>
              <w:t>n.a. = No aplica.</w:t>
            </w:r>
          </w:p>
          <w:p w14:paraId="72003BA0" w14:textId="77777777" w:rsidR="00DA7FF3" w:rsidRPr="005061B6" w:rsidRDefault="00DA7FF3" w:rsidP="00DA7FF3">
            <w:pPr>
              <w:rPr>
                <w:rFonts w:eastAsia="Calibri"/>
                <w:b/>
                <w:sz w:val="18"/>
                <w:szCs w:val="18"/>
                <w:lang w:eastAsia="en-US"/>
              </w:rPr>
            </w:pPr>
            <w:r w:rsidRPr="005061B6">
              <w:rPr>
                <w:rFonts w:eastAsia="Calibri"/>
                <w:sz w:val="18"/>
                <w:szCs w:val="18"/>
                <w:lang w:eastAsia="en-US"/>
              </w:rPr>
              <w:t>FUENTE: CNBV.</w:t>
            </w:r>
          </w:p>
        </w:tc>
      </w:tr>
    </w:tbl>
    <w:p w14:paraId="274A8E4D" w14:textId="77777777" w:rsidR="00DA7FF3" w:rsidRPr="00DA7FF3" w:rsidRDefault="00DA7FF3" w:rsidP="00DA7FF3">
      <w:pPr>
        <w:spacing w:after="360" w:line="360" w:lineRule="auto"/>
        <w:ind w:left="227" w:right="-159"/>
        <w:jc w:val="both"/>
        <w:rPr>
          <w:rFonts w:eastAsia="Calibri"/>
          <w:sz w:val="26"/>
          <w:szCs w:val="26"/>
          <w:lang w:eastAsia="en-US"/>
        </w:rPr>
      </w:pPr>
    </w:p>
    <w:p w14:paraId="7241D492" w14:textId="77777777" w:rsid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El índice de morosidad (IMOR) de la cartera total creció 0.24 pp para ubicarse en 3.25%. El IMOR de los créditos documentados con garantía inmobiliaria aumentó 0.35 pp para ubicarse en 5.51%. La morosidad de los créditos documentados con otras garantías aumentó 0.20 pp para alcanzar 1.51%. Por su parte, el IMOR de los créditos sin garantía disminuyó 0.21 pp y se ubicó en 2.15 por ciento.</w:t>
      </w:r>
    </w:p>
    <w:p w14:paraId="0811F743" w14:textId="77777777" w:rsidR="00DA7FF3" w:rsidRDefault="00DA7FF3" w:rsidP="00DA7FF3">
      <w:pPr>
        <w:spacing w:after="360" w:line="360" w:lineRule="auto"/>
        <w:ind w:right="-159"/>
        <w:jc w:val="both"/>
        <w:rPr>
          <w:rFonts w:eastAsia="Calibri"/>
          <w:sz w:val="26"/>
          <w:szCs w:val="26"/>
          <w:lang w:eastAsia="en-US"/>
        </w:rPr>
      </w:pPr>
    </w:p>
    <w:p w14:paraId="344781CF" w14:textId="77777777" w:rsidR="00DA7FF3" w:rsidRDefault="00DA7FF3" w:rsidP="00DA7FF3">
      <w:pPr>
        <w:spacing w:after="360" w:line="360" w:lineRule="auto"/>
        <w:ind w:right="-159"/>
        <w:jc w:val="both"/>
        <w:rPr>
          <w:rFonts w:eastAsia="Calibri"/>
          <w:sz w:val="26"/>
          <w:szCs w:val="26"/>
          <w:lang w:eastAsia="en-US"/>
        </w:rPr>
      </w:pPr>
    </w:p>
    <w:p w14:paraId="364BAC14" w14:textId="77777777" w:rsidR="00DA7FF3" w:rsidRPr="00DA7FF3" w:rsidRDefault="00DA7FF3" w:rsidP="00DA7FF3">
      <w:pPr>
        <w:spacing w:after="360" w:line="360" w:lineRule="auto"/>
        <w:ind w:right="-159"/>
        <w:jc w:val="both"/>
        <w:rPr>
          <w:rFonts w:eastAsia="Calibri"/>
          <w:sz w:val="26"/>
          <w:szCs w:val="26"/>
          <w:lang w:eastAsia="en-US"/>
        </w:rPr>
      </w:pPr>
    </w:p>
    <w:tbl>
      <w:tblPr>
        <w:tblW w:w="8781" w:type="dxa"/>
        <w:jc w:val="center"/>
        <w:tblLayout w:type="fixed"/>
        <w:tblLook w:val="01E0" w:firstRow="1" w:lastRow="1" w:firstColumn="1" w:lastColumn="1" w:noHBand="0" w:noVBand="0"/>
      </w:tblPr>
      <w:tblGrid>
        <w:gridCol w:w="3233"/>
        <w:gridCol w:w="1136"/>
        <w:gridCol w:w="1103"/>
        <w:gridCol w:w="1103"/>
        <w:gridCol w:w="1103"/>
        <w:gridCol w:w="1103"/>
      </w:tblGrid>
      <w:tr w:rsidR="00DA7FF3" w:rsidRPr="00DA7FF3" w14:paraId="25B83D03" w14:textId="77777777" w:rsidTr="00DA7FF3">
        <w:trPr>
          <w:trHeight w:val="552"/>
          <w:jc w:val="center"/>
        </w:trPr>
        <w:tc>
          <w:tcPr>
            <w:tcW w:w="8781" w:type="dxa"/>
            <w:gridSpan w:val="6"/>
            <w:tcBorders>
              <w:top w:val="nil"/>
              <w:bottom w:val="single" w:sz="4" w:space="0" w:color="auto"/>
            </w:tcBorders>
            <w:shd w:val="clear" w:color="auto" w:fill="auto"/>
            <w:vAlign w:val="center"/>
          </w:tcPr>
          <w:p w14:paraId="6284D282"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lastRenderedPageBreak/>
              <w:t>UNIONES DE CRÉDITO: IMOR</w:t>
            </w:r>
            <w:r w:rsidRPr="00DA7FF3">
              <w:rPr>
                <w:rFonts w:eastAsia="Calibri"/>
                <w:b/>
                <w:sz w:val="22"/>
                <w:szCs w:val="22"/>
                <w:u w:val="single"/>
                <w:vertAlign w:val="superscript"/>
                <w:lang w:eastAsia="en-US"/>
              </w:rPr>
              <w:t>*</w:t>
            </w:r>
            <w:r w:rsidRPr="00DA7FF3">
              <w:rPr>
                <w:rFonts w:eastAsia="Calibri"/>
                <w:b/>
                <w:sz w:val="22"/>
                <w:szCs w:val="22"/>
                <w:vertAlign w:val="superscript"/>
                <w:lang w:eastAsia="en-US"/>
              </w:rPr>
              <w:t>/</w:t>
            </w:r>
          </w:p>
          <w:p w14:paraId="5BECC7C2" w14:textId="5B46B730"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-En porciento-</w:t>
            </w:r>
          </w:p>
        </w:tc>
      </w:tr>
      <w:tr w:rsidR="00DA7FF3" w:rsidRPr="00DA7FF3" w14:paraId="39F083E2" w14:textId="77777777" w:rsidTr="00DA7FF3">
        <w:trPr>
          <w:trHeight w:val="174"/>
          <w:jc w:val="center"/>
        </w:trPr>
        <w:tc>
          <w:tcPr>
            <w:tcW w:w="32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096645" w14:textId="77777777" w:rsidR="00DA7FF3" w:rsidRPr="00DA7FF3" w:rsidRDefault="00DA7FF3" w:rsidP="00DA7FF3">
            <w:pPr>
              <w:jc w:val="center"/>
              <w:rPr>
                <w:rFonts w:eastAsia="Calibri"/>
                <w:b/>
                <w:sz w:val="18"/>
                <w:szCs w:val="18"/>
                <w:lang w:eastAsia="en-US"/>
              </w:rPr>
            </w:pP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0BA5382A"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686797"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AFEDF"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en pp</w:t>
            </w:r>
          </w:p>
        </w:tc>
      </w:tr>
      <w:tr w:rsidR="00DA7FF3" w:rsidRPr="00DA7FF3" w14:paraId="67D30570" w14:textId="77777777" w:rsidTr="00DA7FF3">
        <w:trPr>
          <w:trHeight w:val="244"/>
          <w:jc w:val="center"/>
        </w:trPr>
        <w:tc>
          <w:tcPr>
            <w:tcW w:w="323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B004AE5" w14:textId="77777777" w:rsidR="00DA7FF3" w:rsidRPr="00DA7FF3" w:rsidRDefault="00DA7FF3" w:rsidP="00DA7FF3">
            <w:pPr>
              <w:jc w:val="center"/>
              <w:rPr>
                <w:rFonts w:eastAsia="Calibri"/>
                <w:b/>
                <w:sz w:val="18"/>
                <w:szCs w:val="18"/>
                <w:lang w:eastAsia="en-US"/>
              </w:rPr>
            </w:pP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35460C35"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5B4F1F00"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0565235D"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140A4A87"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Anual</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69D9E92B"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Trimestral</w:t>
            </w:r>
          </w:p>
        </w:tc>
      </w:tr>
      <w:tr w:rsidR="00DA7FF3" w:rsidRPr="00DA7FF3" w14:paraId="1EDDDD99" w14:textId="77777777" w:rsidTr="00DA7FF3">
        <w:trPr>
          <w:trHeight w:val="271"/>
          <w:jc w:val="center"/>
        </w:trPr>
        <w:tc>
          <w:tcPr>
            <w:tcW w:w="3233" w:type="dxa"/>
            <w:tcBorders>
              <w:top w:val="single" w:sz="4" w:space="0" w:color="auto"/>
              <w:left w:val="single" w:sz="4" w:space="0" w:color="auto"/>
              <w:right w:val="single" w:sz="4" w:space="0" w:color="auto"/>
            </w:tcBorders>
            <w:shd w:val="clear" w:color="auto" w:fill="auto"/>
            <w:vAlign w:val="center"/>
          </w:tcPr>
          <w:p w14:paraId="25848C54" w14:textId="77777777" w:rsidR="00DA7FF3" w:rsidRPr="00DA7FF3" w:rsidRDefault="00DA7FF3" w:rsidP="00DA7FF3">
            <w:pPr>
              <w:rPr>
                <w:rFonts w:eastAsia="Calibri"/>
                <w:sz w:val="18"/>
                <w:szCs w:val="18"/>
                <w:lang w:val="en-US" w:eastAsia="en-US"/>
              </w:rPr>
            </w:pPr>
            <w:r w:rsidRPr="00DA7FF3">
              <w:rPr>
                <w:rFonts w:eastAsia="Calibri"/>
                <w:sz w:val="18"/>
                <w:szCs w:val="18"/>
                <w:lang w:val="en-US" w:eastAsia="en-US"/>
              </w:rPr>
              <w:t>Cartera de crédito total</w:t>
            </w:r>
          </w:p>
        </w:tc>
        <w:tc>
          <w:tcPr>
            <w:tcW w:w="1136" w:type="dxa"/>
            <w:tcBorders>
              <w:top w:val="single" w:sz="4" w:space="0" w:color="auto"/>
              <w:left w:val="single" w:sz="4" w:space="0" w:color="auto"/>
              <w:right w:val="single" w:sz="4" w:space="0" w:color="auto"/>
            </w:tcBorders>
            <w:shd w:val="clear" w:color="auto" w:fill="auto"/>
            <w:vAlign w:val="center"/>
          </w:tcPr>
          <w:p w14:paraId="690848E8" w14:textId="77777777" w:rsidR="00DA7FF3" w:rsidRPr="00DA7FF3" w:rsidRDefault="00DA7FF3" w:rsidP="00DA7FF3">
            <w:pPr>
              <w:ind w:right="227"/>
              <w:jc w:val="right"/>
              <w:rPr>
                <w:rFonts w:eastAsia="Calibri"/>
                <w:b/>
                <w:sz w:val="16"/>
                <w:szCs w:val="16"/>
                <w:lang w:val="en-US" w:eastAsia="en-US"/>
              </w:rPr>
            </w:pPr>
            <w:r w:rsidRPr="00DA7FF3">
              <w:rPr>
                <w:rFonts w:eastAsia="Calibri"/>
                <w:b/>
                <w:sz w:val="16"/>
                <w:szCs w:val="16"/>
                <w:lang w:val="en-US" w:eastAsia="en-US"/>
              </w:rPr>
              <w:t>3.01</w:t>
            </w:r>
          </w:p>
        </w:tc>
        <w:tc>
          <w:tcPr>
            <w:tcW w:w="1103" w:type="dxa"/>
            <w:tcBorders>
              <w:top w:val="single" w:sz="4" w:space="0" w:color="auto"/>
              <w:left w:val="single" w:sz="4" w:space="0" w:color="auto"/>
              <w:right w:val="single" w:sz="4" w:space="0" w:color="auto"/>
            </w:tcBorders>
            <w:shd w:val="clear" w:color="auto" w:fill="auto"/>
            <w:vAlign w:val="center"/>
          </w:tcPr>
          <w:p w14:paraId="7DE1D6AD" w14:textId="77777777" w:rsidR="00DA7FF3" w:rsidRPr="00DA7FF3" w:rsidRDefault="00DA7FF3" w:rsidP="00DA7FF3">
            <w:pPr>
              <w:ind w:right="227"/>
              <w:jc w:val="right"/>
              <w:rPr>
                <w:rFonts w:eastAsia="Calibri"/>
                <w:b/>
                <w:sz w:val="16"/>
                <w:szCs w:val="16"/>
                <w:lang w:val="en-US" w:eastAsia="en-US"/>
              </w:rPr>
            </w:pPr>
            <w:r w:rsidRPr="00DA7FF3">
              <w:rPr>
                <w:rFonts w:eastAsia="Calibri"/>
                <w:b/>
                <w:sz w:val="16"/>
                <w:szCs w:val="16"/>
                <w:lang w:val="en-US" w:eastAsia="en-US"/>
              </w:rPr>
              <w:t>3.69</w:t>
            </w:r>
          </w:p>
        </w:tc>
        <w:tc>
          <w:tcPr>
            <w:tcW w:w="1103" w:type="dxa"/>
            <w:tcBorders>
              <w:top w:val="single" w:sz="4" w:space="0" w:color="auto"/>
              <w:left w:val="single" w:sz="4" w:space="0" w:color="auto"/>
              <w:right w:val="single" w:sz="4" w:space="0" w:color="auto"/>
            </w:tcBorders>
            <w:shd w:val="clear" w:color="auto" w:fill="auto"/>
            <w:vAlign w:val="center"/>
          </w:tcPr>
          <w:p w14:paraId="5BF5A85A" w14:textId="77777777" w:rsidR="00DA7FF3" w:rsidRPr="00DA7FF3" w:rsidRDefault="00DA7FF3" w:rsidP="00DA7FF3">
            <w:pPr>
              <w:ind w:right="284"/>
              <w:jc w:val="right"/>
              <w:rPr>
                <w:rFonts w:eastAsia="Calibri"/>
                <w:b/>
                <w:sz w:val="16"/>
                <w:szCs w:val="16"/>
                <w:lang w:val="en-US" w:eastAsia="en-US"/>
              </w:rPr>
            </w:pPr>
            <w:r w:rsidRPr="00DA7FF3">
              <w:rPr>
                <w:rFonts w:eastAsia="Calibri"/>
                <w:b/>
                <w:sz w:val="16"/>
                <w:szCs w:val="16"/>
                <w:lang w:val="en-US" w:eastAsia="en-US"/>
              </w:rPr>
              <w:t>3.25</w:t>
            </w:r>
          </w:p>
        </w:tc>
        <w:tc>
          <w:tcPr>
            <w:tcW w:w="1103" w:type="dxa"/>
            <w:tcBorders>
              <w:top w:val="single" w:sz="4" w:space="0" w:color="auto"/>
              <w:left w:val="single" w:sz="4" w:space="0" w:color="auto"/>
              <w:right w:val="single" w:sz="4" w:space="0" w:color="auto"/>
            </w:tcBorders>
            <w:shd w:val="clear" w:color="auto" w:fill="auto"/>
            <w:vAlign w:val="center"/>
          </w:tcPr>
          <w:p w14:paraId="7A48681F" w14:textId="77777777" w:rsidR="00DA7FF3" w:rsidRPr="00DA7FF3" w:rsidRDefault="00DA7FF3" w:rsidP="00DA7FF3">
            <w:pPr>
              <w:ind w:right="227"/>
              <w:jc w:val="right"/>
              <w:rPr>
                <w:rFonts w:eastAsia="Calibri"/>
                <w:b/>
                <w:sz w:val="16"/>
                <w:szCs w:val="16"/>
                <w:lang w:val="en-US" w:eastAsia="en-US"/>
              </w:rPr>
            </w:pPr>
            <w:r w:rsidRPr="00DA7FF3">
              <w:rPr>
                <w:rFonts w:eastAsia="Calibri"/>
                <w:b/>
                <w:sz w:val="16"/>
                <w:szCs w:val="16"/>
                <w:lang w:val="en-US" w:eastAsia="en-US"/>
              </w:rPr>
              <w:t>0.24</w:t>
            </w:r>
          </w:p>
        </w:tc>
        <w:tc>
          <w:tcPr>
            <w:tcW w:w="1103" w:type="dxa"/>
            <w:tcBorders>
              <w:top w:val="single" w:sz="4" w:space="0" w:color="auto"/>
              <w:left w:val="single" w:sz="4" w:space="0" w:color="auto"/>
              <w:right w:val="single" w:sz="4" w:space="0" w:color="auto"/>
            </w:tcBorders>
            <w:shd w:val="clear" w:color="auto" w:fill="auto"/>
            <w:vAlign w:val="center"/>
          </w:tcPr>
          <w:p w14:paraId="46CF6EE3" w14:textId="77777777" w:rsidR="00DA7FF3" w:rsidRPr="00DA7FF3" w:rsidRDefault="00DA7FF3" w:rsidP="00DA7FF3">
            <w:pPr>
              <w:ind w:right="170"/>
              <w:jc w:val="right"/>
              <w:rPr>
                <w:rFonts w:eastAsia="Calibri"/>
                <w:b/>
                <w:sz w:val="16"/>
                <w:szCs w:val="16"/>
                <w:lang w:val="en-US" w:eastAsia="en-US"/>
              </w:rPr>
            </w:pPr>
            <w:r w:rsidRPr="00DA7FF3">
              <w:rPr>
                <w:rFonts w:eastAsia="Calibri"/>
                <w:sz w:val="16"/>
                <w:szCs w:val="16"/>
                <w:lang w:val="en-US" w:eastAsia="en-US"/>
              </w:rPr>
              <w:t>-0.44</w:t>
            </w:r>
          </w:p>
        </w:tc>
      </w:tr>
      <w:tr w:rsidR="00DA7FF3" w:rsidRPr="00DA7FF3" w14:paraId="4584D629" w14:textId="77777777" w:rsidTr="00DA7FF3">
        <w:trPr>
          <w:trHeight w:val="271"/>
          <w:jc w:val="center"/>
        </w:trPr>
        <w:tc>
          <w:tcPr>
            <w:tcW w:w="3233" w:type="dxa"/>
            <w:tcBorders>
              <w:left w:val="single" w:sz="4" w:space="0" w:color="auto"/>
              <w:right w:val="single" w:sz="4" w:space="0" w:color="auto"/>
            </w:tcBorders>
            <w:shd w:val="clear" w:color="auto" w:fill="auto"/>
            <w:vAlign w:val="center"/>
          </w:tcPr>
          <w:p w14:paraId="408AF5F9"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Documentados con garantía inmobiliaria</w:t>
            </w:r>
          </w:p>
        </w:tc>
        <w:tc>
          <w:tcPr>
            <w:tcW w:w="1136" w:type="dxa"/>
            <w:tcBorders>
              <w:left w:val="single" w:sz="4" w:space="0" w:color="auto"/>
              <w:right w:val="single" w:sz="4" w:space="0" w:color="auto"/>
            </w:tcBorders>
            <w:shd w:val="clear" w:color="auto" w:fill="auto"/>
            <w:vAlign w:val="center"/>
          </w:tcPr>
          <w:p w14:paraId="2E0B1E8F"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5.15</w:t>
            </w:r>
          </w:p>
        </w:tc>
        <w:tc>
          <w:tcPr>
            <w:tcW w:w="1103" w:type="dxa"/>
            <w:tcBorders>
              <w:left w:val="single" w:sz="4" w:space="0" w:color="auto"/>
              <w:right w:val="single" w:sz="4" w:space="0" w:color="auto"/>
            </w:tcBorders>
            <w:shd w:val="clear" w:color="auto" w:fill="auto"/>
            <w:vAlign w:val="center"/>
          </w:tcPr>
          <w:p w14:paraId="7BA02A43"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6.30</w:t>
            </w:r>
          </w:p>
        </w:tc>
        <w:tc>
          <w:tcPr>
            <w:tcW w:w="1103" w:type="dxa"/>
            <w:tcBorders>
              <w:left w:val="single" w:sz="4" w:space="0" w:color="auto"/>
              <w:right w:val="single" w:sz="4" w:space="0" w:color="auto"/>
            </w:tcBorders>
            <w:shd w:val="clear" w:color="auto" w:fill="auto"/>
            <w:vAlign w:val="center"/>
          </w:tcPr>
          <w:p w14:paraId="4A825622" w14:textId="77777777" w:rsidR="00DA7FF3" w:rsidRPr="00DA7FF3" w:rsidRDefault="00DA7FF3" w:rsidP="00DA7FF3">
            <w:pPr>
              <w:ind w:right="284"/>
              <w:jc w:val="right"/>
              <w:rPr>
                <w:rFonts w:eastAsia="Calibri"/>
                <w:sz w:val="16"/>
                <w:szCs w:val="16"/>
                <w:lang w:val="en-US" w:eastAsia="en-US"/>
              </w:rPr>
            </w:pPr>
            <w:r w:rsidRPr="00DA7FF3">
              <w:rPr>
                <w:rFonts w:eastAsia="Calibri"/>
                <w:sz w:val="16"/>
                <w:szCs w:val="16"/>
                <w:lang w:val="en-US" w:eastAsia="en-US"/>
              </w:rPr>
              <w:t>5.51</w:t>
            </w:r>
          </w:p>
        </w:tc>
        <w:tc>
          <w:tcPr>
            <w:tcW w:w="1103" w:type="dxa"/>
            <w:tcBorders>
              <w:left w:val="single" w:sz="4" w:space="0" w:color="auto"/>
              <w:right w:val="single" w:sz="4" w:space="0" w:color="auto"/>
            </w:tcBorders>
            <w:shd w:val="clear" w:color="auto" w:fill="auto"/>
            <w:vAlign w:val="center"/>
          </w:tcPr>
          <w:p w14:paraId="052F31B1"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0.35</w:t>
            </w:r>
          </w:p>
        </w:tc>
        <w:tc>
          <w:tcPr>
            <w:tcW w:w="1103" w:type="dxa"/>
            <w:tcBorders>
              <w:left w:val="single" w:sz="4" w:space="0" w:color="auto"/>
              <w:right w:val="single" w:sz="4" w:space="0" w:color="auto"/>
            </w:tcBorders>
            <w:shd w:val="clear" w:color="auto" w:fill="auto"/>
            <w:vAlign w:val="center"/>
          </w:tcPr>
          <w:p w14:paraId="7E9216E2" w14:textId="77777777" w:rsidR="00DA7FF3" w:rsidRPr="00DA7FF3" w:rsidRDefault="00DA7FF3" w:rsidP="00DA7FF3">
            <w:pPr>
              <w:ind w:right="170"/>
              <w:jc w:val="right"/>
              <w:rPr>
                <w:rFonts w:eastAsia="Calibri"/>
                <w:b/>
                <w:sz w:val="16"/>
                <w:szCs w:val="16"/>
                <w:lang w:val="en-US" w:eastAsia="en-US"/>
              </w:rPr>
            </w:pPr>
            <w:r w:rsidRPr="00DA7FF3">
              <w:rPr>
                <w:rFonts w:eastAsia="Calibri"/>
                <w:sz w:val="16"/>
                <w:szCs w:val="16"/>
                <w:lang w:val="en-US" w:eastAsia="en-US"/>
              </w:rPr>
              <w:t>-0.79</w:t>
            </w:r>
          </w:p>
        </w:tc>
      </w:tr>
      <w:tr w:rsidR="00DA7FF3" w:rsidRPr="00DA7FF3" w14:paraId="22E1AE44" w14:textId="77777777" w:rsidTr="00DA7FF3">
        <w:trPr>
          <w:trHeight w:val="271"/>
          <w:jc w:val="center"/>
        </w:trPr>
        <w:tc>
          <w:tcPr>
            <w:tcW w:w="3233" w:type="dxa"/>
            <w:tcBorders>
              <w:left w:val="single" w:sz="4" w:space="0" w:color="auto"/>
              <w:right w:val="single" w:sz="4" w:space="0" w:color="auto"/>
            </w:tcBorders>
            <w:shd w:val="clear" w:color="auto" w:fill="auto"/>
            <w:vAlign w:val="center"/>
          </w:tcPr>
          <w:p w14:paraId="1418B8B1"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Documentados con otras garantías</w:t>
            </w:r>
          </w:p>
        </w:tc>
        <w:tc>
          <w:tcPr>
            <w:tcW w:w="1136" w:type="dxa"/>
            <w:tcBorders>
              <w:left w:val="single" w:sz="4" w:space="0" w:color="auto"/>
              <w:right w:val="single" w:sz="4" w:space="0" w:color="auto"/>
            </w:tcBorders>
            <w:shd w:val="clear" w:color="auto" w:fill="auto"/>
            <w:vAlign w:val="center"/>
          </w:tcPr>
          <w:p w14:paraId="137210F5"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1.31</w:t>
            </w:r>
          </w:p>
        </w:tc>
        <w:tc>
          <w:tcPr>
            <w:tcW w:w="1103" w:type="dxa"/>
            <w:tcBorders>
              <w:left w:val="single" w:sz="4" w:space="0" w:color="auto"/>
              <w:right w:val="single" w:sz="4" w:space="0" w:color="auto"/>
            </w:tcBorders>
            <w:shd w:val="clear" w:color="auto" w:fill="auto"/>
            <w:vAlign w:val="center"/>
          </w:tcPr>
          <w:p w14:paraId="1A013264"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1.61</w:t>
            </w:r>
          </w:p>
        </w:tc>
        <w:tc>
          <w:tcPr>
            <w:tcW w:w="1103" w:type="dxa"/>
            <w:tcBorders>
              <w:left w:val="single" w:sz="4" w:space="0" w:color="auto"/>
              <w:right w:val="single" w:sz="4" w:space="0" w:color="auto"/>
            </w:tcBorders>
            <w:shd w:val="clear" w:color="auto" w:fill="auto"/>
            <w:vAlign w:val="center"/>
          </w:tcPr>
          <w:p w14:paraId="3AF6E053" w14:textId="77777777" w:rsidR="00DA7FF3" w:rsidRPr="00DA7FF3" w:rsidRDefault="00DA7FF3" w:rsidP="00DA7FF3">
            <w:pPr>
              <w:ind w:right="284"/>
              <w:jc w:val="right"/>
              <w:rPr>
                <w:rFonts w:eastAsia="Calibri"/>
                <w:sz w:val="16"/>
                <w:szCs w:val="16"/>
                <w:lang w:val="en-US" w:eastAsia="en-US"/>
              </w:rPr>
            </w:pPr>
            <w:r w:rsidRPr="00DA7FF3">
              <w:rPr>
                <w:rFonts w:eastAsia="Calibri"/>
                <w:sz w:val="16"/>
                <w:szCs w:val="16"/>
                <w:lang w:val="en-US" w:eastAsia="en-US"/>
              </w:rPr>
              <w:t>1.51</w:t>
            </w:r>
          </w:p>
        </w:tc>
        <w:tc>
          <w:tcPr>
            <w:tcW w:w="1103" w:type="dxa"/>
            <w:tcBorders>
              <w:left w:val="single" w:sz="4" w:space="0" w:color="auto"/>
              <w:right w:val="single" w:sz="4" w:space="0" w:color="auto"/>
            </w:tcBorders>
            <w:shd w:val="clear" w:color="auto" w:fill="auto"/>
            <w:vAlign w:val="center"/>
          </w:tcPr>
          <w:p w14:paraId="2C089A42"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0.20</w:t>
            </w:r>
          </w:p>
        </w:tc>
        <w:tc>
          <w:tcPr>
            <w:tcW w:w="1103" w:type="dxa"/>
            <w:tcBorders>
              <w:left w:val="single" w:sz="4" w:space="0" w:color="auto"/>
              <w:right w:val="single" w:sz="4" w:space="0" w:color="auto"/>
            </w:tcBorders>
            <w:shd w:val="clear" w:color="auto" w:fill="auto"/>
            <w:vAlign w:val="center"/>
          </w:tcPr>
          <w:p w14:paraId="6112A21A" w14:textId="77777777" w:rsidR="00DA7FF3" w:rsidRPr="00DA7FF3" w:rsidRDefault="00DA7FF3" w:rsidP="00DA7FF3">
            <w:pPr>
              <w:ind w:right="170"/>
              <w:jc w:val="right"/>
              <w:rPr>
                <w:rFonts w:eastAsia="Calibri"/>
                <w:b/>
                <w:sz w:val="16"/>
                <w:szCs w:val="16"/>
                <w:lang w:val="en-US" w:eastAsia="en-US"/>
              </w:rPr>
            </w:pPr>
            <w:r w:rsidRPr="00DA7FF3">
              <w:rPr>
                <w:rFonts w:eastAsia="Calibri"/>
                <w:sz w:val="16"/>
                <w:szCs w:val="16"/>
                <w:lang w:val="en-US" w:eastAsia="en-US"/>
              </w:rPr>
              <w:t>-0.11</w:t>
            </w:r>
          </w:p>
        </w:tc>
      </w:tr>
      <w:tr w:rsidR="00DA7FF3" w:rsidRPr="00DA7FF3" w14:paraId="436469DD" w14:textId="77777777" w:rsidTr="00DA7FF3">
        <w:trPr>
          <w:trHeight w:val="271"/>
          <w:jc w:val="center"/>
        </w:trPr>
        <w:tc>
          <w:tcPr>
            <w:tcW w:w="3233" w:type="dxa"/>
            <w:tcBorders>
              <w:left w:val="single" w:sz="4" w:space="0" w:color="auto"/>
              <w:bottom w:val="single" w:sz="4" w:space="0" w:color="auto"/>
              <w:right w:val="single" w:sz="4" w:space="0" w:color="auto"/>
            </w:tcBorders>
            <w:shd w:val="clear" w:color="auto" w:fill="auto"/>
            <w:vAlign w:val="center"/>
          </w:tcPr>
          <w:p w14:paraId="46E732FB"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Sin garantía</w:t>
            </w:r>
          </w:p>
        </w:tc>
        <w:tc>
          <w:tcPr>
            <w:tcW w:w="1136" w:type="dxa"/>
            <w:tcBorders>
              <w:left w:val="single" w:sz="4" w:space="0" w:color="auto"/>
              <w:bottom w:val="single" w:sz="4" w:space="0" w:color="auto"/>
              <w:right w:val="single" w:sz="4" w:space="0" w:color="auto"/>
            </w:tcBorders>
            <w:shd w:val="clear" w:color="auto" w:fill="auto"/>
            <w:vAlign w:val="center"/>
          </w:tcPr>
          <w:p w14:paraId="2E9B9D94"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2.36</w:t>
            </w:r>
          </w:p>
        </w:tc>
        <w:tc>
          <w:tcPr>
            <w:tcW w:w="1103" w:type="dxa"/>
            <w:tcBorders>
              <w:left w:val="single" w:sz="4" w:space="0" w:color="auto"/>
              <w:bottom w:val="single" w:sz="4" w:space="0" w:color="auto"/>
              <w:right w:val="single" w:sz="4" w:space="0" w:color="auto"/>
            </w:tcBorders>
            <w:shd w:val="clear" w:color="auto" w:fill="auto"/>
            <w:vAlign w:val="center"/>
          </w:tcPr>
          <w:p w14:paraId="22F8FACD"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3.62</w:t>
            </w:r>
          </w:p>
        </w:tc>
        <w:tc>
          <w:tcPr>
            <w:tcW w:w="1103" w:type="dxa"/>
            <w:tcBorders>
              <w:left w:val="single" w:sz="4" w:space="0" w:color="auto"/>
              <w:bottom w:val="single" w:sz="4" w:space="0" w:color="auto"/>
              <w:right w:val="single" w:sz="4" w:space="0" w:color="auto"/>
            </w:tcBorders>
            <w:shd w:val="clear" w:color="auto" w:fill="auto"/>
            <w:vAlign w:val="center"/>
          </w:tcPr>
          <w:p w14:paraId="44BA619D" w14:textId="77777777" w:rsidR="00DA7FF3" w:rsidRPr="00DA7FF3" w:rsidRDefault="00DA7FF3" w:rsidP="00DA7FF3">
            <w:pPr>
              <w:ind w:right="284"/>
              <w:jc w:val="right"/>
              <w:rPr>
                <w:rFonts w:eastAsia="Calibri"/>
                <w:sz w:val="16"/>
                <w:szCs w:val="16"/>
                <w:lang w:val="en-US" w:eastAsia="en-US"/>
              </w:rPr>
            </w:pPr>
            <w:r w:rsidRPr="00DA7FF3">
              <w:rPr>
                <w:rFonts w:eastAsia="Calibri"/>
                <w:sz w:val="16"/>
                <w:szCs w:val="16"/>
                <w:lang w:val="en-US" w:eastAsia="en-US"/>
              </w:rPr>
              <w:t>2.15</w:t>
            </w:r>
          </w:p>
        </w:tc>
        <w:tc>
          <w:tcPr>
            <w:tcW w:w="1103" w:type="dxa"/>
            <w:tcBorders>
              <w:left w:val="single" w:sz="4" w:space="0" w:color="auto"/>
              <w:bottom w:val="single" w:sz="4" w:space="0" w:color="auto"/>
              <w:right w:val="single" w:sz="4" w:space="0" w:color="auto"/>
            </w:tcBorders>
            <w:shd w:val="clear" w:color="auto" w:fill="auto"/>
            <w:vAlign w:val="center"/>
          </w:tcPr>
          <w:p w14:paraId="3D3FA764" w14:textId="77777777" w:rsidR="00DA7FF3" w:rsidRPr="00DA7FF3" w:rsidRDefault="00DA7FF3" w:rsidP="00DA7FF3">
            <w:pPr>
              <w:ind w:right="227"/>
              <w:jc w:val="right"/>
              <w:rPr>
                <w:rFonts w:eastAsia="Calibri"/>
                <w:sz w:val="16"/>
                <w:szCs w:val="16"/>
                <w:lang w:val="en-US" w:eastAsia="en-US"/>
              </w:rPr>
            </w:pPr>
            <w:r w:rsidRPr="00DA7FF3">
              <w:rPr>
                <w:rFonts w:eastAsia="Calibri"/>
                <w:sz w:val="16"/>
                <w:szCs w:val="16"/>
                <w:lang w:val="en-US" w:eastAsia="en-US"/>
              </w:rPr>
              <w:t>-0.21</w:t>
            </w:r>
          </w:p>
        </w:tc>
        <w:tc>
          <w:tcPr>
            <w:tcW w:w="1103" w:type="dxa"/>
            <w:tcBorders>
              <w:left w:val="single" w:sz="4" w:space="0" w:color="auto"/>
              <w:bottom w:val="single" w:sz="4" w:space="0" w:color="auto"/>
              <w:right w:val="single" w:sz="4" w:space="0" w:color="auto"/>
            </w:tcBorders>
            <w:shd w:val="clear" w:color="auto" w:fill="auto"/>
            <w:vAlign w:val="center"/>
          </w:tcPr>
          <w:p w14:paraId="4E057B9F" w14:textId="77777777" w:rsidR="00DA7FF3" w:rsidRPr="00DA7FF3" w:rsidRDefault="00DA7FF3" w:rsidP="00DA7FF3">
            <w:pPr>
              <w:ind w:right="170"/>
              <w:jc w:val="right"/>
              <w:rPr>
                <w:rFonts w:eastAsia="Calibri"/>
                <w:b/>
                <w:sz w:val="16"/>
                <w:szCs w:val="16"/>
                <w:lang w:val="en-US" w:eastAsia="en-US"/>
              </w:rPr>
            </w:pPr>
            <w:r w:rsidRPr="00DA7FF3">
              <w:rPr>
                <w:rFonts w:eastAsia="Calibri"/>
                <w:sz w:val="16"/>
                <w:szCs w:val="16"/>
                <w:lang w:val="en-US" w:eastAsia="en-US"/>
              </w:rPr>
              <w:t>-1.48</w:t>
            </w:r>
          </w:p>
        </w:tc>
      </w:tr>
      <w:tr w:rsidR="00DA7FF3" w:rsidRPr="00DA7FF3" w14:paraId="622CCEA5" w14:textId="77777777" w:rsidTr="00DA7FF3">
        <w:tblPrEx>
          <w:tblBorders>
            <w:top w:val="single" w:sz="8" w:space="0" w:color="9BBB59"/>
          </w:tblBorders>
        </w:tblPrEx>
        <w:trPr>
          <w:trHeight w:val="261"/>
          <w:jc w:val="center"/>
        </w:trPr>
        <w:tc>
          <w:tcPr>
            <w:tcW w:w="8781" w:type="dxa"/>
            <w:gridSpan w:val="6"/>
            <w:tcBorders>
              <w:top w:val="single" w:sz="4" w:space="0" w:color="auto"/>
              <w:bottom w:val="nil"/>
            </w:tcBorders>
            <w:shd w:val="clear" w:color="auto" w:fill="auto"/>
            <w:vAlign w:val="center"/>
          </w:tcPr>
          <w:p w14:paraId="7E3E1AB9" w14:textId="77777777" w:rsidR="00DA7FF3" w:rsidRPr="005061B6" w:rsidRDefault="00DA7FF3" w:rsidP="00DA7FF3">
            <w:pPr>
              <w:rPr>
                <w:rFonts w:eastAsia="Calibri"/>
                <w:b/>
                <w:sz w:val="18"/>
                <w:szCs w:val="18"/>
                <w:lang w:eastAsia="en-US"/>
              </w:rPr>
            </w:pPr>
            <w:r w:rsidRPr="005061B6">
              <w:rPr>
                <w:rFonts w:eastAsia="Calibri"/>
                <w:sz w:val="18"/>
                <w:szCs w:val="18"/>
                <w:u w:val="single"/>
                <w:lang w:eastAsia="en-US"/>
              </w:rPr>
              <w:t>*</w:t>
            </w:r>
            <w:r w:rsidRPr="005061B6">
              <w:rPr>
                <w:rFonts w:eastAsia="Calibri"/>
                <w:sz w:val="18"/>
                <w:szCs w:val="18"/>
                <w:lang w:eastAsia="en-US"/>
              </w:rPr>
              <w:t>/ IMOR = Cartera vencida / cartera total.</w:t>
            </w:r>
          </w:p>
          <w:p w14:paraId="2F942A70" w14:textId="77777777" w:rsidR="00DA7FF3" w:rsidRPr="005061B6" w:rsidRDefault="00DA7FF3" w:rsidP="00DA7FF3">
            <w:pPr>
              <w:rPr>
                <w:rFonts w:eastAsia="Calibri"/>
                <w:b/>
                <w:sz w:val="18"/>
                <w:szCs w:val="18"/>
                <w:lang w:eastAsia="en-US"/>
              </w:rPr>
            </w:pPr>
            <w:r w:rsidRPr="005061B6">
              <w:rPr>
                <w:rFonts w:eastAsia="Calibri"/>
                <w:sz w:val="18"/>
                <w:szCs w:val="18"/>
                <w:lang w:eastAsia="en-US"/>
              </w:rPr>
              <w:t>FUENTE: CNBV.</w:t>
            </w:r>
          </w:p>
        </w:tc>
      </w:tr>
    </w:tbl>
    <w:p w14:paraId="6C00867A" w14:textId="77777777" w:rsidR="00DA7FF3" w:rsidRPr="00DA7FF3" w:rsidRDefault="00DA7FF3" w:rsidP="00DA7FF3">
      <w:pPr>
        <w:spacing w:after="360" w:line="360" w:lineRule="auto"/>
        <w:ind w:left="227" w:right="-159"/>
        <w:jc w:val="both"/>
        <w:rPr>
          <w:rFonts w:eastAsia="Calibri"/>
          <w:sz w:val="26"/>
          <w:szCs w:val="26"/>
          <w:lang w:eastAsia="en-US"/>
        </w:rPr>
      </w:pPr>
    </w:p>
    <w:p w14:paraId="6B33DDCB"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t>Captación</w:t>
      </w:r>
    </w:p>
    <w:p w14:paraId="3FD0AF1B"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Al cierre de 2014, los préstamos de corto plazo (con plazo por vencer de hasta un año) representaron 80.8% de la captación total, con un saldo mayor en 3.4% que el registrado en el mismo período del año anterior. Los préstamos de largo plazo tuvieron una participación de 19.2% de la captación total e incrementaron en 4.6% con respecto al mismo mes de 2013.</w:t>
      </w:r>
    </w:p>
    <w:p w14:paraId="43DA6A1D"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En cuanto a las fuentes de financiamiento, los préstamos de socios representaron 76.9% de la captación y crecieron 3.8% para alcanzar 27 442 mdp. El saldo de los préstamos bancarios participó en 20.4% de la captación y aumentó 9.8% para llegar a 7 mil 273 mdp. Por su parte, los préstamos de otros organismos representaron 2.7% del total de la captación alcanzando 961 mdp.</w:t>
      </w:r>
    </w:p>
    <w:p w14:paraId="2D25A311" w14:textId="77777777" w:rsidR="00DA7FF3" w:rsidRPr="00DA7FF3" w:rsidRDefault="00DA7FF3" w:rsidP="00DA7FF3">
      <w:pPr>
        <w:spacing w:after="360" w:line="360" w:lineRule="auto"/>
        <w:ind w:right="-159"/>
        <w:jc w:val="both"/>
        <w:rPr>
          <w:rFonts w:eastAsia="Calibri"/>
          <w:sz w:val="26"/>
          <w:szCs w:val="26"/>
          <w:lang w:eastAsia="en-US"/>
        </w:rPr>
      </w:pPr>
    </w:p>
    <w:p w14:paraId="17ED966D" w14:textId="77777777" w:rsidR="00DA7FF3" w:rsidRPr="00DA7FF3" w:rsidRDefault="00DA7FF3" w:rsidP="00DA7FF3">
      <w:pPr>
        <w:spacing w:after="360" w:line="360" w:lineRule="auto"/>
        <w:ind w:right="-159"/>
        <w:jc w:val="both"/>
        <w:rPr>
          <w:rFonts w:eastAsia="Calibri"/>
          <w:sz w:val="26"/>
          <w:szCs w:val="26"/>
          <w:lang w:eastAsia="en-US"/>
        </w:rPr>
      </w:pPr>
    </w:p>
    <w:p w14:paraId="10B07F82" w14:textId="77777777" w:rsidR="00DA7FF3" w:rsidRPr="00DA7FF3" w:rsidRDefault="00DA7FF3" w:rsidP="00DA7FF3">
      <w:pPr>
        <w:spacing w:after="360" w:line="360" w:lineRule="auto"/>
        <w:ind w:right="-159"/>
        <w:jc w:val="both"/>
        <w:rPr>
          <w:rFonts w:eastAsia="Calibri"/>
          <w:sz w:val="26"/>
          <w:szCs w:val="26"/>
          <w:lang w:eastAsia="en-US"/>
        </w:rPr>
      </w:pPr>
    </w:p>
    <w:p w14:paraId="5E1862A2" w14:textId="77777777" w:rsidR="00DA7FF3" w:rsidRPr="00DA7FF3" w:rsidRDefault="00DA7FF3" w:rsidP="00DA7FF3">
      <w:pPr>
        <w:spacing w:after="360" w:line="360" w:lineRule="auto"/>
        <w:ind w:right="-159"/>
        <w:jc w:val="both"/>
        <w:rPr>
          <w:rFonts w:eastAsia="Calibri"/>
          <w:sz w:val="26"/>
          <w:szCs w:val="26"/>
          <w:lang w:eastAsia="en-US"/>
        </w:rPr>
      </w:pPr>
    </w:p>
    <w:tbl>
      <w:tblPr>
        <w:tblW w:w="8781" w:type="dxa"/>
        <w:jc w:val="center"/>
        <w:tblLayout w:type="fixed"/>
        <w:tblLook w:val="01E0" w:firstRow="1" w:lastRow="1" w:firstColumn="1" w:lastColumn="1" w:noHBand="0" w:noVBand="0"/>
      </w:tblPr>
      <w:tblGrid>
        <w:gridCol w:w="3266"/>
        <w:gridCol w:w="1103"/>
        <w:gridCol w:w="1103"/>
        <w:gridCol w:w="1103"/>
        <w:gridCol w:w="1103"/>
        <w:gridCol w:w="1103"/>
      </w:tblGrid>
      <w:tr w:rsidR="00DA7FF3" w:rsidRPr="00DA7FF3" w14:paraId="058C9033" w14:textId="77777777" w:rsidTr="00DA7FF3">
        <w:trPr>
          <w:trHeight w:val="552"/>
          <w:jc w:val="center"/>
        </w:trPr>
        <w:tc>
          <w:tcPr>
            <w:tcW w:w="8781" w:type="dxa"/>
            <w:gridSpan w:val="6"/>
            <w:tcBorders>
              <w:top w:val="nil"/>
              <w:bottom w:val="single" w:sz="4" w:space="0" w:color="auto"/>
            </w:tcBorders>
            <w:shd w:val="clear" w:color="auto" w:fill="auto"/>
            <w:vAlign w:val="center"/>
          </w:tcPr>
          <w:p w14:paraId="688CDAD5"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lastRenderedPageBreak/>
              <w:t>UNIONES DE CRÉDITO: CAPTACIÓN</w:t>
            </w:r>
          </w:p>
          <w:p w14:paraId="5D3641F1" w14:textId="249BD31E"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-Saldos en millones de pesos-</w:t>
            </w:r>
          </w:p>
        </w:tc>
      </w:tr>
      <w:tr w:rsidR="00DA7FF3" w:rsidRPr="00DA7FF3" w14:paraId="155A8CB7" w14:textId="77777777" w:rsidTr="00DA7FF3">
        <w:trPr>
          <w:trHeight w:val="174"/>
          <w:jc w:val="center"/>
        </w:trPr>
        <w:tc>
          <w:tcPr>
            <w:tcW w:w="32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84993D"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05F7B984"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94B647"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1738B"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w:t>
            </w:r>
          </w:p>
        </w:tc>
      </w:tr>
      <w:tr w:rsidR="00DA7FF3" w:rsidRPr="00DA7FF3" w14:paraId="0FE605A0" w14:textId="77777777" w:rsidTr="00DA7FF3">
        <w:trPr>
          <w:trHeight w:val="244"/>
          <w:jc w:val="center"/>
        </w:trPr>
        <w:tc>
          <w:tcPr>
            <w:tcW w:w="32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D50D90" w14:textId="77777777" w:rsidR="00DA7FF3" w:rsidRPr="00DA7FF3" w:rsidRDefault="00DA7FF3" w:rsidP="00DA7FF3">
            <w:pPr>
              <w:jc w:val="center"/>
              <w:rPr>
                <w:rFonts w:eastAsia="Calibri"/>
                <w:b/>
                <w:sz w:val="18"/>
                <w:szCs w:val="18"/>
                <w:lang w:eastAsia="en-US"/>
              </w:rPr>
            </w:pP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0176394A"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2F80758B"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6E2A2F09"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635B53EE"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Anual</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tcPr>
          <w:p w14:paraId="41AFCA05"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Trimestral</w:t>
            </w:r>
          </w:p>
        </w:tc>
      </w:tr>
      <w:tr w:rsidR="00DA7FF3" w:rsidRPr="00DA7FF3" w14:paraId="5EE7D129" w14:textId="77777777" w:rsidTr="00DA7FF3">
        <w:trPr>
          <w:trHeight w:val="271"/>
          <w:jc w:val="center"/>
        </w:trPr>
        <w:tc>
          <w:tcPr>
            <w:tcW w:w="3266" w:type="dxa"/>
            <w:tcBorders>
              <w:top w:val="single" w:sz="4" w:space="0" w:color="auto"/>
              <w:left w:val="single" w:sz="4" w:space="0" w:color="auto"/>
              <w:right w:val="single" w:sz="4" w:space="0" w:color="auto"/>
            </w:tcBorders>
            <w:shd w:val="clear" w:color="auto" w:fill="auto"/>
            <w:vAlign w:val="center"/>
          </w:tcPr>
          <w:p w14:paraId="06727C82" w14:textId="77777777" w:rsidR="00DA7FF3" w:rsidRPr="00DA7FF3" w:rsidRDefault="00DA7FF3" w:rsidP="00DA7FF3">
            <w:pPr>
              <w:rPr>
                <w:rFonts w:eastAsia="Calibri"/>
                <w:sz w:val="18"/>
                <w:szCs w:val="18"/>
                <w:lang w:eastAsia="en-US"/>
              </w:rPr>
            </w:pPr>
            <w:r w:rsidRPr="00DA7FF3">
              <w:rPr>
                <w:rFonts w:eastAsia="Calibri"/>
                <w:sz w:val="18"/>
                <w:szCs w:val="18"/>
                <w:lang w:eastAsia="en-US"/>
              </w:rPr>
              <w:t>Préstamos bancarios, de socios y otros organismos</w:t>
            </w:r>
          </w:p>
        </w:tc>
        <w:tc>
          <w:tcPr>
            <w:tcW w:w="1103" w:type="dxa"/>
            <w:tcBorders>
              <w:top w:val="single" w:sz="4" w:space="0" w:color="auto"/>
              <w:left w:val="single" w:sz="4" w:space="0" w:color="auto"/>
              <w:right w:val="single" w:sz="4" w:space="0" w:color="auto"/>
            </w:tcBorders>
            <w:shd w:val="clear" w:color="auto" w:fill="auto"/>
            <w:vAlign w:val="center"/>
          </w:tcPr>
          <w:p w14:paraId="711F2F3C"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34 435</w:t>
            </w:r>
          </w:p>
        </w:tc>
        <w:tc>
          <w:tcPr>
            <w:tcW w:w="1103" w:type="dxa"/>
            <w:tcBorders>
              <w:top w:val="single" w:sz="4" w:space="0" w:color="auto"/>
              <w:left w:val="single" w:sz="4" w:space="0" w:color="auto"/>
              <w:right w:val="single" w:sz="4" w:space="0" w:color="auto"/>
            </w:tcBorders>
            <w:shd w:val="clear" w:color="auto" w:fill="auto"/>
            <w:vAlign w:val="center"/>
          </w:tcPr>
          <w:p w14:paraId="546410D9"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35 480</w:t>
            </w:r>
          </w:p>
        </w:tc>
        <w:tc>
          <w:tcPr>
            <w:tcW w:w="1103" w:type="dxa"/>
            <w:tcBorders>
              <w:top w:val="single" w:sz="4" w:space="0" w:color="auto"/>
              <w:left w:val="single" w:sz="4" w:space="0" w:color="auto"/>
              <w:right w:val="single" w:sz="4" w:space="0" w:color="auto"/>
            </w:tcBorders>
            <w:shd w:val="clear" w:color="auto" w:fill="auto"/>
            <w:vAlign w:val="center"/>
          </w:tcPr>
          <w:p w14:paraId="1DE73F02"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35 676</w:t>
            </w:r>
          </w:p>
        </w:tc>
        <w:tc>
          <w:tcPr>
            <w:tcW w:w="1103" w:type="dxa"/>
            <w:tcBorders>
              <w:top w:val="single" w:sz="4" w:space="0" w:color="auto"/>
              <w:left w:val="single" w:sz="4" w:space="0" w:color="auto"/>
              <w:right w:val="single" w:sz="4" w:space="0" w:color="auto"/>
            </w:tcBorders>
            <w:shd w:val="clear" w:color="auto" w:fill="auto"/>
            <w:vAlign w:val="center"/>
          </w:tcPr>
          <w:p w14:paraId="4B68F1F6"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3.6</w:t>
            </w:r>
          </w:p>
        </w:tc>
        <w:tc>
          <w:tcPr>
            <w:tcW w:w="1103" w:type="dxa"/>
            <w:tcBorders>
              <w:top w:val="single" w:sz="4" w:space="0" w:color="auto"/>
              <w:left w:val="single" w:sz="4" w:space="0" w:color="auto"/>
              <w:right w:val="single" w:sz="4" w:space="0" w:color="auto"/>
            </w:tcBorders>
            <w:shd w:val="clear" w:color="auto" w:fill="auto"/>
            <w:vAlign w:val="center"/>
          </w:tcPr>
          <w:p w14:paraId="14175A17"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0.6</w:t>
            </w:r>
          </w:p>
        </w:tc>
      </w:tr>
      <w:tr w:rsidR="00DA7FF3" w:rsidRPr="00DA7FF3" w14:paraId="1D9F5E98"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7E50038F"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bancarios</w:t>
            </w:r>
          </w:p>
        </w:tc>
        <w:tc>
          <w:tcPr>
            <w:tcW w:w="1103" w:type="dxa"/>
            <w:tcBorders>
              <w:left w:val="single" w:sz="4" w:space="0" w:color="auto"/>
              <w:right w:val="single" w:sz="4" w:space="0" w:color="auto"/>
            </w:tcBorders>
            <w:shd w:val="clear" w:color="auto" w:fill="auto"/>
            <w:vAlign w:val="center"/>
          </w:tcPr>
          <w:p w14:paraId="5EA573D7"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6 622</w:t>
            </w:r>
          </w:p>
        </w:tc>
        <w:tc>
          <w:tcPr>
            <w:tcW w:w="1103" w:type="dxa"/>
            <w:tcBorders>
              <w:left w:val="single" w:sz="4" w:space="0" w:color="auto"/>
              <w:right w:val="single" w:sz="4" w:space="0" w:color="auto"/>
            </w:tcBorders>
            <w:shd w:val="clear" w:color="auto" w:fill="auto"/>
            <w:vAlign w:val="center"/>
          </w:tcPr>
          <w:p w14:paraId="0C59F8B8"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6 713</w:t>
            </w:r>
          </w:p>
        </w:tc>
        <w:tc>
          <w:tcPr>
            <w:tcW w:w="1103" w:type="dxa"/>
            <w:tcBorders>
              <w:left w:val="single" w:sz="4" w:space="0" w:color="auto"/>
              <w:right w:val="single" w:sz="4" w:space="0" w:color="auto"/>
            </w:tcBorders>
            <w:shd w:val="clear" w:color="auto" w:fill="auto"/>
            <w:vAlign w:val="center"/>
          </w:tcPr>
          <w:p w14:paraId="72A756C0"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7 273</w:t>
            </w:r>
          </w:p>
        </w:tc>
        <w:tc>
          <w:tcPr>
            <w:tcW w:w="1103" w:type="dxa"/>
            <w:tcBorders>
              <w:left w:val="single" w:sz="4" w:space="0" w:color="auto"/>
              <w:right w:val="single" w:sz="4" w:space="0" w:color="auto"/>
            </w:tcBorders>
            <w:shd w:val="clear" w:color="auto" w:fill="auto"/>
            <w:vAlign w:val="center"/>
          </w:tcPr>
          <w:p w14:paraId="18B7EE87"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9.8</w:t>
            </w:r>
          </w:p>
        </w:tc>
        <w:tc>
          <w:tcPr>
            <w:tcW w:w="1103" w:type="dxa"/>
            <w:tcBorders>
              <w:left w:val="single" w:sz="4" w:space="0" w:color="auto"/>
              <w:right w:val="single" w:sz="4" w:space="0" w:color="auto"/>
            </w:tcBorders>
            <w:shd w:val="clear" w:color="auto" w:fill="auto"/>
            <w:vAlign w:val="center"/>
          </w:tcPr>
          <w:p w14:paraId="63465E5F"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8.4</w:t>
            </w:r>
          </w:p>
        </w:tc>
      </w:tr>
      <w:tr w:rsidR="00DA7FF3" w:rsidRPr="00DA7FF3" w14:paraId="019B98A7"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05FCBF45"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socios</w:t>
            </w:r>
          </w:p>
        </w:tc>
        <w:tc>
          <w:tcPr>
            <w:tcW w:w="1103" w:type="dxa"/>
            <w:tcBorders>
              <w:left w:val="single" w:sz="4" w:space="0" w:color="auto"/>
              <w:right w:val="single" w:sz="4" w:space="0" w:color="auto"/>
            </w:tcBorders>
            <w:shd w:val="clear" w:color="auto" w:fill="auto"/>
            <w:vAlign w:val="center"/>
          </w:tcPr>
          <w:p w14:paraId="4C426992"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26 438</w:t>
            </w:r>
          </w:p>
        </w:tc>
        <w:tc>
          <w:tcPr>
            <w:tcW w:w="1103" w:type="dxa"/>
            <w:tcBorders>
              <w:left w:val="single" w:sz="4" w:space="0" w:color="auto"/>
              <w:right w:val="single" w:sz="4" w:space="0" w:color="auto"/>
            </w:tcBorders>
            <w:shd w:val="clear" w:color="auto" w:fill="auto"/>
            <w:vAlign w:val="center"/>
          </w:tcPr>
          <w:p w14:paraId="2AD8E60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27 661</w:t>
            </w:r>
          </w:p>
        </w:tc>
        <w:tc>
          <w:tcPr>
            <w:tcW w:w="1103" w:type="dxa"/>
            <w:tcBorders>
              <w:left w:val="single" w:sz="4" w:space="0" w:color="auto"/>
              <w:right w:val="single" w:sz="4" w:space="0" w:color="auto"/>
            </w:tcBorders>
            <w:shd w:val="clear" w:color="auto" w:fill="auto"/>
            <w:vAlign w:val="center"/>
          </w:tcPr>
          <w:p w14:paraId="5DFD41CE"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27 442</w:t>
            </w:r>
          </w:p>
        </w:tc>
        <w:tc>
          <w:tcPr>
            <w:tcW w:w="1103" w:type="dxa"/>
            <w:tcBorders>
              <w:left w:val="single" w:sz="4" w:space="0" w:color="auto"/>
              <w:right w:val="single" w:sz="4" w:space="0" w:color="auto"/>
            </w:tcBorders>
            <w:shd w:val="clear" w:color="auto" w:fill="auto"/>
            <w:vAlign w:val="center"/>
          </w:tcPr>
          <w:p w14:paraId="57D25C91"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3.8</w:t>
            </w:r>
          </w:p>
        </w:tc>
        <w:tc>
          <w:tcPr>
            <w:tcW w:w="1103" w:type="dxa"/>
            <w:tcBorders>
              <w:left w:val="single" w:sz="4" w:space="0" w:color="auto"/>
              <w:right w:val="single" w:sz="4" w:space="0" w:color="auto"/>
            </w:tcBorders>
            <w:shd w:val="clear" w:color="auto" w:fill="auto"/>
            <w:vAlign w:val="center"/>
          </w:tcPr>
          <w:p w14:paraId="3C36139F"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-0.8</w:t>
            </w:r>
          </w:p>
        </w:tc>
      </w:tr>
      <w:tr w:rsidR="00DA7FF3" w:rsidRPr="00DA7FF3" w14:paraId="40FE1558"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493BE2A2"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otros organismos</w:t>
            </w:r>
          </w:p>
        </w:tc>
        <w:tc>
          <w:tcPr>
            <w:tcW w:w="1103" w:type="dxa"/>
            <w:tcBorders>
              <w:left w:val="single" w:sz="4" w:space="0" w:color="auto"/>
              <w:right w:val="single" w:sz="4" w:space="0" w:color="auto"/>
            </w:tcBorders>
            <w:shd w:val="clear" w:color="auto" w:fill="auto"/>
            <w:vAlign w:val="center"/>
          </w:tcPr>
          <w:p w14:paraId="197241E3"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1 375</w:t>
            </w:r>
          </w:p>
        </w:tc>
        <w:tc>
          <w:tcPr>
            <w:tcW w:w="1103" w:type="dxa"/>
            <w:tcBorders>
              <w:left w:val="single" w:sz="4" w:space="0" w:color="auto"/>
              <w:right w:val="single" w:sz="4" w:space="0" w:color="auto"/>
            </w:tcBorders>
            <w:shd w:val="clear" w:color="auto" w:fill="auto"/>
            <w:vAlign w:val="center"/>
          </w:tcPr>
          <w:p w14:paraId="4F566905"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1 106</w:t>
            </w:r>
          </w:p>
        </w:tc>
        <w:tc>
          <w:tcPr>
            <w:tcW w:w="1103" w:type="dxa"/>
            <w:tcBorders>
              <w:left w:val="single" w:sz="4" w:space="0" w:color="auto"/>
              <w:right w:val="single" w:sz="4" w:space="0" w:color="auto"/>
            </w:tcBorders>
            <w:shd w:val="clear" w:color="auto" w:fill="auto"/>
            <w:vAlign w:val="center"/>
          </w:tcPr>
          <w:p w14:paraId="4107D090"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961</w:t>
            </w:r>
          </w:p>
        </w:tc>
        <w:tc>
          <w:tcPr>
            <w:tcW w:w="1103" w:type="dxa"/>
            <w:tcBorders>
              <w:left w:val="single" w:sz="4" w:space="0" w:color="auto"/>
              <w:right w:val="single" w:sz="4" w:space="0" w:color="auto"/>
            </w:tcBorders>
            <w:shd w:val="clear" w:color="auto" w:fill="auto"/>
            <w:vAlign w:val="center"/>
          </w:tcPr>
          <w:p w14:paraId="63D905C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-30.1</w:t>
            </w:r>
          </w:p>
        </w:tc>
        <w:tc>
          <w:tcPr>
            <w:tcW w:w="1103" w:type="dxa"/>
            <w:tcBorders>
              <w:left w:val="single" w:sz="4" w:space="0" w:color="auto"/>
              <w:right w:val="single" w:sz="4" w:space="0" w:color="auto"/>
            </w:tcBorders>
            <w:shd w:val="clear" w:color="auto" w:fill="auto"/>
            <w:vAlign w:val="center"/>
          </w:tcPr>
          <w:p w14:paraId="17C022A7"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-13.1</w:t>
            </w:r>
          </w:p>
        </w:tc>
      </w:tr>
      <w:tr w:rsidR="00DA7FF3" w:rsidRPr="00DA7FF3" w14:paraId="4E1AE594"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6E859F0B" w14:textId="77777777" w:rsidR="00DA7FF3" w:rsidRPr="00DA7FF3" w:rsidRDefault="00DA7FF3" w:rsidP="00DA7FF3">
            <w:pPr>
              <w:rPr>
                <w:rFonts w:eastAsia="Calibri"/>
                <w:b/>
                <w:sz w:val="18"/>
                <w:szCs w:val="18"/>
                <w:lang w:eastAsia="en-US"/>
              </w:rPr>
            </w:pPr>
            <w:r w:rsidRPr="00DA7FF3">
              <w:rPr>
                <w:rFonts w:eastAsia="Calibri"/>
                <w:sz w:val="18"/>
                <w:szCs w:val="18"/>
                <w:lang w:eastAsia="en-US"/>
              </w:rPr>
              <w:t>De corto plazo</w:t>
            </w:r>
          </w:p>
        </w:tc>
        <w:tc>
          <w:tcPr>
            <w:tcW w:w="1103" w:type="dxa"/>
            <w:tcBorders>
              <w:left w:val="single" w:sz="4" w:space="0" w:color="auto"/>
              <w:right w:val="single" w:sz="4" w:space="0" w:color="auto"/>
            </w:tcBorders>
            <w:shd w:val="clear" w:color="auto" w:fill="auto"/>
            <w:vAlign w:val="center"/>
          </w:tcPr>
          <w:p w14:paraId="17334D2E"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27 879</w:t>
            </w:r>
          </w:p>
        </w:tc>
        <w:tc>
          <w:tcPr>
            <w:tcW w:w="1103" w:type="dxa"/>
            <w:tcBorders>
              <w:left w:val="single" w:sz="4" w:space="0" w:color="auto"/>
              <w:right w:val="single" w:sz="4" w:space="0" w:color="auto"/>
            </w:tcBorders>
            <w:shd w:val="clear" w:color="auto" w:fill="auto"/>
            <w:vAlign w:val="center"/>
          </w:tcPr>
          <w:p w14:paraId="26248BA5"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28 528</w:t>
            </w:r>
          </w:p>
        </w:tc>
        <w:tc>
          <w:tcPr>
            <w:tcW w:w="1103" w:type="dxa"/>
            <w:tcBorders>
              <w:left w:val="single" w:sz="4" w:space="0" w:color="auto"/>
              <w:right w:val="single" w:sz="4" w:space="0" w:color="auto"/>
            </w:tcBorders>
            <w:shd w:val="clear" w:color="auto" w:fill="auto"/>
            <w:vAlign w:val="center"/>
          </w:tcPr>
          <w:p w14:paraId="630DF9AD"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28 822</w:t>
            </w:r>
          </w:p>
        </w:tc>
        <w:tc>
          <w:tcPr>
            <w:tcW w:w="1103" w:type="dxa"/>
            <w:tcBorders>
              <w:left w:val="single" w:sz="4" w:space="0" w:color="auto"/>
              <w:right w:val="single" w:sz="4" w:space="0" w:color="auto"/>
            </w:tcBorders>
            <w:shd w:val="clear" w:color="auto" w:fill="auto"/>
            <w:vAlign w:val="center"/>
          </w:tcPr>
          <w:p w14:paraId="2A305FA7"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3.4</w:t>
            </w:r>
          </w:p>
        </w:tc>
        <w:tc>
          <w:tcPr>
            <w:tcW w:w="1103" w:type="dxa"/>
            <w:tcBorders>
              <w:left w:val="single" w:sz="4" w:space="0" w:color="auto"/>
              <w:right w:val="single" w:sz="4" w:space="0" w:color="auto"/>
            </w:tcBorders>
            <w:shd w:val="clear" w:color="auto" w:fill="auto"/>
            <w:vAlign w:val="center"/>
          </w:tcPr>
          <w:p w14:paraId="1CD26289"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1.0</w:t>
            </w:r>
          </w:p>
        </w:tc>
      </w:tr>
      <w:tr w:rsidR="00DA7FF3" w:rsidRPr="00DA7FF3" w14:paraId="326C352E" w14:textId="77777777" w:rsidTr="00DA7FF3">
        <w:trPr>
          <w:trHeight w:val="261"/>
          <w:jc w:val="center"/>
        </w:trPr>
        <w:tc>
          <w:tcPr>
            <w:tcW w:w="3266" w:type="dxa"/>
            <w:tcBorders>
              <w:left w:val="single" w:sz="4" w:space="0" w:color="auto"/>
              <w:right w:val="single" w:sz="4" w:space="0" w:color="auto"/>
            </w:tcBorders>
            <w:shd w:val="clear" w:color="auto" w:fill="auto"/>
            <w:vAlign w:val="center"/>
          </w:tcPr>
          <w:p w14:paraId="78E6475D"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bancarios</w:t>
            </w:r>
          </w:p>
        </w:tc>
        <w:tc>
          <w:tcPr>
            <w:tcW w:w="1103" w:type="dxa"/>
            <w:tcBorders>
              <w:left w:val="single" w:sz="4" w:space="0" w:color="auto"/>
              <w:right w:val="single" w:sz="4" w:space="0" w:color="auto"/>
            </w:tcBorders>
            <w:shd w:val="clear" w:color="auto" w:fill="auto"/>
            <w:vAlign w:val="center"/>
          </w:tcPr>
          <w:p w14:paraId="354CAA81"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3 920</w:t>
            </w:r>
          </w:p>
        </w:tc>
        <w:tc>
          <w:tcPr>
            <w:tcW w:w="1103" w:type="dxa"/>
            <w:tcBorders>
              <w:left w:val="single" w:sz="4" w:space="0" w:color="auto"/>
              <w:right w:val="single" w:sz="4" w:space="0" w:color="auto"/>
            </w:tcBorders>
            <w:shd w:val="clear" w:color="auto" w:fill="auto"/>
            <w:vAlign w:val="center"/>
          </w:tcPr>
          <w:p w14:paraId="5935EA1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3 584</w:t>
            </w:r>
          </w:p>
        </w:tc>
        <w:tc>
          <w:tcPr>
            <w:tcW w:w="1103" w:type="dxa"/>
            <w:tcBorders>
              <w:left w:val="single" w:sz="4" w:space="0" w:color="auto"/>
              <w:right w:val="single" w:sz="4" w:space="0" w:color="auto"/>
            </w:tcBorders>
            <w:shd w:val="clear" w:color="auto" w:fill="auto"/>
            <w:vAlign w:val="center"/>
          </w:tcPr>
          <w:p w14:paraId="04630672"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4 143</w:t>
            </w:r>
          </w:p>
        </w:tc>
        <w:tc>
          <w:tcPr>
            <w:tcW w:w="1103" w:type="dxa"/>
            <w:tcBorders>
              <w:left w:val="single" w:sz="4" w:space="0" w:color="auto"/>
              <w:right w:val="single" w:sz="4" w:space="0" w:color="auto"/>
            </w:tcBorders>
            <w:shd w:val="clear" w:color="auto" w:fill="auto"/>
            <w:vAlign w:val="center"/>
          </w:tcPr>
          <w:p w14:paraId="65FB07D2"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5.7</w:t>
            </w:r>
          </w:p>
        </w:tc>
        <w:tc>
          <w:tcPr>
            <w:tcW w:w="1103" w:type="dxa"/>
            <w:tcBorders>
              <w:left w:val="single" w:sz="4" w:space="0" w:color="auto"/>
              <w:right w:val="single" w:sz="4" w:space="0" w:color="auto"/>
            </w:tcBorders>
            <w:shd w:val="clear" w:color="auto" w:fill="auto"/>
            <w:vAlign w:val="center"/>
          </w:tcPr>
          <w:p w14:paraId="6A67FD45"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15.6</w:t>
            </w:r>
          </w:p>
        </w:tc>
      </w:tr>
      <w:tr w:rsidR="00DA7FF3" w:rsidRPr="00DA7FF3" w14:paraId="35B79CD1" w14:textId="77777777" w:rsidTr="00DA7FF3">
        <w:trPr>
          <w:trHeight w:val="261"/>
          <w:jc w:val="center"/>
        </w:trPr>
        <w:tc>
          <w:tcPr>
            <w:tcW w:w="3266" w:type="dxa"/>
            <w:tcBorders>
              <w:left w:val="single" w:sz="4" w:space="0" w:color="auto"/>
              <w:right w:val="single" w:sz="4" w:space="0" w:color="auto"/>
            </w:tcBorders>
            <w:shd w:val="clear" w:color="auto" w:fill="auto"/>
            <w:vAlign w:val="center"/>
          </w:tcPr>
          <w:p w14:paraId="7C40FBE0"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socios</w:t>
            </w:r>
          </w:p>
        </w:tc>
        <w:tc>
          <w:tcPr>
            <w:tcW w:w="1103" w:type="dxa"/>
            <w:tcBorders>
              <w:left w:val="single" w:sz="4" w:space="0" w:color="auto"/>
              <w:right w:val="single" w:sz="4" w:space="0" w:color="auto"/>
            </w:tcBorders>
            <w:shd w:val="clear" w:color="auto" w:fill="auto"/>
            <w:vAlign w:val="center"/>
          </w:tcPr>
          <w:p w14:paraId="640BBC3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23 640</w:t>
            </w:r>
          </w:p>
        </w:tc>
        <w:tc>
          <w:tcPr>
            <w:tcW w:w="1103" w:type="dxa"/>
            <w:tcBorders>
              <w:left w:val="single" w:sz="4" w:space="0" w:color="auto"/>
              <w:right w:val="single" w:sz="4" w:space="0" w:color="auto"/>
            </w:tcBorders>
            <w:shd w:val="clear" w:color="auto" w:fill="auto"/>
            <w:vAlign w:val="center"/>
          </w:tcPr>
          <w:p w14:paraId="31410704"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24 653</w:t>
            </w:r>
          </w:p>
        </w:tc>
        <w:tc>
          <w:tcPr>
            <w:tcW w:w="1103" w:type="dxa"/>
            <w:tcBorders>
              <w:left w:val="single" w:sz="4" w:space="0" w:color="auto"/>
              <w:right w:val="single" w:sz="4" w:space="0" w:color="auto"/>
            </w:tcBorders>
            <w:shd w:val="clear" w:color="auto" w:fill="auto"/>
            <w:vAlign w:val="center"/>
          </w:tcPr>
          <w:p w14:paraId="26B6E74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24 420</w:t>
            </w:r>
          </w:p>
        </w:tc>
        <w:tc>
          <w:tcPr>
            <w:tcW w:w="1103" w:type="dxa"/>
            <w:tcBorders>
              <w:left w:val="single" w:sz="4" w:space="0" w:color="auto"/>
              <w:right w:val="single" w:sz="4" w:space="0" w:color="auto"/>
            </w:tcBorders>
            <w:shd w:val="clear" w:color="auto" w:fill="auto"/>
            <w:vAlign w:val="center"/>
          </w:tcPr>
          <w:p w14:paraId="51D3DC9F"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3.3</w:t>
            </w:r>
          </w:p>
        </w:tc>
        <w:tc>
          <w:tcPr>
            <w:tcW w:w="1103" w:type="dxa"/>
            <w:tcBorders>
              <w:left w:val="single" w:sz="4" w:space="0" w:color="auto"/>
              <w:right w:val="single" w:sz="4" w:space="0" w:color="auto"/>
            </w:tcBorders>
            <w:shd w:val="clear" w:color="auto" w:fill="auto"/>
            <w:vAlign w:val="center"/>
          </w:tcPr>
          <w:p w14:paraId="47C39854"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-0.9</w:t>
            </w:r>
          </w:p>
        </w:tc>
      </w:tr>
      <w:tr w:rsidR="00DA7FF3" w:rsidRPr="00DA7FF3" w14:paraId="08070BCB" w14:textId="77777777" w:rsidTr="00DA7FF3">
        <w:trPr>
          <w:trHeight w:val="261"/>
          <w:jc w:val="center"/>
        </w:trPr>
        <w:tc>
          <w:tcPr>
            <w:tcW w:w="3266" w:type="dxa"/>
            <w:tcBorders>
              <w:left w:val="single" w:sz="4" w:space="0" w:color="auto"/>
              <w:right w:val="single" w:sz="4" w:space="0" w:color="auto"/>
            </w:tcBorders>
            <w:shd w:val="clear" w:color="auto" w:fill="auto"/>
            <w:vAlign w:val="center"/>
          </w:tcPr>
          <w:p w14:paraId="6007D0A5"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otros organismos</w:t>
            </w:r>
          </w:p>
        </w:tc>
        <w:tc>
          <w:tcPr>
            <w:tcW w:w="1103" w:type="dxa"/>
            <w:tcBorders>
              <w:left w:val="single" w:sz="4" w:space="0" w:color="auto"/>
              <w:right w:val="single" w:sz="4" w:space="0" w:color="auto"/>
            </w:tcBorders>
            <w:shd w:val="clear" w:color="auto" w:fill="auto"/>
            <w:vAlign w:val="center"/>
          </w:tcPr>
          <w:p w14:paraId="26DC382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319</w:t>
            </w:r>
          </w:p>
        </w:tc>
        <w:tc>
          <w:tcPr>
            <w:tcW w:w="1103" w:type="dxa"/>
            <w:tcBorders>
              <w:left w:val="single" w:sz="4" w:space="0" w:color="auto"/>
              <w:right w:val="single" w:sz="4" w:space="0" w:color="auto"/>
            </w:tcBorders>
            <w:shd w:val="clear" w:color="auto" w:fill="auto"/>
            <w:vAlign w:val="center"/>
          </w:tcPr>
          <w:p w14:paraId="69635E2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290</w:t>
            </w:r>
          </w:p>
        </w:tc>
        <w:tc>
          <w:tcPr>
            <w:tcW w:w="1103" w:type="dxa"/>
            <w:tcBorders>
              <w:left w:val="single" w:sz="4" w:space="0" w:color="auto"/>
              <w:right w:val="single" w:sz="4" w:space="0" w:color="auto"/>
            </w:tcBorders>
            <w:shd w:val="clear" w:color="auto" w:fill="auto"/>
            <w:vAlign w:val="center"/>
          </w:tcPr>
          <w:p w14:paraId="241FCF2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259</w:t>
            </w:r>
          </w:p>
        </w:tc>
        <w:tc>
          <w:tcPr>
            <w:tcW w:w="1103" w:type="dxa"/>
            <w:tcBorders>
              <w:left w:val="single" w:sz="4" w:space="0" w:color="auto"/>
              <w:right w:val="single" w:sz="4" w:space="0" w:color="auto"/>
            </w:tcBorders>
            <w:shd w:val="clear" w:color="auto" w:fill="auto"/>
            <w:vAlign w:val="center"/>
          </w:tcPr>
          <w:p w14:paraId="735B65A8"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-19.0</w:t>
            </w:r>
          </w:p>
        </w:tc>
        <w:tc>
          <w:tcPr>
            <w:tcW w:w="1103" w:type="dxa"/>
            <w:tcBorders>
              <w:left w:val="single" w:sz="4" w:space="0" w:color="auto"/>
              <w:right w:val="single" w:sz="4" w:space="0" w:color="auto"/>
            </w:tcBorders>
            <w:shd w:val="clear" w:color="auto" w:fill="auto"/>
            <w:vAlign w:val="center"/>
          </w:tcPr>
          <w:p w14:paraId="1457D159"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-10.9</w:t>
            </w:r>
          </w:p>
        </w:tc>
      </w:tr>
      <w:tr w:rsidR="00DA7FF3" w:rsidRPr="00DA7FF3" w14:paraId="50516FDB" w14:textId="77777777" w:rsidTr="00DA7FF3">
        <w:trPr>
          <w:trHeight w:val="261"/>
          <w:jc w:val="center"/>
        </w:trPr>
        <w:tc>
          <w:tcPr>
            <w:tcW w:w="3266" w:type="dxa"/>
            <w:tcBorders>
              <w:left w:val="single" w:sz="4" w:space="0" w:color="auto"/>
              <w:right w:val="single" w:sz="4" w:space="0" w:color="auto"/>
            </w:tcBorders>
            <w:shd w:val="clear" w:color="auto" w:fill="auto"/>
            <w:vAlign w:val="center"/>
          </w:tcPr>
          <w:p w14:paraId="115C10AA" w14:textId="77777777" w:rsidR="00DA7FF3" w:rsidRPr="00DA7FF3" w:rsidRDefault="00DA7FF3" w:rsidP="00DA7FF3">
            <w:pPr>
              <w:rPr>
                <w:rFonts w:eastAsia="Calibri"/>
                <w:sz w:val="18"/>
                <w:szCs w:val="18"/>
                <w:lang w:eastAsia="en-US"/>
              </w:rPr>
            </w:pPr>
            <w:r w:rsidRPr="00DA7FF3">
              <w:rPr>
                <w:rFonts w:eastAsia="Calibri"/>
                <w:sz w:val="18"/>
                <w:szCs w:val="18"/>
                <w:lang w:eastAsia="en-US"/>
              </w:rPr>
              <w:t>De largo plazo</w:t>
            </w:r>
          </w:p>
        </w:tc>
        <w:tc>
          <w:tcPr>
            <w:tcW w:w="1103" w:type="dxa"/>
            <w:tcBorders>
              <w:left w:val="single" w:sz="4" w:space="0" w:color="auto"/>
              <w:right w:val="single" w:sz="4" w:space="0" w:color="auto"/>
            </w:tcBorders>
            <w:shd w:val="clear" w:color="auto" w:fill="auto"/>
            <w:vAlign w:val="center"/>
          </w:tcPr>
          <w:p w14:paraId="13F7F9CA"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6 556</w:t>
            </w:r>
          </w:p>
        </w:tc>
        <w:tc>
          <w:tcPr>
            <w:tcW w:w="1103" w:type="dxa"/>
            <w:tcBorders>
              <w:left w:val="single" w:sz="4" w:space="0" w:color="auto"/>
              <w:right w:val="single" w:sz="4" w:space="0" w:color="auto"/>
            </w:tcBorders>
            <w:shd w:val="clear" w:color="auto" w:fill="auto"/>
            <w:vAlign w:val="center"/>
          </w:tcPr>
          <w:p w14:paraId="2B367E6B"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6 953</w:t>
            </w:r>
          </w:p>
        </w:tc>
        <w:tc>
          <w:tcPr>
            <w:tcW w:w="1103" w:type="dxa"/>
            <w:tcBorders>
              <w:left w:val="single" w:sz="4" w:space="0" w:color="auto"/>
              <w:right w:val="single" w:sz="4" w:space="0" w:color="auto"/>
            </w:tcBorders>
            <w:shd w:val="clear" w:color="auto" w:fill="auto"/>
            <w:vAlign w:val="center"/>
          </w:tcPr>
          <w:p w14:paraId="649CA603"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6 854</w:t>
            </w:r>
          </w:p>
        </w:tc>
        <w:tc>
          <w:tcPr>
            <w:tcW w:w="1103" w:type="dxa"/>
            <w:tcBorders>
              <w:left w:val="single" w:sz="4" w:space="0" w:color="auto"/>
              <w:right w:val="single" w:sz="4" w:space="0" w:color="auto"/>
            </w:tcBorders>
            <w:shd w:val="clear" w:color="auto" w:fill="auto"/>
            <w:vAlign w:val="center"/>
          </w:tcPr>
          <w:p w14:paraId="6899A471" w14:textId="77777777" w:rsidR="00DA7FF3" w:rsidRPr="00DA7FF3" w:rsidRDefault="00DA7FF3" w:rsidP="00DA7FF3">
            <w:pPr>
              <w:ind w:right="170"/>
              <w:jc w:val="right"/>
              <w:rPr>
                <w:rFonts w:eastAsia="Calibri"/>
                <w:b/>
                <w:sz w:val="18"/>
                <w:szCs w:val="18"/>
                <w:lang w:eastAsia="en-US"/>
              </w:rPr>
            </w:pPr>
            <w:r w:rsidRPr="00DA7FF3">
              <w:rPr>
                <w:rFonts w:eastAsia="Calibri"/>
                <w:b/>
                <w:sz w:val="18"/>
                <w:szCs w:val="18"/>
                <w:lang w:eastAsia="en-US"/>
              </w:rPr>
              <w:t>4.6</w:t>
            </w:r>
          </w:p>
        </w:tc>
        <w:tc>
          <w:tcPr>
            <w:tcW w:w="1103" w:type="dxa"/>
            <w:tcBorders>
              <w:left w:val="single" w:sz="4" w:space="0" w:color="auto"/>
              <w:right w:val="single" w:sz="4" w:space="0" w:color="auto"/>
            </w:tcBorders>
            <w:shd w:val="clear" w:color="auto" w:fill="auto"/>
            <w:vAlign w:val="center"/>
          </w:tcPr>
          <w:p w14:paraId="69467DB5"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-1.4</w:t>
            </w:r>
          </w:p>
        </w:tc>
      </w:tr>
      <w:tr w:rsidR="00DA7FF3" w:rsidRPr="00DA7FF3" w14:paraId="17E0BB44"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5F3CFC00"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bancarios</w:t>
            </w:r>
          </w:p>
        </w:tc>
        <w:tc>
          <w:tcPr>
            <w:tcW w:w="1103" w:type="dxa"/>
            <w:tcBorders>
              <w:left w:val="single" w:sz="4" w:space="0" w:color="auto"/>
              <w:right w:val="single" w:sz="4" w:space="0" w:color="auto"/>
            </w:tcBorders>
            <w:shd w:val="clear" w:color="auto" w:fill="auto"/>
            <w:vAlign w:val="center"/>
          </w:tcPr>
          <w:p w14:paraId="419C64DD"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2 702</w:t>
            </w:r>
          </w:p>
        </w:tc>
        <w:tc>
          <w:tcPr>
            <w:tcW w:w="1103" w:type="dxa"/>
            <w:tcBorders>
              <w:left w:val="single" w:sz="4" w:space="0" w:color="auto"/>
              <w:right w:val="single" w:sz="4" w:space="0" w:color="auto"/>
            </w:tcBorders>
            <w:shd w:val="clear" w:color="auto" w:fill="auto"/>
            <w:vAlign w:val="center"/>
          </w:tcPr>
          <w:p w14:paraId="27D65C76"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3 129</w:t>
            </w:r>
          </w:p>
        </w:tc>
        <w:tc>
          <w:tcPr>
            <w:tcW w:w="1103" w:type="dxa"/>
            <w:tcBorders>
              <w:left w:val="single" w:sz="4" w:space="0" w:color="auto"/>
              <w:right w:val="single" w:sz="4" w:space="0" w:color="auto"/>
            </w:tcBorders>
            <w:shd w:val="clear" w:color="auto" w:fill="auto"/>
            <w:vAlign w:val="center"/>
          </w:tcPr>
          <w:p w14:paraId="65A5DD1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3 130</w:t>
            </w:r>
          </w:p>
        </w:tc>
        <w:tc>
          <w:tcPr>
            <w:tcW w:w="1103" w:type="dxa"/>
            <w:tcBorders>
              <w:left w:val="single" w:sz="4" w:space="0" w:color="auto"/>
              <w:right w:val="single" w:sz="4" w:space="0" w:color="auto"/>
            </w:tcBorders>
            <w:shd w:val="clear" w:color="auto" w:fill="auto"/>
            <w:vAlign w:val="center"/>
          </w:tcPr>
          <w:p w14:paraId="27201E2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15.8</w:t>
            </w:r>
          </w:p>
        </w:tc>
        <w:tc>
          <w:tcPr>
            <w:tcW w:w="1103" w:type="dxa"/>
            <w:tcBorders>
              <w:left w:val="single" w:sz="4" w:space="0" w:color="auto"/>
              <w:right w:val="single" w:sz="4" w:space="0" w:color="auto"/>
            </w:tcBorders>
            <w:shd w:val="clear" w:color="auto" w:fill="auto"/>
            <w:vAlign w:val="center"/>
          </w:tcPr>
          <w:p w14:paraId="1632046E"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0.0</w:t>
            </w:r>
          </w:p>
        </w:tc>
      </w:tr>
      <w:tr w:rsidR="00DA7FF3" w:rsidRPr="00DA7FF3" w14:paraId="0745F325" w14:textId="77777777" w:rsidTr="00DA7FF3">
        <w:trPr>
          <w:trHeight w:val="271"/>
          <w:jc w:val="center"/>
        </w:trPr>
        <w:tc>
          <w:tcPr>
            <w:tcW w:w="3266" w:type="dxa"/>
            <w:tcBorders>
              <w:left w:val="single" w:sz="4" w:space="0" w:color="auto"/>
              <w:right w:val="single" w:sz="4" w:space="0" w:color="auto"/>
            </w:tcBorders>
            <w:shd w:val="clear" w:color="auto" w:fill="auto"/>
            <w:vAlign w:val="center"/>
          </w:tcPr>
          <w:p w14:paraId="237CE83C"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socios</w:t>
            </w:r>
          </w:p>
        </w:tc>
        <w:tc>
          <w:tcPr>
            <w:tcW w:w="1103" w:type="dxa"/>
            <w:tcBorders>
              <w:left w:val="single" w:sz="4" w:space="0" w:color="auto"/>
              <w:right w:val="single" w:sz="4" w:space="0" w:color="auto"/>
            </w:tcBorders>
            <w:shd w:val="clear" w:color="auto" w:fill="auto"/>
            <w:vAlign w:val="center"/>
          </w:tcPr>
          <w:p w14:paraId="09E6190C"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2 798</w:t>
            </w:r>
          </w:p>
        </w:tc>
        <w:tc>
          <w:tcPr>
            <w:tcW w:w="1103" w:type="dxa"/>
            <w:tcBorders>
              <w:left w:val="single" w:sz="4" w:space="0" w:color="auto"/>
              <w:right w:val="single" w:sz="4" w:space="0" w:color="auto"/>
            </w:tcBorders>
            <w:shd w:val="clear" w:color="auto" w:fill="auto"/>
            <w:vAlign w:val="center"/>
          </w:tcPr>
          <w:p w14:paraId="5B5B8D44"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3 008</w:t>
            </w:r>
          </w:p>
        </w:tc>
        <w:tc>
          <w:tcPr>
            <w:tcW w:w="1103" w:type="dxa"/>
            <w:tcBorders>
              <w:left w:val="single" w:sz="4" w:space="0" w:color="auto"/>
              <w:right w:val="single" w:sz="4" w:space="0" w:color="auto"/>
            </w:tcBorders>
            <w:shd w:val="clear" w:color="auto" w:fill="auto"/>
            <w:vAlign w:val="center"/>
          </w:tcPr>
          <w:p w14:paraId="62475479"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3 022</w:t>
            </w:r>
          </w:p>
        </w:tc>
        <w:tc>
          <w:tcPr>
            <w:tcW w:w="1103" w:type="dxa"/>
            <w:tcBorders>
              <w:left w:val="single" w:sz="4" w:space="0" w:color="auto"/>
              <w:right w:val="single" w:sz="4" w:space="0" w:color="auto"/>
            </w:tcBorders>
            <w:shd w:val="clear" w:color="auto" w:fill="auto"/>
            <w:vAlign w:val="center"/>
          </w:tcPr>
          <w:p w14:paraId="65809FF0"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8.0</w:t>
            </w:r>
          </w:p>
        </w:tc>
        <w:tc>
          <w:tcPr>
            <w:tcW w:w="1103" w:type="dxa"/>
            <w:tcBorders>
              <w:left w:val="single" w:sz="4" w:space="0" w:color="auto"/>
              <w:right w:val="single" w:sz="4" w:space="0" w:color="auto"/>
            </w:tcBorders>
            <w:shd w:val="clear" w:color="auto" w:fill="auto"/>
            <w:vAlign w:val="center"/>
          </w:tcPr>
          <w:p w14:paraId="1284AF4E"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0.5</w:t>
            </w:r>
          </w:p>
        </w:tc>
      </w:tr>
      <w:tr w:rsidR="00DA7FF3" w:rsidRPr="00DA7FF3" w14:paraId="63D7833C" w14:textId="77777777" w:rsidTr="00DA7FF3">
        <w:trPr>
          <w:trHeight w:val="271"/>
          <w:jc w:val="center"/>
        </w:trPr>
        <w:tc>
          <w:tcPr>
            <w:tcW w:w="3266" w:type="dxa"/>
            <w:tcBorders>
              <w:left w:val="single" w:sz="4" w:space="0" w:color="auto"/>
              <w:bottom w:val="single" w:sz="4" w:space="0" w:color="auto"/>
              <w:right w:val="single" w:sz="4" w:space="0" w:color="auto"/>
            </w:tcBorders>
            <w:shd w:val="clear" w:color="auto" w:fill="auto"/>
            <w:vAlign w:val="center"/>
          </w:tcPr>
          <w:p w14:paraId="218D8193" w14:textId="77777777" w:rsidR="00DA7FF3" w:rsidRPr="00DA7FF3" w:rsidRDefault="00DA7FF3" w:rsidP="00DA7FF3">
            <w:pPr>
              <w:ind w:left="284"/>
              <w:rPr>
                <w:rFonts w:eastAsia="Calibri"/>
                <w:b/>
                <w:sz w:val="18"/>
                <w:szCs w:val="18"/>
                <w:lang w:eastAsia="en-US"/>
              </w:rPr>
            </w:pPr>
            <w:r w:rsidRPr="00DA7FF3">
              <w:rPr>
                <w:rFonts w:eastAsia="Calibri"/>
                <w:sz w:val="18"/>
                <w:szCs w:val="18"/>
                <w:lang w:eastAsia="en-US"/>
              </w:rPr>
              <w:t>Préstamos de otros organismos</w:t>
            </w:r>
          </w:p>
        </w:tc>
        <w:tc>
          <w:tcPr>
            <w:tcW w:w="1103" w:type="dxa"/>
            <w:tcBorders>
              <w:left w:val="single" w:sz="4" w:space="0" w:color="auto"/>
              <w:bottom w:val="single" w:sz="4" w:space="0" w:color="auto"/>
              <w:right w:val="single" w:sz="4" w:space="0" w:color="auto"/>
            </w:tcBorders>
            <w:shd w:val="clear" w:color="auto" w:fill="auto"/>
            <w:vAlign w:val="center"/>
          </w:tcPr>
          <w:p w14:paraId="4CB0A18B"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1 056</w:t>
            </w:r>
          </w:p>
        </w:tc>
        <w:tc>
          <w:tcPr>
            <w:tcW w:w="1103" w:type="dxa"/>
            <w:tcBorders>
              <w:left w:val="single" w:sz="4" w:space="0" w:color="auto"/>
              <w:bottom w:val="single" w:sz="4" w:space="0" w:color="auto"/>
              <w:right w:val="single" w:sz="4" w:space="0" w:color="auto"/>
            </w:tcBorders>
            <w:shd w:val="clear" w:color="auto" w:fill="auto"/>
            <w:vAlign w:val="center"/>
          </w:tcPr>
          <w:p w14:paraId="2F3233BA"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816</w:t>
            </w:r>
          </w:p>
        </w:tc>
        <w:tc>
          <w:tcPr>
            <w:tcW w:w="1103" w:type="dxa"/>
            <w:tcBorders>
              <w:left w:val="single" w:sz="4" w:space="0" w:color="auto"/>
              <w:bottom w:val="single" w:sz="4" w:space="0" w:color="auto"/>
              <w:right w:val="single" w:sz="4" w:space="0" w:color="auto"/>
            </w:tcBorders>
            <w:shd w:val="clear" w:color="auto" w:fill="auto"/>
            <w:vAlign w:val="center"/>
          </w:tcPr>
          <w:p w14:paraId="33F7456E"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702</w:t>
            </w:r>
          </w:p>
        </w:tc>
        <w:tc>
          <w:tcPr>
            <w:tcW w:w="1103" w:type="dxa"/>
            <w:tcBorders>
              <w:left w:val="single" w:sz="4" w:space="0" w:color="auto"/>
              <w:bottom w:val="single" w:sz="4" w:space="0" w:color="auto"/>
              <w:right w:val="single" w:sz="4" w:space="0" w:color="auto"/>
            </w:tcBorders>
            <w:shd w:val="clear" w:color="auto" w:fill="auto"/>
            <w:vAlign w:val="center"/>
          </w:tcPr>
          <w:p w14:paraId="302F6527" w14:textId="77777777" w:rsidR="00DA7FF3" w:rsidRPr="00DA7FF3" w:rsidRDefault="00DA7FF3" w:rsidP="00DA7FF3">
            <w:pPr>
              <w:ind w:right="170"/>
              <w:jc w:val="right"/>
              <w:rPr>
                <w:rFonts w:eastAsia="Calibri"/>
                <w:sz w:val="18"/>
                <w:szCs w:val="18"/>
                <w:lang w:eastAsia="en-US"/>
              </w:rPr>
            </w:pPr>
            <w:r w:rsidRPr="00DA7FF3">
              <w:rPr>
                <w:rFonts w:eastAsia="Calibri"/>
                <w:sz w:val="18"/>
                <w:szCs w:val="18"/>
                <w:lang w:eastAsia="en-US"/>
              </w:rPr>
              <w:t>-33.5</w:t>
            </w:r>
          </w:p>
        </w:tc>
        <w:tc>
          <w:tcPr>
            <w:tcW w:w="1103" w:type="dxa"/>
            <w:tcBorders>
              <w:left w:val="single" w:sz="4" w:space="0" w:color="auto"/>
              <w:bottom w:val="single" w:sz="4" w:space="0" w:color="auto"/>
              <w:right w:val="single" w:sz="4" w:space="0" w:color="auto"/>
            </w:tcBorders>
            <w:shd w:val="clear" w:color="auto" w:fill="auto"/>
            <w:vAlign w:val="center"/>
          </w:tcPr>
          <w:p w14:paraId="25485AFE" w14:textId="77777777" w:rsidR="00DA7FF3" w:rsidRPr="00DA7FF3" w:rsidRDefault="00DA7FF3" w:rsidP="00DA7FF3">
            <w:pPr>
              <w:ind w:right="170"/>
              <w:jc w:val="right"/>
              <w:rPr>
                <w:rFonts w:eastAsia="Calibri"/>
                <w:b/>
                <w:sz w:val="18"/>
                <w:szCs w:val="18"/>
                <w:lang w:eastAsia="en-US"/>
              </w:rPr>
            </w:pPr>
            <w:r w:rsidRPr="00DA7FF3">
              <w:rPr>
                <w:rFonts w:eastAsia="Calibri"/>
                <w:sz w:val="18"/>
                <w:szCs w:val="18"/>
                <w:lang w:eastAsia="en-US"/>
              </w:rPr>
              <w:t>-13.9</w:t>
            </w:r>
          </w:p>
        </w:tc>
      </w:tr>
      <w:tr w:rsidR="00DA7FF3" w:rsidRPr="00DA7FF3" w14:paraId="6FB134F1" w14:textId="77777777" w:rsidTr="00DA7FF3">
        <w:tblPrEx>
          <w:tblBorders>
            <w:top w:val="single" w:sz="8" w:space="0" w:color="9BBB59"/>
          </w:tblBorders>
        </w:tblPrEx>
        <w:trPr>
          <w:trHeight w:val="261"/>
          <w:jc w:val="center"/>
        </w:trPr>
        <w:tc>
          <w:tcPr>
            <w:tcW w:w="8781" w:type="dxa"/>
            <w:gridSpan w:val="6"/>
            <w:tcBorders>
              <w:top w:val="single" w:sz="4" w:space="0" w:color="auto"/>
              <w:bottom w:val="nil"/>
            </w:tcBorders>
            <w:shd w:val="clear" w:color="auto" w:fill="auto"/>
            <w:vAlign w:val="center"/>
          </w:tcPr>
          <w:p w14:paraId="5DD28124" w14:textId="77777777" w:rsidR="00DA7FF3" w:rsidRPr="005061B6" w:rsidRDefault="00DA7FF3" w:rsidP="00DA7FF3">
            <w:pPr>
              <w:rPr>
                <w:rFonts w:eastAsia="Calibri"/>
                <w:b/>
                <w:sz w:val="18"/>
                <w:szCs w:val="18"/>
                <w:lang w:eastAsia="en-US"/>
              </w:rPr>
            </w:pPr>
            <w:r w:rsidRPr="005061B6">
              <w:rPr>
                <w:rFonts w:eastAsia="Calibri"/>
                <w:sz w:val="18"/>
                <w:szCs w:val="18"/>
                <w:lang w:eastAsia="en-US"/>
              </w:rPr>
              <w:t>FUENTE: CNBV.</w:t>
            </w:r>
          </w:p>
        </w:tc>
      </w:tr>
    </w:tbl>
    <w:p w14:paraId="7C48ECD8" w14:textId="77777777" w:rsidR="00DA7FF3" w:rsidRPr="00DA7FF3" w:rsidRDefault="00DA7FF3" w:rsidP="00DA7FF3">
      <w:pPr>
        <w:spacing w:after="360" w:line="360" w:lineRule="auto"/>
        <w:ind w:right="-159"/>
        <w:jc w:val="both"/>
        <w:rPr>
          <w:rFonts w:eastAsia="Calibri"/>
          <w:sz w:val="26"/>
          <w:szCs w:val="26"/>
          <w:lang w:eastAsia="en-US"/>
        </w:rPr>
      </w:pPr>
    </w:p>
    <w:p w14:paraId="14B31EDF" w14:textId="77777777" w:rsidR="00DA7FF3" w:rsidRPr="00DA7FF3" w:rsidRDefault="00DA7FF3" w:rsidP="00DA7FF3">
      <w:pPr>
        <w:spacing w:after="360" w:line="360" w:lineRule="auto"/>
        <w:ind w:right="-159"/>
        <w:jc w:val="both"/>
        <w:rPr>
          <w:rFonts w:eastAsia="Calibri"/>
          <w:b/>
          <w:sz w:val="26"/>
          <w:szCs w:val="26"/>
          <w:lang w:eastAsia="en-US"/>
        </w:rPr>
      </w:pPr>
      <w:r w:rsidRPr="00DA7FF3">
        <w:rPr>
          <w:rFonts w:eastAsia="Calibri"/>
          <w:b/>
          <w:sz w:val="26"/>
          <w:szCs w:val="26"/>
          <w:lang w:eastAsia="en-US"/>
        </w:rPr>
        <w:t>Estado de resultados</w:t>
      </w:r>
    </w:p>
    <w:p w14:paraId="36B402FD"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Al 31 de diciembre de 2014, el resultado neto acumulado fue de 436 mdp, monto superior en 17.2% en términos anuales. Esto se explica principalmente por el incremento 73 mdp (24.6%) en la cuenta de otros ingresos (egresos) de la operación, el crecimiento de 51 mdp (3%) en el margen financiero y en las comisiones netas de 27 mdp (30.4%).</w:t>
      </w:r>
    </w:p>
    <w:p w14:paraId="32E383AB" w14:textId="77777777" w:rsidR="00DA7FF3" w:rsidRP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Los ingresos antes mencionados sobrepasaron el aumento en las estimaciones preventivas de 18 mdp (5.3%) y en los gastos de administración y promoción de 88 mdp (7.3%).</w:t>
      </w:r>
    </w:p>
    <w:p w14:paraId="5D3F1634" w14:textId="77777777" w:rsidR="00DA7FF3" w:rsidRPr="00DA7FF3" w:rsidRDefault="00DA7FF3" w:rsidP="00DA7FF3">
      <w:pPr>
        <w:spacing w:after="360" w:line="360" w:lineRule="auto"/>
        <w:ind w:right="-159"/>
        <w:jc w:val="both"/>
        <w:rPr>
          <w:rFonts w:eastAsia="Calibri"/>
          <w:sz w:val="26"/>
          <w:szCs w:val="26"/>
          <w:lang w:eastAsia="en-US"/>
        </w:rPr>
      </w:pPr>
    </w:p>
    <w:p w14:paraId="08FEF866" w14:textId="77777777" w:rsidR="00DA7FF3" w:rsidRDefault="00DA7FF3" w:rsidP="00DA7FF3">
      <w:pPr>
        <w:spacing w:after="360" w:line="360" w:lineRule="auto"/>
        <w:ind w:right="-159"/>
        <w:jc w:val="both"/>
        <w:rPr>
          <w:rFonts w:eastAsia="Calibri"/>
          <w:sz w:val="26"/>
          <w:szCs w:val="26"/>
          <w:lang w:eastAsia="en-US"/>
        </w:rPr>
      </w:pPr>
    </w:p>
    <w:p w14:paraId="35DEE8DA" w14:textId="77777777" w:rsidR="00DA7FF3" w:rsidRPr="00DA7FF3" w:rsidRDefault="00DA7FF3" w:rsidP="00DA7FF3">
      <w:pPr>
        <w:spacing w:after="360" w:line="360" w:lineRule="auto"/>
        <w:ind w:right="-159"/>
        <w:jc w:val="both"/>
        <w:rPr>
          <w:rFonts w:eastAsia="Calibri"/>
          <w:sz w:val="26"/>
          <w:szCs w:val="26"/>
          <w:lang w:eastAsia="en-US"/>
        </w:rPr>
      </w:pPr>
    </w:p>
    <w:tbl>
      <w:tblPr>
        <w:tblW w:w="8897" w:type="dxa"/>
        <w:tblLayout w:type="fixed"/>
        <w:tblLook w:val="01E0" w:firstRow="1" w:lastRow="1" w:firstColumn="1" w:lastColumn="1" w:noHBand="0" w:noVBand="0"/>
      </w:tblPr>
      <w:tblGrid>
        <w:gridCol w:w="3936"/>
        <w:gridCol w:w="1240"/>
        <w:gridCol w:w="1240"/>
        <w:gridCol w:w="1240"/>
        <w:gridCol w:w="1241"/>
      </w:tblGrid>
      <w:tr w:rsidR="00DA7FF3" w:rsidRPr="00DA7FF3" w14:paraId="4A5D9C33" w14:textId="77777777" w:rsidTr="00DA7FF3">
        <w:tc>
          <w:tcPr>
            <w:tcW w:w="8897" w:type="dxa"/>
            <w:gridSpan w:val="5"/>
            <w:tcBorders>
              <w:top w:val="nil"/>
              <w:bottom w:val="single" w:sz="4" w:space="0" w:color="auto"/>
            </w:tcBorders>
            <w:shd w:val="clear" w:color="auto" w:fill="auto"/>
          </w:tcPr>
          <w:p w14:paraId="38A9705F"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lastRenderedPageBreak/>
              <w:t>UNIONES DE CRÉDITO: ESTADO DE RESULTADOS</w:t>
            </w:r>
          </w:p>
          <w:p w14:paraId="1A5F055E" w14:textId="4397C8D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-Saldos acumulados en millones de pesos (MDP)-</w:t>
            </w:r>
          </w:p>
        </w:tc>
      </w:tr>
      <w:tr w:rsidR="00DA7FF3" w:rsidRPr="00DA7FF3" w14:paraId="6E9E6BEA" w14:textId="77777777" w:rsidTr="00DA7FF3">
        <w:tc>
          <w:tcPr>
            <w:tcW w:w="3936" w:type="dxa"/>
            <w:vMerge w:val="restart"/>
            <w:tcBorders>
              <w:top w:val="single" w:sz="4" w:space="0" w:color="auto"/>
              <w:left w:val="single" w:sz="4" w:space="0" w:color="auto"/>
              <w:bottom w:val="single" w:sz="4" w:space="0" w:color="auto"/>
              <w:right w:val="single" w:sz="4" w:space="0" w:color="auto"/>
            </w:tcBorders>
            <w:shd w:val="clear" w:color="auto" w:fill="auto"/>
          </w:tcPr>
          <w:p w14:paraId="043E1B16" w14:textId="77777777" w:rsidR="00DA7FF3" w:rsidRPr="00DA7FF3" w:rsidRDefault="00DA7FF3" w:rsidP="00DA7FF3">
            <w:pPr>
              <w:jc w:val="center"/>
              <w:rPr>
                <w:rFonts w:eastAsia="Calibri"/>
                <w:b/>
                <w:sz w:val="18"/>
                <w:szCs w:val="18"/>
                <w:lang w:eastAsia="en-US"/>
              </w:rPr>
            </w:pP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tcPr>
          <w:p w14:paraId="5DA1C434"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p w14:paraId="21F0D4FC"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tcPr>
          <w:p w14:paraId="2F279613"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p w14:paraId="1CB5182B"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481" w:type="dxa"/>
            <w:gridSpan w:val="2"/>
            <w:tcBorders>
              <w:top w:val="single" w:sz="4" w:space="0" w:color="auto"/>
              <w:left w:val="single" w:sz="4" w:space="0" w:color="auto"/>
              <w:bottom w:val="single" w:sz="4" w:space="0" w:color="auto"/>
              <w:right w:val="single" w:sz="4" w:space="0" w:color="auto"/>
            </w:tcBorders>
            <w:shd w:val="clear" w:color="auto" w:fill="auto"/>
          </w:tcPr>
          <w:p w14:paraId="6A6CE51D"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w:t>
            </w:r>
          </w:p>
        </w:tc>
      </w:tr>
      <w:tr w:rsidR="00DA7FF3" w:rsidRPr="00DA7FF3" w14:paraId="1A264E3B" w14:textId="77777777" w:rsidTr="00DA7FF3">
        <w:tc>
          <w:tcPr>
            <w:tcW w:w="3936" w:type="dxa"/>
            <w:vMerge/>
            <w:tcBorders>
              <w:top w:val="single" w:sz="4" w:space="0" w:color="auto"/>
              <w:left w:val="single" w:sz="4" w:space="0" w:color="auto"/>
              <w:bottom w:val="single" w:sz="4" w:space="0" w:color="auto"/>
              <w:right w:val="single" w:sz="4" w:space="0" w:color="auto"/>
            </w:tcBorders>
            <w:shd w:val="clear" w:color="auto" w:fill="auto"/>
          </w:tcPr>
          <w:p w14:paraId="4E9EDCCE" w14:textId="77777777" w:rsidR="00DA7FF3" w:rsidRPr="00DA7FF3" w:rsidRDefault="00DA7FF3" w:rsidP="00DA7FF3">
            <w:pPr>
              <w:jc w:val="center"/>
              <w:rPr>
                <w:rFonts w:eastAsia="Calibri"/>
                <w:b/>
                <w:sz w:val="18"/>
                <w:szCs w:val="18"/>
                <w:lang w:eastAsia="en-US"/>
              </w:rPr>
            </w:pPr>
          </w:p>
        </w:tc>
        <w:tc>
          <w:tcPr>
            <w:tcW w:w="1240" w:type="dxa"/>
            <w:vMerge/>
            <w:tcBorders>
              <w:top w:val="single" w:sz="4" w:space="0" w:color="auto"/>
              <w:left w:val="single" w:sz="4" w:space="0" w:color="auto"/>
              <w:bottom w:val="single" w:sz="4" w:space="0" w:color="auto"/>
              <w:right w:val="single" w:sz="4" w:space="0" w:color="auto"/>
            </w:tcBorders>
            <w:shd w:val="clear" w:color="auto" w:fill="auto"/>
          </w:tcPr>
          <w:p w14:paraId="3F899AC9" w14:textId="77777777" w:rsidR="00DA7FF3" w:rsidRPr="00DA7FF3" w:rsidRDefault="00DA7FF3" w:rsidP="00DA7FF3">
            <w:pPr>
              <w:jc w:val="center"/>
              <w:rPr>
                <w:rFonts w:eastAsia="Calibri"/>
                <w:b/>
                <w:sz w:val="18"/>
                <w:szCs w:val="18"/>
                <w:lang w:eastAsia="en-US"/>
              </w:rPr>
            </w:pPr>
          </w:p>
        </w:tc>
        <w:tc>
          <w:tcPr>
            <w:tcW w:w="1240" w:type="dxa"/>
            <w:vMerge/>
            <w:tcBorders>
              <w:top w:val="single" w:sz="4" w:space="0" w:color="auto"/>
              <w:left w:val="single" w:sz="4" w:space="0" w:color="auto"/>
              <w:bottom w:val="single" w:sz="4" w:space="0" w:color="auto"/>
              <w:right w:val="single" w:sz="4" w:space="0" w:color="auto"/>
            </w:tcBorders>
            <w:shd w:val="clear" w:color="auto" w:fill="auto"/>
          </w:tcPr>
          <w:p w14:paraId="1D03E398" w14:textId="77777777" w:rsidR="00DA7FF3" w:rsidRPr="00DA7FF3" w:rsidRDefault="00DA7FF3" w:rsidP="00DA7FF3">
            <w:pPr>
              <w:jc w:val="center"/>
              <w:rPr>
                <w:rFonts w:eastAsia="Calibri"/>
                <w:b/>
                <w:sz w:val="18"/>
                <w:szCs w:val="18"/>
                <w:lang w:eastAsia="en-US"/>
              </w:rPr>
            </w:pP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393EF824"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MDP</w:t>
            </w:r>
          </w:p>
        </w:tc>
        <w:tc>
          <w:tcPr>
            <w:tcW w:w="1241" w:type="dxa"/>
            <w:tcBorders>
              <w:top w:val="single" w:sz="4" w:space="0" w:color="auto"/>
              <w:left w:val="single" w:sz="4" w:space="0" w:color="auto"/>
              <w:bottom w:val="single" w:sz="4" w:space="0" w:color="auto"/>
              <w:right w:val="single" w:sz="4" w:space="0" w:color="auto"/>
            </w:tcBorders>
            <w:shd w:val="clear" w:color="auto" w:fill="auto"/>
          </w:tcPr>
          <w:p w14:paraId="3FC24037"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w:t>
            </w:r>
          </w:p>
        </w:tc>
      </w:tr>
      <w:tr w:rsidR="00DA7FF3" w:rsidRPr="00DA7FF3" w14:paraId="4EA627FB" w14:textId="77777777" w:rsidTr="00DA7FF3">
        <w:tc>
          <w:tcPr>
            <w:tcW w:w="3936" w:type="dxa"/>
            <w:tcBorders>
              <w:top w:val="single" w:sz="4" w:space="0" w:color="auto"/>
              <w:left w:val="single" w:sz="4" w:space="0" w:color="auto"/>
              <w:right w:val="single" w:sz="4" w:space="0" w:color="auto"/>
            </w:tcBorders>
            <w:shd w:val="clear" w:color="auto" w:fill="auto"/>
          </w:tcPr>
          <w:p w14:paraId="4A93F584"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Ingresos por intereses</w:t>
            </w:r>
          </w:p>
        </w:tc>
        <w:tc>
          <w:tcPr>
            <w:tcW w:w="1240" w:type="dxa"/>
            <w:tcBorders>
              <w:top w:val="single" w:sz="4" w:space="0" w:color="auto"/>
              <w:left w:val="single" w:sz="4" w:space="0" w:color="auto"/>
              <w:right w:val="single" w:sz="4" w:space="0" w:color="auto"/>
            </w:tcBorders>
            <w:shd w:val="clear" w:color="auto" w:fill="auto"/>
          </w:tcPr>
          <w:p w14:paraId="293E98C1"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3 901</w:t>
            </w:r>
          </w:p>
        </w:tc>
        <w:tc>
          <w:tcPr>
            <w:tcW w:w="1240" w:type="dxa"/>
            <w:tcBorders>
              <w:top w:val="single" w:sz="4" w:space="0" w:color="auto"/>
              <w:left w:val="single" w:sz="4" w:space="0" w:color="auto"/>
              <w:right w:val="single" w:sz="4" w:space="0" w:color="auto"/>
            </w:tcBorders>
            <w:shd w:val="clear" w:color="auto" w:fill="auto"/>
          </w:tcPr>
          <w:p w14:paraId="6176E8BF"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3 977</w:t>
            </w:r>
          </w:p>
        </w:tc>
        <w:tc>
          <w:tcPr>
            <w:tcW w:w="1240" w:type="dxa"/>
            <w:tcBorders>
              <w:top w:val="single" w:sz="4" w:space="0" w:color="auto"/>
              <w:left w:val="single" w:sz="4" w:space="0" w:color="auto"/>
              <w:right w:val="single" w:sz="4" w:space="0" w:color="auto"/>
            </w:tcBorders>
            <w:shd w:val="clear" w:color="auto" w:fill="auto"/>
          </w:tcPr>
          <w:p w14:paraId="29CBCFEA"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76</w:t>
            </w:r>
          </w:p>
        </w:tc>
        <w:tc>
          <w:tcPr>
            <w:tcW w:w="1241" w:type="dxa"/>
            <w:tcBorders>
              <w:top w:val="single" w:sz="4" w:space="0" w:color="auto"/>
              <w:left w:val="single" w:sz="4" w:space="0" w:color="auto"/>
              <w:right w:val="single" w:sz="4" w:space="0" w:color="auto"/>
            </w:tcBorders>
            <w:shd w:val="clear" w:color="auto" w:fill="auto"/>
          </w:tcPr>
          <w:p w14:paraId="0AF40666"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1.9</w:t>
            </w:r>
          </w:p>
        </w:tc>
      </w:tr>
      <w:tr w:rsidR="00DA7FF3" w:rsidRPr="00DA7FF3" w14:paraId="7FF4A292" w14:textId="77777777" w:rsidTr="00DA7FF3">
        <w:tc>
          <w:tcPr>
            <w:tcW w:w="3936" w:type="dxa"/>
            <w:tcBorders>
              <w:left w:val="single" w:sz="4" w:space="0" w:color="auto"/>
              <w:right w:val="single" w:sz="4" w:space="0" w:color="auto"/>
            </w:tcBorders>
            <w:shd w:val="clear" w:color="auto" w:fill="auto"/>
          </w:tcPr>
          <w:p w14:paraId="5758B979" w14:textId="77777777" w:rsidR="00DA7FF3" w:rsidRPr="00DA7FF3" w:rsidRDefault="00DA7FF3" w:rsidP="00DA7FF3">
            <w:pPr>
              <w:ind w:left="170"/>
              <w:rPr>
                <w:rFonts w:eastAsia="Calibri"/>
                <w:b/>
                <w:sz w:val="18"/>
                <w:szCs w:val="18"/>
                <w:lang w:val="en-US" w:eastAsia="en-US"/>
              </w:rPr>
            </w:pPr>
            <w:r w:rsidRPr="00DA7FF3">
              <w:rPr>
                <w:rFonts w:eastAsia="Calibri"/>
                <w:sz w:val="18"/>
                <w:szCs w:val="18"/>
                <w:lang w:val="en-US" w:eastAsia="en-US"/>
              </w:rPr>
              <w:t>Gastos por intereses</w:t>
            </w:r>
          </w:p>
        </w:tc>
        <w:tc>
          <w:tcPr>
            <w:tcW w:w="1240" w:type="dxa"/>
            <w:tcBorders>
              <w:left w:val="single" w:sz="4" w:space="0" w:color="auto"/>
              <w:right w:val="single" w:sz="4" w:space="0" w:color="auto"/>
            </w:tcBorders>
            <w:shd w:val="clear" w:color="auto" w:fill="auto"/>
          </w:tcPr>
          <w:p w14:paraId="01D04960"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2 242</w:t>
            </w:r>
          </w:p>
        </w:tc>
        <w:tc>
          <w:tcPr>
            <w:tcW w:w="1240" w:type="dxa"/>
            <w:tcBorders>
              <w:left w:val="single" w:sz="4" w:space="0" w:color="auto"/>
              <w:right w:val="single" w:sz="4" w:space="0" w:color="auto"/>
            </w:tcBorders>
            <w:shd w:val="clear" w:color="auto" w:fill="auto"/>
          </w:tcPr>
          <w:p w14:paraId="2E9BA95D"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2 267</w:t>
            </w:r>
          </w:p>
        </w:tc>
        <w:tc>
          <w:tcPr>
            <w:tcW w:w="1240" w:type="dxa"/>
            <w:tcBorders>
              <w:left w:val="single" w:sz="4" w:space="0" w:color="auto"/>
              <w:right w:val="single" w:sz="4" w:space="0" w:color="auto"/>
            </w:tcBorders>
            <w:shd w:val="clear" w:color="auto" w:fill="auto"/>
          </w:tcPr>
          <w:p w14:paraId="24BD2530"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25</w:t>
            </w:r>
          </w:p>
        </w:tc>
        <w:tc>
          <w:tcPr>
            <w:tcW w:w="1241" w:type="dxa"/>
            <w:tcBorders>
              <w:left w:val="single" w:sz="4" w:space="0" w:color="auto"/>
              <w:right w:val="single" w:sz="4" w:space="0" w:color="auto"/>
            </w:tcBorders>
            <w:shd w:val="clear" w:color="auto" w:fill="auto"/>
          </w:tcPr>
          <w:p w14:paraId="07486919"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1.1</w:t>
            </w:r>
          </w:p>
        </w:tc>
      </w:tr>
      <w:tr w:rsidR="00DA7FF3" w:rsidRPr="00DA7FF3" w14:paraId="4AB31328" w14:textId="77777777" w:rsidTr="00DA7FF3">
        <w:tc>
          <w:tcPr>
            <w:tcW w:w="3936" w:type="dxa"/>
            <w:tcBorders>
              <w:left w:val="single" w:sz="4" w:space="0" w:color="auto"/>
              <w:right w:val="single" w:sz="4" w:space="0" w:color="auto"/>
            </w:tcBorders>
            <w:shd w:val="clear" w:color="auto" w:fill="auto"/>
          </w:tcPr>
          <w:p w14:paraId="670DA79C" w14:textId="77DD2CFE" w:rsidR="00DA7FF3" w:rsidRPr="00DA7FF3" w:rsidRDefault="00DA7FF3" w:rsidP="00DA7FF3">
            <w:pPr>
              <w:rPr>
                <w:rFonts w:eastAsia="Calibri"/>
                <w:sz w:val="18"/>
                <w:szCs w:val="18"/>
                <w:lang w:val="en-US" w:eastAsia="en-US"/>
              </w:rPr>
            </w:pPr>
            <w:r w:rsidRPr="00DA7FF3">
              <w:rPr>
                <w:rFonts w:eastAsia="Calibri"/>
                <w:sz w:val="18"/>
                <w:szCs w:val="18"/>
                <w:lang w:val="en-US" w:eastAsia="en-US"/>
              </w:rPr>
              <w:t>Margen financier</w:t>
            </w:r>
            <w:r w:rsidR="009E5D36">
              <w:rPr>
                <w:rFonts w:eastAsia="Calibri"/>
                <w:sz w:val="18"/>
                <w:szCs w:val="18"/>
                <w:lang w:val="en-US" w:eastAsia="en-US"/>
              </w:rPr>
              <w:t>o</w:t>
            </w:r>
          </w:p>
        </w:tc>
        <w:tc>
          <w:tcPr>
            <w:tcW w:w="1240" w:type="dxa"/>
            <w:tcBorders>
              <w:left w:val="single" w:sz="4" w:space="0" w:color="auto"/>
              <w:right w:val="single" w:sz="4" w:space="0" w:color="auto"/>
            </w:tcBorders>
            <w:shd w:val="clear" w:color="auto" w:fill="auto"/>
          </w:tcPr>
          <w:p w14:paraId="11E3ED28" w14:textId="77777777" w:rsidR="00DA7FF3" w:rsidRPr="00DA7FF3" w:rsidRDefault="00DA7FF3" w:rsidP="00DA7FF3">
            <w:pPr>
              <w:ind w:right="227"/>
              <w:jc w:val="right"/>
              <w:rPr>
                <w:rFonts w:eastAsia="Calibri"/>
                <w:b/>
                <w:sz w:val="18"/>
                <w:szCs w:val="18"/>
                <w:lang w:val="en-US" w:eastAsia="en-US"/>
              </w:rPr>
            </w:pPr>
            <w:r w:rsidRPr="00DA7FF3">
              <w:rPr>
                <w:rFonts w:eastAsia="Calibri"/>
                <w:b/>
                <w:sz w:val="18"/>
                <w:szCs w:val="18"/>
                <w:lang w:val="en-US" w:eastAsia="en-US"/>
              </w:rPr>
              <w:t>1 659</w:t>
            </w:r>
          </w:p>
        </w:tc>
        <w:tc>
          <w:tcPr>
            <w:tcW w:w="1240" w:type="dxa"/>
            <w:tcBorders>
              <w:left w:val="single" w:sz="4" w:space="0" w:color="auto"/>
              <w:right w:val="single" w:sz="4" w:space="0" w:color="auto"/>
            </w:tcBorders>
            <w:shd w:val="clear" w:color="auto" w:fill="auto"/>
          </w:tcPr>
          <w:p w14:paraId="700DD711" w14:textId="77777777" w:rsidR="00DA7FF3" w:rsidRPr="00DA7FF3" w:rsidRDefault="00DA7FF3" w:rsidP="00DA7FF3">
            <w:pPr>
              <w:ind w:right="227"/>
              <w:jc w:val="right"/>
              <w:rPr>
                <w:rFonts w:eastAsia="Calibri"/>
                <w:b/>
                <w:sz w:val="18"/>
                <w:szCs w:val="18"/>
                <w:lang w:val="en-US" w:eastAsia="en-US"/>
              </w:rPr>
            </w:pPr>
            <w:r w:rsidRPr="00DA7FF3">
              <w:rPr>
                <w:rFonts w:eastAsia="Calibri"/>
                <w:b/>
                <w:sz w:val="18"/>
                <w:szCs w:val="18"/>
                <w:lang w:val="en-US" w:eastAsia="en-US"/>
              </w:rPr>
              <w:t>1 710</w:t>
            </w:r>
          </w:p>
        </w:tc>
        <w:tc>
          <w:tcPr>
            <w:tcW w:w="1240" w:type="dxa"/>
            <w:tcBorders>
              <w:left w:val="single" w:sz="4" w:space="0" w:color="auto"/>
              <w:right w:val="single" w:sz="4" w:space="0" w:color="auto"/>
            </w:tcBorders>
            <w:shd w:val="clear" w:color="auto" w:fill="auto"/>
          </w:tcPr>
          <w:p w14:paraId="5E00A893" w14:textId="77777777" w:rsidR="00DA7FF3" w:rsidRPr="00DA7FF3" w:rsidRDefault="00DA7FF3" w:rsidP="00DA7FF3">
            <w:pPr>
              <w:ind w:right="227"/>
              <w:jc w:val="right"/>
              <w:rPr>
                <w:rFonts w:eastAsia="Calibri"/>
                <w:b/>
                <w:sz w:val="18"/>
                <w:szCs w:val="18"/>
                <w:lang w:val="en-US" w:eastAsia="en-US"/>
              </w:rPr>
            </w:pPr>
            <w:r w:rsidRPr="00DA7FF3">
              <w:rPr>
                <w:rFonts w:eastAsia="Calibri"/>
                <w:b/>
                <w:sz w:val="18"/>
                <w:szCs w:val="18"/>
                <w:lang w:val="en-US" w:eastAsia="en-US"/>
              </w:rPr>
              <w:t>51</w:t>
            </w:r>
          </w:p>
        </w:tc>
        <w:tc>
          <w:tcPr>
            <w:tcW w:w="1241" w:type="dxa"/>
            <w:tcBorders>
              <w:left w:val="single" w:sz="4" w:space="0" w:color="auto"/>
              <w:right w:val="single" w:sz="4" w:space="0" w:color="auto"/>
            </w:tcBorders>
            <w:shd w:val="clear" w:color="auto" w:fill="auto"/>
          </w:tcPr>
          <w:p w14:paraId="5A5003EA"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3.0</w:t>
            </w:r>
          </w:p>
        </w:tc>
      </w:tr>
      <w:tr w:rsidR="00DA7FF3" w:rsidRPr="00DA7FF3" w14:paraId="5A44EA1E" w14:textId="77777777" w:rsidTr="00DA7FF3">
        <w:tc>
          <w:tcPr>
            <w:tcW w:w="3936" w:type="dxa"/>
            <w:tcBorders>
              <w:left w:val="single" w:sz="4" w:space="0" w:color="auto"/>
              <w:right w:val="single" w:sz="4" w:space="0" w:color="auto"/>
            </w:tcBorders>
            <w:shd w:val="clear" w:color="auto" w:fill="auto"/>
          </w:tcPr>
          <w:p w14:paraId="52F2B5A1"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Estimación preventiva para riesgos crediticios</w:t>
            </w:r>
          </w:p>
        </w:tc>
        <w:tc>
          <w:tcPr>
            <w:tcW w:w="1240" w:type="dxa"/>
            <w:tcBorders>
              <w:left w:val="single" w:sz="4" w:space="0" w:color="auto"/>
              <w:right w:val="single" w:sz="4" w:space="0" w:color="auto"/>
            </w:tcBorders>
            <w:shd w:val="clear" w:color="auto" w:fill="auto"/>
          </w:tcPr>
          <w:p w14:paraId="442EC1FF"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332</w:t>
            </w:r>
          </w:p>
        </w:tc>
        <w:tc>
          <w:tcPr>
            <w:tcW w:w="1240" w:type="dxa"/>
            <w:tcBorders>
              <w:left w:val="single" w:sz="4" w:space="0" w:color="auto"/>
              <w:right w:val="single" w:sz="4" w:space="0" w:color="auto"/>
            </w:tcBorders>
            <w:shd w:val="clear" w:color="auto" w:fill="auto"/>
          </w:tcPr>
          <w:p w14:paraId="50D52BAD"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349</w:t>
            </w:r>
          </w:p>
        </w:tc>
        <w:tc>
          <w:tcPr>
            <w:tcW w:w="1240" w:type="dxa"/>
            <w:tcBorders>
              <w:left w:val="single" w:sz="4" w:space="0" w:color="auto"/>
              <w:right w:val="single" w:sz="4" w:space="0" w:color="auto"/>
            </w:tcBorders>
            <w:shd w:val="clear" w:color="auto" w:fill="auto"/>
          </w:tcPr>
          <w:p w14:paraId="1CF97619"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18</w:t>
            </w:r>
          </w:p>
        </w:tc>
        <w:tc>
          <w:tcPr>
            <w:tcW w:w="1241" w:type="dxa"/>
            <w:tcBorders>
              <w:left w:val="single" w:sz="4" w:space="0" w:color="auto"/>
              <w:right w:val="single" w:sz="4" w:space="0" w:color="auto"/>
            </w:tcBorders>
            <w:shd w:val="clear" w:color="auto" w:fill="auto"/>
          </w:tcPr>
          <w:p w14:paraId="2934664A"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5.3</w:t>
            </w:r>
          </w:p>
        </w:tc>
      </w:tr>
      <w:tr w:rsidR="00DA7FF3" w:rsidRPr="00DA7FF3" w14:paraId="1658CDD7" w14:textId="77777777" w:rsidTr="00DA7FF3">
        <w:tc>
          <w:tcPr>
            <w:tcW w:w="3936" w:type="dxa"/>
            <w:tcBorders>
              <w:left w:val="single" w:sz="4" w:space="0" w:color="auto"/>
              <w:right w:val="single" w:sz="4" w:space="0" w:color="auto"/>
            </w:tcBorders>
            <w:shd w:val="clear" w:color="auto" w:fill="auto"/>
          </w:tcPr>
          <w:p w14:paraId="20D65472" w14:textId="77777777" w:rsidR="00DA7FF3" w:rsidRPr="00DA7FF3" w:rsidRDefault="00DA7FF3" w:rsidP="00DA7FF3">
            <w:pPr>
              <w:rPr>
                <w:rFonts w:eastAsia="Calibri"/>
                <w:sz w:val="18"/>
                <w:szCs w:val="18"/>
                <w:lang w:eastAsia="en-US"/>
              </w:rPr>
            </w:pPr>
            <w:r w:rsidRPr="00DA7FF3">
              <w:rPr>
                <w:rFonts w:eastAsia="Calibri"/>
                <w:sz w:val="18"/>
                <w:szCs w:val="18"/>
                <w:lang w:eastAsia="en-US"/>
              </w:rPr>
              <w:t>Margen financiero ajustado por riesgos crediticios</w:t>
            </w:r>
          </w:p>
        </w:tc>
        <w:tc>
          <w:tcPr>
            <w:tcW w:w="1240" w:type="dxa"/>
            <w:tcBorders>
              <w:left w:val="single" w:sz="4" w:space="0" w:color="auto"/>
              <w:right w:val="single" w:sz="4" w:space="0" w:color="auto"/>
            </w:tcBorders>
            <w:shd w:val="clear" w:color="auto" w:fill="auto"/>
          </w:tcPr>
          <w:p w14:paraId="59726132"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1 328</w:t>
            </w:r>
          </w:p>
        </w:tc>
        <w:tc>
          <w:tcPr>
            <w:tcW w:w="1240" w:type="dxa"/>
            <w:tcBorders>
              <w:left w:val="single" w:sz="4" w:space="0" w:color="auto"/>
              <w:right w:val="single" w:sz="4" w:space="0" w:color="auto"/>
            </w:tcBorders>
            <w:shd w:val="clear" w:color="auto" w:fill="auto"/>
          </w:tcPr>
          <w:p w14:paraId="14079575"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1 361</w:t>
            </w:r>
          </w:p>
        </w:tc>
        <w:tc>
          <w:tcPr>
            <w:tcW w:w="1240" w:type="dxa"/>
            <w:tcBorders>
              <w:left w:val="single" w:sz="4" w:space="0" w:color="auto"/>
              <w:right w:val="single" w:sz="4" w:space="0" w:color="auto"/>
            </w:tcBorders>
            <w:shd w:val="clear" w:color="auto" w:fill="auto"/>
          </w:tcPr>
          <w:p w14:paraId="01FD5843"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33</w:t>
            </w:r>
          </w:p>
        </w:tc>
        <w:tc>
          <w:tcPr>
            <w:tcW w:w="1241" w:type="dxa"/>
            <w:tcBorders>
              <w:left w:val="single" w:sz="4" w:space="0" w:color="auto"/>
              <w:right w:val="single" w:sz="4" w:space="0" w:color="auto"/>
            </w:tcBorders>
            <w:shd w:val="clear" w:color="auto" w:fill="auto"/>
          </w:tcPr>
          <w:p w14:paraId="6F2FC300"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2.5</w:t>
            </w:r>
          </w:p>
        </w:tc>
      </w:tr>
      <w:tr w:rsidR="00DA7FF3" w:rsidRPr="00DA7FF3" w14:paraId="4944F833" w14:textId="77777777" w:rsidTr="00DA7FF3">
        <w:tc>
          <w:tcPr>
            <w:tcW w:w="3936" w:type="dxa"/>
            <w:tcBorders>
              <w:left w:val="single" w:sz="4" w:space="0" w:color="auto"/>
              <w:right w:val="single" w:sz="4" w:space="0" w:color="auto"/>
            </w:tcBorders>
            <w:shd w:val="clear" w:color="auto" w:fill="auto"/>
          </w:tcPr>
          <w:p w14:paraId="67DD7ECE"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 xml:space="preserve">Comisiones y tarifas netas </w:t>
            </w:r>
            <w:r w:rsidRPr="00DA7FF3">
              <w:rPr>
                <w:rFonts w:eastAsia="Calibri"/>
                <w:sz w:val="18"/>
                <w:szCs w:val="18"/>
                <w:u w:val="single"/>
                <w:vertAlign w:val="superscript"/>
                <w:lang w:eastAsia="en-US"/>
              </w:rPr>
              <w:t>1</w:t>
            </w:r>
            <w:r w:rsidRPr="00DA7FF3">
              <w:rPr>
                <w:rFonts w:eastAsia="Calibri"/>
                <w:sz w:val="18"/>
                <w:szCs w:val="18"/>
                <w:vertAlign w:val="superscript"/>
                <w:lang w:eastAsia="en-US"/>
              </w:rPr>
              <w:t>/</w:t>
            </w:r>
          </w:p>
        </w:tc>
        <w:tc>
          <w:tcPr>
            <w:tcW w:w="1240" w:type="dxa"/>
            <w:tcBorders>
              <w:left w:val="single" w:sz="4" w:space="0" w:color="auto"/>
              <w:right w:val="single" w:sz="4" w:space="0" w:color="auto"/>
            </w:tcBorders>
            <w:shd w:val="clear" w:color="auto" w:fill="auto"/>
          </w:tcPr>
          <w:p w14:paraId="37568C8A"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88</w:t>
            </w:r>
          </w:p>
        </w:tc>
        <w:tc>
          <w:tcPr>
            <w:tcW w:w="1240" w:type="dxa"/>
            <w:tcBorders>
              <w:left w:val="single" w:sz="4" w:space="0" w:color="auto"/>
              <w:right w:val="single" w:sz="4" w:space="0" w:color="auto"/>
            </w:tcBorders>
            <w:shd w:val="clear" w:color="auto" w:fill="auto"/>
          </w:tcPr>
          <w:p w14:paraId="0E5A4C99"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115</w:t>
            </w:r>
          </w:p>
        </w:tc>
        <w:tc>
          <w:tcPr>
            <w:tcW w:w="1240" w:type="dxa"/>
            <w:tcBorders>
              <w:left w:val="single" w:sz="4" w:space="0" w:color="auto"/>
              <w:right w:val="single" w:sz="4" w:space="0" w:color="auto"/>
            </w:tcBorders>
            <w:shd w:val="clear" w:color="auto" w:fill="auto"/>
          </w:tcPr>
          <w:p w14:paraId="3939417B"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27</w:t>
            </w:r>
          </w:p>
        </w:tc>
        <w:tc>
          <w:tcPr>
            <w:tcW w:w="1241" w:type="dxa"/>
            <w:tcBorders>
              <w:left w:val="single" w:sz="4" w:space="0" w:color="auto"/>
              <w:right w:val="single" w:sz="4" w:space="0" w:color="auto"/>
            </w:tcBorders>
            <w:shd w:val="clear" w:color="auto" w:fill="auto"/>
          </w:tcPr>
          <w:p w14:paraId="6491D27D"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30.4</w:t>
            </w:r>
          </w:p>
        </w:tc>
      </w:tr>
      <w:tr w:rsidR="00DA7FF3" w:rsidRPr="00DA7FF3" w14:paraId="540DD33A" w14:textId="77777777" w:rsidTr="00DA7FF3">
        <w:tc>
          <w:tcPr>
            <w:tcW w:w="3936" w:type="dxa"/>
            <w:tcBorders>
              <w:left w:val="single" w:sz="4" w:space="0" w:color="auto"/>
              <w:right w:val="single" w:sz="4" w:space="0" w:color="auto"/>
            </w:tcBorders>
            <w:shd w:val="clear" w:color="auto" w:fill="auto"/>
          </w:tcPr>
          <w:p w14:paraId="75F2A0DA"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Resultado por intermediación</w:t>
            </w:r>
          </w:p>
        </w:tc>
        <w:tc>
          <w:tcPr>
            <w:tcW w:w="1240" w:type="dxa"/>
            <w:tcBorders>
              <w:left w:val="single" w:sz="4" w:space="0" w:color="auto"/>
              <w:right w:val="single" w:sz="4" w:space="0" w:color="auto"/>
            </w:tcBorders>
            <w:shd w:val="clear" w:color="auto" w:fill="auto"/>
          </w:tcPr>
          <w:p w14:paraId="7811D3B6"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w:t>
            </w:r>
          </w:p>
        </w:tc>
        <w:tc>
          <w:tcPr>
            <w:tcW w:w="1240" w:type="dxa"/>
            <w:tcBorders>
              <w:left w:val="single" w:sz="4" w:space="0" w:color="auto"/>
              <w:right w:val="single" w:sz="4" w:space="0" w:color="auto"/>
            </w:tcBorders>
            <w:shd w:val="clear" w:color="auto" w:fill="auto"/>
          </w:tcPr>
          <w:p w14:paraId="5EF3EB85"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8</w:t>
            </w:r>
          </w:p>
        </w:tc>
        <w:tc>
          <w:tcPr>
            <w:tcW w:w="1240" w:type="dxa"/>
            <w:tcBorders>
              <w:left w:val="single" w:sz="4" w:space="0" w:color="auto"/>
              <w:right w:val="single" w:sz="4" w:space="0" w:color="auto"/>
            </w:tcBorders>
            <w:shd w:val="clear" w:color="auto" w:fill="auto"/>
          </w:tcPr>
          <w:p w14:paraId="4E9F37A4"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7</w:t>
            </w:r>
          </w:p>
        </w:tc>
        <w:tc>
          <w:tcPr>
            <w:tcW w:w="1241" w:type="dxa"/>
            <w:tcBorders>
              <w:left w:val="single" w:sz="4" w:space="0" w:color="auto"/>
              <w:right w:val="single" w:sz="4" w:space="0" w:color="auto"/>
            </w:tcBorders>
            <w:shd w:val="clear" w:color="auto" w:fill="auto"/>
          </w:tcPr>
          <w:p w14:paraId="4D265EC0"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n.s.</w:t>
            </w:r>
          </w:p>
        </w:tc>
      </w:tr>
      <w:tr w:rsidR="00DA7FF3" w:rsidRPr="00DA7FF3" w14:paraId="0DE9A01B" w14:textId="77777777" w:rsidTr="00DA7FF3">
        <w:tc>
          <w:tcPr>
            <w:tcW w:w="3936" w:type="dxa"/>
            <w:tcBorders>
              <w:left w:val="single" w:sz="4" w:space="0" w:color="auto"/>
              <w:right w:val="single" w:sz="4" w:space="0" w:color="auto"/>
            </w:tcBorders>
            <w:shd w:val="clear" w:color="auto" w:fill="auto"/>
          </w:tcPr>
          <w:p w14:paraId="316D2BFE"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Otros ingresos (egresos) de la operación</w:t>
            </w:r>
          </w:p>
        </w:tc>
        <w:tc>
          <w:tcPr>
            <w:tcW w:w="1240" w:type="dxa"/>
            <w:tcBorders>
              <w:left w:val="single" w:sz="4" w:space="0" w:color="auto"/>
              <w:right w:val="single" w:sz="4" w:space="0" w:color="auto"/>
            </w:tcBorders>
            <w:shd w:val="clear" w:color="auto" w:fill="auto"/>
          </w:tcPr>
          <w:p w14:paraId="443D7388"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295</w:t>
            </w:r>
          </w:p>
        </w:tc>
        <w:tc>
          <w:tcPr>
            <w:tcW w:w="1240" w:type="dxa"/>
            <w:tcBorders>
              <w:left w:val="single" w:sz="4" w:space="0" w:color="auto"/>
              <w:right w:val="single" w:sz="4" w:space="0" w:color="auto"/>
            </w:tcBorders>
            <w:shd w:val="clear" w:color="auto" w:fill="auto"/>
          </w:tcPr>
          <w:p w14:paraId="04861475"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367</w:t>
            </w:r>
          </w:p>
        </w:tc>
        <w:tc>
          <w:tcPr>
            <w:tcW w:w="1240" w:type="dxa"/>
            <w:tcBorders>
              <w:left w:val="single" w:sz="4" w:space="0" w:color="auto"/>
              <w:right w:val="single" w:sz="4" w:space="0" w:color="auto"/>
            </w:tcBorders>
            <w:shd w:val="clear" w:color="auto" w:fill="auto"/>
          </w:tcPr>
          <w:p w14:paraId="26CB7D22"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73</w:t>
            </w:r>
          </w:p>
        </w:tc>
        <w:tc>
          <w:tcPr>
            <w:tcW w:w="1241" w:type="dxa"/>
            <w:tcBorders>
              <w:left w:val="single" w:sz="4" w:space="0" w:color="auto"/>
              <w:right w:val="single" w:sz="4" w:space="0" w:color="auto"/>
            </w:tcBorders>
            <w:shd w:val="clear" w:color="auto" w:fill="auto"/>
          </w:tcPr>
          <w:p w14:paraId="678C56C5"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24.6</w:t>
            </w:r>
          </w:p>
        </w:tc>
      </w:tr>
      <w:tr w:rsidR="00DA7FF3" w:rsidRPr="00DA7FF3" w14:paraId="4D7AECF6" w14:textId="77777777" w:rsidTr="00DA7FF3">
        <w:tc>
          <w:tcPr>
            <w:tcW w:w="3936" w:type="dxa"/>
            <w:tcBorders>
              <w:left w:val="single" w:sz="4" w:space="0" w:color="auto"/>
              <w:right w:val="single" w:sz="4" w:space="0" w:color="auto"/>
            </w:tcBorders>
            <w:shd w:val="clear" w:color="auto" w:fill="auto"/>
          </w:tcPr>
          <w:p w14:paraId="56AFEBCC" w14:textId="77777777" w:rsidR="00DA7FF3" w:rsidRPr="00DA7FF3" w:rsidRDefault="00DA7FF3" w:rsidP="00DA7FF3">
            <w:pPr>
              <w:ind w:left="170"/>
              <w:rPr>
                <w:rFonts w:eastAsia="Calibri"/>
                <w:sz w:val="18"/>
                <w:szCs w:val="18"/>
                <w:lang w:eastAsia="en-US"/>
              </w:rPr>
            </w:pPr>
            <w:r w:rsidRPr="00DA7FF3">
              <w:rPr>
                <w:rFonts w:eastAsia="Calibri"/>
                <w:sz w:val="18"/>
                <w:szCs w:val="18"/>
                <w:lang w:eastAsia="en-US"/>
              </w:rPr>
              <w:t>Gastos de administración y promoción</w:t>
            </w:r>
          </w:p>
        </w:tc>
        <w:tc>
          <w:tcPr>
            <w:tcW w:w="1240" w:type="dxa"/>
            <w:tcBorders>
              <w:left w:val="single" w:sz="4" w:space="0" w:color="auto"/>
              <w:right w:val="single" w:sz="4" w:space="0" w:color="auto"/>
            </w:tcBorders>
            <w:shd w:val="clear" w:color="auto" w:fill="auto"/>
          </w:tcPr>
          <w:p w14:paraId="35F5CF98"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1 217</w:t>
            </w:r>
          </w:p>
        </w:tc>
        <w:tc>
          <w:tcPr>
            <w:tcW w:w="1240" w:type="dxa"/>
            <w:tcBorders>
              <w:left w:val="single" w:sz="4" w:space="0" w:color="auto"/>
              <w:right w:val="single" w:sz="4" w:space="0" w:color="auto"/>
            </w:tcBorders>
            <w:shd w:val="clear" w:color="auto" w:fill="auto"/>
          </w:tcPr>
          <w:p w14:paraId="3229D5EF"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1 306</w:t>
            </w:r>
          </w:p>
        </w:tc>
        <w:tc>
          <w:tcPr>
            <w:tcW w:w="1240" w:type="dxa"/>
            <w:tcBorders>
              <w:left w:val="single" w:sz="4" w:space="0" w:color="auto"/>
              <w:right w:val="single" w:sz="4" w:space="0" w:color="auto"/>
            </w:tcBorders>
            <w:shd w:val="clear" w:color="auto" w:fill="auto"/>
          </w:tcPr>
          <w:p w14:paraId="0A00F1E4"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88</w:t>
            </w:r>
          </w:p>
        </w:tc>
        <w:tc>
          <w:tcPr>
            <w:tcW w:w="1241" w:type="dxa"/>
            <w:tcBorders>
              <w:left w:val="single" w:sz="4" w:space="0" w:color="auto"/>
              <w:right w:val="single" w:sz="4" w:space="0" w:color="auto"/>
            </w:tcBorders>
            <w:shd w:val="clear" w:color="auto" w:fill="auto"/>
          </w:tcPr>
          <w:p w14:paraId="614C76EB"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7.3</w:t>
            </w:r>
          </w:p>
        </w:tc>
      </w:tr>
      <w:tr w:rsidR="00DA7FF3" w:rsidRPr="00DA7FF3" w14:paraId="051C1018" w14:textId="77777777" w:rsidTr="00DA7FF3">
        <w:tc>
          <w:tcPr>
            <w:tcW w:w="3936" w:type="dxa"/>
            <w:tcBorders>
              <w:left w:val="single" w:sz="4" w:space="0" w:color="auto"/>
              <w:right w:val="single" w:sz="4" w:space="0" w:color="auto"/>
            </w:tcBorders>
            <w:shd w:val="clear" w:color="auto" w:fill="auto"/>
          </w:tcPr>
          <w:p w14:paraId="7FE1802A" w14:textId="77777777" w:rsidR="00DA7FF3" w:rsidRPr="00DA7FF3" w:rsidRDefault="00DA7FF3" w:rsidP="00DA7FF3">
            <w:pPr>
              <w:rPr>
                <w:rFonts w:eastAsia="Calibri"/>
                <w:b/>
                <w:sz w:val="18"/>
                <w:szCs w:val="18"/>
                <w:lang w:eastAsia="en-US"/>
              </w:rPr>
            </w:pPr>
            <w:r w:rsidRPr="00DA7FF3">
              <w:rPr>
                <w:rFonts w:eastAsia="Calibri"/>
                <w:sz w:val="18"/>
                <w:szCs w:val="18"/>
                <w:lang w:eastAsia="en-US"/>
              </w:rPr>
              <w:t>Resultado de la operación</w:t>
            </w:r>
          </w:p>
        </w:tc>
        <w:tc>
          <w:tcPr>
            <w:tcW w:w="1240" w:type="dxa"/>
            <w:tcBorders>
              <w:left w:val="single" w:sz="4" w:space="0" w:color="auto"/>
              <w:right w:val="single" w:sz="4" w:space="0" w:color="auto"/>
            </w:tcBorders>
            <w:shd w:val="clear" w:color="auto" w:fill="auto"/>
          </w:tcPr>
          <w:p w14:paraId="08FED38E"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494</w:t>
            </w:r>
          </w:p>
        </w:tc>
        <w:tc>
          <w:tcPr>
            <w:tcW w:w="1240" w:type="dxa"/>
            <w:tcBorders>
              <w:left w:val="single" w:sz="4" w:space="0" w:color="auto"/>
              <w:right w:val="single" w:sz="4" w:space="0" w:color="auto"/>
            </w:tcBorders>
            <w:shd w:val="clear" w:color="auto" w:fill="auto"/>
          </w:tcPr>
          <w:p w14:paraId="3306B1A6"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545</w:t>
            </w:r>
          </w:p>
        </w:tc>
        <w:tc>
          <w:tcPr>
            <w:tcW w:w="1240" w:type="dxa"/>
            <w:tcBorders>
              <w:left w:val="single" w:sz="4" w:space="0" w:color="auto"/>
              <w:right w:val="single" w:sz="4" w:space="0" w:color="auto"/>
            </w:tcBorders>
            <w:shd w:val="clear" w:color="auto" w:fill="auto"/>
          </w:tcPr>
          <w:p w14:paraId="22D9F696"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51</w:t>
            </w:r>
          </w:p>
        </w:tc>
        <w:tc>
          <w:tcPr>
            <w:tcW w:w="1241" w:type="dxa"/>
            <w:tcBorders>
              <w:left w:val="single" w:sz="4" w:space="0" w:color="auto"/>
              <w:right w:val="single" w:sz="4" w:space="0" w:color="auto"/>
            </w:tcBorders>
            <w:shd w:val="clear" w:color="auto" w:fill="auto"/>
          </w:tcPr>
          <w:p w14:paraId="1ED5A4B2"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10.4</w:t>
            </w:r>
          </w:p>
        </w:tc>
      </w:tr>
      <w:tr w:rsidR="00DA7FF3" w:rsidRPr="00DA7FF3" w14:paraId="3DDB1960" w14:textId="77777777" w:rsidTr="00DA7FF3">
        <w:tc>
          <w:tcPr>
            <w:tcW w:w="3936" w:type="dxa"/>
            <w:tcBorders>
              <w:left w:val="single" w:sz="4" w:space="0" w:color="auto"/>
              <w:right w:val="single" w:sz="4" w:space="0" w:color="auto"/>
            </w:tcBorders>
            <w:shd w:val="clear" w:color="auto" w:fill="auto"/>
          </w:tcPr>
          <w:p w14:paraId="20A20A83"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Participación en el resultado de subsidiarias no consolidadas y asociadas</w:t>
            </w:r>
          </w:p>
        </w:tc>
        <w:tc>
          <w:tcPr>
            <w:tcW w:w="1240" w:type="dxa"/>
            <w:tcBorders>
              <w:left w:val="single" w:sz="4" w:space="0" w:color="auto"/>
              <w:right w:val="single" w:sz="4" w:space="0" w:color="auto"/>
            </w:tcBorders>
            <w:shd w:val="clear" w:color="auto" w:fill="auto"/>
          </w:tcPr>
          <w:p w14:paraId="037A1A5C"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24</w:t>
            </w:r>
          </w:p>
        </w:tc>
        <w:tc>
          <w:tcPr>
            <w:tcW w:w="1240" w:type="dxa"/>
            <w:tcBorders>
              <w:left w:val="single" w:sz="4" w:space="0" w:color="auto"/>
              <w:right w:val="single" w:sz="4" w:space="0" w:color="auto"/>
            </w:tcBorders>
            <w:shd w:val="clear" w:color="auto" w:fill="auto"/>
          </w:tcPr>
          <w:p w14:paraId="7E51FBEF"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29</w:t>
            </w:r>
          </w:p>
        </w:tc>
        <w:tc>
          <w:tcPr>
            <w:tcW w:w="1240" w:type="dxa"/>
            <w:tcBorders>
              <w:left w:val="single" w:sz="4" w:space="0" w:color="auto"/>
              <w:right w:val="single" w:sz="4" w:space="0" w:color="auto"/>
            </w:tcBorders>
            <w:shd w:val="clear" w:color="auto" w:fill="auto"/>
          </w:tcPr>
          <w:p w14:paraId="2A3AE8BA"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w:t>
            </w:r>
          </w:p>
        </w:tc>
        <w:tc>
          <w:tcPr>
            <w:tcW w:w="1241" w:type="dxa"/>
            <w:tcBorders>
              <w:left w:val="single" w:sz="4" w:space="0" w:color="auto"/>
              <w:right w:val="single" w:sz="4" w:space="0" w:color="auto"/>
            </w:tcBorders>
            <w:shd w:val="clear" w:color="auto" w:fill="auto"/>
          </w:tcPr>
          <w:p w14:paraId="30FEE670"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18.7</w:t>
            </w:r>
          </w:p>
        </w:tc>
      </w:tr>
      <w:tr w:rsidR="00DA7FF3" w:rsidRPr="00DA7FF3" w14:paraId="7605EF97" w14:textId="77777777" w:rsidTr="00DA7FF3">
        <w:tc>
          <w:tcPr>
            <w:tcW w:w="3936" w:type="dxa"/>
            <w:tcBorders>
              <w:left w:val="single" w:sz="4" w:space="0" w:color="auto"/>
              <w:right w:val="single" w:sz="4" w:space="0" w:color="auto"/>
            </w:tcBorders>
            <w:shd w:val="clear" w:color="auto" w:fill="auto"/>
          </w:tcPr>
          <w:p w14:paraId="196944AE" w14:textId="77777777" w:rsidR="00DA7FF3" w:rsidRPr="00DA7FF3" w:rsidRDefault="00DA7FF3" w:rsidP="00DA7FF3">
            <w:pPr>
              <w:rPr>
                <w:rFonts w:eastAsia="Calibri"/>
                <w:sz w:val="18"/>
                <w:szCs w:val="18"/>
                <w:lang w:eastAsia="en-US"/>
              </w:rPr>
            </w:pPr>
            <w:r w:rsidRPr="00DA7FF3">
              <w:rPr>
                <w:rFonts w:eastAsia="Calibri"/>
                <w:sz w:val="18"/>
                <w:szCs w:val="18"/>
                <w:lang w:eastAsia="en-US"/>
              </w:rPr>
              <w:t>Resultado antes de impuestos a la utilidad</w:t>
            </w:r>
          </w:p>
        </w:tc>
        <w:tc>
          <w:tcPr>
            <w:tcW w:w="1240" w:type="dxa"/>
            <w:tcBorders>
              <w:left w:val="single" w:sz="4" w:space="0" w:color="auto"/>
              <w:right w:val="single" w:sz="4" w:space="0" w:color="auto"/>
            </w:tcBorders>
            <w:shd w:val="clear" w:color="auto" w:fill="auto"/>
          </w:tcPr>
          <w:p w14:paraId="767C81A7"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518</w:t>
            </w:r>
          </w:p>
        </w:tc>
        <w:tc>
          <w:tcPr>
            <w:tcW w:w="1240" w:type="dxa"/>
            <w:tcBorders>
              <w:left w:val="single" w:sz="4" w:space="0" w:color="auto"/>
              <w:right w:val="single" w:sz="4" w:space="0" w:color="auto"/>
            </w:tcBorders>
            <w:shd w:val="clear" w:color="auto" w:fill="auto"/>
          </w:tcPr>
          <w:p w14:paraId="2186D796"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574</w:t>
            </w:r>
          </w:p>
        </w:tc>
        <w:tc>
          <w:tcPr>
            <w:tcW w:w="1240" w:type="dxa"/>
            <w:tcBorders>
              <w:left w:val="single" w:sz="4" w:space="0" w:color="auto"/>
              <w:right w:val="single" w:sz="4" w:space="0" w:color="auto"/>
            </w:tcBorders>
            <w:shd w:val="clear" w:color="auto" w:fill="auto"/>
          </w:tcPr>
          <w:p w14:paraId="4D0948F8"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56</w:t>
            </w:r>
          </w:p>
        </w:tc>
        <w:tc>
          <w:tcPr>
            <w:tcW w:w="1241" w:type="dxa"/>
            <w:tcBorders>
              <w:left w:val="single" w:sz="4" w:space="0" w:color="auto"/>
              <w:right w:val="single" w:sz="4" w:space="0" w:color="auto"/>
            </w:tcBorders>
            <w:shd w:val="clear" w:color="auto" w:fill="auto"/>
          </w:tcPr>
          <w:p w14:paraId="784123C3"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10.8</w:t>
            </w:r>
          </w:p>
        </w:tc>
      </w:tr>
      <w:tr w:rsidR="00DA7FF3" w:rsidRPr="00DA7FF3" w14:paraId="6BB4E289" w14:textId="77777777" w:rsidTr="00DA7FF3">
        <w:tc>
          <w:tcPr>
            <w:tcW w:w="3936" w:type="dxa"/>
            <w:tcBorders>
              <w:left w:val="single" w:sz="4" w:space="0" w:color="auto"/>
              <w:right w:val="single" w:sz="4" w:space="0" w:color="auto"/>
            </w:tcBorders>
            <w:shd w:val="clear" w:color="auto" w:fill="auto"/>
          </w:tcPr>
          <w:p w14:paraId="5CC56884"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 xml:space="preserve">Impuestos a la utilidad netos </w:t>
            </w:r>
            <w:r w:rsidRPr="00DA7FF3">
              <w:rPr>
                <w:rFonts w:eastAsia="Calibri"/>
                <w:sz w:val="18"/>
                <w:szCs w:val="18"/>
                <w:u w:val="single"/>
                <w:vertAlign w:val="superscript"/>
                <w:lang w:eastAsia="en-US"/>
              </w:rPr>
              <w:t>2</w:t>
            </w:r>
            <w:r w:rsidRPr="00DA7FF3">
              <w:rPr>
                <w:rFonts w:eastAsia="Calibri"/>
                <w:sz w:val="18"/>
                <w:szCs w:val="18"/>
                <w:vertAlign w:val="superscript"/>
                <w:lang w:eastAsia="en-US"/>
              </w:rPr>
              <w:t>/</w:t>
            </w:r>
          </w:p>
        </w:tc>
        <w:tc>
          <w:tcPr>
            <w:tcW w:w="1240" w:type="dxa"/>
            <w:tcBorders>
              <w:left w:val="single" w:sz="4" w:space="0" w:color="auto"/>
              <w:right w:val="single" w:sz="4" w:space="0" w:color="auto"/>
            </w:tcBorders>
            <w:shd w:val="clear" w:color="auto" w:fill="auto"/>
          </w:tcPr>
          <w:p w14:paraId="1C47891D"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146</w:t>
            </w:r>
          </w:p>
        </w:tc>
        <w:tc>
          <w:tcPr>
            <w:tcW w:w="1240" w:type="dxa"/>
            <w:tcBorders>
              <w:left w:val="single" w:sz="4" w:space="0" w:color="auto"/>
              <w:right w:val="single" w:sz="4" w:space="0" w:color="auto"/>
            </w:tcBorders>
            <w:shd w:val="clear" w:color="auto" w:fill="auto"/>
          </w:tcPr>
          <w:p w14:paraId="7F63EC5B"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140</w:t>
            </w:r>
          </w:p>
        </w:tc>
        <w:tc>
          <w:tcPr>
            <w:tcW w:w="1240" w:type="dxa"/>
            <w:tcBorders>
              <w:left w:val="single" w:sz="4" w:space="0" w:color="auto"/>
              <w:right w:val="single" w:sz="4" w:space="0" w:color="auto"/>
            </w:tcBorders>
            <w:shd w:val="clear" w:color="auto" w:fill="auto"/>
          </w:tcPr>
          <w:p w14:paraId="376F628F"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-6</w:t>
            </w:r>
          </w:p>
        </w:tc>
        <w:tc>
          <w:tcPr>
            <w:tcW w:w="1241" w:type="dxa"/>
            <w:tcBorders>
              <w:left w:val="single" w:sz="4" w:space="0" w:color="auto"/>
              <w:right w:val="single" w:sz="4" w:space="0" w:color="auto"/>
            </w:tcBorders>
            <w:shd w:val="clear" w:color="auto" w:fill="auto"/>
          </w:tcPr>
          <w:p w14:paraId="4724D965"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-4.3</w:t>
            </w:r>
          </w:p>
        </w:tc>
      </w:tr>
      <w:tr w:rsidR="00DA7FF3" w:rsidRPr="00DA7FF3" w14:paraId="006938F6" w14:textId="77777777" w:rsidTr="00DA7FF3">
        <w:tc>
          <w:tcPr>
            <w:tcW w:w="3936" w:type="dxa"/>
            <w:tcBorders>
              <w:left w:val="single" w:sz="4" w:space="0" w:color="auto"/>
              <w:right w:val="single" w:sz="4" w:space="0" w:color="auto"/>
            </w:tcBorders>
            <w:shd w:val="clear" w:color="auto" w:fill="auto"/>
          </w:tcPr>
          <w:p w14:paraId="1563A2B9" w14:textId="77777777" w:rsidR="00DA7FF3" w:rsidRPr="00DA7FF3" w:rsidRDefault="00DA7FF3" w:rsidP="00DA7FF3">
            <w:pPr>
              <w:ind w:left="170"/>
              <w:rPr>
                <w:rFonts w:eastAsia="Calibri"/>
                <w:b/>
                <w:sz w:val="18"/>
                <w:szCs w:val="18"/>
                <w:lang w:eastAsia="en-US"/>
              </w:rPr>
            </w:pPr>
            <w:r w:rsidRPr="00DA7FF3">
              <w:rPr>
                <w:rFonts w:eastAsia="Calibri"/>
                <w:sz w:val="18"/>
                <w:szCs w:val="18"/>
                <w:lang w:eastAsia="en-US"/>
              </w:rPr>
              <w:t>Operaciones discontinuadas</w:t>
            </w:r>
          </w:p>
        </w:tc>
        <w:tc>
          <w:tcPr>
            <w:tcW w:w="1240" w:type="dxa"/>
            <w:tcBorders>
              <w:left w:val="single" w:sz="4" w:space="0" w:color="auto"/>
              <w:right w:val="single" w:sz="4" w:space="0" w:color="auto"/>
            </w:tcBorders>
            <w:shd w:val="clear" w:color="auto" w:fill="auto"/>
          </w:tcPr>
          <w:p w14:paraId="2A665DEA"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0</w:t>
            </w:r>
          </w:p>
        </w:tc>
        <w:tc>
          <w:tcPr>
            <w:tcW w:w="1240" w:type="dxa"/>
            <w:tcBorders>
              <w:left w:val="single" w:sz="4" w:space="0" w:color="auto"/>
              <w:right w:val="single" w:sz="4" w:space="0" w:color="auto"/>
            </w:tcBorders>
            <w:shd w:val="clear" w:color="auto" w:fill="auto"/>
          </w:tcPr>
          <w:p w14:paraId="342D9128"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w:t>
            </w:r>
          </w:p>
        </w:tc>
        <w:tc>
          <w:tcPr>
            <w:tcW w:w="1240" w:type="dxa"/>
            <w:tcBorders>
              <w:left w:val="single" w:sz="4" w:space="0" w:color="auto"/>
              <w:right w:val="single" w:sz="4" w:space="0" w:color="auto"/>
            </w:tcBorders>
            <w:shd w:val="clear" w:color="auto" w:fill="auto"/>
          </w:tcPr>
          <w:p w14:paraId="53267962"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2</w:t>
            </w:r>
          </w:p>
        </w:tc>
        <w:tc>
          <w:tcPr>
            <w:tcW w:w="1241" w:type="dxa"/>
            <w:tcBorders>
              <w:left w:val="single" w:sz="4" w:space="0" w:color="auto"/>
              <w:right w:val="single" w:sz="4" w:space="0" w:color="auto"/>
            </w:tcBorders>
            <w:shd w:val="clear" w:color="auto" w:fill="auto"/>
          </w:tcPr>
          <w:p w14:paraId="060B73E1" w14:textId="77777777" w:rsidR="00DA7FF3" w:rsidRPr="00DA7FF3" w:rsidRDefault="00DA7FF3" w:rsidP="00DA7FF3">
            <w:pPr>
              <w:ind w:right="227"/>
              <w:jc w:val="right"/>
              <w:rPr>
                <w:rFonts w:eastAsia="Calibri"/>
                <w:b/>
                <w:sz w:val="18"/>
                <w:szCs w:val="18"/>
                <w:lang w:eastAsia="en-US"/>
              </w:rPr>
            </w:pPr>
            <w:r w:rsidRPr="00DA7FF3">
              <w:rPr>
                <w:rFonts w:eastAsia="Calibri"/>
                <w:sz w:val="18"/>
                <w:szCs w:val="18"/>
                <w:lang w:eastAsia="en-US"/>
              </w:rPr>
              <w:t>0.0</w:t>
            </w:r>
          </w:p>
        </w:tc>
      </w:tr>
      <w:tr w:rsidR="00DA7FF3" w:rsidRPr="00DA7FF3" w14:paraId="58005473" w14:textId="77777777" w:rsidTr="00DA7FF3">
        <w:tc>
          <w:tcPr>
            <w:tcW w:w="3936" w:type="dxa"/>
            <w:tcBorders>
              <w:left w:val="single" w:sz="4" w:space="0" w:color="auto"/>
              <w:bottom w:val="single" w:sz="4" w:space="0" w:color="auto"/>
              <w:right w:val="single" w:sz="4" w:space="0" w:color="auto"/>
            </w:tcBorders>
            <w:shd w:val="clear" w:color="auto" w:fill="auto"/>
          </w:tcPr>
          <w:p w14:paraId="5FBAEE03" w14:textId="77777777" w:rsidR="00DA7FF3" w:rsidRPr="00DA7FF3" w:rsidRDefault="00DA7FF3" w:rsidP="00DA7FF3">
            <w:pPr>
              <w:rPr>
                <w:rFonts w:eastAsia="Calibri"/>
                <w:sz w:val="18"/>
                <w:szCs w:val="18"/>
                <w:lang w:eastAsia="en-US"/>
              </w:rPr>
            </w:pPr>
            <w:r w:rsidRPr="00DA7FF3">
              <w:rPr>
                <w:rFonts w:eastAsia="Calibri"/>
                <w:sz w:val="18"/>
                <w:szCs w:val="18"/>
                <w:lang w:eastAsia="en-US"/>
              </w:rPr>
              <w:t>Resultado neto</w:t>
            </w:r>
          </w:p>
        </w:tc>
        <w:tc>
          <w:tcPr>
            <w:tcW w:w="1240" w:type="dxa"/>
            <w:tcBorders>
              <w:left w:val="single" w:sz="4" w:space="0" w:color="auto"/>
              <w:bottom w:val="single" w:sz="4" w:space="0" w:color="auto"/>
              <w:right w:val="single" w:sz="4" w:space="0" w:color="auto"/>
            </w:tcBorders>
            <w:shd w:val="clear" w:color="auto" w:fill="auto"/>
          </w:tcPr>
          <w:p w14:paraId="2149CF39"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372</w:t>
            </w:r>
          </w:p>
        </w:tc>
        <w:tc>
          <w:tcPr>
            <w:tcW w:w="1240" w:type="dxa"/>
            <w:tcBorders>
              <w:left w:val="single" w:sz="4" w:space="0" w:color="auto"/>
              <w:bottom w:val="single" w:sz="4" w:space="0" w:color="auto"/>
              <w:right w:val="single" w:sz="4" w:space="0" w:color="auto"/>
            </w:tcBorders>
            <w:shd w:val="clear" w:color="auto" w:fill="auto"/>
          </w:tcPr>
          <w:p w14:paraId="279F6F50"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436</w:t>
            </w:r>
          </w:p>
        </w:tc>
        <w:tc>
          <w:tcPr>
            <w:tcW w:w="1240" w:type="dxa"/>
            <w:tcBorders>
              <w:left w:val="single" w:sz="4" w:space="0" w:color="auto"/>
              <w:bottom w:val="single" w:sz="4" w:space="0" w:color="auto"/>
              <w:right w:val="single" w:sz="4" w:space="0" w:color="auto"/>
            </w:tcBorders>
            <w:shd w:val="clear" w:color="auto" w:fill="auto"/>
          </w:tcPr>
          <w:p w14:paraId="2A7E0CFB" w14:textId="77777777" w:rsidR="00DA7FF3" w:rsidRPr="00DA7FF3" w:rsidRDefault="00DA7FF3" w:rsidP="00DA7FF3">
            <w:pPr>
              <w:ind w:right="227"/>
              <w:jc w:val="right"/>
              <w:rPr>
                <w:rFonts w:eastAsia="Calibri"/>
                <w:b/>
                <w:sz w:val="18"/>
                <w:szCs w:val="18"/>
                <w:lang w:eastAsia="en-US"/>
              </w:rPr>
            </w:pPr>
            <w:r w:rsidRPr="00DA7FF3">
              <w:rPr>
                <w:rFonts w:eastAsia="Calibri"/>
                <w:b/>
                <w:sz w:val="18"/>
                <w:szCs w:val="18"/>
                <w:lang w:eastAsia="en-US"/>
              </w:rPr>
              <w:t>64</w:t>
            </w:r>
          </w:p>
        </w:tc>
        <w:tc>
          <w:tcPr>
            <w:tcW w:w="1241" w:type="dxa"/>
            <w:tcBorders>
              <w:left w:val="single" w:sz="4" w:space="0" w:color="auto"/>
              <w:bottom w:val="single" w:sz="4" w:space="0" w:color="auto"/>
              <w:right w:val="single" w:sz="4" w:space="0" w:color="auto"/>
            </w:tcBorders>
            <w:shd w:val="clear" w:color="auto" w:fill="auto"/>
          </w:tcPr>
          <w:p w14:paraId="40C4C683" w14:textId="77777777" w:rsidR="00DA7FF3" w:rsidRPr="00DA7FF3" w:rsidRDefault="00DA7FF3" w:rsidP="00DA7FF3">
            <w:pPr>
              <w:ind w:right="227"/>
              <w:jc w:val="right"/>
              <w:rPr>
                <w:rFonts w:eastAsia="Calibri"/>
                <w:sz w:val="18"/>
                <w:szCs w:val="18"/>
                <w:lang w:eastAsia="en-US"/>
              </w:rPr>
            </w:pPr>
            <w:r w:rsidRPr="00DA7FF3">
              <w:rPr>
                <w:rFonts w:eastAsia="Calibri"/>
                <w:sz w:val="18"/>
                <w:szCs w:val="18"/>
                <w:lang w:eastAsia="en-US"/>
              </w:rPr>
              <w:t>17.2</w:t>
            </w:r>
          </w:p>
        </w:tc>
      </w:tr>
      <w:tr w:rsidR="00DA7FF3" w:rsidRPr="00DA7FF3" w14:paraId="0A152A0A" w14:textId="77777777" w:rsidTr="00DA7FF3">
        <w:tc>
          <w:tcPr>
            <w:tcW w:w="8897" w:type="dxa"/>
            <w:gridSpan w:val="5"/>
            <w:tcBorders>
              <w:top w:val="single" w:sz="4" w:space="0" w:color="auto"/>
              <w:bottom w:val="nil"/>
            </w:tcBorders>
            <w:shd w:val="clear" w:color="auto" w:fill="auto"/>
          </w:tcPr>
          <w:p w14:paraId="1FB496D9" w14:textId="77777777" w:rsidR="00DA7FF3" w:rsidRPr="00DA7FF3" w:rsidRDefault="00DA7FF3" w:rsidP="00DA7FF3">
            <w:pPr>
              <w:ind w:left="284" w:hanging="284"/>
              <w:rPr>
                <w:rFonts w:eastAsia="Calibri"/>
                <w:b/>
                <w:sz w:val="20"/>
                <w:szCs w:val="20"/>
                <w:lang w:eastAsia="en-US"/>
              </w:rPr>
            </w:pPr>
            <w:r w:rsidRPr="00DA7FF3">
              <w:rPr>
                <w:rFonts w:eastAsia="Calibri"/>
                <w:sz w:val="20"/>
                <w:szCs w:val="20"/>
                <w:u w:val="single"/>
                <w:lang w:eastAsia="en-US"/>
              </w:rPr>
              <w:t>1</w:t>
            </w:r>
            <w:r w:rsidRPr="00DA7FF3">
              <w:rPr>
                <w:rFonts w:eastAsia="Calibri"/>
                <w:sz w:val="20"/>
                <w:szCs w:val="20"/>
                <w:lang w:eastAsia="en-US"/>
              </w:rPr>
              <w:t>/ Comisiones y tarifas netas = Comisiones y tarifas cobradas - Comisiones y tarifas pagadas.</w:t>
            </w:r>
          </w:p>
          <w:p w14:paraId="6E0BB8DA" w14:textId="77777777" w:rsidR="00DA7FF3" w:rsidRPr="00DA7FF3" w:rsidRDefault="00DA7FF3" w:rsidP="00DA7FF3">
            <w:pPr>
              <w:ind w:left="284" w:hanging="284"/>
              <w:rPr>
                <w:rFonts w:eastAsia="Calibri"/>
                <w:b/>
                <w:sz w:val="20"/>
                <w:szCs w:val="20"/>
                <w:lang w:eastAsia="en-US"/>
              </w:rPr>
            </w:pPr>
            <w:r w:rsidRPr="009E5D36">
              <w:rPr>
                <w:rFonts w:eastAsia="Calibri"/>
                <w:sz w:val="20"/>
                <w:szCs w:val="20"/>
                <w:u w:val="single"/>
                <w:lang w:eastAsia="en-US"/>
              </w:rPr>
              <w:t>2</w:t>
            </w:r>
            <w:r w:rsidRPr="00DA7FF3">
              <w:rPr>
                <w:rFonts w:eastAsia="Calibri"/>
                <w:sz w:val="20"/>
                <w:szCs w:val="20"/>
                <w:lang w:eastAsia="en-US"/>
              </w:rPr>
              <w:t>/ Impuestos netos = Impuestos a la utilidad diferidos - Impuestos a la utilidad causados.</w:t>
            </w:r>
          </w:p>
          <w:p w14:paraId="52BF81F9" w14:textId="77777777" w:rsidR="00DA7FF3" w:rsidRPr="00DA7FF3" w:rsidRDefault="00DA7FF3" w:rsidP="00DA7FF3">
            <w:pPr>
              <w:ind w:left="284" w:hanging="284"/>
              <w:rPr>
                <w:rFonts w:eastAsia="Calibri"/>
                <w:b/>
                <w:sz w:val="20"/>
                <w:szCs w:val="20"/>
                <w:lang w:eastAsia="en-US"/>
              </w:rPr>
            </w:pPr>
            <w:r w:rsidRPr="00DA7FF3">
              <w:rPr>
                <w:rFonts w:eastAsia="Calibri"/>
                <w:sz w:val="20"/>
                <w:szCs w:val="20"/>
                <w:lang w:eastAsia="en-US"/>
              </w:rPr>
              <w:t>n.s. = No significativo.</w:t>
            </w:r>
          </w:p>
          <w:p w14:paraId="17EA1430" w14:textId="77777777" w:rsidR="00DA7FF3" w:rsidRPr="00DA7FF3" w:rsidRDefault="00DA7FF3" w:rsidP="00DA7FF3">
            <w:pPr>
              <w:rPr>
                <w:rFonts w:eastAsia="Calibri"/>
                <w:b/>
                <w:sz w:val="20"/>
                <w:szCs w:val="20"/>
                <w:lang w:eastAsia="en-US"/>
              </w:rPr>
            </w:pPr>
            <w:r w:rsidRPr="00DA7FF3">
              <w:rPr>
                <w:rFonts w:eastAsia="Calibri"/>
                <w:sz w:val="20"/>
                <w:szCs w:val="20"/>
                <w:lang w:eastAsia="en-US"/>
              </w:rPr>
              <w:t>FUENTE: CNBV.</w:t>
            </w:r>
          </w:p>
        </w:tc>
      </w:tr>
    </w:tbl>
    <w:p w14:paraId="68FA88BD" w14:textId="77777777" w:rsidR="00DA7FF3" w:rsidRPr="00DA7FF3" w:rsidRDefault="00DA7FF3" w:rsidP="00DA7FF3">
      <w:pPr>
        <w:spacing w:after="360" w:line="360" w:lineRule="auto"/>
        <w:ind w:right="-159"/>
        <w:jc w:val="both"/>
        <w:rPr>
          <w:rFonts w:eastAsia="Calibri"/>
          <w:sz w:val="26"/>
          <w:szCs w:val="26"/>
          <w:lang w:eastAsia="en-US"/>
        </w:rPr>
      </w:pPr>
    </w:p>
    <w:p w14:paraId="6E5CA2F5" w14:textId="77777777" w:rsidR="00DA7FF3" w:rsidRDefault="00DA7FF3" w:rsidP="00DA7FF3">
      <w:pPr>
        <w:spacing w:after="360" w:line="360" w:lineRule="auto"/>
        <w:ind w:right="-159"/>
        <w:jc w:val="both"/>
        <w:rPr>
          <w:rFonts w:eastAsia="Calibri"/>
          <w:sz w:val="26"/>
          <w:szCs w:val="26"/>
          <w:lang w:eastAsia="en-US"/>
        </w:rPr>
      </w:pPr>
      <w:r w:rsidRPr="00DA7FF3">
        <w:rPr>
          <w:rFonts w:eastAsia="Calibri"/>
          <w:sz w:val="26"/>
          <w:szCs w:val="26"/>
          <w:lang w:eastAsia="en-US"/>
        </w:rPr>
        <w:t>La rentabilidad medida con el ROA a 12 meses fue 1.02%, cifra superior en 0.05 pp a la de diciembre de 2013. La rentabilidad del capital medida con el ROE a 12 meses se ubicó en 6.48%, aumentando 0.36 pp respecto al cierre de 2013. Lo anterior se derivó de un incremento de 17.2% en el resultado neto (12 meses), el cual fue mayor que los crecimientos observados en el saldo promedio de los activos totales y del capital contable en los últimos 12 meses, los cuales fueron 11.1 y 10.7%, respectivamente.</w:t>
      </w:r>
    </w:p>
    <w:p w14:paraId="4464A78A" w14:textId="77777777" w:rsidR="00AF7C3F" w:rsidRDefault="00AF7C3F" w:rsidP="00DA7FF3">
      <w:pPr>
        <w:spacing w:after="360" w:line="360" w:lineRule="auto"/>
        <w:ind w:right="-159"/>
        <w:jc w:val="both"/>
        <w:rPr>
          <w:rFonts w:eastAsia="Calibri"/>
          <w:sz w:val="26"/>
          <w:szCs w:val="26"/>
          <w:lang w:eastAsia="en-US"/>
        </w:rPr>
      </w:pPr>
    </w:p>
    <w:p w14:paraId="647C3A03" w14:textId="77777777" w:rsidR="00AF7C3F" w:rsidRDefault="00AF7C3F" w:rsidP="00DA7FF3">
      <w:pPr>
        <w:spacing w:after="360" w:line="360" w:lineRule="auto"/>
        <w:ind w:right="-159"/>
        <w:jc w:val="both"/>
        <w:rPr>
          <w:rFonts w:eastAsia="Calibri"/>
          <w:sz w:val="26"/>
          <w:szCs w:val="26"/>
          <w:lang w:eastAsia="en-US"/>
        </w:rPr>
      </w:pPr>
    </w:p>
    <w:p w14:paraId="0CCA7FFA" w14:textId="77777777" w:rsidR="00AF7C3F" w:rsidRDefault="00AF7C3F" w:rsidP="00DA7FF3">
      <w:pPr>
        <w:spacing w:after="360" w:line="360" w:lineRule="auto"/>
        <w:ind w:right="-159"/>
        <w:jc w:val="both"/>
        <w:rPr>
          <w:rFonts w:eastAsia="Calibri"/>
          <w:sz w:val="26"/>
          <w:szCs w:val="26"/>
          <w:lang w:eastAsia="en-US"/>
        </w:rPr>
      </w:pPr>
    </w:p>
    <w:p w14:paraId="4F9C4919" w14:textId="77777777" w:rsidR="00AF7C3F" w:rsidRDefault="00AF7C3F" w:rsidP="00DA7FF3">
      <w:pPr>
        <w:spacing w:after="360" w:line="360" w:lineRule="auto"/>
        <w:ind w:right="-159"/>
        <w:jc w:val="both"/>
        <w:rPr>
          <w:rFonts w:eastAsia="Calibri"/>
          <w:sz w:val="26"/>
          <w:szCs w:val="26"/>
          <w:lang w:eastAsia="en-US"/>
        </w:rPr>
      </w:pPr>
    </w:p>
    <w:p w14:paraId="39AD3586" w14:textId="77777777" w:rsidR="00AF7C3F" w:rsidRPr="00DA7FF3" w:rsidRDefault="00AF7C3F" w:rsidP="00DA7FF3">
      <w:pPr>
        <w:spacing w:after="360" w:line="360" w:lineRule="auto"/>
        <w:ind w:right="-159"/>
        <w:jc w:val="both"/>
        <w:rPr>
          <w:rFonts w:eastAsia="Calibri"/>
          <w:sz w:val="26"/>
          <w:szCs w:val="26"/>
          <w:lang w:eastAsia="en-US"/>
        </w:rPr>
      </w:pPr>
    </w:p>
    <w:tbl>
      <w:tblPr>
        <w:tblW w:w="8978" w:type="dxa"/>
        <w:jc w:val="center"/>
        <w:tblLayout w:type="fixed"/>
        <w:tblLook w:val="01E0" w:firstRow="1" w:lastRow="1" w:firstColumn="1" w:lastColumn="1" w:noHBand="0" w:noVBand="0"/>
      </w:tblPr>
      <w:tblGrid>
        <w:gridCol w:w="3472"/>
        <w:gridCol w:w="1101"/>
        <w:gridCol w:w="1101"/>
        <w:gridCol w:w="1101"/>
        <w:gridCol w:w="1101"/>
        <w:gridCol w:w="1055"/>
        <w:gridCol w:w="47"/>
      </w:tblGrid>
      <w:tr w:rsidR="00DA7FF3" w:rsidRPr="00DA7FF3" w14:paraId="26978E21" w14:textId="77777777" w:rsidTr="00DA7FF3">
        <w:trPr>
          <w:trHeight w:val="552"/>
          <w:jc w:val="center"/>
        </w:trPr>
        <w:tc>
          <w:tcPr>
            <w:tcW w:w="8978" w:type="dxa"/>
            <w:gridSpan w:val="7"/>
            <w:tcBorders>
              <w:top w:val="nil"/>
              <w:bottom w:val="single" w:sz="4" w:space="0" w:color="auto"/>
            </w:tcBorders>
            <w:shd w:val="clear" w:color="auto" w:fill="auto"/>
            <w:vAlign w:val="center"/>
          </w:tcPr>
          <w:p w14:paraId="340B792E" w14:textId="77777777"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lastRenderedPageBreak/>
              <w:t>UNIONES DE CRÉDITO: INDICADORES DE RENTABILIDAD</w:t>
            </w:r>
          </w:p>
          <w:p w14:paraId="7BCA9A8A" w14:textId="781889C4"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-Cifras en millones de pesos (MDP)-</w:t>
            </w:r>
          </w:p>
        </w:tc>
      </w:tr>
      <w:tr w:rsidR="00DA7FF3" w:rsidRPr="00DA7FF3" w14:paraId="08DD0A5C" w14:textId="77777777" w:rsidTr="00DA7FF3">
        <w:trPr>
          <w:trHeight w:val="183"/>
          <w:jc w:val="center"/>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345458" w14:textId="77777777" w:rsidR="00DA7FF3" w:rsidRPr="00DA7FF3" w:rsidRDefault="00DA7FF3" w:rsidP="00DA7FF3">
            <w:pPr>
              <w:jc w:val="center"/>
              <w:rPr>
                <w:rFonts w:eastAsia="Calibri"/>
                <w:sz w:val="18"/>
                <w:szCs w:val="18"/>
                <w:lang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5946AF8"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86C03"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B4603F"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anuales</w:t>
            </w:r>
          </w:p>
        </w:tc>
      </w:tr>
      <w:tr w:rsidR="00DA7FF3" w:rsidRPr="00DA7FF3" w14:paraId="50D045E2" w14:textId="77777777" w:rsidTr="00DA7FF3">
        <w:trPr>
          <w:jc w:val="center"/>
        </w:trPr>
        <w:tc>
          <w:tcPr>
            <w:tcW w:w="347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E32B1D" w14:textId="77777777" w:rsidR="00DA7FF3" w:rsidRPr="00DA7FF3" w:rsidRDefault="00DA7FF3" w:rsidP="00DA7FF3">
            <w:pPr>
              <w:jc w:val="center"/>
              <w:rPr>
                <w:rFonts w:eastAsia="Calibri"/>
                <w:sz w:val="18"/>
                <w:szCs w:val="18"/>
                <w:lang w:val="en-US"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7FF9BA25"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2A6709A4"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DE99725"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558339F"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MDP</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111AE"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w:t>
            </w:r>
          </w:p>
        </w:tc>
      </w:tr>
      <w:tr w:rsidR="00DA7FF3" w:rsidRPr="00DA7FF3" w14:paraId="55615B6F" w14:textId="77777777" w:rsidTr="00DA7FF3">
        <w:trPr>
          <w:jc w:val="center"/>
        </w:trPr>
        <w:tc>
          <w:tcPr>
            <w:tcW w:w="3472" w:type="dxa"/>
            <w:tcBorders>
              <w:top w:val="single" w:sz="4" w:space="0" w:color="auto"/>
              <w:left w:val="single" w:sz="4" w:space="0" w:color="auto"/>
              <w:right w:val="single" w:sz="4" w:space="0" w:color="auto"/>
            </w:tcBorders>
            <w:shd w:val="clear" w:color="auto" w:fill="auto"/>
            <w:vAlign w:val="center"/>
          </w:tcPr>
          <w:p w14:paraId="6115CABD" w14:textId="77777777" w:rsidR="00DA7FF3" w:rsidRPr="00DA7FF3" w:rsidRDefault="00DA7FF3" w:rsidP="00DA7FF3">
            <w:pPr>
              <w:rPr>
                <w:rFonts w:eastAsia="Calibri"/>
                <w:b/>
                <w:sz w:val="18"/>
                <w:szCs w:val="18"/>
                <w:lang w:val="en-US" w:eastAsia="en-US"/>
              </w:rPr>
            </w:pPr>
            <w:r w:rsidRPr="00DA7FF3">
              <w:rPr>
                <w:rFonts w:eastAsia="Calibri"/>
                <w:sz w:val="18"/>
                <w:szCs w:val="18"/>
                <w:lang w:val="en-US" w:eastAsia="en-US"/>
              </w:rPr>
              <w:t>Resultado neto acumulado (12 meses)</w:t>
            </w:r>
          </w:p>
        </w:tc>
        <w:tc>
          <w:tcPr>
            <w:tcW w:w="1101" w:type="dxa"/>
            <w:tcBorders>
              <w:top w:val="single" w:sz="4" w:space="0" w:color="auto"/>
              <w:left w:val="single" w:sz="4" w:space="0" w:color="auto"/>
              <w:right w:val="single" w:sz="4" w:space="0" w:color="auto"/>
            </w:tcBorders>
            <w:shd w:val="clear" w:color="auto" w:fill="auto"/>
            <w:vAlign w:val="center"/>
          </w:tcPr>
          <w:p w14:paraId="1C0F941F"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372</w:t>
            </w:r>
          </w:p>
        </w:tc>
        <w:tc>
          <w:tcPr>
            <w:tcW w:w="1101" w:type="dxa"/>
            <w:tcBorders>
              <w:top w:val="single" w:sz="4" w:space="0" w:color="auto"/>
              <w:left w:val="single" w:sz="4" w:space="0" w:color="auto"/>
              <w:right w:val="single" w:sz="4" w:space="0" w:color="auto"/>
            </w:tcBorders>
            <w:shd w:val="clear" w:color="auto" w:fill="auto"/>
            <w:vAlign w:val="center"/>
          </w:tcPr>
          <w:p w14:paraId="1CB22C7A" w14:textId="77777777" w:rsidR="00DA7FF3" w:rsidRPr="00DA7FF3" w:rsidRDefault="00DA7FF3" w:rsidP="00DA7FF3">
            <w:pPr>
              <w:ind w:right="113"/>
              <w:jc w:val="right"/>
              <w:rPr>
                <w:rFonts w:eastAsia="Calibri"/>
                <w:sz w:val="18"/>
                <w:szCs w:val="18"/>
                <w:lang w:val="en-US" w:eastAsia="en-US"/>
              </w:rPr>
            </w:pPr>
            <w:r w:rsidRPr="00DA7FF3">
              <w:rPr>
                <w:rFonts w:eastAsia="Calibri"/>
                <w:sz w:val="18"/>
                <w:szCs w:val="18"/>
                <w:lang w:val="en-US" w:eastAsia="en-US"/>
              </w:rPr>
              <w:t>376</w:t>
            </w:r>
          </w:p>
        </w:tc>
        <w:tc>
          <w:tcPr>
            <w:tcW w:w="1101" w:type="dxa"/>
            <w:tcBorders>
              <w:top w:val="single" w:sz="4" w:space="0" w:color="auto"/>
              <w:left w:val="single" w:sz="4" w:space="0" w:color="auto"/>
              <w:right w:val="single" w:sz="4" w:space="0" w:color="auto"/>
            </w:tcBorders>
            <w:shd w:val="clear" w:color="auto" w:fill="auto"/>
            <w:vAlign w:val="center"/>
          </w:tcPr>
          <w:p w14:paraId="7A60F52C"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436</w:t>
            </w:r>
          </w:p>
        </w:tc>
        <w:tc>
          <w:tcPr>
            <w:tcW w:w="1101" w:type="dxa"/>
            <w:tcBorders>
              <w:top w:val="single" w:sz="4" w:space="0" w:color="auto"/>
              <w:left w:val="single" w:sz="4" w:space="0" w:color="auto"/>
              <w:right w:val="single" w:sz="4" w:space="0" w:color="auto"/>
            </w:tcBorders>
            <w:shd w:val="clear" w:color="auto" w:fill="auto"/>
            <w:vAlign w:val="center"/>
          </w:tcPr>
          <w:p w14:paraId="74AA834E"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64</w:t>
            </w:r>
          </w:p>
        </w:tc>
        <w:tc>
          <w:tcPr>
            <w:tcW w:w="1102" w:type="dxa"/>
            <w:gridSpan w:val="2"/>
            <w:tcBorders>
              <w:top w:val="single" w:sz="4" w:space="0" w:color="auto"/>
              <w:left w:val="single" w:sz="4" w:space="0" w:color="auto"/>
              <w:right w:val="single" w:sz="4" w:space="0" w:color="auto"/>
            </w:tcBorders>
            <w:shd w:val="clear" w:color="auto" w:fill="auto"/>
            <w:vAlign w:val="center"/>
          </w:tcPr>
          <w:p w14:paraId="4C7C3DF2" w14:textId="77777777" w:rsidR="00DA7FF3" w:rsidRPr="00DA7FF3" w:rsidRDefault="00DA7FF3" w:rsidP="00DA7FF3">
            <w:pPr>
              <w:ind w:right="170"/>
              <w:jc w:val="right"/>
              <w:rPr>
                <w:rFonts w:eastAsia="Calibri"/>
                <w:b/>
                <w:sz w:val="18"/>
                <w:szCs w:val="18"/>
                <w:lang w:val="en-US" w:eastAsia="en-US"/>
              </w:rPr>
            </w:pPr>
            <w:r w:rsidRPr="00DA7FF3">
              <w:rPr>
                <w:rFonts w:eastAsia="Calibri"/>
                <w:sz w:val="18"/>
                <w:szCs w:val="18"/>
                <w:lang w:val="en-US" w:eastAsia="en-US"/>
              </w:rPr>
              <w:t>17.2</w:t>
            </w:r>
          </w:p>
        </w:tc>
      </w:tr>
      <w:tr w:rsidR="00DA7FF3" w:rsidRPr="00DA7FF3" w14:paraId="047042DB" w14:textId="77777777" w:rsidTr="00DA7FF3">
        <w:trPr>
          <w:jc w:val="center"/>
        </w:trPr>
        <w:tc>
          <w:tcPr>
            <w:tcW w:w="3472" w:type="dxa"/>
            <w:tcBorders>
              <w:left w:val="single" w:sz="4" w:space="0" w:color="auto"/>
              <w:right w:val="single" w:sz="4" w:space="0" w:color="auto"/>
            </w:tcBorders>
            <w:shd w:val="clear" w:color="auto" w:fill="auto"/>
            <w:vAlign w:val="center"/>
          </w:tcPr>
          <w:p w14:paraId="12FD8818" w14:textId="77777777" w:rsidR="00DA7FF3" w:rsidRPr="00DA7FF3" w:rsidRDefault="00DA7FF3" w:rsidP="00DA7FF3">
            <w:pPr>
              <w:rPr>
                <w:rFonts w:eastAsia="Calibri"/>
                <w:b/>
                <w:sz w:val="18"/>
                <w:szCs w:val="18"/>
                <w:lang w:val="en-US" w:eastAsia="en-US"/>
              </w:rPr>
            </w:pPr>
            <w:r w:rsidRPr="00DA7FF3">
              <w:rPr>
                <w:rFonts w:eastAsia="Calibri"/>
                <w:sz w:val="18"/>
                <w:szCs w:val="18"/>
                <w:lang w:val="en-US" w:eastAsia="en-US"/>
              </w:rPr>
              <w:t>Activo promedio (12 meses)</w:t>
            </w:r>
          </w:p>
        </w:tc>
        <w:tc>
          <w:tcPr>
            <w:tcW w:w="1101" w:type="dxa"/>
            <w:tcBorders>
              <w:left w:val="single" w:sz="4" w:space="0" w:color="auto"/>
              <w:right w:val="single" w:sz="4" w:space="0" w:color="auto"/>
            </w:tcBorders>
            <w:shd w:val="clear" w:color="auto" w:fill="auto"/>
            <w:vAlign w:val="center"/>
          </w:tcPr>
          <w:p w14:paraId="235AC13C"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38 301</w:t>
            </w:r>
          </w:p>
        </w:tc>
        <w:tc>
          <w:tcPr>
            <w:tcW w:w="1101" w:type="dxa"/>
            <w:tcBorders>
              <w:left w:val="single" w:sz="4" w:space="0" w:color="auto"/>
              <w:right w:val="single" w:sz="4" w:space="0" w:color="auto"/>
            </w:tcBorders>
            <w:shd w:val="clear" w:color="auto" w:fill="auto"/>
            <w:vAlign w:val="center"/>
          </w:tcPr>
          <w:p w14:paraId="6BB3DD55" w14:textId="77777777" w:rsidR="00DA7FF3" w:rsidRPr="00DA7FF3" w:rsidRDefault="00DA7FF3" w:rsidP="00DA7FF3">
            <w:pPr>
              <w:ind w:right="113"/>
              <w:jc w:val="right"/>
              <w:rPr>
                <w:rFonts w:eastAsia="Calibri"/>
                <w:sz w:val="18"/>
                <w:szCs w:val="18"/>
                <w:lang w:val="en-US" w:eastAsia="en-US"/>
              </w:rPr>
            </w:pPr>
            <w:r w:rsidRPr="00DA7FF3">
              <w:rPr>
                <w:rFonts w:eastAsia="Calibri"/>
                <w:sz w:val="18"/>
                <w:szCs w:val="18"/>
                <w:lang w:val="en-US" w:eastAsia="en-US"/>
              </w:rPr>
              <w:t>41 881</w:t>
            </w:r>
          </w:p>
        </w:tc>
        <w:tc>
          <w:tcPr>
            <w:tcW w:w="1101" w:type="dxa"/>
            <w:tcBorders>
              <w:left w:val="single" w:sz="4" w:space="0" w:color="auto"/>
              <w:right w:val="single" w:sz="4" w:space="0" w:color="auto"/>
            </w:tcBorders>
            <w:shd w:val="clear" w:color="auto" w:fill="auto"/>
            <w:vAlign w:val="center"/>
          </w:tcPr>
          <w:p w14:paraId="6E3EEB1B"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42 565</w:t>
            </w:r>
          </w:p>
        </w:tc>
        <w:tc>
          <w:tcPr>
            <w:tcW w:w="1101" w:type="dxa"/>
            <w:tcBorders>
              <w:left w:val="single" w:sz="4" w:space="0" w:color="auto"/>
              <w:right w:val="single" w:sz="4" w:space="0" w:color="auto"/>
            </w:tcBorders>
            <w:shd w:val="clear" w:color="auto" w:fill="auto"/>
            <w:vAlign w:val="center"/>
          </w:tcPr>
          <w:p w14:paraId="7ECE53EE"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4 264</w:t>
            </w:r>
          </w:p>
        </w:tc>
        <w:tc>
          <w:tcPr>
            <w:tcW w:w="1102" w:type="dxa"/>
            <w:gridSpan w:val="2"/>
            <w:tcBorders>
              <w:left w:val="single" w:sz="4" w:space="0" w:color="auto"/>
              <w:right w:val="single" w:sz="4" w:space="0" w:color="auto"/>
            </w:tcBorders>
            <w:shd w:val="clear" w:color="auto" w:fill="auto"/>
            <w:vAlign w:val="center"/>
          </w:tcPr>
          <w:p w14:paraId="4C76CBAB" w14:textId="77777777" w:rsidR="00DA7FF3" w:rsidRPr="00DA7FF3" w:rsidRDefault="00DA7FF3" w:rsidP="00DA7FF3">
            <w:pPr>
              <w:ind w:right="170"/>
              <w:jc w:val="right"/>
              <w:rPr>
                <w:rFonts w:eastAsia="Calibri"/>
                <w:b/>
                <w:sz w:val="18"/>
                <w:szCs w:val="18"/>
                <w:lang w:val="en-US" w:eastAsia="en-US"/>
              </w:rPr>
            </w:pPr>
            <w:r w:rsidRPr="00DA7FF3">
              <w:rPr>
                <w:rFonts w:eastAsia="Calibri"/>
                <w:sz w:val="18"/>
                <w:szCs w:val="18"/>
                <w:lang w:val="en-US" w:eastAsia="en-US"/>
              </w:rPr>
              <w:t>11.1</w:t>
            </w:r>
          </w:p>
        </w:tc>
      </w:tr>
      <w:tr w:rsidR="00DA7FF3" w:rsidRPr="00DA7FF3" w14:paraId="6DD3AD2D" w14:textId="77777777" w:rsidTr="00DA7FF3">
        <w:trPr>
          <w:jc w:val="center"/>
        </w:trPr>
        <w:tc>
          <w:tcPr>
            <w:tcW w:w="3472" w:type="dxa"/>
            <w:tcBorders>
              <w:left w:val="single" w:sz="4" w:space="0" w:color="auto"/>
              <w:bottom w:val="single" w:sz="4" w:space="0" w:color="auto"/>
              <w:right w:val="single" w:sz="4" w:space="0" w:color="auto"/>
            </w:tcBorders>
            <w:shd w:val="clear" w:color="auto" w:fill="auto"/>
            <w:vAlign w:val="center"/>
          </w:tcPr>
          <w:p w14:paraId="61C175F7" w14:textId="77777777" w:rsidR="00DA7FF3" w:rsidRPr="00DA7FF3" w:rsidRDefault="00DA7FF3" w:rsidP="00DA7FF3">
            <w:pPr>
              <w:rPr>
                <w:rFonts w:eastAsia="Calibri"/>
                <w:b/>
                <w:sz w:val="18"/>
                <w:szCs w:val="18"/>
                <w:lang w:val="en-US" w:eastAsia="en-US"/>
              </w:rPr>
            </w:pPr>
            <w:r w:rsidRPr="00DA7FF3">
              <w:rPr>
                <w:rFonts w:eastAsia="Calibri"/>
                <w:sz w:val="18"/>
                <w:szCs w:val="18"/>
                <w:lang w:val="en-US" w:eastAsia="en-US"/>
              </w:rPr>
              <w:t>Capital contable promedio (12 meses)</w:t>
            </w:r>
          </w:p>
        </w:tc>
        <w:tc>
          <w:tcPr>
            <w:tcW w:w="1101" w:type="dxa"/>
            <w:tcBorders>
              <w:left w:val="single" w:sz="4" w:space="0" w:color="auto"/>
              <w:bottom w:val="single" w:sz="4" w:space="0" w:color="auto"/>
              <w:right w:val="single" w:sz="4" w:space="0" w:color="auto"/>
            </w:tcBorders>
            <w:shd w:val="clear" w:color="auto" w:fill="auto"/>
            <w:vAlign w:val="center"/>
          </w:tcPr>
          <w:p w14:paraId="55D77D97"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6 072</w:t>
            </w:r>
          </w:p>
        </w:tc>
        <w:tc>
          <w:tcPr>
            <w:tcW w:w="1101" w:type="dxa"/>
            <w:tcBorders>
              <w:left w:val="single" w:sz="4" w:space="0" w:color="auto"/>
              <w:bottom w:val="single" w:sz="4" w:space="0" w:color="auto"/>
              <w:right w:val="single" w:sz="4" w:space="0" w:color="auto"/>
            </w:tcBorders>
            <w:shd w:val="clear" w:color="auto" w:fill="auto"/>
            <w:vAlign w:val="center"/>
          </w:tcPr>
          <w:p w14:paraId="46F9E32B" w14:textId="77777777" w:rsidR="00DA7FF3" w:rsidRPr="00DA7FF3" w:rsidRDefault="00DA7FF3" w:rsidP="00DA7FF3">
            <w:pPr>
              <w:ind w:right="113"/>
              <w:jc w:val="right"/>
              <w:rPr>
                <w:rFonts w:eastAsia="Calibri"/>
                <w:sz w:val="18"/>
                <w:szCs w:val="18"/>
                <w:lang w:val="en-US" w:eastAsia="en-US"/>
              </w:rPr>
            </w:pPr>
            <w:r w:rsidRPr="00DA7FF3">
              <w:rPr>
                <w:rFonts w:eastAsia="Calibri"/>
                <w:sz w:val="18"/>
                <w:szCs w:val="18"/>
                <w:lang w:val="en-US" w:eastAsia="en-US"/>
              </w:rPr>
              <w:t>6 563</w:t>
            </w:r>
          </w:p>
        </w:tc>
        <w:tc>
          <w:tcPr>
            <w:tcW w:w="1101" w:type="dxa"/>
            <w:tcBorders>
              <w:left w:val="single" w:sz="4" w:space="0" w:color="auto"/>
              <w:bottom w:val="single" w:sz="4" w:space="0" w:color="auto"/>
              <w:right w:val="single" w:sz="4" w:space="0" w:color="auto"/>
            </w:tcBorders>
            <w:shd w:val="clear" w:color="auto" w:fill="auto"/>
            <w:vAlign w:val="center"/>
          </w:tcPr>
          <w:p w14:paraId="7B8CD63D"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6 723</w:t>
            </w:r>
          </w:p>
        </w:tc>
        <w:tc>
          <w:tcPr>
            <w:tcW w:w="1101" w:type="dxa"/>
            <w:tcBorders>
              <w:left w:val="single" w:sz="4" w:space="0" w:color="auto"/>
              <w:bottom w:val="single" w:sz="4" w:space="0" w:color="auto"/>
              <w:right w:val="single" w:sz="4" w:space="0" w:color="auto"/>
            </w:tcBorders>
            <w:shd w:val="clear" w:color="auto" w:fill="auto"/>
            <w:vAlign w:val="center"/>
          </w:tcPr>
          <w:p w14:paraId="6503D865" w14:textId="77777777" w:rsidR="00DA7FF3" w:rsidRPr="00DA7FF3" w:rsidRDefault="00DA7FF3" w:rsidP="00DA7FF3">
            <w:pPr>
              <w:ind w:right="170"/>
              <w:jc w:val="right"/>
              <w:rPr>
                <w:rFonts w:eastAsia="Calibri"/>
                <w:sz w:val="18"/>
                <w:szCs w:val="18"/>
                <w:lang w:val="en-US" w:eastAsia="en-US"/>
              </w:rPr>
            </w:pPr>
            <w:r w:rsidRPr="00DA7FF3">
              <w:rPr>
                <w:rFonts w:eastAsia="Calibri"/>
                <w:sz w:val="18"/>
                <w:szCs w:val="18"/>
                <w:lang w:val="en-US" w:eastAsia="en-US"/>
              </w:rPr>
              <w:t>651</w:t>
            </w:r>
          </w:p>
        </w:tc>
        <w:tc>
          <w:tcPr>
            <w:tcW w:w="1102" w:type="dxa"/>
            <w:gridSpan w:val="2"/>
            <w:tcBorders>
              <w:left w:val="single" w:sz="4" w:space="0" w:color="auto"/>
              <w:bottom w:val="single" w:sz="4" w:space="0" w:color="auto"/>
              <w:right w:val="single" w:sz="4" w:space="0" w:color="auto"/>
            </w:tcBorders>
            <w:shd w:val="clear" w:color="auto" w:fill="auto"/>
            <w:vAlign w:val="center"/>
          </w:tcPr>
          <w:p w14:paraId="5F918CCE" w14:textId="77777777" w:rsidR="00DA7FF3" w:rsidRPr="00DA7FF3" w:rsidRDefault="00DA7FF3" w:rsidP="00DA7FF3">
            <w:pPr>
              <w:ind w:right="170"/>
              <w:jc w:val="right"/>
              <w:rPr>
                <w:rFonts w:eastAsia="Calibri"/>
                <w:b/>
                <w:sz w:val="18"/>
                <w:szCs w:val="18"/>
                <w:lang w:val="en-US" w:eastAsia="en-US"/>
              </w:rPr>
            </w:pPr>
            <w:r w:rsidRPr="00DA7FF3">
              <w:rPr>
                <w:rFonts w:eastAsia="Calibri"/>
                <w:sz w:val="18"/>
                <w:szCs w:val="18"/>
                <w:lang w:val="en-US" w:eastAsia="en-US"/>
              </w:rPr>
              <w:t>10.7</w:t>
            </w:r>
          </w:p>
        </w:tc>
      </w:tr>
      <w:tr w:rsidR="00DA7FF3" w:rsidRPr="00DA7FF3" w14:paraId="74BEAE6E" w14:textId="77777777" w:rsidTr="00DA7FF3">
        <w:trPr>
          <w:trHeight w:val="552"/>
          <w:jc w:val="center"/>
        </w:trPr>
        <w:tc>
          <w:tcPr>
            <w:tcW w:w="8978" w:type="dxa"/>
            <w:gridSpan w:val="7"/>
            <w:tcBorders>
              <w:top w:val="single" w:sz="4" w:space="0" w:color="auto"/>
              <w:bottom w:val="single" w:sz="4" w:space="0" w:color="auto"/>
            </w:tcBorders>
            <w:shd w:val="clear" w:color="auto" w:fill="auto"/>
            <w:vAlign w:val="center"/>
          </w:tcPr>
          <w:p w14:paraId="6CA7783A" w14:textId="77777777" w:rsidR="00DA7FF3" w:rsidRPr="00DA7FF3" w:rsidRDefault="00DA7FF3" w:rsidP="005061B6">
            <w:pPr>
              <w:spacing w:before="120"/>
              <w:jc w:val="center"/>
              <w:rPr>
                <w:rFonts w:eastAsia="Calibri"/>
                <w:b/>
                <w:sz w:val="22"/>
                <w:szCs w:val="22"/>
                <w:lang w:eastAsia="en-US"/>
              </w:rPr>
            </w:pPr>
            <w:r w:rsidRPr="00DA7FF3">
              <w:rPr>
                <w:rFonts w:eastAsia="Calibri"/>
                <w:b/>
                <w:sz w:val="22"/>
                <w:szCs w:val="22"/>
                <w:lang w:eastAsia="en-US"/>
              </w:rPr>
              <w:t>UNIONES DE CRÉDITO: INDICADORES DE RENTABILIDAD</w:t>
            </w:r>
          </w:p>
          <w:p w14:paraId="248A9D3B" w14:textId="78619D80" w:rsidR="00DA7FF3" w:rsidRPr="00DA7FF3" w:rsidRDefault="00DA7FF3" w:rsidP="00DA7FF3">
            <w:pPr>
              <w:jc w:val="center"/>
              <w:rPr>
                <w:rFonts w:eastAsia="Calibri"/>
                <w:b/>
                <w:sz w:val="22"/>
                <w:szCs w:val="22"/>
                <w:lang w:eastAsia="en-US"/>
              </w:rPr>
            </w:pPr>
            <w:r w:rsidRPr="00DA7FF3">
              <w:rPr>
                <w:rFonts w:eastAsia="Calibri"/>
                <w:b/>
                <w:sz w:val="22"/>
                <w:szCs w:val="22"/>
                <w:lang w:eastAsia="en-US"/>
              </w:rPr>
              <w:t>-En porcentaje-</w:t>
            </w:r>
          </w:p>
        </w:tc>
      </w:tr>
      <w:tr w:rsidR="00DA7FF3" w:rsidRPr="00DA7FF3" w14:paraId="35308498" w14:textId="77777777" w:rsidTr="00DA7FF3">
        <w:trPr>
          <w:trHeight w:val="266"/>
          <w:jc w:val="center"/>
        </w:trPr>
        <w:tc>
          <w:tcPr>
            <w:tcW w:w="34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36B589" w14:textId="77777777" w:rsidR="00DA7FF3" w:rsidRPr="00DA7FF3" w:rsidRDefault="00DA7FF3" w:rsidP="00DA7FF3">
            <w:pPr>
              <w:jc w:val="center"/>
              <w:rPr>
                <w:rFonts w:eastAsia="Calibri"/>
                <w:sz w:val="18"/>
                <w:szCs w:val="18"/>
                <w:lang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7DF211D"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2013</w:t>
            </w:r>
          </w:p>
        </w:tc>
        <w:tc>
          <w:tcPr>
            <w:tcW w:w="22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060EEE"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2014</w:t>
            </w:r>
          </w:p>
        </w:tc>
        <w:tc>
          <w:tcPr>
            <w:tcW w:w="220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779F8C"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Diferencias en PP</w:t>
            </w:r>
          </w:p>
        </w:tc>
      </w:tr>
      <w:tr w:rsidR="00DA7FF3" w:rsidRPr="00DA7FF3" w14:paraId="759F9CB2" w14:textId="77777777" w:rsidTr="00DA7FF3">
        <w:trPr>
          <w:jc w:val="center"/>
        </w:trPr>
        <w:tc>
          <w:tcPr>
            <w:tcW w:w="347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5B80AE" w14:textId="77777777" w:rsidR="00DA7FF3" w:rsidRPr="00DA7FF3" w:rsidRDefault="00DA7FF3" w:rsidP="00DA7FF3">
            <w:pPr>
              <w:jc w:val="center"/>
              <w:rPr>
                <w:rFonts w:eastAsia="Calibri"/>
                <w:sz w:val="18"/>
                <w:szCs w:val="18"/>
                <w:lang w:val="en-US" w:eastAsia="en-US"/>
              </w:rPr>
            </w:pP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E64554C"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7A292663"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Septiembre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7B2A5BE" w14:textId="77777777" w:rsidR="00DA7FF3" w:rsidRPr="00DA7FF3" w:rsidRDefault="00DA7FF3" w:rsidP="00DA7FF3">
            <w:pPr>
              <w:jc w:val="center"/>
              <w:rPr>
                <w:rFonts w:eastAsia="Calibri"/>
                <w:b/>
                <w:sz w:val="18"/>
                <w:szCs w:val="18"/>
                <w:lang w:eastAsia="en-US"/>
              </w:rPr>
            </w:pPr>
            <w:r w:rsidRPr="00DA7FF3">
              <w:rPr>
                <w:rFonts w:eastAsia="Calibri"/>
                <w:b/>
                <w:sz w:val="18"/>
                <w:szCs w:val="18"/>
                <w:lang w:eastAsia="en-US"/>
              </w:rPr>
              <w:t>Diciembre</w:t>
            </w:r>
          </w:p>
        </w:tc>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3B8D3494"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Anual</w:t>
            </w:r>
          </w:p>
        </w:tc>
        <w:tc>
          <w:tcPr>
            <w:tcW w:w="110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6E157" w14:textId="77777777" w:rsidR="00DA7FF3" w:rsidRPr="0047140D" w:rsidRDefault="00DA7FF3" w:rsidP="00DA7FF3">
            <w:pPr>
              <w:jc w:val="center"/>
              <w:rPr>
                <w:rFonts w:eastAsia="Calibri"/>
                <w:b/>
                <w:sz w:val="18"/>
                <w:szCs w:val="18"/>
                <w:lang w:eastAsia="en-US"/>
              </w:rPr>
            </w:pPr>
            <w:r w:rsidRPr="0047140D">
              <w:rPr>
                <w:rFonts w:eastAsia="Calibri"/>
                <w:b/>
                <w:sz w:val="18"/>
                <w:szCs w:val="18"/>
                <w:lang w:eastAsia="en-US"/>
              </w:rPr>
              <w:t>Trimestral</w:t>
            </w:r>
          </w:p>
        </w:tc>
      </w:tr>
      <w:tr w:rsidR="00DA7FF3" w:rsidRPr="00DA7FF3" w14:paraId="1B145F03" w14:textId="77777777" w:rsidTr="00DA7FF3">
        <w:trPr>
          <w:jc w:val="center"/>
        </w:trPr>
        <w:tc>
          <w:tcPr>
            <w:tcW w:w="3472" w:type="dxa"/>
            <w:tcBorders>
              <w:top w:val="single" w:sz="4" w:space="0" w:color="auto"/>
              <w:left w:val="single" w:sz="4" w:space="0" w:color="auto"/>
              <w:right w:val="single" w:sz="4" w:space="0" w:color="auto"/>
            </w:tcBorders>
            <w:shd w:val="clear" w:color="auto" w:fill="auto"/>
            <w:vAlign w:val="center"/>
          </w:tcPr>
          <w:p w14:paraId="074B4D8E" w14:textId="77777777" w:rsidR="00DA7FF3" w:rsidRPr="00DA7FF3" w:rsidRDefault="00DA7FF3" w:rsidP="00DA7FF3">
            <w:pPr>
              <w:jc w:val="center"/>
              <w:rPr>
                <w:rFonts w:eastAsia="Calibri"/>
                <w:b/>
                <w:sz w:val="18"/>
                <w:szCs w:val="18"/>
                <w:lang w:val="en-US" w:eastAsia="en-US"/>
              </w:rPr>
            </w:pPr>
            <w:r w:rsidRPr="00DA7FF3">
              <w:rPr>
                <w:rFonts w:eastAsia="Calibri"/>
                <w:sz w:val="18"/>
                <w:szCs w:val="18"/>
                <w:lang w:val="en-US" w:eastAsia="en-US"/>
              </w:rPr>
              <w:t xml:space="preserve">ROA </w:t>
            </w:r>
            <w:r w:rsidRPr="00DA7FF3">
              <w:rPr>
                <w:rFonts w:eastAsia="Calibri"/>
                <w:sz w:val="18"/>
                <w:szCs w:val="18"/>
                <w:u w:val="single"/>
                <w:vertAlign w:val="superscript"/>
                <w:lang w:val="en-US" w:eastAsia="en-US"/>
              </w:rPr>
              <w:t>i/</w:t>
            </w:r>
          </w:p>
        </w:tc>
        <w:tc>
          <w:tcPr>
            <w:tcW w:w="1101" w:type="dxa"/>
            <w:tcBorders>
              <w:top w:val="single" w:sz="4" w:space="0" w:color="auto"/>
              <w:left w:val="single" w:sz="4" w:space="0" w:color="auto"/>
              <w:right w:val="single" w:sz="4" w:space="0" w:color="auto"/>
            </w:tcBorders>
            <w:shd w:val="clear" w:color="auto" w:fill="auto"/>
            <w:vAlign w:val="center"/>
          </w:tcPr>
          <w:p w14:paraId="6EEB01D9"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0.97</w:t>
            </w:r>
          </w:p>
        </w:tc>
        <w:tc>
          <w:tcPr>
            <w:tcW w:w="1101" w:type="dxa"/>
            <w:tcBorders>
              <w:top w:val="single" w:sz="4" w:space="0" w:color="auto"/>
              <w:left w:val="single" w:sz="4" w:space="0" w:color="auto"/>
              <w:right w:val="single" w:sz="4" w:space="0" w:color="auto"/>
            </w:tcBorders>
            <w:shd w:val="clear" w:color="auto" w:fill="auto"/>
            <w:vAlign w:val="center"/>
          </w:tcPr>
          <w:p w14:paraId="48B2C3B0"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0.90</w:t>
            </w:r>
          </w:p>
        </w:tc>
        <w:tc>
          <w:tcPr>
            <w:tcW w:w="1101" w:type="dxa"/>
            <w:tcBorders>
              <w:top w:val="single" w:sz="4" w:space="0" w:color="auto"/>
              <w:left w:val="single" w:sz="4" w:space="0" w:color="auto"/>
              <w:right w:val="single" w:sz="4" w:space="0" w:color="auto"/>
            </w:tcBorders>
            <w:shd w:val="clear" w:color="auto" w:fill="auto"/>
            <w:vAlign w:val="center"/>
          </w:tcPr>
          <w:p w14:paraId="0D0A1979"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1.02</w:t>
            </w:r>
          </w:p>
        </w:tc>
        <w:tc>
          <w:tcPr>
            <w:tcW w:w="1101" w:type="dxa"/>
            <w:tcBorders>
              <w:top w:val="single" w:sz="4" w:space="0" w:color="auto"/>
              <w:left w:val="single" w:sz="4" w:space="0" w:color="auto"/>
              <w:right w:val="single" w:sz="4" w:space="0" w:color="auto"/>
            </w:tcBorders>
            <w:shd w:val="clear" w:color="auto" w:fill="auto"/>
            <w:vAlign w:val="center"/>
          </w:tcPr>
          <w:p w14:paraId="577FE4F6"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0.05</w:t>
            </w:r>
          </w:p>
        </w:tc>
        <w:tc>
          <w:tcPr>
            <w:tcW w:w="1102" w:type="dxa"/>
            <w:gridSpan w:val="2"/>
            <w:tcBorders>
              <w:top w:val="single" w:sz="4" w:space="0" w:color="auto"/>
              <w:left w:val="single" w:sz="4" w:space="0" w:color="auto"/>
              <w:right w:val="single" w:sz="4" w:space="0" w:color="auto"/>
            </w:tcBorders>
            <w:shd w:val="clear" w:color="auto" w:fill="auto"/>
            <w:vAlign w:val="center"/>
          </w:tcPr>
          <w:p w14:paraId="607F9F6F"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0.13</w:t>
            </w:r>
          </w:p>
        </w:tc>
      </w:tr>
      <w:tr w:rsidR="00DA7FF3" w:rsidRPr="00DA7FF3" w14:paraId="4B5F14E8" w14:textId="77777777" w:rsidTr="00DA7FF3">
        <w:trPr>
          <w:jc w:val="center"/>
        </w:trPr>
        <w:tc>
          <w:tcPr>
            <w:tcW w:w="3472" w:type="dxa"/>
            <w:tcBorders>
              <w:left w:val="single" w:sz="4" w:space="0" w:color="auto"/>
              <w:bottom w:val="single" w:sz="4" w:space="0" w:color="auto"/>
              <w:right w:val="single" w:sz="4" w:space="0" w:color="auto"/>
            </w:tcBorders>
            <w:shd w:val="clear" w:color="auto" w:fill="auto"/>
            <w:vAlign w:val="center"/>
          </w:tcPr>
          <w:p w14:paraId="778DA8F7" w14:textId="77777777" w:rsidR="00DA7FF3" w:rsidRPr="00DA7FF3" w:rsidRDefault="00DA7FF3" w:rsidP="00DA7FF3">
            <w:pPr>
              <w:jc w:val="center"/>
              <w:rPr>
                <w:rFonts w:eastAsia="Calibri"/>
                <w:b/>
                <w:sz w:val="18"/>
                <w:szCs w:val="18"/>
                <w:lang w:val="en-US" w:eastAsia="en-US"/>
              </w:rPr>
            </w:pPr>
            <w:r w:rsidRPr="00DA7FF3">
              <w:rPr>
                <w:rFonts w:eastAsia="Calibri"/>
                <w:sz w:val="18"/>
                <w:szCs w:val="18"/>
                <w:lang w:val="en-US" w:eastAsia="en-US"/>
              </w:rPr>
              <w:t xml:space="preserve">ROE </w:t>
            </w:r>
            <w:r w:rsidRPr="00DA7FF3">
              <w:rPr>
                <w:rFonts w:eastAsia="Calibri"/>
                <w:sz w:val="18"/>
                <w:szCs w:val="18"/>
                <w:u w:val="single"/>
                <w:vertAlign w:val="superscript"/>
                <w:lang w:val="en-US" w:eastAsia="en-US"/>
              </w:rPr>
              <w:t>ii</w:t>
            </w:r>
            <w:r w:rsidRPr="00DA7FF3">
              <w:rPr>
                <w:rFonts w:eastAsia="Calibri"/>
                <w:sz w:val="18"/>
                <w:szCs w:val="18"/>
                <w:vertAlign w:val="superscript"/>
                <w:lang w:val="en-US" w:eastAsia="en-US"/>
              </w:rPr>
              <w:t>/</w:t>
            </w:r>
          </w:p>
        </w:tc>
        <w:tc>
          <w:tcPr>
            <w:tcW w:w="1101" w:type="dxa"/>
            <w:tcBorders>
              <w:left w:val="single" w:sz="4" w:space="0" w:color="auto"/>
              <w:bottom w:val="single" w:sz="4" w:space="0" w:color="auto"/>
              <w:right w:val="single" w:sz="4" w:space="0" w:color="auto"/>
            </w:tcBorders>
            <w:shd w:val="clear" w:color="auto" w:fill="auto"/>
            <w:vAlign w:val="center"/>
          </w:tcPr>
          <w:p w14:paraId="1097F263"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6.12</w:t>
            </w:r>
          </w:p>
        </w:tc>
        <w:tc>
          <w:tcPr>
            <w:tcW w:w="1101" w:type="dxa"/>
            <w:tcBorders>
              <w:left w:val="single" w:sz="4" w:space="0" w:color="auto"/>
              <w:bottom w:val="single" w:sz="4" w:space="0" w:color="auto"/>
              <w:right w:val="single" w:sz="4" w:space="0" w:color="auto"/>
            </w:tcBorders>
            <w:shd w:val="clear" w:color="auto" w:fill="auto"/>
            <w:vAlign w:val="center"/>
          </w:tcPr>
          <w:p w14:paraId="303A6DBF"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5.73</w:t>
            </w:r>
          </w:p>
        </w:tc>
        <w:tc>
          <w:tcPr>
            <w:tcW w:w="1101" w:type="dxa"/>
            <w:tcBorders>
              <w:left w:val="single" w:sz="4" w:space="0" w:color="auto"/>
              <w:bottom w:val="single" w:sz="4" w:space="0" w:color="auto"/>
              <w:right w:val="single" w:sz="4" w:space="0" w:color="auto"/>
            </w:tcBorders>
            <w:shd w:val="clear" w:color="auto" w:fill="auto"/>
            <w:vAlign w:val="center"/>
          </w:tcPr>
          <w:p w14:paraId="4C91118D"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6.48</w:t>
            </w:r>
          </w:p>
        </w:tc>
        <w:tc>
          <w:tcPr>
            <w:tcW w:w="1101" w:type="dxa"/>
            <w:tcBorders>
              <w:left w:val="single" w:sz="4" w:space="0" w:color="auto"/>
              <w:bottom w:val="single" w:sz="4" w:space="0" w:color="auto"/>
              <w:right w:val="single" w:sz="4" w:space="0" w:color="auto"/>
            </w:tcBorders>
            <w:shd w:val="clear" w:color="auto" w:fill="auto"/>
            <w:vAlign w:val="center"/>
          </w:tcPr>
          <w:p w14:paraId="745B2DE7" w14:textId="77777777" w:rsidR="00DA7FF3" w:rsidRPr="00DA7FF3" w:rsidRDefault="00DA7FF3" w:rsidP="00DA7FF3">
            <w:pPr>
              <w:ind w:right="227"/>
              <w:jc w:val="right"/>
              <w:rPr>
                <w:rFonts w:eastAsia="Calibri"/>
                <w:sz w:val="18"/>
                <w:szCs w:val="18"/>
                <w:lang w:val="en-US" w:eastAsia="en-US"/>
              </w:rPr>
            </w:pPr>
            <w:r w:rsidRPr="00DA7FF3">
              <w:rPr>
                <w:rFonts w:eastAsia="Calibri"/>
                <w:sz w:val="18"/>
                <w:szCs w:val="18"/>
                <w:lang w:val="en-US" w:eastAsia="en-US"/>
              </w:rPr>
              <w:t>0.36</w:t>
            </w:r>
          </w:p>
        </w:tc>
        <w:tc>
          <w:tcPr>
            <w:tcW w:w="1102" w:type="dxa"/>
            <w:gridSpan w:val="2"/>
            <w:tcBorders>
              <w:left w:val="single" w:sz="4" w:space="0" w:color="auto"/>
              <w:bottom w:val="single" w:sz="4" w:space="0" w:color="auto"/>
              <w:right w:val="single" w:sz="4" w:space="0" w:color="auto"/>
            </w:tcBorders>
            <w:shd w:val="clear" w:color="auto" w:fill="auto"/>
            <w:vAlign w:val="center"/>
          </w:tcPr>
          <w:p w14:paraId="68FCF565" w14:textId="77777777" w:rsidR="00DA7FF3" w:rsidRPr="00DA7FF3" w:rsidRDefault="00DA7FF3" w:rsidP="00DA7FF3">
            <w:pPr>
              <w:ind w:right="227"/>
              <w:jc w:val="right"/>
              <w:rPr>
                <w:rFonts w:eastAsia="Calibri"/>
                <w:b/>
                <w:sz w:val="18"/>
                <w:szCs w:val="18"/>
                <w:lang w:val="en-US" w:eastAsia="en-US"/>
              </w:rPr>
            </w:pPr>
            <w:r w:rsidRPr="00DA7FF3">
              <w:rPr>
                <w:rFonts w:eastAsia="Calibri"/>
                <w:sz w:val="18"/>
                <w:szCs w:val="18"/>
                <w:lang w:val="en-US" w:eastAsia="en-US"/>
              </w:rPr>
              <w:t>0.75</w:t>
            </w:r>
          </w:p>
        </w:tc>
      </w:tr>
      <w:tr w:rsidR="00DA7FF3" w:rsidRPr="00DA7FF3" w14:paraId="29E97DDB" w14:textId="77777777" w:rsidTr="00DA7FF3">
        <w:trPr>
          <w:gridAfter w:val="1"/>
          <w:wAfter w:w="47" w:type="dxa"/>
          <w:jc w:val="center"/>
        </w:trPr>
        <w:tc>
          <w:tcPr>
            <w:tcW w:w="8931" w:type="dxa"/>
            <w:gridSpan w:val="6"/>
            <w:tcBorders>
              <w:bottom w:val="nil"/>
            </w:tcBorders>
            <w:shd w:val="clear" w:color="auto" w:fill="auto"/>
            <w:vAlign w:val="center"/>
          </w:tcPr>
          <w:p w14:paraId="19B1F3BB" w14:textId="77777777" w:rsidR="00DA7FF3" w:rsidRPr="00DA7FF3" w:rsidRDefault="00DA7FF3" w:rsidP="00DA7FF3">
            <w:pPr>
              <w:jc w:val="both"/>
              <w:rPr>
                <w:rFonts w:eastAsia="Calibri"/>
                <w:b/>
                <w:sz w:val="20"/>
                <w:szCs w:val="20"/>
                <w:lang w:eastAsia="en-US"/>
              </w:rPr>
            </w:pPr>
            <w:r w:rsidRPr="00DA7FF3">
              <w:rPr>
                <w:rFonts w:eastAsia="Calibri"/>
                <w:sz w:val="20"/>
                <w:szCs w:val="20"/>
                <w:u w:val="single"/>
                <w:lang w:eastAsia="en-US"/>
              </w:rPr>
              <w:t>i</w:t>
            </w:r>
            <w:r w:rsidRPr="00DA7FF3">
              <w:rPr>
                <w:rFonts w:eastAsia="Calibri"/>
                <w:sz w:val="20"/>
                <w:szCs w:val="20"/>
                <w:lang w:eastAsia="en-US"/>
              </w:rPr>
              <w:t>/   ROA = Cociente del resultado neto (acumulado 12 meses) entre el promedio del activo total (12 meses).</w:t>
            </w:r>
          </w:p>
          <w:p w14:paraId="5AE0128A" w14:textId="77777777" w:rsidR="00DA7FF3" w:rsidRPr="00DA7FF3" w:rsidRDefault="00DA7FF3" w:rsidP="00DA7FF3">
            <w:pPr>
              <w:ind w:left="964" w:hanging="964"/>
              <w:jc w:val="both"/>
              <w:rPr>
                <w:rFonts w:eastAsia="Calibri"/>
                <w:b/>
                <w:sz w:val="20"/>
                <w:szCs w:val="20"/>
                <w:lang w:eastAsia="en-US"/>
              </w:rPr>
            </w:pPr>
            <w:r w:rsidRPr="00DA7FF3">
              <w:rPr>
                <w:rFonts w:eastAsia="Calibri"/>
                <w:sz w:val="20"/>
                <w:szCs w:val="20"/>
                <w:u w:val="single"/>
                <w:lang w:eastAsia="en-US"/>
              </w:rPr>
              <w:t>ii</w:t>
            </w:r>
            <w:r w:rsidRPr="00DA7FF3">
              <w:rPr>
                <w:rFonts w:eastAsia="Calibri"/>
                <w:sz w:val="20"/>
                <w:szCs w:val="20"/>
                <w:lang w:eastAsia="en-US"/>
              </w:rPr>
              <w:t>/ ROE = Cociente del resultado neto (acumulado 12 meses) entre el promedio del capital contable (12 meses).</w:t>
            </w:r>
          </w:p>
          <w:p w14:paraId="61342E85" w14:textId="77777777" w:rsidR="00DA7FF3" w:rsidRPr="00DA7FF3" w:rsidRDefault="00DA7FF3" w:rsidP="00DA7FF3">
            <w:pPr>
              <w:jc w:val="both"/>
              <w:rPr>
                <w:rFonts w:eastAsia="Calibri"/>
                <w:b/>
                <w:sz w:val="20"/>
                <w:szCs w:val="20"/>
                <w:lang w:eastAsia="en-US"/>
              </w:rPr>
            </w:pPr>
            <w:r w:rsidRPr="00DA7FF3">
              <w:rPr>
                <w:rFonts w:eastAsia="Calibri"/>
                <w:sz w:val="20"/>
                <w:szCs w:val="20"/>
                <w:lang w:eastAsia="en-US"/>
              </w:rPr>
              <w:t>FUENTE: CNBV.</w:t>
            </w:r>
          </w:p>
        </w:tc>
      </w:tr>
    </w:tbl>
    <w:p w14:paraId="7D8E16B8" w14:textId="77777777" w:rsidR="00DA7FF3" w:rsidRPr="00DA7FF3" w:rsidRDefault="00DA7FF3" w:rsidP="00DA7FF3">
      <w:pPr>
        <w:spacing w:after="360" w:line="360" w:lineRule="auto"/>
        <w:ind w:right="-159"/>
        <w:jc w:val="both"/>
        <w:rPr>
          <w:rFonts w:eastAsia="Calibri"/>
          <w:sz w:val="26"/>
          <w:szCs w:val="26"/>
          <w:lang w:eastAsia="en-US"/>
        </w:rPr>
      </w:pPr>
    </w:p>
    <w:p w14:paraId="4F0A7AB8" w14:textId="77777777" w:rsidR="00DA7FF3" w:rsidRPr="00DA7FF3" w:rsidRDefault="00DA7FF3" w:rsidP="00DA7FF3">
      <w:pPr>
        <w:ind w:right="-159"/>
        <w:jc w:val="both"/>
        <w:rPr>
          <w:rFonts w:eastAsia="Calibri"/>
          <w:b/>
          <w:sz w:val="20"/>
          <w:szCs w:val="20"/>
          <w:lang w:eastAsia="en-US"/>
        </w:rPr>
      </w:pPr>
      <w:r w:rsidRPr="00DA7FF3">
        <w:rPr>
          <w:rFonts w:eastAsia="Calibri"/>
          <w:b/>
          <w:sz w:val="20"/>
          <w:szCs w:val="20"/>
          <w:lang w:eastAsia="en-US"/>
        </w:rPr>
        <w:t>Fuente de información:</w:t>
      </w:r>
    </w:p>
    <w:p w14:paraId="19E06900" w14:textId="71B8306D" w:rsidR="00B9606F" w:rsidRPr="007B0259" w:rsidRDefault="0045651A" w:rsidP="00DA7FF3">
      <w:pPr>
        <w:ind w:right="-159"/>
        <w:jc w:val="both"/>
        <w:rPr>
          <w:color w:val="0000FF"/>
          <w:sz w:val="20"/>
          <w:szCs w:val="20"/>
        </w:rPr>
      </w:pPr>
      <w:hyperlink r:id="rId264" w:history="1">
        <w:r w:rsidR="00B9606F" w:rsidRPr="007B0259">
          <w:rPr>
            <w:rStyle w:val="Hipervnculo"/>
            <w:sz w:val="20"/>
            <w:szCs w:val="20"/>
          </w:rPr>
          <w:t>http://www.cnbv.gob.mx/SECTORES-SUPERVISADOS/UNIONES-DE-CREDITO/Prensa%20%20Uniones%20de%20Crdito/Comunicado%20de%20Prensa%20Uniones%20de%20Crédito%20Dic14.pdf</w:t>
        </w:r>
      </w:hyperlink>
    </w:p>
    <w:p w14:paraId="4835E7C0" w14:textId="5128DEB2" w:rsidR="00DA7FF3" w:rsidRPr="007B0259" w:rsidRDefault="00DA7FF3" w:rsidP="00DA7FF3">
      <w:pPr>
        <w:ind w:right="-159"/>
        <w:jc w:val="both"/>
        <w:rPr>
          <w:rFonts w:eastAsia="Calibri"/>
          <w:sz w:val="20"/>
          <w:szCs w:val="20"/>
          <w:lang w:eastAsia="en-US"/>
        </w:rPr>
      </w:pPr>
      <w:r w:rsidRPr="007B0259">
        <w:rPr>
          <w:rFonts w:eastAsia="Calibri"/>
          <w:sz w:val="20"/>
          <w:szCs w:val="20"/>
          <w:lang w:eastAsia="en-US"/>
        </w:rPr>
        <w:t>Para tener acceso a información relacionada visite:</w:t>
      </w:r>
    </w:p>
    <w:p w14:paraId="57087E4D" w14:textId="77777777" w:rsidR="00DA7FF3" w:rsidRPr="007B0259" w:rsidRDefault="0045651A" w:rsidP="007B0259">
      <w:pPr>
        <w:spacing w:after="720"/>
        <w:ind w:right="-159"/>
        <w:jc w:val="both"/>
        <w:rPr>
          <w:rFonts w:eastAsia="Calibri"/>
          <w:color w:val="0000FF"/>
          <w:sz w:val="20"/>
          <w:szCs w:val="20"/>
          <w:lang w:eastAsia="en-US"/>
        </w:rPr>
      </w:pPr>
      <w:hyperlink r:id="rId265" w:history="1">
        <w:r w:rsidR="00DA7FF3" w:rsidRPr="007B0259">
          <w:rPr>
            <w:rFonts w:eastAsia="Calibri"/>
            <w:color w:val="0000FF"/>
            <w:sz w:val="20"/>
            <w:szCs w:val="20"/>
            <w:u w:val="single"/>
            <w:lang w:eastAsia="en-US"/>
          </w:rPr>
          <w:t>http://portafoliodeinformacion.cnbv.gob.mx/oaacs1/Paginas/uc_infosituacion.aspx</w:t>
        </w:r>
      </w:hyperlink>
    </w:p>
    <w:p w14:paraId="43B2B154" w14:textId="77777777" w:rsidR="00835D95" w:rsidRPr="00835D95" w:rsidRDefault="00835D95" w:rsidP="00835D95">
      <w:pPr>
        <w:ind w:right="-159"/>
        <w:jc w:val="both"/>
        <w:rPr>
          <w:rFonts w:eastAsia="Calibri"/>
          <w:b/>
          <w:bCs/>
          <w:sz w:val="26"/>
          <w:szCs w:val="26"/>
          <w:lang w:eastAsia="en-US"/>
        </w:rPr>
      </w:pPr>
      <w:r w:rsidRPr="00835D95">
        <w:rPr>
          <w:rFonts w:eastAsia="Calibri"/>
          <w:b/>
          <w:bCs/>
          <w:sz w:val="26"/>
          <w:szCs w:val="26"/>
          <w:lang w:eastAsia="en-US"/>
        </w:rPr>
        <w:t>Establecen  procedimiento   para   determinar   las   entidades</w:t>
      </w:r>
    </w:p>
    <w:p w14:paraId="3949AB39" w14:textId="77777777" w:rsidR="00835D95" w:rsidRPr="00835D95" w:rsidRDefault="00835D95" w:rsidP="00835D95">
      <w:pPr>
        <w:ind w:right="-159"/>
        <w:jc w:val="both"/>
        <w:rPr>
          <w:rFonts w:eastAsia="Calibri"/>
          <w:b/>
          <w:bCs/>
          <w:sz w:val="26"/>
          <w:szCs w:val="26"/>
          <w:lang w:eastAsia="en-US"/>
        </w:rPr>
      </w:pPr>
      <w:r w:rsidRPr="00835D95">
        <w:rPr>
          <w:rFonts w:eastAsia="Calibri"/>
          <w:b/>
          <w:bCs/>
          <w:sz w:val="26"/>
          <w:szCs w:val="26"/>
          <w:lang w:eastAsia="en-US"/>
        </w:rPr>
        <w:t>financieras extranjeras que podrán intercambiar información</w:t>
      </w:r>
    </w:p>
    <w:p w14:paraId="5A3A7D07" w14:textId="77777777" w:rsidR="00835D95" w:rsidRPr="00835D95" w:rsidRDefault="00835D95" w:rsidP="00835D95">
      <w:pPr>
        <w:spacing w:after="360" w:line="360" w:lineRule="auto"/>
        <w:ind w:right="-159"/>
        <w:jc w:val="both"/>
        <w:rPr>
          <w:rFonts w:eastAsia="Calibri"/>
          <w:b/>
          <w:sz w:val="26"/>
          <w:szCs w:val="26"/>
          <w:lang w:eastAsia="en-US"/>
        </w:rPr>
      </w:pPr>
      <w:r w:rsidRPr="00835D95">
        <w:rPr>
          <w:rFonts w:eastAsia="Calibri"/>
          <w:b/>
          <w:bCs/>
          <w:sz w:val="26"/>
          <w:szCs w:val="26"/>
          <w:lang w:eastAsia="en-US"/>
        </w:rPr>
        <w:t>prevista en el artículo 115 de la LIC</w:t>
      </w:r>
      <w:r w:rsidRPr="00835D95">
        <w:rPr>
          <w:rFonts w:eastAsia="Calibri"/>
          <w:b/>
          <w:sz w:val="26"/>
          <w:szCs w:val="26"/>
          <w:lang w:eastAsia="en-US"/>
        </w:rPr>
        <w:t xml:space="preserve"> (</w:t>
      </w:r>
      <w:r w:rsidRPr="00835D95">
        <w:rPr>
          <w:rFonts w:eastAsia="Calibri"/>
          <w:b/>
          <w:bCs/>
          <w:sz w:val="26"/>
          <w:szCs w:val="26"/>
          <w:lang w:eastAsia="en-US"/>
        </w:rPr>
        <w:t>SHCP</w:t>
      </w:r>
      <w:r w:rsidRPr="00835D95">
        <w:rPr>
          <w:rFonts w:eastAsia="Calibri"/>
          <w:b/>
          <w:sz w:val="26"/>
          <w:szCs w:val="26"/>
          <w:lang w:eastAsia="en-US"/>
        </w:rPr>
        <w:t>)</w:t>
      </w:r>
    </w:p>
    <w:p w14:paraId="10DB4EC9" w14:textId="77777777" w:rsidR="00835D95" w:rsidRDefault="00835D95" w:rsidP="00835D95">
      <w:pPr>
        <w:spacing w:after="360" w:line="360" w:lineRule="auto"/>
        <w:ind w:right="-159"/>
        <w:jc w:val="both"/>
        <w:rPr>
          <w:rFonts w:eastAsia="Calibri"/>
          <w:bCs/>
          <w:sz w:val="26"/>
          <w:szCs w:val="26"/>
          <w:lang w:eastAsia="en-US"/>
        </w:rPr>
      </w:pPr>
      <w:r w:rsidRPr="00835D95">
        <w:rPr>
          <w:rFonts w:eastAsia="Calibri"/>
          <w:sz w:val="26"/>
          <w:szCs w:val="26"/>
          <w:lang w:eastAsia="en-US"/>
        </w:rPr>
        <w:t xml:space="preserve">El </w:t>
      </w:r>
      <w:r w:rsidRPr="00835D95">
        <w:rPr>
          <w:rFonts w:eastAsia="Calibri"/>
          <w:bCs/>
          <w:sz w:val="26"/>
          <w:szCs w:val="26"/>
          <w:lang w:eastAsia="en-US"/>
        </w:rPr>
        <w:t>9 de abril de 2015</w:t>
      </w:r>
      <w:r w:rsidRPr="00835D95">
        <w:rPr>
          <w:rFonts w:eastAsia="Calibri"/>
          <w:sz w:val="26"/>
          <w:szCs w:val="26"/>
          <w:lang w:eastAsia="en-US"/>
        </w:rPr>
        <w:t>, la Secretaría de Hacienda y Crédito Público (SHCP) publicó en el Diario Oficial de la Federación (DOF) la “</w:t>
      </w:r>
      <w:r w:rsidRPr="00835D95">
        <w:rPr>
          <w:rFonts w:eastAsia="Calibri"/>
          <w:bCs/>
          <w:sz w:val="26"/>
          <w:szCs w:val="26"/>
          <w:lang w:eastAsia="en-US"/>
        </w:rPr>
        <w:t>Resolución que establece el procedimiento para que la SHCP determine las entidades financieras extranjeras que podrán intercambiar la información prevista en la 62ª Ter de las Disposiciones de carácter general a que se refiere el artículo 115 de la Ley de Instituciones de Crédito.” A continuación se presenta el contenido.</w:t>
      </w:r>
    </w:p>
    <w:p w14:paraId="2916D5A9" w14:textId="77777777" w:rsidR="009940FA" w:rsidRDefault="009940FA" w:rsidP="00835D95">
      <w:pPr>
        <w:spacing w:after="360" w:line="360" w:lineRule="auto"/>
        <w:ind w:right="-159"/>
        <w:jc w:val="both"/>
        <w:rPr>
          <w:rFonts w:eastAsia="Calibri"/>
          <w:bCs/>
          <w:sz w:val="26"/>
          <w:szCs w:val="26"/>
          <w:lang w:eastAsia="en-US"/>
        </w:rPr>
      </w:pPr>
    </w:p>
    <w:p w14:paraId="6C0F870A" w14:textId="77777777" w:rsidR="009940FA" w:rsidRPr="00835D95" w:rsidRDefault="009940FA" w:rsidP="00835D95">
      <w:pPr>
        <w:spacing w:after="360" w:line="360" w:lineRule="auto"/>
        <w:ind w:right="-159"/>
        <w:jc w:val="both"/>
        <w:rPr>
          <w:rFonts w:eastAsia="Calibri"/>
          <w:bCs/>
          <w:sz w:val="26"/>
          <w:szCs w:val="26"/>
          <w:lang w:eastAsia="en-US"/>
        </w:rPr>
      </w:pPr>
    </w:p>
    <w:p w14:paraId="486A354F" w14:textId="77777777" w:rsidR="00835D95" w:rsidRPr="004D3FE5" w:rsidRDefault="00835D95" w:rsidP="00835D95">
      <w:pPr>
        <w:spacing w:after="360"/>
        <w:ind w:right="-159"/>
        <w:jc w:val="both"/>
        <w:rPr>
          <w:rFonts w:eastAsia="Calibri"/>
          <w:b/>
          <w:sz w:val="26"/>
          <w:szCs w:val="26"/>
          <w:lang w:eastAsia="en-US"/>
        </w:rPr>
      </w:pPr>
      <w:r w:rsidRPr="004D3FE5">
        <w:rPr>
          <w:rFonts w:eastAsia="Calibri"/>
          <w:b/>
          <w:bCs/>
          <w:sz w:val="26"/>
          <w:szCs w:val="26"/>
          <w:lang w:eastAsia="en-US"/>
        </w:rPr>
        <w:lastRenderedPageBreak/>
        <w:t>RESOLUCIÓN QUE ESTABLECE EL PROCEDIMIENTO PARA QUE LA SECRETARÍA DE HACIENDA Y CRÉDITO PÚBLICO DETERMINE LAS ENTIDADES FINANCIERAS EXTRANJERAS QUE PODRÁN INTERCAMBIAR LA INFORMACIÓN PREVISTA EN LA 62ª TER DE LAS DISPOSICIONES DE CARÁCTER GENERAL A QUE SE REFIERE EL ARTÍCULO 115 DE LA LEY DE INSTITUCIONES DE CRÉDITO</w:t>
      </w:r>
    </w:p>
    <w:p w14:paraId="2D8BEBB2"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NARCISO ANTONIO CAMPOS CUEVAS, Titular de la Unidad de Banca, Valores y Ahorro de la Secretaría de Hacienda y Crédito Público, con fundamento en lo dispuesto por los artículos 115 y 115 Bis de la Ley de Instituciones de Crédito, la 62ª Ter, fracción I de las Disposiciones de carácter general a que se refiere el artículo 115 de la Ley de Instituciones de Crédito y el artículo 27, fracción XXIII, del Reglamento Interior de la Secretaría de Hacienda y Crédito Público; y</w:t>
      </w:r>
    </w:p>
    <w:p w14:paraId="6BDDD6E4" w14:textId="77777777" w:rsidR="00835D95" w:rsidRPr="00835D95" w:rsidRDefault="00835D95" w:rsidP="00835D95">
      <w:pPr>
        <w:spacing w:after="360" w:line="360" w:lineRule="auto"/>
        <w:ind w:right="-159"/>
        <w:jc w:val="center"/>
        <w:rPr>
          <w:rFonts w:eastAsia="Calibri"/>
          <w:b/>
          <w:bCs/>
          <w:sz w:val="26"/>
          <w:szCs w:val="26"/>
          <w:lang w:eastAsia="en-US"/>
        </w:rPr>
      </w:pPr>
      <w:r w:rsidRPr="00835D95">
        <w:rPr>
          <w:rFonts w:eastAsia="Calibri"/>
          <w:b/>
          <w:bCs/>
          <w:sz w:val="26"/>
          <w:szCs w:val="26"/>
          <w:lang w:eastAsia="en-US"/>
        </w:rPr>
        <w:t>CONSIDERANDO</w:t>
      </w:r>
    </w:p>
    <w:p w14:paraId="3889D0C1"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Que con fecha 20 de abril de 2009 se publicaron en el Diario Oficial de la Federación, las Disposiciones de carácter general a que se refiere el artículo 115 de la Ley de Instituciones de Crédito, mismas que fueron modificadas por última ocasión mediante Resolución publicada en ese mismo órgano oficial de difusión el 31 de diciembre de 2014;</w:t>
      </w:r>
    </w:p>
    <w:p w14:paraId="1A1A538F"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Que con el fin de fortalecer las medidas para prevenir y detectar actos, omisiones u operaciones que pudieren favorecer, prestar ayuda, auxilio o cooperación de cualquier especie para la comisión de los delitos de financiamiento al terrorismo, terrorismo internacional y de operaciones con recursos de procedencia ilícita, el artículo 115 Bis de la Ley de Instituciones de Crédito prevé la posibilidad de que las Entidades puedan intercambiar información en términos de las Disposiciones de carácter general a que se refiere el artículo 115 de la Ley de Instituciones de Crédito, y</w:t>
      </w:r>
    </w:p>
    <w:p w14:paraId="7F044773"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 xml:space="preserve">Que en términos de la 62ª Ter de las Disposiciones de carácter general a que se refiere el artículo 115 de la Ley de Instituciones de Crédito, las Entidades podrán intercambiar </w:t>
      </w:r>
      <w:r w:rsidRPr="00835D95">
        <w:rPr>
          <w:rFonts w:eastAsia="Calibri"/>
          <w:sz w:val="26"/>
          <w:szCs w:val="26"/>
          <w:lang w:eastAsia="en-US"/>
        </w:rPr>
        <w:lastRenderedPageBreak/>
        <w:t>información sobre sus clientes y usuarios, así como de operaciones de los mismos, únicamente con aquellas Entidades Financieras Extranjeras que sean determinadas por la Secretaría de Hacienda y Crédito Público, he tenido a bien emitir la siguiente:</w:t>
      </w:r>
    </w:p>
    <w:p w14:paraId="6235F0F3" w14:textId="77777777" w:rsidR="00835D95" w:rsidRPr="00835D95" w:rsidRDefault="00835D95" w:rsidP="00835D95">
      <w:pPr>
        <w:spacing w:after="360"/>
        <w:ind w:right="-159"/>
        <w:jc w:val="both"/>
        <w:rPr>
          <w:rFonts w:eastAsia="Calibri"/>
          <w:sz w:val="26"/>
          <w:szCs w:val="26"/>
          <w:lang w:eastAsia="en-US"/>
        </w:rPr>
      </w:pPr>
      <w:r w:rsidRPr="00835D95">
        <w:rPr>
          <w:rFonts w:eastAsia="Calibri"/>
          <w:b/>
          <w:bCs/>
          <w:sz w:val="26"/>
          <w:szCs w:val="26"/>
          <w:lang w:eastAsia="en-US"/>
        </w:rPr>
        <w:t>RESOLUCIÓN QUE ESTABLECE EL PROCEDIMIENTO PARA QUE LA SECRETARÍA DE HACIENDA Y CRÉDITO PÚBLICO DETERMINE LAS ENTIDADES FINANCIERAS EXTRANJERAS QUE PODRÁN INTERCAMBIAR LA INFORMACIÓN PREVISTA EN LA 62ª TER DE LAS DISPOSICIONES DE CARÁCTER GENERAL A QUE SE REFIERE EL ARTÍCULO 115 DE LA LEY DE INSTITUCIONES DE CRÉDITO</w:t>
      </w:r>
    </w:p>
    <w:p w14:paraId="4A6982F4"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Cs/>
          <w:sz w:val="26"/>
          <w:szCs w:val="26"/>
          <w:lang w:eastAsia="en-US"/>
        </w:rPr>
        <w:t>Artículo 1.</w:t>
      </w:r>
      <w:r w:rsidRPr="00835D95">
        <w:rPr>
          <w:rFonts w:eastAsia="Calibri"/>
          <w:sz w:val="26"/>
          <w:szCs w:val="26"/>
          <w:lang w:eastAsia="en-US"/>
        </w:rPr>
        <w:t xml:space="preserve"> Para efectos de esta Resolución, serán aplicables las definiciones establecidas en la 2ª de las Disposiciones, además de las siguientes, que podrán utilizarse en singular o plural:</w:t>
      </w:r>
    </w:p>
    <w:p w14:paraId="4CD19AF7" w14:textId="77777777" w:rsidR="00835D95" w:rsidRPr="00835D95" w:rsidRDefault="00835D95" w:rsidP="002D3902">
      <w:pPr>
        <w:numPr>
          <w:ilvl w:val="0"/>
          <w:numId w:val="102"/>
        </w:numPr>
        <w:spacing w:after="360" w:line="360" w:lineRule="auto"/>
        <w:ind w:left="714" w:right="-159" w:hanging="357"/>
        <w:jc w:val="both"/>
        <w:rPr>
          <w:rFonts w:eastAsia="Calibri"/>
          <w:b/>
          <w:sz w:val="26"/>
          <w:szCs w:val="26"/>
          <w:lang w:eastAsia="en-US"/>
        </w:rPr>
      </w:pPr>
      <w:r w:rsidRPr="00835D95">
        <w:rPr>
          <w:rFonts w:eastAsia="Calibri"/>
          <w:b/>
          <w:bCs/>
          <w:sz w:val="26"/>
          <w:szCs w:val="26"/>
          <w:lang w:eastAsia="en-US"/>
        </w:rPr>
        <w:t>Disposiciones</w:t>
      </w:r>
      <w:r w:rsidRPr="00835D95">
        <w:rPr>
          <w:rFonts w:eastAsia="Calibri"/>
          <w:sz w:val="26"/>
          <w:szCs w:val="26"/>
          <w:lang w:eastAsia="en-US"/>
        </w:rPr>
        <w:t>, a las Disposiciones de carácter general a que se refiere el artículo 115 de la Ley de Instituciones de Crédito, publicadas en el Diario Oficial de la Federación el 20 de abril de 2009 y sus respectivas modificaciones;</w:t>
      </w:r>
    </w:p>
    <w:p w14:paraId="2032C4C8" w14:textId="77777777" w:rsidR="00835D95" w:rsidRPr="00835D95" w:rsidRDefault="00835D95" w:rsidP="002D3902">
      <w:pPr>
        <w:numPr>
          <w:ilvl w:val="0"/>
          <w:numId w:val="102"/>
        </w:numPr>
        <w:spacing w:after="360" w:line="360" w:lineRule="auto"/>
        <w:ind w:left="714" w:right="-159" w:hanging="357"/>
        <w:jc w:val="both"/>
        <w:rPr>
          <w:rFonts w:eastAsia="Calibri"/>
          <w:b/>
          <w:sz w:val="26"/>
          <w:szCs w:val="26"/>
          <w:lang w:eastAsia="en-US"/>
        </w:rPr>
      </w:pPr>
      <w:r w:rsidRPr="00835D95">
        <w:rPr>
          <w:rFonts w:eastAsia="Calibri"/>
          <w:b/>
          <w:bCs/>
          <w:sz w:val="26"/>
          <w:szCs w:val="26"/>
          <w:lang w:eastAsia="en-US"/>
        </w:rPr>
        <w:t>GAFI</w:t>
      </w:r>
      <w:r w:rsidRPr="00835D95">
        <w:rPr>
          <w:rFonts w:eastAsia="Calibri"/>
          <w:sz w:val="26"/>
          <w:szCs w:val="26"/>
          <w:lang w:eastAsia="en-US"/>
        </w:rPr>
        <w:t>, al Grupo de Acción Financiera Internacional sobre el Blanqueo de Capitales;</w:t>
      </w:r>
    </w:p>
    <w:p w14:paraId="56B3F855" w14:textId="77777777" w:rsidR="00835D95" w:rsidRPr="00835D95" w:rsidRDefault="00835D95" w:rsidP="002D3902">
      <w:pPr>
        <w:numPr>
          <w:ilvl w:val="0"/>
          <w:numId w:val="102"/>
        </w:numPr>
        <w:spacing w:after="360" w:line="360" w:lineRule="auto"/>
        <w:ind w:left="714" w:right="-159" w:hanging="357"/>
        <w:jc w:val="both"/>
        <w:rPr>
          <w:rFonts w:eastAsia="Calibri"/>
          <w:b/>
          <w:sz w:val="26"/>
          <w:szCs w:val="26"/>
          <w:lang w:eastAsia="en-US"/>
        </w:rPr>
      </w:pPr>
      <w:r w:rsidRPr="00835D95">
        <w:rPr>
          <w:rFonts w:eastAsia="Calibri"/>
          <w:b/>
          <w:bCs/>
          <w:sz w:val="26"/>
          <w:szCs w:val="26"/>
          <w:lang w:eastAsia="en-US"/>
        </w:rPr>
        <w:t>Información</w:t>
      </w:r>
      <w:r w:rsidRPr="00835D95">
        <w:rPr>
          <w:rFonts w:eastAsia="Calibri"/>
          <w:sz w:val="26"/>
          <w:szCs w:val="26"/>
          <w:lang w:eastAsia="en-US"/>
        </w:rPr>
        <w:t>, a la información sobre los Clientes y Usuarios de las Entidades, así como de operaciones de los mismos, y</w:t>
      </w:r>
    </w:p>
    <w:p w14:paraId="514AC040" w14:textId="77777777" w:rsidR="00835D95" w:rsidRPr="00835D95" w:rsidRDefault="00835D95" w:rsidP="002D3902">
      <w:pPr>
        <w:numPr>
          <w:ilvl w:val="0"/>
          <w:numId w:val="102"/>
        </w:numPr>
        <w:spacing w:after="360" w:line="360" w:lineRule="auto"/>
        <w:ind w:left="714" w:right="-159" w:hanging="357"/>
        <w:jc w:val="both"/>
        <w:rPr>
          <w:rFonts w:eastAsia="Calibri"/>
          <w:b/>
          <w:sz w:val="26"/>
          <w:szCs w:val="26"/>
          <w:lang w:eastAsia="en-US"/>
        </w:rPr>
      </w:pPr>
      <w:r w:rsidRPr="00835D95">
        <w:rPr>
          <w:rFonts w:eastAsia="Calibri"/>
          <w:b/>
          <w:bCs/>
          <w:sz w:val="26"/>
          <w:szCs w:val="26"/>
          <w:lang w:eastAsia="en-US"/>
        </w:rPr>
        <w:t>Unidad</w:t>
      </w:r>
      <w:r w:rsidRPr="00835D95">
        <w:rPr>
          <w:rFonts w:eastAsia="Calibri"/>
          <w:sz w:val="26"/>
          <w:szCs w:val="26"/>
          <w:lang w:eastAsia="en-US"/>
        </w:rPr>
        <w:t>, a la Unidad de Banca, Valores y Ahorro de la Secretaría.</w:t>
      </w:r>
    </w:p>
    <w:p w14:paraId="3BBE3C41"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Cs/>
          <w:sz w:val="26"/>
          <w:szCs w:val="26"/>
          <w:lang w:eastAsia="en-US"/>
        </w:rPr>
        <w:t>Artículo 2.</w:t>
      </w:r>
      <w:r w:rsidRPr="00835D95">
        <w:rPr>
          <w:rFonts w:eastAsia="Calibri"/>
          <w:b/>
          <w:bCs/>
          <w:sz w:val="26"/>
          <w:szCs w:val="26"/>
          <w:lang w:eastAsia="en-US"/>
        </w:rPr>
        <w:t xml:space="preserve"> </w:t>
      </w:r>
      <w:r w:rsidRPr="00835D95">
        <w:rPr>
          <w:rFonts w:eastAsia="Calibri"/>
          <w:sz w:val="26"/>
          <w:szCs w:val="26"/>
          <w:lang w:eastAsia="en-US"/>
        </w:rPr>
        <w:t xml:space="preserve">La Entidad Financiera Extranjera que quiera estar en posibilidades de ser determinada por la Secretaría a efecto de que las Entidades puedan intercambiar Información con ellas, deberán presentar ante la Unidad en atención a su Titular y en la dirección Insurgentes Sur 1971, Torre III, Piso 4, Colonia Guadalupe Inn, Delegación Álvaro Obregón, México D.F., C.P. 01020, un escrito libre en inglés o español firmado </w:t>
      </w:r>
      <w:r w:rsidRPr="00835D95">
        <w:rPr>
          <w:rFonts w:eastAsia="Calibri"/>
          <w:sz w:val="26"/>
          <w:szCs w:val="26"/>
          <w:lang w:eastAsia="en-US"/>
        </w:rPr>
        <w:lastRenderedPageBreak/>
        <w:t>por un representante legal o apoderado con facultades suficientes para ello, mediante el cual la Entidad Financiera Extranjera de que se trate, señale cuando menos lo siguiente:</w:t>
      </w:r>
    </w:p>
    <w:p w14:paraId="0C1A5DC3"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Su interés en ser determinada por la Secretaría como Entidad Financiera Extranjera que pueda intercambiar Información con las Entidades;</w:t>
      </w:r>
    </w:p>
    <w:p w14:paraId="6A8BB4A4"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Que no opera en alguno de los países que se encuentran previstos en las listas del GAFI, que comprenden:</w:t>
      </w:r>
    </w:p>
    <w:p w14:paraId="0C9DD744" w14:textId="77777777" w:rsidR="00835D95" w:rsidRPr="00835D95" w:rsidRDefault="00835D95" w:rsidP="002D3902">
      <w:pPr>
        <w:numPr>
          <w:ilvl w:val="0"/>
          <w:numId w:val="103"/>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jurisdicciones que presentan deficiencias en materia de prevención de operaciones con recursos de procedencia ilícita y financiamiento al terrorismo, y que no estén aplicando medidas para contrarrestar dichas deficiencias, o</w:t>
      </w:r>
    </w:p>
    <w:p w14:paraId="1E57FD75" w14:textId="77777777" w:rsidR="00835D95" w:rsidRPr="00835D95" w:rsidRDefault="00835D95" w:rsidP="002D3902">
      <w:pPr>
        <w:numPr>
          <w:ilvl w:val="0"/>
          <w:numId w:val="103"/>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jurisdicciones que presentan deficiencias en materia de prevención de operaciones con recursos de procedencia ilícita y financiamiento al terrorismo, y que no han registrado suficientes avances contra dichas deficiencias, ni han desarrollado un plan de acción en conjunto con el GAFI para remediar las deficiencias en cuestión;</w:t>
      </w:r>
    </w:p>
    <w:p w14:paraId="30A33C5C"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Que está debidamente regulada y supervisada como Entidad o figura análoga a la contemplada en la legislación mexicana, en la jurisdicción que le resulte aplicable conforme a su nacionalidad;</w:t>
      </w:r>
    </w:p>
    <w:p w14:paraId="014F5A83"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La dirección y/o correo electrónico para poder recibir notificaciones;</w:t>
      </w:r>
    </w:p>
    <w:p w14:paraId="5C4FF2D5"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Los cargos de aquellos funcionarios facultados para entablar comunicación con las autoridades mexicanas en lo que respecta al intercambio de Información y a la determinación correspondiente, y</w:t>
      </w:r>
    </w:p>
    <w:p w14:paraId="0223CBC5" w14:textId="77777777" w:rsidR="00835D95" w:rsidRPr="00835D95" w:rsidRDefault="00835D95" w:rsidP="002D3902">
      <w:pPr>
        <w:numPr>
          <w:ilvl w:val="0"/>
          <w:numId w:val="104"/>
        </w:numPr>
        <w:spacing w:after="360" w:line="360" w:lineRule="auto"/>
        <w:ind w:left="454" w:right="-159" w:hanging="454"/>
        <w:jc w:val="both"/>
        <w:rPr>
          <w:rFonts w:eastAsia="Calibri"/>
          <w:b/>
          <w:sz w:val="26"/>
          <w:szCs w:val="26"/>
          <w:lang w:eastAsia="en-US"/>
        </w:rPr>
      </w:pPr>
      <w:r w:rsidRPr="00835D95">
        <w:rPr>
          <w:rFonts w:eastAsia="Calibri"/>
          <w:sz w:val="26"/>
          <w:szCs w:val="26"/>
          <w:lang w:eastAsia="en-US"/>
        </w:rPr>
        <w:t>Que conoce la normatividad mexicana aplicable en materia de secreto bancario y protección de datos personales en posesión de particulares.</w:t>
      </w:r>
    </w:p>
    <w:p w14:paraId="324D0335"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lastRenderedPageBreak/>
        <w:t>La Secretaría podrá requerir a la Entidad Financiera Extranjera de que se trate, una traducción al español del escrito libre al que se hace referencia en el presente artículo, según sea el caso.</w:t>
      </w:r>
    </w:p>
    <w:p w14:paraId="4F80DC66"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Cs/>
          <w:sz w:val="26"/>
          <w:szCs w:val="26"/>
          <w:lang w:eastAsia="en-US"/>
        </w:rPr>
        <w:t xml:space="preserve">Artículo 3. </w:t>
      </w:r>
      <w:r w:rsidRPr="00835D95">
        <w:rPr>
          <w:rFonts w:eastAsia="Calibri"/>
          <w:sz w:val="26"/>
          <w:szCs w:val="26"/>
          <w:lang w:eastAsia="en-US"/>
        </w:rPr>
        <w:t>La Secretaría se reserva el derecho de requerir a la Entidad Financiera Extranjera de que se trate, cualquier otra información adicional a la mencionada en el artículo 2 de la presente Resolución; la posibilidad de modificar sus criterios para determinar a las Entidades Financieras Extranjeras que puedan intercambiar Información, así como las determinaciones que de los mismos emanen.</w:t>
      </w:r>
    </w:p>
    <w:p w14:paraId="1D94253A" w14:textId="77777777" w:rsidR="00835D95" w:rsidRPr="00835D95" w:rsidRDefault="00835D95" w:rsidP="00835D95">
      <w:pPr>
        <w:spacing w:after="360" w:line="360" w:lineRule="auto"/>
        <w:ind w:right="-159"/>
        <w:jc w:val="center"/>
        <w:rPr>
          <w:rFonts w:eastAsia="Calibri"/>
          <w:sz w:val="26"/>
          <w:szCs w:val="26"/>
          <w:lang w:eastAsia="en-US"/>
        </w:rPr>
      </w:pPr>
      <w:r w:rsidRPr="00835D95">
        <w:rPr>
          <w:rFonts w:eastAsia="Calibri"/>
          <w:b/>
          <w:sz w:val="26"/>
          <w:szCs w:val="26"/>
          <w:lang w:eastAsia="en-US"/>
        </w:rPr>
        <w:t>TRANSITORIO</w:t>
      </w:r>
    </w:p>
    <w:p w14:paraId="5764D253"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Cs/>
          <w:sz w:val="26"/>
          <w:szCs w:val="26"/>
          <w:lang w:eastAsia="en-US"/>
        </w:rPr>
        <w:t>ÚNICO.</w:t>
      </w:r>
      <w:r w:rsidRPr="00835D95">
        <w:rPr>
          <w:rFonts w:eastAsia="Calibri"/>
          <w:b/>
          <w:bCs/>
          <w:sz w:val="26"/>
          <w:szCs w:val="26"/>
          <w:lang w:eastAsia="en-US"/>
        </w:rPr>
        <w:t xml:space="preserve"> </w:t>
      </w:r>
      <w:r w:rsidRPr="00835D95">
        <w:rPr>
          <w:rFonts w:eastAsia="Calibri"/>
          <w:sz w:val="26"/>
          <w:szCs w:val="26"/>
          <w:lang w:eastAsia="en-US"/>
        </w:rPr>
        <w:t>La presente Resolución entrará en vigor al día siguiente al de su publicación en el Diario Oficial de la Federación.</w:t>
      </w:r>
    </w:p>
    <w:p w14:paraId="51E59317" w14:textId="77777777" w:rsidR="00835D95" w:rsidRPr="00835D95" w:rsidRDefault="00835D95" w:rsidP="00835D95">
      <w:pPr>
        <w:ind w:right="-159"/>
        <w:jc w:val="both"/>
        <w:rPr>
          <w:rFonts w:eastAsia="Calibri"/>
          <w:b/>
          <w:sz w:val="20"/>
          <w:szCs w:val="20"/>
          <w:lang w:eastAsia="en-US"/>
        </w:rPr>
      </w:pPr>
      <w:r w:rsidRPr="00835D95">
        <w:rPr>
          <w:rFonts w:eastAsia="Calibri"/>
          <w:b/>
          <w:sz w:val="20"/>
          <w:szCs w:val="20"/>
          <w:lang w:eastAsia="en-US"/>
        </w:rPr>
        <w:t>Fuente de información:</w:t>
      </w:r>
    </w:p>
    <w:p w14:paraId="6F48CA7F" w14:textId="77777777" w:rsidR="00835D95" w:rsidRPr="007B0259" w:rsidRDefault="0045651A" w:rsidP="00835D95">
      <w:pPr>
        <w:ind w:right="-159"/>
        <w:jc w:val="both"/>
        <w:rPr>
          <w:rFonts w:eastAsia="Calibri"/>
          <w:color w:val="0000FF"/>
          <w:sz w:val="20"/>
          <w:szCs w:val="20"/>
          <w:lang w:eastAsia="en-US"/>
        </w:rPr>
      </w:pPr>
      <w:hyperlink r:id="rId266" w:history="1">
        <w:r w:rsidR="00835D95" w:rsidRPr="007B0259">
          <w:rPr>
            <w:rFonts w:eastAsia="Calibri"/>
            <w:color w:val="0000FF"/>
            <w:sz w:val="20"/>
            <w:szCs w:val="20"/>
            <w:u w:val="single"/>
            <w:lang w:eastAsia="en-US"/>
          </w:rPr>
          <w:t>http://www.dof.gob.mx/nota_detalle.php?codigo=5388289&amp;fecha=09/04/2015</w:t>
        </w:r>
      </w:hyperlink>
      <w:r w:rsidR="00835D95" w:rsidRPr="007B0259">
        <w:rPr>
          <w:rFonts w:eastAsia="Calibri"/>
          <w:color w:val="0000FF"/>
          <w:sz w:val="20"/>
          <w:szCs w:val="20"/>
          <w:lang w:eastAsia="en-US"/>
        </w:rPr>
        <w:t xml:space="preserve"> </w:t>
      </w:r>
    </w:p>
    <w:p w14:paraId="568D4E9D" w14:textId="77777777" w:rsidR="00835D95" w:rsidRPr="007B0259" w:rsidRDefault="0045651A" w:rsidP="007B0259">
      <w:pPr>
        <w:spacing w:after="720"/>
        <w:ind w:right="-159"/>
        <w:jc w:val="both"/>
        <w:rPr>
          <w:rFonts w:eastAsia="Calibri"/>
          <w:color w:val="0000FF"/>
          <w:sz w:val="20"/>
          <w:szCs w:val="20"/>
          <w:lang w:eastAsia="en-US"/>
        </w:rPr>
      </w:pPr>
      <w:hyperlink r:id="rId267" w:history="1">
        <w:r w:rsidR="00835D95" w:rsidRPr="007B0259">
          <w:rPr>
            <w:rFonts w:eastAsia="Calibri"/>
            <w:color w:val="0000FF"/>
            <w:sz w:val="20"/>
            <w:szCs w:val="20"/>
            <w:u w:val="single"/>
            <w:lang w:eastAsia="en-US"/>
          </w:rPr>
          <w:t>http://imcp.org.mx/wp-content/uploads/2015/04/ANEXO-NOTICIAS-FISCALES-115.pdf</w:t>
        </w:r>
      </w:hyperlink>
      <w:r w:rsidR="00835D95" w:rsidRPr="007B0259">
        <w:rPr>
          <w:rFonts w:eastAsia="Calibri"/>
          <w:color w:val="0000FF"/>
          <w:sz w:val="20"/>
          <w:szCs w:val="20"/>
          <w:lang w:eastAsia="en-US"/>
        </w:rPr>
        <w:t xml:space="preserve"> </w:t>
      </w:r>
    </w:p>
    <w:p w14:paraId="15BEA038" w14:textId="77777777" w:rsidR="003B0529" w:rsidRPr="003B0529" w:rsidRDefault="003B0529" w:rsidP="003B0529">
      <w:pPr>
        <w:rPr>
          <w:rFonts w:eastAsia="Calibri"/>
          <w:b/>
          <w:sz w:val="26"/>
          <w:szCs w:val="26"/>
          <w:lang w:eastAsia="en-US"/>
        </w:rPr>
      </w:pPr>
      <w:r w:rsidRPr="003B0529">
        <w:rPr>
          <w:rFonts w:eastAsia="Calibri"/>
          <w:b/>
          <w:sz w:val="26"/>
          <w:szCs w:val="26"/>
          <w:lang w:eastAsia="en-US"/>
        </w:rPr>
        <w:t>La transformación de Bansefi  en</w:t>
      </w:r>
    </w:p>
    <w:p w14:paraId="4D154754" w14:textId="77777777" w:rsidR="003B0529" w:rsidRPr="003B0529" w:rsidRDefault="003B0529" w:rsidP="003B0529">
      <w:pPr>
        <w:rPr>
          <w:rFonts w:eastAsia="Calibri"/>
          <w:b/>
          <w:sz w:val="26"/>
          <w:szCs w:val="26"/>
          <w:lang w:eastAsia="en-US"/>
        </w:rPr>
      </w:pPr>
      <w:r w:rsidRPr="003B0529">
        <w:rPr>
          <w:rFonts w:eastAsia="Calibri"/>
          <w:b/>
          <w:sz w:val="26"/>
          <w:szCs w:val="26"/>
          <w:lang w:eastAsia="en-US"/>
        </w:rPr>
        <w:t>banca de primer piso sin impacto</w:t>
      </w:r>
    </w:p>
    <w:p w14:paraId="445E4A31" w14:textId="77777777" w:rsidR="003B0529" w:rsidRPr="003B0529" w:rsidRDefault="003B0529" w:rsidP="003B0529">
      <w:pPr>
        <w:spacing w:after="360" w:line="360" w:lineRule="auto"/>
        <w:ind w:right="-159"/>
        <w:jc w:val="both"/>
        <w:rPr>
          <w:rFonts w:eastAsia="Calibri"/>
          <w:b/>
          <w:sz w:val="26"/>
          <w:szCs w:val="26"/>
          <w:lang w:eastAsia="en-US"/>
        </w:rPr>
      </w:pPr>
      <w:r w:rsidRPr="003B0529">
        <w:rPr>
          <w:rFonts w:eastAsia="Calibri"/>
          <w:b/>
          <w:sz w:val="26"/>
          <w:szCs w:val="26"/>
          <w:lang w:eastAsia="en-US"/>
        </w:rPr>
        <w:t>en     sus    calificaciones    (Fitch)</w:t>
      </w:r>
    </w:p>
    <w:p w14:paraId="70510A1F" w14:textId="77777777" w:rsidR="003B0529" w:rsidRPr="003B0529" w:rsidRDefault="003B0529" w:rsidP="003B0529">
      <w:pPr>
        <w:spacing w:after="360" w:line="360" w:lineRule="auto"/>
        <w:ind w:right="-159"/>
        <w:jc w:val="both"/>
        <w:rPr>
          <w:rFonts w:eastAsia="Calibri"/>
          <w:sz w:val="26"/>
          <w:szCs w:val="26"/>
          <w:lang w:eastAsia="en-US"/>
        </w:rPr>
      </w:pPr>
      <w:r w:rsidRPr="003B0529">
        <w:rPr>
          <w:rFonts w:eastAsia="Calibri"/>
          <w:sz w:val="26"/>
          <w:szCs w:val="26"/>
          <w:lang w:eastAsia="en-US"/>
        </w:rPr>
        <w:t>El 31 de marzo de 2015, la casa calificadora Fitch Ratings comunicó que las calificaciones “AAA(mex)” y “F1+(mex)” del Banco del Ahorro Nacional y Servicios Financieros, S.N.C. (Bansefi) no se verán afectadas ante la evolución de su modelo de negocio para operar como banca de primer piso. Lo anterior dado que dichas calificaciones están fundamentadas en el soporte explícito otorgado por el Gobierno Federal establecido en la ley orgánica del banco.</w:t>
      </w:r>
    </w:p>
    <w:p w14:paraId="6FFE3CAC" w14:textId="77777777" w:rsidR="003B0529" w:rsidRPr="003B0529" w:rsidRDefault="003B0529" w:rsidP="003B0529">
      <w:pPr>
        <w:spacing w:after="360" w:line="360" w:lineRule="auto"/>
        <w:ind w:right="-159"/>
        <w:jc w:val="both"/>
        <w:rPr>
          <w:rFonts w:eastAsia="Calibri"/>
          <w:sz w:val="26"/>
          <w:szCs w:val="26"/>
          <w:lang w:eastAsia="en-US"/>
        </w:rPr>
      </w:pPr>
      <w:r w:rsidRPr="003B0529">
        <w:rPr>
          <w:rFonts w:eastAsia="Calibri"/>
          <w:sz w:val="26"/>
          <w:szCs w:val="26"/>
          <w:lang w:eastAsia="en-US"/>
        </w:rPr>
        <w:t xml:space="preserve">La reforma financiera modificó el mandato de la entidad con el fin de que opere como el instrumento principal del Estado en materia de inclusión financiera. Por lo anterior </w:t>
      </w:r>
      <w:r w:rsidRPr="003B0529">
        <w:rPr>
          <w:rFonts w:eastAsia="Calibri"/>
          <w:sz w:val="26"/>
          <w:szCs w:val="26"/>
          <w:lang w:eastAsia="en-US"/>
        </w:rPr>
        <w:lastRenderedPageBreak/>
        <w:t>se le facultó para otorgar créditos en forma directa y no sólo a través de las cajas de ahorro, cooperativas y sociedades financieras populares. Durante 2014, Bansefi incursionó en el crédito minorista con descuento vía nómina a través de un programa de refinanciamiento para trabajadores del sector educativo. Su cartera de consumo creció hasta 670 millones de pesos al cierre de 2014.</w:t>
      </w:r>
    </w:p>
    <w:p w14:paraId="076A849B" w14:textId="350AE950" w:rsidR="003B0529" w:rsidRPr="003B0529" w:rsidRDefault="003B0529" w:rsidP="003B0529">
      <w:pPr>
        <w:spacing w:after="360" w:line="360" w:lineRule="auto"/>
        <w:ind w:right="-159"/>
        <w:jc w:val="both"/>
        <w:rPr>
          <w:rFonts w:eastAsia="Calibri"/>
          <w:sz w:val="26"/>
          <w:szCs w:val="26"/>
          <w:lang w:eastAsia="en-US"/>
        </w:rPr>
      </w:pPr>
      <w:r w:rsidRPr="003B0529">
        <w:rPr>
          <w:rFonts w:eastAsia="Calibri"/>
          <w:sz w:val="26"/>
          <w:szCs w:val="26"/>
          <w:lang w:eastAsia="en-US"/>
        </w:rPr>
        <w:t>Para 2015, la entidad planea colocar hasta 5 mil millones de pesos en préstamos, entre los cuales se encuentra una porción importante de microcréditos directos en un rango de entre 4 y 6 mil pesos. Actualmente Bansefi gestiona la distribución de recursos a las beneficiarias del Programa Prospera (antes Oportunidades); las cuales serían su mercado objetivo inicial para cumplir sus metas de crecimiento. Hacia finales de 2014, en coordinación con la Secretar</w:t>
      </w:r>
      <w:r w:rsidR="00180143">
        <w:rPr>
          <w:rFonts w:eastAsia="Calibri"/>
          <w:sz w:val="26"/>
          <w:szCs w:val="26"/>
          <w:lang w:eastAsia="en-US"/>
        </w:rPr>
        <w:t>í</w:t>
      </w:r>
      <w:r w:rsidRPr="003B0529">
        <w:rPr>
          <w:rFonts w:eastAsia="Calibri"/>
          <w:sz w:val="26"/>
          <w:szCs w:val="26"/>
          <w:lang w:eastAsia="en-US"/>
        </w:rPr>
        <w:t>a de Desarrollo Social, lanzó su plan de tarjeta de débito que les permitirá ofrecer un ahorro programado, solicitudes de créditos desde 500 pesos hasta 2 mil pesos con una tasa anunciada de 9.99% anual, descuento directo de los pagos sobre sus apoyos y educación financiera, entre otros beneficios.</w:t>
      </w:r>
    </w:p>
    <w:p w14:paraId="1C6DD400" w14:textId="77777777" w:rsidR="003B0529" w:rsidRPr="003B0529" w:rsidRDefault="003B0529" w:rsidP="003B0529">
      <w:pPr>
        <w:spacing w:after="360" w:line="360" w:lineRule="auto"/>
        <w:ind w:right="-159"/>
        <w:jc w:val="both"/>
        <w:rPr>
          <w:rFonts w:eastAsia="Calibri"/>
          <w:sz w:val="26"/>
          <w:szCs w:val="26"/>
          <w:lang w:eastAsia="en-US"/>
        </w:rPr>
      </w:pPr>
      <w:r w:rsidRPr="003B0529">
        <w:rPr>
          <w:rFonts w:eastAsia="Calibri"/>
          <w:sz w:val="26"/>
          <w:szCs w:val="26"/>
          <w:lang w:eastAsia="en-US"/>
        </w:rPr>
        <w:t>Fitch anticipa un crecimiento en el portafolio crediticio de la entidad. Sin embargo, el efecto en el perfil financiero general de Bansefi dependerá de su apetito de riesgo durante su incursión en este segmento nuevo, además del establecimiento de procesos y políticas robustos para otorgar y recuperar créditos. Fitch considera que la base de depósitos estable y recurrente con la que cuenta Bansefi es suficiente para financiar el crecimiento planeado de los créditos en los próximos años.</w:t>
      </w:r>
    </w:p>
    <w:p w14:paraId="3C6AC57D" w14:textId="77777777" w:rsidR="003B0529" w:rsidRPr="003B0529" w:rsidRDefault="003B0529" w:rsidP="003B0529">
      <w:pPr>
        <w:spacing w:after="360" w:line="360" w:lineRule="auto"/>
        <w:ind w:right="-159"/>
        <w:jc w:val="both"/>
        <w:rPr>
          <w:rFonts w:eastAsia="Calibri"/>
          <w:sz w:val="26"/>
          <w:szCs w:val="26"/>
          <w:lang w:eastAsia="en-US"/>
        </w:rPr>
      </w:pPr>
      <w:r w:rsidRPr="003B0529">
        <w:rPr>
          <w:rFonts w:eastAsia="Calibri"/>
          <w:sz w:val="26"/>
          <w:szCs w:val="26"/>
          <w:lang w:eastAsia="en-US"/>
        </w:rPr>
        <w:t xml:space="preserve">Por otro lado, la agencia no espera un impacto inmediato sustancial en las empresas especializadas en aquellos segmentos en los que Bansefi reforzaría su presencia, tales como Banco Compartamos, Consubanco y Crediamigo, entre otras. No obstante, Fitch considera que en el mediano plazo la presión competitiva se podría incrementar en la medida en que Bansefi, bajo su nueva marca “Banco Social”, tome experiencia y expanda sus programas de crédito y captación. El nivel de presión sobre la competencia </w:t>
      </w:r>
      <w:r w:rsidRPr="003B0529">
        <w:rPr>
          <w:rFonts w:eastAsia="Calibri"/>
          <w:sz w:val="26"/>
          <w:szCs w:val="26"/>
          <w:lang w:eastAsia="en-US"/>
        </w:rPr>
        <w:lastRenderedPageBreak/>
        <w:t>dependerá también de las tasas de interés que la entidad defina para sus productos en el futuro, así como de su capacidad para replicar el conocimiento amplio y las fortalezas operativas que dichos jugadores han desarrollado en sus mercados respectivos.</w:t>
      </w:r>
    </w:p>
    <w:p w14:paraId="67271CCE" w14:textId="77777777" w:rsidR="003B0529" w:rsidRPr="003B0529" w:rsidRDefault="003B0529" w:rsidP="003B0529">
      <w:pPr>
        <w:ind w:right="-159"/>
        <w:jc w:val="both"/>
        <w:rPr>
          <w:rFonts w:eastAsia="Calibri"/>
          <w:sz w:val="20"/>
          <w:szCs w:val="20"/>
          <w:lang w:eastAsia="en-US"/>
        </w:rPr>
      </w:pPr>
      <w:r w:rsidRPr="003B0529">
        <w:rPr>
          <w:rFonts w:eastAsia="Calibri"/>
          <w:b/>
          <w:sz w:val="20"/>
          <w:szCs w:val="20"/>
          <w:lang w:eastAsia="en-US"/>
        </w:rPr>
        <w:t>Fuente de información</w:t>
      </w:r>
      <w:r w:rsidRPr="003B0529">
        <w:rPr>
          <w:rFonts w:eastAsia="Calibri"/>
          <w:sz w:val="20"/>
          <w:szCs w:val="20"/>
          <w:lang w:eastAsia="en-US"/>
        </w:rPr>
        <w:t>:</w:t>
      </w:r>
    </w:p>
    <w:p w14:paraId="62890737" w14:textId="77777777" w:rsidR="003B0529" w:rsidRPr="007B0259" w:rsidRDefault="0045651A" w:rsidP="007B0259">
      <w:pPr>
        <w:spacing w:after="720"/>
        <w:ind w:right="-159"/>
        <w:jc w:val="both"/>
        <w:rPr>
          <w:rFonts w:eastAsia="Calibri"/>
          <w:color w:val="0000FF"/>
          <w:sz w:val="20"/>
          <w:szCs w:val="20"/>
          <w:lang w:eastAsia="en-US"/>
        </w:rPr>
      </w:pPr>
      <w:hyperlink r:id="rId268" w:history="1">
        <w:r w:rsidR="003B0529" w:rsidRPr="007B0259">
          <w:rPr>
            <w:rFonts w:eastAsia="Calibri"/>
            <w:color w:val="0000FF"/>
            <w:sz w:val="20"/>
            <w:szCs w:val="20"/>
            <w:u w:val="single"/>
            <w:lang w:eastAsia="en-US"/>
          </w:rPr>
          <w:t>http://www.fitchratings.mx/ArchivosHTML/Coment_13972.pdf</w:t>
        </w:r>
      </w:hyperlink>
    </w:p>
    <w:p w14:paraId="7F4A715E" w14:textId="77777777" w:rsidR="001C7F15" w:rsidRPr="001C7F15" w:rsidRDefault="001C7F15" w:rsidP="001C7F15">
      <w:pPr>
        <w:spacing w:after="360" w:line="360" w:lineRule="auto"/>
        <w:ind w:right="-159"/>
        <w:jc w:val="both"/>
        <w:rPr>
          <w:rFonts w:eastAsia="Calibri"/>
          <w:b/>
          <w:sz w:val="26"/>
          <w:szCs w:val="26"/>
          <w:lang w:eastAsia="en-US"/>
        </w:rPr>
      </w:pPr>
      <w:r w:rsidRPr="001C7F15">
        <w:rPr>
          <w:rFonts w:eastAsia="Calibri"/>
          <w:b/>
          <w:sz w:val="26"/>
          <w:szCs w:val="26"/>
          <w:lang w:eastAsia="en-US"/>
        </w:rPr>
        <w:t xml:space="preserve">Indicadores básicos de tarjeta de crédito </w:t>
      </w:r>
      <w:r w:rsidRPr="001C7F15">
        <w:rPr>
          <w:rFonts w:eastAsia="Calibri"/>
          <w:b/>
          <w:bCs/>
          <w:sz w:val="26"/>
          <w:szCs w:val="26"/>
          <w:lang w:eastAsia="en-US"/>
        </w:rPr>
        <w:t>(Banxico)</w:t>
      </w:r>
    </w:p>
    <w:p w14:paraId="65EC1FE7" w14:textId="77777777" w:rsidR="001C7F15" w:rsidRPr="001C7F15" w:rsidRDefault="001C7F15" w:rsidP="001C7F15">
      <w:pPr>
        <w:spacing w:after="360" w:line="360" w:lineRule="auto"/>
        <w:ind w:right="-159"/>
        <w:jc w:val="both"/>
        <w:rPr>
          <w:rFonts w:eastAsia="Calibri"/>
          <w:sz w:val="26"/>
          <w:szCs w:val="26"/>
          <w:lang w:eastAsia="en-US"/>
        </w:rPr>
      </w:pPr>
      <w:r w:rsidRPr="001C7F15">
        <w:rPr>
          <w:rFonts w:eastAsia="Calibri"/>
          <w:sz w:val="26"/>
          <w:szCs w:val="26"/>
          <w:lang w:eastAsia="en-US"/>
        </w:rPr>
        <w:t>El 15 de abril de 2015, el Banco de México (Banxico) publicó los Indicadores básicos de tarjeta de crédito con datos a agosto de 2014. A continuación se presenta el Resumen y los rasgos relevantes del documento de Banco de México.</w:t>
      </w:r>
    </w:p>
    <w:p w14:paraId="2E90CB64" w14:textId="77777777" w:rsidR="001C7F15" w:rsidRPr="001C7F15" w:rsidRDefault="001C7F15" w:rsidP="001C7F15">
      <w:pPr>
        <w:spacing w:after="360" w:line="360" w:lineRule="auto"/>
        <w:ind w:right="-159"/>
        <w:jc w:val="both"/>
        <w:rPr>
          <w:rFonts w:eastAsia="Calibri"/>
          <w:b/>
          <w:sz w:val="26"/>
          <w:szCs w:val="26"/>
          <w:lang w:eastAsia="en-US"/>
        </w:rPr>
      </w:pPr>
      <w:r w:rsidRPr="001C7F15">
        <w:rPr>
          <w:rFonts w:eastAsia="Calibri"/>
          <w:b/>
          <w:sz w:val="26"/>
          <w:szCs w:val="26"/>
          <w:lang w:eastAsia="en-US"/>
        </w:rPr>
        <w:t>Indicadores básicos de tarjeta de crédito</w:t>
      </w:r>
    </w:p>
    <w:p w14:paraId="03D79971" w14:textId="77777777" w:rsidR="001C7F15" w:rsidRPr="001C7F15" w:rsidRDefault="001C7F15" w:rsidP="00667577">
      <w:pPr>
        <w:numPr>
          <w:ilvl w:val="0"/>
          <w:numId w:val="185"/>
        </w:num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Resumen</w:t>
      </w:r>
    </w:p>
    <w:p w14:paraId="01263CED"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Este reporte</w:t>
      </w:r>
      <w:r w:rsidRPr="001C7F15">
        <w:rPr>
          <w:rFonts w:eastAsia="Times New Roman"/>
          <w:bCs/>
          <w:sz w:val="26"/>
          <w:szCs w:val="26"/>
          <w:vertAlign w:val="superscript"/>
          <w:lang w:val="es-ES"/>
        </w:rPr>
        <w:footnoteReference w:id="41"/>
      </w:r>
      <w:r w:rsidRPr="001C7F15">
        <w:rPr>
          <w:rFonts w:eastAsia="Times New Roman"/>
          <w:bCs/>
          <w:sz w:val="26"/>
          <w:szCs w:val="26"/>
          <w:lang w:val="es-ES"/>
        </w:rPr>
        <w:t xml:space="preserve"> presenta indicadores básicos sobre tasas de interés y comisiones en el mercado de tarjetas de crédito</w:t>
      </w:r>
      <w:r w:rsidRPr="001C7F15">
        <w:rPr>
          <w:rFonts w:eastAsia="Times New Roman"/>
          <w:bCs/>
          <w:sz w:val="26"/>
          <w:szCs w:val="26"/>
          <w:vertAlign w:val="superscript"/>
          <w:lang w:val="es-ES"/>
        </w:rPr>
        <w:footnoteReference w:id="42"/>
      </w:r>
      <w:r w:rsidRPr="001C7F15">
        <w:rPr>
          <w:rFonts w:eastAsia="Times New Roman"/>
          <w:bCs/>
          <w:sz w:val="26"/>
          <w:szCs w:val="26"/>
          <w:lang w:val="es-ES"/>
        </w:rPr>
        <w:t>, con el objeto de proporcionar al público en general y a los analistas financieros elementos para comparar y dar seguimiento al costo de este servicio.</w:t>
      </w:r>
    </w:p>
    <w:p w14:paraId="32FBFE68"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 xml:space="preserve">El reporte incluye información agregada del sistema y de los intermediarios bancarios y otros intermediarios regulados asociados a un banco que emiten tarjetas de crédito. A fin de que las personas puedan identificar las tarjetas de crédito de menor costo, se presenta el costo anual total (CAT) para los segmentos de mercado de tarjetas </w:t>
      </w:r>
      <w:r w:rsidRPr="001C7F15">
        <w:rPr>
          <w:rFonts w:eastAsia="Times New Roman"/>
          <w:bCs/>
          <w:sz w:val="26"/>
          <w:szCs w:val="26"/>
          <w:lang w:val="es-ES"/>
        </w:rPr>
        <w:lastRenderedPageBreak/>
        <w:t>“Clásicas”, “Oro” y “Platino” o sus equivalentes. Adicionalmente, con la intención de facilitar la comparación del costo del crédito entre productos, se presenta una clasificación detallada para las tarjetas “Clásicas”, de acuerdo a su límite de crédito.</w:t>
      </w:r>
    </w:p>
    <w:p w14:paraId="085B9901"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Los datos reportados corresponden solamente a las tarjetas de aceptación generalizada, otorgadas a personas físicas, que se encuentran al corriente en sus pagos y que durante el mes reportado, utilizan su tarjeta de crédito.</w:t>
      </w:r>
    </w:p>
    <w:p w14:paraId="3D096357"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Los resultados más relevantes en agosto de 2014 son los siguientes:</w:t>
      </w:r>
    </w:p>
    <w:p w14:paraId="2C34C3A1"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1.1</w:t>
      </w:r>
      <w:r w:rsidRPr="001C7F15">
        <w:rPr>
          <w:rFonts w:eastAsia="Times New Roman"/>
          <w:b/>
          <w:bCs/>
          <w:sz w:val="26"/>
          <w:szCs w:val="26"/>
          <w:lang w:val="es-ES"/>
        </w:rPr>
        <w:tab/>
        <w:t>Para todo tipo de cliente (“totaleros” y “no totaleros”)</w:t>
      </w:r>
      <w:r w:rsidRPr="001C7F15">
        <w:rPr>
          <w:rFonts w:eastAsia="Times New Roman"/>
          <w:b/>
          <w:bCs/>
          <w:sz w:val="26"/>
          <w:szCs w:val="26"/>
          <w:vertAlign w:val="superscript"/>
          <w:lang w:val="es-ES"/>
        </w:rPr>
        <w:footnoteReference w:id="43"/>
      </w:r>
    </w:p>
    <w:p w14:paraId="7F41D080" w14:textId="77777777" w:rsidR="001C7F15" w:rsidRPr="001C7F15" w:rsidRDefault="001C7F15" w:rsidP="00667577">
      <w:pPr>
        <w:numPr>
          <w:ilvl w:val="0"/>
          <w:numId w:val="184"/>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De agosto de 2013 a agosto de 2014, la tasa de interés efectiva promedio ponderada (TEPP)</w:t>
      </w:r>
      <w:r w:rsidRPr="001C7F15">
        <w:rPr>
          <w:rFonts w:eastAsia="Times New Roman"/>
          <w:bCs/>
          <w:sz w:val="26"/>
          <w:szCs w:val="26"/>
          <w:vertAlign w:val="superscript"/>
          <w:lang w:val="es-ES"/>
        </w:rPr>
        <w:footnoteReference w:id="44"/>
      </w:r>
      <w:r w:rsidRPr="001C7F15">
        <w:rPr>
          <w:rFonts w:eastAsia="Times New Roman"/>
          <w:bCs/>
          <w:sz w:val="26"/>
          <w:szCs w:val="26"/>
          <w:lang w:val="es-ES"/>
        </w:rPr>
        <w:t xml:space="preserve"> se mantuvo prácticamente estable, pasando de 24.1 a 24.2% (cuadro “</w:t>
      </w:r>
      <w:r w:rsidRPr="001C7F15">
        <w:rPr>
          <w:rFonts w:eastAsia="Times New Roman"/>
          <w:bCs/>
          <w:sz w:val="26"/>
          <w:szCs w:val="26"/>
        </w:rPr>
        <w:t>Información Básica para los Clientes Totaleros y no Totaleros”</w:t>
      </w:r>
      <w:r w:rsidRPr="001C7F15">
        <w:rPr>
          <w:rFonts w:eastAsia="Times New Roman"/>
          <w:bCs/>
          <w:sz w:val="26"/>
          <w:szCs w:val="26"/>
          <w:lang w:val="es-ES"/>
        </w:rPr>
        <w:t>, gráfica “</w:t>
      </w:r>
      <w:r w:rsidRPr="001C7F15">
        <w:rPr>
          <w:rFonts w:eastAsia="Times New Roman"/>
          <w:bCs/>
          <w:sz w:val="26"/>
          <w:szCs w:val="26"/>
        </w:rPr>
        <w:t>Evolución de Diferentes Tasas de Interés Efectivas para el Sistema”</w:t>
      </w:r>
      <w:r w:rsidRPr="001C7F15">
        <w:rPr>
          <w:rFonts w:eastAsia="Times New Roman"/>
          <w:bCs/>
          <w:sz w:val="26"/>
          <w:szCs w:val="26"/>
          <w:lang w:val="es-ES"/>
        </w:rPr>
        <w:t>). Entre las instituciones con más de 100 mil tarjetas, las que presentaron los mayores incrementos en su TEPP en ese lapso fueron: BBVA Bancomer (aumento de 240 puntos base al pasar de 25.7 a 28.1%), Inbursa (aumento de 110 puntos base al pasar de 22.6 a 23.7% y Banorte-Ixe Tarjetas (incremento de 70 puntos base al pasar de 24.1 a 24.8 por ciento).</w:t>
      </w:r>
    </w:p>
    <w:p w14:paraId="1AE8B69D" w14:textId="77777777" w:rsidR="001C7F15" w:rsidRPr="001C7F15" w:rsidRDefault="001C7F15" w:rsidP="00667577">
      <w:pPr>
        <w:numPr>
          <w:ilvl w:val="0"/>
          <w:numId w:val="184"/>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Durante el mismo período, el número de tarjetas disminuyó 0.3% (cuadros “</w:t>
      </w:r>
      <w:r w:rsidRPr="001C7F15">
        <w:rPr>
          <w:rFonts w:eastAsia="Times New Roman"/>
          <w:bCs/>
          <w:sz w:val="26"/>
          <w:szCs w:val="26"/>
        </w:rPr>
        <w:t>Información Básica para los Clientes Totaleros y no Totaleros”</w:t>
      </w:r>
      <w:r w:rsidRPr="001C7F15">
        <w:rPr>
          <w:rFonts w:eastAsia="Times New Roman"/>
          <w:bCs/>
          <w:sz w:val="26"/>
          <w:szCs w:val="26"/>
          <w:lang w:val="es-ES"/>
        </w:rPr>
        <w:t>).</w:t>
      </w:r>
    </w:p>
    <w:p w14:paraId="6CB25F1A" w14:textId="77777777" w:rsidR="001C7F15" w:rsidRPr="001C7F15" w:rsidRDefault="001C7F15" w:rsidP="00667577">
      <w:pPr>
        <w:numPr>
          <w:ilvl w:val="0"/>
          <w:numId w:val="184"/>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lastRenderedPageBreak/>
        <w:t>El saldo de crédito de las tarjetas incluidas en esta publicación bajó 1.3% en términos reales de agosto de 2013 al mismo mes de 2014 (cuadro “</w:t>
      </w:r>
      <w:r w:rsidRPr="001C7F15">
        <w:rPr>
          <w:rFonts w:eastAsia="Times New Roman"/>
          <w:bCs/>
          <w:sz w:val="26"/>
          <w:szCs w:val="26"/>
        </w:rPr>
        <w:t>Información Básica para los Clientes Totaleros y no Totaleros”</w:t>
      </w:r>
      <w:r w:rsidRPr="001C7F15">
        <w:rPr>
          <w:rFonts w:eastAsia="Times New Roman"/>
          <w:bCs/>
          <w:sz w:val="26"/>
          <w:szCs w:val="26"/>
          <w:lang w:val="es-ES"/>
        </w:rPr>
        <w:t>).</w:t>
      </w:r>
    </w:p>
    <w:p w14:paraId="11F75FE2" w14:textId="77777777" w:rsidR="001C7F15" w:rsidRPr="001C7F15" w:rsidRDefault="001C7F15" w:rsidP="00667577">
      <w:pPr>
        <w:numPr>
          <w:ilvl w:val="0"/>
          <w:numId w:val="184"/>
        </w:numPr>
        <w:spacing w:after="360" w:line="360" w:lineRule="auto"/>
        <w:ind w:right="-159"/>
        <w:jc w:val="both"/>
        <w:rPr>
          <w:rFonts w:eastAsia="Times New Roman"/>
          <w:bCs/>
          <w:sz w:val="26"/>
          <w:szCs w:val="26"/>
          <w:lang w:val="es-ES"/>
        </w:rPr>
      </w:pPr>
      <w:r w:rsidRPr="001C7F15">
        <w:rPr>
          <w:rFonts w:eastAsia="Times New Roman"/>
          <w:bCs/>
          <w:sz w:val="26"/>
          <w:szCs w:val="26"/>
          <w:lang w:val="es-ES"/>
        </w:rPr>
        <w:t>En agosto de 2014, el 27.2% del saldo de crédito total no causó intereses debido a que se otorgó a través de promociones a tasa cero o a clientes “totaleros” que no pagan intereses, el 19.7% del crédito se concedió a tasas de interés preferenciales y el restante 53.2% se otorgó a tasas de interés sin promociones (gráfica “Porcentaje del Saldo de Crédito Otorgado a los Clientes Totaleros y no Totaleros con y sin Promociones”).</w:t>
      </w:r>
    </w:p>
    <w:p w14:paraId="5A262942" w14:textId="77777777" w:rsidR="001C7F15" w:rsidRPr="001C7F15" w:rsidRDefault="001C7F15" w:rsidP="00667577">
      <w:pPr>
        <w:numPr>
          <w:ilvl w:val="0"/>
          <w:numId w:val="184"/>
        </w:numPr>
        <w:spacing w:after="360" w:line="360" w:lineRule="auto"/>
        <w:ind w:right="-159"/>
        <w:jc w:val="both"/>
        <w:rPr>
          <w:rFonts w:eastAsia="Times New Roman"/>
          <w:bCs/>
          <w:sz w:val="26"/>
          <w:szCs w:val="26"/>
          <w:lang w:val="es-ES"/>
        </w:rPr>
      </w:pPr>
      <w:r w:rsidRPr="001C7F15">
        <w:rPr>
          <w:rFonts w:eastAsia="Times New Roman"/>
          <w:bCs/>
          <w:sz w:val="26"/>
          <w:szCs w:val="26"/>
          <w:lang w:val="es-ES"/>
        </w:rPr>
        <w:t>Durante el último año, el monto de crédito utilizado por los clientes “totaleros” aumentó de 20.1 a 20.3% del total. A su vez, el número de clientes “totaleros” aumentó de 42.7 a 44.0% del total (cuadro “Porcentajes del Saldo de Crédito Otorgado y del Número de Tarjetas, para Clientes Totaleros y no Totaleros”).</w:t>
      </w:r>
    </w:p>
    <w:p w14:paraId="05099FBF" w14:textId="77777777" w:rsidR="001C7F15" w:rsidRPr="001C7F15" w:rsidRDefault="001C7F15" w:rsidP="00667577">
      <w:pPr>
        <w:numPr>
          <w:ilvl w:val="0"/>
          <w:numId w:val="184"/>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En dicho período, la proporción de crédito otorgado mediante promociones sin intereses aumentó de 16.7 a 17.1% del saldo de crédito total.</w:t>
      </w:r>
    </w:p>
    <w:p w14:paraId="5D4222E6" w14:textId="77777777" w:rsidR="001C7F15" w:rsidRPr="001C7F15" w:rsidRDefault="001C7F15" w:rsidP="00667577">
      <w:pPr>
        <w:numPr>
          <w:ilvl w:val="0"/>
          <w:numId w:val="184"/>
        </w:numPr>
        <w:spacing w:after="360" w:line="360" w:lineRule="auto"/>
        <w:ind w:right="-159"/>
        <w:jc w:val="both"/>
        <w:rPr>
          <w:rFonts w:eastAsia="Times New Roman"/>
          <w:bCs/>
          <w:sz w:val="26"/>
          <w:szCs w:val="26"/>
          <w:lang w:val="es-ES"/>
        </w:rPr>
      </w:pPr>
      <w:r w:rsidRPr="001C7F15">
        <w:rPr>
          <w:rFonts w:eastAsia="Times New Roman"/>
          <w:bCs/>
          <w:sz w:val="26"/>
          <w:szCs w:val="26"/>
          <w:lang w:val="es-ES"/>
        </w:rPr>
        <w:t>Durante agosto de 2014 la mitad del crédito se concedió a tasas menores o iguales a 23.0 por ciento (cuadro “Estadísticas Básicas del Sistema para Clientes Totaleros y no Totaleros” y gráficas “Distribución Porcentual del Saldo de Crédito Otorgado por Tasa de Interés Efectiva” y “Distribución Acumulada del Saldo de Crédito Otorgado por Tasa de Interés Efectiva”).</w:t>
      </w:r>
    </w:p>
    <w:p w14:paraId="4D41BA74" w14:textId="77777777" w:rsidR="001C7F15" w:rsidRPr="001C7F15" w:rsidRDefault="001C7F15" w:rsidP="00667577">
      <w:pPr>
        <w:numPr>
          <w:ilvl w:val="0"/>
          <w:numId w:val="184"/>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En agosto de 2014, solamente 7.2% de la cartera se otorgó a tasas mayores al 50 por ciento (gráficas “Distribución Porcentual del Saldo de Crédito Otorgado por Tasa de Interés Efectiva” y “Distribución Acumulada del Saldo de Crédito Otorgado por Tasa de Interés Efectiva”).</w:t>
      </w:r>
    </w:p>
    <w:p w14:paraId="6D9AD95E"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lastRenderedPageBreak/>
        <w:t>1.2</w:t>
      </w:r>
      <w:r w:rsidRPr="001C7F15">
        <w:rPr>
          <w:rFonts w:eastAsia="Times New Roman"/>
          <w:b/>
          <w:bCs/>
          <w:sz w:val="26"/>
          <w:szCs w:val="26"/>
          <w:lang w:val="es-ES"/>
        </w:rPr>
        <w:tab/>
        <w:t>Para clientes “no totaleros”, que son los que pagan intereses:</w:t>
      </w:r>
    </w:p>
    <w:p w14:paraId="6891D432" w14:textId="77777777" w:rsidR="001C7F15" w:rsidRPr="001C7F15" w:rsidRDefault="001C7F15" w:rsidP="00667577">
      <w:pPr>
        <w:numPr>
          <w:ilvl w:val="1"/>
          <w:numId w:val="186"/>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En el último año, la TEPP se mantuvo prácticamente estable en 30.3% en agosto de 2014 (cuadro “</w:t>
      </w:r>
      <w:r w:rsidRPr="001C7F15">
        <w:rPr>
          <w:rFonts w:eastAsia="Times New Roman"/>
          <w:bCs/>
          <w:sz w:val="26"/>
          <w:szCs w:val="26"/>
        </w:rPr>
        <w:t>Información Básica para los Clientes no Totaleros”</w:t>
      </w:r>
      <w:r w:rsidRPr="001C7F15">
        <w:rPr>
          <w:rFonts w:eastAsia="Times New Roman"/>
          <w:bCs/>
          <w:sz w:val="26"/>
          <w:szCs w:val="26"/>
          <w:lang w:val="es-ES"/>
        </w:rPr>
        <w:t xml:space="preserve"> y gráfica “</w:t>
      </w:r>
      <w:r w:rsidRPr="001C7F15">
        <w:rPr>
          <w:rFonts w:eastAsia="Times New Roman"/>
          <w:bCs/>
          <w:sz w:val="26"/>
          <w:szCs w:val="26"/>
        </w:rPr>
        <w:t>Evolución de Diferentes Tasas de Interés Efectivas para el Sistema”</w:t>
      </w:r>
      <w:r w:rsidRPr="001C7F15">
        <w:rPr>
          <w:rFonts w:eastAsia="Times New Roman"/>
          <w:bCs/>
          <w:sz w:val="26"/>
          <w:szCs w:val="26"/>
          <w:lang w:val="es-ES"/>
        </w:rPr>
        <w:t>). Entre las instituciones con más de 100 mil tarjetas, las que presentaron los mayores incrementos en su TEPP en ese lapso fueron: BBVA Bancomer (aumento de 260 puntos base al pasar de 27.3 a 29.9%), Inbursa (aumento de 170 puntos base al pasar de 27.3 a 29.0%) y Banorte-Ixe Tarjetas (incremento de 50 puntos base al pasar de 29.8 a 30.3 por ciento).</w:t>
      </w:r>
    </w:p>
    <w:p w14:paraId="3D86757B" w14:textId="77777777" w:rsidR="001C7F15" w:rsidRPr="001C7F15" w:rsidRDefault="001C7F15" w:rsidP="00667577">
      <w:pPr>
        <w:numPr>
          <w:ilvl w:val="1"/>
          <w:numId w:val="186"/>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En agosto de 2014, los bancos con la TEPP más baja fueron: Banco del Bajío (24.0%); Santander (26.1%) y Banregio (27.5%) (cuadro “</w:t>
      </w:r>
      <w:r w:rsidRPr="001C7F15">
        <w:rPr>
          <w:rFonts w:eastAsia="Times New Roman"/>
          <w:bCs/>
          <w:sz w:val="26"/>
          <w:szCs w:val="26"/>
        </w:rPr>
        <w:t>Información Básica para los Clientes no Totaleros”</w:t>
      </w:r>
      <w:r w:rsidRPr="001C7F15">
        <w:rPr>
          <w:rFonts w:eastAsia="Times New Roman"/>
          <w:bCs/>
          <w:sz w:val="26"/>
          <w:szCs w:val="26"/>
          <w:lang w:val="es-ES"/>
        </w:rPr>
        <w:t>).</w:t>
      </w:r>
    </w:p>
    <w:p w14:paraId="6A55B810" w14:textId="77777777" w:rsidR="001C7F15" w:rsidRPr="001C7F15" w:rsidRDefault="001C7F15" w:rsidP="00667577">
      <w:pPr>
        <w:numPr>
          <w:ilvl w:val="1"/>
          <w:numId w:val="186"/>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El número de clientes “no totaleros” disminuyó 2.5% en el último año, mientras el saldo de crédito bajó 1.4% en términos reales durante el mismo lapso (cuadro “</w:t>
      </w:r>
      <w:r w:rsidRPr="001C7F15">
        <w:rPr>
          <w:rFonts w:eastAsia="Times New Roman"/>
          <w:bCs/>
          <w:sz w:val="26"/>
          <w:szCs w:val="26"/>
        </w:rPr>
        <w:t>Información Básica para los Clientes no Totaleros”</w:t>
      </w:r>
      <w:r w:rsidRPr="001C7F15">
        <w:rPr>
          <w:rFonts w:eastAsia="Times New Roman"/>
          <w:bCs/>
          <w:sz w:val="26"/>
          <w:szCs w:val="26"/>
          <w:lang w:val="es-ES"/>
        </w:rPr>
        <w:t>).</w:t>
      </w:r>
    </w:p>
    <w:p w14:paraId="7583297B" w14:textId="77777777" w:rsidR="001C7F15" w:rsidRPr="001C7F15" w:rsidRDefault="001C7F15" w:rsidP="00667577">
      <w:pPr>
        <w:numPr>
          <w:ilvl w:val="0"/>
          <w:numId w:val="186"/>
        </w:numPr>
        <w:spacing w:after="360" w:line="360" w:lineRule="auto"/>
        <w:ind w:left="357" w:right="-159" w:hanging="357"/>
        <w:jc w:val="both"/>
        <w:rPr>
          <w:rFonts w:eastAsia="Times New Roman"/>
          <w:bCs/>
          <w:sz w:val="26"/>
          <w:szCs w:val="26"/>
          <w:lang w:val="es-ES"/>
        </w:rPr>
      </w:pPr>
      <w:r w:rsidRPr="001C7F15">
        <w:rPr>
          <w:rFonts w:eastAsia="Times New Roman"/>
          <w:bCs/>
          <w:sz w:val="26"/>
          <w:szCs w:val="26"/>
          <w:lang w:val="es-ES"/>
        </w:rPr>
        <w:t>En agosto de 2014, el 8.6% del crédito a los clientes “no totaleros” fue otorgado sin intereses, el 24.6% mediante promociones con tasa de interés preferencial y el restante 66.8% fue concedido sin promoción alguna (cuadro “Estructura del Saldo y Tasas de Interés Efectivas para los Clientes no Totaleros de Acuerdo al Otorgamiento de Promociones”).</w:t>
      </w:r>
    </w:p>
    <w:p w14:paraId="43DB548F" w14:textId="77777777" w:rsidR="001C7F15" w:rsidRPr="001C7F15" w:rsidRDefault="001C7F15" w:rsidP="00667577">
      <w:pPr>
        <w:numPr>
          <w:ilvl w:val="1"/>
          <w:numId w:val="186"/>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 xml:space="preserve">Entre las instituciones que en agosto de 2014 tenían al menos 100 mil tarjetas de crédito, las que otorgaron una mayor proporción de su crédito mediante promociones sin intereses a clientes no totaleros fueron Banco Walmart (21.6%), SF Soriana (13.9%) y Banamex (13.1%) (cuadro “Estructura del Saldo y Tasas de </w:t>
      </w:r>
      <w:r w:rsidRPr="001C7F15">
        <w:rPr>
          <w:rFonts w:eastAsia="Times New Roman"/>
          <w:bCs/>
          <w:sz w:val="26"/>
          <w:szCs w:val="26"/>
          <w:lang w:val="es-ES"/>
        </w:rPr>
        <w:lastRenderedPageBreak/>
        <w:t>Interés Efectivas para los Clientes no Totaleros de Acuerdo al Otorgamiento de Promociones”).</w:t>
      </w:r>
    </w:p>
    <w:p w14:paraId="5047DBF9" w14:textId="77777777" w:rsidR="001C7F15" w:rsidRPr="001C7F15" w:rsidRDefault="001C7F15" w:rsidP="00667577">
      <w:pPr>
        <w:numPr>
          <w:ilvl w:val="1"/>
          <w:numId w:val="186"/>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La TEPP sin promociones de los clientes “no totaleros” en agosto de 2014 fue de 37.7%. Entre las instituciones con más de 100 mil tarjetas totales, Inbursa (30.5%), Santander (31.4%) y Banorte-Ixe Tarjetas (35.8%) fueron las que tuvieron la menor TEPP en sus clientes “no totaleros” excluyendo promociones (cuadro “Estructura del Saldo y Tasas de Interés Efectivas para los Clientes no Totaleros de Acuerdo al Otorgamiento de Promociones” y gráfica “</w:t>
      </w:r>
      <w:r w:rsidRPr="001C7F15">
        <w:rPr>
          <w:rFonts w:eastAsia="Times New Roman"/>
          <w:bCs/>
          <w:sz w:val="26"/>
          <w:szCs w:val="26"/>
        </w:rPr>
        <w:t>Evolución de Diferentes Tasas de Interés Efectivas para el Sistema”</w:t>
      </w:r>
      <w:r w:rsidRPr="001C7F15">
        <w:rPr>
          <w:rFonts w:eastAsia="Times New Roman"/>
          <w:bCs/>
          <w:sz w:val="26"/>
          <w:szCs w:val="26"/>
          <w:lang w:val="es-ES"/>
        </w:rPr>
        <w:t>).</w:t>
      </w:r>
    </w:p>
    <w:p w14:paraId="6FCEBA1E"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1.3</w:t>
      </w:r>
      <w:r w:rsidRPr="001C7F15">
        <w:rPr>
          <w:rFonts w:eastAsia="Times New Roman"/>
          <w:b/>
          <w:bCs/>
          <w:sz w:val="26"/>
          <w:szCs w:val="26"/>
          <w:lang w:val="es-ES"/>
        </w:rPr>
        <w:tab/>
        <w:t>Segmento de tarjetas “Clásicas” o equivalentes</w:t>
      </w:r>
    </w:p>
    <w:p w14:paraId="68C708DB" w14:textId="77777777" w:rsidR="001C7F15" w:rsidRPr="001C7F15" w:rsidRDefault="001C7F15" w:rsidP="00667577">
      <w:pPr>
        <w:numPr>
          <w:ilvl w:val="0"/>
          <w:numId w:val="187"/>
        </w:numPr>
        <w:spacing w:after="360" w:line="360" w:lineRule="auto"/>
        <w:ind w:right="-159"/>
        <w:jc w:val="both"/>
        <w:rPr>
          <w:rFonts w:eastAsia="Times New Roman"/>
          <w:bCs/>
          <w:sz w:val="26"/>
          <w:szCs w:val="26"/>
          <w:lang w:val="es-ES"/>
        </w:rPr>
      </w:pPr>
      <w:r w:rsidRPr="001C7F15">
        <w:rPr>
          <w:rFonts w:eastAsia="Times New Roman"/>
          <w:bCs/>
          <w:sz w:val="26"/>
          <w:szCs w:val="26"/>
          <w:lang w:val="es-ES"/>
        </w:rPr>
        <w:t>En agosto de 2014, las tarjetas “Clásicas” o equivalentes representaron 67.4% del total de tarjetas incluidas en este reporte. A esa fecha, 16 instituciones ofrecieron en conjunto 89 productos de este tipo (cuadro “Indicadores Básicos para Tarjetas “Clásicas” o Equivalentes, Incluyendo a Clientes Totaleros y no Totaleros”).</w:t>
      </w:r>
    </w:p>
    <w:p w14:paraId="36ABB26B"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La TEPP de tarjetas “Clásicas” o equivalentes aumentó 50 puntos base con respecto a agosto de 2013 al pasar de 26.8 a 27.3%. Las instituciones con más de 100 mil tarjetas que más elevaron sus TEPP en el período fueron BBVA Bancomer (aumento de 280 puntos base al pasar de 28.4 a 31.2%), Banorte-Ixe Tarjetas (incremento de 150 puntos base al pasar de 27.6 a 29.1%) e Inbursa (aumento de 80 puntos base al pasar de 27.4 a 28.2%) (cuadro “Indicadores Básicos para Tarjetas “Clásicas” o Equivalentes, Incluyendo a Clientes Totaleros y no Totaleros”).</w:t>
      </w:r>
    </w:p>
    <w:p w14:paraId="73E88C2F"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 xml:space="preserve">En agosto de 2014, entre las instituciones con más de cien mil tarjetas, las TEPP más bajas fueron de Banco Walmart (19.7%), Santander (20.9%) y Banamex </w:t>
      </w:r>
      <w:r w:rsidRPr="001C7F15">
        <w:rPr>
          <w:rFonts w:eastAsia="Times New Roman"/>
          <w:bCs/>
          <w:sz w:val="26"/>
          <w:szCs w:val="26"/>
          <w:lang w:val="es-ES"/>
        </w:rPr>
        <w:lastRenderedPageBreak/>
        <w:t>(22.9%) (cuadro “Indicadores Básicos para Tarjetas “Clásicas” o Equivalentes, Incluyendo a Clientes Totaleros y no Totaleros”).</w:t>
      </w:r>
    </w:p>
    <w:p w14:paraId="3B56D4B2"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En el último año, la comisión promedio por anualidad aumentó 27 pesos, lo que representó un incremento real de 1.6% (cuadro “Indicadores Básicos para Tarjetas “Clásicas” o Equivalentes, Incluyendo a Clientes Totaleros y no Totaleros”).</w:t>
      </w:r>
    </w:p>
    <w:p w14:paraId="0D2A809E"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Con el fin de facilitar la comparación de los costos de tarjetas con características similares, las tarjetas tipo “Clásicas” o equivalentes se dividen en cuatro segmentos de acuerdo a su límite de crédito. Para cada segmento se incluyen cuadros que permiten comparar el costo anual total (CAT) de los productos representativos de cada banco</w:t>
      </w:r>
      <w:r w:rsidRPr="001C7F15">
        <w:rPr>
          <w:rFonts w:eastAsia="Times New Roman"/>
          <w:bCs/>
          <w:sz w:val="26"/>
          <w:szCs w:val="26"/>
          <w:vertAlign w:val="superscript"/>
          <w:lang w:val="es-ES"/>
        </w:rPr>
        <w:footnoteReference w:id="45"/>
      </w:r>
      <w:r w:rsidRPr="001C7F15">
        <w:rPr>
          <w:rFonts w:eastAsia="Times New Roman"/>
          <w:bCs/>
          <w:sz w:val="26"/>
          <w:szCs w:val="26"/>
          <w:lang w:val="es-ES"/>
        </w:rPr>
        <w:t>.</w:t>
      </w:r>
    </w:p>
    <w:p w14:paraId="3294D99B" w14:textId="77777777" w:rsidR="001C7F15" w:rsidRPr="001C7F15" w:rsidRDefault="001C7F15" w:rsidP="00667577">
      <w:pPr>
        <w:numPr>
          <w:ilvl w:val="0"/>
          <w:numId w:val="187"/>
        </w:numPr>
        <w:spacing w:after="360" w:line="360" w:lineRule="auto"/>
        <w:ind w:right="-159"/>
        <w:jc w:val="both"/>
        <w:rPr>
          <w:rFonts w:eastAsia="Times New Roman"/>
          <w:bCs/>
          <w:sz w:val="26"/>
          <w:szCs w:val="26"/>
          <w:lang w:val="es-ES"/>
        </w:rPr>
      </w:pPr>
      <w:r w:rsidRPr="001C7F15">
        <w:rPr>
          <w:rFonts w:eastAsia="Times New Roman"/>
          <w:bCs/>
          <w:sz w:val="26"/>
          <w:szCs w:val="26"/>
          <w:lang w:val="es-ES"/>
        </w:rPr>
        <w:t>En los cuadros “Productos Representativos por Institución, para Clientes no Totaleros en el Segmento de Tarjetas “Clásicas” o Equivalentes con Límite de Crédito hasta 4 mil 500 pesos”, “Productos Representativos por Institución, para Clientes no Totaleros en el Segmento de Tarjetas “Clásicas” o Equivalentes con Límite de Crédito entre 4 mil 501 y 8 mil pesos”, “Productos Representativos por Institución, para Clientes no Totaleros en el Segmento de Tarjetas “Clásicas” o Equivalentes con Límite de Crédito entre 8 mil 1 y 15 mil pesos” y “Productos Representativos por Institución, para Clientes no Totaleros en el Segmento de Tarjetas “Clásicas” o Equivalentes con Límite de Crédito Mayor a 15 mil pesos”, se observa que la TEPP tiende a disminuir conforme aumenta el límite de crédito.</w:t>
      </w:r>
    </w:p>
    <w:p w14:paraId="136CEF98" w14:textId="77777777" w:rsidR="001C7F15" w:rsidRPr="001C7F15" w:rsidRDefault="001C7F15" w:rsidP="00667577">
      <w:pPr>
        <w:numPr>
          <w:ilvl w:val="0"/>
          <w:numId w:val="187"/>
        </w:numPr>
        <w:spacing w:after="360" w:line="360" w:lineRule="auto"/>
        <w:ind w:right="-159"/>
        <w:jc w:val="both"/>
        <w:rPr>
          <w:rFonts w:eastAsia="Times New Roman"/>
          <w:bCs/>
          <w:sz w:val="26"/>
          <w:szCs w:val="26"/>
          <w:lang w:val="es-ES"/>
        </w:rPr>
      </w:pPr>
      <w:r w:rsidRPr="001C7F15">
        <w:rPr>
          <w:rFonts w:eastAsia="Times New Roman"/>
          <w:bCs/>
          <w:sz w:val="26"/>
          <w:szCs w:val="26"/>
          <w:lang w:val="es-ES"/>
        </w:rPr>
        <w:t xml:space="preserve">Las tarjetas con límite de crédito hasta 4 mil 500 pesos representaron el 9.1% del número total de tarjetas “Clásicas”, pero solamente recibieron el 1.5% del saldo total del crédito dirigido a este tipo de tarjetas; en contraste, las tarjetas clásicas con un límite de crédito superior a 15 mil pesos representaron el 52.2% del número de </w:t>
      </w:r>
      <w:r w:rsidRPr="001C7F15">
        <w:rPr>
          <w:rFonts w:eastAsia="Times New Roman"/>
          <w:bCs/>
          <w:sz w:val="26"/>
          <w:szCs w:val="26"/>
          <w:lang w:val="es-ES"/>
        </w:rPr>
        <w:lastRenderedPageBreak/>
        <w:t>tarjetas “Clásicas” pero concentraron el 81.4% de la cartera total absorbida por este tipo de tarjetas (cuadro “Distribución de las tarjetas Clásicas de acuerdo a su límite de crédito para clientes totaleros y no totaleros”).</w:t>
      </w:r>
    </w:p>
    <w:p w14:paraId="55305D5B"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Para todos los grupos de límite de crédito, los productos Santander Light y Clásica Inbursa registraron los CAT más bajos</w:t>
      </w:r>
      <w:r w:rsidRPr="001C7F15">
        <w:rPr>
          <w:rFonts w:eastAsia="Times New Roman"/>
          <w:bCs/>
          <w:sz w:val="26"/>
          <w:szCs w:val="26"/>
          <w:vertAlign w:val="superscript"/>
          <w:lang w:val="es-ES"/>
        </w:rPr>
        <w:footnoteReference w:id="46"/>
      </w:r>
      <w:r w:rsidRPr="001C7F15">
        <w:rPr>
          <w:rFonts w:eastAsia="Times New Roman"/>
          <w:bCs/>
          <w:sz w:val="26"/>
          <w:szCs w:val="26"/>
          <w:lang w:val="es-ES"/>
        </w:rPr>
        <w:t xml:space="preserve"> (cuadros “Productos Representativos por Institución, para Clientes no Totaleros en el Segmento de Tarjetas “Clásicas” o Equivalentes con Límite de Crédito hasta 4 mil 500 pesos”, “Productos Representativos por Institución, para Clientes no Totaleros en el Segmento de Tarjetas “Clásicas” o Equivalentes con Límite de Crédito entre 4 mil 501 y 8 mil pesos”, “Productos Representativos por Institución, para Clientes no Totaleros en el Segmento de Tarjetas “Clásicas” o Equivalentes con Límite de Crédito entre 8 mil 1 y 15 mil pesos” y “Productos Representativos por Institución, para Clientes no Totaleros en el Segmento de Tarjetas “Clásicas” o Equivalentes con Límite de Crédito Mayor a 15 mil pesos”).</w:t>
      </w:r>
    </w:p>
    <w:p w14:paraId="3B7A3C4F" w14:textId="77777777" w:rsidR="001C7F15" w:rsidRPr="001C7F15" w:rsidRDefault="001C7F15" w:rsidP="00667577">
      <w:pPr>
        <w:numPr>
          <w:ilvl w:val="1"/>
          <w:numId w:val="187"/>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 xml:space="preserve">De las instituciones con al menos 0.5% del total de tarjetas clásicas en cada segmento, para los dos grupos con límite de crédito más bajo, BanCoppel y Azul Bancomer registraron los CAT más altos; para los dos grupos con límite de crédito más alto, BanCoppel y ScotiaTravel Clásica registraron los CAT más elevados (cuadros “Productos Representativos por Institución, para Clientes no Totaleros en el Segmento de Tarjetas “Clásicas” o Equivalentes con Límite de Crédito hasta 4 mil 500 pesos”, “Productos Representativos por Institución, para Clientes no </w:t>
      </w:r>
      <w:r w:rsidRPr="001C7F15">
        <w:rPr>
          <w:rFonts w:eastAsia="Times New Roman"/>
          <w:bCs/>
          <w:sz w:val="26"/>
          <w:szCs w:val="26"/>
          <w:lang w:val="es-ES"/>
        </w:rPr>
        <w:lastRenderedPageBreak/>
        <w:t>Totaleros en el Segmento de Tarjetas “Clásicas” o Equivalentes con Límite de Crédito entre 4 mil 501 y 8 mil pesos”, “Productos Representativos por Institución, para Clientes no Totaleros en el Segmento de Tarjetas “Clásicas” o Equivalentes con Límite de Crédito entre 8 mil 1 y 15 mil pesos” y “Productos Representativos por Institución, para Clientes no Totaleros en el Segmento de Tarjetas “Clásicas” o Equivalentes con Límite de Crédito Mayor a 15 mil pesos”).</w:t>
      </w:r>
    </w:p>
    <w:p w14:paraId="5B686AC7"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1.4</w:t>
      </w:r>
      <w:r w:rsidRPr="001C7F15">
        <w:rPr>
          <w:rFonts w:eastAsia="Times New Roman"/>
          <w:b/>
          <w:bCs/>
          <w:sz w:val="26"/>
          <w:szCs w:val="26"/>
          <w:lang w:val="es-ES"/>
        </w:rPr>
        <w:tab/>
        <w:t xml:space="preserve">Segmentos “Oro” y “Platino” o equivalentes </w:t>
      </w:r>
    </w:p>
    <w:p w14:paraId="4FD54A74" w14:textId="77777777" w:rsidR="001C7F15" w:rsidRPr="001C7F15" w:rsidRDefault="001C7F15" w:rsidP="00667577">
      <w:pPr>
        <w:numPr>
          <w:ilvl w:val="0"/>
          <w:numId w:val="191"/>
        </w:numPr>
        <w:spacing w:after="360" w:line="360" w:lineRule="auto"/>
        <w:ind w:right="-159"/>
        <w:jc w:val="both"/>
        <w:rPr>
          <w:rFonts w:eastAsia="Times New Roman"/>
          <w:bCs/>
          <w:sz w:val="26"/>
          <w:szCs w:val="26"/>
          <w:lang w:val="es-ES"/>
        </w:rPr>
      </w:pPr>
      <w:r w:rsidRPr="001C7F15">
        <w:rPr>
          <w:rFonts w:eastAsia="Times New Roman"/>
          <w:bCs/>
          <w:sz w:val="26"/>
          <w:szCs w:val="26"/>
          <w:lang w:val="es-ES"/>
        </w:rPr>
        <w:t>La TEPP de las tarjetas tipo “Oro” o equivalentes pasó de 24.4 a 25.1%, por su parte, la TEPP de las tarjetas tipo “Platino” o equivalentes se mantuvo prácticamente estable pasando de 16.2 a 16.3%, en el lapso de agosto de 2013 a agosto de 2014. La anualidad promedio ponderada de las tarjetas “Oro” disminuyó 2.8% real, mientras que la anualidad promedio ponderada de las tarjetas “Platino” se elevó 3.8% en términos reales, en el mismo lapso (cuadros “Indicadores Básicos para Tarjetas “Oro” o Equivalentes, Incluyendo a Clientes Totaleros y no Totaleros” y “Indicadores Básicos para Tarjetas “Platino” o Equivalentes, Incluyendo a Clientes Totaleros y no Totaleros”).</w:t>
      </w:r>
    </w:p>
    <w:p w14:paraId="44962F23" w14:textId="77777777" w:rsidR="001C7F15" w:rsidRPr="001C7F15" w:rsidRDefault="001C7F15" w:rsidP="00667577">
      <w:pPr>
        <w:numPr>
          <w:ilvl w:val="0"/>
          <w:numId w:val="191"/>
        </w:numPr>
        <w:spacing w:after="360" w:line="360" w:lineRule="auto"/>
        <w:ind w:right="-159"/>
        <w:jc w:val="both"/>
        <w:rPr>
          <w:rFonts w:eastAsia="Times New Roman"/>
          <w:bCs/>
          <w:sz w:val="26"/>
          <w:szCs w:val="26"/>
          <w:lang w:val="es-ES"/>
        </w:rPr>
      </w:pPr>
      <w:r w:rsidRPr="001C7F15">
        <w:rPr>
          <w:rFonts w:eastAsia="Times New Roman"/>
          <w:bCs/>
          <w:sz w:val="26"/>
          <w:szCs w:val="26"/>
          <w:lang w:val="es-ES"/>
        </w:rPr>
        <w:t>En el segmento “Oro” o equivalentes, entre los productos con más de 0.5% del total de tarjetas, las tarjetas Oro Inbursa, UNISantander-K e Ixe Oro registraron los CAT más bajos (cuadro “Productos Representativos por Institución, para Clientes no Totaleros en el Segmento de Tarjetas “Oro” o Equivalentes”). Los productos incluidos en el cuadro representaron 90.1% del saldo del crédito total en este segmento de mercado.</w:t>
      </w:r>
    </w:p>
    <w:p w14:paraId="509B3A3D" w14:textId="77777777" w:rsidR="001C7F15" w:rsidRPr="001C7F15" w:rsidRDefault="001C7F15" w:rsidP="00667577">
      <w:pPr>
        <w:numPr>
          <w:ilvl w:val="0"/>
          <w:numId w:val="188"/>
        </w:numPr>
        <w:spacing w:after="360" w:line="360" w:lineRule="auto"/>
        <w:ind w:right="-159"/>
        <w:jc w:val="both"/>
        <w:rPr>
          <w:rFonts w:eastAsia="Times New Roman"/>
          <w:bCs/>
          <w:sz w:val="26"/>
          <w:szCs w:val="26"/>
          <w:lang w:val="es-ES"/>
        </w:rPr>
      </w:pPr>
      <w:r w:rsidRPr="001C7F15">
        <w:rPr>
          <w:rFonts w:eastAsia="Times New Roman"/>
          <w:bCs/>
          <w:sz w:val="26"/>
          <w:szCs w:val="26"/>
          <w:lang w:val="es-ES"/>
        </w:rPr>
        <w:t xml:space="preserve">En el segmento “Platino” o equivalentes, entre los productos con más de 0.5% del total de tarjetas, Banorte Platinum, Ixe Platino y Banamex Platinum registraron los CAT más bajos (cuadro “Productos Representativos por Institución, para Clientes no Totaleros en el Segmento de Tarjetas “Platino” o Equivalentes”). Los productos </w:t>
      </w:r>
      <w:r w:rsidRPr="001C7F15">
        <w:rPr>
          <w:rFonts w:eastAsia="Times New Roman"/>
          <w:bCs/>
          <w:sz w:val="26"/>
          <w:szCs w:val="26"/>
          <w:lang w:val="es-ES"/>
        </w:rPr>
        <w:lastRenderedPageBreak/>
        <w:t>incluidos en el cuadro representaron 91.9% del saldo de crédito otorgado en este segmento de mercado.</w:t>
      </w:r>
    </w:p>
    <w:p w14:paraId="6E161EE8"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2.</w:t>
      </w:r>
      <w:r w:rsidRPr="001C7F15">
        <w:rPr>
          <w:rFonts w:eastAsia="Times New Roman"/>
          <w:b/>
          <w:bCs/>
          <w:sz w:val="26"/>
          <w:szCs w:val="26"/>
          <w:lang w:val="es-ES"/>
        </w:rPr>
        <w:tab/>
        <w:t>Cuadros resumen a agosto de 2014</w:t>
      </w:r>
    </w:p>
    <w:tbl>
      <w:tblPr>
        <w:tblW w:w="8867" w:type="dxa"/>
        <w:jc w:val="center"/>
        <w:tblLayout w:type="fixed"/>
        <w:tblLook w:val="04A0" w:firstRow="1" w:lastRow="0" w:firstColumn="1" w:lastColumn="0" w:noHBand="0" w:noVBand="1"/>
      </w:tblPr>
      <w:tblGrid>
        <w:gridCol w:w="1638"/>
        <w:gridCol w:w="992"/>
        <w:gridCol w:w="992"/>
        <w:gridCol w:w="992"/>
        <w:gridCol w:w="851"/>
        <w:gridCol w:w="850"/>
        <w:gridCol w:w="851"/>
        <w:gridCol w:w="850"/>
        <w:gridCol w:w="851"/>
      </w:tblGrid>
      <w:tr w:rsidR="001C7F15" w:rsidRPr="001C7F15" w14:paraId="265317AA" w14:textId="77777777" w:rsidTr="001C7F15">
        <w:trPr>
          <w:jc w:val="center"/>
        </w:trPr>
        <w:tc>
          <w:tcPr>
            <w:tcW w:w="8867" w:type="dxa"/>
            <w:gridSpan w:val="9"/>
            <w:tcBorders>
              <w:top w:val="nil"/>
              <w:bottom w:val="single" w:sz="4" w:space="0" w:color="auto"/>
            </w:tcBorders>
            <w:shd w:val="clear" w:color="auto" w:fill="auto"/>
            <w:vAlign w:val="center"/>
          </w:tcPr>
          <w:p w14:paraId="37B36D31"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INFORMACIÓN BÁSICA PARA LOS CLIENTES</w:t>
            </w:r>
          </w:p>
          <w:p w14:paraId="76153304" w14:textId="607ADADB"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TOTALEROS Y NO TOTALEROS</w:t>
            </w:r>
          </w:p>
        </w:tc>
      </w:tr>
      <w:tr w:rsidR="001C7F15" w:rsidRPr="001C7F15" w14:paraId="2C126D28" w14:textId="77777777" w:rsidTr="00E823BC">
        <w:trPr>
          <w:jc w:val="center"/>
        </w:trPr>
        <w:tc>
          <w:tcPr>
            <w:tcW w:w="1638" w:type="dxa"/>
            <w:vMerge w:val="restart"/>
            <w:tcBorders>
              <w:top w:val="single" w:sz="4" w:space="0" w:color="auto"/>
              <w:left w:val="single" w:sz="4" w:space="0" w:color="auto"/>
              <w:right w:val="single" w:sz="4" w:space="0" w:color="auto"/>
            </w:tcBorders>
            <w:shd w:val="clear" w:color="auto" w:fill="auto"/>
            <w:vAlign w:val="center"/>
          </w:tcPr>
          <w:p w14:paraId="5CBFAE4C" w14:textId="77777777" w:rsidR="001C7F15" w:rsidRPr="001C7F15" w:rsidRDefault="001C7F15" w:rsidP="001C7F15">
            <w:pPr>
              <w:jc w:val="center"/>
              <w:rPr>
                <w:rFonts w:eastAsia="Calibri"/>
                <w:bCs/>
                <w:sz w:val="16"/>
                <w:szCs w:val="16"/>
                <w:lang w:eastAsia="en-US"/>
              </w:rPr>
            </w:pP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8E75C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tarjetas</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8F071"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Saldo de crédito otorgado</w:t>
            </w:r>
          </w:p>
          <w:p w14:paraId="6D3CEBC6"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-Millones de pesos-</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E0B2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Tasa efectiva promedio ponderada -En porcentaje-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6DE91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Tasa efectiva mediana</w:t>
            </w:r>
          </w:p>
          <w:p w14:paraId="2D944471"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-En porcentaje-</w:t>
            </w:r>
          </w:p>
        </w:tc>
      </w:tr>
      <w:tr w:rsidR="001C7F15" w:rsidRPr="001C7F15" w14:paraId="0F6E017A" w14:textId="77777777" w:rsidTr="00E823BC">
        <w:trPr>
          <w:jc w:val="center"/>
        </w:trPr>
        <w:tc>
          <w:tcPr>
            <w:tcW w:w="1638" w:type="dxa"/>
            <w:vMerge/>
            <w:tcBorders>
              <w:left w:val="single" w:sz="4" w:space="0" w:color="auto"/>
              <w:right w:val="single" w:sz="4" w:space="0" w:color="auto"/>
            </w:tcBorders>
            <w:shd w:val="clear" w:color="auto" w:fill="auto"/>
            <w:vAlign w:val="center"/>
          </w:tcPr>
          <w:p w14:paraId="59F263A8" w14:textId="77777777" w:rsidR="001C7F15" w:rsidRPr="001C7F15" w:rsidRDefault="001C7F15" w:rsidP="001C7F15">
            <w:pPr>
              <w:rPr>
                <w:rFonts w:eastAsia="Calibri"/>
                <w:bCs/>
                <w:sz w:val="16"/>
                <w:szCs w:val="16"/>
                <w:lang w:eastAsia="en-US"/>
              </w:rPr>
            </w:pPr>
          </w:p>
        </w:tc>
        <w:tc>
          <w:tcPr>
            <w:tcW w:w="722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E612D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Agosto</w:t>
            </w:r>
          </w:p>
        </w:tc>
      </w:tr>
      <w:tr w:rsidR="001C7F15" w:rsidRPr="001C7F15" w14:paraId="4E1CD228" w14:textId="77777777" w:rsidTr="00E823BC">
        <w:trPr>
          <w:jc w:val="center"/>
        </w:trPr>
        <w:tc>
          <w:tcPr>
            <w:tcW w:w="1638" w:type="dxa"/>
            <w:vMerge/>
            <w:tcBorders>
              <w:left w:val="single" w:sz="4" w:space="0" w:color="auto"/>
              <w:bottom w:val="single" w:sz="4" w:space="0" w:color="auto"/>
              <w:right w:val="single" w:sz="4" w:space="0" w:color="auto"/>
            </w:tcBorders>
            <w:shd w:val="clear" w:color="auto" w:fill="auto"/>
            <w:vAlign w:val="center"/>
          </w:tcPr>
          <w:p w14:paraId="0A3B555A" w14:textId="77777777" w:rsidR="001C7F15" w:rsidRPr="001C7F15" w:rsidRDefault="001C7F15" w:rsidP="001C7F15">
            <w:pPr>
              <w:rPr>
                <w:rFonts w:eastAsia="Calibri"/>
                <w:bCs/>
                <w:sz w:val="16"/>
                <w:szCs w:val="16"/>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4621B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88DA1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2EE43"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1B2E4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FCAF42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05ED0F"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66457AE"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284722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r>
      <w:tr w:rsidR="001C7F15" w:rsidRPr="001C7F15" w14:paraId="648AE396" w14:textId="77777777" w:rsidTr="00E823BC">
        <w:trPr>
          <w:jc w:val="center"/>
        </w:trPr>
        <w:tc>
          <w:tcPr>
            <w:tcW w:w="1638" w:type="dxa"/>
            <w:tcBorders>
              <w:top w:val="single" w:sz="4" w:space="0" w:color="auto"/>
              <w:left w:val="single" w:sz="4" w:space="0" w:color="auto"/>
              <w:right w:val="single" w:sz="4" w:space="0" w:color="auto"/>
            </w:tcBorders>
            <w:shd w:val="clear" w:color="auto" w:fill="auto"/>
          </w:tcPr>
          <w:p w14:paraId="42B73002" w14:textId="77777777" w:rsidR="001C7F15" w:rsidRPr="001C7F15" w:rsidRDefault="001C7F15" w:rsidP="001C7F15">
            <w:pPr>
              <w:autoSpaceDE w:val="0"/>
              <w:autoSpaceDN w:val="0"/>
              <w:adjustRightInd w:val="0"/>
              <w:spacing w:before="120" w:after="40"/>
              <w:jc w:val="both"/>
              <w:rPr>
                <w:rFonts w:eastAsia="Calibri"/>
                <w:b/>
                <w:bCs/>
                <w:sz w:val="16"/>
                <w:szCs w:val="16"/>
                <w:lang w:eastAsia="en-US"/>
              </w:rPr>
            </w:pPr>
            <w:r w:rsidRPr="001C7F15">
              <w:rPr>
                <w:rFonts w:eastAsia="Calibri"/>
                <w:b/>
                <w:bCs/>
                <w:sz w:val="16"/>
                <w:szCs w:val="16"/>
                <w:lang w:eastAsia="en-US"/>
              </w:rPr>
              <w:t>Sistema*</w:t>
            </w:r>
          </w:p>
        </w:tc>
        <w:tc>
          <w:tcPr>
            <w:tcW w:w="992" w:type="dxa"/>
            <w:tcBorders>
              <w:top w:val="single" w:sz="4" w:space="0" w:color="auto"/>
              <w:left w:val="single" w:sz="4" w:space="0" w:color="auto"/>
              <w:right w:val="single" w:sz="4" w:space="0" w:color="auto"/>
            </w:tcBorders>
            <w:shd w:val="clear" w:color="auto" w:fill="auto"/>
          </w:tcPr>
          <w:p w14:paraId="08B990A6"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16 153 078</w:t>
            </w:r>
          </w:p>
        </w:tc>
        <w:tc>
          <w:tcPr>
            <w:tcW w:w="992" w:type="dxa"/>
            <w:tcBorders>
              <w:top w:val="single" w:sz="4" w:space="0" w:color="auto"/>
              <w:left w:val="single" w:sz="4" w:space="0" w:color="auto"/>
              <w:right w:val="single" w:sz="4" w:space="0" w:color="auto"/>
            </w:tcBorders>
            <w:shd w:val="clear" w:color="auto" w:fill="auto"/>
          </w:tcPr>
          <w:p w14:paraId="51EEF490"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16 099 973</w:t>
            </w:r>
          </w:p>
        </w:tc>
        <w:tc>
          <w:tcPr>
            <w:tcW w:w="992" w:type="dxa"/>
            <w:tcBorders>
              <w:top w:val="single" w:sz="4" w:space="0" w:color="auto"/>
              <w:left w:val="single" w:sz="4" w:space="0" w:color="auto"/>
              <w:right w:val="single" w:sz="4" w:space="0" w:color="auto"/>
            </w:tcBorders>
            <w:shd w:val="clear" w:color="auto" w:fill="auto"/>
          </w:tcPr>
          <w:p w14:paraId="5729245C"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241 260</w:t>
            </w:r>
          </w:p>
        </w:tc>
        <w:tc>
          <w:tcPr>
            <w:tcW w:w="851" w:type="dxa"/>
            <w:tcBorders>
              <w:top w:val="single" w:sz="4" w:space="0" w:color="auto"/>
              <w:left w:val="single" w:sz="4" w:space="0" w:color="auto"/>
              <w:right w:val="single" w:sz="4" w:space="0" w:color="auto"/>
            </w:tcBorders>
            <w:shd w:val="clear" w:color="auto" w:fill="auto"/>
          </w:tcPr>
          <w:p w14:paraId="6064B469"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248 074</w:t>
            </w:r>
          </w:p>
        </w:tc>
        <w:tc>
          <w:tcPr>
            <w:tcW w:w="850" w:type="dxa"/>
            <w:tcBorders>
              <w:top w:val="single" w:sz="4" w:space="0" w:color="auto"/>
              <w:left w:val="single" w:sz="4" w:space="0" w:color="auto"/>
              <w:right w:val="single" w:sz="4" w:space="0" w:color="auto"/>
            </w:tcBorders>
            <w:shd w:val="clear" w:color="auto" w:fill="auto"/>
          </w:tcPr>
          <w:p w14:paraId="126A1BEE"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24.1</w:t>
            </w:r>
          </w:p>
        </w:tc>
        <w:tc>
          <w:tcPr>
            <w:tcW w:w="851" w:type="dxa"/>
            <w:tcBorders>
              <w:top w:val="single" w:sz="4" w:space="0" w:color="auto"/>
              <w:left w:val="single" w:sz="4" w:space="0" w:color="auto"/>
              <w:right w:val="single" w:sz="4" w:space="0" w:color="auto"/>
            </w:tcBorders>
            <w:shd w:val="clear" w:color="auto" w:fill="auto"/>
          </w:tcPr>
          <w:p w14:paraId="0BBE2FA3"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24.2</w:t>
            </w:r>
          </w:p>
        </w:tc>
        <w:tc>
          <w:tcPr>
            <w:tcW w:w="850" w:type="dxa"/>
            <w:tcBorders>
              <w:top w:val="single" w:sz="4" w:space="0" w:color="auto"/>
              <w:left w:val="single" w:sz="4" w:space="0" w:color="auto"/>
              <w:right w:val="single" w:sz="4" w:space="0" w:color="auto"/>
            </w:tcBorders>
            <w:shd w:val="clear" w:color="auto" w:fill="auto"/>
          </w:tcPr>
          <w:p w14:paraId="1A364035"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23.0</w:t>
            </w:r>
          </w:p>
        </w:tc>
        <w:tc>
          <w:tcPr>
            <w:tcW w:w="851" w:type="dxa"/>
            <w:tcBorders>
              <w:top w:val="single" w:sz="4" w:space="0" w:color="auto"/>
              <w:left w:val="single" w:sz="4" w:space="0" w:color="auto"/>
              <w:right w:val="single" w:sz="4" w:space="0" w:color="auto"/>
            </w:tcBorders>
            <w:shd w:val="clear" w:color="auto" w:fill="auto"/>
          </w:tcPr>
          <w:p w14:paraId="2E49E960"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23.0</w:t>
            </w:r>
          </w:p>
        </w:tc>
      </w:tr>
      <w:tr w:rsidR="001C7F15" w:rsidRPr="001C7F15" w14:paraId="7AB6D011" w14:textId="77777777" w:rsidTr="00E823BC">
        <w:trPr>
          <w:jc w:val="center"/>
        </w:trPr>
        <w:tc>
          <w:tcPr>
            <w:tcW w:w="1638" w:type="dxa"/>
            <w:tcBorders>
              <w:left w:val="single" w:sz="4" w:space="0" w:color="auto"/>
              <w:right w:val="single" w:sz="4" w:space="0" w:color="auto"/>
            </w:tcBorders>
            <w:shd w:val="clear" w:color="auto" w:fill="auto"/>
          </w:tcPr>
          <w:p w14:paraId="3F49D7EB"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BBVA Bancomer</w:t>
            </w:r>
          </w:p>
        </w:tc>
        <w:tc>
          <w:tcPr>
            <w:tcW w:w="992" w:type="dxa"/>
            <w:tcBorders>
              <w:left w:val="single" w:sz="4" w:space="0" w:color="auto"/>
              <w:right w:val="single" w:sz="4" w:space="0" w:color="auto"/>
            </w:tcBorders>
            <w:shd w:val="clear" w:color="auto" w:fill="auto"/>
          </w:tcPr>
          <w:p w14:paraId="0EED37D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4 952 978</w:t>
            </w:r>
          </w:p>
        </w:tc>
        <w:tc>
          <w:tcPr>
            <w:tcW w:w="992" w:type="dxa"/>
            <w:tcBorders>
              <w:left w:val="single" w:sz="4" w:space="0" w:color="auto"/>
              <w:right w:val="single" w:sz="4" w:space="0" w:color="auto"/>
            </w:tcBorders>
            <w:shd w:val="clear" w:color="auto" w:fill="auto"/>
          </w:tcPr>
          <w:p w14:paraId="3D83713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4 647 983</w:t>
            </w:r>
          </w:p>
        </w:tc>
        <w:tc>
          <w:tcPr>
            <w:tcW w:w="992" w:type="dxa"/>
            <w:tcBorders>
              <w:left w:val="single" w:sz="4" w:space="0" w:color="auto"/>
              <w:right w:val="single" w:sz="4" w:space="0" w:color="auto"/>
            </w:tcBorders>
            <w:shd w:val="clear" w:color="auto" w:fill="auto"/>
          </w:tcPr>
          <w:p w14:paraId="769C3E5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74 090</w:t>
            </w:r>
          </w:p>
        </w:tc>
        <w:tc>
          <w:tcPr>
            <w:tcW w:w="851" w:type="dxa"/>
            <w:tcBorders>
              <w:left w:val="single" w:sz="4" w:space="0" w:color="auto"/>
              <w:right w:val="single" w:sz="4" w:space="0" w:color="auto"/>
            </w:tcBorders>
            <w:shd w:val="clear" w:color="auto" w:fill="auto"/>
          </w:tcPr>
          <w:p w14:paraId="630FD81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73 655</w:t>
            </w:r>
          </w:p>
        </w:tc>
        <w:tc>
          <w:tcPr>
            <w:tcW w:w="850" w:type="dxa"/>
            <w:tcBorders>
              <w:left w:val="single" w:sz="4" w:space="0" w:color="auto"/>
              <w:right w:val="single" w:sz="4" w:space="0" w:color="auto"/>
            </w:tcBorders>
            <w:shd w:val="clear" w:color="auto" w:fill="auto"/>
          </w:tcPr>
          <w:p w14:paraId="71E1870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25.7</w:t>
            </w:r>
          </w:p>
        </w:tc>
        <w:tc>
          <w:tcPr>
            <w:tcW w:w="851" w:type="dxa"/>
            <w:tcBorders>
              <w:left w:val="single" w:sz="4" w:space="0" w:color="auto"/>
              <w:right w:val="single" w:sz="4" w:space="0" w:color="auto"/>
            </w:tcBorders>
            <w:shd w:val="clear" w:color="auto" w:fill="auto"/>
          </w:tcPr>
          <w:p w14:paraId="7406ED5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28.1</w:t>
            </w:r>
          </w:p>
        </w:tc>
        <w:tc>
          <w:tcPr>
            <w:tcW w:w="850" w:type="dxa"/>
            <w:tcBorders>
              <w:left w:val="single" w:sz="4" w:space="0" w:color="auto"/>
              <w:right w:val="single" w:sz="4" w:space="0" w:color="auto"/>
            </w:tcBorders>
            <w:shd w:val="clear" w:color="auto" w:fill="auto"/>
          </w:tcPr>
          <w:p w14:paraId="48CCFB8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21.9</w:t>
            </w:r>
          </w:p>
        </w:tc>
        <w:tc>
          <w:tcPr>
            <w:tcW w:w="851" w:type="dxa"/>
            <w:tcBorders>
              <w:left w:val="single" w:sz="4" w:space="0" w:color="auto"/>
              <w:right w:val="single" w:sz="4" w:space="0" w:color="auto"/>
            </w:tcBorders>
            <w:shd w:val="clear" w:color="auto" w:fill="auto"/>
          </w:tcPr>
          <w:p w14:paraId="7AD93AE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23.8</w:t>
            </w:r>
          </w:p>
        </w:tc>
      </w:tr>
      <w:tr w:rsidR="001C7F15" w:rsidRPr="001C7F15" w14:paraId="3AA395E7" w14:textId="77777777" w:rsidTr="00E823BC">
        <w:trPr>
          <w:jc w:val="center"/>
        </w:trPr>
        <w:tc>
          <w:tcPr>
            <w:tcW w:w="1638" w:type="dxa"/>
            <w:tcBorders>
              <w:left w:val="single" w:sz="4" w:space="0" w:color="auto"/>
              <w:right w:val="single" w:sz="4" w:space="0" w:color="auto"/>
            </w:tcBorders>
            <w:shd w:val="clear" w:color="auto" w:fill="auto"/>
          </w:tcPr>
          <w:p w14:paraId="52591615"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Banamex</w:t>
            </w:r>
          </w:p>
        </w:tc>
        <w:tc>
          <w:tcPr>
            <w:tcW w:w="992" w:type="dxa"/>
            <w:tcBorders>
              <w:left w:val="single" w:sz="4" w:space="0" w:color="auto"/>
              <w:right w:val="single" w:sz="4" w:space="0" w:color="auto"/>
            </w:tcBorders>
            <w:shd w:val="clear" w:color="auto" w:fill="auto"/>
          </w:tcPr>
          <w:p w14:paraId="3EB111D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4 457 827</w:t>
            </w:r>
          </w:p>
        </w:tc>
        <w:tc>
          <w:tcPr>
            <w:tcW w:w="992" w:type="dxa"/>
            <w:tcBorders>
              <w:left w:val="single" w:sz="4" w:space="0" w:color="auto"/>
              <w:right w:val="single" w:sz="4" w:space="0" w:color="auto"/>
            </w:tcBorders>
            <w:shd w:val="clear" w:color="auto" w:fill="auto"/>
          </w:tcPr>
          <w:p w14:paraId="2A06931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4 331 260</w:t>
            </w:r>
          </w:p>
        </w:tc>
        <w:tc>
          <w:tcPr>
            <w:tcW w:w="992" w:type="dxa"/>
            <w:tcBorders>
              <w:left w:val="single" w:sz="4" w:space="0" w:color="auto"/>
              <w:right w:val="single" w:sz="4" w:space="0" w:color="auto"/>
            </w:tcBorders>
            <w:shd w:val="clear" w:color="auto" w:fill="auto"/>
          </w:tcPr>
          <w:p w14:paraId="5945AA5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77 801</w:t>
            </w:r>
          </w:p>
        </w:tc>
        <w:tc>
          <w:tcPr>
            <w:tcW w:w="851" w:type="dxa"/>
            <w:tcBorders>
              <w:left w:val="single" w:sz="4" w:space="0" w:color="auto"/>
              <w:right w:val="single" w:sz="4" w:space="0" w:color="auto"/>
            </w:tcBorders>
            <w:shd w:val="clear" w:color="auto" w:fill="auto"/>
          </w:tcPr>
          <w:p w14:paraId="60A5261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77 551</w:t>
            </w:r>
          </w:p>
        </w:tc>
        <w:tc>
          <w:tcPr>
            <w:tcW w:w="850" w:type="dxa"/>
            <w:tcBorders>
              <w:left w:val="single" w:sz="4" w:space="0" w:color="auto"/>
              <w:right w:val="single" w:sz="4" w:space="0" w:color="auto"/>
            </w:tcBorders>
            <w:shd w:val="clear" w:color="auto" w:fill="auto"/>
          </w:tcPr>
          <w:p w14:paraId="3AB35A0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21.9</w:t>
            </w:r>
          </w:p>
        </w:tc>
        <w:tc>
          <w:tcPr>
            <w:tcW w:w="851" w:type="dxa"/>
            <w:tcBorders>
              <w:left w:val="single" w:sz="4" w:space="0" w:color="auto"/>
              <w:right w:val="single" w:sz="4" w:space="0" w:color="auto"/>
            </w:tcBorders>
            <w:shd w:val="clear" w:color="auto" w:fill="auto"/>
          </w:tcPr>
          <w:p w14:paraId="0D91D3A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20.4</w:t>
            </w:r>
          </w:p>
        </w:tc>
        <w:tc>
          <w:tcPr>
            <w:tcW w:w="850" w:type="dxa"/>
            <w:tcBorders>
              <w:left w:val="single" w:sz="4" w:space="0" w:color="auto"/>
              <w:right w:val="single" w:sz="4" w:space="0" w:color="auto"/>
            </w:tcBorders>
            <w:shd w:val="clear" w:color="auto" w:fill="auto"/>
          </w:tcPr>
          <w:p w14:paraId="2E7172F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22.6</w:t>
            </w:r>
          </w:p>
        </w:tc>
        <w:tc>
          <w:tcPr>
            <w:tcW w:w="851" w:type="dxa"/>
            <w:tcBorders>
              <w:left w:val="single" w:sz="4" w:space="0" w:color="auto"/>
              <w:right w:val="single" w:sz="4" w:space="0" w:color="auto"/>
            </w:tcBorders>
            <w:shd w:val="clear" w:color="auto" w:fill="auto"/>
          </w:tcPr>
          <w:p w14:paraId="5154BB5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20.6</w:t>
            </w:r>
          </w:p>
        </w:tc>
      </w:tr>
      <w:tr w:rsidR="001C7F15" w:rsidRPr="001C7F15" w14:paraId="6DEC81B8" w14:textId="77777777" w:rsidTr="00E823BC">
        <w:trPr>
          <w:jc w:val="center"/>
        </w:trPr>
        <w:tc>
          <w:tcPr>
            <w:tcW w:w="1638" w:type="dxa"/>
            <w:tcBorders>
              <w:left w:val="single" w:sz="4" w:space="0" w:color="auto"/>
              <w:right w:val="single" w:sz="4" w:space="0" w:color="auto"/>
            </w:tcBorders>
            <w:shd w:val="clear" w:color="auto" w:fill="auto"/>
          </w:tcPr>
          <w:p w14:paraId="30BA9995"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Santander</w:t>
            </w:r>
          </w:p>
        </w:tc>
        <w:tc>
          <w:tcPr>
            <w:tcW w:w="992" w:type="dxa"/>
            <w:tcBorders>
              <w:left w:val="single" w:sz="4" w:space="0" w:color="auto"/>
              <w:right w:val="single" w:sz="4" w:space="0" w:color="auto"/>
            </w:tcBorders>
            <w:shd w:val="clear" w:color="auto" w:fill="auto"/>
          </w:tcPr>
          <w:p w14:paraId="01A2BAB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2 193 371</w:t>
            </w:r>
          </w:p>
        </w:tc>
        <w:tc>
          <w:tcPr>
            <w:tcW w:w="992" w:type="dxa"/>
            <w:tcBorders>
              <w:left w:val="single" w:sz="4" w:space="0" w:color="auto"/>
              <w:right w:val="single" w:sz="4" w:space="0" w:color="auto"/>
            </w:tcBorders>
            <w:shd w:val="clear" w:color="auto" w:fill="auto"/>
          </w:tcPr>
          <w:p w14:paraId="5AE243F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2 234 964</w:t>
            </w:r>
          </w:p>
        </w:tc>
        <w:tc>
          <w:tcPr>
            <w:tcW w:w="992" w:type="dxa"/>
            <w:tcBorders>
              <w:left w:val="single" w:sz="4" w:space="0" w:color="auto"/>
              <w:right w:val="single" w:sz="4" w:space="0" w:color="auto"/>
            </w:tcBorders>
            <w:shd w:val="clear" w:color="auto" w:fill="auto"/>
          </w:tcPr>
          <w:p w14:paraId="3557399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37 414</w:t>
            </w:r>
          </w:p>
        </w:tc>
        <w:tc>
          <w:tcPr>
            <w:tcW w:w="851" w:type="dxa"/>
            <w:tcBorders>
              <w:left w:val="single" w:sz="4" w:space="0" w:color="auto"/>
              <w:right w:val="single" w:sz="4" w:space="0" w:color="auto"/>
            </w:tcBorders>
            <w:shd w:val="clear" w:color="auto" w:fill="auto"/>
          </w:tcPr>
          <w:p w14:paraId="6E4A5F9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39 101</w:t>
            </w:r>
          </w:p>
        </w:tc>
        <w:tc>
          <w:tcPr>
            <w:tcW w:w="850" w:type="dxa"/>
            <w:tcBorders>
              <w:left w:val="single" w:sz="4" w:space="0" w:color="auto"/>
              <w:right w:val="single" w:sz="4" w:space="0" w:color="auto"/>
            </w:tcBorders>
            <w:shd w:val="clear" w:color="auto" w:fill="auto"/>
          </w:tcPr>
          <w:p w14:paraId="364284C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21.7</w:t>
            </w:r>
          </w:p>
        </w:tc>
        <w:tc>
          <w:tcPr>
            <w:tcW w:w="851" w:type="dxa"/>
            <w:tcBorders>
              <w:left w:val="single" w:sz="4" w:space="0" w:color="auto"/>
              <w:right w:val="single" w:sz="4" w:space="0" w:color="auto"/>
            </w:tcBorders>
            <w:shd w:val="clear" w:color="auto" w:fill="auto"/>
          </w:tcPr>
          <w:p w14:paraId="30ED1E5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20.6</w:t>
            </w:r>
          </w:p>
        </w:tc>
        <w:tc>
          <w:tcPr>
            <w:tcW w:w="850" w:type="dxa"/>
            <w:tcBorders>
              <w:left w:val="single" w:sz="4" w:space="0" w:color="auto"/>
              <w:right w:val="single" w:sz="4" w:space="0" w:color="auto"/>
            </w:tcBorders>
            <w:shd w:val="clear" w:color="auto" w:fill="auto"/>
          </w:tcPr>
          <w:p w14:paraId="13B0B03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22.8</w:t>
            </w:r>
          </w:p>
        </w:tc>
        <w:tc>
          <w:tcPr>
            <w:tcW w:w="851" w:type="dxa"/>
            <w:tcBorders>
              <w:left w:val="single" w:sz="4" w:space="0" w:color="auto"/>
              <w:right w:val="single" w:sz="4" w:space="0" w:color="auto"/>
            </w:tcBorders>
            <w:shd w:val="clear" w:color="auto" w:fill="auto"/>
          </w:tcPr>
          <w:p w14:paraId="7C65F17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20.0</w:t>
            </w:r>
          </w:p>
        </w:tc>
      </w:tr>
      <w:tr w:rsidR="001C7F15" w:rsidRPr="001C7F15" w14:paraId="702D3BBE" w14:textId="77777777" w:rsidTr="00E823BC">
        <w:trPr>
          <w:jc w:val="center"/>
        </w:trPr>
        <w:tc>
          <w:tcPr>
            <w:tcW w:w="1638" w:type="dxa"/>
            <w:tcBorders>
              <w:left w:val="single" w:sz="4" w:space="0" w:color="auto"/>
              <w:right w:val="single" w:sz="4" w:space="0" w:color="auto"/>
            </w:tcBorders>
            <w:shd w:val="clear" w:color="auto" w:fill="auto"/>
          </w:tcPr>
          <w:p w14:paraId="253971D9"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BanCoppel</w:t>
            </w:r>
          </w:p>
        </w:tc>
        <w:tc>
          <w:tcPr>
            <w:tcW w:w="992" w:type="dxa"/>
            <w:tcBorders>
              <w:left w:val="single" w:sz="4" w:space="0" w:color="auto"/>
              <w:right w:val="single" w:sz="4" w:space="0" w:color="auto"/>
            </w:tcBorders>
            <w:shd w:val="clear" w:color="auto" w:fill="auto"/>
          </w:tcPr>
          <w:p w14:paraId="27D14B0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1 020 600</w:t>
            </w:r>
          </w:p>
        </w:tc>
        <w:tc>
          <w:tcPr>
            <w:tcW w:w="992" w:type="dxa"/>
            <w:tcBorders>
              <w:left w:val="single" w:sz="4" w:space="0" w:color="auto"/>
              <w:right w:val="single" w:sz="4" w:space="0" w:color="auto"/>
            </w:tcBorders>
            <w:shd w:val="clear" w:color="auto" w:fill="auto"/>
          </w:tcPr>
          <w:p w14:paraId="23372F8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1 060 691</w:t>
            </w:r>
          </w:p>
        </w:tc>
        <w:tc>
          <w:tcPr>
            <w:tcW w:w="992" w:type="dxa"/>
            <w:tcBorders>
              <w:left w:val="single" w:sz="4" w:space="0" w:color="auto"/>
              <w:right w:val="single" w:sz="4" w:space="0" w:color="auto"/>
            </w:tcBorders>
            <w:shd w:val="clear" w:color="auto" w:fill="auto"/>
          </w:tcPr>
          <w:p w14:paraId="1727BA9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4 313</w:t>
            </w:r>
          </w:p>
        </w:tc>
        <w:tc>
          <w:tcPr>
            <w:tcW w:w="851" w:type="dxa"/>
            <w:tcBorders>
              <w:left w:val="single" w:sz="4" w:space="0" w:color="auto"/>
              <w:right w:val="single" w:sz="4" w:space="0" w:color="auto"/>
            </w:tcBorders>
            <w:shd w:val="clear" w:color="auto" w:fill="auto"/>
          </w:tcPr>
          <w:p w14:paraId="6A2E1D8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4 917</w:t>
            </w:r>
          </w:p>
        </w:tc>
        <w:tc>
          <w:tcPr>
            <w:tcW w:w="850" w:type="dxa"/>
            <w:tcBorders>
              <w:left w:val="single" w:sz="4" w:space="0" w:color="auto"/>
              <w:right w:val="single" w:sz="4" w:space="0" w:color="auto"/>
            </w:tcBorders>
            <w:shd w:val="clear" w:color="auto" w:fill="auto"/>
          </w:tcPr>
          <w:p w14:paraId="06309D3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52.3</w:t>
            </w:r>
          </w:p>
        </w:tc>
        <w:tc>
          <w:tcPr>
            <w:tcW w:w="851" w:type="dxa"/>
            <w:tcBorders>
              <w:left w:val="single" w:sz="4" w:space="0" w:color="auto"/>
              <w:right w:val="single" w:sz="4" w:space="0" w:color="auto"/>
            </w:tcBorders>
            <w:shd w:val="clear" w:color="auto" w:fill="auto"/>
          </w:tcPr>
          <w:p w14:paraId="120D000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51.6</w:t>
            </w:r>
          </w:p>
        </w:tc>
        <w:tc>
          <w:tcPr>
            <w:tcW w:w="850" w:type="dxa"/>
            <w:tcBorders>
              <w:left w:val="single" w:sz="4" w:space="0" w:color="auto"/>
              <w:right w:val="single" w:sz="4" w:space="0" w:color="auto"/>
            </w:tcBorders>
            <w:shd w:val="clear" w:color="auto" w:fill="auto"/>
          </w:tcPr>
          <w:p w14:paraId="17C708B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65.0</w:t>
            </w:r>
          </w:p>
        </w:tc>
        <w:tc>
          <w:tcPr>
            <w:tcW w:w="851" w:type="dxa"/>
            <w:tcBorders>
              <w:left w:val="single" w:sz="4" w:space="0" w:color="auto"/>
              <w:right w:val="single" w:sz="4" w:space="0" w:color="auto"/>
            </w:tcBorders>
            <w:shd w:val="clear" w:color="auto" w:fill="auto"/>
          </w:tcPr>
          <w:p w14:paraId="49A5940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65.0</w:t>
            </w:r>
          </w:p>
        </w:tc>
      </w:tr>
      <w:tr w:rsidR="001C7F15" w:rsidRPr="001C7F15" w14:paraId="0DBF98D2" w14:textId="77777777" w:rsidTr="00E823BC">
        <w:trPr>
          <w:jc w:val="center"/>
        </w:trPr>
        <w:tc>
          <w:tcPr>
            <w:tcW w:w="1638" w:type="dxa"/>
            <w:tcBorders>
              <w:left w:val="single" w:sz="4" w:space="0" w:color="auto"/>
              <w:right w:val="single" w:sz="4" w:space="0" w:color="auto"/>
            </w:tcBorders>
            <w:shd w:val="clear" w:color="auto" w:fill="auto"/>
          </w:tcPr>
          <w:p w14:paraId="1259C862"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Banorte-Ixe Tarjetas</w:t>
            </w:r>
          </w:p>
        </w:tc>
        <w:tc>
          <w:tcPr>
            <w:tcW w:w="992" w:type="dxa"/>
            <w:tcBorders>
              <w:left w:val="single" w:sz="4" w:space="0" w:color="auto"/>
              <w:right w:val="single" w:sz="4" w:space="0" w:color="auto"/>
            </w:tcBorders>
            <w:shd w:val="clear" w:color="auto" w:fill="auto"/>
          </w:tcPr>
          <w:p w14:paraId="196921D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977 014</w:t>
            </w:r>
          </w:p>
        </w:tc>
        <w:tc>
          <w:tcPr>
            <w:tcW w:w="992" w:type="dxa"/>
            <w:tcBorders>
              <w:left w:val="single" w:sz="4" w:space="0" w:color="auto"/>
              <w:right w:val="single" w:sz="4" w:space="0" w:color="auto"/>
            </w:tcBorders>
            <w:shd w:val="clear" w:color="auto" w:fill="auto"/>
          </w:tcPr>
          <w:p w14:paraId="7144A89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1 037 601</w:t>
            </w:r>
          </w:p>
        </w:tc>
        <w:tc>
          <w:tcPr>
            <w:tcW w:w="992" w:type="dxa"/>
            <w:tcBorders>
              <w:left w:val="single" w:sz="4" w:space="0" w:color="auto"/>
              <w:right w:val="single" w:sz="4" w:space="0" w:color="auto"/>
            </w:tcBorders>
            <w:shd w:val="clear" w:color="auto" w:fill="auto"/>
          </w:tcPr>
          <w:p w14:paraId="7205C25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15 729</w:t>
            </w:r>
          </w:p>
        </w:tc>
        <w:tc>
          <w:tcPr>
            <w:tcW w:w="851" w:type="dxa"/>
            <w:tcBorders>
              <w:left w:val="single" w:sz="4" w:space="0" w:color="auto"/>
              <w:right w:val="single" w:sz="4" w:space="0" w:color="auto"/>
            </w:tcBorders>
            <w:shd w:val="clear" w:color="auto" w:fill="auto"/>
          </w:tcPr>
          <w:p w14:paraId="61FD50B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17 585</w:t>
            </w:r>
          </w:p>
        </w:tc>
        <w:tc>
          <w:tcPr>
            <w:tcW w:w="850" w:type="dxa"/>
            <w:tcBorders>
              <w:left w:val="single" w:sz="4" w:space="0" w:color="auto"/>
              <w:right w:val="single" w:sz="4" w:space="0" w:color="auto"/>
            </w:tcBorders>
            <w:shd w:val="clear" w:color="auto" w:fill="auto"/>
          </w:tcPr>
          <w:p w14:paraId="4E0E062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24.1</w:t>
            </w:r>
          </w:p>
        </w:tc>
        <w:tc>
          <w:tcPr>
            <w:tcW w:w="851" w:type="dxa"/>
            <w:tcBorders>
              <w:left w:val="single" w:sz="4" w:space="0" w:color="auto"/>
              <w:right w:val="single" w:sz="4" w:space="0" w:color="auto"/>
            </w:tcBorders>
            <w:shd w:val="clear" w:color="auto" w:fill="auto"/>
          </w:tcPr>
          <w:p w14:paraId="0B0EA3D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24.8</w:t>
            </w:r>
          </w:p>
        </w:tc>
        <w:tc>
          <w:tcPr>
            <w:tcW w:w="850" w:type="dxa"/>
            <w:tcBorders>
              <w:left w:val="single" w:sz="4" w:space="0" w:color="auto"/>
              <w:right w:val="single" w:sz="4" w:space="0" w:color="auto"/>
            </w:tcBorders>
            <w:shd w:val="clear" w:color="auto" w:fill="auto"/>
          </w:tcPr>
          <w:p w14:paraId="4BB0463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20.3</w:t>
            </w:r>
          </w:p>
        </w:tc>
        <w:tc>
          <w:tcPr>
            <w:tcW w:w="851" w:type="dxa"/>
            <w:tcBorders>
              <w:left w:val="single" w:sz="4" w:space="0" w:color="auto"/>
              <w:right w:val="single" w:sz="4" w:space="0" w:color="auto"/>
            </w:tcBorders>
            <w:shd w:val="clear" w:color="auto" w:fill="auto"/>
          </w:tcPr>
          <w:p w14:paraId="4483C23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22.8</w:t>
            </w:r>
          </w:p>
        </w:tc>
      </w:tr>
      <w:tr w:rsidR="001C7F15" w:rsidRPr="001C7F15" w14:paraId="146043D4" w14:textId="77777777" w:rsidTr="00E823BC">
        <w:trPr>
          <w:jc w:val="center"/>
        </w:trPr>
        <w:tc>
          <w:tcPr>
            <w:tcW w:w="1638" w:type="dxa"/>
            <w:tcBorders>
              <w:left w:val="single" w:sz="4" w:space="0" w:color="auto"/>
              <w:right w:val="single" w:sz="4" w:space="0" w:color="auto"/>
            </w:tcBorders>
            <w:shd w:val="clear" w:color="auto" w:fill="auto"/>
          </w:tcPr>
          <w:p w14:paraId="0A567108"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HSBC</w:t>
            </w:r>
          </w:p>
        </w:tc>
        <w:tc>
          <w:tcPr>
            <w:tcW w:w="992" w:type="dxa"/>
            <w:tcBorders>
              <w:left w:val="single" w:sz="4" w:space="0" w:color="auto"/>
              <w:right w:val="single" w:sz="4" w:space="0" w:color="auto"/>
            </w:tcBorders>
            <w:shd w:val="clear" w:color="auto" w:fill="auto"/>
          </w:tcPr>
          <w:p w14:paraId="313AF0F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920 415</w:t>
            </w:r>
          </w:p>
        </w:tc>
        <w:tc>
          <w:tcPr>
            <w:tcW w:w="992" w:type="dxa"/>
            <w:tcBorders>
              <w:left w:val="single" w:sz="4" w:space="0" w:color="auto"/>
              <w:right w:val="single" w:sz="4" w:space="0" w:color="auto"/>
            </w:tcBorders>
            <w:shd w:val="clear" w:color="auto" w:fill="auto"/>
          </w:tcPr>
          <w:p w14:paraId="3D3BCC6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874 114</w:t>
            </w:r>
          </w:p>
        </w:tc>
        <w:tc>
          <w:tcPr>
            <w:tcW w:w="992" w:type="dxa"/>
            <w:tcBorders>
              <w:left w:val="single" w:sz="4" w:space="0" w:color="auto"/>
              <w:right w:val="single" w:sz="4" w:space="0" w:color="auto"/>
            </w:tcBorders>
            <w:shd w:val="clear" w:color="auto" w:fill="auto"/>
          </w:tcPr>
          <w:p w14:paraId="3A1DC25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14 256</w:t>
            </w:r>
          </w:p>
        </w:tc>
        <w:tc>
          <w:tcPr>
            <w:tcW w:w="851" w:type="dxa"/>
            <w:tcBorders>
              <w:left w:val="single" w:sz="4" w:space="0" w:color="auto"/>
              <w:right w:val="single" w:sz="4" w:space="0" w:color="auto"/>
            </w:tcBorders>
            <w:shd w:val="clear" w:color="auto" w:fill="auto"/>
          </w:tcPr>
          <w:p w14:paraId="22B4860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15 001</w:t>
            </w:r>
          </w:p>
        </w:tc>
        <w:tc>
          <w:tcPr>
            <w:tcW w:w="850" w:type="dxa"/>
            <w:tcBorders>
              <w:left w:val="single" w:sz="4" w:space="0" w:color="auto"/>
              <w:right w:val="single" w:sz="4" w:space="0" w:color="auto"/>
            </w:tcBorders>
            <w:shd w:val="clear" w:color="auto" w:fill="auto"/>
          </w:tcPr>
          <w:p w14:paraId="028683E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25.4</w:t>
            </w:r>
          </w:p>
        </w:tc>
        <w:tc>
          <w:tcPr>
            <w:tcW w:w="851" w:type="dxa"/>
            <w:tcBorders>
              <w:left w:val="single" w:sz="4" w:space="0" w:color="auto"/>
              <w:right w:val="single" w:sz="4" w:space="0" w:color="auto"/>
            </w:tcBorders>
            <w:shd w:val="clear" w:color="auto" w:fill="auto"/>
          </w:tcPr>
          <w:p w14:paraId="7D7EE1B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24.1</w:t>
            </w:r>
          </w:p>
        </w:tc>
        <w:tc>
          <w:tcPr>
            <w:tcW w:w="850" w:type="dxa"/>
            <w:tcBorders>
              <w:left w:val="single" w:sz="4" w:space="0" w:color="auto"/>
              <w:right w:val="single" w:sz="4" w:space="0" w:color="auto"/>
            </w:tcBorders>
            <w:shd w:val="clear" w:color="auto" w:fill="auto"/>
          </w:tcPr>
          <w:p w14:paraId="07A667E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28.1</w:t>
            </w:r>
          </w:p>
        </w:tc>
        <w:tc>
          <w:tcPr>
            <w:tcW w:w="851" w:type="dxa"/>
            <w:tcBorders>
              <w:left w:val="single" w:sz="4" w:space="0" w:color="auto"/>
              <w:right w:val="single" w:sz="4" w:space="0" w:color="auto"/>
            </w:tcBorders>
            <w:shd w:val="clear" w:color="auto" w:fill="auto"/>
          </w:tcPr>
          <w:p w14:paraId="15EBDBE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25.7</w:t>
            </w:r>
          </w:p>
        </w:tc>
      </w:tr>
      <w:tr w:rsidR="001C7F15" w:rsidRPr="001C7F15" w14:paraId="6CE51839" w14:textId="77777777" w:rsidTr="00E823BC">
        <w:trPr>
          <w:jc w:val="center"/>
        </w:trPr>
        <w:tc>
          <w:tcPr>
            <w:tcW w:w="1638" w:type="dxa"/>
            <w:tcBorders>
              <w:left w:val="single" w:sz="4" w:space="0" w:color="auto"/>
              <w:right w:val="single" w:sz="4" w:space="0" w:color="auto"/>
            </w:tcBorders>
            <w:shd w:val="clear" w:color="auto" w:fill="auto"/>
          </w:tcPr>
          <w:p w14:paraId="4C16C8BF"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Walmart</w:t>
            </w:r>
          </w:p>
        </w:tc>
        <w:tc>
          <w:tcPr>
            <w:tcW w:w="992" w:type="dxa"/>
            <w:tcBorders>
              <w:left w:val="single" w:sz="4" w:space="0" w:color="auto"/>
              <w:right w:val="single" w:sz="4" w:space="0" w:color="auto"/>
            </w:tcBorders>
            <w:shd w:val="clear" w:color="auto" w:fill="auto"/>
          </w:tcPr>
          <w:p w14:paraId="2120321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389 675</w:t>
            </w:r>
          </w:p>
        </w:tc>
        <w:tc>
          <w:tcPr>
            <w:tcW w:w="992" w:type="dxa"/>
            <w:tcBorders>
              <w:left w:val="single" w:sz="4" w:space="0" w:color="auto"/>
              <w:right w:val="single" w:sz="4" w:space="0" w:color="auto"/>
            </w:tcBorders>
            <w:shd w:val="clear" w:color="auto" w:fill="auto"/>
          </w:tcPr>
          <w:p w14:paraId="6B2E42A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565 447</w:t>
            </w:r>
          </w:p>
        </w:tc>
        <w:tc>
          <w:tcPr>
            <w:tcW w:w="992" w:type="dxa"/>
            <w:tcBorders>
              <w:left w:val="single" w:sz="4" w:space="0" w:color="auto"/>
              <w:right w:val="single" w:sz="4" w:space="0" w:color="auto"/>
            </w:tcBorders>
            <w:shd w:val="clear" w:color="auto" w:fill="auto"/>
          </w:tcPr>
          <w:p w14:paraId="68BF86C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2 114</w:t>
            </w:r>
          </w:p>
        </w:tc>
        <w:tc>
          <w:tcPr>
            <w:tcW w:w="851" w:type="dxa"/>
            <w:tcBorders>
              <w:left w:val="single" w:sz="4" w:space="0" w:color="auto"/>
              <w:right w:val="single" w:sz="4" w:space="0" w:color="auto"/>
            </w:tcBorders>
            <w:shd w:val="clear" w:color="auto" w:fill="auto"/>
          </w:tcPr>
          <w:p w14:paraId="16A3AF8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2 955</w:t>
            </w:r>
          </w:p>
        </w:tc>
        <w:tc>
          <w:tcPr>
            <w:tcW w:w="850" w:type="dxa"/>
            <w:tcBorders>
              <w:left w:val="single" w:sz="4" w:space="0" w:color="auto"/>
              <w:right w:val="single" w:sz="4" w:space="0" w:color="auto"/>
            </w:tcBorders>
            <w:shd w:val="clear" w:color="auto" w:fill="auto"/>
          </w:tcPr>
          <w:p w14:paraId="2090CED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20.6</w:t>
            </w:r>
          </w:p>
        </w:tc>
        <w:tc>
          <w:tcPr>
            <w:tcW w:w="851" w:type="dxa"/>
            <w:tcBorders>
              <w:left w:val="single" w:sz="4" w:space="0" w:color="auto"/>
              <w:right w:val="single" w:sz="4" w:space="0" w:color="auto"/>
            </w:tcBorders>
            <w:shd w:val="clear" w:color="auto" w:fill="auto"/>
          </w:tcPr>
          <w:p w14:paraId="6E5AF16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19.7</w:t>
            </w:r>
          </w:p>
        </w:tc>
        <w:tc>
          <w:tcPr>
            <w:tcW w:w="850" w:type="dxa"/>
            <w:tcBorders>
              <w:left w:val="single" w:sz="4" w:space="0" w:color="auto"/>
              <w:right w:val="single" w:sz="4" w:space="0" w:color="auto"/>
            </w:tcBorders>
            <w:shd w:val="clear" w:color="auto" w:fill="auto"/>
          </w:tcPr>
          <w:p w14:paraId="31ECEA1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w:t>
            </w:r>
          </w:p>
        </w:tc>
        <w:tc>
          <w:tcPr>
            <w:tcW w:w="851" w:type="dxa"/>
            <w:tcBorders>
              <w:left w:val="single" w:sz="4" w:space="0" w:color="auto"/>
              <w:right w:val="single" w:sz="4" w:space="0" w:color="auto"/>
            </w:tcBorders>
            <w:shd w:val="clear" w:color="auto" w:fill="auto"/>
          </w:tcPr>
          <w:p w14:paraId="68DC779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4.7</w:t>
            </w:r>
          </w:p>
        </w:tc>
      </w:tr>
      <w:tr w:rsidR="001C7F15" w:rsidRPr="001C7F15" w14:paraId="33B8DFB8" w14:textId="77777777" w:rsidTr="00E823BC">
        <w:trPr>
          <w:jc w:val="center"/>
        </w:trPr>
        <w:tc>
          <w:tcPr>
            <w:tcW w:w="1638" w:type="dxa"/>
            <w:tcBorders>
              <w:left w:val="single" w:sz="4" w:space="0" w:color="auto"/>
              <w:right w:val="single" w:sz="4" w:space="0" w:color="auto"/>
            </w:tcBorders>
            <w:shd w:val="clear" w:color="auto" w:fill="auto"/>
          </w:tcPr>
          <w:p w14:paraId="2BDF3546"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Scotiabank</w:t>
            </w:r>
          </w:p>
        </w:tc>
        <w:tc>
          <w:tcPr>
            <w:tcW w:w="992" w:type="dxa"/>
            <w:tcBorders>
              <w:left w:val="single" w:sz="4" w:space="0" w:color="auto"/>
              <w:right w:val="single" w:sz="4" w:space="0" w:color="auto"/>
            </w:tcBorders>
            <w:shd w:val="clear" w:color="auto" w:fill="auto"/>
          </w:tcPr>
          <w:p w14:paraId="2D0B8DE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341 507</w:t>
            </w:r>
          </w:p>
        </w:tc>
        <w:tc>
          <w:tcPr>
            <w:tcW w:w="992" w:type="dxa"/>
            <w:tcBorders>
              <w:left w:val="single" w:sz="4" w:space="0" w:color="auto"/>
              <w:right w:val="single" w:sz="4" w:space="0" w:color="auto"/>
            </w:tcBorders>
            <w:shd w:val="clear" w:color="auto" w:fill="auto"/>
          </w:tcPr>
          <w:p w14:paraId="2F50B29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373 515</w:t>
            </w:r>
          </w:p>
        </w:tc>
        <w:tc>
          <w:tcPr>
            <w:tcW w:w="992" w:type="dxa"/>
            <w:tcBorders>
              <w:left w:val="single" w:sz="4" w:space="0" w:color="auto"/>
              <w:right w:val="single" w:sz="4" w:space="0" w:color="auto"/>
            </w:tcBorders>
            <w:shd w:val="clear" w:color="auto" w:fill="auto"/>
          </w:tcPr>
          <w:p w14:paraId="45DFF72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4 381</w:t>
            </w:r>
          </w:p>
        </w:tc>
        <w:tc>
          <w:tcPr>
            <w:tcW w:w="851" w:type="dxa"/>
            <w:tcBorders>
              <w:left w:val="single" w:sz="4" w:space="0" w:color="auto"/>
              <w:right w:val="single" w:sz="4" w:space="0" w:color="auto"/>
            </w:tcBorders>
            <w:shd w:val="clear" w:color="auto" w:fill="auto"/>
          </w:tcPr>
          <w:p w14:paraId="3C18E0F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5 033</w:t>
            </w:r>
          </w:p>
        </w:tc>
        <w:tc>
          <w:tcPr>
            <w:tcW w:w="850" w:type="dxa"/>
            <w:tcBorders>
              <w:left w:val="single" w:sz="4" w:space="0" w:color="auto"/>
              <w:right w:val="single" w:sz="4" w:space="0" w:color="auto"/>
            </w:tcBorders>
            <w:shd w:val="clear" w:color="auto" w:fill="auto"/>
          </w:tcPr>
          <w:p w14:paraId="217B491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25.2</w:t>
            </w:r>
          </w:p>
        </w:tc>
        <w:tc>
          <w:tcPr>
            <w:tcW w:w="851" w:type="dxa"/>
            <w:tcBorders>
              <w:left w:val="single" w:sz="4" w:space="0" w:color="auto"/>
              <w:right w:val="single" w:sz="4" w:space="0" w:color="auto"/>
            </w:tcBorders>
            <w:shd w:val="clear" w:color="auto" w:fill="auto"/>
          </w:tcPr>
          <w:p w14:paraId="11B087C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24.4</w:t>
            </w:r>
          </w:p>
        </w:tc>
        <w:tc>
          <w:tcPr>
            <w:tcW w:w="850" w:type="dxa"/>
            <w:tcBorders>
              <w:left w:val="single" w:sz="4" w:space="0" w:color="auto"/>
              <w:right w:val="single" w:sz="4" w:space="0" w:color="auto"/>
            </w:tcBorders>
            <w:shd w:val="clear" w:color="auto" w:fill="auto"/>
          </w:tcPr>
          <w:p w14:paraId="3C5661A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31.6</w:t>
            </w:r>
          </w:p>
        </w:tc>
        <w:tc>
          <w:tcPr>
            <w:tcW w:w="851" w:type="dxa"/>
            <w:tcBorders>
              <w:left w:val="single" w:sz="4" w:space="0" w:color="auto"/>
              <w:right w:val="single" w:sz="4" w:space="0" w:color="auto"/>
            </w:tcBorders>
            <w:shd w:val="clear" w:color="auto" w:fill="auto"/>
          </w:tcPr>
          <w:p w14:paraId="58EDBEA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30.2</w:t>
            </w:r>
          </w:p>
        </w:tc>
      </w:tr>
      <w:tr w:rsidR="001C7F15" w:rsidRPr="001C7F15" w14:paraId="6802CBB0" w14:textId="77777777" w:rsidTr="00E823BC">
        <w:trPr>
          <w:jc w:val="center"/>
        </w:trPr>
        <w:tc>
          <w:tcPr>
            <w:tcW w:w="1638" w:type="dxa"/>
            <w:tcBorders>
              <w:left w:val="single" w:sz="4" w:space="0" w:color="auto"/>
              <w:right w:val="single" w:sz="4" w:space="0" w:color="auto"/>
            </w:tcBorders>
            <w:shd w:val="clear" w:color="auto" w:fill="auto"/>
          </w:tcPr>
          <w:p w14:paraId="566B6CC2"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American Express</w:t>
            </w:r>
          </w:p>
        </w:tc>
        <w:tc>
          <w:tcPr>
            <w:tcW w:w="992" w:type="dxa"/>
            <w:tcBorders>
              <w:left w:val="single" w:sz="4" w:space="0" w:color="auto"/>
              <w:right w:val="single" w:sz="4" w:space="0" w:color="auto"/>
            </w:tcBorders>
            <w:shd w:val="clear" w:color="auto" w:fill="auto"/>
          </w:tcPr>
          <w:p w14:paraId="7238434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358 768</w:t>
            </w:r>
          </w:p>
        </w:tc>
        <w:tc>
          <w:tcPr>
            <w:tcW w:w="992" w:type="dxa"/>
            <w:tcBorders>
              <w:left w:val="single" w:sz="4" w:space="0" w:color="auto"/>
              <w:right w:val="single" w:sz="4" w:space="0" w:color="auto"/>
            </w:tcBorders>
            <w:shd w:val="clear" w:color="auto" w:fill="auto"/>
          </w:tcPr>
          <w:p w14:paraId="737A4E8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365 858</w:t>
            </w:r>
          </w:p>
        </w:tc>
        <w:tc>
          <w:tcPr>
            <w:tcW w:w="992" w:type="dxa"/>
            <w:tcBorders>
              <w:left w:val="single" w:sz="4" w:space="0" w:color="auto"/>
              <w:right w:val="single" w:sz="4" w:space="0" w:color="auto"/>
            </w:tcBorders>
            <w:shd w:val="clear" w:color="auto" w:fill="auto"/>
          </w:tcPr>
          <w:p w14:paraId="3623EA4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6 721</w:t>
            </w:r>
          </w:p>
        </w:tc>
        <w:tc>
          <w:tcPr>
            <w:tcW w:w="851" w:type="dxa"/>
            <w:tcBorders>
              <w:left w:val="single" w:sz="4" w:space="0" w:color="auto"/>
              <w:right w:val="single" w:sz="4" w:space="0" w:color="auto"/>
            </w:tcBorders>
            <w:shd w:val="clear" w:color="auto" w:fill="auto"/>
          </w:tcPr>
          <w:p w14:paraId="1ADED5F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6 719</w:t>
            </w:r>
          </w:p>
        </w:tc>
        <w:tc>
          <w:tcPr>
            <w:tcW w:w="850" w:type="dxa"/>
            <w:tcBorders>
              <w:left w:val="single" w:sz="4" w:space="0" w:color="auto"/>
              <w:right w:val="single" w:sz="4" w:space="0" w:color="auto"/>
            </w:tcBorders>
            <w:shd w:val="clear" w:color="auto" w:fill="auto"/>
          </w:tcPr>
          <w:p w14:paraId="71C4605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25.0</w:t>
            </w:r>
          </w:p>
        </w:tc>
        <w:tc>
          <w:tcPr>
            <w:tcW w:w="851" w:type="dxa"/>
            <w:tcBorders>
              <w:left w:val="single" w:sz="4" w:space="0" w:color="auto"/>
              <w:right w:val="single" w:sz="4" w:space="0" w:color="auto"/>
            </w:tcBorders>
            <w:shd w:val="clear" w:color="auto" w:fill="auto"/>
          </w:tcPr>
          <w:p w14:paraId="15AFE49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24.5</w:t>
            </w:r>
          </w:p>
        </w:tc>
        <w:tc>
          <w:tcPr>
            <w:tcW w:w="850" w:type="dxa"/>
            <w:tcBorders>
              <w:left w:val="single" w:sz="4" w:space="0" w:color="auto"/>
              <w:right w:val="single" w:sz="4" w:space="0" w:color="auto"/>
            </w:tcBorders>
            <w:shd w:val="clear" w:color="auto" w:fill="auto"/>
          </w:tcPr>
          <w:p w14:paraId="17E1FEC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26.1</w:t>
            </w:r>
          </w:p>
        </w:tc>
        <w:tc>
          <w:tcPr>
            <w:tcW w:w="851" w:type="dxa"/>
            <w:tcBorders>
              <w:left w:val="single" w:sz="4" w:space="0" w:color="auto"/>
              <w:right w:val="single" w:sz="4" w:space="0" w:color="auto"/>
            </w:tcBorders>
            <w:shd w:val="clear" w:color="auto" w:fill="auto"/>
          </w:tcPr>
          <w:p w14:paraId="53F7E46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26.1</w:t>
            </w:r>
          </w:p>
        </w:tc>
      </w:tr>
      <w:tr w:rsidR="001C7F15" w:rsidRPr="001C7F15" w14:paraId="0F685735" w14:textId="77777777" w:rsidTr="00E823BC">
        <w:trPr>
          <w:jc w:val="center"/>
        </w:trPr>
        <w:tc>
          <w:tcPr>
            <w:tcW w:w="1638" w:type="dxa"/>
            <w:tcBorders>
              <w:left w:val="single" w:sz="4" w:space="0" w:color="auto"/>
              <w:right w:val="single" w:sz="4" w:space="0" w:color="auto"/>
            </w:tcBorders>
            <w:shd w:val="clear" w:color="auto" w:fill="auto"/>
          </w:tcPr>
          <w:p w14:paraId="4E4D1194"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Inbursa</w:t>
            </w:r>
          </w:p>
        </w:tc>
        <w:tc>
          <w:tcPr>
            <w:tcW w:w="992" w:type="dxa"/>
            <w:tcBorders>
              <w:left w:val="single" w:sz="4" w:space="0" w:color="auto"/>
              <w:right w:val="single" w:sz="4" w:space="0" w:color="auto"/>
            </w:tcBorders>
            <w:shd w:val="clear" w:color="auto" w:fill="auto"/>
          </w:tcPr>
          <w:p w14:paraId="7DA8312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288 312</w:t>
            </w:r>
          </w:p>
        </w:tc>
        <w:tc>
          <w:tcPr>
            <w:tcW w:w="992" w:type="dxa"/>
            <w:tcBorders>
              <w:left w:val="single" w:sz="4" w:space="0" w:color="auto"/>
              <w:right w:val="single" w:sz="4" w:space="0" w:color="auto"/>
            </w:tcBorders>
            <w:shd w:val="clear" w:color="auto" w:fill="auto"/>
          </w:tcPr>
          <w:p w14:paraId="3872B5E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304 917</w:t>
            </w:r>
          </w:p>
        </w:tc>
        <w:tc>
          <w:tcPr>
            <w:tcW w:w="992" w:type="dxa"/>
            <w:tcBorders>
              <w:left w:val="single" w:sz="4" w:space="0" w:color="auto"/>
              <w:right w:val="single" w:sz="4" w:space="0" w:color="auto"/>
            </w:tcBorders>
            <w:shd w:val="clear" w:color="auto" w:fill="auto"/>
          </w:tcPr>
          <w:p w14:paraId="23BA429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2 185</w:t>
            </w:r>
          </w:p>
        </w:tc>
        <w:tc>
          <w:tcPr>
            <w:tcW w:w="851" w:type="dxa"/>
            <w:tcBorders>
              <w:left w:val="single" w:sz="4" w:space="0" w:color="auto"/>
              <w:right w:val="single" w:sz="4" w:space="0" w:color="auto"/>
            </w:tcBorders>
            <w:shd w:val="clear" w:color="auto" w:fill="auto"/>
          </w:tcPr>
          <w:p w14:paraId="3B99F14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2 622</w:t>
            </w:r>
          </w:p>
        </w:tc>
        <w:tc>
          <w:tcPr>
            <w:tcW w:w="850" w:type="dxa"/>
            <w:tcBorders>
              <w:left w:val="single" w:sz="4" w:space="0" w:color="auto"/>
              <w:right w:val="single" w:sz="4" w:space="0" w:color="auto"/>
            </w:tcBorders>
            <w:shd w:val="clear" w:color="auto" w:fill="auto"/>
          </w:tcPr>
          <w:p w14:paraId="1BCAEB4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22.6</w:t>
            </w:r>
          </w:p>
        </w:tc>
        <w:tc>
          <w:tcPr>
            <w:tcW w:w="851" w:type="dxa"/>
            <w:tcBorders>
              <w:left w:val="single" w:sz="4" w:space="0" w:color="auto"/>
              <w:right w:val="single" w:sz="4" w:space="0" w:color="auto"/>
            </w:tcBorders>
            <w:shd w:val="clear" w:color="auto" w:fill="auto"/>
          </w:tcPr>
          <w:p w14:paraId="52B076C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23.7</w:t>
            </w:r>
          </w:p>
        </w:tc>
        <w:tc>
          <w:tcPr>
            <w:tcW w:w="850" w:type="dxa"/>
            <w:tcBorders>
              <w:left w:val="single" w:sz="4" w:space="0" w:color="auto"/>
              <w:right w:val="single" w:sz="4" w:space="0" w:color="auto"/>
            </w:tcBorders>
            <w:shd w:val="clear" w:color="auto" w:fill="auto"/>
          </w:tcPr>
          <w:p w14:paraId="56CA944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24.0</w:t>
            </w:r>
          </w:p>
        </w:tc>
        <w:tc>
          <w:tcPr>
            <w:tcW w:w="851" w:type="dxa"/>
            <w:tcBorders>
              <w:left w:val="single" w:sz="4" w:space="0" w:color="auto"/>
              <w:right w:val="single" w:sz="4" w:space="0" w:color="auto"/>
            </w:tcBorders>
            <w:shd w:val="clear" w:color="auto" w:fill="auto"/>
          </w:tcPr>
          <w:p w14:paraId="34A740A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27.8</w:t>
            </w:r>
          </w:p>
        </w:tc>
      </w:tr>
      <w:tr w:rsidR="001C7F15" w:rsidRPr="001C7F15" w14:paraId="0BEEB6E6" w14:textId="77777777" w:rsidTr="00E823BC">
        <w:trPr>
          <w:jc w:val="center"/>
        </w:trPr>
        <w:tc>
          <w:tcPr>
            <w:tcW w:w="1638" w:type="dxa"/>
            <w:tcBorders>
              <w:left w:val="single" w:sz="4" w:space="0" w:color="auto"/>
              <w:right w:val="single" w:sz="4" w:space="0" w:color="auto"/>
            </w:tcBorders>
            <w:shd w:val="clear" w:color="auto" w:fill="auto"/>
          </w:tcPr>
          <w:p w14:paraId="30E64E7E"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SF Soriana</w:t>
            </w:r>
          </w:p>
        </w:tc>
        <w:tc>
          <w:tcPr>
            <w:tcW w:w="992" w:type="dxa"/>
            <w:tcBorders>
              <w:left w:val="single" w:sz="4" w:space="0" w:color="auto"/>
              <w:right w:val="single" w:sz="4" w:space="0" w:color="auto"/>
            </w:tcBorders>
            <w:shd w:val="clear" w:color="auto" w:fill="auto"/>
          </w:tcPr>
          <w:p w14:paraId="0E5E012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99 850</w:t>
            </w:r>
          </w:p>
        </w:tc>
        <w:tc>
          <w:tcPr>
            <w:tcW w:w="992" w:type="dxa"/>
            <w:tcBorders>
              <w:left w:val="single" w:sz="4" w:space="0" w:color="auto"/>
              <w:right w:val="single" w:sz="4" w:space="0" w:color="auto"/>
            </w:tcBorders>
            <w:shd w:val="clear" w:color="auto" w:fill="auto"/>
          </w:tcPr>
          <w:p w14:paraId="475E222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112 701</w:t>
            </w:r>
          </w:p>
        </w:tc>
        <w:tc>
          <w:tcPr>
            <w:tcW w:w="992" w:type="dxa"/>
            <w:tcBorders>
              <w:left w:val="single" w:sz="4" w:space="0" w:color="auto"/>
              <w:right w:val="single" w:sz="4" w:space="0" w:color="auto"/>
            </w:tcBorders>
            <w:shd w:val="clear" w:color="auto" w:fill="auto"/>
          </w:tcPr>
          <w:p w14:paraId="01514A3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780</w:t>
            </w:r>
          </w:p>
        </w:tc>
        <w:tc>
          <w:tcPr>
            <w:tcW w:w="851" w:type="dxa"/>
            <w:tcBorders>
              <w:left w:val="single" w:sz="4" w:space="0" w:color="auto"/>
              <w:right w:val="single" w:sz="4" w:space="0" w:color="auto"/>
            </w:tcBorders>
            <w:shd w:val="clear" w:color="auto" w:fill="auto"/>
          </w:tcPr>
          <w:p w14:paraId="26984F0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880</w:t>
            </w:r>
          </w:p>
        </w:tc>
        <w:tc>
          <w:tcPr>
            <w:tcW w:w="850" w:type="dxa"/>
            <w:tcBorders>
              <w:left w:val="single" w:sz="4" w:space="0" w:color="auto"/>
              <w:right w:val="single" w:sz="4" w:space="0" w:color="auto"/>
            </w:tcBorders>
            <w:shd w:val="clear" w:color="auto" w:fill="auto"/>
          </w:tcPr>
          <w:p w14:paraId="3C1DC5B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25.9</w:t>
            </w:r>
          </w:p>
        </w:tc>
        <w:tc>
          <w:tcPr>
            <w:tcW w:w="851" w:type="dxa"/>
            <w:tcBorders>
              <w:left w:val="single" w:sz="4" w:space="0" w:color="auto"/>
              <w:right w:val="single" w:sz="4" w:space="0" w:color="auto"/>
            </w:tcBorders>
            <w:shd w:val="clear" w:color="auto" w:fill="auto"/>
          </w:tcPr>
          <w:p w14:paraId="5D361B6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25.3</w:t>
            </w:r>
          </w:p>
        </w:tc>
        <w:tc>
          <w:tcPr>
            <w:tcW w:w="850" w:type="dxa"/>
            <w:tcBorders>
              <w:left w:val="single" w:sz="4" w:space="0" w:color="auto"/>
              <w:right w:val="single" w:sz="4" w:space="0" w:color="auto"/>
            </w:tcBorders>
            <w:shd w:val="clear" w:color="auto" w:fill="auto"/>
          </w:tcPr>
          <w:p w14:paraId="7FC76AB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31.7</w:t>
            </w:r>
          </w:p>
        </w:tc>
        <w:tc>
          <w:tcPr>
            <w:tcW w:w="851" w:type="dxa"/>
            <w:tcBorders>
              <w:left w:val="single" w:sz="4" w:space="0" w:color="auto"/>
              <w:right w:val="single" w:sz="4" w:space="0" w:color="auto"/>
            </w:tcBorders>
            <w:shd w:val="clear" w:color="auto" w:fill="auto"/>
          </w:tcPr>
          <w:p w14:paraId="2055857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28.8</w:t>
            </w:r>
          </w:p>
        </w:tc>
      </w:tr>
      <w:tr w:rsidR="001C7F15" w:rsidRPr="001C7F15" w14:paraId="356ABF35" w14:textId="77777777" w:rsidTr="00E823BC">
        <w:trPr>
          <w:jc w:val="center"/>
        </w:trPr>
        <w:tc>
          <w:tcPr>
            <w:tcW w:w="1638" w:type="dxa"/>
            <w:tcBorders>
              <w:left w:val="single" w:sz="4" w:space="0" w:color="auto"/>
              <w:right w:val="single" w:sz="4" w:space="0" w:color="auto"/>
            </w:tcBorders>
            <w:shd w:val="clear" w:color="auto" w:fill="auto"/>
          </w:tcPr>
          <w:p w14:paraId="5FEB48A7"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Invex</w:t>
            </w:r>
          </w:p>
        </w:tc>
        <w:tc>
          <w:tcPr>
            <w:tcW w:w="992" w:type="dxa"/>
            <w:tcBorders>
              <w:left w:val="single" w:sz="4" w:space="0" w:color="auto"/>
              <w:right w:val="single" w:sz="4" w:space="0" w:color="auto"/>
            </w:tcBorders>
            <w:shd w:val="clear" w:color="auto" w:fill="auto"/>
          </w:tcPr>
          <w:p w14:paraId="604F2A3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55 312</w:t>
            </w:r>
          </w:p>
        </w:tc>
        <w:tc>
          <w:tcPr>
            <w:tcW w:w="992" w:type="dxa"/>
            <w:tcBorders>
              <w:left w:val="single" w:sz="4" w:space="0" w:color="auto"/>
              <w:right w:val="single" w:sz="4" w:space="0" w:color="auto"/>
            </w:tcBorders>
            <w:shd w:val="clear" w:color="auto" w:fill="auto"/>
          </w:tcPr>
          <w:p w14:paraId="5813BAB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86 378</w:t>
            </w:r>
          </w:p>
        </w:tc>
        <w:tc>
          <w:tcPr>
            <w:tcW w:w="992" w:type="dxa"/>
            <w:tcBorders>
              <w:left w:val="single" w:sz="4" w:space="0" w:color="auto"/>
              <w:right w:val="single" w:sz="4" w:space="0" w:color="auto"/>
            </w:tcBorders>
            <w:shd w:val="clear" w:color="auto" w:fill="auto"/>
          </w:tcPr>
          <w:p w14:paraId="07EE57B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736</w:t>
            </w:r>
          </w:p>
        </w:tc>
        <w:tc>
          <w:tcPr>
            <w:tcW w:w="851" w:type="dxa"/>
            <w:tcBorders>
              <w:left w:val="single" w:sz="4" w:space="0" w:color="auto"/>
              <w:right w:val="single" w:sz="4" w:space="0" w:color="auto"/>
            </w:tcBorders>
            <w:shd w:val="clear" w:color="auto" w:fill="auto"/>
          </w:tcPr>
          <w:p w14:paraId="5DA8F16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1 148</w:t>
            </w:r>
          </w:p>
        </w:tc>
        <w:tc>
          <w:tcPr>
            <w:tcW w:w="850" w:type="dxa"/>
            <w:tcBorders>
              <w:left w:val="single" w:sz="4" w:space="0" w:color="auto"/>
              <w:right w:val="single" w:sz="4" w:space="0" w:color="auto"/>
            </w:tcBorders>
            <w:shd w:val="clear" w:color="auto" w:fill="auto"/>
          </w:tcPr>
          <w:p w14:paraId="354122E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32.0</w:t>
            </w:r>
          </w:p>
        </w:tc>
        <w:tc>
          <w:tcPr>
            <w:tcW w:w="851" w:type="dxa"/>
            <w:tcBorders>
              <w:left w:val="single" w:sz="4" w:space="0" w:color="auto"/>
              <w:right w:val="single" w:sz="4" w:space="0" w:color="auto"/>
            </w:tcBorders>
            <w:shd w:val="clear" w:color="auto" w:fill="auto"/>
          </w:tcPr>
          <w:p w14:paraId="1EE3E94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30.4</w:t>
            </w:r>
          </w:p>
        </w:tc>
        <w:tc>
          <w:tcPr>
            <w:tcW w:w="850" w:type="dxa"/>
            <w:tcBorders>
              <w:left w:val="single" w:sz="4" w:space="0" w:color="auto"/>
              <w:right w:val="single" w:sz="4" w:space="0" w:color="auto"/>
            </w:tcBorders>
            <w:shd w:val="clear" w:color="auto" w:fill="auto"/>
          </w:tcPr>
          <w:p w14:paraId="2878427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35.7</w:t>
            </w:r>
          </w:p>
        </w:tc>
        <w:tc>
          <w:tcPr>
            <w:tcW w:w="851" w:type="dxa"/>
            <w:tcBorders>
              <w:left w:val="single" w:sz="4" w:space="0" w:color="auto"/>
              <w:right w:val="single" w:sz="4" w:space="0" w:color="auto"/>
            </w:tcBorders>
            <w:shd w:val="clear" w:color="auto" w:fill="auto"/>
          </w:tcPr>
          <w:p w14:paraId="2899F57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27.5</w:t>
            </w:r>
          </w:p>
        </w:tc>
      </w:tr>
      <w:tr w:rsidR="001C7F15" w:rsidRPr="001C7F15" w14:paraId="652D4BC1" w14:textId="77777777" w:rsidTr="00E823BC">
        <w:trPr>
          <w:jc w:val="center"/>
        </w:trPr>
        <w:tc>
          <w:tcPr>
            <w:tcW w:w="1638" w:type="dxa"/>
            <w:tcBorders>
              <w:left w:val="single" w:sz="4" w:space="0" w:color="auto"/>
              <w:right w:val="single" w:sz="4" w:space="0" w:color="auto"/>
            </w:tcBorders>
            <w:shd w:val="clear" w:color="auto" w:fill="auto"/>
          </w:tcPr>
          <w:p w14:paraId="5B361A16"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Banregio</w:t>
            </w:r>
          </w:p>
        </w:tc>
        <w:tc>
          <w:tcPr>
            <w:tcW w:w="992" w:type="dxa"/>
            <w:tcBorders>
              <w:left w:val="single" w:sz="4" w:space="0" w:color="auto"/>
              <w:right w:val="single" w:sz="4" w:space="0" w:color="auto"/>
            </w:tcBorders>
            <w:shd w:val="clear" w:color="auto" w:fill="auto"/>
          </w:tcPr>
          <w:p w14:paraId="4593A2E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23 654</w:t>
            </w:r>
          </w:p>
        </w:tc>
        <w:tc>
          <w:tcPr>
            <w:tcW w:w="992" w:type="dxa"/>
            <w:tcBorders>
              <w:left w:val="single" w:sz="4" w:space="0" w:color="auto"/>
              <w:right w:val="single" w:sz="4" w:space="0" w:color="auto"/>
            </w:tcBorders>
            <w:shd w:val="clear" w:color="auto" w:fill="auto"/>
          </w:tcPr>
          <w:p w14:paraId="4BDE04E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27 246</w:t>
            </w:r>
          </w:p>
        </w:tc>
        <w:tc>
          <w:tcPr>
            <w:tcW w:w="992" w:type="dxa"/>
            <w:tcBorders>
              <w:left w:val="single" w:sz="4" w:space="0" w:color="auto"/>
              <w:right w:val="single" w:sz="4" w:space="0" w:color="auto"/>
            </w:tcBorders>
            <w:shd w:val="clear" w:color="auto" w:fill="auto"/>
          </w:tcPr>
          <w:p w14:paraId="1F6F3BE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257</w:t>
            </w:r>
          </w:p>
        </w:tc>
        <w:tc>
          <w:tcPr>
            <w:tcW w:w="851" w:type="dxa"/>
            <w:tcBorders>
              <w:left w:val="single" w:sz="4" w:space="0" w:color="auto"/>
              <w:right w:val="single" w:sz="4" w:space="0" w:color="auto"/>
            </w:tcBorders>
            <w:shd w:val="clear" w:color="auto" w:fill="auto"/>
          </w:tcPr>
          <w:p w14:paraId="095AF8C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300</w:t>
            </w:r>
          </w:p>
        </w:tc>
        <w:tc>
          <w:tcPr>
            <w:tcW w:w="850" w:type="dxa"/>
            <w:tcBorders>
              <w:left w:val="single" w:sz="4" w:space="0" w:color="auto"/>
              <w:right w:val="single" w:sz="4" w:space="0" w:color="auto"/>
            </w:tcBorders>
            <w:shd w:val="clear" w:color="auto" w:fill="auto"/>
          </w:tcPr>
          <w:p w14:paraId="0206793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22.1</w:t>
            </w:r>
          </w:p>
        </w:tc>
        <w:tc>
          <w:tcPr>
            <w:tcW w:w="851" w:type="dxa"/>
            <w:tcBorders>
              <w:left w:val="single" w:sz="4" w:space="0" w:color="auto"/>
              <w:right w:val="single" w:sz="4" w:space="0" w:color="auto"/>
            </w:tcBorders>
            <w:shd w:val="clear" w:color="auto" w:fill="auto"/>
          </w:tcPr>
          <w:p w14:paraId="4D649F5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20.9</w:t>
            </w:r>
          </w:p>
        </w:tc>
        <w:tc>
          <w:tcPr>
            <w:tcW w:w="850" w:type="dxa"/>
            <w:tcBorders>
              <w:left w:val="single" w:sz="4" w:space="0" w:color="auto"/>
              <w:right w:val="single" w:sz="4" w:space="0" w:color="auto"/>
            </w:tcBorders>
            <w:shd w:val="clear" w:color="auto" w:fill="auto"/>
          </w:tcPr>
          <w:p w14:paraId="284202E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22.3</w:t>
            </w:r>
          </w:p>
        </w:tc>
        <w:tc>
          <w:tcPr>
            <w:tcW w:w="851" w:type="dxa"/>
            <w:tcBorders>
              <w:left w:val="single" w:sz="4" w:space="0" w:color="auto"/>
              <w:right w:val="single" w:sz="4" w:space="0" w:color="auto"/>
            </w:tcBorders>
            <w:shd w:val="clear" w:color="auto" w:fill="auto"/>
          </w:tcPr>
          <w:p w14:paraId="07766C8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21.3</w:t>
            </w:r>
          </w:p>
        </w:tc>
      </w:tr>
      <w:tr w:rsidR="001C7F15" w:rsidRPr="001C7F15" w14:paraId="41965334" w14:textId="77777777" w:rsidTr="00E823BC">
        <w:trPr>
          <w:jc w:val="center"/>
        </w:trPr>
        <w:tc>
          <w:tcPr>
            <w:tcW w:w="1638" w:type="dxa"/>
            <w:tcBorders>
              <w:left w:val="single" w:sz="4" w:space="0" w:color="auto"/>
              <w:right w:val="single" w:sz="4" w:space="0" w:color="auto"/>
            </w:tcBorders>
            <w:shd w:val="clear" w:color="auto" w:fill="auto"/>
          </w:tcPr>
          <w:p w14:paraId="15C0227A"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del Bajío</w:t>
            </w:r>
          </w:p>
        </w:tc>
        <w:tc>
          <w:tcPr>
            <w:tcW w:w="992" w:type="dxa"/>
            <w:tcBorders>
              <w:left w:val="single" w:sz="4" w:space="0" w:color="auto"/>
              <w:right w:val="single" w:sz="4" w:space="0" w:color="auto"/>
            </w:tcBorders>
            <w:shd w:val="clear" w:color="auto" w:fill="auto"/>
          </w:tcPr>
          <w:p w14:paraId="06F7635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14 186</w:t>
            </w:r>
          </w:p>
        </w:tc>
        <w:tc>
          <w:tcPr>
            <w:tcW w:w="992" w:type="dxa"/>
            <w:tcBorders>
              <w:left w:val="single" w:sz="4" w:space="0" w:color="auto"/>
              <w:right w:val="single" w:sz="4" w:space="0" w:color="auto"/>
            </w:tcBorders>
            <w:shd w:val="clear" w:color="auto" w:fill="auto"/>
          </w:tcPr>
          <w:p w14:paraId="5BAB8D5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22 034</w:t>
            </w:r>
          </w:p>
        </w:tc>
        <w:tc>
          <w:tcPr>
            <w:tcW w:w="992" w:type="dxa"/>
            <w:tcBorders>
              <w:left w:val="single" w:sz="4" w:space="0" w:color="auto"/>
              <w:right w:val="single" w:sz="4" w:space="0" w:color="auto"/>
            </w:tcBorders>
            <w:shd w:val="clear" w:color="auto" w:fill="auto"/>
          </w:tcPr>
          <w:p w14:paraId="5F5B644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150</w:t>
            </w:r>
          </w:p>
        </w:tc>
        <w:tc>
          <w:tcPr>
            <w:tcW w:w="851" w:type="dxa"/>
            <w:tcBorders>
              <w:left w:val="single" w:sz="4" w:space="0" w:color="auto"/>
              <w:right w:val="single" w:sz="4" w:space="0" w:color="auto"/>
            </w:tcBorders>
            <w:shd w:val="clear" w:color="auto" w:fill="auto"/>
          </w:tcPr>
          <w:p w14:paraId="5021FD4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296</w:t>
            </w:r>
          </w:p>
        </w:tc>
        <w:tc>
          <w:tcPr>
            <w:tcW w:w="850" w:type="dxa"/>
            <w:tcBorders>
              <w:left w:val="single" w:sz="4" w:space="0" w:color="auto"/>
              <w:right w:val="single" w:sz="4" w:space="0" w:color="auto"/>
            </w:tcBorders>
            <w:shd w:val="clear" w:color="auto" w:fill="auto"/>
          </w:tcPr>
          <w:p w14:paraId="42FEB40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18.5</w:t>
            </w:r>
          </w:p>
        </w:tc>
        <w:tc>
          <w:tcPr>
            <w:tcW w:w="851" w:type="dxa"/>
            <w:tcBorders>
              <w:left w:val="single" w:sz="4" w:space="0" w:color="auto"/>
              <w:right w:val="single" w:sz="4" w:space="0" w:color="auto"/>
            </w:tcBorders>
            <w:shd w:val="clear" w:color="auto" w:fill="auto"/>
          </w:tcPr>
          <w:p w14:paraId="404D80E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16.7</w:t>
            </w:r>
          </w:p>
        </w:tc>
        <w:tc>
          <w:tcPr>
            <w:tcW w:w="850" w:type="dxa"/>
            <w:tcBorders>
              <w:left w:val="single" w:sz="4" w:space="0" w:color="auto"/>
              <w:right w:val="single" w:sz="4" w:space="0" w:color="auto"/>
            </w:tcBorders>
            <w:shd w:val="clear" w:color="auto" w:fill="auto"/>
          </w:tcPr>
          <w:p w14:paraId="7858051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23.0</w:t>
            </w:r>
          </w:p>
        </w:tc>
        <w:tc>
          <w:tcPr>
            <w:tcW w:w="851" w:type="dxa"/>
            <w:tcBorders>
              <w:left w:val="single" w:sz="4" w:space="0" w:color="auto"/>
              <w:right w:val="single" w:sz="4" w:space="0" w:color="auto"/>
            </w:tcBorders>
            <w:shd w:val="clear" w:color="auto" w:fill="auto"/>
          </w:tcPr>
          <w:p w14:paraId="63C96E3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20.4</w:t>
            </w:r>
          </w:p>
        </w:tc>
      </w:tr>
      <w:tr w:rsidR="001C7F15" w:rsidRPr="001C7F15" w14:paraId="439B85F0" w14:textId="77777777" w:rsidTr="00E823BC">
        <w:trPr>
          <w:jc w:val="center"/>
        </w:trPr>
        <w:tc>
          <w:tcPr>
            <w:tcW w:w="1638" w:type="dxa"/>
            <w:tcBorders>
              <w:left w:val="single" w:sz="4" w:space="0" w:color="auto"/>
              <w:right w:val="single" w:sz="4" w:space="0" w:color="auto"/>
            </w:tcBorders>
            <w:shd w:val="clear" w:color="auto" w:fill="auto"/>
          </w:tcPr>
          <w:p w14:paraId="3F02CB35"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Crédito Familiar</w:t>
            </w:r>
          </w:p>
        </w:tc>
        <w:tc>
          <w:tcPr>
            <w:tcW w:w="992" w:type="dxa"/>
            <w:tcBorders>
              <w:left w:val="single" w:sz="4" w:space="0" w:color="auto"/>
              <w:right w:val="single" w:sz="4" w:space="0" w:color="auto"/>
            </w:tcBorders>
            <w:shd w:val="clear" w:color="auto" w:fill="auto"/>
          </w:tcPr>
          <w:p w14:paraId="693A778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992" w:type="dxa"/>
            <w:tcBorders>
              <w:left w:val="single" w:sz="4" w:space="0" w:color="auto"/>
              <w:right w:val="single" w:sz="4" w:space="0" w:color="auto"/>
            </w:tcBorders>
            <w:shd w:val="clear" w:color="auto" w:fill="auto"/>
          </w:tcPr>
          <w:p w14:paraId="0307AC7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21 260</w:t>
            </w:r>
          </w:p>
        </w:tc>
        <w:tc>
          <w:tcPr>
            <w:tcW w:w="992" w:type="dxa"/>
            <w:tcBorders>
              <w:left w:val="single" w:sz="4" w:space="0" w:color="auto"/>
              <w:right w:val="single" w:sz="4" w:space="0" w:color="auto"/>
            </w:tcBorders>
            <w:shd w:val="clear" w:color="auto" w:fill="auto"/>
          </w:tcPr>
          <w:p w14:paraId="58701CD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851" w:type="dxa"/>
            <w:tcBorders>
              <w:left w:val="single" w:sz="4" w:space="0" w:color="auto"/>
              <w:right w:val="single" w:sz="4" w:space="0" w:color="auto"/>
            </w:tcBorders>
            <w:shd w:val="clear" w:color="auto" w:fill="auto"/>
          </w:tcPr>
          <w:p w14:paraId="600EFBC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88</w:t>
            </w:r>
          </w:p>
        </w:tc>
        <w:tc>
          <w:tcPr>
            <w:tcW w:w="850" w:type="dxa"/>
            <w:tcBorders>
              <w:left w:val="single" w:sz="4" w:space="0" w:color="auto"/>
              <w:right w:val="single" w:sz="4" w:space="0" w:color="auto"/>
            </w:tcBorders>
            <w:shd w:val="clear" w:color="auto" w:fill="auto"/>
          </w:tcPr>
          <w:p w14:paraId="39DE27C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851" w:type="dxa"/>
            <w:tcBorders>
              <w:left w:val="single" w:sz="4" w:space="0" w:color="auto"/>
              <w:right w:val="single" w:sz="4" w:space="0" w:color="auto"/>
            </w:tcBorders>
            <w:shd w:val="clear" w:color="auto" w:fill="auto"/>
          </w:tcPr>
          <w:p w14:paraId="1AA914B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45.0</w:t>
            </w:r>
          </w:p>
        </w:tc>
        <w:tc>
          <w:tcPr>
            <w:tcW w:w="850" w:type="dxa"/>
            <w:tcBorders>
              <w:left w:val="single" w:sz="4" w:space="0" w:color="auto"/>
              <w:right w:val="single" w:sz="4" w:space="0" w:color="auto"/>
            </w:tcBorders>
            <w:shd w:val="clear" w:color="auto" w:fill="auto"/>
          </w:tcPr>
          <w:p w14:paraId="638CDAB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851" w:type="dxa"/>
            <w:tcBorders>
              <w:left w:val="single" w:sz="4" w:space="0" w:color="auto"/>
              <w:right w:val="single" w:sz="4" w:space="0" w:color="auto"/>
            </w:tcBorders>
            <w:shd w:val="clear" w:color="auto" w:fill="auto"/>
          </w:tcPr>
          <w:p w14:paraId="2DAF92B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53.8</w:t>
            </w:r>
          </w:p>
        </w:tc>
      </w:tr>
      <w:tr w:rsidR="001C7F15" w:rsidRPr="001C7F15" w14:paraId="2DF1BCA0" w14:textId="77777777" w:rsidTr="00E823BC">
        <w:trPr>
          <w:jc w:val="center"/>
        </w:trPr>
        <w:tc>
          <w:tcPr>
            <w:tcW w:w="1638" w:type="dxa"/>
            <w:tcBorders>
              <w:left w:val="single" w:sz="4" w:space="0" w:color="auto"/>
              <w:right w:val="single" w:sz="4" w:space="0" w:color="auto"/>
            </w:tcBorders>
            <w:shd w:val="clear" w:color="auto" w:fill="auto"/>
          </w:tcPr>
          <w:p w14:paraId="406E28C5"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Banca Afirme</w:t>
            </w:r>
          </w:p>
        </w:tc>
        <w:tc>
          <w:tcPr>
            <w:tcW w:w="992" w:type="dxa"/>
            <w:tcBorders>
              <w:left w:val="single" w:sz="4" w:space="0" w:color="auto"/>
              <w:right w:val="single" w:sz="4" w:space="0" w:color="auto"/>
            </w:tcBorders>
            <w:shd w:val="clear" w:color="auto" w:fill="auto"/>
          </w:tcPr>
          <w:p w14:paraId="5D1EEC9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12 636</w:t>
            </w:r>
          </w:p>
        </w:tc>
        <w:tc>
          <w:tcPr>
            <w:tcW w:w="992" w:type="dxa"/>
            <w:tcBorders>
              <w:left w:val="single" w:sz="4" w:space="0" w:color="auto"/>
              <w:right w:val="single" w:sz="4" w:space="0" w:color="auto"/>
            </w:tcBorders>
            <w:shd w:val="clear" w:color="auto" w:fill="auto"/>
          </w:tcPr>
          <w:p w14:paraId="0666A98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15 202</w:t>
            </w:r>
          </w:p>
        </w:tc>
        <w:tc>
          <w:tcPr>
            <w:tcW w:w="992" w:type="dxa"/>
            <w:tcBorders>
              <w:left w:val="single" w:sz="4" w:space="0" w:color="auto"/>
              <w:right w:val="single" w:sz="4" w:space="0" w:color="auto"/>
            </w:tcBorders>
            <w:shd w:val="clear" w:color="auto" w:fill="auto"/>
          </w:tcPr>
          <w:p w14:paraId="2B828FF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121</w:t>
            </w:r>
          </w:p>
        </w:tc>
        <w:tc>
          <w:tcPr>
            <w:tcW w:w="851" w:type="dxa"/>
            <w:tcBorders>
              <w:left w:val="single" w:sz="4" w:space="0" w:color="auto"/>
              <w:right w:val="single" w:sz="4" w:space="0" w:color="auto"/>
            </w:tcBorders>
            <w:shd w:val="clear" w:color="auto" w:fill="auto"/>
          </w:tcPr>
          <w:p w14:paraId="4ADA9E9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135</w:t>
            </w:r>
          </w:p>
        </w:tc>
        <w:tc>
          <w:tcPr>
            <w:tcW w:w="850" w:type="dxa"/>
            <w:tcBorders>
              <w:left w:val="single" w:sz="4" w:space="0" w:color="auto"/>
              <w:right w:val="single" w:sz="4" w:space="0" w:color="auto"/>
            </w:tcBorders>
            <w:shd w:val="clear" w:color="auto" w:fill="auto"/>
          </w:tcPr>
          <w:p w14:paraId="40041F1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33.1</w:t>
            </w:r>
          </w:p>
        </w:tc>
        <w:tc>
          <w:tcPr>
            <w:tcW w:w="851" w:type="dxa"/>
            <w:tcBorders>
              <w:left w:val="single" w:sz="4" w:space="0" w:color="auto"/>
              <w:right w:val="single" w:sz="4" w:space="0" w:color="auto"/>
            </w:tcBorders>
            <w:shd w:val="clear" w:color="auto" w:fill="auto"/>
          </w:tcPr>
          <w:p w14:paraId="792898D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31.5</w:t>
            </w:r>
          </w:p>
        </w:tc>
        <w:tc>
          <w:tcPr>
            <w:tcW w:w="850" w:type="dxa"/>
            <w:tcBorders>
              <w:left w:val="single" w:sz="4" w:space="0" w:color="auto"/>
              <w:right w:val="single" w:sz="4" w:space="0" w:color="auto"/>
            </w:tcBorders>
            <w:shd w:val="clear" w:color="auto" w:fill="auto"/>
          </w:tcPr>
          <w:p w14:paraId="257BEC1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41.9</w:t>
            </w:r>
          </w:p>
        </w:tc>
        <w:tc>
          <w:tcPr>
            <w:tcW w:w="851" w:type="dxa"/>
            <w:tcBorders>
              <w:left w:val="single" w:sz="4" w:space="0" w:color="auto"/>
              <w:right w:val="single" w:sz="4" w:space="0" w:color="auto"/>
            </w:tcBorders>
            <w:shd w:val="clear" w:color="auto" w:fill="auto"/>
          </w:tcPr>
          <w:p w14:paraId="1E1BDCC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39.8</w:t>
            </w:r>
          </w:p>
        </w:tc>
      </w:tr>
      <w:tr w:rsidR="001C7F15" w:rsidRPr="001C7F15" w14:paraId="3D070884" w14:textId="77777777" w:rsidTr="00E823BC">
        <w:trPr>
          <w:jc w:val="center"/>
        </w:trPr>
        <w:tc>
          <w:tcPr>
            <w:tcW w:w="1638" w:type="dxa"/>
            <w:tcBorders>
              <w:left w:val="single" w:sz="4" w:space="0" w:color="auto"/>
              <w:right w:val="single" w:sz="4" w:space="0" w:color="auto"/>
            </w:tcBorders>
            <w:shd w:val="clear" w:color="auto" w:fill="auto"/>
          </w:tcPr>
          <w:p w14:paraId="2DDE030B"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ConsuBanco</w:t>
            </w:r>
          </w:p>
        </w:tc>
        <w:tc>
          <w:tcPr>
            <w:tcW w:w="992" w:type="dxa"/>
            <w:tcBorders>
              <w:left w:val="single" w:sz="4" w:space="0" w:color="auto"/>
              <w:right w:val="single" w:sz="4" w:space="0" w:color="auto"/>
            </w:tcBorders>
            <w:shd w:val="clear" w:color="auto" w:fill="auto"/>
          </w:tcPr>
          <w:p w14:paraId="39278A5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11 417</w:t>
            </w:r>
          </w:p>
        </w:tc>
        <w:tc>
          <w:tcPr>
            <w:tcW w:w="992" w:type="dxa"/>
            <w:tcBorders>
              <w:left w:val="single" w:sz="4" w:space="0" w:color="auto"/>
              <w:right w:val="single" w:sz="4" w:space="0" w:color="auto"/>
            </w:tcBorders>
            <w:shd w:val="clear" w:color="auto" w:fill="auto"/>
          </w:tcPr>
          <w:p w14:paraId="3CF2570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10 836</w:t>
            </w:r>
          </w:p>
        </w:tc>
        <w:tc>
          <w:tcPr>
            <w:tcW w:w="992" w:type="dxa"/>
            <w:tcBorders>
              <w:left w:val="single" w:sz="4" w:space="0" w:color="auto"/>
              <w:right w:val="single" w:sz="4" w:space="0" w:color="auto"/>
            </w:tcBorders>
            <w:shd w:val="clear" w:color="auto" w:fill="auto"/>
          </w:tcPr>
          <w:p w14:paraId="3800E52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w:t>
            </w:r>
          </w:p>
        </w:tc>
        <w:tc>
          <w:tcPr>
            <w:tcW w:w="851" w:type="dxa"/>
            <w:tcBorders>
              <w:left w:val="single" w:sz="4" w:space="0" w:color="auto"/>
              <w:right w:val="single" w:sz="4" w:space="0" w:color="auto"/>
            </w:tcBorders>
            <w:shd w:val="clear" w:color="auto" w:fill="auto"/>
          </w:tcPr>
          <w:p w14:paraId="15640BE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w:t>
            </w:r>
          </w:p>
        </w:tc>
        <w:tc>
          <w:tcPr>
            <w:tcW w:w="850" w:type="dxa"/>
            <w:tcBorders>
              <w:left w:val="single" w:sz="4" w:space="0" w:color="auto"/>
              <w:right w:val="single" w:sz="4" w:space="0" w:color="auto"/>
            </w:tcBorders>
            <w:shd w:val="clear" w:color="auto" w:fill="auto"/>
          </w:tcPr>
          <w:p w14:paraId="3A2A0EC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53.4</w:t>
            </w:r>
          </w:p>
        </w:tc>
        <w:tc>
          <w:tcPr>
            <w:tcW w:w="851" w:type="dxa"/>
            <w:tcBorders>
              <w:left w:val="single" w:sz="4" w:space="0" w:color="auto"/>
              <w:right w:val="single" w:sz="4" w:space="0" w:color="auto"/>
            </w:tcBorders>
            <w:shd w:val="clear" w:color="auto" w:fill="auto"/>
          </w:tcPr>
          <w:p w14:paraId="7A861BB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53.1</w:t>
            </w:r>
          </w:p>
        </w:tc>
        <w:tc>
          <w:tcPr>
            <w:tcW w:w="850" w:type="dxa"/>
            <w:tcBorders>
              <w:left w:val="single" w:sz="4" w:space="0" w:color="auto"/>
              <w:right w:val="single" w:sz="4" w:space="0" w:color="auto"/>
            </w:tcBorders>
            <w:shd w:val="clear" w:color="auto" w:fill="auto"/>
          </w:tcPr>
          <w:p w14:paraId="05E3495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58.0</w:t>
            </w:r>
          </w:p>
        </w:tc>
        <w:tc>
          <w:tcPr>
            <w:tcW w:w="851" w:type="dxa"/>
            <w:tcBorders>
              <w:left w:val="single" w:sz="4" w:space="0" w:color="auto"/>
              <w:right w:val="single" w:sz="4" w:space="0" w:color="auto"/>
            </w:tcBorders>
            <w:shd w:val="clear" w:color="auto" w:fill="auto"/>
          </w:tcPr>
          <w:p w14:paraId="7B81C8F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58.0</w:t>
            </w:r>
          </w:p>
        </w:tc>
      </w:tr>
      <w:tr w:rsidR="001C7F15" w:rsidRPr="001C7F15" w14:paraId="71CAB2BB" w14:textId="77777777" w:rsidTr="00E823BC">
        <w:trPr>
          <w:jc w:val="center"/>
        </w:trPr>
        <w:tc>
          <w:tcPr>
            <w:tcW w:w="1638" w:type="dxa"/>
            <w:tcBorders>
              <w:left w:val="single" w:sz="4" w:space="0" w:color="auto"/>
              <w:bottom w:val="single" w:sz="4" w:space="0" w:color="auto"/>
              <w:right w:val="single" w:sz="4" w:space="0" w:color="auto"/>
            </w:tcBorders>
            <w:shd w:val="clear" w:color="auto" w:fill="auto"/>
          </w:tcPr>
          <w:p w14:paraId="51DE7BB4" w14:textId="77777777" w:rsidR="001C7F15" w:rsidRPr="001C7F15" w:rsidRDefault="001C7F15" w:rsidP="001C7F15">
            <w:pPr>
              <w:autoSpaceDE w:val="0"/>
              <w:autoSpaceDN w:val="0"/>
              <w:adjustRightInd w:val="0"/>
              <w:spacing w:before="40" w:after="120"/>
              <w:jc w:val="both"/>
              <w:rPr>
                <w:rFonts w:eastAsia="Calibri"/>
                <w:bCs/>
                <w:sz w:val="16"/>
                <w:szCs w:val="16"/>
                <w:lang w:eastAsia="en-US"/>
              </w:rPr>
            </w:pPr>
            <w:r w:rsidRPr="001C7F15">
              <w:rPr>
                <w:rFonts w:eastAsia="Calibri"/>
                <w:bCs/>
                <w:sz w:val="16"/>
                <w:szCs w:val="16"/>
                <w:lang w:eastAsia="en-US"/>
              </w:rPr>
              <w:t>CrediScotia</w:t>
            </w:r>
          </w:p>
        </w:tc>
        <w:tc>
          <w:tcPr>
            <w:tcW w:w="992" w:type="dxa"/>
            <w:tcBorders>
              <w:left w:val="single" w:sz="4" w:space="0" w:color="auto"/>
              <w:bottom w:val="single" w:sz="4" w:space="0" w:color="auto"/>
              <w:right w:val="single" w:sz="4" w:space="0" w:color="auto"/>
            </w:tcBorders>
            <w:shd w:val="clear" w:color="auto" w:fill="auto"/>
          </w:tcPr>
          <w:p w14:paraId="5F3C9AB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35 556</w:t>
            </w:r>
          </w:p>
        </w:tc>
        <w:tc>
          <w:tcPr>
            <w:tcW w:w="992" w:type="dxa"/>
            <w:tcBorders>
              <w:left w:val="single" w:sz="4" w:space="0" w:color="auto"/>
              <w:bottom w:val="single" w:sz="4" w:space="0" w:color="auto"/>
              <w:right w:val="single" w:sz="4" w:space="0" w:color="auto"/>
            </w:tcBorders>
            <w:shd w:val="clear" w:color="auto" w:fill="auto"/>
          </w:tcPr>
          <w:p w14:paraId="3308D8D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7 966</w:t>
            </w:r>
          </w:p>
        </w:tc>
        <w:tc>
          <w:tcPr>
            <w:tcW w:w="992" w:type="dxa"/>
            <w:tcBorders>
              <w:left w:val="single" w:sz="4" w:space="0" w:color="auto"/>
              <w:bottom w:val="single" w:sz="4" w:space="0" w:color="auto"/>
              <w:right w:val="single" w:sz="4" w:space="0" w:color="auto"/>
            </w:tcBorders>
            <w:shd w:val="clear" w:color="auto" w:fill="auto"/>
          </w:tcPr>
          <w:p w14:paraId="75729E7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193</w:t>
            </w:r>
          </w:p>
        </w:tc>
        <w:tc>
          <w:tcPr>
            <w:tcW w:w="851" w:type="dxa"/>
            <w:tcBorders>
              <w:left w:val="single" w:sz="4" w:space="0" w:color="auto"/>
              <w:bottom w:val="single" w:sz="4" w:space="0" w:color="auto"/>
              <w:right w:val="single" w:sz="4" w:space="0" w:color="auto"/>
            </w:tcBorders>
            <w:shd w:val="clear" w:color="auto" w:fill="auto"/>
          </w:tcPr>
          <w:p w14:paraId="4935510F"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70</w:t>
            </w:r>
          </w:p>
        </w:tc>
        <w:tc>
          <w:tcPr>
            <w:tcW w:w="850" w:type="dxa"/>
            <w:tcBorders>
              <w:left w:val="single" w:sz="4" w:space="0" w:color="auto"/>
              <w:bottom w:val="single" w:sz="4" w:space="0" w:color="auto"/>
              <w:right w:val="single" w:sz="4" w:space="0" w:color="auto"/>
            </w:tcBorders>
            <w:shd w:val="clear" w:color="auto" w:fill="auto"/>
          </w:tcPr>
          <w:p w14:paraId="1D73779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44.9</w:t>
            </w:r>
          </w:p>
        </w:tc>
        <w:tc>
          <w:tcPr>
            <w:tcW w:w="851" w:type="dxa"/>
            <w:tcBorders>
              <w:left w:val="single" w:sz="4" w:space="0" w:color="auto"/>
              <w:bottom w:val="single" w:sz="4" w:space="0" w:color="auto"/>
              <w:right w:val="single" w:sz="4" w:space="0" w:color="auto"/>
            </w:tcBorders>
            <w:shd w:val="clear" w:color="auto" w:fill="auto"/>
          </w:tcPr>
          <w:p w14:paraId="71C02FE6"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37.2</w:t>
            </w:r>
          </w:p>
        </w:tc>
        <w:tc>
          <w:tcPr>
            <w:tcW w:w="850" w:type="dxa"/>
            <w:tcBorders>
              <w:left w:val="single" w:sz="4" w:space="0" w:color="auto"/>
              <w:bottom w:val="single" w:sz="4" w:space="0" w:color="auto"/>
              <w:right w:val="single" w:sz="4" w:space="0" w:color="auto"/>
            </w:tcBorders>
            <w:shd w:val="clear" w:color="auto" w:fill="auto"/>
          </w:tcPr>
          <w:p w14:paraId="74FA8C67"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45.1</w:t>
            </w:r>
          </w:p>
        </w:tc>
        <w:tc>
          <w:tcPr>
            <w:tcW w:w="851" w:type="dxa"/>
            <w:tcBorders>
              <w:left w:val="single" w:sz="4" w:space="0" w:color="auto"/>
              <w:bottom w:val="single" w:sz="4" w:space="0" w:color="auto"/>
              <w:right w:val="single" w:sz="4" w:space="0" w:color="auto"/>
            </w:tcBorders>
            <w:shd w:val="clear" w:color="auto" w:fill="auto"/>
          </w:tcPr>
          <w:p w14:paraId="4AE9436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39.4</w:t>
            </w:r>
          </w:p>
        </w:tc>
      </w:tr>
      <w:tr w:rsidR="001C7F15" w:rsidRPr="001C7F15" w14:paraId="3AA1D2DD" w14:textId="77777777" w:rsidTr="00E823BC">
        <w:trPr>
          <w:jc w:val="center"/>
        </w:trPr>
        <w:tc>
          <w:tcPr>
            <w:tcW w:w="8867" w:type="dxa"/>
            <w:gridSpan w:val="9"/>
            <w:tcBorders>
              <w:top w:val="single" w:sz="4" w:space="0" w:color="auto"/>
              <w:bottom w:val="nil"/>
            </w:tcBorders>
            <w:shd w:val="clear" w:color="auto" w:fill="auto"/>
          </w:tcPr>
          <w:p w14:paraId="0837AF9D" w14:textId="77777777" w:rsidR="001C7F15" w:rsidRPr="001C7F15" w:rsidRDefault="001C7F15" w:rsidP="00667577">
            <w:pPr>
              <w:numPr>
                <w:ilvl w:val="0"/>
                <w:numId w:val="190"/>
              </w:numPr>
              <w:autoSpaceDE w:val="0"/>
              <w:autoSpaceDN w:val="0"/>
              <w:adjustRightInd w:val="0"/>
              <w:spacing w:before="120"/>
              <w:ind w:left="357" w:hanging="357"/>
              <w:contextualSpacing/>
              <w:jc w:val="both"/>
              <w:rPr>
                <w:rFonts w:eastAsia="Calibri"/>
                <w:bCs/>
                <w:sz w:val="20"/>
                <w:szCs w:val="20"/>
                <w:lang w:eastAsia="en-US"/>
              </w:rPr>
            </w:pPr>
            <w:r w:rsidRPr="001C7F15">
              <w:rPr>
                <w:rFonts w:eastAsia="Calibri"/>
                <w:bCs/>
                <w:sz w:val="20"/>
                <w:szCs w:val="20"/>
                <w:lang w:eastAsia="en-US"/>
              </w:rPr>
              <w:t>Los bancos están ordenados respecto al número de tarjetas de los clientes totaleros y no totaleros en agosto de 2014.</w:t>
            </w:r>
          </w:p>
          <w:p w14:paraId="5B58E14A" w14:textId="77777777" w:rsidR="001C7F15" w:rsidRPr="001C7F15" w:rsidRDefault="001C7F15" w:rsidP="001C7F15">
            <w:pPr>
              <w:autoSpaceDE w:val="0"/>
              <w:autoSpaceDN w:val="0"/>
              <w:adjustRightInd w:val="0"/>
              <w:jc w:val="both"/>
              <w:rPr>
                <w:rFonts w:eastAsia="Calibri"/>
                <w:bCs/>
                <w:sz w:val="20"/>
                <w:szCs w:val="20"/>
                <w:lang w:eastAsia="en-US"/>
              </w:rPr>
            </w:pPr>
            <w:r w:rsidRPr="001C7F15">
              <w:rPr>
                <w:rFonts w:eastAsia="Calibri"/>
                <w:bCs/>
                <w:sz w:val="20"/>
                <w:szCs w:val="20"/>
                <w:lang w:eastAsia="en-US"/>
              </w:rPr>
              <w:t>n. a. = No aplica.</w:t>
            </w:r>
          </w:p>
          <w:p w14:paraId="7BC7CA1E" w14:textId="77777777" w:rsidR="001C7F15" w:rsidRPr="001C7F15" w:rsidRDefault="001C7F15" w:rsidP="001C7F15">
            <w:pPr>
              <w:autoSpaceDE w:val="0"/>
              <w:autoSpaceDN w:val="0"/>
              <w:adjustRightInd w:val="0"/>
              <w:spacing w:before="40" w:after="120"/>
              <w:jc w:val="both"/>
              <w:rPr>
                <w:rFonts w:eastAsia="Calibri"/>
                <w:b/>
                <w:bCs/>
                <w:sz w:val="16"/>
                <w:szCs w:val="16"/>
                <w:lang w:eastAsia="en-US"/>
              </w:rPr>
            </w:pPr>
            <w:r w:rsidRPr="001C7F15">
              <w:rPr>
                <w:rFonts w:eastAsia="Calibri"/>
                <w:bCs/>
                <w:sz w:val="20"/>
                <w:szCs w:val="20"/>
                <w:lang w:eastAsia="en-US"/>
              </w:rPr>
              <w:t>FUENTE: Banxico, con datos proporcionados por las instituciones de crédito; cifras sujetas a revisión.</w:t>
            </w:r>
          </w:p>
        </w:tc>
      </w:tr>
    </w:tbl>
    <w:p w14:paraId="6D234CC3" w14:textId="77777777" w:rsidR="001C7F15" w:rsidRPr="001C7F15" w:rsidRDefault="001C7F15" w:rsidP="001C7F15">
      <w:pPr>
        <w:spacing w:after="360" w:line="360" w:lineRule="auto"/>
        <w:ind w:right="-159"/>
        <w:jc w:val="both"/>
        <w:rPr>
          <w:rFonts w:eastAsia="Times New Roman"/>
          <w:bCs/>
          <w:sz w:val="26"/>
          <w:szCs w:val="26"/>
          <w:lang w:val="es-ES"/>
        </w:rPr>
      </w:pPr>
    </w:p>
    <w:p w14:paraId="7E44C4EE" w14:textId="77777777" w:rsidR="001C7F15" w:rsidRPr="001C7F15" w:rsidRDefault="001C7F15" w:rsidP="001C7F15">
      <w:pPr>
        <w:spacing w:after="360" w:line="360" w:lineRule="auto"/>
        <w:ind w:right="-159"/>
        <w:jc w:val="both"/>
        <w:rPr>
          <w:rFonts w:eastAsia="Times New Roman"/>
          <w:bCs/>
          <w:sz w:val="26"/>
          <w:szCs w:val="26"/>
          <w:lang w:val="es-ES"/>
        </w:rPr>
      </w:pPr>
    </w:p>
    <w:p w14:paraId="2F43D479" w14:textId="77777777" w:rsidR="001C7F15" w:rsidRPr="001C7F15" w:rsidRDefault="001C7F15" w:rsidP="001C7F15">
      <w:pPr>
        <w:spacing w:after="360" w:line="360" w:lineRule="auto"/>
        <w:ind w:right="-159"/>
        <w:jc w:val="both"/>
        <w:rPr>
          <w:rFonts w:eastAsia="Times New Roman"/>
          <w:bCs/>
          <w:sz w:val="26"/>
          <w:szCs w:val="26"/>
          <w:lang w:val="es-ES"/>
        </w:rPr>
      </w:pPr>
    </w:p>
    <w:p w14:paraId="583B0317" w14:textId="77777777" w:rsidR="001C7F15" w:rsidRPr="001C7F15" w:rsidRDefault="001C7F15" w:rsidP="001C7F15">
      <w:pPr>
        <w:spacing w:after="360" w:line="360" w:lineRule="auto"/>
        <w:ind w:right="-159"/>
        <w:jc w:val="both"/>
        <w:rPr>
          <w:rFonts w:eastAsia="Times New Roman"/>
          <w:bCs/>
          <w:sz w:val="26"/>
          <w:szCs w:val="26"/>
          <w:lang w:val="es-ES"/>
        </w:rPr>
      </w:pPr>
    </w:p>
    <w:tbl>
      <w:tblPr>
        <w:tblW w:w="8897" w:type="dxa"/>
        <w:jc w:val="center"/>
        <w:tblLayout w:type="fixed"/>
        <w:tblLook w:val="04A0" w:firstRow="1" w:lastRow="0" w:firstColumn="1" w:lastColumn="0" w:noHBand="0" w:noVBand="1"/>
      </w:tblPr>
      <w:tblGrid>
        <w:gridCol w:w="1731"/>
        <w:gridCol w:w="993"/>
        <w:gridCol w:w="992"/>
        <w:gridCol w:w="928"/>
        <w:gridCol w:w="851"/>
        <w:gridCol w:w="850"/>
        <w:gridCol w:w="851"/>
        <w:gridCol w:w="850"/>
        <w:gridCol w:w="851"/>
      </w:tblGrid>
      <w:tr w:rsidR="001C7F15" w:rsidRPr="001C7F15" w14:paraId="1D6D6395" w14:textId="77777777" w:rsidTr="001C7F15">
        <w:trPr>
          <w:jc w:val="center"/>
        </w:trPr>
        <w:tc>
          <w:tcPr>
            <w:tcW w:w="8897" w:type="dxa"/>
            <w:gridSpan w:val="9"/>
            <w:tcBorders>
              <w:top w:val="nil"/>
              <w:bottom w:val="single" w:sz="4" w:space="0" w:color="auto"/>
            </w:tcBorders>
            <w:shd w:val="clear" w:color="auto" w:fill="auto"/>
            <w:vAlign w:val="center"/>
          </w:tcPr>
          <w:p w14:paraId="744F333B" w14:textId="040F77FD"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INFORMACIÓN BÁSICA PARA LOS CLIENTES NO TOTALEROS</w:t>
            </w:r>
          </w:p>
        </w:tc>
      </w:tr>
      <w:tr w:rsidR="001C7F15" w:rsidRPr="001C7F15" w14:paraId="6E5ABC97" w14:textId="77777777" w:rsidTr="00E823BC">
        <w:trPr>
          <w:jc w:val="center"/>
        </w:trPr>
        <w:tc>
          <w:tcPr>
            <w:tcW w:w="1731" w:type="dxa"/>
            <w:vMerge w:val="restart"/>
            <w:tcBorders>
              <w:top w:val="single" w:sz="4" w:space="0" w:color="auto"/>
              <w:left w:val="single" w:sz="4" w:space="0" w:color="auto"/>
              <w:right w:val="single" w:sz="4" w:space="0" w:color="auto"/>
            </w:tcBorders>
            <w:shd w:val="clear" w:color="auto" w:fill="auto"/>
            <w:vAlign w:val="center"/>
          </w:tcPr>
          <w:p w14:paraId="08921C6E" w14:textId="77777777" w:rsidR="001C7F15" w:rsidRPr="001C7F15" w:rsidRDefault="001C7F15" w:rsidP="001C7F15">
            <w:pPr>
              <w:jc w:val="center"/>
              <w:rPr>
                <w:rFonts w:eastAsia="Calibri"/>
                <w:bCs/>
                <w:sz w:val="16"/>
                <w:szCs w:val="16"/>
                <w:lang w:eastAsia="en-US"/>
              </w:rPr>
            </w:pP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95E8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tarjetas</w:t>
            </w:r>
          </w:p>
        </w:tc>
        <w:tc>
          <w:tcPr>
            <w:tcW w:w="17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B840F"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Saldo de crédito otorgado</w:t>
            </w:r>
          </w:p>
          <w:p w14:paraId="4E55FD5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-Millones de pesos-</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45D1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Tasa efectiva promedio ponderada -En porcentaje-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48343"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Tasa efectiva mediana</w:t>
            </w:r>
          </w:p>
          <w:p w14:paraId="45BC92D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-En porcentaje-</w:t>
            </w:r>
          </w:p>
        </w:tc>
      </w:tr>
      <w:tr w:rsidR="001C7F15" w:rsidRPr="001C7F15" w14:paraId="636049CC" w14:textId="77777777" w:rsidTr="00E823BC">
        <w:trPr>
          <w:jc w:val="center"/>
        </w:trPr>
        <w:tc>
          <w:tcPr>
            <w:tcW w:w="1731" w:type="dxa"/>
            <w:vMerge/>
            <w:tcBorders>
              <w:left w:val="single" w:sz="4" w:space="0" w:color="auto"/>
              <w:right w:val="single" w:sz="4" w:space="0" w:color="auto"/>
            </w:tcBorders>
            <w:shd w:val="clear" w:color="auto" w:fill="auto"/>
            <w:vAlign w:val="center"/>
          </w:tcPr>
          <w:p w14:paraId="2A01CF50" w14:textId="77777777" w:rsidR="001C7F15" w:rsidRPr="001C7F15" w:rsidRDefault="001C7F15" w:rsidP="001C7F15">
            <w:pPr>
              <w:rPr>
                <w:rFonts w:eastAsia="Calibri"/>
                <w:bCs/>
                <w:sz w:val="16"/>
                <w:szCs w:val="16"/>
                <w:lang w:eastAsia="en-US"/>
              </w:rPr>
            </w:pPr>
          </w:p>
        </w:tc>
        <w:tc>
          <w:tcPr>
            <w:tcW w:w="716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27AFD9E"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Agosto</w:t>
            </w:r>
          </w:p>
        </w:tc>
      </w:tr>
      <w:tr w:rsidR="001C7F15" w:rsidRPr="001C7F15" w14:paraId="2DB2FADB" w14:textId="77777777" w:rsidTr="00E823BC">
        <w:trPr>
          <w:jc w:val="center"/>
        </w:trPr>
        <w:tc>
          <w:tcPr>
            <w:tcW w:w="1731" w:type="dxa"/>
            <w:vMerge/>
            <w:tcBorders>
              <w:left w:val="single" w:sz="4" w:space="0" w:color="auto"/>
              <w:bottom w:val="single" w:sz="4" w:space="0" w:color="auto"/>
              <w:right w:val="single" w:sz="4" w:space="0" w:color="auto"/>
            </w:tcBorders>
            <w:shd w:val="clear" w:color="auto" w:fill="auto"/>
            <w:vAlign w:val="center"/>
          </w:tcPr>
          <w:p w14:paraId="7FFC082C" w14:textId="77777777" w:rsidR="001C7F15" w:rsidRPr="001C7F15" w:rsidRDefault="001C7F15" w:rsidP="001C7F15">
            <w:pPr>
              <w:rPr>
                <w:rFonts w:eastAsia="Calibri"/>
                <w:bCs/>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2D283D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195CC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508E73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19AAD7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FDF74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03AC4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6F582C0"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A5E0EF"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r>
      <w:tr w:rsidR="001C7F15" w:rsidRPr="001C7F15" w14:paraId="19CFAC58" w14:textId="77777777" w:rsidTr="00E823BC">
        <w:trPr>
          <w:jc w:val="center"/>
        </w:trPr>
        <w:tc>
          <w:tcPr>
            <w:tcW w:w="1731" w:type="dxa"/>
            <w:tcBorders>
              <w:top w:val="single" w:sz="4" w:space="0" w:color="auto"/>
              <w:left w:val="single" w:sz="4" w:space="0" w:color="auto"/>
              <w:bottom w:val="nil"/>
              <w:right w:val="single" w:sz="4" w:space="0" w:color="auto"/>
            </w:tcBorders>
            <w:shd w:val="clear" w:color="auto" w:fill="auto"/>
          </w:tcPr>
          <w:p w14:paraId="464E68B8" w14:textId="77777777" w:rsidR="001C7F15" w:rsidRPr="001C7F15" w:rsidRDefault="001C7F15" w:rsidP="001C7F15">
            <w:pPr>
              <w:autoSpaceDE w:val="0"/>
              <w:autoSpaceDN w:val="0"/>
              <w:adjustRightInd w:val="0"/>
              <w:spacing w:before="120" w:after="40"/>
              <w:jc w:val="both"/>
              <w:rPr>
                <w:rFonts w:eastAsia="Calibri"/>
                <w:b/>
                <w:bCs/>
                <w:sz w:val="18"/>
                <w:szCs w:val="18"/>
                <w:lang w:eastAsia="en-US"/>
              </w:rPr>
            </w:pPr>
            <w:r w:rsidRPr="001C7F15">
              <w:rPr>
                <w:rFonts w:eastAsia="Calibri"/>
                <w:b/>
                <w:bCs/>
                <w:sz w:val="18"/>
                <w:szCs w:val="18"/>
                <w:lang w:eastAsia="en-US"/>
              </w:rPr>
              <w:t>Sistema*</w:t>
            </w:r>
          </w:p>
        </w:tc>
        <w:tc>
          <w:tcPr>
            <w:tcW w:w="993" w:type="dxa"/>
            <w:tcBorders>
              <w:top w:val="single" w:sz="4" w:space="0" w:color="auto"/>
              <w:left w:val="single" w:sz="4" w:space="0" w:color="auto"/>
              <w:bottom w:val="nil"/>
              <w:right w:val="single" w:sz="4" w:space="0" w:color="auto"/>
            </w:tcBorders>
            <w:shd w:val="clear" w:color="auto" w:fill="auto"/>
          </w:tcPr>
          <w:p w14:paraId="4914276C" w14:textId="77777777" w:rsidR="001C7F15" w:rsidRPr="001C7F15" w:rsidRDefault="001C7F15" w:rsidP="001C7F15">
            <w:pPr>
              <w:autoSpaceDE w:val="0"/>
              <w:autoSpaceDN w:val="0"/>
              <w:adjustRightInd w:val="0"/>
              <w:spacing w:before="120" w:after="40"/>
              <w:jc w:val="right"/>
              <w:rPr>
                <w:rFonts w:eastAsia="Calibri"/>
                <w:b/>
                <w:sz w:val="18"/>
                <w:szCs w:val="18"/>
                <w:lang w:eastAsia="en-US"/>
              </w:rPr>
            </w:pPr>
            <w:r w:rsidRPr="001C7F15">
              <w:rPr>
                <w:rFonts w:eastAsia="Calibri"/>
                <w:b/>
                <w:sz w:val="18"/>
                <w:szCs w:val="18"/>
                <w:lang w:eastAsia="en-US"/>
              </w:rPr>
              <w:t>9 250 497</w:t>
            </w:r>
          </w:p>
        </w:tc>
        <w:tc>
          <w:tcPr>
            <w:tcW w:w="992" w:type="dxa"/>
            <w:tcBorders>
              <w:top w:val="single" w:sz="4" w:space="0" w:color="auto"/>
              <w:left w:val="single" w:sz="4" w:space="0" w:color="auto"/>
              <w:bottom w:val="nil"/>
              <w:right w:val="single" w:sz="4" w:space="0" w:color="auto"/>
            </w:tcBorders>
            <w:shd w:val="clear" w:color="auto" w:fill="auto"/>
          </w:tcPr>
          <w:p w14:paraId="25392624" w14:textId="77777777" w:rsidR="001C7F15" w:rsidRPr="001C7F15" w:rsidRDefault="001C7F15" w:rsidP="001C7F15">
            <w:pPr>
              <w:autoSpaceDE w:val="0"/>
              <w:autoSpaceDN w:val="0"/>
              <w:adjustRightInd w:val="0"/>
              <w:spacing w:before="120" w:after="40"/>
              <w:jc w:val="right"/>
              <w:rPr>
                <w:rFonts w:eastAsia="Calibri"/>
                <w:b/>
                <w:sz w:val="18"/>
                <w:szCs w:val="18"/>
                <w:lang w:eastAsia="en-US"/>
              </w:rPr>
            </w:pPr>
            <w:r w:rsidRPr="001C7F15">
              <w:rPr>
                <w:rFonts w:eastAsia="Calibri"/>
                <w:b/>
                <w:sz w:val="18"/>
                <w:szCs w:val="18"/>
                <w:lang w:eastAsia="en-US"/>
              </w:rPr>
              <w:t>9 018 591</w:t>
            </w:r>
          </w:p>
        </w:tc>
        <w:tc>
          <w:tcPr>
            <w:tcW w:w="928" w:type="dxa"/>
            <w:tcBorders>
              <w:top w:val="single" w:sz="4" w:space="0" w:color="auto"/>
              <w:left w:val="single" w:sz="4" w:space="0" w:color="auto"/>
              <w:bottom w:val="nil"/>
              <w:right w:val="single" w:sz="4" w:space="0" w:color="auto"/>
            </w:tcBorders>
            <w:shd w:val="clear" w:color="auto" w:fill="auto"/>
          </w:tcPr>
          <w:p w14:paraId="1C78E6A2" w14:textId="77777777" w:rsidR="001C7F15" w:rsidRPr="001C7F15" w:rsidRDefault="001C7F15" w:rsidP="001C7F15">
            <w:pPr>
              <w:autoSpaceDE w:val="0"/>
              <w:autoSpaceDN w:val="0"/>
              <w:adjustRightInd w:val="0"/>
              <w:spacing w:before="120" w:after="40"/>
              <w:jc w:val="right"/>
              <w:rPr>
                <w:rFonts w:eastAsia="Calibri"/>
                <w:b/>
                <w:sz w:val="18"/>
                <w:szCs w:val="18"/>
                <w:lang w:eastAsia="en-US"/>
              </w:rPr>
            </w:pPr>
            <w:r w:rsidRPr="001C7F15">
              <w:rPr>
                <w:rFonts w:eastAsia="Calibri"/>
                <w:b/>
                <w:sz w:val="18"/>
                <w:szCs w:val="18"/>
                <w:lang w:eastAsia="en-US"/>
              </w:rPr>
              <w:t>192 651</w:t>
            </w:r>
          </w:p>
        </w:tc>
        <w:tc>
          <w:tcPr>
            <w:tcW w:w="851" w:type="dxa"/>
            <w:tcBorders>
              <w:top w:val="single" w:sz="4" w:space="0" w:color="auto"/>
              <w:left w:val="single" w:sz="4" w:space="0" w:color="auto"/>
              <w:bottom w:val="nil"/>
              <w:right w:val="single" w:sz="4" w:space="0" w:color="auto"/>
            </w:tcBorders>
            <w:shd w:val="clear" w:color="auto" w:fill="auto"/>
          </w:tcPr>
          <w:p w14:paraId="65348720" w14:textId="77777777" w:rsidR="001C7F15" w:rsidRPr="001C7F15" w:rsidRDefault="001C7F15" w:rsidP="001C7F15">
            <w:pPr>
              <w:autoSpaceDE w:val="0"/>
              <w:autoSpaceDN w:val="0"/>
              <w:adjustRightInd w:val="0"/>
              <w:spacing w:before="120" w:after="40"/>
              <w:jc w:val="right"/>
              <w:rPr>
                <w:rFonts w:eastAsia="Calibri"/>
                <w:b/>
                <w:sz w:val="18"/>
                <w:szCs w:val="18"/>
                <w:lang w:eastAsia="en-US"/>
              </w:rPr>
            </w:pPr>
            <w:r w:rsidRPr="001C7F15">
              <w:rPr>
                <w:rFonts w:eastAsia="Calibri"/>
                <w:b/>
                <w:sz w:val="18"/>
                <w:szCs w:val="18"/>
                <w:lang w:eastAsia="en-US"/>
              </w:rPr>
              <w:t>197 816</w:t>
            </w:r>
          </w:p>
        </w:tc>
        <w:tc>
          <w:tcPr>
            <w:tcW w:w="850" w:type="dxa"/>
            <w:tcBorders>
              <w:top w:val="single" w:sz="4" w:space="0" w:color="auto"/>
              <w:left w:val="single" w:sz="4" w:space="0" w:color="auto"/>
              <w:bottom w:val="nil"/>
              <w:right w:val="single" w:sz="4" w:space="0" w:color="auto"/>
            </w:tcBorders>
            <w:shd w:val="clear" w:color="auto" w:fill="auto"/>
          </w:tcPr>
          <w:p w14:paraId="2B30D242" w14:textId="77777777" w:rsidR="001C7F15" w:rsidRPr="001C7F15" w:rsidRDefault="001C7F15" w:rsidP="001C7F15">
            <w:pPr>
              <w:autoSpaceDE w:val="0"/>
              <w:autoSpaceDN w:val="0"/>
              <w:adjustRightInd w:val="0"/>
              <w:spacing w:before="120" w:after="40"/>
              <w:ind w:right="113"/>
              <w:jc w:val="right"/>
              <w:rPr>
                <w:rFonts w:eastAsia="Calibri"/>
                <w:b/>
                <w:sz w:val="18"/>
                <w:szCs w:val="18"/>
                <w:lang w:eastAsia="en-US"/>
              </w:rPr>
            </w:pPr>
            <w:r w:rsidRPr="001C7F15">
              <w:rPr>
                <w:rFonts w:eastAsia="Calibri"/>
                <w:b/>
                <w:sz w:val="18"/>
                <w:szCs w:val="18"/>
                <w:lang w:eastAsia="en-US"/>
              </w:rPr>
              <w:t>30.2</w:t>
            </w:r>
          </w:p>
        </w:tc>
        <w:tc>
          <w:tcPr>
            <w:tcW w:w="851" w:type="dxa"/>
            <w:tcBorders>
              <w:top w:val="single" w:sz="4" w:space="0" w:color="auto"/>
              <w:left w:val="single" w:sz="4" w:space="0" w:color="auto"/>
              <w:bottom w:val="nil"/>
              <w:right w:val="single" w:sz="4" w:space="0" w:color="auto"/>
            </w:tcBorders>
            <w:shd w:val="clear" w:color="auto" w:fill="auto"/>
          </w:tcPr>
          <w:p w14:paraId="0AFEFC94" w14:textId="77777777" w:rsidR="001C7F15" w:rsidRPr="001C7F15" w:rsidRDefault="001C7F15" w:rsidP="001C7F15">
            <w:pPr>
              <w:autoSpaceDE w:val="0"/>
              <w:autoSpaceDN w:val="0"/>
              <w:adjustRightInd w:val="0"/>
              <w:spacing w:before="120" w:after="40"/>
              <w:ind w:right="113"/>
              <w:jc w:val="right"/>
              <w:rPr>
                <w:rFonts w:eastAsia="Calibri"/>
                <w:b/>
                <w:sz w:val="18"/>
                <w:szCs w:val="18"/>
                <w:lang w:eastAsia="en-US"/>
              </w:rPr>
            </w:pPr>
            <w:r w:rsidRPr="001C7F15">
              <w:rPr>
                <w:rFonts w:eastAsia="Calibri"/>
                <w:b/>
                <w:sz w:val="18"/>
                <w:szCs w:val="18"/>
                <w:lang w:eastAsia="en-US"/>
              </w:rPr>
              <w:t>30.3</w:t>
            </w:r>
          </w:p>
        </w:tc>
        <w:tc>
          <w:tcPr>
            <w:tcW w:w="850" w:type="dxa"/>
            <w:tcBorders>
              <w:top w:val="single" w:sz="4" w:space="0" w:color="auto"/>
              <w:left w:val="single" w:sz="4" w:space="0" w:color="auto"/>
              <w:bottom w:val="nil"/>
              <w:right w:val="single" w:sz="4" w:space="0" w:color="auto"/>
            </w:tcBorders>
            <w:shd w:val="clear" w:color="auto" w:fill="auto"/>
          </w:tcPr>
          <w:p w14:paraId="732C81FE" w14:textId="77777777" w:rsidR="001C7F15" w:rsidRPr="001C7F15" w:rsidRDefault="001C7F15" w:rsidP="001C7F15">
            <w:pPr>
              <w:autoSpaceDE w:val="0"/>
              <w:autoSpaceDN w:val="0"/>
              <w:adjustRightInd w:val="0"/>
              <w:spacing w:before="120" w:after="40"/>
              <w:ind w:right="113"/>
              <w:jc w:val="right"/>
              <w:rPr>
                <w:rFonts w:eastAsia="Calibri"/>
                <w:b/>
                <w:sz w:val="18"/>
                <w:szCs w:val="18"/>
                <w:lang w:eastAsia="en-US"/>
              </w:rPr>
            </w:pPr>
            <w:r w:rsidRPr="001C7F15">
              <w:rPr>
                <w:rFonts w:eastAsia="Calibri"/>
                <w:b/>
                <w:sz w:val="18"/>
                <w:szCs w:val="18"/>
                <w:lang w:eastAsia="en-US"/>
              </w:rPr>
              <w:t>28.2</w:t>
            </w:r>
          </w:p>
        </w:tc>
        <w:tc>
          <w:tcPr>
            <w:tcW w:w="851" w:type="dxa"/>
            <w:tcBorders>
              <w:top w:val="single" w:sz="4" w:space="0" w:color="auto"/>
              <w:left w:val="single" w:sz="4" w:space="0" w:color="auto"/>
              <w:bottom w:val="nil"/>
              <w:right w:val="single" w:sz="4" w:space="0" w:color="auto"/>
            </w:tcBorders>
            <w:shd w:val="clear" w:color="auto" w:fill="auto"/>
          </w:tcPr>
          <w:p w14:paraId="0D83F160" w14:textId="77777777" w:rsidR="001C7F15" w:rsidRPr="001C7F15" w:rsidRDefault="001C7F15" w:rsidP="001C7F15">
            <w:pPr>
              <w:autoSpaceDE w:val="0"/>
              <w:autoSpaceDN w:val="0"/>
              <w:adjustRightInd w:val="0"/>
              <w:spacing w:before="120" w:after="40"/>
              <w:ind w:right="113"/>
              <w:jc w:val="right"/>
              <w:rPr>
                <w:rFonts w:eastAsia="Calibri"/>
                <w:b/>
                <w:sz w:val="18"/>
                <w:szCs w:val="18"/>
                <w:lang w:eastAsia="en-US"/>
              </w:rPr>
            </w:pPr>
            <w:r w:rsidRPr="001C7F15">
              <w:rPr>
                <w:rFonts w:eastAsia="Calibri"/>
                <w:b/>
                <w:sz w:val="18"/>
                <w:szCs w:val="18"/>
                <w:lang w:eastAsia="en-US"/>
              </w:rPr>
              <w:t>28.0</w:t>
            </w:r>
          </w:p>
        </w:tc>
      </w:tr>
      <w:tr w:rsidR="001C7F15" w:rsidRPr="001C7F15" w14:paraId="06C3B479"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4F1375D9"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BBVA Bancomer</w:t>
            </w:r>
          </w:p>
        </w:tc>
        <w:tc>
          <w:tcPr>
            <w:tcW w:w="993" w:type="dxa"/>
            <w:tcBorders>
              <w:top w:val="nil"/>
              <w:left w:val="single" w:sz="4" w:space="0" w:color="auto"/>
              <w:bottom w:val="nil"/>
              <w:right w:val="single" w:sz="4" w:space="0" w:color="auto"/>
            </w:tcBorders>
            <w:shd w:val="clear" w:color="auto" w:fill="auto"/>
          </w:tcPr>
          <w:p w14:paraId="389CE36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3 293 068</w:t>
            </w:r>
          </w:p>
        </w:tc>
        <w:tc>
          <w:tcPr>
            <w:tcW w:w="992" w:type="dxa"/>
            <w:tcBorders>
              <w:top w:val="nil"/>
              <w:left w:val="single" w:sz="4" w:space="0" w:color="auto"/>
              <w:bottom w:val="nil"/>
              <w:right w:val="single" w:sz="4" w:space="0" w:color="auto"/>
            </w:tcBorders>
            <w:shd w:val="clear" w:color="auto" w:fill="auto"/>
          </w:tcPr>
          <w:p w14:paraId="75CD54B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3 057 242</w:t>
            </w:r>
          </w:p>
        </w:tc>
        <w:tc>
          <w:tcPr>
            <w:tcW w:w="928" w:type="dxa"/>
            <w:tcBorders>
              <w:top w:val="nil"/>
              <w:left w:val="single" w:sz="4" w:space="0" w:color="auto"/>
              <w:bottom w:val="nil"/>
              <w:right w:val="single" w:sz="4" w:space="0" w:color="auto"/>
            </w:tcBorders>
            <w:shd w:val="clear" w:color="auto" w:fill="auto"/>
          </w:tcPr>
          <w:p w14:paraId="6136D574"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69 680</w:t>
            </w:r>
          </w:p>
        </w:tc>
        <w:tc>
          <w:tcPr>
            <w:tcW w:w="851" w:type="dxa"/>
            <w:tcBorders>
              <w:top w:val="nil"/>
              <w:left w:val="single" w:sz="4" w:space="0" w:color="auto"/>
              <w:bottom w:val="nil"/>
              <w:right w:val="single" w:sz="4" w:space="0" w:color="auto"/>
            </w:tcBorders>
            <w:shd w:val="clear" w:color="auto" w:fill="auto"/>
          </w:tcPr>
          <w:p w14:paraId="0FA7A42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69 263</w:t>
            </w:r>
          </w:p>
        </w:tc>
        <w:tc>
          <w:tcPr>
            <w:tcW w:w="850" w:type="dxa"/>
            <w:tcBorders>
              <w:top w:val="nil"/>
              <w:left w:val="single" w:sz="4" w:space="0" w:color="auto"/>
              <w:bottom w:val="nil"/>
              <w:right w:val="single" w:sz="4" w:space="0" w:color="auto"/>
            </w:tcBorders>
            <w:shd w:val="clear" w:color="auto" w:fill="auto"/>
          </w:tcPr>
          <w:p w14:paraId="2D520E71"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27.3</w:t>
            </w:r>
          </w:p>
        </w:tc>
        <w:tc>
          <w:tcPr>
            <w:tcW w:w="851" w:type="dxa"/>
            <w:tcBorders>
              <w:top w:val="nil"/>
              <w:left w:val="single" w:sz="4" w:space="0" w:color="auto"/>
              <w:bottom w:val="nil"/>
              <w:right w:val="single" w:sz="4" w:space="0" w:color="auto"/>
            </w:tcBorders>
            <w:shd w:val="clear" w:color="auto" w:fill="auto"/>
          </w:tcPr>
          <w:p w14:paraId="4000D274"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29.9</w:t>
            </w:r>
          </w:p>
        </w:tc>
        <w:tc>
          <w:tcPr>
            <w:tcW w:w="850" w:type="dxa"/>
            <w:tcBorders>
              <w:top w:val="nil"/>
              <w:left w:val="single" w:sz="4" w:space="0" w:color="auto"/>
              <w:bottom w:val="nil"/>
              <w:right w:val="single" w:sz="4" w:space="0" w:color="auto"/>
            </w:tcBorders>
            <w:shd w:val="clear" w:color="auto" w:fill="auto"/>
          </w:tcPr>
          <w:p w14:paraId="7A9677F7"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22.8</w:t>
            </w:r>
          </w:p>
        </w:tc>
        <w:tc>
          <w:tcPr>
            <w:tcW w:w="851" w:type="dxa"/>
            <w:tcBorders>
              <w:top w:val="nil"/>
              <w:left w:val="single" w:sz="4" w:space="0" w:color="auto"/>
              <w:bottom w:val="nil"/>
              <w:right w:val="single" w:sz="4" w:space="0" w:color="auto"/>
            </w:tcBorders>
            <w:shd w:val="clear" w:color="auto" w:fill="auto"/>
          </w:tcPr>
          <w:p w14:paraId="7985380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25.0</w:t>
            </w:r>
          </w:p>
        </w:tc>
      </w:tr>
      <w:tr w:rsidR="001C7F15" w:rsidRPr="001C7F15" w14:paraId="755D0F13"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1CEF3B89"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Banamex</w:t>
            </w:r>
          </w:p>
        </w:tc>
        <w:tc>
          <w:tcPr>
            <w:tcW w:w="993" w:type="dxa"/>
            <w:tcBorders>
              <w:top w:val="nil"/>
              <w:left w:val="single" w:sz="4" w:space="0" w:color="auto"/>
              <w:bottom w:val="nil"/>
              <w:right w:val="single" w:sz="4" w:space="0" w:color="auto"/>
            </w:tcBorders>
            <w:shd w:val="clear" w:color="auto" w:fill="auto"/>
          </w:tcPr>
          <w:p w14:paraId="20CBA56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2 235 731</w:t>
            </w:r>
          </w:p>
        </w:tc>
        <w:tc>
          <w:tcPr>
            <w:tcW w:w="992" w:type="dxa"/>
            <w:tcBorders>
              <w:top w:val="nil"/>
              <w:left w:val="single" w:sz="4" w:space="0" w:color="auto"/>
              <w:bottom w:val="nil"/>
              <w:right w:val="single" w:sz="4" w:space="0" w:color="auto"/>
            </w:tcBorders>
            <w:shd w:val="clear" w:color="auto" w:fill="auto"/>
          </w:tcPr>
          <w:p w14:paraId="3F942CF7"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2 110 981</w:t>
            </w:r>
          </w:p>
        </w:tc>
        <w:tc>
          <w:tcPr>
            <w:tcW w:w="928" w:type="dxa"/>
            <w:tcBorders>
              <w:top w:val="nil"/>
              <w:left w:val="single" w:sz="4" w:space="0" w:color="auto"/>
              <w:bottom w:val="nil"/>
              <w:right w:val="single" w:sz="4" w:space="0" w:color="auto"/>
            </w:tcBorders>
            <w:shd w:val="clear" w:color="auto" w:fill="auto"/>
          </w:tcPr>
          <w:p w14:paraId="328DD872"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54 655</w:t>
            </w:r>
          </w:p>
        </w:tc>
        <w:tc>
          <w:tcPr>
            <w:tcW w:w="851" w:type="dxa"/>
            <w:tcBorders>
              <w:top w:val="nil"/>
              <w:left w:val="single" w:sz="4" w:space="0" w:color="auto"/>
              <w:bottom w:val="nil"/>
              <w:right w:val="single" w:sz="4" w:space="0" w:color="auto"/>
            </w:tcBorders>
            <w:shd w:val="clear" w:color="auto" w:fill="auto"/>
          </w:tcPr>
          <w:p w14:paraId="06B569A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54 043</w:t>
            </w:r>
          </w:p>
        </w:tc>
        <w:tc>
          <w:tcPr>
            <w:tcW w:w="850" w:type="dxa"/>
            <w:tcBorders>
              <w:top w:val="nil"/>
              <w:left w:val="single" w:sz="4" w:space="0" w:color="auto"/>
              <w:bottom w:val="nil"/>
              <w:right w:val="single" w:sz="4" w:space="0" w:color="auto"/>
            </w:tcBorders>
            <w:shd w:val="clear" w:color="auto" w:fill="auto"/>
          </w:tcPr>
          <w:p w14:paraId="78A2F625"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31.2</w:t>
            </w:r>
          </w:p>
        </w:tc>
        <w:tc>
          <w:tcPr>
            <w:tcW w:w="851" w:type="dxa"/>
            <w:tcBorders>
              <w:top w:val="nil"/>
              <w:left w:val="single" w:sz="4" w:space="0" w:color="auto"/>
              <w:bottom w:val="nil"/>
              <w:right w:val="single" w:sz="4" w:space="0" w:color="auto"/>
            </w:tcBorders>
            <w:shd w:val="clear" w:color="auto" w:fill="auto"/>
          </w:tcPr>
          <w:p w14:paraId="1EC9D86A"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29.3</w:t>
            </w:r>
          </w:p>
        </w:tc>
        <w:tc>
          <w:tcPr>
            <w:tcW w:w="850" w:type="dxa"/>
            <w:tcBorders>
              <w:top w:val="nil"/>
              <w:left w:val="single" w:sz="4" w:space="0" w:color="auto"/>
              <w:bottom w:val="nil"/>
              <w:right w:val="single" w:sz="4" w:space="0" w:color="auto"/>
            </w:tcBorders>
            <w:shd w:val="clear" w:color="auto" w:fill="auto"/>
          </w:tcPr>
          <w:p w14:paraId="40800E6F"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34.9</w:t>
            </w:r>
          </w:p>
        </w:tc>
        <w:tc>
          <w:tcPr>
            <w:tcW w:w="851" w:type="dxa"/>
            <w:tcBorders>
              <w:top w:val="nil"/>
              <w:left w:val="single" w:sz="4" w:space="0" w:color="auto"/>
              <w:bottom w:val="nil"/>
              <w:right w:val="single" w:sz="4" w:space="0" w:color="auto"/>
            </w:tcBorders>
            <w:shd w:val="clear" w:color="auto" w:fill="auto"/>
          </w:tcPr>
          <w:p w14:paraId="0BB68D7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29.4</w:t>
            </w:r>
          </w:p>
        </w:tc>
      </w:tr>
      <w:tr w:rsidR="001C7F15" w:rsidRPr="001C7F15" w14:paraId="07FB7A08"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0E1842BE"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Santander</w:t>
            </w:r>
          </w:p>
        </w:tc>
        <w:tc>
          <w:tcPr>
            <w:tcW w:w="993" w:type="dxa"/>
            <w:tcBorders>
              <w:top w:val="nil"/>
              <w:left w:val="single" w:sz="4" w:space="0" w:color="auto"/>
              <w:bottom w:val="nil"/>
              <w:right w:val="single" w:sz="4" w:space="0" w:color="auto"/>
            </w:tcBorders>
            <w:shd w:val="clear" w:color="auto" w:fill="auto"/>
          </w:tcPr>
          <w:p w14:paraId="53C529C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1 163 141</w:t>
            </w:r>
          </w:p>
        </w:tc>
        <w:tc>
          <w:tcPr>
            <w:tcW w:w="992" w:type="dxa"/>
            <w:tcBorders>
              <w:top w:val="nil"/>
              <w:left w:val="single" w:sz="4" w:space="0" w:color="auto"/>
              <w:bottom w:val="nil"/>
              <w:right w:val="single" w:sz="4" w:space="0" w:color="auto"/>
            </w:tcBorders>
            <w:shd w:val="clear" w:color="auto" w:fill="auto"/>
          </w:tcPr>
          <w:p w14:paraId="4DE1487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1 199 062</w:t>
            </w:r>
          </w:p>
        </w:tc>
        <w:tc>
          <w:tcPr>
            <w:tcW w:w="928" w:type="dxa"/>
            <w:tcBorders>
              <w:top w:val="nil"/>
              <w:left w:val="single" w:sz="4" w:space="0" w:color="auto"/>
              <w:bottom w:val="nil"/>
              <w:right w:val="single" w:sz="4" w:space="0" w:color="auto"/>
            </w:tcBorders>
            <w:shd w:val="clear" w:color="auto" w:fill="auto"/>
          </w:tcPr>
          <w:p w14:paraId="56A67A9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29 139</w:t>
            </w:r>
          </w:p>
        </w:tc>
        <w:tc>
          <w:tcPr>
            <w:tcW w:w="851" w:type="dxa"/>
            <w:tcBorders>
              <w:top w:val="nil"/>
              <w:left w:val="single" w:sz="4" w:space="0" w:color="auto"/>
              <w:bottom w:val="nil"/>
              <w:right w:val="single" w:sz="4" w:space="0" w:color="auto"/>
            </w:tcBorders>
            <w:shd w:val="clear" w:color="auto" w:fill="auto"/>
          </w:tcPr>
          <w:p w14:paraId="4BB8C505"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30 889</w:t>
            </w:r>
          </w:p>
        </w:tc>
        <w:tc>
          <w:tcPr>
            <w:tcW w:w="850" w:type="dxa"/>
            <w:tcBorders>
              <w:top w:val="nil"/>
              <w:left w:val="single" w:sz="4" w:space="0" w:color="auto"/>
              <w:bottom w:val="nil"/>
              <w:right w:val="single" w:sz="4" w:space="0" w:color="auto"/>
            </w:tcBorders>
            <w:shd w:val="clear" w:color="auto" w:fill="auto"/>
          </w:tcPr>
          <w:p w14:paraId="0A6B4170"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27.8</w:t>
            </w:r>
          </w:p>
        </w:tc>
        <w:tc>
          <w:tcPr>
            <w:tcW w:w="851" w:type="dxa"/>
            <w:tcBorders>
              <w:top w:val="nil"/>
              <w:left w:val="single" w:sz="4" w:space="0" w:color="auto"/>
              <w:bottom w:val="nil"/>
              <w:right w:val="single" w:sz="4" w:space="0" w:color="auto"/>
            </w:tcBorders>
            <w:shd w:val="clear" w:color="auto" w:fill="auto"/>
          </w:tcPr>
          <w:p w14:paraId="4FBA1963"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26.1</w:t>
            </w:r>
          </w:p>
        </w:tc>
        <w:tc>
          <w:tcPr>
            <w:tcW w:w="850" w:type="dxa"/>
            <w:tcBorders>
              <w:top w:val="nil"/>
              <w:left w:val="single" w:sz="4" w:space="0" w:color="auto"/>
              <w:bottom w:val="nil"/>
              <w:right w:val="single" w:sz="4" w:space="0" w:color="auto"/>
            </w:tcBorders>
            <w:shd w:val="clear" w:color="auto" w:fill="auto"/>
          </w:tcPr>
          <w:p w14:paraId="316CD18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27.2</w:t>
            </w:r>
          </w:p>
        </w:tc>
        <w:tc>
          <w:tcPr>
            <w:tcW w:w="851" w:type="dxa"/>
            <w:tcBorders>
              <w:top w:val="nil"/>
              <w:left w:val="single" w:sz="4" w:space="0" w:color="auto"/>
              <w:bottom w:val="nil"/>
              <w:right w:val="single" w:sz="4" w:space="0" w:color="auto"/>
            </w:tcBorders>
            <w:shd w:val="clear" w:color="auto" w:fill="auto"/>
          </w:tcPr>
          <w:p w14:paraId="36AF8E8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25.4</w:t>
            </w:r>
          </w:p>
        </w:tc>
      </w:tr>
      <w:tr w:rsidR="001C7F15" w:rsidRPr="001C7F15" w14:paraId="27FE65C7"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55854618"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BanCoppel</w:t>
            </w:r>
          </w:p>
        </w:tc>
        <w:tc>
          <w:tcPr>
            <w:tcW w:w="993" w:type="dxa"/>
            <w:tcBorders>
              <w:top w:val="nil"/>
              <w:left w:val="single" w:sz="4" w:space="0" w:color="auto"/>
              <w:bottom w:val="nil"/>
              <w:right w:val="single" w:sz="4" w:space="0" w:color="auto"/>
            </w:tcBorders>
            <w:shd w:val="clear" w:color="auto" w:fill="auto"/>
          </w:tcPr>
          <w:p w14:paraId="74DEE19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676 203</w:t>
            </w:r>
          </w:p>
        </w:tc>
        <w:tc>
          <w:tcPr>
            <w:tcW w:w="992" w:type="dxa"/>
            <w:tcBorders>
              <w:top w:val="nil"/>
              <w:left w:val="single" w:sz="4" w:space="0" w:color="auto"/>
              <w:bottom w:val="nil"/>
              <w:right w:val="single" w:sz="4" w:space="0" w:color="auto"/>
            </w:tcBorders>
            <w:shd w:val="clear" w:color="auto" w:fill="auto"/>
          </w:tcPr>
          <w:p w14:paraId="2581DDD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689 677</w:t>
            </w:r>
          </w:p>
        </w:tc>
        <w:tc>
          <w:tcPr>
            <w:tcW w:w="928" w:type="dxa"/>
            <w:tcBorders>
              <w:top w:val="nil"/>
              <w:left w:val="single" w:sz="4" w:space="0" w:color="auto"/>
              <w:bottom w:val="nil"/>
              <w:right w:val="single" w:sz="4" w:space="0" w:color="auto"/>
            </w:tcBorders>
            <w:shd w:val="clear" w:color="auto" w:fill="auto"/>
          </w:tcPr>
          <w:p w14:paraId="02273AA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3 467</w:t>
            </w:r>
          </w:p>
        </w:tc>
        <w:tc>
          <w:tcPr>
            <w:tcW w:w="851" w:type="dxa"/>
            <w:tcBorders>
              <w:top w:val="nil"/>
              <w:left w:val="single" w:sz="4" w:space="0" w:color="auto"/>
              <w:bottom w:val="nil"/>
              <w:right w:val="single" w:sz="4" w:space="0" w:color="auto"/>
            </w:tcBorders>
            <w:shd w:val="clear" w:color="auto" w:fill="auto"/>
          </w:tcPr>
          <w:p w14:paraId="3600B93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3 901</w:t>
            </w:r>
          </w:p>
        </w:tc>
        <w:tc>
          <w:tcPr>
            <w:tcW w:w="850" w:type="dxa"/>
            <w:tcBorders>
              <w:top w:val="nil"/>
              <w:left w:val="single" w:sz="4" w:space="0" w:color="auto"/>
              <w:bottom w:val="nil"/>
              <w:right w:val="single" w:sz="4" w:space="0" w:color="auto"/>
            </w:tcBorders>
            <w:shd w:val="clear" w:color="auto" w:fill="auto"/>
          </w:tcPr>
          <w:p w14:paraId="54CEF39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65.0</w:t>
            </w:r>
          </w:p>
        </w:tc>
        <w:tc>
          <w:tcPr>
            <w:tcW w:w="851" w:type="dxa"/>
            <w:tcBorders>
              <w:top w:val="nil"/>
              <w:left w:val="single" w:sz="4" w:space="0" w:color="auto"/>
              <w:bottom w:val="nil"/>
              <w:right w:val="single" w:sz="4" w:space="0" w:color="auto"/>
            </w:tcBorders>
            <w:shd w:val="clear" w:color="auto" w:fill="auto"/>
          </w:tcPr>
          <w:p w14:paraId="22649D1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65.0</w:t>
            </w:r>
          </w:p>
        </w:tc>
        <w:tc>
          <w:tcPr>
            <w:tcW w:w="850" w:type="dxa"/>
            <w:tcBorders>
              <w:top w:val="nil"/>
              <w:left w:val="single" w:sz="4" w:space="0" w:color="auto"/>
              <w:bottom w:val="nil"/>
              <w:right w:val="single" w:sz="4" w:space="0" w:color="auto"/>
            </w:tcBorders>
            <w:shd w:val="clear" w:color="auto" w:fill="auto"/>
          </w:tcPr>
          <w:p w14:paraId="08EB20A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65.0</w:t>
            </w:r>
          </w:p>
        </w:tc>
        <w:tc>
          <w:tcPr>
            <w:tcW w:w="851" w:type="dxa"/>
            <w:tcBorders>
              <w:top w:val="nil"/>
              <w:left w:val="single" w:sz="4" w:space="0" w:color="auto"/>
              <w:bottom w:val="nil"/>
              <w:right w:val="single" w:sz="4" w:space="0" w:color="auto"/>
            </w:tcBorders>
            <w:shd w:val="clear" w:color="auto" w:fill="auto"/>
          </w:tcPr>
          <w:p w14:paraId="3F512B7E"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65.0</w:t>
            </w:r>
          </w:p>
        </w:tc>
      </w:tr>
      <w:tr w:rsidR="001C7F15" w:rsidRPr="001C7F15" w14:paraId="0D144A26"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6593576F"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Banorte-Ixe Tarjetas</w:t>
            </w:r>
          </w:p>
        </w:tc>
        <w:tc>
          <w:tcPr>
            <w:tcW w:w="993" w:type="dxa"/>
            <w:tcBorders>
              <w:top w:val="nil"/>
              <w:left w:val="single" w:sz="4" w:space="0" w:color="auto"/>
              <w:bottom w:val="nil"/>
              <w:right w:val="single" w:sz="4" w:space="0" w:color="auto"/>
            </w:tcBorders>
            <w:shd w:val="clear" w:color="auto" w:fill="auto"/>
          </w:tcPr>
          <w:p w14:paraId="608E3CD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576 314</w:t>
            </w:r>
          </w:p>
        </w:tc>
        <w:tc>
          <w:tcPr>
            <w:tcW w:w="992" w:type="dxa"/>
            <w:tcBorders>
              <w:top w:val="nil"/>
              <w:left w:val="single" w:sz="4" w:space="0" w:color="auto"/>
              <w:bottom w:val="nil"/>
              <w:right w:val="single" w:sz="4" w:space="0" w:color="auto"/>
            </w:tcBorders>
            <w:shd w:val="clear" w:color="auto" w:fill="auto"/>
          </w:tcPr>
          <w:p w14:paraId="4BC156E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610 564</w:t>
            </w:r>
          </w:p>
        </w:tc>
        <w:tc>
          <w:tcPr>
            <w:tcW w:w="928" w:type="dxa"/>
            <w:tcBorders>
              <w:top w:val="nil"/>
              <w:left w:val="single" w:sz="4" w:space="0" w:color="auto"/>
              <w:bottom w:val="nil"/>
              <w:right w:val="single" w:sz="4" w:space="0" w:color="auto"/>
            </w:tcBorders>
            <w:shd w:val="clear" w:color="auto" w:fill="auto"/>
          </w:tcPr>
          <w:p w14:paraId="532ECDD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12 714</w:t>
            </w:r>
          </w:p>
        </w:tc>
        <w:tc>
          <w:tcPr>
            <w:tcW w:w="851" w:type="dxa"/>
            <w:tcBorders>
              <w:top w:val="nil"/>
              <w:left w:val="single" w:sz="4" w:space="0" w:color="auto"/>
              <w:bottom w:val="nil"/>
              <w:right w:val="single" w:sz="4" w:space="0" w:color="auto"/>
            </w:tcBorders>
            <w:shd w:val="clear" w:color="auto" w:fill="auto"/>
          </w:tcPr>
          <w:p w14:paraId="459C1569"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14 394</w:t>
            </w:r>
          </w:p>
        </w:tc>
        <w:tc>
          <w:tcPr>
            <w:tcW w:w="850" w:type="dxa"/>
            <w:tcBorders>
              <w:top w:val="nil"/>
              <w:left w:val="single" w:sz="4" w:space="0" w:color="auto"/>
              <w:bottom w:val="nil"/>
              <w:right w:val="single" w:sz="4" w:space="0" w:color="auto"/>
            </w:tcBorders>
            <w:shd w:val="clear" w:color="auto" w:fill="auto"/>
          </w:tcPr>
          <w:p w14:paraId="0FEE4898"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29.8</w:t>
            </w:r>
          </w:p>
        </w:tc>
        <w:tc>
          <w:tcPr>
            <w:tcW w:w="851" w:type="dxa"/>
            <w:tcBorders>
              <w:top w:val="nil"/>
              <w:left w:val="single" w:sz="4" w:space="0" w:color="auto"/>
              <w:bottom w:val="nil"/>
              <w:right w:val="single" w:sz="4" w:space="0" w:color="auto"/>
            </w:tcBorders>
            <w:shd w:val="clear" w:color="auto" w:fill="auto"/>
          </w:tcPr>
          <w:p w14:paraId="4363B4D4"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30.3</w:t>
            </w:r>
          </w:p>
        </w:tc>
        <w:tc>
          <w:tcPr>
            <w:tcW w:w="850" w:type="dxa"/>
            <w:tcBorders>
              <w:top w:val="nil"/>
              <w:left w:val="single" w:sz="4" w:space="0" w:color="auto"/>
              <w:bottom w:val="nil"/>
              <w:right w:val="single" w:sz="4" w:space="0" w:color="auto"/>
            </w:tcBorders>
            <w:shd w:val="clear" w:color="auto" w:fill="auto"/>
          </w:tcPr>
          <w:p w14:paraId="631CF90A"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29.5</w:t>
            </w:r>
          </w:p>
        </w:tc>
        <w:tc>
          <w:tcPr>
            <w:tcW w:w="851" w:type="dxa"/>
            <w:tcBorders>
              <w:top w:val="nil"/>
              <w:left w:val="single" w:sz="4" w:space="0" w:color="auto"/>
              <w:bottom w:val="nil"/>
              <w:right w:val="single" w:sz="4" w:space="0" w:color="auto"/>
            </w:tcBorders>
            <w:shd w:val="clear" w:color="auto" w:fill="auto"/>
          </w:tcPr>
          <w:p w14:paraId="698ACE2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31.3</w:t>
            </w:r>
          </w:p>
        </w:tc>
      </w:tr>
      <w:tr w:rsidR="001C7F15" w:rsidRPr="001C7F15" w14:paraId="4B0F2DC0"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5E6D5750"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HSBC</w:t>
            </w:r>
          </w:p>
        </w:tc>
        <w:tc>
          <w:tcPr>
            <w:tcW w:w="993" w:type="dxa"/>
            <w:tcBorders>
              <w:top w:val="nil"/>
              <w:left w:val="single" w:sz="4" w:space="0" w:color="auto"/>
              <w:bottom w:val="nil"/>
              <w:right w:val="single" w:sz="4" w:space="0" w:color="auto"/>
            </w:tcBorders>
            <w:shd w:val="clear" w:color="auto" w:fill="auto"/>
          </w:tcPr>
          <w:p w14:paraId="23BB8B2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465 881</w:t>
            </w:r>
          </w:p>
        </w:tc>
        <w:tc>
          <w:tcPr>
            <w:tcW w:w="992" w:type="dxa"/>
            <w:tcBorders>
              <w:top w:val="nil"/>
              <w:left w:val="single" w:sz="4" w:space="0" w:color="auto"/>
              <w:bottom w:val="nil"/>
              <w:right w:val="single" w:sz="4" w:space="0" w:color="auto"/>
            </w:tcBorders>
            <w:shd w:val="clear" w:color="auto" w:fill="auto"/>
          </w:tcPr>
          <w:p w14:paraId="6CD6310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439 887</w:t>
            </w:r>
          </w:p>
        </w:tc>
        <w:tc>
          <w:tcPr>
            <w:tcW w:w="928" w:type="dxa"/>
            <w:tcBorders>
              <w:top w:val="nil"/>
              <w:left w:val="single" w:sz="4" w:space="0" w:color="auto"/>
              <w:bottom w:val="nil"/>
              <w:right w:val="single" w:sz="4" w:space="0" w:color="auto"/>
            </w:tcBorders>
            <w:shd w:val="clear" w:color="auto" w:fill="auto"/>
          </w:tcPr>
          <w:p w14:paraId="7022EB65"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10 779</w:t>
            </w:r>
          </w:p>
        </w:tc>
        <w:tc>
          <w:tcPr>
            <w:tcW w:w="851" w:type="dxa"/>
            <w:tcBorders>
              <w:top w:val="nil"/>
              <w:left w:val="single" w:sz="4" w:space="0" w:color="auto"/>
              <w:bottom w:val="nil"/>
              <w:right w:val="single" w:sz="4" w:space="0" w:color="auto"/>
            </w:tcBorders>
            <w:shd w:val="clear" w:color="auto" w:fill="auto"/>
          </w:tcPr>
          <w:p w14:paraId="06AD8199"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11 239</w:t>
            </w:r>
          </w:p>
        </w:tc>
        <w:tc>
          <w:tcPr>
            <w:tcW w:w="850" w:type="dxa"/>
            <w:tcBorders>
              <w:top w:val="nil"/>
              <w:left w:val="single" w:sz="4" w:space="0" w:color="auto"/>
              <w:bottom w:val="nil"/>
              <w:right w:val="single" w:sz="4" w:space="0" w:color="auto"/>
            </w:tcBorders>
            <w:shd w:val="clear" w:color="auto" w:fill="auto"/>
          </w:tcPr>
          <w:p w14:paraId="49518075"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33.6</w:t>
            </w:r>
          </w:p>
        </w:tc>
        <w:tc>
          <w:tcPr>
            <w:tcW w:w="851" w:type="dxa"/>
            <w:tcBorders>
              <w:top w:val="nil"/>
              <w:left w:val="single" w:sz="4" w:space="0" w:color="auto"/>
              <w:bottom w:val="nil"/>
              <w:right w:val="single" w:sz="4" w:space="0" w:color="auto"/>
            </w:tcBorders>
            <w:shd w:val="clear" w:color="auto" w:fill="auto"/>
          </w:tcPr>
          <w:p w14:paraId="56B9D2F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32.2</w:t>
            </w:r>
          </w:p>
        </w:tc>
        <w:tc>
          <w:tcPr>
            <w:tcW w:w="850" w:type="dxa"/>
            <w:tcBorders>
              <w:top w:val="nil"/>
              <w:left w:val="single" w:sz="4" w:space="0" w:color="auto"/>
              <w:bottom w:val="nil"/>
              <w:right w:val="single" w:sz="4" w:space="0" w:color="auto"/>
            </w:tcBorders>
            <w:shd w:val="clear" w:color="auto" w:fill="auto"/>
          </w:tcPr>
          <w:p w14:paraId="31DFD627"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35.9</w:t>
            </w:r>
          </w:p>
        </w:tc>
        <w:tc>
          <w:tcPr>
            <w:tcW w:w="851" w:type="dxa"/>
            <w:tcBorders>
              <w:top w:val="nil"/>
              <w:left w:val="single" w:sz="4" w:space="0" w:color="auto"/>
              <w:bottom w:val="nil"/>
              <w:right w:val="single" w:sz="4" w:space="0" w:color="auto"/>
            </w:tcBorders>
            <w:shd w:val="clear" w:color="auto" w:fill="auto"/>
          </w:tcPr>
          <w:p w14:paraId="73277061"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33.4</w:t>
            </w:r>
          </w:p>
        </w:tc>
      </w:tr>
      <w:tr w:rsidR="001C7F15" w:rsidRPr="001C7F15" w14:paraId="42B28413"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205B09FA"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 Walmart</w:t>
            </w:r>
          </w:p>
        </w:tc>
        <w:tc>
          <w:tcPr>
            <w:tcW w:w="993" w:type="dxa"/>
            <w:tcBorders>
              <w:top w:val="nil"/>
              <w:left w:val="single" w:sz="4" w:space="0" w:color="auto"/>
              <w:bottom w:val="nil"/>
              <w:right w:val="single" w:sz="4" w:space="0" w:color="auto"/>
            </w:tcBorders>
            <w:shd w:val="clear" w:color="auto" w:fill="auto"/>
          </w:tcPr>
          <w:p w14:paraId="5F9A6C86"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189 986</w:t>
            </w:r>
          </w:p>
        </w:tc>
        <w:tc>
          <w:tcPr>
            <w:tcW w:w="992" w:type="dxa"/>
            <w:tcBorders>
              <w:top w:val="nil"/>
              <w:left w:val="single" w:sz="4" w:space="0" w:color="auto"/>
              <w:bottom w:val="nil"/>
              <w:right w:val="single" w:sz="4" w:space="0" w:color="auto"/>
            </w:tcBorders>
            <w:shd w:val="clear" w:color="auto" w:fill="auto"/>
          </w:tcPr>
          <w:p w14:paraId="42422D1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231 427</w:t>
            </w:r>
          </w:p>
        </w:tc>
        <w:tc>
          <w:tcPr>
            <w:tcW w:w="928" w:type="dxa"/>
            <w:tcBorders>
              <w:top w:val="nil"/>
              <w:left w:val="single" w:sz="4" w:space="0" w:color="auto"/>
              <w:bottom w:val="nil"/>
              <w:right w:val="single" w:sz="4" w:space="0" w:color="auto"/>
            </w:tcBorders>
            <w:shd w:val="clear" w:color="auto" w:fill="auto"/>
          </w:tcPr>
          <w:p w14:paraId="7FC7BD96"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1 063</w:t>
            </w:r>
          </w:p>
        </w:tc>
        <w:tc>
          <w:tcPr>
            <w:tcW w:w="851" w:type="dxa"/>
            <w:tcBorders>
              <w:top w:val="nil"/>
              <w:left w:val="single" w:sz="4" w:space="0" w:color="auto"/>
              <w:bottom w:val="nil"/>
              <w:right w:val="single" w:sz="4" w:space="0" w:color="auto"/>
            </w:tcBorders>
            <w:shd w:val="clear" w:color="auto" w:fill="auto"/>
          </w:tcPr>
          <w:p w14:paraId="2CC13095"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1 533</w:t>
            </w:r>
          </w:p>
        </w:tc>
        <w:tc>
          <w:tcPr>
            <w:tcW w:w="850" w:type="dxa"/>
            <w:tcBorders>
              <w:top w:val="nil"/>
              <w:left w:val="single" w:sz="4" w:space="0" w:color="auto"/>
              <w:bottom w:val="nil"/>
              <w:right w:val="single" w:sz="4" w:space="0" w:color="auto"/>
            </w:tcBorders>
            <w:shd w:val="clear" w:color="auto" w:fill="auto"/>
          </w:tcPr>
          <w:p w14:paraId="0A719F2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40.9</w:t>
            </w:r>
          </w:p>
        </w:tc>
        <w:tc>
          <w:tcPr>
            <w:tcW w:w="851" w:type="dxa"/>
            <w:tcBorders>
              <w:top w:val="nil"/>
              <w:left w:val="single" w:sz="4" w:space="0" w:color="auto"/>
              <w:bottom w:val="nil"/>
              <w:right w:val="single" w:sz="4" w:space="0" w:color="auto"/>
            </w:tcBorders>
            <w:shd w:val="clear" w:color="auto" w:fill="auto"/>
          </w:tcPr>
          <w:p w14:paraId="43F402B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38.0</w:t>
            </w:r>
          </w:p>
        </w:tc>
        <w:tc>
          <w:tcPr>
            <w:tcW w:w="850" w:type="dxa"/>
            <w:tcBorders>
              <w:top w:val="nil"/>
              <w:left w:val="single" w:sz="4" w:space="0" w:color="auto"/>
              <w:bottom w:val="nil"/>
              <w:right w:val="single" w:sz="4" w:space="0" w:color="auto"/>
            </w:tcBorders>
            <w:shd w:val="clear" w:color="auto" w:fill="auto"/>
          </w:tcPr>
          <w:p w14:paraId="03184AD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44.4</w:t>
            </w:r>
          </w:p>
        </w:tc>
        <w:tc>
          <w:tcPr>
            <w:tcW w:w="851" w:type="dxa"/>
            <w:tcBorders>
              <w:top w:val="nil"/>
              <w:left w:val="single" w:sz="4" w:space="0" w:color="auto"/>
              <w:bottom w:val="nil"/>
              <w:right w:val="single" w:sz="4" w:space="0" w:color="auto"/>
            </w:tcBorders>
            <w:shd w:val="clear" w:color="auto" w:fill="auto"/>
          </w:tcPr>
          <w:p w14:paraId="55FC14B0"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38.7</w:t>
            </w:r>
          </w:p>
        </w:tc>
      </w:tr>
      <w:tr w:rsidR="001C7F15" w:rsidRPr="001C7F15" w14:paraId="71D430EC"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5581991A"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Scotiabank</w:t>
            </w:r>
          </w:p>
        </w:tc>
        <w:tc>
          <w:tcPr>
            <w:tcW w:w="993" w:type="dxa"/>
            <w:tcBorders>
              <w:top w:val="nil"/>
              <w:left w:val="single" w:sz="4" w:space="0" w:color="auto"/>
              <w:bottom w:val="nil"/>
              <w:right w:val="single" w:sz="4" w:space="0" w:color="auto"/>
            </w:tcBorders>
            <w:shd w:val="clear" w:color="auto" w:fill="auto"/>
          </w:tcPr>
          <w:p w14:paraId="67DB703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171 015</w:t>
            </w:r>
          </w:p>
        </w:tc>
        <w:tc>
          <w:tcPr>
            <w:tcW w:w="992" w:type="dxa"/>
            <w:tcBorders>
              <w:top w:val="nil"/>
              <w:left w:val="single" w:sz="4" w:space="0" w:color="auto"/>
              <w:bottom w:val="nil"/>
              <w:right w:val="single" w:sz="4" w:space="0" w:color="auto"/>
            </w:tcBorders>
            <w:shd w:val="clear" w:color="auto" w:fill="auto"/>
          </w:tcPr>
          <w:p w14:paraId="686D75F3"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182 592</w:t>
            </w:r>
          </w:p>
        </w:tc>
        <w:tc>
          <w:tcPr>
            <w:tcW w:w="928" w:type="dxa"/>
            <w:tcBorders>
              <w:top w:val="nil"/>
              <w:left w:val="single" w:sz="4" w:space="0" w:color="auto"/>
              <w:bottom w:val="nil"/>
              <w:right w:val="single" w:sz="4" w:space="0" w:color="auto"/>
            </w:tcBorders>
            <w:shd w:val="clear" w:color="auto" w:fill="auto"/>
          </w:tcPr>
          <w:p w14:paraId="4A52E86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3 046</w:t>
            </w:r>
          </w:p>
        </w:tc>
        <w:tc>
          <w:tcPr>
            <w:tcW w:w="851" w:type="dxa"/>
            <w:tcBorders>
              <w:top w:val="nil"/>
              <w:left w:val="single" w:sz="4" w:space="0" w:color="auto"/>
              <w:bottom w:val="nil"/>
              <w:right w:val="single" w:sz="4" w:space="0" w:color="auto"/>
            </w:tcBorders>
            <w:shd w:val="clear" w:color="auto" w:fill="auto"/>
          </w:tcPr>
          <w:p w14:paraId="69AAC4A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3 606</w:t>
            </w:r>
          </w:p>
        </w:tc>
        <w:tc>
          <w:tcPr>
            <w:tcW w:w="850" w:type="dxa"/>
            <w:tcBorders>
              <w:top w:val="nil"/>
              <w:left w:val="single" w:sz="4" w:space="0" w:color="auto"/>
              <w:bottom w:val="nil"/>
              <w:right w:val="single" w:sz="4" w:space="0" w:color="auto"/>
            </w:tcBorders>
            <w:shd w:val="clear" w:color="auto" w:fill="auto"/>
          </w:tcPr>
          <w:p w14:paraId="574749EE"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36.2</w:t>
            </w:r>
          </w:p>
        </w:tc>
        <w:tc>
          <w:tcPr>
            <w:tcW w:w="851" w:type="dxa"/>
            <w:tcBorders>
              <w:top w:val="nil"/>
              <w:left w:val="single" w:sz="4" w:space="0" w:color="auto"/>
              <w:bottom w:val="nil"/>
              <w:right w:val="single" w:sz="4" w:space="0" w:color="auto"/>
            </w:tcBorders>
            <w:shd w:val="clear" w:color="auto" w:fill="auto"/>
          </w:tcPr>
          <w:p w14:paraId="64EC14B0"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34.0</w:t>
            </w:r>
          </w:p>
        </w:tc>
        <w:tc>
          <w:tcPr>
            <w:tcW w:w="850" w:type="dxa"/>
            <w:tcBorders>
              <w:top w:val="nil"/>
              <w:left w:val="single" w:sz="4" w:space="0" w:color="auto"/>
              <w:bottom w:val="nil"/>
              <w:right w:val="single" w:sz="4" w:space="0" w:color="auto"/>
            </w:tcBorders>
            <w:shd w:val="clear" w:color="auto" w:fill="auto"/>
          </w:tcPr>
          <w:p w14:paraId="4FE28CF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38.4</w:t>
            </w:r>
          </w:p>
        </w:tc>
        <w:tc>
          <w:tcPr>
            <w:tcW w:w="851" w:type="dxa"/>
            <w:tcBorders>
              <w:top w:val="nil"/>
              <w:left w:val="single" w:sz="4" w:space="0" w:color="auto"/>
              <w:bottom w:val="nil"/>
              <w:right w:val="single" w:sz="4" w:space="0" w:color="auto"/>
            </w:tcBorders>
            <w:shd w:val="clear" w:color="auto" w:fill="auto"/>
          </w:tcPr>
          <w:p w14:paraId="414792B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37.0</w:t>
            </w:r>
          </w:p>
        </w:tc>
      </w:tr>
      <w:tr w:rsidR="001C7F15" w:rsidRPr="001C7F15" w14:paraId="26614662"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7465C1A5"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American Express</w:t>
            </w:r>
          </w:p>
        </w:tc>
        <w:tc>
          <w:tcPr>
            <w:tcW w:w="993" w:type="dxa"/>
            <w:tcBorders>
              <w:top w:val="nil"/>
              <w:left w:val="single" w:sz="4" w:space="0" w:color="auto"/>
              <w:bottom w:val="nil"/>
              <w:right w:val="single" w:sz="4" w:space="0" w:color="auto"/>
            </w:tcBorders>
            <w:shd w:val="clear" w:color="auto" w:fill="auto"/>
          </w:tcPr>
          <w:p w14:paraId="7EC2D724"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183 834</w:t>
            </w:r>
          </w:p>
        </w:tc>
        <w:tc>
          <w:tcPr>
            <w:tcW w:w="992" w:type="dxa"/>
            <w:tcBorders>
              <w:top w:val="nil"/>
              <w:left w:val="single" w:sz="4" w:space="0" w:color="auto"/>
              <w:bottom w:val="nil"/>
              <w:right w:val="single" w:sz="4" w:space="0" w:color="auto"/>
            </w:tcBorders>
            <w:shd w:val="clear" w:color="auto" w:fill="auto"/>
          </w:tcPr>
          <w:p w14:paraId="13C4783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182 528</w:t>
            </w:r>
          </w:p>
        </w:tc>
        <w:tc>
          <w:tcPr>
            <w:tcW w:w="928" w:type="dxa"/>
            <w:tcBorders>
              <w:top w:val="nil"/>
              <w:left w:val="single" w:sz="4" w:space="0" w:color="auto"/>
              <w:bottom w:val="nil"/>
              <w:right w:val="single" w:sz="4" w:space="0" w:color="auto"/>
            </w:tcBorders>
            <w:shd w:val="clear" w:color="auto" w:fill="auto"/>
          </w:tcPr>
          <w:p w14:paraId="7343A9DE"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4 699</w:t>
            </w:r>
          </w:p>
        </w:tc>
        <w:tc>
          <w:tcPr>
            <w:tcW w:w="851" w:type="dxa"/>
            <w:tcBorders>
              <w:top w:val="nil"/>
              <w:left w:val="single" w:sz="4" w:space="0" w:color="auto"/>
              <w:bottom w:val="nil"/>
              <w:right w:val="single" w:sz="4" w:space="0" w:color="auto"/>
            </w:tcBorders>
            <w:shd w:val="clear" w:color="auto" w:fill="auto"/>
          </w:tcPr>
          <w:p w14:paraId="05D8A117"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4 759</w:t>
            </w:r>
          </w:p>
        </w:tc>
        <w:tc>
          <w:tcPr>
            <w:tcW w:w="850" w:type="dxa"/>
            <w:tcBorders>
              <w:top w:val="nil"/>
              <w:left w:val="single" w:sz="4" w:space="0" w:color="auto"/>
              <w:bottom w:val="nil"/>
              <w:right w:val="single" w:sz="4" w:space="0" w:color="auto"/>
            </w:tcBorders>
            <w:shd w:val="clear" w:color="auto" w:fill="auto"/>
          </w:tcPr>
          <w:p w14:paraId="62A89125"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35.7</w:t>
            </w:r>
          </w:p>
        </w:tc>
        <w:tc>
          <w:tcPr>
            <w:tcW w:w="851" w:type="dxa"/>
            <w:tcBorders>
              <w:top w:val="nil"/>
              <w:left w:val="single" w:sz="4" w:space="0" w:color="auto"/>
              <w:bottom w:val="nil"/>
              <w:right w:val="single" w:sz="4" w:space="0" w:color="auto"/>
            </w:tcBorders>
            <w:shd w:val="clear" w:color="auto" w:fill="auto"/>
          </w:tcPr>
          <w:p w14:paraId="77D5359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34.6</w:t>
            </w:r>
          </w:p>
        </w:tc>
        <w:tc>
          <w:tcPr>
            <w:tcW w:w="850" w:type="dxa"/>
            <w:tcBorders>
              <w:top w:val="nil"/>
              <w:left w:val="single" w:sz="4" w:space="0" w:color="auto"/>
              <w:bottom w:val="nil"/>
              <w:right w:val="single" w:sz="4" w:space="0" w:color="auto"/>
            </w:tcBorders>
            <w:shd w:val="clear" w:color="auto" w:fill="auto"/>
          </w:tcPr>
          <w:p w14:paraId="497508EA"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39.2</w:t>
            </w:r>
          </w:p>
        </w:tc>
        <w:tc>
          <w:tcPr>
            <w:tcW w:w="851" w:type="dxa"/>
            <w:tcBorders>
              <w:top w:val="nil"/>
              <w:left w:val="single" w:sz="4" w:space="0" w:color="auto"/>
              <w:bottom w:val="nil"/>
              <w:right w:val="single" w:sz="4" w:space="0" w:color="auto"/>
            </w:tcBorders>
            <w:shd w:val="clear" w:color="auto" w:fill="auto"/>
          </w:tcPr>
          <w:p w14:paraId="29E3E1F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36.8</w:t>
            </w:r>
          </w:p>
        </w:tc>
      </w:tr>
      <w:tr w:rsidR="001C7F15" w:rsidRPr="001C7F15" w14:paraId="2D57B305"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7CD5DC2A"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Inbursa</w:t>
            </w:r>
          </w:p>
        </w:tc>
        <w:tc>
          <w:tcPr>
            <w:tcW w:w="993" w:type="dxa"/>
            <w:tcBorders>
              <w:top w:val="nil"/>
              <w:left w:val="single" w:sz="4" w:space="0" w:color="auto"/>
              <w:bottom w:val="nil"/>
              <w:right w:val="single" w:sz="4" w:space="0" w:color="auto"/>
            </w:tcBorders>
            <w:shd w:val="clear" w:color="auto" w:fill="auto"/>
          </w:tcPr>
          <w:p w14:paraId="336C2AC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164 928</w:t>
            </w:r>
          </w:p>
        </w:tc>
        <w:tc>
          <w:tcPr>
            <w:tcW w:w="992" w:type="dxa"/>
            <w:tcBorders>
              <w:top w:val="nil"/>
              <w:left w:val="single" w:sz="4" w:space="0" w:color="auto"/>
              <w:bottom w:val="nil"/>
              <w:right w:val="single" w:sz="4" w:space="0" w:color="auto"/>
            </w:tcBorders>
            <w:shd w:val="clear" w:color="auto" w:fill="auto"/>
          </w:tcPr>
          <w:p w14:paraId="57B2B18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166 381</w:t>
            </w:r>
          </w:p>
        </w:tc>
        <w:tc>
          <w:tcPr>
            <w:tcW w:w="928" w:type="dxa"/>
            <w:tcBorders>
              <w:top w:val="nil"/>
              <w:left w:val="single" w:sz="4" w:space="0" w:color="auto"/>
              <w:bottom w:val="nil"/>
              <w:right w:val="single" w:sz="4" w:space="0" w:color="auto"/>
            </w:tcBorders>
            <w:shd w:val="clear" w:color="auto" w:fill="auto"/>
          </w:tcPr>
          <w:p w14:paraId="7D520EB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1 809</w:t>
            </w:r>
          </w:p>
        </w:tc>
        <w:tc>
          <w:tcPr>
            <w:tcW w:w="851" w:type="dxa"/>
            <w:tcBorders>
              <w:top w:val="nil"/>
              <w:left w:val="single" w:sz="4" w:space="0" w:color="auto"/>
              <w:bottom w:val="nil"/>
              <w:right w:val="single" w:sz="4" w:space="0" w:color="auto"/>
            </w:tcBorders>
            <w:shd w:val="clear" w:color="auto" w:fill="auto"/>
          </w:tcPr>
          <w:p w14:paraId="500C626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2 139</w:t>
            </w:r>
          </w:p>
        </w:tc>
        <w:tc>
          <w:tcPr>
            <w:tcW w:w="850" w:type="dxa"/>
            <w:tcBorders>
              <w:top w:val="nil"/>
              <w:left w:val="single" w:sz="4" w:space="0" w:color="auto"/>
              <w:bottom w:val="nil"/>
              <w:right w:val="single" w:sz="4" w:space="0" w:color="auto"/>
            </w:tcBorders>
            <w:shd w:val="clear" w:color="auto" w:fill="auto"/>
          </w:tcPr>
          <w:p w14:paraId="06288328"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27.3</w:t>
            </w:r>
          </w:p>
        </w:tc>
        <w:tc>
          <w:tcPr>
            <w:tcW w:w="851" w:type="dxa"/>
            <w:tcBorders>
              <w:top w:val="nil"/>
              <w:left w:val="single" w:sz="4" w:space="0" w:color="auto"/>
              <w:bottom w:val="nil"/>
              <w:right w:val="single" w:sz="4" w:space="0" w:color="auto"/>
            </w:tcBorders>
            <w:shd w:val="clear" w:color="auto" w:fill="auto"/>
          </w:tcPr>
          <w:p w14:paraId="5B3C58AA"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29.0</w:t>
            </w:r>
          </w:p>
        </w:tc>
        <w:tc>
          <w:tcPr>
            <w:tcW w:w="850" w:type="dxa"/>
            <w:tcBorders>
              <w:top w:val="nil"/>
              <w:left w:val="single" w:sz="4" w:space="0" w:color="auto"/>
              <w:bottom w:val="nil"/>
              <w:right w:val="single" w:sz="4" w:space="0" w:color="auto"/>
            </w:tcBorders>
            <w:shd w:val="clear" w:color="auto" w:fill="auto"/>
          </w:tcPr>
          <w:p w14:paraId="3522685F"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24.0</w:t>
            </w:r>
          </w:p>
        </w:tc>
        <w:tc>
          <w:tcPr>
            <w:tcW w:w="851" w:type="dxa"/>
            <w:tcBorders>
              <w:top w:val="nil"/>
              <w:left w:val="single" w:sz="4" w:space="0" w:color="auto"/>
              <w:bottom w:val="nil"/>
              <w:right w:val="single" w:sz="4" w:space="0" w:color="auto"/>
            </w:tcBorders>
            <w:shd w:val="clear" w:color="auto" w:fill="auto"/>
          </w:tcPr>
          <w:p w14:paraId="040ACC9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28.0</w:t>
            </w:r>
          </w:p>
        </w:tc>
      </w:tr>
      <w:tr w:rsidR="001C7F15" w:rsidRPr="001C7F15" w14:paraId="331C7C2B"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187B8B74"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SF Soriana</w:t>
            </w:r>
          </w:p>
        </w:tc>
        <w:tc>
          <w:tcPr>
            <w:tcW w:w="993" w:type="dxa"/>
            <w:tcBorders>
              <w:top w:val="nil"/>
              <w:left w:val="single" w:sz="4" w:space="0" w:color="auto"/>
              <w:bottom w:val="nil"/>
              <w:right w:val="single" w:sz="4" w:space="0" w:color="auto"/>
            </w:tcBorders>
            <w:shd w:val="clear" w:color="auto" w:fill="auto"/>
          </w:tcPr>
          <w:p w14:paraId="56A1A34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51 469</w:t>
            </w:r>
          </w:p>
        </w:tc>
        <w:tc>
          <w:tcPr>
            <w:tcW w:w="992" w:type="dxa"/>
            <w:tcBorders>
              <w:top w:val="nil"/>
              <w:left w:val="single" w:sz="4" w:space="0" w:color="auto"/>
              <w:bottom w:val="nil"/>
              <w:right w:val="single" w:sz="4" w:space="0" w:color="auto"/>
            </w:tcBorders>
            <w:shd w:val="clear" w:color="auto" w:fill="auto"/>
          </w:tcPr>
          <w:p w14:paraId="1202A9B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61 848</w:t>
            </w:r>
          </w:p>
        </w:tc>
        <w:tc>
          <w:tcPr>
            <w:tcW w:w="928" w:type="dxa"/>
            <w:tcBorders>
              <w:top w:val="nil"/>
              <w:left w:val="single" w:sz="4" w:space="0" w:color="auto"/>
              <w:bottom w:val="nil"/>
              <w:right w:val="single" w:sz="4" w:space="0" w:color="auto"/>
            </w:tcBorders>
            <w:shd w:val="clear" w:color="auto" w:fill="auto"/>
          </w:tcPr>
          <w:p w14:paraId="0B35F58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504</w:t>
            </w:r>
          </w:p>
        </w:tc>
        <w:tc>
          <w:tcPr>
            <w:tcW w:w="851" w:type="dxa"/>
            <w:tcBorders>
              <w:top w:val="nil"/>
              <w:left w:val="single" w:sz="4" w:space="0" w:color="auto"/>
              <w:bottom w:val="nil"/>
              <w:right w:val="single" w:sz="4" w:space="0" w:color="auto"/>
            </w:tcBorders>
            <w:shd w:val="clear" w:color="auto" w:fill="auto"/>
          </w:tcPr>
          <w:p w14:paraId="3017FA6E"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608</w:t>
            </w:r>
          </w:p>
        </w:tc>
        <w:tc>
          <w:tcPr>
            <w:tcW w:w="850" w:type="dxa"/>
            <w:tcBorders>
              <w:top w:val="nil"/>
              <w:left w:val="single" w:sz="4" w:space="0" w:color="auto"/>
              <w:bottom w:val="nil"/>
              <w:right w:val="single" w:sz="4" w:space="0" w:color="auto"/>
            </w:tcBorders>
            <w:shd w:val="clear" w:color="auto" w:fill="auto"/>
          </w:tcPr>
          <w:p w14:paraId="22EF1A04"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40.1</w:t>
            </w:r>
          </w:p>
        </w:tc>
        <w:tc>
          <w:tcPr>
            <w:tcW w:w="851" w:type="dxa"/>
            <w:tcBorders>
              <w:top w:val="nil"/>
              <w:left w:val="single" w:sz="4" w:space="0" w:color="auto"/>
              <w:bottom w:val="nil"/>
              <w:right w:val="single" w:sz="4" w:space="0" w:color="auto"/>
            </w:tcBorders>
            <w:shd w:val="clear" w:color="auto" w:fill="auto"/>
          </w:tcPr>
          <w:p w14:paraId="49C5CCF1"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36.6</w:t>
            </w:r>
          </w:p>
        </w:tc>
        <w:tc>
          <w:tcPr>
            <w:tcW w:w="850" w:type="dxa"/>
            <w:tcBorders>
              <w:top w:val="nil"/>
              <w:left w:val="single" w:sz="4" w:space="0" w:color="auto"/>
              <w:bottom w:val="nil"/>
              <w:right w:val="single" w:sz="4" w:space="0" w:color="auto"/>
            </w:tcBorders>
            <w:shd w:val="clear" w:color="auto" w:fill="auto"/>
          </w:tcPr>
          <w:p w14:paraId="445409F3"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47.7</w:t>
            </w:r>
          </w:p>
        </w:tc>
        <w:tc>
          <w:tcPr>
            <w:tcW w:w="851" w:type="dxa"/>
            <w:tcBorders>
              <w:top w:val="nil"/>
              <w:left w:val="single" w:sz="4" w:space="0" w:color="auto"/>
              <w:bottom w:val="nil"/>
              <w:right w:val="single" w:sz="4" w:space="0" w:color="auto"/>
            </w:tcBorders>
            <w:shd w:val="clear" w:color="auto" w:fill="auto"/>
          </w:tcPr>
          <w:p w14:paraId="670E854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42.5</w:t>
            </w:r>
          </w:p>
        </w:tc>
      </w:tr>
      <w:tr w:rsidR="001C7F15" w:rsidRPr="001C7F15" w14:paraId="5AEAEB60"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66D44301"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 Invex</w:t>
            </w:r>
          </w:p>
        </w:tc>
        <w:tc>
          <w:tcPr>
            <w:tcW w:w="993" w:type="dxa"/>
            <w:tcBorders>
              <w:top w:val="nil"/>
              <w:left w:val="single" w:sz="4" w:space="0" w:color="auto"/>
              <w:bottom w:val="nil"/>
              <w:right w:val="single" w:sz="4" w:space="0" w:color="auto"/>
            </w:tcBorders>
            <w:shd w:val="clear" w:color="auto" w:fill="auto"/>
          </w:tcPr>
          <w:p w14:paraId="781B5ED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26 216</w:t>
            </w:r>
          </w:p>
        </w:tc>
        <w:tc>
          <w:tcPr>
            <w:tcW w:w="992" w:type="dxa"/>
            <w:tcBorders>
              <w:top w:val="nil"/>
              <w:left w:val="single" w:sz="4" w:space="0" w:color="auto"/>
              <w:bottom w:val="nil"/>
              <w:right w:val="single" w:sz="4" w:space="0" w:color="auto"/>
            </w:tcBorders>
            <w:shd w:val="clear" w:color="auto" w:fill="auto"/>
          </w:tcPr>
          <w:p w14:paraId="4D126A5F"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36 437</w:t>
            </w:r>
          </w:p>
        </w:tc>
        <w:tc>
          <w:tcPr>
            <w:tcW w:w="928" w:type="dxa"/>
            <w:tcBorders>
              <w:top w:val="nil"/>
              <w:left w:val="single" w:sz="4" w:space="0" w:color="auto"/>
              <w:bottom w:val="nil"/>
              <w:right w:val="single" w:sz="4" w:space="0" w:color="auto"/>
            </w:tcBorders>
            <w:shd w:val="clear" w:color="auto" w:fill="auto"/>
          </w:tcPr>
          <w:p w14:paraId="5687998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487</w:t>
            </w:r>
          </w:p>
        </w:tc>
        <w:tc>
          <w:tcPr>
            <w:tcW w:w="851" w:type="dxa"/>
            <w:tcBorders>
              <w:top w:val="nil"/>
              <w:left w:val="single" w:sz="4" w:space="0" w:color="auto"/>
              <w:bottom w:val="nil"/>
              <w:right w:val="single" w:sz="4" w:space="0" w:color="auto"/>
            </w:tcBorders>
            <w:shd w:val="clear" w:color="auto" w:fill="auto"/>
          </w:tcPr>
          <w:p w14:paraId="2B1A844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727</w:t>
            </w:r>
          </w:p>
        </w:tc>
        <w:tc>
          <w:tcPr>
            <w:tcW w:w="850" w:type="dxa"/>
            <w:tcBorders>
              <w:top w:val="nil"/>
              <w:left w:val="single" w:sz="4" w:space="0" w:color="auto"/>
              <w:bottom w:val="nil"/>
              <w:right w:val="single" w:sz="4" w:space="0" w:color="auto"/>
            </w:tcBorders>
            <w:shd w:val="clear" w:color="auto" w:fill="auto"/>
          </w:tcPr>
          <w:p w14:paraId="33523BCA"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48.4</w:t>
            </w:r>
          </w:p>
        </w:tc>
        <w:tc>
          <w:tcPr>
            <w:tcW w:w="851" w:type="dxa"/>
            <w:tcBorders>
              <w:top w:val="nil"/>
              <w:left w:val="single" w:sz="4" w:space="0" w:color="auto"/>
              <w:bottom w:val="nil"/>
              <w:right w:val="single" w:sz="4" w:space="0" w:color="auto"/>
            </w:tcBorders>
            <w:shd w:val="clear" w:color="auto" w:fill="auto"/>
          </w:tcPr>
          <w:p w14:paraId="74CC889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47.9</w:t>
            </w:r>
          </w:p>
        </w:tc>
        <w:tc>
          <w:tcPr>
            <w:tcW w:w="850" w:type="dxa"/>
            <w:tcBorders>
              <w:top w:val="nil"/>
              <w:left w:val="single" w:sz="4" w:space="0" w:color="auto"/>
              <w:bottom w:val="nil"/>
              <w:right w:val="single" w:sz="4" w:space="0" w:color="auto"/>
            </w:tcBorders>
            <w:shd w:val="clear" w:color="auto" w:fill="auto"/>
          </w:tcPr>
          <w:p w14:paraId="65A15C14"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52.2</w:t>
            </w:r>
          </w:p>
        </w:tc>
        <w:tc>
          <w:tcPr>
            <w:tcW w:w="851" w:type="dxa"/>
            <w:tcBorders>
              <w:top w:val="nil"/>
              <w:left w:val="single" w:sz="4" w:space="0" w:color="auto"/>
              <w:bottom w:val="nil"/>
              <w:right w:val="single" w:sz="4" w:space="0" w:color="auto"/>
            </w:tcBorders>
            <w:shd w:val="clear" w:color="auto" w:fill="auto"/>
          </w:tcPr>
          <w:p w14:paraId="7A5646E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53.2</w:t>
            </w:r>
          </w:p>
        </w:tc>
      </w:tr>
      <w:tr w:rsidR="001C7F15" w:rsidRPr="001C7F15" w14:paraId="6D29B2FA"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0154AB9A"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Banregio</w:t>
            </w:r>
          </w:p>
        </w:tc>
        <w:tc>
          <w:tcPr>
            <w:tcW w:w="993" w:type="dxa"/>
            <w:tcBorders>
              <w:top w:val="nil"/>
              <w:left w:val="single" w:sz="4" w:space="0" w:color="auto"/>
              <w:bottom w:val="nil"/>
              <w:right w:val="single" w:sz="4" w:space="0" w:color="auto"/>
            </w:tcBorders>
            <w:shd w:val="clear" w:color="auto" w:fill="auto"/>
          </w:tcPr>
          <w:p w14:paraId="2847F1B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10 469</w:t>
            </w:r>
          </w:p>
        </w:tc>
        <w:tc>
          <w:tcPr>
            <w:tcW w:w="992" w:type="dxa"/>
            <w:tcBorders>
              <w:top w:val="nil"/>
              <w:left w:val="single" w:sz="4" w:space="0" w:color="auto"/>
              <w:bottom w:val="nil"/>
              <w:right w:val="single" w:sz="4" w:space="0" w:color="auto"/>
            </w:tcBorders>
            <w:shd w:val="clear" w:color="auto" w:fill="auto"/>
          </w:tcPr>
          <w:p w14:paraId="6B119B6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11 758</w:t>
            </w:r>
          </w:p>
        </w:tc>
        <w:tc>
          <w:tcPr>
            <w:tcW w:w="928" w:type="dxa"/>
            <w:tcBorders>
              <w:top w:val="nil"/>
              <w:left w:val="single" w:sz="4" w:space="0" w:color="auto"/>
              <w:bottom w:val="nil"/>
              <w:right w:val="single" w:sz="4" w:space="0" w:color="auto"/>
            </w:tcBorders>
            <w:shd w:val="clear" w:color="auto" w:fill="auto"/>
          </w:tcPr>
          <w:p w14:paraId="1D82B4A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193</w:t>
            </w:r>
          </w:p>
        </w:tc>
        <w:tc>
          <w:tcPr>
            <w:tcW w:w="851" w:type="dxa"/>
            <w:tcBorders>
              <w:top w:val="nil"/>
              <w:left w:val="single" w:sz="4" w:space="0" w:color="auto"/>
              <w:bottom w:val="nil"/>
              <w:right w:val="single" w:sz="4" w:space="0" w:color="auto"/>
            </w:tcBorders>
            <w:shd w:val="clear" w:color="auto" w:fill="auto"/>
          </w:tcPr>
          <w:p w14:paraId="3A59A684"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227</w:t>
            </w:r>
          </w:p>
        </w:tc>
        <w:tc>
          <w:tcPr>
            <w:tcW w:w="850" w:type="dxa"/>
            <w:tcBorders>
              <w:top w:val="nil"/>
              <w:left w:val="single" w:sz="4" w:space="0" w:color="auto"/>
              <w:bottom w:val="nil"/>
              <w:right w:val="single" w:sz="4" w:space="0" w:color="auto"/>
            </w:tcBorders>
            <w:shd w:val="clear" w:color="auto" w:fill="auto"/>
          </w:tcPr>
          <w:p w14:paraId="1C55D7BE"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29.5</w:t>
            </w:r>
          </w:p>
        </w:tc>
        <w:tc>
          <w:tcPr>
            <w:tcW w:w="851" w:type="dxa"/>
            <w:tcBorders>
              <w:top w:val="nil"/>
              <w:left w:val="single" w:sz="4" w:space="0" w:color="auto"/>
              <w:bottom w:val="nil"/>
              <w:right w:val="single" w:sz="4" w:space="0" w:color="auto"/>
            </w:tcBorders>
            <w:shd w:val="clear" w:color="auto" w:fill="auto"/>
          </w:tcPr>
          <w:p w14:paraId="244259EF"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27.5</w:t>
            </w:r>
          </w:p>
        </w:tc>
        <w:tc>
          <w:tcPr>
            <w:tcW w:w="850" w:type="dxa"/>
            <w:tcBorders>
              <w:top w:val="nil"/>
              <w:left w:val="single" w:sz="4" w:space="0" w:color="auto"/>
              <w:bottom w:val="nil"/>
              <w:right w:val="single" w:sz="4" w:space="0" w:color="auto"/>
            </w:tcBorders>
            <w:shd w:val="clear" w:color="auto" w:fill="auto"/>
          </w:tcPr>
          <w:p w14:paraId="2080EB5C"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22.8</w:t>
            </w:r>
          </w:p>
        </w:tc>
        <w:tc>
          <w:tcPr>
            <w:tcW w:w="851" w:type="dxa"/>
            <w:tcBorders>
              <w:top w:val="nil"/>
              <w:left w:val="single" w:sz="4" w:space="0" w:color="auto"/>
              <w:bottom w:val="nil"/>
              <w:right w:val="single" w:sz="4" w:space="0" w:color="auto"/>
            </w:tcBorders>
            <w:shd w:val="clear" w:color="auto" w:fill="auto"/>
          </w:tcPr>
          <w:p w14:paraId="0CD1F17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21.8</w:t>
            </w:r>
          </w:p>
        </w:tc>
      </w:tr>
      <w:tr w:rsidR="001C7F15" w:rsidRPr="001C7F15" w14:paraId="2445C594"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73C422F8"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 del Bajío</w:t>
            </w:r>
          </w:p>
        </w:tc>
        <w:tc>
          <w:tcPr>
            <w:tcW w:w="993" w:type="dxa"/>
            <w:tcBorders>
              <w:top w:val="nil"/>
              <w:left w:val="single" w:sz="4" w:space="0" w:color="auto"/>
              <w:bottom w:val="nil"/>
              <w:right w:val="single" w:sz="4" w:space="0" w:color="auto"/>
            </w:tcBorders>
            <w:shd w:val="clear" w:color="auto" w:fill="auto"/>
          </w:tcPr>
          <w:p w14:paraId="467E719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6 667</w:t>
            </w:r>
          </w:p>
        </w:tc>
        <w:tc>
          <w:tcPr>
            <w:tcW w:w="992" w:type="dxa"/>
            <w:tcBorders>
              <w:top w:val="nil"/>
              <w:left w:val="single" w:sz="4" w:space="0" w:color="auto"/>
              <w:bottom w:val="nil"/>
              <w:right w:val="single" w:sz="4" w:space="0" w:color="auto"/>
            </w:tcBorders>
            <w:shd w:val="clear" w:color="auto" w:fill="auto"/>
          </w:tcPr>
          <w:p w14:paraId="7BD789AF"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10 725</w:t>
            </w:r>
          </w:p>
        </w:tc>
        <w:tc>
          <w:tcPr>
            <w:tcW w:w="928" w:type="dxa"/>
            <w:tcBorders>
              <w:top w:val="nil"/>
              <w:left w:val="single" w:sz="4" w:space="0" w:color="auto"/>
              <w:bottom w:val="nil"/>
              <w:right w:val="single" w:sz="4" w:space="0" w:color="auto"/>
            </w:tcBorders>
            <w:shd w:val="clear" w:color="auto" w:fill="auto"/>
          </w:tcPr>
          <w:p w14:paraId="16C9FFC1"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103</w:t>
            </w:r>
          </w:p>
        </w:tc>
        <w:tc>
          <w:tcPr>
            <w:tcW w:w="851" w:type="dxa"/>
            <w:tcBorders>
              <w:top w:val="nil"/>
              <w:left w:val="single" w:sz="4" w:space="0" w:color="auto"/>
              <w:bottom w:val="nil"/>
              <w:right w:val="single" w:sz="4" w:space="0" w:color="auto"/>
            </w:tcBorders>
            <w:shd w:val="clear" w:color="auto" w:fill="auto"/>
          </w:tcPr>
          <w:p w14:paraId="5E654848"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206</w:t>
            </w:r>
          </w:p>
        </w:tc>
        <w:tc>
          <w:tcPr>
            <w:tcW w:w="850" w:type="dxa"/>
            <w:tcBorders>
              <w:top w:val="nil"/>
              <w:left w:val="single" w:sz="4" w:space="0" w:color="auto"/>
              <w:bottom w:val="nil"/>
              <w:right w:val="single" w:sz="4" w:space="0" w:color="auto"/>
            </w:tcBorders>
            <w:shd w:val="clear" w:color="auto" w:fill="auto"/>
          </w:tcPr>
          <w:p w14:paraId="6E92E2B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27.0</w:t>
            </w:r>
          </w:p>
        </w:tc>
        <w:tc>
          <w:tcPr>
            <w:tcW w:w="851" w:type="dxa"/>
            <w:tcBorders>
              <w:top w:val="nil"/>
              <w:left w:val="single" w:sz="4" w:space="0" w:color="auto"/>
              <w:bottom w:val="nil"/>
              <w:right w:val="single" w:sz="4" w:space="0" w:color="auto"/>
            </w:tcBorders>
            <w:shd w:val="clear" w:color="auto" w:fill="auto"/>
          </w:tcPr>
          <w:p w14:paraId="140FC020"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24.0</w:t>
            </w:r>
          </w:p>
        </w:tc>
        <w:tc>
          <w:tcPr>
            <w:tcW w:w="850" w:type="dxa"/>
            <w:tcBorders>
              <w:top w:val="nil"/>
              <w:left w:val="single" w:sz="4" w:space="0" w:color="auto"/>
              <w:bottom w:val="nil"/>
              <w:right w:val="single" w:sz="4" w:space="0" w:color="auto"/>
            </w:tcBorders>
            <w:shd w:val="clear" w:color="auto" w:fill="auto"/>
          </w:tcPr>
          <w:p w14:paraId="3B4A500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30.0</w:t>
            </w:r>
          </w:p>
        </w:tc>
        <w:tc>
          <w:tcPr>
            <w:tcW w:w="851" w:type="dxa"/>
            <w:tcBorders>
              <w:top w:val="nil"/>
              <w:left w:val="single" w:sz="4" w:space="0" w:color="auto"/>
              <w:bottom w:val="nil"/>
              <w:right w:val="single" w:sz="4" w:space="0" w:color="auto"/>
            </w:tcBorders>
            <w:shd w:val="clear" w:color="auto" w:fill="auto"/>
          </w:tcPr>
          <w:p w14:paraId="2CED3CE4"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23.8</w:t>
            </w:r>
          </w:p>
        </w:tc>
      </w:tr>
      <w:tr w:rsidR="001C7F15" w:rsidRPr="001C7F15" w14:paraId="64FF3F95"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23B994EF"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Crédito Familiar</w:t>
            </w:r>
          </w:p>
        </w:tc>
        <w:tc>
          <w:tcPr>
            <w:tcW w:w="993" w:type="dxa"/>
            <w:tcBorders>
              <w:top w:val="nil"/>
              <w:left w:val="single" w:sz="4" w:space="0" w:color="auto"/>
              <w:bottom w:val="nil"/>
              <w:right w:val="single" w:sz="4" w:space="0" w:color="auto"/>
            </w:tcBorders>
            <w:shd w:val="clear" w:color="auto" w:fill="auto"/>
          </w:tcPr>
          <w:p w14:paraId="21936A52"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n.a.</w:t>
            </w:r>
          </w:p>
        </w:tc>
        <w:tc>
          <w:tcPr>
            <w:tcW w:w="992" w:type="dxa"/>
            <w:tcBorders>
              <w:top w:val="nil"/>
              <w:left w:val="single" w:sz="4" w:space="0" w:color="auto"/>
              <w:bottom w:val="nil"/>
              <w:right w:val="single" w:sz="4" w:space="0" w:color="auto"/>
            </w:tcBorders>
            <w:shd w:val="clear" w:color="auto" w:fill="auto"/>
          </w:tcPr>
          <w:p w14:paraId="2F6288EF"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12 436</w:t>
            </w:r>
          </w:p>
        </w:tc>
        <w:tc>
          <w:tcPr>
            <w:tcW w:w="928" w:type="dxa"/>
            <w:tcBorders>
              <w:top w:val="nil"/>
              <w:left w:val="single" w:sz="4" w:space="0" w:color="auto"/>
              <w:bottom w:val="nil"/>
              <w:right w:val="single" w:sz="4" w:space="0" w:color="auto"/>
            </w:tcBorders>
            <w:shd w:val="clear" w:color="auto" w:fill="auto"/>
          </w:tcPr>
          <w:p w14:paraId="722BF4B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n.a.</w:t>
            </w:r>
          </w:p>
        </w:tc>
        <w:tc>
          <w:tcPr>
            <w:tcW w:w="851" w:type="dxa"/>
            <w:tcBorders>
              <w:top w:val="nil"/>
              <w:left w:val="single" w:sz="4" w:space="0" w:color="auto"/>
              <w:bottom w:val="nil"/>
              <w:right w:val="single" w:sz="4" w:space="0" w:color="auto"/>
            </w:tcBorders>
            <w:shd w:val="clear" w:color="auto" w:fill="auto"/>
          </w:tcPr>
          <w:p w14:paraId="1B57092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74</w:t>
            </w:r>
          </w:p>
        </w:tc>
        <w:tc>
          <w:tcPr>
            <w:tcW w:w="850" w:type="dxa"/>
            <w:tcBorders>
              <w:top w:val="nil"/>
              <w:left w:val="single" w:sz="4" w:space="0" w:color="auto"/>
              <w:bottom w:val="nil"/>
              <w:right w:val="single" w:sz="4" w:space="0" w:color="auto"/>
            </w:tcBorders>
            <w:shd w:val="clear" w:color="auto" w:fill="auto"/>
          </w:tcPr>
          <w:p w14:paraId="7507423B"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n.a.</w:t>
            </w:r>
          </w:p>
        </w:tc>
        <w:tc>
          <w:tcPr>
            <w:tcW w:w="851" w:type="dxa"/>
            <w:tcBorders>
              <w:top w:val="nil"/>
              <w:left w:val="single" w:sz="4" w:space="0" w:color="auto"/>
              <w:bottom w:val="nil"/>
              <w:right w:val="single" w:sz="4" w:space="0" w:color="auto"/>
            </w:tcBorders>
            <w:shd w:val="clear" w:color="auto" w:fill="auto"/>
          </w:tcPr>
          <w:p w14:paraId="3284D78E"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53.8</w:t>
            </w:r>
          </w:p>
        </w:tc>
        <w:tc>
          <w:tcPr>
            <w:tcW w:w="850" w:type="dxa"/>
            <w:tcBorders>
              <w:top w:val="nil"/>
              <w:left w:val="single" w:sz="4" w:space="0" w:color="auto"/>
              <w:bottom w:val="nil"/>
              <w:right w:val="single" w:sz="4" w:space="0" w:color="auto"/>
            </w:tcBorders>
            <w:shd w:val="clear" w:color="auto" w:fill="auto"/>
          </w:tcPr>
          <w:p w14:paraId="2D4E41D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n.a.</w:t>
            </w:r>
          </w:p>
        </w:tc>
        <w:tc>
          <w:tcPr>
            <w:tcW w:w="851" w:type="dxa"/>
            <w:tcBorders>
              <w:top w:val="nil"/>
              <w:left w:val="single" w:sz="4" w:space="0" w:color="auto"/>
              <w:bottom w:val="nil"/>
              <w:right w:val="single" w:sz="4" w:space="0" w:color="auto"/>
            </w:tcBorders>
            <w:shd w:val="clear" w:color="auto" w:fill="auto"/>
          </w:tcPr>
          <w:p w14:paraId="2E3FE9F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55.4</w:t>
            </w:r>
          </w:p>
        </w:tc>
      </w:tr>
      <w:tr w:rsidR="001C7F15" w:rsidRPr="001C7F15" w14:paraId="4B356BBD"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2F372054"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Banca Afirme</w:t>
            </w:r>
          </w:p>
        </w:tc>
        <w:tc>
          <w:tcPr>
            <w:tcW w:w="993" w:type="dxa"/>
            <w:tcBorders>
              <w:top w:val="nil"/>
              <w:left w:val="single" w:sz="4" w:space="0" w:color="auto"/>
              <w:bottom w:val="nil"/>
              <w:right w:val="single" w:sz="4" w:space="0" w:color="auto"/>
            </w:tcBorders>
            <w:shd w:val="clear" w:color="auto" w:fill="auto"/>
          </w:tcPr>
          <w:p w14:paraId="70E01140"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5 600</w:t>
            </w:r>
          </w:p>
        </w:tc>
        <w:tc>
          <w:tcPr>
            <w:tcW w:w="992" w:type="dxa"/>
            <w:tcBorders>
              <w:top w:val="nil"/>
              <w:left w:val="single" w:sz="4" w:space="0" w:color="auto"/>
              <w:bottom w:val="nil"/>
              <w:right w:val="single" w:sz="4" w:space="0" w:color="auto"/>
            </w:tcBorders>
            <w:shd w:val="clear" w:color="auto" w:fill="auto"/>
          </w:tcPr>
          <w:p w14:paraId="5F02C32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5 535</w:t>
            </w:r>
          </w:p>
        </w:tc>
        <w:tc>
          <w:tcPr>
            <w:tcW w:w="928" w:type="dxa"/>
            <w:tcBorders>
              <w:top w:val="nil"/>
              <w:left w:val="single" w:sz="4" w:space="0" w:color="auto"/>
              <w:bottom w:val="nil"/>
              <w:right w:val="single" w:sz="4" w:space="0" w:color="auto"/>
            </w:tcBorders>
            <w:shd w:val="clear" w:color="auto" w:fill="auto"/>
          </w:tcPr>
          <w:p w14:paraId="08068A2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108</w:t>
            </w:r>
          </w:p>
        </w:tc>
        <w:tc>
          <w:tcPr>
            <w:tcW w:w="851" w:type="dxa"/>
            <w:tcBorders>
              <w:top w:val="nil"/>
              <w:left w:val="single" w:sz="4" w:space="0" w:color="auto"/>
              <w:bottom w:val="nil"/>
              <w:right w:val="single" w:sz="4" w:space="0" w:color="auto"/>
            </w:tcBorders>
            <w:shd w:val="clear" w:color="auto" w:fill="auto"/>
          </w:tcPr>
          <w:p w14:paraId="7DEF278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121</w:t>
            </w:r>
          </w:p>
        </w:tc>
        <w:tc>
          <w:tcPr>
            <w:tcW w:w="850" w:type="dxa"/>
            <w:tcBorders>
              <w:top w:val="nil"/>
              <w:left w:val="single" w:sz="4" w:space="0" w:color="auto"/>
              <w:bottom w:val="nil"/>
              <w:right w:val="single" w:sz="4" w:space="0" w:color="auto"/>
            </w:tcBorders>
            <w:shd w:val="clear" w:color="auto" w:fill="auto"/>
          </w:tcPr>
          <w:p w14:paraId="5ACD3233"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37.0</w:t>
            </w:r>
          </w:p>
        </w:tc>
        <w:tc>
          <w:tcPr>
            <w:tcW w:w="851" w:type="dxa"/>
            <w:tcBorders>
              <w:top w:val="nil"/>
              <w:left w:val="single" w:sz="4" w:space="0" w:color="auto"/>
              <w:bottom w:val="nil"/>
              <w:right w:val="single" w:sz="4" w:space="0" w:color="auto"/>
            </w:tcBorders>
            <w:shd w:val="clear" w:color="auto" w:fill="auto"/>
          </w:tcPr>
          <w:p w14:paraId="0D0BB09D"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35.2</w:t>
            </w:r>
          </w:p>
        </w:tc>
        <w:tc>
          <w:tcPr>
            <w:tcW w:w="850" w:type="dxa"/>
            <w:tcBorders>
              <w:top w:val="nil"/>
              <w:left w:val="single" w:sz="4" w:space="0" w:color="auto"/>
              <w:bottom w:val="nil"/>
              <w:right w:val="single" w:sz="4" w:space="0" w:color="auto"/>
            </w:tcBorders>
            <w:shd w:val="clear" w:color="auto" w:fill="auto"/>
          </w:tcPr>
          <w:p w14:paraId="14832199"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41.9</w:t>
            </w:r>
          </w:p>
        </w:tc>
        <w:tc>
          <w:tcPr>
            <w:tcW w:w="851" w:type="dxa"/>
            <w:tcBorders>
              <w:top w:val="nil"/>
              <w:left w:val="single" w:sz="4" w:space="0" w:color="auto"/>
              <w:bottom w:val="nil"/>
              <w:right w:val="single" w:sz="4" w:space="0" w:color="auto"/>
            </w:tcBorders>
            <w:shd w:val="clear" w:color="auto" w:fill="auto"/>
          </w:tcPr>
          <w:p w14:paraId="05ACA4A8"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40.9</w:t>
            </w:r>
          </w:p>
        </w:tc>
      </w:tr>
      <w:tr w:rsidR="001C7F15" w:rsidRPr="001C7F15" w14:paraId="1863FAB1" w14:textId="77777777" w:rsidTr="00E823BC">
        <w:trPr>
          <w:jc w:val="center"/>
        </w:trPr>
        <w:tc>
          <w:tcPr>
            <w:tcW w:w="1731" w:type="dxa"/>
            <w:tcBorders>
              <w:top w:val="nil"/>
              <w:left w:val="single" w:sz="4" w:space="0" w:color="auto"/>
              <w:bottom w:val="nil"/>
              <w:right w:val="single" w:sz="4" w:space="0" w:color="auto"/>
            </w:tcBorders>
            <w:shd w:val="clear" w:color="auto" w:fill="auto"/>
          </w:tcPr>
          <w:p w14:paraId="5B732007"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ConsuBanco</w:t>
            </w:r>
          </w:p>
        </w:tc>
        <w:tc>
          <w:tcPr>
            <w:tcW w:w="993" w:type="dxa"/>
            <w:tcBorders>
              <w:top w:val="nil"/>
              <w:left w:val="single" w:sz="4" w:space="0" w:color="auto"/>
              <w:bottom w:val="nil"/>
              <w:right w:val="single" w:sz="4" w:space="0" w:color="auto"/>
            </w:tcBorders>
            <w:shd w:val="clear" w:color="auto" w:fill="auto"/>
          </w:tcPr>
          <w:p w14:paraId="6AA09BBC"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5 539</w:t>
            </w:r>
          </w:p>
        </w:tc>
        <w:tc>
          <w:tcPr>
            <w:tcW w:w="992" w:type="dxa"/>
            <w:tcBorders>
              <w:top w:val="nil"/>
              <w:left w:val="single" w:sz="4" w:space="0" w:color="auto"/>
              <w:bottom w:val="nil"/>
              <w:right w:val="single" w:sz="4" w:space="0" w:color="auto"/>
            </w:tcBorders>
            <w:shd w:val="clear" w:color="auto" w:fill="auto"/>
          </w:tcPr>
          <w:p w14:paraId="2E836A6B"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4 606</w:t>
            </w:r>
          </w:p>
        </w:tc>
        <w:tc>
          <w:tcPr>
            <w:tcW w:w="928" w:type="dxa"/>
            <w:tcBorders>
              <w:top w:val="nil"/>
              <w:left w:val="single" w:sz="4" w:space="0" w:color="auto"/>
              <w:bottom w:val="nil"/>
              <w:right w:val="single" w:sz="4" w:space="0" w:color="auto"/>
            </w:tcBorders>
            <w:shd w:val="clear" w:color="auto" w:fill="auto"/>
          </w:tcPr>
          <w:p w14:paraId="02964CAA"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20</w:t>
            </w:r>
          </w:p>
        </w:tc>
        <w:tc>
          <w:tcPr>
            <w:tcW w:w="851" w:type="dxa"/>
            <w:tcBorders>
              <w:top w:val="nil"/>
              <w:left w:val="single" w:sz="4" w:space="0" w:color="auto"/>
              <w:bottom w:val="nil"/>
              <w:right w:val="single" w:sz="4" w:space="0" w:color="auto"/>
            </w:tcBorders>
            <w:shd w:val="clear" w:color="auto" w:fill="auto"/>
          </w:tcPr>
          <w:p w14:paraId="5B07B54D" w14:textId="77777777" w:rsidR="001C7F15" w:rsidRPr="001C7F15" w:rsidRDefault="001C7F15" w:rsidP="001C7F15">
            <w:pPr>
              <w:autoSpaceDE w:val="0"/>
              <w:autoSpaceDN w:val="0"/>
              <w:adjustRightInd w:val="0"/>
              <w:spacing w:before="40" w:after="40"/>
              <w:jc w:val="right"/>
              <w:rPr>
                <w:rFonts w:eastAsia="Calibri"/>
                <w:sz w:val="18"/>
                <w:szCs w:val="18"/>
                <w:lang w:eastAsia="en-US"/>
              </w:rPr>
            </w:pPr>
            <w:r w:rsidRPr="001C7F15">
              <w:rPr>
                <w:rFonts w:eastAsia="Calibri"/>
                <w:sz w:val="18"/>
                <w:szCs w:val="18"/>
                <w:lang w:eastAsia="en-US"/>
              </w:rPr>
              <w:t>16</w:t>
            </w:r>
          </w:p>
        </w:tc>
        <w:tc>
          <w:tcPr>
            <w:tcW w:w="850" w:type="dxa"/>
            <w:tcBorders>
              <w:top w:val="nil"/>
              <w:left w:val="single" w:sz="4" w:space="0" w:color="auto"/>
              <w:bottom w:val="nil"/>
              <w:right w:val="single" w:sz="4" w:space="0" w:color="auto"/>
            </w:tcBorders>
            <w:shd w:val="clear" w:color="auto" w:fill="auto"/>
          </w:tcPr>
          <w:p w14:paraId="51C336DF"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53.4</w:t>
            </w:r>
          </w:p>
        </w:tc>
        <w:tc>
          <w:tcPr>
            <w:tcW w:w="851" w:type="dxa"/>
            <w:tcBorders>
              <w:top w:val="nil"/>
              <w:left w:val="single" w:sz="4" w:space="0" w:color="auto"/>
              <w:bottom w:val="nil"/>
              <w:right w:val="single" w:sz="4" w:space="0" w:color="auto"/>
            </w:tcBorders>
            <w:shd w:val="clear" w:color="auto" w:fill="auto"/>
          </w:tcPr>
          <w:p w14:paraId="491CE912"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53.1</w:t>
            </w:r>
          </w:p>
        </w:tc>
        <w:tc>
          <w:tcPr>
            <w:tcW w:w="850" w:type="dxa"/>
            <w:tcBorders>
              <w:top w:val="nil"/>
              <w:left w:val="single" w:sz="4" w:space="0" w:color="auto"/>
              <w:bottom w:val="nil"/>
              <w:right w:val="single" w:sz="4" w:space="0" w:color="auto"/>
            </w:tcBorders>
            <w:shd w:val="clear" w:color="auto" w:fill="auto"/>
          </w:tcPr>
          <w:p w14:paraId="75262C21"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58.0</w:t>
            </w:r>
          </w:p>
        </w:tc>
        <w:tc>
          <w:tcPr>
            <w:tcW w:w="851" w:type="dxa"/>
            <w:tcBorders>
              <w:top w:val="nil"/>
              <w:left w:val="single" w:sz="4" w:space="0" w:color="auto"/>
              <w:bottom w:val="nil"/>
              <w:right w:val="single" w:sz="4" w:space="0" w:color="auto"/>
            </w:tcBorders>
            <w:shd w:val="clear" w:color="auto" w:fill="auto"/>
          </w:tcPr>
          <w:p w14:paraId="5477F0F6" w14:textId="77777777" w:rsidR="001C7F15" w:rsidRPr="001C7F15" w:rsidRDefault="001C7F15" w:rsidP="001C7F15">
            <w:pPr>
              <w:autoSpaceDE w:val="0"/>
              <w:autoSpaceDN w:val="0"/>
              <w:adjustRightInd w:val="0"/>
              <w:spacing w:before="40" w:after="40"/>
              <w:ind w:right="113"/>
              <w:jc w:val="right"/>
              <w:rPr>
                <w:rFonts w:eastAsia="Calibri"/>
                <w:sz w:val="18"/>
                <w:szCs w:val="18"/>
                <w:lang w:eastAsia="en-US"/>
              </w:rPr>
            </w:pPr>
            <w:r w:rsidRPr="001C7F15">
              <w:rPr>
                <w:rFonts w:eastAsia="Calibri"/>
                <w:sz w:val="18"/>
                <w:szCs w:val="18"/>
                <w:lang w:eastAsia="en-US"/>
              </w:rPr>
              <w:t>58.0</w:t>
            </w:r>
          </w:p>
        </w:tc>
      </w:tr>
      <w:tr w:rsidR="001C7F15" w:rsidRPr="001C7F15" w14:paraId="3D40EA1E" w14:textId="77777777" w:rsidTr="00E823BC">
        <w:trPr>
          <w:jc w:val="center"/>
        </w:trPr>
        <w:tc>
          <w:tcPr>
            <w:tcW w:w="1731" w:type="dxa"/>
            <w:tcBorders>
              <w:top w:val="nil"/>
              <w:left w:val="single" w:sz="4" w:space="0" w:color="auto"/>
              <w:bottom w:val="single" w:sz="4" w:space="0" w:color="auto"/>
              <w:right w:val="single" w:sz="4" w:space="0" w:color="auto"/>
            </w:tcBorders>
            <w:shd w:val="clear" w:color="auto" w:fill="auto"/>
          </w:tcPr>
          <w:p w14:paraId="4E950C4D" w14:textId="77777777" w:rsidR="001C7F15" w:rsidRPr="001C7F15" w:rsidRDefault="001C7F15" w:rsidP="001C7F15">
            <w:pPr>
              <w:autoSpaceDE w:val="0"/>
              <w:autoSpaceDN w:val="0"/>
              <w:adjustRightInd w:val="0"/>
              <w:spacing w:before="40" w:after="120"/>
              <w:jc w:val="both"/>
              <w:rPr>
                <w:rFonts w:eastAsia="Calibri"/>
                <w:bCs/>
                <w:sz w:val="18"/>
                <w:szCs w:val="18"/>
                <w:lang w:eastAsia="en-US"/>
              </w:rPr>
            </w:pPr>
            <w:r w:rsidRPr="001C7F15">
              <w:rPr>
                <w:rFonts w:eastAsia="Calibri"/>
                <w:bCs/>
                <w:sz w:val="18"/>
                <w:szCs w:val="18"/>
                <w:lang w:eastAsia="en-US"/>
              </w:rPr>
              <w:t>CrediScotia</w:t>
            </w:r>
          </w:p>
        </w:tc>
        <w:tc>
          <w:tcPr>
            <w:tcW w:w="993" w:type="dxa"/>
            <w:tcBorders>
              <w:top w:val="nil"/>
              <w:left w:val="single" w:sz="4" w:space="0" w:color="auto"/>
              <w:bottom w:val="single" w:sz="4" w:space="0" w:color="auto"/>
              <w:right w:val="single" w:sz="4" w:space="0" w:color="auto"/>
            </w:tcBorders>
            <w:shd w:val="clear" w:color="auto" w:fill="auto"/>
          </w:tcPr>
          <w:p w14:paraId="4705C20F" w14:textId="77777777" w:rsidR="001C7F15" w:rsidRPr="001C7F15" w:rsidRDefault="001C7F15" w:rsidP="001C7F15">
            <w:pPr>
              <w:autoSpaceDE w:val="0"/>
              <w:autoSpaceDN w:val="0"/>
              <w:adjustRightInd w:val="0"/>
              <w:spacing w:before="40" w:after="120"/>
              <w:jc w:val="right"/>
              <w:rPr>
                <w:rFonts w:eastAsia="Calibri"/>
                <w:sz w:val="18"/>
                <w:szCs w:val="18"/>
                <w:lang w:eastAsia="en-US"/>
              </w:rPr>
            </w:pPr>
            <w:r w:rsidRPr="001C7F15">
              <w:rPr>
                <w:rFonts w:eastAsia="Calibri"/>
                <w:sz w:val="18"/>
                <w:szCs w:val="18"/>
                <w:lang w:eastAsia="en-US"/>
              </w:rPr>
              <w:t>24 436</w:t>
            </w:r>
          </w:p>
        </w:tc>
        <w:tc>
          <w:tcPr>
            <w:tcW w:w="992" w:type="dxa"/>
            <w:tcBorders>
              <w:top w:val="nil"/>
              <w:left w:val="single" w:sz="4" w:space="0" w:color="auto"/>
              <w:bottom w:val="single" w:sz="4" w:space="0" w:color="auto"/>
              <w:right w:val="single" w:sz="4" w:space="0" w:color="auto"/>
            </w:tcBorders>
            <w:shd w:val="clear" w:color="auto" w:fill="auto"/>
          </w:tcPr>
          <w:p w14:paraId="42F29C5B" w14:textId="77777777" w:rsidR="001C7F15" w:rsidRPr="001C7F15" w:rsidRDefault="001C7F15" w:rsidP="001C7F15">
            <w:pPr>
              <w:autoSpaceDE w:val="0"/>
              <w:autoSpaceDN w:val="0"/>
              <w:adjustRightInd w:val="0"/>
              <w:spacing w:before="40" w:after="120"/>
              <w:jc w:val="right"/>
              <w:rPr>
                <w:rFonts w:eastAsia="Calibri"/>
                <w:sz w:val="18"/>
                <w:szCs w:val="18"/>
                <w:lang w:eastAsia="en-US"/>
              </w:rPr>
            </w:pPr>
            <w:r w:rsidRPr="001C7F15">
              <w:rPr>
                <w:rFonts w:eastAsia="Calibri"/>
                <w:sz w:val="18"/>
                <w:szCs w:val="18"/>
                <w:lang w:eastAsia="en-US"/>
              </w:rPr>
              <w:t>4 905</w:t>
            </w:r>
          </w:p>
        </w:tc>
        <w:tc>
          <w:tcPr>
            <w:tcW w:w="928" w:type="dxa"/>
            <w:tcBorders>
              <w:top w:val="nil"/>
              <w:left w:val="single" w:sz="4" w:space="0" w:color="auto"/>
              <w:bottom w:val="single" w:sz="4" w:space="0" w:color="auto"/>
              <w:right w:val="single" w:sz="4" w:space="0" w:color="auto"/>
            </w:tcBorders>
            <w:shd w:val="clear" w:color="auto" w:fill="auto"/>
          </w:tcPr>
          <w:p w14:paraId="70651FE7" w14:textId="77777777" w:rsidR="001C7F15" w:rsidRPr="001C7F15" w:rsidRDefault="001C7F15" w:rsidP="001C7F15">
            <w:pPr>
              <w:autoSpaceDE w:val="0"/>
              <w:autoSpaceDN w:val="0"/>
              <w:adjustRightInd w:val="0"/>
              <w:spacing w:before="40" w:after="120"/>
              <w:jc w:val="right"/>
              <w:rPr>
                <w:rFonts w:eastAsia="Calibri"/>
                <w:sz w:val="18"/>
                <w:szCs w:val="18"/>
                <w:lang w:eastAsia="en-US"/>
              </w:rPr>
            </w:pPr>
            <w:r w:rsidRPr="001C7F15">
              <w:rPr>
                <w:rFonts w:eastAsia="Calibri"/>
                <w:sz w:val="18"/>
                <w:szCs w:val="18"/>
                <w:lang w:eastAsia="en-US"/>
              </w:rPr>
              <w:t>185</w:t>
            </w:r>
          </w:p>
        </w:tc>
        <w:tc>
          <w:tcPr>
            <w:tcW w:w="851" w:type="dxa"/>
            <w:tcBorders>
              <w:top w:val="nil"/>
              <w:left w:val="single" w:sz="4" w:space="0" w:color="auto"/>
              <w:bottom w:val="single" w:sz="4" w:space="0" w:color="auto"/>
              <w:right w:val="single" w:sz="4" w:space="0" w:color="auto"/>
            </w:tcBorders>
            <w:shd w:val="clear" w:color="auto" w:fill="auto"/>
          </w:tcPr>
          <w:p w14:paraId="7285E0BE" w14:textId="77777777" w:rsidR="001C7F15" w:rsidRPr="001C7F15" w:rsidRDefault="001C7F15" w:rsidP="001C7F15">
            <w:pPr>
              <w:autoSpaceDE w:val="0"/>
              <w:autoSpaceDN w:val="0"/>
              <w:adjustRightInd w:val="0"/>
              <w:spacing w:before="40" w:after="120"/>
              <w:jc w:val="right"/>
              <w:rPr>
                <w:rFonts w:eastAsia="Calibri"/>
                <w:sz w:val="18"/>
                <w:szCs w:val="18"/>
                <w:lang w:eastAsia="en-US"/>
              </w:rPr>
            </w:pPr>
            <w:r w:rsidRPr="001C7F15">
              <w:rPr>
                <w:rFonts w:eastAsia="Calibri"/>
                <w:sz w:val="18"/>
                <w:szCs w:val="18"/>
                <w:lang w:eastAsia="en-US"/>
              </w:rPr>
              <w:t>68</w:t>
            </w:r>
          </w:p>
        </w:tc>
        <w:tc>
          <w:tcPr>
            <w:tcW w:w="850" w:type="dxa"/>
            <w:tcBorders>
              <w:top w:val="nil"/>
              <w:left w:val="single" w:sz="4" w:space="0" w:color="auto"/>
              <w:bottom w:val="single" w:sz="4" w:space="0" w:color="auto"/>
              <w:right w:val="single" w:sz="4" w:space="0" w:color="auto"/>
            </w:tcBorders>
            <w:shd w:val="clear" w:color="auto" w:fill="auto"/>
          </w:tcPr>
          <w:p w14:paraId="150BD4BC" w14:textId="77777777" w:rsidR="001C7F15" w:rsidRPr="001C7F15" w:rsidRDefault="001C7F15" w:rsidP="001C7F15">
            <w:pPr>
              <w:autoSpaceDE w:val="0"/>
              <w:autoSpaceDN w:val="0"/>
              <w:adjustRightInd w:val="0"/>
              <w:spacing w:before="40" w:after="120"/>
              <w:ind w:right="113"/>
              <w:jc w:val="right"/>
              <w:rPr>
                <w:rFonts w:eastAsia="Calibri"/>
                <w:sz w:val="18"/>
                <w:szCs w:val="18"/>
                <w:lang w:eastAsia="en-US"/>
              </w:rPr>
            </w:pPr>
            <w:r w:rsidRPr="001C7F15">
              <w:rPr>
                <w:rFonts w:eastAsia="Calibri"/>
                <w:sz w:val="18"/>
                <w:szCs w:val="18"/>
                <w:lang w:eastAsia="en-US"/>
              </w:rPr>
              <w:t>46.9</w:t>
            </w:r>
          </w:p>
        </w:tc>
        <w:tc>
          <w:tcPr>
            <w:tcW w:w="851" w:type="dxa"/>
            <w:tcBorders>
              <w:top w:val="nil"/>
              <w:left w:val="single" w:sz="4" w:space="0" w:color="auto"/>
              <w:bottom w:val="single" w:sz="4" w:space="0" w:color="auto"/>
              <w:right w:val="single" w:sz="4" w:space="0" w:color="auto"/>
            </w:tcBorders>
            <w:shd w:val="clear" w:color="auto" w:fill="auto"/>
          </w:tcPr>
          <w:p w14:paraId="01ECDF95" w14:textId="77777777" w:rsidR="001C7F15" w:rsidRPr="001C7F15" w:rsidRDefault="001C7F15" w:rsidP="001C7F15">
            <w:pPr>
              <w:autoSpaceDE w:val="0"/>
              <w:autoSpaceDN w:val="0"/>
              <w:adjustRightInd w:val="0"/>
              <w:spacing w:before="40" w:after="120"/>
              <w:ind w:right="113"/>
              <w:jc w:val="right"/>
              <w:rPr>
                <w:rFonts w:eastAsia="Calibri"/>
                <w:sz w:val="18"/>
                <w:szCs w:val="18"/>
                <w:lang w:eastAsia="en-US"/>
              </w:rPr>
            </w:pPr>
            <w:r w:rsidRPr="001C7F15">
              <w:rPr>
                <w:rFonts w:eastAsia="Calibri"/>
                <w:sz w:val="18"/>
                <w:szCs w:val="18"/>
                <w:lang w:eastAsia="en-US"/>
              </w:rPr>
              <w:t>38.3</w:t>
            </w:r>
          </w:p>
        </w:tc>
        <w:tc>
          <w:tcPr>
            <w:tcW w:w="850" w:type="dxa"/>
            <w:tcBorders>
              <w:top w:val="nil"/>
              <w:left w:val="single" w:sz="4" w:space="0" w:color="auto"/>
              <w:bottom w:val="single" w:sz="4" w:space="0" w:color="auto"/>
              <w:right w:val="single" w:sz="4" w:space="0" w:color="auto"/>
            </w:tcBorders>
            <w:shd w:val="clear" w:color="auto" w:fill="auto"/>
          </w:tcPr>
          <w:p w14:paraId="7749FBD7" w14:textId="77777777" w:rsidR="001C7F15" w:rsidRPr="001C7F15" w:rsidRDefault="001C7F15" w:rsidP="001C7F15">
            <w:pPr>
              <w:autoSpaceDE w:val="0"/>
              <w:autoSpaceDN w:val="0"/>
              <w:adjustRightInd w:val="0"/>
              <w:spacing w:before="40" w:after="120"/>
              <w:ind w:right="113"/>
              <w:jc w:val="right"/>
              <w:rPr>
                <w:rFonts w:eastAsia="Calibri"/>
                <w:sz w:val="18"/>
                <w:szCs w:val="18"/>
                <w:lang w:eastAsia="en-US"/>
              </w:rPr>
            </w:pPr>
            <w:r w:rsidRPr="001C7F15">
              <w:rPr>
                <w:rFonts w:eastAsia="Calibri"/>
                <w:sz w:val="18"/>
                <w:szCs w:val="18"/>
                <w:lang w:eastAsia="en-US"/>
              </w:rPr>
              <w:t>45.3</w:t>
            </w:r>
          </w:p>
        </w:tc>
        <w:tc>
          <w:tcPr>
            <w:tcW w:w="851" w:type="dxa"/>
            <w:tcBorders>
              <w:top w:val="nil"/>
              <w:left w:val="single" w:sz="4" w:space="0" w:color="auto"/>
              <w:bottom w:val="single" w:sz="4" w:space="0" w:color="auto"/>
              <w:right w:val="single" w:sz="4" w:space="0" w:color="auto"/>
            </w:tcBorders>
            <w:shd w:val="clear" w:color="auto" w:fill="auto"/>
          </w:tcPr>
          <w:p w14:paraId="6C4F6775" w14:textId="77777777" w:rsidR="001C7F15" w:rsidRPr="001C7F15" w:rsidRDefault="001C7F15" w:rsidP="001C7F15">
            <w:pPr>
              <w:autoSpaceDE w:val="0"/>
              <w:autoSpaceDN w:val="0"/>
              <w:adjustRightInd w:val="0"/>
              <w:spacing w:before="40" w:after="120"/>
              <w:ind w:right="113"/>
              <w:jc w:val="right"/>
              <w:rPr>
                <w:rFonts w:eastAsia="Calibri"/>
                <w:sz w:val="18"/>
                <w:szCs w:val="18"/>
                <w:lang w:eastAsia="en-US"/>
              </w:rPr>
            </w:pPr>
            <w:r w:rsidRPr="001C7F15">
              <w:rPr>
                <w:rFonts w:eastAsia="Calibri"/>
                <w:sz w:val="18"/>
                <w:szCs w:val="18"/>
                <w:lang w:eastAsia="en-US"/>
              </w:rPr>
              <w:t>40.0</w:t>
            </w:r>
          </w:p>
        </w:tc>
      </w:tr>
      <w:tr w:rsidR="001C7F15" w:rsidRPr="001C7F15" w14:paraId="406F792E" w14:textId="77777777" w:rsidTr="00E823BC">
        <w:trPr>
          <w:jc w:val="center"/>
        </w:trPr>
        <w:tc>
          <w:tcPr>
            <w:tcW w:w="8897" w:type="dxa"/>
            <w:gridSpan w:val="9"/>
            <w:tcBorders>
              <w:top w:val="single" w:sz="4" w:space="0" w:color="auto"/>
              <w:bottom w:val="nil"/>
            </w:tcBorders>
            <w:shd w:val="clear" w:color="auto" w:fill="auto"/>
            <w:vAlign w:val="center"/>
          </w:tcPr>
          <w:p w14:paraId="7E62490D" w14:textId="77777777" w:rsidR="001C7F15" w:rsidRPr="001C7F15" w:rsidRDefault="001C7F15" w:rsidP="00667577">
            <w:pPr>
              <w:numPr>
                <w:ilvl w:val="0"/>
                <w:numId w:val="190"/>
              </w:numPr>
              <w:autoSpaceDE w:val="0"/>
              <w:autoSpaceDN w:val="0"/>
              <w:adjustRightInd w:val="0"/>
              <w:spacing w:before="120"/>
              <w:ind w:left="357" w:hanging="357"/>
              <w:jc w:val="both"/>
              <w:rPr>
                <w:rFonts w:eastAsia="Calibri"/>
                <w:bCs/>
                <w:sz w:val="20"/>
                <w:szCs w:val="20"/>
                <w:lang w:eastAsia="en-US"/>
              </w:rPr>
            </w:pPr>
            <w:r w:rsidRPr="001C7F15">
              <w:rPr>
                <w:rFonts w:eastAsia="Calibri"/>
                <w:bCs/>
                <w:sz w:val="20"/>
                <w:szCs w:val="20"/>
                <w:lang w:eastAsia="en-US"/>
              </w:rPr>
              <w:t>Los bancos están ordenados respecto al número de tarjetas de los clientes totaleros y no totaleros en agosto de 2014.</w:t>
            </w:r>
          </w:p>
          <w:p w14:paraId="1B9974DB" w14:textId="77777777" w:rsidR="001C7F15" w:rsidRPr="001C7F15" w:rsidRDefault="001C7F15" w:rsidP="001C7F15">
            <w:pPr>
              <w:autoSpaceDE w:val="0"/>
              <w:autoSpaceDN w:val="0"/>
              <w:adjustRightInd w:val="0"/>
              <w:jc w:val="both"/>
              <w:rPr>
                <w:rFonts w:eastAsia="Calibri"/>
                <w:bCs/>
                <w:sz w:val="20"/>
                <w:szCs w:val="20"/>
                <w:lang w:eastAsia="en-US"/>
              </w:rPr>
            </w:pPr>
            <w:r w:rsidRPr="001C7F15">
              <w:rPr>
                <w:rFonts w:eastAsia="Calibri"/>
                <w:bCs/>
                <w:sz w:val="20"/>
                <w:szCs w:val="20"/>
                <w:lang w:eastAsia="en-US"/>
              </w:rPr>
              <w:t>n. a. = No aplica.</w:t>
            </w:r>
          </w:p>
          <w:p w14:paraId="6924B638" w14:textId="77777777" w:rsidR="001C7F15" w:rsidRPr="001C7F15" w:rsidRDefault="001C7F15" w:rsidP="001C7F15">
            <w:pPr>
              <w:autoSpaceDE w:val="0"/>
              <w:autoSpaceDN w:val="0"/>
              <w:adjustRightInd w:val="0"/>
              <w:spacing w:before="20"/>
              <w:jc w:val="both"/>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0F88B6B3" w14:textId="77777777" w:rsidR="001C7F15" w:rsidRPr="001C7F15" w:rsidRDefault="001C7F15" w:rsidP="001C7F15">
      <w:pPr>
        <w:spacing w:after="360" w:line="360" w:lineRule="auto"/>
        <w:ind w:right="-159"/>
        <w:jc w:val="both"/>
        <w:rPr>
          <w:rFonts w:eastAsia="Times New Roman"/>
          <w:bCs/>
          <w:sz w:val="26"/>
          <w:szCs w:val="26"/>
          <w:lang w:val="es-ES"/>
        </w:rPr>
      </w:pPr>
    </w:p>
    <w:p w14:paraId="0AD5B477" w14:textId="77777777" w:rsidR="001C7F15" w:rsidRPr="001C7F15" w:rsidRDefault="001C7F15" w:rsidP="001C7F15">
      <w:pPr>
        <w:spacing w:after="360" w:line="360" w:lineRule="auto"/>
        <w:ind w:right="-159"/>
        <w:jc w:val="center"/>
        <w:rPr>
          <w:rFonts w:eastAsia="Times New Roman"/>
          <w:bCs/>
          <w:sz w:val="26"/>
          <w:szCs w:val="26"/>
          <w:lang w:val="es-ES"/>
        </w:rPr>
      </w:pPr>
      <w:r w:rsidRPr="001C7F15">
        <w:rPr>
          <w:rFonts w:ascii="Arial" w:eastAsia="Times New Roman" w:hAnsi="Arial" w:cs="Arial"/>
          <w:noProof/>
          <w:sz w:val="18"/>
          <w:szCs w:val="20"/>
          <w:lang w:eastAsia="es-MX"/>
        </w:rPr>
        <w:lastRenderedPageBreak/>
        <w:drawing>
          <wp:inline distT="0" distB="0" distL="0" distR="0" wp14:anchorId="7F3CE6F5" wp14:editId="5E755012">
            <wp:extent cx="4559300" cy="2987602"/>
            <wp:effectExtent l="0" t="0" r="0" b="3810"/>
            <wp:docPr id="1568" name="Imagen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9" cstate="print">
                      <a:extLst>
                        <a:ext uri="{28A0092B-C50C-407E-A947-70E740481C1C}">
                          <a14:useLocalDpi xmlns:a14="http://schemas.microsoft.com/office/drawing/2010/main" val="0"/>
                        </a:ext>
                      </a:extLst>
                    </a:blip>
                    <a:srcRect b="12904"/>
                    <a:stretch/>
                  </pic:blipFill>
                  <pic:spPr bwMode="auto">
                    <a:xfrm>
                      <a:off x="0" y="0"/>
                      <a:ext cx="4559300" cy="2987602"/>
                    </a:xfrm>
                    <a:prstGeom prst="rect">
                      <a:avLst/>
                    </a:prstGeom>
                    <a:noFill/>
                    <a:ln>
                      <a:noFill/>
                    </a:ln>
                    <a:extLst>
                      <a:ext uri="{53640926-AAD7-44D8-BBD7-CCE9431645EC}">
                        <a14:shadowObscured xmlns:a14="http://schemas.microsoft.com/office/drawing/2010/main"/>
                      </a:ext>
                    </a:extLst>
                  </pic:spPr>
                </pic:pic>
              </a:graphicData>
            </a:graphic>
          </wp:inline>
        </w:drawing>
      </w:r>
    </w:p>
    <w:p w14:paraId="4378FEFD" w14:textId="77777777" w:rsidR="001C7F15" w:rsidRPr="001C7F15" w:rsidRDefault="001C7F15" w:rsidP="001C7F15">
      <w:pPr>
        <w:spacing w:after="360" w:line="360" w:lineRule="auto"/>
        <w:ind w:right="-159"/>
        <w:jc w:val="center"/>
        <w:rPr>
          <w:rFonts w:eastAsia="Times New Roman"/>
          <w:bCs/>
          <w:sz w:val="26"/>
          <w:szCs w:val="26"/>
          <w:lang w:val="es-ES"/>
        </w:rPr>
      </w:pPr>
    </w:p>
    <w:p w14:paraId="13DB0DE0" w14:textId="77777777" w:rsidR="001C7F15" w:rsidRPr="001C7F15" w:rsidRDefault="001C7F15" w:rsidP="001C7F15">
      <w:pPr>
        <w:spacing w:after="360" w:line="360" w:lineRule="auto"/>
        <w:ind w:right="-159"/>
        <w:jc w:val="center"/>
        <w:rPr>
          <w:rFonts w:eastAsia="Times New Roman"/>
          <w:bCs/>
          <w:sz w:val="26"/>
          <w:szCs w:val="26"/>
          <w:lang w:val="es-ES"/>
        </w:rPr>
      </w:pPr>
      <w:r w:rsidRPr="001C7F15">
        <w:rPr>
          <w:rFonts w:ascii="Arial" w:eastAsia="Times New Roman" w:hAnsi="Arial" w:cs="Arial"/>
          <w:noProof/>
          <w:sz w:val="18"/>
          <w:szCs w:val="20"/>
          <w:lang w:eastAsia="es-MX"/>
        </w:rPr>
        <w:drawing>
          <wp:inline distT="0" distB="0" distL="0" distR="0" wp14:anchorId="558DA12C" wp14:editId="356CFEA2">
            <wp:extent cx="4559300" cy="3430270"/>
            <wp:effectExtent l="0" t="0" r="0" b="0"/>
            <wp:docPr id="1569" name="Imagen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559300" cy="3430270"/>
                    </a:xfrm>
                    <a:prstGeom prst="rect">
                      <a:avLst/>
                    </a:prstGeom>
                    <a:noFill/>
                    <a:ln>
                      <a:noFill/>
                    </a:ln>
                  </pic:spPr>
                </pic:pic>
              </a:graphicData>
            </a:graphic>
          </wp:inline>
        </w:drawing>
      </w:r>
    </w:p>
    <w:p w14:paraId="55AFF54F" w14:textId="77777777" w:rsidR="001C7F15" w:rsidRPr="001C7F15" w:rsidRDefault="001C7F15" w:rsidP="001C7F15">
      <w:pPr>
        <w:spacing w:after="360" w:line="360" w:lineRule="auto"/>
        <w:ind w:right="-159"/>
        <w:jc w:val="both"/>
        <w:rPr>
          <w:rFonts w:eastAsia="Times New Roman"/>
          <w:bCs/>
          <w:sz w:val="26"/>
          <w:szCs w:val="26"/>
          <w:lang w:val="es-ES"/>
        </w:rPr>
      </w:pPr>
    </w:p>
    <w:p w14:paraId="5A62B49C" w14:textId="77777777" w:rsidR="001C7F15" w:rsidRPr="001C7F15" w:rsidRDefault="001C7F15" w:rsidP="001C7F15">
      <w:pPr>
        <w:spacing w:after="360" w:line="360" w:lineRule="auto"/>
        <w:ind w:right="-159"/>
        <w:jc w:val="both"/>
        <w:rPr>
          <w:rFonts w:eastAsia="Times New Roman"/>
          <w:bCs/>
          <w:sz w:val="26"/>
          <w:szCs w:val="26"/>
          <w:lang w:val="es-ES"/>
        </w:rPr>
      </w:pPr>
    </w:p>
    <w:tbl>
      <w:tblPr>
        <w:tblW w:w="9322" w:type="dxa"/>
        <w:jc w:val="center"/>
        <w:tblLayout w:type="fixed"/>
        <w:tblLook w:val="04A0" w:firstRow="1" w:lastRow="0" w:firstColumn="1" w:lastColumn="0" w:noHBand="0" w:noVBand="1"/>
      </w:tblPr>
      <w:tblGrid>
        <w:gridCol w:w="1809"/>
        <w:gridCol w:w="1418"/>
        <w:gridCol w:w="1551"/>
        <w:gridCol w:w="1426"/>
        <w:gridCol w:w="1559"/>
        <w:gridCol w:w="1559"/>
      </w:tblGrid>
      <w:tr w:rsidR="001C7F15" w:rsidRPr="001C7F15" w14:paraId="534B40CC" w14:textId="77777777" w:rsidTr="001C7F15">
        <w:trPr>
          <w:jc w:val="center"/>
        </w:trPr>
        <w:tc>
          <w:tcPr>
            <w:tcW w:w="9322" w:type="dxa"/>
            <w:gridSpan w:val="6"/>
            <w:tcBorders>
              <w:top w:val="nil"/>
              <w:bottom w:val="single" w:sz="4" w:space="0" w:color="auto"/>
            </w:tcBorders>
            <w:shd w:val="clear" w:color="auto" w:fill="auto"/>
            <w:vAlign w:val="center"/>
          </w:tcPr>
          <w:p w14:paraId="7BA1C9BD"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ESTRUCTURA DEL SALDO Y TASAS DE INTERÉS EFECTIVAS PARA LOS CLIENTES NO TOTALEROS DE ACUERDO AL OTORGAMIENTO DE PROMOCIONES*</w:t>
            </w:r>
          </w:p>
          <w:p w14:paraId="16584492" w14:textId="06F8CB70"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-Datos a agosto de 2014-</w:t>
            </w:r>
          </w:p>
        </w:tc>
      </w:tr>
      <w:tr w:rsidR="001C7F15" w:rsidRPr="001C7F15" w14:paraId="72C0F774" w14:textId="77777777" w:rsidTr="00E823BC">
        <w:trPr>
          <w:jc w:val="center"/>
        </w:trPr>
        <w:tc>
          <w:tcPr>
            <w:tcW w:w="1809" w:type="dxa"/>
            <w:vMerge w:val="restart"/>
            <w:tcBorders>
              <w:top w:val="single" w:sz="4" w:space="0" w:color="auto"/>
              <w:left w:val="single" w:sz="4" w:space="0" w:color="auto"/>
              <w:right w:val="single" w:sz="4" w:space="0" w:color="auto"/>
            </w:tcBorders>
            <w:shd w:val="clear" w:color="auto" w:fill="auto"/>
            <w:vAlign w:val="center"/>
          </w:tcPr>
          <w:p w14:paraId="0901AEF3" w14:textId="77777777" w:rsidR="001C7F15" w:rsidRPr="001C7F15" w:rsidRDefault="001C7F15" w:rsidP="001C7F15">
            <w:pPr>
              <w:jc w:val="center"/>
              <w:rPr>
                <w:rFonts w:eastAsia="Calibri"/>
                <w:b/>
                <w:bCs/>
                <w:sz w:val="18"/>
                <w:szCs w:val="18"/>
                <w:lang w:eastAsia="en-US"/>
              </w:rPr>
            </w:pPr>
          </w:p>
        </w:tc>
        <w:tc>
          <w:tcPr>
            <w:tcW w:w="43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A155C7"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Participación del saldo de crédito otorgado:</w:t>
            </w: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4814B"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Tasa efectiva promedio ponderada asociada al saldo:</w:t>
            </w:r>
          </w:p>
        </w:tc>
      </w:tr>
      <w:tr w:rsidR="001C7F15" w:rsidRPr="001C7F15" w14:paraId="40B74E19" w14:textId="77777777" w:rsidTr="00E823BC">
        <w:trPr>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6FE21BD7" w14:textId="77777777" w:rsidR="001C7F15" w:rsidRPr="001C7F15" w:rsidRDefault="001C7F15" w:rsidP="001C7F15">
            <w:pPr>
              <w:jc w:val="center"/>
              <w:rPr>
                <w:rFonts w:eastAsia="Calibri"/>
                <w:b/>
                <w:bCs/>
                <w:sz w:val="18"/>
                <w:szCs w:val="18"/>
                <w:lang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530D4D"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Sin promociones</w:t>
            </w:r>
          </w:p>
          <w:p w14:paraId="1D32291A" w14:textId="77777777" w:rsidR="001C7F15" w:rsidRPr="001C7F15" w:rsidRDefault="001C7F15" w:rsidP="001C7F15">
            <w:pPr>
              <w:jc w:val="center"/>
              <w:rPr>
                <w:rFonts w:eastAsia="Calibri"/>
                <w:b/>
                <w:sz w:val="18"/>
                <w:szCs w:val="18"/>
                <w:lang w:eastAsia="en-US"/>
              </w:rPr>
            </w:pPr>
            <w:r w:rsidRPr="001C7F15">
              <w:rPr>
                <w:rFonts w:eastAsia="Calibri"/>
                <w:b/>
                <w:sz w:val="16"/>
                <w:szCs w:val="16"/>
                <w:lang w:eastAsia="en-US"/>
              </w:rPr>
              <w:t>-En porcentaje-</w:t>
            </w:r>
          </w:p>
        </w:tc>
        <w:tc>
          <w:tcPr>
            <w:tcW w:w="1551" w:type="dxa"/>
            <w:tcBorders>
              <w:top w:val="single" w:sz="4" w:space="0" w:color="auto"/>
              <w:left w:val="single" w:sz="4" w:space="0" w:color="auto"/>
              <w:bottom w:val="single" w:sz="4" w:space="0" w:color="auto"/>
              <w:right w:val="single" w:sz="4" w:space="0" w:color="auto"/>
            </w:tcBorders>
            <w:shd w:val="clear" w:color="auto" w:fill="auto"/>
            <w:vAlign w:val="center"/>
          </w:tcPr>
          <w:p w14:paraId="285F9407"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Con promociones a tasa preferencial</w:t>
            </w:r>
          </w:p>
          <w:p w14:paraId="75BE9241"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-En porcentaje-</w:t>
            </w:r>
          </w:p>
        </w:tc>
        <w:tc>
          <w:tcPr>
            <w:tcW w:w="1426" w:type="dxa"/>
            <w:tcBorders>
              <w:top w:val="single" w:sz="4" w:space="0" w:color="auto"/>
              <w:left w:val="single" w:sz="4" w:space="0" w:color="auto"/>
              <w:bottom w:val="single" w:sz="4" w:space="0" w:color="auto"/>
              <w:right w:val="single" w:sz="4" w:space="0" w:color="auto"/>
            </w:tcBorders>
            <w:shd w:val="clear" w:color="auto" w:fill="auto"/>
            <w:vAlign w:val="center"/>
          </w:tcPr>
          <w:p w14:paraId="2AFDACEB"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Con promociones sin intereses</w:t>
            </w:r>
          </w:p>
          <w:p w14:paraId="60DF7D06" w14:textId="77777777" w:rsidR="001C7F15" w:rsidRPr="001C7F15" w:rsidRDefault="001C7F15" w:rsidP="001C7F15">
            <w:pPr>
              <w:jc w:val="center"/>
              <w:rPr>
                <w:rFonts w:eastAsia="Calibri"/>
                <w:b/>
                <w:sz w:val="18"/>
                <w:szCs w:val="18"/>
                <w:lang w:eastAsia="en-US"/>
              </w:rPr>
            </w:pPr>
            <w:r w:rsidRPr="001C7F15">
              <w:rPr>
                <w:rFonts w:eastAsia="Calibri"/>
                <w:b/>
                <w:sz w:val="16"/>
                <w:szCs w:val="16"/>
                <w:lang w:eastAsia="en-US"/>
              </w:rPr>
              <w:t>-En porcentaje-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8CC3E38"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Sin promociones</w:t>
            </w:r>
          </w:p>
          <w:p w14:paraId="4E7BF1E3" w14:textId="77777777" w:rsidR="001C7F15" w:rsidRPr="001C7F15" w:rsidRDefault="001C7F15" w:rsidP="001C7F15">
            <w:pPr>
              <w:jc w:val="center"/>
              <w:rPr>
                <w:rFonts w:eastAsia="Calibri"/>
                <w:b/>
                <w:sz w:val="18"/>
                <w:szCs w:val="18"/>
                <w:lang w:eastAsia="en-US"/>
              </w:rPr>
            </w:pPr>
            <w:r w:rsidRPr="001C7F15">
              <w:rPr>
                <w:rFonts w:eastAsia="Calibri"/>
                <w:b/>
                <w:sz w:val="16"/>
                <w:szCs w:val="16"/>
                <w:lang w:eastAsia="en-US"/>
              </w:rPr>
              <w:t>-En porcentaje-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3FB81F0"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Con promociones a tasa preferencial</w:t>
            </w:r>
          </w:p>
          <w:p w14:paraId="62B479F3" w14:textId="77777777" w:rsidR="001C7F15" w:rsidRPr="001C7F15" w:rsidRDefault="001C7F15" w:rsidP="001C7F15">
            <w:pPr>
              <w:jc w:val="center"/>
              <w:rPr>
                <w:rFonts w:eastAsia="Calibri"/>
                <w:b/>
                <w:sz w:val="18"/>
                <w:szCs w:val="18"/>
                <w:lang w:eastAsia="en-US"/>
              </w:rPr>
            </w:pPr>
            <w:r w:rsidRPr="001C7F15">
              <w:rPr>
                <w:rFonts w:eastAsia="Calibri"/>
                <w:b/>
                <w:sz w:val="16"/>
                <w:szCs w:val="16"/>
                <w:lang w:eastAsia="en-US"/>
              </w:rPr>
              <w:t>-En porcentaje-</w:t>
            </w:r>
          </w:p>
        </w:tc>
      </w:tr>
      <w:tr w:rsidR="001C7F15" w:rsidRPr="001C7F15" w14:paraId="29C30127" w14:textId="77777777" w:rsidTr="00E823BC">
        <w:trPr>
          <w:jc w:val="center"/>
        </w:trPr>
        <w:tc>
          <w:tcPr>
            <w:tcW w:w="1809" w:type="dxa"/>
            <w:tcBorders>
              <w:top w:val="single" w:sz="4" w:space="0" w:color="auto"/>
              <w:left w:val="single" w:sz="4" w:space="0" w:color="auto"/>
              <w:bottom w:val="nil"/>
              <w:right w:val="single" w:sz="4" w:space="0" w:color="auto"/>
            </w:tcBorders>
            <w:shd w:val="clear" w:color="auto" w:fill="auto"/>
          </w:tcPr>
          <w:p w14:paraId="533BE15C" w14:textId="77777777" w:rsidR="001C7F15" w:rsidRPr="001C7F15" w:rsidRDefault="001C7F15" w:rsidP="001C7F15">
            <w:pPr>
              <w:autoSpaceDE w:val="0"/>
              <w:autoSpaceDN w:val="0"/>
              <w:adjustRightInd w:val="0"/>
              <w:spacing w:before="120" w:after="40"/>
              <w:rPr>
                <w:rFonts w:eastAsia="Calibri"/>
                <w:b/>
                <w:bCs/>
                <w:sz w:val="18"/>
                <w:szCs w:val="18"/>
                <w:lang w:eastAsia="en-US"/>
              </w:rPr>
            </w:pPr>
            <w:r w:rsidRPr="001C7F15">
              <w:rPr>
                <w:rFonts w:eastAsia="Calibri"/>
                <w:b/>
                <w:bCs/>
                <w:sz w:val="18"/>
                <w:szCs w:val="18"/>
                <w:lang w:eastAsia="en-US"/>
              </w:rPr>
              <w:t>Sistema</w:t>
            </w:r>
          </w:p>
        </w:tc>
        <w:tc>
          <w:tcPr>
            <w:tcW w:w="1418" w:type="dxa"/>
            <w:tcBorders>
              <w:top w:val="single" w:sz="4" w:space="0" w:color="auto"/>
              <w:left w:val="single" w:sz="4" w:space="0" w:color="auto"/>
              <w:bottom w:val="nil"/>
              <w:right w:val="single" w:sz="4" w:space="0" w:color="auto"/>
            </w:tcBorders>
            <w:shd w:val="clear" w:color="auto" w:fill="auto"/>
          </w:tcPr>
          <w:p w14:paraId="3B415CD1" w14:textId="77777777" w:rsidR="001C7F15" w:rsidRPr="001C7F15" w:rsidRDefault="001C7F15" w:rsidP="001C7F15">
            <w:pPr>
              <w:autoSpaceDE w:val="0"/>
              <w:autoSpaceDN w:val="0"/>
              <w:adjustRightInd w:val="0"/>
              <w:spacing w:before="120" w:after="40"/>
              <w:ind w:right="397"/>
              <w:jc w:val="right"/>
              <w:rPr>
                <w:rFonts w:eastAsia="Calibri"/>
                <w:b/>
                <w:sz w:val="18"/>
                <w:szCs w:val="18"/>
                <w:lang w:eastAsia="en-US"/>
              </w:rPr>
            </w:pPr>
            <w:r w:rsidRPr="001C7F15">
              <w:rPr>
                <w:rFonts w:eastAsia="Calibri"/>
                <w:b/>
                <w:sz w:val="18"/>
                <w:szCs w:val="18"/>
                <w:lang w:eastAsia="en-US"/>
              </w:rPr>
              <w:t>66.8</w:t>
            </w:r>
          </w:p>
        </w:tc>
        <w:tc>
          <w:tcPr>
            <w:tcW w:w="1551" w:type="dxa"/>
            <w:tcBorders>
              <w:top w:val="single" w:sz="4" w:space="0" w:color="auto"/>
              <w:left w:val="single" w:sz="4" w:space="0" w:color="auto"/>
              <w:bottom w:val="nil"/>
              <w:right w:val="single" w:sz="4" w:space="0" w:color="auto"/>
            </w:tcBorders>
            <w:shd w:val="clear" w:color="auto" w:fill="auto"/>
          </w:tcPr>
          <w:p w14:paraId="559281F6" w14:textId="77777777" w:rsidR="001C7F15" w:rsidRPr="001C7F15" w:rsidRDefault="001C7F15" w:rsidP="001C7F15">
            <w:pPr>
              <w:autoSpaceDE w:val="0"/>
              <w:autoSpaceDN w:val="0"/>
              <w:adjustRightInd w:val="0"/>
              <w:spacing w:before="120" w:after="40"/>
              <w:ind w:right="397"/>
              <w:jc w:val="right"/>
              <w:rPr>
                <w:rFonts w:eastAsia="Calibri"/>
                <w:b/>
                <w:sz w:val="18"/>
                <w:szCs w:val="18"/>
                <w:lang w:eastAsia="en-US"/>
              </w:rPr>
            </w:pPr>
            <w:r w:rsidRPr="001C7F15">
              <w:rPr>
                <w:rFonts w:eastAsia="Calibri"/>
                <w:b/>
                <w:sz w:val="18"/>
                <w:szCs w:val="18"/>
                <w:lang w:eastAsia="en-US"/>
              </w:rPr>
              <w:t>24.6</w:t>
            </w:r>
          </w:p>
        </w:tc>
        <w:tc>
          <w:tcPr>
            <w:tcW w:w="1426" w:type="dxa"/>
            <w:tcBorders>
              <w:top w:val="single" w:sz="4" w:space="0" w:color="auto"/>
              <w:left w:val="single" w:sz="4" w:space="0" w:color="auto"/>
              <w:bottom w:val="nil"/>
              <w:right w:val="single" w:sz="4" w:space="0" w:color="auto"/>
            </w:tcBorders>
            <w:shd w:val="clear" w:color="auto" w:fill="auto"/>
          </w:tcPr>
          <w:p w14:paraId="70909182" w14:textId="77777777" w:rsidR="001C7F15" w:rsidRPr="001C7F15" w:rsidRDefault="001C7F15" w:rsidP="001C7F15">
            <w:pPr>
              <w:autoSpaceDE w:val="0"/>
              <w:autoSpaceDN w:val="0"/>
              <w:adjustRightInd w:val="0"/>
              <w:spacing w:before="120" w:after="40"/>
              <w:ind w:right="397"/>
              <w:jc w:val="right"/>
              <w:rPr>
                <w:rFonts w:eastAsia="Calibri"/>
                <w:b/>
                <w:sz w:val="18"/>
                <w:szCs w:val="18"/>
                <w:lang w:eastAsia="en-US"/>
              </w:rPr>
            </w:pPr>
            <w:r w:rsidRPr="001C7F15">
              <w:rPr>
                <w:rFonts w:eastAsia="Calibri"/>
                <w:b/>
                <w:sz w:val="18"/>
                <w:szCs w:val="18"/>
                <w:lang w:eastAsia="en-US"/>
              </w:rPr>
              <w:t>8.6</w:t>
            </w:r>
          </w:p>
        </w:tc>
        <w:tc>
          <w:tcPr>
            <w:tcW w:w="1559" w:type="dxa"/>
            <w:tcBorders>
              <w:top w:val="single" w:sz="4" w:space="0" w:color="auto"/>
              <w:left w:val="single" w:sz="4" w:space="0" w:color="auto"/>
              <w:bottom w:val="nil"/>
              <w:right w:val="single" w:sz="4" w:space="0" w:color="auto"/>
            </w:tcBorders>
            <w:shd w:val="clear" w:color="auto" w:fill="auto"/>
          </w:tcPr>
          <w:p w14:paraId="752B0B94" w14:textId="77777777" w:rsidR="001C7F15" w:rsidRPr="001C7F15" w:rsidRDefault="001C7F15" w:rsidP="001C7F15">
            <w:pPr>
              <w:autoSpaceDE w:val="0"/>
              <w:autoSpaceDN w:val="0"/>
              <w:adjustRightInd w:val="0"/>
              <w:spacing w:before="120" w:after="40"/>
              <w:ind w:right="397"/>
              <w:jc w:val="right"/>
              <w:rPr>
                <w:rFonts w:eastAsia="Calibri"/>
                <w:b/>
                <w:sz w:val="18"/>
                <w:szCs w:val="18"/>
                <w:lang w:eastAsia="en-US"/>
              </w:rPr>
            </w:pPr>
            <w:r w:rsidRPr="001C7F15">
              <w:rPr>
                <w:rFonts w:eastAsia="Calibri"/>
                <w:b/>
                <w:sz w:val="18"/>
                <w:szCs w:val="18"/>
                <w:lang w:eastAsia="en-US"/>
              </w:rPr>
              <w:t>37.7</w:t>
            </w:r>
          </w:p>
        </w:tc>
        <w:tc>
          <w:tcPr>
            <w:tcW w:w="1559" w:type="dxa"/>
            <w:tcBorders>
              <w:top w:val="single" w:sz="4" w:space="0" w:color="auto"/>
              <w:left w:val="single" w:sz="4" w:space="0" w:color="auto"/>
              <w:bottom w:val="nil"/>
              <w:right w:val="single" w:sz="4" w:space="0" w:color="auto"/>
            </w:tcBorders>
            <w:shd w:val="clear" w:color="auto" w:fill="auto"/>
          </w:tcPr>
          <w:p w14:paraId="0F682794" w14:textId="77777777" w:rsidR="001C7F15" w:rsidRPr="001C7F15" w:rsidRDefault="001C7F15" w:rsidP="001C7F15">
            <w:pPr>
              <w:autoSpaceDE w:val="0"/>
              <w:autoSpaceDN w:val="0"/>
              <w:adjustRightInd w:val="0"/>
              <w:spacing w:before="120" w:after="40"/>
              <w:ind w:right="397"/>
              <w:jc w:val="right"/>
              <w:rPr>
                <w:rFonts w:eastAsia="Calibri"/>
                <w:b/>
                <w:sz w:val="18"/>
                <w:szCs w:val="18"/>
                <w:lang w:eastAsia="en-US"/>
              </w:rPr>
            </w:pPr>
            <w:r w:rsidRPr="001C7F15">
              <w:rPr>
                <w:rFonts w:eastAsia="Calibri"/>
                <w:b/>
                <w:sz w:val="18"/>
                <w:szCs w:val="18"/>
                <w:lang w:eastAsia="en-US"/>
              </w:rPr>
              <w:t>21.0</w:t>
            </w:r>
          </w:p>
        </w:tc>
      </w:tr>
      <w:tr w:rsidR="001C7F15" w:rsidRPr="001C7F15" w14:paraId="1FA757F3"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39100B56"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BBVA Bancomer</w:t>
            </w:r>
          </w:p>
        </w:tc>
        <w:tc>
          <w:tcPr>
            <w:tcW w:w="1418" w:type="dxa"/>
            <w:tcBorders>
              <w:top w:val="nil"/>
              <w:left w:val="single" w:sz="4" w:space="0" w:color="auto"/>
              <w:bottom w:val="nil"/>
              <w:right w:val="single" w:sz="4" w:space="0" w:color="auto"/>
            </w:tcBorders>
            <w:shd w:val="clear" w:color="auto" w:fill="auto"/>
          </w:tcPr>
          <w:p w14:paraId="378FB7B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56.8</w:t>
            </w:r>
          </w:p>
        </w:tc>
        <w:tc>
          <w:tcPr>
            <w:tcW w:w="1551" w:type="dxa"/>
            <w:tcBorders>
              <w:top w:val="nil"/>
              <w:left w:val="single" w:sz="4" w:space="0" w:color="auto"/>
              <w:bottom w:val="nil"/>
              <w:right w:val="single" w:sz="4" w:space="0" w:color="auto"/>
            </w:tcBorders>
            <w:shd w:val="clear" w:color="auto" w:fill="auto"/>
          </w:tcPr>
          <w:p w14:paraId="1F888ACE"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36.0</w:t>
            </w:r>
          </w:p>
        </w:tc>
        <w:tc>
          <w:tcPr>
            <w:tcW w:w="1426" w:type="dxa"/>
            <w:tcBorders>
              <w:top w:val="nil"/>
              <w:left w:val="single" w:sz="4" w:space="0" w:color="auto"/>
              <w:bottom w:val="nil"/>
              <w:right w:val="single" w:sz="4" w:space="0" w:color="auto"/>
            </w:tcBorders>
            <w:shd w:val="clear" w:color="auto" w:fill="auto"/>
          </w:tcPr>
          <w:p w14:paraId="5441BCB4"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7.1</w:t>
            </w:r>
          </w:p>
        </w:tc>
        <w:tc>
          <w:tcPr>
            <w:tcW w:w="1559" w:type="dxa"/>
            <w:tcBorders>
              <w:top w:val="nil"/>
              <w:left w:val="single" w:sz="4" w:space="0" w:color="auto"/>
              <w:bottom w:val="nil"/>
              <w:right w:val="single" w:sz="4" w:space="0" w:color="auto"/>
            </w:tcBorders>
            <w:shd w:val="clear" w:color="auto" w:fill="auto"/>
          </w:tcPr>
          <w:p w14:paraId="78F1243F"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39.6</w:t>
            </w:r>
          </w:p>
        </w:tc>
        <w:tc>
          <w:tcPr>
            <w:tcW w:w="1559" w:type="dxa"/>
            <w:tcBorders>
              <w:top w:val="nil"/>
              <w:left w:val="single" w:sz="4" w:space="0" w:color="auto"/>
              <w:bottom w:val="nil"/>
              <w:right w:val="single" w:sz="4" w:space="0" w:color="auto"/>
            </w:tcBorders>
            <w:shd w:val="clear" w:color="auto" w:fill="auto"/>
          </w:tcPr>
          <w:p w14:paraId="56088371"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20.6</w:t>
            </w:r>
          </w:p>
        </w:tc>
      </w:tr>
      <w:tr w:rsidR="001C7F15" w:rsidRPr="001C7F15" w14:paraId="0165A4A2"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71E5CD35"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Banamex</w:t>
            </w:r>
          </w:p>
        </w:tc>
        <w:tc>
          <w:tcPr>
            <w:tcW w:w="1418" w:type="dxa"/>
            <w:tcBorders>
              <w:top w:val="nil"/>
              <w:left w:val="single" w:sz="4" w:space="0" w:color="auto"/>
              <w:bottom w:val="nil"/>
              <w:right w:val="single" w:sz="4" w:space="0" w:color="auto"/>
            </w:tcBorders>
            <w:shd w:val="clear" w:color="auto" w:fill="auto"/>
          </w:tcPr>
          <w:p w14:paraId="17FE527B"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76.0</w:t>
            </w:r>
          </w:p>
        </w:tc>
        <w:tc>
          <w:tcPr>
            <w:tcW w:w="1551" w:type="dxa"/>
            <w:tcBorders>
              <w:top w:val="nil"/>
              <w:left w:val="single" w:sz="4" w:space="0" w:color="auto"/>
              <w:bottom w:val="nil"/>
              <w:right w:val="single" w:sz="4" w:space="0" w:color="auto"/>
            </w:tcBorders>
            <w:shd w:val="clear" w:color="auto" w:fill="auto"/>
          </w:tcPr>
          <w:p w14:paraId="12AF05A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10.9</w:t>
            </w:r>
          </w:p>
        </w:tc>
        <w:tc>
          <w:tcPr>
            <w:tcW w:w="1426" w:type="dxa"/>
            <w:tcBorders>
              <w:top w:val="nil"/>
              <w:left w:val="single" w:sz="4" w:space="0" w:color="auto"/>
              <w:bottom w:val="nil"/>
              <w:right w:val="single" w:sz="4" w:space="0" w:color="auto"/>
            </w:tcBorders>
            <w:shd w:val="clear" w:color="auto" w:fill="auto"/>
          </w:tcPr>
          <w:p w14:paraId="5F780698"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13.1</w:t>
            </w:r>
          </w:p>
        </w:tc>
        <w:tc>
          <w:tcPr>
            <w:tcW w:w="1559" w:type="dxa"/>
            <w:tcBorders>
              <w:top w:val="nil"/>
              <w:left w:val="single" w:sz="4" w:space="0" w:color="auto"/>
              <w:bottom w:val="nil"/>
              <w:right w:val="single" w:sz="4" w:space="0" w:color="auto"/>
            </w:tcBorders>
            <w:shd w:val="clear" w:color="auto" w:fill="auto"/>
          </w:tcPr>
          <w:p w14:paraId="1AA1E0E5"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35.8</w:t>
            </w:r>
          </w:p>
        </w:tc>
        <w:tc>
          <w:tcPr>
            <w:tcW w:w="1559" w:type="dxa"/>
            <w:tcBorders>
              <w:top w:val="nil"/>
              <w:left w:val="single" w:sz="4" w:space="0" w:color="auto"/>
              <w:bottom w:val="nil"/>
              <w:right w:val="single" w:sz="4" w:space="0" w:color="auto"/>
            </w:tcBorders>
            <w:shd w:val="clear" w:color="auto" w:fill="auto"/>
          </w:tcPr>
          <w:p w14:paraId="4F3D655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19.6</w:t>
            </w:r>
          </w:p>
        </w:tc>
      </w:tr>
      <w:tr w:rsidR="001C7F15" w:rsidRPr="001C7F15" w14:paraId="5B65BB63"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33698F27"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Santander</w:t>
            </w:r>
          </w:p>
        </w:tc>
        <w:tc>
          <w:tcPr>
            <w:tcW w:w="1418" w:type="dxa"/>
            <w:tcBorders>
              <w:top w:val="nil"/>
              <w:left w:val="single" w:sz="4" w:space="0" w:color="auto"/>
              <w:bottom w:val="nil"/>
              <w:right w:val="single" w:sz="4" w:space="0" w:color="auto"/>
            </w:tcBorders>
            <w:shd w:val="clear" w:color="auto" w:fill="auto"/>
          </w:tcPr>
          <w:p w14:paraId="73A59CC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54.0</w:t>
            </w:r>
          </w:p>
        </w:tc>
        <w:tc>
          <w:tcPr>
            <w:tcW w:w="1551" w:type="dxa"/>
            <w:tcBorders>
              <w:top w:val="nil"/>
              <w:left w:val="single" w:sz="4" w:space="0" w:color="auto"/>
              <w:bottom w:val="nil"/>
              <w:right w:val="single" w:sz="4" w:space="0" w:color="auto"/>
            </w:tcBorders>
            <w:shd w:val="clear" w:color="auto" w:fill="auto"/>
          </w:tcPr>
          <w:p w14:paraId="337BE920"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40.4</w:t>
            </w:r>
          </w:p>
        </w:tc>
        <w:tc>
          <w:tcPr>
            <w:tcW w:w="1426" w:type="dxa"/>
            <w:tcBorders>
              <w:top w:val="nil"/>
              <w:left w:val="single" w:sz="4" w:space="0" w:color="auto"/>
              <w:bottom w:val="nil"/>
              <w:right w:val="single" w:sz="4" w:space="0" w:color="auto"/>
            </w:tcBorders>
            <w:shd w:val="clear" w:color="auto" w:fill="auto"/>
          </w:tcPr>
          <w:p w14:paraId="33AB51A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5.6</w:t>
            </w:r>
          </w:p>
        </w:tc>
        <w:tc>
          <w:tcPr>
            <w:tcW w:w="1559" w:type="dxa"/>
            <w:tcBorders>
              <w:top w:val="nil"/>
              <w:left w:val="single" w:sz="4" w:space="0" w:color="auto"/>
              <w:bottom w:val="nil"/>
              <w:right w:val="single" w:sz="4" w:space="0" w:color="auto"/>
            </w:tcBorders>
            <w:shd w:val="clear" w:color="auto" w:fill="auto"/>
          </w:tcPr>
          <w:p w14:paraId="4E687C7D"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31.4</w:t>
            </w:r>
          </w:p>
        </w:tc>
        <w:tc>
          <w:tcPr>
            <w:tcW w:w="1559" w:type="dxa"/>
            <w:tcBorders>
              <w:top w:val="nil"/>
              <w:left w:val="single" w:sz="4" w:space="0" w:color="auto"/>
              <w:bottom w:val="nil"/>
              <w:right w:val="single" w:sz="4" w:space="0" w:color="auto"/>
            </w:tcBorders>
            <w:shd w:val="clear" w:color="auto" w:fill="auto"/>
          </w:tcPr>
          <w:p w14:paraId="197C94D0"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22.7</w:t>
            </w:r>
          </w:p>
        </w:tc>
      </w:tr>
      <w:tr w:rsidR="001C7F15" w:rsidRPr="001C7F15" w14:paraId="23C97B71"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68D2BE46"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BanCoppel</w:t>
            </w:r>
          </w:p>
        </w:tc>
        <w:tc>
          <w:tcPr>
            <w:tcW w:w="1418" w:type="dxa"/>
            <w:tcBorders>
              <w:top w:val="nil"/>
              <w:left w:val="single" w:sz="4" w:space="0" w:color="auto"/>
              <w:bottom w:val="nil"/>
              <w:right w:val="single" w:sz="4" w:space="0" w:color="auto"/>
            </w:tcBorders>
            <w:shd w:val="clear" w:color="auto" w:fill="auto"/>
          </w:tcPr>
          <w:p w14:paraId="77DA6030"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100.0</w:t>
            </w:r>
          </w:p>
        </w:tc>
        <w:tc>
          <w:tcPr>
            <w:tcW w:w="1551" w:type="dxa"/>
            <w:tcBorders>
              <w:top w:val="nil"/>
              <w:left w:val="single" w:sz="4" w:space="0" w:color="auto"/>
              <w:bottom w:val="nil"/>
              <w:right w:val="single" w:sz="4" w:space="0" w:color="auto"/>
            </w:tcBorders>
            <w:shd w:val="clear" w:color="auto" w:fill="auto"/>
          </w:tcPr>
          <w:p w14:paraId="0FA90CB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426" w:type="dxa"/>
            <w:tcBorders>
              <w:top w:val="nil"/>
              <w:left w:val="single" w:sz="4" w:space="0" w:color="auto"/>
              <w:bottom w:val="nil"/>
              <w:right w:val="single" w:sz="4" w:space="0" w:color="auto"/>
            </w:tcBorders>
            <w:shd w:val="clear" w:color="auto" w:fill="auto"/>
          </w:tcPr>
          <w:p w14:paraId="6358DAD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559" w:type="dxa"/>
            <w:tcBorders>
              <w:top w:val="nil"/>
              <w:left w:val="single" w:sz="4" w:space="0" w:color="auto"/>
              <w:bottom w:val="nil"/>
              <w:right w:val="single" w:sz="4" w:space="0" w:color="auto"/>
            </w:tcBorders>
            <w:shd w:val="clear" w:color="auto" w:fill="auto"/>
          </w:tcPr>
          <w:p w14:paraId="62D10DB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65.0</w:t>
            </w:r>
          </w:p>
        </w:tc>
        <w:tc>
          <w:tcPr>
            <w:tcW w:w="1559" w:type="dxa"/>
            <w:tcBorders>
              <w:top w:val="nil"/>
              <w:left w:val="single" w:sz="4" w:space="0" w:color="auto"/>
              <w:bottom w:val="nil"/>
              <w:right w:val="single" w:sz="4" w:space="0" w:color="auto"/>
            </w:tcBorders>
            <w:shd w:val="clear" w:color="auto" w:fill="auto"/>
          </w:tcPr>
          <w:p w14:paraId="09087051"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r>
      <w:tr w:rsidR="001C7F15" w:rsidRPr="001C7F15" w14:paraId="138D3E11"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03915161"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Banorte-Ixe Tarjetas</w:t>
            </w:r>
          </w:p>
        </w:tc>
        <w:tc>
          <w:tcPr>
            <w:tcW w:w="1418" w:type="dxa"/>
            <w:tcBorders>
              <w:top w:val="nil"/>
              <w:left w:val="single" w:sz="4" w:space="0" w:color="auto"/>
              <w:bottom w:val="nil"/>
              <w:right w:val="single" w:sz="4" w:space="0" w:color="auto"/>
            </w:tcBorders>
            <w:shd w:val="clear" w:color="auto" w:fill="auto"/>
          </w:tcPr>
          <w:p w14:paraId="78EBB9F8"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73.5</w:t>
            </w:r>
          </w:p>
        </w:tc>
        <w:tc>
          <w:tcPr>
            <w:tcW w:w="1551" w:type="dxa"/>
            <w:tcBorders>
              <w:top w:val="nil"/>
              <w:left w:val="single" w:sz="4" w:space="0" w:color="auto"/>
              <w:bottom w:val="nil"/>
              <w:right w:val="single" w:sz="4" w:space="0" w:color="auto"/>
            </w:tcBorders>
            <w:shd w:val="clear" w:color="auto" w:fill="auto"/>
          </w:tcPr>
          <w:p w14:paraId="064A6718"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20.5</w:t>
            </w:r>
          </w:p>
        </w:tc>
        <w:tc>
          <w:tcPr>
            <w:tcW w:w="1426" w:type="dxa"/>
            <w:tcBorders>
              <w:top w:val="nil"/>
              <w:left w:val="single" w:sz="4" w:space="0" w:color="auto"/>
              <w:bottom w:val="nil"/>
              <w:right w:val="single" w:sz="4" w:space="0" w:color="auto"/>
            </w:tcBorders>
            <w:shd w:val="clear" w:color="auto" w:fill="auto"/>
          </w:tcPr>
          <w:p w14:paraId="6F61AAE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6.0</w:t>
            </w:r>
          </w:p>
        </w:tc>
        <w:tc>
          <w:tcPr>
            <w:tcW w:w="1559" w:type="dxa"/>
            <w:tcBorders>
              <w:top w:val="nil"/>
              <w:left w:val="single" w:sz="4" w:space="0" w:color="auto"/>
              <w:bottom w:val="nil"/>
              <w:right w:val="single" w:sz="4" w:space="0" w:color="auto"/>
            </w:tcBorders>
            <w:shd w:val="clear" w:color="auto" w:fill="auto"/>
          </w:tcPr>
          <w:p w14:paraId="10E6600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35.8</w:t>
            </w:r>
          </w:p>
        </w:tc>
        <w:tc>
          <w:tcPr>
            <w:tcW w:w="1559" w:type="dxa"/>
            <w:tcBorders>
              <w:top w:val="nil"/>
              <w:left w:val="single" w:sz="4" w:space="0" w:color="auto"/>
              <w:bottom w:val="nil"/>
              <w:right w:val="single" w:sz="4" w:space="0" w:color="auto"/>
            </w:tcBorders>
            <w:shd w:val="clear" w:color="auto" w:fill="auto"/>
          </w:tcPr>
          <w:p w14:paraId="70FF7736"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19.4</w:t>
            </w:r>
          </w:p>
        </w:tc>
      </w:tr>
      <w:tr w:rsidR="001C7F15" w:rsidRPr="001C7F15" w14:paraId="5A4A2B3E"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2C92D7EF"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HSBC</w:t>
            </w:r>
          </w:p>
        </w:tc>
        <w:tc>
          <w:tcPr>
            <w:tcW w:w="1418" w:type="dxa"/>
            <w:tcBorders>
              <w:top w:val="nil"/>
              <w:left w:val="single" w:sz="4" w:space="0" w:color="auto"/>
              <w:bottom w:val="nil"/>
              <w:right w:val="single" w:sz="4" w:space="0" w:color="auto"/>
            </w:tcBorders>
            <w:shd w:val="clear" w:color="auto" w:fill="auto"/>
          </w:tcPr>
          <w:p w14:paraId="1872C9C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73.8</w:t>
            </w:r>
          </w:p>
        </w:tc>
        <w:tc>
          <w:tcPr>
            <w:tcW w:w="1551" w:type="dxa"/>
            <w:tcBorders>
              <w:top w:val="nil"/>
              <w:left w:val="single" w:sz="4" w:space="0" w:color="auto"/>
              <w:bottom w:val="nil"/>
              <w:right w:val="single" w:sz="4" w:space="0" w:color="auto"/>
            </w:tcBorders>
            <w:shd w:val="clear" w:color="auto" w:fill="auto"/>
          </w:tcPr>
          <w:p w14:paraId="06B3F552"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17.1</w:t>
            </w:r>
          </w:p>
        </w:tc>
        <w:tc>
          <w:tcPr>
            <w:tcW w:w="1426" w:type="dxa"/>
            <w:tcBorders>
              <w:top w:val="nil"/>
              <w:left w:val="single" w:sz="4" w:space="0" w:color="auto"/>
              <w:bottom w:val="nil"/>
              <w:right w:val="single" w:sz="4" w:space="0" w:color="auto"/>
            </w:tcBorders>
            <w:shd w:val="clear" w:color="auto" w:fill="auto"/>
          </w:tcPr>
          <w:p w14:paraId="40D70156"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9.1</w:t>
            </w:r>
          </w:p>
        </w:tc>
        <w:tc>
          <w:tcPr>
            <w:tcW w:w="1559" w:type="dxa"/>
            <w:tcBorders>
              <w:top w:val="nil"/>
              <w:left w:val="single" w:sz="4" w:space="0" w:color="auto"/>
              <w:bottom w:val="nil"/>
              <w:right w:val="single" w:sz="4" w:space="0" w:color="auto"/>
            </w:tcBorders>
            <w:shd w:val="clear" w:color="auto" w:fill="auto"/>
          </w:tcPr>
          <w:p w14:paraId="135B231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38.8</w:t>
            </w:r>
          </w:p>
        </w:tc>
        <w:tc>
          <w:tcPr>
            <w:tcW w:w="1559" w:type="dxa"/>
            <w:tcBorders>
              <w:top w:val="nil"/>
              <w:left w:val="single" w:sz="4" w:space="0" w:color="auto"/>
              <w:bottom w:val="nil"/>
              <w:right w:val="single" w:sz="4" w:space="0" w:color="auto"/>
            </w:tcBorders>
            <w:shd w:val="clear" w:color="auto" w:fill="auto"/>
          </w:tcPr>
          <w:p w14:paraId="2A5D59C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20.7</w:t>
            </w:r>
          </w:p>
        </w:tc>
      </w:tr>
      <w:tr w:rsidR="001C7F15" w:rsidRPr="001C7F15" w14:paraId="6A5E0262"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6A69BE57"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Banco Walmart</w:t>
            </w:r>
          </w:p>
        </w:tc>
        <w:tc>
          <w:tcPr>
            <w:tcW w:w="1418" w:type="dxa"/>
            <w:tcBorders>
              <w:top w:val="nil"/>
              <w:left w:val="single" w:sz="4" w:space="0" w:color="auto"/>
              <w:bottom w:val="nil"/>
              <w:right w:val="single" w:sz="4" w:space="0" w:color="auto"/>
            </w:tcBorders>
            <w:shd w:val="clear" w:color="auto" w:fill="auto"/>
          </w:tcPr>
          <w:p w14:paraId="75B8011E"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78.4</w:t>
            </w:r>
          </w:p>
        </w:tc>
        <w:tc>
          <w:tcPr>
            <w:tcW w:w="1551" w:type="dxa"/>
            <w:tcBorders>
              <w:top w:val="nil"/>
              <w:left w:val="single" w:sz="4" w:space="0" w:color="auto"/>
              <w:bottom w:val="nil"/>
              <w:right w:val="single" w:sz="4" w:space="0" w:color="auto"/>
            </w:tcBorders>
            <w:shd w:val="clear" w:color="auto" w:fill="auto"/>
          </w:tcPr>
          <w:p w14:paraId="2F0FE338"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0.1</w:t>
            </w:r>
          </w:p>
        </w:tc>
        <w:tc>
          <w:tcPr>
            <w:tcW w:w="1426" w:type="dxa"/>
            <w:tcBorders>
              <w:top w:val="nil"/>
              <w:left w:val="single" w:sz="4" w:space="0" w:color="auto"/>
              <w:bottom w:val="nil"/>
              <w:right w:val="single" w:sz="4" w:space="0" w:color="auto"/>
            </w:tcBorders>
            <w:shd w:val="clear" w:color="auto" w:fill="auto"/>
          </w:tcPr>
          <w:p w14:paraId="0F8CB6F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21.6</w:t>
            </w:r>
          </w:p>
        </w:tc>
        <w:tc>
          <w:tcPr>
            <w:tcW w:w="1559" w:type="dxa"/>
            <w:tcBorders>
              <w:top w:val="nil"/>
              <w:left w:val="single" w:sz="4" w:space="0" w:color="auto"/>
              <w:bottom w:val="nil"/>
              <w:right w:val="single" w:sz="4" w:space="0" w:color="auto"/>
            </w:tcBorders>
            <w:shd w:val="clear" w:color="auto" w:fill="auto"/>
          </w:tcPr>
          <w:p w14:paraId="24549AA5"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48.5</w:t>
            </w:r>
          </w:p>
        </w:tc>
        <w:tc>
          <w:tcPr>
            <w:tcW w:w="1559" w:type="dxa"/>
            <w:tcBorders>
              <w:top w:val="nil"/>
              <w:left w:val="single" w:sz="4" w:space="0" w:color="auto"/>
              <w:bottom w:val="nil"/>
              <w:right w:val="single" w:sz="4" w:space="0" w:color="auto"/>
            </w:tcBorders>
            <w:shd w:val="clear" w:color="auto" w:fill="auto"/>
          </w:tcPr>
          <w:p w14:paraId="5CBD6F2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20.1</w:t>
            </w:r>
          </w:p>
        </w:tc>
      </w:tr>
      <w:tr w:rsidR="001C7F15" w:rsidRPr="001C7F15" w14:paraId="2A59E077"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338E53ED"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Scotiabank</w:t>
            </w:r>
          </w:p>
        </w:tc>
        <w:tc>
          <w:tcPr>
            <w:tcW w:w="1418" w:type="dxa"/>
            <w:tcBorders>
              <w:top w:val="nil"/>
              <w:left w:val="single" w:sz="4" w:space="0" w:color="auto"/>
              <w:bottom w:val="nil"/>
              <w:right w:val="single" w:sz="4" w:space="0" w:color="auto"/>
            </w:tcBorders>
            <w:shd w:val="clear" w:color="auto" w:fill="auto"/>
          </w:tcPr>
          <w:p w14:paraId="76367B45"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92.2</w:t>
            </w:r>
          </w:p>
        </w:tc>
        <w:tc>
          <w:tcPr>
            <w:tcW w:w="1551" w:type="dxa"/>
            <w:tcBorders>
              <w:top w:val="nil"/>
              <w:left w:val="single" w:sz="4" w:space="0" w:color="auto"/>
              <w:bottom w:val="nil"/>
              <w:right w:val="single" w:sz="4" w:space="0" w:color="auto"/>
            </w:tcBorders>
            <w:shd w:val="clear" w:color="auto" w:fill="auto"/>
          </w:tcPr>
          <w:p w14:paraId="2323ED8B"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1.1</w:t>
            </w:r>
          </w:p>
        </w:tc>
        <w:tc>
          <w:tcPr>
            <w:tcW w:w="1426" w:type="dxa"/>
            <w:tcBorders>
              <w:top w:val="nil"/>
              <w:left w:val="single" w:sz="4" w:space="0" w:color="auto"/>
              <w:bottom w:val="nil"/>
              <w:right w:val="single" w:sz="4" w:space="0" w:color="auto"/>
            </w:tcBorders>
            <w:shd w:val="clear" w:color="auto" w:fill="auto"/>
          </w:tcPr>
          <w:p w14:paraId="345CC17E"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6.7</w:t>
            </w:r>
          </w:p>
        </w:tc>
        <w:tc>
          <w:tcPr>
            <w:tcW w:w="1559" w:type="dxa"/>
            <w:tcBorders>
              <w:top w:val="nil"/>
              <w:left w:val="single" w:sz="4" w:space="0" w:color="auto"/>
              <w:bottom w:val="nil"/>
              <w:right w:val="single" w:sz="4" w:space="0" w:color="auto"/>
            </w:tcBorders>
            <w:shd w:val="clear" w:color="auto" w:fill="auto"/>
          </w:tcPr>
          <w:p w14:paraId="6577CA00"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36.7</w:t>
            </w:r>
          </w:p>
        </w:tc>
        <w:tc>
          <w:tcPr>
            <w:tcW w:w="1559" w:type="dxa"/>
            <w:tcBorders>
              <w:top w:val="nil"/>
              <w:left w:val="single" w:sz="4" w:space="0" w:color="auto"/>
              <w:bottom w:val="nil"/>
              <w:right w:val="single" w:sz="4" w:space="0" w:color="auto"/>
            </w:tcBorders>
            <w:shd w:val="clear" w:color="auto" w:fill="auto"/>
          </w:tcPr>
          <w:p w14:paraId="3F8D49ED"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17.8</w:t>
            </w:r>
          </w:p>
        </w:tc>
      </w:tr>
      <w:tr w:rsidR="001C7F15" w:rsidRPr="001C7F15" w14:paraId="4B5290A1"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55050720"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American Express</w:t>
            </w:r>
          </w:p>
        </w:tc>
        <w:tc>
          <w:tcPr>
            <w:tcW w:w="1418" w:type="dxa"/>
            <w:tcBorders>
              <w:top w:val="nil"/>
              <w:left w:val="single" w:sz="4" w:space="0" w:color="auto"/>
              <w:bottom w:val="nil"/>
              <w:right w:val="single" w:sz="4" w:space="0" w:color="auto"/>
            </w:tcBorders>
            <w:shd w:val="clear" w:color="auto" w:fill="auto"/>
          </w:tcPr>
          <w:p w14:paraId="3CEF44E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83.4</w:t>
            </w:r>
          </w:p>
        </w:tc>
        <w:tc>
          <w:tcPr>
            <w:tcW w:w="1551" w:type="dxa"/>
            <w:tcBorders>
              <w:top w:val="nil"/>
              <w:left w:val="single" w:sz="4" w:space="0" w:color="auto"/>
              <w:bottom w:val="nil"/>
              <w:right w:val="single" w:sz="4" w:space="0" w:color="auto"/>
            </w:tcBorders>
            <w:shd w:val="clear" w:color="auto" w:fill="auto"/>
          </w:tcPr>
          <w:p w14:paraId="4233D39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6.2</w:t>
            </w:r>
          </w:p>
        </w:tc>
        <w:tc>
          <w:tcPr>
            <w:tcW w:w="1426" w:type="dxa"/>
            <w:tcBorders>
              <w:top w:val="nil"/>
              <w:left w:val="single" w:sz="4" w:space="0" w:color="auto"/>
              <w:bottom w:val="nil"/>
              <w:right w:val="single" w:sz="4" w:space="0" w:color="auto"/>
            </w:tcBorders>
            <w:shd w:val="clear" w:color="auto" w:fill="auto"/>
          </w:tcPr>
          <w:p w14:paraId="59496175"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10.4</w:t>
            </w:r>
          </w:p>
        </w:tc>
        <w:tc>
          <w:tcPr>
            <w:tcW w:w="1559" w:type="dxa"/>
            <w:tcBorders>
              <w:top w:val="nil"/>
              <w:left w:val="single" w:sz="4" w:space="0" w:color="auto"/>
              <w:bottom w:val="nil"/>
              <w:right w:val="single" w:sz="4" w:space="0" w:color="auto"/>
            </w:tcBorders>
            <w:shd w:val="clear" w:color="auto" w:fill="auto"/>
          </w:tcPr>
          <w:p w14:paraId="6F2CAD4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39.1</w:t>
            </w:r>
          </w:p>
        </w:tc>
        <w:tc>
          <w:tcPr>
            <w:tcW w:w="1559" w:type="dxa"/>
            <w:tcBorders>
              <w:top w:val="nil"/>
              <w:left w:val="single" w:sz="4" w:space="0" w:color="auto"/>
              <w:bottom w:val="nil"/>
              <w:right w:val="single" w:sz="4" w:space="0" w:color="auto"/>
            </w:tcBorders>
            <w:shd w:val="clear" w:color="auto" w:fill="auto"/>
          </w:tcPr>
          <w:p w14:paraId="20006C9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31.4</w:t>
            </w:r>
          </w:p>
        </w:tc>
      </w:tr>
      <w:tr w:rsidR="001C7F15" w:rsidRPr="001C7F15" w14:paraId="75FEF311"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39835E09"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Inbursa</w:t>
            </w:r>
          </w:p>
        </w:tc>
        <w:tc>
          <w:tcPr>
            <w:tcW w:w="1418" w:type="dxa"/>
            <w:tcBorders>
              <w:top w:val="nil"/>
              <w:left w:val="single" w:sz="4" w:space="0" w:color="auto"/>
              <w:bottom w:val="nil"/>
              <w:right w:val="single" w:sz="4" w:space="0" w:color="auto"/>
            </w:tcBorders>
            <w:shd w:val="clear" w:color="auto" w:fill="auto"/>
          </w:tcPr>
          <w:p w14:paraId="7FBB482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92.8</w:t>
            </w:r>
          </w:p>
        </w:tc>
        <w:tc>
          <w:tcPr>
            <w:tcW w:w="1551" w:type="dxa"/>
            <w:tcBorders>
              <w:top w:val="nil"/>
              <w:left w:val="single" w:sz="4" w:space="0" w:color="auto"/>
              <w:bottom w:val="nil"/>
              <w:right w:val="single" w:sz="4" w:space="0" w:color="auto"/>
            </w:tcBorders>
            <w:shd w:val="clear" w:color="auto" w:fill="auto"/>
          </w:tcPr>
          <w:p w14:paraId="4ECCB612"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3.2</w:t>
            </w:r>
          </w:p>
        </w:tc>
        <w:tc>
          <w:tcPr>
            <w:tcW w:w="1426" w:type="dxa"/>
            <w:tcBorders>
              <w:top w:val="nil"/>
              <w:left w:val="single" w:sz="4" w:space="0" w:color="auto"/>
              <w:bottom w:val="nil"/>
              <w:right w:val="single" w:sz="4" w:space="0" w:color="auto"/>
            </w:tcBorders>
            <w:shd w:val="clear" w:color="auto" w:fill="auto"/>
          </w:tcPr>
          <w:p w14:paraId="1E71B492"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3.9</w:t>
            </w:r>
          </w:p>
        </w:tc>
        <w:tc>
          <w:tcPr>
            <w:tcW w:w="1559" w:type="dxa"/>
            <w:tcBorders>
              <w:top w:val="nil"/>
              <w:left w:val="single" w:sz="4" w:space="0" w:color="auto"/>
              <w:bottom w:val="nil"/>
              <w:right w:val="single" w:sz="4" w:space="0" w:color="auto"/>
            </w:tcBorders>
            <w:shd w:val="clear" w:color="auto" w:fill="auto"/>
          </w:tcPr>
          <w:p w14:paraId="0B290B5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30.5</w:t>
            </w:r>
          </w:p>
        </w:tc>
        <w:tc>
          <w:tcPr>
            <w:tcW w:w="1559" w:type="dxa"/>
            <w:tcBorders>
              <w:top w:val="nil"/>
              <w:left w:val="single" w:sz="4" w:space="0" w:color="auto"/>
              <w:bottom w:val="nil"/>
              <w:right w:val="single" w:sz="4" w:space="0" w:color="auto"/>
            </w:tcBorders>
            <w:shd w:val="clear" w:color="auto" w:fill="auto"/>
          </w:tcPr>
          <w:p w14:paraId="40A4312A"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20.8</w:t>
            </w:r>
          </w:p>
        </w:tc>
      </w:tr>
      <w:tr w:rsidR="001C7F15" w:rsidRPr="001C7F15" w14:paraId="60E02B82" w14:textId="77777777" w:rsidTr="00E823BC">
        <w:trPr>
          <w:jc w:val="center"/>
        </w:trPr>
        <w:tc>
          <w:tcPr>
            <w:tcW w:w="1809" w:type="dxa"/>
            <w:tcBorders>
              <w:top w:val="nil"/>
              <w:left w:val="single" w:sz="4" w:space="0" w:color="auto"/>
              <w:bottom w:val="single" w:sz="4" w:space="0" w:color="auto"/>
              <w:right w:val="single" w:sz="4" w:space="0" w:color="auto"/>
            </w:tcBorders>
            <w:shd w:val="clear" w:color="auto" w:fill="auto"/>
          </w:tcPr>
          <w:p w14:paraId="50BFD912" w14:textId="77777777" w:rsidR="001C7F15" w:rsidRPr="001C7F15" w:rsidRDefault="001C7F15" w:rsidP="001C7F15">
            <w:pPr>
              <w:autoSpaceDE w:val="0"/>
              <w:autoSpaceDN w:val="0"/>
              <w:adjustRightInd w:val="0"/>
              <w:spacing w:before="40" w:after="120"/>
              <w:rPr>
                <w:rFonts w:eastAsia="Calibri"/>
                <w:bCs/>
                <w:sz w:val="18"/>
                <w:szCs w:val="18"/>
                <w:lang w:eastAsia="en-US"/>
              </w:rPr>
            </w:pPr>
            <w:r w:rsidRPr="001C7F15">
              <w:rPr>
                <w:rFonts w:eastAsia="Calibri"/>
                <w:bCs/>
                <w:sz w:val="18"/>
                <w:szCs w:val="18"/>
                <w:lang w:eastAsia="en-US"/>
              </w:rPr>
              <w:t>SF Soriana</w:t>
            </w:r>
          </w:p>
        </w:tc>
        <w:tc>
          <w:tcPr>
            <w:tcW w:w="1418" w:type="dxa"/>
            <w:tcBorders>
              <w:top w:val="nil"/>
              <w:left w:val="single" w:sz="4" w:space="0" w:color="auto"/>
              <w:bottom w:val="single" w:sz="4" w:space="0" w:color="auto"/>
              <w:right w:val="single" w:sz="4" w:space="0" w:color="auto"/>
            </w:tcBorders>
            <w:shd w:val="clear" w:color="auto" w:fill="auto"/>
          </w:tcPr>
          <w:p w14:paraId="6AF77827"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77.7</w:t>
            </w:r>
          </w:p>
        </w:tc>
        <w:tc>
          <w:tcPr>
            <w:tcW w:w="1551" w:type="dxa"/>
            <w:tcBorders>
              <w:top w:val="nil"/>
              <w:left w:val="single" w:sz="4" w:space="0" w:color="auto"/>
              <w:bottom w:val="single" w:sz="4" w:space="0" w:color="auto"/>
              <w:right w:val="single" w:sz="4" w:space="0" w:color="auto"/>
            </w:tcBorders>
            <w:shd w:val="clear" w:color="auto" w:fill="auto"/>
          </w:tcPr>
          <w:p w14:paraId="32C97099"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8.4</w:t>
            </w:r>
          </w:p>
        </w:tc>
        <w:tc>
          <w:tcPr>
            <w:tcW w:w="1426" w:type="dxa"/>
            <w:tcBorders>
              <w:top w:val="nil"/>
              <w:left w:val="single" w:sz="4" w:space="0" w:color="auto"/>
              <w:bottom w:val="single" w:sz="4" w:space="0" w:color="auto"/>
              <w:right w:val="single" w:sz="4" w:space="0" w:color="auto"/>
            </w:tcBorders>
            <w:shd w:val="clear" w:color="auto" w:fill="auto"/>
          </w:tcPr>
          <w:p w14:paraId="74F15DF1"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13.9</w:t>
            </w:r>
          </w:p>
        </w:tc>
        <w:tc>
          <w:tcPr>
            <w:tcW w:w="1559" w:type="dxa"/>
            <w:tcBorders>
              <w:top w:val="nil"/>
              <w:left w:val="single" w:sz="4" w:space="0" w:color="auto"/>
              <w:bottom w:val="single" w:sz="4" w:space="0" w:color="auto"/>
              <w:right w:val="single" w:sz="4" w:space="0" w:color="auto"/>
            </w:tcBorders>
            <w:shd w:val="clear" w:color="auto" w:fill="auto"/>
          </w:tcPr>
          <w:p w14:paraId="6AADE7E0"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44.4</w:t>
            </w:r>
          </w:p>
        </w:tc>
        <w:tc>
          <w:tcPr>
            <w:tcW w:w="1559" w:type="dxa"/>
            <w:tcBorders>
              <w:top w:val="nil"/>
              <w:left w:val="single" w:sz="4" w:space="0" w:color="auto"/>
              <w:bottom w:val="single" w:sz="4" w:space="0" w:color="auto"/>
              <w:right w:val="single" w:sz="4" w:space="0" w:color="auto"/>
            </w:tcBorders>
            <w:shd w:val="clear" w:color="auto" w:fill="auto"/>
          </w:tcPr>
          <w:p w14:paraId="2CA569FF"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24.4</w:t>
            </w:r>
          </w:p>
        </w:tc>
      </w:tr>
      <w:tr w:rsidR="001C7F15" w:rsidRPr="001C7F15" w14:paraId="6ACA9834" w14:textId="77777777" w:rsidTr="00E823BC">
        <w:trPr>
          <w:jc w:val="center"/>
        </w:trPr>
        <w:tc>
          <w:tcPr>
            <w:tcW w:w="9322" w:type="dxa"/>
            <w:gridSpan w:val="6"/>
            <w:tcBorders>
              <w:top w:val="single" w:sz="4" w:space="0" w:color="auto"/>
              <w:bottom w:val="single" w:sz="4" w:space="0" w:color="auto"/>
            </w:tcBorders>
            <w:shd w:val="clear" w:color="auto" w:fill="auto"/>
            <w:vAlign w:val="center"/>
          </w:tcPr>
          <w:p w14:paraId="12F20C32" w14:textId="77777777" w:rsidR="001C7F15" w:rsidRPr="001C7F15" w:rsidRDefault="001C7F15" w:rsidP="001C7F15">
            <w:pPr>
              <w:spacing w:before="40" w:after="40"/>
              <w:jc w:val="center"/>
              <w:rPr>
                <w:rFonts w:eastAsia="Calibri"/>
                <w:bCs/>
                <w:sz w:val="18"/>
                <w:szCs w:val="18"/>
                <w:lang w:eastAsia="en-US"/>
              </w:rPr>
            </w:pPr>
            <w:r w:rsidRPr="001C7F15">
              <w:rPr>
                <w:rFonts w:eastAsia="Calibri"/>
                <w:b/>
                <w:bCs/>
                <w:sz w:val="18"/>
                <w:szCs w:val="18"/>
                <w:lang w:eastAsia="en-US"/>
              </w:rPr>
              <w:t>Instituciones con menos de cien mil tarjetas totales</w:t>
            </w:r>
          </w:p>
        </w:tc>
      </w:tr>
      <w:tr w:rsidR="001C7F15" w:rsidRPr="001C7F15" w14:paraId="5AECC04A" w14:textId="77777777" w:rsidTr="00E823BC">
        <w:trPr>
          <w:jc w:val="center"/>
        </w:trPr>
        <w:tc>
          <w:tcPr>
            <w:tcW w:w="1809" w:type="dxa"/>
            <w:tcBorders>
              <w:top w:val="single" w:sz="4" w:space="0" w:color="auto"/>
              <w:left w:val="single" w:sz="4" w:space="0" w:color="auto"/>
              <w:bottom w:val="nil"/>
              <w:right w:val="single" w:sz="4" w:space="0" w:color="auto"/>
            </w:tcBorders>
            <w:shd w:val="clear" w:color="auto" w:fill="auto"/>
          </w:tcPr>
          <w:p w14:paraId="793DEC03" w14:textId="77777777" w:rsidR="001C7F15" w:rsidRPr="001C7F15" w:rsidRDefault="001C7F15" w:rsidP="001C7F15">
            <w:pPr>
              <w:autoSpaceDE w:val="0"/>
              <w:autoSpaceDN w:val="0"/>
              <w:adjustRightInd w:val="0"/>
              <w:spacing w:before="120" w:after="40"/>
              <w:rPr>
                <w:rFonts w:eastAsia="Calibri"/>
                <w:bCs/>
                <w:sz w:val="18"/>
                <w:szCs w:val="18"/>
                <w:lang w:eastAsia="en-US"/>
              </w:rPr>
            </w:pPr>
            <w:r w:rsidRPr="001C7F15">
              <w:rPr>
                <w:rFonts w:eastAsia="Calibri"/>
                <w:bCs/>
                <w:sz w:val="18"/>
                <w:szCs w:val="18"/>
                <w:lang w:eastAsia="en-US"/>
              </w:rPr>
              <w:t>Banco Invex</w:t>
            </w:r>
          </w:p>
        </w:tc>
        <w:tc>
          <w:tcPr>
            <w:tcW w:w="1418" w:type="dxa"/>
            <w:tcBorders>
              <w:top w:val="single" w:sz="4" w:space="0" w:color="auto"/>
              <w:left w:val="single" w:sz="4" w:space="0" w:color="auto"/>
              <w:bottom w:val="nil"/>
              <w:right w:val="single" w:sz="4" w:space="0" w:color="auto"/>
            </w:tcBorders>
            <w:shd w:val="clear" w:color="auto" w:fill="auto"/>
          </w:tcPr>
          <w:p w14:paraId="5794294C" w14:textId="77777777" w:rsidR="001C7F15" w:rsidRPr="001C7F15" w:rsidRDefault="001C7F15" w:rsidP="001C7F15">
            <w:pPr>
              <w:autoSpaceDE w:val="0"/>
              <w:autoSpaceDN w:val="0"/>
              <w:adjustRightInd w:val="0"/>
              <w:spacing w:before="120" w:after="40"/>
              <w:ind w:right="397"/>
              <w:jc w:val="right"/>
              <w:rPr>
                <w:rFonts w:eastAsia="Calibri"/>
                <w:sz w:val="18"/>
                <w:szCs w:val="18"/>
                <w:lang w:eastAsia="en-US"/>
              </w:rPr>
            </w:pPr>
            <w:r w:rsidRPr="001C7F15">
              <w:rPr>
                <w:rFonts w:eastAsia="Calibri"/>
                <w:sz w:val="18"/>
                <w:szCs w:val="18"/>
                <w:lang w:eastAsia="en-US"/>
              </w:rPr>
              <w:t>71.2</w:t>
            </w:r>
          </w:p>
        </w:tc>
        <w:tc>
          <w:tcPr>
            <w:tcW w:w="1551" w:type="dxa"/>
            <w:tcBorders>
              <w:top w:val="single" w:sz="4" w:space="0" w:color="auto"/>
              <w:left w:val="single" w:sz="4" w:space="0" w:color="auto"/>
              <w:bottom w:val="nil"/>
              <w:right w:val="single" w:sz="4" w:space="0" w:color="auto"/>
            </w:tcBorders>
            <w:shd w:val="clear" w:color="auto" w:fill="auto"/>
          </w:tcPr>
          <w:p w14:paraId="6A012C56" w14:textId="77777777" w:rsidR="001C7F15" w:rsidRPr="001C7F15" w:rsidRDefault="001C7F15" w:rsidP="001C7F15">
            <w:pPr>
              <w:autoSpaceDE w:val="0"/>
              <w:autoSpaceDN w:val="0"/>
              <w:adjustRightInd w:val="0"/>
              <w:spacing w:before="120" w:after="40"/>
              <w:ind w:right="397"/>
              <w:jc w:val="right"/>
              <w:rPr>
                <w:rFonts w:eastAsia="Calibri"/>
                <w:sz w:val="18"/>
                <w:szCs w:val="18"/>
                <w:lang w:eastAsia="en-US"/>
              </w:rPr>
            </w:pPr>
            <w:r w:rsidRPr="001C7F15">
              <w:rPr>
                <w:rFonts w:eastAsia="Calibri"/>
                <w:sz w:val="18"/>
                <w:szCs w:val="18"/>
                <w:lang w:eastAsia="en-US"/>
              </w:rPr>
              <w:t>14.4</w:t>
            </w:r>
          </w:p>
        </w:tc>
        <w:tc>
          <w:tcPr>
            <w:tcW w:w="1426" w:type="dxa"/>
            <w:tcBorders>
              <w:top w:val="single" w:sz="4" w:space="0" w:color="auto"/>
              <w:left w:val="single" w:sz="4" w:space="0" w:color="auto"/>
              <w:bottom w:val="nil"/>
              <w:right w:val="single" w:sz="4" w:space="0" w:color="auto"/>
            </w:tcBorders>
            <w:shd w:val="clear" w:color="auto" w:fill="auto"/>
          </w:tcPr>
          <w:p w14:paraId="4A0ED661" w14:textId="77777777" w:rsidR="001C7F15" w:rsidRPr="001C7F15" w:rsidRDefault="001C7F15" w:rsidP="001C7F15">
            <w:pPr>
              <w:autoSpaceDE w:val="0"/>
              <w:autoSpaceDN w:val="0"/>
              <w:adjustRightInd w:val="0"/>
              <w:spacing w:before="120" w:after="40"/>
              <w:ind w:right="397"/>
              <w:jc w:val="right"/>
              <w:rPr>
                <w:rFonts w:eastAsia="Calibri"/>
                <w:sz w:val="18"/>
                <w:szCs w:val="18"/>
                <w:lang w:eastAsia="en-US"/>
              </w:rPr>
            </w:pPr>
            <w:r w:rsidRPr="001C7F15">
              <w:rPr>
                <w:rFonts w:eastAsia="Calibri"/>
                <w:sz w:val="18"/>
                <w:szCs w:val="18"/>
                <w:lang w:eastAsia="en-US"/>
              </w:rPr>
              <w:t>14.5</w:t>
            </w:r>
          </w:p>
        </w:tc>
        <w:tc>
          <w:tcPr>
            <w:tcW w:w="1559" w:type="dxa"/>
            <w:tcBorders>
              <w:top w:val="single" w:sz="4" w:space="0" w:color="auto"/>
              <w:left w:val="single" w:sz="4" w:space="0" w:color="auto"/>
              <w:bottom w:val="nil"/>
              <w:right w:val="single" w:sz="4" w:space="0" w:color="auto"/>
            </w:tcBorders>
            <w:shd w:val="clear" w:color="auto" w:fill="auto"/>
          </w:tcPr>
          <w:p w14:paraId="364319BC" w14:textId="77777777" w:rsidR="001C7F15" w:rsidRPr="001C7F15" w:rsidRDefault="001C7F15" w:rsidP="001C7F15">
            <w:pPr>
              <w:autoSpaceDE w:val="0"/>
              <w:autoSpaceDN w:val="0"/>
              <w:adjustRightInd w:val="0"/>
              <w:spacing w:before="120" w:after="40"/>
              <w:ind w:right="397"/>
              <w:jc w:val="right"/>
              <w:rPr>
                <w:rFonts w:eastAsia="Calibri"/>
                <w:sz w:val="18"/>
                <w:szCs w:val="18"/>
                <w:lang w:eastAsia="en-US"/>
              </w:rPr>
            </w:pPr>
            <w:r w:rsidRPr="001C7F15">
              <w:rPr>
                <w:rFonts w:eastAsia="Calibri"/>
                <w:sz w:val="18"/>
                <w:szCs w:val="18"/>
                <w:lang w:eastAsia="en-US"/>
              </w:rPr>
              <w:t>61.9</w:t>
            </w:r>
          </w:p>
        </w:tc>
        <w:tc>
          <w:tcPr>
            <w:tcW w:w="1559" w:type="dxa"/>
            <w:tcBorders>
              <w:top w:val="single" w:sz="4" w:space="0" w:color="auto"/>
              <w:left w:val="single" w:sz="4" w:space="0" w:color="auto"/>
              <w:bottom w:val="nil"/>
              <w:right w:val="single" w:sz="4" w:space="0" w:color="auto"/>
            </w:tcBorders>
            <w:shd w:val="clear" w:color="auto" w:fill="auto"/>
          </w:tcPr>
          <w:p w14:paraId="473F1A9C" w14:textId="77777777" w:rsidR="001C7F15" w:rsidRPr="001C7F15" w:rsidRDefault="001C7F15" w:rsidP="001C7F15">
            <w:pPr>
              <w:autoSpaceDE w:val="0"/>
              <w:autoSpaceDN w:val="0"/>
              <w:adjustRightInd w:val="0"/>
              <w:spacing w:before="120" w:after="40"/>
              <w:ind w:right="397"/>
              <w:jc w:val="right"/>
              <w:rPr>
                <w:rFonts w:eastAsia="Calibri"/>
                <w:sz w:val="18"/>
                <w:szCs w:val="18"/>
                <w:lang w:eastAsia="en-US"/>
              </w:rPr>
            </w:pPr>
            <w:r w:rsidRPr="001C7F15">
              <w:rPr>
                <w:rFonts w:eastAsia="Calibri"/>
                <w:sz w:val="18"/>
                <w:szCs w:val="18"/>
                <w:lang w:eastAsia="en-US"/>
              </w:rPr>
              <w:t>26.7</w:t>
            </w:r>
          </w:p>
        </w:tc>
      </w:tr>
      <w:tr w:rsidR="001C7F15" w:rsidRPr="001C7F15" w14:paraId="7D4114D9"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4799CD1F"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Banregio</w:t>
            </w:r>
          </w:p>
        </w:tc>
        <w:tc>
          <w:tcPr>
            <w:tcW w:w="1418" w:type="dxa"/>
            <w:tcBorders>
              <w:top w:val="nil"/>
              <w:left w:val="single" w:sz="4" w:space="0" w:color="auto"/>
              <w:bottom w:val="nil"/>
              <w:right w:val="single" w:sz="4" w:space="0" w:color="auto"/>
            </w:tcBorders>
            <w:shd w:val="clear" w:color="auto" w:fill="auto"/>
          </w:tcPr>
          <w:p w14:paraId="725EE9DD"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97.2</w:t>
            </w:r>
          </w:p>
        </w:tc>
        <w:tc>
          <w:tcPr>
            <w:tcW w:w="1551" w:type="dxa"/>
            <w:tcBorders>
              <w:top w:val="nil"/>
              <w:left w:val="single" w:sz="4" w:space="0" w:color="auto"/>
              <w:bottom w:val="nil"/>
              <w:right w:val="single" w:sz="4" w:space="0" w:color="auto"/>
            </w:tcBorders>
            <w:shd w:val="clear" w:color="auto" w:fill="auto"/>
          </w:tcPr>
          <w:p w14:paraId="3E3EA7B1"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1.5</w:t>
            </w:r>
          </w:p>
        </w:tc>
        <w:tc>
          <w:tcPr>
            <w:tcW w:w="1426" w:type="dxa"/>
            <w:tcBorders>
              <w:top w:val="nil"/>
              <w:left w:val="single" w:sz="4" w:space="0" w:color="auto"/>
              <w:bottom w:val="nil"/>
              <w:right w:val="single" w:sz="4" w:space="0" w:color="auto"/>
            </w:tcBorders>
            <w:shd w:val="clear" w:color="auto" w:fill="auto"/>
          </w:tcPr>
          <w:p w14:paraId="04B3F411"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1.3</w:t>
            </w:r>
          </w:p>
        </w:tc>
        <w:tc>
          <w:tcPr>
            <w:tcW w:w="1559" w:type="dxa"/>
            <w:tcBorders>
              <w:top w:val="nil"/>
              <w:left w:val="single" w:sz="4" w:space="0" w:color="auto"/>
              <w:bottom w:val="nil"/>
              <w:right w:val="single" w:sz="4" w:space="0" w:color="auto"/>
            </w:tcBorders>
            <w:shd w:val="clear" w:color="auto" w:fill="auto"/>
          </w:tcPr>
          <w:p w14:paraId="06A6DD96"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28.0</w:t>
            </w:r>
          </w:p>
        </w:tc>
        <w:tc>
          <w:tcPr>
            <w:tcW w:w="1559" w:type="dxa"/>
            <w:tcBorders>
              <w:top w:val="nil"/>
              <w:left w:val="single" w:sz="4" w:space="0" w:color="auto"/>
              <w:bottom w:val="nil"/>
              <w:right w:val="single" w:sz="4" w:space="0" w:color="auto"/>
            </w:tcBorders>
            <w:shd w:val="clear" w:color="auto" w:fill="auto"/>
          </w:tcPr>
          <w:p w14:paraId="4A8F79D1"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23.2</w:t>
            </w:r>
          </w:p>
        </w:tc>
      </w:tr>
      <w:tr w:rsidR="001C7F15" w:rsidRPr="001C7F15" w14:paraId="290E359E"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44C9C570"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Banco del Bajío</w:t>
            </w:r>
          </w:p>
        </w:tc>
        <w:tc>
          <w:tcPr>
            <w:tcW w:w="1418" w:type="dxa"/>
            <w:tcBorders>
              <w:top w:val="nil"/>
              <w:left w:val="single" w:sz="4" w:space="0" w:color="auto"/>
              <w:bottom w:val="nil"/>
              <w:right w:val="single" w:sz="4" w:space="0" w:color="auto"/>
            </w:tcBorders>
            <w:shd w:val="clear" w:color="auto" w:fill="auto"/>
          </w:tcPr>
          <w:p w14:paraId="0BA8363A"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96.7</w:t>
            </w:r>
          </w:p>
        </w:tc>
        <w:tc>
          <w:tcPr>
            <w:tcW w:w="1551" w:type="dxa"/>
            <w:tcBorders>
              <w:top w:val="nil"/>
              <w:left w:val="single" w:sz="4" w:space="0" w:color="auto"/>
              <w:bottom w:val="nil"/>
              <w:right w:val="single" w:sz="4" w:space="0" w:color="auto"/>
            </w:tcBorders>
            <w:shd w:val="clear" w:color="auto" w:fill="auto"/>
          </w:tcPr>
          <w:p w14:paraId="4F350F0F"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w:t>
            </w:r>
          </w:p>
        </w:tc>
        <w:tc>
          <w:tcPr>
            <w:tcW w:w="1426" w:type="dxa"/>
            <w:tcBorders>
              <w:top w:val="nil"/>
              <w:left w:val="single" w:sz="4" w:space="0" w:color="auto"/>
              <w:bottom w:val="nil"/>
              <w:right w:val="single" w:sz="4" w:space="0" w:color="auto"/>
            </w:tcBorders>
            <w:shd w:val="clear" w:color="auto" w:fill="auto"/>
          </w:tcPr>
          <w:p w14:paraId="418F90EF"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2.3</w:t>
            </w:r>
          </w:p>
        </w:tc>
        <w:tc>
          <w:tcPr>
            <w:tcW w:w="1559" w:type="dxa"/>
            <w:tcBorders>
              <w:top w:val="nil"/>
              <w:left w:val="single" w:sz="4" w:space="0" w:color="auto"/>
              <w:bottom w:val="nil"/>
              <w:right w:val="single" w:sz="4" w:space="0" w:color="auto"/>
            </w:tcBorders>
            <w:shd w:val="clear" w:color="auto" w:fill="auto"/>
          </w:tcPr>
          <w:p w14:paraId="3BB7FC89"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24.7</w:t>
            </w:r>
          </w:p>
        </w:tc>
        <w:tc>
          <w:tcPr>
            <w:tcW w:w="1559" w:type="dxa"/>
            <w:tcBorders>
              <w:top w:val="nil"/>
              <w:left w:val="single" w:sz="4" w:space="0" w:color="auto"/>
              <w:bottom w:val="nil"/>
              <w:right w:val="single" w:sz="4" w:space="0" w:color="auto"/>
            </w:tcBorders>
            <w:shd w:val="clear" w:color="auto" w:fill="auto"/>
          </w:tcPr>
          <w:p w14:paraId="1C5FFA3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12.3</w:t>
            </w:r>
          </w:p>
        </w:tc>
      </w:tr>
      <w:tr w:rsidR="001C7F15" w:rsidRPr="001C7F15" w14:paraId="330DA192"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212BC5FE"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Crédito Familiar</w:t>
            </w:r>
          </w:p>
        </w:tc>
        <w:tc>
          <w:tcPr>
            <w:tcW w:w="1418" w:type="dxa"/>
            <w:tcBorders>
              <w:top w:val="nil"/>
              <w:left w:val="single" w:sz="4" w:space="0" w:color="auto"/>
              <w:bottom w:val="nil"/>
              <w:right w:val="single" w:sz="4" w:space="0" w:color="auto"/>
            </w:tcBorders>
            <w:shd w:val="clear" w:color="auto" w:fill="auto"/>
          </w:tcPr>
          <w:p w14:paraId="275761B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100.0</w:t>
            </w:r>
          </w:p>
        </w:tc>
        <w:tc>
          <w:tcPr>
            <w:tcW w:w="1551" w:type="dxa"/>
            <w:tcBorders>
              <w:top w:val="nil"/>
              <w:left w:val="single" w:sz="4" w:space="0" w:color="auto"/>
              <w:bottom w:val="nil"/>
              <w:right w:val="single" w:sz="4" w:space="0" w:color="auto"/>
            </w:tcBorders>
            <w:shd w:val="clear" w:color="auto" w:fill="auto"/>
          </w:tcPr>
          <w:p w14:paraId="5E4C650C"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426" w:type="dxa"/>
            <w:tcBorders>
              <w:top w:val="nil"/>
              <w:left w:val="single" w:sz="4" w:space="0" w:color="auto"/>
              <w:bottom w:val="nil"/>
              <w:right w:val="single" w:sz="4" w:space="0" w:color="auto"/>
            </w:tcBorders>
            <w:shd w:val="clear" w:color="auto" w:fill="auto"/>
          </w:tcPr>
          <w:p w14:paraId="33CD66B6"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559" w:type="dxa"/>
            <w:tcBorders>
              <w:top w:val="nil"/>
              <w:left w:val="single" w:sz="4" w:space="0" w:color="auto"/>
              <w:bottom w:val="nil"/>
              <w:right w:val="single" w:sz="4" w:space="0" w:color="auto"/>
            </w:tcBorders>
            <w:shd w:val="clear" w:color="auto" w:fill="auto"/>
          </w:tcPr>
          <w:p w14:paraId="69EA166D"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53.8</w:t>
            </w:r>
          </w:p>
        </w:tc>
        <w:tc>
          <w:tcPr>
            <w:tcW w:w="1559" w:type="dxa"/>
            <w:tcBorders>
              <w:top w:val="nil"/>
              <w:left w:val="single" w:sz="4" w:space="0" w:color="auto"/>
              <w:bottom w:val="nil"/>
              <w:right w:val="single" w:sz="4" w:space="0" w:color="auto"/>
            </w:tcBorders>
            <w:shd w:val="clear" w:color="auto" w:fill="auto"/>
          </w:tcPr>
          <w:p w14:paraId="546B4A48"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r>
      <w:tr w:rsidR="001C7F15" w:rsidRPr="001C7F15" w14:paraId="73742FD7"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2CFC29B8"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Banca Afirme</w:t>
            </w:r>
          </w:p>
        </w:tc>
        <w:tc>
          <w:tcPr>
            <w:tcW w:w="1418" w:type="dxa"/>
            <w:tcBorders>
              <w:top w:val="nil"/>
              <w:left w:val="single" w:sz="4" w:space="0" w:color="auto"/>
              <w:bottom w:val="nil"/>
              <w:right w:val="single" w:sz="4" w:space="0" w:color="auto"/>
            </w:tcBorders>
            <w:shd w:val="clear" w:color="auto" w:fill="auto"/>
          </w:tcPr>
          <w:p w14:paraId="60D93CDA"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96.4</w:t>
            </w:r>
          </w:p>
        </w:tc>
        <w:tc>
          <w:tcPr>
            <w:tcW w:w="1551" w:type="dxa"/>
            <w:tcBorders>
              <w:top w:val="nil"/>
              <w:left w:val="single" w:sz="4" w:space="0" w:color="auto"/>
              <w:bottom w:val="nil"/>
              <w:right w:val="single" w:sz="4" w:space="0" w:color="auto"/>
            </w:tcBorders>
            <w:shd w:val="clear" w:color="auto" w:fill="auto"/>
          </w:tcPr>
          <w:p w14:paraId="09005C34"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426" w:type="dxa"/>
            <w:tcBorders>
              <w:top w:val="nil"/>
              <w:left w:val="single" w:sz="4" w:space="0" w:color="auto"/>
              <w:bottom w:val="nil"/>
              <w:right w:val="single" w:sz="4" w:space="0" w:color="auto"/>
            </w:tcBorders>
            <w:shd w:val="clear" w:color="auto" w:fill="auto"/>
          </w:tcPr>
          <w:p w14:paraId="6DDDE4AB"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3.6</w:t>
            </w:r>
          </w:p>
        </w:tc>
        <w:tc>
          <w:tcPr>
            <w:tcW w:w="1559" w:type="dxa"/>
            <w:tcBorders>
              <w:top w:val="nil"/>
              <w:left w:val="single" w:sz="4" w:space="0" w:color="auto"/>
              <w:bottom w:val="nil"/>
              <w:right w:val="single" w:sz="4" w:space="0" w:color="auto"/>
            </w:tcBorders>
            <w:shd w:val="clear" w:color="auto" w:fill="auto"/>
          </w:tcPr>
          <w:p w14:paraId="749A73A5"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36.6</w:t>
            </w:r>
          </w:p>
        </w:tc>
        <w:tc>
          <w:tcPr>
            <w:tcW w:w="1559" w:type="dxa"/>
            <w:tcBorders>
              <w:top w:val="nil"/>
              <w:left w:val="single" w:sz="4" w:space="0" w:color="auto"/>
              <w:bottom w:val="nil"/>
              <w:right w:val="single" w:sz="4" w:space="0" w:color="auto"/>
            </w:tcBorders>
            <w:shd w:val="clear" w:color="auto" w:fill="auto"/>
          </w:tcPr>
          <w:p w14:paraId="64538723"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r>
      <w:tr w:rsidR="001C7F15" w:rsidRPr="001C7F15" w14:paraId="55473741" w14:textId="77777777" w:rsidTr="00E823BC">
        <w:trPr>
          <w:jc w:val="center"/>
        </w:trPr>
        <w:tc>
          <w:tcPr>
            <w:tcW w:w="1809" w:type="dxa"/>
            <w:tcBorders>
              <w:top w:val="nil"/>
              <w:left w:val="single" w:sz="4" w:space="0" w:color="auto"/>
              <w:bottom w:val="nil"/>
              <w:right w:val="single" w:sz="4" w:space="0" w:color="auto"/>
            </w:tcBorders>
            <w:shd w:val="clear" w:color="auto" w:fill="auto"/>
          </w:tcPr>
          <w:p w14:paraId="4B5C3B0C"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ConsuBanco</w:t>
            </w:r>
          </w:p>
        </w:tc>
        <w:tc>
          <w:tcPr>
            <w:tcW w:w="1418" w:type="dxa"/>
            <w:tcBorders>
              <w:top w:val="nil"/>
              <w:left w:val="single" w:sz="4" w:space="0" w:color="auto"/>
              <w:bottom w:val="nil"/>
              <w:right w:val="single" w:sz="4" w:space="0" w:color="auto"/>
            </w:tcBorders>
            <w:shd w:val="clear" w:color="auto" w:fill="auto"/>
          </w:tcPr>
          <w:p w14:paraId="2C522396"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100.0</w:t>
            </w:r>
          </w:p>
        </w:tc>
        <w:tc>
          <w:tcPr>
            <w:tcW w:w="1551" w:type="dxa"/>
            <w:tcBorders>
              <w:top w:val="nil"/>
              <w:left w:val="single" w:sz="4" w:space="0" w:color="auto"/>
              <w:bottom w:val="nil"/>
              <w:right w:val="single" w:sz="4" w:space="0" w:color="auto"/>
            </w:tcBorders>
            <w:shd w:val="clear" w:color="auto" w:fill="auto"/>
          </w:tcPr>
          <w:p w14:paraId="662BFE5E"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426" w:type="dxa"/>
            <w:tcBorders>
              <w:top w:val="nil"/>
              <w:left w:val="single" w:sz="4" w:space="0" w:color="auto"/>
              <w:bottom w:val="nil"/>
              <w:right w:val="single" w:sz="4" w:space="0" w:color="auto"/>
            </w:tcBorders>
            <w:shd w:val="clear" w:color="auto" w:fill="auto"/>
          </w:tcPr>
          <w:p w14:paraId="40CA43ED"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c>
          <w:tcPr>
            <w:tcW w:w="1559" w:type="dxa"/>
            <w:tcBorders>
              <w:top w:val="nil"/>
              <w:left w:val="single" w:sz="4" w:space="0" w:color="auto"/>
              <w:bottom w:val="nil"/>
              <w:right w:val="single" w:sz="4" w:space="0" w:color="auto"/>
            </w:tcBorders>
            <w:shd w:val="clear" w:color="auto" w:fill="auto"/>
          </w:tcPr>
          <w:p w14:paraId="2A9CA487"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53.1</w:t>
            </w:r>
          </w:p>
        </w:tc>
        <w:tc>
          <w:tcPr>
            <w:tcW w:w="1559" w:type="dxa"/>
            <w:tcBorders>
              <w:top w:val="nil"/>
              <w:left w:val="single" w:sz="4" w:space="0" w:color="auto"/>
              <w:bottom w:val="nil"/>
              <w:right w:val="single" w:sz="4" w:space="0" w:color="auto"/>
            </w:tcBorders>
            <w:shd w:val="clear" w:color="auto" w:fill="auto"/>
          </w:tcPr>
          <w:p w14:paraId="5660A92E" w14:textId="77777777" w:rsidR="001C7F15" w:rsidRPr="001C7F15" w:rsidRDefault="001C7F15" w:rsidP="001C7F15">
            <w:pPr>
              <w:autoSpaceDE w:val="0"/>
              <w:autoSpaceDN w:val="0"/>
              <w:adjustRightInd w:val="0"/>
              <w:spacing w:before="40" w:after="40"/>
              <w:ind w:right="397"/>
              <w:jc w:val="right"/>
              <w:rPr>
                <w:rFonts w:eastAsia="Calibri"/>
                <w:sz w:val="18"/>
                <w:szCs w:val="18"/>
                <w:lang w:eastAsia="en-US"/>
              </w:rPr>
            </w:pPr>
            <w:r w:rsidRPr="001C7F15">
              <w:rPr>
                <w:rFonts w:eastAsia="Calibri"/>
                <w:sz w:val="18"/>
                <w:szCs w:val="18"/>
                <w:lang w:eastAsia="en-US"/>
              </w:rPr>
              <w:t>0.0</w:t>
            </w:r>
          </w:p>
        </w:tc>
      </w:tr>
      <w:tr w:rsidR="001C7F15" w:rsidRPr="001C7F15" w14:paraId="455941C0" w14:textId="77777777" w:rsidTr="00E823BC">
        <w:trPr>
          <w:jc w:val="center"/>
        </w:trPr>
        <w:tc>
          <w:tcPr>
            <w:tcW w:w="1809" w:type="dxa"/>
            <w:tcBorders>
              <w:top w:val="nil"/>
              <w:left w:val="single" w:sz="4" w:space="0" w:color="auto"/>
              <w:bottom w:val="single" w:sz="4" w:space="0" w:color="auto"/>
              <w:right w:val="single" w:sz="4" w:space="0" w:color="auto"/>
            </w:tcBorders>
            <w:shd w:val="clear" w:color="auto" w:fill="auto"/>
          </w:tcPr>
          <w:p w14:paraId="281FA7E2" w14:textId="77777777" w:rsidR="001C7F15" w:rsidRPr="001C7F15" w:rsidRDefault="001C7F15" w:rsidP="001C7F15">
            <w:pPr>
              <w:autoSpaceDE w:val="0"/>
              <w:autoSpaceDN w:val="0"/>
              <w:adjustRightInd w:val="0"/>
              <w:spacing w:before="40" w:after="120"/>
              <w:rPr>
                <w:rFonts w:eastAsia="Calibri"/>
                <w:bCs/>
                <w:sz w:val="18"/>
                <w:szCs w:val="18"/>
                <w:lang w:eastAsia="en-US"/>
              </w:rPr>
            </w:pPr>
            <w:r w:rsidRPr="001C7F15">
              <w:rPr>
                <w:rFonts w:eastAsia="Calibri"/>
                <w:bCs/>
                <w:sz w:val="18"/>
                <w:szCs w:val="18"/>
                <w:lang w:eastAsia="en-US"/>
              </w:rPr>
              <w:t>CrediScotia</w:t>
            </w:r>
          </w:p>
        </w:tc>
        <w:tc>
          <w:tcPr>
            <w:tcW w:w="1418" w:type="dxa"/>
            <w:tcBorders>
              <w:top w:val="nil"/>
              <w:left w:val="single" w:sz="4" w:space="0" w:color="auto"/>
              <w:bottom w:val="single" w:sz="4" w:space="0" w:color="auto"/>
              <w:right w:val="single" w:sz="4" w:space="0" w:color="auto"/>
            </w:tcBorders>
            <w:shd w:val="clear" w:color="auto" w:fill="auto"/>
          </w:tcPr>
          <w:p w14:paraId="617858D3"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95.6</w:t>
            </w:r>
          </w:p>
        </w:tc>
        <w:tc>
          <w:tcPr>
            <w:tcW w:w="1551" w:type="dxa"/>
            <w:tcBorders>
              <w:top w:val="nil"/>
              <w:left w:val="single" w:sz="4" w:space="0" w:color="auto"/>
              <w:bottom w:val="single" w:sz="4" w:space="0" w:color="auto"/>
              <w:right w:val="single" w:sz="4" w:space="0" w:color="auto"/>
            </w:tcBorders>
            <w:shd w:val="clear" w:color="auto" w:fill="auto"/>
          </w:tcPr>
          <w:p w14:paraId="60F47AAE"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0.1</w:t>
            </w:r>
          </w:p>
        </w:tc>
        <w:tc>
          <w:tcPr>
            <w:tcW w:w="1426" w:type="dxa"/>
            <w:tcBorders>
              <w:top w:val="nil"/>
              <w:left w:val="single" w:sz="4" w:space="0" w:color="auto"/>
              <w:bottom w:val="single" w:sz="4" w:space="0" w:color="auto"/>
              <w:right w:val="single" w:sz="4" w:space="0" w:color="auto"/>
            </w:tcBorders>
            <w:shd w:val="clear" w:color="auto" w:fill="auto"/>
          </w:tcPr>
          <w:p w14:paraId="1E1351DC"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4.2</w:t>
            </w:r>
          </w:p>
        </w:tc>
        <w:tc>
          <w:tcPr>
            <w:tcW w:w="1559" w:type="dxa"/>
            <w:tcBorders>
              <w:top w:val="nil"/>
              <w:left w:val="single" w:sz="4" w:space="0" w:color="auto"/>
              <w:bottom w:val="single" w:sz="4" w:space="0" w:color="auto"/>
              <w:right w:val="single" w:sz="4" w:space="0" w:color="auto"/>
            </w:tcBorders>
            <w:shd w:val="clear" w:color="auto" w:fill="auto"/>
          </w:tcPr>
          <w:p w14:paraId="663826EF"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40.0</w:t>
            </w:r>
          </w:p>
        </w:tc>
        <w:tc>
          <w:tcPr>
            <w:tcW w:w="1559" w:type="dxa"/>
            <w:tcBorders>
              <w:top w:val="nil"/>
              <w:left w:val="single" w:sz="4" w:space="0" w:color="auto"/>
              <w:bottom w:val="single" w:sz="4" w:space="0" w:color="auto"/>
              <w:right w:val="single" w:sz="4" w:space="0" w:color="auto"/>
            </w:tcBorders>
            <w:shd w:val="clear" w:color="auto" w:fill="auto"/>
          </w:tcPr>
          <w:p w14:paraId="133A79A4" w14:textId="77777777" w:rsidR="001C7F15" w:rsidRPr="001C7F15" w:rsidRDefault="001C7F15" w:rsidP="001C7F15">
            <w:pPr>
              <w:autoSpaceDE w:val="0"/>
              <w:autoSpaceDN w:val="0"/>
              <w:adjustRightInd w:val="0"/>
              <w:spacing w:before="40" w:after="120"/>
              <w:ind w:right="397"/>
              <w:jc w:val="right"/>
              <w:rPr>
                <w:rFonts w:eastAsia="Calibri"/>
                <w:sz w:val="18"/>
                <w:szCs w:val="18"/>
                <w:lang w:eastAsia="en-US"/>
              </w:rPr>
            </w:pPr>
            <w:r w:rsidRPr="001C7F15">
              <w:rPr>
                <w:rFonts w:eastAsia="Calibri"/>
                <w:sz w:val="18"/>
                <w:szCs w:val="18"/>
                <w:lang w:eastAsia="en-US"/>
              </w:rPr>
              <w:t>18.4</w:t>
            </w:r>
          </w:p>
        </w:tc>
      </w:tr>
      <w:tr w:rsidR="001C7F15" w:rsidRPr="001C7F15" w14:paraId="75D7E82B" w14:textId="77777777" w:rsidTr="00E823BC">
        <w:trPr>
          <w:jc w:val="center"/>
        </w:trPr>
        <w:tc>
          <w:tcPr>
            <w:tcW w:w="9322" w:type="dxa"/>
            <w:gridSpan w:val="6"/>
            <w:tcBorders>
              <w:top w:val="single" w:sz="4" w:space="0" w:color="auto"/>
              <w:bottom w:val="nil"/>
            </w:tcBorders>
            <w:shd w:val="clear" w:color="auto" w:fill="auto"/>
            <w:vAlign w:val="center"/>
          </w:tcPr>
          <w:p w14:paraId="0C3C2CEF" w14:textId="77777777" w:rsidR="001C7F15" w:rsidRPr="001C7F15" w:rsidRDefault="001C7F15" w:rsidP="00667577">
            <w:pPr>
              <w:numPr>
                <w:ilvl w:val="0"/>
                <w:numId w:val="190"/>
              </w:numPr>
              <w:spacing w:before="120"/>
              <w:contextualSpacing/>
              <w:rPr>
                <w:rFonts w:eastAsia="Calibri"/>
                <w:bCs/>
                <w:sz w:val="20"/>
                <w:szCs w:val="20"/>
                <w:lang w:eastAsia="en-US"/>
              </w:rPr>
            </w:pPr>
            <w:r w:rsidRPr="001C7F15">
              <w:rPr>
                <w:rFonts w:eastAsia="Calibri"/>
                <w:bCs/>
                <w:sz w:val="20"/>
                <w:szCs w:val="20"/>
                <w:lang w:eastAsia="en-US"/>
              </w:rPr>
              <w:t>Las promociones a tasa preferencial son aquéllas otorgadas a una tasa menor a la ordinaria, pero mayor que cero. La tasa asociada a las promociones a meses sin intereses es cero. Los bancos están ordenados respecto al número de tarjetas de los clientes totaleros y no totaleros en agosto de 2014.</w:t>
            </w:r>
          </w:p>
          <w:p w14:paraId="7B94798E"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n.a.: No aplica. La suma de las partes puede no coincidir con el total debido al redondeo.</w:t>
            </w:r>
          </w:p>
          <w:p w14:paraId="0A08274A"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76F2B2DA" w14:textId="77777777" w:rsidR="001C7F15" w:rsidRPr="001C7F15" w:rsidRDefault="001C7F15" w:rsidP="001C7F15">
      <w:pPr>
        <w:spacing w:after="360" w:line="360" w:lineRule="auto"/>
        <w:ind w:right="-159"/>
        <w:jc w:val="both"/>
        <w:rPr>
          <w:rFonts w:eastAsia="Times New Roman"/>
          <w:bCs/>
          <w:sz w:val="26"/>
          <w:szCs w:val="26"/>
          <w:lang w:val="es-ES"/>
        </w:rPr>
      </w:pPr>
    </w:p>
    <w:p w14:paraId="57C45180" w14:textId="77777777" w:rsidR="001C7F15" w:rsidRPr="001C7F15" w:rsidRDefault="001C7F15" w:rsidP="001C7F15">
      <w:pPr>
        <w:spacing w:after="360" w:line="360" w:lineRule="auto"/>
        <w:ind w:right="-159"/>
        <w:jc w:val="both"/>
        <w:rPr>
          <w:rFonts w:eastAsia="Times New Roman"/>
          <w:bCs/>
          <w:sz w:val="26"/>
          <w:szCs w:val="26"/>
          <w:lang w:val="es-ES"/>
        </w:rPr>
      </w:pPr>
    </w:p>
    <w:p w14:paraId="21778287" w14:textId="77777777" w:rsidR="001C7F15" w:rsidRPr="001C7F15" w:rsidRDefault="001C7F15" w:rsidP="001C7F15">
      <w:pPr>
        <w:spacing w:after="360" w:line="360" w:lineRule="auto"/>
        <w:ind w:right="-159"/>
        <w:jc w:val="both"/>
        <w:rPr>
          <w:rFonts w:eastAsia="Times New Roman"/>
          <w:bCs/>
          <w:sz w:val="26"/>
          <w:szCs w:val="26"/>
          <w:lang w:val="es-ES"/>
        </w:rPr>
      </w:pPr>
    </w:p>
    <w:p w14:paraId="00D74585" w14:textId="77777777" w:rsidR="001C7F15" w:rsidRPr="001C7F15" w:rsidRDefault="001C7F15" w:rsidP="001C7F15">
      <w:pPr>
        <w:spacing w:after="360" w:line="360" w:lineRule="auto"/>
        <w:ind w:right="-159"/>
        <w:jc w:val="both"/>
        <w:rPr>
          <w:rFonts w:eastAsia="Times New Roman"/>
          <w:bCs/>
          <w:sz w:val="26"/>
          <w:szCs w:val="26"/>
          <w:lang w:val="es-ES"/>
        </w:rPr>
      </w:pPr>
    </w:p>
    <w:tbl>
      <w:tblPr>
        <w:tblW w:w="9180" w:type="dxa"/>
        <w:tblLayout w:type="fixed"/>
        <w:tblLook w:val="04A0" w:firstRow="1" w:lastRow="0" w:firstColumn="1" w:lastColumn="0" w:noHBand="0" w:noVBand="1"/>
      </w:tblPr>
      <w:tblGrid>
        <w:gridCol w:w="1667"/>
        <w:gridCol w:w="939"/>
        <w:gridCol w:w="939"/>
        <w:gridCol w:w="939"/>
        <w:gridCol w:w="939"/>
        <w:gridCol w:w="939"/>
        <w:gridCol w:w="939"/>
        <w:gridCol w:w="939"/>
        <w:gridCol w:w="940"/>
      </w:tblGrid>
      <w:tr w:rsidR="001C7F15" w:rsidRPr="001C7F15" w14:paraId="3347464C" w14:textId="77777777" w:rsidTr="00E823BC">
        <w:tc>
          <w:tcPr>
            <w:tcW w:w="9180" w:type="dxa"/>
            <w:gridSpan w:val="9"/>
            <w:tcBorders>
              <w:top w:val="nil"/>
              <w:bottom w:val="single" w:sz="4" w:space="0" w:color="auto"/>
            </w:tcBorders>
            <w:shd w:val="clear" w:color="auto" w:fill="auto"/>
          </w:tcPr>
          <w:p w14:paraId="5D92B5F0"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PORCENTAJES DEL SALDO DE CRÉDITO OTORGADO Y DEL NÚMERO DE TARJETAS, PARA CLIENTES TOTALEROS Y NO TOTALEROS</w:t>
            </w:r>
          </w:p>
          <w:p w14:paraId="605AA1FC"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-Cifras en porcentajes-</w:t>
            </w:r>
          </w:p>
          <w:p w14:paraId="10053823" w14:textId="77777777" w:rsidR="001C7F15" w:rsidRPr="001C7F15" w:rsidRDefault="001C7F15" w:rsidP="001C7F15">
            <w:pPr>
              <w:jc w:val="center"/>
              <w:rPr>
                <w:rFonts w:eastAsia="Calibri"/>
                <w:b/>
                <w:bCs/>
                <w:sz w:val="22"/>
                <w:szCs w:val="22"/>
                <w:lang w:eastAsia="en-US"/>
              </w:rPr>
            </w:pPr>
          </w:p>
        </w:tc>
      </w:tr>
      <w:tr w:rsidR="001C7F15" w:rsidRPr="001C7F15" w14:paraId="4A55D883" w14:textId="77777777" w:rsidTr="00E823BC">
        <w:tc>
          <w:tcPr>
            <w:tcW w:w="1667" w:type="dxa"/>
            <w:vMerge w:val="restart"/>
            <w:tcBorders>
              <w:top w:val="single" w:sz="4" w:space="0" w:color="auto"/>
              <w:left w:val="single" w:sz="4" w:space="0" w:color="auto"/>
              <w:right w:val="single" w:sz="4" w:space="0" w:color="auto"/>
            </w:tcBorders>
            <w:shd w:val="clear" w:color="auto" w:fill="auto"/>
          </w:tcPr>
          <w:p w14:paraId="50609232" w14:textId="77777777" w:rsidR="001C7F15" w:rsidRPr="001C7F15" w:rsidRDefault="001C7F15" w:rsidP="001C7F15">
            <w:pPr>
              <w:rPr>
                <w:rFonts w:eastAsia="Calibri"/>
                <w:b/>
                <w:bCs/>
                <w:sz w:val="16"/>
                <w:szCs w:val="16"/>
                <w:lang w:eastAsia="en-US"/>
              </w:rPr>
            </w:pPr>
          </w:p>
        </w:tc>
        <w:tc>
          <w:tcPr>
            <w:tcW w:w="3756" w:type="dxa"/>
            <w:gridSpan w:val="4"/>
            <w:tcBorders>
              <w:top w:val="single" w:sz="4" w:space="0" w:color="auto"/>
              <w:left w:val="single" w:sz="4" w:space="0" w:color="auto"/>
              <w:bottom w:val="single" w:sz="4" w:space="0" w:color="auto"/>
              <w:right w:val="single" w:sz="4" w:space="0" w:color="auto"/>
            </w:tcBorders>
            <w:shd w:val="clear" w:color="auto" w:fill="auto"/>
          </w:tcPr>
          <w:p w14:paraId="23D5780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Estructura del saldo de crédito otorgado</w:t>
            </w:r>
          </w:p>
        </w:tc>
        <w:tc>
          <w:tcPr>
            <w:tcW w:w="3757" w:type="dxa"/>
            <w:gridSpan w:val="4"/>
            <w:tcBorders>
              <w:top w:val="single" w:sz="4" w:space="0" w:color="auto"/>
              <w:left w:val="single" w:sz="4" w:space="0" w:color="auto"/>
              <w:bottom w:val="single" w:sz="4" w:space="0" w:color="auto"/>
              <w:right w:val="single" w:sz="4" w:space="0" w:color="auto"/>
            </w:tcBorders>
            <w:shd w:val="clear" w:color="auto" w:fill="auto"/>
          </w:tcPr>
          <w:p w14:paraId="4F6AAC03"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Estructura del número de tarjetas</w:t>
            </w:r>
          </w:p>
        </w:tc>
      </w:tr>
      <w:tr w:rsidR="001C7F15" w:rsidRPr="001C7F15" w14:paraId="2DF7279E" w14:textId="77777777" w:rsidTr="00E823BC">
        <w:tc>
          <w:tcPr>
            <w:tcW w:w="1667" w:type="dxa"/>
            <w:vMerge/>
            <w:tcBorders>
              <w:left w:val="single" w:sz="4" w:space="0" w:color="auto"/>
              <w:right w:val="single" w:sz="4" w:space="0" w:color="auto"/>
            </w:tcBorders>
            <w:shd w:val="clear" w:color="auto" w:fill="auto"/>
          </w:tcPr>
          <w:p w14:paraId="5A60093B" w14:textId="77777777" w:rsidR="001C7F15" w:rsidRPr="001C7F15" w:rsidRDefault="001C7F15" w:rsidP="001C7F15">
            <w:pPr>
              <w:rPr>
                <w:rFonts w:eastAsia="Calibri"/>
                <w:b/>
                <w:bCs/>
                <w:sz w:val="16"/>
                <w:szCs w:val="16"/>
                <w:lang w:eastAsia="en-US"/>
              </w:rPr>
            </w:pP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tcPr>
          <w:p w14:paraId="314F0F00"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Participación de los clientes totaleros</w:t>
            </w: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tcPr>
          <w:p w14:paraId="40FF426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Participación de los clientes no totaleros</w:t>
            </w: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tcPr>
          <w:p w14:paraId="1BA417C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Participación de los clientes totaleros</w:t>
            </w:r>
          </w:p>
        </w:tc>
        <w:tc>
          <w:tcPr>
            <w:tcW w:w="1879" w:type="dxa"/>
            <w:gridSpan w:val="2"/>
            <w:tcBorders>
              <w:top w:val="single" w:sz="4" w:space="0" w:color="auto"/>
              <w:left w:val="single" w:sz="4" w:space="0" w:color="auto"/>
              <w:bottom w:val="single" w:sz="4" w:space="0" w:color="auto"/>
              <w:right w:val="single" w:sz="4" w:space="0" w:color="auto"/>
            </w:tcBorders>
            <w:shd w:val="clear" w:color="auto" w:fill="auto"/>
          </w:tcPr>
          <w:p w14:paraId="01301DE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Participación de los clientes no totaleros</w:t>
            </w:r>
          </w:p>
        </w:tc>
      </w:tr>
      <w:tr w:rsidR="001C7F15" w:rsidRPr="001C7F15" w14:paraId="60582008" w14:textId="77777777" w:rsidTr="00E823BC">
        <w:trPr>
          <w:trHeight w:val="120"/>
        </w:trPr>
        <w:tc>
          <w:tcPr>
            <w:tcW w:w="1667" w:type="dxa"/>
            <w:vMerge/>
            <w:tcBorders>
              <w:left w:val="single" w:sz="4" w:space="0" w:color="auto"/>
              <w:right w:val="single" w:sz="4" w:space="0" w:color="auto"/>
            </w:tcBorders>
            <w:shd w:val="clear" w:color="auto" w:fill="auto"/>
          </w:tcPr>
          <w:p w14:paraId="7DB79AEF" w14:textId="77777777" w:rsidR="001C7F15" w:rsidRPr="001C7F15" w:rsidRDefault="001C7F15" w:rsidP="001C7F15">
            <w:pPr>
              <w:rPr>
                <w:rFonts w:eastAsia="Calibri"/>
                <w:b/>
                <w:bCs/>
                <w:sz w:val="16"/>
                <w:szCs w:val="16"/>
                <w:lang w:eastAsia="en-US"/>
              </w:rPr>
            </w:pPr>
          </w:p>
        </w:tc>
        <w:tc>
          <w:tcPr>
            <w:tcW w:w="7513" w:type="dxa"/>
            <w:gridSpan w:val="8"/>
            <w:tcBorders>
              <w:top w:val="single" w:sz="4" w:space="0" w:color="auto"/>
              <w:left w:val="single" w:sz="4" w:space="0" w:color="auto"/>
              <w:bottom w:val="single" w:sz="4" w:space="0" w:color="auto"/>
              <w:right w:val="single" w:sz="4" w:space="0" w:color="auto"/>
            </w:tcBorders>
            <w:shd w:val="clear" w:color="auto" w:fill="auto"/>
          </w:tcPr>
          <w:p w14:paraId="07BFB38F"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Agosto</w:t>
            </w:r>
          </w:p>
        </w:tc>
      </w:tr>
      <w:tr w:rsidR="001C7F15" w:rsidRPr="001C7F15" w14:paraId="546C6601" w14:textId="77777777" w:rsidTr="00E823BC">
        <w:trPr>
          <w:trHeight w:val="120"/>
        </w:trPr>
        <w:tc>
          <w:tcPr>
            <w:tcW w:w="1667" w:type="dxa"/>
            <w:vMerge/>
            <w:tcBorders>
              <w:left w:val="single" w:sz="4" w:space="0" w:color="auto"/>
              <w:bottom w:val="single" w:sz="4" w:space="0" w:color="auto"/>
              <w:right w:val="single" w:sz="4" w:space="0" w:color="auto"/>
            </w:tcBorders>
            <w:shd w:val="clear" w:color="auto" w:fill="auto"/>
          </w:tcPr>
          <w:p w14:paraId="2FD1BDC1" w14:textId="77777777" w:rsidR="001C7F15" w:rsidRPr="001C7F15" w:rsidRDefault="001C7F15" w:rsidP="001C7F15">
            <w:pPr>
              <w:rPr>
                <w:rFonts w:eastAsia="Calibri"/>
                <w:b/>
                <w:bCs/>
                <w:sz w:val="16"/>
                <w:szCs w:val="16"/>
                <w:lang w:eastAsia="en-US"/>
              </w:rPr>
            </w:pP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1C696FB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13EF1706"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5652F15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4702286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38D47997"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4A4979F6"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939" w:type="dxa"/>
            <w:tcBorders>
              <w:top w:val="single" w:sz="4" w:space="0" w:color="auto"/>
              <w:left w:val="single" w:sz="4" w:space="0" w:color="auto"/>
              <w:bottom w:val="single" w:sz="4" w:space="0" w:color="auto"/>
              <w:right w:val="single" w:sz="4" w:space="0" w:color="auto"/>
            </w:tcBorders>
            <w:shd w:val="clear" w:color="auto" w:fill="auto"/>
          </w:tcPr>
          <w:p w14:paraId="7FD89F9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347054A7"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r>
      <w:tr w:rsidR="001C7F15" w:rsidRPr="001C7F15" w14:paraId="0BB2DE48" w14:textId="77777777" w:rsidTr="00E823BC">
        <w:tc>
          <w:tcPr>
            <w:tcW w:w="1667" w:type="dxa"/>
            <w:tcBorders>
              <w:top w:val="single" w:sz="4" w:space="0" w:color="auto"/>
              <w:left w:val="single" w:sz="4" w:space="0" w:color="auto"/>
              <w:bottom w:val="nil"/>
              <w:right w:val="single" w:sz="4" w:space="0" w:color="auto"/>
            </w:tcBorders>
            <w:shd w:val="clear" w:color="auto" w:fill="auto"/>
          </w:tcPr>
          <w:p w14:paraId="5D921E4F" w14:textId="77777777" w:rsidR="001C7F15" w:rsidRPr="001C7F15" w:rsidRDefault="001C7F15" w:rsidP="001C7F15">
            <w:pPr>
              <w:autoSpaceDE w:val="0"/>
              <w:autoSpaceDN w:val="0"/>
              <w:adjustRightInd w:val="0"/>
              <w:spacing w:before="120" w:after="40"/>
              <w:jc w:val="both"/>
              <w:rPr>
                <w:rFonts w:eastAsia="Calibri"/>
                <w:b/>
                <w:bCs/>
                <w:sz w:val="16"/>
                <w:szCs w:val="16"/>
                <w:lang w:eastAsia="en-US"/>
              </w:rPr>
            </w:pPr>
            <w:r w:rsidRPr="001C7F15">
              <w:rPr>
                <w:rFonts w:eastAsia="Calibri"/>
                <w:b/>
                <w:bCs/>
                <w:sz w:val="16"/>
                <w:szCs w:val="16"/>
                <w:lang w:eastAsia="en-US"/>
              </w:rPr>
              <w:t>Sistema*</w:t>
            </w:r>
          </w:p>
        </w:tc>
        <w:tc>
          <w:tcPr>
            <w:tcW w:w="939" w:type="dxa"/>
            <w:tcBorders>
              <w:top w:val="single" w:sz="4" w:space="0" w:color="auto"/>
              <w:left w:val="single" w:sz="4" w:space="0" w:color="auto"/>
              <w:bottom w:val="nil"/>
              <w:right w:val="single" w:sz="4" w:space="0" w:color="auto"/>
            </w:tcBorders>
            <w:shd w:val="clear" w:color="auto" w:fill="auto"/>
          </w:tcPr>
          <w:p w14:paraId="49A1B6C2"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20.1</w:t>
            </w:r>
          </w:p>
        </w:tc>
        <w:tc>
          <w:tcPr>
            <w:tcW w:w="939" w:type="dxa"/>
            <w:tcBorders>
              <w:top w:val="single" w:sz="4" w:space="0" w:color="auto"/>
              <w:left w:val="single" w:sz="4" w:space="0" w:color="auto"/>
              <w:bottom w:val="nil"/>
              <w:right w:val="single" w:sz="4" w:space="0" w:color="auto"/>
            </w:tcBorders>
            <w:shd w:val="clear" w:color="auto" w:fill="auto"/>
          </w:tcPr>
          <w:p w14:paraId="5BED0631"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20.3</w:t>
            </w:r>
          </w:p>
        </w:tc>
        <w:tc>
          <w:tcPr>
            <w:tcW w:w="939" w:type="dxa"/>
            <w:tcBorders>
              <w:top w:val="single" w:sz="4" w:space="0" w:color="auto"/>
              <w:left w:val="single" w:sz="4" w:space="0" w:color="auto"/>
              <w:bottom w:val="nil"/>
              <w:right w:val="single" w:sz="4" w:space="0" w:color="auto"/>
            </w:tcBorders>
            <w:shd w:val="clear" w:color="auto" w:fill="auto"/>
          </w:tcPr>
          <w:p w14:paraId="2F137E36"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79.9</w:t>
            </w:r>
          </w:p>
        </w:tc>
        <w:tc>
          <w:tcPr>
            <w:tcW w:w="939" w:type="dxa"/>
            <w:tcBorders>
              <w:top w:val="single" w:sz="4" w:space="0" w:color="auto"/>
              <w:left w:val="single" w:sz="4" w:space="0" w:color="auto"/>
              <w:bottom w:val="nil"/>
              <w:right w:val="single" w:sz="4" w:space="0" w:color="auto"/>
            </w:tcBorders>
            <w:shd w:val="clear" w:color="auto" w:fill="auto"/>
          </w:tcPr>
          <w:p w14:paraId="19DDB37D"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79.7</w:t>
            </w:r>
          </w:p>
        </w:tc>
        <w:tc>
          <w:tcPr>
            <w:tcW w:w="939" w:type="dxa"/>
            <w:tcBorders>
              <w:top w:val="single" w:sz="4" w:space="0" w:color="auto"/>
              <w:left w:val="single" w:sz="4" w:space="0" w:color="auto"/>
              <w:bottom w:val="nil"/>
              <w:right w:val="single" w:sz="4" w:space="0" w:color="auto"/>
            </w:tcBorders>
            <w:shd w:val="clear" w:color="auto" w:fill="auto"/>
          </w:tcPr>
          <w:p w14:paraId="693B7C07"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42.7</w:t>
            </w:r>
          </w:p>
        </w:tc>
        <w:tc>
          <w:tcPr>
            <w:tcW w:w="939" w:type="dxa"/>
            <w:tcBorders>
              <w:top w:val="single" w:sz="4" w:space="0" w:color="auto"/>
              <w:left w:val="single" w:sz="4" w:space="0" w:color="auto"/>
              <w:bottom w:val="nil"/>
              <w:right w:val="single" w:sz="4" w:space="0" w:color="auto"/>
            </w:tcBorders>
            <w:shd w:val="clear" w:color="auto" w:fill="auto"/>
          </w:tcPr>
          <w:p w14:paraId="2A120C89"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44.0</w:t>
            </w:r>
          </w:p>
        </w:tc>
        <w:tc>
          <w:tcPr>
            <w:tcW w:w="939" w:type="dxa"/>
            <w:tcBorders>
              <w:top w:val="single" w:sz="4" w:space="0" w:color="auto"/>
              <w:left w:val="single" w:sz="4" w:space="0" w:color="auto"/>
              <w:bottom w:val="nil"/>
              <w:right w:val="single" w:sz="4" w:space="0" w:color="auto"/>
            </w:tcBorders>
            <w:shd w:val="clear" w:color="auto" w:fill="auto"/>
          </w:tcPr>
          <w:p w14:paraId="11779E24"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57.3</w:t>
            </w:r>
          </w:p>
        </w:tc>
        <w:tc>
          <w:tcPr>
            <w:tcW w:w="940" w:type="dxa"/>
            <w:tcBorders>
              <w:top w:val="single" w:sz="4" w:space="0" w:color="auto"/>
              <w:left w:val="single" w:sz="4" w:space="0" w:color="auto"/>
              <w:bottom w:val="nil"/>
              <w:right w:val="single" w:sz="4" w:space="0" w:color="auto"/>
            </w:tcBorders>
            <w:shd w:val="clear" w:color="auto" w:fill="auto"/>
          </w:tcPr>
          <w:p w14:paraId="34FA91A9" w14:textId="77777777" w:rsidR="001C7F15" w:rsidRPr="001C7F15" w:rsidRDefault="001C7F15" w:rsidP="001C7F15">
            <w:pPr>
              <w:autoSpaceDE w:val="0"/>
              <w:autoSpaceDN w:val="0"/>
              <w:adjustRightInd w:val="0"/>
              <w:spacing w:before="120" w:after="40"/>
              <w:ind w:right="227"/>
              <w:jc w:val="right"/>
              <w:rPr>
                <w:rFonts w:eastAsia="Calibri"/>
                <w:b/>
                <w:sz w:val="16"/>
                <w:szCs w:val="16"/>
                <w:lang w:eastAsia="en-US"/>
              </w:rPr>
            </w:pPr>
            <w:r w:rsidRPr="001C7F15">
              <w:rPr>
                <w:rFonts w:eastAsia="Calibri"/>
                <w:b/>
                <w:sz w:val="16"/>
                <w:szCs w:val="16"/>
                <w:lang w:eastAsia="en-US"/>
              </w:rPr>
              <w:t>56.0</w:t>
            </w:r>
          </w:p>
        </w:tc>
      </w:tr>
      <w:tr w:rsidR="001C7F15" w:rsidRPr="001C7F15" w14:paraId="2A9A87C7" w14:textId="77777777" w:rsidTr="00E823BC">
        <w:tc>
          <w:tcPr>
            <w:tcW w:w="1667" w:type="dxa"/>
            <w:tcBorders>
              <w:top w:val="nil"/>
              <w:left w:val="single" w:sz="4" w:space="0" w:color="auto"/>
              <w:bottom w:val="nil"/>
              <w:right w:val="single" w:sz="4" w:space="0" w:color="auto"/>
            </w:tcBorders>
            <w:shd w:val="clear" w:color="auto" w:fill="auto"/>
          </w:tcPr>
          <w:p w14:paraId="68063A7C"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BBVA Bancomer</w:t>
            </w:r>
          </w:p>
        </w:tc>
        <w:tc>
          <w:tcPr>
            <w:tcW w:w="939" w:type="dxa"/>
            <w:tcBorders>
              <w:top w:val="nil"/>
              <w:left w:val="single" w:sz="4" w:space="0" w:color="auto"/>
              <w:bottom w:val="nil"/>
              <w:right w:val="single" w:sz="4" w:space="0" w:color="auto"/>
            </w:tcBorders>
            <w:shd w:val="clear" w:color="auto" w:fill="auto"/>
          </w:tcPr>
          <w:p w14:paraId="51FE881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6.0</w:t>
            </w:r>
          </w:p>
        </w:tc>
        <w:tc>
          <w:tcPr>
            <w:tcW w:w="939" w:type="dxa"/>
            <w:tcBorders>
              <w:top w:val="nil"/>
              <w:left w:val="single" w:sz="4" w:space="0" w:color="auto"/>
              <w:bottom w:val="nil"/>
              <w:right w:val="single" w:sz="4" w:space="0" w:color="auto"/>
            </w:tcBorders>
            <w:shd w:val="clear" w:color="auto" w:fill="auto"/>
          </w:tcPr>
          <w:p w14:paraId="2CB749B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6.0</w:t>
            </w:r>
          </w:p>
        </w:tc>
        <w:tc>
          <w:tcPr>
            <w:tcW w:w="939" w:type="dxa"/>
            <w:tcBorders>
              <w:top w:val="nil"/>
              <w:left w:val="single" w:sz="4" w:space="0" w:color="auto"/>
              <w:bottom w:val="nil"/>
              <w:right w:val="single" w:sz="4" w:space="0" w:color="auto"/>
            </w:tcBorders>
            <w:shd w:val="clear" w:color="auto" w:fill="auto"/>
          </w:tcPr>
          <w:p w14:paraId="0E940B9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94.0</w:t>
            </w:r>
          </w:p>
        </w:tc>
        <w:tc>
          <w:tcPr>
            <w:tcW w:w="939" w:type="dxa"/>
            <w:tcBorders>
              <w:top w:val="nil"/>
              <w:left w:val="single" w:sz="4" w:space="0" w:color="auto"/>
              <w:bottom w:val="nil"/>
              <w:right w:val="single" w:sz="4" w:space="0" w:color="auto"/>
            </w:tcBorders>
            <w:shd w:val="clear" w:color="auto" w:fill="auto"/>
          </w:tcPr>
          <w:p w14:paraId="608E2B7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94.0</w:t>
            </w:r>
          </w:p>
        </w:tc>
        <w:tc>
          <w:tcPr>
            <w:tcW w:w="939" w:type="dxa"/>
            <w:tcBorders>
              <w:top w:val="nil"/>
              <w:left w:val="single" w:sz="4" w:space="0" w:color="auto"/>
              <w:bottom w:val="nil"/>
              <w:right w:val="single" w:sz="4" w:space="0" w:color="auto"/>
            </w:tcBorders>
            <w:shd w:val="clear" w:color="auto" w:fill="auto"/>
          </w:tcPr>
          <w:p w14:paraId="4927A07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33.5</w:t>
            </w:r>
          </w:p>
        </w:tc>
        <w:tc>
          <w:tcPr>
            <w:tcW w:w="939" w:type="dxa"/>
            <w:tcBorders>
              <w:top w:val="nil"/>
              <w:left w:val="single" w:sz="4" w:space="0" w:color="auto"/>
              <w:bottom w:val="nil"/>
              <w:right w:val="single" w:sz="4" w:space="0" w:color="auto"/>
            </w:tcBorders>
            <w:shd w:val="clear" w:color="auto" w:fill="auto"/>
          </w:tcPr>
          <w:p w14:paraId="1043122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34.2</w:t>
            </w:r>
          </w:p>
        </w:tc>
        <w:tc>
          <w:tcPr>
            <w:tcW w:w="939" w:type="dxa"/>
            <w:tcBorders>
              <w:top w:val="nil"/>
              <w:left w:val="single" w:sz="4" w:space="0" w:color="auto"/>
              <w:bottom w:val="nil"/>
              <w:right w:val="single" w:sz="4" w:space="0" w:color="auto"/>
            </w:tcBorders>
            <w:shd w:val="clear" w:color="auto" w:fill="auto"/>
          </w:tcPr>
          <w:p w14:paraId="781D1D3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66.5</w:t>
            </w:r>
          </w:p>
        </w:tc>
        <w:tc>
          <w:tcPr>
            <w:tcW w:w="940" w:type="dxa"/>
            <w:tcBorders>
              <w:top w:val="nil"/>
              <w:left w:val="single" w:sz="4" w:space="0" w:color="auto"/>
              <w:bottom w:val="nil"/>
              <w:right w:val="single" w:sz="4" w:space="0" w:color="auto"/>
            </w:tcBorders>
            <w:shd w:val="clear" w:color="auto" w:fill="auto"/>
          </w:tcPr>
          <w:p w14:paraId="0FF7A5A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65.8</w:t>
            </w:r>
          </w:p>
        </w:tc>
      </w:tr>
      <w:tr w:rsidR="001C7F15" w:rsidRPr="001C7F15" w14:paraId="70D3811C" w14:textId="77777777" w:rsidTr="00E823BC">
        <w:tc>
          <w:tcPr>
            <w:tcW w:w="1667" w:type="dxa"/>
            <w:tcBorders>
              <w:top w:val="nil"/>
              <w:left w:val="single" w:sz="4" w:space="0" w:color="auto"/>
              <w:bottom w:val="nil"/>
              <w:right w:val="single" w:sz="4" w:space="0" w:color="auto"/>
            </w:tcBorders>
            <w:shd w:val="clear" w:color="auto" w:fill="auto"/>
          </w:tcPr>
          <w:p w14:paraId="0557B929"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Banamex</w:t>
            </w:r>
          </w:p>
        </w:tc>
        <w:tc>
          <w:tcPr>
            <w:tcW w:w="939" w:type="dxa"/>
            <w:tcBorders>
              <w:top w:val="nil"/>
              <w:left w:val="single" w:sz="4" w:space="0" w:color="auto"/>
              <w:bottom w:val="nil"/>
              <w:right w:val="single" w:sz="4" w:space="0" w:color="auto"/>
            </w:tcBorders>
            <w:shd w:val="clear" w:color="auto" w:fill="auto"/>
          </w:tcPr>
          <w:p w14:paraId="1167018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29.8</w:t>
            </w:r>
          </w:p>
        </w:tc>
        <w:tc>
          <w:tcPr>
            <w:tcW w:w="939" w:type="dxa"/>
            <w:tcBorders>
              <w:top w:val="nil"/>
              <w:left w:val="single" w:sz="4" w:space="0" w:color="auto"/>
              <w:bottom w:val="nil"/>
              <w:right w:val="single" w:sz="4" w:space="0" w:color="auto"/>
            </w:tcBorders>
            <w:shd w:val="clear" w:color="auto" w:fill="auto"/>
          </w:tcPr>
          <w:p w14:paraId="37B29B9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30.3</w:t>
            </w:r>
          </w:p>
        </w:tc>
        <w:tc>
          <w:tcPr>
            <w:tcW w:w="939" w:type="dxa"/>
            <w:tcBorders>
              <w:top w:val="nil"/>
              <w:left w:val="single" w:sz="4" w:space="0" w:color="auto"/>
              <w:bottom w:val="nil"/>
              <w:right w:val="single" w:sz="4" w:space="0" w:color="auto"/>
            </w:tcBorders>
            <w:shd w:val="clear" w:color="auto" w:fill="auto"/>
          </w:tcPr>
          <w:p w14:paraId="5A08D4B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70.2</w:t>
            </w:r>
          </w:p>
        </w:tc>
        <w:tc>
          <w:tcPr>
            <w:tcW w:w="939" w:type="dxa"/>
            <w:tcBorders>
              <w:top w:val="nil"/>
              <w:left w:val="single" w:sz="4" w:space="0" w:color="auto"/>
              <w:bottom w:val="nil"/>
              <w:right w:val="single" w:sz="4" w:space="0" w:color="auto"/>
            </w:tcBorders>
            <w:shd w:val="clear" w:color="auto" w:fill="auto"/>
          </w:tcPr>
          <w:p w14:paraId="1FD6366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69.7</w:t>
            </w:r>
          </w:p>
        </w:tc>
        <w:tc>
          <w:tcPr>
            <w:tcW w:w="939" w:type="dxa"/>
            <w:tcBorders>
              <w:top w:val="nil"/>
              <w:left w:val="single" w:sz="4" w:space="0" w:color="auto"/>
              <w:bottom w:val="nil"/>
              <w:right w:val="single" w:sz="4" w:space="0" w:color="auto"/>
            </w:tcBorders>
            <w:shd w:val="clear" w:color="auto" w:fill="auto"/>
          </w:tcPr>
          <w:p w14:paraId="77F285F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49.8</w:t>
            </w:r>
          </w:p>
        </w:tc>
        <w:tc>
          <w:tcPr>
            <w:tcW w:w="939" w:type="dxa"/>
            <w:tcBorders>
              <w:top w:val="nil"/>
              <w:left w:val="single" w:sz="4" w:space="0" w:color="auto"/>
              <w:bottom w:val="nil"/>
              <w:right w:val="single" w:sz="4" w:space="0" w:color="auto"/>
            </w:tcBorders>
            <w:shd w:val="clear" w:color="auto" w:fill="auto"/>
          </w:tcPr>
          <w:p w14:paraId="2E09CEB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51.3</w:t>
            </w:r>
          </w:p>
        </w:tc>
        <w:tc>
          <w:tcPr>
            <w:tcW w:w="939" w:type="dxa"/>
            <w:tcBorders>
              <w:top w:val="nil"/>
              <w:left w:val="single" w:sz="4" w:space="0" w:color="auto"/>
              <w:bottom w:val="nil"/>
              <w:right w:val="single" w:sz="4" w:space="0" w:color="auto"/>
            </w:tcBorders>
            <w:shd w:val="clear" w:color="auto" w:fill="auto"/>
          </w:tcPr>
          <w:p w14:paraId="494CEE1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50.2</w:t>
            </w:r>
          </w:p>
        </w:tc>
        <w:tc>
          <w:tcPr>
            <w:tcW w:w="940" w:type="dxa"/>
            <w:tcBorders>
              <w:top w:val="nil"/>
              <w:left w:val="single" w:sz="4" w:space="0" w:color="auto"/>
              <w:bottom w:val="nil"/>
              <w:right w:val="single" w:sz="4" w:space="0" w:color="auto"/>
            </w:tcBorders>
            <w:shd w:val="clear" w:color="auto" w:fill="auto"/>
          </w:tcPr>
          <w:p w14:paraId="2757DD5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48.7</w:t>
            </w:r>
          </w:p>
        </w:tc>
      </w:tr>
      <w:tr w:rsidR="001C7F15" w:rsidRPr="001C7F15" w14:paraId="30BA8C22" w14:textId="77777777" w:rsidTr="00E823BC">
        <w:tc>
          <w:tcPr>
            <w:tcW w:w="1667" w:type="dxa"/>
            <w:tcBorders>
              <w:top w:val="nil"/>
              <w:left w:val="single" w:sz="4" w:space="0" w:color="auto"/>
              <w:bottom w:val="nil"/>
              <w:right w:val="single" w:sz="4" w:space="0" w:color="auto"/>
            </w:tcBorders>
            <w:shd w:val="clear" w:color="auto" w:fill="auto"/>
          </w:tcPr>
          <w:p w14:paraId="7D0D10F2"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Santander</w:t>
            </w:r>
          </w:p>
        </w:tc>
        <w:tc>
          <w:tcPr>
            <w:tcW w:w="939" w:type="dxa"/>
            <w:tcBorders>
              <w:top w:val="nil"/>
              <w:left w:val="single" w:sz="4" w:space="0" w:color="auto"/>
              <w:bottom w:val="nil"/>
              <w:right w:val="single" w:sz="4" w:space="0" w:color="auto"/>
            </w:tcBorders>
            <w:shd w:val="clear" w:color="auto" w:fill="auto"/>
          </w:tcPr>
          <w:p w14:paraId="795004D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22.1</w:t>
            </w:r>
          </w:p>
        </w:tc>
        <w:tc>
          <w:tcPr>
            <w:tcW w:w="939" w:type="dxa"/>
            <w:tcBorders>
              <w:top w:val="nil"/>
              <w:left w:val="single" w:sz="4" w:space="0" w:color="auto"/>
              <w:bottom w:val="nil"/>
              <w:right w:val="single" w:sz="4" w:space="0" w:color="auto"/>
            </w:tcBorders>
            <w:shd w:val="clear" w:color="auto" w:fill="auto"/>
          </w:tcPr>
          <w:p w14:paraId="0DD62F08"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21.0</w:t>
            </w:r>
          </w:p>
        </w:tc>
        <w:tc>
          <w:tcPr>
            <w:tcW w:w="939" w:type="dxa"/>
            <w:tcBorders>
              <w:top w:val="nil"/>
              <w:left w:val="single" w:sz="4" w:space="0" w:color="auto"/>
              <w:bottom w:val="nil"/>
              <w:right w:val="single" w:sz="4" w:space="0" w:color="auto"/>
            </w:tcBorders>
            <w:shd w:val="clear" w:color="auto" w:fill="auto"/>
          </w:tcPr>
          <w:p w14:paraId="6CD6FCA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77.9</w:t>
            </w:r>
          </w:p>
        </w:tc>
        <w:tc>
          <w:tcPr>
            <w:tcW w:w="939" w:type="dxa"/>
            <w:tcBorders>
              <w:top w:val="nil"/>
              <w:left w:val="single" w:sz="4" w:space="0" w:color="auto"/>
              <w:bottom w:val="nil"/>
              <w:right w:val="single" w:sz="4" w:space="0" w:color="auto"/>
            </w:tcBorders>
            <w:shd w:val="clear" w:color="auto" w:fill="auto"/>
          </w:tcPr>
          <w:p w14:paraId="0EA8709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79.0</w:t>
            </w:r>
          </w:p>
        </w:tc>
        <w:tc>
          <w:tcPr>
            <w:tcW w:w="939" w:type="dxa"/>
            <w:tcBorders>
              <w:top w:val="nil"/>
              <w:left w:val="single" w:sz="4" w:space="0" w:color="auto"/>
              <w:bottom w:val="nil"/>
              <w:right w:val="single" w:sz="4" w:space="0" w:color="auto"/>
            </w:tcBorders>
            <w:shd w:val="clear" w:color="auto" w:fill="auto"/>
          </w:tcPr>
          <w:p w14:paraId="6EF3E828"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47.0</w:t>
            </w:r>
          </w:p>
        </w:tc>
        <w:tc>
          <w:tcPr>
            <w:tcW w:w="939" w:type="dxa"/>
            <w:tcBorders>
              <w:top w:val="nil"/>
              <w:left w:val="single" w:sz="4" w:space="0" w:color="auto"/>
              <w:bottom w:val="nil"/>
              <w:right w:val="single" w:sz="4" w:space="0" w:color="auto"/>
            </w:tcBorders>
            <w:shd w:val="clear" w:color="auto" w:fill="auto"/>
          </w:tcPr>
          <w:p w14:paraId="1E1E332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46.3</w:t>
            </w:r>
          </w:p>
        </w:tc>
        <w:tc>
          <w:tcPr>
            <w:tcW w:w="939" w:type="dxa"/>
            <w:tcBorders>
              <w:top w:val="nil"/>
              <w:left w:val="single" w:sz="4" w:space="0" w:color="auto"/>
              <w:bottom w:val="nil"/>
              <w:right w:val="single" w:sz="4" w:space="0" w:color="auto"/>
            </w:tcBorders>
            <w:shd w:val="clear" w:color="auto" w:fill="auto"/>
          </w:tcPr>
          <w:p w14:paraId="079E2DE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53.0</w:t>
            </w:r>
          </w:p>
        </w:tc>
        <w:tc>
          <w:tcPr>
            <w:tcW w:w="940" w:type="dxa"/>
            <w:tcBorders>
              <w:top w:val="nil"/>
              <w:left w:val="single" w:sz="4" w:space="0" w:color="auto"/>
              <w:bottom w:val="nil"/>
              <w:right w:val="single" w:sz="4" w:space="0" w:color="auto"/>
            </w:tcBorders>
            <w:shd w:val="clear" w:color="auto" w:fill="auto"/>
          </w:tcPr>
          <w:p w14:paraId="5A52ACC3"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53.7</w:t>
            </w:r>
          </w:p>
        </w:tc>
      </w:tr>
      <w:tr w:rsidR="001C7F15" w:rsidRPr="001C7F15" w14:paraId="0C6B3ED0" w14:textId="77777777" w:rsidTr="00E823BC">
        <w:tc>
          <w:tcPr>
            <w:tcW w:w="1667" w:type="dxa"/>
            <w:tcBorders>
              <w:top w:val="nil"/>
              <w:left w:val="single" w:sz="4" w:space="0" w:color="auto"/>
              <w:bottom w:val="nil"/>
              <w:right w:val="single" w:sz="4" w:space="0" w:color="auto"/>
            </w:tcBorders>
            <w:shd w:val="clear" w:color="auto" w:fill="auto"/>
          </w:tcPr>
          <w:p w14:paraId="7F9EBF47"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BanCoppel</w:t>
            </w:r>
          </w:p>
        </w:tc>
        <w:tc>
          <w:tcPr>
            <w:tcW w:w="939" w:type="dxa"/>
            <w:tcBorders>
              <w:top w:val="nil"/>
              <w:left w:val="single" w:sz="4" w:space="0" w:color="auto"/>
              <w:bottom w:val="nil"/>
              <w:right w:val="single" w:sz="4" w:space="0" w:color="auto"/>
            </w:tcBorders>
            <w:shd w:val="clear" w:color="auto" w:fill="auto"/>
          </w:tcPr>
          <w:p w14:paraId="081CF93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19.6</w:t>
            </w:r>
          </w:p>
        </w:tc>
        <w:tc>
          <w:tcPr>
            <w:tcW w:w="939" w:type="dxa"/>
            <w:tcBorders>
              <w:top w:val="nil"/>
              <w:left w:val="single" w:sz="4" w:space="0" w:color="auto"/>
              <w:bottom w:val="nil"/>
              <w:right w:val="single" w:sz="4" w:space="0" w:color="auto"/>
            </w:tcBorders>
            <w:shd w:val="clear" w:color="auto" w:fill="auto"/>
          </w:tcPr>
          <w:p w14:paraId="5A914E2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20.7</w:t>
            </w:r>
          </w:p>
        </w:tc>
        <w:tc>
          <w:tcPr>
            <w:tcW w:w="939" w:type="dxa"/>
            <w:tcBorders>
              <w:top w:val="nil"/>
              <w:left w:val="single" w:sz="4" w:space="0" w:color="auto"/>
              <w:bottom w:val="nil"/>
              <w:right w:val="single" w:sz="4" w:space="0" w:color="auto"/>
            </w:tcBorders>
            <w:shd w:val="clear" w:color="auto" w:fill="auto"/>
          </w:tcPr>
          <w:p w14:paraId="1371121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80.4</w:t>
            </w:r>
          </w:p>
        </w:tc>
        <w:tc>
          <w:tcPr>
            <w:tcW w:w="939" w:type="dxa"/>
            <w:tcBorders>
              <w:top w:val="nil"/>
              <w:left w:val="single" w:sz="4" w:space="0" w:color="auto"/>
              <w:bottom w:val="nil"/>
              <w:right w:val="single" w:sz="4" w:space="0" w:color="auto"/>
            </w:tcBorders>
            <w:shd w:val="clear" w:color="auto" w:fill="auto"/>
          </w:tcPr>
          <w:p w14:paraId="73CF5B2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79.3</w:t>
            </w:r>
          </w:p>
        </w:tc>
        <w:tc>
          <w:tcPr>
            <w:tcW w:w="939" w:type="dxa"/>
            <w:tcBorders>
              <w:top w:val="nil"/>
              <w:left w:val="single" w:sz="4" w:space="0" w:color="auto"/>
              <w:bottom w:val="nil"/>
              <w:right w:val="single" w:sz="4" w:space="0" w:color="auto"/>
            </w:tcBorders>
            <w:shd w:val="clear" w:color="auto" w:fill="auto"/>
          </w:tcPr>
          <w:p w14:paraId="74E9223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33.7</w:t>
            </w:r>
          </w:p>
        </w:tc>
        <w:tc>
          <w:tcPr>
            <w:tcW w:w="939" w:type="dxa"/>
            <w:tcBorders>
              <w:top w:val="nil"/>
              <w:left w:val="single" w:sz="4" w:space="0" w:color="auto"/>
              <w:bottom w:val="nil"/>
              <w:right w:val="single" w:sz="4" w:space="0" w:color="auto"/>
            </w:tcBorders>
            <w:shd w:val="clear" w:color="auto" w:fill="auto"/>
          </w:tcPr>
          <w:p w14:paraId="2ED173A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35.0</w:t>
            </w:r>
          </w:p>
        </w:tc>
        <w:tc>
          <w:tcPr>
            <w:tcW w:w="939" w:type="dxa"/>
            <w:tcBorders>
              <w:top w:val="nil"/>
              <w:left w:val="single" w:sz="4" w:space="0" w:color="auto"/>
              <w:bottom w:val="nil"/>
              <w:right w:val="single" w:sz="4" w:space="0" w:color="auto"/>
            </w:tcBorders>
            <w:shd w:val="clear" w:color="auto" w:fill="auto"/>
          </w:tcPr>
          <w:p w14:paraId="344F0DB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66.3</w:t>
            </w:r>
          </w:p>
        </w:tc>
        <w:tc>
          <w:tcPr>
            <w:tcW w:w="940" w:type="dxa"/>
            <w:tcBorders>
              <w:top w:val="nil"/>
              <w:left w:val="single" w:sz="4" w:space="0" w:color="auto"/>
              <w:bottom w:val="nil"/>
              <w:right w:val="single" w:sz="4" w:space="0" w:color="auto"/>
            </w:tcBorders>
            <w:shd w:val="clear" w:color="auto" w:fill="auto"/>
          </w:tcPr>
          <w:p w14:paraId="57CDC77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65.0</w:t>
            </w:r>
          </w:p>
        </w:tc>
      </w:tr>
      <w:tr w:rsidR="001C7F15" w:rsidRPr="001C7F15" w14:paraId="7E0984ED" w14:textId="77777777" w:rsidTr="00E823BC">
        <w:tc>
          <w:tcPr>
            <w:tcW w:w="1667" w:type="dxa"/>
            <w:tcBorders>
              <w:top w:val="nil"/>
              <w:left w:val="single" w:sz="4" w:space="0" w:color="auto"/>
              <w:bottom w:val="nil"/>
              <w:right w:val="single" w:sz="4" w:space="0" w:color="auto"/>
            </w:tcBorders>
            <w:shd w:val="clear" w:color="auto" w:fill="auto"/>
          </w:tcPr>
          <w:p w14:paraId="095565B7"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Banorte-Ixe Tarjetas</w:t>
            </w:r>
          </w:p>
        </w:tc>
        <w:tc>
          <w:tcPr>
            <w:tcW w:w="939" w:type="dxa"/>
            <w:tcBorders>
              <w:top w:val="nil"/>
              <w:left w:val="single" w:sz="4" w:space="0" w:color="auto"/>
              <w:bottom w:val="nil"/>
              <w:right w:val="single" w:sz="4" w:space="0" w:color="auto"/>
            </w:tcBorders>
            <w:shd w:val="clear" w:color="auto" w:fill="auto"/>
          </w:tcPr>
          <w:p w14:paraId="2C2BE12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19.2</w:t>
            </w:r>
          </w:p>
        </w:tc>
        <w:tc>
          <w:tcPr>
            <w:tcW w:w="939" w:type="dxa"/>
            <w:tcBorders>
              <w:top w:val="nil"/>
              <w:left w:val="single" w:sz="4" w:space="0" w:color="auto"/>
              <w:bottom w:val="nil"/>
              <w:right w:val="single" w:sz="4" w:space="0" w:color="auto"/>
            </w:tcBorders>
            <w:shd w:val="clear" w:color="auto" w:fill="auto"/>
          </w:tcPr>
          <w:p w14:paraId="2A68FCB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18.1</w:t>
            </w:r>
          </w:p>
        </w:tc>
        <w:tc>
          <w:tcPr>
            <w:tcW w:w="939" w:type="dxa"/>
            <w:tcBorders>
              <w:top w:val="nil"/>
              <w:left w:val="single" w:sz="4" w:space="0" w:color="auto"/>
              <w:bottom w:val="nil"/>
              <w:right w:val="single" w:sz="4" w:space="0" w:color="auto"/>
            </w:tcBorders>
            <w:shd w:val="clear" w:color="auto" w:fill="auto"/>
          </w:tcPr>
          <w:p w14:paraId="18B4D6A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80.8</w:t>
            </w:r>
          </w:p>
        </w:tc>
        <w:tc>
          <w:tcPr>
            <w:tcW w:w="939" w:type="dxa"/>
            <w:tcBorders>
              <w:top w:val="nil"/>
              <w:left w:val="single" w:sz="4" w:space="0" w:color="auto"/>
              <w:bottom w:val="nil"/>
              <w:right w:val="single" w:sz="4" w:space="0" w:color="auto"/>
            </w:tcBorders>
            <w:shd w:val="clear" w:color="auto" w:fill="auto"/>
          </w:tcPr>
          <w:p w14:paraId="6C9A642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81.9</w:t>
            </w:r>
          </w:p>
        </w:tc>
        <w:tc>
          <w:tcPr>
            <w:tcW w:w="939" w:type="dxa"/>
            <w:tcBorders>
              <w:top w:val="nil"/>
              <w:left w:val="single" w:sz="4" w:space="0" w:color="auto"/>
              <w:bottom w:val="nil"/>
              <w:right w:val="single" w:sz="4" w:space="0" w:color="auto"/>
            </w:tcBorders>
            <w:shd w:val="clear" w:color="auto" w:fill="auto"/>
          </w:tcPr>
          <w:p w14:paraId="7A02316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41.0</w:t>
            </w:r>
          </w:p>
        </w:tc>
        <w:tc>
          <w:tcPr>
            <w:tcW w:w="939" w:type="dxa"/>
            <w:tcBorders>
              <w:top w:val="nil"/>
              <w:left w:val="single" w:sz="4" w:space="0" w:color="auto"/>
              <w:bottom w:val="nil"/>
              <w:right w:val="single" w:sz="4" w:space="0" w:color="auto"/>
            </w:tcBorders>
            <w:shd w:val="clear" w:color="auto" w:fill="auto"/>
          </w:tcPr>
          <w:p w14:paraId="412EC7B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41.2</w:t>
            </w:r>
          </w:p>
        </w:tc>
        <w:tc>
          <w:tcPr>
            <w:tcW w:w="939" w:type="dxa"/>
            <w:tcBorders>
              <w:top w:val="nil"/>
              <w:left w:val="single" w:sz="4" w:space="0" w:color="auto"/>
              <w:bottom w:val="nil"/>
              <w:right w:val="single" w:sz="4" w:space="0" w:color="auto"/>
            </w:tcBorders>
            <w:shd w:val="clear" w:color="auto" w:fill="auto"/>
          </w:tcPr>
          <w:p w14:paraId="3AAF817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59.0</w:t>
            </w:r>
          </w:p>
        </w:tc>
        <w:tc>
          <w:tcPr>
            <w:tcW w:w="940" w:type="dxa"/>
            <w:tcBorders>
              <w:top w:val="nil"/>
              <w:left w:val="single" w:sz="4" w:space="0" w:color="auto"/>
              <w:bottom w:val="nil"/>
              <w:right w:val="single" w:sz="4" w:space="0" w:color="auto"/>
            </w:tcBorders>
            <w:shd w:val="clear" w:color="auto" w:fill="auto"/>
          </w:tcPr>
          <w:p w14:paraId="7A071DA7"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58.8</w:t>
            </w:r>
          </w:p>
        </w:tc>
      </w:tr>
      <w:tr w:rsidR="001C7F15" w:rsidRPr="001C7F15" w14:paraId="5877E9AD" w14:textId="77777777" w:rsidTr="00E823BC">
        <w:tc>
          <w:tcPr>
            <w:tcW w:w="1667" w:type="dxa"/>
            <w:tcBorders>
              <w:top w:val="nil"/>
              <w:left w:val="single" w:sz="4" w:space="0" w:color="auto"/>
              <w:bottom w:val="nil"/>
              <w:right w:val="single" w:sz="4" w:space="0" w:color="auto"/>
            </w:tcBorders>
            <w:shd w:val="clear" w:color="auto" w:fill="auto"/>
          </w:tcPr>
          <w:p w14:paraId="4E3D82A4"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HSBC</w:t>
            </w:r>
          </w:p>
        </w:tc>
        <w:tc>
          <w:tcPr>
            <w:tcW w:w="939" w:type="dxa"/>
            <w:tcBorders>
              <w:top w:val="nil"/>
              <w:left w:val="single" w:sz="4" w:space="0" w:color="auto"/>
              <w:bottom w:val="nil"/>
              <w:right w:val="single" w:sz="4" w:space="0" w:color="auto"/>
            </w:tcBorders>
            <w:shd w:val="clear" w:color="auto" w:fill="auto"/>
          </w:tcPr>
          <w:p w14:paraId="28C9A1E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24.4</w:t>
            </w:r>
          </w:p>
        </w:tc>
        <w:tc>
          <w:tcPr>
            <w:tcW w:w="939" w:type="dxa"/>
            <w:tcBorders>
              <w:top w:val="nil"/>
              <w:left w:val="single" w:sz="4" w:space="0" w:color="auto"/>
              <w:bottom w:val="nil"/>
              <w:right w:val="single" w:sz="4" w:space="0" w:color="auto"/>
            </w:tcBorders>
            <w:shd w:val="clear" w:color="auto" w:fill="auto"/>
          </w:tcPr>
          <w:p w14:paraId="5A53CF1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25.1</w:t>
            </w:r>
          </w:p>
        </w:tc>
        <w:tc>
          <w:tcPr>
            <w:tcW w:w="939" w:type="dxa"/>
            <w:tcBorders>
              <w:top w:val="nil"/>
              <w:left w:val="single" w:sz="4" w:space="0" w:color="auto"/>
              <w:bottom w:val="nil"/>
              <w:right w:val="single" w:sz="4" w:space="0" w:color="auto"/>
            </w:tcBorders>
            <w:shd w:val="clear" w:color="auto" w:fill="auto"/>
          </w:tcPr>
          <w:p w14:paraId="5C3D62F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75.6</w:t>
            </w:r>
          </w:p>
        </w:tc>
        <w:tc>
          <w:tcPr>
            <w:tcW w:w="939" w:type="dxa"/>
            <w:tcBorders>
              <w:top w:val="nil"/>
              <w:left w:val="single" w:sz="4" w:space="0" w:color="auto"/>
              <w:bottom w:val="nil"/>
              <w:right w:val="single" w:sz="4" w:space="0" w:color="auto"/>
            </w:tcBorders>
            <w:shd w:val="clear" w:color="auto" w:fill="auto"/>
          </w:tcPr>
          <w:p w14:paraId="3A0AE9B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74.9</w:t>
            </w:r>
          </w:p>
        </w:tc>
        <w:tc>
          <w:tcPr>
            <w:tcW w:w="939" w:type="dxa"/>
            <w:tcBorders>
              <w:top w:val="nil"/>
              <w:left w:val="single" w:sz="4" w:space="0" w:color="auto"/>
              <w:bottom w:val="nil"/>
              <w:right w:val="single" w:sz="4" w:space="0" w:color="auto"/>
            </w:tcBorders>
            <w:shd w:val="clear" w:color="auto" w:fill="auto"/>
          </w:tcPr>
          <w:p w14:paraId="4FB3C8B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49.4</w:t>
            </w:r>
          </w:p>
        </w:tc>
        <w:tc>
          <w:tcPr>
            <w:tcW w:w="939" w:type="dxa"/>
            <w:tcBorders>
              <w:top w:val="nil"/>
              <w:left w:val="single" w:sz="4" w:space="0" w:color="auto"/>
              <w:bottom w:val="nil"/>
              <w:right w:val="single" w:sz="4" w:space="0" w:color="auto"/>
            </w:tcBorders>
            <w:shd w:val="clear" w:color="auto" w:fill="auto"/>
          </w:tcPr>
          <w:p w14:paraId="3F292FF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49.7</w:t>
            </w:r>
          </w:p>
        </w:tc>
        <w:tc>
          <w:tcPr>
            <w:tcW w:w="939" w:type="dxa"/>
            <w:tcBorders>
              <w:top w:val="nil"/>
              <w:left w:val="single" w:sz="4" w:space="0" w:color="auto"/>
              <w:bottom w:val="nil"/>
              <w:right w:val="single" w:sz="4" w:space="0" w:color="auto"/>
            </w:tcBorders>
            <w:shd w:val="clear" w:color="auto" w:fill="auto"/>
          </w:tcPr>
          <w:p w14:paraId="2A22C64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50.6</w:t>
            </w:r>
          </w:p>
        </w:tc>
        <w:tc>
          <w:tcPr>
            <w:tcW w:w="940" w:type="dxa"/>
            <w:tcBorders>
              <w:top w:val="nil"/>
              <w:left w:val="single" w:sz="4" w:space="0" w:color="auto"/>
              <w:bottom w:val="nil"/>
              <w:right w:val="single" w:sz="4" w:space="0" w:color="auto"/>
            </w:tcBorders>
            <w:shd w:val="clear" w:color="auto" w:fill="auto"/>
          </w:tcPr>
          <w:p w14:paraId="131CF1E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50.3</w:t>
            </w:r>
          </w:p>
        </w:tc>
      </w:tr>
      <w:tr w:rsidR="001C7F15" w:rsidRPr="001C7F15" w14:paraId="4B991E1C" w14:textId="77777777" w:rsidTr="00E823BC">
        <w:tc>
          <w:tcPr>
            <w:tcW w:w="1667" w:type="dxa"/>
            <w:tcBorders>
              <w:top w:val="nil"/>
              <w:left w:val="single" w:sz="4" w:space="0" w:color="auto"/>
              <w:bottom w:val="nil"/>
              <w:right w:val="single" w:sz="4" w:space="0" w:color="auto"/>
            </w:tcBorders>
            <w:shd w:val="clear" w:color="auto" w:fill="auto"/>
          </w:tcPr>
          <w:p w14:paraId="0B4C80BF"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Walmart</w:t>
            </w:r>
          </w:p>
        </w:tc>
        <w:tc>
          <w:tcPr>
            <w:tcW w:w="939" w:type="dxa"/>
            <w:tcBorders>
              <w:top w:val="nil"/>
              <w:left w:val="single" w:sz="4" w:space="0" w:color="auto"/>
              <w:bottom w:val="nil"/>
              <w:right w:val="single" w:sz="4" w:space="0" w:color="auto"/>
            </w:tcBorders>
            <w:shd w:val="clear" w:color="auto" w:fill="auto"/>
          </w:tcPr>
          <w:p w14:paraId="10F3CC4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49.7</w:t>
            </w:r>
          </w:p>
        </w:tc>
        <w:tc>
          <w:tcPr>
            <w:tcW w:w="939" w:type="dxa"/>
            <w:tcBorders>
              <w:top w:val="nil"/>
              <w:left w:val="single" w:sz="4" w:space="0" w:color="auto"/>
              <w:bottom w:val="nil"/>
              <w:right w:val="single" w:sz="4" w:space="0" w:color="auto"/>
            </w:tcBorders>
            <w:shd w:val="clear" w:color="auto" w:fill="auto"/>
          </w:tcPr>
          <w:p w14:paraId="73F0455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48.1</w:t>
            </w:r>
          </w:p>
        </w:tc>
        <w:tc>
          <w:tcPr>
            <w:tcW w:w="939" w:type="dxa"/>
            <w:tcBorders>
              <w:top w:val="nil"/>
              <w:left w:val="single" w:sz="4" w:space="0" w:color="auto"/>
              <w:bottom w:val="nil"/>
              <w:right w:val="single" w:sz="4" w:space="0" w:color="auto"/>
            </w:tcBorders>
            <w:shd w:val="clear" w:color="auto" w:fill="auto"/>
          </w:tcPr>
          <w:p w14:paraId="63A0DF03"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50.3</w:t>
            </w:r>
          </w:p>
        </w:tc>
        <w:tc>
          <w:tcPr>
            <w:tcW w:w="939" w:type="dxa"/>
            <w:tcBorders>
              <w:top w:val="nil"/>
              <w:left w:val="single" w:sz="4" w:space="0" w:color="auto"/>
              <w:bottom w:val="nil"/>
              <w:right w:val="single" w:sz="4" w:space="0" w:color="auto"/>
            </w:tcBorders>
            <w:shd w:val="clear" w:color="auto" w:fill="auto"/>
          </w:tcPr>
          <w:p w14:paraId="2D98702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51.9</w:t>
            </w:r>
          </w:p>
        </w:tc>
        <w:tc>
          <w:tcPr>
            <w:tcW w:w="939" w:type="dxa"/>
            <w:tcBorders>
              <w:top w:val="nil"/>
              <w:left w:val="single" w:sz="4" w:space="0" w:color="auto"/>
              <w:bottom w:val="nil"/>
              <w:right w:val="single" w:sz="4" w:space="0" w:color="auto"/>
            </w:tcBorders>
            <w:shd w:val="clear" w:color="auto" w:fill="auto"/>
          </w:tcPr>
          <w:p w14:paraId="4C13378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51.2</w:t>
            </w:r>
          </w:p>
        </w:tc>
        <w:tc>
          <w:tcPr>
            <w:tcW w:w="939" w:type="dxa"/>
            <w:tcBorders>
              <w:top w:val="nil"/>
              <w:left w:val="single" w:sz="4" w:space="0" w:color="auto"/>
              <w:bottom w:val="nil"/>
              <w:right w:val="single" w:sz="4" w:space="0" w:color="auto"/>
            </w:tcBorders>
            <w:shd w:val="clear" w:color="auto" w:fill="auto"/>
          </w:tcPr>
          <w:p w14:paraId="1845E1B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59.1</w:t>
            </w:r>
          </w:p>
        </w:tc>
        <w:tc>
          <w:tcPr>
            <w:tcW w:w="939" w:type="dxa"/>
            <w:tcBorders>
              <w:top w:val="nil"/>
              <w:left w:val="single" w:sz="4" w:space="0" w:color="auto"/>
              <w:bottom w:val="nil"/>
              <w:right w:val="single" w:sz="4" w:space="0" w:color="auto"/>
            </w:tcBorders>
            <w:shd w:val="clear" w:color="auto" w:fill="auto"/>
          </w:tcPr>
          <w:p w14:paraId="4BF1727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48.8</w:t>
            </w:r>
          </w:p>
        </w:tc>
        <w:tc>
          <w:tcPr>
            <w:tcW w:w="940" w:type="dxa"/>
            <w:tcBorders>
              <w:top w:val="nil"/>
              <w:left w:val="single" w:sz="4" w:space="0" w:color="auto"/>
              <w:bottom w:val="nil"/>
              <w:right w:val="single" w:sz="4" w:space="0" w:color="auto"/>
            </w:tcBorders>
            <w:shd w:val="clear" w:color="auto" w:fill="auto"/>
          </w:tcPr>
          <w:p w14:paraId="08C012A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40.9</w:t>
            </w:r>
          </w:p>
        </w:tc>
      </w:tr>
      <w:tr w:rsidR="001C7F15" w:rsidRPr="001C7F15" w14:paraId="48DC7B1E" w14:textId="77777777" w:rsidTr="00E823BC">
        <w:tc>
          <w:tcPr>
            <w:tcW w:w="1667" w:type="dxa"/>
            <w:tcBorders>
              <w:top w:val="nil"/>
              <w:left w:val="single" w:sz="4" w:space="0" w:color="auto"/>
              <w:bottom w:val="nil"/>
              <w:right w:val="single" w:sz="4" w:space="0" w:color="auto"/>
            </w:tcBorders>
            <w:shd w:val="clear" w:color="auto" w:fill="auto"/>
          </w:tcPr>
          <w:p w14:paraId="4C24F8E7"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Scotiabank</w:t>
            </w:r>
          </w:p>
        </w:tc>
        <w:tc>
          <w:tcPr>
            <w:tcW w:w="939" w:type="dxa"/>
            <w:tcBorders>
              <w:top w:val="nil"/>
              <w:left w:val="single" w:sz="4" w:space="0" w:color="auto"/>
              <w:bottom w:val="nil"/>
              <w:right w:val="single" w:sz="4" w:space="0" w:color="auto"/>
            </w:tcBorders>
            <w:shd w:val="clear" w:color="auto" w:fill="auto"/>
          </w:tcPr>
          <w:p w14:paraId="416DA2D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30.5</w:t>
            </w:r>
          </w:p>
        </w:tc>
        <w:tc>
          <w:tcPr>
            <w:tcW w:w="939" w:type="dxa"/>
            <w:tcBorders>
              <w:top w:val="nil"/>
              <w:left w:val="single" w:sz="4" w:space="0" w:color="auto"/>
              <w:bottom w:val="nil"/>
              <w:right w:val="single" w:sz="4" w:space="0" w:color="auto"/>
            </w:tcBorders>
            <w:shd w:val="clear" w:color="auto" w:fill="auto"/>
          </w:tcPr>
          <w:p w14:paraId="260DD62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28.4</w:t>
            </w:r>
          </w:p>
        </w:tc>
        <w:tc>
          <w:tcPr>
            <w:tcW w:w="939" w:type="dxa"/>
            <w:tcBorders>
              <w:top w:val="nil"/>
              <w:left w:val="single" w:sz="4" w:space="0" w:color="auto"/>
              <w:bottom w:val="nil"/>
              <w:right w:val="single" w:sz="4" w:space="0" w:color="auto"/>
            </w:tcBorders>
            <w:shd w:val="clear" w:color="auto" w:fill="auto"/>
          </w:tcPr>
          <w:p w14:paraId="7BDE204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69.5</w:t>
            </w:r>
          </w:p>
        </w:tc>
        <w:tc>
          <w:tcPr>
            <w:tcW w:w="939" w:type="dxa"/>
            <w:tcBorders>
              <w:top w:val="nil"/>
              <w:left w:val="single" w:sz="4" w:space="0" w:color="auto"/>
              <w:bottom w:val="nil"/>
              <w:right w:val="single" w:sz="4" w:space="0" w:color="auto"/>
            </w:tcBorders>
            <w:shd w:val="clear" w:color="auto" w:fill="auto"/>
          </w:tcPr>
          <w:p w14:paraId="138A7E1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71.6</w:t>
            </w:r>
          </w:p>
        </w:tc>
        <w:tc>
          <w:tcPr>
            <w:tcW w:w="939" w:type="dxa"/>
            <w:tcBorders>
              <w:top w:val="nil"/>
              <w:left w:val="single" w:sz="4" w:space="0" w:color="auto"/>
              <w:bottom w:val="nil"/>
              <w:right w:val="single" w:sz="4" w:space="0" w:color="auto"/>
            </w:tcBorders>
            <w:shd w:val="clear" w:color="auto" w:fill="auto"/>
          </w:tcPr>
          <w:p w14:paraId="4314414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49.9</w:t>
            </w:r>
          </w:p>
        </w:tc>
        <w:tc>
          <w:tcPr>
            <w:tcW w:w="939" w:type="dxa"/>
            <w:tcBorders>
              <w:top w:val="nil"/>
              <w:left w:val="single" w:sz="4" w:space="0" w:color="auto"/>
              <w:bottom w:val="nil"/>
              <w:right w:val="single" w:sz="4" w:space="0" w:color="auto"/>
            </w:tcBorders>
            <w:shd w:val="clear" w:color="auto" w:fill="auto"/>
          </w:tcPr>
          <w:p w14:paraId="7B18089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51.1</w:t>
            </w:r>
          </w:p>
        </w:tc>
        <w:tc>
          <w:tcPr>
            <w:tcW w:w="939" w:type="dxa"/>
            <w:tcBorders>
              <w:top w:val="nil"/>
              <w:left w:val="single" w:sz="4" w:space="0" w:color="auto"/>
              <w:bottom w:val="nil"/>
              <w:right w:val="single" w:sz="4" w:space="0" w:color="auto"/>
            </w:tcBorders>
            <w:shd w:val="clear" w:color="auto" w:fill="auto"/>
          </w:tcPr>
          <w:p w14:paraId="640F8377"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50.1</w:t>
            </w:r>
          </w:p>
        </w:tc>
        <w:tc>
          <w:tcPr>
            <w:tcW w:w="940" w:type="dxa"/>
            <w:tcBorders>
              <w:top w:val="nil"/>
              <w:left w:val="single" w:sz="4" w:space="0" w:color="auto"/>
              <w:bottom w:val="nil"/>
              <w:right w:val="single" w:sz="4" w:space="0" w:color="auto"/>
            </w:tcBorders>
            <w:shd w:val="clear" w:color="auto" w:fill="auto"/>
          </w:tcPr>
          <w:p w14:paraId="423365F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48.9</w:t>
            </w:r>
          </w:p>
        </w:tc>
      </w:tr>
      <w:tr w:rsidR="001C7F15" w:rsidRPr="001C7F15" w14:paraId="7B1BA641" w14:textId="77777777" w:rsidTr="00E823BC">
        <w:tc>
          <w:tcPr>
            <w:tcW w:w="1667" w:type="dxa"/>
            <w:tcBorders>
              <w:top w:val="nil"/>
              <w:left w:val="single" w:sz="4" w:space="0" w:color="auto"/>
              <w:bottom w:val="nil"/>
              <w:right w:val="single" w:sz="4" w:space="0" w:color="auto"/>
            </w:tcBorders>
            <w:shd w:val="clear" w:color="auto" w:fill="auto"/>
          </w:tcPr>
          <w:p w14:paraId="4D6C106E"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American Express</w:t>
            </w:r>
          </w:p>
        </w:tc>
        <w:tc>
          <w:tcPr>
            <w:tcW w:w="939" w:type="dxa"/>
            <w:tcBorders>
              <w:top w:val="nil"/>
              <w:left w:val="single" w:sz="4" w:space="0" w:color="auto"/>
              <w:bottom w:val="nil"/>
              <w:right w:val="single" w:sz="4" w:space="0" w:color="auto"/>
            </w:tcBorders>
            <w:shd w:val="clear" w:color="auto" w:fill="auto"/>
          </w:tcPr>
          <w:p w14:paraId="45BF205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30.1</w:t>
            </w:r>
          </w:p>
        </w:tc>
        <w:tc>
          <w:tcPr>
            <w:tcW w:w="939" w:type="dxa"/>
            <w:tcBorders>
              <w:top w:val="nil"/>
              <w:left w:val="single" w:sz="4" w:space="0" w:color="auto"/>
              <w:bottom w:val="nil"/>
              <w:right w:val="single" w:sz="4" w:space="0" w:color="auto"/>
            </w:tcBorders>
            <w:shd w:val="clear" w:color="auto" w:fill="auto"/>
          </w:tcPr>
          <w:p w14:paraId="5048249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29.2</w:t>
            </w:r>
          </w:p>
        </w:tc>
        <w:tc>
          <w:tcPr>
            <w:tcW w:w="939" w:type="dxa"/>
            <w:tcBorders>
              <w:top w:val="nil"/>
              <w:left w:val="single" w:sz="4" w:space="0" w:color="auto"/>
              <w:bottom w:val="nil"/>
              <w:right w:val="single" w:sz="4" w:space="0" w:color="auto"/>
            </w:tcBorders>
            <w:shd w:val="clear" w:color="auto" w:fill="auto"/>
          </w:tcPr>
          <w:p w14:paraId="7AB061C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69.9</w:t>
            </w:r>
          </w:p>
        </w:tc>
        <w:tc>
          <w:tcPr>
            <w:tcW w:w="939" w:type="dxa"/>
            <w:tcBorders>
              <w:top w:val="nil"/>
              <w:left w:val="single" w:sz="4" w:space="0" w:color="auto"/>
              <w:bottom w:val="nil"/>
              <w:right w:val="single" w:sz="4" w:space="0" w:color="auto"/>
            </w:tcBorders>
            <w:shd w:val="clear" w:color="auto" w:fill="auto"/>
          </w:tcPr>
          <w:p w14:paraId="5BA541C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70.8</w:t>
            </w:r>
          </w:p>
        </w:tc>
        <w:tc>
          <w:tcPr>
            <w:tcW w:w="939" w:type="dxa"/>
            <w:tcBorders>
              <w:top w:val="nil"/>
              <w:left w:val="single" w:sz="4" w:space="0" w:color="auto"/>
              <w:bottom w:val="nil"/>
              <w:right w:val="single" w:sz="4" w:space="0" w:color="auto"/>
            </w:tcBorders>
            <w:shd w:val="clear" w:color="auto" w:fill="auto"/>
          </w:tcPr>
          <w:p w14:paraId="6DDA3C3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48.8</w:t>
            </w:r>
          </w:p>
        </w:tc>
        <w:tc>
          <w:tcPr>
            <w:tcW w:w="939" w:type="dxa"/>
            <w:tcBorders>
              <w:top w:val="nil"/>
              <w:left w:val="single" w:sz="4" w:space="0" w:color="auto"/>
              <w:bottom w:val="nil"/>
              <w:right w:val="single" w:sz="4" w:space="0" w:color="auto"/>
            </w:tcBorders>
            <w:shd w:val="clear" w:color="auto" w:fill="auto"/>
          </w:tcPr>
          <w:p w14:paraId="68444B7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50.1</w:t>
            </w:r>
          </w:p>
        </w:tc>
        <w:tc>
          <w:tcPr>
            <w:tcW w:w="939" w:type="dxa"/>
            <w:tcBorders>
              <w:top w:val="nil"/>
              <w:left w:val="single" w:sz="4" w:space="0" w:color="auto"/>
              <w:bottom w:val="nil"/>
              <w:right w:val="single" w:sz="4" w:space="0" w:color="auto"/>
            </w:tcBorders>
            <w:shd w:val="clear" w:color="auto" w:fill="auto"/>
          </w:tcPr>
          <w:p w14:paraId="1F10E808"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51.2</w:t>
            </w:r>
          </w:p>
        </w:tc>
        <w:tc>
          <w:tcPr>
            <w:tcW w:w="940" w:type="dxa"/>
            <w:tcBorders>
              <w:top w:val="nil"/>
              <w:left w:val="single" w:sz="4" w:space="0" w:color="auto"/>
              <w:bottom w:val="nil"/>
              <w:right w:val="single" w:sz="4" w:space="0" w:color="auto"/>
            </w:tcBorders>
            <w:shd w:val="clear" w:color="auto" w:fill="auto"/>
          </w:tcPr>
          <w:p w14:paraId="66A24AC7"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49.9</w:t>
            </w:r>
          </w:p>
        </w:tc>
      </w:tr>
      <w:tr w:rsidR="001C7F15" w:rsidRPr="001C7F15" w14:paraId="4EB07DAF" w14:textId="77777777" w:rsidTr="00E823BC">
        <w:tc>
          <w:tcPr>
            <w:tcW w:w="1667" w:type="dxa"/>
            <w:tcBorders>
              <w:top w:val="nil"/>
              <w:left w:val="single" w:sz="4" w:space="0" w:color="auto"/>
              <w:bottom w:val="nil"/>
              <w:right w:val="single" w:sz="4" w:space="0" w:color="auto"/>
            </w:tcBorders>
            <w:shd w:val="clear" w:color="auto" w:fill="auto"/>
          </w:tcPr>
          <w:p w14:paraId="6EC61661"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Inbursa</w:t>
            </w:r>
          </w:p>
        </w:tc>
        <w:tc>
          <w:tcPr>
            <w:tcW w:w="939" w:type="dxa"/>
            <w:tcBorders>
              <w:top w:val="nil"/>
              <w:left w:val="single" w:sz="4" w:space="0" w:color="auto"/>
              <w:bottom w:val="nil"/>
              <w:right w:val="single" w:sz="4" w:space="0" w:color="auto"/>
            </w:tcBorders>
            <w:shd w:val="clear" w:color="auto" w:fill="auto"/>
          </w:tcPr>
          <w:p w14:paraId="4055705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17.2</w:t>
            </w:r>
          </w:p>
        </w:tc>
        <w:tc>
          <w:tcPr>
            <w:tcW w:w="939" w:type="dxa"/>
            <w:tcBorders>
              <w:top w:val="nil"/>
              <w:left w:val="single" w:sz="4" w:space="0" w:color="auto"/>
              <w:bottom w:val="nil"/>
              <w:right w:val="single" w:sz="4" w:space="0" w:color="auto"/>
            </w:tcBorders>
            <w:shd w:val="clear" w:color="auto" w:fill="auto"/>
          </w:tcPr>
          <w:p w14:paraId="28C473A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18.4</w:t>
            </w:r>
          </w:p>
        </w:tc>
        <w:tc>
          <w:tcPr>
            <w:tcW w:w="939" w:type="dxa"/>
            <w:tcBorders>
              <w:top w:val="nil"/>
              <w:left w:val="single" w:sz="4" w:space="0" w:color="auto"/>
              <w:bottom w:val="nil"/>
              <w:right w:val="single" w:sz="4" w:space="0" w:color="auto"/>
            </w:tcBorders>
            <w:shd w:val="clear" w:color="auto" w:fill="auto"/>
          </w:tcPr>
          <w:p w14:paraId="1394CB2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82.8</w:t>
            </w:r>
          </w:p>
        </w:tc>
        <w:tc>
          <w:tcPr>
            <w:tcW w:w="939" w:type="dxa"/>
            <w:tcBorders>
              <w:top w:val="nil"/>
              <w:left w:val="single" w:sz="4" w:space="0" w:color="auto"/>
              <w:bottom w:val="nil"/>
              <w:right w:val="single" w:sz="4" w:space="0" w:color="auto"/>
            </w:tcBorders>
            <w:shd w:val="clear" w:color="auto" w:fill="auto"/>
          </w:tcPr>
          <w:p w14:paraId="4E42143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81.6</w:t>
            </w:r>
          </w:p>
        </w:tc>
        <w:tc>
          <w:tcPr>
            <w:tcW w:w="939" w:type="dxa"/>
            <w:tcBorders>
              <w:top w:val="nil"/>
              <w:left w:val="single" w:sz="4" w:space="0" w:color="auto"/>
              <w:bottom w:val="nil"/>
              <w:right w:val="single" w:sz="4" w:space="0" w:color="auto"/>
            </w:tcBorders>
            <w:shd w:val="clear" w:color="auto" w:fill="auto"/>
          </w:tcPr>
          <w:p w14:paraId="580F8B8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42.8</w:t>
            </w:r>
          </w:p>
        </w:tc>
        <w:tc>
          <w:tcPr>
            <w:tcW w:w="939" w:type="dxa"/>
            <w:tcBorders>
              <w:top w:val="nil"/>
              <w:left w:val="single" w:sz="4" w:space="0" w:color="auto"/>
              <w:bottom w:val="nil"/>
              <w:right w:val="single" w:sz="4" w:space="0" w:color="auto"/>
            </w:tcBorders>
            <w:shd w:val="clear" w:color="auto" w:fill="auto"/>
          </w:tcPr>
          <w:p w14:paraId="6767ACC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45.4</w:t>
            </w:r>
          </w:p>
        </w:tc>
        <w:tc>
          <w:tcPr>
            <w:tcW w:w="939" w:type="dxa"/>
            <w:tcBorders>
              <w:top w:val="nil"/>
              <w:left w:val="single" w:sz="4" w:space="0" w:color="auto"/>
              <w:bottom w:val="nil"/>
              <w:right w:val="single" w:sz="4" w:space="0" w:color="auto"/>
            </w:tcBorders>
            <w:shd w:val="clear" w:color="auto" w:fill="auto"/>
          </w:tcPr>
          <w:p w14:paraId="0F5D259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57.2</w:t>
            </w:r>
          </w:p>
        </w:tc>
        <w:tc>
          <w:tcPr>
            <w:tcW w:w="940" w:type="dxa"/>
            <w:tcBorders>
              <w:top w:val="nil"/>
              <w:left w:val="single" w:sz="4" w:space="0" w:color="auto"/>
              <w:bottom w:val="nil"/>
              <w:right w:val="single" w:sz="4" w:space="0" w:color="auto"/>
            </w:tcBorders>
            <w:shd w:val="clear" w:color="auto" w:fill="auto"/>
          </w:tcPr>
          <w:p w14:paraId="0378DC8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54.6</w:t>
            </w:r>
          </w:p>
        </w:tc>
      </w:tr>
      <w:tr w:rsidR="001C7F15" w:rsidRPr="001C7F15" w14:paraId="24FA8B5A" w14:textId="77777777" w:rsidTr="00E823BC">
        <w:tc>
          <w:tcPr>
            <w:tcW w:w="1667" w:type="dxa"/>
            <w:tcBorders>
              <w:top w:val="nil"/>
              <w:left w:val="single" w:sz="4" w:space="0" w:color="auto"/>
              <w:bottom w:val="nil"/>
              <w:right w:val="single" w:sz="4" w:space="0" w:color="auto"/>
            </w:tcBorders>
            <w:shd w:val="clear" w:color="auto" w:fill="auto"/>
          </w:tcPr>
          <w:p w14:paraId="63D27239"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SF Soriana</w:t>
            </w:r>
          </w:p>
        </w:tc>
        <w:tc>
          <w:tcPr>
            <w:tcW w:w="939" w:type="dxa"/>
            <w:tcBorders>
              <w:top w:val="nil"/>
              <w:left w:val="single" w:sz="4" w:space="0" w:color="auto"/>
              <w:bottom w:val="nil"/>
              <w:right w:val="single" w:sz="4" w:space="0" w:color="auto"/>
            </w:tcBorders>
            <w:shd w:val="clear" w:color="auto" w:fill="auto"/>
          </w:tcPr>
          <w:p w14:paraId="1B74D1C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35.4</w:t>
            </w:r>
          </w:p>
        </w:tc>
        <w:tc>
          <w:tcPr>
            <w:tcW w:w="939" w:type="dxa"/>
            <w:tcBorders>
              <w:top w:val="nil"/>
              <w:left w:val="single" w:sz="4" w:space="0" w:color="auto"/>
              <w:bottom w:val="nil"/>
              <w:right w:val="single" w:sz="4" w:space="0" w:color="auto"/>
            </w:tcBorders>
            <w:shd w:val="clear" w:color="auto" w:fill="auto"/>
          </w:tcPr>
          <w:p w14:paraId="6BA03CF8"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30.9</w:t>
            </w:r>
          </w:p>
        </w:tc>
        <w:tc>
          <w:tcPr>
            <w:tcW w:w="939" w:type="dxa"/>
            <w:tcBorders>
              <w:top w:val="nil"/>
              <w:left w:val="single" w:sz="4" w:space="0" w:color="auto"/>
              <w:bottom w:val="nil"/>
              <w:right w:val="single" w:sz="4" w:space="0" w:color="auto"/>
            </w:tcBorders>
            <w:shd w:val="clear" w:color="auto" w:fill="auto"/>
          </w:tcPr>
          <w:p w14:paraId="7D4FDE17"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64.6</w:t>
            </w:r>
          </w:p>
        </w:tc>
        <w:tc>
          <w:tcPr>
            <w:tcW w:w="939" w:type="dxa"/>
            <w:tcBorders>
              <w:top w:val="nil"/>
              <w:left w:val="single" w:sz="4" w:space="0" w:color="auto"/>
              <w:bottom w:val="nil"/>
              <w:right w:val="single" w:sz="4" w:space="0" w:color="auto"/>
            </w:tcBorders>
            <w:shd w:val="clear" w:color="auto" w:fill="auto"/>
          </w:tcPr>
          <w:p w14:paraId="7C081D0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69.1</w:t>
            </w:r>
          </w:p>
        </w:tc>
        <w:tc>
          <w:tcPr>
            <w:tcW w:w="939" w:type="dxa"/>
            <w:tcBorders>
              <w:top w:val="nil"/>
              <w:left w:val="single" w:sz="4" w:space="0" w:color="auto"/>
              <w:bottom w:val="nil"/>
              <w:right w:val="single" w:sz="4" w:space="0" w:color="auto"/>
            </w:tcBorders>
            <w:shd w:val="clear" w:color="auto" w:fill="auto"/>
          </w:tcPr>
          <w:p w14:paraId="5E4F6FE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48.5</w:t>
            </w:r>
          </w:p>
        </w:tc>
        <w:tc>
          <w:tcPr>
            <w:tcW w:w="939" w:type="dxa"/>
            <w:tcBorders>
              <w:top w:val="nil"/>
              <w:left w:val="single" w:sz="4" w:space="0" w:color="auto"/>
              <w:bottom w:val="nil"/>
              <w:right w:val="single" w:sz="4" w:space="0" w:color="auto"/>
            </w:tcBorders>
            <w:shd w:val="clear" w:color="auto" w:fill="auto"/>
          </w:tcPr>
          <w:p w14:paraId="2886198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45.1</w:t>
            </w:r>
          </w:p>
        </w:tc>
        <w:tc>
          <w:tcPr>
            <w:tcW w:w="939" w:type="dxa"/>
            <w:tcBorders>
              <w:top w:val="nil"/>
              <w:left w:val="single" w:sz="4" w:space="0" w:color="auto"/>
              <w:bottom w:val="nil"/>
              <w:right w:val="single" w:sz="4" w:space="0" w:color="auto"/>
            </w:tcBorders>
            <w:shd w:val="clear" w:color="auto" w:fill="auto"/>
          </w:tcPr>
          <w:p w14:paraId="3B8E845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51.5</w:t>
            </w:r>
          </w:p>
        </w:tc>
        <w:tc>
          <w:tcPr>
            <w:tcW w:w="940" w:type="dxa"/>
            <w:tcBorders>
              <w:top w:val="nil"/>
              <w:left w:val="single" w:sz="4" w:space="0" w:color="auto"/>
              <w:bottom w:val="nil"/>
              <w:right w:val="single" w:sz="4" w:space="0" w:color="auto"/>
            </w:tcBorders>
            <w:shd w:val="clear" w:color="auto" w:fill="auto"/>
          </w:tcPr>
          <w:p w14:paraId="657718A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54.9</w:t>
            </w:r>
          </w:p>
        </w:tc>
      </w:tr>
      <w:tr w:rsidR="001C7F15" w:rsidRPr="001C7F15" w14:paraId="37081323" w14:textId="77777777" w:rsidTr="00E823BC">
        <w:tc>
          <w:tcPr>
            <w:tcW w:w="1667" w:type="dxa"/>
            <w:tcBorders>
              <w:top w:val="nil"/>
              <w:left w:val="single" w:sz="4" w:space="0" w:color="auto"/>
              <w:bottom w:val="nil"/>
              <w:right w:val="single" w:sz="4" w:space="0" w:color="auto"/>
            </w:tcBorders>
            <w:shd w:val="clear" w:color="auto" w:fill="auto"/>
          </w:tcPr>
          <w:p w14:paraId="3AC0C1C1"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Invex</w:t>
            </w:r>
          </w:p>
        </w:tc>
        <w:tc>
          <w:tcPr>
            <w:tcW w:w="939" w:type="dxa"/>
            <w:tcBorders>
              <w:top w:val="nil"/>
              <w:left w:val="single" w:sz="4" w:space="0" w:color="auto"/>
              <w:bottom w:val="nil"/>
              <w:right w:val="single" w:sz="4" w:space="0" w:color="auto"/>
            </w:tcBorders>
            <w:shd w:val="clear" w:color="auto" w:fill="auto"/>
          </w:tcPr>
          <w:p w14:paraId="0FD5DC9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33.9</w:t>
            </w:r>
          </w:p>
        </w:tc>
        <w:tc>
          <w:tcPr>
            <w:tcW w:w="939" w:type="dxa"/>
            <w:tcBorders>
              <w:top w:val="nil"/>
              <w:left w:val="single" w:sz="4" w:space="0" w:color="auto"/>
              <w:bottom w:val="nil"/>
              <w:right w:val="single" w:sz="4" w:space="0" w:color="auto"/>
            </w:tcBorders>
            <w:shd w:val="clear" w:color="auto" w:fill="auto"/>
          </w:tcPr>
          <w:p w14:paraId="1A7C274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36.6</w:t>
            </w:r>
          </w:p>
        </w:tc>
        <w:tc>
          <w:tcPr>
            <w:tcW w:w="939" w:type="dxa"/>
            <w:tcBorders>
              <w:top w:val="nil"/>
              <w:left w:val="single" w:sz="4" w:space="0" w:color="auto"/>
              <w:bottom w:val="nil"/>
              <w:right w:val="single" w:sz="4" w:space="0" w:color="auto"/>
            </w:tcBorders>
            <w:shd w:val="clear" w:color="auto" w:fill="auto"/>
          </w:tcPr>
          <w:p w14:paraId="27FCB9B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66.1</w:t>
            </w:r>
          </w:p>
        </w:tc>
        <w:tc>
          <w:tcPr>
            <w:tcW w:w="939" w:type="dxa"/>
            <w:tcBorders>
              <w:top w:val="nil"/>
              <w:left w:val="single" w:sz="4" w:space="0" w:color="auto"/>
              <w:bottom w:val="nil"/>
              <w:right w:val="single" w:sz="4" w:space="0" w:color="auto"/>
            </w:tcBorders>
            <w:shd w:val="clear" w:color="auto" w:fill="auto"/>
          </w:tcPr>
          <w:p w14:paraId="256EA92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63.4</w:t>
            </w:r>
          </w:p>
        </w:tc>
        <w:tc>
          <w:tcPr>
            <w:tcW w:w="939" w:type="dxa"/>
            <w:tcBorders>
              <w:top w:val="nil"/>
              <w:left w:val="single" w:sz="4" w:space="0" w:color="auto"/>
              <w:bottom w:val="nil"/>
              <w:right w:val="single" w:sz="4" w:space="0" w:color="auto"/>
            </w:tcBorders>
            <w:shd w:val="clear" w:color="auto" w:fill="auto"/>
          </w:tcPr>
          <w:p w14:paraId="215B418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52.6</w:t>
            </w:r>
          </w:p>
        </w:tc>
        <w:tc>
          <w:tcPr>
            <w:tcW w:w="939" w:type="dxa"/>
            <w:tcBorders>
              <w:top w:val="nil"/>
              <w:left w:val="single" w:sz="4" w:space="0" w:color="auto"/>
              <w:bottom w:val="nil"/>
              <w:right w:val="single" w:sz="4" w:space="0" w:color="auto"/>
            </w:tcBorders>
            <w:shd w:val="clear" w:color="auto" w:fill="auto"/>
          </w:tcPr>
          <w:p w14:paraId="44EE09D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57.8</w:t>
            </w:r>
          </w:p>
        </w:tc>
        <w:tc>
          <w:tcPr>
            <w:tcW w:w="939" w:type="dxa"/>
            <w:tcBorders>
              <w:top w:val="nil"/>
              <w:left w:val="single" w:sz="4" w:space="0" w:color="auto"/>
              <w:bottom w:val="nil"/>
              <w:right w:val="single" w:sz="4" w:space="0" w:color="auto"/>
            </w:tcBorders>
            <w:shd w:val="clear" w:color="auto" w:fill="auto"/>
          </w:tcPr>
          <w:p w14:paraId="7AFCA4F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47.4</w:t>
            </w:r>
          </w:p>
        </w:tc>
        <w:tc>
          <w:tcPr>
            <w:tcW w:w="940" w:type="dxa"/>
            <w:tcBorders>
              <w:top w:val="nil"/>
              <w:left w:val="single" w:sz="4" w:space="0" w:color="auto"/>
              <w:bottom w:val="nil"/>
              <w:right w:val="single" w:sz="4" w:space="0" w:color="auto"/>
            </w:tcBorders>
            <w:shd w:val="clear" w:color="auto" w:fill="auto"/>
          </w:tcPr>
          <w:p w14:paraId="4950ACF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42.2</w:t>
            </w:r>
          </w:p>
        </w:tc>
      </w:tr>
      <w:tr w:rsidR="001C7F15" w:rsidRPr="001C7F15" w14:paraId="40A10EEE" w14:textId="77777777" w:rsidTr="00E823BC">
        <w:tc>
          <w:tcPr>
            <w:tcW w:w="1667" w:type="dxa"/>
            <w:tcBorders>
              <w:top w:val="nil"/>
              <w:left w:val="single" w:sz="4" w:space="0" w:color="auto"/>
              <w:bottom w:val="nil"/>
              <w:right w:val="single" w:sz="4" w:space="0" w:color="auto"/>
            </w:tcBorders>
            <w:shd w:val="clear" w:color="auto" w:fill="auto"/>
          </w:tcPr>
          <w:p w14:paraId="4BD30147"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Banregio</w:t>
            </w:r>
          </w:p>
        </w:tc>
        <w:tc>
          <w:tcPr>
            <w:tcW w:w="939" w:type="dxa"/>
            <w:tcBorders>
              <w:top w:val="nil"/>
              <w:left w:val="single" w:sz="4" w:space="0" w:color="auto"/>
              <w:bottom w:val="nil"/>
              <w:right w:val="single" w:sz="4" w:space="0" w:color="auto"/>
            </w:tcBorders>
            <w:shd w:val="clear" w:color="auto" w:fill="auto"/>
          </w:tcPr>
          <w:p w14:paraId="78E4D948"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25.1</w:t>
            </w:r>
          </w:p>
        </w:tc>
        <w:tc>
          <w:tcPr>
            <w:tcW w:w="939" w:type="dxa"/>
            <w:tcBorders>
              <w:top w:val="nil"/>
              <w:left w:val="single" w:sz="4" w:space="0" w:color="auto"/>
              <w:bottom w:val="nil"/>
              <w:right w:val="single" w:sz="4" w:space="0" w:color="auto"/>
            </w:tcBorders>
            <w:shd w:val="clear" w:color="auto" w:fill="auto"/>
          </w:tcPr>
          <w:p w14:paraId="7E708CD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24.3</w:t>
            </w:r>
          </w:p>
        </w:tc>
        <w:tc>
          <w:tcPr>
            <w:tcW w:w="939" w:type="dxa"/>
            <w:tcBorders>
              <w:top w:val="nil"/>
              <w:left w:val="single" w:sz="4" w:space="0" w:color="auto"/>
              <w:bottom w:val="nil"/>
              <w:right w:val="single" w:sz="4" w:space="0" w:color="auto"/>
            </w:tcBorders>
            <w:shd w:val="clear" w:color="auto" w:fill="auto"/>
          </w:tcPr>
          <w:p w14:paraId="3ED85E0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74.9</w:t>
            </w:r>
          </w:p>
        </w:tc>
        <w:tc>
          <w:tcPr>
            <w:tcW w:w="939" w:type="dxa"/>
            <w:tcBorders>
              <w:top w:val="nil"/>
              <w:left w:val="single" w:sz="4" w:space="0" w:color="auto"/>
              <w:bottom w:val="nil"/>
              <w:right w:val="single" w:sz="4" w:space="0" w:color="auto"/>
            </w:tcBorders>
            <w:shd w:val="clear" w:color="auto" w:fill="auto"/>
          </w:tcPr>
          <w:p w14:paraId="0D9C6D3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75.7</w:t>
            </w:r>
          </w:p>
        </w:tc>
        <w:tc>
          <w:tcPr>
            <w:tcW w:w="939" w:type="dxa"/>
            <w:tcBorders>
              <w:top w:val="nil"/>
              <w:left w:val="single" w:sz="4" w:space="0" w:color="auto"/>
              <w:bottom w:val="nil"/>
              <w:right w:val="single" w:sz="4" w:space="0" w:color="auto"/>
            </w:tcBorders>
            <w:shd w:val="clear" w:color="auto" w:fill="auto"/>
          </w:tcPr>
          <w:p w14:paraId="4515B62F"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55.7</w:t>
            </w:r>
          </w:p>
        </w:tc>
        <w:tc>
          <w:tcPr>
            <w:tcW w:w="939" w:type="dxa"/>
            <w:tcBorders>
              <w:top w:val="nil"/>
              <w:left w:val="single" w:sz="4" w:space="0" w:color="auto"/>
              <w:bottom w:val="nil"/>
              <w:right w:val="single" w:sz="4" w:space="0" w:color="auto"/>
            </w:tcBorders>
            <w:shd w:val="clear" w:color="auto" w:fill="auto"/>
          </w:tcPr>
          <w:p w14:paraId="6CFB0A8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56.8</w:t>
            </w:r>
          </w:p>
        </w:tc>
        <w:tc>
          <w:tcPr>
            <w:tcW w:w="939" w:type="dxa"/>
            <w:tcBorders>
              <w:top w:val="nil"/>
              <w:left w:val="single" w:sz="4" w:space="0" w:color="auto"/>
              <w:bottom w:val="nil"/>
              <w:right w:val="single" w:sz="4" w:space="0" w:color="auto"/>
            </w:tcBorders>
            <w:shd w:val="clear" w:color="auto" w:fill="auto"/>
          </w:tcPr>
          <w:p w14:paraId="75D0CF7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44.3</w:t>
            </w:r>
          </w:p>
        </w:tc>
        <w:tc>
          <w:tcPr>
            <w:tcW w:w="940" w:type="dxa"/>
            <w:tcBorders>
              <w:top w:val="nil"/>
              <w:left w:val="single" w:sz="4" w:space="0" w:color="auto"/>
              <w:bottom w:val="nil"/>
              <w:right w:val="single" w:sz="4" w:space="0" w:color="auto"/>
            </w:tcBorders>
            <w:shd w:val="clear" w:color="auto" w:fill="auto"/>
          </w:tcPr>
          <w:p w14:paraId="66B4C97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43.2</w:t>
            </w:r>
          </w:p>
        </w:tc>
      </w:tr>
      <w:tr w:rsidR="001C7F15" w:rsidRPr="001C7F15" w14:paraId="72909F9A" w14:textId="77777777" w:rsidTr="00E823BC">
        <w:tc>
          <w:tcPr>
            <w:tcW w:w="1667" w:type="dxa"/>
            <w:tcBorders>
              <w:top w:val="nil"/>
              <w:left w:val="single" w:sz="4" w:space="0" w:color="auto"/>
              <w:bottom w:val="nil"/>
              <w:right w:val="single" w:sz="4" w:space="0" w:color="auto"/>
            </w:tcBorders>
            <w:shd w:val="clear" w:color="auto" w:fill="auto"/>
          </w:tcPr>
          <w:p w14:paraId="7DC6853E"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Banco del Bajío</w:t>
            </w:r>
          </w:p>
        </w:tc>
        <w:tc>
          <w:tcPr>
            <w:tcW w:w="939" w:type="dxa"/>
            <w:tcBorders>
              <w:top w:val="nil"/>
              <w:left w:val="single" w:sz="4" w:space="0" w:color="auto"/>
              <w:bottom w:val="nil"/>
              <w:right w:val="single" w:sz="4" w:space="0" w:color="auto"/>
            </w:tcBorders>
            <w:shd w:val="clear" w:color="auto" w:fill="auto"/>
          </w:tcPr>
          <w:p w14:paraId="43F291F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31.6</w:t>
            </w:r>
          </w:p>
        </w:tc>
        <w:tc>
          <w:tcPr>
            <w:tcW w:w="939" w:type="dxa"/>
            <w:tcBorders>
              <w:top w:val="nil"/>
              <w:left w:val="single" w:sz="4" w:space="0" w:color="auto"/>
              <w:bottom w:val="nil"/>
              <w:right w:val="single" w:sz="4" w:space="0" w:color="auto"/>
            </w:tcBorders>
            <w:shd w:val="clear" w:color="auto" w:fill="auto"/>
          </w:tcPr>
          <w:p w14:paraId="4BD7512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30.4</w:t>
            </w:r>
          </w:p>
        </w:tc>
        <w:tc>
          <w:tcPr>
            <w:tcW w:w="939" w:type="dxa"/>
            <w:tcBorders>
              <w:top w:val="nil"/>
              <w:left w:val="single" w:sz="4" w:space="0" w:color="auto"/>
              <w:bottom w:val="nil"/>
              <w:right w:val="single" w:sz="4" w:space="0" w:color="auto"/>
            </w:tcBorders>
            <w:shd w:val="clear" w:color="auto" w:fill="auto"/>
          </w:tcPr>
          <w:p w14:paraId="1E503E0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68.4</w:t>
            </w:r>
          </w:p>
        </w:tc>
        <w:tc>
          <w:tcPr>
            <w:tcW w:w="939" w:type="dxa"/>
            <w:tcBorders>
              <w:top w:val="nil"/>
              <w:left w:val="single" w:sz="4" w:space="0" w:color="auto"/>
              <w:bottom w:val="nil"/>
              <w:right w:val="single" w:sz="4" w:space="0" w:color="auto"/>
            </w:tcBorders>
            <w:shd w:val="clear" w:color="auto" w:fill="auto"/>
          </w:tcPr>
          <w:p w14:paraId="076745C5"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69.6</w:t>
            </w:r>
          </w:p>
        </w:tc>
        <w:tc>
          <w:tcPr>
            <w:tcW w:w="939" w:type="dxa"/>
            <w:tcBorders>
              <w:top w:val="nil"/>
              <w:left w:val="single" w:sz="4" w:space="0" w:color="auto"/>
              <w:bottom w:val="nil"/>
              <w:right w:val="single" w:sz="4" w:space="0" w:color="auto"/>
            </w:tcBorders>
            <w:shd w:val="clear" w:color="auto" w:fill="auto"/>
          </w:tcPr>
          <w:p w14:paraId="1FEC39C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53.0</w:t>
            </w:r>
          </w:p>
        </w:tc>
        <w:tc>
          <w:tcPr>
            <w:tcW w:w="939" w:type="dxa"/>
            <w:tcBorders>
              <w:top w:val="nil"/>
              <w:left w:val="single" w:sz="4" w:space="0" w:color="auto"/>
              <w:bottom w:val="nil"/>
              <w:right w:val="single" w:sz="4" w:space="0" w:color="auto"/>
            </w:tcBorders>
            <w:shd w:val="clear" w:color="auto" w:fill="auto"/>
          </w:tcPr>
          <w:p w14:paraId="447195B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51.3</w:t>
            </w:r>
          </w:p>
        </w:tc>
        <w:tc>
          <w:tcPr>
            <w:tcW w:w="939" w:type="dxa"/>
            <w:tcBorders>
              <w:top w:val="nil"/>
              <w:left w:val="single" w:sz="4" w:space="0" w:color="auto"/>
              <w:bottom w:val="nil"/>
              <w:right w:val="single" w:sz="4" w:space="0" w:color="auto"/>
            </w:tcBorders>
            <w:shd w:val="clear" w:color="auto" w:fill="auto"/>
          </w:tcPr>
          <w:p w14:paraId="548A0C3C"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47.0</w:t>
            </w:r>
          </w:p>
        </w:tc>
        <w:tc>
          <w:tcPr>
            <w:tcW w:w="940" w:type="dxa"/>
            <w:tcBorders>
              <w:top w:val="nil"/>
              <w:left w:val="single" w:sz="4" w:space="0" w:color="auto"/>
              <w:bottom w:val="nil"/>
              <w:right w:val="single" w:sz="4" w:space="0" w:color="auto"/>
            </w:tcBorders>
            <w:shd w:val="clear" w:color="auto" w:fill="auto"/>
          </w:tcPr>
          <w:p w14:paraId="4F0449D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48.7</w:t>
            </w:r>
          </w:p>
        </w:tc>
      </w:tr>
      <w:tr w:rsidR="001C7F15" w:rsidRPr="001C7F15" w14:paraId="49941EC5" w14:textId="77777777" w:rsidTr="00E823BC">
        <w:tc>
          <w:tcPr>
            <w:tcW w:w="1667" w:type="dxa"/>
            <w:tcBorders>
              <w:top w:val="nil"/>
              <w:left w:val="single" w:sz="4" w:space="0" w:color="auto"/>
              <w:bottom w:val="nil"/>
              <w:right w:val="single" w:sz="4" w:space="0" w:color="auto"/>
            </w:tcBorders>
            <w:shd w:val="clear" w:color="auto" w:fill="auto"/>
          </w:tcPr>
          <w:p w14:paraId="3147DE7E"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Crédito Familiar</w:t>
            </w:r>
          </w:p>
        </w:tc>
        <w:tc>
          <w:tcPr>
            <w:tcW w:w="939" w:type="dxa"/>
            <w:tcBorders>
              <w:top w:val="nil"/>
              <w:left w:val="single" w:sz="4" w:space="0" w:color="auto"/>
              <w:bottom w:val="nil"/>
              <w:right w:val="single" w:sz="4" w:space="0" w:color="auto"/>
            </w:tcBorders>
            <w:shd w:val="clear" w:color="auto" w:fill="auto"/>
          </w:tcPr>
          <w:p w14:paraId="2D2F51E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n. a.</w:t>
            </w:r>
          </w:p>
        </w:tc>
        <w:tc>
          <w:tcPr>
            <w:tcW w:w="939" w:type="dxa"/>
            <w:tcBorders>
              <w:top w:val="nil"/>
              <w:left w:val="single" w:sz="4" w:space="0" w:color="auto"/>
              <w:bottom w:val="nil"/>
              <w:right w:val="single" w:sz="4" w:space="0" w:color="auto"/>
            </w:tcBorders>
            <w:shd w:val="clear" w:color="auto" w:fill="auto"/>
          </w:tcPr>
          <w:p w14:paraId="0B64F0D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16.5</w:t>
            </w:r>
          </w:p>
        </w:tc>
        <w:tc>
          <w:tcPr>
            <w:tcW w:w="939" w:type="dxa"/>
            <w:tcBorders>
              <w:top w:val="nil"/>
              <w:left w:val="single" w:sz="4" w:space="0" w:color="auto"/>
              <w:bottom w:val="nil"/>
              <w:right w:val="single" w:sz="4" w:space="0" w:color="auto"/>
            </w:tcBorders>
            <w:shd w:val="clear" w:color="auto" w:fill="auto"/>
          </w:tcPr>
          <w:p w14:paraId="3A793D1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n. a.</w:t>
            </w:r>
          </w:p>
        </w:tc>
        <w:tc>
          <w:tcPr>
            <w:tcW w:w="939" w:type="dxa"/>
            <w:tcBorders>
              <w:top w:val="nil"/>
              <w:left w:val="single" w:sz="4" w:space="0" w:color="auto"/>
              <w:bottom w:val="nil"/>
              <w:right w:val="single" w:sz="4" w:space="0" w:color="auto"/>
            </w:tcBorders>
            <w:shd w:val="clear" w:color="auto" w:fill="auto"/>
          </w:tcPr>
          <w:p w14:paraId="582A011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83.5</w:t>
            </w:r>
          </w:p>
        </w:tc>
        <w:tc>
          <w:tcPr>
            <w:tcW w:w="939" w:type="dxa"/>
            <w:tcBorders>
              <w:top w:val="nil"/>
              <w:left w:val="single" w:sz="4" w:space="0" w:color="auto"/>
              <w:bottom w:val="nil"/>
              <w:right w:val="single" w:sz="4" w:space="0" w:color="auto"/>
            </w:tcBorders>
            <w:shd w:val="clear" w:color="auto" w:fill="auto"/>
          </w:tcPr>
          <w:p w14:paraId="5E787F6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n. a.</w:t>
            </w:r>
          </w:p>
        </w:tc>
        <w:tc>
          <w:tcPr>
            <w:tcW w:w="939" w:type="dxa"/>
            <w:tcBorders>
              <w:top w:val="nil"/>
              <w:left w:val="single" w:sz="4" w:space="0" w:color="auto"/>
              <w:bottom w:val="nil"/>
              <w:right w:val="single" w:sz="4" w:space="0" w:color="auto"/>
            </w:tcBorders>
            <w:shd w:val="clear" w:color="auto" w:fill="auto"/>
          </w:tcPr>
          <w:p w14:paraId="4FBBBD0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41.5</w:t>
            </w:r>
          </w:p>
        </w:tc>
        <w:tc>
          <w:tcPr>
            <w:tcW w:w="939" w:type="dxa"/>
            <w:tcBorders>
              <w:top w:val="nil"/>
              <w:left w:val="single" w:sz="4" w:space="0" w:color="auto"/>
              <w:bottom w:val="nil"/>
              <w:right w:val="single" w:sz="4" w:space="0" w:color="auto"/>
            </w:tcBorders>
            <w:shd w:val="clear" w:color="auto" w:fill="auto"/>
          </w:tcPr>
          <w:p w14:paraId="704E802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n. a.</w:t>
            </w:r>
          </w:p>
        </w:tc>
        <w:tc>
          <w:tcPr>
            <w:tcW w:w="940" w:type="dxa"/>
            <w:tcBorders>
              <w:top w:val="nil"/>
              <w:left w:val="single" w:sz="4" w:space="0" w:color="auto"/>
              <w:bottom w:val="nil"/>
              <w:right w:val="single" w:sz="4" w:space="0" w:color="auto"/>
            </w:tcBorders>
            <w:shd w:val="clear" w:color="auto" w:fill="auto"/>
          </w:tcPr>
          <w:p w14:paraId="0E96C87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58.5</w:t>
            </w:r>
          </w:p>
        </w:tc>
      </w:tr>
      <w:tr w:rsidR="001C7F15" w:rsidRPr="001C7F15" w14:paraId="2E7AA45C" w14:textId="77777777" w:rsidTr="00E823BC">
        <w:tc>
          <w:tcPr>
            <w:tcW w:w="1667" w:type="dxa"/>
            <w:tcBorders>
              <w:top w:val="nil"/>
              <w:left w:val="single" w:sz="4" w:space="0" w:color="auto"/>
              <w:bottom w:val="nil"/>
              <w:right w:val="single" w:sz="4" w:space="0" w:color="auto"/>
            </w:tcBorders>
            <w:shd w:val="clear" w:color="auto" w:fill="auto"/>
          </w:tcPr>
          <w:p w14:paraId="526D3A3E"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Banca Afirme</w:t>
            </w:r>
          </w:p>
        </w:tc>
        <w:tc>
          <w:tcPr>
            <w:tcW w:w="939" w:type="dxa"/>
            <w:tcBorders>
              <w:top w:val="nil"/>
              <w:left w:val="single" w:sz="4" w:space="0" w:color="auto"/>
              <w:bottom w:val="nil"/>
              <w:right w:val="single" w:sz="4" w:space="0" w:color="auto"/>
            </w:tcBorders>
            <w:shd w:val="clear" w:color="auto" w:fill="auto"/>
          </w:tcPr>
          <w:p w14:paraId="43602BB9"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10.5</w:t>
            </w:r>
          </w:p>
        </w:tc>
        <w:tc>
          <w:tcPr>
            <w:tcW w:w="939" w:type="dxa"/>
            <w:tcBorders>
              <w:top w:val="nil"/>
              <w:left w:val="single" w:sz="4" w:space="0" w:color="auto"/>
              <w:bottom w:val="nil"/>
              <w:right w:val="single" w:sz="4" w:space="0" w:color="auto"/>
            </w:tcBorders>
            <w:shd w:val="clear" w:color="auto" w:fill="auto"/>
          </w:tcPr>
          <w:p w14:paraId="5B7A31D2"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10.5</w:t>
            </w:r>
          </w:p>
        </w:tc>
        <w:tc>
          <w:tcPr>
            <w:tcW w:w="939" w:type="dxa"/>
            <w:tcBorders>
              <w:top w:val="nil"/>
              <w:left w:val="single" w:sz="4" w:space="0" w:color="auto"/>
              <w:bottom w:val="nil"/>
              <w:right w:val="single" w:sz="4" w:space="0" w:color="auto"/>
            </w:tcBorders>
            <w:shd w:val="clear" w:color="auto" w:fill="auto"/>
          </w:tcPr>
          <w:p w14:paraId="79D6286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89.5</w:t>
            </w:r>
          </w:p>
        </w:tc>
        <w:tc>
          <w:tcPr>
            <w:tcW w:w="939" w:type="dxa"/>
            <w:tcBorders>
              <w:top w:val="nil"/>
              <w:left w:val="single" w:sz="4" w:space="0" w:color="auto"/>
              <w:bottom w:val="nil"/>
              <w:right w:val="single" w:sz="4" w:space="0" w:color="auto"/>
            </w:tcBorders>
            <w:shd w:val="clear" w:color="auto" w:fill="auto"/>
          </w:tcPr>
          <w:p w14:paraId="27D976A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89.5</w:t>
            </w:r>
          </w:p>
        </w:tc>
        <w:tc>
          <w:tcPr>
            <w:tcW w:w="939" w:type="dxa"/>
            <w:tcBorders>
              <w:top w:val="nil"/>
              <w:left w:val="single" w:sz="4" w:space="0" w:color="auto"/>
              <w:bottom w:val="nil"/>
              <w:right w:val="single" w:sz="4" w:space="0" w:color="auto"/>
            </w:tcBorders>
            <w:shd w:val="clear" w:color="auto" w:fill="auto"/>
          </w:tcPr>
          <w:p w14:paraId="5CA8A56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55.7</w:t>
            </w:r>
          </w:p>
        </w:tc>
        <w:tc>
          <w:tcPr>
            <w:tcW w:w="939" w:type="dxa"/>
            <w:tcBorders>
              <w:top w:val="nil"/>
              <w:left w:val="single" w:sz="4" w:space="0" w:color="auto"/>
              <w:bottom w:val="nil"/>
              <w:right w:val="single" w:sz="4" w:space="0" w:color="auto"/>
            </w:tcBorders>
            <w:shd w:val="clear" w:color="auto" w:fill="auto"/>
          </w:tcPr>
          <w:p w14:paraId="4CDD3821"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63.6</w:t>
            </w:r>
          </w:p>
        </w:tc>
        <w:tc>
          <w:tcPr>
            <w:tcW w:w="939" w:type="dxa"/>
            <w:tcBorders>
              <w:top w:val="nil"/>
              <w:left w:val="single" w:sz="4" w:space="0" w:color="auto"/>
              <w:bottom w:val="nil"/>
              <w:right w:val="single" w:sz="4" w:space="0" w:color="auto"/>
            </w:tcBorders>
            <w:shd w:val="clear" w:color="auto" w:fill="auto"/>
          </w:tcPr>
          <w:p w14:paraId="5DBF252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44.3</w:t>
            </w:r>
          </w:p>
        </w:tc>
        <w:tc>
          <w:tcPr>
            <w:tcW w:w="940" w:type="dxa"/>
            <w:tcBorders>
              <w:top w:val="nil"/>
              <w:left w:val="single" w:sz="4" w:space="0" w:color="auto"/>
              <w:bottom w:val="nil"/>
              <w:right w:val="single" w:sz="4" w:space="0" w:color="auto"/>
            </w:tcBorders>
            <w:shd w:val="clear" w:color="auto" w:fill="auto"/>
          </w:tcPr>
          <w:p w14:paraId="09020B5D"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36.4</w:t>
            </w:r>
          </w:p>
        </w:tc>
      </w:tr>
      <w:tr w:rsidR="001C7F15" w:rsidRPr="001C7F15" w14:paraId="5D146999" w14:textId="77777777" w:rsidTr="00E823BC">
        <w:tc>
          <w:tcPr>
            <w:tcW w:w="1667" w:type="dxa"/>
            <w:tcBorders>
              <w:top w:val="nil"/>
              <w:left w:val="single" w:sz="4" w:space="0" w:color="auto"/>
              <w:bottom w:val="nil"/>
              <w:right w:val="single" w:sz="4" w:space="0" w:color="auto"/>
            </w:tcBorders>
            <w:shd w:val="clear" w:color="auto" w:fill="auto"/>
          </w:tcPr>
          <w:p w14:paraId="32003264" w14:textId="77777777" w:rsidR="001C7F15" w:rsidRPr="001C7F15" w:rsidRDefault="001C7F15" w:rsidP="001C7F15">
            <w:pPr>
              <w:autoSpaceDE w:val="0"/>
              <w:autoSpaceDN w:val="0"/>
              <w:adjustRightInd w:val="0"/>
              <w:spacing w:before="40" w:after="40"/>
              <w:jc w:val="both"/>
              <w:rPr>
                <w:rFonts w:eastAsia="Calibri"/>
                <w:bCs/>
                <w:sz w:val="16"/>
                <w:szCs w:val="16"/>
                <w:lang w:eastAsia="en-US"/>
              </w:rPr>
            </w:pPr>
            <w:r w:rsidRPr="001C7F15">
              <w:rPr>
                <w:rFonts w:eastAsia="Calibri"/>
                <w:bCs/>
                <w:sz w:val="16"/>
                <w:szCs w:val="16"/>
                <w:lang w:eastAsia="en-US"/>
              </w:rPr>
              <w:t>ConsuBanco</w:t>
            </w:r>
          </w:p>
        </w:tc>
        <w:tc>
          <w:tcPr>
            <w:tcW w:w="939" w:type="dxa"/>
            <w:tcBorders>
              <w:top w:val="nil"/>
              <w:left w:val="single" w:sz="4" w:space="0" w:color="auto"/>
              <w:bottom w:val="nil"/>
              <w:right w:val="single" w:sz="4" w:space="0" w:color="auto"/>
            </w:tcBorders>
            <w:shd w:val="clear" w:color="auto" w:fill="auto"/>
          </w:tcPr>
          <w:p w14:paraId="4C99FF6B"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0.0</w:t>
            </w:r>
          </w:p>
        </w:tc>
        <w:tc>
          <w:tcPr>
            <w:tcW w:w="939" w:type="dxa"/>
            <w:tcBorders>
              <w:top w:val="nil"/>
              <w:left w:val="single" w:sz="4" w:space="0" w:color="auto"/>
              <w:bottom w:val="nil"/>
              <w:right w:val="single" w:sz="4" w:space="0" w:color="auto"/>
            </w:tcBorders>
            <w:shd w:val="clear" w:color="auto" w:fill="auto"/>
          </w:tcPr>
          <w:p w14:paraId="4AE88496"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0.0</w:t>
            </w:r>
          </w:p>
        </w:tc>
        <w:tc>
          <w:tcPr>
            <w:tcW w:w="939" w:type="dxa"/>
            <w:tcBorders>
              <w:top w:val="nil"/>
              <w:left w:val="single" w:sz="4" w:space="0" w:color="auto"/>
              <w:bottom w:val="nil"/>
              <w:right w:val="single" w:sz="4" w:space="0" w:color="auto"/>
            </w:tcBorders>
            <w:shd w:val="clear" w:color="auto" w:fill="auto"/>
          </w:tcPr>
          <w:p w14:paraId="55334AB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100.0</w:t>
            </w:r>
          </w:p>
        </w:tc>
        <w:tc>
          <w:tcPr>
            <w:tcW w:w="939" w:type="dxa"/>
            <w:tcBorders>
              <w:top w:val="nil"/>
              <w:left w:val="single" w:sz="4" w:space="0" w:color="auto"/>
              <w:bottom w:val="nil"/>
              <w:right w:val="single" w:sz="4" w:space="0" w:color="auto"/>
            </w:tcBorders>
            <w:shd w:val="clear" w:color="auto" w:fill="auto"/>
          </w:tcPr>
          <w:p w14:paraId="2BC6B26A"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100.0</w:t>
            </w:r>
          </w:p>
        </w:tc>
        <w:tc>
          <w:tcPr>
            <w:tcW w:w="939" w:type="dxa"/>
            <w:tcBorders>
              <w:top w:val="nil"/>
              <w:left w:val="single" w:sz="4" w:space="0" w:color="auto"/>
              <w:bottom w:val="nil"/>
              <w:right w:val="single" w:sz="4" w:space="0" w:color="auto"/>
            </w:tcBorders>
            <w:shd w:val="clear" w:color="auto" w:fill="auto"/>
          </w:tcPr>
          <w:p w14:paraId="00B7551E"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51.5</w:t>
            </w:r>
          </w:p>
        </w:tc>
        <w:tc>
          <w:tcPr>
            <w:tcW w:w="939" w:type="dxa"/>
            <w:tcBorders>
              <w:top w:val="nil"/>
              <w:left w:val="single" w:sz="4" w:space="0" w:color="auto"/>
              <w:bottom w:val="nil"/>
              <w:right w:val="single" w:sz="4" w:space="0" w:color="auto"/>
            </w:tcBorders>
            <w:shd w:val="clear" w:color="auto" w:fill="auto"/>
          </w:tcPr>
          <w:p w14:paraId="144913C0"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57.5</w:t>
            </w:r>
          </w:p>
        </w:tc>
        <w:tc>
          <w:tcPr>
            <w:tcW w:w="939" w:type="dxa"/>
            <w:tcBorders>
              <w:top w:val="nil"/>
              <w:left w:val="single" w:sz="4" w:space="0" w:color="auto"/>
              <w:bottom w:val="nil"/>
              <w:right w:val="single" w:sz="4" w:space="0" w:color="auto"/>
            </w:tcBorders>
            <w:shd w:val="clear" w:color="auto" w:fill="auto"/>
          </w:tcPr>
          <w:p w14:paraId="52877AE7"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48.5</w:t>
            </w:r>
          </w:p>
        </w:tc>
        <w:tc>
          <w:tcPr>
            <w:tcW w:w="940" w:type="dxa"/>
            <w:tcBorders>
              <w:top w:val="nil"/>
              <w:left w:val="single" w:sz="4" w:space="0" w:color="auto"/>
              <w:bottom w:val="nil"/>
              <w:right w:val="single" w:sz="4" w:space="0" w:color="auto"/>
            </w:tcBorders>
            <w:shd w:val="clear" w:color="auto" w:fill="auto"/>
          </w:tcPr>
          <w:p w14:paraId="3282C034" w14:textId="77777777" w:rsidR="001C7F15" w:rsidRPr="001C7F15" w:rsidRDefault="001C7F15" w:rsidP="001C7F15">
            <w:pPr>
              <w:autoSpaceDE w:val="0"/>
              <w:autoSpaceDN w:val="0"/>
              <w:adjustRightInd w:val="0"/>
              <w:spacing w:before="40" w:after="40"/>
              <w:ind w:right="227"/>
              <w:jc w:val="right"/>
              <w:rPr>
                <w:rFonts w:eastAsia="Calibri"/>
                <w:sz w:val="16"/>
                <w:szCs w:val="16"/>
                <w:lang w:eastAsia="en-US"/>
              </w:rPr>
            </w:pPr>
            <w:r w:rsidRPr="001C7F15">
              <w:rPr>
                <w:rFonts w:eastAsia="Calibri"/>
                <w:sz w:val="16"/>
                <w:szCs w:val="16"/>
                <w:lang w:eastAsia="en-US"/>
              </w:rPr>
              <w:t>42.5</w:t>
            </w:r>
          </w:p>
        </w:tc>
      </w:tr>
      <w:tr w:rsidR="001C7F15" w:rsidRPr="001C7F15" w14:paraId="726FE726" w14:textId="77777777" w:rsidTr="00E823BC">
        <w:tc>
          <w:tcPr>
            <w:tcW w:w="1667" w:type="dxa"/>
            <w:tcBorders>
              <w:top w:val="nil"/>
              <w:left w:val="single" w:sz="4" w:space="0" w:color="auto"/>
              <w:bottom w:val="single" w:sz="4" w:space="0" w:color="auto"/>
              <w:right w:val="single" w:sz="4" w:space="0" w:color="auto"/>
            </w:tcBorders>
            <w:shd w:val="clear" w:color="auto" w:fill="auto"/>
          </w:tcPr>
          <w:p w14:paraId="73240332" w14:textId="77777777" w:rsidR="001C7F15" w:rsidRPr="001C7F15" w:rsidRDefault="001C7F15" w:rsidP="001C7F15">
            <w:pPr>
              <w:autoSpaceDE w:val="0"/>
              <w:autoSpaceDN w:val="0"/>
              <w:adjustRightInd w:val="0"/>
              <w:spacing w:before="40" w:after="120"/>
              <w:jc w:val="both"/>
              <w:rPr>
                <w:rFonts w:eastAsia="Calibri"/>
                <w:bCs/>
                <w:sz w:val="16"/>
                <w:szCs w:val="16"/>
                <w:lang w:eastAsia="en-US"/>
              </w:rPr>
            </w:pPr>
            <w:r w:rsidRPr="001C7F15">
              <w:rPr>
                <w:rFonts w:eastAsia="Calibri"/>
                <w:bCs/>
                <w:sz w:val="16"/>
                <w:szCs w:val="16"/>
                <w:lang w:eastAsia="en-US"/>
              </w:rPr>
              <w:t>CrediScotia</w:t>
            </w:r>
          </w:p>
        </w:tc>
        <w:tc>
          <w:tcPr>
            <w:tcW w:w="939" w:type="dxa"/>
            <w:tcBorders>
              <w:top w:val="nil"/>
              <w:left w:val="single" w:sz="4" w:space="0" w:color="auto"/>
              <w:bottom w:val="single" w:sz="4" w:space="0" w:color="auto"/>
              <w:right w:val="single" w:sz="4" w:space="0" w:color="auto"/>
            </w:tcBorders>
            <w:shd w:val="clear" w:color="auto" w:fill="auto"/>
          </w:tcPr>
          <w:p w14:paraId="479B9597"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4.3</w:t>
            </w:r>
          </w:p>
        </w:tc>
        <w:tc>
          <w:tcPr>
            <w:tcW w:w="939" w:type="dxa"/>
            <w:tcBorders>
              <w:top w:val="nil"/>
              <w:left w:val="single" w:sz="4" w:space="0" w:color="auto"/>
              <w:bottom w:val="single" w:sz="4" w:space="0" w:color="auto"/>
              <w:right w:val="single" w:sz="4" w:space="0" w:color="auto"/>
            </w:tcBorders>
            <w:shd w:val="clear" w:color="auto" w:fill="auto"/>
          </w:tcPr>
          <w:p w14:paraId="36C6A895"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2.9</w:t>
            </w:r>
          </w:p>
        </w:tc>
        <w:tc>
          <w:tcPr>
            <w:tcW w:w="939" w:type="dxa"/>
            <w:tcBorders>
              <w:top w:val="nil"/>
              <w:left w:val="single" w:sz="4" w:space="0" w:color="auto"/>
              <w:bottom w:val="single" w:sz="4" w:space="0" w:color="auto"/>
              <w:right w:val="single" w:sz="4" w:space="0" w:color="auto"/>
            </w:tcBorders>
            <w:shd w:val="clear" w:color="auto" w:fill="auto"/>
          </w:tcPr>
          <w:p w14:paraId="7E3E3717"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95.7</w:t>
            </w:r>
          </w:p>
        </w:tc>
        <w:tc>
          <w:tcPr>
            <w:tcW w:w="939" w:type="dxa"/>
            <w:tcBorders>
              <w:top w:val="nil"/>
              <w:left w:val="single" w:sz="4" w:space="0" w:color="auto"/>
              <w:bottom w:val="single" w:sz="4" w:space="0" w:color="auto"/>
              <w:right w:val="single" w:sz="4" w:space="0" w:color="auto"/>
            </w:tcBorders>
            <w:shd w:val="clear" w:color="auto" w:fill="auto"/>
          </w:tcPr>
          <w:p w14:paraId="33D45AD4"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97.1</w:t>
            </w:r>
          </w:p>
        </w:tc>
        <w:tc>
          <w:tcPr>
            <w:tcW w:w="939" w:type="dxa"/>
            <w:tcBorders>
              <w:top w:val="nil"/>
              <w:left w:val="single" w:sz="4" w:space="0" w:color="auto"/>
              <w:bottom w:val="single" w:sz="4" w:space="0" w:color="auto"/>
              <w:right w:val="single" w:sz="4" w:space="0" w:color="auto"/>
            </w:tcBorders>
            <w:shd w:val="clear" w:color="auto" w:fill="auto"/>
          </w:tcPr>
          <w:p w14:paraId="74AD3906"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31.3</w:t>
            </w:r>
          </w:p>
        </w:tc>
        <w:tc>
          <w:tcPr>
            <w:tcW w:w="939" w:type="dxa"/>
            <w:tcBorders>
              <w:top w:val="nil"/>
              <w:left w:val="single" w:sz="4" w:space="0" w:color="auto"/>
              <w:bottom w:val="single" w:sz="4" w:space="0" w:color="auto"/>
              <w:right w:val="single" w:sz="4" w:space="0" w:color="auto"/>
            </w:tcBorders>
            <w:shd w:val="clear" w:color="auto" w:fill="auto"/>
          </w:tcPr>
          <w:p w14:paraId="34719C5B"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38.4</w:t>
            </w:r>
          </w:p>
        </w:tc>
        <w:tc>
          <w:tcPr>
            <w:tcW w:w="939" w:type="dxa"/>
            <w:tcBorders>
              <w:top w:val="nil"/>
              <w:left w:val="single" w:sz="4" w:space="0" w:color="auto"/>
              <w:bottom w:val="single" w:sz="4" w:space="0" w:color="auto"/>
              <w:right w:val="single" w:sz="4" w:space="0" w:color="auto"/>
            </w:tcBorders>
            <w:shd w:val="clear" w:color="auto" w:fill="auto"/>
          </w:tcPr>
          <w:p w14:paraId="05882E99"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68.7</w:t>
            </w:r>
          </w:p>
        </w:tc>
        <w:tc>
          <w:tcPr>
            <w:tcW w:w="940" w:type="dxa"/>
            <w:tcBorders>
              <w:top w:val="nil"/>
              <w:left w:val="single" w:sz="4" w:space="0" w:color="auto"/>
              <w:bottom w:val="single" w:sz="4" w:space="0" w:color="auto"/>
              <w:right w:val="single" w:sz="4" w:space="0" w:color="auto"/>
            </w:tcBorders>
            <w:shd w:val="clear" w:color="auto" w:fill="auto"/>
          </w:tcPr>
          <w:p w14:paraId="54704766" w14:textId="77777777" w:rsidR="001C7F15" w:rsidRPr="001C7F15" w:rsidRDefault="001C7F15" w:rsidP="001C7F15">
            <w:pPr>
              <w:autoSpaceDE w:val="0"/>
              <w:autoSpaceDN w:val="0"/>
              <w:adjustRightInd w:val="0"/>
              <w:spacing w:before="40" w:after="120"/>
              <w:ind w:right="227"/>
              <w:jc w:val="right"/>
              <w:rPr>
                <w:rFonts w:eastAsia="Calibri"/>
                <w:sz w:val="16"/>
                <w:szCs w:val="16"/>
                <w:lang w:eastAsia="en-US"/>
              </w:rPr>
            </w:pPr>
            <w:r w:rsidRPr="001C7F15">
              <w:rPr>
                <w:rFonts w:eastAsia="Calibri"/>
                <w:sz w:val="16"/>
                <w:szCs w:val="16"/>
                <w:lang w:eastAsia="en-US"/>
              </w:rPr>
              <w:t>61.6</w:t>
            </w:r>
          </w:p>
        </w:tc>
      </w:tr>
      <w:tr w:rsidR="001C7F15" w:rsidRPr="001C7F15" w14:paraId="6900F271" w14:textId="77777777" w:rsidTr="00E823BC">
        <w:tc>
          <w:tcPr>
            <w:tcW w:w="9180" w:type="dxa"/>
            <w:gridSpan w:val="9"/>
            <w:tcBorders>
              <w:top w:val="single" w:sz="4" w:space="0" w:color="auto"/>
              <w:bottom w:val="nil"/>
            </w:tcBorders>
            <w:shd w:val="clear" w:color="auto" w:fill="auto"/>
          </w:tcPr>
          <w:p w14:paraId="4A038781" w14:textId="77777777" w:rsidR="001C7F15" w:rsidRPr="001C7F15" w:rsidRDefault="001C7F15" w:rsidP="00667577">
            <w:pPr>
              <w:numPr>
                <w:ilvl w:val="0"/>
                <w:numId w:val="190"/>
              </w:numPr>
              <w:spacing w:before="120"/>
              <w:ind w:left="357" w:hanging="357"/>
              <w:jc w:val="both"/>
              <w:rPr>
                <w:rFonts w:eastAsia="Calibri"/>
                <w:bCs/>
                <w:sz w:val="20"/>
                <w:szCs w:val="20"/>
                <w:lang w:eastAsia="en-US"/>
              </w:rPr>
            </w:pPr>
            <w:r w:rsidRPr="001C7F15">
              <w:rPr>
                <w:rFonts w:eastAsia="Calibri"/>
                <w:bCs/>
                <w:sz w:val="20"/>
                <w:szCs w:val="20"/>
                <w:lang w:eastAsia="en-US"/>
              </w:rPr>
              <w:t>Los bancos están ordenados respecto al número de tarjetas de los clientes totaleros y no totaleros en agosto de 2013.</w:t>
            </w:r>
          </w:p>
          <w:p w14:paraId="04722C85" w14:textId="77777777" w:rsidR="001C7F15" w:rsidRPr="001C7F15" w:rsidRDefault="001C7F15" w:rsidP="001C7F15">
            <w:pPr>
              <w:jc w:val="both"/>
              <w:rPr>
                <w:rFonts w:eastAsia="Calibri"/>
                <w:bCs/>
                <w:sz w:val="20"/>
                <w:szCs w:val="20"/>
                <w:lang w:eastAsia="en-US"/>
              </w:rPr>
            </w:pPr>
            <w:r w:rsidRPr="001C7F15">
              <w:rPr>
                <w:rFonts w:eastAsia="Calibri"/>
                <w:bCs/>
                <w:sz w:val="20"/>
                <w:szCs w:val="20"/>
                <w:lang w:eastAsia="en-US"/>
              </w:rPr>
              <w:t>n. a. = No aplica.</w:t>
            </w:r>
          </w:p>
          <w:p w14:paraId="2B2296D3" w14:textId="77777777" w:rsidR="001C7F15" w:rsidRPr="001C7F15" w:rsidRDefault="001C7F15" w:rsidP="001C7F15">
            <w:pPr>
              <w:ind w:left="907" w:hanging="907"/>
              <w:jc w:val="both"/>
              <w:rPr>
                <w:rFonts w:eastAsia="Calibri"/>
                <w:bCs/>
                <w:sz w:val="18"/>
                <w:szCs w:val="18"/>
                <w:lang w:eastAsia="en-US"/>
              </w:rPr>
            </w:pPr>
            <w:r w:rsidRPr="001C7F15">
              <w:rPr>
                <w:rFonts w:eastAsia="Calibri"/>
                <w:bCs/>
                <w:sz w:val="20"/>
                <w:szCs w:val="20"/>
                <w:lang w:eastAsia="en-US"/>
              </w:rPr>
              <w:t>FUENTE: Banco de México, con datos proporcionados por las instituciones de crédito, cifras sujetas a revisión.</w:t>
            </w:r>
          </w:p>
        </w:tc>
      </w:tr>
    </w:tbl>
    <w:p w14:paraId="6461D86D" w14:textId="77777777" w:rsidR="001C7F15" w:rsidRPr="001C7F15" w:rsidRDefault="001C7F15" w:rsidP="001C7F15">
      <w:pPr>
        <w:spacing w:after="360" w:line="360" w:lineRule="auto"/>
        <w:ind w:right="-159"/>
        <w:jc w:val="both"/>
        <w:rPr>
          <w:rFonts w:eastAsia="Times New Roman"/>
          <w:bCs/>
          <w:sz w:val="26"/>
          <w:szCs w:val="26"/>
          <w:lang w:val="es-ES"/>
        </w:rPr>
      </w:pPr>
    </w:p>
    <w:p w14:paraId="3646F236" w14:textId="77777777" w:rsidR="001C7F15" w:rsidRPr="001C7F15" w:rsidRDefault="001C7F15" w:rsidP="001C7F15">
      <w:pPr>
        <w:spacing w:after="360" w:line="360" w:lineRule="auto"/>
        <w:ind w:right="-159"/>
        <w:jc w:val="both"/>
        <w:rPr>
          <w:rFonts w:eastAsia="Calibri"/>
          <w:b/>
          <w:sz w:val="26"/>
          <w:szCs w:val="26"/>
          <w:lang w:eastAsia="en-US"/>
        </w:rPr>
      </w:pPr>
      <w:r w:rsidRPr="001C7F15">
        <w:rPr>
          <w:rFonts w:eastAsia="Calibri"/>
          <w:b/>
          <w:sz w:val="26"/>
          <w:szCs w:val="26"/>
          <w:lang w:eastAsia="en-US"/>
        </w:rPr>
        <w:t>3. Información básica del sistema</w:t>
      </w:r>
    </w:p>
    <w:tbl>
      <w:tblPr>
        <w:tblW w:w="0" w:type="auto"/>
        <w:jc w:val="center"/>
        <w:tblLook w:val="04A0" w:firstRow="1" w:lastRow="0" w:firstColumn="1" w:lastColumn="0" w:noHBand="0" w:noVBand="1"/>
      </w:tblPr>
      <w:tblGrid>
        <w:gridCol w:w="4673"/>
        <w:gridCol w:w="1559"/>
        <w:gridCol w:w="1449"/>
      </w:tblGrid>
      <w:tr w:rsidR="001C7F15" w:rsidRPr="001C7F15" w14:paraId="7FFD382E" w14:textId="77777777" w:rsidTr="00E823BC">
        <w:trPr>
          <w:jc w:val="center"/>
        </w:trPr>
        <w:tc>
          <w:tcPr>
            <w:tcW w:w="7681" w:type="dxa"/>
            <w:gridSpan w:val="3"/>
            <w:tcBorders>
              <w:top w:val="nil"/>
              <w:bottom w:val="single" w:sz="4" w:space="0" w:color="auto"/>
            </w:tcBorders>
            <w:vAlign w:val="center"/>
          </w:tcPr>
          <w:p w14:paraId="5AC6CDE5"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ESTADÍSTICAS BÁSICAS DEL SISTEMA PARA CLIENTES</w:t>
            </w:r>
          </w:p>
          <w:p w14:paraId="797E5E86" w14:textId="5646790B" w:rsidR="001C7F15" w:rsidRPr="001C7F15" w:rsidRDefault="001C7F15" w:rsidP="00894E69">
            <w:pPr>
              <w:jc w:val="center"/>
              <w:rPr>
                <w:rFonts w:eastAsia="Calibri"/>
                <w:bCs/>
                <w:sz w:val="22"/>
                <w:szCs w:val="22"/>
                <w:lang w:eastAsia="en-US"/>
              </w:rPr>
            </w:pPr>
            <w:r w:rsidRPr="001C7F15">
              <w:rPr>
                <w:rFonts w:eastAsia="Calibri"/>
                <w:b/>
                <w:bCs/>
                <w:sz w:val="22"/>
                <w:szCs w:val="22"/>
                <w:lang w:eastAsia="en-US"/>
              </w:rPr>
              <w:t>TOTALEROS Y NO TOTALEROS</w:t>
            </w:r>
          </w:p>
        </w:tc>
      </w:tr>
      <w:tr w:rsidR="001C7F15" w:rsidRPr="001C7F15" w14:paraId="43F3F47A" w14:textId="77777777" w:rsidTr="00E823BC">
        <w:trPr>
          <w:jc w:val="center"/>
        </w:trPr>
        <w:tc>
          <w:tcPr>
            <w:tcW w:w="46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614681" w14:textId="77777777" w:rsidR="001C7F15" w:rsidRPr="001C7F15" w:rsidRDefault="001C7F15" w:rsidP="001C7F15">
            <w:pPr>
              <w:jc w:val="center"/>
              <w:rPr>
                <w:rFonts w:eastAsia="Calibri"/>
                <w:bCs/>
                <w:sz w:val="20"/>
                <w:szCs w:val="20"/>
                <w:lang w:eastAsia="en-US"/>
              </w:rPr>
            </w:pPr>
            <w:r w:rsidRPr="001C7F15">
              <w:rPr>
                <w:rFonts w:eastAsia="Calibri"/>
                <w:b/>
                <w:bCs/>
                <w:sz w:val="20"/>
                <w:szCs w:val="20"/>
                <w:lang w:eastAsia="en-US"/>
              </w:rPr>
              <w:t>Estadísticas básicas</w:t>
            </w:r>
          </w:p>
        </w:tc>
        <w:tc>
          <w:tcPr>
            <w:tcW w:w="30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DA9E34"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Datos a agosto de:</w:t>
            </w:r>
          </w:p>
        </w:tc>
      </w:tr>
      <w:tr w:rsidR="001C7F15" w:rsidRPr="001C7F15" w14:paraId="57287D46" w14:textId="77777777" w:rsidTr="00E823BC">
        <w:trPr>
          <w:jc w:val="center"/>
        </w:trPr>
        <w:tc>
          <w:tcPr>
            <w:tcW w:w="467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F6C005" w14:textId="77777777" w:rsidR="001C7F15" w:rsidRPr="001C7F15" w:rsidRDefault="001C7F15" w:rsidP="001C7F15">
            <w:pPr>
              <w:jc w:val="center"/>
              <w:rPr>
                <w:rFonts w:eastAsia="Calibri"/>
                <w:bCs/>
                <w:sz w:val="20"/>
                <w:szCs w:val="20"/>
                <w:lang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5312F2D"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2013</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tcPr>
          <w:p w14:paraId="1AEB7D09"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2014</w:t>
            </w:r>
          </w:p>
        </w:tc>
      </w:tr>
      <w:tr w:rsidR="001C7F15" w:rsidRPr="001C7F15" w14:paraId="60640A29" w14:textId="77777777" w:rsidTr="00E823BC">
        <w:trPr>
          <w:jc w:val="center"/>
        </w:trPr>
        <w:tc>
          <w:tcPr>
            <w:tcW w:w="4673" w:type="dxa"/>
            <w:tcBorders>
              <w:top w:val="single" w:sz="4" w:space="0" w:color="auto"/>
              <w:left w:val="single" w:sz="4" w:space="0" w:color="auto"/>
              <w:bottom w:val="nil"/>
              <w:right w:val="single" w:sz="4" w:space="0" w:color="auto"/>
            </w:tcBorders>
            <w:shd w:val="clear" w:color="auto" w:fill="auto"/>
            <w:vAlign w:val="center"/>
          </w:tcPr>
          <w:p w14:paraId="475AD510" w14:textId="77777777" w:rsidR="001C7F15" w:rsidRPr="001C7F15" w:rsidRDefault="001C7F15" w:rsidP="001C7F15">
            <w:pPr>
              <w:spacing w:before="80" w:after="80"/>
              <w:rPr>
                <w:rFonts w:eastAsia="Calibri"/>
                <w:bCs/>
                <w:sz w:val="20"/>
                <w:szCs w:val="20"/>
                <w:lang w:eastAsia="en-US"/>
              </w:rPr>
            </w:pPr>
            <w:r w:rsidRPr="001C7F15">
              <w:rPr>
                <w:rFonts w:eastAsia="Calibri"/>
                <w:bCs/>
                <w:sz w:val="20"/>
                <w:szCs w:val="20"/>
                <w:lang w:eastAsia="en-US"/>
              </w:rPr>
              <w:t>Número de tarjetas</w:t>
            </w:r>
          </w:p>
        </w:tc>
        <w:tc>
          <w:tcPr>
            <w:tcW w:w="1559" w:type="dxa"/>
            <w:tcBorders>
              <w:top w:val="single" w:sz="4" w:space="0" w:color="auto"/>
              <w:left w:val="single" w:sz="4" w:space="0" w:color="auto"/>
              <w:bottom w:val="nil"/>
              <w:right w:val="single" w:sz="4" w:space="0" w:color="auto"/>
            </w:tcBorders>
            <w:shd w:val="clear" w:color="auto" w:fill="auto"/>
            <w:vAlign w:val="center"/>
          </w:tcPr>
          <w:p w14:paraId="02AC94E4"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16 153 078</w:t>
            </w:r>
          </w:p>
        </w:tc>
        <w:tc>
          <w:tcPr>
            <w:tcW w:w="1449" w:type="dxa"/>
            <w:tcBorders>
              <w:top w:val="single" w:sz="4" w:space="0" w:color="auto"/>
              <w:left w:val="single" w:sz="4" w:space="0" w:color="auto"/>
              <w:bottom w:val="nil"/>
              <w:right w:val="single" w:sz="4" w:space="0" w:color="auto"/>
            </w:tcBorders>
            <w:shd w:val="clear" w:color="auto" w:fill="auto"/>
            <w:vAlign w:val="center"/>
          </w:tcPr>
          <w:p w14:paraId="31D8ACA5"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16 099 973</w:t>
            </w:r>
          </w:p>
        </w:tc>
      </w:tr>
      <w:tr w:rsidR="001C7F15" w:rsidRPr="001C7F15" w14:paraId="34C69E6D" w14:textId="77777777" w:rsidTr="00E823BC">
        <w:trPr>
          <w:jc w:val="center"/>
        </w:trPr>
        <w:tc>
          <w:tcPr>
            <w:tcW w:w="4673" w:type="dxa"/>
            <w:tcBorders>
              <w:top w:val="nil"/>
              <w:left w:val="single" w:sz="4" w:space="0" w:color="auto"/>
              <w:bottom w:val="nil"/>
              <w:right w:val="single" w:sz="4" w:space="0" w:color="auto"/>
            </w:tcBorders>
            <w:shd w:val="clear" w:color="auto" w:fill="auto"/>
            <w:vAlign w:val="center"/>
          </w:tcPr>
          <w:p w14:paraId="78E6BE07" w14:textId="77777777" w:rsidR="001C7F15" w:rsidRPr="001C7F15" w:rsidRDefault="001C7F15" w:rsidP="001C7F15">
            <w:pPr>
              <w:spacing w:before="80" w:after="80"/>
              <w:rPr>
                <w:rFonts w:eastAsia="Calibri"/>
                <w:bCs/>
                <w:sz w:val="20"/>
                <w:szCs w:val="20"/>
                <w:lang w:eastAsia="en-US"/>
              </w:rPr>
            </w:pPr>
            <w:r w:rsidRPr="001C7F15">
              <w:rPr>
                <w:rFonts w:eastAsia="Calibri"/>
                <w:bCs/>
                <w:sz w:val="20"/>
                <w:szCs w:val="20"/>
                <w:lang w:eastAsia="en-US"/>
              </w:rPr>
              <w:t>Saldo de crédito otorgado (millones de pesos)</w:t>
            </w:r>
          </w:p>
        </w:tc>
        <w:tc>
          <w:tcPr>
            <w:tcW w:w="1559" w:type="dxa"/>
            <w:tcBorders>
              <w:top w:val="nil"/>
              <w:left w:val="single" w:sz="4" w:space="0" w:color="auto"/>
              <w:bottom w:val="nil"/>
              <w:right w:val="single" w:sz="4" w:space="0" w:color="auto"/>
            </w:tcBorders>
            <w:shd w:val="clear" w:color="auto" w:fill="auto"/>
            <w:vAlign w:val="center"/>
          </w:tcPr>
          <w:p w14:paraId="47150B67"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241 260</w:t>
            </w:r>
          </w:p>
        </w:tc>
        <w:tc>
          <w:tcPr>
            <w:tcW w:w="1449" w:type="dxa"/>
            <w:tcBorders>
              <w:top w:val="nil"/>
              <w:left w:val="single" w:sz="4" w:space="0" w:color="auto"/>
              <w:bottom w:val="nil"/>
              <w:right w:val="single" w:sz="4" w:space="0" w:color="auto"/>
            </w:tcBorders>
            <w:shd w:val="clear" w:color="auto" w:fill="auto"/>
            <w:vAlign w:val="center"/>
          </w:tcPr>
          <w:p w14:paraId="0D6347D0"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248 074</w:t>
            </w:r>
          </w:p>
        </w:tc>
      </w:tr>
      <w:tr w:rsidR="001C7F15" w:rsidRPr="001C7F15" w14:paraId="57CCC0AB" w14:textId="77777777" w:rsidTr="00E823BC">
        <w:trPr>
          <w:jc w:val="center"/>
        </w:trPr>
        <w:tc>
          <w:tcPr>
            <w:tcW w:w="4673" w:type="dxa"/>
            <w:tcBorders>
              <w:top w:val="nil"/>
              <w:left w:val="single" w:sz="4" w:space="0" w:color="auto"/>
              <w:bottom w:val="nil"/>
              <w:right w:val="single" w:sz="4" w:space="0" w:color="auto"/>
            </w:tcBorders>
            <w:shd w:val="clear" w:color="auto" w:fill="auto"/>
            <w:vAlign w:val="center"/>
          </w:tcPr>
          <w:p w14:paraId="42B8875A" w14:textId="77777777" w:rsidR="001C7F15" w:rsidRPr="001C7F15" w:rsidRDefault="001C7F15" w:rsidP="001C7F15">
            <w:pPr>
              <w:spacing w:before="80" w:after="80"/>
              <w:rPr>
                <w:rFonts w:eastAsia="Calibri"/>
                <w:bCs/>
                <w:sz w:val="20"/>
                <w:szCs w:val="20"/>
                <w:lang w:eastAsia="en-US"/>
              </w:rPr>
            </w:pPr>
            <w:r w:rsidRPr="001C7F15">
              <w:rPr>
                <w:rFonts w:eastAsia="Calibri"/>
                <w:bCs/>
                <w:sz w:val="20"/>
                <w:szCs w:val="20"/>
                <w:lang w:eastAsia="en-US"/>
              </w:rPr>
              <w:t>Tasa efectiva promedio ponderada (%)</w:t>
            </w:r>
          </w:p>
        </w:tc>
        <w:tc>
          <w:tcPr>
            <w:tcW w:w="1559" w:type="dxa"/>
            <w:tcBorders>
              <w:top w:val="nil"/>
              <w:left w:val="single" w:sz="4" w:space="0" w:color="auto"/>
              <w:bottom w:val="nil"/>
              <w:right w:val="single" w:sz="4" w:space="0" w:color="auto"/>
            </w:tcBorders>
            <w:shd w:val="clear" w:color="auto" w:fill="auto"/>
            <w:vAlign w:val="center"/>
          </w:tcPr>
          <w:p w14:paraId="3C2D53AC"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24.1</w:t>
            </w:r>
          </w:p>
        </w:tc>
        <w:tc>
          <w:tcPr>
            <w:tcW w:w="1449" w:type="dxa"/>
            <w:tcBorders>
              <w:top w:val="nil"/>
              <w:left w:val="single" w:sz="4" w:space="0" w:color="auto"/>
              <w:bottom w:val="nil"/>
              <w:right w:val="single" w:sz="4" w:space="0" w:color="auto"/>
            </w:tcBorders>
            <w:shd w:val="clear" w:color="auto" w:fill="auto"/>
            <w:vAlign w:val="center"/>
          </w:tcPr>
          <w:p w14:paraId="31EFCE5E"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24.2</w:t>
            </w:r>
          </w:p>
        </w:tc>
      </w:tr>
      <w:tr w:rsidR="001C7F15" w:rsidRPr="001C7F15" w14:paraId="51AF020D" w14:textId="77777777" w:rsidTr="00E823BC">
        <w:trPr>
          <w:jc w:val="center"/>
        </w:trPr>
        <w:tc>
          <w:tcPr>
            <w:tcW w:w="4673" w:type="dxa"/>
            <w:tcBorders>
              <w:top w:val="nil"/>
              <w:left w:val="single" w:sz="4" w:space="0" w:color="auto"/>
              <w:bottom w:val="single" w:sz="4" w:space="0" w:color="auto"/>
              <w:right w:val="single" w:sz="4" w:space="0" w:color="auto"/>
            </w:tcBorders>
            <w:shd w:val="clear" w:color="auto" w:fill="auto"/>
            <w:vAlign w:val="center"/>
          </w:tcPr>
          <w:p w14:paraId="650835C3" w14:textId="77777777" w:rsidR="001C7F15" w:rsidRPr="001C7F15" w:rsidRDefault="001C7F15" w:rsidP="001C7F15">
            <w:pPr>
              <w:spacing w:before="80" w:after="80"/>
              <w:rPr>
                <w:rFonts w:eastAsia="Calibri"/>
                <w:bCs/>
                <w:sz w:val="20"/>
                <w:szCs w:val="20"/>
                <w:lang w:eastAsia="en-US"/>
              </w:rPr>
            </w:pPr>
            <w:r w:rsidRPr="001C7F15">
              <w:rPr>
                <w:rFonts w:eastAsia="Calibri"/>
                <w:bCs/>
                <w:sz w:val="20"/>
                <w:szCs w:val="20"/>
                <w:lang w:eastAsia="en-US"/>
              </w:rPr>
              <w:t>Tasa efectiva mediana de la distribución del saldo (%)</w:t>
            </w:r>
          </w:p>
        </w:tc>
        <w:tc>
          <w:tcPr>
            <w:tcW w:w="1559" w:type="dxa"/>
            <w:tcBorders>
              <w:top w:val="nil"/>
              <w:left w:val="single" w:sz="4" w:space="0" w:color="auto"/>
              <w:bottom w:val="single" w:sz="4" w:space="0" w:color="auto"/>
              <w:right w:val="single" w:sz="4" w:space="0" w:color="auto"/>
            </w:tcBorders>
            <w:shd w:val="clear" w:color="auto" w:fill="auto"/>
            <w:vAlign w:val="center"/>
          </w:tcPr>
          <w:p w14:paraId="07036B49"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23.0</w:t>
            </w:r>
          </w:p>
        </w:tc>
        <w:tc>
          <w:tcPr>
            <w:tcW w:w="1449" w:type="dxa"/>
            <w:tcBorders>
              <w:top w:val="nil"/>
              <w:left w:val="single" w:sz="4" w:space="0" w:color="auto"/>
              <w:bottom w:val="single" w:sz="4" w:space="0" w:color="auto"/>
              <w:right w:val="single" w:sz="4" w:space="0" w:color="auto"/>
            </w:tcBorders>
            <w:shd w:val="clear" w:color="auto" w:fill="auto"/>
            <w:vAlign w:val="center"/>
          </w:tcPr>
          <w:p w14:paraId="29378326" w14:textId="77777777" w:rsidR="001C7F15" w:rsidRPr="001C7F15" w:rsidRDefault="001C7F15" w:rsidP="001C7F15">
            <w:pPr>
              <w:spacing w:before="80" w:after="80"/>
              <w:ind w:right="170"/>
              <w:jc w:val="right"/>
              <w:rPr>
                <w:rFonts w:eastAsia="Calibri"/>
                <w:sz w:val="20"/>
                <w:szCs w:val="20"/>
                <w:lang w:eastAsia="en-US"/>
              </w:rPr>
            </w:pPr>
            <w:r w:rsidRPr="001C7F15">
              <w:rPr>
                <w:rFonts w:eastAsia="Calibri"/>
                <w:sz w:val="20"/>
                <w:szCs w:val="20"/>
                <w:lang w:eastAsia="en-US"/>
              </w:rPr>
              <w:t>23.0</w:t>
            </w:r>
          </w:p>
        </w:tc>
      </w:tr>
      <w:tr w:rsidR="001C7F15" w:rsidRPr="001C7F15" w14:paraId="755FA2FC" w14:textId="77777777" w:rsidTr="00E823BC">
        <w:trPr>
          <w:jc w:val="center"/>
        </w:trPr>
        <w:tc>
          <w:tcPr>
            <w:tcW w:w="7681" w:type="dxa"/>
            <w:gridSpan w:val="3"/>
            <w:tcBorders>
              <w:top w:val="single" w:sz="4" w:space="0" w:color="auto"/>
              <w:bottom w:val="nil"/>
            </w:tcBorders>
            <w:shd w:val="clear" w:color="auto" w:fill="auto"/>
            <w:vAlign w:val="center"/>
          </w:tcPr>
          <w:p w14:paraId="41EE7DDF" w14:textId="77777777" w:rsidR="001C7F15" w:rsidRPr="001C7F15" w:rsidRDefault="001C7F15" w:rsidP="001C7F15">
            <w:pPr>
              <w:spacing w:before="80"/>
              <w:ind w:left="879" w:hanging="879"/>
              <w:jc w:val="both"/>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231204F8" w14:textId="77777777" w:rsidR="001C7F15" w:rsidRPr="001C7F15" w:rsidRDefault="001C7F15" w:rsidP="001C7F15">
      <w:pPr>
        <w:spacing w:after="360" w:line="360" w:lineRule="auto"/>
        <w:ind w:right="-159"/>
        <w:jc w:val="center"/>
        <w:rPr>
          <w:rFonts w:eastAsia="Times New Roman"/>
          <w:bCs/>
          <w:sz w:val="26"/>
          <w:szCs w:val="26"/>
          <w:lang w:val="es-ES"/>
        </w:rPr>
      </w:pPr>
      <w:r w:rsidRPr="001C7F15">
        <w:rPr>
          <w:rFonts w:ascii="Arial" w:eastAsia="Times New Roman" w:hAnsi="Arial" w:cs="Arial"/>
          <w:noProof/>
          <w:sz w:val="18"/>
          <w:szCs w:val="20"/>
          <w:lang w:eastAsia="es-MX"/>
        </w:rPr>
        <w:lastRenderedPageBreak/>
        <w:drawing>
          <wp:inline distT="0" distB="0" distL="0" distR="0" wp14:anchorId="31716B0A" wp14:editId="67241E78">
            <wp:extent cx="4559300" cy="3206721"/>
            <wp:effectExtent l="0" t="0" r="0" b="0"/>
            <wp:docPr id="1572" name="Imagen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1" cstate="print">
                      <a:extLst>
                        <a:ext uri="{28A0092B-C50C-407E-A947-70E740481C1C}">
                          <a14:useLocalDpi xmlns:a14="http://schemas.microsoft.com/office/drawing/2010/main" val="0"/>
                        </a:ext>
                      </a:extLst>
                    </a:blip>
                    <a:srcRect b="6517"/>
                    <a:stretch/>
                  </pic:blipFill>
                  <pic:spPr bwMode="auto">
                    <a:xfrm>
                      <a:off x="0" y="0"/>
                      <a:ext cx="4559300" cy="3206721"/>
                    </a:xfrm>
                    <a:prstGeom prst="rect">
                      <a:avLst/>
                    </a:prstGeom>
                    <a:noFill/>
                    <a:ln>
                      <a:noFill/>
                    </a:ln>
                    <a:extLst>
                      <a:ext uri="{53640926-AAD7-44D8-BBD7-CCE9431645EC}">
                        <a14:shadowObscured xmlns:a14="http://schemas.microsoft.com/office/drawing/2010/main"/>
                      </a:ext>
                    </a:extLst>
                  </pic:spPr>
                </pic:pic>
              </a:graphicData>
            </a:graphic>
          </wp:inline>
        </w:drawing>
      </w:r>
    </w:p>
    <w:p w14:paraId="05556368" w14:textId="77777777" w:rsidR="001C7F15" w:rsidRPr="001C7F15" w:rsidRDefault="001C7F15" w:rsidP="001C7F15">
      <w:pPr>
        <w:spacing w:after="360" w:line="360" w:lineRule="auto"/>
        <w:ind w:right="-159"/>
        <w:jc w:val="center"/>
        <w:rPr>
          <w:rFonts w:eastAsia="Times New Roman"/>
          <w:bCs/>
          <w:sz w:val="26"/>
          <w:szCs w:val="26"/>
          <w:lang w:val="es-ES"/>
        </w:rPr>
      </w:pPr>
      <w:r w:rsidRPr="001C7F15">
        <w:rPr>
          <w:rFonts w:ascii="Arial" w:eastAsia="Times New Roman" w:hAnsi="Arial" w:cs="Arial"/>
          <w:noProof/>
          <w:sz w:val="18"/>
          <w:szCs w:val="20"/>
          <w:lang w:eastAsia="es-MX"/>
        </w:rPr>
        <w:drawing>
          <wp:inline distT="0" distB="0" distL="0" distR="0" wp14:anchorId="6FB1D881" wp14:editId="14CBB0D2">
            <wp:extent cx="4559300" cy="3430270"/>
            <wp:effectExtent l="0" t="0" r="0" b="0"/>
            <wp:docPr id="1920" name="Imagen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59300" cy="3430270"/>
                    </a:xfrm>
                    <a:prstGeom prst="rect">
                      <a:avLst/>
                    </a:prstGeom>
                    <a:noFill/>
                    <a:ln>
                      <a:noFill/>
                    </a:ln>
                  </pic:spPr>
                </pic:pic>
              </a:graphicData>
            </a:graphic>
          </wp:inline>
        </w:drawing>
      </w:r>
    </w:p>
    <w:p w14:paraId="04E97A4F" w14:textId="77777777" w:rsidR="00E30FD5" w:rsidRDefault="00E30FD5" w:rsidP="001C7F15">
      <w:pPr>
        <w:spacing w:after="360" w:line="360" w:lineRule="auto"/>
        <w:ind w:left="454" w:right="-159" w:hanging="454"/>
        <w:rPr>
          <w:rFonts w:eastAsia="Times New Roman"/>
          <w:b/>
          <w:bCs/>
          <w:sz w:val="26"/>
          <w:szCs w:val="26"/>
          <w:lang w:val="es-ES"/>
        </w:rPr>
      </w:pPr>
    </w:p>
    <w:p w14:paraId="0C05EA91" w14:textId="77777777" w:rsidR="00E30FD5" w:rsidRDefault="00E30FD5" w:rsidP="001C7F15">
      <w:pPr>
        <w:spacing w:after="360" w:line="360" w:lineRule="auto"/>
        <w:ind w:left="454" w:right="-159" w:hanging="454"/>
        <w:rPr>
          <w:rFonts w:eastAsia="Times New Roman"/>
          <w:b/>
          <w:bCs/>
          <w:sz w:val="26"/>
          <w:szCs w:val="26"/>
          <w:lang w:val="es-ES"/>
        </w:rPr>
      </w:pPr>
    </w:p>
    <w:p w14:paraId="37D340EF" w14:textId="77777777" w:rsidR="001C7F15" w:rsidRPr="001C7F15" w:rsidRDefault="001C7F15" w:rsidP="001C7F15">
      <w:pPr>
        <w:spacing w:after="360" w:line="360" w:lineRule="auto"/>
        <w:ind w:left="454" w:right="-159" w:hanging="454"/>
        <w:rPr>
          <w:rFonts w:eastAsia="Times New Roman"/>
          <w:b/>
          <w:bCs/>
          <w:sz w:val="26"/>
          <w:szCs w:val="26"/>
          <w:lang w:val="es-ES"/>
        </w:rPr>
      </w:pPr>
      <w:r w:rsidRPr="001C7F15">
        <w:rPr>
          <w:rFonts w:eastAsia="Times New Roman"/>
          <w:b/>
          <w:bCs/>
          <w:sz w:val="26"/>
          <w:szCs w:val="26"/>
          <w:lang w:val="es-ES"/>
        </w:rPr>
        <w:lastRenderedPageBreak/>
        <w:t>4.</w:t>
      </w:r>
      <w:r w:rsidRPr="001C7F15">
        <w:rPr>
          <w:rFonts w:eastAsia="Times New Roman"/>
          <w:b/>
          <w:bCs/>
          <w:sz w:val="26"/>
          <w:szCs w:val="26"/>
          <w:lang w:val="es-ES"/>
        </w:rPr>
        <w:tab/>
        <w:t>Información por segmento de mercado</w:t>
      </w:r>
    </w:p>
    <w:p w14:paraId="3E6ED47C" w14:textId="77777777" w:rsidR="001C7F15" w:rsidRPr="001C7F15" w:rsidRDefault="001C7F15" w:rsidP="001C7F15">
      <w:pPr>
        <w:spacing w:after="360" w:line="360" w:lineRule="auto"/>
        <w:ind w:left="454" w:right="-159" w:hanging="454"/>
        <w:rPr>
          <w:rFonts w:eastAsia="Times New Roman"/>
          <w:b/>
          <w:bCs/>
          <w:sz w:val="26"/>
          <w:szCs w:val="26"/>
          <w:lang w:val="es-ES"/>
        </w:rPr>
      </w:pPr>
      <w:r w:rsidRPr="001C7F15">
        <w:rPr>
          <w:rFonts w:eastAsia="Times New Roman"/>
          <w:b/>
          <w:bCs/>
          <w:sz w:val="26"/>
          <w:szCs w:val="26"/>
          <w:lang w:val="es-ES"/>
        </w:rPr>
        <w:t>4.1.</w:t>
      </w:r>
      <w:r w:rsidRPr="001C7F15">
        <w:rPr>
          <w:rFonts w:eastAsia="Times New Roman"/>
          <w:b/>
          <w:bCs/>
          <w:sz w:val="26"/>
          <w:szCs w:val="26"/>
          <w:lang w:val="es-ES"/>
        </w:rPr>
        <w:tab/>
        <w:t>Indicadores básicos por segmento de mercado y por institución</w:t>
      </w:r>
    </w:p>
    <w:p w14:paraId="3CDA73B6" w14:textId="77777777" w:rsidR="001C7F15" w:rsidRPr="001C7F15" w:rsidRDefault="001C7F15" w:rsidP="001C7F15">
      <w:pPr>
        <w:spacing w:after="360" w:line="360" w:lineRule="auto"/>
        <w:ind w:right="-159"/>
        <w:jc w:val="center"/>
        <w:rPr>
          <w:rFonts w:eastAsia="Times New Roman"/>
          <w:bCs/>
          <w:sz w:val="26"/>
          <w:szCs w:val="26"/>
          <w:lang w:val="es-ES"/>
        </w:rPr>
      </w:pPr>
      <w:r w:rsidRPr="001C7F15">
        <w:rPr>
          <w:rFonts w:ascii="Arial" w:eastAsia="Times New Roman" w:hAnsi="Arial" w:cs="Arial"/>
          <w:noProof/>
          <w:sz w:val="18"/>
          <w:szCs w:val="20"/>
          <w:lang w:eastAsia="es-MX"/>
        </w:rPr>
        <w:drawing>
          <wp:inline distT="0" distB="0" distL="0" distR="0" wp14:anchorId="654B27C0" wp14:editId="0F40EB30">
            <wp:extent cx="4559300" cy="3430270"/>
            <wp:effectExtent l="0" t="0" r="0" b="0"/>
            <wp:docPr id="1921" name="Imagen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559300" cy="3430270"/>
                    </a:xfrm>
                    <a:prstGeom prst="rect">
                      <a:avLst/>
                    </a:prstGeom>
                    <a:noFill/>
                    <a:ln>
                      <a:noFill/>
                    </a:ln>
                  </pic:spPr>
                </pic:pic>
              </a:graphicData>
            </a:graphic>
          </wp:inline>
        </w:drawing>
      </w:r>
    </w:p>
    <w:p w14:paraId="2395DEB7" w14:textId="77777777" w:rsidR="001C7F15" w:rsidRDefault="001C7F15" w:rsidP="001C7F15">
      <w:pPr>
        <w:spacing w:after="360" w:line="360" w:lineRule="auto"/>
        <w:ind w:right="-159"/>
        <w:jc w:val="center"/>
        <w:rPr>
          <w:rFonts w:eastAsia="Times New Roman"/>
          <w:bCs/>
          <w:sz w:val="26"/>
          <w:szCs w:val="26"/>
          <w:lang w:val="es-ES"/>
        </w:rPr>
      </w:pPr>
    </w:p>
    <w:p w14:paraId="5687850C" w14:textId="77777777" w:rsidR="008F5FED" w:rsidRDefault="008F5FED" w:rsidP="001C7F15">
      <w:pPr>
        <w:spacing w:after="360" w:line="360" w:lineRule="auto"/>
        <w:ind w:right="-159"/>
        <w:jc w:val="center"/>
        <w:rPr>
          <w:rFonts w:eastAsia="Times New Roman"/>
          <w:bCs/>
          <w:sz w:val="26"/>
          <w:szCs w:val="26"/>
          <w:lang w:val="es-ES"/>
        </w:rPr>
      </w:pPr>
    </w:p>
    <w:p w14:paraId="2807F840" w14:textId="77777777" w:rsidR="008F5FED" w:rsidRDefault="008F5FED" w:rsidP="001C7F15">
      <w:pPr>
        <w:spacing w:after="360" w:line="360" w:lineRule="auto"/>
        <w:ind w:right="-159"/>
        <w:jc w:val="center"/>
        <w:rPr>
          <w:rFonts w:eastAsia="Times New Roman"/>
          <w:bCs/>
          <w:sz w:val="26"/>
          <w:szCs w:val="26"/>
          <w:lang w:val="es-ES"/>
        </w:rPr>
      </w:pPr>
    </w:p>
    <w:p w14:paraId="54CB6F63" w14:textId="77777777" w:rsidR="008F5FED" w:rsidRDefault="008F5FED" w:rsidP="001C7F15">
      <w:pPr>
        <w:spacing w:after="360" w:line="360" w:lineRule="auto"/>
        <w:ind w:right="-159"/>
        <w:jc w:val="center"/>
        <w:rPr>
          <w:rFonts w:eastAsia="Times New Roman"/>
          <w:bCs/>
          <w:sz w:val="26"/>
          <w:szCs w:val="26"/>
          <w:lang w:val="es-ES"/>
        </w:rPr>
      </w:pPr>
    </w:p>
    <w:p w14:paraId="1B7D1563" w14:textId="77777777" w:rsidR="008F5FED" w:rsidRDefault="008F5FED" w:rsidP="001C7F15">
      <w:pPr>
        <w:spacing w:after="360" w:line="360" w:lineRule="auto"/>
        <w:ind w:right="-159"/>
        <w:jc w:val="center"/>
        <w:rPr>
          <w:rFonts w:eastAsia="Times New Roman"/>
          <w:bCs/>
          <w:sz w:val="26"/>
          <w:szCs w:val="26"/>
          <w:lang w:val="es-ES"/>
        </w:rPr>
      </w:pPr>
    </w:p>
    <w:p w14:paraId="28AA4A70" w14:textId="77777777" w:rsidR="008F5FED" w:rsidRDefault="008F5FED" w:rsidP="001C7F15">
      <w:pPr>
        <w:spacing w:after="360" w:line="360" w:lineRule="auto"/>
        <w:ind w:right="-159"/>
        <w:jc w:val="center"/>
        <w:rPr>
          <w:rFonts w:eastAsia="Times New Roman"/>
          <w:bCs/>
          <w:sz w:val="26"/>
          <w:szCs w:val="26"/>
          <w:lang w:val="es-ES"/>
        </w:rPr>
      </w:pPr>
    </w:p>
    <w:p w14:paraId="27F66B81" w14:textId="77777777" w:rsidR="008F5FED" w:rsidRPr="001C7F15" w:rsidRDefault="008F5FED" w:rsidP="001C7F15">
      <w:pPr>
        <w:spacing w:after="360" w:line="360" w:lineRule="auto"/>
        <w:ind w:right="-159"/>
        <w:jc w:val="center"/>
        <w:rPr>
          <w:rFonts w:eastAsia="Times New Roman"/>
          <w:bCs/>
          <w:sz w:val="26"/>
          <w:szCs w:val="26"/>
          <w:lang w:val="es-ES"/>
        </w:rPr>
      </w:pPr>
    </w:p>
    <w:tbl>
      <w:tblPr>
        <w:tblW w:w="9382" w:type="dxa"/>
        <w:jc w:val="center"/>
        <w:tblLayout w:type="fixed"/>
        <w:tblLook w:val="04A0" w:firstRow="1" w:lastRow="0" w:firstColumn="1" w:lastColumn="0" w:noHBand="0" w:noVBand="1"/>
      </w:tblPr>
      <w:tblGrid>
        <w:gridCol w:w="1548"/>
        <w:gridCol w:w="709"/>
        <w:gridCol w:w="746"/>
        <w:gridCol w:w="638"/>
        <w:gridCol w:w="638"/>
        <w:gridCol w:w="638"/>
        <w:gridCol w:w="638"/>
        <w:gridCol w:w="637"/>
        <w:gridCol w:w="638"/>
        <w:gridCol w:w="638"/>
        <w:gridCol w:w="638"/>
        <w:gridCol w:w="638"/>
        <w:gridCol w:w="429"/>
        <w:gridCol w:w="209"/>
      </w:tblGrid>
      <w:tr w:rsidR="001C7F15" w:rsidRPr="001C7F15" w14:paraId="11AEB016" w14:textId="77777777" w:rsidTr="001C7F15">
        <w:trPr>
          <w:gridAfter w:val="1"/>
          <w:wAfter w:w="209" w:type="dxa"/>
          <w:jc w:val="center"/>
        </w:trPr>
        <w:tc>
          <w:tcPr>
            <w:tcW w:w="9173" w:type="dxa"/>
            <w:gridSpan w:val="13"/>
            <w:tcBorders>
              <w:top w:val="nil"/>
              <w:left w:val="nil"/>
              <w:bottom w:val="single" w:sz="4" w:space="0" w:color="auto"/>
              <w:right w:val="nil"/>
            </w:tcBorders>
            <w:shd w:val="clear" w:color="auto" w:fill="auto"/>
            <w:vAlign w:val="center"/>
          </w:tcPr>
          <w:p w14:paraId="478DE4E7"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INDICADORES BÁSICOS PARA TARJETAS “CLÁSICAS” O EQUIVALENTES, INCLUYENDO A CLIENTES TOTALEROS Y NO TOTALEROS</w:t>
            </w:r>
          </w:p>
          <w:p w14:paraId="29934444" w14:textId="77777777" w:rsidR="001C7F15" w:rsidRPr="001C7F15" w:rsidRDefault="001C7F15" w:rsidP="001C7F15">
            <w:pPr>
              <w:jc w:val="center"/>
              <w:rPr>
                <w:rFonts w:eastAsia="Calibri"/>
                <w:b/>
                <w:bCs/>
                <w:sz w:val="22"/>
                <w:szCs w:val="22"/>
                <w:lang w:eastAsia="en-US"/>
              </w:rPr>
            </w:pPr>
          </w:p>
        </w:tc>
      </w:tr>
      <w:tr w:rsidR="001C7F15" w:rsidRPr="001C7F15" w14:paraId="7655B78D" w14:textId="77777777" w:rsidTr="00E823BC">
        <w:trPr>
          <w:jc w:val="center"/>
        </w:trPr>
        <w:tc>
          <w:tcPr>
            <w:tcW w:w="1548" w:type="dxa"/>
            <w:vMerge w:val="restart"/>
            <w:tcBorders>
              <w:top w:val="single" w:sz="4" w:space="0" w:color="auto"/>
              <w:left w:val="single" w:sz="4" w:space="0" w:color="auto"/>
              <w:right w:val="single" w:sz="4" w:space="0" w:color="auto"/>
            </w:tcBorders>
            <w:shd w:val="clear" w:color="auto" w:fill="auto"/>
            <w:vAlign w:val="center"/>
          </w:tcPr>
          <w:p w14:paraId="75A5E520" w14:textId="77777777" w:rsidR="001C7F15" w:rsidRPr="001C7F15" w:rsidRDefault="001C7F15" w:rsidP="001C7F15">
            <w:pPr>
              <w:jc w:val="center"/>
              <w:rPr>
                <w:rFonts w:eastAsia="Calibri"/>
                <w:b/>
                <w:bCs/>
                <w:sz w:val="16"/>
                <w:szCs w:val="16"/>
                <w:lang w:eastAsia="en-US"/>
              </w:rPr>
            </w:pPr>
          </w:p>
        </w:tc>
        <w:tc>
          <w:tcPr>
            <w:tcW w:w="14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53F21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tarjetas</w:t>
            </w:r>
          </w:p>
          <w:p w14:paraId="477C152E"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(miles)</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456D0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productos</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74DE9E"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Anualidad* ponderada nominal (pesos)</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8D200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Límite de crédito promedio (miles de pesos)</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136598"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Tasa efectiva promedio ponderada</w:t>
            </w:r>
          </w:p>
          <w:p w14:paraId="162D4E0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w:t>
            </w:r>
          </w:p>
        </w:tc>
        <w:tc>
          <w:tcPr>
            <w:tcW w:w="12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16A21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Saldo promedio por tarjeta (miles de pesos)</w:t>
            </w:r>
          </w:p>
        </w:tc>
      </w:tr>
      <w:tr w:rsidR="001C7F15" w:rsidRPr="001C7F15" w14:paraId="7D3993AE" w14:textId="77777777" w:rsidTr="00E823BC">
        <w:trPr>
          <w:jc w:val="center"/>
        </w:trPr>
        <w:tc>
          <w:tcPr>
            <w:tcW w:w="1548" w:type="dxa"/>
            <w:vMerge/>
            <w:tcBorders>
              <w:left w:val="single" w:sz="4" w:space="0" w:color="auto"/>
              <w:right w:val="single" w:sz="4" w:space="0" w:color="auto"/>
            </w:tcBorders>
            <w:shd w:val="clear" w:color="auto" w:fill="auto"/>
            <w:vAlign w:val="center"/>
          </w:tcPr>
          <w:p w14:paraId="516FA2F1" w14:textId="77777777" w:rsidR="001C7F15" w:rsidRPr="001C7F15" w:rsidRDefault="001C7F15" w:rsidP="001C7F15">
            <w:pPr>
              <w:jc w:val="center"/>
              <w:rPr>
                <w:rFonts w:eastAsia="Calibri"/>
                <w:b/>
                <w:bCs/>
                <w:sz w:val="16"/>
                <w:szCs w:val="16"/>
                <w:lang w:eastAsia="en-US"/>
              </w:rPr>
            </w:pPr>
          </w:p>
        </w:tc>
        <w:tc>
          <w:tcPr>
            <w:tcW w:w="7834"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42CAE82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Agosto</w:t>
            </w:r>
          </w:p>
        </w:tc>
      </w:tr>
      <w:tr w:rsidR="001C7F15" w:rsidRPr="001C7F15" w14:paraId="1C87EF2D" w14:textId="77777777" w:rsidTr="00E823BC">
        <w:trPr>
          <w:jc w:val="center"/>
        </w:trPr>
        <w:tc>
          <w:tcPr>
            <w:tcW w:w="1548" w:type="dxa"/>
            <w:vMerge/>
            <w:tcBorders>
              <w:left w:val="single" w:sz="4" w:space="0" w:color="auto"/>
              <w:bottom w:val="single" w:sz="4" w:space="0" w:color="auto"/>
              <w:right w:val="single" w:sz="4" w:space="0" w:color="auto"/>
            </w:tcBorders>
            <w:shd w:val="clear" w:color="auto" w:fill="auto"/>
            <w:vAlign w:val="center"/>
          </w:tcPr>
          <w:p w14:paraId="24E38727" w14:textId="77777777" w:rsidR="001C7F15" w:rsidRPr="001C7F15" w:rsidRDefault="001C7F15" w:rsidP="001C7F15">
            <w:pPr>
              <w:jc w:val="center"/>
              <w:rPr>
                <w:rFonts w:eastAsia="Calibri"/>
                <w:b/>
                <w:bCs/>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C4B045"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746" w:type="dxa"/>
            <w:tcBorders>
              <w:top w:val="single" w:sz="4" w:space="0" w:color="auto"/>
              <w:left w:val="single" w:sz="4" w:space="0" w:color="auto"/>
              <w:bottom w:val="single" w:sz="4" w:space="0" w:color="auto"/>
              <w:right w:val="single" w:sz="4" w:space="0" w:color="auto"/>
            </w:tcBorders>
            <w:shd w:val="clear" w:color="auto" w:fill="auto"/>
            <w:vAlign w:val="center"/>
          </w:tcPr>
          <w:p w14:paraId="5FAB1D6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42931C08"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0A73A2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4A6F669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EBFF9C3"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14:paraId="15DD8330"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6DFE77A4"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5640B90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0C0805E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8" w:type="dxa"/>
            <w:tcBorders>
              <w:top w:val="single" w:sz="4" w:space="0" w:color="auto"/>
              <w:left w:val="single" w:sz="4" w:space="0" w:color="auto"/>
              <w:bottom w:val="single" w:sz="4" w:space="0" w:color="auto"/>
              <w:right w:val="single" w:sz="4" w:space="0" w:color="auto"/>
            </w:tcBorders>
            <w:shd w:val="clear" w:color="auto" w:fill="auto"/>
            <w:vAlign w:val="center"/>
          </w:tcPr>
          <w:p w14:paraId="2AD77B7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A9149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r>
      <w:tr w:rsidR="001C7F15" w:rsidRPr="001C7F15" w14:paraId="6127345D" w14:textId="77777777" w:rsidTr="00E823BC">
        <w:trPr>
          <w:jc w:val="center"/>
        </w:trPr>
        <w:tc>
          <w:tcPr>
            <w:tcW w:w="1548" w:type="dxa"/>
            <w:tcBorders>
              <w:top w:val="single" w:sz="4" w:space="0" w:color="auto"/>
              <w:left w:val="single" w:sz="4" w:space="0" w:color="auto"/>
              <w:bottom w:val="nil"/>
              <w:right w:val="single" w:sz="4" w:space="0" w:color="auto"/>
            </w:tcBorders>
            <w:shd w:val="clear" w:color="auto" w:fill="auto"/>
          </w:tcPr>
          <w:p w14:paraId="25EF50AA" w14:textId="77777777" w:rsidR="001C7F15" w:rsidRPr="001C7F15" w:rsidRDefault="001C7F15" w:rsidP="001C7F15">
            <w:pPr>
              <w:autoSpaceDE w:val="0"/>
              <w:autoSpaceDN w:val="0"/>
              <w:adjustRightInd w:val="0"/>
              <w:spacing w:before="120" w:after="40"/>
              <w:rPr>
                <w:rFonts w:eastAsia="Calibri"/>
                <w:b/>
                <w:bCs/>
                <w:sz w:val="16"/>
                <w:szCs w:val="16"/>
                <w:lang w:eastAsia="en-US"/>
              </w:rPr>
            </w:pPr>
            <w:r w:rsidRPr="001C7F15">
              <w:rPr>
                <w:rFonts w:eastAsia="Calibri"/>
                <w:b/>
                <w:bCs/>
                <w:sz w:val="16"/>
                <w:szCs w:val="16"/>
                <w:lang w:eastAsia="en-US"/>
              </w:rPr>
              <w:t>Sistema</w:t>
            </w:r>
          </w:p>
        </w:tc>
        <w:tc>
          <w:tcPr>
            <w:tcW w:w="709" w:type="dxa"/>
            <w:tcBorders>
              <w:top w:val="single" w:sz="4" w:space="0" w:color="auto"/>
              <w:left w:val="single" w:sz="4" w:space="0" w:color="auto"/>
              <w:bottom w:val="nil"/>
              <w:right w:val="single" w:sz="4" w:space="0" w:color="auto"/>
            </w:tcBorders>
            <w:shd w:val="clear" w:color="auto" w:fill="auto"/>
          </w:tcPr>
          <w:p w14:paraId="68F64FE3"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11 355</w:t>
            </w:r>
          </w:p>
        </w:tc>
        <w:tc>
          <w:tcPr>
            <w:tcW w:w="746" w:type="dxa"/>
            <w:tcBorders>
              <w:top w:val="single" w:sz="4" w:space="0" w:color="auto"/>
              <w:left w:val="single" w:sz="4" w:space="0" w:color="auto"/>
              <w:bottom w:val="nil"/>
              <w:right w:val="single" w:sz="4" w:space="0" w:color="auto"/>
            </w:tcBorders>
            <w:shd w:val="clear" w:color="auto" w:fill="auto"/>
          </w:tcPr>
          <w:p w14:paraId="4C63B844"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10 846</w:t>
            </w:r>
          </w:p>
        </w:tc>
        <w:tc>
          <w:tcPr>
            <w:tcW w:w="638" w:type="dxa"/>
            <w:tcBorders>
              <w:top w:val="single" w:sz="4" w:space="0" w:color="auto"/>
              <w:left w:val="single" w:sz="4" w:space="0" w:color="auto"/>
              <w:bottom w:val="nil"/>
              <w:right w:val="single" w:sz="4" w:space="0" w:color="auto"/>
            </w:tcBorders>
            <w:shd w:val="clear" w:color="auto" w:fill="auto"/>
          </w:tcPr>
          <w:p w14:paraId="28A0EBC3"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82</w:t>
            </w:r>
          </w:p>
        </w:tc>
        <w:tc>
          <w:tcPr>
            <w:tcW w:w="638" w:type="dxa"/>
            <w:tcBorders>
              <w:top w:val="single" w:sz="4" w:space="0" w:color="auto"/>
              <w:left w:val="single" w:sz="4" w:space="0" w:color="auto"/>
              <w:bottom w:val="nil"/>
              <w:right w:val="single" w:sz="4" w:space="0" w:color="auto"/>
            </w:tcBorders>
            <w:shd w:val="clear" w:color="auto" w:fill="auto"/>
          </w:tcPr>
          <w:p w14:paraId="40815043"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89</w:t>
            </w:r>
          </w:p>
        </w:tc>
        <w:tc>
          <w:tcPr>
            <w:tcW w:w="638" w:type="dxa"/>
            <w:tcBorders>
              <w:top w:val="single" w:sz="4" w:space="0" w:color="auto"/>
              <w:left w:val="single" w:sz="4" w:space="0" w:color="auto"/>
              <w:bottom w:val="nil"/>
              <w:right w:val="single" w:sz="4" w:space="0" w:color="auto"/>
            </w:tcBorders>
            <w:shd w:val="clear" w:color="auto" w:fill="auto"/>
          </w:tcPr>
          <w:p w14:paraId="3BF0EB90"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461</w:t>
            </w:r>
          </w:p>
        </w:tc>
        <w:tc>
          <w:tcPr>
            <w:tcW w:w="638" w:type="dxa"/>
            <w:tcBorders>
              <w:top w:val="single" w:sz="4" w:space="0" w:color="auto"/>
              <w:left w:val="single" w:sz="4" w:space="0" w:color="auto"/>
              <w:bottom w:val="nil"/>
              <w:right w:val="single" w:sz="4" w:space="0" w:color="auto"/>
            </w:tcBorders>
            <w:shd w:val="clear" w:color="auto" w:fill="auto"/>
          </w:tcPr>
          <w:p w14:paraId="2489C942"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488</w:t>
            </w:r>
          </w:p>
        </w:tc>
        <w:tc>
          <w:tcPr>
            <w:tcW w:w="637" w:type="dxa"/>
            <w:tcBorders>
              <w:top w:val="single" w:sz="4" w:space="0" w:color="auto"/>
              <w:left w:val="single" w:sz="4" w:space="0" w:color="auto"/>
              <w:bottom w:val="nil"/>
              <w:right w:val="single" w:sz="4" w:space="0" w:color="auto"/>
            </w:tcBorders>
            <w:shd w:val="clear" w:color="auto" w:fill="auto"/>
          </w:tcPr>
          <w:p w14:paraId="54FAA990"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29</w:t>
            </w:r>
          </w:p>
        </w:tc>
        <w:tc>
          <w:tcPr>
            <w:tcW w:w="638" w:type="dxa"/>
            <w:tcBorders>
              <w:top w:val="single" w:sz="4" w:space="0" w:color="auto"/>
              <w:left w:val="single" w:sz="4" w:space="0" w:color="auto"/>
              <w:bottom w:val="nil"/>
              <w:right w:val="single" w:sz="4" w:space="0" w:color="auto"/>
            </w:tcBorders>
            <w:shd w:val="clear" w:color="auto" w:fill="auto"/>
          </w:tcPr>
          <w:p w14:paraId="2F47E92F"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31</w:t>
            </w:r>
          </w:p>
        </w:tc>
        <w:tc>
          <w:tcPr>
            <w:tcW w:w="638" w:type="dxa"/>
            <w:tcBorders>
              <w:top w:val="single" w:sz="4" w:space="0" w:color="auto"/>
              <w:left w:val="single" w:sz="4" w:space="0" w:color="auto"/>
              <w:bottom w:val="nil"/>
              <w:right w:val="single" w:sz="4" w:space="0" w:color="auto"/>
            </w:tcBorders>
            <w:shd w:val="clear" w:color="auto" w:fill="auto"/>
          </w:tcPr>
          <w:p w14:paraId="74C96AD1"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26.8</w:t>
            </w:r>
          </w:p>
        </w:tc>
        <w:tc>
          <w:tcPr>
            <w:tcW w:w="638" w:type="dxa"/>
            <w:tcBorders>
              <w:top w:val="single" w:sz="4" w:space="0" w:color="auto"/>
              <w:left w:val="single" w:sz="4" w:space="0" w:color="auto"/>
              <w:bottom w:val="nil"/>
              <w:right w:val="single" w:sz="4" w:space="0" w:color="auto"/>
            </w:tcBorders>
            <w:shd w:val="clear" w:color="auto" w:fill="auto"/>
          </w:tcPr>
          <w:p w14:paraId="6E13BD59"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27.3</w:t>
            </w:r>
          </w:p>
        </w:tc>
        <w:tc>
          <w:tcPr>
            <w:tcW w:w="638" w:type="dxa"/>
            <w:tcBorders>
              <w:top w:val="single" w:sz="4" w:space="0" w:color="auto"/>
              <w:left w:val="single" w:sz="4" w:space="0" w:color="auto"/>
              <w:bottom w:val="nil"/>
              <w:right w:val="single" w:sz="4" w:space="0" w:color="auto"/>
            </w:tcBorders>
            <w:shd w:val="clear" w:color="auto" w:fill="auto"/>
          </w:tcPr>
          <w:p w14:paraId="0653EF0E"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11.3</w:t>
            </w:r>
          </w:p>
        </w:tc>
        <w:tc>
          <w:tcPr>
            <w:tcW w:w="638" w:type="dxa"/>
            <w:gridSpan w:val="2"/>
            <w:tcBorders>
              <w:top w:val="single" w:sz="4" w:space="0" w:color="auto"/>
              <w:left w:val="single" w:sz="4" w:space="0" w:color="auto"/>
              <w:bottom w:val="nil"/>
              <w:right w:val="single" w:sz="4" w:space="0" w:color="auto"/>
            </w:tcBorders>
            <w:shd w:val="clear" w:color="auto" w:fill="auto"/>
          </w:tcPr>
          <w:p w14:paraId="5D0698F7" w14:textId="77777777" w:rsidR="001C7F15" w:rsidRPr="001C7F15" w:rsidRDefault="001C7F15" w:rsidP="001C7F15">
            <w:pPr>
              <w:autoSpaceDE w:val="0"/>
              <w:autoSpaceDN w:val="0"/>
              <w:adjustRightInd w:val="0"/>
              <w:spacing w:before="120" w:after="40"/>
              <w:ind w:right="57"/>
              <w:jc w:val="right"/>
              <w:rPr>
                <w:rFonts w:eastAsia="Calibri"/>
                <w:b/>
                <w:sz w:val="16"/>
                <w:szCs w:val="16"/>
                <w:lang w:eastAsia="en-US"/>
              </w:rPr>
            </w:pPr>
            <w:r w:rsidRPr="001C7F15">
              <w:rPr>
                <w:rFonts w:eastAsia="Calibri"/>
                <w:b/>
                <w:sz w:val="16"/>
                <w:szCs w:val="16"/>
                <w:lang w:eastAsia="en-US"/>
              </w:rPr>
              <w:t>11.1</w:t>
            </w:r>
          </w:p>
        </w:tc>
      </w:tr>
      <w:tr w:rsidR="001C7F15" w:rsidRPr="001C7F15" w14:paraId="7D645E97"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3810BE8F"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Banco Walmart</w:t>
            </w:r>
          </w:p>
        </w:tc>
        <w:tc>
          <w:tcPr>
            <w:tcW w:w="709" w:type="dxa"/>
            <w:tcBorders>
              <w:top w:val="nil"/>
              <w:left w:val="single" w:sz="4" w:space="0" w:color="auto"/>
              <w:bottom w:val="nil"/>
              <w:right w:val="single" w:sz="4" w:space="0" w:color="auto"/>
            </w:tcBorders>
            <w:shd w:val="clear" w:color="auto" w:fill="auto"/>
          </w:tcPr>
          <w:p w14:paraId="756B479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390</w:t>
            </w:r>
          </w:p>
        </w:tc>
        <w:tc>
          <w:tcPr>
            <w:tcW w:w="746" w:type="dxa"/>
            <w:tcBorders>
              <w:top w:val="nil"/>
              <w:left w:val="single" w:sz="4" w:space="0" w:color="auto"/>
              <w:bottom w:val="nil"/>
              <w:right w:val="single" w:sz="4" w:space="0" w:color="auto"/>
            </w:tcBorders>
            <w:shd w:val="clear" w:color="auto" w:fill="auto"/>
          </w:tcPr>
          <w:p w14:paraId="2FA57AC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565</w:t>
            </w:r>
          </w:p>
        </w:tc>
        <w:tc>
          <w:tcPr>
            <w:tcW w:w="638" w:type="dxa"/>
            <w:tcBorders>
              <w:top w:val="nil"/>
              <w:left w:val="single" w:sz="4" w:space="0" w:color="auto"/>
              <w:bottom w:val="nil"/>
              <w:right w:val="single" w:sz="4" w:space="0" w:color="auto"/>
            </w:tcBorders>
            <w:shd w:val="clear" w:color="auto" w:fill="auto"/>
          </w:tcPr>
          <w:p w14:paraId="7A646D9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w:t>
            </w:r>
          </w:p>
        </w:tc>
        <w:tc>
          <w:tcPr>
            <w:tcW w:w="638" w:type="dxa"/>
            <w:tcBorders>
              <w:top w:val="nil"/>
              <w:left w:val="single" w:sz="4" w:space="0" w:color="auto"/>
              <w:bottom w:val="nil"/>
              <w:right w:val="single" w:sz="4" w:space="0" w:color="auto"/>
            </w:tcBorders>
            <w:shd w:val="clear" w:color="auto" w:fill="auto"/>
          </w:tcPr>
          <w:p w14:paraId="79CE6F9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w:t>
            </w:r>
          </w:p>
        </w:tc>
        <w:tc>
          <w:tcPr>
            <w:tcW w:w="638" w:type="dxa"/>
            <w:tcBorders>
              <w:top w:val="nil"/>
              <w:left w:val="single" w:sz="4" w:space="0" w:color="auto"/>
              <w:bottom w:val="nil"/>
              <w:right w:val="single" w:sz="4" w:space="0" w:color="auto"/>
            </w:tcBorders>
            <w:shd w:val="clear" w:color="auto" w:fill="auto"/>
          </w:tcPr>
          <w:p w14:paraId="7F9BAD0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428</w:t>
            </w:r>
          </w:p>
        </w:tc>
        <w:tc>
          <w:tcPr>
            <w:tcW w:w="638" w:type="dxa"/>
            <w:tcBorders>
              <w:top w:val="nil"/>
              <w:left w:val="single" w:sz="4" w:space="0" w:color="auto"/>
              <w:bottom w:val="nil"/>
              <w:right w:val="single" w:sz="4" w:space="0" w:color="auto"/>
            </w:tcBorders>
            <w:shd w:val="clear" w:color="auto" w:fill="auto"/>
          </w:tcPr>
          <w:p w14:paraId="1249AFC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445</w:t>
            </w:r>
          </w:p>
        </w:tc>
        <w:tc>
          <w:tcPr>
            <w:tcW w:w="637" w:type="dxa"/>
            <w:tcBorders>
              <w:top w:val="nil"/>
              <w:left w:val="single" w:sz="4" w:space="0" w:color="auto"/>
              <w:bottom w:val="nil"/>
              <w:right w:val="single" w:sz="4" w:space="0" w:color="auto"/>
            </w:tcBorders>
            <w:shd w:val="clear" w:color="auto" w:fill="auto"/>
          </w:tcPr>
          <w:p w14:paraId="2FE9FF4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12</w:t>
            </w:r>
          </w:p>
        </w:tc>
        <w:tc>
          <w:tcPr>
            <w:tcW w:w="638" w:type="dxa"/>
            <w:tcBorders>
              <w:top w:val="nil"/>
              <w:left w:val="single" w:sz="4" w:space="0" w:color="auto"/>
              <w:bottom w:val="nil"/>
              <w:right w:val="single" w:sz="4" w:space="0" w:color="auto"/>
            </w:tcBorders>
            <w:shd w:val="clear" w:color="auto" w:fill="auto"/>
          </w:tcPr>
          <w:p w14:paraId="3EF2016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14</w:t>
            </w:r>
          </w:p>
        </w:tc>
        <w:tc>
          <w:tcPr>
            <w:tcW w:w="638" w:type="dxa"/>
            <w:tcBorders>
              <w:top w:val="nil"/>
              <w:left w:val="single" w:sz="4" w:space="0" w:color="auto"/>
              <w:bottom w:val="nil"/>
              <w:right w:val="single" w:sz="4" w:space="0" w:color="auto"/>
            </w:tcBorders>
            <w:shd w:val="clear" w:color="auto" w:fill="auto"/>
          </w:tcPr>
          <w:p w14:paraId="652DC83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20.6</w:t>
            </w:r>
          </w:p>
        </w:tc>
        <w:tc>
          <w:tcPr>
            <w:tcW w:w="638" w:type="dxa"/>
            <w:tcBorders>
              <w:top w:val="nil"/>
              <w:left w:val="single" w:sz="4" w:space="0" w:color="auto"/>
              <w:bottom w:val="nil"/>
              <w:right w:val="single" w:sz="4" w:space="0" w:color="auto"/>
            </w:tcBorders>
            <w:shd w:val="clear" w:color="auto" w:fill="auto"/>
          </w:tcPr>
          <w:p w14:paraId="28674F29"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19.7</w:t>
            </w:r>
          </w:p>
        </w:tc>
        <w:tc>
          <w:tcPr>
            <w:tcW w:w="638" w:type="dxa"/>
            <w:tcBorders>
              <w:top w:val="nil"/>
              <w:left w:val="single" w:sz="4" w:space="0" w:color="auto"/>
              <w:bottom w:val="nil"/>
              <w:right w:val="single" w:sz="4" w:space="0" w:color="auto"/>
            </w:tcBorders>
            <w:shd w:val="clear" w:color="auto" w:fill="auto"/>
          </w:tcPr>
          <w:p w14:paraId="1E54959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5.4</w:t>
            </w:r>
          </w:p>
        </w:tc>
        <w:tc>
          <w:tcPr>
            <w:tcW w:w="638" w:type="dxa"/>
            <w:gridSpan w:val="2"/>
            <w:tcBorders>
              <w:top w:val="nil"/>
              <w:left w:val="single" w:sz="4" w:space="0" w:color="auto"/>
              <w:bottom w:val="nil"/>
              <w:right w:val="single" w:sz="4" w:space="0" w:color="auto"/>
            </w:tcBorders>
            <w:shd w:val="clear" w:color="auto" w:fill="auto"/>
          </w:tcPr>
          <w:p w14:paraId="2DFA7B99"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5.2</w:t>
            </w:r>
          </w:p>
        </w:tc>
      </w:tr>
      <w:tr w:rsidR="001C7F15" w:rsidRPr="001C7F15" w14:paraId="12B05DCF"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0E8DC809"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Santander</w:t>
            </w:r>
          </w:p>
        </w:tc>
        <w:tc>
          <w:tcPr>
            <w:tcW w:w="709" w:type="dxa"/>
            <w:tcBorders>
              <w:top w:val="nil"/>
              <w:left w:val="single" w:sz="4" w:space="0" w:color="auto"/>
              <w:bottom w:val="nil"/>
              <w:right w:val="single" w:sz="4" w:space="0" w:color="auto"/>
            </w:tcBorders>
            <w:shd w:val="clear" w:color="auto" w:fill="auto"/>
          </w:tcPr>
          <w:p w14:paraId="703FBA7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1 015</w:t>
            </w:r>
          </w:p>
        </w:tc>
        <w:tc>
          <w:tcPr>
            <w:tcW w:w="746" w:type="dxa"/>
            <w:tcBorders>
              <w:top w:val="nil"/>
              <w:left w:val="single" w:sz="4" w:space="0" w:color="auto"/>
              <w:bottom w:val="nil"/>
              <w:right w:val="single" w:sz="4" w:space="0" w:color="auto"/>
            </w:tcBorders>
            <w:shd w:val="clear" w:color="auto" w:fill="auto"/>
          </w:tcPr>
          <w:p w14:paraId="57E04B3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967</w:t>
            </w:r>
          </w:p>
        </w:tc>
        <w:tc>
          <w:tcPr>
            <w:tcW w:w="638" w:type="dxa"/>
            <w:tcBorders>
              <w:top w:val="nil"/>
              <w:left w:val="single" w:sz="4" w:space="0" w:color="auto"/>
              <w:bottom w:val="nil"/>
              <w:right w:val="single" w:sz="4" w:space="0" w:color="auto"/>
            </w:tcBorders>
            <w:shd w:val="clear" w:color="auto" w:fill="auto"/>
          </w:tcPr>
          <w:p w14:paraId="52B2E9A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6</w:t>
            </w:r>
          </w:p>
        </w:tc>
        <w:tc>
          <w:tcPr>
            <w:tcW w:w="638" w:type="dxa"/>
            <w:tcBorders>
              <w:top w:val="nil"/>
              <w:left w:val="single" w:sz="4" w:space="0" w:color="auto"/>
              <w:bottom w:val="nil"/>
              <w:right w:val="single" w:sz="4" w:space="0" w:color="auto"/>
            </w:tcBorders>
            <w:shd w:val="clear" w:color="auto" w:fill="auto"/>
          </w:tcPr>
          <w:p w14:paraId="34BB8A7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6</w:t>
            </w:r>
          </w:p>
        </w:tc>
        <w:tc>
          <w:tcPr>
            <w:tcW w:w="638" w:type="dxa"/>
            <w:tcBorders>
              <w:top w:val="nil"/>
              <w:left w:val="single" w:sz="4" w:space="0" w:color="auto"/>
              <w:bottom w:val="nil"/>
              <w:right w:val="single" w:sz="4" w:space="0" w:color="auto"/>
            </w:tcBorders>
            <w:shd w:val="clear" w:color="auto" w:fill="auto"/>
          </w:tcPr>
          <w:p w14:paraId="19BC7B7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467</w:t>
            </w:r>
          </w:p>
        </w:tc>
        <w:tc>
          <w:tcPr>
            <w:tcW w:w="638" w:type="dxa"/>
            <w:tcBorders>
              <w:top w:val="nil"/>
              <w:left w:val="single" w:sz="4" w:space="0" w:color="auto"/>
              <w:bottom w:val="nil"/>
              <w:right w:val="single" w:sz="4" w:space="0" w:color="auto"/>
            </w:tcBorders>
            <w:shd w:val="clear" w:color="auto" w:fill="auto"/>
          </w:tcPr>
          <w:p w14:paraId="6ED90B1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456</w:t>
            </w:r>
          </w:p>
        </w:tc>
        <w:tc>
          <w:tcPr>
            <w:tcW w:w="637" w:type="dxa"/>
            <w:tcBorders>
              <w:top w:val="nil"/>
              <w:left w:val="single" w:sz="4" w:space="0" w:color="auto"/>
              <w:bottom w:val="nil"/>
              <w:right w:val="single" w:sz="4" w:space="0" w:color="auto"/>
            </w:tcBorders>
            <w:shd w:val="clear" w:color="auto" w:fill="auto"/>
          </w:tcPr>
          <w:p w14:paraId="178C996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35</w:t>
            </w:r>
          </w:p>
        </w:tc>
        <w:tc>
          <w:tcPr>
            <w:tcW w:w="638" w:type="dxa"/>
            <w:tcBorders>
              <w:top w:val="nil"/>
              <w:left w:val="single" w:sz="4" w:space="0" w:color="auto"/>
              <w:bottom w:val="nil"/>
              <w:right w:val="single" w:sz="4" w:space="0" w:color="auto"/>
            </w:tcBorders>
            <w:shd w:val="clear" w:color="auto" w:fill="auto"/>
          </w:tcPr>
          <w:p w14:paraId="07E4CE1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37</w:t>
            </w:r>
          </w:p>
        </w:tc>
        <w:tc>
          <w:tcPr>
            <w:tcW w:w="638" w:type="dxa"/>
            <w:tcBorders>
              <w:top w:val="nil"/>
              <w:left w:val="single" w:sz="4" w:space="0" w:color="auto"/>
              <w:bottom w:val="nil"/>
              <w:right w:val="single" w:sz="4" w:space="0" w:color="auto"/>
            </w:tcBorders>
            <w:shd w:val="clear" w:color="auto" w:fill="auto"/>
          </w:tcPr>
          <w:p w14:paraId="6FC4315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22.1</w:t>
            </w:r>
          </w:p>
        </w:tc>
        <w:tc>
          <w:tcPr>
            <w:tcW w:w="638" w:type="dxa"/>
            <w:tcBorders>
              <w:top w:val="nil"/>
              <w:left w:val="single" w:sz="4" w:space="0" w:color="auto"/>
              <w:bottom w:val="nil"/>
              <w:right w:val="single" w:sz="4" w:space="0" w:color="auto"/>
            </w:tcBorders>
            <w:shd w:val="clear" w:color="auto" w:fill="auto"/>
          </w:tcPr>
          <w:p w14:paraId="54A675C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20.9</w:t>
            </w:r>
          </w:p>
        </w:tc>
        <w:tc>
          <w:tcPr>
            <w:tcW w:w="638" w:type="dxa"/>
            <w:tcBorders>
              <w:top w:val="nil"/>
              <w:left w:val="single" w:sz="4" w:space="0" w:color="auto"/>
              <w:bottom w:val="nil"/>
              <w:right w:val="single" w:sz="4" w:space="0" w:color="auto"/>
            </w:tcBorders>
            <w:shd w:val="clear" w:color="auto" w:fill="auto"/>
          </w:tcPr>
          <w:p w14:paraId="1102428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16.3</w:t>
            </w:r>
          </w:p>
        </w:tc>
        <w:tc>
          <w:tcPr>
            <w:tcW w:w="638" w:type="dxa"/>
            <w:gridSpan w:val="2"/>
            <w:tcBorders>
              <w:top w:val="nil"/>
              <w:left w:val="single" w:sz="4" w:space="0" w:color="auto"/>
              <w:bottom w:val="nil"/>
              <w:right w:val="single" w:sz="4" w:space="0" w:color="auto"/>
            </w:tcBorders>
            <w:shd w:val="clear" w:color="auto" w:fill="auto"/>
          </w:tcPr>
          <w:p w14:paraId="1EBEA44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16.7</w:t>
            </w:r>
          </w:p>
        </w:tc>
      </w:tr>
      <w:tr w:rsidR="001C7F15" w:rsidRPr="001C7F15" w14:paraId="3A59C115"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130B7BE9"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Banamex</w:t>
            </w:r>
          </w:p>
        </w:tc>
        <w:tc>
          <w:tcPr>
            <w:tcW w:w="709" w:type="dxa"/>
            <w:tcBorders>
              <w:top w:val="nil"/>
              <w:left w:val="single" w:sz="4" w:space="0" w:color="auto"/>
              <w:bottom w:val="nil"/>
              <w:right w:val="single" w:sz="4" w:space="0" w:color="auto"/>
            </w:tcBorders>
            <w:shd w:val="clear" w:color="auto" w:fill="auto"/>
          </w:tcPr>
          <w:p w14:paraId="3A9D457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3 243</w:t>
            </w:r>
          </w:p>
        </w:tc>
        <w:tc>
          <w:tcPr>
            <w:tcW w:w="746" w:type="dxa"/>
            <w:tcBorders>
              <w:top w:val="nil"/>
              <w:left w:val="single" w:sz="4" w:space="0" w:color="auto"/>
              <w:bottom w:val="nil"/>
              <w:right w:val="single" w:sz="4" w:space="0" w:color="auto"/>
            </w:tcBorders>
            <w:shd w:val="clear" w:color="auto" w:fill="auto"/>
          </w:tcPr>
          <w:p w14:paraId="3E7F3D2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2 932</w:t>
            </w:r>
          </w:p>
        </w:tc>
        <w:tc>
          <w:tcPr>
            <w:tcW w:w="638" w:type="dxa"/>
            <w:tcBorders>
              <w:top w:val="nil"/>
              <w:left w:val="single" w:sz="4" w:space="0" w:color="auto"/>
              <w:bottom w:val="nil"/>
              <w:right w:val="single" w:sz="4" w:space="0" w:color="auto"/>
            </w:tcBorders>
            <w:shd w:val="clear" w:color="auto" w:fill="auto"/>
          </w:tcPr>
          <w:p w14:paraId="3258CC5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29</w:t>
            </w:r>
          </w:p>
        </w:tc>
        <w:tc>
          <w:tcPr>
            <w:tcW w:w="638" w:type="dxa"/>
            <w:tcBorders>
              <w:top w:val="nil"/>
              <w:left w:val="single" w:sz="4" w:space="0" w:color="auto"/>
              <w:bottom w:val="nil"/>
              <w:right w:val="single" w:sz="4" w:space="0" w:color="auto"/>
            </w:tcBorders>
            <w:shd w:val="clear" w:color="auto" w:fill="auto"/>
          </w:tcPr>
          <w:p w14:paraId="13A50087"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w:t>
            </w:r>
          </w:p>
        </w:tc>
        <w:tc>
          <w:tcPr>
            <w:tcW w:w="638" w:type="dxa"/>
            <w:tcBorders>
              <w:top w:val="nil"/>
              <w:left w:val="single" w:sz="4" w:space="0" w:color="auto"/>
              <w:bottom w:val="nil"/>
              <w:right w:val="single" w:sz="4" w:space="0" w:color="auto"/>
            </w:tcBorders>
            <w:shd w:val="clear" w:color="auto" w:fill="auto"/>
          </w:tcPr>
          <w:p w14:paraId="3C11EE5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597</w:t>
            </w:r>
          </w:p>
        </w:tc>
        <w:tc>
          <w:tcPr>
            <w:tcW w:w="638" w:type="dxa"/>
            <w:tcBorders>
              <w:top w:val="nil"/>
              <w:left w:val="single" w:sz="4" w:space="0" w:color="auto"/>
              <w:bottom w:val="nil"/>
              <w:right w:val="single" w:sz="4" w:space="0" w:color="auto"/>
            </w:tcBorders>
            <w:shd w:val="clear" w:color="auto" w:fill="auto"/>
          </w:tcPr>
          <w:p w14:paraId="16F2764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598</w:t>
            </w:r>
          </w:p>
        </w:tc>
        <w:tc>
          <w:tcPr>
            <w:tcW w:w="637" w:type="dxa"/>
            <w:tcBorders>
              <w:top w:val="nil"/>
              <w:left w:val="single" w:sz="4" w:space="0" w:color="auto"/>
              <w:bottom w:val="nil"/>
              <w:right w:val="single" w:sz="4" w:space="0" w:color="auto"/>
            </w:tcBorders>
            <w:shd w:val="clear" w:color="auto" w:fill="auto"/>
          </w:tcPr>
          <w:p w14:paraId="6EAF308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40</w:t>
            </w:r>
          </w:p>
        </w:tc>
        <w:tc>
          <w:tcPr>
            <w:tcW w:w="638" w:type="dxa"/>
            <w:tcBorders>
              <w:top w:val="nil"/>
              <w:left w:val="single" w:sz="4" w:space="0" w:color="auto"/>
              <w:bottom w:val="nil"/>
              <w:right w:val="single" w:sz="4" w:space="0" w:color="auto"/>
            </w:tcBorders>
            <w:shd w:val="clear" w:color="auto" w:fill="auto"/>
          </w:tcPr>
          <w:p w14:paraId="51E52BC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42</w:t>
            </w:r>
          </w:p>
        </w:tc>
        <w:tc>
          <w:tcPr>
            <w:tcW w:w="638" w:type="dxa"/>
            <w:tcBorders>
              <w:top w:val="nil"/>
              <w:left w:val="single" w:sz="4" w:space="0" w:color="auto"/>
              <w:bottom w:val="nil"/>
              <w:right w:val="single" w:sz="4" w:space="0" w:color="auto"/>
            </w:tcBorders>
            <w:shd w:val="clear" w:color="auto" w:fill="auto"/>
          </w:tcPr>
          <w:p w14:paraId="5FCDDDB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24.5</w:t>
            </w:r>
          </w:p>
        </w:tc>
        <w:tc>
          <w:tcPr>
            <w:tcW w:w="638" w:type="dxa"/>
            <w:tcBorders>
              <w:top w:val="nil"/>
              <w:left w:val="single" w:sz="4" w:space="0" w:color="auto"/>
              <w:bottom w:val="nil"/>
              <w:right w:val="single" w:sz="4" w:space="0" w:color="auto"/>
            </w:tcBorders>
            <w:shd w:val="clear" w:color="auto" w:fill="auto"/>
          </w:tcPr>
          <w:p w14:paraId="77BEAC0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22.9</w:t>
            </w:r>
          </w:p>
        </w:tc>
        <w:tc>
          <w:tcPr>
            <w:tcW w:w="638" w:type="dxa"/>
            <w:tcBorders>
              <w:top w:val="nil"/>
              <w:left w:val="single" w:sz="4" w:space="0" w:color="auto"/>
              <w:bottom w:val="nil"/>
              <w:right w:val="single" w:sz="4" w:space="0" w:color="auto"/>
            </w:tcBorders>
            <w:shd w:val="clear" w:color="auto" w:fill="auto"/>
          </w:tcPr>
          <w:p w14:paraId="68DBB6B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14.2</w:t>
            </w:r>
          </w:p>
        </w:tc>
        <w:tc>
          <w:tcPr>
            <w:tcW w:w="638" w:type="dxa"/>
            <w:gridSpan w:val="2"/>
            <w:tcBorders>
              <w:top w:val="nil"/>
              <w:left w:val="single" w:sz="4" w:space="0" w:color="auto"/>
              <w:bottom w:val="nil"/>
              <w:right w:val="single" w:sz="4" w:space="0" w:color="auto"/>
            </w:tcBorders>
            <w:shd w:val="clear" w:color="auto" w:fill="auto"/>
          </w:tcPr>
          <w:p w14:paraId="4FFD0FF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13.7</w:t>
            </w:r>
          </w:p>
        </w:tc>
      </w:tr>
      <w:tr w:rsidR="001C7F15" w:rsidRPr="001C7F15" w14:paraId="2F47D1D6"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20511A5F"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SF Soriana</w:t>
            </w:r>
          </w:p>
        </w:tc>
        <w:tc>
          <w:tcPr>
            <w:tcW w:w="709" w:type="dxa"/>
            <w:tcBorders>
              <w:top w:val="nil"/>
              <w:left w:val="single" w:sz="4" w:space="0" w:color="auto"/>
              <w:bottom w:val="nil"/>
              <w:right w:val="single" w:sz="4" w:space="0" w:color="auto"/>
            </w:tcBorders>
            <w:shd w:val="clear" w:color="auto" w:fill="auto"/>
          </w:tcPr>
          <w:p w14:paraId="626D7CE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100</w:t>
            </w:r>
          </w:p>
        </w:tc>
        <w:tc>
          <w:tcPr>
            <w:tcW w:w="746" w:type="dxa"/>
            <w:tcBorders>
              <w:top w:val="nil"/>
              <w:left w:val="single" w:sz="4" w:space="0" w:color="auto"/>
              <w:bottom w:val="nil"/>
              <w:right w:val="single" w:sz="4" w:space="0" w:color="auto"/>
            </w:tcBorders>
            <w:shd w:val="clear" w:color="auto" w:fill="auto"/>
          </w:tcPr>
          <w:p w14:paraId="1D5CEA2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113</w:t>
            </w:r>
          </w:p>
        </w:tc>
        <w:tc>
          <w:tcPr>
            <w:tcW w:w="638" w:type="dxa"/>
            <w:tcBorders>
              <w:top w:val="nil"/>
              <w:left w:val="single" w:sz="4" w:space="0" w:color="auto"/>
              <w:bottom w:val="nil"/>
              <w:right w:val="single" w:sz="4" w:space="0" w:color="auto"/>
            </w:tcBorders>
            <w:shd w:val="clear" w:color="auto" w:fill="auto"/>
          </w:tcPr>
          <w:p w14:paraId="108FC44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7669465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3FBC1EB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520</w:t>
            </w:r>
          </w:p>
        </w:tc>
        <w:tc>
          <w:tcPr>
            <w:tcW w:w="638" w:type="dxa"/>
            <w:tcBorders>
              <w:top w:val="nil"/>
              <w:left w:val="single" w:sz="4" w:space="0" w:color="auto"/>
              <w:bottom w:val="nil"/>
              <w:right w:val="single" w:sz="4" w:space="0" w:color="auto"/>
            </w:tcBorders>
            <w:shd w:val="clear" w:color="auto" w:fill="auto"/>
          </w:tcPr>
          <w:p w14:paraId="2EF34BC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520</w:t>
            </w:r>
          </w:p>
        </w:tc>
        <w:tc>
          <w:tcPr>
            <w:tcW w:w="637" w:type="dxa"/>
            <w:tcBorders>
              <w:top w:val="nil"/>
              <w:left w:val="single" w:sz="4" w:space="0" w:color="auto"/>
              <w:bottom w:val="nil"/>
              <w:right w:val="single" w:sz="4" w:space="0" w:color="auto"/>
            </w:tcBorders>
            <w:shd w:val="clear" w:color="auto" w:fill="auto"/>
          </w:tcPr>
          <w:p w14:paraId="46AF612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20</w:t>
            </w:r>
          </w:p>
        </w:tc>
        <w:tc>
          <w:tcPr>
            <w:tcW w:w="638" w:type="dxa"/>
            <w:tcBorders>
              <w:top w:val="nil"/>
              <w:left w:val="single" w:sz="4" w:space="0" w:color="auto"/>
              <w:bottom w:val="nil"/>
              <w:right w:val="single" w:sz="4" w:space="0" w:color="auto"/>
            </w:tcBorders>
            <w:shd w:val="clear" w:color="auto" w:fill="auto"/>
          </w:tcPr>
          <w:p w14:paraId="512E9D5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19</w:t>
            </w:r>
          </w:p>
        </w:tc>
        <w:tc>
          <w:tcPr>
            <w:tcW w:w="638" w:type="dxa"/>
            <w:tcBorders>
              <w:top w:val="nil"/>
              <w:left w:val="single" w:sz="4" w:space="0" w:color="auto"/>
              <w:bottom w:val="nil"/>
              <w:right w:val="single" w:sz="4" w:space="0" w:color="auto"/>
            </w:tcBorders>
            <w:shd w:val="clear" w:color="auto" w:fill="auto"/>
          </w:tcPr>
          <w:p w14:paraId="0456BE5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25.9</w:t>
            </w:r>
          </w:p>
        </w:tc>
        <w:tc>
          <w:tcPr>
            <w:tcW w:w="638" w:type="dxa"/>
            <w:tcBorders>
              <w:top w:val="nil"/>
              <w:left w:val="single" w:sz="4" w:space="0" w:color="auto"/>
              <w:bottom w:val="nil"/>
              <w:right w:val="single" w:sz="4" w:space="0" w:color="auto"/>
            </w:tcBorders>
            <w:shd w:val="clear" w:color="auto" w:fill="auto"/>
          </w:tcPr>
          <w:p w14:paraId="0ED1D2A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25.3</w:t>
            </w:r>
          </w:p>
        </w:tc>
        <w:tc>
          <w:tcPr>
            <w:tcW w:w="638" w:type="dxa"/>
            <w:tcBorders>
              <w:top w:val="nil"/>
              <w:left w:val="single" w:sz="4" w:space="0" w:color="auto"/>
              <w:bottom w:val="nil"/>
              <w:right w:val="single" w:sz="4" w:space="0" w:color="auto"/>
            </w:tcBorders>
            <w:shd w:val="clear" w:color="auto" w:fill="auto"/>
          </w:tcPr>
          <w:p w14:paraId="2289F9A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7.8</w:t>
            </w:r>
          </w:p>
        </w:tc>
        <w:tc>
          <w:tcPr>
            <w:tcW w:w="638" w:type="dxa"/>
            <w:gridSpan w:val="2"/>
            <w:tcBorders>
              <w:top w:val="nil"/>
              <w:left w:val="single" w:sz="4" w:space="0" w:color="auto"/>
              <w:bottom w:val="nil"/>
              <w:right w:val="single" w:sz="4" w:space="0" w:color="auto"/>
            </w:tcBorders>
            <w:shd w:val="clear" w:color="auto" w:fill="auto"/>
          </w:tcPr>
          <w:p w14:paraId="223A3D2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7.8</w:t>
            </w:r>
          </w:p>
        </w:tc>
      </w:tr>
      <w:tr w:rsidR="001C7F15" w:rsidRPr="001C7F15" w14:paraId="63ECCC49"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7149D714"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Scotiabank</w:t>
            </w:r>
          </w:p>
        </w:tc>
        <w:tc>
          <w:tcPr>
            <w:tcW w:w="709" w:type="dxa"/>
            <w:tcBorders>
              <w:top w:val="nil"/>
              <w:left w:val="single" w:sz="4" w:space="0" w:color="auto"/>
              <w:bottom w:val="nil"/>
              <w:right w:val="single" w:sz="4" w:space="0" w:color="auto"/>
            </w:tcBorders>
            <w:shd w:val="clear" w:color="auto" w:fill="auto"/>
          </w:tcPr>
          <w:p w14:paraId="38CD206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181</w:t>
            </w:r>
          </w:p>
        </w:tc>
        <w:tc>
          <w:tcPr>
            <w:tcW w:w="746" w:type="dxa"/>
            <w:tcBorders>
              <w:top w:val="nil"/>
              <w:left w:val="single" w:sz="4" w:space="0" w:color="auto"/>
              <w:bottom w:val="nil"/>
              <w:right w:val="single" w:sz="4" w:space="0" w:color="auto"/>
            </w:tcBorders>
            <w:shd w:val="clear" w:color="auto" w:fill="auto"/>
          </w:tcPr>
          <w:p w14:paraId="3060553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184</w:t>
            </w:r>
          </w:p>
        </w:tc>
        <w:tc>
          <w:tcPr>
            <w:tcW w:w="638" w:type="dxa"/>
            <w:tcBorders>
              <w:top w:val="nil"/>
              <w:left w:val="single" w:sz="4" w:space="0" w:color="auto"/>
              <w:bottom w:val="nil"/>
              <w:right w:val="single" w:sz="4" w:space="0" w:color="auto"/>
            </w:tcBorders>
            <w:shd w:val="clear" w:color="auto" w:fill="auto"/>
          </w:tcPr>
          <w:p w14:paraId="7AB15A3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w:t>
            </w:r>
          </w:p>
        </w:tc>
        <w:tc>
          <w:tcPr>
            <w:tcW w:w="638" w:type="dxa"/>
            <w:tcBorders>
              <w:top w:val="nil"/>
              <w:left w:val="single" w:sz="4" w:space="0" w:color="auto"/>
              <w:bottom w:val="nil"/>
              <w:right w:val="single" w:sz="4" w:space="0" w:color="auto"/>
            </w:tcBorders>
            <w:shd w:val="clear" w:color="auto" w:fill="auto"/>
          </w:tcPr>
          <w:p w14:paraId="00DE13B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w:t>
            </w:r>
          </w:p>
        </w:tc>
        <w:tc>
          <w:tcPr>
            <w:tcW w:w="638" w:type="dxa"/>
            <w:tcBorders>
              <w:top w:val="nil"/>
              <w:left w:val="single" w:sz="4" w:space="0" w:color="auto"/>
              <w:bottom w:val="nil"/>
              <w:right w:val="single" w:sz="4" w:space="0" w:color="auto"/>
            </w:tcBorders>
            <w:shd w:val="clear" w:color="auto" w:fill="auto"/>
          </w:tcPr>
          <w:p w14:paraId="62A8494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504</w:t>
            </w:r>
          </w:p>
        </w:tc>
        <w:tc>
          <w:tcPr>
            <w:tcW w:w="638" w:type="dxa"/>
            <w:tcBorders>
              <w:top w:val="nil"/>
              <w:left w:val="single" w:sz="4" w:space="0" w:color="auto"/>
              <w:bottom w:val="nil"/>
              <w:right w:val="single" w:sz="4" w:space="0" w:color="auto"/>
            </w:tcBorders>
            <w:shd w:val="clear" w:color="auto" w:fill="auto"/>
          </w:tcPr>
          <w:p w14:paraId="6D10CA5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554</w:t>
            </w:r>
          </w:p>
        </w:tc>
        <w:tc>
          <w:tcPr>
            <w:tcW w:w="637" w:type="dxa"/>
            <w:tcBorders>
              <w:top w:val="nil"/>
              <w:left w:val="single" w:sz="4" w:space="0" w:color="auto"/>
              <w:bottom w:val="nil"/>
              <w:right w:val="single" w:sz="4" w:space="0" w:color="auto"/>
            </w:tcBorders>
            <w:shd w:val="clear" w:color="auto" w:fill="auto"/>
          </w:tcPr>
          <w:p w14:paraId="382E655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w:t>
            </w:r>
          </w:p>
        </w:tc>
        <w:tc>
          <w:tcPr>
            <w:tcW w:w="638" w:type="dxa"/>
            <w:tcBorders>
              <w:top w:val="nil"/>
              <w:left w:val="single" w:sz="4" w:space="0" w:color="auto"/>
              <w:bottom w:val="nil"/>
              <w:right w:val="single" w:sz="4" w:space="0" w:color="auto"/>
            </w:tcBorders>
            <w:shd w:val="clear" w:color="auto" w:fill="auto"/>
          </w:tcPr>
          <w:p w14:paraId="66F25AE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w:t>
            </w:r>
          </w:p>
        </w:tc>
        <w:tc>
          <w:tcPr>
            <w:tcW w:w="638" w:type="dxa"/>
            <w:tcBorders>
              <w:top w:val="nil"/>
              <w:left w:val="single" w:sz="4" w:space="0" w:color="auto"/>
              <w:bottom w:val="nil"/>
              <w:right w:val="single" w:sz="4" w:space="0" w:color="auto"/>
            </w:tcBorders>
            <w:shd w:val="clear" w:color="auto" w:fill="auto"/>
          </w:tcPr>
          <w:p w14:paraId="7A960E6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27.2</w:t>
            </w:r>
          </w:p>
        </w:tc>
        <w:tc>
          <w:tcPr>
            <w:tcW w:w="638" w:type="dxa"/>
            <w:tcBorders>
              <w:top w:val="nil"/>
              <w:left w:val="single" w:sz="4" w:space="0" w:color="auto"/>
              <w:bottom w:val="nil"/>
              <w:right w:val="single" w:sz="4" w:space="0" w:color="auto"/>
            </w:tcBorders>
            <w:shd w:val="clear" w:color="auto" w:fill="auto"/>
          </w:tcPr>
          <w:p w14:paraId="69B3985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27.5</w:t>
            </w:r>
          </w:p>
        </w:tc>
        <w:tc>
          <w:tcPr>
            <w:tcW w:w="638" w:type="dxa"/>
            <w:tcBorders>
              <w:top w:val="nil"/>
              <w:left w:val="single" w:sz="4" w:space="0" w:color="auto"/>
              <w:bottom w:val="nil"/>
              <w:right w:val="single" w:sz="4" w:space="0" w:color="auto"/>
            </w:tcBorders>
            <w:shd w:val="clear" w:color="auto" w:fill="auto"/>
          </w:tcPr>
          <w:p w14:paraId="29E8962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9.3</w:t>
            </w:r>
          </w:p>
        </w:tc>
        <w:tc>
          <w:tcPr>
            <w:tcW w:w="638" w:type="dxa"/>
            <w:gridSpan w:val="2"/>
            <w:tcBorders>
              <w:top w:val="nil"/>
              <w:left w:val="single" w:sz="4" w:space="0" w:color="auto"/>
              <w:bottom w:val="nil"/>
              <w:right w:val="single" w:sz="4" w:space="0" w:color="auto"/>
            </w:tcBorders>
            <w:shd w:val="clear" w:color="auto" w:fill="auto"/>
          </w:tcPr>
          <w:p w14:paraId="5AD6224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9.1</w:t>
            </w:r>
          </w:p>
        </w:tc>
      </w:tr>
      <w:tr w:rsidR="001C7F15" w:rsidRPr="001C7F15" w14:paraId="6CAE485B"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0E6600F6"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Inbursa</w:t>
            </w:r>
          </w:p>
        </w:tc>
        <w:tc>
          <w:tcPr>
            <w:tcW w:w="709" w:type="dxa"/>
            <w:tcBorders>
              <w:top w:val="nil"/>
              <w:left w:val="single" w:sz="4" w:space="0" w:color="auto"/>
              <w:bottom w:val="nil"/>
              <w:right w:val="single" w:sz="4" w:space="0" w:color="auto"/>
            </w:tcBorders>
            <w:shd w:val="clear" w:color="auto" w:fill="auto"/>
          </w:tcPr>
          <w:p w14:paraId="7A3F9B2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219</w:t>
            </w:r>
          </w:p>
        </w:tc>
        <w:tc>
          <w:tcPr>
            <w:tcW w:w="746" w:type="dxa"/>
            <w:tcBorders>
              <w:top w:val="nil"/>
              <w:left w:val="single" w:sz="4" w:space="0" w:color="auto"/>
              <w:bottom w:val="nil"/>
              <w:right w:val="single" w:sz="4" w:space="0" w:color="auto"/>
            </w:tcBorders>
            <w:shd w:val="clear" w:color="auto" w:fill="auto"/>
          </w:tcPr>
          <w:p w14:paraId="75312E4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209</w:t>
            </w:r>
          </w:p>
        </w:tc>
        <w:tc>
          <w:tcPr>
            <w:tcW w:w="638" w:type="dxa"/>
            <w:tcBorders>
              <w:top w:val="nil"/>
              <w:left w:val="single" w:sz="4" w:space="0" w:color="auto"/>
              <w:bottom w:val="nil"/>
              <w:right w:val="single" w:sz="4" w:space="0" w:color="auto"/>
            </w:tcBorders>
            <w:shd w:val="clear" w:color="auto" w:fill="auto"/>
          </w:tcPr>
          <w:p w14:paraId="7AC9D36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w:t>
            </w:r>
          </w:p>
        </w:tc>
        <w:tc>
          <w:tcPr>
            <w:tcW w:w="638" w:type="dxa"/>
            <w:tcBorders>
              <w:top w:val="nil"/>
              <w:left w:val="single" w:sz="4" w:space="0" w:color="auto"/>
              <w:bottom w:val="nil"/>
              <w:right w:val="single" w:sz="4" w:space="0" w:color="auto"/>
            </w:tcBorders>
            <w:shd w:val="clear" w:color="auto" w:fill="auto"/>
          </w:tcPr>
          <w:p w14:paraId="2BBF0BE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w:t>
            </w:r>
          </w:p>
        </w:tc>
        <w:tc>
          <w:tcPr>
            <w:tcW w:w="638" w:type="dxa"/>
            <w:tcBorders>
              <w:top w:val="nil"/>
              <w:left w:val="single" w:sz="4" w:space="0" w:color="auto"/>
              <w:bottom w:val="nil"/>
              <w:right w:val="single" w:sz="4" w:space="0" w:color="auto"/>
            </w:tcBorders>
            <w:shd w:val="clear" w:color="auto" w:fill="auto"/>
          </w:tcPr>
          <w:p w14:paraId="5B376FE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w:t>
            </w:r>
          </w:p>
        </w:tc>
        <w:tc>
          <w:tcPr>
            <w:tcW w:w="638" w:type="dxa"/>
            <w:tcBorders>
              <w:top w:val="nil"/>
              <w:left w:val="single" w:sz="4" w:space="0" w:color="auto"/>
              <w:bottom w:val="nil"/>
              <w:right w:val="single" w:sz="4" w:space="0" w:color="auto"/>
            </w:tcBorders>
            <w:shd w:val="clear" w:color="auto" w:fill="auto"/>
          </w:tcPr>
          <w:p w14:paraId="78CD07D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w:t>
            </w:r>
          </w:p>
        </w:tc>
        <w:tc>
          <w:tcPr>
            <w:tcW w:w="637" w:type="dxa"/>
            <w:tcBorders>
              <w:top w:val="nil"/>
              <w:left w:val="single" w:sz="4" w:space="0" w:color="auto"/>
              <w:bottom w:val="nil"/>
              <w:right w:val="single" w:sz="4" w:space="0" w:color="auto"/>
            </w:tcBorders>
            <w:shd w:val="clear" w:color="auto" w:fill="auto"/>
          </w:tcPr>
          <w:p w14:paraId="6CB1FCB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9</w:t>
            </w:r>
          </w:p>
        </w:tc>
        <w:tc>
          <w:tcPr>
            <w:tcW w:w="638" w:type="dxa"/>
            <w:tcBorders>
              <w:top w:val="nil"/>
              <w:left w:val="single" w:sz="4" w:space="0" w:color="auto"/>
              <w:bottom w:val="nil"/>
              <w:right w:val="single" w:sz="4" w:space="0" w:color="auto"/>
            </w:tcBorders>
            <w:shd w:val="clear" w:color="auto" w:fill="auto"/>
          </w:tcPr>
          <w:p w14:paraId="033A162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w:t>
            </w:r>
          </w:p>
        </w:tc>
        <w:tc>
          <w:tcPr>
            <w:tcW w:w="638" w:type="dxa"/>
            <w:tcBorders>
              <w:top w:val="nil"/>
              <w:left w:val="single" w:sz="4" w:space="0" w:color="auto"/>
              <w:bottom w:val="nil"/>
              <w:right w:val="single" w:sz="4" w:space="0" w:color="auto"/>
            </w:tcBorders>
            <w:shd w:val="clear" w:color="auto" w:fill="auto"/>
          </w:tcPr>
          <w:p w14:paraId="6670F69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27.4</w:t>
            </w:r>
          </w:p>
        </w:tc>
        <w:tc>
          <w:tcPr>
            <w:tcW w:w="638" w:type="dxa"/>
            <w:tcBorders>
              <w:top w:val="nil"/>
              <w:left w:val="single" w:sz="4" w:space="0" w:color="auto"/>
              <w:bottom w:val="nil"/>
              <w:right w:val="single" w:sz="4" w:space="0" w:color="auto"/>
            </w:tcBorders>
            <w:shd w:val="clear" w:color="auto" w:fill="auto"/>
          </w:tcPr>
          <w:p w14:paraId="16B0D49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28.2</w:t>
            </w:r>
          </w:p>
        </w:tc>
        <w:tc>
          <w:tcPr>
            <w:tcW w:w="638" w:type="dxa"/>
            <w:tcBorders>
              <w:top w:val="nil"/>
              <w:left w:val="single" w:sz="4" w:space="0" w:color="auto"/>
              <w:bottom w:val="nil"/>
              <w:right w:val="single" w:sz="4" w:space="0" w:color="auto"/>
            </w:tcBorders>
            <w:shd w:val="clear" w:color="auto" w:fill="auto"/>
          </w:tcPr>
          <w:p w14:paraId="18D7F47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4.7</w:t>
            </w:r>
          </w:p>
        </w:tc>
        <w:tc>
          <w:tcPr>
            <w:tcW w:w="638" w:type="dxa"/>
            <w:gridSpan w:val="2"/>
            <w:tcBorders>
              <w:top w:val="nil"/>
              <w:left w:val="single" w:sz="4" w:space="0" w:color="auto"/>
              <w:bottom w:val="nil"/>
              <w:right w:val="single" w:sz="4" w:space="0" w:color="auto"/>
            </w:tcBorders>
            <w:shd w:val="clear" w:color="auto" w:fill="auto"/>
          </w:tcPr>
          <w:p w14:paraId="2FC9D2F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5.0</w:t>
            </w:r>
          </w:p>
        </w:tc>
      </w:tr>
      <w:tr w:rsidR="001C7F15" w:rsidRPr="001C7F15" w14:paraId="3472EFB5"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751ABEF8"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HSBC</w:t>
            </w:r>
          </w:p>
        </w:tc>
        <w:tc>
          <w:tcPr>
            <w:tcW w:w="709" w:type="dxa"/>
            <w:tcBorders>
              <w:top w:val="nil"/>
              <w:left w:val="single" w:sz="4" w:space="0" w:color="auto"/>
              <w:bottom w:val="nil"/>
              <w:right w:val="single" w:sz="4" w:space="0" w:color="auto"/>
            </w:tcBorders>
            <w:shd w:val="clear" w:color="auto" w:fill="auto"/>
          </w:tcPr>
          <w:p w14:paraId="1E1D304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487</w:t>
            </w:r>
          </w:p>
        </w:tc>
        <w:tc>
          <w:tcPr>
            <w:tcW w:w="746" w:type="dxa"/>
            <w:tcBorders>
              <w:top w:val="nil"/>
              <w:left w:val="single" w:sz="4" w:space="0" w:color="auto"/>
              <w:bottom w:val="nil"/>
              <w:right w:val="single" w:sz="4" w:space="0" w:color="auto"/>
            </w:tcBorders>
            <w:shd w:val="clear" w:color="auto" w:fill="auto"/>
          </w:tcPr>
          <w:p w14:paraId="60D2A55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433</w:t>
            </w:r>
          </w:p>
        </w:tc>
        <w:tc>
          <w:tcPr>
            <w:tcW w:w="638" w:type="dxa"/>
            <w:tcBorders>
              <w:top w:val="nil"/>
              <w:left w:val="single" w:sz="4" w:space="0" w:color="auto"/>
              <w:bottom w:val="nil"/>
              <w:right w:val="single" w:sz="4" w:space="0" w:color="auto"/>
            </w:tcBorders>
            <w:shd w:val="clear" w:color="auto" w:fill="auto"/>
          </w:tcPr>
          <w:p w14:paraId="0C1E746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w:t>
            </w:r>
          </w:p>
        </w:tc>
        <w:tc>
          <w:tcPr>
            <w:tcW w:w="638" w:type="dxa"/>
            <w:tcBorders>
              <w:top w:val="nil"/>
              <w:left w:val="single" w:sz="4" w:space="0" w:color="auto"/>
              <w:bottom w:val="nil"/>
              <w:right w:val="single" w:sz="4" w:space="0" w:color="auto"/>
            </w:tcBorders>
            <w:shd w:val="clear" w:color="auto" w:fill="auto"/>
          </w:tcPr>
          <w:p w14:paraId="0764F6F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w:t>
            </w:r>
          </w:p>
        </w:tc>
        <w:tc>
          <w:tcPr>
            <w:tcW w:w="638" w:type="dxa"/>
            <w:tcBorders>
              <w:top w:val="nil"/>
              <w:left w:val="single" w:sz="4" w:space="0" w:color="auto"/>
              <w:bottom w:val="nil"/>
              <w:right w:val="single" w:sz="4" w:space="0" w:color="auto"/>
            </w:tcBorders>
            <w:shd w:val="clear" w:color="auto" w:fill="auto"/>
          </w:tcPr>
          <w:p w14:paraId="4763A0F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537</w:t>
            </w:r>
          </w:p>
        </w:tc>
        <w:tc>
          <w:tcPr>
            <w:tcW w:w="638" w:type="dxa"/>
            <w:tcBorders>
              <w:top w:val="nil"/>
              <w:left w:val="single" w:sz="4" w:space="0" w:color="auto"/>
              <w:bottom w:val="nil"/>
              <w:right w:val="single" w:sz="4" w:space="0" w:color="auto"/>
            </w:tcBorders>
            <w:shd w:val="clear" w:color="auto" w:fill="auto"/>
          </w:tcPr>
          <w:p w14:paraId="542252B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542</w:t>
            </w:r>
          </w:p>
        </w:tc>
        <w:tc>
          <w:tcPr>
            <w:tcW w:w="637" w:type="dxa"/>
            <w:tcBorders>
              <w:top w:val="nil"/>
              <w:left w:val="single" w:sz="4" w:space="0" w:color="auto"/>
              <w:bottom w:val="nil"/>
              <w:right w:val="single" w:sz="4" w:space="0" w:color="auto"/>
            </w:tcBorders>
            <w:shd w:val="clear" w:color="auto" w:fill="auto"/>
          </w:tcPr>
          <w:p w14:paraId="43CCC29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29</w:t>
            </w:r>
          </w:p>
        </w:tc>
        <w:tc>
          <w:tcPr>
            <w:tcW w:w="638" w:type="dxa"/>
            <w:tcBorders>
              <w:top w:val="nil"/>
              <w:left w:val="single" w:sz="4" w:space="0" w:color="auto"/>
              <w:bottom w:val="nil"/>
              <w:right w:val="single" w:sz="4" w:space="0" w:color="auto"/>
            </w:tcBorders>
            <w:shd w:val="clear" w:color="auto" w:fill="auto"/>
          </w:tcPr>
          <w:p w14:paraId="215157C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30</w:t>
            </w:r>
          </w:p>
        </w:tc>
        <w:tc>
          <w:tcPr>
            <w:tcW w:w="638" w:type="dxa"/>
            <w:tcBorders>
              <w:top w:val="nil"/>
              <w:left w:val="single" w:sz="4" w:space="0" w:color="auto"/>
              <w:bottom w:val="nil"/>
              <w:right w:val="single" w:sz="4" w:space="0" w:color="auto"/>
            </w:tcBorders>
            <w:shd w:val="clear" w:color="auto" w:fill="auto"/>
          </w:tcPr>
          <w:p w14:paraId="48A1F12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29.4</w:t>
            </w:r>
          </w:p>
        </w:tc>
        <w:tc>
          <w:tcPr>
            <w:tcW w:w="638" w:type="dxa"/>
            <w:tcBorders>
              <w:top w:val="nil"/>
              <w:left w:val="single" w:sz="4" w:space="0" w:color="auto"/>
              <w:bottom w:val="nil"/>
              <w:right w:val="single" w:sz="4" w:space="0" w:color="auto"/>
            </w:tcBorders>
            <w:shd w:val="clear" w:color="auto" w:fill="auto"/>
          </w:tcPr>
          <w:p w14:paraId="07ACEF9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28.6</w:t>
            </w:r>
          </w:p>
        </w:tc>
        <w:tc>
          <w:tcPr>
            <w:tcW w:w="638" w:type="dxa"/>
            <w:tcBorders>
              <w:top w:val="nil"/>
              <w:left w:val="single" w:sz="4" w:space="0" w:color="auto"/>
              <w:bottom w:val="nil"/>
              <w:right w:val="single" w:sz="4" w:space="0" w:color="auto"/>
            </w:tcBorders>
            <w:shd w:val="clear" w:color="auto" w:fill="auto"/>
          </w:tcPr>
          <w:p w14:paraId="10700A7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9.7</w:t>
            </w:r>
          </w:p>
        </w:tc>
        <w:tc>
          <w:tcPr>
            <w:tcW w:w="638" w:type="dxa"/>
            <w:gridSpan w:val="2"/>
            <w:tcBorders>
              <w:top w:val="nil"/>
              <w:left w:val="single" w:sz="4" w:space="0" w:color="auto"/>
              <w:bottom w:val="nil"/>
              <w:right w:val="single" w:sz="4" w:space="0" w:color="auto"/>
            </w:tcBorders>
            <w:shd w:val="clear" w:color="auto" w:fill="auto"/>
          </w:tcPr>
          <w:p w14:paraId="354F0B5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10.5</w:t>
            </w:r>
          </w:p>
        </w:tc>
      </w:tr>
      <w:tr w:rsidR="001C7F15" w:rsidRPr="001C7F15" w14:paraId="2AB24047"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3862CA32"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Banorte-Ixe Tarjetas</w:t>
            </w:r>
          </w:p>
        </w:tc>
        <w:tc>
          <w:tcPr>
            <w:tcW w:w="709" w:type="dxa"/>
            <w:tcBorders>
              <w:top w:val="nil"/>
              <w:left w:val="single" w:sz="4" w:space="0" w:color="auto"/>
              <w:bottom w:val="nil"/>
              <w:right w:val="single" w:sz="4" w:space="0" w:color="auto"/>
            </w:tcBorders>
            <w:shd w:val="clear" w:color="auto" w:fill="auto"/>
          </w:tcPr>
          <w:p w14:paraId="40F3B90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538</w:t>
            </w:r>
          </w:p>
        </w:tc>
        <w:tc>
          <w:tcPr>
            <w:tcW w:w="746" w:type="dxa"/>
            <w:tcBorders>
              <w:top w:val="nil"/>
              <w:left w:val="single" w:sz="4" w:space="0" w:color="auto"/>
              <w:bottom w:val="nil"/>
              <w:right w:val="single" w:sz="4" w:space="0" w:color="auto"/>
            </w:tcBorders>
            <w:shd w:val="clear" w:color="auto" w:fill="auto"/>
          </w:tcPr>
          <w:p w14:paraId="610E2BB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539</w:t>
            </w:r>
          </w:p>
        </w:tc>
        <w:tc>
          <w:tcPr>
            <w:tcW w:w="638" w:type="dxa"/>
            <w:tcBorders>
              <w:top w:val="nil"/>
              <w:left w:val="single" w:sz="4" w:space="0" w:color="auto"/>
              <w:bottom w:val="nil"/>
              <w:right w:val="single" w:sz="4" w:space="0" w:color="auto"/>
            </w:tcBorders>
            <w:shd w:val="clear" w:color="auto" w:fill="auto"/>
          </w:tcPr>
          <w:p w14:paraId="77AFF41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6</w:t>
            </w:r>
          </w:p>
        </w:tc>
        <w:tc>
          <w:tcPr>
            <w:tcW w:w="638" w:type="dxa"/>
            <w:tcBorders>
              <w:top w:val="nil"/>
              <w:left w:val="single" w:sz="4" w:space="0" w:color="auto"/>
              <w:bottom w:val="nil"/>
              <w:right w:val="single" w:sz="4" w:space="0" w:color="auto"/>
            </w:tcBorders>
            <w:shd w:val="clear" w:color="auto" w:fill="auto"/>
          </w:tcPr>
          <w:p w14:paraId="343392F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6</w:t>
            </w:r>
          </w:p>
        </w:tc>
        <w:tc>
          <w:tcPr>
            <w:tcW w:w="638" w:type="dxa"/>
            <w:tcBorders>
              <w:top w:val="nil"/>
              <w:left w:val="single" w:sz="4" w:space="0" w:color="auto"/>
              <w:bottom w:val="nil"/>
              <w:right w:val="single" w:sz="4" w:space="0" w:color="auto"/>
            </w:tcBorders>
            <w:shd w:val="clear" w:color="auto" w:fill="auto"/>
          </w:tcPr>
          <w:p w14:paraId="399AA0C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492</w:t>
            </w:r>
          </w:p>
        </w:tc>
        <w:tc>
          <w:tcPr>
            <w:tcW w:w="638" w:type="dxa"/>
            <w:tcBorders>
              <w:top w:val="nil"/>
              <w:left w:val="single" w:sz="4" w:space="0" w:color="auto"/>
              <w:bottom w:val="nil"/>
              <w:right w:val="single" w:sz="4" w:space="0" w:color="auto"/>
            </w:tcBorders>
            <w:shd w:val="clear" w:color="auto" w:fill="auto"/>
          </w:tcPr>
          <w:p w14:paraId="7C175E0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511</w:t>
            </w:r>
          </w:p>
        </w:tc>
        <w:tc>
          <w:tcPr>
            <w:tcW w:w="637" w:type="dxa"/>
            <w:tcBorders>
              <w:top w:val="nil"/>
              <w:left w:val="single" w:sz="4" w:space="0" w:color="auto"/>
              <w:bottom w:val="nil"/>
              <w:right w:val="single" w:sz="4" w:space="0" w:color="auto"/>
            </w:tcBorders>
            <w:shd w:val="clear" w:color="auto" w:fill="auto"/>
          </w:tcPr>
          <w:p w14:paraId="277EAA3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26</w:t>
            </w:r>
          </w:p>
        </w:tc>
        <w:tc>
          <w:tcPr>
            <w:tcW w:w="638" w:type="dxa"/>
            <w:tcBorders>
              <w:top w:val="nil"/>
              <w:left w:val="single" w:sz="4" w:space="0" w:color="auto"/>
              <w:bottom w:val="nil"/>
              <w:right w:val="single" w:sz="4" w:space="0" w:color="auto"/>
            </w:tcBorders>
            <w:shd w:val="clear" w:color="auto" w:fill="auto"/>
          </w:tcPr>
          <w:p w14:paraId="415546C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w:t>
            </w:r>
          </w:p>
        </w:tc>
        <w:tc>
          <w:tcPr>
            <w:tcW w:w="638" w:type="dxa"/>
            <w:tcBorders>
              <w:top w:val="nil"/>
              <w:left w:val="single" w:sz="4" w:space="0" w:color="auto"/>
              <w:bottom w:val="nil"/>
              <w:right w:val="single" w:sz="4" w:space="0" w:color="auto"/>
            </w:tcBorders>
            <w:shd w:val="clear" w:color="auto" w:fill="auto"/>
          </w:tcPr>
          <w:p w14:paraId="7F88A2E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27.6</w:t>
            </w:r>
          </w:p>
        </w:tc>
        <w:tc>
          <w:tcPr>
            <w:tcW w:w="638" w:type="dxa"/>
            <w:tcBorders>
              <w:top w:val="nil"/>
              <w:left w:val="single" w:sz="4" w:space="0" w:color="auto"/>
              <w:bottom w:val="nil"/>
              <w:right w:val="single" w:sz="4" w:space="0" w:color="auto"/>
            </w:tcBorders>
            <w:shd w:val="clear" w:color="auto" w:fill="auto"/>
          </w:tcPr>
          <w:p w14:paraId="37DF09C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29.1</w:t>
            </w:r>
          </w:p>
        </w:tc>
        <w:tc>
          <w:tcPr>
            <w:tcW w:w="638" w:type="dxa"/>
            <w:tcBorders>
              <w:top w:val="nil"/>
              <w:left w:val="single" w:sz="4" w:space="0" w:color="auto"/>
              <w:bottom w:val="nil"/>
              <w:right w:val="single" w:sz="4" w:space="0" w:color="auto"/>
            </w:tcBorders>
            <w:shd w:val="clear" w:color="auto" w:fill="auto"/>
          </w:tcPr>
          <w:p w14:paraId="0287139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10.7</w:t>
            </w:r>
          </w:p>
        </w:tc>
        <w:tc>
          <w:tcPr>
            <w:tcW w:w="638" w:type="dxa"/>
            <w:gridSpan w:val="2"/>
            <w:tcBorders>
              <w:top w:val="nil"/>
              <w:left w:val="single" w:sz="4" w:space="0" w:color="auto"/>
              <w:bottom w:val="nil"/>
              <w:right w:val="single" w:sz="4" w:space="0" w:color="auto"/>
            </w:tcBorders>
            <w:shd w:val="clear" w:color="auto" w:fill="auto"/>
          </w:tcPr>
          <w:p w14:paraId="1307BB89"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10.5</w:t>
            </w:r>
          </w:p>
        </w:tc>
      </w:tr>
      <w:tr w:rsidR="001C7F15" w:rsidRPr="001C7F15" w14:paraId="710B3291"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1358B58B"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BBVA Bancomer</w:t>
            </w:r>
          </w:p>
        </w:tc>
        <w:tc>
          <w:tcPr>
            <w:tcW w:w="709" w:type="dxa"/>
            <w:tcBorders>
              <w:top w:val="nil"/>
              <w:left w:val="single" w:sz="4" w:space="0" w:color="auto"/>
              <w:bottom w:val="nil"/>
              <w:right w:val="single" w:sz="4" w:space="0" w:color="auto"/>
            </w:tcBorders>
            <w:shd w:val="clear" w:color="auto" w:fill="auto"/>
          </w:tcPr>
          <w:p w14:paraId="4D394F7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4 098</w:t>
            </w:r>
          </w:p>
        </w:tc>
        <w:tc>
          <w:tcPr>
            <w:tcW w:w="746" w:type="dxa"/>
            <w:tcBorders>
              <w:top w:val="nil"/>
              <w:left w:val="single" w:sz="4" w:space="0" w:color="auto"/>
              <w:bottom w:val="nil"/>
              <w:right w:val="single" w:sz="4" w:space="0" w:color="auto"/>
            </w:tcBorders>
            <w:shd w:val="clear" w:color="auto" w:fill="auto"/>
          </w:tcPr>
          <w:p w14:paraId="2AAB5EE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3 763</w:t>
            </w:r>
          </w:p>
        </w:tc>
        <w:tc>
          <w:tcPr>
            <w:tcW w:w="638" w:type="dxa"/>
            <w:tcBorders>
              <w:top w:val="nil"/>
              <w:left w:val="single" w:sz="4" w:space="0" w:color="auto"/>
              <w:bottom w:val="nil"/>
              <w:right w:val="single" w:sz="4" w:space="0" w:color="auto"/>
            </w:tcBorders>
            <w:shd w:val="clear" w:color="auto" w:fill="auto"/>
          </w:tcPr>
          <w:p w14:paraId="0B63A9D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16</w:t>
            </w:r>
          </w:p>
        </w:tc>
        <w:tc>
          <w:tcPr>
            <w:tcW w:w="638" w:type="dxa"/>
            <w:tcBorders>
              <w:top w:val="nil"/>
              <w:left w:val="single" w:sz="4" w:space="0" w:color="auto"/>
              <w:bottom w:val="nil"/>
              <w:right w:val="single" w:sz="4" w:space="0" w:color="auto"/>
            </w:tcBorders>
            <w:shd w:val="clear" w:color="auto" w:fill="auto"/>
          </w:tcPr>
          <w:p w14:paraId="0978721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16</w:t>
            </w:r>
          </w:p>
        </w:tc>
        <w:tc>
          <w:tcPr>
            <w:tcW w:w="638" w:type="dxa"/>
            <w:tcBorders>
              <w:top w:val="nil"/>
              <w:left w:val="single" w:sz="4" w:space="0" w:color="auto"/>
              <w:bottom w:val="nil"/>
              <w:right w:val="single" w:sz="4" w:space="0" w:color="auto"/>
            </w:tcBorders>
            <w:shd w:val="clear" w:color="auto" w:fill="auto"/>
          </w:tcPr>
          <w:p w14:paraId="6CBE421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478</w:t>
            </w:r>
          </w:p>
        </w:tc>
        <w:tc>
          <w:tcPr>
            <w:tcW w:w="638" w:type="dxa"/>
            <w:tcBorders>
              <w:top w:val="nil"/>
              <w:left w:val="single" w:sz="4" w:space="0" w:color="auto"/>
              <w:bottom w:val="nil"/>
              <w:right w:val="single" w:sz="4" w:space="0" w:color="auto"/>
            </w:tcBorders>
            <w:shd w:val="clear" w:color="auto" w:fill="auto"/>
          </w:tcPr>
          <w:p w14:paraId="59FA1C6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569</w:t>
            </w:r>
          </w:p>
        </w:tc>
        <w:tc>
          <w:tcPr>
            <w:tcW w:w="637" w:type="dxa"/>
            <w:tcBorders>
              <w:top w:val="nil"/>
              <w:left w:val="single" w:sz="4" w:space="0" w:color="auto"/>
              <w:bottom w:val="nil"/>
              <w:right w:val="single" w:sz="4" w:space="0" w:color="auto"/>
            </w:tcBorders>
            <w:shd w:val="clear" w:color="auto" w:fill="auto"/>
          </w:tcPr>
          <w:p w14:paraId="6B1FC61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w:t>
            </w:r>
          </w:p>
        </w:tc>
        <w:tc>
          <w:tcPr>
            <w:tcW w:w="638" w:type="dxa"/>
            <w:tcBorders>
              <w:top w:val="nil"/>
              <w:left w:val="single" w:sz="4" w:space="0" w:color="auto"/>
              <w:bottom w:val="nil"/>
              <w:right w:val="single" w:sz="4" w:space="0" w:color="auto"/>
            </w:tcBorders>
            <w:shd w:val="clear" w:color="auto" w:fill="auto"/>
          </w:tcPr>
          <w:p w14:paraId="3CFEA50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33</w:t>
            </w:r>
          </w:p>
        </w:tc>
        <w:tc>
          <w:tcPr>
            <w:tcW w:w="638" w:type="dxa"/>
            <w:tcBorders>
              <w:top w:val="nil"/>
              <w:left w:val="single" w:sz="4" w:space="0" w:color="auto"/>
              <w:bottom w:val="nil"/>
              <w:right w:val="single" w:sz="4" w:space="0" w:color="auto"/>
            </w:tcBorders>
            <w:shd w:val="clear" w:color="auto" w:fill="auto"/>
          </w:tcPr>
          <w:p w14:paraId="100D435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28.4</w:t>
            </w:r>
          </w:p>
        </w:tc>
        <w:tc>
          <w:tcPr>
            <w:tcW w:w="638" w:type="dxa"/>
            <w:tcBorders>
              <w:top w:val="nil"/>
              <w:left w:val="single" w:sz="4" w:space="0" w:color="auto"/>
              <w:bottom w:val="nil"/>
              <w:right w:val="single" w:sz="4" w:space="0" w:color="auto"/>
            </w:tcBorders>
            <w:shd w:val="clear" w:color="auto" w:fill="auto"/>
          </w:tcPr>
          <w:p w14:paraId="67DC9BD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31.2</w:t>
            </w:r>
          </w:p>
        </w:tc>
        <w:tc>
          <w:tcPr>
            <w:tcW w:w="638" w:type="dxa"/>
            <w:tcBorders>
              <w:top w:val="nil"/>
              <w:left w:val="single" w:sz="4" w:space="0" w:color="auto"/>
              <w:bottom w:val="nil"/>
              <w:right w:val="single" w:sz="4" w:space="0" w:color="auto"/>
            </w:tcBorders>
            <w:shd w:val="clear" w:color="auto" w:fill="auto"/>
          </w:tcPr>
          <w:p w14:paraId="1552AAD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10.8</w:t>
            </w:r>
          </w:p>
        </w:tc>
        <w:tc>
          <w:tcPr>
            <w:tcW w:w="638" w:type="dxa"/>
            <w:gridSpan w:val="2"/>
            <w:tcBorders>
              <w:top w:val="nil"/>
              <w:left w:val="single" w:sz="4" w:space="0" w:color="auto"/>
              <w:bottom w:val="nil"/>
              <w:right w:val="single" w:sz="4" w:space="0" w:color="auto"/>
            </w:tcBorders>
            <w:shd w:val="clear" w:color="auto" w:fill="auto"/>
          </w:tcPr>
          <w:p w14:paraId="1F71EFDA"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11.2</w:t>
            </w:r>
          </w:p>
        </w:tc>
      </w:tr>
      <w:tr w:rsidR="001C7F15" w:rsidRPr="001C7F15" w14:paraId="1917DAE0" w14:textId="77777777" w:rsidTr="00E823BC">
        <w:trPr>
          <w:jc w:val="center"/>
        </w:trPr>
        <w:tc>
          <w:tcPr>
            <w:tcW w:w="1548" w:type="dxa"/>
            <w:tcBorders>
              <w:top w:val="nil"/>
              <w:left w:val="single" w:sz="4" w:space="0" w:color="auto"/>
              <w:bottom w:val="single" w:sz="4" w:space="0" w:color="auto"/>
              <w:right w:val="single" w:sz="4" w:space="0" w:color="auto"/>
            </w:tcBorders>
            <w:shd w:val="clear" w:color="auto" w:fill="auto"/>
          </w:tcPr>
          <w:p w14:paraId="559FE39A" w14:textId="77777777" w:rsidR="001C7F15" w:rsidRPr="001C7F15" w:rsidRDefault="001C7F15" w:rsidP="001C7F15">
            <w:pPr>
              <w:autoSpaceDE w:val="0"/>
              <w:autoSpaceDN w:val="0"/>
              <w:adjustRightInd w:val="0"/>
              <w:spacing w:before="40" w:after="120"/>
              <w:rPr>
                <w:rFonts w:eastAsia="Calibri"/>
                <w:bCs/>
                <w:sz w:val="16"/>
                <w:szCs w:val="16"/>
                <w:lang w:eastAsia="en-US"/>
              </w:rPr>
            </w:pPr>
            <w:r w:rsidRPr="001C7F15">
              <w:rPr>
                <w:rFonts w:eastAsia="Calibri"/>
                <w:bCs/>
                <w:sz w:val="16"/>
                <w:szCs w:val="16"/>
                <w:lang w:eastAsia="en-US"/>
              </w:rPr>
              <w:t>BanCoppel</w:t>
            </w:r>
          </w:p>
        </w:tc>
        <w:tc>
          <w:tcPr>
            <w:tcW w:w="709" w:type="dxa"/>
            <w:tcBorders>
              <w:top w:val="nil"/>
              <w:left w:val="single" w:sz="4" w:space="0" w:color="auto"/>
              <w:bottom w:val="single" w:sz="4" w:space="0" w:color="auto"/>
              <w:right w:val="single" w:sz="4" w:space="0" w:color="auto"/>
            </w:tcBorders>
            <w:shd w:val="clear" w:color="auto" w:fill="auto"/>
          </w:tcPr>
          <w:p w14:paraId="71EB7FC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1 021</w:t>
            </w:r>
          </w:p>
        </w:tc>
        <w:tc>
          <w:tcPr>
            <w:tcW w:w="746" w:type="dxa"/>
            <w:tcBorders>
              <w:top w:val="nil"/>
              <w:left w:val="single" w:sz="4" w:space="0" w:color="auto"/>
              <w:bottom w:val="single" w:sz="4" w:space="0" w:color="auto"/>
              <w:right w:val="single" w:sz="4" w:space="0" w:color="auto"/>
            </w:tcBorders>
            <w:shd w:val="clear" w:color="auto" w:fill="auto"/>
          </w:tcPr>
          <w:p w14:paraId="72911622"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1 061</w:t>
            </w:r>
          </w:p>
        </w:tc>
        <w:tc>
          <w:tcPr>
            <w:tcW w:w="638" w:type="dxa"/>
            <w:tcBorders>
              <w:top w:val="nil"/>
              <w:left w:val="single" w:sz="4" w:space="0" w:color="auto"/>
              <w:bottom w:val="single" w:sz="4" w:space="0" w:color="auto"/>
              <w:right w:val="single" w:sz="4" w:space="0" w:color="auto"/>
            </w:tcBorders>
            <w:shd w:val="clear" w:color="auto" w:fill="auto"/>
          </w:tcPr>
          <w:p w14:paraId="430AFC7B"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single" w:sz="4" w:space="0" w:color="auto"/>
              <w:right w:val="single" w:sz="4" w:space="0" w:color="auto"/>
            </w:tcBorders>
            <w:shd w:val="clear" w:color="auto" w:fill="auto"/>
          </w:tcPr>
          <w:p w14:paraId="1784C457"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single" w:sz="4" w:space="0" w:color="auto"/>
              <w:right w:val="single" w:sz="4" w:space="0" w:color="auto"/>
            </w:tcBorders>
            <w:shd w:val="clear" w:color="auto" w:fill="auto"/>
          </w:tcPr>
          <w:p w14:paraId="5B6D0649"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0</w:t>
            </w:r>
          </w:p>
        </w:tc>
        <w:tc>
          <w:tcPr>
            <w:tcW w:w="638" w:type="dxa"/>
            <w:tcBorders>
              <w:top w:val="nil"/>
              <w:left w:val="single" w:sz="4" w:space="0" w:color="auto"/>
              <w:bottom w:val="single" w:sz="4" w:space="0" w:color="auto"/>
              <w:right w:val="single" w:sz="4" w:space="0" w:color="auto"/>
            </w:tcBorders>
            <w:shd w:val="clear" w:color="auto" w:fill="auto"/>
          </w:tcPr>
          <w:p w14:paraId="0096FFB5"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0</w:t>
            </w:r>
          </w:p>
        </w:tc>
        <w:tc>
          <w:tcPr>
            <w:tcW w:w="637" w:type="dxa"/>
            <w:tcBorders>
              <w:top w:val="nil"/>
              <w:left w:val="single" w:sz="4" w:space="0" w:color="auto"/>
              <w:bottom w:val="single" w:sz="4" w:space="0" w:color="auto"/>
              <w:right w:val="single" w:sz="4" w:space="0" w:color="auto"/>
            </w:tcBorders>
            <w:shd w:val="clear" w:color="auto" w:fill="auto"/>
          </w:tcPr>
          <w:p w14:paraId="3BDC666C"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8</w:t>
            </w:r>
          </w:p>
        </w:tc>
        <w:tc>
          <w:tcPr>
            <w:tcW w:w="638" w:type="dxa"/>
            <w:tcBorders>
              <w:top w:val="nil"/>
              <w:left w:val="single" w:sz="4" w:space="0" w:color="auto"/>
              <w:bottom w:val="single" w:sz="4" w:space="0" w:color="auto"/>
              <w:right w:val="single" w:sz="4" w:space="0" w:color="auto"/>
            </w:tcBorders>
            <w:shd w:val="clear" w:color="auto" w:fill="auto"/>
          </w:tcPr>
          <w:p w14:paraId="11520266"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9</w:t>
            </w:r>
          </w:p>
        </w:tc>
        <w:tc>
          <w:tcPr>
            <w:tcW w:w="638" w:type="dxa"/>
            <w:tcBorders>
              <w:top w:val="nil"/>
              <w:left w:val="single" w:sz="4" w:space="0" w:color="auto"/>
              <w:bottom w:val="single" w:sz="4" w:space="0" w:color="auto"/>
              <w:right w:val="single" w:sz="4" w:space="0" w:color="auto"/>
            </w:tcBorders>
            <w:shd w:val="clear" w:color="auto" w:fill="auto"/>
          </w:tcPr>
          <w:p w14:paraId="1232B4BC"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52.3</w:t>
            </w:r>
          </w:p>
        </w:tc>
        <w:tc>
          <w:tcPr>
            <w:tcW w:w="638" w:type="dxa"/>
            <w:tcBorders>
              <w:top w:val="nil"/>
              <w:left w:val="single" w:sz="4" w:space="0" w:color="auto"/>
              <w:bottom w:val="single" w:sz="4" w:space="0" w:color="auto"/>
              <w:right w:val="single" w:sz="4" w:space="0" w:color="auto"/>
            </w:tcBorders>
            <w:shd w:val="clear" w:color="auto" w:fill="auto"/>
          </w:tcPr>
          <w:p w14:paraId="3E4C542F"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51.6</w:t>
            </w:r>
          </w:p>
        </w:tc>
        <w:tc>
          <w:tcPr>
            <w:tcW w:w="638" w:type="dxa"/>
            <w:tcBorders>
              <w:top w:val="nil"/>
              <w:left w:val="single" w:sz="4" w:space="0" w:color="auto"/>
              <w:bottom w:val="single" w:sz="4" w:space="0" w:color="auto"/>
              <w:right w:val="single" w:sz="4" w:space="0" w:color="auto"/>
            </w:tcBorders>
            <w:shd w:val="clear" w:color="auto" w:fill="auto"/>
          </w:tcPr>
          <w:p w14:paraId="11465848"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4.2</w:t>
            </w:r>
          </w:p>
        </w:tc>
        <w:tc>
          <w:tcPr>
            <w:tcW w:w="638" w:type="dxa"/>
            <w:gridSpan w:val="2"/>
            <w:tcBorders>
              <w:top w:val="nil"/>
              <w:left w:val="single" w:sz="4" w:space="0" w:color="auto"/>
              <w:bottom w:val="single" w:sz="4" w:space="0" w:color="auto"/>
              <w:right w:val="single" w:sz="4" w:space="0" w:color="auto"/>
            </w:tcBorders>
            <w:shd w:val="clear" w:color="auto" w:fill="auto"/>
          </w:tcPr>
          <w:p w14:paraId="52B58764"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4.6</w:t>
            </w:r>
          </w:p>
        </w:tc>
      </w:tr>
      <w:tr w:rsidR="001C7F15" w:rsidRPr="001C7F15" w14:paraId="51CB57D2" w14:textId="77777777" w:rsidTr="00E823BC">
        <w:trPr>
          <w:jc w:val="center"/>
        </w:trPr>
        <w:tc>
          <w:tcPr>
            <w:tcW w:w="9382"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43348B28" w14:textId="77777777" w:rsidR="001C7F15" w:rsidRPr="001C7F15" w:rsidRDefault="001C7F15" w:rsidP="001C7F15">
            <w:pPr>
              <w:spacing w:before="20" w:afterLines="20" w:after="48"/>
              <w:ind w:right="57"/>
              <w:jc w:val="center"/>
              <w:rPr>
                <w:rFonts w:eastAsia="Calibri"/>
                <w:b/>
                <w:bCs/>
                <w:sz w:val="16"/>
                <w:szCs w:val="16"/>
                <w:lang w:eastAsia="en-US"/>
              </w:rPr>
            </w:pPr>
            <w:r w:rsidRPr="001C7F15">
              <w:rPr>
                <w:rFonts w:eastAsia="Calibri"/>
                <w:b/>
                <w:bCs/>
                <w:sz w:val="16"/>
                <w:szCs w:val="16"/>
                <w:lang w:eastAsia="en-US"/>
              </w:rPr>
              <w:t>Instituciones con menos de cien mil tarjetas totales</w:t>
            </w:r>
          </w:p>
        </w:tc>
      </w:tr>
      <w:tr w:rsidR="001C7F15" w:rsidRPr="001C7F15" w14:paraId="5C5274E3" w14:textId="77777777" w:rsidTr="00E823BC">
        <w:trPr>
          <w:jc w:val="center"/>
        </w:trPr>
        <w:tc>
          <w:tcPr>
            <w:tcW w:w="1548" w:type="dxa"/>
            <w:tcBorders>
              <w:top w:val="single" w:sz="4" w:space="0" w:color="auto"/>
              <w:left w:val="single" w:sz="4" w:space="0" w:color="auto"/>
              <w:bottom w:val="nil"/>
              <w:right w:val="single" w:sz="4" w:space="0" w:color="auto"/>
            </w:tcBorders>
            <w:shd w:val="clear" w:color="auto" w:fill="auto"/>
          </w:tcPr>
          <w:p w14:paraId="00F4E869" w14:textId="77777777" w:rsidR="001C7F15" w:rsidRPr="001C7F15" w:rsidRDefault="001C7F15" w:rsidP="001C7F15">
            <w:pPr>
              <w:autoSpaceDE w:val="0"/>
              <w:autoSpaceDN w:val="0"/>
              <w:adjustRightInd w:val="0"/>
              <w:spacing w:before="120" w:after="40"/>
              <w:rPr>
                <w:rFonts w:eastAsia="Calibri"/>
                <w:bCs/>
                <w:sz w:val="16"/>
                <w:szCs w:val="16"/>
                <w:lang w:eastAsia="en-US"/>
              </w:rPr>
            </w:pPr>
            <w:r w:rsidRPr="001C7F15">
              <w:rPr>
                <w:rFonts w:eastAsia="Calibri"/>
                <w:bCs/>
                <w:sz w:val="16"/>
                <w:szCs w:val="16"/>
                <w:lang w:eastAsia="en-US"/>
              </w:rPr>
              <w:t>Banco del Bajío</w:t>
            </w:r>
          </w:p>
        </w:tc>
        <w:tc>
          <w:tcPr>
            <w:tcW w:w="709" w:type="dxa"/>
            <w:tcBorders>
              <w:top w:val="single" w:sz="4" w:space="0" w:color="auto"/>
              <w:left w:val="single" w:sz="4" w:space="0" w:color="auto"/>
              <w:bottom w:val="nil"/>
              <w:right w:val="single" w:sz="4" w:space="0" w:color="auto"/>
            </w:tcBorders>
            <w:shd w:val="clear" w:color="auto" w:fill="auto"/>
          </w:tcPr>
          <w:p w14:paraId="4E84C4CF"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11</w:t>
            </w:r>
          </w:p>
        </w:tc>
        <w:tc>
          <w:tcPr>
            <w:tcW w:w="746" w:type="dxa"/>
            <w:tcBorders>
              <w:top w:val="single" w:sz="4" w:space="0" w:color="auto"/>
              <w:left w:val="single" w:sz="4" w:space="0" w:color="auto"/>
              <w:bottom w:val="nil"/>
              <w:right w:val="single" w:sz="4" w:space="0" w:color="auto"/>
            </w:tcBorders>
            <w:shd w:val="clear" w:color="auto" w:fill="auto"/>
          </w:tcPr>
          <w:p w14:paraId="567F09AC"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16</w:t>
            </w:r>
          </w:p>
        </w:tc>
        <w:tc>
          <w:tcPr>
            <w:tcW w:w="638" w:type="dxa"/>
            <w:tcBorders>
              <w:top w:val="single" w:sz="4" w:space="0" w:color="auto"/>
              <w:left w:val="single" w:sz="4" w:space="0" w:color="auto"/>
              <w:bottom w:val="nil"/>
              <w:right w:val="single" w:sz="4" w:space="0" w:color="auto"/>
            </w:tcBorders>
            <w:shd w:val="clear" w:color="auto" w:fill="auto"/>
          </w:tcPr>
          <w:p w14:paraId="62A2F3EF"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2</w:t>
            </w:r>
          </w:p>
        </w:tc>
        <w:tc>
          <w:tcPr>
            <w:tcW w:w="638" w:type="dxa"/>
            <w:tcBorders>
              <w:top w:val="single" w:sz="4" w:space="0" w:color="auto"/>
              <w:left w:val="single" w:sz="4" w:space="0" w:color="auto"/>
              <w:bottom w:val="nil"/>
              <w:right w:val="single" w:sz="4" w:space="0" w:color="auto"/>
            </w:tcBorders>
            <w:shd w:val="clear" w:color="auto" w:fill="auto"/>
          </w:tcPr>
          <w:p w14:paraId="2074F99C"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2</w:t>
            </w:r>
          </w:p>
        </w:tc>
        <w:tc>
          <w:tcPr>
            <w:tcW w:w="638" w:type="dxa"/>
            <w:tcBorders>
              <w:top w:val="single" w:sz="4" w:space="0" w:color="auto"/>
              <w:left w:val="single" w:sz="4" w:space="0" w:color="auto"/>
              <w:bottom w:val="nil"/>
              <w:right w:val="single" w:sz="4" w:space="0" w:color="auto"/>
            </w:tcBorders>
            <w:shd w:val="clear" w:color="auto" w:fill="auto"/>
          </w:tcPr>
          <w:p w14:paraId="42988AB9"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350</w:t>
            </w:r>
          </w:p>
        </w:tc>
        <w:tc>
          <w:tcPr>
            <w:tcW w:w="638" w:type="dxa"/>
            <w:tcBorders>
              <w:top w:val="single" w:sz="4" w:space="0" w:color="auto"/>
              <w:left w:val="single" w:sz="4" w:space="0" w:color="auto"/>
              <w:bottom w:val="nil"/>
              <w:right w:val="single" w:sz="4" w:space="0" w:color="auto"/>
            </w:tcBorders>
            <w:shd w:val="clear" w:color="auto" w:fill="auto"/>
          </w:tcPr>
          <w:p w14:paraId="710EA5C2"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350</w:t>
            </w:r>
          </w:p>
        </w:tc>
        <w:tc>
          <w:tcPr>
            <w:tcW w:w="637" w:type="dxa"/>
            <w:tcBorders>
              <w:top w:val="single" w:sz="4" w:space="0" w:color="auto"/>
              <w:left w:val="single" w:sz="4" w:space="0" w:color="auto"/>
              <w:bottom w:val="nil"/>
              <w:right w:val="single" w:sz="4" w:space="0" w:color="auto"/>
            </w:tcBorders>
            <w:shd w:val="clear" w:color="auto" w:fill="auto"/>
          </w:tcPr>
          <w:p w14:paraId="59F9F96A"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21</w:t>
            </w:r>
          </w:p>
        </w:tc>
        <w:tc>
          <w:tcPr>
            <w:tcW w:w="638" w:type="dxa"/>
            <w:tcBorders>
              <w:top w:val="single" w:sz="4" w:space="0" w:color="auto"/>
              <w:left w:val="single" w:sz="4" w:space="0" w:color="auto"/>
              <w:bottom w:val="nil"/>
              <w:right w:val="single" w:sz="4" w:space="0" w:color="auto"/>
            </w:tcBorders>
            <w:shd w:val="clear" w:color="auto" w:fill="auto"/>
          </w:tcPr>
          <w:p w14:paraId="65E22DC0"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19</w:t>
            </w:r>
          </w:p>
        </w:tc>
        <w:tc>
          <w:tcPr>
            <w:tcW w:w="638" w:type="dxa"/>
            <w:tcBorders>
              <w:top w:val="single" w:sz="4" w:space="0" w:color="auto"/>
              <w:left w:val="single" w:sz="4" w:space="0" w:color="auto"/>
              <w:bottom w:val="nil"/>
              <w:right w:val="single" w:sz="4" w:space="0" w:color="auto"/>
            </w:tcBorders>
            <w:shd w:val="clear" w:color="auto" w:fill="auto"/>
          </w:tcPr>
          <w:p w14:paraId="3101FB36"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19.7</w:t>
            </w:r>
          </w:p>
        </w:tc>
        <w:tc>
          <w:tcPr>
            <w:tcW w:w="638" w:type="dxa"/>
            <w:tcBorders>
              <w:top w:val="single" w:sz="4" w:space="0" w:color="auto"/>
              <w:left w:val="single" w:sz="4" w:space="0" w:color="auto"/>
              <w:bottom w:val="nil"/>
              <w:right w:val="single" w:sz="4" w:space="0" w:color="auto"/>
            </w:tcBorders>
            <w:shd w:val="clear" w:color="auto" w:fill="auto"/>
          </w:tcPr>
          <w:p w14:paraId="340F2601"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18.9</w:t>
            </w:r>
          </w:p>
        </w:tc>
        <w:tc>
          <w:tcPr>
            <w:tcW w:w="638" w:type="dxa"/>
            <w:tcBorders>
              <w:top w:val="single" w:sz="4" w:space="0" w:color="auto"/>
              <w:left w:val="single" w:sz="4" w:space="0" w:color="auto"/>
              <w:bottom w:val="nil"/>
              <w:right w:val="single" w:sz="4" w:space="0" w:color="auto"/>
            </w:tcBorders>
            <w:shd w:val="clear" w:color="auto" w:fill="auto"/>
          </w:tcPr>
          <w:p w14:paraId="4431B09B"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8.2</w:t>
            </w:r>
          </w:p>
        </w:tc>
        <w:tc>
          <w:tcPr>
            <w:tcW w:w="638" w:type="dxa"/>
            <w:gridSpan w:val="2"/>
            <w:tcBorders>
              <w:top w:val="single" w:sz="4" w:space="0" w:color="auto"/>
              <w:left w:val="single" w:sz="4" w:space="0" w:color="auto"/>
              <w:bottom w:val="nil"/>
              <w:right w:val="single" w:sz="4" w:space="0" w:color="auto"/>
            </w:tcBorders>
            <w:shd w:val="clear" w:color="auto" w:fill="auto"/>
          </w:tcPr>
          <w:p w14:paraId="415105A5" w14:textId="77777777" w:rsidR="001C7F15" w:rsidRPr="001C7F15" w:rsidRDefault="001C7F15" w:rsidP="001C7F15">
            <w:pPr>
              <w:autoSpaceDE w:val="0"/>
              <w:autoSpaceDN w:val="0"/>
              <w:adjustRightInd w:val="0"/>
              <w:spacing w:before="120" w:after="40"/>
              <w:ind w:right="57"/>
              <w:jc w:val="right"/>
              <w:rPr>
                <w:rFonts w:eastAsia="Calibri"/>
                <w:sz w:val="16"/>
                <w:szCs w:val="16"/>
                <w:lang w:eastAsia="en-US"/>
              </w:rPr>
            </w:pPr>
            <w:r w:rsidRPr="001C7F15">
              <w:rPr>
                <w:rFonts w:eastAsia="Calibri"/>
                <w:sz w:val="16"/>
                <w:szCs w:val="16"/>
                <w:lang w:eastAsia="en-US"/>
              </w:rPr>
              <w:t>8.4</w:t>
            </w:r>
          </w:p>
        </w:tc>
      </w:tr>
      <w:tr w:rsidR="001C7F15" w:rsidRPr="001C7F15" w14:paraId="59861B2C"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625B2285"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Banregio</w:t>
            </w:r>
          </w:p>
        </w:tc>
        <w:tc>
          <w:tcPr>
            <w:tcW w:w="709" w:type="dxa"/>
            <w:tcBorders>
              <w:top w:val="nil"/>
              <w:left w:val="single" w:sz="4" w:space="0" w:color="auto"/>
              <w:bottom w:val="nil"/>
              <w:right w:val="single" w:sz="4" w:space="0" w:color="auto"/>
            </w:tcBorders>
            <w:shd w:val="clear" w:color="auto" w:fill="auto"/>
          </w:tcPr>
          <w:p w14:paraId="5D48446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w:t>
            </w:r>
          </w:p>
        </w:tc>
        <w:tc>
          <w:tcPr>
            <w:tcW w:w="746" w:type="dxa"/>
            <w:tcBorders>
              <w:top w:val="nil"/>
              <w:left w:val="single" w:sz="4" w:space="0" w:color="auto"/>
              <w:bottom w:val="nil"/>
              <w:right w:val="single" w:sz="4" w:space="0" w:color="auto"/>
            </w:tcBorders>
            <w:shd w:val="clear" w:color="auto" w:fill="auto"/>
          </w:tcPr>
          <w:p w14:paraId="3874CF1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w:t>
            </w:r>
          </w:p>
        </w:tc>
        <w:tc>
          <w:tcPr>
            <w:tcW w:w="638" w:type="dxa"/>
            <w:tcBorders>
              <w:top w:val="nil"/>
              <w:left w:val="single" w:sz="4" w:space="0" w:color="auto"/>
              <w:bottom w:val="nil"/>
              <w:right w:val="single" w:sz="4" w:space="0" w:color="auto"/>
            </w:tcBorders>
            <w:shd w:val="clear" w:color="auto" w:fill="auto"/>
          </w:tcPr>
          <w:p w14:paraId="7439EE4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6D78530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3C16C11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0</w:t>
            </w:r>
          </w:p>
        </w:tc>
        <w:tc>
          <w:tcPr>
            <w:tcW w:w="638" w:type="dxa"/>
            <w:tcBorders>
              <w:top w:val="nil"/>
              <w:left w:val="single" w:sz="4" w:space="0" w:color="auto"/>
              <w:bottom w:val="nil"/>
              <w:right w:val="single" w:sz="4" w:space="0" w:color="auto"/>
            </w:tcBorders>
            <w:shd w:val="clear" w:color="auto" w:fill="auto"/>
          </w:tcPr>
          <w:p w14:paraId="4FF94439"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0</w:t>
            </w:r>
          </w:p>
        </w:tc>
        <w:tc>
          <w:tcPr>
            <w:tcW w:w="637" w:type="dxa"/>
            <w:tcBorders>
              <w:top w:val="nil"/>
              <w:left w:val="single" w:sz="4" w:space="0" w:color="auto"/>
              <w:bottom w:val="nil"/>
              <w:right w:val="single" w:sz="4" w:space="0" w:color="auto"/>
            </w:tcBorders>
            <w:shd w:val="clear" w:color="auto" w:fill="auto"/>
          </w:tcPr>
          <w:p w14:paraId="28BB2E8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w:t>
            </w:r>
          </w:p>
        </w:tc>
        <w:tc>
          <w:tcPr>
            <w:tcW w:w="638" w:type="dxa"/>
            <w:tcBorders>
              <w:top w:val="nil"/>
              <w:left w:val="single" w:sz="4" w:space="0" w:color="auto"/>
              <w:bottom w:val="nil"/>
              <w:right w:val="single" w:sz="4" w:space="0" w:color="auto"/>
            </w:tcBorders>
            <w:shd w:val="clear" w:color="auto" w:fill="auto"/>
          </w:tcPr>
          <w:p w14:paraId="2FF3BEA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10</w:t>
            </w:r>
          </w:p>
        </w:tc>
        <w:tc>
          <w:tcPr>
            <w:tcW w:w="638" w:type="dxa"/>
            <w:tcBorders>
              <w:top w:val="nil"/>
              <w:left w:val="single" w:sz="4" w:space="0" w:color="auto"/>
              <w:bottom w:val="nil"/>
              <w:right w:val="single" w:sz="4" w:space="0" w:color="auto"/>
            </w:tcBorders>
            <w:shd w:val="clear" w:color="auto" w:fill="auto"/>
          </w:tcPr>
          <w:p w14:paraId="34E560C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32.5</w:t>
            </w:r>
          </w:p>
        </w:tc>
        <w:tc>
          <w:tcPr>
            <w:tcW w:w="638" w:type="dxa"/>
            <w:tcBorders>
              <w:top w:val="nil"/>
              <w:left w:val="single" w:sz="4" w:space="0" w:color="auto"/>
              <w:bottom w:val="nil"/>
              <w:right w:val="single" w:sz="4" w:space="0" w:color="auto"/>
            </w:tcBorders>
            <w:shd w:val="clear" w:color="auto" w:fill="auto"/>
          </w:tcPr>
          <w:p w14:paraId="5EBDE1B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30.1</w:t>
            </w:r>
          </w:p>
        </w:tc>
        <w:tc>
          <w:tcPr>
            <w:tcW w:w="638" w:type="dxa"/>
            <w:tcBorders>
              <w:top w:val="nil"/>
              <w:left w:val="single" w:sz="4" w:space="0" w:color="auto"/>
              <w:bottom w:val="nil"/>
              <w:right w:val="single" w:sz="4" w:space="0" w:color="auto"/>
            </w:tcBorders>
            <w:shd w:val="clear" w:color="auto" w:fill="auto"/>
          </w:tcPr>
          <w:p w14:paraId="358A2C1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4.2</w:t>
            </w:r>
          </w:p>
        </w:tc>
        <w:tc>
          <w:tcPr>
            <w:tcW w:w="638" w:type="dxa"/>
            <w:gridSpan w:val="2"/>
            <w:tcBorders>
              <w:top w:val="nil"/>
              <w:left w:val="single" w:sz="4" w:space="0" w:color="auto"/>
              <w:bottom w:val="nil"/>
              <w:right w:val="single" w:sz="4" w:space="0" w:color="auto"/>
            </w:tcBorders>
            <w:shd w:val="clear" w:color="auto" w:fill="auto"/>
          </w:tcPr>
          <w:p w14:paraId="10CB123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4.0</w:t>
            </w:r>
          </w:p>
        </w:tc>
      </w:tr>
      <w:tr w:rsidR="001C7F15" w:rsidRPr="001C7F15" w14:paraId="768198F3"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08CD4F5D"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Banco Invex</w:t>
            </w:r>
          </w:p>
        </w:tc>
        <w:tc>
          <w:tcPr>
            <w:tcW w:w="709" w:type="dxa"/>
            <w:tcBorders>
              <w:top w:val="nil"/>
              <w:left w:val="single" w:sz="4" w:space="0" w:color="auto"/>
              <w:bottom w:val="nil"/>
              <w:right w:val="single" w:sz="4" w:space="0" w:color="auto"/>
            </w:tcBorders>
            <w:shd w:val="clear" w:color="auto" w:fill="auto"/>
          </w:tcPr>
          <w:p w14:paraId="476A573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29</w:t>
            </w:r>
          </w:p>
        </w:tc>
        <w:tc>
          <w:tcPr>
            <w:tcW w:w="746" w:type="dxa"/>
            <w:tcBorders>
              <w:top w:val="nil"/>
              <w:left w:val="single" w:sz="4" w:space="0" w:color="auto"/>
              <w:bottom w:val="nil"/>
              <w:right w:val="single" w:sz="4" w:space="0" w:color="auto"/>
            </w:tcBorders>
            <w:shd w:val="clear" w:color="auto" w:fill="auto"/>
          </w:tcPr>
          <w:p w14:paraId="55A1785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17</w:t>
            </w:r>
          </w:p>
        </w:tc>
        <w:tc>
          <w:tcPr>
            <w:tcW w:w="638" w:type="dxa"/>
            <w:tcBorders>
              <w:top w:val="nil"/>
              <w:left w:val="single" w:sz="4" w:space="0" w:color="auto"/>
              <w:bottom w:val="nil"/>
              <w:right w:val="single" w:sz="4" w:space="0" w:color="auto"/>
            </w:tcBorders>
            <w:shd w:val="clear" w:color="auto" w:fill="auto"/>
          </w:tcPr>
          <w:p w14:paraId="2E921F0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w:t>
            </w:r>
          </w:p>
        </w:tc>
        <w:tc>
          <w:tcPr>
            <w:tcW w:w="638" w:type="dxa"/>
            <w:tcBorders>
              <w:top w:val="nil"/>
              <w:left w:val="single" w:sz="4" w:space="0" w:color="auto"/>
              <w:bottom w:val="nil"/>
              <w:right w:val="single" w:sz="4" w:space="0" w:color="auto"/>
            </w:tcBorders>
            <w:shd w:val="clear" w:color="auto" w:fill="auto"/>
          </w:tcPr>
          <w:p w14:paraId="36BE558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8</w:t>
            </w:r>
          </w:p>
        </w:tc>
        <w:tc>
          <w:tcPr>
            <w:tcW w:w="638" w:type="dxa"/>
            <w:tcBorders>
              <w:top w:val="nil"/>
              <w:left w:val="single" w:sz="4" w:space="0" w:color="auto"/>
              <w:bottom w:val="nil"/>
              <w:right w:val="single" w:sz="4" w:space="0" w:color="auto"/>
            </w:tcBorders>
            <w:shd w:val="clear" w:color="auto" w:fill="auto"/>
          </w:tcPr>
          <w:p w14:paraId="3EE4A03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610</w:t>
            </w:r>
          </w:p>
        </w:tc>
        <w:tc>
          <w:tcPr>
            <w:tcW w:w="638" w:type="dxa"/>
            <w:tcBorders>
              <w:top w:val="nil"/>
              <w:left w:val="single" w:sz="4" w:space="0" w:color="auto"/>
              <w:bottom w:val="nil"/>
              <w:right w:val="single" w:sz="4" w:space="0" w:color="auto"/>
            </w:tcBorders>
            <w:shd w:val="clear" w:color="auto" w:fill="auto"/>
          </w:tcPr>
          <w:p w14:paraId="63E26AD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953</w:t>
            </w:r>
          </w:p>
        </w:tc>
        <w:tc>
          <w:tcPr>
            <w:tcW w:w="637" w:type="dxa"/>
            <w:tcBorders>
              <w:top w:val="nil"/>
              <w:left w:val="single" w:sz="4" w:space="0" w:color="auto"/>
              <w:bottom w:val="nil"/>
              <w:right w:val="single" w:sz="4" w:space="0" w:color="auto"/>
            </w:tcBorders>
            <w:shd w:val="clear" w:color="auto" w:fill="auto"/>
          </w:tcPr>
          <w:p w14:paraId="0028A6C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35</w:t>
            </w:r>
          </w:p>
        </w:tc>
        <w:tc>
          <w:tcPr>
            <w:tcW w:w="638" w:type="dxa"/>
            <w:tcBorders>
              <w:top w:val="nil"/>
              <w:left w:val="single" w:sz="4" w:space="0" w:color="auto"/>
              <w:bottom w:val="nil"/>
              <w:right w:val="single" w:sz="4" w:space="0" w:color="auto"/>
            </w:tcBorders>
            <w:shd w:val="clear" w:color="auto" w:fill="auto"/>
          </w:tcPr>
          <w:p w14:paraId="3293B5E7"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26</w:t>
            </w:r>
          </w:p>
        </w:tc>
        <w:tc>
          <w:tcPr>
            <w:tcW w:w="638" w:type="dxa"/>
            <w:tcBorders>
              <w:top w:val="nil"/>
              <w:left w:val="single" w:sz="4" w:space="0" w:color="auto"/>
              <w:bottom w:val="nil"/>
              <w:right w:val="single" w:sz="4" w:space="0" w:color="auto"/>
            </w:tcBorders>
            <w:shd w:val="clear" w:color="auto" w:fill="auto"/>
          </w:tcPr>
          <w:p w14:paraId="67B637E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37.4</w:t>
            </w:r>
          </w:p>
        </w:tc>
        <w:tc>
          <w:tcPr>
            <w:tcW w:w="638" w:type="dxa"/>
            <w:tcBorders>
              <w:top w:val="nil"/>
              <w:left w:val="single" w:sz="4" w:space="0" w:color="auto"/>
              <w:bottom w:val="nil"/>
              <w:right w:val="single" w:sz="4" w:space="0" w:color="auto"/>
            </w:tcBorders>
            <w:shd w:val="clear" w:color="auto" w:fill="auto"/>
          </w:tcPr>
          <w:p w14:paraId="548CABF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37.5</w:t>
            </w:r>
          </w:p>
        </w:tc>
        <w:tc>
          <w:tcPr>
            <w:tcW w:w="638" w:type="dxa"/>
            <w:tcBorders>
              <w:top w:val="nil"/>
              <w:left w:val="single" w:sz="4" w:space="0" w:color="auto"/>
              <w:bottom w:val="nil"/>
              <w:right w:val="single" w:sz="4" w:space="0" w:color="auto"/>
            </w:tcBorders>
            <w:shd w:val="clear" w:color="auto" w:fill="auto"/>
          </w:tcPr>
          <w:p w14:paraId="33ADB19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14.0</w:t>
            </w:r>
          </w:p>
        </w:tc>
        <w:tc>
          <w:tcPr>
            <w:tcW w:w="638" w:type="dxa"/>
            <w:gridSpan w:val="2"/>
            <w:tcBorders>
              <w:top w:val="nil"/>
              <w:left w:val="single" w:sz="4" w:space="0" w:color="auto"/>
              <w:bottom w:val="nil"/>
              <w:right w:val="single" w:sz="4" w:space="0" w:color="auto"/>
            </w:tcBorders>
            <w:shd w:val="clear" w:color="auto" w:fill="auto"/>
          </w:tcPr>
          <w:p w14:paraId="2981E02B"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11.4</w:t>
            </w:r>
          </w:p>
        </w:tc>
      </w:tr>
      <w:tr w:rsidR="001C7F15" w:rsidRPr="001C7F15" w14:paraId="55274F76"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64D59F7B"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Banco Afirme</w:t>
            </w:r>
          </w:p>
        </w:tc>
        <w:tc>
          <w:tcPr>
            <w:tcW w:w="709" w:type="dxa"/>
            <w:tcBorders>
              <w:top w:val="nil"/>
              <w:left w:val="single" w:sz="4" w:space="0" w:color="auto"/>
              <w:bottom w:val="nil"/>
              <w:right w:val="single" w:sz="4" w:space="0" w:color="auto"/>
            </w:tcBorders>
            <w:shd w:val="clear" w:color="auto" w:fill="auto"/>
          </w:tcPr>
          <w:p w14:paraId="72541F9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w:t>
            </w:r>
          </w:p>
        </w:tc>
        <w:tc>
          <w:tcPr>
            <w:tcW w:w="746" w:type="dxa"/>
            <w:tcBorders>
              <w:top w:val="nil"/>
              <w:left w:val="single" w:sz="4" w:space="0" w:color="auto"/>
              <w:bottom w:val="nil"/>
              <w:right w:val="single" w:sz="4" w:space="0" w:color="auto"/>
            </w:tcBorders>
            <w:shd w:val="clear" w:color="auto" w:fill="auto"/>
          </w:tcPr>
          <w:p w14:paraId="204D42B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w:t>
            </w:r>
          </w:p>
        </w:tc>
        <w:tc>
          <w:tcPr>
            <w:tcW w:w="638" w:type="dxa"/>
            <w:tcBorders>
              <w:top w:val="nil"/>
              <w:left w:val="single" w:sz="4" w:space="0" w:color="auto"/>
              <w:bottom w:val="nil"/>
              <w:right w:val="single" w:sz="4" w:space="0" w:color="auto"/>
            </w:tcBorders>
            <w:shd w:val="clear" w:color="auto" w:fill="auto"/>
          </w:tcPr>
          <w:p w14:paraId="4F0461EF"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762DDB4C"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5842EBC4"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500</w:t>
            </w:r>
          </w:p>
        </w:tc>
        <w:tc>
          <w:tcPr>
            <w:tcW w:w="638" w:type="dxa"/>
            <w:tcBorders>
              <w:top w:val="nil"/>
              <w:left w:val="single" w:sz="4" w:space="0" w:color="auto"/>
              <w:bottom w:val="nil"/>
              <w:right w:val="single" w:sz="4" w:space="0" w:color="auto"/>
            </w:tcBorders>
            <w:shd w:val="clear" w:color="auto" w:fill="auto"/>
          </w:tcPr>
          <w:p w14:paraId="1A5BB37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500</w:t>
            </w:r>
          </w:p>
        </w:tc>
        <w:tc>
          <w:tcPr>
            <w:tcW w:w="637" w:type="dxa"/>
            <w:tcBorders>
              <w:top w:val="nil"/>
              <w:left w:val="single" w:sz="4" w:space="0" w:color="auto"/>
              <w:bottom w:val="nil"/>
              <w:right w:val="single" w:sz="4" w:space="0" w:color="auto"/>
            </w:tcBorders>
            <w:shd w:val="clear" w:color="auto" w:fill="auto"/>
          </w:tcPr>
          <w:p w14:paraId="4B00C05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14</w:t>
            </w:r>
          </w:p>
        </w:tc>
        <w:tc>
          <w:tcPr>
            <w:tcW w:w="638" w:type="dxa"/>
            <w:tcBorders>
              <w:top w:val="nil"/>
              <w:left w:val="single" w:sz="4" w:space="0" w:color="auto"/>
              <w:bottom w:val="nil"/>
              <w:right w:val="single" w:sz="4" w:space="0" w:color="auto"/>
            </w:tcBorders>
            <w:shd w:val="clear" w:color="auto" w:fill="auto"/>
          </w:tcPr>
          <w:p w14:paraId="76DF707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13</w:t>
            </w:r>
          </w:p>
        </w:tc>
        <w:tc>
          <w:tcPr>
            <w:tcW w:w="638" w:type="dxa"/>
            <w:tcBorders>
              <w:top w:val="nil"/>
              <w:left w:val="single" w:sz="4" w:space="0" w:color="auto"/>
              <w:bottom w:val="nil"/>
              <w:right w:val="single" w:sz="4" w:space="0" w:color="auto"/>
            </w:tcBorders>
            <w:shd w:val="clear" w:color="auto" w:fill="auto"/>
          </w:tcPr>
          <w:p w14:paraId="74EB760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45.4</w:t>
            </w:r>
          </w:p>
        </w:tc>
        <w:tc>
          <w:tcPr>
            <w:tcW w:w="638" w:type="dxa"/>
            <w:tcBorders>
              <w:top w:val="nil"/>
              <w:left w:val="single" w:sz="4" w:space="0" w:color="auto"/>
              <w:bottom w:val="nil"/>
              <w:right w:val="single" w:sz="4" w:space="0" w:color="auto"/>
            </w:tcBorders>
            <w:shd w:val="clear" w:color="auto" w:fill="auto"/>
          </w:tcPr>
          <w:p w14:paraId="081BC5E2"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43.8</w:t>
            </w:r>
          </w:p>
        </w:tc>
        <w:tc>
          <w:tcPr>
            <w:tcW w:w="638" w:type="dxa"/>
            <w:tcBorders>
              <w:top w:val="nil"/>
              <w:left w:val="single" w:sz="4" w:space="0" w:color="auto"/>
              <w:bottom w:val="nil"/>
              <w:right w:val="single" w:sz="4" w:space="0" w:color="auto"/>
            </w:tcBorders>
            <w:shd w:val="clear" w:color="auto" w:fill="auto"/>
          </w:tcPr>
          <w:p w14:paraId="2C8332C3"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4.6</w:t>
            </w:r>
          </w:p>
        </w:tc>
        <w:tc>
          <w:tcPr>
            <w:tcW w:w="638" w:type="dxa"/>
            <w:gridSpan w:val="2"/>
            <w:tcBorders>
              <w:top w:val="nil"/>
              <w:left w:val="single" w:sz="4" w:space="0" w:color="auto"/>
              <w:bottom w:val="nil"/>
              <w:right w:val="single" w:sz="4" w:space="0" w:color="auto"/>
            </w:tcBorders>
            <w:shd w:val="clear" w:color="auto" w:fill="auto"/>
          </w:tcPr>
          <w:p w14:paraId="403F3D8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3.0</w:t>
            </w:r>
          </w:p>
        </w:tc>
      </w:tr>
      <w:tr w:rsidR="001C7F15" w:rsidRPr="001C7F15" w14:paraId="75C9333B"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60203449" w14:textId="77777777" w:rsidR="001C7F15" w:rsidRPr="001C7F15" w:rsidRDefault="001C7F15" w:rsidP="001C7F15">
            <w:pPr>
              <w:autoSpaceDE w:val="0"/>
              <w:autoSpaceDN w:val="0"/>
              <w:adjustRightInd w:val="0"/>
              <w:spacing w:before="40" w:after="40"/>
              <w:rPr>
                <w:rFonts w:eastAsia="Calibri"/>
                <w:bCs/>
                <w:sz w:val="16"/>
                <w:szCs w:val="16"/>
                <w:lang w:eastAsia="en-US"/>
              </w:rPr>
            </w:pPr>
            <w:r w:rsidRPr="001C7F15">
              <w:rPr>
                <w:rFonts w:eastAsia="Calibri"/>
                <w:bCs/>
                <w:sz w:val="16"/>
                <w:szCs w:val="16"/>
                <w:lang w:eastAsia="en-US"/>
              </w:rPr>
              <w:t>Crédito Familiar</w:t>
            </w:r>
          </w:p>
        </w:tc>
        <w:tc>
          <w:tcPr>
            <w:tcW w:w="709" w:type="dxa"/>
            <w:tcBorders>
              <w:top w:val="nil"/>
              <w:left w:val="single" w:sz="4" w:space="0" w:color="auto"/>
              <w:bottom w:val="nil"/>
              <w:right w:val="single" w:sz="4" w:space="0" w:color="auto"/>
            </w:tcBorders>
            <w:shd w:val="clear" w:color="auto" w:fill="auto"/>
          </w:tcPr>
          <w:p w14:paraId="4E82CD3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746" w:type="dxa"/>
            <w:tcBorders>
              <w:top w:val="nil"/>
              <w:left w:val="single" w:sz="4" w:space="0" w:color="auto"/>
              <w:bottom w:val="nil"/>
              <w:right w:val="single" w:sz="4" w:space="0" w:color="auto"/>
            </w:tcBorders>
            <w:shd w:val="clear" w:color="auto" w:fill="auto"/>
          </w:tcPr>
          <w:p w14:paraId="0B081BD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w:t>
            </w:r>
          </w:p>
        </w:tc>
        <w:tc>
          <w:tcPr>
            <w:tcW w:w="638" w:type="dxa"/>
            <w:tcBorders>
              <w:top w:val="nil"/>
              <w:left w:val="single" w:sz="4" w:space="0" w:color="auto"/>
              <w:bottom w:val="nil"/>
              <w:right w:val="single" w:sz="4" w:space="0" w:color="auto"/>
            </w:tcBorders>
            <w:shd w:val="clear" w:color="auto" w:fill="auto"/>
          </w:tcPr>
          <w:p w14:paraId="511FCA1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n. a.</w:t>
            </w:r>
          </w:p>
        </w:tc>
        <w:tc>
          <w:tcPr>
            <w:tcW w:w="638" w:type="dxa"/>
            <w:tcBorders>
              <w:top w:val="nil"/>
              <w:left w:val="single" w:sz="4" w:space="0" w:color="auto"/>
              <w:bottom w:val="nil"/>
              <w:right w:val="single" w:sz="4" w:space="0" w:color="auto"/>
            </w:tcBorders>
            <w:shd w:val="clear" w:color="auto" w:fill="auto"/>
          </w:tcPr>
          <w:p w14:paraId="4B9796F0"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118647D6"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n. a.</w:t>
            </w:r>
          </w:p>
        </w:tc>
        <w:tc>
          <w:tcPr>
            <w:tcW w:w="638" w:type="dxa"/>
            <w:tcBorders>
              <w:top w:val="nil"/>
              <w:left w:val="single" w:sz="4" w:space="0" w:color="auto"/>
              <w:bottom w:val="nil"/>
              <w:right w:val="single" w:sz="4" w:space="0" w:color="auto"/>
            </w:tcBorders>
            <w:shd w:val="clear" w:color="auto" w:fill="auto"/>
          </w:tcPr>
          <w:p w14:paraId="677E9DA1"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408</w:t>
            </w:r>
          </w:p>
        </w:tc>
        <w:tc>
          <w:tcPr>
            <w:tcW w:w="637" w:type="dxa"/>
            <w:tcBorders>
              <w:top w:val="nil"/>
              <w:left w:val="single" w:sz="4" w:space="0" w:color="auto"/>
              <w:bottom w:val="nil"/>
              <w:right w:val="single" w:sz="4" w:space="0" w:color="auto"/>
            </w:tcBorders>
            <w:shd w:val="clear" w:color="auto" w:fill="auto"/>
          </w:tcPr>
          <w:p w14:paraId="7F720ED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n. a.</w:t>
            </w:r>
          </w:p>
        </w:tc>
        <w:tc>
          <w:tcPr>
            <w:tcW w:w="638" w:type="dxa"/>
            <w:tcBorders>
              <w:top w:val="nil"/>
              <w:left w:val="single" w:sz="4" w:space="0" w:color="auto"/>
              <w:bottom w:val="nil"/>
              <w:right w:val="single" w:sz="4" w:space="0" w:color="auto"/>
            </w:tcBorders>
            <w:shd w:val="clear" w:color="auto" w:fill="auto"/>
          </w:tcPr>
          <w:p w14:paraId="55B12B45"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11</w:t>
            </w:r>
          </w:p>
        </w:tc>
        <w:tc>
          <w:tcPr>
            <w:tcW w:w="638" w:type="dxa"/>
            <w:tcBorders>
              <w:top w:val="nil"/>
              <w:left w:val="single" w:sz="4" w:space="0" w:color="auto"/>
              <w:bottom w:val="nil"/>
              <w:right w:val="single" w:sz="4" w:space="0" w:color="auto"/>
            </w:tcBorders>
            <w:shd w:val="clear" w:color="auto" w:fill="auto"/>
          </w:tcPr>
          <w:p w14:paraId="08D5E0FE"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n. a.</w:t>
            </w:r>
          </w:p>
        </w:tc>
        <w:tc>
          <w:tcPr>
            <w:tcW w:w="638" w:type="dxa"/>
            <w:tcBorders>
              <w:top w:val="nil"/>
              <w:left w:val="single" w:sz="4" w:space="0" w:color="auto"/>
              <w:bottom w:val="nil"/>
              <w:right w:val="single" w:sz="4" w:space="0" w:color="auto"/>
            </w:tcBorders>
            <w:shd w:val="clear" w:color="auto" w:fill="auto"/>
          </w:tcPr>
          <w:p w14:paraId="10252B78"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45.0</w:t>
            </w:r>
          </w:p>
        </w:tc>
        <w:tc>
          <w:tcPr>
            <w:tcW w:w="638" w:type="dxa"/>
            <w:tcBorders>
              <w:top w:val="nil"/>
              <w:left w:val="single" w:sz="4" w:space="0" w:color="auto"/>
              <w:bottom w:val="nil"/>
              <w:right w:val="single" w:sz="4" w:space="0" w:color="auto"/>
            </w:tcBorders>
            <w:shd w:val="clear" w:color="auto" w:fill="auto"/>
          </w:tcPr>
          <w:p w14:paraId="7D016119"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n. a.</w:t>
            </w:r>
          </w:p>
        </w:tc>
        <w:tc>
          <w:tcPr>
            <w:tcW w:w="638" w:type="dxa"/>
            <w:gridSpan w:val="2"/>
            <w:tcBorders>
              <w:top w:val="nil"/>
              <w:left w:val="single" w:sz="4" w:space="0" w:color="auto"/>
              <w:bottom w:val="nil"/>
              <w:right w:val="single" w:sz="4" w:space="0" w:color="auto"/>
            </w:tcBorders>
            <w:shd w:val="clear" w:color="auto" w:fill="auto"/>
          </w:tcPr>
          <w:p w14:paraId="38F6F95D" w14:textId="77777777" w:rsidR="001C7F15" w:rsidRPr="001C7F15" w:rsidRDefault="001C7F15" w:rsidP="001C7F15">
            <w:pPr>
              <w:autoSpaceDE w:val="0"/>
              <w:autoSpaceDN w:val="0"/>
              <w:adjustRightInd w:val="0"/>
              <w:spacing w:before="40" w:after="40"/>
              <w:ind w:right="57"/>
              <w:jc w:val="right"/>
              <w:rPr>
                <w:rFonts w:eastAsia="Calibri"/>
                <w:sz w:val="16"/>
                <w:szCs w:val="16"/>
                <w:lang w:eastAsia="en-US"/>
              </w:rPr>
            </w:pPr>
            <w:r w:rsidRPr="001C7F15">
              <w:rPr>
                <w:rFonts w:eastAsia="Calibri"/>
                <w:sz w:val="16"/>
                <w:szCs w:val="16"/>
                <w:lang w:eastAsia="en-US"/>
              </w:rPr>
              <w:t>4.1</w:t>
            </w:r>
          </w:p>
        </w:tc>
      </w:tr>
      <w:tr w:rsidR="001C7F15" w:rsidRPr="001C7F15" w14:paraId="6B8ADC53" w14:textId="77777777" w:rsidTr="00E823BC">
        <w:trPr>
          <w:jc w:val="center"/>
        </w:trPr>
        <w:tc>
          <w:tcPr>
            <w:tcW w:w="1548" w:type="dxa"/>
            <w:tcBorders>
              <w:top w:val="nil"/>
              <w:left w:val="single" w:sz="4" w:space="0" w:color="auto"/>
              <w:bottom w:val="nil"/>
              <w:right w:val="single" w:sz="4" w:space="0" w:color="auto"/>
            </w:tcBorders>
            <w:shd w:val="clear" w:color="auto" w:fill="auto"/>
          </w:tcPr>
          <w:p w14:paraId="42BF6574" w14:textId="77777777" w:rsidR="001C7F15" w:rsidRPr="001C7F15" w:rsidRDefault="001C7F15" w:rsidP="001C7F15">
            <w:pPr>
              <w:autoSpaceDE w:val="0"/>
              <w:autoSpaceDN w:val="0"/>
              <w:adjustRightInd w:val="0"/>
              <w:spacing w:before="40" w:after="120"/>
              <w:rPr>
                <w:rFonts w:eastAsia="Calibri"/>
                <w:bCs/>
                <w:sz w:val="16"/>
                <w:szCs w:val="16"/>
                <w:lang w:eastAsia="en-US"/>
              </w:rPr>
            </w:pPr>
            <w:r w:rsidRPr="001C7F15">
              <w:rPr>
                <w:rFonts w:eastAsia="Calibri"/>
                <w:bCs/>
                <w:sz w:val="16"/>
                <w:szCs w:val="16"/>
                <w:lang w:eastAsia="en-US"/>
              </w:rPr>
              <w:t>ConsuBanco</w:t>
            </w:r>
          </w:p>
        </w:tc>
        <w:tc>
          <w:tcPr>
            <w:tcW w:w="709" w:type="dxa"/>
            <w:tcBorders>
              <w:top w:val="nil"/>
              <w:left w:val="single" w:sz="4" w:space="0" w:color="auto"/>
              <w:bottom w:val="nil"/>
              <w:right w:val="single" w:sz="4" w:space="0" w:color="auto"/>
            </w:tcBorders>
            <w:shd w:val="clear" w:color="auto" w:fill="auto"/>
          </w:tcPr>
          <w:p w14:paraId="43A3F945"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11</w:t>
            </w:r>
          </w:p>
        </w:tc>
        <w:tc>
          <w:tcPr>
            <w:tcW w:w="746" w:type="dxa"/>
            <w:tcBorders>
              <w:top w:val="nil"/>
              <w:left w:val="single" w:sz="4" w:space="0" w:color="auto"/>
              <w:bottom w:val="nil"/>
              <w:right w:val="single" w:sz="4" w:space="0" w:color="auto"/>
            </w:tcBorders>
            <w:shd w:val="clear" w:color="auto" w:fill="auto"/>
          </w:tcPr>
          <w:p w14:paraId="049E95A6"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11</w:t>
            </w:r>
          </w:p>
        </w:tc>
        <w:tc>
          <w:tcPr>
            <w:tcW w:w="638" w:type="dxa"/>
            <w:tcBorders>
              <w:top w:val="nil"/>
              <w:left w:val="single" w:sz="4" w:space="0" w:color="auto"/>
              <w:bottom w:val="nil"/>
              <w:right w:val="single" w:sz="4" w:space="0" w:color="auto"/>
            </w:tcBorders>
            <w:shd w:val="clear" w:color="auto" w:fill="auto"/>
          </w:tcPr>
          <w:p w14:paraId="52DFC304"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1</w:t>
            </w:r>
          </w:p>
        </w:tc>
        <w:tc>
          <w:tcPr>
            <w:tcW w:w="638" w:type="dxa"/>
            <w:tcBorders>
              <w:top w:val="nil"/>
              <w:left w:val="single" w:sz="4" w:space="0" w:color="auto"/>
              <w:bottom w:val="nil"/>
              <w:right w:val="single" w:sz="4" w:space="0" w:color="auto"/>
            </w:tcBorders>
            <w:shd w:val="clear" w:color="auto" w:fill="auto"/>
          </w:tcPr>
          <w:p w14:paraId="6D4955C1"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4</w:t>
            </w:r>
          </w:p>
        </w:tc>
        <w:tc>
          <w:tcPr>
            <w:tcW w:w="638" w:type="dxa"/>
            <w:tcBorders>
              <w:top w:val="nil"/>
              <w:left w:val="single" w:sz="4" w:space="0" w:color="auto"/>
              <w:bottom w:val="nil"/>
              <w:right w:val="single" w:sz="4" w:space="0" w:color="auto"/>
            </w:tcBorders>
            <w:shd w:val="clear" w:color="auto" w:fill="auto"/>
          </w:tcPr>
          <w:p w14:paraId="316BBD22"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280</w:t>
            </w:r>
          </w:p>
        </w:tc>
        <w:tc>
          <w:tcPr>
            <w:tcW w:w="638" w:type="dxa"/>
            <w:tcBorders>
              <w:top w:val="nil"/>
              <w:left w:val="single" w:sz="4" w:space="0" w:color="auto"/>
              <w:bottom w:val="nil"/>
              <w:right w:val="single" w:sz="4" w:space="0" w:color="auto"/>
            </w:tcBorders>
            <w:shd w:val="clear" w:color="auto" w:fill="auto"/>
          </w:tcPr>
          <w:p w14:paraId="0D438A1C"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299</w:t>
            </w:r>
          </w:p>
        </w:tc>
        <w:tc>
          <w:tcPr>
            <w:tcW w:w="637" w:type="dxa"/>
            <w:tcBorders>
              <w:top w:val="nil"/>
              <w:left w:val="single" w:sz="4" w:space="0" w:color="auto"/>
              <w:bottom w:val="nil"/>
              <w:right w:val="single" w:sz="4" w:space="0" w:color="auto"/>
            </w:tcBorders>
            <w:shd w:val="clear" w:color="auto" w:fill="auto"/>
          </w:tcPr>
          <w:p w14:paraId="731615F5"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w:t>
            </w:r>
          </w:p>
        </w:tc>
        <w:tc>
          <w:tcPr>
            <w:tcW w:w="638" w:type="dxa"/>
            <w:tcBorders>
              <w:top w:val="nil"/>
              <w:left w:val="single" w:sz="4" w:space="0" w:color="auto"/>
              <w:bottom w:val="nil"/>
              <w:right w:val="single" w:sz="4" w:space="0" w:color="auto"/>
            </w:tcBorders>
            <w:shd w:val="clear" w:color="auto" w:fill="auto"/>
          </w:tcPr>
          <w:p w14:paraId="31554447"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w:t>
            </w:r>
          </w:p>
        </w:tc>
        <w:tc>
          <w:tcPr>
            <w:tcW w:w="638" w:type="dxa"/>
            <w:tcBorders>
              <w:top w:val="nil"/>
              <w:left w:val="single" w:sz="4" w:space="0" w:color="auto"/>
              <w:bottom w:val="nil"/>
              <w:right w:val="single" w:sz="4" w:space="0" w:color="auto"/>
            </w:tcBorders>
            <w:shd w:val="clear" w:color="auto" w:fill="auto"/>
          </w:tcPr>
          <w:p w14:paraId="2F291D67"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53.4</w:t>
            </w:r>
          </w:p>
        </w:tc>
        <w:tc>
          <w:tcPr>
            <w:tcW w:w="638" w:type="dxa"/>
            <w:tcBorders>
              <w:top w:val="nil"/>
              <w:left w:val="single" w:sz="4" w:space="0" w:color="auto"/>
              <w:bottom w:val="nil"/>
              <w:right w:val="single" w:sz="4" w:space="0" w:color="auto"/>
            </w:tcBorders>
            <w:shd w:val="clear" w:color="auto" w:fill="auto"/>
          </w:tcPr>
          <w:p w14:paraId="5759C871"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53.1</w:t>
            </w:r>
          </w:p>
        </w:tc>
        <w:tc>
          <w:tcPr>
            <w:tcW w:w="638" w:type="dxa"/>
            <w:tcBorders>
              <w:top w:val="nil"/>
              <w:left w:val="single" w:sz="4" w:space="0" w:color="auto"/>
              <w:bottom w:val="nil"/>
              <w:right w:val="single" w:sz="4" w:space="0" w:color="auto"/>
            </w:tcBorders>
            <w:shd w:val="clear" w:color="auto" w:fill="auto"/>
          </w:tcPr>
          <w:p w14:paraId="2A6B7097"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1.8</w:t>
            </w:r>
          </w:p>
        </w:tc>
        <w:tc>
          <w:tcPr>
            <w:tcW w:w="638" w:type="dxa"/>
            <w:gridSpan w:val="2"/>
            <w:tcBorders>
              <w:top w:val="nil"/>
              <w:left w:val="single" w:sz="4" w:space="0" w:color="auto"/>
              <w:bottom w:val="nil"/>
              <w:right w:val="single" w:sz="4" w:space="0" w:color="auto"/>
            </w:tcBorders>
            <w:shd w:val="clear" w:color="auto" w:fill="auto"/>
          </w:tcPr>
          <w:p w14:paraId="76CB2D04" w14:textId="77777777" w:rsidR="001C7F15" w:rsidRPr="001C7F15" w:rsidRDefault="001C7F15" w:rsidP="001C7F15">
            <w:pPr>
              <w:autoSpaceDE w:val="0"/>
              <w:autoSpaceDN w:val="0"/>
              <w:adjustRightInd w:val="0"/>
              <w:spacing w:before="40" w:after="120"/>
              <w:ind w:right="57"/>
              <w:jc w:val="right"/>
              <w:rPr>
                <w:rFonts w:eastAsia="Calibri"/>
                <w:sz w:val="16"/>
                <w:szCs w:val="16"/>
                <w:lang w:eastAsia="en-US"/>
              </w:rPr>
            </w:pPr>
            <w:r w:rsidRPr="001C7F15">
              <w:rPr>
                <w:rFonts w:eastAsia="Calibri"/>
                <w:sz w:val="16"/>
                <w:szCs w:val="16"/>
                <w:lang w:eastAsia="en-US"/>
              </w:rPr>
              <w:t>1.5</w:t>
            </w:r>
          </w:p>
        </w:tc>
      </w:tr>
      <w:tr w:rsidR="001C7F15" w:rsidRPr="001C7F15" w14:paraId="77BE07FC" w14:textId="77777777" w:rsidTr="001C7F15">
        <w:trPr>
          <w:jc w:val="center"/>
        </w:trPr>
        <w:tc>
          <w:tcPr>
            <w:tcW w:w="9382" w:type="dxa"/>
            <w:gridSpan w:val="14"/>
            <w:tcBorders>
              <w:top w:val="single" w:sz="4" w:space="0" w:color="auto"/>
              <w:left w:val="nil"/>
              <w:bottom w:val="nil"/>
              <w:right w:val="nil"/>
            </w:tcBorders>
            <w:shd w:val="clear" w:color="auto" w:fill="auto"/>
            <w:vAlign w:val="center"/>
          </w:tcPr>
          <w:p w14:paraId="49334F51" w14:textId="77777777" w:rsidR="001C7F15" w:rsidRPr="001C7F15" w:rsidRDefault="001C7F15" w:rsidP="00667577">
            <w:pPr>
              <w:numPr>
                <w:ilvl w:val="0"/>
                <w:numId w:val="190"/>
              </w:numPr>
              <w:spacing w:before="120"/>
              <w:contextualSpacing/>
              <w:rPr>
                <w:rFonts w:eastAsia="Calibri"/>
                <w:bCs/>
                <w:sz w:val="20"/>
                <w:szCs w:val="20"/>
                <w:lang w:eastAsia="en-US"/>
              </w:rPr>
            </w:pPr>
            <w:r w:rsidRPr="001C7F15">
              <w:rPr>
                <w:rFonts w:eastAsia="Calibri"/>
                <w:bCs/>
                <w:sz w:val="20"/>
                <w:szCs w:val="20"/>
                <w:lang w:eastAsia="en-US"/>
              </w:rPr>
              <w:t>La anualidad aquí presentada refleja la comisión registrada en el Banco de México; por lo tanto, no se incluyen casos en los que no se cobre anualidad debido a promociones especiales. Cuando un banco ofrece varias tarjetas tipo “Clásica”, el ponderador de la comisión es la fracción del número de tarjetas que representa el producto en cuestión en el total del segmento. Las instituciones están ordenadas respecto a su tasa efectiva promedio ponderada en agosto de 2014. Como resultado de una revisión de los atributos de sus productos “Sí Card Plus” y “Sí Card Plus Invex”, Banco Invex reclasificó estas tarjetas para pasarlas de “Clásica” a “Oro”.</w:t>
            </w:r>
          </w:p>
          <w:p w14:paraId="5076B74F"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n. a. = No aplica.</w:t>
            </w:r>
          </w:p>
          <w:p w14:paraId="75632637" w14:textId="77777777" w:rsidR="001C7F15" w:rsidRPr="001C7F15" w:rsidRDefault="001C7F15" w:rsidP="001C7F15">
            <w:pPr>
              <w:ind w:left="907" w:hanging="907"/>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50454010" w14:textId="77777777" w:rsidR="001C7F15" w:rsidRPr="001C7F15" w:rsidRDefault="001C7F15" w:rsidP="001C7F15">
      <w:pPr>
        <w:spacing w:after="360" w:line="360" w:lineRule="auto"/>
        <w:ind w:right="-159"/>
        <w:jc w:val="both"/>
        <w:rPr>
          <w:rFonts w:eastAsia="Times New Roman"/>
          <w:bCs/>
          <w:sz w:val="26"/>
          <w:szCs w:val="26"/>
          <w:lang w:val="es-ES"/>
        </w:rPr>
      </w:pPr>
    </w:p>
    <w:p w14:paraId="0BB786D9" w14:textId="77777777" w:rsidR="001C7F15" w:rsidRPr="001C7F15" w:rsidRDefault="001C7F15" w:rsidP="001C7F15">
      <w:pPr>
        <w:spacing w:after="360" w:line="360" w:lineRule="auto"/>
        <w:ind w:right="-159"/>
        <w:jc w:val="both"/>
        <w:rPr>
          <w:rFonts w:eastAsia="Times New Roman"/>
          <w:bCs/>
          <w:sz w:val="26"/>
          <w:szCs w:val="26"/>
          <w:lang w:val="es-ES"/>
        </w:rPr>
      </w:pPr>
    </w:p>
    <w:p w14:paraId="1ABCEEED" w14:textId="77777777" w:rsidR="001C7F15" w:rsidRPr="001C7F15" w:rsidRDefault="001C7F15" w:rsidP="001C7F15">
      <w:pPr>
        <w:spacing w:after="360" w:line="360" w:lineRule="auto"/>
        <w:ind w:right="-159"/>
        <w:jc w:val="both"/>
        <w:rPr>
          <w:rFonts w:eastAsia="Times New Roman"/>
          <w:bCs/>
          <w:sz w:val="26"/>
          <w:szCs w:val="26"/>
          <w:lang w:val="es-ES"/>
        </w:rPr>
      </w:pPr>
    </w:p>
    <w:p w14:paraId="5D26C77F" w14:textId="77777777" w:rsidR="001C7F15" w:rsidRPr="001C7F15" w:rsidRDefault="001C7F15" w:rsidP="001C7F15">
      <w:pPr>
        <w:spacing w:after="360" w:line="360" w:lineRule="auto"/>
        <w:ind w:right="-159"/>
        <w:jc w:val="both"/>
        <w:rPr>
          <w:rFonts w:eastAsia="Times New Roman"/>
          <w:bCs/>
          <w:sz w:val="26"/>
          <w:szCs w:val="26"/>
          <w:lang w:val="es-ES"/>
        </w:rPr>
      </w:pPr>
    </w:p>
    <w:p w14:paraId="33C04554" w14:textId="77777777" w:rsidR="001C7F15" w:rsidRPr="001C7F15" w:rsidRDefault="001C7F15" w:rsidP="001C7F15">
      <w:pPr>
        <w:spacing w:after="360" w:line="360" w:lineRule="auto"/>
        <w:ind w:right="-159"/>
        <w:jc w:val="both"/>
        <w:rPr>
          <w:rFonts w:eastAsia="Times New Roman"/>
          <w:bCs/>
          <w:sz w:val="26"/>
          <w:szCs w:val="26"/>
          <w:lang w:val="es-ES"/>
        </w:rPr>
      </w:pPr>
    </w:p>
    <w:tbl>
      <w:tblPr>
        <w:tblW w:w="9173" w:type="dxa"/>
        <w:jc w:val="center"/>
        <w:tblLayout w:type="fixed"/>
        <w:tblLook w:val="04A0" w:firstRow="1" w:lastRow="0" w:firstColumn="1" w:lastColumn="0" w:noHBand="0" w:noVBand="1"/>
      </w:tblPr>
      <w:tblGrid>
        <w:gridCol w:w="1586"/>
        <w:gridCol w:w="632"/>
        <w:gridCol w:w="632"/>
        <w:gridCol w:w="552"/>
        <w:gridCol w:w="567"/>
        <w:gridCol w:w="709"/>
        <w:gridCol w:w="701"/>
        <w:gridCol w:w="632"/>
        <w:gridCol w:w="652"/>
        <w:gridCol w:w="708"/>
        <w:gridCol w:w="567"/>
        <w:gridCol w:w="602"/>
        <w:gridCol w:w="633"/>
      </w:tblGrid>
      <w:tr w:rsidR="001C7F15" w:rsidRPr="001C7F15" w14:paraId="28C8C777" w14:textId="77777777" w:rsidTr="001C7F15">
        <w:trPr>
          <w:jc w:val="center"/>
        </w:trPr>
        <w:tc>
          <w:tcPr>
            <w:tcW w:w="9173" w:type="dxa"/>
            <w:gridSpan w:val="13"/>
            <w:tcBorders>
              <w:top w:val="nil"/>
              <w:left w:val="nil"/>
              <w:bottom w:val="single" w:sz="4" w:space="0" w:color="auto"/>
              <w:right w:val="nil"/>
            </w:tcBorders>
            <w:shd w:val="clear" w:color="auto" w:fill="auto"/>
            <w:vAlign w:val="center"/>
          </w:tcPr>
          <w:p w14:paraId="72307A75" w14:textId="77777777" w:rsidR="001C7F15" w:rsidRPr="001C7F15" w:rsidRDefault="001C7F15" w:rsidP="001C7F15">
            <w:pPr>
              <w:jc w:val="center"/>
              <w:rPr>
                <w:rFonts w:eastAsia="Times New Roman"/>
                <w:b/>
                <w:bCs/>
                <w:sz w:val="22"/>
                <w:szCs w:val="22"/>
                <w:lang w:eastAsia="en-US"/>
              </w:rPr>
            </w:pPr>
            <w:r w:rsidRPr="001C7F15">
              <w:rPr>
                <w:rFonts w:eastAsia="Times New Roman"/>
                <w:b/>
                <w:bCs/>
                <w:sz w:val="22"/>
                <w:szCs w:val="22"/>
                <w:lang w:eastAsia="en-US"/>
              </w:rPr>
              <w:lastRenderedPageBreak/>
              <w:t>INDICADORES BÁSICOS PARA TARJETAS “ORO” O EQUIVALENTES,</w:t>
            </w:r>
          </w:p>
          <w:p w14:paraId="76013E87" w14:textId="40CFEEF8" w:rsidR="001C7F15" w:rsidRPr="001C7F15" w:rsidRDefault="001C7F15" w:rsidP="001C7F15">
            <w:pPr>
              <w:jc w:val="center"/>
              <w:rPr>
                <w:rFonts w:eastAsia="Times New Roman"/>
                <w:b/>
                <w:bCs/>
                <w:sz w:val="16"/>
                <w:szCs w:val="16"/>
                <w:lang w:eastAsia="en-US"/>
              </w:rPr>
            </w:pPr>
            <w:r w:rsidRPr="001C7F15">
              <w:rPr>
                <w:rFonts w:eastAsia="Times New Roman"/>
                <w:b/>
                <w:bCs/>
                <w:sz w:val="22"/>
                <w:szCs w:val="22"/>
                <w:lang w:eastAsia="en-US"/>
              </w:rPr>
              <w:t>INCLUYENDO A CLIENTES TOTALEROS Y NO TOTALEROS</w:t>
            </w:r>
          </w:p>
        </w:tc>
      </w:tr>
      <w:tr w:rsidR="001C7F15" w:rsidRPr="001C7F15" w14:paraId="2E0EFC8B" w14:textId="77777777" w:rsidTr="00E823BC">
        <w:trPr>
          <w:jc w:val="center"/>
        </w:trPr>
        <w:tc>
          <w:tcPr>
            <w:tcW w:w="1586" w:type="dxa"/>
            <w:vMerge w:val="restart"/>
            <w:tcBorders>
              <w:top w:val="single" w:sz="4" w:space="0" w:color="auto"/>
              <w:left w:val="single" w:sz="4" w:space="0" w:color="auto"/>
              <w:right w:val="single" w:sz="4" w:space="0" w:color="auto"/>
            </w:tcBorders>
            <w:shd w:val="clear" w:color="auto" w:fill="auto"/>
            <w:vAlign w:val="center"/>
          </w:tcPr>
          <w:p w14:paraId="3998F4FA" w14:textId="77777777" w:rsidR="001C7F15" w:rsidRPr="001C7F15" w:rsidRDefault="001C7F15" w:rsidP="001C7F15">
            <w:pPr>
              <w:jc w:val="both"/>
              <w:rPr>
                <w:rFonts w:eastAsia="Times New Roman"/>
                <w:b/>
                <w:bCs/>
                <w:sz w:val="16"/>
                <w:szCs w:val="16"/>
                <w:lang w:eastAsia="en-US"/>
              </w:rPr>
            </w:pPr>
          </w:p>
        </w:tc>
        <w:tc>
          <w:tcPr>
            <w:tcW w:w="12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DF01"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tarjetas</w:t>
            </w:r>
          </w:p>
          <w:p w14:paraId="224A0E7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(miles)</w:t>
            </w:r>
          </w:p>
        </w:tc>
        <w:tc>
          <w:tcPr>
            <w:tcW w:w="11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8E02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Número de productos</w:t>
            </w:r>
          </w:p>
        </w:tc>
        <w:tc>
          <w:tcPr>
            <w:tcW w:w="14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5C804D"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Anualidad* ponderada nominal (pesos)</w:t>
            </w: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B2EA08"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Límite de crédito promedio (miles de pesos)</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C909A7"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 xml:space="preserve">Tasa efectiva promedio ponderada </w:t>
            </w:r>
          </w:p>
          <w:p w14:paraId="43840FD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w:t>
            </w:r>
          </w:p>
        </w:tc>
        <w:tc>
          <w:tcPr>
            <w:tcW w:w="12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610346"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Saldo promedio por tarjeta</w:t>
            </w:r>
          </w:p>
          <w:p w14:paraId="70C76F8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(miles de pesos)</w:t>
            </w:r>
          </w:p>
        </w:tc>
      </w:tr>
      <w:tr w:rsidR="001C7F15" w:rsidRPr="001C7F15" w14:paraId="3297CF32" w14:textId="77777777" w:rsidTr="00E823BC">
        <w:trPr>
          <w:jc w:val="center"/>
        </w:trPr>
        <w:tc>
          <w:tcPr>
            <w:tcW w:w="1586" w:type="dxa"/>
            <w:vMerge/>
            <w:tcBorders>
              <w:left w:val="single" w:sz="4" w:space="0" w:color="auto"/>
              <w:right w:val="single" w:sz="4" w:space="0" w:color="auto"/>
            </w:tcBorders>
            <w:shd w:val="clear" w:color="auto" w:fill="auto"/>
            <w:vAlign w:val="center"/>
          </w:tcPr>
          <w:p w14:paraId="0FFB1A45" w14:textId="77777777" w:rsidR="001C7F15" w:rsidRPr="001C7F15" w:rsidRDefault="001C7F15" w:rsidP="001C7F15">
            <w:pPr>
              <w:jc w:val="both"/>
              <w:rPr>
                <w:rFonts w:eastAsia="Times New Roman"/>
                <w:b/>
                <w:bCs/>
                <w:sz w:val="16"/>
                <w:szCs w:val="16"/>
                <w:lang w:eastAsia="en-US"/>
              </w:rPr>
            </w:pPr>
          </w:p>
        </w:tc>
        <w:tc>
          <w:tcPr>
            <w:tcW w:w="7587"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F2B7E44" w14:textId="77777777" w:rsidR="001C7F15" w:rsidRPr="001C7F15" w:rsidRDefault="001C7F15" w:rsidP="001C7F15">
            <w:pPr>
              <w:spacing w:before="40" w:after="40"/>
              <w:jc w:val="center"/>
              <w:rPr>
                <w:rFonts w:eastAsia="Calibri"/>
                <w:b/>
                <w:sz w:val="16"/>
                <w:szCs w:val="16"/>
                <w:lang w:eastAsia="en-US"/>
              </w:rPr>
            </w:pPr>
            <w:r w:rsidRPr="001C7F15">
              <w:rPr>
                <w:rFonts w:eastAsia="Calibri"/>
                <w:b/>
                <w:sz w:val="16"/>
                <w:szCs w:val="16"/>
                <w:lang w:eastAsia="en-US"/>
              </w:rPr>
              <w:t>Agosto</w:t>
            </w:r>
          </w:p>
        </w:tc>
      </w:tr>
      <w:tr w:rsidR="001C7F15" w:rsidRPr="001C7F15" w14:paraId="1C57C3E9" w14:textId="77777777" w:rsidTr="00E823BC">
        <w:trPr>
          <w:jc w:val="center"/>
        </w:trPr>
        <w:tc>
          <w:tcPr>
            <w:tcW w:w="1586" w:type="dxa"/>
            <w:vMerge/>
            <w:tcBorders>
              <w:left w:val="single" w:sz="4" w:space="0" w:color="auto"/>
              <w:bottom w:val="single" w:sz="4" w:space="0" w:color="auto"/>
              <w:right w:val="single" w:sz="4" w:space="0" w:color="auto"/>
            </w:tcBorders>
            <w:shd w:val="clear" w:color="auto" w:fill="auto"/>
            <w:vAlign w:val="center"/>
          </w:tcPr>
          <w:p w14:paraId="04F47880" w14:textId="77777777" w:rsidR="001C7F15" w:rsidRPr="001C7F15" w:rsidRDefault="001C7F15" w:rsidP="001C7F15">
            <w:pPr>
              <w:jc w:val="center"/>
              <w:rPr>
                <w:rFonts w:eastAsia="Times New Roman"/>
                <w:b/>
                <w:bCs/>
                <w:sz w:val="16"/>
                <w:szCs w:val="16"/>
                <w:lang w:eastAsia="en-US"/>
              </w:rPr>
            </w:pP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14:paraId="31BF76F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14:paraId="194442A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552" w:type="dxa"/>
            <w:tcBorders>
              <w:top w:val="single" w:sz="4" w:space="0" w:color="auto"/>
              <w:left w:val="single" w:sz="4" w:space="0" w:color="auto"/>
              <w:bottom w:val="single" w:sz="4" w:space="0" w:color="auto"/>
              <w:right w:val="single" w:sz="4" w:space="0" w:color="auto"/>
            </w:tcBorders>
            <w:shd w:val="clear" w:color="auto" w:fill="auto"/>
            <w:vAlign w:val="center"/>
          </w:tcPr>
          <w:p w14:paraId="6ABE5889"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3576560"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AD8D30A"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701" w:type="dxa"/>
            <w:tcBorders>
              <w:top w:val="single" w:sz="4" w:space="0" w:color="auto"/>
              <w:left w:val="single" w:sz="4" w:space="0" w:color="auto"/>
              <w:bottom w:val="single" w:sz="4" w:space="0" w:color="auto"/>
              <w:right w:val="single" w:sz="4" w:space="0" w:color="auto"/>
            </w:tcBorders>
            <w:shd w:val="clear" w:color="auto" w:fill="auto"/>
            <w:vAlign w:val="center"/>
          </w:tcPr>
          <w:p w14:paraId="1B250532"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tcPr>
          <w:p w14:paraId="76450BA1"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52" w:type="dxa"/>
            <w:tcBorders>
              <w:top w:val="single" w:sz="4" w:space="0" w:color="auto"/>
              <w:left w:val="single" w:sz="4" w:space="0" w:color="auto"/>
              <w:bottom w:val="single" w:sz="4" w:space="0" w:color="auto"/>
              <w:right w:val="single" w:sz="4" w:space="0" w:color="auto"/>
            </w:tcBorders>
            <w:shd w:val="clear" w:color="auto" w:fill="auto"/>
            <w:vAlign w:val="center"/>
          </w:tcPr>
          <w:p w14:paraId="51DC0FBB"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025456AC"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88DC0E0"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712D3AA6"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2013</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6F2FEB03" w14:textId="77777777" w:rsidR="001C7F15" w:rsidRPr="001C7F15" w:rsidRDefault="001C7F15" w:rsidP="001C7F15">
            <w:pPr>
              <w:jc w:val="center"/>
              <w:rPr>
                <w:rFonts w:eastAsia="Calibri"/>
                <w:b/>
                <w:sz w:val="16"/>
                <w:szCs w:val="16"/>
                <w:lang w:eastAsia="en-US"/>
              </w:rPr>
            </w:pPr>
            <w:r w:rsidRPr="001C7F15">
              <w:rPr>
                <w:rFonts w:eastAsia="Calibri"/>
                <w:b/>
                <w:sz w:val="16"/>
                <w:szCs w:val="16"/>
                <w:lang w:eastAsia="en-US"/>
              </w:rPr>
              <w:t>2014</w:t>
            </w:r>
          </w:p>
        </w:tc>
      </w:tr>
      <w:tr w:rsidR="001C7F15" w:rsidRPr="001C7F15" w14:paraId="51CE8A1B" w14:textId="77777777" w:rsidTr="00E823BC">
        <w:trPr>
          <w:jc w:val="center"/>
        </w:trPr>
        <w:tc>
          <w:tcPr>
            <w:tcW w:w="1586" w:type="dxa"/>
            <w:tcBorders>
              <w:top w:val="single" w:sz="4" w:space="0" w:color="auto"/>
              <w:left w:val="single" w:sz="4" w:space="0" w:color="auto"/>
              <w:bottom w:val="nil"/>
              <w:right w:val="single" w:sz="4" w:space="0" w:color="auto"/>
            </w:tcBorders>
            <w:shd w:val="clear" w:color="auto" w:fill="auto"/>
          </w:tcPr>
          <w:p w14:paraId="6E0371D2" w14:textId="77777777" w:rsidR="001C7F15" w:rsidRPr="001C7F15" w:rsidRDefault="001C7F15" w:rsidP="001C7F15">
            <w:pPr>
              <w:autoSpaceDE w:val="0"/>
              <w:autoSpaceDN w:val="0"/>
              <w:adjustRightInd w:val="0"/>
              <w:spacing w:before="120" w:after="40"/>
              <w:jc w:val="both"/>
              <w:rPr>
                <w:rFonts w:eastAsia="Times New Roman"/>
                <w:b/>
                <w:bCs/>
                <w:sz w:val="16"/>
                <w:szCs w:val="16"/>
                <w:lang w:eastAsia="en-US"/>
              </w:rPr>
            </w:pPr>
            <w:r w:rsidRPr="001C7F15">
              <w:rPr>
                <w:rFonts w:eastAsia="Times New Roman"/>
                <w:b/>
                <w:bCs/>
                <w:sz w:val="16"/>
                <w:szCs w:val="16"/>
                <w:lang w:eastAsia="en-US"/>
              </w:rPr>
              <w:t>Sistema</w:t>
            </w:r>
          </w:p>
        </w:tc>
        <w:tc>
          <w:tcPr>
            <w:tcW w:w="632" w:type="dxa"/>
            <w:tcBorders>
              <w:top w:val="single" w:sz="4" w:space="0" w:color="auto"/>
              <w:left w:val="single" w:sz="4" w:space="0" w:color="auto"/>
              <w:bottom w:val="nil"/>
              <w:right w:val="single" w:sz="4" w:space="0" w:color="auto"/>
            </w:tcBorders>
            <w:shd w:val="clear" w:color="auto" w:fill="auto"/>
          </w:tcPr>
          <w:p w14:paraId="15327DA0"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3 479</w:t>
            </w:r>
          </w:p>
        </w:tc>
        <w:tc>
          <w:tcPr>
            <w:tcW w:w="632" w:type="dxa"/>
            <w:tcBorders>
              <w:top w:val="single" w:sz="4" w:space="0" w:color="auto"/>
              <w:left w:val="single" w:sz="4" w:space="0" w:color="auto"/>
              <w:bottom w:val="nil"/>
              <w:right w:val="single" w:sz="4" w:space="0" w:color="auto"/>
            </w:tcBorders>
            <w:shd w:val="clear" w:color="auto" w:fill="auto"/>
          </w:tcPr>
          <w:p w14:paraId="4D0A322D"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3 809</w:t>
            </w:r>
          </w:p>
        </w:tc>
        <w:tc>
          <w:tcPr>
            <w:tcW w:w="552" w:type="dxa"/>
            <w:tcBorders>
              <w:top w:val="single" w:sz="4" w:space="0" w:color="auto"/>
              <w:left w:val="single" w:sz="4" w:space="0" w:color="auto"/>
              <w:bottom w:val="nil"/>
              <w:right w:val="single" w:sz="4" w:space="0" w:color="auto"/>
            </w:tcBorders>
            <w:shd w:val="clear" w:color="auto" w:fill="auto"/>
          </w:tcPr>
          <w:p w14:paraId="1B33B407"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34</w:t>
            </w:r>
          </w:p>
        </w:tc>
        <w:tc>
          <w:tcPr>
            <w:tcW w:w="567" w:type="dxa"/>
            <w:tcBorders>
              <w:top w:val="single" w:sz="4" w:space="0" w:color="auto"/>
              <w:left w:val="single" w:sz="4" w:space="0" w:color="auto"/>
              <w:bottom w:val="nil"/>
              <w:right w:val="single" w:sz="4" w:space="0" w:color="auto"/>
            </w:tcBorders>
            <w:shd w:val="clear" w:color="auto" w:fill="auto"/>
          </w:tcPr>
          <w:p w14:paraId="298E358E"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41</w:t>
            </w:r>
          </w:p>
        </w:tc>
        <w:tc>
          <w:tcPr>
            <w:tcW w:w="709" w:type="dxa"/>
            <w:tcBorders>
              <w:top w:val="single" w:sz="4" w:space="0" w:color="auto"/>
              <w:left w:val="single" w:sz="4" w:space="0" w:color="auto"/>
              <w:bottom w:val="nil"/>
              <w:right w:val="single" w:sz="4" w:space="0" w:color="auto"/>
            </w:tcBorders>
            <w:shd w:val="clear" w:color="auto" w:fill="auto"/>
          </w:tcPr>
          <w:p w14:paraId="4FA9473A"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634</w:t>
            </w:r>
          </w:p>
        </w:tc>
        <w:tc>
          <w:tcPr>
            <w:tcW w:w="701" w:type="dxa"/>
            <w:tcBorders>
              <w:top w:val="single" w:sz="4" w:space="0" w:color="auto"/>
              <w:left w:val="single" w:sz="4" w:space="0" w:color="auto"/>
              <w:bottom w:val="nil"/>
              <w:right w:val="single" w:sz="4" w:space="0" w:color="auto"/>
            </w:tcBorders>
            <w:shd w:val="clear" w:color="auto" w:fill="auto"/>
          </w:tcPr>
          <w:p w14:paraId="2C1E5037"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641</w:t>
            </w:r>
          </w:p>
        </w:tc>
        <w:tc>
          <w:tcPr>
            <w:tcW w:w="632" w:type="dxa"/>
            <w:tcBorders>
              <w:top w:val="single" w:sz="4" w:space="0" w:color="auto"/>
              <w:left w:val="single" w:sz="4" w:space="0" w:color="auto"/>
              <w:bottom w:val="nil"/>
              <w:right w:val="single" w:sz="4" w:space="0" w:color="auto"/>
            </w:tcBorders>
            <w:shd w:val="clear" w:color="auto" w:fill="auto"/>
          </w:tcPr>
          <w:p w14:paraId="21F82726"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54</w:t>
            </w:r>
          </w:p>
        </w:tc>
        <w:tc>
          <w:tcPr>
            <w:tcW w:w="652" w:type="dxa"/>
            <w:tcBorders>
              <w:top w:val="single" w:sz="4" w:space="0" w:color="auto"/>
              <w:left w:val="single" w:sz="4" w:space="0" w:color="auto"/>
              <w:bottom w:val="nil"/>
              <w:right w:val="single" w:sz="4" w:space="0" w:color="auto"/>
            </w:tcBorders>
            <w:shd w:val="clear" w:color="auto" w:fill="auto"/>
          </w:tcPr>
          <w:p w14:paraId="48029620"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54</w:t>
            </w:r>
          </w:p>
        </w:tc>
        <w:tc>
          <w:tcPr>
            <w:tcW w:w="708" w:type="dxa"/>
            <w:tcBorders>
              <w:top w:val="single" w:sz="4" w:space="0" w:color="auto"/>
              <w:left w:val="single" w:sz="4" w:space="0" w:color="auto"/>
              <w:bottom w:val="nil"/>
              <w:right w:val="single" w:sz="4" w:space="0" w:color="auto"/>
            </w:tcBorders>
            <w:shd w:val="clear" w:color="auto" w:fill="auto"/>
          </w:tcPr>
          <w:p w14:paraId="264621BE"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24.4</w:t>
            </w:r>
          </w:p>
        </w:tc>
        <w:tc>
          <w:tcPr>
            <w:tcW w:w="567" w:type="dxa"/>
            <w:tcBorders>
              <w:top w:val="single" w:sz="4" w:space="0" w:color="auto"/>
              <w:left w:val="single" w:sz="4" w:space="0" w:color="auto"/>
              <w:bottom w:val="nil"/>
              <w:right w:val="single" w:sz="4" w:space="0" w:color="auto"/>
            </w:tcBorders>
            <w:shd w:val="clear" w:color="auto" w:fill="auto"/>
          </w:tcPr>
          <w:p w14:paraId="6B8940E0"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25.1</w:t>
            </w:r>
          </w:p>
        </w:tc>
        <w:tc>
          <w:tcPr>
            <w:tcW w:w="602" w:type="dxa"/>
            <w:tcBorders>
              <w:top w:val="single" w:sz="4" w:space="0" w:color="auto"/>
              <w:left w:val="single" w:sz="4" w:space="0" w:color="auto"/>
              <w:bottom w:val="nil"/>
              <w:right w:val="single" w:sz="4" w:space="0" w:color="auto"/>
            </w:tcBorders>
            <w:shd w:val="clear" w:color="auto" w:fill="auto"/>
          </w:tcPr>
          <w:p w14:paraId="0B8ABCD3"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18.9</w:t>
            </w:r>
          </w:p>
        </w:tc>
        <w:tc>
          <w:tcPr>
            <w:tcW w:w="633" w:type="dxa"/>
            <w:tcBorders>
              <w:top w:val="single" w:sz="4" w:space="0" w:color="auto"/>
              <w:left w:val="single" w:sz="4" w:space="0" w:color="auto"/>
              <w:bottom w:val="nil"/>
              <w:right w:val="single" w:sz="4" w:space="0" w:color="auto"/>
            </w:tcBorders>
            <w:shd w:val="clear" w:color="auto" w:fill="auto"/>
          </w:tcPr>
          <w:p w14:paraId="647AB069" w14:textId="77777777" w:rsidR="001C7F15" w:rsidRPr="001C7F15" w:rsidRDefault="001C7F15" w:rsidP="001C7F15">
            <w:pPr>
              <w:autoSpaceDE w:val="0"/>
              <w:autoSpaceDN w:val="0"/>
              <w:adjustRightInd w:val="0"/>
              <w:spacing w:before="120" w:after="40"/>
              <w:jc w:val="right"/>
              <w:rPr>
                <w:rFonts w:eastAsia="Calibri"/>
                <w:b/>
                <w:sz w:val="16"/>
                <w:szCs w:val="16"/>
                <w:lang w:eastAsia="en-US"/>
              </w:rPr>
            </w:pPr>
            <w:r w:rsidRPr="001C7F15">
              <w:rPr>
                <w:rFonts w:eastAsia="Calibri"/>
                <w:b/>
                <w:sz w:val="16"/>
                <w:szCs w:val="16"/>
                <w:lang w:eastAsia="en-US"/>
              </w:rPr>
              <w:t>18.8</w:t>
            </w:r>
          </w:p>
        </w:tc>
      </w:tr>
      <w:tr w:rsidR="001C7F15" w:rsidRPr="001C7F15" w14:paraId="46D1E616"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7B94FF1A"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Santander</w:t>
            </w:r>
          </w:p>
        </w:tc>
        <w:tc>
          <w:tcPr>
            <w:tcW w:w="632" w:type="dxa"/>
            <w:tcBorders>
              <w:top w:val="nil"/>
              <w:left w:val="single" w:sz="4" w:space="0" w:color="auto"/>
              <w:bottom w:val="nil"/>
              <w:right w:val="single" w:sz="4" w:space="0" w:color="auto"/>
            </w:tcBorders>
            <w:shd w:val="clear" w:color="auto" w:fill="auto"/>
          </w:tcPr>
          <w:p w14:paraId="1E0B8BB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1 102</w:t>
            </w:r>
          </w:p>
        </w:tc>
        <w:tc>
          <w:tcPr>
            <w:tcW w:w="632" w:type="dxa"/>
            <w:tcBorders>
              <w:top w:val="nil"/>
              <w:left w:val="single" w:sz="4" w:space="0" w:color="auto"/>
              <w:bottom w:val="nil"/>
              <w:right w:val="single" w:sz="4" w:space="0" w:color="auto"/>
            </w:tcBorders>
            <w:shd w:val="clear" w:color="auto" w:fill="auto"/>
          </w:tcPr>
          <w:p w14:paraId="3BFBF4A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1 182</w:t>
            </w:r>
          </w:p>
        </w:tc>
        <w:tc>
          <w:tcPr>
            <w:tcW w:w="552" w:type="dxa"/>
            <w:tcBorders>
              <w:top w:val="nil"/>
              <w:left w:val="single" w:sz="4" w:space="0" w:color="auto"/>
              <w:bottom w:val="nil"/>
              <w:right w:val="single" w:sz="4" w:space="0" w:color="auto"/>
            </w:tcBorders>
            <w:shd w:val="clear" w:color="auto" w:fill="auto"/>
          </w:tcPr>
          <w:p w14:paraId="4BE65AB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w:t>
            </w:r>
          </w:p>
        </w:tc>
        <w:tc>
          <w:tcPr>
            <w:tcW w:w="567" w:type="dxa"/>
            <w:tcBorders>
              <w:top w:val="nil"/>
              <w:left w:val="single" w:sz="4" w:space="0" w:color="auto"/>
              <w:bottom w:val="nil"/>
              <w:right w:val="single" w:sz="4" w:space="0" w:color="auto"/>
            </w:tcBorders>
            <w:shd w:val="clear" w:color="auto" w:fill="auto"/>
          </w:tcPr>
          <w:p w14:paraId="5F336F2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w:t>
            </w:r>
          </w:p>
        </w:tc>
        <w:tc>
          <w:tcPr>
            <w:tcW w:w="709" w:type="dxa"/>
            <w:tcBorders>
              <w:top w:val="nil"/>
              <w:left w:val="single" w:sz="4" w:space="0" w:color="auto"/>
              <w:bottom w:val="nil"/>
              <w:right w:val="single" w:sz="4" w:space="0" w:color="auto"/>
            </w:tcBorders>
            <w:shd w:val="clear" w:color="auto" w:fill="auto"/>
          </w:tcPr>
          <w:p w14:paraId="533C265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145</w:t>
            </w:r>
          </w:p>
        </w:tc>
        <w:tc>
          <w:tcPr>
            <w:tcW w:w="701" w:type="dxa"/>
            <w:tcBorders>
              <w:top w:val="nil"/>
              <w:left w:val="single" w:sz="4" w:space="0" w:color="auto"/>
              <w:bottom w:val="nil"/>
              <w:right w:val="single" w:sz="4" w:space="0" w:color="auto"/>
            </w:tcBorders>
            <w:shd w:val="clear" w:color="auto" w:fill="auto"/>
          </w:tcPr>
          <w:p w14:paraId="459815D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117</w:t>
            </w:r>
          </w:p>
        </w:tc>
        <w:tc>
          <w:tcPr>
            <w:tcW w:w="632" w:type="dxa"/>
            <w:tcBorders>
              <w:top w:val="nil"/>
              <w:left w:val="single" w:sz="4" w:space="0" w:color="auto"/>
              <w:bottom w:val="nil"/>
              <w:right w:val="single" w:sz="4" w:space="0" w:color="auto"/>
            </w:tcBorders>
            <w:shd w:val="clear" w:color="auto" w:fill="auto"/>
          </w:tcPr>
          <w:p w14:paraId="768B06C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43</w:t>
            </w:r>
          </w:p>
        </w:tc>
        <w:tc>
          <w:tcPr>
            <w:tcW w:w="652" w:type="dxa"/>
            <w:tcBorders>
              <w:top w:val="nil"/>
              <w:left w:val="single" w:sz="4" w:space="0" w:color="auto"/>
              <w:bottom w:val="nil"/>
              <w:right w:val="single" w:sz="4" w:space="0" w:color="auto"/>
            </w:tcBorders>
            <w:shd w:val="clear" w:color="auto" w:fill="auto"/>
          </w:tcPr>
          <w:p w14:paraId="4E904ED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43</w:t>
            </w:r>
          </w:p>
        </w:tc>
        <w:tc>
          <w:tcPr>
            <w:tcW w:w="708" w:type="dxa"/>
            <w:tcBorders>
              <w:top w:val="nil"/>
              <w:left w:val="single" w:sz="4" w:space="0" w:color="auto"/>
              <w:bottom w:val="nil"/>
              <w:right w:val="single" w:sz="4" w:space="0" w:color="auto"/>
            </w:tcBorders>
            <w:shd w:val="clear" w:color="auto" w:fill="auto"/>
          </w:tcPr>
          <w:p w14:paraId="112E929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22.4</w:t>
            </w:r>
          </w:p>
        </w:tc>
        <w:tc>
          <w:tcPr>
            <w:tcW w:w="567" w:type="dxa"/>
            <w:tcBorders>
              <w:top w:val="nil"/>
              <w:left w:val="single" w:sz="4" w:space="0" w:color="auto"/>
              <w:bottom w:val="nil"/>
              <w:right w:val="single" w:sz="4" w:space="0" w:color="auto"/>
            </w:tcBorders>
            <w:shd w:val="clear" w:color="auto" w:fill="auto"/>
          </w:tcPr>
          <w:p w14:paraId="42BB3D1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21.2</w:t>
            </w:r>
          </w:p>
        </w:tc>
        <w:tc>
          <w:tcPr>
            <w:tcW w:w="602" w:type="dxa"/>
            <w:tcBorders>
              <w:top w:val="nil"/>
              <w:left w:val="single" w:sz="4" w:space="0" w:color="auto"/>
              <w:bottom w:val="nil"/>
              <w:right w:val="single" w:sz="4" w:space="0" w:color="auto"/>
            </w:tcBorders>
            <w:shd w:val="clear" w:color="auto" w:fill="auto"/>
          </w:tcPr>
          <w:p w14:paraId="2423941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15.6</w:t>
            </w:r>
          </w:p>
        </w:tc>
        <w:tc>
          <w:tcPr>
            <w:tcW w:w="633" w:type="dxa"/>
            <w:tcBorders>
              <w:top w:val="nil"/>
              <w:left w:val="single" w:sz="4" w:space="0" w:color="auto"/>
              <w:bottom w:val="nil"/>
              <w:right w:val="single" w:sz="4" w:space="0" w:color="auto"/>
            </w:tcBorders>
            <w:shd w:val="clear" w:color="auto" w:fill="auto"/>
          </w:tcPr>
          <w:p w14:paraId="03F41B8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16.2</w:t>
            </w:r>
          </w:p>
        </w:tc>
      </w:tr>
      <w:tr w:rsidR="001C7F15" w:rsidRPr="001C7F15" w14:paraId="3BD9CB11"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7D74A91D"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Inbursa</w:t>
            </w:r>
          </w:p>
        </w:tc>
        <w:tc>
          <w:tcPr>
            <w:tcW w:w="632" w:type="dxa"/>
            <w:tcBorders>
              <w:top w:val="nil"/>
              <w:left w:val="single" w:sz="4" w:space="0" w:color="auto"/>
              <w:bottom w:val="nil"/>
              <w:right w:val="single" w:sz="4" w:space="0" w:color="auto"/>
            </w:tcBorders>
            <w:shd w:val="clear" w:color="auto" w:fill="auto"/>
          </w:tcPr>
          <w:p w14:paraId="7F88B68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68</w:t>
            </w:r>
          </w:p>
        </w:tc>
        <w:tc>
          <w:tcPr>
            <w:tcW w:w="632" w:type="dxa"/>
            <w:tcBorders>
              <w:top w:val="nil"/>
              <w:left w:val="single" w:sz="4" w:space="0" w:color="auto"/>
              <w:bottom w:val="nil"/>
              <w:right w:val="single" w:sz="4" w:space="0" w:color="auto"/>
            </w:tcBorders>
            <w:shd w:val="clear" w:color="auto" w:fill="auto"/>
          </w:tcPr>
          <w:p w14:paraId="3ACFD9D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92</w:t>
            </w:r>
          </w:p>
        </w:tc>
        <w:tc>
          <w:tcPr>
            <w:tcW w:w="552" w:type="dxa"/>
            <w:tcBorders>
              <w:top w:val="nil"/>
              <w:left w:val="single" w:sz="4" w:space="0" w:color="auto"/>
              <w:bottom w:val="nil"/>
              <w:right w:val="single" w:sz="4" w:space="0" w:color="auto"/>
            </w:tcBorders>
            <w:shd w:val="clear" w:color="auto" w:fill="auto"/>
          </w:tcPr>
          <w:p w14:paraId="52E439B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nil"/>
              <w:right w:val="single" w:sz="4" w:space="0" w:color="auto"/>
            </w:tcBorders>
            <w:shd w:val="clear" w:color="auto" w:fill="auto"/>
          </w:tcPr>
          <w:p w14:paraId="1886CE9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w:t>
            </w:r>
          </w:p>
        </w:tc>
        <w:tc>
          <w:tcPr>
            <w:tcW w:w="709" w:type="dxa"/>
            <w:tcBorders>
              <w:top w:val="nil"/>
              <w:left w:val="single" w:sz="4" w:space="0" w:color="auto"/>
              <w:bottom w:val="nil"/>
              <w:right w:val="single" w:sz="4" w:space="0" w:color="auto"/>
            </w:tcBorders>
            <w:shd w:val="clear" w:color="auto" w:fill="auto"/>
          </w:tcPr>
          <w:p w14:paraId="06B037A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w:t>
            </w:r>
          </w:p>
        </w:tc>
        <w:tc>
          <w:tcPr>
            <w:tcW w:w="701" w:type="dxa"/>
            <w:tcBorders>
              <w:top w:val="nil"/>
              <w:left w:val="single" w:sz="4" w:space="0" w:color="auto"/>
              <w:bottom w:val="nil"/>
              <w:right w:val="single" w:sz="4" w:space="0" w:color="auto"/>
            </w:tcBorders>
            <w:shd w:val="clear" w:color="auto" w:fill="auto"/>
          </w:tcPr>
          <w:p w14:paraId="3154798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w:t>
            </w:r>
          </w:p>
        </w:tc>
        <w:tc>
          <w:tcPr>
            <w:tcW w:w="632" w:type="dxa"/>
            <w:tcBorders>
              <w:top w:val="nil"/>
              <w:left w:val="single" w:sz="4" w:space="0" w:color="auto"/>
              <w:bottom w:val="nil"/>
              <w:right w:val="single" w:sz="4" w:space="0" w:color="auto"/>
            </w:tcBorders>
            <w:shd w:val="clear" w:color="auto" w:fill="auto"/>
          </w:tcPr>
          <w:p w14:paraId="10C72B2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37</w:t>
            </w:r>
          </w:p>
        </w:tc>
        <w:tc>
          <w:tcPr>
            <w:tcW w:w="652" w:type="dxa"/>
            <w:tcBorders>
              <w:top w:val="nil"/>
              <w:left w:val="single" w:sz="4" w:space="0" w:color="auto"/>
              <w:bottom w:val="nil"/>
              <w:right w:val="single" w:sz="4" w:space="0" w:color="auto"/>
            </w:tcBorders>
            <w:shd w:val="clear" w:color="auto" w:fill="auto"/>
          </w:tcPr>
          <w:p w14:paraId="43CF3B5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36</w:t>
            </w:r>
          </w:p>
        </w:tc>
        <w:tc>
          <w:tcPr>
            <w:tcW w:w="708" w:type="dxa"/>
            <w:tcBorders>
              <w:top w:val="nil"/>
              <w:left w:val="single" w:sz="4" w:space="0" w:color="auto"/>
              <w:bottom w:val="nil"/>
              <w:right w:val="single" w:sz="4" w:space="0" w:color="auto"/>
            </w:tcBorders>
            <w:shd w:val="clear" w:color="auto" w:fill="auto"/>
          </w:tcPr>
          <w:p w14:paraId="0024D0C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18.6</w:t>
            </w:r>
          </w:p>
        </w:tc>
        <w:tc>
          <w:tcPr>
            <w:tcW w:w="567" w:type="dxa"/>
            <w:tcBorders>
              <w:top w:val="nil"/>
              <w:left w:val="single" w:sz="4" w:space="0" w:color="auto"/>
              <w:bottom w:val="nil"/>
              <w:right w:val="single" w:sz="4" w:space="0" w:color="auto"/>
            </w:tcBorders>
            <w:shd w:val="clear" w:color="auto" w:fill="auto"/>
          </w:tcPr>
          <w:p w14:paraId="1F6A170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21.3</w:t>
            </w:r>
          </w:p>
        </w:tc>
        <w:tc>
          <w:tcPr>
            <w:tcW w:w="602" w:type="dxa"/>
            <w:tcBorders>
              <w:top w:val="nil"/>
              <w:left w:val="single" w:sz="4" w:space="0" w:color="auto"/>
              <w:bottom w:val="nil"/>
              <w:right w:val="single" w:sz="4" w:space="0" w:color="auto"/>
            </w:tcBorders>
            <w:shd w:val="clear" w:color="auto" w:fill="auto"/>
          </w:tcPr>
          <w:p w14:paraId="4402D60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16.0</w:t>
            </w:r>
          </w:p>
        </w:tc>
        <w:tc>
          <w:tcPr>
            <w:tcW w:w="633" w:type="dxa"/>
            <w:tcBorders>
              <w:top w:val="nil"/>
              <w:left w:val="single" w:sz="4" w:space="0" w:color="auto"/>
              <w:bottom w:val="nil"/>
              <w:right w:val="single" w:sz="4" w:space="0" w:color="auto"/>
            </w:tcBorders>
            <w:shd w:val="clear" w:color="auto" w:fill="auto"/>
          </w:tcPr>
          <w:p w14:paraId="3BDA2C1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15.8</w:t>
            </w:r>
          </w:p>
        </w:tc>
      </w:tr>
      <w:tr w:rsidR="001C7F15" w:rsidRPr="001C7F15" w14:paraId="3741403C"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2D500FD0"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Banamex</w:t>
            </w:r>
          </w:p>
        </w:tc>
        <w:tc>
          <w:tcPr>
            <w:tcW w:w="632" w:type="dxa"/>
            <w:tcBorders>
              <w:top w:val="nil"/>
              <w:left w:val="single" w:sz="4" w:space="0" w:color="auto"/>
              <w:bottom w:val="nil"/>
              <w:right w:val="single" w:sz="4" w:space="0" w:color="auto"/>
            </w:tcBorders>
            <w:shd w:val="clear" w:color="auto" w:fill="auto"/>
          </w:tcPr>
          <w:p w14:paraId="737B60B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796</w:t>
            </w:r>
          </w:p>
        </w:tc>
        <w:tc>
          <w:tcPr>
            <w:tcW w:w="632" w:type="dxa"/>
            <w:tcBorders>
              <w:top w:val="nil"/>
              <w:left w:val="single" w:sz="4" w:space="0" w:color="auto"/>
              <w:bottom w:val="nil"/>
              <w:right w:val="single" w:sz="4" w:space="0" w:color="auto"/>
            </w:tcBorders>
            <w:shd w:val="clear" w:color="auto" w:fill="auto"/>
          </w:tcPr>
          <w:p w14:paraId="5F3A81F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837</w:t>
            </w:r>
          </w:p>
        </w:tc>
        <w:tc>
          <w:tcPr>
            <w:tcW w:w="552" w:type="dxa"/>
            <w:tcBorders>
              <w:top w:val="nil"/>
              <w:left w:val="single" w:sz="4" w:space="0" w:color="auto"/>
              <w:bottom w:val="nil"/>
              <w:right w:val="single" w:sz="4" w:space="0" w:color="auto"/>
            </w:tcBorders>
            <w:shd w:val="clear" w:color="auto" w:fill="auto"/>
          </w:tcPr>
          <w:p w14:paraId="62986B7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w:t>
            </w:r>
          </w:p>
        </w:tc>
        <w:tc>
          <w:tcPr>
            <w:tcW w:w="567" w:type="dxa"/>
            <w:tcBorders>
              <w:top w:val="nil"/>
              <w:left w:val="single" w:sz="4" w:space="0" w:color="auto"/>
              <w:bottom w:val="nil"/>
              <w:right w:val="single" w:sz="4" w:space="0" w:color="auto"/>
            </w:tcBorders>
            <w:shd w:val="clear" w:color="auto" w:fill="auto"/>
          </w:tcPr>
          <w:p w14:paraId="0C5ECD4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w:t>
            </w:r>
          </w:p>
        </w:tc>
        <w:tc>
          <w:tcPr>
            <w:tcW w:w="709" w:type="dxa"/>
            <w:tcBorders>
              <w:top w:val="nil"/>
              <w:left w:val="single" w:sz="4" w:space="0" w:color="auto"/>
              <w:bottom w:val="nil"/>
              <w:right w:val="single" w:sz="4" w:space="0" w:color="auto"/>
            </w:tcBorders>
            <w:shd w:val="clear" w:color="auto" w:fill="auto"/>
          </w:tcPr>
          <w:p w14:paraId="2BF606F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999</w:t>
            </w:r>
          </w:p>
        </w:tc>
        <w:tc>
          <w:tcPr>
            <w:tcW w:w="701" w:type="dxa"/>
            <w:tcBorders>
              <w:top w:val="nil"/>
              <w:left w:val="single" w:sz="4" w:space="0" w:color="auto"/>
              <w:bottom w:val="nil"/>
              <w:right w:val="single" w:sz="4" w:space="0" w:color="auto"/>
            </w:tcBorders>
            <w:shd w:val="clear" w:color="auto" w:fill="auto"/>
          </w:tcPr>
          <w:p w14:paraId="18761A5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979</w:t>
            </w:r>
          </w:p>
        </w:tc>
        <w:tc>
          <w:tcPr>
            <w:tcW w:w="632" w:type="dxa"/>
            <w:tcBorders>
              <w:top w:val="nil"/>
              <w:left w:val="single" w:sz="4" w:space="0" w:color="auto"/>
              <w:bottom w:val="nil"/>
              <w:right w:val="single" w:sz="4" w:space="0" w:color="auto"/>
            </w:tcBorders>
            <w:shd w:val="clear" w:color="auto" w:fill="auto"/>
          </w:tcPr>
          <w:p w14:paraId="05DCF83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65</w:t>
            </w:r>
          </w:p>
        </w:tc>
        <w:tc>
          <w:tcPr>
            <w:tcW w:w="652" w:type="dxa"/>
            <w:tcBorders>
              <w:top w:val="nil"/>
              <w:left w:val="single" w:sz="4" w:space="0" w:color="auto"/>
              <w:bottom w:val="nil"/>
              <w:right w:val="single" w:sz="4" w:space="0" w:color="auto"/>
            </w:tcBorders>
            <w:shd w:val="clear" w:color="auto" w:fill="auto"/>
          </w:tcPr>
          <w:p w14:paraId="092BE8F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63</w:t>
            </w:r>
          </w:p>
        </w:tc>
        <w:tc>
          <w:tcPr>
            <w:tcW w:w="708" w:type="dxa"/>
            <w:tcBorders>
              <w:top w:val="nil"/>
              <w:left w:val="single" w:sz="4" w:space="0" w:color="auto"/>
              <w:bottom w:val="nil"/>
              <w:right w:val="single" w:sz="4" w:space="0" w:color="auto"/>
            </w:tcBorders>
            <w:shd w:val="clear" w:color="auto" w:fill="auto"/>
          </w:tcPr>
          <w:p w14:paraId="74953D6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22.4</w:t>
            </w:r>
          </w:p>
        </w:tc>
        <w:tc>
          <w:tcPr>
            <w:tcW w:w="567" w:type="dxa"/>
            <w:tcBorders>
              <w:top w:val="nil"/>
              <w:left w:val="single" w:sz="4" w:space="0" w:color="auto"/>
              <w:bottom w:val="nil"/>
              <w:right w:val="single" w:sz="4" w:space="0" w:color="auto"/>
            </w:tcBorders>
            <w:shd w:val="clear" w:color="auto" w:fill="auto"/>
          </w:tcPr>
          <w:p w14:paraId="1C613A9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22.8</w:t>
            </w:r>
          </w:p>
        </w:tc>
        <w:tc>
          <w:tcPr>
            <w:tcW w:w="602" w:type="dxa"/>
            <w:tcBorders>
              <w:top w:val="nil"/>
              <w:left w:val="single" w:sz="4" w:space="0" w:color="auto"/>
              <w:bottom w:val="nil"/>
              <w:right w:val="single" w:sz="4" w:space="0" w:color="auto"/>
            </w:tcBorders>
            <w:shd w:val="clear" w:color="auto" w:fill="auto"/>
          </w:tcPr>
          <w:p w14:paraId="59115FB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21.2</w:t>
            </w:r>
          </w:p>
        </w:tc>
        <w:tc>
          <w:tcPr>
            <w:tcW w:w="633" w:type="dxa"/>
            <w:tcBorders>
              <w:top w:val="nil"/>
              <w:left w:val="single" w:sz="4" w:space="0" w:color="auto"/>
              <w:bottom w:val="nil"/>
              <w:right w:val="single" w:sz="4" w:space="0" w:color="auto"/>
            </w:tcBorders>
            <w:shd w:val="clear" w:color="auto" w:fill="auto"/>
          </w:tcPr>
          <w:p w14:paraId="0A92A7E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20.3</w:t>
            </w:r>
          </w:p>
        </w:tc>
      </w:tr>
      <w:tr w:rsidR="001C7F15" w:rsidRPr="001C7F15" w14:paraId="4B0D8E00"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5D4A116A"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Scotiabank</w:t>
            </w:r>
          </w:p>
        </w:tc>
        <w:tc>
          <w:tcPr>
            <w:tcW w:w="632" w:type="dxa"/>
            <w:tcBorders>
              <w:top w:val="nil"/>
              <w:left w:val="single" w:sz="4" w:space="0" w:color="auto"/>
              <w:bottom w:val="nil"/>
              <w:right w:val="single" w:sz="4" w:space="0" w:color="auto"/>
            </w:tcBorders>
            <w:shd w:val="clear" w:color="auto" w:fill="auto"/>
          </w:tcPr>
          <w:p w14:paraId="7D8B049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145</w:t>
            </w:r>
          </w:p>
        </w:tc>
        <w:tc>
          <w:tcPr>
            <w:tcW w:w="632" w:type="dxa"/>
            <w:tcBorders>
              <w:top w:val="nil"/>
              <w:left w:val="single" w:sz="4" w:space="0" w:color="auto"/>
              <w:bottom w:val="nil"/>
              <w:right w:val="single" w:sz="4" w:space="0" w:color="auto"/>
            </w:tcBorders>
            <w:shd w:val="clear" w:color="auto" w:fill="auto"/>
          </w:tcPr>
          <w:p w14:paraId="593D1DE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154</w:t>
            </w:r>
          </w:p>
        </w:tc>
        <w:tc>
          <w:tcPr>
            <w:tcW w:w="552" w:type="dxa"/>
            <w:tcBorders>
              <w:top w:val="nil"/>
              <w:left w:val="single" w:sz="4" w:space="0" w:color="auto"/>
              <w:bottom w:val="nil"/>
              <w:right w:val="single" w:sz="4" w:space="0" w:color="auto"/>
            </w:tcBorders>
            <w:shd w:val="clear" w:color="auto" w:fill="auto"/>
          </w:tcPr>
          <w:p w14:paraId="18B2091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w:t>
            </w:r>
          </w:p>
        </w:tc>
        <w:tc>
          <w:tcPr>
            <w:tcW w:w="567" w:type="dxa"/>
            <w:tcBorders>
              <w:top w:val="nil"/>
              <w:left w:val="single" w:sz="4" w:space="0" w:color="auto"/>
              <w:bottom w:val="nil"/>
              <w:right w:val="single" w:sz="4" w:space="0" w:color="auto"/>
            </w:tcBorders>
            <w:shd w:val="clear" w:color="auto" w:fill="auto"/>
          </w:tcPr>
          <w:p w14:paraId="01141BE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w:t>
            </w:r>
          </w:p>
        </w:tc>
        <w:tc>
          <w:tcPr>
            <w:tcW w:w="709" w:type="dxa"/>
            <w:tcBorders>
              <w:top w:val="nil"/>
              <w:left w:val="single" w:sz="4" w:space="0" w:color="auto"/>
              <w:bottom w:val="nil"/>
              <w:right w:val="single" w:sz="4" w:space="0" w:color="auto"/>
            </w:tcBorders>
            <w:shd w:val="clear" w:color="auto" w:fill="auto"/>
          </w:tcPr>
          <w:p w14:paraId="7B7EAD7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724</w:t>
            </w:r>
          </w:p>
        </w:tc>
        <w:tc>
          <w:tcPr>
            <w:tcW w:w="701" w:type="dxa"/>
            <w:tcBorders>
              <w:top w:val="nil"/>
              <w:left w:val="single" w:sz="4" w:space="0" w:color="auto"/>
              <w:bottom w:val="nil"/>
              <w:right w:val="single" w:sz="4" w:space="0" w:color="auto"/>
            </w:tcBorders>
            <w:shd w:val="clear" w:color="auto" w:fill="auto"/>
          </w:tcPr>
          <w:p w14:paraId="45D11AC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808</w:t>
            </w:r>
          </w:p>
        </w:tc>
        <w:tc>
          <w:tcPr>
            <w:tcW w:w="632" w:type="dxa"/>
            <w:tcBorders>
              <w:top w:val="nil"/>
              <w:left w:val="single" w:sz="4" w:space="0" w:color="auto"/>
              <w:bottom w:val="nil"/>
              <w:right w:val="single" w:sz="4" w:space="0" w:color="auto"/>
            </w:tcBorders>
            <w:shd w:val="clear" w:color="auto" w:fill="auto"/>
          </w:tcPr>
          <w:p w14:paraId="01FC147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52</w:t>
            </w:r>
          </w:p>
        </w:tc>
        <w:tc>
          <w:tcPr>
            <w:tcW w:w="652" w:type="dxa"/>
            <w:tcBorders>
              <w:top w:val="nil"/>
              <w:left w:val="single" w:sz="4" w:space="0" w:color="auto"/>
              <w:bottom w:val="nil"/>
              <w:right w:val="single" w:sz="4" w:space="0" w:color="auto"/>
            </w:tcBorders>
            <w:shd w:val="clear" w:color="auto" w:fill="auto"/>
          </w:tcPr>
          <w:p w14:paraId="3EA8DA9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48</w:t>
            </w:r>
          </w:p>
        </w:tc>
        <w:tc>
          <w:tcPr>
            <w:tcW w:w="708" w:type="dxa"/>
            <w:tcBorders>
              <w:top w:val="nil"/>
              <w:left w:val="single" w:sz="4" w:space="0" w:color="auto"/>
              <w:bottom w:val="nil"/>
              <w:right w:val="single" w:sz="4" w:space="0" w:color="auto"/>
            </w:tcBorders>
            <w:shd w:val="clear" w:color="auto" w:fill="auto"/>
          </w:tcPr>
          <w:p w14:paraId="6ED78F4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25.4</w:t>
            </w:r>
          </w:p>
        </w:tc>
        <w:tc>
          <w:tcPr>
            <w:tcW w:w="567" w:type="dxa"/>
            <w:tcBorders>
              <w:top w:val="nil"/>
              <w:left w:val="single" w:sz="4" w:space="0" w:color="auto"/>
              <w:bottom w:val="nil"/>
              <w:right w:val="single" w:sz="4" w:space="0" w:color="auto"/>
            </w:tcBorders>
            <w:shd w:val="clear" w:color="auto" w:fill="auto"/>
          </w:tcPr>
          <w:p w14:paraId="5EA08A4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25.9</w:t>
            </w:r>
          </w:p>
        </w:tc>
        <w:tc>
          <w:tcPr>
            <w:tcW w:w="602" w:type="dxa"/>
            <w:tcBorders>
              <w:top w:val="nil"/>
              <w:left w:val="single" w:sz="4" w:space="0" w:color="auto"/>
              <w:bottom w:val="nil"/>
              <w:right w:val="single" w:sz="4" w:space="0" w:color="auto"/>
            </w:tcBorders>
            <w:shd w:val="clear" w:color="auto" w:fill="auto"/>
          </w:tcPr>
          <w:p w14:paraId="4FE4DC5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15.8</w:t>
            </w:r>
          </w:p>
        </w:tc>
        <w:tc>
          <w:tcPr>
            <w:tcW w:w="633" w:type="dxa"/>
            <w:tcBorders>
              <w:top w:val="nil"/>
              <w:left w:val="single" w:sz="4" w:space="0" w:color="auto"/>
              <w:bottom w:val="nil"/>
              <w:right w:val="single" w:sz="4" w:space="0" w:color="auto"/>
            </w:tcBorders>
            <w:shd w:val="clear" w:color="auto" w:fill="auto"/>
          </w:tcPr>
          <w:p w14:paraId="19E6EC8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15.2</w:t>
            </w:r>
          </w:p>
        </w:tc>
      </w:tr>
      <w:tr w:rsidR="001C7F15" w:rsidRPr="001C7F15" w14:paraId="367CC23B"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620D795A"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Banorte-Ixe Tarjetas</w:t>
            </w:r>
          </w:p>
        </w:tc>
        <w:tc>
          <w:tcPr>
            <w:tcW w:w="632" w:type="dxa"/>
            <w:tcBorders>
              <w:top w:val="nil"/>
              <w:left w:val="single" w:sz="4" w:space="0" w:color="auto"/>
              <w:bottom w:val="nil"/>
              <w:right w:val="single" w:sz="4" w:space="0" w:color="auto"/>
            </w:tcBorders>
            <w:shd w:val="clear" w:color="auto" w:fill="auto"/>
          </w:tcPr>
          <w:p w14:paraId="39F56C5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375</w:t>
            </w:r>
          </w:p>
        </w:tc>
        <w:tc>
          <w:tcPr>
            <w:tcW w:w="632" w:type="dxa"/>
            <w:tcBorders>
              <w:top w:val="nil"/>
              <w:left w:val="single" w:sz="4" w:space="0" w:color="auto"/>
              <w:bottom w:val="nil"/>
              <w:right w:val="single" w:sz="4" w:space="0" w:color="auto"/>
            </w:tcBorders>
            <w:shd w:val="clear" w:color="auto" w:fill="auto"/>
          </w:tcPr>
          <w:p w14:paraId="174A9FC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424</w:t>
            </w:r>
          </w:p>
        </w:tc>
        <w:tc>
          <w:tcPr>
            <w:tcW w:w="552" w:type="dxa"/>
            <w:tcBorders>
              <w:top w:val="nil"/>
              <w:left w:val="single" w:sz="4" w:space="0" w:color="auto"/>
              <w:bottom w:val="nil"/>
              <w:right w:val="single" w:sz="4" w:space="0" w:color="auto"/>
            </w:tcBorders>
            <w:shd w:val="clear" w:color="auto" w:fill="auto"/>
          </w:tcPr>
          <w:p w14:paraId="24E12C8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w:t>
            </w:r>
          </w:p>
        </w:tc>
        <w:tc>
          <w:tcPr>
            <w:tcW w:w="567" w:type="dxa"/>
            <w:tcBorders>
              <w:top w:val="nil"/>
              <w:left w:val="single" w:sz="4" w:space="0" w:color="auto"/>
              <w:bottom w:val="nil"/>
              <w:right w:val="single" w:sz="4" w:space="0" w:color="auto"/>
            </w:tcBorders>
            <w:shd w:val="clear" w:color="auto" w:fill="auto"/>
          </w:tcPr>
          <w:p w14:paraId="6D76F61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w:t>
            </w:r>
          </w:p>
        </w:tc>
        <w:tc>
          <w:tcPr>
            <w:tcW w:w="709" w:type="dxa"/>
            <w:tcBorders>
              <w:top w:val="nil"/>
              <w:left w:val="single" w:sz="4" w:space="0" w:color="auto"/>
              <w:bottom w:val="nil"/>
              <w:right w:val="single" w:sz="4" w:space="0" w:color="auto"/>
            </w:tcBorders>
            <w:shd w:val="clear" w:color="auto" w:fill="auto"/>
          </w:tcPr>
          <w:p w14:paraId="07CB942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700</w:t>
            </w:r>
          </w:p>
        </w:tc>
        <w:tc>
          <w:tcPr>
            <w:tcW w:w="701" w:type="dxa"/>
            <w:tcBorders>
              <w:top w:val="nil"/>
              <w:left w:val="single" w:sz="4" w:space="0" w:color="auto"/>
              <w:bottom w:val="nil"/>
              <w:right w:val="single" w:sz="4" w:space="0" w:color="auto"/>
            </w:tcBorders>
            <w:shd w:val="clear" w:color="auto" w:fill="auto"/>
          </w:tcPr>
          <w:p w14:paraId="27FFF7E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770</w:t>
            </w:r>
          </w:p>
        </w:tc>
        <w:tc>
          <w:tcPr>
            <w:tcW w:w="632" w:type="dxa"/>
            <w:tcBorders>
              <w:top w:val="nil"/>
              <w:left w:val="single" w:sz="4" w:space="0" w:color="auto"/>
              <w:bottom w:val="nil"/>
              <w:right w:val="single" w:sz="4" w:space="0" w:color="auto"/>
            </w:tcBorders>
            <w:shd w:val="clear" w:color="auto" w:fill="auto"/>
          </w:tcPr>
          <w:p w14:paraId="21D75C2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49</w:t>
            </w:r>
          </w:p>
        </w:tc>
        <w:tc>
          <w:tcPr>
            <w:tcW w:w="652" w:type="dxa"/>
            <w:tcBorders>
              <w:top w:val="nil"/>
              <w:left w:val="single" w:sz="4" w:space="0" w:color="auto"/>
              <w:bottom w:val="nil"/>
              <w:right w:val="single" w:sz="4" w:space="0" w:color="auto"/>
            </w:tcBorders>
            <w:shd w:val="clear" w:color="auto" w:fill="auto"/>
          </w:tcPr>
          <w:p w14:paraId="5DF6ECD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51</w:t>
            </w:r>
          </w:p>
        </w:tc>
        <w:tc>
          <w:tcPr>
            <w:tcW w:w="708" w:type="dxa"/>
            <w:tcBorders>
              <w:top w:val="nil"/>
              <w:left w:val="single" w:sz="4" w:space="0" w:color="auto"/>
              <w:bottom w:val="nil"/>
              <w:right w:val="single" w:sz="4" w:space="0" w:color="auto"/>
            </w:tcBorders>
            <w:shd w:val="clear" w:color="auto" w:fill="auto"/>
          </w:tcPr>
          <w:p w14:paraId="64E9593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25.7</w:t>
            </w:r>
          </w:p>
        </w:tc>
        <w:tc>
          <w:tcPr>
            <w:tcW w:w="567" w:type="dxa"/>
            <w:tcBorders>
              <w:top w:val="nil"/>
              <w:left w:val="single" w:sz="4" w:space="0" w:color="auto"/>
              <w:bottom w:val="nil"/>
              <w:right w:val="single" w:sz="4" w:space="0" w:color="auto"/>
            </w:tcBorders>
            <w:shd w:val="clear" w:color="auto" w:fill="auto"/>
          </w:tcPr>
          <w:p w14:paraId="67113E2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26.5</w:t>
            </w:r>
          </w:p>
        </w:tc>
        <w:tc>
          <w:tcPr>
            <w:tcW w:w="602" w:type="dxa"/>
            <w:tcBorders>
              <w:top w:val="nil"/>
              <w:left w:val="single" w:sz="4" w:space="0" w:color="auto"/>
              <w:bottom w:val="nil"/>
              <w:right w:val="single" w:sz="4" w:space="0" w:color="auto"/>
            </w:tcBorders>
            <w:shd w:val="clear" w:color="auto" w:fill="auto"/>
          </w:tcPr>
          <w:p w14:paraId="1B8ADCA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18.6</w:t>
            </w:r>
          </w:p>
        </w:tc>
        <w:tc>
          <w:tcPr>
            <w:tcW w:w="633" w:type="dxa"/>
            <w:tcBorders>
              <w:top w:val="nil"/>
              <w:left w:val="single" w:sz="4" w:space="0" w:color="auto"/>
              <w:bottom w:val="nil"/>
              <w:right w:val="single" w:sz="4" w:space="0" w:color="auto"/>
            </w:tcBorders>
            <w:shd w:val="clear" w:color="auto" w:fill="auto"/>
          </w:tcPr>
          <w:p w14:paraId="393EBA45"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19.6</w:t>
            </w:r>
          </w:p>
        </w:tc>
      </w:tr>
      <w:tr w:rsidR="001C7F15" w:rsidRPr="001C7F15" w14:paraId="5D48921B"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6B34311D"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HSBC</w:t>
            </w:r>
          </w:p>
        </w:tc>
        <w:tc>
          <w:tcPr>
            <w:tcW w:w="632" w:type="dxa"/>
            <w:tcBorders>
              <w:top w:val="nil"/>
              <w:left w:val="single" w:sz="4" w:space="0" w:color="auto"/>
              <w:bottom w:val="nil"/>
              <w:right w:val="single" w:sz="4" w:space="0" w:color="auto"/>
            </w:tcBorders>
            <w:shd w:val="clear" w:color="auto" w:fill="auto"/>
          </w:tcPr>
          <w:p w14:paraId="4C4D240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287</w:t>
            </w:r>
          </w:p>
        </w:tc>
        <w:tc>
          <w:tcPr>
            <w:tcW w:w="632" w:type="dxa"/>
            <w:tcBorders>
              <w:top w:val="nil"/>
              <w:left w:val="single" w:sz="4" w:space="0" w:color="auto"/>
              <w:bottom w:val="nil"/>
              <w:right w:val="single" w:sz="4" w:space="0" w:color="auto"/>
            </w:tcBorders>
            <w:shd w:val="clear" w:color="auto" w:fill="auto"/>
          </w:tcPr>
          <w:p w14:paraId="466B784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284</w:t>
            </w:r>
          </w:p>
        </w:tc>
        <w:tc>
          <w:tcPr>
            <w:tcW w:w="552" w:type="dxa"/>
            <w:tcBorders>
              <w:top w:val="nil"/>
              <w:left w:val="single" w:sz="4" w:space="0" w:color="auto"/>
              <w:bottom w:val="nil"/>
              <w:right w:val="single" w:sz="4" w:space="0" w:color="auto"/>
            </w:tcBorders>
            <w:shd w:val="clear" w:color="auto" w:fill="auto"/>
          </w:tcPr>
          <w:p w14:paraId="23F333C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44166BA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709" w:type="dxa"/>
            <w:tcBorders>
              <w:top w:val="nil"/>
              <w:left w:val="single" w:sz="4" w:space="0" w:color="auto"/>
              <w:bottom w:val="nil"/>
              <w:right w:val="single" w:sz="4" w:space="0" w:color="auto"/>
            </w:tcBorders>
            <w:shd w:val="clear" w:color="auto" w:fill="auto"/>
          </w:tcPr>
          <w:p w14:paraId="2B2BCF8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850</w:t>
            </w:r>
          </w:p>
        </w:tc>
        <w:tc>
          <w:tcPr>
            <w:tcW w:w="701" w:type="dxa"/>
            <w:tcBorders>
              <w:top w:val="nil"/>
              <w:left w:val="single" w:sz="4" w:space="0" w:color="auto"/>
              <w:bottom w:val="nil"/>
              <w:right w:val="single" w:sz="4" w:space="0" w:color="auto"/>
            </w:tcBorders>
            <w:shd w:val="clear" w:color="auto" w:fill="auto"/>
          </w:tcPr>
          <w:p w14:paraId="4AC4AE2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850</w:t>
            </w:r>
          </w:p>
        </w:tc>
        <w:tc>
          <w:tcPr>
            <w:tcW w:w="632" w:type="dxa"/>
            <w:tcBorders>
              <w:top w:val="nil"/>
              <w:left w:val="single" w:sz="4" w:space="0" w:color="auto"/>
              <w:bottom w:val="nil"/>
              <w:right w:val="single" w:sz="4" w:space="0" w:color="auto"/>
            </w:tcBorders>
            <w:shd w:val="clear" w:color="auto" w:fill="auto"/>
          </w:tcPr>
          <w:p w14:paraId="7659042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50</w:t>
            </w:r>
          </w:p>
        </w:tc>
        <w:tc>
          <w:tcPr>
            <w:tcW w:w="652" w:type="dxa"/>
            <w:tcBorders>
              <w:top w:val="nil"/>
              <w:left w:val="single" w:sz="4" w:space="0" w:color="auto"/>
              <w:bottom w:val="nil"/>
              <w:right w:val="single" w:sz="4" w:space="0" w:color="auto"/>
            </w:tcBorders>
            <w:shd w:val="clear" w:color="auto" w:fill="auto"/>
          </w:tcPr>
          <w:p w14:paraId="50010FA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51</w:t>
            </w:r>
          </w:p>
        </w:tc>
        <w:tc>
          <w:tcPr>
            <w:tcW w:w="708" w:type="dxa"/>
            <w:tcBorders>
              <w:top w:val="nil"/>
              <w:left w:val="single" w:sz="4" w:space="0" w:color="auto"/>
              <w:bottom w:val="nil"/>
              <w:right w:val="single" w:sz="4" w:space="0" w:color="auto"/>
            </w:tcBorders>
            <w:shd w:val="clear" w:color="auto" w:fill="auto"/>
          </w:tcPr>
          <w:p w14:paraId="53C3530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27.6</w:t>
            </w:r>
          </w:p>
        </w:tc>
        <w:tc>
          <w:tcPr>
            <w:tcW w:w="567" w:type="dxa"/>
            <w:tcBorders>
              <w:top w:val="nil"/>
              <w:left w:val="single" w:sz="4" w:space="0" w:color="auto"/>
              <w:bottom w:val="nil"/>
              <w:right w:val="single" w:sz="4" w:space="0" w:color="auto"/>
            </w:tcBorders>
            <w:shd w:val="clear" w:color="auto" w:fill="auto"/>
          </w:tcPr>
          <w:p w14:paraId="07547AE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26.8</w:t>
            </w:r>
          </w:p>
        </w:tc>
        <w:tc>
          <w:tcPr>
            <w:tcW w:w="602" w:type="dxa"/>
            <w:tcBorders>
              <w:top w:val="nil"/>
              <w:left w:val="single" w:sz="4" w:space="0" w:color="auto"/>
              <w:bottom w:val="nil"/>
              <w:right w:val="single" w:sz="4" w:space="0" w:color="auto"/>
            </w:tcBorders>
            <w:shd w:val="clear" w:color="auto" w:fill="auto"/>
          </w:tcPr>
          <w:p w14:paraId="4EFB971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16.5</w:t>
            </w:r>
          </w:p>
        </w:tc>
        <w:tc>
          <w:tcPr>
            <w:tcW w:w="633" w:type="dxa"/>
            <w:tcBorders>
              <w:top w:val="nil"/>
              <w:left w:val="single" w:sz="4" w:space="0" w:color="auto"/>
              <w:bottom w:val="nil"/>
              <w:right w:val="single" w:sz="4" w:space="0" w:color="auto"/>
            </w:tcBorders>
            <w:shd w:val="clear" w:color="auto" w:fill="auto"/>
          </w:tcPr>
          <w:p w14:paraId="24E0C093"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17.4</w:t>
            </w:r>
          </w:p>
        </w:tc>
      </w:tr>
      <w:tr w:rsidR="001C7F15" w:rsidRPr="001C7F15" w14:paraId="29465915"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4419F352"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American Express</w:t>
            </w:r>
          </w:p>
        </w:tc>
        <w:tc>
          <w:tcPr>
            <w:tcW w:w="632" w:type="dxa"/>
            <w:tcBorders>
              <w:top w:val="nil"/>
              <w:left w:val="single" w:sz="4" w:space="0" w:color="auto"/>
              <w:bottom w:val="nil"/>
              <w:right w:val="single" w:sz="4" w:space="0" w:color="auto"/>
            </w:tcBorders>
            <w:shd w:val="clear" w:color="auto" w:fill="auto"/>
          </w:tcPr>
          <w:p w14:paraId="32985EA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125</w:t>
            </w:r>
          </w:p>
        </w:tc>
        <w:tc>
          <w:tcPr>
            <w:tcW w:w="632" w:type="dxa"/>
            <w:tcBorders>
              <w:top w:val="nil"/>
              <w:left w:val="single" w:sz="4" w:space="0" w:color="auto"/>
              <w:bottom w:val="nil"/>
              <w:right w:val="single" w:sz="4" w:space="0" w:color="auto"/>
            </w:tcBorders>
            <w:shd w:val="clear" w:color="auto" w:fill="auto"/>
          </w:tcPr>
          <w:p w14:paraId="1A7388D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166</w:t>
            </w:r>
          </w:p>
        </w:tc>
        <w:tc>
          <w:tcPr>
            <w:tcW w:w="552" w:type="dxa"/>
            <w:tcBorders>
              <w:top w:val="nil"/>
              <w:left w:val="single" w:sz="4" w:space="0" w:color="auto"/>
              <w:bottom w:val="nil"/>
              <w:right w:val="single" w:sz="4" w:space="0" w:color="auto"/>
            </w:tcBorders>
            <w:shd w:val="clear" w:color="auto" w:fill="auto"/>
          </w:tcPr>
          <w:p w14:paraId="5D55F3C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w:t>
            </w:r>
          </w:p>
        </w:tc>
        <w:tc>
          <w:tcPr>
            <w:tcW w:w="567" w:type="dxa"/>
            <w:tcBorders>
              <w:top w:val="nil"/>
              <w:left w:val="single" w:sz="4" w:space="0" w:color="auto"/>
              <w:bottom w:val="nil"/>
              <w:right w:val="single" w:sz="4" w:space="0" w:color="auto"/>
            </w:tcBorders>
            <w:shd w:val="clear" w:color="auto" w:fill="auto"/>
          </w:tcPr>
          <w:p w14:paraId="4575F84D"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w:t>
            </w:r>
          </w:p>
        </w:tc>
        <w:tc>
          <w:tcPr>
            <w:tcW w:w="709" w:type="dxa"/>
            <w:tcBorders>
              <w:top w:val="nil"/>
              <w:left w:val="single" w:sz="4" w:space="0" w:color="auto"/>
              <w:bottom w:val="nil"/>
              <w:right w:val="single" w:sz="4" w:space="0" w:color="auto"/>
            </w:tcBorders>
            <w:shd w:val="clear" w:color="auto" w:fill="auto"/>
          </w:tcPr>
          <w:p w14:paraId="59C3881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1 141</w:t>
            </w:r>
          </w:p>
        </w:tc>
        <w:tc>
          <w:tcPr>
            <w:tcW w:w="701" w:type="dxa"/>
            <w:tcBorders>
              <w:top w:val="nil"/>
              <w:left w:val="single" w:sz="4" w:space="0" w:color="auto"/>
              <w:bottom w:val="nil"/>
              <w:right w:val="single" w:sz="4" w:space="0" w:color="auto"/>
            </w:tcBorders>
            <w:shd w:val="clear" w:color="auto" w:fill="auto"/>
          </w:tcPr>
          <w:p w14:paraId="3D49170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1 188</w:t>
            </w:r>
          </w:p>
        </w:tc>
        <w:tc>
          <w:tcPr>
            <w:tcW w:w="632" w:type="dxa"/>
            <w:tcBorders>
              <w:top w:val="nil"/>
              <w:left w:val="single" w:sz="4" w:space="0" w:color="auto"/>
              <w:bottom w:val="nil"/>
              <w:right w:val="single" w:sz="4" w:space="0" w:color="auto"/>
            </w:tcBorders>
            <w:shd w:val="clear" w:color="auto" w:fill="auto"/>
          </w:tcPr>
          <w:p w14:paraId="3805294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34</w:t>
            </w:r>
          </w:p>
        </w:tc>
        <w:tc>
          <w:tcPr>
            <w:tcW w:w="652" w:type="dxa"/>
            <w:tcBorders>
              <w:top w:val="nil"/>
              <w:left w:val="single" w:sz="4" w:space="0" w:color="auto"/>
              <w:bottom w:val="nil"/>
              <w:right w:val="single" w:sz="4" w:space="0" w:color="auto"/>
            </w:tcBorders>
            <w:shd w:val="clear" w:color="auto" w:fill="auto"/>
          </w:tcPr>
          <w:p w14:paraId="390C87E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32</w:t>
            </w:r>
          </w:p>
        </w:tc>
        <w:tc>
          <w:tcPr>
            <w:tcW w:w="708" w:type="dxa"/>
            <w:tcBorders>
              <w:top w:val="nil"/>
              <w:left w:val="single" w:sz="4" w:space="0" w:color="auto"/>
              <w:bottom w:val="nil"/>
              <w:right w:val="single" w:sz="4" w:space="0" w:color="auto"/>
            </w:tcBorders>
            <w:shd w:val="clear" w:color="auto" w:fill="auto"/>
          </w:tcPr>
          <w:p w14:paraId="30C70C0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28.7</w:t>
            </w:r>
          </w:p>
        </w:tc>
        <w:tc>
          <w:tcPr>
            <w:tcW w:w="567" w:type="dxa"/>
            <w:tcBorders>
              <w:top w:val="nil"/>
              <w:left w:val="single" w:sz="4" w:space="0" w:color="auto"/>
              <w:bottom w:val="nil"/>
              <w:right w:val="single" w:sz="4" w:space="0" w:color="auto"/>
            </w:tcBorders>
            <w:shd w:val="clear" w:color="auto" w:fill="auto"/>
          </w:tcPr>
          <w:p w14:paraId="5F25313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28.9</w:t>
            </w:r>
          </w:p>
        </w:tc>
        <w:tc>
          <w:tcPr>
            <w:tcW w:w="602" w:type="dxa"/>
            <w:tcBorders>
              <w:top w:val="nil"/>
              <w:left w:val="single" w:sz="4" w:space="0" w:color="auto"/>
              <w:bottom w:val="nil"/>
              <w:right w:val="single" w:sz="4" w:space="0" w:color="auto"/>
            </w:tcBorders>
            <w:shd w:val="clear" w:color="auto" w:fill="auto"/>
          </w:tcPr>
          <w:p w14:paraId="30DE38E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12.5</w:t>
            </w:r>
          </w:p>
        </w:tc>
        <w:tc>
          <w:tcPr>
            <w:tcW w:w="633" w:type="dxa"/>
            <w:tcBorders>
              <w:top w:val="nil"/>
              <w:left w:val="single" w:sz="4" w:space="0" w:color="auto"/>
              <w:bottom w:val="nil"/>
              <w:right w:val="single" w:sz="4" w:space="0" w:color="auto"/>
            </w:tcBorders>
            <w:shd w:val="clear" w:color="auto" w:fill="auto"/>
          </w:tcPr>
          <w:p w14:paraId="58394CD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11.7</w:t>
            </w:r>
          </w:p>
        </w:tc>
      </w:tr>
      <w:tr w:rsidR="001C7F15" w:rsidRPr="001C7F15" w14:paraId="3983897E" w14:textId="77777777" w:rsidTr="00E823BC">
        <w:trPr>
          <w:jc w:val="center"/>
        </w:trPr>
        <w:tc>
          <w:tcPr>
            <w:tcW w:w="1586" w:type="dxa"/>
            <w:tcBorders>
              <w:top w:val="nil"/>
              <w:left w:val="single" w:sz="4" w:space="0" w:color="auto"/>
              <w:bottom w:val="single" w:sz="4" w:space="0" w:color="auto"/>
              <w:right w:val="single" w:sz="4" w:space="0" w:color="auto"/>
            </w:tcBorders>
            <w:shd w:val="clear" w:color="auto" w:fill="auto"/>
          </w:tcPr>
          <w:p w14:paraId="0AD44736" w14:textId="77777777" w:rsidR="001C7F15" w:rsidRPr="001C7F15" w:rsidRDefault="001C7F15" w:rsidP="001C7F15">
            <w:pPr>
              <w:autoSpaceDE w:val="0"/>
              <w:autoSpaceDN w:val="0"/>
              <w:adjustRightInd w:val="0"/>
              <w:spacing w:before="40" w:after="120"/>
              <w:jc w:val="both"/>
              <w:rPr>
                <w:rFonts w:eastAsia="Times New Roman"/>
                <w:bCs/>
                <w:sz w:val="16"/>
                <w:szCs w:val="16"/>
                <w:lang w:eastAsia="en-US"/>
              </w:rPr>
            </w:pPr>
            <w:r w:rsidRPr="001C7F15">
              <w:rPr>
                <w:rFonts w:eastAsia="Times New Roman"/>
                <w:bCs/>
                <w:sz w:val="16"/>
                <w:szCs w:val="16"/>
                <w:lang w:eastAsia="en-US"/>
              </w:rPr>
              <w:t>BBVA Bancomer</w:t>
            </w:r>
          </w:p>
        </w:tc>
        <w:tc>
          <w:tcPr>
            <w:tcW w:w="632" w:type="dxa"/>
            <w:tcBorders>
              <w:top w:val="nil"/>
              <w:left w:val="single" w:sz="4" w:space="0" w:color="auto"/>
              <w:bottom w:val="single" w:sz="4" w:space="0" w:color="auto"/>
              <w:right w:val="single" w:sz="4" w:space="0" w:color="auto"/>
            </w:tcBorders>
            <w:shd w:val="clear" w:color="auto" w:fill="auto"/>
          </w:tcPr>
          <w:p w14:paraId="0CBC8829"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561</w:t>
            </w:r>
          </w:p>
        </w:tc>
        <w:tc>
          <w:tcPr>
            <w:tcW w:w="632" w:type="dxa"/>
            <w:tcBorders>
              <w:top w:val="nil"/>
              <w:left w:val="single" w:sz="4" w:space="0" w:color="auto"/>
              <w:bottom w:val="single" w:sz="4" w:space="0" w:color="auto"/>
              <w:right w:val="single" w:sz="4" w:space="0" w:color="auto"/>
            </w:tcBorders>
            <w:shd w:val="clear" w:color="auto" w:fill="auto"/>
          </w:tcPr>
          <w:p w14:paraId="37C04072"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599</w:t>
            </w:r>
          </w:p>
        </w:tc>
        <w:tc>
          <w:tcPr>
            <w:tcW w:w="552" w:type="dxa"/>
            <w:tcBorders>
              <w:top w:val="nil"/>
              <w:left w:val="single" w:sz="4" w:space="0" w:color="auto"/>
              <w:bottom w:val="single" w:sz="4" w:space="0" w:color="auto"/>
              <w:right w:val="single" w:sz="4" w:space="0" w:color="auto"/>
            </w:tcBorders>
            <w:shd w:val="clear" w:color="auto" w:fill="auto"/>
          </w:tcPr>
          <w:p w14:paraId="65752E0D"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single" w:sz="4" w:space="0" w:color="auto"/>
              <w:right w:val="single" w:sz="4" w:space="0" w:color="auto"/>
            </w:tcBorders>
            <w:shd w:val="clear" w:color="auto" w:fill="auto"/>
          </w:tcPr>
          <w:p w14:paraId="5B74A45A"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2</w:t>
            </w:r>
          </w:p>
        </w:tc>
        <w:tc>
          <w:tcPr>
            <w:tcW w:w="709" w:type="dxa"/>
            <w:tcBorders>
              <w:top w:val="nil"/>
              <w:left w:val="single" w:sz="4" w:space="0" w:color="auto"/>
              <w:bottom w:val="single" w:sz="4" w:space="0" w:color="auto"/>
              <w:right w:val="single" w:sz="4" w:space="0" w:color="auto"/>
            </w:tcBorders>
            <w:shd w:val="clear" w:color="auto" w:fill="auto"/>
          </w:tcPr>
          <w:p w14:paraId="24D205A9"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870</w:t>
            </w:r>
          </w:p>
        </w:tc>
        <w:tc>
          <w:tcPr>
            <w:tcW w:w="701" w:type="dxa"/>
            <w:tcBorders>
              <w:top w:val="nil"/>
              <w:left w:val="single" w:sz="4" w:space="0" w:color="auto"/>
              <w:bottom w:val="single" w:sz="4" w:space="0" w:color="auto"/>
              <w:right w:val="single" w:sz="4" w:space="0" w:color="auto"/>
            </w:tcBorders>
            <w:shd w:val="clear" w:color="auto" w:fill="auto"/>
          </w:tcPr>
          <w:p w14:paraId="282FECA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903</w:t>
            </w:r>
          </w:p>
        </w:tc>
        <w:tc>
          <w:tcPr>
            <w:tcW w:w="632" w:type="dxa"/>
            <w:tcBorders>
              <w:top w:val="nil"/>
              <w:left w:val="single" w:sz="4" w:space="0" w:color="auto"/>
              <w:bottom w:val="single" w:sz="4" w:space="0" w:color="auto"/>
              <w:right w:val="single" w:sz="4" w:space="0" w:color="auto"/>
            </w:tcBorders>
            <w:shd w:val="clear" w:color="auto" w:fill="auto"/>
          </w:tcPr>
          <w:p w14:paraId="519593DC"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76</w:t>
            </w:r>
          </w:p>
        </w:tc>
        <w:tc>
          <w:tcPr>
            <w:tcW w:w="652" w:type="dxa"/>
            <w:tcBorders>
              <w:top w:val="nil"/>
              <w:left w:val="single" w:sz="4" w:space="0" w:color="auto"/>
              <w:bottom w:val="single" w:sz="4" w:space="0" w:color="auto"/>
              <w:right w:val="single" w:sz="4" w:space="0" w:color="auto"/>
            </w:tcBorders>
            <w:shd w:val="clear" w:color="auto" w:fill="auto"/>
          </w:tcPr>
          <w:p w14:paraId="725641AD"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80</w:t>
            </w:r>
          </w:p>
        </w:tc>
        <w:tc>
          <w:tcPr>
            <w:tcW w:w="708" w:type="dxa"/>
            <w:tcBorders>
              <w:top w:val="nil"/>
              <w:left w:val="single" w:sz="4" w:space="0" w:color="auto"/>
              <w:bottom w:val="single" w:sz="4" w:space="0" w:color="auto"/>
              <w:right w:val="single" w:sz="4" w:space="0" w:color="auto"/>
            </w:tcBorders>
            <w:shd w:val="clear" w:color="auto" w:fill="auto"/>
          </w:tcPr>
          <w:p w14:paraId="7222731F"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27.2</w:t>
            </w:r>
          </w:p>
        </w:tc>
        <w:tc>
          <w:tcPr>
            <w:tcW w:w="567" w:type="dxa"/>
            <w:tcBorders>
              <w:top w:val="nil"/>
              <w:left w:val="single" w:sz="4" w:space="0" w:color="auto"/>
              <w:bottom w:val="single" w:sz="4" w:space="0" w:color="auto"/>
              <w:right w:val="single" w:sz="4" w:space="0" w:color="auto"/>
            </w:tcBorders>
            <w:shd w:val="clear" w:color="auto" w:fill="auto"/>
          </w:tcPr>
          <w:p w14:paraId="2EA74E0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30.4</w:t>
            </w:r>
          </w:p>
        </w:tc>
        <w:tc>
          <w:tcPr>
            <w:tcW w:w="602" w:type="dxa"/>
            <w:tcBorders>
              <w:top w:val="nil"/>
              <w:left w:val="single" w:sz="4" w:space="0" w:color="auto"/>
              <w:bottom w:val="single" w:sz="4" w:space="0" w:color="auto"/>
              <w:right w:val="single" w:sz="4" w:space="0" w:color="auto"/>
            </w:tcBorders>
            <w:shd w:val="clear" w:color="auto" w:fill="auto"/>
          </w:tcPr>
          <w:p w14:paraId="6369D77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26.2</w:t>
            </w:r>
          </w:p>
        </w:tc>
        <w:tc>
          <w:tcPr>
            <w:tcW w:w="633" w:type="dxa"/>
            <w:tcBorders>
              <w:top w:val="nil"/>
              <w:left w:val="single" w:sz="4" w:space="0" w:color="auto"/>
              <w:bottom w:val="single" w:sz="4" w:space="0" w:color="auto"/>
              <w:right w:val="single" w:sz="4" w:space="0" w:color="auto"/>
            </w:tcBorders>
            <w:shd w:val="clear" w:color="auto" w:fill="auto"/>
          </w:tcPr>
          <w:p w14:paraId="6E7C819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25.8</w:t>
            </w:r>
          </w:p>
        </w:tc>
      </w:tr>
      <w:tr w:rsidR="001C7F15" w:rsidRPr="001C7F15" w14:paraId="265A5E66" w14:textId="77777777" w:rsidTr="00E823BC">
        <w:trPr>
          <w:jc w:val="center"/>
        </w:trPr>
        <w:tc>
          <w:tcPr>
            <w:tcW w:w="9173"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063E7D52" w14:textId="77777777" w:rsidR="001C7F15" w:rsidRPr="001C7F15" w:rsidRDefault="001C7F15" w:rsidP="001C7F15">
            <w:pPr>
              <w:spacing w:before="40" w:after="40"/>
              <w:jc w:val="center"/>
              <w:rPr>
                <w:rFonts w:eastAsia="Times New Roman"/>
                <w:b/>
                <w:bCs/>
                <w:sz w:val="16"/>
                <w:szCs w:val="16"/>
                <w:lang w:eastAsia="en-US"/>
              </w:rPr>
            </w:pPr>
            <w:r w:rsidRPr="001C7F15">
              <w:rPr>
                <w:rFonts w:eastAsia="Times New Roman"/>
                <w:b/>
                <w:bCs/>
                <w:sz w:val="16"/>
                <w:szCs w:val="16"/>
                <w:lang w:eastAsia="en-US"/>
              </w:rPr>
              <w:t>Instituciones con menos de cien mil tarjetas totales</w:t>
            </w:r>
          </w:p>
        </w:tc>
      </w:tr>
      <w:tr w:rsidR="001C7F15" w:rsidRPr="001C7F15" w14:paraId="5589F66E" w14:textId="77777777" w:rsidTr="00E823BC">
        <w:trPr>
          <w:jc w:val="center"/>
        </w:trPr>
        <w:tc>
          <w:tcPr>
            <w:tcW w:w="1586" w:type="dxa"/>
            <w:tcBorders>
              <w:top w:val="single" w:sz="4" w:space="0" w:color="auto"/>
              <w:left w:val="single" w:sz="4" w:space="0" w:color="auto"/>
              <w:bottom w:val="nil"/>
              <w:right w:val="single" w:sz="4" w:space="0" w:color="auto"/>
            </w:tcBorders>
            <w:shd w:val="clear" w:color="auto" w:fill="auto"/>
          </w:tcPr>
          <w:p w14:paraId="73E43DF4" w14:textId="77777777" w:rsidR="001C7F15" w:rsidRPr="001C7F15" w:rsidRDefault="001C7F15" w:rsidP="001C7F15">
            <w:pPr>
              <w:autoSpaceDE w:val="0"/>
              <w:autoSpaceDN w:val="0"/>
              <w:adjustRightInd w:val="0"/>
              <w:spacing w:before="120" w:after="40"/>
              <w:jc w:val="both"/>
              <w:rPr>
                <w:rFonts w:eastAsia="Times New Roman"/>
                <w:bCs/>
                <w:sz w:val="16"/>
                <w:szCs w:val="16"/>
                <w:lang w:eastAsia="en-US"/>
              </w:rPr>
            </w:pPr>
            <w:r w:rsidRPr="001C7F15">
              <w:rPr>
                <w:rFonts w:eastAsia="Times New Roman"/>
                <w:bCs/>
                <w:sz w:val="16"/>
                <w:szCs w:val="16"/>
                <w:lang w:eastAsia="en-US"/>
              </w:rPr>
              <w:t>Banco del Bajío</w:t>
            </w:r>
          </w:p>
        </w:tc>
        <w:tc>
          <w:tcPr>
            <w:tcW w:w="632" w:type="dxa"/>
            <w:tcBorders>
              <w:top w:val="single" w:sz="4" w:space="0" w:color="auto"/>
              <w:left w:val="single" w:sz="4" w:space="0" w:color="auto"/>
              <w:bottom w:val="nil"/>
              <w:right w:val="single" w:sz="4" w:space="0" w:color="auto"/>
            </w:tcBorders>
            <w:shd w:val="clear" w:color="auto" w:fill="auto"/>
          </w:tcPr>
          <w:p w14:paraId="16299DBF"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2</w:t>
            </w:r>
          </w:p>
        </w:tc>
        <w:tc>
          <w:tcPr>
            <w:tcW w:w="632" w:type="dxa"/>
            <w:tcBorders>
              <w:top w:val="single" w:sz="4" w:space="0" w:color="auto"/>
              <w:left w:val="single" w:sz="4" w:space="0" w:color="auto"/>
              <w:bottom w:val="nil"/>
              <w:right w:val="single" w:sz="4" w:space="0" w:color="auto"/>
            </w:tcBorders>
            <w:shd w:val="clear" w:color="auto" w:fill="auto"/>
          </w:tcPr>
          <w:p w14:paraId="559575A3"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3</w:t>
            </w:r>
          </w:p>
        </w:tc>
        <w:tc>
          <w:tcPr>
            <w:tcW w:w="552" w:type="dxa"/>
            <w:tcBorders>
              <w:top w:val="single" w:sz="4" w:space="0" w:color="auto"/>
              <w:left w:val="single" w:sz="4" w:space="0" w:color="auto"/>
              <w:bottom w:val="nil"/>
              <w:right w:val="single" w:sz="4" w:space="0" w:color="auto"/>
            </w:tcBorders>
            <w:shd w:val="clear" w:color="auto" w:fill="auto"/>
          </w:tcPr>
          <w:p w14:paraId="61CED278"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w:t>
            </w:r>
          </w:p>
        </w:tc>
        <w:tc>
          <w:tcPr>
            <w:tcW w:w="567" w:type="dxa"/>
            <w:tcBorders>
              <w:top w:val="single" w:sz="4" w:space="0" w:color="auto"/>
              <w:left w:val="single" w:sz="4" w:space="0" w:color="auto"/>
              <w:bottom w:val="nil"/>
              <w:right w:val="single" w:sz="4" w:space="0" w:color="auto"/>
            </w:tcBorders>
            <w:shd w:val="clear" w:color="auto" w:fill="auto"/>
          </w:tcPr>
          <w:p w14:paraId="566D20C8"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w:t>
            </w:r>
          </w:p>
        </w:tc>
        <w:tc>
          <w:tcPr>
            <w:tcW w:w="709" w:type="dxa"/>
            <w:tcBorders>
              <w:top w:val="single" w:sz="4" w:space="0" w:color="auto"/>
              <w:left w:val="single" w:sz="4" w:space="0" w:color="auto"/>
              <w:bottom w:val="nil"/>
              <w:right w:val="single" w:sz="4" w:space="0" w:color="auto"/>
            </w:tcBorders>
            <w:shd w:val="clear" w:color="auto" w:fill="auto"/>
          </w:tcPr>
          <w:p w14:paraId="338F74AB"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600</w:t>
            </w:r>
          </w:p>
        </w:tc>
        <w:tc>
          <w:tcPr>
            <w:tcW w:w="701" w:type="dxa"/>
            <w:tcBorders>
              <w:top w:val="single" w:sz="4" w:space="0" w:color="auto"/>
              <w:left w:val="single" w:sz="4" w:space="0" w:color="auto"/>
              <w:bottom w:val="nil"/>
              <w:right w:val="single" w:sz="4" w:space="0" w:color="auto"/>
            </w:tcBorders>
            <w:shd w:val="clear" w:color="auto" w:fill="auto"/>
          </w:tcPr>
          <w:p w14:paraId="217BA00F"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600</w:t>
            </w:r>
          </w:p>
        </w:tc>
        <w:tc>
          <w:tcPr>
            <w:tcW w:w="632" w:type="dxa"/>
            <w:tcBorders>
              <w:top w:val="single" w:sz="4" w:space="0" w:color="auto"/>
              <w:left w:val="single" w:sz="4" w:space="0" w:color="auto"/>
              <w:bottom w:val="nil"/>
              <w:right w:val="single" w:sz="4" w:space="0" w:color="auto"/>
            </w:tcBorders>
            <w:shd w:val="clear" w:color="auto" w:fill="auto"/>
          </w:tcPr>
          <w:p w14:paraId="1EB8346C"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51</w:t>
            </w:r>
          </w:p>
        </w:tc>
        <w:tc>
          <w:tcPr>
            <w:tcW w:w="652" w:type="dxa"/>
            <w:tcBorders>
              <w:top w:val="single" w:sz="4" w:space="0" w:color="auto"/>
              <w:left w:val="single" w:sz="4" w:space="0" w:color="auto"/>
              <w:bottom w:val="nil"/>
              <w:right w:val="single" w:sz="4" w:space="0" w:color="auto"/>
            </w:tcBorders>
            <w:shd w:val="clear" w:color="auto" w:fill="auto"/>
          </w:tcPr>
          <w:p w14:paraId="1BBFC5F7"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43</w:t>
            </w:r>
          </w:p>
        </w:tc>
        <w:tc>
          <w:tcPr>
            <w:tcW w:w="708" w:type="dxa"/>
            <w:tcBorders>
              <w:top w:val="single" w:sz="4" w:space="0" w:color="auto"/>
              <w:left w:val="single" w:sz="4" w:space="0" w:color="auto"/>
              <w:bottom w:val="nil"/>
              <w:right w:val="single" w:sz="4" w:space="0" w:color="auto"/>
            </w:tcBorders>
            <w:shd w:val="clear" w:color="auto" w:fill="auto"/>
          </w:tcPr>
          <w:p w14:paraId="271A4716"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20.2</w:t>
            </w:r>
          </w:p>
        </w:tc>
        <w:tc>
          <w:tcPr>
            <w:tcW w:w="567" w:type="dxa"/>
            <w:tcBorders>
              <w:top w:val="single" w:sz="4" w:space="0" w:color="auto"/>
              <w:left w:val="single" w:sz="4" w:space="0" w:color="auto"/>
              <w:bottom w:val="nil"/>
              <w:right w:val="single" w:sz="4" w:space="0" w:color="auto"/>
            </w:tcBorders>
            <w:shd w:val="clear" w:color="auto" w:fill="auto"/>
          </w:tcPr>
          <w:p w14:paraId="3625CCDE"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19.1</w:t>
            </w:r>
          </w:p>
        </w:tc>
        <w:tc>
          <w:tcPr>
            <w:tcW w:w="602" w:type="dxa"/>
            <w:tcBorders>
              <w:top w:val="single" w:sz="4" w:space="0" w:color="auto"/>
              <w:left w:val="single" w:sz="4" w:space="0" w:color="auto"/>
              <w:bottom w:val="nil"/>
              <w:right w:val="single" w:sz="4" w:space="0" w:color="auto"/>
            </w:tcBorders>
            <w:shd w:val="clear" w:color="auto" w:fill="auto"/>
          </w:tcPr>
          <w:p w14:paraId="63312B20"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19.1</w:t>
            </w:r>
          </w:p>
        </w:tc>
        <w:tc>
          <w:tcPr>
            <w:tcW w:w="633" w:type="dxa"/>
            <w:tcBorders>
              <w:top w:val="single" w:sz="4" w:space="0" w:color="auto"/>
              <w:left w:val="single" w:sz="4" w:space="0" w:color="auto"/>
              <w:bottom w:val="nil"/>
              <w:right w:val="single" w:sz="4" w:space="0" w:color="auto"/>
            </w:tcBorders>
            <w:shd w:val="clear" w:color="auto" w:fill="auto"/>
          </w:tcPr>
          <w:p w14:paraId="70505997" w14:textId="77777777" w:rsidR="001C7F15" w:rsidRPr="001C7F15" w:rsidRDefault="001C7F15" w:rsidP="001C7F15">
            <w:pPr>
              <w:autoSpaceDE w:val="0"/>
              <w:autoSpaceDN w:val="0"/>
              <w:adjustRightInd w:val="0"/>
              <w:spacing w:before="120" w:after="40"/>
              <w:jc w:val="right"/>
              <w:rPr>
                <w:rFonts w:eastAsia="Calibri"/>
                <w:sz w:val="16"/>
                <w:szCs w:val="16"/>
                <w:lang w:eastAsia="en-US"/>
              </w:rPr>
            </w:pPr>
            <w:r w:rsidRPr="001C7F15">
              <w:rPr>
                <w:rFonts w:eastAsia="Calibri"/>
                <w:sz w:val="16"/>
                <w:szCs w:val="16"/>
                <w:lang w:eastAsia="en-US"/>
              </w:rPr>
              <w:t>18.9</w:t>
            </w:r>
          </w:p>
        </w:tc>
      </w:tr>
      <w:tr w:rsidR="001C7F15" w:rsidRPr="001C7F15" w14:paraId="191D0940"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28BFCE7A"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Banregio</w:t>
            </w:r>
          </w:p>
        </w:tc>
        <w:tc>
          <w:tcPr>
            <w:tcW w:w="632" w:type="dxa"/>
            <w:tcBorders>
              <w:top w:val="nil"/>
              <w:left w:val="single" w:sz="4" w:space="0" w:color="auto"/>
              <w:bottom w:val="nil"/>
              <w:right w:val="single" w:sz="4" w:space="0" w:color="auto"/>
            </w:tcBorders>
            <w:shd w:val="clear" w:color="auto" w:fill="auto"/>
          </w:tcPr>
          <w:p w14:paraId="6160E31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10</w:t>
            </w:r>
          </w:p>
        </w:tc>
        <w:tc>
          <w:tcPr>
            <w:tcW w:w="632" w:type="dxa"/>
            <w:tcBorders>
              <w:top w:val="nil"/>
              <w:left w:val="single" w:sz="4" w:space="0" w:color="auto"/>
              <w:bottom w:val="nil"/>
              <w:right w:val="single" w:sz="4" w:space="0" w:color="auto"/>
            </w:tcBorders>
            <w:shd w:val="clear" w:color="auto" w:fill="auto"/>
          </w:tcPr>
          <w:p w14:paraId="5CF552E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w:t>
            </w:r>
          </w:p>
        </w:tc>
        <w:tc>
          <w:tcPr>
            <w:tcW w:w="552" w:type="dxa"/>
            <w:tcBorders>
              <w:top w:val="nil"/>
              <w:left w:val="single" w:sz="4" w:space="0" w:color="auto"/>
              <w:bottom w:val="nil"/>
              <w:right w:val="single" w:sz="4" w:space="0" w:color="auto"/>
            </w:tcBorders>
            <w:shd w:val="clear" w:color="auto" w:fill="auto"/>
          </w:tcPr>
          <w:p w14:paraId="4A7A6EC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55F9136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709" w:type="dxa"/>
            <w:tcBorders>
              <w:top w:val="nil"/>
              <w:left w:val="single" w:sz="4" w:space="0" w:color="auto"/>
              <w:bottom w:val="nil"/>
              <w:right w:val="single" w:sz="4" w:space="0" w:color="auto"/>
            </w:tcBorders>
            <w:shd w:val="clear" w:color="auto" w:fill="auto"/>
          </w:tcPr>
          <w:p w14:paraId="4F6B007B"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0</w:t>
            </w:r>
          </w:p>
        </w:tc>
        <w:tc>
          <w:tcPr>
            <w:tcW w:w="701" w:type="dxa"/>
            <w:tcBorders>
              <w:top w:val="nil"/>
              <w:left w:val="single" w:sz="4" w:space="0" w:color="auto"/>
              <w:bottom w:val="nil"/>
              <w:right w:val="single" w:sz="4" w:space="0" w:color="auto"/>
            </w:tcBorders>
            <w:shd w:val="clear" w:color="auto" w:fill="auto"/>
          </w:tcPr>
          <w:p w14:paraId="56FE5E40"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0</w:t>
            </w:r>
          </w:p>
        </w:tc>
        <w:tc>
          <w:tcPr>
            <w:tcW w:w="632" w:type="dxa"/>
            <w:tcBorders>
              <w:top w:val="nil"/>
              <w:left w:val="single" w:sz="4" w:space="0" w:color="auto"/>
              <w:bottom w:val="nil"/>
              <w:right w:val="single" w:sz="4" w:space="0" w:color="auto"/>
            </w:tcBorders>
            <w:shd w:val="clear" w:color="auto" w:fill="auto"/>
          </w:tcPr>
          <w:p w14:paraId="7772A8D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w:t>
            </w:r>
          </w:p>
        </w:tc>
        <w:tc>
          <w:tcPr>
            <w:tcW w:w="652" w:type="dxa"/>
            <w:tcBorders>
              <w:top w:val="nil"/>
              <w:left w:val="single" w:sz="4" w:space="0" w:color="auto"/>
              <w:bottom w:val="nil"/>
              <w:right w:val="single" w:sz="4" w:space="0" w:color="auto"/>
            </w:tcBorders>
            <w:shd w:val="clear" w:color="auto" w:fill="auto"/>
          </w:tcPr>
          <w:p w14:paraId="04C4606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20</w:t>
            </w:r>
          </w:p>
        </w:tc>
        <w:tc>
          <w:tcPr>
            <w:tcW w:w="708" w:type="dxa"/>
            <w:tcBorders>
              <w:top w:val="nil"/>
              <w:left w:val="single" w:sz="4" w:space="0" w:color="auto"/>
              <w:bottom w:val="nil"/>
              <w:right w:val="single" w:sz="4" w:space="0" w:color="auto"/>
            </w:tcBorders>
            <w:shd w:val="clear" w:color="auto" w:fill="auto"/>
          </w:tcPr>
          <w:p w14:paraId="7CB2311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28.9</w:t>
            </w:r>
          </w:p>
        </w:tc>
        <w:tc>
          <w:tcPr>
            <w:tcW w:w="567" w:type="dxa"/>
            <w:tcBorders>
              <w:top w:val="nil"/>
              <w:left w:val="single" w:sz="4" w:space="0" w:color="auto"/>
              <w:bottom w:val="nil"/>
              <w:right w:val="single" w:sz="4" w:space="0" w:color="auto"/>
            </w:tcBorders>
            <w:shd w:val="clear" w:color="auto" w:fill="auto"/>
          </w:tcPr>
          <w:p w14:paraId="5B1246F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28.1</w:t>
            </w:r>
          </w:p>
        </w:tc>
        <w:tc>
          <w:tcPr>
            <w:tcW w:w="602" w:type="dxa"/>
            <w:tcBorders>
              <w:top w:val="nil"/>
              <w:left w:val="single" w:sz="4" w:space="0" w:color="auto"/>
              <w:bottom w:val="nil"/>
              <w:right w:val="single" w:sz="4" w:space="0" w:color="auto"/>
            </w:tcBorders>
            <w:shd w:val="clear" w:color="auto" w:fill="auto"/>
          </w:tcPr>
          <w:p w14:paraId="6739B5F7"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8.3</w:t>
            </w:r>
          </w:p>
        </w:tc>
        <w:tc>
          <w:tcPr>
            <w:tcW w:w="633" w:type="dxa"/>
            <w:tcBorders>
              <w:top w:val="nil"/>
              <w:left w:val="single" w:sz="4" w:space="0" w:color="auto"/>
              <w:bottom w:val="nil"/>
              <w:right w:val="single" w:sz="4" w:space="0" w:color="auto"/>
            </w:tcBorders>
            <w:shd w:val="clear" w:color="auto" w:fill="auto"/>
          </w:tcPr>
          <w:p w14:paraId="2C06BA1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8.1</w:t>
            </w:r>
          </w:p>
        </w:tc>
      </w:tr>
      <w:tr w:rsidR="001C7F15" w:rsidRPr="001C7F15" w14:paraId="46406703"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09F8A562"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Banco Invex</w:t>
            </w:r>
          </w:p>
        </w:tc>
        <w:tc>
          <w:tcPr>
            <w:tcW w:w="632" w:type="dxa"/>
            <w:tcBorders>
              <w:top w:val="nil"/>
              <w:left w:val="single" w:sz="4" w:space="0" w:color="auto"/>
              <w:bottom w:val="nil"/>
              <w:right w:val="single" w:sz="4" w:space="0" w:color="auto"/>
            </w:tcBorders>
            <w:shd w:val="clear" w:color="auto" w:fill="auto"/>
          </w:tcPr>
          <w:p w14:paraId="22ED5ED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632" w:type="dxa"/>
            <w:tcBorders>
              <w:top w:val="nil"/>
              <w:left w:val="single" w:sz="4" w:space="0" w:color="auto"/>
              <w:bottom w:val="nil"/>
              <w:right w:val="single" w:sz="4" w:space="0" w:color="auto"/>
            </w:tcBorders>
            <w:shd w:val="clear" w:color="auto" w:fill="auto"/>
          </w:tcPr>
          <w:p w14:paraId="075D425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50</w:t>
            </w:r>
          </w:p>
        </w:tc>
        <w:tc>
          <w:tcPr>
            <w:tcW w:w="552" w:type="dxa"/>
            <w:tcBorders>
              <w:top w:val="nil"/>
              <w:left w:val="single" w:sz="4" w:space="0" w:color="auto"/>
              <w:bottom w:val="nil"/>
              <w:right w:val="single" w:sz="4" w:space="0" w:color="auto"/>
            </w:tcBorders>
            <w:shd w:val="clear" w:color="auto" w:fill="auto"/>
          </w:tcPr>
          <w:p w14:paraId="1FC5E4D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567" w:type="dxa"/>
            <w:tcBorders>
              <w:top w:val="nil"/>
              <w:left w:val="single" w:sz="4" w:space="0" w:color="auto"/>
              <w:bottom w:val="nil"/>
              <w:right w:val="single" w:sz="4" w:space="0" w:color="auto"/>
            </w:tcBorders>
            <w:shd w:val="clear" w:color="auto" w:fill="auto"/>
          </w:tcPr>
          <w:p w14:paraId="05E89D3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w:t>
            </w:r>
          </w:p>
        </w:tc>
        <w:tc>
          <w:tcPr>
            <w:tcW w:w="709" w:type="dxa"/>
            <w:tcBorders>
              <w:top w:val="nil"/>
              <w:left w:val="single" w:sz="4" w:space="0" w:color="auto"/>
              <w:bottom w:val="nil"/>
              <w:right w:val="single" w:sz="4" w:space="0" w:color="auto"/>
            </w:tcBorders>
            <w:shd w:val="clear" w:color="auto" w:fill="auto"/>
          </w:tcPr>
          <w:p w14:paraId="47E3242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701" w:type="dxa"/>
            <w:tcBorders>
              <w:top w:val="nil"/>
              <w:left w:val="single" w:sz="4" w:space="0" w:color="auto"/>
              <w:bottom w:val="nil"/>
              <w:right w:val="single" w:sz="4" w:space="0" w:color="auto"/>
            </w:tcBorders>
            <w:shd w:val="clear" w:color="auto" w:fill="auto"/>
          </w:tcPr>
          <w:p w14:paraId="6FEF1E0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958</w:t>
            </w:r>
          </w:p>
        </w:tc>
        <w:tc>
          <w:tcPr>
            <w:tcW w:w="632" w:type="dxa"/>
            <w:tcBorders>
              <w:top w:val="nil"/>
              <w:left w:val="single" w:sz="4" w:space="0" w:color="auto"/>
              <w:bottom w:val="nil"/>
              <w:right w:val="single" w:sz="4" w:space="0" w:color="auto"/>
            </w:tcBorders>
            <w:shd w:val="clear" w:color="auto" w:fill="auto"/>
          </w:tcPr>
          <w:p w14:paraId="4360947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652" w:type="dxa"/>
            <w:tcBorders>
              <w:top w:val="nil"/>
              <w:left w:val="single" w:sz="4" w:space="0" w:color="auto"/>
              <w:bottom w:val="nil"/>
              <w:right w:val="single" w:sz="4" w:space="0" w:color="auto"/>
            </w:tcBorders>
            <w:shd w:val="clear" w:color="auto" w:fill="auto"/>
          </w:tcPr>
          <w:p w14:paraId="6B2B840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41</w:t>
            </w:r>
          </w:p>
        </w:tc>
        <w:tc>
          <w:tcPr>
            <w:tcW w:w="708" w:type="dxa"/>
            <w:tcBorders>
              <w:top w:val="nil"/>
              <w:left w:val="single" w:sz="4" w:space="0" w:color="auto"/>
              <w:bottom w:val="nil"/>
              <w:right w:val="single" w:sz="4" w:space="0" w:color="auto"/>
            </w:tcBorders>
            <w:shd w:val="clear" w:color="auto" w:fill="auto"/>
          </w:tcPr>
          <w:p w14:paraId="7F75A7C2"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567" w:type="dxa"/>
            <w:tcBorders>
              <w:top w:val="nil"/>
              <w:left w:val="single" w:sz="4" w:space="0" w:color="auto"/>
              <w:bottom w:val="nil"/>
              <w:right w:val="single" w:sz="4" w:space="0" w:color="auto"/>
            </w:tcBorders>
            <w:shd w:val="clear" w:color="auto" w:fill="auto"/>
          </w:tcPr>
          <w:p w14:paraId="5FB1B0CA"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31.6</w:t>
            </w:r>
          </w:p>
        </w:tc>
        <w:tc>
          <w:tcPr>
            <w:tcW w:w="602" w:type="dxa"/>
            <w:tcBorders>
              <w:top w:val="nil"/>
              <w:left w:val="single" w:sz="4" w:space="0" w:color="auto"/>
              <w:bottom w:val="nil"/>
              <w:right w:val="single" w:sz="4" w:space="0" w:color="auto"/>
            </w:tcBorders>
            <w:shd w:val="clear" w:color="auto" w:fill="auto"/>
          </w:tcPr>
          <w:p w14:paraId="3ED8243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n. a.</w:t>
            </w:r>
          </w:p>
        </w:tc>
        <w:tc>
          <w:tcPr>
            <w:tcW w:w="633" w:type="dxa"/>
            <w:tcBorders>
              <w:top w:val="nil"/>
              <w:left w:val="single" w:sz="4" w:space="0" w:color="auto"/>
              <w:bottom w:val="nil"/>
              <w:right w:val="single" w:sz="4" w:space="0" w:color="auto"/>
            </w:tcBorders>
            <w:shd w:val="clear" w:color="auto" w:fill="auto"/>
          </w:tcPr>
          <w:p w14:paraId="04F1AB2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14.5</w:t>
            </w:r>
          </w:p>
        </w:tc>
      </w:tr>
      <w:tr w:rsidR="001C7F15" w:rsidRPr="001C7F15" w14:paraId="74FA5EB4" w14:textId="77777777" w:rsidTr="00E823BC">
        <w:trPr>
          <w:jc w:val="center"/>
        </w:trPr>
        <w:tc>
          <w:tcPr>
            <w:tcW w:w="1586" w:type="dxa"/>
            <w:tcBorders>
              <w:top w:val="nil"/>
              <w:left w:val="single" w:sz="4" w:space="0" w:color="auto"/>
              <w:bottom w:val="nil"/>
              <w:right w:val="single" w:sz="4" w:space="0" w:color="auto"/>
            </w:tcBorders>
            <w:shd w:val="clear" w:color="auto" w:fill="auto"/>
          </w:tcPr>
          <w:p w14:paraId="2FBCC87D" w14:textId="77777777" w:rsidR="001C7F15" w:rsidRPr="001C7F15" w:rsidRDefault="001C7F15" w:rsidP="001C7F15">
            <w:pPr>
              <w:autoSpaceDE w:val="0"/>
              <w:autoSpaceDN w:val="0"/>
              <w:adjustRightInd w:val="0"/>
              <w:spacing w:before="40" w:after="40"/>
              <w:jc w:val="both"/>
              <w:rPr>
                <w:rFonts w:eastAsia="Times New Roman"/>
                <w:bCs/>
                <w:sz w:val="16"/>
                <w:szCs w:val="16"/>
                <w:lang w:eastAsia="en-US"/>
              </w:rPr>
            </w:pPr>
            <w:r w:rsidRPr="001C7F15">
              <w:rPr>
                <w:rFonts w:eastAsia="Times New Roman"/>
                <w:bCs/>
                <w:sz w:val="16"/>
                <w:szCs w:val="16"/>
                <w:lang w:eastAsia="en-US"/>
              </w:rPr>
              <w:t>Banca Afirme</w:t>
            </w:r>
          </w:p>
        </w:tc>
        <w:tc>
          <w:tcPr>
            <w:tcW w:w="632" w:type="dxa"/>
            <w:tcBorders>
              <w:top w:val="nil"/>
              <w:left w:val="single" w:sz="4" w:space="0" w:color="auto"/>
              <w:bottom w:val="nil"/>
              <w:right w:val="single" w:sz="4" w:space="0" w:color="auto"/>
            </w:tcBorders>
            <w:shd w:val="clear" w:color="auto" w:fill="auto"/>
          </w:tcPr>
          <w:p w14:paraId="78643A8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w:t>
            </w:r>
          </w:p>
        </w:tc>
        <w:tc>
          <w:tcPr>
            <w:tcW w:w="632" w:type="dxa"/>
            <w:tcBorders>
              <w:top w:val="nil"/>
              <w:left w:val="single" w:sz="4" w:space="0" w:color="auto"/>
              <w:bottom w:val="nil"/>
              <w:right w:val="single" w:sz="4" w:space="0" w:color="auto"/>
            </w:tcBorders>
            <w:shd w:val="clear" w:color="auto" w:fill="auto"/>
          </w:tcPr>
          <w:p w14:paraId="38271694"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w:t>
            </w:r>
          </w:p>
        </w:tc>
        <w:tc>
          <w:tcPr>
            <w:tcW w:w="552" w:type="dxa"/>
            <w:tcBorders>
              <w:top w:val="nil"/>
              <w:left w:val="single" w:sz="4" w:space="0" w:color="auto"/>
              <w:bottom w:val="nil"/>
              <w:right w:val="single" w:sz="4" w:space="0" w:color="auto"/>
            </w:tcBorders>
            <w:shd w:val="clear" w:color="auto" w:fill="auto"/>
          </w:tcPr>
          <w:p w14:paraId="4E9A003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0506E64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w:t>
            </w:r>
          </w:p>
        </w:tc>
        <w:tc>
          <w:tcPr>
            <w:tcW w:w="709" w:type="dxa"/>
            <w:tcBorders>
              <w:top w:val="nil"/>
              <w:left w:val="single" w:sz="4" w:space="0" w:color="auto"/>
              <w:bottom w:val="nil"/>
              <w:right w:val="single" w:sz="4" w:space="0" w:color="auto"/>
            </w:tcBorders>
            <w:shd w:val="clear" w:color="auto" w:fill="auto"/>
          </w:tcPr>
          <w:p w14:paraId="74BD9A71"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650</w:t>
            </w:r>
          </w:p>
        </w:tc>
        <w:tc>
          <w:tcPr>
            <w:tcW w:w="701" w:type="dxa"/>
            <w:tcBorders>
              <w:top w:val="nil"/>
              <w:left w:val="single" w:sz="4" w:space="0" w:color="auto"/>
              <w:bottom w:val="nil"/>
              <w:right w:val="single" w:sz="4" w:space="0" w:color="auto"/>
            </w:tcBorders>
            <w:shd w:val="clear" w:color="auto" w:fill="auto"/>
          </w:tcPr>
          <w:p w14:paraId="28DAE108"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650</w:t>
            </w:r>
          </w:p>
        </w:tc>
        <w:tc>
          <w:tcPr>
            <w:tcW w:w="632" w:type="dxa"/>
            <w:tcBorders>
              <w:top w:val="nil"/>
              <w:left w:val="single" w:sz="4" w:space="0" w:color="auto"/>
              <w:bottom w:val="nil"/>
              <w:right w:val="single" w:sz="4" w:space="0" w:color="auto"/>
            </w:tcBorders>
            <w:shd w:val="clear" w:color="auto" w:fill="auto"/>
          </w:tcPr>
          <w:p w14:paraId="6FF7ACAC"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43</w:t>
            </w:r>
          </w:p>
        </w:tc>
        <w:tc>
          <w:tcPr>
            <w:tcW w:w="652" w:type="dxa"/>
            <w:tcBorders>
              <w:top w:val="nil"/>
              <w:left w:val="single" w:sz="4" w:space="0" w:color="auto"/>
              <w:bottom w:val="nil"/>
              <w:right w:val="single" w:sz="4" w:space="0" w:color="auto"/>
            </w:tcBorders>
            <w:shd w:val="clear" w:color="auto" w:fill="auto"/>
          </w:tcPr>
          <w:p w14:paraId="0BA8283E"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44</w:t>
            </w:r>
          </w:p>
        </w:tc>
        <w:tc>
          <w:tcPr>
            <w:tcW w:w="708" w:type="dxa"/>
            <w:tcBorders>
              <w:top w:val="nil"/>
              <w:left w:val="single" w:sz="4" w:space="0" w:color="auto"/>
              <w:bottom w:val="nil"/>
              <w:right w:val="single" w:sz="4" w:space="0" w:color="auto"/>
            </w:tcBorders>
            <w:shd w:val="clear" w:color="auto" w:fill="auto"/>
          </w:tcPr>
          <w:p w14:paraId="4D1C796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34.2</w:t>
            </w:r>
          </w:p>
        </w:tc>
        <w:tc>
          <w:tcPr>
            <w:tcW w:w="567" w:type="dxa"/>
            <w:tcBorders>
              <w:top w:val="nil"/>
              <w:left w:val="single" w:sz="4" w:space="0" w:color="auto"/>
              <w:bottom w:val="nil"/>
              <w:right w:val="single" w:sz="4" w:space="0" w:color="auto"/>
            </w:tcBorders>
            <w:shd w:val="clear" w:color="auto" w:fill="auto"/>
          </w:tcPr>
          <w:p w14:paraId="586A9566"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34.5</w:t>
            </w:r>
          </w:p>
        </w:tc>
        <w:tc>
          <w:tcPr>
            <w:tcW w:w="602" w:type="dxa"/>
            <w:tcBorders>
              <w:top w:val="nil"/>
              <w:left w:val="single" w:sz="4" w:space="0" w:color="auto"/>
              <w:bottom w:val="nil"/>
              <w:right w:val="single" w:sz="4" w:space="0" w:color="auto"/>
            </w:tcBorders>
            <w:shd w:val="clear" w:color="auto" w:fill="auto"/>
          </w:tcPr>
          <w:p w14:paraId="0BF2453F"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11.0</w:t>
            </w:r>
          </w:p>
        </w:tc>
        <w:tc>
          <w:tcPr>
            <w:tcW w:w="633" w:type="dxa"/>
            <w:tcBorders>
              <w:top w:val="nil"/>
              <w:left w:val="single" w:sz="4" w:space="0" w:color="auto"/>
              <w:bottom w:val="nil"/>
              <w:right w:val="single" w:sz="4" w:space="0" w:color="auto"/>
            </w:tcBorders>
            <w:shd w:val="clear" w:color="auto" w:fill="auto"/>
          </w:tcPr>
          <w:p w14:paraId="68573789" w14:textId="77777777" w:rsidR="001C7F15" w:rsidRPr="001C7F15" w:rsidRDefault="001C7F15" w:rsidP="001C7F15">
            <w:pPr>
              <w:autoSpaceDE w:val="0"/>
              <w:autoSpaceDN w:val="0"/>
              <w:adjustRightInd w:val="0"/>
              <w:spacing w:before="40" w:after="40"/>
              <w:jc w:val="right"/>
              <w:rPr>
                <w:rFonts w:eastAsia="Calibri"/>
                <w:sz w:val="16"/>
                <w:szCs w:val="16"/>
                <w:lang w:eastAsia="en-US"/>
              </w:rPr>
            </w:pPr>
            <w:r w:rsidRPr="001C7F15">
              <w:rPr>
                <w:rFonts w:eastAsia="Calibri"/>
                <w:sz w:val="16"/>
                <w:szCs w:val="16"/>
                <w:lang w:eastAsia="en-US"/>
              </w:rPr>
              <w:t>11.6</w:t>
            </w:r>
          </w:p>
        </w:tc>
      </w:tr>
      <w:tr w:rsidR="001C7F15" w:rsidRPr="001C7F15" w14:paraId="31C12F0C" w14:textId="77777777" w:rsidTr="00E823BC">
        <w:trPr>
          <w:jc w:val="center"/>
        </w:trPr>
        <w:tc>
          <w:tcPr>
            <w:tcW w:w="1586" w:type="dxa"/>
            <w:tcBorders>
              <w:top w:val="nil"/>
              <w:left w:val="single" w:sz="4" w:space="0" w:color="auto"/>
              <w:bottom w:val="single" w:sz="4" w:space="0" w:color="auto"/>
              <w:right w:val="single" w:sz="4" w:space="0" w:color="auto"/>
            </w:tcBorders>
            <w:shd w:val="clear" w:color="auto" w:fill="auto"/>
          </w:tcPr>
          <w:p w14:paraId="44101AB9" w14:textId="77777777" w:rsidR="001C7F15" w:rsidRPr="001C7F15" w:rsidRDefault="001C7F15" w:rsidP="001C7F15">
            <w:pPr>
              <w:autoSpaceDE w:val="0"/>
              <w:autoSpaceDN w:val="0"/>
              <w:adjustRightInd w:val="0"/>
              <w:spacing w:before="40" w:after="120"/>
              <w:rPr>
                <w:rFonts w:eastAsia="Times New Roman"/>
                <w:bCs/>
                <w:sz w:val="16"/>
                <w:szCs w:val="16"/>
                <w:lang w:eastAsia="en-US"/>
              </w:rPr>
            </w:pPr>
            <w:r w:rsidRPr="001C7F15">
              <w:rPr>
                <w:rFonts w:eastAsia="Times New Roman"/>
                <w:bCs/>
                <w:sz w:val="16"/>
                <w:szCs w:val="16"/>
                <w:lang w:eastAsia="en-US"/>
              </w:rPr>
              <w:t>CrediScotia</w:t>
            </w:r>
          </w:p>
        </w:tc>
        <w:tc>
          <w:tcPr>
            <w:tcW w:w="632" w:type="dxa"/>
            <w:tcBorders>
              <w:top w:val="nil"/>
              <w:left w:val="single" w:sz="4" w:space="0" w:color="auto"/>
              <w:bottom w:val="single" w:sz="4" w:space="0" w:color="auto"/>
              <w:right w:val="single" w:sz="4" w:space="0" w:color="auto"/>
            </w:tcBorders>
            <w:shd w:val="clear" w:color="auto" w:fill="auto"/>
          </w:tcPr>
          <w:p w14:paraId="38DE0473"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w:t>
            </w:r>
          </w:p>
        </w:tc>
        <w:tc>
          <w:tcPr>
            <w:tcW w:w="632" w:type="dxa"/>
            <w:tcBorders>
              <w:top w:val="nil"/>
              <w:left w:val="single" w:sz="4" w:space="0" w:color="auto"/>
              <w:bottom w:val="single" w:sz="4" w:space="0" w:color="auto"/>
              <w:right w:val="single" w:sz="4" w:space="0" w:color="auto"/>
            </w:tcBorders>
            <w:shd w:val="clear" w:color="auto" w:fill="auto"/>
          </w:tcPr>
          <w:p w14:paraId="385D701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w:t>
            </w:r>
          </w:p>
        </w:tc>
        <w:tc>
          <w:tcPr>
            <w:tcW w:w="552" w:type="dxa"/>
            <w:tcBorders>
              <w:top w:val="nil"/>
              <w:left w:val="single" w:sz="4" w:space="0" w:color="auto"/>
              <w:bottom w:val="single" w:sz="4" w:space="0" w:color="auto"/>
              <w:right w:val="single" w:sz="4" w:space="0" w:color="auto"/>
            </w:tcBorders>
            <w:shd w:val="clear" w:color="auto" w:fill="auto"/>
          </w:tcPr>
          <w:p w14:paraId="73A1102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w:t>
            </w:r>
          </w:p>
        </w:tc>
        <w:tc>
          <w:tcPr>
            <w:tcW w:w="567" w:type="dxa"/>
            <w:tcBorders>
              <w:top w:val="nil"/>
              <w:left w:val="single" w:sz="4" w:space="0" w:color="auto"/>
              <w:bottom w:val="single" w:sz="4" w:space="0" w:color="auto"/>
              <w:right w:val="single" w:sz="4" w:space="0" w:color="auto"/>
            </w:tcBorders>
            <w:shd w:val="clear" w:color="auto" w:fill="auto"/>
          </w:tcPr>
          <w:p w14:paraId="04F63337"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w:t>
            </w:r>
          </w:p>
        </w:tc>
        <w:tc>
          <w:tcPr>
            <w:tcW w:w="709" w:type="dxa"/>
            <w:tcBorders>
              <w:top w:val="nil"/>
              <w:left w:val="single" w:sz="4" w:space="0" w:color="auto"/>
              <w:bottom w:val="single" w:sz="4" w:space="0" w:color="auto"/>
              <w:right w:val="single" w:sz="4" w:space="0" w:color="auto"/>
            </w:tcBorders>
            <w:shd w:val="clear" w:color="auto" w:fill="auto"/>
          </w:tcPr>
          <w:p w14:paraId="7417868A"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716</w:t>
            </w:r>
          </w:p>
        </w:tc>
        <w:tc>
          <w:tcPr>
            <w:tcW w:w="701" w:type="dxa"/>
            <w:tcBorders>
              <w:top w:val="nil"/>
              <w:left w:val="single" w:sz="4" w:space="0" w:color="auto"/>
              <w:bottom w:val="single" w:sz="4" w:space="0" w:color="auto"/>
              <w:right w:val="single" w:sz="4" w:space="0" w:color="auto"/>
            </w:tcBorders>
            <w:shd w:val="clear" w:color="auto" w:fill="auto"/>
          </w:tcPr>
          <w:p w14:paraId="459159DD"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795</w:t>
            </w:r>
          </w:p>
        </w:tc>
        <w:tc>
          <w:tcPr>
            <w:tcW w:w="632" w:type="dxa"/>
            <w:tcBorders>
              <w:top w:val="nil"/>
              <w:left w:val="single" w:sz="4" w:space="0" w:color="auto"/>
              <w:bottom w:val="single" w:sz="4" w:space="0" w:color="auto"/>
              <w:right w:val="single" w:sz="4" w:space="0" w:color="auto"/>
            </w:tcBorders>
            <w:shd w:val="clear" w:color="auto" w:fill="auto"/>
          </w:tcPr>
          <w:p w14:paraId="74314554"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32</w:t>
            </w:r>
          </w:p>
        </w:tc>
        <w:tc>
          <w:tcPr>
            <w:tcW w:w="652" w:type="dxa"/>
            <w:tcBorders>
              <w:top w:val="nil"/>
              <w:left w:val="single" w:sz="4" w:space="0" w:color="auto"/>
              <w:bottom w:val="single" w:sz="4" w:space="0" w:color="auto"/>
              <w:right w:val="single" w:sz="4" w:space="0" w:color="auto"/>
            </w:tcBorders>
            <w:shd w:val="clear" w:color="auto" w:fill="auto"/>
          </w:tcPr>
          <w:p w14:paraId="213DA3C0"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33</w:t>
            </w:r>
          </w:p>
        </w:tc>
        <w:tc>
          <w:tcPr>
            <w:tcW w:w="708" w:type="dxa"/>
            <w:tcBorders>
              <w:top w:val="nil"/>
              <w:left w:val="single" w:sz="4" w:space="0" w:color="auto"/>
              <w:bottom w:val="single" w:sz="4" w:space="0" w:color="auto"/>
              <w:right w:val="single" w:sz="4" w:space="0" w:color="auto"/>
            </w:tcBorders>
            <w:shd w:val="clear" w:color="auto" w:fill="auto"/>
          </w:tcPr>
          <w:p w14:paraId="54BFB685"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 xml:space="preserve">35.2 </w:t>
            </w:r>
          </w:p>
        </w:tc>
        <w:tc>
          <w:tcPr>
            <w:tcW w:w="567" w:type="dxa"/>
            <w:tcBorders>
              <w:top w:val="nil"/>
              <w:left w:val="single" w:sz="4" w:space="0" w:color="auto"/>
              <w:bottom w:val="single" w:sz="4" w:space="0" w:color="auto"/>
              <w:right w:val="single" w:sz="4" w:space="0" w:color="auto"/>
            </w:tcBorders>
            <w:shd w:val="clear" w:color="auto" w:fill="auto"/>
          </w:tcPr>
          <w:p w14:paraId="59C9E7E1"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36.8</w:t>
            </w:r>
          </w:p>
        </w:tc>
        <w:tc>
          <w:tcPr>
            <w:tcW w:w="602" w:type="dxa"/>
            <w:tcBorders>
              <w:top w:val="nil"/>
              <w:left w:val="single" w:sz="4" w:space="0" w:color="auto"/>
              <w:bottom w:val="single" w:sz="4" w:space="0" w:color="auto"/>
              <w:right w:val="single" w:sz="4" w:space="0" w:color="auto"/>
            </w:tcBorders>
            <w:shd w:val="clear" w:color="auto" w:fill="auto"/>
          </w:tcPr>
          <w:p w14:paraId="31D17B3B"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17.1</w:t>
            </w:r>
          </w:p>
        </w:tc>
        <w:tc>
          <w:tcPr>
            <w:tcW w:w="633" w:type="dxa"/>
            <w:tcBorders>
              <w:top w:val="nil"/>
              <w:left w:val="single" w:sz="4" w:space="0" w:color="auto"/>
              <w:bottom w:val="single" w:sz="4" w:space="0" w:color="auto"/>
              <w:right w:val="single" w:sz="4" w:space="0" w:color="auto"/>
            </w:tcBorders>
            <w:shd w:val="clear" w:color="auto" w:fill="auto"/>
          </w:tcPr>
          <w:p w14:paraId="4C714DC4" w14:textId="77777777" w:rsidR="001C7F15" w:rsidRPr="001C7F15" w:rsidRDefault="001C7F15" w:rsidP="001C7F15">
            <w:pPr>
              <w:autoSpaceDE w:val="0"/>
              <w:autoSpaceDN w:val="0"/>
              <w:adjustRightInd w:val="0"/>
              <w:spacing w:before="40" w:after="120"/>
              <w:jc w:val="right"/>
              <w:rPr>
                <w:rFonts w:eastAsia="Calibri"/>
                <w:sz w:val="16"/>
                <w:szCs w:val="16"/>
                <w:lang w:eastAsia="en-US"/>
              </w:rPr>
            </w:pPr>
            <w:r w:rsidRPr="001C7F15">
              <w:rPr>
                <w:rFonts w:eastAsia="Calibri"/>
                <w:sz w:val="16"/>
                <w:szCs w:val="16"/>
                <w:lang w:eastAsia="en-US"/>
              </w:rPr>
              <w:t>14.2</w:t>
            </w:r>
          </w:p>
        </w:tc>
      </w:tr>
      <w:tr w:rsidR="001C7F15" w:rsidRPr="001C7F15" w14:paraId="4C76E901" w14:textId="77777777" w:rsidTr="001C7F15">
        <w:trPr>
          <w:jc w:val="center"/>
        </w:trPr>
        <w:tc>
          <w:tcPr>
            <w:tcW w:w="9173" w:type="dxa"/>
            <w:gridSpan w:val="13"/>
            <w:tcBorders>
              <w:top w:val="single" w:sz="4" w:space="0" w:color="auto"/>
              <w:left w:val="nil"/>
              <w:bottom w:val="nil"/>
              <w:right w:val="nil"/>
            </w:tcBorders>
            <w:shd w:val="clear" w:color="auto" w:fill="auto"/>
            <w:vAlign w:val="center"/>
          </w:tcPr>
          <w:p w14:paraId="5B36A6D7" w14:textId="77777777" w:rsidR="001C7F15" w:rsidRPr="001C7F15" w:rsidRDefault="001C7F15" w:rsidP="00667577">
            <w:pPr>
              <w:numPr>
                <w:ilvl w:val="0"/>
                <w:numId w:val="190"/>
              </w:numPr>
              <w:spacing w:before="120"/>
              <w:ind w:left="357" w:hanging="357"/>
              <w:contextualSpacing/>
              <w:jc w:val="both"/>
              <w:rPr>
                <w:rFonts w:eastAsia="Times New Roman"/>
                <w:bCs/>
                <w:sz w:val="20"/>
                <w:szCs w:val="20"/>
                <w:lang w:eastAsia="en-US"/>
              </w:rPr>
            </w:pPr>
            <w:r w:rsidRPr="001C7F15">
              <w:rPr>
                <w:rFonts w:eastAsia="Times New Roman"/>
                <w:bCs/>
                <w:sz w:val="20"/>
                <w:szCs w:val="20"/>
                <w:lang w:eastAsia="en-US"/>
              </w:rPr>
              <w:t>La anualidad aquí presentada refleja la comisión registrada en el Banco de México; por lo tanto, no se incluyen casos en los que no se cobre anualidad debido al ofrecimiento de promociones especiales. Cuando un banco ofrece varias tarjetas tipo “Oro”, el ponderador de la comisión es la fracción del número de tarjetas que representa el producto en cuestión en el total del segmento. Las instituciones están ordenadas respecto a su tasa efectiva promedio ponderada en agosto de 2014.</w:t>
            </w:r>
          </w:p>
          <w:p w14:paraId="5AAB6AE2" w14:textId="77777777" w:rsidR="001C7F15" w:rsidRPr="001C7F15" w:rsidRDefault="001C7F15" w:rsidP="001C7F15">
            <w:pPr>
              <w:ind w:left="357"/>
              <w:jc w:val="both"/>
              <w:rPr>
                <w:rFonts w:eastAsia="Times New Roman"/>
                <w:bCs/>
                <w:sz w:val="20"/>
                <w:szCs w:val="20"/>
                <w:lang w:eastAsia="en-US"/>
              </w:rPr>
            </w:pPr>
            <w:r w:rsidRPr="001C7F15">
              <w:rPr>
                <w:rFonts w:eastAsia="Times New Roman"/>
                <w:bCs/>
                <w:sz w:val="20"/>
                <w:szCs w:val="20"/>
                <w:lang w:eastAsia="en-US"/>
              </w:rPr>
              <w:t>Como resultado de una revisión de los atributos de sus productos “Sí Card Plus” Y “Sí Card Plus Invex”, Banco Invex reclasificó estas tarjetas para pasarlas de “Clásica” a “Oro”.</w:t>
            </w:r>
          </w:p>
          <w:p w14:paraId="7D3045B3" w14:textId="77777777" w:rsidR="001C7F15" w:rsidRPr="001C7F15" w:rsidRDefault="001C7F15" w:rsidP="001C7F15">
            <w:pPr>
              <w:jc w:val="both"/>
              <w:rPr>
                <w:rFonts w:eastAsia="Times New Roman"/>
                <w:bCs/>
                <w:sz w:val="20"/>
                <w:szCs w:val="20"/>
                <w:lang w:eastAsia="en-US"/>
              </w:rPr>
            </w:pPr>
            <w:r w:rsidRPr="001C7F15">
              <w:rPr>
                <w:rFonts w:eastAsia="Times New Roman"/>
                <w:bCs/>
                <w:sz w:val="20"/>
                <w:szCs w:val="20"/>
                <w:lang w:eastAsia="en-US"/>
              </w:rPr>
              <w:t>n. a. = No aplica.</w:t>
            </w:r>
          </w:p>
          <w:p w14:paraId="3FEEEFEB" w14:textId="77777777" w:rsidR="001C7F15" w:rsidRPr="001C7F15" w:rsidRDefault="001C7F15" w:rsidP="001C7F15">
            <w:pPr>
              <w:ind w:left="907" w:hanging="907"/>
              <w:jc w:val="both"/>
              <w:rPr>
                <w:rFonts w:eastAsia="Times New Roman"/>
                <w:bCs/>
                <w:sz w:val="16"/>
                <w:szCs w:val="16"/>
                <w:lang w:eastAsia="en-US"/>
              </w:rPr>
            </w:pPr>
            <w:r w:rsidRPr="001C7F15">
              <w:rPr>
                <w:rFonts w:eastAsia="Times New Roman"/>
                <w:bCs/>
                <w:sz w:val="20"/>
                <w:szCs w:val="20"/>
                <w:lang w:eastAsia="en-US"/>
              </w:rPr>
              <w:t>FUENTE: Elaborado con datos proporcionados por las instituciones de crédito, cifras sujetas a revisión.</w:t>
            </w:r>
          </w:p>
        </w:tc>
      </w:tr>
    </w:tbl>
    <w:p w14:paraId="08D5B504" w14:textId="77777777" w:rsidR="001C7F15" w:rsidRPr="001C7F15" w:rsidRDefault="001C7F15" w:rsidP="001C7F15">
      <w:pPr>
        <w:spacing w:after="360" w:line="360" w:lineRule="auto"/>
        <w:ind w:right="-159"/>
        <w:jc w:val="both"/>
        <w:rPr>
          <w:rFonts w:eastAsia="Times New Roman"/>
          <w:bCs/>
          <w:sz w:val="26"/>
          <w:szCs w:val="26"/>
          <w:lang w:val="es-ES"/>
        </w:rPr>
      </w:pPr>
    </w:p>
    <w:p w14:paraId="098E1247" w14:textId="77777777" w:rsidR="001C7F15" w:rsidRDefault="001C7F15" w:rsidP="001C7F15">
      <w:pPr>
        <w:spacing w:after="360" w:line="360" w:lineRule="auto"/>
        <w:ind w:right="-159"/>
        <w:jc w:val="both"/>
        <w:rPr>
          <w:rFonts w:eastAsia="Times New Roman"/>
          <w:bCs/>
          <w:sz w:val="26"/>
          <w:szCs w:val="26"/>
          <w:lang w:val="es-ES"/>
        </w:rPr>
      </w:pPr>
    </w:p>
    <w:p w14:paraId="689E7AE7" w14:textId="77777777" w:rsidR="00894E69" w:rsidRPr="001C7F15" w:rsidRDefault="00894E69" w:rsidP="001C7F15">
      <w:pPr>
        <w:spacing w:after="360" w:line="360" w:lineRule="auto"/>
        <w:ind w:right="-159"/>
        <w:jc w:val="both"/>
        <w:rPr>
          <w:rFonts w:eastAsia="Times New Roman"/>
          <w:bCs/>
          <w:sz w:val="26"/>
          <w:szCs w:val="26"/>
          <w:lang w:val="es-ES"/>
        </w:rPr>
      </w:pPr>
    </w:p>
    <w:p w14:paraId="2A5FEDA2" w14:textId="77777777" w:rsidR="001C7F15" w:rsidRDefault="001C7F15" w:rsidP="001C7F15">
      <w:pPr>
        <w:spacing w:after="360" w:line="360" w:lineRule="auto"/>
        <w:ind w:right="-159"/>
        <w:jc w:val="both"/>
        <w:rPr>
          <w:rFonts w:eastAsia="Times New Roman"/>
          <w:bCs/>
          <w:sz w:val="26"/>
          <w:szCs w:val="26"/>
          <w:lang w:val="es-ES"/>
        </w:rPr>
      </w:pPr>
    </w:p>
    <w:p w14:paraId="3386EBE9" w14:textId="77777777" w:rsidR="008F5FED" w:rsidRPr="001C7F15" w:rsidRDefault="008F5FED" w:rsidP="001C7F15">
      <w:pPr>
        <w:spacing w:after="360" w:line="360" w:lineRule="auto"/>
        <w:ind w:right="-159"/>
        <w:jc w:val="both"/>
        <w:rPr>
          <w:rFonts w:eastAsia="Times New Roman"/>
          <w:bCs/>
          <w:sz w:val="26"/>
          <w:szCs w:val="26"/>
          <w:lang w:val="es-ES"/>
        </w:rPr>
      </w:pPr>
    </w:p>
    <w:p w14:paraId="3D2C3066" w14:textId="77777777" w:rsidR="001C7F15" w:rsidRPr="001C7F15" w:rsidRDefault="001C7F15" w:rsidP="001C7F15">
      <w:pPr>
        <w:spacing w:after="360" w:line="360" w:lineRule="auto"/>
        <w:ind w:right="-159"/>
        <w:jc w:val="both"/>
        <w:rPr>
          <w:rFonts w:eastAsia="Times New Roman"/>
          <w:bCs/>
          <w:sz w:val="26"/>
          <w:szCs w:val="26"/>
          <w:lang w:val="es-ES"/>
        </w:rPr>
      </w:pPr>
    </w:p>
    <w:tbl>
      <w:tblPr>
        <w:tblW w:w="9072" w:type="dxa"/>
        <w:jc w:val="center"/>
        <w:tblLayout w:type="fixed"/>
        <w:tblLook w:val="04A0" w:firstRow="1" w:lastRow="0" w:firstColumn="1" w:lastColumn="0" w:noHBand="0" w:noVBand="1"/>
      </w:tblPr>
      <w:tblGrid>
        <w:gridCol w:w="1276"/>
        <w:gridCol w:w="709"/>
        <w:gridCol w:w="709"/>
        <w:gridCol w:w="567"/>
        <w:gridCol w:w="567"/>
        <w:gridCol w:w="708"/>
        <w:gridCol w:w="709"/>
        <w:gridCol w:w="709"/>
        <w:gridCol w:w="709"/>
        <w:gridCol w:w="708"/>
        <w:gridCol w:w="567"/>
        <w:gridCol w:w="567"/>
        <w:gridCol w:w="567"/>
      </w:tblGrid>
      <w:tr w:rsidR="001C7F15" w:rsidRPr="001C7F15" w14:paraId="5508CAEA" w14:textId="77777777" w:rsidTr="001C7F15">
        <w:trPr>
          <w:jc w:val="center"/>
        </w:trPr>
        <w:tc>
          <w:tcPr>
            <w:tcW w:w="9072" w:type="dxa"/>
            <w:gridSpan w:val="13"/>
            <w:tcBorders>
              <w:top w:val="nil"/>
              <w:left w:val="nil"/>
              <w:bottom w:val="single" w:sz="4" w:space="0" w:color="auto"/>
              <w:right w:val="nil"/>
            </w:tcBorders>
            <w:shd w:val="clear" w:color="auto" w:fill="auto"/>
            <w:vAlign w:val="center"/>
          </w:tcPr>
          <w:p w14:paraId="63499D02" w14:textId="77777777" w:rsidR="001C7F15" w:rsidRPr="001C7F15" w:rsidRDefault="001C7F15" w:rsidP="008F5FED">
            <w:pPr>
              <w:jc w:val="center"/>
              <w:rPr>
                <w:rFonts w:eastAsia="Times New Roman"/>
                <w:b/>
                <w:bCs/>
                <w:sz w:val="22"/>
                <w:szCs w:val="22"/>
                <w:lang w:eastAsia="en-US"/>
              </w:rPr>
            </w:pPr>
            <w:r w:rsidRPr="001C7F15">
              <w:rPr>
                <w:rFonts w:eastAsia="Times New Roman"/>
                <w:b/>
                <w:bCs/>
                <w:sz w:val="22"/>
                <w:szCs w:val="22"/>
                <w:lang w:eastAsia="en-US"/>
              </w:rPr>
              <w:lastRenderedPageBreak/>
              <w:t>INDICADORES BÁSICOS PARA TARJETAS “PLATINO” O EQUIVALENTES, INCLUYENDO A CLIENTES TOTALEROS Y NO TOTALEROS</w:t>
            </w:r>
          </w:p>
          <w:p w14:paraId="1A193B68" w14:textId="77777777" w:rsidR="001C7F15" w:rsidRPr="001C7F15" w:rsidRDefault="001C7F15" w:rsidP="008F5FED">
            <w:pPr>
              <w:jc w:val="center"/>
              <w:rPr>
                <w:rFonts w:eastAsia="Times New Roman"/>
                <w:b/>
                <w:bCs/>
                <w:sz w:val="22"/>
                <w:szCs w:val="22"/>
                <w:lang w:eastAsia="en-US"/>
              </w:rPr>
            </w:pPr>
          </w:p>
        </w:tc>
      </w:tr>
      <w:tr w:rsidR="001C7F15" w:rsidRPr="001C7F15" w14:paraId="034BD998" w14:textId="77777777" w:rsidTr="00E823BC">
        <w:trPr>
          <w:jc w:val="center"/>
        </w:trPr>
        <w:tc>
          <w:tcPr>
            <w:tcW w:w="1276" w:type="dxa"/>
            <w:vMerge w:val="restart"/>
            <w:tcBorders>
              <w:top w:val="single" w:sz="4" w:space="0" w:color="auto"/>
              <w:left w:val="single" w:sz="4" w:space="0" w:color="auto"/>
              <w:right w:val="single" w:sz="4" w:space="0" w:color="auto"/>
            </w:tcBorders>
            <w:shd w:val="clear" w:color="auto" w:fill="auto"/>
            <w:vAlign w:val="center"/>
          </w:tcPr>
          <w:p w14:paraId="4D5D4D72" w14:textId="77777777" w:rsidR="001C7F15" w:rsidRPr="001C7F15" w:rsidRDefault="001C7F15" w:rsidP="001C7F15">
            <w:pPr>
              <w:jc w:val="both"/>
              <w:rPr>
                <w:rFonts w:eastAsia="Times New Roman"/>
                <w:b/>
                <w:bCs/>
                <w:sz w:val="16"/>
                <w:szCs w:val="16"/>
                <w:lang w:eastAsia="en-US"/>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0F179"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Número de tarjetas (miles)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C6760"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Número de productos</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46C576"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Anualidad* ponderada nominal (pesos)</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215CF"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Límite de crédito promedio (miles de pesos)</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DB8D27"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Tasa efectiva promedio ponderada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C2DAAC"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Saldo promedio por tarjeta (miles de pesos)</w:t>
            </w:r>
          </w:p>
        </w:tc>
      </w:tr>
      <w:tr w:rsidR="001C7F15" w:rsidRPr="001C7F15" w14:paraId="214CA9E5" w14:textId="77777777" w:rsidTr="00E823BC">
        <w:trPr>
          <w:jc w:val="center"/>
        </w:trPr>
        <w:tc>
          <w:tcPr>
            <w:tcW w:w="1276" w:type="dxa"/>
            <w:vMerge/>
            <w:tcBorders>
              <w:left w:val="single" w:sz="4" w:space="0" w:color="auto"/>
              <w:right w:val="single" w:sz="4" w:space="0" w:color="auto"/>
            </w:tcBorders>
            <w:shd w:val="clear" w:color="auto" w:fill="auto"/>
            <w:vAlign w:val="center"/>
          </w:tcPr>
          <w:p w14:paraId="0FE75F48" w14:textId="77777777" w:rsidR="001C7F15" w:rsidRPr="001C7F15" w:rsidRDefault="001C7F15" w:rsidP="001C7F15">
            <w:pPr>
              <w:jc w:val="both"/>
              <w:rPr>
                <w:rFonts w:eastAsia="Times New Roman"/>
                <w:b/>
                <w:bCs/>
                <w:sz w:val="16"/>
                <w:szCs w:val="16"/>
                <w:lang w:eastAsia="en-US"/>
              </w:rPr>
            </w:pPr>
          </w:p>
        </w:tc>
        <w:tc>
          <w:tcPr>
            <w:tcW w:w="7796"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A3F1670"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Agosto</w:t>
            </w:r>
          </w:p>
        </w:tc>
      </w:tr>
      <w:tr w:rsidR="001C7F15" w:rsidRPr="001C7F15" w14:paraId="39059221" w14:textId="77777777" w:rsidTr="00E823BC">
        <w:trPr>
          <w:jc w:val="center"/>
        </w:trPr>
        <w:tc>
          <w:tcPr>
            <w:tcW w:w="1276" w:type="dxa"/>
            <w:vMerge/>
            <w:tcBorders>
              <w:left w:val="single" w:sz="4" w:space="0" w:color="auto"/>
              <w:bottom w:val="single" w:sz="4" w:space="0" w:color="auto"/>
              <w:right w:val="single" w:sz="4" w:space="0" w:color="auto"/>
            </w:tcBorders>
            <w:shd w:val="clear" w:color="auto" w:fill="auto"/>
            <w:vAlign w:val="center"/>
          </w:tcPr>
          <w:p w14:paraId="151E7C8D" w14:textId="77777777" w:rsidR="001C7F15" w:rsidRPr="001C7F15" w:rsidRDefault="001C7F15" w:rsidP="001C7F15">
            <w:pPr>
              <w:spacing w:before="40" w:after="40"/>
              <w:rPr>
                <w:rFonts w:eastAsia="Times New Roman"/>
                <w:b/>
                <w:bCs/>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D9CF634"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99DFF96"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D62D709"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3E0614B"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20138BD"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3EA70DE"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F8D60F"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C38B605"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6ABBCFA"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57D9085"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6D1E2604"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8A55047" w14:textId="77777777" w:rsidR="001C7F15" w:rsidRPr="001C7F15" w:rsidRDefault="001C7F15" w:rsidP="001C7F15">
            <w:pPr>
              <w:spacing w:before="40" w:after="40"/>
              <w:rPr>
                <w:rFonts w:eastAsia="Calibri"/>
                <w:b/>
                <w:sz w:val="16"/>
                <w:szCs w:val="16"/>
                <w:lang w:eastAsia="en-US"/>
              </w:rPr>
            </w:pPr>
            <w:r w:rsidRPr="001C7F15">
              <w:rPr>
                <w:rFonts w:eastAsia="Calibri"/>
                <w:b/>
                <w:sz w:val="16"/>
                <w:szCs w:val="16"/>
                <w:lang w:eastAsia="en-US"/>
              </w:rPr>
              <w:t>2014</w:t>
            </w:r>
          </w:p>
        </w:tc>
      </w:tr>
      <w:tr w:rsidR="001C7F15" w:rsidRPr="001C7F15" w14:paraId="46830CF6" w14:textId="77777777" w:rsidTr="00E823BC">
        <w:trPr>
          <w:jc w:val="center"/>
        </w:trPr>
        <w:tc>
          <w:tcPr>
            <w:tcW w:w="1276" w:type="dxa"/>
            <w:tcBorders>
              <w:top w:val="single" w:sz="4" w:space="0" w:color="auto"/>
              <w:left w:val="single" w:sz="4" w:space="0" w:color="auto"/>
              <w:bottom w:val="nil"/>
              <w:right w:val="single" w:sz="4" w:space="0" w:color="auto"/>
            </w:tcBorders>
            <w:shd w:val="clear" w:color="auto" w:fill="auto"/>
          </w:tcPr>
          <w:p w14:paraId="25C3C9C4" w14:textId="77777777" w:rsidR="001C7F15" w:rsidRPr="001C7F15" w:rsidRDefault="001C7F15" w:rsidP="001C7F15">
            <w:pPr>
              <w:autoSpaceDE w:val="0"/>
              <w:autoSpaceDN w:val="0"/>
              <w:adjustRightInd w:val="0"/>
              <w:spacing w:before="120"/>
              <w:jc w:val="both"/>
              <w:rPr>
                <w:rFonts w:eastAsia="Times New Roman"/>
                <w:b/>
                <w:bCs/>
                <w:sz w:val="16"/>
                <w:szCs w:val="16"/>
                <w:lang w:eastAsia="en-US"/>
              </w:rPr>
            </w:pPr>
            <w:r w:rsidRPr="001C7F15">
              <w:rPr>
                <w:rFonts w:eastAsia="Times New Roman"/>
                <w:b/>
                <w:bCs/>
                <w:sz w:val="16"/>
                <w:szCs w:val="16"/>
                <w:lang w:eastAsia="en-US"/>
              </w:rPr>
              <w:t>Sistema</w:t>
            </w:r>
          </w:p>
        </w:tc>
        <w:tc>
          <w:tcPr>
            <w:tcW w:w="709" w:type="dxa"/>
            <w:tcBorders>
              <w:top w:val="single" w:sz="4" w:space="0" w:color="auto"/>
              <w:left w:val="single" w:sz="4" w:space="0" w:color="auto"/>
              <w:bottom w:val="nil"/>
              <w:right w:val="single" w:sz="4" w:space="0" w:color="auto"/>
            </w:tcBorders>
            <w:shd w:val="clear" w:color="auto" w:fill="auto"/>
          </w:tcPr>
          <w:p w14:paraId="63202C82"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1 232</w:t>
            </w:r>
          </w:p>
        </w:tc>
        <w:tc>
          <w:tcPr>
            <w:tcW w:w="709" w:type="dxa"/>
            <w:tcBorders>
              <w:top w:val="single" w:sz="4" w:space="0" w:color="auto"/>
              <w:left w:val="single" w:sz="4" w:space="0" w:color="auto"/>
              <w:bottom w:val="nil"/>
              <w:right w:val="single" w:sz="4" w:space="0" w:color="auto"/>
            </w:tcBorders>
            <w:shd w:val="clear" w:color="auto" w:fill="auto"/>
          </w:tcPr>
          <w:p w14:paraId="64585BEE"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1 430</w:t>
            </w:r>
          </w:p>
        </w:tc>
        <w:tc>
          <w:tcPr>
            <w:tcW w:w="567" w:type="dxa"/>
            <w:tcBorders>
              <w:top w:val="single" w:sz="4" w:space="0" w:color="auto"/>
              <w:left w:val="single" w:sz="4" w:space="0" w:color="auto"/>
              <w:bottom w:val="nil"/>
              <w:right w:val="single" w:sz="4" w:space="0" w:color="auto"/>
            </w:tcBorders>
            <w:shd w:val="clear" w:color="auto" w:fill="auto"/>
          </w:tcPr>
          <w:p w14:paraId="2CCB9819"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34</w:t>
            </w:r>
          </w:p>
        </w:tc>
        <w:tc>
          <w:tcPr>
            <w:tcW w:w="567" w:type="dxa"/>
            <w:tcBorders>
              <w:top w:val="single" w:sz="4" w:space="0" w:color="auto"/>
              <w:left w:val="single" w:sz="4" w:space="0" w:color="auto"/>
              <w:bottom w:val="nil"/>
              <w:right w:val="single" w:sz="4" w:space="0" w:color="auto"/>
            </w:tcBorders>
            <w:shd w:val="clear" w:color="auto" w:fill="auto"/>
          </w:tcPr>
          <w:p w14:paraId="1996BA5F"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36</w:t>
            </w:r>
          </w:p>
        </w:tc>
        <w:tc>
          <w:tcPr>
            <w:tcW w:w="708" w:type="dxa"/>
            <w:tcBorders>
              <w:top w:val="single" w:sz="4" w:space="0" w:color="auto"/>
              <w:left w:val="single" w:sz="4" w:space="0" w:color="auto"/>
              <w:bottom w:val="nil"/>
              <w:right w:val="single" w:sz="4" w:space="0" w:color="auto"/>
            </w:tcBorders>
            <w:shd w:val="clear" w:color="auto" w:fill="auto"/>
          </w:tcPr>
          <w:p w14:paraId="46788655"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1 917</w:t>
            </w:r>
          </w:p>
        </w:tc>
        <w:tc>
          <w:tcPr>
            <w:tcW w:w="709" w:type="dxa"/>
            <w:tcBorders>
              <w:top w:val="single" w:sz="4" w:space="0" w:color="auto"/>
              <w:left w:val="single" w:sz="4" w:space="0" w:color="auto"/>
              <w:bottom w:val="nil"/>
              <w:right w:val="single" w:sz="4" w:space="0" w:color="auto"/>
            </w:tcBorders>
            <w:shd w:val="clear" w:color="auto" w:fill="auto"/>
          </w:tcPr>
          <w:p w14:paraId="18C65115"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2 071</w:t>
            </w:r>
          </w:p>
        </w:tc>
        <w:tc>
          <w:tcPr>
            <w:tcW w:w="709" w:type="dxa"/>
            <w:tcBorders>
              <w:top w:val="single" w:sz="4" w:space="0" w:color="auto"/>
              <w:left w:val="single" w:sz="4" w:space="0" w:color="auto"/>
              <w:bottom w:val="nil"/>
              <w:right w:val="single" w:sz="4" w:space="0" w:color="auto"/>
            </w:tcBorders>
            <w:shd w:val="clear" w:color="auto" w:fill="auto"/>
          </w:tcPr>
          <w:p w14:paraId="0B21632E"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116</w:t>
            </w:r>
          </w:p>
        </w:tc>
        <w:tc>
          <w:tcPr>
            <w:tcW w:w="709" w:type="dxa"/>
            <w:tcBorders>
              <w:top w:val="single" w:sz="4" w:space="0" w:color="auto"/>
              <w:left w:val="single" w:sz="4" w:space="0" w:color="auto"/>
              <w:bottom w:val="nil"/>
              <w:right w:val="single" w:sz="4" w:space="0" w:color="auto"/>
            </w:tcBorders>
            <w:shd w:val="clear" w:color="auto" w:fill="auto"/>
          </w:tcPr>
          <w:p w14:paraId="1AE6994E"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119</w:t>
            </w:r>
          </w:p>
        </w:tc>
        <w:tc>
          <w:tcPr>
            <w:tcW w:w="708" w:type="dxa"/>
            <w:tcBorders>
              <w:top w:val="single" w:sz="4" w:space="0" w:color="auto"/>
              <w:left w:val="single" w:sz="4" w:space="0" w:color="auto"/>
              <w:bottom w:val="nil"/>
              <w:right w:val="single" w:sz="4" w:space="0" w:color="auto"/>
            </w:tcBorders>
            <w:shd w:val="clear" w:color="auto" w:fill="auto"/>
          </w:tcPr>
          <w:p w14:paraId="1B9404A7"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16.2</w:t>
            </w:r>
          </w:p>
        </w:tc>
        <w:tc>
          <w:tcPr>
            <w:tcW w:w="567" w:type="dxa"/>
            <w:tcBorders>
              <w:top w:val="single" w:sz="4" w:space="0" w:color="auto"/>
              <w:left w:val="single" w:sz="4" w:space="0" w:color="auto"/>
              <w:bottom w:val="nil"/>
              <w:right w:val="single" w:sz="4" w:space="0" w:color="auto"/>
            </w:tcBorders>
            <w:shd w:val="clear" w:color="auto" w:fill="auto"/>
          </w:tcPr>
          <w:p w14:paraId="188340CE"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16.3</w:t>
            </w:r>
          </w:p>
        </w:tc>
        <w:tc>
          <w:tcPr>
            <w:tcW w:w="567" w:type="dxa"/>
            <w:tcBorders>
              <w:top w:val="single" w:sz="4" w:space="0" w:color="auto"/>
              <w:left w:val="single" w:sz="4" w:space="0" w:color="auto"/>
              <w:bottom w:val="nil"/>
              <w:right w:val="single" w:sz="4" w:space="0" w:color="auto"/>
            </w:tcBorders>
            <w:shd w:val="clear" w:color="auto" w:fill="auto"/>
          </w:tcPr>
          <w:p w14:paraId="7E59D2E8"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38.2</w:t>
            </w:r>
          </w:p>
        </w:tc>
        <w:tc>
          <w:tcPr>
            <w:tcW w:w="567" w:type="dxa"/>
            <w:tcBorders>
              <w:top w:val="single" w:sz="4" w:space="0" w:color="auto"/>
              <w:left w:val="single" w:sz="4" w:space="0" w:color="auto"/>
              <w:bottom w:val="nil"/>
              <w:right w:val="single" w:sz="4" w:space="0" w:color="auto"/>
            </w:tcBorders>
            <w:shd w:val="clear" w:color="auto" w:fill="auto"/>
          </w:tcPr>
          <w:p w14:paraId="56FD17B3" w14:textId="77777777" w:rsidR="001C7F15" w:rsidRPr="001C7F15" w:rsidRDefault="001C7F15" w:rsidP="001C7F15">
            <w:pPr>
              <w:autoSpaceDE w:val="0"/>
              <w:autoSpaceDN w:val="0"/>
              <w:adjustRightInd w:val="0"/>
              <w:spacing w:before="120"/>
              <w:jc w:val="right"/>
              <w:rPr>
                <w:rFonts w:eastAsia="Calibri"/>
                <w:b/>
                <w:sz w:val="16"/>
                <w:szCs w:val="16"/>
                <w:lang w:eastAsia="en-US"/>
              </w:rPr>
            </w:pPr>
            <w:r w:rsidRPr="001C7F15">
              <w:rPr>
                <w:rFonts w:eastAsia="Calibri"/>
                <w:b/>
                <w:sz w:val="16"/>
                <w:szCs w:val="16"/>
                <w:lang w:eastAsia="en-US"/>
              </w:rPr>
              <w:t>38.9</w:t>
            </w:r>
          </w:p>
        </w:tc>
      </w:tr>
      <w:tr w:rsidR="001C7F15" w:rsidRPr="001C7F15" w14:paraId="37D7160B"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2C951887"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Inbursa</w:t>
            </w:r>
          </w:p>
        </w:tc>
        <w:tc>
          <w:tcPr>
            <w:tcW w:w="709" w:type="dxa"/>
            <w:tcBorders>
              <w:top w:val="nil"/>
              <w:left w:val="single" w:sz="4" w:space="0" w:color="auto"/>
              <w:bottom w:val="nil"/>
              <w:right w:val="single" w:sz="4" w:space="0" w:color="auto"/>
            </w:tcBorders>
            <w:shd w:val="clear" w:color="auto" w:fill="auto"/>
          </w:tcPr>
          <w:p w14:paraId="6EDAC0B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709" w:type="dxa"/>
            <w:tcBorders>
              <w:top w:val="nil"/>
              <w:left w:val="single" w:sz="4" w:space="0" w:color="auto"/>
              <w:bottom w:val="nil"/>
              <w:right w:val="single" w:sz="4" w:space="0" w:color="auto"/>
            </w:tcBorders>
            <w:shd w:val="clear" w:color="auto" w:fill="auto"/>
          </w:tcPr>
          <w:p w14:paraId="592120B9"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w:t>
            </w:r>
          </w:p>
        </w:tc>
        <w:tc>
          <w:tcPr>
            <w:tcW w:w="567" w:type="dxa"/>
            <w:tcBorders>
              <w:top w:val="nil"/>
              <w:left w:val="single" w:sz="4" w:space="0" w:color="auto"/>
              <w:bottom w:val="nil"/>
              <w:right w:val="single" w:sz="4" w:space="0" w:color="auto"/>
            </w:tcBorders>
            <w:shd w:val="clear" w:color="auto" w:fill="auto"/>
          </w:tcPr>
          <w:p w14:paraId="66F1420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507F0B2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708" w:type="dxa"/>
            <w:tcBorders>
              <w:top w:val="nil"/>
              <w:left w:val="single" w:sz="4" w:space="0" w:color="auto"/>
              <w:bottom w:val="nil"/>
              <w:right w:val="single" w:sz="4" w:space="0" w:color="auto"/>
            </w:tcBorders>
            <w:shd w:val="clear" w:color="auto" w:fill="auto"/>
          </w:tcPr>
          <w:p w14:paraId="34DC376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750</w:t>
            </w:r>
          </w:p>
        </w:tc>
        <w:tc>
          <w:tcPr>
            <w:tcW w:w="709" w:type="dxa"/>
            <w:tcBorders>
              <w:top w:val="nil"/>
              <w:left w:val="single" w:sz="4" w:space="0" w:color="auto"/>
              <w:bottom w:val="nil"/>
              <w:right w:val="single" w:sz="4" w:space="0" w:color="auto"/>
            </w:tcBorders>
            <w:shd w:val="clear" w:color="auto" w:fill="auto"/>
          </w:tcPr>
          <w:p w14:paraId="7F47436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750</w:t>
            </w:r>
          </w:p>
        </w:tc>
        <w:tc>
          <w:tcPr>
            <w:tcW w:w="709" w:type="dxa"/>
            <w:tcBorders>
              <w:top w:val="nil"/>
              <w:left w:val="single" w:sz="4" w:space="0" w:color="auto"/>
              <w:bottom w:val="nil"/>
              <w:right w:val="single" w:sz="4" w:space="0" w:color="auto"/>
            </w:tcBorders>
            <w:shd w:val="clear" w:color="auto" w:fill="auto"/>
          </w:tcPr>
          <w:p w14:paraId="6BF1114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107</w:t>
            </w:r>
          </w:p>
        </w:tc>
        <w:tc>
          <w:tcPr>
            <w:tcW w:w="709" w:type="dxa"/>
            <w:tcBorders>
              <w:top w:val="nil"/>
              <w:left w:val="single" w:sz="4" w:space="0" w:color="auto"/>
              <w:bottom w:val="nil"/>
              <w:right w:val="single" w:sz="4" w:space="0" w:color="auto"/>
            </w:tcBorders>
            <w:shd w:val="clear" w:color="auto" w:fill="auto"/>
          </w:tcPr>
          <w:p w14:paraId="1A314C7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91</w:t>
            </w:r>
          </w:p>
        </w:tc>
        <w:tc>
          <w:tcPr>
            <w:tcW w:w="708" w:type="dxa"/>
            <w:tcBorders>
              <w:top w:val="nil"/>
              <w:left w:val="single" w:sz="4" w:space="0" w:color="auto"/>
              <w:bottom w:val="nil"/>
              <w:right w:val="single" w:sz="4" w:space="0" w:color="auto"/>
            </w:tcBorders>
            <w:shd w:val="clear" w:color="auto" w:fill="auto"/>
          </w:tcPr>
          <w:p w14:paraId="704FC34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12.7</w:t>
            </w:r>
          </w:p>
        </w:tc>
        <w:tc>
          <w:tcPr>
            <w:tcW w:w="567" w:type="dxa"/>
            <w:tcBorders>
              <w:top w:val="nil"/>
              <w:left w:val="single" w:sz="4" w:space="0" w:color="auto"/>
              <w:bottom w:val="nil"/>
              <w:right w:val="single" w:sz="4" w:space="0" w:color="auto"/>
            </w:tcBorders>
            <w:shd w:val="clear" w:color="auto" w:fill="auto"/>
          </w:tcPr>
          <w:p w14:paraId="3F0273C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13.2</w:t>
            </w:r>
          </w:p>
        </w:tc>
        <w:tc>
          <w:tcPr>
            <w:tcW w:w="567" w:type="dxa"/>
            <w:tcBorders>
              <w:top w:val="nil"/>
              <w:left w:val="single" w:sz="4" w:space="0" w:color="auto"/>
              <w:bottom w:val="nil"/>
              <w:right w:val="single" w:sz="4" w:space="0" w:color="auto"/>
            </w:tcBorders>
            <w:shd w:val="clear" w:color="auto" w:fill="auto"/>
          </w:tcPr>
          <w:p w14:paraId="5C2040C7"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40.8</w:t>
            </w:r>
          </w:p>
        </w:tc>
        <w:tc>
          <w:tcPr>
            <w:tcW w:w="567" w:type="dxa"/>
            <w:tcBorders>
              <w:top w:val="nil"/>
              <w:left w:val="single" w:sz="4" w:space="0" w:color="auto"/>
              <w:bottom w:val="nil"/>
              <w:right w:val="single" w:sz="4" w:space="0" w:color="auto"/>
            </w:tcBorders>
            <w:shd w:val="clear" w:color="auto" w:fill="auto"/>
          </w:tcPr>
          <w:p w14:paraId="5C6207E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34.5</w:t>
            </w:r>
          </w:p>
        </w:tc>
      </w:tr>
      <w:tr w:rsidR="001C7F15" w:rsidRPr="001C7F15" w14:paraId="4DF40DA7"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51758301"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Banamex</w:t>
            </w:r>
          </w:p>
        </w:tc>
        <w:tc>
          <w:tcPr>
            <w:tcW w:w="709" w:type="dxa"/>
            <w:tcBorders>
              <w:top w:val="nil"/>
              <w:left w:val="single" w:sz="4" w:space="0" w:color="auto"/>
              <w:bottom w:val="nil"/>
              <w:right w:val="single" w:sz="4" w:space="0" w:color="auto"/>
            </w:tcBorders>
            <w:shd w:val="clear" w:color="auto" w:fill="auto"/>
          </w:tcPr>
          <w:p w14:paraId="242FA37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419</w:t>
            </w:r>
          </w:p>
        </w:tc>
        <w:tc>
          <w:tcPr>
            <w:tcW w:w="709" w:type="dxa"/>
            <w:tcBorders>
              <w:top w:val="nil"/>
              <w:left w:val="single" w:sz="4" w:space="0" w:color="auto"/>
              <w:bottom w:val="nil"/>
              <w:right w:val="single" w:sz="4" w:space="0" w:color="auto"/>
            </w:tcBorders>
            <w:shd w:val="clear" w:color="auto" w:fill="auto"/>
          </w:tcPr>
          <w:p w14:paraId="529FE25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562</w:t>
            </w:r>
          </w:p>
        </w:tc>
        <w:tc>
          <w:tcPr>
            <w:tcW w:w="567" w:type="dxa"/>
            <w:tcBorders>
              <w:top w:val="nil"/>
              <w:left w:val="single" w:sz="4" w:space="0" w:color="auto"/>
              <w:bottom w:val="nil"/>
              <w:right w:val="single" w:sz="4" w:space="0" w:color="auto"/>
            </w:tcBorders>
            <w:shd w:val="clear" w:color="auto" w:fill="auto"/>
          </w:tcPr>
          <w:p w14:paraId="5ABB7EC5"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w:t>
            </w:r>
          </w:p>
        </w:tc>
        <w:tc>
          <w:tcPr>
            <w:tcW w:w="567" w:type="dxa"/>
            <w:tcBorders>
              <w:top w:val="nil"/>
              <w:left w:val="single" w:sz="4" w:space="0" w:color="auto"/>
              <w:bottom w:val="nil"/>
              <w:right w:val="single" w:sz="4" w:space="0" w:color="auto"/>
            </w:tcBorders>
            <w:shd w:val="clear" w:color="auto" w:fill="auto"/>
          </w:tcPr>
          <w:p w14:paraId="65FB30D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6</w:t>
            </w:r>
          </w:p>
        </w:tc>
        <w:tc>
          <w:tcPr>
            <w:tcW w:w="708" w:type="dxa"/>
            <w:tcBorders>
              <w:top w:val="nil"/>
              <w:left w:val="single" w:sz="4" w:space="0" w:color="auto"/>
              <w:bottom w:val="nil"/>
              <w:right w:val="single" w:sz="4" w:space="0" w:color="auto"/>
            </w:tcBorders>
            <w:shd w:val="clear" w:color="auto" w:fill="auto"/>
          </w:tcPr>
          <w:p w14:paraId="708EA4A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2 425</w:t>
            </w:r>
          </w:p>
        </w:tc>
        <w:tc>
          <w:tcPr>
            <w:tcW w:w="709" w:type="dxa"/>
            <w:tcBorders>
              <w:top w:val="nil"/>
              <w:left w:val="single" w:sz="4" w:space="0" w:color="auto"/>
              <w:bottom w:val="nil"/>
              <w:right w:val="single" w:sz="4" w:space="0" w:color="auto"/>
            </w:tcBorders>
            <w:shd w:val="clear" w:color="auto" w:fill="auto"/>
          </w:tcPr>
          <w:p w14:paraId="2B4FFCC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2 353</w:t>
            </w:r>
          </w:p>
        </w:tc>
        <w:tc>
          <w:tcPr>
            <w:tcW w:w="709" w:type="dxa"/>
            <w:tcBorders>
              <w:top w:val="nil"/>
              <w:left w:val="single" w:sz="4" w:space="0" w:color="auto"/>
              <w:bottom w:val="nil"/>
              <w:right w:val="single" w:sz="4" w:space="0" w:color="auto"/>
            </w:tcBorders>
            <w:shd w:val="clear" w:color="auto" w:fill="auto"/>
          </w:tcPr>
          <w:p w14:paraId="36A225C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119</w:t>
            </w:r>
          </w:p>
        </w:tc>
        <w:tc>
          <w:tcPr>
            <w:tcW w:w="709" w:type="dxa"/>
            <w:tcBorders>
              <w:top w:val="nil"/>
              <w:left w:val="single" w:sz="4" w:space="0" w:color="auto"/>
              <w:bottom w:val="nil"/>
              <w:right w:val="single" w:sz="4" w:space="0" w:color="auto"/>
            </w:tcBorders>
            <w:shd w:val="clear" w:color="auto" w:fill="auto"/>
          </w:tcPr>
          <w:p w14:paraId="059127C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114</w:t>
            </w:r>
          </w:p>
        </w:tc>
        <w:tc>
          <w:tcPr>
            <w:tcW w:w="708" w:type="dxa"/>
            <w:tcBorders>
              <w:top w:val="nil"/>
              <w:left w:val="single" w:sz="4" w:space="0" w:color="auto"/>
              <w:bottom w:val="nil"/>
              <w:right w:val="single" w:sz="4" w:space="0" w:color="auto"/>
            </w:tcBorders>
            <w:shd w:val="clear" w:color="auto" w:fill="auto"/>
          </w:tcPr>
          <w:p w14:paraId="2CB0C6C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13.4</w:t>
            </w:r>
          </w:p>
        </w:tc>
        <w:tc>
          <w:tcPr>
            <w:tcW w:w="567" w:type="dxa"/>
            <w:tcBorders>
              <w:top w:val="nil"/>
              <w:left w:val="single" w:sz="4" w:space="0" w:color="auto"/>
              <w:bottom w:val="nil"/>
              <w:right w:val="single" w:sz="4" w:space="0" w:color="auto"/>
            </w:tcBorders>
            <w:shd w:val="clear" w:color="auto" w:fill="auto"/>
          </w:tcPr>
          <w:p w14:paraId="14C5A77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13.5</w:t>
            </w:r>
          </w:p>
        </w:tc>
        <w:tc>
          <w:tcPr>
            <w:tcW w:w="567" w:type="dxa"/>
            <w:tcBorders>
              <w:top w:val="nil"/>
              <w:left w:val="single" w:sz="4" w:space="0" w:color="auto"/>
              <w:bottom w:val="nil"/>
              <w:right w:val="single" w:sz="4" w:space="0" w:color="auto"/>
            </w:tcBorders>
            <w:shd w:val="clear" w:color="auto" w:fill="auto"/>
          </w:tcPr>
          <w:p w14:paraId="7DB55EE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35.3</w:t>
            </w:r>
          </w:p>
        </w:tc>
        <w:tc>
          <w:tcPr>
            <w:tcW w:w="567" w:type="dxa"/>
            <w:tcBorders>
              <w:top w:val="nil"/>
              <w:left w:val="single" w:sz="4" w:space="0" w:color="auto"/>
              <w:bottom w:val="nil"/>
              <w:right w:val="single" w:sz="4" w:space="0" w:color="auto"/>
            </w:tcBorders>
            <w:shd w:val="clear" w:color="auto" w:fill="auto"/>
          </w:tcPr>
          <w:p w14:paraId="3206E7B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36.1</w:t>
            </w:r>
          </w:p>
        </w:tc>
      </w:tr>
      <w:tr w:rsidR="001C7F15" w:rsidRPr="001C7F15" w14:paraId="0B13E41F"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26BCA606"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Banorte-Ixe Tarjetas</w:t>
            </w:r>
          </w:p>
        </w:tc>
        <w:tc>
          <w:tcPr>
            <w:tcW w:w="709" w:type="dxa"/>
            <w:tcBorders>
              <w:top w:val="nil"/>
              <w:left w:val="single" w:sz="4" w:space="0" w:color="auto"/>
              <w:bottom w:val="nil"/>
              <w:right w:val="single" w:sz="4" w:space="0" w:color="auto"/>
            </w:tcBorders>
            <w:shd w:val="clear" w:color="auto" w:fill="auto"/>
          </w:tcPr>
          <w:p w14:paraId="2E39EC4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60</w:t>
            </w:r>
          </w:p>
        </w:tc>
        <w:tc>
          <w:tcPr>
            <w:tcW w:w="709" w:type="dxa"/>
            <w:tcBorders>
              <w:top w:val="nil"/>
              <w:left w:val="single" w:sz="4" w:space="0" w:color="auto"/>
              <w:bottom w:val="nil"/>
              <w:right w:val="single" w:sz="4" w:space="0" w:color="auto"/>
            </w:tcBorders>
            <w:shd w:val="clear" w:color="auto" w:fill="auto"/>
          </w:tcPr>
          <w:p w14:paraId="7F2B21A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71</w:t>
            </w:r>
          </w:p>
        </w:tc>
        <w:tc>
          <w:tcPr>
            <w:tcW w:w="567" w:type="dxa"/>
            <w:tcBorders>
              <w:top w:val="nil"/>
              <w:left w:val="single" w:sz="4" w:space="0" w:color="auto"/>
              <w:bottom w:val="nil"/>
              <w:right w:val="single" w:sz="4" w:space="0" w:color="auto"/>
            </w:tcBorders>
            <w:shd w:val="clear" w:color="auto" w:fill="auto"/>
          </w:tcPr>
          <w:p w14:paraId="34B81D0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6</w:t>
            </w:r>
          </w:p>
        </w:tc>
        <w:tc>
          <w:tcPr>
            <w:tcW w:w="567" w:type="dxa"/>
            <w:tcBorders>
              <w:top w:val="nil"/>
              <w:left w:val="single" w:sz="4" w:space="0" w:color="auto"/>
              <w:bottom w:val="nil"/>
              <w:right w:val="single" w:sz="4" w:space="0" w:color="auto"/>
            </w:tcBorders>
            <w:shd w:val="clear" w:color="auto" w:fill="auto"/>
          </w:tcPr>
          <w:p w14:paraId="163D6E8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6</w:t>
            </w:r>
          </w:p>
        </w:tc>
        <w:tc>
          <w:tcPr>
            <w:tcW w:w="708" w:type="dxa"/>
            <w:tcBorders>
              <w:top w:val="nil"/>
              <w:left w:val="single" w:sz="4" w:space="0" w:color="auto"/>
              <w:bottom w:val="nil"/>
              <w:right w:val="single" w:sz="4" w:space="0" w:color="auto"/>
            </w:tcBorders>
            <w:shd w:val="clear" w:color="auto" w:fill="auto"/>
          </w:tcPr>
          <w:p w14:paraId="4DC60F9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1 960</w:t>
            </w:r>
          </w:p>
        </w:tc>
        <w:tc>
          <w:tcPr>
            <w:tcW w:w="709" w:type="dxa"/>
            <w:tcBorders>
              <w:top w:val="nil"/>
              <w:left w:val="single" w:sz="4" w:space="0" w:color="auto"/>
              <w:bottom w:val="nil"/>
              <w:right w:val="single" w:sz="4" w:space="0" w:color="auto"/>
            </w:tcBorders>
            <w:shd w:val="clear" w:color="auto" w:fill="auto"/>
          </w:tcPr>
          <w:p w14:paraId="425169A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2 120</w:t>
            </w:r>
          </w:p>
        </w:tc>
        <w:tc>
          <w:tcPr>
            <w:tcW w:w="709" w:type="dxa"/>
            <w:tcBorders>
              <w:top w:val="nil"/>
              <w:left w:val="single" w:sz="4" w:space="0" w:color="auto"/>
              <w:bottom w:val="nil"/>
              <w:right w:val="single" w:sz="4" w:space="0" w:color="auto"/>
            </w:tcBorders>
            <w:shd w:val="clear" w:color="auto" w:fill="auto"/>
          </w:tcPr>
          <w:p w14:paraId="484E016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118</w:t>
            </w:r>
          </w:p>
        </w:tc>
        <w:tc>
          <w:tcPr>
            <w:tcW w:w="709" w:type="dxa"/>
            <w:tcBorders>
              <w:top w:val="nil"/>
              <w:left w:val="single" w:sz="4" w:space="0" w:color="auto"/>
              <w:bottom w:val="nil"/>
              <w:right w:val="single" w:sz="4" w:space="0" w:color="auto"/>
            </w:tcBorders>
            <w:shd w:val="clear" w:color="auto" w:fill="auto"/>
          </w:tcPr>
          <w:p w14:paraId="7399BEC9"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124</w:t>
            </w:r>
          </w:p>
        </w:tc>
        <w:tc>
          <w:tcPr>
            <w:tcW w:w="708" w:type="dxa"/>
            <w:tcBorders>
              <w:top w:val="nil"/>
              <w:left w:val="single" w:sz="4" w:space="0" w:color="auto"/>
              <w:bottom w:val="nil"/>
              <w:right w:val="single" w:sz="4" w:space="0" w:color="auto"/>
            </w:tcBorders>
            <w:shd w:val="clear" w:color="auto" w:fill="auto"/>
          </w:tcPr>
          <w:p w14:paraId="6C391F73"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13.5</w:t>
            </w:r>
          </w:p>
        </w:tc>
        <w:tc>
          <w:tcPr>
            <w:tcW w:w="567" w:type="dxa"/>
            <w:tcBorders>
              <w:top w:val="nil"/>
              <w:left w:val="single" w:sz="4" w:space="0" w:color="auto"/>
              <w:bottom w:val="nil"/>
              <w:right w:val="single" w:sz="4" w:space="0" w:color="auto"/>
            </w:tcBorders>
            <w:shd w:val="clear" w:color="auto" w:fill="auto"/>
          </w:tcPr>
          <w:p w14:paraId="6678777C"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14.2</w:t>
            </w:r>
          </w:p>
        </w:tc>
        <w:tc>
          <w:tcPr>
            <w:tcW w:w="567" w:type="dxa"/>
            <w:tcBorders>
              <w:top w:val="nil"/>
              <w:left w:val="single" w:sz="4" w:space="0" w:color="auto"/>
              <w:bottom w:val="nil"/>
              <w:right w:val="single" w:sz="4" w:space="0" w:color="auto"/>
            </w:tcBorders>
            <w:shd w:val="clear" w:color="auto" w:fill="auto"/>
          </w:tcPr>
          <w:p w14:paraId="368CC1D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49.4</w:t>
            </w:r>
          </w:p>
        </w:tc>
        <w:tc>
          <w:tcPr>
            <w:tcW w:w="567" w:type="dxa"/>
            <w:tcBorders>
              <w:top w:val="nil"/>
              <w:left w:val="single" w:sz="4" w:space="0" w:color="auto"/>
              <w:bottom w:val="nil"/>
              <w:right w:val="single" w:sz="4" w:space="0" w:color="auto"/>
            </w:tcBorders>
            <w:shd w:val="clear" w:color="auto" w:fill="auto"/>
          </w:tcPr>
          <w:p w14:paraId="50F611C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51.0</w:t>
            </w:r>
          </w:p>
        </w:tc>
      </w:tr>
      <w:tr w:rsidR="001C7F15" w:rsidRPr="001C7F15" w14:paraId="7DC66567"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152325EC"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Scotiabank</w:t>
            </w:r>
          </w:p>
        </w:tc>
        <w:tc>
          <w:tcPr>
            <w:tcW w:w="709" w:type="dxa"/>
            <w:tcBorders>
              <w:top w:val="nil"/>
              <w:left w:val="single" w:sz="4" w:space="0" w:color="auto"/>
              <w:bottom w:val="nil"/>
              <w:right w:val="single" w:sz="4" w:space="0" w:color="auto"/>
            </w:tcBorders>
            <w:shd w:val="clear" w:color="auto" w:fill="auto"/>
          </w:tcPr>
          <w:p w14:paraId="00728C1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w:t>
            </w:r>
          </w:p>
        </w:tc>
        <w:tc>
          <w:tcPr>
            <w:tcW w:w="709" w:type="dxa"/>
            <w:tcBorders>
              <w:top w:val="nil"/>
              <w:left w:val="single" w:sz="4" w:space="0" w:color="auto"/>
              <w:bottom w:val="nil"/>
              <w:right w:val="single" w:sz="4" w:space="0" w:color="auto"/>
            </w:tcBorders>
            <w:shd w:val="clear" w:color="auto" w:fill="auto"/>
          </w:tcPr>
          <w:p w14:paraId="4575923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34</w:t>
            </w:r>
          </w:p>
        </w:tc>
        <w:tc>
          <w:tcPr>
            <w:tcW w:w="567" w:type="dxa"/>
            <w:tcBorders>
              <w:top w:val="nil"/>
              <w:left w:val="single" w:sz="4" w:space="0" w:color="auto"/>
              <w:bottom w:val="nil"/>
              <w:right w:val="single" w:sz="4" w:space="0" w:color="auto"/>
            </w:tcBorders>
            <w:shd w:val="clear" w:color="auto" w:fill="auto"/>
          </w:tcPr>
          <w:p w14:paraId="4A7740D7"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nil"/>
              <w:right w:val="single" w:sz="4" w:space="0" w:color="auto"/>
            </w:tcBorders>
            <w:shd w:val="clear" w:color="auto" w:fill="auto"/>
          </w:tcPr>
          <w:p w14:paraId="5BFF5CE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708" w:type="dxa"/>
            <w:tcBorders>
              <w:top w:val="nil"/>
              <w:left w:val="single" w:sz="4" w:space="0" w:color="auto"/>
              <w:bottom w:val="nil"/>
              <w:right w:val="single" w:sz="4" w:space="0" w:color="auto"/>
            </w:tcBorders>
            <w:shd w:val="clear" w:color="auto" w:fill="auto"/>
          </w:tcPr>
          <w:p w14:paraId="6E9B2FB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1 676</w:t>
            </w:r>
          </w:p>
        </w:tc>
        <w:tc>
          <w:tcPr>
            <w:tcW w:w="709" w:type="dxa"/>
            <w:tcBorders>
              <w:top w:val="nil"/>
              <w:left w:val="single" w:sz="4" w:space="0" w:color="auto"/>
              <w:bottom w:val="nil"/>
              <w:right w:val="single" w:sz="4" w:space="0" w:color="auto"/>
            </w:tcBorders>
            <w:shd w:val="clear" w:color="auto" w:fill="auto"/>
          </w:tcPr>
          <w:p w14:paraId="5281F1E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1 911</w:t>
            </w:r>
          </w:p>
        </w:tc>
        <w:tc>
          <w:tcPr>
            <w:tcW w:w="709" w:type="dxa"/>
            <w:tcBorders>
              <w:top w:val="nil"/>
              <w:left w:val="single" w:sz="4" w:space="0" w:color="auto"/>
              <w:bottom w:val="nil"/>
              <w:right w:val="single" w:sz="4" w:space="0" w:color="auto"/>
            </w:tcBorders>
            <w:shd w:val="clear" w:color="auto" w:fill="auto"/>
          </w:tcPr>
          <w:p w14:paraId="5E2AA30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94</w:t>
            </w:r>
          </w:p>
        </w:tc>
        <w:tc>
          <w:tcPr>
            <w:tcW w:w="709" w:type="dxa"/>
            <w:tcBorders>
              <w:top w:val="nil"/>
              <w:left w:val="single" w:sz="4" w:space="0" w:color="auto"/>
              <w:bottom w:val="nil"/>
              <w:right w:val="single" w:sz="4" w:space="0" w:color="auto"/>
            </w:tcBorders>
            <w:shd w:val="clear" w:color="auto" w:fill="auto"/>
          </w:tcPr>
          <w:p w14:paraId="24BC470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94</w:t>
            </w:r>
          </w:p>
        </w:tc>
        <w:tc>
          <w:tcPr>
            <w:tcW w:w="708" w:type="dxa"/>
            <w:tcBorders>
              <w:top w:val="nil"/>
              <w:left w:val="single" w:sz="4" w:space="0" w:color="auto"/>
              <w:bottom w:val="nil"/>
              <w:right w:val="single" w:sz="4" w:space="0" w:color="auto"/>
            </w:tcBorders>
            <w:shd w:val="clear" w:color="auto" w:fill="auto"/>
          </w:tcPr>
          <w:p w14:paraId="65FD1C4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15.7</w:t>
            </w:r>
          </w:p>
        </w:tc>
        <w:tc>
          <w:tcPr>
            <w:tcW w:w="567" w:type="dxa"/>
            <w:tcBorders>
              <w:top w:val="nil"/>
              <w:left w:val="single" w:sz="4" w:space="0" w:color="auto"/>
              <w:bottom w:val="nil"/>
              <w:right w:val="single" w:sz="4" w:space="0" w:color="auto"/>
            </w:tcBorders>
            <w:shd w:val="clear" w:color="auto" w:fill="auto"/>
          </w:tcPr>
          <w:p w14:paraId="3A328FA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15.5</w:t>
            </w:r>
          </w:p>
        </w:tc>
        <w:tc>
          <w:tcPr>
            <w:tcW w:w="567" w:type="dxa"/>
            <w:tcBorders>
              <w:top w:val="nil"/>
              <w:left w:val="single" w:sz="4" w:space="0" w:color="auto"/>
              <w:bottom w:val="nil"/>
              <w:right w:val="single" w:sz="4" w:space="0" w:color="auto"/>
            </w:tcBorders>
            <w:shd w:val="clear" w:color="auto" w:fill="auto"/>
          </w:tcPr>
          <w:p w14:paraId="40BD0A6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27.4</w:t>
            </w:r>
          </w:p>
        </w:tc>
        <w:tc>
          <w:tcPr>
            <w:tcW w:w="567" w:type="dxa"/>
            <w:tcBorders>
              <w:top w:val="nil"/>
              <w:left w:val="single" w:sz="4" w:space="0" w:color="auto"/>
              <w:bottom w:val="nil"/>
              <w:right w:val="single" w:sz="4" w:space="0" w:color="auto"/>
            </w:tcBorders>
            <w:shd w:val="clear" w:color="auto" w:fill="auto"/>
          </w:tcPr>
          <w:p w14:paraId="2F44CF03"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29.6</w:t>
            </w:r>
          </w:p>
        </w:tc>
      </w:tr>
      <w:tr w:rsidR="001C7F15" w:rsidRPr="001C7F15" w14:paraId="0CD553C6"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3F2D0CEA"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Santander</w:t>
            </w:r>
          </w:p>
        </w:tc>
        <w:tc>
          <w:tcPr>
            <w:tcW w:w="709" w:type="dxa"/>
            <w:tcBorders>
              <w:top w:val="nil"/>
              <w:left w:val="single" w:sz="4" w:space="0" w:color="auto"/>
              <w:bottom w:val="nil"/>
              <w:right w:val="single" w:sz="4" w:space="0" w:color="auto"/>
            </w:tcBorders>
            <w:shd w:val="clear" w:color="auto" w:fill="auto"/>
          </w:tcPr>
          <w:p w14:paraId="3E55477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77</w:t>
            </w:r>
          </w:p>
        </w:tc>
        <w:tc>
          <w:tcPr>
            <w:tcW w:w="709" w:type="dxa"/>
            <w:tcBorders>
              <w:top w:val="nil"/>
              <w:left w:val="single" w:sz="4" w:space="0" w:color="auto"/>
              <w:bottom w:val="nil"/>
              <w:right w:val="single" w:sz="4" w:space="0" w:color="auto"/>
            </w:tcBorders>
            <w:shd w:val="clear" w:color="auto" w:fill="auto"/>
          </w:tcPr>
          <w:p w14:paraId="68A2C37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87</w:t>
            </w:r>
          </w:p>
        </w:tc>
        <w:tc>
          <w:tcPr>
            <w:tcW w:w="567" w:type="dxa"/>
            <w:tcBorders>
              <w:top w:val="nil"/>
              <w:left w:val="single" w:sz="4" w:space="0" w:color="auto"/>
              <w:bottom w:val="nil"/>
              <w:right w:val="single" w:sz="4" w:space="0" w:color="auto"/>
            </w:tcBorders>
            <w:shd w:val="clear" w:color="auto" w:fill="auto"/>
          </w:tcPr>
          <w:p w14:paraId="4731B16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w:t>
            </w:r>
          </w:p>
        </w:tc>
        <w:tc>
          <w:tcPr>
            <w:tcW w:w="567" w:type="dxa"/>
            <w:tcBorders>
              <w:top w:val="nil"/>
              <w:left w:val="single" w:sz="4" w:space="0" w:color="auto"/>
              <w:bottom w:val="nil"/>
              <w:right w:val="single" w:sz="4" w:space="0" w:color="auto"/>
            </w:tcBorders>
            <w:shd w:val="clear" w:color="auto" w:fill="auto"/>
          </w:tcPr>
          <w:p w14:paraId="586EA77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w:t>
            </w:r>
          </w:p>
        </w:tc>
        <w:tc>
          <w:tcPr>
            <w:tcW w:w="708" w:type="dxa"/>
            <w:tcBorders>
              <w:top w:val="nil"/>
              <w:left w:val="single" w:sz="4" w:space="0" w:color="auto"/>
              <w:bottom w:val="nil"/>
              <w:right w:val="single" w:sz="4" w:space="0" w:color="auto"/>
            </w:tcBorders>
            <w:shd w:val="clear" w:color="auto" w:fill="auto"/>
          </w:tcPr>
          <w:p w14:paraId="281B2FD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1 652</w:t>
            </w:r>
          </w:p>
        </w:tc>
        <w:tc>
          <w:tcPr>
            <w:tcW w:w="709" w:type="dxa"/>
            <w:tcBorders>
              <w:top w:val="nil"/>
              <w:left w:val="single" w:sz="4" w:space="0" w:color="auto"/>
              <w:bottom w:val="nil"/>
              <w:right w:val="single" w:sz="4" w:space="0" w:color="auto"/>
            </w:tcBorders>
            <w:shd w:val="clear" w:color="auto" w:fill="auto"/>
          </w:tcPr>
          <w:p w14:paraId="3605FF27"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1 660</w:t>
            </w:r>
          </w:p>
        </w:tc>
        <w:tc>
          <w:tcPr>
            <w:tcW w:w="709" w:type="dxa"/>
            <w:tcBorders>
              <w:top w:val="nil"/>
              <w:left w:val="single" w:sz="4" w:space="0" w:color="auto"/>
              <w:bottom w:val="nil"/>
              <w:right w:val="single" w:sz="4" w:space="0" w:color="auto"/>
            </w:tcBorders>
            <w:shd w:val="clear" w:color="auto" w:fill="auto"/>
          </w:tcPr>
          <w:p w14:paraId="1F1A44A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124</w:t>
            </w:r>
          </w:p>
        </w:tc>
        <w:tc>
          <w:tcPr>
            <w:tcW w:w="709" w:type="dxa"/>
            <w:tcBorders>
              <w:top w:val="nil"/>
              <w:left w:val="single" w:sz="4" w:space="0" w:color="auto"/>
              <w:bottom w:val="nil"/>
              <w:right w:val="single" w:sz="4" w:space="0" w:color="auto"/>
            </w:tcBorders>
            <w:shd w:val="clear" w:color="auto" w:fill="auto"/>
          </w:tcPr>
          <w:p w14:paraId="4DC95B97"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126</w:t>
            </w:r>
          </w:p>
        </w:tc>
        <w:tc>
          <w:tcPr>
            <w:tcW w:w="708" w:type="dxa"/>
            <w:tcBorders>
              <w:top w:val="nil"/>
              <w:left w:val="single" w:sz="4" w:space="0" w:color="auto"/>
              <w:bottom w:val="nil"/>
              <w:right w:val="single" w:sz="4" w:space="0" w:color="auto"/>
            </w:tcBorders>
            <w:shd w:val="clear" w:color="auto" w:fill="auto"/>
          </w:tcPr>
          <w:p w14:paraId="40CB994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16.6</w:t>
            </w:r>
          </w:p>
        </w:tc>
        <w:tc>
          <w:tcPr>
            <w:tcW w:w="567" w:type="dxa"/>
            <w:tcBorders>
              <w:top w:val="nil"/>
              <w:left w:val="single" w:sz="4" w:space="0" w:color="auto"/>
              <w:bottom w:val="nil"/>
              <w:right w:val="single" w:sz="4" w:space="0" w:color="auto"/>
            </w:tcBorders>
            <w:shd w:val="clear" w:color="auto" w:fill="auto"/>
          </w:tcPr>
          <w:p w14:paraId="5DC4286F"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16.8</w:t>
            </w:r>
          </w:p>
        </w:tc>
        <w:tc>
          <w:tcPr>
            <w:tcW w:w="567" w:type="dxa"/>
            <w:tcBorders>
              <w:top w:val="nil"/>
              <w:left w:val="single" w:sz="4" w:space="0" w:color="auto"/>
              <w:bottom w:val="nil"/>
              <w:right w:val="single" w:sz="4" w:space="0" w:color="auto"/>
            </w:tcBorders>
            <w:shd w:val="clear" w:color="auto" w:fill="auto"/>
          </w:tcPr>
          <w:p w14:paraId="49501CE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47.2</w:t>
            </w:r>
          </w:p>
        </w:tc>
        <w:tc>
          <w:tcPr>
            <w:tcW w:w="567" w:type="dxa"/>
            <w:tcBorders>
              <w:top w:val="nil"/>
              <w:left w:val="single" w:sz="4" w:space="0" w:color="auto"/>
              <w:bottom w:val="nil"/>
              <w:right w:val="single" w:sz="4" w:space="0" w:color="auto"/>
            </w:tcBorders>
            <w:shd w:val="clear" w:color="auto" w:fill="auto"/>
          </w:tcPr>
          <w:p w14:paraId="2171264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44.2</w:t>
            </w:r>
          </w:p>
        </w:tc>
      </w:tr>
      <w:tr w:rsidR="001C7F15" w:rsidRPr="001C7F15" w14:paraId="59FACB2E"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6EFB8355"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BBVA Bancomer</w:t>
            </w:r>
          </w:p>
        </w:tc>
        <w:tc>
          <w:tcPr>
            <w:tcW w:w="709" w:type="dxa"/>
            <w:tcBorders>
              <w:top w:val="nil"/>
              <w:left w:val="single" w:sz="4" w:space="0" w:color="auto"/>
              <w:bottom w:val="nil"/>
              <w:right w:val="single" w:sz="4" w:space="0" w:color="auto"/>
            </w:tcBorders>
            <w:shd w:val="clear" w:color="auto" w:fill="auto"/>
          </w:tcPr>
          <w:p w14:paraId="41EA3AC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294</w:t>
            </w:r>
          </w:p>
        </w:tc>
        <w:tc>
          <w:tcPr>
            <w:tcW w:w="709" w:type="dxa"/>
            <w:tcBorders>
              <w:top w:val="nil"/>
              <w:left w:val="single" w:sz="4" w:space="0" w:color="auto"/>
              <w:bottom w:val="nil"/>
              <w:right w:val="single" w:sz="4" w:space="0" w:color="auto"/>
            </w:tcBorders>
            <w:shd w:val="clear" w:color="auto" w:fill="auto"/>
          </w:tcPr>
          <w:p w14:paraId="51DCE71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286</w:t>
            </w:r>
          </w:p>
        </w:tc>
        <w:tc>
          <w:tcPr>
            <w:tcW w:w="567" w:type="dxa"/>
            <w:tcBorders>
              <w:top w:val="nil"/>
              <w:left w:val="single" w:sz="4" w:space="0" w:color="auto"/>
              <w:bottom w:val="nil"/>
              <w:right w:val="single" w:sz="4" w:space="0" w:color="auto"/>
            </w:tcBorders>
            <w:shd w:val="clear" w:color="auto" w:fill="auto"/>
          </w:tcPr>
          <w:p w14:paraId="229A233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nil"/>
              <w:right w:val="single" w:sz="4" w:space="0" w:color="auto"/>
            </w:tcBorders>
            <w:shd w:val="clear" w:color="auto" w:fill="auto"/>
          </w:tcPr>
          <w:p w14:paraId="0E44CD5F"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708" w:type="dxa"/>
            <w:tcBorders>
              <w:top w:val="nil"/>
              <w:left w:val="single" w:sz="4" w:space="0" w:color="auto"/>
              <w:bottom w:val="nil"/>
              <w:right w:val="single" w:sz="4" w:space="0" w:color="auto"/>
            </w:tcBorders>
            <w:shd w:val="clear" w:color="auto" w:fill="auto"/>
          </w:tcPr>
          <w:p w14:paraId="00875C5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2 051</w:t>
            </w:r>
          </w:p>
        </w:tc>
        <w:tc>
          <w:tcPr>
            <w:tcW w:w="709" w:type="dxa"/>
            <w:tcBorders>
              <w:top w:val="nil"/>
              <w:left w:val="single" w:sz="4" w:space="0" w:color="auto"/>
              <w:bottom w:val="nil"/>
              <w:right w:val="single" w:sz="4" w:space="0" w:color="auto"/>
            </w:tcBorders>
            <w:shd w:val="clear" w:color="auto" w:fill="auto"/>
          </w:tcPr>
          <w:p w14:paraId="63EDB97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2 134</w:t>
            </w:r>
          </w:p>
        </w:tc>
        <w:tc>
          <w:tcPr>
            <w:tcW w:w="709" w:type="dxa"/>
            <w:tcBorders>
              <w:top w:val="nil"/>
              <w:left w:val="single" w:sz="4" w:space="0" w:color="auto"/>
              <w:bottom w:val="nil"/>
              <w:right w:val="single" w:sz="4" w:space="0" w:color="auto"/>
            </w:tcBorders>
            <w:shd w:val="clear" w:color="auto" w:fill="auto"/>
          </w:tcPr>
          <w:p w14:paraId="31EFDD0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139</w:t>
            </w:r>
          </w:p>
        </w:tc>
        <w:tc>
          <w:tcPr>
            <w:tcW w:w="709" w:type="dxa"/>
            <w:tcBorders>
              <w:top w:val="nil"/>
              <w:left w:val="single" w:sz="4" w:space="0" w:color="auto"/>
              <w:bottom w:val="nil"/>
              <w:right w:val="single" w:sz="4" w:space="0" w:color="auto"/>
            </w:tcBorders>
            <w:shd w:val="clear" w:color="auto" w:fill="auto"/>
          </w:tcPr>
          <w:p w14:paraId="59FE09B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159</w:t>
            </w:r>
          </w:p>
        </w:tc>
        <w:tc>
          <w:tcPr>
            <w:tcW w:w="708" w:type="dxa"/>
            <w:tcBorders>
              <w:top w:val="nil"/>
              <w:left w:val="single" w:sz="4" w:space="0" w:color="auto"/>
              <w:bottom w:val="nil"/>
              <w:right w:val="single" w:sz="4" w:space="0" w:color="auto"/>
            </w:tcBorders>
            <w:shd w:val="clear" w:color="auto" w:fill="auto"/>
          </w:tcPr>
          <w:p w14:paraId="01C86F1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16.1</w:t>
            </w:r>
          </w:p>
        </w:tc>
        <w:tc>
          <w:tcPr>
            <w:tcW w:w="567" w:type="dxa"/>
            <w:tcBorders>
              <w:top w:val="nil"/>
              <w:left w:val="single" w:sz="4" w:space="0" w:color="auto"/>
              <w:bottom w:val="nil"/>
              <w:right w:val="single" w:sz="4" w:space="0" w:color="auto"/>
            </w:tcBorders>
            <w:shd w:val="clear" w:color="auto" w:fill="auto"/>
          </w:tcPr>
          <w:p w14:paraId="015B115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17.8</w:t>
            </w:r>
          </w:p>
        </w:tc>
        <w:tc>
          <w:tcPr>
            <w:tcW w:w="567" w:type="dxa"/>
            <w:tcBorders>
              <w:top w:val="nil"/>
              <w:left w:val="single" w:sz="4" w:space="0" w:color="auto"/>
              <w:bottom w:val="nil"/>
              <w:right w:val="single" w:sz="4" w:space="0" w:color="auto"/>
            </w:tcBorders>
            <w:shd w:val="clear" w:color="auto" w:fill="auto"/>
          </w:tcPr>
          <w:p w14:paraId="1DB3EDE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51.6</w:t>
            </w:r>
          </w:p>
        </w:tc>
        <w:tc>
          <w:tcPr>
            <w:tcW w:w="567" w:type="dxa"/>
            <w:tcBorders>
              <w:top w:val="nil"/>
              <w:left w:val="single" w:sz="4" w:space="0" w:color="auto"/>
              <w:bottom w:val="nil"/>
              <w:right w:val="single" w:sz="4" w:space="0" w:color="auto"/>
            </w:tcBorders>
            <w:shd w:val="clear" w:color="auto" w:fill="auto"/>
          </w:tcPr>
          <w:p w14:paraId="1AB9839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55.6</w:t>
            </w:r>
          </w:p>
        </w:tc>
      </w:tr>
      <w:tr w:rsidR="001C7F15" w:rsidRPr="001C7F15" w14:paraId="210EF63E"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05517B32"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HSBC</w:t>
            </w:r>
          </w:p>
        </w:tc>
        <w:tc>
          <w:tcPr>
            <w:tcW w:w="709" w:type="dxa"/>
            <w:tcBorders>
              <w:top w:val="nil"/>
              <w:left w:val="single" w:sz="4" w:space="0" w:color="auto"/>
              <w:bottom w:val="nil"/>
              <w:right w:val="single" w:sz="4" w:space="0" w:color="auto"/>
            </w:tcBorders>
            <w:shd w:val="clear" w:color="auto" w:fill="auto"/>
          </w:tcPr>
          <w:p w14:paraId="21EFCFEF"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146</w:t>
            </w:r>
          </w:p>
        </w:tc>
        <w:tc>
          <w:tcPr>
            <w:tcW w:w="709" w:type="dxa"/>
            <w:tcBorders>
              <w:top w:val="nil"/>
              <w:left w:val="single" w:sz="4" w:space="0" w:color="auto"/>
              <w:bottom w:val="nil"/>
              <w:right w:val="single" w:sz="4" w:space="0" w:color="auto"/>
            </w:tcBorders>
            <w:shd w:val="clear" w:color="auto" w:fill="auto"/>
          </w:tcPr>
          <w:p w14:paraId="0808C21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157</w:t>
            </w:r>
          </w:p>
        </w:tc>
        <w:tc>
          <w:tcPr>
            <w:tcW w:w="567" w:type="dxa"/>
            <w:tcBorders>
              <w:top w:val="nil"/>
              <w:left w:val="single" w:sz="4" w:space="0" w:color="auto"/>
              <w:bottom w:val="nil"/>
              <w:right w:val="single" w:sz="4" w:space="0" w:color="auto"/>
            </w:tcBorders>
            <w:shd w:val="clear" w:color="auto" w:fill="auto"/>
          </w:tcPr>
          <w:p w14:paraId="530AC405"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4</w:t>
            </w:r>
          </w:p>
        </w:tc>
        <w:tc>
          <w:tcPr>
            <w:tcW w:w="567" w:type="dxa"/>
            <w:tcBorders>
              <w:top w:val="nil"/>
              <w:left w:val="single" w:sz="4" w:space="0" w:color="auto"/>
              <w:bottom w:val="nil"/>
              <w:right w:val="single" w:sz="4" w:space="0" w:color="auto"/>
            </w:tcBorders>
            <w:shd w:val="clear" w:color="auto" w:fill="auto"/>
          </w:tcPr>
          <w:p w14:paraId="5F0EE19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5</w:t>
            </w:r>
          </w:p>
        </w:tc>
        <w:tc>
          <w:tcPr>
            <w:tcW w:w="708" w:type="dxa"/>
            <w:tcBorders>
              <w:top w:val="nil"/>
              <w:left w:val="single" w:sz="4" w:space="0" w:color="auto"/>
              <w:bottom w:val="nil"/>
              <w:right w:val="single" w:sz="4" w:space="0" w:color="auto"/>
            </w:tcBorders>
            <w:shd w:val="clear" w:color="auto" w:fill="auto"/>
          </w:tcPr>
          <w:p w14:paraId="58F1154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776</w:t>
            </w:r>
          </w:p>
        </w:tc>
        <w:tc>
          <w:tcPr>
            <w:tcW w:w="709" w:type="dxa"/>
            <w:tcBorders>
              <w:top w:val="nil"/>
              <w:left w:val="single" w:sz="4" w:space="0" w:color="auto"/>
              <w:bottom w:val="nil"/>
              <w:right w:val="single" w:sz="4" w:space="0" w:color="auto"/>
            </w:tcBorders>
            <w:shd w:val="clear" w:color="auto" w:fill="auto"/>
          </w:tcPr>
          <w:p w14:paraId="33CB14B3"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1 185</w:t>
            </w:r>
          </w:p>
        </w:tc>
        <w:tc>
          <w:tcPr>
            <w:tcW w:w="709" w:type="dxa"/>
            <w:tcBorders>
              <w:top w:val="nil"/>
              <w:left w:val="single" w:sz="4" w:space="0" w:color="auto"/>
              <w:bottom w:val="nil"/>
              <w:right w:val="single" w:sz="4" w:space="0" w:color="auto"/>
            </w:tcBorders>
            <w:shd w:val="clear" w:color="auto" w:fill="auto"/>
          </w:tcPr>
          <w:p w14:paraId="10E5D5D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123</w:t>
            </w:r>
          </w:p>
        </w:tc>
        <w:tc>
          <w:tcPr>
            <w:tcW w:w="709" w:type="dxa"/>
            <w:tcBorders>
              <w:top w:val="nil"/>
              <w:left w:val="single" w:sz="4" w:space="0" w:color="auto"/>
              <w:bottom w:val="nil"/>
              <w:right w:val="single" w:sz="4" w:space="0" w:color="auto"/>
            </w:tcBorders>
            <w:shd w:val="clear" w:color="auto" w:fill="auto"/>
          </w:tcPr>
          <w:p w14:paraId="5C489501"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127</w:t>
            </w:r>
          </w:p>
        </w:tc>
        <w:tc>
          <w:tcPr>
            <w:tcW w:w="708" w:type="dxa"/>
            <w:tcBorders>
              <w:top w:val="nil"/>
              <w:left w:val="single" w:sz="4" w:space="0" w:color="auto"/>
              <w:bottom w:val="nil"/>
              <w:right w:val="single" w:sz="4" w:space="0" w:color="auto"/>
            </w:tcBorders>
            <w:shd w:val="clear" w:color="auto" w:fill="auto"/>
          </w:tcPr>
          <w:p w14:paraId="67893EA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19.3</w:t>
            </w:r>
          </w:p>
        </w:tc>
        <w:tc>
          <w:tcPr>
            <w:tcW w:w="567" w:type="dxa"/>
            <w:tcBorders>
              <w:top w:val="nil"/>
              <w:left w:val="single" w:sz="4" w:space="0" w:color="auto"/>
              <w:bottom w:val="nil"/>
              <w:right w:val="single" w:sz="4" w:space="0" w:color="auto"/>
            </w:tcBorders>
            <w:shd w:val="clear" w:color="auto" w:fill="auto"/>
          </w:tcPr>
          <w:p w14:paraId="173546B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18.1</w:t>
            </w:r>
          </w:p>
        </w:tc>
        <w:tc>
          <w:tcPr>
            <w:tcW w:w="567" w:type="dxa"/>
            <w:tcBorders>
              <w:top w:val="nil"/>
              <w:left w:val="single" w:sz="4" w:space="0" w:color="auto"/>
              <w:bottom w:val="nil"/>
              <w:right w:val="single" w:sz="4" w:space="0" w:color="auto"/>
            </w:tcBorders>
            <w:shd w:val="clear" w:color="auto" w:fill="auto"/>
          </w:tcPr>
          <w:p w14:paraId="71E791BB"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32.9</w:t>
            </w:r>
          </w:p>
        </w:tc>
        <w:tc>
          <w:tcPr>
            <w:tcW w:w="567" w:type="dxa"/>
            <w:tcBorders>
              <w:top w:val="nil"/>
              <w:left w:val="single" w:sz="4" w:space="0" w:color="auto"/>
              <w:bottom w:val="nil"/>
              <w:right w:val="single" w:sz="4" w:space="0" w:color="auto"/>
            </w:tcBorders>
            <w:shd w:val="clear" w:color="auto" w:fill="auto"/>
          </w:tcPr>
          <w:p w14:paraId="5BCEA14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35.3</w:t>
            </w:r>
          </w:p>
        </w:tc>
      </w:tr>
      <w:tr w:rsidR="001C7F15" w:rsidRPr="001C7F15" w14:paraId="52706EA5" w14:textId="77777777" w:rsidTr="00E823BC">
        <w:trPr>
          <w:jc w:val="center"/>
        </w:trPr>
        <w:tc>
          <w:tcPr>
            <w:tcW w:w="1276" w:type="dxa"/>
            <w:tcBorders>
              <w:top w:val="nil"/>
              <w:left w:val="single" w:sz="4" w:space="0" w:color="auto"/>
              <w:bottom w:val="single" w:sz="4" w:space="0" w:color="auto"/>
              <w:right w:val="single" w:sz="4" w:space="0" w:color="auto"/>
            </w:tcBorders>
            <w:shd w:val="clear" w:color="auto" w:fill="auto"/>
          </w:tcPr>
          <w:p w14:paraId="5609783F" w14:textId="77777777" w:rsidR="001C7F15" w:rsidRPr="001C7F15" w:rsidRDefault="001C7F15" w:rsidP="001C7F15">
            <w:pPr>
              <w:autoSpaceDE w:val="0"/>
              <w:autoSpaceDN w:val="0"/>
              <w:adjustRightInd w:val="0"/>
              <w:spacing w:after="120"/>
              <w:jc w:val="both"/>
              <w:rPr>
                <w:rFonts w:eastAsia="Times New Roman"/>
                <w:bCs/>
                <w:sz w:val="16"/>
                <w:szCs w:val="16"/>
                <w:lang w:eastAsia="en-US"/>
              </w:rPr>
            </w:pPr>
            <w:r w:rsidRPr="001C7F15">
              <w:rPr>
                <w:rFonts w:eastAsia="Times New Roman"/>
                <w:bCs/>
                <w:sz w:val="16"/>
                <w:szCs w:val="16"/>
                <w:lang w:eastAsia="en-US"/>
              </w:rPr>
              <w:t>American Express</w:t>
            </w:r>
          </w:p>
        </w:tc>
        <w:tc>
          <w:tcPr>
            <w:tcW w:w="709" w:type="dxa"/>
            <w:tcBorders>
              <w:top w:val="nil"/>
              <w:left w:val="single" w:sz="4" w:space="0" w:color="auto"/>
              <w:bottom w:val="single" w:sz="4" w:space="0" w:color="auto"/>
              <w:right w:val="single" w:sz="4" w:space="0" w:color="auto"/>
            </w:tcBorders>
            <w:shd w:val="clear" w:color="auto" w:fill="auto"/>
          </w:tcPr>
          <w:p w14:paraId="4456ECEB"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184</w:t>
            </w:r>
          </w:p>
        </w:tc>
        <w:tc>
          <w:tcPr>
            <w:tcW w:w="709" w:type="dxa"/>
            <w:tcBorders>
              <w:top w:val="nil"/>
              <w:left w:val="single" w:sz="4" w:space="0" w:color="auto"/>
              <w:bottom w:val="single" w:sz="4" w:space="0" w:color="auto"/>
              <w:right w:val="single" w:sz="4" w:space="0" w:color="auto"/>
            </w:tcBorders>
            <w:shd w:val="clear" w:color="auto" w:fill="auto"/>
          </w:tcPr>
          <w:p w14:paraId="55CBB9A7"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196</w:t>
            </w:r>
          </w:p>
        </w:tc>
        <w:tc>
          <w:tcPr>
            <w:tcW w:w="567" w:type="dxa"/>
            <w:tcBorders>
              <w:top w:val="nil"/>
              <w:left w:val="single" w:sz="4" w:space="0" w:color="auto"/>
              <w:bottom w:val="single" w:sz="4" w:space="0" w:color="auto"/>
              <w:right w:val="single" w:sz="4" w:space="0" w:color="auto"/>
            </w:tcBorders>
            <w:shd w:val="clear" w:color="auto" w:fill="auto"/>
          </w:tcPr>
          <w:p w14:paraId="039E240C"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single" w:sz="4" w:space="0" w:color="auto"/>
              <w:right w:val="single" w:sz="4" w:space="0" w:color="auto"/>
            </w:tcBorders>
            <w:shd w:val="clear" w:color="auto" w:fill="auto"/>
          </w:tcPr>
          <w:p w14:paraId="64D994CF"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w:t>
            </w:r>
          </w:p>
        </w:tc>
        <w:tc>
          <w:tcPr>
            <w:tcW w:w="708" w:type="dxa"/>
            <w:tcBorders>
              <w:top w:val="nil"/>
              <w:left w:val="single" w:sz="4" w:space="0" w:color="auto"/>
              <w:bottom w:val="single" w:sz="4" w:space="0" w:color="auto"/>
              <w:right w:val="single" w:sz="4" w:space="0" w:color="auto"/>
            </w:tcBorders>
            <w:shd w:val="clear" w:color="auto" w:fill="auto"/>
          </w:tcPr>
          <w:p w14:paraId="0A2EA8BD"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1 761</w:t>
            </w:r>
          </w:p>
        </w:tc>
        <w:tc>
          <w:tcPr>
            <w:tcW w:w="709" w:type="dxa"/>
            <w:tcBorders>
              <w:top w:val="nil"/>
              <w:left w:val="single" w:sz="4" w:space="0" w:color="auto"/>
              <w:bottom w:val="single" w:sz="4" w:space="0" w:color="auto"/>
              <w:right w:val="single" w:sz="4" w:space="0" w:color="auto"/>
            </w:tcBorders>
            <w:shd w:val="clear" w:color="auto" w:fill="auto"/>
          </w:tcPr>
          <w:p w14:paraId="3B0BFE7A"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2 275</w:t>
            </w:r>
          </w:p>
        </w:tc>
        <w:tc>
          <w:tcPr>
            <w:tcW w:w="709" w:type="dxa"/>
            <w:tcBorders>
              <w:top w:val="nil"/>
              <w:left w:val="single" w:sz="4" w:space="0" w:color="auto"/>
              <w:bottom w:val="single" w:sz="4" w:space="0" w:color="auto"/>
              <w:right w:val="single" w:sz="4" w:space="0" w:color="auto"/>
            </w:tcBorders>
            <w:shd w:val="clear" w:color="auto" w:fill="auto"/>
          </w:tcPr>
          <w:p w14:paraId="562E616A"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76</w:t>
            </w:r>
          </w:p>
        </w:tc>
        <w:tc>
          <w:tcPr>
            <w:tcW w:w="709" w:type="dxa"/>
            <w:tcBorders>
              <w:top w:val="nil"/>
              <w:left w:val="single" w:sz="4" w:space="0" w:color="auto"/>
              <w:bottom w:val="single" w:sz="4" w:space="0" w:color="auto"/>
              <w:right w:val="single" w:sz="4" w:space="0" w:color="auto"/>
            </w:tcBorders>
            <w:shd w:val="clear" w:color="auto" w:fill="auto"/>
          </w:tcPr>
          <w:p w14:paraId="4C5C0A35"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77</w:t>
            </w:r>
          </w:p>
        </w:tc>
        <w:tc>
          <w:tcPr>
            <w:tcW w:w="708" w:type="dxa"/>
            <w:tcBorders>
              <w:top w:val="nil"/>
              <w:left w:val="single" w:sz="4" w:space="0" w:color="auto"/>
              <w:bottom w:val="single" w:sz="4" w:space="0" w:color="auto"/>
              <w:right w:val="single" w:sz="4" w:space="0" w:color="auto"/>
            </w:tcBorders>
            <w:shd w:val="clear" w:color="auto" w:fill="auto"/>
          </w:tcPr>
          <w:p w14:paraId="02005FE9"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23.1</w:t>
            </w:r>
          </w:p>
        </w:tc>
        <w:tc>
          <w:tcPr>
            <w:tcW w:w="567" w:type="dxa"/>
            <w:tcBorders>
              <w:top w:val="nil"/>
              <w:left w:val="single" w:sz="4" w:space="0" w:color="auto"/>
              <w:bottom w:val="single" w:sz="4" w:space="0" w:color="auto"/>
              <w:right w:val="single" w:sz="4" w:space="0" w:color="auto"/>
            </w:tcBorders>
            <w:shd w:val="clear" w:color="auto" w:fill="auto"/>
          </w:tcPr>
          <w:p w14:paraId="636C1A26"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22.7</w:t>
            </w:r>
          </w:p>
        </w:tc>
        <w:tc>
          <w:tcPr>
            <w:tcW w:w="567" w:type="dxa"/>
            <w:tcBorders>
              <w:top w:val="nil"/>
              <w:left w:val="single" w:sz="4" w:space="0" w:color="auto"/>
              <w:bottom w:val="single" w:sz="4" w:space="0" w:color="auto"/>
              <w:right w:val="single" w:sz="4" w:space="0" w:color="auto"/>
            </w:tcBorders>
            <w:shd w:val="clear" w:color="auto" w:fill="auto"/>
          </w:tcPr>
          <w:p w14:paraId="45341FF7"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25.4</w:t>
            </w:r>
          </w:p>
        </w:tc>
        <w:tc>
          <w:tcPr>
            <w:tcW w:w="567" w:type="dxa"/>
            <w:tcBorders>
              <w:top w:val="nil"/>
              <w:left w:val="single" w:sz="4" w:space="0" w:color="auto"/>
              <w:bottom w:val="single" w:sz="4" w:space="0" w:color="auto"/>
              <w:right w:val="single" w:sz="4" w:space="0" w:color="auto"/>
            </w:tcBorders>
            <w:shd w:val="clear" w:color="auto" w:fill="auto"/>
          </w:tcPr>
          <w:p w14:paraId="7BBB1062"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24.3</w:t>
            </w:r>
          </w:p>
        </w:tc>
      </w:tr>
      <w:tr w:rsidR="001C7F15" w:rsidRPr="001C7F15" w14:paraId="5A3F0265" w14:textId="77777777" w:rsidTr="00E823BC">
        <w:trPr>
          <w:jc w:val="center"/>
        </w:trPr>
        <w:tc>
          <w:tcPr>
            <w:tcW w:w="9072"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E519146" w14:textId="77777777" w:rsidR="001C7F15" w:rsidRPr="001C7F15" w:rsidRDefault="001C7F15" w:rsidP="001C7F15">
            <w:pPr>
              <w:rPr>
                <w:rFonts w:eastAsia="Times New Roman"/>
                <w:b/>
                <w:bCs/>
                <w:sz w:val="16"/>
                <w:szCs w:val="16"/>
                <w:lang w:eastAsia="en-US"/>
              </w:rPr>
            </w:pPr>
            <w:r w:rsidRPr="001C7F15">
              <w:rPr>
                <w:rFonts w:eastAsia="Times New Roman"/>
                <w:b/>
                <w:bCs/>
                <w:sz w:val="16"/>
                <w:szCs w:val="16"/>
                <w:lang w:eastAsia="en-US"/>
              </w:rPr>
              <w:t>Instituciones con menos de cien mil tarjetas totales</w:t>
            </w:r>
          </w:p>
        </w:tc>
      </w:tr>
      <w:tr w:rsidR="001C7F15" w:rsidRPr="001C7F15" w14:paraId="76BB2730" w14:textId="77777777" w:rsidTr="00E823BC">
        <w:trPr>
          <w:jc w:val="center"/>
        </w:trPr>
        <w:tc>
          <w:tcPr>
            <w:tcW w:w="1276" w:type="dxa"/>
            <w:tcBorders>
              <w:top w:val="single" w:sz="4" w:space="0" w:color="auto"/>
              <w:left w:val="single" w:sz="4" w:space="0" w:color="auto"/>
              <w:bottom w:val="nil"/>
              <w:right w:val="single" w:sz="4" w:space="0" w:color="auto"/>
            </w:tcBorders>
            <w:shd w:val="clear" w:color="auto" w:fill="auto"/>
          </w:tcPr>
          <w:p w14:paraId="3E4BBFF9" w14:textId="77777777" w:rsidR="001C7F15" w:rsidRPr="001C7F15" w:rsidRDefault="001C7F15" w:rsidP="001C7F15">
            <w:pPr>
              <w:autoSpaceDE w:val="0"/>
              <w:autoSpaceDN w:val="0"/>
              <w:adjustRightInd w:val="0"/>
              <w:spacing w:before="120"/>
              <w:jc w:val="both"/>
              <w:rPr>
                <w:rFonts w:eastAsia="Times New Roman"/>
                <w:bCs/>
                <w:sz w:val="16"/>
                <w:szCs w:val="16"/>
                <w:lang w:eastAsia="en-US"/>
              </w:rPr>
            </w:pPr>
            <w:r w:rsidRPr="001C7F15">
              <w:rPr>
                <w:rFonts w:eastAsia="Times New Roman"/>
                <w:bCs/>
                <w:sz w:val="16"/>
                <w:szCs w:val="16"/>
                <w:lang w:eastAsia="en-US"/>
              </w:rPr>
              <w:t>Banco del Bajío</w:t>
            </w:r>
          </w:p>
        </w:tc>
        <w:tc>
          <w:tcPr>
            <w:tcW w:w="709" w:type="dxa"/>
            <w:tcBorders>
              <w:top w:val="single" w:sz="4" w:space="0" w:color="auto"/>
              <w:left w:val="single" w:sz="4" w:space="0" w:color="auto"/>
              <w:bottom w:val="nil"/>
              <w:right w:val="single" w:sz="4" w:space="0" w:color="auto"/>
            </w:tcBorders>
            <w:shd w:val="clear" w:color="auto" w:fill="auto"/>
          </w:tcPr>
          <w:p w14:paraId="7B1080C8"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w:t>
            </w:r>
          </w:p>
        </w:tc>
        <w:tc>
          <w:tcPr>
            <w:tcW w:w="709" w:type="dxa"/>
            <w:tcBorders>
              <w:top w:val="single" w:sz="4" w:space="0" w:color="auto"/>
              <w:left w:val="single" w:sz="4" w:space="0" w:color="auto"/>
              <w:bottom w:val="nil"/>
              <w:right w:val="single" w:sz="4" w:space="0" w:color="auto"/>
            </w:tcBorders>
            <w:shd w:val="clear" w:color="auto" w:fill="auto"/>
          </w:tcPr>
          <w:p w14:paraId="432963E1"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3</w:t>
            </w:r>
          </w:p>
        </w:tc>
        <w:tc>
          <w:tcPr>
            <w:tcW w:w="567" w:type="dxa"/>
            <w:tcBorders>
              <w:top w:val="single" w:sz="4" w:space="0" w:color="auto"/>
              <w:left w:val="single" w:sz="4" w:space="0" w:color="auto"/>
              <w:bottom w:val="nil"/>
              <w:right w:val="single" w:sz="4" w:space="0" w:color="auto"/>
            </w:tcBorders>
            <w:shd w:val="clear" w:color="auto" w:fill="auto"/>
          </w:tcPr>
          <w:p w14:paraId="25E985E2"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w:t>
            </w:r>
          </w:p>
        </w:tc>
        <w:tc>
          <w:tcPr>
            <w:tcW w:w="567" w:type="dxa"/>
            <w:tcBorders>
              <w:top w:val="single" w:sz="4" w:space="0" w:color="auto"/>
              <w:left w:val="single" w:sz="4" w:space="0" w:color="auto"/>
              <w:bottom w:val="nil"/>
              <w:right w:val="single" w:sz="4" w:space="0" w:color="auto"/>
            </w:tcBorders>
            <w:shd w:val="clear" w:color="auto" w:fill="auto"/>
          </w:tcPr>
          <w:p w14:paraId="0AC1EC19"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w:t>
            </w:r>
          </w:p>
        </w:tc>
        <w:tc>
          <w:tcPr>
            <w:tcW w:w="708" w:type="dxa"/>
            <w:tcBorders>
              <w:top w:val="single" w:sz="4" w:space="0" w:color="auto"/>
              <w:left w:val="single" w:sz="4" w:space="0" w:color="auto"/>
              <w:bottom w:val="nil"/>
              <w:right w:val="single" w:sz="4" w:space="0" w:color="auto"/>
            </w:tcBorders>
            <w:shd w:val="clear" w:color="auto" w:fill="auto"/>
          </w:tcPr>
          <w:p w14:paraId="4C8B2903"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1 500</w:t>
            </w:r>
          </w:p>
        </w:tc>
        <w:tc>
          <w:tcPr>
            <w:tcW w:w="709" w:type="dxa"/>
            <w:tcBorders>
              <w:top w:val="single" w:sz="4" w:space="0" w:color="auto"/>
              <w:left w:val="single" w:sz="4" w:space="0" w:color="auto"/>
              <w:bottom w:val="nil"/>
              <w:right w:val="single" w:sz="4" w:space="0" w:color="auto"/>
            </w:tcBorders>
            <w:shd w:val="clear" w:color="auto" w:fill="auto"/>
          </w:tcPr>
          <w:p w14:paraId="11B13F32"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1 500</w:t>
            </w:r>
          </w:p>
        </w:tc>
        <w:tc>
          <w:tcPr>
            <w:tcW w:w="709" w:type="dxa"/>
            <w:tcBorders>
              <w:top w:val="single" w:sz="4" w:space="0" w:color="auto"/>
              <w:left w:val="single" w:sz="4" w:space="0" w:color="auto"/>
              <w:bottom w:val="nil"/>
              <w:right w:val="single" w:sz="4" w:space="0" w:color="auto"/>
            </w:tcBorders>
            <w:shd w:val="clear" w:color="auto" w:fill="auto"/>
          </w:tcPr>
          <w:p w14:paraId="57D2123E"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88</w:t>
            </w:r>
          </w:p>
        </w:tc>
        <w:tc>
          <w:tcPr>
            <w:tcW w:w="709" w:type="dxa"/>
            <w:tcBorders>
              <w:top w:val="single" w:sz="4" w:space="0" w:color="auto"/>
              <w:left w:val="single" w:sz="4" w:space="0" w:color="auto"/>
              <w:bottom w:val="nil"/>
              <w:right w:val="single" w:sz="4" w:space="0" w:color="auto"/>
            </w:tcBorders>
            <w:shd w:val="clear" w:color="auto" w:fill="auto"/>
          </w:tcPr>
          <w:p w14:paraId="3112AD64"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80</w:t>
            </w:r>
          </w:p>
        </w:tc>
        <w:tc>
          <w:tcPr>
            <w:tcW w:w="708" w:type="dxa"/>
            <w:tcBorders>
              <w:top w:val="single" w:sz="4" w:space="0" w:color="auto"/>
              <w:left w:val="single" w:sz="4" w:space="0" w:color="auto"/>
              <w:bottom w:val="nil"/>
              <w:right w:val="single" w:sz="4" w:space="0" w:color="auto"/>
            </w:tcBorders>
            <w:shd w:val="clear" w:color="auto" w:fill="auto"/>
          </w:tcPr>
          <w:p w14:paraId="34929924"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11.4</w:t>
            </w:r>
          </w:p>
        </w:tc>
        <w:tc>
          <w:tcPr>
            <w:tcW w:w="567" w:type="dxa"/>
            <w:tcBorders>
              <w:top w:val="single" w:sz="4" w:space="0" w:color="auto"/>
              <w:left w:val="single" w:sz="4" w:space="0" w:color="auto"/>
              <w:bottom w:val="nil"/>
              <w:right w:val="single" w:sz="4" w:space="0" w:color="auto"/>
            </w:tcBorders>
            <w:shd w:val="clear" w:color="auto" w:fill="auto"/>
          </w:tcPr>
          <w:p w14:paraId="7709BC50"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13.0</w:t>
            </w:r>
          </w:p>
        </w:tc>
        <w:tc>
          <w:tcPr>
            <w:tcW w:w="567" w:type="dxa"/>
            <w:tcBorders>
              <w:top w:val="single" w:sz="4" w:space="0" w:color="auto"/>
              <w:left w:val="single" w:sz="4" w:space="0" w:color="auto"/>
              <w:bottom w:val="nil"/>
              <w:right w:val="single" w:sz="4" w:space="0" w:color="auto"/>
            </w:tcBorders>
            <w:shd w:val="clear" w:color="auto" w:fill="auto"/>
          </w:tcPr>
          <w:p w14:paraId="4B8A38C8"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24.3</w:t>
            </w:r>
          </w:p>
        </w:tc>
        <w:tc>
          <w:tcPr>
            <w:tcW w:w="567" w:type="dxa"/>
            <w:tcBorders>
              <w:top w:val="single" w:sz="4" w:space="0" w:color="auto"/>
              <w:left w:val="single" w:sz="4" w:space="0" w:color="auto"/>
              <w:bottom w:val="nil"/>
              <w:right w:val="single" w:sz="4" w:space="0" w:color="auto"/>
            </w:tcBorders>
            <w:shd w:val="clear" w:color="auto" w:fill="auto"/>
          </w:tcPr>
          <w:p w14:paraId="10B123E8" w14:textId="77777777" w:rsidR="001C7F15" w:rsidRPr="001C7F15" w:rsidRDefault="001C7F15" w:rsidP="001C7F15">
            <w:pPr>
              <w:autoSpaceDE w:val="0"/>
              <w:autoSpaceDN w:val="0"/>
              <w:adjustRightInd w:val="0"/>
              <w:spacing w:before="120"/>
              <w:jc w:val="right"/>
              <w:rPr>
                <w:rFonts w:eastAsia="Calibri"/>
                <w:sz w:val="16"/>
                <w:szCs w:val="16"/>
                <w:lang w:eastAsia="en-US"/>
              </w:rPr>
            </w:pPr>
            <w:r w:rsidRPr="001C7F15">
              <w:rPr>
                <w:rFonts w:eastAsia="Calibri"/>
                <w:sz w:val="16"/>
                <w:szCs w:val="16"/>
                <w:lang w:eastAsia="en-US"/>
              </w:rPr>
              <w:t>33.9</w:t>
            </w:r>
          </w:p>
        </w:tc>
      </w:tr>
      <w:tr w:rsidR="001C7F15" w:rsidRPr="001C7F15" w14:paraId="67D3F844"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04DB4737"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Banregio</w:t>
            </w:r>
          </w:p>
        </w:tc>
        <w:tc>
          <w:tcPr>
            <w:tcW w:w="709" w:type="dxa"/>
            <w:tcBorders>
              <w:top w:val="nil"/>
              <w:left w:val="single" w:sz="4" w:space="0" w:color="auto"/>
              <w:bottom w:val="nil"/>
              <w:right w:val="single" w:sz="4" w:space="0" w:color="auto"/>
            </w:tcBorders>
            <w:shd w:val="clear" w:color="auto" w:fill="auto"/>
          </w:tcPr>
          <w:p w14:paraId="6B47B64F"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w:t>
            </w:r>
          </w:p>
        </w:tc>
        <w:tc>
          <w:tcPr>
            <w:tcW w:w="709" w:type="dxa"/>
            <w:tcBorders>
              <w:top w:val="nil"/>
              <w:left w:val="single" w:sz="4" w:space="0" w:color="auto"/>
              <w:bottom w:val="nil"/>
              <w:right w:val="single" w:sz="4" w:space="0" w:color="auto"/>
            </w:tcBorders>
            <w:shd w:val="clear" w:color="auto" w:fill="auto"/>
          </w:tcPr>
          <w:p w14:paraId="3929F0C8"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9</w:t>
            </w:r>
          </w:p>
        </w:tc>
        <w:tc>
          <w:tcPr>
            <w:tcW w:w="567" w:type="dxa"/>
            <w:tcBorders>
              <w:top w:val="nil"/>
              <w:left w:val="single" w:sz="4" w:space="0" w:color="auto"/>
              <w:bottom w:val="nil"/>
              <w:right w:val="single" w:sz="4" w:space="0" w:color="auto"/>
            </w:tcBorders>
            <w:shd w:val="clear" w:color="auto" w:fill="auto"/>
          </w:tcPr>
          <w:p w14:paraId="1906FAB5"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3BCCA14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708" w:type="dxa"/>
            <w:tcBorders>
              <w:top w:val="nil"/>
              <w:left w:val="single" w:sz="4" w:space="0" w:color="auto"/>
              <w:bottom w:val="nil"/>
              <w:right w:val="single" w:sz="4" w:space="0" w:color="auto"/>
            </w:tcBorders>
            <w:shd w:val="clear" w:color="auto" w:fill="auto"/>
          </w:tcPr>
          <w:p w14:paraId="345340F6"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0</w:t>
            </w:r>
          </w:p>
        </w:tc>
        <w:tc>
          <w:tcPr>
            <w:tcW w:w="709" w:type="dxa"/>
            <w:tcBorders>
              <w:top w:val="nil"/>
              <w:left w:val="single" w:sz="4" w:space="0" w:color="auto"/>
              <w:bottom w:val="nil"/>
              <w:right w:val="single" w:sz="4" w:space="0" w:color="auto"/>
            </w:tcBorders>
            <w:shd w:val="clear" w:color="auto" w:fill="auto"/>
          </w:tcPr>
          <w:p w14:paraId="78EFEAF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0</w:t>
            </w:r>
          </w:p>
        </w:tc>
        <w:tc>
          <w:tcPr>
            <w:tcW w:w="709" w:type="dxa"/>
            <w:tcBorders>
              <w:top w:val="nil"/>
              <w:left w:val="single" w:sz="4" w:space="0" w:color="auto"/>
              <w:bottom w:val="nil"/>
              <w:right w:val="single" w:sz="4" w:space="0" w:color="auto"/>
            </w:tcBorders>
            <w:shd w:val="clear" w:color="auto" w:fill="auto"/>
          </w:tcPr>
          <w:p w14:paraId="2716F30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77</w:t>
            </w:r>
          </w:p>
        </w:tc>
        <w:tc>
          <w:tcPr>
            <w:tcW w:w="709" w:type="dxa"/>
            <w:tcBorders>
              <w:top w:val="nil"/>
              <w:left w:val="single" w:sz="4" w:space="0" w:color="auto"/>
              <w:bottom w:val="nil"/>
              <w:right w:val="single" w:sz="4" w:space="0" w:color="auto"/>
            </w:tcBorders>
            <w:shd w:val="clear" w:color="auto" w:fill="auto"/>
          </w:tcPr>
          <w:p w14:paraId="36755A63"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77</w:t>
            </w:r>
          </w:p>
        </w:tc>
        <w:tc>
          <w:tcPr>
            <w:tcW w:w="708" w:type="dxa"/>
            <w:tcBorders>
              <w:top w:val="nil"/>
              <w:left w:val="single" w:sz="4" w:space="0" w:color="auto"/>
              <w:bottom w:val="nil"/>
              <w:right w:val="single" w:sz="4" w:space="0" w:color="auto"/>
            </w:tcBorders>
            <w:shd w:val="clear" w:color="auto" w:fill="auto"/>
          </w:tcPr>
          <w:p w14:paraId="4F19467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16.3</w:t>
            </w:r>
          </w:p>
        </w:tc>
        <w:tc>
          <w:tcPr>
            <w:tcW w:w="567" w:type="dxa"/>
            <w:tcBorders>
              <w:top w:val="nil"/>
              <w:left w:val="single" w:sz="4" w:space="0" w:color="auto"/>
              <w:bottom w:val="nil"/>
              <w:right w:val="single" w:sz="4" w:space="0" w:color="auto"/>
            </w:tcBorders>
            <w:shd w:val="clear" w:color="auto" w:fill="auto"/>
          </w:tcPr>
          <w:p w14:paraId="17B0BCB7"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15.8</w:t>
            </w:r>
          </w:p>
        </w:tc>
        <w:tc>
          <w:tcPr>
            <w:tcW w:w="567" w:type="dxa"/>
            <w:tcBorders>
              <w:top w:val="nil"/>
              <w:left w:val="single" w:sz="4" w:space="0" w:color="auto"/>
              <w:bottom w:val="nil"/>
              <w:right w:val="single" w:sz="4" w:space="0" w:color="auto"/>
            </w:tcBorders>
            <w:shd w:val="clear" w:color="auto" w:fill="auto"/>
          </w:tcPr>
          <w:p w14:paraId="72447385"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21.2</w:t>
            </w:r>
          </w:p>
        </w:tc>
        <w:tc>
          <w:tcPr>
            <w:tcW w:w="567" w:type="dxa"/>
            <w:tcBorders>
              <w:top w:val="nil"/>
              <w:left w:val="single" w:sz="4" w:space="0" w:color="auto"/>
              <w:bottom w:val="nil"/>
              <w:right w:val="single" w:sz="4" w:space="0" w:color="auto"/>
            </w:tcBorders>
            <w:shd w:val="clear" w:color="auto" w:fill="auto"/>
          </w:tcPr>
          <w:p w14:paraId="4710BA9D"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20.8</w:t>
            </w:r>
          </w:p>
        </w:tc>
      </w:tr>
      <w:tr w:rsidR="001C7F15" w:rsidRPr="001C7F15" w14:paraId="0689ABD9" w14:textId="77777777" w:rsidTr="00E823BC">
        <w:trPr>
          <w:jc w:val="center"/>
        </w:trPr>
        <w:tc>
          <w:tcPr>
            <w:tcW w:w="1276" w:type="dxa"/>
            <w:tcBorders>
              <w:top w:val="nil"/>
              <w:left w:val="single" w:sz="4" w:space="0" w:color="auto"/>
              <w:bottom w:val="nil"/>
              <w:right w:val="single" w:sz="4" w:space="0" w:color="auto"/>
            </w:tcBorders>
            <w:shd w:val="clear" w:color="auto" w:fill="auto"/>
          </w:tcPr>
          <w:p w14:paraId="49E843BC" w14:textId="77777777" w:rsidR="001C7F15" w:rsidRPr="001C7F15" w:rsidRDefault="001C7F15" w:rsidP="001C7F15">
            <w:pPr>
              <w:autoSpaceDE w:val="0"/>
              <w:autoSpaceDN w:val="0"/>
              <w:adjustRightInd w:val="0"/>
              <w:jc w:val="both"/>
              <w:rPr>
                <w:rFonts w:eastAsia="Times New Roman"/>
                <w:bCs/>
                <w:sz w:val="16"/>
                <w:szCs w:val="16"/>
                <w:lang w:eastAsia="en-US"/>
              </w:rPr>
            </w:pPr>
            <w:r w:rsidRPr="001C7F15">
              <w:rPr>
                <w:rFonts w:eastAsia="Times New Roman"/>
                <w:bCs/>
                <w:sz w:val="16"/>
                <w:szCs w:val="16"/>
                <w:lang w:eastAsia="en-US"/>
              </w:rPr>
              <w:t>Banca Afirme</w:t>
            </w:r>
          </w:p>
        </w:tc>
        <w:tc>
          <w:tcPr>
            <w:tcW w:w="709" w:type="dxa"/>
            <w:tcBorders>
              <w:top w:val="nil"/>
              <w:left w:val="single" w:sz="4" w:space="0" w:color="auto"/>
              <w:bottom w:val="nil"/>
              <w:right w:val="single" w:sz="4" w:space="0" w:color="auto"/>
            </w:tcBorders>
            <w:shd w:val="clear" w:color="auto" w:fill="auto"/>
          </w:tcPr>
          <w:p w14:paraId="6E7B66E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709" w:type="dxa"/>
            <w:tcBorders>
              <w:top w:val="nil"/>
              <w:left w:val="single" w:sz="4" w:space="0" w:color="auto"/>
              <w:bottom w:val="nil"/>
              <w:right w:val="single" w:sz="4" w:space="0" w:color="auto"/>
            </w:tcBorders>
            <w:shd w:val="clear" w:color="auto" w:fill="auto"/>
          </w:tcPr>
          <w:p w14:paraId="0F26889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w:t>
            </w:r>
          </w:p>
        </w:tc>
        <w:tc>
          <w:tcPr>
            <w:tcW w:w="567" w:type="dxa"/>
            <w:tcBorders>
              <w:top w:val="nil"/>
              <w:left w:val="single" w:sz="4" w:space="0" w:color="auto"/>
              <w:bottom w:val="nil"/>
              <w:right w:val="single" w:sz="4" w:space="0" w:color="auto"/>
            </w:tcBorders>
            <w:shd w:val="clear" w:color="auto" w:fill="auto"/>
          </w:tcPr>
          <w:p w14:paraId="54524A2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567" w:type="dxa"/>
            <w:tcBorders>
              <w:top w:val="nil"/>
              <w:left w:val="single" w:sz="4" w:space="0" w:color="auto"/>
              <w:bottom w:val="nil"/>
              <w:right w:val="single" w:sz="4" w:space="0" w:color="auto"/>
            </w:tcBorders>
            <w:shd w:val="clear" w:color="auto" w:fill="auto"/>
          </w:tcPr>
          <w:p w14:paraId="73F31FA4"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w:t>
            </w:r>
          </w:p>
        </w:tc>
        <w:tc>
          <w:tcPr>
            <w:tcW w:w="708" w:type="dxa"/>
            <w:tcBorders>
              <w:top w:val="nil"/>
              <w:left w:val="single" w:sz="4" w:space="0" w:color="auto"/>
              <w:bottom w:val="nil"/>
              <w:right w:val="single" w:sz="4" w:space="0" w:color="auto"/>
            </w:tcBorders>
            <w:shd w:val="clear" w:color="auto" w:fill="auto"/>
          </w:tcPr>
          <w:p w14:paraId="5111CB3E"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2 839</w:t>
            </w:r>
          </w:p>
        </w:tc>
        <w:tc>
          <w:tcPr>
            <w:tcW w:w="709" w:type="dxa"/>
            <w:tcBorders>
              <w:top w:val="nil"/>
              <w:left w:val="single" w:sz="4" w:space="0" w:color="auto"/>
              <w:bottom w:val="nil"/>
              <w:right w:val="single" w:sz="4" w:space="0" w:color="auto"/>
            </w:tcBorders>
            <w:shd w:val="clear" w:color="auto" w:fill="auto"/>
          </w:tcPr>
          <w:p w14:paraId="32AEDC52"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2 676</w:t>
            </w:r>
          </w:p>
        </w:tc>
        <w:tc>
          <w:tcPr>
            <w:tcW w:w="709" w:type="dxa"/>
            <w:tcBorders>
              <w:top w:val="nil"/>
              <w:left w:val="single" w:sz="4" w:space="0" w:color="auto"/>
              <w:bottom w:val="nil"/>
              <w:right w:val="single" w:sz="4" w:space="0" w:color="auto"/>
            </w:tcBorders>
            <w:shd w:val="clear" w:color="auto" w:fill="auto"/>
          </w:tcPr>
          <w:p w14:paraId="7947049C"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162</w:t>
            </w:r>
          </w:p>
        </w:tc>
        <w:tc>
          <w:tcPr>
            <w:tcW w:w="709" w:type="dxa"/>
            <w:tcBorders>
              <w:top w:val="nil"/>
              <w:left w:val="single" w:sz="4" w:space="0" w:color="auto"/>
              <w:bottom w:val="nil"/>
              <w:right w:val="single" w:sz="4" w:space="0" w:color="auto"/>
            </w:tcBorders>
            <w:shd w:val="clear" w:color="auto" w:fill="auto"/>
          </w:tcPr>
          <w:p w14:paraId="3488D82C"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138</w:t>
            </w:r>
          </w:p>
        </w:tc>
        <w:tc>
          <w:tcPr>
            <w:tcW w:w="708" w:type="dxa"/>
            <w:tcBorders>
              <w:top w:val="nil"/>
              <w:left w:val="single" w:sz="4" w:space="0" w:color="auto"/>
              <w:bottom w:val="nil"/>
              <w:right w:val="single" w:sz="4" w:space="0" w:color="auto"/>
            </w:tcBorders>
            <w:shd w:val="clear" w:color="auto" w:fill="auto"/>
          </w:tcPr>
          <w:p w14:paraId="00D9E170"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20.3</w:t>
            </w:r>
          </w:p>
        </w:tc>
        <w:tc>
          <w:tcPr>
            <w:tcW w:w="567" w:type="dxa"/>
            <w:tcBorders>
              <w:top w:val="nil"/>
              <w:left w:val="single" w:sz="4" w:space="0" w:color="auto"/>
              <w:bottom w:val="nil"/>
              <w:right w:val="single" w:sz="4" w:space="0" w:color="auto"/>
            </w:tcBorders>
            <w:shd w:val="clear" w:color="auto" w:fill="auto"/>
          </w:tcPr>
          <w:p w14:paraId="41AA23CF"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19.8</w:t>
            </w:r>
          </w:p>
        </w:tc>
        <w:tc>
          <w:tcPr>
            <w:tcW w:w="567" w:type="dxa"/>
            <w:tcBorders>
              <w:top w:val="nil"/>
              <w:left w:val="single" w:sz="4" w:space="0" w:color="auto"/>
              <w:bottom w:val="nil"/>
              <w:right w:val="single" w:sz="4" w:space="0" w:color="auto"/>
            </w:tcBorders>
            <w:shd w:val="clear" w:color="auto" w:fill="auto"/>
          </w:tcPr>
          <w:p w14:paraId="372C96C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31.9</w:t>
            </w:r>
          </w:p>
        </w:tc>
        <w:tc>
          <w:tcPr>
            <w:tcW w:w="567" w:type="dxa"/>
            <w:tcBorders>
              <w:top w:val="nil"/>
              <w:left w:val="single" w:sz="4" w:space="0" w:color="auto"/>
              <w:bottom w:val="nil"/>
              <w:right w:val="single" w:sz="4" w:space="0" w:color="auto"/>
            </w:tcBorders>
            <w:shd w:val="clear" w:color="auto" w:fill="auto"/>
          </w:tcPr>
          <w:p w14:paraId="44A1997A" w14:textId="77777777" w:rsidR="001C7F15" w:rsidRPr="001C7F15" w:rsidRDefault="001C7F15" w:rsidP="001C7F15">
            <w:pPr>
              <w:autoSpaceDE w:val="0"/>
              <w:autoSpaceDN w:val="0"/>
              <w:adjustRightInd w:val="0"/>
              <w:jc w:val="right"/>
              <w:rPr>
                <w:rFonts w:eastAsia="Calibri"/>
                <w:sz w:val="16"/>
                <w:szCs w:val="16"/>
                <w:lang w:eastAsia="en-US"/>
              </w:rPr>
            </w:pPr>
            <w:r w:rsidRPr="001C7F15">
              <w:rPr>
                <w:rFonts w:eastAsia="Calibri"/>
                <w:sz w:val="16"/>
                <w:szCs w:val="16"/>
                <w:lang w:eastAsia="en-US"/>
              </w:rPr>
              <w:t>30.5</w:t>
            </w:r>
          </w:p>
        </w:tc>
      </w:tr>
      <w:tr w:rsidR="001C7F15" w:rsidRPr="001C7F15" w14:paraId="32BEBAE3" w14:textId="77777777" w:rsidTr="00E823BC">
        <w:trPr>
          <w:jc w:val="center"/>
        </w:trPr>
        <w:tc>
          <w:tcPr>
            <w:tcW w:w="1276" w:type="dxa"/>
            <w:tcBorders>
              <w:top w:val="nil"/>
              <w:left w:val="single" w:sz="4" w:space="0" w:color="auto"/>
              <w:bottom w:val="single" w:sz="4" w:space="0" w:color="auto"/>
              <w:right w:val="single" w:sz="4" w:space="0" w:color="auto"/>
            </w:tcBorders>
            <w:shd w:val="clear" w:color="auto" w:fill="auto"/>
          </w:tcPr>
          <w:p w14:paraId="6A926518" w14:textId="77777777" w:rsidR="001C7F15" w:rsidRPr="001C7F15" w:rsidRDefault="001C7F15" w:rsidP="001C7F15">
            <w:pPr>
              <w:autoSpaceDE w:val="0"/>
              <w:autoSpaceDN w:val="0"/>
              <w:adjustRightInd w:val="0"/>
              <w:spacing w:after="120"/>
              <w:jc w:val="both"/>
              <w:rPr>
                <w:rFonts w:eastAsia="Times New Roman"/>
                <w:bCs/>
                <w:sz w:val="16"/>
                <w:szCs w:val="16"/>
                <w:lang w:eastAsia="en-US"/>
              </w:rPr>
            </w:pPr>
            <w:r w:rsidRPr="001C7F15">
              <w:rPr>
                <w:rFonts w:eastAsia="Times New Roman"/>
                <w:bCs/>
                <w:sz w:val="16"/>
                <w:szCs w:val="16"/>
                <w:lang w:eastAsia="en-US"/>
              </w:rPr>
              <w:t>Banco Invex</w:t>
            </w:r>
          </w:p>
        </w:tc>
        <w:tc>
          <w:tcPr>
            <w:tcW w:w="709" w:type="dxa"/>
            <w:tcBorders>
              <w:top w:val="nil"/>
              <w:left w:val="single" w:sz="4" w:space="0" w:color="auto"/>
              <w:bottom w:val="single" w:sz="4" w:space="0" w:color="auto"/>
              <w:right w:val="single" w:sz="4" w:space="0" w:color="auto"/>
            </w:tcBorders>
            <w:shd w:val="clear" w:color="auto" w:fill="auto"/>
          </w:tcPr>
          <w:p w14:paraId="0D3D2B94"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26</w:t>
            </w:r>
          </w:p>
        </w:tc>
        <w:tc>
          <w:tcPr>
            <w:tcW w:w="709" w:type="dxa"/>
            <w:tcBorders>
              <w:top w:val="nil"/>
              <w:left w:val="single" w:sz="4" w:space="0" w:color="auto"/>
              <w:bottom w:val="single" w:sz="4" w:space="0" w:color="auto"/>
              <w:right w:val="single" w:sz="4" w:space="0" w:color="auto"/>
            </w:tcBorders>
            <w:shd w:val="clear" w:color="auto" w:fill="auto"/>
          </w:tcPr>
          <w:p w14:paraId="7EBD88C8"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20</w:t>
            </w:r>
          </w:p>
        </w:tc>
        <w:tc>
          <w:tcPr>
            <w:tcW w:w="567" w:type="dxa"/>
            <w:tcBorders>
              <w:top w:val="nil"/>
              <w:left w:val="single" w:sz="4" w:space="0" w:color="auto"/>
              <w:bottom w:val="single" w:sz="4" w:space="0" w:color="auto"/>
              <w:right w:val="single" w:sz="4" w:space="0" w:color="auto"/>
            </w:tcBorders>
            <w:shd w:val="clear" w:color="auto" w:fill="auto"/>
          </w:tcPr>
          <w:p w14:paraId="48354D74"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3</w:t>
            </w:r>
          </w:p>
        </w:tc>
        <w:tc>
          <w:tcPr>
            <w:tcW w:w="567" w:type="dxa"/>
            <w:tcBorders>
              <w:top w:val="nil"/>
              <w:left w:val="single" w:sz="4" w:space="0" w:color="auto"/>
              <w:bottom w:val="single" w:sz="4" w:space="0" w:color="auto"/>
              <w:right w:val="single" w:sz="4" w:space="0" w:color="auto"/>
            </w:tcBorders>
            <w:shd w:val="clear" w:color="auto" w:fill="auto"/>
          </w:tcPr>
          <w:p w14:paraId="3FE92B17"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3</w:t>
            </w:r>
          </w:p>
        </w:tc>
        <w:tc>
          <w:tcPr>
            <w:tcW w:w="708" w:type="dxa"/>
            <w:tcBorders>
              <w:top w:val="nil"/>
              <w:left w:val="single" w:sz="4" w:space="0" w:color="auto"/>
              <w:bottom w:val="single" w:sz="4" w:space="0" w:color="auto"/>
              <w:right w:val="single" w:sz="4" w:space="0" w:color="auto"/>
            </w:tcBorders>
            <w:shd w:val="clear" w:color="auto" w:fill="auto"/>
          </w:tcPr>
          <w:p w14:paraId="6F26E3ED"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1 103</w:t>
            </w:r>
          </w:p>
        </w:tc>
        <w:tc>
          <w:tcPr>
            <w:tcW w:w="709" w:type="dxa"/>
            <w:tcBorders>
              <w:top w:val="nil"/>
              <w:left w:val="single" w:sz="4" w:space="0" w:color="auto"/>
              <w:bottom w:val="single" w:sz="4" w:space="0" w:color="auto"/>
              <w:right w:val="single" w:sz="4" w:space="0" w:color="auto"/>
            </w:tcBorders>
            <w:shd w:val="clear" w:color="auto" w:fill="auto"/>
          </w:tcPr>
          <w:p w14:paraId="4202DB61"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1 242</w:t>
            </w:r>
          </w:p>
        </w:tc>
        <w:tc>
          <w:tcPr>
            <w:tcW w:w="709" w:type="dxa"/>
            <w:tcBorders>
              <w:top w:val="nil"/>
              <w:left w:val="single" w:sz="4" w:space="0" w:color="auto"/>
              <w:bottom w:val="single" w:sz="4" w:space="0" w:color="auto"/>
              <w:right w:val="single" w:sz="4" w:space="0" w:color="auto"/>
            </w:tcBorders>
            <w:shd w:val="clear" w:color="auto" w:fill="auto"/>
          </w:tcPr>
          <w:p w14:paraId="02A701D1"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45</w:t>
            </w:r>
          </w:p>
        </w:tc>
        <w:tc>
          <w:tcPr>
            <w:tcW w:w="709" w:type="dxa"/>
            <w:tcBorders>
              <w:top w:val="nil"/>
              <w:left w:val="single" w:sz="4" w:space="0" w:color="auto"/>
              <w:bottom w:val="single" w:sz="4" w:space="0" w:color="auto"/>
              <w:right w:val="single" w:sz="4" w:space="0" w:color="auto"/>
            </w:tcBorders>
            <w:shd w:val="clear" w:color="auto" w:fill="auto"/>
          </w:tcPr>
          <w:p w14:paraId="5BFD5FC7"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54</w:t>
            </w:r>
          </w:p>
        </w:tc>
        <w:tc>
          <w:tcPr>
            <w:tcW w:w="708" w:type="dxa"/>
            <w:tcBorders>
              <w:top w:val="nil"/>
              <w:left w:val="single" w:sz="4" w:space="0" w:color="auto"/>
              <w:bottom w:val="single" w:sz="4" w:space="0" w:color="auto"/>
              <w:right w:val="single" w:sz="4" w:space="0" w:color="auto"/>
            </w:tcBorders>
            <w:shd w:val="clear" w:color="auto" w:fill="auto"/>
          </w:tcPr>
          <w:p w14:paraId="22503F9F"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25.3</w:t>
            </w:r>
          </w:p>
        </w:tc>
        <w:tc>
          <w:tcPr>
            <w:tcW w:w="567" w:type="dxa"/>
            <w:tcBorders>
              <w:top w:val="nil"/>
              <w:left w:val="single" w:sz="4" w:space="0" w:color="auto"/>
              <w:bottom w:val="single" w:sz="4" w:space="0" w:color="auto"/>
              <w:right w:val="single" w:sz="4" w:space="0" w:color="auto"/>
            </w:tcBorders>
            <w:shd w:val="clear" w:color="auto" w:fill="auto"/>
          </w:tcPr>
          <w:p w14:paraId="7BA57792"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20.8</w:t>
            </w:r>
          </w:p>
        </w:tc>
        <w:tc>
          <w:tcPr>
            <w:tcW w:w="567" w:type="dxa"/>
            <w:tcBorders>
              <w:top w:val="nil"/>
              <w:left w:val="single" w:sz="4" w:space="0" w:color="auto"/>
              <w:bottom w:val="single" w:sz="4" w:space="0" w:color="auto"/>
              <w:right w:val="single" w:sz="4" w:space="0" w:color="auto"/>
            </w:tcBorders>
            <w:shd w:val="clear" w:color="auto" w:fill="auto"/>
          </w:tcPr>
          <w:p w14:paraId="15E920D1"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12.5</w:t>
            </w:r>
          </w:p>
        </w:tc>
        <w:tc>
          <w:tcPr>
            <w:tcW w:w="567" w:type="dxa"/>
            <w:tcBorders>
              <w:top w:val="nil"/>
              <w:left w:val="single" w:sz="4" w:space="0" w:color="auto"/>
              <w:bottom w:val="single" w:sz="4" w:space="0" w:color="auto"/>
              <w:right w:val="single" w:sz="4" w:space="0" w:color="auto"/>
            </w:tcBorders>
            <w:shd w:val="clear" w:color="auto" w:fill="auto"/>
          </w:tcPr>
          <w:p w14:paraId="2B9CA04F" w14:textId="77777777" w:rsidR="001C7F15" w:rsidRPr="001C7F15" w:rsidRDefault="001C7F15" w:rsidP="001C7F15">
            <w:pPr>
              <w:autoSpaceDE w:val="0"/>
              <w:autoSpaceDN w:val="0"/>
              <w:adjustRightInd w:val="0"/>
              <w:spacing w:after="120"/>
              <w:jc w:val="right"/>
              <w:rPr>
                <w:rFonts w:eastAsia="Calibri"/>
                <w:sz w:val="16"/>
                <w:szCs w:val="16"/>
                <w:lang w:eastAsia="en-US"/>
              </w:rPr>
            </w:pPr>
            <w:r w:rsidRPr="001C7F15">
              <w:rPr>
                <w:rFonts w:eastAsia="Calibri"/>
                <w:sz w:val="16"/>
                <w:szCs w:val="16"/>
                <w:lang w:eastAsia="en-US"/>
              </w:rPr>
              <w:t>11.7</w:t>
            </w:r>
          </w:p>
        </w:tc>
      </w:tr>
      <w:tr w:rsidR="001C7F15" w:rsidRPr="001C7F15" w14:paraId="076A93B3" w14:textId="77777777" w:rsidTr="001C7F15">
        <w:trPr>
          <w:jc w:val="center"/>
        </w:trPr>
        <w:tc>
          <w:tcPr>
            <w:tcW w:w="9072" w:type="dxa"/>
            <w:gridSpan w:val="13"/>
            <w:tcBorders>
              <w:top w:val="single" w:sz="4" w:space="0" w:color="auto"/>
              <w:left w:val="nil"/>
              <w:bottom w:val="nil"/>
              <w:right w:val="nil"/>
            </w:tcBorders>
            <w:shd w:val="clear" w:color="auto" w:fill="auto"/>
            <w:vAlign w:val="center"/>
          </w:tcPr>
          <w:p w14:paraId="5A14552E" w14:textId="77777777" w:rsidR="001C7F15" w:rsidRPr="001C7F15" w:rsidRDefault="001C7F15" w:rsidP="00667577">
            <w:pPr>
              <w:numPr>
                <w:ilvl w:val="0"/>
                <w:numId w:val="190"/>
              </w:numPr>
              <w:spacing w:before="120"/>
              <w:contextualSpacing/>
              <w:jc w:val="both"/>
              <w:rPr>
                <w:rFonts w:eastAsia="Times New Roman"/>
                <w:bCs/>
                <w:sz w:val="20"/>
                <w:szCs w:val="20"/>
                <w:lang w:eastAsia="en-US"/>
              </w:rPr>
            </w:pPr>
            <w:r w:rsidRPr="001C7F15">
              <w:rPr>
                <w:rFonts w:eastAsia="Times New Roman"/>
                <w:bCs/>
                <w:sz w:val="20"/>
                <w:szCs w:val="20"/>
                <w:lang w:eastAsia="en-US"/>
              </w:rPr>
              <w:t>La anualidad aquí presentada refleja la comisión registrada en el Banco de México; por lo tanto, no se incluyen casos en los que no se cobre anualidad debido al ofrecimiento de promociones especiales. Cuando un banco ofrece varias tarjetas tipo “Platino”, el ponderador de la comisión es la fracción del número de tarjetas que representa el producto en cuestión en el total del segmento. Las instituciones están ordenadas respecto a su tasa efectiva promedio ponderada en agosto de 2014.</w:t>
            </w:r>
          </w:p>
          <w:p w14:paraId="5914A0D3" w14:textId="77777777" w:rsidR="001C7F15" w:rsidRPr="001C7F15" w:rsidRDefault="001C7F15" w:rsidP="001C7F15">
            <w:pPr>
              <w:jc w:val="both"/>
              <w:rPr>
                <w:rFonts w:eastAsia="Times New Roman"/>
                <w:bCs/>
                <w:sz w:val="16"/>
                <w:szCs w:val="16"/>
                <w:lang w:eastAsia="en-US"/>
              </w:rPr>
            </w:pPr>
            <w:r w:rsidRPr="001C7F15">
              <w:rPr>
                <w:rFonts w:eastAsia="Times New Roman"/>
                <w:bCs/>
                <w:sz w:val="20"/>
                <w:szCs w:val="20"/>
                <w:lang w:eastAsia="en-US"/>
              </w:rPr>
              <w:t>FUENTE: Banco de México, con datos proporcionados por las instituciones de crédito, cifras sujetas a revisión.</w:t>
            </w:r>
          </w:p>
        </w:tc>
      </w:tr>
    </w:tbl>
    <w:p w14:paraId="1EB0F3B9" w14:textId="77777777" w:rsidR="001C7F15" w:rsidRPr="001C7F15" w:rsidRDefault="001C7F15" w:rsidP="001C7F15">
      <w:pPr>
        <w:spacing w:after="360" w:line="360" w:lineRule="auto"/>
        <w:ind w:right="-159"/>
        <w:jc w:val="both"/>
        <w:rPr>
          <w:rFonts w:eastAsia="Times New Roman"/>
          <w:bCs/>
          <w:sz w:val="26"/>
          <w:szCs w:val="26"/>
          <w:lang w:val="es-ES"/>
        </w:rPr>
      </w:pPr>
    </w:p>
    <w:p w14:paraId="0582D4CE" w14:textId="77777777" w:rsidR="001C7F15" w:rsidRPr="001C7F15" w:rsidRDefault="001C7F15" w:rsidP="001C7F15">
      <w:pPr>
        <w:spacing w:after="360" w:line="360" w:lineRule="auto"/>
        <w:ind w:left="454" w:right="-159" w:hanging="454"/>
        <w:jc w:val="both"/>
        <w:rPr>
          <w:rFonts w:eastAsia="Times New Roman"/>
          <w:b/>
          <w:bCs/>
          <w:sz w:val="26"/>
          <w:szCs w:val="26"/>
          <w:lang w:val="es-ES"/>
        </w:rPr>
      </w:pPr>
      <w:r w:rsidRPr="001C7F15">
        <w:rPr>
          <w:rFonts w:eastAsia="Times New Roman"/>
          <w:b/>
          <w:bCs/>
          <w:sz w:val="26"/>
          <w:szCs w:val="26"/>
          <w:lang w:val="es-ES"/>
        </w:rPr>
        <w:t>4.2.</w:t>
      </w:r>
      <w:r w:rsidRPr="001C7F15">
        <w:rPr>
          <w:rFonts w:eastAsia="Times New Roman"/>
          <w:b/>
          <w:bCs/>
          <w:sz w:val="26"/>
          <w:szCs w:val="26"/>
          <w:lang w:val="es-ES"/>
        </w:rPr>
        <w:tab/>
        <w:t>CAT para clientes no totaleros por segmento de mercado y producto</w:t>
      </w:r>
      <w:r w:rsidRPr="001C7F15">
        <w:rPr>
          <w:rFonts w:eastAsia="Times New Roman"/>
          <w:b/>
          <w:bCs/>
          <w:sz w:val="26"/>
          <w:szCs w:val="26"/>
          <w:vertAlign w:val="superscript"/>
          <w:lang w:val="es-ES"/>
        </w:rPr>
        <w:footnoteReference w:id="47"/>
      </w:r>
    </w:p>
    <w:p w14:paraId="072A9916"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Los cuadros que integran esta sección presentan información sobre tarjetas de crédito que se encuentran vigentes, para personas físicas, cuya contratación no está sujeta a alguna restricción especial</w:t>
      </w:r>
      <w:r w:rsidRPr="001C7F15">
        <w:rPr>
          <w:rFonts w:eastAsia="Times New Roman"/>
          <w:bCs/>
          <w:sz w:val="26"/>
          <w:szCs w:val="26"/>
          <w:vertAlign w:val="superscript"/>
          <w:lang w:val="es-ES"/>
        </w:rPr>
        <w:footnoteReference w:id="48"/>
      </w:r>
      <w:r w:rsidRPr="001C7F15">
        <w:rPr>
          <w:rFonts w:eastAsia="Times New Roman"/>
          <w:bCs/>
          <w:sz w:val="26"/>
          <w:szCs w:val="26"/>
          <w:lang w:val="es-ES"/>
        </w:rPr>
        <w:t xml:space="preserve"> y que tienen más del 0.1% del total de tarjetas en el segmento correspondiente. En cada caso, se incluye el CAT del producto más representativo de cada institución, entendiendo por ello el producto de tarjeta que tenga </w:t>
      </w:r>
      <w:r w:rsidRPr="001C7F15">
        <w:rPr>
          <w:rFonts w:eastAsia="Times New Roman"/>
          <w:bCs/>
          <w:sz w:val="26"/>
          <w:szCs w:val="26"/>
          <w:lang w:val="es-ES"/>
        </w:rPr>
        <w:lastRenderedPageBreak/>
        <w:t>el saldo de crédito más elevado dentro de los productos del mismo segmento que ofrece la institución de que se trate.</w:t>
      </w:r>
    </w:p>
    <w:p w14:paraId="083FA7F4"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Para facilitar la comparación de productos por parte de los usuarios, se presentan cuadros con información del costo de productos con características similares. En primer lugar, se divide a las tarjetas por tipo en Clásicas, Oro y Platino o equivalentes. En segundo lugar, las tarjetas Clásicas se dividen en cuatro segmentos de acuerdo con los siguientes límites de crédito:</w:t>
      </w:r>
      <w:r w:rsidRPr="001C7F15">
        <w:rPr>
          <w:rFonts w:eastAsia="Times New Roman"/>
          <w:bCs/>
          <w:sz w:val="26"/>
          <w:szCs w:val="26"/>
          <w:vertAlign w:val="superscript"/>
          <w:lang w:val="es-ES"/>
        </w:rPr>
        <w:footnoteReference w:id="49"/>
      </w:r>
    </w:p>
    <w:tbl>
      <w:tblPr>
        <w:tblW w:w="0" w:type="auto"/>
        <w:jc w:val="center"/>
        <w:tblLook w:val="04A0" w:firstRow="1" w:lastRow="0" w:firstColumn="1" w:lastColumn="0" w:noHBand="0" w:noVBand="1"/>
      </w:tblPr>
      <w:tblGrid>
        <w:gridCol w:w="4077"/>
        <w:gridCol w:w="2403"/>
        <w:gridCol w:w="2275"/>
      </w:tblGrid>
      <w:tr w:rsidR="001C7F15" w:rsidRPr="001C7F15" w14:paraId="1AAC7BC7" w14:textId="77777777" w:rsidTr="001C7F15">
        <w:trPr>
          <w:jc w:val="center"/>
        </w:trPr>
        <w:tc>
          <w:tcPr>
            <w:tcW w:w="8755" w:type="dxa"/>
            <w:gridSpan w:val="3"/>
            <w:tcBorders>
              <w:top w:val="nil"/>
              <w:left w:val="nil"/>
              <w:bottom w:val="single" w:sz="4" w:space="0" w:color="auto"/>
              <w:right w:val="nil"/>
            </w:tcBorders>
            <w:shd w:val="clear" w:color="auto" w:fill="auto"/>
            <w:vAlign w:val="center"/>
          </w:tcPr>
          <w:p w14:paraId="0D1AEFA5"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DISTRIBUCIÓN DE LAS TARJETAS CLÁSICAS DE ACUERDO A SU LÍMITE</w:t>
            </w:r>
          </w:p>
          <w:p w14:paraId="5D6842AA"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DE CRÉDITO PARA CLIENTES TOTALEROS Y NO TOTALEROS*</w:t>
            </w:r>
          </w:p>
          <w:p w14:paraId="3753889B" w14:textId="0CBF45EF"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-Datos a agosto de 2014-</w:t>
            </w:r>
          </w:p>
        </w:tc>
      </w:tr>
      <w:tr w:rsidR="001C7F15" w:rsidRPr="001C7F15" w14:paraId="580B7DA7" w14:textId="77777777" w:rsidTr="00E823BC">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vAlign w:val="center"/>
          </w:tcPr>
          <w:p w14:paraId="6615301F" w14:textId="77777777" w:rsidR="001C7F15" w:rsidRPr="001C7F15" w:rsidRDefault="001C7F15" w:rsidP="001C7F15">
            <w:pPr>
              <w:spacing w:before="40" w:after="40"/>
              <w:jc w:val="center"/>
              <w:rPr>
                <w:rFonts w:eastAsia="Calibri"/>
                <w:b/>
                <w:bCs/>
                <w:sz w:val="22"/>
                <w:szCs w:val="22"/>
                <w:lang w:eastAsia="en-US"/>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55E40341" w14:textId="77777777" w:rsidR="001C7F15" w:rsidRPr="001C7F15" w:rsidRDefault="001C7F15" w:rsidP="001C7F15">
            <w:pPr>
              <w:spacing w:before="40" w:after="40"/>
              <w:jc w:val="center"/>
              <w:rPr>
                <w:rFonts w:eastAsia="Calibri"/>
                <w:b/>
                <w:sz w:val="20"/>
                <w:szCs w:val="20"/>
                <w:lang w:eastAsia="en-US"/>
              </w:rPr>
            </w:pPr>
            <w:r w:rsidRPr="001C7F15">
              <w:rPr>
                <w:rFonts w:eastAsia="Calibri"/>
                <w:b/>
                <w:sz w:val="20"/>
                <w:szCs w:val="20"/>
                <w:lang w:eastAsia="en-US"/>
              </w:rPr>
              <w:t>Participación en el número total de tarjetas (%)</w:t>
            </w:r>
          </w:p>
        </w:tc>
        <w:tc>
          <w:tcPr>
            <w:tcW w:w="2275" w:type="dxa"/>
            <w:tcBorders>
              <w:top w:val="single" w:sz="4" w:space="0" w:color="auto"/>
              <w:left w:val="single" w:sz="4" w:space="0" w:color="auto"/>
              <w:bottom w:val="single" w:sz="4" w:space="0" w:color="auto"/>
              <w:right w:val="single" w:sz="4" w:space="0" w:color="auto"/>
            </w:tcBorders>
            <w:shd w:val="clear" w:color="auto" w:fill="auto"/>
            <w:vAlign w:val="center"/>
          </w:tcPr>
          <w:p w14:paraId="275DC755" w14:textId="77777777" w:rsidR="001C7F15" w:rsidRPr="001C7F15" w:rsidRDefault="001C7F15" w:rsidP="001C7F15">
            <w:pPr>
              <w:spacing w:before="40" w:after="40"/>
              <w:jc w:val="center"/>
              <w:rPr>
                <w:rFonts w:eastAsia="Calibri"/>
                <w:b/>
                <w:sz w:val="20"/>
                <w:szCs w:val="20"/>
                <w:lang w:eastAsia="en-US"/>
              </w:rPr>
            </w:pPr>
            <w:r w:rsidRPr="001C7F15">
              <w:rPr>
                <w:rFonts w:eastAsia="Calibri"/>
                <w:b/>
                <w:sz w:val="20"/>
                <w:szCs w:val="20"/>
                <w:lang w:eastAsia="en-US"/>
              </w:rPr>
              <w:t>Participación en el saldo total del crédito</w:t>
            </w:r>
          </w:p>
          <w:p w14:paraId="53B4BEE0" w14:textId="77777777" w:rsidR="001C7F15" w:rsidRPr="001C7F15" w:rsidRDefault="001C7F15" w:rsidP="001C7F15">
            <w:pPr>
              <w:spacing w:before="40" w:after="40"/>
              <w:jc w:val="center"/>
              <w:rPr>
                <w:rFonts w:eastAsia="Calibri"/>
                <w:b/>
                <w:sz w:val="20"/>
                <w:szCs w:val="20"/>
                <w:lang w:eastAsia="en-US"/>
              </w:rPr>
            </w:pPr>
            <w:r w:rsidRPr="001C7F15">
              <w:rPr>
                <w:rFonts w:eastAsia="Calibri"/>
                <w:b/>
                <w:sz w:val="20"/>
                <w:szCs w:val="20"/>
                <w:lang w:eastAsia="en-US"/>
              </w:rPr>
              <w:t>(%)</w:t>
            </w:r>
          </w:p>
        </w:tc>
      </w:tr>
      <w:tr w:rsidR="001C7F15" w:rsidRPr="001C7F15" w14:paraId="52E48501" w14:textId="77777777" w:rsidTr="00E823BC">
        <w:trPr>
          <w:jc w:val="center"/>
        </w:trPr>
        <w:tc>
          <w:tcPr>
            <w:tcW w:w="4077" w:type="dxa"/>
            <w:tcBorders>
              <w:top w:val="single" w:sz="4" w:space="0" w:color="auto"/>
              <w:left w:val="single" w:sz="4" w:space="0" w:color="auto"/>
              <w:bottom w:val="nil"/>
              <w:right w:val="single" w:sz="4" w:space="0" w:color="auto"/>
            </w:tcBorders>
            <w:shd w:val="clear" w:color="auto" w:fill="auto"/>
            <w:vAlign w:val="center"/>
          </w:tcPr>
          <w:p w14:paraId="4BE0472F" w14:textId="77777777" w:rsidR="001C7F15" w:rsidRPr="001C7F15" w:rsidRDefault="001C7F15" w:rsidP="001C7F15">
            <w:pPr>
              <w:spacing w:before="120" w:after="40"/>
              <w:rPr>
                <w:rFonts w:eastAsia="Calibri"/>
                <w:bCs/>
                <w:sz w:val="20"/>
                <w:szCs w:val="20"/>
                <w:lang w:eastAsia="en-US"/>
              </w:rPr>
            </w:pPr>
            <w:r w:rsidRPr="001C7F15">
              <w:rPr>
                <w:rFonts w:eastAsia="Calibri"/>
                <w:bCs/>
                <w:sz w:val="20"/>
                <w:szCs w:val="20"/>
                <w:lang w:eastAsia="en-US"/>
              </w:rPr>
              <w:t>Límite de crédito hasta 4 mil 500 pesos</w:t>
            </w:r>
          </w:p>
        </w:tc>
        <w:tc>
          <w:tcPr>
            <w:tcW w:w="2403" w:type="dxa"/>
            <w:tcBorders>
              <w:top w:val="single" w:sz="4" w:space="0" w:color="auto"/>
              <w:left w:val="single" w:sz="4" w:space="0" w:color="auto"/>
              <w:bottom w:val="nil"/>
              <w:right w:val="single" w:sz="4" w:space="0" w:color="auto"/>
            </w:tcBorders>
            <w:shd w:val="clear" w:color="auto" w:fill="auto"/>
            <w:vAlign w:val="center"/>
          </w:tcPr>
          <w:p w14:paraId="7617B5E8" w14:textId="77777777" w:rsidR="001C7F15" w:rsidRPr="001C7F15" w:rsidRDefault="001C7F15" w:rsidP="001C7F15">
            <w:pPr>
              <w:spacing w:before="120" w:after="40"/>
              <w:jc w:val="center"/>
              <w:rPr>
                <w:rFonts w:eastAsia="Calibri"/>
                <w:sz w:val="20"/>
                <w:szCs w:val="20"/>
                <w:lang w:eastAsia="en-US"/>
              </w:rPr>
            </w:pPr>
            <w:r w:rsidRPr="001C7F15">
              <w:rPr>
                <w:rFonts w:eastAsia="Calibri"/>
                <w:sz w:val="20"/>
                <w:szCs w:val="20"/>
                <w:lang w:eastAsia="en-US"/>
              </w:rPr>
              <w:t>9.1</w:t>
            </w:r>
          </w:p>
        </w:tc>
        <w:tc>
          <w:tcPr>
            <w:tcW w:w="2275" w:type="dxa"/>
            <w:tcBorders>
              <w:top w:val="single" w:sz="4" w:space="0" w:color="auto"/>
              <w:left w:val="single" w:sz="4" w:space="0" w:color="auto"/>
              <w:bottom w:val="nil"/>
              <w:right w:val="single" w:sz="4" w:space="0" w:color="auto"/>
            </w:tcBorders>
            <w:shd w:val="clear" w:color="auto" w:fill="auto"/>
            <w:vAlign w:val="center"/>
          </w:tcPr>
          <w:p w14:paraId="06AA6B56" w14:textId="77777777" w:rsidR="001C7F15" w:rsidRPr="001C7F15" w:rsidRDefault="001C7F15" w:rsidP="001C7F15">
            <w:pPr>
              <w:spacing w:before="120" w:after="40"/>
              <w:jc w:val="center"/>
              <w:rPr>
                <w:rFonts w:eastAsia="Calibri"/>
                <w:sz w:val="20"/>
                <w:szCs w:val="20"/>
                <w:lang w:eastAsia="en-US"/>
              </w:rPr>
            </w:pPr>
            <w:r w:rsidRPr="001C7F15">
              <w:rPr>
                <w:rFonts w:eastAsia="Calibri"/>
                <w:sz w:val="20"/>
                <w:szCs w:val="20"/>
                <w:lang w:eastAsia="en-US"/>
              </w:rPr>
              <w:t>1.5</w:t>
            </w:r>
          </w:p>
        </w:tc>
      </w:tr>
      <w:tr w:rsidR="001C7F15" w:rsidRPr="001C7F15" w14:paraId="53611131" w14:textId="77777777" w:rsidTr="00E823BC">
        <w:trPr>
          <w:jc w:val="center"/>
        </w:trPr>
        <w:tc>
          <w:tcPr>
            <w:tcW w:w="4077" w:type="dxa"/>
            <w:tcBorders>
              <w:top w:val="nil"/>
              <w:left w:val="single" w:sz="4" w:space="0" w:color="auto"/>
              <w:bottom w:val="nil"/>
              <w:right w:val="single" w:sz="4" w:space="0" w:color="auto"/>
            </w:tcBorders>
            <w:shd w:val="clear" w:color="auto" w:fill="auto"/>
            <w:vAlign w:val="center"/>
          </w:tcPr>
          <w:p w14:paraId="23CF4B23" w14:textId="77777777" w:rsidR="001C7F15" w:rsidRPr="001C7F15" w:rsidRDefault="001C7F15" w:rsidP="001C7F15">
            <w:pPr>
              <w:spacing w:before="40" w:after="40"/>
              <w:rPr>
                <w:rFonts w:eastAsia="Calibri"/>
                <w:bCs/>
                <w:sz w:val="20"/>
                <w:szCs w:val="20"/>
                <w:lang w:eastAsia="en-US"/>
              </w:rPr>
            </w:pPr>
            <w:r w:rsidRPr="001C7F15">
              <w:rPr>
                <w:rFonts w:eastAsia="Calibri"/>
                <w:bCs/>
                <w:sz w:val="20"/>
                <w:szCs w:val="20"/>
                <w:lang w:eastAsia="en-US"/>
              </w:rPr>
              <w:t>Límite de crédito hasta 4 mil 501 y 8 mil pesos</w:t>
            </w:r>
          </w:p>
        </w:tc>
        <w:tc>
          <w:tcPr>
            <w:tcW w:w="2403" w:type="dxa"/>
            <w:tcBorders>
              <w:top w:val="nil"/>
              <w:left w:val="single" w:sz="4" w:space="0" w:color="auto"/>
              <w:bottom w:val="nil"/>
              <w:right w:val="single" w:sz="4" w:space="0" w:color="auto"/>
            </w:tcBorders>
            <w:shd w:val="clear" w:color="auto" w:fill="auto"/>
            <w:vAlign w:val="center"/>
          </w:tcPr>
          <w:p w14:paraId="62823409" w14:textId="77777777" w:rsidR="001C7F15" w:rsidRPr="001C7F15" w:rsidRDefault="001C7F15" w:rsidP="001C7F15">
            <w:pPr>
              <w:spacing w:before="40" w:after="40"/>
              <w:jc w:val="center"/>
              <w:rPr>
                <w:rFonts w:eastAsia="Calibri"/>
                <w:sz w:val="20"/>
                <w:szCs w:val="20"/>
                <w:lang w:eastAsia="en-US"/>
              </w:rPr>
            </w:pPr>
            <w:r w:rsidRPr="001C7F15">
              <w:rPr>
                <w:rFonts w:eastAsia="Calibri"/>
                <w:sz w:val="20"/>
                <w:szCs w:val="20"/>
                <w:lang w:eastAsia="en-US"/>
              </w:rPr>
              <w:t>14.9</w:t>
            </w:r>
          </w:p>
        </w:tc>
        <w:tc>
          <w:tcPr>
            <w:tcW w:w="2275" w:type="dxa"/>
            <w:tcBorders>
              <w:top w:val="nil"/>
              <w:left w:val="single" w:sz="4" w:space="0" w:color="auto"/>
              <w:bottom w:val="nil"/>
              <w:right w:val="single" w:sz="4" w:space="0" w:color="auto"/>
            </w:tcBorders>
            <w:shd w:val="clear" w:color="auto" w:fill="auto"/>
            <w:vAlign w:val="center"/>
          </w:tcPr>
          <w:p w14:paraId="3813318F" w14:textId="77777777" w:rsidR="001C7F15" w:rsidRPr="001C7F15" w:rsidRDefault="001C7F15" w:rsidP="001C7F15">
            <w:pPr>
              <w:spacing w:before="40" w:after="40"/>
              <w:jc w:val="center"/>
              <w:rPr>
                <w:rFonts w:eastAsia="Calibri"/>
                <w:sz w:val="20"/>
                <w:szCs w:val="20"/>
                <w:lang w:eastAsia="en-US"/>
              </w:rPr>
            </w:pPr>
            <w:r w:rsidRPr="001C7F15">
              <w:rPr>
                <w:rFonts w:eastAsia="Calibri"/>
                <w:sz w:val="20"/>
                <w:szCs w:val="20"/>
                <w:lang w:eastAsia="en-US"/>
              </w:rPr>
              <w:t>4.7</w:t>
            </w:r>
          </w:p>
        </w:tc>
      </w:tr>
      <w:tr w:rsidR="001C7F15" w:rsidRPr="001C7F15" w14:paraId="720B2BE6" w14:textId="77777777" w:rsidTr="00E823BC">
        <w:trPr>
          <w:jc w:val="center"/>
        </w:trPr>
        <w:tc>
          <w:tcPr>
            <w:tcW w:w="4077" w:type="dxa"/>
            <w:tcBorders>
              <w:top w:val="nil"/>
              <w:left w:val="single" w:sz="4" w:space="0" w:color="auto"/>
              <w:bottom w:val="nil"/>
              <w:right w:val="single" w:sz="4" w:space="0" w:color="auto"/>
            </w:tcBorders>
            <w:shd w:val="clear" w:color="auto" w:fill="auto"/>
            <w:vAlign w:val="center"/>
          </w:tcPr>
          <w:p w14:paraId="4DDD6143" w14:textId="77777777" w:rsidR="001C7F15" w:rsidRPr="001C7F15" w:rsidRDefault="001C7F15" w:rsidP="001C7F15">
            <w:pPr>
              <w:spacing w:before="40" w:after="40"/>
              <w:rPr>
                <w:rFonts w:eastAsia="Calibri"/>
                <w:bCs/>
                <w:sz w:val="20"/>
                <w:szCs w:val="20"/>
                <w:lang w:eastAsia="en-US"/>
              </w:rPr>
            </w:pPr>
            <w:r w:rsidRPr="001C7F15">
              <w:rPr>
                <w:rFonts w:eastAsia="Calibri"/>
                <w:bCs/>
                <w:sz w:val="20"/>
                <w:szCs w:val="20"/>
                <w:lang w:eastAsia="en-US"/>
              </w:rPr>
              <w:t>Límite de crédito hasta 8 mil 1 y 15 mil pesos</w:t>
            </w:r>
          </w:p>
        </w:tc>
        <w:tc>
          <w:tcPr>
            <w:tcW w:w="2403" w:type="dxa"/>
            <w:tcBorders>
              <w:top w:val="nil"/>
              <w:left w:val="single" w:sz="4" w:space="0" w:color="auto"/>
              <w:bottom w:val="nil"/>
              <w:right w:val="single" w:sz="4" w:space="0" w:color="auto"/>
            </w:tcBorders>
            <w:shd w:val="clear" w:color="auto" w:fill="auto"/>
            <w:vAlign w:val="center"/>
          </w:tcPr>
          <w:p w14:paraId="40E926B9" w14:textId="77777777" w:rsidR="001C7F15" w:rsidRPr="001C7F15" w:rsidRDefault="001C7F15" w:rsidP="001C7F15">
            <w:pPr>
              <w:spacing w:before="40" w:after="40"/>
              <w:jc w:val="center"/>
              <w:rPr>
                <w:rFonts w:eastAsia="Calibri"/>
                <w:sz w:val="20"/>
                <w:szCs w:val="20"/>
                <w:lang w:eastAsia="en-US"/>
              </w:rPr>
            </w:pPr>
            <w:r w:rsidRPr="001C7F15">
              <w:rPr>
                <w:rFonts w:eastAsia="Calibri"/>
                <w:sz w:val="20"/>
                <w:szCs w:val="20"/>
                <w:lang w:eastAsia="en-US"/>
              </w:rPr>
              <w:t>23.8</w:t>
            </w:r>
          </w:p>
        </w:tc>
        <w:tc>
          <w:tcPr>
            <w:tcW w:w="2275" w:type="dxa"/>
            <w:tcBorders>
              <w:top w:val="nil"/>
              <w:left w:val="single" w:sz="4" w:space="0" w:color="auto"/>
              <w:bottom w:val="nil"/>
              <w:right w:val="single" w:sz="4" w:space="0" w:color="auto"/>
            </w:tcBorders>
            <w:shd w:val="clear" w:color="auto" w:fill="auto"/>
            <w:vAlign w:val="center"/>
          </w:tcPr>
          <w:p w14:paraId="4B7F69D0" w14:textId="77777777" w:rsidR="001C7F15" w:rsidRPr="001C7F15" w:rsidRDefault="001C7F15" w:rsidP="001C7F15">
            <w:pPr>
              <w:spacing w:before="40" w:after="40"/>
              <w:jc w:val="center"/>
              <w:rPr>
                <w:rFonts w:eastAsia="Calibri"/>
                <w:sz w:val="20"/>
                <w:szCs w:val="20"/>
                <w:lang w:eastAsia="en-US"/>
              </w:rPr>
            </w:pPr>
            <w:r w:rsidRPr="001C7F15">
              <w:rPr>
                <w:rFonts w:eastAsia="Calibri"/>
                <w:sz w:val="20"/>
                <w:szCs w:val="20"/>
                <w:lang w:eastAsia="en-US"/>
              </w:rPr>
              <w:t>12.5</w:t>
            </w:r>
          </w:p>
        </w:tc>
      </w:tr>
      <w:tr w:rsidR="001C7F15" w:rsidRPr="001C7F15" w14:paraId="42FF04F3" w14:textId="77777777" w:rsidTr="00E823BC">
        <w:trPr>
          <w:jc w:val="center"/>
        </w:trPr>
        <w:tc>
          <w:tcPr>
            <w:tcW w:w="4077" w:type="dxa"/>
            <w:tcBorders>
              <w:top w:val="nil"/>
              <w:left w:val="single" w:sz="4" w:space="0" w:color="auto"/>
              <w:bottom w:val="single" w:sz="4" w:space="0" w:color="auto"/>
              <w:right w:val="single" w:sz="4" w:space="0" w:color="auto"/>
            </w:tcBorders>
            <w:shd w:val="clear" w:color="auto" w:fill="auto"/>
            <w:vAlign w:val="center"/>
          </w:tcPr>
          <w:p w14:paraId="31A00081" w14:textId="77777777" w:rsidR="001C7F15" w:rsidRPr="001C7F15" w:rsidRDefault="001C7F15" w:rsidP="001C7F15">
            <w:pPr>
              <w:spacing w:before="40" w:after="120"/>
              <w:rPr>
                <w:rFonts w:eastAsia="Calibri"/>
                <w:bCs/>
                <w:sz w:val="20"/>
                <w:szCs w:val="20"/>
                <w:lang w:eastAsia="en-US"/>
              </w:rPr>
            </w:pPr>
            <w:r w:rsidRPr="001C7F15">
              <w:rPr>
                <w:rFonts w:eastAsia="Calibri"/>
                <w:bCs/>
                <w:sz w:val="20"/>
                <w:szCs w:val="20"/>
                <w:lang w:eastAsia="en-US"/>
              </w:rPr>
              <w:t>Límite de crédito mayor a 15 mil pesos</w:t>
            </w:r>
          </w:p>
        </w:tc>
        <w:tc>
          <w:tcPr>
            <w:tcW w:w="2403" w:type="dxa"/>
            <w:tcBorders>
              <w:top w:val="nil"/>
              <w:left w:val="single" w:sz="4" w:space="0" w:color="auto"/>
              <w:bottom w:val="single" w:sz="4" w:space="0" w:color="auto"/>
              <w:right w:val="single" w:sz="4" w:space="0" w:color="auto"/>
            </w:tcBorders>
            <w:shd w:val="clear" w:color="auto" w:fill="auto"/>
            <w:vAlign w:val="center"/>
          </w:tcPr>
          <w:p w14:paraId="624028B5" w14:textId="77777777" w:rsidR="001C7F15" w:rsidRPr="001C7F15" w:rsidRDefault="001C7F15" w:rsidP="001C7F15">
            <w:pPr>
              <w:spacing w:before="40" w:after="120"/>
              <w:jc w:val="center"/>
              <w:rPr>
                <w:rFonts w:eastAsia="Calibri"/>
                <w:sz w:val="20"/>
                <w:szCs w:val="20"/>
                <w:lang w:eastAsia="en-US"/>
              </w:rPr>
            </w:pPr>
            <w:r w:rsidRPr="001C7F15">
              <w:rPr>
                <w:rFonts w:eastAsia="Calibri"/>
                <w:sz w:val="20"/>
                <w:szCs w:val="20"/>
                <w:lang w:eastAsia="en-US"/>
              </w:rPr>
              <w:t>52.2</w:t>
            </w:r>
          </w:p>
        </w:tc>
        <w:tc>
          <w:tcPr>
            <w:tcW w:w="2275" w:type="dxa"/>
            <w:tcBorders>
              <w:top w:val="nil"/>
              <w:left w:val="single" w:sz="4" w:space="0" w:color="auto"/>
              <w:bottom w:val="single" w:sz="4" w:space="0" w:color="auto"/>
              <w:right w:val="single" w:sz="4" w:space="0" w:color="auto"/>
            </w:tcBorders>
            <w:shd w:val="clear" w:color="auto" w:fill="auto"/>
            <w:vAlign w:val="center"/>
          </w:tcPr>
          <w:p w14:paraId="52668B68" w14:textId="77777777" w:rsidR="001C7F15" w:rsidRPr="001C7F15" w:rsidRDefault="001C7F15" w:rsidP="001C7F15">
            <w:pPr>
              <w:spacing w:before="40" w:after="120"/>
              <w:jc w:val="center"/>
              <w:rPr>
                <w:rFonts w:eastAsia="Calibri"/>
                <w:sz w:val="20"/>
                <w:szCs w:val="20"/>
                <w:lang w:eastAsia="en-US"/>
              </w:rPr>
            </w:pPr>
            <w:r w:rsidRPr="001C7F15">
              <w:rPr>
                <w:rFonts w:eastAsia="Calibri"/>
                <w:sz w:val="20"/>
                <w:szCs w:val="20"/>
                <w:lang w:eastAsia="en-US"/>
              </w:rPr>
              <w:t>81.4</w:t>
            </w:r>
          </w:p>
        </w:tc>
      </w:tr>
      <w:tr w:rsidR="001C7F15" w:rsidRPr="001C7F15" w14:paraId="47767921" w14:textId="77777777" w:rsidTr="001C7F15">
        <w:trPr>
          <w:jc w:val="center"/>
        </w:trPr>
        <w:tc>
          <w:tcPr>
            <w:tcW w:w="8755" w:type="dxa"/>
            <w:gridSpan w:val="3"/>
            <w:tcBorders>
              <w:top w:val="single" w:sz="4" w:space="0" w:color="auto"/>
              <w:left w:val="single" w:sz="8" w:space="0" w:color="FFFFFF"/>
              <w:bottom w:val="single" w:sz="8" w:space="0" w:color="FFFFFF"/>
              <w:right w:val="single" w:sz="8" w:space="0" w:color="FFFFFF"/>
            </w:tcBorders>
            <w:shd w:val="clear" w:color="auto" w:fill="auto"/>
            <w:vAlign w:val="center"/>
          </w:tcPr>
          <w:p w14:paraId="4C6DB4E5" w14:textId="77777777" w:rsidR="001C7F15" w:rsidRPr="001C7F15" w:rsidRDefault="001C7F15" w:rsidP="001C7F15">
            <w:pPr>
              <w:spacing w:before="120"/>
              <w:rPr>
                <w:rFonts w:eastAsia="Calibri"/>
                <w:bCs/>
                <w:sz w:val="20"/>
                <w:szCs w:val="20"/>
                <w:lang w:eastAsia="en-US"/>
              </w:rPr>
            </w:pPr>
            <w:r w:rsidRPr="001C7F15">
              <w:rPr>
                <w:rFonts w:eastAsia="Calibri"/>
                <w:bCs/>
                <w:sz w:val="20"/>
                <w:szCs w:val="20"/>
                <w:lang w:eastAsia="en-US"/>
              </w:rPr>
              <w:t>* La suma de las partes puede no coincidir con el total debido al redondeo.</w:t>
            </w:r>
          </w:p>
          <w:p w14:paraId="27C18E22"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FUENTE: Elaborado con datos proporcionados por las instituciones de crédito.</w:t>
            </w:r>
          </w:p>
        </w:tc>
      </w:tr>
    </w:tbl>
    <w:p w14:paraId="2711CB78" w14:textId="77777777" w:rsidR="001C7F15" w:rsidRPr="001C7F15" w:rsidRDefault="001C7F15" w:rsidP="001C7F15">
      <w:pPr>
        <w:spacing w:after="360" w:line="360" w:lineRule="auto"/>
        <w:ind w:right="-159"/>
        <w:jc w:val="both"/>
        <w:rPr>
          <w:rFonts w:eastAsia="Times New Roman"/>
          <w:bCs/>
          <w:sz w:val="26"/>
          <w:szCs w:val="26"/>
          <w:lang w:val="es-ES"/>
        </w:rPr>
      </w:pPr>
    </w:p>
    <w:p w14:paraId="70B78452" w14:textId="77777777" w:rsidR="001C7F15" w:rsidRPr="001C7F15" w:rsidRDefault="001C7F15" w:rsidP="001C7F15">
      <w:pPr>
        <w:spacing w:after="360" w:line="360" w:lineRule="auto"/>
        <w:ind w:right="-159"/>
        <w:jc w:val="both"/>
        <w:rPr>
          <w:rFonts w:eastAsia="Times New Roman"/>
          <w:bCs/>
          <w:sz w:val="26"/>
          <w:szCs w:val="26"/>
          <w:lang w:val="es-ES"/>
        </w:rPr>
      </w:pPr>
      <w:r w:rsidRPr="001C7F15">
        <w:rPr>
          <w:rFonts w:eastAsia="Times New Roman"/>
          <w:bCs/>
          <w:sz w:val="26"/>
          <w:szCs w:val="26"/>
          <w:lang w:val="es-ES"/>
        </w:rPr>
        <w:t>En los cuadros siguientes se presenta el CAT, la tasa de interés efectiva promedio ponderada y otros indicadores de los productos representativos de cada institución para los diferentes grupos descritos. Al momento de hacer comparaciones entre productos, es necesario considerar lo siguiente:</w:t>
      </w:r>
    </w:p>
    <w:p w14:paraId="4B5C33CD" w14:textId="77777777" w:rsidR="001C7F15" w:rsidRPr="001C7F15" w:rsidRDefault="001C7F15" w:rsidP="00667577">
      <w:pPr>
        <w:numPr>
          <w:ilvl w:val="0"/>
          <w:numId w:val="189"/>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lastRenderedPageBreak/>
        <w:t>El costo anual total (CAT) y la tasa de interés reportada en estos cuadros son promedios calculados con base en la información disponible para cada producto y no consideran otros beneficios para los clientes que el producto pudiera ofrecer.</w:t>
      </w:r>
    </w:p>
    <w:p w14:paraId="2B3C1C9C" w14:textId="77777777" w:rsidR="001C7F15" w:rsidRPr="001C7F15" w:rsidRDefault="001C7F15" w:rsidP="00667577">
      <w:pPr>
        <w:numPr>
          <w:ilvl w:val="0"/>
          <w:numId w:val="189"/>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El CAT para un cliente particular depende de muchos factores, entre ellos, de su perfil de riesgo, por lo que puede ser diferente al que aquí se reporta.</w:t>
      </w:r>
    </w:p>
    <w:p w14:paraId="3C225E0B" w14:textId="77777777" w:rsidR="001C7F15" w:rsidRPr="001C7F15" w:rsidRDefault="001C7F15" w:rsidP="00667577">
      <w:pPr>
        <w:numPr>
          <w:ilvl w:val="0"/>
          <w:numId w:val="189"/>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Las entidades financieras no están obligadas a otorgar una tarjeta de crédito a un cliente particular en los términos expresados en estos cuadros.</w:t>
      </w:r>
    </w:p>
    <w:p w14:paraId="0D7EAFE1" w14:textId="77777777" w:rsidR="001C7F15" w:rsidRPr="001C7F15" w:rsidRDefault="001C7F15" w:rsidP="00667577">
      <w:pPr>
        <w:numPr>
          <w:ilvl w:val="0"/>
          <w:numId w:val="189"/>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Las tarjetas consideradas en estos cuadros son de aceptación generalizada, es decir, pueden usarse en cualquier comercio que acepte pagos con tarjeta de crédito.</w:t>
      </w:r>
    </w:p>
    <w:p w14:paraId="502E0315" w14:textId="77777777" w:rsidR="001C7F15" w:rsidRPr="001C7F15" w:rsidRDefault="001C7F15" w:rsidP="00667577">
      <w:pPr>
        <w:numPr>
          <w:ilvl w:val="0"/>
          <w:numId w:val="189"/>
        </w:numPr>
        <w:spacing w:after="360" w:line="360" w:lineRule="auto"/>
        <w:ind w:left="454" w:right="-159" w:hanging="454"/>
        <w:jc w:val="both"/>
        <w:rPr>
          <w:rFonts w:eastAsia="Times New Roman"/>
          <w:bCs/>
          <w:sz w:val="26"/>
          <w:szCs w:val="26"/>
          <w:lang w:val="es-ES"/>
        </w:rPr>
      </w:pPr>
      <w:r w:rsidRPr="001C7F15">
        <w:rPr>
          <w:rFonts w:eastAsia="Times New Roman"/>
          <w:bCs/>
          <w:sz w:val="26"/>
          <w:szCs w:val="26"/>
          <w:lang w:val="es-ES"/>
        </w:rPr>
        <w:t>Cada cuadro se elaboró con información correspondiente a los clientes que no liquidan habitualmente el saldo total de su deuda (“no totaleros”), pero que están al corriente en sus pagos.</w:t>
      </w:r>
    </w:p>
    <w:p w14:paraId="10392D40" w14:textId="77777777" w:rsidR="001C7F15" w:rsidRPr="001C7F15" w:rsidRDefault="001C7F15" w:rsidP="001C7F15">
      <w:pPr>
        <w:spacing w:after="360" w:line="360" w:lineRule="auto"/>
        <w:ind w:right="-159"/>
        <w:jc w:val="both"/>
        <w:rPr>
          <w:rFonts w:eastAsia="Times New Roman"/>
          <w:bCs/>
          <w:sz w:val="26"/>
          <w:szCs w:val="26"/>
          <w:lang w:val="es-ES"/>
        </w:rPr>
      </w:pPr>
    </w:p>
    <w:p w14:paraId="7C89A3F2" w14:textId="77777777" w:rsidR="001C7F15" w:rsidRPr="001C7F15" w:rsidRDefault="001C7F15" w:rsidP="001C7F15">
      <w:pPr>
        <w:spacing w:after="360" w:line="360" w:lineRule="auto"/>
        <w:ind w:right="-159"/>
        <w:jc w:val="both"/>
        <w:rPr>
          <w:rFonts w:eastAsia="Times New Roman"/>
          <w:bCs/>
          <w:sz w:val="26"/>
          <w:szCs w:val="26"/>
          <w:lang w:val="es-ES"/>
        </w:rPr>
      </w:pPr>
    </w:p>
    <w:p w14:paraId="476387DB" w14:textId="77777777" w:rsidR="001C7F15" w:rsidRPr="001C7F15" w:rsidRDefault="001C7F15" w:rsidP="001C7F15">
      <w:pPr>
        <w:spacing w:after="360" w:line="360" w:lineRule="auto"/>
        <w:ind w:right="-159"/>
        <w:jc w:val="both"/>
        <w:rPr>
          <w:rFonts w:eastAsia="Times New Roman"/>
          <w:bCs/>
          <w:sz w:val="26"/>
          <w:szCs w:val="26"/>
          <w:lang w:val="es-ES"/>
        </w:rPr>
      </w:pPr>
    </w:p>
    <w:p w14:paraId="505FA9A9" w14:textId="77777777" w:rsidR="001C7F15" w:rsidRPr="001C7F15" w:rsidRDefault="001C7F15" w:rsidP="001C7F15">
      <w:pPr>
        <w:spacing w:after="360" w:line="360" w:lineRule="auto"/>
        <w:ind w:right="-159"/>
        <w:jc w:val="both"/>
        <w:rPr>
          <w:rFonts w:eastAsia="Times New Roman"/>
          <w:bCs/>
          <w:sz w:val="26"/>
          <w:szCs w:val="26"/>
          <w:lang w:val="es-ES"/>
        </w:rPr>
      </w:pPr>
    </w:p>
    <w:p w14:paraId="00FC8EB7" w14:textId="77777777" w:rsidR="001C7F15" w:rsidRPr="001C7F15" w:rsidRDefault="001C7F15" w:rsidP="001C7F15">
      <w:pPr>
        <w:spacing w:after="360" w:line="360" w:lineRule="auto"/>
        <w:ind w:right="-159"/>
        <w:jc w:val="both"/>
        <w:rPr>
          <w:rFonts w:eastAsia="Times New Roman"/>
          <w:bCs/>
          <w:sz w:val="26"/>
          <w:szCs w:val="26"/>
          <w:lang w:val="es-ES"/>
        </w:rPr>
      </w:pPr>
    </w:p>
    <w:p w14:paraId="73FBBF8B" w14:textId="77777777" w:rsidR="001C7F15" w:rsidRPr="001C7F15" w:rsidRDefault="001C7F15" w:rsidP="001C7F15">
      <w:pPr>
        <w:spacing w:after="360" w:line="360" w:lineRule="auto"/>
        <w:ind w:right="-159"/>
        <w:jc w:val="both"/>
        <w:rPr>
          <w:rFonts w:eastAsia="Times New Roman"/>
          <w:bCs/>
          <w:sz w:val="26"/>
          <w:szCs w:val="26"/>
          <w:lang w:val="es-ES"/>
        </w:rPr>
      </w:pPr>
    </w:p>
    <w:p w14:paraId="1BF03920" w14:textId="77777777" w:rsidR="001C7F15" w:rsidRPr="001C7F15" w:rsidRDefault="001C7F15" w:rsidP="001C7F15">
      <w:pPr>
        <w:spacing w:after="360" w:line="360" w:lineRule="auto"/>
        <w:ind w:right="-159"/>
        <w:jc w:val="both"/>
        <w:rPr>
          <w:rFonts w:eastAsia="Times New Roman"/>
          <w:bCs/>
          <w:sz w:val="26"/>
          <w:szCs w:val="26"/>
          <w:lang w:val="es-ES"/>
        </w:rPr>
      </w:pPr>
    </w:p>
    <w:tbl>
      <w:tblPr>
        <w:tblW w:w="0" w:type="auto"/>
        <w:jc w:val="center"/>
        <w:tblLook w:val="04A0" w:firstRow="1" w:lastRow="0" w:firstColumn="1" w:lastColumn="0" w:noHBand="0" w:noVBand="1"/>
      </w:tblPr>
      <w:tblGrid>
        <w:gridCol w:w="1560"/>
        <w:gridCol w:w="2126"/>
        <w:gridCol w:w="1276"/>
        <w:gridCol w:w="1417"/>
        <w:gridCol w:w="1276"/>
        <w:gridCol w:w="1183"/>
      </w:tblGrid>
      <w:tr w:rsidR="001C7F15" w:rsidRPr="001C7F15" w14:paraId="4EA97FC4" w14:textId="77777777" w:rsidTr="001C7F15">
        <w:trPr>
          <w:jc w:val="center"/>
        </w:trPr>
        <w:tc>
          <w:tcPr>
            <w:tcW w:w="8838" w:type="dxa"/>
            <w:gridSpan w:val="6"/>
            <w:tcBorders>
              <w:top w:val="nil"/>
              <w:left w:val="nil"/>
              <w:bottom w:val="single" w:sz="4" w:space="0" w:color="auto"/>
              <w:right w:val="nil"/>
            </w:tcBorders>
            <w:shd w:val="clear" w:color="auto" w:fill="auto"/>
            <w:vAlign w:val="center"/>
          </w:tcPr>
          <w:p w14:paraId="5D10F76C" w14:textId="77777777" w:rsidR="001C7F15" w:rsidRPr="001C7F15" w:rsidRDefault="001C7F15" w:rsidP="001C7F15">
            <w:pPr>
              <w:jc w:val="center"/>
              <w:rPr>
                <w:rFonts w:eastAsia="Times New Roman"/>
                <w:b/>
                <w:bCs/>
                <w:sz w:val="22"/>
                <w:szCs w:val="22"/>
                <w:lang w:eastAsia="en-US"/>
              </w:rPr>
            </w:pPr>
            <w:r w:rsidRPr="001C7F15">
              <w:rPr>
                <w:rFonts w:eastAsia="Times New Roman"/>
                <w:b/>
                <w:bCs/>
                <w:sz w:val="22"/>
                <w:szCs w:val="22"/>
                <w:lang w:eastAsia="en-US"/>
              </w:rPr>
              <w:lastRenderedPageBreak/>
              <w:t>PRODUCTOS</w:t>
            </w:r>
            <w:r w:rsidRPr="001C7F15">
              <w:rPr>
                <w:rFonts w:eastAsia="Times New Roman"/>
                <w:b/>
                <w:bCs/>
                <w:sz w:val="22"/>
                <w:szCs w:val="22"/>
                <w:u w:val="single"/>
                <w:vertAlign w:val="superscript"/>
                <w:lang w:eastAsia="en-US"/>
              </w:rPr>
              <w:t>1</w:t>
            </w:r>
            <w:r w:rsidRPr="001C7F15">
              <w:rPr>
                <w:rFonts w:eastAsia="Times New Roman"/>
                <w:b/>
                <w:bCs/>
                <w:sz w:val="22"/>
                <w:szCs w:val="22"/>
                <w:vertAlign w:val="superscript"/>
                <w:lang w:eastAsia="en-US"/>
              </w:rPr>
              <w:t>/</w:t>
            </w:r>
            <w:r w:rsidRPr="001C7F15">
              <w:rPr>
                <w:rFonts w:eastAsia="Times New Roman"/>
                <w:b/>
                <w:bCs/>
                <w:sz w:val="22"/>
                <w:szCs w:val="22"/>
                <w:lang w:eastAsia="en-US"/>
              </w:rPr>
              <w:t xml:space="preserve"> REPRESENTATIVOS POR INSTITUCIÓN, PARA CLIENTES NO TOTALEROS EN EL SEGMENTO DE TARJETAS “CLÁSICAS” O EQUIVALENTES CON LÍMITE DE CRÉDITO HASTA 4 MIL 500 PESOS</w:t>
            </w:r>
          </w:p>
          <w:p w14:paraId="27930813" w14:textId="77285E40" w:rsidR="001C7F15" w:rsidRPr="001C7F15" w:rsidRDefault="001C7F15" w:rsidP="001C7F15">
            <w:pPr>
              <w:jc w:val="center"/>
              <w:rPr>
                <w:rFonts w:eastAsia="Times New Roman"/>
                <w:b/>
                <w:bCs/>
                <w:sz w:val="20"/>
                <w:szCs w:val="20"/>
                <w:lang w:eastAsia="en-US"/>
              </w:rPr>
            </w:pPr>
            <w:r w:rsidRPr="001C7F15">
              <w:rPr>
                <w:rFonts w:eastAsia="Times New Roman"/>
                <w:b/>
                <w:bCs/>
                <w:sz w:val="22"/>
                <w:szCs w:val="22"/>
                <w:lang w:eastAsia="en-US"/>
              </w:rPr>
              <w:t>-Datos a agosto de 2014-</w:t>
            </w:r>
          </w:p>
        </w:tc>
      </w:tr>
      <w:tr w:rsidR="001C7F15" w:rsidRPr="001C7F15" w14:paraId="638F54AC" w14:textId="77777777" w:rsidTr="00E823BC">
        <w:trPr>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976B40" w14:textId="77777777" w:rsidR="001C7F15" w:rsidRPr="001C7F15" w:rsidRDefault="001C7F15" w:rsidP="001C7F15">
            <w:pPr>
              <w:jc w:val="center"/>
              <w:rPr>
                <w:rFonts w:eastAsia="Times New Roman"/>
                <w:b/>
                <w:bCs/>
                <w:sz w:val="18"/>
                <w:szCs w:val="18"/>
                <w:lang w:eastAsia="en-US"/>
              </w:rPr>
            </w:pPr>
            <w:r w:rsidRPr="001C7F15">
              <w:rPr>
                <w:rFonts w:eastAsia="Times New Roman"/>
                <w:b/>
                <w:bCs/>
                <w:sz w:val="18"/>
                <w:szCs w:val="18"/>
                <w:lang w:eastAsia="en-US"/>
              </w:rPr>
              <w:t>Institución</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6FA696A"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Producto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AAE851"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CAT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A9F38FA"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Tasa efectiva promedio ponderada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59A895"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Anualidad (pesos)</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tcPr>
          <w:p w14:paraId="5FA54D32" w14:textId="77777777" w:rsidR="001C7F15" w:rsidRPr="001C7F15" w:rsidRDefault="001C7F15" w:rsidP="001C7F15">
            <w:pPr>
              <w:jc w:val="center"/>
              <w:rPr>
                <w:rFonts w:eastAsia="Calibri"/>
                <w:b/>
                <w:sz w:val="18"/>
                <w:szCs w:val="18"/>
                <w:lang w:eastAsia="en-US"/>
              </w:rPr>
            </w:pPr>
            <w:r w:rsidRPr="001C7F15">
              <w:rPr>
                <w:rFonts w:eastAsia="Calibri"/>
                <w:b/>
                <w:sz w:val="18"/>
                <w:szCs w:val="18"/>
                <w:lang w:eastAsia="en-US"/>
              </w:rPr>
              <w:t xml:space="preserve">Límite de crédito (mediana en pesos) </w:t>
            </w:r>
            <w:r w:rsidRPr="001C7F15">
              <w:rPr>
                <w:rFonts w:eastAsia="Calibri"/>
                <w:b/>
                <w:sz w:val="18"/>
                <w:szCs w:val="18"/>
                <w:u w:val="single"/>
                <w:vertAlign w:val="superscript"/>
                <w:lang w:eastAsia="en-US"/>
              </w:rPr>
              <w:t>2</w:t>
            </w:r>
            <w:r w:rsidRPr="001C7F15">
              <w:rPr>
                <w:rFonts w:eastAsia="Calibri"/>
                <w:b/>
                <w:sz w:val="18"/>
                <w:szCs w:val="18"/>
                <w:vertAlign w:val="superscript"/>
                <w:lang w:eastAsia="en-US"/>
              </w:rPr>
              <w:t>/</w:t>
            </w:r>
          </w:p>
        </w:tc>
      </w:tr>
      <w:tr w:rsidR="001C7F15" w:rsidRPr="001C7F15" w14:paraId="6062284D" w14:textId="77777777" w:rsidTr="00E823BC">
        <w:trPr>
          <w:jc w:val="center"/>
        </w:trPr>
        <w:tc>
          <w:tcPr>
            <w:tcW w:w="88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CB03EB4" w14:textId="77777777" w:rsidR="001C7F15" w:rsidRPr="001C7F15" w:rsidRDefault="001C7F15" w:rsidP="001C7F15">
            <w:pPr>
              <w:spacing w:before="40" w:after="40"/>
              <w:jc w:val="center"/>
              <w:rPr>
                <w:rFonts w:eastAsia="Times New Roman"/>
                <w:b/>
                <w:bCs/>
                <w:sz w:val="18"/>
                <w:szCs w:val="18"/>
                <w:lang w:eastAsia="en-US"/>
              </w:rPr>
            </w:pPr>
            <w:r w:rsidRPr="001C7F15">
              <w:rPr>
                <w:rFonts w:eastAsia="Times New Roman"/>
                <w:b/>
                <w:bCs/>
                <w:sz w:val="18"/>
                <w:szCs w:val="18"/>
                <w:lang w:eastAsia="en-US"/>
              </w:rPr>
              <w:t>Productos con al menos 0.5% del total de tarjetas de este segmento</w:t>
            </w:r>
          </w:p>
        </w:tc>
      </w:tr>
      <w:tr w:rsidR="001C7F15" w:rsidRPr="001C7F15" w14:paraId="119B713E" w14:textId="77777777" w:rsidTr="00E823BC">
        <w:trPr>
          <w:jc w:val="center"/>
        </w:trPr>
        <w:tc>
          <w:tcPr>
            <w:tcW w:w="1560" w:type="dxa"/>
            <w:tcBorders>
              <w:top w:val="single" w:sz="4" w:space="0" w:color="auto"/>
              <w:left w:val="single" w:sz="4" w:space="0" w:color="auto"/>
              <w:bottom w:val="nil"/>
              <w:right w:val="single" w:sz="4" w:space="0" w:color="auto"/>
            </w:tcBorders>
            <w:shd w:val="clear" w:color="auto" w:fill="auto"/>
          </w:tcPr>
          <w:p w14:paraId="30B0F28E" w14:textId="77777777" w:rsidR="001C7F15" w:rsidRPr="001C7F15" w:rsidRDefault="001C7F15" w:rsidP="001C7F15">
            <w:pPr>
              <w:autoSpaceDE w:val="0"/>
              <w:autoSpaceDN w:val="0"/>
              <w:adjustRightInd w:val="0"/>
              <w:spacing w:before="120"/>
              <w:jc w:val="both"/>
              <w:rPr>
                <w:rFonts w:eastAsia="Times New Roman"/>
                <w:bCs/>
                <w:sz w:val="18"/>
                <w:szCs w:val="18"/>
                <w:lang w:eastAsia="en-US"/>
              </w:rPr>
            </w:pPr>
            <w:r w:rsidRPr="001C7F15">
              <w:rPr>
                <w:rFonts w:eastAsia="Times New Roman"/>
                <w:bCs/>
                <w:sz w:val="18"/>
                <w:szCs w:val="18"/>
                <w:lang w:eastAsia="en-US"/>
              </w:rPr>
              <w:t>Santander</w:t>
            </w:r>
          </w:p>
        </w:tc>
        <w:tc>
          <w:tcPr>
            <w:tcW w:w="2126" w:type="dxa"/>
            <w:tcBorders>
              <w:top w:val="single" w:sz="4" w:space="0" w:color="auto"/>
              <w:left w:val="single" w:sz="4" w:space="0" w:color="auto"/>
              <w:bottom w:val="nil"/>
              <w:right w:val="single" w:sz="4" w:space="0" w:color="auto"/>
            </w:tcBorders>
            <w:shd w:val="clear" w:color="auto" w:fill="auto"/>
          </w:tcPr>
          <w:p w14:paraId="0F561099" w14:textId="77777777" w:rsidR="001C7F15" w:rsidRPr="001C7F15" w:rsidRDefault="001C7F15" w:rsidP="001C7F15">
            <w:pPr>
              <w:autoSpaceDE w:val="0"/>
              <w:autoSpaceDN w:val="0"/>
              <w:adjustRightInd w:val="0"/>
              <w:spacing w:before="120"/>
              <w:jc w:val="both"/>
              <w:rPr>
                <w:rFonts w:eastAsia="Calibri"/>
                <w:sz w:val="18"/>
                <w:szCs w:val="18"/>
                <w:lang w:eastAsia="en-US"/>
              </w:rPr>
            </w:pPr>
            <w:r w:rsidRPr="001C7F15">
              <w:rPr>
                <w:rFonts w:eastAsia="Calibri"/>
                <w:sz w:val="18"/>
                <w:szCs w:val="18"/>
                <w:lang w:eastAsia="en-US"/>
              </w:rPr>
              <w:t>Santander Light</w:t>
            </w:r>
          </w:p>
        </w:tc>
        <w:tc>
          <w:tcPr>
            <w:tcW w:w="1276" w:type="dxa"/>
            <w:tcBorders>
              <w:top w:val="single" w:sz="4" w:space="0" w:color="auto"/>
              <w:left w:val="single" w:sz="4" w:space="0" w:color="auto"/>
              <w:bottom w:val="nil"/>
              <w:right w:val="single" w:sz="4" w:space="0" w:color="auto"/>
            </w:tcBorders>
            <w:shd w:val="clear" w:color="auto" w:fill="auto"/>
          </w:tcPr>
          <w:p w14:paraId="73C77D58"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40.4</w:t>
            </w:r>
          </w:p>
        </w:tc>
        <w:tc>
          <w:tcPr>
            <w:tcW w:w="1417" w:type="dxa"/>
            <w:tcBorders>
              <w:top w:val="single" w:sz="4" w:space="0" w:color="auto"/>
              <w:left w:val="single" w:sz="4" w:space="0" w:color="auto"/>
              <w:bottom w:val="nil"/>
              <w:right w:val="single" w:sz="4" w:space="0" w:color="auto"/>
            </w:tcBorders>
            <w:shd w:val="clear" w:color="auto" w:fill="auto"/>
          </w:tcPr>
          <w:p w14:paraId="472088E9"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30.3</w:t>
            </w:r>
          </w:p>
        </w:tc>
        <w:tc>
          <w:tcPr>
            <w:tcW w:w="1276" w:type="dxa"/>
            <w:tcBorders>
              <w:top w:val="single" w:sz="4" w:space="0" w:color="auto"/>
              <w:left w:val="single" w:sz="4" w:space="0" w:color="auto"/>
              <w:bottom w:val="nil"/>
              <w:right w:val="single" w:sz="4" w:space="0" w:color="auto"/>
            </w:tcBorders>
            <w:shd w:val="clear" w:color="auto" w:fill="auto"/>
          </w:tcPr>
          <w:p w14:paraId="46313ADF"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530</w:t>
            </w:r>
          </w:p>
        </w:tc>
        <w:tc>
          <w:tcPr>
            <w:tcW w:w="1183" w:type="dxa"/>
            <w:tcBorders>
              <w:top w:val="single" w:sz="4" w:space="0" w:color="auto"/>
              <w:left w:val="single" w:sz="4" w:space="0" w:color="auto"/>
              <w:bottom w:val="nil"/>
              <w:right w:val="single" w:sz="4" w:space="0" w:color="auto"/>
            </w:tcBorders>
            <w:shd w:val="clear" w:color="auto" w:fill="auto"/>
          </w:tcPr>
          <w:p w14:paraId="69AC49E3"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3 010</w:t>
            </w:r>
          </w:p>
        </w:tc>
      </w:tr>
      <w:tr w:rsidR="001C7F15" w:rsidRPr="001C7F15" w14:paraId="5BFE7264"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135420F5"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Inbursa</w:t>
            </w:r>
          </w:p>
        </w:tc>
        <w:tc>
          <w:tcPr>
            <w:tcW w:w="2126" w:type="dxa"/>
            <w:tcBorders>
              <w:top w:val="nil"/>
              <w:left w:val="single" w:sz="4" w:space="0" w:color="auto"/>
              <w:bottom w:val="nil"/>
              <w:right w:val="single" w:sz="4" w:space="0" w:color="auto"/>
            </w:tcBorders>
            <w:shd w:val="clear" w:color="auto" w:fill="auto"/>
          </w:tcPr>
          <w:p w14:paraId="1D810AC8"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Clásica Inbursa</w:t>
            </w:r>
          </w:p>
        </w:tc>
        <w:tc>
          <w:tcPr>
            <w:tcW w:w="1276" w:type="dxa"/>
            <w:tcBorders>
              <w:top w:val="nil"/>
              <w:left w:val="single" w:sz="4" w:space="0" w:color="auto"/>
              <w:bottom w:val="nil"/>
              <w:right w:val="single" w:sz="4" w:space="0" w:color="auto"/>
            </w:tcBorders>
            <w:shd w:val="clear" w:color="auto" w:fill="auto"/>
          </w:tcPr>
          <w:p w14:paraId="7A8761D6"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42.8</w:t>
            </w:r>
          </w:p>
        </w:tc>
        <w:tc>
          <w:tcPr>
            <w:tcW w:w="1417" w:type="dxa"/>
            <w:tcBorders>
              <w:top w:val="nil"/>
              <w:left w:val="single" w:sz="4" w:space="0" w:color="auto"/>
              <w:bottom w:val="nil"/>
              <w:right w:val="single" w:sz="4" w:space="0" w:color="auto"/>
            </w:tcBorders>
            <w:shd w:val="clear" w:color="auto" w:fill="auto"/>
          </w:tcPr>
          <w:p w14:paraId="36C13E03"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36.2</w:t>
            </w:r>
          </w:p>
        </w:tc>
        <w:tc>
          <w:tcPr>
            <w:tcW w:w="1276" w:type="dxa"/>
            <w:tcBorders>
              <w:top w:val="nil"/>
              <w:left w:val="single" w:sz="4" w:space="0" w:color="auto"/>
              <w:bottom w:val="nil"/>
              <w:right w:val="single" w:sz="4" w:space="0" w:color="auto"/>
            </w:tcBorders>
            <w:shd w:val="clear" w:color="auto" w:fill="auto"/>
          </w:tcPr>
          <w:p w14:paraId="2E74C8E4"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0</w:t>
            </w:r>
          </w:p>
        </w:tc>
        <w:tc>
          <w:tcPr>
            <w:tcW w:w="1183" w:type="dxa"/>
            <w:tcBorders>
              <w:top w:val="nil"/>
              <w:left w:val="single" w:sz="4" w:space="0" w:color="auto"/>
              <w:bottom w:val="nil"/>
              <w:right w:val="single" w:sz="4" w:space="0" w:color="auto"/>
            </w:tcBorders>
            <w:shd w:val="clear" w:color="auto" w:fill="auto"/>
          </w:tcPr>
          <w:p w14:paraId="514B9776"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3 000</w:t>
            </w:r>
          </w:p>
        </w:tc>
      </w:tr>
      <w:tr w:rsidR="001C7F15" w:rsidRPr="001C7F15" w14:paraId="36195AED"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4B774F14"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SF Soriana</w:t>
            </w:r>
          </w:p>
        </w:tc>
        <w:tc>
          <w:tcPr>
            <w:tcW w:w="2126" w:type="dxa"/>
            <w:tcBorders>
              <w:top w:val="nil"/>
              <w:left w:val="single" w:sz="4" w:space="0" w:color="auto"/>
              <w:bottom w:val="nil"/>
              <w:right w:val="single" w:sz="4" w:space="0" w:color="auto"/>
            </w:tcBorders>
            <w:shd w:val="clear" w:color="auto" w:fill="auto"/>
          </w:tcPr>
          <w:p w14:paraId="3B21898F"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Soriana – Banamex</w:t>
            </w:r>
          </w:p>
        </w:tc>
        <w:tc>
          <w:tcPr>
            <w:tcW w:w="1276" w:type="dxa"/>
            <w:tcBorders>
              <w:top w:val="nil"/>
              <w:left w:val="single" w:sz="4" w:space="0" w:color="auto"/>
              <w:bottom w:val="nil"/>
              <w:right w:val="single" w:sz="4" w:space="0" w:color="auto"/>
            </w:tcBorders>
            <w:shd w:val="clear" w:color="auto" w:fill="auto"/>
          </w:tcPr>
          <w:p w14:paraId="10A6FDE1"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57.1</w:t>
            </w:r>
          </w:p>
        </w:tc>
        <w:tc>
          <w:tcPr>
            <w:tcW w:w="1417" w:type="dxa"/>
            <w:tcBorders>
              <w:top w:val="nil"/>
              <w:left w:val="single" w:sz="4" w:space="0" w:color="auto"/>
              <w:bottom w:val="nil"/>
              <w:right w:val="single" w:sz="4" w:space="0" w:color="auto"/>
            </w:tcBorders>
            <w:shd w:val="clear" w:color="auto" w:fill="auto"/>
          </w:tcPr>
          <w:p w14:paraId="71666CCA"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41.8</w:t>
            </w:r>
          </w:p>
        </w:tc>
        <w:tc>
          <w:tcPr>
            <w:tcW w:w="1276" w:type="dxa"/>
            <w:tcBorders>
              <w:top w:val="nil"/>
              <w:left w:val="single" w:sz="4" w:space="0" w:color="auto"/>
              <w:bottom w:val="nil"/>
              <w:right w:val="single" w:sz="4" w:space="0" w:color="auto"/>
            </w:tcBorders>
            <w:shd w:val="clear" w:color="auto" w:fill="auto"/>
          </w:tcPr>
          <w:p w14:paraId="0168693D"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520</w:t>
            </w:r>
          </w:p>
        </w:tc>
        <w:tc>
          <w:tcPr>
            <w:tcW w:w="1183" w:type="dxa"/>
            <w:tcBorders>
              <w:top w:val="nil"/>
              <w:left w:val="single" w:sz="4" w:space="0" w:color="auto"/>
              <w:bottom w:val="nil"/>
              <w:right w:val="single" w:sz="4" w:space="0" w:color="auto"/>
            </w:tcBorders>
            <w:shd w:val="clear" w:color="auto" w:fill="auto"/>
          </w:tcPr>
          <w:p w14:paraId="1D99F359"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4 000</w:t>
            </w:r>
          </w:p>
        </w:tc>
      </w:tr>
      <w:tr w:rsidR="001C7F15" w:rsidRPr="001C7F15" w14:paraId="32288972"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05C200EB"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Banamex</w:t>
            </w:r>
          </w:p>
        </w:tc>
        <w:tc>
          <w:tcPr>
            <w:tcW w:w="2126" w:type="dxa"/>
            <w:tcBorders>
              <w:top w:val="nil"/>
              <w:left w:val="single" w:sz="4" w:space="0" w:color="auto"/>
              <w:bottom w:val="nil"/>
              <w:right w:val="single" w:sz="4" w:space="0" w:color="auto"/>
            </w:tcBorders>
            <w:shd w:val="clear" w:color="auto" w:fill="auto"/>
          </w:tcPr>
          <w:p w14:paraId="7EA9E5D3"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Clásica Internacional</w:t>
            </w:r>
          </w:p>
        </w:tc>
        <w:tc>
          <w:tcPr>
            <w:tcW w:w="1276" w:type="dxa"/>
            <w:tcBorders>
              <w:top w:val="nil"/>
              <w:left w:val="single" w:sz="4" w:space="0" w:color="auto"/>
              <w:bottom w:val="nil"/>
              <w:right w:val="single" w:sz="4" w:space="0" w:color="auto"/>
            </w:tcBorders>
            <w:shd w:val="clear" w:color="auto" w:fill="auto"/>
          </w:tcPr>
          <w:p w14:paraId="56E2C12B"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58.0</w:t>
            </w:r>
          </w:p>
        </w:tc>
        <w:tc>
          <w:tcPr>
            <w:tcW w:w="1417" w:type="dxa"/>
            <w:tcBorders>
              <w:top w:val="nil"/>
              <w:left w:val="single" w:sz="4" w:space="0" w:color="auto"/>
              <w:bottom w:val="nil"/>
              <w:right w:val="single" w:sz="4" w:space="0" w:color="auto"/>
            </w:tcBorders>
            <w:shd w:val="clear" w:color="auto" w:fill="auto"/>
          </w:tcPr>
          <w:p w14:paraId="54196FA7"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41.7</w:t>
            </w:r>
          </w:p>
        </w:tc>
        <w:tc>
          <w:tcPr>
            <w:tcW w:w="1276" w:type="dxa"/>
            <w:tcBorders>
              <w:top w:val="nil"/>
              <w:left w:val="single" w:sz="4" w:space="0" w:color="auto"/>
              <w:bottom w:val="nil"/>
              <w:right w:val="single" w:sz="4" w:space="0" w:color="auto"/>
            </w:tcBorders>
            <w:shd w:val="clear" w:color="auto" w:fill="auto"/>
          </w:tcPr>
          <w:p w14:paraId="6EDD3C1F"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600</w:t>
            </w:r>
          </w:p>
        </w:tc>
        <w:tc>
          <w:tcPr>
            <w:tcW w:w="1183" w:type="dxa"/>
            <w:tcBorders>
              <w:top w:val="nil"/>
              <w:left w:val="single" w:sz="4" w:space="0" w:color="auto"/>
              <w:bottom w:val="nil"/>
              <w:right w:val="single" w:sz="4" w:space="0" w:color="auto"/>
            </w:tcBorders>
            <w:shd w:val="clear" w:color="auto" w:fill="auto"/>
          </w:tcPr>
          <w:p w14:paraId="38586507"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3 000</w:t>
            </w:r>
          </w:p>
        </w:tc>
      </w:tr>
      <w:tr w:rsidR="001C7F15" w:rsidRPr="001C7F15" w14:paraId="4C773D0B"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582DB454"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 xml:space="preserve">Banorte </w:t>
            </w:r>
            <w:r w:rsidRPr="001C7F15">
              <w:rPr>
                <w:rFonts w:eastAsia="Times New Roman"/>
                <w:bCs/>
                <w:sz w:val="18"/>
                <w:szCs w:val="18"/>
                <w:u w:val="single"/>
                <w:vertAlign w:val="superscript"/>
                <w:lang w:eastAsia="en-US"/>
              </w:rPr>
              <w:t>3</w:t>
            </w:r>
            <w:r w:rsidRPr="001C7F15">
              <w:rPr>
                <w:rFonts w:eastAsia="Times New Roman"/>
                <w:bCs/>
                <w:sz w:val="18"/>
                <w:szCs w:val="18"/>
                <w:vertAlign w:val="superscript"/>
                <w:lang w:eastAsia="en-US"/>
              </w:rPr>
              <w:t>/</w:t>
            </w:r>
          </w:p>
        </w:tc>
        <w:tc>
          <w:tcPr>
            <w:tcW w:w="2126" w:type="dxa"/>
            <w:tcBorders>
              <w:top w:val="nil"/>
              <w:left w:val="single" w:sz="4" w:space="0" w:color="auto"/>
              <w:bottom w:val="nil"/>
              <w:right w:val="single" w:sz="4" w:space="0" w:color="auto"/>
            </w:tcBorders>
            <w:shd w:val="clear" w:color="auto" w:fill="auto"/>
          </w:tcPr>
          <w:p w14:paraId="6C6BD327"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Clásica</w:t>
            </w:r>
          </w:p>
        </w:tc>
        <w:tc>
          <w:tcPr>
            <w:tcW w:w="1276" w:type="dxa"/>
            <w:tcBorders>
              <w:top w:val="nil"/>
              <w:left w:val="single" w:sz="4" w:space="0" w:color="auto"/>
              <w:bottom w:val="nil"/>
              <w:right w:val="single" w:sz="4" w:space="0" w:color="auto"/>
            </w:tcBorders>
            <w:shd w:val="clear" w:color="auto" w:fill="auto"/>
          </w:tcPr>
          <w:p w14:paraId="7F907ACC"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58.5</w:t>
            </w:r>
          </w:p>
        </w:tc>
        <w:tc>
          <w:tcPr>
            <w:tcW w:w="1417" w:type="dxa"/>
            <w:tcBorders>
              <w:top w:val="nil"/>
              <w:left w:val="single" w:sz="4" w:space="0" w:color="auto"/>
              <w:bottom w:val="nil"/>
              <w:right w:val="single" w:sz="4" w:space="0" w:color="auto"/>
            </w:tcBorders>
            <w:shd w:val="clear" w:color="auto" w:fill="auto"/>
          </w:tcPr>
          <w:p w14:paraId="64C3D938"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42.6</w:t>
            </w:r>
          </w:p>
        </w:tc>
        <w:tc>
          <w:tcPr>
            <w:tcW w:w="1276" w:type="dxa"/>
            <w:tcBorders>
              <w:top w:val="nil"/>
              <w:left w:val="single" w:sz="4" w:space="0" w:color="auto"/>
              <w:bottom w:val="nil"/>
              <w:right w:val="single" w:sz="4" w:space="0" w:color="auto"/>
            </w:tcBorders>
            <w:shd w:val="clear" w:color="auto" w:fill="auto"/>
          </w:tcPr>
          <w:p w14:paraId="487135F3"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530</w:t>
            </w:r>
          </w:p>
        </w:tc>
        <w:tc>
          <w:tcPr>
            <w:tcW w:w="1183" w:type="dxa"/>
            <w:tcBorders>
              <w:top w:val="nil"/>
              <w:left w:val="single" w:sz="4" w:space="0" w:color="auto"/>
              <w:bottom w:val="nil"/>
              <w:right w:val="single" w:sz="4" w:space="0" w:color="auto"/>
            </w:tcBorders>
            <w:shd w:val="clear" w:color="auto" w:fill="auto"/>
          </w:tcPr>
          <w:p w14:paraId="3A2F87BD"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4 000</w:t>
            </w:r>
          </w:p>
        </w:tc>
      </w:tr>
      <w:tr w:rsidR="001C7F15" w:rsidRPr="001C7F15" w14:paraId="5C603737"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156DB19B"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HSBC</w:t>
            </w:r>
          </w:p>
        </w:tc>
        <w:tc>
          <w:tcPr>
            <w:tcW w:w="2126" w:type="dxa"/>
            <w:tcBorders>
              <w:top w:val="nil"/>
              <w:left w:val="single" w:sz="4" w:space="0" w:color="auto"/>
              <w:bottom w:val="nil"/>
              <w:right w:val="single" w:sz="4" w:space="0" w:color="auto"/>
            </w:tcBorders>
            <w:shd w:val="clear" w:color="auto" w:fill="auto"/>
          </w:tcPr>
          <w:p w14:paraId="2C433C49"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Clásica HSBC</w:t>
            </w:r>
          </w:p>
        </w:tc>
        <w:tc>
          <w:tcPr>
            <w:tcW w:w="1276" w:type="dxa"/>
            <w:tcBorders>
              <w:top w:val="nil"/>
              <w:left w:val="single" w:sz="4" w:space="0" w:color="auto"/>
              <w:bottom w:val="nil"/>
              <w:right w:val="single" w:sz="4" w:space="0" w:color="auto"/>
            </w:tcBorders>
            <w:shd w:val="clear" w:color="auto" w:fill="auto"/>
          </w:tcPr>
          <w:p w14:paraId="2A6C801B"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60.5</w:t>
            </w:r>
          </w:p>
        </w:tc>
        <w:tc>
          <w:tcPr>
            <w:tcW w:w="1417" w:type="dxa"/>
            <w:tcBorders>
              <w:top w:val="nil"/>
              <w:left w:val="single" w:sz="4" w:space="0" w:color="auto"/>
              <w:bottom w:val="nil"/>
              <w:right w:val="single" w:sz="4" w:space="0" w:color="auto"/>
            </w:tcBorders>
            <w:shd w:val="clear" w:color="auto" w:fill="auto"/>
          </w:tcPr>
          <w:p w14:paraId="1F7B5F81"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43.7</w:t>
            </w:r>
          </w:p>
        </w:tc>
        <w:tc>
          <w:tcPr>
            <w:tcW w:w="1276" w:type="dxa"/>
            <w:tcBorders>
              <w:top w:val="nil"/>
              <w:left w:val="single" w:sz="4" w:space="0" w:color="auto"/>
              <w:bottom w:val="nil"/>
              <w:right w:val="single" w:sz="4" w:space="0" w:color="auto"/>
            </w:tcBorders>
            <w:shd w:val="clear" w:color="auto" w:fill="auto"/>
          </w:tcPr>
          <w:p w14:paraId="5B0BAD94"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560</w:t>
            </w:r>
          </w:p>
        </w:tc>
        <w:tc>
          <w:tcPr>
            <w:tcW w:w="1183" w:type="dxa"/>
            <w:tcBorders>
              <w:top w:val="nil"/>
              <w:left w:val="single" w:sz="4" w:space="0" w:color="auto"/>
              <w:bottom w:val="nil"/>
              <w:right w:val="single" w:sz="4" w:space="0" w:color="auto"/>
            </w:tcBorders>
            <w:shd w:val="clear" w:color="auto" w:fill="auto"/>
          </w:tcPr>
          <w:p w14:paraId="6A0EFF2C"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3 500</w:t>
            </w:r>
          </w:p>
        </w:tc>
      </w:tr>
      <w:tr w:rsidR="001C7F15" w:rsidRPr="001C7F15" w14:paraId="5DDA0B6B"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723318F6"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Banco Walmart</w:t>
            </w:r>
          </w:p>
        </w:tc>
        <w:tc>
          <w:tcPr>
            <w:tcW w:w="2126" w:type="dxa"/>
            <w:tcBorders>
              <w:top w:val="nil"/>
              <w:left w:val="single" w:sz="4" w:space="0" w:color="auto"/>
              <w:bottom w:val="nil"/>
              <w:right w:val="single" w:sz="4" w:space="0" w:color="auto"/>
            </w:tcBorders>
            <w:shd w:val="clear" w:color="auto" w:fill="auto"/>
          </w:tcPr>
          <w:p w14:paraId="2D51895C"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Súper Tarjeta de Crédito</w:t>
            </w:r>
          </w:p>
        </w:tc>
        <w:tc>
          <w:tcPr>
            <w:tcW w:w="1276" w:type="dxa"/>
            <w:tcBorders>
              <w:top w:val="nil"/>
              <w:left w:val="single" w:sz="4" w:space="0" w:color="auto"/>
              <w:bottom w:val="nil"/>
              <w:right w:val="single" w:sz="4" w:space="0" w:color="auto"/>
            </w:tcBorders>
            <w:shd w:val="clear" w:color="auto" w:fill="auto"/>
          </w:tcPr>
          <w:p w14:paraId="2C0F48CB"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61.3</w:t>
            </w:r>
          </w:p>
        </w:tc>
        <w:tc>
          <w:tcPr>
            <w:tcW w:w="1417" w:type="dxa"/>
            <w:tcBorders>
              <w:top w:val="nil"/>
              <w:left w:val="single" w:sz="4" w:space="0" w:color="auto"/>
              <w:bottom w:val="nil"/>
              <w:right w:val="single" w:sz="4" w:space="0" w:color="auto"/>
            </w:tcBorders>
            <w:shd w:val="clear" w:color="auto" w:fill="auto"/>
          </w:tcPr>
          <w:p w14:paraId="61685A54"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44.7</w:t>
            </w:r>
          </w:p>
        </w:tc>
        <w:tc>
          <w:tcPr>
            <w:tcW w:w="1276" w:type="dxa"/>
            <w:tcBorders>
              <w:top w:val="nil"/>
              <w:left w:val="single" w:sz="4" w:space="0" w:color="auto"/>
              <w:bottom w:val="nil"/>
              <w:right w:val="single" w:sz="4" w:space="0" w:color="auto"/>
            </w:tcBorders>
            <w:shd w:val="clear" w:color="auto" w:fill="auto"/>
          </w:tcPr>
          <w:p w14:paraId="7B5E2666"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500</w:t>
            </w:r>
          </w:p>
        </w:tc>
        <w:tc>
          <w:tcPr>
            <w:tcW w:w="1183" w:type="dxa"/>
            <w:tcBorders>
              <w:top w:val="nil"/>
              <w:left w:val="single" w:sz="4" w:space="0" w:color="auto"/>
              <w:bottom w:val="nil"/>
              <w:right w:val="single" w:sz="4" w:space="0" w:color="auto"/>
            </w:tcBorders>
            <w:shd w:val="clear" w:color="auto" w:fill="auto"/>
          </w:tcPr>
          <w:p w14:paraId="65F407BF"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3 000</w:t>
            </w:r>
          </w:p>
        </w:tc>
      </w:tr>
      <w:tr w:rsidR="001C7F15" w:rsidRPr="001C7F15" w14:paraId="4F47AEAC"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10F4EA54"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BBVA Bancomer</w:t>
            </w:r>
          </w:p>
        </w:tc>
        <w:tc>
          <w:tcPr>
            <w:tcW w:w="2126" w:type="dxa"/>
            <w:tcBorders>
              <w:top w:val="nil"/>
              <w:left w:val="single" w:sz="4" w:space="0" w:color="auto"/>
              <w:bottom w:val="nil"/>
              <w:right w:val="single" w:sz="4" w:space="0" w:color="auto"/>
            </w:tcBorders>
            <w:shd w:val="clear" w:color="auto" w:fill="auto"/>
          </w:tcPr>
          <w:p w14:paraId="1ECE65EB"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Azul Bancomer</w:t>
            </w:r>
          </w:p>
        </w:tc>
        <w:tc>
          <w:tcPr>
            <w:tcW w:w="1276" w:type="dxa"/>
            <w:tcBorders>
              <w:top w:val="nil"/>
              <w:left w:val="single" w:sz="4" w:space="0" w:color="auto"/>
              <w:bottom w:val="nil"/>
              <w:right w:val="single" w:sz="4" w:space="0" w:color="auto"/>
            </w:tcBorders>
            <w:shd w:val="clear" w:color="auto" w:fill="auto"/>
          </w:tcPr>
          <w:p w14:paraId="6F28B432"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70.9</w:t>
            </w:r>
          </w:p>
        </w:tc>
        <w:tc>
          <w:tcPr>
            <w:tcW w:w="1417" w:type="dxa"/>
            <w:tcBorders>
              <w:top w:val="nil"/>
              <w:left w:val="single" w:sz="4" w:space="0" w:color="auto"/>
              <w:bottom w:val="nil"/>
              <w:right w:val="single" w:sz="4" w:space="0" w:color="auto"/>
            </w:tcBorders>
            <w:shd w:val="clear" w:color="auto" w:fill="auto"/>
          </w:tcPr>
          <w:p w14:paraId="0795DB7A"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49.9</w:t>
            </w:r>
          </w:p>
        </w:tc>
        <w:tc>
          <w:tcPr>
            <w:tcW w:w="1276" w:type="dxa"/>
            <w:tcBorders>
              <w:top w:val="nil"/>
              <w:left w:val="single" w:sz="4" w:space="0" w:color="auto"/>
              <w:bottom w:val="nil"/>
              <w:right w:val="single" w:sz="4" w:space="0" w:color="auto"/>
            </w:tcBorders>
            <w:shd w:val="clear" w:color="auto" w:fill="auto"/>
          </w:tcPr>
          <w:p w14:paraId="1B118DCC"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580</w:t>
            </w:r>
          </w:p>
        </w:tc>
        <w:tc>
          <w:tcPr>
            <w:tcW w:w="1183" w:type="dxa"/>
            <w:tcBorders>
              <w:top w:val="nil"/>
              <w:left w:val="single" w:sz="4" w:space="0" w:color="auto"/>
              <w:bottom w:val="nil"/>
              <w:right w:val="single" w:sz="4" w:space="0" w:color="auto"/>
            </w:tcBorders>
            <w:shd w:val="clear" w:color="auto" w:fill="auto"/>
          </w:tcPr>
          <w:p w14:paraId="0B79809D"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3 400</w:t>
            </w:r>
          </w:p>
        </w:tc>
      </w:tr>
      <w:tr w:rsidR="001C7F15" w:rsidRPr="001C7F15" w14:paraId="66342D4D" w14:textId="77777777" w:rsidTr="00E823BC">
        <w:trPr>
          <w:jc w:val="center"/>
        </w:trPr>
        <w:tc>
          <w:tcPr>
            <w:tcW w:w="1560" w:type="dxa"/>
            <w:tcBorders>
              <w:top w:val="nil"/>
              <w:left w:val="single" w:sz="4" w:space="0" w:color="auto"/>
              <w:bottom w:val="single" w:sz="4" w:space="0" w:color="auto"/>
              <w:right w:val="single" w:sz="4" w:space="0" w:color="auto"/>
            </w:tcBorders>
            <w:shd w:val="clear" w:color="auto" w:fill="auto"/>
          </w:tcPr>
          <w:p w14:paraId="0C04D9B3" w14:textId="77777777" w:rsidR="001C7F15" w:rsidRPr="001C7F15" w:rsidRDefault="001C7F15" w:rsidP="001C7F15">
            <w:pPr>
              <w:autoSpaceDE w:val="0"/>
              <w:autoSpaceDN w:val="0"/>
              <w:adjustRightInd w:val="0"/>
              <w:spacing w:after="120"/>
              <w:jc w:val="both"/>
              <w:rPr>
                <w:rFonts w:eastAsia="Times New Roman"/>
                <w:bCs/>
                <w:sz w:val="18"/>
                <w:szCs w:val="18"/>
                <w:lang w:eastAsia="en-US"/>
              </w:rPr>
            </w:pPr>
            <w:r w:rsidRPr="001C7F15">
              <w:rPr>
                <w:rFonts w:eastAsia="Times New Roman"/>
                <w:bCs/>
                <w:sz w:val="18"/>
                <w:szCs w:val="18"/>
                <w:lang w:eastAsia="en-US"/>
              </w:rPr>
              <w:t>BanCoppel</w:t>
            </w:r>
          </w:p>
        </w:tc>
        <w:tc>
          <w:tcPr>
            <w:tcW w:w="2126" w:type="dxa"/>
            <w:tcBorders>
              <w:top w:val="nil"/>
              <w:left w:val="single" w:sz="4" w:space="0" w:color="auto"/>
              <w:bottom w:val="single" w:sz="4" w:space="0" w:color="auto"/>
              <w:right w:val="single" w:sz="4" w:space="0" w:color="auto"/>
            </w:tcBorders>
            <w:shd w:val="clear" w:color="auto" w:fill="auto"/>
          </w:tcPr>
          <w:p w14:paraId="31205A01" w14:textId="77777777" w:rsidR="001C7F15" w:rsidRPr="001C7F15" w:rsidRDefault="001C7F15" w:rsidP="001C7F15">
            <w:pPr>
              <w:autoSpaceDE w:val="0"/>
              <w:autoSpaceDN w:val="0"/>
              <w:adjustRightInd w:val="0"/>
              <w:spacing w:after="120"/>
              <w:jc w:val="both"/>
              <w:rPr>
                <w:rFonts w:eastAsia="Calibri"/>
                <w:sz w:val="18"/>
                <w:szCs w:val="18"/>
                <w:lang w:eastAsia="en-US"/>
              </w:rPr>
            </w:pPr>
            <w:r w:rsidRPr="001C7F15">
              <w:rPr>
                <w:rFonts w:eastAsia="Calibri"/>
                <w:sz w:val="18"/>
                <w:szCs w:val="18"/>
                <w:lang w:eastAsia="en-US"/>
              </w:rPr>
              <w:t>BanCoppel</w:t>
            </w:r>
          </w:p>
        </w:tc>
        <w:tc>
          <w:tcPr>
            <w:tcW w:w="1276" w:type="dxa"/>
            <w:tcBorders>
              <w:top w:val="nil"/>
              <w:left w:val="single" w:sz="4" w:space="0" w:color="auto"/>
              <w:bottom w:val="single" w:sz="4" w:space="0" w:color="auto"/>
              <w:right w:val="single" w:sz="4" w:space="0" w:color="auto"/>
            </w:tcBorders>
            <w:shd w:val="clear" w:color="auto" w:fill="auto"/>
          </w:tcPr>
          <w:p w14:paraId="4129B81F"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88.3</w:t>
            </w:r>
          </w:p>
        </w:tc>
        <w:tc>
          <w:tcPr>
            <w:tcW w:w="1417" w:type="dxa"/>
            <w:tcBorders>
              <w:top w:val="nil"/>
              <w:left w:val="single" w:sz="4" w:space="0" w:color="auto"/>
              <w:bottom w:val="single" w:sz="4" w:space="0" w:color="auto"/>
              <w:right w:val="single" w:sz="4" w:space="0" w:color="auto"/>
            </w:tcBorders>
            <w:shd w:val="clear" w:color="auto" w:fill="auto"/>
          </w:tcPr>
          <w:p w14:paraId="78895C58"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65.0</w:t>
            </w:r>
          </w:p>
        </w:tc>
        <w:tc>
          <w:tcPr>
            <w:tcW w:w="1276" w:type="dxa"/>
            <w:tcBorders>
              <w:top w:val="nil"/>
              <w:left w:val="single" w:sz="4" w:space="0" w:color="auto"/>
              <w:bottom w:val="single" w:sz="4" w:space="0" w:color="auto"/>
              <w:right w:val="single" w:sz="4" w:space="0" w:color="auto"/>
            </w:tcBorders>
            <w:shd w:val="clear" w:color="auto" w:fill="auto"/>
          </w:tcPr>
          <w:p w14:paraId="48A88910"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0</w:t>
            </w:r>
          </w:p>
        </w:tc>
        <w:tc>
          <w:tcPr>
            <w:tcW w:w="1183" w:type="dxa"/>
            <w:tcBorders>
              <w:top w:val="nil"/>
              <w:left w:val="single" w:sz="4" w:space="0" w:color="auto"/>
              <w:bottom w:val="single" w:sz="4" w:space="0" w:color="auto"/>
              <w:right w:val="single" w:sz="4" w:space="0" w:color="auto"/>
            </w:tcBorders>
            <w:shd w:val="clear" w:color="auto" w:fill="auto"/>
          </w:tcPr>
          <w:p w14:paraId="049F16A3"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3 500</w:t>
            </w:r>
          </w:p>
        </w:tc>
      </w:tr>
      <w:tr w:rsidR="001C7F15" w:rsidRPr="001C7F15" w14:paraId="6A1AFB86" w14:textId="77777777" w:rsidTr="00E823BC">
        <w:trPr>
          <w:jc w:val="center"/>
        </w:trPr>
        <w:tc>
          <w:tcPr>
            <w:tcW w:w="88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ABAC4C0" w14:textId="77777777" w:rsidR="001C7F15" w:rsidRPr="001C7F15" w:rsidRDefault="001C7F15" w:rsidP="001C7F15">
            <w:pPr>
              <w:spacing w:before="40" w:after="40"/>
              <w:jc w:val="center"/>
              <w:rPr>
                <w:rFonts w:eastAsia="Times New Roman"/>
                <w:b/>
                <w:bCs/>
                <w:sz w:val="18"/>
                <w:szCs w:val="18"/>
                <w:lang w:eastAsia="en-US"/>
              </w:rPr>
            </w:pPr>
            <w:r w:rsidRPr="001C7F15">
              <w:rPr>
                <w:rFonts w:eastAsia="Times New Roman"/>
                <w:b/>
                <w:bCs/>
                <w:sz w:val="18"/>
                <w:szCs w:val="18"/>
                <w:lang w:eastAsia="en-US"/>
              </w:rPr>
              <w:t>Productos con menos del 0.5% pero más del 0.1% del total de tarjetas de este segmento</w:t>
            </w:r>
          </w:p>
        </w:tc>
      </w:tr>
      <w:tr w:rsidR="001C7F15" w:rsidRPr="001C7F15" w14:paraId="179229CF" w14:textId="77777777" w:rsidTr="00E823BC">
        <w:trPr>
          <w:jc w:val="center"/>
        </w:trPr>
        <w:tc>
          <w:tcPr>
            <w:tcW w:w="1560" w:type="dxa"/>
            <w:tcBorders>
              <w:top w:val="single" w:sz="4" w:space="0" w:color="auto"/>
              <w:left w:val="single" w:sz="4" w:space="0" w:color="auto"/>
              <w:bottom w:val="nil"/>
              <w:right w:val="single" w:sz="4" w:space="0" w:color="auto"/>
            </w:tcBorders>
            <w:shd w:val="clear" w:color="auto" w:fill="auto"/>
          </w:tcPr>
          <w:p w14:paraId="28303499" w14:textId="77777777" w:rsidR="001C7F15" w:rsidRPr="001C7F15" w:rsidRDefault="001C7F15" w:rsidP="001C7F15">
            <w:pPr>
              <w:autoSpaceDE w:val="0"/>
              <w:autoSpaceDN w:val="0"/>
              <w:adjustRightInd w:val="0"/>
              <w:spacing w:before="120"/>
              <w:jc w:val="both"/>
              <w:rPr>
                <w:rFonts w:eastAsia="Times New Roman"/>
                <w:bCs/>
                <w:sz w:val="18"/>
                <w:szCs w:val="18"/>
                <w:lang w:eastAsia="en-US"/>
              </w:rPr>
            </w:pPr>
            <w:r w:rsidRPr="001C7F15">
              <w:rPr>
                <w:rFonts w:eastAsia="Times New Roman"/>
                <w:bCs/>
                <w:sz w:val="18"/>
                <w:szCs w:val="18"/>
                <w:lang w:eastAsia="en-US"/>
              </w:rPr>
              <w:t>Scotiabank</w:t>
            </w:r>
          </w:p>
        </w:tc>
        <w:tc>
          <w:tcPr>
            <w:tcW w:w="2126" w:type="dxa"/>
            <w:tcBorders>
              <w:top w:val="single" w:sz="4" w:space="0" w:color="auto"/>
              <w:left w:val="single" w:sz="4" w:space="0" w:color="auto"/>
              <w:bottom w:val="nil"/>
              <w:right w:val="single" w:sz="4" w:space="0" w:color="auto"/>
            </w:tcBorders>
            <w:shd w:val="clear" w:color="auto" w:fill="auto"/>
          </w:tcPr>
          <w:p w14:paraId="5C5EA128" w14:textId="77777777" w:rsidR="001C7F15" w:rsidRPr="001C7F15" w:rsidRDefault="001C7F15" w:rsidP="001C7F15">
            <w:pPr>
              <w:autoSpaceDE w:val="0"/>
              <w:autoSpaceDN w:val="0"/>
              <w:adjustRightInd w:val="0"/>
              <w:spacing w:before="120"/>
              <w:jc w:val="both"/>
              <w:rPr>
                <w:rFonts w:eastAsia="Calibri"/>
                <w:sz w:val="18"/>
                <w:szCs w:val="18"/>
                <w:lang w:eastAsia="en-US"/>
              </w:rPr>
            </w:pPr>
            <w:r w:rsidRPr="001C7F15">
              <w:rPr>
                <w:rFonts w:eastAsia="Calibri"/>
                <w:sz w:val="18"/>
                <w:szCs w:val="18"/>
                <w:lang w:eastAsia="en-US"/>
              </w:rPr>
              <w:t>Tasa Baja Clásica</w:t>
            </w:r>
          </w:p>
        </w:tc>
        <w:tc>
          <w:tcPr>
            <w:tcW w:w="1276" w:type="dxa"/>
            <w:tcBorders>
              <w:top w:val="single" w:sz="4" w:space="0" w:color="auto"/>
              <w:left w:val="single" w:sz="4" w:space="0" w:color="auto"/>
              <w:bottom w:val="nil"/>
              <w:right w:val="single" w:sz="4" w:space="0" w:color="auto"/>
            </w:tcBorders>
            <w:shd w:val="clear" w:color="auto" w:fill="auto"/>
          </w:tcPr>
          <w:p w14:paraId="355951A0"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45.8</w:t>
            </w:r>
          </w:p>
        </w:tc>
        <w:tc>
          <w:tcPr>
            <w:tcW w:w="1417" w:type="dxa"/>
            <w:tcBorders>
              <w:top w:val="single" w:sz="4" w:space="0" w:color="auto"/>
              <w:left w:val="single" w:sz="4" w:space="0" w:color="auto"/>
              <w:bottom w:val="nil"/>
              <w:right w:val="single" w:sz="4" w:space="0" w:color="auto"/>
            </w:tcBorders>
            <w:shd w:val="clear" w:color="auto" w:fill="auto"/>
          </w:tcPr>
          <w:p w14:paraId="3E9D35A6"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34.3</w:t>
            </w:r>
          </w:p>
        </w:tc>
        <w:tc>
          <w:tcPr>
            <w:tcW w:w="1276" w:type="dxa"/>
            <w:tcBorders>
              <w:top w:val="single" w:sz="4" w:space="0" w:color="auto"/>
              <w:left w:val="single" w:sz="4" w:space="0" w:color="auto"/>
              <w:bottom w:val="nil"/>
              <w:right w:val="single" w:sz="4" w:space="0" w:color="auto"/>
            </w:tcBorders>
            <w:shd w:val="clear" w:color="auto" w:fill="auto"/>
          </w:tcPr>
          <w:p w14:paraId="302008EF"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500</w:t>
            </w:r>
          </w:p>
        </w:tc>
        <w:tc>
          <w:tcPr>
            <w:tcW w:w="1183" w:type="dxa"/>
            <w:tcBorders>
              <w:top w:val="single" w:sz="4" w:space="0" w:color="auto"/>
              <w:left w:val="single" w:sz="4" w:space="0" w:color="auto"/>
              <w:bottom w:val="nil"/>
              <w:right w:val="single" w:sz="4" w:space="0" w:color="auto"/>
            </w:tcBorders>
            <w:shd w:val="clear" w:color="auto" w:fill="auto"/>
          </w:tcPr>
          <w:p w14:paraId="58037451" w14:textId="77777777" w:rsidR="001C7F15" w:rsidRPr="001C7F15" w:rsidRDefault="001C7F15" w:rsidP="001C7F15">
            <w:pPr>
              <w:autoSpaceDE w:val="0"/>
              <w:autoSpaceDN w:val="0"/>
              <w:adjustRightInd w:val="0"/>
              <w:spacing w:before="120"/>
              <w:ind w:right="340"/>
              <w:jc w:val="right"/>
              <w:rPr>
                <w:rFonts w:eastAsia="Calibri"/>
                <w:sz w:val="18"/>
                <w:szCs w:val="18"/>
                <w:lang w:eastAsia="en-US"/>
              </w:rPr>
            </w:pPr>
            <w:r w:rsidRPr="001C7F15">
              <w:rPr>
                <w:rFonts w:eastAsia="Calibri"/>
                <w:sz w:val="18"/>
                <w:szCs w:val="18"/>
                <w:lang w:eastAsia="en-US"/>
              </w:rPr>
              <w:t>3 500</w:t>
            </w:r>
          </w:p>
        </w:tc>
      </w:tr>
      <w:tr w:rsidR="001C7F15" w:rsidRPr="001C7F15" w14:paraId="5AC4859F"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5D5AB0A1" w14:textId="77777777" w:rsidR="001C7F15" w:rsidRPr="001C7F15" w:rsidRDefault="001C7F15" w:rsidP="001C7F15">
            <w:pPr>
              <w:autoSpaceDE w:val="0"/>
              <w:autoSpaceDN w:val="0"/>
              <w:adjustRightInd w:val="0"/>
              <w:jc w:val="both"/>
              <w:rPr>
                <w:rFonts w:eastAsia="Times New Roman"/>
                <w:bCs/>
                <w:sz w:val="18"/>
                <w:szCs w:val="18"/>
                <w:lang w:eastAsia="en-US"/>
              </w:rPr>
            </w:pPr>
            <w:r w:rsidRPr="001C7F15">
              <w:rPr>
                <w:rFonts w:eastAsia="Times New Roman"/>
                <w:bCs/>
                <w:sz w:val="18"/>
                <w:szCs w:val="18"/>
                <w:lang w:eastAsia="en-US"/>
              </w:rPr>
              <w:t>Banregio</w:t>
            </w:r>
          </w:p>
        </w:tc>
        <w:tc>
          <w:tcPr>
            <w:tcW w:w="2126" w:type="dxa"/>
            <w:tcBorders>
              <w:top w:val="nil"/>
              <w:left w:val="single" w:sz="4" w:space="0" w:color="auto"/>
              <w:bottom w:val="nil"/>
              <w:right w:val="single" w:sz="4" w:space="0" w:color="auto"/>
            </w:tcBorders>
            <w:shd w:val="clear" w:color="auto" w:fill="auto"/>
          </w:tcPr>
          <w:p w14:paraId="7B3706CC" w14:textId="77777777" w:rsidR="001C7F15" w:rsidRPr="001C7F15" w:rsidRDefault="001C7F15" w:rsidP="001C7F15">
            <w:pPr>
              <w:autoSpaceDE w:val="0"/>
              <w:autoSpaceDN w:val="0"/>
              <w:adjustRightInd w:val="0"/>
              <w:jc w:val="both"/>
              <w:rPr>
                <w:rFonts w:eastAsia="Calibri"/>
                <w:sz w:val="18"/>
                <w:szCs w:val="18"/>
                <w:lang w:eastAsia="en-US"/>
              </w:rPr>
            </w:pPr>
            <w:r w:rsidRPr="001C7F15">
              <w:rPr>
                <w:rFonts w:eastAsia="Calibri"/>
                <w:sz w:val="18"/>
                <w:szCs w:val="18"/>
                <w:lang w:eastAsia="en-US"/>
              </w:rPr>
              <w:t>Tarjeta Clásica</w:t>
            </w:r>
          </w:p>
        </w:tc>
        <w:tc>
          <w:tcPr>
            <w:tcW w:w="1276" w:type="dxa"/>
            <w:tcBorders>
              <w:top w:val="nil"/>
              <w:left w:val="single" w:sz="4" w:space="0" w:color="auto"/>
              <w:bottom w:val="nil"/>
              <w:right w:val="single" w:sz="4" w:space="0" w:color="auto"/>
            </w:tcBorders>
            <w:shd w:val="clear" w:color="auto" w:fill="auto"/>
          </w:tcPr>
          <w:p w14:paraId="090CB90C"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52.8</w:t>
            </w:r>
          </w:p>
        </w:tc>
        <w:tc>
          <w:tcPr>
            <w:tcW w:w="1417" w:type="dxa"/>
            <w:tcBorders>
              <w:top w:val="nil"/>
              <w:left w:val="single" w:sz="4" w:space="0" w:color="auto"/>
              <w:bottom w:val="nil"/>
              <w:right w:val="single" w:sz="4" w:space="0" w:color="auto"/>
            </w:tcBorders>
            <w:shd w:val="clear" w:color="auto" w:fill="auto"/>
          </w:tcPr>
          <w:p w14:paraId="4823BB6E"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43.2</w:t>
            </w:r>
          </w:p>
        </w:tc>
        <w:tc>
          <w:tcPr>
            <w:tcW w:w="1276" w:type="dxa"/>
            <w:tcBorders>
              <w:top w:val="nil"/>
              <w:left w:val="single" w:sz="4" w:space="0" w:color="auto"/>
              <w:bottom w:val="nil"/>
              <w:right w:val="single" w:sz="4" w:space="0" w:color="auto"/>
            </w:tcBorders>
            <w:shd w:val="clear" w:color="auto" w:fill="auto"/>
          </w:tcPr>
          <w:p w14:paraId="1DDA3C09"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0</w:t>
            </w:r>
          </w:p>
        </w:tc>
        <w:tc>
          <w:tcPr>
            <w:tcW w:w="1183" w:type="dxa"/>
            <w:tcBorders>
              <w:top w:val="nil"/>
              <w:left w:val="single" w:sz="4" w:space="0" w:color="auto"/>
              <w:bottom w:val="nil"/>
              <w:right w:val="single" w:sz="4" w:space="0" w:color="auto"/>
            </w:tcBorders>
            <w:shd w:val="clear" w:color="auto" w:fill="auto"/>
          </w:tcPr>
          <w:p w14:paraId="583DED46" w14:textId="77777777" w:rsidR="001C7F15" w:rsidRPr="001C7F15" w:rsidRDefault="001C7F15" w:rsidP="001C7F15">
            <w:pPr>
              <w:autoSpaceDE w:val="0"/>
              <w:autoSpaceDN w:val="0"/>
              <w:adjustRightInd w:val="0"/>
              <w:ind w:right="340"/>
              <w:jc w:val="right"/>
              <w:rPr>
                <w:rFonts w:eastAsia="Calibri"/>
                <w:sz w:val="18"/>
                <w:szCs w:val="18"/>
                <w:lang w:eastAsia="en-US"/>
              </w:rPr>
            </w:pPr>
            <w:r w:rsidRPr="001C7F15">
              <w:rPr>
                <w:rFonts w:eastAsia="Calibri"/>
                <w:sz w:val="18"/>
                <w:szCs w:val="18"/>
                <w:lang w:eastAsia="en-US"/>
              </w:rPr>
              <w:t>3 000</w:t>
            </w:r>
          </w:p>
        </w:tc>
      </w:tr>
      <w:tr w:rsidR="001C7F15" w:rsidRPr="001C7F15" w14:paraId="5B4D4C65" w14:textId="77777777" w:rsidTr="00E823BC">
        <w:trPr>
          <w:jc w:val="center"/>
        </w:trPr>
        <w:tc>
          <w:tcPr>
            <w:tcW w:w="1560" w:type="dxa"/>
            <w:tcBorders>
              <w:top w:val="nil"/>
              <w:left w:val="single" w:sz="4" w:space="0" w:color="auto"/>
              <w:bottom w:val="nil"/>
              <w:right w:val="single" w:sz="4" w:space="0" w:color="auto"/>
            </w:tcBorders>
            <w:shd w:val="clear" w:color="auto" w:fill="auto"/>
          </w:tcPr>
          <w:p w14:paraId="404713E1" w14:textId="77777777" w:rsidR="001C7F15" w:rsidRPr="001C7F15" w:rsidRDefault="001C7F15" w:rsidP="001C7F15">
            <w:pPr>
              <w:autoSpaceDE w:val="0"/>
              <w:autoSpaceDN w:val="0"/>
              <w:adjustRightInd w:val="0"/>
              <w:spacing w:after="120"/>
              <w:jc w:val="both"/>
              <w:rPr>
                <w:rFonts w:eastAsia="Times New Roman"/>
                <w:bCs/>
                <w:sz w:val="18"/>
                <w:szCs w:val="18"/>
                <w:lang w:eastAsia="en-US"/>
              </w:rPr>
            </w:pPr>
            <w:r w:rsidRPr="001C7F15">
              <w:rPr>
                <w:rFonts w:eastAsia="Times New Roman"/>
                <w:bCs/>
                <w:sz w:val="18"/>
                <w:szCs w:val="18"/>
                <w:lang w:eastAsia="en-US"/>
              </w:rPr>
              <w:t xml:space="preserve">Ixe Tarjetas </w:t>
            </w:r>
            <w:r w:rsidRPr="001C7F15">
              <w:rPr>
                <w:rFonts w:eastAsia="Times New Roman"/>
                <w:bCs/>
                <w:sz w:val="18"/>
                <w:szCs w:val="18"/>
                <w:u w:val="single"/>
                <w:vertAlign w:val="superscript"/>
                <w:lang w:eastAsia="en-US"/>
              </w:rPr>
              <w:t>3</w:t>
            </w:r>
            <w:r w:rsidRPr="001C7F15">
              <w:rPr>
                <w:rFonts w:eastAsia="Times New Roman"/>
                <w:bCs/>
                <w:sz w:val="18"/>
                <w:szCs w:val="18"/>
                <w:vertAlign w:val="superscript"/>
                <w:lang w:eastAsia="en-US"/>
              </w:rPr>
              <w:t>/</w:t>
            </w:r>
          </w:p>
        </w:tc>
        <w:tc>
          <w:tcPr>
            <w:tcW w:w="2126" w:type="dxa"/>
            <w:tcBorders>
              <w:top w:val="nil"/>
              <w:left w:val="single" w:sz="4" w:space="0" w:color="auto"/>
              <w:bottom w:val="nil"/>
              <w:right w:val="single" w:sz="4" w:space="0" w:color="auto"/>
            </w:tcBorders>
            <w:shd w:val="clear" w:color="auto" w:fill="auto"/>
          </w:tcPr>
          <w:p w14:paraId="01D286E5" w14:textId="77777777" w:rsidR="001C7F15" w:rsidRPr="001C7F15" w:rsidRDefault="001C7F15" w:rsidP="001C7F15">
            <w:pPr>
              <w:autoSpaceDE w:val="0"/>
              <w:autoSpaceDN w:val="0"/>
              <w:adjustRightInd w:val="0"/>
              <w:spacing w:after="120"/>
              <w:jc w:val="both"/>
              <w:rPr>
                <w:rFonts w:eastAsia="Calibri"/>
                <w:sz w:val="18"/>
                <w:szCs w:val="18"/>
                <w:lang w:eastAsia="en-US"/>
              </w:rPr>
            </w:pPr>
            <w:r w:rsidRPr="001C7F15">
              <w:rPr>
                <w:rFonts w:eastAsia="Calibri"/>
                <w:sz w:val="18"/>
                <w:szCs w:val="18"/>
                <w:lang w:eastAsia="en-US"/>
              </w:rPr>
              <w:t>Clásica</w:t>
            </w:r>
          </w:p>
        </w:tc>
        <w:tc>
          <w:tcPr>
            <w:tcW w:w="1276" w:type="dxa"/>
            <w:tcBorders>
              <w:top w:val="nil"/>
              <w:left w:val="single" w:sz="4" w:space="0" w:color="auto"/>
              <w:bottom w:val="nil"/>
              <w:right w:val="single" w:sz="4" w:space="0" w:color="auto"/>
            </w:tcBorders>
            <w:shd w:val="clear" w:color="auto" w:fill="auto"/>
          </w:tcPr>
          <w:p w14:paraId="048D9EBD"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57.7</w:t>
            </w:r>
          </w:p>
        </w:tc>
        <w:tc>
          <w:tcPr>
            <w:tcW w:w="1417" w:type="dxa"/>
            <w:tcBorders>
              <w:top w:val="nil"/>
              <w:left w:val="single" w:sz="4" w:space="0" w:color="auto"/>
              <w:bottom w:val="nil"/>
              <w:right w:val="single" w:sz="4" w:space="0" w:color="auto"/>
            </w:tcBorders>
            <w:shd w:val="clear" w:color="auto" w:fill="auto"/>
          </w:tcPr>
          <w:p w14:paraId="480F7E32"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42.1</w:t>
            </w:r>
          </w:p>
        </w:tc>
        <w:tc>
          <w:tcPr>
            <w:tcW w:w="1276" w:type="dxa"/>
            <w:tcBorders>
              <w:top w:val="nil"/>
              <w:left w:val="single" w:sz="4" w:space="0" w:color="auto"/>
              <w:bottom w:val="nil"/>
              <w:right w:val="single" w:sz="4" w:space="0" w:color="auto"/>
            </w:tcBorders>
            <w:shd w:val="clear" w:color="auto" w:fill="auto"/>
          </w:tcPr>
          <w:p w14:paraId="15692437"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530</w:t>
            </w:r>
          </w:p>
        </w:tc>
        <w:tc>
          <w:tcPr>
            <w:tcW w:w="1183" w:type="dxa"/>
            <w:tcBorders>
              <w:top w:val="nil"/>
              <w:left w:val="single" w:sz="4" w:space="0" w:color="auto"/>
              <w:bottom w:val="nil"/>
              <w:right w:val="single" w:sz="4" w:space="0" w:color="auto"/>
            </w:tcBorders>
            <w:shd w:val="clear" w:color="auto" w:fill="auto"/>
          </w:tcPr>
          <w:p w14:paraId="7D9F1749" w14:textId="77777777" w:rsidR="001C7F15" w:rsidRPr="001C7F15" w:rsidRDefault="001C7F15" w:rsidP="001C7F15">
            <w:pPr>
              <w:autoSpaceDE w:val="0"/>
              <w:autoSpaceDN w:val="0"/>
              <w:adjustRightInd w:val="0"/>
              <w:spacing w:after="120"/>
              <w:ind w:right="340"/>
              <w:jc w:val="right"/>
              <w:rPr>
                <w:rFonts w:eastAsia="Calibri"/>
                <w:sz w:val="18"/>
                <w:szCs w:val="18"/>
                <w:lang w:eastAsia="en-US"/>
              </w:rPr>
            </w:pPr>
            <w:r w:rsidRPr="001C7F15">
              <w:rPr>
                <w:rFonts w:eastAsia="Calibri"/>
                <w:sz w:val="18"/>
                <w:szCs w:val="18"/>
                <w:lang w:eastAsia="en-US"/>
              </w:rPr>
              <w:t>4 000</w:t>
            </w:r>
          </w:p>
        </w:tc>
      </w:tr>
      <w:tr w:rsidR="001C7F15" w:rsidRPr="001C7F15" w14:paraId="23DD456F" w14:textId="77777777" w:rsidTr="001C7F15">
        <w:trPr>
          <w:jc w:val="center"/>
        </w:trPr>
        <w:tc>
          <w:tcPr>
            <w:tcW w:w="8838" w:type="dxa"/>
            <w:gridSpan w:val="6"/>
            <w:tcBorders>
              <w:top w:val="single" w:sz="4" w:space="0" w:color="auto"/>
              <w:left w:val="nil"/>
              <w:bottom w:val="nil"/>
              <w:right w:val="nil"/>
            </w:tcBorders>
            <w:shd w:val="clear" w:color="auto" w:fill="auto"/>
            <w:vAlign w:val="center"/>
          </w:tcPr>
          <w:p w14:paraId="3F78A8B7" w14:textId="77777777" w:rsidR="001C7F15" w:rsidRPr="001C7F15" w:rsidRDefault="001C7F15" w:rsidP="001C7F15">
            <w:pPr>
              <w:spacing w:before="120"/>
              <w:ind w:left="170" w:hanging="170"/>
              <w:jc w:val="both"/>
              <w:rPr>
                <w:rFonts w:eastAsia="Times New Roman"/>
                <w:bCs/>
                <w:sz w:val="20"/>
                <w:szCs w:val="20"/>
                <w:lang w:eastAsia="en-US"/>
              </w:rPr>
            </w:pPr>
            <w:r w:rsidRPr="001C7F15">
              <w:rPr>
                <w:rFonts w:eastAsia="Times New Roman"/>
                <w:bCs/>
                <w:sz w:val="20"/>
                <w:szCs w:val="20"/>
                <w:u w:val="single"/>
                <w:lang w:eastAsia="en-US"/>
              </w:rPr>
              <w:t>1</w:t>
            </w:r>
            <w:r w:rsidRPr="001C7F15">
              <w:rPr>
                <w:rFonts w:eastAsia="Times New Roman"/>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12ED4F26" w14:textId="77777777" w:rsidR="001C7F15" w:rsidRPr="001C7F15" w:rsidRDefault="001C7F15" w:rsidP="001C7F15">
            <w:pPr>
              <w:jc w:val="both"/>
              <w:rPr>
                <w:rFonts w:eastAsia="Times New Roman"/>
                <w:bCs/>
                <w:sz w:val="20"/>
                <w:szCs w:val="20"/>
                <w:lang w:eastAsia="en-US"/>
              </w:rPr>
            </w:pPr>
            <w:r w:rsidRPr="001C7F15">
              <w:rPr>
                <w:rFonts w:eastAsia="Times New Roman"/>
                <w:bCs/>
                <w:sz w:val="20"/>
                <w:szCs w:val="20"/>
                <w:u w:val="single"/>
                <w:lang w:eastAsia="en-US"/>
              </w:rPr>
              <w:t>2</w:t>
            </w:r>
            <w:r w:rsidRPr="001C7F15">
              <w:rPr>
                <w:rFonts w:eastAsia="Times New Roman"/>
                <w:bCs/>
                <w:sz w:val="20"/>
                <w:szCs w:val="20"/>
                <w:lang w:eastAsia="en-US"/>
              </w:rPr>
              <w:t>/ La mediana indica que la mitad de los clientes tiene un límite de crédito por debajo del valor reportado.</w:t>
            </w:r>
          </w:p>
          <w:p w14:paraId="3502100A" w14:textId="77777777" w:rsidR="001C7F15" w:rsidRPr="001C7F15" w:rsidRDefault="001C7F15" w:rsidP="001C7F15">
            <w:pPr>
              <w:ind w:left="170" w:hanging="170"/>
              <w:jc w:val="both"/>
              <w:rPr>
                <w:rFonts w:eastAsia="Times New Roman"/>
                <w:bCs/>
                <w:sz w:val="20"/>
                <w:szCs w:val="20"/>
                <w:lang w:eastAsia="en-US"/>
              </w:rPr>
            </w:pPr>
            <w:r w:rsidRPr="001C7F15">
              <w:rPr>
                <w:rFonts w:eastAsia="Times New Roman"/>
                <w:bCs/>
                <w:sz w:val="20"/>
                <w:szCs w:val="20"/>
                <w:lang w:eastAsia="en-US"/>
              </w:rPr>
              <w:t>3/ A pesar de la fusión de Banorte e Ixe tarjetas, sus productos de tarjeta de crédito se siguen ofreciendo de forma separada.</w:t>
            </w:r>
          </w:p>
          <w:p w14:paraId="2B2E220E" w14:textId="77777777" w:rsidR="001C7F15" w:rsidRPr="001C7F15" w:rsidRDefault="001C7F15" w:rsidP="001C7F15">
            <w:pPr>
              <w:jc w:val="both"/>
              <w:rPr>
                <w:rFonts w:eastAsia="Times New Roman"/>
                <w:bCs/>
                <w:sz w:val="20"/>
                <w:szCs w:val="20"/>
                <w:lang w:eastAsia="en-US"/>
              </w:rPr>
            </w:pPr>
            <w:r w:rsidRPr="001C7F15">
              <w:rPr>
                <w:rFonts w:eastAsia="Times New Roman"/>
                <w:bCs/>
                <w:sz w:val="20"/>
                <w:szCs w:val="20"/>
                <w:lang w:eastAsia="en-US"/>
              </w:rPr>
              <w:t>FUENTE: Banxico, con datos proporcionados por las instituciones de crédito, cifras sujetas a revisión.</w:t>
            </w:r>
          </w:p>
        </w:tc>
      </w:tr>
    </w:tbl>
    <w:p w14:paraId="7ABD7EB3" w14:textId="77777777" w:rsidR="001C7F15" w:rsidRPr="001C7F15" w:rsidRDefault="001C7F15" w:rsidP="001C7F15">
      <w:pPr>
        <w:spacing w:after="360" w:line="360" w:lineRule="auto"/>
        <w:ind w:right="-159"/>
        <w:jc w:val="both"/>
        <w:rPr>
          <w:rFonts w:eastAsia="Times New Roman"/>
          <w:bCs/>
          <w:sz w:val="26"/>
          <w:szCs w:val="26"/>
          <w:lang w:val="es-ES"/>
        </w:rPr>
      </w:pPr>
    </w:p>
    <w:p w14:paraId="52B28EE4" w14:textId="77777777" w:rsidR="001C7F15" w:rsidRPr="001C7F15" w:rsidRDefault="001C7F15" w:rsidP="001C7F15">
      <w:pPr>
        <w:spacing w:after="360" w:line="360" w:lineRule="auto"/>
        <w:ind w:right="-159"/>
        <w:jc w:val="both"/>
        <w:rPr>
          <w:rFonts w:eastAsia="Times New Roman"/>
          <w:bCs/>
          <w:sz w:val="26"/>
          <w:szCs w:val="26"/>
          <w:lang w:val="es-ES"/>
        </w:rPr>
      </w:pPr>
    </w:p>
    <w:p w14:paraId="27209007" w14:textId="77777777" w:rsidR="001C7F15" w:rsidRPr="001C7F15" w:rsidRDefault="001C7F15" w:rsidP="001C7F15">
      <w:pPr>
        <w:spacing w:after="360" w:line="360" w:lineRule="auto"/>
        <w:ind w:right="-159"/>
        <w:jc w:val="both"/>
        <w:rPr>
          <w:rFonts w:eastAsia="Times New Roman"/>
          <w:bCs/>
          <w:sz w:val="26"/>
          <w:szCs w:val="26"/>
          <w:lang w:val="es-ES"/>
        </w:rPr>
      </w:pPr>
    </w:p>
    <w:p w14:paraId="27423629" w14:textId="77777777" w:rsidR="001C7F15" w:rsidRPr="001C7F15" w:rsidRDefault="001C7F15" w:rsidP="001C7F15">
      <w:pPr>
        <w:spacing w:after="360" w:line="360" w:lineRule="auto"/>
        <w:ind w:right="-159"/>
        <w:jc w:val="both"/>
        <w:rPr>
          <w:rFonts w:eastAsia="Times New Roman"/>
          <w:bCs/>
          <w:sz w:val="26"/>
          <w:szCs w:val="26"/>
          <w:lang w:val="es-ES"/>
        </w:rPr>
      </w:pPr>
    </w:p>
    <w:p w14:paraId="32247FAA" w14:textId="77777777" w:rsidR="001C7F15" w:rsidRPr="001C7F15" w:rsidRDefault="001C7F15" w:rsidP="001C7F15">
      <w:pPr>
        <w:spacing w:after="360" w:line="360" w:lineRule="auto"/>
        <w:ind w:right="-159"/>
        <w:jc w:val="both"/>
        <w:rPr>
          <w:rFonts w:eastAsia="Times New Roman"/>
          <w:bCs/>
          <w:sz w:val="26"/>
          <w:szCs w:val="26"/>
          <w:lang w:val="es-ES"/>
        </w:rPr>
      </w:pPr>
    </w:p>
    <w:p w14:paraId="3D425C26" w14:textId="77777777" w:rsidR="001C7F15" w:rsidRPr="001C7F15" w:rsidRDefault="001C7F15" w:rsidP="001C7F15">
      <w:pPr>
        <w:spacing w:after="360" w:line="360" w:lineRule="auto"/>
        <w:ind w:right="-159"/>
        <w:jc w:val="both"/>
        <w:rPr>
          <w:rFonts w:eastAsia="Times New Roman"/>
          <w:bCs/>
          <w:sz w:val="26"/>
          <w:szCs w:val="26"/>
          <w:lang w:val="es-ES"/>
        </w:rPr>
      </w:pPr>
    </w:p>
    <w:tbl>
      <w:tblPr>
        <w:tblW w:w="9054" w:type="dxa"/>
        <w:jc w:val="center"/>
        <w:tblLayout w:type="fixed"/>
        <w:tblLook w:val="04A0" w:firstRow="1" w:lastRow="0" w:firstColumn="1" w:lastColumn="0" w:noHBand="0" w:noVBand="1"/>
      </w:tblPr>
      <w:tblGrid>
        <w:gridCol w:w="1630"/>
        <w:gridCol w:w="2200"/>
        <w:gridCol w:w="1312"/>
        <w:gridCol w:w="1260"/>
        <w:gridCol w:w="1260"/>
        <w:gridCol w:w="1275"/>
        <w:gridCol w:w="117"/>
      </w:tblGrid>
      <w:tr w:rsidR="001C7F15" w:rsidRPr="001C7F15" w14:paraId="3525B75A" w14:textId="77777777" w:rsidTr="001C7F15">
        <w:trPr>
          <w:gridAfter w:val="1"/>
          <w:wAfter w:w="119" w:type="dxa"/>
          <w:jc w:val="center"/>
        </w:trPr>
        <w:tc>
          <w:tcPr>
            <w:tcW w:w="9054" w:type="dxa"/>
            <w:gridSpan w:val="6"/>
            <w:tcBorders>
              <w:top w:val="nil"/>
              <w:left w:val="nil"/>
              <w:bottom w:val="single" w:sz="4" w:space="0" w:color="auto"/>
              <w:right w:val="nil"/>
            </w:tcBorders>
            <w:shd w:val="clear" w:color="auto" w:fill="auto"/>
            <w:vAlign w:val="center"/>
          </w:tcPr>
          <w:p w14:paraId="35D5EAE8"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PRODUCTOS REPRESENTATIVOS POR INSTITUCIÓN,</w:t>
            </w:r>
            <w:r w:rsidRPr="001C7F15">
              <w:rPr>
                <w:rFonts w:eastAsia="Calibri"/>
                <w:b/>
                <w:bCs/>
                <w:sz w:val="22"/>
                <w:szCs w:val="22"/>
                <w:u w:val="single"/>
                <w:vertAlign w:val="superscript"/>
                <w:lang w:eastAsia="en-US"/>
              </w:rPr>
              <w:t>1</w:t>
            </w:r>
            <w:r w:rsidRPr="001C7F15">
              <w:rPr>
                <w:rFonts w:eastAsia="Calibri"/>
                <w:b/>
                <w:bCs/>
                <w:sz w:val="22"/>
                <w:szCs w:val="22"/>
                <w:vertAlign w:val="superscript"/>
                <w:lang w:eastAsia="en-US"/>
              </w:rPr>
              <w:t>/</w:t>
            </w:r>
            <w:r w:rsidRPr="001C7F15">
              <w:rPr>
                <w:rFonts w:eastAsia="Calibri"/>
                <w:b/>
                <w:bCs/>
                <w:sz w:val="22"/>
                <w:szCs w:val="22"/>
                <w:lang w:eastAsia="en-US"/>
              </w:rPr>
              <w:t xml:space="preserve"> PARA CLIENTES NO TOTALEROS EN EL SEGMENTO DE TARJETAS “CLÁSICAS” O EQUIVALENTES CON LÍMITE DE CRÉDITO ENTRE 4 MIL 501 Y 8 MIL PESOS</w:t>
            </w:r>
          </w:p>
          <w:p w14:paraId="55017D03" w14:textId="511D96A0" w:rsidR="001C7F15" w:rsidRPr="001C7F15" w:rsidRDefault="001C7F15" w:rsidP="001C7F15">
            <w:pPr>
              <w:jc w:val="center"/>
              <w:rPr>
                <w:rFonts w:eastAsia="Calibri"/>
                <w:b/>
                <w:bCs/>
                <w:sz w:val="20"/>
                <w:szCs w:val="20"/>
                <w:lang w:eastAsia="en-US"/>
              </w:rPr>
            </w:pPr>
            <w:r w:rsidRPr="001C7F15">
              <w:rPr>
                <w:rFonts w:eastAsia="Calibri"/>
                <w:b/>
                <w:bCs/>
                <w:sz w:val="22"/>
                <w:szCs w:val="22"/>
                <w:lang w:eastAsia="en-US"/>
              </w:rPr>
              <w:t>-Datos a agosto de 2014-</w:t>
            </w:r>
          </w:p>
        </w:tc>
      </w:tr>
      <w:tr w:rsidR="001C7F15" w:rsidRPr="001C7F15" w14:paraId="7FC8538A" w14:textId="77777777" w:rsidTr="00E823BC">
        <w:trPr>
          <w:gridAfter w:val="1"/>
          <w:wAfter w:w="119" w:type="dxa"/>
          <w:jc w:val="center"/>
        </w:trPr>
        <w:tc>
          <w:tcPr>
            <w:tcW w:w="1651" w:type="dxa"/>
            <w:tcBorders>
              <w:top w:val="single" w:sz="4" w:space="0" w:color="auto"/>
              <w:left w:val="single" w:sz="4" w:space="0" w:color="auto"/>
              <w:bottom w:val="single" w:sz="4" w:space="0" w:color="auto"/>
              <w:right w:val="single" w:sz="4" w:space="0" w:color="auto"/>
            </w:tcBorders>
            <w:shd w:val="clear" w:color="auto" w:fill="auto"/>
            <w:vAlign w:val="center"/>
          </w:tcPr>
          <w:p w14:paraId="02F7DAAE"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Institución</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14:paraId="798CF6A9"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Producto</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2FDFAD1B"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CAT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00AB04"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Tasa efectiva promedio ponderada</w:t>
            </w:r>
          </w:p>
          <w:p w14:paraId="3BAD99DC"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F46BDC"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Anualidad (pesos)</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4DA8FB7"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 xml:space="preserve">Límite de crédito (mediana en pesos) </w:t>
            </w:r>
            <w:r w:rsidRPr="001C7F15">
              <w:rPr>
                <w:rFonts w:eastAsia="Calibri"/>
                <w:b/>
                <w:sz w:val="18"/>
                <w:szCs w:val="18"/>
                <w:u w:val="single"/>
                <w:vertAlign w:val="superscript"/>
                <w:lang w:eastAsia="en-US"/>
              </w:rPr>
              <w:t>2</w:t>
            </w:r>
            <w:r w:rsidRPr="001C7F15">
              <w:rPr>
                <w:rFonts w:eastAsia="Calibri"/>
                <w:b/>
                <w:sz w:val="18"/>
                <w:szCs w:val="18"/>
                <w:vertAlign w:val="superscript"/>
                <w:lang w:eastAsia="en-US"/>
              </w:rPr>
              <w:t>/</w:t>
            </w:r>
          </w:p>
        </w:tc>
      </w:tr>
      <w:tr w:rsidR="001C7F15" w:rsidRPr="001C7F15" w14:paraId="1ED0BDF0" w14:textId="77777777" w:rsidTr="00E823BC">
        <w:trPr>
          <w:gridAfter w:val="1"/>
          <w:wAfter w:w="119" w:type="dxa"/>
          <w:jc w:val="center"/>
        </w:trPr>
        <w:tc>
          <w:tcPr>
            <w:tcW w:w="90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39E346"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al menos 0.5% del total de tarjetas de este segmento</w:t>
            </w:r>
          </w:p>
        </w:tc>
      </w:tr>
      <w:tr w:rsidR="001C7F15" w:rsidRPr="001C7F15" w14:paraId="16985F05" w14:textId="77777777" w:rsidTr="00E823BC">
        <w:trPr>
          <w:gridAfter w:val="1"/>
          <w:wAfter w:w="119" w:type="dxa"/>
          <w:jc w:val="center"/>
        </w:trPr>
        <w:tc>
          <w:tcPr>
            <w:tcW w:w="1651" w:type="dxa"/>
            <w:tcBorders>
              <w:top w:val="single" w:sz="4" w:space="0" w:color="auto"/>
              <w:left w:val="single" w:sz="4" w:space="0" w:color="auto"/>
              <w:bottom w:val="nil"/>
              <w:right w:val="single" w:sz="4" w:space="0" w:color="auto"/>
            </w:tcBorders>
            <w:shd w:val="clear" w:color="auto" w:fill="auto"/>
          </w:tcPr>
          <w:p w14:paraId="49135AEE" w14:textId="77777777" w:rsidR="001C7F15" w:rsidRPr="001C7F15" w:rsidRDefault="001C7F15" w:rsidP="001C7F15">
            <w:pPr>
              <w:autoSpaceDE w:val="0"/>
              <w:autoSpaceDN w:val="0"/>
              <w:adjustRightInd w:val="0"/>
              <w:spacing w:before="120" w:after="40"/>
              <w:jc w:val="both"/>
              <w:rPr>
                <w:rFonts w:eastAsia="Calibri"/>
                <w:bCs/>
                <w:sz w:val="18"/>
                <w:szCs w:val="18"/>
                <w:lang w:eastAsia="en-US"/>
              </w:rPr>
            </w:pPr>
            <w:r w:rsidRPr="001C7F15">
              <w:rPr>
                <w:rFonts w:eastAsia="Calibri"/>
                <w:bCs/>
                <w:sz w:val="18"/>
                <w:szCs w:val="18"/>
                <w:lang w:eastAsia="en-US"/>
              </w:rPr>
              <w:t>Santander</w:t>
            </w:r>
          </w:p>
        </w:tc>
        <w:tc>
          <w:tcPr>
            <w:tcW w:w="2231" w:type="dxa"/>
            <w:tcBorders>
              <w:top w:val="single" w:sz="4" w:space="0" w:color="auto"/>
              <w:left w:val="single" w:sz="4" w:space="0" w:color="auto"/>
              <w:bottom w:val="nil"/>
              <w:right w:val="single" w:sz="4" w:space="0" w:color="auto"/>
            </w:tcBorders>
            <w:shd w:val="clear" w:color="auto" w:fill="auto"/>
          </w:tcPr>
          <w:p w14:paraId="069445E4" w14:textId="77777777" w:rsidR="001C7F15" w:rsidRPr="001C7F15" w:rsidRDefault="001C7F15" w:rsidP="001C7F15">
            <w:pPr>
              <w:autoSpaceDE w:val="0"/>
              <w:autoSpaceDN w:val="0"/>
              <w:adjustRightInd w:val="0"/>
              <w:spacing w:before="120" w:after="40"/>
              <w:jc w:val="both"/>
              <w:rPr>
                <w:rFonts w:eastAsia="Calibri"/>
                <w:sz w:val="18"/>
                <w:szCs w:val="18"/>
                <w:lang w:eastAsia="en-US"/>
              </w:rPr>
            </w:pPr>
            <w:r w:rsidRPr="001C7F15">
              <w:rPr>
                <w:rFonts w:eastAsia="Calibri"/>
                <w:sz w:val="18"/>
                <w:szCs w:val="18"/>
                <w:lang w:eastAsia="en-US"/>
              </w:rPr>
              <w:t>Santander Light</w:t>
            </w:r>
          </w:p>
        </w:tc>
        <w:tc>
          <w:tcPr>
            <w:tcW w:w="1329" w:type="dxa"/>
            <w:tcBorders>
              <w:top w:val="single" w:sz="4" w:space="0" w:color="auto"/>
              <w:left w:val="single" w:sz="4" w:space="0" w:color="auto"/>
              <w:bottom w:val="nil"/>
              <w:right w:val="single" w:sz="4" w:space="0" w:color="auto"/>
            </w:tcBorders>
            <w:shd w:val="clear" w:color="auto" w:fill="auto"/>
          </w:tcPr>
          <w:p w14:paraId="0149DEC0"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37.6</w:t>
            </w:r>
          </w:p>
        </w:tc>
        <w:tc>
          <w:tcPr>
            <w:tcW w:w="1276" w:type="dxa"/>
            <w:tcBorders>
              <w:top w:val="single" w:sz="4" w:space="0" w:color="auto"/>
              <w:left w:val="single" w:sz="4" w:space="0" w:color="auto"/>
              <w:bottom w:val="nil"/>
              <w:right w:val="single" w:sz="4" w:space="0" w:color="auto"/>
            </w:tcBorders>
            <w:shd w:val="clear" w:color="auto" w:fill="auto"/>
          </w:tcPr>
          <w:p w14:paraId="09F31198"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28.3</w:t>
            </w:r>
          </w:p>
        </w:tc>
        <w:tc>
          <w:tcPr>
            <w:tcW w:w="1276" w:type="dxa"/>
            <w:tcBorders>
              <w:top w:val="single" w:sz="4" w:space="0" w:color="auto"/>
              <w:left w:val="single" w:sz="4" w:space="0" w:color="auto"/>
              <w:bottom w:val="nil"/>
              <w:right w:val="single" w:sz="4" w:space="0" w:color="auto"/>
            </w:tcBorders>
            <w:shd w:val="clear" w:color="auto" w:fill="auto"/>
          </w:tcPr>
          <w:p w14:paraId="4CF69D48"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530</w:t>
            </w:r>
          </w:p>
        </w:tc>
        <w:tc>
          <w:tcPr>
            <w:tcW w:w="1291" w:type="dxa"/>
            <w:tcBorders>
              <w:top w:val="single" w:sz="4" w:space="0" w:color="auto"/>
              <w:left w:val="single" w:sz="4" w:space="0" w:color="auto"/>
              <w:bottom w:val="nil"/>
              <w:right w:val="single" w:sz="4" w:space="0" w:color="auto"/>
            </w:tcBorders>
            <w:shd w:val="clear" w:color="auto" w:fill="auto"/>
          </w:tcPr>
          <w:p w14:paraId="2BFCA6D1"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5 800</w:t>
            </w:r>
          </w:p>
        </w:tc>
      </w:tr>
      <w:tr w:rsidR="001C7F15" w:rsidRPr="001C7F15" w14:paraId="5B2980EF"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6E81F40B"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Inbursa</w:t>
            </w:r>
          </w:p>
        </w:tc>
        <w:tc>
          <w:tcPr>
            <w:tcW w:w="2231" w:type="dxa"/>
            <w:tcBorders>
              <w:top w:val="nil"/>
              <w:left w:val="single" w:sz="4" w:space="0" w:color="auto"/>
              <w:bottom w:val="nil"/>
              <w:right w:val="single" w:sz="4" w:space="0" w:color="auto"/>
            </w:tcBorders>
            <w:shd w:val="clear" w:color="auto" w:fill="auto"/>
          </w:tcPr>
          <w:p w14:paraId="0A7C30CD"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Inbursa</w:t>
            </w:r>
          </w:p>
        </w:tc>
        <w:tc>
          <w:tcPr>
            <w:tcW w:w="1329" w:type="dxa"/>
            <w:tcBorders>
              <w:top w:val="nil"/>
              <w:left w:val="single" w:sz="4" w:space="0" w:color="auto"/>
              <w:bottom w:val="nil"/>
              <w:right w:val="single" w:sz="4" w:space="0" w:color="auto"/>
            </w:tcBorders>
            <w:shd w:val="clear" w:color="auto" w:fill="auto"/>
          </w:tcPr>
          <w:p w14:paraId="5968E40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43.0</w:t>
            </w:r>
          </w:p>
        </w:tc>
        <w:tc>
          <w:tcPr>
            <w:tcW w:w="1276" w:type="dxa"/>
            <w:tcBorders>
              <w:top w:val="nil"/>
              <w:left w:val="single" w:sz="4" w:space="0" w:color="auto"/>
              <w:bottom w:val="nil"/>
              <w:right w:val="single" w:sz="4" w:space="0" w:color="auto"/>
            </w:tcBorders>
            <w:shd w:val="clear" w:color="auto" w:fill="auto"/>
          </w:tcPr>
          <w:p w14:paraId="28013CF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36.3</w:t>
            </w:r>
          </w:p>
        </w:tc>
        <w:tc>
          <w:tcPr>
            <w:tcW w:w="1276" w:type="dxa"/>
            <w:tcBorders>
              <w:top w:val="nil"/>
              <w:left w:val="single" w:sz="4" w:space="0" w:color="auto"/>
              <w:bottom w:val="nil"/>
              <w:right w:val="single" w:sz="4" w:space="0" w:color="auto"/>
            </w:tcBorders>
            <w:shd w:val="clear" w:color="auto" w:fill="auto"/>
          </w:tcPr>
          <w:p w14:paraId="528D51D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0</w:t>
            </w:r>
          </w:p>
        </w:tc>
        <w:tc>
          <w:tcPr>
            <w:tcW w:w="1291" w:type="dxa"/>
            <w:tcBorders>
              <w:top w:val="nil"/>
              <w:left w:val="single" w:sz="4" w:space="0" w:color="auto"/>
              <w:bottom w:val="nil"/>
              <w:right w:val="single" w:sz="4" w:space="0" w:color="auto"/>
            </w:tcBorders>
            <w:shd w:val="clear" w:color="auto" w:fill="auto"/>
          </w:tcPr>
          <w:p w14:paraId="128A354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6 500</w:t>
            </w:r>
          </w:p>
        </w:tc>
      </w:tr>
      <w:tr w:rsidR="001C7F15" w:rsidRPr="001C7F15" w14:paraId="14A5C4BD"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624442DD"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SF Soriana</w:t>
            </w:r>
          </w:p>
        </w:tc>
        <w:tc>
          <w:tcPr>
            <w:tcW w:w="2231" w:type="dxa"/>
            <w:tcBorders>
              <w:top w:val="nil"/>
              <w:left w:val="single" w:sz="4" w:space="0" w:color="auto"/>
              <w:bottom w:val="nil"/>
              <w:right w:val="single" w:sz="4" w:space="0" w:color="auto"/>
            </w:tcBorders>
            <w:shd w:val="clear" w:color="auto" w:fill="auto"/>
          </w:tcPr>
          <w:p w14:paraId="6FC603A8"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Soriana - Banamex</w:t>
            </w:r>
          </w:p>
        </w:tc>
        <w:tc>
          <w:tcPr>
            <w:tcW w:w="1329" w:type="dxa"/>
            <w:tcBorders>
              <w:top w:val="nil"/>
              <w:left w:val="single" w:sz="4" w:space="0" w:color="auto"/>
              <w:bottom w:val="nil"/>
              <w:right w:val="single" w:sz="4" w:space="0" w:color="auto"/>
            </w:tcBorders>
            <w:shd w:val="clear" w:color="auto" w:fill="auto"/>
          </w:tcPr>
          <w:p w14:paraId="1A87290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53.4</w:t>
            </w:r>
          </w:p>
        </w:tc>
        <w:tc>
          <w:tcPr>
            <w:tcW w:w="1276" w:type="dxa"/>
            <w:tcBorders>
              <w:top w:val="nil"/>
              <w:left w:val="single" w:sz="4" w:space="0" w:color="auto"/>
              <w:bottom w:val="nil"/>
              <w:right w:val="single" w:sz="4" w:space="0" w:color="auto"/>
            </w:tcBorders>
            <w:shd w:val="clear" w:color="auto" w:fill="auto"/>
          </w:tcPr>
          <w:p w14:paraId="4E3E126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39.4</w:t>
            </w:r>
          </w:p>
        </w:tc>
        <w:tc>
          <w:tcPr>
            <w:tcW w:w="1276" w:type="dxa"/>
            <w:tcBorders>
              <w:top w:val="nil"/>
              <w:left w:val="single" w:sz="4" w:space="0" w:color="auto"/>
              <w:bottom w:val="nil"/>
              <w:right w:val="single" w:sz="4" w:space="0" w:color="auto"/>
            </w:tcBorders>
            <w:shd w:val="clear" w:color="auto" w:fill="auto"/>
          </w:tcPr>
          <w:p w14:paraId="3E5545A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520</w:t>
            </w:r>
          </w:p>
        </w:tc>
        <w:tc>
          <w:tcPr>
            <w:tcW w:w="1291" w:type="dxa"/>
            <w:tcBorders>
              <w:top w:val="nil"/>
              <w:left w:val="single" w:sz="4" w:space="0" w:color="auto"/>
              <w:bottom w:val="nil"/>
              <w:right w:val="single" w:sz="4" w:space="0" w:color="auto"/>
            </w:tcBorders>
            <w:shd w:val="clear" w:color="auto" w:fill="auto"/>
          </w:tcPr>
          <w:p w14:paraId="685EB72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6 200</w:t>
            </w:r>
          </w:p>
        </w:tc>
      </w:tr>
      <w:tr w:rsidR="001C7F15" w:rsidRPr="001C7F15" w14:paraId="165F55DB"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36795184"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Banamex</w:t>
            </w:r>
          </w:p>
        </w:tc>
        <w:tc>
          <w:tcPr>
            <w:tcW w:w="2231" w:type="dxa"/>
            <w:tcBorders>
              <w:top w:val="nil"/>
              <w:left w:val="single" w:sz="4" w:space="0" w:color="auto"/>
              <w:bottom w:val="nil"/>
              <w:right w:val="single" w:sz="4" w:space="0" w:color="auto"/>
            </w:tcBorders>
            <w:shd w:val="clear" w:color="auto" w:fill="auto"/>
          </w:tcPr>
          <w:p w14:paraId="6738FA09"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Internacional</w:t>
            </w:r>
          </w:p>
        </w:tc>
        <w:tc>
          <w:tcPr>
            <w:tcW w:w="1329" w:type="dxa"/>
            <w:tcBorders>
              <w:top w:val="nil"/>
              <w:left w:val="single" w:sz="4" w:space="0" w:color="auto"/>
              <w:bottom w:val="nil"/>
              <w:right w:val="single" w:sz="4" w:space="0" w:color="auto"/>
            </w:tcBorders>
            <w:shd w:val="clear" w:color="auto" w:fill="auto"/>
          </w:tcPr>
          <w:p w14:paraId="0FDD173F"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56.0</w:t>
            </w:r>
          </w:p>
        </w:tc>
        <w:tc>
          <w:tcPr>
            <w:tcW w:w="1276" w:type="dxa"/>
            <w:tcBorders>
              <w:top w:val="nil"/>
              <w:left w:val="single" w:sz="4" w:space="0" w:color="auto"/>
              <w:bottom w:val="nil"/>
              <w:right w:val="single" w:sz="4" w:space="0" w:color="auto"/>
            </w:tcBorders>
            <w:shd w:val="clear" w:color="auto" w:fill="auto"/>
          </w:tcPr>
          <w:p w14:paraId="2FD1758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40.4</w:t>
            </w:r>
          </w:p>
        </w:tc>
        <w:tc>
          <w:tcPr>
            <w:tcW w:w="1276" w:type="dxa"/>
            <w:tcBorders>
              <w:top w:val="nil"/>
              <w:left w:val="single" w:sz="4" w:space="0" w:color="auto"/>
              <w:bottom w:val="nil"/>
              <w:right w:val="single" w:sz="4" w:space="0" w:color="auto"/>
            </w:tcBorders>
            <w:shd w:val="clear" w:color="auto" w:fill="auto"/>
          </w:tcPr>
          <w:p w14:paraId="11975567"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600</w:t>
            </w:r>
          </w:p>
        </w:tc>
        <w:tc>
          <w:tcPr>
            <w:tcW w:w="1291" w:type="dxa"/>
            <w:tcBorders>
              <w:top w:val="nil"/>
              <w:left w:val="single" w:sz="4" w:space="0" w:color="auto"/>
              <w:bottom w:val="nil"/>
              <w:right w:val="single" w:sz="4" w:space="0" w:color="auto"/>
            </w:tcBorders>
            <w:shd w:val="clear" w:color="auto" w:fill="auto"/>
          </w:tcPr>
          <w:p w14:paraId="75B40637"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6 000</w:t>
            </w:r>
          </w:p>
        </w:tc>
      </w:tr>
      <w:tr w:rsidR="001C7F15" w:rsidRPr="001C7F15" w14:paraId="5B7C0354"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626D7F5C"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 xml:space="preserve">Banorte </w:t>
            </w:r>
            <w:r w:rsidRPr="001C7F15">
              <w:rPr>
                <w:rFonts w:eastAsia="Calibri"/>
                <w:bCs/>
                <w:sz w:val="18"/>
                <w:szCs w:val="18"/>
                <w:u w:val="single"/>
                <w:vertAlign w:val="superscript"/>
                <w:lang w:eastAsia="en-US"/>
              </w:rPr>
              <w:t>3</w:t>
            </w:r>
            <w:r w:rsidRPr="001C7F15">
              <w:rPr>
                <w:rFonts w:eastAsia="Calibri"/>
                <w:bCs/>
                <w:sz w:val="18"/>
                <w:szCs w:val="18"/>
                <w:vertAlign w:val="superscript"/>
                <w:lang w:eastAsia="en-US"/>
              </w:rPr>
              <w:t>/</w:t>
            </w:r>
          </w:p>
        </w:tc>
        <w:tc>
          <w:tcPr>
            <w:tcW w:w="2231" w:type="dxa"/>
            <w:tcBorders>
              <w:top w:val="nil"/>
              <w:left w:val="single" w:sz="4" w:space="0" w:color="auto"/>
              <w:bottom w:val="nil"/>
              <w:right w:val="single" w:sz="4" w:space="0" w:color="auto"/>
            </w:tcBorders>
            <w:shd w:val="clear" w:color="auto" w:fill="auto"/>
          </w:tcPr>
          <w:p w14:paraId="1DBBCD3B"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w:t>
            </w:r>
          </w:p>
        </w:tc>
        <w:tc>
          <w:tcPr>
            <w:tcW w:w="1329" w:type="dxa"/>
            <w:tcBorders>
              <w:top w:val="nil"/>
              <w:left w:val="single" w:sz="4" w:space="0" w:color="auto"/>
              <w:bottom w:val="nil"/>
              <w:right w:val="single" w:sz="4" w:space="0" w:color="auto"/>
            </w:tcBorders>
            <w:shd w:val="clear" w:color="auto" w:fill="auto"/>
          </w:tcPr>
          <w:p w14:paraId="48BD1DF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56.8</w:t>
            </w:r>
          </w:p>
        </w:tc>
        <w:tc>
          <w:tcPr>
            <w:tcW w:w="1276" w:type="dxa"/>
            <w:tcBorders>
              <w:top w:val="nil"/>
              <w:left w:val="single" w:sz="4" w:space="0" w:color="auto"/>
              <w:bottom w:val="nil"/>
              <w:right w:val="single" w:sz="4" w:space="0" w:color="auto"/>
            </w:tcBorders>
            <w:shd w:val="clear" w:color="auto" w:fill="auto"/>
          </w:tcPr>
          <w:p w14:paraId="1A34265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41.5</w:t>
            </w:r>
          </w:p>
        </w:tc>
        <w:tc>
          <w:tcPr>
            <w:tcW w:w="1276" w:type="dxa"/>
            <w:tcBorders>
              <w:top w:val="nil"/>
              <w:left w:val="single" w:sz="4" w:space="0" w:color="auto"/>
              <w:bottom w:val="nil"/>
              <w:right w:val="single" w:sz="4" w:space="0" w:color="auto"/>
            </w:tcBorders>
            <w:shd w:val="clear" w:color="auto" w:fill="auto"/>
          </w:tcPr>
          <w:p w14:paraId="5DAE95C4"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530</w:t>
            </w:r>
          </w:p>
        </w:tc>
        <w:tc>
          <w:tcPr>
            <w:tcW w:w="1291" w:type="dxa"/>
            <w:tcBorders>
              <w:top w:val="nil"/>
              <w:left w:val="single" w:sz="4" w:space="0" w:color="auto"/>
              <w:bottom w:val="nil"/>
              <w:right w:val="single" w:sz="4" w:space="0" w:color="auto"/>
            </w:tcBorders>
            <w:shd w:val="clear" w:color="auto" w:fill="auto"/>
          </w:tcPr>
          <w:p w14:paraId="0DB45DB8"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6 500</w:t>
            </w:r>
          </w:p>
        </w:tc>
      </w:tr>
      <w:tr w:rsidR="001C7F15" w:rsidRPr="001C7F15" w14:paraId="73521353"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3F98A327"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HSBC</w:t>
            </w:r>
          </w:p>
        </w:tc>
        <w:tc>
          <w:tcPr>
            <w:tcW w:w="2231" w:type="dxa"/>
            <w:tcBorders>
              <w:top w:val="nil"/>
              <w:left w:val="single" w:sz="4" w:space="0" w:color="auto"/>
              <w:bottom w:val="nil"/>
              <w:right w:val="single" w:sz="4" w:space="0" w:color="auto"/>
            </w:tcBorders>
            <w:shd w:val="clear" w:color="auto" w:fill="auto"/>
          </w:tcPr>
          <w:p w14:paraId="5DB7EFC0"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HSBC</w:t>
            </w:r>
          </w:p>
        </w:tc>
        <w:tc>
          <w:tcPr>
            <w:tcW w:w="1329" w:type="dxa"/>
            <w:tcBorders>
              <w:top w:val="nil"/>
              <w:left w:val="single" w:sz="4" w:space="0" w:color="auto"/>
              <w:bottom w:val="nil"/>
              <w:right w:val="single" w:sz="4" w:space="0" w:color="auto"/>
            </w:tcBorders>
            <w:shd w:val="clear" w:color="auto" w:fill="auto"/>
          </w:tcPr>
          <w:p w14:paraId="747577C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57.7</w:t>
            </w:r>
          </w:p>
        </w:tc>
        <w:tc>
          <w:tcPr>
            <w:tcW w:w="1276" w:type="dxa"/>
            <w:tcBorders>
              <w:top w:val="nil"/>
              <w:left w:val="single" w:sz="4" w:space="0" w:color="auto"/>
              <w:bottom w:val="nil"/>
              <w:right w:val="single" w:sz="4" w:space="0" w:color="auto"/>
            </w:tcBorders>
            <w:shd w:val="clear" w:color="auto" w:fill="auto"/>
          </w:tcPr>
          <w:p w14:paraId="5980339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41.9</w:t>
            </w:r>
          </w:p>
        </w:tc>
        <w:tc>
          <w:tcPr>
            <w:tcW w:w="1276" w:type="dxa"/>
            <w:tcBorders>
              <w:top w:val="nil"/>
              <w:left w:val="single" w:sz="4" w:space="0" w:color="auto"/>
              <w:bottom w:val="nil"/>
              <w:right w:val="single" w:sz="4" w:space="0" w:color="auto"/>
            </w:tcBorders>
            <w:shd w:val="clear" w:color="auto" w:fill="auto"/>
          </w:tcPr>
          <w:p w14:paraId="26488AF7"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560</w:t>
            </w:r>
          </w:p>
        </w:tc>
        <w:tc>
          <w:tcPr>
            <w:tcW w:w="1291" w:type="dxa"/>
            <w:tcBorders>
              <w:top w:val="nil"/>
              <w:left w:val="single" w:sz="4" w:space="0" w:color="auto"/>
              <w:bottom w:val="nil"/>
              <w:right w:val="single" w:sz="4" w:space="0" w:color="auto"/>
            </w:tcBorders>
            <w:shd w:val="clear" w:color="auto" w:fill="auto"/>
          </w:tcPr>
          <w:p w14:paraId="4807EE6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6 000</w:t>
            </w:r>
          </w:p>
        </w:tc>
      </w:tr>
      <w:tr w:rsidR="001C7F15" w:rsidRPr="001C7F15" w14:paraId="375E1F8B"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2EBC478C"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 Walmart</w:t>
            </w:r>
          </w:p>
        </w:tc>
        <w:tc>
          <w:tcPr>
            <w:tcW w:w="2231" w:type="dxa"/>
            <w:tcBorders>
              <w:top w:val="nil"/>
              <w:left w:val="single" w:sz="4" w:space="0" w:color="auto"/>
              <w:bottom w:val="nil"/>
              <w:right w:val="single" w:sz="4" w:space="0" w:color="auto"/>
            </w:tcBorders>
            <w:shd w:val="clear" w:color="auto" w:fill="auto"/>
          </w:tcPr>
          <w:p w14:paraId="08118B06"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Súper Tarjeta de Crédito</w:t>
            </w:r>
          </w:p>
        </w:tc>
        <w:tc>
          <w:tcPr>
            <w:tcW w:w="1329" w:type="dxa"/>
            <w:tcBorders>
              <w:top w:val="nil"/>
              <w:left w:val="single" w:sz="4" w:space="0" w:color="auto"/>
              <w:bottom w:val="nil"/>
              <w:right w:val="single" w:sz="4" w:space="0" w:color="auto"/>
            </w:tcBorders>
            <w:shd w:val="clear" w:color="auto" w:fill="auto"/>
          </w:tcPr>
          <w:p w14:paraId="240F0B65"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58.6</w:t>
            </w:r>
          </w:p>
        </w:tc>
        <w:tc>
          <w:tcPr>
            <w:tcW w:w="1276" w:type="dxa"/>
            <w:tcBorders>
              <w:top w:val="nil"/>
              <w:left w:val="single" w:sz="4" w:space="0" w:color="auto"/>
              <w:bottom w:val="nil"/>
              <w:right w:val="single" w:sz="4" w:space="0" w:color="auto"/>
            </w:tcBorders>
            <w:shd w:val="clear" w:color="auto" w:fill="auto"/>
          </w:tcPr>
          <w:p w14:paraId="7034ED97"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42.9</w:t>
            </w:r>
          </w:p>
        </w:tc>
        <w:tc>
          <w:tcPr>
            <w:tcW w:w="1276" w:type="dxa"/>
            <w:tcBorders>
              <w:top w:val="nil"/>
              <w:left w:val="single" w:sz="4" w:space="0" w:color="auto"/>
              <w:bottom w:val="nil"/>
              <w:right w:val="single" w:sz="4" w:space="0" w:color="auto"/>
            </w:tcBorders>
            <w:shd w:val="clear" w:color="auto" w:fill="auto"/>
          </w:tcPr>
          <w:p w14:paraId="398BBA2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500</w:t>
            </w:r>
          </w:p>
        </w:tc>
        <w:tc>
          <w:tcPr>
            <w:tcW w:w="1291" w:type="dxa"/>
            <w:tcBorders>
              <w:top w:val="nil"/>
              <w:left w:val="single" w:sz="4" w:space="0" w:color="auto"/>
              <w:bottom w:val="nil"/>
              <w:right w:val="single" w:sz="4" w:space="0" w:color="auto"/>
            </w:tcBorders>
            <w:shd w:val="clear" w:color="auto" w:fill="auto"/>
          </w:tcPr>
          <w:p w14:paraId="407082F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6 000</w:t>
            </w:r>
          </w:p>
        </w:tc>
      </w:tr>
      <w:tr w:rsidR="001C7F15" w:rsidRPr="001C7F15" w14:paraId="4291E27A"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30ECE619"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BBVA Bancomer</w:t>
            </w:r>
          </w:p>
        </w:tc>
        <w:tc>
          <w:tcPr>
            <w:tcW w:w="2231" w:type="dxa"/>
            <w:tcBorders>
              <w:top w:val="nil"/>
              <w:left w:val="single" w:sz="4" w:space="0" w:color="auto"/>
              <w:bottom w:val="nil"/>
              <w:right w:val="single" w:sz="4" w:space="0" w:color="auto"/>
            </w:tcBorders>
            <w:shd w:val="clear" w:color="auto" w:fill="auto"/>
          </w:tcPr>
          <w:p w14:paraId="0B441551"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Azul Bancomer</w:t>
            </w:r>
          </w:p>
        </w:tc>
        <w:tc>
          <w:tcPr>
            <w:tcW w:w="1329" w:type="dxa"/>
            <w:tcBorders>
              <w:top w:val="nil"/>
              <w:left w:val="single" w:sz="4" w:space="0" w:color="auto"/>
              <w:bottom w:val="nil"/>
              <w:right w:val="single" w:sz="4" w:space="0" w:color="auto"/>
            </w:tcBorders>
            <w:shd w:val="clear" w:color="auto" w:fill="auto"/>
          </w:tcPr>
          <w:p w14:paraId="4DF27BC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61.8</w:t>
            </w:r>
          </w:p>
        </w:tc>
        <w:tc>
          <w:tcPr>
            <w:tcW w:w="1276" w:type="dxa"/>
            <w:tcBorders>
              <w:top w:val="nil"/>
              <w:left w:val="single" w:sz="4" w:space="0" w:color="auto"/>
              <w:bottom w:val="nil"/>
              <w:right w:val="single" w:sz="4" w:space="0" w:color="auto"/>
            </w:tcBorders>
            <w:shd w:val="clear" w:color="auto" w:fill="auto"/>
          </w:tcPr>
          <w:p w14:paraId="6A8423DD"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44.4</w:t>
            </w:r>
          </w:p>
        </w:tc>
        <w:tc>
          <w:tcPr>
            <w:tcW w:w="1276" w:type="dxa"/>
            <w:tcBorders>
              <w:top w:val="nil"/>
              <w:left w:val="single" w:sz="4" w:space="0" w:color="auto"/>
              <w:bottom w:val="nil"/>
              <w:right w:val="single" w:sz="4" w:space="0" w:color="auto"/>
            </w:tcBorders>
            <w:shd w:val="clear" w:color="auto" w:fill="auto"/>
          </w:tcPr>
          <w:p w14:paraId="6A60BE8F"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580</w:t>
            </w:r>
          </w:p>
        </w:tc>
        <w:tc>
          <w:tcPr>
            <w:tcW w:w="1291" w:type="dxa"/>
            <w:tcBorders>
              <w:top w:val="nil"/>
              <w:left w:val="single" w:sz="4" w:space="0" w:color="auto"/>
              <w:bottom w:val="nil"/>
              <w:right w:val="single" w:sz="4" w:space="0" w:color="auto"/>
            </w:tcBorders>
            <w:shd w:val="clear" w:color="auto" w:fill="auto"/>
          </w:tcPr>
          <w:p w14:paraId="1C7B55A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6 000</w:t>
            </w:r>
          </w:p>
        </w:tc>
      </w:tr>
      <w:tr w:rsidR="001C7F15" w:rsidRPr="001C7F15" w14:paraId="672E38C1" w14:textId="77777777" w:rsidTr="00E823BC">
        <w:trPr>
          <w:gridAfter w:val="1"/>
          <w:wAfter w:w="119" w:type="dxa"/>
          <w:jc w:val="center"/>
        </w:trPr>
        <w:tc>
          <w:tcPr>
            <w:tcW w:w="1651" w:type="dxa"/>
            <w:tcBorders>
              <w:top w:val="nil"/>
              <w:left w:val="single" w:sz="4" w:space="0" w:color="auto"/>
              <w:bottom w:val="single" w:sz="4" w:space="0" w:color="auto"/>
              <w:right w:val="single" w:sz="4" w:space="0" w:color="auto"/>
            </w:tcBorders>
            <w:shd w:val="clear" w:color="auto" w:fill="auto"/>
          </w:tcPr>
          <w:p w14:paraId="71AA30FE" w14:textId="77777777" w:rsidR="001C7F15" w:rsidRPr="001C7F15" w:rsidRDefault="001C7F15" w:rsidP="001C7F15">
            <w:pPr>
              <w:autoSpaceDE w:val="0"/>
              <w:autoSpaceDN w:val="0"/>
              <w:adjustRightInd w:val="0"/>
              <w:spacing w:before="40" w:after="120"/>
              <w:jc w:val="both"/>
              <w:rPr>
                <w:rFonts w:eastAsia="Calibri"/>
                <w:bCs/>
                <w:sz w:val="18"/>
                <w:szCs w:val="18"/>
                <w:lang w:eastAsia="en-US"/>
              </w:rPr>
            </w:pPr>
            <w:r w:rsidRPr="001C7F15">
              <w:rPr>
                <w:rFonts w:eastAsia="Calibri"/>
                <w:bCs/>
                <w:sz w:val="18"/>
                <w:szCs w:val="18"/>
                <w:lang w:eastAsia="en-US"/>
              </w:rPr>
              <w:t>BanCoppel</w:t>
            </w:r>
          </w:p>
        </w:tc>
        <w:tc>
          <w:tcPr>
            <w:tcW w:w="2231" w:type="dxa"/>
            <w:tcBorders>
              <w:top w:val="nil"/>
              <w:left w:val="single" w:sz="4" w:space="0" w:color="auto"/>
              <w:bottom w:val="single" w:sz="4" w:space="0" w:color="auto"/>
              <w:right w:val="single" w:sz="4" w:space="0" w:color="auto"/>
            </w:tcBorders>
            <w:shd w:val="clear" w:color="auto" w:fill="auto"/>
          </w:tcPr>
          <w:p w14:paraId="292675D6" w14:textId="77777777" w:rsidR="001C7F15" w:rsidRPr="001C7F15" w:rsidRDefault="001C7F15" w:rsidP="001C7F15">
            <w:pPr>
              <w:autoSpaceDE w:val="0"/>
              <w:autoSpaceDN w:val="0"/>
              <w:adjustRightInd w:val="0"/>
              <w:spacing w:before="40" w:after="120"/>
              <w:jc w:val="both"/>
              <w:rPr>
                <w:rFonts w:eastAsia="Calibri"/>
                <w:sz w:val="18"/>
                <w:szCs w:val="18"/>
                <w:lang w:eastAsia="en-US"/>
              </w:rPr>
            </w:pPr>
            <w:r w:rsidRPr="001C7F15">
              <w:rPr>
                <w:rFonts w:eastAsia="Calibri"/>
                <w:sz w:val="18"/>
                <w:szCs w:val="18"/>
                <w:lang w:eastAsia="en-US"/>
              </w:rPr>
              <w:t>BanCoppel</w:t>
            </w:r>
          </w:p>
        </w:tc>
        <w:tc>
          <w:tcPr>
            <w:tcW w:w="1329" w:type="dxa"/>
            <w:tcBorders>
              <w:top w:val="nil"/>
              <w:left w:val="single" w:sz="4" w:space="0" w:color="auto"/>
              <w:bottom w:val="single" w:sz="4" w:space="0" w:color="auto"/>
              <w:right w:val="single" w:sz="4" w:space="0" w:color="auto"/>
            </w:tcBorders>
            <w:shd w:val="clear" w:color="auto" w:fill="auto"/>
          </w:tcPr>
          <w:p w14:paraId="43836C6E"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88.3</w:t>
            </w:r>
          </w:p>
        </w:tc>
        <w:tc>
          <w:tcPr>
            <w:tcW w:w="1276" w:type="dxa"/>
            <w:tcBorders>
              <w:top w:val="nil"/>
              <w:left w:val="single" w:sz="4" w:space="0" w:color="auto"/>
              <w:bottom w:val="single" w:sz="4" w:space="0" w:color="auto"/>
              <w:right w:val="single" w:sz="4" w:space="0" w:color="auto"/>
            </w:tcBorders>
            <w:shd w:val="clear" w:color="auto" w:fill="auto"/>
          </w:tcPr>
          <w:p w14:paraId="23E3A210"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65.0</w:t>
            </w:r>
          </w:p>
        </w:tc>
        <w:tc>
          <w:tcPr>
            <w:tcW w:w="1276" w:type="dxa"/>
            <w:tcBorders>
              <w:top w:val="nil"/>
              <w:left w:val="single" w:sz="4" w:space="0" w:color="auto"/>
              <w:bottom w:val="single" w:sz="4" w:space="0" w:color="auto"/>
              <w:right w:val="single" w:sz="4" w:space="0" w:color="auto"/>
            </w:tcBorders>
            <w:shd w:val="clear" w:color="auto" w:fill="auto"/>
          </w:tcPr>
          <w:p w14:paraId="6ECCFB14"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0</w:t>
            </w:r>
          </w:p>
        </w:tc>
        <w:tc>
          <w:tcPr>
            <w:tcW w:w="1291" w:type="dxa"/>
            <w:tcBorders>
              <w:top w:val="nil"/>
              <w:left w:val="single" w:sz="4" w:space="0" w:color="auto"/>
              <w:bottom w:val="single" w:sz="4" w:space="0" w:color="auto"/>
              <w:right w:val="single" w:sz="4" w:space="0" w:color="auto"/>
            </w:tcBorders>
            <w:shd w:val="clear" w:color="auto" w:fill="auto"/>
          </w:tcPr>
          <w:p w14:paraId="48C9221B"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6 400</w:t>
            </w:r>
          </w:p>
        </w:tc>
      </w:tr>
      <w:tr w:rsidR="001C7F15" w:rsidRPr="001C7F15" w14:paraId="17AE0646" w14:textId="77777777" w:rsidTr="00E823BC">
        <w:trPr>
          <w:gridAfter w:val="1"/>
          <w:wAfter w:w="119" w:type="dxa"/>
          <w:jc w:val="center"/>
        </w:trPr>
        <w:tc>
          <w:tcPr>
            <w:tcW w:w="90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34420DF"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menos del 0.5% pero más del 0.1% del total de tarjetas de este segmento</w:t>
            </w:r>
          </w:p>
        </w:tc>
      </w:tr>
      <w:tr w:rsidR="001C7F15" w:rsidRPr="001C7F15" w14:paraId="0F894D18" w14:textId="77777777" w:rsidTr="00E823BC">
        <w:trPr>
          <w:gridAfter w:val="1"/>
          <w:wAfter w:w="119" w:type="dxa"/>
          <w:jc w:val="center"/>
        </w:trPr>
        <w:tc>
          <w:tcPr>
            <w:tcW w:w="1651" w:type="dxa"/>
            <w:tcBorders>
              <w:top w:val="single" w:sz="4" w:space="0" w:color="auto"/>
              <w:left w:val="single" w:sz="4" w:space="0" w:color="auto"/>
              <w:bottom w:val="nil"/>
              <w:right w:val="single" w:sz="4" w:space="0" w:color="auto"/>
            </w:tcBorders>
            <w:shd w:val="clear" w:color="auto" w:fill="auto"/>
          </w:tcPr>
          <w:p w14:paraId="0A335744" w14:textId="77777777" w:rsidR="001C7F15" w:rsidRPr="001C7F15" w:rsidRDefault="001C7F15" w:rsidP="001C7F15">
            <w:pPr>
              <w:autoSpaceDE w:val="0"/>
              <w:autoSpaceDN w:val="0"/>
              <w:adjustRightInd w:val="0"/>
              <w:spacing w:before="120" w:after="40"/>
              <w:jc w:val="both"/>
              <w:rPr>
                <w:rFonts w:eastAsia="Calibri"/>
                <w:bCs/>
                <w:sz w:val="18"/>
                <w:szCs w:val="18"/>
                <w:lang w:eastAsia="en-US"/>
              </w:rPr>
            </w:pPr>
            <w:r w:rsidRPr="001C7F15">
              <w:rPr>
                <w:rFonts w:eastAsia="Calibri"/>
                <w:bCs/>
                <w:sz w:val="18"/>
                <w:szCs w:val="18"/>
                <w:lang w:eastAsia="en-US"/>
              </w:rPr>
              <w:t>Banco del Bajío</w:t>
            </w:r>
          </w:p>
        </w:tc>
        <w:tc>
          <w:tcPr>
            <w:tcW w:w="2231" w:type="dxa"/>
            <w:tcBorders>
              <w:top w:val="single" w:sz="4" w:space="0" w:color="auto"/>
              <w:left w:val="single" w:sz="4" w:space="0" w:color="auto"/>
              <w:bottom w:val="nil"/>
              <w:right w:val="single" w:sz="4" w:space="0" w:color="auto"/>
            </w:tcBorders>
            <w:shd w:val="clear" w:color="auto" w:fill="auto"/>
          </w:tcPr>
          <w:p w14:paraId="6EA78924" w14:textId="77777777" w:rsidR="001C7F15" w:rsidRPr="001C7F15" w:rsidRDefault="001C7F15" w:rsidP="001C7F15">
            <w:pPr>
              <w:autoSpaceDE w:val="0"/>
              <w:autoSpaceDN w:val="0"/>
              <w:adjustRightInd w:val="0"/>
              <w:spacing w:before="120" w:after="40"/>
              <w:jc w:val="both"/>
              <w:rPr>
                <w:rFonts w:eastAsia="Calibri"/>
                <w:sz w:val="18"/>
                <w:szCs w:val="18"/>
                <w:lang w:eastAsia="en-US"/>
              </w:rPr>
            </w:pPr>
            <w:r w:rsidRPr="001C7F15">
              <w:rPr>
                <w:rFonts w:eastAsia="Calibri"/>
                <w:sz w:val="18"/>
                <w:szCs w:val="18"/>
                <w:lang w:eastAsia="en-US"/>
              </w:rPr>
              <w:t>Bajío Clásica</w:t>
            </w:r>
          </w:p>
        </w:tc>
        <w:tc>
          <w:tcPr>
            <w:tcW w:w="1329" w:type="dxa"/>
            <w:tcBorders>
              <w:top w:val="single" w:sz="4" w:space="0" w:color="auto"/>
              <w:left w:val="single" w:sz="4" w:space="0" w:color="auto"/>
              <w:bottom w:val="nil"/>
              <w:right w:val="single" w:sz="4" w:space="0" w:color="auto"/>
            </w:tcBorders>
            <w:shd w:val="clear" w:color="auto" w:fill="auto"/>
          </w:tcPr>
          <w:p w14:paraId="2C45282F"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34.3</w:t>
            </w:r>
          </w:p>
        </w:tc>
        <w:tc>
          <w:tcPr>
            <w:tcW w:w="1276" w:type="dxa"/>
            <w:tcBorders>
              <w:top w:val="single" w:sz="4" w:space="0" w:color="auto"/>
              <w:left w:val="single" w:sz="4" w:space="0" w:color="auto"/>
              <w:bottom w:val="nil"/>
              <w:right w:val="single" w:sz="4" w:space="0" w:color="auto"/>
            </w:tcBorders>
            <w:shd w:val="clear" w:color="auto" w:fill="auto"/>
          </w:tcPr>
          <w:p w14:paraId="74236185"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27.2</w:t>
            </w:r>
          </w:p>
        </w:tc>
        <w:tc>
          <w:tcPr>
            <w:tcW w:w="1276" w:type="dxa"/>
            <w:tcBorders>
              <w:top w:val="single" w:sz="4" w:space="0" w:color="auto"/>
              <w:left w:val="single" w:sz="4" w:space="0" w:color="auto"/>
              <w:bottom w:val="nil"/>
              <w:right w:val="single" w:sz="4" w:space="0" w:color="auto"/>
            </w:tcBorders>
            <w:shd w:val="clear" w:color="auto" w:fill="auto"/>
          </w:tcPr>
          <w:p w14:paraId="0C613257"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350</w:t>
            </w:r>
          </w:p>
        </w:tc>
        <w:tc>
          <w:tcPr>
            <w:tcW w:w="1291" w:type="dxa"/>
            <w:tcBorders>
              <w:top w:val="single" w:sz="4" w:space="0" w:color="auto"/>
              <w:left w:val="single" w:sz="4" w:space="0" w:color="auto"/>
              <w:bottom w:val="nil"/>
              <w:right w:val="single" w:sz="4" w:space="0" w:color="auto"/>
            </w:tcBorders>
            <w:shd w:val="clear" w:color="auto" w:fill="auto"/>
          </w:tcPr>
          <w:p w14:paraId="07D4F360"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5 000</w:t>
            </w:r>
          </w:p>
        </w:tc>
      </w:tr>
      <w:tr w:rsidR="001C7F15" w:rsidRPr="001C7F15" w14:paraId="7ABA0779"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215F536F"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Banregio</w:t>
            </w:r>
          </w:p>
        </w:tc>
        <w:tc>
          <w:tcPr>
            <w:tcW w:w="2231" w:type="dxa"/>
            <w:tcBorders>
              <w:top w:val="nil"/>
              <w:left w:val="single" w:sz="4" w:space="0" w:color="auto"/>
              <w:bottom w:val="nil"/>
              <w:right w:val="single" w:sz="4" w:space="0" w:color="auto"/>
            </w:tcBorders>
            <w:shd w:val="clear" w:color="auto" w:fill="auto"/>
          </w:tcPr>
          <w:p w14:paraId="61108843"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Tarjeta Clásica</w:t>
            </w:r>
          </w:p>
        </w:tc>
        <w:tc>
          <w:tcPr>
            <w:tcW w:w="1329" w:type="dxa"/>
            <w:tcBorders>
              <w:top w:val="nil"/>
              <w:left w:val="single" w:sz="4" w:space="0" w:color="auto"/>
              <w:bottom w:val="nil"/>
              <w:right w:val="single" w:sz="4" w:space="0" w:color="auto"/>
            </w:tcBorders>
            <w:shd w:val="clear" w:color="auto" w:fill="auto"/>
          </w:tcPr>
          <w:p w14:paraId="5248625B"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52.3</w:t>
            </w:r>
          </w:p>
        </w:tc>
        <w:tc>
          <w:tcPr>
            <w:tcW w:w="1276" w:type="dxa"/>
            <w:tcBorders>
              <w:top w:val="nil"/>
              <w:left w:val="single" w:sz="4" w:space="0" w:color="auto"/>
              <w:bottom w:val="nil"/>
              <w:right w:val="single" w:sz="4" w:space="0" w:color="auto"/>
            </w:tcBorders>
            <w:shd w:val="clear" w:color="auto" w:fill="auto"/>
          </w:tcPr>
          <w:p w14:paraId="3DF22C1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42.8</w:t>
            </w:r>
          </w:p>
        </w:tc>
        <w:tc>
          <w:tcPr>
            <w:tcW w:w="1276" w:type="dxa"/>
            <w:tcBorders>
              <w:top w:val="nil"/>
              <w:left w:val="single" w:sz="4" w:space="0" w:color="auto"/>
              <w:bottom w:val="nil"/>
              <w:right w:val="single" w:sz="4" w:space="0" w:color="auto"/>
            </w:tcBorders>
            <w:shd w:val="clear" w:color="auto" w:fill="auto"/>
          </w:tcPr>
          <w:p w14:paraId="0E92C2A1"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0</w:t>
            </w:r>
          </w:p>
        </w:tc>
        <w:tc>
          <w:tcPr>
            <w:tcW w:w="1291" w:type="dxa"/>
            <w:tcBorders>
              <w:top w:val="nil"/>
              <w:left w:val="single" w:sz="4" w:space="0" w:color="auto"/>
              <w:bottom w:val="nil"/>
              <w:right w:val="single" w:sz="4" w:space="0" w:color="auto"/>
            </w:tcBorders>
            <w:shd w:val="clear" w:color="auto" w:fill="auto"/>
          </w:tcPr>
          <w:p w14:paraId="2F416485"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5 000</w:t>
            </w:r>
          </w:p>
        </w:tc>
      </w:tr>
      <w:tr w:rsidR="001C7F15" w:rsidRPr="001C7F15" w14:paraId="00638C35" w14:textId="77777777" w:rsidTr="00E823BC">
        <w:trPr>
          <w:gridAfter w:val="1"/>
          <w:wAfter w:w="119" w:type="dxa"/>
          <w:jc w:val="center"/>
        </w:trPr>
        <w:tc>
          <w:tcPr>
            <w:tcW w:w="1651" w:type="dxa"/>
            <w:tcBorders>
              <w:top w:val="nil"/>
              <w:left w:val="single" w:sz="4" w:space="0" w:color="auto"/>
              <w:bottom w:val="nil"/>
              <w:right w:val="single" w:sz="4" w:space="0" w:color="auto"/>
            </w:tcBorders>
            <w:shd w:val="clear" w:color="auto" w:fill="auto"/>
          </w:tcPr>
          <w:p w14:paraId="4DBD9FE6"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 xml:space="preserve">Ixe Tarjetas </w:t>
            </w:r>
            <w:r w:rsidRPr="001C7F15">
              <w:rPr>
                <w:rFonts w:eastAsia="Calibri"/>
                <w:bCs/>
                <w:sz w:val="18"/>
                <w:szCs w:val="18"/>
                <w:u w:val="single"/>
                <w:vertAlign w:val="superscript"/>
                <w:lang w:eastAsia="en-US"/>
              </w:rPr>
              <w:t>3</w:t>
            </w:r>
            <w:r w:rsidRPr="001C7F15">
              <w:rPr>
                <w:rFonts w:eastAsia="Calibri"/>
                <w:bCs/>
                <w:sz w:val="18"/>
                <w:szCs w:val="18"/>
                <w:vertAlign w:val="superscript"/>
                <w:lang w:eastAsia="en-US"/>
              </w:rPr>
              <w:t>/</w:t>
            </w:r>
          </w:p>
        </w:tc>
        <w:tc>
          <w:tcPr>
            <w:tcW w:w="2231" w:type="dxa"/>
            <w:tcBorders>
              <w:top w:val="nil"/>
              <w:left w:val="single" w:sz="4" w:space="0" w:color="auto"/>
              <w:bottom w:val="nil"/>
              <w:right w:val="single" w:sz="4" w:space="0" w:color="auto"/>
            </w:tcBorders>
            <w:shd w:val="clear" w:color="auto" w:fill="auto"/>
          </w:tcPr>
          <w:p w14:paraId="7EAC069A"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w:t>
            </w:r>
          </w:p>
        </w:tc>
        <w:tc>
          <w:tcPr>
            <w:tcW w:w="1329" w:type="dxa"/>
            <w:tcBorders>
              <w:top w:val="nil"/>
              <w:left w:val="single" w:sz="4" w:space="0" w:color="auto"/>
              <w:bottom w:val="nil"/>
              <w:right w:val="single" w:sz="4" w:space="0" w:color="auto"/>
            </w:tcBorders>
            <w:shd w:val="clear" w:color="auto" w:fill="auto"/>
          </w:tcPr>
          <w:p w14:paraId="2886502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55.4</w:t>
            </w:r>
          </w:p>
        </w:tc>
        <w:tc>
          <w:tcPr>
            <w:tcW w:w="1276" w:type="dxa"/>
            <w:tcBorders>
              <w:top w:val="nil"/>
              <w:left w:val="single" w:sz="4" w:space="0" w:color="auto"/>
              <w:bottom w:val="nil"/>
              <w:right w:val="single" w:sz="4" w:space="0" w:color="auto"/>
            </w:tcBorders>
            <w:shd w:val="clear" w:color="auto" w:fill="auto"/>
          </w:tcPr>
          <w:p w14:paraId="43BE0571"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40.6</w:t>
            </w:r>
          </w:p>
        </w:tc>
        <w:tc>
          <w:tcPr>
            <w:tcW w:w="1276" w:type="dxa"/>
            <w:tcBorders>
              <w:top w:val="nil"/>
              <w:left w:val="single" w:sz="4" w:space="0" w:color="auto"/>
              <w:bottom w:val="nil"/>
              <w:right w:val="single" w:sz="4" w:space="0" w:color="auto"/>
            </w:tcBorders>
            <w:shd w:val="clear" w:color="auto" w:fill="auto"/>
          </w:tcPr>
          <w:p w14:paraId="6BE3A401"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530</w:t>
            </w:r>
          </w:p>
        </w:tc>
        <w:tc>
          <w:tcPr>
            <w:tcW w:w="1291" w:type="dxa"/>
            <w:tcBorders>
              <w:top w:val="nil"/>
              <w:left w:val="single" w:sz="4" w:space="0" w:color="auto"/>
              <w:bottom w:val="nil"/>
              <w:right w:val="single" w:sz="4" w:space="0" w:color="auto"/>
            </w:tcBorders>
            <w:shd w:val="clear" w:color="auto" w:fill="auto"/>
          </w:tcPr>
          <w:p w14:paraId="1717A00B"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6 000</w:t>
            </w:r>
          </w:p>
        </w:tc>
      </w:tr>
      <w:tr w:rsidR="001C7F15" w:rsidRPr="001C7F15" w14:paraId="40391BA9" w14:textId="77777777" w:rsidTr="00E823BC">
        <w:trPr>
          <w:gridAfter w:val="1"/>
          <w:wAfter w:w="119" w:type="dxa"/>
          <w:jc w:val="center"/>
        </w:trPr>
        <w:tc>
          <w:tcPr>
            <w:tcW w:w="1651" w:type="dxa"/>
            <w:tcBorders>
              <w:top w:val="nil"/>
              <w:left w:val="single" w:sz="4" w:space="0" w:color="auto"/>
              <w:bottom w:val="single" w:sz="4" w:space="0" w:color="auto"/>
              <w:right w:val="single" w:sz="4" w:space="0" w:color="auto"/>
            </w:tcBorders>
            <w:shd w:val="clear" w:color="auto" w:fill="auto"/>
          </w:tcPr>
          <w:p w14:paraId="0606884D" w14:textId="77777777" w:rsidR="001C7F15" w:rsidRPr="001C7F15" w:rsidRDefault="001C7F15" w:rsidP="001C7F15">
            <w:pPr>
              <w:autoSpaceDE w:val="0"/>
              <w:autoSpaceDN w:val="0"/>
              <w:adjustRightInd w:val="0"/>
              <w:spacing w:before="40" w:after="120"/>
              <w:jc w:val="both"/>
              <w:rPr>
                <w:rFonts w:eastAsia="Calibri"/>
                <w:bCs/>
                <w:sz w:val="18"/>
                <w:szCs w:val="18"/>
                <w:lang w:eastAsia="en-US"/>
              </w:rPr>
            </w:pPr>
            <w:r w:rsidRPr="001C7F15">
              <w:rPr>
                <w:rFonts w:eastAsia="Calibri"/>
                <w:bCs/>
                <w:sz w:val="18"/>
                <w:szCs w:val="18"/>
                <w:lang w:eastAsia="en-US"/>
              </w:rPr>
              <w:t>Scotiabank</w:t>
            </w:r>
          </w:p>
        </w:tc>
        <w:tc>
          <w:tcPr>
            <w:tcW w:w="2231" w:type="dxa"/>
            <w:tcBorders>
              <w:top w:val="nil"/>
              <w:left w:val="single" w:sz="4" w:space="0" w:color="auto"/>
              <w:bottom w:val="single" w:sz="4" w:space="0" w:color="auto"/>
              <w:right w:val="single" w:sz="4" w:space="0" w:color="auto"/>
            </w:tcBorders>
            <w:shd w:val="clear" w:color="auto" w:fill="auto"/>
          </w:tcPr>
          <w:p w14:paraId="43A7AA8C" w14:textId="77777777" w:rsidR="001C7F15" w:rsidRPr="001C7F15" w:rsidRDefault="001C7F15" w:rsidP="001C7F15">
            <w:pPr>
              <w:autoSpaceDE w:val="0"/>
              <w:autoSpaceDN w:val="0"/>
              <w:adjustRightInd w:val="0"/>
              <w:spacing w:before="40" w:after="120"/>
              <w:jc w:val="both"/>
              <w:rPr>
                <w:rFonts w:eastAsia="Calibri"/>
                <w:sz w:val="18"/>
                <w:szCs w:val="18"/>
                <w:lang w:eastAsia="en-US"/>
              </w:rPr>
            </w:pPr>
            <w:r w:rsidRPr="001C7F15">
              <w:rPr>
                <w:rFonts w:eastAsia="Calibri"/>
                <w:sz w:val="18"/>
                <w:szCs w:val="18"/>
                <w:lang w:eastAsia="en-US"/>
              </w:rPr>
              <w:t>ScotiaTravel Clásica</w:t>
            </w:r>
          </w:p>
        </w:tc>
        <w:tc>
          <w:tcPr>
            <w:tcW w:w="1329" w:type="dxa"/>
            <w:tcBorders>
              <w:top w:val="nil"/>
              <w:left w:val="single" w:sz="4" w:space="0" w:color="auto"/>
              <w:bottom w:val="single" w:sz="4" w:space="0" w:color="auto"/>
              <w:right w:val="single" w:sz="4" w:space="0" w:color="auto"/>
            </w:tcBorders>
            <w:shd w:val="clear" w:color="auto" w:fill="auto"/>
          </w:tcPr>
          <w:p w14:paraId="12468408"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60.6</w:t>
            </w:r>
          </w:p>
        </w:tc>
        <w:tc>
          <w:tcPr>
            <w:tcW w:w="1276" w:type="dxa"/>
            <w:tcBorders>
              <w:top w:val="nil"/>
              <w:left w:val="single" w:sz="4" w:space="0" w:color="auto"/>
              <w:bottom w:val="single" w:sz="4" w:space="0" w:color="auto"/>
              <w:right w:val="single" w:sz="4" w:space="0" w:color="auto"/>
            </w:tcBorders>
            <w:shd w:val="clear" w:color="auto" w:fill="auto"/>
          </w:tcPr>
          <w:p w14:paraId="3643D8F6"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43.4</w:t>
            </w:r>
          </w:p>
        </w:tc>
        <w:tc>
          <w:tcPr>
            <w:tcW w:w="1276" w:type="dxa"/>
            <w:tcBorders>
              <w:top w:val="nil"/>
              <w:left w:val="single" w:sz="4" w:space="0" w:color="auto"/>
              <w:bottom w:val="single" w:sz="4" w:space="0" w:color="auto"/>
              <w:right w:val="single" w:sz="4" w:space="0" w:color="auto"/>
            </w:tcBorders>
            <w:shd w:val="clear" w:color="auto" w:fill="auto"/>
          </w:tcPr>
          <w:p w14:paraId="63E715BB"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600</w:t>
            </w:r>
          </w:p>
        </w:tc>
        <w:tc>
          <w:tcPr>
            <w:tcW w:w="1291" w:type="dxa"/>
            <w:tcBorders>
              <w:top w:val="nil"/>
              <w:left w:val="single" w:sz="4" w:space="0" w:color="auto"/>
              <w:bottom w:val="single" w:sz="4" w:space="0" w:color="auto"/>
              <w:right w:val="single" w:sz="4" w:space="0" w:color="auto"/>
            </w:tcBorders>
            <w:shd w:val="clear" w:color="auto" w:fill="auto"/>
          </w:tcPr>
          <w:p w14:paraId="333981E6"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6 900</w:t>
            </w:r>
          </w:p>
        </w:tc>
      </w:tr>
      <w:tr w:rsidR="001C7F15" w:rsidRPr="001C7F15" w14:paraId="4A26BDE6" w14:textId="77777777" w:rsidTr="00E823BC">
        <w:trPr>
          <w:jc w:val="center"/>
        </w:trPr>
        <w:tc>
          <w:tcPr>
            <w:tcW w:w="9173" w:type="dxa"/>
            <w:gridSpan w:val="7"/>
            <w:tcBorders>
              <w:top w:val="single" w:sz="4" w:space="0" w:color="auto"/>
              <w:left w:val="nil"/>
              <w:bottom w:val="nil"/>
              <w:right w:val="nil"/>
            </w:tcBorders>
            <w:shd w:val="clear" w:color="auto" w:fill="auto"/>
            <w:vAlign w:val="center"/>
          </w:tcPr>
          <w:p w14:paraId="69E70AB1" w14:textId="77777777" w:rsidR="001C7F15" w:rsidRPr="001C7F15" w:rsidRDefault="001C7F15" w:rsidP="001C7F15">
            <w:pPr>
              <w:spacing w:before="120"/>
              <w:ind w:left="170" w:hanging="170"/>
              <w:rPr>
                <w:rFonts w:eastAsia="Calibri"/>
                <w:bCs/>
                <w:sz w:val="20"/>
                <w:szCs w:val="20"/>
                <w:lang w:eastAsia="en-US"/>
              </w:rPr>
            </w:pPr>
            <w:r w:rsidRPr="001C7F15">
              <w:rPr>
                <w:rFonts w:eastAsia="Calibri"/>
                <w:bCs/>
                <w:sz w:val="20"/>
                <w:szCs w:val="20"/>
                <w:u w:val="single"/>
                <w:lang w:eastAsia="en-US"/>
              </w:rPr>
              <w:t>1</w:t>
            </w:r>
            <w:r w:rsidRPr="001C7F15">
              <w:rPr>
                <w:rFonts w:eastAsia="Calibri"/>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5F922282"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2/ La mediana indica que la mitad de los clientes tiene un límite de crédito por debajo del valor reportado.</w:t>
            </w:r>
          </w:p>
          <w:p w14:paraId="0442B8E3" w14:textId="77777777" w:rsidR="001C7F15" w:rsidRPr="001C7F15" w:rsidRDefault="001C7F15" w:rsidP="001C7F15">
            <w:pPr>
              <w:ind w:left="170" w:hanging="170"/>
              <w:rPr>
                <w:rFonts w:eastAsia="Calibri"/>
                <w:bCs/>
                <w:sz w:val="20"/>
                <w:szCs w:val="20"/>
                <w:lang w:eastAsia="en-US"/>
              </w:rPr>
            </w:pPr>
            <w:r w:rsidRPr="001C7F15">
              <w:rPr>
                <w:rFonts w:eastAsia="Calibri"/>
                <w:bCs/>
                <w:sz w:val="20"/>
                <w:szCs w:val="20"/>
                <w:lang w:eastAsia="en-US"/>
              </w:rPr>
              <w:t>3/ A pesar la fusión de Banorte e Ixe tarjetas, sus productos de tarjeta de crédito se siguen ofreciendo de forma separada.</w:t>
            </w:r>
          </w:p>
          <w:p w14:paraId="0EBB7FE9"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4B4FF97F" w14:textId="77777777" w:rsidR="001C7F15" w:rsidRPr="001C7F15" w:rsidRDefault="001C7F15" w:rsidP="001C7F15">
      <w:pPr>
        <w:spacing w:after="360" w:line="360" w:lineRule="auto"/>
        <w:ind w:right="-159"/>
        <w:jc w:val="both"/>
        <w:rPr>
          <w:rFonts w:eastAsia="Times New Roman"/>
          <w:bCs/>
          <w:sz w:val="26"/>
          <w:szCs w:val="26"/>
          <w:lang w:val="es-ES"/>
        </w:rPr>
      </w:pPr>
    </w:p>
    <w:p w14:paraId="562347EA" w14:textId="77777777" w:rsidR="001C7F15" w:rsidRPr="001C7F15" w:rsidRDefault="001C7F15" w:rsidP="001C7F15">
      <w:pPr>
        <w:spacing w:after="360" w:line="360" w:lineRule="auto"/>
        <w:ind w:right="-159"/>
        <w:jc w:val="both"/>
        <w:rPr>
          <w:rFonts w:eastAsia="Times New Roman"/>
          <w:bCs/>
          <w:sz w:val="26"/>
          <w:szCs w:val="26"/>
          <w:lang w:val="es-ES"/>
        </w:rPr>
      </w:pPr>
    </w:p>
    <w:p w14:paraId="228AC07D" w14:textId="77777777" w:rsidR="001C7F15" w:rsidRPr="001C7F15" w:rsidRDefault="001C7F15" w:rsidP="001C7F15">
      <w:pPr>
        <w:spacing w:after="360" w:line="360" w:lineRule="auto"/>
        <w:ind w:right="-159"/>
        <w:jc w:val="both"/>
        <w:rPr>
          <w:rFonts w:eastAsia="Times New Roman"/>
          <w:bCs/>
          <w:sz w:val="26"/>
          <w:szCs w:val="26"/>
          <w:lang w:val="es-ES"/>
        </w:rPr>
      </w:pPr>
    </w:p>
    <w:p w14:paraId="40074524" w14:textId="77777777" w:rsidR="001C7F15" w:rsidRPr="001C7F15" w:rsidRDefault="001C7F15" w:rsidP="001C7F15">
      <w:pPr>
        <w:spacing w:after="360" w:line="360" w:lineRule="auto"/>
        <w:ind w:right="-159"/>
        <w:jc w:val="both"/>
        <w:rPr>
          <w:rFonts w:eastAsia="Times New Roman"/>
          <w:bCs/>
          <w:sz w:val="26"/>
          <w:szCs w:val="26"/>
          <w:lang w:val="es-ES"/>
        </w:rPr>
      </w:pPr>
    </w:p>
    <w:p w14:paraId="71F445B9" w14:textId="77777777" w:rsidR="001C7F15" w:rsidRPr="001C7F15" w:rsidRDefault="001C7F15" w:rsidP="001C7F15">
      <w:pPr>
        <w:spacing w:after="360" w:line="360" w:lineRule="auto"/>
        <w:ind w:right="-159"/>
        <w:jc w:val="both"/>
        <w:rPr>
          <w:rFonts w:eastAsia="Times New Roman"/>
          <w:bCs/>
          <w:sz w:val="26"/>
          <w:szCs w:val="26"/>
          <w:lang w:val="es-ES"/>
        </w:rPr>
      </w:pPr>
    </w:p>
    <w:tbl>
      <w:tblPr>
        <w:tblW w:w="9173" w:type="dxa"/>
        <w:jc w:val="center"/>
        <w:tblLook w:val="04A0" w:firstRow="1" w:lastRow="0" w:firstColumn="1" w:lastColumn="0" w:noHBand="0" w:noVBand="1"/>
      </w:tblPr>
      <w:tblGrid>
        <w:gridCol w:w="1668"/>
        <w:gridCol w:w="2268"/>
        <w:gridCol w:w="1335"/>
        <w:gridCol w:w="1276"/>
        <w:gridCol w:w="1276"/>
        <w:gridCol w:w="1350"/>
      </w:tblGrid>
      <w:tr w:rsidR="001C7F15" w:rsidRPr="001C7F15" w14:paraId="54399AB1" w14:textId="77777777" w:rsidTr="001C7F15">
        <w:trPr>
          <w:jc w:val="center"/>
        </w:trPr>
        <w:tc>
          <w:tcPr>
            <w:tcW w:w="9173" w:type="dxa"/>
            <w:gridSpan w:val="6"/>
            <w:tcBorders>
              <w:top w:val="nil"/>
              <w:left w:val="nil"/>
              <w:bottom w:val="single" w:sz="4" w:space="0" w:color="auto"/>
              <w:right w:val="nil"/>
            </w:tcBorders>
            <w:shd w:val="clear" w:color="auto" w:fill="auto"/>
            <w:vAlign w:val="center"/>
          </w:tcPr>
          <w:p w14:paraId="4323CDA2"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PRODUCTOS REPRESENTATIVOS POR INSTITUCIÓN, PARA CLIENTES NO TOTALEROS EN EL SEGMENTO DE TARJETAS “CLÁSICAS” O EQUIVALENTES</w:t>
            </w:r>
          </w:p>
          <w:p w14:paraId="4F948A68"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t xml:space="preserve">CON LÍMITE DE CRÉDITO ENTRE 8 MIL UNO Y 15 MIL PESOS </w:t>
            </w:r>
            <w:r w:rsidRPr="001C7F15">
              <w:rPr>
                <w:rFonts w:eastAsia="Calibri"/>
                <w:b/>
                <w:bCs/>
                <w:sz w:val="22"/>
                <w:szCs w:val="22"/>
                <w:u w:val="single"/>
                <w:vertAlign w:val="superscript"/>
                <w:lang w:eastAsia="en-US"/>
              </w:rPr>
              <w:t>1</w:t>
            </w:r>
            <w:r w:rsidRPr="001C7F15">
              <w:rPr>
                <w:rFonts w:eastAsia="Calibri"/>
                <w:b/>
                <w:bCs/>
                <w:sz w:val="22"/>
                <w:szCs w:val="22"/>
                <w:vertAlign w:val="superscript"/>
                <w:lang w:eastAsia="en-US"/>
              </w:rPr>
              <w:t>/</w:t>
            </w:r>
          </w:p>
          <w:p w14:paraId="46EB8427" w14:textId="48612036" w:rsidR="001C7F15" w:rsidRPr="001C7F15" w:rsidRDefault="001C7F15" w:rsidP="001C7F15">
            <w:pPr>
              <w:jc w:val="center"/>
              <w:rPr>
                <w:rFonts w:eastAsia="Calibri"/>
                <w:b/>
                <w:bCs/>
                <w:sz w:val="20"/>
                <w:szCs w:val="20"/>
                <w:lang w:eastAsia="en-US"/>
              </w:rPr>
            </w:pPr>
            <w:r w:rsidRPr="001C7F15">
              <w:rPr>
                <w:rFonts w:eastAsia="Calibri"/>
                <w:b/>
                <w:bCs/>
                <w:sz w:val="22"/>
                <w:szCs w:val="22"/>
                <w:lang w:eastAsia="en-US"/>
              </w:rPr>
              <w:t>-Datos a agosto de 2014-</w:t>
            </w:r>
          </w:p>
        </w:tc>
      </w:tr>
      <w:tr w:rsidR="001C7F15" w:rsidRPr="001C7F15" w14:paraId="2044504A" w14:textId="77777777" w:rsidTr="00E823BC">
        <w:trPr>
          <w:jc w:val="center"/>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tcPr>
          <w:p w14:paraId="40F05FED"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Institución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09CE8F4"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Producto</w:t>
            </w:r>
          </w:p>
        </w:tc>
        <w:tc>
          <w:tcPr>
            <w:tcW w:w="1335" w:type="dxa"/>
            <w:tcBorders>
              <w:top w:val="single" w:sz="4" w:space="0" w:color="auto"/>
              <w:left w:val="single" w:sz="4" w:space="0" w:color="auto"/>
              <w:bottom w:val="single" w:sz="4" w:space="0" w:color="auto"/>
              <w:right w:val="single" w:sz="4" w:space="0" w:color="auto"/>
            </w:tcBorders>
            <w:shd w:val="clear" w:color="auto" w:fill="auto"/>
            <w:vAlign w:val="center"/>
          </w:tcPr>
          <w:p w14:paraId="7EA1BB05"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CAT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909B9D"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Tasa efectiva promedio ponderada</w:t>
            </w:r>
          </w:p>
          <w:p w14:paraId="4FAEA5FC"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22871D"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Anualidad (pesos)</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9A66A2F"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 xml:space="preserve">Límite de crédito (mediana en pesos) </w:t>
            </w:r>
            <w:r w:rsidRPr="001C7F15">
              <w:rPr>
                <w:rFonts w:eastAsia="Calibri"/>
                <w:b/>
                <w:sz w:val="22"/>
                <w:szCs w:val="22"/>
                <w:u w:val="single"/>
                <w:vertAlign w:val="superscript"/>
                <w:lang w:eastAsia="en-US"/>
              </w:rPr>
              <w:t>2</w:t>
            </w:r>
            <w:r w:rsidRPr="001C7F15">
              <w:rPr>
                <w:rFonts w:eastAsia="Calibri"/>
                <w:b/>
                <w:sz w:val="22"/>
                <w:szCs w:val="22"/>
                <w:vertAlign w:val="superscript"/>
                <w:lang w:eastAsia="en-US"/>
              </w:rPr>
              <w:t>/</w:t>
            </w:r>
          </w:p>
        </w:tc>
      </w:tr>
      <w:tr w:rsidR="001C7F15" w:rsidRPr="001C7F15" w14:paraId="6F09319E" w14:textId="77777777" w:rsidTr="00E823BC">
        <w:trPr>
          <w:jc w:val="center"/>
        </w:trPr>
        <w:tc>
          <w:tcPr>
            <w:tcW w:w="917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7C8D7BC"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al menos 0.5% del total de tarjetas de este segmento</w:t>
            </w:r>
          </w:p>
        </w:tc>
      </w:tr>
      <w:tr w:rsidR="001C7F15" w:rsidRPr="001C7F15" w14:paraId="3EF5F0D4" w14:textId="77777777" w:rsidTr="00E823BC">
        <w:trPr>
          <w:jc w:val="center"/>
        </w:trPr>
        <w:tc>
          <w:tcPr>
            <w:tcW w:w="1668" w:type="dxa"/>
            <w:tcBorders>
              <w:top w:val="single" w:sz="4" w:space="0" w:color="auto"/>
              <w:left w:val="single" w:sz="4" w:space="0" w:color="auto"/>
              <w:bottom w:val="nil"/>
              <w:right w:val="single" w:sz="4" w:space="0" w:color="auto"/>
            </w:tcBorders>
            <w:shd w:val="clear" w:color="auto" w:fill="auto"/>
          </w:tcPr>
          <w:p w14:paraId="4EC17102" w14:textId="77777777" w:rsidR="001C7F15" w:rsidRPr="001C7F15" w:rsidRDefault="001C7F15" w:rsidP="001C7F15">
            <w:pPr>
              <w:autoSpaceDE w:val="0"/>
              <w:autoSpaceDN w:val="0"/>
              <w:adjustRightInd w:val="0"/>
              <w:spacing w:before="120" w:after="40"/>
              <w:rPr>
                <w:rFonts w:eastAsia="Calibri"/>
                <w:bCs/>
                <w:sz w:val="18"/>
                <w:szCs w:val="18"/>
                <w:lang w:eastAsia="en-US"/>
              </w:rPr>
            </w:pPr>
            <w:r w:rsidRPr="001C7F15">
              <w:rPr>
                <w:rFonts w:eastAsia="Calibri"/>
                <w:bCs/>
                <w:sz w:val="18"/>
                <w:szCs w:val="18"/>
                <w:lang w:eastAsia="en-US"/>
              </w:rPr>
              <w:t>Santander</w:t>
            </w:r>
          </w:p>
        </w:tc>
        <w:tc>
          <w:tcPr>
            <w:tcW w:w="2268" w:type="dxa"/>
            <w:tcBorders>
              <w:top w:val="single" w:sz="4" w:space="0" w:color="auto"/>
              <w:left w:val="single" w:sz="4" w:space="0" w:color="auto"/>
              <w:bottom w:val="nil"/>
              <w:right w:val="single" w:sz="4" w:space="0" w:color="auto"/>
            </w:tcBorders>
            <w:shd w:val="clear" w:color="auto" w:fill="auto"/>
          </w:tcPr>
          <w:p w14:paraId="6E19483E" w14:textId="77777777" w:rsidR="001C7F15" w:rsidRPr="001C7F15" w:rsidRDefault="001C7F15" w:rsidP="001C7F15">
            <w:pPr>
              <w:autoSpaceDE w:val="0"/>
              <w:autoSpaceDN w:val="0"/>
              <w:adjustRightInd w:val="0"/>
              <w:spacing w:before="120" w:after="40"/>
              <w:rPr>
                <w:rFonts w:eastAsia="Calibri"/>
                <w:sz w:val="18"/>
                <w:szCs w:val="18"/>
                <w:lang w:eastAsia="en-US"/>
              </w:rPr>
            </w:pPr>
            <w:r w:rsidRPr="001C7F15">
              <w:rPr>
                <w:rFonts w:eastAsia="Calibri"/>
                <w:sz w:val="18"/>
                <w:szCs w:val="18"/>
                <w:lang w:eastAsia="en-US"/>
              </w:rPr>
              <w:t>Santander Light</w:t>
            </w:r>
          </w:p>
        </w:tc>
        <w:tc>
          <w:tcPr>
            <w:tcW w:w="1335" w:type="dxa"/>
            <w:tcBorders>
              <w:top w:val="single" w:sz="4" w:space="0" w:color="auto"/>
              <w:left w:val="single" w:sz="4" w:space="0" w:color="auto"/>
              <w:bottom w:val="nil"/>
              <w:right w:val="single" w:sz="4" w:space="0" w:color="auto"/>
            </w:tcBorders>
            <w:shd w:val="clear" w:color="auto" w:fill="auto"/>
          </w:tcPr>
          <w:p w14:paraId="5AF56FA7" w14:textId="77777777" w:rsidR="001C7F15" w:rsidRPr="001C7F15" w:rsidRDefault="001C7F15" w:rsidP="001C7F15">
            <w:pPr>
              <w:autoSpaceDE w:val="0"/>
              <w:autoSpaceDN w:val="0"/>
              <w:adjustRightInd w:val="0"/>
              <w:spacing w:before="120" w:after="40"/>
              <w:ind w:right="284"/>
              <w:jc w:val="right"/>
              <w:rPr>
                <w:rFonts w:eastAsia="Calibri"/>
                <w:sz w:val="18"/>
                <w:szCs w:val="18"/>
                <w:lang w:eastAsia="en-US"/>
              </w:rPr>
            </w:pPr>
            <w:r w:rsidRPr="001C7F15">
              <w:rPr>
                <w:rFonts w:eastAsia="Calibri"/>
                <w:sz w:val="18"/>
                <w:szCs w:val="18"/>
                <w:lang w:eastAsia="en-US"/>
              </w:rPr>
              <w:t>36.0</w:t>
            </w:r>
          </w:p>
        </w:tc>
        <w:tc>
          <w:tcPr>
            <w:tcW w:w="1276" w:type="dxa"/>
            <w:tcBorders>
              <w:top w:val="single" w:sz="4" w:space="0" w:color="auto"/>
              <w:left w:val="single" w:sz="4" w:space="0" w:color="auto"/>
              <w:bottom w:val="nil"/>
              <w:right w:val="single" w:sz="4" w:space="0" w:color="auto"/>
            </w:tcBorders>
            <w:shd w:val="clear" w:color="auto" w:fill="auto"/>
          </w:tcPr>
          <w:p w14:paraId="14C940B3" w14:textId="77777777" w:rsidR="001C7F15" w:rsidRPr="001C7F15" w:rsidRDefault="001C7F15" w:rsidP="001C7F15">
            <w:pPr>
              <w:autoSpaceDE w:val="0"/>
              <w:autoSpaceDN w:val="0"/>
              <w:adjustRightInd w:val="0"/>
              <w:spacing w:before="120" w:after="40"/>
              <w:ind w:right="284"/>
              <w:jc w:val="right"/>
              <w:rPr>
                <w:rFonts w:eastAsia="Calibri"/>
                <w:sz w:val="18"/>
                <w:szCs w:val="18"/>
                <w:lang w:eastAsia="en-US"/>
              </w:rPr>
            </w:pPr>
            <w:r w:rsidRPr="001C7F15">
              <w:rPr>
                <w:rFonts w:eastAsia="Calibri"/>
                <w:sz w:val="18"/>
                <w:szCs w:val="18"/>
                <w:lang w:eastAsia="en-US"/>
              </w:rPr>
              <w:t>27.1</w:t>
            </w:r>
          </w:p>
        </w:tc>
        <w:tc>
          <w:tcPr>
            <w:tcW w:w="1276" w:type="dxa"/>
            <w:tcBorders>
              <w:top w:val="single" w:sz="4" w:space="0" w:color="auto"/>
              <w:left w:val="single" w:sz="4" w:space="0" w:color="auto"/>
              <w:bottom w:val="nil"/>
              <w:right w:val="single" w:sz="4" w:space="0" w:color="auto"/>
            </w:tcBorders>
            <w:shd w:val="clear" w:color="auto" w:fill="auto"/>
          </w:tcPr>
          <w:p w14:paraId="07C3BD24" w14:textId="77777777" w:rsidR="001C7F15" w:rsidRPr="001C7F15" w:rsidRDefault="001C7F15" w:rsidP="001C7F15">
            <w:pPr>
              <w:autoSpaceDE w:val="0"/>
              <w:autoSpaceDN w:val="0"/>
              <w:adjustRightInd w:val="0"/>
              <w:spacing w:before="120" w:after="40"/>
              <w:ind w:right="284"/>
              <w:jc w:val="right"/>
              <w:rPr>
                <w:rFonts w:eastAsia="Calibri"/>
                <w:sz w:val="18"/>
                <w:szCs w:val="18"/>
                <w:lang w:eastAsia="en-US"/>
              </w:rPr>
            </w:pPr>
            <w:r w:rsidRPr="001C7F15">
              <w:rPr>
                <w:rFonts w:eastAsia="Calibri"/>
                <w:sz w:val="18"/>
                <w:szCs w:val="18"/>
                <w:lang w:eastAsia="en-US"/>
              </w:rPr>
              <w:t>530</w:t>
            </w:r>
          </w:p>
        </w:tc>
        <w:tc>
          <w:tcPr>
            <w:tcW w:w="1350" w:type="dxa"/>
            <w:tcBorders>
              <w:top w:val="single" w:sz="4" w:space="0" w:color="auto"/>
              <w:left w:val="single" w:sz="4" w:space="0" w:color="auto"/>
              <w:bottom w:val="nil"/>
              <w:right w:val="single" w:sz="4" w:space="0" w:color="auto"/>
            </w:tcBorders>
            <w:shd w:val="clear" w:color="auto" w:fill="auto"/>
          </w:tcPr>
          <w:p w14:paraId="7B3BC4B3" w14:textId="77777777" w:rsidR="001C7F15" w:rsidRPr="001C7F15" w:rsidRDefault="001C7F15" w:rsidP="001C7F15">
            <w:pPr>
              <w:autoSpaceDE w:val="0"/>
              <w:autoSpaceDN w:val="0"/>
              <w:adjustRightInd w:val="0"/>
              <w:spacing w:before="120" w:after="40"/>
              <w:ind w:right="284"/>
              <w:jc w:val="right"/>
              <w:rPr>
                <w:rFonts w:eastAsia="Calibri"/>
                <w:sz w:val="18"/>
                <w:szCs w:val="18"/>
                <w:lang w:eastAsia="en-US"/>
              </w:rPr>
            </w:pPr>
            <w:r w:rsidRPr="001C7F15">
              <w:rPr>
                <w:rFonts w:eastAsia="Calibri"/>
                <w:sz w:val="18"/>
                <w:szCs w:val="18"/>
                <w:lang w:eastAsia="en-US"/>
              </w:rPr>
              <w:t>10 350</w:t>
            </w:r>
          </w:p>
        </w:tc>
      </w:tr>
      <w:tr w:rsidR="001C7F15" w:rsidRPr="001C7F15" w14:paraId="62CCB0F9"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7C24BAC5"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Inbursa</w:t>
            </w:r>
          </w:p>
        </w:tc>
        <w:tc>
          <w:tcPr>
            <w:tcW w:w="2268" w:type="dxa"/>
            <w:tcBorders>
              <w:top w:val="nil"/>
              <w:left w:val="single" w:sz="4" w:space="0" w:color="auto"/>
              <w:bottom w:val="nil"/>
              <w:right w:val="single" w:sz="4" w:space="0" w:color="auto"/>
            </w:tcBorders>
            <w:shd w:val="clear" w:color="auto" w:fill="auto"/>
          </w:tcPr>
          <w:p w14:paraId="281E1BE4"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Clásica Inbursa</w:t>
            </w:r>
          </w:p>
        </w:tc>
        <w:tc>
          <w:tcPr>
            <w:tcW w:w="1335" w:type="dxa"/>
            <w:tcBorders>
              <w:top w:val="nil"/>
              <w:left w:val="single" w:sz="4" w:space="0" w:color="auto"/>
              <w:bottom w:val="nil"/>
              <w:right w:val="single" w:sz="4" w:space="0" w:color="auto"/>
            </w:tcBorders>
            <w:shd w:val="clear" w:color="auto" w:fill="auto"/>
          </w:tcPr>
          <w:p w14:paraId="2620CB47"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42.1</w:t>
            </w:r>
          </w:p>
        </w:tc>
        <w:tc>
          <w:tcPr>
            <w:tcW w:w="1276" w:type="dxa"/>
            <w:tcBorders>
              <w:top w:val="nil"/>
              <w:left w:val="single" w:sz="4" w:space="0" w:color="auto"/>
              <w:bottom w:val="nil"/>
              <w:right w:val="single" w:sz="4" w:space="0" w:color="auto"/>
            </w:tcBorders>
            <w:shd w:val="clear" w:color="auto" w:fill="auto"/>
          </w:tcPr>
          <w:p w14:paraId="53232747"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35.7</w:t>
            </w:r>
          </w:p>
        </w:tc>
        <w:tc>
          <w:tcPr>
            <w:tcW w:w="1276" w:type="dxa"/>
            <w:tcBorders>
              <w:top w:val="nil"/>
              <w:left w:val="single" w:sz="4" w:space="0" w:color="auto"/>
              <w:bottom w:val="nil"/>
              <w:right w:val="single" w:sz="4" w:space="0" w:color="auto"/>
            </w:tcBorders>
            <w:shd w:val="clear" w:color="auto" w:fill="auto"/>
          </w:tcPr>
          <w:p w14:paraId="06A6A963"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0</w:t>
            </w:r>
          </w:p>
        </w:tc>
        <w:tc>
          <w:tcPr>
            <w:tcW w:w="1350" w:type="dxa"/>
            <w:tcBorders>
              <w:top w:val="nil"/>
              <w:left w:val="single" w:sz="4" w:space="0" w:color="auto"/>
              <w:bottom w:val="nil"/>
              <w:right w:val="single" w:sz="4" w:space="0" w:color="auto"/>
            </w:tcBorders>
            <w:shd w:val="clear" w:color="auto" w:fill="auto"/>
          </w:tcPr>
          <w:p w14:paraId="42BCDF3B"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11 000</w:t>
            </w:r>
          </w:p>
        </w:tc>
      </w:tr>
      <w:tr w:rsidR="001C7F15" w:rsidRPr="001C7F15" w14:paraId="00F1426D"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61AE38CA"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SF Soriana</w:t>
            </w:r>
          </w:p>
        </w:tc>
        <w:tc>
          <w:tcPr>
            <w:tcW w:w="2268" w:type="dxa"/>
            <w:tcBorders>
              <w:top w:val="nil"/>
              <w:left w:val="single" w:sz="4" w:space="0" w:color="auto"/>
              <w:bottom w:val="nil"/>
              <w:right w:val="single" w:sz="4" w:space="0" w:color="auto"/>
            </w:tcBorders>
            <w:shd w:val="clear" w:color="auto" w:fill="auto"/>
          </w:tcPr>
          <w:p w14:paraId="73C592A5"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Soriana - Banamex</w:t>
            </w:r>
          </w:p>
        </w:tc>
        <w:tc>
          <w:tcPr>
            <w:tcW w:w="1335" w:type="dxa"/>
            <w:tcBorders>
              <w:top w:val="nil"/>
              <w:left w:val="single" w:sz="4" w:space="0" w:color="auto"/>
              <w:bottom w:val="nil"/>
              <w:right w:val="single" w:sz="4" w:space="0" w:color="auto"/>
            </w:tcBorders>
            <w:shd w:val="clear" w:color="auto" w:fill="auto"/>
          </w:tcPr>
          <w:p w14:paraId="7D97A80B"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51.0</w:t>
            </w:r>
          </w:p>
        </w:tc>
        <w:tc>
          <w:tcPr>
            <w:tcW w:w="1276" w:type="dxa"/>
            <w:tcBorders>
              <w:top w:val="nil"/>
              <w:left w:val="single" w:sz="4" w:space="0" w:color="auto"/>
              <w:bottom w:val="nil"/>
              <w:right w:val="single" w:sz="4" w:space="0" w:color="auto"/>
            </w:tcBorders>
            <w:shd w:val="clear" w:color="auto" w:fill="auto"/>
          </w:tcPr>
          <w:p w14:paraId="3E16A19C"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37.8</w:t>
            </w:r>
          </w:p>
        </w:tc>
        <w:tc>
          <w:tcPr>
            <w:tcW w:w="1276" w:type="dxa"/>
            <w:tcBorders>
              <w:top w:val="nil"/>
              <w:left w:val="single" w:sz="4" w:space="0" w:color="auto"/>
              <w:bottom w:val="nil"/>
              <w:right w:val="single" w:sz="4" w:space="0" w:color="auto"/>
            </w:tcBorders>
            <w:shd w:val="clear" w:color="auto" w:fill="auto"/>
          </w:tcPr>
          <w:p w14:paraId="0542C201"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520</w:t>
            </w:r>
          </w:p>
        </w:tc>
        <w:tc>
          <w:tcPr>
            <w:tcW w:w="1350" w:type="dxa"/>
            <w:tcBorders>
              <w:top w:val="nil"/>
              <w:left w:val="single" w:sz="4" w:space="0" w:color="auto"/>
              <w:bottom w:val="nil"/>
              <w:right w:val="single" w:sz="4" w:space="0" w:color="auto"/>
            </w:tcBorders>
            <w:shd w:val="clear" w:color="auto" w:fill="auto"/>
          </w:tcPr>
          <w:p w14:paraId="6D195C27"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11 000</w:t>
            </w:r>
          </w:p>
        </w:tc>
      </w:tr>
      <w:tr w:rsidR="001C7F15" w:rsidRPr="001C7F15" w14:paraId="19F7C18E"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428E059F"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Banamex</w:t>
            </w:r>
          </w:p>
        </w:tc>
        <w:tc>
          <w:tcPr>
            <w:tcW w:w="2268" w:type="dxa"/>
            <w:tcBorders>
              <w:top w:val="nil"/>
              <w:left w:val="single" w:sz="4" w:space="0" w:color="auto"/>
              <w:bottom w:val="nil"/>
              <w:right w:val="single" w:sz="4" w:space="0" w:color="auto"/>
            </w:tcBorders>
            <w:shd w:val="clear" w:color="auto" w:fill="auto"/>
          </w:tcPr>
          <w:p w14:paraId="5D7A7D2D"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Clásica Internacional</w:t>
            </w:r>
          </w:p>
        </w:tc>
        <w:tc>
          <w:tcPr>
            <w:tcW w:w="1335" w:type="dxa"/>
            <w:tcBorders>
              <w:top w:val="nil"/>
              <w:left w:val="single" w:sz="4" w:space="0" w:color="auto"/>
              <w:bottom w:val="nil"/>
              <w:right w:val="single" w:sz="4" w:space="0" w:color="auto"/>
            </w:tcBorders>
            <w:shd w:val="clear" w:color="auto" w:fill="auto"/>
          </w:tcPr>
          <w:p w14:paraId="3F21198A"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52.5</w:t>
            </w:r>
          </w:p>
        </w:tc>
        <w:tc>
          <w:tcPr>
            <w:tcW w:w="1276" w:type="dxa"/>
            <w:tcBorders>
              <w:top w:val="nil"/>
              <w:left w:val="single" w:sz="4" w:space="0" w:color="auto"/>
              <w:bottom w:val="nil"/>
              <w:right w:val="single" w:sz="4" w:space="0" w:color="auto"/>
            </w:tcBorders>
            <w:shd w:val="clear" w:color="auto" w:fill="auto"/>
          </w:tcPr>
          <w:p w14:paraId="73DD9613"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38.2</w:t>
            </w:r>
          </w:p>
        </w:tc>
        <w:tc>
          <w:tcPr>
            <w:tcW w:w="1276" w:type="dxa"/>
            <w:tcBorders>
              <w:top w:val="nil"/>
              <w:left w:val="single" w:sz="4" w:space="0" w:color="auto"/>
              <w:bottom w:val="nil"/>
              <w:right w:val="single" w:sz="4" w:space="0" w:color="auto"/>
            </w:tcBorders>
            <w:shd w:val="clear" w:color="auto" w:fill="auto"/>
          </w:tcPr>
          <w:p w14:paraId="16D35A08"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600</w:t>
            </w:r>
          </w:p>
        </w:tc>
        <w:tc>
          <w:tcPr>
            <w:tcW w:w="1350" w:type="dxa"/>
            <w:tcBorders>
              <w:top w:val="nil"/>
              <w:left w:val="single" w:sz="4" w:space="0" w:color="auto"/>
              <w:bottom w:val="nil"/>
              <w:right w:val="single" w:sz="4" w:space="0" w:color="auto"/>
            </w:tcBorders>
            <w:shd w:val="clear" w:color="auto" w:fill="auto"/>
          </w:tcPr>
          <w:p w14:paraId="45319396"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12 000</w:t>
            </w:r>
          </w:p>
        </w:tc>
      </w:tr>
      <w:tr w:rsidR="001C7F15" w:rsidRPr="001C7F15" w14:paraId="0BA6D700"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50C912D1"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Banco Walmart</w:t>
            </w:r>
          </w:p>
        </w:tc>
        <w:tc>
          <w:tcPr>
            <w:tcW w:w="2268" w:type="dxa"/>
            <w:tcBorders>
              <w:top w:val="nil"/>
              <w:left w:val="single" w:sz="4" w:space="0" w:color="auto"/>
              <w:bottom w:val="nil"/>
              <w:right w:val="single" w:sz="4" w:space="0" w:color="auto"/>
            </w:tcBorders>
            <w:shd w:val="clear" w:color="auto" w:fill="auto"/>
          </w:tcPr>
          <w:p w14:paraId="4CE3B889"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Súper Tarjeta de Crédito</w:t>
            </w:r>
          </w:p>
        </w:tc>
        <w:tc>
          <w:tcPr>
            <w:tcW w:w="1335" w:type="dxa"/>
            <w:tcBorders>
              <w:top w:val="nil"/>
              <w:left w:val="single" w:sz="4" w:space="0" w:color="auto"/>
              <w:bottom w:val="nil"/>
              <w:right w:val="single" w:sz="4" w:space="0" w:color="auto"/>
            </w:tcBorders>
            <w:shd w:val="clear" w:color="auto" w:fill="auto"/>
          </w:tcPr>
          <w:p w14:paraId="572B4D17"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53.9</w:t>
            </w:r>
          </w:p>
        </w:tc>
        <w:tc>
          <w:tcPr>
            <w:tcW w:w="1276" w:type="dxa"/>
            <w:tcBorders>
              <w:top w:val="nil"/>
              <w:left w:val="single" w:sz="4" w:space="0" w:color="auto"/>
              <w:bottom w:val="nil"/>
              <w:right w:val="single" w:sz="4" w:space="0" w:color="auto"/>
            </w:tcBorders>
            <w:shd w:val="clear" w:color="auto" w:fill="auto"/>
          </w:tcPr>
          <w:p w14:paraId="333945B8"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39.9</w:t>
            </w:r>
          </w:p>
        </w:tc>
        <w:tc>
          <w:tcPr>
            <w:tcW w:w="1276" w:type="dxa"/>
            <w:tcBorders>
              <w:top w:val="nil"/>
              <w:left w:val="single" w:sz="4" w:space="0" w:color="auto"/>
              <w:bottom w:val="nil"/>
              <w:right w:val="single" w:sz="4" w:space="0" w:color="auto"/>
            </w:tcBorders>
            <w:shd w:val="clear" w:color="auto" w:fill="auto"/>
          </w:tcPr>
          <w:p w14:paraId="37347FEE"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500</w:t>
            </w:r>
          </w:p>
        </w:tc>
        <w:tc>
          <w:tcPr>
            <w:tcW w:w="1350" w:type="dxa"/>
            <w:tcBorders>
              <w:top w:val="nil"/>
              <w:left w:val="single" w:sz="4" w:space="0" w:color="auto"/>
              <w:bottom w:val="nil"/>
              <w:right w:val="single" w:sz="4" w:space="0" w:color="auto"/>
            </w:tcBorders>
            <w:shd w:val="clear" w:color="auto" w:fill="auto"/>
          </w:tcPr>
          <w:p w14:paraId="741CB05D"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10 700</w:t>
            </w:r>
          </w:p>
        </w:tc>
      </w:tr>
      <w:tr w:rsidR="001C7F15" w:rsidRPr="001C7F15" w14:paraId="1CFB518B"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1A92CE2E"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 xml:space="preserve">Banorte </w:t>
            </w:r>
            <w:r w:rsidRPr="001C7F15">
              <w:rPr>
                <w:rFonts w:eastAsia="Calibri"/>
                <w:bCs/>
                <w:sz w:val="18"/>
                <w:szCs w:val="18"/>
                <w:u w:val="single"/>
                <w:vertAlign w:val="superscript"/>
                <w:lang w:eastAsia="en-US"/>
              </w:rPr>
              <w:t>3</w:t>
            </w:r>
            <w:r w:rsidRPr="001C7F15">
              <w:rPr>
                <w:rFonts w:eastAsia="Calibri"/>
                <w:bCs/>
                <w:sz w:val="18"/>
                <w:szCs w:val="18"/>
                <w:vertAlign w:val="superscript"/>
                <w:lang w:eastAsia="en-US"/>
              </w:rPr>
              <w:t>/</w:t>
            </w:r>
          </w:p>
        </w:tc>
        <w:tc>
          <w:tcPr>
            <w:tcW w:w="2268" w:type="dxa"/>
            <w:tcBorders>
              <w:top w:val="nil"/>
              <w:left w:val="single" w:sz="4" w:space="0" w:color="auto"/>
              <w:bottom w:val="nil"/>
              <w:right w:val="single" w:sz="4" w:space="0" w:color="auto"/>
            </w:tcBorders>
            <w:shd w:val="clear" w:color="auto" w:fill="auto"/>
          </w:tcPr>
          <w:p w14:paraId="0CFC7083"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Clásica</w:t>
            </w:r>
          </w:p>
        </w:tc>
        <w:tc>
          <w:tcPr>
            <w:tcW w:w="1335" w:type="dxa"/>
            <w:tcBorders>
              <w:top w:val="nil"/>
              <w:left w:val="single" w:sz="4" w:space="0" w:color="auto"/>
              <w:bottom w:val="nil"/>
              <w:right w:val="single" w:sz="4" w:space="0" w:color="auto"/>
            </w:tcBorders>
            <w:shd w:val="clear" w:color="auto" w:fill="auto"/>
          </w:tcPr>
          <w:p w14:paraId="4B75151A"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54.2</w:t>
            </w:r>
          </w:p>
        </w:tc>
        <w:tc>
          <w:tcPr>
            <w:tcW w:w="1276" w:type="dxa"/>
            <w:tcBorders>
              <w:top w:val="nil"/>
              <w:left w:val="single" w:sz="4" w:space="0" w:color="auto"/>
              <w:bottom w:val="nil"/>
              <w:right w:val="single" w:sz="4" w:space="0" w:color="auto"/>
            </w:tcBorders>
            <w:shd w:val="clear" w:color="auto" w:fill="auto"/>
          </w:tcPr>
          <w:p w14:paraId="65B7532B"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39.8</w:t>
            </w:r>
          </w:p>
        </w:tc>
        <w:tc>
          <w:tcPr>
            <w:tcW w:w="1276" w:type="dxa"/>
            <w:tcBorders>
              <w:top w:val="nil"/>
              <w:left w:val="single" w:sz="4" w:space="0" w:color="auto"/>
              <w:bottom w:val="nil"/>
              <w:right w:val="single" w:sz="4" w:space="0" w:color="auto"/>
            </w:tcBorders>
            <w:shd w:val="clear" w:color="auto" w:fill="auto"/>
          </w:tcPr>
          <w:p w14:paraId="44FE98D3"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530</w:t>
            </w:r>
          </w:p>
        </w:tc>
        <w:tc>
          <w:tcPr>
            <w:tcW w:w="1350" w:type="dxa"/>
            <w:tcBorders>
              <w:top w:val="nil"/>
              <w:left w:val="single" w:sz="4" w:space="0" w:color="auto"/>
              <w:bottom w:val="nil"/>
              <w:right w:val="single" w:sz="4" w:space="0" w:color="auto"/>
            </w:tcBorders>
            <w:shd w:val="clear" w:color="auto" w:fill="auto"/>
          </w:tcPr>
          <w:p w14:paraId="7639A852"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11 000</w:t>
            </w:r>
          </w:p>
        </w:tc>
      </w:tr>
      <w:tr w:rsidR="001C7F15" w:rsidRPr="001C7F15" w14:paraId="2E91FBDC"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70740FCB"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BBVA Bancomer</w:t>
            </w:r>
          </w:p>
        </w:tc>
        <w:tc>
          <w:tcPr>
            <w:tcW w:w="2268" w:type="dxa"/>
            <w:tcBorders>
              <w:top w:val="nil"/>
              <w:left w:val="single" w:sz="4" w:space="0" w:color="auto"/>
              <w:bottom w:val="nil"/>
              <w:right w:val="single" w:sz="4" w:space="0" w:color="auto"/>
            </w:tcBorders>
            <w:shd w:val="clear" w:color="auto" w:fill="auto"/>
          </w:tcPr>
          <w:p w14:paraId="2F8ED7D5"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Azul Bancomer</w:t>
            </w:r>
          </w:p>
        </w:tc>
        <w:tc>
          <w:tcPr>
            <w:tcW w:w="1335" w:type="dxa"/>
            <w:tcBorders>
              <w:top w:val="nil"/>
              <w:left w:val="single" w:sz="4" w:space="0" w:color="auto"/>
              <w:bottom w:val="nil"/>
              <w:right w:val="single" w:sz="4" w:space="0" w:color="auto"/>
            </w:tcBorders>
            <w:shd w:val="clear" w:color="auto" w:fill="auto"/>
          </w:tcPr>
          <w:p w14:paraId="15FACE3D"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54.7</w:t>
            </w:r>
          </w:p>
        </w:tc>
        <w:tc>
          <w:tcPr>
            <w:tcW w:w="1276" w:type="dxa"/>
            <w:tcBorders>
              <w:top w:val="nil"/>
              <w:left w:val="single" w:sz="4" w:space="0" w:color="auto"/>
              <w:bottom w:val="nil"/>
              <w:right w:val="single" w:sz="4" w:space="0" w:color="auto"/>
            </w:tcBorders>
            <w:shd w:val="clear" w:color="auto" w:fill="auto"/>
          </w:tcPr>
          <w:p w14:paraId="51C6B50E"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39.8</w:t>
            </w:r>
          </w:p>
        </w:tc>
        <w:tc>
          <w:tcPr>
            <w:tcW w:w="1276" w:type="dxa"/>
            <w:tcBorders>
              <w:top w:val="nil"/>
              <w:left w:val="single" w:sz="4" w:space="0" w:color="auto"/>
              <w:bottom w:val="nil"/>
              <w:right w:val="single" w:sz="4" w:space="0" w:color="auto"/>
            </w:tcBorders>
            <w:shd w:val="clear" w:color="auto" w:fill="auto"/>
          </w:tcPr>
          <w:p w14:paraId="4F1CAB15"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580</w:t>
            </w:r>
          </w:p>
        </w:tc>
        <w:tc>
          <w:tcPr>
            <w:tcW w:w="1350" w:type="dxa"/>
            <w:tcBorders>
              <w:top w:val="nil"/>
              <w:left w:val="single" w:sz="4" w:space="0" w:color="auto"/>
              <w:bottom w:val="nil"/>
              <w:right w:val="single" w:sz="4" w:space="0" w:color="auto"/>
            </w:tcBorders>
            <w:shd w:val="clear" w:color="auto" w:fill="auto"/>
          </w:tcPr>
          <w:p w14:paraId="19DC2C08"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11 200</w:t>
            </w:r>
          </w:p>
        </w:tc>
      </w:tr>
      <w:tr w:rsidR="001C7F15" w:rsidRPr="001C7F15" w14:paraId="4495A74D"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3177EF4E"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HSBC Clásica</w:t>
            </w:r>
          </w:p>
        </w:tc>
        <w:tc>
          <w:tcPr>
            <w:tcW w:w="2268" w:type="dxa"/>
            <w:tcBorders>
              <w:top w:val="nil"/>
              <w:left w:val="single" w:sz="4" w:space="0" w:color="auto"/>
              <w:bottom w:val="nil"/>
              <w:right w:val="single" w:sz="4" w:space="0" w:color="auto"/>
            </w:tcBorders>
            <w:shd w:val="clear" w:color="auto" w:fill="auto"/>
          </w:tcPr>
          <w:p w14:paraId="612448A5"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HSBC</w:t>
            </w:r>
          </w:p>
        </w:tc>
        <w:tc>
          <w:tcPr>
            <w:tcW w:w="1335" w:type="dxa"/>
            <w:tcBorders>
              <w:top w:val="nil"/>
              <w:left w:val="single" w:sz="4" w:space="0" w:color="auto"/>
              <w:bottom w:val="nil"/>
              <w:right w:val="single" w:sz="4" w:space="0" w:color="auto"/>
            </w:tcBorders>
            <w:shd w:val="clear" w:color="auto" w:fill="auto"/>
          </w:tcPr>
          <w:p w14:paraId="4803BC74"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54.8</w:t>
            </w:r>
          </w:p>
        </w:tc>
        <w:tc>
          <w:tcPr>
            <w:tcW w:w="1276" w:type="dxa"/>
            <w:tcBorders>
              <w:top w:val="nil"/>
              <w:left w:val="single" w:sz="4" w:space="0" w:color="auto"/>
              <w:bottom w:val="nil"/>
              <w:right w:val="single" w:sz="4" w:space="0" w:color="auto"/>
            </w:tcBorders>
            <w:shd w:val="clear" w:color="auto" w:fill="auto"/>
          </w:tcPr>
          <w:p w14:paraId="5261982A"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40.0</w:t>
            </w:r>
          </w:p>
        </w:tc>
        <w:tc>
          <w:tcPr>
            <w:tcW w:w="1276" w:type="dxa"/>
            <w:tcBorders>
              <w:top w:val="nil"/>
              <w:left w:val="single" w:sz="4" w:space="0" w:color="auto"/>
              <w:bottom w:val="nil"/>
              <w:right w:val="single" w:sz="4" w:space="0" w:color="auto"/>
            </w:tcBorders>
            <w:shd w:val="clear" w:color="auto" w:fill="auto"/>
          </w:tcPr>
          <w:p w14:paraId="05175DED"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560</w:t>
            </w:r>
          </w:p>
        </w:tc>
        <w:tc>
          <w:tcPr>
            <w:tcW w:w="1350" w:type="dxa"/>
            <w:tcBorders>
              <w:top w:val="nil"/>
              <w:left w:val="single" w:sz="4" w:space="0" w:color="auto"/>
              <w:bottom w:val="nil"/>
              <w:right w:val="single" w:sz="4" w:space="0" w:color="auto"/>
            </w:tcBorders>
            <w:shd w:val="clear" w:color="auto" w:fill="auto"/>
          </w:tcPr>
          <w:p w14:paraId="6C7AF854"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11 000</w:t>
            </w:r>
          </w:p>
        </w:tc>
      </w:tr>
      <w:tr w:rsidR="001C7F15" w:rsidRPr="001C7F15" w14:paraId="69A52534" w14:textId="77777777" w:rsidTr="00E823BC">
        <w:trPr>
          <w:jc w:val="center"/>
        </w:trPr>
        <w:tc>
          <w:tcPr>
            <w:tcW w:w="1668" w:type="dxa"/>
            <w:tcBorders>
              <w:top w:val="nil"/>
              <w:left w:val="single" w:sz="4" w:space="0" w:color="auto"/>
              <w:bottom w:val="nil"/>
              <w:right w:val="single" w:sz="4" w:space="0" w:color="auto"/>
            </w:tcBorders>
            <w:shd w:val="clear" w:color="auto" w:fill="auto"/>
          </w:tcPr>
          <w:p w14:paraId="3C400752"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Scotiabank</w:t>
            </w:r>
          </w:p>
        </w:tc>
        <w:tc>
          <w:tcPr>
            <w:tcW w:w="2268" w:type="dxa"/>
            <w:tcBorders>
              <w:top w:val="nil"/>
              <w:left w:val="single" w:sz="4" w:space="0" w:color="auto"/>
              <w:bottom w:val="nil"/>
              <w:right w:val="single" w:sz="4" w:space="0" w:color="auto"/>
            </w:tcBorders>
            <w:shd w:val="clear" w:color="auto" w:fill="auto"/>
          </w:tcPr>
          <w:p w14:paraId="7F65A02A"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ScotiaTravel Clásica</w:t>
            </w:r>
          </w:p>
        </w:tc>
        <w:tc>
          <w:tcPr>
            <w:tcW w:w="1335" w:type="dxa"/>
            <w:tcBorders>
              <w:top w:val="nil"/>
              <w:left w:val="single" w:sz="4" w:space="0" w:color="auto"/>
              <w:bottom w:val="nil"/>
              <w:right w:val="single" w:sz="4" w:space="0" w:color="auto"/>
            </w:tcBorders>
            <w:shd w:val="clear" w:color="auto" w:fill="auto"/>
          </w:tcPr>
          <w:p w14:paraId="78BE611E"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56.8</w:t>
            </w:r>
          </w:p>
        </w:tc>
        <w:tc>
          <w:tcPr>
            <w:tcW w:w="1276" w:type="dxa"/>
            <w:tcBorders>
              <w:top w:val="nil"/>
              <w:left w:val="single" w:sz="4" w:space="0" w:color="auto"/>
              <w:bottom w:val="nil"/>
              <w:right w:val="single" w:sz="4" w:space="0" w:color="auto"/>
            </w:tcBorders>
            <w:shd w:val="clear" w:color="auto" w:fill="auto"/>
          </w:tcPr>
          <w:p w14:paraId="3AA0B176"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41.0</w:t>
            </w:r>
          </w:p>
        </w:tc>
        <w:tc>
          <w:tcPr>
            <w:tcW w:w="1276" w:type="dxa"/>
            <w:tcBorders>
              <w:top w:val="nil"/>
              <w:left w:val="single" w:sz="4" w:space="0" w:color="auto"/>
              <w:bottom w:val="nil"/>
              <w:right w:val="single" w:sz="4" w:space="0" w:color="auto"/>
            </w:tcBorders>
            <w:shd w:val="clear" w:color="auto" w:fill="auto"/>
          </w:tcPr>
          <w:p w14:paraId="41C4D58E"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600</w:t>
            </w:r>
          </w:p>
        </w:tc>
        <w:tc>
          <w:tcPr>
            <w:tcW w:w="1350" w:type="dxa"/>
            <w:tcBorders>
              <w:top w:val="nil"/>
              <w:left w:val="single" w:sz="4" w:space="0" w:color="auto"/>
              <w:bottom w:val="nil"/>
              <w:right w:val="single" w:sz="4" w:space="0" w:color="auto"/>
            </w:tcBorders>
            <w:shd w:val="clear" w:color="auto" w:fill="auto"/>
          </w:tcPr>
          <w:p w14:paraId="374192AF" w14:textId="77777777" w:rsidR="001C7F15" w:rsidRPr="001C7F15" w:rsidRDefault="001C7F15" w:rsidP="001C7F15">
            <w:pPr>
              <w:autoSpaceDE w:val="0"/>
              <w:autoSpaceDN w:val="0"/>
              <w:adjustRightInd w:val="0"/>
              <w:spacing w:before="40" w:after="40"/>
              <w:ind w:right="284"/>
              <w:jc w:val="right"/>
              <w:rPr>
                <w:rFonts w:eastAsia="Calibri"/>
                <w:sz w:val="18"/>
                <w:szCs w:val="18"/>
                <w:lang w:eastAsia="en-US"/>
              </w:rPr>
            </w:pPr>
            <w:r w:rsidRPr="001C7F15">
              <w:rPr>
                <w:rFonts w:eastAsia="Calibri"/>
                <w:sz w:val="18"/>
                <w:szCs w:val="18"/>
                <w:lang w:eastAsia="en-US"/>
              </w:rPr>
              <w:t>10 000</w:t>
            </w:r>
          </w:p>
        </w:tc>
      </w:tr>
      <w:tr w:rsidR="001C7F15" w:rsidRPr="001C7F15" w14:paraId="1E211E92" w14:textId="77777777" w:rsidTr="00E823BC">
        <w:trPr>
          <w:jc w:val="center"/>
        </w:trPr>
        <w:tc>
          <w:tcPr>
            <w:tcW w:w="1668" w:type="dxa"/>
            <w:tcBorders>
              <w:top w:val="nil"/>
              <w:left w:val="single" w:sz="4" w:space="0" w:color="auto"/>
              <w:bottom w:val="single" w:sz="4" w:space="0" w:color="auto"/>
              <w:right w:val="single" w:sz="4" w:space="0" w:color="auto"/>
            </w:tcBorders>
            <w:shd w:val="clear" w:color="auto" w:fill="auto"/>
          </w:tcPr>
          <w:p w14:paraId="7F912FBA" w14:textId="77777777" w:rsidR="001C7F15" w:rsidRPr="001C7F15" w:rsidRDefault="001C7F15" w:rsidP="001C7F15">
            <w:pPr>
              <w:autoSpaceDE w:val="0"/>
              <w:autoSpaceDN w:val="0"/>
              <w:adjustRightInd w:val="0"/>
              <w:spacing w:before="40" w:after="120"/>
              <w:rPr>
                <w:rFonts w:eastAsia="Calibri"/>
                <w:bCs/>
                <w:sz w:val="18"/>
                <w:szCs w:val="18"/>
                <w:lang w:eastAsia="en-US"/>
              </w:rPr>
            </w:pPr>
            <w:r w:rsidRPr="001C7F15">
              <w:rPr>
                <w:rFonts w:eastAsia="Calibri"/>
                <w:bCs/>
                <w:sz w:val="18"/>
                <w:szCs w:val="18"/>
                <w:lang w:eastAsia="en-US"/>
              </w:rPr>
              <w:t>BanCoppel</w:t>
            </w:r>
          </w:p>
        </w:tc>
        <w:tc>
          <w:tcPr>
            <w:tcW w:w="2268" w:type="dxa"/>
            <w:tcBorders>
              <w:top w:val="nil"/>
              <w:left w:val="single" w:sz="4" w:space="0" w:color="auto"/>
              <w:bottom w:val="single" w:sz="4" w:space="0" w:color="auto"/>
              <w:right w:val="single" w:sz="4" w:space="0" w:color="auto"/>
            </w:tcBorders>
            <w:shd w:val="clear" w:color="auto" w:fill="auto"/>
          </w:tcPr>
          <w:p w14:paraId="7FE0EBBA" w14:textId="77777777" w:rsidR="001C7F15" w:rsidRPr="001C7F15" w:rsidRDefault="001C7F15" w:rsidP="001C7F15">
            <w:pPr>
              <w:autoSpaceDE w:val="0"/>
              <w:autoSpaceDN w:val="0"/>
              <w:adjustRightInd w:val="0"/>
              <w:spacing w:before="40" w:after="120"/>
              <w:rPr>
                <w:rFonts w:eastAsia="Calibri"/>
                <w:sz w:val="18"/>
                <w:szCs w:val="18"/>
                <w:lang w:eastAsia="en-US"/>
              </w:rPr>
            </w:pPr>
            <w:r w:rsidRPr="001C7F15">
              <w:rPr>
                <w:rFonts w:eastAsia="Calibri"/>
                <w:sz w:val="18"/>
                <w:szCs w:val="18"/>
                <w:lang w:eastAsia="en-US"/>
              </w:rPr>
              <w:t>BanCoppel</w:t>
            </w:r>
          </w:p>
        </w:tc>
        <w:tc>
          <w:tcPr>
            <w:tcW w:w="1335" w:type="dxa"/>
            <w:tcBorders>
              <w:top w:val="nil"/>
              <w:left w:val="single" w:sz="4" w:space="0" w:color="auto"/>
              <w:bottom w:val="single" w:sz="4" w:space="0" w:color="auto"/>
              <w:right w:val="single" w:sz="4" w:space="0" w:color="auto"/>
            </w:tcBorders>
            <w:shd w:val="clear" w:color="auto" w:fill="auto"/>
          </w:tcPr>
          <w:p w14:paraId="72C033D5" w14:textId="77777777" w:rsidR="001C7F15" w:rsidRPr="001C7F15" w:rsidRDefault="001C7F15" w:rsidP="001C7F15">
            <w:pPr>
              <w:autoSpaceDE w:val="0"/>
              <w:autoSpaceDN w:val="0"/>
              <w:adjustRightInd w:val="0"/>
              <w:spacing w:before="40" w:after="120"/>
              <w:ind w:right="284"/>
              <w:jc w:val="right"/>
              <w:rPr>
                <w:rFonts w:eastAsia="Calibri"/>
                <w:sz w:val="18"/>
                <w:szCs w:val="18"/>
                <w:lang w:eastAsia="en-US"/>
              </w:rPr>
            </w:pPr>
            <w:r w:rsidRPr="001C7F15">
              <w:rPr>
                <w:rFonts w:eastAsia="Calibri"/>
                <w:sz w:val="18"/>
                <w:szCs w:val="18"/>
                <w:lang w:eastAsia="en-US"/>
              </w:rPr>
              <w:t>88.3</w:t>
            </w:r>
          </w:p>
        </w:tc>
        <w:tc>
          <w:tcPr>
            <w:tcW w:w="1276" w:type="dxa"/>
            <w:tcBorders>
              <w:top w:val="nil"/>
              <w:left w:val="single" w:sz="4" w:space="0" w:color="auto"/>
              <w:bottom w:val="single" w:sz="4" w:space="0" w:color="auto"/>
              <w:right w:val="single" w:sz="4" w:space="0" w:color="auto"/>
            </w:tcBorders>
            <w:shd w:val="clear" w:color="auto" w:fill="auto"/>
          </w:tcPr>
          <w:p w14:paraId="5291568F" w14:textId="77777777" w:rsidR="001C7F15" w:rsidRPr="001C7F15" w:rsidRDefault="001C7F15" w:rsidP="001C7F15">
            <w:pPr>
              <w:autoSpaceDE w:val="0"/>
              <w:autoSpaceDN w:val="0"/>
              <w:adjustRightInd w:val="0"/>
              <w:spacing w:before="40" w:after="120"/>
              <w:ind w:right="284"/>
              <w:jc w:val="right"/>
              <w:rPr>
                <w:rFonts w:eastAsia="Calibri"/>
                <w:sz w:val="18"/>
                <w:szCs w:val="18"/>
                <w:lang w:eastAsia="en-US"/>
              </w:rPr>
            </w:pPr>
            <w:r w:rsidRPr="001C7F15">
              <w:rPr>
                <w:rFonts w:eastAsia="Calibri"/>
                <w:sz w:val="18"/>
                <w:szCs w:val="18"/>
                <w:lang w:eastAsia="en-US"/>
              </w:rPr>
              <w:t>65.0</w:t>
            </w:r>
          </w:p>
        </w:tc>
        <w:tc>
          <w:tcPr>
            <w:tcW w:w="1276" w:type="dxa"/>
            <w:tcBorders>
              <w:top w:val="nil"/>
              <w:left w:val="single" w:sz="4" w:space="0" w:color="auto"/>
              <w:bottom w:val="single" w:sz="4" w:space="0" w:color="auto"/>
              <w:right w:val="single" w:sz="4" w:space="0" w:color="auto"/>
            </w:tcBorders>
            <w:shd w:val="clear" w:color="auto" w:fill="auto"/>
          </w:tcPr>
          <w:p w14:paraId="2CB2803F" w14:textId="77777777" w:rsidR="001C7F15" w:rsidRPr="001C7F15" w:rsidRDefault="001C7F15" w:rsidP="001C7F15">
            <w:pPr>
              <w:autoSpaceDE w:val="0"/>
              <w:autoSpaceDN w:val="0"/>
              <w:adjustRightInd w:val="0"/>
              <w:spacing w:before="40" w:after="120"/>
              <w:ind w:right="284"/>
              <w:jc w:val="right"/>
              <w:rPr>
                <w:rFonts w:eastAsia="Calibri"/>
                <w:sz w:val="18"/>
                <w:szCs w:val="18"/>
                <w:lang w:eastAsia="en-US"/>
              </w:rPr>
            </w:pPr>
            <w:r w:rsidRPr="001C7F15">
              <w:rPr>
                <w:rFonts w:eastAsia="Calibri"/>
                <w:sz w:val="18"/>
                <w:szCs w:val="18"/>
                <w:lang w:eastAsia="en-US"/>
              </w:rPr>
              <w:t>0</w:t>
            </w:r>
          </w:p>
        </w:tc>
        <w:tc>
          <w:tcPr>
            <w:tcW w:w="1350" w:type="dxa"/>
            <w:tcBorders>
              <w:top w:val="nil"/>
              <w:left w:val="single" w:sz="4" w:space="0" w:color="auto"/>
              <w:bottom w:val="single" w:sz="4" w:space="0" w:color="auto"/>
              <w:right w:val="single" w:sz="4" w:space="0" w:color="auto"/>
            </w:tcBorders>
            <w:shd w:val="clear" w:color="auto" w:fill="auto"/>
          </w:tcPr>
          <w:p w14:paraId="56EEB1A0" w14:textId="77777777" w:rsidR="001C7F15" w:rsidRPr="001C7F15" w:rsidRDefault="001C7F15" w:rsidP="001C7F15">
            <w:pPr>
              <w:autoSpaceDE w:val="0"/>
              <w:autoSpaceDN w:val="0"/>
              <w:adjustRightInd w:val="0"/>
              <w:spacing w:before="40" w:after="120"/>
              <w:ind w:right="284"/>
              <w:jc w:val="right"/>
              <w:rPr>
                <w:rFonts w:eastAsia="Calibri"/>
                <w:sz w:val="18"/>
                <w:szCs w:val="18"/>
                <w:lang w:eastAsia="en-US"/>
              </w:rPr>
            </w:pPr>
            <w:r w:rsidRPr="001C7F15">
              <w:rPr>
                <w:rFonts w:eastAsia="Calibri"/>
                <w:sz w:val="18"/>
                <w:szCs w:val="18"/>
                <w:lang w:eastAsia="en-US"/>
              </w:rPr>
              <w:t>10 700</w:t>
            </w:r>
          </w:p>
        </w:tc>
      </w:tr>
      <w:tr w:rsidR="001C7F15" w:rsidRPr="001C7F15" w14:paraId="15A98D4F" w14:textId="77777777" w:rsidTr="00E823BC">
        <w:trPr>
          <w:jc w:val="center"/>
        </w:trPr>
        <w:tc>
          <w:tcPr>
            <w:tcW w:w="917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79E798A"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menos de 0.5% pero más de 0.1% del total de tarjetas de este segmento</w:t>
            </w:r>
          </w:p>
        </w:tc>
      </w:tr>
      <w:tr w:rsidR="001C7F15" w:rsidRPr="001C7F15" w14:paraId="35A2966D" w14:textId="77777777" w:rsidTr="00E823BC">
        <w:trPr>
          <w:jc w:val="center"/>
        </w:trPr>
        <w:tc>
          <w:tcPr>
            <w:tcW w:w="1668" w:type="dxa"/>
            <w:tcBorders>
              <w:top w:val="single" w:sz="4" w:space="0" w:color="auto"/>
              <w:left w:val="single" w:sz="4" w:space="0" w:color="auto"/>
              <w:bottom w:val="single" w:sz="4" w:space="0" w:color="auto"/>
              <w:right w:val="single" w:sz="4" w:space="0" w:color="auto"/>
            </w:tcBorders>
            <w:shd w:val="clear" w:color="auto" w:fill="auto"/>
          </w:tcPr>
          <w:p w14:paraId="249ED203" w14:textId="77777777" w:rsidR="001C7F15" w:rsidRPr="001C7F15" w:rsidRDefault="001C7F15" w:rsidP="001C7F15">
            <w:pPr>
              <w:autoSpaceDE w:val="0"/>
              <w:autoSpaceDN w:val="0"/>
              <w:adjustRightInd w:val="0"/>
              <w:spacing w:before="120" w:after="120"/>
              <w:rPr>
                <w:rFonts w:eastAsia="Calibri"/>
                <w:bCs/>
                <w:sz w:val="18"/>
                <w:szCs w:val="18"/>
                <w:lang w:eastAsia="en-US"/>
              </w:rPr>
            </w:pPr>
            <w:r w:rsidRPr="001C7F15">
              <w:rPr>
                <w:rFonts w:eastAsia="Calibri"/>
                <w:bCs/>
                <w:sz w:val="18"/>
                <w:szCs w:val="18"/>
                <w:lang w:eastAsia="en-US"/>
              </w:rPr>
              <w:t>Banco del Bajío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BEB8D69" w14:textId="77777777" w:rsidR="001C7F15" w:rsidRPr="001C7F15" w:rsidRDefault="001C7F15" w:rsidP="001C7F15">
            <w:pPr>
              <w:autoSpaceDE w:val="0"/>
              <w:autoSpaceDN w:val="0"/>
              <w:adjustRightInd w:val="0"/>
              <w:spacing w:before="120" w:after="120"/>
              <w:rPr>
                <w:rFonts w:eastAsia="Calibri"/>
                <w:sz w:val="18"/>
                <w:szCs w:val="18"/>
                <w:lang w:eastAsia="en-US"/>
              </w:rPr>
            </w:pPr>
            <w:r w:rsidRPr="001C7F15">
              <w:rPr>
                <w:rFonts w:eastAsia="Calibri"/>
                <w:sz w:val="18"/>
                <w:szCs w:val="18"/>
                <w:lang w:eastAsia="en-US"/>
              </w:rPr>
              <w:t>Bajío Clásica</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169CEA8F" w14:textId="77777777" w:rsidR="001C7F15" w:rsidRPr="001C7F15" w:rsidRDefault="001C7F15" w:rsidP="001C7F15">
            <w:pPr>
              <w:autoSpaceDE w:val="0"/>
              <w:autoSpaceDN w:val="0"/>
              <w:adjustRightInd w:val="0"/>
              <w:spacing w:before="120" w:after="120"/>
              <w:ind w:right="284"/>
              <w:jc w:val="right"/>
              <w:rPr>
                <w:rFonts w:eastAsia="Calibri"/>
                <w:sz w:val="18"/>
                <w:szCs w:val="18"/>
                <w:lang w:eastAsia="en-US"/>
              </w:rPr>
            </w:pPr>
            <w:r w:rsidRPr="001C7F15">
              <w:rPr>
                <w:rFonts w:eastAsia="Calibri"/>
                <w:sz w:val="18"/>
                <w:szCs w:val="18"/>
                <w:lang w:eastAsia="en-US"/>
              </w:rPr>
              <w:t>34.3</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DF3BB4" w14:textId="77777777" w:rsidR="001C7F15" w:rsidRPr="001C7F15" w:rsidRDefault="001C7F15" w:rsidP="001C7F15">
            <w:pPr>
              <w:autoSpaceDE w:val="0"/>
              <w:autoSpaceDN w:val="0"/>
              <w:adjustRightInd w:val="0"/>
              <w:spacing w:before="120" w:after="120"/>
              <w:ind w:right="284"/>
              <w:jc w:val="right"/>
              <w:rPr>
                <w:rFonts w:eastAsia="Calibri"/>
                <w:sz w:val="18"/>
                <w:szCs w:val="18"/>
                <w:lang w:eastAsia="en-US"/>
              </w:rPr>
            </w:pPr>
            <w:r w:rsidRPr="001C7F15">
              <w:rPr>
                <w:rFonts w:eastAsia="Calibri"/>
                <w:sz w:val="18"/>
                <w:szCs w:val="18"/>
                <w:lang w:eastAsia="en-US"/>
              </w:rPr>
              <w:t>27.2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B02345E" w14:textId="77777777" w:rsidR="001C7F15" w:rsidRPr="001C7F15" w:rsidRDefault="001C7F15" w:rsidP="001C7F15">
            <w:pPr>
              <w:autoSpaceDE w:val="0"/>
              <w:autoSpaceDN w:val="0"/>
              <w:adjustRightInd w:val="0"/>
              <w:spacing w:before="120" w:after="120"/>
              <w:ind w:right="284"/>
              <w:jc w:val="right"/>
              <w:rPr>
                <w:rFonts w:eastAsia="Calibri"/>
                <w:sz w:val="18"/>
                <w:szCs w:val="18"/>
                <w:lang w:eastAsia="en-US"/>
              </w:rPr>
            </w:pPr>
            <w:r w:rsidRPr="001C7F15">
              <w:rPr>
                <w:rFonts w:eastAsia="Calibri"/>
                <w:sz w:val="18"/>
                <w:szCs w:val="18"/>
                <w:lang w:eastAsia="en-US"/>
              </w:rPr>
              <w:t>350</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E9FDB07" w14:textId="77777777" w:rsidR="001C7F15" w:rsidRPr="001C7F15" w:rsidRDefault="001C7F15" w:rsidP="001C7F15">
            <w:pPr>
              <w:autoSpaceDE w:val="0"/>
              <w:autoSpaceDN w:val="0"/>
              <w:adjustRightInd w:val="0"/>
              <w:spacing w:before="120" w:after="120"/>
              <w:ind w:right="284"/>
              <w:jc w:val="right"/>
              <w:rPr>
                <w:rFonts w:eastAsia="Calibri"/>
                <w:sz w:val="18"/>
                <w:szCs w:val="18"/>
                <w:lang w:eastAsia="en-US"/>
              </w:rPr>
            </w:pPr>
            <w:r w:rsidRPr="001C7F15">
              <w:rPr>
                <w:rFonts w:eastAsia="Calibri"/>
                <w:sz w:val="18"/>
                <w:szCs w:val="18"/>
                <w:lang w:eastAsia="en-US"/>
              </w:rPr>
              <w:t>10 000</w:t>
            </w:r>
          </w:p>
        </w:tc>
      </w:tr>
      <w:tr w:rsidR="001C7F15" w:rsidRPr="001C7F15" w14:paraId="35BBDA79" w14:textId="77777777" w:rsidTr="00E823BC">
        <w:trPr>
          <w:jc w:val="center"/>
        </w:trPr>
        <w:tc>
          <w:tcPr>
            <w:tcW w:w="9173" w:type="dxa"/>
            <w:gridSpan w:val="6"/>
            <w:tcBorders>
              <w:top w:val="single" w:sz="4" w:space="0" w:color="auto"/>
              <w:left w:val="nil"/>
              <w:bottom w:val="nil"/>
              <w:right w:val="nil"/>
            </w:tcBorders>
            <w:shd w:val="clear" w:color="auto" w:fill="auto"/>
            <w:vAlign w:val="center"/>
          </w:tcPr>
          <w:p w14:paraId="3971A93E" w14:textId="77777777" w:rsidR="001C7F15" w:rsidRPr="001C7F15" w:rsidRDefault="001C7F15" w:rsidP="001C7F15">
            <w:pPr>
              <w:spacing w:before="120"/>
              <w:ind w:left="227" w:hanging="227"/>
              <w:rPr>
                <w:rFonts w:eastAsia="Calibri"/>
                <w:bCs/>
                <w:sz w:val="20"/>
                <w:szCs w:val="20"/>
                <w:lang w:eastAsia="en-US"/>
              </w:rPr>
            </w:pPr>
            <w:r w:rsidRPr="001C7F15">
              <w:rPr>
                <w:rFonts w:eastAsia="Calibri"/>
                <w:bCs/>
                <w:sz w:val="20"/>
                <w:szCs w:val="20"/>
                <w:u w:val="single"/>
                <w:lang w:eastAsia="en-US"/>
              </w:rPr>
              <w:t>1</w:t>
            </w:r>
            <w:r w:rsidRPr="001C7F15">
              <w:rPr>
                <w:rFonts w:eastAsia="Calibri"/>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58767A9A"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2/ La mediana indica que la mitad de los clientes tiene un límite de crédito por debajo del valor reportado.</w:t>
            </w:r>
          </w:p>
          <w:p w14:paraId="544A3FEF" w14:textId="77777777" w:rsidR="001C7F15" w:rsidRPr="001C7F15" w:rsidRDefault="001C7F15" w:rsidP="001C7F15">
            <w:pPr>
              <w:ind w:left="227" w:hanging="227"/>
              <w:rPr>
                <w:rFonts w:eastAsia="Calibri"/>
                <w:bCs/>
                <w:sz w:val="20"/>
                <w:szCs w:val="20"/>
                <w:lang w:eastAsia="en-US"/>
              </w:rPr>
            </w:pPr>
            <w:r w:rsidRPr="001C7F15">
              <w:rPr>
                <w:rFonts w:eastAsia="Calibri"/>
                <w:bCs/>
                <w:sz w:val="20"/>
                <w:szCs w:val="20"/>
                <w:lang w:eastAsia="en-US"/>
              </w:rPr>
              <w:t>3/ A pesar de la fusión de Banorte e Ixe tarjetas, sus productos de tarjeta de crédito se siguen ofreciendo de forma separada.</w:t>
            </w:r>
          </w:p>
          <w:p w14:paraId="3F83936F" w14:textId="77777777" w:rsidR="001C7F15" w:rsidRPr="001C7F15" w:rsidRDefault="001C7F15" w:rsidP="001C7F15">
            <w:pPr>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02B922EF" w14:textId="77777777" w:rsidR="001C7F15" w:rsidRPr="001C7F15" w:rsidRDefault="001C7F15" w:rsidP="001C7F15">
      <w:pPr>
        <w:spacing w:after="360" w:line="360" w:lineRule="auto"/>
        <w:ind w:right="-159"/>
        <w:jc w:val="both"/>
        <w:rPr>
          <w:rFonts w:eastAsia="Times New Roman"/>
          <w:bCs/>
          <w:sz w:val="26"/>
          <w:szCs w:val="26"/>
          <w:lang w:val="es-ES"/>
        </w:rPr>
      </w:pPr>
    </w:p>
    <w:p w14:paraId="137DEF89" w14:textId="77777777" w:rsidR="001C7F15" w:rsidRPr="001C7F15" w:rsidRDefault="001C7F15" w:rsidP="001C7F15">
      <w:pPr>
        <w:spacing w:after="360" w:line="360" w:lineRule="auto"/>
        <w:ind w:right="-159"/>
        <w:jc w:val="both"/>
        <w:rPr>
          <w:rFonts w:eastAsia="Times New Roman"/>
          <w:bCs/>
          <w:sz w:val="26"/>
          <w:szCs w:val="26"/>
          <w:lang w:val="es-ES"/>
        </w:rPr>
      </w:pPr>
    </w:p>
    <w:p w14:paraId="615B23E6" w14:textId="77777777" w:rsidR="001C7F15" w:rsidRPr="001C7F15" w:rsidRDefault="001C7F15" w:rsidP="001C7F15">
      <w:pPr>
        <w:spacing w:after="360" w:line="360" w:lineRule="auto"/>
        <w:ind w:right="-159"/>
        <w:jc w:val="both"/>
        <w:rPr>
          <w:rFonts w:eastAsia="Times New Roman"/>
          <w:bCs/>
          <w:sz w:val="26"/>
          <w:szCs w:val="26"/>
          <w:lang w:val="es-ES"/>
        </w:rPr>
      </w:pPr>
    </w:p>
    <w:p w14:paraId="007D2A31" w14:textId="77777777" w:rsidR="001C7F15" w:rsidRPr="001C7F15" w:rsidRDefault="001C7F15" w:rsidP="001C7F15">
      <w:pPr>
        <w:spacing w:after="360" w:line="360" w:lineRule="auto"/>
        <w:ind w:right="-159"/>
        <w:jc w:val="both"/>
        <w:rPr>
          <w:rFonts w:eastAsia="Times New Roman"/>
          <w:bCs/>
          <w:sz w:val="26"/>
          <w:szCs w:val="26"/>
          <w:lang w:val="es-ES"/>
        </w:rPr>
      </w:pPr>
    </w:p>
    <w:p w14:paraId="5CC84209" w14:textId="77777777" w:rsidR="001C7F15" w:rsidRPr="001C7F15" w:rsidRDefault="001C7F15" w:rsidP="001C7F15">
      <w:pPr>
        <w:spacing w:after="360" w:line="360" w:lineRule="auto"/>
        <w:ind w:right="-159"/>
        <w:jc w:val="both"/>
        <w:rPr>
          <w:rFonts w:eastAsia="Times New Roman"/>
          <w:bCs/>
          <w:sz w:val="26"/>
          <w:szCs w:val="26"/>
          <w:lang w:val="es-ES"/>
        </w:rPr>
      </w:pPr>
    </w:p>
    <w:tbl>
      <w:tblPr>
        <w:tblW w:w="9067" w:type="dxa"/>
        <w:jc w:val="center"/>
        <w:tblLook w:val="04A0" w:firstRow="1" w:lastRow="0" w:firstColumn="1" w:lastColumn="0" w:noHBand="0" w:noVBand="1"/>
      </w:tblPr>
      <w:tblGrid>
        <w:gridCol w:w="1555"/>
        <w:gridCol w:w="2835"/>
        <w:gridCol w:w="1134"/>
        <w:gridCol w:w="1241"/>
        <w:gridCol w:w="1168"/>
        <w:gridCol w:w="1134"/>
      </w:tblGrid>
      <w:tr w:rsidR="001C7F15" w:rsidRPr="001C7F15" w14:paraId="712A0EA8" w14:textId="77777777" w:rsidTr="001C7F15">
        <w:trPr>
          <w:jc w:val="center"/>
        </w:trPr>
        <w:tc>
          <w:tcPr>
            <w:tcW w:w="9067" w:type="dxa"/>
            <w:gridSpan w:val="6"/>
            <w:tcBorders>
              <w:top w:val="nil"/>
              <w:left w:val="nil"/>
              <w:bottom w:val="single" w:sz="4" w:space="0" w:color="auto"/>
              <w:right w:val="nil"/>
            </w:tcBorders>
            <w:shd w:val="clear" w:color="auto" w:fill="auto"/>
            <w:vAlign w:val="center"/>
          </w:tcPr>
          <w:p w14:paraId="099A41DE"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 xml:space="preserve">PRODUCTOS REPRESENTATIVOS POR INSTITUCIÓN, PARA CLIENTES NO TOTALEROS EN EL SEGMENTO DE TARJETAS “CLÁSICAS” O EQUIVALENTES CON LÍMITE DE CRÉDITO MAYOR A 15 MIL PESOS </w:t>
            </w:r>
            <w:r w:rsidRPr="001C7F15">
              <w:rPr>
                <w:rFonts w:eastAsia="Calibri"/>
                <w:b/>
                <w:bCs/>
                <w:sz w:val="22"/>
                <w:szCs w:val="22"/>
                <w:u w:val="single"/>
                <w:vertAlign w:val="superscript"/>
                <w:lang w:eastAsia="en-US"/>
              </w:rPr>
              <w:t>1</w:t>
            </w:r>
            <w:r w:rsidRPr="001C7F15">
              <w:rPr>
                <w:rFonts w:eastAsia="Calibri"/>
                <w:b/>
                <w:bCs/>
                <w:sz w:val="22"/>
                <w:szCs w:val="22"/>
                <w:vertAlign w:val="superscript"/>
                <w:lang w:eastAsia="en-US"/>
              </w:rPr>
              <w:t>/</w:t>
            </w:r>
          </w:p>
          <w:p w14:paraId="3AFC03C9" w14:textId="3C0FE215" w:rsidR="001C7F15" w:rsidRPr="001C7F15" w:rsidRDefault="001C7F15" w:rsidP="001C7F15">
            <w:pPr>
              <w:jc w:val="center"/>
              <w:rPr>
                <w:rFonts w:eastAsia="Calibri"/>
                <w:b/>
                <w:bCs/>
                <w:sz w:val="20"/>
                <w:szCs w:val="20"/>
                <w:lang w:eastAsia="en-US"/>
              </w:rPr>
            </w:pPr>
            <w:r w:rsidRPr="001C7F15">
              <w:rPr>
                <w:rFonts w:eastAsia="Calibri"/>
                <w:b/>
                <w:bCs/>
                <w:sz w:val="22"/>
                <w:szCs w:val="22"/>
                <w:lang w:eastAsia="en-US"/>
              </w:rPr>
              <w:t>-Datos a agosto de 2014-</w:t>
            </w:r>
          </w:p>
        </w:tc>
      </w:tr>
      <w:tr w:rsidR="001C7F15" w:rsidRPr="001C7F15" w14:paraId="5A4B6F62" w14:textId="77777777" w:rsidTr="00E823B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tcPr>
          <w:p w14:paraId="75813EA9"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Institución</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A4DCE81"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Producto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F82779"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CAT (%)</w:t>
            </w:r>
          </w:p>
        </w:tc>
        <w:tc>
          <w:tcPr>
            <w:tcW w:w="1241" w:type="dxa"/>
            <w:tcBorders>
              <w:top w:val="single" w:sz="4" w:space="0" w:color="auto"/>
              <w:left w:val="single" w:sz="4" w:space="0" w:color="auto"/>
              <w:bottom w:val="single" w:sz="4" w:space="0" w:color="auto"/>
              <w:right w:val="single" w:sz="4" w:space="0" w:color="auto"/>
            </w:tcBorders>
            <w:shd w:val="clear" w:color="auto" w:fill="auto"/>
            <w:vAlign w:val="center"/>
          </w:tcPr>
          <w:p w14:paraId="6C0F0321"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Tasa efectiva promedio ponderada</w:t>
            </w:r>
          </w:p>
          <w:p w14:paraId="16F7EF58"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w:t>
            </w:r>
          </w:p>
        </w:tc>
        <w:tc>
          <w:tcPr>
            <w:tcW w:w="1168" w:type="dxa"/>
            <w:tcBorders>
              <w:top w:val="single" w:sz="4" w:space="0" w:color="auto"/>
              <w:left w:val="single" w:sz="4" w:space="0" w:color="auto"/>
              <w:bottom w:val="single" w:sz="4" w:space="0" w:color="auto"/>
              <w:right w:val="single" w:sz="4" w:space="0" w:color="auto"/>
            </w:tcBorders>
            <w:shd w:val="clear" w:color="auto" w:fill="auto"/>
            <w:vAlign w:val="center"/>
          </w:tcPr>
          <w:p w14:paraId="40A5BB3D"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Anualidad (pesos)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10CFCCF"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Límite de crédito (mediana en pesos)</w:t>
            </w:r>
            <w:r w:rsidRPr="001C7F15">
              <w:rPr>
                <w:rFonts w:ascii="Calibri" w:eastAsia="Calibri" w:hAnsi="Calibri"/>
                <w:sz w:val="22"/>
                <w:szCs w:val="22"/>
                <w:lang w:eastAsia="en-US"/>
              </w:rPr>
              <w:t xml:space="preserve"> </w:t>
            </w:r>
            <w:r w:rsidRPr="001C7F15">
              <w:rPr>
                <w:rFonts w:eastAsia="Calibri"/>
                <w:b/>
                <w:sz w:val="18"/>
                <w:szCs w:val="18"/>
                <w:u w:val="single"/>
                <w:vertAlign w:val="superscript"/>
                <w:lang w:eastAsia="en-US"/>
              </w:rPr>
              <w:t>2</w:t>
            </w:r>
            <w:r w:rsidRPr="001C7F15">
              <w:rPr>
                <w:rFonts w:eastAsia="Calibri"/>
                <w:b/>
                <w:sz w:val="18"/>
                <w:szCs w:val="18"/>
                <w:vertAlign w:val="superscript"/>
                <w:lang w:eastAsia="en-US"/>
              </w:rPr>
              <w:t>/</w:t>
            </w:r>
          </w:p>
        </w:tc>
      </w:tr>
      <w:tr w:rsidR="001C7F15" w:rsidRPr="001C7F15" w14:paraId="737BF762" w14:textId="77777777" w:rsidTr="00E823BC">
        <w:trPr>
          <w:jc w:val="center"/>
        </w:trPr>
        <w:tc>
          <w:tcPr>
            <w:tcW w:w="906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AFCE8CE"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al menos 0.5% del total de tarjetas de este segmento</w:t>
            </w:r>
          </w:p>
        </w:tc>
      </w:tr>
      <w:tr w:rsidR="001C7F15" w:rsidRPr="001C7F15" w14:paraId="5EA73950" w14:textId="77777777" w:rsidTr="00E823BC">
        <w:trPr>
          <w:jc w:val="center"/>
        </w:trPr>
        <w:tc>
          <w:tcPr>
            <w:tcW w:w="1555" w:type="dxa"/>
            <w:tcBorders>
              <w:top w:val="single" w:sz="4" w:space="0" w:color="auto"/>
              <w:left w:val="single" w:sz="4" w:space="0" w:color="auto"/>
              <w:bottom w:val="nil"/>
              <w:right w:val="single" w:sz="4" w:space="0" w:color="auto"/>
            </w:tcBorders>
            <w:shd w:val="clear" w:color="auto" w:fill="auto"/>
          </w:tcPr>
          <w:p w14:paraId="75CE4E8E" w14:textId="77777777" w:rsidR="001C7F15" w:rsidRPr="001C7F15" w:rsidRDefault="001C7F15" w:rsidP="001C7F15">
            <w:pPr>
              <w:spacing w:before="120" w:after="40"/>
              <w:jc w:val="both"/>
              <w:rPr>
                <w:rFonts w:eastAsia="Calibri"/>
                <w:bCs/>
                <w:sz w:val="18"/>
                <w:szCs w:val="18"/>
                <w:lang w:eastAsia="en-US"/>
              </w:rPr>
            </w:pPr>
            <w:r w:rsidRPr="001C7F15">
              <w:rPr>
                <w:rFonts w:eastAsia="Calibri"/>
                <w:bCs/>
                <w:sz w:val="18"/>
                <w:szCs w:val="18"/>
                <w:lang w:eastAsia="en-US"/>
              </w:rPr>
              <w:t>Santander</w:t>
            </w:r>
          </w:p>
        </w:tc>
        <w:tc>
          <w:tcPr>
            <w:tcW w:w="2835" w:type="dxa"/>
            <w:tcBorders>
              <w:top w:val="single" w:sz="4" w:space="0" w:color="auto"/>
              <w:left w:val="single" w:sz="4" w:space="0" w:color="auto"/>
              <w:bottom w:val="nil"/>
              <w:right w:val="single" w:sz="4" w:space="0" w:color="auto"/>
            </w:tcBorders>
            <w:shd w:val="clear" w:color="auto" w:fill="auto"/>
          </w:tcPr>
          <w:p w14:paraId="06A8836B" w14:textId="77777777" w:rsidR="001C7F15" w:rsidRPr="001C7F15" w:rsidRDefault="001C7F15" w:rsidP="001C7F15">
            <w:pPr>
              <w:spacing w:before="120" w:after="40"/>
              <w:jc w:val="both"/>
              <w:rPr>
                <w:rFonts w:eastAsia="Calibri"/>
                <w:sz w:val="18"/>
                <w:szCs w:val="18"/>
                <w:lang w:eastAsia="en-US"/>
              </w:rPr>
            </w:pPr>
            <w:r w:rsidRPr="001C7F15">
              <w:rPr>
                <w:rFonts w:eastAsia="Calibri"/>
                <w:sz w:val="18"/>
                <w:szCs w:val="18"/>
                <w:lang w:eastAsia="en-US"/>
              </w:rPr>
              <w:t>Santander Light</w:t>
            </w:r>
          </w:p>
        </w:tc>
        <w:tc>
          <w:tcPr>
            <w:tcW w:w="1134" w:type="dxa"/>
            <w:tcBorders>
              <w:top w:val="single" w:sz="4" w:space="0" w:color="auto"/>
              <w:left w:val="single" w:sz="4" w:space="0" w:color="auto"/>
              <w:bottom w:val="nil"/>
              <w:right w:val="single" w:sz="4" w:space="0" w:color="auto"/>
            </w:tcBorders>
            <w:shd w:val="clear" w:color="auto" w:fill="auto"/>
          </w:tcPr>
          <w:p w14:paraId="09C64DA8"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31.0</w:t>
            </w:r>
          </w:p>
        </w:tc>
        <w:tc>
          <w:tcPr>
            <w:tcW w:w="1241" w:type="dxa"/>
            <w:tcBorders>
              <w:top w:val="single" w:sz="4" w:space="0" w:color="auto"/>
              <w:left w:val="single" w:sz="4" w:space="0" w:color="auto"/>
              <w:bottom w:val="nil"/>
              <w:right w:val="single" w:sz="4" w:space="0" w:color="auto"/>
            </w:tcBorders>
            <w:shd w:val="clear" w:color="auto" w:fill="auto"/>
          </w:tcPr>
          <w:p w14:paraId="179DD8D6"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23.3</w:t>
            </w:r>
          </w:p>
        </w:tc>
        <w:tc>
          <w:tcPr>
            <w:tcW w:w="1168" w:type="dxa"/>
            <w:tcBorders>
              <w:top w:val="single" w:sz="4" w:space="0" w:color="auto"/>
              <w:left w:val="single" w:sz="4" w:space="0" w:color="auto"/>
              <w:bottom w:val="nil"/>
              <w:right w:val="single" w:sz="4" w:space="0" w:color="auto"/>
            </w:tcBorders>
            <w:shd w:val="clear" w:color="auto" w:fill="auto"/>
          </w:tcPr>
          <w:p w14:paraId="1D944311"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530</w:t>
            </w:r>
          </w:p>
        </w:tc>
        <w:tc>
          <w:tcPr>
            <w:tcW w:w="1134" w:type="dxa"/>
            <w:tcBorders>
              <w:top w:val="single" w:sz="4" w:space="0" w:color="auto"/>
              <w:left w:val="single" w:sz="4" w:space="0" w:color="auto"/>
              <w:bottom w:val="nil"/>
              <w:right w:val="single" w:sz="4" w:space="0" w:color="auto"/>
            </w:tcBorders>
            <w:shd w:val="clear" w:color="auto" w:fill="auto"/>
          </w:tcPr>
          <w:p w14:paraId="5BDD94ED" w14:textId="77777777" w:rsidR="001C7F15" w:rsidRPr="001C7F15" w:rsidRDefault="001C7F15" w:rsidP="001C7F15">
            <w:pPr>
              <w:spacing w:before="120" w:after="40"/>
              <w:ind w:right="170"/>
              <w:jc w:val="right"/>
              <w:rPr>
                <w:rFonts w:eastAsia="Calibri"/>
                <w:sz w:val="18"/>
                <w:szCs w:val="18"/>
                <w:lang w:eastAsia="en-US"/>
              </w:rPr>
            </w:pPr>
            <w:r w:rsidRPr="001C7F15">
              <w:rPr>
                <w:rFonts w:eastAsia="Calibri"/>
                <w:sz w:val="18"/>
                <w:szCs w:val="18"/>
                <w:lang w:eastAsia="en-US"/>
              </w:rPr>
              <w:t>38 120</w:t>
            </w:r>
          </w:p>
        </w:tc>
      </w:tr>
      <w:tr w:rsidR="001C7F15" w:rsidRPr="001C7F15" w14:paraId="02830FF1"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504E9D82"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Inbursa</w:t>
            </w:r>
          </w:p>
        </w:tc>
        <w:tc>
          <w:tcPr>
            <w:tcW w:w="2835" w:type="dxa"/>
            <w:tcBorders>
              <w:top w:val="nil"/>
              <w:left w:val="single" w:sz="4" w:space="0" w:color="auto"/>
              <w:bottom w:val="nil"/>
              <w:right w:val="single" w:sz="4" w:space="0" w:color="auto"/>
            </w:tcBorders>
            <w:shd w:val="clear" w:color="auto" w:fill="auto"/>
          </w:tcPr>
          <w:p w14:paraId="72FD7032"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Inbursa</w:t>
            </w:r>
          </w:p>
        </w:tc>
        <w:tc>
          <w:tcPr>
            <w:tcW w:w="1134" w:type="dxa"/>
            <w:tcBorders>
              <w:top w:val="nil"/>
              <w:left w:val="single" w:sz="4" w:space="0" w:color="auto"/>
              <w:bottom w:val="nil"/>
              <w:right w:val="single" w:sz="4" w:space="0" w:color="auto"/>
            </w:tcBorders>
            <w:shd w:val="clear" w:color="auto" w:fill="auto"/>
          </w:tcPr>
          <w:p w14:paraId="7FC6248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39.3</w:t>
            </w:r>
          </w:p>
        </w:tc>
        <w:tc>
          <w:tcPr>
            <w:tcW w:w="1241" w:type="dxa"/>
            <w:tcBorders>
              <w:top w:val="nil"/>
              <w:left w:val="single" w:sz="4" w:space="0" w:color="auto"/>
              <w:bottom w:val="nil"/>
              <w:right w:val="single" w:sz="4" w:space="0" w:color="auto"/>
            </w:tcBorders>
            <w:shd w:val="clear" w:color="auto" w:fill="auto"/>
          </w:tcPr>
          <w:p w14:paraId="6F750EC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33.6</w:t>
            </w:r>
          </w:p>
        </w:tc>
        <w:tc>
          <w:tcPr>
            <w:tcW w:w="1168" w:type="dxa"/>
            <w:tcBorders>
              <w:top w:val="nil"/>
              <w:left w:val="single" w:sz="4" w:space="0" w:color="auto"/>
              <w:bottom w:val="nil"/>
              <w:right w:val="single" w:sz="4" w:space="0" w:color="auto"/>
            </w:tcBorders>
            <w:shd w:val="clear" w:color="auto" w:fill="auto"/>
          </w:tcPr>
          <w:p w14:paraId="78C42B13"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0</w:t>
            </w:r>
          </w:p>
        </w:tc>
        <w:tc>
          <w:tcPr>
            <w:tcW w:w="1134" w:type="dxa"/>
            <w:tcBorders>
              <w:top w:val="nil"/>
              <w:left w:val="single" w:sz="4" w:space="0" w:color="auto"/>
              <w:bottom w:val="nil"/>
              <w:right w:val="single" w:sz="4" w:space="0" w:color="auto"/>
            </w:tcBorders>
            <w:shd w:val="clear" w:color="auto" w:fill="auto"/>
          </w:tcPr>
          <w:p w14:paraId="18B568D2"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20 000</w:t>
            </w:r>
          </w:p>
        </w:tc>
      </w:tr>
      <w:tr w:rsidR="001C7F15" w:rsidRPr="001C7F15" w14:paraId="6FCFE9DA"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7907473F"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BBVA Bancomer</w:t>
            </w:r>
          </w:p>
        </w:tc>
        <w:tc>
          <w:tcPr>
            <w:tcW w:w="2835" w:type="dxa"/>
            <w:tcBorders>
              <w:top w:val="nil"/>
              <w:left w:val="single" w:sz="4" w:space="0" w:color="auto"/>
              <w:bottom w:val="nil"/>
              <w:right w:val="single" w:sz="4" w:space="0" w:color="auto"/>
            </w:tcBorders>
            <w:shd w:val="clear" w:color="auto" w:fill="auto"/>
          </w:tcPr>
          <w:p w14:paraId="27452CA8"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Azul Bancomer</w:t>
            </w:r>
          </w:p>
        </w:tc>
        <w:tc>
          <w:tcPr>
            <w:tcW w:w="1134" w:type="dxa"/>
            <w:tcBorders>
              <w:top w:val="nil"/>
              <w:left w:val="single" w:sz="4" w:space="0" w:color="auto"/>
              <w:bottom w:val="nil"/>
              <w:right w:val="single" w:sz="4" w:space="0" w:color="auto"/>
            </w:tcBorders>
            <w:shd w:val="clear" w:color="auto" w:fill="auto"/>
          </w:tcPr>
          <w:p w14:paraId="23CF01A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40.5</w:t>
            </w:r>
          </w:p>
        </w:tc>
        <w:tc>
          <w:tcPr>
            <w:tcW w:w="1241" w:type="dxa"/>
            <w:tcBorders>
              <w:top w:val="nil"/>
              <w:left w:val="single" w:sz="4" w:space="0" w:color="auto"/>
              <w:bottom w:val="nil"/>
              <w:right w:val="single" w:sz="4" w:space="0" w:color="auto"/>
            </w:tcBorders>
            <w:shd w:val="clear" w:color="auto" w:fill="auto"/>
          </w:tcPr>
          <w:p w14:paraId="577FF8C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30.0</w:t>
            </w:r>
          </w:p>
        </w:tc>
        <w:tc>
          <w:tcPr>
            <w:tcW w:w="1168" w:type="dxa"/>
            <w:tcBorders>
              <w:top w:val="nil"/>
              <w:left w:val="single" w:sz="4" w:space="0" w:color="auto"/>
              <w:bottom w:val="nil"/>
              <w:right w:val="single" w:sz="4" w:space="0" w:color="auto"/>
            </w:tcBorders>
            <w:shd w:val="clear" w:color="auto" w:fill="auto"/>
          </w:tcPr>
          <w:p w14:paraId="6376D2B6"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580</w:t>
            </w:r>
          </w:p>
        </w:tc>
        <w:tc>
          <w:tcPr>
            <w:tcW w:w="1134" w:type="dxa"/>
            <w:tcBorders>
              <w:top w:val="nil"/>
              <w:left w:val="single" w:sz="4" w:space="0" w:color="auto"/>
              <w:bottom w:val="nil"/>
              <w:right w:val="single" w:sz="4" w:space="0" w:color="auto"/>
            </w:tcBorders>
            <w:shd w:val="clear" w:color="auto" w:fill="auto"/>
          </w:tcPr>
          <w:p w14:paraId="607E7EB6"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36 100</w:t>
            </w:r>
          </w:p>
        </w:tc>
      </w:tr>
      <w:tr w:rsidR="001C7F15" w:rsidRPr="001C7F15" w14:paraId="35704B52"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164B32F4"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Banco Walmart</w:t>
            </w:r>
          </w:p>
        </w:tc>
        <w:tc>
          <w:tcPr>
            <w:tcW w:w="2835" w:type="dxa"/>
            <w:tcBorders>
              <w:top w:val="nil"/>
              <w:left w:val="single" w:sz="4" w:space="0" w:color="auto"/>
              <w:bottom w:val="nil"/>
              <w:right w:val="single" w:sz="4" w:space="0" w:color="auto"/>
            </w:tcBorders>
            <w:shd w:val="clear" w:color="auto" w:fill="auto"/>
          </w:tcPr>
          <w:p w14:paraId="5DEE7DB3"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Súper Tarjeta de Crédito Sam’s Club</w:t>
            </w:r>
          </w:p>
        </w:tc>
        <w:tc>
          <w:tcPr>
            <w:tcW w:w="1134" w:type="dxa"/>
            <w:tcBorders>
              <w:top w:val="nil"/>
              <w:left w:val="single" w:sz="4" w:space="0" w:color="auto"/>
              <w:bottom w:val="nil"/>
              <w:right w:val="single" w:sz="4" w:space="0" w:color="auto"/>
            </w:tcBorders>
            <w:shd w:val="clear" w:color="auto" w:fill="auto"/>
          </w:tcPr>
          <w:p w14:paraId="21592BA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43.3</w:t>
            </w:r>
          </w:p>
        </w:tc>
        <w:tc>
          <w:tcPr>
            <w:tcW w:w="1241" w:type="dxa"/>
            <w:tcBorders>
              <w:top w:val="nil"/>
              <w:left w:val="single" w:sz="4" w:space="0" w:color="auto"/>
              <w:bottom w:val="nil"/>
              <w:right w:val="single" w:sz="4" w:space="0" w:color="auto"/>
            </w:tcBorders>
            <w:shd w:val="clear" w:color="auto" w:fill="auto"/>
          </w:tcPr>
          <w:p w14:paraId="74ED31AF"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32.6</w:t>
            </w:r>
          </w:p>
        </w:tc>
        <w:tc>
          <w:tcPr>
            <w:tcW w:w="1168" w:type="dxa"/>
            <w:tcBorders>
              <w:top w:val="nil"/>
              <w:left w:val="single" w:sz="4" w:space="0" w:color="auto"/>
              <w:bottom w:val="nil"/>
              <w:right w:val="single" w:sz="4" w:space="0" w:color="auto"/>
            </w:tcBorders>
            <w:shd w:val="clear" w:color="auto" w:fill="auto"/>
          </w:tcPr>
          <w:p w14:paraId="4A97FC5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500</w:t>
            </w:r>
          </w:p>
        </w:tc>
        <w:tc>
          <w:tcPr>
            <w:tcW w:w="1134" w:type="dxa"/>
            <w:tcBorders>
              <w:top w:val="nil"/>
              <w:left w:val="single" w:sz="4" w:space="0" w:color="auto"/>
              <w:bottom w:val="nil"/>
              <w:right w:val="single" w:sz="4" w:space="0" w:color="auto"/>
            </w:tcBorders>
            <w:shd w:val="clear" w:color="auto" w:fill="auto"/>
          </w:tcPr>
          <w:p w14:paraId="43B943F1"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29 600</w:t>
            </w:r>
          </w:p>
        </w:tc>
      </w:tr>
      <w:tr w:rsidR="001C7F15" w:rsidRPr="001C7F15" w14:paraId="182115F8"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3006494E"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Banamex</w:t>
            </w:r>
          </w:p>
        </w:tc>
        <w:tc>
          <w:tcPr>
            <w:tcW w:w="2835" w:type="dxa"/>
            <w:tcBorders>
              <w:top w:val="nil"/>
              <w:left w:val="single" w:sz="4" w:space="0" w:color="auto"/>
              <w:bottom w:val="nil"/>
              <w:right w:val="single" w:sz="4" w:space="0" w:color="auto"/>
            </w:tcBorders>
            <w:shd w:val="clear" w:color="auto" w:fill="auto"/>
          </w:tcPr>
          <w:p w14:paraId="7C36F7DE"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Internacional</w:t>
            </w:r>
          </w:p>
        </w:tc>
        <w:tc>
          <w:tcPr>
            <w:tcW w:w="1134" w:type="dxa"/>
            <w:tcBorders>
              <w:top w:val="nil"/>
              <w:left w:val="single" w:sz="4" w:space="0" w:color="auto"/>
              <w:bottom w:val="nil"/>
              <w:right w:val="single" w:sz="4" w:space="0" w:color="auto"/>
            </w:tcBorders>
            <w:shd w:val="clear" w:color="auto" w:fill="auto"/>
          </w:tcPr>
          <w:p w14:paraId="63D00B3D"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45.3</w:t>
            </w:r>
          </w:p>
        </w:tc>
        <w:tc>
          <w:tcPr>
            <w:tcW w:w="1241" w:type="dxa"/>
            <w:tcBorders>
              <w:top w:val="nil"/>
              <w:left w:val="single" w:sz="4" w:space="0" w:color="auto"/>
              <w:bottom w:val="nil"/>
              <w:right w:val="single" w:sz="4" w:space="0" w:color="auto"/>
            </w:tcBorders>
            <w:shd w:val="clear" w:color="auto" w:fill="auto"/>
          </w:tcPr>
          <w:p w14:paraId="3F4C0C4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33.3</w:t>
            </w:r>
          </w:p>
        </w:tc>
        <w:tc>
          <w:tcPr>
            <w:tcW w:w="1168" w:type="dxa"/>
            <w:tcBorders>
              <w:top w:val="nil"/>
              <w:left w:val="single" w:sz="4" w:space="0" w:color="auto"/>
              <w:bottom w:val="nil"/>
              <w:right w:val="single" w:sz="4" w:space="0" w:color="auto"/>
            </w:tcBorders>
            <w:shd w:val="clear" w:color="auto" w:fill="auto"/>
          </w:tcPr>
          <w:p w14:paraId="6380204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600</w:t>
            </w:r>
          </w:p>
        </w:tc>
        <w:tc>
          <w:tcPr>
            <w:tcW w:w="1134" w:type="dxa"/>
            <w:tcBorders>
              <w:top w:val="nil"/>
              <w:left w:val="single" w:sz="4" w:space="0" w:color="auto"/>
              <w:bottom w:val="nil"/>
              <w:right w:val="single" w:sz="4" w:space="0" w:color="auto"/>
            </w:tcBorders>
            <w:shd w:val="clear" w:color="auto" w:fill="auto"/>
          </w:tcPr>
          <w:p w14:paraId="45639392"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46 000</w:t>
            </w:r>
          </w:p>
        </w:tc>
      </w:tr>
      <w:tr w:rsidR="001C7F15" w:rsidRPr="001C7F15" w14:paraId="6C2C4D4A"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48547AF9"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 xml:space="preserve">Banorte </w:t>
            </w:r>
            <w:r w:rsidRPr="001C7F15">
              <w:rPr>
                <w:rFonts w:eastAsia="Calibri"/>
                <w:bCs/>
                <w:sz w:val="22"/>
                <w:szCs w:val="22"/>
                <w:u w:val="single"/>
                <w:vertAlign w:val="superscript"/>
                <w:lang w:eastAsia="en-US"/>
              </w:rPr>
              <w:t>3</w:t>
            </w:r>
            <w:r w:rsidRPr="001C7F15">
              <w:rPr>
                <w:rFonts w:eastAsia="Calibri"/>
                <w:bCs/>
                <w:sz w:val="22"/>
                <w:szCs w:val="22"/>
                <w:vertAlign w:val="superscript"/>
                <w:lang w:eastAsia="en-US"/>
              </w:rPr>
              <w:t>/</w:t>
            </w:r>
          </w:p>
        </w:tc>
        <w:tc>
          <w:tcPr>
            <w:tcW w:w="2835" w:type="dxa"/>
            <w:tcBorders>
              <w:top w:val="nil"/>
              <w:left w:val="single" w:sz="4" w:space="0" w:color="auto"/>
              <w:bottom w:val="nil"/>
              <w:right w:val="single" w:sz="4" w:space="0" w:color="auto"/>
            </w:tcBorders>
            <w:shd w:val="clear" w:color="auto" w:fill="auto"/>
          </w:tcPr>
          <w:p w14:paraId="6BFE7EEB"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w:t>
            </w:r>
          </w:p>
        </w:tc>
        <w:tc>
          <w:tcPr>
            <w:tcW w:w="1134" w:type="dxa"/>
            <w:tcBorders>
              <w:top w:val="nil"/>
              <w:left w:val="single" w:sz="4" w:space="0" w:color="auto"/>
              <w:bottom w:val="nil"/>
              <w:right w:val="single" w:sz="4" w:space="0" w:color="auto"/>
            </w:tcBorders>
            <w:shd w:val="clear" w:color="auto" w:fill="auto"/>
          </w:tcPr>
          <w:p w14:paraId="1D57DCC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47.3</w:t>
            </w:r>
          </w:p>
        </w:tc>
        <w:tc>
          <w:tcPr>
            <w:tcW w:w="1241" w:type="dxa"/>
            <w:tcBorders>
              <w:top w:val="nil"/>
              <w:left w:val="single" w:sz="4" w:space="0" w:color="auto"/>
              <w:bottom w:val="nil"/>
              <w:right w:val="single" w:sz="4" w:space="0" w:color="auto"/>
            </w:tcBorders>
            <w:shd w:val="clear" w:color="auto" w:fill="auto"/>
          </w:tcPr>
          <w:p w14:paraId="4EBCBACB"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35.2</w:t>
            </w:r>
          </w:p>
        </w:tc>
        <w:tc>
          <w:tcPr>
            <w:tcW w:w="1168" w:type="dxa"/>
            <w:tcBorders>
              <w:top w:val="nil"/>
              <w:left w:val="single" w:sz="4" w:space="0" w:color="auto"/>
              <w:bottom w:val="nil"/>
              <w:right w:val="single" w:sz="4" w:space="0" w:color="auto"/>
            </w:tcBorders>
            <w:shd w:val="clear" w:color="auto" w:fill="auto"/>
          </w:tcPr>
          <w:p w14:paraId="3956E00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530</w:t>
            </w:r>
          </w:p>
        </w:tc>
        <w:tc>
          <w:tcPr>
            <w:tcW w:w="1134" w:type="dxa"/>
            <w:tcBorders>
              <w:top w:val="nil"/>
              <w:left w:val="single" w:sz="4" w:space="0" w:color="auto"/>
              <w:bottom w:val="nil"/>
              <w:right w:val="single" w:sz="4" w:space="0" w:color="auto"/>
            </w:tcBorders>
            <w:shd w:val="clear" w:color="auto" w:fill="auto"/>
          </w:tcPr>
          <w:p w14:paraId="54DE388D"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28 000</w:t>
            </w:r>
          </w:p>
        </w:tc>
      </w:tr>
      <w:tr w:rsidR="001C7F15" w:rsidRPr="001C7F15" w14:paraId="3A8504EA"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7A9E0870"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SF Soriana</w:t>
            </w:r>
          </w:p>
        </w:tc>
        <w:tc>
          <w:tcPr>
            <w:tcW w:w="2835" w:type="dxa"/>
            <w:tcBorders>
              <w:top w:val="nil"/>
              <w:left w:val="single" w:sz="4" w:space="0" w:color="auto"/>
              <w:bottom w:val="nil"/>
              <w:right w:val="single" w:sz="4" w:space="0" w:color="auto"/>
            </w:tcBorders>
            <w:shd w:val="clear" w:color="auto" w:fill="auto"/>
          </w:tcPr>
          <w:p w14:paraId="1BB6BAEF"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Soriana - Banamex</w:t>
            </w:r>
          </w:p>
        </w:tc>
        <w:tc>
          <w:tcPr>
            <w:tcW w:w="1134" w:type="dxa"/>
            <w:tcBorders>
              <w:top w:val="nil"/>
              <w:left w:val="single" w:sz="4" w:space="0" w:color="auto"/>
              <w:bottom w:val="nil"/>
              <w:right w:val="single" w:sz="4" w:space="0" w:color="auto"/>
            </w:tcBorders>
            <w:shd w:val="clear" w:color="auto" w:fill="auto"/>
          </w:tcPr>
          <w:p w14:paraId="4C2E1B3F"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47.4</w:t>
            </w:r>
          </w:p>
        </w:tc>
        <w:tc>
          <w:tcPr>
            <w:tcW w:w="1241" w:type="dxa"/>
            <w:tcBorders>
              <w:top w:val="nil"/>
              <w:left w:val="single" w:sz="4" w:space="0" w:color="auto"/>
              <w:bottom w:val="nil"/>
              <w:right w:val="single" w:sz="4" w:space="0" w:color="auto"/>
            </w:tcBorders>
            <w:shd w:val="clear" w:color="auto" w:fill="auto"/>
          </w:tcPr>
          <w:p w14:paraId="1FD8111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35.3</w:t>
            </w:r>
          </w:p>
        </w:tc>
        <w:tc>
          <w:tcPr>
            <w:tcW w:w="1168" w:type="dxa"/>
            <w:tcBorders>
              <w:top w:val="nil"/>
              <w:left w:val="single" w:sz="4" w:space="0" w:color="auto"/>
              <w:bottom w:val="nil"/>
              <w:right w:val="single" w:sz="4" w:space="0" w:color="auto"/>
            </w:tcBorders>
            <w:shd w:val="clear" w:color="auto" w:fill="auto"/>
          </w:tcPr>
          <w:p w14:paraId="3F15351D"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520</w:t>
            </w:r>
          </w:p>
        </w:tc>
        <w:tc>
          <w:tcPr>
            <w:tcW w:w="1134" w:type="dxa"/>
            <w:tcBorders>
              <w:top w:val="nil"/>
              <w:left w:val="single" w:sz="4" w:space="0" w:color="auto"/>
              <w:bottom w:val="nil"/>
              <w:right w:val="single" w:sz="4" w:space="0" w:color="auto"/>
            </w:tcBorders>
            <w:shd w:val="clear" w:color="auto" w:fill="auto"/>
          </w:tcPr>
          <w:p w14:paraId="2BA3807D"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25 000</w:t>
            </w:r>
          </w:p>
        </w:tc>
      </w:tr>
      <w:tr w:rsidR="001C7F15" w:rsidRPr="001C7F15" w14:paraId="2D106A6C"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1C1A661E"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HSBC</w:t>
            </w:r>
          </w:p>
        </w:tc>
        <w:tc>
          <w:tcPr>
            <w:tcW w:w="2835" w:type="dxa"/>
            <w:tcBorders>
              <w:top w:val="nil"/>
              <w:left w:val="single" w:sz="4" w:space="0" w:color="auto"/>
              <w:bottom w:val="nil"/>
              <w:right w:val="single" w:sz="4" w:space="0" w:color="auto"/>
            </w:tcBorders>
            <w:shd w:val="clear" w:color="auto" w:fill="auto"/>
          </w:tcPr>
          <w:p w14:paraId="3BCC4FF6"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Clásica HSBC</w:t>
            </w:r>
          </w:p>
        </w:tc>
        <w:tc>
          <w:tcPr>
            <w:tcW w:w="1134" w:type="dxa"/>
            <w:tcBorders>
              <w:top w:val="nil"/>
              <w:left w:val="single" w:sz="4" w:space="0" w:color="auto"/>
              <w:bottom w:val="nil"/>
              <w:right w:val="single" w:sz="4" w:space="0" w:color="auto"/>
            </w:tcBorders>
            <w:shd w:val="clear" w:color="auto" w:fill="auto"/>
          </w:tcPr>
          <w:p w14:paraId="282459A6"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48.1</w:t>
            </w:r>
          </w:p>
        </w:tc>
        <w:tc>
          <w:tcPr>
            <w:tcW w:w="1241" w:type="dxa"/>
            <w:tcBorders>
              <w:top w:val="nil"/>
              <w:left w:val="single" w:sz="4" w:space="0" w:color="auto"/>
              <w:bottom w:val="nil"/>
              <w:right w:val="single" w:sz="4" w:space="0" w:color="auto"/>
            </w:tcBorders>
            <w:shd w:val="clear" w:color="auto" w:fill="auto"/>
          </w:tcPr>
          <w:p w14:paraId="1590018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35.5</w:t>
            </w:r>
          </w:p>
        </w:tc>
        <w:tc>
          <w:tcPr>
            <w:tcW w:w="1168" w:type="dxa"/>
            <w:tcBorders>
              <w:top w:val="nil"/>
              <w:left w:val="single" w:sz="4" w:space="0" w:color="auto"/>
              <w:bottom w:val="nil"/>
              <w:right w:val="single" w:sz="4" w:space="0" w:color="auto"/>
            </w:tcBorders>
            <w:shd w:val="clear" w:color="auto" w:fill="auto"/>
          </w:tcPr>
          <w:p w14:paraId="5096A7A6"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560</w:t>
            </w:r>
          </w:p>
        </w:tc>
        <w:tc>
          <w:tcPr>
            <w:tcW w:w="1134" w:type="dxa"/>
            <w:tcBorders>
              <w:top w:val="nil"/>
              <w:left w:val="single" w:sz="4" w:space="0" w:color="auto"/>
              <w:bottom w:val="nil"/>
              <w:right w:val="single" w:sz="4" w:space="0" w:color="auto"/>
            </w:tcBorders>
            <w:shd w:val="clear" w:color="auto" w:fill="auto"/>
          </w:tcPr>
          <w:p w14:paraId="3EAA79D3"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31 000</w:t>
            </w:r>
          </w:p>
        </w:tc>
      </w:tr>
      <w:tr w:rsidR="001C7F15" w:rsidRPr="001C7F15" w14:paraId="059058E6" w14:textId="77777777" w:rsidTr="00E823BC">
        <w:trPr>
          <w:jc w:val="center"/>
        </w:trPr>
        <w:tc>
          <w:tcPr>
            <w:tcW w:w="1555" w:type="dxa"/>
            <w:tcBorders>
              <w:top w:val="nil"/>
              <w:left w:val="single" w:sz="4" w:space="0" w:color="auto"/>
              <w:bottom w:val="nil"/>
              <w:right w:val="single" w:sz="4" w:space="0" w:color="auto"/>
            </w:tcBorders>
            <w:shd w:val="clear" w:color="auto" w:fill="auto"/>
          </w:tcPr>
          <w:p w14:paraId="69CF71BF" w14:textId="77777777" w:rsidR="001C7F15" w:rsidRPr="001C7F15" w:rsidRDefault="001C7F15" w:rsidP="001C7F15">
            <w:pPr>
              <w:autoSpaceDE w:val="0"/>
              <w:autoSpaceDN w:val="0"/>
              <w:adjustRightInd w:val="0"/>
              <w:spacing w:before="40" w:after="40"/>
              <w:jc w:val="both"/>
              <w:rPr>
                <w:rFonts w:eastAsia="Calibri"/>
                <w:bCs/>
                <w:sz w:val="18"/>
                <w:szCs w:val="18"/>
                <w:lang w:eastAsia="en-US"/>
              </w:rPr>
            </w:pPr>
            <w:r w:rsidRPr="001C7F15">
              <w:rPr>
                <w:rFonts w:eastAsia="Calibri"/>
                <w:bCs/>
                <w:sz w:val="18"/>
                <w:szCs w:val="18"/>
                <w:lang w:eastAsia="en-US"/>
              </w:rPr>
              <w:t>Scotiabank</w:t>
            </w:r>
          </w:p>
        </w:tc>
        <w:tc>
          <w:tcPr>
            <w:tcW w:w="2835" w:type="dxa"/>
            <w:tcBorders>
              <w:top w:val="nil"/>
              <w:left w:val="single" w:sz="4" w:space="0" w:color="auto"/>
              <w:bottom w:val="nil"/>
              <w:right w:val="single" w:sz="4" w:space="0" w:color="auto"/>
            </w:tcBorders>
            <w:shd w:val="clear" w:color="auto" w:fill="auto"/>
          </w:tcPr>
          <w:p w14:paraId="564B9549" w14:textId="77777777" w:rsidR="001C7F15" w:rsidRPr="001C7F15" w:rsidRDefault="001C7F15" w:rsidP="001C7F15">
            <w:pPr>
              <w:autoSpaceDE w:val="0"/>
              <w:autoSpaceDN w:val="0"/>
              <w:adjustRightInd w:val="0"/>
              <w:spacing w:before="40" w:after="40"/>
              <w:jc w:val="both"/>
              <w:rPr>
                <w:rFonts w:eastAsia="Calibri"/>
                <w:sz w:val="18"/>
                <w:szCs w:val="18"/>
                <w:lang w:eastAsia="en-US"/>
              </w:rPr>
            </w:pPr>
            <w:r w:rsidRPr="001C7F15">
              <w:rPr>
                <w:rFonts w:eastAsia="Calibri"/>
                <w:sz w:val="18"/>
                <w:szCs w:val="18"/>
                <w:lang w:eastAsia="en-US"/>
              </w:rPr>
              <w:t>ScotiaTravel Clásica</w:t>
            </w:r>
          </w:p>
        </w:tc>
        <w:tc>
          <w:tcPr>
            <w:tcW w:w="1134" w:type="dxa"/>
            <w:tcBorders>
              <w:top w:val="nil"/>
              <w:left w:val="single" w:sz="4" w:space="0" w:color="auto"/>
              <w:bottom w:val="nil"/>
              <w:right w:val="single" w:sz="4" w:space="0" w:color="auto"/>
            </w:tcBorders>
            <w:shd w:val="clear" w:color="auto" w:fill="auto"/>
          </w:tcPr>
          <w:p w14:paraId="2CAAF6C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54.7</w:t>
            </w:r>
          </w:p>
        </w:tc>
        <w:tc>
          <w:tcPr>
            <w:tcW w:w="1241" w:type="dxa"/>
            <w:tcBorders>
              <w:top w:val="nil"/>
              <w:left w:val="single" w:sz="4" w:space="0" w:color="auto"/>
              <w:bottom w:val="nil"/>
              <w:right w:val="single" w:sz="4" w:space="0" w:color="auto"/>
            </w:tcBorders>
            <w:shd w:val="clear" w:color="auto" w:fill="auto"/>
          </w:tcPr>
          <w:p w14:paraId="35C8E67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39.6</w:t>
            </w:r>
          </w:p>
        </w:tc>
        <w:tc>
          <w:tcPr>
            <w:tcW w:w="1168" w:type="dxa"/>
            <w:tcBorders>
              <w:top w:val="nil"/>
              <w:left w:val="single" w:sz="4" w:space="0" w:color="auto"/>
              <w:bottom w:val="nil"/>
              <w:right w:val="single" w:sz="4" w:space="0" w:color="auto"/>
            </w:tcBorders>
            <w:shd w:val="clear" w:color="auto" w:fill="auto"/>
          </w:tcPr>
          <w:p w14:paraId="773D237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600</w:t>
            </w:r>
          </w:p>
        </w:tc>
        <w:tc>
          <w:tcPr>
            <w:tcW w:w="1134" w:type="dxa"/>
            <w:tcBorders>
              <w:top w:val="nil"/>
              <w:left w:val="single" w:sz="4" w:space="0" w:color="auto"/>
              <w:bottom w:val="nil"/>
              <w:right w:val="single" w:sz="4" w:space="0" w:color="auto"/>
            </w:tcBorders>
            <w:shd w:val="clear" w:color="auto" w:fill="auto"/>
          </w:tcPr>
          <w:p w14:paraId="7F875337" w14:textId="77777777" w:rsidR="001C7F15" w:rsidRPr="001C7F15" w:rsidRDefault="001C7F15" w:rsidP="001C7F15">
            <w:pPr>
              <w:autoSpaceDE w:val="0"/>
              <w:autoSpaceDN w:val="0"/>
              <w:adjustRightInd w:val="0"/>
              <w:spacing w:before="40" w:after="40"/>
              <w:ind w:right="170"/>
              <w:jc w:val="right"/>
              <w:rPr>
                <w:rFonts w:eastAsia="Calibri"/>
                <w:sz w:val="18"/>
                <w:szCs w:val="18"/>
                <w:lang w:eastAsia="en-US"/>
              </w:rPr>
            </w:pPr>
            <w:r w:rsidRPr="001C7F15">
              <w:rPr>
                <w:rFonts w:eastAsia="Calibri"/>
                <w:sz w:val="18"/>
                <w:szCs w:val="18"/>
                <w:lang w:eastAsia="en-US"/>
              </w:rPr>
              <w:t>31 600</w:t>
            </w:r>
          </w:p>
        </w:tc>
      </w:tr>
      <w:tr w:rsidR="001C7F15" w:rsidRPr="001C7F15" w14:paraId="618BF406" w14:textId="77777777" w:rsidTr="00E823BC">
        <w:trPr>
          <w:jc w:val="center"/>
        </w:trPr>
        <w:tc>
          <w:tcPr>
            <w:tcW w:w="1555" w:type="dxa"/>
            <w:tcBorders>
              <w:top w:val="nil"/>
              <w:left w:val="single" w:sz="4" w:space="0" w:color="auto"/>
              <w:bottom w:val="single" w:sz="4" w:space="0" w:color="auto"/>
              <w:right w:val="single" w:sz="4" w:space="0" w:color="auto"/>
            </w:tcBorders>
            <w:shd w:val="clear" w:color="auto" w:fill="auto"/>
          </w:tcPr>
          <w:p w14:paraId="0DAF2309" w14:textId="77777777" w:rsidR="001C7F15" w:rsidRPr="001C7F15" w:rsidRDefault="001C7F15" w:rsidP="001C7F15">
            <w:pPr>
              <w:autoSpaceDE w:val="0"/>
              <w:autoSpaceDN w:val="0"/>
              <w:adjustRightInd w:val="0"/>
              <w:spacing w:before="40" w:after="120"/>
              <w:jc w:val="both"/>
              <w:rPr>
                <w:rFonts w:eastAsia="Calibri"/>
                <w:bCs/>
                <w:sz w:val="18"/>
                <w:szCs w:val="18"/>
                <w:lang w:eastAsia="en-US"/>
              </w:rPr>
            </w:pPr>
            <w:r w:rsidRPr="001C7F15">
              <w:rPr>
                <w:rFonts w:eastAsia="Calibri"/>
                <w:bCs/>
                <w:sz w:val="18"/>
                <w:szCs w:val="18"/>
                <w:lang w:eastAsia="en-US"/>
              </w:rPr>
              <w:t>BanCoppel</w:t>
            </w:r>
          </w:p>
        </w:tc>
        <w:tc>
          <w:tcPr>
            <w:tcW w:w="2835" w:type="dxa"/>
            <w:tcBorders>
              <w:top w:val="nil"/>
              <w:left w:val="single" w:sz="4" w:space="0" w:color="auto"/>
              <w:bottom w:val="single" w:sz="4" w:space="0" w:color="auto"/>
              <w:right w:val="single" w:sz="4" w:space="0" w:color="auto"/>
            </w:tcBorders>
            <w:shd w:val="clear" w:color="auto" w:fill="auto"/>
          </w:tcPr>
          <w:p w14:paraId="12DFBB95" w14:textId="77777777" w:rsidR="001C7F15" w:rsidRPr="001C7F15" w:rsidRDefault="001C7F15" w:rsidP="001C7F15">
            <w:pPr>
              <w:autoSpaceDE w:val="0"/>
              <w:autoSpaceDN w:val="0"/>
              <w:adjustRightInd w:val="0"/>
              <w:spacing w:before="40" w:after="120"/>
              <w:jc w:val="both"/>
              <w:rPr>
                <w:rFonts w:eastAsia="Calibri"/>
                <w:sz w:val="18"/>
                <w:szCs w:val="18"/>
                <w:lang w:eastAsia="en-US"/>
              </w:rPr>
            </w:pPr>
            <w:r w:rsidRPr="001C7F15">
              <w:rPr>
                <w:rFonts w:eastAsia="Calibri"/>
                <w:sz w:val="18"/>
                <w:szCs w:val="18"/>
                <w:lang w:eastAsia="en-US"/>
              </w:rPr>
              <w:t>BanCoppel</w:t>
            </w:r>
          </w:p>
        </w:tc>
        <w:tc>
          <w:tcPr>
            <w:tcW w:w="1134" w:type="dxa"/>
            <w:tcBorders>
              <w:top w:val="nil"/>
              <w:left w:val="single" w:sz="4" w:space="0" w:color="auto"/>
              <w:bottom w:val="single" w:sz="4" w:space="0" w:color="auto"/>
              <w:right w:val="single" w:sz="4" w:space="0" w:color="auto"/>
            </w:tcBorders>
            <w:shd w:val="clear" w:color="auto" w:fill="auto"/>
          </w:tcPr>
          <w:p w14:paraId="2C2BF628"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88.3</w:t>
            </w:r>
          </w:p>
        </w:tc>
        <w:tc>
          <w:tcPr>
            <w:tcW w:w="1241" w:type="dxa"/>
            <w:tcBorders>
              <w:top w:val="nil"/>
              <w:left w:val="single" w:sz="4" w:space="0" w:color="auto"/>
              <w:bottom w:val="single" w:sz="4" w:space="0" w:color="auto"/>
              <w:right w:val="single" w:sz="4" w:space="0" w:color="auto"/>
            </w:tcBorders>
            <w:shd w:val="clear" w:color="auto" w:fill="auto"/>
          </w:tcPr>
          <w:p w14:paraId="2D8F2AC2"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65.0</w:t>
            </w:r>
          </w:p>
        </w:tc>
        <w:tc>
          <w:tcPr>
            <w:tcW w:w="1168" w:type="dxa"/>
            <w:tcBorders>
              <w:top w:val="nil"/>
              <w:left w:val="single" w:sz="4" w:space="0" w:color="auto"/>
              <w:bottom w:val="single" w:sz="4" w:space="0" w:color="auto"/>
              <w:right w:val="single" w:sz="4" w:space="0" w:color="auto"/>
            </w:tcBorders>
            <w:shd w:val="clear" w:color="auto" w:fill="auto"/>
          </w:tcPr>
          <w:p w14:paraId="6868203A"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0</w:t>
            </w:r>
          </w:p>
        </w:tc>
        <w:tc>
          <w:tcPr>
            <w:tcW w:w="1134" w:type="dxa"/>
            <w:tcBorders>
              <w:top w:val="nil"/>
              <w:left w:val="single" w:sz="4" w:space="0" w:color="auto"/>
              <w:bottom w:val="single" w:sz="4" w:space="0" w:color="auto"/>
              <w:right w:val="single" w:sz="4" w:space="0" w:color="auto"/>
            </w:tcBorders>
            <w:shd w:val="clear" w:color="auto" w:fill="auto"/>
          </w:tcPr>
          <w:p w14:paraId="7DA94368" w14:textId="77777777" w:rsidR="001C7F15" w:rsidRPr="001C7F15" w:rsidRDefault="001C7F15" w:rsidP="001C7F15">
            <w:pPr>
              <w:autoSpaceDE w:val="0"/>
              <w:autoSpaceDN w:val="0"/>
              <w:adjustRightInd w:val="0"/>
              <w:spacing w:before="40" w:after="120"/>
              <w:ind w:right="170"/>
              <w:jc w:val="right"/>
              <w:rPr>
                <w:rFonts w:eastAsia="Calibri"/>
                <w:sz w:val="18"/>
                <w:szCs w:val="18"/>
                <w:lang w:eastAsia="en-US"/>
              </w:rPr>
            </w:pPr>
            <w:r w:rsidRPr="001C7F15">
              <w:rPr>
                <w:rFonts w:eastAsia="Calibri"/>
                <w:sz w:val="18"/>
                <w:szCs w:val="18"/>
                <w:lang w:eastAsia="en-US"/>
              </w:rPr>
              <w:t>18 500</w:t>
            </w:r>
          </w:p>
        </w:tc>
      </w:tr>
      <w:tr w:rsidR="001C7F15" w:rsidRPr="001C7F15" w14:paraId="74896C53" w14:textId="77777777" w:rsidTr="00E823BC">
        <w:trPr>
          <w:jc w:val="center"/>
        </w:trPr>
        <w:tc>
          <w:tcPr>
            <w:tcW w:w="906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11D8523"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menos de 0.5% pero más de 0.1% del total de tarjetas de este segmento</w:t>
            </w:r>
          </w:p>
        </w:tc>
      </w:tr>
      <w:tr w:rsidR="001C7F15" w:rsidRPr="001C7F15" w14:paraId="7772E930" w14:textId="77777777" w:rsidTr="00E823BC">
        <w:trPr>
          <w:jc w:val="center"/>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70D9979" w14:textId="77777777" w:rsidR="001C7F15" w:rsidRPr="001C7F15" w:rsidRDefault="001C7F15" w:rsidP="001C7F15">
            <w:pPr>
              <w:spacing w:before="120" w:after="120"/>
              <w:jc w:val="both"/>
              <w:rPr>
                <w:rFonts w:eastAsia="Times New Roman"/>
                <w:sz w:val="18"/>
                <w:szCs w:val="18"/>
                <w:lang w:val="es-ES"/>
              </w:rPr>
            </w:pPr>
            <w:r w:rsidRPr="001C7F15">
              <w:rPr>
                <w:rFonts w:eastAsia="Times New Roman"/>
                <w:sz w:val="18"/>
                <w:szCs w:val="18"/>
                <w:lang w:val="es-ES"/>
              </w:rPr>
              <w:t>Banco Invex</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C59165" w14:textId="77777777" w:rsidR="001C7F15" w:rsidRPr="001C7F15" w:rsidRDefault="001C7F15" w:rsidP="001C7F15">
            <w:pPr>
              <w:spacing w:before="120" w:after="120"/>
              <w:jc w:val="both"/>
              <w:rPr>
                <w:rFonts w:eastAsia="Times New Roman"/>
                <w:bCs/>
                <w:sz w:val="18"/>
                <w:szCs w:val="18"/>
                <w:lang w:val="es-ES"/>
              </w:rPr>
            </w:pPr>
            <w:r w:rsidRPr="001C7F15">
              <w:rPr>
                <w:rFonts w:eastAsia="Times New Roman"/>
                <w:bCs/>
                <w:sz w:val="18"/>
                <w:szCs w:val="18"/>
                <w:lang w:val="es-ES"/>
              </w:rPr>
              <w:t>Volaris Clásica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67B2C0" w14:textId="77777777" w:rsidR="001C7F15" w:rsidRPr="001C7F15" w:rsidRDefault="001C7F15" w:rsidP="001C7F15">
            <w:pPr>
              <w:spacing w:before="120" w:after="120"/>
              <w:ind w:right="227"/>
              <w:jc w:val="right"/>
              <w:rPr>
                <w:rFonts w:eastAsia="Times New Roman"/>
                <w:bCs/>
                <w:sz w:val="18"/>
                <w:szCs w:val="18"/>
                <w:lang w:val="es-ES"/>
              </w:rPr>
            </w:pPr>
            <w:r w:rsidRPr="001C7F15">
              <w:rPr>
                <w:rFonts w:eastAsia="Times New Roman"/>
                <w:bCs/>
                <w:sz w:val="18"/>
                <w:szCs w:val="18"/>
                <w:lang w:val="es-ES"/>
              </w:rPr>
              <w:t>90.0</w:t>
            </w:r>
          </w:p>
        </w:tc>
        <w:tc>
          <w:tcPr>
            <w:tcW w:w="1241" w:type="dxa"/>
            <w:tcBorders>
              <w:top w:val="single" w:sz="4" w:space="0" w:color="auto"/>
              <w:left w:val="single" w:sz="4" w:space="0" w:color="auto"/>
              <w:bottom w:val="single" w:sz="4" w:space="0" w:color="auto"/>
              <w:right w:val="single" w:sz="4" w:space="0" w:color="auto"/>
            </w:tcBorders>
            <w:shd w:val="clear" w:color="auto" w:fill="auto"/>
          </w:tcPr>
          <w:p w14:paraId="3A41282C" w14:textId="77777777" w:rsidR="001C7F15" w:rsidRPr="001C7F15" w:rsidRDefault="001C7F15" w:rsidP="001C7F15">
            <w:pPr>
              <w:spacing w:before="120" w:after="120"/>
              <w:ind w:right="227"/>
              <w:jc w:val="right"/>
              <w:rPr>
                <w:rFonts w:eastAsia="Times New Roman"/>
                <w:bCs/>
                <w:sz w:val="18"/>
                <w:szCs w:val="18"/>
                <w:lang w:val="es-ES"/>
              </w:rPr>
            </w:pPr>
            <w:r w:rsidRPr="001C7F15">
              <w:rPr>
                <w:rFonts w:eastAsia="Times New Roman"/>
                <w:bCs/>
                <w:sz w:val="18"/>
                <w:szCs w:val="18"/>
                <w:lang w:val="es-ES"/>
              </w:rPr>
              <w:t>55.8</w:t>
            </w:r>
          </w:p>
        </w:tc>
        <w:tc>
          <w:tcPr>
            <w:tcW w:w="1168" w:type="dxa"/>
            <w:tcBorders>
              <w:top w:val="single" w:sz="4" w:space="0" w:color="auto"/>
              <w:left w:val="single" w:sz="4" w:space="0" w:color="auto"/>
              <w:bottom w:val="single" w:sz="4" w:space="0" w:color="auto"/>
              <w:right w:val="single" w:sz="4" w:space="0" w:color="auto"/>
            </w:tcBorders>
            <w:shd w:val="clear" w:color="auto" w:fill="auto"/>
          </w:tcPr>
          <w:p w14:paraId="70AEF134" w14:textId="77777777" w:rsidR="001C7F15" w:rsidRPr="001C7F15" w:rsidRDefault="001C7F15" w:rsidP="001C7F15">
            <w:pPr>
              <w:spacing w:before="120" w:after="120"/>
              <w:ind w:right="227"/>
              <w:jc w:val="right"/>
              <w:rPr>
                <w:rFonts w:eastAsia="Times New Roman"/>
                <w:bCs/>
                <w:sz w:val="18"/>
                <w:szCs w:val="18"/>
                <w:lang w:val="es-ES"/>
              </w:rPr>
            </w:pPr>
            <w:r w:rsidRPr="001C7F15">
              <w:rPr>
                <w:rFonts w:eastAsia="Times New Roman"/>
                <w:bCs/>
                <w:sz w:val="18"/>
                <w:szCs w:val="18"/>
                <w:lang w:val="es-ES"/>
              </w:rPr>
              <w:t>1 200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685433" w14:textId="77777777" w:rsidR="001C7F15" w:rsidRPr="001C7F15" w:rsidRDefault="001C7F15" w:rsidP="001C7F15">
            <w:pPr>
              <w:spacing w:before="120" w:after="120"/>
              <w:ind w:right="170"/>
              <w:jc w:val="right"/>
              <w:rPr>
                <w:rFonts w:eastAsia="Times New Roman"/>
                <w:bCs/>
                <w:sz w:val="18"/>
                <w:szCs w:val="18"/>
                <w:lang w:val="es-ES"/>
              </w:rPr>
            </w:pPr>
            <w:r w:rsidRPr="001C7F15">
              <w:rPr>
                <w:rFonts w:eastAsia="Times New Roman"/>
                <w:bCs/>
                <w:sz w:val="18"/>
                <w:szCs w:val="18"/>
                <w:lang w:val="es-ES"/>
              </w:rPr>
              <w:t>33 000</w:t>
            </w:r>
          </w:p>
        </w:tc>
      </w:tr>
      <w:tr w:rsidR="001C7F15" w:rsidRPr="001C7F15" w14:paraId="540EDBEA" w14:textId="77777777" w:rsidTr="00E823BC">
        <w:trPr>
          <w:jc w:val="center"/>
        </w:trPr>
        <w:tc>
          <w:tcPr>
            <w:tcW w:w="9067" w:type="dxa"/>
            <w:gridSpan w:val="6"/>
            <w:tcBorders>
              <w:top w:val="single" w:sz="4" w:space="0" w:color="auto"/>
              <w:left w:val="nil"/>
              <w:bottom w:val="nil"/>
              <w:right w:val="nil"/>
            </w:tcBorders>
            <w:shd w:val="clear" w:color="auto" w:fill="auto"/>
            <w:vAlign w:val="center"/>
          </w:tcPr>
          <w:p w14:paraId="0E68CD48" w14:textId="77777777" w:rsidR="001C7F15" w:rsidRPr="001C7F15" w:rsidRDefault="001C7F15" w:rsidP="001C7F15">
            <w:pPr>
              <w:spacing w:before="120"/>
              <w:ind w:left="227" w:hanging="227"/>
              <w:jc w:val="both"/>
              <w:rPr>
                <w:rFonts w:eastAsia="Calibri"/>
                <w:bCs/>
                <w:sz w:val="20"/>
                <w:szCs w:val="20"/>
                <w:lang w:eastAsia="en-US"/>
              </w:rPr>
            </w:pPr>
            <w:r w:rsidRPr="001C7F15">
              <w:rPr>
                <w:rFonts w:eastAsia="Calibri"/>
                <w:bCs/>
                <w:sz w:val="20"/>
                <w:szCs w:val="20"/>
                <w:u w:val="single"/>
                <w:lang w:eastAsia="en-US"/>
              </w:rPr>
              <w:t>1</w:t>
            </w:r>
            <w:r w:rsidRPr="001C7F15">
              <w:rPr>
                <w:rFonts w:eastAsia="Calibri"/>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6597EA7E" w14:textId="77777777" w:rsidR="001C7F15" w:rsidRPr="001C7F15" w:rsidRDefault="001C7F15" w:rsidP="001C7F15">
            <w:pPr>
              <w:jc w:val="both"/>
              <w:rPr>
                <w:rFonts w:eastAsia="Calibri"/>
                <w:bCs/>
                <w:sz w:val="20"/>
                <w:szCs w:val="20"/>
                <w:lang w:eastAsia="en-US"/>
              </w:rPr>
            </w:pPr>
            <w:r w:rsidRPr="001C7F15">
              <w:rPr>
                <w:rFonts w:eastAsia="Calibri"/>
                <w:bCs/>
                <w:sz w:val="20"/>
                <w:szCs w:val="20"/>
                <w:u w:val="single"/>
                <w:lang w:eastAsia="en-US"/>
              </w:rPr>
              <w:t>2</w:t>
            </w:r>
            <w:r w:rsidRPr="001C7F15">
              <w:rPr>
                <w:rFonts w:eastAsia="Calibri"/>
                <w:bCs/>
                <w:sz w:val="20"/>
                <w:szCs w:val="20"/>
                <w:lang w:eastAsia="en-US"/>
              </w:rPr>
              <w:t>/ La mediana indica que la mitad de los clientes tiene un límite de crédito por debajo del valor reportado.</w:t>
            </w:r>
          </w:p>
          <w:p w14:paraId="100BCB7A" w14:textId="77777777" w:rsidR="001C7F15" w:rsidRPr="001C7F15" w:rsidRDefault="001C7F15" w:rsidP="001C7F15">
            <w:pPr>
              <w:ind w:left="227" w:hanging="227"/>
              <w:jc w:val="both"/>
              <w:rPr>
                <w:rFonts w:eastAsia="Calibri"/>
                <w:bCs/>
                <w:sz w:val="20"/>
                <w:szCs w:val="20"/>
                <w:lang w:eastAsia="en-US"/>
              </w:rPr>
            </w:pPr>
            <w:r w:rsidRPr="001C7F15">
              <w:rPr>
                <w:rFonts w:eastAsia="Calibri"/>
                <w:bCs/>
                <w:sz w:val="20"/>
                <w:szCs w:val="20"/>
                <w:u w:val="single"/>
                <w:lang w:eastAsia="en-US"/>
              </w:rPr>
              <w:t>3</w:t>
            </w:r>
            <w:r w:rsidRPr="001C7F15">
              <w:rPr>
                <w:rFonts w:eastAsia="Calibri"/>
                <w:bCs/>
                <w:sz w:val="20"/>
                <w:szCs w:val="20"/>
                <w:lang w:eastAsia="en-US"/>
              </w:rPr>
              <w:t>/ A pesar de la fusión de Banorte e Ixe tarjetas, sus productos de tarjeta de crédito se siguen ofreciendo de forma separada.</w:t>
            </w:r>
          </w:p>
          <w:p w14:paraId="2F89C9C8" w14:textId="77777777" w:rsidR="001C7F15" w:rsidRPr="001C7F15" w:rsidRDefault="001C7F15" w:rsidP="001C7F15">
            <w:pPr>
              <w:jc w:val="both"/>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59178D2D" w14:textId="77777777" w:rsidR="001C7F15" w:rsidRPr="001C7F15" w:rsidRDefault="001C7F15" w:rsidP="001C7F15">
      <w:pPr>
        <w:spacing w:after="360" w:line="360" w:lineRule="auto"/>
        <w:ind w:right="-159"/>
        <w:jc w:val="both"/>
        <w:rPr>
          <w:rFonts w:eastAsia="Times New Roman"/>
          <w:bCs/>
          <w:sz w:val="26"/>
          <w:szCs w:val="26"/>
          <w:lang w:val="es-ES"/>
        </w:rPr>
      </w:pPr>
    </w:p>
    <w:p w14:paraId="778FEA22" w14:textId="77777777" w:rsidR="001C7F15" w:rsidRPr="001C7F15" w:rsidRDefault="001C7F15" w:rsidP="001C7F15">
      <w:pPr>
        <w:spacing w:after="360" w:line="360" w:lineRule="auto"/>
        <w:ind w:right="-159"/>
        <w:jc w:val="both"/>
        <w:rPr>
          <w:rFonts w:eastAsia="Times New Roman"/>
          <w:bCs/>
          <w:sz w:val="26"/>
          <w:szCs w:val="26"/>
          <w:lang w:val="es-ES"/>
        </w:rPr>
      </w:pPr>
    </w:p>
    <w:p w14:paraId="6716250B" w14:textId="77777777" w:rsidR="001C7F15" w:rsidRPr="001C7F15" w:rsidRDefault="001C7F15" w:rsidP="001C7F15">
      <w:pPr>
        <w:spacing w:after="360" w:line="360" w:lineRule="auto"/>
        <w:ind w:right="-159"/>
        <w:jc w:val="both"/>
        <w:rPr>
          <w:rFonts w:eastAsia="Times New Roman"/>
          <w:bCs/>
          <w:sz w:val="26"/>
          <w:szCs w:val="26"/>
          <w:lang w:val="es-ES"/>
        </w:rPr>
      </w:pPr>
    </w:p>
    <w:p w14:paraId="5797F93A" w14:textId="77777777" w:rsidR="001C7F15" w:rsidRPr="001C7F15" w:rsidRDefault="001C7F15" w:rsidP="001C7F15">
      <w:pPr>
        <w:spacing w:after="360" w:line="360" w:lineRule="auto"/>
        <w:ind w:right="-159"/>
        <w:jc w:val="both"/>
        <w:rPr>
          <w:rFonts w:eastAsia="Times New Roman"/>
          <w:bCs/>
          <w:sz w:val="26"/>
          <w:szCs w:val="26"/>
          <w:lang w:val="es-ES"/>
        </w:rPr>
      </w:pPr>
    </w:p>
    <w:p w14:paraId="7C4104ED" w14:textId="77777777" w:rsidR="001C7F15" w:rsidRPr="001C7F15" w:rsidRDefault="001C7F15" w:rsidP="001C7F15">
      <w:pPr>
        <w:spacing w:after="360" w:line="360" w:lineRule="auto"/>
        <w:ind w:right="-159"/>
        <w:jc w:val="both"/>
        <w:rPr>
          <w:rFonts w:eastAsia="Times New Roman"/>
          <w:bCs/>
          <w:sz w:val="26"/>
          <w:szCs w:val="26"/>
          <w:lang w:val="es-ES"/>
        </w:rPr>
      </w:pPr>
    </w:p>
    <w:tbl>
      <w:tblPr>
        <w:tblW w:w="9233" w:type="dxa"/>
        <w:jc w:val="center"/>
        <w:tblLook w:val="04A0" w:firstRow="1" w:lastRow="0" w:firstColumn="1" w:lastColumn="0" w:noHBand="0" w:noVBand="1"/>
      </w:tblPr>
      <w:tblGrid>
        <w:gridCol w:w="1701"/>
        <w:gridCol w:w="2235"/>
        <w:gridCol w:w="1309"/>
        <w:gridCol w:w="1332"/>
        <w:gridCol w:w="1388"/>
        <w:gridCol w:w="1102"/>
        <w:gridCol w:w="166"/>
      </w:tblGrid>
      <w:tr w:rsidR="001C7F15" w:rsidRPr="001C7F15" w14:paraId="2C5AC289" w14:textId="77777777" w:rsidTr="001C7F15">
        <w:trPr>
          <w:jc w:val="center"/>
        </w:trPr>
        <w:tc>
          <w:tcPr>
            <w:tcW w:w="9233" w:type="dxa"/>
            <w:gridSpan w:val="7"/>
            <w:tcBorders>
              <w:top w:val="nil"/>
              <w:left w:val="nil"/>
              <w:bottom w:val="single" w:sz="4" w:space="0" w:color="auto"/>
              <w:right w:val="nil"/>
            </w:tcBorders>
            <w:shd w:val="clear" w:color="auto" w:fill="auto"/>
            <w:vAlign w:val="center"/>
          </w:tcPr>
          <w:p w14:paraId="6566F6A6"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 xml:space="preserve">PRODUCTOS REPRESENTATIVOS POR INSTITUCIÓN, PARA CLIENTES NO TOTALEROS EN EL SEGMENTO DE TARJETAS “ORO” O EQUIVALENTES </w:t>
            </w:r>
            <w:r w:rsidRPr="001C7F15">
              <w:rPr>
                <w:rFonts w:eastAsia="Calibri"/>
                <w:b/>
                <w:bCs/>
                <w:sz w:val="22"/>
                <w:szCs w:val="22"/>
                <w:u w:val="single"/>
                <w:vertAlign w:val="superscript"/>
                <w:lang w:eastAsia="en-US"/>
              </w:rPr>
              <w:t>1</w:t>
            </w:r>
            <w:r w:rsidRPr="001C7F15">
              <w:rPr>
                <w:rFonts w:eastAsia="Calibri"/>
                <w:b/>
                <w:bCs/>
                <w:sz w:val="22"/>
                <w:szCs w:val="22"/>
                <w:vertAlign w:val="superscript"/>
                <w:lang w:eastAsia="en-US"/>
              </w:rPr>
              <w:t>/</w:t>
            </w:r>
          </w:p>
          <w:p w14:paraId="4167209B" w14:textId="641CB31A" w:rsidR="001C7F15" w:rsidRPr="001C7F15" w:rsidRDefault="001C7F15" w:rsidP="001C7F15">
            <w:pPr>
              <w:jc w:val="center"/>
              <w:rPr>
                <w:rFonts w:eastAsia="Calibri"/>
                <w:b/>
                <w:bCs/>
                <w:sz w:val="20"/>
                <w:szCs w:val="20"/>
                <w:lang w:eastAsia="en-US"/>
              </w:rPr>
            </w:pPr>
            <w:r w:rsidRPr="001C7F15">
              <w:rPr>
                <w:rFonts w:eastAsia="Calibri"/>
                <w:b/>
                <w:bCs/>
                <w:sz w:val="22"/>
                <w:szCs w:val="22"/>
                <w:lang w:eastAsia="en-US"/>
              </w:rPr>
              <w:t>-Datos a agosto de 2014-</w:t>
            </w:r>
          </w:p>
        </w:tc>
      </w:tr>
      <w:tr w:rsidR="001C7F15" w:rsidRPr="001C7F15" w14:paraId="38882D29" w14:textId="77777777" w:rsidTr="00E823BC">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0E5CEA6" w14:textId="77777777" w:rsidR="001C7F15" w:rsidRPr="001C7F15" w:rsidRDefault="001C7F15" w:rsidP="001C7F15">
            <w:pPr>
              <w:jc w:val="center"/>
              <w:rPr>
                <w:rFonts w:eastAsia="Calibri"/>
                <w:b/>
                <w:bCs/>
                <w:sz w:val="20"/>
                <w:szCs w:val="20"/>
                <w:lang w:eastAsia="en-US"/>
              </w:rPr>
            </w:pPr>
            <w:r w:rsidRPr="001C7F15">
              <w:rPr>
                <w:rFonts w:eastAsia="Calibri"/>
                <w:b/>
                <w:bCs/>
                <w:sz w:val="20"/>
                <w:szCs w:val="20"/>
                <w:lang w:eastAsia="en-US"/>
              </w:rPr>
              <w:t>Institución</w:t>
            </w:r>
          </w:p>
        </w:tc>
        <w:tc>
          <w:tcPr>
            <w:tcW w:w="2235" w:type="dxa"/>
            <w:tcBorders>
              <w:top w:val="single" w:sz="4" w:space="0" w:color="auto"/>
              <w:left w:val="single" w:sz="4" w:space="0" w:color="auto"/>
              <w:bottom w:val="single" w:sz="4" w:space="0" w:color="auto"/>
              <w:right w:val="single" w:sz="4" w:space="0" w:color="auto"/>
            </w:tcBorders>
            <w:shd w:val="clear" w:color="auto" w:fill="auto"/>
            <w:vAlign w:val="center"/>
          </w:tcPr>
          <w:p w14:paraId="7B3577B7"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Producto</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D3E9746"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CAT</w:t>
            </w:r>
          </w:p>
          <w:p w14:paraId="753E3291"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6E26D238"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Tasa efectiva promedio ponderada (%)</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625B9DC3"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Anualidad (pesos)</w:t>
            </w:r>
          </w:p>
        </w:tc>
        <w:tc>
          <w:tcPr>
            <w:tcW w:w="12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C01F93" w14:textId="77777777" w:rsidR="001C7F15" w:rsidRPr="001C7F15" w:rsidRDefault="001C7F15" w:rsidP="001C7F15">
            <w:pPr>
              <w:jc w:val="center"/>
              <w:rPr>
                <w:rFonts w:eastAsia="Calibri"/>
                <w:b/>
                <w:sz w:val="20"/>
                <w:szCs w:val="20"/>
                <w:lang w:eastAsia="en-US"/>
              </w:rPr>
            </w:pPr>
            <w:r w:rsidRPr="001C7F15">
              <w:rPr>
                <w:rFonts w:eastAsia="Calibri"/>
                <w:b/>
                <w:sz w:val="20"/>
                <w:szCs w:val="20"/>
                <w:lang w:eastAsia="en-US"/>
              </w:rPr>
              <w:t xml:space="preserve">Límite de crédito (mediana en pesos) </w:t>
            </w:r>
            <w:r w:rsidRPr="001C7F15">
              <w:rPr>
                <w:rFonts w:eastAsia="Calibri"/>
                <w:b/>
                <w:sz w:val="20"/>
                <w:szCs w:val="20"/>
                <w:u w:val="single"/>
                <w:vertAlign w:val="superscript"/>
                <w:lang w:eastAsia="en-US"/>
              </w:rPr>
              <w:t>2</w:t>
            </w:r>
            <w:r w:rsidRPr="001C7F15">
              <w:rPr>
                <w:rFonts w:eastAsia="Calibri"/>
                <w:b/>
                <w:sz w:val="20"/>
                <w:szCs w:val="20"/>
                <w:vertAlign w:val="superscript"/>
                <w:lang w:eastAsia="en-US"/>
              </w:rPr>
              <w:t>/</w:t>
            </w:r>
          </w:p>
        </w:tc>
      </w:tr>
      <w:tr w:rsidR="001C7F15" w:rsidRPr="001C7F15" w14:paraId="3E7DC049" w14:textId="77777777" w:rsidTr="00E823BC">
        <w:trPr>
          <w:jc w:val="center"/>
        </w:trPr>
        <w:tc>
          <w:tcPr>
            <w:tcW w:w="923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3940F4" w14:textId="77777777" w:rsidR="001C7F15" w:rsidRPr="001C7F15" w:rsidRDefault="001C7F15" w:rsidP="001C7F15">
            <w:pPr>
              <w:spacing w:before="40" w:after="40"/>
              <w:jc w:val="center"/>
              <w:rPr>
                <w:rFonts w:eastAsia="Calibri"/>
                <w:b/>
                <w:bCs/>
                <w:sz w:val="20"/>
                <w:szCs w:val="20"/>
                <w:lang w:eastAsia="en-US"/>
              </w:rPr>
            </w:pPr>
            <w:r w:rsidRPr="001C7F15">
              <w:rPr>
                <w:rFonts w:eastAsia="Calibri"/>
                <w:b/>
                <w:bCs/>
                <w:sz w:val="20"/>
                <w:szCs w:val="20"/>
                <w:lang w:eastAsia="en-US"/>
              </w:rPr>
              <w:t>Productos con al menos 0.5% del total de tarjetas de este segmento</w:t>
            </w:r>
          </w:p>
        </w:tc>
      </w:tr>
      <w:tr w:rsidR="001C7F15" w:rsidRPr="001C7F15" w14:paraId="052CAF1F" w14:textId="77777777" w:rsidTr="00E823BC">
        <w:trPr>
          <w:jc w:val="center"/>
        </w:trPr>
        <w:tc>
          <w:tcPr>
            <w:tcW w:w="1701" w:type="dxa"/>
            <w:tcBorders>
              <w:top w:val="single" w:sz="4" w:space="0" w:color="auto"/>
              <w:left w:val="single" w:sz="4" w:space="0" w:color="auto"/>
              <w:bottom w:val="nil"/>
              <w:right w:val="single" w:sz="4" w:space="0" w:color="auto"/>
            </w:tcBorders>
            <w:shd w:val="clear" w:color="auto" w:fill="auto"/>
          </w:tcPr>
          <w:p w14:paraId="79467CB8" w14:textId="77777777" w:rsidR="001C7F15" w:rsidRPr="001C7F15" w:rsidRDefault="001C7F15" w:rsidP="001C7F15">
            <w:pPr>
              <w:spacing w:before="120" w:after="40"/>
              <w:jc w:val="both"/>
              <w:rPr>
                <w:rFonts w:eastAsia="Calibri"/>
                <w:bCs/>
                <w:sz w:val="18"/>
                <w:szCs w:val="18"/>
                <w:lang w:eastAsia="en-US"/>
              </w:rPr>
            </w:pPr>
            <w:r w:rsidRPr="001C7F15">
              <w:rPr>
                <w:rFonts w:eastAsia="Calibri"/>
                <w:bCs/>
                <w:sz w:val="18"/>
                <w:szCs w:val="18"/>
                <w:lang w:eastAsia="en-US"/>
              </w:rPr>
              <w:t>Inbursa</w:t>
            </w:r>
          </w:p>
        </w:tc>
        <w:tc>
          <w:tcPr>
            <w:tcW w:w="2235" w:type="dxa"/>
            <w:tcBorders>
              <w:top w:val="single" w:sz="4" w:space="0" w:color="auto"/>
              <w:left w:val="single" w:sz="4" w:space="0" w:color="auto"/>
              <w:bottom w:val="nil"/>
              <w:right w:val="single" w:sz="4" w:space="0" w:color="auto"/>
            </w:tcBorders>
            <w:shd w:val="clear" w:color="auto" w:fill="auto"/>
          </w:tcPr>
          <w:p w14:paraId="202B94A2" w14:textId="77777777" w:rsidR="001C7F15" w:rsidRPr="001C7F15" w:rsidRDefault="001C7F15" w:rsidP="001C7F15">
            <w:pPr>
              <w:spacing w:before="120" w:after="40"/>
              <w:jc w:val="both"/>
              <w:rPr>
                <w:rFonts w:eastAsia="Calibri"/>
                <w:sz w:val="18"/>
                <w:szCs w:val="18"/>
                <w:lang w:eastAsia="en-US"/>
              </w:rPr>
            </w:pPr>
            <w:r w:rsidRPr="001C7F15">
              <w:rPr>
                <w:rFonts w:eastAsia="Calibri"/>
                <w:sz w:val="18"/>
                <w:szCs w:val="18"/>
                <w:lang w:eastAsia="en-US"/>
              </w:rPr>
              <w:t>Oro Inbursa</w:t>
            </w:r>
          </w:p>
        </w:tc>
        <w:tc>
          <w:tcPr>
            <w:tcW w:w="1309" w:type="dxa"/>
            <w:tcBorders>
              <w:top w:val="single" w:sz="4" w:space="0" w:color="auto"/>
              <w:left w:val="single" w:sz="4" w:space="0" w:color="auto"/>
              <w:bottom w:val="nil"/>
              <w:right w:val="single" w:sz="4" w:space="0" w:color="auto"/>
            </w:tcBorders>
            <w:shd w:val="clear" w:color="auto" w:fill="auto"/>
          </w:tcPr>
          <w:p w14:paraId="42F1D302"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29.2</w:t>
            </w:r>
          </w:p>
        </w:tc>
        <w:tc>
          <w:tcPr>
            <w:tcW w:w="1332" w:type="dxa"/>
            <w:tcBorders>
              <w:top w:val="single" w:sz="4" w:space="0" w:color="auto"/>
              <w:left w:val="single" w:sz="4" w:space="0" w:color="auto"/>
              <w:bottom w:val="nil"/>
              <w:right w:val="single" w:sz="4" w:space="0" w:color="auto"/>
            </w:tcBorders>
            <w:shd w:val="clear" w:color="auto" w:fill="auto"/>
          </w:tcPr>
          <w:p w14:paraId="5238CA7E"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25.9</w:t>
            </w:r>
          </w:p>
        </w:tc>
        <w:tc>
          <w:tcPr>
            <w:tcW w:w="1388" w:type="dxa"/>
            <w:tcBorders>
              <w:top w:val="single" w:sz="4" w:space="0" w:color="auto"/>
              <w:left w:val="single" w:sz="4" w:space="0" w:color="auto"/>
              <w:bottom w:val="nil"/>
              <w:right w:val="single" w:sz="4" w:space="0" w:color="auto"/>
            </w:tcBorders>
            <w:shd w:val="clear" w:color="auto" w:fill="auto"/>
          </w:tcPr>
          <w:p w14:paraId="67BD2AA6"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0</w:t>
            </w:r>
          </w:p>
        </w:tc>
        <w:tc>
          <w:tcPr>
            <w:tcW w:w="1268" w:type="dxa"/>
            <w:gridSpan w:val="2"/>
            <w:tcBorders>
              <w:top w:val="single" w:sz="4" w:space="0" w:color="auto"/>
              <w:left w:val="single" w:sz="4" w:space="0" w:color="auto"/>
              <w:bottom w:val="nil"/>
              <w:right w:val="single" w:sz="4" w:space="0" w:color="auto"/>
            </w:tcBorders>
            <w:shd w:val="clear" w:color="auto" w:fill="auto"/>
          </w:tcPr>
          <w:p w14:paraId="5F1A0B34"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35 000</w:t>
            </w:r>
          </w:p>
        </w:tc>
      </w:tr>
      <w:tr w:rsidR="001C7F15" w:rsidRPr="001C7F15" w14:paraId="5D3566F2"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1E46FAF3"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Santander</w:t>
            </w:r>
          </w:p>
        </w:tc>
        <w:tc>
          <w:tcPr>
            <w:tcW w:w="2235" w:type="dxa"/>
            <w:tcBorders>
              <w:top w:val="nil"/>
              <w:left w:val="single" w:sz="4" w:space="0" w:color="auto"/>
              <w:bottom w:val="nil"/>
              <w:right w:val="single" w:sz="4" w:space="0" w:color="auto"/>
            </w:tcBorders>
            <w:shd w:val="clear" w:color="auto" w:fill="auto"/>
          </w:tcPr>
          <w:p w14:paraId="24160915"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UNISantander - K</w:t>
            </w:r>
          </w:p>
        </w:tc>
        <w:tc>
          <w:tcPr>
            <w:tcW w:w="1309" w:type="dxa"/>
            <w:tcBorders>
              <w:top w:val="nil"/>
              <w:left w:val="single" w:sz="4" w:space="0" w:color="auto"/>
              <w:bottom w:val="nil"/>
              <w:right w:val="single" w:sz="4" w:space="0" w:color="auto"/>
            </w:tcBorders>
            <w:shd w:val="clear" w:color="auto" w:fill="auto"/>
          </w:tcPr>
          <w:p w14:paraId="7C672512"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32.8</w:t>
            </w:r>
          </w:p>
        </w:tc>
        <w:tc>
          <w:tcPr>
            <w:tcW w:w="1332" w:type="dxa"/>
            <w:tcBorders>
              <w:top w:val="nil"/>
              <w:left w:val="single" w:sz="4" w:space="0" w:color="auto"/>
              <w:bottom w:val="nil"/>
              <w:right w:val="single" w:sz="4" w:space="0" w:color="auto"/>
            </w:tcBorders>
            <w:shd w:val="clear" w:color="auto" w:fill="auto"/>
          </w:tcPr>
          <w:p w14:paraId="1C061775"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28.7</w:t>
            </w:r>
          </w:p>
        </w:tc>
        <w:tc>
          <w:tcPr>
            <w:tcW w:w="1388" w:type="dxa"/>
            <w:tcBorders>
              <w:top w:val="nil"/>
              <w:left w:val="single" w:sz="4" w:space="0" w:color="auto"/>
              <w:bottom w:val="nil"/>
              <w:right w:val="single" w:sz="4" w:space="0" w:color="auto"/>
            </w:tcBorders>
            <w:shd w:val="clear" w:color="auto" w:fill="auto"/>
          </w:tcPr>
          <w:p w14:paraId="30BE96F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0</w:t>
            </w:r>
          </w:p>
        </w:tc>
        <w:tc>
          <w:tcPr>
            <w:tcW w:w="1268" w:type="dxa"/>
            <w:gridSpan w:val="2"/>
            <w:tcBorders>
              <w:top w:val="nil"/>
              <w:left w:val="single" w:sz="4" w:space="0" w:color="auto"/>
              <w:bottom w:val="nil"/>
              <w:right w:val="single" w:sz="4" w:space="0" w:color="auto"/>
            </w:tcBorders>
            <w:shd w:val="clear" w:color="auto" w:fill="auto"/>
          </w:tcPr>
          <w:p w14:paraId="1AB2ECDC"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20 000</w:t>
            </w:r>
          </w:p>
        </w:tc>
      </w:tr>
      <w:tr w:rsidR="001C7F15" w:rsidRPr="001C7F15" w14:paraId="4774B5A4"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64BB4680"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 xml:space="preserve">Ixe Tarjetas </w:t>
            </w:r>
            <w:r w:rsidRPr="001C7F15">
              <w:rPr>
                <w:rFonts w:eastAsia="Calibri"/>
                <w:bCs/>
                <w:sz w:val="22"/>
                <w:szCs w:val="22"/>
                <w:u w:val="single"/>
                <w:vertAlign w:val="superscript"/>
                <w:lang w:eastAsia="en-US"/>
              </w:rPr>
              <w:t>3</w:t>
            </w:r>
            <w:r w:rsidRPr="001C7F15">
              <w:rPr>
                <w:rFonts w:eastAsia="Calibri"/>
                <w:bCs/>
                <w:sz w:val="22"/>
                <w:szCs w:val="22"/>
                <w:vertAlign w:val="superscript"/>
                <w:lang w:eastAsia="en-US"/>
              </w:rPr>
              <w:t>/</w:t>
            </w:r>
          </w:p>
        </w:tc>
        <w:tc>
          <w:tcPr>
            <w:tcW w:w="2235" w:type="dxa"/>
            <w:tcBorders>
              <w:top w:val="nil"/>
              <w:left w:val="single" w:sz="4" w:space="0" w:color="auto"/>
              <w:bottom w:val="nil"/>
              <w:right w:val="single" w:sz="4" w:space="0" w:color="auto"/>
            </w:tcBorders>
            <w:shd w:val="clear" w:color="auto" w:fill="auto"/>
          </w:tcPr>
          <w:p w14:paraId="7F8C8E9D"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Oro</w:t>
            </w:r>
          </w:p>
        </w:tc>
        <w:tc>
          <w:tcPr>
            <w:tcW w:w="1309" w:type="dxa"/>
            <w:tcBorders>
              <w:top w:val="nil"/>
              <w:left w:val="single" w:sz="4" w:space="0" w:color="auto"/>
              <w:bottom w:val="nil"/>
              <w:right w:val="single" w:sz="4" w:space="0" w:color="auto"/>
            </w:tcBorders>
            <w:shd w:val="clear" w:color="auto" w:fill="auto"/>
          </w:tcPr>
          <w:p w14:paraId="4E480F60"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38.0</w:t>
            </w:r>
          </w:p>
        </w:tc>
        <w:tc>
          <w:tcPr>
            <w:tcW w:w="1332" w:type="dxa"/>
            <w:tcBorders>
              <w:top w:val="nil"/>
              <w:left w:val="single" w:sz="4" w:space="0" w:color="auto"/>
              <w:bottom w:val="nil"/>
              <w:right w:val="single" w:sz="4" w:space="0" w:color="auto"/>
            </w:tcBorders>
            <w:shd w:val="clear" w:color="auto" w:fill="auto"/>
          </w:tcPr>
          <w:p w14:paraId="3D82B6E8"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30.1</w:t>
            </w:r>
          </w:p>
        </w:tc>
        <w:tc>
          <w:tcPr>
            <w:tcW w:w="1388" w:type="dxa"/>
            <w:tcBorders>
              <w:top w:val="nil"/>
              <w:left w:val="single" w:sz="4" w:space="0" w:color="auto"/>
              <w:bottom w:val="nil"/>
              <w:right w:val="single" w:sz="4" w:space="0" w:color="auto"/>
            </w:tcBorders>
            <w:shd w:val="clear" w:color="auto" w:fill="auto"/>
          </w:tcPr>
          <w:p w14:paraId="5AAFC4BC"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770</w:t>
            </w:r>
          </w:p>
        </w:tc>
        <w:tc>
          <w:tcPr>
            <w:tcW w:w="1268" w:type="dxa"/>
            <w:gridSpan w:val="2"/>
            <w:tcBorders>
              <w:top w:val="nil"/>
              <w:left w:val="single" w:sz="4" w:space="0" w:color="auto"/>
              <w:bottom w:val="nil"/>
              <w:right w:val="single" w:sz="4" w:space="0" w:color="auto"/>
            </w:tcBorders>
            <w:shd w:val="clear" w:color="auto" w:fill="auto"/>
          </w:tcPr>
          <w:p w14:paraId="241B5410"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25 000</w:t>
            </w:r>
          </w:p>
        </w:tc>
      </w:tr>
      <w:tr w:rsidR="001C7F15" w:rsidRPr="001C7F15" w14:paraId="7CF1727B"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63692786"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BBVA Bancomer</w:t>
            </w:r>
          </w:p>
        </w:tc>
        <w:tc>
          <w:tcPr>
            <w:tcW w:w="2235" w:type="dxa"/>
            <w:tcBorders>
              <w:top w:val="nil"/>
              <w:left w:val="single" w:sz="4" w:space="0" w:color="auto"/>
              <w:bottom w:val="nil"/>
              <w:right w:val="single" w:sz="4" w:space="0" w:color="auto"/>
            </w:tcBorders>
            <w:shd w:val="clear" w:color="auto" w:fill="auto"/>
          </w:tcPr>
          <w:p w14:paraId="541E1C71"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Oro Bancomer</w:t>
            </w:r>
          </w:p>
        </w:tc>
        <w:tc>
          <w:tcPr>
            <w:tcW w:w="1309" w:type="dxa"/>
            <w:tcBorders>
              <w:top w:val="nil"/>
              <w:left w:val="single" w:sz="4" w:space="0" w:color="auto"/>
              <w:bottom w:val="nil"/>
              <w:right w:val="single" w:sz="4" w:space="0" w:color="auto"/>
            </w:tcBorders>
            <w:shd w:val="clear" w:color="auto" w:fill="auto"/>
          </w:tcPr>
          <w:p w14:paraId="2235EFF2"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41.2</w:t>
            </w:r>
          </w:p>
        </w:tc>
        <w:tc>
          <w:tcPr>
            <w:tcW w:w="1332" w:type="dxa"/>
            <w:tcBorders>
              <w:top w:val="nil"/>
              <w:left w:val="single" w:sz="4" w:space="0" w:color="auto"/>
              <w:bottom w:val="nil"/>
              <w:right w:val="single" w:sz="4" w:space="0" w:color="auto"/>
            </w:tcBorders>
            <w:shd w:val="clear" w:color="auto" w:fill="auto"/>
          </w:tcPr>
          <w:p w14:paraId="0A42E90A"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32.0</w:t>
            </w:r>
          </w:p>
        </w:tc>
        <w:tc>
          <w:tcPr>
            <w:tcW w:w="1388" w:type="dxa"/>
            <w:tcBorders>
              <w:top w:val="nil"/>
              <w:left w:val="single" w:sz="4" w:space="0" w:color="auto"/>
              <w:bottom w:val="nil"/>
              <w:right w:val="single" w:sz="4" w:space="0" w:color="auto"/>
            </w:tcBorders>
            <w:shd w:val="clear" w:color="auto" w:fill="auto"/>
          </w:tcPr>
          <w:p w14:paraId="43F2DB1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905</w:t>
            </w:r>
          </w:p>
        </w:tc>
        <w:tc>
          <w:tcPr>
            <w:tcW w:w="1268" w:type="dxa"/>
            <w:gridSpan w:val="2"/>
            <w:tcBorders>
              <w:top w:val="nil"/>
              <w:left w:val="single" w:sz="4" w:space="0" w:color="auto"/>
              <w:bottom w:val="nil"/>
              <w:right w:val="single" w:sz="4" w:space="0" w:color="auto"/>
            </w:tcBorders>
            <w:shd w:val="clear" w:color="auto" w:fill="auto"/>
          </w:tcPr>
          <w:p w14:paraId="56CC76A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50 000</w:t>
            </w:r>
          </w:p>
        </w:tc>
      </w:tr>
      <w:tr w:rsidR="001C7F15" w:rsidRPr="001C7F15" w14:paraId="2ED7B720"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55C1DC42"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 xml:space="preserve">Banorte </w:t>
            </w:r>
            <w:r w:rsidRPr="001C7F15">
              <w:rPr>
                <w:rFonts w:eastAsia="Calibri"/>
                <w:bCs/>
                <w:sz w:val="22"/>
                <w:szCs w:val="22"/>
                <w:u w:val="single"/>
                <w:vertAlign w:val="superscript"/>
                <w:lang w:eastAsia="en-US"/>
              </w:rPr>
              <w:t>3</w:t>
            </w:r>
            <w:r w:rsidRPr="001C7F15">
              <w:rPr>
                <w:rFonts w:eastAsia="Calibri"/>
                <w:bCs/>
                <w:sz w:val="22"/>
                <w:szCs w:val="22"/>
                <w:vertAlign w:val="superscript"/>
                <w:lang w:eastAsia="en-US"/>
              </w:rPr>
              <w:t>/</w:t>
            </w:r>
          </w:p>
        </w:tc>
        <w:tc>
          <w:tcPr>
            <w:tcW w:w="2235" w:type="dxa"/>
            <w:tcBorders>
              <w:top w:val="nil"/>
              <w:left w:val="single" w:sz="4" w:space="0" w:color="auto"/>
              <w:bottom w:val="nil"/>
              <w:right w:val="single" w:sz="4" w:space="0" w:color="auto"/>
            </w:tcBorders>
            <w:shd w:val="clear" w:color="auto" w:fill="auto"/>
          </w:tcPr>
          <w:p w14:paraId="092BA852"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Oro</w:t>
            </w:r>
          </w:p>
        </w:tc>
        <w:tc>
          <w:tcPr>
            <w:tcW w:w="1309" w:type="dxa"/>
            <w:tcBorders>
              <w:top w:val="nil"/>
              <w:left w:val="single" w:sz="4" w:space="0" w:color="auto"/>
              <w:bottom w:val="nil"/>
              <w:right w:val="single" w:sz="4" w:space="0" w:color="auto"/>
            </w:tcBorders>
            <w:shd w:val="clear" w:color="auto" w:fill="auto"/>
          </w:tcPr>
          <w:p w14:paraId="6AE50B2F"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41.7</w:t>
            </w:r>
          </w:p>
        </w:tc>
        <w:tc>
          <w:tcPr>
            <w:tcW w:w="1332" w:type="dxa"/>
            <w:tcBorders>
              <w:top w:val="nil"/>
              <w:left w:val="single" w:sz="4" w:space="0" w:color="auto"/>
              <w:bottom w:val="nil"/>
              <w:right w:val="single" w:sz="4" w:space="0" w:color="auto"/>
            </w:tcBorders>
            <w:shd w:val="clear" w:color="auto" w:fill="auto"/>
          </w:tcPr>
          <w:p w14:paraId="6FEAE928"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32.8</w:t>
            </w:r>
          </w:p>
        </w:tc>
        <w:tc>
          <w:tcPr>
            <w:tcW w:w="1388" w:type="dxa"/>
            <w:tcBorders>
              <w:top w:val="nil"/>
              <w:left w:val="single" w:sz="4" w:space="0" w:color="auto"/>
              <w:bottom w:val="nil"/>
              <w:right w:val="single" w:sz="4" w:space="0" w:color="auto"/>
            </w:tcBorders>
            <w:shd w:val="clear" w:color="auto" w:fill="auto"/>
          </w:tcPr>
          <w:p w14:paraId="21FF90B4"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770</w:t>
            </w:r>
          </w:p>
        </w:tc>
        <w:tc>
          <w:tcPr>
            <w:tcW w:w="1268" w:type="dxa"/>
            <w:gridSpan w:val="2"/>
            <w:tcBorders>
              <w:top w:val="nil"/>
              <w:left w:val="single" w:sz="4" w:space="0" w:color="auto"/>
              <w:bottom w:val="nil"/>
              <w:right w:val="single" w:sz="4" w:space="0" w:color="auto"/>
            </w:tcBorders>
            <w:shd w:val="clear" w:color="auto" w:fill="auto"/>
          </w:tcPr>
          <w:p w14:paraId="645F15E4"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36 000</w:t>
            </w:r>
          </w:p>
        </w:tc>
      </w:tr>
      <w:tr w:rsidR="001C7F15" w:rsidRPr="001C7F15" w14:paraId="4784EC85"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249924A9"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Banamex</w:t>
            </w:r>
          </w:p>
        </w:tc>
        <w:tc>
          <w:tcPr>
            <w:tcW w:w="2235" w:type="dxa"/>
            <w:tcBorders>
              <w:top w:val="nil"/>
              <w:left w:val="single" w:sz="4" w:space="0" w:color="auto"/>
              <w:bottom w:val="nil"/>
              <w:right w:val="single" w:sz="4" w:space="0" w:color="auto"/>
            </w:tcBorders>
            <w:shd w:val="clear" w:color="auto" w:fill="auto"/>
          </w:tcPr>
          <w:p w14:paraId="22203FAA"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Oro</w:t>
            </w:r>
          </w:p>
        </w:tc>
        <w:tc>
          <w:tcPr>
            <w:tcW w:w="1309" w:type="dxa"/>
            <w:tcBorders>
              <w:top w:val="nil"/>
              <w:left w:val="single" w:sz="4" w:space="0" w:color="auto"/>
              <w:bottom w:val="nil"/>
              <w:right w:val="single" w:sz="4" w:space="0" w:color="auto"/>
            </w:tcBorders>
            <w:shd w:val="clear" w:color="auto" w:fill="auto"/>
          </w:tcPr>
          <w:p w14:paraId="4A370F2F"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42.3</w:t>
            </w:r>
          </w:p>
        </w:tc>
        <w:tc>
          <w:tcPr>
            <w:tcW w:w="1332" w:type="dxa"/>
            <w:tcBorders>
              <w:top w:val="nil"/>
              <w:left w:val="single" w:sz="4" w:space="0" w:color="auto"/>
              <w:bottom w:val="nil"/>
              <w:right w:val="single" w:sz="4" w:space="0" w:color="auto"/>
            </w:tcBorders>
            <w:shd w:val="clear" w:color="auto" w:fill="auto"/>
          </w:tcPr>
          <w:p w14:paraId="3D4E6148"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32.8</w:t>
            </w:r>
          </w:p>
        </w:tc>
        <w:tc>
          <w:tcPr>
            <w:tcW w:w="1388" w:type="dxa"/>
            <w:tcBorders>
              <w:top w:val="nil"/>
              <w:left w:val="single" w:sz="4" w:space="0" w:color="auto"/>
              <w:bottom w:val="nil"/>
              <w:right w:val="single" w:sz="4" w:space="0" w:color="auto"/>
            </w:tcBorders>
            <w:shd w:val="clear" w:color="auto" w:fill="auto"/>
          </w:tcPr>
          <w:p w14:paraId="02F6CD85"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900</w:t>
            </w:r>
          </w:p>
        </w:tc>
        <w:tc>
          <w:tcPr>
            <w:tcW w:w="1268" w:type="dxa"/>
            <w:gridSpan w:val="2"/>
            <w:tcBorders>
              <w:top w:val="nil"/>
              <w:left w:val="single" w:sz="4" w:space="0" w:color="auto"/>
              <w:bottom w:val="nil"/>
              <w:right w:val="single" w:sz="4" w:space="0" w:color="auto"/>
            </w:tcBorders>
            <w:shd w:val="clear" w:color="auto" w:fill="auto"/>
          </w:tcPr>
          <w:p w14:paraId="513709EF"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40 000</w:t>
            </w:r>
          </w:p>
        </w:tc>
      </w:tr>
      <w:tr w:rsidR="001C7F15" w:rsidRPr="001C7F15" w14:paraId="161D5D01"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51727ADD"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HSBC</w:t>
            </w:r>
          </w:p>
        </w:tc>
        <w:tc>
          <w:tcPr>
            <w:tcW w:w="2235" w:type="dxa"/>
            <w:tcBorders>
              <w:top w:val="nil"/>
              <w:left w:val="single" w:sz="4" w:space="0" w:color="auto"/>
              <w:bottom w:val="nil"/>
              <w:right w:val="single" w:sz="4" w:space="0" w:color="auto"/>
            </w:tcBorders>
            <w:shd w:val="clear" w:color="auto" w:fill="auto"/>
          </w:tcPr>
          <w:p w14:paraId="2FE0543E"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Oro HSBC</w:t>
            </w:r>
          </w:p>
        </w:tc>
        <w:tc>
          <w:tcPr>
            <w:tcW w:w="1309" w:type="dxa"/>
            <w:tcBorders>
              <w:top w:val="nil"/>
              <w:left w:val="single" w:sz="4" w:space="0" w:color="auto"/>
              <w:bottom w:val="nil"/>
              <w:right w:val="single" w:sz="4" w:space="0" w:color="auto"/>
            </w:tcBorders>
            <w:shd w:val="clear" w:color="auto" w:fill="auto"/>
          </w:tcPr>
          <w:p w14:paraId="4C0C8DD6"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46.8</w:t>
            </w:r>
          </w:p>
        </w:tc>
        <w:tc>
          <w:tcPr>
            <w:tcW w:w="1332" w:type="dxa"/>
            <w:tcBorders>
              <w:top w:val="nil"/>
              <w:left w:val="single" w:sz="4" w:space="0" w:color="auto"/>
              <w:bottom w:val="nil"/>
              <w:right w:val="single" w:sz="4" w:space="0" w:color="auto"/>
            </w:tcBorders>
            <w:shd w:val="clear" w:color="auto" w:fill="auto"/>
          </w:tcPr>
          <w:p w14:paraId="18AA373E"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36.1</w:t>
            </w:r>
          </w:p>
        </w:tc>
        <w:tc>
          <w:tcPr>
            <w:tcW w:w="1388" w:type="dxa"/>
            <w:tcBorders>
              <w:top w:val="nil"/>
              <w:left w:val="single" w:sz="4" w:space="0" w:color="auto"/>
              <w:bottom w:val="nil"/>
              <w:right w:val="single" w:sz="4" w:space="0" w:color="auto"/>
            </w:tcBorders>
            <w:shd w:val="clear" w:color="auto" w:fill="auto"/>
          </w:tcPr>
          <w:p w14:paraId="5515F999"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850</w:t>
            </w:r>
          </w:p>
        </w:tc>
        <w:tc>
          <w:tcPr>
            <w:tcW w:w="1268" w:type="dxa"/>
            <w:gridSpan w:val="2"/>
            <w:tcBorders>
              <w:top w:val="nil"/>
              <w:left w:val="single" w:sz="4" w:space="0" w:color="auto"/>
              <w:bottom w:val="nil"/>
              <w:right w:val="single" w:sz="4" w:space="0" w:color="auto"/>
            </w:tcBorders>
            <w:shd w:val="clear" w:color="auto" w:fill="auto"/>
          </w:tcPr>
          <w:p w14:paraId="471545A3"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35 000</w:t>
            </w:r>
          </w:p>
        </w:tc>
      </w:tr>
      <w:tr w:rsidR="001C7F15" w:rsidRPr="001C7F15" w14:paraId="5E3024D9"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7F859A38"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Scotiabank</w:t>
            </w:r>
          </w:p>
        </w:tc>
        <w:tc>
          <w:tcPr>
            <w:tcW w:w="2235" w:type="dxa"/>
            <w:tcBorders>
              <w:top w:val="nil"/>
              <w:left w:val="single" w:sz="4" w:space="0" w:color="auto"/>
              <w:bottom w:val="nil"/>
              <w:right w:val="single" w:sz="4" w:space="0" w:color="auto"/>
            </w:tcBorders>
            <w:shd w:val="clear" w:color="auto" w:fill="auto"/>
          </w:tcPr>
          <w:p w14:paraId="437A52A6"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Scotia Travel Oro</w:t>
            </w:r>
          </w:p>
        </w:tc>
        <w:tc>
          <w:tcPr>
            <w:tcW w:w="1309" w:type="dxa"/>
            <w:tcBorders>
              <w:top w:val="nil"/>
              <w:left w:val="single" w:sz="4" w:space="0" w:color="auto"/>
              <w:bottom w:val="nil"/>
              <w:right w:val="single" w:sz="4" w:space="0" w:color="auto"/>
            </w:tcBorders>
            <w:shd w:val="clear" w:color="auto" w:fill="auto"/>
          </w:tcPr>
          <w:p w14:paraId="46C19155"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47.4</w:t>
            </w:r>
          </w:p>
        </w:tc>
        <w:tc>
          <w:tcPr>
            <w:tcW w:w="1332" w:type="dxa"/>
            <w:tcBorders>
              <w:top w:val="nil"/>
              <w:left w:val="single" w:sz="4" w:space="0" w:color="auto"/>
              <w:bottom w:val="nil"/>
              <w:right w:val="single" w:sz="4" w:space="0" w:color="auto"/>
            </w:tcBorders>
            <w:shd w:val="clear" w:color="auto" w:fill="auto"/>
          </w:tcPr>
          <w:p w14:paraId="0AF13A5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36.6</w:t>
            </w:r>
          </w:p>
        </w:tc>
        <w:tc>
          <w:tcPr>
            <w:tcW w:w="1388" w:type="dxa"/>
            <w:tcBorders>
              <w:top w:val="nil"/>
              <w:left w:val="single" w:sz="4" w:space="0" w:color="auto"/>
              <w:bottom w:val="nil"/>
              <w:right w:val="single" w:sz="4" w:space="0" w:color="auto"/>
            </w:tcBorders>
            <w:shd w:val="clear" w:color="auto" w:fill="auto"/>
          </w:tcPr>
          <w:p w14:paraId="63586BAE"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850</w:t>
            </w:r>
          </w:p>
        </w:tc>
        <w:tc>
          <w:tcPr>
            <w:tcW w:w="1268" w:type="dxa"/>
            <w:gridSpan w:val="2"/>
            <w:tcBorders>
              <w:top w:val="nil"/>
              <w:left w:val="single" w:sz="4" w:space="0" w:color="auto"/>
              <w:bottom w:val="nil"/>
              <w:right w:val="single" w:sz="4" w:space="0" w:color="auto"/>
            </w:tcBorders>
            <w:shd w:val="clear" w:color="auto" w:fill="auto"/>
          </w:tcPr>
          <w:p w14:paraId="5227DC02"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33 400</w:t>
            </w:r>
          </w:p>
        </w:tc>
      </w:tr>
      <w:tr w:rsidR="001C7F15" w:rsidRPr="001C7F15" w14:paraId="7CAE1AE7" w14:textId="77777777" w:rsidTr="00E823BC">
        <w:trPr>
          <w:jc w:val="center"/>
        </w:trPr>
        <w:tc>
          <w:tcPr>
            <w:tcW w:w="1701" w:type="dxa"/>
            <w:tcBorders>
              <w:top w:val="nil"/>
              <w:left w:val="single" w:sz="4" w:space="0" w:color="auto"/>
              <w:bottom w:val="nil"/>
              <w:right w:val="single" w:sz="4" w:space="0" w:color="auto"/>
            </w:tcBorders>
            <w:shd w:val="clear" w:color="auto" w:fill="auto"/>
          </w:tcPr>
          <w:p w14:paraId="780276CA" w14:textId="77777777" w:rsidR="001C7F15" w:rsidRPr="001C7F15" w:rsidRDefault="001C7F15" w:rsidP="001C7F15">
            <w:pPr>
              <w:spacing w:before="40" w:after="40"/>
              <w:jc w:val="both"/>
              <w:rPr>
                <w:rFonts w:eastAsia="Calibri"/>
                <w:bCs/>
                <w:sz w:val="18"/>
                <w:szCs w:val="18"/>
                <w:lang w:eastAsia="en-US"/>
              </w:rPr>
            </w:pPr>
            <w:r w:rsidRPr="001C7F15">
              <w:rPr>
                <w:rFonts w:eastAsia="Calibri"/>
                <w:bCs/>
                <w:sz w:val="18"/>
                <w:szCs w:val="18"/>
                <w:lang w:eastAsia="en-US"/>
              </w:rPr>
              <w:t>American Express</w:t>
            </w:r>
          </w:p>
        </w:tc>
        <w:tc>
          <w:tcPr>
            <w:tcW w:w="2235" w:type="dxa"/>
            <w:tcBorders>
              <w:top w:val="nil"/>
              <w:left w:val="single" w:sz="4" w:space="0" w:color="auto"/>
              <w:bottom w:val="nil"/>
              <w:right w:val="single" w:sz="4" w:space="0" w:color="auto"/>
            </w:tcBorders>
            <w:shd w:val="clear" w:color="auto" w:fill="auto"/>
          </w:tcPr>
          <w:p w14:paraId="11941B0C" w14:textId="77777777" w:rsidR="001C7F15" w:rsidRPr="001C7F15" w:rsidRDefault="001C7F15" w:rsidP="001C7F15">
            <w:pPr>
              <w:spacing w:before="40" w:after="40"/>
              <w:jc w:val="both"/>
              <w:rPr>
                <w:rFonts w:eastAsia="Calibri"/>
                <w:sz w:val="18"/>
                <w:szCs w:val="18"/>
                <w:lang w:eastAsia="en-US"/>
              </w:rPr>
            </w:pPr>
            <w:r w:rsidRPr="001C7F15">
              <w:rPr>
                <w:rFonts w:eastAsia="Calibri"/>
                <w:sz w:val="18"/>
                <w:szCs w:val="18"/>
                <w:lang w:eastAsia="en-US"/>
              </w:rPr>
              <w:t>The Gold Elite Credit Card</w:t>
            </w:r>
          </w:p>
        </w:tc>
        <w:tc>
          <w:tcPr>
            <w:tcW w:w="1309" w:type="dxa"/>
            <w:tcBorders>
              <w:top w:val="nil"/>
              <w:left w:val="single" w:sz="4" w:space="0" w:color="auto"/>
              <w:bottom w:val="nil"/>
              <w:right w:val="single" w:sz="4" w:space="0" w:color="auto"/>
            </w:tcBorders>
            <w:shd w:val="clear" w:color="auto" w:fill="auto"/>
          </w:tcPr>
          <w:p w14:paraId="79DE51F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56.1</w:t>
            </w:r>
          </w:p>
        </w:tc>
        <w:tc>
          <w:tcPr>
            <w:tcW w:w="1332" w:type="dxa"/>
            <w:tcBorders>
              <w:top w:val="nil"/>
              <w:left w:val="single" w:sz="4" w:space="0" w:color="auto"/>
              <w:bottom w:val="nil"/>
              <w:right w:val="single" w:sz="4" w:space="0" w:color="auto"/>
            </w:tcBorders>
            <w:shd w:val="clear" w:color="auto" w:fill="auto"/>
          </w:tcPr>
          <w:p w14:paraId="60FBF3F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41.2</w:t>
            </w:r>
          </w:p>
        </w:tc>
        <w:tc>
          <w:tcPr>
            <w:tcW w:w="1388" w:type="dxa"/>
            <w:tcBorders>
              <w:top w:val="nil"/>
              <w:left w:val="single" w:sz="4" w:space="0" w:color="auto"/>
              <w:bottom w:val="nil"/>
              <w:right w:val="single" w:sz="4" w:space="0" w:color="auto"/>
            </w:tcBorders>
            <w:shd w:val="clear" w:color="auto" w:fill="auto"/>
          </w:tcPr>
          <w:p w14:paraId="3CCBD04E"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1 200</w:t>
            </w:r>
          </w:p>
        </w:tc>
        <w:tc>
          <w:tcPr>
            <w:tcW w:w="1268" w:type="dxa"/>
            <w:gridSpan w:val="2"/>
            <w:tcBorders>
              <w:top w:val="nil"/>
              <w:left w:val="single" w:sz="4" w:space="0" w:color="auto"/>
              <w:bottom w:val="nil"/>
              <w:right w:val="single" w:sz="4" w:space="0" w:color="auto"/>
            </w:tcBorders>
            <w:shd w:val="clear" w:color="auto" w:fill="auto"/>
          </w:tcPr>
          <w:p w14:paraId="72031E4B" w14:textId="77777777" w:rsidR="001C7F15" w:rsidRPr="001C7F15" w:rsidRDefault="001C7F15" w:rsidP="001C7F15">
            <w:pPr>
              <w:spacing w:before="40" w:after="40"/>
              <w:ind w:right="227"/>
              <w:jc w:val="right"/>
              <w:rPr>
                <w:rFonts w:eastAsia="Calibri"/>
                <w:sz w:val="18"/>
                <w:szCs w:val="18"/>
                <w:lang w:eastAsia="en-US"/>
              </w:rPr>
            </w:pPr>
            <w:r w:rsidRPr="001C7F15">
              <w:rPr>
                <w:rFonts w:eastAsia="Calibri"/>
                <w:sz w:val="18"/>
                <w:szCs w:val="18"/>
                <w:lang w:eastAsia="en-US"/>
              </w:rPr>
              <w:t>19 000</w:t>
            </w:r>
          </w:p>
        </w:tc>
      </w:tr>
      <w:tr w:rsidR="001C7F15" w:rsidRPr="001C7F15" w14:paraId="4C2994AB" w14:textId="77777777" w:rsidTr="00E823BC">
        <w:trPr>
          <w:jc w:val="center"/>
        </w:trPr>
        <w:tc>
          <w:tcPr>
            <w:tcW w:w="1701" w:type="dxa"/>
            <w:tcBorders>
              <w:top w:val="nil"/>
              <w:left w:val="single" w:sz="4" w:space="0" w:color="auto"/>
              <w:bottom w:val="single" w:sz="4" w:space="0" w:color="auto"/>
              <w:right w:val="single" w:sz="4" w:space="0" w:color="auto"/>
            </w:tcBorders>
            <w:shd w:val="clear" w:color="auto" w:fill="auto"/>
          </w:tcPr>
          <w:p w14:paraId="3E4B1345" w14:textId="77777777" w:rsidR="001C7F15" w:rsidRPr="001C7F15" w:rsidRDefault="001C7F15" w:rsidP="001C7F15">
            <w:pPr>
              <w:spacing w:before="40" w:after="120"/>
              <w:jc w:val="both"/>
              <w:rPr>
                <w:rFonts w:eastAsia="Calibri"/>
                <w:bCs/>
                <w:sz w:val="18"/>
                <w:szCs w:val="18"/>
                <w:lang w:eastAsia="en-US"/>
              </w:rPr>
            </w:pPr>
            <w:r w:rsidRPr="001C7F15">
              <w:rPr>
                <w:rFonts w:eastAsia="Calibri"/>
                <w:bCs/>
                <w:sz w:val="18"/>
                <w:szCs w:val="18"/>
                <w:lang w:eastAsia="en-US"/>
              </w:rPr>
              <w:t>Banco Invex</w:t>
            </w:r>
          </w:p>
        </w:tc>
        <w:tc>
          <w:tcPr>
            <w:tcW w:w="2235" w:type="dxa"/>
            <w:tcBorders>
              <w:top w:val="nil"/>
              <w:left w:val="single" w:sz="4" w:space="0" w:color="auto"/>
              <w:bottom w:val="single" w:sz="4" w:space="0" w:color="auto"/>
              <w:right w:val="single" w:sz="4" w:space="0" w:color="auto"/>
            </w:tcBorders>
            <w:shd w:val="clear" w:color="auto" w:fill="auto"/>
          </w:tcPr>
          <w:p w14:paraId="612F0193" w14:textId="77777777" w:rsidR="001C7F15" w:rsidRPr="001C7F15" w:rsidRDefault="001C7F15" w:rsidP="001C7F15">
            <w:pPr>
              <w:spacing w:before="40" w:after="120"/>
              <w:jc w:val="both"/>
              <w:rPr>
                <w:rFonts w:eastAsia="Calibri"/>
                <w:sz w:val="18"/>
                <w:szCs w:val="18"/>
                <w:lang w:eastAsia="en-US"/>
              </w:rPr>
            </w:pPr>
            <w:r w:rsidRPr="001C7F15">
              <w:rPr>
                <w:rFonts w:eastAsia="Calibri"/>
                <w:sz w:val="18"/>
                <w:szCs w:val="18"/>
                <w:lang w:eastAsia="en-US"/>
              </w:rPr>
              <w:t>Volaris Oro</w:t>
            </w:r>
          </w:p>
        </w:tc>
        <w:tc>
          <w:tcPr>
            <w:tcW w:w="1309" w:type="dxa"/>
            <w:tcBorders>
              <w:top w:val="nil"/>
              <w:left w:val="single" w:sz="4" w:space="0" w:color="auto"/>
              <w:bottom w:val="single" w:sz="4" w:space="0" w:color="auto"/>
              <w:right w:val="single" w:sz="4" w:space="0" w:color="auto"/>
            </w:tcBorders>
            <w:shd w:val="clear" w:color="auto" w:fill="auto"/>
          </w:tcPr>
          <w:p w14:paraId="635C577E"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65.3</w:t>
            </w:r>
          </w:p>
        </w:tc>
        <w:tc>
          <w:tcPr>
            <w:tcW w:w="1332" w:type="dxa"/>
            <w:tcBorders>
              <w:top w:val="nil"/>
              <w:left w:val="single" w:sz="4" w:space="0" w:color="auto"/>
              <w:bottom w:val="single" w:sz="4" w:space="0" w:color="auto"/>
              <w:right w:val="single" w:sz="4" w:space="0" w:color="auto"/>
            </w:tcBorders>
            <w:shd w:val="clear" w:color="auto" w:fill="auto"/>
          </w:tcPr>
          <w:p w14:paraId="6895569C"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47.0</w:t>
            </w:r>
          </w:p>
        </w:tc>
        <w:tc>
          <w:tcPr>
            <w:tcW w:w="1388" w:type="dxa"/>
            <w:tcBorders>
              <w:top w:val="nil"/>
              <w:left w:val="single" w:sz="4" w:space="0" w:color="auto"/>
              <w:bottom w:val="single" w:sz="4" w:space="0" w:color="auto"/>
              <w:right w:val="single" w:sz="4" w:space="0" w:color="auto"/>
            </w:tcBorders>
            <w:shd w:val="clear" w:color="auto" w:fill="auto"/>
          </w:tcPr>
          <w:p w14:paraId="442896B5"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1 200</w:t>
            </w:r>
          </w:p>
        </w:tc>
        <w:tc>
          <w:tcPr>
            <w:tcW w:w="1268" w:type="dxa"/>
            <w:gridSpan w:val="2"/>
            <w:tcBorders>
              <w:top w:val="nil"/>
              <w:left w:val="single" w:sz="4" w:space="0" w:color="auto"/>
              <w:bottom w:val="single" w:sz="4" w:space="0" w:color="auto"/>
              <w:right w:val="single" w:sz="4" w:space="0" w:color="auto"/>
            </w:tcBorders>
            <w:shd w:val="clear" w:color="auto" w:fill="auto"/>
          </w:tcPr>
          <w:p w14:paraId="642A7724"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35 500</w:t>
            </w:r>
          </w:p>
        </w:tc>
      </w:tr>
      <w:tr w:rsidR="001C7F15" w:rsidRPr="001C7F15" w14:paraId="16EE705B" w14:textId="77777777" w:rsidTr="00E823BC">
        <w:trPr>
          <w:jc w:val="center"/>
        </w:trPr>
        <w:tc>
          <w:tcPr>
            <w:tcW w:w="923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2392FDF" w14:textId="77777777" w:rsidR="001C7F15" w:rsidRPr="001C7F15" w:rsidRDefault="001C7F15" w:rsidP="001C7F15">
            <w:pPr>
              <w:spacing w:before="40" w:after="40"/>
              <w:jc w:val="center"/>
              <w:rPr>
                <w:rFonts w:eastAsia="Calibri"/>
                <w:b/>
                <w:bCs/>
                <w:sz w:val="20"/>
                <w:szCs w:val="20"/>
                <w:lang w:eastAsia="en-US"/>
              </w:rPr>
            </w:pPr>
            <w:r w:rsidRPr="001C7F15">
              <w:rPr>
                <w:rFonts w:eastAsia="Calibri"/>
                <w:b/>
                <w:bCs/>
                <w:sz w:val="20"/>
                <w:szCs w:val="20"/>
                <w:lang w:eastAsia="en-US"/>
              </w:rPr>
              <w:t>Productos con menos de 0.5% pero más de 0.1% del total de tarjetas de este segmento</w:t>
            </w:r>
          </w:p>
        </w:tc>
      </w:tr>
      <w:tr w:rsidR="001C7F15" w:rsidRPr="001C7F15" w14:paraId="7A155AA7" w14:textId="77777777" w:rsidTr="00E823BC">
        <w:trPr>
          <w:jc w:val="center"/>
        </w:trPr>
        <w:tc>
          <w:tcPr>
            <w:tcW w:w="1701" w:type="dxa"/>
            <w:tcBorders>
              <w:top w:val="single" w:sz="4" w:space="0" w:color="auto"/>
              <w:left w:val="single" w:sz="4" w:space="0" w:color="auto"/>
              <w:bottom w:val="nil"/>
              <w:right w:val="single" w:sz="4" w:space="0" w:color="auto"/>
            </w:tcBorders>
            <w:shd w:val="clear" w:color="auto" w:fill="auto"/>
          </w:tcPr>
          <w:p w14:paraId="54590DBA" w14:textId="77777777" w:rsidR="001C7F15" w:rsidRPr="001C7F15" w:rsidRDefault="001C7F15" w:rsidP="001C7F15">
            <w:pPr>
              <w:spacing w:before="120" w:after="40"/>
              <w:jc w:val="both"/>
              <w:rPr>
                <w:rFonts w:eastAsia="Calibri"/>
                <w:bCs/>
                <w:sz w:val="18"/>
                <w:szCs w:val="18"/>
                <w:lang w:eastAsia="en-US"/>
              </w:rPr>
            </w:pPr>
            <w:r w:rsidRPr="001C7F15">
              <w:rPr>
                <w:rFonts w:eastAsia="Calibri"/>
                <w:bCs/>
                <w:sz w:val="18"/>
                <w:szCs w:val="18"/>
                <w:lang w:eastAsia="en-US"/>
              </w:rPr>
              <w:t>Banregio</w:t>
            </w:r>
          </w:p>
        </w:tc>
        <w:tc>
          <w:tcPr>
            <w:tcW w:w="2235" w:type="dxa"/>
            <w:tcBorders>
              <w:top w:val="single" w:sz="4" w:space="0" w:color="auto"/>
              <w:left w:val="single" w:sz="4" w:space="0" w:color="auto"/>
              <w:bottom w:val="nil"/>
              <w:right w:val="single" w:sz="4" w:space="0" w:color="auto"/>
            </w:tcBorders>
            <w:shd w:val="clear" w:color="auto" w:fill="auto"/>
          </w:tcPr>
          <w:p w14:paraId="77707B06" w14:textId="77777777" w:rsidR="001C7F15" w:rsidRPr="001C7F15" w:rsidRDefault="001C7F15" w:rsidP="001C7F15">
            <w:pPr>
              <w:spacing w:before="120" w:after="40"/>
              <w:jc w:val="both"/>
              <w:rPr>
                <w:rFonts w:eastAsia="Calibri"/>
                <w:sz w:val="18"/>
                <w:szCs w:val="18"/>
                <w:lang w:eastAsia="en-US"/>
              </w:rPr>
            </w:pPr>
            <w:r w:rsidRPr="001C7F15">
              <w:rPr>
                <w:rFonts w:eastAsia="Calibri"/>
                <w:sz w:val="18"/>
                <w:szCs w:val="18"/>
                <w:lang w:eastAsia="en-US"/>
              </w:rPr>
              <w:t>In Gold</w:t>
            </w:r>
          </w:p>
        </w:tc>
        <w:tc>
          <w:tcPr>
            <w:tcW w:w="1309" w:type="dxa"/>
            <w:tcBorders>
              <w:top w:val="single" w:sz="4" w:space="0" w:color="auto"/>
              <w:left w:val="single" w:sz="4" w:space="0" w:color="auto"/>
              <w:bottom w:val="nil"/>
              <w:right w:val="single" w:sz="4" w:space="0" w:color="auto"/>
            </w:tcBorders>
            <w:shd w:val="clear" w:color="auto" w:fill="auto"/>
          </w:tcPr>
          <w:p w14:paraId="312C88F2"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44.0</w:t>
            </w:r>
          </w:p>
        </w:tc>
        <w:tc>
          <w:tcPr>
            <w:tcW w:w="1332" w:type="dxa"/>
            <w:tcBorders>
              <w:top w:val="single" w:sz="4" w:space="0" w:color="auto"/>
              <w:left w:val="single" w:sz="4" w:space="0" w:color="auto"/>
              <w:bottom w:val="nil"/>
              <w:right w:val="single" w:sz="4" w:space="0" w:color="auto"/>
            </w:tcBorders>
            <w:shd w:val="clear" w:color="auto" w:fill="auto"/>
          </w:tcPr>
          <w:p w14:paraId="148E77D2"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37.0</w:t>
            </w:r>
          </w:p>
        </w:tc>
        <w:tc>
          <w:tcPr>
            <w:tcW w:w="1388" w:type="dxa"/>
            <w:tcBorders>
              <w:top w:val="single" w:sz="4" w:space="0" w:color="auto"/>
              <w:left w:val="single" w:sz="4" w:space="0" w:color="auto"/>
              <w:bottom w:val="nil"/>
              <w:right w:val="single" w:sz="4" w:space="0" w:color="auto"/>
            </w:tcBorders>
            <w:shd w:val="clear" w:color="auto" w:fill="auto"/>
          </w:tcPr>
          <w:p w14:paraId="389766D7"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0</w:t>
            </w:r>
          </w:p>
        </w:tc>
        <w:tc>
          <w:tcPr>
            <w:tcW w:w="1268" w:type="dxa"/>
            <w:gridSpan w:val="2"/>
            <w:tcBorders>
              <w:top w:val="single" w:sz="4" w:space="0" w:color="auto"/>
              <w:left w:val="single" w:sz="4" w:space="0" w:color="auto"/>
              <w:bottom w:val="nil"/>
              <w:right w:val="single" w:sz="4" w:space="0" w:color="auto"/>
            </w:tcBorders>
            <w:shd w:val="clear" w:color="auto" w:fill="auto"/>
          </w:tcPr>
          <w:p w14:paraId="23511EBF" w14:textId="77777777" w:rsidR="001C7F15" w:rsidRPr="001C7F15" w:rsidRDefault="001C7F15" w:rsidP="001C7F15">
            <w:pPr>
              <w:spacing w:before="120" w:after="40"/>
              <w:ind w:right="227"/>
              <w:jc w:val="right"/>
              <w:rPr>
                <w:rFonts w:eastAsia="Calibri"/>
                <w:sz w:val="18"/>
                <w:szCs w:val="18"/>
                <w:lang w:eastAsia="en-US"/>
              </w:rPr>
            </w:pPr>
            <w:r w:rsidRPr="001C7F15">
              <w:rPr>
                <w:rFonts w:eastAsia="Calibri"/>
                <w:sz w:val="18"/>
                <w:szCs w:val="18"/>
                <w:lang w:eastAsia="en-US"/>
              </w:rPr>
              <w:t>15 000</w:t>
            </w:r>
          </w:p>
        </w:tc>
      </w:tr>
      <w:tr w:rsidR="001C7F15" w:rsidRPr="001C7F15" w14:paraId="42BDF1C3" w14:textId="77777777" w:rsidTr="00E823BC">
        <w:trPr>
          <w:jc w:val="center"/>
        </w:trPr>
        <w:tc>
          <w:tcPr>
            <w:tcW w:w="1701" w:type="dxa"/>
            <w:tcBorders>
              <w:top w:val="nil"/>
              <w:left w:val="single" w:sz="4" w:space="0" w:color="auto"/>
              <w:bottom w:val="single" w:sz="4" w:space="0" w:color="auto"/>
              <w:right w:val="single" w:sz="4" w:space="0" w:color="auto"/>
            </w:tcBorders>
            <w:shd w:val="clear" w:color="auto" w:fill="auto"/>
          </w:tcPr>
          <w:p w14:paraId="2043ADA2" w14:textId="77777777" w:rsidR="001C7F15" w:rsidRPr="001C7F15" w:rsidRDefault="001C7F15" w:rsidP="001C7F15">
            <w:pPr>
              <w:spacing w:before="40" w:after="120"/>
              <w:jc w:val="both"/>
              <w:rPr>
                <w:rFonts w:eastAsia="Calibri"/>
                <w:bCs/>
                <w:sz w:val="18"/>
                <w:szCs w:val="18"/>
                <w:lang w:eastAsia="en-US"/>
              </w:rPr>
            </w:pPr>
            <w:r w:rsidRPr="001C7F15">
              <w:rPr>
                <w:rFonts w:eastAsia="Calibri"/>
                <w:bCs/>
                <w:sz w:val="18"/>
                <w:szCs w:val="18"/>
                <w:lang w:eastAsia="en-US"/>
              </w:rPr>
              <w:t>Banca Afirme</w:t>
            </w:r>
          </w:p>
        </w:tc>
        <w:tc>
          <w:tcPr>
            <w:tcW w:w="2235" w:type="dxa"/>
            <w:tcBorders>
              <w:top w:val="nil"/>
              <w:left w:val="single" w:sz="4" w:space="0" w:color="auto"/>
              <w:bottom w:val="single" w:sz="4" w:space="0" w:color="auto"/>
              <w:right w:val="single" w:sz="4" w:space="0" w:color="auto"/>
            </w:tcBorders>
            <w:shd w:val="clear" w:color="auto" w:fill="auto"/>
          </w:tcPr>
          <w:p w14:paraId="5F68E828" w14:textId="77777777" w:rsidR="001C7F15" w:rsidRPr="001C7F15" w:rsidRDefault="001C7F15" w:rsidP="001C7F15">
            <w:pPr>
              <w:spacing w:before="40" w:after="120"/>
              <w:jc w:val="both"/>
              <w:rPr>
                <w:rFonts w:eastAsia="Calibri"/>
                <w:sz w:val="18"/>
                <w:szCs w:val="18"/>
                <w:lang w:eastAsia="en-US"/>
              </w:rPr>
            </w:pPr>
            <w:r w:rsidRPr="001C7F15">
              <w:rPr>
                <w:rFonts w:eastAsia="Calibri"/>
                <w:sz w:val="18"/>
                <w:szCs w:val="18"/>
                <w:lang w:eastAsia="en-US"/>
              </w:rPr>
              <w:t>Tarjeta de Crédito Oro</w:t>
            </w:r>
          </w:p>
        </w:tc>
        <w:tc>
          <w:tcPr>
            <w:tcW w:w="1309" w:type="dxa"/>
            <w:tcBorders>
              <w:top w:val="nil"/>
              <w:left w:val="single" w:sz="4" w:space="0" w:color="auto"/>
              <w:bottom w:val="single" w:sz="4" w:space="0" w:color="auto"/>
              <w:right w:val="single" w:sz="4" w:space="0" w:color="auto"/>
            </w:tcBorders>
            <w:shd w:val="clear" w:color="auto" w:fill="auto"/>
          </w:tcPr>
          <w:p w14:paraId="569F2B3C"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48.0</w:t>
            </w:r>
          </w:p>
        </w:tc>
        <w:tc>
          <w:tcPr>
            <w:tcW w:w="1332" w:type="dxa"/>
            <w:tcBorders>
              <w:top w:val="nil"/>
              <w:left w:val="single" w:sz="4" w:space="0" w:color="auto"/>
              <w:bottom w:val="single" w:sz="4" w:space="0" w:color="auto"/>
              <w:right w:val="single" w:sz="4" w:space="0" w:color="auto"/>
            </w:tcBorders>
            <w:shd w:val="clear" w:color="auto" w:fill="auto"/>
          </w:tcPr>
          <w:p w14:paraId="334A7B6F"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37.7</w:t>
            </w:r>
          </w:p>
        </w:tc>
        <w:tc>
          <w:tcPr>
            <w:tcW w:w="1388" w:type="dxa"/>
            <w:tcBorders>
              <w:top w:val="nil"/>
              <w:left w:val="single" w:sz="4" w:space="0" w:color="auto"/>
              <w:bottom w:val="single" w:sz="4" w:space="0" w:color="auto"/>
              <w:right w:val="single" w:sz="4" w:space="0" w:color="auto"/>
            </w:tcBorders>
            <w:shd w:val="clear" w:color="auto" w:fill="auto"/>
          </w:tcPr>
          <w:p w14:paraId="4B6E149C"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650</w:t>
            </w:r>
          </w:p>
        </w:tc>
        <w:tc>
          <w:tcPr>
            <w:tcW w:w="1268" w:type="dxa"/>
            <w:gridSpan w:val="2"/>
            <w:tcBorders>
              <w:top w:val="nil"/>
              <w:left w:val="single" w:sz="4" w:space="0" w:color="auto"/>
              <w:bottom w:val="single" w:sz="4" w:space="0" w:color="auto"/>
              <w:right w:val="single" w:sz="4" w:space="0" w:color="auto"/>
            </w:tcBorders>
            <w:shd w:val="clear" w:color="auto" w:fill="auto"/>
          </w:tcPr>
          <w:p w14:paraId="591982DB" w14:textId="77777777" w:rsidR="001C7F15" w:rsidRPr="001C7F15" w:rsidRDefault="001C7F15" w:rsidP="001C7F15">
            <w:pPr>
              <w:spacing w:before="40" w:after="120"/>
              <w:ind w:right="227"/>
              <w:jc w:val="right"/>
              <w:rPr>
                <w:rFonts w:eastAsia="Calibri"/>
                <w:sz w:val="18"/>
                <w:szCs w:val="18"/>
                <w:lang w:eastAsia="en-US"/>
              </w:rPr>
            </w:pPr>
            <w:r w:rsidRPr="001C7F15">
              <w:rPr>
                <w:rFonts w:eastAsia="Calibri"/>
                <w:sz w:val="18"/>
                <w:szCs w:val="18"/>
                <w:lang w:eastAsia="en-US"/>
              </w:rPr>
              <w:t>30 000</w:t>
            </w:r>
          </w:p>
        </w:tc>
      </w:tr>
      <w:tr w:rsidR="001C7F15" w:rsidRPr="001C7F15" w14:paraId="16DD5C00" w14:textId="77777777" w:rsidTr="00E823BC">
        <w:trPr>
          <w:gridAfter w:val="1"/>
          <w:wAfter w:w="166" w:type="dxa"/>
          <w:jc w:val="center"/>
        </w:trPr>
        <w:tc>
          <w:tcPr>
            <w:tcW w:w="9067" w:type="dxa"/>
            <w:gridSpan w:val="6"/>
            <w:shd w:val="clear" w:color="auto" w:fill="auto"/>
            <w:vAlign w:val="center"/>
          </w:tcPr>
          <w:p w14:paraId="0BF09664" w14:textId="77777777" w:rsidR="001C7F15" w:rsidRPr="001C7F15" w:rsidRDefault="001C7F15" w:rsidP="001C7F15">
            <w:pPr>
              <w:spacing w:before="120"/>
              <w:ind w:left="227" w:hanging="227"/>
              <w:jc w:val="both"/>
              <w:rPr>
                <w:rFonts w:eastAsia="Calibri"/>
                <w:bCs/>
                <w:sz w:val="20"/>
                <w:szCs w:val="20"/>
                <w:lang w:eastAsia="en-US"/>
              </w:rPr>
            </w:pPr>
            <w:r w:rsidRPr="001C7F15">
              <w:rPr>
                <w:rFonts w:eastAsia="Calibri"/>
                <w:bCs/>
                <w:sz w:val="20"/>
                <w:szCs w:val="20"/>
                <w:u w:val="single"/>
                <w:lang w:eastAsia="en-US"/>
              </w:rPr>
              <w:t>1</w:t>
            </w:r>
            <w:r w:rsidRPr="001C7F15">
              <w:rPr>
                <w:rFonts w:eastAsia="Calibri"/>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27C637EC" w14:textId="77777777" w:rsidR="001C7F15" w:rsidRPr="001C7F15" w:rsidRDefault="001C7F15" w:rsidP="001C7F15">
            <w:pPr>
              <w:jc w:val="both"/>
              <w:rPr>
                <w:rFonts w:eastAsia="Calibri"/>
                <w:bCs/>
                <w:sz w:val="20"/>
                <w:szCs w:val="20"/>
                <w:lang w:eastAsia="en-US"/>
              </w:rPr>
            </w:pPr>
            <w:r w:rsidRPr="001C7F15">
              <w:rPr>
                <w:rFonts w:eastAsia="Calibri"/>
                <w:bCs/>
                <w:sz w:val="20"/>
                <w:szCs w:val="20"/>
                <w:u w:val="single"/>
                <w:lang w:eastAsia="en-US"/>
              </w:rPr>
              <w:t>2</w:t>
            </w:r>
            <w:r w:rsidRPr="001C7F15">
              <w:rPr>
                <w:rFonts w:eastAsia="Calibri"/>
                <w:bCs/>
                <w:sz w:val="20"/>
                <w:szCs w:val="20"/>
                <w:lang w:eastAsia="en-US"/>
              </w:rPr>
              <w:t>/ La mediana indica que la mitad de los clientes tiene un límite de crédito por debajo del valor reportado.</w:t>
            </w:r>
          </w:p>
          <w:p w14:paraId="7A5C180C" w14:textId="77777777" w:rsidR="001C7F15" w:rsidRPr="001C7F15" w:rsidRDefault="001C7F15" w:rsidP="001C7F15">
            <w:pPr>
              <w:ind w:left="227" w:hanging="227"/>
              <w:jc w:val="both"/>
              <w:rPr>
                <w:rFonts w:eastAsia="Calibri"/>
                <w:bCs/>
                <w:sz w:val="20"/>
                <w:szCs w:val="20"/>
                <w:lang w:eastAsia="en-US"/>
              </w:rPr>
            </w:pPr>
            <w:r w:rsidRPr="001C7F15">
              <w:rPr>
                <w:rFonts w:eastAsia="Calibri"/>
                <w:bCs/>
                <w:sz w:val="20"/>
                <w:szCs w:val="20"/>
                <w:u w:val="single"/>
                <w:lang w:eastAsia="en-US"/>
              </w:rPr>
              <w:t>3</w:t>
            </w:r>
            <w:r w:rsidRPr="001C7F15">
              <w:rPr>
                <w:rFonts w:eastAsia="Calibri"/>
                <w:bCs/>
                <w:sz w:val="20"/>
                <w:szCs w:val="20"/>
                <w:lang w:eastAsia="en-US"/>
              </w:rPr>
              <w:t>/ A pesar de la fusión de Banorte e Ixe tarjetas, sus productos de tarjeta de crédito se siguen ofreciendo de forma separada.</w:t>
            </w:r>
          </w:p>
          <w:p w14:paraId="3A1370DB" w14:textId="77777777" w:rsidR="001C7F15" w:rsidRPr="001C7F15" w:rsidRDefault="001C7F15" w:rsidP="001C7F15">
            <w:pPr>
              <w:jc w:val="both"/>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451F28B1" w14:textId="77777777" w:rsidR="001C7F15" w:rsidRPr="001C7F15" w:rsidRDefault="001C7F15" w:rsidP="001C7F15">
      <w:pPr>
        <w:spacing w:after="360" w:line="360" w:lineRule="auto"/>
        <w:ind w:right="-159"/>
        <w:jc w:val="both"/>
        <w:rPr>
          <w:rFonts w:eastAsia="Times New Roman"/>
          <w:bCs/>
          <w:sz w:val="26"/>
          <w:szCs w:val="26"/>
          <w:lang w:val="es-ES"/>
        </w:rPr>
      </w:pPr>
    </w:p>
    <w:p w14:paraId="5768ED15" w14:textId="77777777" w:rsidR="001C7F15" w:rsidRDefault="001C7F15" w:rsidP="001C7F15">
      <w:pPr>
        <w:spacing w:after="360" w:line="360" w:lineRule="auto"/>
        <w:ind w:right="-159"/>
        <w:jc w:val="both"/>
        <w:rPr>
          <w:rFonts w:eastAsia="Times New Roman"/>
          <w:bCs/>
          <w:sz w:val="26"/>
          <w:szCs w:val="26"/>
          <w:lang w:val="es-ES"/>
        </w:rPr>
      </w:pPr>
    </w:p>
    <w:p w14:paraId="3471C80B" w14:textId="77777777" w:rsidR="00894E69" w:rsidRPr="001C7F15" w:rsidRDefault="00894E69" w:rsidP="001C7F15">
      <w:pPr>
        <w:spacing w:after="360" w:line="360" w:lineRule="auto"/>
        <w:ind w:right="-159"/>
        <w:jc w:val="both"/>
        <w:rPr>
          <w:rFonts w:eastAsia="Times New Roman"/>
          <w:bCs/>
          <w:sz w:val="26"/>
          <w:szCs w:val="26"/>
          <w:lang w:val="es-ES"/>
        </w:rPr>
      </w:pPr>
    </w:p>
    <w:p w14:paraId="6F5C3636" w14:textId="77777777" w:rsidR="001C7F15" w:rsidRPr="001C7F15" w:rsidRDefault="001C7F15" w:rsidP="001C7F15">
      <w:pPr>
        <w:spacing w:after="360" w:line="360" w:lineRule="auto"/>
        <w:ind w:right="-159"/>
        <w:jc w:val="both"/>
        <w:rPr>
          <w:rFonts w:eastAsia="Times New Roman"/>
          <w:bCs/>
          <w:sz w:val="26"/>
          <w:szCs w:val="26"/>
          <w:lang w:val="es-ES"/>
        </w:rPr>
      </w:pPr>
    </w:p>
    <w:p w14:paraId="3F98B1EC" w14:textId="77777777" w:rsidR="001C7F15" w:rsidRPr="001C7F15" w:rsidRDefault="001C7F15" w:rsidP="001C7F15">
      <w:pPr>
        <w:spacing w:after="360" w:line="360" w:lineRule="auto"/>
        <w:ind w:right="-159"/>
        <w:jc w:val="both"/>
        <w:rPr>
          <w:rFonts w:eastAsia="Times New Roman"/>
          <w:bCs/>
          <w:sz w:val="26"/>
          <w:szCs w:val="26"/>
          <w:lang w:val="es-ES"/>
        </w:rPr>
      </w:pPr>
    </w:p>
    <w:tbl>
      <w:tblPr>
        <w:tblW w:w="9315" w:type="dxa"/>
        <w:jc w:val="center"/>
        <w:tblLook w:val="04A0" w:firstRow="1" w:lastRow="0" w:firstColumn="1" w:lastColumn="0" w:noHBand="0" w:noVBand="1"/>
      </w:tblPr>
      <w:tblGrid>
        <w:gridCol w:w="1691"/>
        <w:gridCol w:w="2268"/>
        <w:gridCol w:w="1242"/>
        <w:gridCol w:w="1417"/>
        <w:gridCol w:w="1265"/>
        <w:gridCol w:w="1432"/>
      </w:tblGrid>
      <w:tr w:rsidR="001C7F15" w:rsidRPr="001C7F15" w14:paraId="7B08CE28" w14:textId="77777777" w:rsidTr="001C7F15">
        <w:trPr>
          <w:jc w:val="center"/>
        </w:trPr>
        <w:tc>
          <w:tcPr>
            <w:tcW w:w="9315" w:type="dxa"/>
            <w:gridSpan w:val="6"/>
            <w:tcBorders>
              <w:bottom w:val="single" w:sz="4" w:space="0" w:color="auto"/>
            </w:tcBorders>
            <w:shd w:val="clear" w:color="auto" w:fill="auto"/>
            <w:vAlign w:val="center"/>
          </w:tcPr>
          <w:p w14:paraId="5FEE91C2" w14:textId="77777777" w:rsidR="001C7F15" w:rsidRPr="001C7F15" w:rsidRDefault="001C7F15" w:rsidP="001C7F15">
            <w:pPr>
              <w:jc w:val="center"/>
              <w:rPr>
                <w:rFonts w:eastAsia="Calibri"/>
                <w:b/>
                <w:bCs/>
                <w:sz w:val="22"/>
                <w:szCs w:val="22"/>
                <w:lang w:eastAsia="en-US"/>
              </w:rPr>
            </w:pPr>
            <w:r w:rsidRPr="001C7F15">
              <w:rPr>
                <w:rFonts w:eastAsia="Calibri"/>
                <w:b/>
                <w:bCs/>
                <w:sz w:val="22"/>
                <w:szCs w:val="22"/>
                <w:lang w:eastAsia="en-US"/>
              </w:rPr>
              <w:lastRenderedPageBreak/>
              <w:t xml:space="preserve">PRODUCTOS REPRESENTATIVOS POR INSTITUCIÓN, PARA CLIENTES NO TOTALEROS EN EL SEGMENTO DE TARJETAS “PLATINO” O EQUIVALENTES </w:t>
            </w:r>
            <w:r w:rsidRPr="001C7F15">
              <w:rPr>
                <w:rFonts w:eastAsia="Calibri"/>
                <w:b/>
                <w:bCs/>
                <w:sz w:val="22"/>
                <w:szCs w:val="22"/>
                <w:u w:val="single"/>
                <w:vertAlign w:val="superscript"/>
                <w:lang w:eastAsia="en-US"/>
              </w:rPr>
              <w:t>1</w:t>
            </w:r>
            <w:r w:rsidRPr="001C7F15">
              <w:rPr>
                <w:rFonts w:eastAsia="Calibri"/>
                <w:b/>
                <w:bCs/>
                <w:sz w:val="22"/>
                <w:szCs w:val="22"/>
                <w:vertAlign w:val="superscript"/>
                <w:lang w:eastAsia="en-US"/>
              </w:rPr>
              <w:t>/</w:t>
            </w:r>
          </w:p>
          <w:p w14:paraId="5910F80C" w14:textId="36408435" w:rsidR="001C7F15" w:rsidRPr="001C7F15" w:rsidRDefault="001C7F15" w:rsidP="001C7F15">
            <w:pPr>
              <w:jc w:val="center"/>
              <w:rPr>
                <w:rFonts w:eastAsia="Calibri"/>
                <w:b/>
                <w:bCs/>
                <w:sz w:val="20"/>
                <w:szCs w:val="20"/>
                <w:lang w:eastAsia="en-US"/>
              </w:rPr>
            </w:pPr>
            <w:r w:rsidRPr="001C7F15">
              <w:rPr>
                <w:rFonts w:eastAsia="Calibri"/>
                <w:b/>
                <w:bCs/>
                <w:sz w:val="22"/>
                <w:szCs w:val="22"/>
                <w:lang w:eastAsia="en-US"/>
              </w:rPr>
              <w:t>-Datos a abril de 2014-</w:t>
            </w:r>
          </w:p>
        </w:tc>
      </w:tr>
      <w:tr w:rsidR="001C7F15" w:rsidRPr="001C7F15" w14:paraId="3F6CADCB" w14:textId="77777777" w:rsidTr="00E823BC">
        <w:trPr>
          <w:jc w:val="center"/>
        </w:trPr>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BD9C0A8"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Institución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BC0A4B5"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Producto</w:t>
            </w:r>
          </w:p>
        </w:tc>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87B65A7"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CAT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0F7B6D3"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Tasa efectiva promedio ponderada</w:t>
            </w:r>
          </w:p>
          <w:p w14:paraId="2A2D7992"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14:paraId="2D9DA35E"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Anualidad (pesos)</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13911203" w14:textId="77777777" w:rsidR="001C7F15" w:rsidRPr="001C7F15" w:rsidRDefault="001C7F15" w:rsidP="001C7F15">
            <w:pPr>
              <w:spacing w:before="40" w:after="40"/>
              <w:jc w:val="center"/>
              <w:rPr>
                <w:rFonts w:eastAsia="Calibri"/>
                <w:b/>
                <w:sz w:val="18"/>
                <w:szCs w:val="18"/>
                <w:lang w:eastAsia="en-US"/>
              </w:rPr>
            </w:pPr>
            <w:r w:rsidRPr="001C7F15">
              <w:rPr>
                <w:rFonts w:eastAsia="Calibri"/>
                <w:b/>
                <w:sz w:val="18"/>
                <w:szCs w:val="18"/>
                <w:lang w:eastAsia="en-US"/>
              </w:rPr>
              <w:t xml:space="preserve">Límite de crédito (mediana en pesos) </w:t>
            </w:r>
            <w:r w:rsidRPr="001C7F15">
              <w:rPr>
                <w:rFonts w:eastAsia="Calibri"/>
                <w:b/>
                <w:sz w:val="18"/>
                <w:szCs w:val="18"/>
                <w:u w:val="single"/>
                <w:vertAlign w:val="superscript"/>
                <w:lang w:eastAsia="en-US"/>
              </w:rPr>
              <w:t>2</w:t>
            </w:r>
            <w:r w:rsidRPr="001C7F15">
              <w:rPr>
                <w:rFonts w:eastAsia="Calibri"/>
                <w:b/>
                <w:sz w:val="18"/>
                <w:szCs w:val="18"/>
                <w:vertAlign w:val="superscript"/>
                <w:lang w:eastAsia="en-US"/>
              </w:rPr>
              <w:t>/</w:t>
            </w:r>
          </w:p>
        </w:tc>
      </w:tr>
      <w:tr w:rsidR="001C7F15" w:rsidRPr="001C7F15" w14:paraId="0187EDC5" w14:textId="77777777" w:rsidTr="00E823BC">
        <w:trPr>
          <w:jc w:val="center"/>
        </w:trPr>
        <w:tc>
          <w:tcPr>
            <w:tcW w:w="931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7542122"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al menos 0.5% del total de tarjetas de este segmento</w:t>
            </w:r>
          </w:p>
        </w:tc>
      </w:tr>
      <w:tr w:rsidR="001C7F15" w:rsidRPr="001C7F15" w14:paraId="425DCD58" w14:textId="77777777" w:rsidTr="00E823BC">
        <w:trPr>
          <w:jc w:val="center"/>
        </w:trPr>
        <w:tc>
          <w:tcPr>
            <w:tcW w:w="1691" w:type="dxa"/>
            <w:tcBorders>
              <w:top w:val="single" w:sz="4" w:space="0" w:color="auto"/>
              <w:left w:val="single" w:sz="4" w:space="0" w:color="auto"/>
              <w:right w:val="single" w:sz="4" w:space="0" w:color="auto"/>
            </w:tcBorders>
            <w:shd w:val="clear" w:color="auto" w:fill="auto"/>
          </w:tcPr>
          <w:p w14:paraId="56B95EEE" w14:textId="77777777" w:rsidR="001C7F15" w:rsidRPr="001C7F15" w:rsidRDefault="001C7F15" w:rsidP="001C7F15">
            <w:pPr>
              <w:autoSpaceDE w:val="0"/>
              <w:autoSpaceDN w:val="0"/>
              <w:adjustRightInd w:val="0"/>
              <w:spacing w:before="120" w:after="40"/>
              <w:rPr>
                <w:rFonts w:eastAsia="Calibri"/>
                <w:bCs/>
                <w:sz w:val="18"/>
                <w:szCs w:val="18"/>
                <w:lang w:eastAsia="en-US"/>
              </w:rPr>
            </w:pPr>
            <w:r w:rsidRPr="001C7F15">
              <w:rPr>
                <w:rFonts w:eastAsia="Calibri"/>
                <w:bCs/>
                <w:sz w:val="18"/>
                <w:szCs w:val="18"/>
                <w:lang w:eastAsia="en-US"/>
              </w:rPr>
              <w:t xml:space="preserve">Banorte </w:t>
            </w:r>
            <w:r w:rsidRPr="001C7F15">
              <w:rPr>
                <w:rFonts w:eastAsia="Calibri"/>
                <w:bCs/>
                <w:sz w:val="18"/>
                <w:szCs w:val="18"/>
                <w:u w:val="single"/>
                <w:vertAlign w:val="superscript"/>
                <w:lang w:eastAsia="en-US"/>
              </w:rPr>
              <w:t>3</w:t>
            </w:r>
            <w:r w:rsidRPr="001C7F15">
              <w:rPr>
                <w:rFonts w:eastAsia="Calibri"/>
                <w:bCs/>
                <w:sz w:val="18"/>
                <w:szCs w:val="18"/>
                <w:vertAlign w:val="superscript"/>
                <w:lang w:eastAsia="en-US"/>
              </w:rPr>
              <w:t>/</w:t>
            </w:r>
          </w:p>
        </w:tc>
        <w:tc>
          <w:tcPr>
            <w:tcW w:w="2268" w:type="dxa"/>
            <w:tcBorders>
              <w:top w:val="single" w:sz="4" w:space="0" w:color="auto"/>
              <w:left w:val="single" w:sz="4" w:space="0" w:color="auto"/>
              <w:bottom w:val="nil"/>
              <w:right w:val="single" w:sz="4" w:space="0" w:color="auto"/>
            </w:tcBorders>
            <w:shd w:val="clear" w:color="auto" w:fill="auto"/>
          </w:tcPr>
          <w:p w14:paraId="207BAB6D" w14:textId="77777777" w:rsidR="001C7F15" w:rsidRPr="001C7F15" w:rsidRDefault="001C7F15" w:rsidP="001C7F15">
            <w:pPr>
              <w:autoSpaceDE w:val="0"/>
              <w:autoSpaceDN w:val="0"/>
              <w:adjustRightInd w:val="0"/>
              <w:spacing w:before="120" w:after="40"/>
              <w:rPr>
                <w:rFonts w:eastAsia="Calibri"/>
                <w:sz w:val="18"/>
                <w:szCs w:val="18"/>
                <w:lang w:eastAsia="en-US"/>
              </w:rPr>
            </w:pPr>
            <w:r w:rsidRPr="001C7F15">
              <w:rPr>
                <w:rFonts w:eastAsia="Calibri"/>
                <w:sz w:val="18"/>
                <w:szCs w:val="18"/>
                <w:lang w:eastAsia="en-US"/>
              </w:rPr>
              <w:t>Platinum</w:t>
            </w:r>
          </w:p>
        </w:tc>
        <w:tc>
          <w:tcPr>
            <w:tcW w:w="1242" w:type="dxa"/>
            <w:tcBorders>
              <w:top w:val="single" w:sz="4" w:space="0" w:color="auto"/>
              <w:left w:val="single" w:sz="4" w:space="0" w:color="auto"/>
              <w:bottom w:val="nil"/>
              <w:right w:val="single" w:sz="4" w:space="0" w:color="auto"/>
            </w:tcBorders>
            <w:shd w:val="clear" w:color="auto" w:fill="auto"/>
          </w:tcPr>
          <w:p w14:paraId="436C472B"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21.5</w:t>
            </w:r>
          </w:p>
        </w:tc>
        <w:tc>
          <w:tcPr>
            <w:tcW w:w="1417" w:type="dxa"/>
            <w:tcBorders>
              <w:top w:val="single" w:sz="4" w:space="0" w:color="auto"/>
              <w:left w:val="single" w:sz="4" w:space="0" w:color="auto"/>
              <w:bottom w:val="nil"/>
              <w:right w:val="single" w:sz="4" w:space="0" w:color="auto"/>
            </w:tcBorders>
            <w:shd w:val="clear" w:color="auto" w:fill="auto"/>
          </w:tcPr>
          <w:p w14:paraId="2BF31CE8"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16.5</w:t>
            </w:r>
          </w:p>
        </w:tc>
        <w:tc>
          <w:tcPr>
            <w:tcW w:w="1265" w:type="dxa"/>
            <w:tcBorders>
              <w:top w:val="single" w:sz="4" w:space="0" w:color="auto"/>
              <w:left w:val="single" w:sz="4" w:space="0" w:color="auto"/>
              <w:bottom w:val="nil"/>
              <w:right w:val="single" w:sz="4" w:space="0" w:color="auto"/>
            </w:tcBorders>
            <w:shd w:val="clear" w:color="auto" w:fill="auto"/>
          </w:tcPr>
          <w:p w14:paraId="28A8B36B"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1 850</w:t>
            </w:r>
          </w:p>
        </w:tc>
        <w:tc>
          <w:tcPr>
            <w:tcW w:w="1432" w:type="dxa"/>
            <w:tcBorders>
              <w:top w:val="single" w:sz="4" w:space="0" w:color="auto"/>
              <w:left w:val="single" w:sz="4" w:space="0" w:color="auto"/>
              <w:bottom w:val="nil"/>
              <w:right w:val="single" w:sz="4" w:space="0" w:color="auto"/>
            </w:tcBorders>
            <w:shd w:val="clear" w:color="auto" w:fill="auto"/>
          </w:tcPr>
          <w:p w14:paraId="6AF7E01E"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73 000</w:t>
            </w:r>
          </w:p>
        </w:tc>
      </w:tr>
      <w:tr w:rsidR="001C7F15" w:rsidRPr="001C7F15" w14:paraId="7322EA12" w14:textId="77777777" w:rsidTr="00E823BC">
        <w:trPr>
          <w:jc w:val="center"/>
        </w:trPr>
        <w:tc>
          <w:tcPr>
            <w:tcW w:w="1691" w:type="dxa"/>
            <w:tcBorders>
              <w:left w:val="single" w:sz="4" w:space="0" w:color="auto"/>
              <w:right w:val="single" w:sz="4" w:space="0" w:color="auto"/>
            </w:tcBorders>
            <w:shd w:val="clear" w:color="auto" w:fill="auto"/>
          </w:tcPr>
          <w:p w14:paraId="239B78EB"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 xml:space="preserve">Ixe Tarjetas </w:t>
            </w:r>
            <w:r w:rsidRPr="001C7F15">
              <w:rPr>
                <w:rFonts w:eastAsia="Calibri"/>
                <w:bCs/>
                <w:sz w:val="18"/>
                <w:szCs w:val="18"/>
                <w:u w:val="single"/>
                <w:vertAlign w:val="superscript"/>
                <w:lang w:eastAsia="en-US"/>
              </w:rPr>
              <w:t>3</w:t>
            </w:r>
            <w:r w:rsidRPr="001C7F15">
              <w:rPr>
                <w:rFonts w:eastAsia="Calibri"/>
                <w:bCs/>
                <w:sz w:val="18"/>
                <w:szCs w:val="18"/>
                <w:vertAlign w:val="superscript"/>
                <w:lang w:eastAsia="en-US"/>
              </w:rPr>
              <w:t>/</w:t>
            </w:r>
          </w:p>
        </w:tc>
        <w:tc>
          <w:tcPr>
            <w:tcW w:w="2268" w:type="dxa"/>
            <w:tcBorders>
              <w:top w:val="nil"/>
              <w:left w:val="single" w:sz="4" w:space="0" w:color="auto"/>
              <w:bottom w:val="nil"/>
              <w:right w:val="single" w:sz="4" w:space="0" w:color="auto"/>
            </w:tcBorders>
            <w:shd w:val="clear" w:color="auto" w:fill="auto"/>
          </w:tcPr>
          <w:p w14:paraId="1E7AA1F2"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Ixe Platino</w:t>
            </w:r>
          </w:p>
        </w:tc>
        <w:tc>
          <w:tcPr>
            <w:tcW w:w="1242" w:type="dxa"/>
            <w:tcBorders>
              <w:top w:val="nil"/>
              <w:left w:val="single" w:sz="4" w:space="0" w:color="auto"/>
              <w:bottom w:val="nil"/>
              <w:right w:val="single" w:sz="4" w:space="0" w:color="auto"/>
            </w:tcBorders>
            <w:shd w:val="clear" w:color="auto" w:fill="auto"/>
          </w:tcPr>
          <w:p w14:paraId="61A37AD5"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23.1</w:t>
            </w:r>
          </w:p>
        </w:tc>
        <w:tc>
          <w:tcPr>
            <w:tcW w:w="1417" w:type="dxa"/>
            <w:tcBorders>
              <w:top w:val="nil"/>
              <w:left w:val="single" w:sz="4" w:space="0" w:color="auto"/>
              <w:bottom w:val="nil"/>
              <w:right w:val="single" w:sz="4" w:space="0" w:color="auto"/>
            </w:tcBorders>
            <w:shd w:val="clear" w:color="auto" w:fill="auto"/>
          </w:tcPr>
          <w:p w14:paraId="57AC26E0"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17.8</w:t>
            </w:r>
          </w:p>
        </w:tc>
        <w:tc>
          <w:tcPr>
            <w:tcW w:w="1265" w:type="dxa"/>
            <w:tcBorders>
              <w:top w:val="nil"/>
              <w:left w:val="single" w:sz="4" w:space="0" w:color="auto"/>
              <w:bottom w:val="nil"/>
              <w:right w:val="single" w:sz="4" w:space="0" w:color="auto"/>
            </w:tcBorders>
            <w:shd w:val="clear" w:color="auto" w:fill="auto"/>
          </w:tcPr>
          <w:p w14:paraId="025C55F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1 850</w:t>
            </w:r>
          </w:p>
        </w:tc>
        <w:tc>
          <w:tcPr>
            <w:tcW w:w="1432" w:type="dxa"/>
            <w:tcBorders>
              <w:top w:val="nil"/>
              <w:left w:val="single" w:sz="4" w:space="0" w:color="auto"/>
              <w:bottom w:val="nil"/>
              <w:right w:val="single" w:sz="4" w:space="0" w:color="auto"/>
            </w:tcBorders>
            <w:shd w:val="clear" w:color="auto" w:fill="auto"/>
          </w:tcPr>
          <w:p w14:paraId="2B5B92F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90 000</w:t>
            </w:r>
          </w:p>
        </w:tc>
      </w:tr>
      <w:tr w:rsidR="001C7F15" w:rsidRPr="001C7F15" w14:paraId="4EFDBF4E" w14:textId="77777777" w:rsidTr="00E823BC">
        <w:trPr>
          <w:jc w:val="center"/>
        </w:trPr>
        <w:tc>
          <w:tcPr>
            <w:tcW w:w="1691" w:type="dxa"/>
            <w:tcBorders>
              <w:left w:val="single" w:sz="4" w:space="0" w:color="auto"/>
              <w:right w:val="single" w:sz="4" w:space="0" w:color="auto"/>
            </w:tcBorders>
            <w:shd w:val="clear" w:color="auto" w:fill="auto"/>
          </w:tcPr>
          <w:p w14:paraId="1D7AB68B"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Banamex</w:t>
            </w:r>
          </w:p>
        </w:tc>
        <w:tc>
          <w:tcPr>
            <w:tcW w:w="2268" w:type="dxa"/>
            <w:tcBorders>
              <w:top w:val="nil"/>
              <w:left w:val="single" w:sz="4" w:space="0" w:color="auto"/>
              <w:bottom w:val="nil"/>
              <w:right w:val="single" w:sz="4" w:space="0" w:color="auto"/>
            </w:tcBorders>
            <w:shd w:val="clear" w:color="auto" w:fill="auto"/>
          </w:tcPr>
          <w:p w14:paraId="07B9ABAC"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Platinum</w:t>
            </w:r>
          </w:p>
        </w:tc>
        <w:tc>
          <w:tcPr>
            <w:tcW w:w="1242" w:type="dxa"/>
            <w:tcBorders>
              <w:top w:val="nil"/>
              <w:left w:val="single" w:sz="4" w:space="0" w:color="auto"/>
              <w:bottom w:val="nil"/>
              <w:right w:val="single" w:sz="4" w:space="0" w:color="auto"/>
            </w:tcBorders>
            <w:shd w:val="clear" w:color="auto" w:fill="auto"/>
          </w:tcPr>
          <w:p w14:paraId="78FB894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23.6</w:t>
            </w:r>
          </w:p>
        </w:tc>
        <w:tc>
          <w:tcPr>
            <w:tcW w:w="1417" w:type="dxa"/>
            <w:tcBorders>
              <w:top w:val="nil"/>
              <w:left w:val="single" w:sz="4" w:space="0" w:color="auto"/>
              <w:bottom w:val="nil"/>
              <w:right w:val="single" w:sz="4" w:space="0" w:color="auto"/>
            </w:tcBorders>
            <w:shd w:val="clear" w:color="auto" w:fill="auto"/>
          </w:tcPr>
          <w:p w14:paraId="64CF2211"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18.0</w:t>
            </w:r>
          </w:p>
        </w:tc>
        <w:tc>
          <w:tcPr>
            <w:tcW w:w="1265" w:type="dxa"/>
            <w:tcBorders>
              <w:top w:val="nil"/>
              <w:left w:val="single" w:sz="4" w:space="0" w:color="auto"/>
              <w:bottom w:val="nil"/>
              <w:right w:val="single" w:sz="4" w:space="0" w:color="auto"/>
            </w:tcBorders>
            <w:shd w:val="clear" w:color="auto" w:fill="auto"/>
          </w:tcPr>
          <w:p w14:paraId="795AD0F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2 000</w:t>
            </w:r>
          </w:p>
        </w:tc>
        <w:tc>
          <w:tcPr>
            <w:tcW w:w="1432" w:type="dxa"/>
            <w:tcBorders>
              <w:top w:val="nil"/>
              <w:left w:val="single" w:sz="4" w:space="0" w:color="auto"/>
              <w:bottom w:val="nil"/>
              <w:right w:val="single" w:sz="4" w:space="0" w:color="auto"/>
            </w:tcBorders>
            <w:shd w:val="clear" w:color="auto" w:fill="auto"/>
          </w:tcPr>
          <w:p w14:paraId="2C0ECDE6"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75 000</w:t>
            </w:r>
          </w:p>
        </w:tc>
      </w:tr>
      <w:tr w:rsidR="001C7F15" w:rsidRPr="001C7F15" w14:paraId="2A9421A5" w14:textId="77777777" w:rsidTr="00E823BC">
        <w:trPr>
          <w:jc w:val="center"/>
        </w:trPr>
        <w:tc>
          <w:tcPr>
            <w:tcW w:w="1691" w:type="dxa"/>
            <w:tcBorders>
              <w:left w:val="single" w:sz="4" w:space="0" w:color="auto"/>
              <w:right w:val="single" w:sz="4" w:space="0" w:color="auto"/>
            </w:tcBorders>
            <w:shd w:val="clear" w:color="auto" w:fill="auto"/>
          </w:tcPr>
          <w:p w14:paraId="77A0E980"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BBVA Bancomer</w:t>
            </w:r>
          </w:p>
        </w:tc>
        <w:tc>
          <w:tcPr>
            <w:tcW w:w="2268" w:type="dxa"/>
            <w:tcBorders>
              <w:top w:val="nil"/>
              <w:left w:val="single" w:sz="4" w:space="0" w:color="auto"/>
              <w:bottom w:val="nil"/>
              <w:right w:val="single" w:sz="4" w:space="0" w:color="auto"/>
            </w:tcBorders>
            <w:shd w:val="clear" w:color="auto" w:fill="auto"/>
          </w:tcPr>
          <w:p w14:paraId="732ACF5B"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Bancomer Platinum</w:t>
            </w:r>
          </w:p>
        </w:tc>
        <w:tc>
          <w:tcPr>
            <w:tcW w:w="1242" w:type="dxa"/>
            <w:tcBorders>
              <w:top w:val="nil"/>
              <w:left w:val="single" w:sz="4" w:space="0" w:color="auto"/>
              <w:bottom w:val="nil"/>
              <w:right w:val="single" w:sz="4" w:space="0" w:color="auto"/>
            </w:tcBorders>
            <w:shd w:val="clear" w:color="auto" w:fill="auto"/>
          </w:tcPr>
          <w:p w14:paraId="4C61B9A3"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24.6</w:t>
            </w:r>
          </w:p>
        </w:tc>
        <w:tc>
          <w:tcPr>
            <w:tcW w:w="1417" w:type="dxa"/>
            <w:tcBorders>
              <w:top w:val="nil"/>
              <w:left w:val="single" w:sz="4" w:space="0" w:color="auto"/>
              <w:bottom w:val="nil"/>
              <w:right w:val="single" w:sz="4" w:space="0" w:color="auto"/>
            </w:tcBorders>
            <w:shd w:val="clear" w:color="auto" w:fill="auto"/>
          </w:tcPr>
          <w:p w14:paraId="5C1B8B7D"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18.7</w:t>
            </w:r>
          </w:p>
        </w:tc>
        <w:tc>
          <w:tcPr>
            <w:tcW w:w="1265" w:type="dxa"/>
            <w:tcBorders>
              <w:top w:val="nil"/>
              <w:left w:val="single" w:sz="4" w:space="0" w:color="auto"/>
              <w:bottom w:val="nil"/>
              <w:right w:val="single" w:sz="4" w:space="0" w:color="auto"/>
            </w:tcBorders>
            <w:shd w:val="clear" w:color="auto" w:fill="auto"/>
          </w:tcPr>
          <w:p w14:paraId="27C31C1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2 025</w:t>
            </w:r>
          </w:p>
        </w:tc>
        <w:tc>
          <w:tcPr>
            <w:tcW w:w="1432" w:type="dxa"/>
            <w:tcBorders>
              <w:top w:val="nil"/>
              <w:left w:val="single" w:sz="4" w:space="0" w:color="auto"/>
              <w:bottom w:val="nil"/>
              <w:right w:val="single" w:sz="4" w:space="0" w:color="auto"/>
            </w:tcBorders>
            <w:shd w:val="clear" w:color="auto" w:fill="auto"/>
          </w:tcPr>
          <w:p w14:paraId="031A7F5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110 600</w:t>
            </w:r>
          </w:p>
        </w:tc>
      </w:tr>
      <w:tr w:rsidR="001C7F15" w:rsidRPr="001C7F15" w14:paraId="4986F29A" w14:textId="77777777" w:rsidTr="00E823BC">
        <w:trPr>
          <w:jc w:val="center"/>
        </w:trPr>
        <w:tc>
          <w:tcPr>
            <w:tcW w:w="1691" w:type="dxa"/>
            <w:tcBorders>
              <w:left w:val="single" w:sz="4" w:space="0" w:color="auto"/>
              <w:right w:val="single" w:sz="4" w:space="0" w:color="auto"/>
            </w:tcBorders>
            <w:shd w:val="clear" w:color="auto" w:fill="auto"/>
          </w:tcPr>
          <w:p w14:paraId="0FDB8625"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Santander</w:t>
            </w:r>
          </w:p>
        </w:tc>
        <w:tc>
          <w:tcPr>
            <w:tcW w:w="2268" w:type="dxa"/>
            <w:tcBorders>
              <w:top w:val="nil"/>
              <w:left w:val="single" w:sz="4" w:space="0" w:color="auto"/>
              <w:bottom w:val="nil"/>
              <w:right w:val="single" w:sz="4" w:space="0" w:color="auto"/>
            </w:tcBorders>
            <w:shd w:val="clear" w:color="auto" w:fill="auto"/>
          </w:tcPr>
          <w:p w14:paraId="73B603B1"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Fiesta Rewards Platino</w:t>
            </w:r>
          </w:p>
        </w:tc>
        <w:tc>
          <w:tcPr>
            <w:tcW w:w="1242" w:type="dxa"/>
            <w:tcBorders>
              <w:top w:val="nil"/>
              <w:left w:val="single" w:sz="4" w:space="0" w:color="auto"/>
              <w:bottom w:val="nil"/>
              <w:right w:val="single" w:sz="4" w:space="0" w:color="auto"/>
            </w:tcBorders>
            <w:shd w:val="clear" w:color="auto" w:fill="auto"/>
          </w:tcPr>
          <w:p w14:paraId="28B89DBB"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25.7</w:t>
            </w:r>
          </w:p>
        </w:tc>
        <w:tc>
          <w:tcPr>
            <w:tcW w:w="1417" w:type="dxa"/>
            <w:tcBorders>
              <w:top w:val="nil"/>
              <w:left w:val="single" w:sz="4" w:space="0" w:color="auto"/>
              <w:bottom w:val="nil"/>
              <w:right w:val="single" w:sz="4" w:space="0" w:color="auto"/>
            </w:tcBorders>
            <w:shd w:val="clear" w:color="auto" w:fill="auto"/>
          </w:tcPr>
          <w:p w14:paraId="4D87CF4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19.9</w:t>
            </w:r>
          </w:p>
        </w:tc>
        <w:tc>
          <w:tcPr>
            <w:tcW w:w="1265" w:type="dxa"/>
            <w:tcBorders>
              <w:top w:val="nil"/>
              <w:left w:val="single" w:sz="4" w:space="0" w:color="auto"/>
              <w:bottom w:val="nil"/>
              <w:right w:val="single" w:sz="4" w:space="0" w:color="auto"/>
            </w:tcBorders>
            <w:shd w:val="clear" w:color="auto" w:fill="auto"/>
          </w:tcPr>
          <w:p w14:paraId="6E28719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1 850</w:t>
            </w:r>
          </w:p>
        </w:tc>
        <w:tc>
          <w:tcPr>
            <w:tcW w:w="1432" w:type="dxa"/>
            <w:tcBorders>
              <w:top w:val="nil"/>
              <w:left w:val="single" w:sz="4" w:space="0" w:color="auto"/>
              <w:bottom w:val="nil"/>
              <w:right w:val="single" w:sz="4" w:space="0" w:color="auto"/>
            </w:tcBorders>
            <w:shd w:val="clear" w:color="auto" w:fill="auto"/>
          </w:tcPr>
          <w:p w14:paraId="2099DB83"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100 000</w:t>
            </w:r>
          </w:p>
        </w:tc>
      </w:tr>
      <w:tr w:rsidR="001C7F15" w:rsidRPr="001C7F15" w14:paraId="140996C7" w14:textId="77777777" w:rsidTr="00E823BC">
        <w:trPr>
          <w:jc w:val="center"/>
        </w:trPr>
        <w:tc>
          <w:tcPr>
            <w:tcW w:w="1691" w:type="dxa"/>
            <w:tcBorders>
              <w:left w:val="single" w:sz="4" w:space="0" w:color="auto"/>
              <w:right w:val="single" w:sz="4" w:space="0" w:color="auto"/>
            </w:tcBorders>
            <w:shd w:val="clear" w:color="auto" w:fill="auto"/>
          </w:tcPr>
          <w:p w14:paraId="5915D8C2"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Scotiabank</w:t>
            </w:r>
          </w:p>
        </w:tc>
        <w:tc>
          <w:tcPr>
            <w:tcW w:w="2268" w:type="dxa"/>
            <w:tcBorders>
              <w:top w:val="nil"/>
              <w:left w:val="single" w:sz="4" w:space="0" w:color="auto"/>
              <w:bottom w:val="nil"/>
              <w:right w:val="single" w:sz="4" w:space="0" w:color="auto"/>
            </w:tcBorders>
            <w:shd w:val="clear" w:color="auto" w:fill="auto"/>
          </w:tcPr>
          <w:p w14:paraId="36296A03"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Scotia Travel Platinum</w:t>
            </w:r>
          </w:p>
        </w:tc>
        <w:tc>
          <w:tcPr>
            <w:tcW w:w="1242" w:type="dxa"/>
            <w:tcBorders>
              <w:top w:val="nil"/>
              <w:left w:val="single" w:sz="4" w:space="0" w:color="auto"/>
              <w:bottom w:val="nil"/>
              <w:right w:val="single" w:sz="4" w:space="0" w:color="auto"/>
            </w:tcBorders>
            <w:shd w:val="clear" w:color="auto" w:fill="auto"/>
          </w:tcPr>
          <w:p w14:paraId="6DD4BF44"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32.2</w:t>
            </w:r>
          </w:p>
        </w:tc>
        <w:tc>
          <w:tcPr>
            <w:tcW w:w="1417" w:type="dxa"/>
            <w:tcBorders>
              <w:top w:val="nil"/>
              <w:left w:val="single" w:sz="4" w:space="0" w:color="auto"/>
              <w:bottom w:val="nil"/>
              <w:right w:val="single" w:sz="4" w:space="0" w:color="auto"/>
            </w:tcBorders>
            <w:shd w:val="clear" w:color="auto" w:fill="auto"/>
          </w:tcPr>
          <w:p w14:paraId="15BA8D2A"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25.0</w:t>
            </w:r>
          </w:p>
        </w:tc>
        <w:tc>
          <w:tcPr>
            <w:tcW w:w="1265" w:type="dxa"/>
            <w:tcBorders>
              <w:top w:val="nil"/>
              <w:left w:val="single" w:sz="4" w:space="0" w:color="auto"/>
              <w:bottom w:val="nil"/>
              <w:right w:val="single" w:sz="4" w:space="0" w:color="auto"/>
            </w:tcBorders>
            <w:shd w:val="clear" w:color="auto" w:fill="auto"/>
          </w:tcPr>
          <w:p w14:paraId="30C648AB"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1 850</w:t>
            </w:r>
          </w:p>
        </w:tc>
        <w:tc>
          <w:tcPr>
            <w:tcW w:w="1432" w:type="dxa"/>
            <w:tcBorders>
              <w:top w:val="nil"/>
              <w:left w:val="single" w:sz="4" w:space="0" w:color="auto"/>
              <w:bottom w:val="nil"/>
              <w:right w:val="single" w:sz="4" w:space="0" w:color="auto"/>
            </w:tcBorders>
            <w:shd w:val="clear" w:color="auto" w:fill="auto"/>
          </w:tcPr>
          <w:p w14:paraId="41DE9BB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75 000</w:t>
            </w:r>
          </w:p>
        </w:tc>
      </w:tr>
      <w:tr w:rsidR="001C7F15" w:rsidRPr="001C7F15" w14:paraId="248EAB5A" w14:textId="77777777" w:rsidTr="00E823BC">
        <w:trPr>
          <w:jc w:val="center"/>
        </w:trPr>
        <w:tc>
          <w:tcPr>
            <w:tcW w:w="1691" w:type="dxa"/>
            <w:tcBorders>
              <w:left w:val="single" w:sz="4" w:space="0" w:color="auto"/>
              <w:right w:val="single" w:sz="4" w:space="0" w:color="auto"/>
            </w:tcBorders>
            <w:shd w:val="clear" w:color="auto" w:fill="auto"/>
          </w:tcPr>
          <w:p w14:paraId="4EEA0019"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HSBC</w:t>
            </w:r>
          </w:p>
        </w:tc>
        <w:tc>
          <w:tcPr>
            <w:tcW w:w="2268" w:type="dxa"/>
            <w:tcBorders>
              <w:top w:val="nil"/>
              <w:left w:val="single" w:sz="4" w:space="0" w:color="auto"/>
              <w:bottom w:val="nil"/>
              <w:right w:val="single" w:sz="4" w:space="0" w:color="auto"/>
            </w:tcBorders>
            <w:shd w:val="clear" w:color="auto" w:fill="auto"/>
          </w:tcPr>
          <w:p w14:paraId="02129494"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Platinum HSBC</w:t>
            </w:r>
          </w:p>
        </w:tc>
        <w:tc>
          <w:tcPr>
            <w:tcW w:w="1242" w:type="dxa"/>
            <w:tcBorders>
              <w:top w:val="nil"/>
              <w:left w:val="single" w:sz="4" w:space="0" w:color="auto"/>
              <w:bottom w:val="nil"/>
              <w:right w:val="single" w:sz="4" w:space="0" w:color="auto"/>
            </w:tcBorders>
            <w:shd w:val="clear" w:color="auto" w:fill="auto"/>
          </w:tcPr>
          <w:p w14:paraId="1DDAAEE9"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35.2</w:t>
            </w:r>
          </w:p>
        </w:tc>
        <w:tc>
          <w:tcPr>
            <w:tcW w:w="1417" w:type="dxa"/>
            <w:tcBorders>
              <w:top w:val="nil"/>
              <w:left w:val="single" w:sz="4" w:space="0" w:color="auto"/>
              <w:bottom w:val="nil"/>
              <w:right w:val="single" w:sz="4" w:space="0" w:color="auto"/>
            </w:tcBorders>
            <w:shd w:val="clear" w:color="auto" w:fill="auto"/>
          </w:tcPr>
          <w:p w14:paraId="6974DC83"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27.2</w:t>
            </w:r>
          </w:p>
        </w:tc>
        <w:tc>
          <w:tcPr>
            <w:tcW w:w="1265" w:type="dxa"/>
            <w:tcBorders>
              <w:top w:val="nil"/>
              <w:left w:val="single" w:sz="4" w:space="0" w:color="auto"/>
              <w:bottom w:val="nil"/>
              <w:right w:val="single" w:sz="4" w:space="0" w:color="auto"/>
            </w:tcBorders>
            <w:shd w:val="clear" w:color="auto" w:fill="auto"/>
          </w:tcPr>
          <w:p w14:paraId="433C8374"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1 900</w:t>
            </w:r>
          </w:p>
        </w:tc>
        <w:tc>
          <w:tcPr>
            <w:tcW w:w="1432" w:type="dxa"/>
            <w:tcBorders>
              <w:top w:val="nil"/>
              <w:left w:val="single" w:sz="4" w:space="0" w:color="auto"/>
              <w:bottom w:val="nil"/>
              <w:right w:val="single" w:sz="4" w:space="0" w:color="auto"/>
            </w:tcBorders>
            <w:shd w:val="clear" w:color="auto" w:fill="auto"/>
          </w:tcPr>
          <w:p w14:paraId="038BC845"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93 000</w:t>
            </w:r>
          </w:p>
        </w:tc>
      </w:tr>
      <w:tr w:rsidR="001C7F15" w:rsidRPr="001C7F15" w14:paraId="33A3493B" w14:textId="77777777" w:rsidTr="00E823BC">
        <w:trPr>
          <w:jc w:val="center"/>
        </w:trPr>
        <w:tc>
          <w:tcPr>
            <w:tcW w:w="1691" w:type="dxa"/>
            <w:tcBorders>
              <w:left w:val="single" w:sz="4" w:space="0" w:color="auto"/>
              <w:right w:val="single" w:sz="4" w:space="0" w:color="auto"/>
            </w:tcBorders>
            <w:shd w:val="clear" w:color="auto" w:fill="auto"/>
          </w:tcPr>
          <w:p w14:paraId="10505C96" w14:textId="77777777" w:rsidR="001C7F15" w:rsidRPr="001C7F15" w:rsidRDefault="001C7F15" w:rsidP="001C7F15">
            <w:pPr>
              <w:autoSpaceDE w:val="0"/>
              <w:autoSpaceDN w:val="0"/>
              <w:adjustRightInd w:val="0"/>
              <w:spacing w:before="40" w:after="120"/>
              <w:rPr>
                <w:rFonts w:eastAsia="Calibri"/>
                <w:bCs/>
                <w:sz w:val="18"/>
                <w:szCs w:val="18"/>
                <w:lang w:eastAsia="en-US"/>
              </w:rPr>
            </w:pPr>
            <w:r w:rsidRPr="001C7F15">
              <w:rPr>
                <w:rFonts w:eastAsia="Calibri"/>
                <w:bCs/>
                <w:sz w:val="18"/>
                <w:szCs w:val="18"/>
                <w:lang w:eastAsia="en-US"/>
              </w:rPr>
              <w:t>American Express</w:t>
            </w:r>
          </w:p>
        </w:tc>
        <w:tc>
          <w:tcPr>
            <w:tcW w:w="2268" w:type="dxa"/>
            <w:tcBorders>
              <w:top w:val="nil"/>
              <w:left w:val="single" w:sz="4" w:space="0" w:color="auto"/>
              <w:bottom w:val="nil"/>
              <w:right w:val="single" w:sz="4" w:space="0" w:color="auto"/>
            </w:tcBorders>
            <w:shd w:val="clear" w:color="auto" w:fill="auto"/>
          </w:tcPr>
          <w:p w14:paraId="75FCA581" w14:textId="77777777" w:rsidR="001C7F15" w:rsidRPr="001C7F15" w:rsidRDefault="001C7F15" w:rsidP="001C7F15">
            <w:pPr>
              <w:autoSpaceDE w:val="0"/>
              <w:autoSpaceDN w:val="0"/>
              <w:adjustRightInd w:val="0"/>
              <w:spacing w:before="40" w:after="120"/>
              <w:rPr>
                <w:rFonts w:eastAsia="Calibri"/>
                <w:sz w:val="18"/>
                <w:szCs w:val="18"/>
                <w:lang w:eastAsia="en-US"/>
              </w:rPr>
            </w:pPr>
            <w:r w:rsidRPr="001C7F15">
              <w:rPr>
                <w:rFonts w:eastAsia="Calibri"/>
                <w:sz w:val="18"/>
                <w:szCs w:val="18"/>
                <w:lang w:eastAsia="en-US"/>
              </w:rPr>
              <w:t>The Platinum Credit Card</w:t>
            </w:r>
          </w:p>
        </w:tc>
        <w:tc>
          <w:tcPr>
            <w:tcW w:w="1242" w:type="dxa"/>
            <w:tcBorders>
              <w:top w:val="nil"/>
              <w:left w:val="single" w:sz="4" w:space="0" w:color="auto"/>
              <w:bottom w:val="nil"/>
              <w:right w:val="single" w:sz="4" w:space="0" w:color="auto"/>
            </w:tcBorders>
            <w:shd w:val="clear" w:color="auto" w:fill="auto"/>
          </w:tcPr>
          <w:p w14:paraId="78663CD9"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41.9</w:t>
            </w:r>
          </w:p>
        </w:tc>
        <w:tc>
          <w:tcPr>
            <w:tcW w:w="1417" w:type="dxa"/>
            <w:tcBorders>
              <w:top w:val="nil"/>
              <w:left w:val="single" w:sz="4" w:space="0" w:color="auto"/>
              <w:bottom w:val="nil"/>
              <w:right w:val="single" w:sz="4" w:space="0" w:color="auto"/>
            </w:tcBorders>
            <w:shd w:val="clear" w:color="auto" w:fill="auto"/>
          </w:tcPr>
          <w:p w14:paraId="05393BC2"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31.3</w:t>
            </w:r>
          </w:p>
        </w:tc>
        <w:tc>
          <w:tcPr>
            <w:tcW w:w="1265" w:type="dxa"/>
            <w:tcBorders>
              <w:top w:val="nil"/>
              <w:left w:val="single" w:sz="4" w:space="0" w:color="auto"/>
              <w:bottom w:val="nil"/>
              <w:right w:val="single" w:sz="4" w:space="0" w:color="auto"/>
            </w:tcBorders>
            <w:shd w:val="clear" w:color="auto" w:fill="auto"/>
          </w:tcPr>
          <w:p w14:paraId="7FB63CBE"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2 340</w:t>
            </w:r>
          </w:p>
        </w:tc>
        <w:tc>
          <w:tcPr>
            <w:tcW w:w="1432" w:type="dxa"/>
            <w:tcBorders>
              <w:top w:val="nil"/>
              <w:left w:val="single" w:sz="4" w:space="0" w:color="auto"/>
              <w:bottom w:val="nil"/>
              <w:right w:val="single" w:sz="4" w:space="0" w:color="auto"/>
            </w:tcBorders>
            <w:shd w:val="clear" w:color="auto" w:fill="auto"/>
          </w:tcPr>
          <w:p w14:paraId="0D4538DE"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50 000</w:t>
            </w:r>
          </w:p>
        </w:tc>
      </w:tr>
      <w:tr w:rsidR="001C7F15" w:rsidRPr="001C7F15" w14:paraId="39C8080F" w14:textId="77777777" w:rsidTr="00E823BC">
        <w:trPr>
          <w:jc w:val="center"/>
        </w:trPr>
        <w:tc>
          <w:tcPr>
            <w:tcW w:w="931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A3D3933" w14:textId="77777777" w:rsidR="001C7F15" w:rsidRPr="001C7F15" w:rsidRDefault="001C7F15" w:rsidP="001C7F15">
            <w:pPr>
              <w:spacing w:before="40" w:after="40"/>
              <w:jc w:val="center"/>
              <w:rPr>
                <w:rFonts w:eastAsia="Calibri"/>
                <w:b/>
                <w:bCs/>
                <w:sz w:val="18"/>
                <w:szCs w:val="18"/>
                <w:lang w:eastAsia="en-US"/>
              </w:rPr>
            </w:pPr>
            <w:r w:rsidRPr="001C7F15">
              <w:rPr>
                <w:rFonts w:eastAsia="Calibri"/>
                <w:b/>
                <w:bCs/>
                <w:sz w:val="18"/>
                <w:szCs w:val="18"/>
                <w:lang w:eastAsia="en-US"/>
              </w:rPr>
              <w:t>Productos con menos de 0.5% pero más de 0.1% del total de tarjetas de este segmento</w:t>
            </w:r>
          </w:p>
        </w:tc>
      </w:tr>
      <w:tr w:rsidR="001C7F15" w:rsidRPr="001C7F15" w14:paraId="22D1F891" w14:textId="77777777" w:rsidTr="00E823BC">
        <w:trPr>
          <w:jc w:val="center"/>
        </w:trPr>
        <w:tc>
          <w:tcPr>
            <w:tcW w:w="1691" w:type="dxa"/>
            <w:tcBorders>
              <w:top w:val="single" w:sz="4" w:space="0" w:color="auto"/>
              <w:left w:val="single" w:sz="4" w:space="0" w:color="auto"/>
              <w:right w:val="single" w:sz="4" w:space="0" w:color="auto"/>
            </w:tcBorders>
            <w:shd w:val="clear" w:color="auto" w:fill="auto"/>
          </w:tcPr>
          <w:p w14:paraId="49E9F992" w14:textId="77777777" w:rsidR="001C7F15" w:rsidRPr="001C7F15" w:rsidRDefault="001C7F15" w:rsidP="001C7F15">
            <w:pPr>
              <w:autoSpaceDE w:val="0"/>
              <w:autoSpaceDN w:val="0"/>
              <w:adjustRightInd w:val="0"/>
              <w:spacing w:before="120" w:after="40"/>
              <w:rPr>
                <w:rFonts w:eastAsia="Calibri"/>
                <w:bCs/>
                <w:sz w:val="18"/>
                <w:szCs w:val="18"/>
                <w:lang w:eastAsia="en-US"/>
              </w:rPr>
            </w:pPr>
            <w:r w:rsidRPr="001C7F15">
              <w:rPr>
                <w:rFonts w:eastAsia="Calibri"/>
                <w:bCs/>
                <w:sz w:val="18"/>
                <w:szCs w:val="18"/>
                <w:lang w:eastAsia="en-US"/>
              </w:rPr>
              <w:t>Inbursa</w:t>
            </w:r>
          </w:p>
        </w:tc>
        <w:tc>
          <w:tcPr>
            <w:tcW w:w="2268" w:type="dxa"/>
            <w:tcBorders>
              <w:top w:val="single" w:sz="4" w:space="0" w:color="auto"/>
              <w:left w:val="single" w:sz="4" w:space="0" w:color="auto"/>
              <w:bottom w:val="nil"/>
              <w:right w:val="single" w:sz="4" w:space="0" w:color="auto"/>
            </w:tcBorders>
            <w:shd w:val="clear" w:color="auto" w:fill="auto"/>
          </w:tcPr>
          <w:p w14:paraId="301832E0" w14:textId="77777777" w:rsidR="001C7F15" w:rsidRPr="001C7F15" w:rsidRDefault="001C7F15" w:rsidP="001C7F15">
            <w:pPr>
              <w:autoSpaceDE w:val="0"/>
              <w:autoSpaceDN w:val="0"/>
              <w:adjustRightInd w:val="0"/>
              <w:spacing w:before="120" w:after="40"/>
              <w:rPr>
                <w:rFonts w:eastAsia="Calibri"/>
                <w:sz w:val="18"/>
                <w:szCs w:val="18"/>
                <w:lang w:eastAsia="en-US"/>
              </w:rPr>
            </w:pPr>
            <w:r w:rsidRPr="001C7F15">
              <w:rPr>
                <w:rFonts w:eastAsia="Calibri"/>
                <w:sz w:val="18"/>
                <w:szCs w:val="18"/>
                <w:lang w:eastAsia="en-US"/>
              </w:rPr>
              <w:t>Platinum Inbursa</w:t>
            </w:r>
          </w:p>
        </w:tc>
        <w:tc>
          <w:tcPr>
            <w:tcW w:w="1242" w:type="dxa"/>
            <w:tcBorders>
              <w:top w:val="single" w:sz="4" w:space="0" w:color="auto"/>
              <w:left w:val="single" w:sz="4" w:space="0" w:color="auto"/>
              <w:bottom w:val="nil"/>
              <w:right w:val="single" w:sz="4" w:space="0" w:color="auto"/>
            </w:tcBorders>
            <w:shd w:val="clear" w:color="auto" w:fill="auto"/>
          </w:tcPr>
          <w:p w14:paraId="2B64973D"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19.7</w:t>
            </w:r>
          </w:p>
        </w:tc>
        <w:tc>
          <w:tcPr>
            <w:tcW w:w="1417" w:type="dxa"/>
            <w:tcBorders>
              <w:top w:val="single" w:sz="4" w:space="0" w:color="auto"/>
              <w:left w:val="single" w:sz="4" w:space="0" w:color="auto"/>
              <w:bottom w:val="nil"/>
              <w:right w:val="single" w:sz="4" w:space="0" w:color="auto"/>
            </w:tcBorders>
            <w:shd w:val="clear" w:color="auto" w:fill="auto"/>
          </w:tcPr>
          <w:p w14:paraId="4D0ACD29"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16.9</w:t>
            </w:r>
          </w:p>
        </w:tc>
        <w:tc>
          <w:tcPr>
            <w:tcW w:w="1265" w:type="dxa"/>
            <w:tcBorders>
              <w:top w:val="single" w:sz="4" w:space="0" w:color="auto"/>
              <w:left w:val="single" w:sz="4" w:space="0" w:color="auto"/>
              <w:bottom w:val="nil"/>
              <w:right w:val="single" w:sz="4" w:space="0" w:color="auto"/>
            </w:tcBorders>
            <w:shd w:val="clear" w:color="auto" w:fill="auto"/>
          </w:tcPr>
          <w:p w14:paraId="326D7B1B"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750</w:t>
            </w:r>
          </w:p>
        </w:tc>
        <w:tc>
          <w:tcPr>
            <w:tcW w:w="1432" w:type="dxa"/>
            <w:tcBorders>
              <w:top w:val="single" w:sz="4" w:space="0" w:color="auto"/>
              <w:left w:val="single" w:sz="4" w:space="0" w:color="auto"/>
              <w:bottom w:val="nil"/>
              <w:right w:val="single" w:sz="4" w:space="0" w:color="auto"/>
            </w:tcBorders>
            <w:shd w:val="clear" w:color="auto" w:fill="auto"/>
          </w:tcPr>
          <w:p w14:paraId="2D189327" w14:textId="77777777" w:rsidR="001C7F15" w:rsidRPr="001C7F15" w:rsidRDefault="001C7F15" w:rsidP="001C7F15">
            <w:pPr>
              <w:autoSpaceDE w:val="0"/>
              <w:autoSpaceDN w:val="0"/>
              <w:adjustRightInd w:val="0"/>
              <w:spacing w:before="120" w:after="40"/>
              <w:ind w:right="227"/>
              <w:jc w:val="right"/>
              <w:rPr>
                <w:rFonts w:eastAsia="Calibri"/>
                <w:sz w:val="18"/>
                <w:szCs w:val="18"/>
                <w:lang w:eastAsia="en-US"/>
              </w:rPr>
            </w:pPr>
            <w:r w:rsidRPr="001C7F15">
              <w:rPr>
                <w:rFonts w:eastAsia="Calibri"/>
                <w:sz w:val="18"/>
                <w:szCs w:val="18"/>
                <w:lang w:eastAsia="en-US"/>
              </w:rPr>
              <w:t>75 000</w:t>
            </w:r>
          </w:p>
        </w:tc>
      </w:tr>
      <w:tr w:rsidR="001C7F15" w:rsidRPr="001C7F15" w14:paraId="6BACAD24" w14:textId="77777777" w:rsidTr="00E823BC">
        <w:trPr>
          <w:jc w:val="center"/>
        </w:trPr>
        <w:tc>
          <w:tcPr>
            <w:tcW w:w="1691" w:type="dxa"/>
            <w:tcBorders>
              <w:left w:val="single" w:sz="4" w:space="0" w:color="auto"/>
              <w:right w:val="single" w:sz="4" w:space="0" w:color="auto"/>
            </w:tcBorders>
            <w:shd w:val="clear" w:color="auto" w:fill="auto"/>
          </w:tcPr>
          <w:p w14:paraId="6C398B65"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Banregio</w:t>
            </w:r>
          </w:p>
        </w:tc>
        <w:tc>
          <w:tcPr>
            <w:tcW w:w="2268" w:type="dxa"/>
            <w:tcBorders>
              <w:top w:val="nil"/>
              <w:left w:val="single" w:sz="4" w:space="0" w:color="auto"/>
              <w:bottom w:val="nil"/>
              <w:right w:val="single" w:sz="4" w:space="0" w:color="auto"/>
            </w:tcBorders>
            <w:shd w:val="clear" w:color="auto" w:fill="auto"/>
          </w:tcPr>
          <w:p w14:paraId="76A58EC9"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In Platinum</w:t>
            </w:r>
          </w:p>
        </w:tc>
        <w:tc>
          <w:tcPr>
            <w:tcW w:w="1242" w:type="dxa"/>
            <w:tcBorders>
              <w:top w:val="nil"/>
              <w:left w:val="single" w:sz="4" w:space="0" w:color="auto"/>
              <w:bottom w:val="nil"/>
              <w:right w:val="single" w:sz="4" w:space="0" w:color="auto"/>
            </w:tcBorders>
            <w:shd w:val="clear" w:color="auto" w:fill="auto"/>
          </w:tcPr>
          <w:p w14:paraId="4863A0D7"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22.8</w:t>
            </w:r>
          </w:p>
        </w:tc>
        <w:tc>
          <w:tcPr>
            <w:tcW w:w="1417" w:type="dxa"/>
            <w:tcBorders>
              <w:top w:val="nil"/>
              <w:left w:val="single" w:sz="4" w:space="0" w:color="auto"/>
              <w:bottom w:val="nil"/>
              <w:right w:val="single" w:sz="4" w:space="0" w:color="auto"/>
            </w:tcBorders>
            <w:shd w:val="clear" w:color="auto" w:fill="auto"/>
          </w:tcPr>
          <w:p w14:paraId="311E40A2"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20.7</w:t>
            </w:r>
          </w:p>
        </w:tc>
        <w:tc>
          <w:tcPr>
            <w:tcW w:w="1265" w:type="dxa"/>
            <w:tcBorders>
              <w:top w:val="nil"/>
              <w:left w:val="single" w:sz="4" w:space="0" w:color="auto"/>
              <w:bottom w:val="nil"/>
              <w:right w:val="single" w:sz="4" w:space="0" w:color="auto"/>
            </w:tcBorders>
            <w:shd w:val="clear" w:color="auto" w:fill="auto"/>
          </w:tcPr>
          <w:p w14:paraId="70A2493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0</w:t>
            </w:r>
          </w:p>
        </w:tc>
        <w:tc>
          <w:tcPr>
            <w:tcW w:w="1432" w:type="dxa"/>
            <w:tcBorders>
              <w:top w:val="nil"/>
              <w:left w:val="single" w:sz="4" w:space="0" w:color="auto"/>
              <w:bottom w:val="nil"/>
              <w:right w:val="single" w:sz="4" w:space="0" w:color="auto"/>
            </w:tcBorders>
            <w:shd w:val="clear" w:color="auto" w:fill="auto"/>
          </w:tcPr>
          <w:p w14:paraId="1CE08074"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55 000</w:t>
            </w:r>
          </w:p>
        </w:tc>
      </w:tr>
      <w:tr w:rsidR="001C7F15" w:rsidRPr="001C7F15" w14:paraId="1F7E4F39" w14:textId="77777777" w:rsidTr="00E823BC">
        <w:trPr>
          <w:jc w:val="center"/>
        </w:trPr>
        <w:tc>
          <w:tcPr>
            <w:tcW w:w="1691" w:type="dxa"/>
            <w:tcBorders>
              <w:left w:val="single" w:sz="4" w:space="0" w:color="auto"/>
              <w:right w:val="single" w:sz="4" w:space="0" w:color="auto"/>
            </w:tcBorders>
            <w:shd w:val="clear" w:color="auto" w:fill="auto"/>
          </w:tcPr>
          <w:p w14:paraId="5A7B3776" w14:textId="77777777" w:rsidR="001C7F15" w:rsidRPr="001C7F15" w:rsidRDefault="001C7F15" w:rsidP="001C7F15">
            <w:pPr>
              <w:autoSpaceDE w:val="0"/>
              <w:autoSpaceDN w:val="0"/>
              <w:adjustRightInd w:val="0"/>
              <w:spacing w:before="40" w:after="40"/>
              <w:rPr>
                <w:rFonts w:eastAsia="Calibri"/>
                <w:bCs/>
                <w:sz w:val="18"/>
                <w:szCs w:val="18"/>
                <w:lang w:eastAsia="en-US"/>
              </w:rPr>
            </w:pPr>
            <w:r w:rsidRPr="001C7F15">
              <w:rPr>
                <w:rFonts w:eastAsia="Calibri"/>
                <w:bCs/>
                <w:sz w:val="18"/>
                <w:szCs w:val="18"/>
                <w:lang w:eastAsia="en-US"/>
              </w:rPr>
              <w:t>Banco del Bajío</w:t>
            </w:r>
          </w:p>
        </w:tc>
        <w:tc>
          <w:tcPr>
            <w:tcW w:w="2268" w:type="dxa"/>
            <w:tcBorders>
              <w:top w:val="nil"/>
              <w:left w:val="single" w:sz="4" w:space="0" w:color="auto"/>
              <w:bottom w:val="nil"/>
              <w:right w:val="single" w:sz="4" w:space="0" w:color="auto"/>
            </w:tcBorders>
            <w:shd w:val="clear" w:color="auto" w:fill="auto"/>
          </w:tcPr>
          <w:p w14:paraId="440B8D99" w14:textId="77777777" w:rsidR="001C7F15" w:rsidRPr="001C7F15" w:rsidRDefault="001C7F15" w:rsidP="001C7F15">
            <w:pPr>
              <w:autoSpaceDE w:val="0"/>
              <w:autoSpaceDN w:val="0"/>
              <w:adjustRightInd w:val="0"/>
              <w:spacing w:before="40" w:after="40"/>
              <w:rPr>
                <w:rFonts w:eastAsia="Calibri"/>
                <w:sz w:val="18"/>
                <w:szCs w:val="18"/>
                <w:lang w:eastAsia="en-US"/>
              </w:rPr>
            </w:pPr>
            <w:r w:rsidRPr="001C7F15">
              <w:rPr>
                <w:rFonts w:eastAsia="Calibri"/>
                <w:sz w:val="18"/>
                <w:szCs w:val="18"/>
                <w:lang w:eastAsia="en-US"/>
              </w:rPr>
              <w:t>Platinum Internacional</w:t>
            </w:r>
          </w:p>
        </w:tc>
        <w:tc>
          <w:tcPr>
            <w:tcW w:w="1242" w:type="dxa"/>
            <w:tcBorders>
              <w:top w:val="nil"/>
              <w:left w:val="single" w:sz="4" w:space="0" w:color="auto"/>
              <w:bottom w:val="nil"/>
              <w:right w:val="single" w:sz="4" w:space="0" w:color="auto"/>
            </w:tcBorders>
            <w:shd w:val="clear" w:color="auto" w:fill="auto"/>
          </w:tcPr>
          <w:p w14:paraId="0A43F75C"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23.4</w:t>
            </w:r>
          </w:p>
        </w:tc>
        <w:tc>
          <w:tcPr>
            <w:tcW w:w="1417" w:type="dxa"/>
            <w:tcBorders>
              <w:top w:val="nil"/>
              <w:left w:val="single" w:sz="4" w:space="0" w:color="auto"/>
              <w:bottom w:val="nil"/>
              <w:right w:val="single" w:sz="4" w:space="0" w:color="auto"/>
            </w:tcBorders>
            <w:shd w:val="clear" w:color="auto" w:fill="auto"/>
          </w:tcPr>
          <w:p w14:paraId="6C75308D"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18.7</w:t>
            </w:r>
          </w:p>
        </w:tc>
        <w:tc>
          <w:tcPr>
            <w:tcW w:w="1265" w:type="dxa"/>
            <w:tcBorders>
              <w:top w:val="nil"/>
              <w:left w:val="single" w:sz="4" w:space="0" w:color="auto"/>
              <w:bottom w:val="nil"/>
              <w:right w:val="single" w:sz="4" w:space="0" w:color="auto"/>
            </w:tcBorders>
            <w:shd w:val="clear" w:color="auto" w:fill="auto"/>
          </w:tcPr>
          <w:p w14:paraId="66D490E6"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1 500</w:t>
            </w:r>
          </w:p>
        </w:tc>
        <w:tc>
          <w:tcPr>
            <w:tcW w:w="1432" w:type="dxa"/>
            <w:tcBorders>
              <w:top w:val="nil"/>
              <w:left w:val="single" w:sz="4" w:space="0" w:color="auto"/>
              <w:bottom w:val="nil"/>
              <w:right w:val="single" w:sz="4" w:space="0" w:color="auto"/>
            </w:tcBorders>
            <w:shd w:val="clear" w:color="auto" w:fill="auto"/>
          </w:tcPr>
          <w:p w14:paraId="03C7B52E" w14:textId="77777777" w:rsidR="001C7F15" w:rsidRPr="001C7F15" w:rsidRDefault="001C7F15" w:rsidP="001C7F15">
            <w:pPr>
              <w:autoSpaceDE w:val="0"/>
              <w:autoSpaceDN w:val="0"/>
              <w:adjustRightInd w:val="0"/>
              <w:spacing w:before="40" w:after="40"/>
              <w:ind w:right="227"/>
              <w:jc w:val="right"/>
              <w:rPr>
                <w:rFonts w:eastAsia="Calibri"/>
                <w:sz w:val="18"/>
                <w:szCs w:val="18"/>
                <w:lang w:eastAsia="en-US"/>
              </w:rPr>
            </w:pPr>
            <w:r w:rsidRPr="001C7F15">
              <w:rPr>
                <w:rFonts w:eastAsia="Calibri"/>
                <w:sz w:val="18"/>
                <w:szCs w:val="18"/>
                <w:lang w:eastAsia="en-US"/>
              </w:rPr>
              <w:t>50 000</w:t>
            </w:r>
          </w:p>
        </w:tc>
      </w:tr>
      <w:tr w:rsidR="001C7F15" w:rsidRPr="001C7F15" w14:paraId="35B15772" w14:textId="77777777" w:rsidTr="00E823BC">
        <w:trPr>
          <w:jc w:val="center"/>
        </w:trPr>
        <w:tc>
          <w:tcPr>
            <w:tcW w:w="1691" w:type="dxa"/>
            <w:tcBorders>
              <w:left w:val="single" w:sz="4" w:space="0" w:color="auto"/>
              <w:bottom w:val="single" w:sz="4" w:space="0" w:color="auto"/>
              <w:right w:val="single" w:sz="4" w:space="0" w:color="auto"/>
            </w:tcBorders>
            <w:shd w:val="clear" w:color="auto" w:fill="auto"/>
          </w:tcPr>
          <w:p w14:paraId="4BB2094F" w14:textId="77777777" w:rsidR="001C7F15" w:rsidRPr="001C7F15" w:rsidRDefault="001C7F15" w:rsidP="001C7F15">
            <w:pPr>
              <w:autoSpaceDE w:val="0"/>
              <w:autoSpaceDN w:val="0"/>
              <w:adjustRightInd w:val="0"/>
              <w:spacing w:before="40" w:after="120"/>
              <w:rPr>
                <w:rFonts w:eastAsia="Calibri"/>
                <w:bCs/>
                <w:sz w:val="18"/>
                <w:szCs w:val="18"/>
                <w:lang w:eastAsia="en-US"/>
              </w:rPr>
            </w:pPr>
            <w:r w:rsidRPr="001C7F15">
              <w:rPr>
                <w:rFonts w:eastAsia="Calibri"/>
                <w:bCs/>
                <w:sz w:val="18"/>
                <w:szCs w:val="18"/>
                <w:lang w:eastAsia="en-US"/>
              </w:rPr>
              <w:t>Banco Invex</w:t>
            </w:r>
          </w:p>
        </w:tc>
        <w:tc>
          <w:tcPr>
            <w:tcW w:w="2268" w:type="dxa"/>
            <w:tcBorders>
              <w:top w:val="nil"/>
              <w:left w:val="single" w:sz="4" w:space="0" w:color="auto"/>
              <w:bottom w:val="single" w:sz="4" w:space="0" w:color="auto"/>
              <w:right w:val="single" w:sz="4" w:space="0" w:color="auto"/>
            </w:tcBorders>
            <w:shd w:val="clear" w:color="auto" w:fill="auto"/>
          </w:tcPr>
          <w:p w14:paraId="081C001B" w14:textId="77777777" w:rsidR="001C7F15" w:rsidRPr="001C7F15" w:rsidRDefault="001C7F15" w:rsidP="001C7F15">
            <w:pPr>
              <w:autoSpaceDE w:val="0"/>
              <w:autoSpaceDN w:val="0"/>
              <w:adjustRightInd w:val="0"/>
              <w:spacing w:before="40" w:after="120"/>
              <w:rPr>
                <w:rFonts w:eastAsia="Calibri"/>
                <w:sz w:val="18"/>
                <w:szCs w:val="18"/>
                <w:lang w:eastAsia="en-US"/>
              </w:rPr>
            </w:pPr>
            <w:r w:rsidRPr="001C7F15">
              <w:rPr>
                <w:rFonts w:eastAsia="Calibri"/>
                <w:sz w:val="18"/>
                <w:szCs w:val="18"/>
                <w:lang w:eastAsia="en-US"/>
              </w:rPr>
              <w:t>Volaris</w:t>
            </w:r>
          </w:p>
        </w:tc>
        <w:tc>
          <w:tcPr>
            <w:tcW w:w="1242" w:type="dxa"/>
            <w:tcBorders>
              <w:top w:val="nil"/>
              <w:left w:val="single" w:sz="4" w:space="0" w:color="auto"/>
              <w:bottom w:val="single" w:sz="4" w:space="0" w:color="auto"/>
              <w:right w:val="single" w:sz="4" w:space="0" w:color="auto"/>
            </w:tcBorders>
            <w:shd w:val="clear" w:color="auto" w:fill="auto"/>
          </w:tcPr>
          <w:p w14:paraId="353CCE92"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32.6</w:t>
            </w:r>
          </w:p>
        </w:tc>
        <w:tc>
          <w:tcPr>
            <w:tcW w:w="1417" w:type="dxa"/>
            <w:tcBorders>
              <w:top w:val="nil"/>
              <w:left w:val="single" w:sz="4" w:space="0" w:color="auto"/>
              <w:bottom w:val="single" w:sz="4" w:space="0" w:color="auto"/>
              <w:right w:val="single" w:sz="4" w:space="0" w:color="auto"/>
            </w:tcBorders>
            <w:shd w:val="clear" w:color="auto" w:fill="auto"/>
          </w:tcPr>
          <w:p w14:paraId="78CD8ACE"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26.5</w:t>
            </w:r>
          </w:p>
        </w:tc>
        <w:tc>
          <w:tcPr>
            <w:tcW w:w="1265" w:type="dxa"/>
            <w:tcBorders>
              <w:top w:val="nil"/>
              <w:left w:val="single" w:sz="4" w:space="0" w:color="auto"/>
              <w:bottom w:val="single" w:sz="4" w:space="0" w:color="auto"/>
              <w:right w:val="single" w:sz="4" w:space="0" w:color="auto"/>
            </w:tcBorders>
            <w:shd w:val="clear" w:color="auto" w:fill="auto"/>
          </w:tcPr>
          <w:p w14:paraId="005303E4"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1 200</w:t>
            </w:r>
          </w:p>
        </w:tc>
        <w:tc>
          <w:tcPr>
            <w:tcW w:w="1432" w:type="dxa"/>
            <w:tcBorders>
              <w:top w:val="nil"/>
              <w:left w:val="single" w:sz="4" w:space="0" w:color="auto"/>
              <w:bottom w:val="single" w:sz="4" w:space="0" w:color="auto"/>
              <w:right w:val="single" w:sz="4" w:space="0" w:color="auto"/>
            </w:tcBorders>
            <w:shd w:val="clear" w:color="auto" w:fill="auto"/>
          </w:tcPr>
          <w:p w14:paraId="0BC8E978" w14:textId="77777777" w:rsidR="001C7F15" w:rsidRPr="001C7F15" w:rsidRDefault="001C7F15" w:rsidP="001C7F15">
            <w:pPr>
              <w:autoSpaceDE w:val="0"/>
              <w:autoSpaceDN w:val="0"/>
              <w:adjustRightInd w:val="0"/>
              <w:spacing w:before="40" w:after="120"/>
              <w:ind w:right="227"/>
              <w:jc w:val="right"/>
              <w:rPr>
                <w:rFonts w:eastAsia="Calibri"/>
                <w:sz w:val="18"/>
                <w:szCs w:val="18"/>
                <w:lang w:eastAsia="en-US"/>
              </w:rPr>
            </w:pPr>
            <w:r w:rsidRPr="001C7F15">
              <w:rPr>
                <w:rFonts w:eastAsia="Calibri"/>
                <w:sz w:val="18"/>
                <w:szCs w:val="18"/>
                <w:lang w:eastAsia="en-US"/>
              </w:rPr>
              <w:t xml:space="preserve">60 000 </w:t>
            </w:r>
          </w:p>
        </w:tc>
      </w:tr>
      <w:tr w:rsidR="001C7F15" w:rsidRPr="001C7F15" w14:paraId="3F976617" w14:textId="77777777" w:rsidTr="001C7F15">
        <w:trPr>
          <w:jc w:val="center"/>
        </w:trPr>
        <w:tc>
          <w:tcPr>
            <w:tcW w:w="9315" w:type="dxa"/>
            <w:gridSpan w:val="6"/>
            <w:tcBorders>
              <w:top w:val="single" w:sz="4" w:space="0" w:color="auto"/>
            </w:tcBorders>
            <w:shd w:val="clear" w:color="auto" w:fill="auto"/>
            <w:vAlign w:val="center"/>
          </w:tcPr>
          <w:p w14:paraId="6F7470C4" w14:textId="77777777" w:rsidR="001C7F15" w:rsidRPr="001C7F15" w:rsidRDefault="001C7F15" w:rsidP="001C7F15">
            <w:pPr>
              <w:spacing w:before="120"/>
              <w:ind w:left="227" w:hanging="227"/>
              <w:jc w:val="both"/>
              <w:rPr>
                <w:rFonts w:eastAsia="Calibri"/>
                <w:bCs/>
                <w:sz w:val="20"/>
                <w:szCs w:val="20"/>
                <w:lang w:eastAsia="en-US"/>
              </w:rPr>
            </w:pPr>
            <w:r w:rsidRPr="001C7F15">
              <w:rPr>
                <w:rFonts w:eastAsia="Calibri"/>
                <w:bCs/>
                <w:sz w:val="20"/>
                <w:szCs w:val="20"/>
                <w:u w:val="single"/>
                <w:lang w:eastAsia="en-US"/>
              </w:rPr>
              <w:t>1</w:t>
            </w:r>
            <w:r w:rsidRPr="001C7F15">
              <w:rPr>
                <w:rFonts w:eastAsia="Calibri"/>
                <w:bCs/>
                <w:sz w:val="20"/>
                <w:szCs w:val="20"/>
                <w:lang w:eastAsia="en-US"/>
              </w:rPr>
              <w:t>/ Los productos están ordenados de acuerdo al CAT respectivo. Se incluyen productos para personas físicas que se siguen ofreciendo al público, que no tienen alguna restricción especial para su contratación y que tienen más del 0.1% del total de tarjetas en el segmento. El producto representativo de la institución es el que tiene el mayor saldo de crédito entre los productos del mismo segmento que ofrece la institución. Los datos corresponden a los clientes no totaleros. En las estadísticas para el total del segmento, el CAT y la TEPP son promedios ponderados por saldo, la anualidad es un promedio ponderado por número de tarjetas.</w:t>
            </w:r>
          </w:p>
          <w:p w14:paraId="6117013E" w14:textId="77777777" w:rsidR="001C7F15" w:rsidRPr="001C7F15" w:rsidRDefault="001C7F15" w:rsidP="001C7F15">
            <w:pPr>
              <w:jc w:val="both"/>
              <w:rPr>
                <w:rFonts w:eastAsia="Calibri"/>
                <w:bCs/>
                <w:sz w:val="20"/>
                <w:szCs w:val="20"/>
                <w:lang w:eastAsia="en-US"/>
              </w:rPr>
            </w:pPr>
            <w:r w:rsidRPr="001C7F15">
              <w:rPr>
                <w:rFonts w:eastAsia="Calibri"/>
                <w:bCs/>
                <w:sz w:val="20"/>
                <w:szCs w:val="20"/>
                <w:u w:val="single"/>
                <w:lang w:eastAsia="en-US"/>
              </w:rPr>
              <w:t>2</w:t>
            </w:r>
            <w:r w:rsidRPr="001C7F15">
              <w:rPr>
                <w:rFonts w:eastAsia="Calibri"/>
                <w:bCs/>
                <w:sz w:val="20"/>
                <w:szCs w:val="20"/>
                <w:lang w:eastAsia="en-US"/>
              </w:rPr>
              <w:t xml:space="preserve">/ La mediana indica que la mitad de los clientes tiene un límite de crédito por debajo del valor reportado. </w:t>
            </w:r>
          </w:p>
          <w:p w14:paraId="4A97930C" w14:textId="77777777" w:rsidR="001C7F15" w:rsidRPr="001C7F15" w:rsidRDefault="001C7F15" w:rsidP="001C7F15">
            <w:pPr>
              <w:ind w:left="227" w:hanging="227"/>
              <w:jc w:val="both"/>
              <w:rPr>
                <w:rFonts w:eastAsia="Calibri"/>
                <w:bCs/>
                <w:sz w:val="20"/>
                <w:szCs w:val="20"/>
                <w:lang w:eastAsia="en-US"/>
              </w:rPr>
            </w:pPr>
            <w:r w:rsidRPr="001C7F15">
              <w:rPr>
                <w:rFonts w:eastAsia="Calibri"/>
                <w:bCs/>
                <w:sz w:val="20"/>
                <w:szCs w:val="20"/>
                <w:lang w:eastAsia="en-US"/>
              </w:rPr>
              <w:t>3/ A pesar de la fusión de Banorte e Ixe tarjetas, sus productos de tarjeta de crédito se siguen ofreciendo de forma    separada.</w:t>
            </w:r>
          </w:p>
          <w:p w14:paraId="33F0FFF0" w14:textId="77777777" w:rsidR="001C7F15" w:rsidRPr="001C7F15" w:rsidRDefault="001C7F15" w:rsidP="001C7F15">
            <w:pPr>
              <w:jc w:val="both"/>
              <w:rPr>
                <w:rFonts w:eastAsia="Calibri"/>
                <w:bCs/>
                <w:sz w:val="20"/>
                <w:szCs w:val="20"/>
                <w:lang w:eastAsia="en-US"/>
              </w:rPr>
            </w:pPr>
            <w:r w:rsidRPr="001C7F15">
              <w:rPr>
                <w:rFonts w:eastAsia="Calibri"/>
                <w:bCs/>
                <w:sz w:val="20"/>
                <w:szCs w:val="20"/>
                <w:lang w:eastAsia="en-US"/>
              </w:rPr>
              <w:t>FUENTE: Banxico, con datos proporcionados por las instituciones de crédito, cifras sujetas a revisión.</w:t>
            </w:r>
          </w:p>
        </w:tc>
      </w:tr>
    </w:tbl>
    <w:p w14:paraId="2E345A45" w14:textId="77777777" w:rsidR="001C7F15" w:rsidRPr="001C7F15" w:rsidRDefault="001C7F15" w:rsidP="001C7F15">
      <w:pPr>
        <w:spacing w:after="360" w:line="360" w:lineRule="auto"/>
        <w:ind w:right="-159"/>
        <w:jc w:val="both"/>
        <w:rPr>
          <w:rFonts w:eastAsia="Times New Roman"/>
          <w:bCs/>
          <w:sz w:val="26"/>
          <w:szCs w:val="26"/>
          <w:lang w:val="es-ES"/>
        </w:rPr>
      </w:pPr>
    </w:p>
    <w:p w14:paraId="2977E1B5" w14:textId="77777777" w:rsidR="001C7F15" w:rsidRPr="001C7F15" w:rsidRDefault="001C7F15" w:rsidP="001C7F15">
      <w:pPr>
        <w:ind w:right="-159"/>
        <w:jc w:val="both"/>
        <w:rPr>
          <w:rFonts w:eastAsia="Calibri"/>
          <w:b/>
          <w:sz w:val="20"/>
          <w:szCs w:val="20"/>
          <w:lang w:val="es-ES" w:eastAsia="en-US"/>
        </w:rPr>
      </w:pPr>
      <w:r w:rsidRPr="001C7F15">
        <w:rPr>
          <w:rFonts w:eastAsia="Calibri"/>
          <w:b/>
          <w:sz w:val="20"/>
          <w:szCs w:val="20"/>
          <w:lang w:val="es-ES" w:eastAsia="en-US"/>
        </w:rPr>
        <w:t>Fuente de información:</w:t>
      </w:r>
    </w:p>
    <w:p w14:paraId="771AB205" w14:textId="77777777" w:rsidR="001C7F15" w:rsidRPr="008F5FED" w:rsidRDefault="0045651A" w:rsidP="008F5FED">
      <w:pPr>
        <w:spacing w:after="720"/>
        <w:ind w:right="-159"/>
        <w:jc w:val="both"/>
        <w:rPr>
          <w:rFonts w:eastAsia="Calibri"/>
          <w:color w:val="0000FF"/>
          <w:sz w:val="20"/>
          <w:szCs w:val="20"/>
          <w:lang w:eastAsia="en-US"/>
        </w:rPr>
      </w:pPr>
      <w:hyperlink r:id="rId274" w:history="1">
        <w:r w:rsidR="001C7F15" w:rsidRPr="008F5FED">
          <w:rPr>
            <w:rFonts w:eastAsia="Calibri"/>
            <w:color w:val="0000FF"/>
            <w:sz w:val="20"/>
            <w:szCs w:val="20"/>
            <w:u w:val="single"/>
            <w:lang w:eastAsia="en-US"/>
          </w:rPr>
          <w:t>http://www.banxico.org.mx/sistema-financiero/publicaciones/reporte-de-tasas-de-interes-efectivas-de-tarjetas-/%7b39F5C814-8007-90B1-B61F-47785D515954%7d.pdf</w:t>
        </w:r>
      </w:hyperlink>
      <w:r w:rsidR="001C7F15" w:rsidRPr="008F5FED">
        <w:rPr>
          <w:rFonts w:eastAsia="Calibri"/>
          <w:color w:val="0000FF"/>
          <w:sz w:val="20"/>
          <w:szCs w:val="20"/>
          <w:lang w:eastAsia="en-US"/>
        </w:rPr>
        <w:t xml:space="preserve"> </w:t>
      </w:r>
    </w:p>
    <w:p w14:paraId="385D3609" w14:textId="77777777" w:rsidR="009B7818" w:rsidRPr="009B7818" w:rsidRDefault="009B7818" w:rsidP="009B7818">
      <w:pPr>
        <w:rPr>
          <w:rFonts w:eastAsia="Calibri"/>
          <w:b/>
          <w:sz w:val="26"/>
          <w:szCs w:val="26"/>
          <w:lang w:eastAsia="en-US"/>
        </w:rPr>
      </w:pPr>
      <w:r w:rsidRPr="009B7818">
        <w:rPr>
          <w:rFonts w:eastAsia="Calibri"/>
          <w:b/>
          <w:sz w:val="26"/>
          <w:szCs w:val="26"/>
          <w:lang w:eastAsia="en-US"/>
        </w:rPr>
        <w:t>Aumentan reclamaciones en el sector</w:t>
      </w:r>
    </w:p>
    <w:p w14:paraId="6AEED53A" w14:textId="77777777" w:rsidR="009B7818" w:rsidRPr="009B7818" w:rsidRDefault="009B7818" w:rsidP="009B7818">
      <w:pPr>
        <w:spacing w:after="360" w:line="360" w:lineRule="auto"/>
        <w:ind w:right="-159"/>
        <w:jc w:val="both"/>
        <w:rPr>
          <w:rFonts w:eastAsia="Calibri"/>
          <w:b/>
          <w:sz w:val="26"/>
          <w:szCs w:val="26"/>
          <w:lang w:eastAsia="en-US"/>
        </w:rPr>
      </w:pPr>
      <w:r w:rsidRPr="009B7818">
        <w:rPr>
          <w:rFonts w:eastAsia="Calibri"/>
          <w:b/>
          <w:sz w:val="26"/>
          <w:szCs w:val="26"/>
          <w:lang w:eastAsia="en-US"/>
        </w:rPr>
        <w:t>de   banca    múltiple   (CONDUSEF)</w:t>
      </w:r>
    </w:p>
    <w:p w14:paraId="677709BB"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 xml:space="preserve">El 24 de marzo de 2015, la Comisión Nacional para la Protección y Defensa de los Usuarios de Servicios Financieros (CONDUSEF) dio a conocer la actualización del </w:t>
      </w:r>
      <w:r w:rsidRPr="009B7818">
        <w:rPr>
          <w:rFonts w:eastAsia="Calibri"/>
          <w:sz w:val="26"/>
          <w:szCs w:val="26"/>
          <w:lang w:eastAsia="en-US"/>
        </w:rPr>
        <w:lastRenderedPageBreak/>
        <w:t>“Buró de entidades financieras” (BEF) en los sectores de banca múltiple y banca de desarrollo. A continuación se presentan los detalles.</w:t>
      </w:r>
    </w:p>
    <w:p w14:paraId="5CBD27EB"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La CONDUSEF comunicó de la actualización del “Buró de entidades financieras (BEF)” en los sectores de banca múltiple y banca de desarrollo, con ello los 25 sectores contenidos en el BEF presentan datos a diciembre de 2014.</w:t>
      </w:r>
    </w:p>
    <w:p w14:paraId="5FB14C2B"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En 2014, el sector de banca múltiple registró un aumento en las reclamaciones con respecto a 2013 del 1%, llegando a un total de 4.5 millones de reclamaciones incluyendo consultas y controversias presentadas en CONDUSEF.</w:t>
      </w:r>
    </w:p>
    <w:p w14:paraId="2FC3F9BE"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Cabe destacar que de los 45 bancos, 39 contaron con al menos una reclamación, y tres instituciones bancarias (Banamex, BBVA Bancomer y Santander) concentraron el 72% del total de las reclamaciones en 2014.</w:t>
      </w:r>
    </w:p>
    <w:tbl>
      <w:tblPr>
        <w:tblW w:w="9498"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2358"/>
        <w:gridCol w:w="1026"/>
        <w:gridCol w:w="946"/>
        <w:gridCol w:w="632"/>
        <w:gridCol w:w="959"/>
        <w:gridCol w:w="656"/>
        <w:gridCol w:w="653"/>
        <w:gridCol w:w="708"/>
        <w:gridCol w:w="870"/>
        <w:gridCol w:w="690"/>
      </w:tblGrid>
      <w:tr w:rsidR="009B7818" w:rsidRPr="009B7818" w14:paraId="65662510" w14:textId="77777777" w:rsidTr="00F44802">
        <w:trPr>
          <w:trHeight w:val="106"/>
          <w:jc w:val="center"/>
        </w:trPr>
        <w:tc>
          <w:tcPr>
            <w:tcW w:w="2358"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0C50CBFD" w14:textId="77777777" w:rsidR="009B7818" w:rsidRPr="009B7818" w:rsidRDefault="009B7818" w:rsidP="005B5C5D">
            <w:pPr>
              <w:autoSpaceDE w:val="0"/>
              <w:autoSpaceDN w:val="0"/>
              <w:adjustRightInd w:val="0"/>
              <w:jc w:val="center"/>
              <w:rPr>
                <w:rFonts w:eastAsia="Calibri"/>
                <w:b/>
                <w:bCs/>
                <w:sz w:val="20"/>
                <w:szCs w:val="20"/>
                <w:lang w:eastAsia="en-US"/>
              </w:rPr>
            </w:pPr>
            <w:r w:rsidRPr="009B7818">
              <w:rPr>
                <w:rFonts w:eastAsia="Calibri"/>
                <w:b/>
                <w:bCs/>
                <w:sz w:val="20"/>
                <w:szCs w:val="20"/>
                <w:lang w:eastAsia="en-US"/>
              </w:rPr>
              <w:t>Instituciones de</w:t>
            </w:r>
          </w:p>
          <w:p w14:paraId="12AE53D9" w14:textId="77777777" w:rsidR="009B7818" w:rsidRPr="009B7818" w:rsidRDefault="009B7818" w:rsidP="005B5C5D">
            <w:pPr>
              <w:autoSpaceDE w:val="0"/>
              <w:autoSpaceDN w:val="0"/>
              <w:adjustRightInd w:val="0"/>
              <w:jc w:val="center"/>
              <w:rPr>
                <w:rFonts w:eastAsia="Calibri"/>
                <w:b/>
                <w:bCs/>
                <w:sz w:val="20"/>
                <w:szCs w:val="20"/>
                <w:lang w:eastAsia="en-US"/>
              </w:rPr>
            </w:pPr>
            <w:r w:rsidRPr="009B7818">
              <w:rPr>
                <w:rFonts w:eastAsia="Calibri"/>
                <w:b/>
                <w:bCs/>
                <w:sz w:val="20"/>
                <w:szCs w:val="20"/>
                <w:lang w:eastAsia="en-US"/>
              </w:rPr>
              <w:t>banca múltiple</w:t>
            </w:r>
          </w:p>
        </w:tc>
        <w:tc>
          <w:tcPr>
            <w:tcW w:w="2604"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44D36261"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Total de reclamaciones</w:t>
            </w:r>
          </w:p>
        </w:tc>
        <w:tc>
          <w:tcPr>
            <w:tcW w:w="2268"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7C720611"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Resolución favorable</w:t>
            </w:r>
          </w:p>
        </w:tc>
        <w:tc>
          <w:tcPr>
            <w:tcW w:w="2268" w:type="dxa"/>
            <w:gridSpan w:val="3"/>
            <w:tcBorders>
              <w:top w:val="single" w:sz="2" w:space="0" w:color="auto"/>
              <w:left w:val="single" w:sz="2" w:space="0" w:color="auto"/>
              <w:bottom w:val="single" w:sz="2" w:space="0" w:color="auto"/>
              <w:right w:val="single" w:sz="2" w:space="0" w:color="auto"/>
            </w:tcBorders>
            <w:shd w:val="clear" w:color="auto" w:fill="auto"/>
            <w:vAlign w:val="center"/>
          </w:tcPr>
          <w:p w14:paraId="3D5FAA6B" w14:textId="77777777" w:rsidR="009B7818" w:rsidRPr="009B7818" w:rsidRDefault="009B7818" w:rsidP="009B7818">
            <w:pPr>
              <w:autoSpaceDE w:val="0"/>
              <w:autoSpaceDN w:val="0"/>
              <w:adjustRightInd w:val="0"/>
              <w:jc w:val="center"/>
              <w:rPr>
                <w:rFonts w:eastAsia="Calibri"/>
                <w:b/>
                <w:sz w:val="20"/>
                <w:szCs w:val="20"/>
                <w:lang w:eastAsia="en-US"/>
              </w:rPr>
            </w:pPr>
            <w:r w:rsidRPr="009B7818">
              <w:rPr>
                <w:rFonts w:eastAsia="Calibri"/>
                <w:b/>
                <w:sz w:val="20"/>
                <w:szCs w:val="20"/>
                <w:lang w:eastAsia="en-US"/>
              </w:rPr>
              <w:t>Índice atención</w:t>
            </w:r>
          </w:p>
          <w:p w14:paraId="1A19A89C" w14:textId="74C60EF6" w:rsidR="009B7818" w:rsidRPr="009B7818" w:rsidRDefault="005B5C5D" w:rsidP="009B7818">
            <w:pPr>
              <w:autoSpaceDE w:val="0"/>
              <w:autoSpaceDN w:val="0"/>
              <w:adjustRightInd w:val="0"/>
              <w:jc w:val="center"/>
              <w:rPr>
                <w:rFonts w:eastAsia="Calibri"/>
                <w:b/>
                <w:sz w:val="20"/>
                <w:szCs w:val="20"/>
                <w:lang w:eastAsia="en-US"/>
              </w:rPr>
            </w:pPr>
            <w:r w:rsidRPr="009B7818">
              <w:rPr>
                <w:rFonts w:eastAsia="Calibri"/>
                <w:b/>
                <w:sz w:val="20"/>
                <w:szCs w:val="20"/>
                <w:lang w:eastAsia="en-US"/>
              </w:rPr>
              <w:t>U</w:t>
            </w:r>
            <w:r w:rsidR="009B7818" w:rsidRPr="009B7818">
              <w:rPr>
                <w:rFonts w:eastAsia="Calibri"/>
                <w:b/>
                <w:sz w:val="20"/>
                <w:szCs w:val="20"/>
                <w:lang w:eastAsia="en-US"/>
              </w:rPr>
              <w:t>suarios</w:t>
            </w:r>
          </w:p>
        </w:tc>
      </w:tr>
      <w:tr w:rsidR="009B7818" w:rsidRPr="009B7818" w14:paraId="3AFBE399" w14:textId="77777777" w:rsidTr="00F44802">
        <w:trPr>
          <w:trHeight w:val="106"/>
          <w:jc w:val="center"/>
        </w:trPr>
        <w:tc>
          <w:tcPr>
            <w:tcW w:w="2358" w:type="dxa"/>
            <w:vMerge/>
            <w:tcBorders>
              <w:top w:val="single" w:sz="2" w:space="0" w:color="auto"/>
              <w:left w:val="single" w:sz="2" w:space="0" w:color="auto"/>
              <w:bottom w:val="single" w:sz="2" w:space="0" w:color="auto"/>
              <w:right w:val="single" w:sz="2" w:space="0" w:color="auto"/>
            </w:tcBorders>
            <w:shd w:val="clear" w:color="auto" w:fill="auto"/>
            <w:vAlign w:val="center"/>
          </w:tcPr>
          <w:p w14:paraId="1AA8C017" w14:textId="77777777" w:rsidR="009B7818" w:rsidRPr="009B7818" w:rsidRDefault="009B7818" w:rsidP="009B7818">
            <w:pPr>
              <w:autoSpaceDE w:val="0"/>
              <w:autoSpaceDN w:val="0"/>
              <w:adjustRightInd w:val="0"/>
              <w:jc w:val="both"/>
              <w:rPr>
                <w:rFonts w:eastAsia="Calibri"/>
                <w:b/>
                <w:bCs/>
                <w:sz w:val="20"/>
                <w:szCs w:val="20"/>
                <w:lang w:eastAsia="en-US"/>
              </w:rPr>
            </w:pPr>
          </w:p>
        </w:tc>
        <w:tc>
          <w:tcPr>
            <w:tcW w:w="1026" w:type="dxa"/>
            <w:tcBorders>
              <w:top w:val="single" w:sz="2" w:space="0" w:color="auto"/>
              <w:left w:val="single" w:sz="2" w:space="0" w:color="auto"/>
              <w:bottom w:val="single" w:sz="2" w:space="0" w:color="auto"/>
              <w:right w:val="single" w:sz="2" w:space="0" w:color="auto"/>
            </w:tcBorders>
            <w:shd w:val="clear" w:color="auto" w:fill="auto"/>
            <w:vAlign w:val="center"/>
          </w:tcPr>
          <w:p w14:paraId="56DDEDB3"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2013</w:t>
            </w:r>
          </w:p>
        </w:tc>
        <w:tc>
          <w:tcPr>
            <w:tcW w:w="946" w:type="dxa"/>
            <w:tcBorders>
              <w:top w:val="single" w:sz="2" w:space="0" w:color="auto"/>
              <w:left w:val="single" w:sz="2" w:space="0" w:color="auto"/>
              <w:bottom w:val="single" w:sz="2" w:space="0" w:color="auto"/>
              <w:right w:val="single" w:sz="2" w:space="0" w:color="auto"/>
            </w:tcBorders>
            <w:shd w:val="clear" w:color="auto" w:fill="auto"/>
            <w:vAlign w:val="center"/>
          </w:tcPr>
          <w:p w14:paraId="1AF4C079"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2014</w:t>
            </w:r>
          </w:p>
        </w:tc>
        <w:tc>
          <w:tcPr>
            <w:tcW w:w="632" w:type="dxa"/>
            <w:tcBorders>
              <w:top w:val="single" w:sz="2" w:space="0" w:color="auto"/>
              <w:left w:val="single" w:sz="2" w:space="0" w:color="auto"/>
              <w:bottom w:val="single" w:sz="2" w:space="0" w:color="auto"/>
              <w:right w:val="single" w:sz="2" w:space="0" w:color="auto"/>
            </w:tcBorders>
            <w:shd w:val="clear" w:color="auto" w:fill="auto"/>
            <w:vAlign w:val="center"/>
          </w:tcPr>
          <w:p w14:paraId="3A88B0A2"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Var (%)</w:t>
            </w:r>
          </w:p>
        </w:tc>
        <w:tc>
          <w:tcPr>
            <w:tcW w:w="959" w:type="dxa"/>
            <w:tcBorders>
              <w:top w:val="single" w:sz="2" w:space="0" w:color="auto"/>
              <w:left w:val="single" w:sz="2" w:space="0" w:color="auto"/>
              <w:bottom w:val="single" w:sz="2" w:space="0" w:color="auto"/>
              <w:right w:val="single" w:sz="2" w:space="0" w:color="auto"/>
            </w:tcBorders>
            <w:shd w:val="clear" w:color="auto" w:fill="auto"/>
            <w:vAlign w:val="center"/>
          </w:tcPr>
          <w:p w14:paraId="28ED060D"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2013</w:t>
            </w:r>
          </w:p>
        </w:tc>
        <w:tc>
          <w:tcPr>
            <w:tcW w:w="656" w:type="dxa"/>
            <w:tcBorders>
              <w:top w:val="single" w:sz="2" w:space="0" w:color="auto"/>
              <w:left w:val="single" w:sz="2" w:space="0" w:color="auto"/>
              <w:bottom w:val="single" w:sz="2" w:space="0" w:color="auto"/>
              <w:right w:val="single" w:sz="2" w:space="0" w:color="auto"/>
            </w:tcBorders>
            <w:shd w:val="clear" w:color="auto" w:fill="auto"/>
            <w:vAlign w:val="center"/>
          </w:tcPr>
          <w:p w14:paraId="280DFA57"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2014</w:t>
            </w:r>
          </w:p>
        </w:tc>
        <w:tc>
          <w:tcPr>
            <w:tcW w:w="653" w:type="dxa"/>
            <w:tcBorders>
              <w:top w:val="single" w:sz="2" w:space="0" w:color="auto"/>
              <w:left w:val="single" w:sz="2" w:space="0" w:color="auto"/>
              <w:bottom w:val="single" w:sz="2" w:space="0" w:color="auto"/>
              <w:right w:val="single" w:sz="2" w:space="0" w:color="auto"/>
            </w:tcBorders>
            <w:shd w:val="clear" w:color="auto" w:fill="auto"/>
            <w:vAlign w:val="center"/>
          </w:tcPr>
          <w:p w14:paraId="3B49985F" w14:textId="77777777" w:rsidR="009B7818" w:rsidRPr="005B5C5D" w:rsidRDefault="009B7818" w:rsidP="009B7818">
            <w:pPr>
              <w:autoSpaceDE w:val="0"/>
              <w:autoSpaceDN w:val="0"/>
              <w:adjustRightInd w:val="0"/>
              <w:jc w:val="center"/>
              <w:rPr>
                <w:rFonts w:eastAsia="Calibri"/>
                <w:b/>
                <w:sz w:val="20"/>
                <w:szCs w:val="20"/>
                <w:lang w:eastAsia="en-US"/>
              </w:rPr>
            </w:pPr>
            <w:r w:rsidRPr="005B5C5D">
              <w:rPr>
                <w:rFonts w:eastAsia="Calibri"/>
                <w:b/>
                <w:sz w:val="20"/>
                <w:szCs w:val="20"/>
                <w:lang w:eastAsia="en-US"/>
              </w:rPr>
              <w:t>Var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11675A44" w14:textId="77777777" w:rsidR="009B7818" w:rsidRPr="009B7818" w:rsidRDefault="009B7818" w:rsidP="009B7818">
            <w:pPr>
              <w:autoSpaceDE w:val="0"/>
              <w:autoSpaceDN w:val="0"/>
              <w:adjustRightInd w:val="0"/>
              <w:jc w:val="center"/>
              <w:rPr>
                <w:rFonts w:eastAsia="Calibri"/>
                <w:b/>
                <w:sz w:val="20"/>
                <w:szCs w:val="20"/>
                <w:lang w:eastAsia="en-US"/>
              </w:rPr>
            </w:pPr>
            <w:r w:rsidRPr="009B7818">
              <w:rPr>
                <w:rFonts w:eastAsia="Calibri"/>
                <w:b/>
                <w:sz w:val="20"/>
                <w:szCs w:val="20"/>
                <w:lang w:eastAsia="en-US"/>
              </w:rPr>
              <w:t>2013</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44FEAFCE" w14:textId="77777777" w:rsidR="009B7818" w:rsidRPr="009B7818" w:rsidRDefault="009B7818" w:rsidP="009B7818">
            <w:pPr>
              <w:autoSpaceDE w:val="0"/>
              <w:autoSpaceDN w:val="0"/>
              <w:adjustRightInd w:val="0"/>
              <w:jc w:val="center"/>
              <w:rPr>
                <w:rFonts w:eastAsia="Calibri"/>
                <w:b/>
                <w:sz w:val="20"/>
                <w:szCs w:val="20"/>
                <w:lang w:eastAsia="en-US"/>
              </w:rPr>
            </w:pPr>
            <w:r w:rsidRPr="009B7818">
              <w:rPr>
                <w:rFonts w:eastAsia="Calibri"/>
                <w:b/>
                <w:sz w:val="20"/>
                <w:szCs w:val="20"/>
                <w:lang w:eastAsia="en-US"/>
              </w:rPr>
              <w:t>2014</w:t>
            </w:r>
          </w:p>
        </w:tc>
        <w:tc>
          <w:tcPr>
            <w:tcW w:w="690" w:type="dxa"/>
            <w:tcBorders>
              <w:top w:val="single" w:sz="2" w:space="0" w:color="auto"/>
              <w:left w:val="single" w:sz="2" w:space="0" w:color="auto"/>
              <w:bottom w:val="single" w:sz="2" w:space="0" w:color="auto"/>
              <w:right w:val="single" w:sz="2" w:space="0" w:color="auto"/>
            </w:tcBorders>
            <w:shd w:val="clear" w:color="auto" w:fill="auto"/>
            <w:vAlign w:val="center"/>
          </w:tcPr>
          <w:p w14:paraId="79AB4826" w14:textId="77777777" w:rsidR="009B7818" w:rsidRPr="009B7818" w:rsidRDefault="009B7818" w:rsidP="009B7818">
            <w:pPr>
              <w:autoSpaceDE w:val="0"/>
              <w:autoSpaceDN w:val="0"/>
              <w:adjustRightInd w:val="0"/>
              <w:jc w:val="center"/>
              <w:rPr>
                <w:rFonts w:eastAsia="Calibri"/>
                <w:b/>
                <w:sz w:val="20"/>
                <w:szCs w:val="20"/>
                <w:lang w:eastAsia="en-US"/>
              </w:rPr>
            </w:pPr>
            <w:r w:rsidRPr="009B7818">
              <w:rPr>
                <w:rFonts w:eastAsia="Calibri"/>
                <w:b/>
                <w:sz w:val="20"/>
                <w:szCs w:val="20"/>
                <w:lang w:eastAsia="en-US"/>
              </w:rPr>
              <w:t>Var (%)</w:t>
            </w:r>
          </w:p>
        </w:tc>
      </w:tr>
      <w:tr w:rsidR="009B7818" w:rsidRPr="009B7818" w14:paraId="218928DB" w14:textId="77777777" w:rsidTr="005B5C5D">
        <w:trPr>
          <w:trHeight w:val="106"/>
          <w:jc w:val="center"/>
        </w:trPr>
        <w:tc>
          <w:tcPr>
            <w:tcW w:w="2358" w:type="dxa"/>
            <w:vMerge/>
            <w:tcBorders>
              <w:top w:val="single" w:sz="2" w:space="0" w:color="auto"/>
              <w:left w:val="single" w:sz="2" w:space="0" w:color="auto"/>
              <w:bottom w:val="single" w:sz="2" w:space="0" w:color="auto"/>
              <w:right w:val="single" w:sz="2" w:space="0" w:color="auto"/>
            </w:tcBorders>
            <w:shd w:val="clear" w:color="auto" w:fill="auto"/>
            <w:vAlign w:val="center"/>
          </w:tcPr>
          <w:p w14:paraId="6C573FEB" w14:textId="77777777" w:rsidR="009B7818" w:rsidRPr="009B7818" w:rsidRDefault="009B7818" w:rsidP="009B7818">
            <w:pPr>
              <w:autoSpaceDE w:val="0"/>
              <w:autoSpaceDN w:val="0"/>
              <w:adjustRightInd w:val="0"/>
              <w:jc w:val="both"/>
              <w:rPr>
                <w:rFonts w:eastAsia="Calibri"/>
                <w:bCs/>
                <w:sz w:val="18"/>
                <w:szCs w:val="18"/>
                <w:lang w:eastAsia="en-US"/>
              </w:rPr>
            </w:pPr>
          </w:p>
        </w:tc>
        <w:tc>
          <w:tcPr>
            <w:tcW w:w="1026" w:type="dxa"/>
            <w:tcBorders>
              <w:top w:val="single" w:sz="2" w:space="0" w:color="auto"/>
              <w:left w:val="single" w:sz="2" w:space="0" w:color="auto"/>
              <w:bottom w:val="single" w:sz="2" w:space="0" w:color="auto"/>
              <w:right w:val="single" w:sz="2" w:space="0" w:color="auto"/>
            </w:tcBorders>
            <w:shd w:val="clear" w:color="auto" w:fill="auto"/>
            <w:vAlign w:val="center"/>
          </w:tcPr>
          <w:p w14:paraId="6A3C0451" w14:textId="77777777" w:rsidR="009B7818" w:rsidRPr="005B5C5D" w:rsidRDefault="009B7818" w:rsidP="005B5C5D">
            <w:pPr>
              <w:autoSpaceDE w:val="0"/>
              <w:autoSpaceDN w:val="0"/>
              <w:adjustRightInd w:val="0"/>
              <w:jc w:val="right"/>
              <w:rPr>
                <w:rFonts w:eastAsia="Calibri"/>
                <w:b/>
                <w:sz w:val="18"/>
                <w:szCs w:val="18"/>
                <w:lang w:eastAsia="en-US"/>
              </w:rPr>
            </w:pPr>
            <w:r w:rsidRPr="005B5C5D">
              <w:rPr>
                <w:rFonts w:eastAsia="Calibri"/>
                <w:b/>
                <w:sz w:val="18"/>
                <w:szCs w:val="18"/>
                <w:lang w:eastAsia="en-US"/>
              </w:rPr>
              <w:t>4 467 361</w:t>
            </w:r>
          </w:p>
        </w:tc>
        <w:tc>
          <w:tcPr>
            <w:tcW w:w="946" w:type="dxa"/>
            <w:tcBorders>
              <w:top w:val="single" w:sz="2" w:space="0" w:color="auto"/>
              <w:left w:val="single" w:sz="2" w:space="0" w:color="auto"/>
              <w:bottom w:val="single" w:sz="2" w:space="0" w:color="auto"/>
              <w:right w:val="single" w:sz="2" w:space="0" w:color="auto"/>
            </w:tcBorders>
            <w:shd w:val="clear" w:color="auto" w:fill="auto"/>
            <w:vAlign w:val="center"/>
          </w:tcPr>
          <w:p w14:paraId="1B7E91A3" w14:textId="77777777" w:rsidR="009B7818" w:rsidRPr="005B5C5D" w:rsidRDefault="009B7818" w:rsidP="005B5C5D">
            <w:pPr>
              <w:autoSpaceDE w:val="0"/>
              <w:autoSpaceDN w:val="0"/>
              <w:adjustRightInd w:val="0"/>
              <w:jc w:val="right"/>
              <w:rPr>
                <w:rFonts w:eastAsia="Calibri"/>
                <w:b/>
                <w:sz w:val="18"/>
                <w:szCs w:val="18"/>
                <w:lang w:eastAsia="en-US"/>
              </w:rPr>
            </w:pPr>
            <w:r w:rsidRPr="005B5C5D">
              <w:rPr>
                <w:rFonts w:eastAsia="Calibri"/>
                <w:b/>
                <w:sz w:val="18"/>
                <w:szCs w:val="18"/>
                <w:lang w:eastAsia="en-US"/>
              </w:rPr>
              <w:t>4 508 344</w:t>
            </w:r>
          </w:p>
        </w:tc>
        <w:tc>
          <w:tcPr>
            <w:tcW w:w="632" w:type="dxa"/>
            <w:tcBorders>
              <w:top w:val="single" w:sz="2" w:space="0" w:color="auto"/>
              <w:left w:val="single" w:sz="2" w:space="0" w:color="auto"/>
              <w:bottom w:val="single" w:sz="2" w:space="0" w:color="auto"/>
              <w:right w:val="single" w:sz="2" w:space="0" w:color="auto"/>
            </w:tcBorders>
            <w:shd w:val="clear" w:color="auto" w:fill="auto"/>
            <w:vAlign w:val="center"/>
          </w:tcPr>
          <w:p w14:paraId="61A5D781" w14:textId="77777777" w:rsidR="009B7818" w:rsidRPr="005B5C5D" w:rsidRDefault="009B7818" w:rsidP="005B5C5D">
            <w:pPr>
              <w:autoSpaceDE w:val="0"/>
              <w:autoSpaceDN w:val="0"/>
              <w:adjustRightInd w:val="0"/>
              <w:ind w:right="113"/>
              <w:jc w:val="right"/>
              <w:rPr>
                <w:rFonts w:eastAsia="Calibri"/>
                <w:b/>
                <w:sz w:val="18"/>
                <w:szCs w:val="18"/>
                <w:lang w:eastAsia="en-US"/>
              </w:rPr>
            </w:pPr>
            <w:r w:rsidRPr="005B5C5D">
              <w:rPr>
                <w:rFonts w:eastAsia="Calibri"/>
                <w:b/>
                <w:sz w:val="18"/>
                <w:szCs w:val="18"/>
                <w:lang w:eastAsia="en-US"/>
              </w:rPr>
              <w:t>1</w:t>
            </w:r>
          </w:p>
        </w:tc>
        <w:tc>
          <w:tcPr>
            <w:tcW w:w="959" w:type="dxa"/>
            <w:tcBorders>
              <w:top w:val="single" w:sz="2" w:space="0" w:color="auto"/>
              <w:left w:val="single" w:sz="2" w:space="0" w:color="auto"/>
              <w:bottom w:val="single" w:sz="2" w:space="0" w:color="auto"/>
              <w:right w:val="single" w:sz="2" w:space="0" w:color="auto"/>
            </w:tcBorders>
            <w:shd w:val="clear" w:color="auto" w:fill="auto"/>
            <w:vAlign w:val="center"/>
          </w:tcPr>
          <w:p w14:paraId="32496008" w14:textId="77777777" w:rsidR="009B7818" w:rsidRPr="005B5C5D" w:rsidRDefault="009B7818" w:rsidP="005B5C5D">
            <w:pPr>
              <w:autoSpaceDE w:val="0"/>
              <w:autoSpaceDN w:val="0"/>
              <w:adjustRightInd w:val="0"/>
              <w:ind w:left="-57" w:right="57"/>
              <w:jc w:val="right"/>
              <w:rPr>
                <w:rFonts w:eastAsia="Calibri"/>
                <w:b/>
                <w:sz w:val="18"/>
                <w:szCs w:val="18"/>
                <w:lang w:eastAsia="en-US"/>
              </w:rPr>
            </w:pPr>
            <w:r w:rsidRPr="005B5C5D">
              <w:rPr>
                <w:rFonts w:eastAsia="Calibri"/>
                <w:b/>
                <w:sz w:val="18"/>
                <w:szCs w:val="18"/>
                <w:lang w:eastAsia="en-US"/>
              </w:rPr>
              <w:t>74.6</w:t>
            </w:r>
          </w:p>
        </w:tc>
        <w:tc>
          <w:tcPr>
            <w:tcW w:w="656" w:type="dxa"/>
            <w:tcBorders>
              <w:top w:val="single" w:sz="2" w:space="0" w:color="auto"/>
              <w:left w:val="single" w:sz="2" w:space="0" w:color="auto"/>
              <w:bottom w:val="single" w:sz="2" w:space="0" w:color="auto"/>
              <w:right w:val="single" w:sz="2" w:space="0" w:color="auto"/>
            </w:tcBorders>
            <w:shd w:val="clear" w:color="auto" w:fill="auto"/>
          </w:tcPr>
          <w:p w14:paraId="43F5E986" w14:textId="77777777" w:rsidR="009B7818" w:rsidRPr="005B5C5D" w:rsidRDefault="009B7818" w:rsidP="005B5C5D">
            <w:pPr>
              <w:autoSpaceDE w:val="0"/>
              <w:autoSpaceDN w:val="0"/>
              <w:adjustRightInd w:val="0"/>
              <w:ind w:left="-57" w:right="57"/>
              <w:jc w:val="right"/>
              <w:rPr>
                <w:rFonts w:eastAsia="Calibri"/>
                <w:b/>
                <w:sz w:val="18"/>
                <w:szCs w:val="18"/>
                <w:lang w:eastAsia="en-US"/>
              </w:rPr>
            </w:pPr>
            <w:r w:rsidRPr="005B5C5D">
              <w:rPr>
                <w:rFonts w:eastAsia="Calibri"/>
                <w:b/>
                <w:sz w:val="18"/>
                <w:szCs w:val="18"/>
                <w:lang w:eastAsia="en-US"/>
              </w:rPr>
              <w:t>72.5</w:t>
            </w:r>
          </w:p>
        </w:tc>
        <w:tc>
          <w:tcPr>
            <w:tcW w:w="653" w:type="dxa"/>
            <w:tcBorders>
              <w:top w:val="single" w:sz="2" w:space="0" w:color="auto"/>
              <w:left w:val="single" w:sz="2" w:space="0" w:color="auto"/>
              <w:bottom w:val="single" w:sz="2" w:space="0" w:color="auto"/>
              <w:right w:val="single" w:sz="2" w:space="0" w:color="auto"/>
            </w:tcBorders>
            <w:shd w:val="clear" w:color="auto" w:fill="auto"/>
          </w:tcPr>
          <w:p w14:paraId="4C0C929F" w14:textId="77777777" w:rsidR="009B7818" w:rsidRPr="005B5C5D" w:rsidRDefault="009B7818" w:rsidP="005B5C5D">
            <w:pPr>
              <w:autoSpaceDE w:val="0"/>
              <w:autoSpaceDN w:val="0"/>
              <w:adjustRightInd w:val="0"/>
              <w:ind w:right="113"/>
              <w:jc w:val="right"/>
              <w:rPr>
                <w:rFonts w:eastAsia="Calibri"/>
                <w:b/>
                <w:sz w:val="18"/>
                <w:szCs w:val="18"/>
                <w:lang w:eastAsia="en-US"/>
              </w:rPr>
            </w:pPr>
            <w:r w:rsidRPr="005B5C5D">
              <w:rPr>
                <w:rFonts w:eastAsia="Calibri"/>
                <w:b/>
                <w:sz w:val="18"/>
                <w:szCs w:val="18"/>
                <w:lang w:eastAsia="en-US"/>
              </w:rPr>
              <w:t>-3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61A88B" w14:textId="77777777" w:rsidR="009B7818" w:rsidRPr="009B7818" w:rsidRDefault="009B7818" w:rsidP="009B7818">
            <w:pPr>
              <w:autoSpaceDE w:val="0"/>
              <w:autoSpaceDN w:val="0"/>
              <w:adjustRightInd w:val="0"/>
              <w:jc w:val="center"/>
              <w:rPr>
                <w:rFonts w:eastAsia="Calibri"/>
                <w:b/>
                <w:sz w:val="18"/>
                <w:szCs w:val="18"/>
                <w:lang w:eastAsia="en-US"/>
              </w:rPr>
            </w:pPr>
            <w:r w:rsidRPr="009B7818">
              <w:rPr>
                <w:rFonts w:eastAsia="Calibri"/>
                <w:b/>
                <w:sz w:val="18"/>
                <w:szCs w:val="18"/>
                <w:lang w:eastAsia="en-US"/>
              </w:rPr>
              <w:t>8.16</w:t>
            </w:r>
          </w:p>
        </w:tc>
        <w:tc>
          <w:tcPr>
            <w:tcW w:w="870" w:type="dxa"/>
            <w:tcBorders>
              <w:top w:val="single" w:sz="2" w:space="0" w:color="auto"/>
              <w:left w:val="single" w:sz="2" w:space="0" w:color="auto"/>
              <w:bottom w:val="single" w:sz="2" w:space="0" w:color="auto"/>
              <w:right w:val="single" w:sz="2" w:space="0" w:color="auto"/>
            </w:tcBorders>
            <w:shd w:val="clear" w:color="auto" w:fill="auto"/>
          </w:tcPr>
          <w:p w14:paraId="528B9A9C" w14:textId="77777777" w:rsidR="009B7818" w:rsidRPr="009B7818" w:rsidRDefault="009B7818" w:rsidP="009B7818">
            <w:pPr>
              <w:autoSpaceDE w:val="0"/>
              <w:autoSpaceDN w:val="0"/>
              <w:adjustRightInd w:val="0"/>
              <w:jc w:val="center"/>
              <w:rPr>
                <w:rFonts w:eastAsia="Calibri"/>
                <w:b/>
                <w:sz w:val="18"/>
                <w:szCs w:val="18"/>
                <w:lang w:eastAsia="en-US"/>
              </w:rPr>
            </w:pPr>
            <w:r w:rsidRPr="009B7818">
              <w:rPr>
                <w:rFonts w:eastAsia="Calibri"/>
                <w:b/>
                <w:sz w:val="18"/>
                <w:szCs w:val="18"/>
                <w:lang w:eastAsia="en-US"/>
              </w:rPr>
              <w:t>7.61</w:t>
            </w:r>
          </w:p>
        </w:tc>
        <w:tc>
          <w:tcPr>
            <w:tcW w:w="690" w:type="dxa"/>
            <w:tcBorders>
              <w:top w:val="single" w:sz="2" w:space="0" w:color="auto"/>
              <w:left w:val="single" w:sz="2" w:space="0" w:color="auto"/>
              <w:bottom w:val="single" w:sz="2" w:space="0" w:color="auto"/>
              <w:right w:val="single" w:sz="2" w:space="0" w:color="auto"/>
            </w:tcBorders>
            <w:shd w:val="clear" w:color="auto" w:fill="auto"/>
          </w:tcPr>
          <w:p w14:paraId="50B742C4" w14:textId="77777777" w:rsidR="009B7818" w:rsidRPr="009B7818" w:rsidRDefault="009B7818" w:rsidP="00B65566">
            <w:pPr>
              <w:autoSpaceDE w:val="0"/>
              <w:autoSpaceDN w:val="0"/>
              <w:adjustRightInd w:val="0"/>
              <w:ind w:right="113"/>
              <w:jc w:val="right"/>
              <w:rPr>
                <w:rFonts w:eastAsia="Calibri"/>
                <w:b/>
                <w:sz w:val="18"/>
                <w:szCs w:val="18"/>
                <w:lang w:eastAsia="en-US"/>
              </w:rPr>
            </w:pPr>
            <w:r w:rsidRPr="009B7818">
              <w:rPr>
                <w:rFonts w:eastAsia="Calibri"/>
                <w:b/>
                <w:sz w:val="18"/>
                <w:szCs w:val="18"/>
                <w:lang w:eastAsia="en-US"/>
              </w:rPr>
              <w:t>-7</w:t>
            </w:r>
          </w:p>
        </w:tc>
      </w:tr>
      <w:tr w:rsidR="009B7818" w:rsidRPr="009B7818" w14:paraId="507B5E12" w14:textId="77777777" w:rsidTr="005B5C5D">
        <w:trPr>
          <w:trHeight w:val="106"/>
          <w:jc w:val="center"/>
        </w:trPr>
        <w:tc>
          <w:tcPr>
            <w:tcW w:w="2358" w:type="dxa"/>
            <w:tcBorders>
              <w:top w:val="single" w:sz="2" w:space="0" w:color="auto"/>
              <w:left w:val="single" w:sz="2" w:space="0" w:color="auto"/>
              <w:bottom w:val="nil"/>
              <w:right w:val="single" w:sz="2" w:space="0" w:color="auto"/>
            </w:tcBorders>
            <w:shd w:val="clear" w:color="auto" w:fill="auto"/>
            <w:vAlign w:val="center"/>
          </w:tcPr>
          <w:p w14:paraId="25F11042"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BBVA Bancomer</w:t>
            </w:r>
          </w:p>
        </w:tc>
        <w:tc>
          <w:tcPr>
            <w:tcW w:w="1026" w:type="dxa"/>
            <w:tcBorders>
              <w:top w:val="single" w:sz="2" w:space="0" w:color="auto"/>
              <w:left w:val="single" w:sz="2" w:space="0" w:color="auto"/>
              <w:bottom w:val="nil"/>
              <w:right w:val="single" w:sz="2" w:space="0" w:color="auto"/>
            </w:tcBorders>
            <w:shd w:val="clear" w:color="auto" w:fill="auto"/>
            <w:vAlign w:val="center"/>
          </w:tcPr>
          <w:p w14:paraId="2C097E62"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1 336 617</w:t>
            </w:r>
          </w:p>
        </w:tc>
        <w:tc>
          <w:tcPr>
            <w:tcW w:w="946" w:type="dxa"/>
            <w:tcBorders>
              <w:top w:val="single" w:sz="2" w:space="0" w:color="auto"/>
              <w:left w:val="single" w:sz="2" w:space="0" w:color="auto"/>
              <w:bottom w:val="nil"/>
              <w:right w:val="single" w:sz="2" w:space="0" w:color="auto"/>
            </w:tcBorders>
            <w:shd w:val="clear" w:color="auto" w:fill="auto"/>
            <w:vAlign w:val="center"/>
          </w:tcPr>
          <w:p w14:paraId="0342373E"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1 083 874</w:t>
            </w:r>
          </w:p>
        </w:tc>
        <w:tc>
          <w:tcPr>
            <w:tcW w:w="632" w:type="dxa"/>
            <w:tcBorders>
              <w:top w:val="single" w:sz="2" w:space="0" w:color="auto"/>
              <w:left w:val="single" w:sz="2" w:space="0" w:color="auto"/>
              <w:bottom w:val="nil"/>
              <w:right w:val="single" w:sz="2" w:space="0" w:color="auto"/>
            </w:tcBorders>
            <w:shd w:val="clear" w:color="auto" w:fill="auto"/>
            <w:vAlign w:val="center"/>
          </w:tcPr>
          <w:p w14:paraId="1E4DFD7F"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-19</w:t>
            </w:r>
          </w:p>
        </w:tc>
        <w:tc>
          <w:tcPr>
            <w:tcW w:w="959" w:type="dxa"/>
            <w:tcBorders>
              <w:top w:val="single" w:sz="2" w:space="0" w:color="auto"/>
              <w:left w:val="single" w:sz="2" w:space="0" w:color="auto"/>
              <w:bottom w:val="nil"/>
              <w:right w:val="single" w:sz="2" w:space="0" w:color="auto"/>
            </w:tcBorders>
            <w:shd w:val="clear" w:color="auto" w:fill="auto"/>
            <w:vAlign w:val="center"/>
          </w:tcPr>
          <w:p w14:paraId="3102BEEA"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80.50</w:t>
            </w:r>
          </w:p>
        </w:tc>
        <w:tc>
          <w:tcPr>
            <w:tcW w:w="656" w:type="dxa"/>
            <w:tcBorders>
              <w:top w:val="single" w:sz="2" w:space="0" w:color="auto"/>
              <w:left w:val="single" w:sz="2" w:space="0" w:color="auto"/>
              <w:bottom w:val="nil"/>
              <w:right w:val="single" w:sz="2" w:space="0" w:color="auto"/>
            </w:tcBorders>
            <w:shd w:val="clear" w:color="auto" w:fill="auto"/>
            <w:vAlign w:val="center"/>
          </w:tcPr>
          <w:p w14:paraId="5162F651"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76.00</w:t>
            </w:r>
          </w:p>
        </w:tc>
        <w:tc>
          <w:tcPr>
            <w:tcW w:w="653" w:type="dxa"/>
            <w:tcBorders>
              <w:top w:val="single" w:sz="2" w:space="0" w:color="auto"/>
              <w:left w:val="single" w:sz="2" w:space="0" w:color="auto"/>
              <w:bottom w:val="nil"/>
              <w:right w:val="single" w:sz="2" w:space="0" w:color="auto"/>
            </w:tcBorders>
            <w:shd w:val="clear" w:color="auto" w:fill="auto"/>
            <w:vAlign w:val="center"/>
          </w:tcPr>
          <w:p w14:paraId="5C905D10"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-6</w:t>
            </w:r>
          </w:p>
        </w:tc>
        <w:tc>
          <w:tcPr>
            <w:tcW w:w="708" w:type="dxa"/>
            <w:tcBorders>
              <w:top w:val="single" w:sz="2" w:space="0" w:color="auto"/>
              <w:left w:val="single" w:sz="2" w:space="0" w:color="auto"/>
              <w:bottom w:val="nil"/>
              <w:right w:val="single" w:sz="2" w:space="0" w:color="auto"/>
            </w:tcBorders>
            <w:shd w:val="clear" w:color="auto" w:fill="auto"/>
            <w:vAlign w:val="center"/>
          </w:tcPr>
          <w:p w14:paraId="294F0E46"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7.16</w:t>
            </w:r>
          </w:p>
        </w:tc>
        <w:tc>
          <w:tcPr>
            <w:tcW w:w="870" w:type="dxa"/>
            <w:tcBorders>
              <w:top w:val="single" w:sz="2" w:space="0" w:color="auto"/>
              <w:left w:val="single" w:sz="2" w:space="0" w:color="auto"/>
              <w:bottom w:val="nil"/>
              <w:right w:val="single" w:sz="2" w:space="0" w:color="auto"/>
            </w:tcBorders>
            <w:shd w:val="clear" w:color="auto" w:fill="auto"/>
            <w:vAlign w:val="center"/>
          </w:tcPr>
          <w:p w14:paraId="58E356A4"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6.21</w:t>
            </w:r>
          </w:p>
        </w:tc>
        <w:tc>
          <w:tcPr>
            <w:tcW w:w="690" w:type="dxa"/>
            <w:tcBorders>
              <w:top w:val="single" w:sz="2" w:space="0" w:color="auto"/>
              <w:left w:val="single" w:sz="2" w:space="0" w:color="auto"/>
              <w:bottom w:val="nil"/>
              <w:right w:val="single" w:sz="2" w:space="0" w:color="auto"/>
            </w:tcBorders>
            <w:shd w:val="clear" w:color="auto" w:fill="auto"/>
            <w:vAlign w:val="center"/>
          </w:tcPr>
          <w:p w14:paraId="247FA8CC"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-13</w:t>
            </w:r>
          </w:p>
        </w:tc>
      </w:tr>
      <w:tr w:rsidR="009B7818" w:rsidRPr="009B7818" w14:paraId="1E8B8533"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27D4A8B7"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Banco Nacional de México</w:t>
            </w:r>
          </w:p>
        </w:tc>
        <w:tc>
          <w:tcPr>
            <w:tcW w:w="1026" w:type="dxa"/>
            <w:tcBorders>
              <w:top w:val="nil"/>
              <w:left w:val="single" w:sz="2" w:space="0" w:color="auto"/>
              <w:bottom w:val="nil"/>
              <w:right w:val="single" w:sz="2" w:space="0" w:color="auto"/>
            </w:tcBorders>
            <w:shd w:val="clear" w:color="auto" w:fill="auto"/>
            <w:vAlign w:val="center"/>
          </w:tcPr>
          <w:p w14:paraId="24593598"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1 160 860</w:t>
            </w:r>
          </w:p>
        </w:tc>
        <w:tc>
          <w:tcPr>
            <w:tcW w:w="946" w:type="dxa"/>
            <w:tcBorders>
              <w:top w:val="nil"/>
              <w:left w:val="single" w:sz="2" w:space="0" w:color="auto"/>
              <w:bottom w:val="nil"/>
              <w:right w:val="single" w:sz="2" w:space="0" w:color="auto"/>
            </w:tcBorders>
            <w:shd w:val="clear" w:color="auto" w:fill="auto"/>
            <w:vAlign w:val="center"/>
          </w:tcPr>
          <w:p w14:paraId="0D69DC24"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1 366 654</w:t>
            </w:r>
          </w:p>
        </w:tc>
        <w:tc>
          <w:tcPr>
            <w:tcW w:w="632" w:type="dxa"/>
            <w:tcBorders>
              <w:top w:val="nil"/>
              <w:left w:val="single" w:sz="2" w:space="0" w:color="auto"/>
              <w:bottom w:val="nil"/>
              <w:right w:val="single" w:sz="2" w:space="0" w:color="auto"/>
            </w:tcBorders>
            <w:shd w:val="clear" w:color="auto" w:fill="auto"/>
            <w:vAlign w:val="center"/>
          </w:tcPr>
          <w:p w14:paraId="312F1557"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18</w:t>
            </w:r>
          </w:p>
        </w:tc>
        <w:tc>
          <w:tcPr>
            <w:tcW w:w="959" w:type="dxa"/>
            <w:tcBorders>
              <w:top w:val="nil"/>
              <w:left w:val="single" w:sz="2" w:space="0" w:color="auto"/>
              <w:bottom w:val="nil"/>
              <w:right w:val="single" w:sz="2" w:space="0" w:color="auto"/>
            </w:tcBorders>
            <w:shd w:val="clear" w:color="auto" w:fill="auto"/>
            <w:vAlign w:val="center"/>
          </w:tcPr>
          <w:p w14:paraId="76527049"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70.40</w:t>
            </w:r>
          </w:p>
        </w:tc>
        <w:tc>
          <w:tcPr>
            <w:tcW w:w="656" w:type="dxa"/>
            <w:tcBorders>
              <w:top w:val="nil"/>
              <w:left w:val="single" w:sz="2" w:space="0" w:color="auto"/>
              <w:bottom w:val="nil"/>
              <w:right w:val="single" w:sz="2" w:space="0" w:color="auto"/>
            </w:tcBorders>
            <w:shd w:val="clear" w:color="auto" w:fill="auto"/>
            <w:vAlign w:val="center"/>
          </w:tcPr>
          <w:p w14:paraId="53AA9DE0"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71.40</w:t>
            </w:r>
          </w:p>
        </w:tc>
        <w:tc>
          <w:tcPr>
            <w:tcW w:w="653" w:type="dxa"/>
            <w:tcBorders>
              <w:top w:val="nil"/>
              <w:left w:val="single" w:sz="2" w:space="0" w:color="auto"/>
              <w:bottom w:val="nil"/>
              <w:right w:val="single" w:sz="2" w:space="0" w:color="auto"/>
            </w:tcBorders>
            <w:shd w:val="clear" w:color="auto" w:fill="auto"/>
            <w:vAlign w:val="center"/>
          </w:tcPr>
          <w:p w14:paraId="53776FDE"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1</w:t>
            </w:r>
          </w:p>
        </w:tc>
        <w:tc>
          <w:tcPr>
            <w:tcW w:w="708" w:type="dxa"/>
            <w:tcBorders>
              <w:top w:val="nil"/>
              <w:left w:val="single" w:sz="2" w:space="0" w:color="auto"/>
              <w:bottom w:val="nil"/>
              <w:right w:val="single" w:sz="2" w:space="0" w:color="auto"/>
            </w:tcBorders>
            <w:shd w:val="clear" w:color="auto" w:fill="auto"/>
            <w:vAlign w:val="center"/>
          </w:tcPr>
          <w:p w14:paraId="280B7B28"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6.51</w:t>
            </w:r>
          </w:p>
        </w:tc>
        <w:tc>
          <w:tcPr>
            <w:tcW w:w="870" w:type="dxa"/>
            <w:tcBorders>
              <w:top w:val="nil"/>
              <w:left w:val="single" w:sz="2" w:space="0" w:color="auto"/>
              <w:bottom w:val="nil"/>
              <w:right w:val="single" w:sz="2" w:space="0" w:color="auto"/>
            </w:tcBorders>
            <w:shd w:val="clear" w:color="auto" w:fill="auto"/>
            <w:vAlign w:val="center"/>
          </w:tcPr>
          <w:p w14:paraId="5B806966"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6.04</w:t>
            </w:r>
          </w:p>
        </w:tc>
        <w:tc>
          <w:tcPr>
            <w:tcW w:w="690" w:type="dxa"/>
            <w:tcBorders>
              <w:top w:val="nil"/>
              <w:left w:val="single" w:sz="2" w:space="0" w:color="auto"/>
              <w:bottom w:val="nil"/>
              <w:right w:val="single" w:sz="2" w:space="0" w:color="auto"/>
            </w:tcBorders>
            <w:shd w:val="clear" w:color="auto" w:fill="auto"/>
            <w:vAlign w:val="center"/>
          </w:tcPr>
          <w:p w14:paraId="68584CE9"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-7</w:t>
            </w:r>
          </w:p>
        </w:tc>
      </w:tr>
      <w:tr w:rsidR="009B7818" w:rsidRPr="009B7818" w14:paraId="48782ED5"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6981C759"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Banco Santander</w:t>
            </w:r>
          </w:p>
        </w:tc>
        <w:tc>
          <w:tcPr>
            <w:tcW w:w="1026" w:type="dxa"/>
            <w:tcBorders>
              <w:top w:val="nil"/>
              <w:left w:val="single" w:sz="2" w:space="0" w:color="auto"/>
              <w:bottom w:val="nil"/>
              <w:right w:val="single" w:sz="2" w:space="0" w:color="auto"/>
            </w:tcBorders>
            <w:shd w:val="clear" w:color="auto" w:fill="auto"/>
            <w:vAlign w:val="center"/>
          </w:tcPr>
          <w:p w14:paraId="32C988A9"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811 711</w:t>
            </w:r>
          </w:p>
        </w:tc>
        <w:tc>
          <w:tcPr>
            <w:tcW w:w="946" w:type="dxa"/>
            <w:tcBorders>
              <w:top w:val="nil"/>
              <w:left w:val="single" w:sz="2" w:space="0" w:color="auto"/>
              <w:bottom w:val="nil"/>
              <w:right w:val="single" w:sz="2" w:space="0" w:color="auto"/>
            </w:tcBorders>
            <w:shd w:val="clear" w:color="auto" w:fill="auto"/>
            <w:vAlign w:val="center"/>
          </w:tcPr>
          <w:p w14:paraId="788C8160"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773 557</w:t>
            </w:r>
          </w:p>
        </w:tc>
        <w:tc>
          <w:tcPr>
            <w:tcW w:w="632" w:type="dxa"/>
            <w:tcBorders>
              <w:top w:val="nil"/>
              <w:left w:val="single" w:sz="2" w:space="0" w:color="auto"/>
              <w:bottom w:val="nil"/>
              <w:right w:val="single" w:sz="2" w:space="0" w:color="auto"/>
            </w:tcBorders>
            <w:shd w:val="clear" w:color="auto" w:fill="auto"/>
            <w:vAlign w:val="center"/>
          </w:tcPr>
          <w:p w14:paraId="414C32BE"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-5</w:t>
            </w:r>
          </w:p>
        </w:tc>
        <w:tc>
          <w:tcPr>
            <w:tcW w:w="959" w:type="dxa"/>
            <w:tcBorders>
              <w:top w:val="nil"/>
              <w:left w:val="single" w:sz="2" w:space="0" w:color="auto"/>
              <w:bottom w:val="nil"/>
              <w:right w:val="single" w:sz="2" w:space="0" w:color="auto"/>
            </w:tcBorders>
            <w:shd w:val="clear" w:color="auto" w:fill="auto"/>
            <w:vAlign w:val="center"/>
          </w:tcPr>
          <w:p w14:paraId="23436809"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76.60</w:t>
            </w:r>
          </w:p>
        </w:tc>
        <w:tc>
          <w:tcPr>
            <w:tcW w:w="656" w:type="dxa"/>
            <w:tcBorders>
              <w:top w:val="nil"/>
              <w:left w:val="single" w:sz="2" w:space="0" w:color="auto"/>
              <w:bottom w:val="nil"/>
              <w:right w:val="single" w:sz="2" w:space="0" w:color="auto"/>
            </w:tcBorders>
            <w:shd w:val="clear" w:color="auto" w:fill="auto"/>
            <w:vAlign w:val="center"/>
          </w:tcPr>
          <w:p w14:paraId="6BFADFE8"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73.40</w:t>
            </w:r>
          </w:p>
        </w:tc>
        <w:tc>
          <w:tcPr>
            <w:tcW w:w="653" w:type="dxa"/>
            <w:tcBorders>
              <w:top w:val="nil"/>
              <w:left w:val="single" w:sz="2" w:space="0" w:color="auto"/>
              <w:bottom w:val="nil"/>
              <w:right w:val="single" w:sz="2" w:space="0" w:color="auto"/>
            </w:tcBorders>
            <w:shd w:val="clear" w:color="auto" w:fill="auto"/>
            <w:vAlign w:val="center"/>
          </w:tcPr>
          <w:p w14:paraId="126CC1CB"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-4</w:t>
            </w:r>
          </w:p>
        </w:tc>
        <w:tc>
          <w:tcPr>
            <w:tcW w:w="708" w:type="dxa"/>
            <w:tcBorders>
              <w:top w:val="nil"/>
              <w:left w:val="single" w:sz="2" w:space="0" w:color="auto"/>
              <w:bottom w:val="nil"/>
              <w:right w:val="single" w:sz="2" w:space="0" w:color="auto"/>
            </w:tcBorders>
            <w:shd w:val="clear" w:color="auto" w:fill="auto"/>
            <w:vAlign w:val="center"/>
          </w:tcPr>
          <w:p w14:paraId="71533B9F"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7.68</w:t>
            </w:r>
          </w:p>
        </w:tc>
        <w:tc>
          <w:tcPr>
            <w:tcW w:w="870" w:type="dxa"/>
            <w:tcBorders>
              <w:top w:val="nil"/>
              <w:left w:val="single" w:sz="2" w:space="0" w:color="auto"/>
              <w:bottom w:val="nil"/>
              <w:right w:val="single" w:sz="2" w:space="0" w:color="auto"/>
            </w:tcBorders>
            <w:shd w:val="clear" w:color="auto" w:fill="auto"/>
            <w:vAlign w:val="center"/>
          </w:tcPr>
          <w:p w14:paraId="2123296A"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7.66</w:t>
            </w:r>
          </w:p>
        </w:tc>
        <w:tc>
          <w:tcPr>
            <w:tcW w:w="690" w:type="dxa"/>
            <w:tcBorders>
              <w:top w:val="nil"/>
              <w:left w:val="single" w:sz="2" w:space="0" w:color="auto"/>
              <w:bottom w:val="nil"/>
              <w:right w:val="single" w:sz="2" w:space="0" w:color="auto"/>
            </w:tcBorders>
            <w:shd w:val="clear" w:color="auto" w:fill="auto"/>
            <w:vAlign w:val="center"/>
          </w:tcPr>
          <w:p w14:paraId="5CF89BA7"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0</w:t>
            </w:r>
          </w:p>
        </w:tc>
      </w:tr>
      <w:tr w:rsidR="009B7818" w:rsidRPr="009B7818" w14:paraId="72021B48"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45A98110"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Banco Mercantil del Norte</w:t>
            </w:r>
          </w:p>
        </w:tc>
        <w:tc>
          <w:tcPr>
            <w:tcW w:w="1026" w:type="dxa"/>
            <w:tcBorders>
              <w:top w:val="nil"/>
              <w:left w:val="single" w:sz="2" w:space="0" w:color="auto"/>
              <w:bottom w:val="nil"/>
              <w:right w:val="single" w:sz="2" w:space="0" w:color="auto"/>
            </w:tcBorders>
            <w:shd w:val="clear" w:color="auto" w:fill="auto"/>
            <w:vAlign w:val="center"/>
          </w:tcPr>
          <w:p w14:paraId="12C91AEE"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422 018</w:t>
            </w:r>
          </w:p>
        </w:tc>
        <w:tc>
          <w:tcPr>
            <w:tcW w:w="946" w:type="dxa"/>
            <w:tcBorders>
              <w:top w:val="nil"/>
              <w:left w:val="single" w:sz="2" w:space="0" w:color="auto"/>
              <w:bottom w:val="nil"/>
              <w:right w:val="single" w:sz="2" w:space="0" w:color="auto"/>
            </w:tcBorders>
            <w:shd w:val="clear" w:color="auto" w:fill="auto"/>
            <w:vAlign w:val="center"/>
          </w:tcPr>
          <w:p w14:paraId="481AE750"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438 505</w:t>
            </w:r>
          </w:p>
        </w:tc>
        <w:tc>
          <w:tcPr>
            <w:tcW w:w="632" w:type="dxa"/>
            <w:tcBorders>
              <w:top w:val="nil"/>
              <w:left w:val="single" w:sz="2" w:space="0" w:color="auto"/>
              <w:bottom w:val="nil"/>
              <w:right w:val="single" w:sz="2" w:space="0" w:color="auto"/>
            </w:tcBorders>
            <w:shd w:val="clear" w:color="auto" w:fill="auto"/>
            <w:vAlign w:val="center"/>
          </w:tcPr>
          <w:p w14:paraId="4B28D382"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4</w:t>
            </w:r>
          </w:p>
        </w:tc>
        <w:tc>
          <w:tcPr>
            <w:tcW w:w="959" w:type="dxa"/>
            <w:tcBorders>
              <w:top w:val="nil"/>
              <w:left w:val="single" w:sz="2" w:space="0" w:color="auto"/>
              <w:bottom w:val="nil"/>
              <w:right w:val="single" w:sz="2" w:space="0" w:color="auto"/>
            </w:tcBorders>
            <w:shd w:val="clear" w:color="auto" w:fill="auto"/>
            <w:vAlign w:val="center"/>
          </w:tcPr>
          <w:p w14:paraId="78470E32"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80.60</w:t>
            </w:r>
          </w:p>
        </w:tc>
        <w:tc>
          <w:tcPr>
            <w:tcW w:w="656" w:type="dxa"/>
            <w:tcBorders>
              <w:top w:val="nil"/>
              <w:left w:val="single" w:sz="2" w:space="0" w:color="auto"/>
              <w:bottom w:val="nil"/>
              <w:right w:val="single" w:sz="2" w:space="0" w:color="auto"/>
            </w:tcBorders>
            <w:shd w:val="clear" w:color="auto" w:fill="auto"/>
            <w:vAlign w:val="center"/>
          </w:tcPr>
          <w:p w14:paraId="58F88A8D"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80.50</w:t>
            </w:r>
          </w:p>
        </w:tc>
        <w:tc>
          <w:tcPr>
            <w:tcW w:w="653" w:type="dxa"/>
            <w:tcBorders>
              <w:top w:val="nil"/>
              <w:left w:val="single" w:sz="2" w:space="0" w:color="auto"/>
              <w:bottom w:val="nil"/>
              <w:right w:val="single" w:sz="2" w:space="0" w:color="auto"/>
            </w:tcBorders>
            <w:shd w:val="clear" w:color="auto" w:fill="auto"/>
            <w:vAlign w:val="center"/>
          </w:tcPr>
          <w:p w14:paraId="51E81CC3"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0</w:t>
            </w:r>
          </w:p>
        </w:tc>
        <w:tc>
          <w:tcPr>
            <w:tcW w:w="708" w:type="dxa"/>
            <w:tcBorders>
              <w:top w:val="nil"/>
              <w:left w:val="single" w:sz="2" w:space="0" w:color="auto"/>
              <w:bottom w:val="nil"/>
              <w:right w:val="single" w:sz="2" w:space="0" w:color="auto"/>
            </w:tcBorders>
            <w:shd w:val="clear" w:color="auto" w:fill="auto"/>
            <w:vAlign w:val="center"/>
          </w:tcPr>
          <w:p w14:paraId="50A44100"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8.30</w:t>
            </w:r>
          </w:p>
        </w:tc>
        <w:tc>
          <w:tcPr>
            <w:tcW w:w="870" w:type="dxa"/>
            <w:tcBorders>
              <w:top w:val="nil"/>
              <w:left w:val="single" w:sz="2" w:space="0" w:color="auto"/>
              <w:bottom w:val="nil"/>
              <w:right w:val="single" w:sz="2" w:space="0" w:color="auto"/>
            </w:tcBorders>
            <w:shd w:val="clear" w:color="auto" w:fill="auto"/>
            <w:vAlign w:val="center"/>
          </w:tcPr>
          <w:p w14:paraId="485E86E0"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8.24</w:t>
            </w:r>
          </w:p>
        </w:tc>
        <w:tc>
          <w:tcPr>
            <w:tcW w:w="690" w:type="dxa"/>
            <w:tcBorders>
              <w:top w:val="nil"/>
              <w:left w:val="single" w:sz="2" w:space="0" w:color="auto"/>
              <w:bottom w:val="nil"/>
              <w:right w:val="single" w:sz="2" w:space="0" w:color="auto"/>
            </w:tcBorders>
            <w:shd w:val="clear" w:color="auto" w:fill="auto"/>
            <w:vAlign w:val="center"/>
          </w:tcPr>
          <w:p w14:paraId="6D690C19"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-1</w:t>
            </w:r>
          </w:p>
        </w:tc>
      </w:tr>
      <w:tr w:rsidR="009B7818" w:rsidRPr="009B7818" w14:paraId="48324647"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55DD9144"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HSBC México</w:t>
            </w:r>
          </w:p>
        </w:tc>
        <w:tc>
          <w:tcPr>
            <w:tcW w:w="1026" w:type="dxa"/>
            <w:tcBorders>
              <w:top w:val="nil"/>
              <w:left w:val="single" w:sz="2" w:space="0" w:color="auto"/>
              <w:bottom w:val="nil"/>
              <w:right w:val="single" w:sz="2" w:space="0" w:color="auto"/>
            </w:tcBorders>
            <w:shd w:val="clear" w:color="auto" w:fill="auto"/>
            <w:vAlign w:val="center"/>
          </w:tcPr>
          <w:p w14:paraId="301ABE23"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279 324</w:t>
            </w:r>
          </w:p>
        </w:tc>
        <w:tc>
          <w:tcPr>
            <w:tcW w:w="946" w:type="dxa"/>
            <w:tcBorders>
              <w:top w:val="nil"/>
              <w:left w:val="single" w:sz="2" w:space="0" w:color="auto"/>
              <w:bottom w:val="nil"/>
              <w:right w:val="single" w:sz="2" w:space="0" w:color="auto"/>
            </w:tcBorders>
            <w:shd w:val="clear" w:color="auto" w:fill="auto"/>
            <w:vAlign w:val="center"/>
          </w:tcPr>
          <w:p w14:paraId="0CFD15CA"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259 530</w:t>
            </w:r>
          </w:p>
        </w:tc>
        <w:tc>
          <w:tcPr>
            <w:tcW w:w="632" w:type="dxa"/>
            <w:tcBorders>
              <w:top w:val="nil"/>
              <w:left w:val="single" w:sz="2" w:space="0" w:color="auto"/>
              <w:bottom w:val="nil"/>
              <w:right w:val="single" w:sz="2" w:space="0" w:color="auto"/>
            </w:tcBorders>
            <w:shd w:val="clear" w:color="auto" w:fill="auto"/>
            <w:vAlign w:val="center"/>
          </w:tcPr>
          <w:p w14:paraId="6439AE63"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-7</w:t>
            </w:r>
          </w:p>
        </w:tc>
        <w:tc>
          <w:tcPr>
            <w:tcW w:w="959" w:type="dxa"/>
            <w:tcBorders>
              <w:top w:val="nil"/>
              <w:left w:val="single" w:sz="2" w:space="0" w:color="auto"/>
              <w:bottom w:val="nil"/>
              <w:right w:val="single" w:sz="2" w:space="0" w:color="auto"/>
            </w:tcBorders>
            <w:shd w:val="clear" w:color="auto" w:fill="auto"/>
            <w:vAlign w:val="center"/>
          </w:tcPr>
          <w:p w14:paraId="13E3FB29"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66.70</w:t>
            </w:r>
          </w:p>
        </w:tc>
        <w:tc>
          <w:tcPr>
            <w:tcW w:w="656" w:type="dxa"/>
            <w:tcBorders>
              <w:top w:val="nil"/>
              <w:left w:val="single" w:sz="2" w:space="0" w:color="auto"/>
              <w:bottom w:val="nil"/>
              <w:right w:val="single" w:sz="2" w:space="0" w:color="auto"/>
            </w:tcBorders>
            <w:shd w:val="clear" w:color="auto" w:fill="auto"/>
          </w:tcPr>
          <w:p w14:paraId="2C271CA7"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69.20</w:t>
            </w:r>
          </w:p>
        </w:tc>
        <w:tc>
          <w:tcPr>
            <w:tcW w:w="653" w:type="dxa"/>
            <w:tcBorders>
              <w:top w:val="nil"/>
              <w:left w:val="single" w:sz="2" w:space="0" w:color="auto"/>
              <w:bottom w:val="nil"/>
              <w:right w:val="single" w:sz="2" w:space="0" w:color="auto"/>
            </w:tcBorders>
            <w:shd w:val="clear" w:color="auto" w:fill="auto"/>
            <w:vAlign w:val="center"/>
          </w:tcPr>
          <w:p w14:paraId="7382F474"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4</w:t>
            </w:r>
          </w:p>
        </w:tc>
        <w:tc>
          <w:tcPr>
            <w:tcW w:w="708" w:type="dxa"/>
            <w:tcBorders>
              <w:top w:val="nil"/>
              <w:left w:val="single" w:sz="2" w:space="0" w:color="auto"/>
              <w:bottom w:val="nil"/>
              <w:right w:val="single" w:sz="2" w:space="0" w:color="auto"/>
            </w:tcBorders>
            <w:shd w:val="clear" w:color="auto" w:fill="auto"/>
            <w:vAlign w:val="center"/>
          </w:tcPr>
          <w:p w14:paraId="01E8F26B"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8.25</w:t>
            </w:r>
          </w:p>
        </w:tc>
        <w:tc>
          <w:tcPr>
            <w:tcW w:w="870" w:type="dxa"/>
            <w:tcBorders>
              <w:top w:val="nil"/>
              <w:left w:val="single" w:sz="2" w:space="0" w:color="auto"/>
              <w:bottom w:val="nil"/>
              <w:right w:val="single" w:sz="2" w:space="0" w:color="auto"/>
            </w:tcBorders>
            <w:shd w:val="clear" w:color="auto" w:fill="auto"/>
            <w:vAlign w:val="center"/>
          </w:tcPr>
          <w:p w14:paraId="60A8921D"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7.54</w:t>
            </w:r>
          </w:p>
        </w:tc>
        <w:tc>
          <w:tcPr>
            <w:tcW w:w="690" w:type="dxa"/>
            <w:tcBorders>
              <w:top w:val="nil"/>
              <w:left w:val="single" w:sz="2" w:space="0" w:color="auto"/>
              <w:bottom w:val="nil"/>
              <w:right w:val="single" w:sz="2" w:space="0" w:color="auto"/>
            </w:tcBorders>
            <w:shd w:val="clear" w:color="auto" w:fill="auto"/>
            <w:vAlign w:val="center"/>
          </w:tcPr>
          <w:p w14:paraId="3DFA58ED"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-9</w:t>
            </w:r>
          </w:p>
        </w:tc>
      </w:tr>
      <w:tr w:rsidR="009B7818" w:rsidRPr="009B7818" w14:paraId="5F302915"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4BBEE4E3"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Scotiabank Inverlat</w:t>
            </w:r>
          </w:p>
        </w:tc>
        <w:tc>
          <w:tcPr>
            <w:tcW w:w="1026" w:type="dxa"/>
            <w:tcBorders>
              <w:top w:val="nil"/>
              <w:left w:val="single" w:sz="2" w:space="0" w:color="auto"/>
              <w:bottom w:val="nil"/>
              <w:right w:val="single" w:sz="2" w:space="0" w:color="auto"/>
            </w:tcBorders>
            <w:shd w:val="clear" w:color="auto" w:fill="auto"/>
            <w:vAlign w:val="center"/>
          </w:tcPr>
          <w:p w14:paraId="755FC329"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144 584</w:t>
            </w:r>
          </w:p>
        </w:tc>
        <w:tc>
          <w:tcPr>
            <w:tcW w:w="946" w:type="dxa"/>
            <w:tcBorders>
              <w:top w:val="nil"/>
              <w:left w:val="single" w:sz="2" w:space="0" w:color="auto"/>
              <w:bottom w:val="nil"/>
              <w:right w:val="single" w:sz="2" w:space="0" w:color="auto"/>
            </w:tcBorders>
            <w:shd w:val="clear" w:color="auto" w:fill="auto"/>
            <w:vAlign w:val="center"/>
          </w:tcPr>
          <w:p w14:paraId="75CEEEE8"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168 114</w:t>
            </w:r>
          </w:p>
        </w:tc>
        <w:tc>
          <w:tcPr>
            <w:tcW w:w="632" w:type="dxa"/>
            <w:tcBorders>
              <w:top w:val="nil"/>
              <w:left w:val="single" w:sz="2" w:space="0" w:color="auto"/>
              <w:bottom w:val="nil"/>
              <w:right w:val="single" w:sz="2" w:space="0" w:color="auto"/>
            </w:tcBorders>
            <w:shd w:val="clear" w:color="auto" w:fill="auto"/>
            <w:vAlign w:val="center"/>
          </w:tcPr>
          <w:p w14:paraId="1EB03398"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16</w:t>
            </w:r>
          </w:p>
        </w:tc>
        <w:tc>
          <w:tcPr>
            <w:tcW w:w="959" w:type="dxa"/>
            <w:tcBorders>
              <w:top w:val="nil"/>
              <w:left w:val="single" w:sz="2" w:space="0" w:color="auto"/>
              <w:bottom w:val="nil"/>
              <w:right w:val="single" w:sz="2" w:space="0" w:color="auto"/>
            </w:tcBorders>
            <w:shd w:val="clear" w:color="auto" w:fill="auto"/>
            <w:vAlign w:val="center"/>
          </w:tcPr>
          <w:p w14:paraId="68B804B1"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47.80</w:t>
            </w:r>
          </w:p>
        </w:tc>
        <w:tc>
          <w:tcPr>
            <w:tcW w:w="656" w:type="dxa"/>
            <w:tcBorders>
              <w:top w:val="nil"/>
              <w:left w:val="single" w:sz="2" w:space="0" w:color="auto"/>
              <w:bottom w:val="nil"/>
              <w:right w:val="single" w:sz="2" w:space="0" w:color="auto"/>
            </w:tcBorders>
            <w:shd w:val="clear" w:color="auto" w:fill="auto"/>
            <w:vAlign w:val="center"/>
          </w:tcPr>
          <w:p w14:paraId="7698D629"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47.90</w:t>
            </w:r>
          </w:p>
        </w:tc>
        <w:tc>
          <w:tcPr>
            <w:tcW w:w="653" w:type="dxa"/>
            <w:tcBorders>
              <w:top w:val="nil"/>
              <w:left w:val="single" w:sz="2" w:space="0" w:color="auto"/>
              <w:bottom w:val="nil"/>
              <w:right w:val="single" w:sz="2" w:space="0" w:color="auto"/>
            </w:tcBorders>
            <w:shd w:val="clear" w:color="auto" w:fill="auto"/>
            <w:vAlign w:val="center"/>
          </w:tcPr>
          <w:p w14:paraId="605CD742"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0</w:t>
            </w:r>
          </w:p>
        </w:tc>
        <w:tc>
          <w:tcPr>
            <w:tcW w:w="708" w:type="dxa"/>
            <w:tcBorders>
              <w:top w:val="nil"/>
              <w:left w:val="single" w:sz="2" w:space="0" w:color="auto"/>
              <w:bottom w:val="nil"/>
              <w:right w:val="single" w:sz="2" w:space="0" w:color="auto"/>
            </w:tcBorders>
            <w:shd w:val="clear" w:color="auto" w:fill="auto"/>
            <w:vAlign w:val="center"/>
          </w:tcPr>
          <w:p w14:paraId="64BADC43"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7.62</w:t>
            </w:r>
          </w:p>
        </w:tc>
        <w:tc>
          <w:tcPr>
            <w:tcW w:w="870" w:type="dxa"/>
            <w:tcBorders>
              <w:top w:val="nil"/>
              <w:left w:val="single" w:sz="2" w:space="0" w:color="auto"/>
              <w:bottom w:val="nil"/>
              <w:right w:val="single" w:sz="2" w:space="0" w:color="auto"/>
            </w:tcBorders>
            <w:shd w:val="clear" w:color="auto" w:fill="auto"/>
            <w:vAlign w:val="center"/>
          </w:tcPr>
          <w:p w14:paraId="6FA0D5A5"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7.78</w:t>
            </w:r>
          </w:p>
        </w:tc>
        <w:tc>
          <w:tcPr>
            <w:tcW w:w="690" w:type="dxa"/>
            <w:tcBorders>
              <w:top w:val="nil"/>
              <w:left w:val="single" w:sz="2" w:space="0" w:color="auto"/>
              <w:bottom w:val="nil"/>
              <w:right w:val="single" w:sz="2" w:space="0" w:color="auto"/>
            </w:tcBorders>
            <w:shd w:val="clear" w:color="auto" w:fill="auto"/>
            <w:vAlign w:val="center"/>
          </w:tcPr>
          <w:p w14:paraId="08311CF2"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2</w:t>
            </w:r>
          </w:p>
        </w:tc>
      </w:tr>
      <w:tr w:rsidR="009B7818" w:rsidRPr="009B7818" w14:paraId="5A9BB936" w14:textId="77777777" w:rsidTr="005B5C5D">
        <w:trPr>
          <w:trHeight w:val="106"/>
          <w:jc w:val="center"/>
        </w:trPr>
        <w:tc>
          <w:tcPr>
            <w:tcW w:w="2358" w:type="dxa"/>
            <w:tcBorders>
              <w:top w:val="nil"/>
              <w:left w:val="single" w:sz="2" w:space="0" w:color="auto"/>
              <w:bottom w:val="nil"/>
              <w:right w:val="single" w:sz="2" w:space="0" w:color="auto"/>
            </w:tcBorders>
            <w:shd w:val="clear" w:color="auto" w:fill="auto"/>
            <w:vAlign w:val="center"/>
          </w:tcPr>
          <w:p w14:paraId="55A4FB2C" w14:textId="77777777" w:rsidR="009B7818" w:rsidRPr="009B7818" w:rsidRDefault="009B7818" w:rsidP="009B7818">
            <w:pPr>
              <w:autoSpaceDE w:val="0"/>
              <w:autoSpaceDN w:val="0"/>
              <w:adjustRightInd w:val="0"/>
              <w:jc w:val="both"/>
              <w:rPr>
                <w:rFonts w:eastAsia="Calibri"/>
                <w:bCs/>
                <w:sz w:val="18"/>
                <w:szCs w:val="18"/>
                <w:lang w:eastAsia="en-US"/>
              </w:rPr>
            </w:pPr>
            <w:r w:rsidRPr="009B7818">
              <w:rPr>
                <w:rFonts w:eastAsia="Calibri"/>
                <w:bCs/>
                <w:sz w:val="18"/>
                <w:szCs w:val="18"/>
                <w:lang w:eastAsia="en-US"/>
              </w:rPr>
              <w:t>Banco Inbursa</w:t>
            </w:r>
          </w:p>
        </w:tc>
        <w:tc>
          <w:tcPr>
            <w:tcW w:w="1026" w:type="dxa"/>
            <w:tcBorders>
              <w:top w:val="nil"/>
              <w:left w:val="single" w:sz="2" w:space="0" w:color="auto"/>
              <w:bottom w:val="nil"/>
              <w:right w:val="single" w:sz="2" w:space="0" w:color="auto"/>
            </w:tcBorders>
            <w:shd w:val="clear" w:color="auto" w:fill="auto"/>
            <w:vAlign w:val="center"/>
          </w:tcPr>
          <w:p w14:paraId="35449A15"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65 330</w:t>
            </w:r>
          </w:p>
        </w:tc>
        <w:tc>
          <w:tcPr>
            <w:tcW w:w="946" w:type="dxa"/>
            <w:tcBorders>
              <w:top w:val="nil"/>
              <w:left w:val="single" w:sz="2" w:space="0" w:color="auto"/>
              <w:bottom w:val="nil"/>
              <w:right w:val="single" w:sz="2" w:space="0" w:color="auto"/>
            </w:tcBorders>
            <w:shd w:val="clear" w:color="auto" w:fill="auto"/>
            <w:vAlign w:val="center"/>
          </w:tcPr>
          <w:p w14:paraId="23D7DBF7" w14:textId="77777777" w:rsidR="009B7818" w:rsidRPr="005B5C5D" w:rsidRDefault="009B7818" w:rsidP="005B5C5D">
            <w:pPr>
              <w:autoSpaceDE w:val="0"/>
              <w:autoSpaceDN w:val="0"/>
              <w:adjustRightInd w:val="0"/>
              <w:jc w:val="right"/>
              <w:rPr>
                <w:rFonts w:eastAsia="Calibri"/>
                <w:sz w:val="18"/>
                <w:szCs w:val="18"/>
                <w:lang w:eastAsia="en-US"/>
              </w:rPr>
            </w:pPr>
            <w:r w:rsidRPr="005B5C5D">
              <w:rPr>
                <w:rFonts w:eastAsia="Calibri"/>
                <w:sz w:val="18"/>
                <w:szCs w:val="18"/>
                <w:lang w:eastAsia="en-US"/>
              </w:rPr>
              <w:t>70 585</w:t>
            </w:r>
          </w:p>
        </w:tc>
        <w:tc>
          <w:tcPr>
            <w:tcW w:w="632" w:type="dxa"/>
            <w:tcBorders>
              <w:top w:val="nil"/>
              <w:left w:val="single" w:sz="2" w:space="0" w:color="auto"/>
              <w:bottom w:val="nil"/>
              <w:right w:val="single" w:sz="2" w:space="0" w:color="auto"/>
            </w:tcBorders>
            <w:shd w:val="clear" w:color="auto" w:fill="auto"/>
            <w:vAlign w:val="center"/>
          </w:tcPr>
          <w:p w14:paraId="2B1E5F62"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8</w:t>
            </w:r>
          </w:p>
        </w:tc>
        <w:tc>
          <w:tcPr>
            <w:tcW w:w="959" w:type="dxa"/>
            <w:tcBorders>
              <w:top w:val="nil"/>
              <w:left w:val="single" w:sz="2" w:space="0" w:color="auto"/>
              <w:bottom w:val="nil"/>
              <w:right w:val="single" w:sz="2" w:space="0" w:color="auto"/>
            </w:tcBorders>
            <w:shd w:val="clear" w:color="auto" w:fill="auto"/>
            <w:vAlign w:val="center"/>
          </w:tcPr>
          <w:p w14:paraId="473E0579"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76.90</w:t>
            </w:r>
          </w:p>
        </w:tc>
        <w:tc>
          <w:tcPr>
            <w:tcW w:w="656" w:type="dxa"/>
            <w:tcBorders>
              <w:top w:val="nil"/>
              <w:left w:val="single" w:sz="2" w:space="0" w:color="auto"/>
              <w:bottom w:val="nil"/>
              <w:right w:val="single" w:sz="2" w:space="0" w:color="auto"/>
            </w:tcBorders>
            <w:shd w:val="clear" w:color="auto" w:fill="auto"/>
          </w:tcPr>
          <w:p w14:paraId="3164C8C0" w14:textId="77777777" w:rsidR="009B7818" w:rsidRPr="005B5C5D" w:rsidRDefault="009B7818" w:rsidP="005B5C5D">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73.70</w:t>
            </w:r>
          </w:p>
        </w:tc>
        <w:tc>
          <w:tcPr>
            <w:tcW w:w="653" w:type="dxa"/>
            <w:tcBorders>
              <w:top w:val="nil"/>
              <w:left w:val="single" w:sz="2" w:space="0" w:color="auto"/>
              <w:bottom w:val="nil"/>
              <w:right w:val="single" w:sz="2" w:space="0" w:color="auto"/>
            </w:tcBorders>
            <w:shd w:val="clear" w:color="auto" w:fill="auto"/>
          </w:tcPr>
          <w:p w14:paraId="027646C5" w14:textId="77777777" w:rsidR="009B7818" w:rsidRPr="005B5C5D" w:rsidRDefault="009B7818" w:rsidP="005B5C5D">
            <w:pPr>
              <w:autoSpaceDE w:val="0"/>
              <w:autoSpaceDN w:val="0"/>
              <w:adjustRightInd w:val="0"/>
              <w:ind w:right="113"/>
              <w:jc w:val="right"/>
              <w:rPr>
                <w:rFonts w:eastAsia="Calibri"/>
                <w:sz w:val="18"/>
                <w:szCs w:val="18"/>
                <w:lang w:eastAsia="en-US"/>
              </w:rPr>
            </w:pPr>
            <w:r w:rsidRPr="005B5C5D">
              <w:rPr>
                <w:rFonts w:eastAsia="Calibri"/>
                <w:sz w:val="18"/>
                <w:szCs w:val="18"/>
                <w:lang w:eastAsia="en-US"/>
              </w:rPr>
              <w:t>-4</w:t>
            </w:r>
          </w:p>
        </w:tc>
        <w:tc>
          <w:tcPr>
            <w:tcW w:w="708" w:type="dxa"/>
            <w:tcBorders>
              <w:top w:val="nil"/>
              <w:left w:val="single" w:sz="2" w:space="0" w:color="auto"/>
              <w:bottom w:val="nil"/>
              <w:right w:val="single" w:sz="2" w:space="0" w:color="auto"/>
            </w:tcBorders>
            <w:shd w:val="clear" w:color="auto" w:fill="auto"/>
          </w:tcPr>
          <w:p w14:paraId="0E859EF4"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8.71</w:t>
            </w:r>
          </w:p>
        </w:tc>
        <w:tc>
          <w:tcPr>
            <w:tcW w:w="870" w:type="dxa"/>
            <w:tcBorders>
              <w:top w:val="nil"/>
              <w:left w:val="single" w:sz="2" w:space="0" w:color="auto"/>
              <w:bottom w:val="nil"/>
              <w:right w:val="single" w:sz="2" w:space="0" w:color="auto"/>
            </w:tcBorders>
            <w:shd w:val="clear" w:color="auto" w:fill="auto"/>
          </w:tcPr>
          <w:p w14:paraId="372FB0A3" w14:textId="77777777" w:rsidR="009B7818" w:rsidRPr="009B7818" w:rsidRDefault="009B7818" w:rsidP="009B7818">
            <w:pPr>
              <w:autoSpaceDE w:val="0"/>
              <w:autoSpaceDN w:val="0"/>
              <w:adjustRightInd w:val="0"/>
              <w:jc w:val="center"/>
              <w:rPr>
                <w:rFonts w:eastAsia="Calibri"/>
                <w:sz w:val="18"/>
                <w:szCs w:val="18"/>
                <w:lang w:eastAsia="en-US"/>
              </w:rPr>
            </w:pPr>
            <w:r w:rsidRPr="009B7818">
              <w:rPr>
                <w:rFonts w:eastAsia="Calibri"/>
                <w:sz w:val="18"/>
                <w:szCs w:val="18"/>
                <w:lang w:eastAsia="en-US"/>
              </w:rPr>
              <w:t>8.45</w:t>
            </w:r>
          </w:p>
        </w:tc>
        <w:tc>
          <w:tcPr>
            <w:tcW w:w="690" w:type="dxa"/>
            <w:tcBorders>
              <w:top w:val="nil"/>
              <w:left w:val="single" w:sz="2" w:space="0" w:color="auto"/>
              <w:bottom w:val="nil"/>
              <w:right w:val="single" w:sz="2" w:space="0" w:color="auto"/>
            </w:tcBorders>
            <w:shd w:val="clear" w:color="auto" w:fill="auto"/>
          </w:tcPr>
          <w:p w14:paraId="3B983E53" w14:textId="77777777" w:rsidR="009B7818" w:rsidRPr="009B7818" w:rsidRDefault="009B7818" w:rsidP="00B65566">
            <w:pPr>
              <w:autoSpaceDE w:val="0"/>
              <w:autoSpaceDN w:val="0"/>
              <w:adjustRightInd w:val="0"/>
              <w:ind w:right="113"/>
              <w:jc w:val="right"/>
              <w:rPr>
                <w:rFonts w:eastAsia="Calibri"/>
                <w:sz w:val="18"/>
                <w:szCs w:val="18"/>
                <w:lang w:eastAsia="en-US"/>
              </w:rPr>
            </w:pPr>
            <w:r w:rsidRPr="009B7818">
              <w:rPr>
                <w:rFonts w:eastAsia="Calibri"/>
                <w:sz w:val="18"/>
                <w:szCs w:val="18"/>
                <w:lang w:eastAsia="en-US"/>
              </w:rPr>
              <w:t>-3</w:t>
            </w:r>
          </w:p>
        </w:tc>
      </w:tr>
      <w:tr w:rsidR="009B7818" w:rsidRPr="009B7818" w14:paraId="76EF4C9C" w14:textId="77777777" w:rsidTr="005B5C5D">
        <w:trPr>
          <w:trHeight w:val="106"/>
          <w:jc w:val="center"/>
        </w:trPr>
        <w:tc>
          <w:tcPr>
            <w:tcW w:w="2358" w:type="dxa"/>
            <w:tcBorders>
              <w:top w:val="nil"/>
              <w:left w:val="single" w:sz="2" w:space="0" w:color="auto"/>
              <w:bottom w:val="single" w:sz="2" w:space="0" w:color="auto"/>
              <w:right w:val="single" w:sz="2" w:space="0" w:color="auto"/>
            </w:tcBorders>
            <w:shd w:val="clear" w:color="auto" w:fill="auto"/>
            <w:vAlign w:val="center"/>
          </w:tcPr>
          <w:p w14:paraId="231D3C43" w14:textId="77777777" w:rsidR="009B7818" w:rsidRPr="009B7818" w:rsidRDefault="009B7818" w:rsidP="009B7818">
            <w:pPr>
              <w:autoSpaceDE w:val="0"/>
              <w:autoSpaceDN w:val="0"/>
              <w:adjustRightInd w:val="0"/>
              <w:jc w:val="both"/>
              <w:rPr>
                <w:rFonts w:eastAsia="Calibri"/>
                <w:b/>
                <w:bCs/>
                <w:sz w:val="18"/>
                <w:szCs w:val="18"/>
                <w:lang w:eastAsia="en-US"/>
              </w:rPr>
            </w:pPr>
            <w:r w:rsidRPr="009B7818">
              <w:rPr>
                <w:rFonts w:eastAsia="Calibri"/>
                <w:b/>
                <w:bCs/>
                <w:sz w:val="18"/>
                <w:szCs w:val="18"/>
                <w:lang w:eastAsia="en-US"/>
              </w:rPr>
              <w:t>Subtotal</w:t>
            </w:r>
          </w:p>
        </w:tc>
        <w:tc>
          <w:tcPr>
            <w:tcW w:w="1026" w:type="dxa"/>
            <w:tcBorders>
              <w:top w:val="nil"/>
              <w:left w:val="single" w:sz="2" w:space="0" w:color="auto"/>
              <w:bottom w:val="single" w:sz="2" w:space="0" w:color="auto"/>
              <w:right w:val="single" w:sz="2" w:space="0" w:color="auto"/>
            </w:tcBorders>
            <w:shd w:val="clear" w:color="auto" w:fill="auto"/>
            <w:vAlign w:val="center"/>
          </w:tcPr>
          <w:p w14:paraId="339DA28B" w14:textId="77777777" w:rsidR="009B7818" w:rsidRPr="005B5C5D" w:rsidRDefault="009B7818" w:rsidP="005B5C5D">
            <w:pPr>
              <w:autoSpaceDE w:val="0"/>
              <w:autoSpaceDN w:val="0"/>
              <w:adjustRightInd w:val="0"/>
              <w:jc w:val="right"/>
              <w:rPr>
                <w:rFonts w:eastAsia="Calibri"/>
                <w:b/>
                <w:sz w:val="18"/>
                <w:szCs w:val="18"/>
                <w:lang w:eastAsia="en-US"/>
              </w:rPr>
            </w:pPr>
            <w:r w:rsidRPr="005B5C5D">
              <w:rPr>
                <w:rFonts w:eastAsia="Calibri"/>
                <w:b/>
                <w:sz w:val="18"/>
                <w:szCs w:val="18"/>
                <w:lang w:eastAsia="en-US"/>
              </w:rPr>
              <w:t>4 220 444</w:t>
            </w:r>
          </w:p>
        </w:tc>
        <w:tc>
          <w:tcPr>
            <w:tcW w:w="946" w:type="dxa"/>
            <w:tcBorders>
              <w:top w:val="nil"/>
              <w:left w:val="single" w:sz="2" w:space="0" w:color="auto"/>
              <w:bottom w:val="single" w:sz="2" w:space="0" w:color="auto"/>
              <w:right w:val="single" w:sz="2" w:space="0" w:color="auto"/>
            </w:tcBorders>
            <w:shd w:val="clear" w:color="auto" w:fill="auto"/>
            <w:vAlign w:val="center"/>
          </w:tcPr>
          <w:p w14:paraId="41717DEC" w14:textId="77777777" w:rsidR="009B7818" w:rsidRPr="005B5C5D" w:rsidRDefault="009B7818" w:rsidP="005B5C5D">
            <w:pPr>
              <w:autoSpaceDE w:val="0"/>
              <w:autoSpaceDN w:val="0"/>
              <w:adjustRightInd w:val="0"/>
              <w:jc w:val="right"/>
              <w:rPr>
                <w:rFonts w:eastAsia="Calibri"/>
                <w:b/>
                <w:sz w:val="18"/>
                <w:szCs w:val="18"/>
                <w:lang w:eastAsia="en-US"/>
              </w:rPr>
            </w:pPr>
            <w:r w:rsidRPr="005B5C5D">
              <w:rPr>
                <w:rFonts w:eastAsia="Calibri"/>
                <w:b/>
                <w:sz w:val="18"/>
                <w:szCs w:val="18"/>
                <w:lang w:eastAsia="en-US"/>
              </w:rPr>
              <w:t>4 160 819</w:t>
            </w:r>
          </w:p>
        </w:tc>
        <w:tc>
          <w:tcPr>
            <w:tcW w:w="632" w:type="dxa"/>
            <w:tcBorders>
              <w:top w:val="nil"/>
              <w:left w:val="single" w:sz="2" w:space="0" w:color="auto"/>
              <w:bottom w:val="single" w:sz="2" w:space="0" w:color="auto"/>
              <w:right w:val="single" w:sz="2" w:space="0" w:color="auto"/>
            </w:tcBorders>
            <w:shd w:val="clear" w:color="auto" w:fill="auto"/>
            <w:vAlign w:val="center"/>
          </w:tcPr>
          <w:p w14:paraId="39F88EE4" w14:textId="77777777" w:rsidR="009B7818" w:rsidRPr="005B5C5D" w:rsidRDefault="009B7818" w:rsidP="005B5C5D">
            <w:pPr>
              <w:autoSpaceDE w:val="0"/>
              <w:autoSpaceDN w:val="0"/>
              <w:adjustRightInd w:val="0"/>
              <w:ind w:right="113"/>
              <w:jc w:val="right"/>
              <w:rPr>
                <w:rFonts w:eastAsia="Calibri"/>
                <w:b/>
                <w:sz w:val="18"/>
                <w:szCs w:val="18"/>
                <w:lang w:eastAsia="en-US"/>
              </w:rPr>
            </w:pPr>
            <w:r w:rsidRPr="005B5C5D">
              <w:rPr>
                <w:rFonts w:eastAsia="Calibri"/>
                <w:b/>
                <w:sz w:val="18"/>
                <w:szCs w:val="18"/>
                <w:lang w:eastAsia="en-US"/>
              </w:rPr>
              <w:t>-1</w:t>
            </w:r>
          </w:p>
        </w:tc>
        <w:tc>
          <w:tcPr>
            <w:tcW w:w="959" w:type="dxa"/>
            <w:tcBorders>
              <w:top w:val="nil"/>
              <w:left w:val="single" w:sz="2" w:space="0" w:color="auto"/>
              <w:bottom w:val="single" w:sz="2" w:space="0" w:color="auto"/>
              <w:right w:val="single" w:sz="2" w:space="0" w:color="auto"/>
            </w:tcBorders>
            <w:shd w:val="clear" w:color="auto" w:fill="auto"/>
            <w:vAlign w:val="center"/>
          </w:tcPr>
          <w:p w14:paraId="0F8E9799" w14:textId="77777777" w:rsidR="009B7818" w:rsidRPr="005B5C5D" w:rsidRDefault="009B7818" w:rsidP="005B5C5D">
            <w:pPr>
              <w:autoSpaceDE w:val="0"/>
              <w:autoSpaceDN w:val="0"/>
              <w:adjustRightInd w:val="0"/>
              <w:ind w:left="-57" w:right="57"/>
              <w:jc w:val="right"/>
              <w:rPr>
                <w:rFonts w:eastAsia="Calibri"/>
                <w:b/>
                <w:sz w:val="18"/>
                <w:szCs w:val="18"/>
                <w:lang w:eastAsia="en-US"/>
              </w:rPr>
            </w:pPr>
            <w:r w:rsidRPr="005B5C5D">
              <w:rPr>
                <w:rFonts w:eastAsia="Calibri"/>
                <w:b/>
                <w:sz w:val="18"/>
                <w:szCs w:val="18"/>
                <w:lang w:eastAsia="en-US"/>
              </w:rPr>
              <w:t>71.36</w:t>
            </w:r>
          </w:p>
        </w:tc>
        <w:tc>
          <w:tcPr>
            <w:tcW w:w="656" w:type="dxa"/>
            <w:tcBorders>
              <w:top w:val="nil"/>
              <w:left w:val="single" w:sz="2" w:space="0" w:color="auto"/>
              <w:bottom w:val="single" w:sz="2" w:space="0" w:color="auto"/>
              <w:right w:val="single" w:sz="2" w:space="0" w:color="auto"/>
            </w:tcBorders>
            <w:shd w:val="clear" w:color="auto" w:fill="auto"/>
          </w:tcPr>
          <w:p w14:paraId="6C5A8918" w14:textId="77777777" w:rsidR="009B7818" w:rsidRPr="005B5C5D" w:rsidRDefault="009B7818" w:rsidP="005B5C5D">
            <w:pPr>
              <w:autoSpaceDE w:val="0"/>
              <w:autoSpaceDN w:val="0"/>
              <w:adjustRightInd w:val="0"/>
              <w:ind w:left="-57" w:right="57"/>
              <w:jc w:val="right"/>
              <w:rPr>
                <w:rFonts w:eastAsia="Calibri"/>
                <w:b/>
                <w:sz w:val="18"/>
                <w:szCs w:val="18"/>
                <w:lang w:eastAsia="en-US"/>
              </w:rPr>
            </w:pPr>
            <w:r w:rsidRPr="005B5C5D">
              <w:rPr>
                <w:rFonts w:eastAsia="Calibri"/>
                <w:b/>
                <w:sz w:val="18"/>
                <w:szCs w:val="18"/>
                <w:lang w:eastAsia="en-US"/>
              </w:rPr>
              <w:t>70.30</w:t>
            </w:r>
          </w:p>
        </w:tc>
        <w:tc>
          <w:tcPr>
            <w:tcW w:w="653" w:type="dxa"/>
            <w:tcBorders>
              <w:top w:val="nil"/>
              <w:left w:val="single" w:sz="2" w:space="0" w:color="auto"/>
              <w:bottom w:val="single" w:sz="2" w:space="0" w:color="auto"/>
              <w:right w:val="single" w:sz="2" w:space="0" w:color="auto"/>
            </w:tcBorders>
            <w:shd w:val="clear" w:color="auto" w:fill="auto"/>
          </w:tcPr>
          <w:p w14:paraId="684A469E" w14:textId="77777777" w:rsidR="009B7818" w:rsidRPr="005B5C5D" w:rsidRDefault="009B7818" w:rsidP="005B5C5D">
            <w:pPr>
              <w:autoSpaceDE w:val="0"/>
              <w:autoSpaceDN w:val="0"/>
              <w:adjustRightInd w:val="0"/>
              <w:ind w:right="113"/>
              <w:jc w:val="right"/>
              <w:rPr>
                <w:rFonts w:eastAsia="Calibri"/>
                <w:b/>
                <w:sz w:val="18"/>
                <w:szCs w:val="18"/>
                <w:lang w:eastAsia="en-US"/>
              </w:rPr>
            </w:pPr>
            <w:r w:rsidRPr="005B5C5D">
              <w:rPr>
                <w:rFonts w:eastAsia="Calibri"/>
                <w:b/>
                <w:sz w:val="18"/>
                <w:szCs w:val="18"/>
                <w:lang w:eastAsia="en-US"/>
              </w:rPr>
              <w:t>-1</w:t>
            </w:r>
          </w:p>
        </w:tc>
        <w:tc>
          <w:tcPr>
            <w:tcW w:w="708" w:type="dxa"/>
            <w:tcBorders>
              <w:top w:val="nil"/>
              <w:left w:val="single" w:sz="2" w:space="0" w:color="auto"/>
              <w:bottom w:val="single" w:sz="2" w:space="0" w:color="auto"/>
              <w:right w:val="single" w:sz="2" w:space="0" w:color="auto"/>
            </w:tcBorders>
            <w:shd w:val="clear" w:color="auto" w:fill="auto"/>
          </w:tcPr>
          <w:p w14:paraId="048400A1" w14:textId="77777777" w:rsidR="009B7818" w:rsidRPr="009B7818" w:rsidRDefault="009B7818" w:rsidP="009B7818">
            <w:pPr>
              <w:autoSpaceDE w:val="0"/>
              <w:autoSpaceDN w:val="0"/>
              <w:adjustRightInd w:val="0"/>
              <w:jc w:val="center"/>
              <w:rPr>
                <w:rFonts w:eastAsia="Calibri"/>
                <w:b/>
                <w:sz w:val="18"/>
                <w:szCs w:val="18"/>
                <w:lang w:eastAsia="en-US"/>
              </w:rPr>
            </w:pPr>
            <w:r w:rsidRPr="009B7818">
              <w:rPr>
                <w:rFonts w:eastAsia="Calibri"/>
                <w:b/>
                <w:sz w:val="18"/>
                <w:szCs w:val="18"/>
                <w:lang w:eastAsia="en-US"/>
              </w:rPr>
              <w:t>7.75</w:t>
            </w:r>
          </w:p>
        </w:tc>
        <w:tc>
          <w:tcPr>
            <w:tcW w:w="870" w:type="dxa"/>
            <w:tcBorders>
              <w:top w:val="nil"/>
              <w:left w:val="single" w:sz="2" w:space="0" w:color="auto"/>
              <w:bottom w:val="single" w:sz="2" w:space="0" w:color="auto"/>
              <w:right w:val="single" w:sz="2" w:space="0" w:color="auto"/>
            </w:tcBorders>
            <w:shd w:val="clear" w:color="auto" w:fill="auto"/>
          </w:tcPr>
          <w:p w14:paraId="5718E32C" w14:textId="77777777" w:rsidR="009B7818" w:rsidRPr="009B7818" w:rsidRDefault="009B7818" w:rsidP="009B7818">
            <w:pPr>
              <w:autoSpaceDE w:val="0"/>
              <w:autoSpaceDN w:val="0"/>
              <w:adjustRightInd w:val="0"/>
              <w:jc w:val="center"/>
              <w:rPr>
                <w:rFonts w:eastAsia="Calibri"/>
                <w:b/>
                <w:sz w:val="18"/>
                <w:szCs w:val="18"/>
                <w:lang w:eastAsia="en-US"/>
              </w:rPr>
            </w:pPr>
            <w:r w:rsidRPr="009B7818">
              <w:rPr>
                <w:rFonts w:eastAsia="Calibri"/>
                <w:b/>
                <w:sz w:val="18"/>
                <w:szCs w:val="18"/>
                <w:lang w:eastAsia="en-US"/>
              </w:rPr>
              <w:t>7.42</w:t>
            </w:r>
          </w:p>
        </w:tc>
        <w:tc>
          <w:tcPr>
            <w:tcW w:w="690" w:type="dxa"/>
            <w:tcBorders>
              <w:top w:val="nil"/>
              <w:left w:val="single" w:sz="2" w:space="0" w:color="auto"/>
              <w:bottom w:val="single" w:sz="2" w:space="0" w:color="auto"/>
              <w:right w:val="single" w:sz="2" w:space="0" w:color="auto"/>
            </w:tcBorders>
            <w:shd w:val="clear" w:color="auto" w:fill="auto"/>
          </w:tcPr>
          <w:p w14:paraId="70D00226" w14:textId="77777777" w:rsidR="009B7818" w:rsidRPr="009B7818" w:rsidRDefault="009B7818" w:rsidP="00B65566">
            <w:pPr>
              <w:autoSpaceDE w:val="0"/>
              <w:autoSpaceDN w:val="0"/>
              <w:adjustRightInd w:val="0"/>
              <w:ind w:right="113"/>
              <w:jc w:val="right"/>
              <w:rPr>
                <w:rFonts w:eastAsia="Calibri"/>
                <w:b/>
                <w:sz w:val="18"/>
                <w:szCs w:val="18"/>
                <w:lang w:eastAsia="en-US"/>
              </w:rPr>
            </w:pPr>
            <w:r w:rsidRPr="009B7818">
              <w:rPr>
                <w:rFonts w:eastAsia="Calibri"/>
                <w:b/>
                <w:sz w:val="18"/>
                <w:szCs w:val="18"/>
                <w:lang w:eastAsia="en-US"/>
              </w:rPr>
              <w:t>-4</w:t>
            </w:r>
          </w:p>
        </w:tc>
      </w:tr>
      <w:tr w:rsidR="009B7818" w:rsidRPr="009B7818" w14:paraId="1CCC8455" w14:textId="77777777" w:rsidTr="00F44802">
        <w:trPr>
          <w:trHeight w:val="106"/>
          <w:jc w:val="center"/>
        </w:trPr>
        <w:tc>
          <w:tcPr>
            <w:tcW w:w="9498" w:type="dxa"/>
            <w:gridSpan w:val="10"/>
            <w:tcBorders>
              <w:top w:val="single" w:sz="2" w:space="0" w:color="auto"/>
              <w:left w:val="nil"/>
              <w:bottom w:val="nil"/>
              <w:right w:val="nil"/>
            </w:tcBorders>
            <w:shd w:val="clear" w:color="auto" w:fill="auto"/>
            <w:vAlign w:val="center"/>
          </w:tcPr>
          <w:p w14:paraId="555AF096" w14:textId="77777777" w:rsidR="009B7818" w:rsidRPr="009B7818" w:rsidRDefault="009B7818" w:rsidP="009B7818">
            <w:pPr>
              <w:autoSpaceDE w:val="0"/>
              <w:autoSpaceDN w:val="0"/>
              <w:adjustRightInd w:val="0"/>
              <w:spacing w:before="120"/>
              <w:ind w:right="-159"/>
              <w:jc w:val="both"/>
              <w:rPr>
                <w:rFonts w:eastAsia="Calibri"/>
                <w:bCs/>
                <w:sz w:val="18"/>
                <w:szCs w:val="18"/>
                <w:lang w:eastAsia="en-US"/>
              </w:rPr>
            </w:pPr>
            <w:r w:rsidRPr="009B7818">
              <w:rPr>
                <w:rFonts w:eastAsia="Calibri"/>
                <w:bCs/>
                <w:sz w:val="18"/>
                <w:szCs w:val="18"/>
                <w:lang w:eastAsia="en-US"/>
              </w:rPr>
              <w:t>FUENTE: CONDUSEF</w:t>
            </w:r>
          </w:p>
        </w:tc>
      </w:tr>
    </w:tbl>
    <w:p w14:paraId="6CFD828C" w14:textId="77777777" w:rsidR="009B7818" w:rsidRPr="009B7818" w:rsidRDefault="009B7818" w:rsidP="009B7818">
      <w:pPr>
        <w:spacing w:after="360" w:line="360" w:lineRule="auto"/>
        <w:ind w:right="-159"/>
        <w:jc w:val="both"/>
        <w:rPr>
          <w:rFonts w:eastAsia="Calibri"/>
          <w:sz w:val="26"/>
          <w:szCs w:val="26"/>
          <w:lang w:eastAsia="en-US"/>
        </w:rPr>
      </w:pPr>
    </w:p>
    <w:p w14:paraId="5486349C"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Banamex es la institución con el mayor número de reclamaciones y un crecimiento de las mismas del 18 por ciento.</w:t>
      </w:r>
    </w:p>
    <w:p w14:paraId="3B9D3956"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 xml:space="preserve">De las instituciones agrupadas como de consumo, Banco Azteca concentró 60% de las reclamaciones, al pasar de 73 mil 751 en 2013 a 155 mil 782 en 2014, es decir, tuvo un incremento de 111%. Posteriormente, se encuentra American Express Bank con 52 mil </w:t>
      </w:r>
      <w:r w:rsidRPr="009B7818">
        <w:rPr>
          <w:rFonts w:eastAsia="Calibri"/>
          <w:sz w:val="26"/>
          <w:szCs w:val="26"/>
          <w:lang w:eastAsia="en-US"/>
        </w:rPr>
        <w:lastRenderedPageBreak/>
        <w:t>534 y Banco Wal-Mart con 24 mil 526. La institución que tuvo un mayor porcentaje de resolución favorable al usuario fue American Express Bank con 92.30 por ciento.</w:t>
      </w:r>
    </w:p>
    <w:p w14:paraId="19AD6AF7" w14:textId="6933549A"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El monto reclamado en las instituciones financieras aumentó 14% con respecto a 2013, llegando a un total de más de 14 mil millones de pesos. En este rubro destaca Banamex con 46% y Banco Azteca con 138%. Por su parte</w:t>
      </w:r>
      <w:r w:rsidR="00180143">
        <w:rPr>
          <w:rFonts w:eastAsia="Calibri"/>
          <w:sz w:val="26"/>
          <w:szCs w:val="26"/>
          <w:lang w:eastAsia="en-US"/>
        </w:rPr>
        <w:t>,</w:t>
      </w:r>
      <w:r w:rsidRPr="009B7818">
        <w:rPr>
          <w:rFonts w:eastAsia="Calibri"/>
          <w:sz w:val="26"/>
          <w:szCs w:val="26"/>
          <w:lang w:eastAsia="en-US"/>
        </w:rPr>
        <w:t xml:space="preserve"> Bancomer, Banamex y Banorte concentraron el 71% del total, es decir, </w:t>
      </w:r>
      <w:r w:rsidR="00E71F93">
        <w:rPr>
          <w:rFonts w:eastAsia="Calibri"/>
          <w:sz w:val="26"/>
          <w:szCs w:val="26"/>
          <w:lang w:eastAsia="en-US"/>
        </w:rPr>
        <w:t>siete</w:t>
      </w:r>
      <w:r w:rsidRPr="009B7818">
        <w:rPr>
          <w:rFonts w:eastAsia="Calibri"/>
          <w:sz w:val="26"/>
          <w:szCs w:val="26"/>
          <w:lang w:eastAsia="en-US"/>
        </w:rPr>
        <w:t xml:space="preserve"> de cada 10 pesos reclamados fueron de esas instituciones.</w:t>
      </w:r>
    </w:p>
    <w:p w14:paraId="2CED4D97"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Los productos con el mayor número de reclamaciones son la tarjeta de crédito y la tarjeta de débito ya que concentran 90% del total. La tarjeta de crédito si bien reporta una disminución de reclamaciones con respecto a 2013 de 11%, es el producto que tiene un mayor número de reclamaciones, al registrar 2.4 millones.</w:t>
      </w:r>
    </w:p>
    <w:p w14:paraId="26C654C0"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Por lo que respecta a la tarjeta de débito, se observa un aumento de 25% de las reclamaciones registradas en 2014, llegando a 1.4 millones de reclamaciones.</w:t>
      </w:r>
    </w:p>
    <w:p w14:paraId="21AE1AC0" w14:textId="77777777" w:rsid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En cuanto al monto reclamado, los “depósitos a la vista” concentraron casi el 50% del total, y respecto al número de reclamaciones tuvo un aumento de 14 por ciento.</w:t>
      </w:r>
    </w:p>
    <w:tbl>
      <w:tblPr>
        <w:tblW w:w="9686"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1465"/>
        <w:gridCol w:w="992"/>
        <w:gridCol w:w="992"/>
        <w:gridCol w:w="614"/>
        <w:gridCol w:w="1276"/>
        <w:gridCol w:w="709"/>
        <w:gridCol w:w="1276"/>
        <w:gridCol w:w="708"/>
        <w:gridCol w:w="804"/>
        <w:gridCol w:w="850"/>
      </w:tblGrid>
      <w:tr w:rsidR="005B5C5D" w:rsidRPr="005B5C5D" w14:paraId="080DD870" w14:textId="77777777" w:rsidTr="005B5C5D">
        <w:trPr>
          <w:trHeight w:val="106"/>
          <w:jc w:val="center"/>
        </w:trPr>
        <w:tc>
          <w:tcPr>
            <w:tcW w:w="9686" w:type="dxa"/>
            <w:gridSpan w:val="10"/>
            <w:tcBorders>
              <w:top w:val="nil"/>
              <w:left w:val="nil"/>
              <w:bottom w:val="single" w:sz="2" w:space="0" w:color="auto"/>
              <w:right w:val="nil"/>
            </w:tcBorders>
            <w:shd w:val="clear" w:color="auto" w:fill="auto"/>
            <w:vAlign w:val="center"/>
          </w:tcPr>
          <w:p w14:paraId="6EA9ED9F" w14:textId="77777777" w:rsidR="009B7818" w:rsidRPr="005B5C5D" w:rsidRDefault="009B7818" w:rsidP="009B7818">
            <w:pPr>
              <w:autoSpaceDE w:val="0"/>
              <w:autoSpaceDN w:val="0"/>
              <w:adjustRightInd w:val="0"/>
              <w:spacing w:after="120"/>
              <w:jc w:val="center"/>
              <w:rPr>
                <w:rFonts w:eastAsia="Calibri"/>
                <w:b/>
                <w:sz w:val="22"/>
                <w:szCs w:val="22"/>
                <w:lang w:eastAsia="en-US"/>
              </w:rPr>
            </w:pPr>
            <w:r w:rsidRPr="005B5C5D">
              <w:rPr>
                <w:rFonts w:eastAsia="Calibri"/>
                <w:b/>
                <w:bCs/>
                <w:sz w:val="22"/>
                <w:szCs w:val="22"/>
                <w:lang w:eastAsia="en-US"/>
              </w:rPr>
              <w:t>PRODUCTOS CON EL MAYOR NÚMERO DE RECLAMACIONES</w:t>
            </w:r>
          </w:p>
        </w:tc>
      </w:tr>
      <w:tr w:rsidR="005B5C5D" w:rsidRPr="005B5C5D" w14:paraId="5B7A312D" w14:textId="77777777" w:rsidTr="005B5C5D">
        <w:trPr>
          <w:trHeight w:val="106"/>
          <w:jc w:val="center"/>
        </w:trPr>
        <w:tc>
          <w:tcPr>
            <w:tcW w:w="1465"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1634F4EA" w14:textId="77777777" w:rsidR="009B7818" w:rsidRPr="005B5C5D" w:rsidRDefault="009B7818" w:rsidP="005B5C5D">
            <w:pPr>
              <w:autoSpaceDE w:val="0"/>
              <w:autoSpaceDN w:val="0"/>
              <w:adjustRightInd w:val="0"/>
              <w:jc w:val="center"/>
              <w:rPr>
                <w:rFonts w:eastAsia="Calibri"/>
                <w:b/>
                <w:bCs/>
                <w:sz w:val="18"/>
                <w:szCs w:val="18"/>
                <w:lang w:eastAsia="en-US"/>
              </w:rPr>
            </w:pPr>
            <w:r w:rsidRPr="005B5C5D">
              <w:rPr>
                <w:rFonts w:eastAsia="Calibri"/>
                <w:b/>
                <w:bCs/>
                <w:sz w:val="18"/>
                <w:szCs w:val="18"/>
                <w:lang w:eastAsia="en-US"/>
              </w:rPr>
              <w:t>Producto</w:t>
            </w:r>
          </w:p>
        </w:tc>
        <w:tc>
          <w:tcPr>
            <w:tcW w:w="992"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08A47FA4"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2013</w:t>
            </w:r>
          </w:p>
        </w:tc>
        <w:tc>
          <w:tcPr>
            <w:tcW w:w="992"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29C166C2"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2014</w:t>
            </w:r>
          </w:p>
        </w:tc>
        <w:tc>
          <w:tcPr>
            <w:tcW w:w="614" w:type="dxa"/>
            <w:vMerge w:val="restart"/>
            <w:tcBorders>
              <w:top w:val="single" w:sz="2" w:space="0" w:color="auto"/>
              <w:left w:val="single" w:sz="2" w:space="0" w:color="auto"/>
              <w:bottom w:val="single" w:sz="2" w:space="0" w:color="auto"/>
              <w:right w:val="single" w:sz="2" w:space="0" w:color="auto"/>
            </w:tcBorders>
            <w:shd w:val="clear" w:color="auto" w:fill="auto"/>
            <w:vAlign w:val="center"/>
          </w:tcPr>
          <w:p w14:paraId="7B8FF272"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Var</w:t>
            </w:r>
          </w:p>
          <w:p w14:paraId="5C54F4AD"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w:t>
            </w:r>
          </w:p>
        </w:tc>
        <w:tc>
          <w:tcPr>
            <w:tcW w:w="198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23B7507"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2013</w:t>
            </w:r>
          </w:p>
        </w:tc>
        <w:tc>
          <w:tcPr>
            <w:tcW w:w="1984" w:type="dxa"/>
            <w:gridSpan w:val="2"/>
            <w:tcBorders>
              <w:top w:val="single" w:sz="2" w:space="0" w:color="auto"/>
              <w:left w:val="single" w:sz="2" w:space="0" w:color="auto"/>
              <w:bottom w:val="single" w:sz="2" w:space="0" w:color="auto"/>
              <w:right w:val="single" w:sz="2" w:space="0" w:color="auto"/>
            </w:tcBorders>
            <w:shd w:val="clear" w:color="auto" w:fill="auto"/>
          </w:tcPr>
          <w:p w14:paraId="7E0561C2"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2014</w:t>
            </w:r>
          </w:p>
        </w:tc>
        <w:tc>
          <w:tcPr>
            <w:tcW w:w="804" w:type="dxa"/>
            <w:tcBorders>
              <w:top w:val="single" w:sz="2" w:space="0" w:color="auto"/>
              <w:left w:val="single" w:sz="2" w:space="0" w:color="auto"/>
              <w:bottom w:val="single" w:sz="2" w:space="0" w:color="auto"/>
              <w:right w:val="single" w:sz="2" w:space="0" w:color="auto"/>
            </w:tcBorders>
            <w:shd w:val="clear" w:color="auto" w:fill="auto"/>
          </w:tcPr>
          <w:p w14:paraId="2F8455F9"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2013</w:t>
            </w:r>
          </w:p>
        </w:tc>
        <w:tc>
          <w:tcPr>
            <w:tcW w:w="850" w:type="dxa"/>
            <w:tcBorders>
              <w:top w:val="single" w:sz="2" w:space="0" w:color="auto"/>
              <w:left w:val="single" w:sz="2" w:space="0" w:color="auto"/>
              <w:bottom w:val="single" w:sz="2" w:space="0" w:color="auto"/>
              <w:right w:val="single" w:sz="2" w:space="0" w:color="auto"/>
            </w:tcBorders>
            <w:shd w:val="clear" w:color="auto" w:fill="auto"/>
          </w:tcPr>
          <w:p w14:paraId="02E30D19"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2014</w:t>
            </w:r>
          </w:p>
        </w:tc>
      </w:tr>
      <w:tr w:rsidR="005B5C5D" w:rsidRPr="005B5C5D" w14:paraId="37F7A713" w14:textId="77777777" w:rsidTr="005B5C5D">
        <w:trPr>
          <w:trHeight w:val="106"/>
          <w:jc w:val="center"/>
        </w:trPr>
        <w:tc>
          <w:tcPr>
            <w:tcW w:w="1465" w:type="dxa"/>
            <w:vMerge/>
            <w:tcBorders>
              <w:top w:val="single" w:sz="2" w:space="0" w:color="auto"/>
              <w:left w:val="single" w:sz="2" w:space="0" w:color="auto"/>
              <w:bottom w:val="single" w:sz="2" w:space="0" w:color="auto"/>
              <w:right w:val="single" w:sz="2" w:space="0" w:color="auto"/>
            </w:tcBorders>
            <w:shd w:val="clear" w:color="auto" w:fill="auto"/>
            <w:vAlign w:val="center"/>
          </w:tcPr>
          <w:p w14:paraId="79BD74EC" w14:textId="77777777" w:rsidR="009B7818" w:rsidRPr="005B5C5D" w:rsidRDefault="009B7818" w:rsidP="009B7818">
            <w:pPr>
              <w:autoSpaceDE w:val="0"/>
              <w:autoSpaceDN w:val="0"/>
              <w:adjustRightInd w:val="0"/>
              <w:jc w:val="both"/>
              <w:rPr>
                <w:rFonts w:eastAsia="Calibri"/>
                <w:b/>
                <w:bCs/>
                <w:sz w:val="18"/>
                <w:szCs w:val="18"/>
                <w:lang w:eastAsia="en-US"/>
              </w:rPr>
            </w:pPr>
          </w:p>
        </w:tc>
        <w:tc>
          <w:tcPr>
            <w:tcW w:w="992" w:type="dxa"/>
            <w:vMerge/>
            <w:tcBorders>
              <w:top w:val="single" w:sz="2" w:space="0" w:color="auto"/>
              <w:left w:val="single" w:sz="2" w:space="0" w:color="auto"/>
              <w:bottom w:val="single" w:sz="2" w:space="0" w:color="auto"/>
              <w:right w:val="single" w:sz="2" w:space="0" w:color="auto"/>
            </w:tcBorders>
            <w:shd w:val="clear" w:color="auto" w:fill="auto"/>
            <w:vAlign w:val="center"/>
          </w:tcPr>
          <w:p w14:paraId="743B6FF3" w14:textId="77777777" w:rsidR="009B7818" w:rsidRPr="005B5C5D" w:rsidRDefault="009B7818" w:rsidP="009B7818">
            <w:pPr>
              <w:autoSpaceDE w:val="0"/>
              <w:autoSpaceDN w:val="0"/>
              <w:adjustRightInd w:val="0"/>
              <w:jc w:val="center"/>
              <w:rPr>
                <w:rFonts w:eastAsia="Calibri"/>
                <w:b/>
                <w:sz w:val="18"/>
                <w:szCs w:val="18"/>
                <w:lang w:eastAsia="en-US"/>
              </w:rPr>
            </w:pPr>
          </w:p>
        </w:tc>
        <w:tc>
          <w:tcPr>
            <w:tcW w:w="992" w:type="dxa"/>
            <w:vMerge/>
            <w:tcBorders>
              <w:top w:val="single" w:sz="2" w:space="0" w:color="auto"/>
              <w:left w:val="single" w:sz="2" w:space="0" w:color="auto"/>
              <w:bottom w:val="single" w:sz="2" w:space="0" w:color="auto"/>
              <w:right w:val="single" w:sz="2" w:space="0" w:color="auto"/>
            </w:tcBorders>
            <w:shd w:val="clear" w:color="auto" w:fill="auto"/>
            <w:vAlign w:val="center"/>
          </w:tcPr>
          <w:p w14:paraId="2742C4F9" w14:textId="77777777" w:rsidR="009B7818" w:rsidRPr="005B5C5D" w:rsidRDefault="009B7818" w:rsidP="009B7818">
            <w:pPr>
              <w:autoSpaceDE w:val="0"/>
              <w:autoSpaceDN w:val="0"/>
              <w:adjustRightInd w:val="0"/>
              <w:jc w:val="center"/>
              <w:rPr>
                <w:rFonts w:eastAsia="Calibri"/>
                <w:b/>
                <w:sz w:val="18"/>
                <w:szCs w:val="18"/>
                <w:lang w:eastAsia="en-US"/>
              </w:rPr>
            </w:pPr>
          </w:p>
        </w:tc>
        <w:tc>
          <w:tcPr>
            <w:tcW w:w="614" w:type="dxa"/>
            <w:vMerge/>
            <w:tcBorders>
              <w:top w:val="single" w:sz="2" w:space="0" w:color="auto"/>
              <w:left w:val="single" w:sz="2" w:space="0" w:color="auto"/>
              <w:bottom w:val="single" w:sz="2" w:space="0" w:color="auto"/>
              <w:right w:val="single" w:sz="2" w:space="0" w:color="auto"/>
            </w:tcBorders>
            <w:shd w:val="clear" w:color="auto" w:fill="auto"/>
            <w:vAlign w:val="center"/>
          </w:tcPr>
          <w:p w14:paraId="478B5C7F" w14:textId="77777777" w:rsidR="009B7818" w:rsidRPr="005B5C5D" w:rsidRDefault="009B7818" w:rsidP="009B7818">
            <w:pPr>
              <w:autoSpaceDE w:val="0"/>
              <w:autoSpaceDN w:val="0"/>
              <w:adjustRightInd w:val="0"/>
              <w:jc w:val="center"/>
              <w:rPr>
                <w:rFonts w:eastAsia="Calibri"/>
                <w:b/>
                <w:sz w:val="18"/>
                <w:szCs w:val="18"/>
                <w:lang w:eastAsia="en-US"/>
              </w:rPr>
            </w:pP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48685E63"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Monto reclamado</w:t>
            </w:r>
          </w:p>
        </w:tc>
        <w:tc>
          <w:tcPr>
            <w:tcW w:w="709" w:type="dxa"/>
            <w:tcBorders>
              <w:top w:val="single" w:sz="2" w:space="0" w:color="auto"/>
              <w:left w:val="single" w:sz="2" w:space="0" w:color="auto"/>
              <w:bottom w:val="single" w:sz="2" w:space="0" w:color="auto"/>
              <w:right w:val="single" w:sz="2" w:space="0" w:color="auto"/>
            </w:tcBorders>
            <w:shd w:val="clear" w:color="auto" w:fill="auto"/>
            <w:vAlign w:val="center"/>
          </w:tcPr>
          <w:p w14:paraId="66F9C52B"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 de abono</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center"/>
          </w:tcPr>
          <w:p w14:paraId="170DEE39"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Monto reclamado</w:t>
            </w:r>
          </w:p>
        </w:tc>
        <w:tc>
          <w:tcPr>
            <w:tcW w:w="708" w:type="dxa"/>
            <w:tcBorders>
              <w:top w:val="single" w:sz="2" w:space="0" w:color="auto"/>
              <w:left w:val="single" w:sz="2" w:space="0" w:color="auto"/>
              <w:bottom w:val="single" w:sz="2" w:space="0" w:color="auto"/>
              <w:right w:val="single" w:sz="2" w:space="0" w:color="auto"/>
            </w:tcBorders>
            <w:shd w:val="clear" w:color="auto" w:fill="auto"/>
            <w:vAlign w:val="center"/>
          </w:tcPr>
          <w:p w14:paraId="0C78ADE4"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 de</w:t>
            </w:r>
          </w:p>
          <w:p w14:paraId="0CB3CB9D"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abono</w:t>
            </w:r>
          </w:p>
        </w:tc>
        <w:tc>
          <w:tcPr>
            <w:tcW w:w="165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6896F9F5"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Resuelven a favor</w:t>
            </w:r>
          </w:p>
          <w:p w14:paraId="0300277D" w14:textId="77777777" w:rsidR="009B7818" w:rsidRPr="005B5C5D" w:rsidRDefault="009B7818" w:rsidP="009B7818">
            <w:pPr>
              <w:autoSpaceDE w:val="0"/>
              <w:autoSpaceDN w:val="0"/>
              <w:adjustRightInd w:val="0"/>
              <w:jc w:val="center"/>
              <w:rPr>
                <w:rFonts w:eastAsia="Calibri"/>
                <w:b/>
                <w:sz w:val="18"/>
                <w:szCs w:val="18"/>
                <w:lang w:eastAsia="en-US"/>
              </w:rPr>
            </w:pPr>
            <w:r w:rsidRPr="005B5C5D">
              <w:rPr>
                <w:rFonts w:eastAsia="Calibri"/>
                <w:b/>
                <w:sz w:val="18"/>
                <w:szCs w:val="18"/>
                <w:lang w:eastAsia="en-US"/>
              </w:rPr>
              <w:t>del usuario</w:t>
            </w:r>
          </w:p>
        </w:tc>
      </w:tr>
      <w:tr w:rsidR="005B5C5D" w:rsidRPr="005B5C5D" w14:paraId="47D1D7F3" w14:textId="77777777" w:rsidTr="004D3FE5">
        <w:trPr>
          <w:trHeight w:val="106"/>
          <w:jc w:val="center"/>
        </w:trPr>
        <w:tc>
          <w:tcPr>
            <w:tcW w:w="1465" w:type="dxa"/>
            <w:tcBorders>
              <w:top w:val="single" w:sz="2" w:space="0" w:color="auto"/>
              <w:left w:val="single" w:sz="2" w:space="0" w:color="auto"/>
              <w:bottom w:val="nil"/>
              <w:right w:val="single" w:sz="2" w:space="0" w:color="auto"/>
            </w:tcBorders>
            <w:shd w:val="clear" w:color="auto" w:fill="auto"/>
            <w:vAlign w:val="center"/>
          </w:tcPr>
          <w:p w14:paraId="32D15461" w14:textId="77777777" w:rsidR="009B7818" w:rsidRPr="005B5C5D" w:rsidRDefault="009B7818" w:rsidP="009B7818">
            <w:pPr>
              <w:autoSpaceDE w:val="0"/>
              <w:autoSpaceDN w:val="0"/>
              <w:adjustRightInd w:val="0"/>
              <w:jc w:val="both"/>
              <w:rPr>
                <w:rFonts w:eastAsia="Calibri"/>
                <w:bCs/>
                <w:sz w:val="18"/>
                <w:szCs w:val="18"/>
                <w:lang w:eastAsia="en-US"/>
              </w:rPr>
            </w:pPr>
            <w:r w:rsidRPr="005B5C5D">
              <w:rPr>
                <w:rFonts w:eastAsia="Calibri"/>
                <w:bCs/>
                <w:sz w:val="18"/>
                <w:szCs w:val="18"/>
                <w:lang w:eastAsia="en-US"/>
              </w:rPr>
              <w:t>Tarjeta de crédito</w:t>
            </w:r>
          </w:p>
        </w:tc>
        <w:tc>
          <w:tcPr>
            <w:tcW w:w="992" w:type="dxa"/>
            <w:tcBorders>
              <w:top w:val="single" w:sz="2" w:space="0" w:color="auto"/>
              <w:left w:val="single" w:sz="2" w:space="0" w:color="auto"/>
              <w:bottom w:val="nil"/>
              <w:right w:val="single" w:sz="2" w:space="0" w:color="auto"/>
            </w:tcBorders>
            <w:shd w:val="clear" w:color="auto" w:fill="auto"/>
            <w:vAlign w:val="center"/>
          </w:tcPr>
          <w:p w14:paraId="239EDADE"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2 735 629</w:t>
            </w:r>
          </w:p>
        </w:tc>
        <w:tc>
          <w:tcPr>
            <w:tcW w:w="992" w:type="dxa"/>
            <w:tcBorders>
              <w:top w:val="single" w:sz="2" w:space="0" w:color="auto"/>
              <w:left w:val="single" w:sz="2" w:space="0" w:color="auto"/>
              <w:bottom w:val="nil"/>
              <w:right w:val="single" w:sz="2" w:space="0" w:color="auto"/>
            </w:tcBorders>
            <w:shd w:val="clear" w:color="auto" w:fill="auto"/>
            <w:vAlign w:val="center"/>
          </w:tcPr>
          <w:p w14:paraId="203F3105"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2 422 300</w:t>
            </w:r>
          </w:p>
        </w:tc>
        <w:tc>
          <w:tcPr>
            <w:tcW w:w="614" w:type="dxa"/>
            <w:tcBorders>
              <w:top w:val="single" w:sz="2" w:space="0" w:color="auto"/>
              <w:left w:val="single" w:sz="2" w:space="0" w:color="auto"/>
              <w:bottom w:val="nil"/>
              <w:right w:val="single" w:sz="2" w:space="0" w:color="auto"/>
            </w:tcBorders>
            <w:shd w:val="clear" w:color="auto" w:fill="auto"/>
            <w:vAlign w:val="center"/>
          </w:tcPr>
          <w:p w14:paraId="33485366" w14:textId="77777777" w:rsidR="009B7818" w:rsidRPr="005B5C5D" w:rsidRDefault="009B7818" w:rsidP="005B5C5D">
            <w:pPr>
              <w:autoSpaceDE w:val="0"/>
              <w:autoSpaceDN w:val="0"/>
              <w:adjustRightInd w:val="0"/>
              <w:ind w:right="85"/>
              <w:jc w:val="right"/>
              <w:rPr>
                <w:rFonts w:eastAsia="Calibri"/>
                <w:sz w:val="18"/>
                <w:szCs w:val="18"/>
                <w:lang w:eastAsia="en-US"/>
              </w:rPr>
            </w:pPr>
            <w:r w:rsidRPr="005B5C5D">
              <w:rPr>
                <w:rFonts w:eastAsia="Calibri"/>
                <w:sz w:val="18"/>
                <w:szCs w:val="18"/>
                <w:lang w:eastAsia="en-US"/>
              </w:rPr>
              <w:t>-11</w:t>
            </w:r>
          </w:p>
        </w:tc>
        <w:tc>
          <w:tcPr>
            <w:tcW w:w="1276" w:type="dxa"/>
            <w:tcBorders>
              <w:top w:val="single" w:sz="2" w:space="0" w:color="auto"/>
              <w:left w:val="single" w:sz="2" w:space="0" w:color="auto"/>
              <w:bottom w:val="nil"/>
              <w:right w:val="single" w:sz="2" w:space="0" w:color="auto"/>
            </w:tcBorders>
            <w:shd w:val="clear" w:color="auto" w:fill="auto"/>
            <w:vAlign w:val="center"/>
          </w:tcPr>
          <w:p w14:paraId="78B44DF0"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4 304 900 811</w:t>
            </w:r>
          </w:p>
        </w:tc>
        <w:tc>
          <w:tcPr>
            <w:tcW w:w="709" w:type="dxa"/>
            <w:tcBorders>
              <w:top w:val="single" w:sz="2" w:space="0" w:color="auto"/>
              <w:left w:val="single" w:sz="2" w:space="0" w:color="auto"/>
              <w:bottom w:val="nil"/>
              <w:right w:val="single" w:sz="2" w:space="0" w:color="auto"/>
            </w:tcBorders>
            <w:shd w:val="clear" w:color="auto" w:fill="auto"/>
            <w:vAlign w:val="center"/>
          </w:tcPr>
          <w:p w14:paraId="381EE0E1"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70</w:t>
            </w:r>
          </w:p>
        </w:tc>
        <w:tc>
          <w:tcPr>
            <w:tcW w:w="1276" w:type="dxa"/>
            <w:tcBorders>
              <w:top w:val="single" w:sz="2" w:space="0" w:color="auto"/>
              <w:left w:val="single" w:sz="2" w:space="0" w:color="auto"/>
              <w:bottom w:val="nil"/>
              <w:right w:val="single" w:sz="2" w:space="0" w:color="auto"/>
            </w:tcBorders>
            <w:shd w:val="clear" w:color="auto" w:fill="auto"/>
            <w:vAlign w:val="center"/>
          </w:tcPr>
          <w:p w14:paraId="13A5F8C6"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4 528 428 494</w:t>
            </w:r>
          </w:p>
        </w:tc>
        <w:tc>
          <w:tcPr>
            <w:tcW w:w="708" w:type="dxa"/>
            <w:tcBorders>
              <w:top w:val="single" w:sz="2" w:space="0" w:color="auto"/>
              <w:left w:val="single" w:sz="2" w:space="0" w:color="auto"/>
              <w:bottom w:val="nil"/>
              <w:right w:val="single" w:sz="2" w:space="0" w:color="auto"/>
            </w:tcBorders>
            <w:shd w:val="clear" w:color="auto" w:fill="auto"/>
            <w:vAlign w:val="center"/>
          </w:tcPr>
          <w:p w14:paraId="61458005"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61</w:t>
            </w:r>
          </w:p>
        </w:tc>
        <w:tc>
          <w:tcPr>
            <w:tcW w:w="804" w:type="dxa"/>
            <w:tcBorders>
              <w:top w:val="single" w:sz="2" w:space="0" w:color="auto"/>
              <w:left w:val="single" w:sz="2" w:space="0" w:color="auto"/>
              <w:bottom w:val="nil"/>
              <w:right w:val="single" w:sz="2" w:space="0" w:color="auto"/>
            </w:tcBorders>
            <w:shd w:val="clear" w:color="auto" w:fill="auto"/>
            <w:vAlign w:val="center"/>
          </w:tcPr>
          <w:p w14:paraId="424D3395"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82</w:t>
            </w:r>
          </w:p>
        </w:tc>
        <w:tc>
          <w:tcPr>
            <w:tcW w:w="850" w:type="dxa"/>
            <w:tcBorders>
              <w:top w:val="single" w:sz="2" w:space="0" w:color="auto"/>
              <w:left w:val="single" w:sz="2" w:space="0" w:color="auto"/>
              <w:bottom w:val="nil"/>
              <w:right w:val="single" w:sz="2" w:space="0" w:color="auto"/>
            </w:tcBorders>
            <w:shd w:val="clear" w:color="auto" w:fill="auto"/>
            <w:vAlign w:val="center"/>
          </w:tcPr>
          <w:p w14:paraId="26C0A6F5"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80</w:t>
            </w:r>
          </w:p>
        </w:tc>
      </w:tr>
      <w:tr w:rsidR="005B5C5D" w:rsidRPr="005B5C5D" w14:paraId="78FC5761" w14:textId="77777777" w:rsidTr="004D3FE5">
        <w:trPr>
          <w:trHeight w:val="106"/>
          <w:jc w:val="center"/>
        </w:trPr>
        <w:tc>
          <w:tcPr>
            <w:tcW w:w="1465" w:type="dxa"/>
            <w:tcBorders>
              <w:top w:val="nil"/>
              <w:left w:val="single" w:sz="2" w:space="0" w:color="auto"/>
              <w:bottom w:val="nil"/>
              <w:right w:val="single" w:sz="2" w:space="0" w:color="auto"/>
            </w:tcBorders>
            <w:shd w:val="clear" w:color="auto" w:fill="auto"/>
            <w:vAlign w:val="center"/>
          </w:tcPr>
          <w:p w14:paraId="5856620A" w14:textId="77777777" w:rsidR="009B7818" w:rsidRPr="005B5C5D" w:rsidRDefault="009B7818" w:rsidP="009B7818">
            <w:pPr>
              <w:autoSpaceDE w:val="0"/>
              <w:autoSpaceDN w:val="0"/>
              <w:adjustRightInd w:val="0"/>
              <w:jc w:val="both"/>
              <w:rPr>
                <w:rFonts w:eastAsia="Calibri"/>
                <w:bCs/>
                <w:sz w:val="18"/>
                <w:szCs w:val="18"/>
                <w:lang w:eastAsia="en-US"/>
              </w:rPr>
            </w:pPr>
            <w:r w:rsidRPr="005B5C5D">
              <w:rPr>
                <w:rFonts w:eastAsia="Calibri"/>
                <w:bCs/>
                <w:sz w:val="18"/>
                <w:szCs w:val="18"/>
                <w:lang w:eastAsia="en-US"/>
              </w:rPr>
              <w:t>Tarjeta de débito</w:t>
            </w:r>
          </w:p>
        </w:tc>
        <w:tc>
          <w:tcPr>
            <w:tcW w:w="992" w:type="dxa"/>
            <w:tcBorders>
              <w:top w:val="nil"/>
              <w:left w:val="single" w:sz="2" w:space="0" w:color="auto"/>
              <w:bottom w:val="nil"/>
              <w:right w:val="single" w:sz="2" w:space="0" w:color="auto"/>
            </w:tcBorders>
            <w:shd w:val="clear" w:color="auto" w:fill="auto"/>
            <w:vAlign w:val="center"/>
          </w:tcPr>
          <w:p w14:paraId="04FBEE88"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1 161 504</w:t>
            </w:r>
          </w:p>
        </w:tc>
        <w:tc>
          <w:tcPr>
            <w:tcW w:w="992" w:type="dxa"/>
            <w:tcBorders>
              <w:top w:val="nil"/>
              <w:left w:val="single" w:sz="2" w:space="0" w:color="auto"/>
              <w:bottom w:val="nil"/>
              <w:right w:val="single" w:sz="2" w:space="0" w:color="auto"/>
            </w:tcBorders>
            <w:shd w:val="clear" w:color="auto" w:fill="auto"/>
            <w:vAlign w:val="center"/>
          </w:tcPr>
          <w:p w14:paraId="4FFA832A"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1 446 950</w:t>
            </w:r>
          </w:p>
        </w:tc>
        <w:tc>
          <w:tcPr>
            <w:tcW w:w="614" w:type="dxa"/>
            <w:tcBorders>
              <w:top w:val="nil"/>
              <w:left w:val="single" w:sz="2" w:space="0" w:color="auto"/>
              <w:bottom w:val="nil"/>
              <w:right w:val="single" w:sz="2" w:space="0" w:color="auto"/>
            </w:tcBorders>
            <w:shd w:val="clear" w:color="auto" w:fill="auto"/>
            <w:vAlign w:val="center"/>
          </w:tcPr>
          <w:p w14:paraId="5886BF18" w14:textId="77777777" w:rsidR="009B7818" w:rsidRPr="005B5C5D" w:rsidRDefault="009B7818" w:rsidP="005B5C5D">
            <w:pPr>
              <w:autoSpaceDE w:val="0"/>
              <w:autoSpaceDN w:val="0"/>
              <w:adjustRightInd w:val="0"/>
              <w:ind w:right="85"/>
              <w:jc w:val="right"/>
              <w:rPr>
                <w:rFonts w:eastAsia="Calibri"/>
                <w:sz w:val="18"/>
                <w:szCs w:val="18"/>
                <w:lang w:eastAsia="en-US"/>
              </w:rPr>
            </w:pPr>
            <w:r w:rsidRPr="005B5C5D">
              <w:rPr>
                <w:rFonts w:eastAsia="Calibri"/>
                <w:sz w:val="18"/>
                <w:szCs w:val="18"/>
                <w:lang w:eastAsia="en-US"/>
              </w:rPr>
              <w:t>25</w:t>
            </w:r>
          </w:p>
        </w:tc>
        <w:tc>
          <w:tcPr>
            <w:tcW w:w="1276" w:type="dxa"/>
            <w:tcBorders>
              <w:top w:val="nil"/>
              <w:left w:val="single" w:sz="2" w:space="0" w:color="auto"/>
              <w:bottom w:val="nil"/>
              <w:right w:val="single" w:sz="2" w:space="0" w:color="auto"/>
            </w:tcBorders>
            <w:shd w:val="clear" w:color="auto" w:fill="auto"/>
            <w:vAlign w:val="center"/>
          </w:tcPr>
          <w:p w14:paraId="445DD795"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2 076 960 855</w:t>
            </w:r>
          </w:p>
        </w:tc>
        <w:tc>
          <w:tcPr>
            <w:tcW w:w="709" w:type="dxa"/>
            <w:tcBorders>
              <w:top w:val="nil"/>
              <w:left w:val="single" w:sz="2" w:space="0" w:color="auto"/>
              <w:bottom w:val="nil"/>
              <w:right w:val="single" w:sz="2" w:space="0" w:color="auto"/>
            </w:tcBorders>
            <w:shd w:val="clear" w:color="auto" w:fill="auto"/>
            <w:vAlign w:val="center"/>
          </w:tcPr>
          <w:p w14:paraId="5F243D21"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68</w:t>
            </w:r>
          </w:p>
        </w:tc>
        <w:tc>
          <w:tcPr>
            <w:tcW w:w="1276" w:type="dxa"/>
            <w:tcBorders>
              <w:top w:val="nil"/>
              <w:left w:val="single" w:sz="2" w:space="0" w:color="auto"/>
              <w:bottom w:val="nil"/>
              <w:right w:val="single" w:sz="2" w:space="0" w:color="auto"/>
            </w:tcBorders>
            <w:shd w:val="clear" w:color="auto" w:fill="auto"/>
            <w:vAlign w:val="center"/>
          </w:tcPr>
          <w:p w14:paraId="0C49F834"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2 576 098 919</w:t>
            </w:r>
          </w:p>
        </w:tc>
        <w:tc>
          <w:tcPr>
            <w:tcW w:w="708" w:type="dxa"/>
            <w:tcBorders>
              <w:top w:val="nil"/>
              <w:left w:val="single" w:sz="2" w:space="0" w:color="auto"/>
              <w:bottom w:val="nil"/>
              <w:right w:val="single" w:sz="2" w:space="0" w:color="auto"/>
            </w:tcBorders>
            <w:shd w:val="clear" w:color="auto" w:fill="auto"/>
            <w:vAlign w:val="center"/>
          </w:tcPr>
          <w:p w14:paraId="0CC394DF"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58</w:t>
            </w:r>
          </w:p>
        </w:tc>
        <w:tc>
          <w:tcPr>
            <w:tcW w:w="804" w:type="dxa"/>
            <w:tcBorders>
              <w:top w:val="nil"/>
              <w:left w:val="single" w:sz="2" w:space="0" w:color="auto"/>
              <w:bottom w:val="nil"/>
              <w:right w:val="single" w:sz="2" w:space="0" w:color="auto"/>
            </w:tcBorders>
            <w:shd w:val="clear" w:color="auto" w:fill="auto"/>
            <w:vAlign w:val="center"/>
          </w:tcPr>
          <w:p w14:paraId="4632E868"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69</w:t>
            </w:r>
          </w:p>
        </w:tc>
        <w:tc>
          <w:tcPr>
            <w:tcW w:w="850" w:type="dxa"/>
            <w:tcBorders>
              <w:top w:val="nil"/>
              <w:left w:val="single" w:sz="2" w:space="0" w:color="auto"/>
              <w:bottom w:val="nil"/>
              <w:right w:val="single" w:sz="2" w:space="0" w:color="auto"/>
            </w:tcBorders>
            <w:shd w:val="clear" w:color="auto" w:fill="auto"/>
            <w:vAlign w:val="center"/>
          </w:tcPr>
          <w:p w14:paraId="2A0ABCDE"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72</w:t>
            </w:r>
          </w:p>
        </w:tc>
      </w:tr>
      <w:tr w:rsidR="005B5C5D" w:rsidRPr="005B5C5D" w14:paraId="6226C56F" w14:textId="77777777" w:rsidTr="004D3FE5">
        <w:trPr>
          <w:trHeight w:val="106"/>
          <w:jc w:val="center"/>
        </w:trPr>
        <w:tc>
          <w:tcPr>
            <w:tcW w:w="1465" w:type="dxa"/>
            <w:tcBorders>
              <w:top w:val="nil"/>
              <w:left w:val="single" w:sz="2" w:space="0" w:color="auto"/>
              <w:bottom w:val="single" w:sz="2" w:space="0" w:color="auto"/>
              <w:right w:val="single" w:sz="2" w:space="0" w:color="auto"/>
            </w:tcBorders>
            <w:shd w:val="clear" w:color="auto" w:fill="auto"/>
            <w:vAlign w:val="center"/>
          </w:tcPr>
          <w:p w14:paraId="03B11010" w14:textId="77777777" w:rsidR="009B7818" w:rsidRPr="005B5C5D" w:rsidRDefault="009B7818" w:rsidP="009B7818">
            <w:pPr>
              <w:autoSpaceDE w:val="0"/>
              <w:autoSpaceDN w:val="0"/>
              <w:adjustRightInd w:val="0"/>
              <w:jc w:val="both"/>
              <w:rPr>
                <w:rFonts w:eastAsia="Calibri"/>
                <w:bCs/>
                <w:sz w:val="18"/>
                <w:szCs w:val="18"/>
                <w:lang w:eastAsia="en-US"/>
              </w:rPr>
            </w:pPr>
            <w:r w:rsidRPr="005B5C5D">
              <w:rPr>
                <w:rFonts w:eastAsia="Calibri"/>
                <w:bCs/>
                <w:sz w:val="18"/>
                <w:szCs w:val="18"/>
                <w:lang w:eastAsia="en-US"/>
              </w:rPr>
              <w:t>Depósito a la vista</w:t>
            </w:r>
          </w:p>
        </w:tc>
        <w:tc>
          <w:tcPr>
            <w:tcW w:w="992" w:type="dxa"/>
            <w:tcBorders>
              <w:top w:val="nil"/>
              <w:left w:val="single" w:sz="2" w:space="0" w:color="auto"/>
              <w:bottom w:val="single" w:sz="2" w:space="0" w:color="auto"/>
              <w:right w:val="single" w:sz="2" w:space="0" w:color="auto"/>
            </w:tcBorders>
            <w:shd w:val="clear" w:color="auto" w:fill="auto"/>
            <w:vAlign w:val="center"/>
          </w:tcPr>
          <w:p w14:paraId="3AC1F7FA"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426 446</w:t>
            </w:r>
          </w:p>
        </w:tc>
        <w:tc>
          <w:tcPr>
            <w:tcW w:w="992" w:type="dxa"/>
            <w:tcBorders>
              <w:top w:val="nil"/>
              <w:left w:val="single" w:sz="2" w:space="0" w:color="auto"/>
              <w:bottom w:val="single" w:sz="2" w:space="0" w:color="auto"/>
              <w:right w:val="single" w:sz="2" w:space="0" w:color="auto"/>
            </w:tcBorders>
            <w:shd w:val="clear" w:color="auto" w:fill="auto"/>
            <w:vAlign w:val="center"/>
          </w:tcPr>
          <w:p w14:paraId="3E52F435" w14:textId="77777777" w:rsidR="009B7818" w:rsidRPr="005B5C5D" w:rsidRDefault="009B7818" w:rsidP="00E71F93">
            <w:pPr>
              <w:autoSpaceDE w:val="0"/>
              <w:autoSpaceDN w:val="0"/>
              <w:adjustRightInd w:val="0"/>
              <w:ind w:left="-57" w:right="57"/>
              <w:jc w:val="right"/>
              <w:rPr>
                <w:rFonts w:eastAsia="Calibri"/>
                <w:sz w:val="18"/>
                <w:szCs w:val="18"/>
                <w:lang w:eastAsia="en-US"/>
              </w:rPr>
            </w:pPr>
            <w:r w:rsidRPr="005B5C5D">
              <w:rPr>
                <w:rFonts w:eastAsia="Calibri"/>
                <w:sz w:val="18"/>
                <w:szCs w:val="18"/>
                <w:lang w:eastAsia="en-US"/>
              </w:rPr>
              <w:t>486 298</w:t>
            </w:r>
          </w:p>
        </w:tc>
        <w:tc>
          <w:tcPr>
            <w:tcW w:w="614" w:type="dxa"/>
            <w:tcBorders>
              <w:top w:val="nil"/>
              <w:left w:val="single" w:sz="2" w:space="0" w:color="auto"/>
              <w:bottom w:val="single" w:sz="2" w:space="0" w:color="auto"/>
              <w:right w:val="single" w:sz="2" w:space="0" w:color="auto"/>
            </w:tcBorders>
            <w:shd w:val="clear" w:color="auto" w:fill="auto"/>
            <w:vAlign w:val="center"/>
          </w:tcPr>
          <w:p w14:paraId="0F6F6C8C" w14:textId="77777777" w:rsidR="009B7818" w:rsidRPr="005B5C5D" w:rsidRDefault="009B7818" w:rsidP="005B5C5D">
            <w:pPr>
              <w:autoSpaceDE w:val="0"/>
              <w:autoSpaceDN w:val="0"/>
              <w:adjustRightInd w:val="0"/>
              <w:ind w:right="85"/>
              <w:jc w:val="right"/>
              <w:rPr>
                <w:rFonts w:eastAsia="Calibri"/>
                <w:sz w:val="18"/>
                <w:szCs w:val="18"/>
                <w:lang w:eastAsia="en-US"/>
              </w:rPr>
            </w:pPr>
            <w:r w:rsidRPr="005B5C5D">
              <w:rPr>
                <w:rFonts w:eastAsia="Calibri"/>
                <w:sz w:val="18"/>
                <w:szCs w:val="18"/>
                <w:lang w:eastAsia="en-US"/>
              </w:rPr>
              <w:t>14</w:t>
            </w:r>
          </w:p>
        </w:tc>
        <w:tc>
          <w:tcPr>
            <w:tcW w:w="1276" w:type="dxa"/>
            <w:tcBorders>
              <w:top w:val="nil"/>
              <w:left w:val="single" w:sz="2" w:space="0" w:color="auto"/>
              <w:bottom w:val="single" w:sz="2" w:space="0" w:color="auto"/>
              <w:right w:val="single" w:sz="2" w:space="0" w:color="auto"/>
            </w:tcBorders>
            <w:shd w:val="clear" w:color="auto" w:fill="auto"/>
            <w:vAlign w:val="center"/>
          </w:tcPr>
          <w:p w14:paraId="40A401CA"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5 668 506 569</w:t>
            </w:r>
          </w:p>
        </w:tc>
        <w:tc>
          <w:tcPr>
            <w:tcW w:w="709" w:type="dxa"/>
            <w:tcBorders>
              <w:top w:val="nil"/>
              <w:left w:val="single" w:sz="2" w:space="0" w:color="auto"/>
              <w:bottom w:val="single" w:sz="2" w:space="0" w:color="auto"/>
              <w:right w:val="single" w:sz="2" w:space="0" w:color="auto"/>
            </w:tcBorders>
            <w:shd w:val="clear" w:color="auto" w:fill="auto"/>
            <w:vAlign w:val="center"/>
          </w:tcPr>
          <w:p w14:paraId="6EE56E6F"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31</w:t>
            </w:r>
          </w:p>
        </w:tc>
        <w:tc>
          <w:tcPr>
            <w:tcW w:w="1276" w:type="dxa"/>
            <w:tcBorders>
              <w:top w:val="nil"/>
              <w:left w:val="single" w:sz="2" w:space="0" w:color="auto"/>
              <w:bottom w:val="single" w:sz="2" w:space="0" w:color="auto"/>
              <w:right w:val="single" w:sz="2" w:space="0" w:color="auto"/>
            </w:tcBorders>
            <w:shd w:val="clear" w:color="auto" w:fill="auto"/>
            <w:vAlign w:val="center"/>
          </w:tcPr>
          <w:p w14:paraId="72CA802C" w14:textId="77777777" w:rsidR="009B7818" w:rsidRPr="005B5C5D" w:rsidRDefault="009B7818" w:rsidP="009B7818">
            <w:pPr>
              <w:autoSpaceDE w:val="0"/>
              <w:autoSpaceDN w:val="0"/>
              <w:adjustRightInd w:val="0"/>
              <w:jc w:val="center"/>
              <w:rPr>
                <w:rFonts w:eastAsia="Calibri"/>
                <w:sz w:val="18"/>
                <w:szCs w:val="18"/>
                <w:lang w:eastAsia="en-US"/>
              </w:rPr>
            </w:pPr>
            <w:r w:rsidRPr="005B5C5D">
              <w:rPr>
                <w:rFonts w:eastAsia="Calibri"/>
                <w:sz w:val="18"/>
                <w:szCs w:val="18"/>
                <w:lang w:eastAsia="en-US"/>
              </w:rPr>
              <w:t>6 671 161 206</w:t>
            </w:r>
          </w:p>
        </w:tc>
        <w:tc>
          <w:tcPr>
            <w:tcW w:w="708" w:type="dxa"/>
            <w:tcBorders>
              <w:top w:val="nil"/>
              <w:left w:val="single" w:sz="2" w:space="0" w:color="auto"/>
              <w:bottom w:val="single" w:sz="2" w:space="0" w:color="auto"/>
              <w:right w:val="single" w:sz="2" w:space="0" w:color="auto"/>
            </w:tcBorders>
            <w:shd w:val="clear" w:color="auto" w:fill="auto"/>
            <w:vAlign w:val="center"/>
          </w:tcPr>
          <w:p w14:paraId="5DA40EE5"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31</w:t>
            </w:r>
          </w:p>
        </w:tc>
        <w:tc>
          <w:tcPr>
            <w:tcW w:w="804" w:type="dxa"/>
            <w:tcBorders>
              <w:top w:val="nil"/>
              <w:left w:val="single" w:sz="2" w:space="0" w:color="auto"/>
              <w:bottom w:val="single" w:sz="2" w:space="0" w:color="auto"/>
              <w:right w:val="single" w:sz="2" w:space="0" w:color="auto"/>
            </w:tcBorders>
            <w:shd w:val="clear" w:color="auto" w:fill="auto"/>
            <w:vAlign w:val="center"/>
          </w:tcPr>
          <w:p w14:paraId="79DC4B38"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48</w:t>
            </w:r>
          </w:p>
        </w:tc>
        <w:tc>
          <w:tcPr>
            <w:tcW w:w="850" w:type="dxa"/>
            <w:tcBorders>
              <w:top w:val="nil"/>
              <w:left w:val="single" w:sz="2" w:space="0" w:color="auto"/>
              <w:bottom w:val="single" w:sz="2" w:space="0" w:color="auto"/>
              <w:right w:val="single" w:sz="2" w:space="0" w:color="auto"/>
            </w:tcBorders>
            <w:shd w:val="clear" w:color="auto" w:fill="auto"/>
            <w:vAlign w:val="center"/>
          </w:tcPr>
          <w:p w14:paraId="133E8FFE" w14:textId="77777777" w:rsidR="009B7818" w:rsidRPr="005B5C5D" w:rsidRDefault="009B7818" w:rsidP="005B5C5D">
            <w:pPr>
              <w:autoSpaceDE w:val="0"/>
              <w:autoSpaceDN w:val="0"/>
              <w:adjustRightInd w:val="0"/>
              <w:jc w:val="center"/>
              <w:rPr>
                <w:rFonts w:eastAsia="Calibri"/>
                <w:sz w:val="18"/>
                <w:szCs w:val="18"/>
                <w:lang w:eastAsia="en-US"/>
              </w:rPr>
            </w:pPr>
            <w:r w:rsidRPr="005B5C5D">
              <w:rPr>
                <w:rFonts w:eastAsia="Calibri"/>
                <w:sz w:val="18"/>
                <w:szCs w:val="18"/>
                <w:lang w:eastAsia="en-US"/>
              </w:rPr>
              <w:t>47</w:t>
            </w:r>
          </w:p>
        </w:tc>
      </w:tr>
      <w:tr w:rsidR="005B5C5D" w:rsidRPr="005B5C5D" w14:paraId="024EDC33" w14:textId="77777777" w:rsidTr="005B5C5D">
        <w:trPr>
          <w:trHeight w:val="106"/>
          <w:jc w:val="center"/>
        </w:trPr>
        <w:tc>
          <w:tcPr>
            <w:tcW w:w="9686" w:type="dxa"/>
            <w:gridSpan w:val="10"/>
            <w:tcBorders>
              <w:top w:val="single" w:sz="2" w:space="0" w:color="auto"/>
              <w:left w:val="nil"/>
              <w:bottom w:val="nil"/>
              <w:right w:val="nil"/>
            </w:tcBorders>
            <w:shd w:val="clear" w:color="auto" w:fill="auto"/>
            <w:vAlign w:val="center"/>
          </w:tcPr>
          <w:p w14:paraId="04711C14" w14:textId="77777777" w:rsidR="009B7818" w:rsidRPr="005B5C5D" w:rsidRDefault="009B7818" w:rsidP="009B7818">
            <w:pPr>
              <w:autoSpaceDE w:val="0"/>
              <w:autoSpaceDN w:val="0"/>
              <w:adjustRightInd w:val="0"/>
              <w:spacing w:before="120"/>
              <w:ind w:right="-159"/>
              <w:jc w:val="both"/>
              <w:rPr>
                <w:rFonts w:eastAsia="Calibri"/>
                <w:bCs/>
                <w:sz w:val="18"/>
                <w:szCs w:val="18"/>
                <w:lang w:eastAsia="en-US"/>
              </w:rPr>
            </w:pPr>
            <w:r w:rsidRPr="005B5C5D">
              <w:rPr>
                <w:rFonts w:eastAsia="Calibri"/>
                <w:bCs/>
                <w:sz w:val="18"/>
                <w:szCs w:val="18"/>
                <w:lang w:eastAsia="en-US"/>
              </w:rPr>
              <w:t>FUENTE: CONDUSEF</w:t>
            </w:r>
          </w:p>
        </w:tc>
      </w:tr>
    </w:tbl>
    <w:p w14:paraId="26623518" w14:textId="77777777" w:rsidR="009B7818" w:rsidRPr="009B7818" w:rsidRDefault="009B7818" w:rsidP="009B7818">
      <w:pPr>
        <w:spacing w:before="360" w:after="360" w:line="360" w:lineRule="auto"/>
        <w:ind w:right="-159"/>
        <w:jc w:val="both"/>
        <w:rPr>
          <w:rFonts w:eastAsia="Calibri"/>
          <w:sz w:val="26"/>
          <w:szCs w:val="26"/>
          <w:lang w:eastAsia="en-US"/>
        </w:rPr>
      </w:pPr>
      <w:r w:rsidRPr="009B7818">
        <w:rPr>
          <w:rFonts w:eastAsia="Calibri"/>
          <w:sz w:val="26"/>
          <w:szCs w:val="26"/>
          <w:lang w:eastAsia="en-US"/>
        </w:rPr>
        <w:t>En las reclamaciones por canal transaccional se observa que los pagos por celular tuvieron el mayor aumento con 942%, seguido de operaciones por internet de personas físicas con 90 por ciento.</w:t>
      </w:r>
    </w:p>
    <w:p w14:paraId="209BA5C7" w14:textId="77777777" w:rsid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lastRenderedPageBreak/>
        <w:t>La terminal punto de venta concentra el mayor número de reclamaciones (1 millón 954 mil 468), sin embargo, registra una disminución de 7% con respecto a las reportadas en 2013.</w:t>
      </w:r>
    </w:p>
    <w:tbl>
      <w:tblPr>
        <w:tblW w:w="8157"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3482"/>
        <w:gridCol w:w="1116"/>
        <w:gridCol w:w="782"/>
        <w:gridCol w:w="1116"/>
        <w:gridCol w:w="600"/>
        <w:gridCol w:w="1061"/>
      </w:tblGrid>
      <w:tr w:rsidR="009B7818" w:rsidRPr="009B7818" w14:paraId="672C7790" w14:textId="77777777" w:rsidTr="00DF39E8">
        <w:trPr>
          <w:trHeight w:val="106"/>
          <w:jc w:val="center"/>
        </w:trPr>
        <w:tc>
          <w:tcPr>
            <w:tcW w:w="8157" w:type="dxa"/>
            <w:gridSpan w:val="6"/>
            <w:tcBorders>
              <w:top w:val="nil"/>
              <w:left w:val="nil"/>
              <w:bottom w:val="single" w:sz="2" w:space="0" w:color="auto"/>
              <w:right w:val="nil"/>
            </w:tcBorders>
            <w:shd w:val="clear" w:color="auto" w:fill="auto"/>
            <w:vAlign w:val="center"/>
          </w:tcPr>
          <w:p w14:paraId="0E33756C" w14:textId="77777777" w:rsidR="009B7818" w:rsidRPr="00DF39E8" w:rsidRDefault="009B7818" w:rsidP="009B7818">
            <w:pPr>
              <w:autoSpaceDE w:val="0"/>
              <w:autoSpaceDN w:val="0"/>
              <w:adjustRightInd w:val="0"/>
              <w:spacing w:after="120"/>
              <w:jc w:val="center"/>
              <w:rPr>
                <w:rFonts w:eastAsia="Calibri"/>
                <w:b/>
                <w:sz w:val="22"/>
                <w:szCs w:val="22"/>
                <w:lang w:eastAsia="en-US"/>
              </w:rPr>
            </w:pPr>
            <w:r w:rsidRPr="00DF39E8">
              <w:rPr>
                <w:rFonts w:eastAsia="Calibri"/>
                <w:b/>
                <w:bCs/>
                <w:sz w:val="22"/>
                <w:szCs w:val="22"/>
                <w:lang w:eastAsia="en-US"/>
              </w:rPr>
              <w:t>RECLAMACIONES POR CANAL TRANSACCIONAL</w:t>
            </w:r>
          </w:p>
        </w:tc>
      </w:tr>
      <w:tr w:rsidR="009B7818" w:rsidRPr="009B7818" w14:paraId="683D2EB4" w14:textId="77777777" w:rsidTr="00DF39E8">
        <w:trPr>
          <w:trHeight w:val="106"/>
          <w:jc w:val="center"/>
        </w:trPr>
        <w:tc>
          <w:tcPr>
            <w:tcW w:w="3482" w:type="dxa"/>
            <w:tcBorders>
              <w:top w:val="single" w:sz="2" w:space="0" w:color="auto"/>
              <w:left w:val="single" w:sz="2" w:space="0" w:color="auto"/>
              <w:bottom w:val="single" w:sz="2" w:space="0" w:color="auto"/>
              <w:right w:val="single" w:sz="2" w:space="0" w:color="auto"/>
            </w:tcBorders>
            <w:shd w:val="clear" w:color="auto" w:fill="auto"/>
            <w:vAlign w:val="center"/>
          </w:tcPr>
          <w:p w14:paraId="2FF3CC85" w14:textId="77777777" w:rsidR="009B7818" w:rsidRPr="00DF39E8" w:rsidRDefault="009B7818" w:rsidP="004D3FE5">
            <w:pPr>
              <w:autoSpaceDE w:val="0"/>
              <w:autoSpaceDN w:val="0"/>
              <w:adjustRightInd w:val="0"/>
              <w:jc w:val="center"/>
              <w:rPr>
                <w:rFonts w:eastAsia="Calibri"/>
                <w:b/>
                <w:bCs/>
                <w:sz w:val="20"/>
                <w:szCs w:val="20"/>
                <w:lang w:eastAsia="en-US"/>
              </w:rPr>
            </w:pPr>
            <w:r w:rsidRPr="00DF39E8">
              <w:rPr>
                <w:rFonts w:eastAsia="Calibri"/>
                <w:b/>
                <w:bCs/>
                <w:sz w:val="20"/>
                <w:szCs w:val="20"/>
                <w:lang w:eastAsia="en-US"/>
              </w:rPr>
              <w:t>Canal</w:t>
            </w:r>
          </w:p>
        </w:tc>
        <w:tc>
          <w:tcPr>
            <w:tcW w:w="189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6F9D1CD"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2013</w:t>
            </w:r>
          </w:p>
        </w:tc>
        <w:tc>
          <w:tcPr>
            <w:tcW w:w="1716"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8F263E4"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2014</w:t>
            </w:r>
          </w:p>
        </w:tc>
        <w:tc>
          <w:tcPr>
            <w:tcW w:w="1061" w:type="dxa"/>
            <w:tcBorders>
              <w:top w:val="single" w:sz="2" w:space="0" w:color="auto"/>
              <w:left w:val="single" w:sz="2" w:space="0" w:color="auto"/>
              <w:bottom w:val="single" w:sz="2" w:space="0" w:color="auto"/>
              <w:right w:val="single" w:sz="2" w:space="0" w:color="auto"/>
            </w:tcBorders>
            <w:shd w:val="clear" w:color="auto" w:fill="auto"/>
          </w:tcPr>
          <w:p w14:paraId="75EEE111"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Variación (%)</w:t>
            </w:r>
          </w:p>
        </w:tc>
      </w:tr>
      <w:tr w:rsidR="009B7818" w:rsidRPr="009B7818" w14:paraId="236468E5" w14:textId="77777777" w:rsidTr="00DF39E8">
        <w:trPr>
          <w:trHeight w:val="106"/>
          <w:jc w:val="center"/>
        </w:trPr>
        <w:tc>
          <w:tcPr>
            <w:tcW w:w="3482" w:type="dxa"/>
            <w:tcBorders>
              <w:top w:val="single" w:sz="2" w:space="0" w:color="auto"/>
              <w:left w:val="single" w:sz="2" w:space="0" w:color="auto"/>
              <w:bottom w:val="nil"/>
              <w:right w:val="single" w:sz="2" w:space="0" w:color="auto"/>
            </w:tcBorders>
            <w:shd w:val="clear" w:color="auto" w:fill="auto"/>
            <w:vAlign w:val="center"/>
          </w:tcPr>
          <w:p w14:paraId="0E358E07"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Terminal punto de venta</w:t>
            </w:r>
          </w:p>
        </w:tc>
        <w:tc>
          <w:tcPr>
            <w:tcW w:w="1116" w:type="dxa"/>
            <w:tcBorders>
              <w:top w:val="single" w:sz="2" w:space="0" w:color="auto"/>
              <w:left w:val="single" w:sz="2" w:space="0" w:color="auto"/>
              <w:bottom w:val="nil"/>
              <w:right w:val="single" w:sz="2" w:space="0" w:color="auto"/>
            </w:tcBorders>
            <w:shd w:val="clear" w:color="auto" w:fill="auto"/>
            <w:vAlign w:val="center"/>
          </w:tcPr>
          <w:p w14:paraId="379665D4"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2 112 819</w:t>
            </w:r>
          </w:p>
        </w:tc>
        <w:tc>
          <w:tcPr>
            <w:tcW w:w="782" w:type="dxa"/>
            <w:tcBorders>
              <w:top w:val="single" w:sz="2" w:space="0" w:color="auto"/>
              <w:left w:val="single" w:sz="2" w:space="0" w:color="auto"/>
              <w:bottom w:val="nil"/>
              <w:right w:val="single" w:sz="2" w:space="0" w:color="auto"/>
            </w:tcBorders>
            <w:shd w:val="clear" w:color="auto" w:fill="auto"/>
            <w:vAlign w:val="center"/>
          </w:tcPr>
          <w:p w14:paraId="1FCD5434"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single" w:sz="2" w:space="0" w:color="auto"/>
              <w:left w:val="single" w:sz="2" w:space="0" w:color="auto"/>
              <w:bottom w:val="nil"/>
              <w:right w:val="single" w:sz="2" w:space="0" w:color="auto"/>
            </w:tcBorders>
            <w:shd w:val="clear" w:color="auto" w:fill="auto"/>
            <w:vAlign w:val="center"/>
          </w:tcPr>
          <w:p w14:paraId="23240EBB"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1 954 468</w:t>
            </w:r>
          </w:p>
        </w:tc>
        <w:tc>
          <w:tcPr>
            <w:tcW w:w="600" w:type="dxa"/>
            <w:tcBorders>
              <w:top w:val="single" w:sz="2" w:space="0" w:color="auto"/>
              <w:left w:val="single" w:sz="2" w:space="0" w:color="auto"/>
              <w:bottom w:val="nil"/>
              <w:right w:val="single" w:sz="2" w:space="0" w:color="auto"/>
            </w:tcBorders>
            <w:shd w:val="clear" w:color="auto" w:fill="auto"/>
            <w:vAlign w:val="center"/>
          </w:tcPr>
          <w:p w14:paraId="3955EC7B"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single" w:sz="2" w:space="0" w:color="auto"/>
              <w:left w:val="single" w:sz="2" w:space="0" w:color="auto"/>
              <w:bottom w:val="nil"/>
              <w:right w:val="single" w:sz="2" w:space="0" w:color="auto"/>
            </w:tcBorders>
            <w:shd w:val="clear" w:color="auto" w:fill="auto"/>
            <w:vAlign w:val="center"/>
          </w:tcPr>
          <w:p w14:paraId="305E0EA4"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-7</w:t>
            </w:r>
          </w:p>
        </w:tc>
      </w:tr>
      <w:tr w:rsidR="009B7818" w:rsidRPr="009B7818" w14:paraId="592E3B8D"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5E18DF53"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Movimiento generado por el banco</w:t>
            </w:r>
          </w:p>
        </w:tc>
        <w:tc>
          <w:tcPr>
            <w:tcW w:w="1116" w:type="dxa"/>
            <w:tcBorders>
              <w:top w:val="nil"/>
              <w:left w:val="single" w:sz="2" w:space="0" w:color="auto"/>
              <w:bottom w:val="nil"/>
              <w:right w:val="single" w:sz="2" w:space="0" w:color="auto"/>
            </w:tcBorders>
            <w:shd w:val="clear" w:color="auto" w:fill="auto"/>
            <w:vAlign w:val="center"/>
          </w:tcPr>
          <w:p w14:paraId="7B3C4D96"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771 956</w:t>
            </w:r>
          </w:p>
        </w:tc>
        <w:tc>
          <w:tcPr>
            <w:tcW w:w="782" w:type="dxa"/>
            <w:tcBorders>
              <w:top w:val="nil"/>
              <w:left w:val="single" w:sz="2" w:space="0" w:color="auto"/>
              <w:bottom w:val="nil"/>
              <w:right w:val="single" w:sz="2" w:space="0" w:color="auto"/>
            </w:tcBorders>
            <w:shd w:val="clear" w:color="auto" w:fill="auto"/>
            <w:vAlign w:val="center"/>
          </w:tcPr>
          <w:p w14:paraId="53797CE9"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76B9D593"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649 240</w:t>
            </w:r>
          </w:p>
        </w:tc>
        <w:tc>
          <w:tcPr>
            <w:tcW w:w="600" w:type="dxa"/>
            <w:tcBorders>
              <w:top w:val="nil"/>
              <w:left w:val="single" w:sz="2" w:space="0" w:color="auto"/>
              <w:bottom w:val="nil"/>
              <w:right w:val="single" w:sz="2" w:space="0" w:color="auto"/>
            </w:tcBorders>
            <w:shd w:val="clear" w:color="auto" w:fill="auto"/>
            <w:vAlign w:val="center"/>
          </w:tcPr>
          <w:p w14:paraId="52436DEC"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7FDCEAF2"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-16</w:t>
            </w:r>
          </w:p>
        </w:tc>
      </w:tr>
      <w:tr w:rsidR="009B7818" w:rsidRPr="009B7818" w14:paraId="6DE67204"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5DAF70F4"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Cajeros automáticos</w:t>
            </w:r>
          </w:p>
        </w:tc>
        <w:tc>
          <w:tcPr>
            <w:tcW w:w="1116" w:type="dxa"/>
            <w:tcBorders>
              <w:top w:val="nil"/>
              <w:left w:val="single" w:sz="2" w:space="0" w:color="auto"/>
              <w:bottom w:val="nil"/>
              <w:right w:val="single" w:sz="2" w:space="0" w:color="auto"/>
            </w:tcBorders>
            <w:shd w:val="clear" w:color="auto" w:fill="auto"/>
            <w:vAlign w:val="center"/>
          </w:tcPr>
          <w:p w14:paraId="2E8D2D96"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578 881</w:t>
            </w:r>
          </w:p>
        </w:tc>
        <w:tc>
          <w:tcPr>
            <w:tcW w:w="782" w:type="dxa"/>
            <w:tcBorders>
              <w:top w:val="nil"/>
              <w:left w:val="single" w:sz="2" w:space="0" w:color="auto"/>
              <w:bottom w:val="nil"/>
              <w:right w:val="single" w:sz="2" w:space="0" w:color="auto"/>
            </w:tcBorders>
            <w:shd w:val="clear" w:color="auto" w:fill="auto"/>
            <w:vAlign w:val="center"/>
          </w:tcPr>
          <w:p w14:paraId="791AB160"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1013A092"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589 958</w:t>
            </w:r>
          </w:p>
        </w:tc>
        <w:tc>
          <w:tcPr>
            <w:tcW w:w="600" w:type="dxa"/>
            <w:tcBorders>
              <w:top w:val="nil"/>
              <w:left w:val="single" w:sz="2" w:space="0" w:color="auto"/>
              <w:bottom w:val="nil"/>
              <w:right w:val="single" w:sz="2" w:space="0" w:color="auto"/>
            </w:tcBorders>
            <w:shd w:val="clear" w:color="auto" w:fill="auto"/>
            <w:vAlign w:val="center"/>
          </w:tcPr>
          <w:p w14:paraId="5C03BBB5"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tcPr>
          <w:p w14:paraId="1644F136"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2</w:t>
            </w:r>
          </w:p>
        </w:tc>
      </w:tr>
      <w:tr w:rsidR="009B7818" w:rsidRPr="009B7818" w14:paraId="50CD272C"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3CB0F5A5" w14:textId="77777777" w:rsidR="009B7818" w:rsidRPr="00DF39E8" w:rsidRDefault="009B7818" w:rsidP="009B7818">
            <w:pPr>
              <w:autoSpaceDE w:val="0"/>
              <w:autoSpaceDN w:val="0"/>
              <w:adjustRightInd w:val="0"/>
              <w:jc w:val="both"/>
              <w:rPr>
                <w:rFonts w:eastAsia="Calibri"/>
                <w:b/>
                <w:bCs/>
                <w:sz w:val="20"/>
                <w:szCs w:val="20"/>
                <w:lang w:eastAsia="en-US"/>
              </w:rPr>
            </w:pPr>
            <w:r w:rsidRPr="00DF39E8">
              <w:rPr>
                <w:rFonts w:eastAsia="Calibri"/>
                <w:b/>
                <w:bCs/>
                <w:sz w:val="20"/>
                <w:szCs w:val="20"/>
                <w:lang w:eastAsia="en-US"/>
              </w:rPr>
              <w:t>Banca remota</w:t>
            </w:r>
          </w:p>
        </w:tc>
        <w:tc>
          <w:tcPr>
            <w:tcW w:w="1116" w:type="dxa"/>
            <w:tcBorders>
              <w:top w:val="nil"/>
              <w:left w:val="single" w:sz="2" w:space="0" w:color="auto"/>
              <w:bottom w:val="nil"/>
              <w:right w:val="single" w:sz="2" w:space="0" w:color="auto"/>
            </w:tcBorders>
            <w:shd w:val="clear" w:color="auto" w:fill="auto"/>
            <w:vAlign w:val="center"/>
          </w:tcPr>
          <w:p w14:paraId="6BCC8DE2" w14:textId="77777777" w:rsidR="009B7818" w:rsidRPr="00DF39E8" w:rsidRDefault="009B7818" w:rsidP="00E71F93">
            <w:pPr>
              <w:autoSpaceDE w:val="0"/>
              <w:autoSpaceDN w:val="0"/>
              <w:adjustRightInd w:val="0"/>
              <w:jc w:val="right"/>
              <w:rPr>
                <w:rFonts w:eastAsia="Calibri"/>
                <w:b/>
                <w:sz w:val="20"/>
                <w:szCs w:val="20"/>
                <w:lang w:eastAsia="en-US"/>
              </w:rPr>
            </w:pPr>
          </w:p>
        </w:tc>
        <w:tc>
          <w:tcPr>
            <w:tcW w:w="782" w:type="dxa"/>
            <w:tcBorders>
              <w:top w:val="nil"/>
              <w:left w:val="single" w:sz="2" w:space="0" w:color="auto"/>
              <w:bottom w:val="nil"/>
              <w:right w:val="single" w:sz="2" w:space="0" w:color="auto"/>
            </w:tcBorders>
            <w:shd w:val="clear" w:color="auto" w:fill="auto"/>
            <w:vAlign w:val="center"/>
          </w:tcPr>
          <w:p w14:paraId="216C1A3A" w14:textId="77777777" w:rsidR="009B7818" w:rsidRPr="00DF39E8" w:rsidRDefault="009B7818" w:rsidP="00E71F93">
            <w:pPr>
              <w:autoSpaceDE w:val="0"/>
              <w:autoSpaceDN w:val="0"/>
              <w:adjustRightInd w:val="0"/>
              <w:jc w:val="right"/>
              <w:rPr>
                <w:rFonts w:eastAsia="Calibri"/>
                <w:b/>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4B36F81D" w14:textId="77777777" w:rsidR="009B7818" w:rsidRPr="00DF39E8" w:rsidRDefault="009B7818" w:rsidP="00E71F93">
            <w:pPr>
              <w:autoSpaceDE w:val="0"/>
              <w:autoSpaceDN w:val="0"/>
              <w:adjustRightInd w:val="0"/>
              <w:jc w:val="right"/>
              <w:rPr>
                <w:rFonts w:eastAsia="Calibri"/>
                <w:b/>
                <w:sz w:val="20"/>
                <w:szCs w:val="20"/>
                <w:lang w:eastAsia="en-US"/>
              </w:rPr>
            </w:pPr>
          </w:p>
        </w:tc>
        <w:tc>
          <w:tcPr>
            <w:tcW w:w="600" w:type="dxa"/>
            <w:tcBorders>
              <w:top w:val="nil"/>
              <w:left w:val="single" w:sz="2" w:space="0" w:color="auto"/>
              <w:bottom w:val="nil"/>
              <w:right w:val="single" w:sz="2" w:space="0" w:color="auto"/>
            </w:tcBorders>
            <w:shd w:val="clear" w:color="auto" w:fill="auto"/>
            <w:vAlign w:val="center"/>
          </w:tcPr>
          <w:p w14:paraId="16D95099" w14:textId="77777777" w:rsidR="009B7818" w:rsidRPr="00DF39E8" w:rsidRDefault="009B7818" w:rsidP="00E71F93">
            <w:pPr>
              <w:autoSpaceDE w:val="0"/>
              <w:autoSpaceDN w:val="0"/>
              <w:adjustRightInd w:val="0"/>
              <w:jc w:val="right"/>
              <w:rPr>
                <w:rFonts w:eastAsia="Calibri"/>
                <w:b/>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29F5ABD1" w14:textId="77777777" w:rsidR="009B7818" w:rsidRPr="00DF39E8" w:rsidRDefault="009B7818" w:rsidP="00E71F93">
            <w:pPr>
              <w:autoSpaceDE w:val="0"/>
              <w:autoSpaceDN w:val="0"/>
              <w:adjustRightInd w:val="0"/>
              <w:ind w:right="227"/>
              <w:jc w:val="right"/>
              <w:rPr>
                <w:rFonts w:eastAsia="Calibri"/>
                <w:b/>
                <w:sz w:val="20"/>
                <w:szCs w:val="20"/>
                <w:lang w:eastAsia="en-US"/>
              </w:rPr>
            </w:pPr>
          </w:p>
        </w:tc>
      </w:tr>
      <w:tr w:rsidR="009B7818" w:rsidRPr="009B7818" w14:paraId="54C6D0E1"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6964B04D"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Comercio por internet</w:t>
            </w:r>
          </w:p>
        </w:tc>
        <w:tc>
          <w:tcPr>
            <w:tcW w:w="1116" w:type="dxa"/>
            <w:tcBorders>
              <w:top w:val="nil"/>
              <w:left w:val="single" w:sz="2" w:space="0" w:color="auto"/>
              <w:bottom w:val="nil"/>
              <w:right w:val="single" w:sz="2" w:space="0" w:color="auto"/>
            </w:tcBorders>
            <w:shd w:val="clear" w:color="auto" w:fill="auto"/>
            <w:vAlign w:val="center"/>
          </w:tcPr>
          <w:p w14:paraId="56CC7AB3"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343 500</w:t>
            </w:r>
          </w:p>
        </w:tc>
        <w:tc>
          <w:tcPr>
            <w:tcW w:w="782" w:type="dxa"/>
            <w:tcBorders>
              <w:top w:val="nil"/>
              <w:left w:val="single" w:sz="2" w:space="0" w:color="auto"/>
              <w:bottom w:val="nil"/>
              <w:right w:val="single" w:sz="2" w:space="0" w:color="auto"/>
            </w:tcBorders>
            <w:shd w:val="clear" w:color="auto" w:fill="auto"/>
            <w:vAlign w:val="center"/>
          </w:tcPr>
          <w:p w14:paraId="7D8C011C"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7F139870"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433 159</w:t>
            </w:r>
          </w:p>
        </w:tc>
        <w:tc>
          <w:tcPr>
            <w:tcW w:w="600" w:type="dxa"/>
            <w:tcBorders>
              <w:top w:val="nil"/>
              <w:left w:val="single" w:sz="2" w:space="0" w:color="auto"/>
              <w:bottom w:val="nil"/>
              <w:right w:val="single" w:sz="2" w:space="0" w:color="auto"/>
            </w:tcBorders>
            <w:shd w:val="clear" w:color="auto" w:fill="auto"/>
            <w:vAlign w:val="center"/>
          </w:tcPr>
          <w:p w14:paraId="2DCBF7E6"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04F20C19"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26</w:t>
            </w:r>
          </w:p>
        </w:tc>
      </w:tr>
      <w:tr w:rsidR="009B7818" w:rsidRPr="009B7818" w14:paraId="70AF80F4"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6A48319C"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Comercio por teléfono</w:t>
            </w:r>
          </w:p>
        </w:tc>
        <w:tc>
          <w:tcPr>
            <w:tcW w:w="1116" w:type="dxa"/>
            <w:tcBorders>
              <w:top w:val="nil"/>
              <w:left w:val="single" w:sz="2" w:space="0" w:color="auto"/>
              <w:bottom w:val="nil"/>
              <w:right w:val="single" w:sz="2" w:space="0" w:color="auto"/>
            </w:tcBorders>
            <w:shd w:val="clear" w:color="auto" w:fill="auto"/>
            <w:vAlign w:val="center"/>
          </w:tcPr>
          <w:p w14:paraId="6EA420C2"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236 971</w:t>
            </w:r>
          </w:p>
        </w:tc>
        <w:tc>
          <w:tcPr>
            <w:tcW w:w="782" w:type="dxa"/>
            <w:tcBorders>
              <w:top w:val="nil"/>
              <w:left w:val="single" w:sz="2" w:space="0" w:color="auto"/>
              <w:bottom w:val="nil"/>
              <w:right w:val="single" w:sz="2" w:space="0" w:color="auto"/>
            </w:tcBorders>
            <w:shd w:val="clear" w:color="auto" w:fill="auto"/>
            <w:vAlign w:val="center"/>
          </w:tcPr>
          <w:p w14:paraId="2989B2AE"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22988EF6"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227 067</w:t>
            </w:r>
          </w:p>
        </w:tc>
        <w:tc>
          <w:tcPr>
            <w:tcW w:w="600" w:type="dxa"/>
            <w:tcBorders>
              <w:top w:val="nil"/>
              <w:left w:val="single" w:sz="2" w:space="0" w:color="auto"/>
              <w:bottom w:val="nil"/>
              <w:right w:val="single" w:sz="2" w:space="0" w:color="auto"/>
            </w:tcBorders>
            <w:shd w:val="clear" w:color="auto" w:fill="auto"/>
            <w:vAlign w:val="center"/>
          </w:tcPr>
          <w:p w14:paraId="51B12D5C"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152612E4"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-4</w:t>
            </w:r>
          </w:p>
        </w:tc>
      </w:tr>
      <w:tr w:rsidR="009B7818" w:rsidRPr="009B7818" w14:paraId="0C55B64E"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17F2FF76"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Pagos por celular</w:t>
            </w:r>
          </w:p>
        </w:tc>
        <w:tc>
          <w:tcPr>
            <w:tcW w:w="1116" w:type="dxa"/>
            <w:tcBorders>
              <w:top w:val="nil"/>
              <w:left w:val="single" w:sz="2" w:space="0" w:color="auto"/>
              <w:bottom w:val="nil"/>
              <w:right w:val="single" w:sz="2" w:space="0" w:color="auto"/>
            </w:tcBorders>
            <w:shd w:val="clear" w:color="auto" w:fill="auto"/>
            <w:vAlign w:val="center"/>
          </w:tcPr>
          <w:p w14:paraId="603F1E38"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3 661</w:t>
            </w:r>
          </w:p>
        </w:tc>
        <w:tc>
          <w:tcPr>
            <w:tcW w:w="782" w:type="dxa"/>
            <w:tcBorders>
              <w:top w:val="nil"/>
              <w:left w:val="single" w:sz="2" w:space="0" w:color="auto"/>
              <w:bottom w:val="nil"/>
              <w:right w:val="single" w:sz="2" w:space="0" w:color="auto"/>
            </w:tcBorders>
            <w:shd w:val="clear" w:color="auto" w:fill="auto"/>
            <w:vAlign w:val="center"/>
          </w:tcPr>
          <w:p w14:paraId="707727B4"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263B0AAB"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38 142</w:t>
            </w:r>
          </w:p>
        </w:tc>
        <w:tc>
          <w:tcPr>
            <w:tcW w:w="600" w:type="dxa"/>
            <w:tcBorders>
              <w:top w:val="nil"/>
              <w:left w:val="single" w:sz="2" w:space="0" w:color="auto"/>
              <w:bottom w:val="nil"/>
              <w:right w:val="single" w:sz="2" w:space="0" w:color="auto"/>
            </w:tcBorders>
            <w:shd w:val="clear" w:color="auto" w:fill="auto"/>
            <w:vAlign w:val="center"/>
          </w:tcPr>
          <w:p w14:paraId="421519B6"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3E8841EB"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942</w:t>
            </w:r>
          </w:p>
        </w:tc>
      </w:tr>
      <w:tr w:rsidR="009B7818" w:rsidRPr="009B7818" w14:paraId="39571588"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4F3F9152"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Operaciones por internet, persona física</w:t>
            </w:r>
          </w:p>
        </w:tc>
        <w:tc>
          <w:tcPr>
            <w:tcW w:w="1116" w:type="dxa"/>
            <w:tcBorders>
              <w:top w:val="nil"/>
              <w:left w:val="single" w:sz="2" w:space="0" w:color="auto"/>
              <w:bottom w:val="nil"/>
              <w:right w:val="single" w:sz="2" w:space="0" w:color="auto"/>
            </w:tcBorders>
            <w:shd w:val="clear" w:color="auto" w:fill="auto"/>
            <w:vAlign w:val="center"/>
          </w:tcPr>
          <w:p w14:paraId="54B6DF77"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19 788</w:t>
            </w:r>
          </w:p>
        </w:tc>
        <w:tc>
          <w:tcPr>
            <w:tcW w:w="782" w:type="dxa"/>
            <w:tcBorders>
              <w:top w:val="nil"/>
              <w:left w:val="single" w:sz="2" w:space="0" w:color="auto"/>
              <w:bottom w:val="nil"/>
              <w:right w:val="single" w:sz="2" w:space="0" w:color="auto"/>
            </w:tcBorders>
            <w:shd w:val="clear" w:color="auto" w:fill="auto"/>
            <w:vAlign w:val="center"/>
          </w:tcPr>
          <w:p w14:paraId="06A7A88F"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68FA1EA2"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37 841</w:t>
            </w:r>
          </w:p>
        </w:tc>
        <w:tc>
          <w:tcPr>
            <w:tcW w:w="600" w:type="dxa"/>
            <w:tcBorders>
              <w:top w:val="nil"/>
              <w:left w:val="single" w:sz="2" w:space="0" w:color="auto"/>
              <w:bottom w:val="nil"/>
              <w:right w:val="single" w:sz="2" w:space="0" w:color="auto"/>
            </w:tcBorders>
            <w:shd w:val="clear" w:color="auto" w:fill="auto"/>
            <w:vAlign w:val="center"/>
          </w:tcPr>
          <w:p w14:paraId="5E761EE4"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748BFC33"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91</w:t>
            </w:r>
          </w:p>
        </w:tc>
      </w:tr>
      <w:tr w:rsidR="009B7818" w:rsidRPr="009B7818" w14:paraId="5766AECF"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5CE1D68D"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Operaciones por internet, persona moral</w:t>
            </w:r>
          </w:p>
        </w:tc>
        <w:tc>
          <w:tcPr>
            <w:tcW w:w="1116" w:type="dxa"/>
            <w:tcBorders>
              <w:top w:val="nil"/>
              <w:left w:val="single" w:sz="2" w:space="0" w:color="auto"/>
              <w:bottom w:val="nil"/>
              <w:right w:val="single" w:sz="2" w:space="0" w:color="auto"/>
            </w:tcBorders>
            <w:shd w:val="clear" w:color="auto" w:fill="auto"/>
            <w:vAlign w:val="center"/>
          </w:tcPr>
          <w:p w14:paraId="5EF0B863"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5 972</w:t>
            </w:r>
          </w:p>
        </w:tc>
        <w:tc>
          <w:tcPr>
            <w:tcW w:w="782" w:type="dxa"/>
            <w:tcBorders>
              <w:top w:val="nil"/>
              <w:left w:val="single" w:sz="2" w:space="0" w:color="auto"/>
              <w:bottom w:val="nil"/>
              <w:right w:val="single" w:sz="2" w:space="0" w:color="auto"/>
            </w:tcBorders>
            <w:shd w:val="clear" w:color="auto" w:fill="auto"/>
            <w:vAlign w:val="center"/>
          </w:tcPr>
          <w:p w14:paraId="53DE8DA6"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1BECF16C"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5 631</w:t>
            </w:r>
          </w:p>
        </w:tc>
        <w:tc>
          <w:tcPr>
            <w:tcW w:w="600" w:type="dxa"/>
            <w:tcBorders>
              <w:top w:val="nil"/>
              <w:left w:val="single" w:sz="2" w:space="0" w:color="auto"/>
              <w:bottom w:val="nil"/>
              <w:right w:val="single" w:sz="2" w:space="0" w:color="auto"/>
            </w:tcBorders>
            <w:shd w:val="clear" w:color="auto" w:fill="auto"/>
            <w:vAlign w:val="center"/>
          </w:tcPr>
          <w:p w14:paraId="6BF68716"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vAlign w:val="center"/>
          </w:tcPr>
          <w:p w14:paraId="6BA94270"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-6</w:t>
            </w:r>
          </w:p>
        </w:tc>
      </w:tr>
      <w:tr w:rsidR="009B7818" w:rsidRPr="009B7818" w14:paraId="182E3EE0"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194D193D"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Banca móvil</w:t>
            </w:r>
          </w:p>
        </w:tc>
        <w:tc>
          <w:tcPr>
            <w:tcW w:w="1116" w:type="dxa"/>
            <w:tcBorders>
              <w:top w:val="nil"/>
              <w:left w:val="single" w:sz="2" w:space="0" w:color="auto"/>
              <w:bottom w:val="nil"/>
              <w:right w:val="single" w:sz="2" w:space="0" w:color="auto"/>
            </w:tcBorders>
            <w:shd w:val="clear" w:color="auto" w:fill="auto"/>
            <w:vAlign w:val="center"/>
          </w:tcPr>
          <w:p w14:paraId="3DCDEB10"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3 420</w:t>
            </w:r>
          </w:p>
        </w:tc>
        <w:tc>
          <w:tcPr>
            <w:tcW w:w="782" w:type="dxa"/>
            <w:tcBorders>
              <w:top w:val="nil"/>
              <w:left w:val="single" w:sz="2" w:space="0" w:color="auto"/>
              <w:bottom w:val="nil"/>
              <w:right w:val="single" w:sz="2" w:space="0" w:color="auto"/>
            </w:tcBorders>
            <w:shd w:val="clear" w:color="auto" w:fill="auto"/>
            <w:vAlign w:val="center"/>
          </w:tcPr>
          <w:p w14:paraId="1FBF9D9B"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150E0027"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3 670</w:t>
            </w:r>
          </w:p>
        </w:tc>
        <w:tc>
          <w:tcPr>
            <w:tcW w:w="600" w:type="dxa"/>
            <w:tcBorders>
              <w:top w:val="nil"/>
              <w:left w:val="single" w:sz="2" w:space="0" w:color="auto"/>
              <w:bottom w:val="nil"/>
              <w:right w:val="single" w:sz="2" w:space="0" w:color="auto"/>
            </w:tcBorders>
            <w:shd w:val="clear" w:color="auto" w:fill="auto"/>
            <w:vAlign w:val="center"/>
          </w:tcPr>
          <w:p w14:paraId="55289E86"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tcPr>
          <w:p w14:paraId="12566A07"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7</w:t>
            </w:r>
          </w:p>
        </w:tc>
      </w:tr>
      <w:tr w:rsidR="009B7818" w:rsidRPr="009B7818" w14:paraId="1B08C420"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412ED0EC"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Banca por teléfono</w:t>
            </w:r>
          </w:p>
        </w:tc>
        <w:tc>
          <w:tcPr>
            <w:tcW w:w="1116" w:type="dxa"/>
            <w:tcBorders>
              <w:top w:val="nil"/>
              <w:left w:val="single" w:sz="2" w:space="0" w:color="auto"/>
              <w:bottom w:val="single" w:sz="2" w:space="0" w:color="auto"/>
              <w:right w:val="single" w:sz="2" w:space="0" w:color="auto"/>
            </w:tcBorders>
            <w:shd w:val="clear" w:color="auto" w:fill="auto"/>
            <w:vAlign w:val="center"/>
          </w:tcPr>
          <w:p w14:paraId="3C11B464"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454</w:t>
            </w:r>
          </w:p>
        </w:tc>
        <w:tc>
          <w:tcPr>
            <w:tcW w:w="782" w:type="dxa"/>
            <w:tcBorders>
              <w:top w:val="nil"/>
              <w:left w:val="single" w:sz="2" w:space="0" w:color="auto"/>
              <w:bottom w:val="single" w:sz="2" w:space="0" w:color="auto"/>
              <w:right w:val="single" w:sz="2" w:space="0" w:color="auto"/>
            </w:tcBorders>
            <w:shd w:val="clear" w:color="auto" w:fill="auto"/>
            <w:vAlign w:val="center"/>
          </w:tcPr>
          <w:p w14:paraId="0E42452F"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single" w:sz="2" w:space="0" w:color="auto"/>
              <w:right w:val="single" w:sz="2" w:space="0" w:color="auto"/>
            </w:tcBorders>
            <w:shd w:val="clear" w:color="auto" w:fill="auto"/>
            <w:vAlign w:val="center"/>
          </w:tcPr>
          <w:p w14:paraId="1F64E249"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417</w:t>
            </w:r>
          </w:p>
        </w:tc>
        <w:tc>
          <w:tcPr>
            <w:tcW w:w="600" w:type="dxa"/>
            <w:tcBorders>
              <w:top w:val="nil"/>
              <w:left w:val="single" w:sz="2" w:space="0" w:color="auto"/>
              <w:bottom w:val="single" w:sz="2" w:space="0" w:color="auto"/>
              <w:right w:val="single" w:sz="2" w:space="0" w:color="auto"/>
            </w:tcBorders>
            <w:shd w:val="clear" w:color="auto" w:fill="auto"/>
            <w:vAlign w:val="center"/>
          </w:tcPr>
          <w:p w14:paraId="7C49C58F"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single" w:sz="2" w:space="0" w:color="auto"/>
              <w:right w:val="single" w:sz="2" w:space="0" w:color="auto"/>
            </w:tcBorders>
            <w:shd w:val="clear" w:color="auto" w:fill="auto"/>
          </w:tcPr>
          <w:p w14:paraId="352D043F"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-8</w:t>
            </w:r>
          </w:p>
        </w:tc>
      </w:tr>
      <w:tr w:rsidR="009B7818" w:rsidRPr="009B7818" w14:paraId="09B3F078"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3A58ADEE" w14:textId="77777777" w:rsidR="009B7818" w:rsidRPr="00DF39E8" w:rsidRDefault="009B7818" w:rsidP="009B7818">
            <w:pPr>
              <w:autoSpaceDE w:val="0"/>
              <w:autoSpaceDN w:val="0"/>
              <w:adjustRightInd w:val="0"/>
              <w:jc w:val="both"/>
              <w:rPr>
                <w:rFonts w:eastAsia="Calibri"/>
                <w:b/>
                <w:bCs/>
                <w:sz w:val="20"/>
                <w:szCs w:val="20"/>
                <w:lang w:eastAsia="en-US"/>
              </w:rPr>
            </w:pPr>
            <w:r w:rsidRPr="00DF39E8">
              <w:rPr>
                <w:rFonts w:eastAsia="Calibri"/>
                <w:b/>
                <w:bCs/>
                <w:sz w:val="20"/>
                <w:szCs w:val="20"/>
                <w:lang w:eastAsia="en-US"/>
              </w:rPr>
              <w:t>Subtotal</w:t>
            </w:r>
          </w:p>
        </w:tc>
        <w:tc>
          <w:tcPr>
            <w:tcW w:w="189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715670A" w14:textId="77777777" w:rsidR="009B7818" w:rsidRPr="00DF39E8" w:rsidRDefault="009B7818" w:rsidP="00A00F2B">
            <w:pPr>
              <w:autoSpaceDE w:val="0"/>
              <w:autoSpaceDN w:val="0"/>
              <w:adjustRightInd w:val="0"/>
              <w:jc w:val="right"/>
              <w:rPr>
                <w:rFonts w:eastAsia="Calibri"/>
                <w:b/>
                <w:sz w:val="20"/>
                <w:szCs w:val="20"/>
                <w:lang w:eastAsia="en-US"/>
              </w:rPr>
            </w:pPr>
            <w:r w:rsidRPr="00DF39E8">
              <w:rPr>
                <w:rFonts w:eastAsia="Calibri"/>
                <w:b/>
                <w:sz w:val="20"/>
                <w:szCs w:val="20"/>
                <w:lang w:eastAsia="en-US"/>
              </w:rPr>
              <w:t>613 766</w:t>
            </w:r>
          </w:p>
        </w:tc>
        <w:tc>
          <w:tcPr>
            <w:tcW w:w="1716"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0B1ED3D6" w14:textId="77777777" w:rsidR="009B7818" w:rsidRPr="00DF39E8" w:rsidRDefault="009B7818" w:rsidP="00A00F2B">
            <w:pPr>
              <w:autoSpaceDE w:val="0"/>
              <w:autoSpaceDN w:val="0"/>
              <w:adjustRightInd w:val="0"/>
              <w:jc w:val="right"/>
              <w:rPr>
                <w:rFonts w:eastAsia="Calibri"/>
                <w:b/>
                <w:sz w:val="20"/>
                <w:szCs w:val="20"/>
                <w:lang w:eastAsia="en-US"/>
              </w:rPr>
            </w:pPr>
            <w:r w:rsidRPr="00DF39E8">
              <w:rPr>
                <w:rFonts w:eastAsia="Calibri"/>
                <w:b/>
                <w:sz w:val="20"/>
                <w:szCs w:val="20"/>
                <w:lang w:eastAsia="en-US"/>
              </w:rPr>
              <w:t>745 927</w:t>
            </w:r>
          </w:p>
        </w:tc>
        <w:tc>
          <w:tcPr>
            <w:tcW w:w="1061" w:type="dxa"/>
            <w:tcBorders>
              <w:top w:val="single" w:sz="2" w:space="0" w:color="auto"/>
              <w:left w:val="single" w:sz="2" w:space="0" w:color="auto"/>
              <w:bottom w:val="single" w:sz="2" w:space="0" w:color="auto"/>
              <w:right w:val="single" w:sz="2" w:space="0" w:color="auto"/>
            </w:tcBorders>
            <w:shd w:val="clear" w:color="auto" w:fill="auto"/>
          </w:tcPr>
          <w:p w14:paraId="38B16D1E" w14:textId="77777777" w:rsidR="009B7818" w:rsidRPr="00DF39E8" w:rsidRDefault="009B7818" w:rsidP="00A00F2B">
            <w:pPr>
              <w:autoSpaceDE w:val="0"/>
              <w:autoSpaceDN w:val="0"/>
              <w:adjustRightInd w:val="0"/>
              <w:jc w:val="right"/>
              <w:rPr>
                <w:rFonts w:eastAsia="Calibri"/>
                <w:b/>
                <w:sz w:val="20"/>
                <w:szCs w:val="20"/>
                <w:lang w:eastAsia="en-US"/>
              </w:rPr>
            </w:pPr>
            <w:r w:rsidRPr="00DF39E8">
              <w:rPr>
                <w:rFonts w:eastAsia="Calibri"/>
                <w:b/>
                <w:sz w:val="20"/>
                <w:szCs w:val="20"/>
                <w:lang w:eastAsia="en-US"/>
              </w:rPr>
              <w:t>22</w:t>
            </w:r>
          </w:p>
        </w:tc>
      </w:tr>
      <w:tr w:rsidR="009B7818" w:rsidRPr="009B7818" w14:paraId="314EAD26"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571CD388"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Sucursales</w:t>
            </w:r>
          </w:p>
        </w:tc>
        <w:tc>
          <w:tcPr>
            <w:tcW w:w="1116" w:type="dxa"/>
            <w:tcBorders>
              <w:top w:val="single" w:sz="2" w:space="0" w:color="auto"/>
              <w:left w:val="single" w:sz="2" w:space="0" w:color="auto"/>
              <w:bottom w:val="nil"/>
              <w:right w:val="single" w:sz="2" w:space="0" w:color="auto"/>
            </w:tcBorders>
            <w:shd w:val="clear" w:color="auto" w:fill="auto"/>
            <w:vAlign w:val="center"/>
          </w:tcPr>
          <w:p w14:paraId="07EBDB21"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136 865</w:t>
            </w:r>
          </w:p>
        </w:tc>
        <w:tc>
          <w:tcPr>
            <w:tcW w:w="782" w:type="dxa"/>
            <w:tcBorders>
              <w:top w:val="single" w:sz="2" w:space="0" w:color="auto"/>
              <w:left w:val="single" w:sz="2" w:space="0" w:color="auto"/>
              <w:bottom w:val="nil"/>
              <w:right w:val="single" w:sz="2" w:space="0" w:color="auto"/>
            </w:tcBorders>
            <w:shd w:val="clear" w:color="auto" w:fill="auto"/>
            <w:vAlign w:val="center"/>
          </w:tcPr>
          <w:p w14:paraId="7E4248D7"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single" w:sz="2" w:space="0" w:color="auto"/>
              <w:left w:val="single" w:sz="2" w:space="0" w:color="auto"/>
              <w:bottom w:val="nil"/>
              <w:right w:val="single" w:sz="2" w:space="0" w:color="auto"/>
            </w:tcBorders>
            <w:shd w:val="clear" w:color="auto" w:fill="auto"/>
            <w:vAlign w:val="center"/>
          </w:tcPr>
          <w:p w14:paraId="4FF167BA"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148 080</w:t>
            </w:r>
          </w:p>
        </w:tc>
        <w:tc>
          <w:tcPr>
            <w:tcW w:w="600" w:type="dxa"/>
            <w:tcBorders>
              <w:top w:val="single" w:sz="2" w:space="0" w:color="auto"/>
              <w:left w:val="single" w:sz="2" w:space="0" w:color="auto"/>
              <w:bottom w:val="nil"/>
              <w:right w:val="single" w:sz="2" w:space="0" w:color="auto"/>
            </w:tcBorders>
            <w:shd w:val="clear" w:color="auto" w:fill="auto"/>
            <w:vAlign w:val="center"/>
          </w:tcPr>
          <w:p w14:paraId="7B251BB7"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single" w:sz="2" w:space="0" w:color="auto"/>
              <w:left w:val="single" w:sz="2" w:space="0" w:color="auto"/>
              <w:bottom w:val="nil"/>
              <w:right w:val="single" w:sz="2" w:space="0" w:color="auto"/>
            </w:tcBorders>
            <w:shd w:val="clear" w:color="auto" w:fill="auto"/>
          </w:tcPr>
          <w:p w14:paraId="59A530D1"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8</w:t>
            </w:r>
          </w:p>
        </w:tc>
      </w:tr>
      <w:tr w:rsidR="009B7818" w:rsidRPr="009B7818" w14:paraId="73A926B7"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325561DF"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Corresponsales</w:t>
            </w:r>
          </w:p>
        </w:tc>
        <w:tc>
          <w:tcPr>
            <w:tcW w:w="1116" w:type="dxa"/>
            <w:tcBorders>
              <w:top w:val="nil"/>
              <w:left w:val="single" w:sz="2" w:space="0" w:color="auto"/>
              <w:bottom w:val="nil"/>
              <w:right w:val="single" w:sz="2" w:space="0" w:color="auto"/>
            </w:tcBorders>
            <w:shd w:val="clear" w:color="auto" w:fill="auto"/>
            <w:vAlign w:val="center"/>
          </w:tcPr>
          <w:p w14:paraId="10988467"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16 775</w:t>
            </w:r>
          </w:p>
        </w:tc>
        <w:tc>
          <w:tcPr>
            <w:tcW w:w="782" w:type="dxa"/>
            <w:tcBorders>
              <w:top w:val="nil"/>
              <w:left w:val="single" w:sz="2" w:space="0" w:color="auto"/>
              <w:bottom w:val="nil"/>
              <w:right w:val="single" w:sz="2" w:space="0" w:color="auto"/>
            </w:tcBorders>
            <w:shd w:val="clear" w:color="auto" w:fill="auto"/>
            <w:vAlign w:val="center"/>
          </w:tcPr>
          <w:p w14:paraId="461C1578"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3E708352"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23 073</w:t>
            </w:r>
          </w:p>
        </w:tc>
        <w:tc>
          <w:tcPr>
            <w:tcW w:w="600" w:type="dxa"/>
            <w:tcBorders>
              <w:top w:val="nil"/>
              <w:left w:val="single" w:sz="2" w:space="0" w:color="auto"/>
              <w:bottom w:val="nil"/>
              <w:right w:val="single" w:sz="2" w:space="0" w:color="auto"/>
            </w:tcBorders>
            <w:shd w:val="clear" w:color="auto" w:fill="auto"/>
            <w:vAlign w:val="center"/>
          </w:tcPr>
          <w:p w14:paraId="7D6ABBC0"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tcPr>
          <w:p w14:paraId="02B1A239"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38</w:t>
            </w:r>
          </w:p>
        </w:tc>
      </w:tr>
      <w:tr w:rsidR="009B7818" w:rsidRPr="009B7818" w14:paraId="20AF3488"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3B3F3BA9"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Otros bancos</w:t>
            </w:r>
          </w:p>
        </w:tc>
        <w:tc>
          <w:tcPr>
            <w:tcW w:w="1116" w:type="dxa"/>
            <w:tcBorders>
              <w:top w:val="nil"/>
              <w:left w:val="single" w:sz="2" w:space="0" w:color="auto"/>
              <w:bottom w:val="nil"/>
              <w:right w:val="single" w:sz="2" w:space="0" w:color="auto"/>
            </w:tcBorders>
            <w:shd w:val="clear" w:color="auto" w:fill="auto"/>
            <w:vAlign w:val="center"/>
          </w:tcPr>
          <w:p w14:paraId="03E092A6"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2 754</w:t>
            </w:r>
          </w:p>
        </w:tc>
        <w:tc>
          <w:tcPr>
            <w:tcW w:w="782" w:type="dxa"/>
            <w:tcBorders>
              <w:top w:val="nil"/>
              <w:left w:val="single" w:sz="2" w:space="0" w:color="auto"/>
              <w:bottom w:val="nil"/>
              <w:right w:val="single" w:sz="2" w:space="0" w:color="auto"/>
            </w:tcBorders>
            <w:shd w:val="clear" w:color="auto" w:fill="auto"/>
            <w:vAlign w:val="center"/>
          </w:tcPr>
          <w:p w14:paraId="59668C05"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nil"/>
              <w:right w:val="single" w:sz="2" w:space="0" w:color="auto"/>
            </w:tcBorders>
            <w:shd w:val="clear" w:color="auto" w:fill="auto"/>
            <w:vAlign w:val="center"/>
          </w:tcPr>
          <w:p w14:paraId="4E1691FA"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2 976</w:t>
            </w:r>
          </w:p>
        </w:tc>
        <w:tc>
          <w:tcPr>
            <w:tcW w:w="600" w:type="dxa"/>
            <w:tcBorders>
              <w:top w:val="nil"/>
              <w:left w:val="single" w:sz="2" w:space="0" w:color="auto"/>
              <w:bottom w:val="nil"/>
              <w:right w:val="single" w:sz="2" w:space="0" w:color="auto"/>
            </w:tcBorders>
            <w:shd w:val="clear" w:color="auto" w:fill="auto"/>
            <w:vAlign w:val="center"/>
          </w:tcPr>
          <w:p w14:paraId="52EB0ED1"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nil"/>
              <w:right w:val="single" w:sz="2" w:space="0" w:color="auto"/>
            </w:tcBorders>
            <w:shd w:val="clear" w:color="auto" w:fill="auto"/>
          </w:tcPr>
          <w:p w14:paraId="1EA45074"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8</w:t>
            </w:r>
          </w:p>
        </w:tc>
      </w:tr>
      <w:tr w:rsidR="009B7818" w:rsidRPr="009B7818" w14:paraId="0B197111" w14:textId="77777777" w:rsidTr="00DF39E8">
        <w:trPr>
          <w:trHeight w:val="106"/>
          <w:jc w:val="center"/>
        </w:trPr>
        <w:tc>
          <w:tcPr>
            <w:tcW w:w="3482" w:type="dxa"/>
            <w:tcBorders>
              <w:top w:val="nil"/>
              <w:left w:val="single" w:sz="2" w:space="0" w:color="auto"/>
              <w:bottom w:val="nil"/>
              <w:right w:val="single" w:sz="2" w:space="0" w:color="auto"/>
            </w:tcBorders>
            <w:shd w:val="clear" w:color="auto" w:fill="auto"/>
            <w:vAlign w:val="center"/>
          </w:tcPr>
          <w:p w14:paraId="7C7EF655"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Otros canales</w:t>
            </w:r>
          </w:p>
        </w:tc>
        <w:tc>
          <w:tcPr>
            <w:tcW w:w="1116" w:type="dxa"/>
            <w:tcBorders>
              <w:top w:val="nil"/>
              <w:left w:val="single" w:sz="2" w:space="0" w:color="auto"/>
              <w:bottom w:val="single" w:sz="2" w:space="0" w:color="auto"/>
              <w:right w:val="single" w:sz="2" w:space="0" w:color="auto"/>
            </w:tcBorders>
            <w:shd w:val="clear" w:color="auto" w:fill="auto"/>
            <w:vAlign w:val="center"/>
          </w:tcPr>
          <w:p w14:paraId="2DBD0C2C"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100 390</w:t>
            </w:r>
          </w:p>
        </w:tc>
        <w:tc>
          <w:tcPr>
            <w:tcW w:w="782" w:type="dxa"/>
            <w:tcBorders>
              <w:top w:val="nil"/>
              <w:left w:val="single" w:sz="2" w:space="0" w:color="auto"/>
              <w:bottom w:val="single" w:sz="2" w:space="0" w:color="auto"/>
              <w:right w:val="single" w:sz="2" w:space="0" w:color="auto"/>
            </w:tcBorders>
            <w:shd w:val="clear" w:color="auto" w:fill="auto"/>
            <w:vAlign w:val="center"/>
          </w:tcPr>
          <w:p w14:paraId="4888C009" w14:textId="77777777" w:rsidR="009B7818" w:rsidRPr="00DF39E8" w:rsidRDefault="009B7818" w:rsidP="00E71F93">
            <w:pPr>
              <w:autoSpaceDE w:val="0"/>
              <w:autoSpaceDN w:val="0"/>
              <w:adjustRightInd w:val="0"/>
              <w:jc w:val="right"/>
              <w:rPr>
                <w:rFonts w:eastAsia="Calibri"/>
                <w:sz w:val="20"/>
                <w:szCs w:val="20"/>
                <w:lang w:eastAsia="en-US"/>
              </w:rPr>
            </w:pPr>
          </w:p>
        </w:tc>
        <w:tc>
          <w:tcPr>
            <w:tcW w:w="1116" w:type="dxa"/>
            <w:tcBorders>
              <w:top w:val="nil"/>
              <w:left w:val="single" w:sz="2" w:space="0" w:color="auto"/>
              <w:bottom w:val="single" w:sz="2" w:space="0" w:color="auto"/>
              <w:right w:val="single" w:sz="2" w:space="0" w:color="auto"/>
            </w:tcBorders>
            <w:shd w:val="clear" w:color="auto" w:fill="auto"/>
            <w:vAlign w:val="center"/>
          </w:tcPr>
          <w:p w14:paraId="413C011F" w14:textId="77777777" w:rsidR="009B7818" w:rsidRPr="00DF39E8" w:rsidRDefault="009B7818" w:rsidP="00E71F93">
            <w:pPr>
              <w:autoSpaceDE w:val="0"/>
              <w:autoSpaceDN w:val="0"/>
              <w:adjustRightInd w:val="0"/>
              <w:jc w:val="right"/>
              <w:rPr>
                <w:rFonts w:eastAsia="Calibri"/>
                <w:sz w:val="20"/>
                <w:szCs w:val="20"/>
                <w:lang w:eastAsia="en-US"/>
              </w:rPr>
            </w:pPr>
            <w:r w:rsidRPr="00DF39E8">
              <w:rPr>
                <w:rFonts w:eastAsia="Calibri"/>
                <w:sz w:val="20"/>
                <w:szCs w:val="20"/>
                <w:lang w:eastAsia="en-US"/>
              </w:rPr>
              <w:t>256 848</w:t>
            </w:r>
          </w:p>
        </w:tc>
        <w:tc>
          <w:tcPr>
            <w:tcW w:w="600" w:type="dxa"/>
            <w:tcBorders>
              <w:top w:val="nil"/>
              <w:left w:val="single" w:sz="2" w:space="0" w:color="auto"/>
              <w:bottom w:val="single" w:sz="2" w:space="0" w:color="auto"/>
              <w:right w:val="single" w:sz="2" w:space="0" w:color="auto"/>
            </w:tcBorders>
            <w:shd w:val="clear" w:color="auto" w:fill="auto"/>
            <w:vAlign w:val="center"/>
          </w:tcPr>
          <w:p w14:paraId="3603D2A9" w14:textId="77777777" w:rsidR="009B7818" w:rsidRPr="00DF39E8" w:rsidRDefault="009B7818" w:rsidP="00E71F93">
            <w:pPr>
              <w:autoSpaceDE w:val="0"/>
              <w:autoSpaceDN w:val="0"/>
              <w:adjustRightInd w:val="0"/>
              <w:jc w:val="right"/>
              <w:rPr>
                <w:rFonts w:eastAsia="Calibri"/>
                <w:sz w:val="20"/>
                <w:szCs w:val="20"/>
                <w:lang w:eastAsia="en-US"/>
              </w:rPr>
            </w:pPr>
          </w:p>
        </w:tc>
        <w:tc>
          <w:tcPr>
            <w:tcW w:w="1061" w:type="dxa"/>
            <w:tcBorders>
              <w:top w:val="nil"/>
              <w:left w:val="single" w:sz="2" w:space="0" w:color="auto"/>
              <w:bottom w:val="single" w:sz="2" w:space="0" w:color="auto"/>
              <w:right w:val="single" w:sz="2" w:space="0" w:color="auto"/>
            </w:tcBorders>
            <w:shd w:val="clear" w:color="auto" w:fill="auto"/>
          </w:tcPr>
          <w:p w14:paraId="4BB57369" w14:textId="77777777" w:rsidR="009B7818" w:rsidRPr="00DF39E8" w:rsidRDefault="009B7818" w:rsidP="00E71F93">
            <w:pPr>
              <w:autoSpaceDE w:val="0"/>
              <w:autoSpaceDN w:val="0"/>
              <w:adjustRightInd w:val="0"/>
              <w:ind w:right="227"/>
              <w:jc w:val="right"/>
              <w:rPr>
                <w:rFonts w:eastAsia="Calibri"/>
                <w:sz w:val="20"/>
                <w:szCs w:val="20"/>
                <w:lang w:eastAsia="en-US"/>
              </w:rPr>
            </w:pPr>
            <w:r w:rsidRPr="00DF39E8">
              <w:rPr>
                <w:rFonts w:eastAsia="Calibri"/>
                <w:sz w:val="20"/>
                <w:szCs w:val="20"/>
                <w:lang w:eastAsia="en-US"/>
              </w:rPr>
              <w:t>156</w:t>
            </w:r>
          </w:p>
        </w:tc>
      </w:tr>
      <w:tr w:rsidR="009B7818" w:rsidRPr="009B7818" w14:paraId="3E76253A" w14:textId="77777777" w:rsidTr="00DF39E8">
        <w:trPr>
          <w:trHeight w:val="106"/>
          <w:jc w:val="center"/>
        </w:trPr>
        <w:tc>
          <w:tcPr>
            <w:tcW w:w="3482" w:type="dxa"/>
            <w:tcBorders>
              <w:top w:val="nil"/>
              <w:left w:val="single" w:sz="2" w:space="0" w:color="auto"/>
              <w:bottom w:val="single" w:sz="2" w:space="0" w:color="auto"/>
              <w:right w:val="single" w:sz="2" w:space="0" w:color="auto"/>
            </w:tcBorders>
            <w:shd w:val="clear" w:color="auto" w:fill="auto"/>
            <w:vAlign w:val="center"/>
          </w:tcPr>
          <w:p w14:paraId="6A135E8F" w14:textId="77777777" w:rsidR="009B7818" w:rsidRPr="00DF39E8" w:rsidRDefault="009B7818" w:rsidP="009B7818">
            <w:pPr>
              <w:autoSpaceDE w:val="0"/>
              <w:autoSpaceDN w:val="0"/>
              <w:adjustRightInd w:val="0"/>
              <w:jc w:val="both"/>
              <w:rPr>
                <w:rFonts w:eastAsia="Calibri"/>
                <w:b/>
                <w:bCs/>
                <w:sz w:val="20"/>
                <w:szCs w:val="20"/>
                <w:lang w:eastAsia="en-US"/>
              </w:rPr>
            </w:pPr>
            <w:r w:rsidRPr="00DF39E8">
              <w:rPr>
                <w:rFonts w:eastAsia="Calibri"/>
                <w:b/>
                <w:bCs/>
                <w:sz w:val="20"/>
                <w:szCs w:val="20"/>
                <w:lang w:eastAsia="en-US"/>
              </w:rPr>
              <w:t>Total</w:t>
            </w:r>
          </w:p>
        </w:tc>
        <w:tc>
          <w:tcPr>
            <w:tcW w:w="189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041F756F" w14:textId="77777777" w:rsidR="009B7818" w:rsidRPr="00DF39E8" w:rsidRDefault="009B7818" w:rsidP="00A00F2B">
            <w:pPr>
              <w:autoSpaceDE w:val="0"/>
              <w:autoSpaceDN w:val="0"/>
              <w:adjustRightInd w:val="0"/>
              <w:jc w:val="right"/>
              <w:rPr>
                <w:rFonts w:eastAsia="Calibri"/>
                <w:b/>
                <w:sz w:val="20"/>
                <w:szCs w:val="20"/>
                <w:lang w:eastAsia="en-US"/>
              </w:rPr>
            </w:pPr>
            <w:r w:rsidRPr="00DF39E8">
              <w:rPr>
                <w:rFonts w:eastAsia="Calibri"/>
                <w:b/>
                <w:sz w:val="20"/>
                <w:szCs w:val="20"/>
                <w:lang w:eastAsia="en-US"/>
              </w:rPr>
              <w:t>4 334 206</w:t>
            </w:r>
          </w:p>
        </w:tc>
        <w:tc>
          <w:tcPr>
            <w:tcW w:w="1716"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5E8E2DD" w14:textId="77777777" w:rsidR="009B7818" w:rsidRPr="00DF39E8" w:rsidRDefault="009B7818" w:rsidP="00A00F2B">
            <w:pPr>
              <w:autoSpaceDE w:val="0"/>
              <w:autoSpaceDN w:val="0"/>
              <w:adjustRightInd w:val="0"/>
              <w:jc w:val="right"/>
              <w:rPr>
                <w:rFonts w:eastAsia="Calibri"/>
                <w:b/>
                <w:sz w:val="20"/>
                <w:szCs w:val="20"/>
                <w:lang w:eastAsia="en-US"/>
              </w:rPr>
            </w:pPr>
            <w:r w:rsidRPr="00DF39E8">
              <w:rPr>
                <w:rFonts w:eastAsia="Calibri"/>
                <w:b/>
                <w:sz w:val="20"/>
                <w:szCs w:val="20"/>
                <w:lang w:eastAsia="en-US"/>
              </w:rPr>
              <w:t>4 370 570</w:t>
            </w:r>
          </w:p>
        </w:tc>
        <w:tc>
          <w:tcPr>
            <w:tcW w:w="1061" w:type="dxa"/>
            <w:tcBorders>
              <w:top w:val="single" w:sz="2" w:space="0" w:color="auto"/>
              <w:left w:val="single" w:sz="2" w:space="0" w:color="auto"/>
              <w:bottom w:val="single" w:sz="2" w:space="0" w:color="auto"/>
              <w:right w:val="single" w:sz="2" w:space="0" w:color="auto"/>
            </w:tcBorders>
            <w:shd w:val="clear" w:color="auto" w:fill="auto"/>
          </w:tcPr>
          <w:p w14:paraId="12541353" w14:textId="77777777" w:rsidR="009B7818" w:rsidRPr="00DF39E8" w:rsidRDefault="009B7818" w:rsidP="00A00F2B">
            <w:pPr>
              <w:autoSpaceDE w:val="0"/>
              <w:autoSpaceDN w:val="0"/>
              <w:adjustRightInd w:val="0"/>
              <w:ind w:right="227"/>
              <w:jc w:val="right"/>
              <w:rPr>
                <w:rFonts w:eastAsia="Calibri"/>
                <w:b/>
                <w:sz w:val="20"/>
                <w:szCs w:val="20"/>
                <w:lang w:eastAsia="en-US"/>
              </w:rPr>
            </w:pPr>
            <w:r w:rsidRPr="00DF39E8">
              <w:rPr>
                <w:rFonts w:eastAsia="Calibri"/>
                <w:b/>
                <w:sz w:val="20"/>
                <w:szCs w:val="20"/>
                <w:lang w:eastAsia="en-US"/>
              </w:rPr>
              <w:t>1</w:t>
            </w:r>
          </w:p>
        </w:tc>
      </w:tr>
      <w:tr w:rsidR="009B7818" w:rsidRPr="009B7818" w14:paraId="051F9979" w14:textId="77777777" w:rsidTr="00DF39E8">
        <w:trPr>
          <w:trHeight w:val="106"/>
          <w:jc w:val="center"/>
        </w:trPr>
        <w:tc>
          <w:tcPr>
            <w:tcW w:w="8157" w:type="dxa"/>
            <w:gridSpan w:val="6"/>
            <w:tcBorders>
              <w:top w:val="single" w:sz="2" w:space="0" w:color="auto"/>
              <w:left w:val="nil"/>
              <w:bottom w:val="nil"/>
              <w:right w:val="nil"/>
            </w:tcBorders>
            <w:shd w:val="clear" w:color="auto" w:fill="auto"/>
            <w:vAlign w:val="center"/>
          </w:tcPr>
          <w:p w14:paraId="557F0640" w14:textId="77777777" w:rsidR="009B7818" w:rsidRPr="00DF39E8" w:rsidRDefault="009B7818" w:rsidP="009B7818">
            <w:pPr>
              <w:autoSpaceDE w:val="0"/>
              <w:autoSpaceDN w:val="0"/>
              <w:adjustRightInd w:val="0"/>
              <w:spacing w:before="120"/>
              <w:ind w:right="-159"/>
              <w:jc w:val="both"/>
              <w:rPr>
                <w:rFonts w:eastAsia="Calibri"/>
                <w:bCs/>
                <w:sz w:val="20"/>
                <w:szCs w:val="20"/>
                <w:lang w:eastAsia="en-US"/>
              </w:rPr>
            </w:pPr>
            <w:r w:rsidRPr="00DF39E8">
              <w:rPr>
                <w:rFonts w:eastAsia="Calibri"/>
                <w:bCs/>
                <w:sz w:val="20"/>
                <w:szCs w:val="20"/>
                <w:lang w:eastAsia="en-US"/>
              </w:rPr>
              <w:t>FUENTE: CONDUSEF</w:t>
            </w:r>
          </w:p>
        </w:tc>
      </w:tr>
    </w:tbl>
    <w:p w14:paraId="284F70BB" w14:textId="77777777" w:rsidR="009B7818" w:rsidRDefault="009B7818" w:rsidP="009B7818">
      <w:pPr>
        <w:spacing w:before="360" w:after="360" w:line="360" w:lineRule="auto"/>
        <w:ind w:right="-159"/>
        <w:jc w:val="both"/>
        <w:rPr>
          <w:rFonts w:eastAsia="Calibri"/>
          <w:sz w:val="26"/>
          <w:szCs w:val="26"/>
          <w:lang w:eastAsia="en-US"/>
        </w:rPr>
      </w:pPr>
      <w:r w:rsidRPr="009B7818">
        <w:rPr>
          <w:rFonts w:eastAsia="Calibri"/>
          <w:sz w:val="26"/>
          <w:szCs w:val="26"/>
          <w:lang w:eastAsia="en-US"/>
        </w:rPr>
        <w:t>“Los cargos no reconocidos por consumos no efectuados” sigue siendo la principal causal de las reclamaciones con impacto monetario, al registrar casi 2.5 millones, es decir, 57% del total; le sigue la “No entrega cantidad solicitada” y posteriormente el “Retiro no reconocido”.</w:t>
      </w:r>
    </w:p>
    <w:p w14:paraId="1C208881" w14:textId="77777777" w:rsidR="008F5FED" w:rsidRDefault="008F5FED" w:rsidP="009B7818">
      <w:pPr>
        <w:spacing w:before="360" w:after="360" w:line="360" w:lineRule="auto"/>
        <w:ind w:right="-159"/>
        <w:jc w:val="both"/>
        <w:rPr>
          <w:rFonts w:eastAsia="Calibri"/>
          <w:sz w:val="26"/>
          <w:szCs w:val="26"/>
          <w:lang w:eastAsia="en-US"/>
        </w:rPr>
      </w:pPr>
    </w:p>
    <w:p w14:paraId="272187F1" w14:textId="77777777" w:rsidR="008F5FED" w:rsidRDefault="008F5FED" w:rsidP="009B7818">
      <w:pPr>
        <w:spacing w:before="360" w:after="360" w:line="360" w:lineRule="auto"/>
        <w:ind w:right="-159"/>
        <w:jc w:val="both"/>
        <w:rPr>
          <w:rFonts w:eastAsia="Calibri"/>
          <w:sz w:val="26"/>
          <w:szCs w:val="26"/>
          <w:lang w:eastAsia="en-US"/>
        </w:rPr>
      </w:pPr>
    </w:p>
    <w:p w14:paraId="4C69028A" w14:textId="77777777" w:rsidR="008F5FED" w:rsidRDefault="008F5FED" w:rsidP="009B7818">
      <w:pPr>
        <w:spacing w:before="360" w:after="360" w:line="360" w:lineRule="auto"/>
        <w:ind w:right="-159"/>
        <w:jc w:val="both"/>
        <w:rPr>
          <w:rFonts w:eastAsia="Calibri"/>
          <w:sz w:val="26"/>
          <w:szCs w:val="26"/>
          <w:lang w:eastAsia="en-US"/>
        </w:rPr>
      </w:pPr>
    </w:p>
    <w:p w14:paraId="739347BD" w14:textId="77777777" w:rsidR="008F5FED" w:rsidRDefault="008F5FED" w:rsidP="009B7818">
      <w:pPr>
        <w:spacing w:before="360" w:after="360" w:line="360" w:lineRule="auto"/>
        <w:ind w:right="-159"/>
        <w:jc w:val="both"/>
        <w:rPr>
          <w:rFonts w:eastAsia="Calibri"/>
          <w:sz w:val="26"/>
          <w:szCs w:val="26"/>
          <w:lang w:eastAsia="en-US"/>
        </w:rPr>
      </w:pPr>
    </w:p>
    <w:p w14:paraId="7434152B" w14:textId="77777777" w:rsidR="008F5FED" w:rsidRDefault="008F5FED" w:rsidP="009B7818">
      <w:pPr>
        <w:spacing w:before="360" w:after="360" w:line="360" w:lineRule="auto"/>
        <w:ind w:right="-159"/>
        <w:jc w:val="both"/>
        <w:rPr>
          <w:rFonts w:eastAsia="Calibri"/>
          <w:sz w:val="26"/>
          <w:szCs w:val="26"/>
          <w:lang w:eastAsia="en-US"/>
        </w:rPr>
      </w:pPr>
    </w:p>
    <w:tbl>
      <w:tblPr>
        <w:tblW w:w="8938"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5520"/>
        <w:gridCol w:w="1127"/>
        <w:gridCol w:w="1146"/>
        <w:gridCol w:w="1145"/>
      </w:tblGrid>
      <w:tr w:rsidR="009B7818" w:rsidRPr="009B7818" w14:paraId="60AECFD7" w14:textId="77777777" w:rsidTr="00DF39E8">
        <w:trPr>
          <w:trHeight w:val="106"/>
          <w:jc w:val="center"/>
        </w:trPr>
        <w:tc>
          <w:tcPr>
            <w:tcW w:w="8938" w:type="dxa"/>
            <w:gridSpan w:val="4"/>
            <w:tcBorders>
              <w:top w:val="nil"/>
              <w:left w:val="nil"/>
              <w:bottom w:val="single" w:sz="2" w:space="0" w:color="auto"/>
              <w:right w:val="nil"/>
            </w:tcBorders>
            <w:shd w:val="clear" w:color="auto" w:fill="auto"/>
            <w:vAlign w:val="center"/>
          </w:tcPr>
          <w:p w14:paraId="0AA46B23" w14:textId="77777777" w:rsidR="009B7818" w:rsidRPr="00DF39E8" w:rsidRDefault="009B7818" w:rsidP="009B7818">
            <w:pPr>
              <w:autoSpaceDE w:val="0"/>
              <w:autoSpaceDN w:val="0"/>
              <w:adjustRightInd w:val="0"/>
              <w:spacing w:after="120"/>
              <w:jc w:val="center"/>
              <w:rPr>
                <w:rFonts w:eastAsia="Calibri"/>
                <w:b/>
                <w:sz w:val="22"/>
                <w:szCs w:val="22"/>
                <w:lang w:eastAsia="en-US"/>
              </w:rPr>
            </w:pPr>
            <w:r w:rsidRPr="00DF39E8">
              <w:rPr>
                <w:rFonts w:eastAsia="Calibri"/>
                <w:b/>
                <w:bCs/>
                <w:sz w:val="22"/>
                <w:szCs w:val="22"/>
                <w:lang w:eastAsia="en-US"/>
              </w:rPr>
              <w:lastRenderedPageBreak/>
              <w:t>RECLAMACIONES CON IMPACTO MONETARIO POR CAUSA</w:t>
            </w:r>
          </w:p>
        </w:tc>
      </w:tr>
      <w:tr w:rsidR="009B7818" w:rsidRPr="009B7818" w14:paraId="49F0E70D" w14:textId="77777777" w:rsidTr="00DF39E8">
        <w:trPr>
          <w:trHeight w:val="106"/>
          <w:jc w:val="center"/>
        </w:trPr>
        <w:tc>
          <w:tcPr>
            <w:tcW w:w="5520" w:type="dxa"/>
            <w:tcBorders>
              <w:top w:val="single" w:sz="2" w:space="0" w:color="auto"/>
              <w:left w:val="single" w:sz="2" w:space="0" w:color="auto"/>
              <w:bottom w:val="single" w:sz="2" w:space="0" w:color="auto"/>
              <w:right w:val="single" w:sz="2" w:space="0" w:color="auto"/>
            </w:tcBorders>
            <w:shd w:val="clear" w:color="auto" w:fill="auto"/>
            <w:vAlign w:val="center"/>
          </w:tcPr>
          <w:p w14:paraId="2D6858CD" w14:textId="77777777" w:rsidR="009B7818" w:rsidRPr="00DF39E8" w:rsidRDefault="009B7818" w:rsidP="009B7818">
            <w:pPr>
              <w:autoSpaceDE w:val="0"/>
              <w:autoSpaceDN w:val="0"/>
              <w:adjustRightInd w:val="0"/>
              <w:jc w:val="center"/>
              <w:rPr>
                <w:rFonts w:eastAsia="Calibri"/>
                <w:b/>
                <w:bCs/>
                <w:sz w:val="20"/>
                <w:szCs w:val="20"/>
                <w:lang w:eastAsia="en-US"/>
              </w:rPr>
            </w:pPr>
            <w:r w:rsidRPr="00DF39E8">
              <w:rPr>
                <w:rFonts w:eastAsia="Calibri"/>
                <w:b/>
                <w:bCs/>
                <w:sz w:val="20"/>
                <w:szCs w:val="20"/>
                <w:lang w:eastAsia="en-US"/>
              </w:rPr>
              <w:t>Causa</w:t>
            </w:r>
          </w:p>
        </w:tc>
        <w:tc>
          <w:tcPr>
            <w:tcW w:w="1127" w:type="dxa"/>
            <w:tcBorders>
              <w:top w:val="single" w:sz="2" w:space="0" w:color="auto"/>
              <w:left w:val="single" w:sz="2" w:space="0" w:color="auto"/>
              <w:bottom w:val="single" w:sz="2" w:space="0" w:color="auto"/>
              <w:right w:val="single" w:sz="2" w:space="0" w:color="auto"/>
            </w:tcBorders>
            <w:shd w:val="clear" w:color="auto" w:fill="auto"/>
            <w:vAlign w:val="center"/>
          </w:tcPr>
          <w:p w14:paraId="17238751"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2013</w:t>
            </w:r>
          </w:p>
        </w:tc>
        <w:tc>
          <w:tcPr>
            <w:tcW w:w="1146" w:type="dxa"/>
            <w:tcBorders>
              <w:top w:val="single" w:sz="2" w:space="0" w:color="auto"/>
              <w:left w:val="single" w:sz="2" w:space="0" w:color="auto"/>
              <w:bottom w:val="single" w:sz="2" w:space="0" w:color="auto"/>
              <w:right w:val="single" w:sz="2" w:space="0" w:color="auto"/>
            </w:tcBorders>
            <w:shd w:val="clear" w:color="auto" w:fill="auto"/>
            <w:vAlign w:val="center"/>
          </w:tcPr>
          <w:p w14:paraId="490AF5E8"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2014</w:t>
            </w:r>
          </w:p>
        </w:tc>
        <w:tc>
          <w:tcPr>
            <w:tcW w:w="1145" w:type="dxa"/>
            <w:tcBorders>
              <w:top w:val="single" w:sz="2" w:space="0" w:color="auto"/>
              <w:left w:val="single" w:sz="2" w:space="0" w:color="auto"/>
              <w:bottom w:val="single" w:sz="2" w:space="0" w:color="auto"/>
              <w:right w:val="single" w:sz="2" w:space="0" w:color="auto"/>
            </w:tcBorders>
            <w:shd w:val="clear" w:color="auto" w:fill="auto"/>
            <w:vAlign w:val="center"/>
          </w:tcPr>
          <w:p w14:paraId="4488AA0F" w14:textId="77777777" w:rsidR="009B7818" w:rsidRPr="00DF39E8" w:rsidRDefault="009B7818" w:rsidP="009B7818">
            <w:pPr>
              <w:autoSpaceDE w:val="0"/>
              <w:autoSpaceDN w:val="0"/>
              <w:adjustRightInd w:val="0"/>
              <w:jc w:val="center"/>
              <w:rPr>
                <w:rFonts w:eastAsia="Calibri"/>
                <w:b/>
                <w:sz w:val="20"/>
                <w:szCs w:val="20"/>
                <w:lang w:eastAsia="en-US"/>
              </w:rPr>
            </w:pPr>
            <w:r w:rsidRPr="00DF39E8">
              <w:rPr>
                <w:rFonts w:eastAsia="Calibri"/>
                <w:b/>
                <w:sz w:val="20"/>
                <w:szCs w:val="20"/>
                <w:lang w:eastAsia="en-US"/>
              </w:rPr>
              <w:t>Variación (%)</w:t>
            </w:r>
          </w:p>
        </w:tc>
      </w:tr>
      <w:tr w:rsidR="009B7818" w:rsidRPr="009B7818" w14:paraId="6F6458D2" w14:textId="77777777" w:rsidTr="00DF39E8">
        <w:trPr>
          <w:trHeight w:val="106"/>
          <w:jc w:val="center"/>
        </w:trPr>
        <w:tc>
          <w:tcPr>
            <w:tcW w:w="5520" w:type="dxa"/>
            <w:tcBorders>
              <w:top w:val="single" w:sz="2" w:space="0" w:color="auto"/>
              <w:left w:val="single" w:sz="2" w:space="0" w:color="auto"/>
              <w:bottom w:val="nil"/>
              <w:right w:val="single" w:sz="2" w:space="0" w:color="auto"/>
            </w:tcBorders>
            <w:shd w:val="clear" w:color="auto" w:fill="auto"/>
            <w:vAlign w:val="center"/>
          </w:tcPr>
          <w:p w14:paraId="39DCC340"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Cargo no reconocido por consumos no efectuados</w:t>
            </w:r>
          </w:p>
        </w:tc>
        <w:tc>
          <w:tcPr>
            <w:tcW w:w="1127" w:type="dxa"/>
            <w:tcBorders>
              <w:top w:val="single" w:sz="2" w:space="0" w:color="auto"/>
              <w:left w:val="single" w:sz="2" w:space="0" w:color="auto"/>
              <w:bottom w:val="nil"/>
              <w:right w:val="single" w:sz="2" w:space="0" w:color="auto"/>
            </w:tcBorders>
            <w:shd w:val="clear" w:color="auto" w:fill="auto"/>
            <w:vAlign w:val="center"/>
          </w:tcPr>
          <w:p w14:paraId="653B4CCF"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2 535 151</w:t>
            </w:r>
          </w:p>
        </w:tc>
        <w:tc>
          <w:tcPr>
            <w:tcW w:w="1146" w:type="dxa"/>
            <w:tcBorders>
              <w:top w:val="single" w:sz="2" w:space="0" w:color="auto"/>
              <w:left w:val="single" w:sz="2" w:space="0" w:color="auto"/>
              <w:bottom w:val="nil"/>
              <w:right w:val="single" w:sz="2" w:space="0" w:color="auto"/>
            </w:tcBorders>
            <w:shd w:val="clear" w:color="auto" w:fill="auto"/>
            <w:vAlign w:val="center"/>
          </w:tcPr>
          <w:p w14:paraId="2EFE83E2"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2 478 538</w:t>
            </w:r>
          </w:p>
        </w:tc>
        <w:tc>
          <w:tcPr>
            <w:tcW w:w="1145" w:type="dxa"/>
            <w:tcBorders>
              <w:top w:val="single" w:sz="2" w:space="0" w:color="auto"/>
              <w:left w:val="single" w:sz="2" w:space="0" w:color="auto"/>
              <w:bottom w:val="nil"/>
              <w:right w:val="single" w:sz="2" w:space="0" w:color="auto"/>
            </w:tcBorders>
            <w:shd w:val="clear" w:color="auto" w:fill="auto"/>
            <w:vAlign w:val="center"/>
          </w:tcPr>
          <w:p w14:paraId="7516310B"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-2</w:t>
            </w:r>
          </w:p>
        </w:tc>
      </w:tr>
      <w:tr w:rsidR="009B7818" w:rsidRPr="009B7818" w14:paraId="6D35A19D"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77B06ACB"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No entrega cantidad solicitada</w:t>
            </w:r>
          </w:p>
        </w:tc>
        <w:tc>
          <w:tcPr>
            <w:tcW w:w="1127" w:type="dxa"/>
            <w:tcBorders>
              <w:top w:val="nil"/>
              <w:left w:val="single" w:sz="2" w:space="0" w:color="auto"/>
              <w:bottom w:val="nil"/>
              <w:right w:val="single" w:sz="2" w:space="0" w:color="auto"/>
            </w:tcBorders>
            <w:shd w:val="clear" w:color="auto" w:fill="auto"/>
            <w:vAlign w:val="center"/>
          </w:tcPr>
          <w:p w14:paraId="45FDED59"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282 643</w:t>
            </w:r>
          </w:p>
        </w:tc>
        <w:tc>
          <w:tcPr>
            <w:tcW w:w="1146" w:type="dxa"/>
            <w:tcBorders>
              <w:top w:val="nil"/>
              <w:left w:val="single" w:sz="2" w:space="0" w:color="auto"/>
              <w:bottom w:val="nil"/>
              <w:right w:val="single" w:sz="2" w:space="0" w:color="auto"/>
            </w:tcBorders>
            <w:shd w:val="clear" w:color="auto" w:fill="auto"/>
            <w:vAlign w:val="center"/>
          </w:tcPr>
          <w:p w14:paraId="3987560F"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353 295</w:t>
            </w:r>
          </w:p>
        </w:tc>
        <w:tc>
          <w:tcPr>
            <w:tcW w:w="1145" w:type="dxa"/>
            <w:tcBorders>
              <w:top w:val="nil"/>
              <w:left w:val="single" w:sz="2" w:space="0" w:color="auto"/>
              <w:bottom w:val="nil"/>
              <w:right w:val="single" w:sz="2" w:space="0" w:color="auto"/>
            </w:tcBorders>
            <w:shd w:val="clear" w:color="auto" w:fill="auto"/>
            <w:vAlign w:val="center"/>
          </w:tcPr>
          <w:p w14:paraId="17FD586A"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25</w:t>
            </w:r>
          </w:p>
        </w:tc>
      </w:tr>
      <w:tr w:rsidR="009B7818" w:rsidRPr="009B7818" w14:paraId="6225F0CA"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3D85EC56"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Retiro no reconocido</w:t>
            </w:r>
          </w:p>
        </w:tc>
        <w:tc>
          <w:tcPr>
            <w:tcW w:w="1127" w:type="dxa"/>
            <w:tcBorders>
              <w:top w:val="nil"/>
              <w:left w:val="single" w:sz="2" w:space="0" w:color="auto"/>
              <w:bottom w:val="nil"/>
              <w:right w:val="single" w:sz="2" w:space="0" w:color="auto"/>
            </w:tcBorders>
            <w:shd w:val="clear" w:color="auto" w:fill="auto"/>
            <w:vAlign w:val="center"/>
          </w:tcPr>
          <w:p w14:paraId="55C87316"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310 118</w:t>
            </w:r>
          </w:p>
        </w:tc>
        <w:tc>
          <w:tcPr>
            <w:tcW w:w="1146" w:type="dxa"/>
            <w:tcBorders>
              <w:top w:val="nil"/>
              <w:left w:val="single" w:sz="2" w:space="0" w:color="auto"/>
              <w:bottom w:val="nil"/>
              <w:right w:val="single" w:sz="2" w:space="0" w:color="auto"/>
            </w:tcBorders>
            <w:shd w:val="clear" w:color="auto" w:fill="auto"/>
            <w:vAlign w:val="center"/>
          </w:tcPr>
          <w:p w14:paraId="05F3F6A7"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264 712</w:t>
            </w:r>
          </w:p>
        </w:tc>
        <w:tc>
          <w:tcPr>
            <w:tcW w:w="1145" w:type="dxa"/>
            <w:tcBorders>
              <w:top w:val="nil"/>
              <w:left w:val="single" w:sz="2" w:space="0" w:color="auto"/>
              <w:bottom w:val="nil"/>
              <w:right w:val="single" w:sz="2" w:space="0" w:color="auto"/>
            </w:tcBorders>
            <w:shd w:val="clear" w:color="auto" w:fill="auto"/>
            <w:vAlign w:val="center"/>
          </w:tcPr>
          <w:p w14:paraId="7B4A081B"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-15</w:t>
            </w:r>
          </w:p>
        </w:tc>
      </w:tr>
      <w:tr w:rsidR="009B7818" w:rsidRPr="009B7818" w14:paraId="0D8DE9D0"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64934E52"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Cobros no reconocidos por otros conceptos</w:t>
            </w:r>
          </w:p>
        </w:tc>
        <w:tc>
          <w:tcPr>
            <w:tcW w:w="1127" w:type="dxa"/>
            <w:tcBorders>
              <w:top w:val="nil"/>
              <w:left w:val="single" w:sz="2" w:space="0" w:color="auto"/>
              <w:bottom w:val="nil"/>
              <w:right w:val="single" w:sz="2" w:space="0" w:color="auto"/>
            </w:tcBorders>
            <w:shd w:val="clear" w:color="auto" w:fill="auto"/>
            <w:vAlign w:val="center"/>
          </w:tcPr>
          <w:p w14:paraId="023090EF"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265 290</w:t>
            </w:r>
          </w:p>
        </w:tc>
        <w:tc>
          <w:tcPr>
            <w:tcW w:w="1146" w:type="dxa"/>
            <w:tcBorders>
              <w:top w:val="nil"/>
              <w:left w:val="single" w:sz="2" w:space="0" w:color="auto"/>
              <w:bottom w:val="nil"/>
              <w:right w:val="single" w:sz="2" w:space="0" w:color="auto"/>
            </w:tcBorders>
            <w:shd w:val="clear" w:color="auto" w:fill="auto"/>
            <w:vAlign w:val="center"/>
          </w:tcPr>
          <w:p w14:paraId="1C34DEF1"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228 580</w:t>
            </w:r>
          </w:p>
        </w:tc>
        <w:tc>
          <w:tcPr>
            <w:tcW w:w="1145" w:type="dxa"/>
            <w:tcBorders>
              <w:top w:val="nil"/>
              <w:left w:val="single" w:sz="2" w:space="0" w:color="auto"/>
              <w:bottom w:val="nil"/>
              <w:right w:val="single" w:sz="2" w:space="0" w:color="auto"/>
            </w:tcBorders>
            <w:shd w:val="clear" w:color="auto" w:fill="auto"/>
            <w:vAlign w:val="center"/>
          </w:tcPr>
          <w:p w14:paraId="33598D49"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-14</w:t>
            </w:r>
          </w:p>
        </w:tc>
      </w:tr>
      <w:tr w:rsidR="009B7818" w:rsidRPr="009B7818" w14:paraId="689D8214"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184F7E32"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Pago automático mal aplicado total o parcialmente domiciliación</w:t>
            </w:r>
          </w:p>
        </w:tc>
        <w:tc>
          <w:tcPr>
            <w:tcW w:w="1127" w:type="dxa"/>
            <w:tcBorders>
              <w:top w:val="nil"/>
              <w:left w:val="single" w:sz="2" w:space="0" w:color="auto"/>
              <w:bottom w:val="nil"/>
              <w:right w:val="single" w:sz="2" w:space="0" w:color="auto"/>
            </w:tcBorders>
            <w:shd w:val="clear" w:color="auto" w:fill="auto"/>
            <w:vAlign w:val="center"/>
          </w:tcPr>
          <w:p w14:paraId="3CA90F65"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149 354</w:t>
            </w:r>
          </w:p>
        </w:tc>
        <w:tc>
          <w:tcPr>
            <w:tcW w:w="1146" w:type="dxa"/>
            <w:tcBorders>
              <w:top w:val="nil"/>
              <w:left w:val="single" w:sz="2" w:space="0" w:color="auto"/>
              <w:bottom w:val="nil"/>
              <w:right w:val="single" w:sz="2" w:space="0" w:color="auto"/>
            </w:tcBorders>
            <w:shd w:val="clear" w:color="auto" w:fill="auto"/>
            <w:vAlign w:val="center"/>
          </w:tcPr>
          <w:p w14:paraId="3CC05741"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160 436</w:t>
            </w:r>
          </w:p>
        </w:tc>
        <w:tc>
          <w:tcPr>
            <w:tcW w:w="1145" w:type="dxa"/>
            <w:tcBorders>
              <w:top w:val="nil"/>
              <w:left w:val="single" w:sz="2" w:space="0" w:color="auto"/>
              <w:bottom w:val="nil"/>
              <w:right w:val="single" w:sz="2" w:space="0" w:color="auto"/>
            </w:tcBorders>
            <w:shd w:val="clear" w:color="auto" w:fill="auto"/>
            <w:vAlign w:val="center"/>
          </w:tcPr>
          <w:p w14:paraId="39E02FFB"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7</w:t>
            </w:r>
          </w:p>
        </w:tc>
      </w:tr>
      <w:tr w:rsidR="009B7818" w:rsidRPr="009B7818" w14:paraId="3293DA5E"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7D94278E"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Cobro no reconocido de intereses ordinarios y/o moratorios</w:t>
            </w:r>
          </w:p>
        </w:tc>
        <w:tc>
          <w:tcPr>
            <w:tcW w:w="1127" w:type="dxa"/>
            <w:tcBorders>
              <w:top w:val="nil"/>
              <w:left w:val="single" w:sz="2" w:space="0" w:color="auto"/>
              <w:bottom w:val="nil"/>
              <w:right w:val="single" w:sz="2" w:space="0" w:color="auto"/>
            </w:tcBorders>
            <w:shd w:val="clear" w:color="auto" w:fill="auto"/>
            <w:vAlign w:val="center"/>
          </w:tcPr>
          <w:p w14:paraId="37BE812D"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218 794</w:t>
            </w:r>
          </w:p>
        </w:tc>
        <w:tc>
          <w:tcPr>
            <w:tcW w:w="1146" w:type="dxa"/>
            <w:tcBorders>
              <w:top w:val="nil"/>
              <w:left w:val="single" w:sz="2" w:space="0" w:color="auto"/>
              <w:bottom w:val="nil"/>
              <w:right w:val="single" w:sz="2" w:space="0" w:color="auto"/>
            </w:tcBorders>
            <w:shd w:val="clear" w:color="auto" w:fill="auto"/>
            <w:vAlign w:val="center"/>
          </w:tcPr>
          <w:p w14:paraId="226E684D"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147 227</w:t>
            </w:r>
          </w:p>
        </w:tc>
        <w:tc>
          <w:tcPr>
            <w:tcW w:w="1145" w:type="dxa"/>
            <w:tcBorders>
              <w:top w:val="nil"/>
              <w:left w:val="single" w:sz="2" w:space="0" w:color="auto"/>
              <w:bottom w:val="nil"/>
              <w:right w:val="single" w:sz="2" w:space="0" w:color="auto"/>
            </w:tcBorders>
            <w:shd w:val="clear" w:color="auto" w:fill="auto"/>
            <w:vAlign w:val="center"/>
          </w:tcPr>
          <w:p w14:paraId="00A41A5C"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-33</w:t>
            </w:r>
          </w:p>
        </w:tc>
      </w:tr>
      <w:tr w:rsidR="009B7818" w:rsidRPr="009B7818" w14:paraId="7C500166"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6D2D22A9"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Cobro no reconocido de comisión por manejo de cuenta</w:t>
            </w:r>
          </w:p>
        </w:tc>
        <w:tc>
          <w:tcPr>
            <w:tcW w:w="1127" w:type="dxa"/>
            <w:tcBorders>
              <w:top w:val="nil"/>
              <w:left w:val="single" w:sz="2" w:space="0" w:color="auto"/>
              <w:bottom w:val="nil"/>
              <w:right w:val="single" w:sz="2" w:space="0" w:color="auto"/>
            </w:tcBorders>
            <w:shd w:val="clear" w:color="auto" w:fill="auto"/>
            <w:vAlign w:val="center"/>
          </w:tcPr>
          <w:p w14:paraId="7797A2EB"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142 756</w:t>
            </w:r>
          </w:p>
        </w:tc>
        <w:tc>
          <w:tcPr>
            <w:tcW w:w="1146" w:type="dxa"/>
            <w:tcBorders>
              <w:top w:val="nil"/>
              <w:left w:val="single" w:sz="2" w:space="0" w:color="auto"/>
              <w:bottom w:val="nil"/>
              <w:right w:val="single" w:sz="2" w:space="0" w:color="auto"/>
            </w:tcBorders>
            <w:shd w:val="clear" w:color="auto" w:fill="auto"/>
            <w:vAlign w:val="center"/>
          </w:tcPr>
          <w:p w14:paraId="0F51FACC"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107 825</w:t>
            </w:r>
          </w:p>
        </w:tc>
        <w:tc>
          <w:tcPr>
            <w:tcW w:w="1145" w:type="dxa"/>
            <w:tcBorders>
              <w:top w:val="nil"/>
              <w:left w:val="single" w:sz="2" w:space="0" w:color="auto"/>
              <w:bottom w:val="nil"/>
              <w:right w:val="single" w:sz="2" w:space="0" w:color="auto"/>
            </w:tcBorders>
            <w:shd w:val="clear" w:color="auto" w:fill="auto"/>
            <w:vAlign w:val="center"/>
          </w:tcPr>
          <w:p w14:paraId="570F2D77"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-24</w:t>
            </w:r>
          </w:p>
        </w:tc>
      </w:tr>
      <w:tr w:rsidR="009B7818" w:rsidRPr="009B7818" w14:paraId="1F5BB333"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245297B9"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Depósito no acreditado</w:t>
            </w:r>
          </w:p>
        </w:tc>
        <w:tc>
          <w:tcPr>
            <w:tcW w:w="1127" w:type="dxa"/>
            <w:tcBorders>
              <w:top w:val="nil"/>
              <w:left w:val="single" w:sz="2" w:space="0" w:color="auto"/>
              <w:bottom w:val="nil"/>
              <w:right w:val="single" w:sz="2" w:space="0" w:color="auto"/>
            </w:tcBorders>
            <w:shd w:val="clear" w:color="auto" w:fill="auto"/>
            <w:vAlign w:val="center"/>
          </w:tcPr>
          <w:p w14:paraId="0F935CD1"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71 008</w:t>
            </w:r>
          </w:p>
        </w:tc>
        <w:tc>
          <w:tcPr>
            <w:tcW w:w="1146" w:type="dxa"/>
            <w:tcBorders>
              <w:top w:val="nil"/>
              <w:left w:val="single" w:sz="2" w:space="0" w:color="auto"/>
              <w:bottom w:val="nil"/>
              <w:right w:val="single" w:sz="2" w:space="0" w:color="auto"/>
            </w:tcBorders>
            <w:shd w:val="clear" w:color="auto" w:fill="auto"/>
            <w:vAlign w:val="center"/>
          </w:tcPr>
          <w:p w14:paraId="235C71C7"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106 401</w:t>
            </w:r>
          </w:p>
        </w:tc>
        <w:tc>
          <w:tcPr>
            <w:tcW w:w="1145" w:type="dxa"/>
            <w:tcBorders>
              <w:top w:val="nil"/>
              <w:left w:val="single" w:sz="2" w:space="0" w:color="auto"/>
              <w:bottom w:val="nil"/>
              <w:right w:val="single" w:sz="2" w:space="0" w:color="auto"/>
            </w:tcBorders>
            <w:shd w:val="clear" w:color="auto" w:fill="auto"/>
            <w:vAlign w:val="center"/>
          </w:tcPr>
          <w:p w14:paraId="2C85AD72"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50</w:t>
            </w:r>
          </w:p>
        </w:tc>
      </w:tr>
      <w:tr w:rsidR="009B7818" w:rsidRPr="009B7818" w14:paraId="7152A478"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1BF67BA1"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Transferencia no reconocida</w:t>
            </w:r>
          </w:p>
        </w:tc>
        <w:tc>
          <w:tcPr>
            <w:tcW w:w="1127" w:type="dxa"/>
            <w:tcBorders>
              <w:top w:val="nil"/>
              <w:left w:val="single" w:sz="2" w:space="0" w:color="auto"/>
              <w:bottom w:val="nil"/>
              <w:right w:val="single" w:sz="2" w:space="0" w:color="auto"/>
            </w:tcBorders>
            <w:shd w:val="clear" w:color="auto" w:fill="auto"/>
            <w:vAlign w:val="center"/>
          </w:tcPr>
          <w:p w14:paraId="59F189A2"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18 280</w:t>
            </w:r>
          </w:p>
        </w:tc>
        <w:tc>
          <w:tcPr>
            <w:tcW w:w="1146" w:type="dxa"/>
            <w:tcBorders>
              <w:top w:val="nil"/>
              <w:left w:val="single" w:sz="2" w:space="0" w:color="auto"/>
              <w:bottom w:val="nil"/>
              <w:right w:val="single" w:sz="2" w:space="0" w:color="auto"/>
            </w:tcBorders>
            <w:shd w:val="clear" w:color="auto" w:fill="auto"/>
            <w:vAlign w:val="center"/>
          </w:tcPr>
          <w:p w14:paraId="2239E3E5"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62 088</w:t>
            </w:r>
          </w:p>
        </w:tc>
        <w:tc>
          <w:tcPr>
            <w:tcW w:w="1145" w:type="dxa"/>
            <w:tcBorders>
              <w:top w:val="nil"/>
              <w:left w:val="single" w:sz="2" w:space="0" w:color="auto"/>
              <w:bottom w:val="nil"/>
              <w:right w:val="single" w:sz="2" w:space="0" w:color="auto"/>
            </w:tcBorders>
            <w:shd w:val="clear" w:color="auto" w:fill="auto"/>
            <w:vAlign w:val="center"/>
          </w:tcPr>
          <w:p w14:paraId="21E88C14"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240</w:t>
            </w:r>
          </w:p>
        </w:tc>
      </w:tr>
      <w:tr w:rsidR="009B7818" w:rsidRPr="009B7818" w14:paraId="2E996DC6"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0A7C7B32"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Pago no acreditado</w:t>
            </w:r>
          </w:p>
        </w:tc>
        <w:tc>
          <w:tcPr>
            <w:tcW w:w="1127" w:type="dxa"/>
            <w:tcBorders>
              <w:top w:val="nil"/>
              <w:left w:val="single" w:sz="2" w:space="0" w:color="auto"/>
              <w:bottom w:val="nil"/>
              <w:right w:val="single" w:sz="2" w:space="0" w:color="auto"/>
            </w:tcBorders>
            <w:shd w:val="clear" w:color="auto" w:fill="auto"/>
            <w:vAlign w:val="center"/>
          </w:tcPr>
          <w:p w14:paraId="648EDA58"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42 724</w:t>
            </w:r>
          </w:p>
        </w:tc>
        <w:tc>
          <w:tcPr>
            <w:tcW w:w="1146" w:type="dxa"/>
            <w:tcBorders>
              <w:top w:val="nil"/>
              <w:left w:val="single" w:sz="2" w:space="0" w:color="auto"/>
              <w:bottom w:val="nil"/>
              <w:right w:val="single" w:sz="2" w:space="0" w:color="auto"/>
            </w:tcBorders>
            <w:shd w:val="clear" w:color="auto" w:fill="auto"/>
            <w:vAlign w:val="center"/>
          </w:tcPr>
          <w:p w14:paraId="575B501D"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50 344</w:t>
            </w:r>
          </w:p>
        </w:tc>
        <w:tc>
          <w:tcPr>
            <w:tcW w:w="1145" w:type="dxa"/>
            <w:tcBorders>
              <w:top w:val="nil"/>
              <w:left w:val="single" w:sz="2" w:space="0" w:color="auto"/>
              <w:bottom w:val="nil"/>
              <w:right w:val="single" w:sz="2" w:space="0" w:color="auto"/>
            </w:tcBorders>
            <w:shd w:val="clear" w:color="auto" w:fill="auto"/>
            <w:vAlign w:val="center"/>
          </w:tcPr>
          <w:p w14:paraId="651D42D2"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18</w:t>
            </w:r>
          </w:p>
        </w:tc>
      </w:tr>
      <w:tr w:rsidR="009B7818" w:rsidRPr="009B7818" w14:paraId="2FFBE46B"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4F150598"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Producto no reconocido</w:t>
            </w:r>
          </w:p>
        </w:tc>
        <w:tc>
          <w:tcPr>
            <w:tcW w:w="1127" w:type="dxa"/>
            <w:tcBorders>
              <w:top w:val="nil"/>
              <w:left w:val="single" w:sz="2" w:space="0" w:color="auto"/>
              <w:bottom w:val="nil"/>
              <w:right w:val="single" w:sz="2" w:space="0" w:color="auto"/>
            </w:tcBorders>
            <w:shd w:val="clear" w:color="auto" w:fill="auto"/>
            <w:vAlign w:val="center"/>
          </w:tcPr>
          <w:p w14:paraId="748468B0"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37 114</w:t>
            </w:r>
          </w:p>
        </w:tc>
        <w:tc>
          <w:tcPr>
            <w:tcW w:w="1146" w:type="dxa"/>
            <w:tcBorders>
              <w:top w:val="nil"/>
              <w:left w:val="single" w:sz="2" w:space="0" w:color="auto"/>
              <w:bottom w:val="nil"/>
              <w:right w:val="single" w:sz="2" w:space="0" w:color="auto"/>
            </w:tcBorders>
            <w:shd w:val="clear" w:color="auto" w:fill="auto"/>
            <w:vAlign w:val="center"/>
          </w:tcPr>
          <w:p w14:paraId="16B12B4A"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41 697</w:t>
            </w:r>
          </w:p>
        </w:tc>
        <w:tc>
          <w:tcPr>
            <w:tcW w:w="1145" w:type="dxa"/>
            <w:tcBorders>
              <w:top w:val="nil"/>
              <w:left w:val="single" w:sz="2" w:space="0" w:color="auto"/>
              <w:bottom w:val="nil"/>
              <w:right w:val="single" w:sz="2" w:space="0" w:color="auto"/>
            </w:tcBorders>
            <w:shd w:val="clear" w:color="auto" w:fill="auto"/>
            <w:vAlign w:val="center"/>
          </w:tcPr>
          <w:p w14:paraId="25D67965"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12</w:t>
            </w:r>
          </w:p>
        </w:tc>
      </w:tr>
      <w:tr w:rsidR="009B7818" w:rsidRPr="009B7818" w14:paraId="601266EF" w14:textId="77777777" w:rsidTr="00DF39E8">
        <w:trPr>
          <w:trHeight w:val="106"/>
          <w:jc w:val="center"/>
        </w:trPr>
        <w:tc>
          <w:tcPr>
            <w:tcW w:w="5520" w:type="dxa"/>
            <w:tcBorders>
              <w:top w:val="nil"/>
              <w:left w:val="single" w:sz="2" w:space="0" w:color="auto"/>
              <w:bottom w:val="nil"/>
              <w:right w:val="single" w:sz="2" w:space="0" w:color="auto"/>
            </w:tcBorders>
            <w:shd w:val="clear" w:color="auto" w:fill="auto"/>
            <w:vAlign w:val="center"/>
          </w:tcPr>
          <w:p w14:paraId="6D76B6B5" w14:textId="77777777" w:rsidR="009B7818" w:rsidRPr="00DF39E8" w:rsidRDefault="009B7818" w:rsidP="009B7818">
            <w:pPr>
              <w:autoSpaceDE w:val="0"/>
              <w:autoSpaceDN w:val="0"/>
              <w:adjustRightInd w:val="0"/>
              <w:jc w:val="both"/>
              <w:rPr>
                <w:rFonts w:eastAsia="Calibri"/>
                <w:bCs/>
                <w:sz w:val="20"/>
                <w:szCs w:val="20"/>
                <w:lang w:eastAsia="en-US"/>
              </w:rPr>
            </w:pPr>
            <w:r w:rsidRPr="00DF39E8">
              <w:rPr>
                <w:rFonts w:eastAsia="Calibri"/>
                <w:bCs/>
                <w:sz w:val="20"/>
                <w:szCs w:val="20"/>
                <w:lang w:eastAsia="en-US"/>
              </w:rPr>
              <w:t>Otras causas</w:t>
            </w:r>
          </w:p>
        </w:tc>
        <w:tc>
          <w:tcPr>
            <w:tcW w:w="1127" w:type="dxa"/>
            <w:tcBorders>
              <w:top w:val="nil"/>
              <w:left w:val="single" w:sz="2" w:space="0" w:color="auto"/>
              <w:bottom w:val="nil"/>
              <w:right w:val="single" w:sz="2" w:space="0" w:color="auto"/>
            </w:tcBorders>
            <w:shd w:val="clear" w:color="auto" w:fill="auto"/>
            <w:vAlign w:val="center"/>
          </w:tcPr>
          <w:p w14:paraId="7E4C35C9"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260 974</w:t>
            </w:r>
          </w:p>
        </w:tc>
        <w:tc>
          <w:tcPr>
            <w:tcW w:w="1146" w:type="dxa"/>
            <w:tcBorders>
              <w:top w:val="nil"/>
              <w:left w:val="single" w:sz="2" w:space="0" w:color="auto"/>
              <w:bottom w:val="nil"/>
              <w:right w:val="single" w:sz="2" w:space="0" w:color="auto"/>
            </w:tcBorders>
            <w:shd w:val="clear" w:color="auto" w:fill="auto"/>
            <w:vAlign w:val="center"/>
          </w:tcPr>
          <w:p w14:paraId="4CB85FEC" w14:textId="77777777" w:rsidR="009B7818" w:rsidRPr="00DF39E8" w:rsidRDefault="009B7818" w:rsidP="00E71F93">
            <w:pPr>
              <w:autoSpaceDE w:val="0"/>
              <w:autoSpaceDN w:val="0"/>
              <w:adjustRightInd w:val="0"/>
              <w:ind w:right="57"/>
              <w:jc w:val="right"/>
              <w:rPr>
                <w:rFonts w:eastAsia="Calibri"/>
                <w:sz w:val="20"/>
                <w:szCs w:val="20"/>
                <w:lang w:eastAsia="en-US"/>
              </w:rPr>
            </w:pPr>
            <w:r w:rsidRPr="00DF39E8">
              <w:rPr>
                <w:rFonts w:eastAsia="Calibri"/>
                <w:sz w:val="20"/>
                <w:szCs w:val="20"/>
                <w:lang w:eastAsia="en-US"/>
              </w:rPr>
              <w:t>369 427</w:t>
            </w:r>
          </w:p>
        </w:tc>
        <w:tc>
          <w:tcPr>
            <w:tcW w:w="1145" w:type="dxa"/>
            <w:tcBorders>
              <w:top w:val="nil"/>
              <w:left w:val="single" w:sz="2" w:space="0" w:color="auto"/>
              <w:bottom w:val="nil"/>
              <w:right w:val="single" w:sz="2" w:space="0" w:color="auto"/>
            </w:tcBorders>
            <w:shd w:val="clear" w:color="auto" w:fill="auto"/>
            <w:vAlign w:val="center"/>
          </w:tcPr>
          <w:p w14:paraId="5844BCF8" w14:textId="77777777" w:rsidR="009B7818" w:rsidRPr="00DF39E8" w:rsidRDefault="009B7818" w:rsidP="00E71F93">
            <w:pPr>
              <w:autoSpaceDE w:val="0"/>
              <w:autoSpaceDN w:val="0"/>
              <w:adjustRightInd w:val="0"/>
              <w:ind w:right="284"/>
              <w:jc w:val="right"/>
              <w:rPr>
                <w:rFonts w:eastAsia="Calibri"/>
                <w:sz w:val="20"/>
                <w:szCs w:val="20"/>
                <w:lang w:eastAsia="en-US"/>
              </w:rPr>
            </w:pPr>
            <w:r w:rsidRPr="00DF39E8">
              <w:rPr>
                <w:rFonts w:eastAsia="Calibri"/>
                <w:sz w:val="20"/>
                <w:szCs w:val="20"/>
                <w:lang w:eastAsia="en-US"/>
              </w:rPr>
              <w:t>42</w:t>
            </w:r>
          </w:p>
        </w:tc>
      </w:tr>
      <w:tr w:rsidR="009B7818" w:rsidRPr="009B7818" w14:paraId="1717B58C" w14:textId="77777777" w:rsidTr="00DF39E8">
        <w:trPr>
          <w:trHeight w:val="106"/>
          <w:jc w:val="center"/>
        </w:trPr>
        <w:tc>
          <w:tcPr>
            <w:tcW w:w="5520" w:type="dxa"/>
            <w:tcBorders>
              <w:top w:val="nil"/>
              <w:left w:val="single" w:sz="2" w:space="0" w:color="auto"/>
              <w:bottom w:val="single" w:sz="2" w:space="0" w:color="auto"/>
              <w:right w:val="single" w:sz="2" w:space="0" w:color="auto"/>
            </w:tcBorders>
            <w:shd w:val="clear" w:color="auto" w:fill="auto"/>
            <w:vAlign w:val="center"/>
          </w:tcPr>
          <w:p w14:paraId="3D03CDCB" w14:textId="77777777" w:rsidR="009B7818" w:rsidRPr="00DF39E8" w:rsidRDefault="009B7818" w:rsidP="009B7818">
            <w:pPr>
              <w:autoSpaceDE w:val="0"/>
              <w:autoSpaceDN w:val="0"/>
              <w:adjustRightInd w:val="0"/>
              <w:jc w:val="both"/>
              <w:rPr>
                <w:rFonts w:eastAsia="Calibri"/>
                <w:b/>
                <w:bCs/>
                <w:sz w:val="20"/>
                <w:szCs w:val="20"/>
                <w:lang w:eastAsia="en-US"/>
              </w:rPr>
            </w:pPr>
            <w:r w:rsidRPr="00DF39E8">
              <w:rPr>
                <w:rFonts w:eastAsia="Calibri"/>
                <w:b/>
                <w:bCs/>
                <w:sz w:val="20"/>
                <w:szCs w:val="20"/>
                <w:lang w:eastAsia="en-US"/>
              </w:rPr>
              <w:t>Total</w:t>
            </w:r>
          </w:p>
        </w:tc>
        <w:tc>
          <w:tcPr>
            <w:tcW w:w="1127" w:type="dxa"/>
            <w:tcBorders>
              <w:top w:val="nil"/>
              <w:left w:val="single" w:sz="2" w:space="0" w:color="auto"/>
              <w:bottom w:val="single" w:sz="2" w:space="0" w:color="auto"/>
              <w:right w:val="single" w:sz="2" w:space="0" w:color="auto"/>
            </w:tcBorders>
            <w:shd w:val="clear" w:color="auto" w:fill="auto"/>
            <w:vAlign w:val="center"/>
          </w:tcPr>
          <w:p w14:paraId="55FABEF5" w14:textId="77777777" w:rsidR="009B7818" w:rsidRPr="00DF39E8" w:rsidRDefault="009B7818" w:rsidP="00E71F93">
            <w:pPr>
              <w:autoSpaceDE w:val="0"/>
              <w:autoSpaceDN w:val="0"/>
              <w:adjustRightInd w:val="0"/>
              <w:ind w:right="57"/>
              <w:jc w:val="right"/>
              <w:rPr>
                <w:rFonts w:eastAsia="Calibri"/>
                <w:b/>
                <w:sz w:val="20"/>
                <w:szCs w:val="20"/>
                <w:lang w:eastAsia="en-US"/>
              </w:rPr>
            </w:pPr>
            <w:r w:rsidRPr="00DF39E8">
              <w:rPr>
                <w:rFonts w:eastAsia="Calibri"/>
                <w:b/>
                <w:sz w:val="20"/>
                <w:szCs w:val="20"/>
                <w:lang w:eastAsia="en-US"/>
              </w:rPr>
              <w:t>4 334 206</w:t>
            </w:r>
          </w:p>
        </w:tc>
        <w:tc>
          <w:tcPr>
            <w:tcW w:w="1146" w:type="dxa"/>
            <w:tcBorders>
              <w:top w:val="nil"/>
              <w:left w:val="single" w:sz="2" w:space="0" w:color="auto"/>
              <w:bottom w:val="single" w:sz="2" w:space="0" w:color="auto"/>
              <w:right w:val="single" w:sz="2" w:space="0" w:color="auto"/>
            </w:tcBorders>
            <w:shd w:val="clear" w:color="auto" w:fill="auto"/>
            <w:vAlign w:val="center"/>
          </w:tcPr>
          <w:p w14:paraId="0F7CB185" w14:textId="77777777" w:rsidR="009B7818" w:rsidRPr="00DF39E8" w:rsidRDefault="009B7818" w:rsidP="00E71F93">
            <w:pPr>
              <w:autoSpaceDE w:val="0"/>
              <w:autoSpaceDN w:val="0"/>
              <w:adjustRightInd w:val="0"/>
              <w:ind w:right="57"/>
              <w:jc w:val="right"/>
              <w:rPr>
                <w:rFonts w:eastAsia="Calibri"/>
                <w:b/>
                <w:sz w:val="20"/>
                <w:szCs w:val="20"/>
                <w:lang w:eastAsia="en-US"/>
              </w:rPr>
            </w:pPr>
            <w:r w:rsidRPr="00DF39E8">
              <w:rPr>
                <w:rFonts w:eastAsia="Calibri"/>
                <w:b/>
                <w:sz w:val="20"/>
                <w:szCs w:val="20"/>
                <w:lang w:eastAsia="en-US"/>
              </w:rPr>
              <w:t>4 370 570</w:t>
            </w:r>
          </w:p>
        </w:tc>
        <w:tc>
          <w:tcPr>
            <w:tcW w:w="1145" w:type="dxa"/>
            <w:tcBorders>
              <w:top w:val="nil"/>
              <w:left w:val="single" w:sz="2" w:space="0" w:color="auto"/>
              <w:bottom w:val="single" w:sz="2" w:space="0" w:color="auto"/>
              <w:right w:val="single" w:sz="2" w:space="0" w:color="auto"/>
            </w:tcBorders>
            <w:shd w:val="clear" w:color="auto" w:fill="auto"/>
            <w:vAlign w:val="center"/>
          </w:tcPr>
          <w:p w14:paraId="3DB3001A" w14:textId="77777777" w:rsidR="009B7818" w:rsidRPr="00DF39E8" w:rsidRDefault="009B7818" w:rsidP="00E71F93">
            <w:pPr>
              <w:autoSpaceDE w:val="0"/>
              <w:autoSpaceDN w:val="0"/>
              <w:adjustRightInd w:val="0"/>
              <w:ind w:right="284"/>
              <w:jc w:val="right"/>
              <w:rPr>
                <w:rFonts w:eastAsia="Calibri"/>
                <w:b/>
                <w:sz w:val="20"/>
                <w:szCs w:val="20"/>
                <w:lang w:eastAsia="en-US"/>
              </w:rPr>
            </w:pPr>
            <w:r w:rsidRPr="00DF39E8">
              <w:rPr>
                <w:rFonts w:eastAsia="Calibri"/>
                <w:b/>
                <w:sz w:val="20"/>
                <w:szCs w:val="20"/>
                <w:lang w:eastAsia="en-US"/>
              </w:rPr>
              <w:t>1</w:t>
            </w:r>
          </w:p>
        </w:tc>
      </w:tr>
      <w:tr w:rsidR="009B7818" w:rsidRPr="009B7818" w14:paraId="2467DC68" w14:textId="77777777" w:rsidTr="00DF39E8">
        <w:trPr>
          <w:trHeight w:val="106"/>
          <w:jc w:val="center"/>
        </w:trPr>
        <w:tc>
          <w:tcPr>
            <w:tcW w:w="8938" w:type="dxa"/>
            <w:gridSpan w:val="4"/>
            <w:tcBorders>
              <w:top w:val="single" w:sz="2" w:space="0" w:color="auto"/>
              <w:left w:val="nil"/>
              <w:bottom w:val="nil"/>
              <w:right w:val="nil"/>
            </w:tcBorders>
            <w:shd w:val="clear" w:color="auto" w:fill="auto"/>
            <w:vAlign w:val="center"/>
          </w:tcPr>
          <w:p w14:paraId="039C7602" w14:textId="5DFC9B15" w:rsidR="009B7818" w:rsidRPr="00DF39E8" w:rsidRDefault="009B7818" w:rsidP="009B7818">
            <w:pPr>
              <w:autoSpaceDE w:val="0"/>
              <w:autoSpaceDN w:val="0"/>
              <w:adjustRightInd w:val="0"/>
              <w:spacing w:before="120"/>
              <w:rPr>
                <w:rFonts w:eastAsia="Calibri"/>
                <w:sz w:val="20"/>
                <w:szCs w:val="20"/>
                <w:lang w:eastAsia="en-US"/>
              </w:rPr>
            </w:pPr>
            <w:r w:rsidRPr="00DF39E8">
              <w:rPr>
                <w:rFonts w:eastAsia="Calibri"/>
                <w:bCs/>
                <w:sz w:val="20"/>
                <w:szCs w:val="20"/>
                <w:lang w:eastAsia="en-US"/>
              </w:rPr>
              <w:t>FUENTE</w:t>
            </w:r>
            <w:r w:rsidRPr="00E71F93">
              <w:rPr>
                <w:rFonts w:eastAsia="Calibri"/>
                <w:bCs/>
                <w:sz w:val="20"/>
                <w:szCs w:val="20"/>
                <w:lang w:eastAsia="en-US"/>
              </w:rPr>
              <w:t>: CONDUSEF</w:t>
            </w:r>
            <w:r w:rsidR="00E71F93">
              <w:rPr>
                <w:rFonts w:eastAsia="Calibri"/>
                <w:bCs/>
                <w:sz w:val="20"/>
                <w:szCs w:val="20"/>
                <w:lang w:eastAsia="en-US"/>
              </w:rPr>
              <w:t>.</w:t>
            </w:r>
          </w:p>
        </w:tc>
      </w:tr>
    </w:tbl>
    <w:p w14:paraId="3F7F45AB" w14:textId="77777777" w:rsidR="009B7818" w:rsidRPr="009B7818" w:rsidRDefault="009B7818" w:rsidP="009B7818">
      <w:pPr>
        <w:spacing w:before="360" w:after="360" w:line="360" w:lineRule="auto"/>
        <w:ind w:right="-159"/>
        <w:jc w:val="both"/>
        <w:rPr>
          <w:rFonts w:eastAsia="Calibri"/>
          <w:sz w:val="26"/>
          <w:szCs w:val="26"/>
          <w:lang w:eastAsia="en-US"/>
        </w:rPr>
      </w:pPr>
      <w:r w:rsidRPr="009B7818">
        <w:rPr>
          <w:rFonts w:eastAsia="Calibri"/>
          <w:sz w:val="26"/>
          <w:szCs w:val="26"/>
          <w:lang w:eastAsia="en-US"/>
        </w:rPr>
        <w:t>En 2014 hubo un aumento en el total de sanciones del sector banca múltiple de 56% con respecto a 2013. Se observa un mayor aumento en HSBC, BBVA Bancomer y Banamex, siendo este último el banco que recibió más sanciones al registrar 722.</w:t>
      </w:r>
    </w:p>
    <w:p w14:paraId="10A07A54" w14:textId="265B7F50"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 xml:space="preserve">Sólo </w:t>
      </w:r>
      <w:r w:rsidR="00E71F93">
        <w:rPr>
          <w:rFonts w:eastAsia="Calibri"/>
          <w:sz w:val="26"/>
          <w:szCs w:val="26"/>
          <w:lang w:eastAsia="en-US"/>
        </w:rPr>
        <w:t xml:space="preserve">cinco </w:t>
      </w:r>
      <w:r w:rsidRPr="009B7818">
        <w:rPr>
          <w:rFonts w:eastAsia="Calibri"/>
          <w:sz w:val="26"/>
          <w:szCs w:val="26"/>
          <w:lang w:eastAsia="en-US"/>
        </w:rPr>
        <w:t>de los 45 bancos, es decir, el 11% del total, cuentan con un programa de “Educación financiera”, los cuales son BBVA Bancomer, Banamex, Banco Azteca, Compartamos Banco y Banco Autofin México.</w:t>
      </w:r>
    </w:p>
    <w:p w14:paraId="7781ADBF" w14:textId="7777777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b/>
          <w:sz w:val="26"/>
          <w:szCs w:val="26"/>
          <w:lang w:eastAsia="en-US"/>
        </w:rPr>
        <w:t>Banca de desarrollo</w:t>
      </w:r>
    </w:p>
    <w:p w14:paraId="44F3724C" w14:textId="020FF047"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Respecto al sector de banca de desarrollo, de los</w:t>
      </w:r>
      <w:r w:rsidR="00E71F93">
        <w:rPr>
          <w:rFonts w:eastAsia="Calibri"/>
          <w:sz w:val="26"/>
          <w:szCs w:val="26"/>
          <w:lang w:eastAsia="en-US"/>
        </w:rPr>
        <w:t xml:space="preserve"> seis</w:t>
      </w:r>
      <w:r w:rsidRPr="009B7818">
        <w:rPr>
          <w:rFonts w:eastAsia="Calibri"/>
          <w:sz w:val="26"/>
          <w:szCs w:val="26"/>
          <w:lang w:eastAsia="en-US"/>
        </w:rPr>
        <w:t xml:space="preserve"> bancos que lo conforman, </w:t>
      </w:r>
      <w:r w:rsidR="00E71F93">
        <w:rPr>
          <w:rFonts w:eastAsia="Calibri"/>
          <w:sz w:val="26"/>
          <w:szCs w:val="26"/>
          <w:lang w:eastAsia="en-US"/>
        </w:rPr>
        <w:t>cinco</w:t>
      </w:r>
      <w:r w:rsidRPr="009B7818">
        <w:rPr>
          <w:rFonts w:eastAsia="Calibri"/>
          <w:sz w:val="26"/>
          <w:szCs w:val="26"/>
          <w:lang w:eastAsia="en-US"/>
        </w:rPr>
        <w:t xml:space="preserve"> cuentan con al menos una reclamación durante 2014, y con un índice de atención a usuarios promedio del sector que aumentó de </w:t>
      </w:r>
      <w:r w:rsidRPr="009B7818">
        <w:rPr>
          <w:rFonts w:eastAsia="Calibri"/>
          <w:sz w:val="26"/>
          <w:szCs w:val="26"/>
          <w:lang w:val="es-ES" w:eastAsia="en-US"/>
        </w:rPr>
        <w:t>5.56 en enero-septiembre de 2014, a 5.58 en enero-diciembre 2014 (sic)</w:t>
      </w:r>
      <w:r w:rsidRPr="009B7818">
        <w:rPr>
          <w:rFonts w:eastAsia="Calibri"/>
          <w:sz w:val="26"/>
          <w:szCs w:val="26"/>
          <w:lang w:eastAsia="en-US"/>
        </w:rPr>
        <w:t>.</w:t>
      </w:r>
    </w:p>
    <w:p w14:paraId="4A749577" w14:textId="0ABF8B8C"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t xml:space="preserve">En ese período, </w:t>
      </w:r>
      <w:r w:rsidR="00E71F93">
        <w:rPr>
          <w:rFonts w:eastAsia="Calibri"/>
          <w:sz w:val="26"/>
          <w:szCs w:val="26"/>
          <w:lang w:eastAsia="en-US"/>
        </w:rPr>
        <w:t>dos</w:t>
      </w:r>
      <w:r w:rsidRPr="009B7818">
        <w:rPr>
          <w:rFonts w:eastAsia="Calibri"/>
          <w:sz w:val="26"/>
          <w:szCs w:val="26"/>
          <w:lang w:eastAsia="en-US"/>
        </w:rPr>
        <w:t xml:space="preserve"> bancos registraron al menos una sanción (33%), con un total de </w:t>
      </w:r>
      <w:r w:rsidR="00E71F93">
        <w:rPr>
          <w:rFonts w:eastAsia="Calibri"/>
          <w:sz w:val="26"/>
          <w:szCs w:val="26"/>
          <w:lang w:eastAsia="en-US"/>
        </w:rPr>
        <w:t>nueve</w:t>
      </w:r>
      <w:r w:rsidRPr="009B7818">
        <w:rPr>
          <w:rFonts w:eastAsia="Calibri"/>
          <w:sz w:val="26"/>
          <w:szCs w:val="26"/>
          <w:lang w:eastAsia="en-US"/>
        </w:rPr>
        <w:t xml:space="preserve"> sanciones por 183 mil 591 pesos.</w:t>
      </w:r>
    </w:p>
    <w:p w14:paraId="7596D77C" w14:textId="06B9BC12" w:rsidR="009B7818" w:rsidRPr="009B7818" w:rsidRDefault="009B7818" w:rsidP="009B7818">
      <w:pPr>
        <w:spacing w:after="360" w:line="360" w:lineRule="auto"/>
        <w:ind w:right="-159"/>
        <w:jc w:val="both"/>
        <w:rPr>
          <w:rFonts w:eastAsia="Calibri"/>
          <w:sz w:val="26"/>
          <w:szCs w:val="26"/>
          <w:lang w:eastAsia="en-US"/>
        </w:rPr>
      </w:pPr>
      <w:r w:rsidRPr="009B7818">
        <w:rPr>
          <w:rFonts w:eastAsia="Calibri"/>
          <w:sz w:val="26"/>
          <w:szCs w:val="26"/>
          <w:lang w:eastAsia="en-US"/>
        </w:rPr>
        <w:lastRenderedPageBreak/>
        <w:t xml:space="preserve">Sólo </w:t>
      </w:r>
      <w:r w:rsidR="00E71F93">
        <w:rPr>
          <w:rFonts w:eastAsia="Calibri"/>
          <w:sz w:val="26"/>
          <w:szCs w:val="26"/>
          <w:lang w:eastAsia="en-US"/>
        </w:rPr>
        <w:t>dos</w:t>
      </w:r>
      <w:r w:rsidRPr="009B7818">
        <w:rPr>
          <w:rFonts w:eastAsia="Calibri"/>
          <w:sz w:val="26"/>
          <w:szCs w:val="26"/>
          <w:lang w:eastAsia="en-US"/>
        </w:rPr>
        <w:t xml:space="preserve"> instituciones del sector cuentan con un programa de Educación financiera (Banco del Ahorro Nacional y Servicios Financieros, y Sociedad Hipotecaria Federal), es decir, 33% del total.</w:t>
      </w:r>
    </w:p>
    <w:p w14:paraId="36D5A769" w14:textId="77777777" w:rsidR="009B7818" w:rsidRPr="009B7818" w:rsidRDefault="009B7818" w:rsidP="009B7818">
      <w:pPr>
        <w:ind w:right="-159"/>
        <w:jc w:val="both"/>
        <w:rPr>
          <w:rFonts w:eastAsia="Calibri"/>
          <w:sz w:val="20"/>
          <w:szCs w:val="20"/>
          <w:lang w:eastAsia="en-US"/>
        </w:rPr>
      </w:pPr>
      <w:r w:rsidRPr="009B7818">
        <w:rPr>
          <w:rFonts w:eastAsia="Calibri"/>
          <w:b/>
          <w:sz w:val="20"/>
          <w:szCs w:val="20"/>
          <w:lang w:eastAsia="en-US"/>
        </w:rPr>
        <w:t>Fuente de información</w:t>
      </w:r>
      <w:r w:rsidRPr="009B7818">
        <w:rPr>
          <w:rFonts w:eastAsia="Calibri"/>
          <w:sz w:val="20"/>
          <w:szCs w:val="20"/>
          <w:lang w:eastAsia="en-US"/>
        </w:rPr>
        <w:t>:</w:t>
      </w:r>
    </w:p>
    <w:p w14:paraId="3D842842" w14:textId="77777777" w:rsidR="009B7818" w:rsidRPr="008F5FED" w:rsidRDefault="0045651A" w:rsidP="009B7818">
      <w:pPr>
        <w:ind w:right="-159"/>
        <w:jc w:val="both"/>
        <w:rPr>
          <w:rFonts w:eastAsia="Calibri"/>
          <w:color w:val="0000FF"/>
          <w:sz w:val="20"/>
          <w:szCs w:val="20"/>
          <w:lang w:eastAsia="en-US"/>
        </w:rPr>
      </w:pPr>
      <w:hyperlink r:id="rId275" w:history="1">
        <w:r w:rsidR="009B7818" w:rsidRPr="008F5FED">
          <w:rPr>
            <w:rFonts w:eastAsia="Calibri"/>
            <w:color w:val="0000FF"/>
            <w:sz w:val="20"/>
            <w:szCs w:val="20"/>
            <w:u w:val="single"/>
            <w:lang w:eastAsia="en-US"/>
          </w:rPr>
          <w:t>http://www.condusef.gob.mx/index.php/prensa/comunicados-2015/1179-aumentan-reclmaciones-en-el-sector-de-banca-multiple</w:t>
        </w:r>
      </w:hyperlink>
    </w:p>
    <w:p w14:paraId="12093FE6" w14:textId="77777777" w:rsidR="009B7818" w:rsidRPr="008F5FED" w:rsidRDefault="009B7818" w:rsidP="009B7818">
      <w:pPr>
        <w:ind w:right="-159"/>
        <w:jc w:val="both"/>
        <w:rPr>
          <w:rFonts w:eastAsia="Calibri"/>
          <w:sz w:val="20"/>
          <w:szCs w:val="20"/>
          <w:lang w:eastAsia="en-US"/>
        </w:rPr>
      </w:pPr>
      <w:r w:rsidRPr="008F5FED">
        <w:rPr>
          <w:rFonts w:eastAsia="Calibri"/>
          <w:sz w:val="20"/>
          <w:szCs w:val="20"/>
          <w:lang w:eastAsia="en-US"/>
        </w:rPr>
        <w:t>Para tener acceso a la presentación, visitar:</w:t>
      </w:r>
    </w:p>
    <w:p w14:paraId="07E51ED1" w14:textId="77777777" w:rsidR="009B7818" w:rsidRPr="008F5FED" w:rsidRDefault="0045651A" w:rsidP="009B7818">
      <w:pPr>
        <w:ind w:right="-159"/>
        <w:jc w:val="both"/>
        <w:rPr>
          <w:rFonts w:eastAsia="Calibri"/>
          <w:color w:val="0000FF"/>
          <w:sz w:val="20"/>
          <w:szCs w:val="20"/>
          <w:u w:val="single"/>
          <w:lang w:eastAsia="en-US"/>
        </w:rPr>
      </w:pPr>
      <w:hyperlink r:id="rId276" w:history="1">
        <w:r w:rsidR="009B7818" w:rsidRPr="008F5FED">
          <w:rPr>
            <w:rFonts w:eastAsia="Calibri"/>
            <w:color w:val="0000FF"/>
            <w:sz w:val="20"/>
            <w:szCs w:val="20"/>
            <w:u w:val="single"/>
            <w:lang w:eastAsia="en-US"/>
          </w:rPr>
          <w:t>http://www.condusef.gob.mx/PDF-s/Comunicados/2015/act-buro-marzo-2015.pdf</w:t>
        </w:r>
      </w:hyperlink>
    </w:p>
    <w:p w14:paraId="7BDBFD9B" w14:textId="77777777" w:rsidR="009B7818" w:rsidRPr="008F5FED" w:rsidRDefault="009B7818" w:rsidP="009B7818">
      <w:pPr>
        <w:ind w:right="-159"/>
        <w:jc w:val="both"/>
        <w:rPr>
          <w:rFonts w:eastAsia="Calibri"/>
          <w:sz w:val="20"/>
          <w:szCs w:val="20"/>
          <w:lang w:eastAsia="en-US"/>
        </w:rPr>
      </w:pPr>
      <w:r w:rsidRPr="008F5FED">
        <w:rPr>
          <w:rFonts w:eastAsia="Calibri"/>
          <w:sz w:val="20"/>
          <w:szCs w:val="20"/>
          <w:lang w:eastAsia="en-US"/>
        </w:rPr>
        <w:t>Para tener acceso a información relacionada visite:</w:t>
      </w:r>
    </w:p>
    <w:p w14:paraId="419D20AA" w14:textId="77777777" w:rsidR="009B7818" w:rsidRPr="008F5FED" w:rsidRDefault="009B7818" w:rsidP="008F5FED">
      <w:pPr>
        <w:spacing w:after="720"/>
        <w:ind w:right="-159"/>
        <w:jc w:val="both"/>
        <w:rPr>
          <w:rFonts w:eastAsia="Calibri"/>
          <w:color w:val="0000FF"/>
          <w:sz w:val="20"/>
          <w:szCs w:val="20"/>
          <w:u w:val="single"/>
          <w:lang w:eastAsia="en-US"/>
        </w:rPr>
      </w:pPr>
      <w:r w:rsidRPr="008F5FED">
        <w:rPr>
          <w:rFonts w:eastAsia="Calibri"/>
          <w:color w:val="0000FF"/>
          <w:sz w:val="20"/>
          <w:szCs w:val="20"/>
          <w:u w:val="single"/>
          <w:lang w:eastAsia="en-US"/>
        </w:rPr>
        <w:t>http://www.jornada.unam.mx/2015/03/25/economia/029n1eco</w:t>
      </w:r>
    </w:p>
    <w:p w14:paraId="5C75E175" w14:textId="77777777" w:rsidR="00DF39E8" w:rsidRPr="00DF39E8" w:rsidRDefault="00DF39E8" w:rsidP="00DF39E8">
      <w:pPr>
        <w:rPr>
          <w:rFonts w:eastAsia="Calibri"/>
          <w:b/>
          <w:sz w:val="26"/>
          <w:szCs w:val="26"/>
          <w:lang w:eastAsia="en-US"/>
        </w:rPr>
      </w:pPr>
      <w:r w:rsidRPr="00DF39E8">
        <w:rPr>
          <w:rFonts w:eastAsia="Calibri"/>
          <w:b/>
          <w:sz w:val="26"/>
          <w:szCs w:val="26"/>
          <w:lang w:eastAsia="en-US"/>
        </w:rPr>
        <w:t>El número  de  reclamaciones  imputables</w:t>
      </w:r>
    </w:p>
    <w:p w14:paraId="31572A95" w14:textId="77777777" w:rsidR="00DF39E8" w:rsidRPr="00DF39E8" w:rsidRDefault="00DF39E8" w:rsidP="00DF39E8">
      <w:pPr>
        <w:rPr>
          <w:rFonts w:eastAsia="Calibri"/>
          <w:b/>
          <w:sz w:val="26"/>
          <w:szCs w:val="26"/>
          <w:lang w:eastAsia="en-US"/>
        </w:rPr>
      </w:pPr>
      <w:r w:rsidRPr="00DF39E8">
        <w:rPr>
          <w:rFonts w:eastAsia="Calibri"/>
          <w:b/>
          <w:sz w:val="26"/>
          <w:szCs w:val="26"/>
          <w:lang w:eastAsia="en-US"/>
        </w:rPr>
        <w:t xml:space="preserve">a un posible fraude se ubicó en 2 millones </w:t>
      </w:r>
    </w:p>
    <w:p w14:paraId="7809713D" w14:textId="77777777" w:rsidR="00DF39E8" w:rsidRPr="00DF39E8" w:rsidRDefault="00DF39E8" w:rsidP="00DF39E8">
      <w:pPr>
        <w:spacing w:after="360" w:line="360" w:lineRule="auto"/>
        <w:ind w:right="-159"/>
        <w:jc w:val="both"/>
        <w:rPr>
          <w:rFonts w:eastAsia="Calibri"/>
          <w:b/>
          <w:sz w:val="26"/>
          <w:szCs w:val="26"/>
          <w:lang w:eastAsia="en-US"/>
        </w:rPr>
      </w:pPr>
      <w:r w:rsidRPr="00DF39E8">
        <w:rPr>
          <w:rFonts w:eastAsia="Calibri"/>
          <w:b/>
          <w:sz w:val="26"/>
          <w:szCs w:val="26"/>
          <w:lang w:eastAsia="en-US"/>
        </w:rPr>
        <w:t>890 mil 693 en 2014 (CONDUSEF)</w:t>
      </w:r>
    </w:p>
    <w:p w14:paraId="1D4A2C92"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El 30 de marzo de 2015, la Comisión Nacional para la Protección y Defensa de los Usuarios de Servicios Financieros (CONDUSEF) dio a conocer información relativa a Reclamaciones imputables a un posible fraude en el año 2014. A continuación se presenta la información.</w:t>
      </w:r>
    </w:p>
    <w:p w14:paraId="419C96CF" w14:textId="0D5E78B0"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La CONDUSEF informó que las “Reclamaciones imputables a un posible fraude en 2014” ascienden a 2 millones 890 mil 693, es decir, el 66% de las reclamaciones con impacto monetario presentadas por los clientes de la banca en México.</w:t>
      </w:r>
    </w:p>
    <w:p w14:paraId="2F525EC3"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Las Reclamaciones imputables a un presunto fraude las entendemos como el robo o extravío del plástico, la clonación de la banda magnética, las compras remotas o ventas por teléfono o internet, las transferencias electrónicas no reconocidas, el robo de identidad o falsificación de datos personales y las prácticas engañosas para obtener datos en cajeros automáticos.</w:t>
      </w:r>
    </w:p>
    <w:p w14:paraId="060A3756" w14:textId="55096289" w:rsid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 xml:space="preserve">Cabe señalar que </w:t>
      </w:r>
      <w:r w:rsidR="00CB1803">
        <w:rPr>
          <w:rFonts w:eastAsia="Calibri"/>
          <w:sz w:val="26"/>
          <w:szCs w:val="26"/>
          <w:lang w:eastAsia="en-US"/>
        </w:rPr>
        <w:t>tres</w:t>
      </w:r>
      <w:r w:rsidRPr="00DF39E8">
        <w:rPr>
          <w:rFonts w:eastAsia="Calibri"/>
          <w:sz w:val="26"/>
          <w:szCs w:val="26"/>
          <w:lang w:eastAsia="en-US"/>
        </w:rPr>
        <w:t xml:space="preserve"> bancos del llamado G</w:t>
      </w:r>
      <w:r w:rsidR="00CB1803">
        <w:rPr>
          <w:rFonts w:eastAsia="Calibri"/>
          <w:sz w:val="26"/>
          <w:szCs w:val="26"/>
          <w:lang w:eastAsia="en-US"/>
        </w:rPr>
        <w:t>-</w:t>
      </w:r>
      <w:r w:rsidRPr="00DF39E8">
        <w:rPr>
          <w:rFonts w:eastAsia="Calibri"/>
          <w:sz w:val="26"/>
          <w:szCs w:val="26"/>
          <w:lang w:eastAsia="en-US"/>
        </w:rPr>
        <w:t xml:space="preserve">7 (el grupo de las siete más grande) desde 2011 han registrado incrementos anuales en sus reclamos, Santander, Banorte e Inbursa. </w:t>
      </w:r>
      <w:r w:rsidRPr="00DF39E8">
        <w:rPr>
          <w:rFonts w:eastAsia="Calibri"/>
          <w:sz w:val="26"/>
          <w:szCs w:val="26"/>
          <w:lang w:eastAsia="en-US"/>
        </w:rPr>
        <w:lastRenderedPageBreak/>
        <w:t>Y por el contrario, los reclamos en HSBC, Banamex y Bancomer tuvieron una disminución en el último año.</w:t>
      </w:r>
    </w:p>
    <w:tbl>
      <w:tblPr>
        <w:tblW w:w="8415"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1276"/>
        <w:gridCol w:w="1116"/>
        <w:gridCol w:w="1116"/>
        <w:gridCol w:w="1116"/>
        <w:gridCol w:w="1116"/>
        <w:gridCol w:w="1475"/>
        <w:gridCol w:w="1200"/>
      </w:tblGrid>
      <w:tr w:rsidR="00DF39E8" w:rsidRPr="004D3FE5" w14:paraId="2BB725C9" w14:textId="77777777" w:rsidTr="00DF39E8">
        <w:trPr>
          <w:trHeight w:val="106"/>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921176" w14:textId="77777777" w:rsidR="00DF39E8" w:rsidRPr="004D3FE5" w:rsidRDefault="00DF39E8" w:rsidP="00A00F2B">
            <w:pPr>
              <w:autoSpaceDE w:val="0"/>
              <w:autoSpaceDN w:val="0"/>
              <w:adjustRightInd w:val="0"/>
              <w:jc w:val="center"/>
              <w:rPr>
                <w:rFonts w:eastAsia="Calibri"/>
                <w:b/>
                <w:bCs/>
                <w:sz w:val="20"/>
                <w:szCs w:val="20"/>
                <w:lang w:eastAsia="en-US"/>
              </w:rPr>
            </w:pPr>
            <w:r w:rsidRPr="004D3FE5">
              <w:rPr>
                <w:rFonts w:eastAsia="Calibri"/>
                <w:b/>
                <w:bCs/>
                <w:sz w:val="20"/>
                <w:szCs w:val="20"/>
                <w:lang w:eastAsia="en-US"/>
              </w:rPr>
              <w:t>Banco</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4B4A35A"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2011</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70EB721C"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2012</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38581C7"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2013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03D06E76"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2014</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6E2A5D10"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Participación</w:t>
            </w:r>
          </w:p>
          <w:p w14:paraId="6A41117E"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5D48F127"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Variación</w:t>
            </w:r>
          </w:p>
          <w:p w14:paraId="525851F7" w14:textId="77777777" w:rsidR="00DF39E8" w:rsidRPr="004D3FE5" w:rsidRDefault="00DF39E8" w:rsidP="00DF39E8">
            <w:pPr>
              <w:autoSpaceDE w:val="0"/>
              <w:autoSpaceDN w:val="0"/>
              <w:adjustRightInd w:val="0"/>
              <w:jc w:val="center"/>
              <w:rPr>
                <w:rFonts w:eastAsia="Calibri"/>
                <w:b/>
                <w:sz w:val="20"/>
                <w:szCs w:val="20"/>
                <w:lang w:eastAsia="en-US"/>
              </w:rPr>
            </w:pPr>
            <w:r w:rsidRPr="004D3FE5">
              <w:rPr>
                <w:rFonts w:eastAsia="Calibri"/>
                <w:b/>
                <w:sz w:val="20"/>
                <w:szCs w:val="20"/>
                <w:lang w:eastAsia="en-US"/>
              </w:rPr>
              <w:t>nominal</w:t>
            </w:r>
          </w:p>
          <w:p w14:paraId="214D40AE" w14:textId="77777777" w:rsidR="00DF39E8" w:rsidRPr="004D3FE5" w:rsidRDefault="00DF39E8" w:rsidP="00DF39E8">
            <w:pPr>
              <w:spacing w:after="160" w:line="259" w:lineRule="auto"/>
              <w:rPr>
                <w:rFonts w:eastAsia="Calibri"/>
                <w:b/>
                <w:sz w:val="20"/>
                <w:szCs w:val="20"/>
                <w:lang w:eastAsia="en-US"/>
              </w:rPr>
            </w:pPr>
            <w:r w:rsidRPr="004D3FE5">
              <w:rPr>
                <w:rFonts w:eastAsia="Calibri"/>
                <w:b/>
                <w:sz w:val="20"/>
                <w:szCs w:val="20"/>
                <w:lang w:eastAsia="en-US"/>
              </w:rPr>
              <w:t>2014/2013</w:t>
            </w:r>
          </w:p>
        </w:tc>
      </w:tr>
      <w:tr w:rsidR="00DF39E8" w:rsidRPr="004D3FE5" w14:paraId="0233D695" w14:textId="77777777" w:rsidTr="00DF39E8">
        <w:trPr>
          <w:trHeight w:val="106"/>
          <w:jc w:val="center"/>
        </w:trPr>
        <w:tc>
          <w:tcPr>
            <w:tcW w:w="1276" w:type="dxa"/>
            <w:tcBorders>
              <w:top w:val="single" w:sz="4" w:space="0" w:color="auto"/>
              <w:left w:val="single" w:sz="4" w:space="0" w:color="auto"/>
              <w:bottom w:val="nil"/>
              <w:right w:val="single" w:sz="4" w:space="0" w:color="auto"/>
            </w:tcBorders>
            <w:shd w:val="clear" w:color="auto" w:fill="auto"/>
            <w:vAlign w:val="center"/>
          </w:tcPr>
          <w:p w14:paraId="2C3149F1"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Santander</w:t>
            </w:r>
          </w:p>
        </w:tc>
        <w:tc>
          <w:tcPr>
            <w:tcW w:w="1116" w:type="dxa"/>
            <w:tcBorders>
              <w:top w:val="single" w:sz="4" w:space="0" w:color="auto"/>
              <w:left w:val="single" w:sz="4" w:space="0" w:color="auto"/>
              <w:bottom w:val="nil"/>
              <w:right w:val="single" w:sz="4" w:space="0" w:color="auto"/>
            </w:tcBorders>
            <w:shd w:val="clear" w:color="auto" w:fill="auto"/>
            <w:vAlign w:val="center"/>
          </w:tcPr>
          <w:p w14:paraId="79EE65AF"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311 236</w:t>
            </w:r>
          </w:p>
        </w:tc>
        <w:tc>
          <w:tcPr>
            <w:tcW w:w="1116" w:type="dxa"/>
            <w:tcBorders>
              <w:top w:val="single" w:sz="4" w:space="0" w:color="auto"/>
              <w:left w:val="single" w:sz="4" w:space="0" w:color="auto"/>
              <w:bottom w:val="nil"/>
              <w:right w:val="single" w:sz="4" w:space="0" w:color="auto"/>
            </w:tcBorders>
            <w:shd w:val="clear" w:color="auto" w:fill="auto"/>
            <w:vAlign w:val="center"/>
          </w:tcPr>
          <w:p w14:paraId="49BFE12F"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387 612</w:t>
            </w:r>
          </w:p>
        </w:tc>
        <w:tc>
          <w:tcPr>
            <w:tcW w:w="1116" w:type="dxa"/>
            <w:tcBorders>
              <w:top w:val="single" w:sz="4" w:space="0" w:color="auto"/>
              <w:left w:val="single" w:sz="4" w:space="0" w:color="auto"/>
              <w:bottom w:val="nil"/>
              <w:right w:val="single" w:sz="4" w:space="0" w:color="auto"/>
            </w:tcBorders>
            <w:shd w:val="clear" w:color="auto" w:fill="auto"/>
            <w:vAlign w:val="center"/>
          </w:tcPr>
          <w:p w14:paraId="612EB697"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465 982</w:t>
            </w:r>
          </w:p>
        </w:tc>
        <w:tc>
          <w:tcPr>
            <w:tcW w:w="1116" w:type="dxa"/>
            <w:tcBorders>
              <w:top w:val="single" w:sz="4" w:space="0" w:color="auto"/>
              <w:left w:val="single" w:sz="4" w:space="0" w:color="auto"/>
              <w:bottom w:val="nil"/>
              <w:right w:val="single" w:sz="4" w:space="0" w:color="auto"/>
            </w:tcBorders>
            <w:shd w:val="clear" w:color="auto" w:fill="auto"/>
            <w:vAlign w:val="center"/>
          </w:tcPr>
          <w:p w14:paraId="581FBBFC"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534 245</w:t>
            </w:r>
          </w:p>
        </w:tc>
        <w:tc>
          <w:tcPr>
            <w:tcW w:w="1475" w:type="dxa"/>
            <w:tcBorders>
              <w:top w:val="single" w:sz="4" w:space="0" w:color="auto"/>
              <w:left w:val="single" w:sz="4" w:space="0" w:color="auto"/>
              <w:bottom w:val="nil"/>
              <w:right w:val="single" w:sz="4" w:space="0" w:color="auto"/>
            </w:tcBorders>
            <w:shd w:val="clear" w:color="auto" w:fill="auto"/>
          </w:tcPr>
          <w:p w14:paraId="547B996C"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20</w:t>
            </w:r>
          </w:p>
        </w:tc>
        <w:tc>
          <w:tcPr>
            <w:tcW w:w="1200" w:type="dxa"/>
            <w:tcBorders>
              <w:top w:val="single" w:sz="4" w:space="0" w:color="auto"/>
              <w:left w:val="single" w:sz="4" w:space="0" w:color="auto"/>
              <w:bottom w:val="nil"/>
              <w:right w:val="single" w:sz="4" w:space="0" w:color="auto"/>
            </w:tcBorders>
            <w:shd w:val="clear" w:color="auto" w:fill="auto"/>
          </w:tcPr>
          <w:p w14:paraId="24B9AD23"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68 263</w:t>
            </w:r>
          </w:p>
        </w:tc>
      </w:tr>
      <w:tr w:rsidR="00DF39E8" w:rsidRPr="004D3FE5" w14:paraId="60E293C9"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19BBD4D1"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Banorte</w:t>
            </w:r>
          </w:p>
        </w:tc>
        <w:tc>
          <w:tcPr>
            <w:tcW w:w="1116" w:type="dxa"/>
            <w:tcBorders>
              <w:top w:val="nil"/>
              <w:left w:val="single" w:sz="4" w:space="0" w:color="auto"/>
              <w:bottom w:val="nil"/>
              <w:right w:val="single" w:sz="4" w:space="0" w:color="auto"/>
            </w:tcBorders>
            <w:shd w:val="clear" w:color="auto" w:fill="auto"/>
            <w:vAlign w:val="center"/>
          </w:tcPr>
          <w:p w14:paraId="55E022BB"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98 639</w:t>
            </w:r>
          </w:p>
        </w:tc>
        <w:tc>
          <w:tcPr>
            <w:tcW w:w="1116" w:type="dxa"/>
            <w:tcBorders>
              <w:top w:val="nil"/>
              <w:left w:val="single" w:sz="4" w:space="0" w:color="auto"/>
              <w:bottom w:val="nil"/>
              <w:right w:val="single" w:sz="4" w:space="0" w:color="auto"/>
            </w:tcBorders>
            <w:shd w:val="clear" w:color="auto" w:fill="auto"/>
            <w:vAlign w:val="center"/>
          </w:tcPr>
          <w:p w14:paraId="12A13162"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212 832</w:t>
            </w:r>
          </w:p>
        </w:tc>
        <w:tc>
          <w:tcPr>
            <w:tcW w:w="1116" w:type="dxa"/>
            <w:tcBorders>
              <w:top w:val="nil"/>
              <w:left w:val="single" w:sz="4" w:space="0" w:color="auto"/>
              <w:bottom w:val="nil"/>
              <w:right w:val="single" w:sz="4" w:space="0" w:color="auto"/>
            </w:tcBorders>
            <w:shd w:val="clear" w:color="auto" w:fill="auto"/>
            <w:vAlign w:val="center"/>
          </w:tcPr>
          <w:p w14:paraId="4CF04116"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223 111</w:t>
            </w:r>
          </w:p>
        </w:tc>
        <w:tc>
          <w:tcPr>
            <w:tcW w:w="1116" w:type="dxa"/>
            <w:tcBorders>
              <w:top w:val="nil"/>
              <w:left w:val="single" w:sz="4" w:space="0" w:color="auto"/>
              <w:bottom w:val="nil"/>
              <w:right w:val="single" w:sz="4" w:space="0" w:color="auto"/>
            </w:tcBorders>
            <w:shd w:val="clear" w:color="auto" w:fill="auto"/>
            <w:vAlign w:val="center"/>
          </w:tcPr>
          <w:p w14:paraId="37FDC395"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261 862</w:t>
            </w:r>
          </w:p>
        </w:tc>
        <w:tc>
          <w:tcPr>
            <w:tcW w:w="1475" w:type="dxa"/>
            <w:tcBorders>
              <w:top w:val="nil"/>
              <w:left w:val="single" w:sz="4" w:space="0" w:color="auto"/>
              <w:bottom w:val="nil"/>
              <w:right w:val="single" w:sz="4" w:space="0" w:color="auto"/>
            </w:tcBorders>
            <w:shd w:val="clear" w:color="auto" w:fill="auto"/>
            <w:vAlign w:val="center"/>
          </w:tcPr>
          <w:p w14:paraId="1D44F5C3"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10</w:t>
            </w:r>
          </w:p>
        </w:tc>
        <w:tc>
          <w:tcPr>
            <w:tcW w:w="1200" w:type="dxa"/>
            <w:tcBorders>
              <w:top w:val="nil"/>
              <w:left w:val="single" w:sz="4" w:space="0" w:color="auto"/>
              <w:bottom w:val="nil"/>
              <w:right w:val="single" w:sz="4" w:space="0" w:color="auto"/>
            </w:tcBorders>
            <w:shd w:val="clear" w:color="auto" w:fill="auto"/>
            <w:vAlign w:val="center"/>
          </w:tcPr>
          <w:p w14:paraId="7994EA04"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38 751</w:t>
            </w:r>
          </w:p>
        </w:tc>
      </w:tr>
      <w:tr w:rsidR="00DF39E8" w:rsidRPr="004D3FE5" w14:paraId="34B6A860"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6F4C7B6E"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Scotiabank</w:t>
            </w:r>
          </w:p>
        </w:tc>
        <w:tc>
          <w:tcPr>
            <w:tcW w:w="1116" w:type="dxa"/>
            <w:tcBorders>
              <w:top w:val="nil"/>
              <w:left w:val="single" w:sz="4" w:space="0" w:color="auto"/>
              <w:bottom w:val="nil"/>
              <w:right w:val="single" w:sz="4" w:space="0" w:color="auto"/>
            </w:tcBorders>
            <w:shd w:val="clear" w:color="auto" w:fill="auto"/>
            <w:vAlign w:val="center"/>
          </w:tcPr>
          <w:p w14:paraId="64281D00"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122 179</w:t>
            </w:r>
          </w:p>
        </w:tc>
        <w:tc>
          <w:tcPr>
            <w:tcW w:w="1116" w:type="dxa"/>
            <w:tcBorders>
              <w:top w:val="nil"/>
              <w:left w:val="single" w:sz="4" w:space="0" w:color="auto"/>
              <w:bottom w:val="nil"/>
              <w:right w:val="single" w:sz="4" w:space="0" w:color="auto"/>
            </w:tcBorders>
            <w:shd w:val="clear" w:color="auto" w:fill="auto"/>
            <w:vAlign w:val="center"/>
          </w:tcPr>
          <w:p w14:paraId="71ED7485"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81 554</w:t>
            </w:r>
          </w:p>
        </w:tc>
        <w:tc>
          <w:tcPr>
            <w:tcW w:w="1116" w:type="dxa"/>
            <w:tcBorders>
              <w:top w:val="nil"/>
              <w:left w:val="single" w:sz="4" w:space="0" w:color="auto"/>
              <w:bottom w:val="nil"/>
              <w:right w:val="single" w:sz="4" w:space="0" w:color="auto"/>
            </w:tcBorders>
            <w:shd w:val="clear" w:color="auto" w:fill="auto"/>
            <w:vAlign w:val="center"/>
          </w:tcPr>
          <w:p w14:paraId="3D9C0542"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80 037</w:t>
            </w:r>
          </w:p>
        </w:tc>
        <w:tc>
          <w:tcPr>
            <w:tcW w:w="1116" w:type="dxa"/>
            <w:tcBorders>
              <w:top w:val="nil"/>
              <w:left w:val="single" w:sz="4" w:space="0" w:color="auto"/>
              <w:bottom w:val="nil"/>
              <w:right w:val="single" w:sz="4" w:space="0" w:color="auto"/>
            </w:tcBorders>
            <w:shd w:val="clear" w:color="auto" w:fill="auto"/>
            <w:vAlign w:val="center"/>
          </w:tcPr>
          <w:p w14:paraId="25828108"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99 450</w:t>
            </w:r>
          </w:p>
        </w:tc>
        <w:tc>
          <w:tcPr>
            <w:tcW w:w="1475" w:type="dxa"/>
            <w:tcBorders>
              <w:top w:val="nil"/>
              <w:left w:val="single" w:sz="4" w:space="0" w:color="auto"/>
              <w:bottom w:val="nil"/>
              <w:right w:val="single" w:sz="4" w:space="0" w:color="auto"/>
            </w:tcBorders>
            <w:shd w:val="clear" w:color="auto" w:fill="auto"/>
            <w:vAlign w:val="center"/>
          </w:tcPr>
          <w:p w14:paraId="1A9CD165"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4</w:t>
            </w:r>
          </w:p>
        </w:tc>
        <w:tc>
          <w:tcPr>
            <w:tcW w:w="1200" w:type="dxa"/>
            <w:tcBorders>
              <w:top w:val="nil"/>
              <w:left w:val="single" w:sz="4" w:space="0" w:color="auto"/>
              <w:bottom w:val="nil"/>
              <w:right w:val="single" w:sz="4" w:space="0" w:color="auto"/>
            </w:tcBorders>
            <w:shd w:val="clear" w:color="auto" w:fill="auto"/>
            <w:vAlign w:val="center"/>
          </w:tcPr>
          <w:p w14:paraId="0D19E018"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19 413</w:t>
            </w:r>
          </w:p>
        </w:tc>
      </w:tr>
      <w:tr w:rsidR="00DF39E8" w:rsidRPr="004D3FE5" w14:paraId="4717782E"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5E66326E"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Inbursa</w:t>
            </w:r>
          </w:p>
        </w:tc>
        <w:tc>
          <w:tcPr>
            <w:tcW w:w="1116" w:type="dxa"/>
            <w:tcBorders>
              <w:top w:val="nil"/>
              <w:left w:val="single" w:sz="4" w:space="0" w:color="auto"/>
              <w:bottom w:val="nil"/>
              <w:right w:val="single" w:sz="4" w:space="0" w:color="auto"/>
            </w:tcBorders>
            <w:shd w:val="clear" w:color="auto" w:fill="auto"/>
            <w:vAlign w:val="center"/>
          </w:tcPr>
          <w:p w14:paraId="11A991B6"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30 150</w:t>
            </w:r>
          </w:p>
        </w:tc>
        <w:tc>
          <w:tcPr>
            <w:tcW w:w="1116" w:type="dxa"/>
            <w:tcBorders>
              <w:top w:val="nil"/>
              <w:left w:val="single" w:sz="4" w:space="0" w:color="auto"/>
              <w:bottom w:val="nil"/>
              <w:right w:val="single" w:sz="4" w:space="0" w:color="auto"/>
            </w:tcBorders>
            <w:shd w:val="clear" w:color="auto" w:fill="auto"/>
            <w:vAlign w:val="center"/>
          </w:tcPr>
          <w:p w14:paraId="3147AE3D"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39 283</w:t>
            </w:r>
          </w:p>
        </w:tc>
        <w:tc>
          <w:tcPr>
            <w:tcW w:w="1116" w:type="dxa"/>
            <w:tcBorders>
              <w:top w:val="nil"/>
              <w:left w:val="single" w:sz="4" w:space="0" w:color="auto"/>
              <w:bottom w:val="nil"/>
              <w:right w:val="single" w:sz="4" w:space="0" w:color="auto"/>
            </w:tcBorders>
            <w:shd w:val="clear" w:color="auto" w:fill="auto"/>
            <w:vAlign w:val="center"/>
          </w:tcPr>
          <w:p w14:paraId="25F419B4"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41 765</w:t>
            </w:r>
          </w:p>
        </w:tc>
        <w:tc>
          <w:tcPr>
            <w:tcW w:w="1116" w:type="dxa"/>
            <w:tcBorders>
              <w:top w:val="nil"/>
              <w:left w:val="single" w:sz="4" w:space="0" w:color="auto"/>
              <w:bottom w:val="nil"/>
              <w:right w:val="single" w:sz="4" w:space="0" w:color="auto"/>
            </w:tcBorders>
            <w:shd w:val="clear" w:color="auto" w:fill="auto"/>
            <w:vAlign w:val="center"/>
          </w:tcPr>
          <w:p w14:paraId="208AC311"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52 345</w:t>
            </w:r>
          </w:p>
        </w:tc>
        <w:tc>
          <w:tcPr>
            <w:tcW w:w="1475" w:type="dxa"/>
            <w:tcBorders>
              <w:top w:val="nil"/>
              <w:left w:val="single" w:sz="4" w:space="0" w:color="auto"/>
              <w:bottom w:val="nil"/>
              <w:right w:val="single" w:sz="4" w:space="0" w:color="auto"/>
            </w:tcBorders>
            <w:shd w:val="clear" w:color="auto" w:fill="auto"/>
          </w:tcPr>
          <w:p w14:paraId="066A3141"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2</w:t>
            </w:r>
          </w:p>
        </w:tc>
        <w:tc>
          <w:tcPr>
            <w:tcW w:w="1200" w:type="dxa"/>
            <w:tcBorders>
              <w:top w:val="nil"/>
              <w:left w:val="single" w:sz="4" w:space="0" w:color="auto"/>
              <w:bottom w:val="nil"/>
              <w:right w:val="single" w:sz="4" w:space="0" w:color="auto"/>
            </w:tcBorders>
            <w:shd w:val="clear" w:color="auto" w:fill="auto"/>
            <w:vAlign w:val="center"/>
          </w:tcPr>
          <w:p w14:paraId="32F0486E"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10 580</w:t>
            </w:r>
          </w:p>
        </w:tc>
      </w:tr>
      <w:tr w:rsidR="00DF39E8" w:rsidRPr="004D3FE5" w14:paraId="62038783"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6A6A5CD7"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HSBC</w:t>
            </w:r>
          </w:p>
        </w:tc>
        <w:tc>
          <w:tcPr>
            <w:tcW w:w="1116" w:type="dxa"/>
            <w:tcBorders>
              <w:top w:val="nil"/>
              <w:left w:val="single" w:sz="4" w:space="0" w:color="auto"/>
              <w:bottom w:val="nil"/>
              <w:right w:val="single" w:sz="4" w:space="0" w:color="auto"/>
            </w:tcBorders>
            <w:shd w:val="clear" w:color="auto" w:fill="auto"/>
            <w:vAlign w:val="center"/>
          </w:tcPr>
          <w:p w14:paraId="0D78A609"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200 284</w:t>
            </w:r>
          </w:p>
        </w:tc>
        <w:tc>
          <w:tcPr>
            <w:tcW w:w="1116" w:type="dxa"/>
            <w:tcBorders>
              <w:top w:val="nil"/>
              <w:left w:val="single" w:sz="4" w:space="0" w:color="auto"/>
              <w:bottom w:val="nil"/>
              <w:right w:val="single" w:sz="4" w:space="0" w:color="auto"/>
            </w:tcBorders>
            <w:shd w:val="clear" w:color="auto" w:fill="auto"/>
            <w:vAlign w:val="center"/>
          </w:tcPr>
          <w:p w14:paraId="68865965"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176 436</w:t>
            </w:r>
          </w:p>
        </w:tc>
        <w:tc>
          <w:tcPr>
            <w:tcW w:w="1116" w:type="dxa"/>
            <w:tcBorders>
              <w:top w:val="nil"/>
              <w:left w:val="single" w:sz="4" w:space="0" w:color="auto"/>
              <w:bottom w:val="nil"/>
              <w:right w:val="single" w:sz="4" w:space="0" w:color="auto"/>
            </w:tcBorders>
            <w:shd w:val="clear" w:color="auto" w:fill="auto"/>
            <w:vAlign w:val="center"/>
          </w:tcPr>
          <w:p w14:paraId="05206564"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181 807</w:t>
            </w:r>
          </w:p>
        </w:tc>
        <w:tc>
          <w:tcPr>
            <w:tcW w:w="1116" w:type="dxa"/>
            <w:tcBorders>
              <w:top w:val="nil"/>
              <w:left w:val="single" w:sz="4" w:space="0" w:color="auto"/>
              <w:bottom w:val="nil"/>
              <w:right w:val="single" w:sz="4" w:space="0" w:color="auto"/>
            </w:tcBorders>
            <w:shd w:val="clear" w:color="auto" w:fill="auto"/>
            <w:vAlign w:val="center"/>
          </w:tcPr>
          <w:p w14:paraId="46DE5DCF"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172 081</w:t>
            </w:r>
          </w:p>
        </w:tc>
        <w:tc>
          <w:tcPr>
            <w:tcW w:w="1475" w:type="dxa"/>
            <w:tcBorders>
              <w:top w:val="nil"/>
              <w:left w:val="single" w:sz="4" w:space="0" w:color="auto"/>
              <w:bottom w:val="nil"/>
              <w:right w:val="single" w:sz="4" w:space="0" w:color="auto"/>
            </w:tcBorders>
            <w:shd w:val="clear" w:color="auto" w:fill="auto"/>
            <w:vAlign w:val="center"/>
          </w:tcPr>
          <w:p w14:paraId="5BC195AE"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7</w:t>
            </w:r>
          </w:p>
        </w:tc>
        <w:tc>
          <w:tcPr>
            <w:tcW w:w="1200" w:type="dxa"/>
            <w:tcBorders>
              <w:top w:val="nil"/>
              <w:left w:val="single" w:sz="4" w:space="0" w:color="auto"/>
              <w:bottom w:val="nil"/>
              <w:right w:val="single" w:sz="4" w:space="0" w:color="auto"/>
            </w:tcBorders>
            <w:shd w:val="clear" w:color="auto" w:fill="auto"/>
            <w:vAlign w:val="center"/>
          </w:tcPr>
          <w:p w14:paraId="2C9818FE"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-9 726</w:t>
            </w:r>
          </w:p>
        </w:tc>
      </w:tr>
      <w:tr w:rsidR="00DF39E8" w:rsidRPr="004D3FE5" w14:paraId="27A7D032"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3C72921E"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Banamex</w:t>
            </w:r>
          </w:p>
        </w:tc>
        <w:tc>
          <w:tcPr>
            <w:tcW w:w="1116" w:type="dxa"/>
            <w:tcBorders>
              <w:top w:val="nil"/>
              <w:left w:val="single" w:sz="4" w:space="0" w:color="auto"/>
              <w:bottom w:val="nil"/>
              <w:right w:val="single" w:sz="4" w:space="0" w:color="auto"/>
            </w:tcBorders>
            <w:shd w:val="clear" w:color="auto" w:fill="auto"/>
            <w:vAlign w:val="center"/>
          </w:tcPr>
          <w:p w14:paraId="125C6776"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902 924</w:t>
            </w:r>
          </w:p>
        </w:tc>
        <w:tc>
          <w:tcPr>
            <w:tcW w:w="1116" w:type="dxa"/>
            <w:tcBorders>
              <w:top w:val="nil"/>
              <w:left w:val="single" w:sz="4" w:space="0" w:color="auto"/>
              <w:bottom w:val="nil"/>
              <w:right w:val="single" w:sz="4" w:space="0" w:color="auto"/>
            </w:tcBorders>
            <w:shd w:val="clear" w:color="auto" w:fill="auto"/>
            <w:vAlign w:val="center"/>
          </w:tcPr>
          <w:p w14:paraId="7DF9D62E"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937 081</w:t>
            </w:r>
          </w:p>
        </w:tc>
        <w:tc>
          <w:tcPr>
            <w:tcW w:w="1116" w:type="dxa"/>
            <w:tcBorders>
              <w:top w:val="nil"/>
              <w:left w:val="single" w:sz="4" w:space="0" w:color="auto"/>
              <w:bottom w:val="nil"/>
              <w:right w:val="single" w:sz="4" w:space="0" w:color="auto"/>
            </w:tcBorders>
            <w:shd w:val="clear" w:color="auto" w:fill="auto"/>
            <w:vAlign w:val="center"/>
          </w:tcPr>
          <w:p w14:paraId="749AAB61"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879 115</w:t>
            </w:r>
          </w:p>
        </w:tc>
        <w:tc>
          <w:tcPr>
            <w:tcW w:w="1116" w:type="dxa"/>
            <w:tcBorders>
              <w:top w:val="nil"/>
              <w:left w:val="single" w:sz="4" w:space="0" w:color="auto"/>
              <w:bottom w:val="nil"/>
              <w:right w:val="single" w:sz="4" w:space="0" w:color="auto"/>
            </w:tcBorders>
            <w:shd w:val="clear" w:color="auto" w:fill="auto"/>
            <w:vAlign w:val="center"/>
          </w:tcPr>
          <w:p w14:paraId="6CAD8E10"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800 046</w:t>
            </w:r>
          </w:p>
        </w:tc>
        <w:tc>
          <w:tcPr>
            <w:tcW w:w="1475" w:type="dxa"/>
            <w:tcBorders>
              <w:top w:val="nil"/>
              <w:left w:val="single" w:sz="4" w:space="0" w:color="auto"/>
              <w:bottom w:val="nil"/>
              <w:right w:val="single" w:sz="4" w:space="0" w:color="auto"/>
            </w:tcBorders>
            <w:shd w:val="clear" w:color="auto" w:fill="auto"/>
          </w:tcPr>
          <w:p w14:paraId="592FF652"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30</w:t>
            </w:r>
          </w:p>
        </w:tc>
        <w:tc>
          <w:tcPr>
            <w:tcW w:w="1200" w:type="dxa"/>
            <w:tcBorders>
              <w:top w:val="nil"/>
              <w:left w:val="single" w:sz="4" w:space="0" w:color="auto"/>
              <w:bottom w:val="nil"/>
              <w:right w:val="single" w:sz="4" w:space="0" w:color="auto"/>
            </w:tcBorders>
            <w:shd w:val="clear" w:color="auto" w:fill="auto"/>
          </w:tcPr>
          <w:p w14:paraId="20098108"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-79 069</w:t>
            </w:r>
          </w:p>
        </w:tc>
      </w:tr>
      <w:tr w:rsidR="00DF39E8" w:rsidRPr="004D3FE5" w14:paraId="3AF7D0EC" w14:textId="77777777" w:rsidTr="00DF39E8">
        <w:trPr>
          <w:trHeight w:val="106"/>
          <w:jc w:val="center"/>
        </w:trPr>
        <w:tc>
          <w:tcPr>
            <w:tcW w:w="1276" w:type="dxa"/>
            <w:tcBorders>
              <w:top w:val="nil"/>
              <w:left w:val="single" w:sz="4" w:space="0" w:color="auto"/>
              <w:bottom w:val="nil"/>
              <w:right w:val="single" w:sz="4" w:space="0" w:color="auto"/>
            </w:tcBorders>
            <w:shd w:val="clear" w:color="auto" w:fill="auto"/>
            <w:vAlign w:val="center"/>
          </w:tcPr>
          <w:p w14:paraId="6BEAE228" w14:textId="77777777" w:rsidR="00DF39E8" w:rsidRPr="004D3FE5" w:rsidRDefault="00DF39E8" w:rsidP="00DF39E8">
            <w:pPr>
              <w:autoSpaceDE w:val="0"/>
              <w:autoSpaceDN w:val="0"/>
              <w:adjustRightInd w:val="0"/>
              <w:jc w:val="both"/>
              <w:rPr>
                <w:rFonts w:eastAsia="Calibri"/>
                <w:bCs/>
                <w:sz w:val="20"/>
                <w:szCs w:val="20"/>
                <w:lang w:eastAsia="en-US"/>
              </w:rPr>
            </w:pPr>
            <w:r w:rsidRPr="004D3FE5">
              <w:rPr>
                <w:rFonts w:eastAsia="Calibri"/>
                <w:bCs/>
                <w:sz w:val="20"/>
                <w:szCs w:val="20"/>
                <w:lang w:eastAsia="en-US"/>
              </w:rPr>
              <w:t>Bancomer</w:t>
            </w:r>
          </w:p>
        </w:tc>
        <w:tc>
          <w:tcPr>
            <w:tcW w:w="1116" w:type="dxa"/>
            <w:tcBorders>
              <w:top w:val="nil"/>
              <w:left w:val="single" w:sz="4" w:space="0" w:color="auto"/>
              <w:bottom w:val="nil"/>
              <w:right w:val="single" w:sz="4" w:space="0" w:color="auto"/>
            </w:tcBorders>
            <w:shd w:val="clear" w:color="auto" w:fill="auto"/>
            <w:vAlign w:val="center"/>
          </w:tcPr>
          <w:p w14:paraId="2CF30A20"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1 077 449</w:t>
            </w:r>
          </w:p>
        </w:tc>
        <w:tc>
          <w:tcPr>
            <w:tcW w:w="1116" w:type="dxa"/>
            <w:tcBorders>
              <w:top w:val="nil"/>
              <w:left w:val="single" w:sz="4" w:space="0" w:color="auto"/>
              <w:bottom w:val="nil"/>
              <w:right w:val="single" w:sz="4" w:space="0" w:color="auto"/>
            </w:tcBorders>
            <w:shd w:val="clear" w:color="auto" w:fill="auto"/>
            <w:vAlign w:val="center"/>
          </w:tcPr>
          <w:p w14:paraId="02D82F31"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841 401</w:t>
            </w:r>
          </w:p>
        </w:tc>
        <w:tc>
          <w:tcPr>
            <w:tcW w:w="1116" w:type="dxa"/>
            <w:tcBorders>
              <w:top w:val="nil"/>
              <w:left w:val="single" w:sz="4" w:space="0" w:color="auto"/>
              <w:bottom w:val="nil"/>
              <w:right w:val="single" w:sz="4" w:space="0" w:color="auto"/>
            </w:tcBorders>
            <w:shd w:val="clear" w:color="auto" w:fill="auto"/>
            <w:vAlign w:val="center"/>
          </w:tcPr>
          <w:p w14:paraId="3A971BCE"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909 821</w:t>
            </w:r>
          </w:p>
        </w:tc>
        <w:tc>
          <w:tcPr>
            <w:tcW w:w="1116" w:type="dxa"/>
            <w:tcBorders>
              <w:top w:val="nil"/>
              <w:left w:val="single" w:sz="4" w:space="0" w:color="auto"/>
              <w:bottom w:val="nil"/>
              <w:right w:val="single" w:sz="4" w:space="0" w:color="auto"/>
            </w:tcBorders>
            <w:shd w:val="clear" w:color="auto" w:fill="auto"/>
            <w:vAlign w:val="center"/>
          </w:tcPr>
          <w:p w14:paraId="52127FBC" w14:textId="77777777" w:rsidR="00DF39E8" w:rsidRPr="004D3FE5" w:rsidRDefault="00DF39E8" w:rsidP="00A00F2B">
            <w:pPr>
              <w:autoSpaceDE w:val="0"/>
              <w:autoSpaceDN w:val="0"/>
              <w:adjustRightInd w:val="0"/>
              <w:jc w:val="right"/>
              <w:rPr>
                <w:rFonts w:eastAsia="Calibri"/>
                <w:sz w:val="20"/>
                <w:szCs w:val="20"/>
                <w:lang w:eastAsia="en-US"/>
              </w:rPr>
            </w:pPr>
            <w:r w:rsidRPr="004D3FE5">
              <w:rPr>
                <w:rFonts w:eastAsia="Calibri"/>
                <w:sz w:val="20"/>
                <w:szCs w:val="20"/>
                <w:lang w:eastAsia="en-US"/>
              </w:rPr>
              <w:t>713 486</w:t>
            </w:r>
          </w:p>
        </w:tc>
        <w:tc>
          <w:tcPr>
            <w:tcW w:w="1475" w:type="dxa"/>
            <w:tcBorders>
              <w:top w:val="nil"/>
              <w:left w:val="single" w:sz="4" w:space="0" w:color="auto"/>
              <w:bottom w:val="nil"/>
              <w:right w:val="single" w:sz="4" w:space="0" w:color="auto"/>
            </w:tcBorders>
            <w:shd w:val="clear" w:color="auto" w:fill="auto"/>
          </w:tcPr>
          <w:p w14:paraId="2ABB2E3C" w14:textId="77777777" w:rsidR="00DF39E8" w:rsidRPr="004D3FE5" w:rsidRDefault="00DF39E8" w:rsidP="00A00F2B">
            <w:pPr>
              <w:autoSpaceDE w:val="0"/>
              <w:autoSpaceDN w:val="0"/>
              <w:adjustRightInd w:val="0"/>
              <w:ind w:left="-340" w:right="510"/>
              <w:jc w:val="right"/>
              <w:rPr>
                <w:rFonts w:eastAsia="Calibri"/>
                <w:sz w:val="20"/>
                <w:szCs w:val="20"/>
                <w:lang w:eastAsia="en-US"/>
              </w:rPr>
            </w:pPr>
            <w:r w:rsidRPr="004D3FE5">
              <w:rPr>
                <w:rFonts w:eastAsia="Calibri"/>
                <w:sz w:val="20"/>
                <w:szCs w:val="20"/>
                <w:lang w:eastAsia="en-US"/>
              </w:rPr>
              <w:t>27</w:t>
            </w:r>
          </w:p>
        </w:tc>
        <w:tc>
          <w:tcPr>
            <w:tcW w:w="1200" w:type="dxa"/>
            <w:tcBorders>
              <w:top w:val="nil"/>
              <w:left w:val="single" w:sz="4" w:space="0" w:color="auto"/>
              <w:bottom w:val="nil"/>
              <w:right w:val="single" w:sz="4" w:space="0" w:color="auto"/>
            </w:tcBorders>
            <w:shd w:val="clear" w:color="auto" w:fill="auto"/>
          </w:tcPr>
          <w:p w14:paraId="69E96C97" w14:textId="77777777" w:rsidR="00DF39E8" w:rsidRPr="004D3FE5" w:rsidRDefault="00DF39E8" w:rsidP="00A00F2B">
            <w:pPr>
              <w:autoSpaceDE w:val="0"/>
              <w:autoSpaceDN w:val="0"/>
              <w:adjustRightInd w:val="0"/>
              <w:ind w:right="170"/>
              <w:jc w:val="right"/>
              <w:rPr>
                <w:rFonts w:eastAsia="Calibri"/>
                <w:sz w:val="20"/>
                <w:szCs w:val="20"/>
                <w:lang w:eastAsia="en-US"/>
              </w:rPr>
            </w:pPr>
            <w:r w:rsidRPr="004D3FE5">
              <w:rPr>
                <w:rFonts w:eastAsia="Calibri"/>
                <w:sz w:val="20"/>
                <w:szCs w:val="20"/>
                <w:lang w:eastAsia="en-US"/>
              </w:rPr>
              <w:t>-196 335</w:t>
            </w:r>
          </w:p>
        </w:tc>
      </w:tr>
      <w:tr w:rsidR="00DF39E8" w:rsidRPr="004D3FE5" w14:paraId="6A2B57CF" w14:textId="77777777" w:rsidTr="00DF39E8">
        <w:trPr>
          <w:trHeight w:val="106"/>
          <w:jc w:val="center"/>
        </w:trPr>
        <w:tc>
          <w:tcPr>
            <w:tcW w:w="1276" w:type="dxa"/>
            <w:tcBorders>
              <w:top w:val="nil"/>
              <w:left w:val="single" w:sz="4" w:space="0" w:color="auto"/>
              <w:bottom w:val="single" w:sz="4" w:space="0" w:color="auto"/>
              <w:right w:val="single" w:sz="4" w:space="0" w:color="auto"/>
            </w:tcBorders>
            <w:shd w:val="clear" w:color="auto" w:fill="auto"/>
            <w:vAlign w:val="center"/>
          </w:tcPr>
          <w:p w14:paraId="5016AF12" w14:textId="77777777" w:rsidR="00DF39E8" w:rsidRPr="004D3FE5" w:rsidRDefault="00DF39E8" w:rsidP="00DF39E8">
            <w:pPr>
              <w:autoSpaceDE w:val="0"/>
              <w:autoSpaceDN w:val="0"/>
              <w:adjustRightInd w:val="0"/>
              <w:jc w:val="both"/>
              <w:rPr>
                <w:rFonts w:eastAsia="Calibri"/>
                <w:b/>
                <w:bCs/>
                <w:sz w:val="20"/>
                <w:szCs w:val="20"/>
                <w:lang w:eastAsia="en-US"/>
              </w:rPr>
            </w:pPr>
            <w:r w:rsidRPr="004D3FE5">
              <w:rPr>
                <w:rFonts w:eastAsia="Calibri"/>
                <w:b/>
                <w:bCs/>
                <w:sz w:val="20"/>
                <w:szCs w:val="20"/>
                <w:lang w:eastAsia="en-US"/>
              </w:rPr>
              <w:t>Total</w:t>
            </w:r>
          </w:p>
        </w:tc>
        <w:tc>
          <w:tcPr>
            <w:tcW w:w="1116" w:type="dxa"/>
            <w:tcBorders>
              <w:top w:val="nil"/>
              <w:left w:val="single" w:sz="4" w:space="0" w:color="auto"/>
              <w:bottom w:val="single" w:sz="4" w:space="0" w:color="auto"/>
              <w:right w:val="single" w:sz="4" w:space="0" w:color="auto"/>
            </w:tcBorders>
            <w:shd w:val="clear" w:color="auto" w:fill="auto"/>
            <w:vAlign w:val="center"/>
          </w:tcPr>
          <w:p w14:paraId="11472E5E" w14:textId="77777777" w:rsidR="00DF39E8" w:rsidRPr="004D3FE5" w:rsidRDefault="00DF39E8" w:rsidP="00A00F2B">
            <w:pPr>
              <w:autoSpaceDE w:val="0"/>
              <w:autoSpaceDN w:val="0"/>
              <w:adjustRightInd w:val="0"/>
              <w:jc w:val="right"/>
              <w:rPr>
                <w:rFonts w:eastAsia="Calibri"/>
                <w:b/>
                <w:sz w:val="20"/>
                <w:szCs w:val="20"/>
                <w:lang w:eastAsia="en-US"/>
              </w:rPr>
            </w:pPr>
            <w:r w:rsidRPr="004D3FE5">
              <w:rPr>
                <w:rFonts w:eastAsia="Calibri"/>
                <w:b/>
                <w:sz w:val="20"/>
                <w:szCs w:val="20"/>
                <w:lang w:eastAsia="en-US"/>
              </w:rPr>
              <w:t>2 742 861</w:t>
            </w:r>
          </w:p>
        </w:tc>
        <w:tc>
          <w:tcPr>
            <w:tcW w:w="1116" w:type="dxa"/>
            <w:tcBorders>
              <w:top w:val="nil"/>
              <w:left w:val="single" w:sz="4" w:space="0" w:color="auto"/>
              <w:bottom w:val="single" w:sz="4" w:space="0" w:color="auto"/>
              <w:right w:val="single" w:sz="4" w:space="0" w:color="auto"/>
            </w:tcBorders>
            <w:shd w:val="clear" w:color="auto" w:fill="auto"/>
            <w:vAlign w:val="center"/>
          </w:tcPr>
          <w:p w14:paraId="72CA840B" w14:textId="77777777" w:rsidR="00DF39E8" w:rsidRPr="004D3FE5" w:rsidRDefault="00DF39E8" w:rsidP="00A00F2B">
            <w:pPr>
              <w:autoSpaceDE w:val="0"/>
              <w:autoSpaceDN w:val="0"/>
              <w:adjustRightInd w:val="0"/>
              <w:jc w:val="right"/>
              <w:rPr>
                <w:rFonts w:eastAsia="Calibri"/>
                <w:b/>
                <w:sz w:val="20"/>
                <w:szCs w:val="20"/>
                <w:lang w:eastAsia="en-US"/>
              </w:rPr>
            </w:pPr>
            <w:r w:rsidRPr="004D3FE5">
              <w:rPr>
                <w:rFonts w:eastAsia="Calibri"/>
                <w:b/>
                <w:sz w:val="20"/>
                <w:szCs w:val="20"/>
                <w:lang w:eastAsia="en-US"/>
              </w:rPr>
              <w:t>2 676 199</w:t>
            </w:r>
          </w:p>
        </w:tc>
        <w:tc>
          <w:tcPr>
            <w:tcW w:w="1116" w:type="dxa"/>
            <w:tcBorders>
              <w:top w:val="nil"/>
              <w:left w:val="single" w:sz="4" w:space="0" w:color="auto"/>
              <w:bottom w:val="single" w:sz="4" w:space="0" w:color="auto"/>
              <w:right w:val="single" w:sz="4" w:space="0" w:color="auto"/>
            </w:tcBorders>
            <w:shd w:val="clear" w:color="auto" w:fill="auto"/>
            <w:vAlign w:val="center"/>
          </w:tcPr>
          <w:p w14:paraId="5E38872A" w14:textId="77777777" w:rsidR="00DF39E8" w:rsidRPr="004D3FE5" w:rsidRDefault="00DF39E8" w:rsidP="00A00F2B">
            <w:pPr>
              <w:autoSpaceDE w:val="0"/>
              <w:autoSpaceDN w:val="0"/>
              <w:adjustRightInd w:val="0"/>
              <w:jc w:val="right"/>
              <w:rPr>
                <w:rFonts w:eastAsia="Calibri"/>
                <w:b/>
                <w:sz w:val="20"/>
                <w:szCs w:val="20"/>
                <w:lang w:eastAsia="en-US"/>
              </w:rPr>
            </w:pPr>
            <w:r w:rsidRPr="004D3FE5">
              <w:rPr>
                <w:rFonts w:eastAsia="Calibri"/>
                <w:b/>
                <w:sz w:val="20"/>
                <w:szCs w:val="20"/>
                <w:lang w:eastAsia="en-US"/>
              </w:rPr>
              <w:t>2 781 638</w:t>
            </w:r>
          </w:p>
        </w:tc>
        <w:tc>
          <w:tcPr>
            <w:tcW w:w="1116" w:type="dxa"/>
            <w:tcBorders>
              <w:top w:val="nil"/>
              <w:left w:val="single" w:sz="4" w:space="0" w:color="auto"/>
              <w:bottom w:val="single" w:sz="4" w:space="0" w:color="auto"/>
              <w:right w:val="single" w:sz="4" w:space="0" w:color="auto"/>
            </w:tcBorders>
            <w:shd w:val="clear" w:color="auto" w:fill="auto"/>
            <w:vAlign w:val="center"/>
          </w:tcPr>
          <w:p w14:paraId="39A64920" w14:textId="77777777" w:rsidR="00DF39E8" w:rsidRPr="004D3FE5" w:rsidRDefault="00DF39E8" w:rsidP="00A00F2B">
            <w:pPr>
              <w:autoSpaceDE w:val="0"/>
              <w:autoSpaceDN w:val="0"/>
              <w:adjustRightInd w:val="0"/>
              <w:jc w:val="right"/>
              <w:rPr>
                <w:rFonts w:eastAsia="Calibri"/>
                <w:b/>
                <w:sz w:val="20"/>
                <w:szCs w:val="20"/>
                <w:lang w:eastAsia="en-US"/>
              </w:rPr>
            </w:pPr>
            <w:r w:rsidRPr="004D3FE5">
              <w:rPr>
                <w:rFonts w:eastAsia="Calibri"/>
                <w:b/>
                <w:sz w:val="20"/>
                <w:szCs w:val="20"/>
                <w:lang w:eastAsia="en-US"/>
              </w:rPr>
              <w:t>2 633 515</w:t>
            </w:r>
          </w:p>
        </w:tc>
        <w:tc>
          <w:tcPr>
            <w:tcW w:w="1475" w:type="dxa"/>
            <w:tcBorders>
              <w:top w:val="nil"/>
              <w:left w:val="single" w:sz="4" w:space="0" w:color="auto"/>
              <w:bottom w:val="single" w:sz="4" w:space="0" w:color="auto"/>
              <w:right w:val="single" w:sz="4" w:space="0" w:color="auto"/>
            </w:tcBorders>
            <w:shd w:val="clear" w:color="auto" w:fill="auto"/>
          </w:tcPr>
          <w:p w14:paraId="3B50158F" w14:textId="77777777" w:rsidR="00DF39E8" w:rsidRPr="004D3FE5" w:rsidRDefault="00DF39E8" w:rsidP="00A00F2B">
            <w:pPr>
              <w:autoSpaceDE w:val="0"/>
              <w:autoSpaceDN w:val="0"/>
              <w:adjustRightInd w:val="0"/>
              <w:jc w:val="right"/>
              <w:rPr>
                <w:rFonts w:eastAsia="Calibri"/>
                <w:b/>
                <w:sz w:val="20"/>
                <w:szCs w:val="20"/>
                <w:lang w:eastAsia="en-US"/>
              </w:rPr>
            </w:pPr>
          </w:p>
        </w:tc>
        <w:tc>
          <w:tcPr>
            <w:tcW w:w="1200" w:type="dxa"/>
            <w:tcBorders>
              <w:top w:val="nil"/>
              <w:left w:val="single" w:sz="4" w:space="0" w:color="auto"/>
              <w:bottom w:val="single" w:sz="4" w:space="0" w:color="auto"/>
              <w:right w:val="single" w:sz="4" w:space="0" w:color="auto"/>
            </w:tcBorders>
            <w:shd w:val="clear" w:color="auto" w:fill="auto"/>
          </w:tcPr>
          <w:p w14:paraId="0A57ECFD" w14:textId="77777777" w:rsidR="00DF39E8" w:rsidRPr="004D3FE5" w:rsidRDefault="00DF39E8" w:rsidP="00A00F2B">
            <w:pPr>
              <w:autoSpaceDE w:val="0"/>
              <w:autoSpaceDN w:val="0"/>
              <w:adjustRightInd w:val="0"/>
              <w:jc w:val="right"/>
              <w:rPr>
                <w:rFonts w:eastAsia="Calibri"/>
                <w:b/>
                <w:sz w:val="20"/>
                <w:szCs w:val="20"/>
                <w:lang w:eastAsia="en-US"/>
              </w:rPr>
            </w:pPr>
          </w:p>
        </w:tc>
      </w:tr>
      <w:tr w:rsidR="00DF39E8" w:rsidRPr="004D3FE5" w14:paraId="46F222E6" w14:textId="77777777" w:rsidTr="00DF39E8">
        <w:trPr>
          <w:trHeight w:val="106"/>
          <w:jc w:val="center"/>
        </w:trPr>
        <w:tc>
          <w:tcPr>
            <w:tcW w:w="8415" w:type="dxa"/>
            <w:gridSpan w:val="7"/>
            <w:tcBorders>
              <w:top w:val="single" w:sz="4" w:space="0" w:color="auto"/>
              <w:left w:val="nil"/>
              <w:bottom w:val="nil"/>
              <w:right w:val="nil"/>
            </w:tcBorders>
            <w:shd w:val="clear" w:color="auto" w:fill="auto"/>
            <w:vAlign w:val="center"/>
          </w:tcPr>
          <w:p w14:paraId="1BD49F5B" w14:textId="77777777" w:rsidR="00DF39E8" w:rsidRPr="004D3FE5" w:rsidRDefault="00DF39E8" w:rsidP="00DF39E8">
            <w:pPr>
              <w:autoSpaceDE w:val="0"/>
              <w:autoSpaceDN w:val="0"/>
              <w:adjustRightInd w:val="0"/>
              <w:spacing w:before="120"/>
              <w:ind w:right="-159"/>
              <w:jc w:val="both"/>
              <w:rPr>
                <w:rFonts w:eastAsia="Calibri"/>
                <w:bCs/>
                <w:sz w:val="20"/>
                <w:szCs w:val="20"/>
                <w:lang w:eastAsia="en-US"/>
              </w:rPr>
            </w:pPr>
            <w:r w:rsidRPr="004D3FE5">
              <w:rPr>
                <w:rFonts w:eastAsia="Calibri"/>
                <w:bCs/>
                <w:sz w:val="20"/>
                <w:szCs w:val="20"/>
                <w:lang w:eastAsia="en-US"/>
              </w:rPr>
              <w:t>FUENTE: CONDUSEF</w:t>
            </w:r>
          </w:p>
        </w:tc>
      </w:tr>
    </w:tbl>
    <w:p w14:paraId="5231BE46" w14:textId="2F59A60E" w:rsidR="00DF39E8" w:rsidRPr="00DF39E8" w:rsidRDefault="00DF39E8" w:rsidP="00DF39E8">
      <w:pPr>
        <w:spacing w:before="360" w:after="360" w:line="360" w:lineRule="auto"/>
        <w:ind w:right="-159"/>
        <w:jc w:val="both"/>
        <w:rPr>
          <w:rFonts w:eastAsia="Calibri"/>
          <w:sz w:val="26"/>
          <w:szCs w:val="26"/>
          <w:lang w:eastAsia="en-US"/>
        </w:rPr>
      </w:pPr>
      <w:r w:rsidRPr="00DF39E8">
        <w:rPr>
          <w:rFonts w:eastAsia="Calibri"/>
          <w:sz w:val="26"/>
          <w:szCs w:val="26"/>
          <w:lang w:eastAsia="en-US"/>
        </w:rPr>
        <w:t xml:space="preserve">Dentro del Grupo de Consumo, desde 2012, </w:t>
      </w:r>
      <w:r w:rsidR="00CB1803">
        <w:rPr>
          <w:rFonts w:eastAsia="Calibri"/>
          <w:sz w:val="26"/>
          <w:szCs w:val="26"/>
          <w:lang w:eastAsia="en-US"/>
        </w:rPr>
        <w:t>siete</w:t>
      </w:r>
      <w:r w:rsidRPr="00DF39E8">
        <w:rPr>
          <w:rFonts w:eastAsia="Calibri"/>
          <w:sz w:val="26"/>
          <w:szCs w:val="26"/>
          <w:lang w:eastAsia="en-US"/>
        </w:rPr>
        <w:t xml:space="preserve"> de </w:t>
      </w:r>
      <w:r w:rsidR="00CB1803">
        <w:rPr>
          <w:rFonts w:eastAsia="Calibri"/>
          <w:sz w:val="26"/>
          <w:szCs w:val="26"/>
          <w:lang w:eastAsia="en-US"/>
        </w:rPr>
        <w:t>ocho</w:t>
      </w:r>
      <w:r w:rsidRPr="00DF39E8">
        <w:rPr>
          <w:rFonts w:eastAsia="Calibri"/>
          <w:sz w:val="26"/>
          <w:szCs w:val="26"/>
          <w:lang w:eastAsia="en-US"/>
        </w:rPr>
        <w:t xml:space="preserve"> bancos registran incrementos anuales en sus reclamos, sin embargo, destaca Banco Azteca con un incremento del 130% respecto a 2013, al pasar de 59 mil 657 a 137 mil 463.</w:t>
      </w:r>
    </w:p>
    <w:p w14:paraId="595D72C6" w14:textId="5B50FA3D"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 xml:space="preserve">En el Grupo Comercial, desde 2011 se reporta un incremento en las reclamaciones en </w:t>
      </w:r>
      <w:r w:rsidR="00CB1803">
        <w:rPr>
          <w:rFonts w:eastAsia="Calibri"/>
          <w:sz w:val="26"/>
          <w:szCs w:val="26"/>
          <w:lang w:eastAsia="en-US"/>
        </w:rPr>
        <w:t>tres</w:t>
      </w:r>
      <w:r w:rsidRPr="00DF39E8">
        <w:rPr>
          <w:rFonts w:eastAsia="Calibri"/>
          <w:sz w:val="26"/>
          <w:szCs w:val="26"/>
          <w:lang w:eastAsia="en-US"/>
        </w:rPr>
        <w:t xml:space="preserve"> instituciones bancarias: Invex, Banregio y Cibanco.</w:t>
      </w:r>
    </w:p>
    <w:p w14:paraId="7108EC9E"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Por producto financiero, la tarjeta de crédito y la tarjeta de débito concentran el 95% del total de los reclamos imputables a un presunto fraude.</w:t>
      </w:r>
    </w:p>
    <w:tbl>
      <w:tblPr>
        <w:tblW w:w="7570"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1877"/>
        <w:gridCol w:w="1116"/>
        <w:gridCol w:w="1116"/>
        <w:gridCol w:w="1041"/>
        <w:gridCol w:w="1116"/>
        <w:gridCol w:w="656"/>
        <w:gridCol w:w="648"/>
      </w:tblGrid>
      <w:tr w:rsidR="00DF39E8" w:rsidRPr="00DF39E8" w14:paraId="4514940E" w14:textId="77777777" w:rsidTr="00DF39E8">
        <w:trPr>
          <w:trHeight w:val="106"/>
          <w:jc w:val="center"/>
        </w:trPr>
        <w:tc>
          <w:tcPr>
            <w:tcW w:w="1877" w:type="dxa"/>
            <w:tcBorders>
              <w:top w:val="single" w:sz="4" w:space="0" w:color="auto"/>
              <w:left w:val="single" w:sz="4" w:space="0" w:color="auto"/>
              <w:bottom w:val="single" w:sz="4" w:space="0" w:color="auto"/>
              <w:right w:val="single" w:sz="4" w:space="0" w:color="auto"/>
            </w:tcBorders>
            <w:shd w:val="clear" w:color="auto" w:fill="auto"/>
            <w:vAlign w:val="center"/>
          </w:tcPr>
          <w:p w14:paraId="544AE024" w14:textId="77777777" w:rsidR="00DF39E8" w:rsidRPr="00DF39E8" w:rsidRDefault="00DF39E8" w:rsidP="00DF39E8">
            <w:pPr>
              <w:autoSpaceDE w:val="0"/>
              <w:autoSpaceDN w:val="0"/>
              <w:adjustRightInd w:val="0"/>
              <w:jc w:val="both"/>
              <w:rPr>
                <w:rFonts w:eastAsia="Calibri"/>
                <w:b/>
                <w:bCs/>
                <w:sz w:val="22"/>
                <w:szCs w:val="22"/>
                <w:lang w:eastAsia="en-US"/>
              </w:rPr>
            </w:pP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5785AA01" w14:textId="77777777" w:rsidR="00DF39E8" w:rsidRP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2011</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3DD7DBE7" w14:textId="77777777" w:rsidR="00DF39E8" w:rsidRP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2012</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1D1C0A35" w14:textId="77777777" w:rsidR="00DF39E8" w:rsidRP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2013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57C04C33" w14:textId="77777777" w:rsidR="00DF39E8" w:rsidRP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2014</w:t>
            </w:r>
          </w:p>
        </w:tc>
        <w:tc>
          <w:tcPr>
            <w:tcW w:w="1304" w:type="dxa"/>
            <w:gridSpan w:val="2"/>
            <w:tcBorders>
              <w:top w:val="single" w:sz="4" w:space="0" w:color="auto"/>
              <w:left w:val="single" w:sz="4" w:space="0" w:color="auto"/>
              <w:bottom w:val="single" w:sz="4" w:space="0" w:color="auto"/>
              <w:right w:val="single" w:sz="4" w:space="0" w:color="auto"/>
            </w:tcBorders>
            <w:shd w:val="clear" w:color="auto" w:fill="auto"/>
          </w:tcPr>
          <w:p w14:paraId="07381C2B" w14:textId="77777777" w:rsidR="00DF39E8" w:rsidRP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Variación nominal</w:t>
            </w:r>
          </w:p>
          <w:p w14:paraId="7C48C243" w14:textId="77777777" w:rsidR="00DF39E8" w:rsidRDefault="00DF39E8" w:rsidP="00DF39E8">
            <w:pPr>
              <w:autoSpaceDE w:val="0"/>
              <w:autoSpaceDN w:val="0"/>
              <w:adjustRightInd w:val="0"/>
              <w:jc w:val="center"/>
              <w:rPr>
                <w:rFonts w:eastAsia="Calibri"/>
                <w:b/>
                <w:sz w:val="22"/>
                <w:szCs w:val="22"/>
                <w:lang w:eastAsia="en-US"/>
              </w:rPr>
            </w:pPr>
            <w:r w:rsidRPr="00DF39E8">
              <w:rPr>
                <w:rFonts w:eastAsia="Calibri"/>
                <w:b/>
                <w:sz w:val="22"/>
                <w:szCs w:val="22"/>
                <w:lang w:eastAsia="en-US"/>
              </w:rPr>
              <w:t>2014/2013</w:t>
            </w:r>
          </w:p>
          <w:p w14:paraId="0E9D56B8" w14:textId="0E518BBD" w:rsidR="000921CC" w:rsidRPr="00DF39E8" w:rsidRDefault="000921CC" w:rsidP="00DF39E8">
            <w:pPr>
              <w:autoSpaceDE w:val="0"/>
              <w:autoSpaceDN w:val="0"/>
              <w:adjustRightInd w:val="0"/>
              <w:jc w:val="center"/>
              <w:rPr>
                <w:rFonts w:eastAsia="Calibri"/>
                <w:b/>
                <w:sz w:val="22"/>
                <w:szCs w:val="22"/>
                <w:lang w:eastAsia="en-US"/>
              </w:rPr>
            </w:pPr>
            <w:r>
              <w:rPr>
                <w:rFonts w:eastAsia="Calibri"/>
                <w:b/>
                <w:sz w:val="22"/>
                <w:szCs w:val="22"/>
                <w:lang w:eastAsia="en-US"/>
              </w:rPr>
              <w:t>(%)</w:t>
            </w:r>
          </w:p>
        </w:tc>
      </w:tr>
      <w:tr w:rsidR="00DF39E8" w:rsidRPr="00DF39E8" w14:paraId="12E99C91" w14:textId="77777777" w:rsidTr="00DF39E8">
        <w:trPr>
          <w:trHeight w:val="106"/>
          <w:jc w:val="center"/>
        </w:trPr>
        <w:tc>
          <w:tcPr>
            <w:tcW w:w="1877" w:type="dxa"/>
            <w:tcBorders>
              <w:top w:val="single" w:sz="4" w:space="0" w:color="auto"/>
              <w:left w:val="single" w:sz="4" w:space="0" w:color="auto"/>
              <w:bottom w:val="nil"/>
              <w:right w:val="single" w:sz="4" w:space="0" w:color="auto"/>
            </w:tcBorders>
            <w:shd w:val="clear" w:color="auto" w:fill="auto"/>
            <w:vAlign w:val="center"/>
          </w:tcPr>
          <w:p w14:paraId="4180B44D" w14:textId="77777777" w:rsidR="00DF39E8" w:rsidRPr="00DF39E8" w:rsidRDefault="00DF39E8" w:rsidP="00DF39E8">
            <w:pPr>
              <w:autoSpaceDE w:val="0"/>
              <w:autoSpaceDN w:val="0"/>
              <w:adjustRightInd w:val="0"/>
              <w:jc w:val="both"/>
              <w:rPr>
                <w:rFonts w:eastAsia="Calibri"/>
                <w:bCs/>
                <w:sz w:val="20"/>
                <w:szCs w:val="20"/>
                <w:lang w:eastAsia="en-US"/>
              </w:rPr>
            </w:pPr>
            <w:r w:rsidRPr="00DF39E8">
              <w:rPr>
                <w:rFonts w:eastAsia="Calibri"/>
                <w:bCs/>
                <w:sz w:val="20"/>
                <w:szCs w:val="20"/>
                <w:lang w:eastAsia="en-US"/>
              </w:rPr>
              <w:t>Tarjeta de crédito</w:t>
            </w:r>
          </w:p>
        </w:tc>
        <w:tc>
          <w:tcPr>
            <w:tcW w:w="1116" w:type="dxa"/>
            <w:tcBorders>
              <w:top w:val="single" w:sz="4" w:space="0" w:color="auto"/>
              <w:left w:val="single" w:sz="4" w:space="0" w:color="auto"/>
              <w:bottom w:val="nil"/>
              <w:right w:val="single" w:sz="4" w:space="0" w:color="auto"/>
            </w:tcBorders>
            <w:shd w:val="clear" w:color="auto" w:fill="auto"/>
            <w:vAlign w:val="center"/>
          </w:tcPr>
          <w:p w14:paraId="0191D84D"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1 861 227</w:t>
            </w:r>
          </w:p>
        </w:tc>
        <w:tc>
          <w:tcPr>
            <w:tcW w:w="1116" w:type="dxa"/>
            <w:tcBorders>
              <w:top w:val="single" w:sz="4" w:space="0" w:color="auto"/>
              <w:left w:val="single" w:sz="4" w:space="0" w:color="auto"/>
              <w:bottom w:val="nil"/>
              <w:right w:val="single" w:sz="4" w:space="0" w:color="auto"/>
            </w:tcBorders>
            <w:shd w:val="clear" w:color="auto" w:fill="auto"/>
            <w:vAlign w:val="center"/>
          </w:tcPr>
          <w:p w14:paraId="5323ABC8"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1 941 961</w:t>
            </w:r>
          </w:p>
        </w:tc>
        <w:tc>
          <w:tcPr>
            <w:tcW w:w="1041" w:type="dxa"/>
            <w:tcBorders>
              <w:top w:val="single" w:sz="4" w:space="0" w:color="auto"/>
              <w:left w:val="single" w:sz="4" w:space="0" w:color="auto"/>
              <w:bottom w:val="nil"/>
              <w:right w:val="single" w:sz="4" w:space="0" w:color="auto"/>
            </w:tcBorders>
            <w:shd w:val="clear" w:color="auto" w:fill="auto"/>
            <w:vAlign w:val="center"/>
          </w:tcPr>
          <w:p w14:paraId="1A81FF23"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2 025 269</w:t>
            </w:r>
          </w:p>
        </w:tc>
        <w:tc>
          <w:tcPr>
            <w:tcW w:w="1116" w:type="dxa"/>
            <w:tcBorders>
              <w:top w:val="single" w:sz="4" w:space="0" w:color="auto"/>
              <w:left w:val="single" w:sz="4" w:space="0" w:color="auto"/>
              <w:bottom w:val="nil"/>
              <w:right w:val="single" w:sz="4" w:space="0" w:color="auto"/>
            </w:tcBorders>
            <w:shd w:val="clear" w:color="auto" w:fill="auto"/>
            <w:vAlign w:val="center"/>
          </w:tcPr>
          <w:p w14:paraId="08259ABD"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1 782 668</w:t>
            </w:r>
          </w:p>
        </w:tc>
        <w:tc>
          <w:tcPr>
            <w:tcW w:w="656" w:type="dxa"/>
            <w:tcBorders>
              <w:top w:val="single" w:sz="4" w:space="0" w:color="auto"/>
              <w:left w:val="single" w:sz="4" w:space="0" w:color="auto"/>
              <w:bottom w:val="nil"/>
              <w:right w:val="single" w:sz="4" w:space="0" w:color="auto"/>
            </w:tcBorders>
            <w:shd w:val="clear" w:color="auto" w:fill="auto"/>
            <w:vAlign w:val="center"/>
          </w:tcPr>
          <w:p w14:paraId="25AE00E8"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-12</w:t>
            </w:r>
          </w:p>
        </w:tc>
        <w:tc>
          <w:tcPr>
            <w:tcW w:w="648" w:type="dxa"/>
            <w:tcBorders>
              <w:top w:val="single" w:sz="4" w:space="0" w:color="auto"/>
              <w:left w:val="single" w:sz="4" w:space="0" w:color="auto"/>
              <w:bottom w:val="nil"/>
              <w:right w:val="single" w:sz="4" w:space="0" w:color="auto"/>
            </w:tcBorders>
            <w:shd w:val="clear" w:color="auto" w:fill="auto"/>
            <w:vAlign w:val="center"/>
          </w:tcPr>
          <w:p w14:paraId="1F657942" w14:textId="77777777" w:rsidR="00DF39E8" w:rsidRPr="00DF39E8" w:rsidRDefault="00DF39E8" w:rsidP="00DF39E8">
            <w:pPr>
              <w:autoSpaceDE w:val="0"/>
              <w:autoSpaceDN w:val="0"/>
              <w:adjustRightInd w:val="0"/>
              <w:jc w:val="center"/>
              <w:rPr>
                <w:rFonts w:eastAsia="Calibri"/>
                <w:sz w:val="18"/>
                <w:szCs w:val="18"/>
                <w:lang w:eastAsia="en-US"/>
              </w:rPr>
            </w:pPr>
            <w:r w:rsidRPr="00DF39E8">
              <w:rPr>
                <w:rFonts w:ascii="Myriad Pro Light" w:eastAsia="Calibri" w:hAnsi="Myriad Pro Light"/>
                <w:lang w:eastAsia="en-US"/>
              </w:rPr>
              <w:object w:dxaOrig="525" w:dyaOrig="540" w14:anchorId="7C55B9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pt;height:14.6pt" o:ole="">
                  <v:imagedata r:id="rId277" o:title=""/>
                </v:shape>
                <o:OLEObject Type="Embed" ProgID="PBrush" ShapeID="_x0000_i1025" DrawAspect="Content" ObjectID="_1491890371" r:id="rId278"/>
              </w:object>
            </w:r>
          </w:p>
        </w:tc>
      </w:tr>
      <w:tr w:rsidR="00DF39E8" w:rsidRPr="00DF39E8" w14:paraId="37C6F7E9" w14:textId="77777777" w:rsidTr="00DF39E8">
        <w:trPr>
          <w:trHeight w:val="106"/>
          <w:jc w:val="center"/>
        </w:trPr>
        <w:tc>
          <w:tcPr>
            <w:tcW w:w="1877" w:type="dxa"/>
            <w:tcBorders>
              <w:top w:val="nil"/>
              <w:left w:val="single" w:sz="4" w:space="0" w:color="auto"/>
              <w:bottom w:val="nil"/>
              <w:right w:val="single" w:sz="4" w:space="0" w:color="auto"/>
            </w:tcBorders>
            <w:shd w:val="clear" w:color="auto" w:fill="auto"/>
            <w:vAlign w:val="center"/>
          </w:tcPr>
          <w:p w14:paraId="27281402" w14:textId="77777777" w:rsidR="00DF39E8" w:rsidRPr="00DF39E8" w:rsidRDefault="00DF39E8" w:rsidP="00DF39E8">
            <w:pPr>
              <w:autoSpaceDE w:val="0"/>
              <w:autoSpaceDN w:val="0"/>
              <w:adjustRightInd w:val="0"/>
              <w:jc w:val="both"/>
              <w:rPr>
                <w:rFonts w:eastAsia="Calibri"/>
                <w:bCs/>
                <w:sz w:val="20"/>
                <w:szCs w:val="20"/>
                <w:lang w:eastAsia="en-US"/>
              </w:rPr>
            </w:pPr>
            <w:r w:rsidRPr="00DF39E8">
              <w:rPr>
                <w:rFonts w:eastAsia="Calibri"/>
                <w:bCs/>
                <w:sz w:val="20"/>
                <w:szCs w:val="20"/>
                <w:lang w:eastAsia="en-US"/>
              </w:rPr>
              <w:t>Tarjeta de débito</w:t>
            </w:r>
          </w:p>
        </w:tc>
        <w:tc>
          <w:tcPr>
            <w:tcW w:w="1116" w:type="dxa"/>
            <w:tcBorders>
              <w:top w:val="nil"/>
              <w:left w:val="single" w:sz="4" w:space="0" w:color="auto"/>
              <w:bottom w:val="nil"/>
              <w:right w:val="single" w:sz="4" w:space="0" w:color="auto"/>
            </w:tcBorders>
            <w:shd w:val="clear" w:color="auto" w:fill="auto"/>
            <w:vAlign w:val="center"/>
          </w:tcPr>
          <w:p w14:paraId="47946672"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895 450</w:t>
            </w:r>
          </w:p>
        </w:tc>
        <w:tc>
          <w:tcPr>
            <w:tcW w:w="1116" w:type="dxa"/>
            <w:tcBorders>
              <w:top w:val="nil"/>
              <w:left w:val="single" w:sz="4" w:space="0" w:color="auto"/>
              <w:bottom w:val="nil"/>
              <w:right w:val="single" w:sz="4" w:space="0" w:color="auto"/>
            </w:tcBorders>
            <w:shd w:val="clear" w:color="auto" w:fill="auto"/>
            <w:vAlign w:val="center"/>
          </w:tcPr>
          <w:p w14:paraId="232AF576"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785 091</w:t>
            </w:r>
          </w:p>
        </w:tc>
        <w:tc>
          <w:tcPr>
            <w:tcW w:w="1041" w:type="dxa"/>
            <w:tcBorders>
              <w:top w:val="nil"/>
              <w:left w:val="single" w:sz="4" w:space="0" w:color="auto"/>
              <w:bottom w:val="nil"/>
              <w:right w:val="single" w:sz="4" w:space="0" w:color="auto"/>
            </w:tcBorders>
            <w:shd w:val="clear" w:color="auto" w:fill="auto"/>
            <w:vAlign w:val="center"/>
          </w:tcPr>
          <w:p w14:paraId="421785BC"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831 705</w:t>
            </w:r>
          </w:p>
        </w:tc>
        <w:tc>
          <w:tcPr>
            <w:tcW w:w="1116" w:type="dxa"/>
            <w:tcBorders>
              <w:top w:val="nil"/>
              <w:left w:val="single" w:sz="4" w:space="0" w:color="auto"/>
              <w:bottom w:val="nil"/>
              <w:right w:val="single" w:sz="4" w:space="0" w:color="auto"/>
            </w:tcBorders>
            <w:shd w:val="clear" w:color="auto" w:fill="auto"/>
            <w:vAlign w:val="center"/>
          </w:tcPr>
          <w:p w14:paraId="1B725D48"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971 268</w:t>
            </w:r>
          </w:p>
        </w:tc>
        <w:tc>
          <w:tcPr>
            <w:tcW w:w="656" w:type="dxa"/>
            <w:tcBorders>
              <w:top w:val="nil"/>
              <w:left w:val="single" w:sz="4" w:space="0" w:color="auto"/>
              <w:bottom w:val="nil"/>
              <w:right w:val="single" w:sz="4" w:space="0" w:color="auto"/>
            </w:tcBorders>
            <w:shd w:val="clear" w:color="auto" w:fill="auto"/>
            <w:vAlign w:val="center"/>
          </w:tcPr>
          <w:p w14:paraId="0D7160C9"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17</w:t>
            </w:r>
          </w:p>
        </w:tc>
        <w:tc>
          <w:tcPr>
            <w:tcW w:w="648" w:type="dxa"/>
            <w:tcBorders>
              <w:top w:val="nil"/>
              <w:left w:val="single" w:sz="4" w:space="0" w:color="auto"/>
              <w:bottom w:val="nil"/>
              <w:right w:val="single" w:sz="4" w:space="0" w:color="auto"/>
            </w:tcBorders>
            <w:shd w:val="clear" w:color="auto" w:fill="auto"/>
            <w:vAlign w:val="center"/>
          </w:tcPr>
          <w:p w14:paraId="519AB963" w14:textId="77777777" w:rsidR="00DF39E8" w:rsidRPr="00DF39E8" w:rsidRDefault="00DF39E8" w:rsidP="00DF39E8">
            <w:pPr>
              <w:autoSpaceDE w:val="0"/>
              <w:autoSpaceDN w:val="0"/>
              <w:adjustRightInd w:val="0"/>
              <w:jc w:val="center"/>
              <w:rPr>
                <w:rFonts w:eastAsia="Calibri"/>
                <w:sz w:val="18"/>
                <w:szCs w:val="18"/>
                <w:lang w:eastAsia="en-US"/>
              </w:rPr>
            </w:pPr>
            <w:r w:rsidRPr="00DF39E8">
              <w:rPr>
                <w:rFonts w:ascii="Myriad Pro Light" w:eastAsia="Calibri" w:hAnsi="Myriad Pro Light"/>
                <w:lang w:eastAsia="en-US"/>
              </w:rPr>
              <w:object w:dxaOrig="525" w:dyaOrig="510" w14:anchorId="7FC3DEED">
                <v:shape id="_x0000_i1026" type="#_x0000_t75" style="width:14.6pt;height:12.75pt" o:ole="">
                  <v:imagedata r:id="rId279" o:title=""/>
                </v:shape>
                <o:OLEObject Type="Embed" ProgID="PBrush" ShapeID="_x0000_i1026" DrawAspect="Content" ObjectID="_1491890372" r:id="rId280"/>
              </w:object>
            </w:r>
          </w:p>
        </w:tc>
      </w:tr>
      <w:tr w:rsidR="00DF39E8" w:rsidRPr="00DF39E8" w14:paraId="15556ED1" w14:textId="77777777" w:rsidTr="00DF39E8">
        <w:trPr>
          <w:trHeight w:val="106"/>
          <w:jc w:val="center"/>
        </w:trPr>
        <w:tc>
          <w:tcPr>
            <w:tcW w:w="1877" w:type="dxa"/>
            <w:tcBorders>
              <w:top w:val="nil"/>
              <w:left w:val="single" w:sz="4" w:space="0" w:color="auto"/>
              <w:bottom w:val="nil"/>
              <w:right w:val="single" w:sz="4" w:space="0" w:color="auto"/>
            </w:tcBorders>
            <w:shd w:val="clear" w:color="auto" w:fill="auto"/>
            <w:vAlign w:val="center"/>
          </w:tcPr>
          <w:p w14:paraId="67218387" w14:textId="77777777" w:rsidR="00DF39E8" w:rsidRPr="00DF39E8" w:rsidRDefault="00DF39E8" w:rsidP="00DF39E8">
            <w:pPr>
              <w:autoSpaceDE w:val="0"/>
              <w:autoSpaceDN w:val="0"/>
              <w:adjustRightInd w:val="0"/>
              <w:jc w:val="both"/>
              <w:rPr>
                <w:rFonts w:eastAsia="Calibri"/>
                <w:bCs/>
                <w:sz w:val="20"/>
                <w:szCs w:val="20"/>
                <w:lang w:eastAsia="en-US"/>
              </w:rPr>
            </w:pPr>
            <w:r w:rsidRPr="00DF39E8">
              <w:rPr>
                <w:rFonts w:eastAsia="Calibri"/>
                <w:bCs/>
                <w:sz w:val="20"/>
                <w:szCs w:val="20"/>
                <w:lang w:eastAsia="en-US"/>
              </w:rPr>
              <w:t>Depósitos a la vista</w:t>
            </w:r>
          </w:p>
        </w:tc>
        <w:tc>
          <w:tcPr>
            <w:tcW w:w="1116" w:type="dxa"/>
            <w:tcBorders>
              <w:top w:val="nil"/>
              <w:left w:val="single" w:sz="4" w:space="0" w:color="auto"/>
              <w:bottom w:val="nil"/>
              <w:right w:val="single" w:sz="4" w:space="0" w:color="auto"/>
            </w:tcBorders>
            <w:shd w:val="clear" w:color="auto" w:fill="auto"/>
            <w:vAlign w:val="center"/>
          </w:tcPr>
          <w:p w14:paraId="0BBFC2BD"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84 831</w:t>
            </w:r>
          </w:p>
        </w:tc>
        <w:tc>
          <w:tcPr>
            <w:tcW w:w="1116" w:type="dxa"/>
            <w:tcBorders>
              <w:top w:val="nil"/>
              <w:left w:val="single" w:sz="4" w:space="0" w:color="auto"/>
              <w:bottom w:val="nil"/>
              <w:right w:val="single" w:sz="4" w:space="0" w:color="auto"/>
            </w:tcBorders>
            <w:shd w:val="clear" w:color="auto" w:fill="auto"/>
            <w:vAlign w:val="center"/>
          </w:tcPr>
          <w:p w14:paraId="569E8754"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78 833</w:t>
            </w:r>
          </w:p>
        </w:tc>
        <w:tc>
          <w:tcPr>
            <w:tcW w:w="1041" w:type="dxa"/>
            <w:tcBorders>
              <w:top w:val="nil"/>
              <w:left w:val="single" w:sz="4" w:space="0" w:color="auto"/>
              <w:bottom w:val="nil"/>
              <w:right w:val="single" w:sz="4" w:space="0" w:color="auto"/>
            </w:tcBorders>
            <w:shd w:val="clear" w:color="auto" w:fill="auto"/>
            <w:vAlign w:val="center"/>
          </w:tcPr>
          <w:p w14:paraId="1ABA83F9"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86 995</w:t>
            </w:r>
          </w:p>
        </w:tc>
        <w:tc>
          <w:tcPr>
            <w:tcW w:w="1116" w:type="dxa"/>
            <w:tcBorders>
              <w:top w:val="nil"/>
              <w:left w:val="single" w:sz="4" w:space="0" w:color="auto"/>
              <w:bottom w:val="nil"/>
              <w:right w:val="single" w:sz="4" w:space="0" w:color="auto"/>
            </w:tcBorders>
            <w:shd w:val="clear" w:color="auto" w:fill="auto"/>
            <w:vAlign w:val="center"/>
          </w:tcPr>
          <w:p w14:paraId="0065B4DD"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125 997</w:t>
            </w:r>
          </w:p>
        </w:tc>
        <w:tc>
          <w:tcPr>
            <w:tcW w:w="656" w:type="dxa"/>
            <w:tcBorders>
              <w:top w:val="nil"/>
              <w:left w:val="single" w:sz="4" w:space="0" w:color="auto"/>
              <w:bottom w:val="nil"/>
              <w:right w:val="single" w:sz="4" w:space="0" w:color="auto"/>
            </w:tcBorders>
            <w:shd w:val="clear" w:color="auto" w:fill="auto"/>
            <w:vAlign w:val="center"/>
          </w:tcPr>
          <w:p w14:paraId="58D827C0"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45</w:t>
            </w:r>
          </w:p>
        </w:tc>
        <w:tc>
          <w:tcPr>
            <w:tcW w:w="648" w:type="dxa"/>
            <w:tcBorders>
              <w:top w:val="nil"/>
              <w:left w:val="single" w:sz="4" w:space="0" w:color="auto"/>
              <w:bottom w:val="nil"/>
              <w:right w:val="single" w:sz="4" w:space="0" w:color="auto"/>
            </w:tcBorders>
            <w:shd w:val="clear" w:color="auto" w:fill="auto"/>
            <w:vAlign w:val="center"/>
          </w:tcPr>
          <w:p w14:paraId="7779C3B2" w14:textId="77777777" w:rsidR="00DF39E8" w:rsidRPr="00DF39E8" w:rsidRDefault="00DF39E8" w:rsidP="00DF39E8">
            <w:pPr>
              <w:autoSpaceDE w:val="0"/>
              <w:autoSpaceDN w:val="0"/>
              <w:adjustRightInd w:val="0"/>
              <w:jc w:val="center"/>
              <w:rPr>
                <w:rFonts w:eastAsia="Calibri"/>
                <w:sz w:val="18"/>
                <w:szCs w:val="18"/>
                <w:lang w:eastAsia="en-US"/>
              </w:rPr>
            </w:pPr>
            <w:r w:rsidRPr="00DF39E8">
              <w:rPr>
                <w:rFonts w:ascii="Myriad Pro Light" w:eastAsia="Calibri" w:hAnsi="Myriad Pro Light"/>
                <w:lang w:eastAsia="en-US"/>
              </w:rPr>
              <w:object w:dxaOrig="525" w:dyaOrig="510" w14:anchorId="184C24C2">
                <v:shape id="_x0000_i1027" type="#_x0000_t75" style="width:14.6pt;height:12.75pt" o:ole="">
                  <v:imagedata r:id="rId279" o:title=""/>
                </v:shape>
                <o:OLEObject Type="Embed" ProgID="PBrush" ShapeID="_x0000_i1027" DrawAspect="Content" ObjectID="_1491890373" r:id="rId281"/>
              </w:object>
            </w:r>
          </w:p>
        </w:tc>
      </w:tr>
      <w:tr w:rsidR="00DF39E8" w:rsidRPr="00DF39E8" w14:paraId="00B46977" w14:textId="77777777" w:rsidTr="00DF39E8">
        <w:trPr>
          <w:trHeight w:val="106"/>
          <w:jc w:val="center"/>
        </w:trPr>
        <w:tc>
          <w:tcPr>
            <w:tcW w:w="1877" w:type="dxa"/>
            <w:tcBorders>
              <w:top w:val="nil"/>
              <w:left w:val="single" w:sz="4" w:space="0" w:color="auto"/>
              <w:bottom w:val="nil"/>
              <w:right w:val="single" w:sz="4" w:space="0" w:color="auto"/>
            </w:tcBorders>
            <w:shd w:val="clear" w:color="auto" w:fill="auto"/>
            <w:vAlign w:val="center"/>
          </w:tcPr>
          <w:p w14:paraId="0988F1D0" w14:textId="77777777" w:rsidR="00DF39E8" w:rsidRPr="00DF39E8" w:rsidRDefault="00DF39E8" w:rsidP="00DF39E8">
            <w:pPr>
              <w:autoSpaceDE w:val="0"/>
              <w:autoSpaceDN w:val="0"/>
              <w:adjustRightInd w:val="0"/>
              <w:jc w:val="both"/>
              <w:rPr>
                <w:rFonts w:eastAsia="Calibri"/>
                <w:bCs/>
                <w:sz w:val="20"/>
                <w:szCs w:val="20"/>
                <w:lang w:eastAsia="en-US"/>
              </w:rPr>
            </w:pPr>
            <w:r w:rsidRPr="00DF39E8">
              <w:rPr>
                <w:rFonts w:eastAsia="Calibri"/>
                <w:bCs/>
                <w:sz w:val="20"/>
                <w:szCs w:val="20"/>
                <w:lang w:eastAsia="en-US"/>
              </w:rPr>
              <w:t>Tarjeta prepagada</w:t>
            </w:r>
          </w:p>
        </w:tc>
        <w:tc>
          <w:tcPr>
            <w:tcW w:w="1116" w:type="dxa"/>
            <w:tcBorders>
              <w:top w:val="nil"/>
              <w:left w:val="single" w:sz="4" w:space="0" w:color="auto"/>
              <w:bottom w:val="nil"/>
              <w:right w:val="single" w:sz="4" w:space="0" w:color="auto"/>
            </w:tcBorders>
            <w:shd w:val="clear" w:color="auto" w:fill="auto"/>
            <w:vAlign w:val="center"/>
          </w:tcPr>
          <w:p w14:paraId="65B180A4"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5 697</w:t>
            </w:r>
          </w:p>
        </w:tc>
        <w:tc>
          <w:tcPr>
            <w:tcW w:w="1116" w:type="dxa"/>
            <w:tcBorders>
              <w:top w:val="nil"/>
              <w:left w:val="single" w:sz="4" w:space="0" w:color="auto"/>
              <w:bottom w:val="nil"/>
              <w:right w:val="single" w:sz="4" w:space="0" w:color="auto"/>
            </w:tcBorders>
            <w:shd w:val="clear" w:color="auto" w:fill="auto"/>
            <w:vAlign w:val="center"/>
          </w:tcPr>
          <w:p w14:paraId="65A109BD"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5 057</w:t>
            </w:r>
          </w:p>
        </w:tc>
        <w:tc>
          <w:tcPr>
            <w:tcW w:w="1041" w:type="dxa"/>
            <w:tcBorders>
              <w:top w:val="nil"/>
              <w:left w:val="single" w:sz="4" w:space="0" w:color="auto"/>
              <w:bottom w:val="nil"/>
              <w:right w:val="single" w:sz="4" w:space="0" w:color="auto"/>
            </w:tcBorders>
            <w:shd w:val="clear" w:color="auto" w:fill="auto"/>
            <w:vAlign w:val="center"/>
          </w:tcPr>
          <w:p w14:paraId="6DFF82A8"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4 495</w:t>
            </w:r>
          </w:p>
        </w:tc>
        <w:tc>
          <w:tcPr>
            <w:tcW w:w="1116" w:type="dxa"/>
            <w:tcBorders>
              <w:top w:val="nil"/>
              <w:left w:val="single" w:sz="4" w:space="0" w:color="auto"/>
              <w:bottom w:val="nil"/>
              <w:right w:val="single" w:sz="4" w:space="0" w:color="auto"/>
            </w:tcBorders>
            <w:shd w:val="clear" w:color="auto" w:fill="auto"/>
            <w:vAlign w:val="center"/>
          </w:tcPr>
          <w:p w14:paraId="7E444F8E"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9 330</w:t>
            </w:r>
          </w:p>
        </w:tc>
        <w:tc>
          <w:tcPr>
            <w:tcW w:w="656" w:type="dxa"/>
            <w:tcBorders>
              <w:top w:val="nil"/>
              <w:left w:val="single" w:sz="4" w:space="0" w:color="auto"/>
              <w:bottom w:val="nil"/>
              <w:right w:val="single" w:sz="4" w:space="0" w:color="auto"/>
            </w:tcBorders>
            <w:shd w:val="clear" w:color="auto" w:fill="auto"/>
            <w:vAlign w:val="center"/>
          </w:tcPr>
          <w:p w14:paraId="1DACE36A"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108</w:t>
            </w:r>
          </w:p>
        </w:tc>
        <w:tc>
          <w:tcPr>
            <w:tcW w:w="648" w:type="dxa"/>
            <w:tcBorders>
              <w:top w:val="nil"/>
              <w:left w:val="single" w:sz="4" w:space="0" w:color="auto"/>
              <w:bottom w:val="nil"/>
              <w:right w:val="single" w:sz="4" w:space="0" w:color="auto"/>
            </w:tcBorders>
            <w:shd w:val="clear" w:color="auto" w:fill="auto"/>
            <w:vAlign w:val="center"/>
          </w:tcPr>
          <w:p w14:paraId="0C9D117C" w14:textId="77777777" w:rsidR="00DF39E8" w:rsidRPr="00DF39E8" w:rsidRDefault="00DF39E8" w:rsidP="00DF39E8">
            <w:pPr>
              <w:autoSpaceDE w:val="0"/>
              <w:autoSpaceDN w:val="0"/>
              <w:adjustRightInd w:val="0"/>
              <w:jc w:val="center"/>
              <w:rPr>
                <w:rFonts w:eastAsia="Calibri"/>
                <w:sz w:val="18"/>
                <w:szCs w:val="18"/>
                <w:lang w:eastAsia="en-US"/>
              </w:rPr>
            </w:pPr>
            <w:r w:rsidRPr="00DF39E8">
              <w:rPr>
                <w:rFonts w:ascii="Myriad Pro Light" w:eastAsia="Calibri" w:hAnsi="Myriad Pro Light"/>
                <w:lang w:eastAsia="en-US"/>
              </w:rPr>
              <w:object w:dxaOrig="525" w:dyaOrig="510" w14:anchorId="3C2AE74A">
                <v:shape id="_x0000_i1028" type="#_x0000_t75" style="width:14.6pt;height:12.75pt" o:ole="">
                  <v:imagedata r:id="rId279" o:title=""/>
                </v:shape>
                <o:OLEObject Type="Embed" ProgID="PBrush" ShapeID="_x0000_i1028" DrawAspect="Content" ObjectID="_1491890374" r:id="rId282"/>
              </w:object>
            </w:r>
          </w:p>
        </w:tc>
      </w:tr>
      <w:tr w:rsidR="00DF39E8" w:rsidRPr="00DF39E8" w14:paraId="0D862E4A" w14:textId="77777777" w:rsidTr="00DF39E8">
        <w:trPr>
          <w:trHeight w:val="106"/>
          <w:jc w:val="center"/>
        </w:trPr>
        <w:tc>
          <w:tcPr>
            <w:tcW w:w="1877" w:type="dxa"/>
            <w:tcBorders>
              <w:top w:val="nil"/>
              <w:left w:val="single" w:sz="4" w:space="0" w:color="auto"/>
              <w:bottom w:val="nil"/>
              <w:right w:val="single" w:sz="4" w:space="0" w:color="auto"/>
            </w:tcBorders>
            <w:shd w:val="clear" w:color="auto" w:fill="auto"/>
            <w:vAlign w:val="center"/>
          </w:tcPr>
          <w:p w14:paraId="243E9C2D" w14:textId="77777777" w:rsidR="00DF39E8" w:rsidRPr="00DF39E8" w:rsidRDefault="00DF39E8" w:rsidP="00DF39E8">
            <w:pPr>
              <w:autoSpaceDE w:val="0"/>
              <w:autoSpaceDN w:val="0"/>
              <w:adjustRightInd w:val="0"/>
              <w:jc w:val="both"/>
              <w:rPr>
                <w:rFonts w:eastAsia="Calibri"/>
                <w:bCs/>
                <w:sz w:val="20"/>
                <w:szCs w:val="20"/>
                <w:lang w:eastAsia="en-US"/>
              </w:rPr>
            </w:pPr>
            <w:r w:rsidRPr="00DF39E8">
              <w:rPr>
                <w:rFonts w:eastAsia="Calibri"/>
                <w:bCs/>
                <w:sz w:val="20"/>
                <w:szCs w:val="20"/>
                <w:lang w:eastAsia="en-US"/>
              </w:rPr>
              <w:t>Depósito a plazo</w:t>
            </w:r>
          </w:p>
        </w:tc>
        <w:tc>
          <w:tcPr>
            <w:tcW w:w="1116" w:type="dxa"/>
            <w:tcBorders>
              <w:top w:val="nil"/>
              <w:left w:val="single" w:sz="4" w:space="0" w:color="auto"/>
              <w:bottom w:val="nil"/>
              <w:right w:val="single" w:sz="4" w:space="0" w:color="auto"/>
            </w:tcBorders>
            <w:shd w:val="clear" w:color="auto" w:fill="auto"/>
            <w:vAlign w:val="center"/>
          </w:tcPr>
          <w:p w14:paraId="10FA28B1"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641</w:t>
            </w:r>
          </w:p>
        </w:tc>
        <w:tc>
          <w:tcPr>
            <w:tcW w:w="1116" w:type="dxa"/>
            <w:tcBorders>
              <w:top w:val="nil"/>
              <w:left w:val="single" w:sz="4" w:space="0" w:color="auto"/>
              <w:bottom w:val="nil"/>
              <w:right w:val="single" w:sz="4" w:space="0" w:color="auto"/>
            </w:tcBorders>
            <w:shd w:val="clear" w:color="auto" w:fill="auto"/>
            <w:vAlign w:val="center"/>
          </w:tcPr>
          <w:p w14:paraId="67F7D212"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603</w:t>
            </w:r>
          </w:p>
        </w:tc>
        <w:tc>
          <w:tcPr>
            <w:tcW w:w="1041" w:type="dxa"/>
            <w:tcBorders>
              <w:top w:val="nil"/>
              <w:left w:val="single" w:sz="4" w:space="0" w:color="auto"/>
              <w:bottom w:val="nil"/>
              <w:right w:val="single" w:sz="4" w:space="0" w:color="auto"/>
            </w:tcBorders>
            <w:shd w:val="clear" w:color="auto" w:fill="auto"/>
            <w:vAlign w:val="center"/>
          </w:tcPr>
          <w:p w14:paraId="2942F4D7"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585</w:t>
            </w:r>
          </w:p>
        </w:tc>
        <w:tc>
          <w:tcPr>
            <w:tcW w:w="1116" w:type="dxa"/>
            <w:tcBorders>
              <w:top w:val="nil"/>
              <w:left w:val="single" w:sz="4" w:space="0" w:color="auto"/>
              <w:bottom w:val="nil"/>
              <w:right w:val="single" w:sz="4" w:space="0" w:color="auto"/>
            </w:tcBorders>
            <w:shd w:val="clear" w:color="auto" w:fill="auto"/>
            <w:vAlign w:val="center"/>
          </w:tcPr>
          <w:p w14:paraId="08B7944E"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1 430</w:t>
            </w:r>
          </w:p>
        </w:tc>
        <w:tc>
          <w:tcPr>
            <w:tcW w:w="656" w:type="dxa"/>
            <w:tcBorders>
              <w:top w:val="nil"/>
              <w:left w:val="single" w:sz="4" w:space="0" w:color="auto"/>
              <w:bottom w:val="nil"/>
              <w:right w:val="single" w:sz="4" w:space="0" w:color="auto"/>
            </w:tcBorders>
            <w:shd w:val="clear" w:color="auto" w:fill="auto"/>
            <w:vAlign w:val="center"/>
          </w:tcPr>
          <w:p w14:paraId="05C130A8" w14:textId="77777777" w:rsidR="00DF39E8" w:rsidRPr="00DF39E8" w:rsidRDefault="00DF39E8" w:rsidP="00A00F2B">
            <w:pPr>
              <w:autoSpaceDE w:val="0"/>
              <w:autoSpaceDN w:val="0"/>
              <w:adjustRightInd w:val="0"/>
              <w:ind w:left="-113" w:right="113"/>
              <w:jc w:val="right"/>
              <w:rPr>
                <w:rFonts w:eastAsia="Calibri"/>
                <w:sz w:val="20"/>
                <w:szCs w:val="20"/>
                <w:lang w:eastAsia="en-US"/>
              </w:rPr>
            </w:pPr>
            <w:r w:rsidRPr="00DF39E8">
              <w:rPr>
                <w:rFonts w:eastAsia="Calibri"/>
                <w:sz w:val="20"/>
                <w:szCs w:val="20"/>
                <w:lang w:eastAsia="en-US"/>
              </w:rPr>
              <w:t>144</w:t>
            </w:r>
          </w:p>
        </w:tc>
        <w:tc>
          <w:tcPr>
            <w:tcW w:w="648" w:type="dxa"/>
            <w:tcBorders>
              <w:top w:val="nil"/>
              <w:left w:val="single" w:sz="4" w:space="0" w:color="auto"/>
              <w:bottom w:val="nil"/>
              <w:right w:val="single" w:sz="4" w:space="0" w:color="auto"/>
            </w:tcBorders>
            <w:shd w:val="clear" w:color="auto" w:fill="auto"/>
            <w:vAlign w:val="center"/>
          </w:tcPr>
          <w:p w14:paraId="5F7458F9" w14:textId="77777777" w:rsidR="00DF39E8" w:rsidRPr="00DF39E8" w:rsidRDefault="00DF39E8" w:rsidP="00DF39E8">
            <w:pPr>
              <w:autoSpaceDE w:val="0"/>
              <w:autoSpaceDN w:val="0"/>
              <w:adjustRightInd w:val="0"/>
              <w:jc w:val="center"/>
              <w:rPr>
                <w:rFonts w:eastAsia="Calibri"/>
                <w:sz w:val="18"/>
                <w:szCs w:val="18"/>
                <w:lang w:eastAsia="en-US"/>
              </w:rPr>
            </w:pPr>
            <w:r w:rsidRPr="00DF39E8">
              <w:rPr>
                <w:rFonts w:ascii="Myriad Pro Light" w:eastAsia="Calibri" w:hAnsi="Myriad Pro Light"/>
                <w:lang w:eastAsia="en-US"/>
              </w:rPr>
              <w:object w:dxaOrig="525" w:dyaOrig="510" w14:anchorId="54F7E04B">
                <v:shape id="_x0000_i1029" type="#_x0000_t75" style="width:14.6pt;height:12.75pt" o:ole="">
                  <v:imagedata r:id="rId279" o:title=""/>
                </v:shape>
                <o:OLEObject Type="Embed" ProgID="PBrush" ShapeID="_x0000_i1029" DrawAspect="Content" ObjectID="_1491890375" r:id="rId283"/>
              </w:object>
            </w:r>
          </w:p>
        </w:tc>
      </w:tr>
      <w:tr w:rsidR="00DF39E8" w:rsidRPr="00DF39E8" w14:paraId="45D93026" w14:textId="77777777" w:rsidTr="00DF39E8">
        <w:trPr>
          <w:trHeight w:val="106"/>
          <w:jc w:val="center"/>
        </w:trPr>
        <w:tc>
          <w:tcPr>
            <w:tcW w:w="1877" w:type="dxa"/>
            <w:tcBorders>
              <w:top w:val="nil"/>
              <w:left w:val="single" w:sz="4" w:space="0" w:color="auto"/>
              <w:bottom w:val="single" w:sz="4" w:space="0" w:color="auto"/>
              <w:right w:val="single" w:sz="4" w:space="0" w:color="auto"/>
            </w:tcBorders>
            <w:shd w:val="clear" w:color="auto" w:fill="auto"/>
            <w:vAlign w:val="center"/>
          </w:tcPr>
          <w:p w14:paraId="6FAA7A96" w14:textId="77777777" w:rsidR="00DF39E8" w:rsidRPr="00DF39E8" w:rsidRDefault="00DF39E8" w:rsidP="00DF39E8">
            <w:pPr>
              <w:autoSpaceDE w:val="0"/>
              <w:autoSpaceDN w:val="0"/>
              <w:adjustRightInd w:val="0"/>
              <w:jc w:val="both"/>
              <w:rPr>
                <w:rFonts w:eastAsia="Calibri"/>
                <w:bCs/>
                <w:sz w:val="20"/>
                <w:szCs w:val="20"/>
                <w:lang w:eastAsia="en-US"/>
              </w:rPr>
            </w:pPr>
          </w:p>
        </w:tc>
        <w:tc>
          <w:tcPr>
            <w:tcW w:w="1116" w:type="dxa"/>
            <w:tcBorders>
              <w:top w:val="nil"/>
              <w:left w:val="single" w:sz="4" w:space="0" w:color="auto"/>
              <w:bottom w:val="single" w:sz="4" w:space="0" w:color="auto"/>
              <w:right w:val="single" w:sz="4" w:space="0" w:color="auto"/>
            </w:tcBorders>
            <w:shd w:val="clear" w:color="auto" w:fill="auto"/>
            <w:vAlign w:val="center"/>
          </w:tcPr>
          <w:p w14:paraId="7A2DC50C" w14:textId="77777777" w:rsidR="00DF39E8" w:rsidRPr="00DF39E8" w:rsidRDefault="00DF39E8" w:rsidP="00A00F2B">
            <w:pPr>
              <w:autoSpaceDE w:val="0"/>
              <w:autoSpaceDN w:val="0"/>
              <w:adjustRightInd w:val="0"/>
              <w:ind w:left="-113" w:right="113"/>
              <w:jc w:val="right"/>
              <w:rPr>
                <w:rFonts w:eastAsia="Calibri"/>
                <w:b/>
                <w:sz w:val="20"/>
                <w:szCs w:val="20"/>
                <w:lang w:eastAsia="en-US"/>
              </w:rPr>
            </w:pPr>
            <w:r w:rsidRPr="00DF39E8">
              <w:rPr>
                <w:rFonts w:eastAsia="Calibri"/>
                <w:b/>
                <w:sz w:val="20"/>
                <w:szCs w:val="20"/>
                <w:lang w:eastAsia="en-US"/>
              </w:rPr>
              <w:t>2 847 846</w:t>
            </w:r>
          </w:p>
        </w:tc>
        <w:tc>
          <w:tcPr>
            <w:tcW w:w="1116" w:type="dxa"/>
            <w:tcBorders>
              <w:top w:val="nil"/>
              <w:left w:val="single" w:sz="4" w:space="0" w:color="auto"/>
              <w:bottom w:val="single" w:sz="4" w:space="0" w:color="auto"/>
              <w:right w:val="single" w:sz="4" w:space="0" w:color="auto"/>
            </w:tcBorders>
            <w:shd w:val="clear" w:color="auto" w:fill="auto"/>
            <w:vAlign w:val="center"/>
          </w:tcPr>
          <w:p w14:paraId="48ED679A" w14:textId="77777777" w:rsidR="00DF39E8" w:rsidRPr="00DF39E8" w:rsidRDefault="00DF39E8" w:rsidP="00A00F2B">
            <w:pPr>
              <w:autoSpaceDE w:val="0"/>
              <w:autoSpaceDN w:val="0"/>
              <w:adjustRightInd w:val="0"/>
              <w:ind w:left="-113" w:right="113"/>
              <w:jc w:val="right"/>
              <w:rPr>
                <w:rFonts w:eastAsia="Calibri"/>
                <w:b/>
                <w:sz w:val="20"/>
                <w:szCs w:val="20"/>
                <w:lang w:eastAsia="en-US"/>
              </w:rPr>
            </w:pPr>
            <w:r w:rsidRPr="00DF39E8">
              <w:rPr>
                <w:rFonts w:eastAsia="Calibri"/>
                <w:b/>
                <w:sz w:val="20"/>
                <w:szCs w:val="20"/>
                <w:lang w:eastAsia="en-US"/>
              </w:rPr>
              <w:t>2 811 545</w:t>
            </w:r>
          </w:p>
        </w:tc>
        <w:tc>
          <w:tcPr>
            <w:tcW w:w="1041" w:type="dxa"/>
            <w:tcBorders>
              <w:top w:val="nil"/>
              <w:left w:val="single" w:sz="4" w:space="0" w:color="auto"/>
              <w:bottom w:val="single" w:sz="4" w:space="0" w:color="auto"/>
              <w:right w:val="single" w:sz="4" w:space="0" w:color="auto"/>
            </w:tcBorders>
            <w:shd w:val="clear" w:color="auto" w:fill="auto"/>
            <w:vAlign w:val="center"/>
          </w:tcPr>
          <w:p w14:paraId="56AC5DBB" w14:textId="77777777" w:rsidR="00DF39E8" w:rsidRPr="00DF39E8" w:rsidRDefault="00DF39E8" w:rsidP="00A00F2B">
            <w:pPr>
              <w:autoSpaceDE w:val="0"/>
              <w:autoSpaceDN w:val="0"/>
              <w:adjustRightInd w:val="0"/>
              <w:ind w:left="-113" w:right="113"/>
              <w:jc w:val="right"/>
              <w:rPr>
                <w:rFonts w:eastAsia="Calibri"/>
                <w:b/>
                <w:sz w:val="20"/>
                <w:szCs w:val="20"/>
                <w:lang w:eastAsia="en-US"/>
              </w:rPr>
            </w:pPr>
            <w:r w:rsidRPr="00DF39E8">
              <w:rPr>
                <w:rFonts w:eastAsia="Calibri"/>
                <w:b/>
                <w:sz w:val="20"/>
                <w:szCs w:val="20"/>
                <w:lang w:eastAsia="en-US"/>
              </w:rPr>
              <w:t>2 949 049</w:t>
            </w:r>
          </w:p>
        </w:tc>
        <w:tc>
          <w:tcPr>
            <w:tcW w:w="1116" w:type="dxa"/>
            <w:tcBorders>
              <w:top w:val="nil"/>
              <w:left w:val="single" w:sz="4" w:space="0" w:color="auto"/>
              <w:bottom w:val="single" w:sz="4" w:space="0" w:color="auto"/>
              <w:right w:val="single" w:sz="4" w:space="0" w:color="auto"/>
            </w:tcBorders>
            <w:shd w:val="clear" w:color="auto" w:fill="auto"/>
            <w:vAlign w:val="center"/>
          </w:tcPr>
          <w:p w14:paraId="2D94A028" w14:textId="77777777" w:rsidR="00DF39E8" w:rsidRPr="00DF39E8" w:rsidRDefault="00DF39E8" w:rsidP="00A00F2B">
            <w:pPr>
              <w:autoSpaceDE w:val="0"/>
              <w:autoSpaceDN w:val="0"/>
              <w:adjustRightInd w:val="0"/>
              <w:ind w:left="-113" w:right="113"/>
              <w:jc w:val="right"/>
              <w:rPr>
                <w:rFonts w:eastAsia="Calibri"/>
                <w:b/>
                <w:sz w:val="20"/>
                <w:szCs w:val="20"/>
                <w:lang w:eastAsia="en-US"/>
              </w:rPr>
            </w:pPr>
            <w:r w:rsidRPr="00DF39E8">
              <w:rPr>
                <w:rFonts w:eastAsia="Calibri"/>
                <w:b/>
                <w:sz w:val="20"/>
                <w:szCs w:val="20"/>
                <w:lang w:eastAsia="en-US"/>
              </w:rPr>
              <w:t>2 890 693</w:t>
            </w:r>
          </w:p>
        </w:tc>
        <w:tc>
          <w:tcPr>
            <w:tcW w:w="656" w:type="dxa"/>
            <w:tcBorders>
              <w:top w:val="nil"/>
              <w:left w:val="single" w:sz="4" w:space="0" w:color="auto"/>
              <w:bottom w:val="single" w:sz="4" w:space="0" w:color="auto"/>
              <w:right w:val="single" w:sz="4" w:space="0" w:color="auto"/>
            </w:tcBorders>
            <w:shd w:val="clear" w:color="auto" w:fill="auto"/>
            <w:vAlign w:val="center"/>
          </w:tcPr>
          <w:p w14:paraId="39D0F47A" w14:textId="77777777" w:rsidR="00DF39E8" w:rsidRPr="00DF39E8" w:rsidRDefault="00DF39E8" w:rsidP="00A00F2B">
            <w:pPr>
              <w:autoSpaceDE w:val="0"/>
              <w:autoSpaceDN w:val="0"/>
              <w:adjustRightInd w:val="0"/>
              <w:ind w:left="-113" w:right="113"/>
              <w:jc w:val="right"/>
              <w:rPr>
                <w:rFonts w:eastAsia="Calibri"/>
                <w:b/>
                <w:sz w:val="20"/>
                <w:szCs w:val="20"/>
                <w:lang w:eastAsia="en-US"/>
              </w:rPr>
            </w:pPr>
            <w:r w:rsidRPr="00DF39E8">
              <w:rPr>
                <w:rFonts w:eastAsia="Calibri"/>
                <w:b/>
                <w:sz w:val="20"/>
                <w:szCs w:val="20"/>
                <w:lang w:eastAsia="en-US"/>
              </w:rPr>
              <w:t>-2</w:t>
            </w:r>
          </w:p>
        </w:tc>
        <w:tc>
          <w:tcPr>
            <w:tcW w:w="648" w:type="dxa"/>
            <w:tcBorders>
              <w:top w:val="nil"/>
              <w:left w:val="single" w:sz="4" w:space="0" w:color="auto"/>
              <w:bottom w:val="single" w:sz="4" w:space="0" w:color="auto"/>
              <w:right w:val="single" w:sz="4" w:space="0" w:color="auto"/>
            </w:tcBorders>
            <w:shd w:val="clear" w:color="auto" w:fill="auto"/>
            <w:vAlign w:val="center"/>
          </w:tcPr>
          <w:p w14:paraId="203FACE9" w14:textId="73AE34D3" w:rsidR="00DF39E8" w:rsidRPr="00DF39E8" w:rsidRDefault="00DF39E8" w:rsidP="00DF39E8">
            <w:pPr>
              <w:autoSpaceDE w:val="0"/>
              <w:autoSpaceDN w:val="0"/>
              <w:adjustRightInd w:val="0"/>
              <w:jc w:val="center"/>
              <w:rPr>
                <w:rFonts w:eastAsia="Calibri"/>
                <w:b/>
                <w:sz w:val="18"/>
                <w:szCs w:val="18"/>
                <w:lang w:eastAsia="en-US"/>
              </w:rPr>
            </w:pPr>
          </w:p>
        </w:tc>
      </w:tr>
      <w:tr w:rsidR="00DF39E8" w:rsidRPr="00DF39E8" w14:paraId="150411D2" w14:textId="77777777" w:rsidTr="00DF39E8">
        <w:trPr>
          <w:trHeight w:val="106"/>
          <w:jc w:val="center"/>
        </w:trPr>
        <w:tc>
          <w:tcPr>
            <w:tcW w:w="6266" w:type="dxa"/>
            <w:gridSpan w:val="5"/>
            <w:tcBorders>
              <w:top w:val="single" w:sz="4" w:space="0" w:color="auto"/>
              <w:left w:val="nil"/>
              <w:bottom w:val="nil"/>
              <w:right w:val="nil"/>
            </w:tcBorders>
            <w:shd w:val="clear" w:color="auto" w:fill="auto"/>
            <w:vAlign w:val="center"/>
          </w:tcPr>
          <w:p w14:paraId="381902EA" w14:textId="77777777" w:rsidR="00DF39E8" w:rsidRPr="00DF39E8" w:rsidRDefault="00DF39E8" w:rsidP="00DF39E8">
            <w:pPr>
              <w:autoSpaceDE w:val="0"/>
              <w:autoSpaceDN w:val="0"/>
              <w:adjustRightInd w:val="0"/>
              <w:spacing w:before="120"/>
              <w:ind w:right="-159"/>
              <w:jc w:val="both"/>
              <w:rPr>
                <w:rFonts w:eastAsia="Calibri"/>
                <w:bCs/>
                <w:sz w:val="20"/>
                <w:szCs w:val="20"/>
                <w:lang w:eastAsia="en-US"/>
              </w:rPr>
            </w:pPr>
            <w:r w:rsidRPr="00DF39E8">
              <w:rPr>
                <w:rFonts w:eastAsia="Calibri"/>
                <w:bCs/>
                <w:sz w:val="20"/>
                <w:szCs w:val="20"/>
                <w:lang w:eastAsia="en-US"/>
              </w:rPr>
              <w:t>FUENTE: CONDUSEF</w:t>
            </w:r>
          </w:p>
        </w:tc>
        <w:tc>
          <w:tcPr>
            <w:tcW w:w="1304" w:type="dxa"/>
            <w:gridSpan w:val="2"/>
            <w:tcBorders>
              <w:top w:val="single" w:sz="4" w:space="0" w:color="auto"/>
              <w:left w:val="nil"/>
              <w:bottom w:val="nil"/>
              <w:right w:val="nil"/>
            </w:tcBorders>
            <w:shd w:val="clear" w:color="auto" w:fill="auto"/>
          </w:tcPr>
          <w:p w14:paraId="32918E12" w14:textId="77777777" w:rsidR="00DF39E8" w:rsidRPr="00DF39E8" w:rsidRDefault="00DF39E8" w:rsidP="00DF39E8">
            <w:pPr>
              <w:autoSpaceDE w:val="0"/>
              <w:autoSpaceDN w:val="0"/>
              <w:adjustRightInd w:val="0"/>
              <w:ind w:right="-159"/>
              <w:jc w:val="both"/>
              <w:rPr>
                <w:rFonts w:eastAsia="Calibri"/>
                <w:bCs/>
                <w:sz w:val="18"/>
                <w:szCs w:val="18"/>
                <w:lang w:eastAsia="en-US"/>
              </w:rPr>
            </w:pPr>
          </w:p>
        </w:tc>
      </w:tr>
    </w:tbl>
    <w:p w14:paraId="582C717D" w14:textId="77777777" w:rsidR="00DF39E8" w:rsidRDefault="00DF39E8" w:rsidP="00DF39E8">
      <w:pPr>
        <w:spacing w:before="360" w:after="360" w:line="360" w:lineRule="auto"/>
        <w:ind w:right="-159"/>
        <w:jc w:val="both"/>
        <w:rPr>
          <w:rFonts w:eastAsia="Calibri"/>
          <w:b/>
          <w:sz w:val="26"/>
          <w:szCs w:val="26"/>
          <w:lang w:eastAsia="en-US"/>
        </w:rPr>
      </w:pPr>
    </w:p>
    <w:p w14:paraId="3C0ABE33" w14:textId="77777777" w:rsidR="00DF39E8" w:rsidRPr="00DF39E8" w:rsidRDefault="00DF39E8" w:rsidP="00DF39E8">
      <w:pPr>
        <w:spacing w:before="360" w:after="360" w:line="360" w:lineRule="auto"/>
        <w:ind w:right="-159"/>
        <w:jc w:val="both"/>
        <w:rPr>
          <w:rFonts w:eastAsia="Calibri"/>
          <w:b/>
          <w:sz w:val="26"/>
          <w:szCs w:val="26"/>
          <w:lang w:eastAsia="en-US"/>
        </w:rPr>
      </w:pPr>
      <w:r w:rsidRPr="00DF39E8">
        <w:rPr>
          <w:rFonts w:eastAsia="Calibri"/>
          <w:b/>
          <w:sz w:val="26"/>
          <w:szCs w:val="26"/>
          <w:lang w:eastAsia="en-US"/>
        </w:rPr>
        <w:lastRenderedPageBreak/>
        <w:t>Tarjeta de crédito</w:t>
      </w:r>
    </w:p>
    <w:p w14:paraId="032F72B0" w14:textId="357142B5"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 xml:space="preserve">La tarjeta de crédito reportó </w:t>
      </w:r>
      <w:r w:rsidR="00A00F2B">
        <w:rPr>
          <w:rFonts w:eastAsia="Calibri"/>
          <w:sz w:val="26"/>
          <w:szCs w:val="26"/>
          <w:lang w:eastAsia="en-US"/>
        </w:rPr>
        <w:t>un</w:t>
      </w:r>
      <w:r w:rsidRPr="00DF39E8">
        <w:rPr>
          <w:rFonts w:eastAsia="Calibri"/>
          <w:sz w:val="26"/>
          <w:szCs w:val="26"/>
          <w:lang w:eastAsia="en-US"/>
        </w:rPr>
        <w:t xml:space="preserve"> millón 782 mil 668 reclamaciones imputables a un posible fraude, lo que representó un disminución de 12% con respecto a las reportadas en 2013.</w:t>
      </w:r>
    </w:p>
    <w:p w14:paraId="4E4F7A57"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En 2014, el monto total reclamado por los usuarios fue de 3 mil 565 millones de pesos, lo que representa 165 millones más (5%) que lo reportado en 2013.</w:t>
      </w:r>
    </w:p>
    <w:p w14:paraId="5A15427C"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Por lo que respecta al monto total abonado sumó 2 mil 285 millones de pesos, que equivale al 64% del monto total reclamado; ocho puntos por debajo de lo reportado en 2013.</w:t>
      </w:r>
    </w:p>
    <w:p w14:paraId="7CA46895"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La resolución favorable al usuario se ubicó en 82%, es decir, de cada 100 reclamaciones fraudulentas, 82 se resolvieron a favor del usuario, en un tiempo de respuesta promedio de 12 día hábiles.</w:t>
      </w:r>
    </w:p>
    <w:p w14:paraId="4A4D1EA7"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Por canal de transacción, 68% de las reclamaciones se concentraron en las “terminales punto de venta”, sin embargo desde 2011 los reclamos han presentado un decremento; a su vez los reclamos en cajeros automáticos tienden a desaparecer, ya que sólo concentraron 2% del total, en tanto que el canal sin presencia física de la tarjeta continúa en aumento al registrar 17 mil reclamos más que en 2013.</w:t>
      </w:r>
    </w:p>
    <w:p w14:paraId="0B9DD6B2" w14:textId="77777777" w:rsid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Los bancos que presentaron los mayores incrementos en el número de reclamaciones fueron: Santander con 23 mil 10, Banco Azteca con 13 mil 753 y Banorte con 8 mil 447; en tanto los que presentaron la mayor disminución fueron: BBVA Bancomer con 225 mil 494, Banamex con 82 mil 275 y HSBC con 6 mil 783.</w:t>
      </w:r>
    </w:p>
    <w:p w14:paraId="7C4ECE18" w14:textId="77777777" w:rsidR="004727D3" w:rsidRPr="00DF39E8" w:rsidRDefault="004727D3" w:rsidP="00DF39E8">
      <w:pPr>
        <w:spacing w:after="360" w:line="360" w:lineRule="auto"/>
        <w:ind w:right="-159"/>
        <w:jc w:val="both"/>
        <w:rPr>
          <w:rFonts w:eastAsia="Calibri"/>
          <w:sz w:val="26"/>
          <w:szCs w:val="26"/>
          <w:lang w:eastAsia="en-US"/>
        </w:rPr>
      </w:pPr>
    </w:p>
    <w:p w14:paraId="20AABB54"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b/>
          <w:sz w:val="26"/>
          <w:szCs w:val="26"/>
          <w:lang w:eastAsia="en-US"/>
        </w:rPr>
        <w:lastRenderedPageBreak/>
        <w:t>Tarjeta de débito</w:t>
      </w:r>
    </w:p>
    <w:p w14:paraId="50E157F0"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La tarjeta de débito reportó 971 mil 268 reclamaciones imputables a un posible fraude en 2014, por un monto total de 1 mil 600 millones de pesos, es decir, 227 millones más que lo reportado en 2013.</w:t>
      </w:r>
    </w:p>
    <w:p w14:paraId="6FF76488"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El monto total abonado sumó 779 millones de pesos, que equivalen al 49% del monto total reclamado; once puntos por debajo de lo reportado en 2013.</w:t>
      </w:r>
    </w:p>
    <w:p w14:paraId="00D8A727" w14:textId="696A8DD3"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 xml:space="preserve">Por canal de transacción, el 67% de las reclamaciones se concentraron en las terminales punto de venta, y a diferencia de la tarjeta de crédito las reclamaciones aumentaron </w:t>
      </w:r>
      <w:r w:rsidR="000921CC">
        <w:rPr>
          <w:rFonts w:eastAsia="Calibri"/>
          <w:sz w:val="26"/>
          <w:szCs w:val="26"/>
          <w:lang w:eastAsia="en-US"/>
        </w:rPr>
        <w:t xml:space="preserve">en </w:t>
      </w:r>
      <w:r w:rsidRPr="00DF39E8">
        <w:rPr>
          <w:rFonts w:eastAsia="Calibri"/>
          <w:sz w:val="26"/>
          <w:szCs w:val="26"/>
          <w:lang w:eastAsia="en-US"/>
        </w:rPr>
        <w:t>120 mil con relación a 2013.</w:t>
      </w:r>
    </w:p>
    <w:p w14:paraId="12912C75"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Asimismo en cajeros automáticos se concentró 18% de las reclamaciones, lo que significó además un decremento de 50 mil reclamaciones menos con relación al año anterior y al igual que en tarjeta de crédito, se tuvo un aumento en el canal denominado “sin presencia física de la tarjeta” al registrar 67 mil reclamaciones más.</w:t>
      </w:r>
    </w:p>
    <w:p w14:paraId="66633B33" w14:textId="3A5F9338"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Los bancos que presentaron los mayores incrementos en el número de reclamaciones fueron: Banco Azteca con 59 mil 12, Santander con 43 mil 220 y Banorte con 21 mil 797; en tanto los que presentaron la mayor disminución fueron: Banamex con 17 mil 337, Banco Wal M</w:t>
      </w:r>
      <w:r w:rsidR="00A00F2B">
        <w:rPr>
          <w:rFonts w:eastAsia="Calibri"/>
          <w:sz w:val="26"/>
          <w:szCs w:val="26"/>
          <w:lang w:eastAsia="en-US"/>
        </w:rPr>
        <w:t>art con 2 mil 382 y Afirme con un</w:t>
      </w:r>
      <w:r w:rsidRPr="00DF39E8">
        <w:rPr>
          <w:rFonts w:eastAsia="Calibri"/>
          <w:sz w:val="26"/>
          <w:szCs w:val="26"/>
          <w:lang w:eastAsia="en-US"/>
        </w:rPr>
        <w:t xml:space="preserve"> mil 975.</w:t>
      </w:r>
    </w:p>
    <w:p w14:paraId="07E30FCD"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b/>
          <w:sz w:val="26"/>
          <w:szCs w:val="26"/>
          <w:lang w:eastAsia="en-US"/>
        </w:rPr>
        <w:t>Depósito a la vista, tarjeta prepagada y depósito a plazo</w:t>
      </w:r>
    </w:p>
    <w:p w14:paraId="2CE1D56F"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Por lo que se refiere al producto denominado “depósito a la vista”, en 2014 se tuvieron 125 mil 997 reclamaciones, es decir 45% más a lo reportado en 2013.</w:t>
      </w:r>
    </w:p>
    <w:p w14:paraId="6EC5D25F" w14:textId="37CFD263"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 xml:space="preserve">Los posibles fraudes en este producto se derivan principalmente de “Retiros no reconocidos” que reflejan un cargo a la cuenta del usuario; “transferencias no </w:t>
      </w:r>
      <w:r w:rsidRPr="00DF39E8">
        <w:rPr>
          <w:rFonts w:eastAsia="Calibri"/>
          <w:sz w:val="26"/>
          <w:szCs w:val="26"/>
          <w:lang w:eastAsia="en-US"/>
        </w:rPr>
        <w:lastRenderedPageBreak/>
        <w:t>reconocidas” (“Phishing” suplantación de páginas y/o sitios de internet) y “cheques mal negociados (firma falsificada)”.</w:t>
      </w:r>
    </w:p>
    <w:p w14:paraId="3624788E"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En tanto, en “tarjeta prepagada” se registraron 9 mil 330 reclamaciones, 4 mil 835 más a lo reportado en 2013 (lo que significó 108% de incremento). El monto total reclamado por los usuarios sumó 10.2 millones de pesos, 4.6 millones más (85%) que lo reportado en 2013.</w:t>
      </w:r>
    </w:p>
    <w:p w14:paraId="3031A4BF" w14:textId="7BB284CD"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Mientras que en el producto denominado “depósito a plazo” se recibieron un mil 430 reclamaciones, 845 más a lo registrado en 2013 (es decir un aumento de 144%). El monto total reclamado por los usuarios sumó 49.1 millones de pesos, 12.2 millones más (33%) que lo reportado en 2013.</w:t>
      </w:r>
    </w:p>
    <w:p w14:paraId="7B89FFF6" w14:textId="77777777" w:rsidR="00DF39E8" w:rsidRPr="00DF39E8" w:rsidRDefault="00DF39E8" w:rsidP="00DF39E8">
      <w:pPr>
        <w:spacing w:after="360" w:line="360" w:lineRule="auto"/>
        <w:ind w:right="-159"/>
        <w:jc w:val="both"/>
        <w:rPr>
          <w:rFonts w:eastAsia="Calibri"/>
          <w:sz w:val="26"/>
          <w:szCs w:val="26"/>
          <w:lang w:eastAsia="en-US"/>
        </w:rPr>
      </w:pPr>
      <w:r w:rsidRPr="00DF39E8">
        <w:rPr>
          <w:rFonts w:eastAsia="Calibri"/>
          <w:sz w:val="26"/>
          <w:szCs w:val="26"/>
          <w:lang w:eastAsia="en-US"/>
        </w:rPr>
        <w:t>Finalmente, CONDUSEF ofrece las siguientes recomendaciones para evitar un posible fraude con tarjeta de crédito y tarjeta de débito:</w:t>
      </w:r>
    </w:p>
    <w:p w14:paraId="782D72A1"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No des a conocer a nadie tu número de identificación personal.</w:t>
      </w:r>
    </w:p>
    <w:p w14:paraId="02938AD8"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No pierdas de vista tu tarjeta cuando realices el pago de algún servicio o la compra de un bien, para ello hay terminales a la vista del público.</w:t>
      </w:r>
    </w:p>
    <w:p w14:paraId="714239C9"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Ningún banco te pide información de tus cuentas por correo electrónico o por teléfono.</w:t>
      </w:r>
    </w:p>
    <w:p w14:paraId="14AFD281"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Al realizar un pago, nunca pierdas de vista la terminal punto de venta, así evitarás un doble cargo o que tu tarjeta sea clonada.</w:t>
      </w:r>
    </w:p>
    <w:p w14:paraId="382B5A6F" w14:textId="77777777" w:rsid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Utiliza tu tarjeta en sitios comerciales debidamente establecidos.</w:t>
      </w:r>
    </w:p>
    <w:p w14:paraId="7645658D" w14:textId="77777777" w:rsidR="004727D3" w:rsidRPr="00DF39E8" w:rsidRDefault="004727D3" w:rsidP="004727D3">
      <w:pPr>
        <w:spacing w:after="360" w:line="360" w:lineRule="auto"/>
        <w:ind w:right="-159"/>
        <w:jc w:val="both"/>
        <w:rPr>
          <w:rFonts w:eastAsia="Calibri"/>
          <w:sz w:val="26"/>
          <w:szCs w:val="26"/>
          <w:lang w:eastAsia="en-US"/>
        </w:rPr>
      </w:pPr>
    </w:p>
    <w:p w14:paraId="7239174F"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lastRenderedPageBreak/>
        <w:t>Cuando compres por internet, verifica que sean sitios seguros y serios.</w:t>
      </w:r>
    </w:p>
    <w:p w14:paraId="13401A61" w14:textId="77777777" w:rsidR="00DF39E8" w:rsidRPr="00DF39E8" w:rsidRDefault="00DF39E8" w:rsidP="003B27DE">
      <w:pPr>
        <w:numPr>
          <w:ilvl w:val="0"/>
          <w:numId w:val="43"/>
        </w:numPr>
        <w:spacing w:after="360" w:line="360" w:lineRule="auto"/>
        <w:ind w:left="714" w:right="-159" w:hanging="357"/>
        <w:jc w:val="both"/>
        <w:rPr>
          <w:rFonts w:eastAsia="Calibri"/>
          <w:sz w:val="26"/>
          <w:szCs w:val="26"/>
          <w:lang w:eastAsia="en-US"/>
        </w:rPr>
      </w:pPr>
      <w:r w:rsidRPr="00DF39E8">
        <w:rPr>
          <w:rFonts w:eastAsia="Calibri"/>
          <w:sz w:val="26"/>
          <w:szCs w:val="26"/>
          <w:lang w:eastAsia="en-US"/>
        </w:rPr>
        <w:t>Guarda tus vouchers para posibles aclaraciones por cargos no reconocidos.</w:t>
      </w:r>
    </w:p>
    <w:p w14:paraId="1D40A547" w14:textId="77777777" w:rsidR="00DF39E8" w:rsidRPr="00DF39E8" w:rsidRDefault="00DF39E8" w:rsidP="00DF39E8">
      <w:pPr>
        <w:ind w:right="-159"/>
        <w:jc w:val="both"/>
        <w:rPr>
          <w:rFonts w:eastAsia="Calibri"/>
          <w:sz w:val="20"/>
          <w:szCs w:val="20"/>
          <w:lang w:eastAsia="en-US"/>
        </w:rPr>
      </w:pPr>
      <w:r w:rsidRPr="00DF39E8">
        <w:rPr>
          <w:rFonts w:eastAsia="Calibri"/>
          <w:b/>
          <w:sz w:val="20"/>
          <w:szCs w:val="20"/>
          <w:lang w:eastAsia="en-US"/>
        </w:rPr>
        <w:t>Fuente de información</w:t>
      </w:r>
      <w:r w:rsidRPr="00DF39E8">
        <w:rPr>
          <w:rFonts w:eastAsia="Calibri"/>
          <w:sz w:val="20"/>
          <w:szCs w:val="20"/>
          <w:lang w:eastAsia="en-US"/>
        </w:rPr>
        <w:t>:</w:t>
      </w:r>
    </w:p>
    <w:p w14:paraId="54114472" w14:textId="77777777" w:rsidR="00DF39E8" w:rsidRPr="008F5FED" w:rsidRDefault="0045651A" w:rsidP="00DF39E8">
      <w:pPr>
        <w:ind w:right="-159"/>
        <w:jc w:val="both"/>
        <w:rPr>
          <w:rFonts w:eastAsia="Calibri"/>
          <w:color w:val="0000FF"/>
          <w:sz w:val="20"/>
          <w:szCs w:val="20"/>
          <w:lang w:eastAsia="en-US"/>
        </w:rPr>
      </w:pPr>
      <w:hyperlink r:id="rId284" w:history="1">
        <w:r w:rsidR="00DF39E8" w:rsidRPr="008F5FED">
          <w:rPr>
            <w:rFonts w:eastAsia="Calibri"/>
            <w:color w:val="0000FF"/>
            <w:sz w:val="20"/>
            <w:szCs w:val="20"/>
            <w:u w:val="single"/>
            <w:lang w:eastAsia="en-US"/>
          </w:rPr>
          <w:t>http://www.condusef.gob.mx/index.php/prensa/comunicados-2015/1181-en-2014-el-numero-de-reclamaciones-imputables-a-un-posible-fraude-se-ubico-en-2-millones-890-mil-693</w:t>
        </w:r>
      </w:hyperlink>
    </w:p>
    <w:p w14:paraId="357BB756" w14:textId="77777777" w:rsidR="00DF39E8" w:rsidRPr="008F5FED" w:rsidRDefault="00DF39E8" w:rsidP="00DF39E8">
      <w:pPr>
        <w:ind w:right="-159"/>
        <w:jc w:val="both"/>
        <w:rPr>
          <w:rFonts w:eastAsia="Calibri"/>
          <w:sz w:val="20"/>
          <w:szCs w:val="20"/>
          <w:lang w:eastAsia="en-US"/>
        </w:rPr>
      </w:pPr>
      <w:r w:rsidRPr="008F5FED">
        <w:rPr>
          <w:rFonts w:eastAsia="Calibri"/>
          <w:sz w:val="20"/>
          <w:szCs w:val="20"/>
          <w:lang w:eastAsia="en-US"/>
        </w:rPr>
        <w:t>Para tener acceso a la presentación, visitar:</w:t>
      </w:r>
    </w:p>
    <w:p w14:paraId="663523A0" w14:textId="77777777" w:rsidR="00DF39E8" w:rsidRPr="008F5FED" w:rsidRDefault="0045651A" w:rsidP="008F5FED">
      <w:pPr>
        <w:spacing w:after="720"/>
        <w:ind w:right="-159"/>
        <w:jc w:val="both"/>
        <w:rPr>
          <w:rFonts w:eastAsia="Calibri"/>
          <w:color w:val="0000FF"/>
          <w:sz w:val="20"/>
          <w:szCs w:val="20"/>
          <w:lang w:eastAsia="en-US"/>
        </w:rPr>
      </w:pPr>
      <w:hyperlink r:id="rId285" w:history="1">
        <w:r w:rsidR="00DF39E8" w:rsidRPr="008F5FED">
          <w:rPr>
            <w:rFonts w:eastAsia="Calibri"/>
            <w:color w:val="0000FF"/>
            <w:sz w:val="20"/>
            <w:szCs w:val="20"/>
            <w:u w:val="single"/>
            <w:lang w:eastAsia="en-US"/>
          </w:rPr>
          <w:t>http://www.condusef.gob.mx/PDF-s/estadistica/evolucion-reclamaciones-11-14.pdf</w:t>
        </w:r>
      </w:hyperlink>
    </w:p>
    <w:p w14:paraId="3A67EBA8" w14:textId="77777777" w:rsidR="003E1C6F" w:rsidRPr="003E1C6F" w:rsidRDefault="003E1C6F" w:rsidP="003E1C6F">
      <w:pPr>
        <w:ind w:right="-159"/>
        <w:jc w:val="both"/>
        <w:rPr>
          <w:rFonts w:eastAsia="Calibri"/>
          <w:b/>
          <w:sz w:val="26"/>
          <w:szCs w:val="26"/>
          <w:lang w:eastAsia="en-US"/>
        </w:rPr>
      </w:pPr>
      <w:r w:rsidRPr="003E1C6F">
        <w:rPr>
          <w:rFonts w:eastAsia="Calibri"/>
          <w:b/>
          <w:sz w:val="26"/>
          <w:szCs w:val="26"/>
          <w:lang w:eastAsia="en-US"/>
        </w:rPr>
        <w:t>Delegan la facultad de imponer sanciones</w:t>
      </w:r>
    </w:p>
    <w:p w14:paraId="3FC8632C" w14:textId="77777777" w:rsidR="003E1C6F" w:rsidRPr="003E1C6F" w:rsidRDefault="003E1C6F" w:rsidP="003E1C6F">
      <w:pPr>
        <w:ind w:right="-159"/>
        <w:jc w:val="both"/>
        <w:rPr>
          <w:rFonts w:eastAsia="Calibri"/>
          <w:b/>
          <w:sz w:val="26"/>
          <w:szCs w:val="26"/>
          <w:lang w:eastAsia="en-US"/>
        </w:rPr>
      </w:pPr>
      <w:r w:rsidRPr="003E1C6F">
        <w:rPr>
          <w:rFonts w:eastAsia="Calibri"/>
          <w:b/>
          <w:sz w:val="26"/>
          <w:szCs w:val="26"/>
          <w:lang w:eastAsia="en-US"/>
        </w:rPr>
        <w:t>administrativas por infracciones a la Ley</w:t>
      </w:r>
    </w:p>
    <w:p w14:paraId="05917258" w14:textId="77777777" w:rsidR="003E1C6F" w:rsidRPr="003E1C6F" w:rsidRDefault="003E1C6F" w:rsidP="003E1C6F">
      <w:pPr>
        <w:spacing w:after="360" w:line="360" w:lineRule="auto"/>
        <w:ind w:right="-159"/>
        <w:jc w:val="both"/>
        <w:rPr>
          <w:rFonts w:eastAsia="Calibri"/>
          <w:b/>
          <w:sz w:val="26"/>
          <w:szCs w:val="26"/>
          <w:lang w:eastAsia="en-US"/>
        </w:rPr>
      </w:pPr>
      <w:r w:rsidRPr="003E1C6F">
        <w:rPr>
          <w:rFonts w:eastAsia="Calibri"/>
          <w:b/>
          <w:sz w:val="26"/>
          <w:szCs w:val="26"/>
          <w:lang w:eastAsia="en-US"/>
        </w:rPr>
        <w:t>de instituciones de crédito (CONDUSEF)</w:t>
      </w:r>
    </w:p>
    <w:p w14:paraId="37DC47E7" w14:textId="58D4754B" w:rsidR="003E1C6F" w:rsidRPr="003E1C6F" w:rsidRDefault="003E1C6F" w:rsidP="003E1C6F">
      <w:pPr>
        <w:spacing w:after="360" w:line="360" w:lineRule="auto"/>
        <w:ind w:right="-159"/>
        <w:jc w:val="both"/>
        <w:rPr>
          <w:rFonts w:eastAsia="Calibri"/>
          <w:bCs/>
          <w:sz w:val="26"/>
          <w:szCs w:val="26"/>
          <w:lang w:eastAsia="en-US"/>
        </w:rPr>
      </w:pPr>
      <w:r w:rsidRPr="003E1C6F">
        <w:rPr>
          <w:rFonts w:eastAsia="Calibri"/>
          <w:bCs/>
          <w:sz w:val="26"/>
          <w:szCs w:val="26"/>
          <w:lang w:eastAsia="en-US"/>
        </w:rPr>
        <w:t>El 23 de marzo de 2015</w:t>
      </w:r>
      <w:r w:rsidRPr="003E1C6F">
        <w:rPr>
          <w:rFonts w:eastAsia="Calibri"/>
          <w:sz w:val="26"/>
          <w:szCs w:val="26"/>
          <w:lang w:eastAsia="en-US"/>
        </w:rPr>
        <w:t>, la Comisión Nacional para la Protección y Defensa de los Usuarios de Servicios Financieros (CONDUSEF) publicó en el Diario Oficial de la Federación (DOF) el “</w:t>
      </w:r>
      <w:r w:rsidRPr="003E1C6F">
        <w:rPr>
          <w:rFonts w:eastAsia="Calibri"/>
          <w:bCs/>
          <w:sz w:val="26"/>
          <w:szCs w:val="26"/>
          <w:lang w:eastAsia="en-US"/>
        </w:rPr>
        <w:t>Acuerdo por el que la Junta de Gobierno de la Comisión Nacional para la Protección y Defensa de los Usuarios de Servicios Financieros delega al Presidente, Vicepresidente Jurídico y Director General de Arbitraje y Sanciones, de la propia Comisión, la facultad de imponer sanciones administrativas por infracciones a la Ley de Instituciones de Crédito”</w:t>
      </w:r>
      <w:r w:rsidR="00A00F2B">
        <w:rPr>
          <w:rFonts w:eastAsia="Calibri"/>
          <w:bCs/>
          <w:sz w:val="26"/>
          <w:szCs w:val="26"/>
          <w:lang w:eastAsia="en-US"/>
        </w:rPr>
        <w:t>, e</w:t>
      </w:r>
      <w:r w:rsidRPr="003E1C6F">
        <w:rPr>
          <w:rFonts w:eastAsia="Calibri"/>
          <w:bCs/>
          <w:sz w:val="26"/>
          <w:szCs w:val="26"/>
          <w:lang w:eastAsia="en-US"/>
        </w:rPr>
        <w:t>l cual se presenta a continuación.</w:t>
      </w:r>
    </w:p>
    <w:p w14:paraId="18BF29A9" w14:textId="17DB1506" w:rsidR="003E1C6F" w:rsidRPr="00A00F2B" w:rsidRDefault="003E1C6F" w:rsidP="00A00F2B">
      <w:pPr>
        <w:spacing w:after="360"/>
        <w:ind w:right="-159"/>
        <w:jc w:val="both"/>
        <w:rPr>
          <w:rFonts w:eastAsia="Calibri"/>
          <w:b/>
          <w:sz w:val="26"/>
          <w:szCs w:val="26"/>
          <w:lang w:eastAsia="en-US"/>
        </w:rPr>
      </w:pPr>
      <w:r w:rsidRPr="00A00F2B">
        <w:rPr>
          <w:rFonts w:eastAsia="Calibri"/>
          <w:b/>
          <w:sz w:val="26"/>
          <w:szCs w:val="26"/>
          <w:lang w:eastAsia="en-US"/>
        </w:rPr>
        <w:t xml:space="preserve">ACUERDO POR EL QUE LA JUNTA DE GOBIERNO DE LA COMISIÓN NACIONAL PARA LA PROTECCIÓN Y DEFENSA DE LOS USUARIOS DE SERVICIOS FINANCIEROS DELEGA AL PRESIDENTE, VICEPRESIDENTE JURÍDICO Y DIRECTOR GENERAL DE ARBITRAJE Y SANCIONES, DE LA PROPIA COMISIÓN, LA FACULTAD DE IMPONER SANCIONES ADMINISTRATIVAS POR INFRACCIONES A LA </w:t>
      </w:r>
      <w:r w:rsidR="00A00F2B">
        <w:rPr>
          <w:rFonts w:eastAsia="Calibri"/>
          <w:b/>
          <w:sz w:val="26"/>
          <w:szCs w:val="26"/>
          <w:lang w:eastAsia="en-US"/>
        </w:rPr>
        <w:t>LEY DE INSTITUCIONES DE CRÉDITO</w:t>
      </w:r>
    </w:p>
    <w:p w14:paraId="78ADE978"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sz w:val="26"/>
          <w:szCs w:val="26"/>
          <w:lang w:eastAsia="en-US"/>
        </w:rPr>
        <w:t>La Junta de Gobierno de la Comisión Nacional para la Protección y Defensa de los Usuarios de Servicios Financieros, aprobó mediante acuerdo CONDUSEF/JG/94/06 del 3 de marzo de 2015, y con fundamento en los artículos 4, 16, 22 fracciones XII y XXV, de la Ley de Protección y Defensa al Usuario de Servicios Financieros, y</w:t>
      </w:r>
    </w:p>
    <w:p w14:paraId="0521C836" w14:textId="77777777" w:rsidR="003E1C6F" w:rsidRPr="003E1C6F" w:rsidRDefault="003E1C6F" w:rsidP="003E1C6F">
      <w:pPr>
        <w:spacing w:after="360" w:line="360" w:lineRule="auto"/>
        <w:ind w:right="-159"/>
        <w:jc w:val="center"/>
        <w:rPr>
          <w:rFonts w:eastAsia="Calibri"/>
          <w:b/>
          <w:bCs/>
          <w:sz w:val="26"/>
          <w:szCs w:val="26"/>
          <w:lang w:eastAsia="en-US"/>
        </w:rPr>
      </w:pPr>
      <w:r w:rsidRPr="003E1C6F">
        <w:rPr>
          <w:rFonts w:eastAsia="Calibri"/>
          <w:b/>
          <w:bCs/>
          <w:sz w:val="26"/>
          <w:szCs w:val="26"/>
          <w:lang w:eastAsia="en-US"/>
        </w:rPr>
        <w:lastRenderedPageBreak/>
        <w:t>CONSIDERANDO</w:t>
      </w:r>
    </w:p>
    <w:p w14:paraId="7C0A80BA"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sz w:val="26"/>
          <w:szCs w:val="26"/>
          <w:lang w:eastAsia="en-US"/>
        </w:rPr>
        <w:t>Que con fundamento en lo dispuesto por los artículos 107 Bis, 108 Bis 2, 109 Bis, 109 Bis 1, 109 Bis 3, 109 Bis 5, 109 Bis 6, 109 Bis 8, de la Ley de Instituciones de Crédito, es atribución de la Junta de Gobierno delegar la facultad de imponer sanciones administrativas por infracciones a la Ley de referencia y a las disposiciones que de ella emanen, en razón de la naturaleza de la infracción o del monto de la multa, en el Presidente de la Comisión Nacional para la Protección y Defensa de los Usuarios de Servicios Financieros, o en los demás servidores públicos de dicha Comisión, en tal virtud se expide el siguiente:</w:t>
      </w:r>
    </w:p>
    <w:p w14:paraId="39F959DB" w14:textId="77777777" w:rsidR="003E1C6F" w:rsidRPr="00A00F2B" w:rsidRDefault="003E1C6F" w:rsidP="00A00F2B">
      <w:pPr>
        <w:spacing w:after="360"/>
        <w:ind w:right="-159"/>
        <w:jc w:val="both"/>
        <w:rPr>
          <w:rFonts w:eastAsia="Calibri"/>
          <w:b/>
          <w:sz w:val="26"/>
          <w:szCs w:val="26"/>
          <w:lang w:eastAsia="en-US"/>
        </w:rPr>
      </w:pPr>
      <w:r w:rsidRPr="00A00F2B">
        <w:rPr>
          <w:rFonts w:eastAsia="Calibri"/>
          <w:b/>
          <w:sz w:val="26"/>
          <w:szCs w:val="26"/>
          <w:lang w:eastAsia="en-US"/>
        </w:rPr>
        <w:t>ACUERDO POR EL QUE LA JUNTA DE GOBIERNO DE LA COMISIÓN NACIONAL PARA LA PROTECCIÓN Y DEFENSA DE LOS USUARIOS DE SERVICIOS FINANCIEROS DELEGA AL PRESIDENTE, VICEPRESIDENTE JURÍDICO Y DIRECTOR GENERAL DE ARBITRAJE Y SANCIONES, DE LA PROPIA COMISIÓN, LA FACULTAD DE IMPONER SANCIONES ADMINISTRATIVAS POR INFRACCIONES A LA LEY DE INSTITUCIONES DE CRÉDITO</w:t>
      </w:r>
    </w:p>
    <w:p w14:paraId="2DF8EAD2"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bCs/>
          <w:sz w:val="26"/>
          <w:szCs w:val="26"/>
          <w:lang w:eastAsia="en-US"/>
        </w:rPr>
        <w:t>Artículo Primero.</w:t>
      </w:r>
      <w:r w:rsidRPr="003E1C6F">
        <w:rPr>
          <w:rFonts w:eastAsia="Calibri"/>
          <w:sz w:val="26"/>
          <w:szCs w:val="26"/>
          <w:lang w:eastAsia="en-US"/>
        </w:rPr>
        <w:t xml:space="preserve"> Se delega en el Presidente, Vicepresidente Jurídico y Director General de Arbitraje y Sanciones, de la Comisión Nacional para la Protección y Defensa de los Usuarios de Servicios Financieros, la facultad de imponer sanciones administrativas por infracciones a la Ley de Instituciones de Crédito y a las disposiciones que de ella emanen, sin perjuicio de su ejercicio directo por la Junta de Gobierno, conforme a lo siguiente:</w:t>
      </w:r>
    </w:p>
    <w:p w14:paraId="41553FF9" w14:textId="77777777" w:rsidR="003E1C6F" w:rsidRPr="003E1C6F" w:rsidRDefault="003E1C6F" w:rsidP="003B27DE">
      <w:pPr>
        <w:numPr>
          <w:ilvl w:val="0"/>
          <w:numId w:val="55"/>
        </w:numPr>
        <w:spacing w:after="360" w:line="360" w:lineRule="auto"/>
        <w:ind w:right="-159"/>
        <w:jc w:val="both"/>
        <w:rPr>
          <w:rFonts w:eastAsia="Calibri"/>
          <w:sz w:val="26"/>
          <w:szCs w:val="26"/>
          <w:lang w:eastAsia="en-US"/>
        </w:rPr>
      </w:pPr>
      <w:r w:rsidRPr="003E1C6F">
        <w:rPr>
          <w:rFonts w:eastAsia="Calibri"/>
          <w:sz w:val="26"/>
          <w:szCs w:val="26"/>
          <w:lang w:eastAsia="en-US"/>
        </w:rPr>
        <w:t xml:space="preserve">En el Presidente y en el Vicepresidente Jurídico, de manera indistinta, cuando el importe de la multa o el total de las multas impuestas en un solo acto, a la entidad o persona infractora de que se trate, con motivo de una o diversas infracciones, sea hasta por veinte mil días de </w:t>
      </w:r>
      <w:r w:rsidRPr="003E1C6F">
        <w:rPr>
          <w:rFonts w:eastAsia="Calibri"/>
          <w:b/>
          <w:sz w:val="26"/>
          <w:szCs w:val="26"/>
          <w:lang w:eastAsia="en-US"/>
        </w:rPr>
        <w:t>salario mínimo</w:t>
      </w:r>
      <w:r w:rsidRPr="003E1C6F">
        <w:rPr>
          <w:rFonts w:eastAsia="Calibri"/>
          <w:sz w:val="26"/>
          <w:szCs w:val="26"/>
          <w:lang w:eastAsia="en-US"/>
        </w:rPr>
        <w:t xml:space="preserve"> general vigente en el Distrito Federal, o hasta por el equivalente a ese importe cuando las multas se determinen </w:t>
      </w:r>
      <w:r w:rsidRPr="003E1C6F">
        <w:rPr>
          <w:rFonts w:eastAsia="Calibri"/>
          <w:sz w:val="26"/>
          <w:szCs w:val="26"/>
          <w:lang w:eastAsia="en-US"/>
        </w:rPr>
        <w:lastRenderedPageBreak/>
        <w:t>conforme a otras bases. Adicionalmente, tendrán la facultad de imponer sanciones administrativas conforme a la fracción II siguiente.</w:t>
      </w:r>
    </w:p>
    <w:p w14:paraId="7E840A72" w14:textId="77777777" w:rsidR="003E1C6F" w:rsidRPr="003E1C6F" w:rsidRDefault="003E1C6F" w:rsidP="003B27DE">
      <w:pPr>
        <w:numPr>
          <w:ilvl w:val="0"/>
          <w:numId w:val="55"/>
        </w:numPr>
        <w:spacing w:after="360" w:line="360" w:lineRule="auto"/>
        <w:ind w:right="-159"/>
        <w:jc w:val="both"/>
        <w:rPr>
          <w:rFonts w:eastAsia="Calibri"/>
          <w:sz w:val="26"/>
          <w:szCs w:val="26"/>
          <w:lang w:eastAsia="en-US"/>
        </w:rPr>
      </w:pPr>
      <w:r w:rsidRPr="003E1C6F">
        <w:rPr>
          <w:rFonts w:eastAsia="Calibri"/>
          <w:sz w:val="26"/>
          <w:szCs w:val="26"/>
          <w:lang w:eastAsia="en-US"/>
        </w:rPr>
        <w:t xml:space="preserve">En el Director General de Arbitraje y Sanciones, cuando el importe de la multa o el total de las multas impuestas en un solo acto, a la entidad o persona infractora de que se trate, con motivo de una o diversas infracciones, sea hasta por diez mil días de </w:t>
      </w:r>
      <w:r w:rsidRPr="003E1C6F">
        <w:rPr>
          <w:rFonts w:eastAsia="Calibri"/>
          <w:b/>
          <w:sz w:val="26"/>
          <w:szCs w:val="26"/>
          <w:lang w:eastAsia="en-US"/>
        </w:rPr>
        <w:t>salario mínimo</w:t>
      </w:r>
      <w:r w:rsidRPr="003E1C6F">
        <w:rPr>
          <w:rFonts w:eastAsia="Calibri"/>
          <w:sz w:val="26"/>
          <w:szCs w:val="26"/>
          <w:lang w:eastAsia="en-US"/>
        </w:rPr>
        <w:t xml:space="preserve"> general vigente en el Distrito Federal, o hasta por el equivalente a ese importe cuando las multas se determinen conforme a otras bases.</w:t>
      </w:r>
    </w:p>
    <w:p w14:paraId="2A91B332"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bCs/>
          <w:sz w:val="26"/>
          <w:szCs w:val="26"/>
          <w:lang w:eastAsia="en-US"/>
        </w:rPr>
        <w:t>Artículo Segundo</w:t>
      </w:r>
      <w:r w:rsidRPr="003E1C6F">
        <w:rPr>
          <w:rFonts w:eastAsia="Calibri"/>
          <w:b/>
          <w:bCs/>
          <w:sz w:val="26"/>
          <w:szCs w:val="26"/>
          <w:lang w:eastAsia="en-US"/>
        </w:rPr>
        <w:t>.</w:t>
      </w:r>
      <w:r w:rsidRPr="003E1C6F">
        <w:rPr>
          <w:rFonts w:eastAsia="Calibri"/>
          <w:sz w:val="26"/>
          <w:szCs w:val="26"/>
          <w:lang w:eastAsia="en-US"/>
        </w:rPr>
        <w:t xml:space="preserve"> En caso de reincidencia, los servidores públicos mencionados podrán continuar imponiendo multas sucesivas al infractor de que se trate, atendiendo a los límites que a cada uno corresponda.</w:t>
      </w:r>
    </w:p>
    <w:p w14:paraId="329461B4"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bCs/>
          <w:sz w:val="26"/>
          <w:szCs w:val="26"/>
          <w:lang w:eastAsia="en-US"/>
        </w:rPr>
        <w:t>Artículo Tercero.</w:t>
      </w:r>
      <w:r w:rsidRPr="003E1C6F">
        <w:rPr>
          <w:rFonts w:eastAsia="Calibri"/>
          <w:sz w:val="26"/>
          <w:szCs w:val="26"/>
          <w:lang w:eastAsia="en-US"/>
        </w:rPr>
        <w:t xml:space="preserve"> El Presidente, Vicepresidente Jurídico y Director General de Arbitraje y Sanciones podrán abstenerse de sancionar a las entidades y personas reguladas en la Ley de Instituciones de Crédito, siempre que se justifique la causa de tal abstención y se refieran a hechos, actos u omisiones que no sean graves, no constituyan delito y no pongan en peligro los intereses de terceros o del sistema financiero.</w:t>
      </w:r>
    </w:p>
    <w:p w14:paraId="0174F662" w14:textId="77777777" w:rsidR="003E1C6F" w:rsidRPr="003E1C6F" w:rsidRDefault="003E1C6F" w:rsidP="003E1C6F">
      <w:pPr>
        <w:spacing w:after="360" w:line="360" w:lineRule="auto"/>
        <w:ind w:right="-159"/>
        <w:jc w:val="center"/>
        <w:rPr>
          <w:rFonts w:eastAsia="Calibri"/>
          <w:sz w:val="26"/>
          <w:szCs w:val="26"/>
          <w:lang w:eastAsia="en-US"/>
        </w:rPr>
      </w:pPr>
      <w:r w:rsidRPr="003E1C6F">
        <w:rPr>
          <w:rFonts w:eastAsia="Calibri"/>
          <w:b/>
          <w:sz w:val="26"/>
          <w:szCs w:val="26"/>
          <w:lang w:eastAsia="en-US"/>
        </w:rPr>
        <w:t>TRANSITORIOS</w:t>
      </w:r>
    </w:p>
    <w:p w14:paraId="7F1CC5B8"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bCs/>
          <w:sz w:val="26"/>
          <w:szCs w:val="26"/>
          <w:lang w:eastAsia="en-US"/>
        </w:rPr>
        <w:t>PRIMERO.</w:t>
      </w:r>
      <w:r w:rsidRPr="003E1C6F">
        <w:rPr>
          <w:rFonts w:eastAsia="Calibri"/>
          <w:sz w:val="26"/>
          <w:szCs w:val="26"/>
          <w:lang w:eastAsia="en-US"/>
        </w:rPr>
        <w:t xml:space="preserve"> El presente Acuerdo entrará en vigor al día siguiente de su publicación en el Diario Oficial de la Federación.</w:t>
      </w:r>
    </w:p>
    <w:p w14:paraId="0DDA25EC" w14:textId="77777777" w:rsidR="003E1C6F" w:rsidRPr="003E1C6F" w:rsidRDefault="003E1C6F" w:rsidP="003E1C6F">
      <w:pPr>
        <w:spacing w:after="360" w:line="360" w:lineRule="auto"/>
        <w:ind w:right="-159"/>
        <w:jc w:val="both"/>
        <w:rPr>
          <w:rFonts w:eastAsia="Calibri"/>
          <w:sz w:val="26"/>
          <w:szCs w:val="26"/>
          <w:lang w:eastAsia="en-US"/>
        </w:rPr>
      </w:pPr>
      <w:r w:rsidRPr="003E1C6F">
        <w:rPr>
          <w:rFonts w:eastAsia="Calibri"/>
          <w:bCs/>
          <w:sz w:val="26"/>
          <w:szCs w:val="26"/>
          <w:lang w:eastAsia="en-US"/>
        </w:rPr>
        <w:t>SEGUNDO.</w:t>
      </w:r>
      <w:r w:rsidRPr="003E1C6F">
        <w:rPr>
          <w:rFonts w:eastAsia="Calibri"/>
          <w:b/>
          <w:bCs/>
          <w:sz w:val="26"/>
          <w:szCs w:val="26"/>
          <w:lang w:eastAsia="en-US"/>
        </w:rPr>
        <w:t xml:space="preserve"> </w:t>
      </w:r>
      <w:r w:rsidRPr="003E1C6F">
        <w:rPr>
          <w:rFonts w:eastAsia="Calibri"/>
          <w:sz w:val="26"/>
          <w:szCs w:val="26"/>
          <w:lang w:eastAsia="en-US"/>
        </w:rPr>
        <w:t xml:space="preserve">A partir de la entrada en vigor del presente Acuerdo, queda sin efectos el “Acuerdo por el que la Junta de Gobierno de la Comisión Nacional para la Protección y Defensa de los Usuarios de Servicios Financieros delega al Presidente, Vicepresidente Jurídico y Director General de Servicios Legales, de la propia Comisión, la facultad de </w:t>
      </w:r>
      <w:r w:rsidRPr="003E1C6F">
        <w:rPr>
          <w:rFonts w:eastAsia="Calibri"/>
          <w:sz w:val="26"/>
          <w:szCs w:val="26"/>
          <w:lang w:eastAsia="en-US"/>
        </w:rPr>
        <w:lastRenderedPageBreak/>
        <w:t>imponer sanciones administrativas”, publicado en el Diario Oficial de la Federación el 31 de mayo de 2010.</w:t>
      </w:r>
    </w:p>
    <w:p w14:paraId="04ED9A57" w14:textId="77777777" w:rsidR="003E1C6F" w:rsidRPr="003E1C6F" w:rsidRDefault="003E1C6F" w:rsidP="003E1C6F">
      <w:pPr>
        <w:ind w:right="-159"/>
        <w:jc w:val="both"/>
        <w:rPr>
          <w:rFonts w:eastAsia="Calibri"/>
          <w:b/>
          <w:sz w:val="20"/>
          <w:szCs w:val="20"/>
          <w:lang w:eastAsia="en-US"/>
        </w:rPr>
      </w:pPr>
      <w:r w:rsidRPr="003E1C6F">
        <w:rPr>
          <w:rFonts w:eastAsia="Calibri"/>
          <w:b/>
          <w:sz w:val="20"/>
          <w:szCs w:val="20"/>
          <w:lang w:eastAsia="en-US"/>
        </w:rPr>
        <w:t>Fuente de información:</w:t>
      </w:r>
    </w:p>
    <w:p w14:paraId="2A46B9A6" w14:textId="77777777" w:rsidR="003E1C6F" w:rsidRPr="008F5FED" w:rsidRDefault="0045651A" w:rsidP="008F5FED">
      <w:pPr>
        <w:spacing w:after="720"/>
        <w:ind w:right="-159"/>
        <w:jc w:val="both"/>
        <w:rPr>
          <w:rFonts w:eastAsia="Calibri"/>
          <w:color w:val="0000FF"/>
          <w:sz w:val="20"/>
          <w:szCs w:val="20"/>
          <w:lang w:eastAsia="en-US"/>
        </w:rPr>
      </w:pPr>
      <w:hyperlink r:id="rId286" w:history="1">
        <w:r w:rsidR="003E1C6F" w:rsidRPr="008F5FED">
          <w:rPr>
            <w:rFonts w:eastAsia="Calibri"/>
            <w:color w:val="0000FF"/>
            <w:sz w:val="20"/>
            <w:szCs w:val="20"/>
            <w:u w:val="single"/>
            <w:lang w:eastAsia="en-US"/>
          </w:rPr>
          <w:t>http://www.dof.gob.mx/nota_detalle.php?codigo=5386322&amp;fecha=23/03/2015</w:t>
        </w:r>
      </w:hyperlink>
      <w:r w:rsidR="003E1C6F" w:rsidRPr="008F5FED">
        <w:rPr>
          <w:rFonts w:eastAsia="Calibri"/>
          <w:color w:val="0000FF"/>
          <w:sz w:val="20"/>
          <w:szCs w:val="20"/>
          <w:lang w:eastAsia="en-US"/>
        </w:rPr>
        <w:t xml:space="preserve"> </w:t>
      </w:r>
    </w:p>
    <w:p w14:paraId="38893A40" w14:textId="77777777" w:rsidR="00601B3E" w:rsidRPr="00601B3E" w:rsidRDefault="00601B3E" w:rsidP="00601B3E">
      <w:pPr>
        <w:rPr>
          <w:rFonts w:eastAsia="Calibri"/>
          <w:b/>
          <w:sz w:val="26"/>
          <w:szCs w:val="26"/>
          <w:lang w:eastAsia="en-US"/>
        </w:rPr>
      </w:pPr>
      <w:r w:rsidRPr="00601B3E">
        <w:rPr>
          <w:rFonts w:eastAsia="Calibri"/>
          <w:b/>
          <w:sz w:val="26"/>
          <w:szCs w:val="26"/>
          <w:lang w:eastAsia="en-US"/>
        </w:rPr>
        <w:t>Evaluación detallada del cumplimiento de</w:t>
      </w:r>
    </w:p>
    <w:p w14:paraId="038C8DBC" w14:textId="77777777" w:rsidR="00601B3E" w:rsidRPr="00601B3E" w:rsidRDefault="00601B3E" w:rsidP="00601B3E">
      <w:pPr>
        <w:spacing w:after="360" w:line="360" w:lineRule="auto"/>
        <w:ind w:right="-159"/>
        <w:jc w:val="both"/>
        <w:rPr>
          <w:rFonts w:eastAsia="Calibri"/>
          <w:b/>
          <w:sz w:val="26"/>
          <w:szCs w:val="26"/>
          <w:lang w:eastAsia="en-US"/>
        </w:rPr>
      </w:pPr>
      <w:r w:rsidRPr="00601B3E">
        <w:rPr>
          <w:rFonts w:eastAsia="Calibri"/>
          <w:b/>
          <w:sz w:val="26"/>
          <w:szCs w:val="26"/>
          <w:lang w:eastAsia="en-US"/>
        </w:rPr>
        <w:t>los principios básicos de seguros (FMI)</w:t>
      </w:r>
    </w:p>
    <w:p w14:paraId="422608AA"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El 2 de abril de 2015, el Fondo Monetario Internacional (FMI) presentó el estudio sobre la</w:t>
      </w:r>
      <w:r w:rsidRPr="00601B3E">
        <w:rPr>
          <w:rFonts w:eastAsia="Calibri"/>
          <w:sz w:val="22"/>
          <w:szCs w:val="22"/>
          <w:lang w:eastAsia="en-US"/>
        </w:rPr>
        <w:t xml:space="preserve"> “</w:t>
      </w:r>
      <w:r w:rsidRPr="00601B3E">
        <w:rPr>
          <w:rFonts w:eastAsia="Calibri"/>
          <w:sz w:val="26"/>
          <w:szCs w:val="26"/>
          <w:lang w:eastAsia="en-US"/>
        </w:rPr>
        <w:t>Evaluación detallada del cumplimiento de los principios básicos de seguros” (</w:t>
      </w:r>
      <w:r w:rsidRPr="00601B3E">
        <w:rPr>
          <w:rFonts w:eastAsia="Calibri"/>
          <w:bCs/>
          <w:i/>
          <w:sz w:val="26"/>
          <w:szCs w:val="26"/>
          <w:lang w:eastAsia="en-US"/>
        </w:rPr>
        <w:t>Detailed Assessment Of Observance Of Insurance Core Principles</w:t>
      </w:r>
      <w:r w:rsidRPr="00601B3E">
        <w:rPr>
          <w:rFonts w:eastAsia="Calibri"/>
          <w:bCs/>
          <w:sz w:val="26"/>
          <w:szCs w:val="26"/>
          <w:lang w:eastAsia="en-US"/>
        </w:rPr>
        <w:t>)</w:t>
      </w:r>
      <w:r w:rsidRPr="00601B3E">
        <w:rPr>
          <w:rFonts w:eastAsia="Calibri"/>
          <w:sz w:val="26"/>
          <w:szCs w:val="26"/>
          <w:lang w:eastAsia="en-US"/>
        </w:rPr>
        <w:t>. A continuación se presenta el Resumen Ejecutivo.</w:t>
      </w:r>
    </w:p>
    <w:p w14:paraId="48273168" w14:textId="77777777" w:rsidR="00601B3E" w:rsidRPr="00601B3E" w:rsidRDefault="00601B3E" w:rsidP="00601B3E">
      <w:pPr>
        <w:spacing w:after="360" w:line="360" w:lineRule="auto"/>
        <w:ind w:right="-159"/>
        <w:jc w:val="both"/>
        <w:rPr>
          <w:rFonts w:eastAsia="Calibri"/>
          <w:b/>
          <w:sz w:val="26"/>
          <w:szCs w:val="26"/>
          <w:lang w:eastAsia="en-US"/>
        </w:rPr>
      </w:pPr>
      <w:r w:rsidRPr="00601B3E">
        <w:rPr>
          <w:rFonts w:eastAsia="Calibri"/>
          <w:b/>
          <w:sz w:val="26"/>
          <w:szCs w:val="26"/>
          <w:lang w:eastAsia="en-US"/>
        </w:rPr>
        <w:t>Evaluación detallada del cumplimiento de los principios básicos de seguros</w:t>
      </w:r>
    </w:p>
    <w:p w14:paraId="229F3FD8"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b/>
          <w:sz w:val="26"/>
          <w:szCs w:val="26"/>
          <w:lang w:eastAsia="en-US"/>
        </w:rPr>
        <w:t>Resumen Ejecutivo</w:t>
      </w:r>
    </w:p>
    <w:p w14:paraId="52610BDF"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 xml:space="preserve">La supervisión del mercado de seguros en Estados Unidos de Norteamérica fue reforzada considerablemente en los últimos años. Las lecciones aprendidas de la crisis financiera y muchas de las recomendaciones del Programa de Evaluación del Sector Financiero (Financial Sector Assessment Program) de 2010 están siendo atendidas. El seguro se incluyó en el ámbito de supervisión de todo el sistema del sector financiero. La creación de la Oficina Federal de Seguros generó un mecanismo para identificar prioridades nacionales para la reforma y para el desarrollo. La ampliación de las responsabilidades de la Junta de la Reserva Federal para cubrir la supervisión consolidada de los grupos de seguros fortalece la supervisión de los grupos afectados (pues ahora cubren alrededor de 30% del ingreso total de las primas en Estados Unidos de Norteamérica) y promete incluir a los reguladores estadounidenses en la negociación y en la aplicación de las nuevas normas internacionales de regulación de seguros. Los reguladores estatales se han ajustado a la nueva arquitectura regulatoria, al tiempo que </w:t>
      </w:r>
      <w:r w:rsidRPr="00601B3E">
        <w:rPr>
          <w:rFonts w:eastAsia="Calibri"/>
          <w:sz w:val="26"/>
          <w:szCs w:val="26"/>
          <w:lang w:eastAsia="en-US"/>
        </w:rPr>
        <w:lastRenderedPageBreak/>
        <w:t>importantes reformas avanzan, como la iniciativa de modernización de solvencia, el fortalecer significativamente al sector (asegurador) y la supervisión internacional.</w:t>
      </w:r>
    </w:p>
    <w:p w14:paraId="70115202"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Muchos de estos cambios son todavía una obra en curso. A nivel estatal, la transición de un enfoque con base en sólidas normas hacia un enfoque con base en principios y supervisión centrada en los riesgos avanza pero lleva su tiempo y enfrenta obstáculos. Se está poniendo mayor énfasis en la gestión de riesgos a través de la introducción a partir de 2015 de una Autoevaluación de Riesgos y Solvencia (AER) con implicaciones de gran alcance para la labor de supervisión y la asignación de recursos. El enfoque de supervisión de la Junta de la Reserva Federal hacia los grupos de seguros se beneficia de su experiencia de supervisión bancaria, pero todavía tiene que trabajar en el mismo sentido; el desarrollo de la regulación de la Junta de la Reserva Federal avanza lentamente. Continúa la asignación de personal tanto en materia de regulación y de supervisión con las habilidades y la experiencia adecuadas.</w:t>
      </w:r>
    </w:p>
    <w:p w14:paraId="63841B6C"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En general, la evaluación se encuentra en un nivel razonable de cumplimiento de los Principios básicos de seguros. Hay muchas áreas de fortaleza, incluso a nivel estatal la capacidad de gran alcance para el análisis financiero con evaluación del grupo paritario y el desafío a través de los procesos de la Asociación Nacional de Comisionados de Seguros. La principal regulación estatal está en marcha y una red de colegios de supervisores internacionales se puso en funcionamiento. Los beneficios de la regulación de un enfoque sofisticado a la adecuación de capital de la entidad jurídica (el enfoque de capital con base en el riesgo). La regulación y supervisión continúan siendo realizadas con un alto grado de transparencia y rendición de cuentas. La supervisión de la Junta de la Reserva Federal trae un enfoque de supervisión mejorada para la gobernabilidad del sector y de gestión de riesgos. La cooperación entre los reguladores federal y estatal evoluciona con base en la complementariedad de sus enfoques, aunque puede avanzar más.</w:t>
      </w:r>
    </w:p>
    <w:p w14:paraId="5E1CF272"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lastRenderedPageBreak/>
        <w:t>Las áreas clave para el desarrollo incluyen la norma de valoración de los reguladores estatales, especialmente para los seguros de vida y las normas de capital del sector. El criterio de valoración de activos y pasivos fue desarrollado por muchos años. Para las aseguradoras de vida es preceptivo y, en muchos casos, con base en la fórmula. Dado que los productos se han vuelto más complejos, los algoritmos prescritos y las fórmulas utilizadas para determinar las reservas crecieron en complejidad. La norma tiene diferentes niveles de conservadurismo, lo que conduce a una falta de transparencia. Lo que no proporciona un incentivo para la cobertura dinámica apropiada. Sus deficiencias se eluden y se mitigan por estructuras complejas que las aseguradoras de vida ponen en marcha, incluyendo las transacciones con reaseguradoras cautivas afiliadas. La norma debe ser modificada para reflejar lo económico de los mejores productos. Los principios con base en la reserva, que forma parte de la iniciativa de modernización de la solvencia, podrían mitigar algunos de los problemas, pero su fecha de aplicación es incierta. Con relación al capital, no existen normas de capital a nivel sector para los grupos (aseguradores), ya sea supervisado por los estados o por la Junta de la Reserva Federal. Los estados deben tener la capacidad de establecer requerimientos de capital y de valoración de todo el sector, mientras que la Junta de la Reserva Federal debería desarrollar una norma de capital y de valoración rápidamente. El capital con base en el riesgo debe extenderse a las empresas de garantía financiera, en respuesta a la experiencia con este sector en la crisis financiera.</w:t>
      </w:r>
    </w:p>
    <w:p w14:paraId="178DF50E"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 xml:space="preserve">También existen lagunas en los requisitos del gobierno y en la gestión de riesgos, en la conducta del mercado y en la supervisión de los intermediarios. Ni el Estado ni los supervisores de la Junta de la Reserva Federal han establecido los requisitos específicos del gobierno para seguros lo que mantiene a las juntas con autoridad en un marco de controles y de gobernabilidad que reconozcan y protejan los intereses de los asegurados. No existen requisitos para las funciones de gestión de riesgos y de cumplimiento, aunque los reguladores estatales de seguros requerirán grandes empresas que tengan funciones de auditoría interna a partir del próximo año. Un creciente interés en la </w:t>
      </w:r>
      <w:r w:rsidRPr="00601B3E">
        <w:rPr>
          <w:rFonts w:eastAsia="Calibri"/>
          <w:sz w:val="26"/>
          <w:szCs w:val="26"/>
          <w:lang w:eastAsia="en-US"/>
        </w:rPr>
        <w:lastRenderedPageBreak/>
        <w:t>gobernabilidad y en los controles de supervisión tanto de los estados como de la Junta de la Reserva Federal mitiga el efecto de vacío regulatorio. Sin embargo, los exámenes estatales suelen tener lugar sólo cada cinco años (los exámenes de la Junta de la Reserva Federal son más frecuentes, pero no continuos). Se deben considerar los exámenes del Estado de manera más frecuente de las compañías más grandes y reducir la dependencia de la subcontratación del trabajo en algunos estados. La supervisión conductual del mercado, la cual se lleva a cabo sólo por los estados, debe ser fortalecida a través de un marco de supervisión centrada en los riesgos, mejorar el análisis de riesgos (incluyendo los riesgos debidos a los productos complejos y de las ventas con base en comisiones) y la supervisión de los intermediarios más importantes.</w:t>
      </w:r>
    </w:p>
    <w:p w14:paraId="3BFED44E"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Existe la necesidad de revisar los mecanismos de gobernabilidad y de financiamiento para los reguladores estatales de seguros. Las modalidades de nombramiento y de cese de los comisionados en muchos estados exhiben supervisión a la potencial influencia política. La alta dependencia de las legislaturas estatales en materia de legislación y recursos expone a los supervisores tanto a la influencia política como a las presiones presupuestarias. Dichos riesgos se mitigan, pero no se eliminan, mediante los procesos de la Asociación Nacional de Comisionados de Seguros. También existe la necesidad de revisar los niveles de habilidades y de conocimientos conforme a las exigencias técnicas de cambio de supervisión al trabajo de conformidad con las reformas regulatorias, incluyendo la “autoevaluación de riesgos y solvencia” y el aceptable principio con base en la reserva.</w:t>
      </w:r>
    </w:p>
    <w:p w14:paraId="3A239358"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 xml:space="preserve">Los objetivos de los reguladores estatales y el alcance del conflicto entre los objetivos de la Junta de la Reserva Federal y la protección de los asegurados deben ser revisados. Los objetivos de los reguladores estatales no son claros y consistentemente definidos en la ley. Los objetivos de la Junta de la Reserva Federal con relación a la supervisión consolidada de seguros no incluyen la protección de los asegurados y existe la posibilidad de conflicto, en momentos de presión, entre los objetivos expresos de la </w:t>
      </w:r>
      <w:r w:rsidRPr="00601B3E">
        <w:rPr>
          <w:rFonts w:eastAsia="Calibri"/>
          <w:sz w:val="26"/>
          <w:szCs w:val="26"/>
          <w:lang w:eastAsia="en-US"/>
        </w:rPr>
        <w:lastRenderedPageBreak/>
        <w:t>regulación de las sociedades de ahorro y de préstamo así como de las sociedades financieras no bancarias y de los intereses de los titulares de pólizas de seguros.</w:t>
      </w:r>
    </w:p>
    <w:p w14:paraId="01D87D1A" w14:textId="77777777" w:rsidR="00601B3E" w:rsidRPr="00601B3E" w:rsidRDefault="00601B3E" w:rsidP="00601B3E">
      <w:pPr>
        <w:spacing w:after="360" w:line="360" w:lineRule="auto"/>
        <w:ind w:right="-159"/>
        <w:jc w:val="both"/>
        <w:rPr>
          <w:rFonts w:eastAsia="Calibri"/>
          <w:sz w:val="26"/>
          <w:szCs w:val="26"/>
          <w:lang w:eastAsia="en-US"/>
        </w:rPr>
      </w:pPr>
      <w:r w:rsidRPr="00601B3E">
        <w:rPr>
          <w:rFonts w:eastAsia="Calibri"/>
          <w:sz w:val="26"/>
          <w:szCs w:val="26"/>
          <w:lang w:eastAsia="en-US"/>
        </w:rPr>
        <w:t>Si bien las recientes reformas generan beneficios, el sistema regulatorio para el seguro sigue siendo complejo y fragmentado y la reforma debe ser considerada para abordar los riesgos resultantes. Existen diferencias entre los reguladores estatales de seguros y entre los reguladores estatales y federales, tanto en materia de regulación como en materia de supervisión. El sistema de regulación es complejo y hay riesgos derivados de una falta de coherencia, incluyendo la creación de oportunidades de arbitraje no saludable (lo que se explica en parte por el creciente uso de las reaseguradoras cautivas afiliadas, por ejemplo); y riesgos por inacción en los vacíos o debilidades en materia de regulación con amplias implicaciones para el sector o para todo el sistema. La actual arquitectura regulatoria carece de capacidad para abordar plenamente estas cuestiones. Las autoridades deben revisar las opciones de cambio, las cuales abarcan el fortalecimiento de la capacidad de la Oficina Federal de Seguros para lograr la convergencia en altos niveles uniformes de regulación y supervisión, así como la supervisión integral del mercado.</w:t>
      </w:r>
    </w:p>
    <w:p w14:paraId="6943F1A9" w14:textId="77777777" w:rsidR="00601B3E" w:rsidRPr="00601B3E" w:rsidRDefault="00601B3E" w:rsidP="00601B3E">
      <w:pPr>
        <w:ind w:right="-159"/>
        <w:jc w:val="both"/>
        <w:rPr>
          <w:rFonts w:eastAsia="Calibri"/>
          <w:sz w:val="20"/>
          <w:szCs w:val="20"/>
          <w:lang w:eastAsia="en-US"/>
        </w:rPr>
      </w:pPr>
      <w:r w:rsidRPr="00601B3E">
        <w:rPr>
          <w:rFonts w:eastAsia="Calibri"/>
          <w:b/>
          <w:sz w:val="20"/>
          <w:szCs w:val="20"/>
          <w:lang w:eastAsia="en-US"/>
        </w:rPr>
        <w:t>Fuente de información</w:t>
      </w:r>
      <w:r w:rsidRPr="00601B3E">
        <w:rPr>
          <w:rFonts w:eastAsia="Calibri"/>
          <w:sz w:val="20"/>
          <w:szCs w:val="20"/>
          <w:lang w:eastAsia="en-US"/>
        </w:rPr>
        <w:t>:</w:t>
      </w:r>
    </w:p>
    <w:p w14:paraId="6E9AC878" w14:textId="77777777" w:rsidR="00601B3E" w:rsidRPr="008F5FED" w:rsidRDefault="0045651A" w:rsidP="00601B3E">
      <w:pPr>
        <w:rPr>
          <w:rFonts w:eastAsia="Calibri"/>
          <w:color w:val="0000FF"/>
          <w:sz w:val="20"/>
          <w:szCs w:val="20"/>
          <w:u w:val="single"/>
          <w:lang w:eastAsia="en-US"/>
        </w:rPr>
      </w:pPr>
      <w:hyperlink r:id="rId287" w:history="1">
        <w:r w:rsidR="00601B3E" w:rsidRPr="008F5FED">
          <w:rPr>
            <w:rFonts w:eastAsia="Calibri"/>
            <w:color w:val="0000FF"/>
            <w:sz w:val="20"/>
            <w:szCs w:val="20"/>
            <w:u w:val="single"/>
            <w:lang w:eastAsia="en-US"/>
          </w:rPr>
          <w:t>http://www.imf.org/external/pubs/ft/scr/2015/cr1590.pdf</w:t>
        </w:r>
      </w:hyperlink>
    </w:p>
    <w:p w14:paraId="43099FE6" w14:textId="77777777" w:rsidR="00601B3E" w:rsidRPr="008F5FED" w:rsidRDefault="0045651A" w:rsidP="00601B3E">
      <w:pPr>
        <w:rPr>
          <w:rFonts w:eastAsia="Calibri"/>
          <w:color w:val="0000FF"/>
          <w:sz w:val="20"/>
          <w:szCs w:val="20"/>
          <w:u w:val="single"/>
          <w:lang w:eastAsia="en-US"/>
        </w:rPr>
      </w:pPr>
      <w:hyperlink r:id="rId288" w:history="1">
        <w:r w:rsidR="00601B3E" w:rsidRPr="008F5FED">
          <w:rPr>
            <w:rFonts w:eastAsia="Calibri"/>
            <w:color w:val="0000FF"/>
            <w:sz w:val="20"/>
            <w:szCs w:val="20"/>
            <w:u w:val="single"/>
            <w:lang w:eastAsia="en-US"/>
          </w:rPr>
          <w:t>http://www.imf.org/external/pubs/cat/longres.aspx?sk=42826.0</w:t>
        </w:r>
      </w:hyperlink>
      <w:r w:rsidR="00601B3E" w:rsidRPr="008F5FED">
        <w:rPr>
          <w:rFonts w:eastAsia="Calibri"/>
          <w:color w:val="0000FF"/>
          <w:sz w:val="20"/>
          <w:szCs w:val="20"/>
          <w:u w:val="single"/>
          <w:lang w:eastAsia="en-US"/>
        </w:rPr>
        <w:t xml:space="preserve"> </w:t>
      </w:r>
    </w:p>
    <w:p w14:paraId="63482194" w14:textId="77777777" w:rsidR="00601B3E" w:rsidRPr="008F5FED" w:rsidRDefault="00601B3E" w:rsidP="00601B3E">
      <w:pPr>
        <w:rPr>
          <w:rFonts w:eastAsia="Calibri"/>
          <w:sz w:val="20"/>
          <w:szCs w:val="20"/>
          <w:lang w:eastAsia="en-US"/>
        </w:rPr>
      </w:pPr>
      <w:r w:rsidRPr="008F5FED">
        <w:rPr>
          <w:rFonts w:eastAsia="Calibri"/>
          <w:sz w:val="20"/>
          <w:szCs w:val="20"/>
          <w:lang w:eastAsia="en-US"/>
        </w:rPr>
        <w:t>Para tener acceso a información adicional visite:</w:t>
      </w:r>
    </w:p>
    <w:p w14:paraId="613D219A" w14:textId="77777777" w:rsidR="00601B3E" w:rsidRPr="008F5FED" w:rsidRDefault="0045651A" w:rsidP="00601B3E">
      <w:pPr>
        <w:rPr>
          <w:rFonts w:eastAsia="Calibri"/>
          <w:color w:val="0000FF"/>
          <w:sz w:val="20"/>
          <w:szCs w:val="20"/>
          <w:u w:val="single"/>
          <w:lang w:eastAsia="en-US"/>
        </w:rPr>
      </w:pPr>
      <w:hyperlink r:id="rId289" w:history="1">
        <w:r w:rsidR="00601B3E" w:rsidRPr="008F5FED">
          <w:rPr>
            <w:rFonts w:eastAsia="Calibri"/>
            <w:color w:val="0000FF"/>
            <w:sz w:val="20"/>
            <w:szCs w:val="20"/>
            <w:u w:val="single"/>
            <w:lang w:eastAsia="en-US"/>
          </w:rPr>
          <w:t>http://www.imf.org/external/np/sec/pr/2015/pr15152.htm</w:t>
        </w:r>
      </w:hyperlink>
      <w:r w:rsidR="00601B3E" w:rsidRPr="008F5FED">
        <w:rPr>
          <w:rFonts w:eastAsia="Calibri"/>
          <w:color w:val="0000FF"/>
          <w:sz w:val="20"/>
          <w:szCs w:val="20"/>
          <w:u w:val="single"/>
          <w:lang w:eastAsia="en-US"/>
        </w:rPr>
        <w:t xml:space="preserve"> </w:t>
      </w:r>
    </w:p>
    <w:p w14:paraId="013EEDEF" w14:textId="77777777" w:rsidR="00601B3E" w:rsidRPr="008F5FED" w:rsidRDefault="0045651A" w:rsidP="00601B3E">
      <w:pPr>
        <w:rPr>
          <w:rFonts w:eastAsia="Calibri"/>
          <w:color w:val="0000FF"/>
          <w:sz w:val="20"/>
          <w:szCs w:val="20"/>
          <w:u w:val="single"/>
          <w:lang w:eastAsia="en-US"/>
        </w:rPr>
      </w:pPr>
      <w:hyperlink r:id="rId290" w:history="1">
        <w:r w:rsidR="00601B3E" w:rsidRPr="008F5FED">
          <w:rPr>
            <w:rFonts w:eastAsia="Calibri"/>
            <w:color w:val="0000FF"/>
            <w:sz w:val="20"/>
            <w:szCs w:val="20"/>
            <w:u w:val="single"/>
            <w:lang w:eastAsia="en-US"/>
          </w:rPr>
          <w:t>http://www.imf.org/external/pubs/cat/longres.aspx?sk=42827.0</w:t>
        </w:r>
      </w:hyperlink>
      <w:r w:rsidR="00601B3E" w:rsidRPr="008F5FED">
        <w:rPr>
          <w:rFonts w:eastAsia="Calibri"/>
          <w:color w:val="0000FF"/>
          <w:sz w:val="20"/>
          <w:szCs w:val="20"/>
          <w:u w:val="single"/>
          <w:lang w:eastAsia="en-US"/>
        </w:rPr>
        <w:t xml:space="preserve"> </w:t>
      </w:r>
    </w:p>
    <w:p w14:paraId="663AAD42" w14:textId="77777777" w:rsidR="00601B3E" w:rsidRPr="008F5FED" w:rsidRDefault="0045651A" w:rsidP="008F5FED">
      <w:pPr>
        <w:spacing w:after="720"/>
        <w:rPr>
          <w:rFonts w:eastAsia="Calibri"/>
          <w:color w:val="0000FF"/>
          <w:sz w:val="20"/>
          <w:szCs w:val="20"/>
          <w:u w:val="single"/>
          <w:lang w:eastAsia="en-US"/>
        </w:rPr>
      </w:pPr>
      <w:hyperlink r:id="rId291" w:history="1">
        <w:r w:rsidR="00601B3E" w:rsidRPr="008F5FED">
          <w:rPr>
            <w:rFonts w:eastAsia="Calibri"/>
            <w:color w:val="0000FF"/>
            <w:sz w:val="20"/>
            <w:szCs w:val="20"/>
            <w:u w:val="single"/>
            <w:lang w:eastAsia="en-US"/>
          </w:rPr>
          <w:t>http://www.imf.org/external/pubs/cat/longres.aspx?sk=42825.0</w:t>
        </w:r>
      </w:hyperlink>
      <w:r w:rsidR="00601B3E" w:rsidRPr="008F5FED">
        <w:rPr>
          <w:rFonts w:eastAsia="Calibri"/>
          <w:color w:val="0000FF"/>
          <w:sz w:val="20"/>
          <w:szCs w:val="20"/>
          <w:u w:val="single"/>
          <w:lang w:eastAsia="en-US"/>
        </w:rPr>
        <w:t xml:space="preserve"> </w:t>
      </w:r>
    </w:p>
    <w:p w14:paraId="1510A0C9" w14:textId="77777777" w:rsidR="00AE25EB" w:rsidRPr="00AE25EB" w:rsidRDefault="00AE25EB" w:rsidP="00AE25EB">
      <w:pPr>
        <w:spacing w:after="360" w:line="360" w:lineRule="auto"/>
        <w:ind w:right="-159"/>
        <w:jc w:val="both"/>
        <w:rPr>
          <w:rFonts w:eastAsia="Calibri"/>
          <w:b/>
          <w:sz w:val="26"/>
          <w:szCs w:val="26"/>
          <w:lang w:eastAsia="en-US"/>
        </w:rPr>
      </w:pPr>
      <w:r w:rsidRPr="00AE25EB">
        <w:rPr>
          <w:rFonts w:eastAsia="Calibri"/>
          <w:b/>
          <w:sz w:val="26"/>
          <w:szCs w:val="26"/>
          <w:lang w:eastAsia="en-US"/>
        </w:rPr>
        <w:t>La banca internacional es más segura desde la crisis (FMI)</w:t>
      </w:r>
    </w:p>
    <w:p w14:paraId="39F4FAE3"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El 8 de abril de 2015, el Fondo Monetario Internacional (FMI) informó que la banca internacional es más segura desde la crisis. A continuación se presenta la información.</w:t>
      </w:r>
    </w:p>
    <w:p w14:paraId="0649B554"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lastRenderedPageBreak/>
        <w:t>Los bancos internacionales ahora dependen relativamente más de los préstamos concedidos a través de filiales extranjeras que de los préstamos transfronterizos. Según un nuevo estudio del FMI, esto puede haber hecho más seguros los sistemas financieros en los países anfitriones.</w:t>
      </w:r>
    </w:p>
    <w:p w14:paraId="54BE0958" w14:textId="5E889975"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En un nuevo análisis de la última edición del Informe sobre la </w:t>
      </w:r>
      <w:r w:rsidR="008F7563">
        <w:rPr>
          <w:rFonts w:eastAsia="Calibri"/>
          <w:sz w:val="26"/>
          <w:szCs w:val="26"/>
          <w:lang w:eastAsia="en-US"/>
        </w:rPr>
        <w:t>E</w:t>
      </w:r>
      <w:r w:rsidRPr="00AE25EB">
        <w:rPr>
          <w:rFonts w:eastAsia="Calibri"/>
          <w:sz w:val="26"/>
          <w:szCs w:val="26"/>
          <w:lang w:eastAsia="en-US"/>
        </w:rPr>
        <w:t xml:space="preserve">stabilidad </w:t>
      </w:r>
      <w:r w:rsidR="008F7563">
        <w:rPr>
          <w:rFonts w:eastAsia="Calibri"/>
          <w:sz w:val="26"/>
          <w:szCs w:val="26"/>
          <w:lang w:eastAsia="en-US"/>
        </w:rPr>
        <w:t>F</w:t>
      </w:r>
      <w:r w:rsidRPr="00AE25EB">
        <w:rPr>
          <w:rFonts w:eastAsia="Calibri"/>
          <w:sz w:val="26"/>
          <w:szCs w:val="26"/>
          <w:lang w:eastAsia="en-US"/>
        </w:rPr>
        <w:t xml:space="preserve">inanciera </w:t>
      </w:r>
      <w:r w:rsidR="008F7563">
        <w:rPr>
          <w:rFonts w:eastAsia="Calibri"/>
          <w:sz w:val="26"/>
          <w:szCs w:val="26"/>
          <w:lang w:eastAsia="en-US"/>
        </w:rPr>
        <w:t>M</w:t>
      </w:r>
      <w:r w:rsidRPr="00AE25EB">
        <w:rPr>
          <w:rFonts w:eastAsia="Calibri"/>
          <w:sz w:val="26"/>
          <w:szCs w:val="26"/>
          <w:lang w:eastAsia="en-US"/>
        </w:rPr>
        <w:t>undial (</w:t>
      </w:r>
      <w:r w:rsidRPr="00AE25EB">
        <w:rPr>
          <w:rFonts w:eastAsia="Calibri"/>
          <w:i/>
          <w:sz w:val="26"/>
          <w:szCs w:val="26"/>
          <w:lang w:eastAsia="en-US"/>
        </w:rPr>
        <w:t>Global Financial Stability Report</w:t>
      </w:r>
      <w:r w:rsidRPr="00AE25EB">
        <w:rPr>
          <w:rFonts w:eastAsia="Calibri"/>
          <w:sz w:val="26"/>
          <w:szCs w:val="26"/>
          <w:lang w:eastAsia="en-US"/>
        </w:rPr>
        <w:t xml:space="preserve">, o Informe GFSR), el FMI señaló que los préstamos transfronterizos intensifican los </w:t>
      </w:r>
      <w:r w:rsidRPr="00AE25EB">
        <w:rPr>
          <w:rFonts w:eastAsia="Calibri"/>
          <w:i/>
          <w:sz w:val="26"/>
          <w:szCs w:val="26"/>
          <w:lang w:eastAsia="en-US"/>
        </w:rPr>
        <w:t>shocks</w:t>
      </w:r>
      <w:r w:rsidRPr="00AE25EB">
        <w:rPr>
          <w:rFonts w:eastAsia="Calibri"/>
          <w:sz w:val="26"/>
          <w:szCs w:val="26"/>
          <w:lang w:eastAsia="en-US"/>
        </w:rPr>
        <w:t xml:space="preserve"> adversos, tanto internos como mundiales, que afectan a la economía y el sistema financiero de un país. Los países con mayor exposición a préstamos transfronterizos experimentan una merma más considerable del crecimiento del crédito durante las crisis nacionales e internacionales. Los préstamos locales concedidos por filiales extranjeras, sin embargo, presentan un comportamiento diferente.</w:t>
      </w:r>
    </w:p>
    <w:p w14:paraId="197946CB" w14:textId="77777777" w:rsidR="00AE25EB" w:rsidRPr="00AE25EB" w:rsidRDefault="00AE25EB" w:rsidP="00AE25EB">
      <w:pPr>
        <w:spacing w:after="360" w:line="360" w:lineRule="auto"/>
        <w:ind w:right="-159"/>
        <w:jc w:val="both"/>
        <w:rPr>
          <w:rFonts w:eastAsia="Calibri"/>
          <w:b/>
          <w:sz w:val="26"/>
          <w:szCs w:val="26"/>
          <w:lang w:eastAsia="en-US"/>
        </w:rPr>
      </w:pPr>
      <w:r w:rsidRPr="00AE25EB">
        <w:rPr>
          <w:rFonts w:eastAsia="Calibri"/>
          <w:b/>
          <w:sz w:val="26"/>
          <w:szCs w:val="26"/>
          <w:lang w:eastAsia="en-US"/>
        </w:rPr>
        <w:t>Cómo funciona</w:t>
      </w:r>
    </w:p>
    <w:p w14:paraId="5C9D9AB5"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En principio, los préstamos concedidos por bancos extranjeros pueden ser una espada de doble filo para la estabilidad financiera de un país que recibe ese tipo de préstamos (el país anfitrión). Por un lado, es menos probable que los bancos extranjeros se vean afectados por los problemas locales y, por lo tanto, es posible que ayuden a estabilizar el crecimiento del crédito cuando las economías anfitrionas experimentan tensiones. Por otro lado, los bancos extranjeros tienden a transmitir los </w:t>
      </w:r>
      <w:r w:rsidRPr="00AE25EB">
        <w:rPr>
          <w:rFonts w:eastAsia="Calibri"/>
          <w:i/>
          <w:sz w:val="26"/>
          <w:szCs w:val="26"/>
          <w:lang w:eastAsia="en-US"/>
        </w:rPr>
        <w:t>shocks</w:t>
      </w:r>
      <w:r w:rsidRPr="00AE25EB">
        <w:rPr>
          <w:rFonts w:eastAsia="Calibri"/>
          <w:sz w:val="26"/>
          <w:szCs w:val="26"/>
          <w:lang w:eastAsia="en-US"/>
        </w:rPr>
        <w:t xml:space="preserve"> mundiales a los países anfitriones.</w:t>
      </w:r>
    </w:p>
    <w:p w14:paraId="2544FE1A"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Los bancos suelen llevar a cabo sus actividades de crédito internacional de dos formas: directamente de manera transfronteriza o a través de sus filiales. En el primer caso, el banco matriz concede préstamos directamente a empresas o a otros bancos en otro país. En el segundo, las sucursales o filiales controladas por el grupo bancario conceden préstamos a residentes del país en el que están ubicadas. Estas dos formas de banca </w:t>
      </w:r>
      <w:r w:rsidRPr="00AE25EB">
        <w:rPr>
          <w:rFonts w:eastAsia="Calibri"/>
          <w:sz w:val="26"/>
          <w:szCs w:val="26"/>
          <w:lang w:eastAsia="en-US"/>
        </w:rPr>
        <w:lastRenderedPageBreak/>
        <w:t>internacional tienen implicaciones muy diferentes para la estabilidad financiera del país anfitrión.</w:t>
      </w:r>
    </w:p>
    <w:p w14:paraId="62D4F7F2"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Mientras que los vínculos bancarios transfronterizos tienden a agravar los efectos adversos de los </w:t>
      </w:r>
      <w:r w:rsidRPr="00AE25EB">
        <w:rPr>
          <w:rFonts w:eastAsia="Calibri"/>
          <w:i/>
          <w:sz w:val="26"/>
          <w:szCs w:val="26"/>
          <w:lang w:eastAsia="en-US"/>
        </w:rPr>
        <w:t>shock</w:t>
      </w:r>
      <w:r w:rsidRPr="00AE25EB">
        <w:rPr>
          <w:rFonts w:eastAsia="Calibri"/>
          <w:sz w:val="26"/>
          <w:szCs w:val="26"/>
          <w:lang w:eastAsia="en-US"/>
        </w:rPr>
        <w:t>s nacionales e internacionales del crédito en los países anfitriones, los préstamos locales pueden desempeñar una función estabilizadora durante las crisis internas.</w:t>
      </w:r>
    </w:p>
    <w:p w14:paraId="1F38EA37"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“Cuando se producen crisis dentro de un país, las filiales de propiedad extranjera tienden a contraer su crédito en menor medida que los bancos internos”, dijo el Jefe de la División de Análisis de la Estabilidad Financiera Mundial del FMI. “Esto es particularmente cierto si la matriz de la filial está bien capitalizada y cuenta con fuentes estables de financiamiento”.</w:t>
      </w:r>
    </w:p>
    <w:p w14:paraId="657DF7A6" w14:textId="77777777" w:rsidR="00AE25EB" w:rsidRPr="00AE25EB" w:rsidRDefault="00AE25EB" w:rsidP="00AE25EB">
      <w:pPr>
        <w:spacing w:after="360" w:line="360" w:lineRule="auto"/>
        <w:ind w:right="-159"/>
        <w:jc w:val="both"/>
        <w:rPr>
          <w:rFonts w:eastAsia="Calibri"/>
          <w:b/>
          <w:sz w:val="26"/>
          <w:szCs w:val="26"/>
          <w:lang w:eastAsia="en-US"/>
        </w:rPr>
      </w:pPr>
      <w:r w:rsidRPr="00AE25EB">
        <w:rPr>
          <w:rFonts w:eastAsia="Calibri"/>
          <w:b/>
          <w:sz w:val="26"/>
          <w:szCs w:val="26"/>
          <w:lang w:eastAsia="en-US"/>
        </w:rPr>
        <w:t>Unos bancos se repliegan, otros se expanden</w:t>
      </w:r>
    </w:p>
    <w:p w14:paraId="2C9299EF"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El giro relativo que se ha dado desde la crisis a favor de los préstamos basados en filiales probablemente tendrá implicaciones positivas para la estabilidad financiera del país anfitrión.</w:t>
      </w:r>
    </w:p>
    <w:p w14:paraId="0F283E9E"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Desde la crisis financiera mundial, las regulaciones más estrictas sobre los bancos, tanto las de tipo general como las específicas aplicadas a sus operaciones internacionales, combinadas con la necesidad de sanear los balances de los bancos, han llevado a las instituciones a reducir sus préstamos internacionales. Han reenfocado su atención en regiones y centros financieros que revisten mayor importancia estratégica para ellos. Los bancos con balances débiles limitaron más los préstamos transfronterizos.</w:t>
      </w:r>
    </w:p>
    <w:p w14:paraId="15F6F03E"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Esta tendencia ha estado impulsada principalmente por los bancos de la zona del euro. El repliegue del crédito transfronterizo de los bancos europeos a Asia abrió margen para la expansión de otros bancos con enfoques más regionales; los bancos chinos y </w:t>
      </w:r>
      <w:r w:rsidRPr="00AE25EB">
        <w:rPr>
          <w:rFonts w:eastAsia="Calibri"/>
          <w:sz w:val="26"/>
          <w:szCs w:val="26"/>
          <w:lang w:eastAsia="en-US"/>
        </w:rPr>
        <w:lastRenderedPageBreak/>
        <w:t>japoneses, por ejemplo, han cubierto parcialmente la brecha. En África, la expansión de los bancos panafricanos en todo el continente ha intensificado los vínculos financieros entre los países africanos.</w:t>
      </w:r>
    </w:p>
    <w:p w14:paraId="3D6B40E2"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Si bien la reducción de los préstamos transfronterizos probablemente tendrá implicaciones positivas para la estabilidad financiera, este tipo de actividad bancaria internacional también aporta ventajas. Por ejemplo, los préstamos transfronterizos directos por parte de los bancos internacionales contribuyen a la asignación del ahorro internacional entre los países, y ayudan a los prestatarios a diversificar sus fuentes de financiamiento. Las autoridades por lo tanto deben tomar medidas para hacer más seguras las actividades bancarias internacionales.</w:t>
      </w:r>
    </w:p>
    <w:tbl>
      <w:tblPr>
        <w:tblW w:w="0" w:type="auto"/>
        <w:jc w:val="center"/>
        <w:tblBorders>
          <w:insideV w:val="single" w:sz="4" w:space="0" w:color="auto"/>
        </w:tblBorders>
        <w:tblLook w:val="04A0" w:firstRow="1" w:lastRow="0" w:firstColumn="1" w:lastColumn="0" w:noHBand="0" w:noVBand="1"/>
      </w:tblPr>
      <w:tblGrid>
        <w:gridCol w:w="7510"/>
      </w:tblGrid>
      <w:tr w:rsidR="00AE25EB" w:rsidRPr="00AE25EB" w14:paraId="2AAADDB0" w14:textId="77777777" w:rsidTr="00835D95">
        <w:trPr>
          <w:jc w:val="center"/>
        </w:trPr>
        <w:tc>
          <w:tcPr>
            <w:tcW w:w="7268" w:type="dxa"/>
          </w:tcPr>
          <w:p w14:paraId="56A4E715" w14:textId="77777777" w:rsidR="00AE25EB" w:rsidRPr="00AE25EB" w:rsidRDefault="00AE25EB" w:rsidP="00AE25EB">
            <w:pPr>
              <w:jc w:val="center"/>
              <w:rPr>
                <w:rFonts w:eastAsia="Calibri"/>
                <w:b/>
                <w:sz w:val="22"/>
                <w:szCs w:val="26"/>
                <w:lang w:eastAsia="en-US"/>
              </w:rPr>
            </w:pPr>
            <w:r w:rsidRPr="00AE25EB">
              <w:rPr>
                <w:rFonts w:eastAsia="Calibri"/>
                <w:b/>
                <w:sz w:val="22"/>
                <w:szCs w:val="26"/>
                <w:lang w:eastAsia="en-US"/>
              </w:rPr>
              <w:t>LA BANCA INTERNACIONAL ES MAS SEGURA DESDE LA CRISIS</w:t>
            </w:r>
          </w:p>
          <w:p w14:paraId="0F41E753" w14:textId="77777777" w:rsidR="00AE25EB" w:rsidRPr="00AE25EB" w:rsidRDefault="00AE25EB" w:rsidP="00AE25EB">
            <w:pPr>
              <w:jc w:val="center"/>
              <w:rPr>
                <w:rFonts w:eastAsia="Calibri"/>
                <w:b/>
                <w:sz w:val="22"/>
                <w:szCs w:val="26"/>
                <w:lang w:eastAsia="en-US"/>
              </w:rPr>
            </w:pPr>
            <w:r w:rsidRPr="00AE25EB">
              <w:rPr>
                <w:rFonts w:eastAsia="Calibri"/>
                <w:b/>
                <w:sz w:val="22"/>
                <w:szCs w:val="26"/>
                <w:lang w:eastAsia="en-US"/>
              </w:rPr>
              <w:t>Los bancos han reducido los préstamos transfronterizos</w:t>
            </w:r>
          </w:p>
          <w:p w14:paraId="6E5414B2" w14:textId="77777777" w:rsidR="00AE25EB" w:rsidRPr="00AE25EB" w:rsidRDefault="00AE25EB" w:rsidP="00AE25EB">
            <w:pPr>
              <w:jc w:val="center"/>
              <w:rPr>
                <w:rFonts w:eastAsia="Calibri"/>
                <w:b/>
                <w:sz w:val="22"/>
                <w:szCs w:val="26"/>
                <w:lang w:eastAsia="en-US"/>
              </w:rPr>
            </w:pPr>
            <w:r w:rsidRPr="00AE25EB">
              <w:rPr>
                <w:rFonts w:eastAsia="Calibri"/>
                <w:b/>
                <w:sz w:val="22"/>
                <w:szCs w:val="26"/>
                <w:lang w:eastAsia="en-US"/>
              </w:rPr>
              <w:t>-Mundial, porcentaje-</w:t>
            </w:r>
          </w:p>
        </w:tc>
      </w:tr>
      <w:tr w:rsidR="00AE25EB" w:rsidRPr="00AE25EB" w14:paraId="4F1A8D0A" w14:textId="77777777" w:rsidTr="00835D95">
        <w:trPr>
          <w:jc w:val="center"/>
        </w:trPr>
        <w:tc>
          <w:tcPr>
            <w:tcW w:w="7268" w:type="dxa"/>
          </w:tcPr>
          <w:p w14:paraId="78076780" w14:textId="77777777" w:rsidR="00AE25EB" w:rsidRPr="00AE25EB" w:rsidRDefault="00AE25EB" w:rsidP="00AE25EB">
            <w:pPr>
              <w:jc w:val="both"/>
              <w:rPr>
                <w:rFonts w:eastAsia="Calibri"/>
                <w:sz w:val="26"/>
                <w:szCs w:val="26"/>
                <w:lang w:eastAsia="en-US"/>
              </w:rPr>
            </w:pPr>
            <w:r w:rsidRPr="00AE25EB">
              <w:rPr>
                <w:rFonts w:eastAsia="Calibri"/>
                <w:noProof/>
                <w:sz w:val="26"/>
                <w:szCs w:val="26"/>
                <w:lang w:eastAsia="es-MX"/>
              </w:rPr>
              <w:drawing>
                <wp:inline distT="0" distB="0" distL="0" distR="0" wp14:anchorId="63F499BE" wp14:editId="39BAFBF2">
                  <wp:extent cx="4631786" cy="2628000"/>
                  <wp:effectExtent l="0" t="0" r="0" b="0"/>
                  <wp:docPr id="1717" name="Imagen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2" cstate="print">
                            <a:extLst>
                              <a:ext uri="{28A0092B-C50C-407E-A947-70E740481C1C}">
                                <a14:useLocalDpi xmlns:a14="http://schemas.microsoft.com/office/drawing/2010/main" val="0"/>
                              </a:ext>
                            </a:extLst>
                          </a:blip>
                          <a:srcRect t="12259"/>
                          <a:stretch/>
                        </pic:blipFill>
                        <pic:spPr bwMode="auto">
                          <a:xfrm>
                            <a:off x="0" y="0"/>
                            <a:ext cx="4631786" cy="262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25EB" w:rsidRPr="00AE25EB" w14:paraId="784EBDA0" w14:textId="77777777" w:rsidTr="00835D95">
        <w:trPr>
          <w:jc w:val="center"/>
        </w:trPr>
        <w:tc>
          <w:tcPr>
            <w:tcW w:w="7268" w:type="dxa"/>
          </w:tcPr>
          <w:p w14:paraId="48A19611" w14:textId="77777777" w:rsidR="00AE25EB" w:rsidRPr="00AE25EB" w:rsidRDefault="00AE25EB" w:rsidP="00AE25EB">
            <w:pPr>
              <w:jc w:val="both"/>
              <w:rPr>
                <w:rFonts w:eastAsia="Calibri"/>
                <w:sz w:val="20"/>
                <w:szCs w:val="26"/>
                <w:lang w:eastAsia="en-US"/>
              </w:rPr>
            </w:pPr>
            <w:r w:rsidRPr="00AE25EB">
              <w:rPr>
                <w:rFonts w:eastAsia="Calibri"/>
                <w:sz w:val="20"/>
                <w:szCs w:val="26"/>
                <w:lang w:eastAsia="en-US"/>
              </w:rPr>
              <w:t>Nota: Los préstamos transfronterizos excluyen los préstamos dentro de un mismo grupo.</w:t>
            </w:r>
          </w:p>
          <w:p w14:paraId="7A06F76B" w14:textId="77777777" w:rsidR="00AE25EB" w:rsidRPr="00AE25EB" w:rsidRDefault="00AE25EB" w:rsidP="00AE25EB">
            <w:pPr>
              <w:ind w:left="907" w:hanging="907"/>
              <w:jc w:val="both"/>
              <w:rPr>
                <w:rFonts w:eastAsia="Calibri"/>
                <w:sz w:val="20"/>
                <w:szCs w:val="26"/>
                <w:lang w:eastAsia="en-US"/>
              </w:rPr>
            </w:pPr>
            <w:r w:rsidRPr="00AE25EB">
              <w:rPr>
                <w:rFonts w:eastAsia="Calibri"/>
                <w:sz w:val="20"/>
                <w:szCs w:val="26"/>
                <w:lang w:eastAsia="en-US"/>
              </w:rPr>
              <w:t xml:space="preserve">FUENTE: Banco de Pagos Internacionales (BPI); </w:t>
            </w:r>
            <w:r w:rsidRPr="00AE25EB">
              <w:rPr>
                <w:rFonts w:eastAsia="Calibri"/>
                <w:i/>
                <w:sz w:val="20"/>
                <w:szCs w:val="26"/>
                <w:lang w:eastAsia="en-US"/>
              </w:rPr>
              <w:t>Consolidated Bank Statistics</w:t>
            </w:r>
            <w:r w:rsidRPr="00AE25EB">
              <w:rPr>
                <w:rFonts w:eastAsia="Calibri"/>
                <w:sz w:val="20"/>
                <w:szCs w:val="26"/>
                <w:lang w:eastAsia="en-US"/>
              </w:rPr>
              <w:t>, y cálculos del personal técnico del FMI.</w:t>
            </w:r>
          </w:p>
        </w:tc>
      </w:tr>
    </w:tbl>
    <w:p w14:paraId="7FCDA9C4" w14:textId="77777777" w:rsidR="00AE25EB" w:rsidRPr="00AE25EB" w:rsidRDefault="00AE25EB" w:rsidP="00AE25EB">
      <w:pPr>
        <w:spacing w:after="360" w:line="360" w:lineRule="auto"/>
        <w:ind w:right="-159"/>
        <w:jc w:val="both"/>
        <w:rPr>
          <w:rFonts w:eastAsia="Calibri"/>
          <w:sz w:val="26"/>
          <w:szCs w:val="26"/>
          <w:lang w:eastAsia="en-US"/>
        </w:rPr>
      </w:pPr>
    </w:p>
    <w:p w14:paraId="0FF6D425"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El análisis del informe corrobora el argumento a favor de las políticas que promueven la cooperación internacional en torno a los mecanismos de resolución transfronterizos que limitan los riesgos asociados con las quiebras de los bancos internacionales.</w:t>
      </w:r>
    </w:p>
    <w:p w14:paraId="0B354060"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lastRenderedPageBreak/>
        <w:t xml:space="preserve">Al mismo tiempo, dado que se observa que los préstamos locales concedidos por filiales son más seguros y resistentes, las políticas que promueven ese tipo de crédito son útiles. Los gobiernos pueden incrementar la capacidad de resistencia a los shocks financieros alentando a las filiales de los bancos internacionales a recurrir más a fuentes locales de financiamiento. </w:t>
      </w:r>
    </w:p>
    <w:p w14:paraId="14F34771" w14:textId="77777777"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“Dado que los bancos matrices bien capitalizados también contribuyen a la estabilidad financiera en el país anfitrión, las recientes reformas financieras que buscan reforzar las reservas de capital de los bancos internacionales ayudan a fomentar la estabilidad financiera a escala mundial”, dijo el Jefe de la División de Análisis de la Estabilidad Financiera Mundial del FMI.</w:t>
      </w:r>
    </w:p>
    <w:p w14:paraId="5408861A" w14:textId="53F9C8C1" w:rsidR="00AE25EB" w:rsidRPr="00AE25EB" w:rsidRDefault="00AE25EB" w:rsidP="00AE25EB">
      <w:pPr>
        <w:spacing w:after="360" w:line="360" w:lineRule="auto"/>
        <w:ind w:right="-159"/>
        <w:jc w:val="both"/>
        <w:rPr>
          <w:rFonts w:eastAsia="Calibri"/>
          <w:sz w:val="26"/>
          <w:szCs w:val="26"/>
          <w:lang w:eastAsia="en-US"/>
        </w:rPr>
      </w:pPr>
      <w:r w:rsidRPr="00AE25EB">
        <w:rPr>
          <w:rFonts w:eastAsia="Calibri"/>
          <w:sz w:val="26"/>
          <w:szCs w:val="26"/>
          <w:lang w:eastAsia="en-US"/>
        </w:rPr>
        <w:t xml:space="preserve">El FMI publicará más detalles del Informe sobre la </w:t>
      </w:r>
      <w:r w:rsidR="008F7563">
        <w:rPr>
          <w:rFonts w:eastAsia="Calibri"/>
          <w:sz w:val="26"/>
          <w:szCs w:val="26"/>
          <w:lang w:eastAsia="en-US"/>
        </w:rPr>
        <w:t>E</w:t>
      </w:r>
      <w:r w:rsidRPr="00AE25EB">
        <w:rPr>
          <w:rFonts w:eastAsia="Calibri"/>
          <w:sz w:val="26"/>
          <w:szCs w:val="26"/>
          <w:lang w:eastAsia="en-US"/>
        </w:rPr>
        <w:t xml:space="preserve">stabilidad </w:t>
      </w:r>
      <w:r w:rsidR="008F7563">
        <w:rPr>
          <w:rFonts w:eastAsia="Calibri"/>
          <w:sz w:val="26"/>
          <w:szCs w:val="26"/>
          <w:lang w:eastAsia="en-US"/>
        </w:rPr>
        <w:t>F</w:t>
      </w:r>
      <w:r w:rsidRPr="00AE25EB">
        <w:rPr>
          <w:rFonts w:eastAsia="Calibri"/>
          <w:sz w:val="26"/>
          <w:szCs w:val="26"/>
          <w:lang w:eastAsia="en-US"/>
        </w:rPr>
        <w:t xml:space="preserve">inanciera </w:t>
      </w:r>
      <w:r w:rsidR="008F7563">
        <w:rPr>
          <w:rFonts w:eastAsia="Calibri"/>
          <w:sz w:val="26"/>
          <w:szCs w:val="26"/>
          <w:lang w:eastAsia="en-US"/>
        </w:rPr>
        <w:t>M</w:t>
      </w:r>
      <w:r w:rsidRPr="00AE25EB">
        <w:rPr>
          <w:rFonts w:eastAsia="Calibri"/>
          <w:sz w:val="26"/>
          <w:szCs w:val="26"/>
          <w:lang w:eastAsia="en-US"/>
        </w:rPr>
        <w:t>undial el 15 de abril.</w:t>
      </w:r>
    </w:p>
    <w:p w14:paraId="660D7B4B" w14:textId="77777777" w:rsidR="00AE25EB" w:rsidRPr="00AE25EB" w:rsidRDefault="00AE25EB" w:rsidP="00AE25EB">
      <w:pPr>
        <w:ind w:right="-159"/>
        <w:jc w:val="both"/>
        <w:rPr>
          <w:rFonts w:eastAsia="Calibri"/>
          <w:b/>
          <w:sz w:val="20"/>
          <w:szCs w:val="26"/>
          <w:lang w:eastAsia="en-US"/>
        </w:rPr>
      </w:pPr>
      <w:r w:rsidRPr="00AE25EB">
        <w:rPr>
          <w:rFonts w:eastAsia="Calibri"/>
          <w:b/>
          <w:sz w:val="20"/>
          <w:szCs w:val="26"/>
          <w:lang w:eastAsia="en-US"/>
        </w:rPr>
        <w:t>Fuente de información:</w:t>
      </w:r>
    </w:p>
    <w:p w14:paraId="2E3FE302" w14:textId="77777777" w:rsidR="00AE25EB" w:rsidRPr="008F5FED" w:rsidRDefault="0045651A" w:rsidP="008F5FED">
      <w:pPr>
        <w:spacing w:after="720"/>
        <w:ind w:right="-159"/>
        <w:jc w:val="both"/>
        <w:rPr>
          <w:rFonts w:eastAsia="Calibri"/>
          <w:color w:val="0000FF"/>
          <w:sz w:val="20"/>
          <w:szCs w:val="20"/>
          <w:lang w:eastAsia="en-US"/>
        </w:rPr>
      </w:pPr>
      <w:hyperlink r:id="rId293" w:history="1">
        <w:r w:rsidR="00AE25EB" w:rsidRPr="008F5FED">
          <w:rPr>
            <w:rFonts w:eastAsia="Calibri"/>
            <w:color w:val="0000FF"/>
            <w:sz w:val="20"/>
            <w:szCs w:val="20"/>
            <w:u w:val="single"/>
            <w:lang w:eastAsia="en-US"/>
          </w:rPr>
          <w:t>http://www.imf.org/external/spanish/pubs/ft/survey/so/2015/pol040815as.htm</w:t>
        </w:r>
      </w:hyperlink>
      <w:r w:rsidR="00AE25EB" w:rsidRPr="008F5FED">
        <w:rPr>
          <w:rFonts w:eastAsia="Calibri"/>
          <w:color w:val="0000FF"/>
          <w:sz w:val="20"/>
          <w:szCs w:val="20"/>
          <w:lang w:eastAsia="en-US"/>
        </w:rPr>
        <w:t xml:space="preserve"> </w:t>
      </w:r>
    </w:p>
    <w:p w14:paraId="0E0A48A8" w14:textId="77777777" w:rsidR="0039768F" w:rsidRPr="0039768F" w:rsidRDefault="0039768F" w:rsidP="0039768F">
      <w:pPr>
        <w:ind w:right="-159"/>
        <w:jc w:val="both"/>
        <w:rPr>
          <w:rFonts w:eastAsia="Calibri"/>
          <w:b/>
          <w:bCs/>
          <w:sz w:val="26"/>
          <w:szCs w:val="26"/>
          <w:lang w:eastAsia="en-US"/>
        </w:rPr>
      </w:pPr>
      <w:r w:rsidRPr="0039768F">
        <w:rPr>
          <w:rFonts w:eastAsia="Calibri"/>
          <w:b/>
          <w:bCs/>
          <w:sz w:val="26"/>
          <w:szCs w:val="26"/>
          <w:lang w:eastAsia="en-US"/>
        </w:rPr>
        <w:t>Informe sobre la Estabilidad</w:t>
      </w:r>
    </w:p>
    <w:p w14:paraId="3B921E16" w14:textId="77777777" w:rsidR="0039768F" w:rsidRPr="0039768F" w:rsidRDefault="0039768F" w:rsidP="0039768F">
      <w:pPr>
        <w:spacing w:after="360" w:line="360" w:lineRule="auto"/>
        <w:ind w:right="-159"/>
        <w:jc w:val="both"/>
        <w:rPr>
          <w:rFonts w:eastAsia="Calibri"/>
          <w:b/>
          <w:sz w:val="26"/>
          <w:szCs w:val="26"/>
          <w:lang w:eastAsia="en-US"/>
        </w:rPr>
      </w:pPr>
      <w:r w:rsidRPr="0039768F">
        <w:rPr>
          <w:rFonts w:eastAsia="Calibri"/>
          <w:b/>
          <w:bCs/>
          <w:sz w:val="26"/>
          <w:szCs w:val="26"/>
          <w:lang w:eastAsia="en-US"/>
        </w:rPr>
        <w:t>Financiera   Mundial</w:t>
      </w:r>
      <w:r w:rsidRPr="0039768F">
        <w:rPr>
          <w:rFonts w:eastAsia="Calibri"/>
          <w:b/>
          <w:sz w:val="26"/>
          <w:szCs w:val="26"/>
          <w:lang w:eastAsia="en-US"/>
        </w:rPr>
        <w:t xml:space="preserve">  (FMI)</w:t>
      </w:r>
    </w:p>
    <w:p w14:paraId="6F990FA6" w14:textId="77777777" w:rsidR="0039768F" w:rsidRDefault="0039768F" w:rsidP="0039768F">
      <w:pPr>
        <w:spacing w:after="360" w:line="360" w:lineRule="auto"/>
        <w:ind w:right="-159"/>
        <w:jc w:val="both"/>
        <w:rPr>
          <w:rFonts w:eastAsia="Calibri"/>
          <w:bCs/>
          <w:sz w:val="26"/>
          <w:szCs w:val="26"/>
          <w:lang w:eastAsia="en-US"/>
        </w:rPr>
      </w:pPr>
      <w:r w:rsidRPr="0039768F">
        <w:rPr>
          <w:rFonts w:eastAsia="Calibri"/>
          <w:sz w:val="26"/>
          <w:szCs w:val="26"/>
          <w:lang w:eastAsia="en-US"/>
        </w:rPr>
        <w:t xml:space="preserve">El 8 de abril de 2015, el Fondo Monetario Internacional (FMI) publicó el resumen de los Capítulos 2: </w:t>
      </w:r>
      <w:r w:rsidRPr="0039768F">
        <w:rPr>
          <w:rFonts w:eastAsia="Calibri"/>
          <w:bCs/>
          <w:sz w:val="26"/>
          <w:szCs w:val="26"/>
          <w:lang w:eastAsia="en-US"/>
        </w:rPr>
        <w:t>La banca internacional después de la crisis: ¿más local y segura?</w:t>
      </w:r>
      <w:r w:rsidRPr="0039768F">
        <w:rPr>
          <w:rFonts w:eastAsia="Calibri"/>
          <w:sz w:val="26"/>
          <w:szCs w:val="26"/>
          <w:lang w:eastAsia="en-US"/>
        </w:rPr>
        <w:t xml:space="preserve"> y del Capítulo 3: </w:t>
      </w:r>
      <w:r w:rsidRPr="0039768F">
        <w:rPr>
          <w:rFonts w:eastAsia="Calibri"/>
          <w:bCs/>
          <w:sz w:val="26"/>
          <w:szCs w:val="26"/>
          <w:lang w:eastAsia="en-US"/>
        </w:rPr>
        <w:t>El sector de la gestión de activos y la estabilidad financiera,</w:t>
      </w:r>
      <w:r w:rsidRPr="0039768F">
        <w:rPr>
          <w:rFonts w:eastAsia="Calibri"/>
          <w:sz w:val="26"/>
          <w:szCs w:val="26"/>
          <w:lang w:eastAsia="en-US"/>
        </w:rPr>
        <w:t xml:space="preserve"> del “Informe sobre la Estabilidad Financiera Mundial, </w:t>
      </w:r>
      <w:r w:rsidRPr="0039768F">
        <w:rPr>
          <w:rFonts w:eastAsia="Calibri"/>
          <w:bCs/>
          <w:sz w:val="26"/>
          <w:szCs w:val="26"/>
          <w:lang w:eastAsia="en-US"/>
        </w:rPr>
        <w:t>abril de 2015”. A continuación se presenta la información.</w:t>
      </w:r>
    </w:p>
    <w:p w14:paraId="165F8F01" w14:textId="77777777" w:rsidR="00635C7F" w:rsidRDefault="00635C7F" w:rsidP="0039768F">
      <w:pPr>
        <w:spacing w:after="360" w:line="360" w:lineRule="auto"/>
        <w:ind w:right="-159"/>
        <w:jc w:val="both"/>
        <w:rPr>
          <w:rFonts w:eastAsia="Calibri"/>
          <w:bCs/>
          <w:sz w:val="26"/>
          <w:szCs w:val="26"/>
          <w:lang w:eastAsia="en-US"/>
        </w:rPr>
      </w:pPr>
    </w:p>
    <w:p w14:paraId="6AFDE8A3" w14:textId="77777777" w:rsidR="00635C7F" w:rsidRPr="0039768F" w:rsidRDefault="00635C7F" w:rsidP="0039768F">
      <w:pPr>
        <w:spacing w:after="360" w:line="360" w:lineRule="auto"/>
        <w:ind w:right="-159"/>
        <w:jc w:val="both"/>
        <w:rPr>
          <w:rFonts w:eastAsia="Calibri"/>
          <w:sz w:val="26"/>
          <w:szCs w:val="26"/>
          <w:lang w:eastAsia="en-US"/>
        </w:rPr>
      </w:pPr>
    </w:p>
    <w:p w14:paraId="5DFA5574"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b/>
          <w:bCs/>
          <w:sz w:val="26"/>
          <w:szCs w:val="26"/>
          <w:lang w:eastAsia="en-US"/>
        </w:rPr>
        <w:lastRenderedPageBreak/>
        <w:t xml:space="preserve">Informe sobre la estabilidad financiera mundial </w:t>
      </w:r>
    </w:p>
    <w:p w14:paraId="67AD309C"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b/>
          <w:bCs/>
          <w:sz w:val="26"/>
          <w:szCs w:val="26"/>
          <w:lang w:eastAsia="en-US"/>
        </w:rPr>
        <w:t>Capítulo 2: La banca internacional después de la crisis: ¿más local y segura?</w:t>
      </w:r>
    </w:p>
    <w:p w14:paraId="7A2EB8F8"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Dos aspectos se destacan entre los cambios experimentados por la banca internacional desde la crisis financiera mundial. En primer lugar, han disminuido los préstamos transfronterizos directos como proporción de los activos bancarios totales, principalmente debido al repliegue de los bancos europeos. En segundo lugar, la proporción de préstamos locales concedidos por filiales de bancos extranjeros ha permanecido estable. Los bancos internacionales, en particular, han reenfocado sus actividades en ciertos mercados de importancia clave, dejando margen para la expansión de otros bancos. Como resultado, los vínculos financieros intrarregionales se han profundizado, sobre todo en Asia.</w:t>
      </w:r>
    </w:p>
    <w:p w14:paraId="6D7AFC4D"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Si bien lo que desencadenó la reducción de los préstamos transfronterizos fue la crisis, los cambios en las regulaciones y la debilidad de los balances bancarios han contribuido significativamente al posterior repliegue. Los bancos mejor capitalizados mostraron una mayor tendencia a mantener los préstamos transfronterizos. Además, se observa la incidencia de factores macroeconómicos.</w:t>
      </w:r>
    </w:p>
    <w:p w14:paraId="222DF9B4"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El giro relativo que han dado los bancos extranjeros disminuyendo los préstamos transfronterizos y enfocándose más en los préstamos locales a través de filiales ha tenido un efecto positivo en la estabilidad financiera de los países anfitriones. Los préstamos transfronterizos intensifican los choques adversos tanto internos como mundiales. En cambio, las filiales bancarias de propiedad extranjera, en particular aquellas cuyas matrices están mejor capitalizadas, tienden a comportarse de manera menos procíclica que los bancos domésticos cuando se producen crisis domésticas.</w:t>
      </w:r>
    </w:p>
    <w:p w14:paraId="58D13F3D"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 xml:space="preserve">En principio, la banca internacional aporta ventajas que no se abordan en este capítulo. Por ejemplo, los bancos internacionales contribuyen a la asignación del ahorro mundial </w:t>
      </w:r>
      <w:r w:rsidRPr="0039768F">
        <w:rPr>
          <w:rFonts w:eastAsia="Calibri"/>
          <w:sz w:val="26"/>
          <w:szCs w:val="26"/>
          <w:lang w:eastAsia="en-US"/>
        </w:rPr>
        <w:lastRenderedPageBreak/>
        <w:t>entre los países, con efectos positivos en la inversión y el crecimiento. La contracción de los préstamos transfronterizos puede menoscabar algunas de estas ventajas.</w:t>
      </w:r>
    </w:p>
    <w:p w14:paraId="6E73E09F"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Las autoridades por lo tanto tienen que esforzarse por aprovechar al máximo las ventajas, sin dejar de mitigar los riesgos. Las conclusiones de este capítulo son un argumento a favor de las recientes reformas financieras para incrementar la solidez de los bancos internacionales, y también destacan la necesidad de una mayor cooperación internacional para hacer frente a los shocks regionales y mundiales.</w:t>
      </w:r>
    </w:p>
    <w:p w14:paraId="6E7D2F51"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b/>
          <w:bCs/>
          <w:sz w:val="26"/>
          <w:szCs w:val="26"/>
          <w:lang w:eastAsia="en-US"/>
        </w:rPr>
        <w:t>Capítulo 3: El sector de la gestión de activos y la estabilidad financiera</w:t>
      </w:r>
    </w:p>
    <w:p w14:paraId="538D247F"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 xml:space="preserve">La intermediación financiera a través de empresas de gestión de activos ofrece muchas ventajas: ayuda a los inversionistas a diversificar sus activos más fácilmente y puede proporcionar financiamiento a la economía real a modo de “rueda de repuesto”, incluso cuando los bancos atraviesan dificultades. El sector también ofrece varias ventajas con respecto a los bancos desde el punto de vista de la estabilidad financiera. </w:t>
      </w:r>
    </w:p>
    <w:p w14:paraId="68BDEF88"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Sin embargo, últimamente han aumentado las preocupaciones acerca de potenciales riesgos para la estabilidad financiera que el sector de la gestión de activos plantea debido a su crecimiento y a cambios estructurales en los sistemas financieros. Los fondos de inversión que invierten en instrumentos de deuda han crecido considerablemente, y han estado invirtiendo en activos menos líquidos, y en las economías avanzadas se ha expandido sustancialmente el volumen de productos de inversión a disposición del público general. Los riesgos derivados de ciertos segmentos del sector —fondos de cobertura (</w:t>
      </w:r>
      <w:r w:rsidRPr="0039768F">
        <w:rPr>
          <w:rFonts w:eastAsia="Calibri"/>
          <w:i/>
          <w:iCs/>
          <w:sz w:val="26"/>
          <w:szCs w:val="26"/>
          <w:lang w:eastAsia="en-US"/>
        </w:rPr>
        <w:t>hedge funds</w:t>
      </w:r>
      <w:r w:rsidRPr="0039768F">
        <w:rPr>
          <w:rFonts w:eastAsia="Calibri"/>
          <w:sz w:val="26"/>
          <w:szCs w:val="26"/>
          <w:lang w:eastAsia="en-US"/>
        </w:rPr>
        <w:t>) y fondos mutuos de inversión en el mercado monetario— están ampliamente reconocidos.</w:t>
      </w:r>
    </w:p>
    <w:p w14:paraId="599B149D"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Aun así, hay opiniones divididas acerca de la naturaleza y la magnitud de los riesgos derivados de productos de inversión convencionales y menos apalancados (</w:t>
      </w:r>
      <w:r w:rsidRPr="0039768F">
        <w:rPr>
          <w:rFonts w:eastAsia="Calibri"/>
          <w:i/>
          <w:iCs/>
          <w:sz w:val="26"/>
          <w:szCs w:val="26"/>
          <w:lang w:eastAsia="en-US"/>
        </w:rPr>
        <w:t>plain-vanilla</w:t>
      </w:r>
      <w:r w:rsidRPr="0039768F">
        <w:rPr>
          <w:rFonts w:eastAsia="Calibri"/>
          <w:sz w:val="26"/>
          <w:szCs w:val="26"/>
          <w:lang w:eastAsia="en-US"/>
        </w:rPr>
        <w:t xml:space="preserve">), como los fondos comunes de inversión y los fondos cotizados en bolsa. En </w:t>
      </w:r>
      <w:r w:rsidRPr="0039768F">
        <w:rPr>
          <w:rFonts w:eastAsia="Calibri"/>
          <w:sz w:val="26"/>
          <w:szCs w:val="26"/>
          <w:lang w:eastAsia="en-US"/>
        </w:rPr>
        <w:lastRenderedPageBreak/>
        <w:t>este capítulo se examinan los riesgos sistémicos relacionados con estos productos, desde una perspectiva conceptual y empírica.</w:t>
      </w:r>
    </w:p>
    <w:p w14:paraId="2D72AD91"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En principio, incluso estos fondos convencionales pueden plantear riesgos para la estabilidad financiera. La delegación de la gestión diaria de la cartera de inversión introduce problemas de incentivos entre los inversionistas finales y los administradores de las carteras, que pueden propiciar comportamientos desestabilizadores y amplificar los shocks. Las opciones favorables de rescate de cuotas por parte de los inversionistas y la presencia de ventajas para aquellos inversionistas “pioneros” (</w:t>
      </w:r>
      <w:r w:rsidRPr="0039768F">
        <w:rPr>
          <w:rFonts w:eastAsia="Calibri"/>
          <w:i/>
          <w:iCs/>
          <w:sz w:val="26"/>
          <w:szCs w:val="26"/>
          <w:lang w:eastAsia="en-US"/>
        </w:rPr>
        <w:t>first-movers</w:t>
      </w:r>
      <w:r w:rsidRPr="0039768F">
        <w:rPr>
          <w:rFonts w:eastAsia="Calibri"/>
          <w:sz w:val="26"/>
          <w:szCs w:val="26"/>
          <w:lang w:eastAsia="en-US"/>
        </w:rPr>
        <w:t>) en rescatar pueden crear riesgos de rescates masivos, y la resultante dinámica de precios puede propagarse a otras partes del sistema financiero a través de los mercados de financiamiento, los balances y las transacciones avaladas con instrumentos financieros.</w:t>
      </w:r>
    </w:p>
    <w:p w14:paraId="2379680C"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El análisis empírico arroja indicios de la presencia de muchos de estos mecanismos creadores de riesgo, aunque su importancia varía entre los distintos mercados de activos. Las inversiones en fondos comunes parecen afectar la dinámica de los precios de los activos, al menos en los mercados menos líquidos. Varios factores, como ciertas reglas de determinación del valor de las cuotas de participación en fondos, crean una ventaja para los inversionistas pioneros en rescatar sus cuotas, particularmente en el caso de fondos con fuertes descalces de liquidez. Por otro lado, los problemas de incentivos revisten importancia: entre los administradores de cartera prevalece y está en aumento el comportamiento de manada (</w:t>
      </w:r>
      <w:r w:rsidRPr="0039768F">
        <w:rPr>
          <w:rFonts w:eastAsia="Calibri"/>
          <w:i/>
          <w:iCs/>
          <w:sz w:val="26"/>
          <w:szCs w:val="26"/>
          <w:lang w:eastAsia="en-US"/>
        </w:rPr>
        <w:t>herding</w:t>
      </w:r>
      <w:r w:rsidRPr="0039768F">
        <w:rPr>
          <w:rFonts w:eastAsia="Calibri"/>
          <w:sz w:val="26"/>
          <w:szCs w:val="26"/>
          <w:lang w:eastAsia="en-US"/>
        </w:rPr>
        <w:t>).</w:t>
      </w:r>
    </w:p>
    <w:p w14:paraId="03995C12" w14:textId="622883ED"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 xml:space="preserve">En este </w:t>
      </w:r>
      <w:r w:rsidR="00AE25EB">
        <w:rPr>
          <w:rFonts w:eastAsia="Calibri"/>
          <w:sz w:val="26"/>
          <w:szCs w:val="26"/>
          <w:lang w:eastAsia="en-US"/>
        </w:rPr>
        <w:t>C</w:t>
      </w:r>
      <w:r w:rsidRPr="0039768F">
        <w:rPr>
          <w:rFonts w:eastAsia="Calibri"/>
          <w:sz w:val="26"/>
          <w:szCs w:val="26"/>
          <w:lang w:eastAsia="en-US"/>
        </w:rPr>
        <w:t xml:space="preserve">apítulo no se pretende dar un dictamen definitivo sobre la importancia sistémica general de los riesgos potenciales, ni responder a la pregunta de si ciertas empresas de gestión de activos deberían ser designadas como de importancia sistémica. Sin embargo, el análisis indica que los fondos más grandes y los administrados por empresas de gestión de activos de mayor envergadura no contribuyen necesariamente a un mayor riesgo sistémico; más bien, el </w:t>
      </w:r>
      <w:r w:rsidRPr="0039768F">
        <w:rPr>
          <w:rFonts w:eastAsia="Calibri"/>
          <w:i/>
          <w:iCs/>
          <w:sz w:val="26"/>
          <w:szCs w:val="26"/>
          <w:lang w:eastAsia="en-US"/>
        </w:rPr>
        <w:t xml:space="preserve">enfoque </w:t>
      </w:r>
      <w:r w:rsidRPr="0039768F">
        <w:rPr>
          <w:rFonts w:eastAsia="Calibri"/>
          <w:sz w:val="26"/>
          <w:szCs w:val="26"/>
          <w:lang w:eastAsia="en-US"/>
        </w:rPr>
        <w:t xml:space="preserve">de la inversión parece ser un factor </w:t>
      </w:r>
      <w:r w:rsidRPr="0039768F">
        <w:rPr>
          <w:rFonts w:eastAsia="Calibri"/>
          <w:sz w:val="26"/>
          <w:szCs w:val="26"/>
          <w:lang w:eastAsia="en-US"/>
        </w:rPr>
        <w:lastRenderedPageBreak/>
        <w:t>relativamente más importante en la manera en que los fondos contribuyen al riesgo sistémico.</w:t>
      </w:r>
    </w:p>
    <w:p w14:paraId="2D6DCB7F" w14:textId="77777777" w:rsidR="0039768F" w:rsidRPr="0039768F" w:rsidRDefault="0039768F" w:rsidP="0039768F">
      <w:pPr>
        <w:spacing w:after="360" w:line="360" w:lineRule="auto"/>
        <w:ind w:right="-159"/>
        <w:jc w:val="both"/>
        <w:rPr>
          <w:rFonts w:eastAsia="Calibri"/>
          <w:sz w:val="26"/>
          <w:szCs w:val="26"/>
          <w:lang w:eastAsia="en-US"/>
        </w:rPr>
      </w:pPr>
      <w:r w:rsidRPr="0039768F">
        <w:rPr>
          <w:rFonts w:eastAsia="Calibri"/>
          <w:sz w:val="26"/>
          <w:szCs w:val="26"/>
          <w:lang w:eastAsia="en-US"/>
        </w:rPr>
        <w:t>Se debe reforzar la vigilancia del sector, con una mejor supervisión de los riesgos microprudenciales y adoptando una orientación macroprudencial. Los reguladores de los títulos-valores deberían adoptar un modelo de supervisión más activo, sustentado en estándares mundiales de supervisión y mejores datos e indicadores de riesgo. Se deben reexaminar las funciones y la idoneidad de las actuales herramientas de gestión de riesgo —tales como requisitos de liquidez, comisiones y reglas para determinar el valor de las cuotas de participación en fondos— teniendo en cuenta la función del sector en el riesgo sistémico y la diversidad de sus productos.</w:t>
      </w:r>
    </w:p>
    <w:p w14:paraId="6824A060" w14:textId="77777777" w:rsidR="0039768F" w:rsidRPr="0039768F" w:rsidRDefault="0039768F" w:rsidP="0039768F">
      <w:pPr>
        <w:ind w:right="-159"/>
        <w:jc w:val="both"/>
        <w:rPr>
          <w:rFonts w:eastAsia="Calibri"/>
          <w:b/>
          <w:sz w:val="20"/>
          <w:szCs w:val="20"/>
          <w:lang w:eastAsia="en-US"/>
        </w:rPr>
      </w:pPr>
      <w:r w:rsidRPr="0039768F">
        <w:rPr>
          <w:rFonts w:eastAsia="Calibri"/>
          <w:b/>
          <w:sz w:val="20"/>
          <w:szCs w:val="20"/>
          <w:lang w:eastAsia="en-US"/>
        </w:rPr>
        <w:t>Fuente de información:</w:t>
      </w:r>
    </w:p>
    <w:p w14:paraId="60296986" w14:textId="77777777" w:rsidR="0039768F" w:rsidRPr="008F5FED" w:rsidRDefault="0045651A" w:rsidP="008F5FED">
      <w:pPr>
        <w:spacing w:after="720"/>
        <w:ind w:right="-159"/>
        <w:jc w:val="both"/>
        <w:rPr>
          <w:rFonts w:eastAsia="Calibri"/>
          <w:color w:val="0000FF"/>
          <w:sz w:val="20"/>
          <w:szCs w:val="20"/>
          <w:lang w:eastAsia="en-US"/>
        </w:rPr>
      </w:pPr>
      <w:hyperlink r:id="rId294" w:history="1">
        <w:r w:rsidR="0039768F" w:rsidRPr="008F5FED">
          <w:rPr>
            <w:rFonts w:eastAsia="Calibri"/>
            <w:color w:val="0000FF"/>
            <w:sz w:val="20"/>
            <w:szCs w:val="20"/>
            <w:u w:val="single"/>
            <w:lang w:eastAsia="en-US"/>
          </w:rPr>
          <w:t>http://www.imf.org/external/spanish/pubs/ft/gfsr/2015/01/pdf/sums.pdf</w:t>
        </w:r>
      </w:hyperlink>
      <w:r w:rsidR="0039768F" w:rsidRPr="008F5FED">
        <w:rPr>
          <w:rFonts w:eastAsia="Calibri"/>
          <w:color w:val="0000FF"/>
          <w:sz w:val="20"/>
          <w:szCs w:val="20"/>
          <w:lang w:eastAsia="en-US"/>
        </w:rPr>
        <w:t xml:space="preserve"> </w:t>
      </w:r>
    </w:p>
    <w:p w14:paraId="720E83B2" w14:textId="77777777" w:rsidR="00172472" w:rsidRPr="00172472" w:rsidRDefault="00172472" w:rsidP="00172472">
      <w:pPr>
        <w:ind w:right="-159"/>
        <w:jc w:val="both"/>
        <w:rPr>
          <w:rFonts w:eastAsia="Calibri"/>
          <w:b/>
          <w:sz w:val="26"/>
          <w:szCs w:val="26"/>
          <w:lang w:eastAsia="en-US"/>
        </w:rPr>
      </w:pPr>
      <w:r w:rsidRPr="00172472">
        <w:rPr>
          <w:rFonts w:eastAsia="Calibri"/>
          <w:b/>
          <w:sz w:val="26"/>
          <w:szCs w:val="26"/>
          <w:lang w:eastAsia="en-US"/>
        </w:rPr>
        <w:t>Aspectos más destacados de los flujos</w:t>
      </w:r>
    </w:p>
    <w:p w14:paraId="31DF490A" w14:textId="53C0E2F4" w:rsidR="00172472" w:rsidRPr="00172472" w:rsidRDefault="00172472" w:rsidP="00172472">
      <w:pPr>
        <w:spacing w:after="360" w:line="360" w:lineRule="auto"/>
        <w:ind w:right="-159"/>
        <w:jc w:val="both"/>
        <w:rPr>
          <w:rFonts w:eastAsia="Calibri"/>
          <w:b/>
          <w:sz w:val="26"/>
          <w:szCs w:val="26"/>
          <w:lang w:eastAsia="en-US"/>
        </w:rPr>
      </w:pPr>
      <w:r w:rsidRPr="00172472">
        <w:rPr>
          <w:rFonts w:eastAsia="Calibri"/>
          <w:b/>
          <w:sz w:val="26"/>
          <w:szCs w:val="26"/>
          <w:lang w:eastAsia="en-US"/>
        </w:rPr>
        <w:t>de   financiamiento   mundial</w:t>
      </w:r>
      <w:r w:rsidRPr="00172472">
        <w:rPr>
          <w:rFonts w:eastAsia="Calibri"/>
          <w:b/>
          <w:sz w:val="26"/>
          <w:szCs w:val="26"/>
          <w:vertAlign w:val="superscript"/>
          <w:lang w:eastAsia="en-US"/>
        </w:rPr>
        <w:footnoteReference w:id="50"/>
      </w:r>
      <w:r w:rsidRPr="00172472">
        <w:rPr>
          <w:rFonts w:eastAsia="Calibri"/>
          <w:b/>
          <w:sz w:val="26"/>
          <w:szCs w:val="26"/>
          <w:lang w:eastAsia="en-US"/>
        </w:rPr>
        <w:t xml:space="preserve">  (BPI)</w:t>
      </w:r>
    </w:p>
    <w:p w14:paraId="5E01C465" w14:textId="2AA2FB1C"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18 de marzo de 2015, el Banco de Pagos Internacionales (BPI) publicó en su </w:t>
      </w:r>
      <w:r w:rsidR="001C7810">
        <w:rPr>
          <w:rFonts w:eastAsia="Calibri"/>
          <w:sz w:val="26"/>
          <w:szCs w:val="26"/>
          <w:lang w:eastAsia="en-US"/>
        </w:rPr>
        <w:t>I</w:t>
      </w:r>
      <w:r w:rsidRPr="00172472">
        <w:rPr>
          <w:rFonts w:eastAsia="Calibri"/>
          <w:sz w:val="26"/>
          <w:szCs w:val="26"/>
          <w:lang w:eastAsia="en-US"/>
        </w:rPr>
        <w:t xml:space="preserve">nforme </w:t>
      </w:r>
      <w:r w:rsidR="001C7810">
        <w:rPr>
          <w:rFonts w:eastAsia="Calibri"/>
          <w:sz w:val="26"/>
          <w:szCs w:val="26"/>
          <w:lang w:eastAsia="en-US"/>
        </w:rPr>
        <w:t>T</w:t>
      </w:r>
      <w:r w:rsidRPr="00172472">
        <w:rPr>
          <w:rFonts w:eastAsia="Calibri"/>
          <w:sz w:val="26"/>
          <w:szCs w:val="26"/>
          <w:lang w:eastAsia="en-US"/>
        </w:rPr>
        <w:t>rimestral de marzo</w:t>
      </w:r>
      <w:r w:rsidR="001C7810">
        <w:rPr>
          <w:rFonts w:eastAsia="Calibri"/>
          <w:sz w:val="26"/>
          <w:szCs w:val="26"/>
          <w:lang w:eastAsia="en-US"/>
        </w:rPr>
        <w:t>,</w:t>
      </w:r>
      <w:r w:rsidRPr="00172472">
        <w:rPr>
          <w:rFonts w:eastAsia="Calibri"/>
          <w:sz w:val="26"/>
          <w:szCs w:val="26"/>
          <w:lang w:eastAsia="en-US"/>
        </w:rPr>
        <w:t xml:space="preserve"> el artículo “Aspectos más destacados de los flujos de financiamiento mundial”. A continuación se presenta la información.</w:t>
      </w:r>
    </w:p>
    <w:p w14:paraId="04D846A3"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BPI, en colaboración con bancos centrales y autoridades monetarias de todo el mundo, compila y distribuye datos sobre la actividad financiera internacional. Este Capítulo resume los últimos datos sobre las estadísticas bancarias internacionales e indicadores de liquidez mundial disponibles hasta septiembre de 2014. También se </w:t>
      </w:r>
      <w:r w:rsidRPr="00172472">
        <w:rPr>
          <w:rFonts w:eastAsia="Calibri"/>
          <w:sz w:val="26"/>
          <w:szCs w:val="26"/>
          <w:lang w:eastAsia="en-US"/>
        </w:rPr>
        <w:lastRenderedPageBreak/>
        <w:t xml:space="preserve">incluye un recuadro sobre el trasfondo e interpretación de los indicadores de liquidez mundial. </w:t>
      </w:r>
    </w:p>
    <w:p w14:paraId="781A9CED" w14:textId="77777777" w:rsidR="00172472" w:rsidRPr="00172472" w:rsidRDefault="00172472" w:rsidP="00172472">
      <w:pPr>
        <w:spacing w:after="360" w:line="360" w:lineRule="auto"/>
        <w:ind w:right="-159"/>
        <w:jc w:val="both"/>
        <w:rPr>
          <w:rFonts w:eastAsia="Calibri"/>
          <w:b/>
          <w:sz w:val="26"/>
          <w:szCs w:val="26"/>
          <w:lang w:eastAsia="en-US"/>
        </w:rPr>
      </w:pPr>
      <w:r w:rsidRPr="00172472">
        <w:rPr>
          <w:rFonts w:eastAsia="Calibri"/>
          <w:b/>
          <w:sz w:val="26"/>
          <w:szCs w:val="26"/>
          <w:lang w:eastAsia="en-US"/>
        </w:rPr>
        <w:t xml:space="preserve">Resumen </w:t>
      </w:r>
    </w:p>
    <w:p w14:paraId="30031567"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En términos agregados, la actividad bancaria internacional continuó su expansión durante el tercer trimestre de 2014, tras haber llegado a un punto de inflexión en el primero. La emisión de títulos de deuda internacionales siguió creciendo a un ritmo vigoroso, impulsada por unos rendimientos de la deuda soberana muy bajos (incluso negativos).   </w:t>
      </w:r>
    </w:p>
    <w:p w14:paraId="0158DA14"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Más concretamente, a finales de septiembre de 2014, el crédito en dólares estadounidenses concedido a entidades no bancarias fuera de Estados Unidos de Norteamérica alcanzó 9.2 billones de dólares, un 9% más que un año antes y más del 50% por encima del nivel de finales de 2009. Esta cifra incluía 4.2 billones de dólares en títulos de deuda y 4.9 billones de dólares en préstamos bancarios. </w:t>
      </w:r>
    </w:p>
    <w:p w14:paraId="48B2D395"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Los préstamos bancarios en la zona del euro crecieron, pero con diferencias entre países que no se explican por el tradicional patrón centro-periferia. </w:t>
      </w:r>
    </w:p>
    <w:p w14:paraId="0F6BDC51"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El crédito transfronterizo dirigido a economías de mercado emergentes (EME) de Asia siguió creciendo rápidamente. Pese a que los activos de los bancos declarantes al BPI frente a China fueron un 40% superiores a los de un año antes, también mostraron signos de estar tocando techo, al incrementarse tan solo un 3% en el tercer trimestre de 2014 respecto del trimestre anterior. Los activos de los bancos declarantes frente a bancos chinos se redujeron durante el tercer trimestre.  </w:t>
      </w:r>
    </w:p>
    <w:p w14:paraId="37EFBE8E"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La actual intensidad de los flujos de capital transfronterizos hacia EME, sobre todo de Asia Oriental, podría alentar aún más los auges del crédito interno en </w:t>
      </w:r>
      <w:r w:rsidRPr="00172472">
        <w:rPr>
          <w:rFonts w:eastAsia="Calibri"/>
          <w:sz w:val="26"/>
          <w:szCs w:val="26"/>
          <w:lang w:eastAsia="en-US"/>
        </w:rPr>
        <w:lastRenderedPageBreak/>
        <w:t xml:space="preserve">estos países. En otras economías y regiones emergentes, el crédito transfronterizo sigue lastrando el crecimiento del crédito interno. </w:t>
      </w:r>
    </w:p>
    <w:p w14:paraId="036E3118"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El crédito a prestatarios rusos cayó de manera muy significativa en el tercer trimestre de 2014, contribuyendo a una disminución interanual del 15 por ciento.  </w:t>
      </w:r>
    </w:p>
    <w:p w14:paraId="355E2196" w14:textId="77777777" w:rsidR="00172472" w:rsidRPr="00172472" w:rsidRDefault="00172472" w:rsidP="003B27DE">
      <w:pPr>
        <w:numPr>
          <w:ilvl w:val="0"/>
          <w:numId w:val="26"/>
        </w:numPr>
        <w:spacing w:after="360" w:line="360" w:lineRule="auto"/>
        <w:ind w:left="714" w:right="-159" w:hanging="357"/>
        <w:jc w:val="both"/>
        <w:rPr>
          <w:rFonts w:eastAsia="Calibri"/>
          <w:sz w:val="26"/>
          <w:szCs w:val="26"/>
          <w:lang w:eastAsia="en-US"/>
        </w:rPr>
      </w:pPr>
      <w:r w:rsidRPr="00172472">
        <w:rPr>
          <w:rFonts w:eastAsia="Calibri"/>
          <w:sz w:val="26"/>
          <w:szCs w:val="26"/>
          <w:lang w:eastAsia="en-US"/>
        </w:rPr>
        <w:t xml:space="preserve">Al igual que en anteriores fases de recuperación del ciclo económico, en los últimos años se ha producido un incremento de la emisión de acciones. Al mismo tiempo, al menos en Estados Unidos de Norteamérica, la recompra de acciones propias ha superado a la emisión nueva. Estas tendencias se examinan en un recuadro más adelante. </w:t>
      </w:r>
    </w:p>
    <w:p w14:paraId="773B5659" w14:textId="77777777" w:rsidR="00172472" w:rsidRPr="00172472" w:rsidRDefault="00172472" w:rsidP="003B27DE">
      <w:pPr>
        <w:numPr>
          <w:ilvl w:val="0"/>
          <w:numId w:val="26"/>
        </w:numPr>
        <w:spacing w:after="360" w:line="360" w:lineRule="auto"/>
        <w:ind w:right="-159"/>
        <w:jc w:val="both"/>
        <w:rPr>
          <w:rFonts w:eastAsia="Calibri"/>
          <w:sz w:val="26"/>
          <w:szCs w:val="26"/>
          <w:lang w:eastAsia="en-US"/>
        </w:rPr>
      </w:pPr>
      <w:r w:rsidRPr="00172472">
        <w:rPr>
          <w:rFonts w:eastAsia="Calibri"/>
          <w:sz w:val="26"/>
          <w:szCs w:val="26"/>
          <w:lang w:eastAsia="en-US"/>
        </w:rPr>
        <w:t xml:space="preserve">Este capítulo también incluye un recuadro sobre el trasfondo e interpretación de los indicadores de liquidez mundial del BPI.  </w:t>
      </w:r>
    </w:p>
    <w:p w14:paraId="3A6C92E3" w14:textId="77777777" w:rsidR="00172472" w:rsidRPr="00172472" w:rsidRDefault="00172472" w:rsidP="00172472">
      <w:pPr>
        <w:spacing w:after="360" w:line="360" w:lineRule="auto"/>
        <w:ind w:right="-159"/>
        <w:jc w:val="both"/>
        <w:rPr>
          <w:rFonts w:eastAsia="Calibri"/>
          <w:b/>
          <w:sz w:val="26"/>
          <w:szCs w:val="26"/>
          <w:lang w:eastAsia="en-US"/>
        </w:rPr>
      </w:pPr>
      <w:r w:rsidRPr="00172472">
        <w:rPr>
          <w:rFonts w:eastAsia="Calibri"/>
          <w:b/>
          <w:sz w:val="26"/>
          <w:szCs w:val="26"/>
          <w:lang w:eastAsia="en-US"/>
        </w:rPr>
        <w:t xml:space="preserve">Flujos de crédito internacionales y la economía de múltiples velocidades </w:t>
      </w:r>
    </w:p>
    <w:p w14:paraId="724BE05C"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Durante el segundo semestre de 2014, los flujos mundiales tanto bancarios como de capitales siguieron ajustándose en función de los cambiantes patrones de la demanda mundial. Durante varios años tras la Crisis Financiera Mundial, las economías avanzadas más grandes atravesaron serias dificultades debido a sus balances sobrecargados y sistemas bancarios débiles, al tiempo que el capital fluía hacia economías de mercado emergentes de rápido crecimiento que ofrecían atractivas oportunidades de inversión. Más recientemente, la situación ha evolucionado hacia una economía mundial de “múltiples velocidades” caracterizada por: un crecimiento más robusto en algunas economías avanzadas, en particular Estados Unidos de Norteamérica y el Reino Unido; perspectivas decepcionantes en la zona del euro y Japón; y una ralentización en algunas economías emergentes, pero no todas.  </w:t>
      </w:r>
    </w:p>
    <w:p w14:paraId="63EB17B7"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 xml:space="preserve">A medida que los sistemas bancarios se han ido recuperando y la apetencia por el riesgo se ha mantenido alta, el préstamo bancario internacional se ha recuperado en las economías avanzadas, aunque sigue muy por debajo de sus niveles precrisis. Al mismo tiempo, ha seguido creciendo a buen ritmo en las EME, sobre todo en Asia. El crédito bancario ha retomado así su papel de principal vehículo de liquidez mundial.  </w:t>
      </w:r>
    </w:p>
    <w:p w14:paraId="4CF9AFB5"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El resurgimiento del crédito bancario internacional ha ido acompañado de niveles persistentemente altos de emisión en el mercado internacional de bonos (lo que algunos han descrito como una “segunda fase de liquidez mundial”</w:t>
      </w:r>
      <w:r w:rsidRPr="00172472">
        <w:rPr>
          <w:rFonts w:eastAsia="Calibri"/>
          <w:sz w:val="26"/>
          <w:szCs w:val="26"/>
          <w:vertAlign w:val="superscript"/>
          <w:lang w:eastAsia="en-US"/>
        </w:rPr>
        <w:footnoteReference w:id="51"/>
      </w:r>
      <w:r w:rsidRPr="00172472">
        <w:rPr>
          <w:rFonts w:eastAsia="Calibri"/>
          <w:sz w:val="26"/>
          <w:szCs w:val="26"/>
          <w:lang w:eastAsia="en-US"/>
        </w:rPr>
        <w:t xml:space="preserve">).  En este entorno, algunas economías siguen registrando un rápido crecimiento del crédito que es característico de las fases finales de los ciclos financieros y, en algunos casos, los flujos de crédito internacional han contribuido a acrecentar estos auges financieros.  </w:t>
      </w:r>
    </w:p>
    <w:p w14:paraId="21D67FA2" w14:textId="77777777" w:rsid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Esta sección hace un repaso de la evolución de los flujos internacionales de financiamiento, centrándose en los datos bancarios y sobre títulos recopilados por el BPI. Esta evolución se presenta en el contexto más amplio de la experimentada por las cifras agregadas de liquidez y crédito a nivel mundial. La mayoría de los datos están disponibles hasta finales del tercer trimestre de 2014, si bien algunas fuentes de datos y la evolución del precio de mercado pueden arrojar luz sobre la probable evolución en el cuarto trimestre de 2014 y el principio de 2015. Para el análisis, se han tomado en cuenta los indicadores de liquidez mundial desarrollados por el BPI y hasta ahora publicados en la página web del BPI como un conjunto independiente de datos estadísticos. El recuadro </w:t>
      </w:r>
      <w:r w:rsidRPr="00172472">
        <w:rPr>
          <w:rFonts w:eastAsia="Calibri"/>
          <w:i/>
          <w:sz w:val="26"/>
          <w:szCs w:val="26"/>
          <w:lang w:eastAsia="en-US"/>
        </w:rPr>
        <w:t>Indicadores de liquidez mundial: origen e interpretación</w:t>
      </w:r>
      <w:r w:rsidRPr="00172472">
        <w:rPr>
          <w:rFonts w:eastAsia="Calibri"/>
          <w:sz w:val="26"/>
          <w:szCs w:val="26"/>
          <w:lang w:eastAsia="en-US"/>
        </w:rPr>
        <w:t xml:space="preserve"> ofrece más detalles sobre el trasfondo y la interpretación de estos indicadores.  </w:t>
      </w:r>
    </w:p>
    <w:p w14:paraId="29D295CD" w14:textId="77777777" w:rsidR="00635C7F" w:rsidRPr="00172472" w:rsidRDefault="00635C7F" w:rsidP="00172472">
      <w:pPr>
        <w:spacing w:after="360" w:line="360" w:lineRule="auto"/>
        <w:ind w:right="-159"/>
        <w:jc w:val="both"/>
        <w:rPr>
          <w:rFonts w:eastAsia="Calibri"/>
          <w:sz w:val="26"/>
          <w:szCs w:val="26"/>
          <w:lang w:eastAsia="en-US"/>
        </w:rPr>
      </w:pPr>
    </w:p>
    <w:p w14:paraId="3CEB2B44" w14:textId="77777777" w:rsidR="00172472" w:rsidRPr="00172472" w:rsidRDefault="00172472" w:rsidP="005061B6">
      <w:pPr>
        <w:spacing w:after="360"/>
        <w:ind w:right="-159"/>
        <w:jc w:val="both"/>
        <w:rPr>
          <w:rFonts w:eastAsia="Calibri"/>
          <w:b/>
          <w:sz w:val="26"/>
          <w:szCs w:val="26"/>
          <w:lang w:eastAsia="en-US"/>
        </w:rPr>
      </w:pPr>
      <w:r w:rsidRPr="00172472">
        <w:rPr>
          <w:rFonts w:eastAsia="Calibri"/>
          <w:b/>
          <w:sz w:val="26"/>
          <w:szCs w:val="26"/>
          <w:lang w:eastAsia="en-US"/>
        </w:rPr>
        <w:lastRenderedPageBreak/>
        <w:t xml:space="preserve">Los flujos mundiales de crédito siguen fuertes a medida que se reactiva el crédito bancario </w:t>
      </w:r>
    </w:p>
    <w:p w14:paraId="63EA877D"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Los flujos de crédito mundiales, que incluyen el préstamo bancario internacional y la emisión de títulos de deuda internacionales, permanecieron fuertes durante el tercer trimestre de 2014, aunque todavía por debajo de sus niveles pre-crisis (Gráfica siguiente).</w:t>
      </w:r>
    </w:p>
    <w:tbl>
      <w:tblPr>
        <w:tblW w:w="0" w:type="auto"/>
        <w:tblBorders>
          <w:insideV w:val="single" w:sz="4" w:space="0" w:color="auto"/>
        </w:tblBorders>
        <w:tblLook w:val="04A0" w:firstRow="1" w:lastRow="0" w:firstColumn="1" w:lastColumn="0" w:noHBand="0" w:noVBand="1"/>
      </w:tblPr>
      <w:tblGrid>
        <w:gridCol w:w="8840"/>
      </w:tblGrid>
      <w:tr w:rsidR="00172472" w:rsidRPr="00172472" w14:paraId="5F0DA51B" w14:textId="77777777" w:rsidTr="00635C7F">
        <w:tc>
          <w:tcPr>
            <w:tcW w:w="8840" w:type="dxa"/>
          </w:tcPr>
          <w:p w14:paraId="7717B96E"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 xml:space="preserve">ACTIVOS BANCARIOS INTERNACIONALES, TÍTULOS DE DEUDA INTERNACIONALES Y VOLATILIDAD </w:t>
            </w:r>
          </w:p>
          <w:p w14:paraId="6431A180" w14:textId="77777777" w:rsidR="00172472" w:rsidRPr="00172472" w:rsidRDefault="00172472" w:rsidP="00172472">
            <w:pPr>
              <w:jc w:val="center"/>
              <w:rPr>
                <w:rFonts w:eastAsia="Calibri"/>
                <w:b/>
                <w:sz w:val="22"/>
                <w:szCs w:val="26"/>
                <w:lang w:eastAsia="en-US"/>
              </w:rPr>
            </w:pPr>
            <w:r w:rsidRPr="00172472">
              <w:rPr>
                <w:rFonts w:eastAsia="Calibri"/>
                <w:b/>
                <w:sz w:val="22"/>
                <w:szCs w:val="26"/>
                <w:lang w:eastAsia="en-US"/>
              </w:rPr>
              <w:t>Crecimiento interanual, en porcentaje</w:t>
            </w:r>
          </w:p>
        </w:tc>
      </w:tr>
      <w:tr w:rsidR="00172472" w:rsidRPr="00172472" w14:paraId="466BDAD3" w14:textId="77777777" w:rsidTr="00635C7F">
        <w:tc>
          <w:tcPr>
            <w:tcW w:w="8840" w:type="dxa"/>
          </w:tcPr>
          <w:p w14:paraId="2983F572" w14:textId="77777777" w:rsidR="00172472" w:rsidRPr="00172472" w:rsidRDefault="00172472" w:rsidP="00172472">
            <w:pPr>
              <w:jc w:val="both"/>
              <w:rPr>
                <w:rFonts w:eastAsia="Calibri"/>
                <w:sz w:val="20"/>
                <w:szCs w:val="26"/>
                <w:lang w:eastAsia="en-US"/>
              </w:rPr>
            </w:pPr>
            <w:r w:rsidRPr="00172472">
              <w:rPr>
                <w:rFonts w:eastAsia="Calibri"/>
                <w:noProof/>
                <w:sz w:val="20"/>
                <w:szCs w:val="26"/>
                <w:lang w:eastAsia="es-MX"/>
              </w:rPr>
              <w:drawing>
                <wp:inline distT="0" distB="0" distL="0" distR="0" wp14:anchorId="5CC00CC8" wp14:editId="4EB7438D">
                  <wp:extent cx="5555654" cy="4140000"/>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555654" cy="4140000"/>
                          </a:xfrm>
                          <a:prstGeom prst="rect">
                            <a:avLst/>
                          </a:prstGeom>
                          <a:noFill/>
                          <a:ln>
                            <a:noFill/>
                          </a:ln>
                        </pic:spPr>
                      </pic:pic>
                    </a:graphicData>
                  </a:graphic>
                </wp:inline>
              </w:drawing>
            </w:r>
          </w:p>
        </w:tc>
      </w:tr>
      <w:tr w:rsidR="00172472" w:rsidRPr="00172472" w14:paraId="650CFF3B" w14:textId="77777777" w:rsidTr="00635C7F">
        <w:tc>
          <w:tcPr>
            <w:tcW w:w="8840" w:type="dxa"/>
          </w:tcPr>
          <w:p w14:paraId="32B6A446"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Incluye el crédito transfronterizo y el crédito local en moneda extranjera concedido por todos los bancos declarantes al BPI.</w:t>
            </w:r>
          </w:p>
          <w:p w14:paraId="23C8E02E" w14:textId="77777777" w:rsidR="00172472" w:rsidRPr="00172472" w:rsidRDefault="00172472" w:rsidP="00172472">
            <w:pPr>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Emisión neta. Toda la gama de instrumentos, vencimientos y emisores. </w:t>
            </w:r>
          </w:p>
          <w:p w14:paraId="6C4D1AE0" w14:textId="77777777" w:rsidR="00172472" w:rsidRPr="00172472" w:rsidRDefault="00172472" w:rsidP="00172472">
            <w:pPr>
              <w:ind w:left="964" w:hanging="964"/>
              <w:jc w:val="both"/>
              <w:rPr>
                <w:rFonts w:eastAsia="Calibri"/>
                <w:sz w:val="20"/>
                <w:szCs w:val="26"/>
                <w:lang w:eastAsia="en-US"/>
              </w:rPr>
            </w:pPr>
            <w:r w:rsidRPr="00172472">
              <w:rPr>
                <w:rFonts w:eastAsia="Calibri"/>
                <w:sz w:val="20"/>
                <w:szCs w:val="26"/>
                <w:lang w:eastAsia="en-US"/>
              </w:rPr>
              <w:t xml:space="preserve">FUENTE: </w:t>
            </w:r>
            <w:r w:rsidRPr="00172472">
              <w:rPr>
                <w:rFonts w:eastAsia="Calibri"/>
                <w:i/>
                <w:sz w:val="20"/>
                <w:szCs w:val="26"/>
                <w:lang w:eastAsia="en-US"/>
              </w:rPr>
              <w:t>Bloomberg; Dealogic; Euroclear; Thomson Reuters; Xtrakter Ltd</w:t>
            </w:r>
            <w:r w:rsidRPr="00172472">
              <w:rPr>
                <w:rFonts w:eastAsia="Calibri"/>
                <w:sz w:val="20"/>
                <w:szCs w:val="26"/>
                <w:lang w:eastAsia="en-US"/>
              </w:rPr>
              <w:t>; estadísticas bancarias territoriales del BPI por país de residencia; cálculos del BPI.</w:t>
            </w:r>
          </w:p>
        </w:tc>
      </w:tr>
    </w:tbl>
    <w:p w14:paraId="3EA85E04" w14:textId="77777777" w:rsidR="00172472" w:rsidRPr="00172472" w:rsidRDefault="00172472" w:rsidP="00172472">
      <w:pPr>
        <w:spacing w:after="360" w:line="360" w:lineRule="auto"/>
        <w:ind w:right="-159"/>
        <w:jc w:val="both"/>
        <w:rPr>
          <w:rFonts w:eastAsia="Calibri"/>
          <w:sz w:val="26"/>
          <w:szCs w:val="26"/>
          <w:lang w:eastAsia="en-US"/>
        </w:rPr>
      </w:pPr>
    </w:p>
    <w:p w14:paraId="5C2B824A"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El patrón histórico conforme por el que los activos bancarios internacionales tienden a aumentar en términos agregados cuando la volatilidad de mercado es baja o se está reduciendo parece haberse confirmado en el transcurso de 2014 (Gráfica anterior, panel superior). Solo se conocerá el pleno impacto del incremento de la volatilidad de mercado acercándose a sus promedios históricos a finales de 2014 y primeros meses de 2015 cuando estén disponibles los datos bancarios para esos períodos BPI Informe Trimestral, marzo de 2015 cuando estén disponibles los datos bancarios para esos períodos</w:t>
      </w:r>
      <w:r w:rsidRPr="00172472">
        <w:rPr>
          <w:rFonts w:eastAsia="Calibri"/>
          <w:sz w:val="26"/>
          <w:szCs w:val="26"/>
          <w:vertAlign w:val="superscript"/>
          <w:lang w:eastAsia="en-US"/>
        </w:rPr>
        <w:footnoteReference w:id="52"/>
      </w:r>
      <w:r w:rsidRPr="00172472">
        <w:rPr>
          <w:rFonts w:eastAsia="Calibri"/>
          <w:sz w:val="26"/>
          <w:szCs w:val="26"/>
          <w:lang w:eastAsia="en-US"/>
        </w:rPr>
        <w:t xml:space="preserve">. Sin embargo, los datos preliminares del mercado de préstamos sindicados apuntan a que el crédito bancario internacional se mantuvo fuerte durante el cuarto trimestre.  </w:t>
      </w:r>
    </w:p>
    <w:p w14:paraId="0C322BA0"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En paralelo a la recuperación del crédito bancario, los títulos de deuda han seguido siendo un importante canal para el flujo crediticio mundial (Gráfica anterior, panel inferior). En 2014, la emisión acumulada de títulos de deuda internacionales, neta de amortizaciones, ascendió a 178 mil millones de dólares en las economías avanzadas y 359 mil millones de dólares en las economías emergentes (Gráfica </w:t>
      </w:r>
      <w:r w:rsidRPr="00172472">
        <w:rPr>
          <w:rFonts w:eastAsia="Calibri"/>
          <w:i/>
          <w:sz w:val="26"/>
          <w:szCs w:val="26"/>
          <w:lang w:eastAsia="en-US"/>
        </w:rPr>
        <w:t>Títulos de deuda internacionales</w:t>
      </w:r>
      <w:r w:rsidRPr="00172472">
        <w:rPr>
          <w:rFonts w:eastAsia="Calibri"/>
          <w:sz w:val="26"/>
          <w:szCs w:val="26"/>
          <w:lang w:eastAsia="en-US"/>
        </w:rPr>
        <w:t>, paneles inferiores)</w:t>
      </w:r>
      <w:r w:rsidRPr="00172472">
        <w:rPr>
          <w:rFonts w:eastAsia="Calibri"/>
          <w:sz w:val="26"/>
          <w:szCs w:val="26"/>
          <w:vertAlign w:val="superscript"/>
          <w:lang w:eastAsia="en-US"/>
        </w:rPr>
        <w:footnoteReference w:id="53"/>
      </w:r>
      <w:r w:rsidRPr="00172472">
        <w:rPr>
          <w:rFonts w:eastAsia="Calibri"/>
          <w:sz w:val="26"/>
          <w:szCs w:val="26"/>
          <w:lang w:eastAsia="en-US"/>
        </w:rPr>
        <w:t xml:space="preserve">. </w:t>
      </w:r>
    </w:p>
    <w:p w14:paraId="7BC04B53" w14:textId="0EC99232"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Si consideramos el crédito agregado en un sentido más amplio, el crecimiento del crédito (a través de bancos y mercados de títulos, pero excluyendo flujos interbancarios) a no residentes denominado en dólares y euros respectivamente continuó superando el crecimiento del crédito a residentes de las respectivas zonas monetarias (Gráfica siguiente, paneles derechos). Por primera vez desde 2011, el préstamo bancario en dólares estadounidenses a sectores no financieros fuera de Estados Unidos de </w:t>
      </w:r>
      <w:r w:rsidRPr="00172472">
        <w:rPr>
          <w:rFonts w:eastAsia="Calibri"/>
          <w:sz w:val="26"/>
          <w:szCs w:val="26"/>
          <w:lang w:eastAsia="en-US"/>
        </w:rPr>
        <w:lastRenderedPageBreak/>
        <w:t xml:space="preserve">Norteamérica creció más rápido que el crédito a no residentes mediante emisión de títulos de deuda internacionales, lo que indicaría una reactivación sostenida de la activdad de los bancos que operan a nivel mundial.  </w:t>
      </w:r>
    </w:p>
    <w:tbl>
      <w:tblPr>
        <w:tblW w:w="0" w:type="auto"/>
        <w:tblBorders>
          <w:insideV w:val="single" w:sz="4" w:space="0" w:color="auto"/>
        </w:tblBorders>
        <w:tblLook w:val="04A0" w:firstRow="1" w:lastRow="0" w:firstColumn="1" w:lastColumn="0" w:noHBand="0" w:noVBand="1"/>
      </w:tblPr>
      <w:tblGrid>
        <w:gridCol w:w="8840"/>
      </w:tblGrid>
      <w:tr w:rsidR="00172472" w:rsidRPr="00172472" w14:paraId="54FCEB0B" w14:textId="77777777" w:rsidTr="00635C7F">
        <w:tc>
          <w:tcPr>
            <w:tcW w:w="8840" w:type="dxa"/>
          </w:tcPr>
          <w:p w14:paraId="1FA69709" w14:textId="77777777" w:rsidR="00172472" w:rsidRPr="00172472" w:rsidRDefault="00172472" w:rsidP="00172472">
            <w:pPr>
              <w:jc w:val="center"/>
              <w:rPr>
                <w:rFonts w:eastAsia="Calibri"/>
                <w:b/>
                <w:sz w:val="22"/>
                <w:szCs w:val="26"/>
                <w:lang w:eastAsia="en-US"/>
              </w:rPr>
            </w:pPr>
            <w:r w:rsidRPr="00172472">
              <w:rPr>
                <w:rFonts w:eastAsia="Calibri"/>
                <w:b/>
                <w:sz w:val="20"/>
                <w:szCs w:val="26"/>
                <w:lang w:eastAsia="en-US"/>
              </w:rPr>
              <w:t>CRÉDITO MUNDIAL EN DÓLARES DE ESTADOS UNIDOS DE NORTEAMÉRICA Y EN EUROS AL SECTOR NO FINANCIERO</w:t>
            </w:r>
          </w:p>
        </w:tc>
      </w:tr>
      <w:tr w:rsidR="00172472" w:rsidRPr="00172472" w14:paraId="5E19B807" w14:textId="77777777" w:rsidTr="00635C7F">
        <w:tc>
          <w:tcPr>
            <w:tcW w:w="8840" w:type="dxa"/>
          </w:tcPr>
          <w:p w14:paraId="05D1D65F" w14:textId="77777777" w:rsidR="00172472" w:rsidRPr="00172472" w:rsidRDefault="00172472" w:rsidP="00172472">
            <w:pPr>
              <w:jc w:val="both"/>
              <w:rPr>
                <w:rFonts w:eastAsia="Calibri"/>
                <w:sz w:val="20"/>
                <w:szCs w:val="26"/>
                <w:lang w:eastAsia="en-US"/>
              </w:rPr>
            </w:pPr>
            <w:r w:rsidRPr="00172472">
              <w:rPr>
                <w:rFonts w:eastAsia="Calibri"/>
                <w:noProof/>
                <w:sz w:val="20"/>
                <w:szCs w:val="26"/>
                <w:lang w:eastAsia="es-MX"/>
              </w:rPr>
              <w:drawing>
                <wp:inline distT="0" distB="0" distL="0" distR="0" wp14:anchorId="67A74B77" wp14:editId="18070CDE">
                  <wp:extent cx="5516153" cy="21240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516153" cy="2124000"/>
                          </a:xfrm>
                          <a:prstGeom prst="rect">
                            <a:avLst/>
                          </a:prstGeom>
                          <a:noFill/>
                          <a:ln>
                            <a:noFill/>
                          </a:ln>
                        </pic:spPr>
                      </pic:pic>
                    </a:graphicData>
                  </a:graphic>
                </wp:inline>
              </w:drawing>
            </w:r>
          </w:p>
        </w:tc>
      </w:tr>
      <w:tr w:rsidR="00172472" w:rsidRPr="00172472" w14:paraId="27105EDE" w14:textId="77777777" w:rsidTr="00635C7F">
        <w:tc>
          <w:tcPr>
            <w:tcW w:w="8840" w:type="dxa"/>
          </w:tcPr>
          <w:p w14:paraId="1BB5C341" w14:textId="77777777" w:rsidR="00172472" w:rsidRPr="00172472" w:rsidRDefault="00172472" w:rsidP="00172472">
            <w:pPr>
              <w:ind w:left="227" w:hanging="227"/>
              <w:jc w:val="both"/>
              <w:rPr>
                <w:rFonts w:eastAsia="Calibri"/>
                <w:sz w:val="20"/>
                <w:szCs w:val="26"/>
                <w:lang w:eastAsia="en-US"/>
              </w:rPr>
            </w:pPr>
            <w:r w:rsidRPr="00172472">
              <w:rPr>
                <w:rFonts w:eastAsia="Calibri"/>
                <w:noProof/>
                <w:sz w:val="20"/>
                <w:szCs w:val="26"/>
                <w:lang w:eastAsia="es-MX"/>
              </w:rPr>
              <w:drawing>
                <wp:inline distT="0" distB="0" distL="0" distR="0" wp14:anchorId="6185650E" wp14:editId="5582C411">
                  <wp:extent cx="5528015" cy="22680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528015" cy="2268000"/>
                          </a:xfrm>
                          <a:prstGeom prst="rect">
                            <a:avLst/>
                          </a:prstGeom>
                        </pic:spPr>
                      </pic:pic>
                    </a:graphicData>
                  </a:graphic>
                </wp:inline>
              </w:drawing>
            </w:r>
          </w:p>
        </w:tc>
      </w:tr>
      <w:tr w:rsidR="00172472" w:rsidRPr="00172472" w14:paraId="2793F173" w14:textId="77777777" w:rsidTr="00635C7F">
        <w:tc>
          <w:tcPr>
            <w:tcW w:w="8840" w:type="dxa"/>
          </w:tcPr>
          <w:p w14:paraId="3A1444B7"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EEUU: Estados Unidos de Norteamérica.</w:t>
            </w:r>
          </w:p>
          <w:p w14:paraId="369CE0B2"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A tipos de cambio constantes a finales de T3 2014.    </w:t>
            </w:r>
          </w:p>
          <w:p w14:paraId="3B64D9B1" w14:textId="77777777" w:rsidR="00172472" w:rsidRPr="00172472" w:rsidRDefault="00172472" w:rsidP="00172472">
            <w:pPr>
              <w:ind w:left="284" w:hanging="284"/>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Crédito al sector no financiero de Estados Unidos de Norteamérica/zona del euro según cuentas financieras, excluido crédito a prestatarios en monedas distintas de la moneda local (es decir, préstamos transfronterizos y locales, y bonos internacionales en circulación, en monedas distintas de la moneda local).    </w:t>
            </w:r>
          </w:p>
          <w:p w14:paraId="27002AA7" w14:textId="77777777" w:rsidR="00172472" w:rsidRPr="00172472" w:rsidRDefault="00172472" w:rsidP="00172472">
            <w:pPr>
              <w:ind w:left="284" w:hanging="284"/>
              <w:jc w:val="both"/>
              <w:rPr>
                <w:rFonts w:eastAsia="Calibri"/>
                <w:sz w:val="20"/>
                <w:szCs w:val="26"/>
                <w:lang w:eastAsia="en-US"/>
              </w:rPr>
            </w:pPr>
            <w:r w:rsidRPr="00172472">
              <w:rPr>
                <w:rFonts w:eastAsia="Calibri"/>
                <w:sz w:val="20"/>
                <w:szCs w:val="26"/>
                <w:u w:val="single"/>
                <w:lang w:eastAsia="en-US"/>
              </w:rPr>
              <w:t>3</w:t>
            </w:r>
            <w:r w:rsidRPr="00172472">
              <w:rPr>
                <w:rFonts w:eastAsia="Calibri"/>
                <w:sz w:val="20"/>
                <w:szCs w:val="26"/>
                <w:lang w:eastAsia="en-US"/>
              </w:rPr>
              <w:t xml:space="preserve">/ Préstamos transfronterizos y locales a entidades no bancarias fuera de Estados Unidos de Norteamérica/zona del euro. Para China y Hong Kong RAE, los préstamos locales se basan en datos nacionales sobre préstamo local total en moneda extranjera, bajo el supuesto de que el 80% se denomina en dólares de Estados Unidos de Norteamérica. Para otros países no declarantes al BPI, los préstamos locales en USD/EUR a entidades no bancarias se aproximan mediante los préstamos transfronterizos brutos en USD/EUR concedidos por todos los bancos declarantes al BPI a bancos dentro del país, bajo el supuesto de que estos fondos se conceden después a entidades no bancarias. </w:t>
            </w:r>
          </w:p>
          <w:p w14:paraId="4C7109DB" w14:textId="77777777" w:rsidR="00172472" w:rsidRPr="00172472" w:rsidRDefault="00172472" w:rsidP="00172472">
            <w:pPr>
              <w:ind w:left="907" w:hanging="907"/>
              <w:jc w:val="both"/>
              <w:rPr>
                <w:rFonts w:eastAsia="Calibri"/>
                <w:sz w:val="20"/>
                <w:szCs w:val="26"/>
                <w:lang w:eastAsia="en-US"/>
              </w:rPr>
            </w:pPr>
            <w:r w:rsidRPr="00172472">
              <w:rPr>
                <w:rFonts w:eastAsia="Calibri"/>
                <w:sz w:val="20"/>
                <w:szCs w:val="26"/>
                <w:lang w:eastAsia="en-US"/>
              </w:rPr>
              <w:t xml:space="preserve">FUENTE: FMI, Estadísticas Financieras Internacionales; </w:t>
            </w:r>
            <w:r w:rsidRPr="00172472">
              <w:rPr>
                <w:rFonts w:eastAsia="Calibri"/>
                <w:i/>
                <w:sz w:val="20"/>
                <w:szCs w:val="26"/>
                <w:lang w:eastAsia="en-US"/>
              </w:rPr>
              <w:t>Datastream</w:t>
            </w:r>
            <w:r w:rsidRPr="00172472">
              <w:rPr>
                <w:rFonts w:eastAsia="Calibri"/>
                <w:sz w:val="20"/>
                <w:szCs w:val="26"/>
                <w:lang w:eastAsia="en-US"/>
              </w:rPr>
              <w:t>; estadísticas del BPI sobre títulos de deuda y estadísticas bancarias territoriales del BPI por país de residencia</w:t>
            </w:r>
            <w:r w:rsidRPr="00172472">
              <w:rPr>
                <w:rFonts w:eastAsia="Calibri"/>
                <w:i/>
                <w:sz w:val="20"/>
                <w:szCs w:val="26"/>
                <w:lang w:eastAsia="en-US"/>
              </w:rPr>
              <w:t>.</w:t>
            </w:r>
          </w:p>
        </w:tc>
      </w:tr>
    </w:tbl>
    <w:p w14:paraId="71A288EA" w14:textId="77777777" w:rsidR="00172472" w:rsidRPr="00172472" w:rsidRDefault="00172472" w:rsidP="00172472">
      <w:pPr>
        <w:spacing w:after="360" w:line="360" w:lineRule="auto"/>
        <w:ind w:right="-159"/>
        <w:jc w:val="both"/>
        <w:rPr>
          <w:rFonts w:eastAsia="Calibri"/>
          <w:sz w:val="26"/>
          <w:szCs w:val="26"/>
          <w:lang w:eastAsia="en-US"/>
        </w:rPr>
      </w:pPr>
    </w:p>
    <w:p w14:paraId="036B656F"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A finales de septiembre de 2014, el crédito en dólares estadounidenses a entidades no financieras de fuera de Estados Unidos de Norteamérica alcanzó 7.3 billones de dólares, lo que supone un 9% más con respecto a un año antes (Gráfica anterior, paneles superiores). Los préstamos bancarios en dólares a entidades no financieras no estadounidenses aumentaron un 9.7% en los doce meses que van hasta septiembre de 2014, hasta situarse en 4.9 billones de dólares, mientras que los títulos emitidos por estos prestatarios crecieron un 8.6% hasta los 2.4 billones de dólares. Si se incluye el crédito a entidades financieras no bancarias, el total se sitúa en 9.2 billones de dólares</w:t>
      </w:r>
      <w:r w:rsidRPr="00172472">
        <w:rPr>
          <w:rFonts w:eastAsia="Calibri"/>
          <w:sz w:val="26"/>
          <w:szCs w:val="26"/>
          <w:vertAlign w:val="superscript"/>
          <w:lang w:eastAsia="en-US"/>
        </w:rPr>
        <w:footnoteReference w:id="54"/>
      </w:r>
      <w:r w:rsidRPr="00172472">
        <w:rPr>
          <w:rFonts w:eastAsia="Calibri"/>
          <w:sz w:val="26"/>
          <w:szCs w:val="26"/>
          <w:lang w:eastAsia="en-US"/>
        </w:rPr>
        <w:t xml:space="preserve">. Esta última cifra tal vez refleje mejor la situación del crédito en dólares estadounidenses a no residentes, ya que muchas de estas entidades financieras no bancarias proporcionan financiamiento en dólares directamente a empresas no financieras. </w:t>
      </w:r>
    </w:p>
    <w:p w14:paraId="4A1F0081"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El crédito en euros a entidades no financieras fuera de la zona del euro alcanzó un total de 2.3 billones de dólares, es decir, se incrementó un 8.5% respecto del nivel registrado un año antes (Gráfica anterior, paneles inferiores). El crédito bancario en euros a entidades no bancarias fuera de la zona aumentó un 5% interanual hasta situarse en     1.3 billones de euros. Este fue el segundo trimestre consecutivo de crecimiento del crédito bancario denominado en euros dirigido a no residentes distintos de bancos, tras cuatro trimestres de descensos.</w:t>
      </w:r>
    </w:p>
    <w:p w14:paraId="22634303" w14:textId="77777777" w:rsid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Junto con el crecimiento del crédito local y transfronterizo, la emisión de capital ha tomado fuerza en las economías avanzadas en los últimos años, aunque, al menos en Estados Unidos de Norteamérica, esto se ha visto compensado por un incremento de la recompra de acciones propias (véase el Recuadro </w:t>
      </w:r>
      <w:r w:rsidRPr="00172472">
        <w:rPr>
          <w:rFonts w:eastAsia="Calibri"/>
          <w:i/>
          <w:sz w:val="26"/>
          <w:szCs w:val="26"/>
          <w:lang w:eastAsia="en-US"/>
        </w:rPr>
        <w:t>Ampliación de capital y recompra de acciones propias</w:t>
      </w:r>
      <w:r w:rsidRPr="00172472">
        <w:rPr>
          <w:rFonts w:eastAsia="Calibri"/>
          <w:sz w:val="26"/>
          <w:szCs w:val="26"/>
          <w:lang w:eastAsia="en-US"/>
        </w:rPr>
        <w:t xml:space="preserve">). </w:t>
      </w:r>
    </w:p>
    <w:p w14:paraId="550E7E04"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Volviendo a los flujos bancarios agregados, la actividad bancaria internacional (incluido el mercado interbancario) comenzó a crecer en el primer trimestre de 2014 y continuó su expansión en el segundo y tercero (Gráfica siguiente, panel izquierdo)</w:t>
      </w:r>
      <w:r w:rsidRPr="00172472">
        <w:rPr>
          <w:rFonts w:eastAsia="Calibri"/>
          <w:sz w:val="26"/>
          <w:szCs w:val="26"/>
          <w:vertAlign w:val="superscript"/>
          <w:lang w:eastAsia="en-US"/>
        </w:rPr>
        <w:footnoteReference w:id="55"/>
      </w:r>
      <w:r w:rsidRPr="00172472">
        <w:rPr>
          <w:rFonts w:eastAsia="Calibri"/>
          <w:sz w:val="26"/>
          <w:szCs w:val="26"/>
          <w:lang w:eastAsia="en-US"/>
        </w:rPr>
        <w:t xml:space="preserve">. Los activos transfronterizos de los bancos a nivel mundial frente a todos los sectores crecieron 494 mil millones de dólares entre finales de junio y finales de septiembre de 2014, tras ajustes por rupturas en las series y variaciones de tipo de cambio. En consecuencia, la tasa de crecimiento interanual alcanzó el 5% a finales de septiembre de 2014, desde el 1% de finales de junio del mismo año. El crédito a entidades no bancarias se incrementó al 6%, un ritmo ligeramente más rápido que el del crédito a bancos, que avanzó un 4% (Gráfica siguiente, panel izquierdo).  </w:t>
      </w:r>
    </w:p>
    <w:tbl>
      <w:tblPr>
        <w:tblW w:w="0" w:type="auto"/>
        <w:tblBorders>
          <w:insideV w:val="single" w:sz="4" w:space="0" w:color="auto"/>
        </w:tblBorders>
        <w:tblLook w:val="04A0" w:firstRow="1" w:lastRow="0" w:firstColumn="1" w:lastColumn="0" w:noHBand="0" w:noVBand="1"/>
      </w:tblPr>
      <w:tblGrid>
        <w:gridCol w:w="8840"/>
      </w:tblGrid>
      <w:tr w:rsidR="00172472" w:rsidRPr="00172472" w14:paraId="2FDBD8A6" w14:textId="77777777" w:rsidTr="00EA3974">
        <w:tc>
          <w:tcPr>
            <w:tcW w:w="8828" w:type="dxa"/>
          </w:tcPr>
          <w:p w14:paraId="28053493"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 xml:space="preserve">ACTIVOS TRANSFRONTERIZOS </w:t>
            </w:r>
          </w:p>
          <w:p w14:paraId="6ABEAC10"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-Variación porcentual anual-</w:t>
            </w:r>
            <w:r w:rsidRPr="00172472">
              <w:rPr>
                <w:rFonts w:eastAsia="Calibri"/>
                <w:b/>
                <w:sz w:val="20"/>
                <w:szCs w:val="26"/>
                <w:u w:val="single"/>
                <w:vertAlign w:val="superscript"/>
                <w:lang w:eastAsia="en-US"/>
              </w:rPr>
              <w:t>1</w:t>
            </w:r>
            <w:r w:rsidRPr="00172472">
              <w:rPr>
                <w:rFonts w:eastAsia="Calibri"/>
                <w:b/>
                <w:sz w:val="20"/>
                <w:szCs w:val="26"/>
                <w:vertAlign w:val="superscript"/>
                <w:lang w:eastAsia="en-US"/>
              </w:rPr>
              <w:t>/</w:t>
            </w:r>
          </w:p>
        </w:tc>
      </w:tr>
      <w:tr w:rsidR="00172472" w:rsidRPr="00172472" w14:paraId="1BF041AF" w14:textId="77777777" w:rsidTr="00EA3974">
        <w:tc>
          <w:tcPr>
            <w:tcW w:w="8828" w:type="dxa"/>
          </w:tcPr>
          <w:p w14:paraId="2013354B" w14:textId="77777777" w:rsidR="00172472" w:rsidRPr="00172472" w:rsidRDefault="00172472" w:rsidP="00172472">
            <w:pPr>
              <w:jc w:val="both"/>
              <w:rPr>
                <w:rFonts w:eastAsia="Calibri"/>
                <w:sz w:val="20"/>
                <w:szCs w:val="26"/>
                <w:lang w:eastAsia="en-US"/>
              </w:rPr>
            </w:pPr>
            <w:r w:rsidRPr="00172472">
              <w:rPr>
                <w:rFonts w:eastAsia="Calibri"/>
                <w:noProof/>
                <w:sz w:val="20"/>
                <w:szCs w:val="26"/>
                <w:lang w:eastAsia="es-MX"/>
              </w:rPr>
              <w:drawing>
                <wp:inline distT="0" distB="0" distL="0" distR="0" wp14:anchorId="14A8B54B" wp14:editId="273FAE0D">
                  <wp:extent cx="5607050" cy="21399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607050" cy="2139950"/>
                          </a:xfrm>
                          <a:prstGeom prst="rect">
                            <a:avLst/>
                          </a:prstGeom>
                          <a:noFill/>
                          <a:ln>
                            <a:noFill/>
                          </a:ln>
                        </pic:spPr>
                      </pic:pic>
                    </a:graphicData>
                  </a:graphic>
                </wp:inline>
              </w:drawing>
            </w:r>
          </w:p>
        </w:tc>
      </w:tr>
      <w:tr w:rsidR="00172472" w:rsidRPr="00172472" w14:paraId="7D9E5846" w14:textId="77777777" w:rsidTr="00EA3974">
        <w:tc>
          <w:tcPr>
            <w:tcW w:w="8828" w:type="dxa"/>
          </w:tcPr>
          <w:p w14:paraId="6B149C55"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USD: Dólares.</w:t>
            </w:r>
          </w:p>
          <w:p w14:paraId="10BE46D8"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Calculada como la suma de las variaciones ajustadas en función de tipos de cambio y rupturas de las series durante los cuatro trimestres previos, dividida por la cantidad en circulación un año antes.    </w:t>
            </w:r>
          </w:p>
          <w:p w14:paraId="6EB0778D"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Incluye posiciones de los bancos frente a sus propias oficinas. Los activos frente a bancos se calculan como el total de activos menos los activos frente a entidades no bancarias; así pues, incluyen activos no atribuidos por sector de la contraparte.</w:t>
            </w:r>
          </w:p>
          <w:p w14:paraId="02E74713" w14:textId="77777777" w:rsidR="00172472" w:rsidRPr="00172472" w:rsidRDefault="00172472" w:rsidP="00172472">
            <w:pPr>
              <w:ind w:left="907" w:hanging="907"/>
              <w:jc w:val="both"/>
              <w:rPr>
                <w:rFonts w:eastAsia="Calibri"/>
                <w:sz w:val="20"/>
                <w:szCs w:val="26"/>
                <w:lang w:eastAsia="en-US"/>
              </w:rPr>
            </w:pPr>
            <w:r w:rsidRPr="00172472">
              <w:rPr>
                <w:rFonts w:eastAsia="Calibri"/>
                <w:sz w:val="20"/>
                <w:szCs w:val="26"/>
                <w:lang w:eastAsia="en-US"/>
              </w:rPr>
              <w:t>FUENTE: Estadísticas bancarias territoriales del BPI por país de residencia (Cuadros 1, 5A, 6A y 6B).</w:t>
            </w:r>
          </w:p>
        </w:tc>
      </w:tr>
    </w:tbl>
    <w:p w14:paraId="1F55D2CD"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 xml:space="preserve">El crédito transfronterizo a todos los prestatarios (bancos y no bancos) de economías avanzadas aumentó un 3%, y el dirigido a las EME lo hizo a una tasa del 11% en los doces meses hasta septiembre de 2014 (Gráfica siguiente, primer panel). Dado que las primeras aún representan el grueso del total, el reciente aumento de los activos transfronterizos globales sigue estando muy por debajo del ritmo registrado antes de la crisis. En los doces meses que van hasta septiembre de 2007, el crédito transfronterizo a las economías avanzadas creció un 22% (en términos ajustados por el tipo de cambio) y el dirigido a las EME un 33%. El volumen en vigor de activos transfronterizos frente a economías avanzadas, que en septiembre de 2014 se situaba en 21.1 billones de dólares, continúa por debajo de los 28.4 billones registrados en el primer trimestre de 2008. En cambio, los activos frente a mercados emergentes se sitúan ahora muy por encima de sus niveles precrisis. En septiembre de 2014 alcanzaron los 3.9 billones de dólares, frete a los 2.7 billones de dólares registrados en primer trimestre de 2008. </w:t>
      </w:r>
    </w:p>
    <w:tbl>
      <w:tblPr>
        <w:tblW w:w="0" w:type="auto"/>
        <w:tblBorders>
          <w:insideV w:val="single" w:sz="4" w:space="0" w:color="auto"/>
        </w:tblBorders>
        <w:tblLook w:val="04A0" w:firstRow="1" w:lastRow="0" w:firstColumn="1" w:lastColumn="0" w:noHBand="0" w:noVBand="1"/>
      </w:tblPr>
      <w:tblGrid>
        <w:gridCol w:w="8840"/>
      </w:tblGrid>
      <w:tr w:rsidR="00172472" w:rsidRPr="00172472" w14:paraId="52A7B722" w14:textId="77777777" w:rsidTr="00EA3974">
        <w:tc>
          <w:tcPr>
            <w:tcW w:w="8828" w:type="dxa"/>
          </w:tcPr>
          <w:p w14:paraId="3A84D319"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ACTIVOS TRANSFRONTERIZOS, POR PAÍS DE RESIDENCIA DEL PRESTATARIO</w:t>
            </w:r>
          </w:p>
          <w:p w14:paraId="14A32AA5"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-Variación porcentual anual-</w:t>
            </w:r>
            <w:r w:rsidRPr="00172472">
              <w:rPr>
                <w:rFonts w:eastAsia="Calibri"/>
                <w:b/>
                <w:sz w:val="20"/>
                <w:szCs w:val="26"/>
                <w:u w:val="single"/>
                <w:vertAlign w:val="superscript"/>
                <w:lang w:eastAsia="en-US"/>
              </w:rPr>
              <w:t>1</w:t>
            </w:r>
            <w:r w:rsidRPr="00172472">
              <w:rPr>
                <w:rFonts w:eastAsia="Calibri"/>
                <w:b/>
                <w:sz w:val="20"/>
                <w:szCs w:val="26"/>
                <w:vertAlign w:val="superscript"/>
                <w:lang w:eastAsia="en-US"/>
              </w:rPr>
              <w:t>/</w:t>
            </w:r>
          </w:p>
        </w:tc>
      </w:tr>
      <w:tr w:rsidR="00172472" w:rsidRPr="00172472" w14:paraId="5E28E19F" w14:textId="77777777" w:rsidTr="00EA3974">
        <w:tc>
          <w:tcPr>
            <w:tcW w:w="8828" w:type="dxa"/>
          </w:tcPr>
          <w:p w14:paraId="0729803A" w14:textId="77777777" w:rsidR="00172472" w:rsidRPr="00172472" w:rsidRDefault="00172472" w:rsidP="00172472">
            <w:pPr>
              <w:jc w:val="both"/>
              <w:rPr>
                <w:rFonts w:eastAsia="Calibri"/>
                <w:sz w:val="20"/>
                <w:szCs w:val="26"/>
                <w:lang w:eastAsia="en-US"/>
              </w:rPr>
            </w:pPr>
            <w:r w:rsidRPr="00172472">
              <w:rPr>
                <w:rFonts w:eastAsia="Calibri"/>
                <w:noProof/>
                <w:sz w:val="20"/>
                <w:szCs w:val="26"/>
                <w:lang w:eastAsia="es-MX"/>
              </w:rPr>
              <w:drawing>
                <wp:inline distT="0" distB="0" distL="0" distR="0" wp14:anchorId="5104FE37" wp14:editId="4799677C">
                  <wp:extent cx="5499976" cy="2124000"/>
                  <wp:effectExtent l="0" t="0" r="571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499976" cy="2124000"/>
                          </a:xfrm>
                          <a:prstGeom prst="rect">
                            <a:avLst/>
                          </a:prstGeom>
                          <a:noFill/>
                          <a:ln>
                            <a:noFill/>
                          </a:ln>
                        </pic:spPr>
                      </pic:pic>
                    </a:graphicData>
                  </a:graphic>
                </wp:inline>
              </w:drawing>
            </w:r>
          </w:p>
        </w:tc>
      </w:tr>
      <w:tr w:rsidR="00172472" w:rsidRPr="00172472" w14:paraId="68AA699A" w14:textId="77777777" w:rsidTr="00EA3974">
        <w:tc>
          <w:tcPr>
            <w:tcW w:w="8828" w:type="dxa"/>
          </w:tcPr>
          <w:p w14:paraId="61648593"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Estados Unidos de Norteamérica.</w:t>
            </w:r>
          </w:p>
          <w:p w14:paraId="6865390F"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Calculada como la suma de las variaciones ajustadas en función de tipos de cambio y rupturas de las series durante los cuatro trimestres previos, dividida por la cantidad en circulación un año antes.    </w:t>
            </w:r>
          </w:p>
          <w:p w14:paraId="0E4ADA6E" w14:textId="77777777" w:rsidR="00172472" w:rsidRPr="00172472" w:rsidRDefault="00172472" w:rsidP="00172472">
            <w:pPr>
              <w:ind w:left="907" w:hanging="907"/>
              <w:jc w:val="both"/>
              <w:rPr>
                <w:rFonts w:eastAsia="Calibri"/>
                <w:sz w:val="20"/>
                <w:szCs w:val="26"/>
                <w:lang w:eastAsia="en-US"/>
              </w:rPr>
            </w:pPr>
            <w:r w:rsidRPr="00172472">
              <w:rPr>
                <w:rFonts w:eastAsia="Calibri"/>
                <w:sz w:val="20"/>
                <w:szCs w:val="26"/>
                <w:lang w:eastAsia="en-US"/>
              </w:rPr>
              <w:t>FUENTE: Estadísticas bancarias territoriales del BPI por país de residencia (Cuadros 1, 5A, 6A y 6B).</w:t>
            </w:r>
          </w:p>
        </w:tc>
      </w:tr>
    </w:tbl>
    <w:p w14:paraId="6CA22943" w14:textId="77777777" w:rsidR="00172472" w:rsidRPr="00172472" w:rsidRDefault="00172472" w:rsidP="00172472">
      <w:pPr>
        <w:spacing w:after="360" w:line="360" w:lineRule="auto"/>
        <w:ind w:right="-159"/>
        <w:jc w:val="both"/>
        <w:rPr>
          <w:rFonts w:eastAsia="Calibri"/>
          <w:sz w:val="26"/>
          <w:szCs w:val="26"/>
          <w:lang w:eastAsia="en-US"/>
        </w:rPr>
      </w:pPr>
    </w:p>
    <w:p w14:paraId="2415D3E5"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En línea con la evolución antes mencionada del crédito total en dólares concedido a entidades no bancarias no residentes, la tasa de crecimiento anual del crédito bancario transfronterizo agregado en dólares estadounidenses creció desde el 2% registrado en </w:t>
      </w:r>
      <w:r w:rsidRPr="00172472">
        <w:rPr>
          <w:rFonts w:eastAsia="Calibri"/>
          <w:sz w:val="26"/>
          <w:szCs w:val="26"/>
          <w:lang w:eastAsia="en-US"/>
        </w:rPr>
        <w:lastRenderedPageBreak/>
        <w:t xml:space="preserve">los doce meses hasta finales de junio de 2014, hasta casi el 7% en los doce meses hasta finales de septiembre de 2014 (Gráfica </w:t>
      </w:r>
      <w:r w:rsidRPr="00172472">
        <w:rPr>
          <w:rFonts w:eastAsia="Calibri"/>
          <w:i/>
          <w:sz w:val="26"/>
          <w:szCs w:val="26"/>
          <w:lang w:eastAsia="en-US"/>
        </w:rPr>
        <w:t>Activos transfronterizos</w:t>
      </w:r>
      <w:r w:rsidRPr="00172472">
        <w:rPr>
          <w:rFonts w:eastAsia="Calibri"/>
          <w:sz w:val="26"/>
          <w:szCs w:val="26"/>
          <w:lang w:eastAsia="en-US"/>
        </w:rPr>
        <w:t xml:space="preserve">, panel derecho). Los activos denominados en yenes crecieron incluso más rápido, rozando el 13% interanual en el tercer trimestre, respecto del 9% a finales del segundo. En cambio, los activos denominados en euros prácticamente no experimentaron variaciones, aunque crecieron en términos relativos, dado que en septiembre de 2014 dejaron de disminuir en base anual por primera vez desde 2012. </w:t>
      </w:r>
    </w:p>
    <w:p w14:paraId="746EC909" w14:textId="77777777" w:rsidR="00172472" w:rsidRPr="00172472" w:rsidRDefault="00172472" w:rsidP="00172472">
      <w:pPr>
        <w:ind w:right="-159"/>
        <w:jc w:val="both"/>
        <w:rPr>
          <w:rFonts w:eastAsia="Calibri"/>
          <w:b/>
          <w:sz w:val="26"/>
          <w:szCs w:val="26"/>
          <w:lang w:eastAsia="en-US"/>
        </w:rPr>
      </w:pPr>
      <w:r w:rsidRPr="00172472">
        <w:rPr>
          <w:rFonts w:eastAsia="Calibri"/>
          <w:b/>
          <w:sz w:val="26"/>
          <w:szCs w:val="26"/>
          <w:lang w:eastAsia="en-US"/>
        </w:rPr>
        <w:t xml:space="preserve">Continúan los flujos bancarios hacia Asia, mientras que los dirigidos a otras regiones se quedan atrás </w:t>
      </w:r>
    </w:p>
    <w:p w14:paraId="59235E19" w14:textId="77777777" w:rsidR="00172472" w:rsidRPr="00172472" w:rsidRDefault="00172472" w:rsidP="00172472">
      <w:pPr>
        <w:ind w:right="-159"/>
        <w:jc w:val="both"/>
        <w:rPr>
          <w:rFonts w:eastAsia="Calibri"/>
          <w:b/>
          <w:sz w:val="26"/>
          <w:szCs w:val="26"/>
          <w:lang w:eastAsia="en-US"/>
        </w:rPr>
      </w:pPr>
    </w:p>
    <w:p w14:paraId="3CDDBA6D"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En este contexto global, el flujo de crédito evolucionó de distinta manera entre países y regiones. El nivel de préstamos a Japón y otros países asiáticos se mantuvo fuerte; los flujos hacia las economías avanzadas, incluidos algunos países de la zona del euro, dieron muestras de estar revitalizándose, mientras que los dirigidos a EME no asiáticas fueron por lo general débiles.</w:t>
      </w:r>
    </w:p>
    <w:p w14:paraId="2145BD2B"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Entre las economías avanzadas, destaca la recuperación del crédito bancario transfronterizo a Japón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xml:space="preserve">, segundo panel). Los activos frente a residentes en Japón continuaron creciendo a un ritmo muy rápido (15% interanual), impulsados por un acusado incremento de la tasa de crecimiento del crédito concedido a entidades no bancarias (del 20% a finales de junio de 2014 al 31% a finales de septiembre del mismo año).  </w:t>
      </w:r>
    </w:p>
    <w:p w14:paraId="0B76DEBC"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crédito transfronterizo concedido a residentes en Estados Unidos de Norteamérica aumentó un 5% interanual hasta finales de septiembre de 2014, gracias al crecimiento del 7% de los activos frente a los bancos estadounidenses.  </w:t>
      </w:r>
    </w:p>
    <w:p w14:paraId="6A4B8A0B"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Los activos transfronterizos frente a la zona del euro también crecieron respecto del año anterior, aunque a un ritmo mucho más lento. El incremento interanual del 1% hasta finales de septiembre de 2014 fue el primero desde el último trimestre de 2008, lo cual </w:t>
      </w:r>
      <w:r w:rsidRPr="00172472">
        <w:rPr>
          <w:rFonts w:eastAsia="Calibri"/>
          <w:sz w:val="26"/>
          <w:szCs w:val="26"/>
          <w:lang w:eastAsia="en-US"/>
        </w:rPr>
        <w:lastRenderedPageBreak/>
        <w:t xml:space="preserve">indica una reactivación gradual de la actividad financiera transfronteriza tras las crisis de la deuda soberana de 2011–12.  </w:t>
      </w:r>
    </w:p>
    <w:p w14:paraId="6EFBA73A"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Dentro de la zona del euro, tras el incremento agregado se ocultan divergencias significativas entre países. Por un lado, los activos transfronterizos frente a Francia e Italia crecieron a tasas anuales del 9 y el 4% respectivamente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xml:space="preserve">, tercer panel). Por el otro, el crédito transfronterizo dirigido a España y Alemania se contrajo a tasas anuales de casi el 6 y el 4% respectivamente. Esta evolución no se ajusta a la tradicional división de la zona del euro en países del “centro” y la “periferia”. </w:t>
      </w:r>
    </w:p>
    <w:p w14:paraId="474B571A"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Los patrones observados en los flujos bancarios transfronterizos agregados se reflejaron en la concesión de crédito al sector privado no bancario en todas las regiones (Gráfica siguiente). En la mayoría de las regiones, el crédito bancario local a entidades no bancarias continúa creciendo más rápido que el crédito transfronterizo dirigido a estos prestatarios, con lo que el actual volumen de crédito interno excede ampliamente al de crédito transfronterizo. En el caso de Estados Unidos de Norteamérica, el crédito bancario transfronterizo a entidades no bancarias se incrementó un 2% interanual, en comparación con un avance del 9% en el crédito interno (Gráfica siguiente, panel superior central). En cuanto a América Latina, el crédito bancario transfronterizo creció un 3% y el crédito interno un 13% (Gráfica siguiente, panel inferior central). En la zona del euro, al igual que en las economías emergentes de Europa, el crédito interno y el transfronterizo a entidades no bancarias permanecieron estancados o descendieron (Gráfica siguiente, paneles derechos). </w:t>
      </w:r>
    </w:p>
    <w:p w14:paraId="3059642D" w14:textId="77777777" w:rsidR="00172472" w:rsidRPr="00172472" w:rsidRDefault="00172472" w:rsidP="00172472">
      <w:pPr>
        <w:spacing w:after="360" w:line="360" w:lineRule="auto"/>
        <w:ind w:right="-159"/>
        <w:jc w:val="both"/>
        <w:rPr>
          <w:rFonts w:eastAsia="Calibri"/>
          <w:sz w:val="26"/>
          <w:szCs w:val="26"/>
          <w:lang w:eastAsia="en-US"/>
        </w:rPr>
      </w:pPr>
    </w:p>
    <w:p w14:paraId="7064E31E" w14:textId="77777777" w:rsidR="00172472" w:rsidRPr="00172472" w:rsidRDefault="00172472" w:rsidP="00172472">
      <w:pPr>
        <w:spacing w:after="360" w:line="360" w:lineRule="auto"/>
        <w:ind w:right="-159"/>
        <w:jc w:val="both"/>
        <w:rPr>
          <w:rFonts w:eastAsia="Calibri"/>
          <w:sz w:val="26"/>
          <w:szCs w:val="26"/>
          <w:lang w:eastAsia="en-US"/>
        </w:rPr>
      </w:pPr>
    </w:p>
    <w:p w14:paraId="6969EEC1" w14:textId="77777777" w:rsidR="00172472" w:rsidRPr="00172472" w:rsidRDefault="00172472" w:rsidP="0017247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172472" w:rsidRPr="00172472" w14:paraId="0BD48DF8" w14:textId="77777777" w:rsidTr="004727D3">
        <w:tc>
          <w:tcPr>
            <w:tcW w:w="8840" w:type="dxa"/>
          </w:tcPr>
          <w:p w14:paraId="3D2C4FE0"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lastRenderedPageBreak/>
              <w:t>VOLÚMENES AGREGADOS DE CRÉDITO BANCARIO INTERNACIONAL, POR REGIÓN PRESTATARIA</w:t>
            </w:r>
            <w:r w:rsidRPr="00172472">
              <w:rPr>
                <w:rFonts w:eastAsia="Calibri"/>
                <w:b/>
                <w:sz w:val="20"/>
                <w:szCs w:val="26"/>
                <w:u w:val="single"/>
                <w:vertAlign w:val="superscript"/>
                <w:lang w:eastAsia="en-US"/>
              </w:rPr>
              <w:t>1</w:t>
            </w:r>
            <w:r w:rsidRPr="00172472">
              <w:rPr>
                <w:rFonts w:eastAsia="Calibri"/>
                <w:b/>
                <w:sz w:val="20"/>
                <w:szCs w:val="26"/>
                <w:vertAlign w:val="superscript"/>
                <w:lang w:eastAsia="en-US"/>
              </w:rPr>
              <w:t>/</w:t>
            </w:r>
          </w:p>
          <w:p w14:paraId="68011020"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 xml:space="preserve">A tipos de cambio constantes de finales de T3 2014 </w:t>
            </w:r>
          </w:p>
        </w:tc>
      </w:tr>
      <w:tr w:rsidR="00172472" w:rsidRPr="00172472" w14:paraId="4D17E48E" w14:textId="77777777" w:rsidTr="004727D3">
        <w:tc>
          <w:tcPr>
            <w:tcW w:w="8840" w:type="dxa"/>
          </w:tcPr>
          <w:p w14:paraId="74571D9C" w14:textId="77777777" w:rsidR="00172472" w:rsidRPr="00172472" w:rsidRDefault="00172472" w:rsidP="00172472">
            <w:pPr>
              <w:jc w:val="both"/>
              <w:rPr>
                <w:rFonts w:eastAsia="Calibri"/>
                <w:sz w:val="20"/>
                <w:szCs w:val="26"/>
                <w:lang w:eastAsia="en-US"/>
              </w:rPr>
            </w:pPr>
            <w:r w:rsidRPr="00172472">
              <w:rPr>
                <w:rFonts w:eastAsia="Calibri"/>
                <w:noProof/>
                <w:sz w:val="20"/>
                <w:szCs w:val="26"/>
                <w:lang w:eastAsia="es-MX"/>
              </w:rPr>
              <w:drawing>
                <wp:inline distT="0" distB="0" distL="0" distR="0" wp14:anchorId="6323E247" wp14:editId="72AC9CA6">
                  <wp:extent cx="5525969" cy="3636000"/>
                  <wp:effectExtent l="0" t="0" r="0" b="317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525969" cy="3636000"/>
                          </a:xfrm>
                          <a:prstGeom prst="rect">
                            <a:avLst/>
                          </a:prstGeom>
                          <a:noFill/>
                          <a:ln>
                            <a:noFill/>
                          </a:ln>
                        </pic:spPr>
                      </pic:pic>
                    </a:graphicData>
                  </a:graphic>
                </wp:inline>
              </w:drawing>
            </w:r>
          </w:p>
        </w:tc>
      </w:tr>
      <w:tr w:rsidR="00172472" w:rsidRPr="00172472" w14:paraId="0E236B07" w14:textId="77777777" w:rsidTr="004727D3">
        <w:tc>
          <w:tcPr>
            <w:tcW w:w="8840" w:type="dxa"/>
          </w:tcPr>
          <w:p w14:paraId="28A7F13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USD: Dólares.</w:t>
            </w:r>
          </w:p>
          <w:p w14:paraId="4DDE2F83"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Datos agregados para una muestra de 56 países declarantes.</w:t>
            </w:r>
          </w:p>
          <w:p w14:paraId="5FD18E94"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Crédito bancario total concedido a prestatarios no bancarios (incluidos gobiernos), ajustado utilizando diversos componentes de las estadísticas bancarias del BPI para generar un desglose por monedas del crédito transfronterizo y del crédito interno.</w:t>
            </w:r>
          </w:p>
          <w:p w14:paraId="0557A361" w14:textId="77777777" w:rsidR="00172472" w:rsidRPr="00172472" w:rsidRDefault="00172472" w:rsidP="00172472">
            <w:pPr>
              <w:ind w:left="907" w:hanging="907"/>
              <w:jc w:val="both"/>
              <w:rPr>
                <w:rFonts w:eastAsia="Calibri"/>
                <w:sz w:val="20"/>
                <w:szCs w:val="26"/>
                <w:lang w:eastAsia="en-US"/>
              </w:rPr>
            </w:pPr>
            <w:r w:rsidRPr="00172472">
              <w:rPr>
                <w:rFonts w:eastAsia="Calibri"/>
                <w:sz w:val="20"/>
                <w:szCs w:val="26"/>
                <w:lang w:eastAsia="en-US"/>
              </w:rPr>
              <w:t>FUENTE: FMI, Estadísticas Financieras Internacionales; estadísticas bancarias internacionales del BPI; cálculos del BPI.</w:t>
            </w:r>
          </w:p>
        </w:tc>
      </w:tr>
    </w:tbl>
    <w:p w14:paraId="7FCD9427" w14:textId="77777777" w:rsidR="00172472" w:rsidRPr="00172472" w:rsidRDefault="00172472" w:rsidP="00172472">
      <w:pPr>
        <w:spacing w:after="360" w:line="360" w:lineRule="auto"/>
        <w:ind w:right="-159"/>
        <w:jc w:val="both"/>
        <w:rPr>
          <w:rFonts w:eastAsia="Calibri"/>
          <w:sz w:val="26"/>
          <w:szCs w:val="26"/>
          <w:lang w:eastAsia="en-US"/>
        </w:rPr>
      </w:pPr>
    </w:p>
    <w:p w14:paraId="0CB9873E"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Al mismo tiempo, el crédito transfronterizo hacia las economías emergentes de        Asia-Pacífico continuó evolucionando con paso firme (Gráfica anterior, panel inferior izquierdo). El crédito bancario transfronterizo a entidades no bancarias de esa región aumentó al menos un 21% interanual, mientras que el crédito interno lo hizo un 9%. La mayor parte del aumento del crédito transfronterizo estuvo impulsado por China (véase más adelante). Ahora bien, la participación del crédito transfronterizo en Asia con respecto a la del crédito interno es con mucho la más baja de todas las regiones consideradas.  </w:t>
      </w:r>
    </w:p>
    <w:p w14:paraId="44861EBA" w14:textId="77777777" w:rsid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 xml:space="preserve">Dentro de este panorama general, los patrones varían de manera significativa entre países. Esto puede constatarse examinando dos conjuntos de datos diferentes, pero relacionados: el crédito transfronterizo a todos los residentes, incluidos bancos y entidades no bancarias (tal y como muestra el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xml:space="preserve">); y el crédito bancario, interno y transfronterizo, a entidades no bancarias (Gráfica siguiente). </w:t>
      </w:r>
    </w:p>
    <w:p w14:paraId="2E2EFAF3" w14:textId="77777777" w:rsidR="004727D3" w:rsidRDefault="004727D3" w:rsidP="00172472">
      <w:pPr>
        <w:spacing w:after="360" w:line="360" w:lineRule="auto"/>
        <w:ind w:right="-159"/>
        <w:jc w:val="both"/>
        <w:rPr>
          <w:rFonts w:eastAsia="Calibri"/>
          <w:sz w:val="26"/>
          <w:szCs w:val="26"/>
          <w:lang w:eastAsia="en-US"/>
        </w:rPr>
      </w:pPr>
    </w:p>
    <w:p w14:paraId="5B5E0EFF" w14:textId="77777777" w:rsidR="004727D3" w:rsidRDefault="004727D3" w:rsidP="00172472">
      <w:pPr>
        <w:spacing w:after="360" w:line="360" w:lineRule="auto"/>
        <w:ind w:right="-159"/>
        <w:jc w:val="both"/>
        <w:rPr>
          <w:rFonts w:eastAsia="Calibri"/>
          <w:sz w:val="26"/>
          <w:szCs w:val="26"/>
          <w:lang w:eastAsia="en-US"/>
        </w:rPr>
      </w:pPr>
    </w:p>
    <w:p w14:paraId="42723ADB" w14:textId="77777777" w:rsidR="004727D3" w:rsidRDefault="004727D3" w:rsidP="00172472">
      <w:pPr>
        <w:spacing w:after="360" w:line="360" w:lineRule="auto"/>
        <w:ind w:right="-159"/>
        <w:jc w:val="both"/>
        <w:rPr>
          <w:rFonts w:eastAsia="Calibri"/>
          <w:sz w:val="26"/>
          <w:szCs w:val="26"/>
          <w:lang w:eastAsia="en-US"/>
        </w:rPr>
      </w:pPr>
    </w:p>
    <w:p w14:paraId="3348C4D1" w14:textId="77777777" w:rsidR="004727D3" w:rsidRDefault="004727D3" w:rsidP="00172472">
      <w:pPr>
        <w:spacing w:after="360" w:line="360" w:lineRule="auto"/>
        <w:ind w:right="-159"/>
        <w:jc w:val="both"/>
        <w:rPr>
          <w:rFonts w:eastAsia="Calibri"/>
          <w:sz w:val="26"/>
          <w:szCs w:val="26"/>
          <w:lang w:eastAsia="en-US"/>
        </w:rPr>
      </w:pPr>
    </w:p>
    <w:p w14:paraId="09B356ED" w14:textId="77777777" w:rsidR="004727D3" w:rsidRDefault="004727D3" w:rsidP="00172472">
      <w:pPr>
        <w:spacing w:after="360" w:line="360" w:lineRule="auto"/>
        <w:ind w:right="-159"/>
        <w:jc w:val="both"/>
        <w:rPr>
          <w:rFonts w:eastAsia="Calibri"/>
          <w:sz w:val="26"/>
          <w:szCs w:val="26"/>
          <w:lang w:eastAsia="en-US"/>
        </w:rPr>
      </w:pPr>
    </w:p>
    <w:p w14:paraId="401A8323" w14:textId="77777777" w:rsidR="004727D3" w:rsidRDefault="004727D3" w:rsidP="00172472">
      <w:pPr>
        <w:spacing w:after="360" w:line="360" w:lineRule="auto"/>
        <w:ind w:right="-159"/>
        <w:jc w:val="both"/>
        <w:rPr>
          <w:rFonts w:eastAsia="Calibri"/>
          <w:sz w:val="26"/>
          <w:szCs w:val="26"/>
          <w:lang w:eastAsia="en-US"/>
        </w:rPr>
      </w:pPr>
    </w:p>
    <w:p w14:paraId="5425A2AA" w14:textId="77777777" w:rsidR="004727D3" w:rsidRDefault="004727D3" w:rsidP="00172472">
      <w:pPr>
        <w:spacing w:after="360" w:line="360" w:lineRule="auto"/>
        <w:ind w:right="-159"/>
        <w:jc w:val="both"/>
        <w:rPr>
          <w:rFonts w:eastAsia="Calibri"/>
          <w:sz w:val="26"/>
          <w:szCs w:val="26"/>
          <w:lang w:eastAsia="en-US"/>
        </w:rPr>
      </w:pPr>
    </w:p>
    <w:p w14:paraId="42DE4281" w14:textId="77777777" w:rsidR="004727D3" w:rsidRDefault="004727D3" w:rsidP="00172472">
      <w:pPr>
        <w:spacing w:after="360" w:line="360" w:lineRule="auto"/>
        <w:ind w:right="-159"/>
        <w:jc w:val="both"/>
        <w:rPr>
          <w:rFonts w:eastAsia="Calibri"/>
          <w:sz w:val="26"/>
          <w:szCs w:val="26"/>
          <w:lang w:eastAsia="en-US"/>
        </w:rPr>
      </w:pPr>
    </w:p>
    <w:p w14:paraId="63AA142C" w14:textId="77777777" w:rsidR="004727D3" w:rsidRDefault="004727D3" w:rsidP="00172472">
      <w:pPr>
        <w:spacing w:after="360" w:line="360" w:lineRule="auto"/>
        <w:ind w:right="-159"/>
        <w:jc w:val="both"/>
        <w:rPr>
          <w:rFonts w:eastAsia="Calibri"/>
          <w:sz w:val="26"/>
          <w:szCs w:val="26"/>
          <w:lang w:eastAsia="en-US"/>
        </w:rPr>
      </w:pPr>
    </w:p>
    <w:p w14:paraId="0ED4B680" w14:textId="77777777" w:rsidR="004727D3" w:rsidRDefault="004727D3" w:rsidP="00172472">
      <w:pPr>
        <w:spacing w:after="360" w:line="360" w:lineRule="auto"/>
        <w:ind w:right="-159"/>
        <w:jc w:val="both"/>
        <w:rPr>
          <w:rFonts w:eastAsia="Calibri"/>
          <w:sz w:val="26"/>
          <w:szCs w:val="26"/>
          <w:lang w:eastAsia="en-US"/>
        </w:rPr>
      </w:pPr>
    </w:p>
    <w:p w14:paraId="116A102A" w14:textId="77777777" w:rsidR="004727D3" w:rsidRDefault="004727D3" w:rsidP="00172472">
      <w:pPr>
        <w:spacing w:after="360" w:line="360" w:lineRule="auto"/>
        <w:ind w:right="-159"/>
        <w:jc w:val="both"/>
        <w:rPr>
          <w:rFonts w:eastAsia="Calibri"/>
          <w:sz w:val="26"/>
          <w:szCs w:val="26"/>
          <w:lang w:eastAsia="en-US"/>
        </w:rPr>
      </w:pPr>
    </w:p>
    <w:p w14:paraId="2CFACF8F" w14:textId="77777777" w:rsidR="004727D3" w:rsidRDefault="004727D3" w:rsidP="0017247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172472" w:rsidRPr="00172472" w14:paraId="0B464368" w14:textId="77777777" w:rsidTr="008F5FED">
        <w:tc>
          <w:tcPr>
            <w:tcW w:w="8840" w:type="dxa"/>
          </w:tcPr>
          <w:p w14:paraId="6960BE4E" w14:textId="77777777" w:rsidR="008F5FED" w:rsidRDefault="008F5FED" w:rsidP="00172472">
            <w:pPr>
              <w:jc w:val="center"/>
              <w:rPr>
                <w:rFonts w:eastAsia="Calibri"/>
                <w:b/>
                <w:sz w:val="20"/>
                <w:szCs w:val="26"/>
                <w:lang w:eastAsia="en-US"/>
              </w:rPr>
            </w:pPr>
          </w:p>
          <w:p w14:paraId="6855B12A"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lastRenderedPageBreak/>
              <w:t xml:space="preserve">CRÉDITO BANCARIO A ENTIDADES NO BANCARIAS EN DETERMINADAS ECONOMÍAS </w:t>
            </w:r>
          </w:p>
          <w:p w14:paraId="3A7A922B"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A tipos de cambio constantes de finales de T3 2014</w:t>
            </w:r>
          </w:p>
        </w:tc>
      </w:tr>
      <w:tr w:rsidR="00172472" w:rsidRPr="00172472" w14:paraId="5DE614DF" w14:textId="77777777" w:rsidTr="008F5FED">
        <w:tc>
          <w:tcPr>
            <w:tcW w:w="8840" w:type="dxa"/>
          </w:tcPr>
          <w:p w14:paraId="2194A0B5" w14:textId="77777777" w:rsidR="00172472" w:rsidRPr="00172472" w:rsidRDefault="00172472" w:rsidP="00172472">
            <w:pPr>
              <w:tabs>
                <w:tab w:val="left" w:pos="1190"/>
              </w:tabs>
              <w:jc w:val="both"/>
              <w:rPr>
                <w:rFonts w:eastAsia="Calibri"/>
                <w:sz w:val="20"/>
                <w:szCs w:val="26"/>
                <w:lang w:eastAsia="en-US"/>
              </w:rPr>
            </w:pPr>
            <w:r w:rsidRPr="00172472">
              <w:rPr>
                <w:rFonts w:ascii="Calibri" w:eastAsia="Calibri" w:hAnsi="Calibri"/>
                <w:noProof/>
                <w:sz w:val="22"/>
                <w:szCs w:val="22"/>
                <w:lang w:eastAsia="es-MX"/>
              </w:rPr>
              <w:lastRenderedPageBreak/>
              <w:drawing>
                <wp:inline distT="0" distB="0" distL="0" distR="0" wp14:anchorId="63028ADB" wp14:editId="7395EBD1">
                  <wp:extent cx="5532839" cy="3348000"/>
                  <wp:effectExtent l="0" t="0" r="0" b="5080"/>
                  <wp:docPr id="1536" name="Imagen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532839" cy="3348000"/>
                          </a:xfrm>
                          <a:prstGeom prst="rect">
                            <a:avLst/>
                          </a:prstGeom>
                        </pic:spPr>
                      </pic:pic>
                    </a:graphicData>
                  </a:graphic>
                </wp:inline>
              </w:drawing>
            </w:r>
          </w:p>
        </w:tc>
      </w:tr>
      <w:tr w:rsidR="00172472" w:rsidRPr="00172472" w14:paraId="5D77CE1B" w14:textId="77777777" w:rsidTr="008F5FED">
        <w:tc>
          <w:tcPr>
            <w:tcW w:w="8840" w:type="dxa"/>
          </w:tcPr>
          <w:p w14:paraId="5EBB9609"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59849F38" wp14:editId="4FDD0F92">
                  <wp:extent cx="5501769" cy="1944000"/>
                  <wp:effectExtent l="0" t="0" r="3810" b="0"/>
                  <wp:docPr id="1537" name="Imagen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501769" cy="1944000"/>
                          </a:xfrm>
                          <a:prstGeom prst="rect">
                            <a:avLst/>
                          </a:prstGeom>
                          <a:noFill/>
                          <a:ln>
                            <a:noFill/>
                          </a:ln>
                        </pic:spPr>
                      </pic:pic>
                    </a:graphicData>
                  </a:graphic>
                </wp:inline>
              </w:drawing>
            </w:r>
          </w:p>
        </w:tc>
      </w:tr>
      <w:tr w:rsidR="00172472" w:rsidRPr="00172472" w14:paraId="5E9DD997" w14:textId="77777777" w:rsidTr="008F5FED">
        <w:tc>
          <w:tcPr>
            <w:tcW w:w="8840" w:type="dxa"/>
          </w:tcPr>
          <w:p w14:paraId="582ABEC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Crédito total expresado en dólares de estadounidenses, excluidos efectos de valoración.    </w:t>
            </w:r>
          </w:p>
          <w:p w14:paraId="7AE65B8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Endeudamiento transfronterizo neto (pasivo menos activo) procedente de todos los sectores de bancos situados en el país. Activos transfronterizos netos de bancos declarantes al BPI frente a bancos del país.     </w:t>
            </w:r>
          </w:p>
          <w:p w14:paraId="7252CF9D"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3</w:t>
            </w:r>
            <w:r w:rsidRPr="00172472">
              <w:rPr>
                <w:rFonts w:eastAsia="Calibri"/>
                <w:sz w:val="20"/>
                <w:szCs w:val="26"/>
                <w:lang w:eastAsia="en-US"/>
              </w:rPr>
              <w:t xml:space="preserve">/ Activos transfronterizos (incluidos préstamos y tenencias de títulos) de bancos declarantes al BPI frente a entidades no bancarias.    </w:t>
            </w:r>
          </w:p>
          <w:p w14:paraId="6DF3BE6E"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4</w:t>
            </w:r>
            <w:r w:rsidRPr="00172472">
              <w:rPr>
                <w:rFonts w:eastAsia="Calibri"/>
                <w:sz w:val="20"/>
                <w:szCs w:val="26"/>
                <w:lang w:eastAsia="en-US"/>
              </w:rPr>
              <w:t xml:space="preserve">/ Incluye activos transfronterizos directos más endeudamiento transfronterizo neto (si es positivo) por bancos en el país, bajo el supuesto de que este crédito transfronterizo acaba trasladándose a entidades no bancarias radicadas en el país.    </w:t>
            </w:r>
          </w:p>
          <w:p w14:paraId="3ADD80AA" w14:textId="77777777" w:rsidR="00172472" w:rsidRPr="00172472" w:rsidRDefault="00172472" w:rsidP="00172472">
            <w:pPr>
              <w:ind w:left="936" w:hanging="936"/>
              <w:jc w:val="both"/>
              <w:rPr>
                <w:rFonts w:eastAsia="Calibri"/>
                <w:sz w:val="20"/>
                <w:szCs w:val="26"/>
                <w:lang w:eastAsia="en-US"/>
              </w:rPr>
            </w:pPr>
            <w:r w:rsidRPr="00172472">
              <w:rPr>
                <w:rFonts w:eastAsia="Calibri"/>
                <w:sz w:val="20"/>
                <w:szCs w:val="26"/>
                <w:lang w:eastAsia="en-US"/>
              </w:rPr>
              <w:t>FUENTE: FMI, Estadísticas Financieras Internacionales; estadísticas bancarias consolidadas del BPI; estadísticas bancarias territoriales del BPI.</w:t>
            </w:r>
          </w:p>
        </w:tc>
      </w:tr>
    </w:tbl>
    <w:p w14:paraId="68B15BE8" w14:textId="77777777" w:rsidR="00172472" w:rsidRPr="00172472" w:rsidRDefault="00172472" w:rsidP="00172472">
      <w:pPr>
        <w:spacing w:after="360" w:line="360" w:lineRule="auto"/>
        <w:ind w:right="-159"/>
        <w:jc w:val="both"/>
        <w:rPr>
          <w:rFonts w:eastAsia="Calibri"/>
          <w:sz w:val="26"/>
          <w:szCs w:val="26"/>
          <w:lang w:eastAsia="en-US"/>
        </w:rPr>
      </w:pPr>
    </w:p>
    <w:p w14:paraId="771FBC41"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crecimiento del crédito bancario transfronterizo concedido al sector no bancario en China fue relativamente rápido en los doce meses hasta septiembre de 2014 (Gráfica </w:t>
      </w:r>
      <w:r w:rsidRPr="00172472">
        <w:rPr>
          <w:rFonts w:eastAsia="Calibri"/>
          <w:sz w:val="26"/>
          <w:szCs w:val="26"/>
          <w:lang w:eastAsia="en-US"/>
        </w:rPr>
        <w:lastRenderedPageBreak/>
        <w:t xml:space="preserve">anterior, primera fila). El crédito internacional recibido por China es considerable en términos absolutos: China ocupa el séptimo puesto en cuanto al total de activos transfronterizos (a entidades bancarias y no bancarias) en las estadísticas bancarias territoriales del BPI.  </w:t>
      </w:r>
    </w:p>
    <w:p w14:paraId="1785F5D0"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Ahora bien, el crédito transfronterizo sigue siendo escaso si se compara con el crédito interno en China, y además parece haber tocado techo en el segundo trimestre de 2014. Aunque el total de activos transfronterizos frente a prestatarios chinos (a bancos y entidades no bancarias) incluidos en las estadísticas bancarias territoriales del BPI se incrementó casi un 40% entre finales de septiembre de 2013 y de 2014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cuarto panel), estos activos aumentaron solo un 3% en el tercer trimestre de 2014 respecto del segundo. Los activos frente a China, según las estadísticas bancarias consolidadas del BPI, en realidad disminuyeron en el tercer trimestre (activos exteriores, en base al riesgo último)</w:t>
      </w:r>
      <w:r w:rsidRPr="00172472">
        <w:rPr>
          <w:rFonts w:eastAsia="Calibri"/>
          <w:sz w:val="26"/>
          <w:szCs w:val="26"/>
          <w:vertAlign w:val="superscript"/>
          <w:lang w:eastAsia="en-US"/>
        </w:rPr>
        <w:footnoteReference w:id="56"/>
      </w:r>
      <w:r w:rsidRPr="00172472">
        <w:rPr>
          <w:rFonts w:eastAsia="Calibri"/>
          <w:sz w:val="26"/>
          <w:szCs w:val="26"/>
          <w:lang w:eastAsia="en-US"/>
        </w:rPr>
        <w:t>. Esto se explica por el menor aumento de los activos frente a los bancos chinos, lo que sugiere que los esfuerzos de las autoridades por establecer condiciones crediticias más estrictas en el sector bancario han empezado a dejarse sentir.</w:t>
      </w:r>
    </w:p>
    <w:p w14:paraId="0933EB22"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Los activos transfronterizos frente a Brasil retrocedieron casi un 2% en los doce meses hasta finales de septiembre de 2014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xml:space="preserve">, cuarto panel). El crédito transfronterizo a entidades no bancarias en Brasil se ha moderado en los últimos tres años, reforzando con ello una gradual ralentización del crecimiento anteriormente rápido del crédito interno (Gráfica </w:t>
      </w:r>
      <w:r w:rsidRPr="00172472">
        <w:rPr>
          <w:rFonts w:eastAsia="Calibri"/>
          <w:sz w:val="26"/>
          <w:szCs w:val="26"/>
          <w:lang w:eastAsia="en-US"/>
        </w:rPr>
        <w:lastRenderedPageBreak/>
        <w:t xml:space="preserve">Crédito bancario a entidades no bancarias en determinadas economías, paneles centrales).  </w:t>
      </w:r>
    </w:p>
    <w:p w14:paraId="27D01E2B" w14:textId="261F404E"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En Turquía, el crecimiento general de los activos transfronterizos permanece bajo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cuarto panel), principalmente por el bajo crecimiento del crédito transfronterizo directo a entidades no bancarias. No obstante, se ha producido un crecimiento algo más rápido del financiamiento “indirect</w:t>
      </w:r>
      <w:r w:rsidR="008F5FED">
        <w:rPr>
          <w:rFonts w:eastAsia="Calibri"/>
          <w:sz w:val="26"/>
          <w:szCs w:val="26"/>
          <w:lang w:eastAsia="en-US"/>
        </w:rPr>
        <w:t>o</w:t>
      </w:r>
      <w:r w:rsidRPr="00172472">
        <w:rPr>
          <w:rFonts w:eastAsia="Calibri"/>
          <w:sz w:val="26"/>
          <w:szCs w:val="26"/>
          <w:lang w:eastAsia="en-US"/>
        </w:rPr>
        <w:t xml:space="preserve">” del sector no bancario, que incluye el crédito transfronterizo concedido a bancos locales (Gráfica </w:t>
      </w:r>
      <w:r w:rsidRPr="00172472">
        <w:rPr>
          <w:rFonts w:eastAsia="Calibri"/>
          <w:i/>
          <w:sz w:val="26"/>
          <w:szCs w:val="26"/>
          <w:lang w:eastAsia="en-US"/>
        </w:rPr>
        <w:t>Crédito bancario a entidades no bancarias en determinadas economías</w:t>
      </w:r>
      <w:r w:rsidRPr="00172472">
        <w:rPr>
          <w:rFonts w:eastAsia="Calibri"/>
          <w:sz w:val="26"/>
          <w:szCs w:val="26"/>
          <w:lang w:eastAsia="en-US"/>
        </w:rPr>
        <w:t xml:space="preserve">, paneles inferiores).  </w:t>
      </w:r>
    </w:p>
    <w:p w14:paraId="76220E8A" w14:textId="77777777" w:rsid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crédito a prestatarios rusos (bancos y no bancos) se contrajo intensamente en el tercer trimestre de 2014 en un contexto de abaratamiento del precio del petróleo y sanciones económicas. Los activos frente a residentes en Rusia se redujeron en 11 mil millones de dólares entre finales de junio y finales de septiembre de 2014 contribuyendo con ello a una disminución interanual acumulada del 15% (Gráfica </w:t>
      </w:r>
      <w:r w:rsidRPr="00172472">
        <w:rPr>
          <w:rFonts w:eastAsia="Calibri"/>
          <w:i/>
          <w:sz w:val="26"/>
          <w:szCs w:val="26"/>
          <w:lang w:eastAsia="en-US"/>
        </w:rPr>
        <w:t>Activos transfronterizos, por país de residencia del prestatario</w:t>
      </w:r>
      <w:r w:rsidRPr="00172472">
        <w:rPr>
          <w:rFonts w:eastAsia="Calibri"/>
          <w:sz w:val="26"/>
          <w:szCs w:val="26"/>
          <w:lang w:eastAsia="en-US"/>
        </w:rPr>
        <w:t xml:space="preserve">, cuarto panel). Además de los activos transfronterizos, los bancos con operativa internacional también detentaban activos frente a Rusia a través de sus filiales locales. Las estadísticas bancarias consolidadas revelan que, a finales de septiembre de 2014, los bancos declarantes al BPI tenían contabilizados a nivel local activos frente a residentes en Rusia por un total de 81 mil millones de dólares. La mayor parte de estas posiciones las detentaban bancos franceses, italianos, estadounidenses y austriacos en septiembre de 2014 (Gráfica siguiente). Los bancos franceses acaparaban el grueso de los activos exteriores frente a Rusia (44 mil millones de dólares), seguidos de los italianos (27 mil millones) y estadounidenses (25 mil millones). </w:t>
      </w:r>
    </w:p>
    <w:p w14:paraId="78AC3747" w14:textId="77777777" w:rsidR="004727D3" w:rsidRPr="00172472" w:rsidRDefault="004727D3" w:rsidP="00172472">
      <w:pPr>
        <w:spacing w:after="360" w:line="360" w:lineRule="auto"/>
        <w:ind w:right="-159"/>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840"/>
      </w:tblGrid>
      <w:tr w:rsidR="00172472" w:rsidRPr="00172472" w14:paraId="26D4646B" w14:textId="77777777" w:rsidTr="00EA3974">
        <w:tc>
          <w:tcPr>
            <w:tcW w:w="8838" w:type="dxa"/>
          </w:tcPr>
          <w:p w14:paraId="1394C9CF"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lastRenderedPageBreak/>
              <w:t xml:space="preserve">ACTIVOS EXTERIORES (EN BASE AL RIESGO ÚLTIMO) FRENTE A RUSIA, POR NACIONALIDAD DEL BANCO DECLARANTE </w:t>
            </w:r>
          </w:p>
          <w:p w14:paraId="4E0EBF79"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Finales de septiembre de 2014, en miles de millones de dólares estadounidenses</w:t>
            </w:r>
          </w:p>
        </w:tc>
      </w:tr>
      <w:tr w:rsidR="00172472" w:rsidRPr="00172472" w14:paraId="21649CD9" w14:textId="77777777" w:rsidTr="00EA3974">
        <w:tc>
          <w:tcPr>
            <w:tcW w:w="8838" w:type="dxa"/>
          </w:tcPr>
          <w:p w14:paraId="3D1D2015"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6EAB20EA" wp14:editId="361A98C9">
                  <wp:extent cx="5607050" cy="2006600"/>
                  <wp:effectExtent l="0" t="0" r="0" b="0"/>
                  <wp:docPr id="1538" name="Imagen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5607050" cy="2006600"/>
                          </a:xfrm>
                          <a:prstGeom prst="rect">
                            <a:avLst/>
                          </a:prstGeom>
                          <a:noFill/>
                          <a:ln>
                            <a:noFill/>
                          </a:ln>
                        </pic:spPr>
                      </pic:pic>
                    </a:graphicData>
                  </a:graphic>
                </wp:inline>
              </w:drawing>
            </w:r>
          </w:p>
        </w:tc>
      </w:tr>
      <w:tr w:rsidR="00172472" w:rsidRPr="00172472" w14:paraId="22349160" w14:textId="77777777" w:rsidTr="00EA3974">
        <w:tc>
          <w:tcPr>
            <w:tcW w:w="8838" w:type="dxa"/>
          </w:tcPr>
          <w:p w14:paraId="2BE1F4C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EEUU: Estados Unidos de Norteamérica.</w:t>
            </w:r>
          </w:p>
          <w:p w14:paraId="1678DFEC"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En el caso de los bancos austríacos, los activos locales representan activos solo en rublos rusos, excluyendo activos en otras monedas.    </w:t>
            </w:r>
          </w:p>
          <w:p w14:paraId="363321D9"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Por motivos de confidencialidad, no se muestra la cantidad de activos locales.    </w:t>
            </w:r>
          </w:p>
          <w:p w14:paraId="62A655C0" w14:textId="77777777" w:rsidR="00172472" w:rsidRPr="00172472" w:rsidRDefault="00172472" w:rsidP="00172472">
            <w:pPr>
              <w:ind w:left="936" w:hanging="936"/>
              <w:jc w:val="both"/>
              <w:rPr>
                <w:rFonts w:eastAsia="Calibri"/>
                <w:sz w:val="20"/>
                <w:szCs w:val="26"/>
                <w:lang w:eastAsia="en-US"/>
              </w:rPr>
            </w:pPr>
            <w:r w:rsidRPr="00172472">
              <w:rPr>
                <w:rFonts w:eastAsia="Calibri"/>
                <w:sz w:val="20"/>
                <w:szCs w:val="26"/>
                <w:lang w:eastAsia="en-US"/>
              </w:rPr>
              <w:t>FUENTE: Estadísticas bancarias consolidadas del BPI (Cuadros 9D y 9E).</w:t>
            </w:r>
          </w:p>
        </w:tc>
      </w:tr>
    </w:tbl>
    <w:p w14:paraId="55B9D58F" w14:textId="77777777" w:rsidR="00172472" w:rsidRPr="00172472" w:rsidRDefault="00172472" w:rsidP="00172472">
      <w:pPr>
        <w:spacing w:after="360" w:line="360" w:lineRule="auto"/>
        <w:ind w:right="-159"/>
        <w:jc w:val="both"/>
        <w:rPr>
          <w:rFonts w:eastAsia="Calibri"/>
          <w:sz w:val="26"/>
          <w:szCs w:val="26"/>
          <w:lang w:eastAsia="en-US"/>
        </w:rPr>
      </w:pPr>
    </w:p>
    <w:p w14:paraId="5542A5F1" w14:textId="0A9DAC14"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La mayor parte de estos activos locales estaban denominados en rublos, financiados en su mayoría mediante pasivos denominados en rublos frente a residentes en Rusia. Si sumamos los activos transfronterizos y los de las filiales locales, a finales de septiembre de 2014</w:t>
      </w:r>
      <w:r w:rsidR="000921CC">
        <w:rPr>
          <w:rFonts w:eastAsia="Calibri"/>
          <w:sz w:val="26"/>
          <w:szCs w:val="26"/>
          <w:lang w:eastAsia="en-US"/>
        </w:rPr>
        <w:t>,</w:t>
      </w:r>
      <w:r w:rsidRPr="00172472">
        <w:rPr>
          <w:rFonts w:eastAsia="Calibri"/>
          <w:sz w:val="26"/>
          <w:szCs w:val="26"/>
          <w:lang w:eastAsia="en-US"/>
        </w:rPr>
        <w:t xml:space="preserve"> los activos exteriores de los bancos declarantes al BPI frente a Rusia ascendían a 196 mil millones de dólares en base al riesgo último (es decir, tras realizar los ajustes pertinentes para tener en cuenta coberturas de riesgo crediticio tales como garantías y colateral)</w:t>
      </w:r>
      <w:r w:rsidRPr="00172472">
        <w:rPr>
          <w:rFonts w:eastAsia="Calibri"/>
          <w:sz w:val="26"/>
          <w:szCs w:val="26"/>
          <w:vertAlign w:val="superscript"/>
          <w:lang w:eastAsia="en-US"/>
        </w:rPr>
        <w:footnoteReference w:id="57"/>
      </w:r>
      <w:r w:rsidRPr="00172472">
        <w:rPr>
          <w:rFonts w:eastAsia="Calibri"/>
          <w:sz w:val="26"/>
          <w:szCs w:val="26"/>
          <w:lang w:eastAsia="en-US"/>
        </w:rPr>
        <w:t xml:space="preserve">. Los activos exteriores de los bancos franceses se distribuyeron más o menos equitativamente entre activos transfronterizos y activos contabilizados por sus filiales locales rusas. Para los bancos italianos, los activos locales supusieron la mayoría de sus activos exteriores. En cambio, para los estadounidenses, la mayoría sus activos exteriores correspondían a exposiciones transfronterizas. </w:t>
      </w:r>
    </w:p>
    <w:p w14:paraId="659B99F2" w14:textId="77777777" w:rsidR="00A5240C" w:rsidRDefault="00A5240C" w:rsidP="00172472">
      <w:pPr>
        <w:spacing w:after="360" w:line="360" w:lineRule="auto"/>
        <w:ind w:right="-159"/>
        <w:jc w:val="both"/>
        <w:rPr>
          <w:rFonts w:eastAsia="Calibri"/>
          <w:b/>
          <w:sz w:val="26"/>
          <w:szCs w:val="26"/>
          <w:lang w:eastAsia="en-US"/>
        </w:rPr>
      </w:pPr>
    </w:p>
    <w:p w14:paraId="78E4E3F7" w14:textId="77777777" w:rsidR="00172472" w:rsidRPr="00172472" w:rsidRDefault="00172472" w:rsidP="00172472">
      <w:pPr>
        <w:spacing w:after="360" w:line="360" w:lineRule="auto"/>
        <w:ind w:right="-159"/>
        <w:jc w:val="both"/>
        <w:rPr>
          <w:rFonts w:eastAsia="Calibri"/>
          <w:b/>
          <w:sz w:val="26"/>
          <w:szCs w:val="26"/>
          <w:lang w:eastAsia="en-US"/>
        </w:rPr>
      </w:pPr>
      <w:r w:rsidRPr="00172472">
        <w:rPr>
          <w:rFonts w:eastAsia="Calibri"/>
          <w:b/>
          <w:sz w:val="26"/>
          <w:szCs w:val="26"/>
          <w:lang w:eastAsia="en-US"/>
        </w:rPr>
        <w:lastRenderedPageBreak/>
        <w:t xml:space="preserve">Las primas por plazo bajas favorecen la emisión de deuda </w:t>
      </w:r>
    </w:p>
    <w:p w14:paraId="000A7DA2" w14:textId="77777777" w:rsidR="00172472" w:rsidRPr="00172472" w:rsidRDefault="00172472" w:rsidP="00A5240C">
      <w:pPr>
        <w:spacing w:after="120" w:line="360" w:lineRule="auto"/>
        <w:ind w:right="-159"/>
        <w:jc w:val="both"/>
        <w:rPr>
          <w:rFonts w:eastAsia="Calibri"/>
          <w:sz w:val="26"/>
          <w:szCs w:val="26"/>
          <w:lang w:eastAsia="en-US"/>
        </w:rPr>
      </w:pPr>
      <w:r w:rsidRPr="00172472">
        <w:rPr>
          <w:rFonts w:eastAsia="Calibri"/>
          <w:sz w:val="26"/>
          <w:szCs w:val="26"/>
          <w:lang w:eastAsia="en-US"/>
        </w:rPr>
        <w:t>La emisión de títulos de deuda a largo plazo se vio impulsada por una rápida disminución de los rendimientos de la deuda soberana, sobre todo hacia finales de 2014</w:t>
      </w:r>
      <w:r w:rsidRPr="00172472">
        <w:rPr>
          <w:rFonts w:eastAsia="Calibri"/>
          <w:sz w:val="26"/>
          <w:szCs w:val="26"/>
          <w:vertAlign w:val="superscript"/>
          <w:lang w:eastAsia="en-US"/>
        </w:rPr>
        <w:footnoteReference w:id="58"/>
      </w:r>
      <w:r w:rsidRPr="00172472">
        <w:rPr>
          <w:rFonts w:eastAsia="Calibri"/>
          <w:sz w:val="26"/>
          <w:szCs w:val="26"/>
          <w:lang w:eastAsia="en-US"/>
        </w:rPr>
        <w:t xml:space="preserve">. En las economías avanzadas, la emisión neta de deuda internacional en 2014 rozó las altas tasas alcanzadas inmediatamente después de la crisis financiera global (Gráfica siguiente, panel inferior izquierdo). El ritmo de la nueva emisión en EME en 2014 se mantuvo en la línea de años anteriores (Gráfica siguiente, panel inferior derecho).  </w:t>
      </w:r>
    </w:p>
    <w:tbl>
      <w:tblPr>
        <w:tblW w:w="0" w:type="auto"/>
        <w:tblBorders>
          <w:insideV w:val="single" w:sz="4" w:space="0" w:color="auto"/>
        </w:tblBorders>
        <w:tblLook w:val="04A0" w:firstRow="1" w:lastRow="0" w:firstColumn="1" w:lastColumn="0" w:noHBand="0" w:noVBand="1"/>
      </w:tblPr>
      <w:tblGrid>
        <w:gridCol w:w="8840"/>
      </w:tblGrid>
      <w:tr w:rsidR="00172472" w:rsidRPr="00172472" w14:paraId="726B1918" w14:textId="77777777" w:rsidTr="00EA3974">
        <w:tc>
          <w:tcPr>
            <w:tcW w:w="8838" w:type="dxa"/>
          </w:tcPr>
          <w:p w14:paraId="2D826FEB"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TÍTULOS DE DEUDA INTERNACIONALES</w:t>
            </w:r>
            <w:r w:rsidRPr="00172472">
              <w:rPr>
                <w:rFonts w:eastAsia="Calibri"/>
                <w:b/>
                <w:sz w:val="20"/>
                <w:szCs w:val="26"/>
                <w:u w:val="single"/>
                <w:vertAlign w:val="superscript"/>
                <w:lang w:eastAsia="en-US"/>
              </w:rPr>
              <w:t>1</w:t>
            </w:r>
            <w:r w:rsidRPr="00172472">
              <w:rPr>
                <w:rFonts w:eastAsia="Calibri"/>
                <w:b/>
                <w:sz w:val="20"/>
                <w:szCs w:val="26"/>
                <w:vertAlign w:val="superscript"/>
                <w:lang w:eastAsia="en-US"/>
              </w:rPr>
              <w:t>/</w:t>
            </w:r>
          </w:p>
          <w:p w14:paraId="000C4977"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-En miles de millones de dólares estadounidenses-</w:t>
            </w:r>
          </w:p>
        </w:tc>
      </w:tr>
      <w:tr w:rsidR="00172472" w:rsidRPr="00172472" w14:paraId="71DADE27" w14:textId="77777777" w:rsidTr="00EA3974">
        <w:tc>
          <w:tcPr>
            <w:tcW w:w="8838" w:type="dxa"/>
          </w:tcPr>
          <w:p w14:paraId="11AE96C6"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35642086" wp14:editId="5D4095C9">
                  <wp:extent cx="5569326" cy="2340000"/>
                  <wp:effectExtent l="0" t="0" r="0" b="3175"/>
                  <wp:docPr id="1539" name="Imagen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569326" cy="2340000"/>
                          </a:xfrm>
                          <a:prstGeom prst="rect">
                            <a:avLst/>
                          </a:prstGeom>
                          <a:noFill/>
                          <a:ln>
                            <a:noFill/>
                          </a:ln>
                        </pic:spPr>
                      </pic:pic>
                    </a:graphicData>
                  </a:graphic>
                </wp:inline>
              </w:drawing>
            </w:r>
          </w:p>
        </w:tc>
      </w:tr>
      <w:tr w:rsidR="00172472" w:rsidRPr="00172472" w14:paraId="577A4E70" w14:textId="77777777" w:rsidTr="00EA3974">
        <w:tc>
          <w:tcPr>
            <w:tcW w:w="8838" w:type="dxa"/>
          </w:tcPr>
          <w:p w14:paraId="74896F28"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11BF2972" wp14:editId="6DA5C3B1">
                  <wp:extent cx="5524134" cy="2052000"/>
                  <wp:effectExtent l="0" t="0" r="635" b="5715"/>
                  <wp:docPr id="1540" name="Imagen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524134" cy="2052000"/>
                          </a:xfrm>
                          <a:prstGeom prst="rect">
                            <a:avLst/>
                          </a:prstGeom>
                          <a:noFill/>
                          <a:ln>
                            <a:noFill/>
                          </a:ln>
                        </pic:spPr>
                      </pic:pic>
                    </a:graphicData>
                  </a:graphic>
                </wp:inline>
              </w:drawing>
            </w:r>
          </w:p>
        </w:tc>
      </w:tr>
      <w:tr w:rsidR="00172472" w:rsidRPr="00172472" w14:paraId="00AEFFB8" w14:textId="77777777" w:rsidTr="00EA3974">
        <w:tc>
          <w:tcPr>
            <w:tcW w:w="8838" w:type="dxa"/>
          </w:tcPr>
          <w:p w14:paraId="0A1FF0BD" w14:textId="77777777" w:rsidR="00172472" w:rsidRPr="00A5240C" w:rsidRDefault="00172472" w:rsidP="00172472">
            <w:pPr>
              <w:ind w:left="227" w:hanging="227"/>
              <w:jc w:val="both"/>
              <w:rPr>
                <w:rFonts w:eastAsia="Calibri"/>
                <w:sz w:val="18"/>
                <w:szCs w:val="18"/>
                <w:lang w:eastAsia="en-US"/>
              </w:rPr>
            </w:pPr>
            <w:r w:rsidRPr="00A5240C">
              <w:rPr>
                <w:rFonts w:eastAsia="Calibri"/>
                <w:sz w:val="18"/>
                <w:szCs w:val="18"/>
                <w:u w:val="single"/>
                <w:lang w:eastAsia="en-US"/>
              </w:rPr>
              <w:t>1</w:t>
            </w:r>
            <w:r w:rsidRPr="00A5240C">
              <w:rPr>
                <w:rFonts w:eastAsia="Calibri"/>
                <w:sz w:val="18"/>
                <w:szCs w:val="18"/>
                <w:lang w:eastAsia="en-US"/>
              </w:rPr>
              <w:t xml:space="preserve">/ Toda la gama de emisores y vencimientos, por nacionalidad del emisor.    </w:t>
            </w:r>
          </w:p>
          <w:p w14:paraId="0663322B" w14:textId="77777777" w:rsidR="00172472" w:rsidRPr="00A5240C" w:rsidRDefault="00172472" w:rsidP="00172472">
            <w:pPr>
              <w:ind w:left="227" w:hanging="227"/>
              <w:jc w:val="both"/>
              <w:rPr>
                <w:rFonts w:eastAsia="Calibri"/>
                <w:sz w:val="18"/>
                <w:szCs w:val="18"/>
                <w:lang w:eastAsia="en-US"/>
              </w:rPr>
            </w:pPr>
            <w:r w:rsidRPr="00A5240C">
              <w:rPr>
                <w:rFonts w:eastAsia="Calibri"/>
                <w:sz w:val="18"/>
                <w:szCs w:val="18"/>
                <w:u w:val="single"/>
                <w:lang w:eastAsia="en-US"/>
              </w:rPr>
              <w:t>2</w:t>
            </w:r>
            <w:r w:rsidRPr="00A5240C">
              <w:rPr>
                <w:rFonts w:eastAsia="Calibri"/>
                <w:sz w:val="18"/>
                <w:szCs w:val="18"/>
                <w:lang w:eastAsia="en-US"/>
              </w:rPr>
              <w:t xml:space="preserve">/ La lista de países puede consultarse en el anexo estadístico.    </w:t>
            </w:r>
          </w:p>
          <w:p w14:paraId="2688553E" w14:textId="77777777" w:rsidR="00172472" w:rsidRPr="00A5240C" w:rsidRDefault="00172472" w:rsidP="00172472">
            <w:pPr>
              <w:ind w:left="227" w:hanging="227"/>
              <w:jc w:val="both"/>
              <w:rPr>
                <w:rFonts w:eastAsia="Calibri"/>
                <w:sz w:val="18"/>
                <w:szCs w:val="18"/>
                <w:lang w:eastAsia="en-US"/>
              </w:rPr>
            </w:pPr>
            <w:r w:rsidRPr="00A5240C">
              <w:rPr>
                <w:rFonts w:eastAsia="Calibri"/>
                <w:sz w:val="18"/>
                <w:szCs w:val="18"/>
                <w:u w:val="single"/>
                <w:lang w:eastAsia="en-US"/>
              </w:rPr>
              <w:t>3</w:t>
            </w:r>
            <w:r w:rsidRPr="00A5240C">
              <w:rPr>
                <w:rFonts w:eastAsia="Calibri"/>
                <w:sz w:val="18"/>
                <w:szCs w:val="18"/>
                <w:lang w:eastAsia="en-US"/>
              </w:rPr>
              <w:t xml:space="preserve">/ Incluye Hong Kong RAE y Singapur.    </w:t>
            </w:r>
          </w:p>
          <w:p w14:paraId="573AF926" w14:textId="77777777" w:rsidR="00172472" w:rsidRPr="00A5240C" w:rsidRDefault="00172472" w:rsidP="00172472">
            <w:pPr>
              <w:ind w:left="227" w:hanging="227"/>
              <w:jc w:val="both"/>
              <w:rPr>
                <w:rFonts w:eastAsia="Calibri"/>
                <w:sz w:val="18"/>
                <w:szCs w:val="18"/>
                <w:lang w:eastAsia="en-US"/>
              </w:rPr>
            </w:pPr>
            <w:r w:rsidRPr="00A5240C">
              <w:rPr>
                <w:rFonts w:eastAsia="Calibri"/>
                <w:sz w:val="18"/>
                <w:szCs w:val="18"/>
                <w:u w:val="single"/>
                <w:lang w:eastAsia="en-US"/>
              </w:rPr>
              <w:t>4</w:t>
            </w:r>
            <w:r w:rsidRPr="00A5240C">
              <w:rPr>
                <w:rFonts w:eastAsia="Calibri"/>
                <w:sz w:val="18"/>
                <w:szCs w:val="18"/>
                <w:lang w:eastAsia="en-US"/>
              </w:rPr>
              <w:t xml:space="preserve">/ Emisión trimestral acumulada neta.    </w:t>
            </w:r>
          </w:p>
          <w:p w14:paraId="0C75078A" w14:textId="77777777" w:rsidR="00172472" w:rsidRPr="00A5240C" w:rsidRDefault="00172472" w:rsidP="00172472">
            <w:pPr>
              <w:ind w:left="936" w:hanging="936"/>
              <w:jc w:val="both"/>
              <w:rPr>
                <w:rFonts w:eastAsia="Calibri"/>
                <w:sz w:val="18"/>
                <w:szCs w:val="18"/>
                <w:lang w:eastAsia="en-US"/>
              </w:rPr>
            </w:pPr>
            <w:r w:rsidRPr="00A5240C">
              <w:rPr>
                <w:rFonts w:eastAsia="Calibri"/>
                <w:sz w:val="18"/>
                <w:szCs w:val="18"/>
                <w:lang w:eastAsia="en-US"/>
              </w:rPr>
              <w:t xml:space="preserve">FUENTE: </w:t>
            </w:r>
            <w:r w:rsidRPr="00A5240C">
              <w:rPr>
                <w:rFonts w:eastAsia="Calibri"/>
                <w:i/>
                <w:sz w:val="18"/>
                <w:szCs w:val="18"/>
                <w:lang w:eastAsia="en-US"/>
              </w:rPr>
              <w:t>Dealogic; Euroclear; Thomson Reuters; Xtrakter Ltd;</w:t>
            </w:r>
            <w:r w:rsidRPr="00A5240C">
              <w:rPr>
                <w:rFonts w:eastAsia="Calibri"/>
                <w:sz w:val="18"/>
                <w:szCs w:val="18"/>
                <w:lang w:eastAsia="en-US"/>
              </w:rPr>
              <w:t xml:space="preserve"> cálculos del BPI.</w:t>
            </w:r>
          </w:p>
        </w:tc>
      </w:tr>
    </w:tbl>
    <w:p w14:paraId="7062F97A"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lastRenderedPageBreak/>
        <w:t>Tal y como ha sido el caso en los últimos años, la fuerza del dólar estadounidense impulsó la emisión denominada en dólares</w:t>
      </w:r>
      <w:r w:rsidRPr="00172472">
        <w:rPr>
          <w:rFonts w:eastAsia="Calibri"/>
          <w:sz w:val="26"/>
          <w:szCs w:val="26"/>
          <w:vertAlign w:val="superscript"/>
          <w:lang w:eastAsia="en-US"/>
        </w:rPr>
        <w:footnoteReference w:id="59"/>
      </w:r>
      <w:r w:rsidRPr="00172472">
        <w:rPr>
          <w:rFonts w:eastAsia="Calibri"/>
          <w:sz w:val="26"/>
          <w:szCs w:val="26"/>
          <w:lang w:eastAsia="en-US"/>
        </w:rPr>
        <w:t xml:space="preserve">. La emisión de deuda internacional denominada en dólares estadounidenses, neta de amortizaciones, ascendió a 106 mil millones de dólares en el cuarto trimestre de 2014, mientras que la emisión neta denominada en euros tan solo supuso 9 mil 800 millones de dólares. Para el conjunto del año, la emisión neta denominada en dólares fue de 650 mil millones de dólares, frente a los 5 mil millones de amortizaciones netas de títulos denominados en euros. </w:t>
      </w:r>
    </w:p>
    <w:p w14:paraId="2009A9D2"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Las empresas no pertenecientes al sector bancario acapararon la mayoría del endeudamiento neto en los mercados de títulos de deuda internacionales de las economías avanzadas (Gráfica anterior, panel superior izquierdo). En cambio, tanto bancos como entidades no bancarias y gobiernos en general utilizaron este canal en las EME (Gráfica anterior, panel superior derecho). En los últimos años, las empresas del sector del petróleo y el gas han tenido un papel significativo en la emisión de títulos de deuda internacionales por entidades de mercados emergentes</w:t>
      </w:r>
      <w:r w:rsidRPr="00172472">
        <w:rPr>
          <w:rFonts w:eastAsia="Calibri"/>
          <w:sz w:val="26"/>
          <w:szCs w:val="26"/>
          <w:vertAlign w:val="superscript"/>
          <w:lang w:eastAsia="en-US"/>
        </w:rPr>
        <w:footnoteReference w:id="60"/>
      </w:r>
      <w:r w:rsidRPr="00172472">
        <w:rPr>
          <w:rFonts w:eastAsia="Calibri"/>
          <w:sz w:val="26"/>
          <w:szCs w:val="26"/>
          <w:lang w:eastAsia="en-US"/>
        </w:rPr>
        <w:t>.</w:t>
      </w:r>
    </w:p>
    <w:p w14:paraId="2DC4915E" w14:textId="77777777" w:rsidR="00172472" w:rsidRPr="00172472" w:rsidRDefault="00172472" w:rsidP="00172472">
      <w:pPr>
        <w:ind w:right="-159"/>
        <w:jc w:val="both"/>
        <w:rPr>
          <w:rFonts w:eastAsia="Calibri"/>
          <w:b/>
          <w:sz w:val="26"/>
          <w:szCs w:val="26"/>
          <w:lang w:eastAsia="en-US"/>
        </w:rPr>
      </w:pPr>
      <w:r w:rsidRPr="00172472">
        <w:rPr>
          <w:rFonts w:eastAsia="Calibri"/>
          <w:b/>
          <w:sz w:val="26"/>
          <w:szCs w:val="26"/>
          <w:lang w:eastAsia="en-US"/>
        </w:rPr>
        <w:t xml:space="preserve">El cambio en los patrones de los flujos de financiamiento presiona a los prestatarios </w:t>
      </w:r>
    </w:p>
    <w:p w14:paraId="69097FD7" w14:textId="77777777" w:rsidR="00172472" w:rsidRPr="00172472" w:rsidRDefault="00172472" w:rsidP="00172472">
      <w:pPr>
        <w:ind w:right="-159"/>
        <w:jc w:val="both"/>
        <w:rPr>
          <w:rFonts w:eastAsia="Calibri"/>
          <w:b/>
          <w:sz w:val="26"/>
          <w:szCs w:val="26"/>
          <w:lang w:eastAsia="en-US"/>
        </w:rPr>
      </w:pPr>
    </w:p>
    <w:p w14:paraId="2C7A39E4" w14:textId="77777777"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 xml:space="preserve">El cambio de los patrones de los flujos mundiales bancarios y de capitales puede tener importantes implicaciones para los riesgos de estabilidad financiera. Algunos indicadores de alerta temprana pueden ayudar a identificar la acumulación de dichos riesgos, al destacar los auges financieros inusualmente fuertes y las vulnerabilidades agregadas para los aumentos de tasas de interés. Ahora bien, estos indicadores están sujetos inevitablemente a un considerable margen de error, por lo que deberían interpretarse con cautela. Los indicadores que se han considerado útiles en el pasado son el incremento de la relación entre crédito y PIB, y la subida de los precios de los </w:t>
      </w:r>
      <w:r w:rsidRPr="00172472">
        <w:rPr>
          <w:rFonts w:eastAsia="Calibri"/>
          <w:sz w:val="26"/>
          <w:szCs w:val="26"/>
          <w:lang w:eastAsia="en-US"/>
        </w:rPr>
        <w:lastRenderedPageBreak/>
        <w:t>inmuebles, así como el coeficiente de servicio de la deuda (amortización del principal y pago de intereses en proporción a la renta), todos ellos en relación con sus tendencias de largo plazo</w:t>
      </w:r>
      <w:r w:rsidRPr="00172472">
        <w:rPr>
          <w:rFonts w:eastAsia="Calibri"/>
          <w:sz w:val="26"/>
          <w:szCs w:val="26"/>
          <w:vertAlign w:val="superscript"/>
          <w:lang w:eastAsia="en-US"/>
        </w:rPr>
        <w:footnoteReference w:id="61"/>
      </w:r>
      <w:r w:rsidRPr="00172472">
        <w:rPr>
          <w:rFonts w:eastAsia="Calibri"/>
          <w:sz w:val="26"/>
          <w:szCs w:val="26"/>
          <w:lang w:eastAsia="en-US"/>
        </w:rPr>
        <w:t>. En el caso de algunos países, estos indicadores sugieren la posible acumulación de riesgos (Cuadro siguiente)</w:t>
      </w:r>
      <w:r w:rsidRPr="00172472">
        <w:rPr>
          <w:rFonts w:eastAsia="Calibri"/>
          <w:sz w:val="26"/>
          <w:szCs w:val="26"/>
          <w:vertAlign w:val="superscript"/>
          <w:lang w:eastAsia="en-US"/>
        </w:rPr>
        <w:footnoteReference w:id="62"/>
      </w:r>
      <w:r w:rsidRPr="00172472">
        <w:rPr>
          <w:rFonts w:eastAsia="Calibri"/>
          <w:sz w:val="26"/>
          <w:szCs w:val="26"/>
          <w:lang w:eastAsia="en-US"/>
        </w:rPr>
        <w:t xml:space="preserve">.  </w:t>
      </w:r>
    </w:p>
    <w:tbl>
      <w:tblPr>
        <w:tblW w:w="8931" w:type="dxa"/>
        <w:jc w:val="center"/>
        <w:tblLook w:val="04A0" w:firstRow="1" w:lastRow="0" w:firstColumn="1" w:lastColumn="0" w:noHBand="0" w:noVBand="1"/>
      </w:tblPr>
      <w:tblGrid>
        <w:gridCol w:w="1661"/>
        <w:gridCol w:w="2304"/>
        <w:gridCol w:w="1667"/>
        <w:gridCol w:w="1514"/>
        <w:gridCol w:w="1785"/>
      </w:tblGrid>
      <w:tr w:rsidR="00172472" w:rsidRPr="00172472" w14:paraId="239415AB" w14:textId="77777777" w:rsidTr="00634E36">
        <w:trPr>
          <w:jc w:val="center"/>
        </w:trPr>
        <w:tc>
          <w:tcPr>
            <w:tcW w:w="8931" w:type="dxa"/>
            <w:gridSpan w:val="5"/>
            <w:tcBorders>
              <w:top w:val="nil"/>
              <w:left w:val="nil"/>
              <w:bottom w:val="single" w:sz="4" w:space="0" w:color="auto"/>
              <w:right w:val="nil"/>
            </w:tcBorders>
          </w:tcPr>
          <w:p w14:paraId="680BB10C" w14:textId="77777777" w:rsidR="00172472" w:rsidRPr="00172472" w:rsidRDefault="00172472" w:rsidP="00172472">
            <w:pPr>
              <w:jc w:val="center"/>
              <w:rPr>
                <w:rFonts w:eastAsia="Calibri"/>
                <w:b/>
                <w:sz w:val="22"/>
                <w:szCs w:val="20"/>
                <w:lang w:eastAsia="en-US"/>
              </w:rPr>
            </w:pPr>
            <w:r w:rsidRPr="00172472">
              <w:rPr>
                <w:rFonts w:eastAsia="Calibri"/>
                <w:b/>
                <w:sz w:val="22"/>
                <w:szCs w:val="20"/>
                <w:lang w:eastAsia="en-US"/>
              </w:rPr>
              <w:t>LOS INDICADORES DE ALERTA TEMPRANA DE CRISIS BANCARIAS NACIONALES AVISAN DE RIESGOS EN EL FUTURO</w:t>
            </w:r>
            <w:r w:rsidRPr="00172472">
              <w:rPr>
                <w:rFonts w:eastAsia="Calibri"/>
                <w:b/>
                <w:sz w:val="22"/>
                <w:szCs w:val="20"/>
                <w:u w:val="single"/>
                <w:vertAlign w:val="superscript"/>
                <w:lang w:eastAsia="en-US"/>
              </w:rPr>
              <w:t>1</w:t>
            </w:r>
            <w:r w:rsidRPr="00172472">
              <w:rPr>
                <w:rFonts w:eastAsia="Calibri"/>
                <w:b/>
                <w:sz w:val="22"/>
                <w:szCs w:val="20"/>
                <w:vertAlign w:val="superscript"/>
                <w:lang w:eastAsia="en-US"/>
              </w:rPr>
              <w:t>/</w:t>
            </w:r>
          </w:p>
        </w:tc>
      </w:tr>
      <w:tr w:rsidR="00172472" w:rsidRPr="00634E36" w14:paraId="40187BB6" w14:textId="77777777" w:rsidTr="00634E36">
        <w:trPr>
          <w:jc w:val="center"/>
        </w:trPr>
        <w:tc>
          <w:tcPr>
            <w:tcW w:w="1661" w:type="dxa"/>
            <w:tcBorders>
              <w:top w:val="single" w:sz="4" w:space="0" w:color="auto"/>
              <w:left w:val="single" w:sz="4" w:space="0" w:color="auto"/>
              <w:bottom w:val="single" w:sz="4" w:space="0" w:color="auto"/>
              <w:right w:val="single" w:sz="4" w:space="0" w:color="auto"/>
            </w:tcBorders>
          </w:tcPr>
          <w:p w14:paraId="031001B7" w14:textId="77777777" w:rsidR="00172472" w:rsidRPr="00634E36" w:rsidRDefault="00172472" w:rsidP="00172472">
            <w:pPr>
              <w:jc w:val="both"/>
              <w:rPr>
                <w:rFonts w:eastAsia="Calibri"/>
                <w:b/>
                <w:sz w:val="20"/>
                <w:szCs w:val="20"/>
                <w:lang w:eastAsia="en-US"/>
              </w:rPr>
            </w:pPr>
          </w:p>
        </w:tc>
        <w:tc>
          <w:tcPr>
            <w:tcW w:w="2304" w:type="dxa"/>
            <w:tcBorders>
              <w:top w:val="single" w:sz="4" w:space="0" w:color="auto"/>
              <w:left w:val="single" w:sz="4" w:space="0" w:color="auto"/>
              <w:bottom w:val="single" w:sz="4" w:space="0" w:color="auto"/>
              <w:right w:val="single" w:sz="4" w:space="0" w:color="auto"/>
            </w:tcBorders>
            <w:vAlign w:val="center"/>
          </w:tcPr>
          <w:p w14:paraId="181E6CA0" w14:textId="77777777" w:rsidR="00172472" w:rsidRPr="00634E36" w:rsidRDefault="00172472" w:rsidP="00172472">
            <w:pPr>
              <w:jc w:val="center"/>
              <w:rPr>
                <w:rFonts w:eastAsia="Calibri"/>
                <w:b/>
                <w:sz w:val="20"/>
                <w:szCs w:val="20"/>
                <w:lang w:eastAsia="en-US"/>
              </w:rPr>
            </w:pPr>
            <w:r w:rsidRPr="00634E36">
              <w:rPr>
                <w:rFonts w:eastAsia="Calibri"/>
                <w:b/>
                <w:sz w:val="20"/>
                <w:szCs w:val="20"/>
                <w:lang w:eastAsia="en-US"/>
              </w:rPr>
              <w:t>Brecha crédito-PIB</w:t>
            </w:r>
            <w:r w:rsidRPr="00634E36">
              <w:rPr>
                <w:rFonts w:eastAsia="Calibri"/>
                <w:b/>
                <w:sz w:val="20"/>
                <w:szCs w:val="20"/>
                <w:u w:val="single"/>
                <w:vertAlign w:val="superscript"/>
                <w:lang w:eastAsia="en-US"/>
              </w:rPr>
              <w:t>2</w:t>
            </w:r>
            <w:r w:rsidRPr="00634E36">
              <w:rPr>
                <w:rFonts w:eastAsia="Calibri"/>
                <w:b/>
                <w:sz w:val="20"/>
                <w:szCs w:val="20"/>
                <w:vertAlign w:val="superscript"/>
                <w:lang w:eastAsia="en-US"/>
              </w:rPr>
              <w:t>/</w:t>
            </w:r>
          </w:p>
        </w:tc>
        <w:tc>
          <w:tcPr>
            <w:tcW w:w="1667" w:type="dxa"/>
            <w:tcBorders>
              <w:top w:val="single" w:sz="4" w:space="0" w:color="auto"/>
              <w:left w:val="single" w:sz="4" w:space="0" w:color="auto"/>
              <w:bottom w:val="single" w:sz="4" w:space="0" w:color="auto"/>
              <w:right w:val="single" w:sz="4" w:space="0" w:color="auto"/>
            </w:tcBorders>
            <w:vAlign w:val="center"/>
          </w:tcPr>
          <w:p w14:paraId="6239F0DF" w14:textId="77777777" w:rsidR="00172472" w:rsidRPr="00634E36" w:rsidRDefault="00172472" w:rsidP="00172472">
            <w:pPr>
              <w:jc w:val="center"/>
              <w:rPr>
                <w:rFonts w:eastAsia="Calibri"/>
                <w:b/>
                <w:sz w:val="20"/>
                <w:szCs w:val="20"/>
                <w:lang w:eastAsia="en-US"/>
              </w:rPr>
            </w:pPr>
            <w:r w:rsidRPr="00634E36">
              <w:rPr>
                <w:rFonts w:eastAsia="Calibri"/>
                <w:b/>
                <w:sz w:val="20"/>
                <w:szCs w:val="20"/>
                <w:lang w:eastAsia="en-US"/>
              </w:rPr>
              <w:t>Brecha de precios inmobiliarios</w:t>
            </w:r>
            <w:r w:rsidRPr="00634E36">
              <w:rPr>
                <w:rFonts w:eastAsia="Calibri"/>
                <w:b/>
                <w:sz w:val="20"/>
                <w:szCs w:val="20"/>
                <w:u w:val="single"/>
                <w:vertAlign w:val="superscript"/>
                <w:lang w:eastAsia="en-US"/>
              </w:rPr>
              <w:t>3</w:t>
            </w:r>
            <w:r w:rsidRPr="00634E36">
              <w:rPr>
                <w:rFonts w:eastAsia="Calibri"/>
                <w:b/>
                <w:sz w:val="20"/>
                <w:szCs w:val="20"/>
                <w:vertAlign w:val="superscript"/>
                <w:lang w:eastAsia="en-US"/>
              </w:rPr>
              <w:t>/</w:t>
            </w:r>
          </w:p>
        </w:tc>
        <w:tc>
          <w:tcPr>
            <w:tcW w:w="1514" w:type="dxa"/>
            <w:tcBorders>
              <w:top w:val="single" w:sz="4" w:space="0" w:color="auto"/>
              <w:left w:val="single" w:sz="4" w:space="0" w:color="auto"/>
              <w:bottom w:val="single" w:sz="4" w:space="0" w:color="auto"/>
              <w:right w:val="single" w:sz="4" w:space="0" w:color="auto"/>
            </w:tcBorders>
            <w:vAlign w:val="center"/>
          </w:tcPr>
          <w:p w14:paraId="63DA7513" w14:textId="77777777" w:rsidR="00172472" w:rsidRPr="00634E36" w:rsidRDefault="00172472" w:rsidP="00172472">
            <w:pPr>
              <w:jc w:val="center"/>
              <w:rPr>
                <w:rFonts w:eastAsia="Calibri"/>
                <w:b/>
                <w:sz w:val="20"/>
                <w:szCs w:val="20"/>
                <w:lang w:eastAsia="en-US"/>
              </w:rPr>
            </w:pPr>
            <w:r w:rsidRPr="00634E36">
              <w:rPr>
                <w:rFonts w:eastAsia="Calibri"/>
                <w:b/>
                <w:sz w:val="20"/>
                <w:szCs w:val="20"/>
                <w:lang w:eastAsia="en-US"/>
              </w:rPr>
              <w:t>Coeficiente de servicio de la deuda (DSR)</w:t>
            </w:r>
            <w:r w:rsidRPr="00634E36">
              <w:rPr>
                <w:rFonts w:eastAsia="Calibri"/>
                <w:b/>
                <w:sz w:val="20"/>
                <w:szCs w:val="20"/>
                <w:u w:val="single"/>
                <w:vertAlign w:val="superscript"/>
                <w:lang w:eastAsia="en-US"/>
              </w:rPr>
              <w:t>4</w:t>
            </w:r>
            <w:r w:rsidRPr="00634E36">
              <w:rPr>
                <w:rFonts w:eastAsia="Calibri"/>
                <w:b/>
                <w:sz w:val="20"/>
                <w:szCs w:val="20"/>
                <w:vertAlign w:val="superscript"/>
                <w:lang w:eastAsia="en-US"/>
              </w:rPr>
              <w:t>/</w:t>
            </w:r>
          </w:p>
        </w:tc>
        <w:tc>
          <w:tcPr>
            <w:tcW w:w="1785" w:type="dxa"/>
            <w:tcBorders>
              <w:top w:val="single" w:sz="4" w:space="0" w:color="auto"/>
              <w:left w:val="single" w:sz="4" w:space="0" w:color="auto"/>
              <w:bottom w:val="single" w:sz="4" w:space="0" w:color="auto"/>
              <w:right w:val="single" w:sz="4" w:space="0" w:color="auto"/>
            </w:tcBorders>
            <w:vAlign w:val="center"/>
          </w:tcPr>
          <w:p w14:paraId="4ECA407B" w14:textId="77777777" w:rsidR="00172472" w:rsidRPr="00634E36" w:rsidRDefault="00172472" w:rsidP="00172472">
            <w:pPr>
              <w:jc w:val="center"/>
              <w:rPr>
                <w:rFonts w:eastAsia="Calibri"/>
                <w:b/>
                <w:sz w:val="20"/>
                <w:szCs w:val="20"/>
                <w:lang w:eastAsia="en-US"/>
              </w:rPr>
            </w:pPr>
            <w:r w:rsidRPr="00634E36">
              <w:rPr>
                <w:rFonts w:eastAsia="Calibri"/>
                <w:b/>
                <w:sz w:val="20"/>
                <w:szCs w:val="20"/>
                <w:lang w:eastAsia="en-US"/>
              </w:rPr>
              <w:t>DSR con un aumento de 250 pb de las tasas de interés</w:t>
            </w:r>
            <w:r w:rsidRPr="00634E36">
              <w:rPr>
                <w:rFonts w:eastAsia="Calibri"/>
                <w:b/>
                <w:sz w:val="20"/>
                <w:szCs w:val="20"/>
                <w:u w:val="single"/>
                <w:vertAlign w:val="superscript"/>
                <w:lang w:eastAsia="en-US"/>
              </w:rPr>
              <w:t>4</w:t>
            </w:r>
            <w:r w:rsidRPr="00634E36">
              <w:rPr>
                <w:rFonts w:eastAsia="Calibri"/>
                <w:b/>
                <w:sz w:val="20"/>
                <w:szCs w:val="20"/>
                <w:vertAlign w:val="superscript"/>
                <w:lang w:eastAsia="en-US"/>
              </w:rPr>
              <w:t>/,</w:t>
            </w:r>
            <w:r w:rsidRPr="00634E36">
              <w:rPr>
                <w:rFonts w:eastAsia="Calibri"/>
                <w:b/>
                <w:sz w:val="20"/>
                <w:szCs w:val="20"/>
                <w:u w:val="single"/>
                <w:vertAlign w:val="superscript"/>
                <w:lang w:eastAsia="en-US"/>
              </w:rPr>
              <w:t>5</w:t>
            </w:r>
            <w:r w:rsidRPr="00634E36">
              <w:rPr>
                <w:rFonts w:eastAsia="Calibri"/>
                <w:b/>
                <w:sz w:val="20"/>
                <w:szCs w:val="20"/>
                <w:vertAlign w:val="superscript"/>
                <w:lang w:eastAsia="en-US"/>
              </w:rPr>
              <w:t>/</w:t>
            </w:r>
          </w:p>
        </w:tc>
      </w:tr>
      <w:tr w:rsidR="00172472" w:rsidRPr="00172472" w14:paraId="5BE6E2EB" w14:textId="77777777" w:rsidTr="00634E36">
        <w:trPr>
          <w:jc w:val="center"/>
        </w:trPr>
        <w:tc>
          <w:tcPr>
            <w:tcW w:w="1661" w:type="dxa"/>
            <w:tcBorders>
              <w:top w:val="single" w:sz="4" w:space="0" w:color="auto"/>
              <w:left w:val="single" w:sz="4" w:space="0" w:color="auto"/>
              <w:right w:val="single" w:sz="4" w:space="0" w:color="auto"/>
            </w:tcBorders>
          </w:tcPr>
          <w:p w14:paraId="064EC478"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Asia</w:t>
            </w:r>
            <w:r w:rsidRPr="00172472">
              <w:rPr>
                <w:rFonts w:eastAsia="Calibri"/>
                <w:sz w:val="20"/>
                <w:szCs w:val="20"/>
                <w:u w:val="single"/>
                <w:vertAlign w:val="superscript"/>
                <w:lang w:eastAsia="en-US"/>
              </w:rPr>
              <w:t>6</w:t>
            </w:r>
            <w:r w:rsidRPr="00172472">
              <w:rPr>
                <w:rFonts w:eastAsia="Calibri"/>
                <w:sz w:val="20"/>
                <w:szCs w:val="20"/>
                <w:vertAlign w:val="superscript"/>
                <w:lang w:eastAsia="en-US"/>
              </w:rPr>
              <w:t>/</w:t>
            </w:r>
          </w:p>
        </w:tc>
        <w:tc>
          <w:tcPr>
            <w:tcW w:w="2304" w:type="dxa"/>
            <w:tcBorders>
              <w:top w:val="single" w:sz="4" w:space="0" w:color="auto"/>
              <w:left w:val="single" w:sz="4" w:space="0" w:color="auto"/>
              <w:right w:val="single" w:sz="4" w:space="0" w:color="auto"/>
            </w:tcBorders>
          </w:tcPr>
          <w:p w14:paraId="16D3F0C9"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18.9</w:t>
            </w:r>
          </w:p>
        </w:tc>
        <w:tc>
          <w:tcPr>
            <w:tcW w:w="1667" w:type="dxa"/>
            <w:tcBorders>
              <w:top w:val="single" w:sz="4" w:space="0" w:color="auto"/>
              <w:left w:val="single" w:sz="4" w:space="0" w:color="auto"/>
              <w:right w:val="single" w:sz="4" w:space="0" w:color="auto"/>
            </w:tcBorders>
          </w:tcPr>
          <w:p w14:paraId="5BC9038B"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10.6</w:t>
            </w:r>
          </w:p>
        </w:tc>
        <w:tc>
          <w:tcPr>
            <w:tcW w:w="1514" w:type="dxa"/>
            <w:tcBorders>
              <w:top w:val="single" w:sz="4" w:space="0" w:color="auto"/>
              <w:left w:val="single" w:sz="4" w:space="0" w:color="auto"/>
              <w:right w:val="single" w:sz="4" w:space="0" w:color="auto"/>
            </w:tcBorders>
          </w:tcPr>
          <w:p w14:paraId="4999D1FF"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3.6</w:t>
            </w:r>
          </w:p>
        </w:tc>
        <w:tc>
          <w:tcPr>
            <w:tcW w:w="1785" w:type="dxa"/>
            <w:tcBorders>
              <w:top w:val="single" w:sz="4" w:space="0" w:color="auto"/>
              <w:left w:val="single" w:sz="4" w:space="0" w:color="auto"/>
              <w:right w:val="single" w:sz="4" w:space="0" w:color="auto"/>
            </w:tcBorders>
          </w:tcPr>
          <w:p w14:paraId="2D1A100F"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5.7</w:t>
            </w:r>
          </w:p>
        </w:tc>
      </w:tr>
      <w:tr w:rsidR="00172472" w:rsidRPr="00172472" w14:paraId="107A2359" w14:textId="77777777" w:rsidTr="00634E36">
        <w:trPr>
          <w:jc w:val="center"/>
        </w:trPr>
        <w:tc>
          <w:tcPr>
            <w:tcW w:w="1661" w:type="dxa"/>
            <w:tcBorders>
              <w:left w:val="single" w:sz="4" w:space="0" w:color="auto"/>
              <w:right w:val="single" w:sz="4" w:space="0" w:color="auto"/>
            </w:tcBorders>
          </w:tcPr>
          <w:p w14:paraId="439C388C"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Alemania</w:t>
            </w:r>
          </w:p>
        </w:tc>
        <w:tc>
          <w:tcPr>
            <w:tcW w:w="2304" w:type="dxa"/>
            <w:tcBorders>
              <w:left w:val="single" w:sz="4" w:space="0" w:color="auto"/>
              <w:right w:val="single" w:sz="4" w:space="0" w:color="auto"/>
            </w:tcBorders>
          </w:tcPr>
          <w:p w14:paraId="5B323145"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-8.2</w:t>
            </w:r>
          </w:p>
        </w:tc>
        <w:tc>
          <w:tcPr>
            <w:tcW w:w="1667" w:type="dxa"/>
            <w:tcBorders>
              <w:left w:val="single" w:sz="4" w:space="0" w:color="auto"/>
              <w:right w:val="single" w:sz="4" w:space="0" w:color="auto"/>
            </w:tcBorders>
          </w:tcPr>
          <w:p w14:paraId="2F98F8D0"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8.3</w:t>
            </w:r>
          </w:p>
        </w:tc>
        <w:tc>
          <w:tcPr>
            <w:tcW w:w="1514" w:type="dxa"/>
            <w:tcBorders>
              <w:left w:val="single" w:sz="4" w:space="0" w:color="auto"/>
              <w:right w:val="single" w:sz="4" w:space="0" w:color="auto"/>
            </w:tcBorders>
          </w:tcPr>
          <w:p w14:paraId="1A8E07C0"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-2.4</w:t>
            </w:r>
          </w:p>
        </w:tc>
        <w:tc>
          <w:tcPr>
            <w:tcW w:w="1785" w:type="dxa"/>
            <w:tcBorders>
              <w:left w:val="single" w:sz="4" w:space="0" w:color="auto"/>
              <w:right w:val="single" w:sz="4" w:space="0" w:color="auto"/>
            </w:tcBorders>
          </w:tcPr>
          <w:p w14:paraId="55CC0F77"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-0.6</w:t>
            </w:r>
          </w:p>
        </w:tc>
      </w:tr>
      <w:tr w:rsidR="00172472" w:rsidRPr="00172472" w14:paraId="3B29BEA1" w14:textId="77777777" w:rsidTr="00634E36">
        <w:trPr>
          <w:jc w:val="center"/>
        </w:trPr>
        <w:tc>
          <w:tcPr>
            <w:tcW w:w="1661" w:type="dxa"/>
            <w:tcBorders>
              <w:left w:val="single" w:sz="4" w:space="0" w:color="auto"/>
              <w:right w:val="single" w:sz="4" w:space="0" w:color="auto"/>
            </w:tcBorders>
          </w:tcPr>
          <w:p w14:paraId="38AABC03"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Australia</w:t>
            </w:r>
          </w:p>
        </w:tc>
        <w:tc>
          <w:tcPr>
            <w:tcW w:w="2304" w:type="dxa"/>
            <w:tcBorders>
              <w:left w:val="single" w:sz="4" w:space="0" w:color="auto"/>
              <w:right w:val="single" w:sz="4" w:space="0" w:color="auto"/>
            </w:tcBorders>
          </w:tcPr>
          <w:p w14:paraId="08FB9F27"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-12.3</w:t>
            </w:r>
          </w:p>
        </w:tc>
        <w:tc>
          <w:tcPr>
            <w:tcW w:w="1667" w:type="dxa"/>
            <w:tcBorders>
              <w:left w:val="single" w:sz="4" w:space="0" w:color="auto"/>
              <w:right w:val="single" w:sz="4" w:space="0" w:color="auto"/>
            </w:tcBorders>
          </w:tcPr>
          <w:p w14:paraId="38154966"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0.9</w:t>
            </w:r>
          </w:p>
        </w:tc>
        <w:tc>
          <w:tcPr>
            <w:tcW w:w="1514" w:type="dxa"/>
            <w:tcBorders>
              <w:left w:val="single" w:sz="4" w:space="0" w:color="auto"/>
              <w:right w:val="single" w:sz="4" w:space="0" w:color="auto"/>
            </w:tcBorders>
          </w:tcPr>
          <w:p w14:paraId="23ADAAAB"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0.4</w:t>
            </w:r>
          </w:p>
        </w:tc>
        <w:tc>
          <w:tcPr>
            <w:tcW w:w="1785" w:type="dxa"/>
            <w:tcBorders>
              <w:left w:val="single" w:sz="4" w:space="0" w:color="auto"/>
              <w:right w:val="single" w:sz="4" w:space="0" w:color="auto"/>
            </w:tcBorders>
          </w:tcPr>
          <w:p w14:paraId="58792914"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3.7</w:t>
            </w:r>
          </w:p>
        </w:tc>
      </w:tr>
      <w:tr w:rsidR="00172472" w:rsidRPr="00172472" w14:paraId="713B33DA" w14:textId="77777777" w:rsidTr="00634E36">
        <w:trPr>
          <w:jc w:val="center"/>
        </w:trPr>
        <w:tc>
          <w:tcPr>
            <w:tcW w:w="1661" w:type="dxa"/>
            <w:tcBorders>
              <w:left w:val="single" w:sz="4" w:space="0" w:color="auto"/>
              <w:right w:val="single" w:sz="4" w:space="0" w:color="auto"/>
            </w:tcBorders>
          </w:tcPr>
          <w:p w14:paraId="4B830293"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Brasil</w:t>
            </w:r>
          </w:p>
        </w:tc>
        <w:tc>
          <w:tcPr>
            <w:tcW w:w="2304" w:type="dxa"/>
            <w:tcBorders>
              <w:left w:val="single" w:sz="4" w:space="0" w:color="auto"/>
              <w:right w:val="single" w:sz="4" w:space="0" w:color="auto"/>
            </w:tcBorders>
          </w:tcPr>
          <w:p w14:paraId="7C06A44E"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11.7</w:t>
            </w:r>
          </w:p>
        </w:tc>
        <w:tc>
          <w:tcPr>
            <w:tcW w:w="1667" w:type="dxa"/>
            <w:tcBorders>
              <w:left w:val="single" w:sz="4" w:space="0" w:color="auto"/>
              <w:right w:val="single" w:sz="4" w:space="0" w:color="auto"/>
            </w:tcBorders>
          </w:tcPr>
          <w:p w14:paraId="25DA3B8C"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-0.6</w:t>
            </w:r>
          </w:p>
        </w:tc>
        <w:tc>
          <w:tcPr>
            <w:tcW w:w="1514" w:type="dxa"/>
            <w:tcBorders>
              <w:left w:val="single" w:sz="4" w:space="0" w:color="auto"/>
              <w:right w:val="single" w:sz="4" w:space="0" w:color="auto"/>
            </w:tcBorders>
          </w:tcPr>
          <w:p w14:paraId="402B4366"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5.0</w:t>
            </w:r>
          </w:p>
        </w:tc>
        <w:tc>
          <w:tcPr>
            <w:tcW w:w="1785" w:type="dxa"/>
            <w:tcBorders>
              <w:left w:val="single" w:sz="4" w:space="0" w:color="auto"/>
              <w:right w:val="single" w:sz="4" w:space="0" w:color="auto"/>
            </w:tcBorders>
          </w:tcPr>
          <w:p w14:paraId="56C57C37"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6.5</w:t>
            </w:r>
          </w:p>
        </w:tc>
      </w:tr>
      <w:tr w:rsidR="00172472" w:rsidRPr="00172472" w14:paraId="1F26C8CF" w14:textId="77777777" w:rsidTr="00634E36">
        <w:trPr>
          <w:jc w:val="center"/>
        </w:trPr>
        <w:tc>
          <w:tcPr>
            <w:tcW w:w="1661" w:type="dxa"/>
            <w:tcBorders>
              <w:left w:val="single" w:sz="4" w:space="0" w:color="auto"/>
              <w:right w:val="single" w:sz="4" w:space="0" w:color="auto"/>
            </w:tcBorders>
          </w:tcPr>
          <w:p w14:paraId="0741254A"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Canadá</w:t>
            </w:r>
          </w:p>
        </w:tc>
        <w:tc>
          <w:tcPr>
            <w:tcW w:w="2304" w:type="dxa"/>
            <w:tcBorders>
              <w:left w:val="single" w:sz="4" w:space="0" w:color="auto"/>
              <w:right w:val="single" w:sz="4" w:space="0" w:color="auto"/>
            </w:tcBorders>
          </w:tcPr>
          <w:p w14:paraId="69403B5B"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3.8</w:t>
            </w:r>
          </w:p>
        </w:tc>
        <w:tc>
          <w:tcPr>
            <w:tcW w:w="1667" w:type="dxa"/>
            <w:tcBorders>
              <w:left w:val="single" w:sz="4" w:space="0" w:color="auto"/>
              <w:right w:val="single" w:sz="4" w:space="0" w:color="auto"/>
            </w:tcBorders>
          </w:tcPr>
          <w:p w14:paraId="60320A18"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2.6</w:t>
            </w:r>
          </w:p>
        </w:tc>
        <w:tc>
          <w:tcPr>
            <w:tcW w:w="1514" w:type="dxa"/>
            <w:tcBorders>
              <w:left w:val="single" w:sz="4" w:space="0" w:color="auto"/>
              <w:right w:val="single" w:sz="4" w:space="0" w:color="auto"/>
            </w:tcBorders>
          </w:tcPr>
          <w:p w14:paraId="7ABA141B"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2.6</w:t>
            </w:r>
          </w:p>
        </w:tc>
        <w:tc>
          <w:tcPr>
            <w:tcW w:w="1785" w:type="dxa"/>
            <w:tcBorders>
              <w:left w:val="single" w:sz="4" w:space="0" w:color="auto"/>
              <w:right w:val="single" w:sz="4" w:space="0" w:color="auto"/>
            </w:tcBorders>
          </w:tcPr>
          <w:p w14:paraId="4FA24465"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6.1</w:t>
            </w:r>
          </w:p>
        </w:tc>
      </w:tr>
      <w:tr w:rsidR="00172472" w:rsidRPr="00172472" w14:paraId="02F3F793" w14:textId="77777777" w:rsidTr="00634E36">
        <w:trPr>
          <w:jc w:val="center"/>
        </w:trPr>
        <w:tc>
          <w:tcPr>
            <w:tcW w:w="1661" w:type="dxa"/>
            <w:tcBorders>
              <w:left w:val="single" w:sz="4" w:space="0" w:color="auto"/>
              <w:right w:val="single" w:sz="4" w:space="0" w:color="auto"/>
            </w:tcBorders>
          </w:tcPr>
          <w:p w14:paraId="2DF2792E"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China</w:t>
            </w:r>
          </w:p>
        </w:tc>
        <w:tc>
          <w:tcPr>
            <w:tcW w:w="2304" w:type="dxa"/>
            <w:tcBorders>
              <w:left w:val="single" w:sz="4" w:space="0" w:color="auto"/>
              <w:right w:val="single" w:sz="4" w:space="0" w:color="auto"/>
            </w:tcBorders>
          </w:tcPr>
          <w:p w14:paraId="4A1F943B"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21.7</w:t>
            </w:r>
          </w:p>
        </w:tc>
        <w:tc>
          <w:tcPr>
            <w:tcW w:w="1667" w:type="dxa"/>
            <w:tcBorders>
              <w:left w:val="single" w:sz="4" w:space="0" w:color="auto"/>
              <w:right w:val="single" w:sz="4" w:space="0" w:color="auto"/>
            </w:tcBorders>
          </w:tcPr>
          <w:p w14:paraId="38866FF4"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0.5</w:t>
            </w:r>
          </w:p>
        </w:tc>
        <w:tc>
          <w:tcPr>
            <w:tcW w:w="1514" w:type="dxa"/>
            <w:tcBorders>
              <w:left w:val="single" w:sz="4" w:space="0" w:color="auto"/>
              <w:right w:val="single" w:sz="4" w:space="0" w:color="auto"/>
            </w:tcBorders>
          </w:tcPr>
          <w:p w14:paraId="1881B949"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9.5</w:t>
            </w:r>
          </w:p>
        </w:tc>
        <w:tc>
          <w:tcPr>
            <w:tcW w:w="1785" w:type="dxa"/>
            <w:tcBorders>
              <w:left w:val="single" w:sz="4" w:space="0" w:color="auto"/>
              <w:right w:val="single" w:sz="4" w:space="0" w:color="auto"/>
            </w:tcBorders>
          </w:tcPr>
          <w:p w14:paraId="43ADF099"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12.4</w:t>
            </w:r>
          </w:p>
        </w:tc>
      </w:tr>
      <w:tr w:rsidR="00172472" w:rsidRPr="00172472" w14:paraId="3477B758" w14:textId="77777777" w:rsidTr="00634E36">
        <w:trPr>
          <w:jc w:val="center"/>
        </w:trPr>
        <w:tc>
          <w:tcPr>
            <w:tcW w:w="1661" w:type="dxa"/>
            <w:tcBorders>
              <w:left w:val="single" w:sz="4" w:space="0" w:color="auto"/>
              <w:right w:val="single" w:sz="4" w:space="0" w:color="auto"/>
            </w:tcBorders>
          </w:tcPr>
          <w:p w14:paraId="646D7BA5"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Corea</w:t>
            </w:r>
          </w:p>
        </w:tc>
        <w:tc>
          <w:tcPr>
            <w:tcW w:w="2304" w:type="dxa"/>
            <w:tcBorders>
              <w:left w:val="single" w:sz="4" w:space="0" w:color="auto"/>
              <w:right w:val="single" w:sz="4" w:space="0" w:color="auto"/>
            </w:tcBorders>
          </w:tcPr>
          <w:p w14:paraId="572D6074"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2.2</w:t>
            </w:r>
          </w:p>
        </w:tc>
        <w:tc>
          <w:tcPr>
            <w:tcW w:w="1667" w:type="dxa"/>
            <w:tcBorders>
              <w:left w:val="single" w:sz="4" w:space="0" w:color="auto"/>
              <w:right w:val="single" w:sz="4" w:space="0" w:color="auto"/>
            </w:tcBorders>
          </w:tcPr>
          <w:p w14:paraId="02DA281F"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4.2</w:t>
            </w:r>
          </w:p>
        </w:tc>
        <w:tc>
          <w:tcPr>
            <w:tcW w:w="1514" w:type="dxa"/>
            <w:tcBorders>
              <w:left w:val="single" w:sz="4" w:space="0" w:color="auto"/>
              <w:right w:val="single" w:sz="4" w:space="0" w:color="auto"/>
            </w:tcBorders>
          </w:tcPr>
          <w:p w14:paraId="0641E8E9"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2.4</w:t>
            </w:r>
          </w:p>
        </w:tc>
        <w:tc>
          <w:tcPr>
            <w:tcW w:w="1785" w:type="dxa"/>
            <w:tcBorders>
              <w:left w:val="single" w:sz="4" w:space="0" w:color="auto"/>
              <w:right w:val="single" w:sz="4" w:space="0" w:color="auto"/>
            </w:tcBorders>
          </w:tcPr>
          <w:p w14:paraId="2990D63D"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5.7</w:t>
            </w:r>
          </w:p>
        </w:tc>
      </w:tr>
      <w:tr w:rsidR="00172472" w:rsidRPr="00172472" w14:paraId="7AD49D27" w14:textId="77777777" w:rsidTr="00634E36">
        <w:trPr>
          <w:jc w:val="center"/>
        </w:trPr>
        <w:tc>
          <w:tcPr>
            <w:tcW w:w="1661" w:type="dxa"/>
            <w:tcBorders>
              <w:left w:val="single" w:sz="4" w:space="0" w:color="auto"/>
              <w:right w:val="single" w:sz="4" w:space="0" w:color="auto"/>
            </w:tcBorders>
          </w:tcPr>
          <w:p w14:paraId="6FC189B7"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España</w:t>
            </w:r>
          </w:p>
        </w:tc>
        <w:tc>
          <w:tcPr>
            <w:tcW w:w="2304" w:type="dxa"/>
            <w:tcBorders>
              <w:left w:val="single" w:sz="4" w:space="0" w:color="auto"/>
              <w:right w:val="single" w:sz="4" w:space="0" w:color="auto"/>
            </w:tcBorders>
          </w:tcPr>
          <w:p w14:paraId="6ECD1266" w14:textId="77777777" w:rsidR="00172472" w:rsidRPr="00172472" w:rsidRDefault="00172472" w:rsidP="00172472">
            <w:pPr>
              <w:ind w:left="-170" w:right="851"/>
              <w:jc w:val="right"/>
              <w:rPr>
                <w:rFonts w:eastAsia="Calibri"/>
                <w:sz w:val="20"/>
                <w:szCs w:val="20"/>
                <w:lang w:eastAsia="en-US"/>
              </w:rPr>
            </w:pPr>
            <w:r w:rsidRPr="00172472">
              <w:rPr>
                <w:rFonts w:eastAsia="Calibri"/>
                <w:color w:val="000000"/>
                <w:sz w:val="20"/>
                <w:szCs w:val="20"/>
                <w:lang w:eastAsia="en-US"/>
              </w:rPr>
              <w:t>-38.4</w:t>
            </w:r>
          </w:p>
        </w:tc>
        <w:tc>
          <w:tcPr>
            <w:tcW w:w="1667" w:type="dxa"/>
            <w:tcBorders>
              <w:left w:val="single" w:sz="4" w:space="0" w:color="auto"/>
              <w:right w:val="single" w:sz="4" w:space="0" w:color="auto"/>
            </w:tcBorders>
          </w:tcPr>
          <w:p w14:paraId="4C47BE47"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-29.3</w:t>
            </w:r>
          </w:p>
        </w:tc>
        <w:tc>
          <w:tcPr>
            <w:tcW w:w="1514" w:type="dxa"/>
            <w:tcBorders>
              <w:left w:val="single" w:sz="4" w:space="0" w:color="auto"/>
              <w:right w:val="single" w:sz="4" w:space="0" w:color="auto"/>
            </w:tcBorders>
          </w:tcPr>
          <w:p w14:paraId="775B80EE"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-2.9</w:t>
            </w:r>
          </w:p>
        </w:tc>
        <w:tc>
          <w:tcPr>
            <w:tcW w:w="1785" w:type="dxa"/>
            <w:tcBorders>
              <w:left w:val="single" w:sz="4" w:space="0" w:color="auto"/>
              <w:right w:val="single" w:sz="4" w:space="0" w:color="auto"/>
            </w:tcBorders>
          </w:tcPr>
          <w:p w14:paraId="0C6E342F"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0.0</w:t>
            </w:r>
          </w:p>
        </w:tc>
      </w:tr>
      <w:tr w:rsidR="00172472" w:rsidRPr="00172472" w14:paraId="2D561BA2" w14:textId="77777777" w:rsidTr="00634E36">
        <w:trPr>
          <w:jc w:val="center"/>
        </w:trPr>
        <w:tc>
          <w:tcPr>
            <w:tcW w:w="1661" w:type="dxa"/>
            <w:tcBorders>
              <w:left w:val="single" w:sz="4" w:space="0" w:color="auto"/>
              <w:right w:val="single" w:sz="4" w:space="0" w:color="auto"/>
            </w:tcBorders>
          </w:tcPr>
          <w:p w14:paraId="499DD635" w14:textId="77777777" w:rsidR="00172472" w:rsidRPr="00172472" w:rsidRDefault="00172472" w:rsidP="001C7810">
            <w:pPr>
              <w:rPr>
                <w:rFonts w:eastAsia="Calibri"/>
                <w:sz w:val="20"/>
                <w:szCs w:val="20"/>
                <w:lang w:eastAsia="en-US"/>
              </w:rPr>
            </w:pPr>
            <w:r w:rsidRPr="00172472">
              <w:rPr>
                <w:rFonts w:eastAsia="Calibri"/>
                <w:sz w:val="20"/>
                <w:szCs w:val="20"/>
                <w:lang w:eastAsia="en-US"/>
              </w:rPr>
              <w:t>Estados Unidos de Norteamérica</w:t>
            </w:r>
          </w:p>
        </w:tc>
        <w:tc>
          <w:tcPr>
            <w:tcW w:w="2304" w:type="dxa"/>
            <w:tcBorders>
              <w:left w:val="single" w:sz="4" w:space="0" w:color="auto"/>
              <w:right w:val="single" w:sz="4" w:space="0" w:color="auto"/>
            </w:tcBorders>
            <w:vAlign w:val="center"/>
          </w:tcPr>
          <w:p w14:paraId="472F7E9A" w14:textId="77777777" w:rsidR="00172472" w:rsidRPr="00172472" w:rsidRDefault="00172472" w:rsidP="00172472">
            <w:pPr>
              <w:ind w:left="-170" w:right="851"/>
              <w:jc w:val="right"/>
              <w:rPr>
                <w:rFonts w:eastAsia="Calibri"/>
                <w:sz w:val="20"/>
                <w:szCs w:val="20"/>
                <w:lang w:eastAsia="en-US"/>
              </w:rPr>
            </w:pPr>
            <w:r w:rsidRPr="00172472">
              <w:rPr>
                <w:rFonts w:eastAsia="Calibri"/>
                <w:color w:val="000000"/>
                <w:sz w:val="20"/>
                <w:szCs w:val="20"/>
                <w:lang w:eastAsia="en-US"/>
              </w:rPr>
              <w:t>14.4</w:t>
            </w:r>
          </w:p>
        </w:tc>
        <w:tc>
          <w:tcPr>
            <w:tcW w:w="1667" w:type="dxa"/>
            <w:tcBorders>
              <w:left w:val="single" w:sz="4" w:space="0" w:color="auto"/>
              <w:right w:val="single" w:sz="4" w:space="0" w:color="auto"/>
            </w:tcBorders>
            <w:vAlign w:val="center"/>
          </w:tcPr>
          <w:p w14:paraId="0418C180"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-3.6</w:t>
            </w:r>
          </w:p>
        </w:tc>
        <w:tc>
          <w:tcPr>
            <w:tcW w:w="1514" w:type="dxa"/>
            <w:tcBorders>
              <w:left w:val="single" w:sz="4" w:space="0" w:color="auto"/>
              <w:right w:val="single" w:sz="4" w:space="0" w:color="auto"/>
            </w:tcBorders>
            <w:vAlign w:val="center"/>
          </w:tcPr>
          <w:p w14:paraId="44C40006"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-1.9</w:t>
            </w:r>
          </w:p>
        </w:tc>
        <w:tc>
          <w:tcPr>
            <w:tcW w:w="1785" w:type="dxa"/>
            <w:tcBorders>
              <w:left w:val="single" w:sz="4" w:space="0" w:color="auto"/>
              <w:right w:val="single" w:sz="4" w:space="0" w:color="auto"/>
            </w:tcBorders>
            <w:vAlign w:val="center"/>
          </w:tcPr>
          <w:p w14:paraId="2E41CCAF"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0.4</w:t>
            </w:r>
          </w:p>
        </w:tc>
      </w:tr>
      <w:tr w:rsidR="00172472" w:rsidRPr="00172472" w14:paraId="4C6FA0D2" w14:textId="77777777" w:rsidTr="00634E36">
        <w:trPr>
          <w:jc w:val="center"/>
        </w:trPr>
        <w:tc>
          <w:tcPr>
            <w:tcW w:w="1661" w:type="dxa"/>
            <w:tcBorders>
              <w:left w:val="single" w:sz="4" w:space="0" w:color="auto"/>
              <w:right w:val="single" w:sz="4" w:space="0" w:color="auto"/>
            </w:tcBorders>
          </w:tcPr>
          <w:p w14:paraId="5B6EE952"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Europa Central y Oriental</w:t>
            </w:r>
            <w:r w:rsidRPr="00172472">
              <w:rPr>
                <w:rFonts w:eastAsia="Calibri"/>
                <w:sz w:val="20"/>
                <w:szCs w:val="20"/>
                <w:u w:val="single"/>
                <w:vertAlign w:val="superscript"/>
                <w:lang w:eastAsia="en-US"/>
              </w:rPr>
              <w:t>7</w:t>
            </w:r>
            <w:r w:rsidRPr="00172472">
              <w:rPr>
                <w:rFonts w:eastAsia="Calibri"/>
                <w:sz w:val="20"/>
                <w:szCs w:val="20"/>
                <w:vertAlign w:val="superscript"/>
                <w:lang w:eastAsia="en-US"/>
              </w:rPr>
              <w:t>/</w:t>
            </w:r>
          </w:p>
        </w:tc>
        <w:tc>
          <w:tcPr>
            <w:tcW w:w="2304" w:type="dxa"/>
            <w:tcBorders>
              <w:left w:val="single" w:sz="4" w:space="0" w:color="auto"/>
              <w:right w:val="single" w:sz="4" w:space="0" w:color="auto"/>
            </w:tcBorders>
            <w:vAlign w:val="center"/>
          </w:tcPr>
          <w:p w14:paraId="48F9D5F7" w14:textId="77777777" w:rsidR="00172472" w:rsidRPr="00172472" w:rsidRDefault="00172472" w:rsidP="00172472">
            <w:pPr>
              <w:ind w:left="-170" w:right="851"/>
              <w:jc w:val="right"/>
              <w:rPr>
                <w:rFonts w:eastAsia="Calibri"/>
                <w:sz w:val="20"/>
                <w:szCs w:val="20"/>
                <w:lang w:eastAsia="en-US"/>
              </w:rPr>
            </w:pPr>
            <w:r w:rsidRPr="00172472">
              <w:rPr>
                <w:rFonts w:eastAsia="Calibri"/>
                <w:color w:val="000000"/>
                <w:sz w:val="20"/>
                <w:szCs w:val="20"/>
                <w:lang w:eastAsia="en-US"/>
              </w:rPr>
              <w:t>-12.3</w:t>
            </w:r>
          </w:p>
        </w:tc>
        <w:tc>
          <w:tcPr>
            <w:tcW w:w="1667" w:type="dxa"/>
            <w:tcBorders>
              <w:left w:val="single" w:sz="4" w:space="0" w:color="auto"/>
              <w:right w:val="single" w:sz="4" w:space="0" w:color="auto"/>
            </w:tcBorders>
            <w:vAlign w:val="center"/>
          </w:tcPr>
          <w:p w14:paraId="33924324"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7.4</w:t>
            </w:r>
          </w:p>
        </w:tc>
        <w:tc>
          <w:tcPr>
            <w:tcW w:w="1514" w:type="dxa"/>
            <w:tcBorders>
              <w:left w:val="single" w:sz="4" w:space="0" w:color="auto"/>
              <w:right w:val="single" w:sz="4" w:space="0" w:color="auto"/>
            </w:tcBorders>
            <w:vAlign w:val="center"/>
          </w:tcPr>
          <w:p w14:paraId="0D2690D3"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1.2</w:t>
            </w:r>
          </w:p>
        </w:tc>
        <w:tc>
          <w:tcPr>
            <w:tcW w:w="1785" w:type="dxa"/>
            <w:tcBorders>
              <w:left w:val="single" w:sz="4" w:space="0" w:color="auto"/>
              <w:right w:val="single" w:sz="4" w:space="0" w:color="auto"/>
            </w:tcBorders>
            <w:vAlign w:val="center"/>
          </w:tcPr>
          <w:p w14:paraId="1B8EB2D7"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2.6</w:t>
            </w:r>
          </w:p>
        </w:tc>
      </w:tr>
      <w:tr w:rsidR="00172472" w:rsidRPr="00172472" w14:paraId="601F9B2B" w14:textId="77777777" w:rsidTr="00634E36">
        <w:trPr>
          <w:jc w:val="center"/>
        </w:trPr>
        <w:tc>
          <w:tcPr>
            <w:tcW w:w="1661" w:type="dxa"/>
            <w:tcBorders>
              <w:left w:val="single" w:sz="4" w:space="0" w:color="auto"/>
              <w:right w:val="single" w:sz="4" w:space="0" w:color="auto"/>
            </w:tcBorders>
          </w:tcPr>
          <w:p w14:paraId="71797366"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Francia</w:t>
            </w:r>
          </w:p>
        </w:tc>
        <w:tc>
          <w:tcPr>
            <w:tcW w:w="2304" w:type="dxa"/>
            <w:tcBorders>
              <w:left w:val="single" w:sz="4" w:space="0" w:color="auto"/>
              <w:right w:val="single" w:sz="4" w:space="0" w:color="auto"/>
            </w:tcBorders>
          </w:tcPr>
          <w:p w14:paraId="5B4D0B76"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3.2</w:t>
            </w:r>
          </w:p>
        </w:tc>
        <w:tc>
          <w:tcPr>
            <w:tcW w:w="1667" w:type="dxa"/>
            <w:tcBorders>
              <w:left w:val="single" w:sz="4" w:space="0" w:color="auto"/>
              <w:right w:val="single" w:sz="4" w:space="0" w:color="auto"/>
            </w:tcBorders>
          </w:tcPr>
          <w:p w14:paraId="35BD8E00"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-9.8</w:t>
            </w:r>
          </w:p>
        </w:tc>
        <w:tc>
          <w:tcPr>
            <w:tcW w:w="1514" w:type="dxa"/>
            <w:tcBorders>
              <w:left w:val="single" w:sz="4" w:space="0" w:color="auto"/>
              <w:right w:val="single" w:sz="4" w:space="0" w:color="auto"/>
            </w:tcBorders>
          </w:tcPr>
          <w:p w14:paraId="43FD7190"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0.8</w:t>
            </w:r>
          </w:p>
        </w:tc>
        <w:tc>
          <w:tcPr>
            <w:tcW w:w="1785" w:type="dxa"/>
            <w:tcBorders>
              <w:left w:val="single" w:sz="4" w:space="0" w:color="auto"/>
              <w:right w:val="single" w:sz="4" w:space="0" w:color="auto"/>
            </w:tcBorders>
          </w:tcPr>
          <w:p w14:paraId="6CFA79CD"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3.8</w:t>
            </w:r>
          </w:p>
        </w:tc>
      </w:tr>
      <w:tr w:rsidR="00172472" w:rsidRPr="00172472" w14:paraId="21E327FE" w14:textId="77777777" w:rsidTr="00634E36">
        <w:trPr>
          <w:jc w:val="center"/>
        </w:trPr>
        <w:tc>
          <w:tcPr>
            <w:tcW w:w="1661" w:type="dxa"/>
            <w:tcBorders>
              <w:left w:val="single" w:sz="4" w:space="0" w:color="auto"/>
              <w:right w:val="single" w:sz="4" w:space="0" w:color="auto"/>
            </w:tcBorders>
          </w:tcPr>
          <w:p w14:paraId="37909777"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Grecia</w:t>
            </w:r>
          </w:p>
        </w:tc>
        <w:tc>
          <w:tcPr>
            <w:tcW w:w="2304" w:type="dxa"/>
            <w:tcBorders>
              <w:left w:val="single" w:sz="4" w:space="0" w:color="auto"/>
              <w:right w:val="single" w:sz="4" w:space="0" w:color="auto"/>
            </w:tcBorders>
          </w:tcPr>
          <w:p w14:paraId="410F77B6" w14:textId="77777777" w:rsidR="00172472" w:rsidRPr="00172472" w:rsidRDefault="00172472" w:rsidP="00172472">
            <w:pPr>
              <w:ind w:left="-170" w:right="851"/>
              <w:jc w:val="right"/>
              <w:rPr>
                <w:rFonts w:eastAsia="Calibri"/>
                <w:sz w:val="20"/>
                <w:szCs w:val="20"/>
                <w:lang w:eastAsia="en-US"/>
              </w:rPr>
            </w:pPr>
            <w:r w:rsidRPr="00172472">
              <w:rPr>
                <w:rFonts w:eastAsia="Calibri"/>
                <w:color w:val="000000"/>
                <w:sz w:val="20"/>
                <w:szCs w:val="20"/>
                <w:lang w:eastAsia="en-US"/>
              </w:rPr>
              <w:t>-16.1</w:t>
            </w:r>
          </w:p>
        </w:tc>
        <w:tc>
          <w:tcPr>
            <w:tcW w:w="1667" w:type="dxa"/>
            <w:tcBorders>
              <w:left w:val="single" w:sz="4" w:space="0" w:color="auto"/>
              <w:right w:val="single" w:sz="4" w:space="0" w:color="auto"/>
            </w:tcBorders>
          </w:tcPr>
          <w:p w14:paraId="097065E6"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0.7</w:t>
            </w:r>
          </w:p>
        </w:tc>
        <w:tc>
          <w:tcPr>
            <w:tcW w:w="1514" w:type="dxa"/>
            <w:tcBorders>
              <w:left w:val="single" w:sz="4" w:space="0" w:color="auto"/>
              <w:right w:val="single" w:sz="4" w:space="0" w:color="auto"/>
            </w:tcBorders>
          </w:tcPr>
          <w:p w14:paraId="3801E7CC" w14:textId="77777777" w:rsidR="00172472" w:rsidRPr="00172472" w:rsidRDefault="00172472" w:rsidP="00172472">
            <w:pPr>
              <w:ind w:right="567"/>
              <w:jc w:val="right"/>
              <w:rPr>
                <w:rFonts w:eastAsia="Calibri"/>
                <w:sz w:val="20"/>
                <w:szCs w:val="20"/>
                <w:lang w:eastAsia="en-US"/>
              </w:rPr>
            </w:pPr>
          </w:p>
        </w:tc>
        <w:tc>
          <w:tcPr>
            <w:tcW w:w="1785" w:type="dxa"/>
            <w:tcBorders>
              <w:left w:val="single" w:sz="4" w:space="0" w:color="auto"/>
              <w:right w:val="single" w:sz="4" w:space="0" w:color="auto"/>
            </w:tcBorders>
          </w:tcPr>
          <w:p w14:paraId="3C263C46" w14:textId="77777777" w:rsidR="00172472" w:rsidRPr="00172472" w:rsidRDefault="00172472" w:rsidP="00172472">
            <w:pPr>
              <w:ind w:right="680"/>
              <w:jc w:val="right"/>
              <w:rPr>
                <w:rFonts w:eastAsia="Calibri"/>
                <w:sz w:val="20"/>
                <w:szCs w:val="20"/>
                <w:lang w:eastAsia="en-US"/>
              </w:rPr>
            </w:pPr>
          </w:p>
        </w:tc>
      </w:tr>
      <w:tr w:rsidR="00172472" w:rsidRPr="00172472" w14:paraId="0EE43D9C" w14:textId="77777777" w:rsidTr="00634E36">
        <w:trPr>
          <w:jc w:val="center"/>
        </w:trPr>
        <w:tc>
          <w:tcPr>
            <w:tcW w:w="1661" w:type="dxa"/>
            <w:tcBorders>
              <w:left w:val="single" w:sz="4" w:space="0" w:color="auto"/>
              <w:right w:val="single" w:sz="4" w:space="0" w:color="auto"/>
            </w:tcBorders>
          </w:tcPr>
          <w:p w14:paraId="2281F798"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India</w:t>
            </w:r>
          </w:p>
        </w:tc>
        <w:tc>
          <w:tcPr>
            <w:tcW w:w="2304" w:type="dxa"/>
            <w:tcBorders>
              <w:left w:val="single" w:sz="4" w:space="0" w:color="auto"/>
              <w:right w:val="single" w:sz="4" w:space="0" w:color="auto"/>
            </w:tcBorders>
          </w:tcPr>
          <w:p w14:paraId="6F043E29" w14:textId="77777777" w:rsidR="00172472" w:rsidRPr="00172472" w:rsidRDefault="00172472" w:rsidP="00172472">
            <w:pPr>
              <w:ind w:left="-170" w:right="851"/>
              <w:jc w:val="right"/>
              <w:rPr>
                <w:rFonts w:eastAsia="Calibri"/>
                <w:sz w:val="20"/>
                <w:szCs w:val="20"/>
                <w:lang w:eastAsia="en-US"/>
              </w:rPr>
            </w:pPr>
            <w:r w:rsidRPr="00172472">
              <w:rPr>
                <w:rFonts w:eastAsia="Calibri"/>
                <w:color w:val="000000"/>
                <w:sz w:val="20"/>
                <w:szCs w:val="20"/>
                <w:lang w:eastAsia="en-US"/>
              </w:rPr>
              <w:t>-5.8</w:t>
            </w:r>
          </w:p>
        </w:tc>
        <w:tc>
          <w:tcPr>
            <w:tcW w:w="1667" w:type="dxa"/>
            <w:tcBorders>
              <w:left w:val="single" w:sz="4" w:space="0" w:color="auto"/>
              <w:right w:val="single" w:sz="4" w:space="0" w:color="auto"/>
            </w:tcBorders>
          </w:tcPr>
          <w:p w14:paraId="10D190BA" w14:textId="77777777" w:rsidR="00172472" w:rsidRPr="00172472" w:rsidRDefault="00172472" w:rsidP="00172472">
            <w:pPr>
              <w:ind w:right="624"/>
              <w:jc w:val="right"/>
              <w:rPr>
                <w:rFonts w:eastAsia="Calibri"/>
                <w:sz w:val="20"/>
                <w:szCs w:val="20"/>
                <w:lang w:eastAsia="en-US"/>
              </w:rPr>
            </w:pPr>
          </w:p>
        </w:tc>
        <w:tc>
          <w:tcPr>
            <w:tcW w:w="1514" w:type="dxa"/>
            <w:tcBorders>
              <w:left w:val="single" w:sz="4" w:space="0" w:color="auto"/>
              <w:right w:val="single" w:sz="4" w:space="0" w:color="auto"/>
            </w:tcBorders>
          </w:tcPr>
          <w:p w14:paraId="52A9DD5A"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2.7</w:t>
            </w:r>
          </w:p>
        </w:tc>
        <w:tc>
          <w:tcPr>
            <w:tcW w:w="1785" w:type="dxa"/>
            <w:tcBorders>
              <w:left w:val="single" w:sz="4" w:space="0" w:color="auto"/>
              <w:right w:val="single" w:sz="4" w:space="0" w:color="auto"/>
            </w:tcBorders>
          </w:tcPr>
          <w:p w14:paraId="599D9EDC"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3.7</w:t>
            </w:r>
          </w:p>
        </w:tc>
      </w:tr>
      <w:tr w:rsidR="00172472" w:rsidRPr="00172472" w14:paraId="6A0C7655" w14:textId="77777777" w:rsidTr="00634E36">
        <w:trPr>
          <w:jc w:val="center"/>
        </w:trPr>
        <w:tc>
          <w:tcPr>
            <w:tcW w:w="1661" w:type="dxa"/>
            <w:tcBorders>
              <w:left w:val="single" w:sz="4" w:space="0" w:color="auto"/>
              <w:right w:val="single" w:sz="4" w:space="0" w:color="auto"/>
            </w:tcBorders>
          </w:tcPr>
          <w:p w14:paraId="651C3B6C"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Italia</w:t>
            </w:r>
          </w:p>
        </w:tc>
        <w:tc>
          <w:tcPr>
            <w:tcW w:w="2304" w:type="dxa"/>
            <w:tcBorders>
              <w:left w:val="single" w:sz="4" w:space="0" w:color="auto"/>
              <w:right w:val="single" w:sz="4" w:space="0" w:color="auto"/>
            </w:tcBorders>
          </w:tcPr>
          <w:p w14:paraId="07208F74" w14:textId="77777777" w:rsidR="00172472" w:rsidRPr="00172472" w:rsidRDefault="00172472" w:rsidP="00172472">
            <w:pPr>
              <w:ind w:left="-170" w:right="851"/>
              <w:jc w:val="right"/>
              <w:rPr>
                <w:rFonts w:eastAsia="Calibri"/>
                <w:sz w:val="20"/>
                <w:szCs w:val="20"/>
                <w:lang w:eastAsia="en-US"/>
              </w:rPr>
            </w:pPr>
            <w:r w:rsidRPr="00172472">
              <w:rPr>
                <w:rFonts w:eastAsia="Calibri"/>
                <w:iCs/>
                <w:color w:val="000000"/>
                <w:sz w:val="22"/>
                <w:szCs w:val="22"/>
                <w:lang w:eastAsia="en-US"/>
              </w:rPr>
              <w:t>-7.7</w:t>
            </w:r>
          </w:p>
        </w:tc>
        <w:tc>
          <w:tcPr>
            <w:tcW w:w="1667" w:type="dxa"/>
            <w:tcBorders>
              <w:left w:val="single" w:sz="4" w:space="0" w:color="auto"/>
              <w:right w:val="single" w:sz="4" w:space="0" w:color="auto"/>
            </w:tcBorders>
          </w:tcPr>
          <w:p w14:paraId="072C1A3A"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-17.0</w:t>
            </w:r>
          </w:p>
        </w:tc>
        <w:tc>
          <w:tcPr>
            <w:tcW w:w="1514" w:type="dxa"/>
            <w:tcBorders>
              <w:left w:val="single" w:sz="4" w:space="0" w:color="auto"/>
              <w:right w:val="single" w:sz="4" w:space="0" w:color="auto"/>
            </w:tcBorders>
          </w:tcPr>
          <w:p w14:paraId="41F6E8AE"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-0.1</w:t>
            </w:r>
          </w:p>
        </w:tc>
        <w:tc>
          <w:tcPr>
            <w:tcW w:w="1785" w:type="dxa"/>
            <w:tcBorders>
              <w:left w:val="single" w:sz="4" w:space="0" w:color="auto"/>
              <w:right w:val="single" w:sz="4" w:space="0" w:color="auto"/>
            </w:tcBorders>
          </w:tcPr>
          <w:p w14:paraId="38492B3C"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1.9</w:t>
            </w:r>
          </w:p>
        </w:tc>
      </w:tr>
      <w:tr w:rsidR="00172472" w:rsidRPr="00172472" w14:paraId="45175DC0" w14:textId="77777777" w:rsidTr="00634E36">
        <w:trPr>
          <w:jc w:val="center"/>
        </w:trPr>
        <w:tc>
          <w:tcPr>
            <w:tcW w:w="1661" w:type="dxa"/>
            <w:tcBorders>
              <w:left w:val="single" w:sz="4" w:space="0" w:color="auto"/>
              <w:right w:val="single" w:sz="4" w:space="0" w:color="auto"/>
            </w:tcBorders>
          </w:tcPr>
          <w:p w14:paraId="7B249D67"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Japón</w:t>
            </w:r>
          </w:p>
        </w:tc>
        <w:tc>
          <w:tcPr>
            <w:tcW w:w="2304" w:type="dxa"/>
            <w:tcBorders>
              <w:left w:val="single" w:sz="4" w:space="0" w:color="auto"/>
              <w:right w:val="single" w:sz="4" w:space="0" w:color="auto"/>
            </w:tcBorders>
          </w:tcPr>
          <w:p w14:paraId="46B7624B"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4.7</w:t>
            </w:r>
          </w:p>
        </w:tc>
        <w:tc>
          <w:tcPr>
            <w:tcW w:w="1667" w:type="dxa"/>
            <w:tcBorders>
              <w:left w:val="single" w:sz="4" w:space="0" w:color="auto"/>
              <w:right w:val="single" w:sz="4" w:space="0" w:color="auto"/>
            </w:tcBorders>
          </w:tcPr>
          <w:p w14:paraId="0442A40D"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2.6</w:t>
            </w:r>
          </w:p>
        </w:tc>
        <w:tc>
          <w:tcPr>
            <w:tcW w:w="1514" w:type="dxa"/>
            <w:tcBorders>
              <w:left w:val="single" w:sz="4" w:space="0" w:color="auto"/>
              <w:right w:val="single" w:sz="4" w:space="0" w:color="auto"/>
            </w:tcBorders>
          </w:tcPr>
          <w:p w14:paraId="0B9C412C"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-2.8</w:t>
            </w:r>
          </w:p>
        </w:tc>
        <w:tc>
          <w:tcPr>
            <w:tcW w:w="1785" w:type="dxa"/>
            <w:tcBorders>
              <w:left w:val="single" w:sz="4" w:space="0" w:color="auto"/>
              <w:right w:val="single" w:sz="4" w:space="0" w:color="auto"/>
            </w:tcBorders>
          </w:tcPr>
          <w:p w14:paraId="047CDC2D"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-0.1</w:t>
            </w:r>
          </w:p>
        </w:tc>
      </w:tr>
      <w:tr w:rsidR="00172472" w:rsidRPr="00172472" w14:paraId="4EE0E1B2" w14:textId="77777777" w:rsidTr="00634E36">
        <w:trPr>
          <w:jc w:val="center"/>
        </w:trPr>
        <w:tc>
          <w:tcPr>
            <w:tcW w:w="1661" w:type="dxa"/>
            <w:tcBorders>
              <w:left w:val="single" w:sz="4" w:space="0" w:color="auto"/>
              <w:right w:val="single" w:sz="4" w:space="0" w:color="auto"/>
            </w:tcBorders>
          </w:tcPr>
          <w:p w14:paraId="2C745974"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México</w:t>
            </w:r>
          </w:p>
        </w:tc>
        <w:tc>
          <w:tcPr>
            <w:tcW w:w="2304" w:type="dxa"/>
            <w:tcBorders>
              <w:left w:val="single" w:sz="4" w:space="0" w:color="auto"/>
              <w:right w:val="single" w:sz="4" w:space="0" w:color="auto"/>
            </w:tcBorders>
          </w:tcPr>
          <w:p w14:paraId="069894A8"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3.3</w:t>
            </w:r>
          </w:p>
        </w:tc>
        <w:tc>
          <w:tcPr>
            <w:tcW w:w="1667" w:type="dxa"/>
            <w:tcBorders>
              <w:left w:val="single" w:sz="4" w:space="0" w:color="auto"/>
              <w:right w:val="single" w:sz="4" w:space="0" w:color="auto"/>
            </w:tcBorders>
          </w:tcPr>
          <w:p w14:paraId="268B9885"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-0.8</w:t>
            </w:r>
          </w:p>
        </w:tc>
        <w:tc>
          <w:tcPr>
            <w:tcW w:w="1514" w:type="dxa"/>
            <w:tcBorders>
              <w:left w:val="single" w:sz="4" w:space="0" w:color="auto"/>
              <w:right w:val="single" w:sz="4" w:space="0" w:color="auto"/>
            </w:tcBorders>
          </w:tcPr>
          <w:p w14:paraId="5466F597"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0.4</w:t>
            </w:r>
          </w:p>
        </w:tc>
        <w:tc>
          <w:tcPr>
            <w:tcW w:w="1785" w:type="dxa"/>
            <w:tcBorders>
              <w:left w:val="single" w:sz="4" w:space="0" w:color="auto"/>
              <w:right w:val="single" w:sz="4" w:space="0" w:color="auto"/>
            </w:tcBorders>
          </w:tcPr>
          <w:p w14:paraId="0CE88271"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0.9</w:t>
            </w:r>
          </w:p>
        </w:tc>
      </w:tr>
      <w:tr w:rsidR="00172472" w:rsidRPr="00172472" w14:paraId="65B10C16" w14:textId="77777777" w:rsidTr="00634E36">
        <w:trPr>
          <w:jc w:val="center"/>
        </w:trPr>
        <w:tc>
          <w:tcPr>
            <w:tcW w:w="1661" w:type="dxa"/>
            <w:tcBorders>
              <w:left w:val="single" w:sz="4" w:space="0" w:color="auto"/>
              <w:right w:val="single" w:sz="4" w:space="0" w:color="auto"/>
            </w:tcBorders>
          </w:tcPr>
          <w:p w14:paraId="243F4FCB"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Países Bajos</w:t>
            </w:r>
          </w:p>
        </w:tc>
        <w:tc>
          <w:tcPr>
            <w:tcW w:w="2304" w:type="dxa"/>
            <w:tcBorders>
              <w:left w:val="single" w:sz="4" w:space="0" w:color="auto"/>
              <w:right w:val="single" w:sz="4" w:space="0" w:color="auto"/>
            </w:tcBorders>
          </w:tcPr>
          <w:p w14:paraId="2BE4E854"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-17.6</w:t>
            </w:r>
          </w:p>
        </w:tc>
        <w:tc>
          <w:tcPr>
            <w:tcW w:w="1667" w:type="dxa"/>
            <w:tcBorders>
              <w:left w:val="single" w:sz="4" w:space="0" w:color="auto"/>
              <w:right w:val="single" w:sz="4" w:space="0" w:color="auto"/>
            </w:tcBorders>
          </w:tcPr>
          <w:p w14:paraId="07B1A03B"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-21.2</w:t>
            </w:r>
          </w:p>
        </w:tc>
        <w:tc>
          <w:tcPr>
            <w:tcW w:w="1514" w:type="dxa"/>
            <w:tcBorders>
              <w:left w:val="single" w:sz="4" w:space="0" w:color="auto"/>
              <w:right w:val="single" w:sz="4" w:space="0" w:color="auto"/>
            </w:tcBorders>
          </w:tcPr>
          <w:p w14:paraId="445CB660"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1.5</w:t>
            </w:r>
          </w:p>
        </w:tc>
        <w:tc>
          <w:tcPr>
            <w:tcW w:w="1785" w:type="dxa"/>
            <w:tcBorders>
              <w:left w:val="single" w:sz="4" w:space="0" w:color="auto"/>
              <w:right w:val="single" w:sz="4" w:space="0" w:color="auto"/>
            </w:tcBorders>
          </w:tcPr>
          <w:p w14:paraId="33CD4A88"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6.2</w:t>
            </w:r>
          </w:p>
        </w:tc>
      </w:tr>
      <w:tr w:rsidR="00172472" w:rsidRPr="00172472" w14:paraId="4E0D3007" w14:textId="77777777" w:rsidTr="00634E36">
        <w:trPr>
          <w:jc w:val="center"/>
        </w:trPr>
        <w:tc>
          <w:tcPr>
            <w:tcW w:w="1661" w:type="dxa"/>
            <w:tcBorders>
              <w:left w:val="single" w:sz="4" w:space="0" w:color="auto"/>
              <w:right w:val="single" w:sz="4" w:space="0" w:color="auto"/>
            </w:tcBorders>
          </w:tcPr>
          <w:p w14:paraId="5429892C" w14:textId="4988182B" w:rsidR="00172472" w:rsidRPr="00172472" w:rsidRDefault="00172472" w:rsidP="00172472">
            <w:pPr>
              <w:jc w:val="both"/>
              <w:rPr>
                <w:rFonts w:eastAsia="Calibri"/>
                <w:sz w:val="20"/>
                <w:szCs w:val="20"/>
                <w:lang w:eastAsia="en-US"/>
              </w:rPr>
            </w:pPr>
            <w:r w:rsidRPr="00172472">
              <w:rPr>
                <w:rFonts w:eastAsia="Calibri"/>
                <w:sz w:val="20"/>
                <w:szCs w:val="20"/>
                <w:lang w:eastAsia="en-US"/>
              </w:rPr>
              <w:t>Países Nórdico</w:t>
            </w:r>
            <w:r w:rsidR="001C7810">
              <w:rPr>
                <w:rFonts w:eastAsia="Calibri"/>
                <w:sz w:val="20"/>
                <w:szCs w:val="20"/>
                <w:lang w:eastAsia="en-US"/>
              </w:rPr>
              <w:t>s</w:t>
            </w:r>
            <w:r w:rsidRPr="00172472">
              <w:rPr>
                <w:rFonts w:eastAsia="Calibri"/>
                <w:sz w:val="20"/>
                <w:szCs w:val="20"/>
                <w:u w:val="single"/>
                <w:vertAlign w:val="superscript"/>
                <w:lang w:eastAsia="en-US"/>
              </w:rPr>
              <w:t>8</w:t>
            </w:r>
            <w:r w:rsidRPr="00172472">
              <w:rPr>
                <w:rFonts w:eastAsia="Calibri"/>
                <w:sz w:val="20"/>
                <w:szCs w:val="20"/>
                <w:vertAlign w:val="superscript"/>
                <w:lang w:eastAsia="en-US"/>
              </w:rPr>
              <w:t>/</w:t>
            </w:r>
          </w:p>
        </w:tc>
        <w:tc>
          <w:tcPr>
            <w:tcW w:w="2304" w:type="dxa"/>
            <w:tcBorders>
              <w:left w:val="single" w:sz="4" w:space="0" w:color="auto"/>
              <w:right w:val="single" w:sz="4" w:space="0" w:color="auto"/>
            </w:tcBorders>
          </w:tcPr>
          <w:p w14:paraId="58804D60"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-0.7</w:t>
            </w:r>
          </w:p>
        </w:tc>
        <w:tc>
          <w:tcPr>
            <w:tcW w:w="1667" w:type="dxa"/>
            <w:tcBorders>
              <w:left w:val="single" w:sz="4" w:space="0" w:color="auto"/>
              <w:right w:val="single" w:sz="4" w:space="0" w:color="auto"/>
            </w:tcBorders>
          </w:tcPr>
          <w:p w14:paraId="4D254766"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0.5</w:t>
            </w:r>
          </w:p>
        </w:tc>
        <w:tc>
          <w:tcPr>
            <w:tcW w:w="1514" w:type="dxa"/>
            <w:tcBorders>
              <w:left w:val="single" w:sz="4" w:space="0" w:color="auto"/>
              <w:right w:val="single" w:sz="4" w:space="0" w:color="auto"/>
            </w:tcBorders>
          </w:tcPr>
          <w:p w14:paraId="2A30E0A2"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2.5</w:t>
            </w:r>
          </w:p>
        </w:tc>
        <w:tc>
          <w:tcPr>
            <w:tcW w:w="1785" w:type="dxa"/>
            <w:tcBorders>
              <w:left w:val="single" w:sz="4" w:space="0" w:color="auto"/>
              <w:right w:val="single" w:sz="4" w:space="0" w:color="auto"/>
            </w:tcBorders>
          </w:tcPr>
          <w:p w14:paraId="302672C1"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6.5</w:t>
            </w:r>
          </w:p>
        </w:tc>
      </w:tr>
      <w:tr w:rsidR="00172472" w:rsidRPr="00172472" w14:paraId="5D8457A2" w14:textId="77777777" w:rsidTr="00634E36">
        <w:trPr>
          <w:jc w:val="center"/>
        </w:trPr>
        <w:tc>
          <w:tcPr>
            <w:tcW w:w="1661" w:type="dxa"/>
            <w:tcBorders>
              <w:left w:val="single" w:sz="4" w:space="0" w:color="auto"/>
              <w:right w:val="single" w:sz="4" w:space="0" w:color="auto"/>
            </w:tcBorders>
          </w:tcPr>
          <w:p w14:paraId="6AF8552E"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Portugal</w:t>
            </w:r>
          </w:p>
        </w:tc>
        <w:tc>
          <w:tcPr>
            <w:tcW w:w="2304" w:type="dxa"/>
            <w:tcBorders>
              <w:left w:val="single" w:sz="4" w:space="0" w:color="auto"/>
              <w:right w:val="single" w:sz="4" w:space="0" w:color="auto"/>
            </w:tcBorders>
          </w:tcPr>
          <w:p w14:paraId="53E8C157"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-28.3</w:t>
            </w:r>
          </w:p>
        </w:tc>
        <w:tc>
          <w:tcPr>
            <w:tcW w:w="1667" w:type="dxa"/>
            <w:tcBorders>
              <w:left w:val="single" w:sz="4" w:space="0" w:color="auto"/>
              <w:right w:val="single" w:sz="4" w:space="0" w:color="auto"/>
            </w:tcBorders>
          </w:tcPr>
          <w:p w14:paraId="234E1BB8"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7.4</w:t>
            </w:r>
          </w:p>
        </w:tc>
        <w:tc>
          <w:tcPr>
            <w:tcW w:w="1514" w:type="dxa"/>
            <w:tcBorders>
              <w:left w:val="single" w:sz="4" w:space="0" w:color="auto"/>
              <w:right w:val="single" w:sz="4" w:space="0" w:color="auto"/>
            </w:tcBorders>
          </w:tcPr>
          <w:p w14:paraId="068A3804"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-3.6</w:t>
            </w:r>
          </w:p>
        </w:tc>
        <w:tc>
          <w:tcPr>
            <w:tcW w:w="1785" w:type="dxa"/>
            <w:tcBorders>
              <w:left w:val="single" w:sz="4" w:space="0" w:color="auto"/>
              <w:right w:val="single" w:sz="4" w:space="0" w:color="auto"/>
            </w:tcBorders>
          </w:tcPr>
          <w:p w14:paraId="7F93A094"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-0.3</w:t>
            </w:r>
          </w:p>
        </w:tc>
      </w:tr>
      <w:tr w:rsidR="00172472" w:rsidRPr="00172472" w14:paraId="7464F963" w14:textId="77777777" w:rsidTr="00634E36">
        <w:trPr>
          <w:jc w:val="center"/>
        </w:trPr>
        <w:tc>
          <w:tcPr>
            <w:tcW w:w="1661" w:type="dxa"/>
            <w:tcBorders>
              <w:left w:val="single" w:sz="4" w:space="0" w:color="auto"/>
              <w:right w:val="single" w:sz="4" w:space="0" w:color="auto"/>
            </w:tcBorders>
          </w:tcPr>
          <w:p w14:paraId="3922C415"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Reino Unido</w:t>
            </w:r>
          </w:p>
        </w:tc>
        <w:tc>
          <w:tcPr>
            <w:tcW w:w="2304" w:type="dxa"/>
            <w:tcBorders>
              <w:left w:val="single" w:sz="4" w:space="0" w:color="auto"/>
              <w:right w:val="single" w:sz="4" w:space="0" w:color="auto"/>
            </w:tcBorders>
          </w:tcPr>
          <w:p w14:paraId="05C9387E"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-30.6</w:t>
            </w:r>
          </w:p>
        </w:tc>
        <w:tc>
          <w:tcPr>
            <w:tcW w:w="1667" w:type="dxa"/>
            <w:tcBorders>
              <w:left w:val="single" w:sz="4" w:space="0" w:color="auto"/>
              <w:right w:val="single" w:sz="4" w:space="0" w:color="auto"/>
            </w:tcBorders>
          </w:tcPr>
          <w:p w14:paraId="1388EB9B"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-4.2</w:t>
            </w:r>
          </w:p>
        </w:tc>
        <w:tc>
          <w:tcPr>
            <w:tcW w:w="1514" w:type="dxa"/>
            <w:tcBorders>
              <w:left w:val="single" w:sz="4" w:space="0" w:color="auto"/>
              <w:right w:val="single" w:sz="4" w:space="0" w:color="auto"/>
            </w:tcBorders>
          </w:tcPr>
          <w:p w14:paraId="06C344C5"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-1.4</w:t>
            </w:r>
          </w:p>
        </w:tc>
        <w:tc>
          <w:tcPr>
            <w:tcW w:w="1785" w:type="dxa"/>
            <w:tcBorders>
              <w:left w:val="single" w:sz="4" w:space="0" w:color="auto"/>
              <w:right w:val="single" w:sz="4" w:space="0" w:color="auto"/>
            </w:tcBorders>
          </w:tcPr>
          <w:p w14:paraId="0C31FA88"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1.4</w:t>
            </w:r>
          </w:p>
        </w:tc>
      </w:tr>
      <w:tr w:rsidR="00172472" w:rsidRPr="00172472" w14:paraId="585571D6" w14:textId="77777777" w:rsidTr="00634E36">
        <w:trPr>
          <w:jc w:val="center"/>
        </w:trPr>
        <w:tc>
          <w:tcPr>
            <w:tcW w:w="1661" w:type="dxa"/>
            <w:tcBorders>
              <w:left w:val="single" w:sz="4" w:space="0" w:color="auto"/>
              <w:right w:val="single" w:sz="4" w:space="0" w:color="auto"/>
            </w:tcBorders>
          </w:tcPr>
          <w:p w14:paraId="60C03DD4"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Sudáfrica</w:t>
            </w:r>
          </w:p>
        </w:tc>
        <w:tc>
          <w:tcPr>
            <w:tcW w:w="2304" w:type="dxa"/>
            <w:tcBorders>
              <w:left w:val="single" w:sz="4" w:space="0" w:color="auto"/>
              <w:right w:val="single" w:sz="4" w:space="0" w:color="auto"/>
            </w:tcBorders>
          </w:tcPr>
          <w:p w14:paraId="4A10D963"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-3.8</w:t>
            </w:r>
          </w:p>
        </w:tc>
        <w:tc>
          <w:tcPr>
            <w:tcW w:w="1667" w:type="dxa"/>
            <w:tcBorders>
              <w:left w:val="single" w:sz="4" w:space="0" w:color="auto"/>
              <w:right w:val="single" w:sz="4" w:space="0" w:color="auto"/>
            </w:tcBorders>
          </w:tcPr>
          <w:p w14:paraId="03708FF9"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-5.8</w:t>
            </w:r>
          </w:p>
        </w:tc>
        <w:tc>
          <w:tcPr>
            <w:tcW w:w="1514" w:type="dxa"/>
            <w:tcBorders>
              <w:left w:val="single" w:sz="4" w:space="0" w:color="auto"/>
              <w:right w:val="single" w:sz="4" w:space="0" w:color="auto"/>
            </w:tcBorders>
          </w:tcPr>
          <w:p w14:paraId="104FF13E"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-0.8</w:t>
            </w:r>
          </w:p>
        </w:tc>
        <w:tc>
          <w:tcPr>
            <w:tcW w:w="1785" w:type="dxa"/>
            <w:tcBorders>
              <w:left w:val="single" w:sz="4" w:space="0" w:color="auto"/>
              <w:right w:val="single" w:sz="4" w:space="0" w:color="auto"/>
            </w:tcBorders>
          </w:tcPr>
          <w:p w14:paraId="65E68A53"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0.2</w:t>
            </w:r>
          </w:p>
        </w:tc>
      </w:tr>
      <w:tr w:rsidR="00172472" w:rsidRPr="00172472" w14:paraId="37318019" w14:textId="77777777" w:rsidTr="00634E36">
        <w:trPr>
          <w:jc w:val="center"/>
        </w:trPr>
        <w:tc>
          <w:tcPr>
            <w:tcW w:w="1661" w:type="dxa"/>
            <w:tcBorders>
              <w:left w:val="single" w:sz="4" w:space="0" w:color="auto"/>
              <w:right w:val="single" w:sz="4" w:space="0" w:color="auto"/>
            </w:tcBorders>
          </w:tcPr>
          <w:p w14:paraId="60FCF6DB"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Suiza</w:t>
            </w:r>
          </w:p>
        </w:tc>
        <w:tc>
          <w:tcPr>
            <w:tcW w:w="2304" w:type="dxa"/>
            <w:tcBorders>
              <w:left w:val="single" w:sz="4" w:space="0" w:color="auto"/>
              <w:right w:val="single" w:sz="4" w:space="0" w:color="auto"/>
            </w:tcBorders>
          </w:tcPr>
          <w:p w14:paraId="639720C6"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11.5</w:t>
            </w:r>
          </w:p>
        </w:tc>
        <w:tc>
          <w:tcPr>
            <w:tcW w:w="1667" w:type="dxa"/>
            <w:tcBorders>
              <w:left w:val="single" w:sz="4" w:space="0" w:color="auto"/>
              <w:right w:val="single" w:sz="4" w:space="0" w:color="auto"/>
            </w:tcBorders>
          </w:tcPr>
          <w:p w14:paraId="37D13761" w14:textId="77777777" w:rsidR="00172472" w:rsidRPr="00172472" w:rsidRDefault="00172472" w:rsidP="00172472">
            <w:pPr>
              <w:ind w:right="624"/>
              <w:jc w:val="right"/>
              <w:rPr>
                <w:rFonts w:eastAsia="Calibri"/>
                <w:sz w:val="20"/>
                <w:szCs w:val="20"/>
                <w:lang w:eastAsia="en-US"/>
              </w:rPr>
            </w:pPr>
            <w:r w:rsidRPr="00172472">
              <w:rPr>
                <w:rFonts w:eastAsia="Calibri"/>
                <w:sz w:val="20"/>
                <w:szCs w:val="20"/>
                <w:lang w:eastAsia="en-US"/>
              </w:rPr>
              <w:t>10.9</w:t>
            </w:r>
          </w:p>
        </w:tc>
        <w:tc>
          <w:tcPr>
            <w:tcW w:w="1514" w:type="dxa"/>
            <w:tcBorders>
              <w:left w:val="single" w:sz="4" w:space="0" w:color="auto"/>
              <w:right w:val="single" w:sz="4" w:space="0" w:color="auto"/>
            </w:tcBorders>
          </w:tcPr>
          <w:p w14:paraId="704649D8"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1.5</w:t>
            </w:r>
          </w:p>
        </w:tc>
        <w:tc>
          <w:tcPr>
            <w:tcW w:w="1785" w:type="dxa"/>
            <w:tcBorders>
              <w:left w:val="single" w:sz="4" w:space="0" w:color="auto"/>
              <w:right w:val="single" w:sz="4" w:space="0" w:color="auto"/>
            </w:tcBorders>
          </w:tcPr>
          <w:p w14:paraId="538BD9DB"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4.5</w:t>
            </w:r>
          </w:p>
        </w:tc>
      </w:tr>
      <w:tr w:rsidR="00172472" w:rsidRPr="00172472" w14:paraId="40BBBADC" w14:textId="77777777" w:rsidTr="000921CC">
        <w:trPr>
          <w:jc w:val="center"/>
        </w:trPr>
        <w:tc>
          <w:tcPr>
            <w:tcW w:w="1661" w:type="dxa"/>
            <w:tcBorders>
              <w:left w:val="single" w:sz="4" w:space="0" w:color="auto"/>
              <w:bottom w:val="single" w:sz="4" w:space="0" w:color="auto"/>
              <w:right w:val="single" w:sz="4" w:space="0" w:color="auto"/>
            </w:tcBorders>
          </w:tcPr>
          <w:p w14:paraId="010C1B3F"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Turquía</w:t>
            </w:r>
          </w:p>
        </w:tc>
        <w:tc>
          <w:tcPr>
            <w:tcW w:w="2304" w:type="dxa"/>
            <w:tcBorders>
              <w:left w:val="single" w:sz="4" w:space="0" w:color="auto"/>
              <w:bottom w:val="single" w:sz="4" w:space="0" w:color="auto"/>
              <w:right w:val="single" w:sz="4" w:space="0" w:color="auto"/>
            </w:tcBorders>
          </w:tcPr>
          <w:p w14:paraId="487E0366" w14:textId="77777777" w:rsidR="00172472" w:rsidRPr="00172472" w:rsidRDefault="00172472" w:rsidP="00172472">
            <w:pPr>
              <w:ind w:left="-170" w:right="851"/>
              <w:jc w:val="right"/>
              <w:rPr>
                <w:rFonts w:eastAsia="Calibri"/>
                <w:sz w:val="20"/>
                <w:szCs w:val="20"/>
                <w:lang w:eastAsia="en-US"/>
              </w:rPr>
            </w:pPr>
            <w:r w:rsidRPr="00172472">
              <w:rPr>
                <w:rFonts w:eastAsia="Calibri"/>
                <w:sz w:val="20"/>
                <w:szCs w:val="20"/>
                <w:lang w:eastAsia="en-US"/>
              </w:rPr>
              <w:t>13.4</w:t>
            </w:r>
          </w:p>
        </w:tc>
        <w:tc>
          <w:tcPr>
            <w:tcW w:w="1667" w:type="dxa"/>
            <w:tcBorders>
              <w:left w:val="single" w:sz="4" w:space="0" w:color="auto"/>
              <w:bottom w:val="single" w:sz="4" w:space="0" w:color="auto"/>
              <w:right w:val="single" w:sz="4" w:space="0" w:color="auto"/>
            </w:tcBorders>
          </w:tcPr>
          <w:p w14:paraId="25552CC9" w14:textId="77777777" w:rsidR="00172472" w:rsidRPr="00172472" w:rsidRDefault="00172472" w:rsidP="00172472">
            <w:pPr>
              <w:ind w:right="510"/>
              <w:jc w:val="right"/>
              <w:rPr>
                <w:rFonts w:eastAsia="Calibri"/>
                <w:sz w:val="20"/>
                <w:szCs w:val="20"/>
                <w:lang w:eastAsia="en-US"/>
              </w:rPr>
            </w:pPr>
          </w:p>
        </w:tc>
        <w:tc>
          <w:tcPr>
            <w:tcW w:w="1514" w:type="dxa"/>
            <w:tcBorders>
              <w:left w:val="single" w:sz="4" w:space="0" w:color="auto"/>
              <w:bottom w:val="single" w:sz="4" w:space="0" w:color="auto"/>
              <w:right w:val="single" w:sz="4" w:space="0" w:color="auto"/>
            </w:tcBorders>
          </w:tcPr>
          <w:p w14:paraId="4FA3D9F5" w14:textId="77777777" w:rsidR="00172472" w:rsidRPr="00172472" w:rsidRDefault="00172472" w:rsidP="00172472">
            <w:pPr>
              <w:ind w:right="567"/>
              <w:jc w:val="right"/>
              <w:rPr>
                <w:rFonts w:eastAsia="Calibri"/>
                <w:sz w:val="20"/>
                <w:szCs w:val="20"/>
                <w:lang w:eastAsia="en-US"/>
              </w:rPr>
            </w:pPr>
            <w:r w:rsidRPr="00172472">
              <w:rPr>
                <w:rFonts w:eastAsia="Calibri"/>
                <w:sz w:val="20"/>
                <w:szCs w:val="20"/>
                <w:lang w:eastAsia="en-US"/>
              </w:rPr>
              <w:t>4.9</w:t>
            </w:r>
          </w:p>
        </w:tc>
        <w:tc>
          <w:tcPr>
            <w:tcW w:w="1785" w:type="dxa"/>
            <w:tcBorders>
              <w:left w:val="single" w:sz="4" w:space="0" w:color="auto"/>
              <w:bottom w:val="single" w:sz="4" w:space="0" w:color="auto"/>
              <w:right w:val="single" w:sz="4" w:space="0" w:color="auto"/>
            </w:tcBorders>
          </w:tcPr>
          <w:p w14:paraId="5BED7C05" w14:textId="77777777" w:rsidR="00172472" w:rsidRPr="00172472" w:rsidRDefault="00172472" w:rsidP="00172472">
            <w:pPr>
              <w:ind w:right="680"/>
              <w:jc w:val="right"/>
              <w:rPr>
                <w:rFonts w:eastAsia="Calibri"/>
                <w:sz w:val="20"/>
                <w:szCs w:val="20"/>
                <w:lang w:eastAsia="en-US"/>
              </w:rPr>
            </w:pPr>
            <w:r w:rsidRPr="00172472">
              <w:rPr>
                <w:rFonts w:eastAsia="Calibri"/>
                <w:sz w:val="20"/>
                <w:szCs w:val="20"/>
                <w:lang w:eastAsia="en-US"/>
              </w:rPr>
              <w:t>6.2</w:t>
            </w:r>
          </w:p>
        </w:tc>
      </w:tr>
      <w:tr w:rsidR="00172472" w:rsidRPr="00172472" w14:paraId="4B1415A1" w14:textId="77777777" w:rsidTr="000921CC">
        <w:trPr>
          <w:jc w:val="center"/>
        </w:trPr>
        <w:tc>
          <w:tcPr>
            <w:tcW w:w="1661" w:type="dxa"/>
            <w:tcBorders>
              <w:top w:val="single" w:sz="4" w:space="0" w:color="auto"/>
              <w:left w:val="single" w:sz="4" w:space="0" w:color="auto"/>
              <w:right w:val="single" w:sz="4" w:space="0" w:color="auto"/>
            </w:tcBorders>
          </w:tcPr>
          <w:p w14:paraId="7CFC6B1A"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Leyenda</w:t>
            </w:r>
          </w:p>
        </w:tc>
        <w:tc>
          <w:tcPr>
            <w:tcW w:w="2304" w:type="dxa"/>
            <w:tcBorders>
              <w:top w:val="single" w:sz="4" w:space="0" w:color="auto"/>
              <w:left w:val="single" w:sz="4" w:space="0" w:color="auto"/>
              <w:right w:val="single" w:sz="4" w:space="0" w:color="auto"/>
            </w:tcBorders>
            <w:vAlign w:val="center"/>
          </w:tcPr>
          <w:p w14:paraId="7AA5B4D6"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Brecha crédito/PIB&gt;10</w:t>
            </w:r>
          </w:p>
        </w:tc>
        <w:tc>
          <w:tcPr>
            <w:tcW w:w="1667" w:type="dxa"/>
            <w:tcBorders>
              <w:top w:val="single" w:sz="4" w:space="0" w:color="auto"/>
              <w:left w:val="single" w:sz="4" w:space="0" w:color="auto"/>
              <w:right w:val="single" w:sz="4" w:space="0" w:color="auto"/>
            </w:tcBorders>
          </w:tcPr>
          <w:p w14:paraId="42176144"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Brecha de precios</w:t>
            </w:r>
          </w:p>
          <w:p w14:paraId="15FB3A5C"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inmobiliarios &gt;10</w:t>
            </w:r>
          </w:p>
        </w:tc>
        <w:tc>
          <w:tcPr>
            <w:tcW w:w="1514" w:type="dxa"/>
            <w:tcBorders>
              <w:top w:val="single" w:sz="4" w:space="0" w:color="auto"/>
              <w:left w:val="single" w:sz="4" w:space="0" w:color="auto"/>
              <w:right w:val="single" w:sz="4" w:space="0" w:color="auto"/>
            </w:tcBorders>
            <w:vAlign w:val="center"/>
          </w:tcPr>
          <w:p w14:paraId="61FA87ED" w14:textId="77777777" w:rsidR="00172472" w:rsidRPr="00172472" w:rsidRDefault="00172472" w:rsidP="00172472">
            <w:pPr>
              <w:jc w:val="center"/>
              <w:rPr>
                <w:rFonts w:eastAsia="Calibri"/>
                <w:sz w:val="20"/>
                <w:szCs w:val="20"/>
                <w:lang w:eastAsia="en-US"/>
              </w:rPr>
            </w:pPr>
            <w:r w:rsidRPr="00172472">
              <w:rPr>
                <w:rFonts w:eastAsia="Calibri"/>
                <w:sz w:val="20"/>
                <w:szCs w:val="20"/>
                <w:lang w:eastAsia="en-US"/>
              </w:rPr>
              <w:t>DSR &gt;6</w:t>
            </w:r>
          </w:p>
        </w:tc>
        <w:tc>
          <w:tcPr>
            <w:tcW w:w="1785" w:type="dxa"/>
            <w:tcBorders>
              <w:top w:val="single" w:sz="4" w:space="0" w:color="auto"/>
              <w:left w:val="single" w:sz="4" w:space="0" w:color="auto"/>
              <w:right w:val="single" w:sz="4" w:space="0" w:color="auto"/>
            </w:tcBorders>
            <w:vAlign w:val="center"/>
          </w:tcPr>
          <w:p w14:paraId="633D8B41" w14:textId="77777777" w:rsidR="00172472" w:rsidRPr="00172472" w:rsidRDefault="00172472" w:rsidP="00172472">
            <w:pPr>
              <w:jc w:val="center"/>
              <w:rPr>
                <w:rFonts w:eastAsia="Calibri"/>
                <w:sz w:val="20"/>
                <w:szCs w:val="20"/>
                <w:lang w:eastAsia="en-US"/>
              </w:rPr>
            </w:pPr>
            <w:r w:rsidRPr="00172472">
              <w:rPr>
                <w:rFonts w:eastAsia="Calibri"/>
                <w:sz w:val="20"/>
                <w:szCs w:val="20"/>
                <w:lang w:eastAsia="en-US"/>
              </w:rPr>
              <w:t>DSR &gt;6</w:t>
            </w:r>
          </w:p>
        </w:tc>
      </w:tr>
      <w:tr w:rsidR="00172472" w:rsidRPr="00172472" w14:paraId="236737E0" w14:textId="77777777" w:rsidTr="00634E36">
        <w:trPr>
          <w:jc w:val="center"/>
        </w:trPr>
        <w:tc>
          <w:tcPr>
            <w:tcW w:w="1661" w:type="dxa"/>
            <w:tcBorders>
              <w:left w:val="single" w:sz="4" w:space="0" w:color="auto"/>
              <w:bottom w:val="single" w:sz="4" w:space="0" w:color="auto"/>
              <w:right w:val="single" w:sz="4" w:space="0" w:color="auto"/>
            </w:tcBorders>
          </w:tcPr>
          <w:p w14:paraId="5C8E933C" w14:textId="77777777" w:rsidR="00172472" w:rsidRPr="00172472" w:rsidRDefault="00172472" w:rsidP="00172472">
            <w:pPr>
              <w:jc w:val="both"/>
              <w:rPr>
                <w:rFonts w:eastAsia="Calibri"/>
                <w:sz w:val="20"/>
                <w:szCs w:val="20"/>
                <w:lang w:eastAsia="en-US"/>
              </w:rPr>
            </w:pPr>
          </w:p>
        </w:tc>
        <w:tc>
          <w:tcPr>
            <w:tcW w:w="2304" w:type="dxa"/>
            <w:tcBorders>
              <w:left w:val="single" w:sz="4" w:space="0" w:color="auto"/>
              <w:bottom w:val="single" w:sz="4" w:space="0" w:color="auto"/>
              <w:right w:val="single" w:sz="4" w:space="0" w:color="auto"/>
            </w:tcBorders>
          </w:tcPr>
          <w:p w14:paraId="64B34527"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2≤ Brecha crédito/PIB &gt;10</w:t>
            </w:r>
          </w:p>
        </w:tc>
        <w:tc>
          <w:tcPr>
            <w:tcW w:w="1667" w:type="dxa"/>
            <w:tcBorders>
              <w:left w:val="single" w:sz="4" w:space="0" w:color="auto"/>
              <w:bottom w:val="single" w:sz="4" w:space="0" w:color="auto"/>
              <w:right w:val="single" w:sz="4" w:space="0" w:color="auto"/>
            </w:tcBorders>
          </w:tcPr>
          <w:p w14:paraId="4C70D9A3" w14:textId="77777777" w:rsidR="00172472" w:rsidRPr="00172472" w:rsidRDefault="00172472" w:rsidP="00172472">
            <w:pPr>
              <w:jc w:val="both"/>
              <w:rPr>
                <w:rFonts w:eastAsia="Calibri"/>
                <w:sz w:val="20"/>
                <w:szCs w:val="20"/>
                <w:lang w:eastAsia="en-US"/>
              </w:rPr>
            </w:pPr>
          </w:p>
        </w:tc>
        <w:tc>
          <w:tcPr>
            <w:tcW w:w="1514" w:type="dxa"/>
            <w:tcBorders>
              <w:left w:val="single" w:sz="4" w:space="0" w:color="auto"/>
              <w:bottom w:val="single" w:sz="4" w:space="0" w:color="auto"/>
              <w:right w:val="single" w:sz="4" w:space="0" w:color="auto"/>
            </w:tcBorders>
            <w:vAlign w:val="center"/>
          </w:tcPr>
          <w:p w14:paraId="205A0E58" w14:textId="77777777" w:rsidR="00172472" w:rsidRPr="00172472" w:rsidRDefault="00172472" w:rsidP="00172472">
            <w:pPr>
              <w:jc w:val="center"/>
              <w:rPr>
                <w:rFonts w:eastAsia="Calibri"/>
                <w:sz w:val="20"/>
                <w:szCs w:val="20"/>
                <w:lang w:eastAsia="en-US"/>
              </w:rPr>
            </w:pPr>
            <w:r w:rsidRPr="00172472">
              <w:rPr>
                <w:rFonts w:eastAsia="Calibri"/>
                <w:sz w:val="20"/>
                <w:szCs w:val="20"/>
                <w:lang w:eastAsia="en-US"/>
              </w:rPr>
              <w:t>4≤ DSR ≤6</w:t>
            </w:r>
          </w:p>
        </w:tc>
        <w:tc>
          <w:tcPr>
            <w:tcW w:w="1785" w:type="dxa"/>
            <w:tcBorders>
              <w:left w:val="single" w:sz="4" w:space="0" w:color="auto"/>
              <w:bottom w:val="single" w:sz="4" w:space="0" w:color="auto"/>
              <w:right w:val="single" w:sz="4" w:space="0" w:color="auto"/>
            </w:tcBorders>
            <w:vAlign w:val="center"/>
          </w:tcPr>
          <w:p w14:paraId="39E50E6D" w14:textId="77777777" w:rsidR="00172472" w:rsidRPr="00172472" w:rsidRDefault="00172472" w:rsidP="00172472">
            <w:pPr>
              <w:jc w:val="center"/>
              <w:rPr>
                <w:rFonts w:eastAsia="Calibri"/>
                <w:sz w:val="20"/>
                <w:szCs w:val="20"/>
                <w:lang w:eastAsia="en-US"/>
              </w:rPr>
            </w:pPr>
            <w:r w:rsidRPr="00172472">
              <w:rPr>
                <w:rFonts w:eastAsia="Calibri"/>
                <w:sz w:val="20"/>
                <w:szCs w:val="20"/>
                <w:lang w:eastAsia="en-US"/>
              </w:rPr>
              <w:t>4≤ DSR ≤6</w:t>
            </w:r>
          </w:p>
        </w:tc>
      </w:tr>
      <w:tr w:rsidR="00172472" w:rsidRPr="00172472" w14:paraId="7C1A27A9" w14:textId="77777777" w:rsidTr="00EA3974">
        <w:trPr>
          <w:jc w:val="center"/>
        </w:trPr>
        <w:tc>
          <w:tcPr>
            <w:tcW w:w="8931" w:type="dxa"/>
            <w:gridSpan w:val="5"/>
            <w:tcBorders>
              <w:left w:val="nil"/>
              <w:bottom w:val="nil"/>
              <w:right w:val="nil"/>
            </w:tcBorders>
          </w:tcPr>
          <w:p w14:paraId="49D762C4" w14:textId="77777777"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1</w:t>
            </w:r>
            <w:r w:rsidRPr="00172472">
              <w:rPr>
                <w:rFonts w:eastAsia="Calibri"/>
                <w:sz w:val="20"/>
                <w:szCs w:val="20"/>
                <w:lang w:eastAsia="en-US"/>
              </w:rPr>
              <w:t xml:space="preserve">/ Los umbrales para las celdas rojas se fijan minimizando las falsas alarmas condicionadas a captar al menos dos tercios de las crisis durante un horizonte temporal acumulado de tres años. Una señal se considera correcta si se produce una crisis en algunos de los tres años anteriores. El ruido se mide por las predicciones erróneas fuera de dicho horizonte. Las celdas beige para la brecha crédito/PIB se basan en las orientaciones para los colchones de capital anticíclico de Basilea III. Las celdas beige para el DSR se basan en umbrales </w:t>
            </w:r>
            <w:r w:rsidRPr="00172472">
              <w:rPr>
                <w:rFonts w:eastAsia="Calibri"/>
                <w:sz w:val="20"/>
                <w:szCs w:val="20"/>
                <w:lang w:eastAsia="en-US"/>
              </w:rPr>
              <w:lastRenderedPageBreak/>
              <w:t xml:space="preserve">críticos cuando se aplica un horizonte de previsión de dos años. Para saber cómo se obtienen los umbrales críticos para las brechas crédito/PIB y las brechas de precios inmobiliarios, véase M. Drehmann, C. Borio y K. Tsatsaronis, </w:t>
            </w:r>
            <w:r w:rsidRPr="00172472">
              <w:rPr>
                <w:rFonts w:eastAsia="Calibri"/>
                <w:i/>
                <w:sz w:val="20"/>
                <w:szCs w:val="20"/>
                <w:lang w:eastAsia="en-US"/>
              </w:rPr>
              <w:t>Anchoring countercyclical capital buffers: the role of credit aggregates, International Journal of Central Banking</w:t>
            </w:r>
            <w:r w:rsidRPr="00172472">
              <w:rPr>
                <w:rFonts w:eastAsia="Calibri"/>
                <w:sz w:val="20"/>
                <w:szCs w:val="20"/>
                <w:lang w:eastAsia="en-US"/>
              </w:rPr>
              <w:t xml:space="preserve">, vol, 7, n. 4, 2011, pp 189–240. Para los DSR, véase M. Drehmann y M. Juselius, “¿Afectan los costes del servicio de la deuda a la estabilidad macroeconómica y financiera?”, Informe Trimestral del BPI, septiembre de 2012.    </w:t>
            </w:r>
          </w:p>
          <w:p w14:paraId="66F4E399" w14:textId="77777777"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2</w:t>
            </w:r>
            <w:r w:rsidRPr="00172472">
              <w:rPr>
                <w:rFonts w:eastAsia="Calibri"/>
                <w:sz w:val="20"/>
                <w:szCs w:val="20"/>
                <w:lang w:eastAsia="en-US"/>
              </w:rPr>
              <w:t xml:space="preserve">/ Diferencia, en puntos porcentuales, del cociente entre crédito y PIB con respecto a su tendencia a largo plazo en tiempo real calculada con un filtro HP asimétrico, utilizando un factor de suavización de 400 mil.    </w:t>
            </w:r>
          </w:p>
          <w:p w14:paraId="5BCC6216" w14:textId="77777777"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3</w:t>
            </w:r>
            <w:r w:rsidRPr="00172472">
              <w:rPr>
                <w:rFonts w:eastAsia="Calibri"/>
                <w:sz w:val="20"/>
                <w:szCs w:val="20"/>
                <w:lang w:eastAsia="en-US"/>
              </w:rPr>
              <w:t xml:space="preserve">/ Desviación, en puntos porcentuales, de los precios reales de los inmuebles residenciales con respecto a su tendencia a largo plazo calculada con un filtro HP asimétrico, utilizando un factor de suavización de                 400 mil.    </w:t>
            </w:r>
          </w:p>
          <w:p w14:paraId="4ADBC959" w14:textId="5326B6CF"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4</w:t>
            </w:r>
            <w:r w:rsidRPr="00172472">
              <w:rPr>
                <w:rFonts w:eastAsia="Calibri"/>
                <w:sz w:val="20"/>
                <w:szCs w:val="20"/>
                <w:lang w:eastAsia="en-US"/>
              </w:rPr>
              <w:t>/ Diferencia, en puntos porcentuales, de los DSR con respecto a los promedios a largo plazo específicos del país desde 1985 o posterior dependiendo de la disponibilidad de datos y cuando la inflación media de cinco años cae por debajo del 10% (para Rusia y Turquía, últimos 10 años)</w:t>
            </w:r>
            <w:r w:rsidR="000921CC">
              <w:rPr>
                <w:rFonts w:eastAsia="Calibri"/>
                <w:sz w:val="20"/>
                <w:szCs w:val="20"/>
                <w:lang w:eastAsia="en-US"/>
              </w:rPr>
              <w:t>.</w:t>
            </w:r>
          </w:p>
          <w:p w14:paraId="6CC82FA0" w14:textId="2833D3C4"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5</w:t>
            </w:r>
            <w:r w:rsidRPr="00172472">
              <w:rPr>
                <w:rFonts w:eastAsia="Calibri"/>
                <w:sz w:val="20"/>
                <w:szCs w:val="20"/>
                <w:lang w:eastAsia="en-US"/>
              </w:rPr>
              <w:t>/ Suponiendo que las tasas de préstamo se incrementan 2</w:t>
            </w:r>
            <w:r w:rsidR="000921CC">
              <w:rPr>
                <w:rFonts w:eastAsia="Calibri"/>
                <w:sz w:val="20"/>
                <w:szCs w:val="20"/>
                <w:lang w:eastAsia="en-US"/>
              </w:rPr>
              <w:t>.</w:t>
            </w:r>
            <w:r w:rsidRPr="00172472">
              <w:rPr>
                <w:rFonts w:eastAsia="Calibri"/>
                <w:sz w:val="20"/>
                <w:szCs w:val="20"/>
                <w:lang w:eastAsia="en-US"/>
              </w:rPr>
              <w:t xml:space="preserve">50 puntos porcentuales </w:t>
            </w:r>
            <w:r w:rsidRPr="00172472">
              <w:rPr>
                <w:rFonts w:eastAsia="Calibri"/>
                <w:i/>
                <w:sz w:val="20"/>
                <w:szCs w:val="20"/>
                <w:lang w:eastAsia="en-US"/>
              </w:rPr>
              <w:t>full pass-through</w:t>
            </w:r>
            <w:r w:rsidRPr="00172472">
              <w:rPr>
                <w:rFonts w:eastAsia="Calibri"/>
                <w:sz w:val="20"/>
                <w:szCs w:val="20"/>
                <w:lang w:eastAsia="en-US"/>
              </w:rPr>
              <w:t xml:space="preserve"> y que el resto de componentes de los DSR permanecen fijos. Dado que solo una parte del crédito en vigor es a interés variable, la suposición de </w:t>
            </w:r>
            <w:r w:rsidRPr="00172472">
              <w:rPr>
                <w:rFonts w:eastAsia="Calibri"/>
                <w:i/>
                <w:sz w:val="20"/>
                <w:szCs w:val="20"/>
                <w:lang w:eastAsia="en-US"/>
              </w:rPr>
              <w:t>full pass-through</w:t>
            </w:r>
            <w:r w:rsidRPr="00172472">
              <w:rPr>
                <w:rFonts w:eastAsia="Calibri"/>
                <w:sz w:val="20"/>
                <w:szCs w:val="20"/>
                <w:lang w:eastAsia="en-US"/>
              </w:rPr>
              <w:t xml:space="preserve"> debería interpretarse como indicativa de un cambio del DSR en el largo plazo.    </w:t>
            </w:r>
          </w:p>
          <w:p w14:paraId="56D7F43A" w14:textId="77777777"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6</w:t>
            </w:r>
            <w:r w:rsidRPr="00172472">
              <w:rPr>
                <w:rFonts w:eastAsia="Calibri"/>
                <w:sz w:val="20"/>
                <w:szCs w:val="20"/>
                <w:lang w:eastAsia="en-US"/>
              </w:rPr>
              <w:t xml:space="preserve">/ Filipinas, Hong Kong RAE, Indonesia, Malasia, Singapur y Tailandia; para el DSR y su previsión, se excluye Filipinas y Singapur.    </w:t>
            </w:r>
          </w:p>
          <w:p w14:paraId="35C12C83" w14:textId="1FDB9DD3" w:rsidR="00172472" w:rsidRPr="00172472" w:rsidRDefault="00172472" w:rsidP="00172472">
            <w:pPr>
              <w:ind w:left="227" w:hanging="227"/>
              <w:jc w:val="both"/>
              <w:rPr>
                <w:rFonts w:eastAsia="Calibri"/>
                <w:sz w:val="20"/>
                <w:szCs w:val="20"/>
                <w:lang w:eastAsia="en-US"/>
              </w:rPr>
            </w:pPr>
            <w:r w:rsidRPr="00172472">
              <w:rPr>
                <w:rFonts w:eastAsia="Calibri"/>
                <w:sz w:val="20"/>
                <w:szCs w:val="20"/>
                <w:u w:val="single"/>
                <w:lang w:eastAsia="en-US"/>
              </w:rPr>
              <w:t>7</w:t>
            </w:r>
            <w:r w:rsidRPr="00172472">
              <w:rPr>
                <w:rFonts w:eastAsia="Calibri"/>
                <w:sz w:val="20"/>
                <w:szCs w:val="20"/>
                <w:lang w:eastAsia="en-US"/>
              </w:rPr>
              <w:t xml:space="preserve">/ Bulgaria, Estonia, Hungría, Letonia, Lituania, Polonia, República Checa, Rumania y Rusia; para la brecha de los precios inmobiliarios se excluye la República Checa y Rumanía; para el DSR y su previsión, se excluye Bulgaria, Estonia, Letonia, Lituania y Rumania. </w:t>
            </w:r>
          </w:p>
          <w:p w14:paraId="4ED57674" w14:textId="77777777" w:rsidR="00172472" w:rsidRPr="00172472" w:rsidRDefault="00172472" w:rsidP="00172472">
            <w:pPr>
              <w:jc w:val="both"/>
              <w:rPr>
                <w:rFonts w:eastAsia="Calibri"/>
                <w:sz w:val="20"/>
                <w:szCs w:val="20"/>
                <w:lang w:eastAsia="en-US"/>
              </w:rPr>
            </w:pPr>
            <w:r w:rsidRPr="00172472">
              <w:rPr>
                <w:rFonts w:eastAsia="Calibri"/>
                <w:sz w:val="20"/>
                <w:szCs w:val="20"/>
                <w:u w:val="single"/>
                <w:lang w:eastAsia="en-US"/>
              </w:rPr>
              <w:t>8</w:t>
            </w:r>
            <w:r w:rsidRPr="00172472">
              <w:rPr>
                <w:rFonts w:eastAsia="Calibri"/>
                <w:sz w:val="20"/>
                <w:szCs w:val="20"/>
                <w:lang w:eastAsia="en-US"/>
              </w:rPr>
              <w:t>/ Finlandia, Noruega y Suecia.</w:t>
            </w:r>
          </w:p>
          <w:p w14:paraId="6E2E2A50" w14:textId="77777777" w:rsidR="00172472" w:rsidRPr="00172472" w:rsidRDefault="00172472" w:rsidP="00172472">
            <w:pPr>
              <w:jc w:val="both"/>
              <w:rPr>
                <w:rFonts w:eastAsia="Calibri"/>
                <w:sz w:val="20"/>
                <w:szCs w:val="20"/>
                <w:lang w:eastAsia="en-US"/>
              </w:rPr>
            </w:pPr>
            <w:r w:rsidRPr="00172472">
              <w:rPr>
                <w:rFonts w:eastAsia="Calibri"/>
                <w:sz w:val="20"/>
                <w:szCs w:val="20"/>
                <w:lang w:eastAsia="en-US"/>
              </w:rPr>
              <w:t>FUENTE: Datos nacionales; BPI; cálculos del BPI.</w:t>
            </w:r>
          </w:p>
        </w:tc>
      </w:tr>
    </w:tbl>
    <w:p w14:paraId="12706E1E" w14:textId="77777777" w:rsidR="00172472" w:rsidRPr="00172472" w:rsidRDefault="00172472" w:rsidP="00172472">
      <w:pPr>
        <w:spacing w:after="360" w:line="360" w:lineRule="auto"/>
        <w:ind w:right="-159"/>
        <w:jc w:val="both"/>
        <w:rPr>
          <w:rFonts w:eastAsia="Calibri"/>
          <w:sz w:val="26"/>
          <w:szCs w:val="26"/>
          <w:lang w:eastAsia="en-US"/>
        </w:rPr>
      </w:pPr>
    </w:p>
    <w:p w14:paraId="7E3D21C7" w14:textId="5B076C1F" w:rsidR="00172472" w:rsidRPr="00172472" w:rsidRDefault="00172472" w:rsidP="00172472">
      <w:pPr>
        <w:spacing w:after="360" w:line="360" w:lineRule="auto"/>
        <w:ind w:right="-159"/>
        <w:jc w:val="both"/>
        <w:rPr>
          <w:rFonts w:eastAsia="Calibri"/>
          <w:sz w:val="26"/>
          <w:szCs w:val="26"/>
          <w:lang w:eastAsia="en-US"/>
        </w:rPr>
      </w:pPr>
      <w:r w:rsidRPr="00172472">
        <w:rPr>
          <w:rFonts w:eastAsia="Calibri"/>
          <w:sz w:val="26"/>
          <w:szCs w:val="26"/>
          <w:lang w:eastAsia="en-US"/>
        </w:rPr>
        <w:t>Por lo general, el financiamiento transfronteriz</w:t>
      </w:r>
      <w:r w:rsidR="000921CC">
        <w:rPr>
          <w:rFonts w:eastAsia="Calibri"/>
          <w:sz w:val="26"/>
          <w:szCs w:val="26"/>
          <w:lang w:eastAsia="en-US"/>
        </w:rPr>
        <w:t>o</w:t>
      </w:r>
      <w:r w:rsidRPr="00172472">
        <w:rPr>
          <w:rFonts w:eastAsia="Calibri"/>
          <w:sz w:val="26"/>
          <w:szCs w:val="26"/>
          <w:lang w:eastAsia="en-US"/>
        </w:rPr>
        <w:t xml:space="preserve"> impulsa la fase alcista de los ciclos financieros locales y, a través del inevitable cambio de tendencia posterior, acentúa el subsiguiente desplome</w:t>
      </w:r>
      <w:r w:rsidRPr="00172472">
        <w:rPr>
          <w:rFonts w:eastAsia="Calibri"/>
          <w:sz w:val="26"/>
          <w:szCs w:val="26"/>
          <w:vertAlign w:val="superscript"/>
          <w:lang w:eastAsia="en-US"/>
        </w:rPr>
        <w:footnoteReference w:id="63"/>
      </w:r>
      <w:r w:rsidRPr="00172472">
        <w:rPr>
          <w:rFonts w:eastAsia="Calibri"/>
          <w:sz w:val="26"/>
          <w:szCs w:val="26"/>
          <w:lang w:eastAsia="en-US"/>
        </w:rPr>
        <w:t>. Por tanto, el elevado nivel actual de flujos transfronterizos de capital hacia China y otras economías de Asia oriental podría contribuir a reforzar los auges cíclicos en esos países, aunque, tal y como ya se ha mencionado, al menos para China, la tendencia podría estar cambiando de signo. Cabe asimismo la posibilidad de que algunos países se muestren vulnerables a un incremento en el rendimiento de la deuda a escala internacional, como podría ocurrir si los principales bancos centrales empezaran a preparar el fin a su actual posición acomodaticia en su política monetaria. Esto se mide en la última columna del Cuadro anterior, que estima el aumento en los coeficientes de servicio de la deuda (amortizaciones de principal e intereses en relación a los ingresos) que podría ocurrir si el cost</w:t>
      </w:r>
      <w:r w:rsidR="001C7810">
        <w:rPr>
          <w:rFonts w:eastAsia="Calibri"/>
          <w:sz w:val="26"/>
          <w:szCs w:val="26"/>
          <w:lang w:eastAsia="en-US"/>
        </w:rPr>
        <w:t>o</w:t>
      </w:r>
      <w:r w:rsidRPr="00172472">
        <w:rPr>
          <w:rFonts w:eastAsia="Calibri"/>
          <w:sz w:val="26"/>
          <w:szCs w:val="26"/>
          <w:lang w:eastAsia="en-US"/>
        </w:rPr>
        <w:t xml:space="preserve"> de la deuda en circulación se incrementara </w:t>
      </w:r>
      <w:r w:rsidRPr="00172472">
        <w:rPr>
          <w:rFonts w:eastAsia="Calibri"/>
          <w:sz w:val="26"/>
          <w:szCs w:val="26"/>
          <w:lang w:eastAsia="en-US"/>
        </w:rPr>
        <w:lastRenderedPageBreak/>
        <w:t>en 250 puntos básicos, asumiendo que el resto de componentes del coeficiente de servicio de la deuda permanecieran fijos.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172472" w:rsidRPr="00172472" w14:paraId="61454A0E" w14:textId="77777777" w:rsidTr="00634E36">
        <w:tc>
          <w:tcPr>
            <w:tcW w:w="8828" w:type="dxa"/>
          </w:tcPr>
          <w:p w14:paraId="0A45C7EE" w14:textId="77777777" w:rsidR="00172472" w:rsidRPr="00172472" w:rsidRDefault="00172472" w:rsidP="00172472">
            <w:pPr>
              <w:tabs>
                <w:tab w:val="left" w:pos="4910"/>
              </w:tabs>
              <w:rPr>
                <w:rFonts w:eastAsia="Calibri"/>
                <w:b/>
                <w:sz w:val="26"/>
                <w:szCs w:val="26"/>
                <w:lang w:eastAsia="en-US"/>
              </w:rPr>
            </w:pPr>
          </w:p>
          <w:p w14:paraId="3213BA06" w14:textId="77777777" w:rsidR="00172472" w:rsidRPr="00172472" w:rsidRDefault="00172472" w:rsidP="00172472">
            <w:pPr>
              <w:spacing w:after="360" w:line="360" w:lineRule="auto"/>
              <w:jc w:val="center"/>
              <w:rPr>
                <w:rFonts w:eastAsia="Calibri"/>
                <w:b/>
                <w:sz w:val="26"/>
                <w:szCs w:val="26"/>
                <w:lang w:eastAsia="en-US"/>
              </w:rPr>
            </w:pPr>
            <w:r w:rsidRPr="00172472">
              <w:rPr>
                <w:rFonts w:eastAsia="Calibri"/>
                <w:b/>
                <w:sz w:val="26"/>
                <w:szCs w:val="26"/>
                <w:lang w:eastAsia="en-US"/>
              </w:rPr>
              <w:t>Indicadores de liquidez mundial: origen e interpretación</w:t>
            </w:r>
          </w:p>
          <w:p w14:paraId="39D43360" w14:textId="705EC30C"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En los últimos años, investigadores del BPI han desarrollado indicadores orientados a seguir de cerca las condiciones de liquidez mundial. Con liquidez mundial nos referimos a la facilidad de financiamiento en los mercados financieros internacionales. Así entendida, la liquidez mundial implica tanto liquidez de financiamiento (la facilidad para obtener efectivo vendiendo nuevas obligaciones a </w:t>
            </w:r>
            <w:r w:rsidR="00BA61DD">
              <w:rPr>
                <w:rFonts w:eastAsia="Calibri"/>
                <w:sz w:val="26"/>
                <w:szCs w:val="26"/>
                <w:lang w:eastAsia="en-US"/>
              </w:rPr>
              <w:t>inversionistas</w:t>
            </w:r>
            <w:r w:rsidRPr="00172472">
              <w:rPr>
                <w:rFonts w:eastAsia="Calibri"/>
                <w:sz w:val="26"/>
                <w:szCs w:val="26"/>
                <w:lang w:eastAsia="en-US"/>
              </w:rPr>
              <w:t xml:space="preserve">) como liquidez de mercado (la facilidad para obtener efectivo vendiendo activos). La liquidez mundial depende por tanto de la actuación de </w:t>
            </w:r>
            <w:r w:rsidR="00BA61DD">
              <w:rPr>
                <w:rFonts w:eastAsia="Calibri"/>
                <w:sz w:val="26"/>
                <w:szCs w:val="26"/>
                <w:lang w:eastAsia="en-US"/>
              </w:rPr>
              <w:t>inversionistas</w:t>
            </w:r>
            <w:r w:rsidRPr="00172472">
              <w:rPr>
                <w:rFonts w:eastAsia="Calibri"/>
                <w:sz w:val="26"/>
                <w:szCs w:val="26"/>
                <w:lang w:eastAsia="en-US"/>
              </w:rPr>
              <w:t xml:space="preserve"> privados, instituciones financieras y autoridades monetarias. Se trata básicamente de una propiedad no observable del sistema financiero, que podemos estimar analizando diferentes indicadores de precios y cantidades, aunque ninguno de ellos da por sí solo una imagen completa. La información que proporcionan estos indicadores varía con el tiempo, por lo que es necesario un enfoque flexible para evaluar las condiciones de liquidez mundial. </w:t>
            </w:r>
          </w:p>
          <w:p w14:paraId="1CC3B063" w14:textId="77777777"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Las instituciones financieras proporcionan liquidez de mercado en los mercados de títulos a través de sus actividades de negociación, y liquidez de financiamiento a los prestatarios a través de sus actividades crediticias. Las condiciones con las que pueden financiarse estos intermediarios, por su parte, dependen de la predisposición de otros participantes del mercado a interactuar con ellos. Las políticas macroprudenciales y prudenciales son otro factor, incluidos las condiciones bajo las que los bancos centrales proporcionan financiamiento. </w:t>
            </w:r>
          </w:p>
          <w:p w14:paraId="1A527685" w14:textId="77777777"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La interacción entre estos factores públicos y privados determina la facilidad de financiamiento global de la economía, lo cual, a su vez influye en la acumulación </w:t>
            </w:r>
            <w:r w:rsidRPr="00172472">
              <w:rPr>
                <w:rFonts w:eastAsia="Calibri"/>
                <w:sz w:val="26"/>
                <w:szCs w:val="26"/>
                <w:lang w:eastAsia="en-US"/>
              </w:rPr>
              <w:lastRenderedPageBreak/>
              <w:t>de vulnerabilidades en el sistema financiero mediante inflación de los precios de los activos, apalancamiento o desajustes de vencimientos o financiamiento. Los indicadores tienden a  medir estos “rastros” de la liquidez más que la liquidez en sí, que no es observable.</w:t>
            </w:r>
          </w:p>
          <w:p w14:paraId="68999AC4" w14:textId="77777777"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A partir de esta premisa, y desde una perspectiva de estabilidad financiera, el crédito mundial es uno de los indicadores de liquidez mundial. El volumen de crédito en circulación muestra en qué grado la facilidad de financiamiento ha provocado la acumulación de exposiciones. En otras palabras, el crédito al sector privado mundial refleja el resultado de la actividad de intermediación financiera en los mercados mundiales. La variación de estos volúmenes está estrechamente relacionada con la acumulación de vulnerabilidades, con posibles implicaciones para la estabilidad financiera. Estos flujos tienen un elemento nacional e internacional. </w:t>
            </w:r>
          </w:p>
          <w:p w14:paraId="67D331DC" w14:textId="77777777"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De particular interés al evaluar la liquidez mundial es el componente internacional del crédito (préstamos transfronterizos a no residentes o préstamo en moneda extranjera). Este elemento transfronterizo a menudo ha sido la fuente marginal de financiamiento en auges del crédito. Aunque con frecuencia las fluctuaciones en estos componentes internacionales son pequeñas en comparación con el volumen total de crédito, pueden amplificar las tendencias nacionales y están altamente correlacionadas con auges y contracciones en las condiciones financieras mundiales. La liquidez mundial está por tanto vinculada a las condiciones de liquidez mundial y al ciclo financiero en un determinado país o región, aunque se distingue de ellos.  </w:t>
            </w:r>
          </w:p>
          <w:p w14:paraId="2C2CAAE7" w14:textId="46CBBA34"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Cualquier evaluación de las condiciones de liquidez mundial exige poner en perspectiva las estimaciones del crédito mundial. Gran parte de este crédito, aunque no todo, lo proporcionan los bancos, por lo que los indicadores se centran en este componente, aunque también proporcionan crédito otros </w:t>
            </w:r>
            <w:r w:rsidR="00BA61DD">
              <w:rPr>
                <w:rFonts w:eastAsia="Calibri"/>
                <w:sz w:val="26"/>
                <w:szCs w:val="26"/>
                <w:lang w:eastAsia="en-US"/>
              </w:rPr>
              <w:t>inversionistas</w:t>
            </w:r>
            <w:r w:rsidRPr="00172472">
              <w:rPr>
                <w:rFonts w:eastAsia="Calibri"/>
                <w:sz w:val="26"/>
                <w:szCs w:val="26"/>
                <w:lang w:eastAsia="en-US"/>
              </w:rPr>
              <w:t xml:space="preserve"> en títulos de </w:t>
            </w:r>
            <w:r w:rsidRPr="00172472">
              <w:rPr>
                <w:rFonts w:eastAsia="Calibri"/>
                <w:sz w:val="26"/>
                <w:szCs w:val="26"/>
                <w:lang w:eastAsia="en-US"/>
              </w:rPr>
              <w:lastRenderedPageBreak/>
              <w:t xml:space="preserve">deuda, al haber crecido el sector de gestión de activos. Puede emplearse una serie de indicadores adicionales de precios y cantidades para captar aspectos adicionales de la liquidez mundial que son relevantes para la estabilidad financiera. Entre ellos se encuentran medidas de las condiciones de financiamiento en los principales mercados financieros e incentivos para tomar posiciones en los distintos segmentos de mercado. Los indicadores clave en este sentido son aproximaciones de la percepción y tolerancia al riesgo (como el VIX), que son un factor clave del apalancamiento y la predisposición de los </w:t>
            </w:r>
            <w:r w:rsidR="00BA61DD">
              <w:rPr>
                <w:rFonts w:eastAsia="Calibri"/>
                <w:sz w:val="26"/>
                <w:szCs w:val="26"/>
                <w:lang w:eastAsia="en-US"/>
              </w:rPr>
              <w:t>inversionistas</w:t>
            </w:r>
            <w:r w:rsidRPr="00172472">
              <w:rPr>
                <w:rFonts w:eastAsia="Calibri"/>
                <w:sz w:val="26"/>
                <w:szCs w:val="26"/>
                <w:lang w:eastAsia="en-US"/>
              </w:rPr>
              <w:t xml:space="preserve"> privados a proporcionar financiamiento. También podrían interesar las condiciones con las que se proporciona financiamiento, así como en sus consecuencias para los volúmenes y precios del crédito.  </w:t>
            </w:r>
          </w:p>
          <w:p w14:paraId="48A51B90" w14:textId="77777777"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Estos conceptos se han desarrollado y elaborado en una serie de estudios, informes de comités y discursos del BPI, algunos de los cuales se enumeran a continuación: </w:t>
            </w:r>
          </w:p>
          <w:p w14:paraId="011F2D45"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Borio, C. (2010): </w:t>
            </w:r>
            <w:r w:rsidRPr="00172472">
              <w:rPr>
                <w:rFonts w:eastAsia="Calibri"/>
                <w:i/>
                <w:sz w:val="26"/>
                <w:szCs w:val="26"/>
                <w:lang w:eastAsia="en-US"/>
              </w:rPr>
              <w:t>Ten propositions about liquidity crises, CESifo Economic Studies</w:t>
            </w:r>
            <w:r w:rsidRPr="00172472">
              <w:rPr>
                <w:rFonts w:eastAsia="Calibri"/>
                <w:sz w:val="26"/>
                <w:szCs w:val="26"/>
                <w:lang w:eastAsia="en-US"/>
              </w:rPr>
              <w:t xml:space="preserve">, vol 56, n° 1, pp 70–95. También disponible en BIS Working Papers, n° 293, noviembre de 2009. </w:t>
            </w:r>
          </w:p>
          <w:p w14:paraId="24186E42"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Borio, C., R. McCauley y P. McGuire (2011): “El crédito mundial y el auge del crédito interno”, Informe Trimestral del BPI, septiembre.</w:t>
            </w:r>
          </w:p>
          <w:p w14:paraId="584AAAAD"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Bruno, V., y H. S. Shin (2014): </w:t>
            </w:r>
            <w:r w:rsidRPr="00172472">
              <w:rPr>
                <w:rFonts w:eastAsia="Calibri"/>
                <w:i/>
                <w:sz w:val="26"/>
                <w:szCs w:val="26"/>
                <w:lang w:eastAsia="en-US"/>
              </w:rPr>
              <w:t>Cross-border banking and global liquidity, BIS Working Papers</w:t>
            </w:r>
            <w:r w:rsidRPr="00172472">
              <w:rPr>
                <w:rFonts w:eastAsia="Calibri"/>
                <w:sz w:val="26"/>
                <w:szCs w:val="26"/>
                <w:lang w:eastAsia="en-US"/>
              </w:rPr>
              <w:t xml:space="preserve">, n° 458, septiembre. </w:t>
            </w:r>
          </w:p>
          <w:p w14:paraId="438285E1"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Caruana, J. (2012): </w:t>
            </w:r>
            <w:r w:rsidRPr="00172472">
              <w:rPr>
                <w:rFonts w:eastAsia="Calibri"/>
                <w:i/>
                <w:sz w:val="26"/>
                <w:szCs w:val="26"/>
                <w:lang w:eastAsia="en-US"/>
              </w:rPr>
              <w:t>Assessing global liquidity from a financial stability perspective</w:t>
            </w:r>
            <w:r w:rsidRPr="00172472">
              <w:rPr>
                <w:rFonts w:eastAsia="Calibri"/>
                <w:sz w:val="26"/>
                <w:szCs w:val="26"/>
                <w:lang w:eastAsia="en-US"/>
              </w:rPr>
              <w:t xml:space="preserve">, discurso pronunciado con motivo de 48th SEACEN </w:t>
            </w:r>
            <w:r w:rsidRPr="00172472">
              <w:rPr>
                <w:rFonts w:eastAsia="Calibri"/>
                <w:i/>
                <w:sz w:val="26"/>
                <w:szCs w:val="26"/>
                <w:lang w:eastAsia="en-US"/>
              </w:rPr>
              <w:t>Governors’ Conference and High-Level Seminar, Ulaanbaatar,</w:t>
            </w:r>
            <w:r w:rsidRPr="00172472">
              <w:rPr>
                <w:rFonts w:eastAsia="Calibri"/>
                <w:sz w:val="26"/>
                <w:szCs w:val="26"/>
                <w:lang w:eastAsia="en-US"/>
              </w:rPr>
              <w:t xml:space="preserve"> noviembre. </w:t>
            </w:r>
          </w:p>
          <w:p w14:paraId="0156CE6D"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lastRenderedPageBreak/>
              <w:t xml:space="preserve">Caruana, J. (2013): </w:t>
            </w:r>
            <w:r w:rsidRPr="00172472">
              <w:rPr>
                <w:rFonts w:eastAsia="Calibri"/>
                <w:i/>
                <w:sz w:val="26"/>
                <w:szCs w:val="26"/>
                <w:lang w:eastAsia="en-US"/>
              </w:rPr>
              <w:t>Global liquidity: where do we stand</w:t>
            </w:r>
            <w:r w:rsidRPr="00172472">
              <w:rPr>
                <w:rFonts w:eastAsia="Calibri"/>
                <w:sz w:val="26"/>
                <w:szCs w:val="26"/>
                <w:lang w:eastAsia="en-US"/>
              </w:rPr>
              <w:t xml:space="preserve">?, discurso pronunciado con motivo de </w:t>
            </w:r>
            <w:r w:rsidRPr="00172472">
              <w:rPr>
                <w:rFonts w:eastAsia="Calibri"/>
                <w:i/>
                <w:sz w:val="26"/>
                <w:szCs w:val="26"/>
                <w:lang w:eastAsia="en-US"/>
              </w:rPr>
              <w:t>Bank of Korea Annual Conference</w:t>
            </w:r>
            <w:r w:rsidRPr="00172472">
              <w:rPr>
                <w:rFonts w:eastAsia="Calibri"/>
                <w:sz w:val="26"/>
                <w:szCs w:val="26"/>
                <w:lang w:eastAsia="en-US"/>
              </w:rPr>
              <w:t xml:space="preserve">, Seúl, junio. </w:t>
            </w:r>
          </w:p>
          <w:p w14:paraId="7A39DC39"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Caruana, J. (2013): </w:t>
            </w:r>
            <w:r w:rsidRPr="00172472">
              <w:rPr>
                <w:rFonts w:eastAsia="Calibri"/>
                <w:i/>
                <w:sz w:val="26"/>
                <w:szCs w:val="26"/>
                <w:lang w:eastAsia="en-US"/>
              </w:rPr>
              <w:t>Ebbing global liquidity and monetary policy interactions</w:t>
            </w:r>
            <w:r w:rsidRPr="00172472">
              <w:rPr>
                <w:rFonts w:eastAsia="Calibri"/>
                <w:sz w:val="26"/>
                <w:szCs w:val="26"/>
                <w:lang w:eastAsia="en-US"/>
              </w:rPr>
              <w:t xml:space="preserve">, discurso pronunciado con motivo de la V Cumbre de Bancos Centrales, Banco central de Chile, Santiago, noviembre. </w:t>
            </w:r>
          </w:p>
          <w:p w14:paraId="18C2727E"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Caruana, J. (2014): </w:t>
            </w:r>
            <w:r w:rsidRPr="00172472">
              <w:rPr>
                <w:rFonts w:eastAsia="Calibri"/>
                <w:i/>
                <w:sz w:val="26"/>
                <w:szCs w:val="26"/>
                <w:lang w:eastAsia="en-US"/>
              </w:rPr>
              <w:t>Global liquidity: where it stands, and why it matters, IMFS Distinguished Lecture at Goethe University</w:t>
            </w:r>
            <w:r w:rsidRPr="00172472">
              <w:rPr>
                <w:rFonts w:eastAsia="Calibri"/>
                <w:sz w:val="26"/>
                <w:szCs w:val="26"/>
                <w:lang w:eastAsia="en-US"/>
              </w:rPr>
              <w:t xml:space="preserve">, Fráncfort, Alemania, marzo. </w:t>
            </w:r>
          </w:p>
          <w:p w14:paraId="76AF0D7C"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Comité sobre el Sistema Financiero Global (2011): </w:t>
            </w:r>
            <w:r w:rsidRPr="00172472">
              <w:rPr>
                <w:rFonts w:eastAsia="Calibri"/>
                <w:i/>
                <w:sz w:val="26"/>
                <w:szCs w:val="26"/>
                <w:lang w:eastAsia="en-US"/>
              </w:rPr>
              <w:t>Global liquidity – concepts, measurement and policy implications, CGFS Papers</w:t>
            </w:r>
            <w:r w:rsidRPr="00172472">
              <w:rPr>
                <w:rFonts w:eastAsia="Calibri"/>
                <w:sz w:val="26"/>
                <w:szCs w:val="26"/>
                <w:lang w:eastAsia="en-US"/>
              </w:rPr>
              <w:t xml:space="preserve">, no 45, diciembre. </w:t>
            </w:r>
          </w:p>
          <w:p w14:paraId="34A5335A"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Domanski, D., I. Fender y P. McGuire (2011): “Consideraciones sobre la liquidez mundial”, Informe Trimestral del BPI, diciembre. </w:t>
            </w:r>
          </w:p>
          <w:p w14:paraId="40AFCD5A"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Eickmeier, S., L. Gambacorta y B. Hofmann (2013): </w:t>
            </w:r>
            <w:r w:rsidRPr="00172472">
              <w:rPr>
                <w:rFonts w:eastAsia="Calibri"/>
                <w:i/>
                <w:sz w:val="26"/>
                <w:szCs w:val="26"/>
                <w:lang w:eastAsia="en-US"/>
              </w:rPr>
              <w:t>Understanding global liquidity, BIS Working Papers</w:t>
            </w:r>
            <w:r w:rsidRPr="00172472">
              <w:rPr>
                <w:rFonts w:eastAsia="Calibri"/>
                <w:sz w:val="26"/>
                <w:szCs w:val="26"/>
                <w:lang w:eastAsia="en-US"/>
              </w:rPr>
              <w:t xml:space="preserve">, n° 402, febrero. </w:t>
            </w:r>
          </w:p>
          <w:p w14:paraId="3365BE60" w14:textId="77777777" w:rsidR="00172472" w:rsidRPr="00172472" w:rsidRDefault="00172472" w:rsidP="003B27DE">
            <w:pPr>
              <w:numPr>
                <w:ilvl w:val="0"/>
                <w:numId w:val="27"/>
              </w:numPr>
              <w:spacing w:after="360" w:line="360" w:lineRule="auto"/>
              <w:ind w:left="714" w:hanging="357"/>
              <w:jc w:val="both"/>
              <w:rPr>
                <w:rFonts w:eastAsia="Calibri"/>
                <w:sz w:val="26"/>
                <w:szCs w:val="26"/>
                <w:lang w:eastAsia="en-US"/>
              </w:rPr>
            </w:pPr>
            <w:r w:rsidRPr="00172472">
              <w:rPr>
                <w:rFonts w:eastAsia="Calibri"/>
                <w:sz w:val="26"/>
                <w:szCs w:val="26"/>
                <w:lang w:eastAsia="en-US"/>
              </w:rPr>
              <w:t xml:space="preserve">Shin, H. S. (2013), </w:t>
            </w:r>
            <w:r w:rsidRPr="00172472">
              <w:rPr>
                <w:rFonts w:eastAsia="Calibri"/>
                <w:i/>
                <w:sz w:val="26"/>
                <w:szCs w:val="26"/>
                <w:lang w:eastAsia="en-US"/>
              </w:rPr>
              <w:t>The second phase of global liquidity and its impact on emerging economies, proceedings of the Federal Reserve Bank of San Francisco Asia Economic Policy Conference</w:t>
            </w:r>
            <w:r w:rsidRPr="00172472">
              <w:rPr>
                <w:rFonts w:eastAsia="Calibri"/>
                <w:sz w:val="26"/>
                <w:szCs w:val="26"/>
                <w:lang w:eastAsia="en-US"/>
              </w:rPr>
              <w:t>, noviembre, pp. 1–10.</w:t>
            </w:r>
          </w:p>
        </w:tc>
      </w:tr>
    </w:tbl>
    <w:p w14:paraId="3A36EB7B" w14:textId="77777777" w:rsidR="00172472" w:rsidRDefault="00172472" w:rsidP="00172472">
      <w:pPr>
        <w:spacing w:after="360" w:line="360" w:lineRule="auto"/>
        <w:ind w:right="-159"/>
        <w:jc w:val="both"/>
        <w:rPr>
          <w:rFonts w:eastAsia="Calibri"/>
          <w:sz w:val="26"/>
          <w:szCs w:val="26"/>
          <w:lang w:eastAsia="en-US"/>
        </w:rPr>
      </w:pPr>
    </w:p>
    <w:p w14:paraId="01D19782" w14:textId="77777777" w:rsidR="004727D3" w:rsidRDefault="004727D3" w:rsidP="00172472">
      <w:pPr>
        <w:spacing w:after="360" w:line="360" w:lineRule="auto"/>
        <w:ind w:right="-159"/>
        <w:jc w:val="both"/>
        <w:rPr>
          <w:rFonts w:eastAsia="Calibri"/>
          <w:sz w:val="26"/>
          <w:szCs w:val="26"/>
          <w:lang w:eastAsia="en-US"/>
        </w:rPr>
      </w:pPr>
    </w:p>
    <w:p w14:paraId="60ADFB50" w14:textId="77777777" w:rsidR="004727D3" w:rsidRPr="00172472" w:rsidRDefault="004727D3" w:rsidP="00172472">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30"/>
      </w:tblGrid>
      <w:tr w:rsidR="00172472" w:rsidRPr="00172472" w14:paraId="78EF0BEA" w14:textId="77777777" w:rsidTr="00634E36">
        <w:tc>
          <w:tcPr>
            <w:tcW w:w="8828" w:type="dxa"/>
          </w:tcPr>
          <w:p w14:paraId="67F492D7" w14:textId="77777777" w:rsidR="00172472" w:rsidRPr="00172472" w:rsidRDefault="00172472" w:rsidP="00172472">
            <w:pPr>
              <w:jc w:val="center"/>
              <w:rPr>
                <w:rFonts w:eastAsia="Calibri"/>
                <w:b/>
                <w:sz w:val="26"/>
                <w:szCs w:val="26"/>
                <w:lang w:eastAsia="en-US"/>
              </w:rPr>
            </w:pPr>
          </w:p>
          <w:p w14:paraId="2CB2350C" w14:textId="77777777" w:rsidR="00172472" w:rsidRPr="00172472" w:rsidRDefault="00172472" w:rsidP="00172472">
            <w:pPr>
              <w:spacing w:after="360" w:line="360" w:lineRule="auto"/>
              <w:jc w:val="center"/>
              <w:rPr>
                <w:rFonts w:eastAsia="Calibri"/>
                <w:b/>
                <w:sz w:val="26"/>
                <w:szCs w:val="26"/>
                <w:lang w:eastAsia="en-US"/>
              </w:rPr>
            </w:pPr>
            <w:r w:rsidRPr="00172472">
              <w:rPr>
                <w:rFonts w:eastAsia="Calibri"/>
                <w:b/>
                <w:sz w:val="26"/>
                <w:szCs w:val="26"/>
                <w:lang w:eastAsia="en-US"/>
              </w:rPr>
              <w:t>Ampliación de capital y recompra de acciones propias</w:t>
            </w:r>
          </w:p>
          <w:p w14:paraId="4BA9D943" w14:textId="77777777" w:rsid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 xml:space="preserve">En los últimos años, las sociedades no financieras han venido emitiendo grandes cantidades de títulos representativos de capital en términos brutos. En un contexto de aumento de precios de la renta variable, las sociedades no financieras de las cuatro mayores economías avanzadas (Estados Unidos de Norteamérica, zona del euro, Japón y el Reino Unido) ampliaron capital por valor de 625 mil millones de dólares, un 66% más que en los dos años anteriores (Gráfica siguiente, panel izquierdo). Las sociedades estadounidenses captaron más de la mitad de este capital, mientras que las de la zona del euro captaron una cuarta parte. La emisión por parte de empresas ya cotizadas (ofertas secundarias o “de seguimiento”) representó el 74% del total (Gráfica siguiente, panel central), mientras que las ofertas públicas de salida a bolsa (IPO) supusieron el 26%, prácticamente igual que los dos años previos. Dentro de las operaciones de salida a bolsa, las sociedades no financieras estadounidenses siguieron llevando la delantera, aunque su participación se redujo notablemente desde aproximadamente el 70% a finales de 2012 hasta menos del 50% al cierre de 2014 (Gráfica siguiente, panel central, línea roja). Las sociedades británicas, por su parte, ganaron terreno. </w:t>
            </w:r>
          </w:p>
          <w:p w14:paraId="0D8F28E6" w14:textId="77777777" w:rsidR="004727D3" w:rsidRDefault="004727D3" w:rsidP="00172472">
            <w:pPr>
              <w:spacing w:after="360" w:line="360" w:lineRule="auto"/>
              <w:jc w:val="both"/>
              <w:rPr>
                <w:rFonts w:eastAsia="Calibri"/>
                <w:sz w:val="26"/>
                <w:szCs w:val="26"/>
                <w:lang w:eastAsia="en-US"/>
              </w:rPr>
            </w:pPr>
          </w:p>
          <w:p w14:paraId="4820BB33" w14:textId="77777777" w:rsidR="004727D3" w:rsidRDefault="004727D3" w:rsidP="00172472">
            <w:pPr>
              <w:spacing w:after="360" w:line="360" w:lineRule="auto"/>
              <w:jc w:val="both"/>
              <w:rPr>
                <w:rFonts w:eastAsia="Calibri"/>
                <w:sz w:val="26"/>
                <w:szCs w:val="26"/>
                <w:lang w:eastAsia="en-US"/>
              </w:rPr>
            </w:pPr>
          </w:p>
          <w:p w14:paraId="2ABA5D7C" w14:textId="77777777" w:rsidR="004727D3" w:rsidRDefault="004727D3" w:rsidP="00172472">
            <w:pPr>
              <w:spacing w:after="360" w:line="360" w:lineRule="auto"/>
              <w:jc w:val="both"/>
              <w:rPr>
                <w:rFonts w:eastAsia="Calibri"/>
                <w:sz w:val="26"/>
                <w:szCs w:val="26"/>
                <w:lang w:eastAsia="en-US"/>
              </w:rPr>
            </w:pPr>
          </w:p>
          <w:p w14:paraId="4AA11C3D" w14:textId="77777777" w:rsidR="004727D3" w:rsidRDefault="004727D3" w:rsidP="00172472">
            <w:pPr>
              <w:spacing w:after="360" w:line="360" w:lineRule="auto"/>
              <w:jc w:val="both"/>
              <w:rPr>
                <w:rFonts w:eastAsia="Calibri"/>
                <w:sz w:val="26"/>
                <w:szCs w:val="26"/>
                <w:lang w:eastAsia="en-US"/>
              </w:rPr>
            </w:pPr>
          </w:p>
          <w:p w14:paraId="21C520DC" w14:textId="77777777" w:rsidR="004727D3" w:rsidRDefault="004727D3" w:rsidP="00172472">
            <w:pPr>
              <w:spacing w:after="360" w:line="360" w:lineRule="auto"/>
              <w:jc w:val="both"/>
              <w:rPr>
                <w:rFonts w:eastAsia="Calibri"/>
                <w:sz w:val="26"/>
                <w:szCs w:val="26"/>
                <w:lang w:eastAsia="en-US"/>
              </w:rPr>
            </w:pPr>
          </w:p>
          <w:p w14:paraId="228A6374" w14:textId="77777777" w:rsidR="004727D3" w:rsidRPr="00172472" w:rsidRDefault="004727D3" w:rsidP="0047140D">
            <w:pPr>
              <w:spacing w:after="360"/>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614"/>
            </w:tblGrid>
            <w:tr w:rsidR="00172472" w:rsidRPr="00172472" w14:paraId="0CCFCB42" w14:textId="77777777" w:rsidTr="00EA3974">
              <w:tc>
                <w:tcPr>
                  <w:tcW w:w="8612" w:type="dxa"/>
                </w:tcPr>
                <w:p w14:paraId="4E00B941"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t>AUGE DE LAS AMPLIACIONES DE CAPITAL Y RECOMPRA DE ACCIONES PROPIAS</w:t>
                  </w:r>
                </w:p>
              </w:tc>
            </w:tr>
            <w:tr w:rsidR="00172472" w:rsidRPr="00172472" w14:paraId="391319B4" w14:textId="77777777" w:rsidTr="00EA3974">
              <w:tc>
                <w:tcPr>
                  <w:tcW w:w="8612" w:type="dxa"/>
                </w:tcPr>
                <w:p w14:paraId="1AB551E2"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0B514FDF" wp14:editId="4971C726">
                        <wp:extent cx="5419161" cy="2952000"/>
                        <wp:effectExtent l="0" t="0" r="0" b="1270"/>
                        <wp:docPr id="1541" name="Imagen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419161" cy="2952000"/>
                                </a:xfrm>
                                <a:prstGeom prst="rect">
                                  <a:avLst/>
                                </a:prstGeom>
                                <a:noFill/>
                                <a:ln>
                                  <a:noFill/>
                                </a:ln>
                              </pic:spPr>
                            </pic:pic>
                          </a:graphicData>
                        </a:graphic>
                      </wp:inline>
                    </w:drawing>
                  </w:r>
                </w:p>
              </w:tc>
            </w:tr>
            <w:tr w:rsidR="00172472" w:rsidRPr="00172472" w14:paraId="25B98E13" w14:textId="77777777" w:rsidTr="00EA3974">
              <w:tc>
                <w:tcPr>
                  <w:tcW w:w="8612" w:type="dxa"/>
                </w:tcPr>
                <w:p w14:paraId="2CCDD69F"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USD= Dólares.</w:t>
                  </w:r>
                </w:p>
                <w:p w14:paraId="6FAF6F7F"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EEUU: Estados Unidos de Norteamérica.</w:t>
                  </w:r>
                </w:p>
                <w:p w14:paraId="38553DE5"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Por sociedades no financieras (NFC), excluida la emisión de acciones preferentes y bonos convertibles.</w:t>
                  </w:r>
                </w:p>
                <w:p w14:paraId="39343D41"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Suma de Estados Unidos de Norteamérica, zona del euro, Japón y Reino Unido.    </w:t>
                  </w:r>
                </w:p>
                <w:p w14:paraId="241EAFE5"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3</w:t>
                  </w:r>
                  <w:r w:rsidRPr="00172472">
                    <w:rPr>
                      <w:rFonts w:eastAsia="Calibri"/>
                      <w:sz w:val="20"/>
                      <w:szCs w:val="26"/>
                      <w:lang w:eastAsia="en-US"/>
                    </w:rPr>
                    <w:t xml:space="preserve">/ Por sociedades no financieras pertenecientes al S&amp;P 1500 (Estados Unidos de Norteamérica), EURO STOXX Total </w:t>
                  </w:r>
                  <w:r w:rsidRPr="00172472">
                    <w:rPr>
                      <w:rFonts w:eastAsia="Calibri"/>
                      <w:i/>
                      <w:sz w:val="20"/>
                      <w:szCs w:val="26"/>
                      <w:lang w:eastAsia="en-US"/>
                    </w:rPr>
                    <w:t>Market Index</w:t>
                  </w:r>
                  <w:r w:rsidRPr="00172472">
                    <w:rPr>
                      <w:rFonts w:eastAsia="Calibri"/>
                      <w:sz w:val="20"/>
                      <w:szCs w:val="26"/>
                      <w:lang w:eastAsia="en-US"/>
                    </w:rPr>
                    <w:t xml:space="preserve">, TOPIX y FTSE </w:t>
                  </w:r>
                  <w:r w:rsidRPr="00172472">
                    <w:rPr>
                      <w:rFonts w:eastAsia="Calibri"/>
                      <w:i/>
                      <w:sz w:val="20"/>
                      <w:szCs w:val="26"/>
                      <w:lang w:eastAsia="en-US"/>
                    </w:rPr>
                    <w:t>All-Share Index</w:t>
                  </w:r>
                  <w:r w:rsidRPr="00172472">
                    <w:rPr>
                      <w:rFonts w:eastAsia="Calibri"/>
                      <w:sz w:val="20"/>
                      <w:szCs w:val="26"/>
                      <w:lang w:eastAsia="en-US"/>
                    </w:rPr>
                    <w:t xml:space="preserve"> (otras economías).    </w:t>
                  </w:r>
                </w:p>
                <w:p w14:paraId="484EB065"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4</w:t>
                  </w:r>
                  <w:r w:rsidRPr="00172472">
                    <w:rPr>
                      <w:rFonts w:eastAsia="Calibri"/>
                      <w:sz w:val="20"/>
                      <w:szCs w:val="26"/>
                      <w:lang w:eastAsia="en-US"/>
                    </w:rPr>
                    <w:t xml:space="preserve">/ Cotización al cierre de la jornada de los índices bursátiles S&amp;P 1500, EURO STOXX 50, TOPIX y FTSE </w:t>
                  </w:r>
                  <w:r w:rsidRPr="00172472">
                    <w:rPr>
                      <w:rFonts w:eastAsia="Calibri"/>
                      <w:i/>
                      <w:sz w:val="20"/>
                      <w:szCs w:val="26"/>
                      <w:lang w:eastAsia="en-US"/>
                    </w:rPr>
                    <w:t>All-Share</w:t>
                  </w:r>
                  <w:r w:rsidRPr="00172472">
                    <w:rPr>
                      <w:rFonts w:eastAsia="Calibri"/>
                      <w:sz w:val="20"/>
                      <w:szCs w:val="26"/>
                      <w:lang w:eastAsia="en-US"/>
                    </w:rPr>
                    <w:t xml:space="preserve">; media ponderada basada en la capitalización bursátil de los respectivos índices; promedios mensuales de los datos diarios.    </w:t>
                  </w:r>
                </w:p>
                <w:p w14:paraId="0DD1E21E"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5</w:t>
                  </w:r>
                  <w:r w:rsidRPr="00172472">
                    <w:rPr>
                      <w:rFonts w:eastAsia="Calibri"/>
                      <w:sz w:val="20"/>
                      <w:szCs w:val="26"/>
                      <w:lang w:eastAsia="en-US"/>
                    </w:rPr>
                    <w:t xml:space="preserve">/ Ampliación de capital (excluida emisión de acciones preferentes y bonos convertibles) por NFC de Estados Unidos de Norteamérica menos recompra de acciones propias por sociedades no financieras pertenecientes al índice S&amp;P 1500.    </w:t>
                  </w:r>
                </w:p>
                <w:p w14:paraId="47DC610E"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6</w:t>
                  </w:r>
                  <w:r w:rsidRPr="00172472">
                    <w:rPr>
                      <w:rFonts w:eastAsia="Calibri"/>
                      <w:sz w:val="20"/>
                      <w:szCs w:val="26"/>
                      <w:lang w:eastAsia="en-US"/>
                    </w:rPr>
                    <w:t>/ Por NFC, según las estadísticas de la Reserva Federal sobre flujos de fondos (</w:t>
                  </w:r>
                  <w:r w:rsidRPr="00172472">
                    <w:rPr>
                      <w:rFonts w:eastAsia="Calibri"/>
                      <w:i/>
                      <w:sz w:val="20"/>
                      <w:szCs w:val="26"/>
                      <w:lang w:eastAsia="en-US"/>
                    </w:rPr>
                    <w:t>statistical release</w:t>
                  </w:r>
                  <w:r w:rsidRPr="00172472">
                    <w:rPr>
                      <w:rFonts w:eastAsia="Calibri"/>
                      <w:sz w:val="20"/>
                      <w:szCs w:val="26"/>
                      <w:lang w:eastAsia="en-US"/>
                    </w:rPr>
                    <w:t xml:space="preserve"> Z.1, tabla F.102, línea 39); los datos de 2014 abarcan solo hasta el tercer trimestre.    </w:t>
                  </w:r>
                </w:p>
                <w:p w14:paraId="6C842CDA" w14:textId="77777777" w:rsidR="00172472" w:rsidRPr="00172472" w:rsidRDefault="00172472" w:rsidP="00172472">
                  <w:pPr>
                    <w:ind w:left="936" w:hanging="936"/>
                    <w:jc w:val="both"/>
                    <w:rPr>
                      <w:rFonts w:eastAsia="Calibri"/>
                      <w:sz w:val="20"/>
                      <w:szCs w:val="26"/>
                      <w:lang w:eastAsia="en-US"/>
                    </w:rPr>
                  </w:pPr>
                  <w:r w:rsidRPr="00172472">
                    <w:rPr>
                      <w:rFonts w:eastAsia="Calibri"/>
                      <w:sz w:val="20"/>
                      <w:szCs w:val="26"/>
                      <w:lang w:eastAsia="en-US"/>
                    </w:rPr>
                    <w:t xml:space="preserve">FUENTE: </w:t>
                  </w:r>
                  <w:r w:rsidRPr="00172472">
                    <w:rPr>
                      <w:rFonts w:eastAsia="Calibri"/>
                      <w:i/>
                      <w:sz w:val="20"/>
                      <w:szCs w:val="26"/>
                      <w:lang w:eastAsia="en-US"/>
                    </w:rPr>
                    <w:t xml:space="preserve">Bloomberg; Datastream; </w:t>
                  </w:r>
                  <w:r w:rsidRPr="00172472">
                    <w:rPr>
                      <w:rFonts w:eastAsia="Calibri"/>
                      <w:sz w:val="20"/>
                      <w:szCs w:val="26"/>
                      <w:lang w:eastAsia="en-US"/>
                    </w:rPr>
                    <w:t>datos nacionales; cálculos del BPI.</w:t>
                  </w:r>
                </w:p>
              </w:tc>
            </w:tr>
          </w:tbl>
          <w:p w14:paraId="5A8C3183" w14:textId="77777777" w:rsidR="00172472" w:rsidRPr="00172472" w:rsidRDefault="00172472" w:rsidP="00172472">
            <w:pPr>
              <w:spacing w:after="360" w:line="360" w:lineRule="auto"/>
              <w:jc w:val="both"/>
              <w:rPr>
                <w:rFonts w:eastAsia="Calibri"/>
                <w:sz w:val="26"/>
                <w:szCs w:val="26"/>
                <w:lang w:eastAsia="en-US"/>
              </w:rPr>
            </w:pPr>
          </w:p>
          <w:p w14:paraId="4F545AC9" w14:textId="292E70AD"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Pese a que las sociedades no financieras estadounidenses captaron capital de manera masiva, en términos netos las cantidades se redujeron, dado que la recompra de acciones propias superó a las emisiones. De hecho, después de un fuerte incremento, en 2014 las recompras de acciones propias se acercaron a sus niveles pre-crisis (Gráfica anterior, panel derecho, línea roja), alcanzando casi los 950 mil millones en 2013–14. En consecuencia, el correspondiente capital accionari</w:t>
            </w:r>
            <w:r w:rsidR="000921CC">
              <w:rPr>
                <w:rFonts w:eastAsia="Calibri"/>
                <w:sz w:val="26"/>
                <w:szCs w:val="26"/>
                <w:lang w:eastAsia="en-US"/>
              </w:rPr>
              <w:t>o</w:t>
            </w:r>
            <w:r w:rsidRPr="00172472">
              <w:rPr>
                <w:rFonts w:eastAsia="Calibri"/>
                <w:sz w:val="26"/>
                <w:szCs w:val="26"/>
                <w:lang w:eastAsia="en-US"/>
              </w:rPr>
              <w:t xml:space="preserve"> se redujo en al menos 610 mil millones en términos netos (Gráfica anterior, panel derecho, línea </w:t>
            </w:r>
            <w:r w:rsidRPr="00172472">
              <w:rPr>
                <w:rFonts w:eastAsia="Calibri"/>
                <w:sz w:val="26"/>
                <w:szCs w:val="26"/>
                <w:lang w:eastAsia="en-US"/>
              </w:rPr>
              <w:lastRenderedPageBreak/>
              <w:t xml:space="preserve">azul). Esta cifra se ve en parte subestimada, ya que compara el capital total captado por el conjunto del sector corporativo no financiero de Estados Unidos de Norteamérica (cifras de </w:t>
            </w:r>
            <w:r w:rsidRPr="00172472">
              <w:rPr>
                <w:rFonts w:eastAsia="Calibri"/>
                <w:i/>
                <w:sz w:val="26"/>
                <w:szCs w:val="26"/>
                <w:lang w:eastAsia="en-US"/>
              </w:rPr>
              <w:t>Dealogic</w:t>
            </w:r>
            <w:r w:rsidRPr="00172472">
              <w:rPr>
                <w:rFonts w:eastAsia="Calibri"/>
                <w:sz w:val="26"/>
                <w:szCs w:val="26"/>
                <w:lang w:eastAsia="en-US"/>
              </w:rPr>
              <w:t>) con la recompra de acciones propias solo por las sociedades no financieras incluidas en el índice S&amp;P 1500. Las estadísticas oficiales estadounidenses de flujos de fondos, que abarcan todas las sociedades no financieras de Estados Unidos de Norteamérica y siguen una metodología más amplia, muestra un mayor descenso de las nuevas ampliaciones de capital en términos netos en 2013–14 (Gráfica anterior, panel derecho, línea azul discontinua)</w:t>
            </w:r>
            <w:r w:rsidR="00634E36" w:rsidRPr="00634E36">
              <w:rPr>
                <w:rFonts w:eastAsia="Calibri"/>
                <w:sz w:val="26"/>
                <w:szCs w:val="26"/>
                <w:u w:val="single"/>
                <w:vertAlign w:val="superscript"/>
                <w:lang w:eastAsia="en-US"/>
              </w:rPr>
              <w:t>1</w:t>
            </w:r>
            <w:r w:rsidR="00634E36" w:rsidRPr="00634E36">
              <w:rPr>
                <w:rFonts w:eastAsia="Calibri"/>
                <w:sz w:val="26"/>
                <w:szCs w:val="26"/>
                <w:vertAlign w:val="superscript"/>
                <w:lang w:eastAsia="en-US"/>
              </w:rPr>
              <w:t>/</w:t>
            </w:r>
            <w:r w:rsidRPr="00172472">
              <w:rPr>
                <w:rFonts w:eastAsia="Calibri"/>
                <w:sz w:val="26"/>
                <w:szCs w:val="26"/>
                <w:lang w:eastAsia="en-US"/>
              </w:rPr>
              <w:t xml:space="preserve">. </w:t>
            </w:r>
          </w:p>
          <w:p w14:paraId="722BB5F2" w14:textId="3979883F" w:rsidR="00172472" w:rsidRP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Desde mediados de los años 80, las sociedades han recurrido a la recompra de acciones propias más que a los dividendos a la hora de devolver efectivo a sus accionistas</w:t>
            </w:r>
            <w:r w:rsidR="00634E36">
              <w:rPr>
                <w:rFonts w:eastAsia="Calibri"/>
                <w:sz w:val="26"/>
                <w:szCs w:val="26"/>
                <w:u w:val="single"/>
                <w:vertAlign w:val="superscript"/>
                <w:lang w:eastAsia="en-US"/>
              </w:rPr>
              <w:t>2</w:t>
            </w:r>
            <w:r w:rsidR="00634E36" w:rsidRPr="00634E36">
              <w:rPr>
                <w:rFonts w:eastAsia="Calibri"/>
                <w:sz w:val="26"/>
                <w:szCs w:val="26"/>
                <w:vertAlign w:val="superscript"/>
                <w:lang w:eastAsia="en-US"/>
              </w:rPr>
              <w:t>/</w:t>
            </w:r>
            <w:r w:rsidRPr="00172472">
              <w:rPr>
                <w:rFonts w:eastAsia="Calibri"/>
                <w:sz w:val="26"/>
                <w:szCs w:val="26"/>
                <w:lang w:eastAsia="en-US"/>
              </w:rPr>
              <w:t>. Esto se debió inicialmente a las ventajas fiscales y a la protección frente al riesgo de una adquisición hostil, aunque las recompras de acciones propias han servido también para señalar la infravaloración de una empresa</w:t>
            </w:r>
            <w:r w:rsidR="00634E36">
              <w:rPr>
                <w:rFonts w:eastAsia="Calibri"/>
                <w:sz w:val="26"/>
                <w:szCs w:val="26"/>
                <w:u w:val="single"/>
                <w:vertAlign w:val="superscript"/>
                <w:lang w:eastAsia="en-US"/>
              </w:rPr>
              <w:t>3</w:t>
            </w:r>
            <w:r w:rsidR="00634E36" w:rsidRPr="00634E36">
              <w:rPr>
                <w:rFonts w:eastAsia="Calibri"/>
                <w:sz w:val="26"/>
                <w:szCs w:val="26"/>
                <w:vertAlign w:val="superscript"/>
                <w:lang w:eastAsia="en-US"/>
              </w:rPr>
              <w:t>/</w:t>
            </w:r>
            <w:r w:rsidRPr="00172472">
              <w:rPr>
                <w:rFonts w:eastAsia="Calibri"/>
                <w:sz w:val="26"/>
                <w:szCs w:val="26"/>
                <w:lang w:eastAsia="en-US"/>
              </w:rPr>
              <w:t xml:space="preserve">. Más recientemente, estas operaciones se han asociado más a las políticas retributivas de los directivos, a la reducción de los flujos de efectivo de libre disposición y al apoyo directo al precio de las acciones. Las recompras de acciones propias le han tomado la delantera a los dividendos agregados como principal forma de retribución corporativa en Estados Unidos de Norteamérica. En Europa, la recompra de acciones propias comenzó a utilizarse activamente mucho más tarde. Aunque en la última década el uso de estas operaciones por empresas europeas ha crecido más rápido que en Estados Unidos de Norteamérica, su valor apenas sigue siendo una fracción del de sus homólogas estadounidenses. Las recompras de acciones propias por sociedades no financieras incluidas en índices bursátiles amplios de la zona del euro, el Reino Unido y Japón totalizaron 145 mil millones de dólares en 2013–14 (Gráfica anterior, panel derecho, línea negra), casi siete veces menos que el valor de estas operaciones por empresas estadounidenses. En Estados Unidos de Norteamérica, el 30% de todas las recompras de acciones propias se concentraron </w:t>
            </w:r>
            <w:r w:rsidRPr="00172472">
              <w:rPr>
                <w:rFonts w:eastAsia="Calibri"/>
                <w:sz w:val="26"/>
                <w:szCs w:val="26"/>
                <w:lang w:eastAsia="en-US"/>
              </w:rPr>
              <w:lastRenderedPageBreak/>
              <w:t xml:space="preserve">en grandes sociedades informáticas, incluidas Apple, IBM, Cisco, Oracle y Microsoft (Gráfica anterior, panel derecho). </w:t>
            </w:r>
          </w:p>
          <w:p w14:paraId="11EFF875" w14:textId="77777777" w:rsidR="00172472" w:rsidRDefault="00172472" w:rsidP="00172472">
            <w:pPr>
              <w:spacing w:after="360" w:line="360" w:lineRule="auto"/>
              <w:jc w:val="both"/>
              <w:rPr>
                <w:rFonts w:eastAsia="Calibri"/>
                <w:sz w:val="26"/>
                <w:szCs w:val="26"/>
                <w:lang w:eastAsia="en-US"/>
              </w:rPr>
            </w:pPr>
            <w:r w:rsidRPr="00172472">
              <w:rPr>
                <w:rFonts w:eastAsia="Calibri"/>
                <w:sz w:val="26"/>
                <w:szCs w:val="26"/>
                <w:lang w:eastAsia="en-US"/>
              </w:rPr>
              <w:t>Los auges de las recompras de acciones en Estados Unidos de Norteamérica han solido coincidir con repuntes de la emisión de bonos neta, lo que sugiere que las primeras se habrían financiado en parte con las segundas. En los últimos 15 años, se han registrado dos oleadas de recompras de acciones propias: T2 2002–T2 2007 y T1 2009–T4 2014 (Gráfica siguiente, paneles izquierdo y central). La emisión neta de bonos durante ambos períodos evolucionó a la par de las recompras totales (líneas azul y roja) y se vio reforzada por las bajas o decrecientes tasas de interés (Gráfica siguiente, panel derecho). En general, la Gráfica siguiente sugiere que cuando los costes de financiamiento de la deuda son favorables y los mercados bursátiles son boyantes, las sociedades no financieras estadounidenses recurren en gran medida a la emisión de bonos y utilizan parte de lo recaudado para financiar recompras de acciones propias. En 2009–14, la emisión de bonos neta trimestral promedió casi el doble de la emisión durante el auge anterior (Gráfica siguiente, paneles izquierdo y central, líneas azules discontinuas). Durante ese período, las sociedades no financieras estadounidenses recompraron acciones propias por valor de 2.1 billones de dólares y emitieron bonos por valor de 1.8 billones en términos netos, en comparación con 1.3 y 0.85 billones de dólares respectivamente durante 2002–07.</w:t>
            </w:r>
          </w:p>
          <w:p w14:paraId="32161037" w14:textId="77777777" w:rsidR="004727D3" w:rsidRDefault="004727D3" w:rsidP="00172472">
            <w:pPr>
              <w:spacing w:after="360" w:line="360" w:lineRule="auto"/>
              <w:jc w:val="both"/>
              <w:rPr>
                <w:rFonts w:eastAsia="Calibri"/>
                <w:sz w:val="26"/>
                <w:szCs w:val="26"/>
                <w:lang w:eastAsia="en-US"/>
              </w:rPr>
            </w:pPr>
          </w:p>
          <w:p w14:paraId="23D4EB89" w14:textId="77777777" w:rsidR="0047140D" w:rsidRDefault="0047140D" w:rsidP="00172472">
            <w:pPr>
              <w:spacing w:after="360" w:line="360" w:lineRule="auto"/>
              <w:jc w:val="both"/>
              <w:rPr>
                <w:rFonts w:eastAsia="Calibri"/>
                <w:sz w:val="26"/>
                <w:szCs w:val="26"/>
                <w:lang w:eastAsia="en-US"/>
              </w:rPr>
            </w:pPr>
          </w:p>
          <w:p w14:paraId="1378D4DE" w14:textId="77777777" w:rsidR="004727D3" w:rsidRDefault="004727D3" w:rsidP="00172472">
            <w:pPr>
              <w:spacing w:after="360" w:line="360" w:lineRule="auto"/>
              <w:jc w:val="both"/>
              <w:rPr>
                <w:rFonts w:eastAsia="Calibri"/>
                <w:sz w:val="26"/>
                <w:szCs w:val="26"/>
                <w:lang w:eastAsia="en-US"/>
              </w:rPr>
            </w:pPr>
          </w:p>
          <w:p w14:paraId="1D8AF5AF" w14:textId="77777777" w:rsidR="004727D3" w:rsidRPr="00172472" w:rsidRDefault="004727D3" w:rsidP="00172472">
            <w:pPr>
              <w:spacing w:after="360" w:line="360" w:lineRule="auto"/>
              <w:jc w:val="both"/>
              <w:rPr>
                <w:rFonts w:eastAsia="Calibri"/>
                <w:sz w:val="26"/>
                <w:szCs w:val="26"/>
                <w:lang w:eastAsia="en-US"/>
              </w:rPr>
            </w:pPr>
          </w:p>
          <w:tbl>
            <w:tblPr>
              <w:tblW w:w="0" w:type="auto"/>
              <w:tblBorders>
                <w:insideV w:val="single" w:sz="4" w:space="0" w:color="auto"/>
              </w:tblBorders>
              <w:tblLook w:val="04A0" w:firstRow="1" w:lastRow="0" w:firstColumn="1" w:lastColumn="0" w:noHBand="0" w:noVBand="1"/>
            </w:tblPr>
            <w:tblGrid>
              <w:gridCol w:w="8614"/>
            </w:tblGrid>
            <w:tr w:rsidR="00172472" w:rsidRPr="00172472" w14:paraId="39FB8FA6" w14:textId="77777777" w:rsidTr="00EA3974">
              <w:tc>
                <w:tcPr>
                  <w:tcW w:w="8612" w:type="dxa"/>
                </w:tcPr>
                <w:p w14:paraId="3E1B5794" w14:textId="77777777" w:rsidR="00172472" w:rsidRPr="00172472" w:rsidRDefault="00172472" w:rsidP="00172472">
                  <w:pPr>
                    <w:jc w:val="center"/>
                    <w:rPr>
                      <w:rFonts w:eastAsia="Calibri"/>
                      <w:b/>
                      <w:sz w:val="20"/>
                      <w:szCs w:val="26"/>
                      <w:lang w:eastAsia="en-US"/>
                    </w:rPr>
                  </w:pPr>
                  <w:r w:rsidRPr="00172472">
                    <w:rPr>
                      <w:rFonts w:eastAsia="Calibri"/>
                      <w:b/>
                      <w:sz w:val="20"/>
                      <w:szCs w:val="26"/>
                      <w:lang w:eastAsia="en-US"/>
                    </w:rPr>
                    <w:lastRenderedPageBreak/>
                    <w:t>EMISIÓN DE BONOS Y RECOMPRA DE ACCIONES PROPIAS EN EEUU EVOLUCIONAN A LA PAR</w:t>
                  </w:r>
                </w:p>
              </w:tc>
            </w:tr>
            <w:tr w:rsidR="00172472" w:rsidRPr="00172472" w14:paraId="0082013D" w14:textId="77777777" w:rsidTr="00EA3974">
              <w:tc>
                <w:tcPr>
                  <w:tcW w:w="8612" w:type="dxa"/>
                </w:tcPr>
                <w:p w14:paraId="02C2A6B4" w14:textId="77777777" w:rsidR="00172472" w:rsidRPr="00172472" w:rsidRDefault="00172472" w:rsidP="00172472">
                  <w:pPr>
                    <w:tabs>
                      <w:tab w:val="left" w:pos="1190"/>
                    </w:tabs>
                    <w:jc w:val="both"/>
                    <w:rPr>
                      <w:rFonts w:eastAsia="Calibri"/>
                      <w:sz w:val="20"/>
                      <w:szCs w:val="26"/>
                      <w:lang w:eastAsia="en-US"/>
                    </w:rPr>
                  </w:pPr>
                  <w:r w:rsidRPr="00172472">
                    <w:rPr>
                      <w:rFonts w:eastAsia="Calibri"/>
                      <w:noProof/>
                      <w:sz w:val="20"/>
                      <w:szCs w:val="26"/>
                      <w:lang w:eastAsia="es-MX"/>
                    </w:rPr>
                    <w:drawing>
                      <wp:inline distT="0" distB="0" distL="0" distR="0" wp14:anchorId="2CF1CBEE" wp14:editId="53293C1B">
                        <wp:extent cx="5453218" cy="2412000"/>
                        <wp:effectExtent l="0" t="0" r="0" b="7620"/>
                        <wp:docPr id="1542" name="Imagen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5453218" cy="2412000"/>
                                </a:xfrm>
                                <a:prstGeom prst="rect">
                                  <a:avLst/>
                                </a:prstGeom>
                                <a:noFill/>
                                <a:ln>
                                  <a:noFill/>
                                </a:ln>
                              </pic:spPr>
                            </pic:pic>
                          </a:graphicData>
                        </a:graphic>
                      </wp:inline>
                    </w:drawing>
                  </w:r>
                </w:p>
              </w:tc>
            </w:tr>
            <w:tr w:rsidR="00172472" w:rsidRPr="00172472" w14:paraId="3A89C64D" w14:textId="77777777" w:rsidTr="00EA3974">
              <w:tc>
                <w:tcPr>
                  <w:tcW w:w="8612" w:type="dxa"/>
                </w:tcPr>
                <w:p w14:paraId="16763D55"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lang w:eastAsia="en-US"/>
                    </w:rPr>
                    <w:t>* USD= Dólares.</w:t>
                  </w:r>
                </w:p>
                <w:p w14:paraId="511BAAE2"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1</w:t>
                  </w:r>
                  <w:r w:rsidRPr="00172472">
                    <w:rPr>
                      <w:rFonts w:eastAsia="Calibri"/>
                      <w:sz w:val="20"/>
                      <w:szCs w:val="26"/>
                      <w:lang w:eastAsia="en-US"/>
                    </w:rPr>
                    <w:t xml:space="preserve">/ Cantidades acumuladas.    </w:t>
                  </w:r>
                </w:p>
                <w:p w14:paraId="2D7771F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2</w:t>
                  </w:r>
                  <w:r w:rsidRPr="00172472">
                    <w:rPr>
                      <w:rFonts w:eastAsia="Calibri"/>
                      <w:sz w:val="20"/>
                      <w:szCs w:val="26"/>
                      <w:lang w:eastAsia="en-US"/>
                    </w:rPr>
                    <w:t xml:space="preserve">/ Por sociedades no financieras pertenecientes al índice S&amp;P 1500.    </w:t>
                  </w:r>
                </w:p>
                <w:p w14:paraId="5A5C79FB"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3</w:t>
                  </w:r>
                  <w:r w:rsidRPr="00172472">
                    <w:rPr>
                      <w:rFonts w:eastAsia="Calibri"/>
                      <w:sz w:val="20"/>
                      <w:szCs w:val="26"/>
                      <w:lang w:eastAsia="en-US"/>
                    </w:rPr>
                    <w:t xml:space="preserve">/ Emisión neta de bonos locales e internacionales (emisión bruta menos amortizaciones) por sociedades no financieras (NFC) de Estados Unidos de Norteamérica y sociedades financieras distintas de bancos propiedad de NFC.    </w:t>
                  </w:r>
                </w:p>
                <w:p w14:paraId="28C07D2F"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4</w:t>
                  </w:r>
                  <w:r w:rsidRPr="00172472">
                    <w:rPr>
                      <w:rFonts w:eastAsia="Calibri"/>
                      <w:sz w:val="20"/>
                      <w:szCs w:val="26"/>
                      <w:lang w:eastAsia="en-US"/>
                    </w:rPr>
                    <w:t xml:space="preserve">/ Tasa interna de retorno de un índice de deuda corporativa no financiera con grado de inversión denominada en dólares estadounidenses emitida públicamente en el mercado local de Estados Unidos de Norteamérica; promedios trimestrales de datos diarios.    </w:t>
                  </w:r>
                </w:p>
                <w:p w14:paraId="7B8F363C" w14:textId="77777777" w:rsidR="00172472" w:rsidRPr="00172472" w:rsidRDefault="00172472" w:rsidP="00172472">
                  <w:pPr>
                    <w:ind w:left="227" w:hanging="227"/>
                    <w:jc w:val="both"/>
                    <w:rPr>
                      <w:rFonts w:eastAsia="Calibri"/>
                      <w:sz w:val="20"/>
                      <w:szCs w:val="26"/>
                      <w:lang w:eastAsia="en-US"/>
                    </w:rPr>
                  </w:pPr>
                  <w:r w:rsidRPr="00172472">
                    <w:rPr>
                      <w:rFonts w:eastAsia="Calibri"/>
                      <w:sz w:val="20"/>
                      <w:szCs w:val="26"/>
                      <w:u w:val="single"/>
                      <w:lang w:eastAsia="en-US"/>
                    </w:rPr>
                    <w:t>5</w:t>
                  </w:r>
                  <w:r w:rsidRPr="00172472">
                    <w:rPr>
                      <w:rFonts w:eastAsia="Calibri"/>
                      <w:sz w:val="20"/>
                      <w:szCs w:val="26"/>
                      <w:lang w:eastAsia="en-US"/>
                    </w:rPr>
                    <w:t xml:space="preserve">/ Media móvil de ocho trimestres.    </w:t>
                  </w:r>
                </w:p>
                <w:p w14:paraId="275C6992" w14:textId="77777777" w:rsidR="00172472" w:rsidRDefault="00172472" w:rsidP="00172472">
                  <w:pPr>
                    <w:ind w:left="936" w:hanging="936"/>
                    <w:jc w:val="both"/>
                    <w:rPr>
                      <w:rFonts w:eastAsia="Calibri"/>
                      <w:i/>
                      <w:sz w:val="20"/>
                      <w:szCs w:val="26"/>
                      <w:lang w:eastAsia="en-US"/>
                    </w:rPr>
                  </w:pPr>
                  <w:r w:rsidRPr="00172472">
                    <w:rPr>
                      <w:rFonts w:eastAsia="Calibri"/>
                      <w:sz w:val="20"/>
                      <w:szCs w:val="26"/>
                      <w:lang w:eastAsia="en-US"/>
                    </w:rPr>
                    <w:t xml:space="preserve">FUENTE: </w:t>
                  </w:r>
                  <w:r w:rsidRPr="00172472">
                    <w:rPr>
                      <w:rFonts w:eastAsia="Calibri"/>
                      <w:i/>
                      <w:sz w:val="20"/>
                      <w:szCs w:val="26"/>
                      <w:lang w:eastAsia="en-US"/>
                    </w:rPr>
                    <w:t xml:space="preserve">Bank of America Merrill Lynch; Bloomberg; Dealogic; </w:t>
                  </w:r>
                  <w:r w:rsidRPr="00172472">
                    <w:rPr>
                      <w:rFonts w:eastAsia="Calibri"/>
                      <w:sz w:val="20"/>
                      <w:szCs w:val="26"/>
                      <w:lang w:eastAsia="en-US"/>
                    </w:rPr>
                    <w:t>cálculos del BPI</w:t>
                  </w:r>
                  <w:r w:rsidRPr="00172472">
                    <w:rPr>
                      <w:rFonts w:eastAsia="Calibri"/>
                      <w:i/>
                      <w:sz w:val="20"/>
                      <w:szCs w:val="26"/>
                      <w:lang w:eastAsia="en-US"/>
                    </w:rPr>
                    <w:t>.</w:t>
                  </w:r>
                </w:p>
                <w:p w14:paraId="1F4AD2FE" w14:textId="77777777" w:rsidR="00634E36" w:rsidRDefault="00634E36" w:rsidP="00172472">
                  <w:pPr>
                    <w:ind w:left="936" w:hanging="936"/>
                    <w:jc w:val="both"/>
                    <w:rPr>
                      <w:rFonts w:eastAsia="Calibri"/>
                      <w:sz w:val="20"/>
                      <w:szCs w:val="26"/>
                      <w:lang w:eastAsia="en-US"/>
                    </w:rPr>
                  </w:pPr>
                </w:p>
                <w:p w14:paraId="75A56C7E" w14:textId="77777777" w:rsidR="000921CC" w:rsidRDefault="000921CC" w:rsidP="00172472">
                  <w:pPr>
                    <w:ind w:left="936" w:hanging="936"/>
                    <w:jc w:val="both"/>
                    <w:rPr>
                      <w:rFonts w:eastAsia="Calibri"/>
                      <w:sz w:val="20"/>
                      <w:szCs w:val="26"/>
                      <w:lang w:eastAsia="en-US"/>
                    </w:rPr>
                  </w:pPr>
                </w:p>
                <w:p w14:paraId="66402132" w14:textId="77777777" w:rsidR="000921CC" w:rsidRDefault="000921CC" w:rsidP="00172472">
                  <w:pPr>
                    <w:ind w:left="936" w:hanging="936"/>
                    <w:jc w:val="both"/>
                    <w:rPr>
                      <w:rFonts w:eastAsia="Calibri"/>
                      <w:sz w:val="20"/>
                      <w:szCs w:val="26"/>
                      <w:lang w:eastAsia="en-US"/>
                    </w:rPr>
                  </w:pPr>
                </w:p>
                <w:p w14:paraId="45466C15" w14:textId="77777777" w:rsidR="000921CC" w:rsidRDefault="000921CC" w:rsidP="00172472">
                  <w:pPr>
                    <w:ind w:left="936" w:hanging="936"/>
                    <w:jc w:val="both"/>
                    <w:rPr>
                      <w:rFonts w:eastAsia="Calibri"/>
                      <w:sz w:val="20"/>
                      <w:szCs w:val="26"/>
                      <w:lang w:eastAsia="en-US"/>
                    </w:rPr>
                  </w:pPr>
                </w:p>
                <w:p w14:paraId="1E5DEDDF" w14:textId="73B58B34" w:rsidR="00634E36" w:rsidRPr="00634E36" w:rsidRDefault="00634E36" w:rsidP="00634E36">
                  <w:pPr>
                    <w:ind w:left="227" w:hanging="227"/>
                    <w:jc w:val="both"/>
                    <w:rPr>
                      <w:rFonts w:eastAsia="Calibri"/>
                      <w:sz w:val="20"/>
                      <w:szCs w:val="26"/>
                      <w:lang w:eastAsia="en-US"/>
                    </w:rPr>
                  </w:pPr>
                  <w:r w:rsidRPr="00634E36">
                    <w:rPr>
                      <w:rFonts w:eastAsia="Calibri"/>
                      <w:sz w:val="20"/>
                      <w:szCs w:val="26"/>
                      <w:u w:val="single"/>
                      <w:lang w:eastAsia="en-US"/>
                    </w:rPr>
                    <w:t>1</w:t>
                  </w:r>
                  <w:r>
                    <w:rPr>
                      <w:rFonts w:eastAsia="Calibri"/>
                      <w:sz w:val="20"/>
                      <w:szCs w:val="26"/>
                      <w:lang w:eastAsia="en-US"/>
                    </w:rPr>
                    <w:t>/</w:t>
                  </w:r>
                  <w:r w:rsidRPr="00634E36">
                    <w:rPr>
                      <w:rFonts w:eastAsia="Calibri"/>
                      <w:sz w:val="20"/>
                      <w:szCs w:val="26"/>
                      <w:lang w:eastAsia="en-US"/>
                    </w:rPr>
                    <w:t xml:space="preserve"> Nuestros cálculos de emisión neta no incluyen los efectos del ejercicio de opciones sobre acciones (emisión neta positiva), ni las fusiones y adquisiciones financiadas con deuda o efectivo (emisión neta negativa). Esto último probablemente explica el que los datos de flujo de fondos de Estados Unidos de Norteamérica muestren un mayor descenso en la ampliación neta de capital.</w:t>
                  </w:r>
                </w:p>
                <w:p w14:paraId="147B3BE9" w14:textId="16AA4C92" w:rsidR="00634E36" w:rsidRPr="00634E36" w:rsidRDefault="00634E36" w:rsidP="00634E36">
                  <w:pPr>
                    <w:ind w:left="227" w:hanging="227"/>
                    <w:jc w:val="both"/>
                    <w:rPr>
                      <w:rFonts w:eastAsia="Calibri"/>
                      <w:sz w:val="20"/>
                      <w:szCs w:val="26"/>
                      <w:lang w:eastAsia="en-US"/>
                    </w:rPr>
                  </w:pPr>
                  <w:r w:rsidRPr="00634E36">
                    <w:rPr>
                      <w:rFonts w:eastAsia="Calibri"/>
                      <w:sz w:val="20"/>
                      <w:szCs w:val="26"/>
                      <w:u w:val="single"/>
                      <w:lang w:eastAsia="en-US"/>
                    </w:rPr>
                    <w:t>2</w:t>
                  </w:r>
                  <w:r>
                    <w:rPr>
                      <w:rFonts w:eastAsia="Calibri"/>
                      <w:sz w:val="20"/>
                      <w:szCs w:val="26"/>
                      <w:lang w:eastAsia="en-US"/>
                    </w:rPr>
                    <w:t>/</w:t>
                  </w:r>
                  <w:r w:rsidRPr="00634E36">
                    <w:rPr>
                      <w:rFonts w:eastAsia="Calibri"/>
                      <w:sz w:val="20"/>
                      <w:szCs w:val="26"/>
                      <w:lang w:eastAsia="en-US"/>
                    </w:rPr>
                    <w:t xml:space="preserve"> Véase BCE, “Operaciones de recompra de acciones propias en la zona del euro”, Boletín Mensual, mayo de 2007, pp. 107–116; D. Skinner, </w:t>
                  </w:r>
                  <w:r w:rsidRPr="000921CC">
                    <w:rPr>
                      <w:rFonts w:eastAsia="Calibri"/>
                      <w:i/>
                      <w:sz w:val="20"/>
                      <w:szCs w:val="26"/>
                      <w:lang w:eastAsia="en-US"/>
                    </w:rPr>
                    <w:t>The evolving relation between earnings, dividends, and stock repurchases, Journal of Financial Economics</w:t>
                  </w:r>
                  <w:r w:rsidRPr="00634E36">
                    <w:rPr>
                      <w:rFonts w:eastAsia="Calibri"/>
                      <w:sz w:val="20"/>
                      <w:szCs w:val="26"/>
                      <w:lang w:eastAsia="en-US"/>
                    </w:rPr>
                    <w:t>, vol 87, 2008, pp. 582–609.</w:t>
                  </w:r>
                </w:p>
                <w:p w14:paraId="148D22A8" w14:textId="1E482820" w:rsidR="00634E36" w:rsidRDefault="00634E36" w:rsidP="00634E36">
                  <w:pPr>
                    <w:ind w:left="198" w:hanging="198"/>
                    <w:jc w:val="both"/>
                    <w:rPr>
                      <w:rFonts w:eastAsia="Calibri"/>
                      <w:sz w:val="20"/>
                      <w:szCs w:val="26"/>
                      <w:lang w:eastAsia="en-US"/>
                    </w:rPr>
                  </w:pPr>
                  <w:r w:rsidRPr="00634E36">
                    <w:rPr>
                      <w:rFonts w:eastAsia="Calibri"/>
                      <w:sz w:val="20"/>
                      <w:szCs w:val="26"/>
                      <w:u w:val="single"/>
                      <w:lang w:eastAsia="en-US"/>
                    </w:rPr>
                    <w:t>3</w:t>
                  </w:r>
                  <w:r>
                    <w:rPr>
                      <w:rFonts w:eastAsia="Calibri"/>
                      <w:sz w:val="20"/>
                      <w:szCs w:val="26"/>
                      <w:lang w:eastAsia="en-US"/>
                    </w:rPr>
                    <w:t>/</w:t>
                  </w:r>
                  <w:r w:rsidRPr="00634E36">
                    <w:rPr>
                      <w:rFonts w:eastAsia="Calibri"/>
                      <w:sz w:val="20"/>
                      <w:szCs w:val="26"/>
                      <w:lang w:eastAsia="en-US"/>
                    </w:rPr>
                    <w:t xml:space="preserve"> Para saber más sobre la hipótesis de la “señalización”, véase T. Vermaelen, </w:t>
                  </w:r>
                  <w:r w:rsidRPr="000921CC">
                    <w:rPr>
                      <w:rFonts w:eastAsia="Calibri"/>
                      <w:i/>
                      <w:sz w:val="20"/>
                      <w:szCs w:val="26"/>
                      <w:lang w:eastAsia="en-US"/>
                    </w:rPr>
                    <w:t>Common stock repurchases and market signalling, Journal of Finance</w:t>
                  </w:r>
                  <w:r w:rsidRPr="00634E36">
                    <w:rPr>
                      <w:rFonts w:eastAsia="Calibri"/>
                      <w:sz w:val="20"/>
                      <w:szCs w:val="26"/>
                      <w:lang w:eastAsia="en-US"/>
                    </w:rPr>
                    <w:t>, vol 53, 1981, pp 139–83.</w:t>
                  </w:r>
                </w:p>
                <w:p w14:paraId="4020848C" w14:textId="77777777" w:rsidR="00634E36" w:rsidRPr="00172472" w:rsidRDefault="00634E36" w:rsidP="00172472">
                  <w:pPr>
                    <w:ind w:left="936" w:hanging="936"/>
                    <w:jc w:val="both"/>
                    <w:rPr>
                      <w:rFonts w:eastAsia="Calibri"/>
                      <w:sz w:val="20"/>
                      <w:szCs w:val="26"/>
                      <w:lang w:eastAsia="en-US"/>
                    </w:rPr>
                  </w:pPr>
                </w:p>
              </w:tc>
            </w:tr>
          </w:tbl>
          <w:p w14:paraId="528950D6" w14:textId="77777777" w:rsidR="00172472" w:rsidRPr="00172472" w:rsidRDefault="00172472" w:rsidP="00172472">
            <w:pPr>
              <w:spacing w:after="360" w:line="360" w:lineRule="auto"/>
              <w:jc w:val="both"/>
              <w:rPr>
                <w:rFonts w:eastAsia="Calibri"/>
                <w:sz w:val="26"/>
                <w:szCs w:val="26"/>
                <w:lang w:eastAsia="en-US"/>
              </w:rPr>
            </w:pPr>
          </w:p>
        </w:tc>
      </w:tr>
    </w:tbl>
    <w:p w14:paraId="05A8F89D" w14:textId="77777777" w:rsidR="00172472" w:rsidRPr="00172472" w:rsidRDefault="00172472" w:rsidP="00172472">
      <w:pPr>
        <w:spacing w:after="360" w:line="360" w:lineRule="auto"/>
        <w:ind w:right="-159"/>
        <w:jc w:val="both"/>
        <w:rPr>
          <w:rFonts w:eastAsia="Calibri"/>
          <w:sz w:val="26"/>
          <w:szCs w:val="26"/>
          <w:lang w:eastAsia="en-US"/>
        </w:rPr>
      </w:pPr>
    </w:p>
    <w:p w14:paraId="3E564207" w14:textId="77777777" w:rsidR="00172472" w:rsidRPr="00172472" w:rsidRDefault="00172472" w:rsidP="00172472">
      <w:pPr>
        <w:ind w:right="-159"/>
        <w:jc w:val="both"/>
        <w:rPr>
          <w:rFonts w:eastAsia="Calibri"/>
          <w:b/>
          <w:sz w:val="20"/>
          <w:szCs w:val="26"/>
          <w:lang w:eastAsia="en-US"/>
        </w:rPr>
      </w:pPr>
      <w:r w:rsidRPr="00172472">
        <w:rPr>
          <w:rFonts w:eastAsia="Calibri"/>
          <w:b/>
          <w:sz w:val="20"/>
          <w:szCs w:val="26"/>
          <w:lang w:eastAsia="en-US"/>
        </w:rPr>
        <w:t>Fuente de información:</w:t>
      </w:r>
    </w:p>
    <w:p w14:paraId="0E2FD9B7" w14:textId="77777777" w:rsidR="00172472" w:rsidRPr="00EF184E" w:rsidRDefault="0045651A" w:rsidP="00172472">
      <w:pPr>
        <w:ind w:right="-159"/>
        <w:jc w:val="both"/>
        <w:rPr>
          <w:rFonts w:eastAsia="Calibri"/>
          <w:color w:val="0000FF"/>
          <w:sz w:val="20"/>
          <w:szCs w:val="20"/>
          <w:lang w:eastAsia="en-US"/>
        </w:rPr>
      </w:pPr>
      <w:hyperlink r:id="rId308" w:history="1">
        <w:r w:rsidR="00172472" w:rsidRPr="00EF184E">
          <w:rPr>
            <w:rFonts w:eastAsia="Calibri"/>
            <w:color w:val="0000FF"/>
            <w:sz w:val="20"/>
            <w:szCs w:val="20"/>
            <w:u w:val="single"/>
            <w:lang w:eastAsia="en-US"/>
          </w:rPr>
          <w:t>http://www.bis.org/publ/qtrpdf/r_qt1503b_es.pdf</w:t>
        </w:r>
      </w:hyperlink>
      <w:r w:rsidR="00172472" w:rsidRPr="00EF184E">
        <w:rPr>
          <w:rFonts w:eastAsia="Calibri"/>
          <w:color w:val="0000FF"/>
          <w:sz w:val="20"/>
          <w:szCs w:val="20"/>
          <w:lang w:eastAsia="en-US"/>
        </w:rPr>
        <w:t xml:space="preserve"> </w:t>
      </w:r>
    </w:p>
    <w:p w14:paraId="67557EAE" w14:textId="77777777" w:rsidR="00172472" w:rsidRDefault="00172472" w:rsidP="00AB4882">
      <w:pPr>
        <w:spacing w:after="360" w:line="360" w:lineRule="auto"/>
        <w:ind w:right="-159"/>
        <w:jc w:val="both"/>
        <w:rPr>
          <w:sz w:val="26"/>
          <w:szCs w:val="26"/>
          <w:lang w:val="es-ES"/>
        </w:rPr>
      </w:pPr>
    </w:p>
    <w:p w14:paraId="7B28DECA" w14:textId="77777777" w:rsidR="007F7B4C" w:rsidRDefault="007F7B4C" w:rsidP="00AB4882">
      <w:pPr>
        <w:spacing w:after="360" w:line="360" w:lineRule="auto"/>
        <w:ind w:right="-159"/>
        <w:jc w:val="both"/>
        <w:rPr>
          <w:sz w:val="26"/>
          <w:szCs w:val="26"/>
          <w:lang w:val="es-ES"/>
        </w:rPr>
      </w:pPr>
    </w:p>
    <w:p w14:paraId="732A7B8C" w14:textId="77777777" w:rsidR="007F7B4C" w:rsidRPr="007F7B4C" w:rsidRDefault="007F7B4C" w:rsidP="007F7B4C">
      <w:pPr>
        <w:ind w:right="-159"/>
        <w:jc w:val="both"/>
        <w:rPr>
          <w:rFonts w:eastAsia="Calibri"/>
          <w:b/>
          <w:sz w:val="26"/>
          <w:szCs w:val="26"/>
          <w:lang w:eastAsia="en-US"/>
        </w:rPr>
      </w:pPr>
      <w:r w:rsidRPr="007F7B4C">
        <w:rPr>
          <w:rFonts w:eastAsia="Calibri"/>
          <w:b/>
          <w:sz w:val="26"/>
          <w:szCs w:val="26"/>
          <w:lang w:eastAsia="en-US"/>
        </w:rPr>
        <w:lastRenderedPageBreak/>
        <w:t>En 2014 la CII apoyó a 40 mil PYME</w:t>
      </w:r>
    </w:p>
    <w:p w14:paraId="3FD2A232" w14:textId="574415DC" w:rsidR="007F7B4C" w:rsidRPr="007F7B4C" w:rsidRDefault="007F7B4C" w:rsidP="007F7B4C">
      <w:pPr>
        <w:spacing w:after="360" w:line="360" w:lineRule="auto"/>
        <w:ind w:right="-159"/>
        <w:jc w:val="both"/>
        <w:rPr>
          <w:rFonts w:eastAsia="Calibri"/>
          <w:b/>
          <w:sz w:val="26"/>
          <w:szCs w:val="26"/>
          <w:lang w:eastAsia="en-US"/>
        </w:rPr>
      </w:pPr>
      <w:r w:rsidRPr="007F7B4C">
        <w:rPr>
          <w:rFonts w:eastAsia="Calibri"/>
          <w:b/>
          <w:sz w:val="26"/>
          <w:szCs w:val="26"/>
          <w:lang w:eastAsia="en-US"/>
        </w:rPr>
        <w:t xml:space="preserve">en América </w:t>
      </w:r>
      <w:r w:rsidR="00634E36">
        <w:rPr>
          <w:rFonts w:eastAsia="Calibri"/>
          <w:b/>
          <w:sz w:val="26"/>
          <w:szCs w:val="26"/>
          <w:lang w:eastAsia="en-US"/>
        </w:rPr>
        <w:t xml:space="preserve"> </w:t>
      </w:r>
      <w:r w:rsidRPr="007F7B4C">
        <w:rPr>
          <w:rFonts w:eastAsia="Calibri"/>
          <w:b/>
          <w:sz w:val="26"/>
          <w:szCs w:val="26"/>
          <w:lang w:eastAsia="en-US"/>
        </w:rPr>
        <w:t>Latina y el Caribe (BID)</w:t>
      </w:r>
    </w:p>
    <w:p w14:paraId="0EA52737"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El 29 de marzo de 2015, el Banco Interamericano de Desarrollo (BID) informó que la Corporación Interamericana de Inversiones (CII) presentó sus resultados financieros y operativos de 2014, en la Trigésima Reunión Anual de su Asamblea de Gobernadores celebrada en Busan, Corea, cerrando el año con más de 420 millones de dólares en préstamos e inversiones de capital aprobados y cerca de 4 millones de dólares dedicados a prestar servicios de asistencia técnica. Gracias a una oferta integrada de productos financieros y servicios de asesoramiento y capacitación de eficacia demostrada, la CII alcanzó la cifra récord de 40 mil pequeñas y medianas empresas (PYME) de América Latina y el Caribe que recibieron su apoyo directo o indirecto.</w:t>
      </w:r>
    </w:p>
    <w:p w14:paraId="70DE34A8" w14:textId="39AD3134"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El Gerente General de la CII manifestó: “Al celebrar el 30 aniversario de la Corporación, aprovechamos nuestra experiencia ofreciendo soluciones más completas a nuestros clientes. Esto incluye aprovechar las nuevas tecnologías para que más PYME que nunca se beneficien de nuestra ayuda y para atender a sus diversas necesidades en toda la región”.</w:t>
      </w:r>
    </w:p>
    <w:p w14:paraId="1796FC68"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Entre su gama de soluciones orientadas al cliente, la CII transfirió capacidades y conocimientos técnicos a más de 8 mil 100 empresas en 2014, a través de una serie de cursos en línea, servicios de asesoría personalizados y sesiones presenciales de capacitación, además de todo lo que ofrece </w:t>
      </w:r>
      <w:r w:rsidRPr="007F7B4C">
        <w:rPr>
          <w:rFonts w:eastAsia="Calibri"/>
          <w:i/>
          <w:sz w:val="26"/>
          <w:szCs w:val="26"/>
          <w:lang w:eastAsia="en-US"/>
        </w:rPr>
        <w:t>InvestAmericas</w:t>
      </w:r>
      <w:r w:rsidRPr="007F7B4C">
        <w:rPr>
          <w:rFonts w:eastAsia="Calibri"/>
          <w:sz w:val="26"/>
          <w:szCs w:val="26"/>
          <w:lang w:eastAsia="en-US"/>
        </w:rPr>
        <w:t>, una plataforma innovadora que pone en contacto a empresarios, inversionistas y proveedores de servicios.</w:t>
      </w:r>
    </w:p>
    <w:p w14:paraId="165DE080"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Para complementar sus propios recursos, la CII canalizó a la región otros 700 millones de dólares aportados por socios de todo el mundo, movilizando más de 1.60 dólares por cada dólar estadounidense aprobado de sus propios fondos. Esto supone un incremento considerable en comparación con el año anterior.</w:t>
      </w:r>
    </w:p>
    <w:p w14:paraId="2A7A4340"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lastRenderedPageBreak/>
        <w:t>El Director General de Operaciones de la CII, dijo: “Gracias a la solidez continuada de nuestro desempeño financiero y los recursos adicionales que movilizamos de otras fuentes, podemos cumplir mejor nuestra misión esencial de promover el desarrollo a través del sector privado en América Latina y el Caribe”.</w:t>
      </w:r>
    </w:p>
    <w:p w14:paraId="2F72C34C"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En 2014, la CII cerró el duodécimo ejercicio consecutivo de utilidades y fortaleció más aún un balance general que ya era sólido. La Corporación mantuvo la alta calidad de su cartera, cifrada en 1 mil 52 millones de dólares, y también sus elevadas calificaciones crediticias: AAA/Aa2/AA.</w:t>
      </w:r>
    </w:p>
    <w:p w14:paraId="60BAF44D"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Además, siguió disfrutando de un acceso excelente a los mercados de capitales internacionales, como puso de manifiesto el bono de 400 millones de dólares emitido en septiembre de 2014, en el marco del programa de euronotas de mediano plazo (EMTN).</w:t>
      </w:r>
    </w:p>
    <w:p w14:paraId="7F3B28ED" w14:textId="77777777" w:rsidR="007F7B4C" w:rsidRPr="007F7B4C" w:rsidRDefault="007F7B4C" w:rsidP="007F7B4C">
      <w:pPr>
        <w:spacing w:after="360" w:line="360" w:lineRule="auto"/>
        <w:ind w:right="-159"/>
        <w:jc w:val="both"/>
        <w:rPr>
          <w:rFonts w:eastAsia="Calibri"/>
          <w:b/>
          <w:sz w:val="26"/>
          <w:szCs w:val="26"/>
          <w:lang w:eastAsia="en-US"/>
        </w:rPr>
      </w:pPr>
      <w:r w:rsidRPr="007F7B4C">
        <w:rPr>
          <w:rFonts w:eastAsia="Calibri"/>
          <w:b/>
          <w:sz w:val="26"/>
          <w:szCs w:val="26"/>
          <w:lang w:eastAsia="en-US"/>
        </w:rPr>
        <w:t>Sobre la CII</w:t>
      </w:r>
    </w:p>
    <w:p w14:paraId="1B9E0F13"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La CII, institución miembro del Grupo del BID, promueve el desarrollo del sector privado en América Latina y el Caribe, con especial atención a las pequeñas y medianas empresas. Proporciona a las empresas financiamiento en forma de inversiones de capital, préstamos y garantías, así como asistencia técnica, servicios de asesoramiento y productos de conocimiento innovadores. Desde sus comienzos, la CII ha aprobado más de 920 inversiones en forma de préstamos e inversiones de capital para PYME e intermediarios financieros, por un total de 5 mil 633 millones de dólares. Además, la CII ha movilizado 3 mil 700 millones de dólares a través de operaciones de cofinanciamiento y acuerdos de sindicación.</w:t>
      </w:r>
    </w:p>
    <w:p w14:paraId="19B512DD" w14:textId="77777777" w:rsidR="007F7B4C" w:rsidRPr="007F7B4C" w:rsidRDefault="007F7B4C" w:rsidP="007F7B4C">
      <w:pPr>
        <w:ind w:right="-159"/>
        <w:jc w:val="both"/>
        <w:rPr>
          <w:rFonts w:eastAsia="Calibri"/>
          <w:b/>
          <w:sz w:val="20"/>
          <w:szCs w:val="20"/>
          <w:lang w:eastAsia="en-US"/>
        </w:rPr>
      </w:pPr>
      <w:r w:rsidRPr="007F7B4C">
        <w:rPr>
          <w:rFonts w:eastAsia="Calibri"/>
          <w:b/>
          <w:sz w:val="20"/>
          <w:szCs w:val="20"/>
          <w:lang w:eastAsia="en-US"/>
        </w:rPr>
        <w:t>Fuente de información:</w:t>
      </w:r>
    </w:p>
    <w:p w14:paraId="52A15C49" w14:textId="77777777" w:rsidR="007F7B4C" w:rsidRPr="00EF184E" w:rsidRDefault="0045651A" w:rsidP="007F7B4C">
      <w:pPr>
        <w:ind w:right="-159"/>
        <w:jc w:val="both"/>
        <w:rPr>
          <w:rFonts w:eastAsia="Calibri"/>
          <w:color w:val="0000FF"/>
          <w:sz w:val="20"/>
          <w:szCs w:val="20"/>
          <w:lang w:eastAsia="en-US"/>
        </w:rPr>
      </w:pPr>
      <w:hyperlink r:id="rId309" w:history="1">
        <w:r w:rsidR="007F7B4C" w:rsidRPr="00EF184E">
          <w:rPr>
            <w:rFonts w:eastAsia="Calibri"/>
            <w:color w:val="0000FF"/>
            <w:sz w:val="20"/>
            <w:szCs w:val="20"/>
            <w:u w:val="single"/>
            <w:lang w:eastAsia="en-US"/>
          </w:rPr>
          <w:t>http://www.iadb.org/es/noticias/comunicados-de-prensa/2015-03-29/cii-respaldo-a-40000-pymes-en-la-region-en-2014,11095.html</w:t>
        </w:r>
      </w:hyperlink>
      <w:r w:rsidR="007F7B4C" w:rsidRPr="00EF184E">
        <w:rPr>
          <w:rFonts w:eastAsia="Calibri"/>
          <w:color w:val="0000FF"/>
          <w:sz w:val="20"/>
          <w:szCs w:val="20"/>
          <w:lang w:eastAsia="en-US"/>
        </w:rPr>
        <w:t xml:space="preserve"> </w:t>
      </w:r>
    </w:p>
    <w:p w14:paraId="69F7F386" w14:textId="77777777" w:rsidR="007F7B4C" w:rsidRDefault="007F7B4C" w:rsidP="00AB4882">
      <w:pPr>
        <w:spacing w:after="360" w:line="360" w:lineRule="auto"/>
        <w:ind w:right="-159"/>
        <w:jc w:val="both"/>
        <w:rPr>
          <w:sz w:val="26"/>
          <w:szCs w:val="26"/>
          <w:lang w:val="es-ES"/>
        </w:rPr>
      </w:pPr>
    </w:p>
    <w:p w14:paraId="2FF72EE8" w14:textId="77777777"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lastRenderedPageBreak/>
        <w:t>Cuenta Satélite del Sector Salud de México, 2013 (INEGI)</w:t>
      </w:r>
    </w:p>
    <w:p w14:paraId="38CF4AE8"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El 23 de marzo de 2015, el Instituto Nacional de Estadística y Geografía (INEGI) presentó los resultados de la “Cuenta Satélite del Sector Salud de México, 2013” base 2008, con el objetivo de dimensionar la importancia de este sector y apoyar la toma de decisiones en el sector público y en el privado. Los aspectos a destacar son:</w:t>
      </w:r>
    </w:p>
    <w:p w14:paraId="03796AD8" w14:textId="77777777" w:rsidR="00D31338" w:rsidRPr="00D31338" w:rsidRDefault="00D31338" w:rsidP="003B27DE">
      <w:pPr>
        <w:numPr>
          <w:ilvl w:val="0"/>
          <w:numId w:val="46"/>
        </w:numPr>
        <w:spacing w:after="360" w:line="360" w:lineRule="auto"/>
        <w:ind w:left="454" w:right="-159" w:hanging="454"/>
        <w:jc w:val="both"/>
        <w:rPr>
          <w:rFonts w:eastAsia="Times New Roman"/>
          <w:bCs/>
          <w:sz w:val="26"/>
          <w:szCs w:val="26"/>
          <w:lang w:val="es-ES"/>
        </w:rPr>
      </w:pPr>
      <w:r w:rsidRPr="00D31338">
        <w:rPr>
          <w:rFonts w:eastAsia="Times New Roman"/>
          <w:bCs/>
          <w:sz w:val="26"/>
          <w:szCs w:val="26"/>
          <w:lang w:val="es-ES"/>
        </w:rPr>
        <w:t>La producción del sector salud está compuesta por los bienes y servicios generados por las actividades económicas que están relacionadas con la prevención, la curación y el mantenimiento de la salud humana, incluyendo a las instituciones que tienen la facultad de regular y administrar dichas actividades. Al agregar a este rubro la valoración del trabajo no remunerado que los miembros de los hogares destinan a la salud (TNRS)</w:t>
      </w:r>
      <w:r w:rsidRPr="00D31338">
        <w:rPr>
          <w:rFonts w:eastAsia="Times New Roman"/>
          <w:bCs/>
          <w:sz w:val="26"/>
          <w:szCs w:val="26"/>
          <w:vertAlign w:val="superscript"/>
          <w:lang w:val="es-ES"/>
        </w:rPr>
        <w:footnoteReference w:id="64"/>
      </w:r>
      <w:r w:rsidRPr="00D31338">
        <w:rPr>
          <w:rFonts w:eastAsia="Times New Roman"/>
          <w:bCs/>
          <w:sz w:val="26"/>
          <w:szCs w:val="26"/>
          <w:lang w:val="es-ES"/>
        </w:rPr>
        <w:t>, se hace referencia entonces al Producto Interno Bruto Ampliado del Sector Salud.</w:t>
      </w:r>
    </w:p>
    <w:p w14:paraId="64049BA9" w14:textId="77777777" w:rsidR="00D31338" w:rsidRPr="00D31338" w:rsidRDefault="00D31338" w:rsidP="003518F4">
      <w:pPr>
        <w:numPr>
          <w:ilvl w:val="0"/>
          <w:numId w:val="126"/>
        </w:numPr>
        <w:spacing w:after="360" w:line="360" w:lineRule="auto"/>
        <w:ind w:right="-159"/>
        <w:jc w:val="both"/>
        <w:rPr>
          <w:rFonts w:eastAsia="Times New Roman"/>
          <w:bCs/>
          <w:sz w:val="26"/>
          <w:szCs w:val="26"/>
          <w:lang w:val="es-ES"/>
        </w:rPr>
      </w:pPr>
      <w:r w:rsidRPr="00D31338">
        <w:rPr>
          <w:rFonts w:eastAsia="Times New Roman"/>
          <w:bCs/>
          <w:sz w:val="26"/>
          <w:szCs w:val="26"/>
          <w:lang w:val="es-ES"/>
        </w:rPr>
        <w:t>El Producto Interno Bruto Ampliado (PIBA) del sector salud representó 5.7% del PIB total obtenido en el país, ubicándose en 910 mil 850 millones de pesos (a precios de mercado), en el año 2013.</w:t>
      </w:r>
    </w:p>
    <w:p w14:paraId="1FD48F45" w14:textId="77777777" w:rsidR="00D31338" w:rsidRPr="00D31338" w:rsidRDefault="00D31338" w:rsidP="003518F4">
      <w:pPr>
        <w:numPr>
          <w:ilvl w:val="0"/>
          <w:numId w:val="126"/>
        </w:numPr>
        <w:spacing w:after="360" w:line="360" w:lineRule="auto"/>
        <w:ind w:right="-159"/>
        <w:jc w:val="both"/>
        <w:rPr>
          <w:rFonts w:eastAsia="Times New Roman"/>
          <w:bCs/>
          <w:sz w:val="26"/>
          <w:szCs w:val="26"/>
          <w:lang w:val="es-ES"/>
        </w:rPr>
      </w:pPr>
      <w:r w:rsidRPr="00D31338">
        <w:rPr>
          <w:rFonts w:eastAsia="Times New Roman"/>
          <w:bCs/>
          <w:sz w:val="26"/>
          <w:szCs w:val="26"/>
          <w:lang w:val="es-ES"/>
        </w:rPr>
        <w:t>Al interior del PIBA se observó que, descontando los impuestos netos a los productos, la mayor contribución fue realizada por la producción del sector salud con 79.4% del producto ampliado y el restante 20.6% lo aportó el TNRS de los hogares.</w:t>
      </w:r>
    </w:p>
    <w:p w14:paraId="3888FA9F" w14:textId="77777777" w:rsidR="00D31338" w:rsidRPr="00D31338" w:rsidRDefault="00D31338" w:rsidP="003518F4">
      <w:pPr>
        <w:numPr>
          <w:ilvl w:val="0"/>
          <w:numId w:val="126"/>
        </w:numPr>
        <w:spacing w:after="360" w:line="360" w:lineRule="auto"/>
        <w:ind w:right="-159"/>
        <w:jc w:val="both"/>
        <w:rPr>
          <w:rFonts w:eastAsia="Times New Roman"/>
          <w:bCs/>
          <w:sz w:val="26"/>
          <w:szCs w:val="26"/>
          <w:lang w:val="es-ES"/>
        </w:rPr>
      </w:pPr>
      <w:r w:rsidRPr="00D31338">
        <w:rPr>
          <w:rFonts w:eastAsia="Times New Roman"/>
          <w:bCs/>
          <w:sz w:val="26"/>
          <w:szCs w:val="26"/>
          <w:lang w:val="es-ES"/>
        </w:rPr>
        <w:t xml:space="preserve">En 2013, el PIBA del sector salud se incrementó 2% en términos reales respecto al año anterior. Este comportamiento se debió principalmente al </w:t>
      </w:r>
      <w:r w:rsidRPr="00D31338">
        <w:rPr>
          <w:rFonts w:eastAsia="Times New Roman"/>
          <w:bCs/>
          <w:sz w:val="26"/>
          <w:szCs w:val="26"/>
          <w:lang w:val="es-ES"/>
        </w:rPr>
        <w:lastRenderedPageBreak/>
        <w:t>aumento en el TNRS de los hogares de 6.3% y de 0.9% en las actividades del sector salud.</w:t>
      </w:r>
    </w:p>
    <w:p w14:paraId="7A037435" w14:textId="44456DFC" w:rsidR="00D31338" w:rsidRPr="00D31338" w:rsidRDefault="00D31338" w:rsidP="003518F4">
      <w:pPr>
        <w:numPr>
          <w:ilvl w:val="0"/>
          <w:numId w:val="126"/>
        </w:numPr>
        <w:spacing w:after="360" w:line="360" w:lineRule="auto"/>
        <w:ind w:right="-159"/>
        <w:jc w:val="both"/>
        <w:rPr>
          <w:rFonts w:eastAsia="Times New Roman"/>
          <w:bCs/>
          <w:sz w:val="26"/>
          <w:szCs w:val="26"/>
          <w:lang w:val="es-ES"/>
        </w:rPr>
      </w:pPr>
      <w:r w:rsidRPr="00D31338">
        <w:rPr>
          <w:rFonts w:eastAsia="Times New Roman"/>
          <w:bCs/>
          <w:sz w:val="26"/>
          <w:szCs w:val="26"/>
          <w:lang w:val="es-ES"/>
        </w:rPr>
        <w:t>Durante 2013</w:t>
      </w:r>
      <w:r w:rsidR="000921CC">
        <w:rPr>
          <w:rFonts w:eastAsia="Times New Roman"/>
          <w:bCs/>
          <w:sz w:val="26"/>
          <w:szCs w:val="26"/>
          <w:lang w:val="es-ES"/>
        </w:rPr>
        <w:t>,</w:t>
      </w:r>
      <w:r w:rsidRPr="00D31338">
        <w:rPr>
          <w:rFonts w:eastAsia="Times New Roman"/>
          <w:bCs/>
          <w:sz w:val="26"/>
          <w:szCs w:val="26"/>
          <w:lang w:val="es-ES"/>
        </w:rPr>
        <w:t xml:space="preserve"> el sector salud registró 1 millón 913 mil puestos de trabajo remunerados, equivalentes al 4.5% de los empleos remunerados correspondientes de la economía en ese año. Al considerar sólo a los empleados dependientes de la razón social el 58.6% laboró en el sector público y el resto lo hizo en el sector privado.</w:t>
      </w:r>
    </w:p>
    <w:p w14:paraId="718E1C46" w14:textId="77777777" w:rsidR="00D31338" w:rsidRPr="00D31338" w:rsidRDefault="00D31338" w:rsidP="003518F4">
      <w:pPr>
        <w:numPr>
          <w:ilvl w:val="0"/>
          <w:numId w:val="126"/>
        </w:numPr>
        <w:spacing w:after="360" w:line="360" w:lineRule="auto"/>
        <w:ind w:right="-159"/>
        <w:jc w:val="both"/>
        <w:rPr>
          <w:rFonts w:eastAsia="Times New Roman"/>
          <w:bCs/>
          <w:sz w:val="26"/>
          <w:szCs w:val="26"/>
          <w:lang w:val="es-ES"/>
        </w:rPr>
      </w:pPr>
      <w:r w:rsidRPr="00D31338">
        <w:rPr>
          <w:rFonts w:eastAsia="Times New Roman"/>
          <w:bCs/>
          <w:sz w:val="26"/>
          <w:szCs w:val="26"/>
          <w:lang w:val="es-ES"/>
        </w:rPr>
        <w:t>En los hogares, el tiempo que se destinó a las actividades de prevención, cuidado y mantenimiento de la salud fue de 5 mil 192 millones de horas, en 2013. Este trabajo se concentró particularmente en los cuidados dentro del hogar con el 91.1% y el resto se destinó como apoyo a otros hogares y/o trabajo voluntario. El valor de estas actividades de los hogares fue equivalente a 187 mil 103 millones de pesos.</w:t>
      </w:r>
    </w:p>
    <w:p w14:paraId="73DF8F8E" w14:textId="77777777"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t>Aspectos generales</w:t>
      </w:r>
    </w:p>
    <w:p w14:paraId="62932A9A"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El INEGI presenta los resultados de la “Cuenta Satélite del Sector Salud de México, 2013”, con año base 2008, con el objetivo de proporcionar información económica para la toma de decisiones del sector público y el sector privado, además de constituir una ampliación del Sistema de Cuentas Nacionales de México (SCNM) y contribuir a la difusión y al fortalecimiento de la información estadística del sector dentro del marco de la “Ley del Sistema Nacional de Información Estadística y Geográfica”.</w:t>
      </w:r>
    </w:p>
    <w:p w14:paraId="42D64510"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 xml:space="preserve">Esta cuenta satélite integra todas las actividades económicas que directa e indirectamente están relacionadas con la prevención, recuperación y mantenimiento de la salud de la población, así como las instituciones que regulan y administran estas actividades. Adicionalmente, aprovechando la flexibilidad que permiten las cuentas satélite, se incluye el valor económico del trabajo no remunerado de los hogares en el </w:t>
      </w:r>
      <w:r w:rsidRPr="00D31338">
        <w:rPr>
          <w:rFonts w:eastAsia="Times New Roman"/>
          <w:bCs/>
          <w:sz w:val="26"/>
          <w:szCs w:val="26"/>
          <w:lang w:val="es-ES"/>
        </w:rPr>
        <w:lastRenderedPageBreak/>
        <w:t>cuidado de la salud, con lo que se amplía la visión sobre la dimensión y composición del sector.</w:t>
      </w:r>
    </w:p>
    <w:p w14:paraId="31245EF7"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Para su elaboración, se consideran los lineamientos internacionales del Sistema de Cuentas Nacionales (SCN) de la Organización de las Naciones Unidas (ONU), Banco Mundial (BM), Fondo Monetario Internacional (FMI) y la Organización para la Cooperación y el Desarrollo Económicos (OCDE), así como del Manual de Cuenta Satélite de Salud de la Organización Panamericana de la Salud (OPS).</w:t>
      </w:r>
    </w:p>
    <w:p w14:paraId="5B5BEFA3" w14:textId="77777777"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t>Principales resultados:</w:t>
      </w:r>
    </w:p>
    <w:p w14:paraId="71052C1C" w14:textId="77777777"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t>Producto interno bruto ampliado del sector salud</w:t>
      </w:r>
    </w:p>
    <w:p w14:paraId="6E7A1D96" w14:textId="36992B13"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En 2013</w:t>
      </w:r>
      <w:r w:rsidR="000921CC">
        <w:rPr>
          <w:rFonts w:eastAsia="Times New Roman"/>
          <w:bCs/>
          <w:sz w:val="26"/>
          <w:szCs w:val="26"/>
          <w:lang w:val="es-ES"/>
        </w:rPr>
        <w:t>,</w:t>
      </w:r>
      <w:r w:rsidRPr="00D31338">
        <w:rPr>
          <w:rFonts w:eastAsia="Times New Roman"/>
          <w:bCs/>
          <w:sz w:val="26"/>
          <w:szCs w:val="26"/>
          <w:lang w:val="es-ES"/>
        </w:rPr>
        <w:t xml:space="preserve"> el Producto Interno Bruto Ampliado (PIBA)</w:t>
      </w:r>
      <w:r w:rsidRPr="00D31338">
        <w:rPr>
          <w:rFonts w:eastAsia="Times New Roman"/>
          <w:bCs/>
          <w:sz w:val="26"/>
          <w:szCs w:val="26"/>
          <w:vertAlign w:val="superscript"/>
          <w:lang w:val="es-ES"/>
        </w:rPr>
        <w:footnoteReference w:id="65"/>
      </w:r>
      <w:r w:rsidRPr="00D31338">
        <w:rPr>
          <w:rFonts w:eastAsia="Times New Roman"/>
          <w:bCs/>
          <w:sz w:val="26"/>
          <w:szCs w:val="26"/>
          <w:lang w:val="es-ES"/>
        </w:rPr>
        <w:t xml:space="preserve"> del Sector salud fue de 910 mil 850 millones de pesos, lo que representó 5.7% del PIB del país (a precios de mercado). A su interior, el Sector salud, esto es la producción de bienes y servicios relacionados con la prevención, cuidado y mantenimiento de la salud humana, aportó 4.5% del PIB total, y el valor del trabajo no remunerado encaminado al cuidado de la salud (TNRS) contribuyó con el 1.2% restante.</w:t>
      </w:r>
    </w:p>
    <w:p w14:paraId="5DCE0797"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lastRenderedPageBreak/>
        <w:drawing>
          <wp:inline distT="0" distB="0" distL="0" distR="0" wp14:anchorId="3C9EEEBB" wp14:editId="383957B9">
            <wp:extent cx="4559104" cy="2679875"/>
            <wp:effectExtent l="0" t="0" r="0" b="6350"/>
            <wp:docPr id="1577" name="Imagen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0" cstate="print">
                      <a:extLst>
                        <a:ext uri="{28A0092B-C50C-407E-A947-70E740481C1C}">
                          <a14:useLocalDpi xmlns:a14="http://schemas.microsoft.com/office/drawing/2010/main" val="0"/>
                        </a:ext>
                      </a:extLst>
                    </a:blip>
                    <a:srcRect t="1105" b="20767"/>
                    <a:stretch/>
                  </pic:blipFill>
                  <pic:spPr bwMode="auto">
                    <a:xfrm>
                      <a:off x="0" y="0"/>
                      <a:ext cx="4559300" cy="2679990"/>
                    </a:xfrm>
                    <a:prstGeom prst="rect">
                      <a:avLst/>
                    </a:prstGeom>
                    <a:noFill/>
                    <a:ln>
                      <a:noFill/>
                    </a:ln>
                    <a:extLst>
                      <a:ext uri="{53640926-AAD7-44D8-BBD7-CCE9431645EC}">
                        <a14:shadowObscured xmlns:a14="http://schemas.microsoft.com/office/drawing/2010/main"/>
                      </a:ext>
                    </a:extLst>
                  </pic:spPr>
                </pic:pic>
              </a:graphicData>
            </a:graphic>
          </wp:inline>
        </w:drawing>
      </w:r>
    </w:p>
    <w:p w14:paraId="44060EB0"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Por tipo de bien o servicio generado, el PIBA (a precios básicos)</w:t>
      </w:r>
      <w:r w:rsidRPr="00D31338">
        <w:rPr>
          <w:rFonts w:eastAsia="Times New Roman"/>
          <w:bCs/>
          <w:sz w:val="26"/>
          <w:szCs w:val="26"/>
          <w:vertAlign w:val="superscript"/>
          <w:lang w:val="es-ES"/>
        </w:rPr>
        <w:footnoteReference w:id="66"/>
      </w:r>
      <w:r w:rsidRPr="00D31338">
        <w:rPr>
          <w:rFonts w:eastAsia="Times New Roman"/>
          <w:bCs/>
          <w:sz w:val="26"/>
          <w:szCs w:val="26"/>
          <w:lang w:val="es-ES"/>
        </w:rPr>
        <w:t xml:space="preserve"> se concentró en la producción de bienes y servicios del Sector salud, la cual aportó el 79.4%. En particular, las actividades de servicios hospitalarios y de atención ambulatoria participaron con el 21.3 y 16.6%, respectivamente. El resto (41.5%) se distribuyó en el comercio de bienes relacionados con la salud, la producción de medicamentos, lentes y material de curación, las actividades de administración pública de la salud y la producción de otros bienes y servicios relacionados con la salud.</w:t>
      </w:r>
    </w:p>
    <w:p w14:paraId="376E3FD1"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lastRenderedPageBreak/>
        <w:drawing>
          <wp:inline distT="0" distB="0" distL="0" distR="0" wp14:anchorId="0AE71B3E" wp14:editId="5F0CD47E">
            <wp:extent cx="4559300" cy="3290997"/>
            <wp:effectExtent l="0" t="0" r="0" b="5080"/>
            <wp:docPr id="1578" name="Imagen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1" cstate="print">
                      <a:extLst>
                        <a:ext uri="{28A0092B-C50C-407E-A947-70E740481C1C}">
                          <a14:useLocalDpi xmlns:a14="http://schemas.microsoft.com/office/drawing/2010/main" val="0"/>
                        </a:ext>
                      </a:extLst>
                    </a:blip>
                    <a:srcRect b="4060"/>
                    <a:stretch/>
                  </pic:blipFill>
                  <pic:spPr bwMode="auto">
                    <a:xfrm>
                      <a:off x="0" y="0"/>
                      <a:ext cx="4559300" cy="3290997"/>
                    </a:xfrm>
                    <a:prstGeom prst="rect">
                      <a:avLst/>
                    </a:prstGeom>
                    <a:noFill/>
                    <a:ln>
                      <a:noFill/>
                    </a:ln>
                    <a:extLst>
                      <a:ext uri="{53640926-AAD7-44D8-BBD7-CCE9431645EC}">
                        <a14:shadowObscured xmlns:a14="http://schemas.microsoft.com/office/drawing/2010/main"/>
                      </a:ext>
                    </a:extLst>
                  </pic:spPr>
                </pic:pic>
              </a:graphicData>
            </a:graphic>
          </wp:inline>
        </w:drawing>
      </w:r>
    </w:p>
    <w:p w14:paraId="1B931284"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Por su parte, el valor del trabajo no remunerado en el cuidado de la salud (TNRS), en 2013, contribuyó con el 20.6% del PIBA (a precios básicos) y se conformó por las actividades relacionadas con los cuidados especializados (por ejemplo, cuidados a enfermos crónicos o con algún tipo de discapacidad), los cuales representaron 12%; los cuidados no especializados (cuidados para la prevención, así como por enfermedades menores o temporales) que aportaron 7.5%; el apoyo a otros hogares en el cuidado de la salud con 1.0% y el trabajo voluntario en atención de la salud el 0.1 por ciento.</w:t>
      </w:r>
    </w:p>
    <w:p w14:paraId="743A0068" w14:textId="77777777" w:rsid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En ese mismo año, el PIBA del Sector salud se incrementó 2%, en términos reales, respecto a su nivel alcanzado en 2012. A su interior, el mayor crecimiento se registró en las actividades que los hogares destinan al cuidado de la salud (TNRS) con una variación de 6.3%, mientras que la producción de bienes y servicios del Sector salud creció en 0.9 por ciento.</w:t>
      </w:r>
    </w:p>
    <w:p w14:paraId="3A5CBD03" w14:textId="77777777" w:rsidR="0047140D" w:rsidRDefault="0047140D" w:rsidP="00D31338">
      <w:pPr>
        <w:spacing w:after="360" w:line="360" w:lineRule="auto"/>
        <w:ind w:right="-159"/>
        <w:jc w:val="both"/>
        <w:rPr>
          <w:rFonts w:eastAsia="Times New Roman"/>
          <w:bCs/>
          <w:sz w:val="26"/>
          <w:szCs w:val="26"/>
          <w:lang w:val="es-ES"/>
        </w:rPr>
      </w:pPr>
    </w:p>
    <w:p w14:paraId="12CBF88E" w14:textId="77777777" w:rsidR="0047140D" w:rsidRPr="00D31338" w:rsidRDefault="0047140D" w:rsidP="00D31338">
      <w:pPr>
        <w:spacing w:after="360" w:line="360" w:lineRule="auto"/>
        <w:ind w:right="-159"/>
        <w:jc w:val="both"/>
        <w:rPr>
          <w:rFonts w:eastAsia="Times New Roman"/>
          <w:bCs/>
          <w:sz w:val="26"/>
          <w:szCs w:val="26"/>
          <w:lang w:val="es-ES"/>
        </w:rPr>
      </w:pPr>
    </w:p>
    <w:p w14:paraId="702E874C" w14:textId="77777777"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lastRenderedPageBreak/>
        <w:t>Producción, empleo y formación bruta de capital en el sector salud</w:t>
      </w:r>
    </w:p>
    <w:p w14:paraId="44094FA4" w14:textId="7402EF9E"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 xml:space="preserve">La producción de bienes y servicios del Sector salud en 2013 fue de 721 mil 409 millones de pesos (a precios básicos). Al analizar la producción de este sector de acuerdo </w:t>
      </w:r>
      <w:r w:rsidR="00BA61DD">
        <w:rPr>
          <w:rFonts w:eastAsia="Times New Roman"/>
          <w:bCs/>
          <w:sz w:val="26"/>
          <w:szCs w:val="26"/>
          <w:lang w:val="es-ES"/>
        </w:rPr>
        <w:t>con e</w:t>
      </w:r>
      <w:r w:rsidRPr="00D31338">
        <w:rPr>
          <w:rFonts w:eastAsia="Times New Roman"/>
          <w:bCs/>
          <w:sz w:val="26"/>
          <w:szCs w:val="26"/>
          <w:lang w:val="es-ES"/>
        </w:rPr>
        <w:t>l tipo de régimen institucional (público o privado), se observó que el sector público aportó el 51.4%, mientras que el sector privado contribuyó con el 48.6% restante. Dentro del sector privado las actividades de servicios vinculados con la salud participaron con el 65.6% y la producción de bienes con el 34.4%; mientras que en el sector público la generación de servicios concentró el total del valor producido por el sector.</w:t>
      </w:r>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240"/>
        <w:gridCol w:w="1240"/>
        <w:gridCol w:w="1241"/>
        <w:gridCol w:w="1240"/>
        <w:gridCol w:w="1241"/>
      </w:tblGrid>
      <w:tr w:rsidR="00D31338" w:rsidRPr="00D31338" w14:paraId="494C69DB" w14:textId="77777777" w:rsidTr="00956231">
        <w:trPr>
          <w:trHeight w:val="208"/>
          <w:jc w:val="center"/>
        </w:trPr>
        <w:tc>
          <w:tcPr>
            <w:tcW w:w="9004" w:type="dxa"/>
            <w:gridSpan w:val="6"/>
            <w:tcBorders>
              <w:top w:val="nil"/>
              <w:left w:val="nil"/>
              <w:right w:val="nil"/>
            </w:tcBorders>
            <w:vAlign w:val="center"/>
          </w:tcPr>
          <w:p w14:paraId="3441291C" w14:textId="77777777" w:rsidR="00D31338" w:rsidRPr="00634E36" w:rsidRDefault="00D31338" w:rsidP="00D31338">
            <w:pPr>
              <w:autoSpaceDE w:val="0"/>
              <w:autoSpaceDN w:val="0"/>
              <w:adjustRightInd w:val="0"/>
              <w:jc w:val="center"/>
              <w:rPr>
                <w:rFonts w:eastAsia="Calibri"/>
                <w:sz w:val="22"/>
                <w:szCs w:val="22"/>
                <w:lang w:eastAsia="en-US"/>
              </w:rPr>
            </w:pPr>
            <w:r w:rsidRPr="00634E36">
              <w:rPr>
                <w:rFonts w:eastAsia="Calibri"/>
                <w:b/>
                <w:bCs/>
                <w:sz w:val="22"/>
                <w:szCs w:val="22"/>
                <w:lang w:eastAsia="en-US"/>
              </w:rPr>
              <w:t>PRODUCCIÓN DE BIENES Y SERVICIOS DEL SECTOR SALUD</w:t>
            </w:r>
          </w:p>
          <w:p w14:paraId="42D2EB8B" w14:textId="77777777" w:rsidR="00D31338" w:rsidRPr="00634E36" w:rsidRDefault="00D31338" w:rsidP="00D31338">
            <w:pPr>
              <w:autoSpaceDE w:val="0"/>
              <w:autoSpaceDN w:val="0"/>
              <w:adjustRightInd w:val="0"/>
              <w:jc w:val="center"/>
              <w:rPr>
                <w:rFonts w:eastAsia="Calibri"/>
                <w:b/>
                <w:sz w:val="22"/>
                <w:szCs w:val="22"/>
                <w:lang w:eastAsia="en-US"/>
              </w:rPr>
            </w:pPr>
            <w:r w:rsidRPr="00634E36">
              <w:rPr>
                <w:rFonts w:eastAsia="Calibri"/>
                <w:b/>
                <w:bCs/>
                <w:sz w:val="22"/>
                <w:szCs w:val="22"/>
                <w:lang w:eastAsia="en-US"/>
              </w:rPr>
              <w:t>POR TIPO DE RÉGIMEN PÚBLICO O PRIVADO, 2013</w:t>
            </w:r>
          </w:p>
          <w:p w14:paraId="30A2FB34" w14:textId="77777777" w:rsidR="00D31338" w:rsidRPr="00634E36" w:rsidRDefault="00D31338" w:rsidP="00D31338">
            <w:pPr>
              <w:autoSpaceDE w:val="0"/>
              <w:autoSpaceDN w:val="0"/>
              <w:adjustRightInd w:val="0"/>
              <w:jc w:val="center"/>
              <w:rPr>
                <w:rFonts w:eastAsia="Calibri"/>
                <w:b/>
                <w:sz w:val="22"/>
                <w:szCs w:val="22"/>
                <w:lang w:eastAsia="en-US"/>
              </w:rPr>
            </w:pPr>
            <w:r w:rsidRPr="00634E36">
              <w:rPr>
                <w:rFonts w:eastAsia="Calibri"/>
                <w:b/>
                <w:sz w:val="22"/>
                <w:szCs w:val="22"/>
                <w:lang w:eastAsia="en-US"/>
              </w:rPr>
              <w:t>-Millones de pesos a precios básicos y porcentajes-</w:t>
            </w:r>
          </w:p>
          <w:p w14:paraId="778BCD35" w14:textId="77777777" w:rsidR="00D31338" w:rsidRPr="00634E36" w:rsidRDefault="00D31338" w:rsidP="00D31338">
            <w:pPr>
              <w:autoSpaceDE w:val="0"/>
              <w:autoSpaceDN w:val="0"/>
              <w:adjustRightInd w:val="0"/>
              <w:jc w:val="center"/>
              <w:rPr>
                <w:rFonts w:eastAsia="Calibri"/>
                <w:b/>
                <w:bCs/>
                <w:sz w:val="22"/>
                <w:szCs w:val="22"/>
                <w:lang w:eastAsia="en-US"/>
              </w:rPr>
            </w:pPr>
          </w:p>
        </w:tc>
      </w:tr>
      <w:tr w:rsidR="00D31338" w:rsidRPr="00D31338" w14:paraId="48E949CD" w14:textId="77777777" w:rsidTr="00956231">
        <w:trPr>
          <w:trHeight w:val="208"/>
          <w:jc w:val="center"/>
        </w:trPr>
        <w:tc>
          <w:tcPr>
            <w:tcW w:w="2802" w:type="dxa"/>
            <w:tcBorders>
              <w:bottom w:val="single" w:sz="4" w:space="0" w:color="auto"/>
            </w:tcBorders>
            <w:vAlign w:val="center"/>
          </w:tcPr>
          <w:p w14:paraId="1385DD4A"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Concepto</w:t>
            </w:r>
          </w:p>
        </w:tc>
        <w:tc>
          <w:tcPr>
            <w:tcW w:w="1240" w:type="dxa"/>
            <w:tcBorders>
              <w:bottom w:val="single" w:sz="4" w:space="0" w:color="auto"/>
            </w:tcBorders>
            <w:vAlign w:val="center"/>
          </w:tcPr>
          <w:p w14:paraId="1187147C"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Total</w:t>
            </w:r>
          </w:p>
        </w:tc>
        <w:tc>
          <w:tcPr>
            <w:tcW w:w="1240" w:type="dxa"/>
            <w:tcBorders>
              <w:bottom w:val="single" w:sz="4" w:space="0" w:color="auto"/>
            </w:tcBorders>
            <w:vAlign w:val="center"/>
          </w:tcPr>
          <w:p w14:paraId="0629A028"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Sector</w:t>
            </w:r>
          </w:p>
          <w:p w14:paraId="05F1E079"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Privado</w:t>
            </w:r>
          </w:p>
        </w:tc>
        <w:tc>
          <w:tcPr>
            <w:tcW w:w="1241" w:type="dxa"/>
            <w:tcBorders>
              <w:bottom w:val="single" w:sz="4" w:space="0" w:color="auto"/>
            </w:tcBorders>
            <w:vAlign w:val="center"/>
          </w:tcPr>
          <w:p w14:paraId="2B3D2F71"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w:t>
            </w:r>
          </w:p>
        </w:tc>
        <w:tc>
          <w:tcPr>
            <w:tcW w:w="1240" w:type="dxa"/>
            <w:tcBorders>
              <w:bottom w:val="single" w:sz="4" w:space="0" w:color="auto"/>
            </w:tcBorders>
            <w:vAlign w:val="center"/>
          </w:tcPr>
          <w:p w14:paraId="6551BF57"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Sector</w:t>
            </w:r>
          </w:p>
          <w:p w14:paraId="0C265CC7"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Público</w:t>
            </w:r>
          </w:p>
        </w:tc>
        <w:tc>
          <w:tcPr>
            <w:tcW w:w="1241" w:type="dxa"/>
            <w:tcBorders>
              <w:bottom w:val="single" w:sz="4" w:space="0" w:color="auto"/>
            </w:tcBorders>
            <w:vAlign w:val="center"/>
          </w:tcPr>
          <w:p w14:paraId="36C1EE8C" w14:textId="77777777" w:rsidR="00D31338" w:rsidRPr="00634E36" w:rsidRDefault="00D31338" w:rsidP="00D31338">
            <w:pPr>
              <w:autoSpaceDE w:val="0"/>
              <w:autoSpaceDN w:val="0"/>
              <w:adjustRightInd w:val="0"/>
              <w:jc w:val="center"/>
              <w:rPr>
                <w:rFonts w:eastAsia="Calibri"/>
                <w:b/>
                <w:sz w:val="20"/>
                <w:szCs w:val="20"/>
                <w:lang w:eastAsia="en-US"/>
              </w:rPr>
            </w:pPr>
            <w:r w:rsidRPr="00634E36">
              <w:rPr>
                <w:rFonts w:eastAsia="Calibri"/>
                <w:b/>
                <w:bCs/>
                <w:sz w:val="20"/>
                <w:szCs w:val="20"/>
                <w:lang w:eastAsia="en-US"/>
              </w:rPr>
              <w:t>(%)</w:t>
            </w:r>
          </w:p>
        </w:tc>
      </w:tr>
      <w:tr w:rsidR="00D31338" w:rsidRPr="00D31338" w14:paraId="52E47003" w14:textId="77777777" w:rsidTr="00956231">
        <w:trPr>
          <w:trHeight w:val="90"/>
          <w:jc w:val="center"/>
        </w:trPr>
        <w:tc>
          <w:tcPr>
            <w:tcW w:w="2802" w:type="dxa"/>
            <w:tcBorders>
              <w:bottom w:val="nil"/>
            </w:tcBorders>
            <w:vAlign w:val="center"/>
          </w:tcPr>
          <w:p w14:paraId="38C10840" w14:textId="77777777" w:rsidR="00D31338" w:rsidRPr="00634E36" w:rsidRDefault="00D31338" w:rsidP="00D31338">
            <w:pPr>
              <w:autoSpaceDE w:val="0"/>
              <w:autoSpaceDN w:val="0"/>
              <w:adjustRightInd w:val="0"/>
              <w:spacing w:before="120" w:after="120"/>
              <w:rPr>
                <w:rFonts w:eastAsia="Calibri"/>
                <w:sz w:val="20"/>
                <w:szCs w:val="20"/>
                <w:lang w:eastAsia="en-US"/>
              </w:rPr>
            </w:pPr>
            <w:r w:rsidRPr="00634E36">
              <w:rPr>
                <w:rFonts w:eastAsia="Calibri"/>
                <w:bCs/>
                <w:sz w:val="20"/>
                <w:szCs w:val="20"/>
                <w:lang w:eastAsia="en-US"/>
              </w:rPr>
              <w:t>Producción del Sector Salud</w:t>
            </w:r>
          </w:p>
        </w:tc>
        <w:tc>
          <w:tcPr>
            <w:tcW w:w="1240" w:type="dxa"/>
            <w:tcBorders>
              <w:bottom w:val="nil"/>
            </w:tcBorders>
            <w:vAlign w:val="center"/>
          </w:tcPr>
          <w:p w14:paraId="606663BA"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721 409</w:t>
            </w:r>
          </w:p>
        </w:tc>
        <w:tc>
          <w:tcPr>
            <w:tcW w:w="1240" w:type="dxa"/>
            <w:tcBorders>
              <w:bottom w:val="nil"/>
            </w:tcBorders>
            <w:vAlign w:val="center"/>
          </w:tcPr>
          <w:p w14:paraId="530CC6AA"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350 522</w:t>
            </w:r>
          </w:p>
        </w:tc>
        <w:tc>
          <w:tcPr>
            <w:tcW w:w="1241" w:type="dxa"/>
            <w:tcBorders>
              <w:bottom w:val="nil"/>
            </w:tcBorders>
            <w:vAlign w:val="center"/>
          </w:tcPr>
          <w:p w14:paraId="2C2E3768"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100.0</w:t>
            </w:r>
          </w:p>
        </w:tc>
        <w:tc>
          <w:tcPr>
            <w:tcW w:w="1240" w:type="dxa"/>
            <w:tcBorders>
              <w:bottom w:val="nil"/>
            </w:tcBorders>
            <w:vAlign w:val="center"/>
          </w:tcPr>
          <w:p w14:paraId="04106DD9"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370 887</w:t>
            </w:r>
          </w:p>
        </w:tc>
        <w:tc>
          <w:tcPr>
            <w:tcW w:w="1241" w:type="dxa"/>
            <w:tcBorders>
              <w:bottom w:val="nil"/>
            </w:tcBorders>
            <w:vAlign w:val="center"/>
          </w:tcPr>
          <w:p w14:paraId="0552C1E0"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100.0</w:t>
            </w:r>
          </w:p>
        </w:tc>
      </w:tr>
      <w:tr w:rsidR="00D31338" w:rsidRPr="00D31338" w14:paraId="627124C1" w14:textId="77777777" w:rsidTr="00956231">
        <w:trPr>
          <w:trHeight w:val="88"/>
          <w:jc w:val="center"/>
        </w:trPr>
        <w:tc>
          <w:tcPr>
            <w:tcW w:w="2802" w:type="dxa"/>
            <w:tcBorders>
              <w:top w:val="nil"/>
              <w:bottom w:val="nil"/>
            </w:tcBorders>
            <w:vAlign w:val="center"/>
          </w:tcPr>
          <w:p w14:paraId="20AA016D" w14:textId="77777777" w:rsidR="00D31338" w:rsidRPr="00634E36" w:rsidRDefault="00D31338" w:rsidP="00D31338">
            <w:pPr>
              <w:autoSpaceDE w:val="0"/>
              <w:autoSpaceDN w:val="0"/>
              <w:adjustRightInd w:val="0"/>
              <w:spacing w:before="120" w:after="120"/>
              <w:rPr>
                <w:rFonts w:eastAsia="Calibri"/>
                <w:sz w:val="20"/>
                <w:szCs w:val="20"/>
                <w:lang w:eastAsia="en-US"/>
              </w:rPr>
            </w:pPr>
            <w:r w:rsidRPr="00634E36">
              <w:rPr>
                <w:rFonts w:eastAsia="Calibri"/>
                <w:sz w:val="20"/>
                <w:szCs w:val="20"/>
                <w:lang w:eastAsia="en-US"/>
              </w:rPr>
              <w:t>Generación de Servicios</w:t>
            </w:r>
          </w:p>
        </w:tc>
        <w:tc>
          <w:tcPr>
            <w:tcW w:w="1240" w:type="dxa"/>
            <w:tcBorders>
              <w:top w:val="nil"/>
              <w:bottom w:val="nil"/>
            </w:tcBorders>
            <w:vAlign w:val="center"/>
          </w:tcPr>
          <w:p w14:paraId="35058060"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600 944</w:t>
            </w:r>
          </w:p>
        </w:tc>
        <w:tc>
          <w:tcPr>
            <w:tcW w:w="1240" w:type="dxa"/>
            <w:tcBorders>
              <w:top w:val="nil"/>
              <w:bottom w:val="nil"/>
            </w:tcBorders>
            <w:vAlign w:val="center"/>
          </w:tcPr>
          <w:p w14:paraId="2F1AAB2F"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230 057</w:t>
            </w:r>
          </w:p>
        </w:tc>
        <w:tc>
          <w:tcPr>
            <w:tcW w:w="1241" w:type="dxa"/>
            <w:tcBorders>
              <w:top w:val="nil"/>
              <w:bottom w:val="nil"/>
            </w:tcBorders>
            <w:vAlign w:val="center"/>
          </w:tcPr>
          <w:p w14:paraId="2D25E86B"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65.6</w:t>
            </w:r>
          </w:p>
        </w:tc>
        <w:tc>
          <w:tcPr>
            <w:tcW w:w="1240" w:type="dxa"/>
            <w:tcBorders>
              <w:top w:val="nil"/>
              <w:bottom w:val="nil"/>
            </w:tcBorders>
            <w:vAlign w:val="center"/>
          </w:tcPr>
          <w:p w14:paraId="22520925"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370 887</w:t>
            </w:r>
          </w:p>
        </w:tc>
        <w:tc>
          <w:tcPr>
            <w:tcW w:w="1241" w:type="dxa"/>
            <w:tcBorders>
              <w:top w:val="nil"/>
              <w:bottom w:val="nil"/>
            </w:tcBorders>
            <w:vAlign w:val="center"/>
          </w:tcPr>
          <w:p w14:paraId="403593BA"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100.0</w:t>
            </w:r>
          </w:p>
        </w:tc>
      </w:tr>
      <w:tr w:rsidR="00D31338" w:rsidRPr="00D31338" w14:paraId="5D456A8F" w14:textId="77777777" w:rsidTr="00956231">
        <w:trPr>
          <w:trHeight w:val="88"/>
          <w:jc w:val="center"/>
        </w:trPr>
        <w:tc>
          <w:tcPr>
            <w:tcW w:w="2802" w:type="dxa"/>
            <w:tcBorders>
              <w:top w:val="nil"/>
              <w:bottom w:val="single" w:sz="4" w:space="0" w:color="auto"/>
            </w:tcBorders>
            <w:vAlign w:val="center"/>
          </w:tcPr>
          <w:p w14:paraId="299BE651" w14:textId="77777777" w:rsidR="00D31338" w:rsidRPr="00634E36" w:rsidRDefault="00D31338" w:rsidP="00D31338">
            <w:pPr>
              <w:autoSpaceDE w:val="0"/>
              <w:autoSpaceDN w:val="0"/>
              <w:adjustRightInd w:val="0"/>
              <w:spacing w:before="120" w:after="120"/>
              <w:rPr>
                <w:rFonts w:eastAsia="Calibri"/>
                <w:sz w:val="20"/>
                <w:szCs w:val="20"/>
                <w:lang w:eastAsia="en-US"/>
              </w:rPr>
            </w:pPr>
            <w:r w:rsidRPr="00634E36">
              <w:rPr>
                <w:rFonts w:eastAsia="Calibri"/>
                <w:sz w:val="20"/>
                <w:szCs w:val="20"/>
                <w:lang w:eastAsia="en-US"/>
              </w:rPr>
              <w:t>Producción de Bienes</w:t>
            </w:r>
          </w:p>
        </w:tc>
        <w:tc>
          <w:tcPr>
            <w:tcW w:w="1240" w:type="dxa"/>
            <w:tcBorders>
              <w:top w:val="nil"/>
              <w:bottom w:val="single" w:sz="4" w:space="0" w:color="auto"/>
            </w:tcBorders>
            <w:vAlign w:val="center"/>
          </w:tcPr>
          <w:p w14:paraId="5CDF81F9"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120 465</w:t>
            </w:r>
          </w:p>
        </w:tc>
        <w:tc>
          <w:tcPr>
            <w:tcW w:w="1240" w:type="dxa"/>
            <w:tcBorders>
              <w:top w:val="nil"/>
              <w:bottom w:val="single" w:sz="4" w:space="0" w:color="auto"/>
            </w:tcBorders>
            <w:vAlign w:val="center"/>
          </w:tcPr>
          <w:p w14:paraId="058A116A"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120 465</w:t>
            </w:r>
          </w:p>
        </w:tc>
        <w:tc>
          <w:tcPr>
            <w:tcW w:w="1241" w:type="dxa"/>
            <w:tcBorders>
              <w:top w:val="nil"/>
              <w:bottom w:val="single" w:sz="4" w:space="0" w:color="auto"/>
            </w:tcBorders>
            <w:vAlign w:val="center"/>
          </w:tcPr>
          <w:p w14:paraId="1CCACED3"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34.4</w:t>
            </w:r>
          </w:p>
        </w:tc>
        <w:tc>
          <w:tcPr>
            <w:tcW w:w="1240" w:type="dxa"/>
            <w:tcBorders>
              <w:top w:val="nil"/>
              <w:bottom w:val="single" w:sz="4" w:space="0" w:color="auto"/>
            </w:tcBorders>
            <w:vAlign w:val="center"/>
          </w:tcPr>
          <w:p w14:paraId="2B6D3AC9" w14:textId="77777777" w:rsidR="00D31338" w:rsidRPr="00634E36" w:rsidRDefault="00D31338" w:rsidP="00D31338">
            <w:pPr>
              <w:autoSpaceDE w:val="0"/>
              <w:autoSpaceDN w:val="0"/>
              <w:adjustRightInd w:val="0"/>
              <w:spacing w:before="120" w:after="120"/>
              <w:ind w:right="170"/>
              <w:jc w:val="right"/>
              <w:rPr>
                <w:rFonts w:eastAsia="Calibri"/>
                <w:sz w:val="20"/>
                <w:szCs w:val="20"/>
                <w:lang w:eastAsia="en-US"/>
              </w:rPr>
            </w:pPr>
            <w:r w:rsidRPr="00634E36">
              <w:rPr>
                <w:rFonts w:eastAsia="Calibri"/>
                <w:sz w:val="20"/>
                <w:szCs w:val="20"/>
                <w:lang w:eastAsia="en-US"/>
              </w:rPr>
              <w:t>0</w:t>
            </w:r>
          </w:p>
        </w:tc>
        <w:tc>
          <w:tcPr>
            <w:tcW w:w="1241" w:type="dxa"/>
            <w:tcBorders>
              <w:top w:val="nil"/>
              <w:bottom w:val="single" w:sz="4" w:space="0" w:color="auto"/>
            </w:tcBorders>
            <w:vAlign w:val="center"/>
          </w:tcPr>
          <w:p w14:paraId="18750B76" w14:textId="77777777" w:rsidR="00D31338" w:rsidRPr="00634E36" w:rsidRDefault="00D31338" w:rsidP="00D31338">
            <w:pPr>
              <w:autoSpaceDE w:val="0"/>
              <w:autoSpaceDN w:val="0"/>
              <w:adjustRightInd w:val="0"/>
              <w:spacing w:before="120" w:after="120"/>
              <w:ind w:right="284"/>
              <w:jc w:val="right"/>
              <w:rPr>
                <w:rFonts w:eastAsia="Calibri"/>
                <w:sz w:val="20"/>
                <w:szCs w:val="20"/>
                <w:lang w:eastAsia="en-US"/>
              </w:rPr>
            </w:pPr>
            <w:r w:rsidRPr="00634E36">
              <w:rPr>
                <w:rFonts w:eastAsia="Calibri"/>
                <w:sz w:val="20"/>
                <w:szCs w:val="20"/>
                <w:lang w:eastAsia="en-US"/>
              </w:rPr>
              <w:t>0</w:t>
            </w:r>
          </w:p>
        </w:tc>
      </w:tr>
      <w:tr w:rsidR="00D31338" w:rsidRPr="00D31338" w14:paraId="1EA8D386" w14:textId="77777777" w:rsidTr="00956231">
        <w:trPr>
          <w:trHeight w:val="88"/>
          <w:jc w:val="center"/>
        </w:trPr>
        <w:tc>
          <w:tcPr>
            <w:tcW w:w="9004" w:type="dxa"/>
            <w:gridSpan w:val="6"/>
            <w:tcBorders>
              <w:left w:val="nil"/>
              <w:bottom w:val="nil"/>
              <w:right w:val="nil"/>
            </w:tcBorders>
            <w:vAlign w:val="center"/>
          </w:tcPr>
          <w:p w14:paraId="4B15CEBC" w14:textId="77777777" w:rsidR="00D31338" w:rsidRPr="00634E36" w:rsidRDefault="00D31338" w:rsidP="00D31338">
            <w:pPr>
              <w:autoSpaceDE w:val="0"/>
              <w:autoSpaceDN w:val="0"/>
              <w:adjustRightInd w:val="0"/>
              <w:spacing w:before="120"/>
              <w:jc w:val="both"/>
              <w:rPr>
                <w:rFonts w:eastAsia="Calibri"/>
                <w:sz w:val="20"/>
                <w:szCs w:val="20"/>
                <w:lang w:eastAsia="en-US"/>
              </w:rPr>
            </w:pPr>
            <w:r w:rsidRPr="00634E36">
              <w:rPr>
                <w:rFonts w:eastAsia="Calibri"/>
                <w:sz w:val="20"/>
                <w:szCs w:val="20"/>
                <w:lang w:eastAsia="en-US"/>
              </w:rPr>
              <w:t>FUENTE: INEGI.</w:t>
            </w:r>
          </w:p>
        </w:tc>
      </w:tr>
    </w:tbl>
    <w:p w14:paraId="4DC76B42" w14:textId="77777777" w:rsidR="00D31338" w:rsidRPr="00D31338" w:rsidRDefault="00D31338" w:rsidP="00D31338">
      <w:pPr>
        <w:spacing w:after="360" w:line="360" w:lineRule="auto"/>
        <w:ind w:right="-159"/>
        <w:jc w:val="both"/>
        <w:rPr>
          <w:rFonts w:eastAsia="Times New Roman"/>
          <w:bCs/>
          <w:sz w:val="26"/>
          <w:szCs w:val="26"/>
          <w:lang w:val="es-ES"/>
        </w:rPr>
      </w:pPr>
    </w:p>
    <w:p w14:paraId="766AA9ED" w14:textId="02BEBA2D"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 xml:space="preserve">Como se mencionó anteriormente, en 2013 la producción de bienes y servicios del Sector salud mostró un incremento real de 0.9% respecto al año que lo precedió. Por tipo de bien y servicio producido, los servicios hospitalarios aumentaron 3.3%, los servicios de atención ambulatoria (donde se agrupa, por ejemplo, la atención en consultorios médicos) 1.8%, la producción de medicamentos, lentes y material de curación 1.5%, y la comercialización de bienes relacionados con la salud 0.5%; </w:t>
      </w:r>
      <w:r w:rsidRPr="00D31338">
        <w:rPr>
          <w:rFonts w:eastAsia="Times New Roman"/>
          <w:bCs/>
          <w:sz w:val="26"/>
          <w:szCs w:val="26"/>
        </w:rPr>
        <w:lastRenderedPageBreak/>
        <w:t>mientras que los “otros bienes y servicios”</w:t>
      </w:r>
      <w:r w:rsidRPr="00D31338">
        <w:rPr>
          <w:rFonts w:eastAsia="Times New Roman"/>
          <w:bCs/>
          <w:sz w:val="26"/>
          <w:szCs w:val="26"/>
          <w:vertAlign w:val="superscript"/>
        </w:rPr>
        <w:footnoteReference w:id="67"/>
      </w:r>
      <w:r w:rsidRPr="00D31338">
        <w:rPr>
          <w:rFonts w:eastAsia="Times New Roman"/>
          <w:bCs/>
          <w:sz w:val="26"/>
          <w:szCs w:val="26"/>
        </w:rPr>
        <w:t xml:space="preserve"> disminuyeron 1.4% y los servicios de administración pública de la salud 4.2 por ciento.</w:t>
      </w:r>
    </w:p>
    <w:p w14:paraId="7505D8F6"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drawing>
          <wp:inline distT="0" distB="0" distL="0" distR="0" wp14:anchorId="0A40BDBE" wp14:editId="70BBDEF0">
            <wp:extent cx="4558368" cy="2772123"/>
            <wp:effectExtent l="0" t="0" r="0" b="9525"/>
            <wp:docPr id="1579" name="Imagen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2" cstate="print">
                      <a:extLst>
                        <a:ext uri="{28A0092B-C50C-407E-A947-70E740481C1C}">
                          <a14:useLocalDpi xmlns:a14="http://schemas.microsoft.com/office/drawing/2010/main" val="0"/>
                        </a:ext>
                      </a:extLst>
                    </a:blip>
                    <a:srcRect t="860" b="18310"/>
                    <a:stretch/>
                  </pic:blipFill>
                  <pic:spPr bwMode="auto">
                    <a:xfrm>
                      <a:off x="0" y="0"/>
                      <a:ext cx="4559300" cy="2772690"/>
                    </a:xfrm>
                    <a:prstGeom prst="rect">
                      <a:avLst/>
                    </a:prstGeom>
                    <a:noFill/>
                    <a:ln>
                      <a:noFill/>
                    </a:ln>
                    <a:extLst>
                      <a:ext uri="{53640926-AAD7-44D8-BBD7-CCE9431645EC}">
                        <a14:shadowObscured xmlns:a14="http://schemas.microsoft.com/office/drawing/2010/main"/>
                      </a:ext>
                    </a:extLst>
                  </pic:spPr>
                </pic:pic>
              </a:graphicData>
            </a:graphic>
          </wp:inline>
        </w:drawing>
      </w:r>
    </w:p>
    <w:p w14:paraId="7C615CE9"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rPr>
        <w:t>El empleo en el Sector salud, en el año de referencia, se ubicó en 1 millón 913 mil 138 puestos de trabajo remunerados. Esto representó 4.5% de los empleos registrados correspondientes en el total de la economía. Del total de empleos generados por el sector el 92.8% corresponde a trabajadores que fueron contratados directamente por el empleador (o dependientes de la razón social) y 7.2% lo hicieron a través de un tercero (no dependientes de la razón social).</w:t>
      </w:r>
    </w:p>
    <w:p w14:paraId="3E36471D"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Las actividades que más puestos de trabajo generaron fueron los servicios hospitalarios donde se emplea al 30% y los servicios médicos de atención ambulatoria con 20.7%. Por lo que toca a las instituciones de administración pública de la salud, el número de puestos de trabajo representó el 12.4% del total de empleos del sector.</w:t>
      </w:r>
    </w:p>
    <w:p w14:paraId="4352EFBD"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lastRenderedPageBreak/>
        <w:drawing>
          <wp:inline distT="0" distB="0" distL="0" distR="0" wp14:anchorId="726490E0" wp14:editId="1716CC9A">
            <wp:extent cx="4558802" cy="3311700"/>
            <wp:effectExtent l="0" t="0" r="0" b="3175"/>
            <wp:docPr id="1580" name="Imagen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3" cstate="print">
                      <a:extLst>
                        <a:ext uri="{28A0092B-C50C-407E-A947-70E740481C1C}">
                          <a14:useLocalDpi xmlns:a14="http://schemas.microsoft.com/office/drawing/2010/main" val="0"/>
                        </a:ext>
                      </a:extLst>
                    </a:blip>
                    <a:srcRect t="1106" b="2340"/>
                    <a:stretch/>
                  </pic:blipFill>
                  <pic:spPr bwMode="auto">
                    <a:xfrm>
                      <a:off x="0" y="0"/>
                      <a:ext cx="4559300" cy="3312062"/>
                    </a:xfrm>
                    <a:prstGeom prst="rect">
                      <a:avLst/>
                    </a:prstGeom>
                    <a:noFill/>
                    <a:ln>
                      <a:noFill/>
                    </a:ln>
                    <a:extLst>
                      <a:ext uri="{53640926-AAD7-44D8-BBD7-CCE9431645EC}">
                        <a14:shadowObscured xmlns:a14="http://schemas.microsoft.com/office/drawing/2010/main"/>
                      </a:ext>
                    </a:extLst>
                  </pic:spPr>
                </pic:pic>
              </a:graphicData>
            </a:graphic>
          </wp:inline>
        </w:drawing>
      </w:r>
    </w:p>
    <w:p w14:paraId="5FC3F515"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Al revisar el empleo remunerado dependiente de la razón social por tipo de régimen entre público o privado, se obtuvo que en 2013 el primero ocupó al 58.6% del personal remunerado y el segundo al 41.4% restante.</w:t>
      </w:r>
    </w:p>
    <w:p w14:paraId="7B9E1525" w14:textId="49C85AD1"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 xml:space="preserve">Otra información útil que proporciona la CSSSM es la que se refiere a la inversión fija. Durante 2013, la que se realiza para la producción de bienes y servicios en el sector salud registró un monto de 25 mil 622 millones de pesos, que representó el 0.8% de la formación bruta de capital fijo de la economía. En términos reales la formación bruta de capital fijo observó una </w:t>
      </w:r>
      <w:r w:rsidR="00FA12BF">
        <w:rPr>
          <w:rFonts w:eastAsia="Times New Roman"/>
          <w:bCs/>
          <w:sz w:val="26"/>
          <w:szCs w:val="26"/>
        </w:rPr>
        <w:t>disminución</w:t>
      </w:r>
      <w:r w:rsidRPr="00D31338">
        <w:rPr>
          <w:rFonts w:eastAsia="Times New Roman"/>
          <w:bCs/>
          <w:sz w:val="26"/>
          <w:szCs w:val="26"/>
        </w:rPr>
        <w:t xml:space="preserve"> de 2.4% respecto del año anterior.</w:t>
      </w:r>
    </w:p>
    <w:p w14:paraId="7A9E2992" w14:textId="77777777" w:rsidR="00D31338" w:rsidRPr="00D31338" w:rsidRDefault="00D31338" w:rsidP="00D31338">
      <w:pPr>
        <w:spacing w:after="360" w:line="360" w:lineRule="auto"/>
        <w:ind w:right="-159"/>
        <w:jc w:val="both"/>
        <w:rPr>
          <w:rFonts w:eastAsia="Times New Roman"/>
          <w:bCs/>
          <w:sz w:val="26"/>
          <w:szCs w:val="26"/>
        </w:rPr>
      </w:pPr>
    </w:p>
    <w:p w14:paraId="20ADAD11"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lastRenderedPageBreak/>
        <w:drawing>
          <wp:inline distT="0" distB="0" distL="0" distR="0" wp14:anchorId="60B3E0B9" wp14:editId="6FC0FC8F">
            <wp:extent cx="4559142" cy="2915864"/>
            <wp:effectExtent l="0" t="0" r="0" b="0"/>
            <wp:docPr id="1581" name="Imagen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4" cstate="print">
                      <a:extLst>
                        <a:ext uri="{28A0092B-C50C-407E-A947-70E740481C1C}">
                          <a14:useLocalDpi xmlns:a14="http://schemas.microsoft.com/office/drawing/2010/main" val="0"/>
                        </a:ext>
                      </a:extLst>
                    </a:blip>
                    <a:srcRect t="983" b="14011"/>
                    <a:stretch/>
                  </pic:blipFill>
                  <pic:spPr bwMode="auto">
                    <a:xfrm>
                      <a:off x="0" y="0"/>
                      <a:ext cx="4559300" cy="2915965"/>
                    </a:xfrm>
                    <a:prstGeom prst="rect">
                      <a:avLst/>
                    </a:prstGeom>
                    <a:noFill/>
                    <a:ln>
                      <a:noFill/>
                    </a:ln>
                    <a:extLst>
                      <a:ext uri="{53640926-AAD7-44D8-BBD7-CCE9431645EC}">
                        <a14:shadowObscured xmlns:a14="http://schemas.microsoft.com/office/drawing/2010/main"/>
                      </a:ext>
                    </a:extLst>
                  </pic:spPr>
                </pic:pic>
              </a:graphicData>
            </a:graphic>
          </wp:inline>
        </w:drawing>
      </w:r>
    </w:p>
    <w:p w14:paraId="41D535B9"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
          <w:bCs/>
          <w:sz w:val="26"/>
          <w:szCs w:val="26"/>
        </w:rPr>
        <w:t>La participación de los hogares en el sector salud</w:t>
      </w:r>
    </w:p>
    <w:p w14:paraId="2B7ADE2A"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Los hogares constituyen un importante actor para el sector salud, debido a su doble propósito, como consumidores finales de bienes y servicios para el cuidado de la salud y como proveedores de bienes y servicios para autoconsumo dentro y fuera del hogar. En 2013, el gasto realizado directamente por los hogares para cubrir sus necesidades de salud ascendió a más de 403 mil millones de pesos (sin contar el valor económico del trabajo no remunerado), lo que representó 42.8% del gasto de consumo final relacionado con la salud</w:t>
      </w:r>
      <w:r w:rsidRPr="00D31338">
        <w:rPr>
          <w:rFonts w:eastAsia="Times New Roman"/>
          <w:bCs/>
          <w:sz w:val="26"/>
          <w:szCs w:val="26"/>
          <w:vertAlign w:val="superscript"/>
        </w:rPr>
        <w:footnoteReference w:id="68"/>
      </w:r>
      <w:r w:rsidRPr="00D31338">
        <w:rPr>
          <w:rFonts w:eastAsia="Times New Roman"/>
          <w:bCs/>
          <w:sz w:val="26"/>
          <w:szCs w:val="26"/>
        </w:rPr>
        <w:t>. Al considerar el trabajo no remunerado que los hogares destinan al cuidado de la salud (TNRS), se observó que éste fue equivalente a cerca de 187 mil 103 millones de pesos. Esto significa que el gasto total que los hogares realizaron directamente y a través de su trabajo asciende a más de 590 mil 726 millones de pesos.</w:t>
      </w:r>
    </w:p>
    <w:p w14:paraId="23A9B093"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 xml:space="preserve">Del consumo de bienes y servicios para el cuidado de la salud que realizan los hogares, el gasto en medicamentos y otros bienes concentró el 65%, las consultas médicas </w:t>
      </w:r>
      <w:r w:rsidRPr="00D31338">
        <w:rPr>
          <w:rFonts w:eastAsia="Times New Roman"/>
          <w:bCs/>
          <w:sz w:val="26"/>
          <w:szCs w:val="26"/>
        </w:rPr>
        <w:lastRenderedPageBreak/>
        <w:t>15.9%, los bienes y servicios de apoyo (en los que se encuentran, por ejemplo, servicios de seguros médicos, de investigación y desarrollo; y bienes como desinfectantes y dentífricos) 7.8%, los servicios hospitalarios 6.9% y el restante 4.4% se destinó a otros servicios asociados al cuidado de la salud.</w:t>
      </w:r>
    </w:p>
    <w:p w14:paraId="3FE7BD89"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drawing>
          <wp:inline distT="0" distB="0" distL="0" distR="0" wp14:anchorId="59A5F49B" wp14:editId="4EA5C57C">
            <wp:extent cx="4558714" cy="2688072"/>
            <wp:effectExtent l="0" t="0" r="0" b="0"/>
            <wp:docPr id="1582" name="Imagen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5" cstate="print">
                      <a:extLst>
                        <a:ext uri="{28A0092B-C50C-407E-A947-70E740481C1C}">
                          <a14:useLocalDpi xmlns:a14="http://schemas.microsoft.com/office/drawing/2010/main" val="0"/>
                        </a:ext>
                      </a:extLst>
                    </a:blip>
                    <a:srcRect t="737" b="20890"/>
                    <a:stretch/>
                  </pic:blipFill>
                  <pic:spPr bwMode="auto">
                    <a:xfrm>
                      <a:off x="0" y="0"/>
                      <a:ext cx="4559300" cy="2688418"/>
                    </a:xfrm>
                    <a:prstGeom prst="rect">
                      <a:avLst/>
                    </a:prstGeom>
                    <a:noFill/>
                    <a:ln>
                      <a:noFill/>
                    </a:ln>
                    <a:extLst>
                      <a:ext uri="{53640926-AAD7-44D8-BBD7-CCE9431645EC}">
                        <a14:shadowObscured xmlns:a14="http://schemas.microsoft.com/office/drawing/2010/main"/>
                      </a:ext>
                    </a:extLst>
                  </pic:spPr>
                </pic:pic>
              </a:graphicData>
            </a:graphic>
          </wp:inline>
        </w:drawing>
      </w:r>
    </w:p>
    <w:p w14:paraId="385F0B35"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Por el lado del trabajo no remunerado que destinan los hogares a la salud, fueron los cuidados que se realizan dentro del hogar los que concentraron 94.4% del valor total generado por el TNRS, y están compuestos por los cuidados a enfermos crónicos o con alguna discapacidad física (o cuidados especializados), que equivale al 58.4% del TNRS total, así como por los cuidados a enfermos temporales (o cuidados no especializados, incluida la asistencia preventiva de la salud) con el 36 por ciento</w:t>
      </w:r>
      <w:r w:rsidRPr="00D31338">
        <w:rPr>
          <w:rFonts w:eastAsia="Times New Roman"/>
          <w:bCs/>
          <w:sz w:val="26"/>
          <w:szCs w:val="26"/>
          <w:vertAlign w:val="superscript"/>
        </w:rPr>
        <w:footnoteReference w:id="69"/>
      </w:r>
      <w:r w:rsidRPr="00D31338">
        <w:rPr>
          <w:rFonts w:eastAsia="Times New Roman"/>
          <w:bCs/>
          <w:sz w:val="26"/>
          <w:szCs w:val="26"/>
        </w:rPr>
        <w:t>.</w:t>
      </w:r>
    </w:p>
    <w:p w14:paraId="313DD34F"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Por lo que se refiere a los cuidados de salud realizados fuera del hogar, el valor de la ayuda a otros hogares representó 4.9% del valor del TNRS total y el del trabajo voluntario en instituciones no lucrativas, el 0.7 por ciento.</w:t>
      </w:r>
    </w:p>
    <w:p w14:paraId="2BE05C7C" w14:textId="77777777" w:rsidR="00D31338" w:rsidRPr="00D31338" w:rsidRDefault="00D31338" w:rsidP="00D31338">
      <w:pPr>
        <w:spacing w:after="360" w:line="360" w:lineRule="auto"/>
        <w:ind w:right="-159"/>
        <w:jc w:val="center"/>
        <w:rPr>
          <w:rFonts w:eastAsia="Times New Roman"/>
          <w:bCs/>
          <w:sz w:val="26"/>
          <w:szCs w:val="26"/>
          <w:lang w:val="es-ES"/>
        </w:rPr>
      </w:pPr>
      <w:r w:rsidRPr="00D31338">
        <w:rPr>
          <w:rFonts w:ascii="Arial" w:eastAsia="Times New Roman" w:hAnsi="Arial" w:cs="Arial"/>
          <w:noProof/>
          <w:sz w:val="18"/>
          <w:szCs w:val="20"/>
          <w:lang w:eastAsia="es-MX"/>
        </w:rPr>
        <w:lastRenderedPageBreak/>
        <w:drawing>
          <wp:inline distT="0" distB="0" distL="0" distR="0" wp14:anchorId="48960475" wp14:editId="3E35D140">
            <wp:extent cx="4559300" cy="3278356"/>
            <wp:effectExtent l="0" t="0" r="0" b="0"/>
            <wp:docPr id="1583" name="Imagen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6" cstate="print">
                      <a:extLst>
                        <a:ext uri="{28A0092B-C50C-407E-A947-70E740481C1C}">
                          <a14:useLocalDpi xmlns:a14="http://schemas.microsoft.com/office/drawing/2010/main" val="0"/>
                        </a:ext>
                      </a:extLst>
                    </a:blip>
                    <a:srcRect b="4429"/>
                    <a:stretch/>
                  </pic:blipFill>
                  <pic:spPr bwMode="auto">
                    <a:xfrm>
                      <a:off x="0" y="0"/>
                      <a:ext cx="4559300" cy="3278356"/>
                    </a:xfrm>
                    <a:prstGeom prst="rect">
                      <a:avLst/>
                    </a:prstGeom>
                    <a:noFill/>
                    <a:ln>
                      <a:noFill/>
                    </a:ln>
                    <a:extLst>
                      <a:ext uri="{53640926-AAD7-44D8-BBD7-CCE9431645EC}">
                        <a14:shadowObscured xmlns:a14="http://schemas.microsoft.com/office/drawing/2010/main"/>
                      </a:ext>
                    </a:extLst>
                  </pic:spPr>
                </pic:pic>
              </a:graphicData>
            </a:graphic>
          </wp:inline>
        </w:drawing>
      </w:r>
    </w:p>
    <w:p w14:paraId="5948D245"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Bajo este enfoque, si los hogares hubieran contratado durante 2013 a una persona para cuidar a sus enfermos, de cada 100 pesos que erogarían para este fin, cerca de 58 pesos se destinarían para la atención de aquellos miembros del hogar que presentan alguna discapacidad o enfermedad crónica; 36 pesos para proveer asistencia en salud a los integrantes de manera preventiva o cuyo padecimiento es temporal (gripa, tos, dolor de cabeza, etcétera), y los pesos restantes se destinarían como ayuda a otros hogares y/o trabajo voluntario en organizaciones sin fines de lucro relacionadas con la salud.</w:t>
      </w:r>
    </w:p>
    <w:p w14:paraId="59B77702" w14:textId="2D16392B"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En términos del tiempo que los hogares destinan a las actividades de cuidado de la salud (como se observa en el gráfico anterior), en 2013</w:t>
      </w:r>
      <w:r w:rsidR="000921CC">
        <w:rPr>
          <w:rFonts w:eastAsia="Times New Roman"/>
          <w:bCs/>
          <w:sz w:val="26"/>
          <w:szCs w:val="26"/>
        </w:rPr>
        <w:t>,</w:t>
      </w:r>
      <w:r w:rsidRPr="00D31338">
        <w:rPr>
          <w:rFonts w:eastAsia="Times New Roman"/>
          <w:bCs/>
          <w:sz w:val="26"/>
          <w:szCs w:val="26"/>
        </w:rPr>
        <w:t xml:space="preserve"> éste fue de 5 mil 192 millones de horas, de las cuales el 91.1% lo realizan dentro del hogar, y el tiempo remanente en apoyo a otros hogares o a organizaciones sin fines de lucro. Dentro de los hogares el tiempo asignado a los cuidados a enfermos temporales absorbió 54.9% del tiempo total, los cuidados a enfermos crónicos o con alguna discapacidad concentraron 27.6% y el resto del tiempo al cuidado preventivo de la salud. Al revisar las horas totales de trabajo no remunerado en función de quién lo realiza, se observó que 76.1% es aportado por </w:t>
      </w:r>
      <w:r w:rsidRPr="00D31338">
        <w:rPr>
          <w:rFonts w:eastAsia="Times New Roman"/>
          <w:bCs/>
          <w:sz w:val="26"/>
          <w:szCs w:val="26"/>
        </w:rPr>
        <w:lastRenderedPageBreak/>
        <w:t>las mujeres y 23.9% por los hombres. La actividad en que más participan las mujeres es en el cuidado temporal de enfermedades y los hombres lo hacen como voluntarios en instituciones sin fines de lucro.</w:t>
      </w:r>
    </w:p>
    <w:p w14:paraId="6E5D6EAD"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
          <w:bCs/>
          <w:sz w:val="26"/>
          <w:szCs w:val="26"/>
        </w:rPr>
        <w:t>Resumen de la evolución del sector salud a precios constantes</w:t>
      </w:r>
    </w:p>
    <w:p w14:paraId="116BD2B8"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Durante 2013, la oferta total de bienes y servicios del sector salud presentó un crecimiento de 2.4%. A su interior destaca el aumento del valor registrado por las importaciones de bienes para el cuidado de la salud con 5 por ciento.</w:t>
      </w:r>
    </w:p>
    <w:tbl>
      <w:tblPr>
        <w:tblW w:w="0" w:type="auto"/>
        <w:jc w:val="center"/>
        <w:tblBorders>
          <w:top w:val="nil"/>
          <w:left w:val="nil"/>
          <w:bottom w:val="nil"/>
          <w:right w:val="nil"/>
        </w:tblBorders>
        <w:tblLayout w:type="fixed"/>
        <w:tblLook w:val="0000" w:firstRow="0" w:lastRow="0" w:firstColumn="0" w:lastColumn="0" w:noHBand="0" w:noVBand="0"/>
      </w:tblPr>
      <w:tblGrid>
        <w:gridCol w:w="4786"/>
        <w:gridCol w:w="1843"/>
        <w:gridCol w:w="1843"/>
      </w:tblGrid>
      <w:tr w:rsidR="00D31338" w:rsidRPr="00D31338" w14:paraId="385C91CE" w14:textId="77777777" w:rsidTr="00BD244A">
        <w:trPr>
          <w:trHeight w:val="93"/>
          <w:jc w:val="center"/>
        </w:trPr>
        <w:tc>
          <w:tcPr>
            <w:tcW w:w="8472" w:type="dxa"/>
            <w:gridSpan w:val="3"/>
            <w:tcBorders>
              <w:bottom w:val="single" w:sz="4" w:space="0" w:color="auto"/>
            </w:tcBorders>
          </w:tcPr>
          <w:p w14:paraId="707F97A9" w14:textId="77777777" w:rsidR="00D31338" w:rsidRPr="00634E36" w:rsidRDefault="00D31338" w:rsidP="00D31338">
            <w:pPr>
              <w:autoSpaceDE w:val="0"/>
              <w:autoSpaceDN w:val="0"/>
              <w:adjustRightInd w:val="0"/>
              <w:jc w:val="center"/>
              <w:rPr>
                <w:rFonts w:eastAsia="Calibri"/>
                <w:b/>
                <w:bCs/>
                <w:sz w:val="22"/>
                <w:szCs w:val="22"/>
                <w:lang w:eastAsia="en-US"/>
              </w:rPr>
            </w:pPr>
            <w:r w:rsidRPr="00634E36">
              <w:rPr>
                <w:rFonts w:eastAsia="Calibri"/>
                <w:b/>
                <w:bCs/>
                <w:sz w:val="22"/>
                <w:szCs w:val="22"/>
                <w:lang w:eastAsia="en-US"/>
              </w:rPr>
              <w:t>VARIACIÓN ANUAL REAL DE INDICADORES</w:t>
            </w:r>
          </w:p>
          <w:p w14:paraId="69EA1EC9" w14:textId="77777777" w:rsidR="00D31338" w:rsidRPr="00634E36" w:rsidRDefault="00D31338" w:rsidP="00D31338">
            <w:pPr>
              <w:autoSpaceDE w:val="0"/>
              <w:autoSpaceDN w:val="0"/>
              <w:adjustRightInd w:val="0"/>
              <w:jc w:val="center"/>
              <w:rPr>
                <w:rFonts w:eastAsia="Calibri"/>
                <w:b/>
                <w:sz w:val="22"/>
                <w:szCs w:val="22"/>
                <w:lang w:eastAsia="en-US"/>
              </w:rPr>
            </w:pPr>
            <w:r w:rsidRPr="00634E36">
              <w:rPr>
                <w:rFonts w:eastAsia="Calibri"/>
                <w:b/>
                <w:bCs/>
                <w:sz w:val="22"/>
                <w:szCs w:val="22"/>
                <w:lang w:eastAsia="en-US"/>
              </w:rPr>
              <w:t>ECONÓMICOSDEL SECTOR SALUD</w:t>
            </w:r>
          </w:p>
          <w:p w14:paraId="55ABF08A" w14:textId="77777777" w:rsidR="00D31338" w:rsidRPr="00634E36" w:rsidRDefault="00D31338" w:rsidP="00D31338">
            <w:pPr>
              <w:autoSpaceDE w:val="0"/>
              <w:autoSpaceDN w:val="0"/>
              <w:adjustRightInd w:val="0"/>
              <w:jc w:val="center"/>
              <w:rPr>
                <w:rFonts w:eastAsia="Calibri"/>
                <w:b/>
                <w:sz w:val="22"/>
                <w:szCs w:val="22"/>
                <w:lang w:eastAsia="en-US"/>
              </w:rPr>
            </w:pPr>
            <w:r w:rsidRPr="00634E36">
              <w:rPr>
                <w:rFonts w:eastAsia="Calibri"/>
                <w:b/>
                <w:sz w:val="22"/>
                <w:szCs w:val="22"/>
                <w:lang w:eastAsia="en-US"/>
              </w:rPr>
              <w:t>-Precios constantes de 2008-</w:t>
            </w:r>
          </w:p>
          <w:p w14:paraId="4037D113" w14:textId="77777777" w:rsidR="00D31338" w:rsidRPr="00634E36" w:rsidRDefault="00D31338" w:rsidP="00D31338">
            <w:pPr>
              <w:autoSpaceDE w:val="0"/>
              <w:autoSpaceDN w:val="0"/>
              <w:adjustRightInd w:val="0"/>
              <w:jc w:val="center"/>
              <w:rPr>
                <w:rFonts w:eastAsia="Calibri"/>
                <w:b/>
                <w:bCs/>
                <w:sz w:val="22"/>
                <w:szCs w:val="22"/>
                <w:lang w:eastAsia="en-US"/>
              </w:rPr>
            </w:pPr>
          </w:p>
        </w:tc>
      </w:tr>
      <w:tr w:rsidR="00D31338" w:rsidRPr="00D31338" w14:paraId="3E1BB02F" w14:textId="77777777" w:rsidTr="00BD244A">
        <w:trPr>
          <w:trHeight w:val="93"/>
          <w:jc w:val="center"/>
        </w:trPr>
        <w:tc>
          <w:tcPr>
            <w:tcW w:w="4786" w:type="dxa"/>
            <w:tcBorders>
              <w:top w:val="single" w:sz="4" w:space="0" w:color="auto"/>
              <w:left w:val="single" w:sz="4" w:space="0" w:color="auto"/>
              <w:bottom w:val="single" w:sz="4" w:space="0" w:color="auto"/>
              <w:right w:val="single" w:sz="4" w:space="0" w:color="auto"/>
            </w:tcBorders>
            <w:vAlign w:val="center"/>
          </w:tcPr>
          <w:p w14:paraId="525265C0" w14:textId="77777777" w:rsidR="00D31338" w:rsidRPr="00634E36" w:rsidRDefault="00D31338" w:rsidP="00D31338">
            <w:pPr>
              <w:autoSpaceDE w:val="0"/>
              <w:autoSpaceDN w:val="0"/>
              <w:adjustRightInd w:val="0"/>
              <w:jc w:val="center"/>
              <w:rPr>
                <w:rFonts w:eastAsia="Calibri"/>
                <w:sz w:val="20"/>
                <w:szCs w:val="20"/>
                <w:lang w:eastAsia="en-US"/>
              </w:rPr>
            </w:pPr>
            <w:r w:rsidRPr="00634E36">
              <w:rPr>
                <w:rFonts w:eastAsia="Calibri"/>
                <w:b/>
                <w:bCs/>
                <w:sz w:val="20"/>
                <w:szCs w:val="20"/>
                <w:lang w:eastAsia="en-US"/>
              </w:rPr>
              <w:t>Concepto</w:t>
            </w:r>
          </w:p>
        </w:tc>
        <w:tc>
          <w:tcPr>
            <w:tcW w:w="1843" w:type="dxa"/>
            <w:tcBorders>
              <w:top w:val="single" w:sz="4" w:space="0" w:color="auto"/>
              <w:left w:val="single" w:sz="4" w:space="0" w:color="auto"/>
              <w:bottom w:val="single" w:sz="4" w:space="0" w:color="auto"/>
              <w:right w:val="single" w:sz="4" w:space="0" w:color="auto"/>
            </w:tcBorders>
          </w:tcPr>
          <w:p w14:paraId="60EE6CA3" w14:textId="77777777" w:rsidR="00D31338" w:rsidRDefault="00D31338" w:rsidP="00D31338">
            <w:pPr>
              <w:autoSpaceDE w:val="0"/>
              <w:autoSpaceDN w:val="0"/>
              <w:adjustRightInd w:val="0"/>
              <w:jc w:val="center"/>
              <w:rPr>
                <w:rFonts w:eastAsia="Calibri"/>
                <w:b/>
                <w:bCs/>
                <w:sz w:val="20"/>
                <w:szCs w:val="20"/>
                <w:lang w:eastAsia="en-US"/>
              </w:rPr>
            </w:pPr>
            <w:r w:rsidRPr="00634E36">
              <w:rPr>
                <w:rFonts w:eastAsia="Calibri"/>
                <w:b/>
                <w:bCs/>
                <w:sz w:val="20"/>
                <w:szCs w:val="20"/>
                <w:lang w:eastAsia="en-US"/>
              </w:rPr>
              <w:t>2012</w:t>
            </w:r>
          </w:p>
          <w:p w14:paraId="3E164F64" w14:textId="35CA9915" w:rsidR="00634E36" w:rsidRPr="00634E36" w:rsidRDefault="00634E36" w:rsidP="00D31338">
            <w:pPr>
              <w:autoSpaceDE w:val="0"/>
              <w:autoSpaceDN w:val="0"/>
              <w:adjustRightInd w:val="0"/>
              <w:jc w:val="center"/>
              <w:rPr>
                <w:rFonts w:eastAsia="Calibri"/>
                <w:sz w:val="20"/>
                <w:szCs w:val="20"/>
                <w:lang w:eastAsia="en-US"/>
              </w:rPr>
            </w:pPr>
            <w:r>
              <w:rPr>
                <w:rFonts w:eastAsia="Calibri"/>
                <w:b/>
                <w:bCs/>
                <w:sz w:val="20"/>
                <w:szCs w:val="20"/>
                <w:lang w:eastAsia="en-US"/>
              </w:rPr>
              <w:t>(%)</w:t>
            </w:r>
          </w:p>
        </w:tc>
        <w:tc>
          <w:tcPr>
            <w:tcW w:w="1843" w:type="dxa"/>
            <w:tcBorders>
              <w:top w:val="single" w:sz="4" w:space="0" w:color="auto"/>
              <w:left w:val="single" w:sz="4" w:space="0" w:color="auto"/>
              <w:bottom w:val="single" w:sz="4" w:space="0" w:color="auto"/>
              <w:right w:val="single" w:sz="4" w:space="0" w:color="auto"/>
            </w:tcBorders>
          </w:tcPr>
          <w:p w14:paraId="0FB2D67D" w14:textId="77777777" w:rsidR="00634E36" w:rsidRDefault="00D31338" w:rsidP="00D31338">
            <w:pPr>
              <w:autoSpaceDE w:val="0"/>
              <w:autoSpaceDN w:val="0"/>
              <w:adjustRightInd w:val="0"/>
              <w:jc w:val="center"/>
              <w:rPr>
                <w:rFonts w:eastAsia="Calibri"/>
                <w:b/>
                <w:bCs/>
                <w:sz w:val="20"/>
                <w:szCs w:val="20"/>
                <w:lang w:eastAsia="en-US"/>
              </w:rPr>
            </w:pPr>
            <w:r w:rsidRPr="00634E36">
              <w:rPr>
                <w:rFonts w:eastAsia="Calibri"/>
                <w:b/>
                <w:bCs/>
                <w:sz w:val="20"/>
                <w:szCs w:val="20"/>
                <w:lang w:eastAsia="en-US"/>
              </w:rPr>
              <w:t>201</w:t>
            </w:r>
            <w:r w:rsidR="00634E36">
              <w:rPr>
                <w:rFonts w:eastAsia="Calibri"/>
                <w:b/>
                <w:bCs/>
                <w:sz w:val="20"/>
                <w:szCs w:val="20"/>
                <w:lang w:eastAsia="en-US"/>
              </w:rPr>
              <w:t>3</w:t>
            </w:r>
          </w:p>
          <w:p w14:paraId="78F08498" w14:textId="46E664B9" w:rsidR="00D31338" w:rsidRPr="00634E36" w:rsidRDefault="00634E36" w:rsidP="00D31338">
            <w:pPr>
              <w:autoSpaceDE w:val="0"/>
              <w:autoSpaceDN w:val="0"/>
              <w:adjustRightInd w:val="0"/>
              <w:jc w:val="center"/>
              <w:rPr>
                <w:rFonts w:eastAsia="Calibri"/>
                <w:sz w:val="20"/>
                <w:szCs w:val="20"/>
                <w:lang w:eastAsia="en-US"/>
              </w:rPr>
            </w:pPr>
            <w:r>
              <w:rPr>
                <w:rFonts w:eastAsia="Calibri"/>
                <w:b/>
                <w:bCs/>
                <w:sz w:val="20"/>
                <w:szCs w:val="20"/>
                <w:lang w:eastAsia="en-US"/>
              </w:rPr>
              <w:t>(%)</w:t>
            </w:r>
          </w:p>
        </w:tc>
      </w:tr>
      <w:tr w:rsidR="00D31338" w:rsidRPr="00D31338" w14:paraId="61EEE4B9" w14:textId="77777777" w:rsidTr="00BD244A">
        <w:trPr>
          <w:trHeight w:val="88"/>
          <w:jc w:val="center"/>
        </w:trPr>
        <w:tc>
          <w:tcPr>
            <w:tcW w:w="4786" w:type="dxa"/>
            <w:tcBorders>
              <w:top w:val="single" w:sz="4" w:space="0" w:color="auto"/>
              <w:left w:val="single" w:sz="4" w:space="0" w:color="auto"/>
              <w:bottom w:val="nil"/>
              <w:right w:val="single" w:sz="4" w:space="0" w:color="auto"/>
            </w:tcBorders>
          </w:tcPr>
          <w:p w14:paraId="4742C361" w14:textId="5ADB459C" w:rsidR="00D31338" w:rsidRPr="00634E36" w:rsidRDefault="00D31338" w:rsidP="00D31338">
            <w:pPr>
              <w:autoSpaceDE w:val="0"/>
              <w:autoSpaceDN w:val="0"/>
              <w:adjustRightInd w:val="0"/>
              <w:spacing w:before="120"/>
              <w:rPr>
                <w:rFonts w:eastAsia="Calibri"/>
                <w:sz w:val="20"/>
                <w:szCs w:val="20"/>
                <w:lang w:eastAsia="en-US"/>
              </w:rPr>
            </w:pPr>
            <w:r w:rsidRPr="00634E36">
              <w:rPr>
                <w:rFonts w:eastAsia="Calibri"/>
                <w:b/>
                <w:bCs/>
                <w:sz w:val="20"/>
                <w:szCs w:val="20"/>
                <w:lang w:eastAsia="en-US"/>
              </w:rPr>
              <w:t>PIB Sector salud</w:t>
            </w:r>
          </w:p>
        </w:tc>
        <w:tc>
          <w:tcPr>
            <w:tcW w:w="1843" w:type="dxa"/>
            <w:tcBorders>
              <w:top w:val="single" w:sz="4" w:space="0" w:color="auto"/>
              <w:left w:val="single" w:sz="4" w:space="0" w:color="auto"/>
              <w:bottom w:val="nil"/>
              <w:right w:val="single" w:sz="4" w:space="0" w:color="auto"/>
            </w:tcBorders>
          </w:tcPr>
          <w:p w14:paraId="674E44F1" w14:textId="290A6776" w:rsidR="00D31338" w:rsidRPr="00634E36" w:rsidRDefault="00D31338" w:rsidP="00634E36">
            <w:pPr>
              <w:autoSpaceDE w:val="0"/>
              <w:autoSpaceDN w:val="0"/>
              <w:adjustRightInd w:val="0"/>
              <w:spacing w:before="120"/>
              <w:ind w:right="680"/>
              <w:jc w:val="right"/>
              <w:rPr>
                <w:rFonts w:eastAsia="Calibri"/>
                <w:sz w:val="20"/>
                <w:szCs w:val="20"/>
                <w:lang w:eastAsia="en-US"/>
              </w:rPr>
            </w:pPr>
            <w:r w:rsidRPr="00634E36">
              <w:rPr>
                <w:rFonts w:eastAsia="Calibri"/>
                <w:b/>
                <w:bCs/>
                <w:sz w:val="20"/>
                <w:szCs w:val="20"/>
                <w:lang w:eastAsia="en-US"/>
              </w:rPr>
              <w:t>2.7</w:t>
            </w:r>
          </w:p>
        </w:tc>
        <w:tc>
          <w:tcPr>
            <w:tcW w:w="1843" w:type="dxa"/>
            <w:tcBorders>
              <w:top w:val="single" w:sz="4" w:space="0" w:color="auto"/>
              <w:left w:val="single" w:sz="4" w:space="0" w:color="auto"/>
              <w:bottom w:val="nil"/>
              <w:right w:val="single" w:sz="4" w:space="0" w:color="auto"/>
            </w:tcBorders>
          </w:tcPr>
          <w:p w14:paraId="40B7B02F" w14:textId="5D51E9E5" w:rsidR="00D31338" w:rsidRPr="00634E36" w:rsidRDefault="00D31338" w:rsidP="00634E36">
            <w:pPr>
              <w:autoSpaceDE w:val="0"/>
              <w:autoSpaceDN w:val="0"/>
              <w:adjustRightInd w:val="0"/>
              <w:spacing w:before="120"/>
              <w:ind w:right="680"/>
              <w:jc w:val="right"/>
              <w:rPr>
                <w:rFonts w:eastAsia="Calibri"/>
                <w:sz w:val="20"/>
                <w:szCs w:val="20"/>
                <w:lang w:eastAsia="en-US"/>
              </w:rPr>
            </w:pPr>
            <w:r w:rsidRPr="00634E36">
              <w:rPr>
                <w:rFonts w:eastAsia="Calibri"/>
                <w:b/>
                <w:bCs/>
                <w:sz w:val="20"/>
                <w:szCs w:val="20"/>
                <w:lang w:eastAsia="en-US"/>
              </w:rPr>
              <w:t>0.9</w:t>
            </w:r>
          </w:p>
        </w:tc>
      </w:tr>
      <w:tr w:rsidR="00D31338" w:rsidRPr="00D31338" w14:paraId="24CBCA99" w14:textId="77777777" w:rsidTr="00BD244A">
        <w:trPr>
          <w:trHeight w:val="88"/>
          <w:jc w:val="center"/>
        </w:trPr>
        <w:tc>
          <w:tcPr>
            <w:tcW w:w="4786" w:type="dxa"/>
            <w:tcBorders>
              <w:top w:val="nil"/>
              <w:left w:val="single" w:sz="4" w:space="0" w:color="auto"/>
              <w:bottom w:val="nil"/>
              <w:right w:val="single" w:sz="4" w:space="0" w:color="auto"/>
            </w:tcBorders>
          </w:tcPr>
          <w:p w14:paraId="24C96B65" w14:textId="77777777" w:rsidR="00D31338" w:rsidRPr="00634E36" w:rsidRDefault="00D31338" w:rsidP="00D31338">
            <w:pPr>
              <w:autoSpaceDE w:val="0"/>
              <w:autoSpaceDN w:val="0"/>
              <w:adjustRightInd w:val="0"/>
              <w:spacing w:before="120"/>
              <w:rPr>
                <w:rFonts w:eastAsia="Calibri"/>
                <w:sz w:val="20"/>
                <w:szCs w:val="20"/>
                <w:lang w:eastAsia="en-US"/>
              </w:rPr>
            </w:pPr>
            <w:r w:rsidRPr="00634E36">
              <w:rPr>
                <w:rFonts w:eastAsia="Calibri"/>
                <w:b/>
                <w:bCs/>
                <w:sz w:val="20"/>
                <w:szCs w:val="20"/>
                <w:lang w:eastAsia="en-US"/>
              </w:rPr>
              <w:t>PIB Ampliado Sector Salud (Incluye TNRS)</w:t>
            </w:r>
          </w:p>
        </w:tc>
        <w:tc>
          <w:tcPr>
            <w:tcW w:w="1843" w:type="dxa"/>
            <w:tcBorders>
              <w:top w:val="nil"/>
              <w:left w:val="single" w:sz="4" w:space="0" w:color="auto"/>
              <w:bottom w:val="nil"/>
              <w:right w:val="single" w:sz="4" w:space="0" w:color="auto"/>
            </w:tcBorders>
          </w:tcPr>
          <w:p w14:paraId="5E29C187" w14:textId="0F2FE207" w:rsidR="00D31338" w:rsidRPr="00634E36" w:rsidRDefault="00D31338" w:rsidP="00634E36">
            <w:pPr>
              <w:autoSpaceDE w:val="0"/>
              <w:autoSpaceDN w:val="0"/>
              <w:adjustRightInd w:val="0"/>
              <w:ind w:right="680"/>
              <w:jc w:val="right"/>
              <w:rPr>
                <w:rFonts w:eastAsia="Calibri"/>
                <w:sz w:val="20"/>
                <w:szCs w:val="20"/>
                <w:lang w:eastAsia="en-US"/>
              </w:rPr>
            </w:pPr>
            <w:r w:rsidRPr="00634E36">
              <w:rPr>
                <w:rFonts w:eastAsia="Calibri"/>
                <w:b/>
                <w:bCs/>
                <w:sz w:val="20"/>
                <w:szCs w:val="20"/>
                <w:lang w:eastAsia="en-US"/>
              </w:rPr>
              <w:t>3.0</w:t>
            </w:r>
          </w:p>
        </w:tc>
        <w:tc>
          <w:tcPr>
            <w:tcW w:w="1843" w:type="dxa"/>
            <w:tcBorders>
              <w:top w:val="nil"/>
              <w:left w:val="single" w:sz="4" w:space="0" w:color="auto"/>
              <w:bottom w:val="nil"/>
              <w:right w:val="single" w:sz="4" w:space="0" w:color="auto"/>
            </w:tcBorders>
          </w:tcPr>
          <w:p w14:paraId="02F24EF5" w14:textId="2A86EB9B" w:rsidR="00D31338" w:rsidRPr="00634E36" w:rsidRDefault="00D31338" w:rsidP="00634E36">
            <w:pPr>
              <w:autoSpaceDE w:val="0"/>
              <w:autoSpaceDN w:val="0"/>
              <w:adjustRightInd w:val="0"/>
              <w:ind w:right="680"/>
              <w:jc w:val="right"/>
              <w:rPr>
                <w:rFonts w:eastAsia="Calibri"/>
                <w:sz w:val="20"/>
                <w:szCs w:val="20"/>
                <w:lang w:eastAsia="en-US"/>
              </w:rPr>
            </w:pPr>
            <w:r w:rsidRPr="00634E36">
              <w:rPr>
                <w:rFonts w:eastAsia="Calibri"/>
                <w:b/>
                <w:bCs/>
                <w:sz w:val="20"/>
                <w:szCs w:val="20"/>
                <w:lang w:eastAsia="en-US"/>
              </w:rPr>
              <w:t>2.0</w:t>
            </w:r>
          </w:p>
        </w:tc>
      </w:tr>
      <w:tr w:rsidR="00D31338" w:rsidRPr="00D31338" w14:paraId="37407F5D" w14:textId="77777777" w:rsidTr="00BD244A">
        <w:trPr>
          <w:trHeight w:val="88"/>
          <w:jc w:val="center"/>
        </w:trPr>
        <w:tc>
          <w:tcPr>
            <w:tcW w:w="4786" w:type="dxa"/>
            <w:tcBorders>
              <w:top w:val="nil"/>
              <w:left w:val="single" w:sz="4" w:space="0" w:color="auto"/>
              <w:bottom w:val="nil"/>
              <w:right w:val="single" w:sz="4" w:space="0" w:color="auto"/>
            </w:tcBorders>
          </w:tcPr>
          <w:p w14:paraId="39280EE6" w14:textId="77777777" w:rsidR="00D31338" w:rsidRPr="00634E36" w:rsidRDefault="00D31338" w:rsidP="00D31338">
            <w:pPr>
              <w:autoSpaceDE w:val="0"/>
              <w:autoSpaceDN w:val="0"/>
              <w:adjustRightInd w:val="0"/>
              <w:spacing w:before="120"/>
              <w:rPr>
                <w:rFonts w:eastAsia="Calibri"/>
                <w:sz w:val="20"/>
                <w:szCs w:val="20"/>
                <w:lang w:eastAsia="en-US"/>
              </w:rPr>
            </w:pPr>
            <w:r w:rsidRPr="00634E36">
              <w:rPr>
                <w:rFonts w:eastAsia="Calibri"/>
                <w:b/>
                <w:bCs/>
                <w:sz w:val="20"/>
                <w:szCs w:val="20"/>
                <w:lang w:eastAsia="en-US"/>
              </w:rPr>
              <w:t>Oferta total = utilización total</w:t>
            </w:r>
          </w:p>
        </w:tc>
        <w:tc>
          <w:tcPr>
            <w:tcW w:w="1843" w:type="dxa"/>
            <w:tcBorders>
              <w:top w:val="nil"/>
              <w:left w:val="single" w:sz="4" w:space="0" w:color="auto"/>
              <w:bottom w:val="nil"/>
              <w:right w:val="single" w:sz="4" w:space="0" w:color="auto"/>
            </w:tcBorders>
          </w:tcPr>
          <w:p w14:paraId="50D06AB1" w14:textId="3AFED6F3" w:rsidR="00D31338" w:rsidRPr="00634E36" w:rsidRDefault="00D31338" w:rsidP="00634E36">
            <w:pPr>
              <w:autoSpaceDE w:val="0"/>
              <w:autoSpaceDN w:val="0"/>
              <w:adjustRightInd w:val="0"/>
              <w:ind w:right="680"/>
              <w:jc w:val="right"/>
              <w:rPr>
                <w:rFonts w:eastAsia="Calibri"/>
                <w:sz w:val="20"/>
                <w:szCs w:val="20"/>
                <w:lang w:eastAsia="en-US"/>
              </w:rPr>
            </w:pPr>
            <w:r w:rsidRPr="00634E36">
              <w:rPr>
                <w:rFonts w:eastAsia="Calibri"/>
                <w:b/>
                <w:bCs/>
                <w:sz w:val="20"/>
                <w:szCs w:val="20"/>
                <w:lang w:eastAsia="en-US"/>
              </w:rPr>
              <w:t>3.7</w:t>
            </w:r>
          </w:p>
        </w:tc>
        <w:tc>
          <w:tcPr>
            <w:tcW w:w="1843" w:type="dxa"/>
            <w:tcBorders>
              <w:top w:val="nil"/>
              <w:left w:val="single" w:sz="4" w:space="0" w:color="auto"/>
              <w:bottom w:val="nil"/>
              <w:right w:val="single" w:sz="4" w:space="0" w:color="auto"/>
            </w:tcBorders>
          </w:tcPr>
          <w:p w14:paraId="6699D9AC" w14:textId="150964FD" w:rsidR="00D31338" w:rsidRPr="00634E36" w:rsidRDefault="00D31338" w:rsidP="00634E36">
            <w:pPr>
              <w:autoSpaceDE w:val="0"/>
              <w:autoSpaceDN w:val="0"/>
              <w:adjustRightInd w:val="0"/>
              <w:ind w:right="680"/>
              <w:jc w:val="right"/>
              <w:rPr>
                <w:rFonts w:eastAsia="Calibri"/>
                <w:sz w:val="20"/>
                <w:szCs w:val="20"/>
                <w:lang w:eastAsia="en-US"/>
              </w:rPr>
            </w:pPr>
            <w:r w:rsidRPr="00634E36">
              <w:rPr>
                <w:rFonts w:eastAsia="Calibri"/>
                <w:b/>
                <w:bCs/>
                <w:sz w:val="20"/>
                <w:szCs w:val="20"/>
                <w:lang w:eastAsia="en-US"/>
              </w:rPr>
              <w:t>2.4</w:t>
            </w:r>
          </w:p>
        </w:tc>
      </w:tr>
      <w:tr w:rsidR="00D31338" w:rsidRPr="00D31338" w14:paraId="3F3937E8" w14:textId="77777777" w:rsidTr="00BD244A">
        <w:trPr>
          <w:trHeight w:val="88"/>
          <w:jc w:val="center"/>
        </w:trPr>
        <w:tc>
          <w:tcPr>
            <w:tcW w:w="4786" w:type="dxa"/>
            <w:tcBorders>
              <w:top w:val="nil"/>
              <w:left w:val="single" w:sz="4" w:space="0" w:color="auto"/>
              <w:bottom w:val="nil"/>
              <w:right w:val="single" w:sz="4" w:space="0" w:color="auto"/>
            </w:tcBorders>
          </w:tcPr>
          <w:p w14:paraId="4062F17F" w14:textId="77777777" w:rsidR="00D31338" w:rsidRPr="00634E36" w:rsidRDefault="00D31338" w:rsidP="00D31338">
            <w:pPr>
              <w:autoSpaceDE w:val="0"/>
              <w:autoSpaceDN w:val="0"/>
              <w:adjustRightInd w:val="0"/>
              <w:ind w:left="170"/>
              <w:rPr>
                <w:rFonts w:eastAsia="Calibri"/>
                <w:sz w:val="20"/>
                <w:szCs w:val="20"/>
                <w:lang w:eastAsia="en-US"/>
              </w:rPr>
            </w:pPr>
            <w:r w:rsidRPr="00634E36">
              <w:rPr>
                <w:rFonts w:eastAsia="Calibri"/>
                <w:b/>
                <w:bCs/>
                <w:sz w:val="20"/>
                <w:szCs w:val="20"/>
                <w:lang w:eastAsia="en-US"/>
              </w:rPr>
              <w:t>Oferta total</w:t>
            </w:r>
          </w:p>
        </w:tc>
        <w:tc>
          <w:tcPr>
            <w:tcW w:w="1843" w:type="dxa"/>
            <w:tcBorders>
              <w:top w:val="nil"/>
              <w:left w:val="single" w:sz="4" w:space="0" w:color="auto"/>
              <w:bottom w:val="nil"/>
              <w:right w:val="single" w:sz="4" w:space="0" w:color="auto"/>
            </w:tcBorders>
          </w:tcPr>
          <w:p w14:paraId="2ED75F64" w14:textId="77777777" w:rsidR="00D31338" w:rsidRPr="00634E36" w:rsidRDefault="00D31338" w:rsidP="00D31338">
            <w:pPr>
              <w:autoSpaceDE w:val="0"/>
              <w:autoSpaceDN w:val="0"/>
              <w:adjustRightInd w:val="0"/>
              <w:ind w:right="284"/>
              <w:jc w:val="right"/>
              <w:rPr>
                <w:rFonts w:eastAsia="Calibri"/>
                <w:sz w:val="20"/>
                <w:szCs w:val="20"/>
                <w:lang w:eastAsia="en-US"/>
              </w:rPr>
            </w:pPr>
          </w:p>
        </w:tc>
        <w:tc>
          <w:tcPr>
            <w:tcW w:w="1843" w:type="dxa"/>
            <w:tcBorders>
              <w:top w:val="nil"/>
              <w:left w:val="single" w:sz="4" w:space="0" w:color="auto"/>
              <w:bottom w:val="nil"/>
              <w:right w:val="single" w:sz="4" w:space="0" w:color="auto"/>
            </w:tcBorders>
          </w:tcPr>
          <w:p w14:paraId="17735965" w14:textId="77777777" w:rsidR="00D31338" w:rsidRPr="00634E36" w:rsidRDefault="00D31338" w:rsidP="00D31338">
            <w:pPr>
              <w:autoSpaceDE w:val="0"/>
              <w:autoSpaceDN w:val="0"/>
              <w:adjustRightInd w:val="0"/>
              <w:ind w:right="284"/>
              <w:jc w:val="right"/>
              <w:rPr>
                <w:rFonts w:eastAsia="Calibri"/>
                <w:sz w:val="20"/>
                <w:szCs w:val="20"/>
                <w:lang w:eastAsia="en-US"/>
              </w:rPr>
            </w:pPr>
          </w:p>
        </w:tc>
      </w:tr>
      <w:tr w:rsidR="00D31338" w:rsidRPr="00D31338" w14:paraId="280DDEAF" w14:textId="77777777" w:rsidTr="00BD244A">
        <w:trPr>
          <w:trHeight w:val="88"/>
          <w:jc w:val="center"/>
        </w:trPr>
        <w:tc>
          <w:tcPr>
            <w:tcW w:w="4786" w:type="dxa"/>
            <w:tcBorders>
              <w:top w:val="nil"/>
              <w:left w:val="single" w:sz="4" w:space="0" w:color="auto"/>
              <w:bottom w:val="nil"/>
              <w:right w:val="single" w:sz="4" w:space="0" w:color="auto"/>
            </w:tcBorders>
          </w:tcPr>
          <w:p w14:paraId="11228C50"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Producción a precios de mercado</w:t>
            </w:r>
          </w:p>
        </w:tc>
        <w:tc>
          <w:tcPr>
            <w:tcW w:w="1843" w:type="dxa"/>
            <w:tcBorders>
              <w:top w:val="nil"/>
              <w:left w:val="single" w:sz="4" w:space="0" w:color="auto"/>
              <w:bottom w:val="nil"/>
              <w:right w:val="single" w:sz="4" w:space="0" w:color="auto"/>
            </w:tcBorders>
          </w:tcPr>
          <w:p w14:paraId="756D820C" w14:textId="68577648"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3.3</w:t>
            </w:r>
          </w:p>
        </w:tc>
        <w:tc>
          <w:tcPr>
            <w:tcW w:w="1843" w:type="dxa"/>
            <w:tcBorders>
              <w:top w:val="nil"/>
              <w:left w:val="single" w:sz="4" w:space="0" w:color="auto"/>
              <w:bottom w:val="nil"/>
              <w:right w:val="single" w:sz="4" w:space="0" w:color="auto"/>
            </w:tcBorders>
          </w:tcPr>
          <w:p w14:paraId="0522EDEA" w14:textId="11A0D661"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2.4</w:t>
            </w:r>
          </w:p>
        </w:tc>
      </w:tr>
      <w:tr w:rsidR="00D31338" w:rsidRPr="00D31338" w14:paraId="5F507AD6" w14:textId="77777777" w:rsidTr="00BD244A">
        <w:trPr>
          <w:trHeight w:val="88"/>
          <w:jc w:val="center"/>
        </w:trPr>
        <w:tc>
          <w:tcPr>
            <w:tcW w:w="4786" w:type="dxa"/>
            <w:tcBorders>
              <w:top w:val="nil"/>
              <w:left w:val="single" w:sz="4" w:space="0" w:color="auto"/>
              <w:bottom w:val="nil"/>
              <w:right w:val="single" w:sz="4" w:space="0" w:color="auto"/>
            </w:tcBorders>
          </w:tcPr>
          <w:p w14:paraId="3724ADA6"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Importaciones</w:t>
            </w:r>
          </w:p>
        </w:tc>
        <w:tc>
          <w:tcPr>
            <w:tcW w:w="1843" w:type="dxa"/>
            <w:tcBorders>
              <w:top w:val="nil"/>
              <w:left w:val="single" w:sz="4" w:space="0" w:color="auto"/>
              <w:bottom w:val="nil"/>
              <w:right w:val="single" w:sz="4" w:space="0" w:color="auto"/>
            </w:tcBorders>
          </w:tcPr>
          <w:p w14:paraId="15269D7D" w14:textId="7F79D1A6"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7.8</w:t>
            </w:r>
          </w:p>
        </w:tc>
        <w:tc>
          <w:tcPr>
            <w:tcW w:w="1843" w:type="dxa"/>
            <w:tcBorders>
              <w:top w:val="nil"/>
              <w:left w:val="single" w:sz="4" w:space="0" w:color="auto"/>
              <w:bottom w:val="nil"/>
              <w:right w:val="single" w:sz="4" w:space="0" w:color="auto"/>
            </w:tcBorders>
          </w:tcPr>
          <w:p w14:paraId="05747245" w14:textId="3D6099FB"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5.0</w:t>
            </w:r>
          </w:p>
        </w:tc>
      </w:tr>
      <w:tr w:rsidR="00D31338" w:rsidRPr="00D31338" w14:paraId="5B8E0C2C" w14:textId="77777777" w:rsidTr="00BD244A">
        <w:trPr>
          <w:trHeight w:val="88"/>
          <w:jc w:val="center"/>
        </w:trPr>
        <w:tc>
          <w:tcPr>
            <w:tcW w:w="4786" w:type="dxa"/>
            <w:tcBorders>
              <w:top w:val="nil"/>
              <w:left w:val="single" w:sz="4" w:space="0" w:color="auto"/>
              <w:bottom w:val="nil"/>
              <w:right w:val="single" w:sz="4" w:space="0" w:color="auto"/>
            </w:tcBorders>
          </w:tcPr>
          <w:p w14:paraId="2D853F4E" w14:textId="77777777" w:rsidR="00D31338" w:rsidRPr="00634E36" w:rsidRDefault="00D31338" w:rsidP="00D31338">
            <w:pPr>
              <w:autoSpaceDE w:val="0"/>
              <w:autoSpaceDN w:val="0"/>
              <w:adjustRightInd w:val="0"/>
              <w:spacing w:after="120"/>
              <w:ind w:left="340"/>
              <w:rPr>
                <w:rFonts w:eastAsia="Calibri"/>
                <w:sz w:val="20"/>
                <w:szCs w:val="20"/>
                <w:lang w:eastAsia="en-US"/>
              </w:rPr>
            </w:pPr>
            <w:r w:rsidRPr="00634E36">
              <w:rPr>
                <w:rFonts w:eastAsia="Calibri"/>
                <w:sz w:val="20"/>
                <w:szCs w:val="20"/>
                <w:lang w:eastAsia="en-US"/>
              </w:rPr>
              <w:t>Margen de comercio y distribución</w:t>
            </w:r>
          </w:p>
        </w:tc>
        <w:tc>
          <w:tcPr>
            <w:tcW w:w="1843" w:type="dxa"/>
            <w:tcBorders>
              <w:top w:val="nil"/>
              <w:left w:val="single" w:sz="4" w:space="0" w:color="auto"/>
              <w:bottom w:val="nil"/>
              <w:right w:val="single" w:sz="4" w:space="0" w:color="auto"/>
            </w:tcBorders>
          </w:tcPr>
          <w:p w14:paraId="6BDA6BD3" w14:textId="0A265C39"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4.5</w:t>
            </w:r>
          </w:p>
        </w:tc>
        <w:tc>
          <w:tcPr>
            <w:tcW w:w="1843" w:type="dxa"/>
            <w:tcBorders>
              <w:top w:val="nil"/>
              <w:left w:val="single" w:sz="4" w:space="0" w:color="auto"/>
              <w:bottom w:val="nil"/>
              <w:right w:val="single" w:sz="4" w:space="0" w:color="auto"/>
            </w:tcBorders>
          </w:tcPr>
          <w:p w14:paraId="35676B59" w14:textId="23BA49C4"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0.6</w:t>
            </w:r>
          </w:p>
        </w:tc>
      </w:tr>
      <w:tr w:rsidR="00D31338" w:rsidRPr="00D31338" w14:paraId="19CA9EBC" w14:textId="77777777" w:rsidTr="00BD244A">
        <w:trPr>
          <w:trHeight w:val="88"/>
          <w:jc w:val="center"/>
        </w:trPr>
        <w:tc>
          <w:tcPr>
            <w:tcW w:w="4786" w:type="dxa"/>
            <w:tcBorders>
              <w:top w:val="nil"/>
              <w:left w:val="single" w:sz="4" w:space="0" w:color="auto"/>
              <w:bottom w:val="nil"/>
              <w:right w:val="single" w:sz="4" w:space="0" w:color="auto"/>
            </w:tcBorders>
          </w:tcPr>
          <w:p w14:paraId="7375E1D4" w14:textId="77777777" w:rsidR="00D31338" w:rsidRPr="00634E36" w:rsidRDefault="00D31338" w:rsidP="00D31338">
            <w:pPr>
              <w:autoSpaceDE w:val="0"/>
              <w:autoSpaceDN w:val="0"/>
              <w:adjustRightInd w:val="0"/>
              <w:ind w:left="170"/>
              <w:rPr>
                <w:rFonts w:eastAsia="Calibri"/>
                <w:sz w:val="20"/>
                <w:szCs w:val="20"/>
                <w:lang w:eastAsia="en-US"/>
              </w:rPr>
            </w:pPr>
            <w:r w:rsidRPr="00634E36">
              <w:rPr>
                <w:rFonts w:eastAsia="Calibri"/>
                <w:b/>
                <w:bCs/>
                <w:sz w:val="20"/>
                <w:szCs w:val="20"/>
                <w:lang w:eastAsia="en-US"/>
              </w:rPr>
              <w:t>Utilización total</w:t>
            </w:r>
          </w:p>
        </w:tc>
        <w:tc>
          <w:tcPr>
            <w:tcW w:w="1843" w:type="dxa"/>
            <w:tcBorders>
              <w:top w:val="nil"/>
              <w:left w:val="single" w:sz="4" w:space="0" w:color="auto"/>
              <w:bottom w:val="nil"/>
              <w:right w:val="single" w:sz="4" w:space="0" w:color="auto"/>
            </w:tcBorders>
          </w:tcPr>
          <w:p w14:paraId="0C6566CC" w14:textId="77777777" w:rsidR="00D31338" w:rsidRPr="00634E36" w:rsidRDefault="00D31338" w:rsidP="00D31338">
            <w:pPr>
              <w:autoSpaceDE w:val="0"/>
              <w:autoSpaceDN w:val="0"/>
              <w:adjustRightInd w:val="0"/>
              <w:ind w:right="284"/>
              <w:jc w:val="right"/>
              <w:rPr>
                <w:rFonts w:eastAsia="Calibri"/>
                <w:sz w:val="20"/>
                <w:szCs w:val="20"/>
                <w:lang w:eastAsia="en-US"/>
              </w:rPr>
            </w:pPr>
          </w:p>
        </w:tc>
        <w:tc>
          <w:tcPr>
            <w:tcW w:w="1843" w:type="dxa"/>
            <w:tcBorders>
              <w:top w:val="nil"/>
              <w:left w:val="single" w:sz="4" w:space="0" w:color="auto"/>
              <w:bottom w:val="nil"/>
              <w:right w:val="single" w:sz="4" w:space="0" w:color="auto"/>
            </w:tcBorders>
          </w:tcPr>
          <w:p w14:paraId="29255F6D" w14:textId="77777777" w:rsidR="00D31338" w:rsidRPr="00634E36" w:rsidRDefault="00D31338" w:rsidP="00D31338">
            <w:pPr>
              <w:autoSpaceDE w:val="0"/>
              <w:autoSpaceDN w:val="0"/>
              <w:adjustRightInd w:val="0"/>
              <w:ind w:right="284"/>
              <w:jc w:val="right"/>
              <w:rPr>
                <w:rFonts w:eastAsia="Calibri"/>
                <w:sz w:val="20"/>
                <w:szCs w:val="20"/>
                <w:lang w:eastAsia="en-US"/>
              </w:rPr>
            </w:pPr>
          </w:p>
        </w:tc>
      </w:tr>
      <w:tr w:rsidR="00D31338" w:rsidRPr="00D31338" w14:paraId="735DCA16" w14:textId="77777777" w:rsidTr="00BD244A">
        <w:trPr>
          <w:trHeight w:val="88"/>
          <w:jc w:val="center"/>
        </w:trPr>
        <w:tc>
          <w:tcPr>
            <w:tcW w:w="4786" w:type="dxa"/>
            <w:tcBorders>
              <w:top w:val="nil"/>
              <w:left w:val="single" w:sz="4" w:space="0" w:color="auto"/>
              <w:bottom w:val="nil"/>
              <w:right w:val="single" w:sz="4" w:space="0" w:color="auto"/>
            </w:tcBorders>
          </w:tcPr>
          <w:p w14:paraId="0D384660"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Demanda intermedia</w:t>
            </w:r>
          </w:p>
        </w:tc>
        <w:tc>
          <w:tcPr>
            <w:tcW w:w="1843" w:type="dxa"/>
            <w:tcBorders>
              <w:top w:val="nil"/>
              <w:left w:val="single" w:sz="4" w:space="0" w:color="auto"/>
              <w:bottom w:val="nil"/>
              <w:right w:val="single" w:sz="4" w:space="0" w:color="auto"/>
            </w:tcBorders>
          </w:tcPr>
          <w:p w14:paraId="42F08D91" w14:textId="05043607"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1.8</w:t>
            </w:r>
          </w:p>
        </w:tc>
        <w:tc>
          <w:tcPr>
            <w:tcW w:w="1843" w:type="dxa"/>
            <w:tcBorders>
              <w:top w:val="nil"/>
              <w:left w:val="single" w:sz="4" w:space="0" w:color="auto"/>
              <w:bottom w:val="nil"/>
              <w:right w:val="single" w:sz="4" w:space="0" w:color="auto"/>
            </w:tcBorders>
          </w:tcPr>
          <w:p w14:paraId="2173D276" w14:textId="47C49788"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5.1</w:t>
            </w:r>
          </w:p>
        </w:tc>
      </w:tr>
      <w:tr w:rsidR="00D31338" w:rsidRPr="00D31338" w14:paraId="2CDCB1CC" w14:textId="77777777" w:rsidTr="00BD244A">
        <w:trPr>
          <w:trHeight w:val="88"/>
          <w:jc w:val="center"/>
        </w:trPr>
        <w:tc>
          <w:tcPr>
            <w:tcW w:w="4786" w:type="dxa"/>
            <w:tcBorders>
              <w:top w:val="nil"/>
              <w:left w:val="single" w:sz="4" w:space="0" w:color="auto"/>
              <w:bottom w:val="nil"/>
              <w:right w:val="single" w:sz="4" w:space="0" w:color="auto"/>
            </w:tcBorders>
          </w:tcPr>
          <w:p w14:paraId="701EAA4C"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Consumo privado</w:t>
            </w:r>
          </w:p>
        </w:tc>
        <w:tc>
          <w:tcPr>
            <w:tcW w:w="1843" w:type="dxa"/>
            <w:tcBorders>
              <w:top w:val="nil"/>
              <w:left w:val="single" w:sz="4" w:space="0" w:color="auto"/>
              <w:bottom w:val="nil"/>
              <w:right w:val="single" w:sz="4" w:space="0" w:color="auto"/>
            </w:tcBorders>
          </w:tcPr>
          <w:p w14:paraId="63780CA2" w14:textId="0D996A9C" w:rsidR="00D31338" w:rsidRPr="00634E36" w:rsidRDefault="00D31338" w:rsidP="00634E36">
            <w:pPr>
              <w:autoSpaceDE w:val="0"/>
              <w:autoSpaceDN w:val="0"/>
              <w:adjustRightInd w:val="0"/>
              <w:ind w:right="680"/>
              <w:jc w:val="right"/>
              <w:rPr>
                <w:rFonts w:eastAsia="Calibri"/>
                <w:sz w:val="20"/>
                <w:szCs w:val="20"/>
                <w:lang w:eastAsia="en-US"/>
              </w:rPr>
            </w:pPr>
            <w:r w:rsidRPr="00634E36">
              <w:rPr>
                <w:rFonts w:eastAsia="Calibri"/>
                <w:sz w:val="20"/>
                <w:szCs w:val="20"/>
                <w:lang w:eastAsia="en-US"/>
              </w:rPr>
              <w:t>4.3</w:t>
            </w:r>
          </w:p>
        </w:tc>
        <w:tc>
          <w:tcPr>
            <w:tcW w:w="1843" w:type="dxa"/>
            <w:tcBorders>
              <w:top w:val="nil"/>
              <w:left w:val="single" w:sz="4" w:space="0" w:color="auto"/>
              <w:bottom w:val="nil"/>
              <w:right w:val="single" w:sz="4" w:space="0" w:color="auto"/>
            </w:tcBorders>
          </w:tcPr>
          <w:p w14:paraId="0F8999C4" w14:textId="0D77E144"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1.3</w:t>
            </w:r>
          </w:p>
        </w:tc>
      </w:tr>
      <w:tr w:rsidR="00D31338" w:rsidRPr="00D31338" w14:paraId="2381C892" w14:textId="77777777" w:rsidTr="00BD244A">
        <w:trPr>
          <w:trHeight w:val="88"/>
          <w:jc w:val="center"/>
        </w:trPr>
        <w:tc>
          <w:tcPr>
            <w:tcW w:w="4786" w:type="dxa"/>
            <w:tcBorders>
              <w:top w:val="nil"/>
              <w:left w:val="single" w:sz="4" w:space="0" w:color="auto"/>
              <w:bottom w:val="nil"/>
              <w:right w:val="single" w:sz="4" w:space="0" w:color="auto"/>
            </w:tcBorders>
          </w:tcPr>
          <w:p w14:paraId="299D9E6D"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Consumo de gobierno</w:t>
            </w:r>
          </w:p>
        </w:tc>
        <w:tc>
          <w:tcPr>
            <w:tcW w:w="1843" w:type="dxa"/>
            <w:tcBorders>
              <w:top w:val="nil"/>
              <w:left w:val="single" w:sz="4" w:space="0" w:color="auto"/>
              <w:bottom w:val="nil"/>
              <w:right w:val="single" w:sz="4" w:space="0" w:color="auto"/>
            </w:tcBorders>
          </w:tcPr>
          <w:p w14:paraId="1ED381BC" w14:textId="5A998D6E"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2.8</w:t>
            </w:r>
          </w:p>
        </w:tc>
        <w:tc>
          <w:tcPr>
            <w:tcW w:w="1843" w:type="dxa"/>
            <w:tcBorders>
              <w:top w:val="nil"/>
              <w:left w:val="single" w:sz="4" w:space="0" w:color="auto"/>
              <w:bottom w:val="nil"/>
              <w:right w:val="single" w:sz="4" w:space="0" w:color="auto"/>
            </w:tcBorders>
          </w:tcPr>
          <w:p w14:paraId="3324BD60" w14:textId="4B6DB3E6"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1.7</w:t>
            </w:r>
          </w:p>
        </w:tc>
      </w:tr>
      <w:tr w:rsidR="00D31338" w:rsidRPr="00D31338" w14:paraId="08C63791" w14:textId="77777777" w:rsidTr="00BD244A">
        <w:trPr>
          <w:trHeight w:val="88"/>
          <w:jc w:val="center"/>
        </w:trPr>
        <w:tc>
          <w:tcPr>
            <w:tcW w:w="4786" w:type="dxa"/>
            <w:tcBorders>
              <w:top w:val="nil"/>
              <w:left w:val="single" w:sz="4" w:space="0" w:color="auto"/>
              <w:bottom w:val="nil"/>
              <w:right w:val="single" w:sz="4" w:space="0" w:color="auto"/>
            </w:tcBorders>
          </w:tcPr>
          <w:p w14:paraId="44F84176" w14:textId="77777777" w:rsidR="00D31338" w:rsidRPr="00634E36" w:rsidRDefault="00D31338" w:rsidP="00D31338">
            <w:pPr>
              <w:autoSpaceDE w:val="0"/>
              <w:autoSpaceDN w:val="0"/>
              <w:adjustRightInd w:val="0"/>
              <w:ind w:left="340"/>
              <w:rPr>
                <w:rFonts w:eastAsia="Calibri"/>
                <w:sz w:val="20"/>
                <w:szCs w:val="20"/>
                <w:lang w:eastAsia="en-US"/>
              </w:rPr>
            </w:pPr>
            <w:r w:rsidRPr="00634E36">
              <w:rPr>
                <w:rFonts w:eastAsia="Calibri"/>
                <w:sz w:val="20"/>
                <w:szCs w:val="20"/>
                <w:lang w:eastAsia="en-US"/>
              </w:rPr>
              <w:t>Formación bruta de capital</w:t>
            </w:r>
          </w:p>
        </w:tc>
        <w:tc>
          <w:tcPr>
            <w:tcW w:w="1843" w:type="dxa"/>
            <w:tcBorders>
              <w:top w:val="nil"/>
              <w:left w:val="single" w:sz="4" w:space="0" w:color="auto"/>
              <w:bottom w:val="nil"/>
              <w:right w:val="single" w:sz="4" w:space="0" w:color="auto"/>
            </w:tcBorders>
          </w:tcPr>
          <w:p w14:paraId="02F41D18" w14:textId="040B69C6"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7.8</w:t>
            </w:r>
          </w:p>
        </w:tc>
        <w:tc>
          <w:tcPr>
            <w:tcW w:w="1843" w:type="dxa"/>
            <w:tcBorders>
              <w:top w:val="nil"/>
              <w:left w:val="single" w:sz="4" w:space="0" w:color="auto"/>
              <w:bottom w:val="nil"/>
              <w:right w:val="single" w:sz="4" w:space="0" w:color="auto"/>
            </w:tcBorders>
          </w:tcPr>
          <w:p w14:paraId="6A0CD14C" w14:textId="470210B0"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-2.4</w:t>
            </w:r>
          </w:p>
        </w:tc>
      </w:tr>
      <w:tr w:rsidR="00D31338" w:rsidRPr="00D31338" w14:paraId="5188A368" w14:textId="77777777" w:rsidTr="00BD244A">
        <w:trPr>
          <w:trHeight w:val="88"/>
          <w:jc w:val="center"/>
        </w:trPr>
        <w:tc>
          <w:tcPr>
            <w:tcW w:w="4786" w:type="dxa"/>
            <w:tcBorders>
              <w:top w:val="nil"/>
              <w:left w:val="single" w:sz="4" w:space="0" w:color="auto"/>
              <w:bottom w:val="single" w:sz="4" w:space="0" w:color="auto"/>
              <w:right w:val="single" w:sz="4" w:space="0" w:color="auto"/>
            </w:tcBorders>
          </w:tcPr>
          <w:p w14:paraId="374E6FD2" w14:textId="77777777" w:rsidR="00D31338" w:rsidRPr="00634E36" w:rsidRDefault="00D31338" w:rsidP="00D31338">
            <w:pPr>
              <w:autoSpaceDE w:val="0"/>
              <w:autoSpaceDN w:val="0"/>
              <w:adjustRightInd w:val="0"/>
              <w:spacing w:after="120"/>
              <w:ind w:left="340"/>
              <w:rPr>
                <w:rFonts w:eastAsia="Calibri"/>
                <w:sz w:val="20"/>
                <w:szCs w:val="20"/>
                <w:lang w:eastAsia="en-US"/>
              </w:rPr>
            </w:pPr>
            <w:r w:rsidRPr="00634E36">
              <w:rPr>
                <w:rFonts w:eastAsia="Calibri"/>
                <w:sz w:val="20"/>
                <w:szCs w:val="20"/>
                <w:lang w:eastAsia="en-US"/>
              </w:rPr>
              <w:t>Exportaciones</w:t>
            </w:r>
          </w:p>
        </w:tc>
        <w:tc>
          <w:tcPr>
            <w:tcW w:w="1843" w:type="dxa"/>
            <w:tcBorders>
              <w:top w:val="nil"/>
              <w:left w:val="single" w:sz="4" w:space="0" w:color="auto"/>
              <w:bottom w:val="single" w:sz="4" w:space="0" w:color="auto"/>
              <w:right w:val="single" w:sz="4" w:space="0" w:color="auto"/>
            </w:tcBorders>
          </w:tcPr>
          <w:p w14:paraId="5724A354" w14:textId="366860AF"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12.3</w:t>
            </w:r>
          </w:p>
        </w:tc>
        <w:tc>
          <w:tcPr>
            <w:tcW w:w="1843" w:type="dxa"/>
            <w:tcBorders>
              <w:top w:val="nil"/>
              <w:left w:val="single" w:sz="4" w:space="0" w:color="auto"/>
              <w:bottom w:val="single" w:sz="4" w:space="0" w:color="auto"/>
              <w:right w:val="single" w:sz="4" w:space="0" w:color="auto"/>
            </w:tcBorders>
          </w:tcPr>
          <w:p w14:paraId="339AB7C4" w14:textId="014EE8F8" w:rsidR="00D31338" w:rsidRPr="00634E36" w:rsidRDefault="00634E36" w:rsidP="00634E36">
            <w:pPr>
              <w:autoSpaceDE w:val="0"/>
              <w:autoSpaceDN w:val="0"/>
              <w:adjustRightInd w:val="0"/>
              <w:ind w:right="680"/>
              <w:jc w:val="right"/>
              <w:rPr>
                <w:rFonts w:eastAsia="Calibri"/>
                <w:sz w:val="20"/>
                <w:szCs w:val="20"/>
                <w:lang w:eastAsia="en-US"/>
              </w:rPr>
            </w:pPr>
            <w:r>
              <w:rPr>
                <w:rFonts w:eastAsia="Calibri"/>
                <w:sz w:val="20"/>
                <w:szCs w:val="20"/>
                <w:lang w:eastAsia="en-US"/>
              </w:rPr>
              <w:t>10.0</w:t>
            </w:r>
          </w:p>
        </w:tc>
      </w:tr>
      <w:tr w:rsidR="00D31338" w:rsidRPr="00D31338" w14:paraId="313B34C9" w14:textId="77777777" w:rsidTr="00BD244A">
        <w:trPr>
          <w:trHeight w:val="88"/>
          <w:jc w:val="center"/>
        </w:trPr>
        <w:tc>
          <w:tcPr>
            <w:tcW w:w="8472" w:type="dxa"/>
            <w:gridSpan w:val="3"/>
            <w:tcBorders>
              <w:top w:val="single" w:sz="4" w:space="0" w:color="auto"/>
            </w:tcBorders>
          </w:tcPr>
          <w:p w14:paraId="01F1B862" w14:textId="77777777" w:rsidR="00D31338" w:rsidRPr="00634E36" w:rsidRDefault="00D31338" w:rsidP="00D31338">
            <w:pPr>
              <w:autoSpaceDE w:val="0"/>
              <w:autoSpaceDN w:val="0"/>
              <w:adjustRightInd w:val="0"/>
              <w:spacing w:before="120"/>
              <w:rPr>
                <w:rFonts w:eastAsia="Calibri"/>
                <w:sz w:val="20"/>
                <w:szCs w:val="20"/>
                <w:lang w:eastAsia="en-US"/>
              </w:rPr>
            </w:pPr>
            <w:r w:rsidRPr="00634E36">
              <w:rPr>
                <w:rFonts w:eastAsia="Calibri"/>
                <w:sz w:val="20"/>
                <w:szCs w:val="20"/>
                <w:lang w:eastAsia="en-US"/>
              </w:rPr>
              <w:t>FUENTE: INEGI.</w:t>
            </w:r>
          </w:p>
        </w:tc>
      </w:tr>
    </w:tbl>
    <w:p w14:paraId="4764CACE" w14:textId="77777777" w:rsidR="00D31338" w:rsidRPr="00D31338" w:rsidRDefault="00D31338" w:rsidP="00D31338">
      <w:pPr>
        <w:spacing w:after="360" w:line="360" w:lineRule="auto"/>
        <w:ind w:right="-159"/>
        <w:jc w:val="both"/>
        <w:rPr>
          <w:rFonts w:eastAsia="Times New Roman"/>
          <w:bCs/>
          <w:sz w:val="26"/>
          <w:szCs w:val="26"/>
          <w:lang w:val="es-ES"/>
        </w:rPr>
      </w:pPr>
    </w:p>
    <w:p w14:paraId="00C50BC5" w14:textId="531C8BC9"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 xml:space="preserve">Por el lado de la demanda (o utilización), las exportaciones de bienes del sector salud aumentaron 10% respecto al año 2012; mientras que el consumo de los hogares y las instituciones sin fines de lucro al servicio de los hogares, tuvo una variación de 1.3% en el último año del estudio. Cabe señalar que el gasto que realiza el Gobierno General </w:t>
      </w:r>
      <w:r w:rsidRPr="00D31338">
        <w:rPr>
          <w:rFonts w:eastAsia="Times New Roman"/>
          <w:bCs/>
          <w:sz w:val="26"/>
          <w:szCs w:val="26"/>
          <w:lang w:val="es-ES"/>
        </w:rPr>
        <w:lastRenderedPageBreak/>
        <w:t>y la seguridad social registró un incremento menor en comparación con los valores observados el año anterior.</w:t>
      </w:r>
    </w:p>
    <w:p w14:paraId="22612A42" w14:textId="070DBD3E" w:rsidR="00D31338" w:rsidRPr="00D31338" w:rsidRDefault="00D31338" w:rsidP="00D31338">
      <w:pPr>
        <w:spacing w:after="360" w:line="360" w:lineRule="auto"/>
        <w:ind w:right="-159"/>
        <w:jc w:val="both"/>
        <w:rPr>
          <w:rFonts w:eastAsia="Times New Roman"/>
          <w:b/>
          <w:bCs/>
          <w:sz w:val="26"/>
          <w:szCs w:val="26"/>
          <w:lang w:val="es-ES"/>
        </w:rPr>
      </w:pPr>
      <w:r w:rsidRPr="00D31338">
        <w:rPr>
          <w:rFonts w:eastAsia="Times New Roman"/>
          <w:b/>
          <w:bCs/>
          <w:sz w:val="26"/>
          <w:szCs w:val="26"/>
          <w:lang w:val="es-ES"/>
        </w:rPr>
        <w:t xml:space="preserve">Nota </w:t>
      </w:r>
      <w:r w:rsidR="00FA12BF">
        <w:rPr>
          <w:rFonts w:eastAsia="Times New Roman"/>
          <w:b/>
          <w:bCs/>
          <w:sz w:val="26"/>
          <w:szCs w:val="26"/>
          <w:lang w:val="es-ES"/>
        </w:rPr>
        <w:t>M</w:t>
      </w:r>
      <w:r w:rsidRPr="00D31338">
        <w:rPr>
          <w:rFonts w:eastAsia="Times New Roman"/>
          <w:b/>
          <w:bCs/>
          <w:sz w:val="26"/>
          <w:szCs w:val="26"/>
          <w:lang w:val="es-ES"/>
        </w:rPr>
        <w:t>etodológica</w:t>
      </w:r>
    </w:p>
    <w:p w14:paraId="049EE778"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La CSSSM considera los lineamientos internacionales del Sistema de Cuentas Nacionales (SCN) 2008 de la Organización de las Naciones Unidas (ONU), Banco Mundial, Fondo Monetario Internacional (FMI) y la Organización para la Cooperación y el Desarrollo Económicos (OCDE), así como del Manual de Cuenta Satélite de Salud de la Organización Panamericana de la Salud (OPS).</w:t>
      </w:r>
    </w:p>
    <w:p w14:paraId="5F229C21"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Lo anterior con el objetivo de integrar y detallar el sector salud desde el punto de vista de la oferta y la demanda de los bienes y servicios, generando indicadores económicos que contribuyan al análisis de las actividades que directa o indirectamente participan en la generación de bienes y servicios destinados a la prevención, recuperación y mantenimiento de la salud de la población.</w:t>
      </w:r>
    </w:p>
    <w:p w14:paraId="4DCC82A7" w14:textId="092B7098"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En este sentido, el estudio presenta la valoración económica del trabajo no remunerado de los hogares en el cuidado de la salud (TNRS) que se contabiliza de acuerdo con las recomendaciones metodológicas del SCN 2008. Tal consideración permite la ampliación de la frontera de la producción como un reflejo de la utilidad de estos servicios para los integrantes del hogar.</w:t>
      </w:r>
    </w:p>
    <w:p w14:paraId="39BD2EF7"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El TNRS contempla el tiempo destinado, por los integrantes del hogar, a los cuidados de salud tanto preventivos, como a enfermos temporales o crónicos así como a personas con discapacidad, del propio hogar y de otros hogares; además del trabajo voluntario efectuado a través de las instituciones no lucrativas que brindan servicios de salud.</w:t>
      </w:r>
    </w:p>
    <w:p w14:paraId="29BF7B98"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lang w:val="es-ES"/>
        </w:rPr>
        <w:t xml:space="preserve">Para el cálculo de la CSSSM se utilizó información proveniente de los Censos Económicos 2009 y las encuestas del propio INEGI; así como de las Cuentas de Bienes </w:t>
      </w:r>
      <w:r w:rsidRPr="00D31338">
        <w:rPr>
          <w:rFonts w:eastAsia="Times New Roman"/>
          <w:bCs/>
          <w:sz w:val="26"/>
          <w:szCs w:val="26"/>
          <w:lang w:val="es-ES"/>
        </w:rPr>
        <w:lastRenderedPageBreak/>
        <w:t>y Servicios, las Cuentas por Sectores Institucionales, la Matriz Insumo-Producto y los Cuadros de Oferta y utilización del SCNM, además de los registros administrativos provenientes de diversas fuentes, como la Cuenta de la Hacienda Pública Federal y de los gobiernos estatales, entre otros.</w:t>
      </w:r>
    </w:p>
    <w:p w14:paraId="31F54319" w14:textId="77777777" w:rsidR="00D31338" w:rsidRPr="00D31338" w:rsidRDefault="00D31338" w:rsidP="00D31338">
      <w:pPr>
        <w:spacing w:after="360" w:line="360" w:lineRule="auto"/>
        <w:ind w:right="-159"/>
        <w:jc w:val="both"/>
        <w:rPr>
          <w:rFonts w:eastAsia="Times New Roman"/>
          <w:bCs/>
          <w:sz w:val="26"/>
          <w:szCs w:val="26"/>
        </w:rPr>
      </w:pPr>
      <w:r w:rsidRPr="00D31338">
        <w:rPr>
          <w:rFonts w:eastAsia="Times New Roman"/>
          <w:bCs/>
          <w:sz w:val="26"/>
          <w:szCs w:val="26"/>
        </w:rPr>
        <w:t>La información de la cuenta satélite se presenta de acuerdo con el Sistema de Clasificación Internacional de América del Norte (SCIAN) 2007. Asimismo, se utiliza la Clasificación Mexicana de Actividades de Uso del Tiempo 2009 para determinar el trabajo no remunerado de los hogares en el cuidado de la salud.</w:t>
      </w:r>
    </w:p>
    <w:p w14:paraId="291BD77F" w14:textId="77777777" w:rsidR="00D31338" w:rsidRPr="00D31338" w:rsidRDefault="00D31338" w:rsidP="00D31338">
      <w:pPr>
        <w:spacing w:after="360" w:line="360" w:lineRule="auto"/>
        <w:ind w:right="-159"/>
        <w:jc w:val="both"/>
        <w:rPr>
          <w:rFonts w:eastAsia="Times New Roman"/>
          <w:bCs/>
          <w:sz w:val="26"/>
          <w:szCs w:val="26"/>
          <w:lang w:val="es-ES"/>
        </w:rPr>
      </w:pPr>
      <w:r w:rsidRPr="00D31338">
        <w:rPr>
          <w:rFonts w:eastAsia="Times New Roman"/>
          <w:bCs/>
          <w:sz w:val="26"/>
          <w:szCs w:val="26"/>
        </w:rPr>
        <w:t xml:space="preserve">Los resultados de la “Cuenta Satélite del Sector Salud de México, 2013” presentados en este boletín y otros datos más pueden ser consultados en la página </w:t>
      </w:r>
      <w:hyperlink r:id="rId317" w:history="1">
        <w:r w:rsidRPr="00D31338">
          <w:rPr>
            <w:rFonts w:eastAsia="Times New Roman"/>
            <w:bCs/>
            <w:sz w:val="26"/>
            <w:szCs w:val="26"/>
            <w:u w:val="single"/>
          </w:rPr>
          <w:t>http://www.inegi.org.mx/est/contenidos/proyectos/cn/salud/default.aspx</w:t>
        </w:r>
      </w:hyperlink>
      <w:r w:rsidRPr="00D31338">
        <w:rPr>
          <w:rFonts w:eastAsia="Times New Roman"/>
          <w:bCs/>
          <w:sz w:val="26"/>
          <w:szCs w:val="26"/>
        </w:rPr>
        <w:t xml:space="preserve"> del Instituto.</w:t>
      </w:r>
    </w:p>
    <w:p w14:paraId="2C26EC91" w14:textId="77777777" w:rsidR="00D31338" w:rsidRPr="00D31338" w:rsidRDefault="00D31338" w:rsidP="00D31338">
      <w:pPr>
        <w:ind w:right="-159"/>
        <w:jc w:val="both"/>
        <w:rPr>
          <w:rFonts w:eastAsia="Calibri"/>
          <w:b/>
          <w:sz w:val="20"/>
          <w:szCs w:val="20"/>
          <w:lang w:val="es-ES" w:eastAsia="en-US"/>
        </w:rPr>
      </w:pPr>
      <w:r w:rsidRPr="00D31338">
        <w:rPr>
          <w:rFonts w:eastAsia="Calibri"/>
          <w:b/>
          <w:sz w:val="20"/>
          <w:szCs w:val="20"/>
          <w:lang w:val="es-ES" w:eastAsia="en-US"/>
        </w:rPr>
        <w:t>Fuente de información:</w:t>
      </w:r>
    </w:p>
    <w:p w14:paraId="6C4E50D0" w14:textId="77777777" w:rsidR="00D31338" w:rsidRPr="00EF184E" w:rsidRDefault="0045651A" w:rsidP="00D31338">
      <w:pPr>
        <w:ind w:right="-159"/>
        <w:jc w:val="both"/>
        <w:rPr>
          <w:rFonts w:eastAsia="Calibri"/>
          <w:color w:val="0000FF"/>
          <w:sz w:val="20"/>
          <w:szCs w:val="20"/>
          <w:lang w:eastAsia="en-US"/>
        </w:rPr>
      </w:pPr>
      <w:hyperlink r:id="rId318" w:history="1">
        <w:r w:rsidR="00D31338" w:rsidRPr="00EF184E">
          <w:rPr>
            <w:rFonts w:eastAsia="Calibri"/>
            <w:color w:val="0000FF"/>
            <w:sz w:val="20"/>
            <w:szCs w:val="20"/>
            <w:u w:val="single"/>
            <w:lang w:eastAsia="en-US"/>
          </w:rPr>
          <w:t>http://www.inegi.org.mx/saladeprensa/boletines/2015/especiales/especiales2015_03_5.pdf</w:t>
        </w:r>
      </w:hyperlink>
      <w:r w:rsidR="00D31338" w:rsidRPr="00EF184E">
        <w:rPr>
          <w:rFonts w:eastAsia="Calibri"/>
          <w:color w:val="0000FF"/>
          <w:sz w:val="20"/>
          <w:szCs w:val="20"/>
          <w:lang w:eastAsia="en-US"/>
        </w:rPr>
        <w:t xml:space="preserve"> </w:t>
      </w:r>
    </w:p>
    <w:p w14:paraId="137F291C" w14:textId="77777777" w:rsidR="00D31338" w:rsidRPr="00EF184E" w:rsidRDefault="00D31338" w:rsidP="00D31338">
      <w:pPr>
        <w:ind w:right="-159"/>
        <w:jc w:val="both"/>
        <w:rPr>
          <w:rFonts w:eastAsia="Calibri"/>
          <w:sz w:val="20"/>
          <w:szCs w:val="20"/>
          <w:lang w:eastAsia="en-US"/>
        </w:rPr>
      </w:pPr>
      <w:r w:rsidRPr="00EF184E">
        <w:rPr>
          <w:rFonts w:eastAsia="Calibri"/>
          <w:sz w:val="20"/>
          <w:szCs w:val="20"/>
          <w:lang w:eastAsia="en-US"/>
        </w:rPr>
        <w:t>Para tener acceso a información relacionada visite:</w:t>
      </w:r>
    </w:p>
    <w:p w14:paraId="1058E03B" w14:textId="77777777" w:rsidR="00D31338" w:rsidRPr="00EF184E" w:rsidRDefault="0045651A" w:rsidP="00D31338">
      <w:pPr>
        <w:ind w:right="-159"/>
        <w:jc w:val="both"/>
        <w:rPr>
          <w:rFonts w:eastAsia="Calibri"/>
          <w:color w:val="0000FF"/>
          <w:sz w:val="20"/>
          <w:szCs w:val="20"/>
          <w:lang w:eastAsia="en-US"/>
        </w:rPr>
      </w:pPr>
      <w:hyperlink r:id="rId319" w:history="1">
        <w:r w:rsidR="00D31338" w:rsidRPr="00EF184E">
          <w:rPr>
            <w:rFonts w:eastAsia="Calibri"/>
            <w:color w:val="0000FF"/>
            <w:sz w:val="20"/>
            <w:szCs w:val="20"/>
            <w:u w:val="single"/>
            <w:lang w:eastAsia="en-US"/>
          </w:rPr>
          <w:t>http://www.inegi.org.mx/saladeprensa/aproposito/2015/salud0.pdf</w:t>
        </w:r>
      </w:hyperlink>
      <w:r w:rsidR="00D31338" w:rsidRPr="00EF184E">
        <w:rPr>
          <w:rFonts w:eastAsia="Calibri"/>
          <w:color w:val="0000FF"/>
          <w:sz w:val="20"/>
          <w:szCs w:val="20"/>
          <w:lang w:eastAsia="en-US"/>
        </w:rPr>
        <w:t xml:space="preserve"> </w:t>
      </w:r>
    </w:p>
    <w:p w14:paraId="23DC15FA" w14:textId="77777777" w:rsidR="00D31338" w:rsidRDefault="00D31338" w:rsidP="00AB4882">
      <w:pPr>
        <w:spacing w:after="360" w:line="360" w:lineRule="auto"/>
        <w:ind w:right="-159"/>
        <w:jc w:val="both"/>
        <w:rPr>
          <w:sz w:val="26"/>
          <w:szCs w:val="26"/>
          <w:lang w:val="es-ES"/>
        </w:rPr>
      </w:pPr>
    </w:p>
    <w:p w14:paraId="4D43E6F2" w14:textId="77777777" w:rsidR="00D31338" w:rsidRDefault="00D31338" w:rsidP="00AB4882">
      <w:pPr>
        <w:spacing w:after="360" w:line="360" w:lineRule="auto"/>
        <w:ind w:right="-159"/>
        <w:jc w:val="both"/>
        <w:rPr>
          <w:sz w:val="26"/>
          <w:szCs w:val="26"/>
          <w:lang w:val="es-ES"/>
        </w:rPr>
      </w:pPr>
    </w:p>
    <w:p w14:paraId="3EEA4DC2" w14:textId="0C4C79DF" w:rsidR="0090608F" w:rsidRDefault="0090608F">
      <w:pPr>
        <w:rPr>
          <w:rFonts w:eastAsia="Calibri"/>
          <w:sz w:val="26"/>
          <w:szCs w:val="26"/>
          <w:lang w:val="es-ES" w:eastAsia="en-US"/>
        </w:rPr>
      </w:pPr>
      <w:r>
        <w:rPr>
          <w:rFonts w:eastAsia="Calibri"/>
          <w:sz w:val="26"/>
          <w:szCs w:val="26"/>
          <w:lang w:val="es-ES" w:eastAsia="en-US"/>
        </w:rPr>
        <w:br w:type="page"/>
      </w:r>
    </w:p>
    <w:p w14:paraId="28ED9249" w14:textId="4E6C51CF" w:rsidR="00890883" w:rsidRDefault="0054746B" w:rsidP="00C23BDC">
      <w:pPr>
        <w:spacing w:after="360" w:line="360" w:lineRule="auto"/>
        <w:ind w:right="-159"/>
        <w:jc w:val="both"/>
        <w:rPr>
          <w:rFonts w:eastAsia="Times New Roman"/>
          <w:b/>
          <w:sz w:val="28"/>
          <w:szCs w:val="28"/>
          <w:lang w:val="es-ES"/>
        </w:rPr>
      </w:pPr>
      <w:r w:rsidRPr="000E3A45">
        <w:rPr>
          <w:rFonts w:eastAsia="Times New Roman"/>
          <w:b/>
          <w:sz w:val="28"/>
          <w:szCs w:val="28"/>
          <w:lang w:val="es-ES"/>
        </w:rPr>
        <w:lastRenderedPageBreak/>
        <w:t>SISTEMA DE AHORRO PARA EL RETIRO (SAR)</w:t>
      </w:r>
    </w:p>
    <w:p w14:paraId="1DC649EC" w14:textId="77777777" w:rsidR="003B27F8" w:rsidRPr="003B27F8" w:rsidRDefault="003B27F8" w:rsidP="003B27F8">
      <w:pPr>
        <w:ind w:right="-159"/>
        <w:jc w:val="both"/>
        <w:rPr>
          <w:rFonts w:eastAsia="Calibri"/>
          <w:b/>
          <w:sz w:val="26"/>
          <w:szCs w:val="26"/>
          <w:lang w:eastAsia="en-US"/>
        </w:rPr>
      </w:pPr>
      <w:r w:rsidRPr="003B27F8">
        <w:rPr>
          <w:rFonts w:eastAsia="Calibri"/>
          <w:b/>
          <w:sz w:val="26"/>
          <w:szCs w:val="26"/>
          <w:lang w:eastAsia="en-US"/>
        </w:rPr>
        <w:t>Afores con mayores rendimientos se hacen acreedoras a</w:t>
      </w:r>
    </w:p>
    <w:p w14:paraId="5B0EB6A7" w14:textId="77777777" w:rsidR="003B27F8" w:rsidRPr="003B27F8" w:rsidRDefault="003B27F8" w:rsidP="003B27F8">
      <w:pPr>
        <w:spacing w:after="360" w:line="360" w:lineRule="auto"/>
        <w:ind w:right="-159"/>
        <w:jc w:val="both"/>
        <w:rPr>
          <w:rFonts w:eastAsia="Calibri"/>
          <w:b/>
          <w:sz w:val="26"/>
          <w:szCs w:val="26"/>
          <w:lang w:eastAsia="en-US"/>
        </w:rPr>
      </w:pPr>
      <w:r w:rsidRPr="003B27F8">
        <w:rPr>
          <w:rFonts w:eastAsia="Calibri"/>
          <w:b/>
          <w:sz w:val="26"/>
          <w:szCs w:val="26"/>
          <w:lang w:eastAsia="en-US"/>
        </w:rPr>
        <w:t>cuentas de trabajadores que no eligieron Afore (Consar)</w:t>
      </w:r>
    </w:p>
    <w:p w14:paraId="5E820F4A"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El 25 de marzo de 2015, la Comisión Nacional del Sistema de Ahorro para el Retiro (Consar) dio a conocer el documento “Afores con mayores rendimientos se hacen acreedoras a cuentas de trabajadores que no eligieron Afore”, el cual se presenta a continuación</w:t>
      </w:r>
    </w:p>
    <w:p w14:paraId="3E9175EE"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La Ley de los Sistemas de Ahorro para el Retiro establece que anualmente serán asignados a una Administradora de Fondos para el Retiro Afore) aquellos trabajadores que no hayan elegido alguna en el transcurso de 12 meses. A su vez, cada año se reasignarán los recursos de los trabajadores que habiendo sido asignados con anterioridad, sigan sin seleccionar Afore después de dos años.</w:t>
      </w:r>
    </w:p>
    <w:p w14:paraId="6D660273"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Recientemente se llevaron a cabo los procesos de Asignación y Reasignación 2015 de cuentas de trabajadores que cotizan al Instituto Mexicano del Seguro Social (IMSS), con los siguientes resultados:</w:t>
      </w:r>
    </w:p>
    <w:p w14:paraId="7D78F18E" w14:textId="77777777" w:rsidR="003B27F8" w:rsidRDefault="003B27F8" w:rsidP="008F6DB3">
      <w:pPr>
        <w:numPr>
          <w:ilvl w:val="0"/>
          <w:numId w:val="16"/>
        </w:numPr>
        <w:spacing w:after="360" w:line="360" w:lineRule="auto"/>
        <w:ind w:left="714" w:right="-159" w:hanging="357"/>
        <w:jc w:val="both"/>
        <w:rPr>
          <w:rFonts w:eastAsia="Calibri"/>
          <w:sz w:val="26"/>
          <w:szCs w:val="26"/>
          <w:lang w:eastAsia="en-US"/>
        </w:rPr>
      </w:pPr>
      <w:r w:rsidRPr="003B27F8">
        <w:rPr>
          <w:rFonts w:eastAsia="Calibri"/>
          <w:sz w:val="26"/>
          <w:szCs w:val="26"/>
          <w:lang w:eastAsia="en-US"/>
        </w:rPr>
        <w:t>Un total de 664 mil 261 cuentas de trabajadores que no eligieron Administradora fueron asignadas entre cinco Afore que cumplieron con dos criterios principales: otorgar el mayor Rendimiento Neto y lograr el mayor registro de cuentas individuales asignadas:</w:t>
      </w:r>
    </w:p>
    <w:p w14:paraId="54508F67" w14:textId="77777777" w:rsidR="004727D3" w:rsidRDefault="004727D3" w:rsidP="004727D3">
      <w:pPr>
        <w:spacing w:after="360" w:line="360" w:lineRule="auto"/>
        <w:ind w:right="-159"/>
        <w:jc w:val="both"/>
        <w:rPr>
          <w:rFonts w:eastAsia="Calibri"/>
          <w:sz w:val="26"/>
          <w:szCs w:val="26"/>
          <w:lang w:eastAsia="en-US"/>
        </w:rPr>
      </w:pPr>
    </w:p>
    <w:p w14:paraId="319A36DD" w14:textId="77777777" w:rsidR="004727D3" w:rsidRDefault="004727D3" w:rsidP="004727D3">
      <w:pPr>
        <w:spacing w:after="360" w:line="360" w:lineRule="auto"/>
        <w:ind w:right="-159"/>
        <w:jc w:val="both"/>
        <w:rPr>
          <w:rFonts w:eastAsia="Calibri"/>
          <w:sz w:val="26"/>
          <w:szCs w:val="26"/>
          <w:lang w:eastAsia="en-US"/>
        </w:rPr>
      </w:pPr>
    </w:p>
    <w:p w14:paraId="04378AF7" w14:textId="77777777" w:rsidR="004727D3" w:rsidRPr="003B27F8" w:rsidRDefault="004727D3" w:rsidP="004727D3">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2122"/>
        <w:gridCol w:w="1559"/>
        <w:gridCol w:w="1559"/>
      </w:tblGrid>
      <w:tr w:rsidR="003B27F8" w:rsidRPr="003B27F8" w14:paraId="0903856A" w14:textId="77777777" w:rsidTr="00F44802">
        <w:trPr>
          <w:jc w:val="center"/>
        </w:trPr>
        <w:tc>
          <w:tcPr>
            <w:tcW w:w="5240" w:type="dxa"/>
            <w:gridSpan w:val="3"/>
            <w:tcBorders>
              <w:top w:val="nil"/>
              <w:left w:val="nil"/>
              <w:bottom w:val="single" w:sz="4" w:space="0" w:color="auto"/>
              <w:right w:val="nil"/>
            </w:tcBorders>
          </w:tcPr>
          <w:p w14:paraId="23D7D77D"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lastRenderedPageBreak/>
              <w:t>ASIGNACIÓN DE CUENTAS</w:t>
            </w:r>
          </w:p>
          <w:p w14:paraId="2A72967A"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Prestadora de servicios-Afore</w:t>
            </w:r>
          </w:p>
        </w:tc>
      </w:tr>
      <w:tr w:rsidR="003B27F8" w:rsidRPr="003B27F8" w14:paraId="3CAC051C" w14:textId="77777777" w:rsidTr="00F44802">
        <w:trPr>
          <w:jc w:val="center"/>
        </w:trPr>
        <w:tc>
          <w:tcPr>
            <w:tcW w:w="2122" w:type="dxa"/>
            <w:tcBorders>
              <w:top w:val="single" w:sz="4" w:space="0" w:color="auto"/>
              <w:left w:val="single" w:sz="4" w:space="0" w:color="auto"/>
              <w:bottom w:val="single" w:sz="4" w:space="0" w:color="auto"/>
              <w:right w:val="single" w:sz="4" w:space="0" w:color="auto"/>
            </w:tcBorders>
          </w:tcPr>
          <w:p w14:paraId="6721E4BC"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 xml:space="preserve">Afore </w:t>
            </w:r>
          </w:p>
          <w:p w14:paraId="1A50E71A"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Receptora</w:t>
            </w:r>
          </w:p>
        </w:tc>
        <w:tc>
          <w:tcPr>
            <w:tcW w:w="1559" w:type="dxa"/>
            <w:tcBorders>
              <w:top w:val="single" w:sz="4" w:space="0" w:color="auto"/>
              <w:left w:val="single" w:sz="4" w:space="0" w:color="auto"/>
              <w:bottom w:val="single" w:sz="4" w:space="0" w:color="auto"/>
              <w:right w:val="single" w:sz="4" w:space="0" w:color="auto"/>
            </w:tcBorders>
            <w:vAlign w:val="center"/>
          </w:tcPr>
          <w:p w14:paraId="2CBE8C04"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Cuentas</w:t>
            </w:r>
          </w:p>
        </w:tc>
        <w:tc>
          <w:tcPr>
            <w:tcW w:w="1559" w:type="dxa"/>
            <w:tcBorders>
              <w:top w:val="single" w:sz="4" w:space="0" w:color="auto"/>
              <w:left w:val="single" w:sz="4" w:space="0" w:color="auto"/>
              <w:bottom w:val="single" w:sz="4" w:space="0" w:color="auto"/>
              <w:right w:val="single" w:sz="4" w:space="0" w:color="auto"/>
            </w:tcBorders>
          </w:tcPr>
          <w:p w14:paraId="250E3871"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Monto RCV*</w:t>
            </w:r>
          </w:p>
          <w:p w14:paraId="2D98095D"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(mdp)**</w:t>
            </w:r>
          </w:p>
        </w:tc>
      </w:tr>
      <w:tr w:rsidR="003B27F8" w:rsidRPr="003B27F8" w14:paraId="3CE3C776" w14:textId="77777777" w:rsidTr="00F44802">
        <w:trPr>
          <w:jc w:val="center"/>
        </w:trPr>
        <w:tc>
          <w:tcPr>
            <w:tcW w:w="2122" w:type="dxa"/>
            <w:tcBorders>
              <w:top w:val="single" w:sz="4" w:space="0" w:color="auto"/>
              <w:left w:val="single" w:sz="4" w:space="0" w:color="auto"/>
              <w:bottom w:val="nil"/>
              <w:right w:val="single" w:sz="4" w:space="0" w:color="auto"/>
            </w:tcBorders>
          </w:tcPr>
          <w:p w14:paraId="2E4CD239"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xml:space="preserve">Banamex </w:t>
            </w:r>
          </w:p>
        </w:tc>
        <w:tc>
          <w:tcPr>
            <w:tcW w:w="1559" w:type="dxa"/>
            <w:tcBorders>
              <w:top w:val="single" w:sz="4" w:space="0" w:color="auto"/>
              <w:left w:val="single" w:sz="4" w:space="0" w:color="auto"/>
              <w:bottom w:val="nil"/>
              <w:right w:val="single" w:sz="4" w:space="0" w:color="auto"/>
            </w:tcBorders>
          </w:tcPr>
          <w:p w14:paraId="5429A062"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220 228</w:t>
            </w:r>
          </w:p>
        </w:tc>
        <w:tc>
          <w:tcPr>
            <w:tcW w:w="1559" w:type="dxa"/>
            <w:tcBorders>
              <w:top w:val="single" w:sz="4" w:space="0" w:color="auto"/>
              <w:left w:val="single" w:sz="4" w:space="0" w:color="auto"/>
              <w:bottom w:val="nil"/>
              <w:right w:val="single" w:sz="4" w:space="0" w:color="auto"/>
            </w:tcBorders>
          </w:tcPr>
          <w:p w14:paraId="5BFABAF9"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2 216.9</w:t>
            </w:r>
          </w:p>
        </w:tc>
      </w:tr>
      <w:tr w:rsidR="003B27F8" w:rsidRPr="003B27F8" w14:paraId="2220F6CD" w14:textId="77777777" w:rsidTr="00F44802">
        <w:trPr>
          <w:jc w:val="center"/>
        </w:trPr>
        <w:tc>
          <w:tcPr>
            <w:tcW w:w="2122" w:type="dxa"/>
            <w:tcBorders>
              <w:top w:val="nil"/>
              <w:left w:val="single" w:sz="4" w:space="0" w:color="auto"/>
              <w:bottom w:val="nil"/>
              <w:right w:val="single" w:sz="4" w:space="0" w:color="auto"/>
            </w:tcBorders>
          </w:tcPr>
          <w:p w14:paraId="0967CE04"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Profuturo GNP</w:t>
            </w:r>
          </w:p>
        </w:tc>
        <w:tc>
          <w:tcPr>
            <w:tcW w:w="1559" w:type="dxa"/>
            <w:tcBorders>
              <w:top w:val="nil"/>
              <w:left w:val="single" w:sz="4" w:space="0" w:color="auto"/>
              <w:bottom w:val="nil"/>
              <w:right w:val="single" w:sz="4" w:space="0" w:color="auto"/>
            </w:tcBorders>
          </w:tcPr>
          <w:p w14:paraId="6E572241"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175 432</w:t>
            </w:r>
          </w:p>
        </w:tc>
        <w:tc>
          <w:tcPr>
            <w:tcW w:w="1559" w:type="dxa"/>
            <w:tcBorders>
              <w:top w:val="nil"/>
              <w:left w:val="single" w:sz="4" w:space="0" w:color="auto"/>
              <w:bottom w:val="nil"/>
              <w:right w:val="single" w:sz="4" w:space="0" w:color="auto"/>
            </w:tcBorders>
          </w:tcPr>
          <w:p w14:paraId="1FC9F74D"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1 769.1</w:t>
            </w:r>
          </w:p>
        </w:tc>
      </w:tr>
      <w:tr w:rsidR="003B27F8" w:rsidRPr="003B27F8" w14:paraId="3F42E778" w14:textId="77777777" w:rsidTr="00F44802">
        <w:trPr>
          <w:jc w:val="center"/>
        </w:trPr>
        <w:tc>
          <w:tcPr>
            <w:tcW w:w="2122" w:type="dxa"/>
            <w:tcBorders>
              <w:top w:val="nil"/>
              <w:left w:val="single" w:sz="4" w:space="0" w:color="auto"/>
              <w:bottom w:val="nil"/>
              <w:right w:val="single" w:sz="4" w:space="0" w:color="auto"/>
            </w:tcBorders>
          </w:tcPr>
          <w:p w14:paraId="65A8E84B"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Sura</w:t>
            </w:r>
          </w:p>
        </w:tc>
        <w:tc>
          <w:tcPr>
            <w:tcW w:w="1559" w:type="dxa"/>
            <w:tcBorders>
              <w:top w:val="nil"/>
              <w:left w:val="single" w:sz="4" w:space="0" w:color="auto"/>
              <w:bottom w:val="nil"/>
              <w:right w:val="single" w:sz="4" w:space="0" w:color="auto"/>
            </w:tcBorders>
          </w:tcPr>
          <w:p w14:paraId="1BE46C93"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164 672</w:t>
            </w:r>
          </w:p>
        </w:tc>
        <w:tc>
          <w:tcPr>
            <w:tcW w:w="1559" w:type="dxa"/>
            <w:tcBorders>
              <w:top w:val="nil"/>
              <w:left w:val="single" w:sz="4" w:space="0" w:color="auto"/>
              <w:bottom w:val="nil"/>
              <w:right w:val="single" w:sz="4" w:space="0" w:color="auto"/>
            </w:tcBorders>
          </w:tcPr>
          <w:p w14:paraId="25260963"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1 669.1</w:t>
            </w:r>
          </w:p>
        </w:tc>
      </w:tr>
      <w:tr w:rsidR="003B27F8" w:rsidRPr="003B27F8" w14:paraId="6B674D58" w14:textId="77777777" w:rsidTr="00F44802">
        <w:trPr>
          <w:jc w:val="center"/>
        </w:trPr>
        <w:tc>
          <w:tcPr>
            <w:tcW w:w="2122" w:type="dxa"/>
            <w:tcBorders>
              <w:top w:val="nil"/>
              <w:left w:val="single" w:sz="4" w:space="0" w:color="auto"/>
              <w:bottom w:val="nil"/>
              <w:right w:val="single" w:sz="4" w:space="0" w:color="auto"/>
            </w:tcBorders>
          </w:tcPr>
          <w:p w14:paraId="04B6AB88"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PensionISSSTE</w:t>
            </w:r>
          </w:p>
        </w:tc>
        <w:tc>
          <w:tcPr>
            <w:tcW w:w="1559" w:type="dxa"/>
            <w:tcBorders>
              <w:top w:val="nil"/>
              <w:left w:val="single" w:sz="4" w:space="0" w:color="auto"/>
              <w:bottom w:val="nil"/>
              <w:right w:val="single" w:sz="4" w:space="0" w:color="auto"/>
            </w:tcBorders>
          </w:tcPr>
          <w:p w14:paraId="6EDF3813"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99 604</w:t>
            </w:r>
          </w:p>
        </w:tc>
        <w:tc>
          <w:tcPr>
            <w:tcW w:w="1559" w:type="dxa"/>
            <w:tcBorders>
              <w:top w:val="nil"/>
              <w:left w:val="single" w:sz="4" w:space="0" w:color="auto"/>
              <w:bottom w:val="nil"/>
              <w:right w:val="single" w:sz="4" w:space="0" w:color="auto"/>
            </w:tcBorders>
          </w:tcPr>
          <w:p w14:paraId="04772F89"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1 008.5</w:t>
            </w:r>
          </w:p>
        </w:tc>
      </w:tr>
      <w:tr w:rsidR="003B27F8" w:rsidRPr="003B27F8" w14:paraId="3C8C245B" w14:textId="77777777" w:rsidTr="00F44802">
        <w:trPr>
          <w:jc w:val="center"/>
        </w:trPr>
        <w:tc>
          <w:tcPr>
            <w:tcW w:w="2122" w:type="dxa"/>
            <w:tcBorders>
              <w:top w:val="nil"/>
              <w:left w:val="single" w:sz="4" w:space="0" w:color="auto"/>
              <w:bottom w:val="nil"/>
              <w:right w:val="single" w:sz="4" w:space="0" w:color="auto"/>
            </w:tcBorders>
          </w:tcPr>
          <w:p w14:paraId="750F1A1C"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xml:space="preserve">Invercap </w:t>
            </w:r>
          </w:p>
        </w:tc>
        <w:tc>
          <w:tcPr>
            <w:tcW w:w="1559" w:type="dxa"/>
            <w:tcBorders>
              <w:top w:val="nil"/>
              <w:left w:val="single" w:sz="4" w:space="0" w:color="auto"/>
              <w:bottom w:val="nil"/>
              <w:right w:val="single" w:sz="4" w:space="0" w:color="auto"/>
            </w:tcBorders>
          </w:tcPr>
          <w:p w14:paraId="5F6988CD"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4 325</w:t>
            </w:r>
          </w:p>
        </w:tc>
        <w:tc>
          <w:tcPr>
            <w:tcW w:w="1559" w:type="dxa"/>
            <w:tcBorders>
              <w:top w:val="nil"/>
              <w:left w:val="single" w:sz="4" w:space="0" w:color="auto"/>
              <w:bottom w:val="nil"/>
              <w:right w:val="single" w:sz="4" w:space="0" w:color="auto"/>
            </w:tcBorders>
          </w:tcPr>
          <w:p w14:paraId="6EB1F836"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45.2</w:t>
            </w:r>
          </w:p>
        </w:tc>
      </w:tr>
      <w:tr w:rsidR="003B27F8" w:rsidRPr="003B27F8" w14:paraId="19BCC018" w14:textId="77777777" w:rsidTr="00F44802">
        <w:trPr>
          <w:jc w:val="center"/>
        </w:trPr>
        <w:tc>
          <w:tcPr>
            <w:tcW w:w="2122" w:type="dxa"/>
            <w:tcBorders>
              <w:top w:val="nil"/>
              <w:left w:val="single" w:sz="4" w:space="0" w:color="auto"/>
              <w:bottom w:val="single" w:sz="4" w:space="0" w:color="auto"/>
              <w:right w:val="single" w:sz="4" w:space="0" w:color="auto"/>
            </w:tcBorders>
          </w:tcPr>
          <w:p w14:paraId="675B90E5"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Total</w:t>
            </w:r>
          </w:p>
        </w:tc>
        <w:tc>
          <w:tcPr>
            <w:tcW w:w="1559" w:type="dxa"/>
            <w:tcBorders>
              <w:top w:val="nil"/>
              <w:left w:val="single" w:sz="4" w:space="0" w:color="auto"/>
              <w:bottom w:val="single" w:sz="4" w:space="0" w:color="auto"/>
              <w:right w:val="single" w:sz="4" w:space="0" w:color="auto"/>
            </w:tcBorders>
          </w:tcPr>
          <w:p w14:paraId="3ED2993A"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664 261</w:t>
            </w:r>
          </w:p>
        </w:tc>
        <w:tc>
          <w:tcPr>
            <w:tcW w:w="1559" w:type="dxa"/>
            <w:tcBorders>
              <w:top w:val="nil"/>
              <w:left w:val="single" w:sz="4" w:space="0" w:color="auto"/>
              <w:bottom w:val="single" w:sz="4" w:space="0" w:color="auto"/>
              <w:right w:val="single" w:sz="4" w:space="0" w:color="auto"/>
            </w:tcBorders>
          </w:tcPr>
          <w:p w14:paraId="304D1F76"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6 708.8</w:t>
            </w:r>
          </w:p>
        </w:tc>
      </w:tr>
      <w:tr w:rsidR="003B27F8" w:rsidRPr="003B27F8" w14:paraId="5F2FCA03" w14:textId="77777777" w:rsidTr="00F44802">
        <w:trPr>
          <w:jc w:val="center"/>
        </w:trPr>
        <w:tc>
          <w:tcPr>
            <w:tcW w:w="5240" w:type="dxa"/>
            <w:gridSpan w:val="3"/>
            <w:tcBorders>
              <w:top w:val="single" w:sz="4" w:space="0" w:color="auto"/>
              <w:left w:val="nil"/>
              <w:bottom w:val="nil"/>
              <w:right w:val="nil"/>
            </w:tcBorders>
          </w:tcPr>
          <w:p w14:paraId="79222478"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Incluye recursos de ahorro voluntario</w:t>
            </w:r>
          </w:p>
          <w:p w14:paraId="2DDE01F0"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Millones de pesos.</w:t>
            </w:r>
          </w:p>
          <w:p w14:paraId="38FD0EDB"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FUENTE: Consar.</w:t>
            </w:r>
          </w:p>
        </w:tc>
      </w:tr>
    </w:tbl>
    <w:p w14:paraId="19B32E55" w14:textId="77777777" w:rsidR="009F75B3" w:rsidRDefault="009F75B3" w:rsidP="009F75B3">
      <w:pPr>
        <w:spacing w:after="360" w:line="360" w:lineRule="auto"/>
        <w:ind w:right="-159"/>
        <w:jc w:val="both"/>
        <w:rPr>
          <w:rFonts w:eastAsia="Calibri"/>
          <w:sz w:val="26"/>
          <w:szCs w:val="26"/>
          <w:lang w:eastAsia="en-US"/>
        </w:rPr>
      </w:pPr>
    </w:p>
    <w:p w14:paraId="4765C8DB" w14:textId="77777777" w:rsidR="003B27F8" w:rsidRPr="003B27F8" w:rsidRDefault="003B27F8" w:rsidP="008F6DB3">
      <w:pPr>
        <w:numPr>
          <w:ilvl w:val="0"/>
          <w:numId w:val="16"/>
        </w:numPr>
        <w:spacing w:after="360" w:line="360" w:lineRule="auto"/>
        <w:ind w:left="714" w:right="-159" w:hanging="357"/>
        <w:jc w:val="both"/>
        <w:rPr>
          <w:rFonts w:eastAsia="Calibri"/>
          <w:sz w:val="26"/>
          <w:szCs w:val="26"/>
          <w:lang w:eastAsia="en-US"/>
        </w:rPr>
      </w:pPr>
      <w:r w:rsidRPr="003B27F8">
        <w:rPr>
          <w:rFonts w:eastAsia="Calibri"/>
          <w:sz w:val="26"/>
          <w:szCs w:val="26"/>
          <w:lang w:eastAsia="en-US"/>
        </w:rPr>
        <w:t>A su vez, se reasignaron a la denominada Prestadora de Servicios 50 mil 208 cuentas dado que aún permanecían sin registro y no recibieron aportaciones durante un período consecutivo de seis bimestres. Los recursos de estas cuentas se transfirieron al Banco de México (Banxico).</w:t>
      </w:r>
    </w:p>
    <w:tbl>
      <w:tblPr>
        <w:tblW w:w="0" w:type="auto"/>
        <w:jc w:val="center"/>
        <w:tblLook w:val="04A0" w:firstRow="1" w:lastRow="0" w:firstColumn="1" w:lastColumn="0" w:noHBand="0" w:noVBand="1"/>
      </w:tblPr>
      <w:tblGrid>
        <w:gridCol w:w="2122"/>
        <w:gridCol w:w="1559"/>
        <w:gridCol w:w="1559"/>
      </w:tblGrid>
      <w:tr w:rsidR="003B27F8" w:rsidRPr="003B27F8" w14:paraId="7721FC67" w14:textId="77777777" w:rsidTr="00F44802">
        <w:trPr>
          <w:jc w:val="center"/>
        </w:trPr>
        <w:tc>
          <w:tcPr>
            <w:tcW w:w="5240" w:type="dxa"/>
            <w:gridSpan w:val="3"/>
            <w:tcBorders>
              <w:top w:val="nil"/>
              <w:left w:val="nil"/>
              <w:bottom w:val="single" w:sz="4" w:space="0" w:color="auto"/>
              <w:right w:val="nil"/>
            </w:tcBorders>
          </w:tcPr>
          <w:p w14:paraId="26D74563"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REASIGNACIÓN DE CUENTAS</w:t>
            </w:r>
          </w:p>
          <w:p w14:paraId="2B8DB9E9"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Afore-Prestadora de servicios</w:t>
            </w:r>
          </w:p>
        </w:tc>
      </w:tr>
      <w:tr w:rsidR="003B27F8" w:rsidRPr="003B27F8" w14:paraId="205B92F4" w14:textId="77777777" w:rsidTr="00F44802">
        <w:trPr>
          <w:jc w:val="center"/>
        </w:trPr>
        <w:tc>
          <w:tcPr>
            <w:tcW w:w="2122" w:type="dxa"/>
            <w:tcBorders>
              <w:top w:val="single" w:sz="4" w:space="0" w:color="auto"/>
              <w:left w:val="single" w:sz="4" w:space="0" w:color="auto"/>
              <w:bottom w:val="single" w:sz="4" w:space="0" w:color="auto"/>
              <w:right w:val="single" w:sz="4" w:space="0" w:color="auto"/>
            </w:tcBorders>
          </w:tcPr>
          <w:p w14:paraId="6DDCF6AC"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 xml:space="preserve">Afore </w:t>
            </w:r>
          </w:p>
          <w:p w14:paraId="50F01D0B"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Transferente</w:t>
            </w:r>
          </w:p>
        </w:tc>
        <w:tc>
          <w:tcPr>
            <w:tcW w:w="1559" w:type="dxa"/>
            <w:tcBorders>
              <w:top w:val="single" w:sz="4" w:space="0" w:color="auto"/>
              <w:left w:val="single" w:sz="4" w:space="0" w:color="auto"/>
              <w:bottom w:val="single" w:sz="4" w:space="0" w:color="auto"/>
              <w:right w:val="single" w:sz="4" w:space="0" w:color="auto"/>
            </w:tcBorders>
            <w:vAlign w:val="center"/>
          </w:tcPr>
          <w:p w14:paraId="269712E1"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Cuentas</w:t>
            </w:r>
          </w:p>
        </w:tc>
        <w:tc>
          <w:tcPr>
            <w:tcW w:w="1559" w:type="dxa"/>
            <w:tcBorders>
              <w:top w:val="single" w:sz="4" w:space="0" w:color="auto"/>
              <w:left w:val="single" w:sz="4" w:space="0" w:color="auto"/>
              <w:bottom w:val="single" w:sz="4" w:space="0" w:color="auto"/>
              <w:right w:val="single" w:sz="4" w:space="0" w:color="auto"/>
            </w:tcBorders>
          </w:tcPr>
          <w:p w14:paraId="0CBBFA16"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Monto RCV*</w:t>
            </w:r>
          </w:p>
          <w:p w14:paraId="2275E840" w14:textId="77777777" w:rsidR="003B27F8" w:rsidRPr="003B27F8" w:rsidRDefault="003B27F8" w:rsidP="003B27F8">
            <w:pPr>
              <w:jc w:val="center"/>
              <w:rPr>
                <w:rFonts w:eastAsia="Calibri"/>
                <w:b/>
                <w:sz w:val="20"/>
                <w:szCs w:val="20"/>
                <w:lang w:eastAsia="en-US"/>
              </w:rPr>
            </w:pPr>
            <w:r w:rsidRPr="003B27F8">
              <w:rPr>
                <w:rFonts w:eastAsia="Calibri"/>
                <w:b/>
                <w:sz w:val="20"/>
                <w:szCs w:val="20"/>
                <w:lang w:eastAsia="en-US"/>
              </w:rPr>
              <w:t>(mdp)**</w:t>
            </w:r>
          </w:p>
        </w:tc>
      </w:tr>
      <w:tr w:rsidR="003B27F8" w:rsidRPr="003B27F8" w14:paraId="1B4274A9" w14:textId="77777777" w:rsidTr="00F44802">
        <w:trPr>
          <w:jc w:val="center"/>
        </w:trPr>
        <w:tc>
          <w:tcPr>
            <w:tcW w:w="2122" w:type="dxa"/>
            <w:tcBorders>
              <w:top w:val="single" w:sz="4" w:space="0" w:color="auto"/>
              <w:left w:val="single" w:sz="4" w:space="0" w:color="auto"/>
              <w:bottom w:val="nil"/>
              <w:right w:val="single" w:sz="4" w:space="0" w:color="auto"/>
            </w:tcBorders>
          </w:tcPr>
          <w:p w14:paraId="74215ADA"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Banamex</w:t>
            </w:r>
          </w:p>
        </w:tc>
        <w:tc>
          <w:tcPr>
            <w:tcW w:w="1559" w:type="dxa"/>
            <w:tcBorders>
              <w:top w:val="single" w:sz="4" w:space="0" w:color="auto"/>
              <w:left w:val="single" w:sz="4" w:space="0" w:color="auto"/>
              <w:bottom w:val="nil"/>
              <w:right w:val="single" w:sz="4" w:space="0" w:color="auto"/>
            </w:tcBorders>
          </w:tcPr>
          <w:p w14:paraId="3EA75096"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18 837</w:t>
            </w:r>
          </w:p>
        </w:tc>
        <w:tc>
          <w:tcPr>
            <w:tcW w:w="1559" w:type="dxa"/>
            <w:tcBorders>
              <w:top w:val="single" w:sz="4" w:space="0" w:color="auto"/>
              <w:left w:val="single" w:sz="4" w:space="0" w:color="auto"/>
              <w:bottom w:val="nil"/>
              <w:right w:val="single" w:sz="4" w:space="0" w:color="auto"/>
            </w:tcBorders>
          </w:tcPr>
          <w:p w14:paraId="33CB59D8"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420.3</w:t>
            </w:r>
          </w:p>
        </w:tc>
      </w:tr>
      <w:tr w:rsidR="003B27F8" w:rsidRPr="003B27F8" w14:paraId="5D2FACCB" w14:textId="77777777" w:rsidTr="00F44802">
        <w:trPr>
          <w:jc w:val="center"/>
        </w:trPr>
        <w:tc>
          <w:tcPr>
            <w:tcW w:w="2122" w:type="dxa"/>
            <w:tcBorders>
              <w:top w:val="nil"/>
              <w:left w:val="single" w:sz="4" w:space="0" w:color="auto"/>
              <w:bottom w:val="nil"/>
              <w:right w:val="single" w:sz="4" w:space="0" w:color="auto"/>
            </w:tcBorders>
          </w:tcPr>
          <w:p w14:paraId="5F822BEB"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Sura</w:t>
            </w:r>
          </w:p>
        </w:tc>
        <w:tc>
          <w:tcPr>
            <w:tcW w:w="1559" w:type="dxa"/>
            <w:tcBorders>
              <w:top w:val="nil"/>
              <w:left w:val="single" w:sz="4" w:space="0" w:color="auto"/>
              <w:bottom w:val="nil"/>
              <w:right w:val="single" w:sz="4" w:space="0" w:color="auto"/>
            </w:tcBorders>
          </w:tcPr>
          <w:p w14:paraId="1FDBBCE0"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11 593</w:t>
            </w:r>
          </w:p>
        </w:tc>
        <w:tc>
          <w:tcPr>
            <w:tcW w:w="1559" w:type="dxa"/>
            <w:tcBorders>
              <w:top w:val="nil"/>
              <w:left w:val="single" w:sz="4" w:space="0" w:color="auto"/>
              <w:bottom w:val="nil"/>
              <w:right w:val="single" w:sz="4" w:space="0" w:color="auto"/>
            </w:tcBorders>
          </w:tcPr>
          <w:p w14:paraId="4BE9A36F"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280.4</w:t>
            </w:r>
          </w:p>
        </w:tc>
      </w:tr>
      <w:tr w:rsidR="003B27F8" w:rsidRPr="003B27F8" w14:paraId="1C33F7A0" w14:textId="77777777" w:rsidTr="00F44802">
        <w:trPr>
          <w:jc w:val="center"/>
        </w:trPr>
        <w:tc>
          <w:tcPr>
            <w:tcW w:w="2122" w:type="dxa"/>
            <w:tcBorders>
              <w:top w:val="nil"/>
              <w:left w:val="single" w:sz="4" w:space="0" w:color="auto"/>
              <w:bottom w:val="nil"/>
              <w:right w:val="single" w:sz="4" w:space="0" w:color="auto"/>
            </w:tcBorders>
          </w:tcPr>
          <w:p w14:paraId="0904CEED"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Principal</w:t>
            </w:r>
          </w:p>
        </w:tc>
        <w:tc>
          <w:tcPr>
            <w:tcW w:w="1559" w:type="dxa"/>
            <w:tcBorders>
              <w:top w:val="nil"/>
              <w:left w:val="single" w:sz="4" w:space="0" w:color="auto"/>
              <w:bottom w:val="nil"/>
              <w:right w:val="single" w:sz="4" w:space="0" w:color="auto"/>
            </w:tcBorders>
          </w:tcPr>
          <w:p w14:paraId="18831226"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6 818</w:t>
            </w:r>
          </w:p>
        </w:tc>
        <w:tc>
          <w:tcPr>
            <w:tcW w:w="1559" w:type="dxa"/>
            <w:tcBorders>
              <w:top w:val="nil"/>
              <w:left w:val="single" w:sz="4" w:space="0" w:color="auto"/>
              <w:bottom w:val="nil"/>
              <w:right w:val="single" w:sz="4" w:space="0" w:color="auto"/>
            </w:tcBorders>
          </w:tcPr>
          <w:p w14:paraId="775BEA2F"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148.8</w:t>
            </w:r>
          </w:p>
        </w:tc>
      </w:tr>
      <w:tr w:rsidR="003B27F8" w:rsidRPr="003B27F8" w14:paraId="1790356E" w14:textId="77777777" w:rsidTr="00F44802">
        <w:trPr>
          <w:jc w:val="center"/>
        </w:trPr>
        <w:tc>
          <w:tcPr>
            <w:tcW w:w="2122" w:type="dxa"/>
            <w:tcBorders>
              <w:top w:val="nil"/>
              <w:left w:val="single" w:sz="4" w:space="0" w:color="auto"/>
              <w:bottom w:val="nil"/>
              <w:right w:val="single" w:sz="4" w:space="0" w:color="auto"/>
            </w:tcBorders>
          </w:tcPr>
          <w:p w14:paraId="10AF73FE"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Profuturo GNP</w:t>
            </w:r>
          </w:p>
        </w:tc>
        <w:tc>
          <w:tcPr>
            <w:tcW w:w="1559" w:type="dxa"/>
            <w:tcBorders>
              <w:top w:val="nil"/>
              <w:left w:val="single" w:sz="4" w:space="0" w:color="auto"/>
              <w:bottom w:val="nil"/>
              <w:right w:val="single" w:sz="4" w:space="0" w:color="auto"/>
            </w:tcBorders>
          </w:tcPr>
          <w:p w14:paraId="360199F6"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3 660</w:t>
            </w:r>
          </w:p>
        </w:tc>
        <w:tc>
          <w:tcPr>
            <w:tcW w:w="1559" w:type="dxa"/>
            <w:tcBorders>
              <w:top w:val="nil"/>
              <w:left w:val="single" w:sz="4" w:space="0" w:color="auto"/>
              <w:bottom w:val="nil"/>
              <w:right w:val="single" w:sz="4" w:space="0" w:color="auto"/>
            </w:tcBorders>
          </w:tcPr>
          <w:p w14:paraId="767C3F2A"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92.8</w:t>
            </w:r>
          </w:p>
        </w:tc>
      </w:tr>
      <w:tr w:rsidR="003B27F8" w:rsidRPr="003B27F8" w14:paraId="61E9F459" w14:textId="77777777" w:rsidTr="00F44802">
        <w:trPr>
          <w:jc w:val="center"/>
        </w:trPr>
        <w:tc>
          <w:tcPr>
            <w:tcW w:w="2122" w:type="dxa"/>
            <w:tcBorders>
              <w:top w:val="nil"/>
              <w:left w:val="single" w:sz="4" w:space="0" w:color="auto"/>
              <w:bottom w:val="nil"/>
              <w:right w:val="single" w:sz="4" w:space="0" w:color="auto"/>
            </w:tcBorders>
          </w:tcPr>
          <w:p w14:paraId="125E8A84"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Metlife</w:t>
            </w:r>
          </w:p>
        </w:tc>
        <w:tc>
          <w:tcPr>
            <w:tcW w:w="1559" w:type="dxa"/>
            <w:tcBorders>
              <w:top w:val="nil"/>
              <w:left w:val="single" w:sz="4" w:space="0" w:color="auto"/>
              <w:bottom w:val="nil"/>
              <w:right w:val="single" w:sz="4" w:space="0" w:color="auto"/>
            </w:tcBorders>
          </w:tcPr>
          <w:p w14:paraId="4FF49D5A"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3 841</w:t>
            </w:r>
          </w:p>
        </w:tc>
        <w:tc>
          <w:tcPr>
            <w:tcW w:w="1559" w:type="dxa"/>
            <w:tcBorders>
              <w:top w:val="nil"/>
              <w:left w:val="single" w:sz="4" w:space="0" w:color="auto"/>
              <w:bottom w:val="nil"/>
              <w:right w:val="single" w:sz="4" w:space="0" w:color="auto"/>
            </w:tcBorders>
          </w:tcPr>
          <w:p w14:paraId="764576C2"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79.6</w:t>
            </w:r>
          </w:p>
        </w:tc>
      </w:tr>
      <w:tr w:rsidR="003B27F8" w:rsidRPr="003B27F8" w14:paraId="31B107D6" w14:textId="77777777" w:rsidTr="00F44802">
        <w:trPr>
          <w:jc w:val="center"/>
        </w:trPr>
        <w:tc>
          <w:tcPr>
            <w:tcW w:w="2122" w:type="dxa"/>
            <w:tcBorders>
              <w:top w:val="nil"/>
              <w:left w:val="single" w:sz="4" w:space="0" w:color="auto"/>
              <w:bottom w:val="nil"/>
              <w:right w:val="single" w:sz="4" w:space="0" w:color="auto"/>
            </w:tcBorders>
          </w:tcPr>
          <w:p w14:paraId="674FEE8B"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Invercap</w:t>
            </w:r>
          </w:p>
        </w:tc>
        <w:tc>
          <w:tcPr>
            <w:tcW w:w="1559" w:type="dxa"/>
            <w:tcBorders>
              <w:top w:val="nil"/>
              <w:left w:val="single" w:sz="4" w:space="0" w:color="auto"/>
              <w:bottom w:val="nil"/>
              <w:right w:val="single" w:sz="4" w:space="0" w:color="auto"/>
            </w:tcBorders>
          </w:tcPr>
          <w:p w14:paraId="007F4023"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3 757</w:t>
            </w:r>
          </w:p>
        </w:tc>
        <w:tc>
          <w:tcPr>
            <w:tcW w:w="1559" w:type="dxa"/>
            <w:tcBorders>
              <w:top w:val="nil"/>
              <w:left w:val="single" w:sz="4" w:space="0" w:color="auto"/>
              <w:bottom w:val="nil"/>
              <w:right w:val="single" w:sz="4" w:space="0" w:color="auto"/>
            </w:tcBorders>
          </w:tcPr>
          <w:p w14:paraId="2CCC38F0"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74.9</w:t>
            </w:r>
          </w:p>
        </w:tc>
      </w:tr>
      <w:tr w:rsidR="003B27F8" w:rsidRPr="003B27F8" w14:paraId="07C77503" w14:textId="77777777" w:rsidTr="00F44802">
        <w:trPr>
          <w:jc w:val="center"/>
        </w:trPr>
        <w:tc>
          <w:tcPr>
            <w:tcW w:w="2122" w:type="dxa"/>
            <w:tcBorders>
              <w:top w:val="nil"/>
              <w:left w:val="single" w:sz="4" w:space="0" w:color="auto"/>
              <w:bottom w:val="nil"/>
              <w:right w:val="single" w:sz="4" w:space="0" w:color="auto"/>
            </w:tcBorders>
          </w:tcPr>
          <w:p w14:paraId="6F866801"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XXI Banorte</w:t>
            </w:r>
          </w:p>
        </w:tc>
        <w:tc>
          <w:tcPr>
            <w:tcW w:w="1559" w:type="dxa"/>
            <w:tcBorders>
              <w:top w:val="nil"/>
              <w:left w:val="single" w:sz="4" w:space="0" w:color="auto"/>
              <w:bottom w:val="nil"/>
              <w:right w:val="single" w:sz="4" w:space="0" w:color="auto"/>
            </w:tcBorders>
          </w:tcPr>
          <w:p w14:paraId="1250ECF5"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1 294</w:t>
            </w:r>
          </w:p>
        </w:tc>
        <w:tc>
          <w:tcPr>
            <w:tcW w:w="1559" w:type="dxa"/>
            <w:tcBorders>
              <w:top w:val="nil"/>
              <w:left w:val="single" w:sz="4" w:space="0" w:color="auto"/>
              <w:bottom w:val="nil"/>
              <w:right w:val="single" w:sz="4" w:space="0" w:color="auto"/>
            </w:tcBorders>
          </w:tcPr>
          <w:p w14:paraId="459F352A"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27.8</w:t>
            </w:r>
          </w:p>
        </w:tc>
      </w:tr>
      <w:tr w:rsidR="003B27F8" w:rsidRPr="003B27F8" w14:paraId="02DA228B" w14:textId="77777777" w:rsidTr="009F75B3">
        <w:trPr>
          <w:jc w:val="center"/>
        </w:trPr>
        <w:tc>
          <w:tcPr>
            <w:tcW w:w="2122" w:type="dxa"/>
            <w:tcBorders>
              <w:top w:val="nil"/>
              <w:left w:val="single" w:sz="4" w:space="0" w:color="auto"/>
              <w:right w:val="single" w:sz="4" w:space="0" w:color="auto"/>
            </w:tcBorders>
          </w:tcPr>
          <w:p w14:paraId="09E0A506"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PensionISSSTE</w:t>
            </w:r>
          </w:p>
        </w:tc>
        <w:tc>
          <w:tcPr>
            <w:tcW w:w="1559" w:type="dxa"/>
            <w:tcBorders>
              <w:top w:val="nil"/>
              <w:left w:val="single" w:sz="4" w:space="0" w:color="auto"/>
              <w:right w:val="single" w:sz="4" w:space="0" w:color="auto"/>
            </w:tcBorders>
          </w:tcPr>
          <w:p w14:paraId="0A277BC0"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408</w:t>
            </w:r>
          </w:p>
        </w:tc>
        <w:tc>
          <w:tcPr>
            <w:tcW w:w="1559" w:type="dxa"/>
            <w:tcBorders>
              <w:top w:val="nil"/>
              <w:left w:val="single" w:sz="4" w:space="0" w:color="auto"/>
              <w:right w:val="single" w:sz="4" w:space="0" w:color="auto"/>
            </w:tcBorders>
          </w:tcPr>
          <w:p w14:paraId="27C31A71" w14:textId="77777777" w:rsidR="003B27F8" w:rsidRPr="003B27F8" w:rsidRDefault="003B27F8" w:rsidP="003B27F8">
            <w:pPr>
              <w:ind w:right="340"/>
              <w:jc w:val="right"/>
              <w:rPr>
                <w:rFonts w:eastAsia="Calibri"/>
                <w:sz w:val="20"/>
                <w:szCs w:val="20"/>
                <w:lang w:eastAsia="en-US"/>
              </w:rPr>
            </w:pPr>
            <w:r w:rsidRPr="003B27F8">
              <w:rPr>
                <w:rFonts w:eastAsia="Calibri"/>
                <w:sz w:val="20"/>
                <w:szCs w:val="20"/>
                <w:lang w:eastAsia="en-US"/>
              </w:rPr>
              <w:t>10.4</w:t>
            </w:r>
          </w:p>
        </w:tc>
      </w:tr>
      <w:tr w:rsidR="003B27F8" w:rsidRPr="003B27F8" w14:paraId="09F0D03E" w14:textId="77777777" w:rsidTr="00F44802">
        <w:trPr>
          <w:jc w:val="center"/>
        </w:trPr>
        <w:tc>
          <w:tcPr>
            <w:tcW w:w="2122" w:type="dxa"/>
            <w:tcBorders>
              <w:top w:val="nil"/>
              <w:left w:val="single" w:sz="4" w:space="0" w:color="auto"/>
              <w:bottom w:val="single" w:sz="4" w:space="0" w:color="auto"/>
              <w:right w:val="single" w:sz="4" w:space="0" w:color="auto"/>
            </w:tcBorders>
          </w:tcPr>
          <w:p w14:paraId="056BD889" w14:textId="77777777" w:rsidR="003B27F8" w:rsidRPr="003B27F8" w:rsidRDefault="003B27F8" w:rsidP="003B27F8">
            <w:pPr>
              <w:jc w:val="both"/>
              <w:rPr>
                <w:rFonts w:eastAsia="Calibri"/>
                <w:b/>
                <w:sz w:val="20"/>
                <w:szCs w:val="20"/>
                <w:lang w:eastAsia="en-US"/>
              </w:rPr>
            </w:pPr>
            <w:r w:rsidRPr="003B27F8">
              <w:rPr>
                <w:rFonts w:eastAsia="Calibri"/>
                <w:b/>
                <w:sz w:val="20"/>
                <w:szCs w:val="20"/>
                <w:lang w:eastAsia="en-US"/>
              </w:rPr>
              <w:t xml:space="preserve">Total </w:t>
            </w:r>
          </w:p>
        </w:tc>
        <w:tc>
          <w:tcPr>
            <w:tcW w:w="1559" w:type="dxa"/>
            <w:tcBorders>
              <w:top w:val="nil"/>
              <w:left w:val="single" w:sz="4" w:space="0" w:color="auto"/>
              <w:bottom w:val="single" w:sz="4" w:space="0" w:color="auto"/>
              <w:right w:val="single" w:sz="4" w:space="0" w:color="auto"/>
            </w:tcBorders>
          </w:tcPr>
          <w:p w14:paraId="155EAF6E" w14:textId="77777777" w:rsidR="003B27F8" w:rsidRPr="003B27F8" w:rsidRDefault="003B27F8" w:rsidP="003B27F8">
            <w:pPr>
              <w:ind w:right="340"/>
              <w:jc w:val="right"/>
              <w:rPr>
                <w:rFonts w:eastAsia="Calibri"/>
                <w:b/>
                <w:sz w:val="20"/>
                <w:szCs w:val="20"/>
                <w:lang w:eastAsia="en-US"/>
              </w:rPr>
            </w:pPr>
            <w:r w:rsidRPr="003B27F8">
              <w:rPr>
                <w:rFonts w:eastAsia="Calibri"/>
                <w:b/>
                <w:sz w:val="20"/>
                <w:szCs w:val="20"/>
                <w:lang w:eastAsia="en-US"/>
              </w:rPr>
              <w:t>50 208</w:t>
            </w:r>
          </w:p>
        </w:tc>
        <w:tc>
          <w:tcPr>
            <w:tcW w:w="1559" w:type="dxa"/>
            <w:tcBorders>
              <w:top w:val="nil"/>
              <w:left w:val="single" w:sz="4" w:space="0" w:color="auto"/>
              <w:bottom w:val="single" w:sz="4" w:space="0" w:color="auto"/>
              <w:right w:val="single" w:sz="4" w:space="0" w:color="auto"/>
            </w:tcBorders>
          </w:tcPr>
          <w:p w14:paraId="6C7CC725" w14:textId="77777777" w:rsidR="003B27F8" w:rsidRPr="003B27F8" w:rsidRDefault="003B27F8" w:rsidP="003B27F8">
            <w:pPr>
              <w:ind w:right="340"/>
              <w:jc w:val="right"/>
              <w:rPr>
                <w:rFonts w:eastAsia="Calibri"/>
                <w:b/>
                <w:sz w:val="20"/>
                <w:szCs w:val="20"/>
                <w:lang w:eastAsia="en-US"/>
              </w:rPr>
            </w:pPr>
            <w:r w:rsidRPr="003B27F8">
              <w:rPr>
                <w:rFonts w:eastAsia="Calibri"/>
                <w:b/>
                <w:sz w:val="20"/>
                <w:szCs w:val="20"/>
                <w:lang w:eastAsia="en-US"/>
              </w:rPr>
              <w:t>1 135.0</w:t>
            </w:r>
          </w:p>
        </w:tc>
      </w:tr>
      <w:tr w:rsidR="003B27F8" w:rsidRPr="003B27F8" w14:paraId="4E63E846" w14:textId="77777777" w:rsidTr="00F44802">
        <w:trPr>
          <w:jc w:val="center"/>
        </w:trPr>
        <w:tc>
          <w:tcPr>
            <w:tcW w:w="5240" w:type="dxa"/>
            <w:gridSpan w:val="3"/>
            <w:tcBorders>
              <w:top w:val="single" w:sz="4" w:space="0" w:color="auto"/>
              <w:left w:val="nil"/>
              <w:bottom w:val="nil"/>
              <w:right w:val="nil"/>
            </w:tcBorders>
          </w:tcPr>
          <w:p w14:paraId="767184B4"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Incluye recursos de ahorro voluntario.</w:t>
            </w:r>
          </w:p>
          <w:p w14:paraId="7BFCF7B4"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 Millones de pesos.</w:t>
            </w:r>
          </w:p>
          <w:p w14:paraId="32B7C095" w14:textId="77777777" w:rsidR="003B27F8" w:rsidRPr="003B27F8" w:rsidRDefault="003B27F8" w:rsidP="003B27F8">
            <w:pPr>
              <w:jc w:val="both"/>
              <w:rPr>
                <w:rFonts w:eastAsia="Calibri"/>
                <w:sz w:val="20"/>
                <w:szCs w:val="20"/>
                <w:lang w:eastAsia="en-US"/>
              </w:rPr>
            </w:pPr>
            <w:r w:rsidRPr="003B27F8">
              <w:rPr>
                <w:rFonts w:eastAsia="Calibri"/>
                <w:sz w:val="20"/>
                <w:szCs w:val="20"/>
                <w:lang w:eastAsia="en-US"/>
              </w:rPr>
              <w:t>FUENTE: Consar.</w:t>
            </w:r>
          </w:p>
        </w:tc>
      </w:tr>
    </w:tbl>
    <w:p w14:paraId="69D29E98" w14:textId="77777777" w:rsidR="003B27F8" w:rsidRPr="003B27F8" w:rsidRDefault="003B27F8" w:rsidP="003B27F8">
      <w:pPr>
        <w:spacing w:after="360" w:line="360" w:lineRule="auto"/>
        <w:ind w:right="-159"/>
        <w:jc w:val="both"/>
        <w:rPr>
          <w:rFonts w:eastAsia="Calibri"/>
          <w:sz w:val="26"/>
          <w:szCs w:val="26"/>
          <w:lang w:eastAsia="en-US"/>
        </w:rPr>
      </w:pPr>
    </w:p>
    <w:p w14:paraId="501B0CE7"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 xml:space="preserve">Es importante destacar que los procesos de Asignación y Reasignación 2015 se realizaron de conformidad con las Disposiciones vigentes, publicadas en el Diario Oficial de la Federación (DOF) el 29 de mayo de 2014. Sin embargo, a partir de 2016, la Asignación y Reasignación de cuentas se llevará a cabo con nuevos criterios que </w:t>
      </w:r>
      <w:r w:rsidRPr="003B27F8">
        <w:rPr>
          <w:rFonts w:eastAsia="Calibri"/>
          <w:sz w:val="26"/>
          <w:szCs w:val="26"/>
          <w:lang w:eastAsia="en-US"/>
        </w:rPr>
        <w:lastRenderedPageBreak/>
        <w:t>permitirán impulsar más competencia entre las Afore (ver boletín de nuevos criterios de IRN para asignación y reasignación http://ow.ly/JEs7x)</w:t>
      </w:r>
    </w:p>
    <w:p w14:paraId="38CAD209"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La Consar hace un llamado a todos los trabajadores que aún no se registran en una Afore para que soliciten/formalicen su registro y puedan disfrutar de los beneficios que ofrecen las Afore, entre los que destacan: la recepción de tres estados de cuenta al año, la posibilidad de cambiar de Afore y la opción de realizar ahorro voluntario. Cabe destacar que los trabajadores asignados conservan el libre derecho a registrarse en cualquier momento en la Afore de su elección.</w:t>
      </w:r>
    </w:p>
    <w:p w14:paraId="57E86E1F" w14:textId="77777777" w:rsidR="003B27F8" w:rsidRPr="003B27F8" w:rsidRDefault="003B27F8" w:rsidP="003B27F8">
      <w:pPr>
        <w:spacing w:after="360" w:line="360" w:lineRule="auto"/>
        <w:ind w:right="-159"/>
        <w:jc w:val="both"/>
        <w:rPr>
          <w:rFonts w:eastAsia="Calibri"/>
          <w:sz w:val="26"/>
          <w:szCs w:val="26"/>
          <w:lang w:eastAsia="en-US"/>
        </w:rPr>
      </w:pPr>
      <w:r w:rsidRPr="003B27F8">
        <w:rPr>
          <w:rFonts w:eastAsia="Calibri"/>
          <w:sz w:val="26"/>
          <w:szCs w:val="26"/>
          <w:lang w:eastAsia="en-US"/>
        </w:rPr>
        <w:t>Para tomar una decisión informada sobre la Afore que debe administrar su cuenta individual, la Consar pone a disposición del público la nueva sección ¿Cómo elegir la mejor Afore? en la siguiente liga http://ow.ly/JEr9Z.</w:t>
      </w:r>
    </w:p>
    <w:p w14:paraId="0AD586B6" w14:textId="77777777" w:rsidR="003B27F8" w:rsidRPr="003B27F8" w:rsidRDefault="003B27F8" w:rsidP="003B27F8">
      <w:pPr>
        <w:ind w:right="-159"/>
        <w:jc w:val="both"/>
        <w:rPr>
          <w:rFonts w:eastAsia="Calibri"/>
          <w:b/>
          <w:sz w:val="20"/>
          <w:szCs w:val="20"/>
          <w:lang w:eastAsia="en-US"/>
        </w:rPr>
      </w:pPr>
      <w:r w:rsidRPr="003B27F8">
        <w:rPr>
          <w:rFonts w:eastAsia="Calibri"/>
          <w:b/>
          <w:sz w:val="20"/>
          <w:szCs w:val="20"/>
          <w:lang w:eastAsia="en-US"/>
        </w:rPr>
        <w:t>Fuente de información:</w:t>
      </w:r>
    </w:p>
    <w:p w14:paraId="3C9DB9BA" w14:textId="77777777" w:rsidR="003B27F8" w:rsidRPr="00EF184E" w:rsidRDefault="0045651A" w:rsidP="00EF184E">
      <w:pPr>
        <w:spacing w:after="720"/>
        <w:ind w:right="-159"/>
        <w:jc w:val="both"/>
        <w:rPr>
          <w:rFonts w:eastAsia="Calibri"/>
          <w:color w:val="0000FF"/>
          <w:sz w:val="20"/>
          <w:szCs w:val="20"/>
          <w:lang w:eastAsia="en-US"/>
        </w:rPr>
      </w:pPr>
      <w:hyperlink r:id="rId320" w:history="1">
        <w:r w:rsidR="003B27F8" w:rsidRPr="00EF184E">
          <w:rPr>
            <w:rFonts w:eastAsia="Calibri"/>
            <w:color w:val="0000FF"/>
            <w:sz w:val="20"/>
            <w:szCs w:val="20"/>
            <w:u w:val="single"/>
            <w:lang w:eastAsia="en-US"/>
          </w:rPr>
          <w:t>http://www.consar.gob.mx/sala_prensa/PDF/boletines/BP-11-2015.pdf</w:t>
        </w:r>
      </w:hyperlink>
    </w:p>
    <w:p w14:paraId="45675BE2" w14:textId="77777777" w:rsidR="00383193" w:rsidRPr="00383193" w:rsidRDefault="00383193" w:rsidP="00383193">
      <w:pPr>
        <w:ind w:right="-159"/>
        <w:jc w:val="both"/>
        <w:rPr>
          <w:rFonts w:eastAsia="Calibri"/>
          <w:b/>
          <w:sz w:val="26"/>
          <w:szCs w:val="26"/>
          <w:lang w:eastAsia="en-US"/>
        </w:rPr>
      </w:pPr>
      <w:r w:rsidRPr="00383193">
        <w:rPr>
          <w:rFonts w:eastAsia="Calibri"/>
          <w:b/>
          <w:sz w:val="26"/>
          <w:szCs w:val="26"/>
          <w:lang w:eastAsia="en-US"/>
        </w:rPr>
        <w:t xml:space="preserve">Retos y oportunidades de invertir a largo plazo en </w:t>
      </w:r>
    </w:p>
    <w:p w14:paraId="293CB88E"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el Sistema de Ahorro para el Retiro (Consar)</w:t>
      </w:r>
    </w:p>
    <w:p w14:paraId="1980F60E"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El 26 de marzo de 2015, la Comisión Nacional del Sistema de Ahorro para el Retiro (Consar) dio a conocer el documento “Retos y oportunidades de invertir a largo plazo en el Sistema de Ahorro para el Retiro (SAR)”, el cual se presenta a continuación.</w:t>
      </w:r>
    </w:p>
    <w:p w14:paraId="036C4218" w14:textId="77777777" w:rsidR="00383193" w:rsidRPr="00383193" w:rsidRDefault="00383193" w:rsidP="003B27DE">
      <w:pPr>
        <w:numPr>
          <w:ilvl w:val="0"/>
          <w:numId w:val="17"/>
        </w:numPr>
        <w:spacing w:after="360" w:line="360" w:lineRule="auto"/>
        <w:ind w:left="567" w:right="-159" w:hanging="567"/>
        <w:jc w:val="both"/>
        <w:rPr>
          <w:rFonts w:eastAsia="Calibri"/>
          <w:b/>
          <w:sz w:val="26"/>
          <w:szCs w:val="26"/>
          <w:lang w:eastAsia="en-US"/>
        </w:rPr>
      </w:pPr>
      <w:r w:rsidRPr="00383193">
        <w:rPr>
          <w:rFonts w:eastAsia="Calibri"/>
          <w:b/>
          <w:sz w:val="26"/>
          <w:szCs w:val="26"/>
          <w:lang w:eastAsia="en-US"/>
        </w:rPr>
        <w:t>Situación actual</w:t>
      </w:r>
    </w:p>
    <w:p w14:paraId="6B303F60"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Los activos administrados por las Administradoras de Fondos para el Retiro (Afore) representan 14.4% del Producto Interno Bruto (PIB) y 22.9% del ahorro interno.</w:t>
      </w:r>
    </w:p>
    <w:p w14:paraId="34FC299B" w14:textId="77777777" w:rsidR="00383193" w:rsidRPr="00383193" w:rsidRDefault="00383193" w:rsidP="00383193">
      <w:pPr>
        <w:spacing w:after="360" w:line="360" w:lineRule="auto"/>
        <w:ind w:right="-159"/>
        <w:jc w:val="center"/>
        <w:rPr>
          <w:rFonts w:eastAsia="Calibri"/>
          <w:sz w:val="26"/>
          <w:szCs w:val="26"/>
          <w:lang w:eastAsia="en-US"/>
        </w:rPr>
      </w:pPr>
      <w:r w:rsidRPr="00383193">
        <w:rPr>
          <w:rFonts w:ascii="Calibri" w:eastAsia="Calibri" w:hAnsi="Calibri"/>
          <w:sz w:val="22"/>
          <w:szCs w:val="22"/>
          <w:lang w:eastAsia="en-US"/>
        </w:rPr>
        <w:lastRenderedPageBreak/>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CONSAR.pptx!302"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0B1A37DE" wp14:editId="07DE081C">
            <wp:extent cx="5665470" cy="3274695"/>
            <wp:effectExtent l="0" t="0" r="0" b="190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21" cstate="print">
                      <a:extLst>
                        <a:ext uri="{28A0092B-C50C-407E-A947-70E740481C1C}">
                          <a14:useLocalDpi xmlns:a14="http://schemas.microsoft.com/office/drawing/2010/main" val="0"/>
                        </a:ext>
                      </a:extLst>
                    </a:blip>
                    <a:srcRect l="2504" r="4382" b="4445"/>
                    <a:stretch>
                      <a:fillRect/>
                    </a:stretch>
                  </pic:blipFill>
                  <pic:spPr bwMode="auto">
                    <a:xfrm>
                      <a:off x="0" y="0"/>
                      <a:ext cx="5665470" cy="3274695"/>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p w14:paraId="48D4F028"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El régimen de inversión de las Afore se ha liberalizado gradualmente para permitir más clases de activos.</w:t>
      </w:r>
    </w:p>
    <w:tbl>
      <w:tblPr>
        <w:tblW w:w="0" w:type="auto"/>
        <w:jc w:val="center"/>
        <w:tblLayout w:type="fixed"/>
        <w:tblLook w:val="04A0" w:firstRow="1" w:lastRow="0" w:firstColumn="1" w:lastColumn="0" w:noHBand="0" w:noVBand="1"/>
      </w:tblPr>
      <w:tblGrid>
        <w:gridCol w:w="1704"/>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383193" w:rsidRPr="00383193" w14:paraId="72CD0C70" w14:textId="77777777" w:rsidTr="009F75B3">
        <w:trPr>
          <w:jc w:val="center"/>
        </w:trPr>
        <w:tc>
          <w:tcPr>
            <w:tcW w:w="7824" w:type="dxa"/>
            <w:gridSpan w:val="19"/>
            <w:tcBorders>
              <w:top w:val="nil"/>
              <w:left w:val="nil"/>
              <w:bottom w:val="single" w:sz="4" w:space="0" w:color="auto"/>
              <w:right w:val="nil"/>
            </w:tcBorders>
          </w:tcPr>
          <w:p w14:paraId="3B883103"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CLASES DE ACTIVOS PERMITIDOS EN EL RÉGIMEN DE INVERSIÓN</w:t>
            </w:r>
          </w:p>
        </w:tc>
      </w:tr>
      <w:tr w:rsidR="00383193" w:rsidRPr="00383193" w14:paraId="6F76AFBD" w14:textId="77777777" w:rsidTr="009F75B3">
        <w:trPr>
          <w:cantSplit/>
          <w:trHeight w:val="567"/>
          <w:jc w:val="center"/>
        </w:trPr>
        <w:tc>
          <w:tcPr>
            <w:tcW w:w="1704" w:type="dxa"/>
            <w:tcBorders>
              <w:top w:val="single" w:sz="4" w:space="0" w:color="auto"/>
              <w:left w:val="single" w:sz="4" w:space="0" w:color="auto"/>
              <w:bottom w:val="single" w:sz="4" w:space="0" w:color="auto"/>
              <w:right w:val="single" w:sz="4" w:space="0" w:color="auto"/>
            </w:tcBorders>
          </w:tcPr>
          <w:p w14:paraId="3F632869" w14:textId="77777777" w:rsidR="00383193" w:rsidRPr="00383193" w:rsidRDefault="00383193" w:rsidP="00383193">
            <w:pPr>
              <w:jc w:val="center"/>
              <w:rPr>
                <w:rFonts w:eastAsia="Calibri"/>
                <w:b/>
                <w:sz w:val="18"/>
                <w:szCs w:val="18"/>
                <w:lang w:eastAsia="en-US"/>
              </w:rPr>
            </w:pP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5A122A92"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1997</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05F8087F"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1998</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176AA15E"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1999</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70BD5396"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2000</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2A3C836D"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2001</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6E8AAFA8"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2002</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5981AFAC"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2003</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5F3D4C33"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2004</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4DA11DE3"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2005</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390473BE"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2006</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7AD91789"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2007</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7568E8F7"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2008</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54BE31DB"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2009</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1F8B8E94"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2010</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47E98C72"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2011</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65BDD298"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2012</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3E45019D"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2013</w:t>
            </w:r>
          </w:p>
        </w:tc>
        <w:tc>
          <w:tcPr>
            <w:tcW w:w="340" w:type="dxa"/>
            <w:tcBorders>
              <w:top w:val="single" w:sz="4" w:space="0" w:color="auto"/>
              <w:left w:val="single" w:sz="4" w:space="0" w:color="auto"/>
              <w:bottom w:val="single" w:sz="4" w:space="0" w:color="auto"/>
              <w:right w:val="single" w:sz="4" w:space="0" w:color="auto"/>
            </w:tcBorders>
            <w:textDirection w:val="btLr"/>
            <w:vAlign w:val="bottom"/>
          </w:tcPr>
          <w:p w14:paraId="785BA931" w14:textId="77777777" w:rsidR="00383193" w:rsidRPr="00383193" w:rsidRDefault="00383193" w:rsidP="00383193">
            <w:pPr>
              <w:jc w:val="both"/>
              <w:rPr>
                <w:rFonts w:eastAsia="Calibri"/>
                <w:b/>
                <w:sz w:val="18"/>
                <w:szCs w:val="18"/>
                <w:lang w:eastAsia="en-US"/>
              </w:rPr>
            </w:pPr>
            <w:r w:rsidRPr="00383193">
              <w:rPr>
                <w:rFonts w:eastAsia="Calibri"/>
                <w:b/>
                <w:sz w:val="18"/>
                <w:szCs w:val="18"/>
                <w:lang w:eastAsia="en-US"/>
              </w:rPr>
              <w:t>2014</w:t>
            </w:r>
          </w:p>
        </w:tc>
      </w:tr>
      <w:tr w:rsidR="00383193" w:rsidRPr="00383193" w14:paraId="4A2DAAE4"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3740D814" w14:textId="77777777" w:rsidR="00383193" w:rsidRPr="00383193" w:rsidRDefault="00383193" w:rsidP="00383193">
            <w:pPr>
              <w:rPr>
                <w:rFonts w:eastAsia="Calibri"/>
                <w:sz w:val="18"/>
                <w:szCs w:val="18"/>
                <w:lang w:eastAsia="en-US"/>
              </w:rPr>
            </w:pPr>
            <w:r w:rsidRPr="00383193">
              <w:rPr>
                <w:rFonts w:eastAsia="Calibri"/>
                <w:sz w:val="18"/>
                <w:szCs w:val="18"/>
                <w:lang w:eastAsia="en-US"/>
              </w:rPr>
              <w:t>Deuda</w:t>
            </w: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DAE38D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FC6F46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E9A257F"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A9D676E"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395CF3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53A316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48591B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333B86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237081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43F043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090CCD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E0EC99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8597BC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BED6E49"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EACB1F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23473E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150164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8727636" w14:textId="77777777" w:rsidR="00383193" w:rsidRPr="00383193" w:rsidRDefault="00383193" w:rsidP="00383193">
            <w:pPr>
              <w:jc w:val="center"/>
              <w:rPr>
                <w:rFonts w:eastAsia="Calibri"/>
                <w:sz w:val="16"/>
                <w:szCs w:val="16"/>
                <w:lang w:eastAsia="en-US"/>
              </w:rPr>
            </w:pPr>
          </w:p>
        </w:tc>
      </w:tr>
      <w:tr w:rsidR="00383193" w:rsidRPr="00383193" w14:paraId="7D517228"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5501CC49" w14:textId="77777777" w:rsidR="00383193" w:rsidRPr="00383193" w:rsidRDefault="00383193" w:rsidP="00383193">
            <w:pPr>
              <w:rPr>
                <w:rFonts w:eastAsia="Calibri"/>
                <w:sz w:val="18"/>
                <w:szCs w:val="18"/>
                <w:lang w:eastAsia="en-US"/>
              </w:rPr>
            </w:pPr>
            <w:r w:rsidRPr="00383193">
              <w:rPr>
                <w:rFonts w:eastAsia="Calibri"/>
                <w:sz w:val="18"/>
                <w:szCs w:val="18"/>
                <w:lang w:eastAsia="en-US"/>
              </w:rPr>
              <w:t>Divisas</w:t>
            </w: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106F61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31BCDEF"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CB8342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1B565F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7160F4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455AA8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57BE7A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D7350E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BF2A5B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6CB955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B2C6E1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2873EA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97B09D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0349AE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D266F3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684B99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CD19DD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0A03656" w14:textId="77777777" w:rsidR="00383193" w:rsidRPr="00383193" w:rsidRDefault="00383193" w:rsidP="00383193">
            <w:pPr>
              <w:jc w:val="center"/>
              <w:rPr>
                <w:rFonts w:eastAsia="Calibri"/>
                <w:sz w:val="16"/>
                <w:szCs w:val="16"/>
                <w:lang w:eastAsia="en-US"/>
              </w:rPr>
            </w:pPr>
          </w:p>
        </w:tc>
      </w:tr>
      <w:tr w:rsidR="00383193" w:rsidRPr="00383193" w14:paraId="5D8C8916"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38955E78" w14:textId="77777777" w:rsidR="00383193" w:rsidRPr="00383193" w:rsidRDefault="00383193" w:rsidP="00383193">
            <w:pPr>
              <w:rPr>
                <w:rFonts w:eastAsia="Calibri"/>
                <w:sz w:val="18"/>
                <w:szCs w:val="18"/>
                <w:lang w:eastAsia="en-US"/>
              </w:rPr>
            </w:pPr>
            <w:r w:rsidRPr="00383193">
              <w:rPr>
                <w:rFonts w:eastAsia="Calibri"/>
                <w:sz w:val="18"/>
                <w:szCs w:val="18"/>
                <w:lang w:eastAsia="en-US"/>
              </w:rPr>
              <w:t>Renta Variable</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555F7D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E11A93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6950F4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F77D30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2E7DB9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3E0B35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E4C9E8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C6B0C1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1BBC72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BD3826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C3F5B0E"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594D83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A369AC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BDDA3EE"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0E6CC29"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1330D8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E9B86B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F8C89BA" w14:textId="77777777" w:rsidR="00383193" w:rsidRPr="00383193" w:rsidRDefault="00383193" w:rsidP="00383193">
            <w:pPr>
              <w:jc w:val="center"/>
              <w:rPr>
                <w:rFonts w:eastAsia="Calibri"/>
                <w:sz w:val="16"/>
                <w:szCs w:val="16"/>
                <w:lang w:eastAsia="en-US"/>
              </w:rPr>
            </w:pPr>
          </w:p>
        </w:tc>
      </w:tr>
      <w:tr w:rsidR="00383193" w:rsidRPr="00383193" w14:paraId="626C085D"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7373F159" w14:textId="4789107E" w:rsidR="00383193" w:rsidRPr="00383193" w:rsidRDefault="00383193" w:rsidP="009F75B3">
            <w:pPr>
              <w:rPr>
                <w:rFonts w:eastAsia="Calibri"/>
                <w:sz w:val="18"/>
                <w:szCs w:val="18"/>
                <w:lang w:eastAsia="en-US"/>
              </w:rPr>
            </w:pPr>
            <w:r w:rsidRPr="00383193">
              <w:rPr>
                <w:rFonts w:eastAsia="Calibri"/>
                <w:sz w:val="18"/>
                <w:szCs w:val="18"/>
                <w:lang w:eastAsia="en-US"/>
              </w:rPr>
              <w:t>CKD</w:t>
            </w:r>
            <w:r w:rsidR="009F75B3">
              <w:rPr>
                <w:rFonts w:eastAsia="Calibri"/>
                <w:sz w:val="18"/>
                <w:szCs w:val="18"/>
                <w:lang w:eastAsia="en-US"/>
              </w:rPr>
              <w:t>S</w:t>
            </w:r>
            <w:r w:rsidRPr="00383193">
              <w:rPr>
                <w:rFonts w:eastAsia="Calibri"/>
                <w:sz w:val="18"/>
                <w:szCs w:val="18"/>
                <w:lang w:eastAsia="en-US"/>
              </w:rPr>
              <w:t xml:space="preserve"> y FIBRA</w:t>
            </w:r>
            <w:r w:rsidR="009F75B3">
              <w:rPr>
                <w:rFonts w:eastAsia="Calibri"/>
                <w:sz w:val="18"/>
                <w:szCs w:val="18"/>
                <w:lang w:eastAsia="en-US"/>
              </w:rPr>
              <w:t>S</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1FED3C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8102BA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F685B4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182549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FF3D54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8492C0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A29F2D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655D8B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668415F"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8A09F4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50AF80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0D9F5D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4B9161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4B915A2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23C764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492D2D9"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FAF79C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9DF311D" w14:textId="77777777" w:rsidR="00383193" w:rsidRPr="00383193" w:rsidRDefault="00383193" w:rsidP="00383193">
            <w:pPr>
              <w:jc w:val="center"/>
              <w:rPr>
                <w:rFonts w:eastAsia="Calibri"/>
                <w:sz w:val="16"/>
                <w:szCs w:val="16"/>
                <w:lang w:eastAsia="en-US"/>
              </w:rPr>
            </w:pPr>
          </w:p>
        </w:tc>
      </w:tr>
      <w:tr w:rsidR="00383193" w:rsidRPr="00383193" w14:paraId="4CBB9261"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6589C807" w14:textId="77777777" w:rsidR="00383193" w:rsidRPr="00383193" w:rsidRDefault="00383193" w:rsidP="00383193">
            <w:pPr>
              <w:rPr>
                <w:rFonts w:eastAsia="Calibri"/>
                <w:sz w:val="18"/>
                <w:szCs w:val="18"/>
                <w:lang w:eastAsia="en-US"/>
              </w:rPr>
            </w:pPr>
            <w:r w:rsidRPr="00383193">
              <w:rPr>
                <w:rFonts w:eastAsia="Calibri"/>
                <w:sz w:val="18"/>
                <w:szCs w:val="18"/>
                <w:lang w:eastAsia="en-US"/>
              </w:rPr>
              <w:t>Bursatilizados</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1CB922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9B1D0CF"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5A4605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E113DA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6770B2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FF3CF0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75B178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CA2DFAE"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F6BC1D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3F7643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4CB698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A9CC6C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3B8171A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FF17BC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E25EA3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F971BE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5316DB5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EE971B2" w14:textId="77777777" w:rsidR="00383193" w:rsidRPr="00383193" w:rsidRDefault="00383193" w:rsidP="00383193">
            <w:pPr>
              <w:jc w:val="center"/>
              <w:rPr>
                <w:rFonts w:eastAsia="Calibri"/>
                <w:sz w:val="16"/>
                <w:szCs w:val="16"/>
                <w:lang w:eastAsia="en-US"/>
              </w:rPr>
            </w:pPr>
          </w:p>
        </w:tc>
      </w:tr>
      <w:tr w:rsidR="00383193" w:rsidRPr="00383193" w14:paraId="5BFE194E"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52EB6F79" w14:textId="77777777" w:rsidR="00383193" w:rsidRPr="00383193" w:rsidRDefault="00383193" w:rsidP="00383193">
            <w:pPr>
              <w:rPr>
                <w:rFonts w:eastAsia="Calibri"/>
                <w:sz w:val="18"/>
                <w:szCs w:val="18"/>
                <w:lang w:eastAsia="en-US"/>
              </w:rPr>
            </w:pPr>
            <w:r w:rsidRPr="00383193">
              <w:rPr>
                <w:rFonts w:eastAsia="Calibri"/>
                <w:sz w:val="18"/>
                <w:szCs w:val="18"/>
                <w:lang w:eastAsia="en-US"/>
              </w:rPr>
              <w:t>Mercancías</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D2065C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EEE321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304037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C0653D5"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9CAFD8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B6CF44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DE4A95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840CB5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8C4A72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B4CB2E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878CCF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D5C19A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150705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5F353B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2DF423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9FCDED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74FD153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2C23298F" w14:textId="77777777" w:rsidR="00383193" w:rsidRPr="00383193" w:rsidRDefault="00383193" w:rsidP="00383193">
            <w:pPr>
              <w:jc w:val="center"/>
              <w:rPr>
                <w:rFonts w:eastAsia="Calibri"/>
                <w:sz w:val="16"/>
                <w:szCs w:val="16"/>
                <w:lang w:eastAsia="en-US"/>
              </w:rPr>
            </w:pPr>
          </w:p>
        </w:tc>
      </w:tr>
      <w:tr w:rsidR="00383193" w:rsidRPr="00383193" w14:paraId="6CCDCF0A"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3E1DB4AE" w14:textId="77777777" w:rsidR="00383193" w:rsidRPr="00383193" w:rsidRDefault="00383193" w:rsidP="00383193">
            <w:pPr>
              <w:rPr>
                <w:rFonts w:eastAsia="Calibri"/>
                <w:sz w:val="18"/>
                <w:szCs w:val="18"/>
                <w:lang w:eastAsia="en-US"/>
              </w:rPr>
            </w:pPr>
            <w:r w:rsidRPr="00383193">
              <w:rPr>
                <w:rFonts w:eastAsia="Calibri"/>
                <w:sz w:val="18"/>
                <w:szCs w:val="18"/>
                <w:lang w:eastAsia="en-US"/>
              </w:rPr>
              <w:t>Swaptions</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4A94DE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E1E76D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1C169A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3FFD05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7E85FD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8B08FF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88FFC0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6C477B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A31021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52A140F"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A5045E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496D9E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A326016"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99D1EC9"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BB2C2FD"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3EF1FB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67A0144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0336EA79" w14:textId="77777777" w:rsidR="00383193" w:rsidRPr="00383193" w:rsidRDefault="00383193" w:rsidP="00383193">
            <w:pPr>
              <w:jc w:val="center"/>
              <w:rPr>
                <w:rFonts w:eastAsia="Calibri"/>
                <w:sz w:val="16"/>
                <w:szCs w:val="16"/>
                <w:lang w:eastAsia="en-US"/>
              </w:rPr>
            </w:pPr>
          </w:p>
        </w:tc>
      </w:tr>
      <w:tr w:rsidR="00383193" w:rsidRPr="00383193" w14:paraId="12DF6BD9" w14:textId="77777777" w:rsidTr="009F75B3">
        <w:trPr>
          <w:jc w:val="center"/>
        </w:trPr>
        <w:tc>
          <w:tcPr>
            <w:tcW w:w="1704" w:type="dxa"/>
            <w:tcBorders>
              <w:top w:val="single" w:sz="4" w:space="0" w:color="auto"/>
              <w:left w:val="single" w:sz="4" w:space="0" w:color="auto"/>
              <w:bottom w:val="single" w:sz="4" w:space="0" w:color="auto"/>
              <w:right w:val="single" w:sz="4" w:space="0" w:color="auto"/>
            </w:tcBorders>
          </w:tcPr>
          <w:p w14:paraId="2E8C9D7C" w14:textId="235271BC" w:rsidR="00383193" w:rsidRPr="00383193" w:rsidRDefault="009F75B3" w:rsidP="00383193">
            <w:pPr>
              <w:rPr>
                <w:rFonts w:eastAsia="Calibri"/>
                <w:sz w:val="18"/>
                <w:szCs w:val="18"/>
                <w:lang w:eastAsia="en-US"/>
              </w:rPr>
            </w:pPr>
            <w:r>
              <w:rPr>
                <w:rFonts w:eastAsia="Calibri"/>
                <w:sz w:val="18"/>
                <w:szCs w:val="18"/>
                <w:lang w:eastAsia="en-US"/>
              </w:rPr>
              <w:t>REITSp</w:t>
            </w: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63826959"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D106A3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9C8065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9A723B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C114E71"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EFAF25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C2E8F73"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314204F2"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CC48D68"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2B71B24A"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43D17CC0"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56ABB09C"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3A328DE"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7563781B"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04038B24"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FF0000"/>
          </w:tcPr>
          <w:p w14:paraId="16FD83C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16B51667" w14:textId="77777777" w:rsidR="00383193" w:rsidRPr="00383193" w:rsidRDefault="00383193" w:rsidP="00383193">
            <w:pPr>
              <w:jc w:val="center"/>
              <w:rPr>
                <w:rFonts w:eastAsia="Calibri"/>
                <w:sz w:val="16"/>
                <w:szCs w:val="16"/>
                <w:lang w:eastAsia="en-US"/>
              </w:rPr>
            </w:pPr>
          </w:p>
        </w:tc>
        <w:tc>
          <w:tcPr>
            <w:tcW w:w="340" w:type="dxa"/>
            <w:tcBorders>
              <w:top w:val="single" w:sz="4" w:space="0" w:color="auto"/>
              <w:left w:val="single" w:sz="4" w:space="0" w:color="auto"/>
              <w:bottom w:val="single" w:sz="4" w:space="0" w:color="auto"/>
              <w:right w:val="single" w:sz="4" w:space="0" w:color="auto"/>
            </w:tcBorders>
            <w:shd w:val="clear" w:color="auto" w:fill="00B050"/>
          </w:tcPr>
          <w:p w14:paraId="3C292E3B" w14:textId="77777777" w:rsidR="00383193" w:rsidRPr="00383193" w:rsidRDefault="00383193" w:rsidP="00383193">
            <w:pPr>
              <w:jc w:val="center"/>
              <w:rPr>
                <w:rFonts w:eastAsia="Calibri"/>
                <w:sz w:val="16"/>
                <w:szCs w:val="16"/>
                <w:lang w:eastAsia="en-US"/>
              </w:rPr>
            </w:pPr>
          </w:p>
        </w:tc>
      </w:tr>
      <w:tr w:rsidR="00383193" w:rsidRPr="00383193" w14:paraId="487C8C2A" w14:textId="77777777" w:rsidTr="00EA3974">
        <w:trPr>
          <w:jc w:val="center"/>
        </w:trPr>
        <w:tc>
          <w:tcPr>
            <w:tcW w:w="7824" w:type="dxa"/>
            <w:gridSpan w:val="19"/>
            <w:tcBorders>
              <w:left w:val="nil"/>
              <w:bottom w:val="nil"/>
              <w:right w:val="nil"/>
            </w:tcBorders>
          </w:tcPr>
          <w:p w14:paraId="20391237" w14:textId="77777777" w:rsidR="00383193" w:rsidRPr="00383193" w:rsidRDefault="00383193" w:rsidP="00383193">
            <w:pPr>
              <w:rPr>
                <w:rFonts w:eastAsia="Calibri"/>
                <w:sz w:val="16"/>
                <w:szCs w:val="16"/>
                <w:lang w:eastAsia="en-US"/>
              </w:rPr>
            </w:pPr>
            <w:r w:rsidRPr="00383193">
              <w:rPr>
                <w:rFonts w:eastAsia="Calibri"/>
                <w:sz w:val="16"/>
                <w:szCs w:val="16"/>
                <w:lang w:eastAsia="en-US"/>
              </w:rPr>
              <w:t>FUENTE: Consar.</w:t>
            </w:r>
          </w:p>
        </w:tc>
      </w:tr>
    </w:tbl>
    <w:p w14:paraId="6D1A0C55" w14:textId="77777777" w:rsidR="00383193" w:rsidRPr="00383193" w:rsidRDefault="00383193" w:rsidP="00383193">
      <w:pPr>
        <w:spacing w:after="360" w:line="360" w:lineRule="auto"/>
        <w:ind w:right="-159"/>
        <w:jc w:val="center"/>
        <w:rPr>
          <w:rFonts w:eastAsia="Calibri"/>
          <w:sz w:val="26"/>
          <w:szCs w:val="26"/>
          <w:lang w:eastAsia="en-US"/>
        </w:rPr>
      </w:pPr>
    </w:p>
    <w:p w14:paraId="1B581A5C"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Como consecuencia, ha habido una mayor diversificación en los portafolios de los fondos de pensiones.</w:t>
      </w:r>
    </w:p>
    <w:tbl>
      <w:tblPr>
        <w:tblW w:w="0" w:type="auto"/>
        <w:tblLook w:val="04A0" w:firstRow="1" w:lastRow="0" w:firstColumn="1" w:lastColumn="0" w:noHBand="0" w:noVBand="1"/>
      </w:tblPr>
      <w:tblGrid>
        <w:gridCol w:w="8828"/>
      </w:tblGrid>
      <w:tr w:rsidR="00383193" w:rsidRPr="00383193" w14:paraId="4ADCC781" w14:textId="77777777" w:rsidTr="00EA3974">
        <w:tc>
          <w:tcPr>
            <w:tcW w:w="8828" w:type="dxa"/>
          </w:tcPr>
          <w:p w14:paraId="1DF7EA1B" w14:textId="77777777" w:rsidR="00383193" w:rsidRPr="00383193" w:rsidRDefault="00383193" w:rsidP="00383193">
            <w:pPr>
              <w:jc w:val="center"/>
              <w:rPr>
                <w:rFonts w:ascii="Calibri" w:eastAsia="Calibri" w:hAnsi="Calibri"/>
                <w:sz w:val="22"/>
                <w:szCs w:val="22"/>
                <w:lang w:eastAsia="en-US"/>
              </w:rPr>
            </w:pPr>
            <w:r w:rsidRPr="00383193">
              <w:rPr>
                <w:rFonts w:ascii="Calibri" w:eastAsia="Calibri" w:hAnsi="Calibri"/>
                <w:sz w:val="22"/>
                <w:szCs w:val="22"/>
                <w:lang w:eastAsia="en-US"/>
              </w:rPr>
              <w:lastRenderedPageBreak/>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CONSAR.pptx!293"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6BE9C015" wp14:editId="017AE263">
                  <wp:extent cx="3985260" cy="249618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322" cstate="print">
                            <a:extLst>
                              <a:ext uri="{28A0092B-C50C-407E-A947-70E740481C1C}">
                                <a14:useLocalDpi xmlns:a14="http://schemas.microsoft.com/office/drawing/2010/main" val="0"/>
                              </a:ext>
                            </a:extLst>
                          </a:blip>
                          <a:srcRect l="19562" r="15024" b="27222"/>
                          <a:stretch>
                            <a:fillRect/>
                          </a:stretch>
                        </pic:blipFill>
                        <pic:spPr bwMode="auto">
                          <a:xfrm>
                            <a:off x="0" y="0"/>
                            <a:ext cx="3985260" cy="2496185"/>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tc>
      </w:tr>
      <w:tr w:rsidR="00383193" w:rsidRPr="00383193" w14:paraId="7B26891D" w14:textId="77777777" w:rsidTr="00EA3974">
        <w:tc>
          <w:tcPr>
            <w:tcW w:w="8828" w:type="dxa"/>
          </w:tcPr>
          <w:p w14:paraId="12DE7476" w14:textId="77777777" w:rsidR="00383193" w:rsidRPr="00383193" w:rsidRDefault="00383193" w:rsidP="00383193">
            <w:pPr>
              <w:jc w:val="center"/>
              <w:rPr>
                <w:rFonts w:ascii="Calibri" w:eastAsia="Calibri" w:hAnsi="Calibri"/>
                <w:sz w:val="22"/>
                <w:szCs w:val="22"/>
                <w:lang w:eastAsia="en-US"/>
              </w:rPr>
            </w:pPr>
            <w:r w:rsidRPr="00383193">
              <w:rPr>
                <w:rFonts w:ascii="Calibri" w:eastAsia="Calibri" w:hAnsi="Calibri"/>
                <w:sz w:val="22"/>
                <w:szCs w:val="22"/>
                <w:lang w:eastAsia="en-US"/>
              </w:rPr>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CONSAR.pptx!294"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624BB413" wp14:editId="0D481B04">
                  <wp:extent cx="3960495" cy="2533015"/>
                  <wp:effectExtent l="0" t="0" r="1905" b="63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323" cstate="print">
                            <a:extLst>
                              <a:ext uri="{28A0092B-C50C-407E-A947-70E740481C1C}">
                                <a14:useLocalDpi xmlns:a14="http://schemas.microsoft.com/office/drawing/2010/main" val="0"/>
                              </a:ext>
                            </a:extLst>
                          </a:blip>
                          <a:srcRect l="15962" r="18936" b="26111"/>
                          <a:stretch>
                            <a:fillRect/>
                          </a:stretch>
                        </pic:blipFill>
                        <pic:spPr bwMode="auto">
                          <a:xfrm>
                            <a:off x="0" y="0"/>
                            <a:ext cx="3960495" cy="2533015"/>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tc>
      </w:tr>
    </w:tbl>
    <w:p w14:paraId="704A8A1C" w14:textId="77777777" w:rsidR="009F75B3" w:rsidRDefault="009F75B3" w:rsidP="00383193">
      <w:pPr>
        <w:spacing w:after="360" w:line="360" w:lineRule="auto"/>
        <w:ind w:right="-159"/>
        <w:jc w:val="both"/>
        <w:rPr>
          <w:rFonts w:eastAsia="Calibri"/>
          <w:sz w:val="26"/>
          <w:szCs w:val="26"/>
          <w:lang w:eastAsia="en-US"/>
        </w:rPr>
      </w:pPr>
    </w:p>
    <w:p w14:paraId="61DACE91" w14:textId="77777777" w:rsidR="004727D3" w:rsidRDefault="004727D3" w:rsidP="00383193">
      <w:pPr>
        <w:spacing w:after="360" w:line="360" w:lineRule="auto"/>
        <w:ind w:right="-159"/>
        <w:jc w:val="both"/>
        <w:rPr>
          <w:rFonts w:eastAsia="Calibri"/>
          <w:sz w:val="26"/>
          <w:szCs w:val="26"/>
          <w:lang w:eastAsia="en-US"/>
        </w:rPr>
      </w:pPr>
    </w:p>
    <w:p w14:paraId="22336A4B" w14:textId="77777777" w:rsidR="004727D3" w:rsidRDefault="004727D3" w:rsidP="00383193">
      <w:pPr>
        <w:spacing w:after="360" w:line="360" w:lineRule="auto"/>
        <w:ind w:right="-159"/>
        <w:jc w:val="both"/>
        <w:rPr>
          <w:rFonts w:eastAsia="Calibri"/>
          <w:sz w:val="26"/>
          <w:szCs w:val="26"/>
          <w:lang w:eastAsia="en-US"/>
        </w:rPr>
      </w:pPr>
    </w:p>
    <w:p w14:paraId="29817C04" w14:textId="77777777" w:rsidR="004727D3" w:rsidRDefault="004727D3" w:rsidP="00383193">
      <w:pPr>
        <w:spacing w:after="360" w:line="360" w:lineRule="auto"/>
        <w:ind w:right="-159"/>
        <w:jc w:val="both"/>
        <w:rPr>
          <w:rFonts w:eastAsia="Calibri"/>
          <w:sz w:val="26"/>
          <w:szCs w:val="26"/>
          <w:lang w:eastAsia="en-US"/>
        </w:rPr>
      </w:pPr>
    </w:p>
    <w:p w14:paraId="677F64D7" w14:textId="77777777" w:rsidR="004727D3" w:rsidRDefault="004727D3" w:rsidP="00383193">
      <w:pPr>
        <w:spacing w:after="360" w:line="360" w:lineRule="auto"/>
        <w:ind w:right="-159"/>
        <w:jc w:val="both"/>
        <w:rPr>
          <w:rFonts w:eastAsia="Calibri"/>
          <w:sz w:val="26"/>
          <w:szCs w:val="26"/>
          <w:lang w:eastAsia="en-US"/>
        </w:rPr>
      </w:pPr>
    </w:p>
    <w:p w14:paraId="1D4C7F93" w14:textId="77777777" w:rsidR="004727D3" w:rsidRDefault="004727D3" w:rsidP="00383193">
      <w:pPr>
        <w:spacing w:after="360" w:line="360" w:lineRule="auto"/>
        <w:ind w:right="-159"/>
        <w:jc w:val="both"/>
        <w:rPr>
          <w:rFonts w:eastAsia="Calibri"/>
          <w:sz w:val="26"/>
          <w:szCs w:val="26"/>
          <w:lang w:eastAsia="en-US"/>
        </w:rPr>
      </w:pPr>
    </w:p>
    <w:p w14:paraId="10670ADC"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La regulación permite a las Afore invertir en cuatro tipos de instrumentos estructurados.</w:t>
      </w:r>
    </w:p>
    <w:tbl>
      <w:tblPr>
        <w:tblW w:w="0" w:type="auto"/>
        <w:jc w:val="center"/>
        <w:tblLook w:val="04A0" w:firstRow="1" w:lastRow="0" w:firstColumn="1" w:lastColumn="0" w:noHBand="0" w:noVBand="1"/>
      </w:tblPr>
      <w:tblGrid>
        <w:gridCol w:w="850"/>
        <w:gridCol w:w="1554"/>
        <w:gridCol w:w="993"/>
        <w:gridCol w:w="5005"/>
      </w:tblGrid>
      <w:tr w:rsidR="00383193" w:rsidRPr="00383193" w14:paraId="3C1643EC" w14:textId="77777777" w:rsidTr="009F75B3">
        <w:trPr>
          <w:jc w:val="center"/>
        </w:trPr>
        <w:tc>
          <w:tcPr>
            <w:tcW w:w="850" w:type="dxa"/>
          </w:tcPr>
          <w:p w14:paraId="5C184DFF" w14:textId="77777777" w:rsidR="00383193" w:rsidRPr="00383193" w:rsidRDefault="00383193" w:rsidP="00383193">
            <w:pPr>
              <w:jc w:val="both"/>
              <w:rPr>
                <w:rFonts w:eastAsia="Calibri"/>
                <w:sz w:val="20"/>
                <w:szCs w:val="20"/>
                <w:lang w:eastAsia="en-US"/>
              </w:rPr>
            </w:pPr>
          </w:p>
        </w:tc>
        <w:tc>
          <w:tcPr>
            <w:tcW w:w="1554" w:type="dxa"/>
          </w:tcPr>
          <w:p w14:paraId="2B7512B2" w14:textId="77777777" w:rsidR="00383193" w:rsidRPr="00383193" w:rsidRDefault="00383193" w:rsidP="00383193">
            <w:pPr>
              <w:jc w:val="both"/>
              <w:rPr>
                <w:rFonts w:eastAsia="Calibri"/>
                <w:sz w:val="20"/>
                <w:szCs w:val="20"/>
                <w:lang w:eastAsia="en-US"/>
              </w:rPr>
            </w:pPr>
          </w:p>
        </w:tc>
        <w:tc>
          <w:tcPr>
            <w:tcW w:w="993" w:type="dxa"/>
          </w:tcPr>
          <w:p w14:paraId="455AEF16" w14:textId="77777777" w:rsidR="00383193" w:rsidRPr="00383193" w:rsidRDefault="00383193" w:rsidP="00383193">
            <w:pPr>
              <w:jc w:val="both"/>
              <w:rPr>
                <w:rFonts w:eastAsia="Calibri"/>
                <w:sz w:val="20"/>
                <w:szCs w:val="20"/>
                <w:lang w:eastAsia="en-US"/>
              </w:rPr>
            </w:pPr>
          </w:p>
        </w:tc>
        <w:tc>
          <w:tcPr>
            <w:tcW w:w="5005" w:type="dxa"/>
            <w:tcBorders>
              <w:bottom w:val="single" w:sz="4" w:space="0" w:color="auto"/>
            </w:tcBorders>
          </w:tcPr>
          <w:p w14:paraId="4C92F037" w14:textId="77777777" w:rsidR="00383193" w:rsidRPr="00383193" w:rsidRDefault="00383193" w:rsidP="00383193">
            <w:pPr>
              <w:jc w:val="both"/>
              <w:rPr>
                <w:rFonts w:eastAsia="Calibri"/>
                <w:sz w:val="20"/>
                <w:szCs w:val="20"/>
                <w:lang w:eastAsia="en-US"/>
              </w:rPr>
            </w:pPr>
          </w:p>
        </w:tc>
      </w:tr>
      <w:tr w:rsidR="00383193" w:rsidRPr="00383193" w14:paraId="48B11349" w14:textId="77777777" w:rsidTr="009F75B3">
        <w:trPr>
          <w:jc w:val="center"/>
        </w:trPr>
        <w:tc>
          <w:tcPr>
            <w:tcW w:w="850" w:type="dxa"/>
            <w:vAlign w:val="center"/>
          </w:tcPr>
          <w:p w14:paraId="3D389BB0"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1</w:t>
            </w:r>
          </w:p>
        </w:tc>
        <w:tc>
          <w:tcPr>
            <w:tcW w:w="1554" w:type="dxa"/>
            <w:vAlign w:val="center"/>
          </w:tcPr>
          <w:p w14:paraId="3FB97871" w14:textId="5E6D23F8" w:rsidR="00383193" w:rsidRPr="00383193" w:rsidRDefault="00383193" w:rsidP="001C7810">
            <w:pPr>
              <w:jc w:val="both"/>
              <w:rPr>
                <w:rFonts w:eastAsia="Calibri"/>
                <w:sz w:val="20"/>
                <w:szCs w:val="20"/>
                <w:lang w:eastAsia="en-US"/>
              </w:rPr>
            </w:pPr>
            <w:r w:rsidRPr="00383193">
              <w:rPr>
                <w:rFonts w:eastAsia="Calibri"/>
                <w:sz w:val="20"/>
                <w:szCs w:val="20"/>
                <w:lang w:eastAsia="en-US"/>
              </w:rPr>
              <w:t>CK</w:t>
            </w:r>
            <w:r w:rsidR="001C7810">
              <w:rPr>
                <w:rFonts w:eastAsia="Calibri"/>
                <w:sz w:val="20"/>
                <w:szCs w:val="20"/>
                <w:lang w:eastAsia="en-US"/>
              </w:rPr>
              <w:t>D</w:t>
            </w:r>
            <w:r w:rsidRPr="00383193">
              <w:rPr>
                <w:rFonts w:eastAsia="Calibri"/>
                <w:sz w:val="20"/>
                <w:szCs w:val="20"/>
                <w:lang w:eastAsia="en-US"/>
              </w:rPr>
              <w:t>S</w:t>
            </w:r>
          </w:p>
        </w:tc>
        <w:tc>
          <w:tcPr>
            <w:tcW w:w="993" w:type="dxa"/>
            <w:tcBorders>
              <w:right w:val="single" w:sz="4" w:space="0" w:color="auto"/>
            </w:tcBorders>
          </w:tcPr>
          <w:p w14:paraId="494E6828" w14:textId="77777777" w:rsidR="00383193" w:rsidRPr="00383193" w:rsidRDefault="00383193" w:rsidP="00383193">
            <w:pPr>
              <w:jc w:val="both"/>
              <w:rPr>
                <w:rFonts w:eastAsia="Calibri"/>
                <w:sz w:val="20"/>
                <w:szCs w:val="20"/>
                <w:lang w:eastAsia="en-US"/>
              </w:rPr>
            </w:pPr>
            <w:r w:rsidRPr="00383193">
              <w:rPr>
                <w:rFonts w:eastAsia="Calibri"/>
                <w:noProof/>
                <w:sz w:val="20"/>
                <w:szCs w:val="20"/>
                <w:lang w:eastAsia="es-MX"/>
              </w:rPr>
              <mc:AlternateContent>
                <mc:Choice Requires="wps">
                  <w:drawing>
                    <wp:anchor distT="0" distB="0" distL="114300" distR="114300" simplePos="0" relativeHeight="251659264" behindDoc="0" locked="0" layoutInCell="1" allowOverlap="1" wp14:anchorId="22412CCA" wp14:editId="39600E09">
                      <wp:simplePos x="0" y="0"/>
                      <wp:positionH relativeFrom="column">
                        <wp:posOffset>78105</wp:posOffset>
                      </wp:positionH>
                      <wp:positionV relativeFrom="paragraph">
                        <wp:posOffset>109683</wp:posOffset>
                      </wp:positionV>
                      <wp:extent cx="321276" cy="197708"/>
                      <wp:effectExtent l="0" t="19050" r="41275" b="31115"/>
                      <wp:wrapNone/>
                      <wp:docPr id="38" name="Flecha derecha 38"/>
                      <wp:cNvGraphicFramePr/>
                      <a:graphic xmlns:a="http://schemas.openxmlformats.org/drawingml/2006/main">
                        <a:graphicData uri="http://schemas.microsoft.com/office/word/2010/wordprocessingShape">
                          <wps:wsp>
                            <wps:cNvSpPr/>
                            <wps:spPr>
                              <a:xfrm>
                                <a:off x="0" y="0"/>
                                <a:ext cx="321276" cy="197708"/>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B00EA4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38" o:spid="_x0000_s1026" type="#_x0000_t13" style="position:absolute;margin-left:6.15pt;margin-top:8.65pt;width:25.3pt;height:15.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" adj="14954" fillcolor="#5b9bd5" strokecolor="#41719c" strokeweight="1pt"/>
                  </w:pict>
                </mc:Fallback>
              </mc:AlternateContent>
            </w:r>
          </w:p>
        </w:tc>
        <w:tc>
          <w:tcPr>
            <w:tcW w:w="5005" w:type="dxa"/>
            <w:tcBorders>
              <w:top w:val="single" w:sz="4" w:space="0" w:color="auto"/>
              <w:left w:val="single" w:sz="4" w:space="0" w:color="auto"/>
              <w:bottom w:val="single" w:sz="4" w:space="0" w:color="auto"/>
              <w:right w:val="single" w:sz="4" w:space="0" w:color="auto"/>
            </w:tcBorders>
          </w:tcPr>
          <w:p w14:paraId="5FFEAFF4"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Destinados al financiamiento de proyectos reales y empresas en desarrollo</w:t>
            </w:r>
          </w:p>
        </w:tc>
      </w:tr>
      <w:tr w:rsidR="00383193" w:rsidRPr="00383193" w14:paraId="7437E198" w14:textId="77777777" w:rsidTr="009F75B3">
        <w:trPr>
          <w:jc w:val="center"/>
        </w:trPr>
        <w:tc>
          <w:tcPr>
            <w:tcW w:w="850" w:type="dxa"/>
            <w:vAlign w:val="center"/>
          </w:tcPr>
          <w:p w14:paraId="4C3DA3B9" w14:textId="77777777" w:rsidR="00383193" w:rsidRPr="00383193" w:rsidRDefault="00383193" w:rsidP="00383193">
            <w:pPr>
              <w:jc w:val="center"/>
              <w:rPr>
                <w:rFonts w:eastAsia="Calibri"/>
                <w:sz w:val="20"/>
                <w:szCs w:val="20"/>
                <w:lang w:eastAsia="en-US"/>
              </w:rPr>
            </w:pPr>
          </w:p>
        </w:tc>
        <w:tc>
          <w:tcPr>
            <w:tcW w:w="1554" w:type="dxa"/>
            <w:vAlign w:val="center"/>
          </w:tcPr>
          <w:p w14:paraId="73BEBFA1" w14:textId="77777777" w:rsidR="00383193" w:rsidRPr="00383193" w:rsidRDefault="00383193" w:rsidP="00383193">
            <w:pPr>
              <w:jc w:val="both"/>
              <w:rPr>
                <w:rFonts w:eastAsia="Calibri"/>
                <w:sz w:val="20"/>
                <w:szCs w:val="20"/>
                <w:lang w:eastAsia="en-US"/>
              </w:rPr>
            </w:pPr>
          </w:p>
        </w:tc>
        <w:tc>
          <w:tcPr>
            <w:tcW w:w="993" w:type="dxa"/>
          </w:tcPr>
          <w:p w14:paraId="77CA7201" w14:textId="77777777" w:rsidR="00383193" w:rsidRPr="00383193" w:rsidRDefault="00383193" w:rsidP="00383193">
            <w:pPr>
              <w:jc w:val="both"/>
              <w:rPr>
                <w:rFonts w:eastAsia="Calibri"/>
                <w:sz w:val="20"/>
                <w:szCs w:val="20"/>
                <w:lang w:eastAsia="en-US"/>
              </w:rPr>
            </w:pPr>
          </w:p>
        </w:tc>
        <w:tc>
          <w:tcPr>
            <w:tcW w:w="5005" w:type="dxa"/>
            <w:tcBorders>
              <w:top w:val="single" w:sz="4" w:space="0" w:color="auto"/>
              <w:bottom w:val="single" w:sz="4" w:space="0" w:color="auto"/>
            </w:tcBorders>
          </w:tcPr>
          <w:p w14:paraId="2C848D92" w14:textId="77777777" w:rsidR="00383193" w:rsidRPr="00383193" w:rsidRDefault="00383193" w:rsidP="00383193">
            <w:pPr>
              <w:jc w:val="both"/>
              <w:rPr>
                <w:rFonts w:eastAsia="Calibri"/>
                <w:sz w:val="20"/>
                <w:szCs w:val="20"/>
                <w:lang w:eastAsia="en-US"/>
              </w:rPr>
            </w:pPr>
          </w:p>
        </w:tc>
      </w:tr>
      <w:tr w:rsidR="00383193" w:rsidRPr="00383193" w14:paraId="7550D389" w14:textId="77777777" w:rsidTr="009F75B3">
        <w:trPr>
          <w:jc w:val="center"/>
        </w:trPr>
        <w:tc>
          <w:tcPr>
            <w:tcW w:w="850" w:type="dxa"/>
            <w:vAlign w:val="center"/>
          </w:tcPr>
          <w:p w14:paraId="1ED66FF8"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w:t>
            </w:r>
          </w:p>
        </w:tc>
        <w:tc>
          <w:tcPr>
            <w:tcW w:w="1554" w:type="dxa"/>
            <w:vAlign w:val="center"/>
          </w:tcPr>
          <w:p w14:paraId="2392385D" w14:textId="2711CE7B" w:rsidR="00383193" w:rsidRPr="00383193" w:rsidRDefault="00383193" w:rsidP="009F75B3">
            <w:pPr>
              <w:jc w:val="both"/>
              <w:rPr>
                <w:rFonts w:eastAsia="Calibri"/>
                <w:sz w:val="20"/>
                <w:szCs w:val="20"/>
                <w:lang w:eastAsia="en-US"/>
              </w:rPr>
            </w:pPr>
            <w:r w:rsidRPr="00383193">
              <w:rPr>
                <w:rFonts w:eastAsia="Calibri"/>
                <w:sz w:val="20"/>
                <w:szCs w:val="20"/>
                <w:lang w:eastAsia="en-US"/>
              </w:rPr>
              <w:t>FIBRA</w:t>
            </w:r>
            <w:r w:rsidR="009F75B3">
              <w:rPr>
                <w:rFonts w:eastAsia="Calibri"/>
                <w:sz w:val="20"/>
                <w:szCs w:val="20"/>
                <w:lang w:eastAsia="en-US"/>
              </w:rPr>
              <w:t>S</w:t>
            </w:r>
          </w:p>
        </w:tc>
        <w:tc>
          <w:tcPr>
            <w:tcW w:w="993" w:type="dxa"/>
            <w:tcBorders>
              <w:right w:val="single" w:sz="4" w:space="0" w:color="auto"/>
            </w:tcBorders>
          </w:tcPr>
          <w:p w14:paraId="3B891543" w14:textId="77777777" w:rsidR="00383193" w:rsidRPr="00383193" w:rsidRDefault="00383193" w:rsidP="00383193">
            <w:pPr>
              <w:jc w:val="both"/>
              <w:rPr>
                <w:rFonts w:eastAsia="Calibri"/>
                <w:sz w:val="20"/>
                <w:szCs w:val="20"/>
                <w:lang w:eastAsia="en-US"/>
              </w:rPr>
            </w:pPr>
            <w:r w:rsidRPr="00383193">
              <w:rPr>
                <w:rFonts w:eastAsia="Calibri"/>
                <w:noProof/>
                <w:sz w:val="20"/>
                <w:szCs w:val="20"/>
                <w:lang w:eastAsia="es-MX"/>
              </w:rPr>
              <mc:AlternateContent>
                <mc:Choice Requires="wps">
                  <w:drawing>
                    <wp:anchor distT="0" distB="0" distL="114300" distR="114300" simplePos="0" relativeHeight="251660288" behindDoc="0" locked="0" layoutInCell="1" allowOverlap="1" wp14:anchorId="35074224" wp14:editId="728134DE">
                      <wp:simplePos x="0" y="0"/>
                      <wp:positionH relativeFrom="column">
                        <wp:posOffset>81915</wp:posOffset>
                      </wp:positionH>
                      <wp:positionV relativeFrom="paragraph">
                        <wp:posOffset>110318</wp:posOffset>
                      </wp:positionV>
                      <wp:extent cx="321276" cy="197708"/>
                      <wp:effectExtent l="0" t="19050" r="41275" b="31115"/>
                      <wp:wrapNone/>
                      <wp:docPr id="39" name="Flecha derecha 39"/>
                      <wp:cNvGraphicFramePr/>
                      <a:graphic xmlns:a="http://schemas.openxmlformats.org/drawingml/2006/main">
                        <a:graphicData uri="http://schemas.microsoft.com/office/word/2010/wordprocessingShape">
                          <wps:wsp>
                            <wps:cNvSpPr/>
                            <wps:spPr>
                              <a:xfrm>
                                <a:off x="0" y="0"/>
                                <a:ext cx="321276" cy="197708"/>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8ABE45" id="Flecha derecha 39" o:spid="_x0000_s1026" type="#_x0000_t13" style="position:absolute;margin-left:6.45pt;margin-top:8.7pt;width:25.3pt;height:15.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" adj="14954" fillcolor="#5b9bd5" strokecolor="#41719c" strokeweight="1pt"/>
                  </w:pict>
                </mc:Fallback>
              </mc:AlternateContent>
            </w:r>
          </w:p>
        </w:tc>
        <w:tc>
          <w:tcPr>
            <w:tcW w:w="5005" w:type="dxa"/>
            <w:tcBorders>
              <w:top w:val="single" w:sz="4" w:space="0" w:color="auto"/>
              <w:left w:val="single" w:sz="4" w:space="0" w:color="auto"/>
              <w:bottom w:val="single" w:sz="4" w:space="0" w:color="auto"/>
              <w:right w:val="single" w:sz="4" w:space="0" w:color="auto"/>
            </w:tcBorders>
          </w:tcPr>
          <w:p w14:paraId="15017E23"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Especializados en el financiamiento de infraestructura y bienes inmuebles estabilizados</w:t>
            </w:r>
          </w:p>
        </w:tc>
      </w:tr>
      <w:tr w:rsidR="00383193" w:rsidRPr="00383193" w14:paraId="1FC22B6D" w14:textId="77777777" w:rsidTr="009F75B3">
        <w:trPr>
          <w:jc w:val="center"/>
        </w:trPr>
        <w:tc>
          <w:tcPr>
            <w:tcW w:w="850" w:type="dxa"/>
            <w:vAlign w:val="center"/>
          </w:tcPr>
          <w:p w14:paraId="38D03245" w14:textId="77777777" w:rsidR="00383193" w:rsidRPr="00383193" w:rsidRDefault="00383193" w:rsidP="00383193">
            <w:pPr>
              <w:jc w:val="center"/>
              <w:rPr>
                <w:rFonts w:eastAsia="Calibri"/>
                <w:sz w:val="20"/>
                <w:szCs w:val="20"/>
                <w:lang w:eastAsia="en-US"/>
              </w:rPr>
            </w:pPr>
          </w:p>
        </w:tc>
        <w:tc>
          <w:tcPr>
            <w:tcW w:w="1554" w:type="dxa"/>
            <w:vAlign w:val="center"/>
          </w:tcPr>
          <w:p w14:paraId="26255284" w14:textId="77777777" w:rsidR="00383193" w:rsidRPr="00383193" w:rsidRDefault="00383193" w:rsidP="00383193">
            <w:pPr>
              <w:jc w:val="both"/>
              <w:rPr>
                <w:rFonts w:eastAsia="Calibri"/>
                <w:sz w:val="20"/>
                <w:szCs w:val="20"/>
                <w:lang w:eastAsia="en-US"/>
              </w:rPr>
            </w:pPr>
          </w:p>
        </w:tc>
        <w:tc>
          <w:tcPr>
            <w:tcW w:w="993" w:type="dxa"/>
          </w:tcPr>
          <w:p w14:paraId="00DB5671" w14:textId="77777777" w:rsidR="00383193" w:rsidRPr="00383193" w:rsidRDefault="00383193" w:rsidP="00383193">
            <w:pPr>
              <w:jc w:val="both"/>
              <w:rPr>
                <w:rFonts w:eastAsia="Calibri"/>
                <w:sz w:val="20"/>
                <w:szCs w:val="20"/>
                <w:lang w:eastAsia="en-US"/>
              </w:rPr>
            </w:pPr>
          </w:p>
        </w:tc>
        <w:tc>
          <w:tcPr>
            <w:tcW w:w="5005" w:type="dxa"/>
            <w:tcBorders>
              <w:top w:val="single" w:sz="4" w:space="0" w:color="auto"/>
              <w:bottom w:val="single" w:sz="4" w:space="0" w:color="auto"/>
            </w:tcBorders>
          </w:tcPr>
          <w:p w14:paraId="798FE146" w14:textId="77777777" w:rsidR="00383193" w:rsidRPr="00383193" w:rsidRDefault="00383193" w:rsidP="00383193">
            <w:pPr>
              <w:jc w:val="both"/>
              <w:rPr>
                <w:rFonts w:eastAsia="Calibri"/>
                <w:sz w:val="20"/>
                <w:szCs w:val="20"/>
                <w:lang w:eastAsia="en-US"/>
              </w:rPr>
            </w:pPr>
          </w:p>
        </w:tc>
      </w:tr>
      <w:tr w:rsidR="00383193" w:rsidRPr="00383193" w14:paraId="7701B5CC" w14:textId="77777777" w:rsidTr="009F75B3">
        <w:trPr>
          <w:jc w:val="center"/>
        </w:trPr>
        <w:tc>
          <w:tcPr>
            <w:tcW w:w="850" w:type="dxa"/>
            <w:vAlign w:val="center"/>
          </w:tcPr>
          <w:p w14:paraId="7708B050"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3</w:t>
            </w:r>
          </w:p>
        </w:tc>
        <w:tc>
          <w:tcPr>
            <w:tcW w:w="1554" w:type="dxa"/>
            <w:vAlign w:val="center"/>
          </w:tcPr>
          <w:p w14:paraId="2360E45A" w14:textId="1D7B5526" w:rsidR="00383193" w:rsidRPr="00383193" w:rsidRDefault="00383193" w:rsidP="00383193">
            <w:pPr>
              <w:jc w:val="both"/>
              <w:rPr>
                <w:rFonts w:eastAsia="Calibri"/>
                <w:sz w:val="20"/>
                <w:szCs w:val="20"/>
                <w:lang w:eastAsia="en-US"/>
              </w:rPr>
            </w:pPr>
            <w:r w:rsidRPr="00383193">
              <w:rPr>
                <w:rFonts w:eastAsia="Calibri"/>
                <w:sz w:val="20"/>
                <w:szCs w:val="20"/>
                <w:lang w:eastAsia="en-US"/>
              </w:rPr>
              <w:t>REIT</w:t>
            </w:r>
            <w:r w:rsidR="009F75B3">
              <w:rPr>
                <w:rFonts w:eastAsia="Calibri"/>
                <w:sz w:val="20"/>
                <w:szCs w:val="20"/>
                <w:lang w:eastAsia="en-US"/>
              </w:rPr>
              <w:t>S</w:t>
            </w:r>
          </w:p>
        </w:tc>
        <w:tc>
          <w:tcPr>
            <w:tcW w:w="993" w:type="dxa"/>
            <w:tcBorders>
              <w:right w:val="single" w:sz="4" w:space="0" w:color="auto"/>
            </w:tcBorders>
          </w:tcPr>
          <w:p w14:paraId="57250AC3" w14:textId="77777777" w:rsidR="00383193" w:rsidRPr="00383193" w:rsidRDefault="00383193" w:rsidP="00383193">
            <w:pPr>
              <w:jc w:val="both"/>
              <w:rPr>
                <w:rFonts w:eastAsia="Calibri"/>
                <w:sz w:val="20"/>
                <w:szCs w:val="20"/>
                <w:lang w:eastAsia="en-US"/>
              </w:rPr>
            </w:pPr>
            <w:r w:rsidRPr="00383193">
              <w:rPr>
                <w:rFonts w:eastAsia="Calibri"/>
                <w:noProof/>
                <w:sz w:val="20"/>
                <w:szCs w:val="20"/>
                <w:lang w:eastAsia="es-MX"/>
              </w:rPr>
              <mc:AlternateContent>
                <mc:Choice Requires="wps">
                  <w:drawing>
                    <wp:anchor distT="0" distB="0" distL="114300" distR="114300" simplePos="0" relativeHeight="251661312" behindDoc="0" locked="0" layoutInCell="1" allowOverlap="1" wp14:anchorId="61D62806" wp14:editId="6FCA664A">
                      <wp:simplePos x="0" y="0"/>
                      <wp:positionH relativeFrom="column">
                        <wp:posOffset>75565</wp:posOffset>
                      </wp:positionH>
                      <wp:positionV relativeFrom="paragraph">
                        <wp:posOffset>118573</wp:posOffset>
                      </wp:positionV>
                      <wp:extent cx="320675" cy="197485"/>
                      <wp:effectExtent l="0" t="19050" r="41275" b="31115"/>
                      <wp:wrapNone/>
                      <wp:docPr id="40" name="Flecha derecha 40"/>
                      <wp:cNvGraphicFramePr/>
                      <a:graphic xmlns:a="http://schemas.openxmlformats.org/drawingml/2006/main">
                        <a:graphicData uri="http://schemas.microsoft.com/office/word/2010/wordprocessingShape">
                          <wps:wsp>
                            <wps:cNvSpPr/>
                            <wps:spPr>
                              <a:xfrm>
                                <a:off x="0" y="0"/>
                                <a:ext cx="320675" cy="19748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42483C7" id="Flecha derecha 40" o:spid="_x0000_s1026" type="#_x0000_t13" style="position:absolute;margin-left:5.95pt;margin-top:9.35pt;width:25.25pt;height:15.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" adj="14949" fillcolor="#5b9bd5" strokecolor="#41719c" strokeweight="1pt"/>
                  </w:pict>
                </mc:Fallback>
              </mc:AlternateContent>
            </w:r>
          </w:p>
        </w:tc>
        <w:tc>
          <w:tcPr>
            <w:tcW w:w="5005" w:type="dxa"/>
            <w:tcBorders>
              <w:top w:val="single" w:sz="4" w:space="0" w:color="auto"/>
              <w:left w:val="single" w:sz="4" w:space="0" w:color="auto"/>
              <w:bottom w:val="single" w:sz="4" w:space="0" w:color="auto"/>
              <w:right w:val="single" w:sz="4" w:space="0" w:color="auto"/>
            </w:tcBorders>
          </w:tcPr>
          <w:p w14:paraId="431AD247"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Similares a las FIBRAs, pero listado en países elegibles</w:t>
            </w:r>
          </w:p>
        </w:tc>
      </w:tr>
      <w:tr w:rsidR="00383193" w:rsidRPr="00383193" w14:paraId="5BA68A3F" w14:textId="77777777" w:rsidTr="009F75B3">
        <w:trPr>
          <w:jc w:val="center"/>
        </w:trPr>
        <w:tc>
          <w:tcPr>
            <w:tcW w:w="850" w:type="dxa"/>
            <w:vAlign w:val="center"/>
          </w:tcPr>
          <w:p w14:paraId="17A8424E" w14:textId="77777777" w:rsidR="00383193" w:rsidRPr="00383193" w:rsidRDefault="00383193" w:rsidP="00383193">
            <w:pPr>
              <w:jc w:val="center"/>
              <w:rPr>
                <w:rFonts w:eastAsia="Calibri"/>
                <w:sz w:val="20"/>
                <w:szCs w:val="20"/>
                <w:lang w:eastAsia="en-US"/>
              </w:rPr>
            </w:pPr>
          </w:p>
        </w:tc>
        <w:tc>
          <w:tcPr>
            <w:tcW w:w="1554" w:type="dxa"/>
            <w:vAlign w:val="center"/>
          </w:tcPr>
          <w:p w14:paraId="2D047318" w14:textId="77777777" w:rsidR="00383193" w:rsidRPr="00383193" w:rsidRDefault="00383193" w:rsidP="00383193">
            <w:pPr>
              <w:jc w:val="both"/>
              <w:rPr>
                <w:rFonts w:eastAsia="Calibri"/>
                <w:sz w:val="20"/>
                <w:szCs w:val="20"/>
                <w:lang w:eastAsia="en-US"/>
              </w:rPr>
            </w:pPr>
          </w:p>
        </w:tc>
        <w:tc>
          <w:tcPr>
            <w:tcW w:w="993" w:type="dxa"/>
          </w:tcPr>
          <w:p w14:paraId="1EC02182" w14:textId="77777777" w:rsidR="00383193" w:rsidRPr="00383193" w:rsidRDefault="00383193" w:rsidP="00383193">
            <w:pPr>
              <w:jc w:val="both"/>
              <w:rPr>
                <w:rFonts w:eastAsia="Calibri"/>
                <w:sz w:val="20"/>
                <w:szCs w:val="20"/>
                <w:lang w:eastAsia="en-US"/>
              </w:rPr>
            </w:pPr>
          </w:p>
        </w:tc>
        <w:tc>
          <w:tcPr>
            <w:tcW w:w="5005" w:type="dxa"/>
            <w:tcBorders>
              <w:top w:val="single" w:sz="4" w:space="0" w:color="auto"/>
              <w:bottom w:val="single" w:sz="4" w:space="0" w:color="auto"/>
            </w:tcBorders>
          </w:tcPr>
          <w:p w14:paraId="4BD23E22" w14:textId="77777777" w:rsidR="00383193" w:rsidRPr="00383193" w:rsidRDefault="00383193" w:rsidP="00383193">
            <w:pPr>
              <w:jc w:val="both"/>
              <w:rPr>
                <w:rFonts w:eastAsia="Calibri"/>
                <w:sz w:val="20"/>
                <w:szCs w:val="20"/>
                <w:lang w:eastAsia="en-US"/>
              </w:rPr>
            </w:pPr>
          </w:p>
        </w:tc>
      </w:tr>
      <w:tr w:rsidR="00383193" w:rsidRPr="00383193" w14:paraId="415032D2" w14:textId="77777777" w:rsidTr="00EA3974">
        <w:trPr>
          <w:jc w:val="center"/>
        </w:trPr>
        <w:tc>
          <w:tcPr>
            <w:tcW w:w="850" w:type="dxa"/>
            <w:vAlign w:val="center"/>
          </w:tcPr>
          <w:p w14:paraId="1F12824F"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4</w:t>
            </w:r>
          </w:p>
        </w:tc>
        <w:tc>
          <w:tcPr>
            <w:tcW w:w="1554" w:type="dxa"/>
            <w:vAlign w:val="center"/>
          </w:tcPr>
          <w:p w14:paraId="241DC800"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Certificados Bursátiles</w:t>
            </w:r>
          </w:p>
        </w:tc>
        <w:tc>
          <w:tcPr>
            <w:tcW w:w="993" w:type="dxa"/>
            <w:tcBorders>
              <w:right w:val="single" w:sz="4" w:space="0" w:color="auto"/>
            </w:tcBorders>
          </w:tcPr>
          <w:p w14:paraId="258E5D6D" w14:textId="77777777" w:rsidR="00383193" w:rsidRPr="00383193" w:rsidRDefault="00383193" w:rsidP="00383193">
            <w:pPr>
              <w:jc w:val="both"/>
              <w:rPr>
                <w:rFonts w:eastAsia="Calibri"/>
                <w:sz w:val="20"/>
                <w:szCs w:val="20"/>
                <w:lang w:eastAsia="en-US"/>
              </w:rPr>
            </w:pPr>
            <w:r w:rsidRPr="00383193">
              <w:rPr>
                <w:rFonts w:eastAsia="Calibri"/>
                <w:noProof/>
                <w:sz w:val="20"/>
                <w:szCs w:val="20"/>
                <w:lang w:eastAsia="es-MX"/>
              </w:rPr>
              <mc:AlternateContent>
                <mc:Choice Requires="wps">
                  <w:drawing>
                    <wp:anchor distT="0" distB="0" distL="114300" distR="114300" simplePos="0" relativeHeight="251662336" behindDoc="0" locked="0" layoutInCell="1" allowOverlap="1" wp14:anchorId="42C3053E" wp14:editId="4EACE5C7">
                      <wp:simplePos x="0" y="0"/>
                      <wp:positionH relativeFrom="column">
                        <wp:posOffset>68580</wp:posOffset>
                      </wp:positionH>
                      <wp:positionV relativeFrom="paragraph">
                        <wp:posOffset>141777</wp:posOffset>
                      </wp:positionV>
                      <wp:extent cx="321276" cy="197708"/>
                      <wp:effectExtent l="0" t="19050" r="41275" b="31115"/>
                      <wp:wrapNone/>
                      <wp:docPr id="41" name="Flecha derecha 41"/>
                      <wp:cNvGraphicFramePr/>
                      <a:graphic xmlns:a="http://schemas.openxmlformats.org/drawingml/2006/main">
                        <a:graphicData uri="http://schemas.microsoft.com/office/word/2010/wordprocessingShape">
                          <wps:wsp>
                            <wps:cNvSpPr/>
                            <wps:spPr>
                              <a:xfrm>
                                <a:off x="0" y="0"/>
                                <a:ext cx="321276" cy="197708"/>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E16CF8" id="Flecha derecha 41" o:spid="_x0000_s1026" type="#_x0000_t13" style="position:absolute;margin-left:5.4pt;margin-top:11.15pt;width:25.3pt;height:15.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" adj="14954" fillcolor="#5b9bd5" strokecolor="#41719c" strokeweight="1pt"/>
                  </w:pict>
                </mc:Fallback>
              </mc:AlternateContent>
            </w:r>
          </w:p>
        </w:tc>
        <w:tc>
          <w:tcPr>
            <w:tcW w:w="5005" w:type="dxa"/>
            <w:tcBorders>
              <w:top w:val="single" w:sz="4" w:space="0" w:color="auto"/>
              <w:left w:val="single" w:sz="4" w:space="0" w:color="auto"/>
              <w:bottom w:val="single" w:sz="4" w:space="0" w:color="auto"/>
              <w:right w:val="single" w:sz="4" w:space="0" w:color="auto"/>
            </w:tcBorders>
          </w:tcPr>
          <w:p w14:paraId="61A2E5A1"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Deuda cuya fuente de pago son activos/proyectos reales</w:t>
            </w:r>
          </w:p>
        </w:tc>
      </w:tr>
      <w:tr w:rsidR="00383193" w:rsidRPr="00383193" w14:paraId="58F0F2E4" w14:textId="77777777" w:rsidTr="00EA3974">
        <w:trPr>
          <w:jc w:val="center"/>
        </w:trPr>
        <w:tc>
          <w:tcPr>
            <w:tcW w:w="8402" w:type="dxa"/>
            <w:gridSpan w:val="4"/>
          </w:tcPr>
          <w:p w14:paraId="3CBA7A41"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r>
    </w:tbl>
    <w:p w14:paraId="2EA30885" w14:textId="77777777" w:rsidR="00383193" w:rsidRPr="00383193" w:rsidRDefault="00383193" w:rsidP="00383193">
      <w:pPr>
        <w:spacing w:after="360" w:line="360" w:lineRule="auto"/>
        <w:ind w:right="-159"/>
        <w:jc w:val="both"/>
        <w:rPr>
          <w:rFonts w:eastAsia="Calibri"/>
          <w:sz w:val="26"/>
          <w:szCs w:val="26"/>
          <w:lang w:eastAsia="en-US"/>
        </w:rPr>
      </w:pPr>
    </w:p>
    <w:p w14:paraId="3F8A9B2D" w14:textId="4C0FF62C"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Las Afore h</w:t>
      </w:r>
      <w:r w:rsidR="009F75B3">
        <w:rPr>
          <w:rFonts w:eastAsia="Calibri"/>
          <w:sz w:val="26"/>
          <w:szCs w:val="26"/>
          <w:lang w:eastAsia="en-US"/>
        </w:rPr>
        <w:t>an aumentado su posición en CKDS</w:t>
      </w:r>
      <w:r w:rsidRPr="00383193">
        <w:rPr>
          <w:rFonts w:eastAsia="Calibri"/>
          <w:sz w:val="26"/>
          <w:szCs w:val="26"/>
          <w:lang w:eastAsia="en-US"/>
        </w:rPr>
        <w:t xml:space="preserve"> para llegar a un monto total de 80 mil 521 millones de pesos (mdp).</w:t>
      </w:r>
    </w:p>
    <w:p w14:paraId="436FE46A"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ascii="Calibri" w:eastAsia="Calibri" w:hAnsi="Calibri"/>
          <w:sz w:val="22"/>
          <w:szCs w:val="22"/>
          <w:lang w:eastAsia="en-US"/>
        </w:rPr>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CONSAR.pptx!304"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59F7DD5B" wp14:editId="14F3D2A3">
            <wp:extent cx="5418455" cy="3329940"/>
            <wp:effectExtent l="0" t="0" r="0" b="381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324" cstate="print">
                      <a:extLst>
                        <a:ext uri="{28A0092B-C50C-407E-A947-70E740481C1C}">
                          <a14:useLocalDpi xmlns:a14="http://schemas.microsoft.com/office/drawing/2010/main" val="0"/>
                        </a:ext>
                      </a:extLst>
                    </a:blip>
                    <a:srcRect l="4695" r="6259" b="2777"/>
                    <a:stretch>
                      <a:fillRect/>
                    </a:stretch>
                  </pic:blipFill>
                  <pic:spPr bwMode="auto">
                    <a:xfrm>
                      <a:off x="0" y="0"/>
                      <a:ext cx="5418455" cy="3329940"/>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p w14:paraId="369A92E5" w14:textId="77777777" w:rsidR="00383193" w:rsidRPr="00383193" w:rsidRDefault="00383193" w:rsidP="00383193">
      <w:pPr>
        <w:spacing w:after="360" w:line="360" w:lineRule="auto"/>
        <w:ind w:right="-159"/>
        <w:jc w:val="both"/>
        <w:rPr>
          <w:rFonts w:eastAsia="Calibri"/>
          <w:sz w:val="26"/>
          <w:szCs w:val="26"/>
          <w:lang w:eastAsia="en-US"/>
        </w:rPr>
      </w:pPr>
    </w:p>
    <w:p w14:paraId="6302339B" w14:textId="5D3479D3" w:rsidR="00383193" w:rsidRPr="00383193" w:rsidRDefault="009F75B3" w:rsidP="00383193">
      <w:pPr>
        <w:spacing w:after="360" w:line="360" w:lineRule="auto"/>
        <w:ind w:right="-159"/>
        <w:jc w:val="both"/>
        <w:rPr>
          <w:rFonts w:eastAsia="Calibri"/>
          <w:sz w:val="26"/>
          <w:szCs w:val="26"/>
          <w:lang w:eastAsia="en-US"/>
        </w:rPr>
      </w:pPr>
      <w:r>
        <w:rPr>
          <w:rFonts w:eastAsia="Calibri"/>
          <w:sz w:val="26"/>
          <w:szCs w:val="26"/>
          <w:lang w:eastAsia="en-US"/>
        </w:rPr>
        <w:lastRenderedPageBreak/>
        <w:t>A través de la inversión en CKDS</w:t>
      </w:r>
      <w:r w:rsidR="00383193" w:rsidRPr="00383193">
        <w:rPr>
          <w:rFonts w:eastAsia="Calibri"/>
          <w:sz w:val="26"/>
          <w:szCs w:val="26"/>
          <w:lang w:eastAsia="en-US"/>
        </w:rPr>
        <w:t>, las Afore han financiado una amplia gama de proyectos y empresas.</w:t>
      </w:r>
    </w:p>
    <w:tbl>
      <w:tblPr>
        <w:tblW w:w="0" w:type="auto"/>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2723"/>
        <w:gridCol w:w="2127"/>
      </w:tblGrid>
      <w:tr w:rsidR="00383193" w:rsidRPr="00383193" w14:paraId="3F87D638" w14:textId="77777777" w:rsidTr="009F75B3">
        <w:tc>
          <w:tcPr>
            <w:tcW w:w="1566" w:type="dxa"/>
          </w:tcPr>
          <w:p w14:paraId="6682A809" w14:textId="77777777" w:rsidR="00383193" w:rsidRPr="00383193" w:rsidRDefault="00383193" w:rsidP="00383193">
            <w:pPr>
              <w:jc w:val="center"/>
              <w:rPr>
                <w:rFonts w:eastAsia="Calibri"/>
                <w:b/>
                <w:sz w:val="20"/>
                <w:szCs w:val="20"/>
                <w:lang w:eastAsia="en-US"/>
              </w:rPr>
            </w:pPr>
          </w:p>
        </w:tc>
        <w:tc>
          <w:tcPr>
            <w:tcW w:w="2723" w:type="dxa"/>
            <w:vAlign w:val="center"/>
          </w:tcPr>
          <w:p w14:paraId="3D753C3C"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Tipo de CKD</w:t>
            </w:r>
          </w:p>
        </w:tc>
        <w:tc>
          <w:tcPr>
            <w:tcW w:w="2127" w:type="dxa"/>
          </w:tcPr>
          <w:p w14:paraId="559490E7"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Porcentaje de la Inversión en las Afore</w:t>
            </w:r>
          </w:p>
        </w:tc>
      </w:tr>
      <w:tr w:rsidR="00383193" w:rsidRPr="00383193" w14:paraId="280FD060" w14:textId="77777777" w:rsidTr="009F75B3">
        <w:tc>
          <w:tcPr>
            <w:tcW w:w="1566" w:type="dxa"/>
          </w:tcPr>
          <w:p w14:paraId="5931F630"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68E4843D" wp14:editId="21B20DE0">
                  <wp:extent cx="857311" cy="364524"/>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50985" cy="404354"/>
                          </a:xfrm>
                          <a:prstGeom prst="rect">
                            <a:avLst/>
                          </a:prstGeom>
                          <a:noFill/>
                          <a:ln>
                            <a:noFill/>
                          </a:ln>
                        </pic:spPr>
                      </pic:pic>
                    </a:graphicData>
                  </a:graphic>
                </wp:inline>
              </w:drawing>
            </w:r>
          </w:p>
        </w:tc>
        <w:tc>
          <w:tcPr>
            <w:tcW w:w="2723" w:type="dxa"/>
            <w:vAlign w:val="center"/>
          </w:tcPr>
          <w:p w14:paraId="6CBE7317"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Inversiones de Capital</w:t>
            </w:r>
          </w:p>
        </w:tc>
        <w:tc>
          <w:tcPr>
            <w:tcW w:w="2127" w:type="dxa"/>
            <w:vAlign w:val="center"/>
          </w:tcPr>
          <w:p w14:paraId="61522985"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34.6</w:t>
            </w:r>
          </w:p>
        </w:tc>
      </w:tr>
      <w:tr w:rsidR="00383193" w:rsidRPr="00383193" w14:paraId="481742C9" w14:textId="77777777" w:rsidTr="009F75B3">
        <w:tc>
          <w:tcPr>
            <w:tcW w:w="1566" w:type="dxa"/>
          </w:tcPr>
          <w:p w14:paraId="01B9AC6D"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46CB0B90" wp14:editId="76876E33">
                  <wp:extent cx="735004" cy="438665"/>
                  <wp:effectExtent l="0" t="0" r="825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799921" cy="477408"/>
                          </a:xfrm>
                          <a:prstGeom prst="rect">
                            <a:avLst/>
                          </a:prstGeom>
                          <a:noFill/>
                          <a:ln>
                            <a:noFill/>
                          </a:ln>
                        </pic:spPr>
                      </pic:pic>
                    </a:graphicData>
                  </a:graphic>
                </wp:inline>
              </w:drawing>
            </w:r>
          </w:p>
        </w:tc>
        <w:tc>
          <w:tcPr>
            <w:tcW w:w="2723" w:type="dxa"/>
            <w:vAlign w:val="center"/>
          </w:tcPr>
          <w:p w14:paraId="4B1871E4"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Infraestructura</w:t>
            </w:r>
          </w:p>
        </w:tc>
        <w:tc>
          <w:tcPr>
            <w:tcW w:w="2127" w:type="dxa"/>
            <w:vAlign w:val="center"/>
          </w:tcPr>
          <w:p w14:paraId="03D61CB0"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30.0</w:t>
            </w:r>
          </w:p>
        </w:tc>
      </w:tr>
      <w:tr w:rsidR="00383193" w:rsidRPr="00383193" w14:paraId="125895D8" w14:textId="77777777" w:rsidTr="009F75B3">
        <w:tc>
          <w:tcPr>
            <w:tcW w:w="1566" w:type="dxa"/>
          </w:tcPr>
          <w:p w14:paraId="3F69F15C"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449B8107" wp14:editId="1CB1D5F7">
                  <wp:extent cx="802181" cy="415289"/>
                  <wp:effectExtent l="0" t="0" r="0"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844055" cy="436967"/>
                          </a:xfrm>
                          <a:prstGeom prst="rect">
                            <a:avLst/>
                          </a:prstGeom>
                          <a:noFill/>
                          <a:ln>
                            <a:noFill/>
                          </a:ln>
                        </pic:spPr>
                      </pic:pic>
                    </a:graphicData>
                  </a:graphic>
                </wp:inline>
              </w:drawing>
            </w:r>
          </w:p>
        </w:tc>
        <w:tc>
          <w:tcPr>
            <w:tcW w:w="2723" w:type="dxa"/>
            <w:vAlign w:val="center"/>
          </w:tcPr>
          <w:p w14:paraId="5E5D362E"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Inmobiliario</w:t>
            </w:r>
          </w:p>
        </w:tc>
        <w:tc>
          <w:tcPr>
            <w:tcW w:w="2127" w:type="dxa"/>
            <w:vAlign w:val="center"/>
          </w:tcPr>
          <w:p w14:paraId="38F461CC"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23.0</w:t>
            </w:r>
          </w:p>
        </w:tc>
      </w:tr>
      <w:tr w:rsidR="00383193" w:rsidRPr="00383193" w14:paraId="0C5F3ABC" w14:textId="77777777" w:rsidTr="009F75B3">
        <w:tc>
          <w:tcPr>
            <w:tcW w:w="1566" w:type="dxa"/>
          </w:tcPr>
          <w:p w14:paraId="6B7944ED"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6D6A3833" wp14:editId="1EFAE3B5">
                  <wp:extent cx="701023" cy="390916"/>
                  <wp:effectExtent l="0" t="0" r="4445"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738756" cy="411957"/>
                          </a:xfrm>
                          <a:prstGeom prst="rect">
                            <a:avLst/>
                          </a:prstGeom>
                          <a:noFill/>
                          <a:ln>
                            <a:noFill/>
                          </a:ln>
                        </pic:spPr>
                      </pic:pic>
                    </a:graphicData>
                  </a:graphic>
                </wp:inline>
              </w:drawing>
            </w:r>
          </w:p>
        </w:tc>
        <w:tc>
          <w:tcPr>
            <w:tcW w:w="2723" w:type="dxa"/>
            <w:vAlign w:val="center"/>
          </w:tcPr>
          <w:p w14:paraId="2656208D"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Energía</w:t>
            </w:r>
          </w:p>
        </w:tc>
        <w:tc>
          <w:tcPr>
            <w:tcW w:w="2127" w:type="dxa"/>
            <w:vAlign w:val="center"/>
          </w:tcPr>
          <w:p w14:paraId="512B7CCA"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5.2</w:t>
            </w:r>
          </w:p>
        </w:tc>
      </w:tr>
      <w:tr w:rsidR="00383193" w:rsidRPr="00383193" w14:paraId="3C18AC9E" w14:textId="77777777" w:rsidTr="009F75B3">
        <w:tc>
          <w:tcPr>
            <w:tcW w:w="1566" w:type="dxa"/>
          </w:tcPr>
          <w:p w14:paraId="3C5D009C"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19FE4EE1" wp14:editId="4C24C316">
                  <wp:extent cx="709999" cy="470578"/>
                  <wp:effectExtent l="0" t="0" r="0" b="571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725691" cy="480978"/>
                          </a:xfrm>
                          <a:prstGeom prst="rect">
                            <a:avLst/>
                          </a:prstGeom>
                          <a:noFill/>
                          <a:ln>
                            <a:noFill/>
                          </a:ln>
                        </pic:spPr>
                      </pic:pic>
                    </a:graphicData>
                  </a:graphic>
                </wp:inline>
              </w:drawing>
            </w:r>
          </w:p>
        </w:tc>
        <w:tc>
          <w:tcPr>
            <w:tcW w:w="2723" w:type="dxa"/>
            <w:vAlign w:val="center"/>
          </w:tcPr>
          <w:p w14:paraId="56ED30FE"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Forestal</w:t>
            </w:r>
          </w:p>
        </w:tc>
        <w:tc>
          <w:tcPr>
            <w:tcW w:w="2127" w:type="dxa"/>
            <w:vAlign w:val="center"/>
          </w:tcPr>
          <w:p w14:paraId="647D75AF"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4.1</w:t>
            </w:r>
          </w:p>
        </w:tc>
      </w:tr>
      <w:tr w:rsidR="00383193" w:rsidRPr="00383193" w14:paraId="234BDB6D" w14:textId="77777777" w:rsidTr="009F75B3">
        <w:tc>
          <w:tcPr>
            <w:tcW w:w="1566" w:type="dxa"/>
            <w:tcBorders>
              <w:bottom w:val="single" w:sz="4" w:space="0" w:color="auto"/>
            </w:tcBorders>
          </w:tcPr>
          <w:p w14:paraId="19A2EE69"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w:drawing>
                <wp:inline distT="0" distB="0" distL="0" distR="0" wp14:anchorId="395D096B" wp14:editId="413F3353">
                  <wp:extent cx="733290" cy="459919"/>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67216" cy="481197"/>
                          </a:xfrm>
                          <a:prstGeom prst="rect">
                            <a:avLst/>
                          </a:prstGeom>
                          <a:noFill/>
                          <a:ln>
                            <a:noFill/>
                          </a:ln>
                        </pic:spPr>
                      </pic:pic>
                    </a:graphicData>
                  </a:graphic>
                </wp:inline>
              </w:drawing>
            </w:r>
          </w:p>
        </w:tc>
        <w:tc>
          <w:tcPr>
            <w:tcW w:w="2723" w:type="dxa"/>
            <w:tcBorders>
              <w:bottom w:val="single" w:sz="4" w:space="0" w:color="auto"/>
            </w:tcBorders>
            <w:vAlign w:val="center"/>
          </w:tcPr>
          <w:p w14:paraId="1AA0F0CA"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Servicios Financieros</w:t>
            </w:r>
          </w:p>
        </w:tc>
        <w:tc>
          <w:tcPr>
            <w:tcW w:w="2127" w:type="dxa"/>
            <w:tcBorders>
              <w:bottom w:val="single" w:sz="4" w:space="0" w:color="auto"/>
            </w:tcBorders>
            <w:vAlign w:val="center"/>
          </w:tcPr>
          <w:p w14:paraId="2B42232A" w14:textId="77777777" w:rsidR="00383193" w:rsidRPr="00383193" w:rsidRDefault="00383193" w:rsidP="00383193">
            <w:pPr>
              <w:ind w:left="-680" w:right="851"/>
              <w:jc w:val="right"/>
              <w:rPr>
                <w:rFonts w:eastAsia="Calibri"/>
                <w:sz w:val="20"/>
                <w:szCs w:val="20"/>
                <w:lang w:eastAsia="en-US"/>
              </w:rPr>
            </w:pPr>
            <w:r w:rsidRPr="00383193">
              <w:rPr>
                <w:rFonts w:eastAsia="Calibri"/>
                <w:sz w:val="20"/>
                <w:szCs w:val="20"/>
                <w:lang w:eastAsia="en-US"/>
              </w:rPr>
              <w:t>3.1</w:t>
            </w:r>
          </w:p>
        </w:tc>
      </w:tr>
      <w:tr w:rsidR="00383193" w:rsidRPr="00383193" w14:paraId="6110187C" w14:textId="77777777" w:rsidTr="009F75B3">
        <w:tc>
          <w:tcPr>
            <w:tcW w:w="6416" w:type="dxa"/>
            <w:gridSpan w:val="3"/>
            <w:tcBorders>
              <w:left w:val="nil"/>
              <w:bottom w:val="nil"/>
              <w:right w:val="nil"/>
            </w:tcBorders>
          </w:tcPr>
          <w:p w14:paraId="302D9DEB" w14:textId="77777777" w:rsidR="00383193" w:rsidRPr="00383193" w:rsidRDefault="00383193" w:rsidP="00383193">
            <w:pPr>
              <w:spacing w:before="240"/>
              <w:jc w:val="both"/>
              <w:rPr>
                <w:rFonts w:eastAsia="Calibri"/>
                <w:sz w:val="20"/>
                <w:szCs w:val="20"/>
                <w:lang w:eastAsia="en-US"/>
              </w:rPr>
            </w:pPr>
            <w:r w:rsidRPr="00383193">
              <w:rPr>
                <w:rFonts w:eastAsia="Calibri"/>
                <w:sz w:val="20"/>
                <w:szCs w:val="20"/>
                <w:lang w:eastAsia="en-US"/>
              </w:rPr>
              <w:t xml:space="preserve">FUENTE: Consar. </w:t>
            </w:r>
          </w:p>
        </w:tc>
      </w:tr>
    </w:tbl>
    <w:p w14:paraId="41883E44" w14:textId="77777777" w:rsidR="00383193" w:rsidRPr="00383193" w:rsidRDefault="00383193" w:rsidP="00383193">
      <w:pPr>
        <w:spacing w:after="360" w:line="360" w:lineRule="auto"/>
        <w:ind w:right="-159"/>
        <w:jc w:val="both"/>
        <w:rPr>
          <w:rFonts w:eastAsia="Calibri"/>
          <w:sz w:val="26"/>
          <w:szCs w:val="26"/>
          <w:lang w:eastAsia="en-US"/>
        </w:rPr>
      </w:pPr>
    </w:p>
    <w:p w14:paraId="22C97BCA" w14:textId="77777777" w:rsidR="00383193" w:rsidRPr="00383193" w:rsidRDefault="00383193" w:rsidP="003B27DE">
      <w:pPr>
        <w:numPr>
          <w:ilvl w:val="0"/>
          <w:numId w:val="17"/>
        </w:numPr>
        <w:spacing w:after="360" w:line="360" w:lineRule="auto"/>
        <w:ind w:left="567" w:right="-159" w:hanging="567"/>
        <w:jc w:val="both"/>
        <w:rPr>
          <w:rFonts w:eastAsia="Calibri"/>
          <w:b/>
          <w:sz w:val="26"/>
          <w:szCs w:val="26"/>
          <w:lang w:eastAsia="en-US"/>
        </w:rPr>
      </w:pPr>
      <w:r w:rsidRPr="00383193">
        <w:rPr>
          <w:rFonts w:eastAsia="Calibri"/>
          <w:b/>
          <w:sz w:val="26"/>
          <w:szCs w:val="26"/>
          <w:lang w:eastAsia="en-US"/>
        </w:rPr>
        <w:t>Nuevas oportunidades de inversión</w:t>
      </w:r>
    </w:p>
    <w:p w14:paraId="269EB9FE"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Se estima que los activos administrados por las Afore seguirán creciendo a buen ritmo.</w:t>
      </w:r>
    </w:p>
    <w:p w14:paraId="3252154C"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ascii="Calibri" w:eastAsia="Calibri" w:hAnsi="Calibri"/>
          <w:sz w:val="22"/>
          <w:szCs w:val="22"/>
          <w:lang w:eastAsia="en-US"/>
        </w:rPr>
        <w:lastRenderedPageBreak/>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CONSAR.pptx!297"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30A0CEBF" wp14:editId="242835D4">
            <wp:extent cx="4627880" cy="3286760"/>
            <wp:effectExtent l="0" t="0" r="1270" b="889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331" cstate="print">
                      <a:extLst>
                        <a:ext uri="{28A0092B-C50C-407E-A947-70E740481C1C}">
                          <a14:useLocalDpi xmlns:a14="http://schemas.microsoft.com/office/drawing/2010/main" val="0"/>
                        </a:ext>
                      </a:extLst>
                    </a:blip>
                    <a:srcRect l="13771" r="10172" b="4167"/>
                    <a:stretch>
                      <a:fillRect/>
                    </a:stretch>
                  </pic:blipFill>
                  <pic:spPr bwMode="auto">
                    <a:xfrm>
                      <a:off x="0" y="0"/>
                      <a:ext cx="4627880" cy="3286760"/>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p w14:paraId="1207DE27"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Las reformas estructurales se traducirán en oportunidades de inversión en los próximos años.</w:t>
      </w:r>
    </w:p>
    <w:p w14:paraId="52E233F7"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ascii="Calibri" w:eastAsia="Calibri" w:hAnsi="Calibri"/>
          <w:sz w:val="22"/>
          <w:szCs w:val="22"/>
          <w:lang w:eastAsia="en-US"/>
        </w:rPr>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CONSAR.pptx!298"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35A5C196" wp14:editId="33005A7B">
            <wp:extent cx="5078730" cy="3429000"/>
            <wp:effectExtent l="0" t="0" r="762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332" cstate="print">
                      <a:extLst>
                        <a:ext uri="{28A0092B-C50C-407E-A947-70E740481C1C}">
                          <a14:useLocalDpi xmlns:a14="http://schemas.microsoft.com/office/drawing/2010/main" val="0"/>
                        </a:ext>
                      </a:extLst>
                    </a:blip>
                    <a:srcRect l="7512" r="9076"/>
                    <a:stretch>
                      <a:fillRect/>
                    </a:stretch>
                  </pic:blipFill>
                  <pic:spPr bwMode="auto">
                    <a:xfrm>
                      <a:off x="0" y="0"/>
                      <a:ext cx="5078730" cy="3429000"/>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p w14:paraId="4AF0749B"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Las Afore deben estar listas para aprovechar las nuevas oportunidades de inversión.</w:t>
      </w:r>
    </w:p>
    <w:p w14:paraId="05B62B0A" w14:textId="77777777" w:rsidR="00383193" w:rsidRPr="00383193" w:rsidRDefault="00383193" w:rsidP="00383193">
      <w:pPr>
        <w:spacing w:after="360" w:line="360" w:lineRule="auto"/>
        <w:ind w:right="-159"/>
        <w:jc w:val="center"/>
        <w:rPr>
          <w:rFonts w:eastAsia="Calibri"/>
          <w:sz w:val="26"/>
          <w:szCs w:val="26"/>
          <w:lang w:eastAsia="en-US"/>
        </w:rPr>
      </w:pPr>
      <w:r w:rsidRPr="00383193">
        <w:rPr>
          <w:rFonts w:ascii="Calibri" w:eastAsia="Calibri" w:hAnsi="Calibri"/>
          <w:noProof/>
          <w:sz w:val="22"/>
          <w:szCs w:val="22"/>
          <w:lang w:eastAsia="es-MX"/>
        </w:rPr>
        <w:drawing>
          <wp:inline distT="0" distB="0" distL="0" distR="0" wp14:anchorId="2F9BE2FF" wp14:editId="0A6020F7">
            <wp:extent cx="5612130" cy="3125084"/>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5612130" cy="3125084"/>
                    </a:xfrm>
                    <a:prstGeom prst="rect">
                      <a:avLst/>
                    </a:prstGeom>
                    <a:noFill/>
                    <a:ln>
                      <a:noFill/>
                    </a:ln>
                  </pic:spPr>
                </pic:pic>
              </a:graphicData>
            </a:graphic>
          </wp:inline>
        </w:drawing>
      </w:r>
    </w:p>
    <w:p w14:paraId="389DD21C" w14:textId="77777777" w:rsidR="00383193" w:rsidRPr="00383193" w:rsidRDefault="00383193" w:rsidP="003B27DE">
      <w:pPr>
        <w:numPr>
          <w:ilvl w:val="0"/>
          <w:numId w:val="17"/>
        </w:numPr>
        <w:spacing w:after="360" w:line="360" w:lineRule="auto"/>
        <w:ind w:left="567" w:right="-159" w:hanging="567"/>
        <w:jc w:val="both"/>
        <w:rPr>
          <w:rFonts w:eastAsia="Calibri"/>
          <w:b/>
          <w:sz w:val="26"/>
          <w:szCs w:val="26"/>
          <w:lang w:eastAsia="en-US"/>
        </w:rPr>
      </w:pPr>
      <w:r w:rsidRPr="00383193">
        <w:rPr>
          <w:rFonts w:eastAsia="Calibri"/>
          <w:b/>
          <w:sz w:val="26"/>
          <w:szCs w:val="26"/>
          <w:lang w:eastAsia="en-US"/>
        </w:rPr>
        <w:t>Principales retos para la inversión en capital privado</w:t>
      </w:r>
    </w:p>
    <w:p w14:paraId="19924DD9" w14:textId="4A879F71"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En fechas recientes, la emisión de CKD</w:t>
      </w:r>
      <w:r w:rsidR="009F75B3">
        <w:rPr>
          <w:rFonts w:eastAsia="Calibri"/>
          <w:sz w:val="26"/>
          <w:szCs w:val="26"/>
          <w:lang w:eastAsia="en-US"/>
        </w:rPr>
        <w:t>S</w:t>
      </w:r>
      <w:r w:rsidRPr="00383193">
        <w:rPr>
          <w:rFonts w:eastAsia="Calibri"/>
          <w:sz w:val="26"/>
          <w:szCs w:val="26"/>
          <w:lang w:eastAsia="en-US"/>
        </w:rPr>
        <w:t xml:space="preserve"> ha presentado algunas señales de aletargamiento.</w:t>
      </w:r>
    </w:p>
    <w:tbl>
      <w:tblPr>
        <w:tblW w:w="0" w:type="auto"/>
        <w:jc w:val="center"/>
        <w:tblLook w:val="04A0" w:firstRow="1" w:lastRow="0" w:firstColumn="1" w:lastColumn="0" w:noHBand="0" w:noVBand="1"/>
      </w:tblPr>
      <w:tblGrid>
        <w:gridCol w:w="1418"/>
        <w:gridCol w:w="1559"/>
        <w:gridCol w:w="2268"/>
      </w:tblGrid>
      <w:tr w:rsidR="00383193" w:rsidRPr="00383193" w14:paraId="18CC08EE" w14:textId="77777777" w:rsidTr="009F75B3">
        <w:trPr>
          <w:jc w:val="center"/>
        </w:trPr>
        <w:tc>
          <w:tcPr>
            <w:tcW w:w="1418" w:type="dxa"/>
            <w:tcBorders>
              <w:top w:val="single" w:sz="4" w:space="0" w:color="auto"/>
              <w:left w:val="single" w:sz="4" w:space="0" w:color="auto"/>
              <w:bottom w:val="single" w:sz="4" w:space="0" w:color="auto"/>
              <w:right w:val="single" w:sz="4" w:space="0" w:color="auto"/>
            </w:tcBorders>
            <w:vAlign w:val="center"/>
          </w:tcPr>
          <w:p w14:paraId="1CC130DC"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Año de Emisión</w:t>
            </w:r>
          </w:p>
        </w:tc>
        <w:tc>
          <w:tcPr>
            <w:tcW w:w="1559" w:type="dxa"/>
            <w:tcBorders>
              <w:top w:val="single" w:sz="4" w:space="0" w:color="auto"/>
              <w:left w:val="single" w:sz="4" w:space="0" w:color="auto"/>
              <w:bottom w:val="single" w:sz="4" w:space="0" w:color="auto"/>
              <w:right w:val="single" w:sz="4" w:space="0" w:color="auto"/>
            </w:tcBorders>
            <w:vAlign w:val="center"/>
          </w:tcPr>
          <w:p w14:paraId="3A7C3626" w14:textId="161ACE19" w:rsidR="00383193" w:rsidRPr="00383193" w:rsidRDefault="009F75B3" w:rsidP="00383193">
            <w:pPr>
              <w:jc w:val="center"/>
              <w:rPr>
                <w:rFonts w:eastAsia="Calibri"/>
                <w:b/>
                <w:sz w:val="20"/>
                <w:szCs w:val="20"/>
                <w:lang w:eastAsia="en-US"/>
              </w:rPr>
            </w:pPr>
            <w:r>
              <w:rPr>
                <w:rFonts w:eastAsia="Calibri"/>
                <w:b/>
                <w:sz w:val="20"/>
                <w:szCs w:val="20"/>
                <w:lang w:eastAsia="en-US"/>
              </w:rPr>
              <w:t>No. de CKDS</w:t>
            </w:r>
            <w:r w:rsidR="00383193" w:rsidRPr="00383193">
              <w:rPr>
                <w:rFonts w:eastAsia="Calibri"/>
                <w:b/>
                <w:sz w:val="20"/>
                <w:szCs w:val="20"/>
                <w:lang w:eastAsia="en-US"/>
              </w:rPr>
              <w:t xml:space="preserve"> Emitidos</w:t>
            </w:r>
          </w:p>
        </w:tc>
        <w:tc>
          <w:tcPr>
            <w:tcW w:w="2268" w:type="dxa"/>
            <w:tcBorders>
              <w:top w:val="single" w:sz="4" w:space="0" w:color="auto"/>
              <w:left w:val="single" w:sz="4" w:space="0" w:color="auto"/>
              <w:bottom w:val="single" w:sz="4" w:space="0" w:color="auto"/>
              <w:right w:val="single" w:sz="4" w:space="0" w:color="auto"/>
            </w:tcBorders>
            <w:vAlign w:val="center"/>
          </w:tcPr>
          <w:p w14:paraId="4A361B8F" w14:textId="244AD5A0" w:rsidR="00383193" w:rsidRPr="00383193" w:rsidRDefault="009F75B3" w:rsidP="00383193">
            <w:pPr>
              <w:jc w:val="center"/>
              <w:rPr>
                <w:rFonts w:eastAsia="Calibri"/>
                <w:b/>
                <w:sz w:val="20"/>
                <w:szCs w:val="20"/>
                <w:lang w:eastAsia="en-US"/>
              </w:rPr>
            </w:pPr>
            <w:r>
              <w:rPr>
                <w:rFonts w:eastAsia="Calibri"/>
                <w:b/>
                <w:sz w:val="20"/>
                <w:szCs w:val="20"/>
                <w:lang w:eastAsia="en-US"/>
              </w:rPr>
              <w:t>Porcentaje de CKDS</w:t>
            </w:r>
            <w:r w:rsidR="00383193" w:rsidRPr="00383193">
              <w:rPr>
                <w:rFonts w:eastAsia="Calibri"/>
                <w:b/>
                <w:sz w:val="20"/>
                <w:szCs w:val="20"/>
                <w:lang w:eastAsia="en-US"/>
              </w:rPr>
              <w:t xml:space="preserve"> correspondientes a 1</w:t>
            </w:r>
            <w:r w:rsidR="00383193" w:rsidRPr="00383193">
              <w:rPr>
                <w:rFonts w:eastAsia="Calibri"/>
                <w:b/>
                <w:sz w:val="20"/>
                <w:szCs w:val="20"/>
                <w:vertAlign w:val="superscript"/>
                <w:lang w:eastAsia="en-US"/>
              </w:rPr>
              <w:t>er</w:t>
            </w:r>
            <w:r w:rsidR="00383193" w:rsidRPr="00383193">
              <w:rPr>
                <w:rFonts w:eastAsia="Calibri"/>
                <w:b/>
                <w:sz w:val="20"/>
                <w:szCs w:val="20"/>
                <w:lang w:eastAsia="en-US"/>
              </w:rPr>
              <w:t xml:space="preserve"> Fondo del Administrador</w:t>
            </w:r>
          </w:p>
        </w:tc>
      </w:tr>
      <w:tr w:rsidR="00383193" w:rsidRPr="00383193" w14:paraId="60228C59" w14:textId="77777777" w:rsidTr="009F75B3">
        <w:trPr>
          <w:jc w:val="center"/>
        </w:trPr>
        <w:tc>
          <w:tcPr>
            <w:tcW w:w="1418" w:type="dxa"/>
            <w:tcBorders>
              <w:top w:val="single" w:sz="4" w:space="0" w:color="auto"/>
              <w:left w:val="single" w:sz="4" w:space="0" w:color="auto"/>
              <w:bottom w:val="nil"/>
              <w:right w:val="single" w:sz="4" w:space="0" w:color="auto"/>
            </w:tcBorders>
          </w:tcPr>
          <w:p w14:paraId="667F4CFA"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2008</w:t>
            </w:r>
          </w:p>
        </w:tc>
        <w:tc>
          <w:tcPr>
            <w:tcW w:w="1559" w:type="dxa"/>
            <w:tcBorders>
              <w:top w:val="single" w:sz="4" w:space="0" w:color="auto"/>
              <w:left w:val="single" w:sz="4" w:space="0" w:color="auto"/>
              <w:bottom w:val="nil"/>
              <w:right w:val="single" w:sz="4" w:space="0" w:color="auto"/>
            </w:tcBorders>
          </w:tcPr>
          <w:p w14:paraId="3CB90DB4"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1</w:t>
            </w:r>
          </w:p>
        </w:tc>
        <w:tc>
          <w:tcPr>
            <w:tcW w:w="2268" w:type="dxa"/>
            <w:tcBorders>
              <w:top w:val="single" w:sz="4" w:space="0" w:color="auto"/>
              <w:left w:val="single" w:sz="4" w:space="0" w:color="auto"/>
              <w:bottom w:val="nil"/>
              <w:right w:val="single" w:sz="4" w:space="0" w:color="auto"/>
            </w:tcBorders>
          </w:tcPr>
          <w:p w14:paraId="224F8809" w14:textId="77777777" w:rsidR="00383193" w:rsidRPr="00383193" w:rsidRDefault="00383193" w:rsidP="00383193">
            <w:pPr>
              <w:ind w:left="-737" w:right="964"/>
              <w:jc w:val="right"/>
              <w:rPr>
                <w:rFonts w:eastAsia="Calibri"/>
                <w:sz w:val="20"/>
                <w:szCs w:val="20"/>
                <w:lang w:eastAsia="en-US"/>
              </w:rPr>
            </w:pPr>
            <w:r w:rsidRPr="00383193">
              <w:rPr>
                <w:rFonts w:eastAsia="Calibri"/>
                <w:sz w:val="20"/>
                <w:szCs w:val="20"/>
                <w:lang w:eastAsia="en-US"/>
              </w:rPr>
              <w:t>100</w:t>
            </w:r>
          </w:p>
        </w:tc>
      </w:tr>
      <w:tr w:rsidR="00383193" w:rsidRPr="00383193" w14:paraId="00B778DF" w14:textId="77777777" w:rsidTr="009F75B3">
        <w:trPr>
          <w:jc w:val="center"/>
        </w:trPr>
        <w:tc>
          <w:tcPr>
            <w:tcW w:w="1418" w:type="dxa"/>
            <w:tcBorders>
              <w:top w:val="nil"/>
              <w:left w:val="single" w:sz="4" w:space="0" w:color="auto"/>
              <w:bottom w:val="nil"/>
              <w:right w:val="single" w:sz="4" w:space="0" w:color="auto"/>
            </w:tcBorders>
          </w:tcPr>
          <w:p w14:paraId="286F0C53"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2009</w:t>
            </w:r>
          </w:p>
        </w:tc>
        <w:tc>
          <w:tcPr>
            <w:tcW w:w="1559" w:type="dxa"/>
            <w:tcBorders>
              <w:top w:val="nil"/>
              <w:left w:val="single" w:sz="4" w:space="0" w:color="auto"/>
              <w:bottom w:val="nil"/>
              <w:right w:val="single" w:sz="4" w:space="0" w:color="auto"/>
            </w:tcBorders>
          </w:tcPr>
          <w:p w14:paraId="47388566"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4</w:t>
            </w:r>
          </w:p>
        </w:tc>
        <w:tc>
          <w:tcPr>
            <w:tcW w:w="2268" w:type="dxa"/>
            <w:tcBorders>
              <w:top w:val="nil"/>
              <w:left w:val="single" w:sz="4" w:space="0" w:color="auto"/>
              <w:bottom w:val="nil"/>
              <w:right w:val="single" w:sz="4" w:space="0" w:color="auto"/>
            </w:tcBorders>
          </w:tcPr>
          <w:p w14:paraId="5E626B33" w14:textId="77777777" w:rsidR="00383193" w:rsidRPr="00383193" w:rsidRDefault="00383193" w:rsidP="00383193">
            <w:pPr>
              <w:ind w:left="-737" w:right="964"/>
              <w:jc w:val="right"/>
              <w:rPr>
                <w:rFonts w:eastAsia="Calibri"/>
                <w:sz w:val="20"/>
                <w:szCs w:val="20"/>
                <w:lang w:eastAsia="en-US"/>
              </w:rPr>
            </w:pPr>
            <w:r w:rsidRPr="00383193">
              <w:rPr>
                <w:rFonts w:eastAsia="Calibri"/>
                <w:sz w:val="20"/>
                <w:szCs w:val="20"/>
                <w:lang w:eastAsia="en-US"/>
              </w:rPr>
              <w:t>100</w:t>
            </w:r>
          </w:p>
        </w:tc>
      </w:tr>
      <w:tr w:rsidR="00383193" w:rsidRPr="00383193" w14:paraId="29A6570D" w14:textId="77777777" w:rsidTr="009F75B3">
        <w:trPr>
          <w:jc w:val="center"/>
        </w:trPr>
        <w:tc>
          <w:tcPr>
            <w:tcW w:w="1418" w:type="dxa"/>
            <w:tcBorders>
              <w:top w:val="nil"/>
              <w:left w:val="single" w:sz="4" w:space="0" w:color="auto"/>
              <w:bottom w:val="nil"/>
              <w:right w:val="single" w:sz="4" w:space="0" w:color="auto"/>
            </w:tcBorders>
          </w:tcPr>
          <w:p w14:paraId="19A4A15C"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2010</w:t>
            </w:r>
          </w:p>
        </w:tc>
        <w:tc>
          <w:tcPr>
            <w:tcW w:w="1559" w:type="dxa"/>
            <w:tcBorders>
              <w:top w:val="nil"/>
              <w:left w:val="single" w:sz="4" w:space="0" w:color="auto"/>
              <w:bottom w:val="nil"/>
              <w:right w:val="single" w:sz="4" w:space="0" w:color="auto"/>
            </w:tcBorders>
          </w:tcPr>
          <w:p w14:paraId="5BCF0F8D"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8</w:t>
            </w:r>
          </w:p>
        </w:tc>
        <w:tc>
          <w:tcPr>
            <w:tcW w:w="2268" w:type="dxa"/>
            <w:tcBorders>
              <w:top w:val="nil"/>
              <w:left w:val="single" w:sz="4" w:space="0" w:color="auto"/>
              <w:bottom w:val="nil"/>
              <w:right w:val="single" w:sz="4" w:space="0" w:color="auto"/>
            </w:tcBorders>
          </w:tcPr>
          <w:p w14:paraId="3194845B" w14:textId="77777777" w:rsidR="00383193" w:rsidRPr="00383193" w:rsidRDefault="00383193" w:rsidP="00383193">
            <w:pPr>
              <w:ind w:left="-737" w:right="964"/>
              <w:jc w:val="right"/>
              <w:rPr>
                <w:rFonts w:eastAsia="Calibri"/>
                <w:sz w:val="20"/>
                <w:szCs w:val="20"/>
                <w:lang w:eastAsia="en-US"/>
              </w:rPr>
            </w:pPr>
            <w:r w:rsidRPr="00383193">
              <w:rPr>
                <w:rFonts w:eastAsia="Calibri"/>
                <w:sz w:val="20"/>
                <w:szCs w:val="20"/>
                <w:lang w:eastAsia="en-US"/>
              </w:rPr>
              <w:t>100</w:t>
            </w:r>
          </w:p>
        </w:tc>
      </w:tr>
      <w:tr w:rsidR="00383193" w:rsidRPr="00383193" w14:paraId="49A0C62B" w14:textId="77777777" w:rsidTr="009F75B3">
        <w:trPr>
          <w:jc w:val="center"/>
        </w:trPr>
        <w:tc>
          <w:tcPr>
            <w:tcW w:w="1418" w:type="dxa"/>
            <w:tcBorders>
              <w:top w:val="nil"/>
              <w:left w:val="single" w:sz="4" w:space="0" w:color="auto"/>
              <w:bottom w:val="nil"/>
              <w:right w:val="single" w:sz="4" w:space="0" w:color="auto"/>
            </w:tcBorders>
          </w:tcPr>
          <w:p w14:paraId="6D6645D7"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2011</w:t>
            </w:r>
          </w:p>
        </w:tc>
        <w:tc>
          <w:tcPr>
            <w:tcW w:w="1559" w:type="dxa"/>
            <w:tcBorders>
              <w:top w:val="nil"/>
              <w:left w:val="single" w:sz="4" w:space="0" w:color="auto"/>
              <w:bottom w:val="nil"/>
              <w:right w:val="single" w:sz="4" w:space="0" w:color="auto"/>
            </w:tcBorders>
          </w:tcPr>
          <w:p w14:paraId="07924B2F"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5</w:t>
            </w:r>
          </w:p>
        </w:tc>
        <w:tc>
          <w:tcPr>
            <w:tcW w:w="2268" w:type="dxa"/>
            <w:tcBorders>
              <w:top w:val="nil"/>
              <w:left w:val="single" w:sz="4" w:space="0" w:color="auto"/>
              <w:bottom w:val="nil"/>
              <w:right w:val="single" w:sz="4" w:space="0" w:color="auto"/>
            </w:tcBorders>
          </w:tcPr>
          <w:p w14:paraId="125B0A24" w14:textId="77777777" w:rsidR="00383193" w:rsidRPr="00383193" w:rsidRDefault="00383193" w:rsidP="00383193">
            <w:pPr>
              <w:ind w:left="-737" w:right="964"/>
              <w:jc w:val="right"/>
              <w:rPr>
                <w:rFonts w:eastAsia="Calibri"/>
                <w:sz w:val="20"/>
                <w:szCs w:val="20"/>
                <w:lang w:eastAsia="en-US"/>
              </w:rPr>
            </w:pPr>
            <w:r w:rsidRPr="00383193">
              <w:rPr>
                <w:rFonts w:eastAsia="Calibri"/>
                <w:sz w:val="20"/>
                <w:szCs w:val="20"/>
                <w:lang w:eastAsia="en-US"/>
              </w:rPr>
              <w:t>80</w:t>
            </w:r>
          </w:p>
        </w:tc>
      </w:tr>
      <w:tr w:rsidR="00383193" w:rsidRPr="00383193" w14:paraId="53BE24D2" w14:textId="77777777" w:rsidTr="009F75B3">
        <w:trPr>
          <w:jc w:val="center"/>
        </w:trPr>
        <w:tc>
          <w:tcPr>
            <w:tcW w:w="1418" w:type="dxa"/>
            <w:tcBorders>
              <w:top w:val="nil"/>
              <w:left w:val="single" w:sz="4" w:space="0" w:color="auto"/>
              <w:bottom w:val="nil"/>
              <w:right w:val="single" w:sz="4" w:space="0" w:color="auto"/>
            </w:tcBorders>
          </w:tcPr>
          <w:p w14:paraId="37DF3737"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2012</w:t>
            </w:r>
          </w:p>
        </w:tc>
        <w:tc>
          <w:tcPr>
            <w:tcW w:w="1559" w:type="dxa"/>
            <w:tcBorders>
              <w:top w:val="nil"/>
              <w:left w:val="single" w:sz="4" w:space="0" w:color="auto"/>
              <w:bottom w:val="nil"/>
              <w:right w:val="single" w:sz="4" w:space="0" w:color="auto"/>
            </w:tcBorders>
          </w:tcPr>
          <w:p w14:paraId="0955F96C" w14:textId="77777777" w:rsidR="00383193" w:rsidRPr="00383193" w:rsidRDefault="00383193" w:rsidP="00383193">
            <w:pPr>
              <w:jc w:val="center"/>
              <w:rPr>
                <w:rFonts w:eastAsia="Calibri"/>
                <w:sz w:val="20"/>
                <w:szCs w:val="20"/>
                <w:lang w:eastAsia="en-US"/>
              </w:rPr>
            </w:pPr>
            <w:r w:rsidRPr="00383193">
              <w:rPr>
                <w:rFonts w:eastAsia="Calibri"/>
                <w:sz w:val="20"/>
                <w:szCs w:val="20"/>
                <w:lang w:eastAsia="en-US"/>
              </w:rPr>
              <w:t>9</w:t>
            </w:r>
          </w:p>
        </w:tc>
        <w:tc>
          <w:tcPr>
            <w:tcW w:w="2268" w:type="dxa"/>
            <w:tcBorders>
              <w:top w:val="nil"/>
              <w:left w:val="single" w:sz="4" w:space="0" w:color="auto"/>
              <w:bottom w:val="nil"/>
              <w:right w:val="single" w:sz="4" w:space="0" w:color="auto"/>
            </w:tcBorders>
          </w:tcPr>
          <w:p w14:paraId="424E5FCD" w14:textId="77777777" w:rsidR="00383193" w:rsidRPr="00383193" w:rsidRDefault="00383193" w:rsidP="00383193">
            <w:pPr>
              <w:ind w:left="-737" w:right="964"/>
              <w:jc w:val="right"/>
              <w:rPr>
                <w:rFonts w:eastAsia="Calibri"/>
                <w:sz w:val="20"/>
                <w:szCs w:val="20"/>
                <w:lang w:eastAsia="en-US"/>
              </w:rPr>
            </w:pPr>
            <w:r w:rsidRPr="00383193">
              <w:rPr>
                <w:rFonts w:eastAsia="Calibri"/>
                <w:sz w:val="20"/>
                <w:szCs w:val="20"/>
                <w:lang w:eastAsia="en-US"/>
              </w:rPr>
              <w:t>77</w:t>
            </w:r>
          </w:p>
        </w:tc>
      </w:tr>
      <w:tr w:rsidR="00383193" w:rsidRPr="00383193" w14:paraId="27250A65" w14:textId="77777777" w:rsidTr="009F75B3">
        <w:trPr>
          <w:jc w:val="center"/>
        </w:trPr>
        <w:tc>
          <w:tcPr>
            <w:tcW w:w="1418" w:type="dxa"/>
            <w:tcBorders>
              <w:top w:val="nil"/>
              <w:left w:val="single" w:sz="4" w:space="0" w:color="auto"/>
              <w:bottom w:val="nil"/>
              <w:right w:val="single" w:sz="4" w:space="0" w:color="auto"/>
            </w:tcBorders>
          </w:tcPr>
          <w:p w14:paraId="409774F7"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2013</w:t>
            </w:r>
          </w:p>
        </w:tc>
        <w:tc>
          <w:tcPr>
            <w:tcW w:w="1559" w:type="dxa"/>
            <w:tcBorders>
              <w:top w:val="nil"/>
              <w:left w:val="single" w:sz="4" w:space="0" w:color="auto"/>
              <w:bottom w:val="nil"/>
              <w:right w:val="single" w:sz="4" w:space="0" w:color="auto"/>
            </w:tcBorders>
          </w:tcPr>
          <w:p w14:paraId="0D6EF80F"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3</w:t>
            </w:r>
          </w:p>
        </w:tc>
        <w:tc>
          <w:tcPr>
            <w:tcW w:w="2268" w:type="dxa"/>
            <w:tcBorders>
              <w:top w:val="nil"/>
              <w:left w:val="single" w:sz="4" w:space="0" w:color="auto"/>
              <w:bottom w:val="nil"/>
              <w:right w:val="single" w:sz="4" w:space="0" w:color="auto"/>
            </w:tcBorders>
          </w:tcPr>
          <w:p w14:paraId="752F0022" w14:textId="77777777" w:rsidR="00383193" w:rsidRPr="00383193" w:rsidRDefault="00383193" w:rsidP="00383193">
            <w:pPr>
              <w:ind w:left="-737" w:right="964"/>
              <w:jc w:val="right"/>
              <w:rPr>
                <w:rFonts w:eastAsia="Calibri"/>
                <w:b/>
                <w:sz w:val="20"/>
                <w:szCs w:val="20"/>
                <w:lang w:eastAsia="en-US"/>
              </w:rPr>
            </w:pPr>
            <w:r w:rsidRPr="00383193">
              <w:rPr>
                <w:rFonts w:eastAsia="Calibri"/>
                <w:b/>
                <w:sz w:val="20"/>
                <w:szCs w:val="20"/>
                <w:lang w:eastAsia="en-US"/>
              </w:rPr>
              <w:t>0</w:t>
            </w:r>
          </w:p>
        </w:tc>
      </w:tr>
      <w:tr w:rsidR="00383193" w:rsidRPr="00383193" w14:paraId="4D181C4B" w14:textId="77777777" w:rsidTr="009F75B3">
        <w:trPr>
          <w:jc w:val="center"/>
        </w:trPr>
        <w:tc>
          <w:tcPr>
            <w:tcW w:w="1418" w:type="dxa"/>
            <w:tcBorders>
              <w:top w:val="nil"/>
              <w:left w:val="single" w:sz="4" w:space="0" w:color="auto"/>
              <w:bottom w:val="single" w:sz="4" w:space="0" w:color="auto"/>
              <w:right w:val="single" w:sz="4" w:space="0" w:color="auto"/>
            </w:tcBorders>
          </w:tcPr>
          <w:p w14:paraId="530C89D9"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2014</w:t>
            </w:r>
          </w:p>
        </w:tc>
        <w:tc>
          <w:tcPr>
            <w:tcW w:w="1559" w:type="dxa"/>
            <w:tcBorders>
              <w:top w:val="nil"/>
              <w:left w:val="single" w:sz="4" w:space="0" w:color="auto"/>
              <w:bottom w:val="single" w:sz="4" w:space="0" w:color="auto"/>
              <w:right w:val="single" w:sz="4" w:space="0" w:color="auto"/>
            </w:tcBorders>
          </w:tcPr>
          <w:p w14:paraId="23113CC6"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7</w:t>
            </w:r>
          </w:p>
        </w:tc>
        <w:tc>
          <w:tcPr>
            <w:tcW w:w="2268" w:type="dxa"/>
            <w:tcBorders>
              <w:top w:val="nil"/>
              <w:left w:val="single" w:sz="4" w:space="0" w:color="auto"/>
              <w:bottom w:val="single" w:sz="4" w:space="0" w:color="auto"/>
              <w:right w:val="single" w:sz="4" w:space="0" w:color="auto"/>
            </w:tcBorders>
          </w:tcPr>
          <w:p w14:paraId="675543D4" w14:textId="77777777" w:rsidR="00383193" w:rsidRPr="00383193" w:rsidRDefault="00383193" w:rsidP="00383193">
            <w:pPr>
              <w:ind w:left="-737" w:right="964"/>
              <w:jc w:val="right"/>
              <w:rPr>
                <w:rFonts w:eastAsia="Calibri"/>
                <w:b/>
                <w:sz w:val="20"/>
                <w:szCs w:val="20"/>
                <w:lang w:eastAsia="en-US"/>
              </w:rPr>
            </w:pPr>
            <w:r w:rsidRPr="00383193">
              <w:rPr>
                <w:rFonts w:eastAsia="Calibri"/>
                <w:b/>
                <w:sz w:val="20"/>
                <w:szCs w:val="20"/>
                <w:lang w:eastAsia="en-US"/>
              </w:rPr>
              <w:t>14</w:t>
            </w:r>
          </w:p>
        </w:tc>
      </w:tr>
      <w:tr w:rsidR="00383193" w:rsidRPr="00383193" w14:paraId="3EA676BC" w14:textId="77777777" w:rsidTr="00EA3974">
        <w:trPr>
          <w:jc w:val="center"/>
        </w:trPr>
        <w:tc>
          <w:tcPr>
            <w:tcW w:w="5245" w:type="dxa"/>
            <w:gridSpan w:val="3"/>
            <w:tcBorders>
              <w:left w:val="nil"/>
              <w:bottom w:val="nil"/>
              <w:right w:val="nil"/>
            </w:tcBorders>
          </w:tcPr>
          <w:p w14:paraId="310241E3"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r>
    </w:tbl>
    <w:p w14:paraId="1325D8E6" w14:textId="77777777" w:rsidR="00383193" w:rsidRDefault="00383193" w:rsidP="00383193">
      <w:pPr>
        <w:spacing w:after="360" w:line="360" w:lineRule="auto"/>
        <w:ind w:right="-159"/>
        <w:jc w:val="both"/>
        <w:rPr>
          <w:rFonts w:eastAsia="Calibri"/>
          <w:sz w:val="26"/>
          <w:szCs w:val="26"/>
          <w:lang w:eastAsia="en-US"/>
        </w:rPr>
      </w:pPr>
    </w:p>
    <w:p w14:paraId="360B189B" w14:textId="77777777" w:rsidR="0047140D" w:rsidRPr="00383193" w:rsidRDefault="0047140D" w:rsidP="00383193">
      <w:pPr>
        <w:spacing w:after="360" w:line="360" w:lineRule="auto"/>
        <w:ind w:right="-159"/>
        <w:jc w:val="both"/>
        <w:rPr>
          <w:rFonts w:eastAsia="Calibri"/>
          <w:sz w:val="26"/>
          <w:szCs w:val="26"/>
          <w:lang w:eastAsia="en-US"/>
        </w:rPr>
      </w:pPr>
    </w:p>
    <w:p w14:paraId="2DFEB7C9"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Existe espacio para que las Afore destinen mayores recursos a proyectos de inversión de largo plazo</w:t>
      </w:r>
    </w:p>
    <w:p w14:paraId="1FDD77C2"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ascii="Calibri" w:eastAsia="Calibri" w:hAnsi="Calibri"/>
          <w:sz w:val="22"/>
          <w:szCs w:val="22"/>
          <w:lang w:eastAsia="en-US"/>
        </w:rPr>
        <w:fldChar w:fldCharType="begin"/>
      </w:r>
      <w:r w:rsidRPr="00383193">
        <w:rPr>
          <w:rFonts w:ascii="Calibri" w:eastAsia="Calibri" w:hAnsi="Calibri"/>
          <w:sz w:val="22"/>
          <w:szCs w:val="22"/>
          <w:lang w:eastAsia="en-US"/>
        </w:rPr>
        <w:instrText xml:space="preserve"> LINK PowerPoint.Slide.8 "D:\\2015\\GRÁFICAS DE LA CONSAR\\36.- RETOS Y OPORTUNIDADES DE INVERTIR CONSAR.pptx!305" "" \a \p </w:instrText>
      </w:r>
      <w:r w:rsidRPr="00383193">
        <w:rPr>
          <w:rFonts w:ascii="Calibri" w:eastAsia="Calibri" w:hAnsi="Calibri"/>
          <w:sz w:val="22"/>
          <w:szCs w:val="22"/>
          <w:lang w:eastAsia="en-US"/>
        </w:rPr>
        <w:fldChar w:fldCharType="separate"/>
      </w:r>
      <w:r w:rsidRPr="00383193">
        <w:rPr>
          <w:rFonts w:ascii="Calibri" w:eastAsia="Calibri" w:hAnsi="Calibri"/>
          <w:noProof/>
          <w:sz w:val="22"/>
          <w:szCs w:val="22"/>
          <w:lang w:eastAsia="es-MX"/>
        </w:rPr>
        <w:drawing>
          <wp:inline distT="0" distB="0" distL="0" distR="0" wp14:anchorId="24DD4C6B" wp14:editId="58C9708C">
            <wp:extent cx="5634990" cy="3206750"/>
            <wp:effectExtent l="0" t="0" r="381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334" cstate="print">
                      <a:extLst>
                        <a:ext uri="{28A0092B-C50C-407E-A947-70E740481C1C}">
                          <a14:useLocalDpi xmlns:a14="http://schemas.microsoft.com/office/drawing/2010/main" val="0"/>
                        </a:ext>
                      </a:extLst>
                    </a:blip>
                    <a:srcRect l="5008" t="1666" r="2504" b="4723"/>
                    <a:stretch>
                      <a:fillRect/>
                    </a:stretch>
                  </pic:blipFill>
                  <pic:spPr bwMode="auto">
                    <a:xfrm>
                      <a:off x="0" y="0"/>
                      <a:ext cx="5634990" cy="3206750"/>
                    </a:xfrm>
                    <a:prstGeom prst="rect">
                      <a:avLst/>
                    </a:prstGeom>
                    <a:noFill/>
                    <a:ln>
                      <a:noFill/>
                    </a:ln>
                  </pic:spPr>
                </pic:pic>
              </a:graphicData>
            </a:graphic>
          </wp:inline>
        </w:drawing>
      </w:r>
      <w:r w:rsidRPr="00383193">
        <w:rPr>
          <w:rFonts w:ascii="Calibri" w:eastAsia="Calibri" w:hAnsi="Calibri"/>
          <w:sz w:val="22"/>
          <w:szCs w:val="22"/>
          <w:lang w:eastAsia="en-US"/>
        </w:rPr>
        <w:fldChar w:fldCharType="end"/>
      </w:r>
    </w:p>
    <w:p w14:paraId="0E4809DF"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Diversos factores han limitado una mayor demanda de las Afore por inversiones productivas de largo plazo.</w:t>
      </w:r>
    </w:p>
    <w:tbl>
      <w:tblPr>
        <w:tblW w:w="0" w:type="auto"/>
        <w:tblLook w:val="04A0" w:firstRow="1" w:lastRow="0" w:firstColumn="1" w:lastColumn="0" w:noHBand="0" w:noVBand="1"/>
      </w:tblPr>
      <w:tblGrid>
        <w:gridCol w:w="3539"/>
        <w:gridCol w:w="5289"/>
      </w:tblGrid>
      <w:tr w:rsidR="00383193" w:rsidRPr="00383193" w14:paraId="71D8A970" w14:textId="77777777" w:rsidTr="009F75B3">
        <w:tc>
          <w:tcPr>
            <w:tcW w:w="8828" w:type="dxa"/>
            <w:gridSpan w:val="2"/>
            <w:tcBorders>
              <w:top w:val="nil"/>
              <w:left w:val="nil"/>
              <w:bottom w:val="single" w:sz="4" w:space="0" w:color="auto"/>
              <w:right w:val="nil"/>
            </w:tcBorders>
          </w:tcPr>
          <w:p w14:paraId="7CAF72EB" w14:textId="77777777" w:rsidR="00383193" w:rsidRPr="00383193" w:rsidRDefault="00383193" w:rsidP="00383193">
            <w:pPr>
              <w:jc w:val="center"/>
              <w:rPr>
                <w:rFonts w:eastAsia="Calibri"/>
                <w:b/>
                <w:sz w:val="22"/>
                <w:szCs w:val="22"/>
                <w:lang w:eastAsia="en-US"/>
              </w:rPr>
            </w:pPr>
            <w:r w:rsidRPr="00383193">
              <w:rPr>
                <w:rFonts w:eastAsia="Calibri"/>
                <w:b/>
                <w:sz w:val="22"/>
                <w:szCs w:val="22"/>
                <w:lang w:eastAsia="en-US"/>
              </w:rPr>
              <w:t>LIMITANTES POR EL LADO DE LA DEMANDA</w:t>
            </w:r>
          </w:p>
        </w:tc>
      </w:tr>
      <w:tr w:rsidR="00383193" w:rsidRPr="00383193" w14:paraId="381C00A2" w14:textId="77777777" w:rsidTr="009F75B3">
        <w:tc>
          <w:tcPr>
            <w:tcW w:w="3539" w:type="dxa"/>
            <w:tcBorders>
              <w:top w:val="single" w:sz="4" w:space="0" w:color="auto"/>
              <w:left w:val="single" w:sz="4" w:space="0" w:color="auto"/>
              <w:bottom w:val="single" w:sz="4" w:space="0" w:color="auto"/>
              <w:right w:val="single" w:sz="4" w:space="0" w:color="auto"/>
            </w:tcBorders>
          </w:tcPr>
          <w:p w14:paraId="1FE9287F"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Restricción</w:t>
            </w:r>
          </w:p>
        </w:tc>
        <w:tc>
          <w:tcPr>
            <w:tcW w:w="5289" w:type="dxa"/>
            <w:tcBorders>
              <w:top w:val="single" w:sz="4" w:space="0" w:color="auto"/>
              <w:left w:val="single" w:sz="4" w:space="0" w:color="auto"/>
              <w:bottom w:val="single" w:sz="4" w:space="0" w:color="auto"/>
              <w:right w:val="single" w:sz="4" w:space="0" w:color="auto"/>
            </w:tcBorders>
          </w:tcPr>
          <w:p w14:paraId="4EC35EE3"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Descripción</w:t>
            </w:r>
          </w:p>
        </w:tc>
      </w:tr>
      <w:tr w:rsidR="00383193" w:rsidRPr="00383193" w14:paraId="70E5FB4B"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25511C59"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 xml:space="preserve">1. Presiones comerciales </w:t>
            </w:r>
          </w:p>
        </w:tc>
        <w:tc>
          <w:tcPr>
            <w:tcW w:w="5289" w:type="dxa"/>
            <w:tcBorders>
              <w:top w:val="single" w:sz="4" w:space="0" w:color="auto"/>
              <w:left w:val="single" w:sz="4" w:space="0" w:color="auto"/>
              <w:bottom w:val="single" w:sz="4" w:space="0" w:color="auto"/>
              <w:right w:val="single" w:sz="4" w:space="0" w:color="auto"/>
            </w:tcBorders>
          </w:tcPr>
          <w:p w14:paraId="33B93F79" w14:textId="77777777" w:rsidR="00383193" w:rsidRPr="00383193" w:rsidRDefault="00383193" w:rsidP="003B27DE">
            <w:pPr>
              <w:numPr>
                <w:ilvl w:val="0"/>
                <w:numId w:val="18"/>
              </w:numPr>
              <w:spacing w:after="120"/>
              <w:ind w:left="397" w:hanging="397"/>
              <w:jc w:val="both"/>
              <w:rPr>
                <w:rFonts w:eastAsia="Calibri"/>
                <w:sz w:val="20"/>
                <w:szCs w:val="20"/>
                <w:lang w:eastAsia="en-US"/>
              </w:rPr>
            </w:pPr>
            <w:r w:rsidRPr="00383193">
              <w:rPr>
                <w:rFonts w:eastAsia="Calibri"/>
                <w:sz w:val="20"/>
                <w:szCs w:val="20"/>
                <w:lang w:eastAsia="en-US"/>
              </w:rPr>
              <w:t>La valuación a mercado genera presiones para obtener resultados en el corto plazo.</w:t>
            </w:r>
          </w:p>
          <w:p w14:paraId="64C4E730" w14:textId="77777777" w:rsidR="00383193" w:rsidRPr="00383193" w:rsidRDefault="00383193" w:rsidP="003B27DE">
            <w:pPr>
              <w:numPr>
                <w:ilvl w:val="0"/>
                <w:numId w:val="18"/>
              </w:numPr>
              <w:spacing w:after="120"/>
              <w:ind w:left="397" w:hanging="397"/>
              <w:jc w:val="both"/>
              <w:rPr>
                <w:rFonts w:eastAsia="Calibri"/>
                <w:sz w:val="20"/>
                <w:szCs w:val="20"/>
                <w:lang w:eastAsia="en-US"/>
              </w:rPr>
            </w:pPr>
            <w:r w:rsidRPr="00383193">
              <w:rPr>
                <w:rFonts w:eastAsia="Calibri"/>
                <w:sz w:val="20"/>
                <w:szCs w:val="20"/>
                <w:lang w:eastAsia="en-US"/>
              </w:rPr>
              <w:t>Elevada tasa de traspasos.</w:t>
            </w:r>
          </w:p>
        </w:tc>
      </w:tr>
      <w:tr w:rsidR="00383193" w:rsidRPr="00383193" w14:paraId="60936071"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41E66ACD"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2. Capacidades analíticas de las Afore</w:t>
            </w:r>
          </w:p>
        </w:tc>
        <w:tc>
          <w:tcPr>
            <w:tcW w:w="5289" w:type="dxa"/>
            <w:tcBorders>
              <w:top w:val="single" w:sz="4" w:space="0" w:color="auto"/>
              <w:left w:val="single" w:sz="4" w:space="0" w:color="auto"/>
              <w:bottom w:val="single" w:sz="4" w:space="0" w:color="auto"/>
              <w:right w:val="single" w:sz="4" w:space="0" w:color="auto"/>
            </w:tcBorders>
            <w:vAlign w:val="center"/>
          </w:tcPr>
          <w:p w14:paraId="3F9C0C5F" w14:textId="77777777" w:rsidR="00383193" w:rsidRPr="00383193" w:rsidRDefault="00383193" w:rsidP="003B27DE">
            <w:pPr>
              <w:numPr>
                <w:ilvl w:val="0"/>
                <w:numId w:val="18"/>
              </w:numPr>
              <w:ind w:left="397" w:hanging="397"/>
              <w:jc w:val="both"/>
              <w:rPr>
                <w:rFonts w:eastAsia="Calibri"/>
                <w:sz w:val="20"/>
                <w:szCs w:val="20"/>
                <w:lang w:eastAsia="en-US"/>
              </w:rPr>
            </w:pPr>
            <w:r w:rsidRPr="00383193">
              <w:rPr>
                <w:rFonts w:eastAsia="Calibri"/>
                <w:sz w:val="20"/>
                <w:szCs w:val="20"/>
                <w:lang w:eastAsia="en-US"/>
              </w:rPr>
              <w:t>Desarrollo gradual de capacidades analíticas de algunas Afore para invertir en estructurados.</w:t>
            </w:r>
          </w:p>
        </w:tc>
      </w:tr>
      <w:tr w:rsidR="00383193" w:rsidRPr="00383193" w14:paraId="4E53E6E5"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10E7B747"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3. Restricciones regulatorias</w:t>
            </w:r>
          </w:p>
        </w:tc>
        <w:tc>
          <w:tcPr>
            <w:tcW w:w="5289" w:type="dxa"/>
            <w:tcBorders>
              <w:top w:val="single" w:sz="4" w:space="0" w:color="auto"/>
              <w:left w:val="single" w:sz="4" w:space="0" w:color="auto"/>
              <w:bottom w:val="single" w:sz="4" w:space="0" w:color="auto"/>
              <w:right w:val="single" w:sz="4" w:space="0" w:color="auto"/>
            </w:tcBorders>
            <w:vAlign w:val="center"/>
          </w:tcPr>
          <w:p w14:paraId="246EEBAC" w14:textId="77777777" w:rsidR="00383193" w:rsidRPr="00383193" w:rsidRDefault="00383193" w:rsidP="003B27DE">
            <w:pPr>
              <w:numPr>
                <w:ilvl w:val="0"/>
                <w:numId w:val="18"/>
              </w:numPr>
              <w:ind w:left="397" w:hanging="397"/>
              <w:jc w:val="both"/>
              <w:rPr>
                <w:rFonts w:eastAsia="Calibri"/>
                <w:sz w:val="20"/>
                <w:szCs w:val="20"/>
                <w:lang w:eastAsia="en-US"/>
              </w:rPr>
            </w:pPr>
            <w:r w:rsidRPr="00383193">
              <w:rPr>
                <w:rFonts w:eastAsia="Calibri"/>
                <w:sz w:val="20"/>
                <w:szCs w:val="20"/>
                <w:lang w:eastAsia="en-US"/>
              </w:rPr>
              <w:t>La regulación actual impone a las Afore requisitos un tanto rígidos para poder invertir en estructurados.</w:t>
            </w:r>
          </w:p>
        </w:tc>
      </w:tr>
      <w:tr w:rsidR="00383193" w:rsidRPr="00383193" w14:paraId="1F84EE1F"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03CDCEFD"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 xml:space="preserve">4. Restricciones legales </w:t>
            </w:r>
          </w:p>
        </w:tc>
        <w:tc>
          <w:tcPr>
            <w:tcW w:w="5289" w:type="dxa"/>
            <w:tcBorders>
              <w:top w:val="single" w:sz="4" w:space="0" w:color="auto"/>
              <w:left w:val="single" w:sz="4" w:space="0" w:color="auto"/>
              <w:bottom w:val="single" w:sz="4" w:space="0" w:color="auto"/>
              <w:right w:val="single" w:sz="4" w:space="0" w:color="auto"/>
            </w:tcBorders>
            <w:vAlign w:val="center"/>
          </w:tcPr>
          <w:p w14:paraId="098A73B0" w14:textId="2B6821C1" w:rsidR="00383193" w:rsidRPr="00383193" w:rsidRDefault="00383193" w:rsidP="003B27DE">
            <w:pPr>
              <w:numPr>
                <w:ilvl w:val="0"/>
                <w:numId w:val="18"/>
              </w:numPr>
              <w:ind w:left="397" w:hanging="397"/>
              <w:jc w:val="both"/>
              <w:rPr>
                <w:rFonts w:eastAsia="Calibri"/>
                <w:sz w:val="20"/>
                <w:szCs w:val="20"/>
                <w:lang w:eastAsia="en-US"/>
              </w:rPr>
            </w:pPr>
            <w:r w:rsidRPr="00383193">
              <w:rPr>
                <w:rFonts w:eastAsia="Calibri"/>
                <w:sz w:val="20"/>
                <w:szCs w:val="20"/>
                <w:lang w:eastAsia="en-US"/>
              </w:rPr>
              <w:t>Las Afore sólo pueden invertir a través de instrumentos públicos</w:t>
            </w:r>
            <w:r w:rsidR="003E354C">
              <w:rPr>
                <w:rFonts w:eastAsia="Calibri"/>
                <w:sz w:val="20"/>
                <w:szCs w:val="20"/>
                <w:lang w:eastAsia="en-US"/>
              </w:rPr>
              <w:t>.</w:t>
            </w:r>
          </w:p>
        </w:tc>
      </w:tr>
      <w:tr w:rsidR="00383193" w:rsidRPr="00383193" w14:paraId="7BD11557" w14:textId="77777777" w:rsidTr="00EA3974">
        <w:tc>
          <w:tcPr>
            <w:tcW w:w="8828" w:type="dxa"/>
            <w:gridSpan w:val="2"/>
            <w:tcBorders>
              <w:left w:val="nil"/>
              <w:bottom w:val="nil"/>
              <w:right w:val="nil"/>
            </w:tcBorders>
          </w:tcPr>
          <w:p w14:paraId="49AFE42B"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r>
    </w:tbl>
    <w:p w14:paraId="1F2CB500" w14:textId="77777777" w:rsidR="00383193" w:rsidRPr="00383193" w:rsidRDefault="00383193" w:rsidP="00383193">
      <w:pPr>
        <w:spacing w:after="360" w:line="360" w:lineRule="auto"/>
        <w:ind w:right="-159"/>
        <w:jc w:val="both"/>
        <w:rPr>
          <w:rFonts w:eastAsia="Calibri"/>
          <w:sz w:val="26"/>
          <w:szCs w:val="26"/>
          <w:lang w:eastAsia="en-US"/>
        </w:rPr>
      </w:pPr>
    </w:p>
    <w:p w14:paraId="1128875C" w14:textId="77777777" w:rsidR="00383193" w:rsidRPr="00383193" w:rsidRDefault="00383193" w:rsidP="00383193">
      <w:pPr>
        <w:spacing w:after="360" w:line="360" w:lineRule="auto"/>
        <w:ind w:right="-159"/>
        <w:jc w:val="both"/>
        <w:rPr>
          <w:rFonts w:eastAsia="Calibri"/>
          <w:sz w:val="26"/>
          <w:szCs w:val="26"/>
          <w:lang w:eastAsia="en-US"/>
        </w:rPr>
      </w:pPr>
    </w:p>
    <w:p w14:paraId="3EA3C515"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Diversos factores han limitado una mayor oferta de vehículos de largo plazo.</w:t>
      </w:r>
    </w:p>
    <w:tbl>
      <w:tblPr>
        <w:tblW w:w="0" w:type="auto"/>
        <w:tblLook w:val="04A0" w:firstRow="1" w:lastRow="0" w:firstColumn="1" w:lastColumn="0" w:noHBand="0" w:noVBand="1"/>
      </w:tblPr>
      <w:tblGrid>
        <w:gridCol w:w="3539"/>
        <w:gridCol w:w="5289"/>
      </w:tblGrid>
      <w:tr w:rsidR="00383193" w:rsidRPr="00383193" w14:paraId="5EEF5560" w14:textId="77777777" w:rsidTr="009F75B3">
        <w:tc>
          <w:tcPr>
            <w:tcW w:w="8828" w:type="dxa"/>
            <w:gridSpan w:val="2"/>
            <w:tcBorders>
              <w:top w:val="nil"/>
              <w:left w:val="nil"/>
              <w:bottom w:val="single" w:sz="4" w:space="0" w:color="auto"/>
              <w:right w:val="nil"/>
            </w:tcBorders>
          </w:tcPr>
          <w:p w14:paraId="2BCC7D4A" w14:textId="77777777" w:rsidR="00383193" w:rsidRPr="00383193" w:rsidRDefault="00383193" w:rsidP="00383193">
            <w:pPr>
              <w:jc w:val="center"/>
              <w:rPr>
                <w:rFonts w:eastAsia="Calibri"/>
                <w:b/>
                <w:sz w:val="22"/>
                <w:szCs w:val="22"/>
                <w:lang w:eastAsia="en-US"/>
              </w:rPr>
            </w:pPr>
            <w:r w:rsidRPr="00383193">
              <w:rPr>
                <w:rFonts w:eastAsia="Calibri"/>
                <w:b/>
                <w:sz w:val="22"/>
                <w:szCs w:val="22"/>
                <w:lang w:eastAsia="en-US"/>
              </w:rPr>
              <w:t>LIMITANTES POR EL LADO DE LA OFERTA</w:t>
            </w:r>
          </w:p>
        </w:tc>
      </w:tr>
      <w:tr w:rsidR="00383193" w:rsidRPr="00383193" w14:paraId="0F235875" w14:textId="77777777" w:rsidTr="009F75B3">
        <w:tc>
          <w:tcPr>
            <w:tcW w:w="3539" w:type="dxa"/>
            <w:tcBorders>
              <w:top w:val="single" w:sz="4" w:space="0" w:color="auto"/>
              <w:left w:val="single" w:sz="4" w:space="0" w:color="auto"/>
              <w:bottom w:val="single" w:sz="4" w:space="0" w:color="auto"/>
              <w:right w:val="single" w:sz="4" w:space="0" w:color="auto"/>
            </w:tcBorders>
          </w:tcPr>
          <w:p w14:paraId="1EAB2762"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Restricción</w:t>
            </w:r>
          </w:p>
        </w:tc>
        <w:tc>
          <w:tcPr>
            <w:tcW w:w="5289" w:type="dxa"/>
            <w:tcBorders>
              <w:top w:val="single" w:sz="4" w:space="0" w:color="auto"/>
              <w:left w:val="single" w:sz="4" w:space="0" w:color="auto"/>
              <w:bottom w:val="single" w:sz="4" w:space="0" w:color="auto"/>
              <w:right w:val="single" w:sz="4" w:space="0" w:color="auto"/>
            </w:tcBorders>
          </w:tcPr>
          <w:p w14:paraId="27129679"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Descripción</w:t>
            </w:r>
          </w:p>
        </w:tc>
      </w:tr>
      <w:tr w:rsidR="00383193" w:rsidRPr="00383193" w14:paraId="7C35730A"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5A053254" w14:textId="77777777" w:rsidR="00383193" w:rsidRPr="00383193" w:rsidRDefault="00383193" w:rsidP="003B27DE">
            <w:pPr>
              <w:numPr>
                <w:ilvl w:val="0"/>
                <w:numId w:val="19"/>
              </w:numPr>
              <w:ind w:left="357" w:hanging="357"/>
              <w:contextualSpacing/>
              <w:jc w:val="both"/>
              <w:rPr>
                <w:rFonts w:eastAsia="Calibri"/>
                <w:sz w:val="20"/>
                <w:szCs w:val="20"/>
                <w:lang w:eastAsia="en-US"/>
              </w:rPr>
            </w:pPr>
            <w:r w:rsidRPr="00383193">
              <w:rPr>
                <w:rFonts w:eastAsia="Calibri"/>
                <w:sz w:val="20"/>
                <w:szCs w:val="20"/>
                <w:lang w:eastAsia="en-US"/>
              </w:rPr>
              <w:t xml:space="preserve">Profundidad de los mercados financieros en México </w:t>
            </w:r>
          </w:p>
        </w:tc>
        <w:tc>
          <w:tcPr>
            <w:tcW w:w="5289" w:type="dxa"/>
            <w:tcBorders>
              <w:top w:val="single" w:sz="4" w:space="0" w:color="auto"/>
              <w:left w:val="single" w:sz="4" w:space="0" w:color="auto"/>
              <w:bottom w:val="single" w:sz="4" w:space="0" w:color="auto"/>
              <w:right w:val="single" w:sz="4" w:space="0" w:color="auto"/>
            </w:tcBorders>
          </w:tcPr>
          <w:p w14:paraId="1468B8B4" w14:textId="77777777" w:rsidR="00383193" w:rsidRPr="00383193" w:rsidRDefault="00383193" w:rsidP="003B27DE">
            <w:pPr>
              <w:numPr>
                <w:ilvl w:val="0"/>
                <w:numId w:val="18"/>
              </w:numPr>
              <w:spacing w:after="120"/>
              <w:ind w:left="397" w:hanging="397"/>
              <w:jc w:val="both"/>
              <w:rPr>
                <w:rFonts w:eastAsia="Calibri"/>
                <w:sz w:val="20"/>
                <w:szCs w:val="20"/>
                <w:lang w:eastAsia="en-US"/>
              </w:rPr>
            </w:pPr>
            <w:r w:rsidRPr="00383193">
              <w:rPr>
                <w:rFonts w:eastAsia="Calibri"/>
                <w:sz w:val="20"/>
                <w:szCs w:val="20"/>
                <w:lang w:eastAsia="en-US"/>
              </w:rPr>
              <w:t>Medianos y altos grados de concentración en algunos sectores, incluyendo el financiero, exacerban el poder de mercado de algunos jugadores.</w:t>
            </w:r>
          </w:p>
          <w:p w14:paraId="1082925B" w14:textId="54E3ADBF" w:rsidR="00383193" w:rsidRPr="00383193" w:rsidRDefault="00383193" w:rsidP="003E354C">
            <w:pPr>
              <w:numPr>
                <w:ilvl w:val="0"/>
                <w:numId w:val="18"/>
              </w:numPr>
              <w:spacing w:after="120"/>
              <w:ind w:left="397" w:hanging="397"/>
              <w:contextualSpacing/>
              <w:jc w:val="both"/>
              <w:rPr>
                <w:rFonts w:eastAsia="Calibri"/>
                <w:sz w:val="20"/>
                <w:szCs w:val="20"/>
                <w:lang w:eastAsia="en-US"/>
              </w:rPr>
            </w:pPr>
            <w:r w:rsidRPr="00383193">
              <w:rPr>
                <w:rFonts w:eastAsia="Calibri"/>
                <w:sz w:val="20"/>
                <w:szCs w:val="20"/>
                <w:lang w:eastAsia="en-US"/>
              </w:rPr>
              <w:t>Existe una reducida gama de vehículos en México para inversiones de largo plazo.</w:t>
            </w:r>
          </w:p>
        </w:tc>
      </w:tr>
      <w:tr w:rsidR="00383193" w:rsidRPr="00383193" w14:paraId="02D57395"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298B3980" w14:textId="77777777" w:rsidR="00383193" w:rsidRPr="00383193" w:rsidRDefault="00383193" w:rsidP="003B27DE">
            <w:pPr>
              <w:numPr>
                <w:ilvl w:val="0"/>
                <w:numId w:val="19"/>
              </w:numPr>
              <w:ind w:left="357" w:hanging="357"/>
              <w:contextualSpacing/>
              <w:rPr>
                <w:rFonts w:eastAsia="Calibri"/>
                <w:sz w:val="20"/>
                <w:szCs w:val="20"/>
                <w:lang w:eastAsia="en-US"/>
              </w:rPr>
            </w:pPr>
            <w:r w:rsidRPr="00383193">
              <w:rPr>
                <w:rFonts w:eastAsia="Calibri"/>
                <w:sz w:val="20"/>
                <w:szCs w:val="20"/>
                <w:lang w:eastAsia="en-US"/>
              </w:rPr>
              <w:t>Escasez de proyectos y administradores</w:t>
            </w:r>
          </w:p>
        </w:tc>
        <w:tc>
          <w:tcPr>
            <w:tcW w:w="5289" w:type="dxa"/>
            <w:tcBorders>
              <w:top w:val="single" w:sz="4" w:space="0" w:color="auto"/>
              <w:left w:val="single" w:sz="4" w:space="0" w:color="auto"/>
              <w:bottom w:val="single" w:sz="4" w:space="0" w:color="auto"/>
              <w:right w:val="single" w:sz="4" w:space="0" w:color="auto"/>
            </w:tcBorders>
          </w:tcPr>
          <w:p w14:paraId="5D29A882" w14:textId="77777777" w:rsidR="00383193" w:rsidRPr="00383193" w:rsidRDefault="00383193" w:rsidP="003B27DE">
            <w:pPr>
              <w:numPr>
                <w:ilvl w:val="0"/>
                <w:numId w:val="18"/>
              </w:numPr>
              <w:spacing w:after="120"/>
              <w:ind w:left="397" w:hanging="397"/>
              <w:jc w:val="both"/>
              <w:rPr>
                <w:rFonts w:eastAsia="Calibri"/>
                <w:sz w:val="20"/>
                <w:szCs w:val="20"/>
                <w:lang w:eastAsia="en-US"/>
              </w:rPr>
            </w:pPr>
            <w:r w:rsidRPr="00383193">
              <w:rPr>
                <w:rFonts w:eastAsia="Calibri"/>
                <w:sz w:val="20"/>
                <w:szCs w:val="20"/>
                <w:lang w:eastAsia="en-US"/>
              </w:rPr>
              <w:t>Existen necesidades de financiamiento, pero en ocasiones faltan proyectos viables.</w:t>
            </w:r>
          </w:p>
          <w:p w14:paraId="2232683B" w14:textId="77777777" w:rsidR="00383193" w:rsidRPr="00383193" w:rsidRDefault="00383193" w:rsidP="003B27DE">
            <w:pPr>
              <w:numPr>
                <w:ilvl w:val="0"/>
                <w:numId w:val="18"/>
              </w:numPr>
              <w:spacing w:after="120"/>
              <w:ind w:left="397" w:hanging="397"/>
              <w:contextualSpacing/>
              <w:jc w:val="both"/>
              <w:rPr>
                <w:rFonts w:eastAsia="Calibri"/>
                <w:sz w:val="20"/>
                <w:szCs w:val="20"/>
                <w:lang w:eastAsia="en-US"/>
              </w:rPr>
            </w:pPr>
            <w:r w:rsidRPr="00383193">
              <w:rPr>
                <w:rFonts w:eastAsia="Calibri"/>
                <w:sz w:val="20"/>
                <w:szCs w:val="20"/>
                <w:lang w:eastAsia="en-US"/>
              </w:rPr>
              <w:t xml:space="preserve">Faltan administradores con un </w:t>
            </w:r>
            <w:r w:rsidRPr="00383193">
              <w:rPr>
                <w:rFonts w:eastAsia="Calibri"/>
                <w:i/>
                <w:sz w:val="20"/>
                <w:szCs w:val="20"/>
                <w:lang w:eastAsia="en-US"/>
              </w:rPr>
              <w:t>track record</w:t>
            </w:r>
            <w:r w:rsidRPr="00383193">
              <w:rPr>
                <w:rFonts w:eastAsia="Calibri"/>
                <w:sz w:val="20"/>
                <w:szCs w:val="20"/>
                <w:lang w:eastAsia="en-US"/>
              </w:rPr>
              <w:t xml:space="preserve"> probado.</w:t>
            </w:r>
          </w:p>
        </w:tc>
      </w:tr>
      <w:tr w:rsidR="00383193" w:rsidRPr="00383193" w14:paraId="6D21918F" w14:textId="77777777" w:rsidTr="009F75B3">
        <w:tc>
          <w:tcPr>
            <w:tcW w:w="3539" w:type="dxa"/>
            <w:tcBorders>
              <w:top w:val="single" w:sz="4" w:space="0" w:color="auto"/>
              <w:left w:val="single" w:sz="4" w:space="0" w:color="auto"/>
              <w:bottom w:val="single" w:sz="4" w:space="0" w:color="auto"/>
              <w:right w:val="single" w:sz="4" w:space="0" w:color="auto"/>
            </w:tcBorders>
            <w:vAlign w:val="center"/>
          </w:tcPr>
          <w:p w14:paraId="51BFCDEE" w14:textId="77777777" w:rsidR="00383193" w:rsidRPr="00383193" w:rsidRDefault="00383193" w:rsidP="003B27DE">
            <w:pPr>
              <w:numPr>
                <w:ilvl w:val="0"/>
                <w:numId w:val="19"/>
              </w:numPr>
              <w:ind w:left="357" w:hanging="357"/>
              <w:contextualSpacing/>
              <w:jc w:val="both"/>
              <w:rPr>
                <w:rFonts w:eastAsia="Calibri"/>
                <w:sz w:val="20"/>
                <w:szCs w:val="20"/>
                <w:lang w:eastAsia="en-US"/>
              </w:rPr>
            </w:pPr>
            <w:r w:rsidRPr="00383193">
              <w:rPr>
                <w:rFonts w:eastAsia="Calibri"/>
                <w:sz w:val="20"/>
                <w:szCs w:val="20"/>
                <w:lang w:eastAsia="en-US"/>
              </w:rPr>
              <w:t>Riesgos políticos/sociales/legales</w:t>
            </w:r>
          </w:p>
        </w:tc>
        <w:tc>
          <w:tcPr>
            <w:tcW w:w="5289" w:type="dxa"/>
            <w:tcBorders>
              <w:top w:val="single" w:sz="4" w:space="0" w:color="auto"/>
              <w:left w:val="single" w:sz="4" w:space="0" w:color="auto"/>
              <w:bottom w:val="single" w:sz="4" w:space="0" w:color="auto"/>
              <w:right w:val="single" w:sz="4" w:space="0" w:color="auto"/>
            </w:tcBorders>
          </w:tcPr>
          <w:p w14:paraId="464C0326" w14:textId="77777777" w:rsidR="00383193" w:rsidRPr="00383193" w:rsidRDefault="00383193" w:rsidP="003B27DE">
            <w:pPr>
              <w:numPr>
                <w:ilvl w:val="0"/>
                <w:numId w:val="18"/>
              </w:numPr>
              <w:spacing w:after="120"/>
              <w:ind w:left="397" w:hanging="397"/>
              <w:contextualSpacing/>
              <w:jc w:val="both"/>
              <w:rPr>
                <w:rFonts w:eastAsia="Calibri"/>
                <w:sz w:val="20"/>
                <w:szCs w:val="20"/>
                <w:lang w:eastAsia="en-US"/>
              </w:rPr>
            </w:pPr>
            <w:r w:rsidRPr="00383193">
              <w:rPr>
                <w:rFonts w:eastAsia="Calibri"/>
                <w:sz w:val="20"/>
                <w:szCs w:val="20"/>
                <w:lang w:eastAsia="en-US"/>
              </w:rPr>
              <w:t>Los proyectos de largo plazo deben considerar algunos riesgos adicionales.</w:t>
            </w:r>
          </w:p>
        </w:tc>
      </w:tr>
      <w:tr w:rsidR="00383193" w:rsidRPr="00383193" w14:paraId="35B5C281" w14:textId="77777777" w:rsidTr="009F75B3">
        <w:tc>
          <w:tcPr>
            <w:tcW w:w="8828" w:type="dxa"/>
            <w:gridSpan w:val="2"/>
            <w:tcBorders>
              <w:top w:val="single" w:sz="4" w:space="0" w:color="auto"/>
              <w:left w:val="nil"/>
              <w:bottom w:val="nil"/>
              <w:right w:val="nil"/>
            </w:tcBorders>
          </w:tcPr>
          <w:p w14:paraId="3BDA031A"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r>
    </w:tbl>
    <w:p w14:paraId="18F3A256" w14:textId="77777777" w:rsidR="00383193" w:rsidRPr="00383193" w:rsidRDefault="00383193" w:rsidP="00383193">
      <w:pPr>
        <w:spacing w:after="360" w:line="360" w:lineRule="auto"/>
        <w:ind w:right="-159"/>
        <w:jc w:val="both"/>
        <w:rPr>
          <w:rFonts w:eastAsia="Calibri"/>
          <w:sz w:val="26"/>
          <w:szCs w:val="26"/>
          <w:lang w:eastAsia="en-US"/>
        </w:rPr>
      </w:pPr>
    </w:p>
    <w:p w14:paraId="55A77E0E" w14:textId="77777777" w:rsidR="00383193" w:rsidRPr="00383193" w:rsidRDefault="00383193" w:rsidP="003B27DE">
      <w:pPr>
        <w:numPr>
          <w:ilvl w:val="0"/>
          <w:numId w:val="17"/>
        </w:numPr>
        <w:spacing w:after="360" w:line="360" w:lineRule="auto"/>
        <w:ind w:left="567" w:right="-159" w:hanging="567"/>
        <w:jc w:val="both"/>
        <w:rPr>
          <w:rFonts w:eastAsia="Calibri"/>
          <w:b/>
          <w:sz w:val="26"/>
          <w:szCs w:val="26"/>
          <w:lang w:eastAsia="en-US"/>
        </w:rPr>
      </w:pPr>
      <w:r w:rsidRPr="00383193">
        <w:rPr>
          <w:rFonts w:eastAsia="Calibri"/>
          <w:b/>
          <w:sz w:val="26"/>
          <w:szCs w:val="26"/>
          <w:lang w:eastAsia="en-US"/>
        </w:rPr>
        <w:t>Acciones para atender los principales retos</w:t>
      </w:r>
    </w:p>
    <w:p w14:paraId="159BBD80"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1. Incentivos para que las Afore inviertan con horizontes de mayor plazo.</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41"/>
      </w:tblGrid>
      <w:tr w:rsidR="00383193" w:rsidRPr="00383193" w14:paraId="58C825B5" w14:textId="77777777" w:rsidTr="009F75B3">
        <w:trPr>
          <w:jc w:val="center"/>
        </w:trPr>
        <w:tc>
          <w:tcPr>
            <w:tcW w:w="6941" w:type="dxa"/>
          </w:tcPr>
          <w:p w14:paraId="12C185E2" w14:textId="77777777" w:rsidR="00383193" w:rsidRPr="00383193" w:rsidRDefault="00383193" w:rsidP="00383193">
            <w:pPr>
              <w:spacing w:before="120" w:after="120" w:line="360" w:lineRule="auto"/>
              <w:jc w:val="both"/>
              <w:rPr>
                <w:rFonts w:eastAsia="Calibri"/>
                <w:sz w:val="20"/>
                <w:szCs w:val="20"/>
                <w:lang w:eastAsia="en-US"/>
              </w:rPr>
            </w:pPr>
            <w:r w:rsidRPr="00383193">
              <w:rPr>
                <w:rFonts w:eastAsia="Calibri"/>
                <w:sz w:val="20"/>
                <w:szCs w:val="20"/>
                <w:lang w:eastAsia="en-US"/>
              </w:rPr>
              <w:t>Consar está implementando diversos cambios regulatorios que contribuirán a que las Afore privilegien un horizonte de inversión de mayor plazo:</w:t>
            </w:r>
          </w:p>
          <w:p w14:paraId="2539F34A" w14:textId="77777777" w:rsidR="00383193" w:rsidRPr="00383193" w:rsidRDefault="00383193" w:rsidP="003B27DE">
            <w:pPr>
              <w:numPr>
                <w:ilvl w:val="0"/>
                <w:numId w:val="20"/>
              </w:numPr>
              <w:spacing w:after="120" w:line="360" w:lineRule="auto"/>
              <w:jc w:val="both"/>
              <w:rPr>
                <w:rFonts w:eastAsia="Calibri"/>
                <w:sz w:val="20"/>
                <w:szCs w:val="20"/>
                <w:lang w:eastAsia="en-US"/>
              </w:rPr>
            </w:pPr>
            <w:r w:rsidRPr="00383193">
              <w:rPr>
                <w:rFonts w:eastAsia="Calibri"/>
                <w:sz w:val="20"/>
                <w:szCs w:val="20"/>
                <w:lang w:eastAsia="en-US"/>
              </w:rPr>
              <w:t>Adopción de Portafolios de Referencia.</w:t>
            </w:r>
          </w:p>
          <w:p w14:paraId="3B371C99" w14:textId="77777777" w:rsidR="00383193" w:rsidRPr="00383193" w:rsidRDefault="00383193" w:rsidP="003B27DE">
            <w:pPr>
              <w:numPr>
                <w:ilvl w:val="0"/>
                <w:numId w:val="20"/>
              </w:numPr>
              <w:spacing w:after="120" w:line="360" w:lineRule="auto"/>
              <w:jc w:val="both"/>
              <w:rPr>
                <w:rFonts w:eastAsia="Calibri"/>
                <w:sz w:val="20"/>
                <w:szCs w:val="20"/>
                <w:lang w:eastAsia="en-US"/>
              </w:rPr>
            </w:pPr>
            <w:r w:rsidRPr="00383193">
              <w:rPr>
                <w:rFonts w:eastAsia="Calibri"/>
                <w:sz w:val="20"/>
                <w:szCs w:val="20"/>
                <w:lang w:eastAsia="en-US"/>
              </w:rPr>
              <w:t>Ampliación del horizonte de cálculo del Indicador de Rendimiento Neto (IRN).</w:t>
            </w:r>
          </w:p>
          <w:p w14:paraId="4C50F4B2" w14:textId="77777777" w:rsidR="00383193" w:rsidRPr="00383193" w:rsidRDefault="00383193" w:rsidP="003B27DE">
            <w:pPr>
              <w:numPr>
                <w:ilvl w:val="0"/>
                <w:numId w:val="20"/>
              </w:numPr>
              <w:spacing w:after="120" w:line="360" w:lineRule="auto"/>
              <w:jc w:val="both"/>
              <w:rPr>
                <w:rFonts w:eastAsia="Calibri"/>
                <w:sz w:val="20"/>
                <w:szCs w:val="20"/>
                <w:lang w:eastAsia="en-US"/>
              </w:rPr>
            </w:pPr>
            <w:r w:rsidRPr="00383193">
              <w:rPr>
                <w:rFonts w:eastAsia="Calibri"/>
                <w:sz w:val="20"/>
                <w:szCs w:val="20"/>
                <w:lang w:eastAsia="en-US"/>
              </w:rPr>
              <w:t>Modificaciones a la regulación Operativa para establecer un nuevo modelo de traspasos.</w:t>
            </w:r>
          </w:p>
        </w:tc>
      </w:tr>
    </w:tbl>
    <w:p w14:paraId="115B70D1" w14:textId="77777777" w:rsidR="00383193" w:rsidRPr="00383193" w:rsidRDefault="00383193" w:rsidP="00383193">
      <w:pPr>
        <w:spacing w:after="360" w:line="360" w:lineRule="auto"/>
        <w:ind w:right="-159"/>
        <w:jc w:val="both"/>
        <w:rPr>
          <w:rFonts w:eastAsia="Calibri"/>
          <w:sz w:val="20"/>
          <w:szCs w:val="20"/>
          <w:lang w:eastAsia="en-US"/>
        </w:rPr>
      </w:pPr>
      <w:r w:rsidRPr="00383193">
        <w:rPr>
          <w:rFonts w:eastAsia="Calibri"/>
          <w:sz w:val="20"/>
          <w:szCs w:val="20"/>
          <w:lang w:eastAsia="en-US"/>
        </w:rPr>
        <w:t xml:space="preserve">                      FUENTE: Consar.</w:t>
      </w:r>
    </w:p>
    <w:p w14:paraId="7C03B027" w14:textId="77777777" w:rsidR="00383193" w:rsidRPr="00383193" w:rsidRDefault="00383193" w:rsidP="00383193">
      <w:pPr>
        <w:spacing w:after="360" w:line="360" w:lineRule="auto"/>
        <w:ind w:right="-159"/>
        <w:jc w:val="both"/>
        <w:rPr>
          <w:rFonts w:eastAsia="Calibri"/>
          <w:sz w:val="20"/>
          <w:szCs w:val="20"/>
          <w:lang w:eastAsia="en-US"/>
        </w:rPr>
      </w:pPr>
    </w:p>
    <w:p w14:paraId="3489CB25" w14:textId="77777777" w:rsidR="00383193" w:rsidRPr="00383193" w:rsidRDefault="00383193" w:rsidP="00383193">
      <w:pPr>
        <w:spacing w:after="360" w:line="360" w:lineRule="auto"/>
        <w:ind w:right="-159"/>
        <w:jc w:val="both"/>
        <w:rPr>
          <w:rFonts w:eastAsia="Calibri"/>
          <w:sz w:val="20"/>
          <w:szCs w:val="20"/>
          <w:lang w:eastAsia="en-US"/>
        </w:rPr>
      </w:pPr>
    </w:p>
    <w:p w14:paraId="25431167" w14:textId="77777777" w:rsidR="00383193" w:rsidRDefault="00383193" w:rsidP="00383193">
      <w:pPr>
        <w:spacing w:after="360" w:line="360" w:lineRule="auto"/>
        <w:ind w:right="-159"/>
        <w:jc w:val="both"/>
        <w:rPr>
          <w:rFonts w:eastAsia="Calibri"/>
          <w:sz w:val="20"/>
          <w:szCs w:val="20"/>
          <w:lang w:eastAsia="en-US"/>
        </w:rPr>
      </w:pPr>
    </w:p>
    <w:p w14:paraId="1AC6DA5C" w14:textId="77777777" w:rsidR="004727D3" w:rsidRPr="00383193" w:rsidRDefault="004727D3" w:rsidP="00383193">
      <w:pPr>
        <w:spacing w:after="360" w:line="360" w:lineRule="auto"/>
        <w:ind w:right="-159"/>
        <w:jc w:val="both"/>
        <w:rPr>
          <w:rFonts w:eastAsia="Calibri"/>
          <w:sz w:val="20"/>
          <w:szCs w:val="20"/>
          <w:lang w:eastAsia="en-US"/>
        </w:rPr>
      </w:pPr>
    </w:p>
    <w:p w14:paraId="18FF506C"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lastRenderedPageBreak/>
        <w:t>2. Fortalecer las capacidades de gestión de las Afore</w:t>
      </w:r>
    </w:p>
    <w:tbl>
      <w:tblPr>
        <w:tblW w:w="0" w:type="auto"/>
        <w:tblLook w:val="04A0" w:firstRow="1" w:lastRow="0" w:firstColumn="1" w:lastColumn="0" w:noHBand="0" w:noVBand="1"/>
      </w:tblPr>
      <w:tblGrid>
        <w:gridCol w:w="4106"/>
        <w:gridCol w:w="1134"/>
        <w:gridCol w:w="3588"/>
      </w:tblGrid>
      <w:tr w:rsidR="00383193" w:rsidRPr="00383193" w14:paraId="3A03F496" w14:textId="77777777" w:rsidTr="009F75B3">
        <w:tc>
          <w:tcPr>
            <w:tcW w:w="4106" w:type="dxa"/>
            <w:vMerge w:val="restart"/>
            <w:tcBorders>
              <w:top w:val="single" w:sz="4" w:space="0" w:color="auto"/>
              <w:left w:val="single" w:sz="4" w:space="0" w:color="auto"/>
              <w:bottom w:val="single" w:sz="4" w:space="0" w:color="auto"/>
              <w:right w:val="single" w:sz="4" w:space="0" w:color="auto"/>
            </w:tcBorders>
          </w:tcPr>
          <w:p w14:paraId="15BCF4F6"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 xml:space="preserve">Se requerirá próximamente una mejor certificación a TODOS los funcionarios de inversiones, riesgo, </w:t>
            </w:r>
            <w:r w:rsidRPr="00383193">
              <w:rPr>
                <w:rFonts w:eastAsia="Calibri"/>
                <w:i/>
                <w:sz w:val="20"/>
                <w:szCs w:val="20"/>
                <w:lang w:eastAsia="en-US"/>
              </w:rPr>
              <w:t>back office</w:t>
            </w:r>
            <w:r w:rsidRPr="00383193">
              <w:rPr>
                <w:rFonts w:eastAsia="Calibri"/>
                <w:sz w:val="20"/>
                <w:szCs w:val="20"/>
                <w:lang w:eastAsia="en-US"/>
              </w:rPr>
              <w:t xml:space="preserve"> y contraloría:</w:t>
            </w:r>
          </w:p>
          <w:p w14:paraId="0D0E3DEA" w14:textId="77777777" w:rsidR="00383193" w:rsidRPr="00383193" w:rsidRDefault="00383193" w:rsidP="003B27DE">
            <w:pPr>
              <w:numPr>
                <w:ilvl w:val="0"/>
                <w:numId w:val="21"/>
              </w:numPr>
              <w:spacing w:after="120"/>
              <w:ind w:left="357" w:hanging="357"/>
              <w:jc w:val="both"/>
              <w:rPr>
                <w:rFonts w:eastAsia="Calibri"/>
                <w:sz w:val="20"/>
                <w:szCs w:val="20"/>
                <w:lang w:eastAsia="en-US"/>
              </w:rPr>
            </w:pPr>
            <w:r w:rsidRPr="00383193">
              <w:rPr>
                <w:rFonts w:eastAsia="Calibri"/>
                <w:sz w:val="20"/>
                <w:szCs w:val="20"/>
                <w:lang w:eastAsia="en-US"/>
              </w:rPr>
              <w:t>Diferenciadas por actividad (inversión, riesgos) y vehículos (derivados, CKD).</w:t>
            </w:r>
          </w:p>
          <w:p w14:paraId="7669E47D" w14:textId="77777777" w:rsidR="00383193" w:rsidRPr="00383193" w:rsidRDefault="00383193" w:rsidP="003B27DE">
            <w:pPr>
              <w:numPr>
                <w:ilvl w:val="0"/>
                <w:numId w:val="21"/>
              </w:numPr>
              <w:spacing w:after="120"/>
              <w:ind w:left="357" w:hanging="357"/>
              <w:jc w:val="both"/>
              <w:rPr>
                <w:rFonts w:eastAsia="Calibri"/>
                <w:sz w:val="20"/>
                <w:szCs w:val="20"/>
                <w:lang w:eastAsia="en-US"/>
              </w:rPr>
            </w:pPr>
            <w:r w:rsidRPr="00383193">
              <w:rPr>
                <w:rFonts w:eastAsia="Calibri"/>
                <w:sz w:val="20"/>
                <w:szCs w:val="20"/>
                <w:lang w:eastAsia="en-US"/>
              </w:rPr>
              <w:t>La vigencia dependerá del tipo de examen.</w:t>
            </w:r>
          </w:p>
          <w:p w14:paraId="576F8F3D" w14:textId="3D8D60EA" w:rsidR="00383193" w:rsidRPr="00383193" w:rsidRDefault="00383193" w:rsidP="003B27DE">
            <w:pPr>
              <w:numPr>
                <w:ilvl w:val="0"/>
                <w:numId w:val="21"/>
              </w:numPr>
              <w:spacing w:after="120"/>
              <w:ind w:left="357" w:hanging="357"/>
              <w:contextualSpacing/>
              <w:jc w:val="both"/>
              <w:rPr>
                <w:rFonts w:eastAsia="Calibri"/>
                <w:sz w:val="20"/>
                <w:szCs w:val="20"/>
                <w:lang w:eastAsia="en-US"/>
              </w:rPr>
            </w:pPr>
            <w:r w:rsidRPr="00383193">
              <w:rPr>
                <w:rFonts w:eastAsia="Calibri"/>
                <w:sz w:val="20"/>
                <w:szCs w:val="20"/>
                <w:lang w:eastAsia="en-US"/>
              </w:rPr>
              <w:t>Se sancionará a las Afore y funcionarios por incumplimiento</w:t>
            </w:r>
            <w:r w:rsidR="003E354C">
              <w:rPr>
                <w:rFonts w:eastAsia="Calibri"/>
                <w:sz w:val="20"/>
                <w:szCs w:val="20"/>
                <w:lang w:eastAsia="en-US"/>
              </w:rPr>
              <w:t>.</w:t>
            </w:r>
          </w:p>
        </w:tc>
        <w:tc>
          <w:tcPr>
            <w:tcW w:w="1134" w:type="dxa"/>
            <w:vMerge w:val="restart"/>
            <w:tcBorders>
              <w:left w:val="single" w:sz="4" w:space="0" w:color="auto"/>
            </w:tcBorders>
            <w:vAlign w:val="center"/>
          </w:tcPr>
          <w:p w14:paraId="6DD6EC80" w14:textId="77777777" w:rsidR="00383193" w:rsidRPr="00383193" w:rsidRDefault="00383193" w:rsidP="00383193">
            <w:pPr>
              <w:jc w:val="both"/>
              <w:rPr>
                <w:rFonts w:eastAsia="Calibri"/>
                <w:sz w:val="20"/>
                <w:szCs w:val="20"/>
                <w:lang w:eastAsia="en-US"/>
              </w:rPr>
            </w:pPr>
            <w:r w:rsidRPr="00383193">
              <w:rPr>
                <w:rFonts w:eastAsia="Calibri"/>
                <w:noProof/>
                <w:sz w:val="20"/>
                <w:szCs w:val="20"/>
                <w:lang w:eastAsia="es-MX"/>
              </w:rPr>
              <mc:AlternateContent>
                <mc:Choice Requires="wps">
                  <w:drawing>
                    <wp:anchor distT="0" distB="0" distL="114300" distR="114300" simplePos="0" relativeHeight="251663360" behindDoc="0" locked="0" layoutInCell="1" allowOverlap="1" wp14:anchorId="42EF963B" wp14:editId="7C633A6F">
                      <wp:simplePos x="0" y="0"/>
                      <wp:positionH relativeFrom="column">
                        <wp:posOffset>168275</wp:posOffset>
                      </wp:positionH>
                      <wp:positionV relativeFrom="paragraph">
                        <wp:posOffset>274955</wp:posOffset>
                      </wp:positionV>
                      <wp:extent cx="344805" cy="1148715"/>
                      <wp:effectExtent l="0" t="38100" r="36195" b="51435"/>
                      <wp:wrapNone/>
                      <wp:docPr id="11" name="Flecha derecha 11"/>
                      <wp:cNvGraphicFramePr/>
                      <a:graphic xmlns:a="http://schemas.openxmlformats.org/drawingml/2006/main">
                        <a:graphicData uri="http://schemas.microsoft.com/office/word/2010/wordprocessingShape">
                          <wps:wsp>
                            <wps:cNvSpPr/>
                            <wps:spPr>
                              <a:xfrm>
                                <a:off x="0" y="0"/>
                                <a:ext cx="344805" cy="1149179"/>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565D2" id="Flecha derecha 11" o:spid="_x0000_s1026" type="#_x0000_t13" style="position:absolute;margin-left:13.25pt;margin-top:21.65pt;width:27.15pt;height:90.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" adj="10800" fillcolor="#5b9bd5" strokecolor="#41719c" strokeweight="1pt"/>
                  </w:pict>
                </mc:Fallback>
              </mc:AlternateContent>
            </w:r>
          </w:p>
        </w:tc>
        <w:tc>
          <w:tcPr>
            <w:tcW w:w="3588" w:type="dxa"/>
          </w:tcPr>
          <w:p w14:paraId="693BE66E" w14:textId="77777777" w:rsidR="00383193" w:rsidRPr="00383193" w:rsidRDefault="00383193" w:rsidP="00383193">
            <w:pPr>
              <w:jc w:val="both"/>
              <w:rPr>
                <w:rFonts w:eastAsia="Calibri"/>
                <w:sz w:val="20"/>
                <w:szCs w:val="20"/>
                <w:lang w:eastAsia="en-US"/>
              </w:rPr>
            </w:pPr>
          </w:p>
        </w:tc>
      </w:tr>
      <w:tr w:rsidR="00383193" w:rsidRPr="00383193" w14:paraId="730536B7" w14:textId="77777777" w:rsidTr="009F75B3">
        <w:trPr>
          <w:trHeight w:val="297"/>
        </w:trPr>
        <w:tc>
          <w:tcPr>
            <w:tcW w:w="4106" w:type="dxa"/>
            <w:vMerge/>
            <w:tcBorders>
              <w:left w:val="single" w:sz="4" w:space="0" w:color="auto"/>
              <w:bottom w:val="single" w:sz="4" w:space="0" w:color="auto"/>
              <w:right w:val="single" w:sz="4" w:space="0" w:color="auto"/>
            </w:tcBorders>
          </w:tcPr>
          <w:p w14:paraId="44CAE42D" w14:textId="77777777" w:rsidR="00383193" w:rsidRPr="00383193" w:rsidRDefault="00383193" w:rsidP="003B27DE">
            <w:pPr>
              <w:numPr>
                <w:ilvl w:val="0"/>
                <w:numId w:val="21"/>
              </w:numPr>
              <w:spacing w:after="120"/>
              <w:ind w:left="357" w:hanging="357"/>
              <w:jc w:val="both"/>
              <w:rPr>
                <w:rFonts w:eastAsia="Calibri"/>
                <w:sz w:val="20"/>
                <w:szCs w:val="20"/>
                <w:lang w:eastAsia="en-US"/>
              </w:rPr>
            </w:pPr>
          </w:p>
        </w:tc>
        <w:tc>
          <w:tcPr>
            <w:tcW w:w="1134" w:type="dxa"/>
            <w:vMerge/>
            <w:tcBorders>
              <w:left w:val="single" w:sz="4" w:space="0" w:color="auto"/>
            </w:tcBorders>
          </w:tcPr>
          <w:p w14:paraId="36A06957" w14:textId="77777777" w:rsidR="00383193" w:rsidRPr="00383193" w:rsidRDefault="00383193" w:rsidP="00383193">
            <w:pPr>
              <w:jc w:val="both"/>
              <w:rPr>
                <w:rFonts w:eastAsia="Calibri"/>
                <w:sz w:val="20"/>
                <w:szCs w:val="20"/>
                <w:lang w:eastAsia="en-US"/>
              </w:rPr>
            </w:pPr>
          </w:p>
        </w:tc>
        <w:tc>
          <w:tcPr>
            <w:tcW w:w="3588" w:type="dxa"/>
            <w:tcBorders>
              <w:bottom w:val="single" w:sz="4" w:space="0" w:color="auto"/>
            </w:tcBorders>
          </w:tcPr>
          <w:p w14:paraId="42F60406" w14:textId="77777777" w:rsidR="00383193" w:rsidRPr="00383193" w:rsidRDefault="00383193" w:rsidP="00383193">
            <w:pPr>
              <w:jc w:val="both"/>
              <w:rPr>
                <w:rFonts w:eastAsia="Calibri"/>
                <w:sz w:val="20"/>
                <w:szCs w:val="20"/>
                <w:lang w:eastAsia="en-US"/>
              </w:rPr>
            </w:pPr>
          </w:p>
        </w:tc>
      </w:tr>
      <w:tr w:rsidR="00383193" w:rsidRPr="00383193" w14:paraId="65CCE6D8" w14:textId="77777777" w:rsidTr="009F75B3">
        <w:trPr>
          <w:trHeight w:val="297"/>
        </w:trPr>
        <w:tc>
          <w:tcPr>
            <w:tcW w:w="4106" w:type="dxa"/>
            <w:vMerge/>
            <w:tcBorders>
              <w:left w:val="single" w:sz="4" w:space="0" w:color="auto"/>
              <w:bottom w:val="single" w:sz="4" w:space="0" w:color="auto"/>
              <w:right w:val="single" w:sz="4" w:space="0" w:color="auto"/>
            </w:tcBorders>
          </w:tcPr>
          <w:p w14:paraId="2A10F0D6" w14:textId="77777777" w:rsidR="00383193" w:rsidRPr="00383193" w:rsidRDefault="00383193" w:rsidP="003B27DE">
            <w:pPr>
              <w:numPr>
                <w:ilvl w:val="0"/>
                <w:numId w:val="21"/>
              </w:numPr>
              <w:spacing w:after="120"/>
              <w:ind w:left="357" w:hanging="357"/>
              <w:jc w:val="both"/>
              <w:rPr>
                <w:rFonts w:eastAsia="Calibri"/>
                <w:sz w:val="20"/>
                <w:szCs w:val="20"/>
                <w:lang w:eastAsia="en-US"/>
              </w:rPr>
            </w:pPr>
          </w:p>
        </w:tc>
        <w:tc>
          <w:tcPr>
            <w:tcW w:w="1134" w:type="dxa"/>
            <w:vMerge/>
            <w:tcBorders>
              <w:left w:val="single" w:sz="4" w:space="0" w:color="auto"/>
              <w:right w:val="single" w:sz="4" w:space="0" w:color="auto"/>
            </w:tcBorders>
          </w:tcPr>
          <w:p w14:paraId="66F3FA03" w14:textId="77777777" w:rsidR="00383193" w:rsidRPr="00383193" w:rsidRDefault="00383193" w:rsidP="00383193">
            <w:pPr>
              <w:jc w:val="both"/>
              <w:rPr>
                <w:rFonts w:eastAsia="Calibri"/>
                <w:sz w:val="20"/>
                <w:szCs w:val="20"/>
                <w:lang w:eastAsia="en-US"/>
              </w:rPr>
            </w:pPr>
          </w:p>
        </w:tc>
        <w:tc>
          <w:tcPr>
            <w:tcW w:w="3588" w:type="dxa"/>
            <w:tcBorders>
              <w:top w:val="single" w:sz="4" w:space="0" w:color="auto"/>
              <w:left w:val="single" w:sz="4" w:space="0" w:color="auto"/>
              <w:bottom w:val="single" w:sz="4" w:space="0" w:color="auto"/>
              <w:right w:val="single" w:sz="4" w:space="0" w:color="auto"/>
            </w:tcBorders>
          </w:tcPr>
          <w:p w14:paraId="38CB2EBD"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Se incorporan certificaciones para la inversión en Estructurados y se reconocen certificaciones internacionales (CFA, PRMIA, GARP y SOA).</w:t>
            </w:r>
          </w:p>
        </w:tc>
      </w:tr>
      <w:tr w:rsidR="00383193" w:rsidRPr="00383193" w14:paraId="3C2B9019" w14:textId="77777777" w:rsidTr="009F75B3">
        <w:trPr>
          <w:trHeight w:val="273"/>
        </w:trPr>
        <w:tc>
          <w:tcPr>
            <w:tcW w:w="4106" w:type="dxa"/>
            <w:vMerge/>
            <w:tcBorders>
              <w:left w:val="single" w:sz="4" w:space="0" w:color="auto"/>
              <w:bottom w:val="single" w:sz="4" w:space="0" w:color="auto"/>
              <w:right w:val="single" w:sz="4" w:space="0" w:color="auto"/>
            </w:tcBorders>
          </w:tcPr>
          <w:p w14:paraId="00C0D2AD" w14:textId="77777777" w:rsidR="00383193" w:rsidRPr="00383193" w:rsidRDefault="00383193" w:rsidP="00383193">
            <w:pPr>
              <w:jc w:val="both"/>
              <w:rPr>
                <w:rFonts w:eastAsia="Calibri"/>
                <w:sz w:val="20"/>
                <w:szCs w:val="20"/>
                <w:lang w:eastAsia="en-US"/>
              </w:rPr>
            </w:pPr>
          </w:p>
        </w:tc>
        <w:tc>
          <w:tcPr>
            <w:tcW w:w="1134" w:type="dxa"/>
            <w:vMerge/>
            <w:tcBorders>
              <w:left w:val="single" w:sz="4" w:space="0" w:color="auto"/>
            </w:tcBorders>
          </w:tcPr>
          <w:p w14:paraId="005EE109" w14:textId="77777777" w:rsidR="00383193" w:rsidRPr="00383193" w:rsidRDefault="00383193" w:rsidP="00383193">
            <w:pPr>
              <w:jc w:val="both"/>
              <w:rPr>
                <w:rFonts w:eastAsia="Calibri"/>
                <w:sz w:val="20"/>
                <w:szCs w:val="20"/>
                <w:lang w:eastAsia="en-US"/>
              </w:rPr>
            </w:pPr>
          </w:p>
        </w:tc>
        <w:tc>
          <w:tcPr>
            <w:tcW w:w="3588" w:type="dxa"/>
            <w:tcBorders>
              <w:top w:val="single" w:sz="4" w:space="0" w:color="auto"/>
            </w:tcBorders>
          </w:tcPr>
          <w:p w14:paraId="52EBD3DC" w14:textId="77777777" w:rsidR="00383193" w:rsidRPr="00383193" w:rsidRDefault="00383193" w:rsidP="00383193">
            <w:pPr>
              <w:jc w:val="both"/>
              <w:rPr>
                <w:rFonts w:eastAsia="Calibri"/>
                <w:sz w:val="20"/>
                <w:szCs w:val="20"/>
                <w:lang w:eastAsia="en-US"/>
              </w:rPr>
            </w:pPr>
          </w:p>
        </w:tc>
      </w:tr>
      <w:tr w:rsidR="00383193" w:rsidRPr="00383193" w14:paraId="5A7A0BA3" w14:textId="77777777" w:rsidTr="009F75B3">
        <w:trPr>
          <w:trHeight w:val="272"/>
        </w:trPr>
        <w:tc>
          <w:tcPr>
            <w:tcW w:w="4106" w:type="dxa"/>
            <w:vMerge/>
            <w:tcBorders>
              <w:left w:val="single" w:sz="4" w:space="0" w:color="auto"/>
              <w:bottom w:val="single" w:sz="4" w:space="0" w:color="auto"/>
              <w:right w:val="single" w:sz="4" w:space="0" w:color="auto"/>
            </w:tcBorders>
          </w:tcPr>
          <w:p w14:paraId="6E43F61B" w14:textId="77777777" w:rsidR="00383193" w:rsidRPr="00383193" w:rsidRDefault="00383193" w:rsidP="00383193">
            <w:pPr>
              <w:jc w:val="both"/>
              <w:rPr>
                <w:rFonts w:eastAsia="Calibri"/>
                <w:sz w:val="20"/>
                <w:szCs w:val="20"/>
                <w:lang w:eastAsia="en-US"/>
              </w:rPr>
            </w:pPr>
          </w:p>
        </w:tc>
        <w:tc>
          <w:tcPr>
            <w:tcW w:w="1134" w:type="dxa"/>
            <w:vMerge/>
            <w:tcBorders>
              <w:left w:val="single" w:sz="4" w:space="0" w:color="auto"/>
            </w:tcBorders>
          </w:tcPr>
          <w:p w14:paraId="404560A5" w14:textId="77777777" w:rsidR="00383193" w:rsidRPr="00383193" w:rsidRDefault="00383193" w:rsidP="00383193">
            <w:pPr>
              <w:jc w:val="both"/>
              <w:rPr>
                <w:rFonts w:eastAsia="Calibri"/>
                <w:sz w:val="20"/>
                <w:szCs w:val="20"/>
                <w:lang w:eastAsia="en-US"/>
              </w:rPr>
            </w:pPr>
          </w:p>
        </w:tc>
        <w:tc>
          <w:tcPr>
            <w:tcW w:w="3588" w:type="dxa"/>
          </w:tcPr>
          <w:p w14:paraId="40997714" w14:textId="77777777" w:rsidR="00383193" w:rsidRPr="00383193" w:rsidRDefault="00383193" w:rsidP="00383193">
            <w:pPr>
              <w:jc w:val="both"/>
              <w:rPr>
                <w:rFonts w:eastAsia="Calibri"/>
                <w:sz w:val="20"/>
                <w:szCs w:val="20"/>
                <w:lang w:eastAsia="en-US"/>
              </w:rPr>
            </w:pPr>
          </w:p>
        </w:tc>
      </w:tr>
      <w:tr w:rsidR="00383193" w:rsidRPr="00383193" w14:paraId="47F6850B" w14:textId="77777777" w:rsidTr="009F75B3">
        <w:tc>
          <w:tcPr>
            <w:tcW w:w="4106" w:type="dxa"/>
            <w:tcBorders>
              <w:top w:val="single" w:sz="4" w:space="0" w:color="auto"/>
            </w:tcBorders>
          </w:tcPr>
          <w:p w14:paraId="171D5019"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c>
          <w:tcPr>
            <w:tcW w:w="1134" w:type="dxa"/>
          </w:tcPr>
          <w:p w14:paraId="5A96876D" w14:textId="77777777" w:rsidR="00383193" w:rsidRPr="00383193" w:rsidRDefault="00383193" w:rsidP="00383193">
            <w:pPr>
              <w:jc w:val="both"/>
              <w:rPr>
                <w:rFonts w:eastAsia="Calibri"/>
                <w:sz w:val="20"/>
                <w:szCs w:val="20"/>
                <w:lang w:eastAsia="en-US"/>
              </w:rPr>
            </w:pPr>
          </w:p>
        </w:tc>
        <w:tc>
          <w:tcPr>
            <w:tcW w:w="3588" w:type="dxa"/>
          </w:tcPr>
          <w:p w14:paraId="5BD65137" w14:textId="77777777" w:rsidR="00383193" w:rsidRPr="00383193" w:rsidRDefault="00383193" w:rsidP="00383193">
            <w:pPr>
              <w:jc w:val="both"/>
              <w:rPr>
                <w:rFonts w:eastAsia="Calibri"/>
                <w:sz w:val="20"/>
                <w:szCs w:val="20"/>
                <w:lang w:eastAsia="en-US"/>
              </w:rPr>
            </w:pPr>
          </w:p>
        </w:tc>
      </w:tr>
    </w:tbl>
    <w:p w14:paraId="575ADD92" w14:textId="77777777" w:rsidR="00383193" w:rsidRPr="00383193" w:rsidRDefault="00383193" w:rsidP="00383193">
      <w:pPr>
        <w:spacing w:after="360" w:line="360" w:lineRule="auto"/>
        <w:ind w:right="-159"/>
        <w:jc w:val="both"/>
        <w:rPr>
          <w:rFonts w:eastAsia="Calibri"/>
          <w:sz w:val="26"/>
          <w:szCs w:val="26"/>
          <w:lang w:eastAsia="en-US"/>
        </w:rPr>
      </w:pPr>
    </w:p>
    <w:p w14:paraId="53F31D6E"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3. Flexibilizar los requisitos para la inversión de las Afore en estructurados.</w:t>
      </w:r>
    </w:p>
    <w:tbl>
      <w:tblPr>
        <w:tblW w:w="0" w:type="auto"/>
        <w:tblLook w:val="04A0" w:firstRow="1" w:lastRow="0" w:firstColumn="1" w:lastColumn="0" w:noHBand="0" w:noVBand="1"/>
      </w:tblPr>
      <w:tblGrid>
        <w:gridCol w:w="1696"/>
        <w:gridCol w:w="7132"/>
      </w:tblGrid>
      <w:tr w:rsidR="00383193" w:rsidRPr="00383193" w14:paraId="307344A4" w14:textId="77777777" w:rsidTr="009F75B3">
        <w:tc>
          <w:tcPr>
            <w:tcW w:w="1696" w:type="dxa"/>
            <w:tcBorders>
              <w:top w:val="nil"/>
              <w:left w:val="nil"/>
              <w:bottom w:val="nil"/>
              <w:right w:val="single" w:sz="4" w:space="0" w:color="auto"/>
            </w:tcBorders>
            <w:vAlign w:val="center"/>
          </w:tcPr>
          <w:p w14:paraId="30BCD450" w14:textId="77777777" w:rsidR="00383193" w:rsidRPr="00383193" w:rsidRDefault="00383193" w:rsidP="00383193">
            <w:pPr>
              <w:jc w:val="center"/>
              <w:rPr>
                <w:rFonts w:eastAsia="Calibri"/>
                <w:sz w:val="20"/>
                <w:szCs w:val="20"/>
                <w:lang w:eastAsia="en-US"/>
              </w:rPr>
            </w:pPr>
            <w:r w:rsidRPr="00383193">
              <w:rPr>
                <w:rFonts w:eastAsia="Calibri"/>
                <w:noProof/>
                <w:sz w:val="20"/>
                <w:szCs w:val="20"/>
                <w:lang w:eastAsia="es-MX"/>
              </w:rPr>
              <mc:AlternateContent>
                <mc:Choice Requires="wps">
                  <w:drawing>
                    <wp:anchor distT="45720" distB="45720" distL="114300" distR="114300" simplePos="0" relativeHeight="251665408" behindDoc="0" locked="0" layoutInCell="1" allowOverlap="1" wp14:anchorId="05C5AED6" wp14:editId="0BD0FA9F">
                      <wp:simplePos x="0" y="0"/>
                      <wp:positionH relativeFrom="column">
                        <wp:posOffset>182245</wp:posOffset>
                      </wp:positionH>
                      <wp:positionV relativeFrom="paragraph">
                        <wp:posOffset>635635</wp:posOffset>
                      </wp:positionV>
                      <wp:extent cx="580390" cy="1404620"/>
                      <wp:effectExtent l="0" t="0" r="0" b="0"/>
                      <wp:wrapSquare wrapText="bothSides"/>
                      <wp:docPr id="4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1404620"/>
                              </a:xfrm>
                              <a:prstGeom prst="rect">
                                <a:avLst/>
                              </a:prstGeom>
                              <a:noFill/>
                              <a:ln w="9525">
                                <a:noFill/>
                                <a:miter lim="800000"/>
                                <a:headEnd/>
                                <a:tailEnd/>
                              </a:ln>
                            </wps:spPr>
                            <wps:txbx>
                              <w:txbxContent>
                                <w:p w14:paraId="08A6B066" w14:textId="77777777" w:rsidR="007846AF" w:rsidRPr="0058560D" w:rsidRDefault="007846AF" w:rsidP="00383193">
                                  <w:pPr>
                                    <w:shd w:val="clear" w:color="auto" w:fill="9CC2E5"/>
                                    <w:jc w:val="center"/>
                                    <w:rPr>
                                      <w:b/>
                                      <w:sz w:val="20"/>
                                      <w:szCs w:val="20"/>
                                    </w:rPr>
                                  </w:pPr>
                                  <w:r w:rsidRPr="0058560D">
                                    <w:rPr>
                                      <w:b/>
                                      <w:sz w:val="20"/>
                                      <w:szCs w:val="20"/>
                                    </w:rPr>
                                    <w:t>Nueva CUF</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05C5AED6" id="_x0000_t202" coordsize="21600,21600" o:spt="202" path="m,l,21600r21600,l21600,xe">
                      <v:stroke joinstyle="miter"/>
                      <v:path gradientshapeok="t" o:connecttype="rect"/>
                    </v:shapetype>
                    <v:shape id="Cuadro de texto 2" o:spid="_x0000_s1026" type="#_x0000_t202" style="position:absolute;left:0;text-align:left;margin-left:14.35pt;margin-top:50.05pt;width:45.7pt;height:110.6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" filled="f" stroked="f">
                      <v:textbox style="mso-fit-shape-to-text:t">
                        <w:txbxContent>
                          <w:p w14:paraId="08A6B066" w14:textId="77777777" w:rsidR="007846AF" w:rsidRPr="0058560D" w:rsidRDefault="007846AF" w:rsidP="00383193">
                            <w:pPr>
                              <w:shd w:val="clear" w:color="auto" w:fill="9CC2E5"/>
                              <w:jc w:val="center"/>
                              <w:rPr>
                                <w:b/>
                                <w:sz w:val="20"/>
                                <w:szCs w:val="20"/>
                              </w:rPr>
                            </w:pPr>
                            <w:r w:rsidRPr="0058560D">
                              <w:rPr>
                                <w:b/>
                                <w:sz w:val="20"/>
                                <w:szCs w:val="20"/>
                              </w:rPr>
                              <w:t>Nueva CUF</w:t>
                            </w:r>
                          </w:p>
                        </w:txbxContent>
                      </v:textbox>
                      <w10:wrap type="square"/>
                    </v:shape>
                  </w:pict>
                </mc:Fallback>
              </mc:AlternateContent>
            </w:r>
            <w:r w:rsidRPr="00383193">
              <w:rPr>
                <w:rFonts w:eastAsia="Calibri"/>
                <w:noProof/>
                <w:sz w:val="20"/>
                <w:szCs w:val="20"/>
                <w:lang w:eastAsia="es-MX"/>
              </w:rPr>
              <mc:AlternateContent>
                <mc:Choice Requires="wps">
                  <w:drawing>
                    <wp:anchor distT="0" distB="0" distL="114300" distR="114300" simplePos="0" relativeHeight="251664384" behindDoc="0" locked="0" layoutInCell="1" allowOverlap="1" wp14:anchorId="6B2B660C" wp14:editId="7AF6D4B7">
                      <wp:simplePos x="0" y="0"/>
                      <wp:positionH relativeFrom="column">
                        <wp:posOffset>46715</wp:posOffset>
                      </wp:positionH>
                      <wp:positionV relativeFrom="paragraph">
                        <wp:posOffset>94752</wp:posOffset>
                      </wp:positionV>
                      <wp:extent cx="889687" cy="1637271"/>
                      <wp:effectExtent l="0" t="38100" r="43815" b="58420"/>
                      <wp:wrapNone/>
                      <wp:docPr id="43" name="Flecha derecha 43"/>
                      <wp:cNvGraphicFramePr/>
                      <a:graphic xmlns:a="http://schemas.openxmlformats.org/drawingml/2006/main">
                        <a:graphicData uri="http://schemas.microsoft.com/office/word/2010/wordprocessingShape">
                          <wps:wsp>
                            <wps:cNvSpPr/>
                            <wps:spPr>
                              <a:xfrm>
                                <a:off x="0" y="0"/>
                                <a:ext cx="889687" cy="1637271"/>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7FBCAB" id="Flecha derecha 43" o:spid="_x0000_s1026" type="#_x0000_t13" style="position:absolute;margin-left:3.7pt;margin-top:7.45pt;width:70.05pt;height:128.9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" adj="10800" fillcolor="#5b9bd5" strokecolor="#41719c" strokeweight="1pt"/>
                  </w:pict>
                </mc:Fallback>
              </mc:AlternateContent>
            </w:r>
          </w:p>
        </w:tc>
        <w:tc>
          <w:tcPr>
            <w:tcW w:w="7132" w:type="dxa"/>
            <w:tcBorders>
              <w:top w:val="single" w:sz="4" w:space="0" w:color="auto"/>
              <w:left w:val="single" w:sz="4" w:space="0" w:color="auto"/>
              <w:bottom w:val="single" w:sz="4" w:space="0" w:color="auto"/>
              <w:right w:val="single" w:sz="4" w:space="0" w:color="auto"/>
            </w:tcBorders>
          </w:tcPr>
          <w:p w14:paraId="5729C240" w14:textId="77777777" w:rsidR="00383193" w:rsidRPr="00383193" w:rsidRDefault="00383193" w:rsidP="003B27DE">
            <w:pPr>
              <w:numPr>
                <w:ilvl w:val="0"/>
                <w:numId w:val="22"/>
              </w:numPr>
              <w:spacing w:after="240"/>
              <w:ind w:left="357" w:hanging="357"/>
              <w:jc w:val="both"/>
              <w:rPr>
                <w:rFonts w:eastAsia="Calibri"/>
                <w:sz w:val="20"/>
                <w:szCs w:val="20"/>
                <w:lang w:eastAsia="en-US"/>
              </w:rPr>
            </w:pPr>
            <w:r w:rsidRPr="00383193">
              <w:rPr>
                <w:rFonts w:eastAsia="Calibri"/>
                <w:sz w:val="20"/>
                <w:szCs w:val="20"/>
                <w:lang w:eastAsia="en-US"/>
              </w:rPr>
              <w:t>Alineación con prácticas internacionales.</w:t>
            </w:r>
          </w:p>
          <w:p w14:paraId="780DEC23" w14:textId="77777777" w:rsidR="00383193" w:rsidRPr="00383193" w:rsidRDefault="00383193" w:rsidP="003B27DE">
            <w:pPr>
              <w:numPr>
                <w:ilvl w:val="0"/>
                <w:numId w:val="22"/>
              </w:numPr>
              <w:spacing w:after="240"/>
              <w:ind w:left="357" w:hanging="357"/>
              <w:jc w:val="both"/>
              <w:rPr>
                <w:rFonts w:eastAsia="Calibri"/>
                <w:sz w:val="20"/>
                <w:szCs w:val="20"/>
                <w:lang w:eastAsia="en-US"/>
              </w:rPr>
            </w:pPr>
            <w:r w:rsidRPr="00383193">
              <w:rPr>
                <w:rFonts w:eastAsia="Calibri"/>
                <w:sz w:val="20"/>
                <w:szCs w:val="20"/>
                <w:lang w:eastAsia="en-US"/>
              </w:rPr>
              <w:t>Sustitución de requisitos de análisis por un DDQ y reportes estandarizados (ILPA).</w:t>
            </w:r>
          </w:p>
          <w:p w14:paraId="4928E137" w14:textId="77777777" w:rsidR="00383193" w:rsidRPr="00383193" w:rsidRDefault="00383193" w:rsidP="003B27DE">
            <w:pPr>
              <w:numPr>
                <w:ilvl w:val="0"/>
                <w:numId w:val="22"/>
              </w:numPr>
              <w:spacing w:after="240"/>
              <w:ind w:left="357" w:hanging="357"/>
              <w:jc w:val="both"/>
              <w:rPr>
                <w:rFonts w:eastAsia="Calibri"/>
                <w:sz w:val="20"/>
                <w:szCs w:val="20"/>
                <w:lang w:eastAsia="en-US"/>
              </w:rPr>
            </w:pPr>
            <w:r w:rsidRPr="00383193">
              <w:rPr>
                <w:rFonts w:eastAsia="Calibri"/>
                <w:sz w:val="20"/>
                <w:szCs w:val="20"/>
                <w:lang w:eastAsia="en-US"/>
              </w:rPr>
              <w:t>No se establecen parámetros ni umbrales, sino temas por considerar en el DDQ.</w:t>
            </w:r>
          </w:p>
          <w:p w14:paraId="4054E767" w14:textId="77777777" w:rsidR="00383193" w:rsidRPr="00383193" w:rsidRDefault="00383193" w:rsidP="003B27DE">
            <w:pPr>
              <w:numPr>
                <w:ilvl w:val="0"/>
                <w:numId w:val="22"/>
              </w:numPr>
              <w:spacing w:after="240"/>
              <w:ind w:left="357" w:hanging="357"/>
              <w:jc w:val="both"/>
              <w:rPr>
                <w:rFonts w:eastAsia="Calibri"/>
                <w:sz w:val="20"/>
                <w:szCs w:val="20"/>
                <w:lang w:eastAsia="en-US"/>
              </w:rPr>
            </w:pPr>
            <w:r w:rsidRPr="00383193">
              <w:rPr>
                <w:rFonts w:eastAsia="Calibri"/>
                <w:sz w:val="20"/>
                <w:szCs w:val="20"/>
                <w:lang w:eastAsia="en-US"/>
              </w:rPr>
              <w:t>El análisis podrá ser satisfecho con información del administrador del CKD y/o valuador.</w:t>
            </w:r>
          </w:p>
          <w:p w14:paraId="143E2DE4" w14:textId="15E06AB7" w:rsidR="00383193" w:rsidRPr="00383193" w:rsidRDefault="00383193" w:rsidP="003B27DE">
            <w:pPr>
              <w:numPr>
                <w:ilvl w:val="0"/>
                <w:numId w:val="22"/>
              </w:numPr>
              <w:spacing w:after="240"/>
              <w:ind w:left="357" w:hanging="357"/>
              <w:jc w:val="both"/>
              <w:rPr>
                <w:rFonts w:eastAsia="Calibri"/>
                <w:sz w:val="20"/>
                <w:szCs w:val="20"/>
                <w:lang w:eastAsia="en-US"/>
              </w:rPr>
            </w:pPr>
            <w:r w:rsidRPr="00383193">
              <w:rPr>
                <w:rFonts w:eastAsia="Calibri"/>
                <w:sz w:val="20"/>
                <w:szCs w:val="20"/>
                <w:lang w:eastAsia="en-US"/>
              </w:rPr>
              <w:t>Se separan los requisitos para CKD</w:t>
            </w:r>
            <w:r w:rsidR="009F75B3">
              <w:rPr>
                <w:rFonts w:eastAsia="Calibri"/>
                <w:sz w:val="20"/>
                <w:szCs w:val="20"/>
                <w:lang w:eastAsia="en-US"/>
              </w:rPr>
              <w:t>S</w:t>
            </w:r>
            <w:r w:rsidRPr="00383193">
              <w:rPr>
                <w:rFonts w:eastAsia="Calibri"/>
                <w:sz w:val="20"/>
                <w:szCs w:val="20"/>
                <w:lang w:eastAsia="en-US"/>
              </w:rPr>
              <w:t>, FIBRAS y deuda vinculada a proyectos reales.</w:t>
            </w:r>
          </w:p>
        </w:tc>
      </w:tr>
    </w:tbl>
    <w:p w14:paraId="511D25FD" w14:textId="77777777" w:rsidR="00383193" w:rsidRPr="00383193" w:rsidRDefault="00383193" w:rsidP="00383193">
      <w:pPr>
        <w:spacing w:after="360" w:line="360" w:lineRule="auto"/>
        <w:ind w:right="-159"/>
        <w:jc w:val="both"/>
        <w:rPr>
          <w:rFonts w:eastAsia="Calibri"/>
          <w:sz w:val="20"/>
          <w:szCs w:val="20"/>
          <w:lang w:eastAsia="en-US"/>
        </w:rPr>
      </w:pPr>
      <w:r w:rsidRPr="00383193">
        <w:rPr>
          <w:rFonts w:eastAsia="Calibri"/>
          <w:sz w:val="20"/>
          <w:szCs w:val="20"/>
          <w:lang w:eastAsia="en-US"/>
        </w:rPr>
        <w:t>FUENTE: Consar.</w:t>
      </w:r>
    </w:p>
    <w:p w14:paraId="66472FA7" w14:textId="77777777" w:rsidR="00383193" w:rsidRPr="00383193" w:rsidRDefault="00383193" w:rsidP="00383193">
      <w:pPr>
        <w:spacing w:after="360" w:line="360" w:lineRule="auto"/>
        <w:ind w:right="-159"/>
        <w:jc w:val="both"/>
        <w:rPr>
          <w:rFonts w:eastAsia="Calibri"/>
          <w:b/>
          <w:sz w:val="26"/>
          <w:szCs w:val="26"/>
          <w:lang w:eastAsia="en-US"/>
        </w:rPr>
      </w:pPr>
    </w:p>
    <w:p w14:paraId="53FC0437" w14:textId="77777777" w:rsidR="00383193" w:rsidRPr="00383193" w:rsidRDefault="00383193" w:rsidP="00383193">
      <w:pPr>
        <w:spacing w:after="360" w:line="360" w:lineRule="auto"/>
        <w:ind w:right="-159"/>
        <w:jc w:val="both"/>
        <w:rPr>
          <w:rFonts w:eastAsia="Calibri"/>
          <w:b/>
          <w:sz w:val="26"/>
          <w:szCs w:val="26"/>
          <w:lang w:eastAsia="en-US"/>
        </w:rPr>
      </w:pPr>
    </w:p>
    <w:p w14:paraId="063A9710" w14:textId="77777777" w:rsidR="00383193" w:rsidRPr="00383193" w:rsidRDefault="00383193" w:rsidP="00383193">
      <w:pPr>
        <w:spacing w:after="360" w:line="360" w:lineRule="auto"/>
        <w:ind w:right="-159"/>
        <w:jc w:val="both"/>
        <w:rPr>
          <w:rFonts w:eastAsia="Calibri"/>
          <w:b/>
          <w:sz w:val="26"/>
          <w:szCs w:val="26"/>
          <w:lang w:eastAsia="en-US"/>
        </w:rPr>
      </w:pPr>
    </w:p>
    <w:p w14:paraId="10C1F591" w14:textId="77777777" w:rsidR="00383193" w:rsidRPr="00383193" w:rsidRDefault="00383193" w:rsidP="00383193">
      <w:pPr>
        <w:spacing w:after="360" w:line="360" w:lineRule="auto"/>
        <w:ind w:right="-159"/>
        <w:jc w:val="both"/>
        <w:rPr>
          <w:rFonts w:eastAsia="Calibri"/>
          <w:b/>
          <w:sz w:val="26"/>
          <w:szCs w:val="26"/>
          <w:lang w:eastAsia="en-US"/>
        </w:rPr>
      </w:pPr>
    </w:p>
    <w:p w14:paraId="7BF66A5A" w14:textId="77777777" w:rsidR="00383193" w:rsidRPr="00383193" w:rsidRDefault="00383193" w:rsidP="00383193">
      <w:pPr>
        <w:spacing w:after="360" w:line="360" w:lineRule="auto"/>
        <w:ind w:right="-159"/>
        <w:jc w:val="both"/>
        <w:rPr>
          <w:rFonts w:eastAsia="Calibri"/>
          <w:b/>
          <w:sz w:val="26"/>
          <w:szCs w:val="26"/>
          <w:lang w:eastAsia="en-US"/>
        </w:rPr>
      </w:pPr>
    </w:p>
    <w:p w14:paraId="375B051E" w14:textId="77777777" w:rsidR="00383193" w:rsidRPr="00383193" w:rsidRDefault="00383193" w:rsidP="003B27DE">
      <w:pPr>
        <w:numPr>
          <w:ilvl w:val="0"/>
          <w:numId w:val="20"/>
        </w:numPr>
        <w:spacing w:after="360" w:line="360" w:lineRule="auto"/>
        <w:ind w:left="357" w:right="-159" w:hanging="357"/>
        <w:jc w:val="both"/>
        <w:rPr>
          <w:rFonts w:eastAsia="Calibri"/>
          <w:b/>
          <w:sz w:val="26"/>
          <w:szCs w:val="26"/>
          <w:lang w:eastAsia="en-US"/>
        </w:rPr>
      </w:pPr>
      <w:r w:rsidRPr="00383193">
        <w:rPr>
          <w:rFonts w:eastAsia="Calibri"/>
          <w:b/>
          <w:sz w:val="26"/>
          <w:szCs w:val="26"/>
          <w:lang w:eastAsia="en-US"/>
        </w:rPr>
        <w:lastRenderedPageBreak/>
        <w:t>Fortalecer y flexibilizar los vehículos existentes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655"/>
      </w:tblGrid>
      <w:tr w:rsidR="00383193" w:rsidRPr="00383193" w14:paraId="232D6ED9" w14:textId="77777777" w:rsidTr="009F75B3">
        <w:trPr>
          <w:jc w:val="center"/>
        </w:trPr>
        <w:tc>
          <w:tcPr>
            <w:tcW w:w="7655" w:type="dxa"/>
          </w:tcPr>
          <w:p w14:paraId="39E024A5" w14:textId="77777777" w:rsidR="00383193" w:rsidRPr="00383193" w:rsidRDefault="00383193" w:rsidP="00383193">
            <w:pPr>
              <w:spacing w:before="240" w:after="120"/>
              <w:jc w:val="both"/>
              <w:rPr>
                <w:rFonts w:eastAsia="Calibri"/>
                <w:sz w:val="20"/>
                <w:szCs w:val="20"/>
                <w:lang w:eastAsia="en-US"/>
              </w:rPr>
            </w:pPr>
            <w:r w:rsidRPr="00383193">
              <w:rPr>
                <w:rFonts w:eastAsia="Calibri"/>
                <w:sz w:val="20"/>
                <w:szCs w:val="20"/>
                <w:lang w:eastAsia="en-US"/>
              </w:rPr>
              <w:t>Otras autoridades financieras están trabajando en modificaciones regulatorias para ofrecer mayor flexibilidad en el proceso de inversión:</w:t>
            </w:r>
          </w:p>
          <w:p w14:paraId="66EA9220"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Flexibilizar los requisitos para la emisión.</w:t>
            </w:r>
          </w:p>
          <w:p w14:paraId="4FF4BAB4"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Flexibilizar los requisitos para el fondeo.</w:t>
            </w:r>
          </w:p>
          <w:p w14:paraId="7AAB6680"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Agilizar la toma de decisiones al interior del vehículo.</w:t>
            </w:r>
          </w:p>
          <w:p w14:paraId="1C8837E9"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Fomentar una selección adecuada del Administrador del vehículo.</w:t>
            </w:r>
          </w:p>
          <w:p w14:paraId="30D59F6A"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Fomentar transparencia en la revelación de las inversiones y costos.</w:t>
            </w:r>
          </w:p>
          <w:p w14:paraId="0E518113"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Mitigar conflictos de interés.</w:t>
            </w:r>
          </w:p>
          <w:p w14:paraId="67D16807"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Alinear los intereses del Administrador con los de los inversionistas.</w:t>
            </w:r>
          </w:p>
          <w:p w14:paraId="6790C23C"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Fomentar la disminución en el cobro de comisiones.</w:t>
            </w:r>
          </w:p>
          <w:p w14:paraId="37787501" w14:textId="77777777" w:rsidR="00383193" w:rsidRPr="00383193" w:rsidRDefault="00383193" w:rsidP="003B27DE">
            <w:pPr>
              <w:numPr>
                <w:ilvl w:val="0"/>
                <w:numId w:val="23"/>
              </w:numPr>
              <w:spacing w:after="120"/>
              <w:ind w:left="714" w:hanging="357"/>
              <w:jc w:val="both"/>
              <w:rPr>
                <w:rFonts w:eastAsia="Calibri"/>
                <w:sz w:val="20"/>
                <w:szCs w:val="20"/>
                <w:lang w:eastAsia="en-US"/>
              </w:rPr>
            </w:pPr>
            <w:r w:rsidRPr="00383193">
              <w:rPr>
                <w:rFonts w:eastAsia="Calibri"/>
                <w:sz w:val="20"/>
                <w:szCs w:val="20"/>
                <w:lang w:eastAsia="en-US"/>
              </w:rPr>
              <w:t>Evitar estructuras de financiamiento poco transparentes.</w:t>
            </w:r>
          </w:p>
        </w:tc>
      </w:tr>
      <w:tr w:rsidR="00383193" w:rsidRPr="00383193" w14:paraId="6D5B0B7D" w14:textId="77777777" w:rsidTr="009F75B3">
        <w:trPr>
          <w:jc w:val="center"/>
        </w:trPr>
        <w:tc>
          <w:tcPr>
            <w:tcW w:w="7655" w:type="dxa"/>
          </w:tcPr>
          <w:p w14:paraId="21023940" w14:textId="77777777" w:rsidR="00383193" w:rsidRPr="00383193" w:rsidRDefault="00383193" w:rsidP="00383193">
            <w:pPr>
              <w:jc w:val="both"/>
              <w:rPr>
                <w:rFonts w:eastAsia="Calibri"/>
                <w:sz w:val="20"/>
                <w:szCs w:val="20"/>
                <w:lang w:eastAsia="en-US"/>
              </w:rPr>
            </w:pPr>
            <w:r w:rsidRPr="00383193">
              <w:rPr>
                <w:rFonts w:eastAsia="Calibri"/>
                <w:sz w:val="20"/>
                <w:szCs w:val="20"/>
                <w:lang w:eastAsia="en-US"/>
              </w:rPr>
              <w:t>FUENTE: Consar.</w:t>
            </w:r>
          </w:p>
        </w:tc>
      </w:tr>
    </w:tbl>
    <w:p w14:paraId="58D49FF0" w14:textId="77777777" w:rsidR="00383193" w:rsidRPr="00383193" w:rsidRDefault="00383193" w:rsidP="00383193">
      <w:pPr>
        <w:spacing w:after="360" w:line="360" w:lineRule="auto"/>
        <w:ind w:right="-159"/>
        <w:jc w:val="both"/>
        <w:rPr>
          <w:rFonts w:eastAsia="Calibri"/>
          <w:sz w:val="26"/>
          <w:szCs w:val="26"/>
          <w:lang w:eastAsia="en-US"/>
        </w:rPr>
      </w:pPr>
    </w:p>
    <w:p w14:paraId="700898D2"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5. Ofertas privadas</w:t>
      </w:r>
    </w:p>
    <w:p w14:paraId="14DB99F1"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A la par de las acciones mencionadas, queda pendiente la inclusión de ofertas privadzas en la Ley del SAR:</w:t>
      </w:r>
    </w:p>
    <w:p w14:paraId="47AD6A86" w14:textId="77777777" w:rsidR="00383193" w:rsidRPr="00383193" w:rsidRDefault="00383193" w:rsidP="00383193">
      <w:pPr>
        <w:spacing w:after="360" w:line="360" w:lineRule="auto"/>
        <w:ind w:right="-159"/>
        <w:jc w:val="both"/>
        <w:rPr>
          <w:rFonts w:eastAsia="Calibri"/>
          <w:sz w:val="26"/>
          <w:szCs w:val="26"/>
          <w:lang w:eastAsia="en-US"/>
        </w:rPr>
      </w:pPr>
    </w:p>
    <w:p w14:paraId="62DC6474" w14:textId="77777777" w:rsidR="00383193" w:rsidRPr="00383193" w:rsidRDefault="00383193" w:rsidP="00383193">
      <w:pPr>
        <w:spacing w:after="360" w:line="360" w:lineRule="auto"/>
        <w:ind w:right="-159"/>
        <w:jc w:val="both"/>
        <w:rPr>
          <w:rFonts w:eastAsia="Calibri"/>
          <w:sz w:val="26"/>
          <w:szCs w:val="26"/>
          <w:lang w:eastAsia="en-US"/>
        </w:rPr>
      </w:pPr>
    </w:p>
    <w:p w14:paraId="3C06A4CF" w14:textId="77777777" w:rsidR="00383193" w:rsidRPr="00383193" w:rsidRDefault="00383193" w:rsidP="00383193">
      <w:pPr>
        <w:spacing w:after="360" w:line="360" w:lineRule="auto"/>
        <w:ind w:right="-159"/>
        <w:jc w:val="both"/>
        <w:rPr>
          <w:rFonts w:eastAsia="Calibri"/>
          <w:sz w:val="26"/>
          <w:szCs w:val="26"/>
          <w:lang w:eastAsia="en-US"/>
        </w:rPr>
      </w:pPr>
    </w:p>
    <w:p w14:paraId="65ED7DE7" w14:textId="77777777" w:rsidR="00383193" w:rsidRPr="00383193" w:rsidRDefault="00383193" w:rsidP="00383193">
      <w:pPr>
        <w:spacing w:after="360" w:line="360" w:lineRule="auto"/>
        <w:ind w:right="-159"/>
        <w:jc w:val="both"/>
        <w:rPr>
          <w:rFonts w:eastAsia="Calibri"/>
          <w:sz w:val="26"/>
          <w:szCs w:val="26"/>
          <w:lang w:eastAsia="en-US"/>
        </w:rPr>
      </w:pPr>
    </w:p>
    <w:p w14:paraId="6303E58D" w14:textId="77777777" w:rsidR="00383193" w:rsidRPr="00383193" w:rsidRDefault="00383193" w:rsidP="00383193">
      <w:pPr>
        <w:spacing w:after="360" w:line="360" w:lineRule="auto"/>
        <w:ind w:right="-159"/>
        <w:jc w:val="both"/>
        <w:rPr>
          <w:rFonts w:eastAsia="Calibri"/>
          <w:sz w:val="26"/>
          <w:szCs w:val="26"/>
          <w:lang w:eastAsia="en-US"/>
        </w:rPr>
      </w:pPr>
    </w:p>
    <w:p w14:paraId="278A3BE0" w14:textId="77777777" w:rsidR="00383193" w:rsidRPr="00383193" w:rsidRDefault="00383193" w:rsidP="00383193">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704"/>
        <w:gridCol w:w="567"/>
        <w:gridCol w:w="5670"/>
      </w:tblGrid>
      <w:tr w:rsidR="00383193" w:rsidRPr="00383193" w14:paraId="006E3AB3" w14:textId="77777777" w:rsidTr="00EA3974">
        <w:trPr>
          <w:jc w:val="center"/>
        </w:trPr>
        <w:tc>
          <w:tcPr>
            <w:tcW w:w="704" w:type="dxa"/>
            <w:vAlign w:val="center"/>
          </w:tcPr>
          <w:p w14:paraId="7D27B831"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lastRenderedPageBreak/>
              <w:t>1</w:t>
            </w:r>
          </w:p>
        </w:tc>
        <w:tc>
          <w:tcPr>
            <w:tcW w:w="567" w:type="dxa"/>
            <w:tcBorders>
              <w:right w:val="single" w:sz="4" w:space="0" w:color="auto"/>
            </w:tcBorders>
          </w:tcPr>
          <w:p w14:paraId="77D23C5D"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762B2B2"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Dar mayor flexibilidad a las Afore para aprovechar las oportunidades de inversión.</w:t>
            </w:r>
          </w:p>
        </w:tc>
      </w:tr>
      <w:tr w:rsidR="00383193" w:rsidRPr="00383193" w14:paraId="3F99754F" w14:textId="77777777" w:rsidTr="00EA3974">
        <w:trPr>
          <w:jc w:val="center"/>
        </w:trPr>
        <w:tc>
          <w:tcPr>
            <w:tcW w:w="704" w:type="dxa"/>
            <w:vAlign w:val="center"/>
          </w:tcPr>
          <w:p w14:paraId="1FCE84F3" w14:textId="77777777" w:rsidR="00383193" w:rsidRPr="00383193" w:rsidRDefault="00383193" w:rsidP="00383193">
            <w:pPr>
              <w:spacing w:before="120" w:after="120"/>
              <w:jc w:val="center"/>
              <w:rPr>
                <w:rFonts w:eastAsia="Calibri"/>
                <w:sz w:val="20"/>
                <w:szCs w:val="20"/>
                <w:lang w:eastAsia="en-US"/>
              </w:rPr>
            </w:pPr>
          </w:p>
        </w:tc>
        <w:tc>
          <w:tcPr>
            <w:tcW w:w="567" w:type="dxa"/>
          </w:tcPr>
          <w:p w14:paraId="50CF204A"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bottom w:val="single" w:sz="4" w:space="0" w:color="auto"/>
            </w:tcBorders>
            <w:vAlign w:val="center"/>
          </w:tcPr>
          <w:p w14:paraId="35169D33" w14:textId="77777777" w:rsidR="00383193" w:rsidRPr="00383193" w:rsidRDefault="00383193" w:rsidP="00383193">
            <w:pPr>
              <w:spacing w:before="120" w:after="120"/>
              <w:jc w:val="both"/>
              <w:rPr>
                <w:rFonts w:eastAsia="Calibri"/>
                <w:sz w:val="20"/>
                <w:szCs w:val="20"/>
                <w:lang w:eastAsia="en-US"/>
              </w:rPr>
            </w:pPr>
          </w:p>
        </w:tc>
      </w:tr>
      <w:tr w:rsidR="00383193" w:rsidRPr="00383193" w14:paraId="7F77E482" w14:textId="77777777" w:rsidTr="00EA3974">
        <w:trPr>
          <w:jc w:val="center"/>
        </w:trPr>
        <w:tc>
          <w:tcPr>
            <w:tcW w:w="704" w:type="dxa"/>
            <w:vAlign w:val="center"/>
          </w:tcPr>
          <w:p w14:paraId="7D3631FC"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t>2</w:t>
            </w:r>
          </w:p>
        </w:tc>
        <w:tc>
          <w:tcPr>
            <w:tcW w:w="567" w:type="dxa"/>
            <w:tcBorders>
              <w:right w:val="single" w:sz="4" w:space="0" w:color="auto"/>
            </w:tcBorders>
          </w:tcPr>
          <w:p w14:paraId="23288C08"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6590CF91"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 xml:space="preserve">Contar con co-inversionistas especializados en proyectos de escala muy grande. </w:t>
            </w:r>
          </w:p>
        </w:tc>
      </w:tr>
      <w:tr w:rsidR="00383193" w:rsidRPr="00383193" w14:paraId="68504B27" w14:textId="77777777" w:rsidTr="00EA3974">
        <w:trPr>
          <w:jc w:val="center"/>
        </w:trPr>
        <w:tc>
          <w:tcPr>
            <w:tcW w:w="704" w:type="dxa"/>
            <w:vAlign w:val="center"/>
          </w:tcPr>
          <w:p w14:paraId="35865294" w14:textId="77777777" w:rsidR="00383193" w:rsidRPr="00383193" w:rsidRDefault="00383193" w:rsidP="00383193">
            <w:pPr>
              <w:spacing w:before="120" w:after="120"/>
              <w:jc w:val="center"/>
              <w:rPr>
                <w:rFonts w:eastAsia="Calibri"/>
                <w:sz w:val="20"/>
                <w:szCs w:val="20"/>
                <w:lang w:eastAsia="en-US"/>
              </w:rPr>
            </w:pPr>
          </w:p>
        </w:tc>
        <w:tc>
          <w:tcPr>
            <w:tcW w:w="567" w:type="dxa"/>
          </w:tcPr>
          <w:p w14:paraId="7D1ABB46"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bottom w:val="single" w:sz="4" w:space="0" w:color="auto"/>
            </w:tcBorders>
            <w:vAlign w:val="center"/>
          </w:tcPr>
          <w:p w14:paraId="058F5F86" w14:textId="77777777" w:rsidR="00383193" w:rsidRPr="00383193" w:rsidRDefault="00383193" w:rsidP="00383193">
            <w:pPr>
              <w:spacing w:before="120" w:after="120"/>
              <w:jc w:val="both"/>
              <w:rPr>
                <w:rFonts w:eastAsia="Calibri"/>
                <w:sz w:val="20"/>
                <w:szCs w:val="20"/>
                <w:lang w:eastAsia="en-US"/>
              </w:rPr>
            </w:pPr>
          </w:p>
        </w:tc>
      </w:tr>
      <w:tr w:rsidR="00383193" w:rsidRPr="00383193" w14:paraId="5121A239" w14:textId="77777777" w:rsidTr="00EA3974">
        <w:trPr>
          <w:jc w:val="center"/>
        </w:trPr>
        <w:tc>
          <w:tcPr>
            <w:tcW w:w="704" w:type="dxa"/>
            <w:vAlign w:val="center"/>
          </w:tcPr>
          <w:p w14:paraId="6B600F33"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t>3</w:t>
            </w:r>
          </w:p>
        </w:tc>
        <w:tc>
          <w:tcPr>
            <w:tcW w:w="567" w:type="dxa"/>
            <w:tcBorders>
              <w:right w:val="single" w:sz="4" w:space="0" w:color="auto"/>
            </w:tcBorders>
          </w:tcPr>
          <w:p w14:paraId="5F341747"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6C6DF374"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Ampliar el universo de oportunidades de inversión de las Afore.</w:t>
            </w:r>
          </w:p>
        </w:tc>
      </w:tr>
      <w:tr w:rsidR="00383193" w:rsidRPr="00383193" w14:paraId="09420B7E" w14:textId="77777777" w:rsidTr="00EA3974">
        <w:trPr>
          <w:jc w:val="center"/>
        </w:trPr>
        <w:tc>
          <w:tcPr>
            <w:tcW w:w="704" w:type="dxa"/>
            <w:vAlign w:val="center"/>
          </w:tcPr>
          <w:p w14:paraId="125952EE" w14:textId="77777777" w:rsidR="00383193" w:rsidRPr="00383193" w:rsidRDefault="00383193" w:rsidP="00383193">
            <w:pPr>
              <w:spacing w:before="120" w:after="120"/>
              <w:jc w:val="center"/>
              <w:rPr>
                <w:rFonts w:eastAsia="Calibri"/>
                <w:sz w:val="20"/>
                <w:szCs w:val="20"/>
                <w:lang w:eastAsia="en-US"/>
              </w:rPr>
            </w:pPr>
          </w:p>
        </w:tc>
        <w:tc>
          <w:tcPr>
            <w:tcW w:w="567" w:type="dxa"/>
          </w:tcPr>
          <w:p w14:paraId="07CF2F5C"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bottom w:val="single" w:sz="4" w:space="0" w:color="auto"/>
            </w:tcBorders>
            <w:vAlign w:val="center"/>
          </w:tcPr>
          <w:p w14:paraId="3258870F" w14:textId="77777777" w:rsidR="00383193" w:rsidRPr="00383193" w:rsidRDefault="00383193" w:rsidP="00383193">
            <w:pPr>
              <w:spacing w:before="120" w:after="120"/>
              <w:jc w:val="both"/>
              <w:rPr>
                <w:rFonts w:eastAsia="Calibri"/>
                <w:sz w:val="20"/>
                <w:szCs w:val="20"/>
                <w:lang w:eastAsia="en-US"/>
              </w:rPr>
            </w:pPr>
          </w:p>
        </w:tc>
      </w:tr>
      <w:tr w:rsidR="00383193" w:rsidRPr="00383193" w14:paraId="58373DF9" w14:textId="77777777" w:rsidTr="00EA3974">
        <w:trPr>
          <w:jc w:val="center"/>
        </w:trPr>
        <w:tc>
          <w:tcPr>
            <w:tcW w:w="704" w:type="dxa"/>
            <w:vAlign w:val="center"/>
          </w:tcPr>
          <w:p w14:paraId="45BF875D"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t>4</w:t>
            </w:r>
          </w:p>
        </w:tc>
        <w:tc>
          <w:tcPr>
            <w:tcW w:w="567" w:type="dxa"/>
            <w:tcBorders>
              <w:right w:val="single" w:sz="4" w:space="0" w:color="auto"/>
            </w:tcBorders>
          </w:tcPr>
          <w:p w14:paraId="5FB8C32A"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4E240DEE"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Reducción de costos al emisor y al inversionista.</w:t>
            </w:r>
          </w:p>
        </w:tc>
      </w:tr>
      <w:tr w:rsidR="00383193" w:rsidRPr="00383193" w14:paraId="22DEE7F6" w14:textId="77777777" w:rsidTr="00EA3974">
        <w:trPr>
          <w:jc w:val="center"/>
        </w:trPr>
        <w:tc>
          <w:tcPr>
            <w:tcW w:w="704" w:type="dxa"/>
            <w:vAlign w:val="center"/>
          </w:tcPr>
          <w:p w14:paraId="5A51637B" w14:textId="77777777" w:rsidR="00383193" w:rsidRPr="00383193" w:rsidRDefault="00383193" w:rsidP="00383193">
            <w:pPr>
              <w:spacing w:before="120" w:after="120"/>
              <w:jc w:val="center"/>
              <w:rPr>
                <w:rFonts w:eastAsia="Calibri"/>
                <w:sz w:val="20"/>
                <w:szCs w:val="20"/>
                <w:lang w:eastAsia="en-US"/>
              </w:rPr>
            </w:pPr>
          </w:p>
        </w:tc>
        <w:tc>
          <w:tcPr>
            <w:tcW w:w="567" w:type="dxa"/>
          </w:tcPr>
          <w:p w14:paraId="7F624058"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bottom w:val="single" w:sz="4" w:space="0" w:color="auto"/>
            </w:tcBorders>
            <w:vAlign w:val="center"/>
          </w:tcPr>
          <w:p w14:paraId="774B67ED" w14:textId="77777777" w:rsidR="00383193" w:rsidRPr="00383193" w:rsidRDefault="00383193" w:rsidP="00383193">
            <w:pPr>
              <w:spacing w:before="120" w:after="120"/>
              <w:jc w:val="both"/>
              <w:rPr>
                <w:rFonts w:eastAsia="Calibri"/>
                <w:sz w:val="20"/>
                <w:szCs w:val="20"/>
                <w:lang w:eastAsia="en-US"/>
              </w:rPr>
            </w:pPr>
          </w:p>
        </w:tc>
      </w:tr>
      <w:tr w:rsidR="00383193" w:rsidRPr="00383193" w14:paraId="0C77859B" w14:textId="77777777" w:rsidTr="00EA3974">
        <w:trPr>
          <w:jc w:val="center"/>
        </w:trPr>
        <w:tc>
          <w:tcPr>
            <w:tcW w:w="704" w:type="dxa"/>
            <w:vAlign w:val="center"/>
          </w:tcPr>
          <w:p w14:paraId="5C757B64"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t>5</w:t>
            </w:r>
          </w:p>
        </w:tc>
        <w:tc>
          <w:tcPr>
            <w:tcW w:w="567" w:type="dxa"/>
            <w:tcBorders>
              <w:right w:val="single" w:sz="4" w:space="0" w:color="auto"/>
            </w:tcBorders>
          </w:tcPr>
          <w:p w14:paraId="220B9FEB"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3302C620"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Preservar la seguridad de las inversiones.</w:t>
            </w:r>
          </w:p>
        </w:tc>
      </w:tr>
      <w:tr w:rsidR="00383193" w:rsidRPr="00383193" w14:paraId="726CF095" w14:textId="77777777" w:rsidTr="00EA3974">
        <w:trPr>
          <w:jc w:val="center"/>
        </w:trPr>
        <w:tc>
          <w:tcPr>
            <w:tcW w:w="704" w:type="dxa"/>
            <w:vAlign w:val="center"/>
          </w:tcPr>
          <w:p w14:paraId="604D45D3" w14:textId="77777777" w:rsidR="00383193" w:rsidRPr="00383193" w:rsidRDefault="00383193" w:rsidP="00383193">
            <w:pPr>
              <w:spacing w:before="120" w:after="120"/>
              <w:jc w:val="center"/>
              <w:rPr>
                <w:rFonts w:eastAsia="Calibri"/>
                <w:sz w:val="20"/>
                <w:szCs w:val="20"/>
                <w:lang w:eastAsia="en-US"/>
              </w:rPr>
            </w:pPr>
          </w:p>
        </w:tc>
        <w:tc>
          <w:tcPr>
            <w:tcW w:w="567" w:type="dxa"/>
          </w:tcPr>
          <w:p w14:paraId="0F7CAA8A"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bottom w:val="single" w:sz="4" w:space="0" w:color="auto"/>
            </w:tcBorders>
            <w:vAlign w:val="center"/>
          </w:tcPr>
          <w:p w14:paraId="3CA71F6A" w14:textId="77777777" w:rsidR="00383193" w:rsidRPr="00383193" w:rsidRDefault="00383193" w:rsidP="00383193">
            <w:pPr>
              <w:spacing w:before="120" w:after="120"/>
              <w:jc w:val="both"/>
              <w:rPr>
                <w:rFonts w:eastAsia="Calibri"/>
                <w:sz w:val="20"/>
                <w:szCs w:val="20"/>
                <w:lang w:eastAsia="en-US"/>
              </w:rPr>
            </w:pPr>
          </w:p>
        </w:tc>
      </w:tr>
      <w:tr w:rsidR="00383193" w:rsidRPr="00383193" w14:paraId="2A2E438F" w14:textId="77777777" w:rsidTr="00EA3974">
        <w:trPr>
          <w:jc w:val="center"/>
        </w:trPr>
        <w:tc>
          <w:tcPr>
            <w:tcW w:w="704" w:type="dxa"/>
            <w:vAlign w:val="center"/>
          </w:tcPr>
          <w:p w14:paraId="5856847B" w14:textId="77777777" w:rsidR="00383193" w:rsidRPr="00383193" w:rsidRDefault="00383193" w:rsidP="00383193">
            <w:pPr>
              <w:spacing w:before="120" w:after="120"/>
              <w:jc w:val="center"/>
              <w:rPr>
                <w:rFonts w:eastAsia="Calibri"/>
                <w:sz w:val="20"/>
                <w:szCs w:val="20"/>
                <w:lang w:eastAsia="en-US"/>
              </w:rPr>
            </w:pPr>
            <w:r w:rsidRPr="00383193">
              <w:rPr>
                <w:rFonts w:eastAsia="Calibri"/>
                <w:sz w:val="20"/>
                <w:szCs w:val="20"/>
                <w:lang w:eastAsia="en-US"/>
              </w:rPr>
              <w:t>6</w:t>
            </w:r>
          </w:p>
        </w:tc>
        <w:tc>
          <w:tcPr>
            <w:tcW w:w="567" w:type="dxa"/>
            <w:tcBorders>
              <w:right w:val="single" w:sz="4" w:space="0" w:color="auto"/>
            </w:tcBorders>
          </w:tcPr>
          <w:p w14:paraId="0A25425F" w14:textId="77777777" w:rsidR="00383193" w:rsidRPr="00383193" w:rsidRDefault="00383193" w:rsidP="00383193">
            <w:pPr>
              <w:spacing w:before="120" w:after="120"/>
              <w:jc w:val="both"/>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26FE843" w14:textId="77777777" w:rsidR="00383193" w:rsidRPr="00383193" w:rsidRDefault="00383193" w:rsidP="00383193">
            <w:pPr>
              <w:spacing w:before="240" w:after="240"/>
              <w:jc w:val="both"/>
              <w:rPr>
                <w:rFonts w:eastAsia="Calibri"/>
                <w:sz w:val="20"/>
                <w:szCs w:val="20"/>
                <w:lang w:eastAsia="en-US"/>
              </w:rPr>
            </w:pPr>
            <w:r w:rsidRPr="00383193">
              <w:rPr>
                <w:rFonts w:eastAsia="Calibri"/>
                <w:sz w:val="20"/>
                <w:szCs w:val="20"/>
                <w:lang w:eastAsia="en-US"/>
              </w:rPr>
              <w:t>Adoptar prácticas de otros sistemas de pensiones.</w:t>
            </w:r>
          </w:p>
        </w:tc>
      </w:tr>
      <w:tr w:rsidR="00383193" w:rsidRPr="00383193" w14:paraId="4CD640E1" w14:textId="77777777" w:rsidTr="00EA3974">
        <w:trPr>
          <w:jc w:val="center"/>
        </w:trPr>
        <w:tc>
          <w:tcPr>
            <w:tcW w:w="6941" w:type="dxa"/>
            <w:gridSpan w:val="3"/>
            <w:vAlign w:val="center"/>
          </w:tcPr>
          <w:p w14:paraId="4BE28A08" w14:textId="77777777" w:rsidR="00383193" w:rsidRPr="00383193" w:rsidRDefault="00383193" w:rsidP="00383193">
            <w:pPr>
              <w:spacing w:before="120" w:after="120"/>
              <w:jc w:val="both"/>
              <w:rPr>
                <w:rFonts w:eastAsia="Calibri"/>
                <w:sz w:val="20"/>
                <w:szCs w:val="20"/>
                <w:lang w:eastAsia="en-US"/>
              </w:rPr>
            </w:pPr>
            <w:r w:rsidRPr="00383193">
              <w:rPr>
                <w:rFonts w:eastAsia="Calibri"/>
                <w:sz w:val="20"/>
                <w:szCs w:val="20"/>
                <w:lang w:eastAsia="en-US"/>
              </w:rPr>
              <w:t>FUENTE: Consar.</w:t>
            </w:r>
          </w:p>
        </w:tc>
      </w:tr>
    </w:tbl>
    <w:p w14:paraId="5283C7C3" w14:textId="77777777" w:rsidR="00383193" w:rsidRPr="00383193" w:rsidRDefault="00383193" w:rsidP="00383193">
      <w:pPr>
        <w:spacing w:after="360" w:line="360" w:lineRule="auto"/>
        <w:ind w:right="-159"/>
        <w:jc w:val="both"/>
        <w:rPr>
          <w:rFonts w:eastAsia="Calibri"/>
          <w:sz w:val="26"/>
          <w:szCs w:val="26"/>
          <w:lang w:eastAsia="en-US"/>
        </w:rPr>
      </w:pPr>
    </w:p>
    <w:p w14:paraId="24935D62"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V.  Conclusiones</w:t>
      </w:r>
    </w:p>
    <w:p w14:paraId="44722E66" w14:textId="77777777" w:rsidR="00383193" w:rsidRPr="00383193" w:rsidRDefault="00383193" w:rsidP="003B27DE">
      <w:pPr>
        <w:numPr>
          <w:ilvl w:val="0"/>
          <w:numId w:val="24"/>
        </w:numPr>
        <w:spacing w:after="360" w:line="360" w:lineRule="auto"/>
        <w:ind w:left="714" w:right="-159" w:hanging="357"/>
        <w:jc w:val="both"/>
        <w:rPr>
          <w:rFonts w:eastAsia="Calibri"/>
          <w:sz w:val="26"/>
          <w:szCs w:val="26"/>
          <w:lang w:eastAsia="en-US"/>
        </w:rPr>
      </w:pPr>
      <w:r w:rsidRPr="00383193">
        <w:rPr>
          <w:rFonts w:eastAsia="Calibri"/>
          <w:sz w:val="26"/>
          <w:szCs w:val="26"/>
          <w:lang w:eastAsia="en-US"/>
        </w:rPr>
        <w:t>Pagar las mejores pensiones posibles en un entorno de riesgos aceptable es el principal objetivo del sistema de pensiones.</w:t>
      </w:r>
    </w:p>
    <w:p w14:paraId="6B6AE8ED" w14:textId="77777777" w:rsidR="00383193" w:rsidRPr="00383193" w:rsidRDefault="00383193" w:rsidP="003B27DE">
      <w:pPr>
        <w:numPr>
          <w:ilvl w:val="0"/>
          <w:numId w:val="24"/>
        </w:numPr>
        <w:spacing w:after="360" w:line="360" w:lineRule="auto"/>
        <w:ind w:left="714" w:right="-159" w:hanging="357"/>
        <w:jc w:val="both"/>
        <w:rPr>
          <w:rFonts w:eastAsia="Calibri"/>
          <w:sz w:val="26"/>
          <w:szCs w:val="26"/>
          <w:lang w:eastAsia="en-US"/>
        </w:rPr>
      </w:pPr>
      <w:r w:rsidRPr="00383193">
        <w:rPr>
          <w:rFonts w:eastAsia="Calibri"/>
          <w:sz w:val="26"/>
          <w:szCs w:val="26"/>
          <w:lang w:eastAsia="en-US"/>
        </w:rPr>
        <w:t xml:space="preserve">La coyuntura actual de un acelerado crecimiento de los activos, entorno de bajos rendimientos a nivel global y las recientemente implementadas reformas estructurales abrirán nuevas oportunidades de inversión para las Afore en los próximos años. </w:t>
      </w:r>
    </w:p>
    <w:p w14:paraId="7F76BF2F" w14:textId="77777777" w:rsidR="00383193" w:rsidRPr="00383193" w:rsidRDefault="00383193" w:rsidP="003B27DE">
      <w:pPr>
        <w:numPr>
          <w:ilvl w:val="0"/>
          <w:numId w:val="24"/>
        </w:numPr>
        <w:spacing w:after="360" w:line="360" w:lineRule="auto"/>
        <w:ind w:left="714" w:right="-159" w:hanging="357"/>
        <w:jc w:val="both"/>
        <w:rPr>
          <w:rFonts w:eastAsia="Calibri"/>
          <w:sz w:val="26"/>
          <w:szCs w:val="26"/>
          <w:lang w:eastAsia="en-US"/>
        </w:rPr>
      </w:pPr>
      <w:r w:rsidRPr="00383193">
        <w:rPr>
          <w:rFonts w:eastAsia="Calibri"/>
          <w:sz w:val="26"/>
          <w:szCs w:val="26"/>
          <w:lang w:eastAsia="en-US"/>
        </w:rPr>
        <w:lastRenderedPageBreak/>
        <w:t>Consar, junto con otras autoridades financieras, están trabajando para crear un entorno más propicio para que las Afore pueden participar más activamente en este proceso.</w:t>
      </w:r>
    </w:p>
    <w:p w14:paraId="09916E48" w14:textId="77777777" w:rsidR="00383193" w:rsidRPr="00383193" w:rsidRDefault="00383193" w:rsidP="003B27DE">
      <w:pPr>
        <w:numPr>
          <w:ilvl w:val="0"/>
          <w:numId w:val="24"/>
        </w:numPr>
        <w:spacing w:after="360" w:line="360" w:lineRule="auto"/>
        <w:ind w:left="714" w:right="-159" w:hanging="357"/>
        <w:jc w:val="both"/>
        <w:rPr>
          <w:rFonts w:eastAsia="Calibri"/>
          <w:sz w:val="26"/>
          <w:szCs w:val="26"/>
          <w:lang w:eastAsia="en-US"/>
        </w:rPr>
      </w:pPr>
      <w:r w:rsidRPr="00383193">
        <w:rPr>
          <w:rFonts w:eastAsia="Calibri"/>
          <w:sz w:val="26"/>
          <w:szCs w:val="26"/>
          <w:lang w:eastAsia="en-US"/>
        </w:rPr>
        <w:t>La industria del capital privado está llamada a jugar un rol relevante en este importante proceso para el país.</w:t>
      </w:r>
    </w:p>
    <w:p w14:paraId="2B406B8B" w14:textId="77777777" w:rsidR="00383193" w:rsidRPr="00383193" w:rsidRDefault="00383193" w:rsidP="00383193">
      <w:pPr>
        <w:ind w:right="-159"/>
        <w:jc w:val="both"/>
        <w:rPr>
          <w:rFonts w:eastAsia="Calibri"/>
          <w:b/>
          <w:sz w:val="20"/>
          <w:szCs w:val="20"/>
          <w:lang w:eastAsia="en-US"/>
        </w:rPr>
      </w:pPr>
      <w:r w:rsidRPr="00383193">
        <w:rPr>
          <w:rFonts w:eastAsia="Calibri"/>
          <w:b/>
          <w:sz w:val="20"/>
          <w:szCs w:val="20"/>
          <w:lang w:eastAsia="en-US"/>
        </w:rPr>
        <w:t>Fuente de información:</w:t>
      </w:r>
    </w:p>
    <w:p w14:paraId="616A6D7D" w14:textId="77777777" w:rsidR="00383193" w:rsidRPr="00EF184E" w:rsidRDefault="0045651A" w:rsidP="00EF184E">
      <w:pPr>
        <w:spacing w:after="720"/>
        <w:ind w:right="-159"/>
        <w:jc w:val="both"/>
        <w:rPr>
          <w:rFonts w:eastAsia="Calibri"/>
          <w:color w:val="0000FF"/>
          <w:sz w:val="20"/>
          <w:szCs w:val="20"/>
          <w:lang w:eastAsia="en-US"/>
        </w:rPr>
      </w:pPr>
      <w:hyperlink r:id="rId335" w:history="1">
        <w:r w:rsidR="00383193" w:rsidRPr="00EF184E">
          <w:rPr>
            <w:rFonts w:eastAsia="Calibri"/>
            <w:color w:val="0000FF"/>
            <w:sz w:val="20"/>
            <w:szCs w:val="20"/>
            <w:u w:val="single"/>
            <w:lang w:eastAsia="en-US"/>
          </w:rPr>
          <w:t>http://www.consar.gob.mx/sala_prensa/PDF/presentaciones/AMEXCAP%20CRF%20%20marzo%202015.pdf</w:t>
        </w:r>
      </w:hyperlink>
    </w:p>
    <w:p w14:paraId="2C3F91F3" w14:textId="77777777" w:rsidR="00A10084" w:rsidRPr="00A10084" w:rsidRDefault="00A10084" w:rsidP="00A10084">
      <w:pPr>
        <w:spacing w:after="360" w:line="360" w:lineRule="auto"/>
        <w:ind w:right="-159"/>
        <w:jc w:val="both"/>
        <w:rPr>
          <w:rFonts w:eastAsia="Calibri"/>
          <w:b/>
          <w:sz w:val="26"/>
          <w:szCs w:val="26"/>
          <w:lang w:eastAsia="en-US"/>
        </w:rPr>
      </w:pPr>
      <w:r w:rsidRPr="00A10084">
        <w:rPr>
          <w:rFonts w:eastAsia="Calibri"/>
          <w:b/>
          <w:sz w:val="26"/>
          <w:szCs w:val="26"/>
          <w:lang w:eastAsia="en-US"/>
        </w:rPr>
        <w:t>Nuevo formato de retiro por desempleo (Consar)</w:t>
      </w:r>
    </w:p>
    <w:p w14:paraId="1DCEE4D5"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El 30 de marzo de 2015, la Comisión Nacional del Sistema de Ahorro para el Retiro (Consar) dio a conocer el documento “Nuevo formato de retiro por desempleo”, el cual se presenta a continuación.</w:t>
      </w:r>
    </w:p>
    <w:p w14:paraId="252D72C8"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Con el fin de fortalecer el uso responsable e informado de los servicios y beneficios ligados al manejo de la cuenta Afore, la Consar dio a conocer en días pasados el nuevo formato “Retiro por Desempleo”.</w:t>
      </w:r>
    </w:p>
    <w:p w14:paraId="5B992D5C"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El retiro por desempleo constituye un legítimo derecho de los ahorradores establecido en el artículo 191 de la Ley del Seguro Social. No obstante, se debe considerar que puede llegar a tener un alto costo futuro para la pensión.</w:t>
      </w:r>
    </w:p>
    <w:p w14:paraId="1E6DFFEF"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En 2014 se retiraron 9 mil 863.6 millones de pesos (mdp) de un millón 203 mil 753 cuentas individuales de las Administradoras de Fondos para el Retiro (Afore) por concepto de retiros parciales por desempleo.</w:t>
      </w:r>
    </w:p>
    <w:p w14:paraId="7D0041AC" w14:textId="77777777" w:rsidR="00A10084" w:rsidRPr="00A10084" w:rsidRDefault="00A10084" w:rsidP="00A10084">
      <w:pPr>
        <w:spacing w:after="360" w:line="360" w:lineRule="auto"/>
        <w:ind w:right="-159"/>
        <w:jc w:val="center"/>
        <w:rPr>
          <w:rFonts w:eastAsia="Calibri"/>
          <w:sz w:val="26"/>
          <w:szCs w:val="26"/>
          <w:lang w:eastAsia="en-US"/>
        </w:rPr>
      </w:pPr>
      <w:r w:rsidRPr="00A10084">
        <w:rPr>
          <w:rFonts w:ascii="Calibri" w:eastAsia="Calibri" w:hAnsi="Calibri"/>
          <w:noProof/>
          <w:sz w:val="22"/>
          <w:szCs w:val="22"/>
          <w:lang w:eastAsia="es-MX"/>
        </w:rPr>
        <w:lastRenderedPageBreak/>
        <w:drawing>
          <wp:inline distT="0" distB="0" distL="0" distR="0" wp14:anchorId="04BC25ED" wp14:editId="4107B191">
            <wp:extent cx="3293230" cy="3472637"/>
            <wp:effectExtent l="0" t="0" r="0" b="0"/>
            <wp:docPr id="1557" name="Imagen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296920" cy="3476528"/>
                    </a:xfrm>
                    <a:prstGeom prst="rect">
                      <a:avLst/>
                    </a:prstGeom>
                    <a:noFill/>
                    <a:ln>
                      <a:noFill/>
                    </a:ln>
                  </pic:spPr>
                </pic:pic>
              </a:graphicData>
            </a:graphic>
          </wp:inline>
        </w:drawing>
      </w:r>
    </w:p>
    <w:p w14:paraId="0DE45920" w14:textId="77777777" w:rsidR="00A10084" w:rsidRPr="00A10084" w:rsidRDefault="00A10084" w:rsidP="00A10084">
      <w:pPr>
        <w:spacing w:after="360" w:line="360" w:lineRule="auto"/>
        <w:ind w:right="-159"/>
        <w:jc w:val="both"/>
        <w:rPr>
          <w:rFonts w:eastAsia="Calibri"/>
          <w:sz w:val="26"/>
          <w:szCs w:val="26"/>
          <w:lang w:eastAsia="en-US"/>
        </w:rPr>
      </w:pPr>
    </w:p>
    <w:p w14:paraId="0C3BDAFF" w14:textId="77777777" w:rsidR="00A10084" w:rsidRPr="00A10084" w:rsidRDefault="00A10084" w:rsidP="00A10084">
      <w:pPr>
        <w:spacing w:after="360" w:line="360" w:lineRule="auto"/>
        <w:ind w:right="-159"/>
        <w:jc w:val="center"/>
        <w:rPr>
          <w:rFonts w:eastAsia="Calibri"/>
          <w:sz w:val="26"/>
          <w:szCs w:val="26"/>
          <w:lang w:eastAsia="en-US"/>
        </w:rPr>
      </w:pPr>
      <w:r w:rsidRPr="00A10084">
        <w:rPr>
          <w:rFonts w:ascii="Calibri" w:eastAsia="Calibri" w:hAnsi="Calibri"/>
          <w:noProof/>
          <w:sz w:val="22"/>
          <w:szCs w:val="22"/>
          <w:lang w:eastAsia="es-MX"/>
        </w:rPr>
        <w:drawing>
          <wp:inline distT="0" distB="0" distL="0" distR="0" wp14:anchorId="5F33D18E" wp14:editId="61FB122B">
            <wp:extent cx="3175686" cy="2943845"/>
            <wp:effectExtent l="0" t="0" r="5715" b="0"/>
            <wp:docPr id="1558" name="Imagen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7" cstate="print">
                      <a:extLst>
                        <a:ext uri="{28A0092B-C50C-407E-A947-70E740481C1C}">
                          <a14:useLocalDpi xmlns:a14="http://schemas.microsoft.com/office/drawing/2010/main" val="0"/>
                        </a:ext>
                      </a:extLst>
                    </a:blip>
                    <a:srcRect l="-1030" r="12853"/>
                    <a:stretch/>
                  </pic:blipFill>
                  <pic:spPr bwMode="auto">
                    <a:xfrm>
                      <a:off x="0" y="0"/>
                      <a:ext cx="3182130" cy="2949818"/>
                    </a:xfrm>
                    <a:prstGeom prst="rect">
                      <a:avLst/>
                    </a:prstGeom>
                    <a:noFill/>
                    <a:ln>
                      <a:noFill/>
                    </a:ln>
                    <a:extLst>
                      <a:ext uri="{53640926-AAD7-44D8-BBD7-CCE9431645EC}">
                        <a14:shadowObscured xmlns:a14="http://schemas.microsoft.com/office/drawing/2010/main"/>
                      </a:ext>
                    </a:extLst>
                  </pic:spPr>
                </pic:pic>
              </a:graphicData>
            </a:graphic>
          </wp:inline>
        </w:drawing>
      </w:r>
    </w:p>
    <w:p w14:paraId="6F4D2F37"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lastRenderedPageBreak/>
        <w:t>La percepción de la Consar es que, en ocasiones, el retiro por desempleo es utilizado como “gancho” por parte de algunos agentes promotores para atraer cuentas a las Afore sin explicar claramente a los ahorradores cuáles son los efectos negativos del mismo.</w:t>
      </w:r>
    </w:p>
    <w:p w14:paraId="7F19553A"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El nuevo formato “Retiro por Desempleo”, que las Afore deberán entregar al ahorrador al momento de tramitarlo, contiene lo siguiente:</w:t>
      </w:r>
    </w:p>
    <w:p w14:paraId="09E782D7" w14:textId="77777777" w:rsidR="00A10084" w:rsidRPr="00A10084" w:rsidRDefault="00A10084" w:rsidP="003B27DE">
      <w:pPr>
        <w:numPr>
          <w:ilvl w:val="0"/>
          <w:numId w:val="39"/>
        </w:numPr>
        <w:spacing w:after="360" w:line="360" w:lineRule="auto"/>
        <w:ind w:left="714" w:right="-159" w:hanging="357"/>
        <w:jc w:val="both"/>
        <w:rPr>
          <w:rFonts w:eastAsia="Calibri"/>
          <w:sz w:val="26"/>
          <w:szCs w:val="26"/>
          <w:lang w:eastAsia="en-US"/>
        </w:rPr>
      </w:pPr>
      <w:r w:rsidRPr="00A10084">
        <w:rPr>
          <w:rFonts w:eastAsia="Calibri"/>
          <w:sz w:val="26"/>
          <w:szCs w:val="26"/>
          <w:lang w:eastAsia="en-US"/>
        </w:rPr>
        <w:t>Un gráfico ilustrativo que muestra cómo disminuye el saldo en una cuenta Afore promedio y, en consecuencia, cómo se reducen también las semanas cotizadas. Es decir, si un trabajador retira un monto de 10 mil 500 pesos de su cuenta Afore, se le estarían descontando 60 semanas de cotización, lo que equivale al 10% del tiempo que se lleva cotizado al momento del retiro.</w:t>
      </w:r>
    </w:p>
    <w:p w14:paraId="119333D2" w14:textId="77777777" w:rsidR="00A10084" w:rsidRPr="00A10084" w:rsidRDefault="00A10084" w:rsidP="003B27DE">
      <w:pPr>
        <w:numPr>
          <w:ilvl w:val="0"/>
          <w:numId w:val="39"/>
        </w:numPr>
        <w:spacing w:after="360" w:line="360" w:lineRule="auto"/>
        <w:ind w:left="714" w:right="-159" w:hanging="357"/>
        <w:jc w:val="both"/>
        <w:rPr>
          <w:rFonts w:eastAsia="Calibri"/>
          <w:sz w:val="26"/>
          <w:szCs w:val="26"/>
          <w:lang w:eastAsia="en-US"/>
        </w:rPr>
      </w:pPr>
      <w:r w:rsidRPr="00A10084">
        <w:rPr>
          <w:rFonts w:eastAsia="Calibri"/>
          <w:sz w:val="26"/>
          <w:szCs w:val="26"/>
          <w:lang w:eastAsia="en-US"/>
        </w:rPr>
        <w:t>Mensajes relevantes sobre la importancia de reunir las semanas cotizadas para tener derecho a una pensión de por vida (1 mil 250 semanas) y la manera en que se puede reintegrar ese dinero para recuperar las semanas cotizadas.</w:t>
      </w:r>
    </w:p>
    <w:p w14:paraId="5737BE3A" w14:textId="77777777" w:rsidR="00A10084" w:rsidRPr="00A10084" w:rsidRDefault="00A10084" w:rsidP="003B27DE">
      <w:pPr>
        <w:numPr>
          <w:ilvl w:val="0"/>
          <w:numId w:val="39"/>
        </w:numPr>
        <w:spacing w:after="360" w:line="360" w:lineRule="auto"/>
        <w:ind w:left="714" w:right="-159" w:hanging="357"/>
        <w:jc w:val="both"/>
        <w:rPr>
          <w:rFonts w:eastAsia="Calibri"/>
          <w:sz w:val="26"/>
          <w:szCs w:val="26"/>
          <w:lang w:eastAsia="en-US"/>
        </w:rPr>
      </w:pPr>
      <w:r w:rsidRPr="00A10084">
        <w:rPr>
          <w:rFonts w:eastAsia="Calibri"/>
          <w:sz w:val="26"/>
          <w:szCs w:val="26"/>
          <w:lang w:eastAsia="en-US"/>
        </w:rPr>
        <w:t>Solicitud de firma autógrafa del ahorrador, con lo que se certifica que el ahorrador conoce y entiende las implicaciones de ejercer su derecho a retirar recursos por desempleo de su cuenta Afore y manifiesta, asimismo, que conoce el contenido del documento que le informa de ello.</w:t>
      </w:r>
    </w:p>
    <w:p w14:paraId="1089A717" w14:textId="77777777" w:rsidR="00A10084" w:rsidRPr="00A10084" w:rsidRDefault="00A10084" w:rsidP="00A10084">
      <w:pPr>
        <w:spacing w:after="360" w:line="360" w:lineRule="auto"/>
        <w:ind w:right="-159"/>
        <w:jc w:val="both"/>
        <w:rPr>
          <w:rFonts w:eastAsia="Calibri"/>
          <w:sz w:val="26"/>
          <w:szCs w:val="26"/>
          <w:lang w:eastAsia="en-US"/>
        </w:rPr>
      </w:pPr>
    </w:p>
    <w:p w14:paraId="0BDBE60A" w14:textId="77777777" w:rsidR="00A10084" w:rsidRPr="00A10084" w:rsidRDefault="00A10084" w:rsidP="00A10084">
      <w:pPr>
        <w:spacing w:after="360" w:line="360" w:lineRule="auto"/>
        <w:ind w:right="-159"/>
        <w:jc w:val="both"/>
        <w:rPr>
          <w:rFonts w:eastAsia="Calibri"/>
          <w:sz w:val="26"/>
          <w:szCs w:val="26"/>
          <w:lang w:eastAsia="en-US"/>
        </w:rPr>
      </w:pPr>
    </w:p>
    <w:p w14:paraId="0E14C874" w14:textId="77777777" w:rsidR="00A10084" w:rsidRPr="00A10084" w:rsidRDefault="00A10084" w:rsidP="00A10084">
      <w:pPr>
        <w:spacing w:after="360" w:line="360" w:lineRule="auto"/>
        <w:ind w:right="-159"/>
        <w:jc w:val="both"/>
        <w:rPr>
          <w:rFonts w:eastAsia="Calibri"/>
          <w:sz w:val="26"/>
          <w:szCs w:val="26"/>
          <w:lang w:eastAsia="en-US"/>
        </w:rPr>
      </w:pPr>
    </w:p>
    <w:p w14:paraId="4E5AD42B" w14:textId="77777777" w:rsidR="00A10084" w:rsidRPr="00A10084" w:rsidRDefault="00A10084" w:rsidP="00A10084">
      <w:pPr>
        <w:spacing w:after="360" w:line="360" w:lineRule="auto"/>
        <w:ind w:right="-159"/>
        <w:jc w:val="both"/>
        <w:rPr>
          <w:rFonts w:eastAsia="Calibri"/>
          <w:sz w:val="26"/>
          <w:szCs w:val="26"/>
          <w:lang w:eastAsia="en-US"/>
        </w:rPr>
      </w:pPr>
    </w:p>
    <w:p w14:paraId="0D8A6126" w14:textId="77777777" w:rsidR="00A10084" w:rsidRPr="00A10084" w:rsidRDefault="00A10084" w:rsidP="00A10084">
      <w:pPr>
        <w:spacing w:after="360" w:line="360" w:lineRule="auto"/>
        <w:ind w:right="-159"/>
        <w:jc w:val="both"/>
        <w:rPr>
          <w:rFonts w:eastAsia="Calibri"/>
          <w:sz w:val="26"/>
          <w:szCs w:val="26"/>
          <w:lang w:eastAsia="en-US"/>
        </w:rPr>
      </w:pPr>
    </w:p>
    <w:p w14:paraId="10BD9505" w14:textId="77777777" w:rsidR="00A10084" w:rsidRPr="00A10084" w:rsidRDefault="00A10084" w:rsidP="00A10084">
      <w:pPr>
        <w:spacing w:after="360" w:line="360" w:lineRule="auto"/>
        <w:ind w:right="-159"/>
        <w:jc w:val="center"/>
        <w:rPr>
          <w:rFonts w:eastAsia="Calibri"/>
          <w:b/>
          <w:sz w:val="26"/>
          <w:szCs w:val="26"/>
          <w:lang w:eastAsia="en-US"/>
        </w:rPr>
      </w:pPr>
      <w:r w:rsidRPr="00A10084">
        <w:rPr>
          <w:rFonts w:eastAsia="Calibri"/>
          <w:b/>
          <w:sz w:val="26"/>
          <w:szCs w:val="26"/>
          <w:lang w:eastAsia="en-US"/>
        </w:rPr>
        <w:lastRenderedPageBreak/>
        <w:t>DOCUMENTO</w:t>
      </w:r>
    </w:p>
    <w:p w14:paraId="540AACB8" w14:textId="221BD85F" w:rsidR="00A10084" w:rsidRPr="00A10084" w:rsidRDefault="00D14E2E" w:rsidP="00A10084">
      <w:pPr>
        <w:spacing w:after="360" w:line="360" w:lineRule="auto"/>
        <w:ind w:right="-159"/>
        <w:jc w:val="center"/>
        <w:rPr>
          <w:rFonts w:eastAsia="Calibri"/>
          <w:sz w:val="26"/>
          <w:szCs w:val="26"/>
          <w:lang w:eastAsia="en-US"/>
        </w:rPr>
      </w:pPr>
      <w:r w:rsidRPr="00D14E2E">
        <w:rPr>
          <w:rFonts w:ascii="Calibri" w:eastAsia="Calibri" w:hAnsi="Calibri"/>
          <w:noProof/>
          <w:sz w:val="22"/>
          <w:szCs w:val="22"/>
          <w:lang w:eastAsia="es-MX"/>
        </w:rPr>
        <w:drawing>
          <wp:inline distT="0" distB="0" distL="0" distR="0" wp14:anchorId="21488031" wp14:editId="756A9CCF">
            <wp:extent cx="5612130" cy="5314950"/>
            <wp:effectExtent l="0" t="0" r="0" b="0"/>
            <wp:docPr id="1535" name="Imagen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5612130" cy="5314950"/>
                    </a:xfrm>
                    <a:prstGeom prst="rect">
                      <a:avLst/>
                    </a:prstGeom>
                    <a:noFill/>
                    <a:ln>
                      <a:noFill/>
                    </a:ln>
                  </pic:spPr>
                </pic:pic>
              </a:graphicData>
            </a:graphic>
          </wp:inline>
        </w:drawing>
      </w:r>
    </w:p>
    <w:p w14:paraId="3890E8C2" w14:textId="77777777" w:rsidR="00A10084" w:rsidRPr="00A10084" w:rsidRDefault="00A10084" w:rsidP="00A10084">
      <w:pPr>
        <w:spacing w:after="120" w:line="360" w:lineRule="auto"/>
        <w:ind w:right="-159"/>
        <w:jc w:val="both"/>
        <w:rPr>
          <w:rFonts w:eastAsia="Calibri"/>
          <w:sz w:val="26"/>
          <w:szCs w:val="26"/>
          <w:lang w:eastAsia="en-US"/>
        </w:rPr>
      </w:pPr>
    </w:p>
    <w:p w14:paraId="2A3E331E"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t>Con estas acciones la Consar reitera su compromiso de seguir trabajando para fortalecer la educación financiera de los ahorradores del Sistema de Ahorro para el Retiro (SAR) con nuevas herramientas que les permitan tomar mejores decisiones sobre su ahorro pensionario.</w:t>
      </w:r>
    </w:p>
    <w:p w14:paraId="2F3BDB2B" w14:textId="77777777" w:rsidR="00A10084" w:rsidRPr="00A10084" w:rsidRDefault="00A10084" w:rsidP="00A10084">
      <w:pPr>
        <w:spacing w:after="360" w:line="360" w:lineRule="auto"/>
        <w:ind w:right="-159"/>
        <w:jc w:val="both"/>
        <w:rPr>
          <w:rFonts w:eastAsia="Calibri"/>
          <w:sz w:val="26"/>
          <w:szCs w:val="26"/>
          <w:lang w:eastAsia="en-US"/>
        </w:rPr>
      </w:pPr>
      <w:r w:rsidRPr="00A10084">
        <w:rPr>
          <w:rFonts w:eastAsia="Calibri"/>
          <w:sz w:val="26"/>
          <w:szCs w:val="26"/>
          <w:lang w:eastAsia="en-US"/>
        </w:rPr>
        <w:lastRenderedPageBreak/>
        <w:t>Para conocer más detalles de este formato consultar la siguiente liga http://ow.ly/KVUD1</w:t>
      </w:r>
    </w:p>
    <w:p w14:paraId="2653CF39" w14:textId="77777777" w:rsidR="00A10084" w:rsidRPr="00A10084" w:rsidRDefault="00A10084" w:rsidP="00A10084">
      <w:pPr>
        <w:ind w:right="-159"/>
        <w:jc w:val="both"/>
        <w:rPr>
          <w:rFonts w:eastAsia="Calibri"/>
          <w:b/>
          <w:sz w:val="20"/>
          <w:szCs w:val="20"/>
          <w:lang w:eastAsia="en-US"/>
        </w:rPr>
      </w:pPr>
      <w:r w:rsidRPr="00A10084">
        <w:rPr>
          <w:rFonts w:eastAsia="Calibri"/>
          <w:b/>
          <w:sz w:val="20"/>
          <w:szCs w:val="20"/>
          <w:lang w:eastAsia="en-US"/>
        </w:rPr>
        <w:t>Fuente de información:</w:t>
      </w:r>
    </w:p>
    <w:p w14:paraId="784185EF" w14:textId="77777777" w:rsidR="00A10084" w:rsidRPr="00EF184E" w:rsidRDefault="0045651A" w:rsidP="00EF184E">
      <w:pPr>
        <w:spacing w:after="720"/>
        <w:ind w:right="-159"/>
        <w:jc w:val="both"/>
        <w:rPr>
          <w:rFonts w:eastAsia="Calibri"/>
          <w:color w:val="0000FF"/>
          <w:sz w:val="20"/>
          <w:szCs w:val="20"/>
          <w:lang w:eastAsia="en-US"/>
        </w:rPr>
      </w:pPr>
      <w:hyperlink r:id="rId339" w:history="1">
        <w:r w:rsidR="00A10084" w:rsidRPr="00EF184E">
          <w:rPr>
            <w:rFonts w:eastAsia="Calibri"/>
            <w:color w:val="0000FF"/>
            <w:sz w:val="20"/>
            <w:szCs w:val="20"/>
            <w:u w:val="single"/>
            <w:lang w:eastAsia="en-US"/>
          </w:rPr>
          <w:t>http://www.consar.gob.mx/sala_prensa/PDF/boletines/BP-12-2015%20desempleo%20VF.pdf</w:t>
        </w:r>
      </w:hyperlink>
    </w:p>
    <w:p w14:paraId="0033FDDA" w14:textId="77777777" w:rsidR="003F7D93" w:rsidRPr="003F7D93" w:rsidRDefault="003F7D93" w:rsidP="003F7D93">
      <w:pPr>
        <w:ind w:right="-159"/>
        <w:jc w:val="both"/>
        <w:rPr>
          <w:rFonts w:eastAsia="Times New Roman"/>
          <w:b/>
          <w:sz w:val="26"/>
          <w:szCs w:val="26"/>
          <w:lang w:val="es-ES" w:eastAsia="es-MX"/>
        </w:rPr>
      </w:pPr>
      <w:r w:rsidRPr="003F7D93">
        <w:rPr>
          <w:rFonts w:eastAsia="Times New Roman"/>
          <w:b/>
          <w:sz w:val="26"/>
          <w:szCs w:val="26"/>
          <w:lang w:val="es-ES" w:eastAsia="es-MX"/>
        </w:rPr>
        <w:t>Beneficios fiscales del ahorro voluntario</w:t>
      </w:r>
    </w:p>
    <w:p w14:paraId="659E3503" w14:textId="77777777" w:rsidR="003F7D93" w:rsidRPr="003F7D93" w:rsidRDefault="003F7D93" w:rsidP="003F7D93">
      <w:pPr>
        <w:spacing w:after="360" w:line="360" w:lineRule="auto"/>
        <w:ind w:right="-159"/>
        <w:jc w:val="both"/>
        <w:rPr>
          <w:rFonts w:eastAsia="Times New Roman"/>
          <w:b/>
          <w:sz w:val="26"/>
          <w:szCs w:val="26"/>
          <w:lang w:val="es-ES" w:eastAsia="es-MX"/>
        </w:rPr>
      </w:pPr>
      <w:r w:rsidRPr="003F7D93">
        <w:rPr>
          <w:rFonts w:eastAsia="Times New Roman"/>
          <w:b/>
          <w:sz w:val="26"/>
          <w:szCs w:val="26"/>
          <w:lang w:val="es-ES" w:eastAsia="es-MX"/>
        </w:rPr>
        <w:t>para el retiro (Forbes México)</w:t>
      </w:r>
    </w:p>
    <w:p w14:paraId="0164A35D"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 xml:space="preserve">El 6 de abril de 2015, la </w:t>
      </w:r>
      <w:r w:rsidRPr="003F7D93">
        <w:rPr>
          <w:rFonts w:eastAsia="Calibri"/>
          <w:sz w:val="26"/>
          <w:szCs w:val="26"/>
          <w:lang w:val="es-ES" w:eastAsia="en-US"/>
        </w:rPr>
        <w:t>edición online de la revista de negocios Forbes México señaló que al ahorrar voluntariamente para el retiro puedes recuperar parte de los impuestos sobre la renta pagados durante el año fiscal.</w:t>
      </w:r>
    </w:p>
    <w:p w14:paraId="0CDBDE89"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 xml:space="preserve">El ahorrar de manera voluntaria para tu </w:t>
      </w:r>
      <w:hyperlink r:id="rId340" w:tgtFrame="_blank" w:tooltip="Retiro por desempleo: más información para una mejor decisión" w:history="1">
        <w:r w:rsidRPr="00A573F8">
          <w:rPr>
            <w:rFonts w:eastAsia="Times New Roman"/>
            <w:sz w:val="26"/>
            <w:szCs w:val="26"/>
            <w:bdr w:val="none" w:sz="0" w:space="0" w:color="auto" w:frame="1"/>
            <w:lang w:val="es-ES" w:eastAsia="es-MX"/>
          </w:rPr>
          <w:t>retiro</w:t>
        </w:r>
      </w:hyperlink>
      <w:r w:rsidRPr="00A573F8">
        <w:rPr>
          <w:rFonts w:eastAsia="Times New Roman"/>
          <w:sz w:val="26"/>
          <w:szCs w:val="26"/>
          <w:lang w:val="es-ES" w:eastAsia="es-MX"/>
        </w:rPr>
        <w:t xml:space="preserve"> </w:t>
      </w:r>
      <w:r w:rsidRPr="003F7D93">
        <w:rPr>
          <w:rFonts w:eastAsia="Times New Roman"/>
          <w:sz w:val="26"/>
          <w:szCs w:val="26"/>
          <w:lang w:val="es-ES" w:eastAsia="es-MX"/>
        </w:rPr>
        <w:t>no sólo te permitirá vivir plenamente durante tu vejez, también te brindará efectos positivos en las deducciones fiscales.</w:t>
      </w:r>
    </w:p>
    <w:p w14:paraId="69F4E6A4"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El ahorro voluntario genera un impacto positivo en los ingresos de una persona en dos maneras, según el Departamento de Estudios de Principal Financial Group México:</w:t>
      </w:r>
    </w:p>
    <w:p w14:paraId="734101BF" w14:textId="77777777" w:rsidR="003F7D93" w:rsidRPr="003F7D93" w:rsidRDefault="003F7D93" w:rsidP="003B27DE">
      <w:pPr>
        <w:numPr>
          <w:ilvl w:val="0"/>
          <w:numId w:val="53"/>
        </w:numPr>
        <w:spacing w:after="360" w:line="360" w:lineRule="auto"/>
        <w:ind w:left="568" w:right="-159" w:hanging="284"/>
        <w:jc w:val="both"/>
        <w:rPr>
          <w:rFonts w:eastAsia="Times New Roman"/>
          <w:sz w:val="26"/>
          <w:szCs w:val="26"/>
          <w:lang w:val="es-ES" w:eastAsia="es-MX"/>
        </w:rPr>
      </w:pPr>
      <w:r w:rsidRPr="003F7D93">
        <w:rPr>
          <w:rFonts w:eastAsia="Times New Roman"/>
          <w:sz w:val="26"/>
          <w:szCs w:val="26"/>
          <w:lang w:val="es-ES" w:eastAsia="es-MX"/>
        </w:rPr>
        <w:t>Aprovechamiento de las deducciones fiscales, efecto inmediato en la presentación de la declaración anual de impuestos.</w:t>
      </w:r>
    </w:p>
    <w:p w14:paraId="1FECEE94" w14:textId="77777777" w:rsidR="003F7D93" w:rsidRPr="003F7D93" w:rsidRDefault="003F7D93" w:rsidP="003B27DE">
      <w:pPr>
        <w:numPr>
          <w:ilvl w:val="0"/>
          <w:numId w:val="53"/>
        </w:numPr>
        <w:spacing w:after="360" w:line="360" w:lineRule="auto"/>
        <w:ind w:left="568" w:right="-159" w:hanging="284"/>
        <w:jc w:val="both"/>
        <w:rPr>
          <w:rFonts w:eastAsia="Times New Roman"/>
          <w:sz w:val="26"/>
          <w:szCs w:val="26"/>
          <w:lang w:val="es-ES" w:eastAsia="es-MX"/>
        </w:rPr>
      </w:pPr>
      <w:r w:rsidRPr="003F7D93">
        <w:rPr>
          <w:rFonts w:eastAsia="Times New Roman"/>
          <w:sz w:val="26"/>
          <w:szCs w:val="26"/>
          <w:lang w:val="es-ES" w:eastAsia="es-MX"/>
        </w:rPr>
        <w:t>Rendimientos derivados de su inversión, efecto obtenido en el largo plazo hacia el  momento de la jubilación.</w:t>
      </w:r>
    </w:p>
    <w:p w14:paraId="5F8976B6" w14:textId="77777777" w:rsidR="003F7D93" w:rsidRPr="003F7D93" w:rsidRDefault="003F7D93" w:rsidP="003F7D93">
      <w:pPr>
        <w:spacing w:after="360" w:line="360" w:lineRule="auto"/>
        <w:ind w:right="-159"/>
        <w:jc w:val="both"/>
        <w:rPr>
          <w:rFonts w:eastAsia="Times New Roman"/>
          <w:sz w:val="26"/>
          <w:szCs w:val="26"/>
          <w:lang w:val="es-ES" w:eastAsia="es-MX"/>
        </w:rPr>
      </w:pPr>
      <w:r w:rsidRPr="00A573F8">
        <w:rPr>
          <w:rFonts w:eastAsia="Times New Roman"/>
          <w:sz w:val="26"/>
          <w:szCs w:val="26"/>
          <w:lang w:val="es-ES" w:eastAsia="es-MX"/>
        </w:rPr>
        <w:t>“</w:t>
      </w:r>
      <w:hyperlink r:id="rId341" w:tgtFrame="_blank" w:tooltip="Ahorro para el retiro: la fórmula perfecta" w:history="1">
        <w:r w:rsidRPr="00A573F8">
          <w:rPr>
            <w:rFonts w:eastAsia="Times New Roman"/>
            <w:sz w:val="26"/>
            <w:szCs w:val="26"/>
            <w:bdr w:val="none" w:sz="0" w:space="0" w:color="auto" w:frame="1"/>
            <w:lang w:val="es-ES" w:eastAsia="es-MX"/>
          </w:rPr>
          <w:t>Ahorrar para el futuro</w:t>
        </w:r>
      </w:hyperlink>
      <w:r w:rsidRPr="00A573F8">
        <w:rPr>
          <w:rFonts w:eastAsia="Times New Roman"/>
          <w:sz w:val="26"/>
          <w:szCs w:val="26"/>
          <w:lang w:val="es-ES" w:eastAsia="es-MX"/>
        </w:rPr>
        <w:t xml:space="preserve"> cuesta, implica dejar de gastar hoy; sin embargo, cuando se </w:t>
      </w:r>
      <w:r w:rsidRPr="003F7D93">
        <w:rPr>
          <w:rFonts w:eastAsia="Times New Roman"/>
          <w:sz w:val="26"/>
          <w:szCs w:val="26"/>
          <w:lang w:val="es-ES" w:eastAsia="es-MX"/>
        </w:rPr>
        <w:t>analizan sus beneficios, lo único que se necesita es voluntad”, explicó la firma en un comunicado.</w:t>
      </w:r>
    </w:p>
    <w:p w14:paraId="379C00E1"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lastRenderedPageBreak/>
        <w:t>Además del ahorro obligatorio para el retiro, existe la posibilidad de ahorrar de forma voluntaria en la cuenta de retiro Afore, a través de un plan personal de retiro o algún otro instrumento de ahorro a largo plazo autorizado.</w:t>
      </w:r>
    </w:p>
    <w:p w14:paraId="76DA8CA1"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Conforme la Ley del Impuesto sobre la Renta (LISR), estas alternativas de ahorro tienen un esquema de deducción para personas físicas aplicable en la presentación de la declaración anual de impuestos.</w:t>
      </w:r>
    </w:p>
    <w:p w14:paraId="3951F4F9"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Durante 2014, el ahorro voluntario otorgó rendimientos netos de comisiones promedio anualizados de 6.47%, cifra superior a los rendimientos otorgados por productos bancarios de ahorro como CETES 91 días o sociedades de renta fija durante el mismo año.</w:t>
      </w:r>
    </w:p>
    <w:p w14:paraId="182FD14C"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En la actualidad, todos los trabajadores que cotizan al Instituto Mexicano del Seguro Social (</w:t>
      </w:r>
      <w:hyperlink r:id="rId342" w:tgtFrame="_blank" w:tooltip="En julio se crean 37,000 empleos, la menor cifra del año: IMSS" w:history="1">
        <w:r w:rsidRPr="003F7D93">
          <w:rPr>
            <w:rFonts w:eastAsia="Times New Roman"/>
            <w:sz w:val="26"/>
            <w:szCs w:val="26"/>
            <w:bdr w:val="none" w:sz="0" w:space="0" w:color="auto" w:frame="1"/>
            <w:lang w:val="es-ES" w:eastAsia="es-MX"/>
          </w:rPr>
          <w:t>IMSS</w:t>
        </w:r>
      </w:hyperlink>
      <w:r w:rsidRPr="003F7D93">
        <w:rPr>
          <w:rFonts w:eastAsia="Times New Roman"/>
          <w:sz w:val="26"/>
          <w:szCs w:val="26"/>
          <w:lang w:val="es-ES" w:eastAsia="es-MX"/>
        </w:rPr>
        <w:t>) ahorran de forma obligatoria el 6.5% de su sueldo a su cuenta de retiro en Afore. Sin embargo, Financial Group explicó que ahorrando ese porcentaje cada mes hasta cumplir los 65 años, la cantidad obtenida alcanza apenas una pensión aproximada del 33% del último sueldo.</w:t>
      </w:r>
    </w:p>
    <w:p w14:paraId="7D7D061B"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t>Si lo que en realidad se desea es una pensión adecuada, aproximadamente del 70% del último sueldo, es necesario que las personas ahorren para su retiro entre 14 y 16% de su ingreso total bruto.</w:t>
      </w:r>
    </w:p>
    <w:p w14:paraId="40602E2C" w14:textId="77777777" w:rsidR="003F7D93" w:rsidRDefault="003F7D93" w:rsidP="003F7D93">
      <w:pPr>
        <w:spacing w:after="360" w:line="360" w:lineRule="auto"/>
        <w:ind w:right="-159"/>
        <w:jc w:val="both"/>
        <w:rPr>
          <w:rFonts w:eastAsia="Times New Roman"/>
          <w:sz w:val="26"/>
          <w:szCs w:val="26"/>
          <w:lang w:val="es-ES" w:eastAsia="es-MX"/>
        </w:rPr>
      </w:pPr>
      <w:r w:rsidRPr="00A573F8">
        <w:rPr>
          <w:rFonts w:eastAsia="Times New Roman"/>
          <w:sz w:val="26"/>
          <w:szCs w:val="26"/>
          <w:lang w:val="es-ES" w:eastAsia="es-MX"/>
        </w:rPr>
        <w:t xml:space="preserve">En México, la esperanza de vida al </w:t>
      </w:r>
      <w:hyperlink r:id="rId343" w:tgtFrame="_blank" w:tooltip="Los 5 obstáculos para un retiro digno" w:history="1">
        <w:r w:rsidRPr="00A573F8">
          <w:rPr>
            <w:rFonts w:eastAsia="Times New Roman"/>
            <w:sz w:val="26"/>
            <w:szCs w:val="26"/>
            <w:bdr w:val="none" w:sz="0" w:space="0" w:color="auto" w:frame="1"/>
            <w:lang w:val="es-ES" w:eastAsia="es-MX"/>
          </w:rPr>
          <w:t>retiro</w:t>
        </w:r>
      </w:hyperlink>
      <w:r w:rsidRPr="00A573F8">
        <w:rPr>
          <w:rFonts w:eastAsia="Times New Roman"/>
          <w:sz w:val="26"/>
          <w:szCs w:val="26"/>
          <w:lang w:val="es-ES" w:eastAsia="es-MX"/>
        </w:rPr>
        <w:t xml:space="preserve"> entre la población femenina es de 84 años, en </w:t>
      </w:r>
      <w:r w:rsidRPr="003F7D93">
        <w:rPr>
          <w:rFonts w:eastAsia="Times New Roman"/>
          <w:sz w:val="26"/>
          <w:szCs w:val="26"/>
          <w:lang w:val="es-ES" w:eastAsia="es-MX"/>
        </w:rPr>
        <w:t>tanto que en los varones es de 82 años. Lo que representa que con una edad de retiro a los 65 años, son necesarios ahorros para cubrir en promedio 18 años de vida inactiva.</w:t>
      </w:r>
    </w:p>
    <w:p w14:paraId="59B3B87D" w14:textId="77777777" w:rsidR="004727D3" w:rsidRPr="003F7D93" w:rsidRDefault="004727D3" w:rsidP="003F7D93">
      <w:pPr>
        <w:spacing w:after="360" w:line="360" w:lineRule="auto"/>
        <w:ind w:right="-159"/>
        <w:jc w:val="both"/>
        <w:rPr>
          <w:rFonts w:eastAsia="Times New Roman"/>
          <w:sz w:val="26"/>
          <w:szCs w:val="26"/>
          <w:lang w:val="es-ES" w:eastAsia="es-MX"/>
        </w:rPr>
      </w:pPr>
    </w:p>
    <w:p w14:paraId="44D82B45" w14:textId="77777777" w:rsidR="003F7D93" w:rsidRPr="003F7D93" w:rsidRDefault="003F7D93" w:rsidP="003F7D93">
      <w:pPr>
        <w:spacing w:after="360" w:line="360" w:lineRule="auto"/>
        <w:ind w:right="-159"/>
        <w:jc w:val="both"/>
        <w:rPr>
          <w:rFonts w:eastAsia="Times New Roman"/>
          <w:sz w:val="26"/>
          <w:szCs w:val="26"/>
          <w:lang w:val="es-ES" w:eastAsia="es-MX"/>
        </w:rPr>
      </w:pPr>
      <w:r w:rsidRPr="003F7D93">
        <w:rPr>
          <w:rFonts w:eastAsia="Times New Roman"/>
          <w:sz w:val="26"/>
          <w:szCs w:val="26"/>
          <w:lang w:val="es-ES" w:eastAsia="es-MX"/>
        </w:rPr>
        <w:lastRenderedPageBreak/>
        <w:t>“El ahorro para el retiro te ofrece la oportunidad de apostar a tu futuro, la oportunidad de brindarle seguridad financiera a tu familia y la posibilidad de vivir plenamente durante tu vejez”, agregó Financial Group en el documento.</w:t>
      </w:r>
    </w:p>
    <w:p w14:paraId="3400D560" w14:textId="77777777" w:rsidR="003F7D93" w:rsidRPr="003F7D93" w:rsidRDefault="003F7D93" w:rsidP="003F7D93">
      <w:pPr>
        <w:ind w:right="-159"/>
        <w:jc w:val="both"/>
        <w:rPr>
          <w:rFonts w:eastAsia="Times New Roman"/>
          <w:b/>
          <w:sz w:val="20"/>
          <w:szCs w:val="26"/>
          <w:lang w:val="es-ES" w:eastAsia="es-MX"/>
        </w:rPr>
      </w:pPr>
      <w:r w:rsidRPr="003F7D93">
        <w:rPr>
          <w:rFonts w:eastAsia="Times New Roman"/>
          <w:b/>
          <w:sz w:val="20"/>
          <w:szCs w:val="26"/>
          <w:lang w:val="es-ES" w:eastAsia="es-MX"/>
        </w:rPr>
        <w:t>Fuente de información:</w:t>
      </w:r>
    </w:p>
    <w:p w14:paraId="1F069F84" w14:textId="77777777" w:rsidR="003F7D93" w:rsidRPr="00EF184E" w:rsidRDefault="0045651A" w:rsidP="00EF184E">
      <w:pPr>
        <w:spacing w:after="720"/>
        <w:ind w:right="-159"/>
        <w:jc w:val="both"/>
        <w:rPr>
          <w:rFonts w:eastAsia="Calibri"/>
          <w:color w:val="0000FF"/>
          <w:sz w:val="20"/>
          <w:szCs w:val="20"/>
          <w:u w:val="single"/>
          <w:lang w:eastAsia="en-US"/>
        </w:rPr>
      </w:pPr>
      <w:hyperlink r:id="rId344" w:history="1">
        <w:r w:rsidR="003F7D93" w:rsidRPr="00EF184E">
          <w:rPr>
            <w:rFonts w:eastAsia="Times New Roman"/>
            <w:color w:val="0000FF"/>
            <w:sz w:val="20"/>
            <w:szCs w:val="20"/>
            <w:u w:val="single"/>
            <w:lang w:val="es-ES" w:eastAsia="es-MX"/>
          </w:rPr>
          <w:t>http://www.forbes.com.mx/beneficios-fiscales-del-ahorro-voluntario-para-el-retiro/</w:t>
        </w:r>
      </w:hyperlink>
      <w:r w:rsidR="003F7D93" w:rsidRPr="00EF184E">
        <w:rPr>
          <w:rFonts w:eastAsia="Times New Roman"/>
          <w:color w:val="0000FF"/>
          <w:sz w:val="20"/>
          <w:szCs w:val="20"/>
          <w:u w:val="single"/>
          <w:lang w:val="es-ES" w:eastAsia="es-MX"/>
        </w:rPr>
        <w:t xml:space="preserve"> </w:t>
      </w:r>
    </w:p>
    <w:p w14:paraId="346CE95A"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Mi ahorro para el futuro ¿hoy o lo dejo para mañana? (Consar)</w:t>
      </w:r>
    </w:p>
    <w:p w14:paraId="5140F949" w14:textId="77777777" w:rsidR="00D14E2E" w:rsidRPr="00D14E2E" w:rsidRDefault="00D14E2E" w:rsidP="00D14E2E">
      <w:pPr>
        <w:spacing w:after="360" w:line="360" w:lineRule="auto"/>
        <w:ind w:right="-159"/>
        <w:jc w:val="both"/>
        <w:rPr>
          <w:rFonts w:eastAsia="Calibri"/>
          <w:sz w:val="26"/>
          <w:szCs w:val="26"/>
          <w:lang w:eastAsia="en-US"/>
        </w:rPr>
      </w:pPr>
      <w:r w:rsidRPr="00D14E2E">
        <w:rPr>
          <w:rFonts w:eastAsia="Calibri"/>
          <w:sz w:val="26"/>
          <w:szCs w:val="26"/>
          <w:lang w:eastAsia="en-US"/>
        </w:rPr>
        <w:t>El 6 de abril de 2015, la Comisión Nacional del Sistema de Ahorro para el Retiro (Consar) dio a conocer el documento “Mi ahorro para el futuro ¿hoy o lo dejo para mañana?”, el cual se presenta a continuación.</w:t>
      </w:r>
    </w:p>
    <w:p w14:paraId="44A84C52"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I. ¿Quién es la Consar?</w:t>
      </w:r>
    </w:p>
    <w:tbl>
      <w:tblPr>
        <w:tblW w:w="0" w:type="auto"/>
        <w:jc w:val="center"/>
        <w:tblLook w:val="04A0" w:firstRow="1" w:lastRow="0" w:firstColumn="1" w:lastColumn="0" w:noHBand="0" w:noVBand="1"/>
      </w:tblPr>
      <w:tblGrid>
        <w:gridCol w:w="1985"/>
        <w:gridCol w:w="567"/>
        <w:gridCol w:w="1985"/>
        <w:gridCol w:w="567"/>
        <w:gridCol w:w="1985"/>
      </w:tblGrid>
      <w:tr w:rsidR="00D14E2E" w:rsidRPr="00D14E2E" w14:paraId="0BEEC732" w14:textId="77777777" w:rsidTr="00512C3D">
        <w:trPr>
          <w:jc w:val="center"/>
        </w:trPr>
        <w:tc>
          <w:tcPr>
            <w:tcW w:w="7089" w:type="dxa"/>
            <w:gridSpan w:val="5"/>
            <w:tcBorders>
              <w:top w:val="single" w:sz="4" w:space="0" w:color="auto"/>
              <w:left w:val="single" w:sz="4" w:space="0" w:color="auto"/>
              <w:bottom w:val="single" w:sz="4" w:space="0" w:color="auto"/>
              <w:right w:val="single" w:sz="4" w:space="0" w:color="auto"/>
            </w:tcBorders>
          </w:tcPr>
          <w:p w14:paraId="0784C7B9" w14:textId="77777777" w:rsidR="00D14E2E" w:rsidRPr="00D14E2E" w:rsidRDefault="00D14E2E" w:rsidP="00D14E2E">
            <w:pPr>
              <w:spacing w:before="120" w:after="120"/>
              <w:jc w:val="center"/>
              <w:rPr>
                <w:rFonts w:eastAsia="Calibri"/>
                <w:b/>
                <w:sz w:val="20"/>
                <w:szCs w:val="20"/>
                <w:lang w:eastAsia="en-US"/>
              </w:rPr>
            </w:pPr>
            <w:r w:rsidRPr="00D14E2E">
              <w:rPr>
                <w:rFonts w:eastAsia="Calibri"/>
                <w:b/>
                <w:sz w:val="20"/>
                <w:szCs w:val="20"/>
                <w:lang w:eastAsia="en-US"/>
              </w:rPr>
              <w:t>Comisión Nacional del Sistema de Ahorro para el Retiro</w:t>
            </w:r>
          </w:p>
        </w:tc>
      </w:tr>
      <w:tr w:rsidR="00D14E2E" w:rsidRPr="00D14E2E" w14:paraId="33138862" w14:textId="77777777" w:rsidTr="00512C3D">
        <w:trPr>
          <w:jc w:val="center"/>
        </w:trPr>
        <w:tc>
          <w:tcPr>
            <w:tcW w:w="1985" w:type="dxa"/>
            <w:tcBorders>
              <w:top w:val="single" w:sz="4" w:space="0" w:color="auto"/>
              <w:left w:val="nil"/>
              <w:bottom w:val="single" w:sz="4" w:space="0" w:color="auto"/>
              <w:right w:val="nil"/>
            </w:tcBorders>
          </w:tcPr>
          <w:p w14:paraId="625C8B79"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nil"/>
              <w:right w:val="nil"/>
            </w:tcBorders>
          </w:tcPr>
          <w:p w14:paraId="135F97A6"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554963FD"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nil"/>
              <w:right w:val="nil"/>
            </w:tcBorders>
          </w:tcPr>
          <w:p w14:paraId="7B8DD2F3"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0AE29FA7" w14:textId="77777777" w:rsidR="00D14E2E" w:rsidRPr="00D14E2E" w:rsidRDefault="00D14E2E" w:rsidP="00D14E2E">
            <w:pPr>
              <w:jc w:val="center"/>
              <w:rPr>
                <w:rFonts w:eastAsia="Calibri"/>
                <w:sz w:val="20"/>
                <w:szCs w:val="20"/>
                <w:lang w:eastAsia="en-US"/>
              </w:rPr>
            </w:pPr>
          </w:p>
        </w:tc>
      </w:tr>
      <w:tr w:rsidR="00D14E2E" w:rsidRPr="00D14E2E" w14:paraId="1CC9E808" w14:textId="77777777" w:rsidTr="00512C3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0F63F2B8" w14:textId="77777777" w:rsidR="00D14E2E" w:rsidRPr="00D14E2E" w:rsidRDefault="00D14E2E" w:rsidP="00D14E2E">
            <w:pPr>
              <w:jc w:val="center"/>
              <w:rPr>
                <w:rFonts w:eastAsia="Calibri"/>
                <w:sz w:val="20"/>
                <w:szCs w:val="20"/>
                <w:lang w:eastAsia="en-US"/>
              </w:rPr>
            </w:pPr>
            <w:r w:rsidRPr="00D14E2E">
              <w:rPr>
                <w:rFonts w:eastAsia="Calibri"/>
                <w:sz w:val="20"/>
                <w:szCs w:val="20"/>
                <w:lang w:eastAsia="en-US"/>
              </w:rPr>
              <w:t>Regular y supervisar a las Afore</w:t>
            </w:r>
          </w:p>
        </w:tc>
        <w:tc>
          <w:tcPr>
            <w:tcW w:w="567" w:type="dxa"/>
            <w:tcBorders>
              <w:top w:val="nil"/>
              <w:left w:val="single" w:sz="4" w:space="0" w:color="auto"/>
              <w:bottom w:val="nil"/>
              <w:right w:val="single" w:sz="4" w:space="0" w:color="auto"/>
            </w:tcBorders>
            <w:vAlign w:val="center"/>
          </w:tcPr>
          <w:p w14:paraId="08632B87"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5F8993BC" w14:textId="77777777" w:rsidR="00D14E2E" w:rsidRPr="00D14E2E" w:rsidRDefault="00D14E2E" w:rsidP="00D14E2E">
            <w:pPr>
              <w:jc w:val="center"/>
              <w:rPr>
                <w:rFonts w:eastAsia="Calibri"/>
                <w:sz w:val="20"/>
                <w:szCs w:val="20"/>
                <w:lang w:eastAsia="en-US"/>
              </w:rPr>
            </w:pPr>
            <w:r w:rsidRPr="00D14E2E">
              <w:rPr>
                <w:rFonts w:eastAsia="Calibri"/>
                <w:sz w:val="20"/>
                <w:szCs w:val="20"/>
                <w:lang w:eastAsia="en-US"/>
              </w:rPr>
              <w:t>Difundir el funcionamiento del Sistema</w:t>
            </w:r>
          </w:p>
        </w:tc>
        <w:tc>
          <w:tcPr>
            <w:tcW w:w="567" w:type="dxa"/>
            <w:tcBorders>
              <w:top w:val="nil"/>
              <w:left w:val="single" w:sz="4" w:space="0" w:color="auto"/>
              <w:bottom w:val="nil"/>
              <w:right w:val="single" w:sz="4" w:space="0" w:color="auto"/>
            </w:tcBorders>
            <w:vAlign w:val="center"/>
          </w:tcPr>
          <w:p w14:paraId="3BF58E41"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565F3039" w14:textId="77777777" w:rsidR="00D14E2E" w:rsidRPr="00D14E2E" w:rsidRDefault="00D14E2E" w:rsidP="00D14E2E">
            <w:pPr>
              <w:jc w:val="center"/>
              <w:rPr>
                <w:rFonts w:eastAsia="Calibri"/>
                <w:sz w:val="20"/>
                <w:szCs w:val="20"/>
                <w:lang w:eastAsia="en-US"/>
              </w:rPr>
            </w:pPr>
            <w:r w:rsidRPr="00D14E2E">
              <w:rPr>
                <w:rFonts w:eastAsia="Calibri"/>
                <w:sz w:val="20"/>
                <w:szCs w:val="20"/>
                <w:lang w:eastAsia="en-US"/>
              </w:rPr>
              <w:t>Cuidar el patrimonio pensionario</w:t>
            </w:r>
          </w:p>
        </w:tc>
      </w:tr>
      <w:tr w:rsidR="00D14E2E" w:rsidRPr="00D14E2E" w14:paraId="7609B213" w14:textId="77777777" w:rsidTr="00512C3D">
        <w:trPr>
          <w:jc w:val="center"/>
        </w:trPr>
        <w:tc>
          <w:tcPr>
            <w:tcW w:w="1985" w:type="dxa"/>
            <w:tcBorders>
              <w:top w:val="single" w:sz="4" w:space="0" w:color="auto"/>
              <w:left w:val="nil"/>
              <w:bottom w:val="single" w:sz="4" w:space="0" w:color="auto"/>
              <w:right w:val="nil"/>
            </w:tcBorders>
          </w:tcPr>
          <w:p w14:paraId="08D72EE9" w14:textId="77777777" w:rsidR="00D14E2E" w:rsidRPr="00D14E2E" w:rsidRDefault="00D14E2E" w:rsidP="00D14E2E">
            <w:pPr>
              <w:jc w:val="center"/>
              <w:rPr>
                <w:rFonts w:eastAsia="Calibri"/>
                <w:sz w:val="20"/>
                <w:szCs w:val="20"/>
                <w:lang w:eastAsia="en-US"/>
              </w:rPr>
            </w:pPr>
          </w:p>
        </w:tc>
        <w:tc>
          <w:tcPr>
            <w:tcW w:w="567" w:type="dxa"/>
            <w:tcBorders>
              <w:top w:val="nil"/>
              <w:left w:val="nil"/>
              <w:bottom w:val="single" w:sz="4" w:space="0" w:color="auto"/>
              <w:right w:val="nil"/>
            </w:tcBorders>
          </w:tcPr>
          <w:p w14:paraId="422F565E"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2D11370E" w14:textId="77777777" w:rsidR="00D14E2E" w:rsidRPr="00D14E2E" w:rsidRDefault="00D14E2E" w:rsidP="00D14E2E">
            <w:pPr>
              <w:jc w:val="center"/>
              <w:rPr>
                <w:rFonts w:eastAsia="Calibri"/>
                <w:sz w:val="20"/>
                <w:szCs w:val="20"/>
                <w:lang w:eastAsia="en-US"/>
              </w:rPr>
            </w:pPr>
          </w:p>
        </w:tc>
        <w:tc>
          <w:tcPr>
            <w:tcW w:w="567" w:type="dxa"/>
            <w:tcBorders>
              <w:top w:val="nil"/>
              <w:left w:val="nil"/>
              <w:bottom w:val="single" w:sz="4" w:space="0" w:color="auto"/>
              <w:right w:val="nil"/>
            </w:tcBorders>
          </w:tcPr>
          <w:p w14:paraId="0879E4F0"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47507E4A" w14:textId="77777777" w:rsidR="00D14E2E" w:rsidRPr="00D14E2E" w:rsidRDefault="00D14E2E" w:rsidP="00D14E2E">
            <w:pPr>
              <w:jc w:val="center"/>
              <w:rPr>
                <w:rFonts w:eastAsia="Calibri"/>
                <w:sz w:val="20"/>
                <w:szCs w:val="20"/>
                <w:lang w:eastAsia="en-US"/>
              </w:rPr>
            </w:pPr>
          </w:p>
        </w:tc>
      </w:tr>
      <w:tr w:rsidR="00D14E2E" w:rsidRPr="00D14E2E" w14:paraId="6B54F3E8" w14:textId="77777777" w:rsidTr="00512C3D">
        <w:trPr>
          <w:jc w:val="center"/>
        </w:trPr>
        <w:tc>
          <w:tcPr>
            <w:tcW w:w="7089" w:type="dxa"/>
            <w:gridSpan w:val="5"/>
            <w:tcBorders>
              <w:top w:val="single" w:sz="4" w:space="0" w:color="auto"/>
              <w:left w:val="single" w:sz="4" w:space="0" w:color="auto"/>
              <w:bottom w:val="single" w:sz="4" w:space="0" w:color="auto"/>
              <w:right w:val="single" w:sz="4" w:space="0" w:color="auto"/>
            </w:tcBorders>
          </w:tcPr>
          <w:p w14:paraId="6D0170E5" w14:textId="77777777" w:rsidR="00D14E2E" w:rsidRPr="00D14E2E" w:rsidRDefault="00D14E2E" w:rsidP="00D14E2E">
            <w:pPr>
              <w:spacing w:before="240" w:after="240"/>
              <w:jc w:val="center"/>
              <w:rPr>
                <w:rFonts w:eastAsia="Calibri"/>
                <w:sz w:val="20"/>
                <w:szCs w:val="20"/>
                <w:lang w:eastAsia="en-US"/>
              </w:rPr>
            </w:pPr>
            <w:r w:rsidRPr="00D14E2E">
              <w:rPr>
                <w:rFonts w:eastAsia="Calibri"/>
                <w:sz w:val="20"/>
                <w:szCs w:val="20"/>
                <w:lang w:eastAsia="en-US"/>
              </w:rPr>
              <w:t>A fin de que se tome mayor conciencia sobre el ahorro para su futuro</w:t>
            </w:r>
          </w:p>
        </w:tc>
      </w:tr>
      <w:tr w:rsidR="00D14E2E" w:rsidRPr="00D14E2E" w14:paraId="322B3995" w14:textId="77777777" w:rsidTr="00512C3D">
        <w:trPr>
          <w:jc w:val="center"/>
        </w:trPr>
        <w:tc>
          <w:tcPr>
            <w:tcW w:w="1985" w:type="dxa"/>
            <w:tcBorders>
              <w:top w:val="single" w:sz="4" w:space="0" w:color="auto"/>
              <w:left w:val="nil"/>
              <w:bottom w:val="single" w:sz="4" w:space="0" w:color="auto"/>
              <w:right w:val="nil"/>
            </w:tcBorders>
          </w:tcPr>
          <w:p w14:paraId="351DE8B8"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single" w:sz="4" w:space="0" w:color="auto"/>
              <w:right w:val="nil"/>
            </w:tcBorders>
          </w:tcPr>
          <w:p w14:paraId="5775A1CD"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56CD0FD6"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single" w:sz="4" w:space="0" w:color="auto"/>
              <w:right w:val="nil"/>
            </w:tcBorders>
          </w:tcPr>
          <w:p w14:paraId="13E560D5"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single" w:sz="4" w:space="0" w:color="auto"/>
              <w:right w:val="nil"/>
            </w:tcBorders>
          </w:tcPr>
          <w:p w14:paraId="61C087EB" w14:textId="77777777" w:rsidR="00D14E2E" w:rsidRPr="00D14E2E" w:rsidRDefault="00D14E2E" w:rsidP="00D14E2E">
            <w:pPr>
              <w:jc w:val="center"/>
              <w:rPr>
                <w:rFonts w:eastAsia="Calibri"/>
                <w:sz w:val="20"/>
                <w:szCs w:val="20"/>
                <w:lang w:eastAsia="en-US"/>
              </w:rPr>
            </w:pPr>
          </w:p>
        </w:tc>
      </w:tr>
      <w:tr w:rsidR="00D14E2E" w:rsidRPr="00D14E2E" w14:paraId="546BC823" w14:textId="77777777" w:rsidTr="00512C3D">
        <w:trPr>
          <w:jc w:val="center"/>
        </w:trPr>
        <w:tc>
          <w:tcPr>
            <w:tcW w:w="7089" w:type="dxa"/>
            <w:gridSpan w:val="5"/>
            <w:tcBorders>
              <w:top w:val="single" w:sz="4" w:space="0" w:color="auto"/>
              <w:left w:val="single" w:sz="4" w:space="0" w:color="auto"/>
              <w:bottom w:val="single" w:sz="4" w:space="0" w:color="auto"/>
              <w:right w:val="single" w:sz="4" w:space="0" w:color="auto"/>
            </w:tcBorders>
          </w:tcPr>
          <w:p w14:paraId="3F4CE298" w14:textId="77777777" w:rsidR="00D14E2E" w:rsidRPr="00D14E2E" w:rsidRDefault="00D14E2E" w:rsidP="00D14E2E">
            <w:pPr>
              <w:spacing w:before="120"/>
              <w:jc w:val="center"/>
              <w:rPr>
                <w:rFonts w:eastAsia="Calibri"/>
                <w:sz w:val="20"/>
                <w:szCs w:val="20"/>
                <w:lang w:eastAsia="en-US"/>
              </w:rPr>
            </w:pPr>
            <w:r w:rsidRPr="00D14E2E">
              <w:rPr>
                <w:rFonts w:eastAsia="Calibri"/>
                <w:sz w:val="20"/>
                <w:szCs w:val="20"/>
                <w:lang w:eastAsia="en-US"/>
              </w:rPr>
              <w:t>Con la meta de que los ahorradores actuales y</w:t>
            </w:r>
          </w:p>
          <w:p w14:paraId="039DB66B" w14:textId="77777777" w:rsidR="00D14E2E" w:rsidRPr="00D14E2E" w:rsidRDefault="00D14E2E" w:rsidP="00D14E2E">
            <w:pPr>
              <w:spacing w:after="120"/>
              <w:jc w:val="center"/>
              <w:rPr>
                <w:rFonts w:eastAsia="Calibri"/>
                <w:sz w:val="20"/>
                <w:szCs w:val="20"/>
                <w:lang w:eastAsia="en-US"/>
              </w:rPr>
            </w:pPr>
            <w:r w:rsidRPr="00D14E2E">
              <w:rPr>
                <w:rFonts w:eastAsia="Calibri"/>
                <w:lang w:eastAsia="en-US"/>
              </w:rPr>
              <w:t>los futuros trabajadores</w:t>
            </w:r>
            <w:r w:rsidRPr="00D14E2E">
              <w:rPr>
                <w:rFonts w:eastAsia="Calibri"/>
                <w:sz w:val="20"/>
                <w:szCs w:val="20"/>
                <w:lang w:eastAsia="en-US"/>
              </w:rPr>
              <w:t xml:space="preserve"> tengan un mejor retiro</w:t>
            </w:r>
          </w:p>
        </w:tc>
      </w:tr>
      <w:tr w:rsidR="00D14E2E" w:rsidRPr="00D14E2E" w14:paraId="134E457B" w14:textId="77777777" w:rsidTr="00512C3D">
        <w:trPr>
          <w:jc w:val="center"/>
        </w:trPr>
        <w:tc>
          <w:tcPr>
            <w:tcW w:w="1985" w:type="dxa"/>
            <w:tcBorders>
              <w:top w:val="single" w:sz="4" w:space="0" w:color="auto"/>
              <w:left w:val="nil"/>
              <w:bottom w:val="nil"/>
              <w:right w:val="nil"/>
            </w:tcBorders>
          </w:tcPr>
          <w:p w14:paraId="45E9D96E"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nil"/>
              <w:right w:val="nil"/>
            </w:tcBorders>
          </w:tcPr>
          <w:p w14:paraId="37472E53"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nil"/>
              <w:right w:val="nil"/>
            </w:tcBorders>
          </w:tcPr>
          <w:p w14:paraId="40C8E611" w14:textId="77777777" w:rsidR="00D14E2E" w:rsidRPr="00D14E2E" w:rsidRDefault="00D14E2E" w:rsidP="00D14E2E">
            <w:pPr>
              <w:jc w:val="center"/>
              <w:rPr>
                <w:rFonts w:eastAsia="Calibri"/>
                <w:sz w:val="20"/>
                <w:szCs w:val="20"/>
                <w:lang w:eastAsia="en-US"/>
              </w:rPr>
            </w:pPr>
          </w:p>
        </w:tc>
        <w:tc>
          <w:tcPr>
            <w:tcW w:w="567" w:type="dxa"/>
            <w:tcBorders>
              <w:top w:val="single" w:sz="4" w:space="0" w:color="auto"/>
              <w:left w:val="nil"/>
              <w:bottom w:val="nil"/>
              <w:right w:val="nil"/>
            </w:tcBorders>
          </w:tcPr>
          <w:p w14:paraId="762EF1B0" w14:textId="77777777" w:rsidR="00D14E2E" w:rsidRPr="00D14E2E" w:rsidRDefault="00D14E2E" w:rsidP="00D14E2E">
            <w:pPr>
              <w:jc w:val="center"/>
              <w:rPr>
                <w:rFonts w:eastAsia="Calibri"/>
                <w:sz w:val="20"/>
                <w:szCs w:val="20"/>
                <w:lang w:eastAsia="en-US"/>
              </w:rPr>
            </w:pPr>
          </w:p>
        </w:tc>
        <w:tc>
          <w:tcPr>
            <w:tcW w:w="1985" w:type="dxa"/>
            <w:tcBorders>
              <w:top w:val="single" w:sz="4" w:space="0" w:color="auto"/>
              <w:left w:val="nil"/>
              <w:bottom w:val="nil"/>
              <w:right w:val="nil"/>
            </w:tcBorders>
          </w:tcPr>
          <w:p w14:paraId="01FAF323" w14:textId="77777777" w:rsidR="00D14E2E" w:rsidRPr="00D14E2E" w:rsidRDefault="00D14E2E" w:rsidP="00D14E2E">
            <w:pPr>
              <w:jc w:val="center"/>
              <w:rPr>
                <w:rFonts w:eastAsia="Calibri"/>
                <w:sz w:val="20"/>
                <w:szCs w:val="20"/>
                <w:lang w:eastAsia="en-US"/>
              </w:rPr>
            </w:pPr>
          </w:p>
        </w:tc>
      </w:tr>
      <w:tr w:rsidR="00D14E2E" w:rsidRPr="00D14E2E" w14:paraId="04238E6C" w14:textId="77777777" w:rsidTr="00512C3D">
        <w:trPr>
          <w:jc w:val="center"/>
        </w:trPr>
        <w:tc>
          <w:tcPr>
            <w:tcW w:w="7089" w:type="dxa"/>
            <w:gridSpan w:val="5"/>
            <w:tcBorders>
              <w:top w:val="nil"/>
              <w:left w:val="nil"/>
              <w:bottom w:val="nil"/>
              <w:right w:val="nil"/>
            </w:tcBorders>
          </w:tcPr>
          <w:p w14:paraId="3CCC4944" w14:textId="77777777" w:rsidR="00D14E2E" w:rsidRPr="00D14E2E" w:rsidRDefault="00D14E2E" w:rsidP="00D14E2E">
            <w:pPr>
              <w:rPr>
                <w:rFonts w:eastAsia="Calibri"/>
                <w:sz w:val="20"/>
                <w:szCs w:val="20"/>
                <w:lang w:eastAsia="en-US"/>
              </w:rPr>
            </w:pPr>
            <w:r w:rsidRPr="00D14E2E">
              <w:rPr>
                <w:rFonts w:eastAsia="Calibri"/>
                <w:sz w:val="20"/>
                <w:szCs w:val="20"/>
                <w:lang w:eastAsia="en-US"/>
              </w:rPr>
              <w:t>FUENTE: Consar.</w:t>
            </w:r>
          </w:p>
        </w:tc>
      </w:tr>
    </w:tbl>
    <w:p w14:paraId="631B7B1B" w14:textId="77777777" w:rsidR="00D14E2E" w:rsidRDefault="00D14E2E" w:rsidP="00D14E2E">
      <w:pPr>
        <w:spacing w:after="360" w:line="360" w:lineRule="auto"/>
        <w:ind w:right="-159"/>
        <w:jc w:val="center"/>
        <w:rPr>
          <w:rFonts w:eastAsia="Calibri"/>
          <w:sz w:val="26"/>
          <w:szCs w:val="26"/>
          <w:lang w:eastAsia="en-US"/>
        </w:rPr>
      </w:pPr>
    </w:p>
    <w:p w14:paraId="62BBD4EA" w14:textId="77777777" w:rsidR="0047140D" w:rsidRDefault="0047140D" w:rsidP="00D14E2E">
      <w:pPr>
        <w:spacing w:after="360" w:line="360" w:lineRule="auto"/>
        <w:ind w:right="-159"/>
        <w:jc w:val="center"/>
        <w:rPr>
          <w:rFonts w:eastAsia="Calibri"/>
          <w:sz w:val="26"/>
          <w:szCs w:val="26"/>
          <w:lang w:eastAsia="en-US"/>
        </w:rPr>
      </w:pPr>
    </w:p>
    <w:p w14:paraId="5AE3F058" w14:textId="77777777" w:rsidR="0047140D" w:rsidRDefault="0047140D" w:rsidP="00D14E2E">
      <w:pPr>
        <w:spacing w:after="360" w:line="360" w:lineRule="auto"/>
        <w:ind w:right="-159"/>
        <w:jc w:val="center"/>
        <w:rPr>
          <w:rFonts w:eastAsia="Calibri"/>
          <w:sz w:val="26"/>
          <w:szCs w:val="26"/>
          <w:lang w:eastAsia="en-US"/>
        </w:rPr>
      </w:pPr>
    </w:p>
    <w:p w14:paraId="758849EA" w14:textId="77777777" w:rsidR="0047140D" w:rsidRPr="00D14E2E" w:rsidRDefault="0047140D" w:rsidP="00D14E2E">
      <w:pPr>
        <w:spacing w:after="360" w:line="360" w:lineRule="auto"/>
        <w:ind w:right="-159"/>
        <w:jc w:val="center"/>
        <w:rPr>
          <w:rFonts w:eastAsia="Calibri"/>
          <w:sz w:val="26"/>
          <w:szCs w:val="26"/>
          <w:lang w:eastAsia="en-US"/>
        </w:rPr>
      </w:pPr>
    </w:p>
    <w:p w14:paraId="304EABA7"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II. ¿Le debe importar a los jóvenes el tema del retiro?</w:t>
      </w:r>
    </w:p>
    <w:p w14:paraId="551BEE46" w14:textId="77777777" w:rsidR="00D14E2E" w:rsidRPr="00D14E2E" w:rsidRDefault="00D14E2E" w:rsidP="00D14E2E">
      <w:pPr>
        <w:spacing w:after="360"/>
        <w:ind w:right="-159"/>
        <w:jc w:val="both"/>
        <w:rPr>
          <w:rFonts w:eastAsia="Calibri"/>
          <w:b/>
          <w:sz w:val="26"/>
          <w:szCs w:val="26"/>
          <w:lang w:eastAsia="en-US"/>
        </w:rPr>
      </w:pPr>
      <w:r w:rsidRPr="00D14E2E">
        <w:rPr>
          <w:rFonts w:eastAsia="Calibri"/>
          <w:b/>
          <w:sz w:val="26"/>
          <w:szCs w:val="26"/>
          <w:lang w:eastAsia="en-US"/>
        </w:rPr>
        <w:t>Razones para involucrarse desde temprana edad en temas de ahorro para el futuro</w:t>
      </w:r>
    </w:p>
    <w:p w14:paraId="2B90CDA5" w14:textId="77777777" w:rsidR="00D14E2E" w:rsidRPr="00D14E2E" w:rsidRDefault="00D14E2E" w:rsidP="00762467">
      <w:pPr>
        <w:numPr>
          <w:ilvl w:val="0"/>
          <w:numId w:val="69"/>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Demografía.</w:t>
      </w:r>
    </w:p>
    <w:p w14:paraId="6D2E0117" w14:textId="77777777" w:rsidR="00D14E2E" w:rsidRPr="00D14E2E" w:rsidRDefault="00D14E2E" w:rsidP="00762467">
      <w:pPr>
        <w:numPr>
          <w:ilvl w:val="0"/>
          <w:numId w:val="69"/>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Reforma al sistema y evolución reciente.</w:t>
      </w:r>
    </w:p>
    <w:p w14:paraId="18ECBA81" w14:textId="77777777" w:rsidR="00D14E2E" w:rsidRPr="00D14E2E" w:rsidRDefault="00D14E2E" w:rsidP="00762467">
      <w:pPr>
        <w:numPr>
          <w:ilvl w:val="0"/>
          <w:numId w:val="69"/>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Hábitos y realidades generacionales.</w:t>
      </w:r>
    </w:p>
    <w:p w14:paraId="4CBBB71C" w14:textId="77777777" w:rsidR="00D14E2E" w:rsidRPr="00D14E2E" w:rsidRDefault="00D14E2E" w:rsidP="00762467">
      <w:pPr>
        <w:numPr>
          <w:ilvl w:val="0"/>
          <w:numId w:val="69"/>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Beneficios de empezar temprano.</w:t>
      </w:r>
    </w:p>
    <w:p w14:paraId="586C9B9D"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Demografía: Envejecimiento poblacional global sin precedentes</w:t>
      </w:r>
    </w:p>
    <w:p w14:paraId="599ACC32"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FUTURO.pptx!291"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6090FF5D" wp14:editId="35A17E3C">
            <wp:extent cx="5066030" cy="3429000"/>
            <wp:effectExtent l="0" t="0" r="1270" b="0"/>
            <wp:docPr id="1515" name="Imagen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45" cstate="print">
                      <a:extLst>
                        <a:ext uri="{28A0092B-C50C-407E-A947-70E740481C1C}">
                          <a14:useLocalDpi xmlns:a14="http://schemas.microsoft.com/office/drawing/2010/main" val="0"/>
                        </a:ext>
                      </a:extLst>
                    </a:blip>
                    <a:srcRect l="7982" r="8763"/>
                    <a:stretch>
                      <a:fillRect/>
                    </a:stretch>
                  </pic:blipFill>
                  <pic:spPr bwMode="auto">
                    <a:xfrm>
                      <a:off x="0" y="0"/>
                      <a:ext cx="5066030" cy="342900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5EB96EAC" w14:textId="77777777" w:rsidR="004727D3" w:rsidRDefault="004727D3" w:rsidP="00D14E2E">
      <w:pPr>
        <w:spacing w:after="360" w:line="360" w:lineRule="auto"/>
        <w:ind w:right="-159"/>
        <w:jc w:val="both"/>
        <w:rPr>
          <w:rFonts w:eastAsia="Calibri"/>
          <w:b/>
          <w:sz w:val="26"/>
          <w:szCs w:val="26"/>
          <w:lang w:eastAsia="en-US"/>
        </w:rPr>
      </w:pPr>
    </w:p>
    <w:p w14:paraId="0AD79F78" w14:textId="77777777" w:rsidR="004727D3" w:rsidRDefault="004727D3" w:rsidP="00D14E2E">
      <w:pPr>
        <w:spacing w:after="360" w:line="360" w:lineRule="auto"/>
        <w:ind w:right="-159"/>
        <w:jc w:val="both"/>
        <w:rPr>
          <w:rFonts w:eastAsia="Calibri"/>
          <w:b/>
          <w:sz w:val="26"/>
          <w:szCs w:val="26"/>
          <w:lang w:eastAsia="en-US"/>
        </w:rPr>
      </w:pPr>
    </w:p>
    <w:p w14:paraId="2298852A"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Fecundidad</w:t>
      </w:r>
    </w:p>
    <w:p w14:paraId="50395E6B"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FUTURO.pptx!292"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0F748969" wp14:editId="04C82ACF">
            <wp:extent cx="4553585" cy="3070860"/>
            <wp:effectExtent l="0" t="0" r="0" b="0"/>
            <wp:docPr id="1516" name="Imagen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346" cstate="print">
                      <a:extLst>
                        <a:ext uri="{28A0092B-C50C-407E-A947-70E740481C1C}">
                          <a14:useLocalDpi xmlns:a14="http://schemas.microsoft.com/office/drawing/2010/main" val="0"/>
                        </a:ext>
                      </a:extLst>
                    </a:blip>
                    <a:srcRect l="14397" t="2222" r="10799" b="8333"/>
                    <a:stretch>
                      <a:fillRect/>
                    </a:stretch>
                  </pic:blipFill>
                  <pic:spPr bwMode="auto">
                    <a:xfrm>
                      <a:off x="0" y="0"/>
                      <a:ext cx="4553585" cy="307086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43E8179F"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Población mayor de 65 años y esperanza de vida</w:t>
      </w:r>
    </w:p>
    <w:p w14:paraId="39DF060E" w14:textId="77777777" w:rsidR="00D14E2E" w:rsidRPr="00D14E2E" w:rsidRDefault="00D14E2E" w:rsidP="00762467">
      <w:pPr>
        <w:numPr>
          <w:ilvl w:val="0"/>
          <w:numId w:val="71"/>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La población de 65 y más crecerá exponencialmente en las próximas décadas al tiempo que su esperanza de vida seguirá aumentando.</w:t>
      </w:r>
    </w:p>
    <w:p w14:paraId="3BF81204"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lastRenderedPageBreak/>
        <w:fldChar w:fldCharType="begin"/>
      </w:r>
      <w:r w:rsidRPr="00D14E2E">
        <w:rPr>
          <w:rFonts w:ascii="Calibri" w:eastAsia="Calibri" w:hAnsi="Calibri"/>
          <w:sz w:val="22"/>
          <w:szCs w:val="22"/>
          <w:lang w:eastAsia="en-US"/>
        </w:rPr>
        <w:instrText xml:space="preserve"> LINK PowerPoint.Slide.8 "D:\\2015\\GRÁFICAS DE LA CONSAR\\37.- MI AHORRO PARA EL FUTURO.pptx!293"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0E1EFA61" wp14:editId="55781109">
            <wp:extent cx="4355465" cy="3268345"/>
            <wp:effectExtent l="0" t="0" r="6985" b="8255"/>
            <wp:docPr id="1517" name="Imagen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347" cstate="print">
                      <a:extLst>
                        <a:ext uri="{28A0092B-C50C-407E-A947-70E740481C1C}">
                          <a14:useLocalDpi xmlns:a14="http://schemas.microsoft.com/office/drawing/2010/main" val="0"/>
                        </a:ext>
                      </a:extLst>
                    </a:blip>
                    <a:srcRect l="12675" r="15807" b="4723"/>
                    <a:stretch>
                      <a:fillRect/>
                    </a:stretch>
                  </pic:blipFill>
                  <pic:spPr bwMode="auto">
                    <a:xfrm>
                      <a:off x="0" y="0"/>
                      <a:ext cx="4355465" cy="326834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36D7EF82"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FUTURO.pptx!294"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7A327024" wp14:editId="7C05082A">
            <wp:extent cx="3806190" cy="3206750"/>
            <wp:effectExtent l="0" t="0" r="3810" b="0"/>
            <wp:docPr id="1518" name="Imagen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348" cstate="print">
                      <a:extLst>
                        <a:ext uri="{28A0092B-C50C-407E-A947-70E740481C1C}">
                          <a14:useLocalDpi xmlns:a14="http://schemas.microsoft.com/office/drawing/2010/main" val="0"/>
                        </a:ext>
                      </a:extLst>
                    </a:blip>
                    <a:srcRect l="18936" t="1666" r="18466" b="4723"/>
                    <a:stretch>
                      <a:fillRect/>
                    </a:stretch>
                  </pic:blipFill>
                  <pic:spPr bwMode="auto">
                    <a:xfrm>
                      <a:off x="0" y="0"/>
                      <a:ext cx="3806190" cy="320675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569B3BF5" w14:textId="77777777" w:rsidR="004727D3" w:rsidRDefault="004727D3" w:rsidP="00D14E2E">
      <w:pPr>
        <w:spacing w:after="360" w:line="360" w:lineRule="auto"/>
        <w:ind w:right="-159"/>
        <w:jc w:val="both"/>
        <w:rPr>
          <w:rFonts w:eastAsia="Calibri"/>
          <w:b/>
          <w:sz w:val="26"/>
          <w:szCs w:val="26"/>
          <w:lang w:eastAsia="en-US"/>
        </w:rPr>
      </w:pPr>
    </w:p>
    <w:p w14:paraId="1C58107B" w14:textId="77777777" w:rsidR="004727D3" w:rsidRDefault="004727D3" w:rsidP="00D14E2E">
      <w:pPr>
        <w:spacing w:after="360" w:line="360" w:lineRule="auto"/>
        <w:ind w:right="-159"/>
        <w:jc w:val="both"/>
        <w:rPr>
          <w:rFonts w:eastAsia="Calibri"/>
          <w:b/>
          <w:sz w:val="26"/>
          <w:szCs w:val="26"/>
          <w:lang w:eastAsia="en-US"/>
        </w:rPr>
      </w:pPr>
    </w:p>
    <w:p w14:paraId="150C0FB8"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Tendencias demográficas</w:t>
      </w:r>
    </w:p>
    <w:tbl>
      <w:tblPr>
        <w:tblW w:w="0" w:type="auto"/>
        <w:jc w:val="center"/>
        <w:tblLook w:val="04A0" w:firstRow="1" w:lastRow="0" w:firstColumn="1" w:lastColumn="0" w:noHBand="0" w:noVBand="1"/>
      </w:tblPr>
      <w:tblGrid>
        <w:gridCol w:w="5240"/>
      </w:tblGrid>
      <w:tr w:rsidR="00D14E2E" w:rsidRPr="00D14E2E" w14:paraId="103F20C2" w14:textId="77777777" w:rsidTr="00512C3D">
        <w:trPr>
          <w:jc w:val="center"/>
        </w:trPr>
        <w:tc>
          <w:tcPr>
            <w:tcW w:w="5240" w:type="dxa"/>
            <w:tcBorders>
              <w:top w:val="single" w:sz="4" w:space="0" w:color="auto"/>
              <w:left w:val="single" w:sz="4" w:space="0" w:color="auto"/>
              <w:bottom w:val="single" w:sz="4" w:space="0" w:color="auto"/>
              <w:right w:val="single" w:sz="4" w:space="0" w:color="auto"/>
            </w:tcBorders>
          </w:tcPr>
          <w:p w14:paraId="0AC3AFE2" w14:textId="77777777" w:rsidR="00D14E2E" w:rsidRPr="00D14E2E" w:rsidRDefault="00D14E2E" w:rsidP="00D14E2E">
            <w:pPr>
              <w:spacing w:before="240" w:after="240"/>
              <w:jc w:val="center"/>
              <w:rPr>
                <w:rFonts w:eastAsia="Calibri"/>
                <w:sz w:val="20"/>
                <w:szCs w:val="20"/>
                <w:lang w:eastAsia="en-US"/>
              </w:rPr>
            </w:pPr>
            <w:r w:rsidRPr="00D14E2E">
              <w:rPr>
                <w:rFonts w:eastAsia="Calibri"/>
                <w:sz w:val="20"/>
                <w:szCs w:val="20"/>
                <w:lang w:eastAsia="en-US"/>
              </w:rPr>
              <w:t>Aumento sin precedente en esperanza de vida</w:t>
            </w:r>
          </w:p>
        </w:tc>
      </w:tr>
      <w:tr w:rsidR="00D14E2E" w:rsidRPr="00D14E2E" w14:paraId="6BCE70A7" w14:textId="77777777" w:rsidTr="00512C3D">
        <w:trPr>
          <w:jc w:val="center"/>
        </w:trPr>
        <w:tc>
          <w:tcPr>
            <w:tcW w:w="5240" w:type="dxa"/>
            <w:tcBorders>
              <w:top w:val="single" w:sz="4" w:space="0" w:color="auto"/>
              <w:bottom w:val="single" w:sz="4" w:space="0" w:color="auto"/>
            </w:tcBorders>
          </w:tcPr>
          <w:p w14:paraId="60D87A08" w14:textId="77777777" w:rsidR="00D14E2E" w:rsidRPr="00D14E2E" w:rsidRDefault="00D14E2E" w:rsidP="00D14E2E">
            <w:pPr>
              <w:spacing w:before="240" w:after="240"/>
              <w:jc w:val="center"/>
              <w:rPr>
                <w:rFonts w:eastAsia="Calibri"/>
                <w:sz w:val="20"/>
                <w:szCs w:val="20"/>
                <w:lang w:eastAsia="en-US"/>
              </w:rPr>
            </w:pPr>
            <w:r w:rsidRPr="00D14E2E">
              <w:rPr>
                <w:rFonts w:eastAsia="Calibri"/>
                <w:noProof/>
                <w:sz w:val="20"/>
                <w:szCs w:val="20"/>
                <w:lang w:eastAsia="es-MX"/>
              </w:rPr>
              <mc:AlternateContent>
                <mc:Choice Requires="wps">
                  <w:drawing>
                    <wp:anchor distT="0" distB="0" distL="114300" distR="114300" simplePos="0" relativeHeight="251672576" behindDoc="0" locked="0" layoutInCell="1" allowOverlap="1" wp14:anchorId="68173375" wp14:editId="5D1E079D">
                      <wp:simplePos x="0" y="0"/>
                      <wp:positionH relativeFrom="column">
                        <wp:posOffset>1532427</wp:posOffset>
                      </wp:positionH>
                      <wp:positionV relativeFrom="paragraph">
                        <wp:posOffset>111760</wp:posOffset>
                      </wp:positionV>
                      <wp:extent cx="247136" cy="222422"/>
                      <wp:effectExtent l="0" t="0" r="635" b="6350"/>
                      <wp:wrapNone/>
                      <wp:docPr id="1511" name="Más 1511"/>
                      <wp:cNvGraphicFramePr/>
                      <a:graphic xmlns:a="http://schemas.openxmlformats.org/drawingml/2006/main">
                        <a:graphicData uri="http://schemas.microsoft.com/office/word/2010/wordprocessingShape">
                          <wps:wsp>
                            <wps:cNvSpPr/>
                            <wps:spPr>
                              <a:xfrm>
                                <a:off x="0" y="0"/>
                                <a:ext cx="247136" cy="222422"/>
                              </a:xfrm>
                              <a:prstGeom prst="mathPlus">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3B1177" id="Más 1511" o:spid="_x0000_s1026" style="position:absolute;margin-left:120.65pt;margin-top:8.8pt;width:19.45pt;height:17.5pt;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247136,22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" path="m32758,85054r64653,l97411,29482r52314,l149725,85054r64653,l214378,137368r-64653,l149725,192940r-52314,l97411,137368r-64653,l32758,85054xe" fillcolor="#5b9bd5" strokecolor="#41719c" strokeweight="1pt">
                      <v:stroke joinstyle="miter"/>
                      <v:path arrowok="t" o:connecttype="custom" o:connectlocs="32758,85054;97411,85054;97411,29482;149725,29482;149725,85054;214378,85054;214378,137368;149725,137368;149725,192940;97411,192940;97411,137368;32758,137368;32758,85054" o:connectangles="0,0,0,0,0,0,0,0,0,0,0,0,0"/>
                    </v:shape>
                  </w:pict>
                </mc:Fallback>
              </mc:AlternateContent>
            </w:r>
          </w:p>
        </w:tc>
      </w:tr>
      <w:tr w:rsidR="00D14E2E" w:rsidRPr="00D14E2E" w14:paraId="360DCFC8" w14:textId="77777777" w:rsidTr="00512C3D">
        <w:trPr>
          <w:jc w:val="center"/>
        </w:trPr>
        <w:tc>
          <w:tcPr>
            <w:tcW w:w="5240" w:type="dxa"/>
            <w:tcBorders>
              <w:top w:val="single" w:sz="4" w:space="0" w:color="auto"/>
              <w:left w:val="single" w:sz="4" w:space="0" w:color="auto"/>
              <w:bottom w:val="single" w:sz="4" w:space="0" w:color="auto"/>
              <w:right w:val="single" w:sz="4" w:space="0" w:color="auto"/>
            </w:tcBorders>
          </w:tcPr>
          <w:p w14:paraId="69C49826" w14:textId="77777777" w:rsidR="00D14E2E" w:rsidRPr="00D14E2E" w:rsidRDefault="00D14E2E" w:rsidP="00D14E2E">
            <w:pPr>
              <w:spacing w:before="240" w:after="240"/>
              <w:jc w:val="center"/>
              <w:rPr>
                <w:rFonts w:eastAsia="Calibri"/>
                <w:sz w:val="20"/>
                <w:szCs w:val="20"/>
                <w:lang w:eastAsia="en-US"/>
              </w:rPr>
            </w:pPr>
            <w:r w:rsidRPr="00D14E2E">
              <w:rPr>
                <w:rFonts w:eastAsia="Calibri"/>
                <w:sz w:val="20"/>
                <w:szCs w:val="20"/>
                <w:lang w:eastAsia="en-US"/>
              </w:rPr>
              <w:t>Caída histórica de tasa de fecundidad</w:t>
            </w:r>
          </w:p>
        </w:tc>
      </w:tr>
      <w:tr w:rsidR="00D14E2E" w:rsidRPr="00D14E2E" w14:paraId="69BDFCB6" w14:textId="77777777" w:rsidTr="00512C3D">
        <w:trPr>
          <w:jc w:val="center"/>
        </w:trPr>
        <w:tc>
          <w:tcPr>
            <w:tcW w:w="5240" w:type="dxa"/>
            <w:tcBorders>
              <w:top w:val="single" w:sz="4" w:space="0" w:color="auto"/>
              <w:bottom w:val="single" w:sz="4" w:space="0" w:color="auto"/>
            </w:tcBorders>
          </w:tcPr>
          <w:p w14:paraId="4AE90DAA" w14:textId="77777777" w:rsidR="00D14E2E" w:rsidRPr="00D14E2E" w:rsidRDefault="00D14E2E" w:rsidP="00D14E2E">
            <w:pPr>
              <w:spacing w:before="240" w:after="240"/>
              <w:jc w:val="center"/>
              <w:rPr>
                <w:rFonts w:eastAsia="Calibri"/>
                <w:sz w:val="20"/>
                <w:szCs w:val="20"/>
                <w:lang w:eastAsia="en-US"/>
              </w:rPr>
            </w:pPr>
            <w:r w:rsidRPr="00D14E2E">
              <w:rPr>
                <w:rFonts w:eastAsia="Calibri"/>
                <w:noProof/>
                <w:sz w:val="20"/>
                <w:szCs w:val="20"/>
                <w:lang w:eastAsia="es-MX"/>
              </w:rPr>
              <mc:AlternateContent>
                <mc:Choice Requires="wps">
                  <w:drawing>
                    <wp:anchor distT="0" distB="0" distL="114300" distR="114300" simplePos="0" relativeHeight="251673600" behindDoc="0" locked="0" layoutInCell="1" allowOverlap="1" wp14:anchorId="6416F264" wp14:editId="5F5DD6CB">
                      <wp:simplePos x="0" y="0"/>
                      <wp:positionH relativeFrom="column">
                        <wp:posOffset>1519727</wp:posOffset>
                      </wp:positionH>
                      <wp:positionV relativeFrom="paragraph">
                        <wp:posOffset>94615</wp:posOffset>
                      </wp:positionV>
                      <wp:extent cx="247015" cy="222250"/>
                      <wp:effectExtent l="0" t="0" r="635" b="6350"/>
                      <wp:wrapNone/>
                      <wp:docPr id="1512" name="Más 1512"/>
                      <wp:cNvGraphicFramePr/>
                      <a:graphic xmlns:a="http://schemas.openxmlformats.org/drawingml/2006/main">
                        <a:graphicData uri="http://schemas.microsoft.com/office/word/2010/wordprocessingShape">
                          <wps:wsp>
                            <wps:cNvSpPr/>
                            <wps:spPr>
                              <a:xfrm>
                                <a:off x="0" y="0"/>
                                <a:ext cx="247015" cy="222250"/>
                              </a:xfrm>
                              <a:prstGeom prst="mathPlus">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F17291" id="Más 1512" o:spid="_x0000_s1026" style="position:absolute;margin-left:119.65pt;margin-top:7.45pt;width:19.45pt;height:17.5pt;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247015,222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" path="m32742,84988r64629,l97371,29459r52273,l149644,84988r64629,l214273,137262r-64629,l149644,192791r-52273,l97371,137262r-64629,l32742,84988xe" fillcolor="#5b9bd5" strokecolor="#41719c" strokeweight="1pt">
                      <v:stroke joinstyle="miter"/>
                      <v:path arrowok="t" o:connecttype="custom" o:connectlocs="32742,84988;97371,84988;97371,29459;149644,29459;149644,84988;214273,84988;214273,137262;149644,137262;149644,192791;97371,192791;97371,137262;32742,137262;32742,84988" o:connectangles="0,0,0,0,0,0,0,0,0,0,0,0,0"/>
                    </v:shape>
                  </w:pict>
                </mc:Fallback>
              </mc:AlternateContent>
            </w:r>
          </w:p>
        </w:tc>
      </w:tr>
      <w:tr w:rsidR="00D14E2E" w:rsidRPr="00D14E2E" w14:paraId="3C30B52F" w14:textId="77777777" w:rsidTr="00512C3D">
        <w:trPr>
          <w:jc w:val="center"/>
        </w:trPr>
        <w:tc>
          <w:tcPr>
            <w:tcW w:w="5240" w:type="dxa"/>
            <w:tcBorders>
              <w:top w:val="single" w:sz="4" w:space="0" w:color="auto"/>
              <w:left w:val="single" w:sz="4" w:space="0" w:color="auto"/>
              <w:bottom w:val="single" w:sz="4" w:space="0" w:color="auto"/>
              <w:right w:val="single" w:sz="4" w:space="0" w:color="auto"/>
            </w:tcBorders>
          </w:tcPr>
          <w:p w14:paraId="3894B6AC" w14:textId="77777777" w:rsidR="00D14E2E" w:rsidRPr="00D14E2E" w:rsidRDefault="00D14E2E" w:rsidP="00D14E2E">
            <w:pPr>
              <w:spacing w:before="240" w:after="240"/>
              <w:jc w:val="center"/>
              <w:rPr>
                <w:rFonts w:eastAsia="Calibri"/>
                <w:sz w:val="20"/>
                <w:szCs w:val="20"/>
                <w:lang w:eastAsia="en-US"/>
              </w:rPr>
            </w:pPr>
            <w:r w:rsidRPr="00D14E2E">
              <w:rPr>
                <w:rFonts w:eastAsia="Calibri"/>
                <w:sz w:val="20"/>
                <w:szCs w:val="20"/>
                <w:lang w:eastAsia="en-US"/>
              </w:rPr>
              <w:t>Envejecimiento poblacional</w:t>
            </w:r>
          </w:p>
        </w:tc>
      </w:tr>
      <w:tr w:rsidR="00D14E2E" w:rsidRPr="00D14E2E" w14:paraId="25FBCC62" w14:textId="77777777" w:rsidTr="00512C3D">
        <w:trPr>
          <w:jc w:val="center"/>
        </w:trPr>
        <w:tc>
          <w:tcPr>
            <w:tcW w:w="5240" w:type="dxa"/>
            <w:tcBorders>
              <w:top w:val="single" w:sz="4" w:space="0" w:color="auto"/>
            </w:tcBorders>
          </w:tcPr>
          <w:p w14:paraId="33A3979A" w14:textId="77777777" w:rsidR="00D14E2E" w:rsidRPr="00D14E2E" w:rsidRDefault="00D14E2E" w:rsidP="00D14E2E">
            <w:pPr>
              <w:jc w:val="center"/>
              <w:rPr>
                <w:rFonts w:eastAsia="Calibri"/>
                <w:sz w:val="20"/>
                <w:szCs w:val="20"/>
                <w:lang w:eastAsia="en-US"/>
              </w:rPr>
            </w:pPr>
          </w:p>
        </w:tc>
      </w:tr>
      <w:tr w:rsidR="00D14E2E" w:rsidRPr="00D14E2E" w14:paraId="73EC7270" w14:textId="77777777" w:rsidTr="00512C3D">
        <w:trPr>
          <w:jc w:val="center"/>
        </w:trPr>
        <w:tc>
          <w:tcPr>
            <w:tcW w:w="5240" w:type="dxa"/>
          </w:tcPr>
          <w:p w14:paraId="47DC927C"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FUENTE: Consar.</w:t>
            </w:r>
          </w:p>
        </w:tc>
      </w:tr>
    </w:tbl>
    <w:p w14:paraId="50EF3942" w14:textId="77777777" w:rsidR="00D14E2E" w:rsidRPr="00D14E2E" w:rsidRDefault="00D14E2E" w:rsidP="00D14E2E">
      <w:pPr>
        <w:spacing w:after="360" w:line="360" w:lineRule="auto"/>
        <w:ind w:right="-159"/>
        <w:jc w:val="both"/>
        <w:rPr>
          <w:rFonts w:eastAsia="Calibri"/>
          <w:sz w:val="26"/>
          <w:szCs w:val="26"/>
          <w:lang w:eastAsia="en-US"/>
        </w:rPr>
      </w:pPr>
    </w:p>
    <w:p w14:paraId="04747B83"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Reforma al Sistema de Pensiones en México</w:t>
      </w:r>
    </w:p>
    <w:p w14:paraId="03B2FE9A" w14:textId="77777777"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 xml:space="preserve">El aumento en la esperanza de vida y la disminución en el número de trabajadores por pensionado, entre otros factores, hizo financieramente insostenibles a los sistemas de reparto (Instituto Mexicano del Seguro Social, IMSS; Instituto de Seguridad y Servicios Sociales de los Trabajadores del Estado, ISSSTE, entre otros). </w:t>
      </w:r>
    </w:p>
    <w:p w14:paraId="04DDFB4B"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FUTURO.pptx!295"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2E061C3D" wp14:editId="3B76189E">
            <wp:extent cx="4639945" cy="2026285"/>
            <wp:effectExtent l="0" t="0" r="8255" b="0"/>
            <wp:docPr id="1519" name="Imagen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349" cstate="print">
                      <a:extLst>
                        <a:ext uri="{28A0092B-C50C-407E-A947-70E740481C1C}">
                          <a14:useLocalDpi xmlns:a14="http://schemas.microsoft.com/office/drawing/2010/main" val="0"/>
                        </a:ext>
                      </a:extLst>
                    </a:blip>
                    <a:srcRect l="12050" t="15277" r="11737" b="25555"/>
                    <a:stretch>
                      <a:fillRect/>
                    </a:stretch>
                  </pic:blipFill>
                  <pic:spPr bwMode="auto">
                    <a:xfrm>
                      <a:off x="0" y="0"/>
                      <a:ext cx="4639945" cy="202628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52FE1934" w14:textId="73CBB364"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lastRenderedPageBreak/>
        <w:t>Ante esta situación se hizo indispensable modificar de fondo el funcionamiento del sistema de pensiones.</w:t>
      </w:r>
    </w:p>
    <w:p w14:paraId="7919B921"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Beneficios del actual Sistema de Pensiones</w:t>
      </w:r>
    </w:p>
    <w:tbl>
      <w:tblPr>
        <w:tblW w:w="0" w:type="auto"/>
        <w:tblLook w:val="04A0" w:firstRow="1" w:lastRow="0" w:firstColumn="1" w:lastColumn="0" w:noHBand="0" w:noVBand="1"/>
      </w:tblPr>
      <w:tblGrid>
        <w:gridCol w:w="3114"/>
        <w:gridCol w:w="1276"/>
        <w:gridCol w:w="4438"/>
      </w:tblGrid>
      <w:tr w:rsidR="00D14E2E" w:rsidRPr="00D14E2E" w14:paraId="1C782611" w14:textId="77777777" w:rsidTr="004727D3">
        <w:tc>
          <w:tcPr>
            <w:tcW w:w="3114" w:type="dxa"/>
            <w:tcBorders>
              <w:top w:val="single" w:sz="4" w:space="0" w:color="auto"/>
              <w:left w:val="single" w:sz="4" w:space="0" w:color="auto"/>
              <w:bottom w:val="single" w:sz="4" w:space="0" w:color="auto"/>
              <w:right w:val="single" w:sz="4" w:space="0" w:color="auto"/>
            </w:tcBorders>
            <w:vAlign w:val="center"/>
          </w:tcPr>
          <w:p w14:paraId="6AE00DA3"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Derechos de propiedad</w:t>
            </w:r>
          </w:p>
        </w:tc>
        <w:tc>
          <w:tcPr>
            <w:tcW w:w="1276" w:type="dxa"/>
            <w:tcBorders>
              <w:top w:val="single" w:sz="4" w:space="0" w:color="auto"/>
              <w:left w:val="single" w:sz="4" w:space="0" w:color="auto"/>
              <w:bottom w:val="single" w:sz="4" w:space="0" w:color="auto"/>
              <w:right w:val="single" w:sz="4" w:space="0" w:color="auto"/>
            </w:tcBorders>
          </w:tcPr>
          <w:p w14:paraId="307820B9" w14:textId="77777777" w:rsidR="00D14E2E" w:rsidRPr="00D14E2E" w:rsidRDefault="00D14E2E" w:rsidP="00D14E2E">
            <w:pPr>
              <w:spacing w:before="120" w:after="120"/>
              <w:jc w:val="center"/>
              <w:rPr>
                <w:rFonts w:eastAsia="Calibri"/>
                <w:sz w:val="20"/>
                <w:szCs w:val="20"/>
                <w:lang w:eastAsia="en-US"/>
              </w:rPr>
            </w:pPr>
            <w:r w:rsidRPr="00D14E2E">
              <w:rPr>
                <w:rFonts w:eastAsia="Calibri"/>
                <w:noProof/>
                <w:sz w:val="20"/>
                <w:szCs w:val="20"/>
                <w:lang w:eastAsia="es-MX"/>
              </w:rPr>
              <mc:AlternateContent>
                <mc:Choice Requires="wps">
                  <w:drawing>
                    <wp:anchor distT="0" distB="0" distL="114300" distR="114300" simplePos="0" relativeHeight="251674624" behindDoc="0" locked="0" layoutInCell="1" allowOverlap="1" wp14:anchorId="3C9B31AD" wp14:editId="28CD903E">
                      <wp:simplePos x="0" y="0"/>
                      <wp:positionH relativeFrom="column">
                        <wp:posOffset>218612</wp:posOffset>
                      </wp:positionH>
                      <wp:positionV relativeFrom="paragraph">
                        <wp:posOffset>95885</wp:posOffset>
                      </wp:positionV>
                      <wp:extent cx="308919" cy="271849"/>
                      <wp:effectExtent l="0" t="19050" r="34290" b="33020"/>
                      <wp:wrapNone/>
                      <wp:docPr id="1513" name="Flecha derecha 1513"/>
                      <wp:cNvGraphicFramePr/>
                      <a:graphic xmlns:a="http://schemas.openxmlformats.org/drawingml/2006/main">
                        <a:graphicData uri="http://schemas.microsoft.com/office/word/2010/wordprocessingShape">
                          <wps:wsp>
                            <wps:cNvSpPr/>
                            <wps:spPr>
                              <a:xfrm>
                                <a:off x="0" y="0"/>
                                <a:ext cx="308919" cy="271849"/>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2FAE49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1513" o:spid="_x0000_s1026" type="#_x0000_t13" style="position:absolute;margin-left:17.2pt;margin-top:7.55pt;width:24.3pt;height:21.4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" adj="12096" fillcolor="#5b9bd5" strokecolor="#41719c" strokeweight="1pt"/>
                  </w:pict>
                </mc:Fallback>
              </mc:AlternateContent>
            </w:r>
          </w:p>
        </w:tc>
        <w:tc>
          <w:tcPr>
            <w:tcW w:w="4438" w:type="dxa"/>
            <w:tcBorders>
              <w:top w:val="single" w:sz="4" w:space="0" w:color="auto"/>
              <w:left w:val="single" w:sz="4" w:space="0" w:color="auto"/>
              <w:bottom w:val="single" w:sz="4" w:space="0" w:color="auto"/>
              <w:right w:val="single" w:sz="4" w:space="0" w:color="auto"/>
            </w:tcBorders>
          </w:tcPr>
          <w:p w14:paraId="0B8C3273" w14:textId="77777777" w:rsidR="00D14E2E" w:rsidRPr="00D14E2E" w:rsidRDefault="00D14E2E" w:rsidP="00D14E2E">
            <w:pPr>
              <w:spacing w:before="120" w:after="120"/>
              <w:jc w:val="both"/>
              <w:rPr>
                <w:rFonts w:eastAsia="Calibri"/>
                <w:sz w:val="20"/>
                <w:szCs w:val="20"/>
                <w:lang w:eastAsia="en-US"/>
              </w:rPr>
            </w:pPr>
            <w:r w:rsidRPr="00D14E2E">
              <w:rPr>
                <w:rFonts w:eastAsia="Calibri"/>
                <w:sz w:val="20"/>
                <w:szCs w:val="20"/>
                <w:lang w:eastAsia="en-US"/>
              </w:rPr>
              <w:t>El trabajador siempre recibe el beneficio de su ahorro y sus recursos son heredables.</w:t>
            </w:r>
          </w:p>
        </w:tc>
      </w:tr>
      <w:tr w:rsidR="00D14E2E" w:rsidRPr="00D14E2E" w14:paraId="7293C32E" w14:textId="77777777" w:rsidTr="004727D3">
        <w:tc>
          <w:tcPr>
            <w:tcW w:w="3114" w:type="dxa"/>
            <w:tcBorders>
              <w:top w:val="single" w:sz="4" w:space="0" w:color="auto"/>
              <w:left w:val="single" w:sz="4" w:space="0" w:color="auto"/>
              <w:bottom w:val="single" w:sz="4" w:space="0" w:color="auto"/>
              <w:right w:val="single" w:sz="4" w:space="0" w:color="auto"/>
            </w:tcBorders>
            <w:vAlign w:val="center"/>
          </w:tcPr>
          <w:p w14:paraId="48592E2C"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 xml:space="preserve">Democratización del </w:t>
            </w:r>
          </w:p>
          <w:p w14:paraId="204D1937"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sistema financiero</w:t>
            </w:r>
          </w:p>
        </w:tc>
        <w:tc>
          <w:tcPr>
            <w:tcW w:w="1276" w:type="dxa"/>
            <w:tcBorders>
              <w:top w:val="single" w:sz="4" w:space="0" w:color="auto"/>
              <w:left w:val="single" w:sz="4" w:space="0" w:color="auto"/>
              <w:bottom w:val="single" w:sz="4" w:space="0" w:color="auto"/>
              <w:right w:val="single" w:sz="4" w:space="0" w:color="auto"/>
            </w:tcBorders>
          </w:tcPr>
          <w:p w14:paraId="48CD148B" w14:textId="77777777" w:rsidR="00D14E2E" w:rsidRPr="00D14E2E" w:rsidRDefault="00D14E2E" w:rsidP="00D14E2E">
            <w:pPr>
              <w:spacing w:before="120" w:after="120"/>
              <w:jc w:val="center"/>
              <w:rPr>
                <w:rFonts w:eastAsia="Calibri"/>
                <w:sz w:val="20"/>
                <w:szCs w:val="20"/>
                <w:lang w:eastAsia="en-US"/>
              </w:rPr>
            </w:pPr>
            <w:r w:rsidRPr="00D14E2E">
              <w:rPr>
                <w:rFonts w:eastAsia="Calibri"/>
                <w:noProof/>
                <w:sz w:val="20"/>
                <w:szCs w:val="20"/>
                <w:lang w:eastAsia="es-MX"/>
              </w:rPr>
              <mc:AlternateContent>
                <mc:Choice Requires="wps">
                  <w:drawing>
                    <wp:anchor distT="0" distB="0" distL="114300" distR="114300" simplePos="0" relativeHeight="251675648" behindDoc="0" locked="0" layoutInCell="1" allowOverlap="1" wp14:anchorId="71235E8E" wp14:editId="74EF6B17">
                      <wp:simplePos x="0" y="0"/>
                      <wp:positionH relativeFrom="column">
                        <wp:posOffset>212262</wp:posOffset>
                      </wp:positionH>
                      <wp:positionV relativeFrom="paragraph">
                        <wp:posOffset>181610</wp:posOffset>
                      </wp:positionV>
                      <wp:extent cx="308610" cy="271780"/>
                      <wp:effectExtent l="0" t="19050" r="34290" b="33020"/>
                      <wp:wrapNone/>
                      <wp:docPr id="1514" name="Flecha derecha 1514"/>
                      <wp:cNvGraphicFramePr/>
                      <a:graphic xmlns:a="http://schemas.openxmlformats.org/drawingml/2006/main">
                        <a:graphicData uri="http://schemas.microsoft.com/office/word/2010/wordprocessingShape">
                          <wps:wsp>
                            <wps:cNvSpPr/>
                            <wps:spPr>
                              <a:xfrm>
                                <a:off x="0" y="0"/>
                                <a:ext cx="308610" cy="27178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7A1F3B" id="Flecha derecha 1514" o:spid="_x0000_s1026" type="#_x0000_t13" style="position:absolute;margin-left:16.7pt;margin-top:14.3pt;width:24.3pt;height:21.4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" adj="12089" fillcolor="#5b9bd5" strokecolor="#41719c" strokeweight="1pt"/>
                  </w:pict>
                </mc:Fallback>
              </mc:AlternateContent>
            </w:r>
          </w:p>
        </w:tc>
        <w:tc>
          <w:tcPr>
            <w:tcW w:w="4438" w:type="dxa"/>
            <w:tcBorders>
              <w:top w:val="single" w:sz="4" w:space="0" w:color="auto"/>
              <w:left w:val="single" w:sz="4" w:space="0" w:color="auto"/>
              <w:bottom w:val="single" w:sz="4" w:space="0" w:color="auto"/>
              <w:right w:val="single" w:sz="4" w:space="0" w:color="auto"/>
            </w:tcBorders>
          </w:tcPr>
          <w:p w14:paraId="7E99EFDC" w14:textId="77777777" w:rsidR="00D14E2E" w:rsidRPr="00D14E2E" w:rsidRDefault="00D14E2E" w:rsidP="00D14E2E">
            <w:pPr>
              <w:spacing w:before="120" w:after="120"/>
              <w:jc w:val="both"/>
              <w:rPr>
                <w:rFonts w:eastAsia="Calibri"/>
                <w:sz w:val="20"/>
                <w:szCs w:val="20"/>
                <w:lang w:eastAsia="en-US"/>
              </w:rPr>
            </w:pPr>
            <w:r w:rsidRPr="00D14E2E">
              <w:rPr>
                <w:rFonts w:eastAsia="Calibri"/>
                <w:sz w:val="20"/>
                <w:szCs w:val="20"/>
                <w:lang w:eastAsia="en-US"/>
              </w:rPr>
              <w:t>Acerca el sistema financiero a trabajadores que de otra forma no participarían en él. Rendimientos competitivos.</w:t>
            </w:r>
          </w:p>
        </w:tc>
      </w:tr>
      <w:tr w:rsidR="00D14E2E" w:rsidRPr="00D14E2E" w14:paraId="48B090CD" w14:textId="77777777" w:rsidTr="004727D3">
        <w:tc>
          <w:tcPr>
            <w:tcW w:w="3114" w:type="dxa"/>
            <w:tcBorders>
              <w:top w:val="single" w:sz="4" w:space="0" w:color="auto"/>
              <w:left w:val="single" w:sz="4" w:space="0" w:color="auto"/>
              <w:bottom w:val="single" w:sz="4" w:space="0" w:color="auto"/>
              <w:right w:val="single" w:sz="4" w:space="0" w:color="auto"/>
            </w:tcBorders>
            <w:vAlign w:val="center"/>
          </w:tcPr>
          <w:p w14:paraId="29B3AA15"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Financiamiento para el desarrollo</w:t>
            </w:r>
          </w:p>
        </w:tc>
        <w:tc>
          <w:tcPr>
            <w:tcW w:w="1276" w:type="dxa"/>
            <w:tcBorders>
              <w:top w:val="single" w:sz="4" w:space="0" w:color="auto"/>
              <w:left w:val="single" w:sz="4" w:space="0" w:color="auto"/>
              <w:bottom w:val="single" w:sz="4" w:space="0" w:color="auto"/>
              <w:right w:val="single" w:sz="4" w:space="0" w:color="auto"/>
            </w:tcBorders>
          </w:tcPr>
          <w:p w14:paraId="6C90B088" w14:textId="77777777" w:rsidR="00D14E2E" w:rsidRPr="00D14E2E" w:rsidRDefault="00D14E2E" w:rsidP="00D14E2E">
            <w:pPr>
              <w:spacing w:before="120" w:after="120"/>
              <w:jc w:val="center"/>
              <w:rPr>
                <w:rFonts w:eastAsia="Calibri"/>
                <w:sz w:val="20"/>
                <w:szCs w:val="20"/>
                <w:lang w:eastAsia="en-US"/>
              </w:rPr>
            </w:pPr>
            <w:r w:rsidRPr="00D14E2E">
              <w:rPr>
                <w:rFonts w:eastAsia="Calibri"/>
                <w:noProof/>
                <w:sz w:val="20"/>
                <w:szCs w:val="20"/>
                <w:lang w:eastAsia="es-MX"/>
              </w:rPr>
              <w:drawing>
                <wp:inline distT="0" distB="0" distL="0" distR="0" wp14:anchorId="1FEC34CA" wp14:editId="43B1DE5B">
                  <wp:extent cx="328930" cy="304800"/>
                  <wp:effectExtent l="0" t="0" r="0" b="0"/>
                  <wp:docPr id="1520" name="Imagen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28930" cy="304800"/>
                          </a:xfrm>
                          <a:prstGeom prst="rect">
                            <a:avLst/>
                          </a:prstGeom>
                          <a:noFill/>
                        </pic:spPr>
                      </pic:pic>
                    </a:graphicData>
                  </a:graphic>
                </wp:inline>
              </w:drawing>
            </w:r>
          </w:p>
        </w:tc>
        <w:tc>
          <w:tcPr>
            <w:tcW w:w="4438" w:type="dxa"/>
            <w:tcBorders>
              <w:top w:val="single" w:sz="4" w:space="0" w:color="auto"/>
              <w:left w:val="single" w:sz="4" w:space="0" w:color="auto"/>
              <w:bottom w:val="single" w:sz="4" w:space="0" w:color="auto"/>
              <w:right w:val="single" w:sz="4" w:space="0" w:color="auto"/>
            </w:tcBorders>
          </w:tcPr>
          <w:p w14:paraId="05D1477F" w14:textId="77777777" w:rsidR="00D14E2E" w:rsidRPr="00D14E2E" w:rsidRDefault="00D14E2E" w:rsidP="00D14E2E">
            <w:pPr>
              <w:spacing w:before="120" w:after="120"/>
              <w:jc w:val="both"/>
              <w:rPr>
                <w:rFonts w:eastAsia="Calibri"/>
                <w:sz w:val="20"/>
                <w:szCs w:val="20"/>
                <w:lang w:eastAsia="en-US"/>
              </w:rPr>
            </w:pPr>
            <w:r w:rsidRPr="00D14E2E">
              <w:rPr>
                <w:rFonts w:eastAsia="Calibri"/>
                <w:sz w:val="20"/>
                <w:szCs w:val="20"/>
                <w:lang w:eastAsia="en-US"/>
              </w:rPr>
              <w:t>El SAR financia empresa y proyectos mexicanos altamente productivos que generan empleo en el país.</w:t>
            </w:r>
          </w:p>
        </w:tc>
      </w:tr>
      <w:tr w:rsidR="00D14E2E" w:rsidRPr="00D14E2E" w14:paraId="5E2DCA0E" w14:textId="77777777" w:rsidTr="004727D3">
        <w:tc>
          <w:tcPr>
            <w:tcW w:w="3114" w:type="dxa"/>
            <w:tcBorders>
              <w:top w:val="single" w:sz="4" w:space="0" w:color="auto"/>
              <w:left w:val="single" w:sz="4" w:space="0" w:color="auto"/>
              <w:bottom w:val="single" w:sz="4" w:space="0" w:color="auto"/>
              <w:right w:val="single" w:sz="4" w:space="0" w:color="auto"/>
            </w:tcBorders>
            <w:vAlign w:val="center"/>
          </w:tcPr>
          <w:p w14:paraId="38AFF51F"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Libertad de elección</w:t>
            </w:r>
          </w:p>
        </w:tc>
        <w:tc>
          <w:tcPr>
            <w:tcW w:w="1276" w:type="dxa"/>
            <w:tcBorders>
              <w:top w:val="single" w:sz="4" w:space="0" w:color="auto"/>
              <w:left w:val="single" w:sz="4" w:space="0" w:color="auto"/>
              <w:bottom w:val="single" w:sz="4" w:space="0" w:color="auto"/>
              <w:right w:val="single" w:sz="4" w:space="0" w:color="auto"/>
            </w:tcBorders>
          </w:tcPr>
          <w:p w14:paraId="515B6846" w14:textId="77777777" w:rsidR="00D14E2E" w:rsidRPr="00D14E2E" w:rsidRDefault="00D14E2E" w:rsidP="00D14E2E">
            <w:pPr>
              <w:spacing w:before="120" w:after="120"/>
              <w:jc w:val="center"/>
              <w:rPr>
                <w:rFonts w:eastAsia="Calibri"/>
                <w:sz w:val="20"/>
                <w:szCs w:val="20"/>
                <w:lang w:eastAsia="en-US"/>
              </w:rPr>
            </w:pPr>
            <w:r w:rsidRPr="00D14E2E">
              <w:rPr>
                <w:rFonts w:eastAsia="Calibri"/>
                <w:noProof/>
                <w:sz w:val="20"/>
                <w:szCs w:val="20"/>
                <w:lang w:eastAsia="es-MX"/>
              </w:rPr>
              <w:drawing>
                <wp:inline distT="0" distB="0" distL="0" distR="0" wp14:anchorId="19AC3303" wp14:editId="7E2DA76B">
                  <wp:extent cx="328930" cy="304800"/>
                  <wp:effectExtent l="0" t="0" r="0" b="0"/>
                  <wp:docPr id="1521" name="Imagen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28930" cy="304800"/>
                          </a:xfrm>
                          <a:prstGeom prst="rect">
                            <a:avLst/>
                          </a:prstGeom>
                          <a:noFill/>
                        </pic:spPr>
                      </pic:pic>
                    </a:graphicData>
                  </a:graphic>
                </wp:inline>
              </w:drawing>
            </w:r>
          </w:p>
        </w:tc>
        <w:tc>
          <w:tcPr>
            <w:tcW w:w="4438" w:type="dxa"/>
            <w:tcBorders>
              <w:top w:val="single" w:sz="4" w:space="0" w:color="auto"/>
              <w:left w:val="single" w:sz="4" w:space="0" w:color="auto"/>
              <w:bottom w:val="single" w:sz="4" w:space="0" w:color="auto"/>
              <w:right w:val="single" w:sz="4" w:space="0" w:color="auto"/>
            </w:tcBorders>
          </w:tcPr>
          <w:p w14:paraId="3ABC203E" w14:textId="77777777" w:rsidR="00D14E2E" w:rsidRPr="00D14E2E" w:rsidRDefault="00D14E2E" w:rsidP="00D14E2E">
            <w:pPr>
              <w:spacing w:before="120" w:after="120"/>
              <w:jc w:val="both"/>
              <w:rPr>
                <w:rFonts w:eastAsia="Calibri"/>
                <w:sz w:val="20"/>
                <w:szCs w:val="20"/>
                <w:lang w:eastAsia="en-US"/>
              </w:rPr>
            </w:pPr>
            <w:r w:rsidRPr="00D14E2E">
              <w:rPr>
                <w:rFonts w:eastAsia="Calibri"/>
                <w:sz w:val="20"/>
                <w:szCs w:val="20"/>
                <w:lang w:eastAsia="en-US"/>
              </w:rPr>
              <w:t>El trabajador puede elegir entre 11 Administradoras de Fondos para el Retiro (Afores) y cambiarse por lo menos una vez al año.</w:t>
            </w:r>
          </w:p>
        </w:tc>
      </w:tr>
      <w:tr w:rsidR="00D14E2E" w:rsidRPr="00D14E2E" w14:paraId="5792F9AB" w14:textId="77777777" w:rsidTr="00512C3D">
        <w:tc>
          <w:tcPr>
            <w:tcW w:w="3114" w:type="dxa"/>
            <w:tcBorders>
              <w:left w:val="nil"/>
              <w:bottom w:val="nil"/>
              <w:right w:val="nil"/>
            </w:tcBorders>
          </w:tcPr>
          <w:p w14:paraId="1DAD6BA1" w14:textId="77777777" w:rsidR="00D14E2E" w:rsidRPr="00D14E2E" w:rsidRDefault="00D14E2E" w:rsidP="00D14E2E">
            <w:pPr>
              <w:jc w:val="both"/>
              <w:rPr>
                <w:rFonts w:eastAsia="Calibri"/>
                <w:sz w:val="20"/>
                <w:szCs w:val="20"/>
                <w:lang w:eastAsia="en-US"/>
              </w:rPr>
            </w:pPr>
            <w:r w:rsidRPr="00D14E2E">
              <w:rPr>
                <w:rFonts w:eastAsia="Calibri"/>
                <w:sz w:val="20"/>
                <w:szCs w:val="20"/>
                <w:lang w:eastAsia="en-US"/>
              </w:rPr>
              <w:t>FUENTE: Consar.</w:t>
            </w:r>
          </w:p>
        </w:tc>
        <w:tc>
          <w:tcPr>
            <w:tcW w:w="1276" w:type="dxa"/>
            <w:tcBorders>
              <w:left w:val="nil"/>
              <w:bottom w:val="nil"/>
              <w:right w:val="nil"/>
            </w:tcBorders>
          </w:tcPr>
          <w:p w14:paraId="2106D296" w14:textId="77777777" w:rsidR="00D14E2E" w:rsidRPr="00D14E2E" w:rsidRDefault="00D14E2E" w:rsidP="00D14E2E">
            <w:pPr>
              <w:jc w:val="center"/>
              <w:rPr>
                <w:rFonts w:eastAsia="Calibri"/>
                <w:sz w:val="20"/>
                <w:szCs w:val="20"/>
                <w:lang w:eastAsia="en-US"/>
              </w:rPr>
            </w:pPr>
          </w:p>
        </w:tc>
        <w:tc>
          <w:tcPr>
            <w:tcW w:w="4438" w:type="dxa"/>
            <w:tcBorders>
              <w:left w:val="nil"/>
              <w:bottom w:val="nil"/>
              <w:right w:val="nil"/>
            </w:tcBorders>
          </w:tcPr>
          <w:p w14:paraId="1DC988D4" w14:textId="77777777" w:rsidR="00D14E2E" w:rsidRPr="00D14E2E" w:rsidRDefault="00D14E2E" w:rsidP="00D14E2E">
            <w:pPr>
              <w:jc w:val="both"/>
              <w:rPr>
                <w:rFonts w:eastAsia="Calibri"/>
                <w:sz w:val="20"/>
                <w:szCs w:val="20"/>
                <w:lang w:eastAsia="en-US"/>
              </w:rPr>
            </w:pPr>
          </w:p>
        </w:tc>
      </w:tr>
    </w:tbl>
    <w:p w14:paraId="3C80E7FE" w14:textId="77777777" w:rsidR="00D14E2E" w:rsidRPr="00D14E2E" w:rsidRDefault="00D14E2E" w:rsidP="00D14E2E">
      <w:pPr>
        <w:spacing w:after="360" w:line="360" w:lineRule="auto"/>
        <w:ind w:right="-159"/>
        <w:jc w:val="both"/>
        <w:rPr>
          <w:rFonts w:eastAsia="Calibri"/>
          <w:sz w:val="26"/>
          <w:szCs w:val="26"/>
          <w:lang w:eastAsia="en-US"/>
        </w:rPr>
      </w:pPr>
    </w:p>
    <w:p w14:paraId="3850D111"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Cuentas individuales en el SAR</w:t>
      </w:r>
    </w:p>
    <w:p w14:paraId="0F715232" w14:textId="77777777"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El SAR es un sistema operativamente robusto con más de 52 millones de cuentas.</w:t>
      </w:r>
    </w:p>
    <w:p w14:paraId="096AF38D"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lastRenderedPageBreak/>
        <w:fldChar w:fldCharType="begin"/>
      </w:r>
      <w:r w:rsidRPr="00D14E2E">
        <w:rPr>
          <w:rFonts w:ascii="Calibri" w:eastAsia="Calibri" w:hAnsi="Calibri"/>
          <w:sz w:val="22"/>
          <w:szCs w:val="22"/>
          <w:lang w:eastAsia="en-US"/>
        </w:rPr>
        <w:instrText xml:space="preserve"> LINK PowerPoint.Slide.8 "D:\\2015\\GRÁFICAS DE LA CONSAR\\37.- MI AHORRO PARA EL FUTURO.pptx!296"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387CAFF4" wp14:editId="2276F5B0">
            <wp:extent cx="4225925" cy="3268345"/>
            <wp:effectExtent l="0" t="0" r="3175" b="8255"/>
            <wp:docPr id="1522" name="Imagen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351" cstate="print">
                      <a:extLst>
                        <a:ext uri="{28A0092B-C50C-407E-A947-70E740481C1C}">
                          <a14:useLocalDpi xmlns:a14="http://schemas.microsoft.com/office/drawing/2010/main" val="0"/>
                        </a:ext>
                      </a:extLst>
                    </a:blip>
                    <a:srcRect l="15337" r="15179" b="4723"/>
                    <a:stretch>
                      <a:fillRect/>
                    </a:stretch>
                  </pic:blipFill>
                  <pic:spPr bwMode="auto">
                    <a:xfrm>
                      <a:off x="0" y="0"/>
                      <a:ext cx="4225925" cy="326834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670E2237"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Activos Administrados</w:t>
      </w:r>
    </w:p>
    <w:p w14:paraId="24438873"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FUTURO.pptx!297"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48BC36CE" wp14:editId="778F5CD1">
            <wp:extent cx="5133975" cy="3305175"/>
            <wp:effectExtent l="0" t="0" r="9525" b="9525"/>
            <wp:docPr id="1523" name="Imagen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352" cstate="print">
                      <a:extLst>
                        <a:ext uri="{28A0092B-C50C-407E-A947-70E740481C1C}">
                          <a14:useLocalDpi xmlns:a14="http://schemas.microsoft.com/office/drawing/2010/main" val="0"/>
                        </a:ext>
                      </a:extLst>
                    </a:blip>
                    <a:srcRect l="5791" r="9859" b="3612"/>
                    <a:stretch>
                      <a:fillRect/>
                    </a:stretch>
                  </pic:blipFill>
                  <pic:spPr bwMode="auto">
                    <a:xfrm>
                      <a:off x="0" y="0"/>
                      <a:ext cx="5133975" cy="330517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4DD66FE7" w14:textId="77777777" w:rsidR="00D14E2E" w:rsidRPr="00D14E2E" w:rsidRDefault="00D14E2E" w:rsidP="00D14E2E">
      <w:pPr>
        <w:spacing w:after="360" w:line="360" w:lineRule="auto"/>
        <w:ind w:right="-159"/>
        <w:jc w:val="both"/>
        <w:rPr>
          <w:rFonts w:eastAsia="Calibri"/>
          <w:b/>
          <w:sz w:val="26"/>
          <w:szCs w:val="26"/>
          <w:lang w:eastAsia="en-US"/>
        </w:rPr>
      </w:pPr>
    </w:p>
    <w:p w14:paraId="368FDFBD"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La inversión del ahorro pensionario está cada vez más diversificada</w:t>
      </w:r>
    </w:p>
    <w:p w14:paraId="488721F0" w14:textId="77777777"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Aún dentro de la inversión en instrumentos gubernamentales se observa una fuerte diversificación.</w:t>
      </w:r>
    </w:p>
    <w:tbl>
      <w:tblPr>
        <w:tblW w:w="0" w:type="auto"/>
        <w:tblLook w:val="04A0" w:firstRow="1" w:lastRow="0" w:firstColumn="1" w:lastColumn="0" w:noHBand="0" w:noVBand="1"/>
      </w:tblPr>
      <w:tblGrid>
        <w:gridCol w:w="8828"/>
      </w:tblGrid>
      <w:tr w:rsidR="00D14E2E" w:rsidRPr="00D14E2E" w14:paraId="3B16676A" w14:textId="77777777" w:rsidTr="00512C3D">
        <w:tc>
          <w:tcPr>
            <w:tcW w:w="8828" w:type="dxa"/>
          </w:tcPr>
          <w:p w14:paraId="032DCA95" w14:textId="77777777" w:rsidR="00D14E2E" w:rsidRPr="00D14E2E" w:rsidRDefault="00D14E2E" w:rsidP="00D14E2E">
            <w:pPr>
              <w:jc w:val="center"/>
              <w:rPr>
                <w:rFonts w:ascii="Calibri" w:eastAsia="Calibri" w:hAnsi="Calibri"/>
                <w:sz w:val="22"/>
                <w:szCs w:val="22"/>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FUTURO.pptx!298"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51E8B1EA" wp14:editId="66FE3EBD">
                  <wp:extent cx="4812665" cy="2267585"/>
                  <wp:effectExtent l="0" t="0" r="6985" b="0"/>
                  <wp:docPr id="1524" name="Imagen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3"/>
                          <pic:cNvPicPr>
                            <a:picLocks noChangeAspect="1" noChangeArrowheads="1"/>
                          </pic:cNvPicPr>
                        </pic:nvPicPr>
                        <pic:blipFill>
                          <a:blip r:embed="rId353" cstate="print">
                            <a:extLst>
                              <a:ext uri="{28A0092B-C50C-407E-A947-70E740481C1C}">
                                <a14:useLocalDpi xmlns:a14="http://schemas.microsoft.com/office/drawing/2010/main" val="0"/>
                              </a:ext>
                            </a:extLst>
                          </a:blip>
                          <a:srcRect l="10486" t="6389" r="10484" b="27499"/>
                          <a:stretch>
                            <a:fillRect/>
                          </a:stretch>
                        </pic:blipFill>
                        <pic:spPr bwMode="auto">
                          <a:xfrm>
                            <a:off x="0" y="0"/>
                            <a:ext cx="4812665" cy="226758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0EC17A2B" w14:textId="77777777" w:rsidR="00D14E2E" w:rsidRPr="00D14E2E" w:rsidRDefault="00D14E2E" w:rsidP="00D14E2E">
            <w:pPr>
              <w:jc w:val="center"/>
              <w:rPr>
                <w:rFonts w:ascii="Calibri" w:eastAsia="Calibri" w:hAnsi="Calibri"/>
                <w:sz w:val="22"/>
                <w:szCs w:val="22"/>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FUTURO.pptx!299"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42B9C59B" wp14:editId="6BDEA931">
                  <wp:extent cx="4714240" cy="2273935"/>
                  <wp:effectExtent l="0" t="0" r="0" b="0"/>
                  <wp:docPr id="1525" name="Imagen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4"/>
                          <pic:cNvPicPr>
                            <a:picLocks noChangeAspect="1" noChangeArrowheads="1"/>
                          </pic:cNvPicPr>
                        </pic:nvPicPr>
                        <pic:blipFill>
                          <a:blip r:embed="rId354" cstate="print">
                            <a:extLst>
                              <a:ext uri="{28A0092B-C50C-407E-A947-70E740481C1C}">
                                <a14:useLocalDpi xmlns:a14="http://schemas.microsoft.com/office/drawing/2010/main" val="0"/>
                              </a:ext>
                            </a:extLst>
                          </a:blip>
                          <a:srcRect l="10172" r="12363" b="33611"/>
                          <a:stretch>
                            <a:fillRect/>
                          </a:stretch>
                        </pic:blipFill>
                        <pic:spPr bwMode="auto">
                          <a:xfrm>
                            <a:off x="0" y="0"/>
                            <a:ext cx="4714240" cy="227393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2F787467" w14:textId="77777777" w:rsidR="00D14E2E" w:rsidRPr="00D14E2E" w:rsidRDefault="00D14E2E" w:rsidP="00D14E2E">
            <w:pPr>
              <w:jc w:val="center"/>
              <w:rPr>
                <w:rFonts w:ascii="Calibri" w:eastAsia="Calibri" w:hAnsi="Calibri"/>
                <w:sz w:val="22"/>
                <w:szCs w:val="22"/>
                <w:lang w:eastAsia="en-US"/>
              </w:rPr>
            </w:pPr>
            <w:r w:rsidRPr="00D14E2E">
              <w:rPr>
                <w:rFonts w:ascii="Calibri" w:eastAsia="Calibri" w:hAnsi="Calibri"/>
                <w:sz w:val="22"/>
                <w:szCs w:val="22"/>
                <w:lang w:eastAsia="en-US"/>
              </w:rPr>
              <w:lastRenderedPageBreak/>
              <w:fldChar w:fldCharType="begin"/>
            </w:r>
            <w:r w:rsidRPr="00D14E2E">
              <w:rPr>
                <w:rFonts w:ascii="Calibri" w:eastAsia="Calibri" w:hAnsi="Calibri"/>
                <w:sz w:val="22"/>
                <w:szCs w:val="22"/>
                <w:lang w:eastAsia="en-US"/>
              </w:rPr>
              <w:instrText xml:space="preserve"> LINK PowerPoint.Slide.8 "D:\\2015\\GRÁFICAS DE LA CONSAR\\37.- MI AHORRO PARA EL FUTURO.pptx!300"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580DAD7E" wp14:editId="1FC59BCF">
                  <wp:extent cx="4862195" cy="2867025"/>
                  <wp:effectExtent l="0" t="0" r="0" b="9525"/>
                  <wp:docPr id="1526" name="Imagen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355" cstate="print">
                            <a:extLst>
                              <a:ext uri="{28A0092B-C50C-407E-A947-70E740481C1C}">
                                <a14:useLocalDpi xmlns:a14="http://schemas.microsoft.com/office/drawing/2010/main" val="0"/>
                              </a:ext>
                            </a:extLst>
                          </a:blip>
                          <a:srcRect l="10329" t="10278" r="9390" b="5556"/>
                          <a:stretch>
                            <a:fillRect/>
                          </a:stretch>
                        </pic:blipFill>
                        <pic:spPr bwMode="auto">
                          <a:xfrm>
                            <a:off x="0" y="0"/>
                            <a:ext cx="4862195" cy="286702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tc>
      </w:tr>
    </w:tbl>
    <w:p w14:paraId="658A18BC" w14:textId="77777777" w:rsidR="00D14E2E" w:rsidRPr="00D14E2E" w:rsidRDefault="00D14E2E" w:rsidP="00D14E2E">
      <w:pPr>
        <w:spacing w:after="160" w:line="259" w:lineRule="auto"/>
        <w:jc w:val="center"/>
        <w:rPr>
          <w:rFonts w:eastAsia="Calibri"/>
          <w:sz w:val="22"/>
          <w:szCs w:val="22"/>
          <w:lang w:eastAsia="en-US"/>
        </w:rPr>
      </w:pPr>
    </w:p>
    <w:tbl>
      <w:tblPr>
        <w:tblW w:w="0" w:type="auto"/>
        <w:jc w:val="center"/>
        <w:tblLook w:val="04A0" w:firstRow="1" w:lastRow="0" w:firstColumn="1" w:lastColumn="0" w:noHBand="0" w:noVBand="1"/>
      </w:tblPr>
      <w:tblGrid>
        <w:gridCol w:w="7508"/>
      </w:tblGrid>
      <w:tr w:rsidR="00D14E2E" w:rsidRPr="00D14E2E" w14:paraId="271E7E13" w14:textId="77777777" w:rsidTr="00512C3D">
        <w:trPr>
          <w:jc w:val="center"/>
        </w:trPr>
        <w:tc>
          <w:tcPr>
            <w:tcW w:w="7508" w:type="dxa"/>
          </w:tcPr>
          <w:p w14:paraId="7DE3CC38" w14:textId="77777777" w:rsidR="00D14E2E" w:rsidRPr="00D14E2E" w:rsidRDefault="00D14E2E" w:rsidP="00D14E2E">
            <w:pPr>
              <w:spacing w:before="120" w:after="120"/>
              <w:jc w:val="center"/>
              <w:rPr>
                <w:rFonts w:eastAsia="Calibri"/>
                <w:sz w:val="20"/>
                <w:szCs w:val="20"/>
                <w:lang w:eastAsia="en-US"/>
              </w:rPr>
            </w:pPr>
            <w:r w:rsidRPr="00D14E2E">
              <w:rPr>
                <w:rFonts w:eastAsia="Calibri"/>
                <w:sz w:val="20"/>
                <w:szCs w:val="20"/>
                <w:lang w:eastAsia="en-US"/>
              </w:rPr>
              <w:t>La fuerte diversificación de las carteras de las Siefores, incluyendo la inversión en Proyectos Productivos ha permitido obtener rendimientos atractivos.</w:t>
            </w:r>
          </w:p>
        </w:tc>
      </w:tr>
    </w:tbl>
    <w:p w14:paraId="57D770F3" w14:textId="77777777" w:rsidR="00D14E2E" w:rsidRPr="00D14E2E" w:rsidRDefault="00D14E2E" w:rsidP="00D14E2E">
      <w:pPr>
        <w:spacing w:after="360" w:line="360" w:lineRule="auto"/>
        <w:ind w:right="-159"/>
        <w:jc w:val="both"/>
        <w:rPr>
          <w:rFonts w:eastAsia="Calibri"/>
          <w:sz w:val="26"/>
          <w:szCs w:val="26"/>
          <w:lang w:eastAsia="en-US"/>
        </w:rPr>
      </w:pPr>
    </w:p>
    <w:p w14:paraId="7F14F024" w14:textId="77777777" w:rsidR="00D14E2E" w:rsidRPr="00D14E2E" w:rsidRDefault="00D14E2E" w:rsidP="00D14E2E">
      <w:pPr>
        <w:spacing w:after="360"/>
        <w:ind w:right="-159"/>
        <w:jc w:val="both"/>
        <w:rPr>
          <w:rFonts w:eastAsia="Calibri"/>
          <w:b/>
          <w:sz w:val="26"/>
          <w:szCs w:val="26"/>
          <w:lang w:eastAsia="en-US"/>
        </w:rPr>
      </w:pPr>
      <w:r w:rsidRPr="00D14E2E">
        <w:rPr>
          <w:rFonts w:eastAsia="Calibri"/>
          <w:b/>
          <w:sz w:val="26"/>
          <w:szCs w:val="26"/>
          <w:lang w:eastAsia="en-US"/>
        </w:rPr>
        <w:t>Los rendimientos competitivos han sido factor central para incrementar el saldo de las cuentas de los trabajadores</w:t>
      </w:r>
    </w:p>
    <w:p w14:paraId="614D9B6C" w14:textId="77777777"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Otorgamiento de rendimientos anuales de 12.56% nominal y 6.27% real durante los más de 15 años que lleva el sistema.</w:t>
      </w:r>
    </w:p>
    <w:p w14:paraId="7950724C" w14:textId="77777777" w:rsidR="00D14E2E" w:rsidRPr="00D14E2E" w:rsidRDefault="00D14E2E" w:rsidP="00D14E2E">
      <w:pPr>
        <w:spacing w:after="360" w:line="360" w:lineRule="auto"/>
        <w:ind w:right="-159"/>
        <w:jc w:val="both"/>
        <w:rPr>
          <w:rFonts w:eastAsia="Calibri"/>
          <w:sz w:val="26"/>
          <w:szCs w:val="26"/>
          <w:lang w:eastAsia="en-US"/>
        </w:rPr>
      </w:pPr>
    </w:p>
    <w:p w14:paraId="1E3DB550" w14:textId="77777777" w:rsidR="00D14E2E" w:rsidRPr="00D14E2E" w:rsidRDefault="00D14E2E" w:rsidP="00D14E2E">
      <w:pPr>
        <w:spacing w:after="360" w:line="360" w:lineRule="auto"/>
        <w:ind w:right="-159"/>
        <w:jc w:val="both"/>
        <w:rPr>
          <w:rFonts w:eastAsia="Calibri"/>
          <w:sz w:val="26"/>
          <w:szCs w:val="26"/>
          <w:lang w:eastAsia="en-US"/>
        </w:rPr>
      </w:pPr>
    </w:p>
    <w:p w14:paraId="40618086" w14:textId="7FB8D50C" w:rsidR="00D14E2E" w:rsidRPr="00D14E2E" w:rsidRDefault="00FF7B52" w:rsidP="00D14E2E">
      <w:pPr>
        <w:spacing w:after="360" w:line="360" w:lineRule="auto"/>
        <w:ind w:right="-159"/>
        <w:jc w:val="center"/>
        <w:rPr>
          <w:rFonts w:eastAsia="Calibri"/>
          <w:sz w:val="26"/>
          <w:szCs w:val="26"/>
          <w:lang w:eastAsia="en-US"/>
        </w:rPr>
      </w:pPr>
      <w:r w:rsidRPr="00FF7B52">
        <w:rPr>
          <w:rFonts w:eastAsia="Calibri"/>
          <w:sz w:val="32"/>
          <w:szCs w:val="32"/>
          <w:lang w:eastAsia="en-US"/>
        </w:rPr>
        <w:lastRenderedPageBreak/>
        <w:fldChar w:fldCharType="begin"/>
      </w:r>
      <w:r w:rsidRPr="00FF7B52">
        <w:rPr>
          <w:rFonts w:eastAsia="Calibri"/>
          <w:sz w:val="32"/>
          <w:szCs w:val="32"/>
          <w:lang w:eastAsia="en-US"/>
        </w:rPr>
        <w:instrText xml:space="preserve"> LINK PowerPoint.Slide.8 "D:\\2015\\ABRIL\\GRÁFICAS POWER POINT\\20.- MI AHORRO PARA EL FUTURO.pptx!302" "" \a \p </w:instrText>
      </w:r>
      <w:r w:rsidRPr="00FF7B52">
        <w:rPr>
          <w:rFonts w:eastAsia="Calibri"/>
          <w:sz w:val="32"/>
          <w:szCs w:val="32"/>
          <w:lang w:eastAsia="en-US"/>
        </w:rPr>
        <w:fldChar w:fldCharType="separate"/>
      </w:r>
      <w:r w:rsidRPr="00FF7B52">
        <w:rPr>
          <w:rFonts w:eastAsia="Calibri"/>
          <w:noProof/>
          <w:sz w:val="32"/>
          <w:szCs w:val="32"/>
          <w:lang w:eastAsia="es-MX"/>
        </w:rPr>
        <w:drawing>
          <wp:inline distT="0" distB="0" distL="0" distR="0" wp14:anchorId="0A09DD25" wp14:editId="0622CA55">
            <wp:extent cx="5282565" cy="3422650"/>
            <wp:effectExtent l="0" t="0" r="0" b="6350"/>
            <wp:docPr id="1784" name="Imagen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8"/>
                    <pic:cNvPicPr>
                      <a:picLocks noChangeAspect="1" noChangeArrowheads="1"/>
                    </pic:cNvPicPr>
                  </pic:nvPicPr>
                  <pic:blipFill>
                    <a:blip r:embed="rId356" cstate="print">
                      <a:extLst>
                        <a:ext uri="{28A0092B-C50C-407E-A947-70E740481C1C}">
                          <a14:useLocalDpi xmlns:a14="http://schemas.microsoft.com/office/drawing/2010/main" val="0"/>
                        </a:ext>
                      </a:extLst>
                    </a:blip>
                    <a:srcRect l="4260" r="8803"/>
                    <a:stretch>
                      <a:fillRect/>
                    </a:stretch>
                  </pic:blipFill>
                  <pic:spPr bwMode="auto">
                    <a:xfrm>
                      <a:off x="0" y="0"/>
                      <a:ext cx="5282565" cy="3422650"/>
                    </a:xfrm>
                    <a:prstGeom prst="rect">
                      <a:avLst/>
                    </a:prstGeom>
                    <a:noFill/>
                    <a:ln>
                      <a:noFill/>
                    </a:ln>
                  </pic:spPr>
                </pic:pic>
              </a:graphicData>
            </a:graphic>
          </wp:inline>
        </w:drawing>
      </w:r>
      <w:r w:rsidRPr="00FF7B52">
        <w:rPr>
          <w:rFonts w:eastAsia="Calibri"/>
          <w:sz w:val="32"/>
          <w:szCs w:val="32"/>
          <w:lang w:eastAsia="en-US"/>
        </w:rPr>
        <w:fldChar w:fldCharType="end"/>
      </w:r>
    </w:p>
    <w:p w14:paraId="778C72F0" w14:textId="77777777" w:rsidR="00D14E2E" w:rsidRPr="00D14E2E" w:rsidRDefault="00D14E2E" w:rsidP="00D14E2E">
      <w:pPr>
        <w:spacing w:after="360" w:line="360" w:lineRule="auto"/>
        <w:ind w:right="-159"/>
        <w:jc w:val="both"/>
        <w:rPr>
          <w:rFonts w:eastAsia="Calibri"/>
          <w:b/>
          <w:sz w:val="26"/>
          <w:szCs w:val="26"/>
          <w:lang w:eastAsia="en-US"/>
        </w:rPr>
      </w:pPr>
    </w:p>
    <w:p w14:paraId="62224E5B"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¡De qué vas a vivir cuando te retires?</w:t>
      </w:r>
    </w:p>
    <w:p w14:paraId="5924EBEC" w14:textId="75BE9639" w:rsidR="00D14E2E" w:rsidRPr="00D14E2E" w:rsidRDefault="00D14C0A" w:rsidP="00D14E2E">
      <w:pPr>
        <w:ind w:right="-159"/>
        <w:jc w:val="center"/>
        <w:rPr>
          <w:rFonts w:eastAsia="Calibri"/>
          <w:sz w:val="26"/>
          <w:szCs w:val="26"/>
          <w:lang w:eastAsia="en-US"/>
        </w:rPr>
      </w:pPr>
      <w:r w:rsidRPr="00D14C0A">
        <w:rPr>
          <w:rFonts w:eastAsia="Calibri"/>
          <w:sz w:val="32"/>
          <w:szCs w:val="32"/>
          <w:lang w:eastAsia="en-US"/>
        </w:rPr>
        <w:fldChar w:fldCharType="begin"/>
      </w:r>
      <w:r w:rsidRPr="00D14C0A">
        <w:rPr>
          <w:rFonts w:eastAsia="Calibri"/>
          <w:sz w:val="32"/>
          <w:szCs w:val="32"/>
          <w:lang w:eastAsia="en-US"/>
        </w:rPr>
        <w:instrText xml:space="preserve"> LINK PowerPoint.Slide.8 "D:\\2015\\ABRIL\\GRÁFICAS POWER POINT\\20.- MI AHORRO PARA EL FUTURO.pptx!303" "" \a \p </w:instrText>
      </w:r>
      <w:r w:rsidRPr="00D14C0A">
        <w:rPr>
          <w:rFonts w:eastAsia="Calibri"/>
          <w:sz w:val="32"/>
          <w:szCs w:val="32"/>
          <w:lang w:eastAsia="en-US"/>
        </w:rPr>
        <w:fldChar w:fldCharType="separate"/>
      </w:r>
      <w:r w:rsidRPr="00D14C0A">
        <w:rPr>
          <w:rFonts w:eastAsia="Calibri"/>
          <w:noProof/>
          <w:sz w:val="32"/>
          <w:szCs w:val="32"/>
          <w:lang w:eastAsia="es-MX"/>
        </w:rPr>
        <w:drawing>
          <wp:inline distT="0" distB="0" distL="0" distR="0" wp14:anchorId="37421428" wp14:editId="5CE79846">
            <wp:extent cx="5498465" cy="2872946"/>
            <wp:effectExtent l="0" t="0" r="6985" b="3810"/>
            <wp:docPr id="1785" name="Imagen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0"/>
                    <pic:cNvPicPr>
                      <a:picLocks noChangeAspect="1" noChangeArrowheads="1"/>
                    </pic:cNvPicPr>
                  </pic:nvPicPr>
                  <pic:blipFill rotWithShape="1">
                    <a:blip r:embed="rId357" cstate="print">
                      <a:extLst>
                        <a:ext uri="{28A0092B-C50C-407E-A947-70E740481C1C}">
                          <a14:useLocalDpi xmlns:a14="http://schemas.microsoft.com/office/drawing/2010/main" val="0"/>
                        </a:ext>
                      </a:extLst>
                    </a:blip>
                    <a:srcRect l="6390" r="3258" b="16192"/>
                    <a:stretch/>
                  </pic:blipFill>
                  <pic:spPr bwMode="auto">
                    <a:xfrm>
                      <a:off x="0" y="0"/>
                      <a:ext cx="5498465" cy="2872946"/>
                    </a:xfrm>
                    <a:prstGeom prst="rect">
                      <a:avLst/>
                    </a:prstGeom>
                    <a:noFill/>
                    <a:ln>
                      <a:noFill/>
                    </a:ln>
                    <a:extLst>
                      <a:ext uri="{53640926-AAD7-44D8-BBD7-CCE9431645EC}">
                        <a14:shadowObscured xmlns:a14="http://schemas.microsoft.com/office/drawing/2010/main"/>
                      </a:ext>
                    </a:extLst>
                  </pic:spPr>
                </pic:pic>
              </a:graphicData>
            </a:graphic>
          </wp:inline>
        </w:drawing>
      </w:r>
      <w:r w:rsidRPr="00D14C0A">
        <w:rPr>
          <w:rFonts w:eastAsia="Calibri"/>
          <w:sz w:val="32"/>
          <w:szCs w:val="32"/>
          <w:lang w:eastAsia="en-US"/>
        </w:rPr>
        <w:fldChar w:fldCharType="end"/>
      </w:r>
    </w:p>
    <w:p w14:paraId="787BA807" w14:textId="77777777" w:rsidR="00D14E2E" w:rsidRPr="00D14E2E" w:rsidRDefault="00D14E2E" w:rsidP="00D14E2E">
      <w:pPr>
        <w:ind w:left="397" w:right="284"/>
        <w:jc w:val="both"/>
        <w:rPr>
          <w:rFonts w:eastAsia="Calibri"/>
          <w:sz w:val="18"/>
          <w:szCs w:val="18"/>
          <w:lang w:eastAsia="en-US"/>
        </w:rPr>
      </w:pPr>
      <w:r w:rsidRPr="00D14E2E">
        <w:rPr>
          <w:rFonts w:eastAsia="Calibri"/>
          <w:sz w:val="18"/>
          <w:szCs w:val="18"/>
          <w:lang w:eastAsia="en-US"/>
        </w:rPr>
        <w:t>Estudio denominado “Conocimiento y percepción del sistema de ahorro para el retiro”. Encuesta Nacional 2013. CONSAR.</w:t>
      </w:r>
    </w:p>
    <w:p w14:paraId="3AEA18F1" w14:textId="77777777" w:rsidR="00D14E2E" w:rsidRPr="00D14E2E" w:rsidRDefault="00D14E2E" w:rsidP="00D14E2E">
      <w:pPr>
        <w:ind w:left="397" w:right="284"/>
        <w:jc w:val="both"/>
        <w:rPr>
          <w:rFonts w:eastAsia="Calibri"/>
          <w:sz w:val="18"/>
          <w:szCs w:val="18"/>
          <w:lang w:eastAsia="en-US"/>
        </w:rPr>
      </w:pPr>
      <w:r w:rsidRPr="00D14E2E">
        <w:rPr>
          <w:rFonts w:eastAsia="Calibri"/>
          <w:sz w:val="18"/>
          <w:szCs w:val="18"/>
          <w:lang w:eastAsia="en-US"/>
        </w:rPr>
        <w:t>FUENTE: CONSAR.</w:t>
      </w:r>
    </w:p>
    <w:p w14:paraId="3DDAE396"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Las ventajas de empezar temprano</w:t>
      </w:r>
    </w:p>
    <w:p w14:paraId="1159D094"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FUTURO.pptx!304"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54C23722" wp14:editId="39C9E480">
            <wp:extent cx="4689475" cy="3157220"/>
            <wp:effectExtent l="0" t="0" r="0" b="5080"/>
            <wp:docPr id="1529" name="Imagen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6"/>
                    <pic:cNvPicPr>
                      <a:picLocks noChangeAspect="1" noChangeArrowheads="1"/>
                    </pic:cNvPicPr>
                  </pic:nvPicPr>
                  <pic:blipFill>
                    <a:blip r:embed="rId358" cstate="print">
                      <a:extLst>
                        <a:ext uri="{28A0092B-C50C-407E-A947-70E740481C1C}">
                          <a14:useLocalDpi xmlns:a14="http://schemas.microsoft.com/office/drawing/2010/main" val="0"/>
                        </a:ext>
                      </a:extLst>
                    </a:blip>
                    <a:srcRect l="11424" r="11580" b="8055"/>
                    <a:stretch>
                      <a:fillRect/>
                    </a:stretch>
                  </pic:blipFill>
                  <pic:spPr bwMode="auto">
                    <a:xfrm>
                      <a:off x="0" y="0"/>
                      <a:ext cx="4689475" cy="315722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3DA38480"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III. ¿Cuánto debo ahorrar en mi Afore para mi futuro?</w:t>
      </w:r>
    </w:p>
    <w:p w14:paraId="451EE7F5"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¿Cuánto debo ahorrar en mi Afore para mi futuro?</w:t>
      </w:r>
    </w:p>
    <w:p w14:paraId="4DB58A74" w14:textId="77777777" w:rsidR="00D14E2E" w:rsidRPr="00D14E2E" w:rsidRDefault="00D14E2E" w:rsidP="00762467">
      <w:pPr>
        <w:numPr>
          <w:ilvl w:val="0"/>
          <w:numId w:val="70"/>
        </w:numPr>
        <w:spacing w:after="360" w:line="360" w:lineRule="auto"/>
        <w:ind w:left="714" w:right="-159" w:hanging="357"/>
        <w:jc w:val="both"/>
        <w:rPr>
          <w:rFonts w:eastAsia="Calibri"/>
          <w:sz w:val="26"/>
          <w:szCs w:val="26"/>
          <w:lang w:eastAsia="en-US"/>
        </w:rPr>
      </w:pPr>
      <w:r w:rsidRPr="00D14E2E">
        <w:rPr>
          <w:rFonts w:eastAsia="Calibri"/>
          <w:sz w:val="26"/>
          <w:szCs w:val="26"/>
          <w:lang w:eastAsia="en-US"/>
        </w:rPr>
        <w:t>La siguiente gráfica muestra el comparativo entre el número de veces del ingreso anual necesario para alcanzar una tasa de reemplazo de 65% con diferentes porcentajes de aportación obligatoria.</w:t>
      </w:r>
    </w:p>
    <w:p w14:paraId="488D65EC" w14:textId="77777777" w:rsidR="00D14E2E" w:rsidRPr="00D14E2E" w:rsidRDefault="00D14E2E" w:rsidP="00D14E2E">
      <w:pPr>
        <w:spacing w:after="360" w:line="360" w:lineRule="auto"/>
        <w:ind w:right="-159"/>
        <w:jc w:val="both"/>
        <w:rPr>
          <w:rFonts w:eastAsia="Calibri"/>
          <w:sz w:val="26"/>
          <w:szCs w:val="26"/>
          <w:lang w:eastAsia="en-US"/>
        </w:rPr>
      </w:pPr>
    </w:p>
    <w:p w14:paraId="738BEA25" w14:textId="77777777" w:rsidR="00D14E2E" w:rsidRPr="00D14E2E" w:rsidRDefault="00D14E2E" w:rsidP="00D14E2E">
      <w:pPr>
        <w:spacing w:after="360" w:line="360" w:lineRule="auto"/>
        <w:ind w:right="-159"/>
        <w:jc w:val="both"/>
        <w:rPr>
          <w:rFonts w:eastAsia="Calibri"/>
          <w:sz w:val="26"/>
          <w:szCs w:val="26"/>
          <w:lang w:eastAsia="en-US"/>
        </w:rPr>
      </w:pPr>
    </w:p>
    <w:p w14:paraId="59A27E5B"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lastRenderedPageBreak/>
        <w:fldChar w:fldCharType="begin"/>
      </w:r>
      <w:r w:rsidRPr="00D14E2E">
        <w:rPr>
          <w:rFonts w:ascii="Calibri" w:eastAsia="Calibri" w:hAnsi="Calibri"/>
          <w:sz w:val="22"/>
          <w:szCs w:val="22"/>
          <w:lang w:eastAsia="en-US"/>
        </w:rPr>
        <w:instrText xml:space="preserve"> LINK PowerPoint.Slide.8 "D:\\2015\\GRÁFICAS DE LA CONSAR\\37.- MI AHORRO PARA EL FUTURO.pptx!305"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114FD17A" wp14:editId="3E23FA08">
            <wp:extent cx="5455285" cy="3429000"/>
            <wp:effectExtent l="0" t="0" r="0" b="0"/>
            <wp:docPr id="1530" name="Imagen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8"/>
                    <pic:cNvPicPr>
                      <a:picLocks noChangeAspect="1" noChangeArrowheads="1"/>
                    </pic:cNvPicPr>
                  </pic:nvPicPr>
                  <pic:blipFill>
                    <a:blip r:embed="rId359" cstate="print">
                      <a:extLst>
                        <a:ext uri="{28A0092B-C50C-407E-A947-70E740481C1C}">
                          <a14:useLocalDpi xmlns:a14="http://schemas.microsoft.com/office/drawing/2010/main" val="0"/>
                        </a:ext>
                      </a:extLst>
                    </a:blip>
                    <a:srcRect l="5791" r="4538"/>
                    <a:stretch>
                      <a:fillRect/>
                    </a:stretch>
                  </pic:blipFill>
                  <pic:spPr bwMode="auto">
                    <a:xfrm>
                      <a:off x="0" y="0"/>
                      <a:ext cx="5455285" cy="342900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49D65F12"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Objetivos de ahorro</w:t>
      </w:r>
    </w:p>
    <w:p w14:paraId="400A129A" w14:textId="5BED14DD" w:rsidR="00D14E2E" w:rsidRPr="00D14E2E" w:rsidRDefault="00C4050C" w:rsidP="00D14E2E">
      <w:pPr>
        <w:spacing w:after="360" w:line="360" w:lineRule="auto"/>
        <w:ind w:right="-159"/>
        <w:jc w:val="center"/>
        <w:rPr>
          <w:rFonts w:eastAsia="Calibri"/>
          <w:sz w:val="26"/>
          <w:szCs w:val="26"/>
          <w:lang w:eastAsia="en-US"/>
        </w:rPr>
      </w:pPr>
      <w:r w:rsidRPr="00C4050C">
        <w:rPr>
          <w:rFonts w:ascii="Calibri" w:eastAsia="Calibri" w:hAnsi="Calibri"/>
          <w:sz w:val="22"/>
          <w:szCs w:val="22"/>
          <w:lang w:eastAsia="en-US"/>
        </w:rPr>
        <w:fldChar w:fldCharType="begin"/>
      </w:r>
      <w:r w:rsidRPr="00C4050C">
        <w:rPr>
          <w:rFonts w:ascii="Calibri" w:eastAsia="Calibri" w:hAnsi="Calibri"/>
          <w:sz w:val="22"/>
          <w:szCs w:val="22"/>
          <w:lang w:eastAsia="en-US"/>
        </w:rPr>
        <w:instrText xml:space="preserve"> LINK PowerPoint.Slide.8 "D:\\2015\\GRÁFICAS DE LA CONSAR\\37.- MI AHORRO PARA EL FUTURO.pptx!306" "" \a \p </w:instrText>
      </w:r>
      <w:r w:rsidRPr="00C4050C">
        <w:rPr>
          <w:rFonts w:ascii="Calibri" w:eastAsia="Calibri" w:hAnsi="Calibri"/>
          <w:sz w:val="22"/>
          <w:szCs w:val="22"/>
          <w:lang w:eastAsia="en-US"/>
        </w:rPr>
        <w:fldChar w:fldCharType="separate"/>
      </w:r>
      <w:r w:rsidRPr="00C4050C">
        <w:rPr>
          <w:rFonts w:ascii="Calibri" w:eastAsia="Calibri" w:hAnsi="Calibri"/>
          <w:noProof/>
          <w:sz w:val="22"/>
          <w:szCs w:val="22"/>
          <w:lang w:eastAsia="es-MX"/>
        </w:rPr>
        <w:drawing>
          <wp:inline distT="0" distB="0" distL="0" distR="0" wp14:anchorId="774FC633" wp14:editId="3397A6F7">
            <wp:extent cx="5542280" cy="3429000"/>
            <wp:effectExtent l="0" t="0" r="1270" b="0"/>
            <wp:docPr id="1510" name="Imagen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360" cstate="print">
                      <a:extLst>
                        <a:ext uri="{28A0092B-C50C-407E-A947-70E740481C1C}">
                          <a14:useLocalDpi xmlns:a14="http://schemas.microsoft.com/office/drawing/2010/main" val="0"/>
                        </a:ext>
                      </a:extLst>
                    </a:blip>
                    <a:srcRect l="5165" r="3755"/>
                    <a:stretch>
                      <a:fillRect/>
                    </a:stretch>
                  </pic:blipFill>
                  <pic:spPr bwMode="auto">
                    <a:xfrm>
                      <a:off x="0" y="0"/>
                      <a:ext cx="5542280" cy="3429000"/>
                    </a:xfrm>
                    <a:prstGeom prst="rect">
                      <a:avLst/>
                    </a:prstGeom>
                    <a:noFill/>
                    <a:ln>
                      <a:noFill/>
                    </a:ln>
                  </pic:spPr>
                </pic:pic>
              </a:graphicData>
            </a:graphic>
          </wp:inline>
        </w:drawing>
      </w:r>
      <w:r w:rsidRPr="00C4050C">
        <w:rPr>
          <w:rFonts w:ascii="Calibri" w:eastAsia="Calibri" w:hAnsi="Calibri"/>
          <w:sz w:val="22"/>
          <w:szCs w:val="22"/>
          <w:lang w:eastAsia="en-US"/>
        </w:rPr>
        <w:fldChar w:fldCharType="end"/>
      </w:r>
    </w:p>
    <w:p w14:paraId="5D786859" w14:textId="77777777" w:rsidR="00D14E2E" w:rsidRPr="00D14E2E" w:rsidRDefault="00D14E2E" w:rsidP="00D14E2E">
      <w:pPr>
        <w:spacing w:after="360" w:line="360" w:lineRule="auto"/>
        <w:ind w:right="-159"/>
        <w:jc w:val="both"/>
        <w:rPr>
          <w:rFonts w:eastAsia="Calibri"/>
          <w:b/>
          <w:sz w:val="26"/>
          <w:szCs w:val="26"/>
          <w:lang w:eastAsia="en-US"/>
        </w:rPr>
      </w:pPr>
    </w:p>
    <w:p w14:paraId="6F480654"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¿Cuánto debo ahorrar?</w:t>
      </w:r>
    </w:p>
    <w:p w14:paraId="3927C937"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FUTURO.pptx!307"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0174363A" wp14:editId="6250F01D">
            <wp:extent cx="5480050" cy="3126105"/>
            <wp:effectExtent l="0" t="0" r="6350" b="0"/>
            <wp:docPr id="1532" name="Imagen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2"/>
                    <pic:cNvPicPr>
                      <a:picLocks noChangeAspect="1" noChangeArrowheads="1"/>
                    </pic:cNvPicPr>
                  </pic:nvPicPr>
                  <pic:blipFill>
                    <a:blip r:embed="rId361" cstate="print">
                      <a:extLst>
                        <a:ext uri="{28A0092B-C50C-407E-A947-70E740481C1C}">
                          <a14:useLocalDpi xmlns:a14="http://schemas.microsoft.com/office/drawing/2010/main" val="0"/>
                        </a:ext>
                      </a:extLst>
                    </a:blip>
                    <a:srcRect l="7199" t="4723" r="2817" b="4167"/>
                    <a:stretch>
                      <a:fillRect/>
                    </a:stretch>
                  </pic:blipFill>
                  <pic:spPr bwMode="auto">
                    <a:xfrm>
                      <a:off x="0" y="0"/>
                      <a:ext cx="5480050" cy="312610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465F10D5"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IV. ¿Cómo ahorrar para mi futuro?</w:t>
      </w:r>
    </w:p>
    <w:p w14:paraId="48158AA7"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El SAR otorga los mayores rendimientos entre las distintas opciones de inversión</w:t>
      </w:r>
    </w:p>
    <w:p w14:paraId="7D75093F" w14:textId="77777777" w:rsidR="00D14E2E" w:rsidRPr="00D14E2E" w:rsidRDefault="00D14E2E" w:rsidP="00D14E2E">
      <w:pPr>
        <w:spacing w:after="360" w:line="360" w:lineRule="auto"/>
        <w:ind w:right="-159"/>
        <w:jc w:val="both"/>
        <w:rPr>
          <w:rFonts w:eastAsia="Calibri"/>
          <w:sz w:val="26"/>
          <w:szCs w:val="26"/>
          <w:lang w:eastAsia="en-US"/>
        </w:rPr>
      </w:pPr>
      <w:r w:rsidRPr="00D14E2E">
        <w:rPr>
          <w:rFonts w:eastAsia="Calibri"/>
          <w:sz w:val="26"/>
          <w:szCs w:val="26"/>
          <w:lang w:eastAsia="en-US"/>
        </w:rPr>
        <w:t>El ahorro en las Sociedades de Inversión Especializadas en Fondos para el Retiro (Siefores) es la mejor alternativa de inversión, otorgando rendimientos por encima de los instrumentos de inversión más comunes.</w:t>
      </w:r>
    </w:p>
    <w:p w14:paraId="0DF0BB43"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lastRenderedPageBreak/>
        <w:fldChar w:fldCharType="begin"/>
      </w:r>
      <w:r w:rsidRPr="00D14E2E">
        <w:rPr>
          <w:rFonts w:ascii="Calibri" w:eastAsia="Calibri" w:hAnsi="Calibri"/>
          <w:sz w:val="22"/>
          <w:szCs w:val="22"/>
          <w:lang w:eastAsia="en-US"/>
        </w:rPr>
        <w:instrText xml:space="preserve"> LINK PowerPoint.Slide.8 "D:\\2015\\GRÁFICAS DE LA CONSAR\\37.- MI AHORRO PARA EL FUTURO.pptx!309"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56186658" wp14:editId="011B3329">
            <wp:extent cx="5554345" cy="3305175"/>
            <wp:effectExtent l="0" t="0" r="8255" b="9525"/>
            <wp:docPr id="1533" name="Imagen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4"/>
                    <pic:cNvPicPr>
                      <a:picLocks noChangeAspect="1" noChangeArrowheads="1"/>
                    </pic:cNvPicPr>
                  </pic:nvPicPr>
                  <pic:blipFill>
                    <a:blip r:embed="rId362" cstate="print">
                      <a:extLst>
                        <a:ext uri="{28A0092B-C50C-407E-A947-70E740481C1C}">
                          <a14:useLocalDpi xmlns:a14="http://schemas.microsoft.com/office/drawing/2010/main" val="0"/>
                        </a:ext>
                      </a:extLst>
                    </a:blip>
                    <a:srcRect l="4538" r="4225" b="3612"/>
                    <a:stretch>
                      <a:fillRect/>
                    </a:stretch>
                  </pic:blipFill>
                  <pic:spPr bwMode="auto">
                    <a:xfrm>
                      <a:off x="0" y="0"/>
                      <a:ext cx="5554345" cy="3305175"/>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674CB91A" w14:textId="76688E8C"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t xml:space="preserve">¿Cómo elegir la Afore que </w:t>
      </w:r>
      <w:r w:rsidR="003E354C">
        <w:rPr>
          <w:rFonts w:eastAsia="Calibri"/>
          <w:b/>
          <w:sz w:val="26"/>
          <w:szCs w:val="26"/>
          <w:lang w:eastAsia="en-US"/>
        </w:rPr>
        <w:t xml:space="preserve">más </w:t>
      </w:r>
      <w:r w:rsidRPr="00D14E2E">
        <w:rPr>
          <w:rFonts w:eastAsia="Calibri"/>
          <w:b/>
          <w:sz w:val="26"/>
          <w:szCs w:val="26"/>
          <w:lang w:eastAsia="en-US"/>
        </w:rPr>
        <w:t>me conviene?</w:t>
      </w:r>
    </w:p>
    <w:tbl>
      <w:tblPr>
        <w:tblW w:w="0" w:type="auto"/>
        <w:jc w:val="center"/>
        <w:tblLook w:val="04A0" w:firstRow="1" w:lastRow="0" w:firstColumn="1" w:lastColumn="0" w:noHBand="0" w:noVBand="1"/>
      </w:tblPr>
      <w:tblGrid>
        <w:gridCol w:w="2344"/>
        <w:gridCol w:w="1756"/>
        <w:gridCol w:w="222"/>
        <w:gridCol w:w="2341"/>
        <w:gridCol w:w="1701"/>
      </w:tblGrid>
      <w:tr w:rsidR="00D14E2E" w:rsidRPr="00D14E2E" w14:paraId="291F74D8" w14:textId="77777777" w:rsidTr="004727D3">
        <w:trPr>
          <w:jc w:val="center"/>
        </w:trPr>
        <w:tc>
          <w:tcPr>
            <w:tcW w:w="4100" w:type="dxa"/>
            <w:gridSpan w:val="2"/>
            <w:tcBorders>
              <w:top w:val="single" w:sz="4" w:space="0" w:color="auto"/>
              <w:left w:val="single" w:sz="4" w:space="0" w:color="auto"/>
              <w:bottom w:val="single" w:sz="4" w:space="0" w:color="auto"/>
              <w:right w:val="single" w:sz="4" w:space="0" w:color="auto"/>
            </w:tcBorders>
            <w:vAlign w:val="center"/>
          </w:tcPr>
          <w:p w14:paraId="05660A64" w14:textId="77777777" w:rsidR="00D14E2E" w:rsidRPr="00D14E2E" w:rsidRDefault="00D14E2E" w:rsidP="00D14E2E">
            <w:pPr>
              <w:jc w:val="center"/>
              <w:rPr>
                <w:b/>
                <w:sz w:val="20"/>
                <w:szCs w:val="20"/>
              </w:rPr>
            </w:pPr>
            <w:r w:rsidRPr="00D14E2E">
              <w:rPr>
                <w:b/>
                <w:sz w:val="20"/>
                <w:szCs w:val="20"/>
              </w:rPr>
              <w:t>A mayor RENDIMIENTO NETO, mayor pensión.</w:t>
            </w:r>
          </w:p>
        </w:tc>
        <w:tc>
          <w:tcPr>
            <w:tcW w:w="222" w:type="dxa"/>
            <w:tcBorders>
              <w:top w:val="nil"/>
              <w:left w:val="single" w:sz="4" w:space="0" w:color="auto"/>
              <w:bottom w:val="nil"/>
              <w:right w:val="single" w:sz="4" w:space="0" w:color="auto"/>
            </w:tcBorders>
          </w:tcPr>
          <w:p w14:paraId="36A9600B" w14:textId="77777777" w:rsidR="00D14E2E" w:rsidRPr="00D14E2E" w:rsidRDefault="00D14E2E" w:rsidP="00D14E2E">
            <w:pPr>
              <w:jc w:val="center"/>
              <w:rPr>
                <w:b/>
                <w:sz w:val="20"/>
                <w:szCs w:val="20"/>
              </w:rPr>
            </w:pPr>
          </w:p>
        </w:tc>
        <w:tc>
          <w:tcPr>
            <w:tcW w:w="4042" w:type="dxa"/>
            <w:gridSpan w:val="2"/>
            <w:tcBorders>
              <w:top w:val="single" w:sz="4" w:space="0" w:color="auto"/>
              <w:left w:val="single" w:sz="4" w:space="0" w:color="auto"/>
              <w:bottom w:val="single" w:sz="4" w:space="0" w:color="auto"/>
              <w:right w:val="single" w:sz="4" w:space="0" w:color="auto"/>
            </w:tcBorders>
            <w:vAlign w:val="center"/>
          </w:tcPr>
          <w:p w14:paraId="1AD644F0" w14:textId="77777777" w:rsidR="00D14E2E" w:rsidRPr="00D14E2E" w:rsidRDefault="00D14E2E" w:rsidP="00D14E2E">
            <w:pPr>
              <w:jc w:val="center"/>
              <w:rPr>
                <w:b/>
                <w:sz w:val="20"/>
                <w:szCs w:val="20"/>
              </w:rPr>
            </w:pPr>
            <w:r w:rsidRPr="00D14E2E">
              <w:rPr>
                <w:b/>
                <w:sz w:val="20"/>
                <w:szCs w:val="20"/>
              </w:rPr>
              <w:t>A mayor RENDIMIENTO NETO, mayor pensión.</w:t>
            </w:r>
          </w:p>
        </w:tc>
      </w:tr>
      <w:tr w:rsidR="00D14E2E" w:rsidRPr="00D14E2E" w14:paraId="164002B6" w14:textId="77777777" w:rsidTr="004727D3">
        <w:trPr>
          <w:jc w:val="center"/>
        </w:trPr>
        <w:tc>
          <w:tcPr>
            <w:tcW w:w="4100" w:type="dxa"/>
            <w:gridSpan w:val="2"/>
            <w:tcBorders>
              <w:top w:val="single" w:sz="4" w:space="0" w:color="auto"/>
              <w:left w:val="single" w:sz="4" w:space="0" w:color="auto"/>
              <w:bottom w:val="single" w:sz="4" w:space="0" w:color="auto"/>
              <w:right w:val="single" w:sz="4" w:space="0" w:color="auto"/>
            </w:tcBorders>
            <w:vAlign w:val="center"/>
          </w:tcPr>
          <w:p w14:paraId="36D24B26" w14:textId="77777777" w:rsidR="00D14E2E" w:rsidRPr="00D14E2E" w:rsidRDefault="00D14E2E" w:rsidP="00D14E2E">
            <w:pPr>
              <w:jc w:val="center"/>
              <w:rPr>
                <w:b/>
                <w:sz w:val="20"/>
                <w:szCs w:val="20"/>
              </w:rPr>
            </w:pPr>
            <w:r w:rsidRPr="00D14E2E">
              <w:rPr>
                <w:b/>
                <w:sz w:val="20"/>
                <w:szCs w:val="20"/>
              </w:rPr>
              <w:t>SB 4 para personas de 36 años y menores</w:t>
            </w:r>
          </w:p>
        </w:tc>
        <w:tc>
          <w:tcPr>
            <w:tcW w:w="222" w:type="dxa"/>
            <w:tcBorders>
              <w:top w:val="nil"/>
              <w:left w:val="single" w:sz="4" w:space="0" w:color="auto"/>
              <w:bottom w:val="nil"/>
              <w:right w:val="single" w:sz="4" w:space="0" w:color="auto"/>
            </w:tcBorders>
          </w:tcPr>
          <w:p w14:paraId="3C99D1FD" w14:textId="77777777" w:rsidR="00D14E2E" w:rsidRPr="00D14E2E" w:rsidRDefault="00D14E2E" w:rsidP="00D14E2E">
            <w:pPr>
              <w:jc w:val="center"/>
              <w:rPr>
                <w:b/>
                <w:sz w:val="20"/>
                <w:szCs w:val="20"/>
              </w:rPr>
            </w:pPr>
          </w:p>
        </w:tc>
        <w:tc>
          <w:tcPr>
            <w:tcW w:w="4042" w:type="dxa"/>
            <w:gridSpan w:val="2"/>
            <w:tcBorders>
              <w:top w:val="single" w:sz="4" w:space="0" w:color="auto"/>
              <w:left w:val="single" w:sz="4" w:space="0" w:color="auto"/>
              <w:bottom w:val="single" w:sz="4" w:space="0" w:color="auto"/>
              <w:right w:val="single" w:sz="4" w:space="0" w:color="auto"/>
            </w:tcBorders>
            <w:vAlign w:val="center"/>
          </w:tcPr>
          <w:p w14:paraId="7419A0F0" w14:textId="77777777" w:rsidR="00D14E2E" w:rsidRPr="00D14E2E" w:rsidRDefault="00D14E2E" w:rsidP="00D14E2E">
            <w:pPr>
              <w:jc w:val="center"/>
              <w:rPr>
                <w:b/>
                <w:sz w:val="20"/>
                <w:szCs w:val="20"/>
              </w:rPr>
            </w:pPr>
            <w:r w:rsidRPr="00D14E2E">
              <w:rPr>
                <w:b/>
                <w:sz w:val="20"/>
                <w:szCs w:val="20"/>
              </w:rPr>
              <w:t>SB 3 para personas entre 37 y 45 años</w:t>
            </w:r>
          </w:p>
        </w:tc>
      </w:tr>
      <w:tr w:rsidR="00D14E2E" w:rsidRPr="00D14E2E" w14:paraId="7074C1B2" w14:textId="77777777" w:rsidTr="004727D3">
        <w:trPr>
          <w:jc w:val="center"/>
        </w:trPr>
        <w:tc>
          <w:tcPr>
            <w:tcW w:w="4100" w:type="dxa"/>
            <w:gridSpan w:val="2"/>
            <w:tcBorders>
              <w:top w:val="single" w:sz="4" w:space="0" w:color="auto"/>
              <w:left w:val="single" w:sz="4" w:space="0" w:color="auto"/>
              <w:bottom w:val="single" w:sz="4" w:space="0" w:color="auto"/>
              <w:right w:val="single" w:sz="4" w:space="0" w:color="auto"/>
            </w:tcBorders>
            <w:vAlign w:val="center"/>
          </w:tcPr>
          <w:p w14:paraId="30B4CCC5" w14:textId="77777777" w:rsidR="00D14E2E" w:rsidRPr="00D14E2E" w:rsidRDefault="00D14E2E" w:rsidP="00D14E2E">
            <w:pPr>
              <w:jc w:val="center"/>
              <w:rPr>
                <w:b/>
                <w:sz w:val="20"/>
                <w:szCs w:val="20"/>
              </w:rPr>
            </w:pPr>
            <w:r w:rsidRPr="00D14E2E">
              <w:rPr>
                <w:b/>
                <w:sz w:val="20"/>
                <w:szCs w:val="20"/>
              </w:rPr>
              <w:t>INDICADOR DE RENDIMIENTO NETO*</w:t>
            </w:r>
          </w:p>
        </w:tc>
        <w:tc>
          <w:tcPr>
            <w:tcW w:w="222" w:type="dxa"/>
            <w:tcBorders>
              <w:top w:val="nil"/>
              <w:left w:val="single" w:sz="4" w:space="0" w:color="auto"/>
              <w:bottom w:val="nil"/>
              <w:right w:val="single" w:sz="4" w:space="0" w:color="auto"/>
            </w:tcBorders>
          </w:tcPr>
          <w:p w14:paraId="23207470" w14:textId="77777777" w:rsidR="00D14E2E" w:rsidRPr="00D14E2E" w:rsidRDefault="00D14E2E" w:rsidP="00D14E2E">
            <w:pPr>
              <w:jc w:val="center"/>
              <w:rPr>
                <w:b/>
                <w:sz w:val="20"/>
                <w:szCs w:val="20"/>
              </w:rPr>
            </w:pPr>
          </w:p>
        </w:tc>
        <w:tc>
          <w:tcPr>
            <w:tcW w:w="4042" w:type="dxa"/>
            <w:gridSpan w:val="2"/>
            <w:tcBorders>
              <w:top w:val="single" w:sz="4" w:space="0" w:color="auto"/>
              <w:left w:val="single" w:sz="4" w:space="0" w:color="auto"/>
              <w:bottom w:val="single" w:sz="4" w:space="0" w:color="auto"/>
              <w:right w:val="single" w:sz="4" w:space="0" w:color="auto"/>
            </w:tcBorders>
            <w:vAlign w:val="center"/>
          </w:tcPr>
          <w:p w14:paraId="2F1FC27B" w14:textId="77777777" w:rsidR="00D14E2E" w:rsidRPr="00D14E2E" w:rsidRDefault="00D14E2E" w:rsidP="00D14E2E">
            <w:pPr>
              <w:jc w:val="center"/>
              <w:rPr>
                <w:b/>
                <w:sz w:val="20"/>
                <w:szCs w:val="20"/>
              </w:rPr>
            </w:pPr>
            <w:r w:rsidRPr="00D14E2E">
              <w:rPr>
                <w:b/>
                <w:sz w:val="20"/>
                <w:szCs w:val="20"/>
              </w:rPr>
              <w:t>INDICADOR DE RENDIMIENTO NETO*</w:t>
            </w:r>
          </w:p>
        </w:tc>
      </w:tr>
      <w:tr w:rsidR="00D14E2E" w:rsidRPr="00D14E2E" w14:paraId="19A17D01" w14:textId="77777777" w:rsidTr="004727D3">
        <w:trPr>
          <w:jc w:val="center"/>
        </w:trPr>
        <w:tc>
          <w:tcPr>
            <w:tcW w:w="2344" w:type="dxa"/>
            <w:tcBorders>
              <w:top w:val="single" w:sz="4" w:space="0" w:color="auto"/>
              <w:left w:val="single" w:sz="4" w:space="0" w:color="auto"/>
              <w:bottom w:val="single" w:sz="4" w:space="0" w:color="auto"/>
              <w:right w:val="single" w:sz="4" w:space="0" w:color="auto"/>
            </w:tcBorders>
            <w:vAlign w:val="center"/>
          </w:tcPr>
          <w:p w14:paraId="4A37C1C6" w14:textId="77777777" w:rsidR="00D14E2E" w:rsidRPr="00D14E2E" w:rsidRDefault="00D14E2E" w:rsidP="00D14E2E">
            <w:pPr>
              <w:jc w:val="center"/>
              <w:rPr>
                <w:b/>
                <w:sz w:val="20"/>
                <w:szCs w:val="20"/>
              </w:rPr>
            </w:pPr>
            <w:r w:rsidRPr="00D14E2E">
              <w:rPr>
                <w:b/>
                <w:sz w:val="20"/>
                <w:szCs w:val="20"/>
              </w:rPr>
              <w:t>Afores</w:t>
            </w:r>
          </w:p>
        </w:tc>
        <w:tc>
          <w:tcPr>
            <w:tcW w:w="1756" w:type="dxa"/>
            <w:tcBorders>
              <w:top w:val="single" w:sz="4" w:space="0" w:color="auto"/>
              <w:left w:val="single" w:sz="4" w:space="0" w:color="auto"/>
              <w:bottom w:val="single" w:sz="4" w:space="0" w:color="auto"/>
              <w:right w:val="single" w:sz="4" w:space="0" w:color="auto"/>
            </w:tcBorders>
          </w:tcPr>
          <w:p w14:paraId="5811A95C" w14:textId="77777777" w:rsidR="00D14E2E" w:rsidRPr="00D14E2E" w:rsidRDefault="00D14E2E" w:rsidP="00D14E2E">
            <w:pPr>
              <w:jc w:val="center"/>
              <w:rPr>
                <w:b/>
                <w:sz w:val="20"/>
                <w:szCs w:val="20"/>
              </w:rPr>
            </w:pPr>
            <w:r w:rsidRPr="00D14E2E">
              <w:rPr>
                <w:b/>
                <w:sz w:val="20"/>
                <w:szCs w:val="20"/>
              </w:rPr>
              <w:t>Rendimiento Neto (%)</w:t>
            </w:r>
          </w:p>
        </w:tc>
        <w:tc>
          <w:tcPr>
            <w:tcW w:w="222" w:type="dxa"/>
            <w:tcBorders>
              <w:top w:val="nil"/>
              <w:left w:val="single" w:sz="4" w:space="0" w:color="auto"/>
              <w:bottom w:val="nil"/>
              <w:right w:val="single" w:sz="4" w:space="0" w:color="auto"/>
            </w:tcBorders>
          </w:tcPr>
          <w:p w14:paraId="389B25DC" w14:textId="77777777" w:rsidR="00D14E2E" w:rsidRPr="00D14E2E" w:rsidRDefault="00D14E2E" w:rsidP="00D14E2E">
            <w:pPr>
              <w:jc w:val="center"/>
              <w:rPr>
                <w:b/>
                <w:sz w:val="20"/>
                <w:szCs w:val="20"/>
              </w:rPr>
            </w:pPr>
          </w:p>
        </w:tc>
        <w:tc>
          <w:tcPr>
            <w:tcW w:w="2341" w:type="dxa"/>
            <w:tcBorders>
              <w:top w:val="single" w:sz="4" w:space="0" w:color="auto"/>
              <w:left w:val="single" w:sz="4" w:space="0" w:color="auto"/>
              <w:bottom w:val="single" w:sz="4" w:space="0" w:color="auto"/>
              <w:right w:val="single" w:sz="4" w:space="0" w:color="auto"/>
            </w:tcBorders>
            <w:vAlign w:val="center"/>
          </w:tcPr>
          <w:p w14:paraId="330830EE" w14:textId="77777777" w:rsidR="00D14E2E" w:rsidRPr="00D14E2E" w:rsidRDefault="00D14E2E" w:rsidP="00D14E2E">
            <w:pPr>
              <w:jc w:val="center"/>
              <w:rPr>
                <w:b/>
                <w:sz w:val="20"/>
                <w:szCs w:val="20"/>
              </w:rPr>
            </w:pPr>
            <w:r w:rsidRPr="00D14E2E">
              <w:rPr>
                <w:b/>
                <w:sz w:val="20"/>
                <w:szCs w:val="20"/>
              </w:rPr>
              <w:t>Afores</w:t>
            </w:r>
          </w:p>
        </w:tc>
        <w:tc>
          <w:tcPr>
            <w:tcW w:w="1701" w:type="dxa"/>
            <w:tcBorders>
              <w:left w:val="single" w:sz="4" w:space="0" w:color="auto"/>
              <w:bottom w:val="single" w:sz="4" w:space="0" w:color="auto"/>
              <w:right w:val="single" w:sz="4" w:space="0" w:color="auto"/>
            </w:tcBorders>
          </w:tcPr>
          <w:p w14:paraId="5C49E34A" w14:textId="77777777" w:rsidR="00D14E2E" w:rsidRPr="00D14E2E" w:rsidRDefault="00D14E2E" w:rsidP="00D14E2E">
            <w:pPr>
              <w:jc w:val="center"/>
              <w:rPr>
                <w:b/>
                <w:sz w:val="20"/>
                <w:szCs w:val="20"/>
              </w:rPr>
            </w:pPr>
            <w:r w:rsidRPr="00D14E2E">
              <w:rPr>
                <w:b/>
                <w:sz w:val="20"/>
                <w:szCs w:val="20"/>
              </w:rPr>
              <w:t>Rendimiento Neto (%)</w:t>
            </w:r>
          </w:p>
        </w:tc>
      </w:tr>
      <w:tr w:rsidR="00D14E2E" w:rsidRPr="00D14E2E" w14:paraId="2AFEA52E" w14:textId="77777777" w:rsidTr="004727D3">
        <w:trPr>
          <w:jc w:val="center"/>
        </w:trPr>
        <w:tc>
          <w:tcPr>
            <w:tcW w:w="2344" w:type="dxa"/>
            <w:tcBorders>
              <w:top w:val="single" w:sz="4" w:space="0" w:color="auto"/>
              <w:left w:val="single" w:sz="4" w:space="0" w:color="auto"/>
              <w:bottom w:val="nil"/>
              <w:right w:val="single" w:sz="4" w:space="0" w:color="auto"/>
            </w:tcBorders>
          </w:tcPr>
          <w:p w14:paraId="63455126" w14:textId="77777777" w:rsidR="00D14E2E" w:rsidRPr="00D14E2E" w:rsidRDefault="00D14E2E" w:rsidP="00D14E2E">
            <w:pPr>
              <w:rPr>
                <w:sz w:val="20"/>
                <w:szCs w:val="20"/>
              </w:rPr>
            </w:pPr>
            <w:r w:rsidRPr="00D14E2E">
              <w:rPr>
                <w:sz w:val="20"/>
                <w:szCs w:val="20"/>
              </w:rPr>
              <w:t>SURA</w:t>
            </w:r>
          </w:p>
        </w:tc>
        <w:tc>
          <w:tcPr>
            <w:tcW w:w="1756" w:type="dxa"/>
            <w:tcBorders>
              <w:top w:val="single" w:sz="4" w:space="0" w:color="auto"/>
              <w:left w:val="single" w:sz="4" w:space="0" w:color="auto"/>
              <w:bottom w:val="nil"/>
              <w:right w:val="single" w:sz="4" w:space="0" w:color="auto"/>
            </w:tcBorders>
          </w:tcPr>
          <w:p w14:paraId="75470B13" w14:textId="77777777" w:rsidR="00D14E2E" w:rsidRPr="00D14E2E" w:rsidRDefault="00D14E2E" w:rsidP="00D14E2E">
            <w:pPr>
              <w:ind w:right="624"/>
              <w:jc w:val="right"/>
              <w:rPr>
                <w:sz w:val="20"/>
                <w:szCs w:val="20"/>
              </w:rPr>
            </w:pPr>
            <w:r w:rsidRPr="00D14E2E">
              <w:rPr>
                <w:sz w:val="20"/>
                <w:szCs w:val="20"/>
              </w:rPr>
              <w:t>12.13</w:t>
            </w:r>
          </w:p>
        </w:tc>
        <w:tc>
          <w:tcPr>
            <w:tcW w:w="222" w:type="dxa"/>
            <w:tcBorders>
              <w:top w:val="nil"/>
              <w:left w:val="single" w:sz="4" w:space="0" w:color="auto"/>
              <w:bottom w:val="nil"/>
              <w:right w:val="single" w:sz="4" w:space="0" w:color="auto"/>
            </w:tcBorders>
          </w:tcPr>
          <w:p w14:paraId="4180C3CD" w14:textId="77777777" w:rsidR="00D14E2E" w:rsidRPr="00D14E2E" w:rsidRDefault="00D14E2E" w:rsidP="00D14E2E">
            <w:pPr>
              <w:ind w:right="624"/>
              <w:jc w:val="right"/>
              <w:rPr>
                <w:sz w:val="20"/>
                <w:szCs w:val="20"/>
              </w:rPr>
            </w:pPr>
          </w:p>
        </w:tc>
        <w:tc>
          <w:tcPr>
            <w:tcW w:w="2341" w:type="dxa"/>
            <w:tcBorders>
              <w:top w:val="single" w:sz="4" w:space="0" w:color="auto"/>
              <w:left w:val="single" w:sz="4" w:space="0" w:color="auto"/>
              <w:bottom w:val="nil"/>
              <w:right w:val="single" w:sz="4" w:space="0" w:color="auto"/>
            </w:tcBorders>
          </w:tcPr>
          <w:p w14:paraId="03E45888" w14:textId="77777777" w:rsidR="00D14E2E" w:rsidRPr="00D14E2E" w:rsidRDefault="00D14E2E" w:rsidP="00D14E2E">
            <w:pPr>
              <w:ind w:right="624"/>
              <w:rPr>
                <w:sz w:val="20"/>
                <w:szCs w:val="20"/>
              </w:rPr>
            </w:pPr>
            <w:r w:rsidRPr="00D14E2E">
              <w:rPr>
                <w:sz w:val="20"/>
                <w:szCs w:val="20"/>
              </w:rPr>
              <w:t>SURA</w:t>
            </w:r>
          </w:p>
        </w:tc>
        <w:tc>
          <w:tcPr>
            <w:tcW w:w="1701" w:type="dxa"/>
            <w:tcBorders>
              <w:left w:val="single" w:sz="4" w:space="0" w:color="auto"/>
              <w:bottom w:val="nil"/>
              <w:right w:val="single" w:sz="4" w:space="0" w:color="auto"/>
            </w:tcBorders>
          </w:tcPr>
          <w:p w14:paraId="6A2510B3" w14:textId="77777777" w:rsidR="00D14E2E" w:rsidRPr="00D14E2E" w:rsidRDefault="00D14E2E" w:rsidP="00D14E2E">
            <w:pPr>
              <w:ind w:right="624"/>
              <w:jc w:val="right"/>
              <w:rPr>
                <w:sz w:val="20"/>
                <w:szCs w:val="20"/>
              </w:rPr>
            </w:pPr>
            <w:r w:rsidRPr="00D14E2E">
              <w:rPr>
                <w:sz w:val="20"/>
                <w:szCs w:val="20"/>
              </w:rPr>
              <w:t>10.84</w:t>
            </w:r>
          </w:p>
        </w:tc>
      </w:tr>
      <w:tr w:rsidR="00D14E2E" w:rsidRPr="00D14E2E" w14:paraId="15136D07" w14:textId="77777777" w:rsidTr="004727D3">
        <w:trPr>
          <w:jc w:val="center"/>
        </w:trPr>
        <w:tc>
          <w:tcPr>
            <w:tcW w:w="2344" w:type="dxa"/>
            <w:tcBorders>
              <w:top w:val="nil"/>
              <w:left w:val="single" w:sz="4" w:space="0" w:color="auto"/>
              <w:bottom w:val="nil"/>
              <w:right w:val="single" w:sz="4" w:space="0" w:color="auto"/>
            </w:tcBorders>
          </w:tcPr>
          <w:p w14:paraId="06139CBF" w14:textId="77777777" w:rsidR="00D14E2E" w:rsidRPr="00D14E2E" w:rsidRDefault="00D14E2E" w:rsidP="00D14E2E">
            <w:pPr>
              <w:rPr>
                <w:sz w:val="20"/>
                <w:szCs w:val="20"/>
              </w:rPr>
            </w:pPr>
            <w:r w:rsidRPr="00D14E2E">
              <w:rPr>
                <w:sz w:val="20"/>
                <w:szCs w:val="20"/>
              </w:rPr>
              <w:t xml:space="preserve">Banamex </w:t>
            </w:r>
          </w:p>
        </w:tc>
        <w:tc>
          <w:tcPr>
            <w:tcW w:w="1756" w:type="dxa"/>
            <w:tcBorders>
              <w:top w:val="nil"/>
              <w:left w:val="single" w:sz="4" w:space="0" w:color="auto"/>
              <w:bottom w:val="nil"/>
              <w:right w:val="single" w:sz="4" w:space="0" w:color="auto"/>
            </w:tcBorders>
          </w:tcPr>
          <w:p w14:paraId="3971065B" w14:textId="77777777" w:rsidR="00D14E2E" w:rsidRPr="00D14E2E" w:rsidRDefault="00D14E2E" w:rsidP="00D14E2E">
            <w:pPr>
              <w:ind w:right="624"/>
              <w:jc w:val="right"/>
              <w:rPr>
                <w:sz w:val="20"/>
                <w:szCs w:val="20"/>
              </w:rPr>
            </w:pPr>
            <w:r w:rsidRPr="00D14E2E">
              <w:rPr>
                <w:sz w:val="20"/>
                <w:szCs w:val="20"/>
              </w:rPr>
              <w:t>11.07</w:t>
            </w:r>
          </w:p>
        </w:tc>
        <w:tc>
          <w:tcPr>
            <w:tcW w:w="222" w:type="dxa"/>
            <w:tcBorders>
              <w:top w:val="nil"/>
              <w:left w:val="single" w:sz="4" w:space="0" w:color="auto"/>
              <w:bottom w:val="nil"/>
              <w:right w:val="single" w:sz="4" w:space="0" w:color="auto"/>
            </w:tcBorders>
          </w:tcPr>
          <w:p w14:paraId="400DA906"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671A2E75" w14:textId="77777777" w:rsidR="00D14E2E" w:rsidRPr="00D14E2E" w:rsidRDefault="00D14E2E" w:rsidP="00D14E2E">
            <w:pPr>
              <w:ind w:right="624"/>
              <w:rPr>
                <w:sz w:val="20"/>
                <w:szCs w:val="20"/>
              </w:rPr>
            </w:pPr>
            <w:r w:rsidRPr="00D14E2E">
              <w:rPr>
                <w:sz w:val="20"/>
                <w:szCs w:val="20"/>
              </w:rPr>
              <w:t xml:space="preserve">PensionISSSTE </w:t>
            </w:r>
          </w:p>
        </w:tc>
        <w:tc>
          <w:tcPr>
            <w:tcW w:w="1701" w:type="dxa"/>
            <w:tcBorders>
              <w:top w:val="nil"/>
              <w:left w:val="single" w:sz="4" w:space="0" w:color="auto"/>
              <w:bottom w:val="nil"/>
              <w:right w:val="single" w:sz="4" w:space="0" w:color="auto"/>
            </w:tcBorders>
          </w:tcPr>
          <w:p w14:paraId="72753231" w14:textId="77777777" w:rsidR="00D14E2E" w:rsidRPr="00D14E2E" w:rsidRDefault="00D14E2E" w:rsidP="00D14E2E">
            <w:pPr>
              <w:ind w:right="624"/>
              <w:jc w:val="right"/>
              <w:rPr>
                <w:sz w:val="20"/>
                <w:szCs w:val="20"/>
              </w:rPr>
            </w:pPr>
            <w:r w:rsidRPr="00D14E2E">
              <w:rPr>
                <w:sz w:val="20"/>
                <w:szCs w:val="20"/>
              </w:rPr>
              <w:t>10.62</w:t>
            </w:r>
          </w:p>
        </w:tc>
      </w:tr>
      <w:tr w:rsidR="00D14E2E" w:rsidRPr="00D14E2E" w14:paraId="1494B902" w14:textId="77777777" w:rsidTr="004727D3">
        <w:trPr>
          <w:jc w:val="center"/>
        </w:trPr>
        <w:tc>
          <w:tcPr>
            <w:tcW w:w="2344" w:type="dxa"/>
            <w:tcBorders>
              <w:top w:val="nil"/>
              <w:left w:val="single" w:sz="4" w:space="0" w:color="auto"/>
              <w:bottom w:val="nil"/>
              <w:right w:val="single" w:sz="4" w:space="0" w:color="auto"/>
            </w:tcBorders>
          </w:tcPr>
          <w:p w14:paraId="254A5653" w14:textId="77777777" w:rsidR="00D14E2E" w:rsidRPr="00D14E2E" w:rsidRDefault="00D14E2E" w:rsidP="00D14E2E">
            <w:pPr>
              <w:rPr>
                <w:sz w:val="20"/>
                <w:szCs w:val="20"/>
              </w:rPr>
            </w:pPr>
            <w:r w:rsidRPr="00D14E2E">
              <w:rPr>
                <w:sz w:val="20"/>
                <w:szCs w:val="20"/>
              </w:rPr>
              <w:t>Profuturo GNP</w:t>
            </w:r>
          </w:p>
        </w:tc>
        <w:tc>
          <w:tcPr>
            <w:tcW w:w="1756" w:type="dxa"/>
            <w:tcBorders>
              <w:top w:val="nil"/>
              <w:left w:val="single" w:sz="4" w:space="0" w:color="auto"/>
              <w:bottom w:val="nil"/>
              <w:right w:val="single" w:sz="4" w:space="0" w:color="auto"/>
            </w:tcBorders>
          </w:tcPr>
          <w:p w14:paraId="2FDE6B25" w14:textId="77777777" w:rsidR="00D14E2E" w:rsidRPr="00D14E2E" w:rsidRDefault="00D14E2E" w:rsidP="00D14E2E">
            <w:pPr>
              <w:ind w:right="624"/>
              <w:jc w:val="right"/>
              <w:rPr>
                <w:sz w:val="20"/>
                <w:szCs w:val="20"/>
              </w:rPr>
            </w:pPr>
            <w:r w:rsidRPr="00D14E2E">
              <w:rPr>
                <w:sz w:val="20"/>
                <w:szCs w:val="20"/>
              </w:rPr>
              <w:t>10.98</w:t>
            </w:r>
          </w:p>
        </w:tc>
        <w:tc>
          <w:tcPr>
            <w:tcW w:w="222" w:type="dxa"/>
            <w:tcBorders>
              <w:top w:val="nil"/>
              <w:left w:val="single" w:sz="4" w:space="0" w:color="auto"/>
              <w:bottom w:val="nil"/>
              <w:right w:val="single" w:sz="4" w:space="0" w:color="auto"/>
            </w:tcBorders>
          </w:tcPr>
          <w:p w14:paraId="02C13EBD"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4A909966" w14:textId="77777777" w:rsidR="00D14E2E" w:rsidRPr="00D14E2E" w:rsidRDefault="00D14E2E" w:rsidP="00D14E2E">
            <w:pPr>
              <w:ind w:right="624"/>
              <w:rPr>
                <w:sz w:val="20"/>
                <w:szCs w:val="20"/>
              </w:rPr>
            </w:pPr>
            <w:r w:rsidRPr="00D14E2E">
              <w:rPr>
                <w:sz w:val="20"/>
                <w:szCs w:val="20"/>
              </w:rPr>
              <w:t xml:space="preserve">Banamex </w:t>
            </w:r>
          </w:p>
        </w:tc>
        <w:tc>
          <w:tcPr>
            <w:tcW w:w="1701" w:type="dxa"/>
            <w:tcBorders>
              <w:top w:val="nil"/>
              <w:left w:val="single" w:sz="4" w:space="0" w:color="auto"/>
              <w:bottom w:val="nil"/>
              <w:right w:val="single" w:sz="4" w:space="0" w:color="auto"/>
            </w:tcBorders>
          </w:tcPr>
          <w:p w14:paraId="2859B580" w14:textId="77777777" w:rsidR="00D14E2E" w:rsidRPr="00D14E2E" w:rsidRDefault="00D14E2E" w:rsidP="00D14E2E">
            <w:pPr>
              <w:ind w:right="624"/>
              <w:jc w:val="right"/>
              <w:rPr>
                <w:sz w:val="20"/>
                <w:szCs w:val="20"/>
              </w:rPr>
            </w:pPr>
            <w:r w:rsidRPr="00D14E2E">
              <w:rPr>
                <w:sz w:val="20"/>
                <w:szCs w:val="20"/>
              </w:rPr>
              <w:t>9.78</w:t>
            </w:r>
          </w:p>
        </w:tc>
      </w:tr>
      <w:tr w:rsidR="00D14E2E" w:rsidRPr="00D14E2E" w14:paraId="3078C012" w14:textId="77777777" w:rsidTr="004727D3">
        <w:trPr>
          <w:jc w:val="center"/>
        </w:trPr>
        <w:tc>
          <w:tcPr>
            <w:tcW w:w="2344" w:type="dxa"/>
            <w:tcBorders>
              <w:top w:val="nil"/>
              <w:left w:val="single" w:sz="4" w:space="0" w:color="auto"/>
              <w:bottom w:val="nil"/>
              <w:right w:val="single" w:sz="4" w:space="0" w:color="auto"/>
            </w:tcBorders>
          </w:tcPr>
          <w:p w14:paraId="288A3C79" w14:textId="77777777" w:rsidR="00D14E2E" w:rsidRPr="00D14E2E" w:rsidRDefault="00D14E2E" w:rsidP="00D14E2E">
            <w:pPr>
              <w:rPr>
                <w:sz w:val="20"/>
                <w:szCs w:val="20"/>
              </w:rPr>
            </w:pPr>
            <w:r w:rsidRPr="00D14E2E">
              <w:rPr>
                <w:sz w:val="20"/>
                <w:szCs w:val="20"/>
              </w:rPr>
              <w:t>PensionISSSTE</w:t>
            </w:r>
          </w:p>
        </w:tc>
        <w:tc>
          <w:tcPr>
            <w:tcW w:w="1756" w:type="dxa"/>
            <w:tcBorders>
              <w:top w:val="nil"/>
              <w:left w:val="single" w:sz="4" w:space="0" w:color="auto"/>
              <w:bottom w:val="nil"/>
              <w:right w:val="single" w:sz="4" w:space="0" w:color="auto"/>
            </w:tcBorders>
          </w:tcPr>
          <w:p w14:paraId="5A3EB104" w14:textId="77777777" w:rsidR="00D14E2E" w:rsidRPr="00D14E2E" w:rsidRDefault="00D14E2E" w:rsidP="00D14E2E">
            <w:pPr>
              <w:ind w:right="624"/>
              <w:jc w:val="right"/>
              <w:rPr>
                <w:sz w:val="20"/>
                <w:szCs w:val="20"/>
              </w:rPr>
            </w:pPr>
            <w:r w:rsidRPr="00D14E2E">
              <w:rPr>
                <w:sz w:val="20"/>
                <w:szCs w:val="20"/>
              </w:rPr>
              <w:t>10.79</w:t>
            </w:r>
          </w:p>
        </w:tc>
        <w:tc>
          <w:tcPr>
            <w:tcW w:w="222" w:type="dxa"/>
            <w:tcBorders>
              <w:top w:val="nil"/>
              <w:left w:val="single" w:sz="4" w:space="0" w:color="auto"/>
              <w:bottom w:val="nil"/>
              <w:right w:val="single" w:sz="4" w:space="0" w:color="auto"/>
            </w:tcBorders>
          </w:tcPr>
          <w:p w14:paraId="3219D619"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24374949" w14:textId="77777777" w:rsidR="00D14E2E" w:rsidRPr="00D14E2E" w:rsidRDefault="00D14E2E" w:rsidP="00D14E2E">
            <w:pPr>
              <w:ind w:right="624"/>
              <w:rPr>
                <w:sz w:val="20"/>
                <w:szCs w:val="20"/>
              </w:rPr>
            </w:pPr>
            <w:r w:rsidRPr="00D14E2E">
              <w:rPr>
                <w:sz w:val="20"/>
                <w:szCs w:val="20"/>
              </w:rPr>
              <w:t>Profuturo GNP</w:t>
            </w:r>
          </w:p>
        </w:tc>
        <w:tc>
          <w:tcPr>
            <w:tcW w:w="1701" w:type="dxa"/>
            <w:tcBorders>
              <w:top w:val="nil"/>
              <w:left w:val="single" w:sz="4" w:space="0" w:color="auto"/>
              <w:bottom w:val="nil"/>
              <w:right w:val="single" w:sz="4" w:space="0" w:color="auto"/>
            </w:tcBorders>
          </w:tcPr>
          <w:p w14:paraId="780344F1" w14:textId="77777777" w:rsidR="00D14E2E" w:rsidRPr="00D14E2E" w:rsidRDefault="00D14E2E" w:rsidP="00D14E2E">
            <w:pPr>
              <w:ind w:right="624"/>
              <w:jc w:val="right"/>
              <w:rPr>
                <w:sz w:val="20"/>
                <w:szCs w:val="20"/>
              </w:rPr>
            </w:pPr>
            <w:r w:rsidRPr="00D14E2E">
              <w:rPr>
                <w:sz w:val="20"/>
                <w:szCs w:val="20"/>
              </w:rPr>
              <w:t>9.61</w:t>
            </w:r>
          </w:p>
        </w:tc>
      </w:tr>
      <w:tr w:rsidR="00D14E2E" w:rsidRPr="00D14E2E" w14:paraId="2896728D" w14:textId="77777777" w:rsidTr="004727D3">
        <w:trPr>
          <w:jc w:val="center"/>
        </w:trPr>
        <w:tc>
          <w:tcPr>
            <w:tcW w:w="2344" w:type="dxa"/>
            <w:tcBorders>
              <w:top w:val="nil"/>
              <w:left w:val="single" w:sz="4" w:space="0" w:color="auto"/>
              <w:bottom w:val="nil"/>
              <w:right w:val="single" w:sz="4" w:space="0" w:color="auto"/>
            </w:tcBorders>
          </w:tcPr>
          <w:p w14:paraId="236D4962" w14:textId="77777777" w:rsidR="00D14E2E" w:rsidRPr="00D14E2E" w:rsidRDefault="00D14E2E" w:rsidP="00D14E2E">
            <w:pPr>
              <w:rPr>
                <w:sz w:val="20"/>
                <w:szCs w:val="20"/>
              </w:rPr>
            </w:pPr>
            <w:r w:rsidRPr="00D14E2E">
              <w:rPr>
                <w:sz w:val="20"/>
                <w:szCs w:val="20"/>
              </w:rPr>
              <w:t>MetLife</w:t>
            </w:r>
          </w:p>
        </w:tc>
        <w:tc>
          <w:tcPr>
            <w:tcW w:w="1756" w:type="dxa"/>
            <w:tcBorders>
              <w:top w:val="nil"/>
              <w:left w:val="single" w:sz="4" w:space="0" w:color="auto"/>
              <w:bottom w:val="nil"/>
              <w:right w:val="single" w:sz="4" w:space="0" w:color="auto"/>
            </w:tcBorders>
          </w:tcPr>
          <w:p w14:paraId="32A4FC16" w14:textId="77777777" w:rsidR="00D14E2E" w:rsidRPr="00D14E2E" w:rsidRDefault="00D14E2E" w:rsidP="00D14E2E">
            <w:pPr>
              <w:ind w:right="624"/>
              <w:jc w:val="right"/>
              <w:rPr>
                <w:sz w:val="20"/>
                <w:szCs w:val="20"/>
              </w:rPr>
            </w:pPr>
            <w:r w:rsidRPr="00D14E2E">
              <w:rPr>
                <w:sz w:val="20"/>
                <w:szCs w:val="20"/>
              </w:rPr>
              <w:t>10.33</w:t>
            </w:r>
          </w:p>
        </w:tc>
        <w:tc>
          <w:tcPr>
            <w:tcW w:w="222" w:type="dxa"/>
            <w:tcBorders>
              <w:top w:val="nil"/>
              <w:left w:val="single" w:sz="4" w:space="0" w:color="auto"/>
              <w:bottom w:val="nil"/>
              <w:right w:val="single" w:sz="4" w:space="0" w:color="auto"/>
            </w:tcBorders>
          </w:tcPr>
          <w:p w14:paraId="7E679667"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6701F962" w14:textId="77777777" w:rsidR="00D14E2E" w:rsidRPr="00D14E2E" w:rsidRDefault="00D14E2E" w:rsidP="00D14E2E">
            <w:pPr>
              <w:ind w:right="624"/>
              <w:rPr>
                <w:sz w:val="20"/>
                <w:szCs w:val="20"/>
              </w:rPr>
            </w:pPr>
            <w:r w:rsidRPr="00D14E2E">
              <w:rPr>
                <w:sz w:val="20"/>
                <w:szCs w:val="20"/>
              </w:rPr>
              <w:t>MetLife</w:t>
            </w:r>
          </w:p>
        </w:tc>
        <w:tc>
          <w:tcPr>
            <w:tcW w:w="1701" w:type="dxa"/>
            <w:tcBorders>
              <w:top w:val="nil"/>
              <w:left w:val="single" w:sz="4" w:space="0" w:color="auto"/>
              <w:bottom w:val="nil"/>
              <w:right w:val="single" w:sz="4" w:space="0" w:color="auto"/>
            </w:tcBorders>
          </w:tcPr>
          <w:p w14:paraId="51C90A21" w14:textId="77777777" w:rsidR="00D14E2E" w:rsidRPr="00D14E2E" w:rsidRDefault="00D14E2E" w:rsidP="00D14E2E">
            <w:pPr>
              <w:ind w:right="624"/>
              <w:jc w:val="right"/>
              <w:rPr>
                <w:sz w:val="20"/>
                <w:szCs w:val="20"/>
              </w:rPr>
            </w:pPr>
            <w:r w:rsidRPr="00D14E2E">
              <w:rPr>
                <w:sz w:val="20"/>
                <w:szCs w:val="20"/>
              </w:rPr>
              <w:t>9.32</w:t>
            </w:r>
          </w:p>
        </w:tc>
      </w:tr>
      <w:tr w:rsidR="00D14E2E" w:rsidRPr="00D14E2E" w14:paraId="13489585" w14:textId="77777777" w:rsidTr="004727D3">
        <w:trPr>
          <w:jc w:val="center"/>
        </w:trPr>
        <w:tc>
          <w:tcPr>
            <w:tcW w:w="2344" w:type="dxa"/>
            <w:tcBorders>
              <w:top w:val="nil"/>
              <w:left w:val="single" w:sz="4" w:space="0" w:color="auto"/>
              <w:bottom w:val="nil"/>
              <w:right w:val="single" w:sz="4" w:space="0" w:color="auto"/>
            </w:tcBorders>
          </w:tcPr>
          <w:p w14:paraId="2EB5478B" w14:textId="77777777" w:rsidR="00D14E2E" w:rsidRPr="00D14E2E" w:rsidRDefault="00D14E2E" w:rsidP="00D14E2E">
            <w:pPr>
              <w:rPr>
                <w:sz w:val="20"/>
                <w:szCs w:val="20"/>
              </w:rPr>
            </w:pPr>
            <w:r w:rsidRPr="00D14E2E">
              <w:rPr>
                <w:sz w:val="20"/>
                <w:szCs w:val="20"/>
              </w:rPr>
              <w:t>Invercap</w:t>
            </w:r>
          </w:p>
        </w:tc>
        <w:tc>
          <w:tcPr>
            <w:tcW w:w="1756" w:type="dxa"/>
            <w:tcBorders>
              <w:top w:val="nil"/>
              <w:left w:val="single" w:sz="4" w:space="0" w:color="auto"/>
              <w:bottom w:val="nil"/>
              <w:right w:val="single" w:sz="4" w:space="0" w:color="auto"/>
            </w:tcBorders>
          </w:tcPr>
          <w:p w14:paraId="7B865B6F" w14:textId="77777777" w:rsidR="00D14E2E" w:rsidRPr="00D14E2E" w:rsidRDefault="00D14E2E" w:rsidP="00D14E2E">
            <w:pPr>
              <w:ind w:right="624"/>
              <w:jc w:val="right"/>
              <w:rPr>
                <w:sz w:val="20"/>
                <w:szCs w:val="20"/>
              </w:rPr>
            </w:pPr>
            <w:r w:rsidRPr="00D14E2E">
              <w:rPr>
                <w:sz w:val="20"/>
                <w:szCs w:val="20"/>
              </w:rPr>
              <w:t>10.12</w:t>
            </w:r>
          </w:p>
        </w:tc>
        <w:tc>
          <w:tcPr>
            <w:tcW w:w="222" w:type="dxa"/>
            <w:tcBorders>
              <w:top w:val="nil"/>
              <w:left w:val="single" w:sz="4" w:space="0" w:color="auto"/>
              <w:bottom w:val="nil"/>
              <w:right w:val="single" w:sz="4" w:space="0" w:color="auto"/>
            </w:tcBorders>
          </w:tcPr>
          <w:p w14:paraId="6C6EBD83"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6F694518" w14:textId="77777777" w:rsidR="00D14E2E" w:rsidRPr="00D14E2E" w:rsidRDefault="00D14E2E" w:rsidP="00D14E2E">
            <w:pPr>
              <w:ind w:right="624"/>
              <w:rPr>
                <w:sz w:val="20"/>
                <w:szCs w:val="20"/>
              </w:rPr>
            </w:pPr>
            <w:r w:rsidRPr="00D14E2E">
              <w:rPr>
                <w:sz w:val="20"/>
                <w:szCs w:val="20"/>
              </w:rPr>
              <w:t>Invercap</w:t>
            </w:r>
          </w:p>
        </w:tc>
        <w:tc>
          <w:tcPr>
            <w:tcW w:w="1701" w:type="dxa"/>
            <w:tcBorders>
              <w:top w:val="nil"/>
              <w:left w:val="single" w:sz="4" w:space="0" w:color="auto"/>
              <w:bottom w:val="nil"/>
              <w:right w:val="single" w:sz="4" w:space="0" w:color="auto"/>
            </w:tcBorders>
          </w:tcPr>
          <w:p w14:paraId="348CA953" w14:textId="77777777" w:rsidR="00D14E2E" w:rsidRPr="00D14E2E" w:rsidRDefault="00D14E2E" w:rsidP="00D14E2E">
            <w:pPr>
              <w:ind w:right="624"/>
              <w:jc w:val="right"/>
              <w:rPr>
                <w:sz w:val="20"/>
                <w:szCs w:val="20"/>
              </w:rPr>
            </w:pPr>
            <w:r w:rsidRPr="00D14E2E">
              <w:rPr>
                <w:sz w:val="20"/>
                <w:szCs w:val="20"/>
              </w:rPr>
              <w:t>9.25</w:t>
            </w:r>
          </w:p>
        </w:tc>
      </w:tr>
      <w:tr w:rsidR="00D14E2E" w:rsidRPr="00D14E2E" w14:paraId="76814AAF" w14:textId="77777777" w:rsidTr="004727D3">
        <w:trPr>
          <w:jc w:val="center"/>
        </w:trPr>
        <w:tc>
          <w:tcPr>
            <w:tcW w:w="2344" w:type="dxa"/>
            <w:tcBorders>
              <w:top w:val="nil"/>
              <w:left w:val="single" w:sz="4" w:space="0" w:color="auto"/>
              <w:bottom w:val="nil"/>
              <w:right w:val="single" w:sz="4" w:space="0" w:color="auto"/>
            </w:tcBorders>
          </w:tcPr>
          <w:p w14:paraId="629CC3EA" w14:textId="77777777" w:rsidR="00D14E2E" w:rsidRPr="00D14E2E" w:rsidRDefault="00D14E2E" w:rsidP="00D14E2E">
            <w:pPr>
              <w:rPr>
                <w:sz w:val="20"/>
                <w:szCs w:val="20"/>
              </w:rPr>
            </w:pPr>
            <w:r w:rsidRPr="00D14E2E">
              <w:rPr>
                <w:sz w:val="20"/>
                <w:szCs w:val="20"/>
              </w:rPr>
              <w:t>XXI-Banorte</w:t>
            </w:r>
          </w:p>
        </w:tc>
        <w:tc>
          <w:tcPr>
            <w:tcW w:w="1756" w:type="dxa"/>
            <w:tcBorders>
              <w:top w:val="nil"/>
              <w:left w:val="single" w:sz="4" w:space="0" w:color="auto"/>
              <w:bottom w:val="nil"/>
              <w:right w:val="single" w:sz="4" w:space="0" w:color="auto"/>
            </w:tcBorders>
          </w:tcPr>
          <w:p w14:paraId="3314D57B" w14:textId="77777777" w:rsidR="00D14E2E" w:rsidRPr="00D14E2E" w:rsidRDefault="00D14E2E" w:rsidP="00D14E2E">
            <w:pPr>
              <w:ind w:right="624"/>
              <w:jc w:val="right"/>
              <w:rPr>
                <w:sz w:val="20"/>
                <w:szCs w:val="20"/>
              </w:rPr>
            </w:pPr>
            <w:r w:rsidRPr="00D14E2E">
              <w:rPr>
                <w:sz w:val="20"/>
                <w:szCs w:val="20"/>
              </w:rPr>
              <w:t>9.95</w:t>
            </w:r>
          </w:p>
        </w:tc>
        <w:tc>
          <w:tcPr>
            <w:tcW w:w="222" w:type="dxa"/>
            <w:tcBorders>
              <w:top w:val="nil"/>
              <w:left w:val="single" w:sz="4" w:space="0" w:color="auto"/>
              <w:bottom w:val="nil"/>
              <w:right w:val="single" w:sz="4" w:space="0" w:color="auto"/>
            </w:tcBorders>
          </w:tcPr>
          <w:p w14:paraId="414E919F"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7E35549A" w14:textId="77777777" w:rsidR="00D14E2E" w:rsidRPr="00D14E2E" w:rsidRDefault="00D14E2E" w:rsidP="00D14E2E">
            <w:pPr>
              <w:ind w:right="624"/>
              <w:rPr>
                <w:sz w:val="20"/>
                <w:szCs w:val="20"/>
              </w:rPr>
            </w:pPr>
            <w:r w:rsidRPr="00D14E2E">
              <w:rPr>
                <w:sz w:val="20"/>
                <w:szCs w:val="20"/>
              </w:rPr>
              <w:t>XXI-Banorte</w:t>
            </w:r>
          </w:p>
        </w:tc>
        <w:tc>
          <w:tcPr>
            <w:tcW w:w="1701" w:type="dxa"/>
            <w:tcBorders>
              <w:top w:val="nil"/>
              <w:left w:val="single" w:sz="4" w:space="0" w:color="auto"/>
              <w:bottom w:val="nil"/>
              <w:right w:val="single" w:sz="4" w:space="0" w:color="auto"/>
            </w:tcBorders>
          </w:tcPr>
          <w:p w14:paraId="5EFBA1F6" w14:textId="77777777" w:rsidR="00D14E2E" w:rsidRPr="00D14E2E" w:rsidRDefault="00D14E2E" w:rsidP="00D14E2E">
            <w:pPr>
              <w:ind w:right="624"/>
              <w:jc w:val="right"/>
              <w:rPr>
                <w:sz w:val="20"/>
                <w:szCs w:val="20"/>
              </w:rPr>
            </w:pPr>
            <w:r w:rsidRPr="00D14E2E">
              <w:rPr>
                <w:sz w:val="20"/>
                <w:szCs w:val="20"/>
              </w:rPr>
              <w:t>9.13</w:t>
            </w:r>
          </w:p>
        </w:tc>
      </w:tr>
      <w:tr w:rsidR="00D14E2E" w:rsidRPr="00D14E2E" w14:paraId="3A87C226" w14:textId="77777777" w:rsidTr="004727D3">
        <w:trPr>
          <w:jc w:val="center"/>
        </w:trPr>
        <w:tc>
          <w:tcPr>
            <w:tcW w:w="2344" w:type="dxa"/>
            <w:tcBorders>
              <w:top w:val="nil"/>
              <w:left w:val="single" w:sz="4" w:space="0" w:color="auto"/>
              <w:bottom w:val="nil"/>
              <w:right w:val="single" w:sz="4" w:space="0" w:color="auto"/>
            </w:tcBorders>
          </w:tcPr>
          <w:p w14:paraId="591B0020" w14:textId="77777777" w:rsidR="00D14E2E" w:rsidRPr="00D14E2E" w:rsidRDefault="00D14E2E" w:rsidP="00D14E2E">
            <w:pPr>
              <w:rPr>
                <w:sz w:val="20"/>
                <w:szCs w:val="20"/>
              </w:rPr>
            </w:pPr>
            <w:r w:rsidRPr="00D14E2E">
              <w:rPr>
                <w:sz w:val="20"/>
                <w:szCs w:val="20"/>
              </w:rPr>
              <w:t>Principal</w:t>
            </w:r>
          </w:p>
        </w:tc>
        <w:tc>
          <w:tcPr>
            <w:tcW w:w="1756" w:type="dxa"/>
            <w:tcBorders>
              <w:top w:val="nil"/>
              <w:left w:val="single" w:sz="4" w:space="0" w:color="auto"/>
              <w:bottom w:val="nil"/>
              <w:right w:val="single" w:sz="4" w:space="0" w:color="auto"/>
            </w:tcBorders>
          </w:tcPr>
          <w:p w14:paraId="7BE0C2D5" w14:textId="77777777" w:rsidR="00D14E2E" w:rsidRPr="00D14E2E" w:rsidRDefault="00D14E2E" w:rsidP="00D14E2E">
            <w:pPr>
              <w:ind w:right="624"/>
              <w:jc w:val="right"/>
              <w:rPr>
                <w:sz w:val="20"/>
                <w:szCs w:val="20"/>
              </w:rPr>
            </w:pPr>
            <w:r w:rsidRPr="00D14E2E">
              <w:rPr>
                <w:sz w:val="20"/>
                <w:szCs w:val="20"/>
              </w:rPr>
              <w:t>9.57</w:t>
            </w:r>
          </w:p>
        </w:tc>
        <w:tc>
          <w:tcPr>
            <w:tcW w:w="222" w:type="dxa"/>
            <w:tcBorders>
              <w:top w:val="nil"/>
              <w:left w:val="single" w:sz="4" w:space="0" w:color="auto"/>
              <w:bottom w:val="nil"/>
              <w:right w:val="single" w:sz="4" w:space="0" w:color="auto"/>
            </w:tcBorders>
          </w:tcPr>
          <w:p w14:paraId="789F6534"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15FA779A" w14:textId="77777777" w:rsidR="00D14E2E" w:rsidRPr="00D14E2E" w:rsidRDefault="00D14E2E" w:rsidP="00D14E2E">
            <w:pPr>
              <w:ind w:right="624"/>
              <w:rPr>
                <w:sz w:val="20"/>
                <w:szCs w:val="20"/>
              </w:rPr>
            </w:pPr>
            <w:r w:rsidRPr="00D14E2E">
              <w:rPr>
                <w:sz w:val="20"/>
                <w:szCs w:val="20"/>
              </w:rPr>
              <w:t>Principal</w:t>
            </w:r>
          </w:p>
        </w:tc>
        <w:tc>
          <w:tcPr>
            <w:tcW w:w="1701" w:type="dxa"/>
            <w:tcBorders>
              <w:top w:val="nil"/>
              <w:left w:val="single" w:sz="4" w:space="0" w:color="auto"/>
              <w:bottom w:val="nil"/>
              <w:right w:val="single" w:sz="4" w:space="0" w:color="auto"/>
            </w:tcBorders>
          </w:tcPr>
          <w:p w14:paraId="44CAFE3A" w14:textId="77777777" w:rsidR="00D14E2E" w:rsidRPr="00D14E2E" w:rsidRDefault="00D14E2E" w:rsidP="00D14E2E">
            <w:pPr>
              <w:ind w:right="624"/>
              <w:jc w:val="right"/>
              <w:rPr>
                <w:sz w:val="20"/>
                <w:szCs w:val="20"/>
              </w:rPr>
            </w:pPr>
            <w:r w:rsidRPr="00D14E2E">
              <w:rPr>
                <w:sz w:val="20"/>
                <w:szCs w:val="20"/>
              </w:rPr>
              <w:t>8.65</w:t>
            </w:r>
          </w:p>
        </w:tc>
      </w:tr>
      <w:tr w:rsidR="00D14E2E" w:rsidRPr="00D14E2E" w14:paraId="3AE8E092" w14:textId="77777777" w:rsidTr="004727D3">
        <w:trPr>
          <w:jc w:val="center"/>
        </w:trPr>
        <w:tc>
          <w:tcPr>
            <w:tcW w:w="2344" w:type="dxa"/>
            <w:tcBorders>
              <w:top w:val="nil"/>
              <w:left w:val="single" w:sz="4" w:space="0" w:color="auto"/>
              <w:bottom w:val="nil"/>
              <w:right w:val="single" w:sz="4" w:space="0" w:color="auto"/>
            </w:tcBorders>
          </w:tcPr>
          <w:p w14:paraId="053005CC" w14:textId="77777777" w:rsidR="00D14E2E" w:rsidRPr="00D14E2E" w:rsidRDefault="00D14E2E" w:rsidP="00D14E2E">
            <w:pPr>
              <w:rPr>
                <w:sz w:val="20"/>
                <w:szCs w:val="20"/>
              </w:rPr>
            </w:pPr>
            <w:r w:rsidRPr="00D14E2E">
              <w:rPr>
                <w:sz w:val="20"/>
                <w:szCs w:val="20"/>
              </w:rPr>
              <w:t>Azteca</w:t>
            </w:r>
          </w:p>
        </w:tc>
        <w:tc>
          <w:tcPr>
            <w:tcW w:w="1756" w:type="dxa"/>
            <w:tcBorders>
              <w:top w:val="nil"/>
              <w:left w:val="single" w:sz="4" w:space="0" w:color="auto"/>
              <w:bottom w:val="nil"/>
              <w:right w:val="single" w:sz="4" w:space="0" w:color="auto"/>
            </w:tcBorders>
          </w:tcPr>
          <w:p w14:paraId="1E5B1C5B" w14:textId="77777777" w:rsidR="00D14E2E" w:rsidRPr="00D14E2E" w:rsidRDefault="00D14E2E" w:rsidP="00D14E2E">
            <w:pPr>
              <w:ind w:right="624"/>
              <w:jc w:val="right"/>
              <w:rPr>
                <w:sz w:val="20"/>
                <w:szCs w:val="20"/>
              </w:rPr>
            </w:pPr>
            <w:r w:rsidRPr="00D14E2E">
              <w:rPr>
                <w:sz w:val="20"/>
                <w:szCs w:val="20"/>
              </w:rPr>
              <w:t>8.45</w:t>
            </w:r>
          </w:p>
        </w:tc>
        <w:tc>
          <w:tcPr>
            <w:tcW w:w="222" w:type="dxa"/>
            <w:tcBorders>
              <w:top w:val="nil"/>
              <w:left w:val="single" w:sz="4" w:space="0" w:color="auto"/>
              <w:bottom w:val="nil"/>
              <w:right w:val="single" w:sz="4" w:space="0" w:color="auto"/>
            </w:tcBorders>
          </w:tcPr>
          <w:p w14:paraId="285BA035"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5E1DE03A" w14:textId="77777777" w:rsidR="00D14E2E" w:rsidRPr="00D14E2E" w:rsidRDefault="00D14E2E" w:rsidP="00D14E2E">
            <w:pPr>
              <w:ind w:right="624"/>
              <w:rPr>
                <w:sz w:val="20"/>
                <w:szCs w:val="20"/>
              </w:rPr>
            </w:pPr>
            <w:r w:rsidRPr="00D14E2E">
              <w:rPr>
                <w:sz w:val="20"/>
                <w:szCs w:val="20"/>
              </w:rPr>
              <w:t>Azteca</w:t>
            </w:r>
          </w:p>
        </w:tc>
        <w:tc>
          <w:tcPr>
            <w:tcW w:w="1701" w:type="dxa"/>
            <w:tcBorders>
              <w:top w:val="nil"/>
              <w:left w:val="single" w:sz="4" w:space="0" w:color="auto"/>
              <w:bottom w:val="nil"/>
              <w:right w:val="single" w:sz="4" w:space="0" w:color="auto"/>
            </w:tcBorders>
          </w:tcPr>
          <w:p w14:paraId="3B2FFC25" w14:textId="77777777" w:rsidR="00D14E2E" w:rsidRPr="00D14E2E" w:rsidRDefault="00D14E2E" w:rsidP="00D14E2E">
            <w:pPr>
              <w:ind w:right="624"/>
              <w:jc w:val="right"/>
              <w:rPr>
                <w:sz w:val="20"/>
                <w:szCs w:val="20"/>
              </w:rPr>
            </w:pPr>
            <w:r w:rsidRPr="00D14E2E">
              <w:rPr>
                <w:sz w:val="20"/>
                <w:szCs w:val="20"/>
              </w:rPr>
              <w:t>8.08</w:t>
            </w:r>
          </w:p>
        </w:tc>
      </w:tr>
      <w:tr w:rsidR="00D14E2E" w:rsidRPr="00D14E2E" w14:paraId="22381FBA" w14:textId="77777777" w:rsidTr="004727D3">
        <w:trPr>
          <w:jc w:val="center"/>
        </w:trPr>
        <w:tc>
          <w:tcPr>
            <w:tcW w:w="2344" w:type="dxa"/>
            <w:tcBorders>
              <w:top w:val="nil"/>
              <w:left w:val="single" w:sz="4" w:space="0" w:color="auto"/>
              <w:bottom w:val="nil"/>
              <w:right w:val="single" w:sz="4" w:space="0" w:color="auto"/>
            </w:tcBorders>
          </w:tcPr>
          <w:p w14:paraId="12FC25AC" w14:textId="77777777" w:rsidR="00D14E2E" w:rsidRPr="00D14E2E" w:rsidRDefault="00D14E2E" w:rsidP="00D14E2E">
            <w:pPr>
              <w:rPr>
                <w:sz w:val="20"/>
                <w:szCs w:val="20"/>
              </w:rPr>
            </w:pPr>
            <w:r w:rsidRPr="00D14E2E">
              <w:rPr>
                <w:sz w:val="20"/>
                <w:szCs w:val="20"/>
              </w:rPr>
              <w:t>Coppel</w:t>
            </w:r>
          </w:p>
        </w:tc>
        <w:tc>
          <w:tcPr>
            <w:tcW w:w="1756" w:type="dxa"/>
            <w:tcBorders>
              <w:top w:val="nil"/>
              <w:left w:val="single" w:sz="4" w:space="0" w:color="auto"/>
              <w:bottom w:val="nil"/>
              <w:right w:val="single" w:sz="4" w:space="0" w:color="auto"/>
            </w:tcBorders>
          </w:tcPr>
          <w:p w14:paraId="6E3DE8C9" w14:textId="77777777" w:rsidR="00D14E2E" w:rsidRPr="00D14E2E" w:rsidRDefault="00D14E2E" w:rsidP="00D14E2E">
            <w:pPr>
              <w:ind w:right="624"/>
              <w:jc w:val="right"/>
              <w:rPr>
                <w:sz w:val="20"/>
                <w:szCs w:val="20"/>
              </w:rPr>
            </w:pPr>
            <w:r w:rsidRPr="00D14E2E">
              <w:rPr>
                <w:sz w:val="20"/>
                <w:szCs w:val="20"/>
              </w:rPr>
              <w:t>7.82</w:t>
            </w:r>
          </w:p>
        </w:tc>
        <w:tc>
          <w:tcPr>
            <w:tcW w:w="222" w:type="dxa"/>
            <w:tcBorders>
              <w:top w:val="nil"/>
              <w:left w:val="single" w:sz="4" w:space="0" w:color="auto"/>
              <w:bottom w:val="nil"/>
              <w:right w:val="single" w:sz="4" w:space="0" w:color="auto"/>
            </w:tcBorders>
          </w:tcPr>
          <w:p w14:paraId="581854CA"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3879A745" w14:textId="77777777" w:rsidR="00D14E2E" w:rsidRPr="00D14E2E" w:rsidRDefault="00D14E2E" w:rsidP="00D14E2E">
            <w:pPr>
              <w:ind w:right="624"/>
              <w:rPr>
                <w:sz w:val="20"/>
                <w:szCs w:val="20"/>
              </w:rPr>
            </w:pPr>
            <w:r w:rsidRPr="00D14E2E">
              <w:rPr>
                <w:sz w:val="20"/>
                <w:szCs w:val="20"/>
              </w:rPr>
              <w:t>Coppel</w:t>
            </w:r>
          </w:p>
        </w:tc>
        <w:tc>
          <w:tcPr>
            <w:tcW w:w="1701" w:type="dxa"/>
            <w:tcBorders>
              <w:top w:val="nil"/>
              <w:left w:val="single" w:sz="4" w:space="0" w:color="auto"/>
              <w:bottom w:val="nil"/>
              <w:right w:val="single" w:sz="4" w:space="0" w:color="auto"/>
            </w:tcBorders>
          </w:tcPr>
          <w:p w14:paraId="2E12CC66" w14:textId="77777777" w:rsidR="00D14E2E" w:rsidRPr="00D14E2E" w:rsidRDefault="00D14E2E" w:rsidP="00D14E2E">
            <w:pPr>
              <w:ind w:right="624"/>
              <w:jc w:val="right"/>
              <w:rPr>
                <w:sz w:val="20"/>
                <w:szCs w:val="20"/>
              </w:rPr>
            </w:pPr>
            <w:r w:rsidRPr="00D14E2E">
              <w:rPr>
                <w:sz w:val="20"/>
                <w:szCs w:val="20"/>
              </w:rPr>
              <w:t>7.55</w:t>
            </w:r>
          </w:p>
        </w:tc>
      </w:tr>
      <w:tr w:rsidR="00D14E2E" w:rsidRPr="00D14E2E" w14:paraId="5DABFC5A" w14:textId="77777777" w:rsidTr="004727D3">
        <w:trPr>
          <w:jc w:val="center"/>
        </w:trPr>
        <w:tc>
          <w:tcPr>
            <w:tcW w:w="2344" w:type="dxa"/>
            <w:tcBorders>
              <w:top w:val="nil"/>
              <w:left w:val="single" w:sz="4" w:space="0" w:color="auto"/>
              <w:bottom w:val="nil"/>
              <w:right w:val="single" w:sz="4" w:space="0" w:color="auto"/>
            </w:tcBorders>
          </w:tcPr>
          <w:p w14:paraId="5E25DEA9" w14:textId="77777777" w:rsidR="00D14E2E" w:rsidRPr="00D14E2E" w:rsidRDefault="00D14E2E" w:rsidP="00D14E2E">
            <w:pPr>
              <w:rPr>
                <w:sz w:val="20"/>
                <w:szCs w:val="20"/>
              </w:rPr>
            </w:pPr>
            <w:r w:rsidRPr="00D14E2E">
              <w:rPr>
                <w:sz w:val="20"/>
                <w:szCs w:val="20"/>
              </w:rPr>
              <w:t>Inbursa</w:t>
            </w:r>
          </w:p>
        </w:tc>
        <w:tc>
          <w:tcPr>
            <w:tcW w:w="1756" w:type="dxa"/>
            <w:tcBorders>
              <w:top w:val="nil"/>
              <w:left w:val="single" w:sz="4" w:space="0" w:color="auto"/>
              <w:bottom w:val="nil"/>
              <w:right w:val="single" w:sz="4" w:space="0" w:color="auto"/>
            </w:tcBorders>
          </w:tcPr>
          <w:p w14:paraId="6DDBED28" w14:textId="77777777" w:rsidR="00D14E2E" w:rsidRPr="00D14E2E" w:rsidRDefault="00D14E2E" w:rsidP="00D14E2E">
            <w:pPr>
              <w:ind w:right="624"/>
              <w:jc w:val="right"/>
              <w:rPr>
                <w:sz w:val="20"/>
                <w:szCs w:val="20"/>
              </w:rPr>
            </w:pPr>
            <w:r w:rsidRPr="00D14E2E">
              <w:rPr>
                <w:sz w:val="20"/>
                <w:szCs w:val="20"/>
              </w:rPr>
              <w:t>6.14</w:t>
            </w:r>
          </w:p>
        </w:tc>
        <w:tc>
          <w:tcPr>
            <w:tcW w:w="222" w:type="dxa"/>
            <w:tcBorders>
              <w:top w:val="nil"/>
              <w:left w:val="single" w:sz="4" w:space="0" w:color="auto"/>
              <w:bottom w:val="nil"/>
              <w:right w:val="single" w:sz="4" w:space="0" w:color="auto"/>
            </w:tcBorders>
          </w:tcPr>
          <w:p w14:paraId="292609B9" w14:textId="77777777" w:rsidR="00D14E2E" w:rsidRPr="00D14E2E" w:rsidRDefault="00D14E2E" w:rsidP="00D14E2E">
            <w:pPr>
              <w:ind w:right="624"/>
              <w:jc w:val="right"/>
              <w:rPr>
                <w:sz w:val="20"/>
                <w:szCs w:val="20"/>
              </w:rPr>
            </w:pPr>
          </w:p>
        </w:tc>
        <w:tc>
          <w:tcPr>
            <w:tcW w:w="2341" w:type="dxa"/>
            <w:tcBorders>
              <w:top w:val="nil"/>
              <w:left w:val="single" w:sz="4" w:space="0" w:color="auto"/>
              <w:bottom w:val="nil"/>
              <w:right w:val="single" w:sz="4" w:space="0" w:color="auto"/>
            </w:tcBorders>
          </w:tcPr>
          <w:p w14:paraId="334FD127" w14:textId="77777777" w:rsidR="00D14E2E" w:rsidRPr="00D14E2E" w:rsidRDefault="00D14E2E" w:rsidP="00D14E2E">
            <w:pPr>
              <w:ind w:right="624"/>
              <w:rPr>
                <w:sz w:val="20"/>
                <w:szCs w:val="20"/>
              </w:rPr>
            </w:pPr>
            <w:r w:rsidRPr="00D14E2E">
              <w:rPr>
                <w:sz w:val="20"/>
                <w:szCs w:val="20"/>
              </w:rPr>
              <w:t>Inbursa</w:t>
            </w:r>
          </w:p>
        </w:tc>
        <w:tc>
          <w:tcPr>
            <w:tcW w:w="1701" w:type="dxa"/>
            <w:tcBorders>
              <w:top w:val="nil"/>
              <w:left w:val="single" w:sz="4" w:space="0" w:color="auto"/>
              <w:bottom w:val="nil"/>
              <w:right w:val="single" w:sz="4" w:space="0" w:color="auto"/>
            </w:tcBorders>
          </w:tcPr>
          <w:p w14:paraId="1817A1EF" w14:textId="77777777" w:rsidR="00D14E2E" w:rsidRPr="00D14E2E" w:rsidRDefault="00D14E2E" w:rsidP="00D14E2E">
            <w:pPr>
              <w:ind w:right="624"/>
              <w:jc w:val="right"/>
              <w:rPr>
                <w:sz w:val="20"/>
                <w:szCs w:val="20"/>
              </w:rPr>
            </w:pPr>
            <w:r w:rsidRPr="00D14E2E">
              <w:rPr>
                <w:sz w:val="20"/>
                <w:szCs w:val="20"/>
              </w:rPr>
              <w:t>5.65</w:t>
            </w:r>
          </w:p>
        </w:tc>
      </w:tr>
      <w:tr w:rsidR="00D14E2E" w:rsidRPr="00D14E2E" w14:paraId="60552E92" w14:textId="77777777" w:rsidTr="004727D3">
        <w:trPr>
          <w:jc w:val="center"/>
        </w:trPr>
        <w:tc>
          <w:tcPr>
            <w:tcW w:w="2344" w:type="dxa"/>
            <w:tcBorders>
              <w:top w:val="nil"/>
              <w:left w:val="single" w:sz="4" w:space="0" w:color="auto"/>
              <w:bottom w:val="nil"/>
              <w:right w:val="single" w:sz="4" w:space="0" w:color="auto"/>
            </w:tcBorders>
          </w:tcPr>
          <w:p w14:paraId="29FD012F" w14:textId="77777777" w:rsidR="00D14E2E" w:rsidRPr="00D14E2E" w:rsidRDefault="00D14E2E" w:rsidP="00D14E2E">
            <w:pPr>
              <w:rPr>
                <w:b/>
                <w:sz w:val="20"/>
                <w:szCs w:val="20"/>
              </w:rPr>
            </w:pPr>
            <w:r w:rsidRPr="00D14E2E">
              <w:rPr>
                <w:b/>
                <w:sz w:val="20"/>
                <w:szCs w:val="20"/>
              </w:rPr>
              <w:t>Promedio Simple</w:t>
            </w:r>
          </w:p>
        </w:tc>
        <w:tc>
          <w:tcPr>
            <w:tcW w:w="1756" w:type="dxa"/>
            <w:tcBorders>
              <w:top w:val="nil"/>
              <w:left w:val="single" w:sz="4" w:space="0" w:color="auto"/>
              <w:bottom w:val="nil"/>
              <w:right w:val="single" w:sz="4" w:space="0" w:color="auto"/>
            </w:tcBorders>
          </w:tcPr>
          <w:p w14:paraId="6A231E8B" w14:textId="77777777" w:rsidR="00D14E2E" w:rsidRPr="00D14E2E" w:rsidRDefault="00D14E2E" w:rsidP="00D14E2E">
            <w:pPr>
              <w:ind w:right="624"/>
              <w:jc w:val="right"/>
              <w:rPr>
                <w:b/>
                <w:sz w:val="20"/>
                <w:szCs w:val="20"/>
              </w:rPr>
            </w:pPr>
            <w:r w:rsidRPr="00D14E2E">
              <w:rPr>
                <w:b/>
                <w:sz w:val="20"/>
                <w:szCs w:val="20"/>
              </w:rPr>
              <w:t>9.76</w:t>
            </w:r>
          </w:p>
        </w:tc>
        <w:tc>
          <w:tcPr>
            <w:tcW w:w="222" w:type="dxa"/>
            <w:tcBorders>
              <w:top w:val="nil"/>
              <w:left w:val="single" w:sz="4" w:space="0" w:color="auto"/>
              <w:bottom w:val="nil"/>
              <w:right w:val="single" w:sz="4" w:space="0" w:color="auto"/>
            </w:tcBorders>
          </w:tcPr>
          <w:p w14:paraId="6057BCB8" w14:textId="77777777" w:rsidR="00D14E2E" w:rsidRPr="00D14E2E" w:rsidRDefault="00D14E2E" w:rsidP="00D14E2E">
            <w:pPr>
              <w:ind w:right="624"/>
              <w:jc w:val="right"/>
              <w:rPr>
                <w:b/>
                <w:sz w:val="20"/>
                <w:szCs w:val="20"/>
              </w:rPr>
            </w:pPr>
          </w:p>
        </w:tc>
        <w:tc>
          <w:tcPr>
            <w:tcW w:w="2341" w:type="dxa"/>
            <w:tcBorders>
              <w:top w:val="nil"/>
              <w:left w:val="single" w:sz="4" w:space="0" w:color="auto"/>
              <w:bottom w:val="nil"/>
              <w:right w:val="single" w:sz="4" w:space="0" w:color="auto"/>
            </w:tcBorders>
          </w:tcPr>
          <w:p w14:paraId="20EFD336" w14:textId="77777777" w:rsidR="00D14E2E" w:rsidRPr="00D14E2E" w:rsidRDefault="00D14E2E" w:rsidP="00D14E2E">
            <w:pPr>
              <w:ind w:right="624"/>
              <w:rPr>
                <w:b/>
                <w:sz w:val="20"/>
                <w:szCs w:val="20"/>
              </w:rPr>
            </w:pPr>
            <w:r w:rsidRPr="00D14E2E">
              <w:rPr>
                <w:b/>
                <w:sz w:val="20"/>
                <w:szCs w:val="20"/>
              </w:rPr>
              <w:t>Promedio Simple</w:t>
            </w:r>
          </w:p>
        </w:tc>
        <w:tc>
          <w:tcPr>
            <w:tcW w:w="1701" w:type="dxa"/>
            <w:tcBorders>
              <w:top w:val="nil"/>
              <w:left w:val="single" w:sz="4" w:space="0" w:color="auto"/>
              <w:bottom w:val="nil"/>
              <w:right w:val="single" w:sz="4" w:space="0" w:color="auto"/>
            </w:tcBorders>
          </w:tcPr>
          <w:p w14:paraId="2B867577" w14:textId="77777777" w:rsidR="00D14E2E" w:rsidRPr="00D14E2E" w:rsidRDefault="00D14E2E" w:rsidP="00D14E2E">
            <w:pPr>
              <w:ind w:right="624"/>
              <w:jc w:val="right"/>
              <w:rPr>
                <w:b/>
                <w:sz w:val="20"/>
                <w:szCs w:val="20"/>
              </w:rPr>
            </w:pPr>
            <w:r w:rsidRPr="00D14E2E">
              <w:rPr>
                <w:b/>
                <w:sz w:val="20"/>
                <w:szCs w:val="20"/>
              </w:rPr>
              <w:t>8.95</w:t>
            </w:r>
          </w:p>
        </w:tc>
      </w:tr>
      <w:tr w:rsidR="00D14E2E" w:rsidRPr="00D14E2E" w14:paraId="7EF136C8" w14:textId="77777777" w:rsidTr="004727D3">
        <w:trPr>
          <w:jc w:val="center"/>
        </w:trPr>
        <w:tc>
          <w:tcPr>
            <w:tcW w:w="2344" w:type="dxa"/>
            <w:tcBorders>
              <w:top w:val="nil"/>
              <w:left w:val="single" w:sz="4" w:space="0" w:color="auto"/>
              <w:bottom w:val="single" w:sz="4" w:space="0" w:color="auto"/>
              <w:right w:val="single" w:sz="4" w:space="0" w:color="auto"/>
            </w:tcBorders>
          </w:tcPr>
          <w:p w14:paraId="3EE876CC" w14:textId="77777777" w:rsidR="00D14E2E" w:rsidRPr="00D14E2E" w:rsidRDefault="00D14E2E" w:rsidP="00D14E2E">
            <w:pPr>
              <w:rPr>
                <w:b/>
                <w:sz w:val="20"/>
                <w:szCs w:val="20"/>
              </w:rPr>
            </w:pPr>
            <w:r w:rsidRPr="00D14E2E">
              <w:rPr>
                <w:b/>
                <w:sz w:val="20"/>
                <w:szCs w:val="20"/>
              </w:rPr>
              <w:t>Promedio Ponderado</w:t>
            </w:r>
          </w:p>
        </w:tc>
        <w:tc>
          <w:tcPr>
            <w:tcW w:w="1756" w:type="dxa"/>
            <w:tcBorders>
              <w:top w:val="nil"/>
              <w:left w:val="single" w:sz="4" w:space="0" w:color="auto"/>
              <w:bottom w:val="single" w:sz="4" w:space="0" w:color="auto"/>
              <w:right w:val="single" w:sz="4" w:space="0" w:color="auto"/>
            </w:tcBorders>
          </w:tcPr>
          <w:p w14:paraId="77224F31" w14:textId="77777777" w:rsidR="00D14E2E" w:rsidRPr="00D14E2E" w:rsidRDefault="00D14E2E" w:rsidP="00D14E2E">
            <w:pPr>
              <w:ind w:right="624"/>
              <w:jc w:val="right"/>
              <w:rPr>
                <w:b/>
                <w:sz w:val="20"/>
                <w:szCs w:val="20"/>
              </w:rPr>
            </w:pPr>
            <w:r w:rsidRPr="00D14E2E">
              <w:rPr>
                <w:b/>
                <w:sz w:val="20"/>
                <w:szCs w:val="20"/>
              </w:rPr>
              <w:t>10.26</w:t>
            </w:r>
          </w:p>
        </w:tc>
        <w:tc>
          <w:tcPr>
            <w:tcW w:w="222" w:type="dxa"/>
            <w:tcBorders>
              <w:top w:val="nil"/>
              <w:left w:val="single" w:sz="4" w:space="0" w:color="auto"/>
              <w:bottom w:val="nil"/>
              <w:right w:val="single" w:sz="4" w:space="0" w:color="auto"/>
            </w:tcBorders>
          </w:tcPr>
          <w:p w14:paraId="7A44F7E5" w14:textId="77777777" w:rsidR="00D14E2E" w:rsidRPr="00D14E2E" w:rsidRDefault="00D14E2E" w:rsidP="00D14E2E">
            <w:pPr>
              <w:ind w:right="624"/>
              <w:jc w:val="right"/>
              <w:rPr>
                <w:b/>
                <w:sz w:val="20"/>
                <w:szCs w:val="20"/>
              </w:rPr>
            </w:pPr>
          </w:p>
        </w:tc>
        <w:tc>
          <w:tcPr>
            <w:tcW w:w="2341" w:type="dxa"/>
            <w:tcBorders>
              <w:top w:val="nil"/>
              <w:left w:val="single" w:sz="4" w:space="0" w:color="auto"/>
              <w:bottom w:val="single" w:sz="4" w:space="0" w:color="auto"/>
              <w:right w:val="single" w:sz="4" w:space="0" w:color="auto"/>
            </w:tcBorders>
          </w:tcPr>
          <w:p w14:paraId="42E6F803" w14:textId="77777777" w:rsidR="00D14E2E" w:rsidRPr="00D14E2E" w:rsidRDefault="00D14E2E" w:rsidP="00D14E2E">
            <w:pPr>
              <w:rPr>
                <w:b/>
                <w:sz w:val="20"/>
                <w:szCs w:val="20"/>
              </w:rPr>
            </w:pPr>
            <w:r w:rsidRPr="00D14E2E">
              <w:rPr>
                <w:b/>
                <w:sz w:val="20"/>
                <w:szCs w:val="20"/>
              </w:rPr>
              <w:t>Promedio Ponderado</w:t>
            </w:r>
          </w:p>
        </w:tc>
        <w:tc>
          <w:tcPr>
            <w:tcW w:w="1701" w:type="dxa"/>
            <w:tcBorders>
              <w:top w:val="nil"/>
              <w:left w:val="single" w:sz="4" w:space="0" w:color="auto"/>
              <w:bottom w:val="single" w:sz="4" w:space="0" w:color="auto"/>
              <w:right w:val="single" w:sz="4" w:space="0" w:color="auto"/>
            </w:tcBorders>
          </w:tcPr>
          <w:p w14:paraId="31C5739E" w14:textId="77777777" w:rsidR="00D14E2E" w:rsidRPr="00D14E2E" w:rsidRDefault="00D14E2E" w:rsidP="00D14E2E">
            <w:pPr>
              <w:ind w:right="624"/>
              <w:jc w:val="right"/>
              <w:rPr>
                <w:b/>
                <w:sz w:val="20"/>
                <w:szCs w:val="20"/>
              </w:rPr>
            </w:pPr>
            <w:r w:rsidRPr="00D14E2E">
              <w:rPr>
                <w:b/>
                <w:sz w:val="20"/>
                <w:szCs w:val="20"/>
              </w:rPr>
              <w:t>9.40</w:t>
            </w:r>
          </w:p>
        </w:tc>
      </w:tr>
      <w:tr w:rsidR="00D14E2E" w:rsidRPr="00D14E2E" w14:paraId="4B8ED0E5" w14:textId="77777777" w:rsidTr="00512C3D">
        <w:trPr>
          <w:jc w:val="center"/>
        </w:trPr>
        <w:tc>
          <w:tcPr>
            <w:tcW w:w="8364" w:type="dxa"/>
            <w:gridSpan w:val="5"/>
            <w:tcBorders>
              <w:top w:val="nil"/>
              <w:left w:val="nil"/>
              <w:bottom w:val="nil"/>
              <w:right w:val="nil"/>
            </w:tcBorders>
          </w:tcPr>
          <w:p w14:paraId="06CF9451" w14:textId="77777777" w:rsidR="00D14E2E" w:rsidRPr="00D14E2E" w:rsidRDefault="00D14E2E" w:rsidP="00D14E2E">
            <w:pPr>
              <w:rPr>
                <w:sz w:val="20"/>
                <w:szCs w:val="20"/>
              </w:rPr>
            </w:pPr>
            <w:r w:rsidRPr="00D14E2E">
              <w:rPr>
                <w:sz w:val="20"/>
                <w:szCs w:val="20"/>
              </w:rPr>
              <w:t>* Indicador de Rendimiento Neto 66 meses.</w:t>
            </w:r>
          </w:p>
          <w:p w14:paraId="64798C10" w14:textId="77777777" w:rsidR="00D14E2E" w:rsidRPr="00D14E2E" w:rsidRDefault="00D14E2E" w:rsidP="00D14E2E">
            <w:pPr>
              <w:rPr>
                <w:sz w:val="20"/>
                <w:szCs w:val="20"/>
              </w:rPr>
            </w:pPr>
            <w:r w:rsidRPr="00D14E2E">
              <w:rPr>
                <w:sz w:val="20"/>
                <w:szCs w:val="20"/>
              </w:rPr>
              <w:t>Cifras al cierre de febrero 2015.</w:t>
            </w:r>
          </w:p>
          <w:p w14:paraId="25FF3B33" w14:textId="77777777" w:rsidR="00D14E2E" w:rsidRPr="00D14E2E" w:rsidRDefault="00D14E2E" w:rsidP="00D14E2E">
            <w:pPr>
              <w:rPr>
                <w:sz w:val="20"/>
                <w:szCs w:val="20"/>
              </w:rPr>
            </w:pPr>
            <w:r w:rsidRPr="00D14E2E">
              <w:rPr>
                <w:sz w:val="20"/>
                <w:szCs w:val="20"/>
              </w:rPr>
              <w:t>FUENTE: Consar.</w:t>
            </w:r>
          </w:p>
        </w:tc>
      </w:tr>
    </w:tbl>
    <w:p w14:paraId="40F0B1F7" w14:textId="77777777" w:rsidR="00D14E2E" w:rsidRPr="00D14E2E" w:rsidRDefault="00D14E2E" w:rsidP="00D14E2E">
      <w:pPr>
        <w:ind w:right="-159"/>
        <w:jc w:val="both"/>
        <w:rPr>
          <w:rFonts w:eastAsia="Calibri"/>
          <w:b/>
          <w:sz w:val="20"/>
          <w:szCs w:val="20"/>
          <w:lang w:eastAsia="en-US"/>
        </w:rPr>
      </w:pPr>
    </w:p>
    <w:p w14:paraId="6CE82339" w14:textId="77777777" w:rsidR="00D14E2E" w:rsidRPr="00D14E2E" w:rsidRDefault="00D14E2E" w:rsidP="00D14E2E">
      <w:pPr>
        <w:spacing w:after="360" w:line="360" w:lineRule="auto"/>
        <w:ind w:right="-159"/>
        <w:jc w:val="center"/>
        <w:rPr>
          <w:rFonts w:eastAsia="Calibri"/>
          <w:sz w:val="26"/>
          <w:szCs w:val="26"/>
          <w:lang w:eastAsia="en-US"/>
        </w:rPr>
      </w:pPr>
    </w:p>
    <w:p w14:paraId="209C4163" w14:textId="77777777" w:rsidR="00D14E2E" w:rsidRPr="00D14E2E" w:rsidRDefault="00D14E2E" w:rsidP="00D14E2E">
      <w:pPr>
        <w:spacing w:after="360" w:line="360" w:lineRule="auto"/>
        <w:ind w:right="-159"/>
        <w:jc w:val="center"/>
        <w:rPr>
          <w:rFonts w:eastAsia="Calibri"/>
          <w:sz w:val="26"/>
          <w:szCs w:val="26"/>
          <w:lang w:eastAsia="en-US"/>
        </w:rPr>
      </w:pPr>
    </w:p>
    <w:p w14:paraId="25853A39" w14:textId="77777777" w:rsidR="00D14E2E" w:rsidRPr="00D14E2E" w:rsidRDefault="00D14E2E" w:rsidP="00D14E2E">
      <w:pPr>
        <w:spacing w:after="360" w:line="360" w:lineRule="auto"/>
        <w:ind w:right="-159"/>
        <w:jc w:val="both"/>
        <w:rPr>
          <w:rFonts w:eastAsia="Calibri"/>
          <w:b/>
          <w:sz w:val="26"/>
          <w:szCs w:val="26"/>
          <w:lang w:eastAsia="en-US"/>
        </w:rPr>
      </w:pPr>
      <w:r w:rsidRPr="00D14E2E">
        <w:rPr>
          <w:rFonts w:eastAsia="Calibri"/>
          <w:b/>
          <w:sz w:val="26"/>
          <w:szCs w:val="26"/>
          <w:lang w:eastAsia="en-US"/>
        </w:rPr>
        <w:lastRenderedPageBreak/>
        <w:t>Tiendas de conveniencia, más de 3 mil 200 nuevos puntos de contacto</w:t>
      </w:r>
    </w:p>
    <w:p w14:paraId="03176C96" w14:textId="77777777" w:rsidR="00D14E2E" w:rsidRPr="00D14E2E" w:rsidRDefault="00D14E2E" w:rsidP="00D14E2E">
      <w:pPr>
        <w:spacing w:after="360" w:line="360" w:lineRule="auto"/>
        <w:ind w:right="-159"/>
        <w:jc w:val="center"/>
        <w:rPr>
          <w:rFonts w:eastAsia="Calibri"/>
          <w:sz w:val="26"/>
          <w:szCs w:val="26"/>
          <w:lang w:eastAsia="en-US"/>
        </w:rPr>
      </w:pPr>
      <w:r w:rsidRPr="00D14E2E">
        <w:rPr>
          <w:rFonts w:ascii="Calibri" w:eastAsia="Calibri" w:hAnsi="Calibri"/>
          <w:sz w:val="22"/>
          <w:szCs w:val="22"/>
          <w:lang w:eastAsia="en-US"/>
        </w:rPr>
        <w:fldChar w:fldCharType="begin"/>
      </w:r>
      <w:r w:rsidRPr="00D14E2E">
        <w:rPr>
          <w:rFonts w:ascii="Calibri" w:eastAsia="Calibri" w:hAnsi="Calibri"/>
          <w:sz w:val="22"/>
          <w:szCs w:val="22"/>
          <w:lang w:eastAsia="en-US"/>
        </w:rPr>
        <w:instrText xml:space="preserve"> LINK PowerPoint.Slide.8 "D:\\2015\\GRÁFICAS DE LA CONSAR\\37.- MI AHORRO PARA EL FUTURO.pptx!310" "" \a \p </w:instrText>
      </w:r>
      <w:r w:rsidRPr="00D14E2E">
        <w:rPr>
          <w:rFonts w:ascii="Calibri" w:eastAsia="Calibri" w:hAnsi="Calibri"/>
          <w:sz w:val="22"/>
          <w:szCs w:val="22"/>
          <w:lang w:eastAsia="en-US"/>
        </w:rPr>
        <w:fldChar w:fldCharType="separate"/>
      </w:r>
      <w:r w:rsidRPr="00D14E2E">
        <w:rPr>
          <w:rFonts w:ascii="Calibri" w:eastAsia="Calibri" w:hAnsi="Calibri"/>
          <w:noProof/>
          <w:sz w:val="22"/>
          <w:szCs w:val="22"/>
          <w:lang w:eastAsia="es-MX"/>
        </w:rPr>
        <w:drawing>
          <wp:inline distT="0" distB="0" distL="0" distR="0" wp14:anchorId="0B8662AC" wp14:editId="3D840B7F">
            <wp:extent cx="5387340" cy="3429000"/>
            <wp:effectExtent l="0" t="0" r="3810" b="0"/>
            <wp:docPr id="1534" name="Imagen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6"/>
                    <pic:cNvPicPr>
                      <a:picLocks noChangeAspect="1" noChangeArrowheads="1"/>
                    </pic:cNvPicPr>
                  </pic:nvPicPr>
                  <pic:blipFill>
                    <a:blip r:embed="rId363" cstate="print">
                      <a:extLst>
                        <a:ext uri="{28A0092B-C50C-407E-A947-70E740481C1C}">
                          <a14:useLocalDpi xmlns:a14="http://schemas.microsoft.com/office/drawing/2010/main" val="0"/>
                        </a:ext>
                      </a:extLst>
                    </a:blip>
                    <a:srcRect l="3755" r="7668"/>
                    <a:stretch>
                      <a:fillRect/>
                    </a:stretch>
                  </pic:blipFill>
                  <pic:spPr bwMode="auto">
                    <a:xfrm>
                      <a:off x="0" y="0"/>
                      <a:ext cx="5387340" cy="3429000"/>
                    </a:xfrm>
                    <a:prstGeom prst="rect">
                      <a:avLst/>
                    </a:prstGeom>
                    <a:noFill/>
                    <a:ln>
                      <a:noFill/>
                    </a:ln>
                  </pic:spPr>
                </pic:pic>
              </a:graphicData>
            </a:graphic>
          </wp:inline>
        </w:drawing>
      </w:r>
      <w:r w:rsidRPr="00D14E2E">
        <w:rPr>
          <w:rFonts w:ascii="Calibri" w:eastAsia="Calibri" w:hAnsi="Calibri"/>
          <w:sz w:val="22"/>
          <w:szCs w:val="22"/>
          <w:lang w:eastAsia="en-US"/>
        </w:rPr>
        <w:fldChar w:fldCharType="end"/>
      </w:r>
    </w:p>
    <w:p w14:paraId="34AD5BBC" w14:textId="77777777" w:rsidR="00D14E2E" w:rsidRPr="00D14E2E" w:rsidRDefault="00D14E2E" w:rsidP="00D14E2E">
      <w:pPr>
        <w:ind w:right="-159"/>
        <w:jc w:val="both"/>
        <w:rPr>
          <w:rFonts w:eastAsia="Calibri"/>
          <w:b/>
          <w:sz w:val="20"/>
          <w:szCs w:val="20"/>
          <w:lang w:eastAsia="en-US"/>
        </w:rPr>
      </w:pPr>
      <w:r w:rsidRPr="00D14E2E">
        <w:rPr>
          <w:rFonts w:eastAsia="Calibri"/>
          <w:b/>
          <w:sz w:val="20"/>
          <w:szCs w:val="20"/>
          <w:lang w:eastAsia="en-US"/>
        </w:rPr>
        <w:t>Fuente de información:</w:t>
      </w:r>
    </w:p>
    <w:p w14:paraId="79A4F956" w14:textId="77777777" w:rsidR="00D14E2E" w:rsidRPr="00EF184E" w:rsidRDefault="0045651A" w:rsidP="00EF184E">
      <w:pPr>
        <w:spacing w:after="720"/>
        <w:ind w:right="-159"/>
        <w:jc w:val="both"/>
        <w:rPr>
          <w:rFonts w:eastAsia="Calibri"/>
          <w:color w:val="0000FF"/>
          <w:sz w:val="20"/>
          <w:szCs w:val="20"/>
          <w:lang w:eastAsia="en-US"/>
        </w:rPr>
      </w:pPr>
      <w:hyperlink r:id="rId364" w:history="1">
        <w:r w:rsidR="00D14E2E" w:rsidRPr="00EF184E">
          <w:rPr>
            <w:rFonts w:eastAsia="Calibri"/>
            <w:color w:val="0000FF"/>
            <w:sz w:val="20"/>
            <w:szCs w:val="20"/>
            <w:u w:val="single"/>
            <w:lang w:eastAsia="en-US"/>
          </w:rPr>
          <w:t>http://www.consar.gob.mx/sala_prensa/PDF/presentaciones/PPT%20FCA%20UNAM%20CRF%202015.pdf</w:t>
        </w:r>
      </w:hyperlink>
    </w:p>
    <w:p w14:paraId="57D1FAC4" w14:textId="77777777" w:rsidR="00682B9F" w:rsidRPr="00682B9F" w:rsidRDefault="00682B9F" w:rsidP="00682B9F">
      <w:pPr>
        <w:ind w:right="-159"/>
        <w:jc w:val="both"/>
        <w:rPr>
          <w:rFonts w:eastAsia="Calibri"/>
          <w:b/>
          <w:sz w:val="26"/>
          <w:szCs w:val="26"/>
          <w:lang w:eastAsia="en-US"/>
        </w:rPr>
      </w:pPr>
      <w:r w:rsidRPr="00682B9F">
        <w:rPr>
          <w:rFonts w:eastAsia="Calibri"/>
          <w:b/>
          <w:sz w:val="26"/>
          <w:szCs w:val="26"/>
          <w:lang w:eastAsia="en-US"/>
        </w:rPr>
        <w:t xml:space="preserve">El ahorro  de los trabajadores debe ser visto </w:t>
      </w:r>
    </w:p>
    <w:p w14:paraId="2D8E1875" w14:textId="77777777" w:rsidR="00682B9F" w:rsidRPr="00682B9F" w:rsidRDefault="00682B9F" w:rsidP="00682B9F">
      <w:pPr>
        <w:spacing w:after="360" w:line="360" w:lineRule="auto"/>
        <w:ind w:right="-159"/>
        <w:jc w:val="both"/>
        <w:rPr>
          <w:rFonts w:eastAsia="Calibri"/>
          <w:b/>
          <w:sz w:val="26"/>
          <w:szCs w:val="26"/>
          <w:lang w:eastAsia="en-US"/>
        </w:rPr>
      </w:pPr>
      <w:r w:rsidRPr="00682B9F">
        <w:rPr>
          <w:rFonts w:eastAsia="Calibri"/>
          <w:b/>
          <w:sz w:val="26"/>
          <w:szCs w:val="26"/>
          <w:lang w:eastAsia="en-US"/>
        </w:rPr>
        <w:t>en una perspectiva de largo plazo (Amafore)</w:t>
      </w:r>
    </w:p>
    <w:p w14:paraId="3F4CFF85"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El 8 de abril de 2015, la Asociación Mexicana de Afores (Amafore) dio a conocer el documento “El ahorro de los trabajadores debe ser visto en una perspectiva de largo plazo”, el cual se presenta a continuación.</w:t>
      </w:r>
    </w:p>
    <w:p w14:paraId="07F361F1"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 xml:space="preserve">Durante el primer trimestre del año, los mercados financieros registraron una alta volatilidad ante la expectativa de que la Reserva Federal de Estados Unidos de Norteamérica comenzaría a elevar las tasas de interés en el mercado norteamericano. El mercado financiero en México es sensible a las condiciones de los mercados financieros en el exterior y en este trimestre se observó el fenómeno conocido como </w:t>
      </w:r>
      <w:r w:rsidRPr="00682B9F">
        <w:rPr>
          <w:rFonts w:eastAsia="Calibri"/>
          <w:i/>
          <w:sz w:val="26"/>
          <w:szCs w:val="26"/>
          <w:lang w:eastAsia="en-US"/>
        </w:rPr>
        <w:lastRenderedPageBreak/>
        <w:t>flight to quality</w:t>
      </w:r>
      <w:r w:rsidRPr="00682B9F">
        <w:rPr>
          <w:rFonts w:eastAsia="Calibri"/>
          <w:sz w:val="26"/>
          <w:szCs w:val="26"/>
          <w:lang w:eastAsia="en-US"/>
        </w:rPr>
        <w:t xml:space="preserve"> en el que los inversionistas a nivel internacional transfieren sus recursos a instrumentos de mejor calidad crediticia o menor riesgo.</w:t>
      </w:r>
    </w:p>
    <w:p w14:paraId="1F011F1D"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Este fenómeno provocó movimientos en el tipo de cambio del peso, la mejor cotización en el trimestre fue el 14 de enero (14.56 pesos/dólar) mientras que al cierre del trimestre se ubicó en 15.26 pesos/dólar, lo que representó una depreciación de 4.80% en este período.</w:t>
      </w:r>
    </w:p>
    <w:p w14:paraId="091356BB"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fldChar w:fldCharType="begin"/>
      </w:r>
      <w:r w:rsidRPr="00682B9F">
        <w:rPr>
          <w:rFonts w:ascii="Calibri" w:eastAsia="Calibri" w:hAnsi="Calibri"/>
          <w:sz w:val="22"/>
          <w:szCs w:val="22"/>
          <w:lang w:eastAsia="en-US"/>
        </w:rPr>
        <w:instrText xml:space="preserve"> LINK PowerPoint.Slide.8 "D:\\2015\\ABRIL\\GRÁFICAS POWER POINT\\21.- GRÁFICAS DE AMAFORE.pptx!258"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73C96A4D" wp14:editId="11000CA1">
            <wp:extent cx="4676775" cy="3261995"/>
            <wp:effectExtent l="0" t="0" r="9525" b="0"/>
            <wp:docPr id="1758" name="Imagen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65" cstate="print">
                      <a:extLst>
                        <a:ext uri="{28A0092B-C50C-407E-A947-70E740481C1C}">
                          <a14:useLocalDpi xmlns:a14="http://schemas.microsoft.com/office/drawing/2010/main" val="0"/>
                        </a:ext>
                      </a:extLst>
                    </a:blip>
                    <a:srcRect l="8655" t="2522" r="14471" b="2281"/>
                    <a:stretch>
                      <a:fillRect/>
                    </a:stretch>
                  </pic:blipFill>
                  <pic:spPr bwMode="auto">
                    <a:xfrm>
                      <a:off x="0" y="0"/>
                      <a:ext cx="4676775" cy="3261995"/>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45F30A71"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La volatilidad de los mercados financieros internacionales también afectó al precio de los bonos emitidos por el Gobierno Federal. Por ejemplo, el precio del Bono a plazo de 10 años se redujo de 137 pesos el 28 de enero (con una tasa de descuento de 4.16%) a 130 pesos al cierre del trimestre (con una tasa de descuento de 4.80%). Así, el incremento de la tasa de descuento de 64 puntos base implicó una reducción en el precio de 5.11 por ciento.</w:t>
      </w:r>
    </w:p>
    <w:p w14:paraId="17E467F8"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AMAFORE.pptx!265"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49F12B51" wp14:editId="4417B06C">
            <wp:extent cx="4843780" cy="3422650"/>
            <wp:effectExtent l="0" t="0" r="0" b="6350"/>
            <wp:docPr id="1759" name="Imagen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366" cstate="print">
                      <a:extLst>
                        <a:ext uri="{28A0092B-C50C-407E-A947-70E740481C1C}">
                          <a14:useLocalDpi xmlns:a14="http://schemas.microsoft.com/office/drawing/2010/main" val="0"/>
                        </a:ext>
                      </a:extLst>
                    </a:blip>
                    <a:srcRect l="10358" r="10066"/>
                    <a:stretch>
                      <a:fillRect/>
                    </a:stretch>
                  </pic:blipFill>
                  <pic:spPr bwMode="auto">
                    <a:xfrm>
                      <a:off x="0" y="0"/>
                      <a:ext cx="4843780" cy="3422650"/>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3075638C"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Por su parte, el mercado de capitales registró un ajuste a la baja: el Índice de Precios al Consumidor (IPC) alcanzó su nivel más alto del período el 26 de febrero, 44 mil 416 puntos, y al cierre del trimestre se ubicó en 43 mil 725 puntos, lo que representó una caída de 1.55 por ciento.</w:t>
      </w:r>
    </w:p>
    <w:p w14:paraId="2278AC28"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AMAFORE.pptx!268"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5BD7EB96" wp14:editId="0575B6DB">
            <wp:extent cx="4763770" cy="3422650"/>
            <wp:effectExtent l="0" t="0" r="0" b="6350"/>
            <wp:docPr id="1760" name="Imagen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367" cstate="print">
                      <a:extLst>
                        <a:ext uri="{28A0092B-C50C-407E-A947-70E740481C1C}">
                          <a14:useLocalDpi xmlns:a14="http://schemas.microsoft.com/office/drawing/2010/main" val="0"/>
                        </a:ext>
                      </a:extLst>
                    </a:blip>
                    <a:srcRect l="7945" r="13762"/>
                    <a:stretch>
                      <a:fillRect/>
                    </a:stretch>
                  </pic:blipFill>
                  <pic:spPr bwMode="auto">
                    <a:xfrm>
                      <a:off x="0" y="0"/>
                      <a:ext cx="4763770" cy="3422650"/>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0A713A26" w14:textId="77777777" w:rsidR="00682B9F" w:rsidRPr="00682B9F" w:rsidRDefault="00682B9F" w:rsidP="00682B9F">
      <w:pPr>
        <w:spacing w:after="360"/>
        <w:ind w:right="-159"/>
        <w:jc w:val="both"/>
        <w:rPr>
          <w:rFonts w:eastAsia="Calibri"/>
          <w:b/>
          <w:sz w:val="26"/>
          <w:szCs w:val="26"/>
          <w:lang w:eastAsia="en-US"/>
        </w:rPr>
      </w:pPr>
      <w:r w:rsidRPr="00682B9F">
        <w:rPr>
          <w:rFonts w:eastAsia="Calibri"/>
          <w:b/>
          <w:sz w:val="26"/>
          <w:szCs w:val="26"/>
          <w:lang w:eastAsia="en-US"/>
        </w:rPr>
        <w:t>¿Cómo afectó la volatilidad a los precios a las Sociedades de Inversión Especializadas en Fondos para el Retiro (Siefores)?</w:t>
      </w:r>
    </w:p>
    <w:p w14:paraId="34D07F73" w14:textId="2B21842C"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Actualmente las Siefores invierten 69% de su portafolio en bonos del mercado local (gubernamentales y privados), 7.2% de la cartera est</w:t>
      </w:r>
      <w:r w:rsidR="003F3984">
        <w:rPr>
          <w:rFonts w:eastAsia="Calibri"/>
          <w:sz w:val="26"/>
          <w:szCs w:val="26"/>
          <w:lang w:eastAsia="en-US"/>
        </w:rPr>
        <w:t>á</w:t>
      </w:r>
      <w:r w:rsidRPr="00682B9F">
        <w:rPr>
          <w:rFonts w:eastAsia="Calibri"/>
          <w:sz w:val="26"/>
          <w:szCs w:val="26"/>
          <w:lang w:eastAsia="en-US"/>
        </w:rPr>
        <w:t xml:space="preserve"> invertida en instrumentos de renta variable del mercado local, 18% de los activos corresponden a inversiones en mercados internacionales (renta variable y bonos) y 5.3% corresponde a la inversión en CKD’s y FIBRAS. Esta composición del portafolio refleja una estrategia de diversificación de riesgos y búsqueda de mayores rendimientos dentro del régimen de inversión para las Siefores que establece la Comisión Nacional del Sistema de Ahorro para el Retiro (Consar).</w:t>
      </w:r>
    </w:p>
    <w:p w14:paraId="3DB628BB"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AMAFORE.pptx!267"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0FF4AF7A" wp14:editId="38FC8C79">
            <wp:extent cx="4355465" cy="2508250"/>
            <wp:effectExtent l="0" t="0" r="6985" b="6350"/>
            <wp:docPr id="1761" name="Imagen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368" cstate="print">
                      <a:extLst>
                        <a:ext uri="{28A0092B-C50C-407E-A947-70E740481C1C}">
                          <a14:useLocalDpi xmlns:a14="http://schemas.microsoft.com/office/drawing/2010/main" val="0"/>
                        </a:ext>
                      </a:extLst>
                    </a:blip>
                    <a:srcRect l="6526" r="21844" b="26701"/>
                    <a:stretch>
                      <a:fillRect/>
                    </a:stretch>
                  </pic:blipFill>
                  <pic:spPr bwMode="auto">
                    <a:xfrm>
                      <a:off x="0" y="0"/>
                      <a:ext cx="4355465" cy="2508250"/>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1045727E"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Es importante recordar que las Siefores tienen un límite máximo de inversión del 20% en mercados del exterior lo que las obliga a invertir al menos el 80% de sus activos en instrumentos del mercado local. Así, el comportamiento de los mercados financieros en México producto de la volatilidad financiera en los mercados internacionales se reflejó en los precios de las Siefores.</w:t>
      </w:r>
    </w:p>
    <w:p w14:paraId="5345F61B"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Tomando como referencia el 28 de enero (fecha en la que se presentó el precio más alto de este año en el Bono Gubernamental a plazo de 10 años) y el cierre del trimestre, las Siefores registraron una minusvalía de 1.27%. A continuación se presenta un ejercicio llamado “aportación de rendimientos (</w:t>
      </w:r>
      <w:r w:rsidRPr="00682B9F">
        <w:rPr>
          <w:rFonts w:eastAsia="Calibri"/>
          <w:i/>
          <w:sz w:val="26"/>
          <w:szCs w:val="26"/>
          <w:lang w:eastAsia="en-US"/>
        </w:rPr>
        <w:t>Performance Attribution</w:t>
      </w:r>
      <w:r w:rsidRPr="00682B9F">
        <w:rPr>
          <w:rFonts w:eastAsia="Calibri"/>
          <w:sz w:val="26"/>
          <w:szCs w:val="26"/>
          <w:lang w:eastAsia="en-US"/>
        </w:rPr>
        <w:t>)” que permite explicar el rendimiento del portafolio total en función del rendimiento de cada una de las clases de activos que lo integran:</w:t>
      </w:r>
    </w:p>
    <w:p w14:paraId="3DFF5BB3"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AMAFORE.pptx!270"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4BA5DDCA" wp14:editId="353A7470">
            <wp:extent cx="5406390" cy="3002915"/>
            <wp:effectExtent l="0" t="0" r="3810" b="6985"/>
            <wp:docPr id="1762" name="Imagen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369" cstate="print">
                      <a:extLst>
                        <a:ext uri="{28A0092B-C50C-407E-A947-70E740481C1C}">
                          <a14:useLocalDpi xmlns:a14="http://schemas.microsoft.com/office/drawing/2010/main" val="0"/>
                        </a:ext>
                      </a:extLst>
                    </a:blip>
                    <a:srcRect l="5388" t="3783" r="5670" b="8566"/>
                    <a:stretch>
                      <a:fillRect/>
                    </a:stretch>
                  </pic:blipFill>
                  <pic:spPr bwMode="auto">
                    <a:xfrm>
                      <a:off x="0" y="0"/>
                      <a:ext cx="5406390" cy="3002915"/>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086DBF77" w14:textId="77777777" w:rsidR="00682B9F" w:rsidRPr="00682B9F" w:rsidRDefault="00682B9F" w:rsidP="00682B9F">
      <w:pPr>
        <w:spacing w:after="360" w:line="360" w:lineRule="auto"/>
        <w:ind w:right="-159"/>
        <w:jc w:val="both"/>
        <w:rPr>
          <w:rFonts w:eastAsia="Calibri"/>
          <w:b/>
          <w:sz w:val="26"/>
          <w:szCs w:val="26"/>
          <w:lang w:eastAsia="en-US"/>
        </w:rPr>
      </w:pPr>
      <w:r w:rsidRPr="00682B9F">
        <w:rPr>
          <w:rFonts w:eastAsia="Calibri"/>
          <w:b/>
          <w:sz w:val="26"/>
          <w:szCs w:val="26"/>
          <w:lang w:eastAsia="en-US"/>
        </w:rPr>
        <w:t>¿Cómo fortalecer el desempeño de las Siefores?</w:t>
      </w:r>
    </w:p>
    <w:p w14:paraId="7556FF1C"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Como se desprende de la sección anterior, la concentración del portafolio de las Siefores en los instrumentos de inversión disponibles en el mercado interno, impide una diversificación óptima de los riesgos financieros a los que están sujetas las Siefores, particularmente ante episodios de fuerte volatilidad en los mercados externos como fue el caso en este primer trimestre de 2015.</w:t>
      </w:r>
    </w:p>
    <w:p w14:paraId="2585CEEF"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Si comparamos el desempeño de las Administradoras de Fondos de Pensiones (AFP’s) en Chile, donde su moneda tuvo una devaluación frente al dólar (5.62%) similar a la del peso mexicano, se observa que una mayor diversificación permite contener los efectos de la volatilidad.</w:t>
      </w:r>
    </w:p>
    <w:p w14:paraId="196060BF" w14:textId="41B4FEB9"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En Chile, los cinco fondos que administran las AFP´s pueden invertir, en promedio, hasta el 80% de sus activos en los mercados internacionales lo que les permite una mejor diversificación de sus riesgos. Actualmente las carteras de las AFP´s invierten el 45% de sus recursos en los mercados internacionales (comparado con el 20% en México).</w:t>
      </w:r>
    </w:p>
    <w:p w14:paraId="216C4286"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AMAFORE.pptx!271"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1E91AF4D" wp14:editId="55FEE2CE">
            <wp:extent cx="4639945" cy="2570480"/>
            <wp:effectExtent l="0" t="0" r="8255" b="1270"/>
            <wp:docPr id="1763" name="Imagen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370" cstate="print">
                      <a:extLst>
                        <a:ext uri="{28A0092B-C50C-407E-A947-70E740481C1C}">
                          <a14:useLocalDpi xmlns:a14="http://schemas.microsoft.com/office/drawing/2010/main" val="0"/>
                        </a:ext>
                      </a:extLst>
                    </a:blip>
                    <a:srcRect l="9648" r="14044" b="24940"/>
                    <a:stretch>
                      <a:fillRect/>
                    </a:stretch>
                  </pic:blipFill>
                  <pic:spPr bwMode="auto">
                    <a:xfrm>
                      <a:off x="0" y="0"/>
                      <a:ext cx="4639945" cy="2570480"/>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5140DEED"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Como resultado de la mayor capacidad que tienen las AFP´s para diversificar los riesgos a través de su inversión en los mercados internacionales, éstas han logrado mitigar los efectos de la volatilidad que afecta actualmente a los mercados emergentes. Tomando el mismo período del 28 de enero al cierre de marzo, el rendimiento de las AFP’s ha sido de 1.40% (vs. -1.27% para las Siefores en México).</w:t>
      </w:r>
    </w:p>
    <w:p w14:paraId="40B5188B"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fldChar w:fldCharType="begin"/>
      </w:r>
      <w:r w:rsidRPr="00682B9F">
        <w:rPr>
          <w:rFonts w:ascii="Calibri" w:eastAsia="Calibri" w:hAnsi="Calibri"/>
          <w:sz w:val="22"/>
          <w:szCs w:val="22"/>
          <w:lang w:eastAsia="en-US"/>
        </w:rPr>
        <w:instrText xml:space="preserve"> LINK PowerPoint.Slide.8 "D:\\2015\\ABRIL\\GRÁFICAS POWER POINT\\21.- GRÁFICAS DE AMAFORE.pptx!266"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2E4FDDC4" wp14:editId="48FB7561">
            <wp:extent cx="5418455" cy="3046095"/>
            <wp:effectExtent l="0" t="0" r="0" b="1905"/>
            <wp:docPr id="1764" name="Imagen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371" cstate="print">
                      <a:extLst>
                        <a:ext uri="{28A0092B-C50C-407E-A947-70E740481C1C}">
                          <a14:useLocalDpi xmlns:a14="http://schemas.microsoft.com/office/drawing/2010/main" val="0"/>
                        </a:ext>
                      </a:extLst>
                    </a:blip>
                    <a:srcRect l="3111" t="11089" r="7800"/>
                    <a:stretch>
                      <a:fillRect/>
                    </a:stretch>
                  </pic:blipFill>
                  <pic:spPr bwMode="auto">
                    <a:xfrm>
                      <a:off x="0" y="0"/>
                      <a:ext cx="5418455" cy="3046095"/>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7E7B5C4B" w14:textId="77777777" w:rsidR="00682B9F" w:rsidRPr="00682B9F" w:rsidRDefault="00682B9F" w:rsidP="00682B9F">
      <w:pPr>
        <w:spacing w:after="360" w:line="360" w:lineRule="auto"/>
        <w:ind w:right="-159"/>
        <w:jc w:val="both"/>
        <w:rPr>
          <w:rFonts w:eastAsia="Calibri"/>
          <w:b/>
          <w:sz w:val="26"/>
          <w:szCs w:val="26"/>
          <w:lang w:eastAsia="en-US"/>
        </w:rPr>
      </w:pPr>
    </w:p>
    <w:p w14:paraId="5D90943E" w14:textId="77777777" w:rsidR="00682B9F" w:rsidRPr="00682B9F" w:rsidRDefault="00682B9F" w:rsidP="00682B9F">
      <w:pPr>
        <w:spacing w:after="360" w:line="360" w:lineRule="auto"/>
        <w:ind w:right="-159"/>
        <w:jc w:val="both"/>
        <w:rPr>
          <w:rFonts w:eastAsia="Calibri"/>
          <w:b/>
          <w:sz w:val="26"/>
          <w:szCs w:val="26"/>
          <w:lang w:eastAsia="en-US"/>
        </w:rPr>
      </w:pPr>
      <w:r w:rsidRPr="00682B9F">
        <w:rPr>
          <w:rFonts w:eastAsia="Calibri"/>
          <w:b/>
          <w:sz w:val="26"/>
          <w:szCs w:val="26"/>
          <w:lang w:eastAsia="en-US"/>
        </w:rPr>
        <w:lastRenderedPageBreak/>
        <w:t>Mirando hacia adelante</w:t>
      </w:r>
    </w:p>
    <w:p w14:paraId="0E93F70D"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El rendimiento generado por las Siefores al término del primer trimestre del año se mantiene como la opción más atractiva para el ahorro de largo plazo de los trabajadores. Cabe subrayar que las Administradoras de Fondos para el Retiro (Afores) tienen como objetivo maximizar el rendimiento de los recursos bajo su administración con una visión de largo plazo y con un criterio prudencial. Es por ello que episodios transitorios de volatilidad, como el observado durante el primer trimestre de 2015, tienden a superarse en el mediano plazo.</w:t>
      </w:r>
    </w:p>
    <w:tbl>
      <w:tblPr>
        <w:tblW w:w="0" w:type="auto"/>
        <w:jc w:val="center"/>
        <w:tblLook w:val="04A0" w:firstRow="1" w:lastRow="0" w:firstColumn="1" w:lastColumn="0" w:noHBand="0" w:noVBand="1"/>
      </w:tblPr>
      <w:tblGrid>
        <w:gridCol w:w="2942"/>
        <w:gridCol w:w="1731"/>
        <w:gridCol w:w="1701"/>
      </w:tblGrid>
      <w:tr w:rsidR="00682B9F" w:rsidRPr="00682B9F" w14:paraId="13ADD529" w14:textId="77777777" w:rsidTr="00276BC4">
        <w:trPr>
          <w:jc w:val="center"/>
        </w:trPr>
        <w:tc>
          <w:tcPr>
            <w:tcW w:w="6374" w:type="dxa"/>
            <w:gridSpan w:val="3"/>
            <w:tcBorders>
              <w:top w:val="nil"/>
              <w:left w:val="nil"/>
              <w:bottom w:val="single" w:sz="4" w:space="0" w:color="auto"/>
              <w:right w:val="nil"/>
            </w:tcBorders>
          </w:tcPr>
          <w:p w14:paraId="5D79701C"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 xml:space="preserve">RENDIMIENTO NETO PROMEDIO DEL SISTEMA* </w:t>
            </w:r>
          </w:p>
          <w:p w14:paraId="16CEB977"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-Marzo 2015-</w:t>
            </w:r>
          </w:p>
        </w:tc>
      </w:tr>
      <w:tr w:rsidR="00682B9F" w:rsidRPr="00682B9F" w14:paraId="17962F29" w14:textId="77777777" w:rsidTr="00276BC4">
        <w:trPr>
          <w:jc w:val="center"/>
        </w:trPr>
        <w:tc>
          <w:tcPr>
            <w:tcW w:w="2942" w:type="dxa"/>
            <w:tcBorders>
              <w:top w:val="single" w:sz="4" w:space="0" w:color="auto"/>
              <w:left w:val="single" w:sz="4" w:space="0" w:color="auto"/>
              <w:bottom w:val="single" w:sz="4" w:space="0" w:color="auto"/>
              <w:right w:val="single" w:sz="4" w:space="0" w:color="auto"/>
            </w:tcBorders>
            <w:vAlign w:val="center"/>
          </w:tcPr>
          <w:p w14:paraId="0ED751F3"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Siefore</w:t>
            </w:r>
          </w:p>
        </w:tc>
        <w:tc>
          <w:tcPr>
            <w:tcW w:w="1731" w:type="dxa"/>
            <w:tcBorders>
              <w:top w:val="single" w:sz="4" w:space="0" w:color="auto"/>
              <w:left w:val="single" w:sz="4" w:space="0" w:color="auto"/>
              <w:bottom w:val="single" w:sz="4" w:space="0" w:color="auto"/>
              <w:right w:val="single" w:sz="4" w:space="0" w:color="auto"/>
            </w:tcBorders>
            <w:vAlign w:val="center"/>
          </w:tcPr>
          <w:p w14:paraId="756F98C3"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Rendimiento</w:t>
            </w:r>
          </w:p>
          <w:p w14:paraId="5544679A"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w:t>
            </w:r>
          </w:p>
        </w:tc>
        <w:tc>
          <w:tcPr>
            <w:tcW w:w="1701" w:type="dxa"/>
            <w:tcBorders>
              <w:top w:val="single" w:sz="4" w:space="0" w:color="auto"/>
              <w:left w:val="single" w:sz="4" w:space="0" w:color="auto"/>
              <w:bottom w:val="single" w:sz="4" w:space="0" w:color="auto"/>
              <w:right w:val="single" w:sz="4" w:space="0" w:color="auto"/>
            </w:tcBorders>
            <w:vAlign w:val="center"/>
          </w:tcPr>
          <w:p w14:paraId="3C47550A" w14:textId="77777777" w:rsidR="00682B9F" w:rsidRPr="00682B9F" w:rsidRDefault="00682B9F" w:rsidP="00682B9F">
            <w:pPr>
              <w:jc w:val="center"/>
              <w:rPr>
                <w:rFonts w:eastAsia="Calibri"/>
                <w:b/>
                <w:sz w:val="20"/>
                <w:szCs w:val="20"/>
                <w:lang w:eastAsia="en-US"/>
              </w:rPr>
            </w:pPr>
            <w:r w:rsidRPr="00682B9F">
              <w:rPr>
                <w:rFonts w:eastAsia="Calibri"/>
                <w:b/>
                <w:sz w:val="20"/>
                <w:szCs w:val="20"/>
                <w:lang w:eastAsia="en-US"/>
              </w:rPr>
              <w:t>Período</w:t>
            </w:r>
          </w:p>
        </w:tc>
      </w:tr>
      <w:tr w:rsidR="00682B9F" w:rsidRPr="00682B9F" w14:paraId="4E477181" w14:textId="77777777" w:rsidTr="00276BC4">
        <w:trPr>
          <w:jc w:val="center"/>
        </w:trPr>
        <w:tc>
          <w:tcPr>
            <w:tcW w:w="2942" w:type="dxa"/>
            <w:tcBorders>
              <w:top w:val="single" w:sz="4" w:space="0" w:color="auto"/>
              <w:left w:val="single" w:sz="4" w:space="0" w:color="auto"/>
              <w:bottom w:val="nil"/>
              <w:right w:val="single" w:sz="4" w:space="0" w:color="auto"/>
            </w:tcBorders>
          </w:tcPr>
          <w:p w14:paraId="779BF927" w14:textId="77777777" w:rsidR="00682B9F" w:rsidRPr="00682B9F" w:rsidRDefault="00682B9F" w:rsidP="00682B9F">
            <w:pPr>
              <w:jc w:val="both"/>
              <w:rPr>
                <w:rFonts w:eastAsia="Calibri"/>
                <w:sz w:val="20"/>
                <w:szCs w:val="20"/>
                <w:lang w:eastAsia="en-US"/>
              </w:rPr>
            </w:pPr>
            <w:r w:rsidRPr="00682B9F">
              <w:rPr>
                <w:rFonts w:eastAsia="Calibri"/>
                <w:sz w:val="20"/>
                <w:szCs w:val="20"/>
                <w:lang w:eastAsia="en-US"/>
              </w:rPr>
              <w:t>SB 4 (36 años y menores)</w:t>
            </w:r>
          </w:p>
        </w:tc>
        <w:tc>
          <w:tcPr>
            <w:tcW w:w="1731" w:type="dxa"/>
            <w:tcBorders>
              <w:top w:val="single" w:sz="4" w:space="0" w:color="auto"/>
              <w:left w:val="single" w:sz="4" w:space="0" w:color="auto"/>
              <w:bottom w:val="nil"/>
              <w:right w:val="single" w:sz="4" w:space="0" w:color="auto"/>
            </w:tcBorders>
          </w:tcPr>
          <w:p w14:paraId="35B25563" w14:textId="77777777" w:rsidR="00682B9F" w:rsidRPr="00682B9F" w:rsidRDefault="00682B9F" w:rsidP="00682B9F">
            <w:pPr>
              <w:ind w:right="567"/>
              <w:jc w:val="right"/>
              <w:rPr>
                <w:rFonts w:eastAsia="Calibri"/>
                <w:sz w:val="20"/>
                <w:szCs w:val="20"/>
                <w:lang w:eastAsia="en-US"/>
              </w:rPr>
            </w:pPr>
            <w:r w:rsidRPr="00682B9F">
              <w:rPr>
                <w:rFonts w:eastAsia="Calibri"/>
                <w:sz w:val="20"/>
                <w:szCs w:val="20"/>
                <w:lang w:eastAsia="en-US"/>
              </w:rPr>
              <w:t>10.18</w:t>
            </w:r>
          </w:p>
        </w:tc>
        <w:tc>
          <w:tcPr>
            <w:tcW w:w="1701" w:type="dxa"/>
            <w:tcBorders>
              <w:top w:val="single" w:sz="4" w:space="0" w:color="auto"/>
              <w:left w:val="single" w:sz="4" w:space="0" w:color="auto"/>
              <w:bottom w:val="nil"/>
              <w:right w:val="single" w:sz="4" w:space="0" w:color="auto"/>
            </w:tcBorders>
          </w:tcPr>
          <w:p w14:paraId="15829980" w14:textId="77777777" w:rsidR="00682B9F" w:rsidRPr="00682B9F" w:rsidRDefault="00682B9F" w:rsidP="00682B9F">
            <w:pPr>
              <w:jc w:val="center"/>
              <w:rPr>
                <w:rFonts w:eastAsia="Calibri"/>
                <w:sz w:val="20"/>
                <w:szCs w:val="20"/>
                <w:lang w:eastAsia="en-US"/>
              </w:rPr>
            </w:pPr>
            <w:r w:rsidRPr="00682B9F">
              <w:rPr>
                <w:rFonts w:eastAsia="Calibri"/>
                <w:sz w:val="20"/>
                <w:szCs w:val="20"/>
                <w:lang w:eastAsia="en-US"/>
              </w:rPr>
              <w:t>67 meses</w:t>
            </w:r>
          </w:p>
        </w:tc>
      </w:tr>
      <w:tr w:rsidR="00682B9F" w:rsidRPr="00682B9F" w14:paraId="31ED9CDD" w14:textId="77777777" w:rsidTr="00276BC4">
        <w:trPr>
          <w:jc w:val="center"/>
        </w:trPr>
        <w:tc>
          <w:tcPr>
            <w:tcW w:w="2942" w:type="dxa"/>
            <w:tcBorders>
              <w:top w:val="nil"/>
              <w:left w:val="single" w:sz="4" w:space="0" w:color="auto"/>
              <w:bottom w:val="nil"/>
              <w:right w:val="single" w:sz="4" w:space="0" w:color="auto"/>
            </w:tcBorders>
          </w:tcPr>
          <w:p w14:paraId="25DA4FEF" w14:textId="77777777" w:rsidR="00682B9F" w:rsidRPr="00682B9F" w:rsidRDefault="00682B9F" w:rsidP="00682B9F">
            <w:pPr>
              <w:jc w:val="both"/>
              <w:rPr>
                <w:rFonts w:eastAsia="Calibri"/>
                <w:sz w:val="20"/>
                <w:szCs w:val="20"/>
                <w:lang w:eastAsia="en-US"/>
              </w:rPr>
            </w:pPr>
            <w:r w:rsidRPr="00682B9F">
              <w:rPr>
                <w:rFonts w:eastAsia="Calibri"/>
                <w:sz w:val="20"/>
                <w:szCs w:val="20"/>
                <w:lang w:eastAsia="en-US"/>
              </w:rPr>
              <w:t>SB 3 (37 a 45 años)</w:t>
            </w:r>
          </w:p>
        </w:tc>
        <w:tc>
          <w:tcPr>
            <w:tcW w:w="1731" w:type="dxa"/>
            <w:tcBorders>
              <w:top w:val="nil"/>
              <w:left w:val="single" w:sz="4" w:space="0" w:color="auto"/>
              <w:bottom w:val="nil"/>
              <w:right w:val="single" w:sz="4" w:space="0" w:color="auto"/>
            </w:tcBorders>
          </w:tcPr>
          <w:p w14:paraId="43395725" w14:textId="77777777" w:rsidR="00682B9F" w:rsidRPr="00682B9F" w:rsidRDefault="00682B9F" w:rsidP="00682B9F">
            <w:pPr>
              <w:ind w:right="567"/>
              <w:jc w:val="right"/>
              <w:rPr>
                <w:rFonts w:eastAsia="Calibri"/>
                <w:sz w:val="20"/>
                <w:szCs w:val="20"/>
                <w:lang w:eastAsia="en-US"/>
              </w:rPr>
            </w:pPr>
            <w:r w:rsidRPr="00682B9F">
              <w:rPr>
                <w:rFonts w:eastAsia="Calibri"/>
                <w:sz w:val="20"/>
                <w:szCs w:val="20"/>
                <w:lang w:eastAsia="en-US"/>
              </w:rPr>
              <w:t>9.32</w:t>
            </w:r>
          </w:p>
        </w:tc>
        <w:tc>
          <w:tcPr>
            <w:tcW w:w="1701" w:type="dxa"/>
            <w:tcBorders>
              <w:top w:val="nil"/>
              <w:left w:val="single" w:sz="4" w:space="0" w:color="auto"/>
              <w:bottom w:val="nil"/>
              <w:right w:val="single" w:sz="4" w:space="0" w:color="auto"/>
            </w:tcBorders>
          </w:tcPr>
          <w:p w14:paraId="09D0FFAF" w14:textId="77777777" w:rsidR="00682B9F" w:rsidRPr="00682B9F" w:rsidRDefault="00682B9F" w:rsidP="00682B9F">
            <w:pPr>
              <w:jc w:val="center"/>
              <w:rPr>
                <w:rFonts w:eastAsia="Calibri"/>
                <w:sz w:val="20"/>
                <w:szCs w:val="20"/>
                <w:lang w:eastAsia="en-US"/>
              </w:rPr>
            </w:pPr>
            <w:r w:rsidRPr="00682B9F">
              <w:rPr>
                <w:rFonts w:eastAsia="Calibri"/>
                <w:sz w:val="20"/>
                <w:szCs w:val="20"/>
                <w:lang w:eastAsia="en-US"/>
              </w:rPr>
              <w:t>67 meses</w:t>
            </w:r>
          </w:p>
        </w:tc>
      </w:tr>
      <w:tr w:rsidR="00682B9F" w:rsidRPr="00682B9F" w14:paraId="25CC0069" w14:textId="77777777" w:rsidTr="00276BC4">
        <w:trPr>
          <w:jc w:val="center"/>
        </w:trPr>
        <w:tc>
          <w:tcPr>
            <w:tcW w:w="2942" w:type="dxa"/>
            <w:tcBorders>
              <w:top w:val="nil"/>
              <w:left w:val="single" w:sz="4" w:space="0" w:color="auto"/>
              <w:bottom w:val="nil"/>
              <w:right w:val="single" w:sz="4" w:space="0" w:color="auto"/>
            </w:tcBorders>
          </w:tcPr>
          <w:p w14:paraId="03A79E49" w14:textId="77777777" w:rsidR="00682B9F" w:rsidRPr="00682B9F" w:rsidRDefault="00682B9F" w:rsidP="00682B9F">
            <w:pPr>
              <w:jc w:val="both"/>
              <w:rPr>
                <w:rFonts w:eastAsia="Calibri"/>
                <w:sz w:val="20"/>
                <w:szCs w:val="20"/>
                <w:lang w:eastAsia="en-US"/>
              </w:rPr>
            </w:pPr>
            <w:r w:rsidRPr="00682B9F">
              <w:rPr>
                <w:rFonts w:eastAsia="Calibri"/>
                <w:sz w:val="20"/>
                <w:szCs w:val="20"/>
                <w:lang w:eastAsia="en-US"/>
              </w:rPr>
              <w:t>SB 2 (46 a 59 años)</w:t>
            </w:r>
          </w:p>
        </w:tc>
        <w:tc>
          <w:tcPr>
            <w:tcW w:w="1731" w:type="dxa"/>
            <w:tcBorders>
              <w:top w:val="nil"/>
              <w:left w:val="single" w:sz="4" w:space="0" w:color="auto"/>
              <w:bottom w:val="nil"/>
              <w:right w:val="single" w:sz="4" w:space="0" w:color="auto"/>
            </w:tcBorders>
          </w:tcPr>
          <w:p w14:paraId="506FFB62" w14:textId="77777777" w:rsidR="00682B9F" w:rsidRPr="00682B9F" w:rsidRDefault="00682B9F" w:rsidP="00682B9F">
            <w:pPr>
              <w:ind w:right="567"/>
              <w:jc w:val="right"/>
              <w:rPr>
                <w:rFonts w:eastAsia="Calibri"/>
                <w:sz w:val="20"/>
                <w:szCs w:val="20"/>
                <w:lang w:eastAsia="en-US"/>
              </w:rPr>
            </w:pPr>
            <w:r w:rsidRPr="00682B9F">
              <w:rPr>
                <w:rFonts w:eastAsia="Calibri"/>
                <w:sz w:val="20"/>
                <w:szCs w:val="20"/>
                <w:lang w:eastAsia="en-US"/>
              </w:rPr>
              <w:t>8.09</w:t>
            </w:r>
          </w:p>
        </w:tc>
        <w:tc>
          <w:tcPr>
            <w:tcW w:w="1701" w:type="dxa"/>
            <w:tcBorders>
              <w:top w:val="nil"/>
              <w:left w:val="single" w:sz="4" w:space="0" w:color="auto"/>
              <w:bottom w:val="nil"/>
              <w:right w:val="single" w:sz="4" w:space="0" w:color="auto"/>
            </w:tcBorders>
          </w:tcPr>
          <w:p w14:paraId="730BC686" w14:textId="77777777" w:rsidR="00682B9F" w:rsidRPr="00682B9F" w:rsidRDefault="00682B9F" w:rsidP="00682B9F">
            <w:pPr>
              <w:jc w:val="center"/>
              <w:rPr>
                <w:rFonts w:eastAsia="Calibri"/>
                <w:sz w:val="20"/>
                <w:szCs w:val="20"/>
                <w:lang w:eastAsia="en-US"/>
              </w:rPr>
            </w:pPr>
            <w:r w:rsidRPr="00682B9F">
              <w:rPr>
                <w:rFonts w:eastAsia="Calibri"/>
                <w:sz w:val="20"/>
                <w:szCs w:val="20"/>
                <w:lang w:eastAsia="en-US"/>
              </w:rPr>
              <w:t>60 meses</w:t>
            </w:r>
          </w:p>
        </w:tc>
      </w:tr>
      <w:tr w:rsidR="00682B9F" w:rsidRPr="00682B9F" w14:paraId="3A287483" w14:textId="77777777" w:rsidTr="00276BC4">
        <w:trPr>
          <w:jc w:val="center"/>
        </w:trPr>
        <w:tc>
          <w:tcPr>
            <w:tcW w:w="2942" w:type="dxa"/>
            <w:tcBorders>
              <w:top w:val="nil"/>
              <w:left w:val="single" w:sz="4" w:space="0" w:color="auto"/>
              <w:bottom w:val="single" w:sz="4" w:space="0" w:color="auto"/>
              <w:right w:val="single" w:sz="4" w:space="0" w:color="auto"/>
            </w:tcBorders>
          </w:tcPr>
          <w:p w14:paraId="1E388E32" w14:textId="77777777" w:rsidR="00682B9F" w:rsidRPr="00682B9F" w:rsidRDefault="00682B9F" w:rsidP="00682B9F">
            <w:pPr>
              <w:jc w:val="both"/>
              <w:rPr>
                <w:rFonts w:eastAsia="Calibri"/>
                <w:sz w:val="20"/>
                <w:szCs w:val="20"/>
                <w:lang w:eastAsia="en-US"/>
              </w:rPr>
            </w:pPr>
            <w:r w:rsidRPr="00682B9F">
              <w:rPr>
                <w:rFonts w:eastAsia="Calibri"/>
                <w:sz w:val="20"/>
                <w:szCs w:val="20"/>
                <w:lang w:eastAsia="en-US"/>
              </w:rPr>
              <w:t>SB 1 (60 años y mayores)</w:t>
            </w:r>
          </w:p>
        </w:tc>
        <w:tc>
          <w:tcPr>
            <w:tcW w:w="1731" w:type="dxa"/>
            <w:tcBorders>
              <w:top w:val="nil"/>
              <w:left w:val="single" w:sz="4" w:space="0" w:color="auto"/>
              <w:bottom w:val="single" w:sz="4" w:space="0" w:color="auto"/>
              <w:right w:val="single" w:sz="4" w:space="0" w:color="auto"/>
            </w:tcBorders>
          </w:tcPr>
          <w:p w14:paraId="7AB3C3AA" w14:textId="77777777" w:rsidR="00682B9F" w:rsidRPr="00682B9F" w:rsidRDefault="00682B9F" w:rsidP="00682B9F">
            <w:pPr>
              <w:ind w:right="567"/>
              <w:jc w:val="right"/>
              <w:rPr>
                <w:rFonts w:eastAsia="Calibri"/>
                <w:sz w:val="20"/>
                <w:szCs w:val="20"/>
                <w:lang w:eastAsia="en-US"/>
              </w:rPr>
            </w:pPr>
            <w:r w:rsidRPr="00682B9F">
              <w:rPr>
                <w:rFonts w:eastAsia="Calibri"/>
                <w:sz w:val="20"/>
                <w:szCs w:val="20"/>
                <w:lang w:eastAsia="en-US"/>
              </w:rPr>
              <w:t>6.24</w:t>
            </w:r>
          </w:p>
        </w:tc>
        <w:tc>
          <w:tcPr>
            <w:tcW w:w="1701" w:type="dxa"/>
            <w:tcBorders>
              <w:top w:val="nil"/>
              <w:left w:val="single" w:sz="4" w:space="0" w:color="auto"/>
              <w:bottom w:val="single" w:sz="4" w:space="0" w:color="auto"/>
              <w:right w:val="single" w:sz="4" w:space="0" w:color="auto"/>
            </w:tcBorders>
          </w:tcPr>
          <w:p w14:paraId="5D66571A" w14:textId="77777777" w:rsidR="00682B9F" w:rsidRPr="00682B9F" w:rsidRDefault="00682B9F" w:rsidP="00682B9F">
            <w:pPr>
              <w:jc w:val="center"/>
              <w:rPr>
                <w:rFonts w:eastAsia="Calibri"/>
                <w:sz w:val="20"/>
                <w:szCs w:val="20"/>
                <w:lang w:eastAsia="en-US"/>
              </w:rPr>
            </w:pPr>
            <w:r w:rsidRPr="00682B9F">
              <w:rPr>
                <w:rFonts w:eastAsia="Calibri"/>
                <w:sz w:val="20"/>
                <w:szCs w:val="20"/>
                <w:lang w:eastAsia="en-US"/>
              </w:rPr>
              <w:t>52 meses</w:t>
            </w:r>
          </w:p>
        </w:tc>
      </w:tr>
      <w:tr w:rsidR="00682B9F" w:rsidRPr="00682B9F" w14:paraId="2D1FD672" w14:textId="77777777" w:rsidTr="00276BC4">
        <w:trPr>
          <w:jc w:val="center"/>
        </w:trPr>
        <w:tc>
          <w:tcPr>
            <w:tcW w:w="2942" w:type="dxa"/>
            <w:tcBorders>
              <w:top w:val="single" w:sz="4" w:space="0" w:color="auto"/>
              <w:left w:val="nil"/>
              <w:bottom w:val="nil"/>
              <w:right w:val="nil"/>
            </w:tcBorders>
          </w:tcPr>
          <w:p w14:paraId="3D0A86EE" w14:textId="77777777" w:rsidR="00682B9F" w:rsidRPr="00682B9F" w:rsidRDefault="00682B9F" w:rsidP="00682B9F">
            <w:pPr>
              <w:jc w:val="both"/>
              <w:rPr>
                <w:rFonts w:eastAsia="Calibri"/>
                <w:sz w:val="20"/>
                <w:szCs w:val="20"/>
                <w:lang w:eastAsia="en-US"/>
              </w:rPr>
            </w:pPr>
            <w:r w:rsidRPr="00682B9F">
              <w:rPr>
                <w:rFonts w:eastAsia="Calibri"/>
                <w:sz w:val="20"/>
                <w:szCs w:val="20"/>
                <w:lang w:eastAsia="en-US"/>
              </w:rPr>
              <w:t>FUENTE: Consar.</w:t>
            </w:r>
          </w:p>
        </w:tc>
        <w:tc>
          <w:tcPr>
            <w:tcW w:w="1731" w:type="dxa"/>
            <w:tcBorders>
              <w:top w:val="single" w:sz="4" w:space="0" w:color="auto"/>
              <w:left w:val="nil"/>
              <w:bottom w:val="nil"/>
              <w:right w:val="nil"/>
            </w:tcBorders>
          </w:tcPr>
          <w:p w14:paraId="57E71AEC" w14:textId="77777777" w:rsidR="00682B9F" w:rsidRPr="00682B9F" w:rsidRDefault="00682B9F" w:rsidP="00682B9F">
            <w:pPr>
              <w:jc w:val="both"/>
              <w:rPr>
                <w:rFonts w:eastAsia="Calibri"/>
                <w:sz w:val="20"/>
                <w:szCs w:val="20"/>
                <w:lang w:eastAsia="en-US"/>
              </w:rPr>
            </w:pPr>
          </w:p>
        </w:tc>
        <w:tc>
          <w:tcPr>
            <w:tcW w:w="1701" w:type="dxa"/>
            <w:tcBorders>
              <w:top w:val="single" w:sz="4" w:space="0" w:color="auto"/>
              <w:left w:val="nil"/>
              <w:bottom w:val="nil"/>
              <w:right w:val="nil"/>
            </w:tcBorders>
          </w:tcPr>
          <w:p w14:paraId="5800ADFE" w14:textId="77777777" w:rsidR="00682B9F" w:rsidRPr="00682B9F" w:rsidRDefault="00682B9F" w:rsidP="00682B9F">
            <w:pPr>
              <w:jc w:val="both"/>
              <w:rPr>
                <w:rFonts w:eastAsia="Calibri"/>
                <w:sz w:val="20"/>
                <w:szCs w:val="20"/>
                <w:lang w:eastAsia="en-US"/>
              </w:rPr>
            </w:pPr>
          </w:p>
        </w:tc>
      </w:tr>
    </w:tbl>
    <w:p w14:paraId="39729FD7" w14:textId="77777777" w:rsidR="00682B9F" w:rsidRPr="00682B9F" w:rsidRDefault="00682B9F" w:rsidP="00682B9F">
      <w:pPr>
        <w:spacing w:after="360" w:line="360" w:lineRule="auto"/>
        <w:ind w:right="-159"/>
        <w:jc w:val="both"/>
        <w:rPr>
          <w:rFonts w:eastAsia="Calibri"/>
          <w:sz w:val="26"/>
          <w:szCs w:val="26"/>
          <w:lang w:eastAsia="en-US"/>
        </w:rPr>
      </w:pPr>
    </w:p>
    <w:p w14:paraId="7D6ADF6E"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La evaluación del desempeño de un fondo de pensiones en ventanas de tiempo reducidas puede llevar a conclusiones erróneas, dado que su estrategia de inversión está en función del horizonte para el retiro de sus afiliados. Es decir, las Siefores deben considerar el horizonte de tiempo para el retiro de sus afiliados con el horizonte de tiempo para la inversión de su ahorro a fin de maximizar el rendimiento esperado en el largo plazo.</w:t>
      </w:r>
    </w:p>
    <w:p w14:paraId="080A877C"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En la siguiente gráfica se observa el desempeño de las Siefores durante marzo 2015 y donde destaca una marcada volatilidad con tendencia a la baja en el precio de las Siefores (que corresponde a las “minusvalías”). Sin embargo, episodios como este último no han tenido un impacto en el largo plazo. Esto se comprueba con el rendimiento promedio alcanzado a lo largo de los casi 18 años de operación.</w:t>
      </w:r>
    </w:p>
    <w:p w14:paraId="16FC51BA" w14:textId="77777777" w:rsidR="00682B9F" w:rsidRPr="00682B9F" w:rsidRDefault="00682B9F" w:rsidP="00682B9F">
      <w:pPr>
        <w:spacing w:after="360" w:line="360" w:lineRule="auto"/>
        <w:ind w:right="-159"/>
        <w:jc w:val="center"/>
        <w:rPr>
          <w:rFonts w:eastAsia="Calibri"/>
          <w:sz w:val="26"/>
          <w:szCs w:val="26"/>
          <w:lang w:eastAsia="en-US"/>
        </w:rPr>
      </w:pPr>
      <w:r w:rsidRPr="00682B9F">
        <w:rPr>
          <w:rFonts w:ascii="Calibri" w:eastAsia="Calibri" w:hAnsi="Calibri"/>
          <w:sz w:val="22"/>
          <w:szCs w:val="22"/>
          <w:lang w:eastAsia="en-US"/>
        </w:rPr>
        <w:lastRenderedPageBreak/>
        <w:fldChar w:fldCharType="begin"/>
      </w:r>
      <w:r w:rsidRPr="00682B9F">
        <w:rPr>
          <w:rFonts w:ascii="Calibri" w:eastAsia="Calibri" w:hAnsi="Calibri"/>
          <w:sz w:val="22"/>
          <w:szCs w:val="22"/>
          <w:lang w:eastAsia="en-US"/>
        </w:rPr>
        <w:instrText xml:space="preserve"> LINK PowerPoint.Slide.8 "D:\\2015\\ABRIL\\GRÁFICAS POWER POINT\\21.- GRÁFICAS DE AMAFORE.pptx!272" "" \a \p </w:instrText>
      </w:r>
      <w:r w:rsidRPr="00682B9F">
        <w:rPr>
          <w:rFonts w:ascii="Calibri" w:eastAsia="Calibri" w:hAnsi="Calibri"/>
          <w:sz w:val="22"/>
          <w:szCs w:val="22"/>
          <w:lang w:eastAsia="en-US"/>
        </w:rPr>
        <w:fldChar w:fldCharType="separate"/>
      </w:r>
      <w:r w:rsidRPr="00682B9F">
        <w:rPr>
          <w:rFonts w:ascii="Calibri" w:eastAsia="Calibri" w:hAnsi="Calibri"/>
          <w:noProof/>
          <w:sz w:val="22"/>
          <w:szCs w:val="22"/>
          <w:lang w:eastAsia="es-MX"/>
        </w:rPr>
        <w:drawing>
          <wp:inline distT="0" distB="0" distL="0" distR="0" wp14:anchorId="71D2E785" wp14:editId="4308DEFD">
            <wp:extent cx="4831715" cy="3046095"/>
            <wp:effectExtent l="0" t="0" r="6985" b="1905"/>
            <wp:docPr id="1765" name="Imagen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372" cstate="print">
                      <a:extLst>
                        <a:ext uri="{28A0092B-C50C-407E-A947-70E740481C1C}">
                          <a14:useLocalDpi xmlns:a14="http://schemas.microsoft.com/office/drawing/2010/main" val="0"/>
                        </a:ext>
                      </a:extLst>
                    </a:blip>
                    <a:srcRect l="4543" t="11070" r="16037"/>
                    <a:stretch>
                      <a:fillRect/>
                    </a:stretch>
                  </pic:blipFill>
                  <pic:spPr bwMode="auto">
                    <a:xfrm>
                      <a:off x="0" y="0"/>
                      <a:ext cx="4831715" cy="3046095"/>
                    </a:xfrm>
                    <a:prstGeom prst="rect">
                      <a:avLst/>
                    </a:prstGeom>
                    <a:noFill/>
                    <a:ln>
                      <a:noFill/>
                    </a:ln>
                  </pic:spPr>
                </pic:pic>
              </a:graphicData>
            </a:graphic>
          </wp:inline>
        </w:drawing>
      </w:r>
      <w:r w:rsidRPr="00682B9F">
        <w:rPr>
          <w:rFonts w:ascii="Calibri" w:eastAsia="Calibri" w:hAnsi="Calibri"/>
          <w:sz w:val="22"/>
          <w:szCs w:val="22"/>
          <w:lang w:eastAsia="en-US"/>
        </w:rPr>
        <w:fldChar w:fldCharType="end"/>
      </w:r>
    </w:p>
    <w:p w14:paraId="68D81074" w14:textId="77777777" w:rsidR="00682B9F" w:rsidRPr="00682B9F" w:rsidRDefault="00682B9F" w:rsidP="00682B9F">
      <w:pPr>
        <w:spacing w:after="360" w:line="360" w:lineRule="auto"/>
        <w:ind w:right="-159"/>
        <w:jc w:val="both"/>
        <w:rPr>
          <w:rFonts w:eastAsia="Calibri"/>
          <w:sz w:val="26"/>
          <w:szCs w:val="26"/>
          <w:lang w:eastAsia="en-US"/>
        </w:rPr>
      </w:pPr>
      <w:r w:rsidRPr="00682B9F">
        <w:rPr>
          <w:rFonts w:eastAsia="Calibri"/>
          <w:sz w:val="26"/>
          <w:szCs w:val="26"/>
          <w:lang w:eastAsia="en-US"/>
        </w:rPr>
        <w:t>Día a día las Afore se esfuerzan por brindar a los trabajadores el mejor rendimiento a su ahorro para obtener mejores pensiones. Los resultados de los últimos casi 18 años así las avalan.</w:t>
      </w:r>
    </w:p>
    <w:p w14:paraId="43FC21B5" w14:textId="77777777" w:rsidR="00682B9F" w:rsidRPr="00682B9F" w:rsidRDefault="00682B9F" w:rsidP="00682B9F">
      <w:pPr>
        <w:ind w:right="-159"/>
        <w:jc w:val="both"/>
        <w:rPr>
          <w:rFonts w:eastAsia="Calibri"/>
          <w:b/>
          <w:sz w:val="20"/>
          <w:szCs w:val="20"/>
          <w:lang w:eastAsia="en-US"/>
        </w:rPr>
      </w:pPr>
      <w:r w:rsidRPr="00682B9F">
        <w:rPr>
          <w:rFonts w:eastAsia="Calibri"/>
          <w:b/>
          <w:sz w:val="20"/>
          <w:szCs w:val="20"/>
          <w:lang w:eastAsia="en-US"/>
        </w:rPr>
        <w:t>Fuente de información:</w:t>
      </w:r>
    </w:p>
    <w:p w14:paraId="3AA6085A" w14:textId="77777777" w:rsidR="00682B9F" w:rsidRPr="00EF184E" w:rsidRDefault="0045651A" w:rsidP="00EF184E">
      <w:pPr>
        <w:spacing w:after="720"/>
        <w:ind w:right="-159"/>
        <w:jc w:val="both"/>
        <w:rPr>
          <w:rFonts w:eastAsia="Calibri"/>
          <w:color w:val="0000FF"/>
          <w:sz w:val="20"/>
          <w:szCs w:val="20"/>
          <w:lang w:eastAsia="en-US"/>
        </w:rPr>
      </w:pPr>
      <w:hyperlink r:id="rId373" w:history="1">
        <w:r w:rsidR="00682B9F" w:rsidRPr="00EF184E">
          <w:rPr>
            <w:rFonts w:eastAsia="Calibri"/>
            <w:color w:val="0000FF"/>
            <w:sz w:val="20"/>
            <w:szCs w:val="20"/>
            <w:u w:val="single"/>
            <w:lang w:eastAsia="en-US"/>
          </w:rPr>
          <w:t>http://www.amafore.org/sites/default/files/BP%2005-2015%20%288%20abril%202015%29.pdf</w:t>
        </w:r>
      </w:hyperlink>
    </w:p>
    <w:p w14:paraId="138A6746" w14:textId="77777777" w:rsidR="00A25C2F" w:rsidRPr="00A25C2F" w:rsidRDefault="00A25C2F" w:rsidP="00A25C2F">
      <w:pPr>
        <w:jc w:val="both"/>
        <w:rPr>
          <w:rFonts w:eastAsia="Calibri"/>
          <w:b/>
          <w:sz w:val="26"/>
          <w:szCs w:val="26"/>
          <w:lang w:eastAsia="en-US"/>
        </w:rPr>
      </w:pPr>
      <w:r w:rsidRPr="00A25C2F">
        <w:rPr>
          <w:rFonts w:eastAsia="Calibri"/>
          <w:b/>
          <w:sz w:val="26"/>
          <w:szCs w:val="26"/>
          <w:lang w:eastAsia="en-US"/>
        </w:rPr>
        <w:t>¿Cuánto dinero debo ahorrar para alcanzar</w:t>
      </w:r>
    </w:p>
    <w:p w14:paraId="3FA89457" w14:textId="77777777" w:rsidR="00A25C2F" w:rsidRPr="00A25C2F" w:rsidRDefault="00A25C2F" w:rsidP="00A25C2F">
      <w:pPr>
        <w:spacing w:after="360" w:line="360" w:lineRule="auto"/>
        <w:ind w:right="-159"/>
        <w:jc w:val="both"/>
        <w:rPr>
          <w:rFonts w:eastAsia="Calibri"/>
          <w:b/>
          <w:sz w:val="26"/>
          <w:szCs w:val="26"/>
          <w:lang w:eastAsia="en-US"/>
        </w:rPr>
      </w:pPr>
      <w:r w:rsidRPr="00A25C2F">
        <w:rPr>
          <w:rFonts w:eastAsia="Calibri"/>
          <w:b/>
          <w:sz w:val="26"/>
          <w:szCs w:val="26"/>
          <w:lang w:eastAsia="en-US"/>
        </w:rPr>
        <w:t>una    buena    pensión? / I   (Forbes México)</w:t>
      </w:r>
    </w:p>
    <w:p w14:paraId="414F9204"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El 16 de abril de 2015, la edición online de la revista de negocios Forbes México indicó que llegado el momento, tu pensión podría estar por debajo de tus expectativas, así que hoy es oportuno saber cuánto ahorrar para lograr un ingreso adecuado al alcanzar el retiro.</w:t>
      </w:r>
    </w:p>
    <w:p w14:paraId="24A17713"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 xml:space="preserve">Una vez que se alcance la edad de retirarse de la actividad laboral, la aspiración de toda persona es contar con una pensión que otorgue los recursos suficientes para mantener un nivel adecuado de vida. Una medición común que se utiliza para evaluar lo anterior, </w:t>
      </w:r>
      <w:r w:rsidRPr="00A25C2F">
        <w:rPr>
          <w:rFonts w:eastAsia="Calibri"/>
          <w:sz w:val="26"/>
          <w:szCs w:val="26"/>
          <w:lang w:val="es-ES" w:eastAsia="en-US"/>
        </w:rPr>
        <w:lastRenderedPageBreak/>
        <w:t>es lo que se conoce como la tasa de reemplazo. Ésta es una simple medición del porcentaje que representa la pensión del último salario percibido</w:t>
      </w:r>
      <w:r w:rsidRPr="00A25C2F">
        <w:rPr>
          <w:rFonts w:eastAsia="Calibri"/>
          <w:sz w:val="26"/>
          <w:szCs w:val="26"/>
          <w:vertAlign w:val="superscript"/>
          <w:lang w:val="es-ES" w:eastAsia="en-US"/>
        </w:rPr>
        <w:footnoteReference w:id="70"/>
      </w:r>
      <w:r w:rsidRPr="00A25C2F">
        <w:rPr>
          <w:rFonts w:eastAsia="Calibri"/>
          <w:sz w:val="26"/>
          <w:szCs w:val="26"/>
          <w:lang w:val="es-ES" w:eastAsia="en-US"/>
        </w:rPr>
        <w:t>. ¿Cuál sería una tasa de reemplazo adecuada? Organismos internacionales como la Organización para la Cooperación y el Desarrollo Económicos (OCDE) y la Organización Internacional del Trabajo (OIT) han estimado que una tasa de reemplazo razonable sería de entre 50 a 70 por ciento</w:t>
      </w:r>
      <w:r w:rsidRPr="00A25C2F">
        <w:rPr>
          <w:rFonts w:eastAsia="Calibri"/>
          <w:sz w:val="26"/>
          <w:szCs w:val="26"/>
          <w:vertAlign w:val="superscript"/>
          <w:lang w:val="es-ES" w:eastAsia="en-US"/>
        </w:rPr>
        <w:footnoteReference w:id="71"/>
      </w:r>
      <w:r w:rsidRPr="00A25C2F">
        <w:rPr>
          <w:rFonts w:eastAsia="Calibri"/>
          <w:sz w:val="26"/>
          <w:szCs w:val="26"/>
          <w:lang w:val="es-ES" w:eastAsia="en-US"/>
        </w:rPr>
        <w:t>.</w:t>
      </w:r>
    </w:p>
    <w:p w14:paraId="6161E2A6"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La Comisión Nacional del Sistema de Ahorro para el Retiro (Consar) ha insistido que los ahorradores deben estar alerta respecto a su Afore pues existe el riesgo de que la pensión que se obtenga esté por debajo de sus expectativas, por lo que se insiste en al menos dos vertientes para mejorar el monto de la pensión: primero, poner a disposición del trabajador, mayor cantidad y calidad de información para que éste pueda elegir la mejor Afore y, segundo, insistir en la importancia de efectuar aportaciones voluntarias a su cuenta individual en una Afore de manera consistente y desde temprana edad.</w:t>
      </w:r>
    </w:p>
    <w:p w14:paraId="0340F6D7"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En este texto se revisan algunos aspectos vinculados con la importante interrogante de cuanto se debe ahorrar para lograr un ingreso adecuado al alcanzar el retiro.</w:t>
      </w:r>
    </w:p>
    <w:p w14:paraId="6E4A453C" w14:textId="77777777" w:rsidR="00A25C2F" w:rsidRPr="00A25C2F" w:rsidRDefault="00A25C2F" w:rsidP="00A25C2F">
      <w:pPr>
        <w:spacing w:after="360" w:line="360" w:lineRule="auto"/>
        <w:ind w:right="-159"/>
        <w:jc w:val="both"/>
        <w:rPr>
          <w:rFonts w:eastAsia="Calibri"/>
          <w:b/>
          <w:sz w:val="26"/>
          <w:szCs w:val="26"/>
          <w:lang w:val="es-ES" w:eastAsia="en-US"/>
        </w:rPr>
      </w:pPr>
      <w:r w:rsidRPr="00A25C2F">
        <w:rPr>
          <w:rFonts w:eastAsia="Calibri"/>
          <w:b/>
          <w:sz w:val="26"/>
          <w:szCs w:val="26"/>
          <w:lang w:val="es-ES" w:eastAsia="en-US"/>
        </w:rPr>
        <w:t xml:space="preserve"> ¿Cuánto ahorro necesito para alcanzar una buena pensión?</w:t>
      </w:r>
    </w:p>
    <w:p w14:paraId="324EF24E"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La pensión que alcanzará un trabajador al terminar su vida laboral depende de un número importante de factores: la edad de retiro, los años de la carrera laboral, la evolución salarial del trabajador, la permanencia del cotizante en el mercado laboral formal, los rendimientos que genera el saldo acumulado en la cuenta individual, las comisiones que cobran las Afore, el nivel de ahorro voluntario y el porcentaje de la aportación obligatoria al ahorro para el retiro</w:t>
      </w:r>
      <w:r w:rsidRPr="00A25C2F">
        <w:rPr>
          <w:rFonts w:eastAsia="Calibri"/>
          <w:sz w:val="26"/>
          <w:szCs w:val="26"/>
          <w:vertAlign w:val="superscript"/>
          <w:lang w:val="es-ES" w:eastAsia="en-US"/>
        </w:rPr>
        <w:footnoteReference w:id="72"/>
      </w:r>
      <w:r w:rsidRPr="00A25C2F">
        <w:rPr>
          <w:rFonts w:eastAsia="Calibri"/>
          <w:sz w:val="26"/>
          <w:szCs w:val="26"/>
          <w:lang w:val="es-ES" w:eastAsia="en-US"/>
        </w:rPr>
        <w:t>.</w:t>
      </w:r>
    </w:p>
    <w:p w14:paraId="19B26D49" w14:textId="77777777" w:rsid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lastRenderedPageBreak/>
        <w:t>Para hacer una evaluación exacta del monto pensionario al que tendría acceso cada trabajador, se debería conocer de antemano, y en un horizonte de largo plazo, la evolución futura de cada uno de los parámetros antes mencionados. Evidentemente como es de esperarse, lo anterior no es factible. Sin embargo, utilizando un conjunto de supuestos, se pueden desarrollar estimaciones de la cantidad que deberían acumular los ahorradores al momento de la jubilación para alcanzar distintas tasas de reemplazo</w:t>
      </w:r>
      <w:r w:rsidRPr="00A25C2F">
        <w:rPr>
          <w:rFonts w:eastAsia="Calibri"/>
          <w:sz w:val="26"/>
          <w:szCs w:val="26"/>
          <w:vertAlign w:val="superscript"/>
          <w:lang w:val="es-ES" w:eastAsia="en-US"/>
        </w:rPr>
        <w:footnoteReference w:id="73"/>
      </w:r>
      <w:r w:rsidRPr="00A25C2F">
        <w:rPr>
          <w:rFonts w:eastAsia="Calibri"/>
          <w:sz w:val="26"/>
          <w:szCs w:val="26"/>
          <w:lang w:val="es-ES" w:eastAsia="en-US"/>
        </w:rPr>
        <w:t>.</w:t>
      </w:r>
    </w:p>
    <w:tbl>
      <w:tblPr>
        <w:tblW w:w="0" w:type="auto"/>
        <w:jc w:val="center"/>
        <w:tblLook w:val="04A0" w:firstRow="1" w:lastRow="0" w:firstColumn="1" w:lastColumn="0" w:noHBand="0" w:noVBand="1"/>
      </w:tblPr>
      <w:tblGrid>
        <w:gridCol w:w="2835"/>
        <w:gridCol w:w="2694"/>
      </w:tblGrid>
      <w:tr w:rsidR="00A25C2F" w:rsidRPr="00A25C2F" w14:paraId="2FFBEF44" w14:textId="77777777" w:rsidTr="00A25C2F">
        <w:trPr>
          <w:jc w:val="center"/>
        </w:trPr>
        <w:tc>
          <w:tcPr>
            <w:tcW w:w="5529" w:type="dxa"/>
            <w:gridSpan w:val="2"/>
            <w:tcBorders>
              <w:top w:val="nil"/>
              <w:left w:val="nil"/>
              <w:bottom w:val="single" w:sz="4" w:space="0" w:color="auto"/>
              <w:right w:val="nil"/>
            </w:tcBorders>
            <w:vAlign w:val="center"/>
          </w:tcPr>
          <w:p w14:paraId="6D173FEA" w14:textId="77777777" w:rsidR="00A25C2F" w:rsidRPr="00A25C2F" w:rsidRDefault="00A25C2F" w:rsidP="00A25C2F">
            <w:pPr>
              <w:spacing w:before="20" w:after="20" w:line="276" w:lineRule="auto"/>
              <w:jc w:val="center"/>
              <w:rPr>
                <w:rFonts w:eastAsia="Calibri"/>
                <w:b/>
                <w:sz w:val="22"/>
                <w:szCs w:val="22"/>
                <w:lang w:eastAsia="en-US"/>
              </w:rPr>
            </w:pPr>
            <w:r w:rsidRPr="00A25C2F">
              <w:rPr>
                <w:rFonts w:eastAsia="Calibri"/>
                <w:b/>
                <w:sz w:val="22"/>
                <w:szCs w:val="22"/>
                <w:lang w:eastAsia="en-US"/>
              </w:rPr>
              <w:t>AHORRO ACUMULADO A LA EDAD DEL RETIRO</w:t>
            </w:r>
          </w:p>
        </w:tc>
      </w:tr>
      <w:tr w:rsidR="00A25C2F" w:rsidRPr="00A25C2F" w14:paraId="01FEED2B" w14:textId="77777777" w:rsidTr="00A25C2F">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6F16D5E6"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¿Cuánto necesita?</w:t>
            </w:r>
          </w:p>
        </w:tc>
        <w:tc>
          <w:tcPr>
            <w:tcW w:w="2694" w:type="dxa"/>
            <w:tcBorders>
              <w:top w:val="single" w:sz="4" w:space="0" w:color="auto"/>
              <w:left w:val="single" w:sz="4" w:space="0" w:color="auto"/>
              <w:bottom w:val="single" w:sz="4" w:space="0" w:color="auto"/>
              <w:right w:val="single" w:sz="4" w:space="0" w:color="auto"/>
            </w:tcBorders>
            <w:vAlign w:val="center"/>
          </w:tcPr>
          <w:p w14:paraId="5A18BC5C"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Pensión mensual estimada</w:t>
            </w:r>
          </w:p>
        </w:tc>
      </w:tr>
      <w:tr w:rsidR="00A25C2F" w:rsidRPr="00A25C2F" w14:paraId="06F4913D" w14:textId="77777777" w:rsidTr="00A25C2F">
        <w:trPr>
          <w:jc w:val="center"/>
        </w:trPr>
        <w:tc>
          <w:tcPr>
            <w:tcW w:w="2835" w:type="dxa"/>
            <w:tcBorders>
              <w:top w:val="single" w:sz="4" w:space="0" w:color="auto"/>
              <w:left w:val="single" w:sz="4" w:space="0" w:color="auto"/>
              <w:bottom w:val="nil"/>
              <w:right w:val="single" w:sz="4" w:space="0" w:color="auto"/>
            </w:tcBorders>
            <w:vAlign w:val="center"/>
          </w:tcPr>
          <w:p w14:paraId="2BDD32A2"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262 682</w:t>
            </w:r>
          </w:p>
        </w:tc>
        <w:tc>
          <w:tcPr>
            <w:tcW w:w="2694" w:type="dxa"/>
            <w:tcBorders>
              <w:top w:val="single" w:sz="4" w:space="0" w:color="auto"/>
              <w:left w:val="single" w:sz="4" w:space="0" w:color="auto"/>
              <w:bottom w:val="nil"/>
              <w:right w:val="single" w:sz="4" w:space="0" w:color="auto"/>
            </w:tcBorders>
            <w:vAlign w:val="center"/>
          </w:tcPr>
          <w:p w14:paraId="5FEC4A8B"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1 111</w:t>
            </w:r>
          </w:p>
        </w:tc>
      </w:tr>
      <w:tr w:rsidR="00A25C2F" w:rsidRPr="00A25C2F" w14:paraId="302CFFCA" w14:textId="77777777" w:rsidTr="00A25C2F">
        <w:trPr>
          <w:jc w:val="center"/>
        </w:trPr>
        <w:tc>
          <w:tcPr>
            <w:tcW w:w="2835" w:type="dxa"/>
            <w:tcBorders>
              <w:top w:val="nil"/>
              <w:left w:val="single" w:sz="4" w:space="0" w:color="auto"/>
              <w:bottom w:val="nil"/>
              <w:right w:val="single" w:sz="4" w:space="0" w:color="auto"/>
            </w:tcBorders>
            <w:vAlign w:val="center"/>
          </w:tcPr>
          <w:p w14:paraId="6F74835C"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383 996</w:t>
            </w:r>
          </w:p>
        </w:tc>
        <w:tc>
          <w:tcPr>
            <w:tcW w:w="2694" w:type="dxa"/>
            <w:tcBorders>
              <w:top w:val="nil"/>
              <w:left w:val="single" w:sz="4" w:space="0" w:color="auto"/>
              <w:bottom w:val="nil"/>
              <w:right w:val="single" w:sz="4" w:space="0" w:color="auto"/>
            </w:tcBorders>
            <w:vAlign w:val="center"/>
          </w:tcPr>
          <w:p w14:paraId="63E05515"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1 624</w:t>
            </w:r>
          </w:p>
        </w:tc>
      </w:tr>
      <w:tr w:rsidR="00A25C2F" w:rsidRPr="00A25C2F" w14:paraId="5BEE52B3" w14:textId="77777777" w:rsidTr="00A25C2F">
        <w:trPr>
          <w:jc w:val="center"/>
        </w:trPr>
        <w:tc>
          <w:tcPr>
            <w:tcW w:w="2835" w:type="dxa"/>
            <w:tcBorders>
              <w:top w:val="nil"/>
              <w:left w:val="single" w:sz="4" w:space="0" w:color="auto"/>
              <w:bottom w:val="nil"/>
              <w:right w:val="single" w:sz="4" w:space="0" w:color="auto"/>
            </w:tcBorders>
            <w:vAlign w:val="center"/>
          </w:tcPr>
          <w:p w14:paraId="495DB735"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510 966</w:t>
            </w:r>
          </w:p>
        </w:tc>
        <w:tc>
          <w:tcPr>
            <w:tcW w:w="2694" w:type="dxa"/>
            <w:tcBorders>
              <w:top w:val="nil"/>
              <w:left w:val="single" w:sz="4" w:space="0" w:color="auto"/>
              <w:bottom w:val="nil"/>
              <w:right w:val="single" w:sz="4" w:space="0" w:color="auto"/>
            </w:tcBorders>
            <w:vAlign w:val="center"/>
          </w:tcPr>
          <w:p w14:paraId="2B4A4964"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2 161</w:t>
            </w:r>
          </w:p>
        </w:tc>
      </w:tr>
      <w:tr w:rsidR="00A25C2F" w:rsidRPr="00A25C2F" w14:paraId="0CD03488" w14:textId="77777777" w:rsidTr="00A25C2F">
        <w:trPr>
          <w:jc w:val="center"/>
        </w:trPr>
        <w:tc>
          <w:tcPr>
            <w:tcW w:w="2835" w:type="dxa"/>
            <w:tcBorders>
              <w:top w:val="nil"/>
              <w:left w:val="single" w:sz="4" w:space="0" w:color="auto"/>
              <w:bottom w:val="nil"/>
              <w:right w:val="single" w:sz="4" w:space="0" w:color="auto"/>
            </w:tcBorders>
            <w:vAlign w:val="center"/>
          </w:tcPr>
          <w:p w14:paraId="60E780E8"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637 935</w:t>
            </w:r>
          </w:p>
        </w:tc>
        <w:tc>
          <w:tcPr>
            <w:tcW w:w="2694" w:type="dxa"/>
            <w:tcBorders>
              <w:top w:val="nil"/>
              <w:left w:val="single" w:sz="4" w:space="0" w:color="auto"/>
              <w:bottom w:val="nil"/>
              <w:right w:val="single" w:sz="4" w:space="0" w:color="auto"/>
            </w:tcBorders>
            <w:vAlign w:val="center"/>
          </w:tcPr>
          <w:p w14:paraId="2C4922FE"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2 698</w:t>
            </w:r>
          </w:p>
        </w:tc>
      </w:tr>
      <w:tr w:rsidR="00A25C2F" w:rsidRPr="00A25C2F" w14:paraId="1D5B0DFE" w14:textId="77777777" w:rsidTr="00A25C2F">
        <w:trPr>
          <w:jc w:val="center"/>
        </w:trPr>
        <w:tc>
          <w:tcPr>
            <w:tcW w:w="2835" w:type="dxa"/>
            <w:tcBorders>
              <w:top w:val="nil"/>
              <w:left w:val="single" w:sz="4" w:space="0" w:color="auto"/>
              <w:bottom w:val="nil"/>
              <w:right w:val="single" w:sz="4" w:space="0" w:color="auto"/>
            </w:tcBorders>
            <w:vAlign w:val="center"/>
          </w:tcPr>
          <w:p w14:paraId="2A7BF91C"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759 250</w:t>
            </w:r>
          </w:p>
        </w:tc>
        <w:tc>
          <w:tcPr>
            <w:tcW w:w="2694" w:type="dxa"/>
            <w:tcBorders>
              <w:top w:val="nil"/>
              <w:left w:val="single" w:sz="4" w:space="0" w:color="auto"/>
              <w:bottom w:val="nil"/>
              <w:right w:val="single" w:sz="4" w:space="0" w:color="auto"/>
            </w:tcBorders>
            <w:vAlign w:val="center"/>
          </w:tcPr>
          <w:p w14:paraId="71106762"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3 211</w:t>
            </w:r>
          </w:p>
        </w:tc>
      </w:tr>
      <w:tr w:rsidR="00A25C2F" w:rsidRPr="00A25C2F" w14:paraId="21B61EF4" w14:textId="77777777" w:rsidTr="00A25C2F">
        <w:trPr>
          <w:jc w:val="center"/>
        </w:trPr>
        <w:tc>
          <w:tcPr>
            <w:tcW w:w="2835" w:type="dxa"/>
            <w:tcBorders>
              <w:top w:val="nil"/>
              <w:left w:val="single" w:sz="4" w:space="0" w:color="auto"/>
              <w:bottom w:val="nil"/>
              <w:right w:val="single" w:sz="4" w:space="0" w:color="auto"/>
            </w:tcBorders>
            <w:vAlign w:val="center"/>
          </w:tcPr>
          <w:p w14:paraId="4934989F"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1 388 441</w:t>
            </w:r>
          </w:p>
        </w:tc>
        <w:tc>
          <w:tcPr>
            <w:tcW w:w="2694" w:type="dxa"/>
            <w:tcBorders>
              <w:top w:val="nil"/>
              <w:left w:val="single" w:sz="4" w:space="0" w:color="auto"/>
              <w:bottom w:val="nil"/>
              <w:right w:val="single" w:sz="4" w:space="0" w:color="auto"/>
            </w:tcBorders>
            <w:vAlign w:val="center"/>
          </w:tcPr>
          <w:p w14:paraId="01CFF351"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5 872</w:t>
            </w:r>
          </w:p>
        </w:tc>
      </w:tr>
      <w:tr w:rsidR="00A25C2F" w:rsidRPr="00A25C2F" w14:paraId="711C243F" w14:textId="77777777" w:rsidTr="00A25C2F">
        <w:trPr>
          <w:jc w:val="center"/>
        </w:trPr>
        <w:tc>
          <w:tcPr>
            <w:tcW w:w="2835" w:type="dxa"/>
            <w:tcBorders>
              <w:top w:val="nil"/>
              <w:left w:val="single" w:sz="4" w:space="0" w:color="auto"/>
              <w:bottom w:val="nil"/>
              <w:right w:val="single" w:sz="4" w:space="0" w:color="auto"/>
            </w:tcBorders>
            <w:vAlign w:val="center"/>
          </w:tcPr>
          <w:p w14:paraId="62CE36C8"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2 017 633</w:t>
            </w:r>
          </w:p>
        </w:tc>
        <w:tc>
          <w:tcPr>
            <w:tcW w:w="2694" w:type="dxa"/>
            <w:tcBorders>
              <w:top w:val="nil"/>
              <w:left w:val="single" w:sz="4" w:space="0" w:color="auto"/>
              <w:bottom w:val="nil"/>
              <w:right w:val="single" w:sz="4" w:space="0" w:color="auto"/>
            </w:tcBorders>
            <w:vAlign w:val="center"/>
          </w:tcPr>
          <w:p w14:paraId="1C1873B8"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8 533</w:t>
            </w:r>
          </w:p>
        </w:tc>
      </w:tr>
      <w:tr w:rsidR="00A25C2F" w:rsidRPr="00A25C2F" w14:paraId="39EF6C40" w14:textId="77777777" w:rsidTr="00A25C2F">
        <w:trPr>
          <w:jc w:val="center"/>
        </w:trPr>
        <w:tc>
          <w:tcPr>
            <w:tcW w:w="2835" w:type="dxa"/>
            <w:tcBorders>
              <w:top w:val="nil"/>
              <w:left w:val="single" w:sz="4" w:space="0" w:color="auto"/>
              <w:bottom w:val="single" w:sz="4" w:space="0" w:color="auto"/>
              <w:right w:val="single" w:sz="4" w:space="0" w:color="auto"/>
            </w:tcBorders>
            <w:vAlign w:val="center"/>
          </w:tcPr>
          <w:p w14:paraId="5FA76CE3"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3 174 232</w:t>
            </w:r>
          </w:p>
        </w:tc>
        <w:tc>
          <w:tcPr>
            <w:tcW w:w="2694" w:type="dxa"/>
            <w:tcBorders>
              <w:top w:val="nil"/>
              <w:left w:val="single" w:sz="4" w:space="0" w:color="auto"/>
              <w:bottom w:val="single" w:sz="4" w:space="0" w:color="auto"/>
              <w:right w:val="single" w:sz="4" w:space="0" w:color="auto"/>
            </w:tcBorders>
            <w:vAlign w:val="center"/>
          </w:tcPr>
          <w:p w14:paraId="35091ECD" w14:textId="77777777" w:rsidR="00A25C2F" w:rsidRPr="00A25C2F" w:rsidRDefault="00A25C2F" w:rsidP="00A25C2F">
            <w:pPr>
              <w:spacing w:before="20" w:after="20" w:line="276" w:lineRule="auto"/>
              <w:ind w:right="1026"/>
              <w:jc w:val="right"/>
              <w:rPr>
                <w:rFonts w:eastAsia="Calibri"/>
                <w:sz w:val="18"/>
                <w:szCs w:val="18"/>
                <w:lang w:eastAsia="en-US"/>
              </w:rPr>
            </w:pPr>
            <w:r w:rsidRPr="00A25C2F">
              <w:rPr>
                <w:rFonts w:eastAsia="Calibri"/>
                <w:sz w:val="18"/>
                <w:szCs w:val="18"/>
                <w:lang w:eastAsia="en-US"/>
              </w:rPr>
              <w:t>13 425</w:t>
            </w:r>
          </w:p>
        </w:tc>
      </w:tr>
      <w:tr w:rsidR="00A25C2F" w:rsidRPr="00A25C2F" w14:paraId="64CAA484" w14:textId="77777777" w:rsidTr="00B9606F">
        <w:trPr>
          <w:jc w:val="center"/>
        </w:trPr>
        <w:tc>
          <w:tcPr>
            <w:tcW w:w="5529" w:type="dxa"/>
            <w:gridSpan w:val="2"/>
            <w:tcBorders>
              <w:top w:val="single" w:sz="4" w:space="0" w:color="auto"/>
              <w:left w:val="nil"/>
              <w:bottom w:val="nil"/>
              <w:right w:val="nil"/>
            </w:tcBorders>
            <w:vAlign w:val="center"/>
          </w:tcPr>
          <w:p w14:paraId="31189B8F" w14:textId="77777777" w:rsidR="00A25C2F" w:rsidRPr="00A25C2F" w:rsidRDefault="00A25C2F" w:rsidP="00A25C2F">
            <w:pPr>
              <w:spacing w:before="20" w:after="20" w:line="276" w:lineRule="auto"/>
              <w:ind w:left="567" w:hanging="567"/>
              <w:jc w:val="both"/>
              <w:rPr>
                <w:rFonts w:eastAsia="Calibri"/>
                <w:sz w:val="20"/>
                <w:szCs w:val="20"/>
                <w:lang w:eastAsia="en-US"/>
              </w:rPr>
            </w:pPr>
            <w:r w:rsidRPr="00A25C2F">
              <w:rPr>
                <w:rFonts w:eastAsia="Calibri"/>
                <w:sz w:val="20"/>
                <w:szCs w:val="20"/>
                <w:lang w:eastAsia="en-US"/>
              </w:rPr>
              <w:t>Nota: La pensión mensual estimada no considera la Pensión Mínima Garantizada (PMG) vigente.</w:t>
            </w:r>
          </w:p>
          <w:p w14:paraId="18147B4B" w14:textId="77777777" w:rsidR="00A25C2F" w:rsidRPr="00A25C2F" w:rsidRDefault="00A25C2F" w:rsidP="00A25C2F">
            <w:pPr>
              <w:spacing w:before="20" w:after="20" w:line="276" w:lineRule="auto"/>
              <w:jc w:val="both"/>
              <w:rPr>
                <w:rFonts w:eastAsia="Calibri"/>
                <w:sz w:val="20"/>
                <w:szCs w:val="20"/>
                <w:lang w:eastAsia="en-US"/>
              </w:rPr>
            </w:pPr>
            <w:r w:rsidRPr="00A25C2F">
              <w:rPr>
                <w:rFonts w:eastAsia="Calibri"/>
                <w:sz w:val="20"/>
                <w:szCs w:val="20"/>
                <w:lang w:eastAsia="en-US"/>
              </w:rPr>
              <w:t>FUENTE: Forbes México.</w:t>
            </w:r>
          </w:p>
        </w:tc>
      </w:tr>
    </w:tbl>
    <w:p w14:paraId="4D16459A" w14:textId="77777777" w:rsidR="00A25C2F" w:rsidRPr="00A25C2F" w:rsidRDefault="00A25C2F" w:rsidP="00A25C2F">
      <w:pPr>
        <w:spacing w:after="360" w:line="360" w:lineRule="auto"/>
        <w:ind w:right="-159"/>
        <w:jc w:val="both"/>
        <w:rPr>
          <w:rFonts w:eastAsia="Calibri"/>
          <w:sz w:val="26"/>
          <w:szCs w:val="26"/>
          <w:lang w:val="es-ES" w:eastAsia="en-US"/>
        </w:rPr>
      </w:pPr>
    </w:p>
    <w:p w14:paraId="6A790321" w14:textId="77777777" w:rsidR="00A25C2F" w:rsidRPr="00A25C2F" w:rsidRDefault="00A25C2F" w:rsidP="00A25C2F">
      <w:pPr>
        <w:spacing w:after="360" w:line="360" w:lineRule="auto"/>
        <w:ind w:right="-159"/>
        <w:jc w:val="both"/>
        <w:rPr>
          <w:rFonts w:eastAsia="Calibri"/>
          <w:b/>
          <w:sz w:val="26"/>
          <w:szCs w:val="26"/>
          <w:lang w:val="es-ES" w:eastAsia="en-US"/>
        </w:rPr>
      </w:pPr>
      <w:r w:rsidRPr="00A25C2F">
        <w:rPr>
          <w:rFonts w:eastAsia="Calibri"/>
          <w:b/>
          <w:sz w:val="26"/>
          <w:szCs w:val="26"/>
          <w:lang w:val="es-ES" w:eastAsia="en-US"/>
        </w:rPr>
        <w:t>¿Cuánto ahorran para el retiro los trabajadores en México?</w:t>
      </w:r>
    </w:p>
    <w:p w14:paraId="3F79EF31" w14:textId="77777777" w:rsid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Como se sabe, en México la tasa de contribución obligatoria es del 6.5% del salario base de cotización (para un trabajador afiliado al Instituto Mexicano del Seguro Social, IMSS).  Esta aportación se encuentra entre las más bajas a nivel internacional como puede verse en el siguiente cuadro.</w:t>
      </w:r>
    </w:p>
    <w:p w14:paraId="7E59E114" w14:textId="77777777" w:rsidR="00AF7C3F" w:rsidRDefault="00AF7C3F" w:rsidP="00A25C2F">
      <w:pPr>
        <w:spacing w:after="360" w:line="360" w:lineRule="auto"/>
        <w:ind w:right="-159"/>
        <w:jc w:val="both"/>
        <w:rPr>
          <w:rFonts w:eastAsia="Calibri"/>
          <w:sz w:val="26"/>
          <w:szCs w:val="26"/>
          <w:lang w:val="es-ES" w:eastAsia="en-US"/>
        </w:rPr>
      </w:pPr>
    </w:p>
    <w:tbl>
      <w:tblPr>
        <w:tblW w:w="0" w:type="auto"/>
        <w:jc w:val="center"/>
        <w:tblLook w:val="04A0" w:firstRow="1" w:lastRow="0" w:firstColumn="1" w:lastColumn="0" w:noHBand="0" w:noVBand="1"/>
      </w:tblPr>
      <w:tblGrid>
        <w:gridCol w:w="3119"/>
        <w:gridCol w:w="2694"/>
      </w:tblGrid>
      <w:tr w:rsidR="00A25C2F" w:rsidRPr="00A25C2F" w14:paraId="1C8C694A" w14:textId="77777777" w:rsidTr="00A25C2F">
        <w:trPr>
          <w:jc w:val="center"/>
        </w:trPr>
        <w:tc>
          <w:tcPr>
            <w:tcW w:w="5813" w:type="dxa"/>
            <w:gridSpan w:val="2"/>
            <w:tcBorders>
              <w:top w:val="nil"/>
              <w:left w:val="nil"/>
              <w:bottom w:val="single" w:sz="4" w:space="0" w:color="auto"/>
              <w:right w:val="nil"/>
            </w:tcBorders>
            <w:vAlign w:val="center"/>
          </w:tcPr>
          <w:p w14:paraId="43D9FB59" w14:textId="77777777" w:rsidR="00A25C2F" w:rsidRPr="00A25C2F" w:rsidRDefault="00A25C2F" w:rsidP="00A25C2F">
            <w:pPr>
              <w:jc w:val="center"/>
              <w:rPr>
                <w:rFonts w:eastAsia="Calibri"/>
                <w:b/>
                <w:sz w:val="22"/>
                <w:szCs w:val="22"/>
                <w:lang w:eastAsia="en-US"/>
              </w:rPr>
            </w:pPr>
            <w:r w:rsidRPr="00A25C2F">
              <w:rPr>
                <w:rFonts w:eastAsia="Calibri"/>
                <w:b/>
                <w:sz w:val="22"/>
                <w:szCs w:val="22"/>
                <w:lang w:eastAsia="en-US"/>
              </w:rPr>
              <w:lastRenderedPageBreak/>
              <w:t>APORTACIONES OBLIGATORIAS A NIVEL INTERNACIONAL</w:t>
            </w:r>
          </w:p>
        </w:tc>
      </w:tr>
      <w:tr w:rsidR="00A25C2F" w:rsidRPr="00A25C2F" w14:paraId="4DC7C2D5" w14:textId="77777777" w:rsidTr="00A25C2F">
        <w:trPr>
          <w:jc w:val="center"/>
        </w:trPr>
        <w:tc>
          <w:tcPr>
            <w:tcW w:w="3119" w:type="dxa"/>
            <w:tcBorders>
              <w:top w:val="single" w:sz="4" w:space="0" w:color="auto"/>
              <w:left w:val="single" w:sz="4" w:space="0" w:color="auto"/>
              <w:bottom w:val="single" w:sz="4" w:space="0" w:color="auto"/>
              <w:right w:val="single" w:sz="4" w:space="0" w:color="auto"/>
            </w:tcBorders>
            <w:vAlign w:val="center"/>
          </w:tcPr>
          <w:p w14:paraId="51AFFB32"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 xml:space="preserve">País </w:t>
            </w:r>
          </w:p>
        </w:tc>
        <w:tc>
          <w:tcPr>
            <w:tcW w:w="2694" w:type="dxa"/>
            <w:tcBorders>
              <w:top w:val="single" w:sz="4" w:space="0" w:color="auto"/>
              <w:left w:val="single" w:sz="4" w:space="0" w:color="auto"/>
              <w:bottom w:val="single" w:sz="4" w:space="0" w:color="auto"/>
              <w:right w:val="single" w:sz="4" w:space="0" w:color="auto"/>
            </w:tcBorders>
            <w:vAlign w:val="center"/>
          </w:tcPr>
          <w:p w14:paraId="674499A8"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Aportación como porcentaje   del salario del trabajador</w:t>
            </w:r>
          </w:p>
        </w:tc>
      </w:tr>
      <w:tr w:rsidR="00A25C2F" w:rsidRPr="00A25C2F" w14:paraId="6CA96864" w14:textId="77777777" w:rsidTr="00A25C2F">
        <w:trPr>
          <w:jc w:val="center"/>
        </w:trPr>
        <w:tc>
          <w:tcPr>
            <w:tcW w:w="3119" w:type="dxa"/>
            <w:tcBorders>
              <w:top w:val="single" w:sz="4" w:space="0" w:color="auto"/>
              <w:left w:val="single" w:sz="4" w:space="0" w:color="auto"/>
              <w:bottom w:val="nil"/>
              <w:right w:val="single" w:sz="4" w:space="0" w:color="auto"/>
            </w:tcBorders>
            <w:vAlign w:val="center"/>
          </w:tcPr>
          <w:p w14:paraId="038A4870"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 xml:space="preserve">Suecia </w:t>
            </w:r>
          </w:p>
        </w:tc>
        <w:tc>
          <w:tcPr>
            <w:tcW w:w="2694" w:type="dxa"/>
            <w:tcBorders>
              <w:top w:val="single" w:sz="4" w:space="0" w:color="auto"/>
              <w:left w:val="single" w:sz="4" w:space="0" w:color="auto"/>
              <w:bottom w:val="nil"/>
              <w:right w:val="single" w:sz="4" w:space="0" w:color="auto"/>
            </w:tcBorders>
            <w:vAlign w:val="center"/>
          </w:tcPr>
          <w:p w14:paraId="6B09A91B"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17.2</w:t>
            </w:r>
          </w:p>
        </w:tc>
      </w:tr>
      <w:tr w:rsidR="00A25C2F" w:rsidRPr="00A25C2F" w14:paraId="23FAA137" w14:textId="77777777" w:rsidTr="00A25C2F">
        <w:trPr>
          <w:jc w:val="center"/>
        </w:trPr>
        <w:tc>
          <w:tcPr>
            <w:tcW w:w="3119" w:type="dxa"/>
            <w:tcBorders>
              <w:top w:val="nil"/>
              <w:left w:val="single" w:sz="4" w:space="0" w:color="auto"/>
              <w:bottom w:val="nil"/>
              <w:right w:val="single" w:sz="4" w:space="0" w:color="auto"/>
            </w:tcBorders>
            <w:vAlign w:val="center"/>
          </w:tcPr>
          <w:p w14:paraId="3A16C0A3"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Colombia</w:t>
            </w:r>
          </w:p>
        </w:tc>
        <w:tc>
          <w:tcPr>
            <w:tcW w:w="2694" w:type="dxa"/>
            <w:tcBorders>
              <w:top w:val="nil"/>
              <w:left w:val="single" w:sz="4" w:space="0" w:color="auto"/>
              <w:bottom w:val="nil"/>
              <w:right w:val="single" w:sz="4" w:space="0" w:color="auto"/>
            </w:tcBorders>
            <w:vAlign w:val="center"/>
          </w:tcPr>
          <w:p w14:paraId="15E8EDE1"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16.0</w:t>
            </w:r>
          </w:p>
        </w:tc>
      </w:tr>
      <w:tr w:rsidR="00A25C2F" w:rsidRPr="00A25C2F" w14:paraId="4B0F0725" w14:textId="77777777" w:rsidTr="00A25C2F">
        <w:trPr>
          <w:jc w:val="center"/>
        </w:trPr>
        <w:tc>
          <w:tcPr>
            <w:tcW w:w="3119" w:type="dxa"/>
            <w:tcBorders>
              <w:top w:val="nil"/>
              <w:left w:val="single" w:sz="4" w:space="0" w:color="auto"/>
              <w:bottom w:val="nil"/>
              <w:right w:val="single" w:sz="4" w:space="0" w:color="auto"/>
            </w:tcBorders>
            <w:vAlign w:val="center"/>
          </w:tcPr>
          <w:p w14:paraId="6107719A"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Israel</w:t>
            </w:r>
          </w:p>
        </w:tc>
        <w:tc>
          <w:tcPr>
            <w:tcW w:w="2694" w:type="dxa"/>
            <w:tcBorders>
              <w:top w:val="nil"/>
              <w:left w:val="single" w:sz="4" w:space="0" w:color="auto"/>
              <w:bottom w:val="nil"/>
              <w:right w:val="single" w:sz="4" w:space="0" w:color="auto"/>
            </w:tcBorders>
            <w:vAlign w:val="center"/>
          </w:tcPr>
          <w:p w14:paraId="759E0ABE"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15.0</w:t>
            </w:r>
          </w:p>
        </w:tc>
      </w:tr>
      <w:tr w:rsidR="00A25C2F" w:rsidRPr="00A25C2F" w14:paraId="3DEE8748" w14:textId="77777777" w:rsidTr="00A25C2F">
        <w:trPr>
          <w:jc w:val="center"/>
        </w:trPr>
        <w:tc>
          <w:tcPr>
            <w:tcW w:w="3119" w:type="dxa"/>
            <w:tcBorders>
              <w:top w:val="nil"/>
              <w:left w:val="single" w:sz="4" w:space="0" w:color="auto"/>
              <w:bottom w:val="nil"/>
              <w:right w:val="single" w:sz="4" w:space="0" w:color="auto"/>
            </w:tcBorders>
            <w:vAlign w:val="center"/>
          </w:tcPr>
          <w:p w14:paraId="1A91F47B"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El Salvador</w:t>
            </w:r>
          </w:p>
        </w:tc>
        <w:tc>
          <w:tcPr>
            <w:tcW w:w="2694" w:type="dxa"/>
            <w:tcBorders>
              <w:top w:val="nil"/>
              <w:left w:val="single" w:sz="4" w:space="0" w:color="auto"/>
              <w:bottom w:val="nil"/>
              <w:right w:val="single" w:sz="4" w:space="0" w:color="auto"/>
            </w:tcBorders>
            <w:vAlign w:val="center"/>
          </w:tcPr>
          <w:p w14:paraId="6C5CC495"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13.0</w:t>
            </w:r>
          </w:p>
        </w:tc>
      </w:tr>
      <w:tr w:rsidR="00A25C2F" w:rsidRPr="00A25C2F" w14:paraId="00815452" w14:textId="77777777" w:rsidTr="00A25C2F">
        <w:trPr>
          <w:jc w:val="center"/>
        </w:trPr>
        <w:tc>
          <w:tcPr>
            <w:tcW w:w="3119" w:type="dxa"/>
            <w:tcBorders>
              <w:top w:val="nil"/>
              <w:left w:val="single" w:sz="4" w:space="0" w:color="auto"/>
              <w:bottom w:val="nil"/>
              <w:right w:val="single" w:sz="4" w:space="0" w:color="auto"/>
            </w:tcBorders>
            <w:vAlign w:val="center"/>
          </w:tcPr>
          <w:p w14:paraId="02C8B871"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Australia</w:t>
            </w:r>
          </w:p>
        </w:tc>
        <w:tc>
          <w:tcPr>
            <w:tcW w:w="2694" w:type="dxa"/>
            <w:tcBorders>
              <w:top w:val="nil"/>
              <w:left w:val="single" w:sz="4" w:space="0" w:color="auto"/>
              <w:bottom w:val="nil"/>
              <w:right w:val="single" w:sz="4" w:space="0" w:color="auto"/>
            </w:tcBorders>
            <w:vAlign w:val="center"/>
          </w:tcPr>
          <w:p w14:paraId="69586E03"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12.0</w:t>
            </w:r>
          </w:p>
        </w:tc>
      </w:tr>
      <w:tr w:rsidR="00A25C2F" w:rsidRPr="00A25C2F" w14:paraId="62C13143" w14:textId="77777777" w:rsidTr="00A25C2F">
        <w:trPr>
          <w:jc w:val="center"/>
        </w:trPr>
        <w:tc>
          <w:tcPr>
            <w:tcW w:w="3119" w:type="dxa"/>
            <w:tcBorders>
              <w:top w:val="nil"/>
              <w:left w:val="single" w:sz="4" w:space="0" w:color="auto"/>
              <w:bottom w:val="nil"/>
              <w:right w:val="single" w:sz="4" w:space="0" w:color="auto"/>
            </w:tcBorders>
            <w:vAlign w:val="center"/>
          </w:tcPr>
          <w:p w14:paraId="7C8C6F21"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Dinamarca</w:t>
            </w:r>
          </w:p>
        </w:tc>
        <w:tc>
          <w:tcPr>
            <w:tcW w:w="2694" w:type="dxa"/>
            <w:tcBorders>
              <w:top w:val="nil"/>
              <w:left w:val="single" w:sz="4" w:space="0" w:color="auto"/>
              <w:bottom w:val="nil"/>
              <w:right w:val="single" w:sz="4" w:space="0" w:color="auto"/>
            </w:tcBorders>
            <w:vAlign w:val="center"/>
          </w:tcPr>
          <w:p w14:paraId="32903EAD"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10.8</w:t>
            </w:r>
          </w:p>
        </w:tc>
      </w:tr>
      <w:tr w:rsidR="00A25C2F" w:rsidRPr="00A25C2F" w14:paraId="05D290D4" w14:textId="77777777" w:rsidTr="00A25C2F">
        <w:trPr>
          <w:jc w:val="center"/>
        </w:trPr>
        <w:tc>
          <w:tcPr>
            <w:tcW w:w="3119" w:type="dxa"/>
            <w:tcBorders>
              <w:top w:val="nil"/>
              <w:left w:val="single" w:sz="4" w:space="0" w:color="auto"/>
              <w:bottom w:val="nil"/>
              <w:right w:val="single" w:sz="4" w:space="0" w:color="auto"/>
            </w:tcBorders>
            <w:vAlign w:val="center"/>
          </w:tcPr>
          <w:p w14:paraId="288BBCF2"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 xml:space="preserve">Chile </w:t>
            </w:r>
          </w:p>
        </w:tc>
        <w:tc>
          <w:tcPr>
            <w:tcW w:w="2694" w:type="dxa"/>
            <w:tcBorders>
              <w:top w:val="nil"/>
              <w:left w:val="single" w:sz="4" w:space="0" w:color="auto"/>
              <w:bottom w:val="nil"/>
              <w:right w:val="single" w:sz="4" w:space="0" w:color="auto"/>
            </w:tcBorders>
            <w:vAlign w:val="center"/>
          </w:tcPr>
          <w:p w14:paraId="13DC4F15"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10.0</w:t>
            </w:r>
          </w:p>
        </w:tc>
      </w:tr>
      <w:tr w:rsidR="00A25C2F" w:rsidRPr="00A25C2F" w14:paraId="7EC7CCE6" w14:textId="77777777" w:rsidTr="00A25C2F">
        <w:trPr>
          <w:jc w:val="center"/>
        </w:trPr>
        <w:tc>
          <w:tcPr>
            <w:tcW w:w="3119" w:type="dxa"/>
            <w:tcBorders>
              <w:top w:val="nil"/>
              <w:left w:val="single" w:sz="4" w:space="0" w:color="auto"/>
              <w:bottom w:val="nil"/>
              <w:right w:val="single" w:sz="4" w:space="0" w:color="auto"/>
            </w:tcBorders>
            <w:vAlign w:val="center"/>
          </w:tcPr>
          <w:p w14:paraId="7A0AD154"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 xml:space="preserve">Perú </w:t>
            </w:r>
          </w:p>
        </w:tc>
        <w:tc>
          <w:tcPr>
            <w:tcW w:w="2694" w:type="dxa"/>
            <w:tcBorders>
              <w:top w:val="nil"/>
              <w:left w:val="single" w:sz="4" w:space="0" w:color="auto"/>
              <w:bottom w:val="nil"/>
              <w:right w:val="single" w:sz="4" w:space="0" w:color="auto"/>
            </w:tcBorders>
            <w:vAlign w:val="center"/>
          </w:tcPr>
          <w:p w14:paraId="0C0D8C30"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10.0</w:t>
            </w:r>
          </w:p>
        </w:tc>
      </w:tr>
      <w:tr w:rsidR="00A25C2F" w:rsidRPr="00A25C2F" w14:paraId="6760B05A" w14:textId="77777777" w:rsidTr="00A25C2F">
        <w:trPr>
          <w:jc w:val="center"/>
        </w:trPr>
        <w:tc>
          <w:tcPr>
            <w:tcW w:w="3119" w:type="dxa"/>
            <w:tcBorders>
              <w:top w:val="nil"/>
              <w:left w:val="single" w:sz="4" w:space="0" w:color="auto"/>
              <w:bottom w:val="nil"/>
              <w:right w:val="single" w:sz="4" w:space="0" w:color="auto"/>
            </w:tcBorders>
            <w:vAlign w:val="center"/>
          </w:tcPr>
          <w:p w14:paraId="520C8DFD" w14:textId="77777777" w:rsidR="00A25C2F" w:rsidRPr="00A25C2F" w:rsidRDefault="00A25C2F" w:rsidP="00A25C2F">
            <w:pPr>
              <w:ind w:right="459"/>
              <w:rPr>
                <w:rFonts w:eastAsia="Calibri"/>
                <w:sz w:val="18"/>
                <w:szCs w:val="18"/>
                <w:lang w:eastAsia="en-US"/>
              </w:rPr>
            </w:pPr>
            <w:r w:rsidRPr="00A25C2F">
              <w:rPr>
                <w:rFonts w:eastAsia="Calibri"/>
                <w:sz w:val="18"/>
                <w:szCs w:val="18"/>
                <w:lang w:eastAsia="en-US"/>
              </w:rPr>
              <w:t xml:space="preserve">República  Dominicana </w:t>
            </w:r>
          </w:p>
        </w:tc>
        <w:tc>
          <w:tcPr>
            <w:tcW w:w="2694" w:type="dxa"/>
            <w:tcBorders>
              <w:top w:val="nil"/>
              <w:left w:val="single" w:sz="4" w:space="0" w:color="auto"/>
              <w:bottom w:val="nil"/>
              <w:right w:val="single" w:sz="4" w:space="0" w:color="auto"/>
            </w:tcBorders>
            <w:vAlign w:val="center"/>
          </w:tcPr>
          <w:p w14:paraId="46AFF542"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10.0</w:t>
            </w:r>
          </w:p>
        </w:tc>
      </w:tr>
      <w:tr w:rsidR="00A25C2F" w:rsidRPr="00A25C2F" w14:paraId="05DEC68D" w14:textId="77777777" w:rsidTr="00A25C2F">
        <w:trPr>
          <w:jc w:val="center"/>
        </w:trPr>
        <w:tc>
          <w:tcPr>
            <w:tcW w:w="3119" w:type="dxa"/>
            <w:tcBorders>
              <w:top w:val="nil"/>
              <w:left w:val="single" w:sz="4" w:space="0" w:color="auto"/>
              <w:bottom w:val="nil"/>
              <w:right w:val="single" w:sz="4" w:space="0" w:color="auto"/>
            </w:tcBorders>
            <w:vAlign w:val="center"/>
          </w:tcPr>
          <w:p w14:paraId="035A6290"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 xml:space="preserve">México </w:t>
            </w:r>
          </w:p>
        </w:tc>
        <w:tc>
          <w:tcPr>
            <w:tcW w:w="2694" w:type="dxa"/>
            <w:tcBorders>
              <w:top w:val="nil"/>
              <w:left w:val="single" w:sz="4" w:space="0" w:color="auto"/>
              <w:bottom w:val="nil"/>
              <w:right w:val="single" w:sz="4" w:space="0" w:color="auto"/>
            </w:tcBorders>
            <w:vAlign w:val="center"/>
          </w:tcPr>
          <w:p w14:paraId="3D83D713"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6.5</w:t>
            </w:r>
          </w:p>
        </w:tc>
      </w:tr>
      <w:tr w:rsidR="00A25C2F" w:rsidRPr="00A25C2F" w14:paraId="433F9CD8" w14:textId="77777777" w:rsidTr="00A25C2F">
        <w:trPr>
          <w:jc w:val="center"/>
        </w:trPr>
        <w:tc>
          <w:tcPr>
            <w:tcW w:w="3119" w:type="dxa"/>
            <w:tcBorders>
              <w:top w:val="nil"/>
              <w:left w:val="single" w:sz="4" w:space="0" w:color="auto"/>
              <w:bottom w:val="single" w:sz="4" w:space="0" w:color="auto"/>
              <w:right w:val="single" w:sz="4" w:space="0" w:color="auto"/>
            </w:tcBorders>
            <w:vAlign w:val="center"/>
          </w:tcPr>
          <w:p w14:paraId="4E73D01C" w14:textId="77777777" w:rsidR="00A25C2F" w:rsidRPr="00A25C2F" w:rsidRDefault="00A25C2F" w:rsidP="00A25C2F">
            <w:pPr>
              <w:ind w:right="1735"/>
              <w:rPr>
                <w:rFonts w:eastAsia="Calibri"/>
                <w:sz w:val="18"/>
                <w:szCs w:val="18"/>
                <w:lang w:eastAsia="en-US"/>
              </w:rPr>
            </w:pPr>
            <w:r w:rsidRPr="00A25C2F">
              <w:rPr>
                <w:rFonts w:eastAsia="Calibri"/>
                <w:sz w:val="18"/>
                <w:szCs w:val="18"/>
                <w:lang w:eastAsia="en-US"/>
              </w:rPr>
              <w:t>Costa Rica</w:t>
            </w:r>
          </w:p>
        </w:tc>
        <w:tc>
          <w:tcPr>
            <w:tcW w:w="2694" w:type="dxa"/>
            <w:tcBorders>
              <w:top w:val="nil"/>
              <w:left w:val="single" w:sz="4" w:space="0" w:color="auto"/>
              <w:bottom w:val="single" w:sz="4" w:space="0" w:color="auto"/>
              <w:right w:val="single" w:sz="4" w:space="0" w:color="auto"/>
            </w:tcBorders>
            <w:vAlign w:val="center"/>
          </w:tcPr>
          <w:p w14:paraId="4C03A78D" w14:textId="77777777" w:rsidR="00A25C2F" w:rsidRPr="00A25C2F" w:rsidRDefault="00A25C2F" w:rsidP="00A25C2F">
            <w:pPr>
              <w:ind w:right="1026"/>
              <w:jc w:val="right"/>
              <w:rPr>
                <w:rFonts w:eastAsia="Calibri"/>
                <w:sz w:val="18"/>
                <w:szCs w:val="18"/>
                <w:lang w:eastAsia="en-US"/>
              </w:rPr>
            </w:pPr>
            <w:r w:rsidRPr="00A25C2F">
              <w:rPr>
                <w:rFonts w:eastAsia="Calibri"/>
                <w:sz w:val="18"/>
                <w:szCs w:val="18"/>
                <w:lang w:eastAsia="en-US"/>
              </w:rPr>
              <w:t>4.3</w:t>
            </w:r>
          </w:p>
        </w:tc>
      </w:tr>
      <w:tr w:rsidR="00A25C2F" w:rsidRPr="00A25C2F" w14:paraId="69AD711F" w14:textId="77777777" w:rsidTr="00B9606F">
        <w:trPr>
          <w:jc w:val="center"/>
        </w:trPr>
        <w:tc>
          <w:tcPr>
            <w:tcW w:w="5813" w:type="dxa"/>
            <w:gridSpan w:val="2"/>
            <w:tcBorders>
              <w:top w:val="single" w:sz="4" w:space="0" w:color="auto"/>
              <w:left w:val="nil"/>
              <w:bottom w:val="nil"/>
              <w:right w:val="nil"/>
            </w:tcBorders>
            <w:vAlign w:val="center"/>
          </w:tcPr>
          <w:p w14:paraId="7A70F563" w14:textId="77777777" w:rsidR="00A25C2F" w:rsidRPr="00A25C2F" w:rsidRDefault="00A25C2F" w:rsidP="00A25C2F">
            <w:pPr>
              <w:ind w:left="522" w:hanging="522"/>
              <w:jc w:val="both"/>
              <w:rPr>
                <w:rFonts w:eastAsia="Calibri"/>
                <w:sz w:val="20"/>
                <w:szCs w:val="20"/>
                <w:lang w:eastAsia="en-US"/>
              </w:rPr>
            </w:pPr>
            <w:r w:rsidRPr="00A25C2F">
              <w:rPr>
                <w:rFonts w:eastAsia="Calibri"/>
                <w:sz w:val="20"/>
                <w:szCs w:val="20"/>
                <w:lang w:eastAsia="en-US"/>
              </w:rPr>
              <w:t>Nota: En el caso de México se muestran los porcentajes de cotización al IMSS.</w:t>
            </w:r>
          </w:p>
          <w:p w14:paraId="5A82DEE2" w14:textId="77777777" w:rsidR="00A25C2F" w:rsidRPr="00A25C2F" w:rsidRDefault="00A25C2F" w:rsidP="00A25C2F">
            <w:pPr>
              <w:jc w:val="both"/>
              <w:rPr>
                <w:rFonts w:eastAsia="Calibri"/>
                <w:sz w:val="20"/>
                <w:szCs w:val="20"/>
                <w:lang w:eastAsia="en-US"/>
              </w:rPr>
            </w:pPr>
            <w:r w:rsidRPr="00A25C2F">
              <w:rPr>
                <w:rFonts w:eastAsia="Calibri"/>
                <w:sz w:val="20"/>
                <w:szCs w:val="20"/>
                <w:lang w:eastAsia="en-US"/>
              </w:rPr>
              <w:t>FUENTE: OCDE e información de cada país.</w:t>
            </w:r>
          </w:p>
        </w:tc>
      </w:tr>
    </w:tbl>
    <w:p w14:paraId="3DD9971E" w14:textId="77777777" w:rsidR="00A25C2F" w:rsidRPr="00A25C2F" w:rsidRDefault="00A25C2F" w:rsidP="00EF184E">
      <w:pPr>
        <w:spacing w:after="120" w:line="360" w:lineRule="auto"/>
        <w:ind w:right="-159"/>
        <w:jc w:val="both"/>
        <w:rPr>
          <w:rFonts w:eastAsia="Calibri"/>
          <w:sz w:val="26"/>
          <w:szCs w:val="26"/>
          <w:lang w:val="es-ES" w:eastAsia="en-US"/>
        </w:rPr>
      </w:pPr>
    </w:p>
    <w:p w14:paraId="5F87201B"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En pesos y centavos, considerando a un cotizante al IMSS, la aportación obligatoria para el retiro de un cotizante que perciba tres salarios mínimos es: el ahorrador aporta 71 pesos mensuales, el patrón 324.9 y el gobierno 14.2, además de la cuota social que en este caso es de 140 pesos al mes. Para este ejemplo, cada mes el trabajador ahorraría 550 pesos para su cuenta individual en una Afore que constituyen su saldo de ahorro para el retiro.</w:t>
      </w:r>
    </w:p>
    <w:p w14:paraId="5DE78D37"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t>El siguiente cuadro muestra el monto total de ahorro obligatorio que se alcanzaría al año (última columna).</w:t>
      </w:r>
    </w:p>
    <w:tbl>
      <w:tblPr>
        <w:tblW w:w="9338" w:type="dxa"/>
        <w:jc w:val="center"/>
        <w:tblLayout w:type="fixed"/>
        <w:tblLook w:val="04A0" w:firstRow="1" w:lastRow="0" w:firstColumn="1" w:lastColumn="0" w:noHBand="0" w:noVBand="1"/>
      </w:tblPr>
      <w:tblGrid>
        <w:gridCol w:w="1418"/>
        <w:gridCol w:w="1134"/>
        <w:gridCol w:w="992"/>
        <w:gridCol w:w="1010"/>
        <w:gridCol w:w="1701"/>
        <w:gridCol w:w="1116"/>
        <w:gridCol w:w="975"/>
        <w:gridCol w:w="992"/>
      </w:tblGrid>
      <w:tr w:rsidR="00A25C2F" w:rsidRPr="00A25C2F" w14:paraId="26532D91" w14:textId="77777777" w:rsidTr="00A25C2F">
        <w:trPr>
          <w:jc w:val="center"/>
        </w:trPr>
        <w:tc>
          <w:tcPr>
            <w:tcW w:w="9338" w:type="dxa"/>
            <w:gridSpan w:val="8"/>
            <w:tcBorders>
              <w:top w:val="nil"/>
              <w:left w:val="nil"/>
              <w:bottom w:val="single" w:sz="4" w:space="0" w:color="auto"/>
              <w:right w:val="nil"/>
            </w:tcBorders>
            <w:vAlign w:val="center"/>
          </w:tcPr>
          <w:p w14:paraId="490A2C52" w14:textId="77777777" w:rsidR="00A25C2F" w:rsidRPr="00A25C2F" w:rsidRDefault="00A25C2F" w:rsidP="00A25C2F">
            <w:pPr>
              <w:spacing w:before="20" w:after="20" w:line="276" w:lineRule="auto"/>
              <w:jc w:val="center"/>
              <w:rPr>
                <w:rFonts w:eastAsia="Calibri"/>
                <w:b/>
                <w:sz w:val="22"/>
                <w:szCs w:val="22"/>
                <w:lang w:eastAsia="en-US"/>
              </w:rPr>
            </w:pPr>
            <w:r w:rsidRPr="00A25C2F">
              <w:rPr>
                <w:rFonts w:eastAsia="Calibri"/>
                <w:b/>
                <w:sz w:val="22"/>
                <w:szCs w:val="22"/>
                <w:lang w:eastAsia="en-US"/>
              </w:rPr>
              <w:t>APORTACIÓN OBLIGATORIA AL AHORRO PARA EL RETIRO (IMSS)</w:t>
            </w:r>
          </w:p>
        </w:tc>
      </w:tr>
      <w:tr w:rsidR="00A25C2F" w:rsidRPr="00A25C2F" w14:paraId="44A562F2" w14:textId="77777777" w:rsidTr="00A25C2F">
        <w:trPr>
          <w:jc w:val="center"/>
        </w:trPr>
        <w:tc>
          <w:tcPr>
            <w:tcW w:w="1418" w:type="dxa"/>
            <w:vMerge w:val="restart"/>
            <w:tcBorders>
              <w:top w:val="single" w:sz="4" w:space="0" w:color="auto"/>
              <w:left w:val="single" w:sz="4" w:space="0" w:color="auto"/>
              <w:bottom w:val="single" w:sz="4" w:space="0" w:color="auto"/>
              <w:right w:val="single" w:sz="4" w:space="0" w:color="auto"/>
            </w:tcBorders>
            <w:vAlign w:val="center"/>
          </w:tcPr>
          <w:p w14:paraId="6007DD1B"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Nivel salarial</w:t>
            </w:r>
          </w:p>
        </w:tc>
        <w:tc>
          <w:tcPr>
            <w:tcW w:w="1134" w:type="dxa"/>
            <w:tcBorders>
              <w:top w:val="single" w:sz="4" w:space="0" w:color="auto"/>
              <w:left w:val="single" w:sz="4" w:space="0" w:color="auto"/>
              <w:bottom w:val="single" w:sz="4" w:space="0" w:color="auto"/>
              <w:right w:val="single" w:sz="4" w:space="0" w:color="auto"/>
            </w:tcBorders>
            <w:vAlign w:val="center"/>
          </w:tcPr>
          <w:p w14:paraId="28BA2EF3"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Trabajador</w:t>
            </w:r>
          </w:p>
          <w:p w14:paraId="09A7E776"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(A)</w:t>
            </w:r>
          </w:p>
        </w:tc>
        <w:tc>
          <w:tcPr>
            <w:tcW w:w="992" w:type="dxa"/>
            <w:tcBorders>
              <w:top w:val="single" w:sz="4" w:space="0" w:color="auto"/>
              <w:left w:val="single" w:sz="4" w:space="0" w:color="auto"/>
              <w:bottom w:val="single" w:sz="4" w:space="0" w:color="auto"/>
              <w:right w:val="single" w:sz="4" w:space="0" w:color="auto"/>
            </w:tcBorders>
            <w:vAlign w:val="center"/>
          </w:tcPr>
          <w:p w14:paraId="096762C7"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Patrón</w:t>
            </w:r>
          </w:p>
          <w:p w14:paraId="5E4515A7"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(B)</w:t>
            </w:r>
          </w:p>
        </w:tc>
        <w:tc>
          <w:tcPr>
            <w:tcW w:w="1010" w:type="dxa"/>
            <w:tcBorders>
              <w:top w:val="single" w:sz="4" w:space="0" w:color="auto"/>
              <w:left w:val="single" w:sz="4" w:space="0" w:color="auto"/>
              <w:bottom w:val="single" w:sz="4" w:space="0" w:color="auto"/>
              <w:right w:val="single" w:sz="4" w:space="0" w:color="auto"/>
            </w:tcBorders>
            <w:vAlign w:val="center"/>
          </w:tcPr>
          <w:p w14:paraId="1B5C8BB3"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Gobierno</w:t>
            </w:r>
          </w:p>
          <w:p w14:paraId="4868184F"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(C)</w:t>
            </w:r>
          </w:p>
        </w:tc>
        <w:tc>
          <w:tcPr>
            <w:tcW w:w="1701" w:type="dxa"/>
            <w:tcBorders>
              <w:top w:val="single" w:sz="4" w:space="0" w:color="auto"/>
              <w:left w:val="single" w:sz="4" w:space="0" w:color="auto"/>
              <w:bottom w:val="single" w:sz="4" w:space="0" w:color="auto"/>
              <w:right w:val="single" w:sz="4" w:space="0" w:color="auto"/>
            </w:tcBorders>
            <w:vAlign w:val="center"/>
          </w:tcPr>
          <w:p w14:paraId="5C797713"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Total</w:t>
            </w:r>
          </w:p>
          <w:p w14:paraId="3AD9EEB7"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(D)=(A)+(B)+(C)</w:t>
            </w:r>
          </w:p>
        </w:tc>
        <w:tc>
          <w:tcPr>
            <w:tcW w:w="1116" w:type="dxa"/>
            <w:vMerge w:val="restart"/>
            <w:tcBorders>
              <w:top w:val="single" w:sz="4" w:space="0" w:color="auto"/>
              <w:left w:val="single" w:sz="4" w:space="0" w:color="auto"/>
              <w:bottom w:val="single" w:sz="4" w:space="0" w:color="auto"/>
              <w:right w:val="single" w:sz="4" w:space="0" w:color="auto"/>
            </w:tcBorders>
            <w:vAlign w:val="center"/>
          </w:tcPr>
          <w:p w14:paraId="55A7C203"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Cuota social mensual a cargo del gobierno</w:t>
            </w:r>
          </w:p>
        </w:tc>
        <w:tc>
          <w:tcPr>
            <w:tcW w:w="1967" w:type="dxa"/>
            <w:gridSpan w:val="2"/>
            <w:vMerge w:val="restart"/>
            <w:tcBorders>
              <w:top w:val="single" w:sz="4" w:space="0" w:color="auto"/>
              <w:left w:val="single" w:sz="4" w:space="0" w:color="auto"/>
              <w:bottom w:val="single" w:sz="4" w:space="0" w:color="auto"/>
              <w:right w:val="single" w:sz="4" w:space="0" w:color="auto"/>
            </w:tcBorders>
            <w:vAlign w:val="center"/>
          </w:tcPr>
          <w:p w14:paraId="1FCADDA2"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Monto de ahorro</w:t>
            </w:r>
          </w:p>
        </w:tc>
      </w:tr>
      <w:tr w:rsidR="00A25C2F" w:rsidRPr="00A25C2F" w14:paraId="75839CA0" w14:textId="77777777" w:rsidTr="00A25C2F">
        <w:trPr>
          <w:jc w:val="center"/>
        </w:trPr>
        <w:tc>
          <w:tcPr>
            <w:tcW w:w="1418" w:type="dxa"/>
            <w:vMerge/>
            <w:tcBorders>
              <w:top w:val="single" w:sz="4" w:space="0" w:color="auto"/>
              <w:left w:val="single" w:sz="4" w:space="0" w:color="auto"/>
              <w:bottom w:val="single" w:sz="4" w:space="0" w:color="auto"/>
              <w:right w:val="single" w:sz="4" w:space="0" w:color="auto"/>
            </w:tcBorders>
            <w:vAlign w:val="center"/>
          </w:tcPr>
          <w:p w14:paraId="17D1C89D" w14:textId="77777777" w:rsidR="00A25C2F" w:rsidRPr="00A25C2F" w:rsidRDefault="00A25C2F" w:rsidP="00A25C2F">
            <w:pPr>
              <w:spacing w:before="20" w:after="20" w:line="276" w:lineRule="auto"/>
              <w:ind w:right="1735"/>
              <w:jc w:val="center"/>
              <w:rPr>
                <w:rFonts w:eastAsia="Calibri"/>
                <w:b/>
                <w:sz w:val="18"/>
                <w:szCs w:val="18"/>
                <w:lang w:eastAsia="en-US"/>
              </w:rPr>
            </w:pPr>
          </w:p>
        </w:tc>
        <w:tc>
          <w:tcPr>
            <w:tcW w:w="3136" w:type="dxa"/>
            <w:gridSpan w:val="3"/>
            <w:tcBorders>
              <w:top w:val="single" w:sz="4" w:space="0" w:color="auto"/>
              <w:left w:val="single" w:sz="4" w:space="0" w:color="auto"/>
              <w:bottom w:val="single" w:sz="4" w:space="0" w:color="auto"/>
              <w:right w:val="single" w:sz="4" w:space="0" w:color="auto"/>
            </w:tcBorders>
            <w:vAlign w:val="center"/>
          </w:tcPr>
          <w:p w14:paraId="6609FBAF"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Porcentaje del salario</w:t>
            </w:r>
          </w:p>
        </w:tc>
        <w:tc>
          <w:tcPr>
            <w:tcW w:w="1701" w:type="dxa"/>
            <w:tcBorders>
              <w:top w:val="single" w:sz="4" w:space="0" w:color="auto"/>
              <w:left w:val="single" w:sz="4" w:space="0" w:color="auto"/>
              <w:bottom w:val="single" w:sz="4" w:space="0" w:color="auto"/>
              <w:right w:val="single" w:sz="4" w:space="0" w:color="auto"/>
            </w:tcBorders>
            <w:vAlign w:val="center"/>
          </w:tcPr>
          <w:p w14:paraId="280961CF" w14:textId="77777777" w:rsidR="00A25C2F" w:rsidRPr="00A25C2F" w:rsidRDefault="00A25C2F" w:rsidP="00A25C2F">
            <w:pPr>
              <w:spacing w:before="20" w:after="20" w:line="276" w:lineRule="auto"/>
              <w:ind w:right="1026"/>
              <w:jc w:val="center"/>
              <w:rPr>
                <w:rFonts w:eastAsia="Calibri"/>
                <w:b/>
                <w:sz w:val="18"/>
                <w:szCs w:val="18"/>
                <w:lang w:eastAsia="en-US"/>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AFA17FF" w14:textId="77777777" w:rsidR="00A25C2F" w:rsidRPr="00A25C2F" w:rsidRDefault="00A25C2F" w:rsidP="00A25C2F">
            <w:pPr>
              <w:spacing w:before="20" w:after="20" w:line="276" w:lineRule="auto"/>
              <w:ind w:right="1026"/>
              <w:jc w:val="center"/>
              <w:rPr>
                <w:rFonts w:eastAsia="Calibri"/>
                <w:b/>
                <w:sz w:val="18"/>
                <w:szCs w:val="18"/>
                <w:lang w:eastAsia="en-US"/>
              </w:rPr>
            </w:pPr>
          </w:p>
        </w:tc>
        <w:tc>
          <w:tcPr>
            <w:tcW w:w="1967" w:type="dxa"/>
            <w:gridSpan w:val="2"/>
            <w:vMerge/>
            <w:tcBorders>
              <w:top w:val="single" w:sz="4" w:space="0" w:color="auto"/>
              <w:left w:val="single" w:sz="4" w:space="0" w:color="auto"/>
              <w:bottom w:val="single" w:sz="4" w:space="0" w:color="auto"/>
              <w:right w:val="single" w:sz="4" w:space="0" w:color="auto"/>
            </w:tcBorders>
            <w:vAlign w:val="center"/>
          </w:tcPr>
          <w:p w14:paraId="3777444A" w14:textId="77777777" w:rsidR="00A25C2F" w:rsidRPr="00A25C2F" w:rsidRDefault="00A25C2F" w:rsidP="00A25C2F">
            <w:pPr>
              <w:spacing w:before="20" w:after="20" w:line="276" w:lineRule="auto"/>
              <w:jc w:val="center"/>
              <w:rPr>
                <w:rFonts w:eastAsia="Calibri"/>
                <w:b/>
                <w:sz w:val="18"/>
                <w:szCs w:val="18"/>
                <w:lang w:eastAsia="en-US"/>
              </w:rPr>
            </w:pPr>
          </w:p>
        </w:tc>
      </w:tr>
      <w:tr w:rsidR="00A25C2F" w:rsidRPr="00A25C2F" w14:paraId="7E4BB182" w14:textId="77777777" w:rsidTr="00A25C2F">
        <w:trPr>
          <w:jc w:val="center"/>
        </w:trPr>
        <w:tc>
          <w:tcPr>
            <w:tcW w:w="1418" w:type="dxa"/>
            <w:vMerge/>
            <w:tcBorders>
              <w:top w:val="single" w:sz="4" w:space="0" w:color="auto"/>
              <w:left w:val="single" w:sz="4" w:space="0" w:color="auto"/>
              <w:bottom w:val="single" w:sz="4" w:space="0" w:color="auto"/>
              <w:right w:val="single" w:sz="4" w:space="0" w:color="auto"/>
            </w:tcBorders>
            <w:vAlign w:val="center"/>
          </w:tcPr>
          <w:p w14:paraId="551CACD8" w14:textId="77777777" w:rsidR="00A25C2F" w:rsidRPr="00A25C2F" w:rsidRDefault="00A25C2F" w:rsidP="00A25C2F">
            <w:pPr>
              <w:spacing w:before="20" w:after="20" w:line="276" w:lineRule="auto"/>
              <w:ind w:right="1735"/>
              <w:jc w:val="center"/>
              <w:rPr>
                <w:rFonts w:eastAsia="Calibri"/>
                <w:b/>
                <w:sz w:val="18"/>
                <w:szCs w:val="18"/>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1FCB16"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1.125%</w:t>
            </w:r>
          </w:p>
        </w:tc>
        <w:tc>
          <w:tcPr>
            <w:tcW w:w="992" w:type="dxa"/>
            <w:tcBorders>
              <w:top w:val="single" w:sz="4" w:space="0" w:color="auto"/>
              <w:left w:val="single" w:sz="4" w:space="0" w:color="auto"/>
              <w:bottom w:val="single" w:sz="4" w:space="0" w:color="auto"/>
              <w:right w:val="single" w:sz="4" w:space="0" w:color="auto"/>
            </w:tcBorders>
            <w:vAlign w:val="center"/>
          </w:tcPr>
          <w:p w14:paraId="06BEE50F" w14:textId="15DC4970"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5.150</w:t>
            </w:r>
            <w:r w:rsidR="00EF184E">
              <w:rPr>
                <w:rFonts w:eastAsia="Calibri"/>
                <w:b/>
                <w:sz w:val="18"/>
                <w:szCs w:val="18"/>
                <w:lang w:eastAsia="en-US"/>
              </w:rPr>
              <w:t>%</w:t>
            </w:r>
          </w:p>
        </w:tc>
        <w:tc>
          <w:tcPr>
            <w:tcW w:w="1010" w:type="dxa"/>
            <w:tcBorders>
              <w:top w:val="single" w:sz="4" w:space="0" w:color="auto"/>
              <w:left w:val="single" w:sz="4" w:space="0" w:color="auto"/>
              <w:bottom w:val="single" w:sz="4" w:space="0" w:color="auto"/>
              <w:right w:val="single" w:sz="4" w:space="0" w:color="auto"/>
            </w:tcBorders>
            <w:vAlign w:val="center"/>
          </w:tcPr>
          <w:p w14:paraId="646630A9"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0.225%</w:t>
            </w:r>
          </w:p>
        </w:tc>
        <w:tc>
          <w:tcPr>
            <w:tcW w:w="1701" w:type="dxa"/>
            <w:tcBorders>
              <w:top w:val="single" w:sz="4" w:space="0" w:color="auto"/>
              <w:left w:val="single" w:sz="4" w:space="0" w:color="auto"/>
              <w:bottom w:val="single" w:sz="4" w:space="0" w:color="auto"/>
              <w:right w:val="single" w:sz="4" w:space="0" w:color="auto"/>
            </w:tcBorders>
            <w:vAlign w:val="center"/>
          </w:tcPr>
          <w:p w14:paraId="3F65B6C9"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6.5%</w:t>
            </w:r>
          </w:p>
        </w:tc>
        <w:tc>
          <w:tcPr>
            <w:tcW w:w="1116" w:type="dxa"/>
            <w:vMerge/>
            <w:tcBorders>
              <w:top w:val="single" w:sz="4" w:space="0" w:color="auto"/>
              <w:left w:val="single" w:sz="4" w:space="0" w:color="auto"/>
              <w:bottom w:val="single" w:sz="4" w:space="0" w:color="auto"/>
              <w:right w:val="single" w:sz="4" w:space="0" w:color="auto"/>
            </w:tcBorders>
            <w:vAlign w:val="center"/>
          </w:tcPr>
          <w:p w14:paraId="3C220C5F" w14:textId="77777777" w:rsidR="00A25C2F" w:rsidRPr="00A25C2F" w:rsidRDefault="00A25C2F" w:rsidP="00A25C2F">
            <w:pPr>
              <w:spacing w:before="20" w:after="20" w:line="276" w:lineRule="auto"/>
              <w:jc w:val="center"/>
              <w:rPr>
                <w:rFonts w:eastAsia="Calibri"/>
                <w:b/>
                <w:sz w:val="18"/>
                <w:szCs w:val="18"/>
                <w:lang w:eastAsia="en-US"/>
              </w:rPr>
            </w:pPr>
          </w:p>
        </w:tc>
        <w:tc>
          <w:tcPr>
            <w:tcW w:w="975" w:type="dxa"/>
            <w:tcBorders>
              <w:top w:val="single" w:sz="4" w:space="0" w:color="auto"/>
              <w:left w:val="single" w:sz="4" w:space="0" w:color="auto"/>
              <w:bottom w:val="single" w:sz="4" w:space="0" w:color="auto"/>
              <w:right w:val="single" w:sz="4" w:space="0" w:color="auto"/>
            </w:tcBorders>
            <w:vAlign w:val="center"/>
          </w:tcPr>
          <w:p w14:paraId="014159B4"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Al mes</w:t>
            </w:r>
          </w:p>
        </w:tc>
        <w:tc>
          <w:tcPr>
            <w:tcW w:w="992" w:type="dxa"/>
            <w:tcBorders>
              <w:top w:val="single" w:sz="4" w:space="0" w:color="auto"/>
              <w:left w:val="single" w:sz="4" w:space="0" w:color="auto"/>
              <w:bottom w:val="single" w:sz="4" w:space="0" w:color="auto"/>
              <w:right w:val="single" w:sz="4" w:space="0" w:color="auto"/>
            </w:tcBorders>
            <w:vAlign w:val="center"/>
          </w:tcPr>
          <w:p w14:paraId="431B02EA" w14:textId="77777777" w:rsidR="00A25C2F" w:rsidRPr="00A25C2F" w:rsidRDefault="00A25C2F" w:rsidP="00A25C2F">
            <w:pPr>
              <w:spacing w:before="20" w:after="20" w:line="276" w:lineRule="auto"/>
              <w:jc w:val="center"/>
              <w:rPr>
                <w:rFonts w:eastAsia="Calibri"/>
                <w:b/>
                <w:sz w:val="18"/>
                <w:szCs w:val="18"/>
                <w:lang w:eastAsia="en-US"/>
              </w:rPr>
            </w:pPr>
            <w:r w:rsidRPr="00A25C2F">
              <w:rPr>
                <w:rFonts w:eastAsia="Calibri"/>
                <w:b/>
                <w:sz w:val="18"/>
                <w:szCs w:val="18"/>
                <w:lang w:eastAsia="en-US"/>
              </w:rPr>
              <w:t>Al año</w:t>
            </w:r>
          </w:p>
        </w:tc>
      </w:tr>
      <w:tr w:rsidR="00A25C2F" w:rsidRPr="00A25C2F" w14:paraId="07A0FE0C" w14:textId="77777777" w:rsidTr="00A25C2F">
        <w:trPr>
          <w:jc w:val="center"/>
        </w:trPr>
        <w:tc>
          <w:tcPr>
            <w:tcW w:w="1418" w:type="dxa"/>
            <w:tcBorders>
              <w:top w:val="single" w:sz="4" w:space="0" w:color="auto"/>
              <w:left w:val="single" w:sz="4" w:space="0" w:color="auto"/>
              <w:bottom w:val="nil"/>
              <w:right w:val="single" w:sz="4" w:space="0" w:color="auto"/>
            </w:tcBorders>
            <w:vAlign w:val="center"/>
          </w:tcPr>
          <w:p w14:paraId="38E5C01D" w14:textId="77777777" w:rsidR="00A25C2F" w:rsidRPr="00A25C2F" w:rsidRDefault="00A25C2F" w:rsidP="00A25C2F">
            <w:pPr>
              <w:spacing w:before="20" w:after="20" w:line="276" w:lineRule="auto"/>
              <w:ind w:right="459"/>
              <w:jc w:val="right"/>
              <w:rPr>
                <w:rFonts w:eastAsia="Calibri"/>
                <w:sz w:val="18"/>
                <w:szCs w:val="18"/>
                <w:lang w:eastAsia="en-US"/>
              </w:rPr>
            </w:pPr>
            <w:r w:rsidRPr="00A25C2F">
              <w:rPr>
                <w:rFonts w:eastAsia="Calibri"/>
                <w:sz w:val="18"/>
                <w:szCs w:val="18"/>
                <w:lang w:eastAsia="en-US"/>
              </w:rPr>
              <w:t>1 SM</w:t>
            </w:r>
          </w:p>
        </w:tc>
        <w:tc>
          <w:tcPr>
            <w:tcW w:w="1134" w:type="dxa"/>
            <w:tcBorders>
              <w:top w:val="single" w:sz="4" w:space="0" w:color="auto"/>
              <w:left w:val="single" w:sz="4" w:space="0" w:color="auto"/>
              <w:bottom w:val="nil"/>
              <w:right w:val="single" w:sz="4" w:space="0" w:color="auto"/>
            </w:tcBorders>
            <w:vAlign w:val="center"/>
          </w:tcPr>
          <w:p w14:paraId="6107E3FC" w14:textId="77777777" w:rsidR="00A25C2F" w:rsidRPr="00A25C2F" w:rsidRDefault="00A25C2F" w:rsidP="00A25C2F">
            <w:pPr>
              <w:spacing w:before="20" w:after="20" w:line="276" w:lineRule="auto"/>
              <w:ind w:right="284"/>
              <w:jc w:val="right"/>
              <w:rPr>
                <w:rFonts w:eastAsia="Calibri"/>
                <w:sz w:val="18"/>
                <w:szCs w:val="18"/>
                <w:lang w:eastAsia="en-US"/>
              </w:rPr>
            </w:pPr>
            <w:r w:rsidRPr="00A25C2F">
              <w:rPr>
                <w:rFonts w:eastAsia="Calibri"/>
                <w:sz w:val="18"/>
                <w:szCs w:val="18"/>
                <w:lang w:eastAsia="en-US"/>
              </w:rPr>
              <w:t>23.7</w:t>
            </w:r>
          </w:p>
        </w:tc>
        <w:tc>
          <w:tcPr>
            <w:tcW w:w="992" w:type="dxa"/>
            <w:tcBorders>
              <w:top w:val="single" w:sz="4" w:space="0" w:color="auto"/>
              <w:left w:val="single" w:sz="4" w:space="0" w:color="auto"/>
              <w:bottom w:val="nil"/>
              <w:right w:val="single" w:sz="4" w:space="0" w:color="auto"/>
            </w:tcBorders>
            <w:vAlign w:val="center"/>
          </w:tcPr>
          <w:p w14:paraId="06C23762" w14:textId="77777777" w:rsidR="00A25C2F" w:rsidRPr="00A25C2F" w:rsidRDefault="00A25C2F" w:rsidP="00A25C2F">
            <w:pPr>
              <w:spacing w:before="20" w:after="20" w:line="276" w:lineRule="auto"/>
              <w:ind w:right="113"/>
              <w:jc w:val="right"/>
              <w:rPr>
                <w:rFonts w:eastAsia="Calibri"/>
                <w:sz w:val="18"/>
                <w:szCs w:val="18"/>
                <w:lang w:eastAsia="en-US"/>
              </w:rPr>
            </w:pPr>
            <w:r w:rsidRPr="00A25C2F">
              <w:rPr>
                <w:rFonts w:eastAsia="Calibri"/>
                <w:sz w:val="18"/>
                <w:szCs w:val="18"/>
                <w:lang w:eastAsia="en-US"/>
              </w:rPr>
              <w:t>108.3</w:t>
            </w:r>
          </w:p>
        </w:tc>
        <w:tc>
          <w:tcPr>
            <w:tcW w:w="1010" w:type="dxa"/>
            <w:tcBorders>
              <w:top w:val="single" w:sz="4" w:space="0" w:color="auto"/>
              <w:left w:val="single" w:sz="4" w:space="0" w:color="auto"/>
              <w:bottom w:val="nil"/>
              <w:right w:val="single" w:sz="4" w:space="0" w:color="auto"/>
            </w:tcBorders>
            <w:vAlign w:val="center"/>
          </w:tcPr>
          <w:p w14:paraId="63D34F3D" w14:textId="77777777" w:rsidR="00A25C2F" w:rsidRPr="00A25C2F" w:rsidRDefault="00A25C2F" w:rsidP="00A25C2F">
            <w:pPr>
              <w:spacing w:before="20" w:after="20" w:line="276" w:lineRule="auto"/>
              <w:ind w:right="26"/>
              <w:jc w:val="right"/>
              <w:rPr>
                <w:rFonts w:eastAsia="Calibri"/>
                <w:sz w:val="18"/>
                <w:szCs w:val="18"/>
                <w:lang w:eastAsia="en-US"/>
              </w:rPr>
            </w:pPr>
            <w:r w:rsidRPr="00A25C2F">
              <w:rPr>
                <w:rFonts w:eastAsia="Calibri"/>
                <w:sz w:val="18"/>
                <w:szCs w:val="18"/>
                <w:lang w:eastAsia="en-US"/>
              </w:rPr>
              <w:t>4.7</w:t>
            </w:r>
          </w:p>
        </w:tc>
        <w:tc>
          <w:tcPr>
            <w:tcW w:w="1701" w:type="dxa"/>
            <w:tcBorders>
              <w:top w:val="single" w:sz="4" w:space="0" w:color="auto"/>
              <w:left w:val="single" w:sz="4" w:space="0" w:color="auto"/>
              <w:bottom w:val="nil"/>
              <w:right w:val="single" w:sz="4" w:space="0" w:color="auto"/>
            </w:tcBorders>
            <w:vAlign w:val="center"/>
          </w:tcPr>
          <w:p w14:paraId="3C93D08B" w14:textId="77777777" w:rsidR="00A25C2F" w:rsidRPr="00A25C2F" w:rsidRDefault="00A25C2F" w:rsidP="00A25C2F">
            <w:pPr>
              <w:spacing w:before="20" w:after="20" w:line="276" w:lineRule="auto"/>
              <w:ind w:right="477"/>
              <w:jc w:val="right"/>
              <w:rPr>
                <w:rFonts w:eastAsia="Calibri"/>
                <w:sz w:val="18"/>
                <w:szCs w:val="18"/>
                <w:lang w:eastAsia="en-US"/>
              </w:rPr>
            </w:pPr>
            <w:r w:rsidRPr="00A25C2F">
              <w:rPr>
                <w:rFonts w:eastAsia="Calibri"/>
                <w:sz w:val="18"/>
                <w:szCs w:val="18"/>
                <w:lang w:eastAsia="en-US"/>
              </w:rPr>
              <w:t>136.7</w:t>
            </w:r>
          </w:p>
        </w:tc>
        <w:tc>
          <w:tcPr>
            <w:tcW w:w="1116" w:type="dxa"/>
            <w:tcBorders>
              <w:top w:val="single" w:sz="4" w:space="0" w:color="auto"/>
              <w:left w:val="single" w:sz="4" w:space="0" w:color="auto"/>
              <w:bottom w:val="nil"/>
              <w:right w:val="single" w:sz="4" w:space="0" w:color="auto"/>
            </w:tcBorders>
            <w:vAlign w:val="center"/>
          </w:tcPr>
          <w:p w14:paraId="0DB4483B"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146.1</w:t>
            </w:r>
          </w:p>
        </w:tc>
        <w:tc>
          <w:tcPr>
            <w:tcW w:w="975" w:type="dxa"/>
            <w:tcBorders>
              <w:top w:val="single" w:sz="4" w:space="0" w:color="auto"/>
              <w:left w:val="single" w:sz="4" w:space="0" w:color="auto"/>
              <w:bottom w:val="nil"/>
              <w:right w:val="single" w:sz="4" w:space="0" w:color="auto"/>
            </w:tcBorders>
            <w:vAlign w:val="center"/>
          </w:tcPr>
          <w:p w14:paraId="5843A9D8"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283</w:t>
            </w:r>
          </w:p>
        </w:tc>
        <w:tc>
          <w:tcPr>
            <w:tcW w:w="992" w:type="dxa"/>
            <w:tcBorders>
              <w:top w:val="single" w:sz="4" w:space="0" w:color="auto"/>
              <w:left w:val="single" w:sz="4" w:space="0" w:color="auto"/>
              <w:bottom w:val="nil"/>
              <w:right w:val="single" w:sz="4" w:space="0" w:color="auto"/>
            </w:tcBorders>
            <w:vAlign w:val="center"/>
          </w:tcPr>
          <w:p w14:paraId="36D795F7"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3 394</w:t>
            </w:r>
          </w:p>
        </w:tc>
      </w:tr>
      <w:tr w:rsidR="00A25C2F" w:rsidRPr="00A25C2F" w14:paraId="2C0AFD8C" w14:textId="77777777" w:rsidTr="00A25C2F">
        <w:trPr>
          <w:jc w:val="center"/>
        </w:trPr>
        <w:tc>
          <w:tcPr>
            <w:tcW w:w="1418" w:type="dxa"/>
            <w:tcBorders>
              <w:top w:val="nil"/>
              <w:left w:val="single" w:sz="4" w:space="0" w:color="auto"/>
              <w:bottom w:val="nil"/>
              <w:right w:val="single" w:sz="4" w:space="0" w:color="auto"/>
            </w:tcBorders>
            <w:vAlign w:val="center"/>
          </w:tcPr>
          <w:p w14:paraId="463ED99E" w14:textId="77777777" w:rsidR="00A25C2F" w:rsidRPr="00A25C2F" w:rsidRDefault="00A25C2F" w:rsidP="00A25C2F">
            <w:pPr>
              <w:spacing w:before="20" w:after="20" w:line="276" w:lineRule="auto"/>
              <w:ind w:right="459"/>
              <w:jc w:val="right"/>
              <w:rPr>
                <w:rFonts w:eastAsia="Calibri"/>
                <w:sz w:val="18"/>
                <w:szCs w:val="18"/>
                <w:lang w:eastAsia="en-US"/>
              </w:rPr>
            </w:pPr>
            <w:r w:rsidRPr="00A25C2F">
              <w:rPr>
                <w:rFonts w:eastAsia="Calibri"/>
                <w:sz w:val="18"/>
                <w:szCs w:val="18"/>
                <w:lang w:eastAsia="en-US"/>
              </w:rPr>
              <w:t>3 SM</w:t>
            </w:r>
          </w:p>
        </w:tc>
        <w:tc>
          <w:tcPr>
            <w:tcW w:w="1134" w:type="dxa"/>
            <w:tcBorders>
              <w:top w:val="nil"/>
              <w:left w:val="single" w:sz="4" w:space="0" w:color="auto"/>
              <w:bottom w:val="nil"/>
              <w:right w:val="single" w:sz="4" w:space="0" w:color="auto"/>
            </w:tcBorders>
            <w:vAlign w:val="center"/>
          </w:tcPr>
          <w:p w14:paraId="742F5245" w14:textId="77777777" w:rsidR="00A25C2F" w:rsidRPr="00A25C2F" w:rsidRDefault="00A25C2F" w:rsidP="00A25C2F">
            <w:pPr>
              <w:spacing w:before="20" w:after="20" w:line="276" w:lineRule="auto"/>
              <w:ind w:right="284"/>
              <w:jc w:val="right"/>
              <w:rPr>
                <w:rFonts w:eastAsia="Calibri"/>
                <w:sz w:val="18"/>
                <w:szCs w:val="18"/>
                <w:lang w:eastAsia="en-US"/>
              </w:rPr>
            </w:pPr>
            <w:r w:rsidRPr="00A25C2F">
              <w:rPr>
                <w:rFonts w:eastAsia="Calibri"/>
                <w:sz w:val="18"/>
                <w:szCs w:val="18"/>
                <w:lang w:eastAsia="en-US"/>
              </w:rPr>
              <w:t>71.0</w:t>
            </w:r>
          </w:p>
        </w:tc>
        <w:tc>
          <w:tcPr>
            <w:tcW w:w="992" w:type="dxa"/>
            <w:tcBorders>
              <w:top w:val="nil"/>
              <w:left w:val="single" w:sz="4" w:space="0" w:color="auto"/>
              <w:bottom w:val="nil"/>
              <w:right w:val="single" w:sz="4" w:space="0" w:color="auto"/>
            </w:tcBorders>
            <w:vAlign w:val="center"/>
          </w:tcPr>
          <w:p w14:paraId="56741308" w14:textId="77777777" w:rsidR="00A25C2F" w:rsidRPr="00A25C2F" w:rsidRDefault="00A25C2F" w:rsidP="00A25C2F">
            <w:pPr>
              <w:spacing w:before="20" w:after="20" w:line="276" w:lineRule="auto"/>
              <w:ind w:right="113"/>
              <w:jc w:val="right"/>
              <w:rPr>
                <w:rFonts w:eastAsia="Calibri"/>
                <w:sz w:val="18"/>
                <w:szCs w:val="18"/>
                <w:lang w:eastAsia="en-US"/>
              </w:rPr>
            </w:pPr>
            <w:r w:rsidRPr="00A25C2F">
              <w:rPr>
                <w:rFonts w:eastAsia="Calibri"/>
                <w:sz w:val="18"/>
                <w:szCs w:val="18"/>
                <w:lang w:eastAsia="en-US"/>
              </w:rPr>
              <w:t>324.9</w:t>
            </w:r>
          </w:p>
        </w:tc>
        <w:tc>
          <w:tcPr>
            <w:tcW w:w="1010" w:type="dxa"/>
            <w:tcBorders>
              <w:top w:val="nil"/>
              <w:left w:val="single" w:sz="4" w:space="0" w:color="auto"/>
              <w:bottom w:val="nil"/>
              <w:right w:val="single" w:sz="4" w:space="0" w:color="auto"/>
            </w:tcBorders>
            <w:vAlign w:val="center"/>
          </w:tcPr>
          <w:p w14:paraId="3E0AFE63" w14:textId="77777777" w:rsidR="00A25C2F" w:rsidRPr="00A25C2F" w:rsidRDefault="00A25C2F" w:rsidP="00A25C2F">
            <w:pPr>
              <w:spacing w:before="20" w:after="20" w:line="276" w:lineRule="auto"/>
              <w:jc w:val="right"/>
              <w:rPr>
                <w:rFonts w:eastAsia="Calibri"/>
                <w:sz w:val="18"/>
                <w:szCs w:val="18"/>
                <w:lang w:eastAsia="en-US"/>
              </w:rPr>
            </w:pPr>
            <w:r w:rsidRPr="00A25C2F">
              <w:rPr>
                <w:rFonts w:eastAsia="Calibri"/>
                <w:sz w:val="18"/>
                <w:szCs w:val="18"/>
                <w:lang w:eastAsia="en-US"/>
              </w:rPr>
              <w:t>14.2</w:t>
            </w:r>
          </w:p>
        </w:tc>
        <w:tc>
          <w:tcPr>
            <w:tcW w:w="1701" w:type="dxa"/>
            <w:tcBorders>
              <w:top w:val="nil"/>
              <w:left w:val="single" w:sz="4" w:space="0" w:color="auto"/>
              <w:bottom w:val="nil"/>
              <w:right w:val="single" w:sz="4" w:space="0" w:color="auto"/>
            </w:tcBorders>
            <w:vAlign w:val="center"/>
          </w:tcPr>
          <w:p w14:paraId="46CDE5B2" w14:textId="184D96F5" w:rsidR="00A25C2F" w:rsidRPr="00A25C2F" w:rsidRDefault="00A25C2F" w:rsidP="00A25C2F">
            <w:pPr>
              <w:spacing w:before="20" w:after="20" w:line="276" w:lineRule="auto"/>
              <w:ind w:right="477"/>
              <w:jc w:val="right"/>
              <w:rPr>
                <w:rFonts w:eastAsia="Calibri"/>
                <w:sz w:val="18"/>
                <w:szCs w:val="18"/>
                <w:lang w:eastAsia="en-US"/>
              </w:rPr>
            </w:pPr>
            <w:r w:rsidRPr="00A25C2F">
              <w:rPr>
                <w:rFonts w:eastAsia="Calibri"/>
                <w:sz w:val="18"/>
                <w:szCs w:val="18"/>
                <w:lang w:eastAsia="en-US"/>
              </w:rPr>
              <w:t>410.</w:t>
            </w:r>
            <w:r w:rsidR="00EF184E">
              <w:rPr>
                <w:rFonts w:eastAsia="Calibri"/>
                <w:sz w:val="18"/>
                <w:szCs w:val="18"/>
                <w:lang w:eastAsia="en-US"/>
              </w:rPr>
              <w:t>1</w:t>
            </w:r>
          </w:p>
        </w:tc>
        <w:tc>
          <w:tcPr>
            <w:tcW w:w="1116" w:type="dxa"/>
            <w:tcBorders>
              <w:top w:val="nil"/>
              <w:left w:val="single" w:sz="4" w:space="0" w:color="auto"/>
              <w:bottom w:val="nil"/>
              <w:right w:val="single" w:sz="4" w:space="0" w:color="auto"/>
            </w:tcBorders>
            <w:vAlign w:val="center"/>
          </w:tcPr>
          <w:p w14:paraId="63F1AD50"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140.0</w:t>
            </w:r>
          </w:p>
        </w:tc>
        <w:tc>
          <w:tcPr>
            <w:tcW w:w="975" w:type="dxa"/>
            <w:tcBorders>
              <w:top w:val="nil"/>
              <w:left w:val="single" w:sz="4" w:space="0" w:color="auto"/>
              <w:bottom w:val="nil"/>
              <w:right w:val="single" w:sz="4" w:space="0" w:color="auto"/>
            </w:tcBorders>
            <w:vAlign w:val="center"/>
          </w:tcPr>
          <w:p w14:paraId="4992B320"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550</w:t>
            </w:r>
          </w:p>
        </w:tc>
        <w:tc>
          <w:tcPr>
            <w:tcW w:w="992" w:type="dxa"/>
            <w:tcBorders>
              <w:top w:val="nil"/>
              <w:left w:val="single" w:sz="4" w:space="0" w:color="auto"/>
              <w:bottom w:val="nil"/>
              <w:right w:val="single" w:sz="4" w:space="0" w:color="auto"/>
            </w:tcBorders>
            <w:vAlign w:val="center"/>
          </w:tcPr>
          <w:p w14:paraId="1BEE9D08"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6 601</w:t>
            </w:r>
          </w:p>
        </w:tc>
      </w:tr>
      <w:tr w:rsidR="00A25C2F" w:rsidRPr="00A25C2F" w14:paraId="13F9A04A" w14:textId="77777777" w:rsidTr="00A25C2F">
        <w:trPr>
          <w:jc w:val="center"/>
        </w:trPr>
        <w:tc>
          <w:tcPr>
            <w:tcW w:w="1418" w:type="dxa"/>
            <w:tcBorders>
              <w:top w:val="nil"/>
              <w:left w:val="single" w:sz="4" w:space="0" w:color="auto"/>
              <w:bottom w:val="nil"/>
              <w:right w:val="single" w:sz="4" w:space="0" w:color="auto"/>
            </w:tcBorders>
            <w:vAlign w:val="center"/>
          </w:tcPr>
          <w:p w14:paraId="3CAD9BD5" w14:textId="77777777" w:rsidR="00A25C2F" w:rsidRPr="00A25C2F" w:rsidRDefault="00A25C2F" w:rsidP="00A25C2F">
            <w:pPr>
              <w:spacing w:before="20" w:after="20" w:line="276" w:lineRule="auto"/>
              <w:ind w:right="459"/>
              <w:jc w:val="right"/>
              <w:rPr>
                <w:rFonts w:eastAsia="Calibri"/>
                <w:sz w:val="18"/>
                <w:szCs w:val="18"/>
                <w:lang w:eastAsia="en-US"/>
              </w:rPr>
            </w:pPr>
            <w:r w:rsidRPr="00A25C2F">
              <w:rPr>
                <w:rFonts w:eastAsia="Calibri"/>
                <w:sz w:val="18"/>
                <w:szCs w:val="18"/>
                <w:lang w:eastAsia="en-US"/>
              </w:rPr>
              <w:t>5 SM</w:t>
            </w:r>
          </w:p>
        </w:tc>
        <w:tc>
          <w:tcPr>
            <w:tcW w:w="1134" w:type="dxa"/>
            <w:tcBorders>
              <w:top w:val="nil"/>
              <w:left w:val="single" w:sz="4" w:space="0" w:color="auto"/>
              <w:bottom w:val="nil"/>
              <w:right w:val="single" w:sz="4" w:space="0" w:color="auto"/>
            </w:tcBorders>
            <w:vAlign w:val="center"/>
          </w:tcPr>
          <w:p w14:paraId="6B400827" w14:textId="77777777" w:rsidR="00A25C2F" w:rsidRPr="00A25C2F" w:rsidRDefault="00A25C2F" w:rsidP="00A25C2F">
            <w:pPr>
              <w:spacing w:before="20" w:after="20" w:line="276" w:lineRule="auto"/>
              <w:ind w:right="284"/>
              <w:jc w:val="right"/>
              <w:rPr>
                <w:rFonts w:eastAsia="Calibri"/>
                <w:sz w:val="18"/>
                <w:szCs w:val="18"/>
                <w:lang w:eastAsia="en-US"/>
              </w:rPr>
            </w:pPr>
            <w:r w:rsidRPr="00A25C2F">
              <w:rPr>
                <w:rFonts w:eastAsia="Calibri"/>
                <w:sz w:val="18"/>
                <w:szCs w:val="18"/>
                <w:lang w:eastAsia="en-US"/>
              </w:rPr>
              <w:t>118.3</w:t>
            </w:r>
          </w:p>
        </w:tc>
        <w:tc>
          <w:tcPr>
            <w:tcW w:w="992" w:type="dxa"/>
            <w:tcBorders>
              <w:top w:val="nil"/>
              <w:left w:val="single" w:sz="4" w:space="0" w:color="auto"/>
              <w:bottom w:val="nil"/>
              <w:right w:val="single" w:sz="4" w:space="0" w:color="auto"/>
            </w:tcBorders>
            <w:vAlign w:val="center"/>
          </w:tcPr>
          <w:p w14:paraId="1285AED7" w14:textId="77777777" w:rsidR="00A25C2F" w:rsidRPr="00A25C2F" w:rsidRDefault="00A25C2F" w:rsidP="00A25C2F">
            <w:pPr>
              <w:spacing w:before="20" w:after="20" w:line="276" w:lineRule="auto"/>
              <w:ind w:right="113"/>
              <w:jc w:val="right"/>
              <w:rPr>
                <w:rFonts w:eastAsia="Calibri"/>
                <w:sz w:val="18"/>
                <w:szCs w:val="18"/>
                <w:lang w:eastAsia="en-US"/>
              </w:rPr>
            </w:pPr>
            <w:r w:rsidRPr="00A25C2F">
              <w:rPr>
                <w:rFonts w:eastAsia="Calibri"/>
                <w:sz w:val="18"/>
                <w:szCs w:val="18"/>
                <w:lang w:eastAsia="en-US"/>
              </w:rPr>
              <w:t>541.5</w:t>
            </w:r>
          </w:p>
        </w:tc>
        <w:tc>
          <w:tcPr>
            <w:tcW w:w="1010" w:type="dxa"/>
            <w:tcBorders>
              <w:top w:val="nil"/>
              <w:left w:val="single" w:sz="4" w:space="0" w:color="auto"/>
              <w:bottom w:val="nil"/>
              <w:right w:val="single" w:sz="4" w:space="0" w:color="auto"/>
            </w:tcBorders>
            <w:vAlign w:val="center"/>
          </w:tcPr>
          <w:p w14:paraId="2D912C86" w14:textId="77777777" w:rsidR="00A25C2F" w:rsidRPr="00A25C2F" w:rsidRDefault="00A25C2F" w:rsidP="00A25C2F">
            <w:pPr>
              <w:spacing w:before="20" w:after="20" w:line="276" w:lineRule="auto"/>
              <w:jc w:val="right"/>
              <w:rPr>
                <w:rFonts w:eastAsia="Calibri"/>
                <w:sz w:val="18"/>
                <w:szCs w:val="18"/>
                <w:lang w:eastAsia="en-US"/>
              </w:rPr>
            </w:pPr>
            <w:r w:rsidRPr="00A25C2F">
              <w:rPr>
                <w:rFonts w:eastAsia="Calibri"/>
                <w:sz w:val="18"/>
                <w:szCs w:val="18"/>
                <w:lang w:eastAsia="en-US"/>
              </w:rPr>
              <w:t>23.7</w:t>
            </w:r>
          </w:p>
        </w:tc>
        <w:tc>
          <w:tcPr>
            <w:tcW w:w="1701" w:type="dxa"/>
            <w:tcBorders>
              <w:top w:val="nil"/>
              <w:left w:val="single" w:sz="4" w:space="0" w:color="auto"/>
              <w:bottom w:val="nil"/>
              <w:right w:val="single" w:sz="4" w:space="0" w:color="auto"/>
            </w:tcBorders>
            <w:vAlign w:val="center"/>
          </w:tcPr>
          <w:p w14:paraId="3565CFEC" w14:textId="77777777" w:rsidR="00A25C2F" w:rsidRPr="00A25C2F" w:rsidRDefault="00A25C2F" w:rsidP="00A25C2F">
            <w:pPr>
              <w:spacing w:before="20" w:after="20" w:line="276" w:lineRule="auto"/>
              <w:ind w:right="477"/>
              <w:jc w:val="right"/>
              <w:rPr>
                <w:rFonts w:eastAsia="Calibri"/>
                <w:sz w:val="18"/>
                <w:szCs w:val="18"/>
                <w:lang w:eastAsia="en-US"/>
              </w:rPr>
            </w:pPr>
            <w:r w:rsidRPr="00A25C2F">
              <w:rPr>
                <w:rFonts w:eastAsia="Calibri"/>
                <w:sz w:val="18"/>
                <w:szCs w:val="18"/>
                <w:lang w:eastAsia="en-US"/>
              </w:rPr>
              <w:t>683.5</w:t>
            </w:r>
          </w:p>
        </w:tc>
        <w:tc>
          <w:tcPr>
            <w:tcW w:w="1116" w:type="dxa"/>
            <w:tcBorders>
              <w:top w:val="nil"/>
              <w:left w:val="single" w:sz="4" w:space="0" w:color="auto"/>
              <w:bottom w:val="nil"/>
              <w:right w:val="single" w:sz="4" w:space="0" w:color="auto"/>
            </w:tcBorders>
            <w:vAlign w:val="center"/>
          </w:tcPr>
          <w:p w14:paraId="1DE64FE7"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133.9</w:t>
            </w:r>
          </w:p>
        </w:tc>
        <w:tc>
          <w:tcPr>
            <w:tcW w:w="975" w:type="dxa"/>
            <w:tcBorders>
              <w:top w:val="nil"/>
              <w:left w:val="single" w:sz="4" w:space="0" w:color="auto"/>
              <w:bottom w:val="nil"/>
              <w:right w:val="single" w:sz="4" w:space="0" w:color="auto"/>
            </w:tcBorders>
            <w:vAlign w:val="center"/>
          </w:tcPr>
          <w:p w14:paraId="2794091E"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817</w:t>
            </w:r>
          </w:p>
        </w:tc>
        <w:tc>
          <w:tcPr>
            <w:tcW w:w="992" w:type="dxa"/>
            <w:tcBorders>
              <w:top w:val="nil"/>
              <w:left w:val="single" w:sz="4" w:space="0" w:color="auto"/>
              <w:bottom w:val="nil"/>
              <w:right w:val="single" w:sz="4" w:space="0" w:color="auto"/>
            </w:tcBorders>
            <w:vAlign w:val="center"/>
          </w:tcPr>
          <w:p w14:paraId="752E8036"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9 809</w:t>
            </w:r>
          </w:p>
        </w:tc>
      </w:tr>
      <w:tr w:rsidR="00A25C2F" w:rsidRPr="00A25C2F" w14:paraId="1AB047CF" w14:textId="77777777" w:rsidTr="00A25C2F">
        <w:trPr>
          <w:jc w:val="center"/>
        </w:trPr>
        <w:tc>
          <w:tcPr>
            <w:tcW w:w="1418" w:type="dxa"/>
            <w:tcBorders>
              <w:top w:val="nil"/>
              <w:left w:val="single" w:sz="4" w:space="0" w:color="auto"/>
              <w:bottom w:val="nil"/>
              <w:right w:val="single" w:sz="4" w:space="0" w:color="auto"/>
            </w:tcBorders>
            <w:vAlign w:val="center"/>
          </w:tcPr>
          <w:p w14:paraId="6A86F658" w14:textId="77777777" w:rsidR="00A25C2F" w:rsidRPr="00A25C2F" w:rsidRDefault="00A25C2F" w:rsidP="00A25C2F">
            <w:pPr>
              <w:spacing w:before="20" w:after="20" w:line="276" w:lineRule="auto"/>
              <w:ind w:right="459"/>
              <w:jc w:val="right"/>
              <w:rPr>
                <w:rFonts w:eastAsia="Calibri"/>
                <w:sz w:val="18"/>
                <w:szCs w:val="18"/>
                <w:lang w:eastAsia="en-US"/>
              </w:rPr>
            </w:pPr>
            <w:r w:rsidRPr="00A25C2F">
              <w:rPr>
                <w:rFonts w:eastAsia="Calibri"/>
                <w:sz w:val="18"/>
                <w:szCs w:val="18"/>
                <w:lang w:eastAsia="en-US"/>
              </w:rPr>
              <w:t>15 SM</w:t>
            </w:r>
          </w:p>
        </w:tc>
        <w:tc>
          <w:tcPr>
            <w:tcW w:w="1134" w:type="dxa"/>
            <w:tcBorders>
              <w:top w:val="nil"/>
              <w:left w:val="single" w:sz="4" w:space="0" w:color="auto"/>
              <w:bottom w:val="nil"/>
              <w:right w:val="single" w:sz="4" w:space="0" w:color="auto"/>
            </w:tcBorders>
            <w:vAlign w:val="center"/>
          </w:tcPr>
          <w:p w14:paraId="56A58867" w14:textId="77777777" w:rsidR="00A25C2F" w:rsidRPr="00A25C2F" w:rsidRDefault="00A25C2F" w:rsidP="00A25C2F">
            <w:pPr>
              <w:spacing w:before="20" w:after="20" w:line="276" w:lineRule="auto"/>
              <w:ind w:right="284"/>
              <w:jc w:val="right"/>
              <w:rPr>
                <w:rFonts w:eastAsia="Calibri"/>
                <w:sz w:val="18"/>
                <w:szCs w:val="18"/>
                <w:lang w:eastAsia="en-US"/>
              </w:rPr>
            </w:pPr>
            <w:r w:rsidRPr="00A25C2F">
              <w:rPr>
                <w:rFonts w:eastAsia="Calibri"/>
                <w:sz w:val="18"/>
                <w:szCs w:val="18"/>
                <w:lang w:eastAsia="en-US"/>
              </w:rPr>
              <w:t>354.9</w:t>
            </w:r>
          </w:p>
        </w:tc>
        <w:tc>
          <w:tcPr>
            <w:tcW w:w="992" w:type="dxa"/>
            <w:tcBorders>
              <w:top w:val="nil"/>
              <w:left w:val="single" w:sz="4" w:space="0" w:color="auto"/>
              <w:bottom w:val="nil"/>
              <w:right w:val="single" w:sz="4" w:space="0" w:color="auto"/>
            </w:tcBorders>
            <w:vAlign w:val="center"/>
          </w:tcPr>
          <w:p w14:paraId="276EA99E" w14:textId="77777777" w:rsidR="00A25C2F" w:rsidRPr="00A25C2F" w:rsidRDefault="00A25C2F" w:rsidP="00A25C2F">
            <w:pPr>
              <w:spacing w:before="20" w:after="20" w:line="276" w:lineRule="auto"/>
              <w:ind w:right="113"/>
              <w:jc w:val="right"/>
              <w:rPr>
                <w:rFonts w:eastAsia="Calibri"/>
                <w:sz w:val="18"/>
                <w:szCs w:val="18"/>
                <w:lang w:eastAsia="en-US"/>
              </w:rPr>
            </w:pPr>
            <w:r w:rsidRPr="00A25C2F">
              <w:rPr>
                <w:rFonts w:eastAsia="Calibri"/>
                <w:sz w:val="18"/>
                <w:szCs w:val="18"/>
                <w:lang w:eastAsia="en-US"/>
              </w:rPr>
              <w:t>1 624.6</w:t>
            </w:r>
          </w:p>
        </w:tc>
        <w:tc>
          <w:tcPr>
            <w:tcW w:w="1010" w:type="dxa"/>
            <w:tcBorders>
              <w:top w:val="nil"/>
              <w:left w:val="single" w:sz="4" w:space="0" w:color="auto"/>
              <w:bottom w:val="nil"/>
              <w:right w:val="single" w:sz="4" w:space="0" w:color="auto"/>
            </w:tcBorders>
            <w:vAlign w:val="center"/>
          </w:tcPr>
          <w:p w14:paraId="5B6DCFD7" w14:textId="77777777" w:rsidR="00A25C2F" w:rsidRPr="00A25C2F" w:rsidRDefault="00A25C2F" w:rsidP="00A25C2F">
            <w:pPr>
              <w:spacing w:before="20" w:after="20" w:line="276" w:lineRule="auto"/>
              <w:jc w:val="right"/>
              <w:rPr>
                <w:rFonts w:eastAsia="Calibri"/>
                <w:sz w:val="18"/>
                <w:szCs w:val="18"/>
                <w:lang w:eastAsia="en-US"/>
              </w:rPr>
            </w:pPr>
            <w:r w:rsidRPr="00A25C2F">
              <w:rPr>
                <w:rFonts w:eastAsia="Calibri"/>
                <w:sz w:val="18"/>
                <w:szCs w:val="18"/>
                <w:lang w:eastAsia="en-US"/>
              </w:rPr>
              <w:t>71.0</w:t>
            </w:r>
          </w:p>
        </w:tc>
        <w:tc>
          <w:tcPr>
            <w:tcW w:w="1701" w:type="dxa"/>
            <w:tcBorders>
              <w:top w:val="nil"/>
              <w:left w:val="single" w:sz="4" w:space="0" w:color="auto"/>
              <w:bottom w:val="nil"/>
              <w:right w:val="single" w:sz="4" w:space="0" w:color="auto"/>
            </w:tcBorders>
            <w:vAlign w:val="center"/>
          </w:tcPr>
          <w:p w14:paraId="1ECB42D9" w14:textId="77777777" w:rsidR="00A25C2F" w:rsidRPr="00A25C2F" w:rsidRDefault="00A25C2F" w:rsidP="00A25C2F">
            <w:pPr>
              <w:spacing w:before="20" w:after="20" w:line="276" w:lineRule="auto"/>
              <w:ind w:right="477"/>
              <w:jc w:val="right"/>
              <w:rPr>
                <w:rFonts w:eastAsia="Calibri"/>
                <w:sz w:val="18"/>
                <w:szCs w:val="18"/>
                <w:lang w:eastAsia="en-US"/>
              </w:rPr>
            </w:pPr>
            <w:r w:rsidRPr="00A25C2F">
              <w:rPr>
                <w:rFonts w:eastAsia="Calibri"/>
                <w:sz w:val="18"/>
                <w:szCs w:val="18"/>
                <w:lang w:eastAsia="en-US"/>
              </w:rPr>
              <w:t>2 050.4</w:t>
            </w:r>
          </w:p>
        </w:tc>
        <w:tc>
          <w:tcPr>
            <w:tcW w:w="1116" w:type="dxa"/>
            <w:tcBorders>
              <w:top w:val="nil"/>
              <w:left w:val="single" w:sz="4" w:space="0" w:color="auto"/>
              <w:bottom w:val="nil"/>
              <w:right w:val="single" w:sz="4" w:space="0" w:color="auto"/>
            </w:tcBorders>
            <w:vAlign w:val="center"/>
          </w:tcPr>
          <w:p w14:paraId="76D04D34"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121.8</w:t>
            </w:r>
          </w:p>
        </w:tc>
        <w:tc>
          <w:tcPr>
            <w:tcW w:w="975" w:type="dxa"/>
            <w:tcBorders>
              <w:top w:val="nil"/>
              <w:left w:val="single" w:sz="4" w:space="0" w:color="auto"/>
              <w:bottom w:val="nil"/>
              <w:right w:val="single" w:sz="4" w:space="0" w:color="auto"/>
            </w:tcBorders>
            <w:vAlign w:val="center"/>
          </w:tcPr>
          <w:p w14:paraId="302EC3F2"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2 172</w:t>
            </w:r>
          </w:p>
        </w:tc>
        <w:tc>
          <w:tcPr>
            <w:tcW w:w="992" w:type="dxa"/>
            <w:tcBorders>
              <w:top w:val="nil"/>
              <w:left w:val="single" w:sz="4" w:space="0" w:color="auto"/>
              <w:bottom w:val="nil"/>
              <w:right w:val="single" w:sz="4" w:space="0" w:color="auto"/>
            </w:tcBorders>
            <w:vAlign w:val="center"/>
          </w:tcPr>
          <w:p w14:paraId="0D1FDEBA"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26 066</w:t>
            </w:r>
          </w:p>
        </w:tc>
      </w:tr>
      <w:tr w:rsidR="00A25C2F" w:rsidRPr="00A25C2F" w14:paraId="4EDB2980" w14:textId="77777777" w:rsidTr="00A25C2F">
        <w:trPr>
          <w:jc w:val="center"/>
        </w:trPr>
        <w:tc>
          <w:tcPr>
            <w:tcW w:w="1418" w:type="dxa"/>
            <w:tcBorders>
              <w:top w:val="nil"/>
              <w:left w:val="single" w:sz="4" w:space="0" w:color="auto"/>
              <w:bottom w:val="single" w:sz="4" w:space="0" w:color="auto"/>
              <w:right w:val="single" w:sz="4" w:space="0" w:color="auto"/>
            </w:tcBorders>
            <w:vAlign w:val="center"/>
          </w:tcPr>
          <w:p w14:paraId="77BF998D" w14:textId="77777777" w:rsidR="00A25C2F" w:rsidRPr="00A25C2F" w:rsidRDefault="00A25C2F" w:rsidP="00A25C2F">
            <w:pPr>
              <w:spacing w:before="20" w:after="20" w:line="276" w:lineRule="auto"/>
              <w:ind w:right="459"/>
              <w:jc w:val="right"/>
              <w:rPr>
                <w:rFonts w:eastAsia="Calibri"/>
                <w:sz w:val="18"/>
                <w:szCs w:val="18"/>
                <w:lang w:eastAsia="en-US"/>
              </w:rPr>
            </w:pPr>
            <w:r w:rsidRPr="00A25C2F">
              <w:rPr>
                <w:rFonts w:eastAsia="Calibri"/>
                <w:sz w:val="18"/>
                <w:szCs w:val="18"/>
                <w:lang w:eastAsia="en-US"/>
              </w:rPr>
              <w:t>25 SM</w:t>
            </w:r>
          </w:p>
        </w:tc>
        <w:tc>
          <w:tcPr>
            <w:tcW w:w="1134" w:type="dxa"/>
            <w:tcBorders>
              <w:top w:val="nil"/>
              <w:left w:val="single" w:sz="4" w:space="0" w:color="auto"/>
              <w:bottom w:val="single" w:sz="4" w:space="0" w:color="auto"/>
              <w:right w:val="single" w:sz="4" w:space="0" w:color="auto"/>
            </w:tcBorders>
            <w:vAlign w:val="center"/>
          </w:tcPr>
          <w:p w14:paraId="0C72AFC3" w14:textId="77777777" w:rsidR="00A25C2F" w:rsidRPr="00A25C2F" w:rsidRDefault="00A25C2F" w:rsidP="00A25C2F">
            <w:pPr>
              <w:spacing w:before="20" w:after="20" w:line="276" w:lineRule="auto"/>
              <w:ind w:right="284"/>
              <w:jc w:val="right"/>
              <w:rPr>
                <w:rFonts w:eastAsia="Calibri"/>
                <w:sz w:val="18"/>
                <w:szCs w:val="18"/>
                <w:lang w:eastAsia="en-US"/>
              </w:rPr>
            </w:pPr>
            <w:r w:rsidRPr="00A25C2F">
              <w:rPr>
                <w:rFonts w:eastAsia="Calibri"/>
                <w:sz w:val="18"/>
                <w:szCs w:val="18"/>
                <w:lang w:eastAsia="en-US"/>
              </w:rPr>
              <w:t>591.5</w:t>
            </w:r>
          </w:p>
        </w:tc>
        <w:tc>
          <w:tcPr>
            <w:tcW w:w="992" w:type="dxa"/>
            <w:tcBorders>
              <w:top w:val="nil"/>
              <w:left w:val="single" w:sz="4" w:space="0" w:color="auto"/>
              <w:bottom w:val="single" w:sz="4" w:space="0" w:color="auto"/>
              <w:right w:val="single" w:sz="4" w:space="0" w:color="auto"/>
            </w:tcBorders>
            <w:vAlign w:val="center"/>
          </w:tcPr>
          <w:p w14:paraId="26CD70EE" w14:textId="77777777" w:rsidR="00A25C2F" w:rsidRPr="00A25C2F" w:rsidRDefault="00A25C2F" w:rsidP="00A25C2F">
            <w:pPr>
              <w:spacing w:before="20" w:after="20" w:line="276" w:lineRule="auto"/>
              <w:ind w:right="113"/>
              <w:jc w:val="right"/>
              <w:rPr>
                <w:rFonts w:eastAsia="Calibri"/>
                <w:sz w:val="18"/>
                <w:szCs w:val="18"/>
                <w:lang w:eastAsia="en-US"/>
              </w:rPr>
            </w:pPr>
            <w:r w:rsidRPr="00A25C2F">
              <w:rPr>
                <w:rFonts w:eastAsia="Calibri"/>
                <w:sz w:val="18"/>
                <w:szCs w:val="18"/>
                <w:lang w:eastAsia="en-US"/>
              </w:rPr>
              <w:t>2 707.6</w:t>
            </w:r>
          </w:p>
        </w:tc>
        <w:tc>
          <w:tcPr>
            <w:tcW w:w="1010" w:type="dxa"/>
            <w:tcBorders>
              <w:top w:val="nil"/>
              <w:left w:val="single" w:sz="4" w:space="0" w:color="auto"/>
              <w:bottom w:val="single" w:sz="4" w:space="0" w:color="auto"/>
              <w:right w:val="single" w:sz="4" w:space="0" w:color="auto"/>
            </w:tcBorders>
            <w:vAlign w:val="center"/>
          </w:tcPr>
          <w:p w14:paraId="327230EE" w14:textId="77777777" w:rsidR="00A25C2F" w:rsidRPr="00A25C2F" w:rsidRDefault="00A25C2F" w:rsidP="00A25C2F">
            <w:pPr>
              <w:spacing w:before="20" w:after="20" w:line="276" w:lineRule="auto"/>
              <w:jc w:val="right"/>
              <w:rPr>
                <w:rFonts w:eastAsia="Calibri"/>
                <w:sz w:val="18"/>
                <w:szCs w:val="18"/>
                <w:lang w:eastAsia="en-US"/>
              </w:rPr>
            </w:pPr>
            <w:r w:rsidRPr="00A25C2F">
              <w:rPr>
                <w:rFonts w:eastAsia="Calibri"/>
                <w:sz w:val="18"/>
                <w:szCs w:val="18"/>
                <w:lang w:eastAsia="en-US"/>
              </w:rPr>
              <w:t>118.3</w:t>
            </w:r>
          </w:p>
        </w:tc>
        <w:tc>
          <w:tcPr>
            <w:tcW w:w="1701" w:type="dxa"/>
            <w:tcBorders>
              <w:top w:val="nil"/>
              <w:left w:val="single" w:sz="4" w:space="0" w:color="auto"/>
              <w:bottom w:val="single" w:sz="4" w:space="0" w:color="auto"/>
              <w:right w:val="single" w:sz="4" w:space="0" w:color="auto"/>
            </w:tcBorders>
            <w:vAlign w:val="center"/>
          </w:tcPr>
          <w:p w14:paraId="61CBE576" w14:textId="77777777" w:rsidR="00A25C2F" w:rsidRPr="00A25C2F" w:rsidRDefault="00A25C2F" w:rsidP="00A25C2F">
            <w:pPr>
              <w:spacing w:before="20" w:after="20" w:line="276" w:lineRule="auto"/>
              <w:ind w:right="477"/>
              <w:jc w:val="right"/>
              <w:rPr>
                <w:rFonts w:eastAsia="Calibri"/>
                <w:sz w:val="18"/>
                <w:szCs w:val="18"/>
                <w:lang w:eastAsia="en-US"/>
              </w:rPr>
            </w:pPr>
            <w:r w:rsidRPr="00A25C2F">
              <w:rPr>
                <w:rFonts w:eastAsia="Calibri"/>
                <w:sz w:val="18"/>
                <w:szCs w:val="18"/>
                <w:lang w:eastAsia="en-US"/>
              </w:rPr>
              <w:t>3 417.4</w:t>
            </w:r>
          </w:p>
        </w:tc>
        <w:tc>
          <w:tcPr>
            <w:tcW w:w="1116" w:type="dxa"/>
            <w:tcBorders>
              <w:top w:val="nil"/>
              <w:left w:val="single" w:sz="4" w:space="0" w:color="auto"/>
              <w:bottom w:val="single" w:sz="4" w:space="0" w:color="auto"/>
              <w:right w:val="single" w:sz="4" w:space="0" w:color="auto"/>
            </w:tcBorders>
            <w:vAlign w:val="center"/>
          </w:tcPr>
          <w:p w14:paraId="662ED940"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0.0</w:t>
            </w:r>
          </w:p>
        </w:tc>
        <w:tc>
          <w:tcPr>
            <w:tcW w:w="975" w:type="dxa"/>
            <w:tcBorders>
              <w:top w:val="nil"/>
              <w:left w:val="single" w:sz="4" w:space="0" w:color="auto"/>
              <w:bottom w:val="single" w:sz="4" w:space="0" w:color="auto"/>
              <w:right w:val="single" w:sz="4" w:space="0" w:color="auto"/>
            </w:tcBorders>
            <w:vAlign w:val="center"/>
          </w:tcPr>
          <w:p w14:paraId="2E514FFB"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3 417</w:t>
            </w:r>
          </w:p>
        </w:tc>
        <w:tc>
          <w:tcPr>
            <w:tcW w:w="992" w:type="dxa"/>
            <w:tcBorders>
              <w:top w:val="nil"/>
              <w:left w:val="single" w:sz="4" w:space="0" w:color="auto"/>
              <w:bottom w:val="single" w:sz="4" w:space="0" w:color="auto"/>
              <w:right w:val="single" w:sz="4" w:space="0" w:color="auto"/>
            </w:tcBorders>
            <w:vAlign w:val="center"/>
          </w:tcPr>
          <w:p w14:paraId="007620F6" w14:textId="77777777" w:rsidR="00A25C2F" w:rsidRPr="00A25C2F" w:rsidRDefault="00A25C2F" w:rsidP="00A25C2F">
            <w:pPr>
              <w:spacing w:before="20" w:after="20" w:line="276" w:lineRule="auto"/>
              <w:ind w:right="170"/>
              <w:jc w:val="right"/>
              <w:rPr>
                <w:rFonts w:eastAsia="Calibri"/>
                <w:sz w:val="18"/>
                <w:szCs w:val="18"/>
                <w:lang w:eastAsia="en-US"/>
              </w:rPr>
            </w:pPr>
            <w:r w:rsidRPr="00A25C2F">
              <w:rPr>
                <w:rFonts w:eastAsia="Calibri"/>
                <w:sz w:val="18"/>
                <w:szCs w:val="18"/>
                <w:lang w:eastAsia="en-US"/>
              </w:rPr>
              <w:t>41 009</w:t>
            </w:r>
          </w:p>
        </w:tc>
      </w:tr>
      <w:tr w:rsidR="00A25C2F" w:rsidRPr="00A25C2F" w14:paraId="3F270829" w14:textId="77777777" w:rsidTr="00B9606F">
        <w:trPr>
          <w:jc w:val="center"/>
        </w:trPr>
        <w:tc>
          <w:tcPr>
            <w:tcW w:w="9338" w:type="dxa"/>
            <w:gridSpan w:val="8"/>
            <w:tcBorders>
              <w:top w:val="single" w:sz="4" w:space="0" w:color="auto"/>
              <w:left w:val="nil"/>
              <w:bottom w:val="nil"/>
              <w:right w:val="nil"/>
            </w:tcBorders>
            <w:vAlign w:val="center"/>
          </w:tcPr>
          <w:p w14:paraId="48D3ECD1" w14:textId="77777777" w:rsidR="00A25C2F" w:rsidRPr="00A25C2F" w:rsidRDefault="00A25C2F" w:rsidP="00BD244A">
            <w:pPr>
              <w:rPr>
                <w:rFonts w:eastAsia="Calibri"/>
                <w:sz w:val="20"/>
                <w:szCs w:val="20"/>
                <w:lang w:eastAsia="en-US"/>
              </w:rPr>
            </w:pPr>
            <w:r w:rsidRPr="00A25C2F">
              <w:rPr>
                <w:rFonts w:eastAsia="Calibri"/>
                <w:sz w:val="20"/>
                <w:szCs w:val="20"/>
                <w:lang w:eastAsia="en-US"/>
              </w:rPr>
              <w:t>Nota: Cuota social vigente de enero a abril de 2015. El salario mínimo vigente en la zona A.</w:t>
            </w:r>
          </w:p>
          <w:p w14:paraId="0530E0A7" w14:textId="77777777" w:rsidR="00A25C2F" w:rsidRPr="00A25C2F" w:rsidRDefault="00A25C2F" w:rsidP="00A25C2F">
            <w:pPr>
              <w:spacing w:after="200" w:line="276" w:lineRule="auto"/>
              <w:rPr>
                <w:rFonts w:eastAsia="Calibri"/>
                <w:sz w:val="20"/>
                <w:szCs w:val="20"/>
                <w:lang w:eastAsia="en-US"/>
              </w:rPr>
            </w:pPr>
            <w:r w:rsidRPr="00A25C2F">
              <w:rPr>
                <w:rFonts w:eastAsia="Calibri"/>
                <w:sz w:val="20"/>
                <w:szCs w:val="20"/>
                <w:lang w:eastAsia="en-US"/>
              </w:rPr>
              <w:t>FUENTE: Forbes México.</w:t>
            </w:r>
          </w:p>
        </w:tc>
      </w:tr>
    </w:tbl>
    <w:p w14:paraId="226D1F2B" w14:textId="77777777" w:rsidR="00A25C2F" w:rsidRPr="00A25C2F" w:rsidRDefault="00A25C2F" w:rsidP="00A25C2F">
      <w:pPr>
        <w:spacing w:after="360" w:line="360" w:lineRule="auto"/>
        <w:ind w:right="-159"/>
        <w:jc w:val="both"/>
        <w:rPr>
          <w:rFonts w:eastAsia="Calibri"/>
          <w:sz w:val="26"/>
          <w:szCs w:val="26"/>
          <w:lang w:val="es-ES" w:eastAsia="en-US"/>
        </w:rPr>
      </w:pPr>
      <w:r w:rsidRPr="00A25C2F">
        <w:rPr>
          <w:rFonts w:eastAsia="Calibri"/>
          <w:sz w:val="26"/>
          <w:szCs w:val="26"/>
          <w:lang w:val="es-ES" w:eastAsia="en-US"/>
        </w:rPr>
        <w:lastRenderedPageBreak/>
        <w:t>Dado que el ahorro obligatorio para el retiro que acumulan periódicamente los trabajadores es relativamente pequeño, es de esperarse que, de no incrementarlo, el monto que acumulen al final de su vida laboral será insuficiente.</w:t>
      </w:r>
    </w:p>
    <w:p w14:paraId="4F5175A9" w14:textId="77777777" w:rsidR="00A25C2F" w:rsidRPr="00A25C2F" w:rsidRDefault="00A25C2F" w:rsidP="00A25C2F">
      <w:pPr>
        <w:spacing w:after="360"/>
        <w:ind w:right="-159"/>
        <w:jc w:val="both"/>
        <w:rPr>
          <w:rFonts w:eastAsia="Calibri"/>
          <w:b/>
          <w:sz w:val="26"/>
          <w:szCs w:val="26"/>
          <w:lang w:val="es-ES" w:eastAsia="en-US"/>
        </w:rPr>
      </w:pPr>
      <w:r w:rsidRPr="00A25C2F">
        <w:rPr>
          <w:rFonts w:eastAsia="Calibri"/>
          <w:b/>
          <w:sz w:val="26"/>
          <w:szCs w:val="26"/>
          <w:lang w:val="es-ES" w:eastAsia="en-US"/>
        </w:rPr>
        <w:t>¿Qué aportación obligatoria se requeriría para alcanzar un cierto objetivo de tasa de reemplazo?</w:t>
      </w:r>
    </w:p>
    <w:p w14:paraId="031BA15A" w14:textId="77777777" w:rsidR="00A25C2F" w:rsidRPr="00A25C2F" w:rsidRDefault="00A25C2F" w:rsidP="00EF184E">
      <w:pPr>
        <w:spacing w:after="360" w:line="420" w:lineRule="exact"/>
        <w:ind w:right="-159"/>
        <w:jc w:val="both"/>
        <w:rPr>
          <w:rFonts w:eastAsia="Calibri"/>
          <w:sz w:val="26"/>
          <w:szCs w:val="26"/>
          <w:lang w:val="es-ES" w:eastAsia="en-US"/>
        </w:rPr>
      </w:pPr>
      <w:r w:rsidRPr="00A25C2F">
        <w:rPr>
          <w:rFonts w:eastAsia="Calibri"/>
          <w:sz w:val="26"/>
          <w:szCs w:val="26"/>
          <w:lang w:val="es-ES" w:eastAsia="en-US"/>
        </w:rPr>
        <w:t>La anterior es una pregunta muy relevante si establecemos como meta alcanzar una determinada tasa de reemplazo. Para efectuar un ejercicio representativo en ese sentido, se suponen diversas tasas de reemplazo deseadas (que van del 40 al 70%) junto con diferentes supuestos de rendimiento real (descontadas las comisiones) del saldo acumulado en la cuenta individual (rendimientos que van del 2 al 5%). Para cada una de esas combinaciones, se determina el porcentaje necesario de aportación obligatoria.  Esto lo muestra el cuadro siguiente. Veamos un ejemplo concreto: supongamos que un rendimiento real del saldo de ahorro razonable sea de 2 o de 3% y supongamos de acuerdo con el estándar internacional, que una tasa de reemplazo adecuada es de 60 o de 70%. El cuadro mostraría que la aportación obligatoria necesaria para alcanzar esas tasas de reemplazo con esos rendimientos, sería de entre 16.8 y 25.4 por ciento.</w:t>
      </w:r>
    </w:p>
    <w:tbl>
      <w:tblPr>
        <w:tblW w:w="0" w:type="auto"/>
        <w:jc w:val="center"/>
        <w:tblLayout w:type="fixed"/>
        <w:tblLook w:val="04A0" w:firstRow="1" w:lastRow="0" w:firstColumn="1" w:lastColumn="0" w:noHBand="0" w:noVBand="1"/>
      </w:tblPr>
      <w:tblGrid>
        <w:gridCol w:w="1418"/>
        <w:gridCol w:w="1559"/>
        <w:gridCol w:w="1643"/>
        <w:gridCol w:w="1443"/>
        <w:gridCol w:w="1533"/>
      </w:tblGrid>
      <w:tr w:rsidR="00A25C2F" w:rsidRPr="00A25C2F" w14:paraId="54745B14" w14:textId="77777777" w:rsidTr="004257D5">
        <w:trPr>
          <w:jc w:val="center"/>
        </w:trPr>
        <w:tc>
          <w:tcPr>
            <w:tcW w:w="7596" w:type="dxa"/>
            <w:gridSpan w:val="5"/>
            <w:tcBorders>
              <w:top w:val="nil"/>
              <w:left w:val="nil"/>
              <w:bottom w:val="single" w:sz="4" w:space="0" w:color="auto"/>
              <w:right w:val="nil"/>
            </w:tcBorders>
            <w:vAlign w:val="center"/>
          </w:tcPr>
          <w:p w14:paraId="1B714616" w14:textId="77777777" w:rsidR="00EF184E" w:rsidRDefault="00A25C2F" w:rsidP="00A25C2F">
            <w:pPr>
              <w:jc w:val="center"/>
              <w:rPr>
                <w:rFonts w:eastAsia="Calibri"/>
                <w:b/>
                <w:sz w:val="20"/>
                <w:szCs w:val="18"/>
                <w:lang w:eastAsia="en-US"/>
              </w:rPr>
            </w:pPr>
            <w:r w:rsidRPr="00A25C2F">
              <w:rPr>
                <w:rFonts w:eastAsia="Calibri"/>
                <w:b/>
                <w:sz w:val="20"/>
                <w:szCs w:val="18"/>
                <w:lang w:eastAsia="en-US"/>
              </w:rPr>
              <w:t>APORTACIONES OBLIGATORIAS NECESARIA</w:t>
            </w:r>
            <w:r w:rsidR="00EF184E">
              <w:rPr>
                <w:rFonts w:eastAsia="Calibri"/>
                <w:b/>
                <w:sz w:val="20"/>
                <w:szCs w:val="18"/>
                <w:lang w:eastAsia="en-US"/>
              </w:rPr>
              <w:t>S</w:t>
            </w:r>
            <w:r w:rsidRPr="00A25C2F">
              <w:rPr>
                <w:rFonts w:eastAsia="Calibri"/>
                <w:b/>
                <w:sz w:val="20"/>
                <w:szCs w:val="18"/>
                <w:lang w:eastAsia="en-US"/>
              </w:rPr>
              <w:t xml:space="preserve"> PARA ALCANZAR DIVERSAS TASAS DE REEMPLAZO </w:t>
            </w:r>
          </w:p>
          <w:p w14:paraId="3A04B6E6" w14:textId="639A818C" w:rsidR="00A25C2F" w:rsidRPr="00A25C2F" w:rsidRDefault="00A25C2F" w:rsidP="00A25C2F">
            <w:pPr>
              <w:jc w:val="center"/>
              <w:rPr>
                <w:rFonts w:eastAsia="Calibri"/>
                <w:b/>
                <w:sz w:val="20"/>
                <w:szCs w:val="18"/>
                <w:lang w:eastAsia="en-US"/>
              </w:rPr>
            </w:pPr>
            <w:r w:rsidRPr="00A25C2F">
              <w:rPr>
                <w:rFonts w:eastAsia="Calibri"/>
                <w:b/>
                <w:sz w:val="20"/>
                <w:szCs w:val="18"/>
                <w:lang w:eastAsia="en-US"/>
              </w:rPr>
              <w:t>TASA DE REEMPLAZO DESEADA</w:t>
            </w:r>
          </w:p>
          <w:p w14:paraId="61E97683" w14:textId="77777777" w:rsidR="00A25C2F" w:rsidRPr="00A25C2F" w:rsidRDefault="00A25C2F" w:rsidP="00A25C2F">
            <w:pPr>
              <w:jc w:val="center"/>
              <w:rPr>
                <w:rFonts w:eastAsia="Calibri"/>
                <w:b/>
                <w:sz w:val="20"/>
                <w:szCs w:val="18"/>
                <w:lang w:eastAsia="en-US"/>
              </w:rPr>
            </w:pPr>
            <w:r w:rsidRPr="00A25C2F">
              <w:rPr>
                <w:rFonts w:eastAsia="Calibri"/>
                <w:b/>
                <w:sz w:val="20"/>
                <w:szCs w:val="18"/>
                <w:lang w:eastAsia="en-US"/>
              </w:rPr>
              <w:t>-Porcentajes-</w:t>
            </w:r>
          </w:p>
        </w:tc>
      </w:tr>
      <w:tr w:rsidR="00A25C2F" w:rsidRPr="00A25C2F" w14:paraId="25C7A763" w14:textId="77777777" w:rsidTr="004257D5">
        <w:trPr>
          <w:jc w:val="center"/>
        </w:trPr>
        <w:tc>
          <w:tcPr>
            <w:tcW w:w="1418" w:type="dxa"/>
            <w:tcBorders>
              <w:top w:val="single" w:sz="4" w:space="0" w:color="auto"/>
              <w:left w:val="single" w:sz="4" w:space="0" w:color="auto"/>
              <w:bottom w:val="single" w:sz="4" w:space="0" w:color="auto"/>
              <w:right w:val="single" w:sz="4" w:space="0" w:color="auto"/>
            </w:tcBorders>
            <w:vAlign w:val="center"/>
          </w:tcPr>
          <w:p w14:paraId="0ED6DFCA" w14:textId="77777777" w:rsidR="00A25C2F" w:rsidRPr="00A25C2F" w:rsidRDefault="00A25C2F" w:rsidP="00A25C2F">
            <w:pPr>
              <w:rPr>
                <w:rFonts w:eastAsia="Calibri"/>
                <w:sz w:val="18"/>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645413D5"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40</w:t>
            </w:r>
          </w:p>
        </w:tc>
        <w:tc>
          <w:tcPr>
            <w:tcW w:w="1643" w:type="dxa"/>
            <w:tcBorders>
              <w:top w:val="single" w:sz="4" w:space="0" w:color="auto"/>
              <w:left w:val="single" w:sz="4" w:space="0" w:color="auto"/>
              <w:bottom w:val="single" w:sz="4" w:space="0" w:color="auto"/>
              <w:right w:val="single" w:sz="4" w:space="0" w:color="auto"/>
            </w:tcBorders>
          </w:tcPr>
          <w:p w14:paraId="0889CF37"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50</w:t>
            </w:r>
          </w:p>
        </w:tc>
        <w:tc>
          <w:tcPr>
            <w:tcW w:w="1443" w:type="dxa"/>
            <w:tcBorders>
              <w:top w:val="single" w:sz="4" w:space="0" w:color="auto"/>
              <w:left w:val="single" w:sz="4" w:space="0" w:color="auto"/>
              <w:bottom w:val="single" w:sz="4" w:space="0" w:color="auto"/>
              <w:right w:val="single" w:sz="4" w:space="0" w:color="auto"/>
            </w:tcBorders>
          </w:tcPr>
          <w:p w14:paraId="29DF159F"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60</w:t>
            </w:r>
          </w:p>
        </w:tc>
        <w:tc>
          <w:tcPr>
            <w:tcW w:w="1533" w:type="dxa"/>
            <w:tcBorders>
              <w:top w:val="single" w:sz="4" w:space="0" w:color="auto"/>
              <w:left w:val="single" w:sz="4" w:space="0" w:color="auto"/>
              <w:bottom w:val="single" w:sz="4" w:space="0" w:color="auto"/>
              <w:right w:val="single" w:sz="4" w:space="0" w:color="auto"/>
            </w:tcBorders>
            <w:vAlign w:val="center"/>
          </w:tcPr>
          <w:p w14:paraId="6E4D47C8" w14:textId="77777777" w:rsidR="00A25C2F" w:rsidRPr="00A25C2F" w:rsidRDefault="00A25C2F" w:rsidP="00A25C2F">
            <w:pPr>
              <w:jc w:val="center"/>
              <w:rPr>
                <w:rFonts w:eastAsia="Calibri"/>
                <w:b/>
                <w:sz w:val="18"/>
                <w:szCs w:val="18"/>
                <w:lang w:eastAsia="en-US"/>
              </w:rPr>
            </w:pPr>
            <w:r w:rsidRPr="00A25C2F">
              <w:rPr>
                <w:rFonts w:eastAsia="Calibri"/>
                <w:b/>
                <w:sz w:val="18"/>
                <w:szCs w:val="18"/>
                <w:lang w:eastAsia="en-US"/>
              </w:rPr>
              <w:t>70</w:t>
            </w:r>
          </w:p>
        </w:tc>
      </w:tr>
      <w:tr w:rsidR="00A25C2F" w:rsidRPr="00A25C2F" w14:paraId="58FB5117" w14:textId="77777777" w:rsidTr="004257D5">
        <w:trPr>
          <w:jc w:val="center"/>
        </w:trPr>
        <w:tc>
          <w:tcPr>
            <w:tcW w:w="1418" w:type="dxa"/>
            <w:tcBorders>
              <w:top w:val="single" w:sz="4" w:space="0" w:color="auto"/>
              <w:left w:val="single" w:sz="4" w:space="0" w:color="auto"/>
              <w:bottom w:val="nil"/>
              <w:right w:val="single" w:sz="4" w:space="0" w:color="auto"/>
            </w:tcBorders>
            <w:vAlign w:val="center"/>
          </w:tcPr>
          <w:p w14:paraId="776D51CF"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2</w:t>
            </w:r>
          </w:p>
        </w:tc>
        <w:tc>
          <w:tcPr>
            <w:tcW w:w="1559" w:type="dxa"/>
            <w:tcBorders>
              <w:top w:val="single" w:sz="4" w:space="0" w:color="auto"/>
              <w:left w:val="single" w:sz="4" w:space="0" w:color="auto"/>
              <w:bottom w:val="nil"/>
              <w:right w:val="single" w:sz="4" w:space="0" w:color="auto"/>
            </w:tcBorders>
          </w:tcPr>
          <w:p w14:paraId="37E87207"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13.8</w:t>
            </w:r>
          </w:p>
        </w:tc>
        <w:tc>
          <w:tcPr>
            <w:tcW w:w="1643" w:type="dxa"/>
            <w:tcBorders>
              <w:top w:val="single" w:sz="4" w:space="0" w:color="auto"/>
              <w:left w:val="single" w:sz="4" w:space="0" w:color="auto"/>
              <w:bottom w:val="nil"/>
              <w:right w:val="single" w:sz="4" w:space="0" w:color="auto"/>
            </w:tcBorders>
          </w:tcPr>
          <w:p w14:paraId="6B6B4BE2"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17.6</w:t>
            </w:r>
          </w:p>
        </w:tc>
        <w:tc>
          <w:tcPr>
            <w:tcW w:w="1443" w:type="dxa"/>
            <w:tcBorders>
              <w:top w:val="single" w:sz="4" w:space="0" w:color="auto"/>
              <w:left w:val="single" w:sz="4" w:space="0" w:color="auto"/>
              <w:bottom w:val="nil"/>
              <w:right w:val="single" w:sz="4" w:space="0" w:color="auto"/>
            </w:tcBorders>
          </w:tcPr>
          <w:p w14:paraId="0E4B1909"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21.5</w:t>
            </w:r>
          </w:p>
        </w:tc>
        <w:tc>
          <w:tcPr>
            <w:tcW w:w="1533" w:type="dxa"/>
            <w:tcBorders>
              <w:top w:val="single" w:sz="4" w:space="0" w:color="auto"/>
              <w:left w:val="single" w:sz="4" w:space="0" w:color="auto"/>
              <w:bottom w:val="nil"/>
              <w:right w:val="single" w:sz="4" w:space="0" w:color="auto"/>
            </w:tcBorders>
            <w:vAlign w:val="center"/>
          </w:tcPr>
          <w:p w14:paraId="720C3287"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25.4</w:t>
            </w:r>
          </w:p>
        </w:tc>
      </w:tr>
      <w:tr w:rsidR="00A25C2F" w:rsidRPr="00A25C2F" w14:paraId="285CB7AA" w14:textId="77777777" w:rsidTr="00A25C2F">
        <w:trPr>
          <w:jc w:val="center"/>
        </w:trPr>
        <w:tc>
          <w:tcPr>
            <w:tcW w:w="1418" w:type="dxa"/>
            <w:tcBorders>
              <w:top w:val="nil"/>
              <w:left w:val="single" w:sz="4" w:space="0" w:color="auto"/>
              <w:bottom w:val="nil"/>
              <w:right w:val="single" w:sz="4" w:space="0" w:color="auto"/>
            </w:tcBorders>
            <w:vAlign w:val="center"/>
          </w:tcPr>
          <w:p w14:paraId="3C62B67F"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3</w:t>
            </w:r>
          </w:p>
        </w:tc>
        <w:tc>
          <w:tcPr>
            <w:tcW w:w="1559" w:type="dxa"/>
            <w:tcBorders>
              <w:top w:val="nil"/>
              <w:left w:val="single" w:sz="4" w:space="0" w:color="auto"/>
              <w:bottom w:val="nil"/>
              <w:right w:val="single" w:sz="4" w:space="0" w:color="auto"/>
            </w:tcBorders>
          </w:tcPr>
          <w:p w14:paraId="3200097E"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10.7</w:t>
            </w:r>
          </w:p>
        </w:tc>
        <w:tc>
          <w:tcPr>
            <w:tcW w:w="1643" w:type="dxa"/>
            <w:tcBorders>
              <w:top w:val="nil"/>
              <w:left w:val="single" w:sz="4" w:space="0" w:color="auto"/>
              <w:bottom w:val="nil"/>
              <w:right w:val="single" w:sz="4" w:space="0" w:color="auto"/>
            </w:tcBorders>
          </w:tcPr>
          <w:p w14:paraId="4678FB11" w14:textId="7A10E7B7" w:rsidR="00A25C2F" w:rsidRPr="00A25C2F" w:rsidRDefault="00A25C2F" w:rsidP="00A25C2F">
            <w:pPr>
              <w:jc w:val="center"/>
              <w:rPr>
                <w:rFonts w:eastAsia="Calibri"/>
                <w:sz w:val="18"/>
                <w:szCs w:val="18"/>
                <w:lang w:eastAsia="en-US"/>
              </w:rPr>
            </w:pPr>
            <w:r w:rsidRPr="00A25C2F">
              <w:rPr>
                <w:rFonts w:eastAsia="Calibri"/>
                <w:sz w:val="18"/>
                <w:szCs w:val="18"/>
                <w:lang w:eastAsia="en-US"/>
              </w:rPr>
              <w:t>13</w:t>
            </w:r>
            <w:r w:rsidR="00432922">
              <w:rPr>
                <w:rFonts w:eastAsia="Calibri"/>
                <w:sz w:val="18"/>
                <w:szCs w:val="18"/>
                <w:lang w:eastAsia="en-US"/>
              </w:rPr>
              <w:t>.</w:t>
            </w:r>
            <w:r w:rsidRPr="00A25C2F">
              <w:rPr>
                <w:rFonts w:eastAsia="Calibri"/>
                <w:sz w:val="18"/>
                <w:szCs w:val="18"/>
                <w:lang w:eastAsia="en-US"/>
              </w:rPr>
              <w:t>7</w:t>
            </w:r>
          </w:p>
        </w:tc>
        <w:tc>
          <w:tcPr>
            <w:tcW w:w="1443" w:type="dxa"/>
            <w:tcBorders>
              <w:top w:val="nil"/>
              <w:left w:val="single" w:sz="4" w:space="0" w:color="auto"/>
              <w:bottom w:val="nil"/>
              <w:right w:val="single" w:sz="4" w:space="0" w:color="auto"/>
            </w:tcBorders>
          </w:tcPr>
          <w:p w14:paraId="2A44A247"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16.8</w:t>
            </w:r>
          </w:p>
        </w:tc>
        <w:tc>
          <w:tcPr>
            <w:tcW w:w="1533" w:type="dxa"/>
            <w:tcBorders>
              <w:top w:val="nil"/>
              <w:left w:val="single" w:sz="4" w:space="0" w:color="auto"/>
              <w:bottom w:val="nil"/>
              <w:right w:val="single" w:sz="4" w:space="0" w:color="auto"/>
            </w:tcBorders>
            <w:vAlign w:val="center"/>
          </w:tcPr>
          <w:p w14:paraId="2612553C"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19.9</w:t>
            </w:r>
          </w:p>
        </w:tc>
      </w:tr>
      <w:tr w:rsidR="00A25C2F" w:rsidRPr="00A25C2F" w14:paraId="0386BE29" w14:textId="77777777" w:rsidTr="00A25C2F">
        <w:trPr>
          <w:jc w:val="center"/>
        </w:trPr>
        <w:tc>
          <w:tcPr>
            <w:tcW w:w="1418" w:type="dxa"/>
            <w:tcBorders>
              <w:top w:val="nil"/>
              <w:left w:val="single" w:sz="4" w:space="0" w:color="auto"/>
              <w:bottom w:val="nil"/>
              <w:right w:val="single" w:sz="4" w:space="0" w:color="auto"/>
            </w:tcBorders>
            <w:vAlign w:val="center"/>
          </w:tcPr>
          <w:p w14:paraId="07FEB892"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4</w:t>
            </w:r>
          </w:p>
        </w:tc>
        <w:tc>
          <w:tcPr>
            <w:tcW w:w="1559" w:type="dxa"/>
            <w:tcBorders>
              <w:top w:val="nil"/>
              <w:left w:val="single" w:sz="4" w:space="0" w:color="auto"/>
              <w:bottom w:val="nil"/>
              <w:right w:val="single" w:sz="4" w:space="0" w:color="auto"/>
            </w:tcBorders>
          </w:tcPr>
          <w:p w14:paraId="51FB7B46"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8.1</w:t>
            </w:r>
          </w:p>
        </w:tc>
        <w:tc>
          <w:tcPr>
            <w:tcW w:w="1643" w:type="dxa"/>
            <w:tcBorders>
              <w:top w:val="nil"/>
              <w:left w:val="single" w:sz="4" w:space="0" w:color="auto"/>
              <w:bottom w:val="nil"/>
              <w:right w:val="single" w:sz="4" w:space="0" w:color="auto"/>
            </w:tcBorders>
          </w:tcPr>
          <w:p w14:paraId="37B51C26"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10.5</w:t>
            </w:r>
          </w:p>
        </w:tc>
        <w:tc>
          <w:tcPr>
            <w:tcW w:w="1443" w:type="dxa"/>
            <w:tcBorders>
              <w:top w:val="nil"/>
              <w:left w:val="single" w:sz="4" w:space="0" w:color="auto"/>
              <w:bottom w:val="nil"/>
              <w:right w:val="single" w:sz="4" w:space="0" w:color="auto"/>
            </w:tcBorders>
          </w:tcPr>
          <w:p w14:paraId="3A05B0FA"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13.0</w:t>
            </w:r>
          </w:p>
        </w:tc>
        <w:tc>
          <w:tcPr>
            <w:tcW w:w="1533" w:type="dxa"/>
            <w:tcBorders>
              <w:top w:val="nil"/>
              <w:left w:val="single" w:sz="4" w:space="0" w:color="auto"/>
              <w:bottom w:val="nil"/>
              <w:right w:val="single" w:sz="4" w:space="0" w:color="auto"/>
            </w:tcBorders>
            <w:vAlign w:val="center"/>
          </w:tcPr>
          <w:p w14:paraId="07633221"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15.4</w:t>
            </w:r>
          </w:p>
        </w:tc>
      </w:tr>
      <w:tr w:rsidR="00A25C2F" w:rsidRPr="00A25C2F" w14:paraId="19A79731" w14:textId="77777777" w:rsidTr="00A25C2F">
        <w:trPr>
          <w:jc w:val="center"/>
        </w:trPr>
        <w:tc>
          <w:tcPr>
            <w:tcW w:w="1418" w:type="dxa"/>
            <w:tcBorders>
              <w:top w:val="nil"/>
              <w:left w:val="single" w:sz="4" w:space="0" w:color="auto"/>
              <w:bottom w:val="single" w:sz="4" w:space="0" w:color="auto"/>
              <w:right w:val="single" w:sz="4" w:space="0" w:color="auto"/>
            </w:tcBorders>
            <w:vAlign w:val="center"/>
          </w:tcPr>
          <w:p w14:paraId="6339D7C6"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5</w:t>
            </w:r>
          </w:p>
        </w:tc>
        <w:tc>
          <w:tcPr>
            <w:tcW w:w="1559" w:type="dxa"/>
            <w:tcBorders>
              <w:top w:val="nil"/>
              <w:left w:val="single" w:sz="4" w:space="0" w:color="auto"/>
              <w:bottom w:val="single" w:sz="4" w:space="0" w:color="auto"/>
              <w:right w:val="single" w:sz="4" w:space="0" w:color="auto"/>
            </w:tcBorders>
          </w:tcPr>
          <w:p w14:paraId="3D17BF91"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6.0</w:t>
            </w:r>
          </w:p>
        </w:tc>
        <w:tc>
          <w:tcPr>
            <w:tcW w:w="1643" w:type="dxa"/>
            <w:tcBorders>
              <w:top w:val="nil"/>
              <w:left w:val="single" w:sz="4" w:space="0" w:color="auto"/>
              <w:bottom w:val="single" w:sz="4" w:space="0" w:color="auto"/>
              <w:right w:val="single" w:sz="4" w:space="0" w:color="auto"/>
            </w:tcBorders>
          </w:tcPr>
          <w:p w14:paraId="531CE216"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7.9</w:t>
            </w:r>
          </w:p>
        </w:tc>
        <w:tc>
          <w:tcPr>
            <w:tcW w:w="1443" w:type="dxa"/>
            <w:tcBorders>
              <w:top w:val="nil"/>
              <w:left w:val="single" w:sz="4" w:space="0" w:color="auto"/>
              <w:bottom w:val="single" w:sz="4" w:space="0" w:color="auto"/>
              <w:right w:val="single" w:sz="4" w:space="0" w:color="auto"/>
            </w:tcBorders>
          </w:tcPr>
          <w:p w14:paraId="161A399D"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9.8</w:t>
            </w:r>
          </w:p>
        </w:tc>
        <w:tc>
          <w:tcPr>
            <w:tcW w:w="1533" w:type="dxa"/>
            <w:tcBorders>
              <w:top w:val="nil"/>
              <w:left w:val="single" w:sz="4" w:space="0" w:color="auto"/>
              <w:bottom w:val="single" w:sz="4" w:space="0" w:color="auto"/>
              <w:right w:val="single" w:sz="4" w:space="0" w:color="auto"/>
            </w:tcBorders>
            <w:vAlign w:val="center"/>
          </w:tcPr>
          <w:p w14:paraId="07210ACA" w14:textId="77777777" w:rsidR="00A25C2F" w:rsidRPr="00A25C2F" w:rsidRDefault="00A25C2F" w:rsidP="00A25C2F">
            <w:pPr>
              <w:jc w:val="center"/>
              <w:rPr>
                <w:rFonts w:eastAsia="Calibri"/>
                <w:sz w:val="18"/>
                <w:szCs w:val="18"/>
                <w:lang w:eastAsia="en-US"/>
              </w:rPr>
            </w:pPr>
            <w:r w:rsidRPr="00A25C2F">
              <w:rPr>
                <w:rFonts w:eastAsia="Calibri"/>
                <w:sz w:val="18"/>
                <w:szCs w:val="18"/>
                <w:lang w:eastAsia="en-US"/>
              </w:rPr>
              <w:t>11.7</w:t>
            </w:r>
          </w:p>
        </w:tc>
      </w:tr>
      <w:tr w:rsidR="00A25C2F" w:rsidRPr="00A25C2F" w14:paraId="262F074E" w14:textId="77777777" w:rsidTr="00B9606F">
        <w:trPr>
          <w:jc w:val="center"/>
        </w:trPr>
        <w:tc>
          <w:tcPr>
            <w:tcW w:w="7596" w:type="dxa"/>
            <w:gridSpan w:val="5"/>
            <w:tcBorders>
              <w:top w:val="single" w:sz="4" w:space="0" w:color="auto"/>
              <w:left w:val="nil"/>
              <w:bottom w:val="nil"/>
              <w:right w:val="nil"/>
            </w:tcBorders>
            <w:vAlign w:val="center"/>
          </w:tcPr>
          <w:p w14:paraId="4D5FE1EE" w14:textId="77777777" w:rsidR="00A25C2F" w:rsidRPr="004257D5" w:rsidRDefault="00A25C2F" w:rsidP="00A25C2F">
            <w:pPr>
              <w:jc w:val="both"/>
              <w:rPr>
                <w:rFonts w:eastAsia="Calibri"/>
                <w:sz w:val="18"/>
                <w:szCs w:val="18"/>
                <w:lang w:eastAsia="en-US"/>
              </w:rPr>
            </w:pPr>
            <w:r w:rsidRPr="004257D5">
              <w:rPr>
                <w:rFonts w:eastAsia="Calibri"/>
                <w:sz w:val="18"/>
                <w:szCs w:val="18"/>
                <w:lang w:eastAsia="en-US"/>
              </w:rPr>
              <w:t>Supuesto del ejercicio: carrera salarial plana de 40 años, edad inicial de cotización a los 25 años. Edad de retiro 65 años, salario mensual 8 mil 412 pesos (4 salarios mínimos vigentes en la zona A), saldo inicial de cero pesos, densidad de cotización de 80%, los rendimientos del ejercicio son netos de comisión, género masculino, cuota social vigente a marzo de 2015, Unidad de Rentas Vitalicias (URV) vigente al 9 de marzo de 2015. Las aportaciones obtenidas se estiman con base en una pensión que corresponde al primer pago por retiro programado para un trabajador sin beneficiarios.</w:t>
            </w:r>
          </w:p>
          <w:p w14:paraId="726B4AF7" w14:textId="77777777" w:rsidR="00A25C2F" w:rsidRPr="004257D5" w:rsidRDefault="00A25C2F" w:rsidP="00A25C2F">
            <w:pPr>
              <w:ind w:left="510" w:hanging="510"/>
              <w:jc w:val="both"/>
              <w:rPr>
                <w:rFonts w:eastAsia="Calibri"/>
                <w:sz w:val="18"/>
                <w:szCs w:val="18"/>
                <w:lang w:eastAsia="en-US"/>
              </w:rPr>
            </w:pPr>
            <w:r w:rsidRPr="004257D5">
              <w:rPr>
                <w:rFonts w:eastAsia="Calibri"/>
                <w:sz w:val="18"/>
                <w:szCs w:val="18"/>
                <w:lang w:eastAsia="en-US"/>
              </w:rPr>
              <w:t>Nota: Los porcentajes de portación reportados, corresponden únicamente a la aportación obligatoria adicional a la cuota social.</w:t>
            </w:r>
          </w:p>
          <w:p w14:paraId="1927C7F7" w14:textId="77777777" w:rsidR="00A25C2F" w:rsidRPr="004257D5" w:rsidRDefault="00A25C2F" w:rsidP="00A25C2F">
            <w:pPr>
              <w:jc w:val="both"/>
              <w:rPr>
                <w:rFonts w:eastAsia="Calibri"/>
                <w:sz w:val="18"/>
                <w:szCs w:val="18"/>
                <w:lang w:eastAsia="en-US"/>
              </w:rPr>
            </w:pPr>
            <w:r w:rsidRPr="004257D5">
              <w:rPr>
                <w:rFonts w:eastAsia="Calibri"/>
                <w:sz w:val="18"/>
                <w:szCs w:val="18"/>
                <w:lang w:eastAsia="en-US"/>
              </w:rPr>
              <w:t>FUENTE: Forbes México.</w:t>
            </w:r>
          </w:p>
        </w:tc>
      </w:tr>
    </w:tbl>
    <w:p w14:paraId="7537F421" w14:textId="77777777" w:rsidR="00A25C2F" w:rsidRPr="00A25C2F" w:rsidRDefault="00A25C2F" w:rsidP="00A25C2F">
      <w:pPr>
        <w:spacing w:after="360" w:line="360" w:lineRule="auto"/>
        <w:ind w:right="-159"/>
        <w:jc w:val="both"/>
        <w:rPr>
          <w:rFonts w:eastAsia="Calibri"/>
          <w:sz w:val="26"/>
          <w:szCs w:val="26"/>
          <w:lang w:val="es-ES" w:eastAsia="en-US"/>
        </w:rPr>
      </w:pPr>
    </w:p>
    <w:p w14:paraId="7E9D8A0C" w14:textId="77777777" w:rsidR="00A25C2F" w:rsidRPr="00A25C2F" w:rsidRDefault="00A25C2F" w:rsidP="00A25C2F">
      <w:pPr>
        <w:ind w:right="-159"/>
        <w:jc w:val="both"/>
        <w:rPr>
          <w:rFonts w:eastAsia="Calibri"/>
          <w:b/>
          <w:sz w:val="20"/>
          <w:szCs w:val="20"/>
          <w:lang w:eastAsia="en-US"/>
        </w:rPr>
      </w:pPr>
      <w:r w:rsidRPr="00A25C2F">
        <w:rPr>
          <w:rFonts w:eastAsia="Calibri"/>
          <w:b/>
          <w:sz w:val="20"/>
          <w:szCs w:val="20"/>
          <w:lang w:eastAsia="en-US"/>
        </w:rPr>
        <w:t>Fuente de información:</w:t>
      </w:r>
    </w:p>
    <w:p w14:paraId="7CC5FC7F" w14:textId="77777777" w:rsidR="00A25C2F" w:rsidRPr="00EF184E" w:rsidRDefault="0045651A" w:rsidP="00A25C2F">
      <w:pPr>
        <w:ind w:right="-159"/>
        <w:jc w:val="both"/>
        <w:rPr>
          <w:rFonts w:eastAsia="Calibri"/>
          <w:b/>
          <w:color w:val="0000FF"/>
          <w:sz w:val="20"/>
          <w:szCs w:val="20"/>
          <w:lang w:val="es-ES" w:eastAsia="en-US"/>
        </w:rPr>
      </w:pPr>
      <w:hyperlink r:id="rId374" w:history="1">
        <w:r w:rsidR="00A25C2F" w:rsidRPr="00EF184E">
          <w:rPr>
            <w:rFonts w:eastAsia="Calibri"/>
            <w:color w:val="0000FF"/>
            <w:sz w:val="20"/>
            <w:szCs w:val="20"/>
            <w:u w:val="single"/>
            <w:lang w:val="es-ES" w:eastAsia="en-US"/>
          </w:rPr>
          <w:t>http://www.forbes.com.mx/cuanto-dinero-debo-ahorrar-para-alcanzar-una-buena-pension-i/</w:t>
        </w:r>
      </w:hyperlink>
    </w:p>
    <w:p w14:paraId="491542A0"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lastRenderedPageBreak/>
        <w:t>Consideraciones sobre la seguridad social en el siglo XXI (Consar)</w:t>
      </w:r>
    </w:p>
    <w:p w14:paraId="4FA9D0BC" w14:textId="77777777" w:rsidR="003A1C38" w:rsidRPr="003A1C38" w:rsidRDefault="003A1C38" w:rsidP="003A1C38">
      <w:pPr>
        <w:spacing w:after="360" w:line="360" w:lineRule="auto"/>
        <w:ind w:right="-159"/>
        <w:jc w:val="both"/>
        <w:rPr>
          <w:rFonts w:eastAsia="Calibri"/>
          <w:sz w:val="26"/>
          <w:szCs w:val="26"/>
          <w:lang w:eastAsia="en-US"/>
        </w:rPr>
      </w:pPr>
      <w:r w:rsidRPr="003A1C38">
        <w:rPr>
          <w:rFonts w:eastAsia="Calibri"/>
          <w:sz w:val="26"/>
          <w:szCs w:val="26"/>
          <w:lang w:eastAsia="en-US"/>
        </w:rPr>
        <w:t>El 15 de abril de 2015, la Comisión Nacional del Sistema de Ahorro para el Retiro (Consar) dio a conocer el documento “Consideraciones sobre la seguridad social en el siglo XXI”. A continuación se presenta el contenido.</w:t>
      </w:r>
    </w:p>
    <w:p w14:paraId="40B9A99E"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I. Introducción</w:t>
      </w:r>
    </w:p>
    <w:p w14:paraId="2DACECC3"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Demografía: Envejecimiento poblacional global sin precedentes</w:t>
      </w:r>
    </w:p>
    <w:p w14:paraId="5E03D0ED" w14:textId="77777777" w:rsidR="003A1C38" w:rsidRPr="003A1C38" w:rsidRDefault="003A1C38" w:rsidP="003A1C38">
      <w:pPr>
        <w:spacing w:after="360" w:line="360" w:lineRule="auto"/>
        <w:ind w:right="-159"/>
        <w:jc w:val="center"/>
        <w:rPr>
          <w:rFonts w:eastAsia="Calibri"/>
          <w:sz w:val="26"/>
          <w:szCs w:val="26"/>
          <w:lang w:eastAsia="en-US"/>
        </w:rPr>
      </w:pPr>
      <w:r w:rsidRPr="003A1C38">
        <w:rPr>
          <w:rFonts w:ascii="Calibri" w:eastAsia="Calibri" w:hAnsi="Calibri"/>
          <w:sz w:val="22"/>
          <w:szCs w:val="22"/>
          <w:lang w:eastAsia="en-US"/>
        </w:rPr>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CONSAR.pptx!273"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079077AB" wp14:editId="4C4B8335">
            <wp:extent cx="4759015" cy="3342502"/>
            <wp:effectExtent l="0" t="0" r="3810" b="0"/>
            <wp:docPr id="1880" name="Imagen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375" cstate="print">
                      <a:extLst>
                        <a:ext uri="{28A0092B-C50C-407E-A947-70E740481C1C}">
                          <a14:useLocalDpi xmlns:a14="http://schemas.microsoft.com/office/drawing/2010/main" val="0"/>
                        </a:ext>
                      </a:extLst>
                    </a:blip>
                    <a:srcRect l="7098" t="10556" r="8351" b="10278"/>
                    <a:stretch>
                      <a:fillRect/>
                    </a:stretch>
                  </pic:blipFill>
                  <pic:spPr bwMode="auto">
                    <a:xfrm>
                      <a:off x="0" y="0"/>
                      <a:ext cx="4762666" cy="3345066"/>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p w14:paraId="5372F701" w14:textId="77777777" w:rsidR="003A1C38" w:rsidRPr="003A1C38" w:rsidRDefault="003A1C38" w:rsidP="003A1C38">
      <w:pPr>
        <w:spacing w:after="360" w:line="360" w:lineRule="auto"/>
        <w:ind w:right="-159"/>
        <w:jc w:val="both"/>
        <w:rPr>
          <w:rFonts w:eastAsia="Calibri"/>
          <w:sz w:val="26"/>
          <w:szCs w:val="26"/>
          <w:lang w:eastAsia="en-US"/>
        </w:rPr>
      </w:pPr>
    </w:p>
    <w:p w14:paraId="7C7AB235" w14:textId="77777777" w:rsidR="003A1C38" w:rsidRPr="003A1C38" w:rsidRDefault="003A1C38" w:rsidP="003A1C38">
      <w:pPr>
        <w:spacing w:after="360" w:line="360" w:lineRule="auto"/>
        <w:ind w:right="-159"/>
        <w:jc w:val="center"/>
        <w:rPr>
          <w:rFonts w:eastAsia="Calibri"/>
          <w:sz w:val="26"/>
          <w:szCs w:val="26"/>
          <w:lang w:eastAsia="en-US"/>
        </w:rPr>
      </w:pPr>
      <w:r w:rsidRPr="003A1C38">
        <w:rPr>
          <w:rFonts w:ascii="Calibri" w:eastAsia="Calibri" w:hAnsi="Calibri"/>
          <w:sz w:val="22"/>
          <w:szCs w:val="22"/>
          <w:lang w:eastAsia="en-US"/>
        </w:rPr>
        <w:lastRenderedPageBreak/>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CONSAR.pptx!259"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07F568EA" wp14:editId="6CC6989F">
            <wp:extent cx="4559935" cy="3144520"/>
            <wp:effectExtent l="0" t="0" r="0" b="0"/>
            <wp:docPr id="1881" name="Imagen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376" cstate="print">
                      <a:extLst>
                        <a:ext uri="{28A0092B-C50C-407E-A947-70E740481C1C}">
                          <a14:useLocalDpi xmlns:a14="http://schemas.microsoft.com/office/drawing/2010/main" val="0"/>
                        </a:ext>
                      </a:extLst>
                    </a:blip>
                    <a:srcRect t="8333"/>
                    <a:stretch>
                      <a:fillRect/>
                    </a:stretch>
                  </pic:blipFill>
                  <pic:spPr bwMode="auto">
                    <a:xfrm>
                      <a:off x="0" y="0"/>
                      <a:ext cx="4559935" cy="3144520"/>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p w14:paraId="0A139B16" w14:textId="77777777" w:rsidR="003A1C38" w:rsidRPr="003A1C38" w:rsidRDefault="003A1C38" w:rsidP="003518F4">
      <w:pPr>
        <w:numPr>
          <w:ilvl w:val="0"/>
          <w:numId w:val="165"/>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fenómeno inédito de envejecimiento poblacional en todo el mundo implica retos importantes para la economía en su conjunto y, en particular, para los sistemas pensionarios.</w:t>
      </w:r>
    </w:p>
    <w:p w14:paraId="2D3149F9" w14:textId="77777777" w:rsidR="003A1C38" w:rsidRPr="003A1C38" w:rsidRDefault="003A1C38" w:rsidP="003518F4">
      <w:pPr>
        <w:numPr>
          <w:ilvl w:val="0"/>
          <w:numId w:val="165"/>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Resulta crítico para cada país adaptarse a esta realidad.</w:t>
      </w:r>
    </w:p>
    <w:p w14:paraId="56EFAB06" w14:textId="77777777" w:rsidR="003A1C38" w:rsidRPr="003A1C38" w:rsidRDefault="003A1C38" w:rsidP="003518F4">
      <w:pPr>
        <w:numPr>
          <w:ilvl w:val="0"/>
          <w:numId w:val="165"/>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Una forma ordenada de entender los retos que conlleva el fenómeno del envejecimiento poblacional es observar al sistema de pensiones de cada país bajo la óptica del “modelo de pilares” o sistema multi-pilar.</w:t>
      </w:r>
    </w:p>
    <w:p w14:paraId="4380EFA7" w14:textId="77777777" w:rsidR="003A1C38" w:rsidRPr="003A1C38" w:rsidRDefault="003A1C38" w:rsidP="003518F4">
      <w:pPr>
        <w:numPr>
          <w:ilvl w:val="0"/>
          <w:numId w:val="165"/>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modelo multi-pilar se resume en la siguiente lámina:</w:t>
      </w:r>
    </w:p>
    <w:p w14:paraId="4476B7C7" w14:textId="77777777" w:rsidR="003A1C38" w:rsidRPr="003A1C38" w:rsidRDefault="003A1C38" w:rsidP="003A1C38">
      <w:pPr>
        <w:spacing w:after="360" w:line="360" w:lineRule="auto"/>
        <w:ind w:right="-159"/>
        <w:jc w:val="both"/>
        <w:rPr>
          <w:rFonts w:eastAsia="Calibri"/>
          <w:b/>
          <w:sz w:val="26"/>
          <w:szCs w:val="26"/>
          <w:lang w:eastAsia="en-US"/>
        </w:rPr>
      </w:pPr>
    </w:p>
    <w:p w14:paraId="19752C88" w14:textId="77777777" w:rsidR="003A1C38" w:rsidRPr="003A1C38" w:rsidRDefault="003A1C38" w:rsidP="003A1C38">
      <w:pPr>
        <w:spacing w:after="360" w:line="360" w:lineRule="auto"/>
        <w:ind w:right="-159"/>
        <w:jc w:val="both"/>
        <w:rPr>
          <w:rFonts w:eastAsia="Calibri"/>
          <w:b/>
          <w:sz w:val="26"/>
          <w:szCs w:val="26"/>
          <w:lang w:eastAsia="en-US"/>
        </w:rPr>
      </w:pPr>
    </w:p>
    <w:p w14:paraId="3F3A0BB6" w14:textId="77777777" w:rsidR="003A1C38" w:rsidRPr="003A1C38" w:rsidRDefault="003A1C38" w:rsidP="003A1C38">
      <w:pPr>
        <w:spacing w:after="360" w:line="360" w:lineRule="auto"/>
        <w:ind w:right="-159"/>
        <w:jc w:val="both"/>
        <w:rPr>
          <w:rFonts w:eastAsia="Calibri"/>
          <w:b/>
          <w:sz w:val="26"/>
          <w:szCs w:val="26"/>
          <w:lang w:eastAsia="en-US"/>
        </w:rPr>
      </w:pPr>
    </w:p>
    <w:p w14:paraId="30E028B3"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lastRenderedPageBreak/>
        <w:t>Esquema de Pilares: México</w:t>
      </w:r>
    </w:p>
    <w:p w14:paraId="22861DDE" w14:textId="77777777" w:rsidR="003A1C38" w:rsidRPr="003A1C38" w:rsidRDefault="003A1C38" w:rsidP="003A1C38">
      <w:pPr>
        <w:spacing w:after="360" w:line="360" w:lineRule="auto"/>
        <w:ind w:right="-159"/>
        <w:jc w:val="center"/>
        <w:rPr>
          <w:rFonts w:eastAsia="Calibri"/>
          <w:sz w:val="26"/>
          <w:szCs w:val="26"/>
          <w:lang w:eastAsia="en-US"/>
        </w:rPr>
      </w:pPr>
      <w:r w:rsidRPr="003A1C38">
        <w:rPr>
          <w:rFonts w:ascii="Calibri" w:eastAsia="Calibri" w:hAnsi="Calibri"/>
          <w:sz w:val="22"/>
          <w:szCs w:val="22"/>
          <w:lang w:eastAsia="en-US"/>
        </w:rPr>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CONSAR.pptx!261"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19D9EDC5" wp14:editId="58836885">
            <wp:extent cx="4559935" cy="3237230"/>
            <wp:effectExtent l="0" t="0" r="0" b="1270"/>
            <wp:docPr id="1882" name="Imagen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377" cstate="print">
                      <a:extLst>
                        <a:ext uri="{28A0092B-C50C-407E-A947-70E740481C1C}">
                          <a14:useLocalDpi xmlns:a14="http://schemas.microsoft.com/office/drawing/2010/main" val="0"/>
                        </a:ext>
                      </a:extLst>
                    </a:blip>
                    <a:srcRect b="5556"/>
                    <a:stretch>
                      <a:fillRect/>
                    </a:stretch>
                  </pic:blipFill>
                  <pic:spPr bwMode="auto">
                    <a:xfrm>
                      <a:off x="0" y="0"/>
                      <a:ext cx="4559935" cy="3237230"/>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p w14:paraId="0E348207"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II. México: Retos para el Modelo de Pilares</w:t>
      </w:r>
    </w:p>
    <w:p w14:paraId="0F6CF8C0"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Pilar Cero: La cobertura pensionaria es baja</w:t>
      </w:r>
    </w:p>
    <w:p w14:paraId="628F85AF" w14:textId="77777777" w:rsidR="003A1C38" w:rsidRPr="003A1C38" w:rsidRDefault="003A1C38" w:rsidP="003518F4">
      <w:pPr>
        <w:numPr>
          <w:ilvl w:val="0"/>
          <w:numId w:val="166"/>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Seis de cada 10 trabajadores de la población ocupada no están cubiertos por la seguridad social.</w:t>
      </w:r>
    </w:p>
    <w:p w14:paraId="370883A9" w14:textId="77777777" w:rsidR="003A1C38" w:rsidRPr="003A1C38" w:rsidRDefault="003A1C38" w:rsidP="003518F4">
      <w:pPr>
        <w:numPr>
          <w:ilvl w:val="0"/>
          <w:numId w:val="166"/>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De acuerdo con el Banco Interamericano de Desarrollo (BID) para el adecuado funcionamiento de un “Pilar Cero” se deben atender las siguientes recomendaciones:</w:t>
      </w:r>
    </w:p>
    <w:p w14:paraId="5CAFB240" w14:textId="77777777" w:rsidR="003A1C38" w:rsidRPr="003A1C38" w:rsidRDefault="003A1C38" w:rsidP="003518F4">
      <w:pPr>
        <w:numPr>
          <w:ilvl w:val="0"/>
          <w:numId w:val="167"/>
        </w:numPr>
        <w:spacing w:after="360" w:line="360" w:lineRule="auto"/>
        <w:ind w:left="1071" w:right="-159" w:hanging="357"/>
        <w:jc w:val="both"/>
        <w:rPr>
          <w:rFonts w:eastAsia="Calibri"/>
          <w:sz w:val="26"/>
          <w:szCs w:val="26"/>
          <w:lang w:eastAsia="en-US"/>
        </w:rPr>
      </w:pPr>
      <w:r w:rsidRPr="003A1C38">
        <w:rPr>
          <w:rFonts w:eastAsia="Calibri"/>
          <w:sz w:val="26"/>
          <w:szCs w:val="26"/>
          <w:lang w:eastAsia="en-US"/>
        </w:rPr>
        <w:t>Garantizar que todo adulto mayor, independientemente de su estatus laboral, reciba un nivel de ingreso en la vejez.</w:t>
      </w:r>
    </w:p>
    <w:p w14:paraId="5B562281" w14:textId="77777777" w:rsidR="003A1C38" w:rsidRPr="003A1C38" w:rsidRDefault="003A1C38" w:rsidP="003518F4">
      <w:pPr>
        <w:numPr>
          <w:ilvl w:val="0"/>
          <w:numId w:val="167"/>
        </w:numPr>
        <w:spacing w:after="360" w:line="360" w:lineRule="auto"/>
        <w:ind w:left="1071" w:right="-159" w:hanging="357"/>
        <w:jc w:val="both"/>
        <w:rPr>
          <w:rFonts w:eastAsia="Calibri"/>
          <w:sz w:val="26"/>
          <w:szCs w:val="26"/>
          <w:lang w:eastAsia="en-US"/>
        </w:rPr>
      </w:pPr>
      <w:r w:rsidRPr="003A1C38">
        <w:rPr>
          <w:rFonts w:eastAsia="Calibri"/>
          <w:sz w:val="26"/>
          <w:szCs w:val="26"/>
          <w:lang w:eastAsia="en-US"/>
        </w:rPr>
        <w:lastRenderedPageBreak/>
        <w:t>Asegurar un monto de beneficio básico para satisfacer ciertas necesidades mínimas del adulto mayor, pero no demasiado elevado como para desincentivar el empleo formal.</w:t>
      </w:r>
    </w:p>
    <w:p w14:paraId="1276A63A" w14:textId="77777777" w:rsidR="003A1C38" w:rsidRPr="003A1C38" w:rsidRDefault="003A1C38" w:rsidP="003518F4">
      <w:pPr>
        <w:numPr>
          <w:ilvl w:val="0"/>
          <w:numId w:val="167"/>
        </w:numPr>
        <w:spacing w:after="360" w:line="360" w:lineRule="auto"/>
        <w:ind w:left="1071" w:right="-159" w:hanging="357"/>
        <w:jc w:val="both"/>
        <w:rPr>
          <w:rFonts w:eastAsia="Calibri"/>
          <w:sz w:val="26"/>
          <w:szCs w:val="26"/>
          <w:lang w:eastAsia="en-US"/>
        </w:rPr>
      </w:pPr>
      <w:r w:rsidRPr="003A1C38">
        <w:rPr>
          <w:rFonts w:eastAsia="Calibri"/>
          <w:sz w:val="26"/>
          <w:szCs w:val="26"/>
          <w:lang w:eastAsia="en-US"/>
        </w:rPr>
        <w:t>Establecer instituciones independientes que determinen el nivel de la pensión y su actualización.</w:t>
      </w:r>
    </w:p>
    <w:p w14:paraId="6CD3C01B" w14:textId="77777777" w:rsidR="003A1C38" w:rsidRPr="003A1C38" w:rsidRDefault="003A1C38" w:rsidP="003518F4">
      <w:pPr>
        <w:numPr>
          <w:ilvl w:val="0"/>
          <w:numId w:val="167"/>
        </w:numPr>
        <w:spacing w:after="360" w:line="360" w:lineRule="auto"/>
        <w:ind w:left="1071" w:right="-159" w:hanging="357"/>
        <w:jc w:val="both"/>
        <w:rPr>
          <w:rFonts w:eastAsia="Calibri"/>
          <w:sz w:val="26"/>
          <w:szCs w:val="26"/>
          <w:lang w:eastAsia="en-US"/>
        </w:rPr>
      </w:pPr>
      <w:r w:rsidRPr="003A1C38">
        <w:rPr>
          <w:rFonts w:eastAsia="Calibri"/>
          <w:sz w:val="26"/>
          <w:szCs w:val="26"/>
          <w:lang w:eastAsia="en-US"/>
        </w:rPr>
        <w:t>Edad de retiro debe actualizarse automáticamente conforme a esperanza de vida.</w:t>
      </w:r>
    </w:p>
    <w:p w14:paraId="127DBF20" w14:textId="77777777" w:rsidR="003A1C38" w:rsidRPr="003A1C38" w:rsidRDefault="003A1C38" w:rsidP="003518F4">
      <w:pPr>
        <w:numPr>
          <w:ilvl w:val="0"/>
          <w:numId w:val="167"/>
        </w:numPr>
        <w:spacing w:after="360" w:line="360" w:lineRule="auto"/>
        <w:ind w:left="1071" w:right="-159" w:hanging="357"/>
        <w:jc w:val="both"/>
        <w:rPr>
          <w:rFonts w:eastAsia="Calibri"/>
          <w:sz w:val="26"/>
          <w:szCs w:val="26"/>
          <w:lang w:eastAsia="en-US"/>
        </w:rPr>
      </w:pPr>
      <w:r w:rsidRPr="003A1C38">
        <w:rPr>
          <w:rFonts w:eastAsia="Calibri"/>
          <w:sz w:val="26"/>
          <w:szCs w:val="26"/>
          <w:lang w:eastAsia="en-US"/>
        </w:rPr>
        <w:t>Financiamiento sostenible del programa.</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3A1C38" w:rsidRPr="003A1C38" w14:paraId="6828ACE7" w14:textId="77777777" w:rsidTr="004257D5">
        <w:tc>
          <w:tcPr>
            <w:tcW w:w="8828" w:type="dxa"/>
          </w:tcPr>
          <w:p w14:paraId="7D19F714" w14:textId="77777777" w:rsidR="003A1C38" w:rsidRPr="003A1C38" w:rsidRDefault="003A1C38" w:rsidP="003A1C38">
            <w:pPr>
              <w:spacing w:before="120" w:after="120" w:line="360" w:lineRule="auto"/>
              <w:jc w:val="both"/>
              <w:rPr>
                <w:rFonts w:eastAsia="Calibri"/>
                <w:sz w:val="26"/>
                <w:szCs w:val="26"/>
                <w:lang w:eastAsia="en-US"/>
              </w:rPr>
            </w:pPr>
            <w:r w:rsidRPr="003A1C38">
              <w:rPr>
                <w:rFonts w:eastAsia="Calibri"/>
                <w:sz w:val="26"/>
                <w:szCs w:val="26"/>
                <w:lang w:eastAsia="en-US"/>
              </w:rPr>
              <w:t>¿Qué hacer? Los programas existentes de pensión para Adultos Mayores en México pueden mejorarse; se requiere coordinación y racionalidad financiera en sus diseños.</w:t>
            </w:r>
          </w:p>
        </w:tc>
      </w:tr>
    </w:tbl>
    <w:p w14:paraId="7B7E16D2" w14:textId="77777777" w:rsidR="003A1C38" w:rsidRPr="003A1C38" w:rsidRDefault="003A1C38" w:rsidP="003A1C38">
      <w:pPr>
        <w:spacing w:after="360" w:line="360" w:lineRule="auto"/>
        <w:ind w:right="-159"/>
        <w:jc w:val="both"/>
        <w:rPr>
          <w:rFonts w:eastAsia="Calibri"/>
          <w:sz w:val="26"/>
          <w:szCs w:val="26"/>
          <w:lang w:eastAsia="en-US"/>
        </w:rPr>
      </w:pPr>
    </w:p>
    <w:p w14:paraId="2F3E6EA0"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Pilar Uno: Pasivos pensionarios crecientes</w:t>
      </w:r>
    </w:p>
    <w:p w14:paraId="0926BF2E" w14:textId="77777777" w:rsidR="003A1C38" w:rsidRPr="003A1C38" w:rsidRDefault="003A1C38" w:rsidP="003518F4">
      <w:pPr>
        <w:numPr>
          <w:ilvl w:val="0"/>
          <w:numId w:val="168"/>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Aún persisten numerosos sistemas de beneficio definido en gobiernos regionales, universidades públicas y otros organismos gubernamentales.</w:t>
      </w:r>
    </w:p>
    <w:p w14:paraId="2E80ED07" w14:textId="77777777" w:rsidR="003A1C38" w:rsidRPr="003A1C38" w:rsidRDefault="003A1C38" w:rsidP="003518F4">
      <w:pPr>
        <w:numPr>
          <w:ilvl w:val="0"/>
          <w:numId w:val="168"/>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Los pasivos de estos sistemas de pensiones son crecientes y representan un riesgo para las finanzas públicas.</w:t>
      </w:r>
    </w:p>
    <w:p w14:paraId="2311EA8E" w14:textId="77777777" w:rsidR="003A1C38" w:rsidRPr="003A1C38" w:rsidRDefault="003A1C38" w:rsidP="003A1C38">
      <w:pPr>
        <w:spacing w:after="360" w:line="360" w:lineRule="auto"/>
        <w:ind w:right="-159"/>
        <w:jc w:val="both"/>
        <w:rPr>
          <w:rFonts w:eastAsia="Calibri"/>
          <w:sz w:val="26"/>
          <w:szCs w:val="26"/>
          <w:lang w:eastAsia="en-US"/>
        </w:rPr>
      </w:pPr>
    </w:p>
    <w:p w14:paraId="0160083B" w14:textId="77777777" w:rsidR="003A1C38" w:rsidRPr="003A1C38" w:rsidRDefault="003A1C38" w:rsidP="003A1C38">
      <w:pPr>
        <w:spacing w:after="360" w:line="360" w:lineRule="auto"/>
        <w:ind w:right="-159"/>
        <w:jc w:val="both"/>
        <w:rPr>
          <w:rFonts w:eastAsia="Calibri"/>
          <w:sz w:val="26"/>
          <w:szCs w:val="26"/>
          <w:lang w:eastAsia="en-US"/>
        </w:rPr>
      </w:pPr>
    </w:p>
    <w:p w14:paraId="5C286D37" w14:textId="77777777" w:rsidR="003A1C38" w:rsidRPr="003A1C38" w:rsidRDefault="003A1C38" w:rsidP="003A1C38">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1129"/>
        <w:gridCol w:w="1701"/>
        <w:gridCol w:w="1276"/>
        <w:gridCol w:w="1134"/>
      </w:tblGrid>
      <w:tr w:rsidR="003A1C38" w:rsidRPr="003A1C38" w14:paraId="1A5C6697" w14:textId="77777777" w:rsidTr="00372000">
        <w:trPr>
          <w:jc w:val="center"/>
        </w:trPr>
        <w:tc>
          <w:tcPr>
            <w:tcW w:w="5240" w:type="dxa"/>
            <w:gridSpan w:val="4"/>
            <w:tcBorders>
              <w:top w:val="nil"/>
              <w:left w:val="nil"/>
              <w:bottom w:val="single" w:sz="4" w:space="0" w:color="auto"/>
              <w:right w:val="nil"/>
            </w:tcBorders>
          </w:tcPr>
          <w:p w14:paraId="15F2B026" w14:textId="77777777" w:rsidR="003A1C38" w:rsidRPr="003A1C38" w:rsidRDefault="003A1C38" w:rsidP="003A1C38">
            <w:pPr>
              <w:jc w:val="center"/>
              <w:rPr>
                <w:rFonts w:eastAsia="Calibri"/>
                <w:b/>
                <w:sz w:val="22"/>
                <w:szCs w:val="22"/>
                <w:lang w:eastAsia="en-US"/>
              </w:rPr>
            </w:pPr>
            <w:r w:rsidRPr="003A1C38">
              <w:rPr>
                <w:rFonts w:eastAsia="Calibri"/>
                <w:b/>
                <w:sz w:val="22"/>
                <w:szCs w:val="22"/>
                <w:lang w:eastAsia="en-US"/>
              </w:rPr>
              <w:lastRenderedPageBreak/>
              <w:t>GASTO PROGRAMABLE DEL SECTOR PÚBLICO PRESUPUESTARIO EN PENSIONES*</w:t>
            </w:r>
          </w:p>
        </w:tc>
      </w:tr>
      <w:tr w:rsidR="003A1C38" w:rsidRPr="003A1C38" w14:paraId="26AE280D" w14:textId="77777777" w:rsidTr="00372000">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5D87EF4"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Año</w:t>
            </w:r>
          </w:p>
        </w:tc>
        <w:tc>
          <w:tcPr>
            <w:tcW w:w="1701" w:type="dxa"/>
            <w:tcBorders>
              <w:top w:val="single" w:sz="4" w:space="0" w:color="auto"/>
              <w:left w:val="single" w:sz="4" w:space="0" w:color="auto"/>
              <w:bottom w:val="single" w:sz="4" w:space="0" w:color="auto"/>
              <w:right w:val="single" w:sz="4" w:space="0" w:color="auto"/>
            </w:tcBorders>
            <w:vAlign w:val="center"/>
          </w:tcPr>
          <w:p w14:paraId="3D8B372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Millones de pesos</w:t>
            </w:r>
          </w:p>
        </w:tc>
        <w:tc>
          <w:tcPr>
            <w:tcW w:w="1276" w:type="dxa"/>
            <w:tcBorders>
              <w:top w:val="single" w:sz="4" w:space="0" w:color="auto"/>
              <w:left w:val="single" w:sz="4" w:space="0" w:color="auto"/>
              <w:bottom w:val="single" w:sz="4" w:space="0" w:color="auto"/>
              <w:right w:val="single" w:sz="4" w:space="0" w:color="auto"/>
            </w:tcBorders>
            <w:vAlign w:val="center"/>
          </w:tcPr>
          <w:p w14:paraId="20CF84D9"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del Gasto Corriente</w:t>
            </w:r>
          </w:p>
        </w:tc>
        <w:tc>
          <w:tcPr>
            <w:tcW w:w="1134" w:type="dxa"/>
            <w:tcBorders>
              <w:top w:val="single" w:sz="4" w:space="0" w:color="auto"/>
              <w:left w:val="single" w:sz="4" w:space="0" w:color="auto"/>
              <w:bottom w:val="single" w:sz="4" w:space="0" w:color="auto"/>
              <w:right w:val="single" w:sz="4" w:space="0" w:color="auto"/>
            </w:tcBorders>
            <w:vAlign w:val="center"/>
          </w:tcPr>
          <w:p w14:paraId="54283CB7"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del PIB</w:t>
            </w:r>
          </w:p>
        </w:tc>
      </w:tr>
      <w:tr w:rsidR="003A1C38" w:rsidRPr="003A1C38" w14:paraId="4EFD6615" w14:textId="77777777" w:rsidTr="00372000">
        <w:trPr>
          <w:jc w:val="center"/>
        </w:trPr>
        <w:tc>
          <w:tcPr>
            <w:tcW w:w="1129" w:type="dxa"/>
            <w:tcBorders>
              <w:top w:val="single" w:sz="4" w:space="0" w:color="auto"/>
              <w:left w:val="single" w:sz="4" w:space="0" w:color="auto"/>
              <w:bottom w:val="nil"/>
              <w:right w:val="single" w:sz="4" w:space="0" w:color="auto"/>
            </w:tcBorders>
          </w:tcPr>
          <w:p w14:paraId="02433FF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2007</w:t>
            </w:r>
          </w:p>
        </w:tc>
        <w:tc>
          <w:tcPr>
            <w:tcW w:w="1701" w:type="dxa"/>
            <w:tcBorders>
              <w:top w:val="single" w:sz="4" w:space="0" w:color="auto"/>
              <w:left w:val="single" w:sz="4" w:space="0" w:color="auto"/>
              <w:bottom w:val="nil"/>
              <w:right w:val="single" w:sz="4" w:space="0" w:color="auto"/>
            </w:tcBorders>
          </w:tcPr>
          <w:p w14:paraId="68F96D8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232 069.1</w:t>
            </w:r>
          </w:p>
        </w:tc>
        <w:tc>
          <w:tcPr>
            <w:tcW w:w="1276" w:type="dxa"/>
            <w:tcBorders>
              <w:top w:val="single" w:sz="4" w:space="0" w:color="auto"/>
              <w:left w:val="single" w:sz="4" w:space="0" w:color="auto"/>
              <w:bottom w:val="nil"/>
              <w:right w:val="single" w:sz="4" w:space="0" w:color="auto"/>
            </w:tcBorders>
          </w:tcPr>
          <w:p w14:paraId="43EC820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15.4</w:t>
            </w:r>
          </w:p>
        </w:tc>
        <w:tc>
          <w:tcPr>
            <w:tcW w:w="1134" w:type="dxa"/>
            <w:tcBorders>
              <w:top w:val="single" w:sz="4" w:space="0" w:color="auto"/>
              <w:left w:val="single" w:sz="4" w:space="0" w:color="auto"/>
              <w:bottom w:val="nil"/>
              <w:right w:val="single" w:sz="4" w:space="0" w:color="auto"/>
            </w:tcBorders>
          </w:tcPr>
          <w:p w14:paraId="634451A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2.0</w:t>
            </w:r>
          </w:p>
        </w:tc>
      </w:tr>
      <w:tr w:rsidR="003A1C38" w:rsidRPr="003A1C38" w14:paraId="7629E7BE" w14:textId="77777777" w:rsidTr="00372000">
        <w:trPr>
          <w:jc w:val="center"/>
        </w:trPr>
        <w:tc>
          <w:tcPr>
            <w:tcW w:w="1129" w:type="dxa"/>
            <w:tcBorders>
              <w:top w:val="nil"/>
              <w:left w:val="single" w:sz="4" w:space="0" w:color="auto"/>
              <w:bottom w:val="nil"/>
              <w:right w:val="single" w:sz="4" w:space="0" w:color="auto"/>
            </w:tcBorders>
          </w:tcPr>
          <w:p w14:paraId="6A421B7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2008</w:t>
            </w:r>
          </w:p>
        </w:tc>
        <w:tc>
          <w:tcPr>
            <w:tcW w:w="1701" w:type="dxa"/>
            <w:tcBorders>
              <w:top w:val="nil"/>
              <w:left w:val="single" w:sz="4" w:space="0" w:color="auto"/>
              <w:bottom w:val="nil"/>
              <w:right w:val="single" w:sz="4" w:space="0" w:color="auto"/>
            </w:tcBorders>
          </w:tcPr>
          <w:p w14:paraId="05250E1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254 207.0</w:t>
            </w:r>
          </w:p>
        </w:tc>
        <w:tc>
          <w:tcPr>
            <w:tcW w:w="1276" w:type="dxa"/>
            <w:tcBorders>
              <w:top w:val="nil"/>
              <w:left w:val="single" w:sz="4" w:space="0" w:color="auto"/>
              <w:bottom w:val="nil"/>
              <w:right w:val="single" w:sz="4" w:space="0" w:color="auto"/>
            </w:tcBorders>
          </w:tcPr>
          <w:p w14:paraId="799A11A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15.0</w:t>
            </w:r>
          </w:p>
        </w:tc>
        <w:tc>
          <w:tcPr>
            <w:tcW w:w="1134" w:type="dxa"/>
            <w:tcBorders>
              <w:top w:val="nil"/>
              <w:left w:val="single" w:sz="4" w:space="0" w:color="auto"/>
              <w:bottom w:val="nil"/>
              <w:right w:val="single" w:sz="4" w:space="0" w:color="auto"/>
            </w:tcBorders>
          </w:tcPr>
          <w:p w14:paraId="26A3D4D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2.1</w:t>
            </w:r>
          </w:p>
        </w:tc>
      </w:tr>
      <w:tr w:rsidR="003A1C38" w:rsidRPr="003A1C38" w14:paraId="2F13687C" w14:textId="77777777" w:rsidTr="00372000">
        <w:trPr>
          <w:jc w:val="center"/>
        </w:trPr>
        <w:tc>
          <w:tcPr>
            <w:tcW w:w="1129" w:type="dxa"/>
            <w:tcBorders>
              <w:top w:val="nil"/>
              <w:left w:val="single" w:sz="4" w:space="0" w:color="auto"/>
              <w:bottom w:val="nil"/>
              <w:right w:val="single" w:sz="4" w:space="0" w:color="auto"/>
            </w:tcBorders>
          </w:tcPr>
          <w:p w14:paraId="40AC4C79"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2009</w:t>
            </w:r>
          </w:p>
        </w:tc>
        <w:tc>
          <w:tcPr>
            <w:tcW w:w="1701" w:type="dxa"/>
            <w:tcBorders>
              <w:top w:val="nil"/>
              <w:left w:val="single" w:sz="4" w:space="0" w:color="auto"/>
              <w:bottom w:val="nil"/>
              <w:right w:val="single" w:sz="4" w:space="0" w:color="auto"/>
            </w:tcBorders>
          </w:tcPr>
          <w:p w14:paraId="2CFE9FE4"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289 124.5</w:t>
            </w:r>
          </w:p>
        </w:tc>
        <w:tc>
          <w:tcPr>
            <w:tcW w:w="1276" w:type="dxa"/>
            <w:tcBorders>
              <w:top w:val="nil"/>
              <w:left w:val="single" w:sz="4" w:space="0" w:color="auto"/>
              <w:bottom w:val="nil"/>
              <w:right w:val="single" w:sz="4" w:space="0" w:color="auto"/>
            </w:tcBorders>
          </w:tcPr>
          <w:p w14:paraId="3F48B0D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15.7</w:t>
            </w:r>
          </w:p>
        </w:tc>
        <w:tc>
          <w:tcPr>
            <w:tcW w:w="1134" w:type="dxa"/>
            <w:tcBorders>
              <w:top w:val="nil"/>
              <w:left w:val="single" w:sz="4" w:space="0" w:color="auto"/>
              <w:bottom w:val="nil"/>
              <w:right w:val="single" w:sz="4" w:space="0" w:color="auto"/>
            </w:tcBorders>
          </w:tcPr>
          <w:p w14:paraId="62B4043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2.4</w:t>
            </w:r>
          </w:p>
        </w:tc>
      </w:tr>
      <w:tr w:rsidR="003A1C38" w:rsidRPr="003A1C38" w14:paraId="4B595C46" w14:textId="77777777" w:rsidTr="00372000">
        <w:trPr>
          <w:jc w:val="center"/>
        </w:trPr>
        <w:tc>
          <w:tcPr>
            <w:tcW w:w="1129" w:type="dxa"/>
            <w:tcBorders>
              <w:top w:val="nil"/>
              <w:left w:val="single" w:sz="4" w:space="0" w:color="auto"/>
              <w:bottom w:val="nil"/>
              <w:right w:val="single" w:sz="4" w:space="0" w:color="auto"/>
            </w:tcBorders>
          </w:tcPr>
          <w:p w14:paraId="169C2C19"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2010</w:t>
            </w:r>
          </w:p>
        </w:tc>
        <w:tc>
          <w:tcPr>
            <w:tcW w:w="1701" w:type="dxa"/>
            <w:tcBorders>
              <w:top w:val="nil"/>
              <w:left w:val="single" w:sz="4" w:space="0" w:color="auto"/>
              <w:bottom w:val="nil"/>
              <w:right w:val="single" w:sz="4" w:space="0" w:color="auto"/>
            </w:tcBorders>
          </w:tcPr>
          <w:p w14:paraId="005486C4"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339 552.4</w:t>
            </w:r>
          </w:p>
        </w:tc>
        <w:tc>
          <w:tcPr>
            <w:tcW w:w="1276" w:type="dxa"/>
            <w:tcBorders>
              <w:top w:val="nil"/>
              <w:left w:val="single" w:sz="4" w:space="0" w:color="auto"/>
              <w:bottom w:val="nil"/>
              <w:right w:val="single" w:sz="4" w:space="0" w:color="auto"/>
            </w:tcBorders>
          </w:tcPr>
          <w:p w14:paraId="45C2ABD9"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17.2</w:t>
            </w:r>
          </w:p>
        </w:tc>
        <w:tc>
          <w:tcPr>
            <w:tcW w:w="1134" w:type="dxa"/>
            <w:tcBorders>
              <w:top w:val="nil"/>
              <w:left w:val="single" w:sz="4" w:space="0" w:color="auto"/>
              <w:bottom w:val="nil"/>
              <w:right w:val="single" w:sz="4" w:space="0" w:color="auto"/>
            </w:tcBorders>
          </w:tcPr>
          <w:p w14:paraId="584788D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2.6</w:t>
            </w:r>
          </w:p>
        </w:tc>
      </w:tr>
      <w:tr w:rsidR="003A1C38" w:rsidRPr="003A1C38" w14:paraId="2B0C132B" w14:textId="77777777" w:rsidTr="00372000">
        <w:trPr>
          <w:jc w:val="center"/>
        </w:trPr>
        <w:tc>
          <w:tcPr>
            <w:tcW w:w="1129" w:type="dxa"/>
            <w:tcBorders>
              <w:top w:val="nil"/>
              <w:left w:val="single" w:sz="4" w:space="0" w:color="auto"/>
              <w:bottom w:val="nil"/>
              <w:right w:val="single" w:sz="4" w:space="0" w:color="auto"/>
            </w:tcBorders>
          </w:tcPr>
          <w:p w14:paraId="3E35BDCD"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2011</w:t>
            </w:r>
          </w:p>
        </w:tc>
        <w:tc>
          <w:tcPr>
            <w:tcW w:w="1701" w:type="dxa"/>
            <w:tcBorders>
              <w:top w:val="nil"/>
              <w:left w:val="single" w:sz="4" w:space="0" w:color="auto"/>
              <w:bottom w:val="nil"/>
              <w:right w:val="single" w:sz="4" w:space="0" w:color="auto"/>
            </w:tcBorders>
          </w:tcPr>
          <w:p w14:paraId="2EBF292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388 316.9</w:t>
            </w:r>
          </w:p>
        </w:tc>
        <w:tc>
          <w:tcPr>
            <w:tcW w:w="1276" w:type="dxa"/>
            <w:tcBorders>
              <w:top w:val="nil"/>
              <w:left w:val="single" w:sz="4" w:space="0" w:color="auto"/>
              <w:bottom w:val="nil"/>
              <w:right w:val="single" w:sz="4" w:space="0" w:color="auto"/>
            </w:tcBorders>
          </w:tcPr>
          <w:p w14:paraId="769B9D0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17.9</w:t>
            </w:r>
          </w:p>
        </w:tc>
        <w:tc>
          <w:tcPr>
            <w:tcW w:w="1134" w:type="dxa"/>
            <w:tcBorders>
              <w:top w:val="nil"/>
              <w:left w:val="single" w:sz="4" w:space="0" w:color="auto"/>
              <w:bottom w:val="nil"/>
              <w:right w:val="single" w:sz="4" w:space="0" w:color="auto"/>
            </w:tcBorders>
          </w:tcPr>
          <w:p w14:paraId="4AE4152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2.7</w:t>
            </w:r>
          </w:p>
        </w:tc>
      </w:tr>
      <w:tr w:rsidR="003A1C38" w:rsidRPr="003A1C38" w14:paraId="3DBF9992" w14:textId="77777777" w:rsidTr="00372000">
        <w:trPr>
          <w:jc w:val="center"/>
        </w:trPr>
        <w:tc>
          <w:tcPr>
            <w:tcW w:w="1129" w:type="dxa"/>
            <w:tcBorders>
              <w:top w:val="nil"/>
              <w:left w:val="single" w:sz="4" w:space="0" w:color="auto"/>
              <w:bottom w:val="nil"/>
              <w:right w:val="single" w:sz="4" w:space="0" w:color="auto"/>
            </w:tcBorders>
          </w:tcPr>
          <w:p w14:paraId="0948339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2012</w:t>
            </w:r>
          </w:p>
        </w:tc>
        <w:tc>
          <w:tcPr>
            <w:tcW w:w="1701" w:type="dxa"/>
            <w:tcBorders>
              <w:top w:val="nil"/>
              <w:left w:val="single" w:sz="4" w:space="0" w:color="auto"/>
              <w:bottom w:val="nil"/>
              <w:right w:val="single" w:sz="4" w:space="0" w:color="auto"/>
            </w:tcBorders>
          </w:tcPr>
          <w:p w14:paraId="31EFC89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429 237.4</w:t>
            </w:r>
          </w:p>
        </w:tc>
        <w:tc>
          <w:tcPr>
            <w:tcW w:w="1276" w:type="dxa"/>
            <w:tcBorders>
              <w:top w:val="nil"/>
              <w:left w:val="single" w:sz="4" w:space="0" w:color="auto"/>
              <w:bottom w:val="nil"/>
              <w:right w:val="single" w:sz="4" w:space="0" w:color="auto"/>
            </w:tcBorders>
          </w:tcPr>
          <w:p w14:paraId="56EF7DE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18.1</w:t>
            </w:r>
          </w:p>
        </w:tc>
        <w:tc>
          <w:tcPr>
            <w:tcW w:w="1134" w:type="dxa"/>
            <w:tcBorders>
              <w:top w:val="nil"/>
              <w:left w:val="single" w:sz="4" w:space="0" w:color="auto"/>
              <w:bottom w:val="nil"/>
              <w:right w:val="single" w:sz="4" w:space="0" w:color="auto"/>
            </w:tcBorders>
          </w:tcPr>
          <w:p w14:paraId="3CBD1AF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2.7</w:t>
            </w:r>
          </w:p>
        </w:tc>
      </w:tr>
      <w:tr w:rsidR="003A1C38" w:rsidRPr="003A1C38" w14:paraId="77C80392" w14:textId="77777777" w:rsidTr="00372000">
        <w:trPr>
          <w:jc w:val="center"/>
        </w:trPr>
        <w:tc>
          <w:tcPr>
            <w:tcW w:w="1129" w:type="dxa"/>
            <w:tcBorders>
              <w:top w:val="nil"/>
              <w:left w:val="single" w:sz="4" w:space="0" w:color="auto"/>
              <w:bottom w:val="nil"/>
              <w:right w:val="single" w:sz="4" w:space="0" w:color="auto"/>
            </w:tcBorders>
          </w:tcPr>
          <w:p w14:paraId="7A733FD7"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2013</w:t>
            </w:r>
          </w:p>
        </w:tc>
        <w:tc>
          <w:tcPr>
            <w:tcW w:w="1701" w:type="dxa"/>
            <w:tcBorders>
              <w:top w:val="nil"/>
              <w:left w:val="single" w:sz="4" w:space="0" w:color="auto"/>
              <w:bottom w:val="nil"/>
              <w:right w:val="single" w:sz="4" w:space="0" w:color="auto"/>
            </w:tcBorders>
          </w:tcPr>
          <w:p w14:paraId="3265181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465 699.4</w:t>
            </w:r>
          </w:p>
        </w:tc>
        <w:tc>
          <w:tcPr>
            <w:tcW w:w="1276" w:type="dxa"/>
            <w:tcBorders>
              <w:top w:val="nil"/>
              <w:left w:val="single" w:sz="4" w:space="0" w:color="auto"/>
              <w:bottom w:val="nil"/>
              <w:right w:val="single" w:sz="4" w:space="0" w:color="auto"/>
            </w:tcBorders>
          </w:tcPr>
          <w:p w14:paraId="6B59DCE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18.9</w:t>
            </w:r>
          </w:p>
        </w:tc>
        <w:tc>
          <w:tcPr>
            <w:tcW w:w="1134" w:type="dxa"/>
            <w:tcBorders>
              <w:top w:val="nil"/>
              <w:left w:val="single" w:sz="4" w:space="0" w:color="auto"/>
              <w:bottom w:val="nil"/>
              <w:right w:val="single" w:sz="4" w:space="0" w:color="auto"/>
            </w:tcBorders>
          </w:tcPr>
          <w:p w14:paraId="717D879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2.9</w:t>
            </w:r>
          </w:p>
        </w:tc>
      </w:tr>
      <w:tr w:rsidR="003A1C38" w:rsidRPr="003A1C38" w14:paraId="0141AD31" w14:textId="77777777" w:rsidTr="00372000">
        <w:trPr>
          <w:jc w:val="center"/>
        </w:trPr>
        <w:tc>
          <w:tcPr>
            <w:tcW w:w="1129" w:type="dxa"/>
            <w:tcBorders>
              <w:top w:val="nil"/>
              <w:left w:val="single" w:sz="4" w:space="0" w:color="auto"/>
              <w:bottom w:val="single" w:sz="4" w:space="0" w:color="auto"/>
              <w:right w:val="single" w:sz="4" w:space="0" w:color="auto"/>
            </w:tcBorders>
          </w:tcPr>
          <w:p w14:paraId="4F3DF625"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2014**</w:t>
            </w:r>
          </w:p>
        </w:tc>
        <w:tc>
          <w:tcPr>
            <w:tcW w:w="1701" w:type="dxa"/>
            <w:tcBorders>
              <w:top w:val="nil"/>
              <w:left w:val="single" w:sz="4" w:space="0" w:color="auto"/>
              <w:bottom w:val="single" w:sz="4" w:space="0" w:color="auto"/>
              <w:right w:val="single" w:sz="4" w:space="0" w:color="auto"/>
            </w:tcBorders>
          </w:tcPr>
          <w:p w14:paraId="1718B7E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520 927.2</w:t>
            </w:r>
          </w:p>
        </w:tc>
        <w:tc>
          <w:tcPr>
            <w:tcW w:w="1276" w:type="dxa"/>
            <w:tcBorders>
              <w:top w:val="nil"/>
              <w:left w:val="single" w:sz="4" w:space="0" w:color="auto"/>
              <w:bottom w:val="single" w:sz="4" w:space="0" w:color="auto"/>
              <w:right w:val="single" w:sz="4" w:space="0" w:color="auto"/>
            </w:tcBorders>
          </w:tcPr>
          <w:p w14:paraId="2A53867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19.7</w:t>
            </w:r>
          </w:p>
        </w:tc>
        <w:tc>
          <w:tcPr>
            <w:tcW w:w="1134" w:type="dxa"/>
            <w:tcBorders>
              <w:top w:val="nil"/>
              <w:left w:val="single" w:sz="4" w:space="0" w:color="auto"/>
              <w:bottom w:val="single" w:sz="4" w:space="0" w:color="auto"/>
              <w:right w:val="single" w:sz="4" w:space="0" w:color="auto"/>
            </w:tcBorders>
          </w:tcPr>
          <w:p w14:paraId="615B290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3.1</w:t>
            </w:r>
          </w:p>
        </w:tc>
      </w:tr>
      <w:tr w:rsidR="003A1C38" w:rsidRPr="003A1C38" w14:paraId="7FA48A5C" w14:textId="77777777" w:rsidTr="00372000">
        <w:trPr>
          <w:jc w:val="center"/>
        </w:trPr>
        <w:tc>
          <w:tcPr>
            <w:tcW w:w="5240" w:type="dxa"/>
            <w:gridSpan w:val="4"/>
            <w:tcBorders>
              <w:top w:val="single" w:sz="4" w:space="0" w:color="auto"/>
              <w:left w:val="nil"/>
              <w:bottom w:val="nil"/>
              <w:right w:val="nil"/>
            </w:tcBorders>
          </w:tcPr>
          <w:p w14:paraId="4F9DD464" w14:textId="77777777" w:rsidR="003A1C38" w:rsidRPr="003A1C38" w:rsidRDefault="003A1C38" w:rsidP="003A1C38">
            <w:pPr>
              <w:ind w:left="85" w:hanging="85"/>
              <w:jc w:val="both"/>
              <w:rPr>
                <w:rFonts w:eastAsia="Calibri"/>
                <w:sz w:val="20"/>
                <w:szCs w:val="20"/>
                <w:lang w:eastAsia="en-US"/>
              </w:rPr>
            </w:pPr>
            <w:r w:rsidRPr="003A1C38">
              <w:rPr>
                <w:rFonts w:eastAsia="Calibri"/>
                <w:sz w:val="20"/>
                <w:szCs w:val="20"/>
                <w:lang w:eastAsia="en-US"/>
              </w:rPr>
              <w:t>*PIB nominal promedio, base 2008, de los cuatro trimestres de cada año.</w:t>
            </w:r>
          </w:p>
          <w:p w14:paraId="74E9E4E1"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**Información obtenida del Presupuesto de Egresos 2014.</w:t>
            </w:r>
          </w:p>
          <w:p w14:paraId="4BFE8E43" w14:textId="77777777" w:rsidR="003A1C38" w:rsidRPr="003A1C38" w:rsidRDefault="003A1C38" w:rsidP="003A1C38">
            <w:pPr>
              <w:ind w:left="851" w:hanging="851"/>
              <w:jc w:val="both"/>
              <w:rPr>
                <w:rFonts w:eastAsia="Calibri"/>
                <w:sz w:val="20"/>
                <w:szCs w:val="20"/>
                <w:lang w:eastAsia="en-US"/>
              </w:rPr>
            </w:pPr>
            <w:r w:rsidRPr="003A1C38">
              <w:rPr>
                <w:rFonts w:eastAsia="Calibri"/>
                <w:sz w:val="20"/>
                <w:szCs w:val="20"/>
                <w:lang w:eastAsia="en-US"/>
              </w:rPr>
              <w:t>FUENTE: Cuenta de la Hacienda Pública Federal, Presupuesto de Egresos 2014 e INEGI.</w:t>
            </w:r>
          </w:p>
        </w:tc>
      </w:tr>
    </w:tbl>
    <w:p w14:paraId="665CEC72" w14:textId="77777777" w:rsidR="003A1C38" w:rsidRPr="003A1C38" w:rsidRDefault="003A1C38" w:rsidP="003A1C38">
      <w:pPr>
        <w:spacing w:after="360" w:line="360" w:lineRule="auto"/>
        <w:ind w:right="-159"/>
        <w:jc w:val="both"/>
        <w:rPr>
          <w:rFonts w:eastAsia="Calibri"/>
          <w:sz w:val="26"/>
          <w:szCs w:val="26"/>
          <w:lang w:eastAsia="en-US"/>
        </w:rPr>
      </w:pPr>
    </w:p>
    <w:tbl>
      <w:tblPr>
        <w:tblW w:w="0" w:type="auto"/>
        <w:jc w:val="center"/>
        <w:tblLayout w:type="fixed"/>
        <w:tblLook w:val="04A0" w:firstRow="1" w:lastRow="0" w:firstColumn="1" w:lastColumn="0" w:noHBand="0" w:noVBand="1"/>
      </w:tblPr>
      <w:tblGrid>
        <w:gridCol w:w="4718"/>
        <w:gridCol w:w="2409"/>
        <w:gridCol w:w="1373"/>
      </w:tblGrid>
      <w:tr w:rsidR="003A1C38" w:rsidRPr="003A1C38" w14:paraId="23C71BBD" w14:textId="77777777" w:rsidTr="00372000">
        <w:trPr>
          <w:jc w:val="center"/>
        </w:trPr>
        <w:tc>
          <w:tcPr>
            <w:tcW w:w="8500" w:type="dxa"/>
            <w:gridSpan w:val="3"/>
            <w:tcBorders>
              <w:top w:val="nil"/>
              <w:left w:val="nil"/>
              <w:bottom w:val="single" w:sz="4" w:space="0" w:color="auto"/>
              <w:right w:val="nil"/>
            </w:tcBorders>
          </w:tcPr>
          <w:p w14:paraId="15E7C987"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 xml:space="preserve">OBLIGACIONES PENSIONARIAS </w:t>
            </w:r>
          </w:p>
          <w:p w14:paraId="782AFA09" w14:textId="311F2BE0" w:rsidR="003A1C38" w:rsidRPr="003A1C38" w:rsidRDefault="003A1C38" w:rsidP="00EF184E">
            <w:pPr>
              <w:jc w:val="center"/>
              <w:rPr>
                <w:rFonts w:eastAsia="Calibri"/>
                <w:b/>
                <w:sz w:val="20"/>
                <w:szCs w:val="20"/>
                <w:lang w:eastAsia="en-US"/>
              </w:rPr>
            </w:pPr>
            <w:r w:rsidRPr="003A1C38">
              <w:rPr>
                <w:rFonts w:eastAsia="Calibri"/>
                <w:b/>
                <w:sz w:val="20"/>
                <w:szCs w:val="20"/>
                <w:lang w:eastAsia="en-US"/>
              </w:rPr>
              <w:t xml:space="preserve">-Al </w:t>
            </w:r>
            <w:r w:rsidR="00EF184E">
              <w:rPr>
                <w:rFonts w:eastAsia="Calibri"/>
                <w:b/>
                <w:sz w:val="20"/>
                <w:szCs w:val="20"/>
                <w:lang w:eastAsia="en-US"/>
              </w:rPr>
              <w:t>31 de diciembre de 2014</w:t>
            </w:r>
            <w:r w:rsidRPr="003A1C38">
              <w:rPr>
                <w:rFonts w:eastAsia="Calibri"/>
                <w:b/>
                <w:sz w:val="20"/>
                <w:szCs w:val="20"/>
                <w:lang w:eastAsia="en-US"/>
              </w:rPr>
              <w:t>-</w:t>
            </w:r>
          </w:p>
        </w:tc>
      </w:tr>
      <w:tr w:rsidR="003A1C38" w:rsidRPr="003A1C38" w14:paraId="28A8050B" w14:textId="77777777" w:rsidTr="00372000">
        <w:trPr>
          <w:jc w:val="center"/>
        </w:trPr>
        <w:tc>
          <w:tcPr>
            <w:tcW w:w="4718" w:type="dxa"/>
            <w:tcBorders>
              <w:top w:val="single" w:sz="4" w:space="0" w:color="auto"/>
              <w:left w:val="single" w:sz="4" w:space="0" w:color="auto"/>
              <w:bottom w:val="single" w:sz="4" w:space="0" w:color="auto"/>
              <w:right w:val="single" w:sz="4" w:space="0" w:color="auto"/>
            </w:tcBorders>
            <w:vAlign w:val="center"/>
          </w:tcPr>
          <w:p w14:paraId="287FEDDD"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Estratos/Grupos</w:t>
            </w:r>
          </w:p>
        </w:tc>
        <w:tc>
          <w:tcPr>
            <w:tcW w:w="2409" w:type="dxa"/>
            <w:tcBorders>
              <w:top w:val="single" w:sz="4" w:space="0" w:color="auto"/>
              <w:left w:val="single" w:sz="4" w:space="0" w:color="auto"/>
              <w:bottom w:val="single" w:sz="4" w:space="0" w:color="auto"/>
              <w:right w:val="single" w:sz="4" w:space="0" w:color="auto"/>
            </w:tcBorders>
            <w:vAlign w:val="center"/>
          </w:tcPr>
          <w:p w14:paraId="4ED506B5"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Valor presente de las obligaciones de pago</w:t>
            </w:r>
          </w:p>
          <w:p w14:paraId="5D6F3C4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(millones de pesos)</w:t>
            </w:r>
          </w:p>
        </w:tc>
        <w:tc>
          <w:tcPr>
            <w:tcW w:w="1373" w:type="dxa"/>
            <w:tcBorders>
              <w:top w:val="single" w:sz="4" w:space="0" w:color="auto"/>
              <w:left w:val="single" w:sz="4" w:space="0" w:color="auto"/>
              <w:bottom w:val="single" w:sz="4" w:space="0" w:color="auto"/>
              <w:right w:val="single" w:sz="4" w:space="0" w:color="auto"/>
            </w:tcBorders>
            <w:vAlign w:val="center"/>
          </w:tcPr>
          <w:p w14:paraId="0F682033"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 del PIB</w:t>
            </w:r>
          </w:p>
        </w:tc>
      </w:tr>
      <w:tr w:rsidR="003A1C38" w:rsidRPr="003A1C38" w14:paraId="003090B9" w14:textId="77777777" w:rsidTr="00372000">
        <w:trPr>
          <w:jc w:val="center"/>
        </w:trPr>
        <w:tc>
          <w:tcPr>
            <w:tcW w:w="4718" w:type="dxa"/>
            <w:tcBorders>
              <w:top w:val="single" w:sz="4" w:space="0" w:color="auto"/>
              <w:left w:val="single" w:sz="4" w:space="0" w:color="auto"/>
              <w:bottom w:val="nil"/>
              <w:right w:val="single" w:sz="4" w:space="0" w:color="auto"/>
            </w:tcBorders>
          </w:tcPr>
          <w:p w14:paraId="50D63988" w14:textId="77777777" w:rsidR="003A1C38" w:rsidRPr="003A1C38" w:rsidRDefault="003A1C38" w:rsidP="003518F4">
            <w:pPr>
              <w:numPr>
                <w:ilvl w:val="0"/>
                <w:numId w:val="169"/>
              </w:numPr>
              <w:ind w:left="357" w:hanging="357"/>
              <w:contextualSpacing/>
              <w:jc w:val="both"/>
              <w:rPr>
                <w:rFonts w:eastAsia="Calibri"/>
                <w:b/>
                <w:sz w:val="20"/>
                <w:szCs w:val="20"/>
                <w:lang w:eastAsia="en-US"/>
              </w:rPr>
            </w:pPr>
            <w:r w:rsidRPr="003A1C38">
              <w:rPr>
                <w:rFonts w:eastAsia="Calibri"/>
                <w:b/>
                <w:sz w:val="20"/>
                <w:szCs w:val="20"/>
                <w:lang w:eastAsia="en-US"/>
              </w:rPr>
              <w:t>Poder Ejecutivo</w:t>
            </w:r>
          </w:p>
        </w:tc>
        <w:tc>
          <w:tcPr>
            <w:tcW w:w="2409" w:type="dxa"/>
            <w:tcBorders>
              <w:top w:val="single" w:sz="4" w:space="0" w:color="auto"/>
              <w:left w:val="single" w:sz="4" w:space="0" w:color="auto"/>
              <w:bottom w:val="nil"/>
              <w:right w:val="single" w:sz="4" w:space="0" w:color="auto"/>
            </w:tcBorders>
          </w:tcPr>
          <w:p w14:paraId="4569FBA2" w14:textId="77777777" w:rsidR="003A1C38" w:rsidRPr="003A1C38" w:rsidRDefault="003A1C38" w:rsidP="003A1C38">
            <w:pPr>
              <w:ind w:right="567"/>
              <w:jc w:val="right"/>
              <w:rPr>
                <w:rFonts w:eastAsia="Calibri"/>
                <w:b/>
                <w:sz w:val="20"/>
                <w:szCs w:val="20"/>
                <w:lang w:eastAsia="en-US"/>
              </w:rPr>
            </w:pPr>
            <w:r w:rsidRPr="003A1C38">
              <w:rPr>
                <w:rFonts w:eastAsia="Calibri"/>
                <w:b/>
                <w:sz w:val="20"/>
                <w:szCs w:val="20"/>
                <w:lang w:eastAsia="en-US"/>
              </w:rPr>
              <w:t>8 531 455.5</w:t>
            </w:r>
          </w:p>
        </w:tc>
        <w:tc>
          <w:tcPr>
            <w:tcW w:w="1373" w:type="dxa"/>
            <w:tcBorders>
              <w:top w:val="single" w:sz="4" w:space="0" w:color="auto"/>
              <w:left w:val="single" w:sz="4" w:space="0" w:color="auto"/>
              <w:bottom w:val="nil"/>
              <w:right w:val="single" w:sz="4" w:space="0" w:color="auto"/>
            </w:tcBorders>
          </w:tcPr>
          <w:p w14:paraId="0DE75EE8" w14:textId="77777777" w:rsidR="003A1C38" w:rsidRPr="003A1C38" w:rsidRDefault="003A1C38" w:rsidP="003A1C38">
            <w:pPr>
              <w:ind w:right="340"/>
              <w:jc w:val="right"/>
              <w:rPr>
                <w:rFonts w:eastAsia="Calibri"/>
                <w:b/>
                <w:sz w:val="20"/>
                <w:szCs w:val="20"/>
                <w:lang w:eastAsia="en-US"/>
              </w:rPr>
            </w:pPr>
            <w:r w:rsidRPr="003A1C38">
              <w:rPr>
                <w:rFonts w:eastAsia="Calibri"/>
                <w:b/>
                <w:sz w:val="20"/>
                <w:szCs w:val="20"/>
                <w:lang w:eastAsia="en-US"/>
              </w:rPr>
              <w:t>64.2</w:t>
            </w:r>
          </w:p>
        </w:tc>
      </w:tr>
      <w:tr w:rsidR="003A1C38" w:rsidRPr="003A1C38" w14:paraId="2193AD0C" w14:textId="77777777" w:rsidTr="00372000">
        <w:trPr>
          <w:jc w:val="center"/>
        </w:trPr>
        <w:tc>
          <w:tcPr>
            <w:tcW w:w="4718" w:type="dxa"/>
            <w:tcBorders>
              <w:top w:val="nil"/>
              <w:left w:val="single" w:sz="4" w:space="0" w:color="auto"/>
              <w:bottom w:val="nil"/>
              <w:right w:val="single" w:sz="4" w:space="0" w:color="auto"/>
            </w:tcBorders>
          </w:tcPr>
          <w:p w14:paraId="622CC3A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Institutos de seguridad social</w:t>
            </w:r>
          </w:p>
        </w:tc>
        <w:tc>
          <w:tcPr>
            <w:tcW w:w="2409" w:type="dxa"/>
            <w:tcBorders>
              <w:top w:val="nil"/>
              <w:left w:val="single" w:sz="4" w:space="0" w:color="auto"/>
              <w:bottom w:val="nil"/>
              <w:right w:val="single" w:sz="4" w:space="0" w:color="auto"/>
            </w:tcBorders>
          </w:tcPr>
          <w:p w14:paraId="6A5AAB38"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3 161 162.0</w:t>
            </w:r>
          </w:p>
        </w:tc>
        <w:tc>
          <w:tcPr>
            <w:tcW w:w="1373" w:type="dxa"/>
            <w:tcBorders>
              <w:top w:val="nil"/>
              <w:left w:val="single" w:sz="4" w:space="0" w:color="auto"/>
              <w:bottom w:val="nil"/>
              <w:right w:val="single" w:sz="4" w:space="0" w:color="auto"/>
            </w:tcBorders>
          </w:tcPr>
          <w:p w14:paraId="33676B7F"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23.8</w:t>
            </w:r>
          </w:p>
        </w:tc>
      </w:tr>
      <w:tr w:rsidR="003A1C38" w:rsidRPr="003A1C38" w14:paraId="25B9A8A6" w14:textId="77777777" w:rsidTr="00372000">
        <w:trPr>
          <w:jc w:val="center"/>
        </w:trPr>
        <w:tc>
          <w:tcPr>
            <w:tcW w:w="4718" w:type="dxa"/>
            <w:tcBorders>
              <w:top w:val="nil"/>
              <w:left w:val="single" w:sz="4" w:space="0" w:color="auto"/>
              <w:bottom w:val="nil"/>
              <w:right w:val="single" w:sz="4" w:space="0" w:color="auto"/>
            </w:tcBorders>
          </w:tcPr>
          <w:p w14:paraId="39626AE5"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Costos fiscales ISSSTE (administrados por la SHCP)</w:t>
            </w:r>
          </w:p>
        </w:tc>
        <w:tc>
          <w:tcPr>
            <w:tcW w:w="2409" w:type="dxa"/>
            <w:tcBorders>
              <w:top w:val="nil"/>
              <w:left w:val="single" w:sz="4" w:space="0" w:color="auto"/>
              <w:bottom w:val="nil"/>
              <w:right w:val="single" w:sz="4" w:space="0" w:color="auto"/>
            </w:tcBorders>
          </w:tcPr>
          <w:p w14:paraId="0FAB9C40"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3 256 662.6</w:t>
            </w:r>
          </w:p>
        </w:tc>
        <w:tc>
          <w:tcPr>
            <w:tcW w:w="1373" w:type="dxa"/>
            <w:tcBorders>
              <w:top w:val="nil"/>
              <w:left w:val="single" w:sz="4" w:space="0" w:color="auto"/>
              <w:bottom w:val="nil"/>
              <w:right w:val="single" w:sz="4" w:space="0" w:color="auto"/>
            </w:tcBorders>
          </w:tcPr>
          <w:p w14:paraId="4595FA8C"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24.5</w:t>
            </w:r>
          </w:p>
        </w:tc>
      </w:tr>
      <w:tr w:rsidR="003A1C38" w:rsidRPr="003A1C38" w14:paraId="432D4B6E" w14:textId="77777777" w:rsidTr="00372000">
        <w:trPr>
          <w:jc w:val="center"/>
        </w:trPr>
        <w:tc>
          <w:tcPr>
            <w:tcW w:w="4718" w:type="dxa"/>
            <w:tcBorders>
              <w:top w:val="nil"/>
              <w:left w:val="single" w:sz="4" w:space="0" w:color="auto"/>
              <w:bottom w:val="nil"/>
              <w:right w:val="single" w:sz="4" w:space="0" w:color="auto"/>
            </w:tcBorders>
          </w:tcPr>
          <w:p w14:paraId="5E87AF5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Entidades paraestatales</w:t>
            </w:r>
          </w:p>
        </w:tc>
        <w:tc>
          <w:tcPr>
            <w:tcW w:w="2409" w:type="dxa"/>
            <w:tcBorders>
              <w:top w:val="nil"/>
              <w:left w:val="single" w:sz="4" w:space="0" w:color="auto"/>
              <w:bottom w:val="nil"/>
              <w:right w:val="single" w:sz="4" w:space="0" w:color="auto"/>
            </w:tcBorders>
          </w:tcPr>
          <w:p w14:paraId="165E5794"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1 676 625.0</w:t>
            </w:r>
          </w:p>
        </w:tc>
        <w:tc>
          <w:tcPr>
            <w:tcW w:w="1373" w:type="dxa"/>
            <w:tcBorders>
              <w:top w:val="nil"/>
              <w:left w:val="single" w:sz="4" w:space="0" w:color="auto"/>
              <w:bottom w:val="nil"/>
              <w:right w:val="single" w:sz="4" w:space="0" w:color="auto"/>
            </w:tcBorders>
          </w:tcPr>
          <w:p w14:paraId="3C527A5E"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12.6</w:t>
            </w:r>
          </w:p>
        </w:tc>
      </w:tr>
      <w:tr w:rsidR="003A1C38" w:rsidRPr="003A1C38" w14:paraId="671DF9E4" w14:textId="77777777" w:rsidTr="00372000">
        <w:trPr>
          <w:jc w:val="center"/>
        </w:trPr>
        <w:tc>
          <w:tcPr>
            <w:tcW w:w="4718" w:type="dxa"/>
            <w:tcBorders>
              <w:top w:val="nil"/>
              <w:left w:val="single" w:sz="4" w:space="0" w:color="auto"/>
              <w:bottom w:val="nil"/>
              <w:right w:val="single" w:sz="4" w:space="0" w:color="auto"/>
            </w:tcBorders>
          </w:tcPr>
          <w:p w14:paraId="3BB3884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Entidades en proceso de liquidación</w:t>
            </w:r>
          </w:p>
        </w:tc>
        <w:tc>
          <w:tcPr>
            <w:tcW w:w="2409" w:type="dxa"/>
            <w:tcBorders>
              <w:top w:val="nil"/>
              <w:left w:val="single" w:sz="4" w:space="0" w:color="auto"/>
              <w:bottom w:val="nil"/>
              <w:right w:val="single" w:sz="4" w:space="0" w:color="auto"/>
            </w:tcBorders>
          </w:tcPr>
          <w:p w14:paraId="718043BD"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375 240.8</w:t>
            </w:r>
          </w:p>
        </w:tc>
        <w:tc>
          <w:tcPr>
            <w:tcW w:w="1373" w:type="dxa"/>
            <w:tcBorders>
              <w:top w:val="nil"/>
              <w:left w:val="single" w:sz="4" w:space="0" w:color="auto"/>
              <w:bottom w:val="nil"/>
              <w:right w:val="single" w:sz="4" w:space="0" w:color="auto"/>
            </w:tcBorders>
          </w:tcPr>
          <w:p w14:paraId="60B3A717"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2.8</w:t>
            </w:r>
          </w:p>
        </w:tc>
      </w:tr>
      <w:tr w:rsidR="003A1C38" w:rsidRPr="003A1C38" w14:paraId="7C1E85CC" w14:textId="77777777" w:rsidTr="00372000">
        <w:trPr>
          <w:jc w:val="center"/>
        </w:trPr>
        <w:tc>
          <w:tcPr>
            <w:tcW w:w="4718" w:type="dxa"/>
            <w:tcBorders>
              <w:top w:val="nil"/>
              <w:left w:val="single" w:sz="4" w:space="0" w:color="auto"/>
              <w:bottom w:val="nil"/>
              <w:right w:val="single" w:sz="4" w:space="0" w:color="auto"/>
            </w:tcBorders>
          </w:tcPr>
          <w:p w14:paraId="0408862F"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Sociedades nacionales de crédito</w:t>
            </w:r>
          </w:p>
        </w:tc>
        <w:tc>
          <w:tcPr>
            <w:tcW w:w="2409" w:type="dxa"/>
            <w:tcBorders>
              <w:top w:val="nil"/>
              <w:left w:val="single" w:sz="4" w:space="0" w:color="auto"/>
              <w:bottom w:val="nil"/>
              <w:right w:val="single" w:sz="4" w:space="0" w:color="auto"/>
            </w:tcBorders>
          </w:tcPr>
          <w:p w14:paraId="56107132"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38 811.5</w:t>
            </w:r>
          </w:p>
        </w:tc>
        <w:tc>
          <w:tcPr>
            <w:tcW w:w="1373" w:type="dxa"/>
            <w:tcBorders>
              <w:top w:val="nil"/>
              <w:left w:val="single" w:sz="4" w:space="0" w:color="auto"/>
              <w:bottom w:val="nil"/>
              <w:right w:val="single" w:sz="4" w:space="0" w:color="auto"/>
            </w:tcBorders>
          </w:tcPr>
          <w:p w14:paraId="4FD366E0"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0.3</w:t>
            </w:r>
          </w:p>
        </w:tc>
      </w:tr>
      <w:tr w:rsidR="003A1C38" w:rsidRPr="003A1C38" w14:paraId="58748F5F" w14:textId="77777777" w:rsidTr="00372000">
        <w:trPr>
          <w:jc w:val="center"/>
        </w:trPr>
        <w:tc>
          <w:tcPr>
            <w:tcW w:w="4718" w:type="dxa"/>
            <w:tcBorders>
              <w:top w:val="nil"/>
              <w:left w:val="single" w:sz="4" w:space="0" w:color="auto"/>
              <w:bottom w:val="nil"/>
              <w:right w:val="single" w:sz="4" w:space="0" w:color="auto"/>
            </w:tcBorders>
          </w:tcPr>
          <w:p w14:paraId="39FFEEED"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Otras entidades con obligaciones pensionarias</w:t>
            </w:r>
          </w:p>
        </w:tc>
        <w:tc>
          <w:tcPr>
            <w:tcW w:w="2409" w:type="dxa"/>
            <w:tcBorders>
              <w:top w:val="nil"/>
              <w:left w:val="single" w:sz="4" w:space="0" w:color="auto"/>
              <w:bottom w:val="nil"/>
              <w:right w:val="single" w:sz="4" w:space="0" w:color="auto"/>
            </w:tcBorders>
          </w:tcPr>
          <w:p w14:paraId="2A7DD1D7"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22 953.6</w:t>
            </w:r>
          </w:p>
        </w:tc>
        <w:tc>
          <w:tcPr>
            <w:tcW w:w="1373" w:type="dxa"/>
            <w:tcBorders>
              <w:top w:val="nil"/>
              <w:left w:val="single" w:sz="4" w:space="0" w:color="auto"/>
              <w:bottom w:val="nil"/>
              <w:right w:val="single" w:sz="4" w:space="0" w:color="auto"/>
            </w:tcBorders>
          </w:tcPr>
          <w:p w14:paraId="37E7F37B"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0.2</w:t>
            </w:r>
          </w:p>
        </w:tc>
      </w:tr>
      <w:tr w:rsidR="003A1C38" w:rsidRPr="003A1C38" w14:paraId="73BAB65B" w14:textId="77777777" w:rsidTr="00372000">
        <w:trPr>
          <w:jc w:val="center"/>
        </w:trPr>
        <w:tc>
          <w:tcPr>
            <w:tcW w:w="4718" w:type="dxa"/>
            <w:tcBorders>
              <w:top w:val="nil"/>
              <w:left w:val="single" w:sz="4" w:space="0" w:color="auto"/>
              <w:bottom w:val="nil"/>
              <w:right w:val="single" w:sz="4" w:space="0" w:color="auto"/>
            </w:tcBorders>
          </w:tcPr>
          <w:p w14:paraId="0AAD199D" w14:textId="77777777" w:rsidR="003A1C38" w:rsidRPr="003A1C38" w:rsidRDefault="003A1C38" w:rsidP="003518F4">
            <w:pPr>
              <w:numPr>
                <w:ilvl w:val="0"/>
                <w:numId w:val="169"/>
              </w:numPr>
              <w:ind w:left="357" w:hanging="357"/>
              <w:contextualSpacing/>
              <w:jc w:val="both"/>
              <w:rPr>
                <w:rFonts w:eastAsia="Calibri"/>
                <w:b/>
                <w:sz w:val="20"/>
                <w:szCs w:val="20"/>
                <w:lang w:eastAsia="en-US"/>
              </w:rPr>
            </w:pPr>
            <w:r w:rsidRPr="003A1C38">
              <w:rPr>
                <w:rFonts w:eastAsia="Calibri"/>
                <w:b/>
                <w:sz w:val="20"/>
                <w:szCs w:val="20"/>
                <w:lang w:eastAsia="en-US"/>
              </w:rPr>
              <w:t>Poder judicial</w:t>
            </w:r>
          </w:p>
        </w:tc>
        <w:tc>
          <w:tcPr>
            <w:tcW w:w="2409" w:type="dxa"/>
            <w:tcBorders>
              <w:top w:val="nil"/>
              <w:left w:val="single" w:sz="4" w:space="0" w:color="auto"/>
              <w:bottom w:val="nil"/>
              <w:right w:val="single" w:sz="4" w:space="0" w:color="auto"/>
            </w:tcBorders>
          </w:tcPr>
          <w:p w14:paraId="2DBC574E" w14:textId="77777777" w:rsidR="003A1C38" w:rsidRPr="003A1C38" w:rsidRDefault="003A1C38" w:rsidP="003A1C38">
            <w:pPr>
              <w:ind w:right="567"/>
              <w:jc w:val="right"/>
              <w:rPr>
                <w:rFonts w:eastAsia="Calibri"/>
                <w:b/>
                <w:sz w:val="20"/>
                <w:szCs w:val="20"/>
                <w:lang w:eastAsia="en-US"/>
              </w:rPr>
            </w:pPr>
            <w:r w:rsidRPr="003A1C38">
              <w:rPr>
                <w:rFonts w:eastAsia="Calibri"/>
                <w:b/>
                <w:sz w:val="20"/>
                <w:szCs w:val="20"/>
                <w:lang w:eastAsia="en-US"/>
              </w:rPr>
              <w:t>11 483.5</w:t>
            </w:r>
          </w:p>
        </w:tc>
        <w:tc>
          <w:tcPr>
            <w:tcW w:w="1373" w:type="dxa"/>
            <w:tcBorders>
              <w:top w:val="nil"/>
              <w:left w:val="single" w:sz="4" w:space="0" w:color="auto"/>
              <w:bottom w:val="nil"/>
              <w:right w:val="single" w:sz="4" w:space="0" w:color="auto"/>
            </w:tcBorders>
          </w:tcPr>
          <w:p w14:paraId="2D6E18D0" w14:textId="77777777" w:rsidR="003A1C38" w:rsidRPr="003A1C38" w:rsidRDefault="003A1C38" w:rsidP="003A1C38">
            <w:pPr>
              <w:ind w:right="340"/>
              <w:jc w:val="right"/>
              <w:rPr>
                <w:rFonts w:eastAsia="Calibri"/>
                <w:b/>
                <w:sz w:val="20"/>
                <w:szCs w:val="20"/>
                <w:lang w:eastAsia="en-US"/>
              </w:rPr>
            </w:pPr>
            <w:r w:rsidRPr="003A1C38">
              <w:rPr>
                <w:rFonts w:eastAsia="Calibri"/>
                <w:b/>
                <w:sz w:val="20"/>
                <w:szCs w:val="20"/>
                <w:lang w:eastAsia="en-US"/>
              </w:rPr>
              <w:t>0.1</w:t>
            </w:r>
          </w:p>
        </w:tc>
      </w:tr>
      <w:tr w:rsidR="003A1C38" w:rsidRPr="003A1C38" w14:paraId="574E4C1A" w14:textId="77777777" w:rsidTr="00372000">
        <w:trPr>
          <w:jc w:val="center"/>
        </w:trPr>
        <w:tc>
          <w:tcPr>
            <w:tcW w:w="4718" w:type="dxa"/>
            <w:tcBorders>
              <w:top w:val="nil"/>
              <w:left w:val="single" w:sz="4" w:space="0" w:color="auto"/>
              <w:bottom w:val="nil"/>
              <w:right w:val="single" w:sz="4" w:space="0" w:color="auto"/>
            </w:tcBorders>
          </w:tcPr>
          <w:p w14:paraId="5CF2B63F"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Consejo de la Judicatura Federal</w:t>
            </w:r>
          </w:p>
        </w:tc>
        <w:tc>
          <w:tcPr>
            <w:tcW w:w="2409" w:type="dxa"/>
            <w:tcBorders>
              <w:top w:val="nil"/>
              <w:left w:val="single" w:sz="4" w:space="0" w:color="auto"/>
              <w:bottom w:val="nil"/>
              <w:right w:val="single" w:sz="4" w:space="0" w:color="auto"/>
            </w:tcBorders>
          </w:tcPr>
          <w:p w14:paraId="66466C05"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9 967.8</w:t>
            </w:r>
          </w:p>
        </w:tc>
        <w:tc>
          <w:tcPr>
            <w:tcW w:w="1373" w:type="dxa"/>
            <w:tcBorders>
              <w:top w:val="nil"/>
              <w:left w:val="single" w:sz="4" w:space="0" w:color="auto"/>
              <w:bottom w:val="nil"/>
              <w:right w:val="single" w:sz="4" w:space="0" w:color="auto"/>
            </w:tcBorders>
          </w:tcPr>
          <w:p w14:paraId="36AAF38D"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0.1</w:t>
            </w:r>
          </w:p>
        </w:tc>
      </w:tr>
      <w:tr w:rsidR="003A1C38" w:rsidRPr="003A1C38" w14:paraId="26004927" w14:textId="77777777" w:rsidTr="00372000">
        <w:trPr>
          <w:jc w:val="center"/>
        </w:trPr>
        <w:tc>
          <w:tcPr>
            <w:tcW w:w="4718" w:type="dxa"/>
            <w:tcBorders>
              <w:top w:val="nil"/>
              <w:left w:val="single" w:sz="4" w:space="0" w:color="auto"/>
              <w:bottom w:val="nil"/>
              <w:right w:val="single" w:sz="4" w:space="0" w:color="auto"/>
            </w:tcBorders>
          </w:tcPr>
          <w:p w14:paraId="71CA6027"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Suprema Corte de Justicia de la Nación</w:t>
            </w:r>
          </w:p>
        </w:tc>
        <w:tc>
          <w:tcPr>
            <w:tcW w:w="2409" w:type="dxa"/>
            <w:tcBorders>
              <w:top w:val="nil"/>
              <w:left w:val="single" w:sz="4" w:space="0" w:color="auto"/>
              <w:bottom w:val="nil"/>
              <w:right w:val="single" w:sz="4" w:space="0" w:color="auto"/>
            </w:tcBorders>
          </w:tcPr>
          <w:p w14:paraId="7BD7A8C8"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1 515.7</w:t>
            </w:r>
          </w:p>
        </w:tc>
        <w:tc>
          <w:tcPr>
            <w:tcW w:w="1373" w:type="dxa"/>
            <w:tcBorders>
              <w:top w:val="nil"/>
              <w:left w:val="single" w:sz="4" w:space="0" w:color="auto"/>
              <w:bottom w:val="nil"/>
              <w:right w:val="single" w:sz="4" w:space="0" w:color="auto"/>
            </w:tcBorders>
          </w:tcPr>
          <w:p w14:paraId="1B730129"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0.0</w:t>
            </w:r>
          </w:p>
        </w:tc>
      </w:tr>
      <w:tr w:rsidR="003A1C38" w:rsidRPr="003A1C38" w14:paraId="553A138A" w14:textId="77777777" w:rsidTr="00372000">
        <w:trPr>
          <w:jc w:val="center"/>
        </w:trPr>
        <w:tc>
          <w:tcPr>
            <w:tcW w:w="4718" w:type="dxa"/>
            <w:tcBorders>
              <w:top w:val="nil"/>
              <w:left w:val="single" w:sz="4" w:space="0" w:color="auto"/>
              <w:bottom w:val="nil"/>
              <w:right w:val="single" w:sz="4" w:space="0" w:color="auto"/>
            </w:tcBorders>
          </w:tcPr>
          <w:p w14:paraId="74032D0A" w14:textId="77777777" w:rsidR="003A1C38" w:rsidRPr="003A1C38" w:rsidRDefault="003A1C38" w:rsidP="003518F4">
            <w:pPr>
              <w:numPr>
                <w:ilvl w:val="0"/>
                <w:numId w:val="169"/>
              </w:numPr>
              <w:ind w:left="357" w:hanging="357"/>
              <w:contextualSpacing/>
              <w:jc w:val="both"/>
              <w:rPr>
                <w:rFonts w:eastAsia="Calibri"/>
                <w:b/>
                <w:sz w:val="20"/>
                <w:szCs w:val="20"/>
                <w:lang w:eastAsia="en-US"/>
              </w:rPr>
            </w:pPr>
            <w:r w:rsidRPr="003A1C38">
              <w:rPr>
                <w:rFonts w:eastAsia="Calibri"/>
                <w:b/>
                <w:sz w:val="20"/>
                <w:szCs w:val="20"/>
                <w:lang w:eastAsia="en-US"/>
              </w:rPr>
              <w:t>Organismos autónomos</w:t>
            </w:r>
          </w:p>
        </w:tc>
        <w:tc>
          <w:tcPr>
            <w:tcW w:w="2409" w:type="dxa"/>
            <w:tcBorders>
              <w:top w:val="nil"/>
              <w:left w:val="single" w:sz="4" w:space="0" w:color="auto"/>
              <w:bottom w:val="nil"/>
              <w:right w:val="single" w:sz="4" w:space="0" w:color="auto"/>
            </w:tcBorders>
          </w:tcPr>
          <w:p w14:paraId="38E3CA99" w14:textId="77777777" w:rsidR="003A1C38" w:rsidRPr="003A1C38" w:rsidRDefault="003A1C38" w:rsidP="003A1C38">
            <w:pPr>
              <w:ind w:right="567"/>
              <w:jc w:val="right"/>
              <w:rPr>
                <w:rFonts w:eastAsia="Calibri"/>
                <w:b/>
                <w:sz w:val="20"/>
                <w:szCs w:val="20"/>
                <w:lang w:eastAsia="en-US"/>
              </w:rPr>
            </w:pPr>
            <w:r w:rsidRPr="003A1C38">
              <w:rPr>
                <w:rFonts w:eastAsia="Calibri"/>
                <w:b/>
                <w:sz w:val="20"/>
                <w:szCs w:val="20"/>
                <w:lang w:eastAsia="en-US"/>
              </w:rPr>
              <w:t>624 964.4</w:t>
            </w:r>
          </w:p>
        </w:tc>
        <w:tc>
          <w:tcPr>
            <w:tcW w:w="1373" w:type="dxa"/>
            <w:tcBorders>
              <w:top w:val="nil"/>
              <w:left w:val="single" w:sz="4" w:space="0" w:color="auto"/>
              <w:bottom w:val="nil"/>
              <w:right w:val="single" w:sz="4" w:space="0" w:color="auto"/>
            </w:tcBorders>
          </w:tcPr>
          <w:p w14:paraId="15E03410" w14:textId="77777777" w:rsidR="003A1C38" w:rsidRPr="003A1C38" w:rsidRDefault="003A1C38" w:rsidP="003A1C38">
            <w:pPr>
              <w:ind w:right="340"/>
              <w:jc w:val="right"/>
              <w:rPr>
                <w:rFonts w:eastAsia="Calibri"/>
                <w:b/>
                <w:sz w:val="20"/>
                <w:szCs w:val="20"/>
                <w:lang w:eastAsia="en-US"/>
              </w:rPr>
            </w:pPr>
            <w:r w:rsidRPr="003A1C38">
              <w:rPr>
                <w:rFonts w:eastAsia="Calibri"/>
                <w:b/>
                <w:sz w:val="20"/>
                <w:szCs w:val="20"/>
                <w:lang w:eastAsia="en-US"/>
              </w:rPr>
              <w:t>4.7</w:t>
            </w:r>
          </w:p>
        </w:tc>
      </w:tr>
      <w:tr w:rsidR="003A1C38" w:rsidRPr="003A1C38" w14:paraId="786EBAC7" w14:textId="77777777" w:rsidTr="00372000">
        <w:trPr>
          <w:jc w:val="center"/>
        </w:trPr>
        <w:tc>
          <w:tcPr>
            <w:tcW w:w="4718" w:type="dxa"/>
            <w:tcBorders>
              <w:top w:val="nil"/>
              <w:left w:val="single" w:sz="4" w:space="0" w:color="auto"/>
              <w:bottom w:val="nil"/>
              <w:right w:val="single" w:sz="4" w:space="0" w:color="auto"/>
            </w:tcBorders>
          </w:tcPr>
          <w:p w14:paraId="300C8B25"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Universidades públicas estatales</w:t>
            </w:r>
          </w:p>
        </w:tc>
        <w:tc>
          <w:tcPr>
            <w:tcW w:w="2409" w:type="dxa"/>
            <w:tcBorders>
              <w:top w:val="nil"/>
              <w:left w:val="single" w:sz="4" w:space="0" w:color="auto"/>
              <w:bottom w:val="nil"/>
              <w:right w:val="single" w:sz="4" w:space="0" w:color="auto"/>
            </w:tcBorders>
          </w:tcPr>
          <w:p w14:paraId="6C42E780"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559 338.0</w:t>
            </w:r>
          </w:p>
        </w:tc>
        <w:tc>
          <w:tcPr>
            <w:tcW w:w="1373" w:type="dxa"/>
            <w:tcBorders>
              <w:top w:val="nil"/>
              <w:left w:val="single" w:sz="4" w:space="0" w:color="auto"/>
              <w:bottom w:val="nil"/>
              <w:right w:val="single" w:sz="4" w:space="0" w:color="auto"/>
            </w:tcBorders>
          </w:tcPr>
          <w:p w14:paraId="5DB80A44"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4.2</w:t>
            </w:r>
          </w:p>
        </w:tc>
      </w:tr>
      <w:tr w:rsidR="003A1C38" w:rsidRPr="003A1C38" w14:paraId="445AF14A" w14:textId="77777777" w:rsidTr="00372000">
        <w:trPr>
          <w:jc w:val="center"/>
        </w:trPr>
        <w:tc>
          <w:tcPr>
            <w:tcW w:w="4718" w:type="dxa"/>
            <w:tcBorders>
              <w:top w:val="nil"/>
              <w:left w:val="single" w:sz="4" w:space="0" w:color="auto"/>
              <w:bottom w:val="nil"/>
              <w:right w:val="single" w:sz="4" w:space="0" w:color="auto"/>
            </w:tcBorders>
          </w:tcPr>
          <w:p w14:paraId="4B004998"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Banco de México</w:t>
            </w:r>
          </w:p>
        </w:tc>
        <w:tc>
          <w:tcPr>
            <w:tcW w:w="2409" w:type="dxa"/>
            <w:tcBorders>
              <w:top w:val="nil"/>
              <w:left w:val="single" w:sz="4" w:space="0" w:color="auto"/>
              <w:bottom w:val="nil"/>
              <w:right w:val="single" w:sz="4" w:space="0" w:color="auto"/>
            </w:tcBorders>
          </w:tcPr>
          <w:p w14:paraId="65143C3C" w14:textId="77777777" w:rsidR="003A1C38" w:rsidRPr="003A1C38" w:rsidRDefault="003A1C38" w:rsidP="003A1C38">
            <w:pPr>
              <w:ind w:right="567"/>
              <w:jc w:val="right"/>
              <w:rPr>
                <w:rFonts w:eastAsia="Calibri"/>
                <w:sz w:val="20"/>
                <w:szCs w:val="20"/>
                <w:lang w:eastAsia="en-US"/>
              </w:rPr>
            </w:pPr>
            <w:r w:rsidRPr="003A1C38">
              <w:rPr>
                <w:rFonts w:eastAsia="Calibri"/>
                <w:sz w:val="20"/>
                <w:szCs w:val="20"/>
                <w:lang w:eastAsia="en-US"/>
              </w:rPr>
              <w:t>65 626.4</w:t>
            </w:r>
          </w:p>
        </w:tc>
        <w:tc>
          <w:tcPr>
            <w:tcW w:w="1373" w:type="dxa"/>
            <w:tcBorders>
              <w:top w:val="nil"/>
              <w:left w:val="single" w:sz="4" w:space="0" w:color="auto"/>
              <w:bottom w:val="nil"/>
              <w:right w:val="single" w:sz="4" w:space="0" w:color="auto"/>
            </w:tcBorders>
          </w:tcPr>
          <w:p w14:paraId="5457B8D7" w14:textId="77777777" w:rsidR="003A1C38" w:rsidRPr="003A1C38" w:rsidRDefault="003A1C38" w:rsidP="003A1C38">
            <w:pPr>
              <w:ind w:right="340"/>
              <w:jc w:val="right"/>
              <w:rPr>
                <w:rFonts w:eastAsia="Calibri"/>
                <w:sz w:val="20"/>
                <w:szCs w:val="20"/>
                <w:lang w:eastAsia="en-US"/>
              </w:rPr>
            </w:pPr>
            <w:r w:rsidRPr="003A1C38">
              <w:rPr>
                <w:rFonts w:eastAsia="Calibri"/>
                <w:sz w:val="20"/>
                <w:szCs w:val="20"/>
                <w:lang w:eastAsia="en-US"/>
              </w:rPr>
              <w:t>0.5</w:t>
            </w:r>
          </w:p>
        </w:tc>
      </w:tr>
      <w:tr w:rsidR="003A1C38" w:rsidRPr="003A1C38" w14:paraId="7382FD4C" w14:textId="77777777" w:rsidTr="00372000">
        <w:trPr>
          <w:jc w:val="center"/>
        </w:trPr>
        <w:tc>
          <w:tcPr>
            <w:tcW w:w="4718" w:type="dxa"/>
            <w:tcBorders>
              <w:top w:val="nil"/>
              <w:left w:val="single" w:sz="4" w:space="0" w:color="auto"/>
              <w:bottom w:val="single" w:sz="4" w:space="0" w:color="auto"/>
              <w:right w:val="single" w:sz="4" w:space="0" w:color="auto"/>
            </w:tcBorders>
          </w:tcPr>
          <w:p w14:paraId="6FE76DE9" w14:textId="77777777" w:rsidR="003A1C38" w:rsidRPr="003A1C38" w:rsidRDefault="003A1C38" w:rsidP="003A1C38">
            <w:pPr>
              <w:jc w:val="both"/>
              <w:rPr>
                <w:rFonts w:eastAsia="Calibri"/>
                <w:b/>
                <w:sz w:val="20"/>
                <w:szCs w:val="20"/>
                <w:lang w:eastAsia="en-US"/>
              </w:rPr>
            </w:pPr>
            <w:r w:rsidRPr="003A1C38">
              <w:rPr>
                <w:rFonts w:eastAsia="Calibri"/>
                <w:b/>
                <w:sz w:val="20"/>
                <w:szCs w:val="20"/>
                <w:lang w:eastAsia="en-US"/>
              </w:rPr>
              <w:t>Total</w:t>
            </w:r>
          </w:p>
        </w:tc>
        <w:tc>
          <w:tcPr>
            <w:tcW w:w="2409" w:type="dxa"/>
            <w:tcBorders>
              <w:top w:val="nil"/>
              <w:left w:val="single" w:sz="4" w:space="0" w:color="auto"/>
              <w:bottom w:val="single" w:sz="4" w:space="0" w:color="auto"/>
              <w:right w:val="single" w:sz="4" w:space="0" w:color="auto"/>
            </w:tcBorders>
          </w:tcPr>
          <w:p w14:paraId="1C706F2B" w14:textId="77777777" w:rsidR="003A1C38" w:rsidRPr="003A1C38" w:rsidRDefault="003A1C38" w:rsidP="003A1C38">
            <w:pPr>
              <w:ind w:right="567" w:hanging="794"/>
              <w:jc w:val="right"/>
              <w:rPr>
                <w:rFonts w:eastAsia="Calibri"/>
                <w:b/>
                <w:sz w:val="20"/>
                <w:szCs w:val="20"/>
                <w:lang w:eastAsia="en-US"/>
              </w:rPr>
            </w:pPr>
            <w:r w:rsidRPr="003A1C38">
              <w:rPr>
                <w:rFonts w:eastAsia="Calibri"/>
                <w:b/>
                <w:sz w:val="20"/>
                <w:szCs w:val="20"/>
                <w:lang w:eastAsia="en-US"/>
              </w:rPr>
              <w:t>9 167 903.4</w:t>
            </w:r>
          </w:p>
        </w:tc>
        <w:tc>
          <w:tcPr>
            <w:tcW w:w="1373" w:type="dxa"/>
            <w:tcBorders>
              <w:top w:val="nil"/>
              <w:left w:val="single" w:sz="4" w:space="0" w:color="auto"/>
              <w:bottom w:val="single" w:sz="4" w:space="0" w:color="auto"/>
              <w:right w:val="single" w:sz="4" w:space="0" w:color="auto"/>
            </w:tcBorders>
          </w:tcPr>
          <w:p w14:paraId="20659146" w14:textId="77777777" w:rsidR="003A1C38" w:rsidRPr="003A1C38" w:rsidRDefault="003A1C38" w:rsidP="003A1C38">
            <w:pPr>
              <w:ind w:right="340"/>
              <w:jc w:val="right"/>
              <w:rPr>
                <w:rFonts w:eastAsia="Calibri"/>
                <w:b/>
                <w:sz w:val="20"/>
                <w:szCs w:val="20"/>
                <w:lang w:eastAsia="en-US"/>
              </w:rPr>
            </w:pPr>
            <w:r w:rsidRPr="003A1C38">
              <w:rPr>
                <w:rFonts w:eastAsia="Calibri"/>
                <w:b/>
                <w:sz w:val="20"/>
                <w:szCs w:val="20"/>
                <w:lang w:eastAsia="en-US"/>
              </w:rPr>
              <w:t>69.0</w:t>
            </w:r>
          </w:p>
        </w:tc>
      </w:tr>
      <w:tr w:rsidR="003A1C38" w:rsidRPr="003A1C38" w14:paraId="3AC0604B" w14:textId="77777777" w:rsidTr="00372000">
        <w:trPr>
          <w:jc w:val="center"/>
        </w:trPr>
        <w:tc>
          <w:tcPr>
            <w:tcW w:w="8500" w:type="dxa"/>
            <w:gridSpan w:val="3"/>
            <w:tcBorders>
              <w:top w:val="single" w:sz="4" w:space="0" w:color="auto"/>
              <w:left w:val="nil"/>
              <w:bottom w:val="nil"/>
              <w:right w:val="nil"/>
            </w:tcBorders>
          </w:tcPr>
          <w:p w14:paraId="033C48C5" w14:textId="77777777" w:rsidR="003A1C38" w:rsidRPr="003A1C38" w:rsidRDefault="003A1C38" w:rsidP="003A1C38">
            <w:pPr>
              <w:ind w:left="907" w:hanging="907"/>
              <w:jc w:val="both"/>
              <w:rPr>
                <w:rFonts w:eastAsia="Calibri"/>
                <w:sz w:val="20"/>
                <w:szCs w:val="20"/>
                <w:lang w:eastAsia="en-US"/>
              </w:rPr>
            </w:pPr>
            <w:r w:rsidRPr="003A1C38">
              <w:rPr>
                <w:rFonts w:eastAsia="Calibri"/>
                <w:sz w:val="20"/>
                <w:szCs w:val="20"/>
                <w:lang w:eastAsia="en-US"/>
              </w:rPr>
              <w:t>FUENTE: Auditoría Superior de la Federación, “Evaluación de la Política Pública de Pensiones y Jubilaciones.</w:t>
            </w:r>
          </w:p>
        </w:tc>
      </w:tr>
    </w:tbl>
    <w:p w14:paraId="013AF5F8" w14:textId="77777777" w:rsidR="003A1C38" w:rsidRPr="003A1C38" w:rsidRDefault="003A1C38" w:rsidP="003A1C38">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3A1C38" w:rsidRPr="003A1C38" w14:paraId="2A480F16" w14:textId="77777777" w:rsidTr="004257D5">
        <w:tc>
          <w:tcPr>
            <w:tcW w:w="8828" w:type="dxa"/>
          </w:tcPr>
          <w:p w14:paraId="4DFAD19B" w14:textId="77777777" w:rsidR="003A1C38" w:rsidRPr="003A1C38" w:rsidRDefault="003A1C38" w:rsidP="003A1C38">
            <w:pPr>
              <w:spacing w:before="120" w:after="120" w:line="360" w:lineRule="auto"/>
              <w:jc w:val="both"/>
              <w:rPr>
                <w:rFonts w:eastAsia="Calibri"/>
                <w:sz w:val="26"/>
                <w:szCs w:val="26"/>
                <w:lang w:eastAsia="en-US"/>
              </w:rPr>
            </w:pPr>
            <w:r w:rsidRPr="003A1C38">
              <w:rPr>
                <w:rFonts w:eastAsia="Calibri"/>
                <w:sz w:val="26"/>
                <w:szCs w:val="26"/>
                <w:lang w:eastAsia="en-US"/>
              </w:rPr>
              <w:t>¿Qué hacer? Impulsar gradualmente una transición hacia regímenes de contribución definida. Asimismo, facilitar el paso hacia un sistema nacional de pensiones integrado que permita la portabilidad de recursos.</w:t>
            </w:r>
          </w:p>
        </w:tc>
      </w:tr>
    </w:tbl>
    <w:p w14:paraId="297793E3" w14:textId="77777777" w:rsidR="003A1C38" w:rsidRPr="003A1C38" w:rsidRDefault="003A1C38" w:rsidP="003A1C38">
      <w:pPr>
        <w:spacing w:after="360" w:line="360" w:lineRule="auto"/>
        <w:ind w:right="-159"/>
        <w:jc w:val="both"/>
        <w:rPr>
          <w:rFonts w:eastAsia="Calibri"/>
          <w:sz w:val="26"/>
          <w:szCs w:val="26"/>
          <w:lang w:eastAsia="en-US"/>
        </w:rPr>
      </w:pPr>
    </w:p>
    <w:p w14:paraId="6B713D95"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lastRenderedPageBreak/>
        <w:t>Pilar Dos: Patrimonio Pensionario</w:t>
      </w:r>
    </w:p>
    <w:p w14:paraId="72548053" w14:textId="77777777" w:rsidR="003A1C38" w:rsidRPr="003A1C38" w:rsidRDefault="003A1C38" w:rsidP="003518F4">
      <w:pPr>
        <w:numPr>
          <w:ilvl w:val="0"/>
          <w:numId w:val="175"/>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principal objetivo de los sistemas de pensiones de CD es que los trabajadores perciban montos pensionarios adecuados al final de su vida laboral; el indicador utilizado para evaluarlo es la tasa de reemplazo. Factores que la determinan:</w:t>
      </w:r>
    </w:p>
    <w:p w14:paraId="2ECBF274" w14:textId="77777777" w:rsidR="003A1C38" w:rsidRPr="003A1C38" w:rsidRDefault="003A1C38" w:rsidP="003A1C38">
      <w:pPr>
        <w:spacing w:after="160" w:line="259" w:lineRule="auto"/>
        <w:jc w:val="center"/>
        <w:rPr>
          <w:rFonts w:eastAsia="Calibri"/>
          <w:sz w:val="26"/>
          <w:szCs w:val="26"/>
          <w:lang w:eastAsia="en-US"/>
        </w:rPr>
      </w:pPr>
      <w:r w:rsidRPr="003A1C38">
        <w:rPr>
          <w:rFonts w:ascii="Calibri" w:eastAsia="Calibri" w:hAnsi="Calibri"/>
          <w:sz w:val="22"/>
          <w:szCs w:val="22"/>
          <w:lang w:eastAsia="en-US"/>
        </w:rPr>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CONSAR.pptx!265"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444D9ADF" wp14:editId="703B2DB5">
            <wp:extent cx="3910965" cy="2638425"/>
            <wp:effectExtent l="0" t="0" r="0" b="9525"/>
            <wp:docPr id="1883" name="Imagen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78" cstate="print">
                      <a:extLst>
                        <a:ext uri="{28A0092B-C50C-407E-A947-70E740481C1C}">
                          <a14:useLocalDpi xmlns:a14="http://schemas.microsoft.com/office/drawing/2010/main" val="0"/>
                        </a:ext>
                      </a:extLst>
                    </a:blip>
                    <a:srcRect l="7307" t="12500" r="6889" b="10556"/>
                    <a:stretch>
                      <a:fillRect/>
                    </a:stretch>
                  </pic:blipFill>
                  <pic:spPr bwMode="auto">
                    <a:xfrm>
                      <a:off x="0" y="0"/>
                      <a:ext cx="3910965" cy="2638425"/>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p w14:paraId="6121212F" w14:textId="77777777" w:rsidR="003A1C38" w:rsidRPr="003A1C38" w:rsidRDefault="003A1C38" w:rsidP="003A1C38">
      <w:pPr>
        <w:spacing w:after="360" w:line="360" w:lineRule="auto"/>
        <w:ind w:right="-159"/>
        <w:rPr>
          <w:rFonts w:eastAsia="Calibri"/>
          <w:b/>
          <w:sz w:val="26"/>
          <w:szCs w:val="26"/>
          <w:lang w:eastAsia="en-US"/>
        </w:rPr>
      </w:pPr>
      <w:r w:rsidRPr="003A1C38">
        <w:rPr>
          <w:rFonts w:eastAsia="Calibri"/>
          <w:b/>
          <w:sz w:val="26"/>
          <w:szCs w:val="26"/>
          <w:lang w:eastAsia="en-US"/>
        </w:rPr>
        <w:t>Pilar Dos: Tasas de aportación insuficientes</w:t>
      </w:r>
    </w:p>
    <w:p w14:paraId="4F02E822" w14:textId="77777777" w:rsidR="003A1C38" w:rsidRPr="003A1C38" w:rsidRDefault="003A1C38" w:rsidP="003518F4">
      <w:pPr>
        <w:numPr>
          <w:ilvl w:val="0"/>
          <w:numId w:val="176"/>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nivel actual de aportaciones es insuficiente para obtener una pensión adecuada, por lo que es preciso aumentar alguno de sus componentes.</w:t>
      </w:r>
    </w:p>
    <w:p w14:paraId="3D9034F2" w14:textId="77777777" w:rsidR="003A1C38" w:rsidRPr="003A1C38" w:rsidRDefault="003A1C38" w:rsidP="003518F4">
      <w:pPr>
        <w:numPr>
          <w:ilvl w:val="0"/>
          <w:numId w:val="176"/>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Instituto Mexicano del Seguro Social (IMSS) ha mantenido su aportación, desde inicios del sistema, en 6.5%, una tasa menor en comparación con otros países y trabajadores del Instituto de Seguridad y Servicios Sociales de los Trabajadores del Estado (ISSSTE).</w:t>
      </w:r>
    </w:p>
    <w:p w14:paraId="604C0486" w14:textId="77777777" w:rsidR="003A1C38" w:rsidRPr="003A1C38" w:rsidRDefault="003A1C38" w:rsidP="003A1C38">
      <w:pPr>
        <w:spacing w:after="360" w:line="360" w:lineRule="auto"/>
        <w:ind w:right="-159"/>
        <w:jc w:val="both"/>
        <w:rPr>
          <w:rFonts w:eastAsia="Calibri"/>
          <w:sz w:val="26"/>
          <w:szCs w:val="26"/>
          <w:lang w:eastAsia="en-US"/>
        </w:rPr>
      </w:pPr>
    </w:p>
    <w:p w14:paraId="5F567600" w14:textId="77777777" w:rsidR="003A1C38" w:rsidRPr="003A1C38" w:rsidRDefault="003A1C38" w:rsidP="003A1C38">
      <w:pPr>
        <w:spacing w:after="360" w:line="360" w:lineRule="auto"/>
        <w:ind w:right="-159"/>
        <w:jc w:val="both"/>
        <w:rPr>
          <w:rFonts w:eastAsia="Calibri"/>
          <w:sz w:val="26"/>
          <w:szCs w:val="26"/>
          <w:lang w:eastAsia="en-US"/>
        </w:rPr>
      </w:pPr>
    </w:p>
    <w:p w14:paraId="12F9B85E" w14:textId="77777777" w:rsidR="003A1C38" w:rsidRPr="003A1C38" w:rsidRDefault="003A1C38" w:rsidP="003A1C38">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3114"/>
        <w:gridCol w:w="1984"/>
      </w:tblGrid>
      <w:tr w:rsidR="003A1C38" w:rsidRPr="003A1C38" w14:paraId="7DF8FC37" w14:textId="77777777" w:rsidTr="00372000">
        <w:trPr>
          <w:jc w:val="center"/>
        </w:trPr>
        <w:tc>
          <w:tcPr>
            <w:tcW w:w="5098" w:type="dxa"/>
            <w:gridSpan w:val="2"/>
            <w:tcBorders>
              <w:top w:val="nil"/>
              <w:left w:val="nil"/>
              <w:bottom w:val="single" w:sz="4" w:space="0" w:color="auto"/>
              <w:right w:val="nil"/>
            </w:tcBorders>
          </w:tcPr>
          <w:p w14:paraId="1122A3E0"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lastRenderedPageBreak/>
              <w:t>TASAS DE APORTACION</w:t>
            </w:r>
          </w:p>
          <w:p w14:paraId="78F584EA"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-Países con CD-</w:t>
            </w:r>
          </w:p>
        </w:tc>
      </w:tr>
      <w:tr w:rsidR="003A1C38" w:rsidRPr="003A1C38" w14:paraId="51A80F99" w14:textId="77777777" w:rsidTr="00372000">
        <w:trPr>
          <w:jc w:val="center"/>
        </w:trPr>
        <w:tc>
          <w:tcPr>
            <w:tcW w:w="3114" w:type="dxa"/>
            <w:tcBorders>
              <w:top w:val="single" w:sz="4" w:space="0" w:color="auto"/>
              <w:left w:val="single" w:sz="4" w:space="0" w:color="auto"/>
              <w:bottom w:val="single" w:sz="4" w:space="0" w:color="auto"/>
              <w:right w:val="single" w:sz="4" w:space="0" w:color="auto"/>
            </w:tcBorders>
            <w:vAlign w:val="center"/>
          </w:tcPr>
          <w:p w14:paraId="53F0C9E2"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País</w:t>
            </w:r>
          </w:p>
        </w:tc>
        <w:tc>
          <w:tcPr>
            <w:tcW w:w="1984" w:type="dxa"/>
            <w:tcBorders>
              <w:top w:val="single" w:sz="4" w:space="0" w:color="auto"/>
              <w:left w:val="single" w:sz="4" w:space="0" w:color="auto"/>
              <w:bottom w:val="single" w:sz="4" w:space="0" w:color="auto"/>
              <w:right w:val="single" w:sz="4" w:space="0" w:color="auto"/>
            </w:tcBorders>
          </w:tcPr>
          <w:p w14:paraId="577DBF5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Tasa de aportación</w:t>
            </w:r>
          </w:p>
          <w:p w14:paraId="0E22371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w:t>
            </w:r>
          </w:p>
        </w:tc>
      </w:tr>
      <w:tr w:rsidR="003A1C38" w:rsidRPr="003A1C38" w14:paraId="5D1B391F" w14:textId="77777777" w:rsidTr="00372000">
        <w:trPr>
          <w:jc w:val="center"/>
        </w:trPr>
        <w:tc>
          <w:tcPr>
            <w:tcW w:w="3114" w:type="dxa"/>
            <w:tcBorders>
              <w:top w:val="single" w:sz="4" w:space="0" w:color="auto"/>
              <w:left w:val="single" w:sz="4" w:space="0" w:color="auto"/>
              <w:bottom w:val="nil"/>
              <w:right w:val="single" w:sz="4" w:space="0" w:color="auto"/>
            </w:tcBorders>
          </w:tcPr>
          <w:p w14:paraId="376B3ACC"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Suecia</w:t>
            </w:r>
          </w:p>
        </w:tc>
        <w:tc>
          <w:tcPr>
            <w:tcW w:w="1984" w:type="dxa"/>
            <w:tcBorders>
              <w:top w:val="single" w:sz="4" w:space="0" w:color="auto"/>
              <w:left w:val="single" w:sz="4" w:space="0" w:color="auto"/>
              <w:bottom w:val="nil"/>
              <w:right w:val="single" w:sz="4" w:space="0" w:color="auto"/>
            </w:tcBorders>
          </w:tcPr>
          <w:p w14:paraId="27BB724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17.2</w:t>
            </w:r>
          </w:p>
        </w:tc>
      </w:tr>
      <w:tr w:rsidR="003A1C38" w:rsidRPr="003A1C38" w14:paraId="75EFA985" w14:textId="77777777" w:rsidTr="00372000">
        <w:trPr>
          <w:jc w:val="center"/>
        </w:trPr>
        <w:tc>
          <w:tcPr>
            <w:tcW w:w="3114" w:type="dxa"/>
            <w:tcBorders>
              <w:top w:val="nil"/>
              <w:left w:val="single" w:sz="4" w:space="0" w:color="auto"/>
              <w:bottom w:val="nil"/>
              <w:right w:val="single" w:sz="4" w:space="0" w:color="auto"/>
            </w:tcBorders>
          </w:tcPr>
          <w:p w14:paraId="786B50B8"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Colombia</w:t>
            </w:r>
          </w:p>
        </w:tc>
        <w:tc>
          <w:tcPr>
            <w:tcW w:w="1984" w:type="dxa"/>
            <w:tcBorders>
              <w:top w:val="nil"/>
              <w:left w:val="single" w:sz="4" w:space="0" w:color="auto"/>
              <w:bottom w:val="nil"/>
              <w:right w:val="single" w:sz="4" w:space="0" w:color="auto"/>
            </w:tcBorders>
          </w:tcPr>
          <w:p w14:paraId="4804A9B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16.0</w:t>
            </w:r>
          </w:p>
        </w:tc>
      </w:tr>
      <w:tr w:rsidR="003A1C38" w:rsidRPr="003A1C38" w14:paraId="1F27DF14" w14:textId="77777777" w:rsidTr="00372000">
        <w:trPr>
          <w:jc w:val="center"/>
        </w:trPr>
        <w:tc>
          <w:tcPr>
            <w:tcW w:w="3114" w:type="dxa"/>
            <w:tcBorders>
              <w:top w:val="nil"/>
              <w:left w:val="single" w:sz="4" w:space="0" w:color="auto"/>
              <w:bottom w:val="nil"/>
              <w:right w:val="single" w:sz="4" w:space="0" w:color="auto"/>
            </w:tcBorders>
          </w:tcPr>
          <w:p w14:paraId="06473D92"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Israel</w:t>
            </w:r>
          </w:p>
        </w:tc>
        <w:tc>
          <w:tcPr>
            <w:tcW w:w="1984" w:type="dxa"/>
            <w:tcBorders>
              <w:top w:val="nil"/>
              <w:left w:val="single" w:sz="4" w:space="0" w:color="auto"/>
              <w:bottom w:val="nil"/>
              <w:right w:val="single" w:sz="4" w:space="0" w:color="auto"/>
            </w:tcBorders>
          </w:tcPr>
          <w:p w14:paraId="7611AD0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15.0</w:t>
            </w:r>
          </w:p>
        </w:tc>
      </w:tr>
      <w:tr w:rsidR="003A1C38" w:rsidRPr="003A1C38" w14:paraId="24E3E211" w14:textId="77777777" w:rsidTr="00372000">
        <w:trPr>
          <w:jc w:val="center"/>
        </w:trPr>
        <w:tc>
          <w:tcPr>
            <w:tcW w:w="3114" w:type="dxa"/>
            <w:tcBorders>
              <w:top w:val="nil"/>
              <w:left w:val="single" w:sz="4" w:space="0" w:color="auto"/>
              <w:bottom w:val="nil"/>
              <w:right w:val="single" w:sz="4" w:space="0" w:color="auto"/>
            </w:tcBorders>
          </w:tcPr>
          <w:p w14:paraId="57A5CDB8"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El Salvador</w:t>
            </w:r>
          </w:p>
        </w:tc>
        <w:tc>
          <w:tcPr>
            <w:tcW w:w="1984" w:type="dxa"/>
            <w:tcBorders>
              <w:top w:val="nil"/>
              <w:left w:val="single" w:sz="4" w:space="0" w:color="auto"/>
              <w:bottom w:val="nil"/>
              <w:right w:val="single" w:sz="4" w:space="0" w:color="auto"/>
            </w:tcBorders>
          </w:tcPr>
          <w:p w14:paraId="0ED1E25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13.0</w:t>
            </w:r>
          </w:p>
        </w:tc>
      </w:tr>
      <w:tr w:rsidR="003A1C38" w:rsidRPr="003A1C38" w14:paraId="78345FF6" w14:textId="77777777" w:rsidTr="00372000">
        <w:trPr>
          <w:jc w:val="center"/>
        </w:trPr>
        <w:tc>
          <w:tcPr>
            <w:tcW w:w="3114" w:type="dxa"/>
            <w:tcBorders>
              <w:top w:val="nil"/>
              <w:left w:val="single" w:sz="4" w:space="0" w:color="auto"/>
              <w:bottom w:val="nil"/>
              <w:right w:val="single" w:sz="4" w:space="0" w:color="auto"/>
            </w:tcBorders>
          </w:tcPr>
          <w:p w14:paraId="55647932"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Australia</w:t>
            </w:r>
          </w:p>
        </w:tc>
        <w:tc>
          <w:tcPr>
            <w:tcW w:w="1984" w:type="dxa"/>
            <w:tcBorders>
              <w:top w:val="nil"/>
              <w:left w:val="single" w:sz="4" w:space="0" w:color="auto"/>
              <w:bottom w:val="nil"/>
              <w:right w:val="single" w:sz="4" w:space="0" w:color="auto"/>
            </w:tcBorders>
          </w:tcPr>
          <w:p w14:paraId="0A8A56E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12.0</w:t>
            </w:r>
          </w:p>
        </w:tc>
      </w:tr>
      <w:tr w:rsidR="003A1C38" w:rsidRPr="003A1C38" w14:paraId="03CA8019" w14:textId="77777777" w:rsidTr="00372000">
        <w:trPr>
          <w:jc w:val="center"/>
        </w:trPr>
        <w:tc>
          <w:tcPr>
            <w:tcW w:w="3114" w:type="dxa"/>
            <w:tcBorders>
              <w:top w:val="nil"/>
              <w:left w:val="single" w:sz="4" w:space="0" w:color="auto"/>
              <w:bottom w:val="nil"/>
              <w:right w:val="single" w:sz="4" w:space="0" w:color="auto"/>
            </w:tcBorders>
          </w:tcPr>
          <w:p w14:paraId="0C52593B"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Dinamarca</w:t>
            </w:r>
          </w:p>
        </w:tc>
        <w:tc>
          <w:tcPr>
            <w:tcW w:w="1984" w:type="dxa"/>
            <w:tcBorders>
              <w:top w:val="nil"/>
              <w:left w:val="single" w:sz="4" w:space="0" w:color="auto"/>
              <w:bottom w:val="nil"/>
              <w:right w:val="single" w:sz="4" w:space="0" w:color="auto"/>
            </w:tcBorders>
          </w:tcPr>
          <w:p w14:paraId="4E35DF7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10.8</w:t>
            </w:r>
          </w:p>
        </w:tc>
      </w:tr>
      <w:tr w:rsidR="003A1C38" w:rsidRPr="003A1C38" w14:paraId="4941CEB5" w14:textId="77777777" w:rsidTr="00372000">
        <w:trPr>
          <w:jc w:val="center"/>
        </w:trPr>
        <w:tc>
          <w:tcPr>
            <w:tcW w:w="3114" w:type="dxa"/>
            <w:tcBorders>
              <w:top w:val="nil"/>
              <w:left w:val="single" w:sz="4" w:space="0" w:color="auto"/>
              <w:bottom w:val="nil"/>
              <w:right w:val="single" w:sz="4" w:space="0" w:color="auto"/>
            </w:tcBorders>
          </w:tcPr>
          <w:p w14:paraId="0AA0E47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Chile</w:t>
            </w:r>
          </w:p>
        </w:tc>
        <w:tc>
          <w:tcPr>
            <w:tcW w:w="1984" w:type="dxa"/>
            <w:tcBorders>
              <w:top w:val="nil"/>
              <w:left w:val="single" w:sz="4" w:space="0" w:color="auto"/>
              <w:bottom w:val="nil"/>
              <w:right w:val="single" w:sz="4" w:space="0" w:color="auto"/>
            </w:tcBorders>
          </w:tcPr>
          <w:p w14:paraId="5969C1E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10.0</w:t>
            </w:r>
          </w:p>
        </w:tc>
      </w:tr>
      <w:tr w:rsidR="003A1C38" w:rsidRPr="003A1C38" w14:paraId="6796650E" w14:textId="77777777" w:rsidTr="00372000">
        <w:trPr>
          <w:jc w:val="center"/>
        </w:trPr>
        <w:tc>
          <w:tcPr>
            <w:tcW w:w="3114" w:type="dxa"/>
            <w:tcBorders>
              <w:top w:val="nil"/>
              <w:left w:val="single" w:sz="4" w:space="0" w:color="auto"/>
              <w:bottom w:val="nil"/>
              <w:right w:val="single" w:sz="4" w:space="0" w:color="auto"/>
            </w:tcBorders>
          </w:tcPr>
          <w:p w14:paraId="7CA3CA45"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Perú</w:t>
            </w:r>
          </w:p>
        </w:tc>
        <w:tc>
          <w:tcPr>
            <w:tcW w:w="1984" w:type="dxa"/>
            <w:tcBorders>
              <w:top w:val="nil"/>
              <w:left w:val="single" w:sz="4" w:space="0" w:color="auto"/>
              <w:bottom w:val="nil"/>
              <w:right w:val="single" w:sz="4" w:space="0" w:color="auto"/>
            </w:tcBorders>
          </w:tcPr>
          <w:p w14:paraId="3293B51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10.0</w:t>
            </w:r>
          </w:p>
        </w:tc>
      </w:tr>
      <w:tr w:rsidR="003A1C38" w:rsidRPr="003A1C38" w14:paraId="2DB68692" w14:textId="77777777" w:rsidTr="00372000">
        <w:trPr>
          <w:jc w:val="center"/>
        </w:trPr>
        <w:tc>
          <w:tcPr>
            <w:tcW w:w="3114" w:type="dxa"/>
            <w:tcBorders>
              <w:top w:val="nil"/>
              <w:left w:val="single" w:sz="4" w:space="0" w:color="auto"/>
              <w:bottom w:val="nil"/>
              <w:right w:val="single" w:sz="4" w:space="0" w:color="auto"/>
            </w:tcBorders>
          </w:tcPr>
          <w:p w14:paraId="0FAFAB0C"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República Dominicana</w:t>
            </w:r>
          </w:p>
        </w:tc>
        <w:tc>
          <w:tcPr>
            <w:tcW w:w="1984" w:type="dxa"/>
            <w:tcBorders>
              <w:top w:val="nil"/>
              <w:left w:val="single" w:sz="4" w:space="0" w:color="auto"/>
              <w:bottom w:val="nil"/>
              <w:right w:val="single" w:sz="4" w:space="0" w:color="auto"/>
            </w:tcBorders>
          </w:tcPr>
          <w:p w14:paraId="6141A07B"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10.0</w:t>
            </w:r>
          </w:p>
        </w:tc>
      </w:tr>
      <w:tr w:rsidR="003A1C38" w:rsidRPr="003A1C38" w14:paraId="55619787" w14:textId="77777777" w:rsidTr="00372000">
        <w:trPr>
          <w:jc w:val="center"/>
        </w:trPr>
        <w:tc>
          <w:tcPr>
            <w:tcW w:w="3114" w:type="dxa"/>
            <w:tcBorders>
              <w:top w:val="nil"/>
              <w:left w:val="single" w:sz="4" w:space="0" w:color="auto"/>
              <w:bottom w:val="nil"/>
              <w:right w:val="single" w:sz="4" w:space="0" w:color="auto"/>
            </w:tcBorders>
          </w:tcPr>
          <w:p w14:paraId="4E555A7E" w14:textId="77777777" w:rsidR="003A1C38" w:rsidRPr="003A1C38" w:rsidRDefault="003A1C38" w:rsidP="003A1C38">
            <w:pPr>
              <w:jc w:val="both"/>
              <w:rPr>
                <w:rFonts w:eastAsia="Calibri"/>
                <w:b/>
                <w:sz w:val="20"/>
                <w:szCs w:val="20"/>
                <w:lang w:eastAsia="en-US"/>
              </w:rPr>
            </w:pPr>
            <w:r w:rsidRPr="003A1C38">
              <w:rPr>
                <w:rFonts w:eastAsia="Calibri"/>
                <w:b/>
                <w:sz w:val="20"/>
                <w:szCs w:val="20"/>
                <w:lang w:eastAsia="en-US"/>
              </w:rPr>
              <w:t>México (IMSS)</w:t>
            </w:r>
          </w:p>
        </w:tc>
        <w:tc>
          <w:tcPr>
            <w:tcW w:w="1984" w:type="dxa"/>
            <w:tcBorders>
              <w:top w:val="nil"/>
              <w:left w:val="single" w:sz="4" w:space="0" w:color="auto"/>
              <w:bottom w:val="nil"/>
              <w:right w:val="single" w:sz="4" w:space="0" w:color="auto"/>
            </w:tcBorders>
          </w:tcPr>
          <w:p w14:paraId="3B7D6A3E"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6.5</w:t>
            </w:r>
          </w:p>
        </w:tc>
      </w:tr>
      <w:tr w:rsidR="003A1C38" w:rsidRPr="003A1C38" w14:paraId="38AF1B45" w14:textId="77777777" w:rsidTr="00372000">
        <w:trPr>
          <w:jc w:val="center"/>
        </w:trPr>
        <w:tc>
          <w:tcPr>
            <w:tcW w:w="3114" w:type="dxa"/>
            <w:tcBorders>
              <w:top w:val="nil"/>
              <w:left w:val="single" w:sz="4" w:space="0" w:color="auto"/>
              <w:bottom w:val="single" w:sz="4" w:space="0" w:color="auto"/>
              <w:right w:val="single" w:sz="4" w:space="0" w:color="auto"/>
            </w:tcBorders>
          </w:tcPr>
          <w:p w14:paraId="1BFEE911"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Costa Rica</w:t>
            </w:r>
          </w:p>
        </w:tc>
        <w:tc>
          <w:tcPr>
            <w:tcW w:w="1984" w:type="dxa"/>
            <w:tcBorders>
              <w:top w:val="nil"/>
              <w:left w:val="single" w:sz="4" w:space="0" w:color="auto"/>
              <w:bottom w:val="single" w:sz="4" w:space="0" w:color="auto"/>
              <w:right w:val="single" w:sz="4" w:space="0" w:color="auto"/>
            </w:tcBorders>
          </w:tcPr>
          <w:p w14:paraId="1D3FEE8B"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4.3</w:t>
            </w:r>
          </w:p>
        </w:tc>
      </w:tr>
      <w:tr w:rsidR="003A1C38" w:rsidRPr="003A1C38" w14:paraId="31CC38BF" w14:textId="77777777" w:rsidTr="00372000">
        <w:trPr>
          <w:jc w:val="center"/>
        </w:trPr>
        <w:tc>
          <w:tcPr>
            <w:tcW w:w="3114" w:type="dxa"/>
            <w:tcBorders>
              <w:top w:val="single" w:sz="4" w:space="0" w:color="auto"/>
              <w:left w:val="nil"/>
              <w:bottom w:val="nil"/>
              <w:right w:val="nil"/>
            </w:tcBorders>
          </w:tcPr>
          <w:p w14:paraId="30B5F890"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FUENTE: OCDE.</w:t>
            </w:r>
          </w:p>
        </w:tc>
        <w:tc>
          <w:tcPr>
            <w:tcW w:w="1984" w:type="dxa"/>
            <w:tcBorders>
              <w:top w:val="single" w:sz="4" w:space="0" w:color="auto"/>
              <w:left w:val="nil"/>
              <w:bottom w:val="nil"/>
              <w:right w:val="nil"/>
            </w:tcBorders>
          </w:tcPr>
          <w:p w14:paraId="500D85A0" w14:textId="77777777" w:rsidR="003A1C38" w:rsidRPr="003A1C38" w:rsidRDefault="003A1C38" w:rsidP="003A1C38">
            <w:pPr>
              <w:jc w:val="both"/>
              <w:rPr>
                <w:rFonts w:eastAsia="Calibri"/>
                <w:sz w:val="20"/>
                <w:szCs w:val="20"/>
                <w:lang w:eastAsia="en-US"/>
              </w:rPr>
            </w:pPr>
          </w:p>
        </w:tc>
      </w:tr>
    </w:tbl>
    <w:p w14:paraId="02A9C744" w14:textId="77777777" w:rsidR="003A1C38" w:rsidRPr="003A1C38" w:rsidRDefault="003A1C38" w:rsidP="003A1C38">
      <w:pPr>
        <w:spacing w:after="360" w:line="360" w:lineRule="auto"/>
        <w:ind w:right="-159"/>
        <w:jc w:val="both"/>
        <w:rPr>
          <w:rFonts w:eastAsia="Calibri"/>
          <w:sz w:val="26"/>
          <w:szCs w:val="26"/>
          <w:lang w:eastAsia="en-US"/>
        </w:rPr>
      </w:pPr>
    </w:p>
    <w:p w14:paraId="464E20F1" w14:textId="77777777" w:rsidR="003A1C38" w:rsidRPr="003A1C38" w:rsidRDefault="003A1C38" w:rsidP="003A1C38">
      <w:pPr>
        <w:spacing w:after="360" w:line="360" w:lineRule="auto"/>
        <w:ind w:right="-159"/>
        <w:jc w:val="center"/>
        <w:rPr>
          <w:rFonts w:eastAsia="Calibri"/>
          <w:sz w:val="26"/>
          <w:szCs w:val="26"/>
          <w:lang w:eastAsia="en-US"/>
        </w:rPr>
      </w:pPr>
      <w:r w:rsidRPr="003A1C38">
        <w:rPr>
          <w:rFonts w:ascii="Calibri" w:eastAsia="Calibri" w:hAnsi="Calibri"/>
          <w:sz w:val="22"/>
          <w:szCs w:val="22"/>
          <w:lang w:eastAsia="en-US"/>
        </w:rPr>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CONSAR.pptx!274"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29556AA6" wp14:editId="4CE91960">
            <wp:extent cx="3978910" cy="3429000"/>
            <wp:effectExtent l="0" t="0" r="2540" b="0"/>
            <wp:docPr id="1884" name="Imagen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379" cstate="print">
                      <a:extLst>
                        <a:ext uri="{28A0092B-C50C-407E-A947-70E740481C1C}">
                          <a14:useLocalDpi xmlns:a14="http://schemas.microsoft.com/office/drawing/2010/main" val="0"/>
                        </a:ext>
                      </a:extLst>
                    </a:blip>
                    <a:srcRect l="7933" r="4802"/>
                    <a:stretch>
                      <a:fillRect/>
                    </a:stretch>
                  </pic:blipFill>
                  <pic:spPr bwMode="auto">
                    <a:xfrm>
                      <a:off x="0" y="0"/>
                      <a:ext cx="3978910" cy="3429000"/>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3A1C38" w:rsidRPr="003A1C38" w14:paraId="031C0DC6" w14:textId="77777777" w:rsidTr="004257D5">
        <w:tc>
          <w:tcPr>
            <w:tcW w:w="8828" w:type="dxa"/>
          </w:tcPr>
          <w:p w14:paraId="3E52A1F5" w14:textId="77777777" w:rsidR="003A1C38" w:rsidRPr="003A1C38" w:rsidRDefault="003A1C38" w:rsidP="003A1C38">
            <w:pPr>
              <w:spacing w:before="120" w:after="120" w:line="360" w:lineRule="auto"/>
              <w:jc w:val="both"/>
              <w:rPr>
                <w:rFonts w:eastAsia="Calibri"/>
                <w:sz w:val="26"/>
                <w:szCs w:val="26"/>
                <w:lang w:eastAsia="en-US"/>
              </w:rPr>
            </w:pPr>
            <w:r w:rsidRPr="003A1C38">
              <w:rPr>
                <w:rFonts w:eastAsia="Calibri"/>
                <w:sz w:val="26"/>
                <w:szCs w:val="26"/>
                <w:lang w:eastAsia="en-US"/>
              </w:rPr>
              <w:t>¿Qué hacer? Homologar las tasas de aportación del IMSS con las del ISSSTE, aumentando así las tasas de reemplazo de los trabajadores afiliados al IMSS.</w:t>
            </w:r>
          </w:p>
        </w:tc>
      </w:tr>
    </w:tbl>
    <w:p w14:paraId="66490945" w14:textId="77777777" w:rsidR="003A1C38" w:rsidRPr="003A1C38" w:rsidRDefault="003A1C38" w:rsidP="003A1C38">
      <w:pPr>
        <w:spacing w:after="360" w:line="360" w:lineRule="auto"/>
        <w:ind w:right="-159"/>
        <w:jc w:val="both"/>
        <w:rPr>
          <w:rFonts w:eastAsia="Calibri"/>
          <w:sz w:val="26"/>
          <w:szCs w:val="26"/>
          <w:lang w:eastAsia="en-US"/>
        </w:rPr>
      </w:pPr>
    </w:p>
    <w:p w14:paraId="1AF57995" w14:textId="77777777" w:rsidR="003A1C38" w:rsidRPr="003A1C38" w:rsidRDefault="003A1C38" w:rsidP="003A1C38">
      <w:pPr>
        <w:spacing w:after="360" w:line="360" w:lineRule="auto"/>
        <w:ind w:right="-159"/>
        <w:jc w:val="both"/>
        <w:rPr>
          <w:rFonts w:eastAsia="Calibri"/>
          <w:sz w:val="26"/>
          <w:szCs w:val="26"/>
          <w:lang w:eastAsia="en-US"/>
        </w:rPr>
      </w:pPr>
    </w:p>
    <w:p w14:paraId="5646079E"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lastRenderedPageBreak/>
        <w:t>Pilar Dos. Edad de retiro incompatible con el aumento de la esperanza de vida</w:t>
      </w:r>
    </w:p>
    <w:p w14:paraId="579F24F8" w14:textId="77777777" w:rsidR="003A1C38" w:rsidRPr="003A1C38" w:rsidRDefault="003A1C38" w:rsidP="003518F4">
      <w:pPr>
        <w:numPr>
          <w:ilvl w:val="0"/>
          <w:numId w:val="170"/>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El incremento en las esperanza de vida implica que los recursos acumulados deben alcanzar para financiar más años, disminuyendo el monto de la pensión.</w:t>
      </w:r>
    </w:p>
    <w:p w14:paraId="0F5A1F81" w14:textId="77777777" w:rsidR="003A1C38" w:rsidRPr="003A1C38" w:rsidRDefault="003A1C38" w:rsidP="003518F4">
      <w:pPr>
        <w:numPr>
          <w:ilvl w:val="0"/>
          <w:numId w:val="170"/>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Algunos países han comenzado a elevar su edad de retiro, incluso de forma automática, vinculándola con la esperanza de vida.</w:t>
      </w:r>
    </w:p>
    <w:tbl>
      <w:tblPr>
        <w:tblW w:w="9117" w:type="dxa"/>
        <w:jc w:val="center"/>
        <w:tblLayout w:type="fixed"/>
        <w:tblLook w:val="04A0" w:firstRow="1" w:lastRow="0" w:firstColumn="1" w:lastColumn="0" w:noHBand="0" w:noVBand="1"/>
      </w:tblPr>
      <w:tblGrid>
        <w:gridCol w:w="2836"/>
        <w:gridCol w:w="1060"/>
        <w:gridCol w:w="1066"/>
        <w:gridCol w:w="1211"/>
        <w:gridCol w:w="1472"/>
        <w:gridCol w:w="1472"/>
      </w:tblGrid>
      <w:tr w:rsidR="003A1C38" w:rsidRPr="003A1C38" w14:paraId="40BB0FBF" w14:textId="77777777" w:rsidTr="00372000">
        <w:trPr>
          <w:jc w:val="center"/>
        </w:trPr>
        <w:tc>
          <w:tcPr>
            <w:tcW w:w="9117" w:type="dxa"/>
            <w:gridSpan w:val="6"/>
            <w:tcBorders>
              <w:top w:val="nil"/>
              <w:left w:val="nil"/>
              <w:bottom w:val="single" w:sz="4" w:space="0" w:color="auto"/>
              <w:right w:val="nil"/>
            </w:tcBorders>
          </w:tcPr>
          <w:p w14:paraId="0F775070" w14:textId="77777777" w:rsidR="003A1C38" w:rsidRPr="003A1C38" w:rsidRDefault="003A1C38" w:rsidP="003A1C38">
            <w:pPr>
              <w:jc w:val="center"/>
              <w:rPr>
                <w:rFonts w:eastAsia="Calibri"/>
                <w:b/>
                <w:sz w:val="22"/>
                <w:szCs w:val="22"/>
                <w:lang w:eastAsia="en-US"/>
              </w:rPr>
            </w:pPr>
            <w:r w:rsidRPr="003A1C38">
              <w:rPr>
                <w:rFonts w:eastAsia="Calibri"/>
                <w:b/>
                <w:sz w:val="22"/>
                <w:szCs w:val="22"/>
                <w:lang w:eastAsia="en-US"/>
              </w:rPr>
              <w:t>ESPERANZA DE VIDA A PARTIR DE 65 AÑOS Y EDAD DE RETIRO</w:t>
            </w:r>
          </w:p>
          <w:p w14:paraId="6F55917B" w14:textId="77777777" w:rsidR="003A1C38" w:rsidRPr="003A1C38" w:rsidRDefault="003A1C38" w:rsidP="003A1C38">
            <w:pPr>
              <w:jc w:val="center"/>
              <w:rPr>
                <w:rFonts w:eastAsia="Calibri"/>
                <w:b/>
                <w:sz w:val="22"/>
                <w:szCs w:val="22"/>
                <w:lang w:eastAsia="en-US"/>
              </w:rPr>
            </w:pPr>
            <w:r w:rsidRPr="003A1C38">
              <w:rPr>
                <w:rFonts w:eastAsia="Calibri"/>
                <w:b/>
                <w:sz w:val="22"/>
                <w:szCs w:val="22"/>
                <w:lang w:eastAsia="en-US"/>
              </w:rPr>
              <w:t>-Países miembros de la OCDE-</w:t>
            </w:r>
          </w:p>
        </w:tc>
      </w:tr>
      <w:tr w:rsidR="003A1C38" w:rsidRPr="003A1C38" w14:paraId="73782277" w14:textId="77777777" w:rsidTr="00372000">
        <w:trPr>
          <w:jc w:val="center"/>
        </w:trPr>
        <w:tc>
          <w:tcPr>
            <w:tcW w:w="2836" w:type="dxa"/>
            <w:vMerge w:val="restart"/>
            <w:tcBorders>
              <w:top w:val="single" w:sz="4" w:space="0" w:color="auto"/>
              <w:left w:val="single" w:sz="4" w:space="0" w:color="auto"/>
              <w:bottom w:val="single" w:sz="4" w:space="0" w:color="auto"/>
              <w:right w:val="single" w:sz="4" w:space="0" w:color="auto"/>
            </w:tcBorders>
            <w:vAlign w:val="center"/>
          </w:tcPr>
          <w:p w14:paraId="6357FA29"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País</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4124E6B0"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Esperanza de vida</w:t>
            </w:r>
          </w:p>
        </w:tc>
        <w:tc>
          <w:tcPr>
            <w:tcW w:w="1211" w:type="dxa"/>
            <w:vMerge w:val="restart"/>
            <w:tcBorders>
              <w:top w:val="single" w:sz="4" w:space="0" w:color="auto"/>
              <w:left w:val="single" w:sz="4" w:space="0" w:color="auto"/>
              <w:bottom w:val="single" w:sz="4" w:space="0" w:color="auto"/>
              <w:right w:val="single" w:sz="4" w:space="0" w:color="auto"/>
            </w:tcBorders>
            <w:vAlign w:val="center"/>
          </w:tcPr>
          <w:p w14:paraId="3FB2C814"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Incremento</w:t>
            </w:r>
          </w:p>
          <w:p w14:paraId="48B26E73"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w:t>
            </w:r>
          </w:p>
        </w:tc>
        <w:tc>
          <w:tcPr>
            <w:tcW w:w="1472" w:type="dxa"/>
            <w:vMerge w:val="restart"/>
            <w:tcBorders>
              <w:top w:val="single" w:sz="4" w:space="0" w:color="auto"/>
              <w:left w:val="single" w:sz="4" w:space="0" w:color="auto"/>
              <w:bottom w:val="single" w:sz="4" w:space="0" w:color="auto"/>
              <w:right w:val="single" w:sz="4" w:space="0" w:color="auto"/>
            </w:tcBorders>
            <w:vAlign w:val="center"/>
          </w:tcPr>
          <w:p w14:paraId="0043FAB0"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Edad de retiro actual</w:t>
            </w:r>
          </w:p>
          <w:p w14:paraId="4AF4DB4C"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(H/M)</w:t>
            </w:r>
          </w:p>
        </w:tc>
        <w:tc>
          <w:tcPr>
            <w:tcW w:w="1472" w:type="dxa"/>
            <w:vMerge w:val="restart"/>
            <w:tcBorders>
              <w:top w:val="single" w:sz="4" w:space="0" w:color="auto"/>
              <w:left w:val="single" w:sz="4" w:space="0" w:color="auto"/>
              <w:bottom w:val="single" w:sz="4" w:space="0" w:color="auto"/>
              <w:right w:val="single" w:sz="4" w:space="0" w:color="auto"/>
            </w:tcBorders>
            <w:vAlign w:val="center"/>
          </w:tcPr>
          <w:p w14:paraId="2E8DD6A4"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Edad de retiro</w:t>
            </w:r>
          </w:p>
          <w:p w14:paraId="12702640"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(reforma)</w:t>
            </w:r>
          </w:p>
        </w:tc>
      </w:tr>
      <w:tr w:rsidR="003A1C38" w:rsidRPr="003A1C38" w14:paraId="27616AAB" w14:textId="77777777" w:rsidTr="00372000">
        <w:trPr>
          <w:jc w:val="center"/>
        </w:trPr>
        <w:tc>
          <w:tcPr>
            <w:tcW w:w="2836" w:type="dxa"/>
            <w:vMerge/>
            <w:tcBorders>
              <w:top w:val="single" w:sz="4" w:space="0" w:color="auto"/>
              <w:left w:val="single" w:sz="4" w:space="0" w:color="auto"/>
              <w:bottom w:val="single" w:sz="4" w:space="0" w:color="auto"/>
              <w:right w:val="single" w:sz="4" w:space="0" w:color="auto"/>
            </w:tcBorders>
          </w:tcPr>
          <w:p w14:paraId="62CF186E" w14:textId="77777777" w:rsidR="003A1C38" w:rsidRPr="003A1C38" w:rsidRDefault="003A1C38" w:rsidP="003A1C38">
            <w:pPr>
              <w:jc w:val="center"/>
              <w:rPr>
                <w:rFonts w:eastAsia="Calibri"/>
                <w:b/>
                <w:sz w:val="20"/>
                <w:szCs w:val="20"/>
                <w:lang w:eastAsia="en-US"/>
              </w:rPr>
            </w:pPr>
          </w:p>
        </w:tc>
        <w:tc>
          <w:tcPr>
            <w:tcW w:w="1060" w:type="dxa"/>
            <w:tcBorders>
              <w:top w:val="single" w:sz="4" w:space="0" w:color="auto"/>
              <w:left w:val="single" w:sz="4" w:space="0" w:color="auto"/>
              <w:bottom w:val="single" w:sz="4" w:space="0" w:color="auto"/>
              <w:right w:val="single" w:sz="4" w:space="0" w:color="auto"/>
            </w:tcBorders>
            <w:vAlign w:val="center"/>
          </w:tcPr>
          <w:p w14:paraId="3DE90EB3"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1960</w:t>
            </w:r>
          </w:p>
        </w:tc>
        <w:tc>
          <w:tcPr>
            <w:tcW w:w="1066" w:type="dxa"/>
            <w:tcBorders>
              <w:top w:val="single" w:sz="4" w:space="0" w:color="auto"/>
              <w:left w:val="single" w:sz="4" w:space="0" w:color="auto"/>
              <w:bottom w:val="single" w:sz="4" w:space="0" w:color="auto"/>
              <w:right w:val="single" w:sz="4" w:space="0" w:color="auto"/>
            </w:tcBorders>
            <w:vAlign w:val="center"/>
          </w:tcPr>
          <w:p w14:paraId="30E5C198"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2011</w:t>
            </w:r>
          </w:p>
        </w:tc>
        <w:tc>
          <w:tcPr>
            <w:tcW w:w="1211" w:type="dxa"/>
            <w:vMerge/>
            <w:tcBorders>
              <w:top w:val="single" w:sz="4" w:space="0" w:color="auto"/>
              <w:left w:val="single" w:sz="4" w:space="0" w:color="auto"/>
              <w:bottom w:val="single" w:sz="4" w:space="0" w:color="auto"/>
              <w:right w:val="single" w:sz="4" w:space="0" w:color="auto"/>
            </w:tcBorders>
          </w:tcPr>
          <w:p w14:paraId="7940B284" w14:textId="77777777" w:rsidR="003A1C38" w:rsidRPr="003A1C38" w:rsidRDefault="003A1C38" w:rsidP="003A1C38">
            <w:pPr>
              <w:jc w:val="center"/>
              <w:rPr>
                <w:rFonts w:eastAsia="Calibri"/>
                <w:b/>
                <w:sz w:val="20"/>
                <w:szCs w:val="20"/>
                <w:lang w:eastAsia="en-US"/>
              </w:rPr>
            </w:pPr>
          </w:p>
        </w:tc>
        <w:tc>
          <w:tcPr>
            <w:tcW w:w="1472" w:type="dxa"/>
            <w:vMerge/>
            <w:tcBorders>
              <w:top w:val="single" w:sz="4" w:space="0" w:color="auto"/>
              <w:left w:val="single" w:sz="4" w:space="0" w:color="auto"/>
              <w:bottom w:val="single" w:sz="4" w:space="0" w:color="auto"/>
              <w:right w:val="single" w:sz="4" w:space="0" w:color="auto"/>
            </w:tcBorders>
          </w:tcPr>
          <w:p w14:paraId="420D6B0A" w14:textId="77777777" w:rsidR="003A1C38" w:rsidRPr="003A1C38" w:rsidRDefault="003A1C38" w:rsidP="003A1C38">
            <w:pPr>
              <w:jc w:val="center"/>
              <w:rPr>
                <w:rFonts w:eastAsia="Calibri"/>
                <w:b/>
                <w:sz w:val="20"/>
                <w:szCs w:val="20"/>
                <w:lang w:eastAsia="en-US"/>
              </w:rPr>
            </w:pPr>
          </w:p>
        </w:tc>
        <w:tc>
          <w:tcPr>
            <w:tcW w:w="1472" w:type="dxa"/>
            <w:vMerge/>
            <w:tcBorders>
              <w:top w:val="single" w:sz="4" w:space="0" w:color="auto"/>
              <w:left w:val="single" w:sz="4" w:space="0" w:color="auto"/>
              <w:bottom w:val="single" w:sz="4" w:space="0" w:color="auto"/>
              <w:right w:val="single" w:sz="4" w:space="0" w:color="auto"/>
            </w:tcBorders>
          </w:tcPr>
          <w:p w14:paraId="17D0267E" w14:textId="77777777" w:rsidR="003A1C38" w:rsidRPr="003A1C38" w:rsidRDefault="003A1C38" w:rsidP="003A1C38">
            <w:pPr>
              <w:jc w:val="center"/>
              <w:rPr>
                <w:rFonts w:eastAsia="Calibri"/>
                <w:b/>
                <w:sz w:val="20"/>
                <w:szCs w:val="20"/>
                <w:lang w:eastAsia="en-US"/>
              </w:rPr>
            </w:pPr>
          </w:p>
        </w:tc>
      </w:tr>
      <w:tr w:rsidR="003A1C38" w:rsidRPr="003A1C38" w14:paraId="099DF10C" w14:textId="77777777" w:rsidTr="00372000">
        <w:trPr>
          <w:jc w:val="center"/>
        </w:trPr>
        <w:tc>
          <w:tcPr>
            <w:tcW w:w="2836" w:type="dxa"/>
            <w:tcBorders>
              <w:top w:val="single" w:sz="4" w:space="0" w:color="auto"/>
              <w:left w:val="single" w:sz="4" w:space="0" w:color="auto"/>
              <w:bottom w:val="nil"/>
              <w:right w:val="single" w:sz="4" w:space="0" w:color="auto"/>
            </w:tcBorders>
          </w:tcPr>
          <w:p w14:paraId="5F45F31E"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Alemania</w:t>
            </w:r>
          </w:p>
        </w:tc>
        <w:tc>
          <w:tcPr>
            <w:tcW w:w="1060" w:type="dxa"/>
            <w:tcBorders>
              <w:top w:val="single" w:sz="4" w:space="0" w:color="auto"/>
              <w:left w:val="single" w:sz="4" w:space="0" w:color="auto"/>
              <w:bottom w:val="nil"/>
              <w:right w:val="single" w:sz="4" w:space="0" w:color="auto"/>
            </w:tcBorders>
          </w:tcPr>
          <w:p w14:paraId="198CAD4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13.3</w:t>
            </w:r>
          </w:p>
        </w:tc>
        <w:tc>
          <w:tcPr>
            <w:tcW w:w="1066" w:type="dxa"/>
            <w:tcBorders>
              <w:top w:val="single" w:sz="4" w:space="0" w:color="auto"/>
              <w:left w:val="single" w:sz="4" w:space="0" w:color="auto"/>
              <w:bottom w:val="nil"/>
              <w:right w:val="single" w:sz="4" w:space="0" w:color="auto"/>
            </w:tcBorders>
          </w:tcPr>
          <w:p w14:paraId="44E12FE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19.7</w:t>
            </w:r>
          </w:p>
        </w:tc>
        <w:tc>
          <w:tcPr>
            <w:tcW w:w="1211" w:type="dxa"/>
            <w:tcBorders>
              <w:top w:val="single" w:sz="4" w:space="0" w:color="auto"/>
              <w:left w:val="single" w:sz="4" w:space="0" w:color="auto"/>
              <w:bottom w:val="nil"/>
              <w:right w:val="single" w:sz="4" w:space="0" w:color="auto"/>
            </w:tcBorders>
          </w:tcPr>
          <w:p w14:paraId="0DF85F7B"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48.7</w:t>
            </w:r>
          </w:p>
        </w:tc>
        <w:tc>
          <w:tcPr>
            <w:tcW w:w="1472" w:type="dxa"/>
            <w:tcBorders>
              <w:top w:val="single" w:sz="4" w:space="0" w:color="auto"/>
              <w:left w:val="single" w:sz="4" w:space="0" w:color="auto"/>
              <w:bottom w:val="nil"/>
              <w:right w:val="single" w:sz="4" w:space="0" w:color="auto"/>
            </w:tcBorders>
          </w:tcPr>
          <w:p w14:paraId="0C73B6F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single" w:sz="4" w:space="0" w:color="auto"/>
              <w:left w:val="single" w:sz="4" w:space="0" w:color="auto"/>
              <w:bottom w:val="nil"/>
              <w:right w:val="single" w:sz="4" w:space="0" w:color="auto"/>
            </w:tcBorders>
          </w:tcPr>
          <w:p w14:paraId="4E4008C9" w14:textId="07E65356" w:rsidR="003A1C38" w:rsidRPr="003A1C38" w:rsidRDefault="003A1C38" w:rsidP="00EF184E">
            <w:pPr>
              <w:jc w:val="center"/>
              <w:rPr>
                <w:rFonts w:eastAsia="Calibri"/>
                <w:sz w:val="20"/>
                <w:szCs w:val="20"/>
                <w:lang w:eastAsia="en-US"/>
              </w:rPr>
            </w:pPr>
            <w:r w:rsidRPr="003A1C38">
              <w:rPr>
                <w:rFonts w:eastAsia="Calibri"/>
                <w:sz w:val="20"/>
                <w:szCs w:val="20"/>
                <w:lang w:eastAsia="en-US"/>
              </w:rPr>
              <w:t>67 en 20</w:t>
            </w:r>
            <w:r w:rsidR="00EF184E">
              <w:rPr>
                <w:rFonts w:eastAsia="Calibri"/>
                <w:sz w:val="20"/>
                <w:szCs w:val="20"/>
                <w:lang w:eastAsia="en-US"/>
              </w:rPr>
              <w:t>2</w:t>
            </w:r>
            <w:r w:rsidRPr="003A1C38">
              <w:rPr>
                <w:rFonts w:eastAsia="Calibri"/>
                <w:sz w:val="20"/>
                <w:szCs w:val="20"/>
                <w:lang w:eastAsia="en-US"/>
              </w:rPr>
              <w:t>9</w:t>
            </w:r>
          </w:p>
        </w:tc>
      </w:tr>
      <w:tr w:rsidR="003A1C38" w:rsidRPr="003A1C38" w14:paraId="5B816AEB" w14:textId="77777777" w:rsidTr="00372000">
        <w:trPr>
          <w:jc w:val="center"/>
        </w:trPr>
        <w:tc>
          <w:tcPr>
            <w:tcW w:w="2836" w:type="dxa"/>
            <w:tcBorders>
              <w:top w:val="nil"/>
              <w:left w:val="single" w:sz="4" w:space="0" w:color="auto"/>
              <w:bottom w:val="nil"/>
              <w:right w:val="single" w:sz="4" w:space="0" w:color="auto"/>
            </w:tcBorders>
          </w:tcPr>
          <w:p w14:paraId="0B350DA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Australia</w:t>
            </w:r>
          </w:p>
        </w:tc>
        <w:tc>
          <w:tcPr>
            <w:tcW w:w="1060" w:type="dxa"/>
            <w:tcBorders>
              <w:top w:val="nil"/>
              <w:left w:val="single" w:sz="4" w:space="0" w:color="auto"/>
              <w:bottom w:val="nil"/>
              <w:right w:val="single" w:sz="4" w:space="0" w:color="auto"/>
            </w:tcBorders>
          </w:tcPr>
          <w:p w14:paraId="0D59DDF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14.0</w:t>
            </w:r>
          </w:p>
        </w:tc>
        <w:tc>
          <w:tcPr>
            <w:tcW w:w="1066" w:type="dxa"/>
            <w:tcBorders>
              <w:top w:val="nil"/>
              <w:left w:val="single" w:sz="4" w:space="0" w:color="auto"/>
              <w:bottom w:val="nil"/>
              <w:right w:val="single" w:sz="4" w:space="0" w:color="auto"/>
            </w:tcBorders>
          </w:tcPr>
          <w:p w14:paraId="4BA62BB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20.6</w:t>
            </w:r>
          </w:p>
        </w:tc>
        <w:tc>
          <w:tcPr>
            <w:tcW w:w="1211" w:type="dxa"/>
            <w:tcBorders>
              <w:top w:val="nil"/>
              <w:left w:val="single" w:sz="4" w:space="0" w:color="auto"/>
              <w:bottom w:val="nil"/>
              <w:right w:val="single" w:sz="4" w:space="0" w:color="auto"/>
            </w:tcBorders>
          </w:tcPr>
          <w:p w14:paraId="40E71E0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46.5</w:t>
            </w:r>
          </w:p>
        </w:tc>
        <w:tc>
          <w:tcPr>
            <w:tcW w:w="1472" w:type="dxa"/>
            <w:tcBorders>
              <w:top w:val="nil"/>
              <w:left w:val="single" w:sz="4" w:space="0" w:color="auto"/>
              <w:bottom w:val="nil"/>
              <w:right w:val="single" w:sz="4" w:space="0" w:color="auto"/>
            </w:tcBorders>
          </w:tcPr>
          <w:p w14:paraId="7D77247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5EBEDF1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 en 2023</w:t>
            </w:r>
          </w:p>
        </w:tc>
      </w:tr>
      <w:tr w:rsidR="003A1C38" w:rsidRPr="003A1C38" w14:paraId="5AA4080E" w14:textId="77777777" w:rsidTr="00372000">
        <w:trPr>
          <w:jc w:val="center"/>
        </w:trPr>
        <w:tc>
          <w:tcPr>
            <w:tcW w:w="2836" w:type="dxa"/>
            <w:tcBorders>
              <w:top w:val="nil"/>
              <w:left w:val="single" w:sz="4" w:space="0" w:color="auto"/>
              <w:bottom w:val="nil"/>
              <w:right w:val="single" w:sz="4" w:space="0" w:color="auto"/>
            </w:tcBorders>
          </w:tcPr>
          <w:p w14:paraId="0EEF92FD"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Austria</w:t>
            </w:r>
          </w:p>
        </w:tc>
        <w:tc>
          <w:tcPr>
            <w:tcW w:w="1060" w:type="dxa"/>
            <w:tcBorders>
              <w:top w:val="nil"/>
              <w:left w:val="single" w:sz="4" w:space="0" w:color="auto"/>
              <w:bottom w:val="nil"/>
              <w:right w:val="single" w:sz="4" w:space="0" w:color="auto"/>
            </w:tcBorders>
          </w:tcPr>
          <w:p w14:paraId="17E6B0A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13.4</w:t>
            </w:r>
          </w:p>
        </w:tc>
        <w:tc>
          <w:tcPr>
            <w:tcW w:w="1066" w:type="dxa"/>
            <w:tcBorders>
              <w:top w:val="nil"/>
              <w:left w:val="single" w:sz="4" w:space="0" w:color="auto"/>
              <w:bottom w:val="nil"/>
              <w:right w:val="single" w:sz="4" w:space="0" w:color="auto"/>
            </w:tcBorders>
          </w:tcPr>
          <w:p w14:paraId="0814C29B"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19.9</w:t>
            </w:r>
          </w:p>
        </w:tc>
        <w:tc>
          <w:tcPr>
            <w:tcW w:w="1211" w:type="dxa"/>
            <w:tcBorders>
              <w:top w:val="nil"/>
              <w:left w:val="single" w:sz="4" w:space="0" w:color="auto"/>
              <w:bottom w:val="nil"/>
              <w:right w:val="single" w:sz="4" w:space="0" w:color="auto"/>
            </w:tcBorders>
          </w:tcPr>
          <w:p w14:paraId="1F7A5B0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48.4</w:t>
            </w:r>
          </w:p>
        </w:tc>
        <w:tc>
          <w:tcPr>
            <w:tcW w:w="1472" w:type="dxa"/>
            <w:tcBorders>
              <w:top w:val="nil"/>
              <w:left w:val="single" w:sz="4" w:space="0" w:color="auto"/>
              <w:bottom w:val="nil"/>
              <w:right w:val="single" w:sz="4" w:space="0" w:color="auto"/>
            </w:tcBorders>
          </w:tcPr>
          <w:p w14:paraId="3403B1A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65/60</w:t>
            </w:r>
          </w:p>
        </w:tc>
        <w:tc>
          <w:tcPr>
            <w:tcW w:w="1472" w:type="dxa"/>
            <w:tcBorders>
              <w:top w:val="nil"/>
              <w:left w:val="single" w:sz="4" w:space="0" w:color="auto"/>
              <w:bottom w:val="nil"/>
              <w:right w:val="single" w:sz="4" w:space="0" w:color="auto"/>
            </w:tcBorders>
          </w:tcPr>
          <w:p w14:paraId="0CC41D48" w14:textId="77777777" w:rsidR="003A1C38" w:rsidRPr="003A1C38" w:rsidRDefault="003A1C38" w:rsidP="003A1C38">
            <w:pPr>
              <w:jc w:val="center"/>
              <w:rPr>
                <w:rFonts w:eastAsia="Calibri"/>
                <w:sz w:val="20"/>
                <w:szCs w:val="20"/>
                <w:lang w:eastAsia="en-US"/>
              </w:rPr>
            </w:pPr>
          </w:p>
        </w:tc>
      </w:tr>
      <w:tr w:rsidR="003A1C38" w:rsidRPr="003A1C38" w14:paraId="3C9D6C1B" w14:textId="77777777" w:rsidTr="00372000">
        <w:trPr>
          <w:jc w:val="center"/>
        </w:trPr>
        <w:tc>
          <w:tcPr>
            <w:tcW w:w="2836" w:type="dxa"/>
            <w:tcBorders>
              <w:top w:val="nil"/>
              <w:left w:val="single" w:sz="4" w:space="0" w:color="auto"/>
              <w:bottom w:val="nil"/>
              <w:right w:val="single" w:sz="4" w:space="0" w:color="auto"/>
            </w:tcBorders>
          </w:tcPr>
          <w:p w14:paraId="61D5E411"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Dinamarca</w:t>
            </w:r>
          </w:p>
        </w:tc>
        <w:tc>
          <w:tcPr>
            <w:tcW w:w="1060" w:type="dxa"/>
            <w:tcBorders>
              <w:top w:val="nil"/>
              <w:left w:val="single" w:sz="4" w:space="0" w:color="auto"/>
              <w:bottom w:val="nil"/>
              <w:right w:val="single" w:sz="4" w:space="0" w:color="auto"/>
            </w:tcBorders>
          </w:tcPr>
          <w:p w14:paraId="659B37F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14.5</w:t>
            </w:r>
          </w:p>
        </w:tc>
        <w:tc>
          <w:tcPr>
            <w:tcW w:w="1066" w:type="dxa"/>
            <w:tcBorders>
              <w:top w:val="nil"/>
              <w:left w:val="single" w:sz="4" w:space="0" w:color="auto"/>
              <w:bottom w:val="nil"/>
              <w:right w:val="single" w:sz="4" w:space="0" w:color="auto"/>
            </w:tcBorders>
          </w:tcPr>
          <w:p w14:paraId="0EBFE09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18.4</w:t>
            </w:r>
          </w:p>
        </w:tc>
        <w:tc>
          <w:tcPr>
            <w:tcW w:w="1211" w:type="dxa"/>
            <w:tcBorders>
              <w:top w:val="nil"/>
              <w:left w:val="single" w:sz="4" w:space="0" w:color="auto"/>
              <w:bottom w:val="nil"/>
              <w:right w:val="single" w:sz="4" w:space="0" w:color="auto"/>
            </w:tcBorders>
          </w:tcPr>
          <w:p w14:paraId="7218E2F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26.6</w:t>
            </w:r>
          </w:p>
        </w:tc>
        <w:tc>
          <w:tcPr>
            <w:tcW w:w="1472" w:type="dxa"/>
            <w:tcBorders>
              <w:top w:val="nil"/>
              <w:left w:val="single" w:sz="4" w:space="0" w:color="auto"/>
              <w:bottom w:val="nil"/>
              <w:right w:val="single" w:sz="4" w:space="0" w:color="auto"/>
            </w:tcBorders>
          </w:tcPr>
          <w:p w14:paraId="3FC80834"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77EF9113" w14:textId="77777777" w:rsidR="003A1C38" w:rsidRPr="003A1C38" w:rsidRDefault="003A1C38" w:rsidP="003A1C38">
            <w:pPr>
              <w:jc w:val="center"/>
              <w:rPr>
                <w:rFonts w:eastAsia="Calibri"/>
                <w:sz w:val="20"/>
                <w:szCs w:val="20"/>
                <w:lang w:eastAsia="en-US"/>
              </w:rPr>
            </w:pPr>
          </w:p>
        </w:tc>
      </w:tr>
      <w:tr w:rsidR="003A1C38" w:rsidRPr="003A1C38" w14:paraId="1EC0CD0B" w14:textId="77777777" w:rsidTr="00372000">
        <w:trPr>
          <w:jc w:val="center"/>
        </w:trPr>
        <w:tc>
          <w:tcPr>
            <w:tcW w:w="2836" w:type="dxa"/>
            <w:tcBorders>
              <w:top w:val="nil"/>
              <w:left w:val="single" w:sz="4" w:space="0" w:color="auto"/>
              <w:bottom w:val="nil"/>
              <w:right w:val="single" w:sz="4" w:space="0" w:color="auto"/>
            </w:tcBorders>
          </w:tcPr>
          <w:p w14:paraId="7E49185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España</w:t>
            </w:r>
          </w:p>
        </w:tc>
        <w:tc>
          <w:tcPr>
            <w:tcW w:w="1060" w:type="dxa"/>
            <w:tcBorders>
              <w:top w:val="nil"/>
              <w:left w:val="single" w:sz="4" w:space="0" w:color="auto"/>
              <w:bottom w:val="nil"/>
              <w:right w:val="single" w:sz="4" w:space="0" w:color="auto"/>
            </w:tcBorders>
          </w:tcPr>
          <w:p w14:paraId="55383F0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14.2</w:t>
            </w:r>
          </w:p>
        </w:tc>
        <w:tc>
          <w:tcPr>
            <w:tcW w:w="1066" w:type="dxa"/>
            <w:tcBorders>
              <w:top w:val="nil"/>
              <w:left w:val="single" w:sz="4" w:space="0" w:color="auto"/>
              <w:bottom w:val="nil"/>
              <w:right w:val="single" w:sz="4" w:space="0" w:color="auto"/>
            </w:tcBorders>
          </w:tcPr>
          <w:p w14:paraId="69D63BE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20.8</w:t>
            </w:r>
          </w:p>
        </w:tc>
        <w:tc>
          <w:tcPr>
            <w:tcW w:w="1211" w:type="dxa"/>
            <w:tcBorders>
              <w:top w:val="nil"/>
              <w:left w:val="single" w:sz="4" w:space="0" w:color="auto"/>
              <w:bottom w:val="nil"/>
              <w:right w:val="single" w:sz="4" w:space="0" w:color="auto"/>
            </w:tcBorders>
          </w:tcPr>
          <w:p w14:paraId="5AC57A7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46.1</w:t>
            </w:r>
          </w:p>
        </w:tc>
        <w:tc>
          <w:tcPr>
            <w:tcW w:w="1472" w:type="dxa"/>
            <w:tcBorders>
              <w:top w:val="nil"/>
              <w:left w:val="single" w:sz="4" w:space="0" w:color="auto"/>
              <w:bottom w:val="nil"/>
              <w:right w:val="single" w:sz="4" w:space="0" w:color="auto"/>
            </w:tcBorders>
          </w:tcPr>
          <w:p w14:paraId="64F7133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75AA3BB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 en 2027</w:t>
            </w:r>
          </w:p>
        </w:tc>
      </w:tr>
      <w:tr w:rsidR="003A1C38" w:rsidRPr="003A1C38" w14:paraId="7B0DFD9C" w14:textId="77777777" w:rsidTr="00372000">
        <w:trPr>
          <w:jc w:val="center"/>
        </w:trPr>
        <w:tc>
          <w:tcPr>
            <w:tcW w:w="2836" w:type="dxa"/>
            <w:tcBorders>
              <w:top w:val="nil"/>
              <w:left w:val="single" w:sz="4" w:space="0" w:color="auto"/>
              <w:bottom w:val="nil"/>
              <w:right w:val="single" w:sz="4" w:space="0" w:color="auto"/>
            </w:tcBorders>
          </w:tcPr>
          <w:p w14:paraId="6586ED72"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Estados Unidos de Norteamérica</w:t>
            </w:r>
          </w:p>
        </w:tc>
        <w:tc>
          <w:tcPr>
            <w:tcW w:w="1060" w:type="dxa"/>
            <w:tcBorders>
              <w:top w:val="nil"/>
              <w:left w:val="single" w:sz="4" w:space="0" w:color="auto"/>
              <w:bottom w:val="nil"/>
              <w:right w:val="single" w:sz="4" w:space="0" w:color="auto"/>
            </w:tcBorders>
          </w:tcPr>
          <w:p w14:paraId="04500F1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14.3</w:t>
            </w:r>
          </w:p>
        </w:tc>
        <w:tc>
          <w:tcPr>
            <w:tcW w:w="1066" w:type="dxa"/>
            <w:tcBorders>
              <w:top w:val="nil"/>
              <w:left w:val="single" w:sz="4" w:space="0" w:color="auto"/>
              <w:bottom w:val="nil"/>
              <w:right w:val="single" w:sz="4" w:space="0" w:color="auto"/>
            </w:tcBorders>
          </w:tcPr>
          <w:p w14:paraId="0E5F0B8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19.1</w:t>
            </w:r>
          </w:p>
        </w:tc>
        <w:tc>
          <w:tcPr>
            <w:tcW w:w="1211" w:type="dxa"/>
            <w:tcBorders>
              <w:top w:val="nil"/>
              <w:left w:val="single" w:sz="4" w:space="0" w:color="auto"/>
              <w:bottom w:val="nil"/>
              <w:right w:val="single" w:sz="4" w:space="0" w:color="auto"/>
            </w:tcBorders>
          </w:tcPr>
          <w:p w14:paraId="6F49A8F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33.6</w:t>
            </w:r>
          </w:p>
        </w:tc>
        <w:tc>
          <w:tcPr>
            <w:tcW w:w="1472" w:type="dxa"/>
            <w:tcBorders>
              <w:top w:val="nil"/>
              <w:left w:val="single" w:sz="4" w:space="0" w:color="auto"/>
              <w:bottom w:val="nil"/>
              <w:right w:val="single" w:sz="4" w:space="0" w:color="auto"/>
            </w:tcBorders>
          </w:tcPr>
          <w:p w14:paraId="77E3AF51"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66</w:t>
            </w:r>
          </w:p>
        </w:tc>
        <w:tc>
          <w:tcPr>
            <w:tcW w:w="1472" w:type="dxa"/>
            <w:tcBorders>
              <w:top w:val="nil"/>
              <w:left w:val="single" w:sz="4" w:space="0" w:color="auto"/>
              <w:bottom w:val="nil"/>
              <w:right w:val="single" w:sz="4" w:space="0" w:color="auto"/>
            </w:tcBorders>
          </w:tcPr>
          <w:p w14:paraId="74C9C16A" w14:textId="77777777" w:rsidR="003A1C38" w:rsidRPr="003A1C38" w:rsidRDefault="003A1C38" w:rsidP="003A1C38">
            <w:pPr>
              <w:jc w:val="center"/>
              <w:rPr>
                <w:rFonts w:eastAsia="Calibri"/>
                <w:sz w:val="20"/>
                <w:szCs w:val="20"/>
                <w:lang w:eastAsia="en-US"/>
              </w:rPr>
            </w:pPr>
          </w:p>
        </w:tc>
      </w:tr>
      <w:tr w:rsidR="003A1C38" w:rsidRPr="003A1C38" w14:paraId="52C36A8C" w14:textId="77777777" w:rsidTr="00372000">
        <w:trPr>
          <w:jc w:val="center"/>
        </w:trPr>
        <w:tc>
          <w:tcPr>
            <w:tcW w:w="2836" w:type="dxa"/>
            <w:tcBorders>
              <w:top w:val="nil"/>
              <w:left w:val="single" w:sz="4" w:space="0" w:color="auto"/>
              <w:bottom w:val="nil"/>
              <w:right w:val="single" w:sz="4" w:space="0" w:color="auto"/>
            </w:tcBorders>
          </w:tcPr>
          <w:p w14:paraId="62C73E7C"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Francia</w:t>
            </w:r>
          </w:p>
        </w:tc>
        <w:tc>
          <w:tcPr>
            <w:tcW w:w="1060" w:type="dxa"/>
            <w:tcBorders>
              <w:top w:val="nil"/>
              <w:left w:val="single" w:sz="4" w:space="0" w:color="auto"/>
              <w:bottom w:val="nil"/>
              <w:right w:val="single" w:sz="4" w:space="0" w:color="auto"/>
            </w:tcBorders>
          </w:tcPr>
          <w:p w14:paraId="10B4FBC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14.1</w:t>
            </w:r>
          </w:p>
        </w:tc>
        <w:tc>
          <w:tcPr>
            <w:tcW w:w="1066" w:type="dxa"/>
            <w:tcBorders>
              <w:top w:val="nil"/>
              <w:left w:val="single" w:sz="4" w:space="0" w:color="auto"/>
              <w:bottom w:val="nil"/>
              <w:right w:val="single" w:sz="4" w:space="0" w:color="auto"/>
            </w:tcBorders>
          </w:tcPr>
          <w:p w14:paraId="0A2BEE3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21.5</w:t>
            </w:r>
          </w:p>
        </w:tc>
        <w:tc>
          <w:tcPr>
            <w:tcW w:w="1211" w:type="dxa"/>
            <w:tcBorders>
              <w:top w:val="nil"/>
              <w:left w:val="single" w:sz="4" w:space="0" w:color="auto"/>
              <w:bottom w:val="nil"/>
              <w:right w:val="single" w:sz="4" w:space="0" w:color="auto"/>
            </w:tcBorders>
          </w:tcPr>
          <w:p w14:paraId="525F780B"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52.4</w:t>
            </w:r>
          </w:p>
        </w:tc>
        <w:tc>
          <w:tcPr>
            <w:tcW w:w="1472" w:type="dxa"/>
            <w:tcBorders>
              <w:top w:val="nil"/>
              <w:left w:val="single" w:sz="4" w:space="0" w:color="auto"/>
              <w:bottom w:val="nil"/>
              <w:right w:val="single" w:sz="4" w:space="0" w:color="auto"/>
            </w:tcBorders>
          </w:tcPr>
          <w:p w14:paraId="338D2EB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4A44F6F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w:t>
            </w:r>
          </w:p>
        </w:tc>
      </w:tr>
      <w:tr w:rsidR="003A1C38" w:rsidRPr="003A1C38" w14:paraId="424778F3" w14:textId="77777777" w:rsidTr="00372000">
        <w:trPr>
          <w:jc w:val="center"/>
        </w:trPr>
        <w:tc>
          <w:tcPr>
            <w:tcW w:w="2836" w:type="dxa"/>
            <w:tcBorders>
              <w:top w:val="nil"/>
              <w:left w:val="single" w:sz="4" w:space="0" w:color="auto"/>
              <w:bottom w:val="nil"/>
              <w:right w:val="single" w:sz="4" w:space="0" w:color="auto"/>
            </w:tcBorders>
          </w:tcPr>
          <w:p w14:paraId="2DDB70A0"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Grecia</w:t>
            </w:r>
          </w:p>
        </w:tc>
        <w:tc>
          <w:tcPr>
            <w:tcW w:w="1060" w:type="dxa"/>
            <w:tcBorders>
              <w:top w:val="nil"/>
              <w:left w:val="single" w:sz="4" w:space="0" w:color="auto"/>
              <w:bottom w:val="nil"/>
              <w:right w:val="single" w:sz="4" w:space="0" w:color="auto"/>
            </w:tcBorders>
          </w:tcPr>
          <w:p w14:paraId="567C75F4"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15.6</w:t>
            </w:r>
          </w:p>
        </w:tc>
        <w:tc>
          <w:tcPr>
            <w:tcW w:w="1066" w:type="dxa"/>
            <w:tcBorders>
              <w:top w:val="nil"/>
              <w:left w:val="single" w:sz="4" w:space="0" w:color="auto"/>
              <w:bottom w:val="nil"/>
              <w:right w:val="single" w:sz="4" w:space="0" w:color="auto"/>
            </w:tcBorders>
          </w:tcPr>
          <w:p w14:paraId="7FC5E49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19.6</w:t>
            </w:r>
          </w:p>
        </w:tc>
        <w:tc>
          <w:tcPr>
            <w:tcW w:w="1211" w:type="dxa"/>
            <w:tcBorders>
              <w:top w:val="nil"/>
              <w:left w:val="single" w:sz="4" w:space="0" w:color="auto"/>
              <w:bottom w:val="nil"/>
              <w:right w:val="single" w:sz="4" w:space="0" w:color="auto"/>
            </w:tcBorders>
          </w:tcPr>
          <w:p w14:paraId="65DF2B4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25.3</w:t>
            </w:r>
          </w:p>
        </w:tc>
        <w:tc>
          <w:tcPr>
            <w:tcW w:w="1472" w:type="dxa"/>
            <w:tcBorders>
              <w:top w:val="nil"/>
              <w:left w:val="single" w:sz="4" w:space="0" w:color="auto"/>
              <w:bottom w:val="nil"/>
              <w:right w:val="single" w:sz="4" w:space="0" w:color="auto"/>
            </w:tcBorders>
          </w:tcPr>
          <w:p w14:paraId="3D8B31A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65/64</w:t>
            </w:r>
          </w:p>
        </w:tc>
        <w:tc>
          <w:tcPr>
            <w:tcW w:w="1472" w:type="dxa"/>
            <w:tcBorders>
              <w:top w:val="nil"/>
              <w:left w:val="single" w:sz="4" w:space="0" w:color="auto"/>
              <w:bottom w:val="nil"/>
              <w:right w:val="single" w:sz="4" w:space="0" w:color="auto"/>
            </w:tcBorders>
          </w:tcPr>
          <w:p w14:paraId="1FFCDA1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w:t>
            </w:r>
          </w:p>
        </w:tc>
      </w:tr>
      <w:tr w:rsidR="003A1C38" w:rsidRPr="003A1C38" w14:paraId="5CBC16C8" w14:textId="77777777" w:rsidTr="00372000">
        <w:trPr>
          <w:jc w:val="center"/>
        </w:trPr>
        <w:tc>
          <w:tcPr>
            <w:tcW w:w="2836" w:type="dxa"/>
            <w:tcBorders>
              <w:top w:val="nil"/>
              <w:left w:val="single" w:sz="4" w:space="0" w:color="auto"/>
              <w:bottom w:val="nil"/>
              <w:right w:val="single" w:sz="4" w:space="0" w:color="auto"/>
            </w:tcBorders>
          </w:tcPr>
          <w:p w14:paraId="4AF7DEE3"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Hungría</w:t>
            </w:r>
          </w:p>
        </w:tc>
        <w:tc>
          <w:tcPr>
            <w:tcW w:w="1060" w:type="dxa"/>
            <w:tcBorders>
              <w:top w:val="nil"/>
              <w:left w:val="single" w:sz="4" w:space="0" w:color="auto"/>
              <w:bottom w:val="nil"/>
              <w:right w:val="single" w:sz="4" w:space="0" w:color="auto"/>
            </w:tcBorders>
          </w:tcPr>
          <w:p w14:paraId="222E97C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13.1</w:t>
            </w:r>
          </w:p>
        </w:tc>
        <w:tc>
          <w:tcPr>
            <w:tcW w:w="1066" w:type="dxa"/>
            <w:tcBorders>
              <w:top w:val="nil"/>
              <w:left w:val="single" w:sz="4" w:space="0" w:color="auto"/>
              <w:bottom w:val="nil"/>
              <w:right w:val="single" w:sz="4" w:space="0" w:color="auto"/>
            </w:tcBorders>
          </w:tcPr>
          <w:p w14:paraId="7081D461"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16.4</w:t>
            </w:r>
          </w:p>
        </w:tc>
        <w:tc>
          <w:tcPr>
            <w:tcW w:w="1211" w:type="dxa"/>
            <w:tcBorders>
              <w:top w:val="nil"/>
              <w:left w:val="single" w:sz="4" w:space="0" w:color="auto"/>
              <w:bottom w:val="nil"/>
              <w:right w:val="single" w:sz="4" w:space="0" w:color="auto"/>
            </w:tcBorders>
          </w:tcPr>
          <w:p w14:paraId="3FBD8FB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24.9</w:t>
            </w:r>
          </w:p>
        </w:tc>
        <w:tc>
          <w:tcPr>
            <w:tcW w:w="1472" w:type="dxa"/>
            <w:tcBorders>
              <w:top w:val="nil"/>
              <w:left w:val="single" w:sz="4" w:space="0" w:color="auto"/>
              <w:bottom w:val="nil"/>
              <w:right w:val="single" w:sz="4" w:space="0" w:color="auto"/>
            </w:tcBorders>
          </w:tcPr>
          <w:p w14:paraId="663E35E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64</w:t>
            </w:r>
          </w:p>
        </w:tc>
        <w:tc>
          <w:tcPr>
            <w:tcW w:w="1472" w:type="dxa"/>
            <w:tcBorders>
              <w:top w:val="nil"/>
              <w:left w:val="single" w:sz="4" w:space="0" w:color="auto"/>
              <w:bottom w:val="nil"/>
              <w:right w:val="single" w:sz="4" w:space="0" w:color="auto"/>
            </w:tcBorders>
          </w:tcPr>
          <w:p w14:paraId="7BA7502F"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 en 2017</w:t>
            </w:r>
          </w:p>
        </w:tc>
      </w:tr>
      <w:tr w:rsidR="003A1C38" w:rsidRPr="003A1C38" w14:paraId="67B18C25" w14:textId="77777777" w:rsidTr="00372000">
        <w:trPr>
          <w:jc w:val="center"/>
        </w:trPr>
        <w:tc>
          <w:tcPr>
            <w:tcW w:w="2836" w:type="dxa"/>
            <w:tcBorders>
              <w:top w:val="nil"/>
              <w:left w:val="single" w:sz="4" w:space="0" w:color="auto"/>
              <w:bottom w:val="nil"/>
              <w:right w:val="single" w:sz="4" w:space="0" w:color="auto"/>
            </w:tcBorders>
          </w:tcPr>
          <w:p w14:paraId="36C2CC4D"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Italia</w:t>
            </w:r>
          </w:p>
        </w:tc>
        <w:tc>
          <w:tcPr>
            <w:tcW w:w="1060" w:type="dxa"/>
            <w:tcBorders>
              <w:top w:val="nil"/>
              <w:left w:val="single" w:sz="4" w:space="0" w:color="auto"/>
              <w:bottom w:val="nil"/>
              <w:right w:val="single" w:sz="4" w:space="0" w:color="auto"/>
            </w:tcBorders>
          </w:tcPr>
          <w:p w14:paraId="6A24710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14.4</w:t>
            </w:r>
          </w:p>
        </w:tc>
        <w:tc>
          <w:tcPr>
            <w:tcW w:w="1066" w:type="dxa"/>
            <w:tcBorders>
              <w:top w:val="nil"/>
              <w:left w:val="single" w:sz="4" w:space="0" w:color="auto"/>
              <w:bottom w:val="nil"/>
              <w:right w:val="single" w:sz="4" w:space="0" w:color="auto"/>
            </w:tcBorders>
          </w:tcPr>
          <w:p w14:paraId="1311D9B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20.8</w:t>
            </w:r>
          </w:p>
        </w:tc>
        <w:tc>
          <w:tcPr>
            <w:tcW w:w="1211" w:type="dxa"/>
            <w:tcBorders>
              <w:top w:val="nil"/>
              <w:left w:val="single" w:sz="4" w:space="0" w:color="auto"/>
              <w:bottom w:val="nil"/>
              <w:right w:val="single" w:sz="4" w:space="0" w:color="auto"/>
            </w:tcBorders>
          </w:tcPr>
          <w:p w14:paraId="2ED9FAB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44.5</w:t>
            </w:r>
          </w:p>
        </w:tc>
        <w:tc>
          <w:tcPr>
            <w:tcW w:w="1472" w:type="dxa"/>
            <w:tcBorders>
              <w:top w:val="nil"/>
              <w:left w:val="single" w:sz="4" w:space="0" w:color="auto"/>
              <w:bottom w:val="nil"/>
              <w:right w:val="single" w:sz="4" w:space="0" w:color="auto"/>
            </w:tcBorders>
          </w:tcPr>
          <w:p w14:paraId="7B7482B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66/62</w:t>
            </w:r>
          </w:p>
        </w:tc>
        <w:tc>
          <w:tcPr>
            <w:tcW w:w="1472" w:type="dxa"/>
            <w:tcBorders>
              <w:top w:val="nil"/>
              <w:left w:val="single" w:sz="4" w:space="0" w:color="auto"/>
              <w:bottom w:val="nil"/>
              <w:right w:val="single" w:sz="4" w:space="0" w:color="auto"/>
            </w:tcBorders>
          </w:tcPr>
          <w:p w14:paraId="3FC79BD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66 en 2018</w:t>
            </w:r>
          </w:p>
        </w:tc>
      </w:tr>
      <w:tr w:rsidR="003A1C38" w:rsidRPr="003A1C38" w14:paraId="6C9671A4" w14:textId="77777777" w:rsidTr="00372000">
        <w:trPr>
          <w:jc w:val="center"/>
        </w:trPr>
        <w:tc>
          <w:tcPr>
            <w:tcW w:w="2836" w:type="dxa"/>
            <w:tcBorders>
              <w:top w:val="nil"/>
              <w:left w:val="single" w:sz="4" w:space="0" w:color="auto"/>
              <w:bottom w:val="nil"/>
              <w:right w:val="single" w:sz="4" w:space="0" w:color="auto"/>
            </w:tcBorders>
          </w:tcPr>
          <w:p w14:paraId="215A64E0"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Japón</w:t>
            </w:r>
          </w:p>
        </w:tc>
        <w:tc>
          <w:tcPr>
            <w:tcW w:w="1060" w:type="dxa"/>
            <w:tcBorders>
              <w:top w:val="nil"/>
              <w:left w:val="single" w:sz="4" w:space="0" w:color="auto"/>
              <w:bottom w:val="nil"/>
              <w:right w:val="single" w:sz="4" w:space="0" w:color="auto"/>
            </w:tcBorders>
          </w:tcPr>
          <w:p w14:paraId="23DC9B66"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12.9</w:t>
            </w:r>
          </w:p>
        </w:tc>
        <w:tc>
          <w:tcPr>
            <w:tcW w:w="1066" w:type="dxa"/>
            <w:tcBorders>
              <w:top w:val="nil"/>
              <w:left w:val="single" w:sz="4" w:space="0" w:color="auto"/>
              <w:bottom w:val="nil"/>
              <w:right w:val="single" w:sz="4" w:space="0" w:color="auto"/>
            </w:tcBorders>
          </w:tcPr>
          <w:p w14:paraId="6142707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21.3</w:t>
            </w:r>
          </w:p>
        </w:tc>
        <w:tc>
          <w:tcPr>
            <w:tcW w:w="1211" w:type="dxa"/>
            <w:tcBorders>
              <w:top w:val="nil"/>
              <w:left w:val="single" w:sz="4" w:space="0" w:color="auto"/>
              <w:bottom w:val="nil"/>
              <w:right w:val="single" w:sz="4" w:space="0" w:color="auto"/>
            </w:tcBorders>
          </w:tcPr>
          <w:p w14:paraId="4CE1925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65.2</w:t>
            </w:r>
          </w:p>
        </w:tc>
        <w:tc>
          <w:tcPr>
            <w:tcW w:w="1472" w:type="dxa"/>
            <w:tcBorders>
              <w:top w:val="nil"/>
              <w:left w:val="single" w:sz="4" w:space="0" w:color="auto"/>
              <w:bottom w:val="nil"/>
              <w:right w:val="single" w:sz="4" w:space="0" w:color="auto"/>
            </w:tcBorders>
          </w:tcPr>
          <w:p w14:paraId="04B72EC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02896939" w14:textId="77777777" w:rsidR="003A1C38" w:rsidRPr="003A1C38" w:rsidRDefault="003A1C38" w:rsidP="003A1C38">
            <w:pPr>
              <w:jc w:val="center"/>
              <w:rPr>
                <w:rFonts w:eastAsia="Calibri"/>
                <w:sz w:val="20"/>
                <w:szCs w:val="20"/>
                <w:lang w:eastAsia="en-US"/>
              </w:rPr>
            </w:pPr>
          </w:p>
        </w:tc>
      </w:tr>
      <w:tr w:rsidR="003A1C38" w:rsidRPr="003A1C38" w14:paraId="32DB2B71" w14:textId="77777777" w:rsidTr="00372000">
        <w:trPr>
          <w:jc w:val="center"/>
        </w:trPr>
        <w:tc>
          <w:tcPr>
            <w:tcW w:w="2836" w:type="dxa"/>
            <w:tcBorders>
              <w:top w:val="nil"/>
              <w:left w:val="single" w:sz="4" w:space="0" w:color="auto"/>
              <w:bottom w:val="nil"/>
              <w:right w:val="single" w:sz="4" w:space="0" w:color="auto"/>
            </w:tcBorders>
          </w:tcPr>
          <w:p w14:paraId="62929AC9" w14:textId="77777777" w:rsidR="003A1C38" w:rsidRPr="003A1C38" w:rsidRDefault="003A1C38" w:rsidP="003A1C38">
            <w:pPr>
              <w:jc w:val="both"/>
              <w:rPr>
                <w:rFonts w:eastAsia="Calibri"/>
                <w:b/>
                <w:sz w:val="20"/>
                <w:szCs w:val="20"/>
                <w:lang w:eastAsia="en-US"/>
              </w:rPr>
            </w:pPr>
            <w:r w:rsidRPr="003A1C38">
              <w:rPr>
                <w:rFonts w:eastAsia="Calibri"/>
                <w:b/>
                <w:sz w:val="20"/>
                <w:szCs w:val="20"/>
                <w:lang w:eastAsia="en-US"/>
              </w:rPr>
              <w:t>México</w:t>
            </w:r>
          </w:p>
        </w:tc>
        <w:tc>
          <w:tcPr>
            <w:tcW w:w="1060" w:type="dxa"/>
            <w:tcBorders>
              <w:top w:val="nil"/>
              <w:left w:val="single" w:sz="4" w:space="0" w:color="auto"/>
              <w:bottom w:val="nil"/>
              <w:right w:val="single" w:sz="4" w:space="0" w:color="auto"/>
            </w:tcBorders>
          </w:tcPr>
          <w:p w14:paraId="2D490BAE"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14.4</w:t>
            </w:r>
          </w:p>
        </w:tc>
        <w:tc>
          <w:tcPr>
            <w:tcW w:w="1066" w:type="dxa"/>
            <w:tcBorders>
              <w:top w:val="nil"/>
              <w:left w:val="single" w:sz="4" w:space="0" w:color="auto"/>
              <w:bottom w:val="nil"/>
              <w:right w:val="single" w:sz="4" w:space="0" w:color="auto"/>
            </w:tcBorders>
          </w:tcPr>
          <w:p w14:paraId="6651D2F2"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17.6</w:t>
            </w:r>
          </w:p>
        </w:tc>
        <w:tc>
          <w:tcPr>
            <w:tcW w:w="1211" w:type="dxa"/>
            <w:tcBorders>
              <w:top w:val="nil"/>
              <w:left w:val="single" w:sz="4" w:space="0" w:color="auto"/>
              <w:bottom w:val="nil"/>
              <w:right w:val="single" w:sz="4" w:space="0" w:color="auto"/>
            </w:tcBorders>
          </w:tcPr>
          <w:p w14:paraId="6C168BB7"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22.4</w:t>
            </w:r>
          </w:p>
        </w:tc>
        <w:tc>
          <w:tcPr>
            <w:tcW w:w="1472" w:type="dxa"/>
            <w:tcBorders>
              <w:top w:val="nil"/>
              <w:left w:val="single" w:sz="4" w:space="0" w:color="auto"/>
              <w:bottom w:val="nil"/>
              <w:right w:val="single" w:sz="4" w:space="0" w:color="auto"/>
            </w:tcBorders>
          </w:tcPr>
          <w:p w14:paraId="37FAEAB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65</w:t>
            </w:r>
          </w:p>
        </w:tc>
        <w:tc>
          <w:tcPr>
            <w:tcW w:w="1472" w:type="dxa"/>
            <w:tcBorders>
              <w:top w:val="nil"/>
              <w:left w:val="single" w:sz="4" w:space="0" w:color="auto"/>
              <w:bottom w:val="nil"/>
              <w:right w:val="single" w:sz="4" w:space="0" w:color="auto"/>
            </w:tcBorders>
          </w:tcPr>
          <w:p w14:paraId="300B0C14" w14:textId="77777777" w:rsidR="003A1C38" w:rsidRPr="003A1C38" w:rsidRDefault="003A1C38" w:rsidP="003A1C38">
            <w:pPr>
              <w:jc w:val="center"/>
              <w:rPr>
                <w:rFonts w:eastAsia="Calibri"/>
                <w:b/>
                <w:sz w:val="20"/>
                <w:szCs w:val="20"/>
                <w:lang w:eastAsia="en-US"/>
              </w:rPr>
            </w:pPr>
          </w:p>
        </w:tc>
      </w:tr>
      <w:tr w:rsidR="003A1C38" w:rsidRPr="003A1C38" w14:paraId="15758E53" w14:textId="77777777" w:rsidTr="00372000">
        <w:trPr>
          <w:jc w:val="center"/>
        </w:trPr>
        <w:tc>
          <w:tcPr>
            <w:tcW w:w="2836" w:type="dxa"/>
            <w:tcBorders>
              <w:top w:val="nil"/>
              <w:left w:val="single" w:sz="4" w:space="0" w:color="auto"/>
              <w:bottom w:val="nil"/>
              <w:right w:val="single" w:sz="4" w:space="0" w:color="auto"/>
            </w:tcBorders>
          </w:tcPr>
          <w:p w14:paraId="1D1E4F2A"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Nueva Zelanda</w:t>
            </w:r>
          </w:p>
        </w:tc>
        <w:tc>
          <w:tcPr>
            <w:tcW w:w="1060" w:type="dxa"/>
            <w:tcBorders>
              <w:top w:val="nil"/>
              <w:left w:val="single" w:sz="4" w:space="0" w:color="auto"/>
              <w:bottom w:val="nil"/>
              <w:right w:val="single" w:sz="4" w:space="0" w:color="auto"/>
            </w:tcBorders>
          </w:tcPr>
          <w:p w14:paraId="2ECFD22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14.1</w:t>
            </w:r>
          </w:p>
        </w:tc>
        <w:tc>
          <w:tcPr>
            <w:tcW w:w="1066" w:type="dxa"/>
            <w:tcBorders>
              <w:top w:val="nil"/>
              <w:left w:val="single" w:sz="4" w:space="0" w:color="auto"/>
              <w:bottom w:val="nil"/>
              <w:right w:val="single" w:sz="4" w:space="0" w:color="auto"/>
            </w:tcBorders>
          </w:tcPr>
          <w:p w14:paraId="75BEF2F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20.2</w:t>
            </w:r>
          </w:p>
        </w:tc>
        <w:tc>
          <w:tcPr>
            <w:tcW w:w="1211" w:type="dxa"/>
            <w:tcBorders>
              <w:top w:val="nil"/>
              <w:left w:val="single" w:sz="4" w:space="0" w:color="auto"/>
              <w:bottom w:val="nil"/>
              <w:right w:val="single" w:sz="4" w:space="0" w:color="auto"/>
            </w:tcBorders>
          </w:tcPr>
          <w:p w14:paraId="397C0024"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42.6</w:t>
            </w:r>
          </w:p>
        </w:tc>
        <w:tc>
          <w:tcPr>
            <w:tcW w:w="1472" w:type="dxa"/>
            <w:tcBorders>
              <w:top w:val="nil"/>
              <w:left w:val="single" w:sz="4" w:space="0" w:color="auto"/>
              <w:bottom w:val="nil"/>
              <w:right w:val="single" w:sz="4" w:space="0" w:color="auto"/>
            </w:tcBorders>
          </w:tcPr>
          <w:p w14:paraId="651E3C3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53F913B3"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 en 2023</w:t>
            </w:r>
          </w:p>
        </w:tc>
      </w:tr>
      <w:tr w:rsidR="003A1C38" w:rsidRPr="003A1C38" w14:paraId="1DF53E33" w14:textId="77777777" w:rsidTr="00372000">
        <w:trPr>
          <w:jc w:val="center"/>
        </w:trPr>
        <w:tc>
          <w:tcPr>
            <w:tcW w:w="2836" w:type="dxa"/>
            <w:tcBorders>
              <w:top w:val="nil"/>
              <w:left w:val="single" w:sz="4" w:space="0" w:color="auto"/>
              <w:bottom w:val="nil"/>
              <w:right w:val="single" w:sz="4" w:space="0" w:color="auto"/>
            </w:tcBorders>
          </w:tcPr>
          <w:p w14:paraId="59E1C6E4"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Reino Unido</w:t>
            </w:r>
          </w:p>
        </w:tc>
        <w:tc>
          <w:tcPr>
            <w:tcW w:w="1060" w:type="dxa"/>
            <w:tcBorders>
              <w:top w:val="nil"/>
              <w:left w:val="single" w:sz="4" w:space="0" w:color="auto"/>
              <w:bottom w:val="nil"/>
              <w:right w:val="single" w:sz="4" w:space="0" w:color="auto"/>
            </w:tcBorders>
          </w:tcPr>
          <w:p w14:paraId="4597F04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13.6</w:t>
            </w:r>
          </w:p>
        </w:tc>
        <w:tc>
          <w:tcPr>
            <w:tcW w:w="1066" w:type="dxa"/>
            <w:tcBorders>
              <w:top w:val="nil"/>
              <w:left w:val="single" w:sz="4" w:space="0" w:color="auto"/>
              <w:bottom w:val="nil"/>
              <w:right w:val="single" w:sz="4" w:space="0" w:color="auto"/>
            </w:tcBorders>
          </w:tcPr>
          <w:p w14:paraId="70E95FEE"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19.9</w:t>
            </w:r>
          </w:p>
        </w:tc>
        <w:tc>
          <w:tcPr>
            <w:tcW w:w="1211" w:type="dxa"/>
            <w:tcBorders>
              <w:top w:val="nil"/>
              <w:left w:val="single" w:sz="4" w:space="0" w:color="auto"/>
              <w:bottom w:val="nil"/>
              <w:right w:val="single" w:sz="4" w:space="0" w:color="auto"/>
            </w:tcBorders>
          </w:tcPr>
          <w:p w14:paraId="441217A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47.0</w:t>
            </w:r>
          </w:p>
        </w:tc>
        <w:tc>
          <w:tcPr>
            <w:tcW w:w="1472" w:type="dxa"/>
            <w:tcBorders>
              <w:top w:val="nil"/>
              <w:left w:val="single" w:sz="4" w:space="0" w:color="auto"/>
              <w:bottom w:val="nil"/>
              <w:right w:val="single" w:sz="4" w:space="0" w:color="auto"/>
            </w:tcBorders>
          </w:tcPr>
          <w:p w14:paraId="05218A8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65/61</w:t>
            </w:r>
          </w:p>
        </w:tc>
        <w:tc>
          <w:tcPr>
            <w:tcW w:w="1472" w:type="dxa"/>
            <w:tcBorders>
              <w:top w:val="nil"/>
              <w:left w:val="single" w:sz="4" w:space="0" w:color="auto"/>
              <w:bottom w:val="nil"/>
              <w:right w:val="single" w:sz="4" w:space="0" w:color="auto"/>
            </w:tcBorders>
          </w:tcPr>
          <w:p w14:paraId="72CC2D5D"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67 en 2026</w:t>
            </w:r>
          </w:p>
        </w:tc>
      </w:tr>
      <w:tr w:rsidR="003A1C38" w:rsidRPr="003A1C38" w14:paraId="4658B863" w14:textId="77777777" w:rsidTr="00372000">
        <w:trPr>
          <w:jc w:val="center"/>
        </w:trPr>
        <w:tc>
          <w:tcPr>
            <w:tcW w:w="2836" w:type="dxa"/>
            <w:tcBorders>
              <w:top w:val="nil"/>
              <w:left w:val="single" w:sz="4" w:space="0" w:color="auto"/>
              <w:bottom w:val="nil"/>
              <w:right w:val="single" w:sz="4" w:space="0" w:color="auto"/>
            </w:tcBorders>
          </w:tcPr>
          <w:p w14:paraId="645FF647"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República Checa</w:t>
            </w:r>
          </w:p>
        </w:tc>
        <w:tc>
          <w:tcPr>
            <w:tcW w:w="1060" w:type="dxa"/>
            <w:tcBorders>
              <w:top w:val="nil"/>
              <w:left w:val="single" w:sz="4" w:space="0" w:color="auto"/>
              <w:bottom w:val="nil"/>
              <w:right w:val="single" w:sz="4" w:space="0" w:color="auto"/>
            </w:tcBorders>
          </w:tcPr>
          <w:p w14:paraId="5077F422"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13.5</w:t>
            </w:r>
          </w:p>
        </w:tc>
        <w:tc>
          <w:tcPr>
            <w:tcW w:w="1066" w:type="dxa"/>
            <w:tcBorders>
              <w:top w:val="nil"/>
              <w:left w:val="single" w:sz="4" w:space="0" w:color="auto"/>
              <w:bottom w:val="nil"/>
              <w:right w:val="single" w:sz="4" w:space="0" w:color="auto"/>
            </w:tcBorders>
          </w:tcPr>
          <w:p w14:paraId="24DD9D3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17.4</w:t>
            </w:r>
          </w:p>
        </w:tc>
        <w:tc>
          <w:tcPr>
            <w:tcW w:w="1211" w:type="dxa"/>
            <w:tcBorders>
              <w:top w:val="nil"/>
              <w:left w:val="single" w:sz="4" w:space="0" w:color="auto"/>
              <w:bottom w:val="nil"/>
              <w:right w:val="single" w:sz="4" w:space="0" w:color="auto"/>
            </w:tcBorders>
          </w:tcPr>
          <w:p w14:paraId="64E5DB50"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28.9</w:t>
            </w:r>
          </w:p>
        </w:tc>
        <w:tc>
          <w:tcPr>
            <w:tcW w:w="1472" w:type="dxa"/>
            <w:tcBorders>
              <w:top w:val="nil"/>
              <w:left w:val="single" w:sz="4" w:space="0" w:color="auto"/>
              <w:bottom w:val="nil"/>
              <w:right w:val="single" w:sz="4" w:space="0" w:color="auto"/>
            </w:tcBorders>
          </w:tcPr>
          <w:p w14:paraId="611B8811"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62/61</w:t>
            </w:r>
          </w:p>
        </w:tc>
        <w:tc>
          <w:tcPr>
            <w:tcW w:w="1472" w:type="dxa"/>
            <w:tcBorders>
              <w:top w:val="nil"/>
              <w:left w:val="single" w:sz="4" w:space="0" w:color="auto"/>
              <w:bottom w:val="nil"/>
              <w:right w:val="single" w:sz="4" w:space="0" w:color="auto"/>
            </w:tcBorders>
          </w:tcPr>
          <w:p w14:paraId="783FE59D" w14:textId="77777777" w:rsidR="003A1C38" w:rsidRPr="003A1C38" w:rsidRDefault="003A1C38" w:rsidP="003A1C38">
            <w:pPr>
              <w:jc w:val="center"/>
              <w:rPr>
                <w:rFonts w:eastAsia="Calibri"/>
                <w:sz w:val="20"/>
                <w:szCs w:val="20"/>
                <w:lang w:eastAsia="en-US"/>
              </w:rPr>
            </w:pPr>
          </w:p>
        </w:tc>
      </w:tr>
      <w:tr w:rsidR="003A1C38" w:rsidRPr="003A1C38" w14:paraId="74C63768" w14:textId="77777777" w:rsidTr="00372000">
        <w:trPr>
          <w:jc w:val="center"/>
        </w:trPr>
        <w:tc>
          <w:tcPr>
            <w:tcW w:w="2836" w:type="dxa"/>
            <w:tcBorders>
              <w:top w:val="nil"/>
              <w:left w:val="single" w:sz="4" w:space="0" w:color="auto"/>
              <w:bottom w:val="nil"/>
              <w:right w:val="single" w:sz="4" w:space="0" w:color="auto"/>
            </w:tcBorders>
          </w:tcPr>
          <w:p w14:paraId="54A68DA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Suecia</w:t>
            </w:r>
          </w:p>
        </w:tc>
        <w:tc>
          <w:tcPr>
            <w:tcW w:w="1060" w:type="dxa"/>
            <w:tcBorders>
              <w:top w:val="nil"/>
              <w:left w:val="single" w:sz="4" w:space="0" w:color="auto"/>
              <w:bottom w:val="nil"/>
              <w:right w:val="single" w:sz="4" w:space="0" w:color="auto"/>
            </w:tcBorders>
          </w:tcPr>
          <w:p w14:paraId="1494F16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14.5</w:t>
            </w:r>
          </w:p>
        </w:tc>
        <w:tc>
          <w:tcPr>
            <w:tcW w:w="1066" w:type="dxa"/>
            <w:tcBorders>
              <w:top w:val="nil"/>
              <w:left w:val="single" w:sz="4" w:space="0" w:color="auto"/>
              <w:bottom w:val="nil"/>
              <w:right w:val="single" w:sz="4" w:space="0" w:color="auto"/>
            </w:tcBorders>
          </w:tcPr>
          <w:p w14:paraId="30FE8717"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19.9</w:t>
            </w:r>
          </w:p>
        </w:tc>
        <w:tc>
          <w:tcPr>
            <w:tcW w:w="1211" w:type="dxa"/>
            <w:tcBorders>
              <w:top w:val="nil"/>
              <w:left w:val="single" w:sz="4" w:space="0" w:color="auto"/>
              <w:bottom w:val="nil"/>
              <w:right w:val="single" w:sz="4" w:space="0" w:color="auto"/>
            </w:tcBorders>
          </w:tcPr>
          <w:p w14:paraId="2F914271"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37.3</w:t>
            </w:r>
          </w:p>
        </w:tc>
        <w:tc>
          <w:tcPr>
            <w:tcW w:w="1472" w:type="dxa"/>
            <w:tcBorders>
              <w:top w:val="nil"/>
              <w:left w:val="single" w:sz="4" w:space="0" w:color="auto"/>
              <w:bottom w:val="nil"/>
              <w:right w:val="single" w:sz="4" w:space="0" w:color="auto"/>
            </w:tcBorders>
          </w:tcPr>
          <w:p w14:paraId="72AEAEA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w:t>
            </w:r>
          </w:p>
        </w:tc>
        <w:tc>
          <w:tcPr>
            <w:tcW w:w="1472" w:type="dxa"/>
            <w:tcBorders>
              <w:top w:val="nil"/>
              <w:left w:val="single" w:sz="4" w:space="0" w:color="auto"/>
              <w:bottom w:val="nil"/>
              <w:right w:val="single" w:sz="4" w:space="0" w:color="auto"/>
            </w:tcBorders>
          </w:tcPr>
          <w:p w14:paraId="326F596B" w14:textId="77777777" w:rsidR="003A1C38" w:rsidRPr="003A1C38" w:rsidRDefault="003A1C38" w:rsidP="003A1C38">
            <w:pPr>
              <w:jc w:val="center"/>
              <w:rPr>
                <w:rFonts w:eastAsia="Calibri"/>
                <w:sz w:val="20"/>
                <w:szCs w:val="20"/>
                <w:lang w:eastAsia="en-US"/>
              </w:rPr>
            </w:pPr>
          </w:p>
        </w:tc>
      </w:tr>
      <w:tr w:rsidR="003A1C38" w:rsidRPr="003A1C38" w14:paraId="059292D4" w14:textId="77777777" w:rsidTr="00372000">
        <w:trPr>
          <w:jc w:val="center"/>
        </w:trPr>
        <w:tc>
          <w:tcPr>
            <w:tcW w:w="2836" w:type="dxa"/>
            <w:tcBorders>
              <w:top w:val="nil"/>
              <w:left w:val="single" w:sz="4" w:space="0" w:color="auto"/>
              <w:bottom w:val="single" w:sz="4" w:space="0" w:color="auto"/>
              <w:right w:val="single" w:sz="4" w:space="0" w:color="auto"/>
            </w:tcBorders>
          </w:tcPr>
          <w:p w14:paraId="7348934E"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Turquía</w:t>
            </w:r>
          </w:p>
        </w:tc>
        <w:tc>
          <w:tcPr>
            <w:tcW w:w="1060" w:type="dxa"/>
            <w:tcBorders>
              <w:top w:val="nil"/>
              <w:left w:val="single" w:sz="4" w:space="0" w:color="auto"/>
              <w:bottom w:val="single" w:sz="4" w:space="0" w:color="auto"/>
              <w:right w:val="single" w:sz="4" w:space="0" w:color="auto"/>
            </w:tcBorders>
          </w:tcPr>
          <w:p w14:paraId="4248015C"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11.6</w:t>
            </w:r>
          </w:p>
        </w:tc>
        <w:tc>
          <w:tcPr>
            <w:tcW w:w="1066" w:type="dxa"/>
            <w:tcBorders>
              <w:top w:val="nil"/>
              <w:left w:val="single" w:sz="4" w:space="0" w:color="auto"/>
              <w:bottom w:val="single" w:sz="4" w:space="0" w:color="auto"/>
              <w:right w:val="single" w:sz="4" w:space="0" w:color="auto"/>
            </w:tcBorders>
          </w:tcPr>
          <w:p w14:paraId="5F690129"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15.1</w:t>
            </w:r>
          </w:p>
        </w:tc>
        <w:tc>
          <w:tcPr>
            <w:tcW w:w="1211" w:type="dxa"/>
            <w:tcBorders>
              <w:top w:val="nil"/>
              <w:left w:val="single" w:sz="4" w:space="0" w:color="auto"/>
              <w:bottom w:val="single" w:sz="4" w:space="0" w:color="auto"/>
              <w:right w:val="single" w:sz="4" w:space="0" w:color="auto"/>
            </w:tcBorders>
          </w:tcPr>
          <w:p w14:paraId="5A5E5A75"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29.7</w:t>
            </w:r>
          </w:p>
        </w:tc>
        <w:tc>
          <w:tcPr>
            <w:tcW w:w="1472" w:type="dxa"/>
            <w:tcBorders>
              <w:top w:val="nil"/>
              <w:left w:val="single" w:sz="4" w:space="0" w:color="auto"/>
              <w:bottom w:val="single" w:sz="4" w:space="0" w:color="auto"/>
              <w:right w:val="single" w:sz="4" w:space="0" w:color="auto"/>
            </w:tcBorders>
          </w:tcPr>
          <w:p w14:paraId="70C12F2A"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60/58</w:t>
            </w:r>
          </w:p>
        </w:tc>
        <w:tc>
          <w:tcPr>
            <w:tcW w:w="1472" w:type="dxa"/>
            <w:tcBorders>
              <w:top w:val="nil"/>
              <w:left w:val="single" w:sz="4" w:space="0" w:color="auto"/>
              <w:bottom w:val="single" w:sz="4" w:space="0" w:color="auto"/>
              <w:right w:val="single" w:sz="4" w:space="0" w:color="auto"/>
            </w:tcBorders>
          </w:tcPr>
          <w:p w14:paraId="3E3B5758" w14:textId="77777777" w:rsidR="003A1C38" w:rsidRPr="003A1C38" w:rsidRDefault="003A1C38" w:rsidP="003A1C38">
            <w:pPr>
              <w:jc w:val="center"/>
              <w:rPr>
                <w:rFonts w:eastAsia="Calibri"/>
                <w:sz w:val="20"/>
                <w:szCs w:val="20"/>
                <w:lang w:eastAsia="en-US"/>
              </w:rPr>
            </w:pPr>
            <w:r w:rsidRPr="003A1C38">
              <w:rPr>
                <w:rFonts w:eastAsia="Calibri"/>
                <w:sz w:val="20"/>
                <w:szCs w:val="20"/>
                <w:lang w:eastAsia="en-US"/>
              </w:rPr>
              <w:t>65 en 2048</w:t>
            </w:r>
          </w:p>
        </w:tc>
      </w:tr>
      <w:tr w:rsidR="003A1C38" w:rsidRPr="003A1C38" w14:paraId="191280A5" w14:textId="77777777" w:rsidTr="00372000">
        <w:trPr>
          <w:jc w:val="center"/>
        </w:trPr>
        <w:tc>
          <w:tcPr>
            <w:tcW w:w="9117" w:type="dxa"/>
            <w:gridSpan w:val="6"/>
            <w:tcBorders>
              <w:top w:val="single" w:sz="4" w:space="0" w:color="auto"/>
              <w:left w:val="nil"/>
              <w:bottom w:val="nil"/>
              <w:right w:val="nil"/>
            </w:tcBorders>
          </w:tcPr>
          <w:p w14:paraId="631789E8"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FUENTE: OCDE.</w:t>
            </w:r>
          </w:p>
        </w:tc>
      </w:tr>
    </w:tbl>
    <w:p w14:paraId="75DDFAFA" w14:textId="77777777" w:rsidR="003A1C38" w:rsidRPr="003A1C38" w:rsidRDefault="003A1C38" w:rsidP="003A1C38">
      <w:pPr>
        <w:spacing w:after="360" w:line="360" w:lineRule="auto"/>
        <w:ind w:right="-159"/>
        <w:jc w:val="both"/>
        <w:rPr>
          <w:rFonts w:eastAsia="Calibri"/>
          <w:sz w:val="26"/>
          <w:szCs w:val="26"/>
          <w:lang w:eastAsia="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3A1C38" w:rsidRPr="003A1C38" w14:paraId="6AF9D32B" w14:textId="77777777" w:rsidTr="004257D5">
        <w:tc>
          <w:tcPr>
            <w:tcW w:w="8828" w:type="dxa"/>
            <w:vAlign w:val="center"/>
          </w:tcPr>
          <w:p w14:paraId="5FF23C22" w14:textId="77777777" w:rsidR="003A1C38" w:rsidRPr="003A1C38" w:rsidRDefault="003A1C38" w:rsidP="004257D5">
            <w:pPr>
              <w:spacing w:before="240" w:after="120" w:line="360" w:lineRule="auto"/>
              <w:jc w:val="both"/>
              <w:rPr>
                <w:rFonts w:eastAsia="Calibri"/>
                <w:sz w:val="26"/>
                <w:szCs w:val="26"/>
                <w:lang w:eastAsia="en-US"/>
              </w:rPr>
            </w:pPr>
            <w:r w:rsidRPr="003A1C38">
              <w:rPr>
                <w:rFonts w:eastAsia="Calibri"/>
                <w:sz w:val="26"/>
                <w:szCs w:val="26"/>
                <w:lang w:eastAsia="en-US"/>
              </w:rPr>
              <w:t>¿Qué hacer? Elevar la edad de retiro para volverla acorde con la esperanza de vida.</w:t>
            </w:r>
          </w:p>
        </w:tc>
      </w:tr>
    </w:tbl>
    <w:p w14:paraId="0D270B44" w14:textId="77777777" w:rsidR="003A1C38" w:rsidRPr="003A1C38" w:rsidRDefault="003A1C38" w:rsidP="003A1C38">
      <w:pPr>
        <w:spacing w:after="360" w:line="360" w:lineRule="auto"/>
        <w:ind w:right="-159"/>
        <w:jc w:val="both"/>
        <w:rPr>
          <w:rFonts w:eastAsia="Calibri"/>
          <w:sz w:val="26"/>
          <w:szCs w:val="26"/>
          <w:lang w:eastAsia="en-US"/>
        </w:rPr>
      </w:pPr>
    </w:p>
    <w:p w14:paraId="2DE7DFE2"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Pilar Dos: Régimen de inversión restrictivo</w:t>
      </w:r>
    </w:p>
    <w:p w14:paraId="3384B313" w14:textId="77777777" w:rsidR="003A1C38" w:rsidRPr="003A1C38" w:rsidRDefault="003A1C38" w:rsidP="003A1C38">
      <w:pPr>
        <w:spacing w:after="360" w:line="360" w:lineRule="auto"/>
        <w:ind w:right="-159"/>
        <w:jc w:val="both"/>
        <w:rPr>
          <w:rFonts w:eastAsia="Calibri"/>
          <w:sz w:val="26"/>
          <w:szCs w:val="26"/>
          <w:lang w:eastAsia="en-US"/>
        </w:rPr>
      </w:pPr>
      <w:r w:rsidRPr="003A1C38">
        <w:rPr>
          <w:rFonts w:eastAsia="Calibri"/>
          <w:sz w:val="26"/>
          <w:szCs w:val="26"/>
          <w:lang w:eastAsia="en-US"/>
        </w:rPr>
        <w:t>Los límites de RV y Valores extranjeros se han quedado cortos.</w:t>
      </w:r>
    </w:p>
    <w:p w14:paraId="04D6AECE" w14:textId="77777777" w:rsidR="003A1C38" w:rsidRPr="003A1C38" w:rsidRDefault="003A1C38" w:rsidP="003A1C38">
      <w:pPr>
        <w:spacing w:after="360" w:line="360" w:lineRule="auto"/>
        <w:ind w:right="-159"/>
        <w:jc w:val="center"/>
        <w:rPr>
          <w:rFonts w:eastAsia="Calibri"/>
          <w:sz w:val="26"/>
          <w:szCs w:val="26"/>
          <w:lang w:eastAsia="en-US"/>
        </w:rPr>
      </w:pPr>
      <w:r w:rsidRPr="003A1C38">
        <w:rPr>
          <w:rFonts w:ascii="Calibri" w:eastAsia="Calibri" w:hAnsi="Calibri"/>
          <w:sz w:val="22"/>
          <w:szCs w:val="22"/>
          <w:lang w:eastAsia="en-US"/>
        </w:rPr>
        <w:lastRenderedPageBreak/>
        <w:fldChar w:fldCharType="begin"/>
      </w:r>
      <w:r w:rsidRPr="003A1C38">
        <w:rPr>
          <w:rFonts w:ascii="Calibri" w:eastAsia="Calibri" w:hAnsi="Calibri"/>
          <w:sz w:val="22"/>
          <w:szCs w:val="22"/>
          <w:lang w:eastAsia="en-US"/>
        </w:rPr>
        <w:instrText xml:space="preserve"> LINK PowerPoint.Slide.8 "D:\\2015\\ABRIL\\GRÁFICAS POWER POINT\\26. Seguridad Social en el siglo XXI CONSAR.pptx!275" "" \a \p </w:instrText>
      </w:r>
      <w:r w:rsidRPr="003A1C38">
        <w:rPr>
          <w:rFonts w:ascii="Calibri" w:eastAsia="Calibri" w:hAnsi="Calibri"/>
          <w:sz w:val="22"/>
          <w:szCs w:val="22"/>
          <w:lang w:eastAsia="en-US"/>
        </w:rPr>
        <w:fldChar w:fldCharType="separate"/>
      </w:r>
      <w:r w:rsidRPr="003A1C38">
        <w:rPr>
          <w:rFonts w:ascii="Calibri" w:eastAsia="Calibri" w:hAnsi="Calibri"/>
          <w:noProof/>
          <w:sz w:val="22"/>
          <w:szCs w:val="22"/>
          <w:lang w:eastAsia="es-MX"/>
        </w:rPr>
        <w:drawing>
          <wp:inline distT="0" distB="0" distL="0" distR="0" wp14:anchorId="257F651F" wp14:editId="235729A9">
            <wp:extent cx="4559935" cy="3169285"/>
            <wp:effectExtent l="0" t="0" r="0" b="0"/>
            <wp:docPr id="1885" name="Imagen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380" cstate="print">
                      <a:extLst>
                        <a:ext uri="{28A0092B-C50C-407E-A947-70E740481C1C}">
                          <a14:useLocalDpi xmlns:a14="http://schemas.microsoft.com/office/drawing/2010/main" val="0"/>
                        </a:ext>
                      </a:extLst>
                    </a:blip>
                    <a:srcRect t="7500"/>
                    <a:stretch>
                      <a:fillRect/>
                    </a:stretch>
                  </pic:blipFill>
                  <pic:spPr bwMode="auto">
                    <a:xfrm>
                      <a:off x="0" y="0"/>
                      <a:ext cx="4559935" cy="3169285"/>
                    </a:xfrm>
                    <a:prstGeom prst="rect">
                      <a:avLst/>
                    </a:prstGeom>
                    <a:noFill/>
                    <a:ln>
                      <a:noFill/>
                    </a:ln>
                  </pic:spPr>
                </pic:pic>
              </a:graphicData>
            </a:graphic>
          </wp:inline>
        </w:drawing>
      </w:r>
      <w:r w:rsidRPr="003A1C38">
        <w:rPr>
          <w:rFonts w:ascii="Calibri" w:eastAsia="Calibri" w:hAnsi="Calibri"/>
          <w:sz w:val="22"/>
          <w:szCs w:val="22"/>
          <w:lang w:eastAsia="en-US"/>
        </w:rPr>
        <w:fldChar w:fldCharType="end"/>
      </w:r>
    </w:p>
    <w:p w14:paraId="3AFCD294" w14:textId="77777777" w:rsidR="003A1C38" w:rsidRPr="003A1C38" w:rsidRDefault="003A1C38" w:rsidP="003A1C38">
      <w:pPr>
        <w:spacing w:after="360" w:line="360" w:lineRule="auto"/>
        <w:ind w:right="-159"/>
        <w:jc w:val="both"/>
        <w:rPr>
          <w:rFonts w:eastAsia="Calibri"/>
          <w:sz w:val="26"/>
          <w:szCs w:val="26"/>
          <w:u w:val="single"/>
          <w:lang w:eastAsia="en-US"/>
        </w:rPr>
      </w:pPr>
      <w:r w:rsidRPr="003A1C38">
        <w:rPr>
          <w:rFonts w:eastAsia="Calibri"/>
          <w:sz w:val="26"/>
          <w:szCs w:val="26"/>
          <w:u w:val="single"/>
          <w:lang w:eastAsia="en-US"/>
        </w:rPr>
        <w:t>Riesgos de mantener límite</w:t>
      </w:r>
    </w:p>
    <w:p w14:paraId="10274505"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Bajos rendimientos en el futuro.</w:t>
      </w:r>
    </w:p>
    <w:p w14:paraId="4D8F8EB5"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Creación de burbujas especulativas.</w:t>
      </w:r>
    </w:p>
    <w:p w14:paraId="176290F2"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Pérdida de oportunidades de inversión.</w:t>
      </w:r>
    </w:p>
    <w:p w14:paraId="3B5F4990"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Selección adversa.</w:t>
      </w:r>
    </w:p>
    <w:p w14:paraId="5195F540"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Riesgo país de las carteras.</w:t>
      </w:r>
    </w:p>
    <w:p w14:paraId="00EE6D39"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Mayores riesgos de conflictos de interés.</w:t>
      </w:r>
    </w:p>
    <w:p w14:paraId="55E0D66F"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Falta de diversificación de las carteras.</w:t>
      </w:r>
    </w:p>
    <w:p w14:paraId="2D8F390B" w14:textId="77777777" w:rsidR="003A1C38" w:rsidRPr="003A1C38" w:rsidRDefault="003A1C38" w:rsidP="003518F4">
      <w:pPr>
        <w:numPr>
          <w:ilvl w:val="0"/>
          <w:numId w:val="171"/>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Freno a la competencia: límite a la diferenciación entre Administradoras de Fondos para el Retiro (Afores).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8"/>
      </w:tblGrid>
      <w:tr w:rsidR="003A1C38" w:rsidRPr="003A1C38" w14:paraId="1C27D1B5" w14:textId="77777777" w:rsidTr="004257D5">
        <w:tc>
          <w:tcPr>
            <w:tcW w:w="8828" w:type="dxa"/>
          </w:tcPr>
          <w:p w14:paraId="6A8C1C55" w14:textId="6E0C5409" w:rsidR="003A1C38" w:rsidRPr="003A1C38" w:rsidRDefault="00EF184E" w:rsidP="003A1C38">
            <w:pPr>
              <w:spacing w:before="120" w:after="120" w:line="360" w:lineRule="auto"/>
              <w:jc w:val="both"/>
              <w:rPr>
                <w:rFonts w:eastAsia="Calibri"/>
                <w:sz w:val="26"/>
                <w:szCs w:val="26"/>
                <w:lang w:eastAsia="en-US"/>
              </w:rPr>
            </w:pPr>
            <w:r>
              <w:rPr>
                <w:rFonts w:eastAsia="Calibri"/>
                <w:sz w:val="26"/>
                <w:szCs w:val="26"/>
                <w:lang w:eastAsia="en-US"/>
              </w:rPr>
              <w:lastRenderedPageBreak/>
              <w:t>¿Qué hacer? Incrementar el tope</w:t>
            </w:r>
            <w:r w:rsidR="003A1C38" w:rsidRPr="003A1C38">
              <w:rPr>
                <w:rFonts w:eastAsia="Calibri"/>
                <w:sz w:val="26"/>
                <w:szCs w:val="26"/>
                <w:lang w:eastAsia="en-US"/>
              </w:rPr>
              <w:t xml:space="preserve"> de 20% a la inversión en valores extranjeros y aumentar el límite de inversión en renta variable.</w:t>
            </w:r>
          </w:p>
        </w:tc>
      </w:tr>
    </w:tbl>
    <w:p w14:paraId="3EA4C4A7" w14:textId="77777777" w:rsidR="003A1C38" w:rsidRPr="003A1C38" w:rsidRDefault="003A1C38" w:rsidP="003A1C38">
      <w:pPr>
        <w:spacing w:after="360" w:line="360" w:lineRule="auto"/>
        <w:ind w:right="-159"/>
        <w:jc w:val="both"/>
        <w:rPr>
          <w:rFonts w:eastAsia="Calibri"/>
          <w:sz w:val="26"/>
          <w:szCs w:val="26"/>
          <w:lang w:eastAsia="en-US"/>
        </w:rPr>
      </w:pPr>
    </w:p>
    <w:p w14:paraId="52190179"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Pilar Tres: Ahorro voluntario insuficiente</w:t>
      </w:r>
    </w:p>
    <w:p w14:paraId="245A71C0" w14:textId="77777777" w:rsidR="003A1C38" w:rsidRPr="003A1C38" w:rsidRDefault="003A1C38" w:rsidP="003518F4">
      <w:pPr>
        <w:numPr>
          <w:ilvl w:val="0"/>
          <w:numId w:val="172"/>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Dado el bajo nivel de aportaciones y densidad de cotización, impulsar el ahorro voluntario es esencial para que los trabajadores puedan aspirar a una pensión digna.</w:t>
      </w:r>
    </w:p>
    <w:p w14:paraId="3CCA90B7" w14:textId="77777777" w:rsidR="003A1C38" w:rsidRPr="003A1C38" w:rsidRDefault="003A1C38" w:rsidP="003518F4">
      <w:pPr>
        <w:numPr>
          <w:ilvl w:val="0"/>
          <w:numId w:val="172"/>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Solo 4.9% de las cuentas del SAR tienen ahorro voluntario, mientras el 1% de los recursos administrados por las Afore proviene del ahorro voluntario.</w:t>
      </w:r>
    </w:p>
    <w:tbl>
      <w:tblPr>
        <w:tblW w:w="9923" w:type="dxa"/>
        <w:tblInd w:w="-567" w:type="dxa"/>
        <w:tblLook w:val="04A0" w:firstRow="1" w:lastRow="0" w:firstColumn="1" w:lastColumn="0" w:noHBand="0" w:noVBand="1"/>
      </w:tblPr>
      <w:tblGrid>
        <w:gridCol w:w="3514"/>
        <w:gridCol w:w="2723"/>
        <w:gridCol w:w="3686"/>
      </w:tblGrid>
      <w:tr w:rsidR="003A1C38" w:rsidRPr="003A1C38" w14:paraId="2BB8AB1B" w14:textId="77777777" w:rsidTr="004257D5">
        <w:tc>
          <w:tcPr>
            <w:tcW w:w="9923" w:type="dxa"/>
            <w:gridSpan w:val="3"/>
            <w:tcBorders>
              <w:top w:val="nil"/>
              <w:left w:val="nil"/>
              <w:bottom w:val="single" w:sz="4" w:space="0" w:color="auto"/>
              <w:right w:val="nil"/>
            </w:tcBorders>
          </w:tcPr>
          <w:p w14:paraId="421E9EA3" w14:textId="77777777" w:rsidR="003A1C38" w:rsidRPr="003A1C38" w:rsidRDefault="003A1C38" w:rsidP="003A1C38">
            <w:pPr>
              <w:spacing w:after="120"/>
              <w:jc w:val="center"/>
              <w:rPr>
                <w:rFonts w:eastAsia="Calibri"/>
                <w:b/>
                <w:sz w:val="22"/>
                <w:szCs w:val="22"/>
                <w:lang w:eastAsia="en-US"/>
              </w:rPr>
            </w:pPr>
            <w:r w:rsidRPr="003A1C38">
              <w:rPr>
                <w:rFonts w:eastAsia="Calibri"/>
                <w:b/>
                <w:sz w:val="22"/>
                <w:szCs w:val="22"/>
                <w:lang w:eastAsia="en-US"/>
              </w:rPr>
              <w:t>¿QUÉ HACER? CAUSAS DEL BAJO AHORRO VOLUNTARIO Y POSIBLES SOLUCIONES</w:t>
            </w:r>
          </w:p>
        </w:tc>
      </w:tr>
      <w:tr w:rsidR="003A1C38" w:rsidRPr="003A1C38" w14:paraId="6C245988" w14:textId="77777777" w:rsidTr="004257D5">
        <w:tc>
          <w:tcPr>
            <w:tcW w:w="3514" w:type="dxa"/>
            <w:tcBorders>
              <w:top w:val="single" w:sz="4" w:space="0" w:color="auto"/>
              <w:left w:val="single" w:sz="4" w:space="0" w:color="auto"/>
              <w:bottom w:val="single" w:sz="4" w:space="0" w:color="auto"/>
              <w:right w:val="single" w:sz="4" w:space="0" w:color="auto"/>
            </w:tcBorders>
          </w:tcPr>
          <w:p w14:paraId="6689071E"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Causa</w:t>
            </w:r>
          </w:p>
        </w:tc>
        <w:tc>
          <w:tcPr>
            <w:tcW w:w="2723" w:type="dxa"/>
            <w:tcBorders>
              <w:top w:val="single" w:sz="4" w:space="0" w:color="auto"/>
              <w:left w:val="single" w:sz="4" w:space="0" w:color="auto"/>
              <w:bottom w:val="single" w:sz="4" w:space="0" w:color="auto"/>
              <w:right w:val="single" w:sz="4" w:space="0" w:color="auto"/>
            </w:tcBorders>
          </w:tcPr>
          <w:p w14:paraId="31E301B6"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Responsabilidad</w:t>
            </w:r>
          </w:p>
        </w:tc>
        <w:tc>
          <w:tcPr>
            <w:tcW w:w="3686" w:type="dxa"/>
            <w:tcBorders>
              <w:top w:val="single" w:sz="4" w:space="0" w:color="auto"/>
              <w:left w:val="single" w:sz="4" w:space="0" w:color="auto"/>
              <w:bottom w:val="single" w:sz="4" w:space="0" w:color="auto"/>
              <w:right w:val="single" w:sz="4" w:space="0" w:color="auto"/>
            </w:tcBorders>
          </w:tcPr>
          <w:p w14:paraId="6CC56799" w14:textId="77777777" w:rsidR="003A1C38" w:rsidRPr="003A1C38" w:rsidRDefault="003A1C38" w:rsidP="003A1C38">
            <w:pPr>
              <w:jc w:val="center"/>
              <w:rPr>
                <w:rFonts w:eastAsia="Calibri"/>
                <w:b/>
                <w:sz w:val="20"/>
                <w:szCs w:val="20"/>
                <w:lang w:eastAsia="en-US"/>
              </w:rPr>
            </w:pPr>
            <w:r w:rsidRPr="003A1C38">
              <w:rPr>
                <w:rFonts w:eastAsia="Calibri"/>
                <w:b/>
                <w:sz w:val="20"/>
                <w:szCs w:val="20"/>
                <w:lang w:eastAsia="en-US"/>
              </w:rPr>
              <w:t>¿Qué hacer?</w:t>
            </w:r>
          </w:p>
        </w:tc>
      </w:tr>
      <w:tr w:rsidR="003A1C38" w:rsidRPr="003A1C38" w14:paraId="1334CD95" w14:textId="77777777" w:rsidTr="004257D5">
        <w:tc>
          <w:tcPr>
            <w:tcW w:w="3514" w:type="dxa"/>
            <w:tcBorders>
              <w:top w:val="single" w:sz="4" w:space="0" w:color="auto"/>
              <w:left w:val="single" w:sz="4" w:space="0" w:color="auto"/>
              <w:bottom w:val="single" w:sz="4" w:space="0" w:color="auto"/>
              <w:right w:val="single" w:sz="4" w:space="0" w:color="auto"/>
            </w:tcBorders>
          </w:tcPr>
          <w:p w14:paraId="498BA779"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Falta de incentivos monetarios y no monetarios</w:t>
            </w:r>
          </w:p>
        </w:tc>
        <w:tc>
          <w:tcPr>
            <w:tcW w:w="2723" w:type="dxa"/>
            <w:tcBorders>
              <w:top w:val="single" w:sz="4" w:space="0" w:color="auto"/>
              <w:left w:val="single" w:sz="4" w:space="0" w:color="auto"/>
              <w:bottom w:val="single" w:sz="4" w:space="0" w:color="auto"/>
              <w:right w:val="single" w:sz="4" w:space="0" w:color="auto"/>
            </w:tcBorders>
          </w:tcPr>
          <w:p w14:paraId="0DA4AA8C"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Poder Ejecutivo y Legislativo Federal/Empresas</w:t>
            </w:r>
          </w:p>
        </w:tc>
        <w:tc>
          <w:tcPr>
            <w:tcW w:w="3686" w:type="dxa"/>
            <w:tcBorders>
              <w:top w:val="single" w:sz="4" w:space="0" w:color="auto"/>
              <w:left w:val="single" w:sz="4" w:space="0" w:color="auto"/>
              <w:bottom w:val="single" w:sz="4" w:space="0" w:color="auto"/>
              <w:right w:val="single" w:sz="4" w:space="0" w:color="auto"/>
            </w:tcBorders>
          </w:tcPr>
          <w:p w14:paraId="012F6B52"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 xml:space="preserve">Contribuciones </w:t>
            </w:r>
            <w:r w:rsidRPr="003A1C38">
              <w:rPr>
                <w:rFonts w:eastAsia="Calibri"/>
                <w:i/>
                <w:sz w:val="20"/>
                <w:szCs w:val="20"/>
                <w:lang w:eastAsia="en-US"/>
              </w:rPr>
              <w:t>pari passu</w:t>
            </w:r>
            <w:r w:rsidRPr="003A1C38">
              <w:rPr>
                <w:rFonts w:eastAsia="Calibri"/>
                <w:sz w:val="20"/>
                <w:szCs w:val="20"/>
                <w:lang w:eastAsia="en-US"/>
              </w:rPr>
              <w:t>/sorteos/loterías</w:t>
            </w:r>
          </w:p>
        </w:tc>
      </w:tr>
      <w:tr w:rsidR="003A1C38" w:rsidRPr="003A1C38" w14:paraId="29B367EA" w14:textId="77777777" w:rsidTr="004257D5">
        <w:tc>
          <w:tcPr>
            <w:tcW w:w="3514" w:type="dxa"/>
            <w:tcBorders>
              <w:top w:val="single" w:sz="4" w:space="0" w:color="auto"/>
              <w:left w:val="single" w:sz="4" w:space="0" w:color="auto"/>
              <w:bottom w:val="single" w:sz="4" w:space="0" w:color="auto"/>
              <w:right w:val="single" w:sz="4" w:space="0" w:color="auto"/>
            </w:tcBorders>
          </w:tcPr>
          <w:p w14:paraId="6BBF87B9"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El proceso para hacer aportaciones voluntarias es complicado</w:t>
            </w:r>
          </w:p>
        </w:tc>
        <w:tc>
          <w:tcPr>
            <w:tcW w:w="2723" w:type="dxa"/>
            <w:tcBorders>
              <w:top w:val="single" w:sz="4" w:space="0" w:color="auto"/>
              <w:left w:val="single" w:sz="4" w:space="0" w:color="auto"/>
              <w:bottom w:val="single" w:sz="4" w:space="0" w:color="auto"/>
              <w:right w:val="single" w:sz="4" w:space="0" w:color="auto"/>
            </w:tcBorders>
          </w:tcPr>
          <w:p w14:paraId="2DC6AB33"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Consar y Afore</w:t>
            </w:r>
          </w:p>
        </w:tc>
        <w:tc>
          <w:tcPr>
            <w:tcW w:w="3686" w:type="dxa"/>
            <w:tcBorders>
              <w:top w:val="single" w:sz="4" w:space="0" w:color="auto"/>
              <w:left w:val="single" w:sz="4" w:space="0" w:color="auto"/>
              <w:bottom w:val="single" w:sz="4" w:space="0" w:color="auto"/>
              <w:right w:val="single" w:sz="4" w:space="0" w:color="auto"/>
            </w:tcBorders>
          </w:tcPr>
          <w:p w14:paraId="39A27D73"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Ofrecer métodos modernas, fáciles y accesibles para todos los trabajadores del país</w:t>
            </w:r>
          </w:p>
        </w:tc>
      </w:tr>
      <w:tr w:rsidR="003A1C38" w:rsidRPr="003A1C38" w14:paraId="7E3156E1" w14:textId="77777777" w:rsidTr="004257D5">
        <w:tc>
          <w:tcPr>
            <w:tcW w:w="3514" w:type="dxa"/>
            <w:tcBorders>
              <w:top w:val="single" w:sz="4" w:space="0" w:color="auto"/>
              <w:left w:val="single" w:sz="4" w:space="0" w:color="auto"/>
              <w:bottom w:val="single" w:sz="4" w:space="0" w:color="auto"/>
              <w:right w:val="single" w:sz="4" w:space="0" w:color="auto"/>
            </w:tcBorders>
          </w:tcPr>
          <w:p w14:paraId="62A64C41"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Falta mayor difusión sobre la importancia del ahorro voluntario</w:t>
            </w:r>
          </w:p>
        </w:tc>
        <w:tc>
          <w:tcPr>
            <w:tcW w:w="2723" w:type="dxa"/>
            <w:tcBorders>
              <w:top w:val="single" w:sz="4" w:space="0" w:color="auto"/>
              <w:left w:val="single" w:sz="4" w:space="0" w:color="auto"/>
              <w:bottom w:val="single" w:sz="4" w:space="0" w:color="auto"/>
              <w:right w:val="single" w:sz="4" w:space="0" w:color="auto"/>
            </w:tcBorders>
          </w:tcPr>
          <w:p w14:paraId="20C8480F"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Consar y Afore; sector obrero y patronal</w:t>
            </w:r>
          </w:p>
        </w:tc>
        <w:tc>
          <w:tcPr>
            <w:tcW w:w="3686" w:type="dxa"/>
            <w:tcBorders>
              <w:top w:val="single" w:sz="4" w:space="0" w:color="auto"/>
              <w:left w:val="single" w:sz="4" w:space="0" w:color="auto"/>
              <w:bottom w:val="single" w:sz="4" w:space="0" w:color="auto"/>
              <w:right w:val="single" w:sz="4" w:space="0" w:color="auto"/>
            </w:tcBorders>
          </w:tcPr>
          <w:p w14:paraId="3E813740"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Ofrecer mayor información para concientizar sobre la importancia del ahorro voluntario</w:t>
            </w:r>
          </w:p>
        </w:tc>
      </w:tr>
      <w:tr w:rsidR="003A1C38" w:rsidRPr="003A1C38" w14:paraId="5A0322F0" w14:textId="77777777" w:rsidTr="004257D5">
        <w:tc>
          <w:tcPr>
            <w:tcW w:w="3514" w:type="dxa"/>
            <w:tcBorders>
              <w:top w:val="single" w:sz="4" w:space="0" w:color="auto"/>
              <w:left w:val="single" w:sz="4" w:space="0" w:color="auto"/>
              <w:bottom w:val="single" w:sz="4" w:space="0" w:color="auto"/>
              <w:right w:val="single" w:sz="4" w:space="0" w:color="auto"/>
            </w:tcBorders>
          </w:tcPr>
          <w:p w14:paraId="45DF04A0"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Falta de incentivos fiscales significativos a las aportaciones voluntarias</w:t>
            </w:r>
          </w:p>
        </w:tc>
        <w:tc>
          <w:tcPr>
            <w:tcW w:w="2723" w:type="dxa"/>
            <w:tcBorders>
              <w:top w:val="single" w:sz="4" w:space="0" w:color="auto"/>
              <w:left w:val="single" w:sz="4" w:space="0" w:color="auto"/>
              <w:bottom w:val="single" w:sz="4" w:space="0" w:color="auto"/>
              <w:right w:val="single" w:sz="4" w:space="0" w:color="auto"/>
            </w:tcBorders>
          </w:tcPr>
          <w:p w14:paraId="17C156F4"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Poder Ejecutivo y Legislativo Federal</w:t>
            </w:r>
          </w:p>
        </w:tc>
        <w:tc>
          <w:tcPr>
            <w:tcW w:w="3686" w:type="dxa"/>
            <w:tcBorders>
              <w:top w:val="single" w:sz="4" w:space="0" w:color="auto"/>
              <w:left w:val="single" w:sz="4" w:space="0" w:color="auto"/>
              <w:bottom w:val="single" w:sz="4" w:space="0" w:color="auto"/>
              <w:right w:val="single" w:sz="4" w:space="0" w:color="auto"/>
            </w:tcBorders>
          </w:tcPr>
          <w:p w14:paraId="6F318689"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Incrementar el techo para deducir aportaciones voluntarias</w:t>
            </w:r>
          </w:p>
        </w:tc>
      </w:tr>
      <w:tr w:rsidR="003A1C38" w:rsidRPr="003A1C38" w14:paraId="6B012E75" w14:textId="77777777" w:rsidTr="004257D5">
        <w:tc>
          <w:tcPr>
            <w:tcW w:w="3514" w:type="dxa"/>
            <w:tcBorders>
              <w:top w:val="single" w:sz="4" w:space="0" w:color="auto"/>
              <w:left w:val="single" w:sz="4" w:space="0" w:color="auto"/>
              <w:bottom w:val="single" w:sz="4" w:space="0" w:color="auto"/>
              <w:right w:val="single" w:sz="4" w:space="0" w:color="auto"/>
            </w:tcBorders>
          </w:tcPr>
          <w:p w14:paraId="4560440D"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Las empresas tienen una baja participación en la promoción del ahorro voluntario para el retiro</w:t>
            </w:r>
          </w:p>
        </w:tc>
        <w:tc>
          <w:tcPr>
            <w:tcW w:w="2723" w:type="dxa"/>
            <w:tcBorders>
              <w:top w:val="single" w:sz="4" w:space="0" w:color="auto"/>
              <w:left w:val="single" w:sz="4" w:space="0" w:color="auto"/>
              <w:bottom w:val="single" w:sz="4" w:space="0" w:color="auto"/>
              <w:right w:val="single" w:sz="4" w:space="0" w:color="auto"/>
            </w:tcBorders>
          </w:tcPr>
          <w:p w14:paraId="191F9206"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Sector empresarial</w:t>
            </w:r>
          </w:p>
        </w:tc>
        <w:tc>
          <w:tcPr>
            <w:tcW w:w="3686" w:type="dxa"/>
            <w:tcBorders>
              <w:top w:val="single" w:sz="4" w:space="0" w:color="auto"/>
              <w:left w:val="single" w:sz="4" w:space="0" w:color="auto"/>
              <w:bottom w:val="single" w:sz="4" w:space="0" w:color="auto"/>
              <w:right w:val="single" w:sz="4" w:space="0" w:color="auto"/>
            </w:tcBorders>
          </w:tcPr>
          <w:p w14:paraId="6B31A7D9"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Facilitar el ahorro de los trabajadores afiliados</w:t>
            </w:r>
          </w:p>
        </w:tc>
      </w:tr>
      <w:tr w:rsidR="003A1C38" w:rsidRPr="003A1C38" w14:paraId="3DED8498" w14:textId="77777777" w:rsidTr="004257D5">
        <w:tc>
          <w:tcPr>
            <w:tcW w:w="3514" w:type="dxa"/>
            <w:tcBorders>
              <w:top w:val="single" w:sz="4" w:space="0" w:color="auto"/>
              <w:left w:val="single" w:sz="4" w:space="0" w:color="auto"/>
              <w:bottom w:val="single" w:sz="4" w:space="0" w:color="auto"/>
              <w:right w:val="single" w:sz="4" w:space="0" w:color="auto"/>
            </w:tcBorders>
          </w:tcPr>
          <w:p w14:paraId="27603DCF" w14:textId="77777777" w:rsidR="003A1C38" w:rsidRPr="003A1C38" w:rsidRDefault="003A1C38" w:rsidP="003518F4">
            <w:pPr>
              <w:numPr>
                <w:ilvl w:val="0"/>
                <w:numId w:val="173"/>
              </w:numPr>
              <w:ind w:left="357" w:hanging="357"/>
              <w:contextualSpacing/>
              <w:jc w:val="both"/>
              <w:rPr>
                <w:rFonts w:eastAsia="Calibri"/>
                <w:sz w:val="20"/>
                <w:szCs w:val="20"/>
                <w:lang w:eastAsia="en-US"/>
              </w:rPr>
            </w:pPr>
            <w:r w:rsidRPr="003A1C38">
              <w:rPr>
                <w:rFonts w:eastAsia="Calibri"/>
                <w:sz w:val="20"/>
                <w:szCs w:val="20"/>
                <w:lang w:eastAsia="en-US"/>
              </w:rPr>
              <w:t>Falta conocer más a fondo por qué la gente no ahorra para el retiro</w:t>
            </w:r>
          </w:p>
        </w:tc>
        <w:tc>
          <w:tcPr>
            <w:tcW w:w="2723" w:type="dxa"/>
            <w:tcBorders>
              <w:top w:val="single" w:sz="4" w:space="0" w:color="auto"/>
              <w:left w:val="single" w:sz="4" w:space="0" w:color="auto"/>
              <w:bottom w:val="single" w:sz="4" w:space="0" w:color="auto"/>
              <w:right w:val="single" w:sz="4" w:space="0" w:color="auto"/>
            </w:tcBorders>
          </w:tcPr>
          <w:p w14:paraId="322FF90E"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Consar y Afore; sector obrero y patronal</w:t>
            </w:r>
          </w:p>
        </w:tc>
        <w:tc>
          <w:tcPr>
            <w:tcW w:w="3686" w:type="dxa"/>
            <w:tcBorders>
              <w:top w:val="single" w:sz="4" w:space="0" w:color="auto"/>
              <w:left w:val="single" w:sz="4" w:space="0" w:color="auto"/>
              <w:bottom w:val="single" w:sz="4" w:space="0" w:color="auto"/>
              <w:right w:val="single" w:sz="4" w:space="0" w:color="auto"/>
            </w:tcBorders>
          </w:tcPr>
          <w:p w14:paraId="7572532B"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Investigaciones orientadas a conocer el comportamiento hacia el ahorro para el retiro de los trabajadores</w:t>
            </w:r>
          </w:p>
        </w:tc>
      </w:tr>
      <w:tr w:rsidR="003A1C38" w:rsidRPr="003A1C38" w14:paraId="356182EF" w14:textId="77777777" w:rsidTr="00372000">
        <w:tc>
          <w:tcPr>
            <w:tcW w:w="9923" w:type="dxa"/>
            <w:gridSpan w:val="3"/>
            <w:tcBorders>
              <w:left w:val="nil"/>
              <w:bottom w:val="nil"/>
              <w:right w:val="nil"/>
            </w:tcBorders>
          </w:tcPr>
          <w:p w14:paraId="5C048B51" w14:textId="77777777" w:rsidR="003A1C38" w:rsidRPr="003A1C38" w:rsidRDefault="003A1C38" w:rsidP="003A1C38">
            <w:pPr>
              <w:jc w:val="both"/>
              <w:rPr>
                <w:rFonts w:eastAsia="Calibri"/>
                <w:sz w:val="20"/>
                <w:szCs w:val="20"/>
                <w:lang w:eastAsia="en-US"/>
              </w:rPr>
            </w:pPr>
            <w:r w:rsidRPr="003A1C38">
              <w:rPr>
                <w:rFonts w:eastAsia="Calibri"/>
                <w:sz w:val="20"/>
                <w:szCs w:val="20"/>
                <w:lang w:eastAsia="en-US"/>
              </w:rPr>
              <w:t>FUENTE: Consar con datos al cierre de marzo 2015.</w:t>
            </w:r>
          </w:p>
        </w:tc>
      </w:tr>
    </w:tbl>
    <w:p w14:paraId="78E8E2DD" w14:textId="77777777" w:rsidR="003A1C38" w:rsidRPr="003A1C38" w:rsidRDefault="003A1C38" w:rsidP="003A1C38">
      <w:pPr>
        <w:spacing w:after="360" w:line="360" w:lineRule="auto"/>
        <w:ind w:right="-159"/>
        <w:jc w:val="both"/>
        <w:rPr>
          <w:rFonts w:eastAsia="Calibri"/>
          <w:sz w:val="26"/>
          <w:szCs w:val="26"/>
          <w:lang w:eastAsia="en-US"/>
        </w:rPr>
      </w:pPr>
    </w:p>
    <w:p w14:paraId="19542289" w14:textId="77777777" w:rsidR="003A1C38" w:rsidRPr="003A1C38" w:rsidRDefault="003A1C38" w:rsidP="003A1C38">
      <w:pPr>
        <w:spacing w:after="360" w:line="360" w:lineRule="auto"/>
        <w:ind w:right="-159"/>
        <w:jc w:val="both"/>
        <w:rPr>
          <w:rFonts w:eastAsia="Calibri"/>
          <w:b/>
          <w:sz w:val="26"/>
          <w:szCs w:val="26"/>
          <w:lang w:eastAsia="en-US"/>
        </w:rPr>
      </w:pPr>
      <w:r w:rsidRPr="003A1C38">
        <w:rPr>
          <w:rFonts w:eastAsia="Calibri"/>
          <w:b/>
          <w:sz w:val="26"/>
          <w:szCs w:val="26"/>
          <w:lang w:eastAsia="en-US"/>
        </w:rPr>
        <w:t>III: Comentarios finales</w:t>
      </w:r>
    </w:p>
    <w:p w14:paraId="4BBDAB20" w14:textId="77777777" w:rsidR="003A1C38" w:rsidRPr="003A1C38" w:rsidRDefault="003A1C38" w:rsidP="003518F4">
      <w:pPr>
        <w:numPr>
          <w:ilvl w:val="0"/>
          <w:numId w:val="174"/>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Con las reformas a la Ley de IMSS (1995) y del ISSSTE (2008) se dio un paso trascendental para enfrentar el desafío del cambio demográfico que vive el país.</w:t>
      </w:r>
    </w:p>
    <w:p w14:paraId="465ABDCC" w14:textId="77777777" w:rsidR="003A1C38" w:rsidRPr="003A1C38" w:rsidRDefault="003A1C38" w:rsidP="003518F4">
      <w:pPr>
        <w:numPr>
          <w:ilvl w:val="0"/>
          <w:numId w:val="174"/>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lastRenderedPageBreak/>
        <w:t>En sus 18 años de existencia, el Sistema de Ahorro para el Retiro muestra importantes avances.</w:t>
      </w:r>
    </w:p>
    <w:p w14:paraId="2230066A" w14:textId="77777777" w:rsidR="003A1C38" w:rsidRPr="003A1C38" w:rsidRDefault="003A1C38" w:rsidP="003518F4">
      <w:pPr>
        <w:numPr>
          <w:ilvl w:val="0"/>
          <w:numId w:val="174"/>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No obstante, persisten retos significativos que deben enfrentarse a la brevedad.</w:t>
      </w:r>
    </w:p>
    <w:p w14:paraId="2772D90A" w14:textId="77777777" w:rsidR="003A1C38" w:rsidRPr="003A1C38" w:rsidRDefault="003A1C38" w:rsidP="003518F4">
      <w:pPr>
        <w:numPr>
          <w:ilvl w:val="0"/>
          <w:numId w:val="174"/>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Se requiere el concurso de todos los sectores: empresarial, obrero, del gobierno y del Congreso para realizar los cambios que el sistema pensionario del país requiere.</w:t>
      </w:r>
    </w:p>
    <w:p w14:paraId="7BFD27E0" w14:textId="77777777" w:rsidR="003A1C38" w:rsidRPr="003A1C38" w:rsidRDefault="003A1C38" w:rsidP="003518F4">
      <w:pPr>
        <w:numPr>
          <w:ilvl w:val="0"/>
          <w:numId w:val="174"/>
        </w:numPr>
        <w:spacing w:after="360" w:line="360" w:lineRule="auto"/>
        <w:ind w:left="714" w:right="-159" w:hanging="357"/>
        <w:jc w:val="both"/>
        <w:rPr>
          <w:rFonts w:eastAsia="Calibri"/>
          <w:sz w:val="26"/>
          <w:szCs w:val="26"/>
          <w:lang w:eastAsia="en-US"/>
        </w:rPr>
      </w:pPr>
      <w:r w:rsidRPr="003A1C38">
        <w:rPr>
          <w:rFonts w:eastAsia="Calibri"/>
          <w:sz w:val="26"/>
          <w:szCs w:val="26"/>
          <w:lang w:eastAsia="en-US"/>
        </w:rPr>
        <w:t>Adoptar dicha agenda de cambio permitirá fortalecer al sistema en beneficio de las pensiones de los mexicanos.</w:t>
      </w:r>
    </w:p>
    <w:p w14:paraId="39EFB503" w14:textId="77777777" w:rsidR="003A1C38" w:rsidRPr="003A1C38" w:rsidRDefault="003A1C38" w:rsidP="003A1C38">
      <w:pPr>
        <w:ind w:right="-159"/>
        <w:jc w:val="both"/>
        <w:rPr>
          <w:rFonts w:eastAsia="Calibri"/>
          <w:b/>
          <w:sz w:val="20"/>
          <w:szCs w:val="20"/>
          <w:lang w:eastAsia="en-US"/>
        </w:rPr>
      </w:pPr>
      <w:r w:rsidRPr="003A1C38">
        <w:rPr>
          <w:rFonts w:eastAsia="Calibri"/>
          <w:b/>
          <w:sz w:val="20"/>
          <w:szCs w:val="20"/>
          <w:lang w:eastAsia="en-US"/>
        </w:rPr>
        <w:t>Fuente de información:</w:t>
      </w:r>
    </w:p>
    <w:p w14:paraId="3BFFF8A6" w14:textId="77777777" w:rsidR="003A1C38" w:rsidRPr="00EF184E" w:rsidRDefault="0045651A" w:rsidP="00EF184E">
      <w:pPr>
        <w:spacing w:after="720"/>
        <w:ind w:right="-159"/>
        <w:jc w:val="both"/>
        <w:rPr>
          <w:rFonts w:eastAsia="Calibri"/>
          <w:color w:val="0000FF"/>
          <w:sz w:val="20"/>
          <w:szCs w:val="20"/>
          <w:lang w:eastAsia="en-US"/>
        </w:rPr>
      </w:pPr>
      <w:hyperlink r:id="rId381" w:history="1">
        <w:r w:rsidR="003A1C38" w:rsidRPr="00EF184E">
          <w:rPr>
            <w:rFonts w:eastAsia="Calibri"/>
            <w:color w:val="0000FF"/>
            <w:sz w:val="20"/>
            <w:szCs w:val="20"/>
            <w:u w:val="single"/>
            <w:lang w:eastAsia="en-US"/>
          </w:rPr>
          <w:t>http://www.consar.gob.mx/sala_prensa/PDF/presentaciones/Seguridad%20Social%20en%20el%20siglo%20XXI%20Coparmex.pdf</w:t>
        </w:r>
      </w:hyperlink>
    </w:p>
    <w:p w14:paraId="74B392CC" w14:textId="1527E846" w:rsidR="00E76DEB" w:rsidRPr="00E76DEB" w:rsidRDefault="00E76DEB" w:rsidP="00E76DEB">
      <w:pPr>
        <w:ind w:right="-159"/>
        <w:jc w:val="both"/>
        <w:rPr>
          <w:rFonts w:eastAsia="Times New Roman"/>
          <w:sz w:val="26"/>
          <w:szCs w:val="26"/>
        </w:rPr>
      </w:pPr>
      <w:r w:rsidRPr="00E76DEB">
        <w:rPr>
          <w:rFonts w:eastAsia="Times New Roman"/>
          <w:b/>
          <w:sz w:val="26"/>
          <w:szCs w:val="26"/>
        </w:rPr>
        <w:t>Actualización mensual de recursos y rendimientos</w:t>
      </w:r>
    </w:p>
    <w:p w14:paraId="2813A215" w14:textId="42608768" w:rsidR="00E76DEB" w:rsidRPr="00E76DEB" w:rsidRDefault="00E76DEB" w:rsidP="00E76DEB">
      <w:pPr>
        <w:spacing w:after="360" w:line="360" w:lineRule="auto"/>
        <w:ind w:right="-159"/>
        <w:jc w:val="both"/>
        <w:rPr>
          <w:rFonts w:eastAsia="Times New Roman"/>
          <w:sz w:val="26"/>
          <w:szCs w:val="26"/>
        </w:rPr>
      </w:pPr>
      <w:r w:rsidRPr="00E76DEB">
        <w:rPr>
          <w:rFonts w:eastAsia="Times New Roman"/>
          <w:b/>
          <w:sz w:val="26"/>
          <w:szCs w:val="26"/>
        </w:rPr>
        <w:t xml:space="preserve">del </w:t>
      </w:r>
      <w:r>
        <w:rPr>
          <w:rFonts w:eastAsia="Times New Roman"/>
          <w:b/>
          <w:sz w:val="26"/>
          <w:szCs w:val="26"/>
        </w:rPr>
        <w:t xml:space="preserve">  </w:t>
      </w:r>
      <w:r w:rsidRPr="00E76DEB">
        <w:rPr>
          <w:rFonts w:eastAsia="Times New Roman"/>
          <w:b/>
          <w:sz w:val="26"/>
          <w:szCs w:val="26"/>
        </w:rPr>
        <w:t xml:space="preserve">SAR </w:t>
      </w:r>
      <w:r>
        <w:rPr>
          <w:rFonts w:eastAsia="Times New Roman"/>
          <w:b/>
          <w:sz w:val="26"/>
          <w:szCs w:val="26"/>
        </w:rPr>
        <w:t xml:space="preserve">  </w:t>
      </w:r>
      <w:r w:rsidRPr="00E76DEB">
        <w:rPr>
          <w:rFonts w:eastAsia="Times New Roman"/>
          <w:b/>
          <w:sz w:val="26"/>
          <w:szCs w:val="26"/>
        </w:rPr>
        <w:t xml:space="preserve">al </w:t>
      </w:r>
      <w:r>
        <w:rPr>
          <w:rFonts w:eastAsia="Times New Roman"/>
          <w:b/>
          <w:sz w:val="26"/>
          <w:szCs w:val="26"/>
        </w:rPr>
        <w:t xml:space="preserve"> </w:t>
      </w:r>
      <w:r w:rsidRPr="00E76DEB">
        <w:rPr>
          <w:rFonts w:eastAsia="Times New Roman"/>
          <w:b/>
          <w:sz w:val="26"/>
          <w:szCs w:val="26"/>
        </w:rPr>
        <w:t xml:space="preserve">cierre </w:t>
      </w:r>
      <w:r>
        <w:rPr>
          <w:rFonts w:eastAsia="Times New Roman"/>
          <w:b/>
          <w:sz w:val="26"/>
          <w:szCs w:val="26"/>
        </w:rPr>
        <w:t xml:space="preserve"> </w:t>
      </w:r>
      <w:r w:rsidRPr="00E76DEB">
        <w:rPr>
          <w:rFonts w:eastAsia="Times New Roman"/>
          <w:b/>
          <w:sz w:val="26"/>
          <w:szCs w:val="26"/>
        </w:rPr>
        <w:t xml:space="preserve">de </w:t>
      </w:r>
      <w:r>
        <w:rPr>
          <w:rFonts w:eastAsia="Times New Roman"/>
          <w:b/>
          <w:sz w:val="26"/>
          <w:szCs w:val="26"/>
        </w:rPr>
        <w:t xml:space="preserve"> </w:t>
      </w:r>
      <w:r w:rsidRPr="00E76DEB">
        <w:rPr>
          <w:rFonts w:eastAsia="Times New Roman"/>
          <w:b/>
          <w:sz w:val="26"/>
          <w:szCs w:val="26"/>
        </w:rPr>
        <w:t xml:space="preserve">marzo </w:t>
      </w:r>
      <w:r>
        <w:rPr>
          <w:rFonts w:eastAsia="Times New Roman"/>
          <w:b/>
          <w:sz w:val="26"/>
          <w:szCs w:val="26"/>
        </w:rPr>
        <w:t xml:space="preserve"> </w:t>
      </w:r>
      <w:r w:rsidRPr="00E76DEB">
        <w:rPr>
          <w:rFonts w:eastAsia="Times New Roman"/>
          <w:b/>
          <w:sz w:val="26"/>
          <w:szCs w:val="26"/>
        </w:rPr>
        <w:t xml:space="preserve">de </w:t>
      </w:r>
      <w:r>
        <w:rPr>
          <w:rFonts w:eastAsia="Times New Roman"/>
          <w:b/>
          <w:sz w:val="26"/>
          <w:szCs w:val="26"/>
        </w:rPr>
        <w:t xml:space="preserve"> </w:t>
      </w:r>
      <w:r w:rsidRPr="00E76DEB">
        <w:rPr>
          <w:rFonts w:eastAsia="Times New Roman"/>
          <w:b/>
          <w:sz w:val="26"/>
          <w:szCs w:val="26"/>
        </w:rPr>
        <w:t xml:space="preserve">2015 </w:t>
      </w:r>
      <w:r>
        <w:rPr>
          <w:rFonts w:eastAsia="Times New Roman"/>
          <w:b/>
          <w:sz w:val="26"/>
          <w:szCs w:val="26"/>
        </w:rPr>
        <w:t xml:space="preserve"> </w:t>
      </w:r>
      <w:r w:rsidRPr="00E76DEB">
        <w:rPr>
          <w:rFonts w:eastAsia="Times New Roman"/>
          <w:b/>
          <w:sz w:val="26"/>
          <w:szCs w:val="26"/>
        </w:rPr>
        <w:t>(Consar)</w:t>
      </w:r>
    </w:p>
    <w:p w14:paraId="143DD0C7" w14:textId="2A7338DE" w:rsidR="00E76DEB" w:rsidRPr="00E76DEB" w:rsidRDefault="00E76DEB" w:rsidP="00E76DEB">
      <w:pPr>
        <w:spacing w:after="360" w:line="360" w:lineRule="auto"/>
        <w:ind w:right="-159"/>
        <w:jc w:val="both"/>
        <w:rPr>
          <w:sz w:val="26"/>
          <w:szCs w:val="26"/>
        </w:rPr>
      </w:pPr>
      <w:r w:rsidRPr="00E76DEB">
        <w:rPr>
          <w:sz w:val="26"/>
          <w:szCs w:val="26"/>
        </w:rPr>
        <w:t>El 7 de abril de 2015, la Comisión Nacional del Sistema de Ahorro para el Retiro (Consar) informó que al cierre de marzo de 2015, el Sistema de Ahorro para el Retiro (SAR) acumula recursos por 2 billones 445 mil 316</w:t>
      </w:r>
      <w:r w:rsidR="00AD058C">
        <w:rPr>
          <w:sz w:val="26"/>
          <w:szCs w:val="26"/>
        </w:rPr>
        <w:t>.4</w:t>
      </w:r>
      <w:r w:rsidRPr="00E76DEB">
        <w:rPr>
          <w:sz w:val="26"/>
          <w:szCs w:val="26"/>
        </w:rPr>
        <w:t xml:space="preserve"> millones de pesos (mdp). Esta cifra descuenta los flujos de retiros correspondientes al mismo mes que ascendieron a                   3 mil 684.04 mdp.</w:t>
      </w:r>
    </w:p>
    <w:p w14:paraId="227F3145" w14:textId="77777777" w:rsidR="00E76DEB" w:rsidRPr="00E76DEB" w:rsidRDefault="00E76DEB" w:rsidP="00E76DEB">
      <w:pPr>
        <w:spacing w:after="360" w:line="360" w:lineRule="auto"/>
        <w:ind w:right="-159"/>
        <w:jc w:val="both"/>
        <w:rPr>
          <w:sz w:val="26"/>
          <w:szCs w:val="26"/>
        </w:rPr>
      </w:pPr>
      <w:r w:rsidRPr="00E76DEB">
        <w:rPr>
          <w:sz w:val="26"/>
          <w:szCs w:val="26"/>
        </w:rPr>
        <w:t>El rendimiento del sistema durante el período 1997-2015 (marzo) fue de 12.41% nominal anual promedio y 6.15% real anual promedio.</w:t>
      </w:r>
    </w:p>
    <w:p w14:paraId="0491E8C8" w14:textId="77777777" w:rsidR="00E76DEB" w:rsidRPr="00E76DEB" w:rsidRDefault="00E76DEB" w:rsidP="00E76DEB">
      <w:pPr>
        <w:spacing w:after="360" w:line="360" w:lineRule="auto"/>
        <w:ind w:right="-159"/>
        <w:jc w:val="both"/>
        <w:rPr>
          <w:sz w:val="26"/>
          <w:szCs w:val="26"/>
        </w:rPr>
      </w:pPr>
      <w:r w:rsidRPr="00E76DEB">
        <w:rPr>
          <w:sz w:val="26"/>
          <w:szCs w:val="26"/>
        </w:rPr>
        <w:t>Por su parte, el Indicador de Rendimiento Neto (IRN) por horizonte de inversión de cada una de las Sociedades de Inversión Especializadas en Fondos para el Retiro (Siefore) cerró en:</w:t>
      </w:r>
    </w:p>
    <w:tbl>
      <w:tblPr>
        <w:tblW w:w="0" w:type="auto"/>
        <w:jc w:val="center"/>
        <w:tblLook w:val="04A0" w:firstRow="1" w:lastRow="0" w:firstColumn="1" w:lastColumn="0" w:noHBand="0" w:noVBand="1"/>
      </w:tblPr>
      <w:tblGrid>
        <w:gridCol w:w="3525"/>
        <w:gridCol w:w="1589"/>
        <w:gridCol w:w="1560"/>
      </w:tblGrid>
      <w:tr w:rsidR="00E76DEB" w:rsidRPr="00E76DEB" w14:paraId="7F8C1806" w14:textId="77777777" w:rsidTr="008D28ED">
        <w:trPr>
          <w:jc w:val="center"/>
        </w:trPr>
        <w:tc>
          <w:tcPr>
            <w:tcW w:w="6674" w:type="dxa"/>
            <w:gridSpan w:val="3"/>
            <w:tcBorders>
              <w:top w:val="nil"/>
              <w:left w:val="nil"/>
              <w:bottom w:val="single" w:sz="4" w:space="0" w:color="auto"/>
              <w:right w:val="nil"/>
            </w:tcBorders>
          </w:tcPr>
          <w:p w14:paraId="6C9BE36C" w14:textId="77777777" w:rsidR="00E76DEB" w:rsidRPr="00E76DEB" w:rsidRDefault="00E76DEB" w:rsidP="00E76DEB">
            <w:pPr>
              <w:jc w:val="center"/>
              <w:rPr>
                <w:b/>
                <w:sz w:val="22"/>
                <w:szCs w:val="22"/>
              </w:rPr>
            </w:pPr>
            <w:r w:rsidRPr="00E76DEB">
              <w:rPr>
                <w:b/>
                <w:sz w:val="22"/>
                <w:szCs w:val="22"/>
              </w:rPr>
              <w:lastRenderedPageBreak/>
              <w:t>RENDIMIENTO NETO DEL SISTEMA</w:t>
            </w:r>
          </w:p>
          <w:p w14:paraId="33708ADD" w14:textId="77777777" w:rsidR="00E76DEB" w:rsidRPr="00E76DEB" w:rsidRDefault="00E76DEB" w:rsidP="00E76DEB">
            <w:pPr>
              <w:jc w:val="center"/>
              <w:rPr>
                <w:b/>
                <w:sz w:val="22"/>
                <w:szCs w:val="22"/>
              </w:rPr>
            </w:pPr>
            <w:r w:rsidRPr="00E76DEB">
              <w:rPr>
                <w:b/>
                <w:sz w:val="22"/>
                <w:szCs w:val="22"/>
              </w:rPr>
              <w:t>-Marzo 2015-</w:t>
            </w:r>
          </w:p>
        </w:tc>
      </w:tr>
      <w:tr w:rsidR="00E76DEB" w:rsidRPr="00E76DEB" w14:paraId="526EB378" w14:textId="77777777" w:rsidTr="008D28ED">
        <w:trPr>
          <w:jc w:val="center"/>
        </w:trPr>
        <w:tc>
          <w:tcPr>
            <w:tcW w:w="3525" w:type="dxa"/>
            <w:tcBorders>
              <w:top w:val="single" w:sz="4" w:space="0" w:color="auto"/>
              <w:left w:val="single" w:sz="4" w:space="0" w:color="auto"/>
              <w:bottom w:val="single" w:sz="4" w:space="0" w:color="auto"/>
              <w:right w:val="single" w:sz="4" w:space="0" w:color="auto"/>
            </w:tcBorders>
            <w:vAlign w:val="center"/>
          </w:tcPr>
          <w:p w14:paraId="3C8292EB" w14:textId="77777777" w:rsidR="00E76DEB" w:rsidRPr="00E76DEB" w:rsidRDefault="00E76DEB" w:rsidP="00E76DEB">
            <w:pPr>
              <w:jc w:val="center"/>
              <w:rPr>
                <w:b/>
                <w:sz w:val="20"/>
                <w:szCs w:val="20"/>
              </w:rPr>
            </w:pPr>
            <w:r w:rsidRPr="00E76DEB">
              <w:rPr>
                <w:b/>
                <w:sz w:val="20"/>
                <w:szCs w:val="20"/>
              </w:rPr>
              <w:t>Siefore</w:t>
            </w:r>
          </w:p>
        </w:tc>
        <w:tc>
          <w:tcPr>
            <w:tcW w:w="1589" w:type="dxa"/>
            <w:tcBorders>
              <w:top w:val="single" w:sz="4" w:space="0" w:color="auto"/>
              <w:left w:val="single" w:sz="4" w:space="0" w:color="auto"/>
              <w:bottom w:val="single" w:sz="4" w:space="0" w:color="auto"/>
              <w:right w:val="single" w:sz="4" w:space="0" w:color="auto"/>
            </w:tcBorders>
            <w:vAlign w:val="center"/>
          </w:tcPr>
          <w:p w14:paraId="784B1B35" w14:textId="77777777" w:rsidR="00E76DEB" w:rsidRPr="00E76DEB" w:rsidRDefault="00E76DEB" w:rsidP="00E76DEB">
            <w:pPr>
              <w:jc w:val="center"/>
              <w:rPr>
                <w:b/>
                <w:sz w:val="20"/>
                <w:szCs w:val="20"/>
              </w:rPr>
            </w:pPr>
            <w:r w:rsidRPr="00E76DEB">
              <w:rPr>
                <w:b/>
                <w:sz w:val="20"/>
                <w:szCs w:val="20"/>
              </w:rPr>
              <w:t>IRN</w:t>
            </w:r>
          </w:p>
          <w:p w14:paraId="745FB849" w14:textId="77777777" w:rsidR="00E76DEB" w:rsidRPr="00E76DEB" w:rsidRDefault="00E76DEB" w:rsidP="00E76DEB">
            <w:pPr>
              <w:jc w:val="center"/>
              <w:rPr>
                <w:b/>
                <w:sz w:val="20"/>
                <w:szCs w:val="20"/>
              </w:rPr>
            </w:pPr>
            <w:r w:rsidRPr="00E76DEB">
              <w:rPr>
                <w:b/>
                <w:sz w:val="20"/>
                <w:szCs w:val="20"/>
              </w:rPr>
              <w:t>(%)</w:t>
            </w:r>
          </w:p>
        </w:tc>
        <w:tc>
          <w:tcPr>
            <w:tcW w:w="1560" w:type="dxa"/>
            <w:tcBorders>
              <w:top w:val="single" w:sz="4" w:space="0" w:color="auto"/>
              <w:left w:val="single" w:sz="4" w:space="0" w:color="auto"/>
              <w:bottom w:val="single" w:sz="4" w:space="0" w:color="auto"/>
              <w:right w:val="single" w:sz="4" w:space="0" w:color="auto"/>
            </w:tcBorders>
            <w:vAlign w:val="center"/>
          </w:tcPr>
          <w:p w14:paraId="172DC86D" w14:textId="77777777" w:rsidR="00E76DEB" w:rsidRPr="00E76DEB" w:rsidRDefault="00E76DEB" w:rsidP="00E76DEB">
            <w:pPr>
              <w:jc w:val="center"/>
              <w:rPr>
                <w:b/>
                <w:sz w:val="20"/>
                <w:szCs w:val="20"/>
              </w:rPr>
            </w:pPr>
            <w:r w:rsidRPr="00E76DEB">
              <w:rPr>
                <w:b/>
                <w:sz w:val="20"/>
                <w:szCs w:val="20"/>
              </w:rPr>
              <w:t>Horizonte</w:t>
            </w:r>
          </w:p>
        </w:tc>
      </w:tr>
      <w:tr w:rsidR="00E76DEB" w:rsidRPr="00E76DEB" w14:paraId="20D89E7E" w14:textId="77777777" w:rsidTr="008D28ED">
        <w:trPr>
          <w:jc w:val="center"/>
        </w:trPr>
        <w:tc>
          <w:tcPr>
            <w:tcW w:w="3525" w:type="dxa"/>
            <w:tcBorders>
              <w:top w:val="single" w:sz="4" w:space="0" w:color="auto"/>
              <w:left w:val="single" w:sz="4" w:space="0" w:color="auto"/>
              <w:bottom w:val="nil"/>
              <w:right w:val="single" w:sz="4" w:space="0" w:color="auto"/>
            </w:tcBorders>
          </w:tcPr>
          <w:p w14:paraId="7BE7F36F" w14:textId="77777777" w:rsidR="00E76DEB" w:rsidRPr="00E76DEB" w:rsidRDefault="00E76DEB" w:rsidP="00E76DEB">
            <w:pPr>
              <w:jc w:val="center"/>
              <w:rPr>
                <w:sz w:val="20"/>
                <w:szCs w:val="20"/>
              </w:rPr>
            </w:pPr>
            <w:r w:rsidRPr="00E76DEB">
              <w:rPr>
                <w:sz w:val="20"/>
                <w:szCs w:val="20"/>
              </w:rPr>
              <w:t>Rendimiento Neto de la SB4</w:t>
            </w:r>
          </w:p>
          <w:p w14:paraId="0C72D84C" w14:textId="77777777" w:rsidR="00E76DEB" w:rsidRPr="00E76DEB" w:rsidRDefault="00E76DEB" w:rsidP="00E76DEB">
            <w:pPr>
              <w:jc w:val="center"/>
              <w:rPr>
                <w:sz w:val="20"/>
                <w:szCs w:val="20"/>
              </w:rPr>
            </w:pPr>
            <w:r w:rsidRPr="00E76DEB">
              <w:rPr>
                <w:sz w:val="20"/>
                <w:szCs w:val="20"/>
              </w:rPr>
              <w:t>(36 años y menores)</w:t>
            </w:r>
          </w:p>
        </w:tc>
        <w:tc>
          <w:tcPr>
            <w:tcW w:w="1589" w:type="dxa"/>
            <w:tcBorders>
              <w:top w:val="single" w:sz="4" w:space="0" w:color="auto"/>
              <w:left w:val="single" w:sz="4" w:space="0" w:color="auto"/>
              <w:bottom w:val="nil"/>
              <w:right w:val="single" w:sz="4" w:space="0" w:color="auto"/>
            </w:tcBorders>
            <w:vAlign w:val="center"/>
          </w:tcPr>
          <w:p w14:paraId="2CE08F89" w14:textId="77777777" w:rsidR="00E76DEB" w:rsidRPr="00E76DEB" w:rsidRDefault="00E76DEB" w:rsidP="00E76DEB">
            <w:pPr>
              <w:ind w:right="454"/>
              <w:jc w:val="right"/>
              <w:rPr>
                <w:sz w:val="20"/>
                <w:szCs w:val="20"/>
              </w:rPr>
            </w:pPr>
            <w:r w:rsidRPr="00E76DEB">
              <w:rPr>
                <w:sz w:val="20"/>
                <w:szCs w:val="20"/>
              </w:rPr>
              <w:t>10.18</w:t>
            </w:r>
          </w:p>
        </w:tc>
        <w:tc>
          <w:tcPr>
            <w:tcW w:w="1560" w:type="dxa"/>
            <w:tcBorders>
              <w:top w:val="single" w:sz="4" w:space="0" w:color="auto"/>
              <w:left w:val="single" w:sz="4" w:space="0" w:color="auto"/>
              <w:bottom w:val="nil"/>
              <w:right w:val="single" w:sz="4" w:space="0" w:color="auto"/>
            </w:tcBorders>
            <w:vAlign w:val="center"/>
          </w:tcPr>
          <w:p w14:paraId="3DEF4FE3" w14:textId="77777777" w:rsidR="00E76DEB" w:rsidRPr="00E76DEB" w:rsidRDefault="00E76DEB" w:rsidP="00E76DEB">
            <w:pPr>
              <w:jc w:val="center"/>
              <w:rPr>
                <w:sz w:val="20"/>
                <w:szCs w:val="20"/>
              </w:rPr>
            </w:pPr>
            <w:r w:rsidRPr="00E76DEB">
              <w:rPr>
                <w:sz w:val="20"/>
                <w:szCs w:val="20"/>
              </w:rPr>
              <w:t>67 Meses</w:t>
            </w:r>
          </w:p>
        </w:tc>
      </w:tr>
      <w:tr w:rsidR="00E76DEB" w:rsidRPr="00E76DEB" w14:paraId="27E1C1C0" w14:textId="77777777" w:rsidTr="008D28ED">
        <w:trPr>
          <w:jc w:val="center"/>
        </w:trPr>
        <w:tc>
          <w:tcPr>
            <w:tcW w:w="3525" w:type="dxa"/>
            <w:tcBorders>
              <w:top w:val="nil"/>
              <w:left w:val="single" w:sz="4" w:space="0" w:color="auto"/>
              <w:bottom w:val="nil"/>
              <w:right w:val="single" w:sz="4" w:space="0" w:color="auto"/>
            </w:tcBorders>
          </w:tcPr>
          <w:p w14:paraId="3145183F" w14:textId="77777777" w:rsidR="00E76DEB" w:rsidRPr="00E76DEB" w:rsidRDefault="00E76DEB" w:rsidP="00E76DEB">
            <w:pPr>
              <w:jc w:val="center"/>
              <w:rPr>
                <w:sz w:val="20"/>
                <w:szCs w:val="20"/>
              </w:rPr>
            </w:pPr>
            <w:r w:rsidRPr="00E76DEB">
              <w:rPr>
                <w:sz w:val="20"/>
                <w:szCs w:val="20"/>
              </w:rPr>
              <w:t>Rendimiento Neto de la SB3</w:t>
            </w:r>
          </w:p>
          <w:p w14:paraId="42C005DF" w14:textId="77777777" w:rsidR="00E76DEB" w:rsidRPr="00E76DEB" w:rsidRDefault="00E76DEB" w:rsidP="00E76DEB">
            <w:pPr>
              <w:jc w:val="center"/>
              <w:rPr>
                <w:sz w:val="20"/>
                <w:szCs w:val="20"/>
              </w:rPr>
            </w:pPr>
            <w:r w:rsidRPr="00E76DEB">
              <w:rPr>
                <w:sz w:val="20"/>
                <w:szCs w:val="20"/>
              </w:rPr>
              <w:t>(37a 45 años)</w:t>
            </w:r>
          </w:p>
        </w:tc>
        <w:tc>
          <w:tcPr>
            <w:tcW w:w="1589" w:type="dxa"/>
            <w:tcBorders>
              <w:top w:val="nil"/>
              <w:left w:val="single" w:sz="4" w:space="0" w:color="auto"/>
              <w:bottom w:val="nil"/>
              <w:right w:val="single" w:sz="4" w:space="0" w:color="auto"/>
            </w:tcBorders>
            <w:vAlign w:val="center"/>
          </w:tcPr>
          <w:p w14:paraId="5BAE25CF" w14:textId="77777777" w:rsidR="00E76DEB" w:rsidRPr="00E76DEB" w:rsidRDefault="00E76DEB" w:rsidP="00E76DEB">
            <w:pPr>
              <w:ind w:right="454"/>
              <w:jc w:val="right"/>
              <w:rPr>
                <w:sz w:val="20"/>
                <w:szCs w:val="20"/>
              </w:rPr>
            </w:pPr>
            <w:r w:rsidRPr="00E76DEB">
              <w:rPr>
                <w:sz w:val="20"/>
                <w:szCs w:val="20"/>
              </w:rPr>
              <w:t>9.32</w:t>
            </w:r>
          </w:p>
        </w:tc>
        <w:tc>
          <w:tcPr>
            <w:tcW w:w="1560" w:type="dxa"/>
            <w:tcBorders>
              <w:top w:val="nil"/>
              <w:left w:val="single" w:sz="4" w:space="0" w:color="auto"/>
              <w:bottom w:val="nil"/>
              <w:right w:val="single" w:sz="4" w:space="0" w:color="auto"/>
            </w:tcBorders>
            <w:vAlign w:val="center"/>
          </w:tcPr>
          <w:p w14:paraId="42ED6252" w14:textId="77777777" w:rsidR="00E76DEB" w:rsidRPr="00E76DEB" w:rsidRDefault="00E76DEB" w:rsidP="00E76DEB">
            <w:pPr>
              <w:jc w:val="center"/>
              <w:rPr>
                <w:sz w:val="20"/>
                <w:szCs w:val="20"/>
              </w:rPr>
            </w:pPr>
            <w:r w:rsidRPr="00E76DEB">
              <w:rPr>
                <w:sz w:val="20"/>
                <w:szCs w:val="20"/>
              </w:rPr>
              <w:t>67 Meses</w:t>
            </w:r>
          </w:p>
        </w:tc>
      </w:tr>
      <w:tr w:rsidR="00E76DEB" w:rsidRPr="00E76DEB" w14:paraId="63011EE8" w14:textId="77777777" w:rsidTr="008D28ED">
        <w:trPr>
          <w:jc w:val="center"/>
        </w:trPr>
        <w:tc>
          <w:tcPr>
            <w:tcW w:w="3525" w:type="dxa"/>
            <w:tcBorders>
              <w:top w:val="nil"/>
              <w:left w:val="single" w:sz="4" w:space="0" w:color="auto"/>
              <w:bottom w:val="nil"/>
              <w:right w:val="single" w:sz="4" w:space="0" w:color="auto"/>
            </w:tcBorders>
          </w:tcPr>
          <w:p w14:paraId="1AD2B40D" w14:textId="77777777" w:rsidR="00E76DEB" w:rsidRPr="00E76DEB" w:rsidRDefault="00E76DEB" w:rsidP="00E76DEB">
            <w:pPr>
              <w:jc w:val="center"/>
              <w:rPr>
                <w:sz w:val="20"/>
                <w:szCs w:val="20"/>
              </w:rPr>
            </w:pPr>
            <w:r w:rsidRPr="00E76DEB">
              <w:rPr>
                <w:sz w:val="20"/>
                <w:szCs w:val="20"/>
              </w:rPr>
              <w:t>Rendimiento Neto de la SB2</w:t>
            </w:r>
          </w:p>
          <w:p w14:paraId="20520D46" w14:textId="77777777" w:rsidR="00E76DEB" w:rsidRPr="00E76DEB" w:rsidRDefault="00E76DEB" w:rsidP="00E76DEB">
            <w:pPr>
              <w:jc w:val="center"/>
              <w:rPr>
                <w:sz w:val="20"/>
                <w:szCs w:val="20"/>
              </w:rPr>
            </w:pPr>
            <w:r w:rsidRPr="00E76DEB">
              <w:rPr>
                <w:sz w:val="20"/>
                <w:szCs w:val="20"/>
              </w:rPr>
              <w:t>(46 a 59 años)</w:t>
            </w:r>
          </w:p>
        </w:tc>
        <w:tc>
          <w:tcPr>
            <w:tcW w:w="1589" w:type="dxa"/>
            <w:tcBorders>
              <w:top w:val="nil"/>
              <w:left w:val="single" w:sz="4" w:space="0" w:color="auto"/>
              <w:bottom w:val="nil"/>
              <w:right w:val="single" w:sz="4" w:space="0" w:color="auto"/>
            </w:tcBorders>
            <w:vAlign w:val="center"/>
          </w:tcPr>
          <w:p w14:paraId="06D3F2E7" w14:textId="77777777" w:rsidR="00E76DEB" w:rsidRPr="00E76DEB" w:rsidRDefault="00E76DEB" w:rsidP="00E76DEB">
            <w:pPr>
              <w:ind w:right="454"/>
              <w:jc w:val="right"/>
              <w:rPr>
                <w:sz w:val="20"/>
                <w:szCs w:val="20"/>
              </w:rPr>
            </w:pPr>
            <w:r w:rsidRPr="00E76DEB">
              <w:rPr>
                <w:sz w:val="20"/>
                <w:szCs w:val="20"/>
              </w:rPr>
              <w:t>8.09</w:t>
            </w:r>
          </w:p>
        </w:tc>
        <w:tc>
          <w:tcPr>
            <w:tcW w:w="1560" w:type="dxa"/>
            <w:tcBorders>
              <w:top w:val="nil"/>
              <w:left w:val="single" w:sz="4" w:space="0" w:color="auto"/>
              <w:bottom w:val="nil"/>
              <w:right w:val="single" w:sz="4" w:space="0" w:color="auto"/>
            </w:tcBorders>
            <w:vAlign w:val="center"/>
          </w:tcPr>
          <w:p w14:paraId="0C1A2B70" w14:textId="77777777" w:rsidR="00E76DEB" w:rsidRPr="00E76DEB" w:rsidRDefault="00E76DEB" w:rsidP="00E76DEB">
            <w:pPr>
              <w:jc w:val="center"/>
              <w:rPr>
                <w:sz w:val="20"/>
                <w:szCs w:val="20"/>
              </w:rPr>
            </w:pPr>
            <w:r w:rsidRPr="00E76DEB">
              <w:rPr>
                <w:sz w:val="20"/>
                <w:szCs w:val="20"/>
              </w:rPr>
              <w:t>60 Meses</w:t>
            </w:r>
          </w:p>
        </w:tc>
      </w:tr>
      <w:tr w:rsidR="00E76DEB" w:rsidRPr="00E76DEB" w14:paraId="19DA1B37" w14:textId="77777777" w:rsidTr="008D28ED">
        <w:trPr>
          <w:jc w:val="center"/>
        </w:trPr>
        <w:tc>
          <w:tcPr>
            <w:tcW w:w="3525" w:type="dxa"/>
            <w:tcBorders>
              <w:top w:val="nil"/>
              <w:left w:val="single" w:sz="4" w:space="0" w:color="auto"/>
              <w:bottom w:val="single" w:sz="4" w:space="0" w:color="auto"/>
              <w:right w:val="single" w:sz="4" w:space="0" w:color="auto"/>
            </w:tcBorders>
          </w:tcPr>
          <w:p w14:paraId="3D0BA577" w14:textId="77777777" w:rsidR="00E76DEB" w:rsidRPr="00E76DEB" w:rsidRDefault="00E76DEB" w:rsidP="00E76DEB">
            <w:pPr>
              <w:jc w:val="center"/>
              <w:rPr>
                <w:sz w:val="20"/>
                <w:szCs w:val="20"/>
              </w:rPr>
            </w:pPr>
            <w:r w:rsidRPr="00E76DEB">
              <w:rPr>
                <w:sz w:val="20"/>
                <w:szCs w:val="20"/>
              </w:rPr>
              <w:t>Rendimiento Neto de la SB1</w:t>
            </w:r>
          </w:p>
          <w:p w14:paraId="02D79163" w14:textId="77777777" w:rsidR="00E76DEB" w:rsidRPr="00E76DEB" w:rsidRDefault="00E76DEB" w:rsidP="00E76DEB">
            <w:pPr>
              <w:jc w:val="center"/>
              <w:rPr>
                <w:sz w:val="20"/>
                <w:szCs w:val="20"/>
              </w:rPr>
            </w:pPr>
            <w:r w:rsidRPr="00E76DEB">
              <w:rPr>
                <w:sz w:val="20"/>
                <w:szCs w:val="20"/>
              </w:rPr>
              <w:t>(60 años y mayores)</w:t>
            </w:r>
          </w:p>
        </w:tc>
        <w:tc>
          <w:tcPr>
            <w:tcW w:w="1589" w:type="dxa"/>
            <w:tcBorders>
              <w:top w:val="nil"/>
              <w:left w:val="single" w:sz="4" w:space="0" w:color="auto"/>
              <w:bottom w:val="single" w:sz="4" w:space="0" w:color="auto"/>
              <w:right w:val="single" w:sz="4" w:space="0" w:color="auto"/>
            </w:tcBorders>
            <w:vAlign w:val="center"/>
          </w:tcPr>
          <w:p w14:paraId="22F13D90" w14:textId="77777777" w:rsidR="00E76DEB" w:rsidRPr="00E76DEB" w:rsidRDefault="00E76DEB" w:rsidP="00E76DEB">
            <w:pPr>
              <w:ind w:right="454"/>
              <w:jc w:val="right"/>
              <w:rPr>
                <w:sz w:val="20"/>
                <w:szCs w:val="20"/>
              </w:rPr>
            </w:pPr>
            <w:r w:rsidRPr="00E76DEB">
              <w:rPr>
                <w:sz w:val="20"/>
                <w:szCs w:val="20"/>
              </w:rPr>
              <w:t>6.24</w:t>
            </w:r>
          </w:p>
        </w:tc>
        <w:tc>
          <w:tcPr>
            <w:tcW w:w="1560" w:type="dxa"/>
            <w:tcBorders>
              <w:top w:val="nil"/>
              <w:left w:val="single" w:sz="4" w:space="0" w:color="auto"/>
              <w:bottom w:val="single" w:sz="4" w:space="0" w:color="auto"/>
              <w:right w:val="single" w:sz="4" w:space="0" w:color="auto"/>
            </w:tcBorders>
            <w:vAlign w:val="center"/>
          </w:tcPr>
          <w:p w14:paraId="1BD37271" w14:textId="77777777" w:rsidR="00E76DEB" w:rsidRPr="00E76DEB" w:rsidRDefault="00E76DEB" w:rsidP="00E76DEB">
            <w:pPr>
              <w:jc w:val="center"/>
              <w:rPr>
                <w:sz w:val="20"/>
                <w:szCs w:val="20"/>
              </w:rPr>
            </w:pPr>
            <w:r w:rsidRPr="00E76DEB">
              <w:rPr>
                <w:sz w:val="20"/>
                <w:szCs w:val="20"/>
              </w:rPr>
              <w:t>52 Meses</w:t>
            </w:r>
          </w:p>
        </w:tc>
      </w:tr>
      <w:tr w:rsidR="00E76DEB" w:rsidRPr="00E76DEB" w14:paraId="5EEB59FA" w14:textId="77777777" w:rsidTr="008D28ED">
        <w:trPr>
          <w:jc w:val="center"/>
        </w:trPr>
        <w:tc>
          <w:tcPr>
            <w:tcW w:w="6674" w:type="dxa"/>
            <w:gridSpan w:val="3"/>
            <w:tcBorders>
              <w:top w:val="single" w:sz="4" w:space="0" w:color="auto"/>
              <w:left w:val="nil"/>
              <w:bottom w:val="nil"/>
              <w:right w:val="nil"/>
            </w:tcBorders>
          </w:tcPr>
          <w:p w14:paraId="5F52CF5E" w14:textId="77777777" w:rsidR="00E76DEB" w:rsidRPr="00E76DEB" w:rsidRDefault="00E76DEB" w:rsidP="00E76DEB">
            <w:pPr>
              <w:ind w:left="113" w:hanging="113"/>
              <w:jc w:val="both"/>
              <w:rPr>
                <w:sz w:val="20"/>
                <w:szCs w:val="20"/>
              </w:rPr>
            </w:pPr>
            <w:r w:rsidRPr="00E76DEB">
              <w:rPr>
                <w:sz w:val="20"/>
                <w:szCs w:val="20"/>
              </w:rPr>
              <w:t>*Conforme a la metodología descrita en las DISPOSICIONES de Carácter General que establecen el procedimiento para la construcción de los indicadores de rendimiento neto de las Sociedades de Inversión Especializadas de Fondos para el Retiro publicadas en el DOF el 29 de mayo de 2014.</w:t>
            </w:r>
          </w:p>
          <w:p w14:paraId="06EA2072" w14:textId="77777777" w:rsidR="00E76DEB" w:rsidRPr="00E76DEB" w:rsidRDefault="00E76DEB" w:rsidP="00E76DEB">
            <w:pPr>
              <w:jc w:val="both"/>
              <w:rPr>
                <w:sz w:val="20"/>
                <w:szCs w:val="20"/>
              </w:rPr>
            </w:pPr>
            <w:r w:rsidRPr="00E76DEB">
              <w:rPr>
                <w:sz w:val="20"/>
                <w:szCs w:val="20"/>
              </w:rPr>
              <w:t>FUENTE: Consar.</w:t>
            </w:r>
          </w:p>
        </w:tc>
      </w:tr>
    </w:tbl>
    <w:p w14:paraId="05E7BE3D" w14:textId="77777777" w:rsidR="00E76DEB" w:rsidRPr="00E76DEB" w:rsidRDefault="00E76DEB" w:rsidP="00E76DEB">
      <w:pPr>
        <w:spacing w:after="360" w:line="360" w:lineRule="auto"/>
        <w:ind w:right="-159"/>
        <w:jc w:val="both"/>
        <w:rPr>
          <w:sz w:val="26"/>
          <w:szCs w:val="26"/>
        </w:rPr>
      </w:pPr>
    </w:p>
    <w:p w14:paraId="2679EBA6" w14:textId="77777777" w:rsidR="00E76DEB" w:rsidRDefault="00E76DEB" w:rsidP="00E76DEB">
      <w:pPr>
        <w:spacing w:after="360" w:line="360" w:lineRule="auto"/>
        <w:ind w:right="-159"/>
        <w:jc w:val="both"/>
        <w:rPr>
          <w:sz w:val="26"/>
          <w:szCs w:val="26"/>
        </w:rPr>
      </w:pPr>
      <w:r w:rsidRPr="00E76DEB">
        <w:rPr>
          <w:sz w:val="26"/>
          <w:szCs w:val="26"/>
        </w:rPr>
        <w:t>El IRN permite conocer el rendimiento que otorgan las Administradoras de Fondos para el Retiro (Afore) ya descontada la comisión. Es una herramienta sencilla y clara que da mayor transparencia al sistema y busca incentivar que las Afore orienten sus esfuerzos a lograr una mejor gestión de los recursos pensionarios con una visión de mediano y largo plazos.</w:t>
      </w:r>
    </w:p>
    <w:p w14:paraId="1D1FFFEC" w14:textId="77777777" w:rsidR="004727D3" w:rsidRDefault="004727D3" w:rsidP="00E76DEB">
      <w:pPr>
        <w:spacing w:after="360" w:line="360" w:lineRule="auto"/>
        <w:ind w:right="-159"/>
        <w:jc w:val="both"/>
        <w:rPr>
          <w:sz w:val="26"/>
          <w:szCs w:val="26"/>
        </w:rPr>
      </w:pPr>
    </w:p>
    <w:p w14:paraId="08889012" w14:textId="77777777" w:rsidR="0047140D" w:rsidRDefault="0047140D" w:rsidP="00E76DEB">
      <w:pPr>
        <w:spacing w:after="360" w:line="360" w:lineRule="auto"/>
        <w:ind w:right="-159"/>
        <w:jc w:val="both"/>
        <w:rPr>
          <w:sz w:val="26"/>
          <w:szCs w:val="26"/>
        </w:rPr>
      </w:pPr>
    </w:p>
    <w:p w14:paraId="0434E4B1" w14:textId="77777777" w:rsidR="001B3CD5" w:rsidRDefault="001B3CD5" w:rsidP="00E76DEB">
      <w:pPr>
        <w:spacing w:after="360" w:line="360" w:lineRule="auto"/>
        <w:ind w:right="-159"/>
        <w:jc w:val="both"/>
        <w:rPr>
          <w:sz w:val="26"/>
          <w:szCs w:val="26"/>
        </w:rPr>
      </w:pPr>
    </w:p>
    <w:p w14:paraId="7C361052" w14:textId="77777777" w:rsidR="001B3CD5" w:rsidRDefault="001B3CD5" w:rsidP="00E76DEB">
      <w:pPr>
        <w:spacing w:after="360" w:line="360" w:lineRule="auto"/>
        <w:ind w:right="-159"/>
        <w:jc w:val="both"/>
        <w:rPr>
          <w:sz w:val="26"/>
          <w:szCs w:val="26"/>
        </w:rPr>
      </w:pPr>
    </w:p>
    <w:p w14:paraId="7A0BB1F7" w14:textId="77777777" w:rsidR="0047140D" w:rsidRDefault="0047140D" w:rsidP="00E76DEB">
      <w:pPr>
        <w:spacing w:after="360" w:line="360" w:lineRule="auto"/>
        <w:ind w:right="-159"/>
        <w:jc w:val="both"/>
        <w:rPr>
          <w:sz w:val="26"/>
          <w:szCs w:val="26"/>
        </w:rPr>
      </w:pPr>
    </w:p>
    <w:p w14:paraId="2DB7501C" w14:textId="77777777" w:rsidR="0047140D" w:rsidRDefault="0047140D" w:rsidP="00E76DEB">
      <w:pPr>
        <w:spacing w:after="360" w:line="360" w:lineRule="auto"/>
        <w:ind w:right="-159"/>
        <w:jc w:val="both"/>
        <w:rPr>
          <w:sz w:val="26"/>
          <w:szCs w:val="26"/>
        </w:rPr>
      </w:pPr>
    </w:p>
    <w:p w14:paraId="6C8913EB" w14:textId="77777777" w:rsidR="0047140D" w:rsidRDefault="0047140D" w:rsidP="00E76DEB">
      <w:pPr>
        <w:spacing w:after="360" w:line="360" w:lineRule="auto"/>
        <w:ind w:right="-159"/>
        <w:jc w:val="both"/>
        <w:rPr>
          <w:sz w:val="26"/>
          <w:szCs w:val="26"/>
        </w:rPr>
      </w:pPr>
    </w:p>
    <w:p w14:paraId="2E520FB4" w14:textId="77777777" w:rsidR="00E76DEB" w:rsidRPr="00E76DEB" w:rsidRDefault="00E76DEB" w:rsidP="00E76DEB">
      <w:pPr>
        <w:spacing w:after="360" w:line="360" w:lineRule="auto"/>
        <w:ind w:right="-159"/>
        <w:jc w:val="both"/>
        <w:rPr>
          <w:sz w:val="26"/>
          <w:szCs w:val="26"/>
        </w:rPr>
      </w:pPr>
      <w:r w:rsidRPr="00E76DEB">
        <w:rPr>
          <w:sz w:val="26"/>
          <w:szCs w:val="26"/>
        </w:rPr>
        <w:lastRenderedPageBreak/>
        <w:t>Por Afore y Siefore, el IRN de marzo es el siguiente:</w:t>
      </w:r>
    </w:p>
    <w:tbl>
      <w:tblPr>
        <w:tblW w:w="0" w:type="auto"/>
        <w:jc w:val="center"/>
        <w:tblLook w:val="04A0" w:firstRow="1" w:lastRow="0" w:firstColumn="1" w:lastColumn="0" w:noHBand="0" w:noVBand="1"/>
      </w:tblPr>
      <w:tblGrid>
        <w:gridCol w:w="2344"/>
        <w:gridCol w:w="1756"/>
        <w:gridCol w:w="222"/>
        <w:gridCol w:w="2341"/>
        <w:gridCol w:w="1701"/>
      </w:tblGrid>
      <w:tr w:rsidR="00E76DEB" w:rsidRPr="00E76DEB" w14:paraId="1007B22C" w14:textId="77777777" w:rsidTr="00E76DEB">
        <w:trPr>
          <w:jc w:val="center"/>
        </w:trPr>
        <w:tc>
          <w:tcPr>
            <w:tcW w:w="4100" w:type="dxa"/>
            <w:gridSpan w:val="2"/>
            <w:tcBorders>
              <w:top w:val="single" w:sz="4" w:space="0" w:color="auto"/>
              <w:left w:val="single" w:sz="4" w:space="0" w:color="auto"/>
              <w:bottom w:val="single" w:sz="4" w:space="0" w:color="auto"/>
              <w:right w:val="single" w:sz="4" w:space="0" w:color="auto"/>
            </w:tcBorders>
            <w:vAlign w:val="center"/>
          </w:tcPr>
          <w:p w14:paraId="1D314269" w14:textId="77777777" w:rsidR="00E76DEB" w:rsidRPr="00E76DEB" w:rsidRDefault="00E76DEB" w:rsidP="00E76DEB">
            <w:pPr>
              <w:jc w:val="center"/>
              <w:rPr>
                <w:b/>
                <w:sz w:val="20"/>
                <w:szCs w:val="20"/>
              </w:rPr>
            </w:pPr>
            <w:r w:rsidRPr="00E76DEB">
              <w:rPr>
                <w:b/>
                <w:sz w:val="20"/>
                <w:szCs w:val="20"/>
              </w:rPr>
              <w:t>RENDIMIENTO NETO DE LA SB1</w:t>
            </w:r>
          </w:p>
          <w:p w14:paraId="05CD7DB4" w14:textId="77777777" w:rsidR="00E76DEB" w:rsidRPr="00E76DEB" w:rsidRDefault="00E76DEB" w:rsidP="00E76DEB">
            <w:pPr>
              <w:jc w:val="center"/>
              <w:rPr>
                <w:b/>
                <w:sz w:val="20"/>
                <w:szCs w:val="20"/>
              </w:rPr>
            </w:pPr>
            <w:r w:rsidRPr="00E76DEB">
              <w:rPr>
                <w:b/>
                <w:sz w:val="20"/>
                <w:szCs w:val="20"/>
              </w:rPr>
              <w:t>60 años y mayores</w:t>
            </w:r>
          </w:p>
          <w:p w14:paraId="375C27C6" w14:textId="77777777" w:rsidR="00E76DEB" w:rsidRPr="00E76DEB" w:rsidRDefault="00E76DEB" w:rsidP="00E76DEB">
            <w:pPr>
              <w:jc w:val="center"/>
              <w:rPr>
                <w:b/>
                <w:sz w:val="20"/>
                <w:szCs w:val="20"/>
              </w:rPr>
            </w:pPr>
            <w:r w:rsidRPr="00E76DEB">
              <w:rPr>
                <w:b/>
                <w:sz w:val="20"/>
                <w:szCs w:val="20"/>
              </w:rPr>
              <w:t>-Por ciento-</w:t>
            </w:r>
          </w:p>
        </w:tc>
        <w:tc>
          <w:tcPr>
            <w:tcW w:w="222" w:type="dxa"/>
            <w:tcBorders>
              <w:left w:val="single" w:sz="4" w:space="0" w:color="auto"/>
              <w:right w:val="single" w:sz="4" w:space="0" w:color="auto"/>
            </w:tcBorders>
          </w:tcPr>
          <w:p w14:paraId="656EB869" w14:textId="77777777" w:rsidR="00E76DEB" w:rsidRPr="00E76DEB" w:rsidRDefault="00E76DEB" w:rsidP="00E76DEB">
            <w:pPr>
              <w:jc w:val="center"/>
              <w:rPr>
                <w:b/>
                <w:sz w:val="20"/>
                <w:szCs w:val="20"/>
              </w:rPr>
            </w:pPr>
          </w:p>
        </w:tc>
        <w:tc>
          <w:tcPr>
            <w:tcW w:w="4042" w:type="dxa"/>
            <w:gridSpan w:val="2"/>
            <w:tcBorders>
              <w:top w:val="single" w:sz="4" w:space="0" w:color="auto"/>
              <w:left w:val="single" w:sz="4" w:space="0" w:color="auto"/>
              <w:bottom w:val="single" w:sz="4" w:space="0" w:color="auto"/>
              <w:right w:val="single" w:sz="4" w:space="0" w:color="auto"/>
            </w:tcBorders>
            <w:vAlign w:val="center"/>
          </w:tcPr>
          <w:p w14:paraId="63A57A0C" w14:textId="77777777" w:rsidR="00E76DEB" w:rsidRPr="00E76DEB" w:rsidRDefault="00E76DEB" w:rsidP="00E76DEB">
            <w:pPr>
              <w:jc w:val="center"/>
              <w:rPr>
                <w:b/>
                <w:sz w:val="20"/>
                <w:szCs w:val="20"/>
              </w:rPr>
            </w:pPr>
            <w:r w:rsidRPr="00E76DEB">
              <w:rPr>
                <w:b/>
                <w:sz w:val="20"/>
                <w:szCs w:val="20"/>
              </w:rPr>
              <w:t>RENDIMIENTO NETO DE LA SB2</w:t>
            </w:r>
          </w:p>
          <w:p w14:paraId="5E47F965" w14:textId="77777777" w:rsidR="00E76DEB" w:rsidRPr="00E76DEB" w:rsidRDefault="00E76DEB" w:rsidP="00E76DEB">
            <w:pPr>
              <w:jc w:val="center"/>
              <w:rPr>
                <w:b/>
                <w:sz w:val="20"/>
                <w:szCs w:val="20"/>
              </w:rPr>
            </w:pPr>
            <w:r w:rsidRPr="00E76DEB">
              <w:rPr>
                <w:b/>
                <w:sz w:val="20"/>
                <w:szCs w:val="20"/>
              </w:rPr>
              <w:t>46 a 59 años</w:t>
            </w:r>
          </w:p>
          <w:p w14:paraId="0A378C22" w14:textId="77777777" w:rsidR="00E76DEB" w:rsidRPr="00E76DEB" w:rsidRDefault="00E76DEB" w:rsidP="00E76DEB">
            <w:pPr>
              <w:jc w:val="center"/>
              <w:rPr>
                <w:b/>
                <w:sz w:val="20"/>
                <w:szCs w:val="20"/>
              </w:rPr>
            </w:pPr>
            <w:r w:rsidRPr="00E76DEB">
              <w:rPr>
                <w:b/>
                <w:sz w:val="20"/>
                <w:szCs w:val="20"/>
              </w:rPr>
              <w:t>-Por ciento-</w:t>
            </w:r>
          </w:p>
        </w:tc>
      </w:tr>
      <w:tr w:rsidR="00E76DEB" w:rsidRPr="00E76DEB" w14:paraId="6F424143"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vAlign w:val="center"/>
          </w:tcPr>
          <w:p w14:paraId="124AEFD8" w14:textId="77777777" w:rsidR="00E76DEB" w:rsidRPr="00E76DEB" w:rsidRDefault="00E76DEB" w:rsidP="00E76DEB">
            <w:pPr>
              <w:jc w:val="center"/>
              <w:rPr>
                <w:b/>
                <w:sz w:val="20"/>
                <w:szCs w:val="20"/>
              </w:rPr>
            </w:pPr>
            <w:r w:rsidRPr="00E76DEB">
              <w:rPr>
                <w:b/>
                <w:sz w:val="20"/>
                <w:szCs w:val="20"/>
              </w:rPr>
              <w:t>Siefore Básica 1</w:t>
            </w:r>
          </w:p>
        </w:tc>
        <w:tc>
          <w:tcPr>
            <w:tcW w:w="1756" w:type="dxa"/>
            <w:tcBorders>
              <w:top w:val="single" w:sz="4" w:space="0" w:color="auto"/>
              <w:left w:val="single" w:sz="4" w:space="0" w:color="auto"/>
              <w:bottom w:val="single" w:sz="4" w:space="0" w:color="auto"/>
              <w:right w:val="single" w:sz="4" w:space="0" w:color="auto"/>
            </w:tcBorders>
          </w:tcPr>
          <w:p w14:paraId="5FDFEB3D" w14:textId="77777777" w:rsidR="00E76DEB" w:rsidRPr="00E76DEB" w:rsidRDefault="00E76DEB" w:rsidP="00E76DEB">
            <w:pPr>
              <w:jc w:val="center"/>
              <w:rPr>
                <w:b/>
                <w:sz w:val="20"/>
                <w:szCs w:val="20"/>
              </w:rPr>
            </w:pPr>
            <w:r w:rsidRPr="00E76DEB">
              <w:rPr>
                <w:b/>
                <w:sz w:val="20"/>
                <w:szCs w:val="20"/>
              </w:rPr>
              <w:t>Rendimiento Neto</w:t>
            </w:r>
          </w:p>
        </w:tc>
        <w:tc>
          <w:tcPr>
            <w:tcW w:w="222" w:type="dxa"/>
            <w:tcBorders>
              <w:left w:val="single" w:sz="4" w:space="0" w:color="auto"/>
              <w:right w:val="single" w:sz="4" w:space="0" w:color="auto"/>
            </w:tcBorders>
          </w:tcPr>
          <w:p w14:paraId="2C505EB9" w14:textId="77777777" w:rsidR="00E76DEB" w:rsidRPr="00E76DEB" w:rsidRDefault="00E76DEB" w:rsidP="00E76DEB">
            <w:pPr>
              <w:jc w:val="center"/>
              <w:rPr>
                <w:b/>
                <w:sz w:val="20"/>
                <w:szCs w:val="20"/>
              </w:rPr>
            </w:pPr>
          </w:p>
        </w:tc>
        <w:tc>
          <w:tcPr>
            <w:tcW w:w="2341" w:type="dxa"/>
            <w:tcBorders>
              <w:top w:val="single" w:sz="4" w:space="0" w:color="auto"/>
              <w:left w:val="single" w:sz="4" w:space="0" w:color="auto"/>
              <w:bottom w:val="single" w:sz="4" w:space="0" w:color="auto"/>
              <w:right w:val="single" w:sz="4" w:space="0" w:color="auto"/>
            </w:tcBorders>
            <w:vAlign w:val="center"/>
          </w:tcPr>
          <w:p w14:paraId="224EB7B3" w14:textId="77777777" w:rsidR="00E76DEB" w:rsidRPr="00E76DEB" w:rsidRDefault="00E76DEB" w:rsidP="00E76DEB">
            <w:pPr>
              <w:jc w:val="center"/>
              <w:rPr>
                <w:b/>
                <w:sz w:val="20"/>
                <w:szCs w:val="20"/>
              </w:rPr>
            </w:pPr>
            <w:r w:rsidRPr="00E76DEB">
              <w:rPr>
                <w:b/>
                <w:sz w:val="20"/>
                <w:szCs w:val="20"/>
              </w:rPr>
              <w:t>Siefore Básica 2</w:t>
            </w:r>
          </w:p>
        </w:tc>
        <w:tc>
          <w:tcPr>
            <w:tcW w:w="1701" w:type="dxa"/>
            <w:tcBorders>
              <w:top w:val="single" w:sz="4" w:space="0" w:color="auto"/>
              <w:left w:val="single" w:sz="4" w:space="0" w:color="auto"/>
              <w:bottom w:val="single" w:sz="4" w:space="0" w:color="auto"/>
              <w:right w:val="single" w:sz="4" w:space="0" w:color="auto"/>
            </w:tcBorders>
          </w:tcPr>
          <w:p w14:paraId="40EA155C" w14:textId="77777777" w:rsidR="00E76DEB" w:rsidRPr="00E76DEB" w:rsidRDefault="00E76DEB" w:rsidP="00E76DEB">
            <w:pPr>
              <w:jc w:val="center"/>
              <w:rPr>
                <w:b/>
                <w:sz w:val="20"/>
                <w:szCs w:val="20"/>
              </w:rPr>
            </w:pPr>
            <w:r w:rsidRPr="00E76DEB">
              <w:rPr>
                <w:b/>
                <w:sz w:val="20"/>
                <w:szCs w:val="20"/>
              </w:rPr>
              <w:t>Rendimiento Neto</w:t>
            </w:r>
          </w:p>
        </w:tc>
      </w:tr>
      <w:tr w:rsidR="00E76DEB" w:rsidRPr="00E76DEB" w14:paraId="0D94CB5A"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5BCE952F" w14:textId="77777777" w:rsidR="00E76DEB" w:rsidRPr="00E76DEB" w:rsidRDefault="00E76DEB" w:rsidP="00E76DEB">
            <w:pPr>
              <w:rPr>
                <w:sz w:val="20"/>
                <w:szCs w:val="20"/>
              </w:rPr>
            </w:pPr>
            <w:r w:rsidRPr="00E76DEB">
              <w:rPr>
                <w:sz w:val="20"/>
                <w:szCs w:val="20"/>
              </w:rPr>
              <w:t>PensionISSSTE</w:t>
            </w:r>
          </w:p>
        </w:tc>
        <w:tc>
          <w:tcPr>
            <w:tcW w:w="1756" w:type="dxa"/>
            <w:tcBorders>
              <w:top w:val="single" w:sz="4" w:space="0" w:color="auto"/>
              <w:left w:val="single" w:sz="4" w:space="0" w:color="auto"/>
              <w:bottom w:val="single" w:sz="4" w:space="0" w:color="auto"/>
              <w:right w:val="single" w:sz="4" w:space="0" w:color="auto"/>
            </w:tcBorders>
          </w:tcPr>
          <w:p w14:paraId="1F3E1101" w14:textId="77777777" w:rsidR="00E76DEB" w:rsidRPr="00E76DEB" w:rsidRDefault="00E76DEB" w:rsidP="00E76DEB">
            <w:pPr>
              <w:ind w:right="624"/>
              <w:jc w:val="right"/>
              <w:rPr>
                <w:sz w:val="20"/>
                <w:szCs w:val="20"/>
              </w:rPr>
            </w:pPr>
            <w:r w:rsidRPr="00E76DEB">
              <w:rPr>
                <w:sz w:val="20"/>
                <w:szCs w:val="20"/>
              </w:rPr>
              <w:t>7.11</w:t>
            </w:r>
          </w:p>
        </w:tc>
        <w:tc>
          <w:tcPr>
            <w:tcW w:w="222" w:type="dxa"/>
            <w:tcBorders>
              <w:left w:val="single" w:sz="4" w:space="0" w:color="auto"/>
              <w:right w:val="single" w:sz="4" w:space="0" w:color="auto"/>
            </w:tcBorders>
          </w:tcPr>
          <w:p w14:paraId="2B1F208B"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64302B6B" w14:textId="77777777" w:rsidR="00E76DEB" w:rsidRPr="00E76DEB" w:rsidRDefault="00E76DEB" w:rsidP="00E76DEB">
            <w:pPr>
              <w:ind w:right="624"/>
              <w:rPr>
                <w:sz w:val="20"/>
                <w:szCs w:val="20"/>
              </w:rPr>
            </w:pPr>
            <w:r w:rsidRPr="00E76DEB">
              <w:rPr>
                <w:sz w:val="20"/>
                <w:szCs w:val="20"/>
              </w:rPr>
              <w:t>SURA</w:t>
            </w:r>
          </w:p>
        </w:tc>
        <w:tc>
          <w:tcPr>
            <w:tcW w:w="1701" w:type="dxa"/>
            <w:tcBorders>
              <w:top w:val="single" w:sz="4" w:space="0" w:color="auto"/>
              <w:left w:val="single" w:sz="4" w:space="0" w:color="auto"/>
              <w:bottom w:val="single" w:sz="4" w:space="0" w:color="auto"/>
              <w:right w:val="single" w:sz="4" w:space="0" w:color="auto"/>
            </w:tcBorders>
          </w:tcPr>
          <w:p w14:paraId="26FE872F" w14:textId="77777777" w:rsidR="00E76DEB" w:rsidRPr="00E76DEB" w:rsidRDefault="00E76DEB" w:rsidP="00E76DEB">
            <w:pPr>
              <w:ind w:right="624"/>
              <w:jc w:val="right"/>
              <w:rPr>
                <w:sz w:val="20"/>
                <w:szCs w:val="20"/>
              </w:rPr>
            </w:pPr>
            <w:r w:rsidRPr="00E76DEB">
              <w:rPr>
                <w:sz w:val="20"/>
                <w:szCs w:val="20"/>
              </w:rPr>
              <w:t>9.20</w:t>
            </w:r>
          </w:p>
        </w:tc>
      </w:tr>
      <w:tr w:rsidR="00E76DEB" w:rsidRPr="00E76DEB" w14:paraId="7F504AB8"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049F4CB" w14:textId="77777777" w:rsidR="00E76DEB" w:rsidRPr="00E76DEB" w:rsidRDefault="00E76DEB" w:rsidP="00E76DEB">
            <w:pPr>
              <w:rPr>
                <w:sz w:val="20"/>
                <w:szCs w:val="20"/>
              </w:rPr>
            </w:pPr>
            <w:r w:rsidRPr="00E76DEB">
              <w:rPr>
                <w:sz w:val="20"/>
                <w:szCs w:val="20"/>
              </w:rPr>
              <w:t>SURA</w:t>
            </w:r>
          </w:p>
        </w:tc>
        <w:tc>
          <w:tcPr>
            <w:tcW w:w="1756" w:type="dxa"/>
            <w:tcBorders>
              <w:top w:val="single" w:sz="4" w:space="0" w:color="auto"/>
              <w:left w:val="single" w:sz="4" w:space="0" w:color="auto"/>
              <w:bottom w:val="single" w:sz="4" w:space="0" w:color="auto"/>
              <w:right w:val="single" w:sz="4" w:space="0" w:color="auto"/>
            </w:tcBorders>
          </w:tcPr>
          <w:p w14:paraId="5040D2F5" w14:textId="77777777" w:rsidR="00E76DEB" w:rsidRPr="00E76DEB" w:rsidRDefault="00E76DEB" w:rsidP="00E76DEB">
            <w:pPr>
              <w:ind w:right="624"/>
              <w:jc w:val="right"/>
              <w:rPr>
                <w:sz w:val="20"/>
                <w:szCs w:val="20"/>
              </w:rPr>
            </w:pPr>
            <w:r w:rsidRPr="00E76DEB">
              <w:rPr>
                <w:sz w:val="20"/>
                <w:szCs w:val="20"/>
              </w:rPr>
              <w:t>6.71</w:t>
            </w:r>
          </w:p>
        </w:tc>
        <w:tc>
          <w:tcPr>
            <w:tcW w:w="222" w:type="dxa"/>
            <w:tcBorders>
              <w:left w:val="single" w:sz="4" w:space="0" w:color="auto"/>
              <w:right w:val="single" w:sz="4" w:space="0" w:color="auto"/>
            </w:tcBorders>
          </w:tcPr>
          <w:p w14:paraId="61E9D838"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6318C6AA" w14:textId="77777777" w:rsidR="00E76DEB" w:rsidRPr="00E76DEB" w:rsidRDefault="00E76DEB" w:rsidP="00E76DEB">
            <w:pPr>
              <w:ind w:right="624"/>
              <w:rPr>
                <w:sz w:val="20"/>
                <w:szCs w:val="20"/>
              </w:rPr>
            </w:pPr>
            <w:r w:rsidRPr="00E76DEB">
              <w:rPr>
                <w:sz w:val="20"/>
                <w:szCs w:val="20"/>
              </w:rPr>
              <w:t>PensionISSSTE</w:t>
            </w:r>
          </w:p>
        </w:tc>
        <w:tc>
          <w:tcPr>
            <w:tcW w:w="1701" w:type="dxa"/>
            <w:tcBorders>
              <w:top w:val="single" w:sz="4" w:space="0" w:color="auto"/>
              <w:left w:val="single" w:sz="4" w:space="0" w:color="auto"/>
              <w:bottom w:val="single" w:sz="4" w:space="0" w:color="auto"/>
              <w:right w:val="single" w:sz="4" w:space="0" w:color="auto"/>
            </w:tcBorders>
          </w:tcPr>
          <w:p w14:paraId="488A5E4B" w14:textId="77777777" w:rsidR="00E76DEB" w:rsidRPr="00E76DEB" w:rsidRDefault="00E76DEB" w:rsidP="00E76DEB">
            <w:pPr>
              <w:ind w:right="624"/>
              <w:jc w:val="right"/>
              <w:rPr>
                <w:sz w:val="20"/>
                <w:szCs w:val="20"/>
              </w:rPr>
            </w:pPr>
            <w:r w:rsidRPr="00E76DEB">
              <w:rPr>
                <w:sz w:val="20"/>
                <w:szCs w:val="20"/>
              </w:rPr>
              <w:t>9.02</w:t>
            </w:r>
          </w:p>
        </w:tc>
      </w:tr>
      <w:tr w:rsidR="00E76DEB" w:rsidRPr="00E76DEB" w14:paraId="6E064F49"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64F6F20" w14:textId="77777777" w:rsidR="00E76DEB" w:rsidRPr="00E76DEB" w:rsidRDefault="00E76DEB" w:rsidP="00E76DEB">
            <w:pPr>
              <w:rPr>
                <w:sz w:val="20"/>
                <w:szCs w:val="20"/>
              </w:rPr>
            </w:pPr>
            <w:r w:rsidRPr="00E76DEB">
              <w:rPr>
                <w:sz w:val="20"/>
                <w:szCs w:val="20"/>
              </w:rPr>
              <w:t>Invercap</w:t>
            </w:r>
          </w:p>
        </w:tc>
        <w:tc>
          <w:tcPr>
            <w:tcW w:w="1756" w:type="dxa"/>
            <w:tcBorders>
              <w:top w:val="single" w:sz="4" w:space="0" w:color="auto"/>
              <w:left w:val="single" w:sz="4" w:space="0" w:color="auto"/>
              <w:bottom w:val="single" w:sz="4" w:space="0" w:color="auto"/>
              <w:right w:val="single" w:sz="4" w:space="0" w:color="auto"/>
            </w:tcBorders>
          </w:tcPr>
          <w:p w14:paraId="7067093F" w14:textId="77777777" w:rsidR="00E76DEB" w:rsidRPr="00E76DEB" w:rsidRDefault="00E76DEB" w:rsidP="00E76DEB">
            <w:pPr>
              <w:ind w:right="624"/>
              <w:jc w:val="right"/>
              <w:rPr>
                <w:sz w:val="20"/>
                <w:szCs w:val="20"/>
              </w:rPr>
            </w:pPr>
            <w:r w:rsidRPr="00E76DEB">
              <w:rPr>
                <w:sz w:val="20"/>
                <w:szCs w:val="20"/>
              </w:rPr>
              <w:t>6.56</w:t>
            </w:r>
          </w:p>
        </w:tc>
        <w:tc>
          <w:tcPr>
            <w:tcW w:w="222" w:type="dxa"/>
            <w:tcBorders>
              <w:left w:val="single" w:sz="4" w:space="0" w:color="auto"/>
              <w:right w:val="single" w:sz="4" w:space="0" w:color="auto"/>
            </w:tcBorders>
          </w:tcPr>
          <w:p w14:paraId="3BDAA1EF"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4D8324F7" w14:textId="77777777" w:rsidR="00E76DEB" w:rsidRPr="00E76DEB" w:rsidRDefault="00E76DEB" w:rsidP="00E76DEB">
            <w:pPr>
              <w:ind w:right="624"/>
              <w:rPr>
                <w:sz w:val="20"/>
                <w:szCs w:val="20"/>
              </w:rPr>
            </w:pPr>
            <w:r w:rsidRPr="00E76DEB">
              <w:rPr>
                <w:sz w:val="20"/>
                <w:szCs w:val="20"/>
              </w:rPr>
              <w:t xml:space="preserve">Banamex </w:t>
            </w:r>
          </w:p>
        </w:tc>
        <w:tc>
          <w:tcPr>
            <w:tcW w:w="1701" w:type="dxa"/>
            <w:tcBorders>
              <w:top w:val="single" w:sz="4" w:space="0" w:color="auto"/>
              <w:left w:val="single" w:sz="4" w:space="0" w:color="auto"/>
              <w:bottom w:val="single" w:sz="4" w:space="0" w:color="auto"/>
              <w:right w:val="single" w:sz="4" w:space="0" w:color="auto"/>
            </w:tcBorders>
          </w:tcPr>
          <w:p w14:paraId="3B2DFB16" w14:textId="77777777" w:rsidR="00E76DEB" w:rsidRPr="00E76DEB" w:rsidRDefault="00E76DEB" w:rsidP="00E76DEB">
            <w:pPr>
              <w:ind w:right="624"/>
              <w:jc w:val="right"/>
              <w:rPr>
                <w:sz w:val="20"/>
                <w:szCs w:val="20"/>
              </w:rPr>
            </w:pPr>
            <w:r w:rsidRPr="00E76DEB">
              <w:rPr>
                <w:sz w:val="20"/>
                <w:szCs w:val="20"/>
              </w:rPr>
              <w:t>8.52</w:t>
            </w:r>
          </w:p>
        </w:tc>
      </w:tr>
      <w:tr w:rsidR="00E76DEB" w:rsidRPr="00E76DEB" w14:paraId="76BF3BF0"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031C8AA0" w14:textId="77777777" w:rsidR="00E76DEB" w:rsidRPr="00E76DEB" w:rsidRDefault="00E76DEB" w:rsidP="00E76DEB">
            <w:pPr>
              <w:rPr>
                <w:sz w:val="20"/>
                <w:szCs w:val="20"/>
              </w:rPr>
            </w:pPr>
            <w:r w:rsidRPr="00E76DEB">
              <w:rPr>
                <w:sz w:val="20"/>
                <w:szCs w:val="20"/>
              </w:rPr>
              <w:t>Profuturo GNP</w:t>
            </w:r>
          </w:p>
        </w:tc>
        <w:tc>
          <w:tcPr>
            <w:tcW w:w="1756" w:type="dxa"/>
            <w:tcBorders>
              <w:top w:val="single" w:sz="4" w:space="0" w:color="auto"/>
              <w:left w:val="single" w:sz="4" w:space="0" w:color="auto"/>
              <w:bottom w:val="single" w:sz="4" w:space="0" w:color="auto"/>
              <w:right w:val="single" w:sz="4" w:space="0" w:color="auto"/>
            </w:tcBorders>
          </w:tcPr>
          <w:p w14:paraId="78FECD33" w14:textId="77777777" w:rsidR="00E76DEB" w:rsidRPr="00E76DEB" w:rsidRDefault="00E76DEB" w:rsidP="00E76DEB">
            <w:pPr>
              <w:ind w:right="624"/>
              <w:jc w:val="right"/>
              <w:rPr>
                <w:sz w:val="20"/>
                <w:szCs w:val="20"/>
              </w:rPr>
            </w:pPr>
            <w:r w:rsidRPr="00E76DEB">
              <w:rPr>
                <w:sz w:val="20"/>
                <w:szCs w:val="20"/>
              </w:rPr>
              <w:t>6.46</w:t>
            </w:r>
          </w:p>
        </w:tc>
        <w:tc>
          <w:tcPr>
            <w:tcW w:w="222" w:type="dxa"/>
            <w:tcBorders>
              <w:left w:val="single" w:sz="4" w:space="0" w:color="auto"/>
              <w:right w:val="single" w:sz="4" w:space="0" w:color="auto"/>
            </w:tcBorders>
          </w:tcPr>
          <w:p w14:paraId="62131CC2"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1243195E" w14:textId="77777777" w:rsidR="00E76DEB" w:rsidRPr="00E76DEB" w:rsidRDefault="00E76DEB" w:rsidP="00E76DEB">
            <w:pPr>
              <w:ind w:right="624"/>
              <w:rPr>
                <w:sz w:val="20"/>
                <w:szCs w:val="20"/>
              </w:rPr>
            </w:pPr>
            <w:r w:rsidRPr="00E76DEB">
              <w:rPr>
                <w:sz w:val="20"/>
                <w:szCs w:val="20"/>
              </w:rPr>
              <w:t>Profuturo GNP</w:t>
            </w:r>
          </w:p>
        </w:tc>
        <w:tc>
          <w:tcPr>
            <w:tcW w:w="1701" w:type="dxa"/>
            <w:tcBorders>
              <w:top w:val="single" w:sz="4" w:space="0" w:color="auto"/>
              <w:left w:val="single" w:sz="4" w:space="0" w:color="auto"/>
              <w:bottom w:val="single" w:sz="4" w:space="0" w:color="auto"/>
              <w:right w:val="single" w:sz="4" w:space="0" w:color="auto"/>
            </w:tcBorders>
          </w:tcPr>
          <w:p w14:paraId="3330EB4A" w14:textId="77777777" w:rsidR="00E76DEB" w:rsidRPr="00E76DEB" w:rsidRDefault="00E76DEB" w:rsidP="00E76DEB">
            <w:pPr>
              <w:ind w:right="624"/>
              <w:jc w:val="right"/>
              <w:rPr>
                <w:sz w:val="20"/>
                <w:szCs w:val="20"/>
              </w:rPr>
            </w:pPr>
            <w:r w:rsidRPr="00E76DEB">
              <w:rPr>
                <w:sz w:val="20"/>
                <w:szCs w:val="20"/>
              </w:rPr>
              <w:t>8.41</w:t>
            </w:r>
          </w:p>
        </w:tc>
      </w:tr>
      <w:tr w:rsidR="00E76DEB" w:rsidRPr="00E76DEB" w14:paraId="2C40A746"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16B6006" w14:textId="77777777" w:rsidR="00E76DEB" w:rsidRPr="00E76DEB" w:rsidRDefault="00E76DEB" w:rsidP="00E76DEB">
            <w:pPr>
              <w:rPr>
                <w:sz w:val="20"/>
                <w:szCs w:val="20"/>
              </w:rPr>
            </w:pPr>
            <w:r w:rsidRPr="00E76DEB">
              <w:rPr>
                <w:sz w:val="20"/>
                <w:szCs w:val="20"/>
              </w:rPr>
              <w:t>Banamex</w:t>
            </w:r>
          </w:p>
        </w:tc>
        <w:tc>
          <w:tcPr>
            <w:tcW w:w="1756" w:type="dxa"/>
            <w:tcBorders>
              <w:top w:val="single" w:sz="4" w:space="0" w:color="auto"/>
              <w:left w:val="single" w:sz="4" w:space="0" w:color="auto"/>
              <w:bottom w:val="single" w:sz="4" w:space="0" w:color="auto"/>
              <w:right w:val="single" w:sz="4" w:space="0" w:color="auto"/>
            </w:tcBorders>
          </w:tcPr>
          <w:p w14:paraId="2F4F8725" w14:textId="77777777" w:rsidR="00E76DEB" w:rsidRPr="00E76DEB" w:rsidRDefault="00E76DEB" w:rsidP="00E76DEB">
            <w:pPr>
              <w:ind w:right="624"/>
              <w:jc w:val="right"/>
              <w:rPr>
                <w:sz w:val="20"/>
                <w:szCs w:val="20"/>
              </w:rPr>
            </w:pPr>
            <w:r w:rsidRPr="00E76DEB">
              <w:rPr>
                <w:sz w:val="20"/>
                <w:szCs w:val="20"/>
              </w:rPr>
              <w:t>6.17</w:t>
            </w:r>
          </w:p>
        </w:tc>
        <w:tc>
          <w:tcPr>
            <w:tcW w:w="222" w:type="dxa"/>
            <w:tcBorders>
              <w:left w:val="single" w:sz="4" w:space="0" w:color="auto"/>
              <w:right w:val="single" w:sz="4" w:space="0" w:color="auto"/>
            </w:tcBorders>
          </w:tcPr>
          <w:p w14:paraId="19005C6D"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3DE68E1A" w14:textId="77777777" w:rsidR="00E76DEB" w:rsidRPr="00E76DEB" w:rsidRDefault="00E76DEB" w:rsidP="00E76DEB">
            <w:pPr>
              <w:ind w:right="624"/>
              <w:rPr>
                <w:sz w:val="20"/>
                <w:szCs w:val="20"/>
              </w:rPr>
            </w:pPr>
            <w:r w:rsidRPr="00E76DEB">
              <w:rPr>
                <w:sz w:val="20"/>
                <w:szCs w:val="20"/>
              </w:rPr>
              <w:t>XXI-Banorte</w:t>
            </w:r>
          </w:p>
        </w:tc>
        <w:tc>
          <w:tcPr>
            <w:tcW w:w="1701" w:type="dxa"/>
            <w:tcBorders>
              <w:top w:val="single" w:sz="4" w:space="0" w:color="auto"/>
              <w:left w:val="single" w:sz="4" w:space="0" w:color="auto"/>
              <w:bottom w:val="single" w:sz="4" w:space="0" w:color="auto"/>
              <w:right w:val="single" w:sz="4" w:space="0" w:color="auto"/>
            </w:tcBorders>
          </w:tcPr>
          <w:p w14:paraId="50E64061" w14:textId="77777777" w:rsidR="00E76DEB" w:rsidRPr="00E76DEB" w:rsidRDefault="00E76DEB" w:rsidP="00E76DEB">
            <w:pPr>
              <w:ind w:right="624"/>
              <w:jc w:val="right"/>
              <w:rPr>
                <w:sz w:val="20"/>
                <w:szCs w:val="20"/>
              </w:rPr>
            </w:pPr>
            <w:r w:rsidRPr="00E76DEB">
              <w:rPr>
                <w:sz w:val="20"/>
                <w:szCs w:val="20"/>
              </w:rPr>
              <w:t>8.03</w:t>
            </w:r>
          </w:p>
        </w:tc>
      </w:tr>
      <w:tr w:rsidR="00E76DEB" w:rsidRPr="00E76DEB" w14:paraId="18913DDA"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75E00B2" w14:textId="77777777" w:rsidR="00E76DEB" w:rsidRPr="00E76DEB" w:rsidRDefault="00E76DEB" w:rsidP="00E76DEB">
            <w:pPr>
              <w:rPr>
                <w:sz w:val="20"/>
                <w:szCs w:val="20"/>
              </w:rPr>
            </w:pPr>
            <w:r w:rsidRPr="00E76DEB">
              <w:rPr>
                <w:sz w:val="20"/>
                <w:szCs w:val="20"/>
              </w:rPr>
              <w:t>XXI-Banorte</w:t>
            </w:r>
          </w:p>
        </w:tc>
        <w:tc>
          <w:tcPr>
            <w:tcW w:w="1756" w:type="dxa"/>
            <w:tcBorders>
              <w:top w:val="single" w:sz="4" w:space="0" w:color="auto"/>
              <w:left w:val="single" w:sz="4" w:space="0" w:color="auto"/>
              <w:bottom w:val="single" w:sz="4" w:space="0" w:color="auto"/>
              <w:right w:val="single" w:sz="4" w:space="0" w:color="auto"/>
            </w:tcBorders>
          </w:tcPr>
          <w:p w14:paraId="7C4D8573" w14:textId="77777777" w:rsidR="00E76DEB" w:rsidRPr="00E76DEB" w:rsidRDefault="00E76DEB" w:rsidP="00E76DEB">
            <w:pPr>
              <w:ind w:right="624"/>
              <w:jc w:val="right"/>
              <w:rPr>
                <w:sz w:val="20"/>
                <w:szCs w:val="20"/>
              </w:rPr>
            </w:pPr>
            <w:r w:rsidRPr="00E76DEB">
              <w:rPr>
                <w:sz w:val="20"/>
                <w:szCs w:val="20"/>
              </w:rPr>
              <w:t>5.96</w:t>
            </w:r>
          </w:p>
        </w:tc>
        <w:tc>
          <w:tcPr>
            <w:tcW w:w="222" w:type="dxa"/>
            <w:tcBorders>
              <w:left w:val="single" w:sz="4" w:space="0" w:color="auto"/>
              <w:right w:val="single" w:sz="4" w:space="0" w:color="auto"/>
            </w:tcBorders>
          </w:tcPr>
          <w:p w14:paraId="45059658"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02659AB2" w14:textId="77777777" w:rsidR="00E76DEB" w:rsidRPr="00E76DEB" w:rsidRDefault="00E76DEB" w:rsidP="00E76DEB">
            <w:pPr>
              <w:ind w:right="624"/>
              <w:rPr>
                <w:sz w:val="20"/>
                <w:szCs w:val="20"/>
              </w:rPr>
            </w:pPr>
            <w:r w:rsidRPr="00E76DEB">
              <w:rPr>
                <w:sz w:val="20"/>
                <w:szCs w:val="20"/>
              </w:rPr>
              <w:t>MetLife</w:t>
            </w:r>
          </w:p>
        </w:tc>
        <w:tc>
          <w:tcPr>
            <w:tcW w:w="1701" w:type="dxa"/>
            <w:tcBorders>
              <w:top w:val="single" w:sz="4" w:space="0" w:color="auto"/>
              <w:left w:val="single" w:sz="4" w:space="0" w:color="auto"/>
              <w:bottom w:val="single" w:sz="4" w:space="0" w:color="auto"/>
              <w:right w:val="single" w:sz="4" w:space="0" w:color="auto"/>
            </w:tcBorders>
          </w:tcPr>
          <w:p w14:paraId="0EEC4149" w14:textId="77777777" w:rsidR="00E76DEB" w:rsidRPr="00E76DEB" w:rsidRDefault="00E76DEB" w:rsidP="00E76DEB">
            <w:pPr>
              <w:ind w:right="624"/>
              <w:jc w:val="right"/>
              <w:rPr>
                <w:sz w:val="20"/>
                <w:szCs w:val="20"/>
              </w:rPr>
            </w:pPr>
            <w:r w:rsidRPr="00E76DEB">
              <w:rPr>
                <w:sz w:val="20"/>
                <w:szCs w:val="20"/>
              </w:rPr>
              <w:t>7.82</w:t>
            </w:r>
          </w:p>
        </w:tc>
      </w:tr>
      <w:tr w:rsidR="00E76DEB" w:rsidRPr="00E76DEB" w14:paraId="308746F0"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16FEA4BF" w14:textId="77777777" w:rsidR="00E76DEB" w:rsidRPr="00E76DEB" w:rsidRDefault="00E76DEB" w:rsidP="00E76DEB">
            <w:pPr>
              <w:rPr>
                <w:sz w:val="20"/>
                <w:szCs w:val="20"/>
              </w:rPr>
            </w:pPr>
            <w:r w:rsidRPr="00E76DEB">
              <w:rPr>
                <w:sz w:val="20"/>
                <w:szCs w:val="20"/>
              </w:rPr>
              <w:t>Metlife</w:t>
            </w:r>
          </w:p>
        </w:tc>
        <w:tc>
          <w:tcPr>
            <w:tcW w:w="1756" w:type="dxa"/>
            <w:tcBorders>
              <w:top w:val="single" w:sz="4" w:space="0" w:color="auto"/>
              <w:left w:val="single" w:sz="4" w:space="0" w:color="auto"/>
              <w:bottom w:val="single" w:sz="4" w:space="0" w:color="auto"/>
              <w:right w:val="single" w:sz="4" w:space="0" w:color="auto"/>
            </w:tcBorders>
          </w:tcPr>
          <w:p w14:paraId="4202F0FA" w14:textId="77777777" w:rsidR="00E76DEB" w:rsidRPr="00E76DEB" w:rsidRDefault="00E76DEB" w:rsidP="00E76DEB">
            <w:pPr>
              <w:ind w:right="624"/>
              <w:jc w:val="right"/>
              <w:rPr>
                <w:sz w:val="20"/>
                <w:szCs w:val="20"/>
              </w:rPr>
            </w:pPr>
            <w:r w:rsidRPr="00E76DEB">
              <w:rPr>
                <w:sz w:val="20"/>
                <w:szCs w:val="20"/>
              </w:rPr>
              <w:t>5.66</w:t>
            </w:r>
          </w:p>
        </w:tc>
        <w:tc>
          <w:tcPr>
            <w:tcW w:w="222" w:type="dxa"/>
            <w:tcBorders>
              <w:left w:val="single" w:sz="4" w:space="0" w:color="auto"/>
              <w:right w:val="single" w:sz="4" w:space="0" w:color="auto"/>
            </w:tcBorders>
          </w:tcPr>
          <w:p w14:paraId="05E38C80"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0591D0A3" w14:textId="77777777" w:rsidR="00E76DEB" w:rsidRPr="00E76DEB" w:rsidRDefault="00E76DEB" w:rsidP="00E76DEB">
            <w:pPr>
              <w:ind w:right="624"/>
              <w:rPr>
                <w:sz w:val="20"/>
                <w:szCs w:val="20"/>
              </w:rPr>
            </w:pPr>
            <w:r w:rsidRPr="00E76DEB">
              <w:rPr>
                <w:sz w:val="20"/>
                <w:szCs w:val="20"/>
              </w:rPr>
              <w:t>Invercap</w:t>
            </w:r>
          </w:p>
        </w:tc>
        <w:tc>
          <w:tcPr>
            <w:tcW w:w="1701" w:type="dxa"/>
            <w:tcBorders>
              <w:top w:val="single" w:sz="4" w:space="0" w:color="auto"/>
              <w:left w:val="single" w:sz="4" w:space="0" w:color="auto"/>
              <w:bottom w:val="single" w:sz="4" w:space="0" w:color="auto"/>
              <w:right w:val="single" w:sz="4" w:space="0" w:color="auto"/>
            </w:tcBorders>
          </w:tcPr>
          <w:p w14:paraId="45FDB14A" w14:textId="77777777" w:rsidR="00E76DEB" w:rsidRPr="00E76DEB" w:rsidRDefault="00E76DEB" w:rsidP="00E76DEB">
            <w:pPr>
              <w:ind w:right="624"/>
              <w:jc w:val="right"/>
              <w:rPr>
                <w:sz w:val="20"/>
                <w:szCs w:val="20"/>
              </w:rPr>
            </w:pPr>
            <w:r w:rsidRPr="00E76DEB">
              <w:rPr>
                <w:sz w:val="20"/>
                <w:szCs w:val="20"/>
              </w:rPr>
              <w:t>7.63</w:t>
            </w:r>
          </w:p>
        </w:tc>
      </w:tr>
      <w:tr w:rsidR="00E76DEB" w:rsidRPr="00E76DEB" w14:paraId="598A1C33"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50B943F9" w14:textId="77777777" w:rsidR="00E76DEB" w:rsidRPr="00E76DEB" w:rsidRDefault="00E76DEB" w:rsidP="00E76DEB">
            <w:pPr>
              <w:rPr>
                <w:sz w:val="20"/>
                <w:szCs w:val="20"/>
              </w:rPr>
            </w:pPr>
            <w:r w:rsidRPr="00E76DEB">
              <w:rPr>
                <w:sz w:val="20"/>
                <w:szCs w:val="20"/>
              </w:rPr>
              <w:t>Principal</w:t>
            </w:r>
          </w:p>
        </w:tc>
        <w:tc>
          <w:tcPr>
            <w:tcW w:w="1756" w:type="dxa"/>
            <w:tcBorders>
              <w:top w:val="single" w:sz="4" w:space="0" w:color="auto"/>
              <w:left w:val="single" w:sz="4" w:space="0" w:color="auto"/>
              <w:bottom w:val="single" w:sz="4" w:space="0" w:color="auto"/>
              <w:right w:val="single" w:sz="4" w:space="0" w:color="auto"/>
            </w:tcBorders>
          </w:tcPr>
          <w:p w14:paraId="6E7178AD" w14:textId="77777777" w:rsidR="00E76DEB" w:rsidRPr="00E76DEB" w:rsidRDefault="00E76DEB" w:rsidP="00E76DEB">
            <w:pPr>
              <w:ind w:right="624"/>
              <w:jc w:val="right"/>
              <w:rPr>
                <w:sz w:val="20"/>
                <w:szCs w:val="20"/>
              </w:rPr>
            </w:pPr>
            <w:r w:rsidRPr="00E76DEB">
              <w:rPr>
                <w:sz w:val="20"/>
                <w:szCs w:val="20"/>
              </w:rPr>
              <w:t>5.58</w:t>
            </w:r>
          </w:p>
        </w:tc>
        <w:tc>
          <w:tcPr>
            <w:tcW w:w="222" w:type="dxa"/>
            <w:tcBorders>
              <w:left w:val="single" w:sz="4" w:space="0" w:color="auto"/>
              <w:right w:val="single" w:sz="4" w:space="0" w:color="auto"/>
            </w:tcBorders>
          </w:tcPr>
          <w:p w14:paraId="122F8128"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437A9C32" w14:textId="77777777" w:rsidR="00E76DEB" w:rsidRPr="00E76DEB" w:rsidRDefault="00E76DEB" w:rsidP="00E76DEB">
            <w:pPr>
              <w:ind w:right="624"/>
              <w:rPr>
                <w:sz w:val="20"/>
                <w:szCs w:val="20"/>
              </w:rPr>
            </w:pPr>
            <w:r w:rsidRPr="00E76DEB">
              <w:rPr>
                <w:sz w:val="20"/>
                <w:szCs w:val="20"/>
              </w:rPr>
              <w:t>Principal</w:t>
            </w:r>
          </w:p>
        </w:tc>
        <w:tc>
          <w:tcPr>
            <w:tcW w:w="1701" w:type="dxa"/>
            <w:tcBorders>
              <w:top w:val="single" w:sz="4" w:space="0" w:color="auto"/>
              <w:left w:val="single" w:sz="4" w:space="0" w:color="auto"/>
              <w:bottom w:val="single" w:sz="4" w:space="0" w:color="auto"/>
              <w:right w:val="single" w:sz="4" w:space="0" w:color="auto"/>
            </w:tcBorders>
          </w:tcPr>
          <w:p w14:paraId="51C6FAA3" w14:textId="77777777" w:rsidR="00E76DEB" w:rsidRPr="00E76DEB" w:rsidRDefault="00E76DEB" w:rsidP="00E76DEB">
            <w:pPr>
              <w:ind w:right="624"/>
              <w:jc w:val="right"/>
              <w:rPr>
                <w:sz w:val="20"/>
                <w:szCs w:val="20"/>
              </w:rPr>
            </w:pPr>
            <w:r w:rsidRPr="00E76DEB">
              <w:rPr>
                <w:sz w:val="20"/>
                <w:szCs w:val="20"/>
              </w:rPr>
              <w:t>7.33</w:t>
            </w:r>
          </w:p>
        </w:tc>
      </w:tr>
      <w:tr w:rsidR="00E76DEB" w:rsidRPr="00E76DEB" w14:paraId="7C586119"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268BA54" w14:textId="77777777" w:rsidR="00E76DEB" w:rsidRPr="00E76DEB" w:rsidRDefault="00E76DEB" w:rsidP="00E76DEB">
            <w:pPr>
              <w:rPr>
                <w:sz w:val="20"/>
                <w:szCs w:val="20"/>
              </w:rPr>
            </w:pPr>
            <w:r w:rsidRPr="00E76DEB">
              <w:rPr>
                <w:sz w:val="20"/>
                <w:szCs w:val="20"/>
              </w:rPr>
              <w:t>Azteca</w:t>
            </w:r>
          </w:p>
        </w:tc>
        <w:tc>
          <w:tcPr>
            <w:tcW w:w="1756" w:type="dxa"/>
            <w:tcBorders>
              <w:top w:val="single" w:sz="4" w:space="0" w:color="auto"/>
              <w:left w:val="single" w:sz="4" w:space="0" w:color="auto"/>
              <w:bottom w:val="single" w:sz="4" w:space="0" w:color="auto"/>
              <w:right w:val="single" w:sz="4" w:space="0" w:color="auto"/>
            </w:tcBorders>
          </w:tcPr>
          <w:p w14:paraId="26C0EE47" w14:textId="77777777" w:rsidR="00E76DEB" w:rsidRPr="00E76DEB" w:rsidRDefault="00E76DEB" w:rsidP="00E76DEB">
            <w:pPr>
              <w:ind w:right="624"/>
              <w:jc w:val="right"/>
              <w:rPr>
                <w:sz w:val="20"/>
                <w:szCs w:val="20"/>
              </w:rPr>
            </w:pPr>
            <w:r w:rsidRPr="00E76DEB">
              <w:rPr>
                <w:sz w:val="20"/>
                <w:szCs w:val="20"/>
              </w:rPr>
              <w:t>5.41</w:t>
            </w:r>
          </w:p>
        </w:tc>
        <w:tc>
          <w:tcPr>
            <w:tcW w:w="222" w:type="dxa"/>
            <w:tcBorders>
              <w:left w:val="single" w:sz="4" w:space="0" w:color="auto"/>
              <w:right w:val="single" w:sz="4" w:space="0" w:color="auto"/>
            </w:tcBorders>
          </w:tcPr>
          <w:p w14:paraId="5281D164"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594ABAA0" w14:textId="77777777" w:rsidR="00E76DEB" w:rsidRPr="00E76DEB" w:rsidRDefault="00E76DEB" w:rsidP="00E76DEB">
            <w:pPr>
              <w:ind w:right="624"/>
              <w:rPr>
                <w:sz w:val="20"/>
                <w:szCs w:val="20"/>
              </w:rPr>
            </w:pPr>
            <w:r w:rsidRPr="00E76DEB">
              <w:rPr>
                <w:sz w:val="20"/>
                <w:szCs w:val="20"/>
              </w:rPr>
              <w:t>Azteca</w:t>
            </w:r>
          </w:p>
        </w:tc>
        <w:tc>
          <w:tcPr>
            <w:tcW w:w="1701" w:type="dxa"/>
            <w:tcBorders>
              <w:top w:val="single" w:sz="4" w:space="0" w:color="auto"/>
              <w:left w:val="single" w:sz="4" w:space="0" w:color="auto"/>
              <w:bottom w:val="single" w:sz="4" w:space="0" w:color="auto"/>
              <w:right w:val="single" w:sz="4" w:space="0" w:color="auto"/>
            </w:tcBorders>
          </w:tcPr>
          <w:p w14:paraId="22E6690A" w14:textId="77777777" w:rsidR="00E76DEB" w:rsidRPr="00E76DEB" w:rsidRDefault="00E76DEB" w:rsidP="00E76DEB">
            <w:pPr>
              <w:ind w:right="624"/>
              <w:jc w:val="right"/>
              <w:rPr>
                <w:sz w:val="20"/>
                <w:szCs w:val="20"/>
              </w:rPr>
            </w:pPr>
            <w:r w:rsidRPr="00E76DEB">
              <w:rPr>
                <w:sz w:val="20"/>
                <w:szCs w:val="20"/>
              </w:rPr>
              <w:t>6.77</w:t>
            </w:r>
          </w:p>
        </w:tc>
      </w:tr>
      <w:tr w:rsidR="00E76DEB" w:rsidRPr="00E76DEB" w14:paraId="6D922440"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6591EC53" w14:textId="77777777" w:rsidR="00E76DEB" w:rsidRPr="00E76DEB" w:rsidRDefault="00E76DEB" w:rsidP="00E76DEB">
            <w:pPr>
              <w:rPr>
                <w:sz w:val="20"/>
                <w:szCs w:val="20"/>
              </w:rPr>
            </w:pPr>
            <w:r w:rsidRPr="00E76DEB">
              <w:rPr>
                <w:sz w:val="20"/>
                <w:szCs w:val="20"/>
              </w:rPr>
              <w:t>Coppel</w:t>
            </w:r>
          </w:p>
        </w:tc>
        <w:tc>
          <w:tcPr>
            <w:tcW w:w="1756" w:type="dxa"/>
            <w:tcBorders>
              <w:top w:val="single" w:sz="4" w:space="0" w:color="auto"/>
              <w:left w:val="single" w:sz="4" w:space="0" w:color="auto"/>
              <w:bottom w:val="single" w:sz="4" w:space="0" w:color="auto"/>
              <w:right w:val="single" w:sz="4" w:space="0" w:color="auto"/>
            </w:tcBorders>
          </w:tcPr>
          <w:p w14:paraId="2A2409E4" w14:textId="77777777" w:rsidR="00E76DEB" w:rsidRPr="00E76DEB" w:rsidRDefault="00E76DEB" w:rsidP="00E76DEB">
            <w:pPr>
              <w:ind w:right="624"/>
              <w:jc w:val="right"/>
              <w:rPr>
                <w:sz w:val="20"/>
                <w:szCs w:val="20"/>
              </w:rPr>
            </w:pPr>
            <w:r w:rsidRPr="00E76DEB">
              <w:rPr>
                <w:sz w:val="20"/>
                <w:szCs w:val="20"/>
              </w:rPr>
              <w:t>4.76</w:t>
            </w:r>
          </w:p>
        </w:tc>
        <w:tc>
          <w:tcPr>
            <w:tcW w:w="222" w:type="dxa"/>
            <w:tcBorders>
              <w:left w:val="single" w:sz="4" w:space="0" w:color="auto"/>
              <w:right w:val="single" w:sz="4" w:space="0" w:color="auto"/>
            </w:tcBorders>
          </w:tcPr>
          <w:p w14:paraId="439C2C38"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5959499E" w14:textId="77777777" w:rsidR="00E76DEB" w:rsidRPr="00E76DEB" w:rsidRDefault="00E76DEB" w:rsidP="00E76DEB">
            <w:pPr>
              <w:ind w:right="624"/>
              <w:rPr>
                <w:sz w:val="20"/>
                <w:szCs w:val="20"/>
              </w:rPr>
            </w:pPr>
            <w:r w:rsidRPr="00E76DEB">
              <w:rPr>
                <w:sz w:val="20"/>
                <w:szCs w:val="20"/>
              </w:rPr>
              <w:t>Coppel</w:t>
            </w:r>
          </w:p>
        </w:tc>
        <w:tc>
          <w:tcPr>
            <w:tcW w:w="1701" w:type="dxa"/>
            <w:tcBorders>
              <w:top w:val="single" w:sz="4" w:space="0" w:color="auto"/>
              <w:left w:val="single" w:sz="4" w:space="0" w:color="auto"/>
              <w:bottom w:val="single" w:sz="4" w:space="0" w:color="auto"/>
              <w:right w:val="single" w:sz="4" w:space="0" w:color="auto"/>
            </w:tcBorders>
          </w:tcPr>
          <w:p w14:paraId="516A141B" w14:textId="77777777" w:rsidR="00E76DEB" w:rsidRPr="00E76DEB" w:rsidRDefault="00E76DEB" w:rsidP="00E76DEB">
            <w:pPr>
              <w:ind w:right="624"/>
              <w:jc w:val="right"/>
              <w:rPr>
                <w:sz w:val="20"/>
                <w:szCs w:val="20"/>
              </w:rPr>
            </w:pPr>
            <w:r w:rsidRPr="00E76DEB">
              <w:rPr>
                <w:sz w:val="20"/>
                <w:szCs w:val="20"/>
              </w:rPr>
              <w:t>6.76</w:t>
            </w:r>
          </w:p>
        </w:tc>
      </w:tr>
      <w:tr w:rsidR="00E76DEB" w:rsidRPr="00E76DEB" w14:paraId="7B999D12"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1A85A04A" w14:textId="77777777" w:rsidR="00E76DEB" w:rsidRPr="00E76DEB" w:rsidRDefault="00E76DEB" w:rsidP="00E76DEB">
            <w:pPr>
              <w:rPr>
                <w:sz w:val="20"/>
                <w:szCs w:val="20"/>
              </w:rPr>
            </w:pPr>
            <w:r w:rsidRPr="00E76DEB">
              <w:rPr>
                <w:sz w:val="20"/>
                <w:szCs w:val="20"/>
              </w:rPr>
              <w:t>Inbursa</w:t>
            </w:r>
          </w:p>
        </w:tc>
        <w:tc>
          <w:tcPr>
            <w:tcW w:w="1756" w:type="dxa"/>
            <w:tcBorders>
              <w:top w:val="single" w:sz="4" w:space="0" w:color="auto"/>
              <w:left w:val="single" w:sz="4" w:space="0" w:color="auto"/>
              <w:bottom w:val="single" w:sz="4" w:space="0" w:color="auto"/>
              <w:right w:val="single" w:sz="4" w:space="0" w:color="auto"/>
            </w:tcBorders>
          </w:tcPr>
          <w:p w14:paraId="1363063C" w14:textId="77777777" w:rsidR="00E76DEB" w:rsidRPr="00E76DEB" w:rsidRDefault="00E76DEB" w:rsidP="00E76DEB">
            <w:pPr>
              <w:ind w:right="624"/>
              <w:jc w:val="right"/>
              <w:rPr>
                <w:sz w:val="20"/>
                <w:szCs w:val="20"/>
              </w:rPr>
            </w:pPr>
            <w:r w:rsidRPr="00E76DEB">
              <w:rPr>
                <w:sz w:val="20"/>
                <w:szCs w:val="20"/>
              </w:rPr>
              <w:t>4.66</w:t>
            </w:r>
          </w:p>
        </w:tc>
        <w:tc>
          <w:tcPr>
            <w:tcW w:w="222" w:type="dxa"/>
            <w:tcBorders>
              <w:left w:val="single" w:sz="4" w:space="0" w:color="auto"/>
              <w:right w:val="single" w:sz="4" w:space="0" w:color="auto"/>
            </w:tcBorders>
          </w:tcPr>
          <w:p w14:paraId="58F2ECFC"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7A7A5A6F" w14:textId="77777777" w:rsidR="00E76DEB" w:rsidRPr="00E76DEB" w:rsidRDefault="00E76DEB" w:rsidP="00E76DEB">
            <w:pPr>
              <w:ind w:right="624"/>
              <w:rPr>
                <w:sz w:val="20"/>
                <w:szCs w:val="20"/>
              </w:rPr>
            </w:pPr>
            <w:r w:rsidRPr="00E76DEB">
              <w:rPr>
                <w:sz w:val="20"/>
                <w:szCs w:val="20"/>
              </w:rPr>
              <w:t>Inbursa</w:t>
            </w:r>
          </w:p>
        </w:tc>
        <w:tc>
          <w:tcPr>
            <w:tcW w:w="1701" w:type="dxa"/>
            <w:tcBorders>
              <w:top w:val="single" w:sz="4" w:space="0" w:color="auto"/>
              <w:left w:val="single" w:sz="4" w:space="0" w:color="auto"/>
              <w:bottom w:val="single" w:sz="4" w:space="0" w:color="auto"/>
              <w:right w:val="single" w:sz="4" w:space="0" w:color="auto"/>
            </w:tcBorders>
          </w:tcPr>
          <w:p w14:paraId="42EC3AD4" w14:textId="77777777" w:rsidR="00E76DEB" w:rsidRPr="00E76DEB" w:rsidRDefault="00E76DEB" w:rsidP="00E76DEB">
            <w:pPr>
              <w:ind w:right="624"/>
              <w:jc w:val="right"/>
              <w:rPr>
                <w:sz w:val="20"/>
                <w:szCs w:val="20"/>
              </w:rPr>
            </w:pPr>
            <w:r w:rsidRPr="00E76DEB">
              <w:rPr>
                <w:sz w:val="20"/>
                <w:szCs w:val="20"/>
              </w:rPr>
              <w:t>4.85</w:t>
            </w:r>
          </w:p>
        </w:tc>
      </w:tr>
      <w:tr w:rsidR="00E76DEB" w:rsidRPr="00E76DEB" w14:paraId="232CA38B"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F2BB55F" w14:textId="77777777" w:rsidR="00E76DEB" w:rsidRPr="00E76DEB" w:rsidRDefault="00E76DEB" w:rsidP="00E76DEB">
            <w:pPr>
              <w:rPr>
                <w:b/>
                <w:sz w:val="20"/>
                <w:szCs w:val="20"/>
              </w:rPr>
            </w:pPr>
            <w:r w:rsidRPr="00E76DEB">
              <w:rPr>
                <w:b/>
                <w:sz w:val="20"/>
                <w:szCs w:val="20"/>
              </w:rPr>
              <w:t>Promedio Simple</w:t>
            </w:r>
          </w:p>
        </w:tc>
        <w:tc>
          <w:tcPr>
            <w:tcW w:w="1756" w:type="dxa"/>
            <w:tcBorders>
              <w:top w:val="single" w:sz="4" w:space="0" w:color="auto"/>
              <w:left w:val="single" w:sz="4" w:space="0" w:color="auto"/>
              <w:bottom w:val="single" w:sz="4" w:space="0" w:color="auto"/>
              <w:right w:val="single" w:sz="4" w:space="0" w:color="auto"/>
            </w:tcBorders>
          </w:tcPr>
          <w:p w14:paraId="5AD9E4D6" w14:textId="77777777" w:rsidR="00E76DEB" w:rsidRPr="00E76DEB" w:rsidRDefault="00E76DEB" w:rsidP="00E76DEB">
            <w:pPr>
              <w:ind w:right="624"/>
              <w:jc w:val="right"/>
              <w:rPr>
                <w:b/>
                <w:sz w:val="20"/>
                <w:szCs w:val="20"/>
              </w:rPr>
            </w:pPr>
            <w:r w:rsidRPr="00E76DEB">
              <w:rPr>
                <w:b/>
                <w:sz w:val="20"/>
                <w:szCs w:val="20"/>
              </w:rPr>
              <w:t>5.91</w:t>
            </w:r>
          </w:p>
        </w:tc>
        <w:tc>
          <w:tcPr>
            <w:tcW w:w="222" w:type="dxa"/>
            <w:tcBorders>
              <w:left w:val="single" w:sz="4" w:space="0" w:color="auto"/>
              <w:right w:val="single" w:sz="4" w:space="0" w:color="auto"/>
            </w:tcBorders>
          </w:tcPr>
          <w:p w14:paraId="742CD216" w14:textId="77777777" w:rsidR="00E76DEB" w:rsidRPr="00E76DEB" w:rsidRDefault="00E76DEB" w:rsidP="00E76DEB">
            <w:pPr>
              <w:ind w:right="624"/>
              <w:jc w:val="right"/>
              <w:rPr>
                <w:b/>
                <w:sz w:val="20"/>
                <w:szCs w:val="20"/>
              </w:rPr>
            </w:pPr>
          </w:p>
        </w:tc>
        <w:tc>
          <w:tcPr>
            <w:tcW w:w="2341" w:type="dxa"/>
            <w:tcBorders>
              <w:top w:val="single" w:sz="4" w:space="0" w:color="auto"/>
              <w:left w:val="single" w:sz="4" w:space="0" w:color="auto"/>
              <w:bottom w:val="single" w:sz="4" w:space="0" w:color="auto"/>
              <w:right w:val="single" w:sz="4" w:space="0" w:color="auto"/>
            </w:tcBorders>
          </w:tcPr>
          <w:p w14:paraId="768488DB" w14:textId="77777777" w:rsidR="00E76DEB" w:rsidRPr="00E76DEB" w:rsidRDefault="00E76DEB" w:rsidP="00E76DEB">
            <w:pPr>
              <w:ind w:right="624"/>
              <w:rPr>
                <w:b/>
                <w:sz w:val="20"/>
                <w:szCs w:val="20"/>
              </w:rPr>
            </w:pPr>
            <w:r w:rsidRPr="00E76DEB">
              <w:rPr>
                <w:b/>
                <w:sz w:val="20"/>
                <w:szCs w:val="20"/>
              </w:rPr>
              <w:t>Promedio Simple</w:t>
            </w:r>
          </w:p>
        </w:tc>
        <w:tc>
          <w:tcPr>
            <w:tcW w:w="1701" w:type="dxa"/>
            <w:tcBorders>
              <w:top w:val="single" w:sz="4" w:space="0" w:color="auto"/>
              <w:left w:val="single" w:sz="4" w:space="0" w:color="auto"/>
              <w:bottom w:val="single" w:sz="4" w:space="0" w:color="auto"/>
              <w:right w:val="single" w:sz="4" w:space="0" w:color="auto"/>
            </w:tcBorders>
          </w:tcPr>
          <w:p w14:paraId="558324EE" w14:textId="77777777" w:rsidR="00E76DEB" w:rsidRPr="00E76DEB" w:rsidRDefault="00E76DEB" w:rsidP="00E76DEB">
            <w:pPr>
              <w:ind w:right="624"/>
              <w:jc w:val="right"/>
              <w:rPr>
                <w:b/>
                <w:sz w:val="20"/>
                <w:szCs w:val="20"/>
              </w:rPr>
            </w:pPr>
            <w:r w:rsidRPr="00E76DEB">
              <w:rPr>
                <w:b/>
                <w:sz w:val="20"/>
                <w:szCs w:val="20"/>
              </w:rPr>
              <w:t>7.67</w:t>
            </w:r>
          </w:p>
        </w:tc>
      </w:tr>
      <w:tr w:rsidR="00E76DEB" w:rsidRPr="00E76DEB" w14:paraId="2F870B5E"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028AC040" w14:textId="77777777" w:rsidR="00E76DEB" w:rsidRPr="00E76DEB" w:rsidRDefault="00E76DEB" w:rsidP="00E76DEB">
            <w:pPr>
              <w:rPr>
                <w:b/>
                <w:sz w:val="20"/>
                <w:szCs w:val="20"/>
              </w:rPr>
            </w:pPr>
            <w:r w:rsidRPr="00E76DEB">
              <w:rPr>
                <w:b/>
                <w:sz w:val="20"/>
                <w:szCs w:val="20"/>
              </w:rPr>
              <w:t>Promedio Ponderado*</w:t>
            </w:r>
          </w:p>
        </w:tc>
        <w:tc>
          <w:tcPr>
            <w:tcW w:w="1756" w:type="dxa"/>
            <w:tcBorders>
              <w:top w:val="single" w:sz="4" w:space="0" w:color="auto"/>
              <w:left w:val="single" w:sz="4" w:space="0" w:color="auto"/>
              <w:bottom w:val="single" w:sz="4" w:space="0" w:color="auto"/>
              <w:right w:val="single" w:sz="4" w:space="0" w:color="auto"/>
            </w:tcBorders>
          </w:tcPr>
          <w:p w14:paraId="1FFE05EF" w14:textId="77777777" w:rsidR="00E76DEB" w:rsidRPr="00E76DEB" w:rsidRDefault="00E76DEB" w:rsidP="00E76DEB">
            <w:pPr>
              <w:ind w:right="624"/>
              <w:jc w:val="right"/>
              <w:rPr>
                <w:b/>
                <w:sz w:val="20"/>
                <w:szCs w:val="20"/>
              </w:rPr>
            </w:pPr>
            <w:r w:rsidRPr="00E76DEB">
              <w:rPr>
                <w:b/>
                <w:sz w:val="20"/>
                <w:szCs w:val="20"/>
              </w:rPr>
              <w:t>6.24</w:t>
            </w:r>
          </w:p>
        </w:tc>
        <w:tc>
          <w:tcPr>
            <w:tcW w:w="222" w:type="dxa"/>
            <w:tcBorders>
              <w:left w:val="single" w:sz="4" w:space="0" w:color="auto"/>
              <w:right w:val="single" w:sz="4" w:space="0" w:color="auto"/>
            </w:tcBorders>
          </w:tcPr>
          <w:p w14:paraId="6F365B85" w14:textId="77777777" w:rsidR="00E76DEB" w:rsidRPr="00E76DEB" w:rsidRDefault="00E76DEB" w:rsidP="00E76DEB">
            <w:pPr>
              <w:ind w:right="624"/>
              <w:jc w:val="right"/>
              <w:rPr>
                <w:b/>
                <w:sz w:val="20"/>
                <w:szCs w:val="20"/>
              </w:rPr>
            </w:pPr>
          </w:p>
        </w:tc>
        <w:tc>
          <w:tcPr>
            <w:tcW w:w="2341" w:type="dxa"/>
            <w:tcBorders>
              <w:top w:val="single" w:sz="4" w:space="0" w:color="auto"/>
              <w:left w:val="single" w:sz="4" w:space="0" w:color="auto"/>
              <w:bottom w:val="single" w:sz="4" w:space="0" w:color="auto"/>
              <w:right w:val="single" w:sz="4" w:space="0" w:color="auto"/>
            </w:tcBorders>
          </w:tcPr>
          <w:p w14:paraId="1361E8EB" w14:textId="77777777" w:rsidR="00E76DEB" w:rsidRPr="00E76DEB" w:rsidRDefault="00E76DEB" w:rsidP="00E76DEB">
            <w:pPr>
              <w:rPr>
                <w:b/>
                <w:sz w:val="20"/>
                <w:szCs w:val="20"/>
              </w:rPr>
            </w:pPr>
            <w:r w:rsidRPr="00E76DEB">
              <w:rPr>
                <w:b/>
                <w:sz w:val="20"/>
                <w:szCs w:val="20"/>
              </w:rPr>
              <w:t>Promedio Ponderado*</w:t>
            </w:r>
          </w:p>
        </w:tc>
        <w:tc>
          <w:tcPr>
            <w:tcW w:w="1701" w:type="dxa"/>
            <w:tcBorders>
              <w:top w:val="single" w:sz="4" w:space="0" w:color="auto"/>
              <w:left w:val="single" w:sz="4" w:space="0" w:color="auto"/>
              <w:bottom w:val="single" w:sz="4" w:space="0" w:color="auto"/>
              <w:right w:val="single" w:sz="4" w:space="0" w:color="auto"/>
            </w:tcBorders>
          </w:tcPr>
          <w:p w14:paraId="2E312C8E" w14:textId="77777777" w:rsidR="00E76DEB" w:rsidRPr="00E76DEB" w:rsidRDefault="00E76DEB" w:rsidP="00E76DEB">
            <w:pPr>
              <w:ind w:right="624"/>
              <w:jc w:val="right"/>
              <w:rPr>
                <w:b/>
                <w:sz w:val="20"/>
                <w:szCs w:val="20"/>
              </w:rPr>
            </w:pPr>
            <w:r w:rsidRPr="00E76DEB">
              <w:rPr>
                <w:b/>
                <w:sz w:val="20"/>
                <w:szCs w:val="20"/>
              </w:rPr>
              <w:t>8.09</w:t>
            </w:r>
          </w:p>
        </w:tc>
      </w:tr>
    </w:tbl>
    <w:p w14:paraId="6ACBEF6F" w14:textId="77777777" w:rsidR="00E76DEB" w:rsidRPr="00E76DEB" w:rsidRDefault="00E76DEB" w:rsidP="00E76DEB">
      <w:pPr>
        <w:spacing w:after="120"/>
        <w:ind w:right="-159"/>
        <w:jc w:val="both"/>
        <w:rPr>
          <w:sz w:val="26"/>
          <w:szCs w:val="26"/>
        </w:rPr>
      </w:pPr>
    </w:p>
    <w:tbl>
      <w:tblPr>
        <w:tblW w:w="0" w:type="auto"/>
        <w:jc w:val="center"/>
        <w:tblLook w:val="04A0" w:firstRow="1" w:lastRow="0" w:firstColumn="1" w:lastColumn="0" w:noHBand="0" w:noVBand="1"/>
      </w:tblPr>
      <w:tblGrid>
        <w:gridCol w:w="2344"/>
        <w:gridCol w:w="1756"/>
        <w:gridCol w:w="222"/>
        <w:gridCol w:w="2341"/>
        <w:gridCol w:w="1701"/>
      </w:tblGrid>
      <w:tr w:rsidR="00E76DEB" w:rsidRPr="00E76DEB" w14:paraId="7513EC79" w14:textId="77777777" w:rsidTr="00E76DEB">
        <w:trPr>
          <w:jc w:val="center"/>
        </w:trPr>
        <w:tc>
          <w:tcPr>
            <w:tcW w:w="4100" w:type="dxa"/>
            <w:gridSpan w:val="2"/>
            <w:tcBorders>
              <w:top w:val="single" w:sz="4" w:space="0" w:color="auto"/>
              <w:left w:val="single" w:sz="4" w:space="0" w:color="auto"/>
              <w:bottom w:val="single" w:sz="4" w:space="0" w:color="auto"/>
              <w:right w:val="single" w:sz="4" w:space="0" w:color="auto"/>
            </w:tcBorders>
            <w:vAlign w:val="center"/>
          </w:tcPr>
          <w:p w14:paraId="2CAD70CF" w14:textId="77777777" w:rsidR="00E76DEB" w:rsidRPr="00E76DEB" w:rsidRDefault="00E76DEB" w:rsidP="00E76DEB">
            <w:pPr>
              <w:jc w:val="center"/>
              <w:rPr>
                <w:b/>
                <w:sz w:val="20"/>
                <w:szCs w:val="20"/>
              </w:rPr>
            </w:pPr>
            <w:r w:rsidRPr="00E76DEB">
              <w:rPr>
                <w:b/>
                <w:sz w:val="20"/>
                <w:szCs w:val="20"/>
              </w:rPr>
              <w:t>RENDIMIENTO NETO DE LA SB3</w:t>
            </w:r>
          </w:p>
          <w:p w14:paraId="14CD75DE" w14:textId="77777777" w:rsidR="00E76DEB" w:rsidRPr="00E76DEB" w:rsidRDefault="00E76DEB" w:rsidP="00E76DEB">
            <w:pPr>
              <w:jc w:val="center"/>
              <w:rPr>
                <w:b/>
                <w:sz w:val="20"/>
                <w:szCs w:val="20"/>
              </w:rPr>
            </w:pPr>
            <w:r w:rsidRPr="00E76DEB">
              <w:rPr>
                <w:b/>
                <w:sz w:val="20"/>
                <w:szCs w:val="20"/>
              </w:rPr>
              <w:t>37 a 45 años</w:t>
            </w:r>
          </w:p>
          <w:p w14:paraId="292F6FC3" w14:textId="77777777" w:rsidR="00E76DEB" w:rsidRPr="00E76DEB" w:rsidRDefault="00E76DEB" w:rsidP="00E76DEB">
            <w:pPr>
              <w:jc w:val="center"/>
              <w:rPr>
                <w:b/>
                <w:sz w:val="20"/>
                <w:szCs w:val="20"/>
              </w:rPr>
            </w:pPr>
            <w:r w:rsidRPr="00E76DEB">
              <w:rPr>
                <w:b/>
                <w:sz w:val="20"/>
                <w:szCs w:val="20"/>
              </w:rPr>
              <w:t>-Por ciento-</w:t>
            </w:r>
          </w:p>
        </w:tc>
        <w:tc>
          <w:tcPr>
            <w:tcW w:w="222" w:type="dxa"/>
            <w:tcBorders>
              <w:top w:val="nil"/>
              <w:left w:val="single" w:sz="4" w:space="0" w:color="auto"/>
              <w:bottom w:val="nil"/>
              <w:right w:val="single" w:sz="4" w:space="0" w:color="auto"/>
            </w:tcBorders>
          </w:tcPr>
          <w:p w14:paraId="1BDF4277" w14:textId="77777777" w:rsidR="00E76DEB" w:rsidRPr="00E76DEB" w:rsidRDefault="00E76DEB" w:rsidP="00E76DEB">
            <w:pPr>
              <w:jc w:val="center"/>
              <w:rPr>
                <w:b/>
                <w:sz w:val="20"/>
                <w:szCs w:val="20"/>
              </w:rPr>
            </w:pPr>
          </w:p>
        </w:tc>
        <w:tc>
          <w:tcPr>
            <w:tcW w:w="4042" w:type="dxa"/>
            <w:gridSpan w:val="2"/>
            <w:tcBorders>
              <w:top w:val="single" w:sz="4" w:space="0" w:color="auto"/>
              <w:left w:val="single" w:sz="4" w:space="0" w:color="auto"/>
              <w:bottom w:val="single" w:sz="4" w:space="0" w:color="auto"/>
              <w:right w:val="single" w:sz="4" w:space="0" w:color="auto"/>
            </w:tcBorders>
            <w:vAlign w:val="center"/>
          </w:tcPr>
          <w:p w14:paraId="5F0592AA" w14:textId="77777777" w:rsidR="00E76DEB" w:rsidRPr="00E76DEB" w:rsidRDefault="00E76DEB" w:rsidP="00E76DEB">
            <w:pPr>
              <w:jc w:val="center"/>
              <w:rPr>
                <w:b/>
                <w:sz w:val="20"/>
                <w:szCs w:val="20"/>
              </w:rPr>
            </w:pPr>
            <w:r w:rsidRPr="00E76DEB">
              <w:rPr>
                <w:b/>
                <w:sz w:val="20"/>
                <w:szCs w:val="20"/>
              </w:rPr>
              <w:t>RENDIMIENTO NETO DE LA SB4</w:t>
            </w:r>
          </w:p>
          <w:p w14:paraId="73D86FE0" w14:textId="77777777" w:rsidR="00E76DEB" w:rsidRPr="00E76DEB" w:rsidRDefault="00E76DEB" w:rsidP="00E76DEB">
            <w:pPr>
              <w:jc w:val="center"/>
              <w:rPr>
                <w:b/>
                <w:sz w:val="20"/>
                <w:szCs w:val="20"/>
              </w:rPr>
            </w:pPr>
            <w:r w:rsidRPr="00E76DEB">
              <w:rPr>
                <w:b/>
                <w:sz w:val="20"/>
                <w:szCs w:val="20"/>
              </w:rPr>
              <w:t>36 años y menores</w:t>
            </w:r>
          </w:p>
          <w:p w14:paraId="5148E8B3" w14:textId="77777777" w:rsidR="00E76DEB" w:rsidRPr="00E76DEB" w:rsidRDefault="00E76DEB" w:rsidP="00E76DEB">
            <w:pPr>
              <w:jc w:val="center"/>
              <w:rPr>
                <w:b/>
                <w:sz w:val="20"/>
                <w:szCs w:val="20"/>
              </w:rPr>
            </w:pPr>
            <w:r w:rsidRPr="00E76DEB">
              <w:rPr>
                <w:b/>
                <w:sz w:val="20"/>
                <w:szCs w:val="20"/>
              </w:rPr>
              <w:t>-Por ciento-</w:t>
            </w:r>
          </w:p>
        </w:tc>
      </w:tr>
      <w:tr w:rsidR="00E76DEB" w:rsidRPr="00E76DEB" w14:paraId="253DFADE"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vAlign w:val="center"/>
          </w:tcPr>
          <w:p w14:paraId="1863C8CF" w14:textId="77777777" w:rsidR="00E76DEB" w:rsidRPr="00E76DEB" w:rsidRDefault="00E76DEB" w:rsidP="00E76DEB">
            <w:pPr>
              <w:jc w:val="center"/>
              <w:rPr>
                <w:b/>
                <w:sz w:val="20"/>
                <w:szCs w:val="20"/>
              </w:rPr>
            </w:pPr>
            <w:r w:rsidRPr="00E76DEB">
              <w:rPr>
                <w:b/>
                <w:sz w:val="20"/>
                <w:szCs w:val="20"/>
              </w:rPr>
              <w:t>Siefore Básica 3</w:t>
            </w:r>
          </w:p>
        </w:tc>
        <w:tc>
          <w:tcPr>
            <w:tcW w:w="1756" w:type="dxa"/>
            <w:tcBorders>
              <w:top w:val="single" w:sz="4" w:space="0" w:color="auto"/>
              <w:left w:val="single" w:sz="4" w:space="0" w:color="auto"/>
              <w:bottom w:val="single" w:sz="4" w:space="0" w:color="auto"/>
              <w:right w:val="single" w:sz="4" w:space="0" w:color="auto"/>
            </w:tcBorders>
          </w:tcPr>
          <w:p w14:paraId="471B6193" w14:textId="77777777" w:rsidR="00E76DEB" w:rsidRPr="00E76DEB" w:rsidRDefault="00E76DEB" w:rsidP="00E76DEB">
            <w:pPr>
              <w:jc w:val="center"/>
              <w:rPr>
                <w:b/>
                <w:sz w:val="20"/>
                <w:szCs w:val="20"/>
              </w:rPr>
            </w:pPr>
            <w:r w:rsidRPr="00E76DEB">
              <w:rPr>
                <w:b/>
                <w:sz w:val="20"/>
                <w:szCs w:val="20"/>
              </w:rPr>
              <w:t>Rendimiento Neto</w:t>
            </w:r>
          </w:p>
        </w:tc>
        <w:tc>
          <w:tcPr>
            <w:tcW w:w="222" w:type="dxa"/>
            <w:tcBorders>
              <w:top w:val="nil"/>
              <w:left w:val="single" w:sz="4" w:space="0" w:color="auto"/>
              <w:bottom w:val="nil"/>
              <w:right w:val="single" w:sz="4" w:space="0" w:color="auto"/>
            </w:tcBorders>
          </w:tcPr>
          <w:p w14:paraId="007B1CF9" w14:textId="77777777" w:rsidR="00E76DEB" w:rsidRPr="00E76DEB" w:rsidRDefault="00E76DEB" w:rsidP="00E76DEB">
            <w:pPr>
              <w:jc w:val="center"/>
              <w:rPr>
                <w:b/>
                <w:sz w:val="20"/>
                <w:szCs w:val="20"/>
              </w:rPr>
            </w:pPr>
          </w:p>
        </w:tc>
        <w:tc>
          <w:tcPr>
            <w:tcW w:w="2341" w:type="dxa"/>
            <w:tcBorders>
              <w:top w:val="single" w:sz="4" w:space="0" w:color="auto"/>
              <w:left w:val="single" w:sz="4" w:space="0" w:color="auto"/>
              <w:bottom w:val="single" w:sz="4" w:space="0" w:color="auto"/>
              <w:right w:val="single" w:sz="4" w:space="0" w:color="auto"/>
            </w:tcBorders>
            <w:vAlign w:val="center"/>
          </w:tcPr>
          <w:p w14:paraId="0E132466" w14:textId="77777777" w:rsidR="00E76DEB" w:rsidRPr="00E76DEB" w:rsidRDefault="00E76DEB" w:rsidP="00E76DEB">
            <w:pPr>
              <w:jc w:val="center"/>
              <w:rPr>
                <w:b/>
                <w:sz w:val="20"/>
                <w:szCs w:val="20"/>
              </w:rPr>
            </w:pPr>
            <w:r w:rsidRPr="00E76DEB">
              <w:rPr>
                <w:b/>
                <w:sz w:val="20"/>
                <w:szCs w:val="20"/>
              </w:rPr>
              <w:t>Siefore Básica 4</w:t>
            </w:r>
          </w:p>
        </w:tc>
        <w:tc>
          <w:tcPr>
            <w:tcW w:w="1701" w:type="dxa"/>
            <w:tcBorders>
              <w:top w:val="single" w:sz="4" w:space="0" w:color="auto"/>
              <w:left w:val="single" w:sz="4" w:space="0" w:color="auto"/>
              <w:bottom w:val="single" w:sz="4" w:space="0" w:color="auto"/>
              <w:right w:val="single" w:sz="4" w:space="0" w:color="auto"/>
            </w:tcBorders>
          </w:tcPr>
          <w:p w14:paraId="0F68096B" w14:textId="77777777" w:rsidR="00E76DEB" w:rsidRPr="00E76DEB" w:rsidRDefault="00E76DEB" w:rsidP="00E76DEB">
            <w:pPr>
              <w:jc w:val="center"/>
              <w:rPr>
                <w:b/>
                <w:sz w:val="20"/>
                <w:szCs w:val="20"/>
              </w:rPr>
            </w:pPr>
            <w:r w:rsidRPr="00E76DEB">
              <w:rPr>
                <w:b/>
                <w:sz w:val="20"/>
                <w:szCs w:val="20"/>
              </w:rPr>
              <w:t>Rendimiento Neto</w:t>
            </w:r>
          </w:p>
        </w:tc>
      </w:tr>
      <w:tr w:rsidR="00E76DEB" w:rsidRPr="00E76DEB" w14:paraId="7A5C949F"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55CDE031" w14:textId="77777777" w:rsidR="00E76DEB" w:rsidRPr="00E76DEB" w:rsidRDefault="00E76DEB" w:rsidP="00E76DEB">
            <w:pPr>
              <w:rPr>
                <w:sz w:val="20"/>
                <w:szCs w:val="20"/>
              </w:rPr>
            </w:pPr>
            <w:r w:rsidRPr="00E76DEB">
              <w:rPr>
                <w:sz w:val="20"/>
                <w:szCs w:val="20"/>
              </w:rPr>
              <w:t>SURA</w:t>
            </w:r>
          </w:p>
        </w:tc>
        <w:tc>
          <w:tcPr>
            <w:tcW w:w="1756" w:type="dxa"/>
            <w:tcBorders>
              <w:top w:val="single" w:sz="4" w:space="0" w:color="auto"/>
              <w:left w:val="single" w:sz="4" w:space="0" w:color="auto"/>
              <w:bottom w:val="single" w:sz="4" w:space="0" w:color="auto"/>
              <w:right w:val="single" w:sz="4" w:space="0" w:color="auto"/>
            </w:tcBorders>
          </w:tcPr>
          <w:p w14:paraId="561E8936" w14:textId="77777777" w:rsidR="00E76DEB" w:rsidRPr="00E76DEB" w:rsidRDefault="00E76DEB" w:rsidP="00E76DEB">
            <w:pPr>
              <w:ind w:right="624"/>
              <w:jc w:val="right"/>
              <w:rPr>
                <w:sz w:val="20"/>
                <w:szCs w:val="20"/>
              </w:rPr>
            </w:pPr>
            <w:r w:rsidRPr="00E76DEB">
              <w:rPr>
                <w:sz w:val="20"/>
                <w:szCs w:val="20"/>
              </w:rPr>
              <w:t>10.77</w:t>
            </w:r>
          </w:p>
        </w:tc>
        <w:tc>
          <w:tcPr>
            <w:tcW w:w="222" w:type="dxa"/>
            <w:tcBorders>
              <w:top w:val="nil"/>
              <w:left w:val="single" w:sz="4" w:space="0" w:color="auto"/>
              <w:bottom w:val="nil"/>
              <w:right w:val="single" w:sz="4" w:space="0" w:color="auto"/>
            </w:tcBorders>
          </w:tcPr>
          <w:p w14:paraId="6C82B0D6"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6CC6E1DF" w14:textId="77777777" w:rsidR="00E76DEB" w:rsidRPr="00E76DEB" w:rsidRDefault="00E76DEB" w:rsidP="00E76DEB">
            <w:pPr>
              <w:ind w:right="624"/>
              <w:rPr>
                <w:sz w:val="20"/>
                <w:szCs w:val="20"/>
              </w:rPr>
            </w:pPr>
            <w:r w:rsidRPr="00E76DEB">
              <w:rPr>
                <w:sz w:val="20"/>
                <w:szCs w:val="20"/>
              </w:rPr>
              <w:t>SURA</w:t>
            </w:r>
          </w:p>
        </w:tc>
        <w:tc>
          <w:tcPr>
            <w:tcW w:w="1701" w:type="dxa"/>
            <w:tcBorders>
              <w:top w:val="single" w:sz="4" w:space="0" w:color="auto"/>
              <w:left w:val="single" w:sz="4" w:space="0" w:color="auto"/>
              <w:bottom w:val="single" w:sz="4" w:space="0" w:color="auto"/>
              <w:right w:val="single" w:sz="4" w:space="0" w:color="auto"/>
            </w:tcBorders>
          </w:tcPr>
          <w:p w14:paraId="24D42A04" w14:textId="77777777" w:rsidR="00E76DEB" w:rsidRPr="00E76DEB" w:rsidRDefault="00E76DEB" w:rsidP="00E76DEB">
            <w:pPr>
              <w:ind w:right="624"/>
              <w:jc w:val="right"/>
              <w:rPr>
                <w:sz w:val="20"/>
                <w:szCs w:val="20"/>
              </w:rPr>
            </w:pPr>
            <w:r w:rsidRPr="00E76DEB">
              <w:rPr>
                <w:sz w:val="20"/>
                <w:szCs w:val="20"/>
              </w:rPr>
              <w:t>12.08</w:t>
            </w:r>
          </w:p>
        </w:tc>
      </w:tr>
      <w:tr w:rsidR="00E76DEB" w:rsidRPr="00E76DEB" w14:paraId="5411F7D6"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CBE884E" w14:textId="77777777" w:rsidR="00E76DEB" w:rsidRPr="00E76DEB" w:rsidRDefault="00E76DEB" w:rsidP="00E76DEB">
            <w:pPr>
              <w:rPr>
                <w:sz w:val="20"/>
                <w:szCs w:val="20"/>
              </w:rPr>
            </w:pPr>
            <w:r w:rsidRPr="00E76DEB">
              <w:rPr>
                <w:sz w:val="20"/>
                <w:szCs w:val="20"/>
              </w:rPr>
              <w:t>PensionISSSTE</w:t>
            </w:r>
          </w:p>
        </w:tc>
        <w:tc>
          <w:tcPr>
            <w:tcW w:w="1756" w:type="dxa"/>
            <w:tcBorders>
              <w:top w:val="single" w:sz="4" w:space="0" w:color="auto"/>
              <w:left w:val="single" w:sz="4" w:space="0" w:color="auto"/>
              <w:bottom w:val="single" w:sz="4" w:space="0" w:color="auto"/>
              <w:right w:val="single" w:sz="4" w:space="0" w:color="auto"/>
            </w:tcBorders>
          </w:tcPr>
          <w:p w14:paraId="447FEB95" w14:textId="77777777" w:rsidR="00E76DEB" w:rsidRPr="00E76DEB" w:rsidRDefault="00E76DEB" w:rsidP="00E76DEB">
            <w:pPr>
              <w:ind w:right="624"/>
              <w:jc w:val="right"/>
              <w:rPr>
                <w:sz w:val="20"/>
                <w:szCs w:val="20"/>
              </w:rPr>
            </w:pPr>
            <w:r w:rsidRPr="00E76DEB">
              <w:rPr>
                <w:sz w:val="20"/>
                <w:szCs w:val="20"/>
              </w:rPr>
              <w:t>10.51</w:t>
            </w:r>
          </w:p>
        </w:tc>
        <w:tc>
          <w:tcPr>
            <w:tcW w:w="222" w:type="dxa"/>
            <w:tcBorders>
              <w:top w:val="nil"/>
              <w:left w:val="single" w:sz="4" w:space="0" w:color="auto"/>
              <w:bottom w:val="nil"/>
              <w:right w:val="single" w:sz="4" w:space="0" w:color="auto"/>
            </w:tcBorders>
          </w:tcPr>
          <w:p w14:paraId="7A7D8566"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3C7384D4" w14:textId="77777777" w:rsidR="00E76DEB" w:rsidRPr="00E76DEB" w:rsidRDefault="00E76DEB" w:rsidP="00E76DEB">
            <w:pPr>
              <w:ind w:right="624"/>
              <w:rPr>
                <w:sz w:val="20"/>
                <w:szCs w:val="20"/>
              </w:rPr>
            </w:pPr>
            <w:r w:rsidRPr="00E76DEB">
              <w:rPr>
                <w:sz w:val="20"/>
                <w:szCs w:val="20"/>
              </w:rPr>
              <w:t>Banamex</w:t>
            </w:r>
          </w:p>
        </w:tc>
        <w:tc>
          <w:tcPr>
            <w:tcW w:w="1701" w:type="dxa"/>
            <w:tcBorders>
              <w:top w:val="single" w:sz="4" w:space="0" w:color="auto"/>
              <w:left w:val="single" w:sz="4" w:space="0" w:color="auto"/>
              <w:bottom w:val="single" w:sz="4" w:space="0" w:color="auto"/>
              <w:right w:val="single" w:sz="4" w:space="0" w:color="auto"/>
            </w:tcBorders>
          </w:tcPr>
          <w:p w14:paraId="36BB8CB6" w14:textId="77777777" w:rsidR="00E76DEB" w:rsidRPr="00E76DEB" w:rsidRDefault="00E76DEB" w:rsidP="00E76DEB">
            <w:pPr>
              <w:ind w:right="624"/>
              <w:jc w:val="right"/>
              <w:rPr>
                <w:sz w:val="20"/>
                <w:szCs w:val="20"/>
              </w:rPr>
            </w:pPr>
            <w:r w:rsidRPr="00E76DEB">
              <w:rPr>
                <w:sz w:val="20"/>
                <w:szCs w:val="20"/>
              </w:rPr>
              <w:t>11.01</w:t>
            </w:r>
          </w:p>
        </w:tc>
      </w:tr>
      <w:tr w:rsidR="00E76DEB" w:rsidRPr="00E76DEB" w14:paraId="2F1F6AAD"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505D9ECA" w14:textId="77777777" w:rsidR="00E76DEB" w:rsidRPr="00E76DEB" w:rsidRDefault="00E76DEB" w:rsidP="00E76DEB">
            <w:pPr>
              <w:rPr>
                <w:sz w:val="20"/>
                <w:szCs w:val="20"/>
              </w:rPr>
            </w:pPr>
            <w:r w:rsidRPr="00E76DEB">
              <w:rPr>
                <w:sz w:val="20"/>
                <w:szCs w:val="20"/>
              </w:rPr>
              <w:t>Banamex</w:t>
            </w:r>
          </w:p>
        </w:tc>
        <w:tc>
          <w:tcPr>
            <w:tcW w:w="1756" w:type="dxa"/>
            <w:tcBorders>
              <w:top w:val="single" w:sz="4" w:space="0" w:color="auto"/>
              <w:left w:val="single" w:sz="4" w:space="0" w:color="auto"/>
              <w:bottom w:val="single" w:sz="4" w:space="0" w:color="auto"/>
              <w:right w:val="single" w:sz="4" w:space="0" w:color="auto"/>
            </w:tcBorders>
          </w:tcPr>
          <w:p w14:paraId="32A18140" w14:textId="77777777" w:rsidR="00E76DEB" w:rsidRPr="00E76DEB" w:rsidRDefault="00E76DEB" w:rsidP="00E76DEB">
            <w:pPr>
              <w:ind w:right="624"/>
              <w:jc w:val="right"/>
              <w:rPr>
                <w:sz w:val="20"/>
                <w:szCs w:val="20"/>
              </w:rPr>
            </w:pPr>
            <w:r w:rsidRPr="00E76DEB">
              <w:rPr>
                <w:sz w:val="20"/>
                <w:szCs w:val="20"/>
              </w:rPr>
              <w:t>9.71</w:t>
            </w:r>
          </w:p>
        </w:tc>
        <w:tc>
          <w:tcPr>
            <w:tcW w:w="222" w:type="dxa"/>
            <w:tcBorders>
              <w:top w:val="nil"/>
              <w:left w:val="single" w:sz="4" w:space="0" w:color="auto"/>
              <w:bottom w:val="nil"/>
              <w:right w:val="single" w:sz="4" w:space="0" w:color="auto"/>
            </w:tcBorders>
          </w:tcPr>
          <w:p w14:paraId="78E8543B"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03F44F6D" w14:textId="77777777" w:rsidR="00E76DEB" w:rsidRPr="00E76DEB" w:rsidRDefault="00E76DEB" w:rsidP="00E76DEB">
            <w:pPr>
              <w:ind w:right="624"/>
              <w:rPr>
                <w:sz w:val="20"/>
                <w:szCs w:val="20"/>
              </w:rPr>
            </w:pPr>
            <w:r w:rsidRPr="00E76DEB">
              <w:rPr>
                <w:sz w:val="20"/>
                <w:szCs w:val="20"/>
              </w:rPr>
              <w:t>Profuturo GNP</w:t>
            </w:r>
          </w:p>
        </w:tc>
        <w:tc>
          <w:tcPr>
            <w:tcW w:w="1701" w:type="dxa"/>
            <w:tcBorders>
              <w:top w:val="single" w:sz="4" w:space="0" w:color="auto"/>
              <w:left w:val="single" w:sz="4" w:space="0" w:color="auto"/>
              <w:bottom w:val="single" w:sz="4" w:space="0" w:color="auto"/>
              <w:right w:val="single" w:sz="4" w:space="0" w:color="auto"/>
            </w:tcBorders>
          </w:tcPr>
          <w:p w14:paraId="4E97C2F7" w14:textId="77777777" w:rsidR="00E76DEB" w:rsidRPr="00E76DEB" w:rsidRDefault="00E76DEB" w:rsidP="00E76DEB">
            <w:pPr>
              <w:ind w:right="624"/>
              <w:jc w:val="right"/>
              <w:rPr>
                <w:sz w:val="20"/>
                <w:szCs w:val="20"/>
              </w:rPr>
            </w:pPr>
            <w:r w:rsidRPr="00E76DEB">
              <w:rPr>
                <w:sz w:val="20"/>
                <w:szCs w:val="20"/>
              </w:rPr>
              <w:t>10.93</w:t>
            </w:r>
          </w:p>
        </w:tc>
      </w:tr>
      <w:tr w:rsidR="00E76DEB" w:rsidRPr="00E76DEB" w14:paraId="2F47D914"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634C4CBB" w14:textId="77777777" w:rsidR="00E76DEB" w:rsidRPr="00E76DEB" w:rsidRDefault="00E76DEB" w:rsidP="00E76DEB">
            <w:pPr>
              <w:rPr>
                <w:sz w:val="20"/>
                <w:szCs w:val="20"/>
              </w:rPr>
            </w:pPr>
            <w:r w:rsidRPr="00E76DEB">
              <w:rPr>
                <w:sz w:val="20"/>
                <w:szCs w:val="20"/>
              </w:rPr>
              <w:t>Profuturo GNP</w:t>
            </w:r>
          </w:p>
        </w:tc>
        <w:tc>
          <w:tcPr>
            <w:tcW w:w="1756" w:type="dxa"/>
            <w:tcBorders>
              <w:top w:val="single" w:sz="4" w:space="0" w:color="auto"/>
              <w:left w:val="single" w:sz="4" w:space="0" w:color="auto"/>
              <w:bottom w:val="single" w:sz="4" w:space="0" w:color="auto"/>
              <w:right w:val="single" w:sz="4" w:space="0" w:color="auto"/>
            </w:tcBorders>
          </w:tcPr>
          <w:p w14:paraId="012892A1" w14:textId="77777777" w:rsidR="00E76DEB" w:rsidRPr="00E76DEB" w:rsidRDefault="00E76DEB" w:rsidP="00E76DEB">
            <w:pPr>
              <w:ind w:right="624"/>
              <w:jc w:val="right"/>
              <w:rPr>
                <w:sz w:val="20"/>
                <w:szCs w:val="20"/>
              </w:rPr>
            </w:pPr>
            <w:r w:rsidRPr="00E76DEB">
              <w:rPr>
                <w:sz w:val="20"/>
                <w:szCs w:val="20"/>
              </w:rPr>
              <w:t>9.55</w:t>
            </w:r>
          </w:p>
        </w:tc>
        <w:tc>
          <w:tcPr>
            <w:tcW w:w="222" w:type="dxa"/>
            <w:tcBorders>
              <w:top w:val="nil"/>
              <w:left w:val="single" w:sz="4" w:space="0" w:color="auto"/>
              <w:bottom w:val="nil"/>
              <w:right w:val="single" w:sz="4" w:space="0" w:color="auto"/>
            </w:tcBorders>
          </w:tcPr>
          <w:p w14:paraId="0C8DE529"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3A9D11FD" w14:textId="77777777" w:rsidR="00E76DEB" w:rsidRPr="00E76DEB" w:rsidRDefault="00E76DEB" w:rsidP="00E76DEB">
            <w:pPr>
              <w:ind w:right="624"/>
              <w:rPr>
                <w:sz w:val="20"/>
                <w:szCs w:val="20"/>
              </w:rPr>
            </w:pPr>
            <w:r w:rsidRPr="00E76DEB">
              <w:rPr>
                <w:sz w:val="20"/>
                <w:szCs w:val="20"/>
              </w:rPr>
              <w:t>PensionISSSTE</w:t>
            </w:r>
          </w:p>
        </w:tc>
        <w:tc>
          <w:tcPr>
            <w:tcW w:w="1701" w:type="dxa"/>
            <w:tcBorders>
              <w:top w:val="single" w:sz="4" w:space="0" w:color="auto"/>
              <w:left w:val="single" w:sz="4" w:space="0" w:color="auto"/>
              <w:bottom w:val="single" w:sz="4" w:space="0" w:color="auto"/>
              <w:right w:val="single" w:sz="4" w:space="0" w:color="auto"/>
            </w:tcBorders>
          </w:tcPr>
          <w:p w14:paraId="36C7EFD0" w14:textId="77777777" w:rsidR="00E76DEB" w:rsidRPr="00E76DEB" w:rsidRDefault="00E76DEB" w:rsidP="00E76DEB">
            <w:pPr>
              <w:ind w:right="624"/>
              <w:jc w:val="right"/>
              <w:rPr>
                <w:sz w:val="20"/>
                <w:szCs w:val="20"/>
              </w:rPr>
            </w:pPr>
            <w:r w:rsidRPr="00E76DEB">
              <w:rPr>
                <w:sz w:val="20"/>
                <w:szCs w:val="20"/>
              </w:rPr>
              <w:t>10.67</w:t>
            </w:r>
          </w:p>
        </w:tc>
      </w:tr>
      <w:tr w:rsidR="00E76DEB" w:rsidRPr="00E76DEB" w14:paraId="05813C1B"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725F97EC" w14:textId="77777777" w:rsidR="00E76DEB" w:rsidRPr="00E76DEB" w:rsidRDefault="00E76DEB" w:rsidP="00E76DEB">
            <w:pPr>
              <w:rPr>
                <w:sz w:val="20"/>
                <w:szCs w:val="20"/>
              </w:rPr>
            </w:pPr>
            <w:r w:rsidRPr="00E76DEB">
              <w:rPr>
                <w:sz w:val="20"/>
                <w:szCs w:val="20"/>
              </w:rPr>
              <w:t>MetLife</w:t>
            </w:r>
          </w:p>
        </w:tc>
        <w:tc>
          <w:tcPr>
            <w:tcW w:w="1756" w:type="dxa"/>
            <w:tcBorders>
              <w:top w:val="single" w:sz="4" w:space="0" w:color="auto"/>
              <w:left w:val="single" w:sz="4" w:space="0" w:color="auto"/>
              <w:bottom w:val="single" w:sz="4" w:space="0" w:color="auto"/>
              <w:right w:val="single" w:sz="4" w:space="0" w:color="auto"/>
            </w:tcBorders>
          </w:tcPr>
          <w:p w14:paraId="585439C2" w14:textId="77777777" w:rsidR="00E76DEB" w:rsidRPr="00E76DEB" w:rsidRDefault="00E76DEB" w:rsidP="00E76DEB">
            <w:pPr>
              <w:ind w:right="624"/>
              <w:jc w:val="right"/>
              <w:rPr>
                <w:sz w:val="20"/>
                <w:szCs w:val="20"/>
              </w:rPr>
            </w:pPr>
            <w:r w:rsidRPr="00E76DEB">
              <w:rPr>
                <w:sz w:val="20"/>
                <w:szCs w:val="20"/>
              </w:rPr>
              <w:t>9.24</w:t>
            </w:r>
          </w:p>
        </w:tc>
        <w:tc>
          <w:tcPr>
            <w:tcW w:w="222" w:type="dxa"/>
            <w:tcBorders>
              <w:top w:val="nil"/>
              <w:left w:val="single" w:sz="4" w:space="0" w:color="auto"/>
              <w:bottom w:val="nil"/>
              <w:right w:val="single" w:sz="4" w:space="0" w:color="auto"/>
            </w:tcBorders>
          </w:tcPr>
          <w:p w14:paraId="3238BF96"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461ABDDA" w14:textId="77777777" w:rsidR="00E76DEB" w:rsidRPr="00E76DEB" w:rsidRDefault="00E76DEB" w:rsidP="00E76DEB">
            <w:pPr>
              <w:ind w:right="624"/>
              <w:rPr>
                <w:sz w:val="20"/>
                <w:szCs w:val="20"/>
              </w:rPr>
            </w:pPr>
            <w:r w:rsidRPr="00E76DEB">
              <w:rPr>
                <w:sz w:val="20"/>
                <w:szCs w:val="20"/>
              </w:rPr>
              <w:t>MetLife</w:t>
            </w:r>
          </w:p>
        </w:tc>
        <w:tc>
          <w:tcPr>
            <w:tcW w:w="1701" w:type="dxa"/>
            <w:tcBorders>
              <w:top w:val="single" w:sz="4" w:space="0" w:color="auto"/>
              <w:left w:val="single" w:sz="4" w:space="0" w:color="auto"/>
              <w:bottom w:val="single" w:sz="4" w:space="0" w:color="auto"/>
              <w:right w:val="single" w:sz="4" w:space="0" w:color="auto"/>
            </w:tcBorders>
          </w:tcPr>
          <w:p w14:paraId="0AF21E4E" w14:textId="77777777" w:rsidR="00E76DEB" w:rsidRPr="00E76DEB" w:rsidRDefault="00E76DEB" w:rsidP="00E76DEB">
            <w:pPr>
              <w:ind w:right="624"/>
              <w:jc w:val="right"/>
              <w:rPr>
                <w:sz w:val="20"/>
                <w:szCs w:val="20"/>
              </w:rPr>
            </w:pPr>
            <w:r w:rsidRPr="00E76DEB">
              <w:rPr>
                <w:sz w:val="20"/>
                <w:szCs w:val="20"/>
              </w:rPr>
              <w:t>10.23</w:t>
            </w:r>
          </w:p>
        </w:tc>
      </w:tr>
      <w:tr w:rsidR="00E76DEB" w:rsidRPr="00E76DEB" w14:paraId="5EA6E14A"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9EB79E7" w14:textId="77777777" w:rsidR="00E76DEB" w:rsidRPr="00E76DEB" w:rsidRDefault="00E76DEB" w:rsidP="00E76DEB">
            <w:pPr>
              <w:rPr>
                <w:sz w:val="20"/>
                <w:szCs w:val="20"/>
              </w:rPr>
            </w:pPr>
            <w:r w:rsidRPr="00E76DEB">
              <w:rPr>
                <w:sz w:val="20"/>
                <w:szCs w:val="20"/>
              </w:rPr>
              <w:t>Invercap</w:t>
            </w:r>
          </w:p>
        </w:tc>
        <w:tc>
          <w:tcPr>
            <w:tcW w:w="1756" w:type="dxa"/>
            <w:tcBorders>
              <w:top w:val="single" w:sz="4" w:space="0" w:color="auto"/>
              <w:left w:val="single" w:sz="4" w:space="0" w:color="auto"/>
              <w:bottom w:val="single" w:sz="4" w:space="0" w:color="auto"/>
              <w:right w:val="single" w:sz="4" w:space="0" w:color="auto"/>
            </w:tcBorders>
          </w:tcPr>
          <w:p w14:paraId="69B05F31" w14:textId="77777777" w:rsidR="00E76DEB" w:rsidRPr="00E76DEB" w:rsidRDefault="00E76DEB" w:rsidP="00E76DEB">
            <w:pPr>
              <w:ind w:right="624"/>
              <w:jc w:val="right"/>
              <w:rPr>
                <w:sz w:val="20"/>
                <w:szCs w:val="20"/>
              </w:rPr>
            </w:pPr>
            <w:r w:rsidRPr="00E76DEB">
              <w:rPr>
                <w:sz w:val="20"/>
                <w:szCs w:val="20"/>
              </w:rPr>
              <w:t>9.09</w:t>
            </w:r>
          </w:p>
        </w:tc>
        <w:tc>
          <w:tcPr>
            <w:tcW w:w="222" w:type="dxa"/>
            <w:tcBorders>
              <w:top w:val="nil"/>
              <w:left w:val="single" w:sz="4" w:space="0" w:color="auto"/>
              <w:bottom w:val="nil"/>
              <w:right w:val="single" w:sz="4" w:space="0" w:color="auto"/>
            </w:tcBorders>
          </w:tcPr>
          <w:p w14:paraId="2E40D78F"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089A4CFD" w14:textId="77777777" w:rsidR="00E76DEB" w:rsidRPr="00E76DEB" w:rsidRDefault="00E76DEB" w:rsidP="00E76DEB">
            <w:pPr>
              <w:ind w:right="624"/>
              <w:rPr>
                <w:sz w:val="20"/>
                <w:szCs w:val="20"/>
              </w:rPr>
            </w:pPr>
            <w:r w:rsidRPr="00E76DEB">
              <w:rPr>
                <w:sz w:val="20"/>
                <w:szCs w:val="20"/>
              </w:rPr>
              <w:t>Invercap</w:t>
            </w:r>
          </w:p>
        </w:tc>
        <w:tc>
          <w:tcPr>
            <w:tcW w:w="1701" w:type="dxa"/>
            <w:tcBorders>
              <w:top w:val="single" w:sz="4" w:space="0" w:color="auto"/>
              <w:left w:val="single" w:sz="4" w:space="0" w:color="auto"/>
              <w:bottom w:val="single" w:sz="4" w:space="0" w:color="auto"/>
              <w:right w:val="single" w:sz="4" w:space="0" w:color="auto"/>
            </w:tcBorders>
          </w:tcPr>
          <w:p w14:paraId="228836B1" w14:textId="77777777" w:rsidR="00E76DEB" w:rsidRPr="00E76DEB" w:rsidRDefault="00E76DEB" w:rsidP="00E76DEB">
            <w:pPr>
              <w:ind w:right="624"/>
              <w:jc w:val="right"/>
              <w:rPr>
                <w:sz w:val="20"/>
                <w:szCs w:val="20"/>
              </w:rPr>
            </w:pPr>
            <w:r w:rsidRPr="00E76DEB">
              <w:rPr>
                <w:sz w:val="20"/>
                <w:szCs w:val="20"/>
              </w:rPr>
              <w:t>9.93</w:t>
            </w:r>
          </w:p>
        </w:tc>
      </w:tr>
      <w:tr w:rsidR="00E76DEB" w:rsidRPr="00E76DEB" w14:paraId="371E1E4C"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431DCE8A" w14:textId="77777777" w:rsidR="00E76DEB" w:rsidRPr="00E76DEB" w:rsidRDefault="00E76DEB" w:rsidP="00E76DEB">
            <w:pPr>
              <w:rPr>
                <w:sz w:val="20"/>
                <w:szCs w:val="20"/>
              </w:rPr>
            </w:pPr>
            <w:r w:rsidRPr="00E76DEB">
              <w:rPr>
                <w:sz w:val="20"/>
                <w:szCs w:val="20"/>
              </w:rPr>
              <w:t>XXI-Banorte</w:t>
            </w:r>
          </w:p>
        </w:tc>
        <w:tc>
          <w:tcPr>
            <w:tcW w:w="1756" w:type="dxa"/>
            <w:tcBorders>
              <w:top w:val="single" w:sz="4" w:space="0" w:color="auto"/>
              <w:left w:val="single" w:sz="4" w:space="0" w:color="auto"/>
              <w:bottom w:val="single" w:sz="4" w:space="0" w:color="auto"/>
              <w:right w:val="single" w:sz="4" w:space="0" w:color="auto"/>
            </w:tcBorders>
          </w:tcPr>
          <w:p w14:paraId="69896B3B" w14:textId="77777777" w:rsidR="00E76DEB" w:rsidRPr="00E76DEB" w:rsidRDefault="00E76DEB" w:rsidP="00E76DEB">
            <w:pPr>
              <w:ind w:right="624"/>
              <w:jc w:val="right"/>
              <w:rPr>
                <w:sz w:val="20"/>
                <w:szCs w:val="20"/>
              </w:rPr>
            </w:pPr>
            <w:r w:rsidRPr="00E76DEB">
              <w:rPr>
                <w:sz w:val="20"/>
                <w:szCs w:val="20"/>
              </w:rPr>
              <w:t>9.03</w:t>
            </w:r>
          </w:p>
        </w:tc>
        <w:tc>
          <w:tcPr>
            <w:tcW w:w="222" w:type="dxa"/>
            <w:tcBorders>
              <w:top w:val="nil"/>
              <w:left w:val="single" w:sz="4" w:space="0" w:color="auto"/>
              <w:bottom w:val="nil"/>
              <w:right w:val="single" w:sz="4" w:space="0" w:color="auto"/>
            </w:tcBorders>
          </w:tcPr>
          <w:p w14:paraId="57E3B43D"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55866106" w14:textId="77777777" w:rsidR="00E76DEB" w:rsidRPr="00E76DEB" w:rsidRDefault="00E76DEB" w:rsidP="00E76DEB">
            <w:pPr>
              <w:ind w:right="624"/>
              <w:rPr>
                <w:sz w:val="20"/>
                <w:szCs w:val="20"/>
              </w:rPr>
            </w:pPr>
            <w:r w:rsidRPr="00E76DEB">
              <w:rPr>
                <w:sz w:val="20"/>
                <w:szCs w:val="20"/>
              </w:rPr>
              <w:t>XXI-Banorte</w:t>
            </w:r>
          </w:p>
        </w:tc>
        <w:tc>
          <w:tcPr>
            <w:tcW w:w="1701" w:type="dxa"/>
            <w:tcBorders>
              <w:top w:val="single" w:sz="4" w:space="0" w:color="auto"/>
              <w:left w:val="single" w:sz="4" w:space="0" w:color="auto"/>
              <w:bottom w:val="single" w:sz="4" w:space="0" w:color="auto"/>
              <w:right w:val="single" w:sz="4" w:space="0" w:color="auto"/>
            </w:tcBorders>
          </w:tcPr>
          <w:p w14:paraId="1F450D5B" w14:textId="77777777" w:rsidR="00E76DEB" w:rsidRPr="00E76DEB" w:rsidRDefault="00E76DEB" w:rsidP="00E76DEB">
            <w:pPr>
              <w:ind w:right="624"/>
              <w:jc w:val="right"/>
              <w:rPr>
                <w:sz w:val="20"/>
                <w:szCs w:val="20"/>
              </w:rPr>
            </w:pPr>
            <w:r w:rsidRPr="00E76DEB">
              <w:rPr>
                <w:sz w:val="20"/>
                <w:szCs w:val="20"/>
              </w:rPr>
              <w:t>9.84</w:t>
            </w:r>
          </w:p>
        </w:tc>
      </w:tr>
      <w:tr w:rsidR="00E76DEB" w:rsidRPr="00E76DEB" w14:paraId="5DCD24F1"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197D12F8" w14:textId="77777777" w:rsidR="00E76DEB" w:rsidRPr="00E76DEB" w:rsidRDefault="00E76DEB" w:rsidP="00E76DEB">
            <w:pPr>
              <w:rPr>
                <w:sz w:val="20"/>
                <w:szCs w:val="20"/>
              </w:rPr>
            </w:pPr>
            <w:r w:rsidRPr="00E76DEB">
              <w:rPr>
                <w:sz w:val="20"/>
                <w:szCs w:val="20"/>
              </w:rPr>
              <w:t>Principal</w:t>
            </w:r>
          </w:p>
        </w:tc>
        <w:tc>
          <w:tcPr>
            <w:tcW w:w="1756" w:type="dxa"/>
            <w:tcBorders>
              <w:top w:val="single" w:sz="4" w:space="0" w:color="auto"/>
              <w:left w:val="single" w:sz="4" w:space="0" w:color="auto"/>
              <w:bottom w:val="single" w:sz="4" w:space="0" w:color="auto"/>
              <w:right w:val="single" w:sz="4" w:space="0" w:color="auto"/>
            </w:tcBorders>
          </w:tcPr>
          <w:p w14:paraId="6E4D60E6" w14:textId="77777777" w:rsidR="00E76DEB" w:rsidRPr="00E76DEB" w:rsidRDefault="00E76DEB" w:rsidP="00E76DEB">
            <w:pPr>
              <w:ind w:right="624"/>
              <w:jc w:val="right"/>
              <w:rPr>
                <w:sz w:val="20"/>
                <w:szCs w:val="20"/>
              </w:rPr>
            </w:pPr>
            <w:r w:rsidRPr="00E76DEB">
              <w:rPr>
                <w:sz w:val="20"/>
                <w:szCs w:val="20"/>
              </w:rPr>
              <w:t>8.57</w:t>
            </w:r>
          </w:p>
        </w:tc>
        <w:tc>
          <w:tcPr>
            <w:tcW w:w="222" w:type="dxa"/>
            <w:tcBorders>
              <w:top w:val="nil"/>
              <w:left w:val="single" w:sz="4" w:space="0" w:color="auto"/>
              <w:bottom w:val="nil"/>
              <w:right w:val="single" w:sz="4" w:space="0" w:color="auto"/>
            </w:tcBorders>
          </w:tcPr>
          <w:p w14:paraId="298B4939"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5F84D850" w14:textId="77777777" w:rsidR="00E76DEB" w:rsidRPr="00E76DEB" w:rsidRDefault="00E76DEB" w:rsidP="00E76DEB">
            <w:pPr>
              <w:ind w:right="624"/>
              <w:rPr>
                <w:sz w:val="20"/>
                <w:szCs w:val="20"/>
              </w:rPr>
            </w:pPr>
            <w:r w:rsidRPr="00E76DEB">
              <w:rPr>
                <w:sz w:val="20"/>
                <w:szCs w:val="20"/>
              </w:rPr>
              <w:t>Principal</w:t>
            </w:r>
          </w:p>
        </w:tc>
        <w:tc>
          <w:tcPr>
            <w:tcW w:w="1701" w:type="dxa"/>
            <w:tcBorders>
              <w:top w:val="single" w:sz="4" w:space="0" w:color="auto"/>
              <w:left w:val="single" w:sz="4" w:space="0" w:color="auto"/>
              <w:bottom w:val="single" w:sz="4" w:space="0" w:color="auto"/>
              <w:right w:val="single" w:sz="4" w:space="0" w:color="auto"/>
            </w:tcBorders>
          </w:tcPr>
          <w:p w14:paraId="066B4F48" w14:textId="77777777" w:rsidR="00E76DEB" w:rsidRPr="00E76DEB" w:rsidRDefault="00E76DEB" w:rsidP="00E76DEB">
            <w:pPr>
              <w:ind w:right="624"/>
              <w:jc w:val="right"/>
              <w:rPr>
                <w:sz w:val="20"/>
                <w:szCs w:val="20"/>
              </w:rPr>
            </w:pPr>
            <w:r w:rsidRPr="00E76DEB">
              <w:rPr>
                <w:sz w:val="20"/>
                <w:szCs w:val="20"/>
              </w:rPr>
              <w:t>9.46</w:t>
            </w:r>
          </w:p>
        </w:tc>
      </w:tr>
      <w:tr w:rsidR="00E76DEB" w:rsidRPr="00E76DEB" w14:paraId="67E54FF8"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20F1CB3" w14:textId="77777777" w:rsidR="00E76DEB" w:rsidRPr="00E76DEB" w:rsidRDefault="00E76DEB" w:rsidP="00E76DEB">
            <w:pPr>
              <w:rPr>
                <w:sz w:val="20"/>
                <w:szCs w:val="20"/>
              </w:rPr>
            </w:pPr>
            <w:r w:rsidRPr="00E76DEB">
              <w:rPr>
                <w:sz w:val="20"/>
                <w:szCs w:val="20"/>
              </w:rPr>
              <w:t>Azteca</w:t>
            </w:r>
          </w:p>
        </w:tc>
        <w:tc>
          <w:tcPr>
            <w:tcW w:w="1756" w:type="dxa"/>
            <w:tcBorders>
              <w:top w:val="single" w:sz="4" w:space="0" w:color="auto"/>
              <w:left w:val="single" w:sz="4" w:space="0" w:color="auto"/>
              <w:bottom w:val="single" w:sz="4" w:space="0" w:color="auto"/>
              <w:right w:val="single" w:sz="4" w:space="0" w:color="auto"/>
            </w:tcBorders>
          </w:tcPr>
          <w:p w14:paraId="38CCCF20" w14:textId="77777777" w:rsidR="00E76DEB" w:rsidRPr="00E76DEB" w:rsidRDefault="00E76DEB" w:rsidP="00E76DEB">
            <w:pPr>
              <w:ind w:right="624"/>
              <w:jc w:val="right"/>
              <w:rPr>
                <w:sz w:val="20"/>
                <w:szCs w:val="20"/>
              </w:rPr>
            </w:pPr>
            <w:r w:rsidRPr="00E76DEB">
              <w:rPr>
                <w:sz w:val="20"/>
                <w:szCs w:val="20"/>
              </w:rPr>
              <w:t>8.01</w:t>
            </w:r>
          </w:p>
        </w:tc>
        <w:tc>
          <w:tcPr>
            <w:tcW w:w="222" w:type="dxa"/>
            <w:tcBorders>
              <w:top w:val="nil"/>
              <w:left w:val="single" w:sz="4" w:space="0" w:color="auto"/>
              <w:bottom w:val="nil"/>
              <w:right w:val="single" w:sz="4" w:space="0" w:color="auto"/>
            </w:tcBorders>
          </w:tcPr>
          <w:p w14:paraId="2432DF22"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4EA6F364" w14:textId="77777777" w:rsidR="00E76DEB" w:rsidRPr="00E76DEB" w:rsidRDefault="00E76DEB" w:rsidP="00E76DEB">
            <w:pPr>
              <w:ind w:right="624"/>
              <w:rPr>
                <w:sz w:val="20"/>
                <w:szCs w:val="20"/>
              </w:rPr>
            </w:pPr>
            <w:r w:rsidRPr="00E76DEB">
              <w:rPr>
                <w:sz w:val="20"/>
                <w:szCs w:val="20"/>
              </w:rPr>
              <w:t>Azteca</w:t>
            </w:r>
          </w:p>
        </w:tc>
        <w:tc>
          <w:tcPr>
            <w:tcW w:w="1701" w:type="dxa"/>
            <w:tcBorders>
              <w:top w:val="single" w:sz="4" w:space="0" w:color="auto"/>
              <w:left w:val="single" w:sz="4" w:space="0" w:color="auto"/>
              <w:bottom w:val="single" w:sz="4" w:space="0" w:color="auto"/>
              <w:right w:val="single" w:sz="4" w:space="0" w:color="auto"/>
            </w:tcBorders>
          </w:tcPr>
          <w:p w14:paraId="75D42D93" w14:textId="77777777" w:rsidR="00E76DEB" w:rsidRPr="00E76DEB" w:rsidRDefault="00E76DEB" w:rsidP="00E76DEB">
            <w:pPr>
              <w:ind w:right="624"/>
              <w:jc w:val="right"/>
              <w:rPr>
                <w:sz w:val="20"/>
                <w:szCs w:val="20"/>
              </w:rPr>
            </w:pPr>
            <w:r w:rsidRPr="00E76DEB">
              <w:rPr>
                <w:sz w:val="20"/>
                <w:szCs w:val="20"/>
              </w:rPr>
              <w:t>8.41</w:t>
            </w:r>
          </w:p>
        </w:tc>
      </w:tr>
      <w:tr w:rsidR="00E76DEB" w:rsidRPr="00E76DEB" w14:paraId="70A607FF"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6339C8C4" w14:textId="77777777" w:rsidR="00E76DEB" w:rsidRPr="00E76DEB" w:rsidRDefault="00E76DEB" w:rsidP="00E76DEB">
            <w:pPr>
              <w:rPr>
                <w:sz w:val="20"/>
                <w:szCs w:val="20"/>
              </w:rPr>
            </w:pPr>
            <w:r w:rsidRPr="00E76DEB">
              <w:rPr>
                <w:sz w:val="20"/>
                <w:szCs w:val="20"/>
              </w:rPr>
              <w:t>Coppel</w:t>
            </w:r>
          </w:p>
        </w:tc>
        <w:tc>
          <w:tcPr>
            <w:tcW w:w="1756" w:type="dxa"/>
            <w:tcBorders>
              <w:top w:val="single" w:sz="4" w:space="0" w:color="auto"/>
              <w:left w:val="single" w:sz="4" w:space="0" w:color="auto"/>
              <w:bottom w:val="single" w:sz="4" w:space="0" w:color="auto"/>
              <w:right w:val="single" w:sz="4" w:space="0" w:color="auto"/>
            </w:tcBorders>
          </w:tcPr>
          <w:p w14:paraId="3AD7E1B8" w14:textId="77777777" w:rsidR="00E76DEB" w:rsidRPr="00E76DEB" w:rsidRDefault="00E76DEB" w:rsidP="00E76DEB">
            <w:pPr>
              <w:ind w:right="624"/>
              <w:jc w:val="right"/>
              <w:rPr>
                <w:sz w:val="20"/>
                <w:szCs w:val="20"/>
              </w:rPr>
            </w:pPr>
            <w:r w:rsidRPr="00E76DEB">
              <w:rPr>
                <w:sz w:val="20"/>
                <w:szCs w:val="20"/>
              </w:rPr>
              <w:t>7.52</w:t>
            </w:r>
          </w:p>
        </w:tc>
        <w:tc>
          <w:tcPr>
            <w:tcW w:w="222" w:type="dxa"/>
            <w:tcBorders>
              <w:top w:val="nil"/>
              <w:left w:val="single" w:sz="4" w:space="0" w:color="auto"/>
              <w:bottom w:val="nil"/>
              <w:right w:val="single" w:sz="4" w:space="0" w:color="auto"/>
            </w:tcBorders>
          </w:tcPr>
          <w:p w14:paraId="06FB1382"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69281686" w14:textId="77777777" w:rsidR="00E76DEB" w:rsidRPr="00E76DEB" w:rsidRDefault="00E76DEB" w:rsidP="00E76DEB">
            <w:pPr>
              <w:ind w:right="624"/>
              <w:rPr>
                <w:sz w:val="20"/>
                <w:szCs w:val="20"/>
              </w:rPr>
            </w:pPr>
            <w:r w:rsidRPr="00E76DEB">
              <w:rPr>
                <w:sz w:val="20"/>
                <w:szCs w:val="20"/>
              </w:rPr>
              <w:t>Coppel</w:t>
            </w:r>
          </w:p>
        </w:tc>
        <w:tc>
          <w:tcPr>
            <w:tcW w:w="1701" w:type="dxa"/>
            <w:tcBorders>
              <w:top w:val="single" w:sz="4" w:space="0" w:color="auto"/>
              <w:left w:val="single" w:sz="4" w:space="0" w:color="auto"/>
              <w:bottom w:val="single" w:sz="4" w:space="0" w:color="auto"/>
              <w:right w:val="single" w:sz="4" w:space="0" w:color="auto"/>
            </w:tcBorders>
          </w:tcPr>
          <w:p w14:paraId="41F50AA4" w14:textId="77777777" w:rsidR="00E76DEB" w:rsidRPr="00E76DEB" w:rsidRDefault="00E76DEB" w:rsidP="00E76DEB">
            <w:pPr>
              <w:ind w:right="624"/>
              <w:jc w:val="right"/>
              <w:rPr>
                <w:sz w:val="20"/>
                <w:szCs w:val="20"/>
              </w:rPr>
            </w:pPr>
            <w:r w:rsidRPr="00E76DEB">
              <w:rPr>
                <w:sz w:val="20"/>
                <w:szCs w:val="20"/>
              </w:rPr>
              <w:t>7.80</w:t>
            </w:r>
          </w:p>
        </w:tc>
      </w:tr>
      <w:tr w:rsidR="00E76DEB" w:rsidRPr="00E76DEB" w14:paraId="4CC301C6"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C8DBA59" w14:textId="77777777" w:rsidR="00E76DEB" w:rsidRPr="00E76DEB" w:rsidRDefault="00E76DEB" w:rsidP="00E76DEB">
            <w:pPr>
              <w:rPr>
                <w:sz w:val="20"/>
                <w:szCs w:val="20"/>
              </w:rPr>
            </w:pPr>
            <w:r w:rsidRPr="00E76DEB">
              <w:rPr>
                <w:sz w:val="20"/>
                <w:szCs w:val="20"/>
              </w:rPr>
              <w:t>Inbursa</w:t>
            </w:r>
          </w:p>
        </w:tc>
        <w:tc>
          <w:tcPr>
            <w:tcW w:w="1756" w:type="dxa"/>
            <w:tcBorders>
              <w:top w:val="single" w:sz="4" w:space="0" w:color="auto"/>
              <w:left w:val="single" w:sz="4" w:space="0" w:color="auto"/>
              <w:bottom w:val="single" w:sz="4" w:space="0" w:color="auto"/>
              <w:right w:val="single" w:sz="4" w:space="0" w:color="auto"/>
            </w:tcBorders>
          </w:tcPr>
          <w:p w14:paraId="5432B3C9" w14:textId="77777777" w:rsidR="00E76DEB" w:rsidRPr="00E76DEB" w:rsidRDefault="00E76DEB" w:rsidP="00E76DEB">
            <w:pPr>
              <w:ind w:right="624"/>
              <w:jc w:val="right"/>
              <w:rPr>
                <w:sz w:val="20"/>
                <w:szCs w:val="20"/>
              </w:rPr>
            </w:pPr>
            <w:r w:rsidRPr="00E76DEB">
              <w:rPr>
                <w:sz w:val="20"/>
                <w:szCs w:val="20"/>
              </w:rPr>
              <w:t>5.57</w:t>
            </w:r>
          </w:p>
        </w:tc>
        <w:tc>
          <w:tcPr>
            <w:tcW w:w="222" w:type="dxa"/>
            <w:tcBorders>
              <w:top w:val="nil"/>
              <w:left w:val="single" w:sz="4" w:space="0" w:color="auto"/>
              <w:bottom w:val="nil"/>
              <w:right w:val="single" w:sz="4" w:space="0" w:color="auto"/>
            </w:tcBorders>
          </w:tcPr>
          <w:p w14:paraId="3827FC7D" w14:textId="77777777" w:rsidR="00E76DEB" w:rsidRPr="00E76DEB" w:rsidRDefault="00E76DEB" w:rsidP="00E76DEB">
            <w:pPr>
              <w:ind w:right="624"/>
              <w:jc w:val="right"/>
              <w:rPr>
                <w:sz w:val="20"/>
                <w:szCs w:val="20"/>
              </w:rPr>
            </w:pPr>
          </w:p>
        </w:tc>
        <w:tc>
          <w:tcPr>
            <w:tcW w:w="2341" w:type="dxa"/>
            <w:tcBorders>
              <w:top w:val="single" w:sz="4" w:space="0" w:color="auto"/>
              <w:left w:val="single" w:sz="4" w:space="0" w:color="auto"/>
              <w:bottom w:val="single" w:sz="4" w:space="0" w:color="auto"/>
              <w:right w:val="single" w:sz="4" w:space="0" w:color="auto"/>
            </w:tcBorders>
          </w:tcPr>
          <w:p w14:paraId="710E1269" w14:textId="77777777" w:rsidR="00E76DEB" w:rsidRPr="00E76DEB" w:rsidRDefault="00E76DEB" w:rsidP="00E76DEB">
            <w:pPr>
              <w:ind w:right="624"/>
              <w:rPr>
                <w:sz w:val="20"/>
                <w:szCs w:val="20"/>
              </w:rPr>
            </w:pPr>
            <w:r w:rsidRPr="00E76DEB">
              <w:rPr>
                <w:sz w:val="20"/>
                <w:szCs w:val="20"/>
              </w:rPr>
              <w:t>Inbursa</w:t>
            </w:r>
          </w:p>
        </w:tc>
        <w:tc>
          <w:tcPr>
            <w:tcW w:w="1701" w:type="dxa"/>
            <w:tcBorders>
              <w:top w:val="single" w:sz="4" w:space="0" w:color="auto"/>
              <w:left w:val="single" w:sz="4" w:space="0" w:color="auto"/>
              <w:bottom w:val="single" w:sz="4" w:space="0" w:color="auto"/>
              <w:right w:val="single" w:sz="4" w:space="0" w:color="auto"/>
            </w:tcBorders>
          </w:tcPr>
          <w:p w14:paraId="43E53F87" w14:textId="77777777" w:rsidR="00E76DEB" w:rsidRPr="00E76DEB" w:rsidRDefault="00E76DEB" w:rsidP="00E76DEB">
            <w:pPr>
              <w:ind w:right="624"/>
              <w:jc w:val="right"/>
              <w:rPr>
                <w:sz w:val="20"/>
                <w:szCs w:val="20"/>
              </w:rPr>
            </w:pPr>
            <w:r w:rsidRPr="00E76DEB">
              <w:rPr>
                <w:sz w:val="20"/>
                <w:szCs w:val="20"/>
              </w:rPr>
              <w:t>6.05</w:t>
            </w:r>
          </w:p>
        </w:tc>
      </w:tr>
      <w:tr w:rsidR="00E76DEB" w:rsidRPr="00E76DEB" w14:paraId="6EAE41E8"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7027D9B3" w14:textId="77777777" w:rsidR="00E76DEB" w:rsidRPr="00E76DEB" w:rsidRDefault="00E76DEB" w:rsidP="00E76DEB">
            <w:pPr>
              <w:rPr>
                <w:b/>
                <w:sz w:val="20"/>
                <w:szCs w:val="20"/>
              </w:rPr>
            </w:pPr>
            <w:r w:rsidRPr="00E76DEB">
              <w:rPr>
                <w:b/>
                <w:sz w:val="20"/>
                <w:szCs w:val="20"/>
              </w:rPr>
              <w:t>Promedio Simple</w:t>
            </w:r>
          </w:p>
        </w:tc>
        <w:tc>
          <w:tcPr>
            <w:tcW w:w="1756" w:type="dxa"/>
            <w:tcBorders>
              <w:top w:val="single" w:sz="4" w:space="0" w:color="auto"/>
              <w:left w:val="single" w:sz="4" w:space="0" w:color="auto"/>
              <w:bottom w:val="single" w:sz="4" w:space="0" w:color="auto"/>
              <w:right w:val="single" w:sz="4" w:space="0" w:color="auto"/>
            </w:tcBorders>
          </w:tcPr>
          <w:p w14:paraId="43D7A0E3" w14:textId="77777777" w:rsidR="00E76DEB" w:rsidRPr="00E76DEB" w:rsidRDefault="00E76DEB" w:rsidP="00E76DEB">
            <w:pPr>
              <w:ind w:right="624"/>
              <w:jc w:val="right"/>
              <w:rPr>
                <w:b/>
                <w:sz w:val="20"/>
                <w:szCs w:val="20"/>
              </w:rPr>
            </w:pPr>
            <w:r w:rsidRPr="00E76DEB">
              <w:rPr>
                <w:b/>
                <w:sz w:val="20"/>
                <w:szCs w:val="20"/>
              </w:rPr>
              <w:t>8.87</w:t>
            </w:r>
          </w:p>
        </w:tc>
        <w:tc>
          <w:tcPr>
            <w:tcW w:w="222" w:type="dxa"/>
            <w:tcBorders>
              <w:top w:val="nil"/>
              <w:left w:val="single" w:sz="4" w:space="0" w:color="auto"/>
              <w:bottom w:val="nil"/>
              <w:right w:val="single" w:sz="4" w:space="0" w:color="auto"/>
            </w:tcBorders>
          </w:tcPr>
          <w:p w14:paraId="4243FDDB" w14:textId="77777777" w:rsidR="00E76DEB" w:rsidRPr="00E76DEB" w:rsidRDefault="00E76DEB" w:rsidP="00E76DEB">
            <w:pPr>
              <w:ind w:right="624"/>
              <w:jc w:val="right"/>
              <w:rPr>
                <w:b/>
                <w:sz w:val="20"/>
                <w:szCs w:val="20"/>
              </w:rPr>
            </w:pPr>
          </w:p>
        </w:tc>
        <w:tc>
          <w:tcPr>
            <w:tcW w:w="2341" w:type="dxa"/>
            <w:tcBorders>
              <w:top w:val="single" w:sz="4" w:space="0" w:color="auto"/>
              <w:left w:val="single" w:sz="4" w:space="0" w:color="auto"/>
              <w:bottom w:val="single" w:sz="4" w:space="0" w:color="auto"/>
              <w:right w:val="single" w:sz="4" w:space="0" w:color="auto"/>
            </w:tcBorders>
          </w:tcPr>
          <w:p w14:paraId="456E88C9" w14:textId="77777777" w:rsidR="00E76DEB" w:rsidRPr="00E76DEB" w:rsidRDefault="00E76DEB" w:rsidP="00E76DEB">
            <w:pPr>
              <w:ind w:right="624"/>
              <w:rPr>
                <w:b/>
                <w:sz w:val="20"/>
                <w:szCs w:val="20"/>
              </w:rPr>
            </w:pPr>
            <w:r w:rsidRPr="00E76DEB">
              <w:rPr>
                <w:b/>
                <w:sz w:val="20"/>
                <w:szCs w:val="20"/>
              </w:rPr>
              <w:t>Promedio Simple</w:t>
            </w:r>
          </w:p>
        </w:tc>
        <w:tc>
          <w:tcPr>
            <w:tcW w:w="1701" w:type="dxa"/>
            <w:tcBorders>
              <w:top w:val="single" w:sz="4" w:space="0" w:color="auto"/>
              <w:left w:val="single" w:sz="4" w:space="0" w:color="auto"/>
              <w:bottom w:val="single" w:sz="4" w:space="0" w:color="auto"/>
              <w:right w:val="single" w:sz="4" w:space="0" w:color="auto"/>
            </w:tcBorders>
          </w:tcPr>
          <w:p w14:paraId="3C8252C6" w14:textId="77777777" w:rsidR="00E76DEB" w:rsidRPr="00E76DEB" w:rsidRDefault="00E76DEB" w:rsidP="00E76DEB">
            <w:pPr>
              <w:ind w:right="624"/>
              <w:jc w:val="right"/>
              <w:rPr>
                <w:b/>
                <w:sz w:val="20"/>
                <w:szCs w:val="20"/>
              </w:rPr>
            </w:pPr>
            <w:r w:rsidRPr="00E76DEB">
              <w:rPr>
                <w:b/>
                <w:sz w:val="20"/>
                <w:szCs w:val="20"/>
              </w:rPr>
              <w:t>9.67</w:t>
            </w:r>
          </w:p>
        </w:tc>
      </w:tr>
      <w:tr w:rsidR="00E76DEB" w:rsidRPr="00E76DEB" w14:paraId="1DA3DD48" w14:textId="77777777" w:rsidTr="00E76DEB">
        <w:trPr>
          <w:jc w:val="center"/>
        </w:trPr>
        <w:tc>
          <w:tcPr>
            <w:tcW w:w="2344" w:type="dxa"/>
            <w:tcBorders>
              <w:top w:val="single" w:sz="4" w:space="0" w:color="auto"/>
              <w:left w:val="single" w:sz="4" w:space="0" w:color="auto"/>
              <w:bottom w:val="single" w:sz="4" w:space="0" w:color="auto"/>
              <w:right w:val="single" w:sz="4" w:space="0" w:color="auto"/>
            </w:tcBorders>
          </w:tcPr>
          <w:p w14:paraId="2E23422A" w14:textId="77777777" w:rsidR="00E76DEB" w:rsidRPr="00E76DEB" w:rsidRDefault="00E76DEB" w:rsidP="00E76DEB">
            <w:pPr>
              <w:rPr>
                <w:b/>
                <w:sz w:val="20"/>
                <w:szCs w:val="20"/>
              </w:rPr>
            </w:pPr>
            <w:r w:rsidRPr="00E76DEB">
              <w:rPr>
                <w:b/>
                <w:sz w:val="20"/>
                <w:szCs w:val="20"/>
              </w:rPr>
              <w:t>Promedio Ponderado</w:t>
            </w:r>
          </w:p>
        </w:tc>
        <w:tc>
          <w:tcPr>
            <w:tcW w:w="1756" w:type="dxa"/>
            <w:tcBorders>
              <w:top w:val="single" w:sz="4" w:space="0" w:color="auto"/>
              <w:left w:val="single" w:sz="4" w:space="0" w:color="auto"/>
              <w:bottom w:val="single" w:sz="4" w:space="0" w:color="auto"/>
              <w:right w:val="single" w:sz="4" w:space="0" w:color="auto"/>
            </w:tcBorders>
          </w:tcPr>
          <w:p w14:paraId="19AE19DB" w14:textId="77777777" w:rsidR="00E76DEB" w:rsidRPr="00E76DEB" w:rsidRDefault="00E76DEB" w:rsidP="00E76DEB">
            <w:pPr>
              <w:ind w:right="624"/>
              <w:jc w:val="right"/>
              <w:rPr>
                <w:b/>
                <w:sz w:val="20"/>
                <w:szCs w:val="20"/>
              </w:rPr>
            </w:pPr>
            <w:r w:rsidRPr="00E76DEB">
              <w:rPr>
                <w:b/>
                <w:sz w:val="20"/>
                <w:szCs w:val="20"/>
              </w:rPr>
              <w:t>9.32</w:t>
            </w:r>
          </w:p>
        </w:tc>
        <w:tc>
          <w:tcPr>
            <w:tcW w:w="222" w:type="dxa"/>
            <w:tcBorders>
              <w:top w:val="nil"/>
              <w:left w:val="single" w:sz="4" w:space="0" w:color="auto"/>
              <w:bottom w:val="nil"/>
              <w:right w:val="single" w:sz="4" w:space="0" w:color="auto"/>
            </w:tcBorders>
          </w:tcPr>
          <w:p w14:paraId="47229CCE" w14:textId="77777777" w:rsidR="00E76DEB" w:rsidRPr="00E76DEB" w:rsidRDefault="00E76DEB" w:rsidP="00E76DEB">
            <w:pPr>
              <w:ind w:right="624"/>
              <w:jc w:val="right"/>
              <w:rPr>
                <w:b/>
                <w:sz w:val="20"/>
                <w:szCs w:val="20"/>
              </w:rPr>
            </w:pPr>
          </w:p>
        </w:tc>
        <w:tc>
          <w:tcPr>
            <w:tcW w:w="2341" w:type="dxa"/>
            <w:tcBorders>
              <w:top w:val="single" w:sz="4" w:space="0" w:color="auto"/>
              <w:left w:val="single" w:sz="4" w:space="0" w:color="auto"/>
              <w:bottom w:val="single" w:sz="4" w:space="0" w:color="auto"/>
              <w:right w:val="single" w:sz="4" w:space="0" w:color="auto"/>
            </w:tcBorders>
          </w:tcPr>
          <w:p w14:paraId="15E67829" w14:textId="77777777" w:rsidR="00E76DEB" w:rsidRPr="00E76DEB" w:rsidRDefault="00E76DEB" w:rsidP="00E76DEB">
            <w:pPr>
              <w:rPr>
                <w:b/>
                <w:sz w:val="20"/>
                <w:szCs w:val="20"/>
              </w:rPr>
            </w:pPr>
            <w:r w:rsidRPr="00E76DEB">
              <w:rPr>
                <w:b/>
                <w:sz w:val="20"/>
                <w:szCs w:val="20"/>
              </w:rPr>
              <w:t>Promedio Ponderado</w:t>
            </w:r>
          </w:p>
        </w:tc>
        <w:tc>
          <w:tcPr>
            <w:tcW w:w="1701" w:type="dxa"/>
            <w:tcBorders>
              <w:top w:val="single" w:sz="4" w:space="0" w:color="auto"/>
              <w:left w:val="single" w:sz="4" w:space="0" w:color="auto"/>
              <w:bottom w:val="single" w:sz="4" w:space="0" w:color="auto"/>
              <w:right w:val="single" w:sz="4" w:space="0" w:color="auto"/>
            </w:tcBorders>
          </w:tcPr>
          <w:p w14:paraId="459C70E5" w14:textId="77777777" w:rsidR="00E76DEB" w:rsidRPr="00E76DEB" w:rsidRDefault="00E76DEB" w:rsidP="00E76DEB">
            <w:pPr>
              <w:ind w:right="624"/>
              <w:jc w:val="right"/>
              <w:rPr>
                <w:b/>
                <w:sz w:val="20"/>
                <w:szCs w:val="20"/>
              </w:rPr>
            </w:pPr>
            <w:r w:rsidRPr="00E76DEB">
              <w:rPr>
                <w:b/>
                <w:sz w:val="20"/>
                <w:szCs w:val="20"/>
              </w:rPr>
              <w:t>10.18</w:t>
            </w:r>
          </w:p>
        </w:tc>
      </w:tr>
      <w:tr w:rsidR="00E76DEB" w:rsidRPr="00E76DEB" w14:paraId="380828D7" w14:textId="77777777" w:rsidTr="008D28ED">
        <w:trPr>
          <w:jc w:val="center"/>
        </w:trPr>
        <w:tc>
          <w:tcPr>
            <w:tcW w:w="8364" w:type="dxa"/>
            <w:gridSpan w:val="5"/>
            <w:tcBorders>
              <w:top w:val="nil"/>
              <w:left w:val="nil"/>
              <w:bottom w:val="nil"/>
              <w:right w:val="nil"/>
            </w:tcBorders>
          </w:tcPr>
          <w:p w14:paraId="326CCFB3" w14:textId="77777777" w:rsidR="00E76DEB" w:rsidRPr="00E76DEB" w:rsidRDefault="00E76DEB" w:rsidP="00E76DEB">
            <w:pPr>
              <w:rPr>
                <w:sz w:val="20"/>
                <w:szCs w:val="20"/>
              </w:rPr>
            </w:pPr>
            <w:r w:rsidRPr="00E76DEB">
              <w:rPr>
                <w:sz w:val="20"/>
                <w:szCs w:val="20"/>
              </w:rPr>
              <w:t>*Cifras al 31 de marzo de 2015.</w:t>
            </w:r>
          </w:p>
          <w:p w14:paraId="1368D6E1" w14:textId="77777777" w:rsidR="00E76DEB" w:rsidRPr="00E76DEB" w:rsidRDefault="00E76DEB" w:rsidP="00E76DEB">
            <w:pPr>
              <w:rPr>
                <w:sz w:val="20"/>
                <w:szCs w:val="20"/>
              </w:rPr>
            </w:pPr>
            <w:r w:rsidRPr="00E76DEB">
              <w:rPr>
                <w:sz w:val="20"/>
                <w:szCs w:val="20"/>
              </w:rPr>
              <w:t>FUENTE: Consar.</w:t>
            </w:r>
          </w:p>
        </w:tc>
      </w:tr>
    </w:tbl>
    <w:p w14:paraId="2C13954D" w14:textId="77777777" w:rsidR="00E76DEB" w:rsidRPr="00E76DEB" w:rsidRDefault="00E76DEB" w:rsidP="00E76DEB">
      <w:pPr>
        <w:ind w:right="-159"/>
        <w:jc w:val="both"/>
        <w:rPr>
          <w:rFonts w:eastAsia="Calibri"/>
          <w:b/>
          <w:sz w:val="20"/>
          <w:szCs w:val="20"/>
          <w:lang w:eastAsia="en-US"/>
        </w:rPr>
      </w:pPr>
    </w:p>
    <w:p w14:paraId="0653729C" w14:textId="77777777" w:rsidR="00E76DEB" w:rsidRPr="00E76DEB" w:rsidRDefault="00E76DEB" w:rsidP="00E76DEB">
      <w:pPr>
        <w:ind w:right="-159"/>
        <w:jc w:val="both"/>
        <w:rPr>
          <w:rFonts w:eastAsia="Calibri"/>
          <w:b/>
          <w:sz w:val="20"/>
          <w:szCs w:val="20"/>
          <w:lang w:eastAsia="en-US"/>
        </w:rPr>
      </w:pPr>
      <w:r w:rsidRPr="00E76DEB">
        <w:rPr>
          <w:rFonts w:eastAsia="Calibri"/>
          <w:b/>
          <w:sz w:val="20"/>
          <w:szCs w:val="20"/>
          <w:lang w:eastAsia="en-US"/>
        </w:rPr>
        <w:t>Fuente de información:</w:t>
      </w:r>
    </w:p>
    <w:p w14:paraId="4A6070A9" w14:textId="77777777" w:rsidR="00E76DEB" w:rsidRPr="00EF184E" w:rsidRDefault="0045651A" w:rsidP="00E76DEB">
      <w:pPr>
        <w:ind w:right="-159"/>
        <w:jc w:val="both"/>
        <w:rPr>
          <w:rFonts w:eastAsia="Calibri"/>
          <w:color w:val="0000FF"/>
          <w:sz w:val="20"/>
          <w:szCs w:val="20"/>
          <w:lang w:eastAsia="en-US"/>
        </w:rPr>
      </w:pPr>
      <w:hyperlink r:id="rId382" w:history="1">
        <w:r w:rsidR="00E76DEB" w:rsidRPr="00EF184E">
          <w:rPr>
            <w:rFonts w:eastAsia="Calibri"/>
            <w:color w:val="0000FF"/>
            <w:sz w:val="20"/>
            <w:szCs w:val="20"/>
            <w:u w:val="single"/>
            <w:lang w:eastAsia="en-US"/>
          </w:rPr>
          <w:t>http://www.consar.gob.mx/sala_prensa/PDF/boletines/BP-13-2015.pdf</w:t>
        </w:r>
      </w:hyperlink>
    </w:p>
    <w:p w14:paraId="67511A99" w14:textId="18EA6F11" w:rsidR="00943CCA" w:rsidRDefault="00943CCA" w:rsidP="00943CCA">
      <w:pPr>
        <w:spacing w:after="360" w:line="360" w:lineRule="auto"/>
        <w:ind w:right="-159"/>
        <w:jc w:val="both"/>
        <w:rPr>
          <w:sz w:val="26"/>
          <w:szCs w:val="26"/>
        </w:rPr>
      </w:pPr>
    </w:p>
    <w:p w14:paraId="2282DE09" w14:textId="77777777" w:rsidR="00802F03" w:rsidRDefault="00802F03" w:rsidP="00802F03">
      <w:pPr>
        <w:spacing w:after="240"/>
        <w:rPr>
          <w:rFonts w:eastAsia="Times New Roman"/>
          <w:sz w:val="26"/>
          <w:szCs w:val="26"/>
        </w:rPr>
      </w:pPr>
    </w:p>
    <w:p w14:paraId="411D1891" w14:textId="77777777" w:rsidR="001B3CD5" w:rsidRPr="00802F03" w:rsidRDefault="001B3CD5" w:rsidP="00802F03">
      <w:pPr>
        <w:spacing w:after="240"/>
        <w:rPr>
          <w:rFonts w:eastAsia="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802F03" w:rsidRPr="00802F03" w14:paraId="2EFD8A8F" w14:textId="77777777" w:rsidTr="00892FE5">
        <w:trPr>
          <w:jc w:val="center"/>
        </w:trPr>
        <w:tc>
          <w:tcPr>
            <w:tcW w:w="4969" w:type="dxa"/>
            <w:gridSpan w:val="2"/>
            <w:tcBorders>
              <w:top w:val="nil"/>
              <w:left w:val="nil"/>
              <w:right w:val="nil"/>
            </w:tcBorders>
            <w:vAlign w:val="center"/>
          </w:tcPr>
          <w:p w14:paraId="118CC22F" w14:textId="77777777" w:rsidR="00802F03" w:rsidRPr="00802F03" w:rsidRDefault="00802F03" w:rsidP="00802F03">
            <w:pPr>
              <w:jc w:val="center"/>
              <w:rPr>
                <w:rFonts w:eastAsia="Times New Roman"/>
                <w:b/>
              </w:rPr>
            </w:pPr>
            <w:r w:rsidRPr="00802F03">
              <w:rPr>
                <w:rFonts w:eastAsia="Times New Roman"/>
                <w:b/>
                <w:sz w:val="22"/>
                <w:szCs w:val="22"/>
              </w:rPr>
              <w:lastRenderedPageBreak/>
              <w:t>A MAYOR RENDIMIENTO NETO, MAYOR PENSIÓN</w:t>
            </w:r>
          </w:p>
          <w:p w14:paraId="6002406A" w14:textId="77777777" w:rsidR="00802F03" w:rsidRPr="00802F03" w:rsidRDefault="00802F03" w:rsidP="00802F03">
            <w:pPr>
              <w:jc w:val="center"/>
              <w:rPr>
                <w:rFonts w:eastAsia="Times New Roman"/>
                <w:b/>
              </w:rPr>
            </w:pPr>
            <w:r w:rsidRPr="00802F03">
              <w:rPr>
                <w:rFonts w:eastAsia="Times New Roman"/>
                <w:b/>
                <w:sz w:val="22"/>
                <w:szCs w:val="22"/>
              </w:rPr>
              <w:t xml:space="preserve">Siefore Básica 4 </w:t>
            </w:r>
          </w:p>
          <w:p w14:paraId="516E1D51" w14:textId="77777777" w:rsidR="00802F03" w:rsidRPr="00802F03" w:rsidRDefault="00802F03" w:rsidP="00802F03">
            <w:pPr>
              <w:jc w:val="center"/>
              <w:rPr>
                <w:rFonts w:eastAsia="Times New Roman"/>
                <w:b/>
              </w:rPr>
            </w:pPr>
            <w:r w:rsidRPr="00802F03">
              <w:rPr>
                <w:rFonts w:eastAsia="Times New Roman"/>
                <w:b/>
                <w:sz w:val="22"/>
                <w:szCs w:val="22"/>
              </w:rPr>
              <w:t>(Para personas de 36 años y menores)</w:t>
            </w:r>
          </w:p>
          <w:p w14:paraId="08677B1B" w14:textId="77777777" w:rsidR="00802F03" w:rsidRPr="00802F03" w:rsidRDefault="00802F03" w:rsidP="00802F03">
            <w:pPr>
              <w:jc w:val="center"/>
              <w:rPr>
                <w:rFonts w:eastAsia="Times New Roman"/>
                <w:b/>
                <w:sz w:val="22"/>
                <w:szCs w:val="22"/>
              </w:rPr>
            </w:pPr>
            <w:r w:rsidRPr="00802F03">
              <w:rPr>
                <w:rFonts w:eastAsia="Times New Roman"/>
                <w:b/>
                <w:sz w:val="22"/>
                <w:szCs w:val="22"/>
              </w:rPr>
              <w:t xml:space="preserve">-Cifras porcentuales al cierre de </w:t>
            </w:r>
          </w:p>
          <w:p w14:paraId="04EA63A6" w14:textId="77777777" w:rsidR="00802F03" w:rsidRPr="00802F03" w:rsidRDefault="00802F03" w:rsidP="00802F03">
            <w:pPr>
              <w:jc w:val="center"/>
              <w:rPr>
                <w:rFonts w:eastAsia="Times New Roman"/>
                <w:b/>
              </w:rPr>
            </w:pPr>
            <w:r w:rsidRPr="00802F03">
              <w:rPr>
                <w:rFonts w:eastAsia="Times New Roman"/>
                <w:b/>
                <w:sz w:val="22"/>
                <w:szCs w:val="22"/>
              </w:rPr>
              <w:t>marzo de 2015-</w:t>
            </w:r>
          </w:p>
        </w:tc>
      </w:tr>
      <w:tr w:rsidR="00802F03" w:rsidRPr="00802F03" w14:paraId="0E8040E7" w14:textId="77777777" w:rsidTr="00892FE5">
        <w:trPr>
          <w:jc w:val="center"/>
        </w:trPr>
        <w:tc>
          <w:tcPr>
            <w:tcW w:w="4969" w:type="dxa"/>
            <w:gridSpan w:val="2"/>
            <w:vAlign w:val="center"/>
          </w:tcPr>
          <w:p w14:paraId="4FB94CB7" w14:textId="77777777" w:rsidR="00802F03" w:rsidRPr="00802F03" w:rsidRDefault="00802F03" w:rsidP="00802F03">
            <w:pPr>
              <w:jc w:val="center"/>
              <w:rPr>
                <w:rFonts w:eastAsia="Times New Roman"/>
                <w:b/>
                <w:sz w:val="20"/>
                <w:szCs w:val="20"/>
              </w:rPr>
            </w:pPr>
            <w:r w:rsidRPr="00802F03">
              <w:rPr>
                <w:rFonts w:eastAsia="Times New Roman"/>
                <w:b/>
                <w:sz w:val="20"/>
                <w:szCs w:val="20"/>
              </w:rPr>
              <w:t>INDICADOR DE RENDIMIENTO NETO</w:t>
            </w:r>
          </w:p>
          <w:p w14:paraId="12C0EE3C" w14:textId="77777777" w:rsidR="00802F03" w:rsidRPr="00802F03" w:rsidRDefault="00802F03" w:rsidP="00802F03">
            <w:pPr>
              <w:jc w:val="center"/>
              <w:rPr>
                <w:rFonts w:eastAsia="Times New Roman"/>
                <w:b/>
                <w:sz w:val="20"/>
                <w:szCs w:val="20"/>
              </w:rPr>
            </w:pPr>
            <w:r w:rsidRPr="00802F03">
              <w:rPr>
                <w:rFonts w:eastAsia="Times New Roman"/>
                <w:b/>
                <w:sz w:val="20"/>
                <w:szCs w:val="20"/>
              </w:rPr>
              <w:t>(67 MESES)</w:t>
            </w:r>
          </w:p>
        </w:tc>
      </w:tr>
      <w:tr w:rsidR="00802F03" w:rsidRPr="00802F03" w14:paraId="7D61410A" w14:textId="77777777" w:rsidTr="00892FE5">
        <w:trPr>
          <w:jc w:val="center"/>
        </w:trPr>
        <w:tc>
          <w:tcPr>
            <w:tcW w:w="2733" w:type="dxa"/>
            <w:vAlign w:val="center"/>
          </w:tcPr>
          <w:p w14:paraId="69468DDF" w14:textId="77777777" w:rsidR="00802F03" w:rsidRPr="00802F03" w:rsidRDefault="00802F03" w:rsidP="00802F03">
            <w:pPr>
              <w:jc w:val="center"/>
              <w:rPr>
                <w:rFonts w:eastAsia="Times New Roman"/>
                <w:b/>
                <w:sz w:val="20"/>
                <w:szCs w:val="20"/>
              </w:rPr>
            </w:pPr>
            <w:r w:rsidRPr="00802F03">
              <w:rPr>
                <w:rFonts w:eastAsia="Times New Roman"/>
                <w:b/>
                <w:sz w:val="20"/>
                <w:szCs w:val="20"/>
              </w:rPr>
              <w:t>Afores</w:t>
            </w:r>
          </w:p>
        </w:tc>
        <w:tc>
          <w:tcPr>
            <w:tcW w:w="2236" w:type="dxa"/>
            <w:vAlign w:val="center"/>
          </w:tcPr>
          <w:p w14:paraId="52BD8771" w14:textId="77777777" w:rsidR="00802F03" w:rsidRPr="00802F03" w:rsidRDefault="00802F03" w:rsidP="00802F03">
            <w:pPr>
              <w:jc w:val="center"/>
              <w:rPr>
                <w:rFonts w:eastAsia="Times New Roman"/>
                <w:b/>
                <w:sz w:val="20"/>
                <w:szCs w:val="20"/>
              </w:rPr>
            </w:pPr>
            <w:r w:rsidRPr="00802F03">
              <w:rPr>
                <w:rFonts w:eastAsia="Times New Roman"/>
                <w:b/>
                <w:sz w:val="20"/>
                <w:szCs w:val="20"/>
              </w:rPr>
              <w:t>Rendimiento</w:t>
            </w:r>
          </w:p>
          <w:p w14:paraId="4C01D550" w14:textId="77777777" w:rsidR="00802F03" w:rsidRPr="00802F03" w:rsidRDefault="00802F03" w:rsidP="00802F03">
            <w:pPr>
              <w:jc w:val="center"/>
              <w:rPr>
                <w:rFonts w:eastAsia="Times New Roman"/>
                <w:b/>
                <w:sz w:val="20"/>
                <w:szCs w:val="20"/>
              </w:rPr>
            </w:pPr>
            <w:r w:rsidRPr="00802F03">
              <w:rPr>
                <w:rFonts w:eastAsia="Times New Roman"/>
                <w:b/>
                <w:sz w:val="20"/>
                <w:szCs w:val="20"/>
              </w:rPr>
              <w:t>Neto</w:t>
            </w:r>
          </w:p>
        </w:tc>
      </w:tr>
      <w:tr w:rsidR="00802F03" w:rsidRPr="00802F03" w14:paraId="368303DA" w14:textId="77777777" w:rsidTr="00892FE5">
        <w:trPr>
          <w:jc w:val="center"/>
        </w:trPr>
        <w:tc>
          <w:tcPr>
            <w:tcW w:w="2733" w:type="dxa"/>
          </w:tcPr>
          <w:p w14:paraId="17091AD1" w14:textId="77777777" w:rsidR="00802F03" w:rsidRPr="00802F03" w:rsidRDefault="00802F03" w:rsidP="00802F03">
            <w:pPr>
              <w:rPr>
                <w:rFonts w:eastAsia="Calibri"/>
                <w:sz w:val="20"/>
                <w:szCs w:val="20"/>
                <w:lang w:eastAsia="en-US"/>
              </w:rPr>
            </w:pPr>
            <w:r w:rsidRPr="00802F03">
              <w:rPr>
                <w:rFonts w:eastAsia="Calibri"/>
                <w:sz w:val="20"/>
                <w:szCs w:val="20"/>
                <w:lang w:eastAsia="en-US"/>
              </w:rPr>
              <w:t>SURA</w:t>
            </w:r>
          </w:p>
        </w:tc>
        <w:tc>
          <w:tcPr>
            <w:tcW w:w="2236" w:type="dxa"/>
          </w:tcPr>
          <w:p w14:paraId="535672E8"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12.08</w:t>
            </w:r>
          </w:p>
        </w:tc>
      </w:tr>
      <w:tr w:rsidR="00802F03" w:rsidRPr="00802F03" w14:paraId="2EA3C0A6" w14:textId="77777777" w:rsidTr="00892FE5">
        <w:trPr>
          <w:jc w:val="center"/>
        </w:trPr>
        <w:tc>
          <w:tcPr>
            <w:tcW w:w="2733" w:type="dxa"/>
            <w:tcBorders>
              <w:top w:val="single" w:sz="4" w:space="0" w:color="auto"/>
              <w:left w:val="single" w:sz="4" w:space="0" w:color="auto"/>
              <w:bottom w:val="single" w:sz="4" w:space="0" w:color="auto"/>
              <w:right w:val="single" w:sz="4" w:space="0" w:color="auto"/>
            </w:tcBorders>
          </w:tcPr>
          <w:p w14:paraId="5B37864E" w14:textId="77777777" w:rsidR="00802F03" w:rsidRPr="00802F03" w:rsidRDefault="00802F03" w:rsidP="00802F03">
            <w:pPr>
              <w:rPr>
                <w:rFonts w:eastAsia="Calibri"/>
                <w:sz w:val="20"/>
                <w:szCs w:val="20"/>
                <w:lang w:eastAsia="en-US"/>
              </w:rPr>
            </w:pPr>
            <w:r w:rsidRPr="00802F03">
              <w:rPr>
                <w:rFonts w:eastAsia="Calibri"/>
                <w:sz w:val="20"/>
                <w:szCs w:val="20"/>
                <w:lang w:eastAsia="en-US"/>
              </w:rPr>
              <w:t>Banamex</w:t>
            </w:r>
          </w:p>
        </w:tc>
        <w:tc>
          <w:tcPr>
            <w:tcW w:w="2236" w:type="dxa"/>
            <w:tcBorders>
              <w:top w:val="single" w:sz="4" w:space="0" w:color="auto"/>
              <w:left w:val="single" w:sz="4" w:space="0" w:color="auto"/>
              <w:bottom w:val="single" w:sz="4" w:space="0" w:color="auto"/>
              <w:right w:val="single" w:sz="4" w:space="0" w:color="auto"/>
            </w:tcBorders>
          </w:tcPr>
          <w:p w14:paraId="7C283C71"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11.01</w:t>
            </w:r>
          </w:p>
        </w:tc>
      </w:tr>
      <w:tr w:rsidR="00802F03" w:rsidRPr="00802F03" w14:paraId="67FAA45B" w14:textId="77777777" w:rsidTr="00892FE5">
        <w:trPr>
          <w:jc w:val="center"/>
        </w:trPr>
        <w:tc>
          <w:tcPr>
            <w:tcW w:w="2733" w:type="dxa"/>
          </w:tcPr>
          <w:p w14:paraId="5B22750C"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Profuturo GNP</w:t>
            </w:r>
          </w:p>
        </w:tc>
        <w:tc>
          <w:tcPr>
            <w:tcW w:w="2236" w:type="dxa"/>
          </w:tcPr>
          <w:p w14:paraId="53F137E8"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10.93</w:t>
            </w:r>
          </w:p>
        </w:tc>
      </w:tr>
      <w:tr w:rsidR="00802F03" w:rsidRPr="00802F03" w14:paraId="3CF66F9F" w14:textId="77777777" w:rsidTr="00892FE5">
        <w:trPr>
          <w:jc w:val="center"/>
        </w:trPr>
        <w:tc>
          <w:tcPr>
            <w:tcW w:w="2733" w:type="dxa"/>
          </w:tcPr>
          <w:p w14:paraId="1580388A" w14:textId="77777777" w:rsidR="00802F03" w:rsidRPr="00802F03" w:rsidRDefault="00802F03" w:rsidP="00802F03">
            <w:pPr>
              <w:rPr>
                <w:rFonts w:eastAsia="Calibri"/>
                <w:sz w:val="20"/>
                <w:szCs w:val="20"/>
                <w:lang w:eastAsia="en-US"/>
              </w:rPr>
            </w:pPr>
            <w:r w:rsidRPr="00802F03">
              <w:rPr>
                <w:rFonts w:eastAsia="Calibri"/>
                <w:sz w:val="20"/>
                <w:szCs w:val="20"/>
                <w:lang w:eastAsia="en-US"/>
              </w:rPr>
              <w:t>PensionISSSTE</w:t>
            </w:r>
          </w:p>
        </w:tc>
        <w:tc>
          <w:tcPr>
            <w:tcW w:w="2236" w:type="dxa"/>
          </w:tcPr>
          <w:p w14:paraId="7305B4CF"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10.67</w:t>
            </w:r>
          </w:p>
        </w:tc>
      </w:tr>
      <w:tr w:rsidR="00802F03" w:rsidRPr="00802F03" w14:paraId="2B859739" w14:textId="77777777" w:rsidTr="00892FE5">
        <w:trPr>
          <w:jc w:val="center"/>
        </w:trPr>
        <w:tc>
          <w:tcPr>
            <w:tcW w:w="2733" w:type="dxa"/>
          </w:tcPr>
          <w:p w14:paraId="5524FB81" w14:textId="77777777" w:rsidR="00802F03" w:rsidRPr="00802F03" w:rsidRDefault="00802F03" w:rsidP="00802F03">
            <w:pPr>
              <w:rPr>
                <w:rFonts w:eastAsia="Calibri"/>
                <w:sz w:val="20"/>
                <w:szCs w:val="20"/>
                <w:lang w:eastAsia="en-US"/>
              </w:rPr>
            </w:pPr>
            <w:r w:rsidRPr="00802F03">
              <w:rPr>
                <w:rFonts w:eastAsia="Calibri"/>
                <w:sz w:val="20"/>
                <w:szCs w:val="20"/>
                <w:lang w:eastAsia="en-US"/>
              </w:rPr>
              <w:t>MetLife</w:t>
            </w:r>
          </w:p>
        </w:tc>
        <w:tc>
          <w:tcPr>
            <w:tcW w:w="2236" w:type="dxa"/>
          </w:tcPr>
          <w:p w14:paraId="06D16E6A"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10.23</w:t>
            </w:r>
          </w:p>
        </w:tc>
      </w:tr>
      <w:tr w:rsidR="00802F03" w:rsidRPr="00802F03" w14:paraId="2490D5F0" w14:textId="77777777" w:rsidTr="00892FE5">
        <w:trPr>
          <w:jc w:val="center"/>
        </w:trPr>
        <w:tc>
          <w:tcPr>
            <w:tcW w:w="2733" w:type="dxa"/>
          </w:tcPr>
          <w:p w14:paraId="3F0740D2"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Invercap</w:t>
            </w:r>
          </w:p>
        </w:tc>
        <w:tc>
          <w:tcPr>
            <w:tcW w:w="2236" w:type="dxa"/>
          </w:tcPr>
          <w:p w14:paraId="144E8D56"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9.93</w:t>
            </w:r>
          </w:p>
        </w:tc>
      </w:tr>
      <w:tr w:rsidR="00802F03" w:rsidRPr="00802F03" w14:paraId="15AF0B07" w14:textId="77777777" w:rsidTr="00892FE5">
        <w:trPr>
          <w:jc w:val="center"/>
        </w:trPr>
        <w:tc>
          <w:tcPr>
            <w:tcW w:w="2733" w:type="dxa"/>
          </w:tcPr>
          <w:p w14:paraId="636C2CC8" w14:textId="77777777" w:rsidR="00802F03" w:rsidRPr="00802F03" w:rsidRDefault="00802F03" w:rsidP="00802F03">
            <w:pPr>
              <w:rPr>
                <w:rFonts w:eastAsia="Calibri"/>
                <w:sz w:val="20"/>
                <w:szCs w:val="20"/>
                <w:lang w:eastAsia="en-US"/>
              </w:rPr>
            </w:pPr>
            <w:r w:rsidRPr="00802F03">
              <w:rPr>
                <w:rFonts w:eastAsia="Calibri"/>
                <w:sz w:val="20"/>
                <w:szCs w:val="20"/>
                <w:lang w:eastAsia="en-US"/>
              </w:rPr>
              <w:t>XXI-Banorte</w:t>
            </w:r>
          </w:p>
        </w:tc>
        <w:tc>
          <w:tcPr>
            <w:tcW w:w="2236" w:type="dxa"/>
          </w:tcPr>
          <w:p w14:paraId="47FED144"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9.84</w:t>
            </w:r>
          </w:p>
        </w:tc>
      </w:tr>
      <w:tr w:rsidR="00802F03" w:rsidRPr="00802F03" w14:paraId="590F1E1C" w14:textId="77777777" w:rsidTr="00892FE5">
        <w:trPr>
          <w:jc w:val="center"/>
        </w:trPr>
        <w:tc>
          <w:tcPr>
            <w:tcW w:w="2733" w:type="dxa"/>
          </w:tcPr>
          <w:p w14:paraId="7746BF8A"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Principal</w:t>
            </w:r>
          </w:p>
        </w:tc>
        <w:tc>
          <w:tcPr>
            <w:tcW w:w="2236" w:type="dxa"/>
          </w:tcPr>
          <w:p w14:paraId="702F1395"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9.46</w:t>
            </w:r>
          </w:p>
        </w:tc>
      </w:tr>
      <w:tr w:rsidR="00802F03" w:rsidRPr="00802F03" w14:paraId="44E70712" w14:textId="77777777" w:rsidTr="00892FE5">
        <w:trPr>
          <w:jc w:val="center"/>
        </w:trPr>
        <w:tc>
          <w:tcPr>
            <w:tcW w:w="2733" w:type="dxa"/>
          </w:tcPr>
          <w:p w14:paraId="3402F010" w14:textId="77777777" w:rsidR="00802F03" w:rsidRPr="00802F03" w:rsidRDefault="00802F03" w:rsidP="00802F03">
            <w:pPr>
              <w:rPr>
                <w:rFonts w:eastAsia="Calibri"/>
                <w:sz w:val="20"/>
                <w:szCs w:val="20"/>
                <w:lang w:eastAsia="en-US"/>
              </w:rPr>
            </w:pPr>
            <w:r w:rsidRPr="00802F03">
              <w:rPr>
                <w:rFonts w:eastAsia="Calibri"/>
                <w:sz w:val="20"/>
                <w:szCs w:val="20"/>
                <w:lang w:eastAsia="en-US"/>
              </w:rPr>
              <w:t>Azteca</w:t>
            </w:r>
          </w:p>
        </w:tc>
        <w:tc>
          <w:tcPr>
            <w:tcW w:w="2236" w:type="dxa"/>
          </w:tcPr>
          <w:p w14:paraId="6FC0721F"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8.41</w:t>
            </w:r>
          </w:p>
        </w:tc>
      </w:tr>
      <w:tr w:rsidR="00802F03" w:rsidRPr="00802F03" w14:paraId="02BDD442" w14:textId="77777777" w:rsidTr="00892FE5">
        <w:trPr>
          <w:jc w:val="center"/>
        </w:trPr>
        <w:tc>
          <w:tcPr>
            <w:tcW w:w="2733" w:type="dxa"/>
          </w:tcPr>
          <w:p w14:paraId="6E072876" w14:textId="77777777" w:rsidR="00802F03" w:rsidRPr="00802F03" w:rsidRDefault="00802F03" w:rsidP="00802F03">
            <w:pPr>
              <w:rPr>
                <w:rFonts w:eastAsia="Calibri"/>
                <w:sz w:val="20"/>
                <w:szCs w:val="20"/>
                <w:lang w:eastAsia="en-US"/>
              </w:rPr>
            </w:pPr>
            <w:r w:rsidRPr="00802F03">
              <w:rPr>
                <w:rFonts w:eastAsia="Calibri"/>
                <w:sz w:val="20"/>
                <w:szCs w:val="20"/>
                <w:lang w:eastAsia="en-US"/>
              </w:rPr>
              <w:t>Coppel</w:t>
            </w:r>
          </w:p>
        </w:tc>
        <w:tc>
          <w:tcPr>
            <w:tcW w:w="2236" w:type="dxa"/>
          </w:tcPr>
          <w:p w14:paraId="23A8186D"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7.80</w:t>
            </w:r>
          </w:p>
        </w:tc>
      </w:tr>
      <w:tr w:rsidR="00802F03" w:rsidRPr="00802F03" w14:paraId="75B223E1" w14:textId="77777777" w:rsidTr="00892FE5">
        <w:trPr>
          <w:jc w:val="center"/>
        </w:trPr>
        <w:tc>
          <w:tcPr>
            <w:tcW w:w="2733" w:type="dxa"/>
          </w:tcPr>
          <w:p w14:paraId="4784A677"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Inbursa</w:t>
            </w:r>
          </w:p>
        </w:tc>
        <w:tc>
          <w:tcPr>
            <w:tcW w:w="2236" w:type="dxa"/>
          </w:tcPr>
          <w:p w14:paraId="46F30FCE"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6.05</w:t>
            </w:r>
          </w:p>
        </w:tc>
      </w:tr>
      <w:tr w:rsidR="00802F03" w:rsidRPr="00802F03" w14:paraId="196368A3" w14:textId="77777777" w:rsidTr="00892FE5">
        <w:trPr>
          <w:jc w:val="center"/>
        </w:trPr>
        <w:tc>
          <w:tcPr>
            <w:tcW w:w="2733" w:type="dxa"/>
          </w:tcPr>
          <w:p w14:paraId="4E176AF8"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Simple</w:t>
            </w:r>
          </w:p>
        </w:tc>
        <w:tc>
          <w:tcPr>
            <w:tcW w:w="2236" w:type="dxa"/>
          </w:tcPr>
          <w:p w14:paraId="736F8C39"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9.67</w:t>
            </w:r>
          </w:p>
        </w:tc>
      </w:tr>
      <w:tr w:rsidR="00802F03" w:rsidRPr="00802F03" w14:paraId="63F74E98" w14:textId="77777777" w:rsidTr="00892FE5">
        <w:trPr>
          <w:jc w:val="center"/>
        </w:trPr>
        <w:tc>
          <w:tcPr>
            <w:tcW w:w="2733" w:type="dxa"/>
            <w:tcBorders>
              <w:bottom w:val="single" w:sz="4" w:space="0" w:color="auto"/>
            </w:tcBorders>
          </w:tcPr>
          <w:p w14:paraId="15B1E77F"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Ponderado*</w:t>
            </w:r>
          </w:p>
        </w:tc>
        <w:tc>
          <w:tcPr>
            <w:tcW w:w="2236" w:type="dxa"/>
            <w:tcBorders>
              <w:bottom w:val="single" w:sz="4" w:space="0" w:color="auto"/>
            </w:tcBorders>
          </w:tcPr>
          <w:p w14:paraId="650AA20A"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10.18</w:t>
            </w:r>
          </w:p>
        </w:tc>
      </w:tr>
      <w:tr w:rsidR="00802F03" w:rsidRPr="00802F03" w14:paraId="08DC1429" w14:textId="77777777" w:rsidTr="00892FE5">
        <w:trPr>
          <w:jc w:val="center"/>
        </w:trPr>
        <w:tc>
          <w:tcPr>
            <w:tcW w:w="4969" w:type="dxa"/>
            <w:gridSpan w:val="2"/>
            <w:tcBorders>
              <w:left w:val="nil"/>
              <w:bottom w:val="nil"/>
              <w:right w:val="nil"/>
            </w:tcBorders>
          </w:tcPr>
          <w:p w14:paraId="218F0BD1" w14:textId="77777777" w:rsidR="00802F03" w:rsidRPr="00802F03" w:rsidRDefault="00802F03" w:rsidP="00802F03">
            <w:pPr>
              <w:ind w:left="170" w:hanging="170"/>
              <w:jc w:val="both"/>
              <w:rPr>
                <w:rFonts w:eastAsia="Times New Roman"/>
                <w:sz w:val="20"/>
                <w:szCs w:val="20"/>
              </w:rPr>
            </w:pPr>
            <w:r w:rsidRPr="00802F03">
              <w:rPr>
                <w:rFonts w:eastAsia="Times New Roman"/>
                <w:sz w:val="20"/>
                <w:szCs w:val="20"/>
              </w:rPr>
              <w:t>* Es el promedio ponderado, por los activos administrados, de los rendimientos netos de las Siefores Básicas.</w:t>
            </w:r>
          </w:p>
          <w:p w14:paraId="07C5084D" w14:textId="77777777" w:rsidR="00802F03" w:rsidRPr="00802F03" w:rsidRDefault="00802F03" w:rsidP="00802F03">
            <w:pPr>
              <w:ind w:left="539" w:hanging="539"/>
              <w:jc w:val="both"/>
              <w:rPr>
                <w:rFonts w:eastAsia="Times New Roman"/>
                <w:sz w:val="20"/>
                <w:szCs w:val="20"/>
              </w:rPr>
            </w:pPr>
            <w:r w:rsidRPr="00802F03">
              <w:rPr>
                <w:rFonts w:eastAsia="Times New Roman"/>
                <w:sz w:val="20"/>
                <w:szCs w:val="20"/>
              </w:rPr>
              <w:t>Nota: Los Indicadores de Rendimiento Neto incluyen la deducción de las Comisiones aplicables.</w:t>
            </w:r>
          </w:p>
          <w:p w14:paraId="2CDC2E5E" w14:textId="77777777" w:rsidR="00802F03" w:rsidRPr="00802F03" w:rsidRDefault="00802F03" w:rsidP="00802F03">
            <w:pPr>
              <w:ind w:left="539"/>
              <w:jc w:val="both"/>
              <w:rPr>
                <w:rFonts w:eastAsia="Times New Roman"/>
                <w:sz w:val="20"/>
                <w:szCs w:val="20"/>
              </w:rPr>
            </w:pPr>
            <w:r w:rsidRPr="00802F03">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15EB8F10" w14:textId="77777777" w:rsidR="00802F03" w:rsidRPr="00802F03" w:rsidRDefault="00802F03" w:rsidP="00802F03">
            <w:pPr>
              <w:jc w:val="both"/>
              <w:rPr>
                <w:rFonts w:eastAsia="Times New Roman"/>
                <w:sz w:val="20"/>
                <w:szCs w:val="20"/>
              </w:rPr>
            </w:pPr>
            <w:r w:rsidRPr="00802F03">
              <w:rPr>
                <w:rFonts w:eastAsia="Times New Roman"/>
                <w:sz w:val="20"/>
                <w:szCs w:val="20"/>
              </w:rPr>
              <w:t>FUENTE: Consar.</w:t>
            </w:r>
          </w:p>
        </w:tc>
      </w:tr>
    </w:tbl>
    <w:p w14:paraId="7DFE16F9" w14:textId="77777777" w:rsidR="00802F03" w:rsidRPr="00802F03" w:rsidRDefault="00802F03" w:rsidP="00802F03"/>
    <w:p w14:paraId="17C4437F" w14:textId="77777777" w:rsidR="00802F03" w:rsidRPr="00802F03" w:rsidRDefault="00802F03" w:rsidP="00802F03"/>
    <w:p w14:paraId="5F5E2E7C" w14:textId="77777777" w:rsidR="00802F03" w:rsidRPr="00802F03" w:rsidRDefault="00802F03" w:rsidP="00802F03"/>
    <w:p w14:paraId="3B2A3299" w14:textId="77777777" w:rsidR="00802F03" w:rsidRPr="00802F03" w:rsidRDefault="00802F03" w:rsidP="00802F03"/>
    <w:p w14:paraId="5CE3F278" w14:textId="77777777" w:rsidR="00802F03" w:rsidRPr="00802F03" w:rsidRDefault="00802F03" w:rsidP="00802F03"/>
    <w:p w14:paraId="2FD9CC19" w14:textId="77777777" w:rsidR="00802F03" w:rsidRPr="00802F03" w:rsidRDefault="00802F03" w:rsidP="00802F03"/>
    <w:p w14:paraId="5177A124" w14:textId="77777777" w:rsidR="00802F03" w:rsidRPr="00802F03" w:rsidRDefault="00802F03" w:rsidP="00802F03"/>
    <w:p w14:paraId="756DB58C" w14:textId="77777777" w:rsidR="00802F03" w:rsidRPr="00802F03" w:rsidRDefault="00802F03" w:rsidP="00802F03"/>
    <w:p w14:paraId="0CDAA30A" w14:textId="77777777" w:rsidR="00802F03" w:rsidRDefault="00802F03" w:rsidP="00802F03"/>
    <w:p w14:paraId="14445968" w14:textId="77777777" w:rsidR="001B3CD5" w:rsidRPr="00802F03" w:rsidRDefault="001B3CD5" w:rsidP="00802F03"/>
    <w:p w14:paraId="3AAD6EC1" w14:textId="77777777" w:rsidR="00802F03" w:rsidRPr="00802F03" w:rsidRDefault="00802F03" w:rsidP="00802F03"/>
    <w:p w14:paraId="2A7EBDD4" w14:textId="77777777" w:rsidR="00802F03" w:rsidRPr="00802F03" w:rsidRDefault="00802F03" w:rsidP="00802F03"/>
    <w:p w14:paraId="5B452E14" w14:textId="77777777" w:rsidR="00802F03" w:rsidRPr="00802F03" w:rsidRDefault="00802F03" w:rsidP="00802F03"/>
    <w:p w14:paraId="08059AB9" w14:textId="77777777" w:rsidR="00802F03" w:rsidRPr="00802F03" w:rsidRDefault="00802F03" w:rsidP="00802F03"/>
    <w:p w14:paraId="5A0D5C6F" w14:textId="77777777" w:rsidR="00802F03" w:rsidRPr="00802F03" w:rsidRDefault="00802F03" w:rsidP="00802F03"/>
    <w:p w14:paraId="4D9FF520" w14:textId="77777777" w:rsidR="00802F03" w:rsidRPr="00802F03" w:rsidRDefault="00802F03" w:rsidP="00802F03"/>
    <w:p w14:paraId="0C8BAE8F" w14:textId="77777777" w:rsidR="00802F03" w:rsidRPr="00802F03" w:rsidRDefault="00802F03" w:rsidP="00802F03"/>
    <w:p w14:paraId="65B466EF" w14:textId="77777777" w:rsidR="00802F03" w:rsidRPr="00802F03" w:rsidRDefault="00802F03" w:rsidP="00802F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802F03" w:rsidRPr="00802F03" w14:paraId="6EE081EF" w14:textId="77777777" w:rsidTr="00892FE5">
        <w:trPr>
          <w:jc w:val="center"/>
        </w:trPr>
        <w:tc>
          <w:tcPr>
            <w:tcW w:w="4969" w:type="dxa"/>
            <w:gridSpan w:val="2"/>
            <w:tcBorders>
              <w:top w:val="nil"/>
              <w:left w:val="nil"/>
              <w:right w:val="nil"/>
            </w:tcBorders>
            <w:vAlign w:val="center"/>
          </w:tcPr>
          <w:p w14:paraId="54DDC780" w14:textId="77777777" w:rsidR="00802F03" w:rsidRPr="00802F03" w:rsidRDefault="00802F03" w:rsidP="00802F03">
            <w:pPr>
              <w:jc w:val="center"/>
              <w:rPr>
                <w:rFonts w:eastAsia="Times New Roman"/>
                <w:b/>
              </w:rPr>
            </w:pPr>
            <w:r w:rsidRPr="00802F03">
              <w:rPr>
                <w:rFonts w:eastAsia="Times New Roman"/>
                <w:b/>
                <w:sz w:val="22"/>
                <w:szCs w:val="22"/>
              </w:rPr>
              <w:lastRenderedPageBreak/>
              <w:t>A MAYOR RENDIMIENTO NETO, MAYOR PENSIÓN</w:t>
            </w:r>
          </w:p>
          <w:p w14:paraId="5B3B49D2" w14:textId="77777777" w:rsidR="00802F03" w:rsidRPr="00802F03" w:rsidRDefault="00802F03" w:rsidP="00802F03">
            <w:pPr>
              <w:jc w:val="center"/>
              <w:rPr>
                <w:rFonts w:eastAsia="Times New Roman"/>
                <w:b/>
              </w:rPr>
            </w:pPr>
            <w:r w:rsidRPr="00802F03">
              <w:rPr>
                <w:rFonts w:eastAsia="Times New Roman"/>
                <w:b/>
                <w:sz w:val="22"/>
                <w:szCs w:val="22"/>
              </w:rPr>
              <w:t xml:space="preserve">Siefore Básica 3 </w:t>
            </w:r>
          </w:p>
          <w:p w14:paraId="0C8BF2B5" w14:textId="77777777" w:rsidR="00802F03" w:rsidRPr="00802F03" w:rsidRDefault="00802F03" w:rsidP="00802F03">
            <w:pPr>
              <w:jc w:val="center"/>
              <w:rPr>
                <w:rFonts w:eastAsia="Times New Roman"/>
                <w:b/>
              </w:rPr>
            </w:pPr>
            <w:r w:rsidRPr="00802F03">
              <w:rPr>
                <w:rFonts w:eastAsia="Times New Roman"/>
                <w:b/>
                <w:sz w:val="22"/>
                <w:szCs w:val="22"/>
              </w:rPr>
              <w:t>(Para personas entre 37 y 45 años)</w:t>
            </w:r>
          </w:p>
          <w:p w14:paraId="6FEAAF11" w14:textId="77777777" w:rsidR="00802F03" w:rsidRPr="00802F03" w:rsidRDefault="00802F03" w:rsidP="00802F03">
            <w:pPr>
              <w:jc w:val="center"/>
              <w:rPr>
                <w:rFonts w:eastAsia="Times New Roman"/>
                <w:b/>
                <w:sz w:val="22"/>
                <w:szCs w:val="22"/>
              </w:rPr>
            </w:pPr>
            <w:r w:rsidRPr="00802F03">
              <w:rPr>
                <w:rFonts w:eastAsia="Times New Roman"/>
                <w:b/>
                <w:sz w:val="22"/>
                <w:szCs w:val="22"/>
              </w:rPr>
              <w:t>-Cifras porcentuales al cierre de</w:t>
            </w:r>
          </w:p>
          <w:p w14:paraId="194B0A8D" w14:textId="77777777" w:rsidR="00802F03" w:rsidRPr="00802F03" w:rsidRDefault="00802F03" w:rsidP="00802F03">
            <w:pPr>
              <w:jc w:val="center"/>
              <w:rPr>
                <w:rFonts w:eastAsia="Times New Roman"/>
                <w:b/>
              </w:rPr>
            </w:pPr>
            <w:r w:rsidRPr="00802F03">
              <w:rPr>
                <w:rFonts w:eastAsia="Times New Roman"/>
                <w:b/>
                <w:sz w:val="22"/>
                <w:szCs w:val="22"/>
              </w:rPr>
              <w:t>marzo de 2015-</w:t>
            </w:r>
          </w:p>
        </w:tc>
      </w:tr>
      <w:tr w:rsidR="00802F03" w:rsidRPr="00802F03" w14:paraId="058B6384" w14:textId="77777777" w:rsidTr="00892FE5">
        <w:trPr>
          <w:jc w:val="center"/>
        </w:trPr>
        <w:tc>
          <w:tcPr>
            <w:tcW w:w="4969" w:type="dxa"/>
            <w:gridSpan w:val="2"/>
            <w:vAlign w:val="center"/>
          </w:tcPr>
          <w:p w14:paraId="35E5AF4D" w14:textId="77777777" w:rsidR="00802F03" w:rsidRPr="00802F03" w:rsidRDefault="00802F03" w:rsidP="00802F03">
            <w:pPr>
              <w:jc w:val="center"/>
              <w:rPr>
                <w:rFonts w:eastAsia="Times New Roman"/>
                <w:b/>
                <w:sz w:val="20"/>
                <w:szCs w:val="20"/>
              </w:rPr>
            </w:pPr>
            <w:r w:rsidRPr="00802F03">
              <w:rPr>
                <w:rFonts w:eastAsia="Times New Roman"/>
                <w:b/>
                <w:sz w:val="20"/>
                <w:szCs w:val="20"/>
              </w:rPr>
              <w:t>INDICADOR DE RENDIMIENTO NETO</w:t>
            </w:r>
          </w:p>
          <w:p w14:paraId="4782F204" w14:textId="77777777" w:rsidR="00802F03" w:rsidRPr="00802F03" w:rsidRDefault="00802F03" w:rsidP="00802F03">
            <w:pPr>
              <w:jc w:val="center"/>
              <w:rPr>
                <w:rFonts w:eastAsia="Times New Roman"/>
                <w:b/>
                <w:sz w:val="20"/>
                <w:szCs w:val="20"/>
              </w:rPr>
            </w:pPr>
            <w:r w:rsidRPr="00802F03">
              <w:rPr>
                <w:rFonts w:eastAsia="Times New Roman"/>
                <w:b/>
                <w:sz w:val="20"/>
                <w:szCs w:val="20"/>
              </w:rPr>
              <w:t>(67 MESES)</w:t>
            </w:r>
          </w:p>
        </w:tc>
      </w:tr>
      <w:tr w:rsidR="00802F03" w:rsidRPr="00802F03" w14:paraId="36AA798E" w14:textId="77777777" w:rsidTr="00892FE5">
        <w:trPr>
          <w:jc w:val="center"/>
        </w:trPr>
        <w:tc>
          <w:tcPr>
            <w:tcW w:w="2733" w:type="dxa"/>
            <w:vAlign w:val="center"/>
          </w:tcPr>
          <w:p w14:paraId="4F756D2F" w14:textId="77777777" w:rsidR="00802F03" w:rsidRPr="00802F03" w:rsidRDefault="00802F03" w:rsidP="00802F03">
            <w:pPr>
              <w:jc w:val="center"/>
              <w:rPr>
                <w:rFonts w:eastAsia="Times New Roman"/>
                <w:b/>
                <w:sz w:val="20"/>
                <w:szCs w:val="20"/>
              </w:rPr>
            </w:pPr>
            <w:r w:rsidRPr="00802F03">
              <w:rPr>
                <w:rFonts w:eastAsia="Times New Roman"/>
                <w:b/>
                <w:sz w:val="20"/>
                <w:szCs w:val="20"/>
              </w:rPr>
              <w:t>Afores</w:t>
            </w:r>
          </w:p>
        </w:tc>
        <w:tc>
          <w:tcPr>
            <w:tcW w:w="2236" w:type="dxa"/>
            <w:vAlign w:val="center"/>
          </w:tcPr>
          <w:p w14:paraId="66EA80AF" w14:textId="77777777" w:rsidR="00802F03" w:rsidRPr="00802F03" w:rsidRDefault="00802F03" w:rsidP="00802F03">
            <w:pPr>
              <w:jc w:val="center"/>
              <w:rPr>
                <w:rFonts w:eastAsia="Times New Roman"/>
                <w:b/>
                <w:sz w:val="20"/>
                <w:szCs w:val="20"/>
              </w:rPr>
            </w:pPr>
            <w:r w:rsidRPr="00802F03">
              <w:rPr>
                <w:rFonts w:eastAsia="Times New Roman"/>
                <w:b/>
                <w:sz w:val="20"/>
                <w:szCs w:val="20"/>
              </w:rPr>
              <w:t>Rendimiento</w:t>
            </w:r>
          </w:p>
          <w:p w14:paraId="4D57A6E5" w14:textId="77777777" w:rsidR="00802F03" w:rsidRPr="00802F03" w:rsidRDefault="00802F03" w:rsidP="00802F03">
            <w:pPr>
              <w:jc w:val="center"/>
              <w:rPr>
                <w:rFonts w:eastAsia="Times New Roman"/>
                <w:b/>
                <w:sz w:val="20"/>
                <w:szCs w:val="20"/>
              </w:rPr>
            </w:pPr>
            <w:r w:rsidRPr="00802F03">
              <w:rPr>
                <w:rFonts w:eastAsia="Times New Roman"/>
                <w:b/>
                <w:sz w:val="20"/>
                <w:szCs w:val="20"/>
              </w:rPr>
              <w:t>Neto</w:t>
            </w:r>
          </w:p>
        </w:tc>
      </w:tr>
      <w:tr w:rsidR="00802F03" w:rsidRPr="00802F03" w14:paraId="4EBE0A2D" w14:textId="77777777" w:rsidTr="00892FE5">
        <w:trPr>
          <w:jc w:val="center"/>
        </w:trPr>
        <w:tc>
          <w:tcPr>
            <w:tcW w:w="2733" w:type="dxa"/>
          </w:tcPr>
          <w:p w14:paraId="450618AC" w14:textId="77777777" w:rsidR="00802F03" w:rsidRPr="00802F03" w:rsidRDefault="00802F03" w:rsidP="00802F03">
            <w:pPr>
              <w:rPr>
                <w:rFonts w:eastAsia="Calibri"/>
                <w:sz w:val="20"/>
                <w:szCs w:val="20"/>
                <w:lang w:eastAsia="en-US"/>
              </w:rPr>
            </w:pPr>
            <w:r w:rsidRPr="00802F03">
              <w:rPr>
                <w:rFonts w:eastAsia="Calibri"/>
                <w:sz w:val="20"/>
                <w:szCs w:val="20"/>
                <w:lang w:eastAsia="en-US"/>
              </w:rPr>
              <w:t>SURA</w:t>
            </w:r>
          </w:p>
        </w:tc>
        <w:tc>
          <w:tcPr>
            <w:tcW w:w="2236" w:type="dxa"/>
            <w:tcBorders>
              <w:right w:val="single" w:sz="4" w:space="0" w:color="auto"/>
            </w:tcBorders>
          </w:tcPr>
          <w:p w14:paraId="15ED6165"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10.77</w:t>
            </w:r>
          </w:p>
        </w:tc>
      </w:tr>
      <w:tr w:rsidR="00802F03" w:rsidRPr="00802F03" w14:paraId="23889B2F" w14:textId="77777777" w:rsidTr="00892FE5">
        <w:trPr>
          <w:jc w:val="center"/>
        </w:trPr>
        <w:tc>
          <w:tcPr>
            <w:tcW w:w="2733" w:type="dxa"/>
          </w:tcPr>
          <w:p w14:paraId="6B9939CF" w14:textId="77777777" w:rsidR="00802F03" w:rsidRPr="00802F03" w:rsidRDefault="00802F03" w:rsidP="00802F03">
            <w:pPr>
              <w:rPr>
                <w:rFonts w:eastAsia="Calibri"/>
                <w:sz w:val="20"/>
                <w:szCs w:val="20"/>
                <w:lang w:eastAsia="en-US"/>
              </w:rPr>
            </w:pPr>
            <w:r w:rsidRPr="00802F03">
              <w:rPr>
                <w:rFonts w:eastAsia="Calibri"/>
                <w:sz w:val="20"/>
                <w:szCs w:val="20"/>
                <w:lang w:eastAsia="en-US"/>
              </w:rPr>
              <w:t>PensionISSSTE</w:t>
            </w:r>
          </w:p>
        </w:tc>
        <w:tc>
          <w:tcPr>
            <w:tcW w:w="2236" w:type="dxa"/>
            <w:tcBorders>
              <w:right w:val="single" w:sz="4" w:space="0" w:color="auto"/>
            </w:tcBorders>
          </w:tcPr>
          <w:p w14:paraId="704BB5C1"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10.51</w:t>
            </w:r>
          </w:p>
        </w:tc>
      </w:tr>
      <w:tr w:rsidR="00802F03" w:rsidRPr="00802F03" w14:paraId="45257F01" w14:textId="77777777" w:rsidTr="00892FE5">
        <w:trPr>
          <w:jc w:val="center"/>
        </w:trPr>
        <w:tc>
          <w:tcPr>
            <w:tcW w:w="2733" w:type="dxa"/>
          </w:tcPr>
          <w:p w14:paraId="4AB62D78" w14:textId="77777777" w:rsidR="00802F03" w:rsidRPr="00802F03" w:rsidRDefault="00802F03" w:rsidP="00802F03">
            <w:pPr>
              <w:rPr>
                <w:rFonts w:eastAsia="Calibri"/>
                <w:sz w:val="20"/>
                <w:szCs w:val="20"/>
                <w:lang w:eastAsia="en-US"/>
              </w:rPr>
            </w:pPr>
            <w:r w:rsidRPr="00802F03">
              <w:rPr>
                <w:rFonts w:eastAsia="Calibri"/>
                <w:sz w:val="20"/>
                <w:szCs w:val="20"/>
                <w:lang w:eastAsia="en-US"/>
              </w:rPr>
              <w:t>Banamex</w:t>
            </w:r>
          </w:p>
        </w:tc>
        <w:tc>
          <w:tcPr>
            <w:tcW w:w="2236" w:type="dxa"/>
            <w:tcBorders>
              <w:right w:val="single" w:sz="4" w:space="0" w:color="auto"/>
            </w:tcBorders>
          </w:tcPr>
          <w:p w14:paraId="49FB34CD"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9.71</w:t>
            </w:r>
          </w:p>
        </w:tc>
      </w:tr>
      <w:tr w:rsidR="00802F03" w:rsidRPr="00802F03" w14:paraId="36DB62AF" w14:textId="77777777" w:rsidTr="00892FE5">
        <w:trPr>
          <w:jc w:val="center"/>
        </w:trPr>
        <w:tc>
          <w:tcPr>
            <w:tcW w:w="2733" w:type="dxa"/>
          </w:tcPr>
          <w:p w14:paraId="4A861DBB"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Profuturo GNP</w:t>
            </w:r>
          </w:p>
        </w:tc>
        <w:tc>
          <w:tcPr>
            <w:tcW w:w="2236" w:type="dxa"/>
            <w:tcBorders>
              <w:right w:val="single" w:sz="4" w:space="0" w:color="auto"/>
            </w:tcBorders>
          </w:tcPr>
          <w:p w14:paraId="162F7D02"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9.55</w:t>
            </w:r>
          </w:p>
        </w:tc>
      </w:tr>
      <w:tr w:rsidR="00802F03" w:rsidRPr="00802F03" w14:paraId="5993A7F9" w14:textId="77777777" w:rsidTr="00892FE5">
        <w:trPr>
          <w:jc w:val="center"/>
        </w:trPr>
        <w:tc>
          <w:tcPr>
            <w:tcW w:w="2733" w:type="dxa"/>
          </w:tcPr>
          <w:p w14:paraId="1965ACD1" w14:textId="77777777" w:rsidR="00802F03" w:rsidRPr="00802F03" w:rsidRDefault="00802F03" w:rsidP="00802F03">
            <w:pPr>
              <w:rPr>
                <w:rFonts w:eastAsia="Calibri"/>
                <w:sz w:val="20"/>
                <w:szCs w:val="20"/>
                <w:lang w:eastAsia="en-US"/>
              </w:rPr>
            </w:pPr>
            <w:r w:rsidRPr="00802F03">
              <w:rPr>
                <w:rFonts w:eastAsia="Calibri"/>
                <w:sz w:val="20"/>
                <w:szCs w:val="20"/>
                <w:lang w:eastAsia="en-US"/>
              </w:rPr>
              <w:t>MetLife</w:t>
            </w:r>
          </w:p>
        </w:tc>
        <w:tc>
          <w:tcPr>
            <w:tcW w:w="2236" w:type="dxa"/>
            <w:tcBorders>
              <w:right w:val="single" w:sz="4" w:space="0" w:color="auto"/>
            </w:tcBorders>
          </w:tcPr>
          <w:p w14:paraId="6CA38E36"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9.24</w:t>
            </w:r>
          </w:p>
        </w:tc>
      </w:tr>
      <w:tr w:rsidR="00802F03" w:rsidRPr="00802F03" w14:paraId="7EF7AAC6" w14:textId="77777777" w:rsidTr="00892FE5">
        <w:trPr>
          <w:jc w:val="center"/>
        </w:trPr>
        <w:tc>
          <w:tcPr>
            <w:tcW w:w="2733" w:type="dxa"/>
          </w:tcPr>
          <w:p w14:paraId="109FED20"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Invercap</w:t>
            </w:r>
          </w:p>
        </w:tc>
        <w:tc>
          <w:tcPr>
            <w:tcW w:w="2236" w:type="dxa"/>
            <w:tcBorders>
              <w:right w:val="single" w:sz="4" w:space="0" w:color="auto"/>
            </w:tcBorders>
          </w:tcPr>
          <w:p w14:paraId="6258AD27"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9.09</w:t>
            </w:r>
          </w:p>
        </w:tc>
      </w:tr>
      <w:tr w:rsidR="00802F03" w:rsidRPr="00802F03" w14:paraId="56AD186D" w14:textId="77777777" w:rsidTr="00892FE5">
        <w:trPr>
          <w:jc w:val="center"/>
        </w:trPr>
        <w:tc>
          <w:tcPr>
            <w:tcW w:w="2733" w:type="dxa"/>
          </w:tcPr>
          <w:p w14:paraId="7E5F6690" w14:textId="77777777" w:rsidR="00802F03" w:rsidRPr="00802F03" w:rsidRDefault="00802F03" w:rsidP="00802F03">
            <w:pPr>
              <w:rPr>
                <w:rFonts w:eastAsia="Calibri"/>
                <w:sz w:val="20"/>
                <w:szCs w:val="20"/>
                <w:lang w:eastAsia="en-US"/>
              </w:rPr>
            </w:pPr>
            <w:r w:rsidRPr="00802F03">
              <w:rPr>
                <w:rFonts w:eastAsia="Calibri"/>
                <w:sz w:val="20"/>
                <w:szCs w:val="20"/>
                <w:lang w:eastAsia="en-US"/>
              </w:rPr>
              <w:t>XXI-Banorte</w:t>
            </w:r>
          </w:p>
        </w:tc>
        <w:tc>
          <w:tcPr>
            <w:tcW w:w="2236" w:type="dxa"/>
            <w:tcBorders>
              <w:right w:val="single" w:sz="4" w:space="0" w:color="auto"/>
            </w:tcBorders>
          </w:tcPr>
          <w:p w14:paraId="2CEE8D3D"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9.03</w:t>
            </w:r>
          </w:p>
        </w:tc>
      </w:tr>
      <w:tr w:rsidR="00802F03" w:rsidRPr="00802F03" w14:paraId="6DE77BDE" w14:textId="77777777" w:rsidTr="00892FE5">
        <w:trPr>
          <w:jc w:val="center"/>
        </w:trPr>
        <w:tc>
          <w:tcPr>
            <w:tcW w:w="2733" w:type="dxa"/>
          </w:tcPr>
          <w:p w14:paraId="498F0170"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Principal</w:t>
            </w:r>
          </w:p>
        </w:tc>
        <w:tc>
          <w:tcPr>
            <w:tcW w:w="2236" w:type="dxa"/>
            <w:tcBorders>
              <w:right w:val="single" w:sz="4" w:space="0" w:color="auto"/>
            </w:tcBorders>
          </w:tcPr>
          <w:p w14:paraId="0E36F87D"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8.57</w:t>
            </w:r>
          </w:p>
        </w:tc>
      </w:tr>
      <w:tr w:rsidR="00802F03" w:rsidRPr="00802F03" w14:paraId="495E0819" w14:textId="77777777" w:rsidTr="00892FE5">
        <w:trPr>
          <w:jc w:val="center"/>
        </w:trPr>
        <w:tc>
          <w:tcPr>
            <w:tcW w:w="2733" w:type="dxa"/>
          </w:tcPr>
          <w:p w14:paraId="6487F725" w14:textId="77777777" w:rsidR="00802F03" w:rsidRPr="00802F03" w:rsidRDefault="00802F03" w:rsidP="00802F03">
            <w:pPr>
              <w:rPr>
                <w:rFonts w:eastAsia="Calibri"/>
                <w:sz w:val="20"/>
                <w:szCs w:val="20"/>
                <w:lang w:eastAsia="en-US"/>
              </w:rPr>
            </w:pPr>
            <w:r w:rsidRPr="00802F03">
              <w:rPr>
                <w:rFonts w:eastAsia="Calibri"/>
                <w:sz w:val="20"/>
                <w:szCs w:val="20"/>
                <w:lang w:eastAsia="en-US"/>
              </w:rPr>
              <w:t>Azteca</w:t>
            </w:r>
          </w:p>
        </w:tc>
        <w:tc>
          <w:tcPr>
            <w:tcW w:w="2236" w:type="dxa"/>
            <w:tcBorders>
              <w:right w:val="single" w:sz="4" w:space="0" w:color="auto"/>
            </w:tcBorders>
          </w:tcPr>
          <w:p w14:paraId="4F213E40"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8.01</w:t>
            </w:r>
          </w:p>
        </w:tc>
      </w:tr>
      <w:tr w:rsidR="00802F03" w:rsidRPr="00802F03" w14:paraId="56AD2514" w14:textId="77777777" w:rsidTr="00892FE5">
        <w:trPr>
          <w:jc w:val="center"/>
        </w:trPr>
        <w:tc>
          <w:tcPr>
            <w:tcW w:w="2733" w:type="dxa"/>
          </w:tcPr>
          <w:p w14:paraId="376981AC" w14:textId="77777777" w:rsidR="00802F03" w:rsidRPr="00802F03" w:rsidRDefault="00802F03" w:rsidP="00802F03">
            <w:pPr>
              <w:rPr>
                <w:rFonts w:eastAsia="Calibri"/>
                <w:sz w:val="20"/>
                <w:szCs w:val="20"/>
                <w:lang w:eastAsia="en-US"/>
              </w:rPr>
            </w:pPr>
            <w:r w:rsidRPr="00802F03">
              <w:rPr>
                <w:rFonts w:eastAsia="Calibri"/>
                <w:sz w:val="20"/>
                <w:szCs w:val="20"/>
                <w:lang w:eastAsia="en-US"/>
              </w:rPr>
              <w:t>Coppel</w:t>
            </w:r>
          </w:p>
        </w:tc>
        <w:tc>
          <w:tcPr>
            <w:tcW w:w="2236" w:type="dxa"/>
            <w:tcBorders>
              <w:right w:val="single" w:sz="4" w:space="0" w:color="auto"/>
            </w:tcBorders>
          </w:tcPr>
          <w:p w14:paraId="65A06E1C"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7.52</w:t>
            </w:r>
          </w:p>
        </w:tc>
      </w:tr>
      <w:tr w:rsidR="00802F03" w:rsidRPr="00802F03" w14:paraId="051C3C8F" w14:textId="77777777" w:rsidTr="00892FE5">
        <w:trPr>
          <w:jc w:val="center"/>
        </w:trPr>
        <w:tc>
          <w:tcPr>
            <w:tcW w:w="2733" w:type="dxa"/>
          </w:tcPr>
          <w:p w14:paraId="4B74423D"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Inbursa</w:t>
            </w:r>
          </w:p>
        </w:tc>
        <w:tc>
          <w:tcPr>
            <w:tcW w:w="2236" w:type="dxa"/>
            <w:tcBorders>
              <w:right w:val="single" w:sz="4" w:space="0" w:color="auto"/>
            </w:tcBorders>
          </w:tcPr>
          <w:p w14:paraId="461DED0F"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5.57</w:t>
            </w:r>
          </w:p>
        </w:tc>
      </w:tr>
      <w:tr w:rsidR="00802F03" w:rsidRPr="00802F03" w14:paraId="25D8F2D4" w14:textId="77777777" w:rsidTr="00892FE5">
        <w:trPr>
          <w:jc w:val="center"/>
        </w:trPr>
        <w:tc>
          <w:tcPr>
            <w:tcW w:w="2733" w:type="dxa"/>
            <w:tcBorders>
              <w:bottom w:val="single" w:sz="4" w:space="0" w:color="auto"/>
            </w:tcBorders>
          </w:tcPr>
          <w:p w14:paraId="274BE0D7"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Simple</w:t>
            </w:r>
          </w:p>
        </w:tc>
        <w:tc>
          <w:tcPr>
            <w:tcW w:w="2236" w:type="dxa"/>
            <w:tcBorders>
              <w:bottom w:val="single" w:sz="4" w:space="0" w:color="auto"/>
              <w:right w:val="single" w:sz="4" w:space="0" w:color="auto"/>
            </w:tcBorders>
          </w:tcPr>
          <w:p w14:paraId="24FD5600"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8.87</w:t>
            </w:r>
          </w:p>
        </w:tc>
      </w:tr>
      <w:tr w:rsidR="00802F03" w:rsidRPr="00802F03" w14:paraId="0AFCE6A3" w14:textId="77777777" w:rsidTr="00892FE5">
        <w:trPr>
          <w:jc w:val="center"/>
        </w:trPr>
        <w:tc>
          <w:tcPr>
            <w:tcW w:w="2733" w:type="dxa"/>
            <w:tcBorders>
              <w:bottom w:val="nil"/>
            </w:tcBorders>
          </w:tcPr>
          <w:p w14:paraId="0EE864AB"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Ponderado*</w:t>
            </w:r>
          </w:p>
        </w:tc>
        <w:tc>
          <w:tcPr>
            <w:tcW w:w="2236" w:type="dxa"/>
            <w:tcBorders>
              <w:bottom w:val="nil"/>
              <w:right w:val="single" w:sz="4" w:space="0" w:color="auto"/>
            </w:tcBorders>
          </w:tcPr>
          <w:p w14:paraId="046AA9B3"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9.32</w:t>
            </w:r>
          </w:p>
        </w:tc>
      </w:tr>
      <w:tr w:rsidR="00802F03" w:rsidRPr="00802F03" w14:paraId="372BBAAA" w14:textId="77777777" w:rsidTr="00892FE5">
        <w:trPr>
          <w:jc w:val="center"/>
        </w:trPr>
        <w:tc>
          <w:tcPr>
            <w:tcW w:w="4969" w:type="dxa"/>
            <w:gridSpan w:val="2"/>
            <w:tcBorders>
              <w:left w:val="nil"/>
              <w:bottom w:val="nil"/>
              <w:right w:val="nil"/>
            </w:tcBorders>
          </w:tcPr>
          <w:p w14:paraId="2328ADF2" w14:textId="77777777" w:rsidR="00802F03" w:rsidRPr="00802F03" w:rsidRDefault="00802F03" w:rsidP="00802F03">
            <w:pPr>
              <w:ind w:left="170" w:hanging="170"/>
              <w:jc w:val="both"/>
              <w:rPr>
                <w:rFonts w:eastAsia="Times New Roman"/>
                <w:sz w:val="20"/>
                <w:szCs w:val="20"/>
              </w:rPr>
            </w:pPr>
            <w:r w:rsidRPr="00802F03">
              <w:rPr>
                <w:rFonts w:eastAsia="Times New Roman"/>
                <w:sz w:val="20"/>
                <w:szCs w:val="20"/>
              </w:rPr>
              <w:t>* Es el promedio ponderado, por los activos administrados, de los rendimientos netos de las Siefores Básicas.</w:t>
            </w:r>
          </w:p>
          <w:p w14:paraId="6AA5CF43" w14:textId="77777777" w:rsidR="00802F03" w:rsidRPr="00802F03" w:rsidRDefault="00802F03" w:rsidP="00802F03">
            <w:pPr>
              <w:ind w:left="539" w:hanging="539"/>
              <w:jc w:val="both"/>
              <w:rPr>
                <w:rFonts w:eastAsia="Times New Roman"/>
                <w:sz w:val="20"/>
                <w:szCs w:val="20"/>
              </w:rPr>
            </w:pPr>
            <w:r w:rsidRPr="00802F03">
              <w:rPr>
                <w:rFonts w:eastAsia="Times New Roman"/>
                <w:sz w:val="20"/>
                <w:szCs w:val="20"/>
              </w:rPr>
              <w:t>Nota: Los Indicadores de Rendimiento Neto incluyen la deducción de las Comisiones aplicables.</w:t>
            </w:r>
          </w:p>
          <w:p w14:paraId="760D3FF0" w14:textId="77777777" w:rsidR="00802F03" w:rsidRPr="00802F03" w:rsidRDefault="00802F03" w:rsidP="00802F03">
            <w:pPr>
              <w:ind w:left="539"/>
              <w:jc w:val="both"/>
              <w:rPr>
                <w:rFonts w:eastAsia="Times New Roman"/>
                <w:sz w:val="20"/>
                <w:szCs w:val="20"/>
              </w:rPr>
            </w:pPr>
            <w:r w:rsidRPr="00802F03">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755ACB07" w14:textId="77777777" w:rsidR="00802F03" w:rsidRPr="00802F03" w:rsidRDefault="00802F03" w:rsidP="00802F03">
            <w:pPr>
              <w:jc w:val="both"/>
              <w:rPr>
                <w:rFonts w:eastAsia="Times New Roman"/>
                <w:sz w:val="20"/>
                <w:szCs w:val="20"/>
              </w:rPr>
            </w:pPr>
            <w:r w:rsidRPr="00802F03">
              <w:rPr>
                <w:rFonts w:eastAsia="Times New Roman"/>
                <w:sz w:val="20"/>
                <w:szCs w:val="20"/>
              </w:rPr>
              <w:t>FUENTE: Consar.</w:t>
            </w:r>
          </w:p>
        </w:tc>
      </w:tr>
    </w:tbl>
    <w:p w14:paraId="23A4CD9F" w14:textId="77777777" w:rsidR="00802F03" w:rsidRPr="00802F03" w:rsidRDefault="00802F03" w:rsidP="00802F03"/>
    <w:p w14:paraId="047119A4" w14:textId="77777777" w:rsidR="00802F03" w:rsidRPr="00802F03" w:rsidRDefault="00802F03" w:rsidP="00802F03"/>
    <w:p w14:paraId="01F169FF" w14:textId="77777777" w:rsidR="00802F03" w:rsidRPr="00802F03" w:rsidRDefault="00802F03" w:rsidP="00802F03"/>
    <w:p w14:paraId="257BFEB5" w14:textId="77777777" w:rsidR="00802F03" w:rsidRPr="00802F03" w:rsidRDefault="00802F03" w:rsidP="00802F03"/>
    <w:p w14:paraId="20E71989" w14:textId="77777777" w:rsidR="00802F03" w:rsidRPr="00802F03" w:rsidRDefault="00802F03" w:rsidP="00802F03"/>
    <w:p w14:paraId="5CCB5497" w14:textId="77777777" w:rsidR="00802F03" w:rsidRPr="00802F03" w:rsidRDefault="00802F03" w:rsidP="00802F03"/>
    <w:p w14:paraId="7F790B0E" w14:textId="77777777" w:rsidR="00802F03" w:rsidRPr="00802F03" w:rsidRDefault="00802F03" w:rsidP="00802F03"/>
    <w:p w14:paraId="61AA0EFF" w14:textId="77777777" w:rsidR="00802F03" w:rsidRPr="00802F03" w:rsidRDefault="00802F03" w:rsidP="00802F03"/>
    <w:p w14:paraId="540E30AA" w14:textId="77777777" w:rsidR="00802F03" w:rsidRPr="00802F03" w:rsidRDefault="00802F03" w:rsidP="00802F03"/>
    <w:p w14:paraId="3F6DD667" w14:textId="77777777" w:rsidR="00802F03" w:rsidRPr="00802F03" w:rsidRDefault="00802F03" w:rsidP="00802F03"/>
    <w:p w14:paraId="73C715CA" w14:textId="77777777" w:rsidR="00802F03" w:rsidRPr="00802F03" w:rsidRDefault="00802F03" w:rsidP="00802F03"/>
    <w:p w14:paraId="379BE78F" w14:textId="77777777" w:rsidR="00802F03" w:rsidRPr="00802F03" w:rsidRDefault="00802F03" w:rsidP="00802F03"/>
    <w:p w14:paraId="730F387B" w14:textId="77777777" w:rsidR="00802F03" w:rsidRPr="00802F03" w:rsidRDefault="00802F03" w:rsidP="00802F03"/>
    <w:p w14:paraId="29F6B73A" w14:textId="77777777" w:rsidR="00802F03" w:rsidRPr="00802F03" w:rsidRDefault="00802F03" w:rsidP="00802F03"/>
    <w:p w14:paraId="78DFFF50" w14:textId="77777777" w:rsidR="00802F03" w:rsidRPr="00802F03" w:rsidRDefault="00802F03" w:rsidP="00802F03"/>
    <w:p w14:paraId="445298B2" w14:textId="77777777" w:rsidR="00802F03" w:rsidRPr="00802F03" w:rsidRDefault="00802F03" w:rsidP="00802F03"/>
    <w:p w14:paraId="2FB8CF97" w14:textId="77777777" w:rsidR="00802F03" w:rsidRPr="00802F03" w:rsidRDefault="00802F03" w:rsidP="00802F03"/>
    <w:p w14:paraId="60008F0C" w14:textId="77777777" w:rsidR="00802F03" w:rsidRPr="00802F03" w:rsidRDefault="00802F03" w:rsidP="00802F03"/>
    <w:p w14:paraId="107CAC3C" w14:textId="77777777" w:rsidR="00802F03" w:rsidRPr="00802F03" w:rsidRDefault="00802F03" w:rsidP="00802F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802F03" w:rsidRPr="00802F03" w14:paraId="3B1CC91C" w14:textId="77777777" w:rsidTr="00892FE5">
        <w:trPr>
          <w:jc w:val="center"/>
        </w:trPr>
        <w:tc>
          <w:tcPr>
            <w:tcW w:w="4969" w:type="dxa"/>
            <w:gridSpan w:val="2"/>
            <w:tcBorders>
              <w:top w:val="nil"/>
              <w:left w:val="nil"/>
              <w:right w:val="nil"/>
            </w:tcBorders>
            <w:vAlign w:val="center"/>
          </w:tcPr>
          <w:p w14:paraId="19E82A5A" w14:textId="77777777" w:rsidR="00802F03" w:rsidRPr="00802F03" w:rsidRDefault="00802F03" w:rsidP="00802F03">
            <w:pPr>
              <w:jc w:val="center"/>
              <w:rPr>
                <w:rFonts w:eastAsia="Times New Roman"/>
                <w:b/>
              </w:rPr>
            </w:pPr>
            <w:r w:rsidRPr="00802F03">
              <w:rPr>
                <w:rFonts w:eastAsia="Times New Roman"/>
                <w:b/>
                <w:sz w:val="22"/>
                <w:szCs w:val="22"/>
              </w:rPr>
              <w:lastRenderedPageBreak/>
              <w:t>A MAYOR RENDIMIENTO NETO, MAYOR PENSIÓN</w:t>
            </w:r>
          </w:p>
          <w:p w14:paraId="7AAD8D24" w14:textId="77777777" w:rsidR="00802F03" w:rsidRPr="00802F03" w:rsidRDefault="00802F03" w:rsidP="00802F03">
            <w:pPr>
              <w:jc w:val="center"/>
              <w:rPr>
                <w:rFonts w:eastAsia="Times New Roman"/>
                <w:b/>
              </w:rPr>
            </w:pPr>
            <w:r w:rsidRPr="00802F03">
              <w:rPr>
                <w:rFonts w:eastAsia="Times New Roman"/>
                <w:b/>
                <w:sz w:val="22"/>
                <w:szCs w:val="22"/>
              </w:rPr>
              <w:t xml:space="preserve">Siefore Básica 2 </w:t>
            </w:r>
          </w:p>
          <w:p w14:paraId="6F0CA519" w14:textId="77777777" w:rsidR="00802F03" w:rsidRPr="00802F03" w:rsidRDefault="00802F03" w:rsidP="00802F03">
            <w:pPr>
              <w:jc w:val="center"/>
              <w:rPr>
                <w:rFonts w:eastAsia="Times New Roman"/>
                <w:b/>
              </w:rPr>
            </w:pPr>
            <w:r w:rsidRPr="00802F03">
              <w:rPr>
                <w:rFonts w:eastAsia="Times New Roman"/>
                <w:b/>
                <w:sz w:val="22"/>
                <w:szCs w:val="22"/>
              </w:rPr>
              <w:t>(Para personas entre 46 y 59 años)</w:t>
            </w:r>
          </w:p>
          <w:p w14:paraId="53269635" w14:textId="77777777" w:rsidR="00802F03" w:rsidRPr="00802F03" w:rsidRDefault="00802F03" w:rsidP="00802F03">
            <w:pPr>
              <w:jc w:val="center"/>
              <w:rPr>
                <w:rFonts w:eastAsia="Times New Roman"/>
                <w:b/>
                <w:sz w:val="22"/>
                <w:szCs w:val="22"/>
              </w:rPr>
            </w:pPr>
            <w:r w:rsidRPr="00802F03">
              <w:rPr>
                <w:rFonts w:eastAsia="Times New Roman"/>
                <w:b/>
                <w:sz w:val="22"/>
                <w:szCs w:val="22"/>
              </w:rPr>
              <w:t xml:space="preserve">-Cifras porcentuales al cierre de </w:t>
            </w:r>
          </w:p>
          <w:p w14:paraId="0A5D5F46" w14:textId="77777777" w:rsidR="00802F03" w:rsidRPr="00802F03" w:rsidRDefault="00802F03" w:rsidP="00802F03">
            <w:pPr>
              <w:jc w:val="center"/>
              <w:rPr>
                <w:rFonts w:eastAsia="Times New Roman"/>
                <w:b/>
              </w:rPr>
            </w:pPr>
            <w:r w:rsidRPr="00802F03">
              <w:rPr>
                <w:rFonts w:eastAsia="Times New Roman"/>
                <w:b/>
                <w:sz w:val="22"/>
                <w:szCs w:val="22"/>
              </w:rPr>
              <w:t>marzo de 2015-</w:t>
            </w:r>
          </w:p>
        </w:tc>
      </w:tr>
      <w:tr w:rsidR="00802F03" w:rsidRPr="00802F03" w14:paraId="37DEA884" w14:textId="77777777" w:rsidTr="00892FE5">
        <w:trPr>
          <w:jc w:val="center"/>
        </w:trPr>
        <w:tc>
          <w:tcPr>
            <w:tcW w:w="4969" w:type="dxa"/>
            <w:gridSpan w:val="2"/>
            <w:vAlign w:val="center"/>
          </w:tcPr>
          <w:p w14:paraId="5A5C185A" w14:textId="77777777" w:rsidR="00802F03" w:rsidRPr="00802F03" w:rsidRDefault="00802F03" w:rsidP="00802F03">
            <w:pPr>
              <w:jc w:val="center"/>
              <w:rPr>
                <w:rFonts w:eastAsia="Times New Roman"/>
                <w:b/>
                <w:sz w:val="20"/>
                <w:szCs w:val="20"/>
              </w:rPr>
            </w:pPr>
            <w:r w:rsidRPr="00802F03">
              <w:rPr>
                <w:rFonts w:eastAsia="Times New Roman"/>
                <w:b/>
                <w:sz w:val="20"/>
                <w:szCs w:val="20"/>
              </w:rPr>
              <w:t>INDICADOR DE RENDIMIENTO NETO</w:t>
            </w:r>
          </w:p>
          <w:p w14:paraId="1A1F2517" w14:textId="77777777" w:rsidR="00802F03" w:rsidRPr="00802F03" w:rsidRDefault="00802F03" w:rsidP="00802F03">
            <w:pPr>
              <w:jc w:val="center"/>
              <w:rPr>
                <w:rFonts w:eastAsia="Times New Roman"/>
                <w:b/>
                <w:sz w:val="20"/>
                <w:szCs w:val="20"/>
              </w:rPr>
            </w:pPr>
            <w:r w:rsidRPr="00802F03">
              <w:rPr>
                <w:rFonts w:eastAsia="Times New Roman"/>
                <w:b/>
                <w:sz w:val="20"/>
                <w:szCs w:val="20"/>
              </w:rPr>
              <w:t>(60 MESES)</w:t>
            </w:r>
          </w:p>
        </w:tc>
      </w:tr>
      <w:tr w:rsidR="00802F03" w:rsidRPr="00802F03" w14:paraId="2526908C" w14:textId="77777777" w:rsidTr="00892FE5">
        <w:trPr>
          <w:jc w:val="center"/>
        </w:trPr>
        <w:tc>
          <w:tcPr>
            <w:tcW w:w="2733" w:type="dxa"/>
            <w:vAlign w:val="center"/>
          </w:tcPr>
          <w:p w14:paraId="73F39C87" w14:textId="77777777" w:rsidR="00802F03" w:rsidRPr="00802F03" w:rsidRDefault="00802F03" w:rsidP="00802F03">
            <w:pPr>
              <w:jc w:val="center"/>
              <w:rPr>
                <w:rFonts w:eastAsia="Times New Roman"/>
                <w:b/>
                <w:sz w:val="20"/>
                <w:szCs w:val="20"/>
              </w:rPr>
            </w:pPr>
            <w:r w:rsidRPr="00802F03">
              <w:rPr>
                <w:rFonts w:eastAsia="Times New Roman"/>
                <w:b/>
                <w:sz w:val="20"/>
                <w:szCs w:val="20"/>
              </w:rPr>
              <w:t>Afores</w:t>
            </w:r>
          </w:p>
        </w:tc>
        <w:tc>
          <w:tcPr>
            <w:tcW w:w="2236" w:type="dxa"/>
            <w:vAlign w:val="center"/>
          </w:tcPr>
          <w:p w14:paraId="63C8D94F" w14:textId="77777777" w:rsidR="00802F03" w:rsidRPr="00802F03" w:rsidRDefault="00802F03" w:rsidP="00802F03">
            <w:pPr>
              <w:jc w:val="center"/>
              <w:rPr>
                <w:rFonts w:eastAsia="Times New Roman"/>
                <w:b/>
                <w:sz w:val="20"/>
                <w:szCs w:val="20"/>
              </w:rPr>
            </w:pPr>
            <w:r w:rsidRPr="00802F03">
              <w:rPr>
                <w:rFonts w:eastAsia="Times New Roman"/>
                <w:b/>
                <w:sz w:val="20"/>
                <w:szCs w:val="20"/>
              </w:rPr>
              <w:t>Rendimiento</w:t>
            </w:r>
          </w:p>
          <w:p w14:paraId="2B4585B1" w14:textId="77777777" w:rsidR="00802F03" w:rsidRPr="00802F03" w:rsidRDefault="00802F03" w:rsidP="00802F03">
            <w:pPr>
              <w:jc w:val="center"/>
              <w:rPr>
                <w:rFonts w:eastAsia="Times New Roman"/>
                <w:b/>
                <w:sz w:val="20"/>
                <w:szCs w:val="20"/>
              </w:rPr>
            </w:pPr>
            <w:r w:rsidRPr="00802F03">
              <w:rPr>
                <w:rFonts w:eastAsia="Times New Roman"/>
                <w:b/>
                <w:sz w:val="20"/>
                <w:szCs w:val="20"/>
              </w:rPr>
              <w:t>Neto</w:t>
            </w:r>
          </w:p>
        </w:tc>
      </w:tr>
      <w:tr w:rsidR="00802F03" w:rsidRPr="00802F03" w14:paraId="60528919" w14:textId="77777777" w:rsidTr="00892FE5">
        <w:trPr>
          <w:jc w:val="center"/>
        </w:trPr>
        <w:tc>
          <w:tcPr>
            <w:tcW w:w="2733" w:type="dxa"/>
          </w:tcPr>
          <w:p w14:paraId="53841C01" w14:textId="77777777" w:rsidR="00802F03" w:rsidRPr="00802F03" w:rsidRDefault="00802F03" w:rsidP="00802F03">
            <w:pPr>
              <w:rPr>
                <w:rFonts w:eastAsia="Calibri"/>
                <w:sz w:val="20"/>
                <w:szCs w:val="20"/>
                <w:lang w:eastAsia="en-US"/>
              </w:rPr>
            </w:pPr>
            <w:r w:rsidRPr="00802F03">
              <w:rPr>
                <w:rFonts w:eastAsia="Calibri"/>
                <w:sz w:val="20"/>
                <w:szCs w:val="20"/>
                <w:lang w:eastAsia="en-US"/>
              </w:rPr>
              <w:t>SURA</w:t>
            </w:r>
          </w:p>
        </w:tc>
        <w:tc>
          <w:tcPr>
            <w:tcW w:w="2236" w:type="dxa"/>
          </w:tcPr>
          <w:p w14:paraId="0E3347B4"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9.20</w:t>
            </w:r>
          </w:p>
        </w:tc>
      </w:tr>
      <w:tr w:rsidR="00802F03" w:rsidRPr="00802F03" w14:paraId="4FF91192" w14:textId="77777777" w:rsidTr="00892FE5">
        <w:trPr>
          <w:jc w:val="center"/>
        </w:trPr>
        <w:tc>
          <w:tcPr>
            <w:tcW w:w="2733" w:type="dxa"/>
          </w:tcPr>
          <w:p w14:paraId="59627393" w14:textId="77777777" w:rsidR="00802F03" w:rsidRPr="00802F03" w:rsidRDefault="00802F03" w:rsidP="00802F03">
            <w:pPr>
              <w:rPr>
                <w:rFonts w:eastAsia="Calibri"/>
                <w:sz w:val="20"/>
                <w:szCs w:val="20"/>
                <w:lang w:eastAsia="en-US"/>
              </w:rPr>
            </w:pPr>
            <w:r w:rsidRPr="00802F03">
              <w:rPr>
                <w:rFonts w:eastAsia="Calibri"/>
                <w:sz w:val="20"/>
                <w:szCs w:val="20"/>
                <w:lang w:eastAsia="en-US"/>
              </w:rPr>
              <w:t>PensionISSSTE</w:t>
            </w:r>
          </w:p>
        </w:tc>
        <w:tc>
          <w:tcPr>
            <w:tcW w:w="2236" w:type="dxa"/>
          </w:tcPr>
          <w:p w14:paraId="30F8B308"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9.02</w:t>
            </w:r>
          </w:p>
        </w:tc>
      </w:tr>
      <w:tr w:rsidR="00802F03" w:rsidRPr="00802F03" w14:paraId="583FC073" w14:textId="77777777" w:rsidTr="00892FE5">
        <w:trPr>
          <w:jc w:val="center"/>
        </w:trPr>
        <w:tc>
          <w:tcPr>
            <w:tcW w:w="2733" w:type="dxa"/>
          </w:tcPr>
          <w:p w14:paraId="2123FBD0" w14:textId="77777777" w:rsidR="00802F03" w:rsidRPr="00802F03" w:rsidRDefault="00802F03" w:rsidP="00802F03">
            <w:pPr>
              <w:rPr>
                <w:rFonts w:eastAsia="Calibri"/>
                <w:sz w:val="20"/>
                <w:szCs w:val="20"/>
                <w:lang w:eastAsia="en-US"/>
              </w:rPr>
            </w:pPr>
            <w:r w:rsidRPr="00802F03">
              <w:rPr>
                <w:rFonts w:eastAsia="Calibri"/>
                <w:sz w:val="20"/>
                <w:szCs w:val="20"/>
                <w:lang w:eastAsia="en-US"/>
              </w:rPr>
              <w:t>Banamex</w:t>
            </w:r>
          </w:p>
        </w:tc>
        <w:tc>
          <w:tcPr>
            <w:tcW w:w="2236" w:type="dxa"/>
          </w:tcPr>
          <w:p w14:paraId="7C801202"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8.52</w:t>
            </w:r>
          </w:p>
        </w:tc>
      </w:tr>
      <w:tr w:rsidR="00802F03" w:rsidRPr="00802F03" w14:paraId="4E58CB4F" w14:textId="77777777" w:rsidTr="00892FE5">
        <w:trPr>
          <w:jc w:val="center"/>
        </w:trPr>
        <w:tc>
          <w:tcPr>
            <w:tcW w:w="2733" w:type="dxa"/>
            <w:tcBorders>
              <w:top w:val="single" w:sz="4" w:space="0" w:color="auto"/>
              <w:left w:val="single" w:sz="4" w:space="0" w:color="auto"/>
              <w:bottom w:val="single" w:sz="4" w:space="0" w:color="auto"/>
              <w:right w:val="single" w:sz="4" w:space="0" w:color="auto"/>
            </w:tcBorders>
          </w:tcPr>
          <w:p w14:paraId="20C6E102"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Profuturo GNP</w:t>
            </w:r>
          </w:p>
        </w:tc>
        <w:tc>
          <w:tcPr>
            <w:tcW w:w="2236" w:type="dxa"/>
            <w:tcBorders>
              <w:top w:val="single" w:sz="4" w:space="0" w:color="auto"/>
              <w:left w:val="single" w:sz="4" w:space="0" w:color="auto"/>
              <w:bottom w:val="single" w:sz="4" w:space="0" w:color="auto"/>
              <w:right w:val="single" w:sz="4" w:space="0" w:color="auto"/>
            </w:tcBorders>
          </w:tcPr>
          <w:p w14:paraId="08B2CC6B"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8.41</w:t>
            </w:r>
          </w:p>
        </w:tc>
      </w:tr>
      <w:tr w:rsidR="00802F03" w:rsidRPr="00802F03" w14:paraId="066B7A10" w14:textId="77777777" w:rsidTr="00892FE5">
        <w:trPr>
          <w:jc w:val="center"/>
        </w:trPr>
        <w:tc>
          <w:tcPr>
            <w:tcW w:w="2733" w:type="dxa"/>
            <w:tcBorders>
              <w:top w:val="single" w:sz="4" w:space="0" w:color="auto"/>
              <w:left w:val="single" w:sz="4" w:space="0" w:color="auto"/>
              <w:bottom w:val="single" w:sz="4" w:space="0" w:color="auto"/>
              <w:right w:val="single" w:sz="4" w:space="0" w:color="auto"/>
            </w:tcBorders>
          </w:tcPr>
          <w:p w14:paraId="3F7C7682" w14:textId="77777777" w:rsidR="00802F03" w:rsidRPr="00802F03" w:rsidRDefault="00802F03" w:rsidP="00802F03">
            <w:pPr>
              <w:rPr>
                <w:rFonts w:eastAsia="Calibri"/>
                <w:sz w:val="20"/>
                <w:szCs w:val="20"/>
                <w:lang w:eastAsia="en-US"/>
              </w:rPr>
            </w:pPr>
            <w:r w:rsidRPr="00802F03">
              <w:rPr>
                <w:rFonts w:eastAsia="Calibri"/>
                <w:sz w:val="20"/>
                <w:szCs w:val="20"/>
                <w:lang w:eastAsia="en-US"/>
              </w:rPr>
              <w:t>XXI-Banorte</w:t>
            </w:r>
          </w:p>
        </w:tc>
        <w:tc>
          <w:tcPr>
            <w:tcW w:w="2236" w:type="dxa"/>
            <w:tcBorders>
              <w:top w:val="single" w:sz="4" w:space="0" w:color="auto"/>
              <w:left w:val="single" w:sz="4" w:space="0" w:color="auto"/>
              <w:bottom w:val="single" w:sz="4" w:space="0" w:color="auto"/>
              <w:right w:val="single" w:sz="4" w:space="0" w:color="auto"/>
            </w:tcBorders>
          </w:tcPr>
          <w:p w14:paraId="24DB26C8"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8.03</w:t>
            </w:r>
          </w:p>
        </w:tc>
      </w:tr>
      <w:tr w:rsidR="00802F03" w:rsidRPr="00802F03" w14:paraId="2C6ADE10" w14:textId="77777777" w:rsidTr="00892FE5">
        <w:trPr>
          <w:jc w:val="center"/>
        </w:trPr>
        <w:tc>
          <w:tcPr>
            <w:tcW w:w="2733" w:type="dxa"/>
            <w:tcBorders>
              <w:top w:val="single" w:sz="4" w:space="0" w:color="auto"/>
              <w:left w:val="single" w:sz="4" w:space="0" w:color="auto"/>
              <w:bottom w:val="single" w:sz="4" w:space="0" w:color="auto"/>
              <w:right w:val="single" w:sz="4" w:space="0" w:color="auto"/>
            </w:tcBorders>
          </w:tcPr>
          <w:p w14:paraId="64365C27" w14:textId="77777777" w:rsidR="00802F03" w:rsidRPr="00802F03" w:rsidRDefault="00802F03" w:rsidP="00802F03">
            <w:pPr>
              <w:rPr>
                <w:rFonts w:eastAsia="Calibri"/>
                <w:sz w:val="20"/>
                <w:szCs w:val="20"/>
                <w:lang w:eastAsia="en-US"/>
              </w:rPr>
            </w:pPr>
            <w:r w:rsidRPr="00802F03">
              <w:rPr>
                <w:rFonts w:eastAsia="Calibri"/>
                <w:sz w:val="20"/>
                <w:szCs w:val="20"/>
                <w:lang w:eastAsia="en-US"/>
              </w:rPr>
              <w:t>MetLife</w:t>
            </w:r>
          </w:p>
        </w:tc>
        <w:tc>
          <w:tcPr>
            <w:tcW w:w="2236" w:type="dxa"/>
            <w:tcBorders>
              <w:top w:val="single" w:sz="4" w:space="0" w:color="auto"/>
              <w:left w:val="single" w:sz="4" w:space="0" w:color="auto"/>
              <w:bottom w:val="single" w:sz="4" w:space="0" w:color="auto"/>
              <w:right w:val="single" w:sz="4" w:space="0" w:color="auto"/>
            </w:tcBorders>
          </w:tcPr>
          <w:p w14:paraId="147A21AE"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7.82</w:t>
            </w:r>
          </w:p>
        </w:tc>
      </w:tr>
      <w:tr w:rsidR="00802F03" w:rsidRPr="00802F03" w14:paraId="3022D56A" w14:textId="77777777" w:rsidTr="00892FE5">
        <w:trPr>
          <w:jc w:val="center"/>
        </w:trPr>
        <w:tc>
          <w:tcPr>
            <w:tcW w:w="2733" w:type="dxa"/>
          </w:tcPr>
          <w:p w14:paraId="1AD5DB17"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Invercap</w:t>
            </w:r>
          </w:p>
        </w:tc>
        <w:tc>
          <w:tcPr>
            <w:tcW w:w="2236" w:type="dxa"/>
          </w:tcPr>
          <w:p w14:paraId="1942BB94"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7.63</w:t>
            </w:r>
          </w:p>
        </w:tc>
      </w:tr>
      <w:tr w:rsidR="00802F03" w:rsidRPr="00802F03" w14:paraId="68375ACD" w14:textId="77777777" w:rsidTr="00892FE5">
        <w:trPr>
          <w:jc w:val="center"/>
        </w:trPr>
        <w:tc>
          <w:tcPr>
            <w:tcW w:w="2733" w:type="dxa"/>
          </w:tcPr>
          <w:p w14:paraId="43620346" w14:textId="77777777" w:rsidR="00802F03" w:rsidRPr="00802F03" w:rsidRDefault="00802F03" w:rsidP="00802F03">
            <w:pPr>
              <w:rPr>
                <w:rFonts w:eastAsia="Calibri"/>
                <w:sz w:val="20"/>
                <w:szCs w:val="20"/>
                <w:lang w:eastAsia="en-US"/>
              </w:rPr>
            </w:pPr>
            <w:r w:rsidRPr="00802F03">
              <w:rPr>
                <w:rFonts w:eastAsia="Calibri"/>
                <w:sz w:val="20"/>
                <w:szCs w:val="20"/>
                <w:lang w:eastAsia="en-US"/>
              </w:rPr>
              <w:t>Principal</w:t>
            </w:r>
          </w:p>
        </w:tc>
        <w:tc>
          <w:tcPr>
            <w:tcW w:w="2236" w:type="dxa"/>
          </w:tcPr>
          <w:p w14:paraId="22245E03"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7.33</w:t>
            </w:r>
          </w:p>
        </w:tc>
      </w:tr>
      <w:tr w:rsidR="00802F03" w:rsidRPr="00802F03" w14:paraId="6D3988F5" w14:textId="77777777" w:rsidTr="00892FE5">
        <w:trPr>
          <w:jc w:val="center"/>
        </w:trPr>
        <w:tc>
          <w:tcPr>
            <w:tcW w:w="2733" w:type="dxa"/>
          </w:tcPr>
          <w:p w14:paraId="2EA34FC7" w14:textId="77777777" w:rsidR="00802F03" w:rsidRPr="00802F03" w:rsidRDefault="00802F03" w:rsidP="00802F03">
            <w:pPr>
              <w:rPr>
                <w:rFonts w:eastAsia="Calibri"/>
                <w:sz w:val="20"/>
                <w:szCs w:val="20"/>
                <w:lang w:eastAsia="en-US"/>
              </w:rPr>
            </w:pPr>
            <w:r w:rsidRPr="00802F03">
              <w:rPr>
                <w:rFonts w:eastAsia="Calibri"/>
                <w:sz w:val="20"/>
                <w:szCs w:val="20"/>
                <w:lang w:eastAsia="en-US"/>
              </w:rPr>
              <w:t>Azteca</w:t>
            </w:r>
          </w:p>
        </w:tc>
        <w:tc>
          <w:tcPr>
            <w:tcW w:w="2236" w:type="dxa"/>
          </w:tcPr>
          <w:p w14:paraId="4A384EF2"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6.77</w:t>
            </w:r>
          </w:p>
        </w:tc>
      </w:tr>
      <w:tr w:rsidR="00802F03" w:rsidRPr="00802F03" w14:paraId="742DCF9F" w14:textId="77777777" w:rsidTr="00892FE5">
        <w:trPr>
          <w:jc w:val="center"/>
        </w:trPr>
        <w:tc>
          <w:tcPr>
            <w:tcW w:w="2733" w:type="dxa"/>
          </w:tcPr>
          <w:p w14:paraId="5348002F" w14:textId="77777777" w:rsidR="00802F03" w:rsidRPr="00802F03" w:rsidRDefault="00802F03" w:rsidP="00802F03">
            <w:pPr>
              <w:rPr>
                <w:rFonts w:eastAsia="Calibri"/>
                <w:sz w:val="20"/>
                <w:szCs w:val="20"/>
                <w:lang w:eastAsia="en-US"/>
              </w:rPr>
            </w:pPr>
            <w:r w:rsidRPr="00802F03">
              <w:rPr>
                <w:rFonts w:eastAsia="Calibri"/>
                <w:sz w:val="20"/>
                <w:szCs w:val="20"/>
                <w:lang w:eastAsia="en-US"/>
              </w:rPr>
              <w:t>Coppel</w:t>
            </w:r>
          </w:p>
        </w:tc>
        <w:tc>
          <w:tcPr>
            <w:tcW w:w="2236" w:type="dxa"/>
          </w:tcPr>
          <w:p w14:paraId="0C3BFB8C"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6.76</w:t>
            </w:r>
          </w:p>
        </w:tc>
      </w:tr>
      <w:tr w:rsidR="00802F03" w:rsidRPr="00802F03" w14:paraId="0A55490C" w14:textId="77777777" w:rsidTr="00892FE5">
        <w:trPr>
          <w:jc w:val="center"/>
        </w:trPr>
        <w:tc>
          <w:tcPr>
            <w:tcW w:w="2733" w:type="dxa"/>
          </w:tcPr>
          <w:p w14:paraId="1C82F595" w14:textId="77777777" w:rsidR="00802F03" w:rsidRPr="00802F03" w:rsidRDefault="00802F03" w:rsidP="00802F03">
            <w:pPr>
              <w:rPr>
                <w:rFonts w:eastAsia="Calibri"/>
                <w:sz w:val="20"/>
                <w:szCs w:val="20"/>
                <w:lang w:eastAsia="en-US"/>
              </w:rPr>
            </w:pPr>
            <w:r w:rsidRPr="00802F03">
              <w:rPr>
                <w:rFonts w:eastAsia="Calibri"/>
                <w:sz w:val="20"/>
                <w:szCs w:val="20"/>
                <w:lang w:eastAsia="en-US"/>
              </w:rPr>
              <w:t>Inbursa</w:t>
            </w:r>
          </w:p>
        </w:tc>
        <w:tc>
          <w:tcPr>
            <w:tcW w:w="2236" w:type="dxa"/>
          </w:tcPr>
          <w:p w14:paraId="6714217B" w14:textId="77777777" w:rsidR="00802F03" w:rsidRPr="00802F03" w:rsidRDefault="00802F03" w:rsidP="00802F03">
            <w:pPr>
              <w:ind w:right="794"/>
              <w:jc w:val="right"/>
              <w:rPr>
                <w:rFonts w:eastAsia="Calibri"/>
                <w:sz w:val="20"/>
                <w:szCs w:val="20"/>
                <w:lang w:eastAsia="en-US"/>
              </w:rPr>
            </w:pPr>
            <w:r w:rsidRPr="00802F03">
              <w:rPr>
                <w:rFonts w:eastAsia="Calibri"/>
                <w:sz w:val="20"/>
                <w:szCs w:val="20"/>
                <w:lang w:eastAsia="en-US"/>
              </w:rPr>
              <w:t>4.85</w:t>
            </w:r>
          </w:p>
        </w:tc>
      </w:tr>
      <w:tr w:rsidR="00802F03" w:rsidRPr="00802F03" w14:paraId="589D00BF" w14:textId="77777777" w:rsidTr="00892FE5">
        <w:trPr>
          <w:jc w:val="center"/>
        </w:trPr>
        <w:tc>
          <w:tcPr>
            <w:tcW w:w="2733" w:type="dxa"/>
          </w:tcPr>
          <w:p w14:paraId="04E01147"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Simple</w:t>
            </w:r>
          </w:p>
        </w:tc>
        <w:tc>
          <w:tcPr>
            <w:tcW w:w="2236" w:type="dxa"/>
          </w:tcPr>
          <w:p w14:paraId="230381F3"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7.67</w:t>
            </w:r>
          </w:p>
        </w:tc>
      </w:tr>
      <w:tr w:rsidR="00802F03" w:rsidRPr="00802F03" w14:paraId="7610F997" w14:textId="77777777" w:rsidTr="00892FE5">
        <w:trPr>
          <w:jc w:val="center"/>
        </w:trPr>
        <w:tc>
          <w:tcPr>
            <w:tcW w:w="2733" w:type="dxa"/>
            <w:tcBorders>
              <w:bottom w:val="single" w:sz="4" w:space="0" w:color="auto"/>
            </w:tcBorders>
          </w:tcPr>
          <w:p w14:paraId="1A328571" w14:textId="77777777" w:rsidR="00802F03" w:rsidRPr="00802F03" w:rsidRDefault="00802F03" w:rsidP="00802F03">
            <w:pPr>
              <w:rPr>
                <w:rFonts w:eastAsia="Calibri"/>
                <w:b/>
                <w:sz w:val="20"/>
                <w:szCs w:val="20"/>
                <w:lang w:eastAsia="en-US"/>
              </w:rPr>
            </w:pPr>
            <w:r w:rsidRPr="00802F03">
              <w:rPr>
                <w:rFonts w:eastAsia="Calibri"/>
                <w:b/>
                <w:sz w:val="20"/>
                <w:szCs w:val="20"/>
                <w:lang w:eastAsia="en-US"/>
              </w:rPr>
              <w:t>Promedio Ponderado*</w:t>
            </w:r>
          </w:p>
        </w:tc>
        <w:tc>
          <w:tcPr>
            <w:tcW w:w="2236" w:type="dxa"/>
            <w:tcBorders>
              <w:bottom w:val="single" w:sz="4" w:space="0" w:color="auto"/>
            </w:tcBorders>
          </w:tcPr>
          <w:p w14:paraId="1F3602AA" w14:textId="77777777" w:rsidR="00802F03" w:rsidRPr="00802F03" w:rsidRDefault="00802F03" w:rsidP="00802F03">
            <w:pPr>
              <w:ind w:right="794"/>
              <w:jc w:val="right"/>
              <w:rPr>
                <w:rFonts w:eastAsia="Calibri"/>
                <w:b/>
                <w:sz w:val="20"/>
                <w:szCs w:val="20"/>
                <w:lang w:eastAsia="en-US"/>
              </w:rPr>
            </w:pPr>
            <w:r w:rsidRPr="00802F03">
              <w:rPr>
                <w:rFonts w:eastAsia="Calibri"/>
                <w:b/>
                <w:sz w:val="20"/>
                <w:szCs w:val="20"/>
                <w:lang w:eastAsia="en-US"/>
              </w:rPr>
              <w:t>8.09</w:t>
            </w:r>
          </w:p>
        </w:tc>
      </w:tr>
      <w:tr w:rsidR="00802F03" w:rsidRPr="00802F03" w14:paraId="48C46FD5" w14:textId="77777777" w:rsidTr="00892FE5">
        <w:trPr>
          <w:jc w:val="center"/>
        </w:trPr>
        <w:tc>
          <w:tcPr>
            <w:tcW w:w="4969" w:type="dxa"/>
            <w:gridSpan w:val="2"/>
            <w:tcBorders>
              <w:left w:val="nil"/>
              <w:bottom w:val="nil"/>
              <w:right w:val="nil"/>
            </w:tcBorders>
          </w:tcPr>
          <w:p w14:paraId="0443FACA" w14:textId="77777777" w:rsidR="00802F03" w:rsidRPr="00802F03" w:rsidRDefault="00802F03" w:rsidP="00802F03">
            <w:pPr>
              <w:ind w:left="170" w:hanging="170"/>
              <w:jc w:val="both"/>
              <w:rPr>
                <w:rFonts w:eastAsia="Times New Roman"/>
                <w:sz w:val="20"/>
                <w:szCs w:val="20"/>
              </w:rPr>
            </w:pPr>
            <w:r w:rsidRPr="00802F03">
              <w:rPr>
                <w:rFonts w:eastAsia="Times New Roman"/>
                <w:sz w:val="20"/>
                <w:szCs w:val="20"/>
              </w:rPr>
              <w:t>* Es el promedio ponderado, por los activos administrados, de los rendimientos netos de las Siefores Básicas.</w:t>
            </w:r>
          </w:p>
          <w:p w14:paraId="3EF8BE45" w14:textId="77777777" w:rsidR="00802F03" w:rsidRPr="00802F03" w:rsidRDefault="00802F03" w:rsidP="00802F03">
            <w:pPr>
              <w:ind w:left="539" w:hanging="539"/>
              <w:jc w:val="both"/>
              <w:rPr>
                <w:rFonts w:eastAsia="Times New Roman"/>
                <w:sz w:val="20"/>
                <w:szCs w:val="20"/>
              </w:rPr>
            </w:pPr>
            <w:r w:rsidRPr="00802F03">
              <w:rPr>
                <w:rFonts w:eastAsia="Times New Roman"/>
                <w:sz w:val="20"/>
                <w:szCs w:val="20"/>
              </w:rPr>
              <w:t>Nota: Los Indicadores de Rendimiento Neto incluyen la deducción de las Comisiones aplicables.</w:t>
            </w:r>
          </w:p>
          <w:p w14:paraId="67A84152" w14:textId="77777777" w:rsidR="00802F03" w:rsidRPr="00802F03" w:rsidRDefault="00802F03" w:rsidP="00802F03">
            <w:pPr>
              <w:ind w:left="539"/>
              <w:jc w:val="both"/>
              <w:rPr>
                <w:rFonts w:eastAsia="Times New Roman"/>
                <w:sz w:val="20"/>
                <w:szCs w:val="20"/>
              </w:rPr>
            </w:pPr>
            <w:r w:rsidRPr="00802F03">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3CDEC1FA" w14:textId="77777777" w:rsidR="00802F03" w:rsidRPr="00802F03" w:rsidRDefault="00802F03" w:rsidP="00802F03">
            <w:pPr>
              <w:jc w:val="both"/>
              <w:rPr>
                <w:rFonts w:eastAsia="Times New Roman"/>
                <w:sz w:val="20"/>
                <w:szCs w:val="20"/>
              </w:rPr>
            </w:pPr>
            <w:r w:rsidRPr="00802F03">
              <w:rPr>
                <w:rFonts w:eastAsia="Times New Roman"/>
                <w:sz w:val="20"/>
                <w:szCs w:val="20"/>
              </w:rPr>
              <w:t>FUENTE: Consar.</w:t>
            </w:r>
          </w:p>
        </w:tc>
      </w:tr>
    </w:tbl>
    <w:p w14:paraId="33031A51" w14:textId="77777777" w:rsidR="00802F03" w:rsidRPr="00802F03" w:rsidRDefault="00802F03" w:rsidP="00802F03">
      <w:pPr>
        <w:rPr>
          <w:sz w:val="20"/>
          <w:szCs w:val="20"/>
        </w:rPr>
      </w:pPr>
    </w:p>
    <w:p w14:paraId="19156A66" w14:textId="77777777" w:rsidR="00802F03" w:rsidRPr="00802F03" w:rsidRDefault="00802F03" w:rsidP="00802F03">
      <w:pPr>
        <w:rPr>
          <w:sz w:val="20"/>
          <w:szCs w:val="20"/>
        </w:rPr>
      </w:pPr>
    </w:p>
    <w:p w14:paraId="659F7DC7" w14:textId="77777777" w:rsidR="00802F03" w:rsidRPr="00802F03" w:rsidRDefault="00802F03" w:rsidP="00802F03"/>
    <w:p w14:paraId="32A93A5F" w14:textId="77777777" w:rsidR="00802F03" w:rsidRPr="00802F03" w:rsidRDefault="00802F03" w:rsidP="00802F03"/>
    <w:p w14:paraId="21312AC0" w14:textId="77777777" w:rsidR="00802F03" w:rsidRPr="00802F03" w:rsidRDefault="00802F03" w:rsidP="00802F03"/>
    <w:p w14:paraId="7641D23A" w14:textId="77777777" w:rsidR="00802F03" w:rsidRPr="00802F03" w:rsidRDefault="00802F03" w:rsidP="00802F03"/>
    <w:p w14:paraId="562AEA0A" w14:textId="77777777" w:rsidR="00802F03" w:rsidRPr="00802F03" w:rsidRDefault="00802F03" w:rsidP="00802F03"/>
    <w:p w14:paraId="47615BEC" w14:textId="77777777" w:rsidR="00802F03" w:rsidRPr="00802F03" w:rsidRDefault="00802F03" w:rsidP="00802F03"/>
    <w:p w14:paraId="7D1041D9" w14:textId="77777777" w:rsidR="00802F03" w:rsidRPr="00802F03" w:rsidRDefault="00802F03" w:rsidP="00802F03"/>
    <w:p w14:paraId="73BB2F38" w14:textId="77777777" w:rsidR="00802F03" w:rsidRPr="00802F03" w:rsidRDefault="00802F03" w:rsidP="00802F03"/>
    <w:p w14:paraId="6F0F6E41" w14:textId="77777777" w:rsidR="00802F03" w:rsidRPr="00802F03" w:rsidRDefault="00802F03" w:rsidP="00802F03"/>
    <w:p w14:paraId="3E0597A5" w14:textId="77777777" w:rsidR="00802F03" w:rsidRPr="00802F03" w:rsidRDefault="00802F03" w:rsidP="00802F03"/>
    <w:p w14:paraId="77975B4C" w14:textId="77777777" w:rsidR="00802F03" w:rsidRPr="00802F03" w:rsidRDefault="00802F03" w:rsidP="00802F03"/>
    <w:p w14:paraId="049661F5" w14:textId="77777777" w:rsidR="00802F03" w:rsidRPr="00802F03" w:rsidRDefault="00802F03" w:rsidP="00802F03"/>
    <w:p w14:paraId="1838A47C" w14:textId="77777777" w:rsidR="00802F03" w:rsidRPr="00802F03" w:rsidRDefault="00802F03" w:rsidP="00802F03"/>
    <w:p w14:paraId="500AF087" w14:textId="77777777" w:rsidR="00802F03" w:rsidRPr="00802F03" w:rsidRDefault="00802F03" w:rsidP="00802F03"/>
    <w:p w14:paraId="4EBA4FD2" w14:textId="77777777" w:rsidR="00802F03" w:rsidRPr="00802F03" w:rsidRDefault="00802F03" w:rsidP="00802F03"/>
    <w:p w14:paraId="5C9510E4" w14:textId="77777777" w:rsidR="00802F03" w:rsidRPr="00802F03" w:rsidRDefault="00802F03" w:rsidP="00802F03"/>
    <w:p w14:paraId="5DB5E05B" w14:textId="77777777" w:rsidR="00802F03" w:rsidRPr="00802F03" w:rsidRDefault="00802F03" w:rsidP="00802F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3"/>
        <w:gridCol w:w="2236"/>
      </w:tblGrid>
      <w:tr w:rsidR="00802F03" w:rsidRPr="00802F03" w14:paraId="50DBD50A" w14:textId="77777777" w:rsidTr="00892FE5">
        <w:trPr>
          <w:jc w:val="center"/>
        </w:trPr>
        <w:tc>
          <w:tcPr>
            <w:tcW w:w="4969" w:type="dxa"/>
            <w:gridSpan w:val="2"/>
            <w:tcBorders>
              <w:top w:val="nil"/>
              <w:left w:val="nil"/>
              <w:right w:val="nil"/>
            </w:tcBorders>
            <w:vAlign w:val="center"/>
          </w:tcPr>
          <w:p w14:paraId="256CE19F" w14:textId="77777777" w:rsidR="00802F03" w:rsidRPr="00802F03" w:rsidRDefault="00802F03" w:rsidP="00802F03">
            <w:pPr>
              <w:jc w:val="center"/>
              <w:rPr>
                <w:rFonts w:eastAsia="Times New Roman"/>
                <w:b/>
              </w:rPr>
            </w:pPr>
            <w:r w:rsidRPr="00802F03">
              <w:rPr>
                <w:rFonts w:eastAsia="Times New Roman"/>
                <w:b/>
                <w:sz w:val="22"/>
                <w:szCs w:val="22"/>
              </w:rPr>
              <w:lastRenderedPageBreak/>
              <w:t>A MAYOR RENDIMIENTO NETO, MAYOR PENSIÓN</w:t>
            </w:r>
          </w:p>
          <w:p w14:paraId="5D184D14" w14:textId="77777777" w:rsidR="00802F03" w:rsidRPr="00802F03" w:rsidRDefault="00802F03" w:rsidP="00802F03">
            <w:pPr>
              <w:jc w:val="center"/>
              <w:rPr>
                <w:rFonts w:eastAsia="Times New Roman"/>
                <w:b/>
              </w:rPr>
            </w:pPr>
            <w:r w:rsidRPr="00802F03">
              <w:rPr>
                <w:rFonts w:eastAsia="Times New Roman"/>
                <w:b/>
                <w:sz w:val="22"/>
                <w:szCs w:val="22"/>
              </w:rPr>
              <w:t xml:space="preserve">Siefore Básica 1 </w:t>
            </w:r>
          </w:p>
          <w:p w14:paraId="0851DA93" w14:textId="77777777" w:rsidR="00802F03" w:rsidRPr="00802F03" w:rsidRDefault="00802F03" w:rsidP="00802F03">
            <w:pPr>
              <w:jc w:val="center"/>
              <w:rPr>
                <w:rFonts w:eastAsia="Times New Roman"/>
                <w:b/>
              </w:rPr>
            </w:pPr>
            <w:r w:rsidRPr="00802F03">
              <w:rPr>
                <w:rFonts w:eastAsia="Times New Roman"/>
                <w:b/>
                <w:sz w:val="22"/>
                <w:szCs w:val="22"/>
              </w:rPr>
              <w:t>(Para personas de 60 años y mayores)</w:t>
            </w:r>
          </w:p>
          <w:p w14:paraId="473AF8DE" w14:textId="77777777" w:rsidR="00802F03" w:rsidRPr="00802F03" w:rsidRDefault="00802F03" w:rsidP="00802F03">
            <w:pPr>
              <w:jc w:val="center"/>
              <w:rPr>
                <w:rFonts w:eastAsia="Times New Roman"/>
                <w:b/>
                <w:sz w:val="22"/>
                <w:szCs w:val="22"/>
              </w:rPr>
            </w:pPr>
            <w:r w:rsidRPr="00802F03">
              <w:rPr>
                <w:rFonts w:eastAsia="Times New Roman"/>
                <w:b/>
                <w:sz w:val="22"/>
                <w:szCs w:val="22"/>
              </w:rPr>
              <w:t>-Cifras porcentuales al cierre de</w:t>
            </w:r>
          </w:p>
          <w:p w14:paraId="3C6A30B8" w14:textId="77777777" w:rsidR="00802F03" w:rsidRPr="00802F03" w:rsidRDefault="00802F03" w:rsidP="00802F03">
            <w:pPr>
              <w:jc w:val="center"/>
              <w:rPr>
                <w:rFonts w:eastAsia="Times New Roman"/>
                <w:b/>
              </w:rPr>
            </w:pPr>
            <w:r w:rsidRPr="00802F03">
              <w:rPr>
                <w:rFonts w:eastAsia="Times New Roman"/>
                <w:b/>
                <w:sz w:val="22"/>
                <w:szCs w:val="22"/>
              </w:rPr>
              <w:t>marzo de 2015-</w:t>
            </w:r>
          </w:p>
        </w:tc>
      </w:tr>
      <w:tr w:rsidR="00802F03" w:rsidRPr="00802F03" w14:paraId="76B64E55" w14:textId="77777777" w:rsidTr="00892FE5">
        <w:trPr>
          <w:jc w:val="center"/>
        </w:trPr>
        <w:tc>
          <w:tcPr>
            <w:tcW w:w="4969" w:type="dxa"/>
            <w:gridSpan w:val="2"/>
            <w:vAlign w:val="center"/>
          </w:tcPr>
          <w:p w14:paraId="1C88C471" w14:textId="77777777" w:rsidR="00802F03" w:rsidRPr="00802F03" w:rsidRDefault="00802F03" w:rsidP="00802F03">
            <w:pPr>
              <w:jc w:val="center"/>
              <w:rPr>
                <w:rFonts w:eastAsia="Times New Roman"/>
                <w:b/>
                <w:sz w:val="20"/>
                <w:szCs w:val="20"/>
              </w:rPr>
            </w:pPr>
            <w:r w:rsidRPr="00802F03">
              <w:rPr>
                <w:rFonts w:eastAsia="Times New Roman"/>
                <w:b/>
                <w:sz w:val="20"/>
                <w:szCs w:val="20"/>
              </w:rPr>
              <w:t>INDICADOR DE RENDIMIENTO NETO</w:t>
            </w:r>
          </w:p>
          <w:p w14:paraId="45E4D46E" w14:textId="77777777" w:rsidR="00802F03" w:rsidRPr="00802F03" w:rsidRDefault="00802F03" w:rsidP="00802F03">
            <w:pPr>
              <w:jc w:val="center"/>
              <w:rPr>
                <w:rFonts w:eastAsia="Times New Roman"/>
                <w:b/>
                <w:sz w:val="20"/>
                <w:szCs w:val="20"/>
              </w:rPr>
            </w:pPr>
            <w:r w:rsidRPr="00802F03">
              <w:rPr>
                <w:rFonts w:eastAsia="Times New Roman"/>
                <w:b/>
                <w:sz w:val="20"/>
                <w:szCs w:val="20"/>
              </w:rPr>
              <w:t>(52 MESES)</w:t>
            </w:r>
          </w:p>
        </w:tc>
      </w:tr>
      <w:tr w:rsidR="00802F03" w:rsidRPr="00802F03" w14:paraId="399ACC7F" w14:textId="77777777" w:rsidTr="00892FE5">
        <w:trPr>
          <w:jc w:val="center"/>
        </w:trPr>
        <w:tc>
          <w:tcPr>
            <w:tcW w:w="2733" w:type="dxa"/>
            <w:vAlign w:val="center"/>
          </w:tcPr>
          <w:p w14:paraId="4AE812EE" w14:textId="77777777" w:rsidR="00802F03" w:rsidRPr="00802F03" w:rsidRDefault="00802F03" w:rsidP="00802F03">
            <w:pPr>
              <w:jc w:val="center"/>
              <w:rPr>
                <w:rFonts w:eastAsia="Times New Roman"/>
                <w:b/>
                <w:sz w:val="20"/>
                <w:szCs w:val="20"/>
              </w:rPr>
            </w:pPr>
            <w:r w:rsidRPr="00802F03">
              <w:rPr>
                <w:rFonts w:eastAsia="Times New Roman"/>
                <w:b/>
                <w:sz w:val="20"/>
                <w:szCs w:val="20"/>
              </w:rPr>
              <w:t>Afores</w:t>
            </w:r>
          </w:p>
        </w:tc>
        <w:tc>
          <w:tcPr>
            <w:tcW w:w="2236" w:type="dxa"/>
            <w:vAlign w:val="center"/>
          </w:tcPr>
          <w:p w14:paraId="442B1EA2" w14:textId="77777777" w:rsidR="00802F03" w:rsidRPr="00802F03" w:rsidRDefault="00802F03" w:rsidP="00802F03">
            <w:pPr>
              <w:jc w:val="center"/>
              <w:rPr>
                <w:rFonts w:eastAsia="Times New Roman"/>
                <w:b/>
                <w:sz w:val="20"/>
                <w:szCs w:val="20"/>
              </w:rPr>
            </w:pPr>
            <w:r w:rsidRPr="00802F03">
              <w:rPr>
                <w:rFonts w:eastAsia="Times New Roman"/>
                <w:b/>
                <w:sz w:val="20"/>
                <w:szCs w:val="20"/>
              </w:rPr>
              <w:t>Rendimiento</w:t>
            </w:r>
          </w:p>
          <w:p w14:paraId="45431574" w14:textId="77777777" w:rsidR="00802F03" w:rsidRPr="00802F03" w:rsidRDefault="00802F03" w:rsidP="00802F03">
            <w:pPr>
              <w:jc w:val="center"/>
              <w:rPr>
                <w:rFonts w:eastAsia="Times New Roman"/>
                <w:b/>
                <w:sz w:val="20"/>
                <w:szCs w:val="20"/>
              </w:rPr>
            </w:pPr>
            <w:r w:rsidRPr="00802F03">
              <w:rPr>
                <w:rFonts w:eastAsia="Times New Roman"/>
                <w:b/>
                <w:sz w:val="20"/>
                <w:szCs w:val="20"/>
              </w:rPr>
              <w:t>Neto</w:t>
            </w:r>
          </w:p>
        </w:tc>
      </w:tr>
      <w:tr w:rsidR="00802F03" w:rsidRPr="00802F03" w14:paraId="0423B7E6" w14:textId="77777777" w:rsidTr="00892FE5">
        <w:trPr>
          <w:jc w:val="center"/>
        </w:trPr>
        <w:tc>
          <w:tcPr>
            <w:tcW w:w="2733" w:type="dxa"/>
          </w:tcPr>
          <w:p w14:paraId="02A3F750" w14:textId="77777777" w:rsidR="00802F03" w:rsidRPr="00802F03" w:rsidRDefault="00802F03" w:rsidP="00802F03">
            <w:pPr>
              <w:jc w:val="both"/>
              <w:rPr>
                <w:rFonts w:eastAsia="Times New Roman"/>
                <w:sz w:val="20"/>
                <w:szCs w:val="20"/>
              </w:rPr>
            </w:pPr>
            <w:r w:rsidRPr="00802F03">
              <w:rPr>
                <w:rFonts w:eastAsia="Times New Roman"/>
                <w:sz w:val="20"/>
                <w:szCs w:val="20"/>
              </w:rPr>
              <w:t>PensionISSSTE</w:t>
            </w:r>
          </w:p>
        </w:tc>
        <w:tc>
          <w:tcPr>
            <w:tcW w:w="2236" w:type="dxa"/>
          </w:tcPr>
          <w:p w14:paraId="67535D00" w14:textId="77777777" w:rsidR="00802F03" w:rsidRPr="00802F03" w:rsidRDefault="00802F03" w:rsidP="00802F03">
            <w:pPr>
              <w:jc w:val="center"/>
              <w:rPr>
                <w:rFonts w:eastAsia="Times New Roman"/>
                <w:sz w:val="20"/>
                <w:szCs w:val="20"/>
              </w:rPr>
            </w:pPr>
            <w:r w:rsidRPr="00802F03">
              <w:rPr>
                <w:rFonts w:eastAsia="Times New Roman"/>
                <w:sz w:val="20"/>
                <w:szCs w:val="20"/>
              </w:rPr>
              <w:t>7.11</w:t>
            </w:r>
          </w:p>
        </w:tc>
      </w:tr>
      <w:tr w:rsidR="00802F03" w:rsidRPr="00802F03" w14:paraId="6A816735" w14:textId="77777777" w:rsidTr="00892FE5">
        <w:trPr>
          <w:jc w:val="center"/>
        </w:trPr>
        <w:tc>
          <w:tcPr>
            <w:tcW w:w="2733" w:type="dxa"/>
          </w:tcPr>
          <w:p w14:paraId="6952B670" w14:textId="77777777" w:rsidR="00802F03" w:rsidRPr="00802F03" w:rsidRDefault="00802F03" w:rsidP="00802F03">
            <w:pPr>
              <w:rPr>
                <w:rFonts w:eastAsia="Times New Roman"/>
                <w:sz w:val="20"/>
                <w:szCs w:val="20"/>
              </w:rPr>
            </w:pPr>
            <w:r w:rsidRPr="00802F03">
              <w:rPr>
                <w:rFonts w:eastAsia="Times New Roman"/>
                <w:sz w:val="20"/>
                <w:szCs w:val="20"/>
              </w:rPr>
              <w:t>SURA</w:t>
            </w:r>
          </w:p>
        </w:tc>
        <w:tc>
          <w:tcPr>
            <w:tcW w:w="2236" w:type="dxa"/>
          </w:tcPr>
          <w:p w14:paraId="252DD642" w14:textId="77777777" w:rsidR="00802F03" w:rsidRPr="00802F03" w:rsidRDefault="00802F03" w:rsidP="00802F03">
            <w:pPr>
              <w:jc w:val="center"/>
              <w:rPr>
                <w:rFonts w:eastAsia="Times New Roman"/>
                <w:sz w:val="20"/>
                <w:szCs w:val="20"/>
              </w:rPr>
            </w:pPr>
            <w:r w:rsidRPr="00802F03">
              <w:rPr>
                <w:rFonts w:eastAsia="Times New Roman"/>
                <w:sz w:val="20"/>
                <w:szCs w:val="20"/>
              </w:rPr>
              <w:t>6.71</w:t>
            </w:r>
          </w:p>
        </w:tc>
      </w:tr>
      <w:tr w:rsidR="00802F03" w:rsidRPr="00802F03" w14:paraId="61B8C6EC" w14:textId="77777777" w:rsidTr="00892FE5">
        <w:trPr>
          <w:jc w:val="center"/>
        </w:trPr>
        <w:tc>
          <w:tcPr>
            <w:tcW w:w="2733" w:type="dxa"/>
          </w:tcPr>
          <w:p w14:paraId="0161562B" w14:textId="77777777" w:rsidR="00802F03" w:rsidRPr="00802F03" w:rsidRDefault="00802F03" w:rsidP="00802F03">
            <w:pPr>
              <w:rPr>
                <w:rFonts w:eastAsia="Times New Roman"/>
                <w:sz w:val="20"/>
                <w:szCs w:val="20"/>
              </w:rPr>
            </w:pPr>
            <w:r w:rsidRPr="00802F03">
              <w:rPr>
                <w:rFonts w:eastAsia="Times New Roman"/>
                <w:sz w:val="20"/>
                <w:szCs w:val="20"/>
              </w:rPr>
              <w:t>Invercap</w:t>
            </w:r>
          </w:p>
        </w:tc>
        <w:tc>
          <w:tcPr>
            <w:tcW w:w="2236" w:type="dxa"/>
          </w:tcPr>
          <w:p w14:paraId="0E33510B" w14:textId="77777777" w:rsidR="00802F03" w:rsidRPr="00802F03" w:rsidRDefault="00802F03" w:rsidP="00802F03">
            <w:pPr>
              <w:jc w:val="center"/>
              <w:rPr>
                <w:rFonts w:eastAsia="Times New Roman"/>
                <w:sz w:val="20"/>
                <w:szCs w:val="20"/>
              </w:rPr>
            </w:pPr>
            <w:r w:rsidRPr="00802F03">
              <w:rPr>
                <w:rFonts w:eastAsia="Times New Roman"/>
                <w:sz w:val="20"/>
                <w:szCs w:val="20"/>
              </w:rPr>
              <w:t>6.56</w:t>
            </w:r>
          </w:p>
        </w:tc>
      </w:tr>
      <w:tr w:rsidR="00802F03" w:rsidRPr="00802F03" w14:paraId="0E939377" w14:textId="77777777" w:rsidTr="00892FE5">
        <w:trPr>
          <w:jc w:val="center"/>
        </w:trPr>
        <w:tc>
          <w:tcPr>
            <w:tcW w:w="2733" w:type="dxa"/>
          </w:tcPr>
          <w:p w14:paraId="08B42C5C" w14:textId="77777777" w:rsidR="00802F03" w:rsidRPr="00802F03" w:rsidRDefault="00802F03" w:rsidP="00802F03">
            <w:pPr>
              <w:rPr>
                <w:rFonts w:eastAsia="Times New Roman"/>
                <w:sz w:val="20"/>
                <w:szCs w:val="20"/>
              </w:rPr>
            </w:pPr>
            <w:r w:rsidRPr="00802F03">
              <w:rPr>
                <w:rFonts w:eastAsia="Times New Roman"/>
                <w:sz w:val="20"/>
                <w:szCs w:val="20"/>
              </w:rPr>
              <w:t>Profuturo GNP</w:t>
            </w:r>
          </w:p>
        </w:tc>
        <w:tc>
          <w:tcPr>
            <w:tcW w:w="2236" w:type="dxa"/>
          </w:tcPr>
          <w:p w14:paraId="03166E56" w14:textId="77777777" w:rsidR="00802F03" w:rsidRPr="00802F03" w:rsidRDefault="00802F03" w:rsidP="00802F03">
            <w:pPr>
              <w:jc w:val="center"/>
              <w:rPr>
                <w:rFonts w:eastAsia="Times New Roman"/>
                <w:sz w:val="20"/>
                <w:szCs w:val="20"/>
              </w:rPr>
            </w:pPr>
            <w:r w:rsidRPr="00802F03">
              <w:rPr>
                <w:rFonts w:eastAsia="Times New Roman"/>
                <w:sz w:val="20"/>
                <w:szCs w:val="20"/>
              </w:rPr>
              <w:t>6.46</w:t>
            </w:r>
          </w:p>
        </w:tc>
      </w:tr>
      <w:tr w:rsidR="00802F03" w:rsidRPr="00802F03" w14:paraId="2CED65BE" w14:textId="77777777" w:rsidTr="00892FE5">
        <w:trPr>
          <w:jc w:val="center"/>
        </w:trPr>
        <w:tc>
          <w:tcPr>
            <w:tcW w:w="2733" w:type="dxa"/>
          </w:tcPr>
          <w:p w14:paraId="4E8CF4E1" w14:textId="77777777" w:rsidR="00802F03" w:rsidRPr="00802F03" w:rsidRDefault="00802F03" w:rsidP="00802F03">
            <w:pPr>
              <w:rPr>
                <w:rFonts w:eastAsia="Times New Roman"/>
                <w:sz w:val="20"/>
                <w:szCs w:val="20"/>
              </w:rPr>
            </w:pPr>
            <w:r w:rsidRPr="00802F03">
              <w:rPr>
                <w:rFonts w:eastAsia="Times New Roman"/>
                <w:sz w:val="20"/>
                <w:szCs w:val="20"/>
              </w:rPr>
              <w:t>Banamex</w:t>
            </w:r>
          </w:p>
        </w:tc>
        <w:tc>
          <w:tcPr>
            <w:tcW w:w="2236" w:type="dxa"/>
          </w:tcPr>
          <w:p w14:paraId="109B3282" w14:textId="77777777" w:rsidR="00802F03" w:rsidRPr="00802F03" w:rsidRDefault="00802F03" w:rsidP="00802F03">
            <w:pPr>
              <w:jc w:val="center"/>
              <w:rPr>
                <w:rFonts w:eastAsia="Times New Roman"/>
                <w:sz w:val="20"/>
                <w:szCs w:val="20"/>
                <w:lang w:val="en-US"/>
              </w:rPr>
            </w:pPr>
            <w:r w:rsidRPr="00802F03">
              <w:rPr>
                <w:rFonts w:eastAsia="Times New Roman"/>
                <w:sz w:val="20"/>
                <w:szCs w:val="20"/>
                <w:lang w:val="en-US"/>
              </w:rPr>
              <w:t>6.17</w:t>
            </w:r>
          </w:p>
        </w:tc>
      </w:tr>
      <w:tr w:rsidR="00802F03" w:rsidRPr="00802F03" w14:paraId="6E571A65" w14:textId="77777777" w:rsidTr="00892FE5">
        <w:trPr>
          <w:jc w:val="center"/>
        </w:trPr>
        <w:tc>
          <w:tcPr>
            <w:tcW w:w="2733" w:type="dxa"/>
          </w:tcPr>
          <w:p w14:paraId="2A64EC90" w14:textId="77777777" w:rsidR="00802F03" w:rsidRPr="00802F03" w:rsidRDefault="00802F03" w:rsidP="00802F03">
            <w:pPr>
              <w:rPr>
                <w:rFonts w:eastAsia="Times New Roman"/>
                <w:sz w:val="20"/>
                <w:szCs w:val="20"/>
              </w:rPr>
            </w:pPr>
            <w:r w:rsidRPr="00802F03">
              <w:rPr>
                <w:rFonts w:eastAsia="Times New Roman"/>
                <w:sz w:val="20"/>
                <w:szCs w:val="20"/>
              </w:rPr>
              <w:t>XXI Banorte</w:t>
            </w:r>
          </w:p>
        </w:tc>
        <w:tc>
          <w:tcPr>
            <w:tcW w:w="2236" w:type="dxa"/>
          </w:tcPr>
          <w:p w14:paraId="7CD40F2D" w14:textId="77777777" w:rsidR="00802F03" w:rsidRPr="00802F03" w:rsidRDefault="00802F03" w:rsidP="00802F03">
            <w:pPr>
              <w:jc w:val="center"/>
              <w:rPr>
                <w:rFonts w:eastAsia="Times New Roman"/>
                <w:sz w:val="20"/>
                <w:szCs w:val="20"/>
                <w:lang w:val="en-US"/>
              </w:rPr>
            </w:pPr>
            <w:r w:rsidRPr="00802F03">
              <w:rPr>
                <w:rFonts w:eastAsia="Times New Roman"/>
                <w:sz w:val="20"/>
                <w:szCs w:val="20"/>
                <w:lang w:val="en-US"/>
              </w:rPr>
              <w:t>5.96</w:t>
            </w:r>
          </w:p>
        </w:tc>
      </w:tr>
      <w:tr w:rsidR="00802F03" w:rsidRPr="00802F03" w14:paraId="71414059" w14:textId="77777777" w:rsidTr="00892FE5">
        <w:trPr>
          <w:jc w:val="center"/>
        </w:trPr>
        <w:tc>
          <w:tcPr>
            <w:tcW w:w="2733" w:type="dxa"/>
          </w:tcPr>
          <w:p w14:paraId="1E9C8802" w14:textId="77777777" w:rsidR="00802F03" w:rsidRPr="00802F03" w:rsidRDefault="00802F03" w:rsidP="00802F03">
            <w:pPr>
              <w:rPr>
                <w:rFonts w:eastAsia="Times New Roman"/>
                <w:sz w:val="20"/>
                <w:szCs w:val="20"/>
              </w:rPr>
            </w:pPr>
            <w:r w:rsidRPr="00802F03">
              <w:rPr>
                <w:rFonts w:eastAsia="Times New Roman"/>
                <w:sz w:val="20"/>
                <w:szCs w:val="20"/>
              </w:rPr>
              <w:t>MetLife</w:t>
            </w:r>
          </w:p>
        </w:tc>
        <w:tc>
          <w:tcPr>
            <w:tcW w:w="2236" w:type="dxa"/>
          </w:tcPr>
          <w:p w14:paraId="761A7D2E" w14:textId="77777777" w:rsidR="00802F03" w:rsidRPr="00802F03" w:rsidRDefault="00802F03" w:rsidP="00802F03">
            <w:pPr>
              <w:jc w:val="center"/>
              <w:rPr>
                <w:rFonts w:eastAsia="Times New Roman"/>
                <w:sz w:val="20"/>
                <w:szCs w:val="20"/>
              </w:rPr>
            </w:pPr>
            <w:r w:rsidRPr="00802F03">
              <w:rPr>
                <w:rFonts w:eastAsia="Times New Roman"/>
                <w:sz w:val="20"/>
                <w:szCs w:val="20"/>
              </w:rPr>
              <w:t>5.66</w:t>
            </w:r>
          </w:p>
        </w:tc>
      </w:tr>
      <w:tr w:rsidR="00802F03" w:rsidRPr="00802F03" w14:paraId="48CB9032" w14:textId="77777777" w:rsidTr="00892FE5">
        <w:trPr>
          <w:jc w:val="center"/>
        </w:trPr>
        <w:tc>
          <w:tcPr>
            <w:tcW w:w="2733" w:type="dxa"/>
          </w:tcPr>
          <w:p w14:paraId="6F4E933C" w14:textId="77777777" w:rsidR="00802F03" w:rsidRPr="00802F03" w:rsidRDefault="00802F03" w:rsidP="00802F03">
            <w:pPr>
              <w:jc w:val="both"/>
              <w:rPr>
                <w:rFonts w:eastAsia="Times New Roman"/>
                <w:sz w:val="20"/>
                <w:szCs w:val="20"/>
              </w:rPr>
            </w:pPr>
            <w:r w:rsidRPr="00802F03">
              <w:rPr>
                <w:rFonts w:eastAsia="Times New Roman"/>
                <w:sz w:val="20"/>
                <w:szCs w:val="20"/>
              </w:rPr>
              <w:t>Principal</w:t>
            </w:r>
          </w:p>
        </w:tc>
        <w:tc>
          <w:tcPr>
            <w:tcW w:w="2236" w:type="dxa"/>
          </w:tcPr>
          <w:p w14:paraId="34735D35" w14:textId="77777777" w:rsidR="00802F03" w:rsidRPr="00802F03" w:rsidRDefault="00802F03" w:rsidP="00802F03">
            <w:pPr>
              <w:jc w:val="center"/>
              <w:rPr>
                <w:rFonts w:eastAsia="Times New Roman"/>
                <w:sz w:val="20"/>
                <w:szCs w:val="20"/>
              </w:rPr>
            </w:pPr>
            <w:r w:rsidRPr="00802F03">
              <w:rPr>
                <w:rFonts w:eastAsia="Times New Roman"/>
                <w:sz w:val="20"/>
                <w:szCs w:val="20"/>
              </w:rPr>
              <w:t>5.58</w:t>
            </w:r>
          </w:p>
        </w:tc>
      </w:tr>
      <w:tr w:rsidR="00802F03" w:rsidRPr="00802F03" w14:paraId="52219586" w14:textId="77777777" w:rsidTr="00892FE5">
        <w:trPr>
          <w:jc w:val="center"/>
        </w:trPr>
        <w:tc>
          <w:tcPr>
            <w:tcW w:w="2733" w:type="dxa"/>
          </w:tcPr>
          <w:p w14:paraId="4467B51E" w14:textId="77777777" w:rsidR="00802F03" w:rsidRPr="00802F03" w:rsidRDefault="00802F03" w:rsidP="00802F03">
            <w:pPr>
              <w:rPr>
                <w:rFonts w:eastAsia="Times New Roman"/>
                <w:sz w:val="20"/>
                <w:szCs w:val="20"/>
              </w:rPr>
            </w:pPr>
            <w:r w:rsidRPr="00802F03">
              <w:rPr>
                <w:rFonts w:eastAsia="Times New Roman"/>
                <w:sz w:val="20"/>
                <w:szCs w:val="20"/>
              </w:rPr>
              <w:t>Azteca</w:t>
            </w:r>
          </w:p>
        </w:tc>
        <w:tc>
          <w:tcPr>
            <w:tcW w:w="2236" w:type="dxa"/>
          </w:tcPr>
          <w:p w14:paraId="599C0967" w14:textId="77777777" w:rsidR="00802F03" w:rsidRPr="00802F03" w:rsidRDefault="00802F03" w:rsidP="00802F03">
            <w:pPr>
              <w:jc w:val="center"/>
              <w:rPr>
                <w:rFonts w:eastAsia="Times New Roman"/>
                <w:sz w:val="20"/>
                <w:szCs w:val="20"/>
                <w:lang w:val="en-US"/>
              </w:rPr>
            </w:pPr>
            <w:r w:rsidRPr="00802F03">
              <w:rPr>
                <w:rFonts w:eastAsia="Times New Roman"/>
                <w:sz w:val="20"/>
                <w:szCs w:val="20"/>
                <w:lang w:val="en-US"/>
              </w:rPr>
              <w:t>5.41</w:t>
            </w:r>
          </w:p>
        </w:tc>
      </w:tr>
      <w:tr w:rsidR="00802F03" w:rsidRPr="00802F03" w14:paraId="4048F6B5" w14:textId="77777777" w:rsidTr="00892FE5">
        <w:trPr>
          <w:jc w:val="center"/>
        </w:trPr>
        <w:tc>
          <w:tcPr>
            <w:tcW w:w="2733" w:type="dxa"/>
          </w:tcPr>
          <w:p w14:paraId="6D721F1A" w14:textId="77777777" w:rsidR="00802F03" w:rsidRPr="00802F03" w:rsidRDefault="00802F03" w:rsidP="00802F03">
            <w:pPr>
              <w:rPr>
                <w:rFonts w:eastAsia="Times New Roman"/>
                <w:sz w:val="20"/>
                <w:szCs w:val="20"/>
                <w:lang w:val="es-ES"/>
              </w:rPr>
            </w:pPr>
            <w:r w:rsidRPr="00802F03">
              <w:rPr>
                <w:rFonts w:eastAsia="Times New Roman"/>
                <w:sz w:val="20"/>
                <w:szCs w:val="20"/>
                <w:lang w:val="es-ES"/>
              </w:rPr>
              <w:t>Coppel</w:t>
            </w:r>
          </w:p>
        </w:tc>
        <w:tc>
          <w:tcPr>
            <w:tcW w:w="2236" w:type="dxa"/>
          </w:tcPr>
          <w:p w14:paraId="4E201817" w14:textId="77777777" w:rsidR="00802F03" w:rsidRPr="00802F03" w:rsidRDefault="00802F03" w:rsidP="00802F03">
            <w:pPr>
              <w:jc w:val="center"/>
              <w:rPr>
                <w:rFonts w:eastAsia="Times New Roman"/>
                <w:sz w:val="20"/>
                <w:szCs w:val="20"/>
                <w:lang w:val="es-ES"/>
              </w:rPr>
            </w:pPr>
            <w:r w:rsidRPr="00802F03">
              <w:rPr>
                <w:rFonts w:eastAsia="Times New Roman"/>
                <w:sz w:val="20"/>
                <w:szCs w:val="20"/>
                <w:lang w:val="es-ES"/>
              </w:rPr>
              <w:t>4.76</w:t>
            </w:r>
          </w:p>
        </w:tc>
      </w:tr>
      <w:tr w:rsidR="00802F03" w:rsidRPr="00802F03" w14:paraId="1E6EFC15" w14:textId="77777777" w:rsidTr="00892FE5">
        <w:trPr>
          <w:jc w:val="center"/>
        </w:trPr>
        <w:tc>
          <w:tcPr>
            <w:tcW w:w="2733" w:type="dxa"/>
          </w:tcPr>
          <w:p w14:paraId="4A2D5B1D" w14:textId="77777777" w:rsidR="00802F03" w:rsidRPr="00802F03" w:rsidRDefault="00802F03" w:rsidP="00802F03">
            <w:pPr>
              <w:rPr>
                <w:rFonts w:eastAsia="Times New Roman"/>
                <w:sz w:val="20"/>
                <w:szCs w:val="20"/>
                <w:lang w:val="es-ES"/>
              </w:rPr>
            </w:pPr>
            <w:r w:rsidRPr="00802F03">
              <w:rPr>
                <w:rFonts w:eastAsia="Times New Roman"/>
                <w:sz w:val="20"/>
                <w:szCs w:val="20"/>
                <w:lang w:val="es-ES"/>
              </w:rPr>
              <w:t>Inbursa</w:t>
            </w:r>
          </w:p>
        </w:tc>
        <w:tc>
          <w:tcPr>
            <w:tcW w:w="2236" w:type="dxa"/>
          </w:tcPr>
          <w:p w14:paraId="490D4DD0" w14:textId="77777777" w:rsidR="00802F03" w:rsidRPr="00802F03" w:rsidRDefault="00802F03" w:rsidP="00802F03">
            <w:pPr>
              <w:jc w:val="center"/>
              <w:rPr>
                <w:rFonts w:eastAsia="Times New Roman"/>
                <w:sz w:val="20"/>
                <w:szCs w:val="20"/>
              </w:rPr>
            </w:pPr>
            <w:r w:rsidRPr="00802F03">
              <w:rPr>
                <w:rFonts w:eastAsia="Times New Roman"/>
                <w:sz w:val="20"/>
                <w:szCs w:val="20"/>
              </w:rPr>
              <w:t>4.66</w:t>
            </w:r>
          </w:p>
        </w:tc>
      </w:tr>
      <w:tr w:rsidR="00802F03" w:rsidRPr="00802F03" w14:paraId="41BFF554" w14:textId="77777777" w:rsidTr="00892FE5">
        <w:trPr>
          <w:jc w:val="center"/>
        </w:trPr>
        <w:tc>
          <w:tcPr>
            <w:tcW w:w="2733" w:type="dxa"/>
          </w:tcPr>
          <w:p w14:paraId="22C96B1A" w14:textId="77777777" w:rsidR="00802F03" w:rsidRPr="00802F03" w:rsidRDefault="00802F03" w:rsidP="00802F03">
            <w:pPr>
              <w:rPr>
                <w:rFonts w:eastAsia="Times New Roman"/>
                <w:b/>
                <w:sz w:val="20"/>
                <w:szCs w:val="20"/>
                <w:lang w:val="es-ES"/>
              </w:rPr>
            </w:pPr>
            <w:r w:rsidRPr="00802F03">
              <w:rPr>
                <w:rFonts w:eastAsia="Times New Roman"/>
                <w:b/>
                <w:sz w:val="20"/>
                <w:szCs w:val="20"/>
                <w:lang w:val="es-ES"/>
              </w:rPr>
              <w:t>Promedio Simple</w:t>
            </w:r>
          </w:p>
        </w:tc>
        <w:tc>
          <w:tcPr>
            <w:tcW w:w="2236" w:type="dxa"/>
          </w:tcPr>
          <w:p w14:paraId="241E8423" w14:textId="77777777" w:rsidR="00802F03" w:rsidRPr="00802F03" w:rsidRDefault="00802F03" w:rsidP="00802F03">
            <w:pPr>
              <w:jc w:val="center"/>
              <w:rPr>
                <w:rFonts w:eastAsia="Times New Roman"/>
                <w:b/>
                <w:sz w:val="20"/>
                <w:szCs w:val="20"/>
              </w:rPr>
            </w:pPr>
            <w:r w:rsidRPr="00802F03">
              <w:rPr>
                <w:rFonts w:eastAsia="Times New Roman"/>
                <w:b/>
                <w:sz w:val="20"/>
                <w:szCs w:val="20"/>
              </w:rPr>
              <w:t>5.91</w:t>
            </w:r>
          </w:p>
        </w:tc>
      </w:tr>
      <w:tr w:rsidR="00802F03" w:rsidRPr="00802F03" w14:paraId="2B5D4B98" w14:textId="77777777" w:rsidTr="00892FE5">
        <w:trPr>
          <w:jc w:val="center"/>
        </w:trPr>
        <w:tc>
          <w:tcPr>
            <w:tcW w:w="2733" w:type="dxa"/>
            <w:tcBorders>
              <w:bottom w:val="single" w:sz="4" w:space="0" w:color="auto"/>
            </w:tcBorders>
          </w:tcPr>
          <w:p w14:paraId="7C335D58" w14:textId="77777777" w:rsidR="00802F03" w:rsidRPr="00802F03" w:rsidRDefault="00802F03" w:rsidP="00802F03">
            <w:pPr>
              <w:rPr>
                <w:rFonts w:eastAsia="Times New Roman"/>
                <w:b/>
                <w:sz w:val="20"/>
                <w:szCs w:val="20"/>
                <w:lang w:val="es-ES"/>
              </w:rPr>
            </w:pPr>
            <w:r w:rsidRPr="00802F03">
              <w:rPr>
                <w:rFonts w:eastAsia="Times New Roman"/>
                <w:b/>
                <w:sz w:val="20"/>
                <w:szCs w:val="20"/>
                <w:lang w:val="es-ES"/>
              </w:rPr>
              <w:t>Promedio ponderado*</w:t>
            </w:r>
          </w:p>
        </w:tc>
        <w:tc>
          <w:tcPr>
            <w:tcW w:w="2236" w:type="dxa"/>
            <w:tcBorders>
              <w:bottom w:val="single" w:sz="4" w:space="0" w:color="auto"/>
            </w:tcBorders>
          </w:tcPr>
          <w:p w14:paraId="59910442" w14:textId="77777777" w:rsidR="00802F03" w:rsidRPr="00802F03" w:rsidRDefault="00802F03" w:rsidP="00802F03">
            <w:pPr>
              <w:jc w:val="center"/>
              <w:rPr>
                <w:rFonts w:eastAsia="Times New Roman"/>
                <w:b/>
                <w:sz w:val="20"/>
                <w:szCs w:val="20"/>
              </w:rPr>
            </w:pPr>
            <w:r w:rsidRPr="00802F03">
              <w:rPr>
                <w:rFonts w:eastAsia="Times New Roman"/>
                <w:b/>
                <w:sz w:val="20"/>
                <w:szCs w:val="20"/>
              </w:rPr>
              <w:t>6.24</w:t>
            </w:r>
          </w:p>
        </w:tc>
      </w:tr>
      <w:tr w:rsidR="00802F03" w:rsidRPr="00802F03" w14:paraId="29B0774F" w14:textId="77777777" w:rsidTr="00892FE5">
        <w:trPr>
          <w:jc w:val="center"/>
        </w:trPr>
        <w:tc>
          <w:tcPr>
            <w:tcW w:w="4969" w:type="dxa"/>
            <w:gridSpan w:val="2"/>
            <w:tcBorders>
              <w:left w:val="nil"/>
              <w:bottom w:val="nil"/>
              <w:right w:val="nil"/>
            </w:tcBorders>
          </w:tcPr>
          <w:p w14:paraId="3529C41C" w14:textId="77777777" w:rsidR="00802F03" w:rsidRPr="00802F03" w:rsidRDefault="00802F03" w:rsidP="00802F03">
            <w:pPr>
              <w:ind w:left="170" w:hanging="170"/>
              <w:jc w:val="both"/>
              <w:rPr>
                <w:rFonts w:eastAsia="Times New Roman"/>
                <w:sz w:val="20"/>
                <w:szCs w:val="20"/>
              </w:rPr>
            </w:pPr>
            <w:r w:rsidRPr="00802F03">
              <w:rPr>
                <w:rFonts w:eastAsia="Times New Roman"/>
                <w:sz w:val="20"/>
                <w:szCs w:val="20"/>
              </w:rPr>
              <w:t>* Es el promedio ponderado, por los activos administrados, de los rendimientos netos de las Siefores Básicas.</w:t>
            </w:r>
          </w:p>
          <w:p w14:paraId="1E55415D" w14:textId="77777777" w:rsidR="00802F03" w:rsidRPr="00802F03" w:rsidRDefault="00802F03" w:rsidP="00802F03">
            <w:pPr>
              <w:ind w:left="539" w:hanging="539"/>
              <w:jc w:val="both"/>
              <w:rPr>
                <w:rFonts w:eastAsia="Times New Roman"/>
                <w:sz w:val="20"/>
                <w:szCs w:val="20"/>
              </w:rPr>
            </w:pPr>
            <w:r w:rsidRPr="00802F03">
              <w:rPr>
                <w:rFonts w:eastAsia="Times New Roman"/>
                <w:sz w:val="20"/>
                <w:szCs w:val="20"/>
              </w:rPr>
              <w:t>Nota: Los Indicadores de Rendimiento Neto incluyen la deducción de las Comisiones aplicables.</w:t>
            </w:r>
          </w:p>
          <w:p w14:paraId="47B9426F" w14:textId="77777777" w:rsidR="00802F03" w:rsidRPr="00802F03" w:rsidRDefault="00802F03" w:rsidP="00802F03">
            <w:pPr>
              <w:ind w:left="539"/>
              <w:jc w:val="both"/>
              <w:rPr>
                <w:rFonts w:eastAsia="Times New Roman"/>
                <w:sz w:val="20"/>
                <w:szCs w:val="20"/>
              </w:rPr>
            </w:pPr>
            <w:r w:rsidRPr="00802F03">
              <w:rPr>
                <w:rFonts w:eastAsia="Times New Roman"/>
                <w:sz w:val="20"/>
                <w:szCs w:val="20"/>
              </w:rPr>
              <w:t>Este indicador refleja el desempeño obtenido consistentemente por las inversiones en cada Siefore e indica que las decisiones de traspaso pueden resultar convenientes para los trabajadores.</w:t>
            </w:r>
          </w:p>
          <w:p w14:paraId="29367843" w14:textId="77777777" w:rsidR="00802F03" w:rsidRPr="00802F03" w:rsidRDefault="00802F03" w:rsidP="00802F03">
            <w:pPr>
              <w:jc w:val="both"/>
              <w:rPr>
                <w:rFonts w:eastAsia="Times New Roman"/>
                <w:sz w:val="20"/>
                <w:szCs w:val="20"/>
              </w:rPr>
            </w:pPr>
            <w:r w:rsidRPr="00802F03">
              <w:rPr>
                <w:rFonts w:eastAsia="Times New Roman"/>
                <w:sz w:val="20"/>
                <w:szCs w:val="20"/>
              </w:rPr>
              <w:t>FUENTE: Consar.</w:t>
            </w:r>
          </w:p>
        </w:tc>
      </w:tr>
    </w:tbl>
    <w:p w14:paraId="71DDEAC9" w14:textId="77777777" w:rsidR="00802F03" w:rsidRPr="00802F03" w:rsidRDefault="00802F03" w:rsidP="00802F03">
      <w:pPr>
        <w:spacing w:after="240"/>
        <w:rPr>
          <w:rFonts w:eastAsia="Times New Roman"/>
          <w:sz w:val="26"/>
          <w:szCs w:val="26"/>
        </w:rPr>
      </w:pPr>
    </w:p>
    <w:p w14:paraId="69852018" w14:textId="77777777" w:rsidR="00802F03" w:rsidRPr="00802F03" w:rsidRDefault="00802F03" w:rsidP="00802F03"/>
    <w:p w14:paraId="332D3B52" w14:textId="77777777" w:rsidR="00802F03" w:rsidRPr="00802F03" w:rsidRDefault="00802F03" w:rsidP="00802F03">
      <w:pPr>
        <w:rPr>
          <w:b/>
          <w:sz w:val="20"/>
          <w:szCs w:val="20"/>
        </w:rPr>
      </w:pPr>
      <w:r w:rsidRPr="00802F03">
        <w:rPr>
          <w:b/>
          <w:sz w:val="20"/>
          <w:szCs w:val="20"/>
        </w:rPr>
        <w:t>Fuente de información:</w:t>
      </w:r>
    </w:p>
    <w:p w14:paraId="69498344" w14:textId="77777777" w:rsidR="00802F03" w:rsidRPr="00EF184E" w:rsidRDefault="0045651A" w:rsidP="00EF184E">
      <w:pPr>
        <w:spacing w:after="720" w:line="276" w:lineRule="auto"/>
        <w:rPr>
          <w:color w:val="0000FF"/>
          <w:sz w:val="20"/>
          <w:szCs w:val="20"/>
        </w:rPr>
      </w:pPr>
      <w:hyperlink r:id="rId383" w:history="1">
        <w:r w:rsidR="00802F03" w:rsidRPr="00EF184E">
          <w:rPr>
            <w:color w:val="0000FF"/>
            <w:sz w:val="20"/>
            <w:szCs w:val="20"/>
            <w:u w:val="single"/>
          </w:rPr>
          <w:t>http://www.consar.gob.mx/rendimiento_neto/rendimiento_neto_promedio.aspx</w:t>
        </w:r>
      </w:hyperlink>
    </w:p>
    <w:p w14:paraId="712BFDB4" w14:textId="77777777" w:rsidR="00802F03" w:rsidRPr="00802F03" w:rsidRDefault="00802F03" w:rsidP="00802F03">
      <w:pPr>
        <w:spacing w:after="360" w:line="360" w:lineRule="auto"/>
        <w:ind w:right="-159"/>
        <w:jc w:val="both"/>
        <w:rPr>
          <w:b/>
          <w:sz w:val="26"/>
          <w:szCs w:val="26"/>
        </w:rPr>
      </w:pPr>
      <w:r w:rsidRPr="00802F03">
        <w:rPr>
          <w:b/>
          <w:sz w:val="26"/>
          <w:szCs w:val="26"/>
        </w:rPr>
        <w:t>Cuentas Administradas por las Afores (Consar)</w:t>
      </w:r>
    </w:p>
    <w:p w14:paraId="3FB0D6D4" w14:textId="77777777" w:rsidR="00802F03" w:rsidRPr="00802F03" w:rsidRDefault="00802F03" w:rsidP="00802F03">
      <w:pPr>
        <w:spacing w:after="360" w:line="360" w:lineRule="auto"/>
        <w:ind w:right="-159"/>
        <w:jc w:val="both"/>
        <w:rPr>
          <w:sz w:val="26"/>
          <w:szCs w:val="26"/>
        </w:rPr>
      </w:pPr>
      <w:bookmarkStart w:id="12" w:name="OLE_LINK12"/>
      <w:bookmarkStart w:id="13" w:name="OLE_LINK13"/>
      <w:r w:rsidRPr="00802F03">
        <w:rPr>
          <w:sz w:val="26"/>
          <w:szCs w:val="26"/>
        </w:rPr>
        <w:t xml:space="preserve">Al cierre de marzo de 2015, </w:t>
      </w:r>
      <w:bookmarkStart w:id="14" w:name="OLE_LINK53"/>
      <w:bookmarkStart w:id="15" w:name="OLE_LINK54"/>
      <w:r w:rsidRPr="00802F03">
        <w:rPr>
          <w:sz w:val="26"/>
          <w:szCs w:val="26"/>
        </w:rPr>
        <w:t xml:space="preserve">el total de las cuentas individuales que administran las Administradoras de Fondos para el Retiro (Afores) sumaron 52 millones 967 mil 122. Cabe destacar que a partir de 2012, las cuentas se integran por cuentas de trabajadores registrados y las cuentas de trabajadores asignados que a su vez se subdividen en cuentas con recursos depositados en las Sociedades de Inversión de las Administradoras </w:t>
      </w:r>
      <w:r w:rsidRPr="00802F03">
        <w:rPr>
          <w:sz w:val="26"/>
          <w:szCs w:val="26"/>
        </w:rPr>
        <w:lastRenderedPageBreak/>
        <w:t>de Fondos para el Retiro (Siefores) y en cuentas con recursos depositados en el Banco de México</w:t>
      </w:r>
      <w:bookmarkEnd w:id="12"/>
      <w:bookmarkEnd w:id="13"/>
      <w:r w:rsidRPr="00802F03">
        <w:rPr>
          <w:sz w:val="26"/>
          <w:szCs w:val="26"/>
        </w:rPr>
        <w:t xml:space="preserve"> (Banxico).</w:t>
      </w:r>
      <w:bookmarkEnd w:id="14"/>
      <w:bookmarkEnd w:id="15"/>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7"/>
        <w:gridCol w:w="1469"/>
        <w:gridCol w:w="1921"/>
        <w:gridCol w:w="1492"/>
        <w:gridCol w:w="1619"/>
      </w:tblGrid>
      <w:tr w:rsidR="00802F03" w:rsidRPr="00802F03" w14:paraId="7FB00CAA" w14:textId="77777777" w:rsidTr="00892FE5">
        <w:trPr>
          <w:jc w:val="center"/>
        </w:trPr>
        <w:tc>
          <w:tcPr>
            <w:tcW w:w="8928" w:type="dxa"/>
            <w:gridSpan w:val="5"/>
            <w:tcBorders>
              <w:top w:val="nil"/>
              <w:left w:val="nil"/>
              <w:bottom w:val="single" w:sz="4" w:space="0" w:color="auto"/>
              <w:right w:val="nil"/>
            </w:tcBorders>
            <w:vAlign w:val="center"/>
          </w:tcPr>
          <w:p w14:paraId="7E2E6757" w14:textId="77777777" w:rsidR="00802F03" w:rsidRPr="00802F03" w:rsidRDefault="00802F03" w:rsidP="00802F03">
            <w:pPr>
              <w:jc w:val="center"/>
              <w:rPr>
                <w:b/>
              </w:rPr>
            </w:pPr>
            <w:r w:rsidRPr="00802F03">
              <w:rPr>
                <w:b/>
                <w:sz w:val="22"/>
                <w:szCs w:val="22"/>
              </w:rPr>
              <w:t>CUENTAS ADMINISTRADAS POR LAS AFORES</w:t>
            </w:r>
          </w:p>
          <w:p w14:paraId="553F7D20" w14:textId="77777777" w:rsidR="00802F03" w:rsidRPr="00802F03" w:rsidRDefault="00802F03" w:rsidP="00802F03">
            <w:pPr>
              <w:jc w:val="center"/>
              <w:rPr>
                <w:b/>
              </w:rPr>
            </w:pPr>
            <w:r w:rsidRPr="00802F03">
              <w:rPr>
                <w:b/>
                <w:sz w:val="22"/>
                <w:szCs w:val="22"/>
              </w:rPr>
              <w:t>-Cifras al cierre de marzo de 2015-</w:t>
            </w:r>
          </w:p>
        </w:tc>
      </w:tr>
      <w:tr w:rsidR="00802F03" w:rsidRPr="00802F03" w14:paraId="79AC65D3" w14:textId="77777777" w:rsidTr="00892FE5">
        <w:trPr>
          <w:jc w:val="center"/>
        </w:trPr>
        <w:tc>
          <w:tcPr>
            <w:tcW w:w="2427" w:type="dxa"/>
            <w:vMerge w:val="restart"/>
            <w:vAlign w:val="center"/>
          </w:tcPr>
          <w:p w14:paraId="1FE2C002" w14:textId="77777777" w:rsidR="00802F03" w:rsidRPr="00802F03" w:rsidRDefault="00802F03" w:rsidP="00802F03">
            <w:pPr>
              <w:jc w:val="center"/>
              <w:rPr>
                <w:b/>
                <w:sz w:val="20"/>
                <w:szCs w:val="20"/>
              </w:rPr>
            </w:pPr>
            <w:r w:rsidRPr="00802F03">
              <w:rPr>
                <w:b/>
                <w:sz w:val="20"/>
                <w:szCs w:val="20"/>
              </w:rPr>
              <w:t>Afore</w:t>
            </w:r>
          </w:p>
        </w:tc>
        <w:tc>
          <w:tcPr>
            <w:tcW w:w="1469" w:type="dxa"/>
            <w:vMerge w:val="restart"/>
            <w:vAlign w:val="center"/>
          </w:tcPr>
          <w:p w14:paraId="58ECD615" w14:textId="77777777" w:rsidR="00802F03" w:rsidRPr="00802F03" w:rsidRDefault="00802F03" w:rsidP="00802F03">
            <w:pPr>
              <w:jc w:val="center"/>
              <w:rPr>
                <w:b/>
                <w:sz w:val="20"/>
                <w:szCs w:val="20"/>
              </w:rPr>
            </w:pPr>
            <w:r w:rsidRPr="00802F03">
              <w:rPr>
                <w:b/>
                <w:sz w:val="20"/>
                <w:szCs w:val="20"/>
              </w:rPr>
              <w:t>Cuentas de</w:t>
            </w:r>
          </w:p>
          <w:p w14:paraId="10DDB6CD" w14:textId="77777777" w:rsidR="00802F03" w:rsidRPr="00802F03" w:rsidRDefault="00802F03" w:rsidP="00802F03">
            <w:pPr>
              <w:jc w:val="center"/>
              <w:rPr>
                <w:b/>
                <w:sz w:val="20"/>
                <w:szCs w:val="20"/>
              </w:rPr>
            </w:pPr>
            <w:r w:rsidRPr="00802F03">
              <w:rPr>
                <w:b/>
                <w:sz w:val="20"/>
                <w:szCs w:val="20"/>
              </w:rPr>
              <w:t>Trabajadores</w:t>
            </w:r>
          </w:p>
          <w:p w14:paraId="24BAA1C7" w14:textId="77777777" w:rsidR="00802F03" w:rsidRPr="00802F03" w:rsidRDefault="00802F03" w:rsidP="00802F03">
            <w:pPr>
              <w:jc w:val="center"/>
              <w:rPr>
                <w:b/>
                <w:sz w:val="20"/>
                <w:szCs w:val="20"/>
              </w:rPr>
            </w:pPr>
            <w:r w:rsidRPr="00802F03">
              <w:rPr>
                <w:b/>
                <w:sz w:val="20"/>
                <w:szCs w:val="20"/>
              </w:rPr>
              <w:t>Registrados</w:t>
            </w:r>
            <w:r w:rsidRPr="00802F03">
              <w:rPr>
                <w:b/>
                <w:sz w:val="20"/>
                <w:szCs w:val="20"/>
                <w:u w:val="single"/>
                <w:vertAlign w:val="superscript"/>
              </w:rPr>
              <w:t>1</w:t>
            </w:r>
            <w:r w:rsidRPr="00802F03">
              <w:rPr>
                <w:b/>
                <w:sz w:val="20"/>
                <w:szCs w:val="20"/>
                <w:vertAlign w:val="superscript"/>
              </w:rPr>
              <w:t>/</w:t>
            </w:r>
          </w:p>
        </w:tc>
        <w:tc>
          <w:tcPr>
            <w:tcW w:w="3413" w:type="dxa"/>
            <w:gridSpan w:val="2"/>
            <w:tcBorders>
              <w:bottom w:val="nil"/>
            </w:tcBorders>
            <w:vAlign w:val="center"/>
          </w:tcPr>
          <w:p w14:paraId="26DD17D3" w14:textId="77777777" w:rsidR="00802F03" w:rsidRPr="00802F03" w:rsidRDefault="00802F03" w:rsidP="00802F03">
            <w:pPr>
              <w:jc w:val="center"/>
              <w:rPr>
                <w:b/>
                <w:sz w:val="20"/>
                <w:szCs w:val="20"/>
              </w:rPr>
            </w:pPr>
            <w:r w:rsidRPr="00802F03">
              <w:rPr>
                <w:b/>
                <w:sz w:val="20"/>
                <w:szCs w:val="20"/>
              </w:rPr>
              <w:t>Cuentas de Trabajadores Asignados</w:t>
            </w:r>
            <w:r w:rsidRPr="00802F03">
              <w:rPr>
                <w:b/>
                <w:sz w:val="20"/>
                <w:szCs w:val="20"/>
                <w:u w:val="single"/>
                <w:vertAlign w:val="superscript"/>
              </w:rPr>
              <w:t>2</w:t>
            </w:r>
            <w:r w:rsidRPr="00802F03">
              <w:rPr>
                <w:b/>
                <w:sz w:val="20"/>
                <w:szCs w:val="20"/>
                <w:vertAlign w:val="superscript"/>
              </w:rPr>
              <w:t>/</w:t>
            </w:r>
          </w:p>
        </w:tc>
        <w:tc>
          <w:tcPr>
            <w:tcW w:w="1619" w:type="dxa"/>
            <w:vMerge w:val="restart"/>
            <w:tcBorders>
              <w:right w:val="single" w:sz="4" w:space="0" w:color="auto"/>
            </w:tcBorders>
            <w:vAlign w:val="center"/>
          </w:tcPr>
          <w:p w14:paraId="0AE7CCE7" w14:textId="77777777" w:rsidR="00802F03" w:rsidRPr="00802F03" w:rsidRDefault="00802F03" w:rsidP="00802F03">
            <w:pPr>
              <w:jc w:val="center"/>
              <w:rPr>
                <w:b/>
                <w:sz w:val="20"/>
                <w:szCs w:val="20"/>
              </w:rPr>
            </w:pPr>
            <w:r w:rsidRPr="00802F03">
              <w:rPr>
                <w:b/>
                <w:sz w:val="20"/>
                <w:szCs w:val="20"/>
              </w:rPr>
              <w:t>Total de Cuentas Administradas por las Afore</w:t>
            </w:r>
            <w:r w:rsidRPr="00802F03">
              <w:rPr>
                <w:b/>
                <w:sz w:val="20"/>
                <w:szCs w:val="20"/>
                <w:u w:val="single"/>
                <w:vertAlign w:val="superscript"/>
              </w:rPr>
              <w:t>5</w:t>
            </w:r>
            <w:r w:rsidRPr="00802F03">
              <w:rPr>
                <w:b/>
                <w:sz w:val="20"/>
                <w:szCs w:val="20"/>
                <w:vertAlign w:val="superscript"/>
              </w:rPr>
              <w:t>/</w:t>
            </w:r>
          </w:p>
        </w:tc>
      </w:tr>
      <w:tr w:rsidR="00802F03" w:rsidRPr="00802F03" w14:paraId="6051180B" w14:textId="77777777" w:rsidTr="00892FE5">
        <w:trPr>
          <w:jc w:val="center"/>
        </w:trPr>
        <w:tc>
          <w:tcPr>
            <w:tcW w:w="2427" w:type="dxa"/>
            <w:vMerge/>
            <w:tcBorders>
              <w:bottom w:val="single" w:sz="4" w:space="0" w:color="auto"/>
            </w:tcBorders>
            <w:vAlign w:val="center"/>
          </w:tcPr>
          <w:p w14:paraId="65CB3A6C" w14:textId="77777777" w:rsidR="00802F03" w:rsidRPr="00802F03" w:rsidRDefault="00802F03" w:rsidP="00802F03">
            <w:pPr>
              <w:rPr>
                <w:b/>
                <w:sz w:val="20"/>
                <w:szCs w:val="20"/>
              </w:rPr>
            </w:pPr>
          </w:p>
        </w:tc>
        <w:tc>
          <w:tcPr>
            <w:tcW w:w="1469" w:type="dxa"/>
            <w:vMerge/>
            <w:tcBorders>
              <w:bottom w:val="single" w:sz="4" w:space="0" w:color="auto"/>
            </w:tcBorders>
            <w:vAlign w:val="center"/>
          </w:tcPr>
          <w:p w14:paraId="408D3B4B" w14:textId="77777777" w:rsidR="00802F03" w:rsidRPr="00802F03" w:rsidRDefault="00802F03" w:rsidP="00802F03">
            <w:pPr>
              <w:jc w:val="center"/>
              <w:rPr>
                <w:b/>
                <w:sz w:val="20"/>
                <w:szCs w:val="20"/>
              </w:rPr>
            </w:pPr>
          </w:p>
        </w:tc>
        <w:tc>
          <w:tcPr>
            <w:tcW w:w="1921" w:type="dxa"/>
            <w:tcBorders>
              <w:bottom w:val="single" w:sz="4" w:space="0" w:color="auto"/>
            </w:tcBorders>
            <w:vAlign w:val="center"/>
          </w:tcPr>
          <w:p w14:paraId="052881F8" w14:textId="77777777" w:rsidR="00802F03" w:rsidRPr="00802F03" w:rsidRDefault="00802F03" w:rsidP="00802F03">
            <w:pPr>
              <w:jc w:val="center"/>
              <w:rPr>
                <w:b/>
                <w:sz w:val="20"/>
                <w:szCs w:val="20"/>
              </w:rPr>
            </w:pPr>
            <w:r w:rsidRPr="00802F03">
              <w:rPr>
                <w:b/>
                <w:sz w:val="20"/>
                <w:szCs w:val="20"/>
              </w:rPr>
              <w:t>Con Recursos</w:t>
            </w:r>
          </w:p>
          <w:p w14:paraId="7E0EB2C6" w14:textId="77777777" w:rsidR="00802F03" w:rsidRPr="00802F03" w:rsidRDefault="00802F03" w:rsidP="00802F03">
            <w:pPr>
              <w:jc w:val="center"/>
              <w:rPr>
                <w:b/>
                <w:sz w:val="20"/>
                <w:szCs w:val="20"/>
              </w:rPr>
            </w:pPr>
            <w:r w:rsidRPr="00802F03">
              <w:rPr>
                <w:b/>
                <w:sz w:val="20"/>
                <w:szCs w:val="20"/>
              </w:rPr>
              <w:t>Depositados en</w:t>
            </w:r>
          </w:p>
          <w:p w14:paraId="14ED522A" w14:textId="77777777" w:rsidR="00802F03" w:rsidRPr="00802F03" w:rsidRDefault="00802F03" w:rsidP="00802F03">
            <w:pPr>
              <w:jc w:val="center"/>
              <w:rPr>
                <w:b/>
                <w:sz w:val="20"/>
                <w:szCs w:val="20"/>
              </w:rPr>
            </w:pPr>
            <w:r w:rsidRPr="00802F03">
              <w:rPr>
                <w:b/>
                <w:sz w:val="20"/>
                <w:szCs w:val="20"/>
              </w:rPr>
              <w:t>Siefore</w:t>
            </w:r>
            <w:r w:rsidRPr="00802F03">
              <w:rPr>
                <w:b/>
                <w:sz w:val="20"/>
                <w:szCs w:val="20"/>
                <w:u w:val="single"/>
                <w:vertAlign w:val="superscript"/>
              </w:rPr>
              <w:t>3</w:t>
            </w:r>
            <w:r w:rsidRPr="00802F03">
              <w:rPr>
                <w:b/>
                <w:sz w:val="20"/>
                <w:szCs w:val="20"/>
                <w:vertAlign w:val="superscript"/>
              </w:rPr>
              <w:t>/</w:t>
            </w:r>
          </w:p>
        </w:tc>
        <w:tc>
          <w:tcPr>
            <w:tcW w:w="1492" w:type="dxa"/>
            <w:tcBorders>
              <w:bottom w:val="single" w:sz="4" w:space="0" w:color="auto"/>
            </w:tcBorders>
            <w:vAlign w:val="center"/>
          </w:tcPr>
          <w:p w14:paraId="6F75CF06" w14:textId="77777777" w:rsidR="00802F03" w:rsidRPr="00802F03" w:rsidRDefault="00802F03" w:rsidP="00802F03">
            <w:pPr>
              <w:jc w:val="center"/>
              <w:rPr>
                <w:b/>
                <w:sz w:val="20"/>
                <w:szCs w:val="20"/>
              </w:rPr>
            </w:pPr>
            <w:r w:rsidRPr="00802F03">
              <w:rPr>
                <w:b/>
                <w:sz w:val="20"/>
                <w:szCs w:val="20"/>
              </w:rPr>
              <w:t>Con Recursos</w:t>
            </w:r>
          </w:p>
          <w:p w14:paraId="15941B1C" w14:textId="77777777" w:rsidR="00802F03" w:rsidRPr="00802F03" w:rsidRDefault="00802F03" w:rsidP="00802F03">
            <w:pPr>
              <w:jc w:val="center"/>
              <w:rPr>
                <w:b/>
                <w:sz w:val="20"/>
                <w:szCs w:val="20"/>
              </w:rPr>
            </w:pPr>
            <w:r w:rsidRPr="00802F03">
              <w:rPr>
                <w:b/>
                <w:sz w:val="20"/>
                <w:szCs w:val="20"/>
              </w:rPr>
              <w:t>Depositados en Banco de México</w:t>
            </w:r>
            <w:r w:rsidRPr="00802F03">
              <w:rPr>
                <w:b/>
                <w:sz w:val="20"/>
                <w:szCs w:val="20"/>
                <w:u w:val="single"/>
                <w:vertAlign w:val="superscript"/>
              </w:rPr>
              <w:t>4</w:t>
            </w:r>
            <w:r w:rsidRPr="00802F03">
              <w:rPr>
                <w:b/>
                <w:sz w:val="20"/>
                <w:szCs w:val="20"/>
                <w:vertAlign w:val="superscript"/>
              </w:rPr>
              <w:t>/</w:t>
            </w:r>
          </w:p>
        </w:tc>
        <w:tc>
          <w:tcPr>
            <w:tcW w:w="1619" w:type="dxa"/>
            <w:vMerge/>
            <w:tcBorders>
              <w:bottom w:val="single" w:sz="4" w:space="0" w:color="auto"/>
              <w:right w:val="single" w:sz="4" w:space="0" w:color="auto"/>
            </w:tcBorders>
          </w:tcPr>
          <w:p w14:paraId="6DE0B372" w14:textId="77777777" w:rsidR="00802F03" w:rsidRPr="00802F03" w:rsidRDefault="00802F03" w:rsidP="00802F03">
            <w:pPr>
              <w:rPr>
                <w:sz w:val="20"/>
                <w:szCs w:val="20"/>
              </w:rPr>
            </w:pPr>
          </w:p>
        </w:tc>
      </w:tr>
      <w:tr w:rsidR="00802F03" w:rsidRPr="00802F03" w14:paraId="7FA92C36" w14:textId="77777777" w:rsidTr="00892FE5">
        <w:trPr>
          <w:jc w:val="center"/>
        </w:trPr>
        <w:tc>
          <w:tcPr>
            <w:tcW w:w="2427" w:type="dxa"/>
            <w:tcBorders>
              <w:top w:val="single" w:sz="4" w:space="0" w:color="auto"/>
              <w:bottom w:val="nil"/>
            </w:tcBorders>
          </w:tcPr>
          <w:p w14:paraId="2214531C" w14:textId="77777777" w:rsidR="00802F03" w:rsidRPr="00802F03" w:rsidRDefault="00802F03" w:rsidP="00802F03">
            <w:pPr>
              <w:rPr>
                <w:sz w:val="20"/>
                <w:szCs w:val="20"/>
              </w:rPr>
            </w:pPr>
            <w:r w:rsidRPr="00802F03">
              <w:rPr>
                <w:sz w:val="20"/>
                <w:szCs w:val="20"/>
              </w:rPr>
              <w:t>XXI Banorte</w:t>
            </w:r>
          </w:p>
        </w:tc>
        <w:tc>
          <w:tcPr>
            <w:tcW w:w="1469" w:type="dxa"/>
            <w:tcBorders>
              <w:top w:val="single" w:sz="4" w:space="0" w:color="auto"/>
              <w:bottom w:val="nil"/>
            </w:tcBorders>
          </w:tcPr>
          <w:p w14:paraId="00C52F58" w14:textId="77777777" w:rsidR="00802F03" w:rsidRPr="00802F03" w:rsidRDefault="00802F03" w:rsidP="00802F03">
            <w:pPr>
              <w:ind w:right="227"/>
              <w:jc w:val="right"/>
              <w:rPr>
                <w:sz w:val="20"/>
                <w:szCs w:val="20"/>
              </w:rPr>
            </w:pPr>
            <w:r w:rsidRPr="00802F03">
              <w:rPr>
                <w:sz w:val="20"/>
                <w:szCs w:val="20"/>
              </w:rPr>
              <w:t>8 358 616</w:t>
            </w:r>
          </w:p>
        </w:tc>
        <w:tc>
          <w:tcPr>
            <w:tcW w:w="1921" w:type="dxa"/>
            <w:tcBorders>
              <w:top w:val="single" w:sz="4" w:space="0" w:color="auto"/>
              <w:bottom w:val="nil"/>
            </w:tcBorders>
          </w:tcPr>
          <w:p w14:paraId="27B5F21A" w14:textId="77777777" w:rsidR="00802F03" w:rsidRPr="00802F03" w:rsidRDefault="00802F03" w:rsidP="00802F03">
            <w:pPr>
              <w:ind w:right="397"/>
              <w:jc w:val="right"/>
              <w:rPr>
                <w:sz w:val="20"/>
                <w:szCs w:val="20"/>
              </w:rPr>
            </w:pPr>
            <w:r w:rsidRPr="00802F03">
              <w:rPr>
                <w:sz w:val="20"/>
                <w:szCs w:val="20"/>
              </w:rPr>
              <w:t>2 885 458</w:t>
            </w:r>
          </w:p>
        </w:tc>
        <w:tc>
          <w:tcPr>
            <w:tcW w:w="1492" w:type="dxa"/>
            <w:tcBorders>
              <w:top w:val="single" w:sz="4" w:space="0" w:color="auto"/>
              <w:bottom w:val="nil"/>
            </w:tcBorders>
          </w:tcPr>
          <w:p w14:paraId="0A158C97" w14:textId="77777777" w:rsidR="00802F03" w:rsidRPr="00802F03" w:rsidRDefault="00802F03" w:rsidP="00802F03">
            <w:pPr>
              <w:ind w:right="284"/>
              <w:jc w:val="right"/>
              <w:rPr>
                <w:sz w:val="20"/>
                <w:szCs w:val="20"/>
              </w:rPr>
            </w:pPr>
            <w:r w:rsidRPr="00802F03">
              <w:rPr>
                <w:sz w:val="20"/>
                <w:szCs w:val="20"/>
              </w:rPr>
              <w:t>5 604 093</w:t>
            </w:r>
          </w:p>
        </w:tc>
        <w:tc>
          <w:tcPr>
            <w:tcW w:w="1619" w:type="dxa"/>
            <w:tcBorders>
              <w:top w:val="single" w:sz="4" w:space="0" w:color="auto"/>
              <w:bottom w:val="nil"/>
              <w:right w:val="single" w:sz="4" w:space="0" w:color="auto"/>
            </w:tcBorders>
          </w:tcPr>
          <w:p w14:paraId="77BF4439" w14:textId="77777777" w:rsidR="00802F03" w:rsidRPr="00802F03" w:rsidRDefault="00802F03" w:rsidP="00802F03">
            <w:pPr>
              <w:ind w:right="340"/>
              <w:jc w:val="right"/>
              <w:rPr>
                <w:sz w:val="20"/>
                <w:szCs w:val="20"/>
              </w:rPr>
            </w:pPr>
            <w:r w:rsidRPr="00802F03">
              <w:rPr>
                <w:sz w:val="20"/>
                <w:szCs w:val="20"/>
              </w:rPr>
              <w:t>16 848 167</w:t>
            </w:r>
          </w:p>
        </w:tc>
      </w:tr>
      <w:tr w:rsidR="00802F03" w:rsidRPr="00802F03" w14:paraId="379F2F49" w14:textId="77777777" w:rsidTr="00892FE5">
        <w:trPr>
          <w:jc w:val="center"/>
        </w:trPr>
        <w:tc>
          <w:tcPr>
            <w:tcW w:w="2427" w:type="dxa"/>
            <w:tcBorders>
              <w:top w:val="nil"/>
              <w:bottom w:val="nil"/>
            </w:tcBorders>
          </w:tcPr>
          <w:p w14:paraId="181212A0" w14:textId="77777777" w:rsidR="00802F03" w:rsidRPr="00802F03" w:rsidRDefault="00802F03" w:rsidP="00802F03">
            <w:pPr>
              <w:rPr>
                <w:sz w:val="20"/>
                <w:szCs w:val="20"/>
              </w:rPr>
            </w:pPr>
            <w:r w:rsidRPr="00802F03">
              <w:rPr>
                <w:sz w:val="20"/>
                <w:szCs w:val="20"/>
              </w:rPr>
              <w:t>Banamex</w:t>
            </w:r>
          </w:p>
        </w:tc>
        <w:tc>
          <w:tcPr>
            <w:tcW w:w="1469" w:type="dxa"/>
            <w:tcBorders>
              <w:top w:val="nil"/>
              <w:bottom w:val="nil"/>
            </w:tcBorders>
          </w:tcPr>
          <w:p w14:paraId="0861331C" w14:textId="77777777" w:rsidR="00802F03" w:rsidRPr="00802F03" w:rsidRDefault="00802F03" w:rsidP="00802F03">
            <w:pPr>
              <w:ind w:right="227"/>
              <w:jc w:val="right"/>
              <w:rPr>
                <w:sz w:val="20"/>
                <w:szCs w:val="20"/>
              </w:rPr>
            </w:pPr>
            <w:r w:rsidRPr="00802F03">
              <w:rPr>
                <w:sz w:val="20"/>
                <w:szCs w:val="20"/>
              </w:rPr>
              <w:t>6 296 826</w:t>
            </w:r>
          </w:p>
        </w:tc>
        <w:tc>
          <w:tcPr>
            <w:tcW w:w="1921" w:type="dxa"/>
            <w:tcBorders>
              <w:top w:val="nil"/>
              <w:bottom w:val="nil"/>
            </w:tcBorders>
          </w:tcPr>
          <w:p w14:paraId="13F26861" w14:textId="77777777" w:rsidR="00802F03" w:rsidRPr="00802F03" w:rsidRDefault="00802F03" w:rsidP="00802F03">
            <w:pPr>
              <w:ind w:right="397"/>
              <w:jc w:val="right"/>
              <w:rPr>
                <w:sz w:val="20"/>
                <w:szCs w:val="20"/>
              </w:rPr>
            </w:pPr>
            <w:r w:rsidRPr="00802F03">
              <w:rPr>
                <w:sz w:val="20"/>
                <w:szCs w:val="20"/>
              </w:rPr>
              <w:t>1 636 331</w:t>
            </w:r>
          </w:p>
        </w:tc>
        <w:tc>
          <w:tcPr>
            <w:tcW w:w="1492" w:type="dxa"/>
            <w:tcBorders>
              <w:top w:val="nil"/>
              <w:bottom w:val="nil"/>
            </w:tcBorders>
          </w:tcPr>
          <w:p w14:paraId="559B1559"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398ED571" w14:textId="77777777" w:rsidR="00802F03" w:rsidRPr="00802F03" w:rsidRDefault="00802F03" w:rsidP="00802F03">
            <w:pPr>
              <w:ind w:right="340"/>
              <w:jc w:val="right"/>
              <w:rPr>
                <w:sz w:val="20"/>
                <w:szCs w:val="20"/>
              </w:rPr>
            </w:pPr>
            <w:r w:rsidRPr="00802F03">
              <w:rPr>
                <w:sz w:val="20"/>
                <w:szCs w:val="20"/>
              </w:rPr>
              <w:t>7 993 157</w:t>
            </w:r>
          </w:p>
        </w:tc>
      </w:tr>
      <w:tr w:rsidR="00802F03" w:rsidRPr="00802F03" w14:paraId="00FDBAEA" w14:textId="77777777" w:rsidTr="00892FE5">
        <w:trPr>
          <w:jc w:val="center"/>
        </w:trPr>
        <w:tc>
          <w:tcPr>
            <w:tcW w:w="2427" w:type="dxa"/>
            <w:tcBorders>
              <w:top w:val="nil"/>
              <w:bottom w:val="nil"/>
            </w:tcBorders>
          </w:tcPr>
          <w:p w14:paraId="70E5D830" w14:textId="77777777" w:rsidR="00802F03" w:rsidRPr="00802F03" w:rsidRDefault="00802F03" w:rsidP="00802F03">
            <w:pPr>
              <w:rPr>
                <w:sz w:val="20"/>
                <w:szCs w:val="20"/>
              </w:rPr>
            </w:pPr>
            <w:r w:rsidRPr="00802F03">
              <w:rPr>
                <w:sz w:val="20"/>
                <w:szCs w:val="20"/>
              </w:rPr>
              <w:t>Coppel</w:t>
            </w:r>
          </w:p>
        </w:tc>
        <w:tc>
          <w:tcPr>
            <w:tcW w:w="1469" w:type="dxa"/>
            <w:tcBorders>
              <w:top w:val="nil"/>
              <w:bottom w:val="nil"/>
            </w:tcBorders>
          </w:tcPr>
          <w:p w14:paraId="3CA38D05" w14:textId="77777777" w:rsidR="00802F03" w:rsidRPr="00802F03" w:rsidRDefault="00802F03" w:rsidP="00802F03">
            <w:pPr>
              <w:ind w:right="227"/>
              <w:jc w:val="right"/>
              <w:rPr>
                <w:sz w:val="20"/>
                <w:szCs w:val="20"/>
              </w:rPr>
            </w:pPr>
            <w:r w:rsidRPr="00802F03">
              <w:rPr>
                <w:sz w:val="20"/>
                <w:szCs w:val="20"/>
              </w:rPr>
              <w:t>6 893 208</w:t>
            </w:r>
          </w:p>
        </w:tc>
        <w:tc>
          <w:tcPr>
            <w:tcW w:w="1921" w:type="dxa"/>
            <w:tcBorders>
              <w:top w:val="nil"/>
              <w:bottom w:val="nil"/>
            </w:tcBorders>
          </w:tcPr>
          <w:p w14:paraId="6965BBBA" w14:textId="77777777" w:rsidR="00802F03" w:rsidRPr="00802F03" w:rsidRDefault="00802F03" w:rsidP="00802F03">
            <w:pPr>
              <w:ind w:right="397"/>
              <w:jc w:val="right"/>
              <w:rPr>
                <w:sz w:val="20"/>
                <w:szCs w:val="20"/>
              </w:rPr>
            </w:pPr>
            <w:r w:rsidRPr="00802F03">
              <w:rPr>
                <w:sz w:val="20"/>
                <w:szCs w:val="20"/>
              </w:rPr>
              <w:t>82</w:t>
            </w:r>
          </w:p>
        </w:tc>
        <w:tc>
          <w:tcPr>
            <w:tcW w:w="1492" w:type="dxa"/>
            <w:tcBorders>
              <w:top w:val="nil"/>
              <w:bottom w:val="nil"/>
            </w:tcBorders>
          </w:tcPr>
          <w:p w14:paraId="7EDFB046"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667A683C" w14:textId="77777777" w:rsidR="00802F03" w:rsidRPr="00802F03" w:rsidRDefault="00802F03" w:rsidP="00802F03">
            <w:pPr>
              <w:ind w:right="340"/>
              <w:jc w:val="right"/>
              <w:rPr>
                <w:sz w:val="20"/>
                <w:szCs w:val="20"/>
              </w:rPr>
            </w:pPr>
            <w:r w:rsidRPr="00802F03">
              <w:rPr>
                <w:sz w:val="20"/>
                <w:szCs w:val="20"/>
              </w:rPr>
              <w:t>6 893 290</w:t>
            </w:r>
          </w:p>
        </w:tc>
      </w:tr>
      <w:tr w:rsidR="00802F03" w:rsidRPr="00802F03" w14:paraId="1CE1939C" w14:textId="77777777" w:rsidTr="00892FE5">
        <w:trPr>
          <w:jc w:val="center"/>
        </w:trPr>
        <w:tc>
          <w:tcPr>
            <w:tcW w:w="2427" w:type="dxa"/>
            <w:tcBorders>
              <w:top w:val="nil"/>
              <w:bottom w:val="nil"/>
            </w:tcBorders>
          </w:tcPr>
          <w:p w14:paraId="20F852D0" w14:textId="77777777" w:rsidR="00802F03" w:rsidRPr="00802F03" w:rsidRDefault="00802F03" w:rsidP="00802F03">
            <w:pPr>
              <w:rPr>
                <w:sz w:val="20"/>
                <w:szCs w:val="20"/>
              </w:rPr>
            </w:pPr>
            <w:r w:rsidRPr="00802F03">
              <w:rPr>
                <w:sz w:val="20"/>
                <w:szCs w:val="20"/>
              </w:rPr>
              <w:t>SURA</w:t>
            </w:r>
          </w:p>
        </w:tc>
        <w:tc>
          <w:tcPr>
            <w:tcW w:w="1469" w:type="dxa"/>
            <w:tcBorders>
              <w:top w:val="nil"/>
              <w:bottom w:val="nil"/>
            </w:tcBorders>
          </w:tcPr>
          <w:p w14:paraId="718DCB0E" w14:textId="77777777" w:rsidR="00802F03" w:rsidRPr="00802F03" w:rsidRDefault="00802F03" w:rsidP="00802F03">
            <w:pPr>
              <w:ind w:right="227"/>
              <w:jc w:val="right"/>
              <w:rPr>
                <w:sz w:val="20"/>
                <w:szCs w:val="20"/>
              </w:rPr>
            </w:pPr>
            <w:r w:rsidRPr="00802F03">
              <w:rPr>
                <w:sz w:val="20"/>
                <w:szCs w:val="20"/>
              </w:rPr>
              <w:t>3 984 898</w:t>
            </w:r>
          </w:p>
        </w:tc>
        <w:tc>
          <w:tcPr>
            <w:tcW w:w="1921" w:type="dxa"/>
            <w:tcBorders>
              <w:top w:val="nil"/>
              <w:bottom w:val="nil"/>
            </w:tcBorders>
          </w:tcPr>
          <w:p w14:paraId="67B3C717" w14:textId="77777777" w:rsidR="00802F03" w:rsidRPr="00802F03" w:rsidRDefault="00802F03" w:rsidP="00802F03">
            <w:pPr>
              <w:ind w:right="397"/>
              <w:jc w:val="right"/>
              <w:rPr>
                <w:sz w:val="20"/>
                <w:szCs w:val="20"/>
              </w:rPr>
            </w:pPr>
            <w:r w:rsidRPr="00802F03">
              <w:rPr>
                <w:sz w:val="20"/>
                <w:szCs w:val="20"/>
              </w:rPr>
              <w:t>2 208 536</w:t>
            </w:r>
          </w:p>
        </w:tc>
        <w:tc>
          <w:tcPr>
            <w:tcW w:w="1492" w:type="dxa"/>
            <w:tcBorders>
              <w:top w:val="nil"/>
              <w:bottom w:val="nil"/>
            </w:tcBorders>
          </w:tcPr>
          <w:p w14:paraId="76E9AE45"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7DCF8300" w14:textId="77777777" w:rsidR="00802F03" w:rsidRPr="00802F03" w:rsidRDefault="00802F03" w:rsidP="00802F03">
            <w:pPr>
              <w:ind w:right="340"/>
              <w:jc w:val="right"/>
              <w:rPr>
                <w:sz w:val="20"/>
                <w:szCs w:val="20"/>
              </w:rPr>
            </w:pPr>
            <w:r w:rsidRPr="00802F03">
              <w:rPr>
                <w:sz w:val="20"/>
                <w:szCs w:val="20"/>
              </w:rPr>
              <w:t>6 193 434</w:t>
            </w:r>
          </w:p>
        </w:tc>
      </w:tr>
      <w:tr w:rsidR="00802F03" w:rsidRPr="00802F03" w14:paraId="7B3B47D0" w14:textId="77777777" w:rsidTr="00892FE5">
        <w:trPr>
          <w:jc w:val="center"/>
        </w:trPr>
        <w:tc>
          <w:tcPr>
            <w:tcW w:w="2427" w:type="dxa"/>
            <w:tcBorders>
              <w:top w:val="nil"/>
              <w:bottom w:val="nil"/>
            </w:tcBorders>
          </w:tcPr>
          <w:p w14:paraId="14E87DD9" w14:textId="77777777" w:rsidR="00802F03" w:rsidRPr="00802F03" w:rsidRDefault="00802F03" w:rsidP="00802F03">
            <w:pPr>
              <w:jc w:val="both"/>
              <w:rPr>
                <w:sz w:val="20"/>
                <w:szCs w:val="20"/>
              </w:rPr>
            </w:pPr>
            <w:r w:rsidRPr="00802F03">
              <w:rPr>
                <w:sz w:val="20"/>
                <w:szCs w:val="20"/>
              </w:rPr>
              <w:t>Principal</w:t>
            </w:r>
          </w:p>
        </w:tc>
        <w:tc>
          <w:tcPr>
            <w:tcW w:w="1469" w:type="dxa"/>
            <w:tcBorders>
              <w:top w:val="nil"/>
              <w:bottom w:val="nil"/>
            </w:tcBorders>
          </w:tcPr>
          <w:p w14:paraId="3630ADD2" w14:textId="77777777" w:rsidR="00802F03" w:rsidRPr="00802F03" w:rsidRDefault="00802F03" w:rsidP="00802F03">
            <w:pPr>
              <w:ind w:right="227"/>
              <w:jc w:val="right"/>
              <w:rPr>
                <w:sz w:val="20"/>
                <w:szCs w:val="20"/>
              </w:rPr>
            </w:pPr>
            <w:r w:rsidRPr="00802F03">
              <w:rPr>
                <w:sz w:val="20"/>
                <w:szCs w:val="20"/>
              </w:rPr>
              <w:t>2 302 969</w:t>
            </w:r>
          </w:p>
        </w:tc>
        <w:tc>
          <w:tcPr>
            <w:tcW w:w="1921" w:type="dxa"/>
            <w:tcBorders>
              <w:top w:val="nil"/>
              <w:bottom w:val="nil"/>
            </w:tcBorders>
          </w:tcPr>
          <w:p w14:paraId="04892FC7" w14:textId="77777777" w:rsidR="00802F03" w:rsidRPr="00802F03" w:rsidRDefault="00802F03" w:rsidP="00802F03">
            <w:pPr>
              <w:ind w:right="397"/>
              <w:jc w:val="right"/>
              <w:rPr>
                <w:sz w:val="20"/>
                <w:szCs w:val="20"/>
              </w:rPr>
            </w:pPr>
            <w:r w:rsidRPr="00802F03">
              <w:rPr>
                <w:sz w:val="20"/>
                <w:szCs w:val="20"/>
              </w:rPr>
              <w:t>1 333 651</w:t>
            </w:r>
          </w:p>
        </w:tc>
        <w:tc>
          <w:tcPr>
            <w:tcW w:w="1492" w:type="dxa"/>
            <w:tcBorders>
              <w:top w:val="nil"/>
              <w:bottom w:val="nil"/>
            </w:tcBorders>
          </w:tcPr>
          <w:p w14:paraId="1DFA9AA5"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320B6C02" w14:textId="77777777" w:rsidR="00802F03" w:rsidRPr="00802F03" w:rsidRDefault="00802F03" w:rsidP="00802F03">
            <w:pPr>
              <w:ind w:right="340"/>
              <w:jc w:val="right"/>
              <w:rPr>
                <w:sz w:val="20"/>
                <w:szCs w:val="20"/>
              </w:rPr>
            </w:pPr>
            <w:r w:rsidRPr="00802F03">
              <w:rPr>
                <w:sz w:val="20"/>
                <w:szCs w:val="20"/>
              </w:rPr>
              <w:t>3 636 620</w:t>
            </w:r>
          </w:p>
        </w:tc>
      </w:tr>
      <w:tr w:rsidR="00802F03" w:rsidRPr="00802F03" w14:paraId="18BB58A3" w14:textId="77777777" w:rsidTr="00892FE5">
        <w:trPr>
          <w:jc w:val="center"/>
        </w:trPr>
        <w:tc>
          <w:tcPr>
            <w:tcW w:w="2427" w:type="dxa"/>
            <w:tcBorders>
              <w:top w:val="nil"/>
              <w:bottom w:val="nil"/>
            </w:tcBorders>
          </w:tcPr>
          <w:p w14:paraId="2C3EF485" w14:textId="77777777" w:rsidR="00802F03" w:rsidRPr="00802F03" w:rsidRDefault="00802F03" w:rsidP="00802F03">
            <w:pPr>
              <w:rPr>
                <w:sz w:val="20"/>
                <w:szCs w:val="20"/>
              </w:rPr>
            </w:pPr>
            <w:r w:rsidRPr="00802F03">
              <w:rPr>
                <w:sz w:val="20"/>
                <w:szCs w:val="20"/>
              </w:rPr>
              <w:t>Profuturo GNP</w:t>
            </w:r>
          </w:p>
        </w:tc>
        <w:tc>
          <w:tcPr>
            <w:tcW w:w="1469" w:type="dxa"/>
            <w:tcBorders>
              <w:top w:val="nil"/>
              <w:bottom w:val="nil"/>
            </w:tcBorders>
          </w:tcPr>
          <w:p w14:paraId="063752D5" w14:textId="77777777" w:rsidR="00802F03" w:rsidRPr="00802F03" w:rsidRDefault="00802F03" w:rsidP="00802F03">
            <w:pPr>
              <w:ind w:right="227"/>
              <w:jc w:val="right"/>
              <w:rPr>
                <w:sz w:val="20"/>
                <w:szCs w:val="20"/>
              </w:rPr>
            </w:pPr>
            <w:r w:rsidRPr="00802F03">
              <w:rPr>
                <w:sz w:val="20"/>
                <w:szCs w:val="20"/>
              </w:rPr>
              <w:t>2 717 962</w:t>
            </w:r>
          </w:p>
        </w:tc>
        <w:tc>
          <w:tcPr>
            <w:tcW w:w="1921" w:type="dxa"/>
            <w:tcBorders>
              <w:top w:val="nil"/>
              <w:bottom w:val="nil"/>
            </w:tcBorders>
          </w:tcPr>
          <w:p w14:paraId="137177EB" w14:textId="77777777" w:rsidR="00802F03" w:rsidRPr="00802F03" w:rsidRDefault="00802F03" w:rsidP="00802F03">
            <w:pPr>
              <w:ind w:right="397"/>
              <w:jc w:val="right"/>
              <w:rPr>
                <w:sz w:val="20"/>
                <w:szCs w:val="20"/>
              </w:rPr>
            </w:pPr>
            <w:r w:rsidRPr="00802F03">
              <w:rPr>
                <w:sz w:val="20"/>
                <w:szCs w:val="20"/>
              </w:rPr>
              <w:t>704 006</w:t>
            </w:r>
          </w:p>
        </w:tc>
        <w:tc>
          <w:tcPr>
            <w:tcW w:w="1492" w:type="dxa"/>
            <w:tcBorders>
              <w:top w:val="nil"/>
              <w:bottom w:val="nil"/>
            </w:tcBorders>
          </w:tcPr>
          <w:p w14:paraId="0312313D"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6BF7B3D8" w14:textId="77777777" w:rsidR="00802F03" w:rsidRPr="00802F03" w:rsidRDefault="00802F03" w:rsidP="00802F03">
            <w:pPr>
              <w:ind w:right="340"/>
              <w:jc w:val="right"/>
              <w:rPr>
                <w:sz w:val="20"/>
                <w:szCs w:val="20"/>
              </w:rPr>
            </w:pPr>
            <w:r w:rsidRPr="00802F03">
              <w:rPr>
                <w:sz w:val="20"/>
                <w:szCs w:val="20"/>
              </w:rPr>
              <w:t>3 421 968</w:t>
            </w:r>
          </w:p>
        </w:tc>
      </w:tr>
      <w:tr w:rsidR="00802F03" w:rsidRPr="00802F03" w14:paraId="659F5771" w14:textId="77777777" w:rsidTr="00892FE5">
        <w:trPr>
          <w:jc w:val="center"/>
        </w:trPr>
        <w:tc>
          <w:tcPr>
            <w:tcW w:w="2427" w:type="dxa"/>
            <w:tcBorders>
              <w:top w:val="nil"/>
              <w:bottom w:val="nil"/>
            </w:tcBorders>
          </w:tcPr>
          <w:p w14:paraId="664436A9" w14:textId="77777777" w:rsidR="00802F03" w:rsidRPr="00802F03" w:rsidRDefault="00802F03" w:rsidP="00802F03">
            <w:pPr>
              <w:rPr>
                <w:sz w:val="20"/>
                <w:szCs w:val="20"/>
              </w:rPr>
            </w:pPr>
            <w:r w:rsidRPr="00802F03">
              <w:rPr>
                <w:sz w:val="20"/>
                <w:szCs w:val="20"/>
              </w:rPr>
              <w:t>Invercap</w:t>
            </w:r>
          </w:p>
        </w:tc>
        <w:tc>
          <w:tcPr>
            <w:tcW w:w="1469" w:type="dxa"/>
            <w:tcBorders>
              <w:top w:val="nil"/>
              <w:bottom w:val="nil"/>
            </w:tcBorders>
          </w:tcPr>
          <w:p w14:paraId="61F1DC3E" w14:textId="77777777" w:rsidR="00802F03" w:rsidRPr="00802F03" w:rsidRDefault="00802F03" w:rsidP="00802F03">
            <w:pPr>
              <w:ind w:right="227"/>
              <w:jc w:val="right"/>
              <w:rPr>
                <w:sz w:val="20"/>
                <w:szCs w:val="20"/>
              </w:rPr>
            </w:pPr>
            <w:r w:rsidRPr="00802F03">
              <w:rPr>
                <w:sz w:val="20"/>
                <w:szCs w:val="20"/>
              </w:rPr>
              <w:t>1 754 466</w:t>
            </w:r>
          </w:p>
        </w:tc>
        <w:tc>
          <w:tcPr>
            <w:tcW w:w="1921" w:type="dxa"/>
            <w:tcBorders>
              <w:top w:val="nil"/>
              <w:bottom w:val="nil"/>
            </w:tcBorders>
          </w:tcPr>
          <w:p w14:paraId="169B111D" w14:textId="77777777" w:rsidR="00802F03" w:rsidRPr="00802F03" w:rsidRDefault="00802F03" w:rsidP="00802F03">
            <w:pPr>
              <w:ind w:right="397"/>
              <w:jc w:val="right"/>
              <w:rPr>
                <w:sz w:val="20"/>
                <w:szCs w:val="20"/>
              </w:rPr>
            </w:pPr>
            <w:r w:rsidRPr="00802F03">
              <w:rPr>
                <w:sz w:val="20"/>
                <w:szCs w:val="20"/>
              </w:rPr>
              <w:t>1 383 944</w:t>
            </w:r>
          </w:p>
        </w:tc>
        <w:tc>
          <w:tcPr>
            <w:tcW w:w="1492" w:type="dxa"/>
            <w:tcBorders>
              <w:top w:val="nil"/>
              <w:bottom w:val="nil"/>
            </w:tcBorders>
          </w:tcPr>
          <w:p w14:paraId="55EC502A"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65CC31CC" w14:textId="77777777" w:rsidR="00802F03" w:rsidRPr="00802F03" w:rsidRDefault="00802F03" w:rsidP="00802F03">
            <w:pPr>
              <w:ind w:right="340"/>
              <w:jc w:val="right"/>
              <w:rPr>
                <w:sz w:val="20"/>
                <w:szCs w:val="20"/>
              </w:rPr>
            </w:pPr>
            <w:r w:rsidRPr="00802F03">
              <w:rPr>
                <w:sz w:val="20"/>
                <w:szCs w:val="20"/>
              </w:rPr>
              <w:t>3 138 410</w:t>
            </w:r>
          </w:p>
        </w:tc>
      </w:tr>
      <w:tr w:rsidR="00802F03" w:rsidRPr="00802F03" w14:paraId="5EE186D7" w14:textId="77777777" w:rsidTr="00892FE5">
        <w:trPr>
          <w:jc w:val="center"/>
        </w:trPr>
        <w:tc>
          <w:tcPr>
            <w:tcW w:w="2427" w:type="dxa"/>
            <w:tcBorders>
              <w:top w:val="nil"/>
              <w:bottom w:val="nil"/>
            </w:tcBorders>
          </w:tcPr>
          <w:p w14:paraId="2CEA7F51" w14:textId="77777777" w:rsidR="00802F03" w:rsidRPr="00802F03" w:rsidRDefault="00802F03" w:rsidP="00802F03">
            <w:pPr>
              <w:rPr>
                <w:sz w:val="20"/>
                <w:szCs w:val="20"/>
              </w:rPr>
            </w:pPr>
            <w:r w:rsidRPr="00802F03">
              <w:rPr>
                <w:sz w:val="20"/>
                <w:szCs w:val="20"/>
              </w:rPr>
              <w:t>PensionISSSTE</w:t>
            </w:r>
          </w:p>
        </w:tc>
        <w:tc>
          <w:tcPr>
            <w:tcW w:w="1469" w:type="dxa"/>
            <w:tcBorders>
              <w:top w:val="nil"/>
              <w:bottom w:val="nil"/>
            </w:tcBorders>
          </w:tcPr>
          <w:p w14:paraId="3B23042B" w14:textId="77777777" w:rsidR="00802F03" w:rsidRPr="00802F03" w:rsidRDefault="00802F03" w:rsidP="00802F03">
            <w:pPr>
              <w:ind w:right="227"/>
              <w:jc w:val="right"/>
              <w:rPr>
                <w:sz w:val="20"/>
                <w:szCs w:val="20"/>
              </w:rPr>
            </w:pPr>
            <w:r w:rsidRPr="00802F03">
              <w:rPr>
                <w:sz w:val="20"/>
                <w:szCs w:val="20"/>
              </w:rPr>
              <w:t>1 239 302</w:t>
            </w:r>
          </w:p>
        </w:tc>
        <w:tc>
          <w:tcPr>
            <w:tcW w:w="1921" w:type="dxa"/>
            <w:tcBorders>
              <w:top w:val="nil"/>
              <w:bottom w:val="nil"/>
            </w:tcBorders>
          </w:tcPr>
          <w:p w14:paraId="4963B2DF" w14:textId="77777777" w:rsidR="00802F03" w:rsidRPr="00802F03" w:rsidRDefault="00802F03" w:rsidP="00802F03">
            <w:pPr>
              <w:ind w:right="397"/>
              <w:jc w:val="right"/>
              <w:rPr>
                <w:sz w:val="20"/>
                <w:szCs w:val="20"/>
              </w:rPr>
            </w:pPr>
            <w:r w:rsidRPr="00802F03">
              <w:rPr>
                <w:sz w:val="20"/>
                <w:szCs w:val="20"/>
              </w:rPr>
              <w:t>183 047</w:t>
            </w:r>
          </w:p>
        </w:tc>
        <w:tc>
          <w:tcPr>
            <w:tcW w:w="1492" w:type="dxa"/>
            <w:tcBorders>
              <w:top w:val="nil"/>
              <w:bottom w:val="nil"/>
            </w:tcBorders>
          </w:tcPr>
          <w:p w14:paraId="10D1F945"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625480E4" w14:textId="77777777" w:rsidR="00802F03" w:rsidRPr="00802F03" w:rsidRDefault="00802F03" w:rsidP="00802F03">
            <w:pPr>
              <w:ind w:right="340"/>
              <w:jc w:val="right"/>
              <w:rPr>
                <w:sz w:val="20"/>
                <w:szCs w:val="20"/>
              </w:rPr>
            </w:pPr>
            <w:r w:rsidRPr="00802F03">
              <w:rPr>
                <w:sz w:val="20"/>
                <w:szCs w:val="20"/>
              </w:rPr>
              <w:t>1 422 349</w:t>
            </w:r>
          </w:p>
        </w:tc>
      </w:tr>
      <w:tr w:rsidR="00802F03" w:rsidRPr="00802F03" w14:paraId="4DD4B16C" w14:textId="77777777" w:rsidTr="00892FE5">
        <w:trPr>
          <w:jc w:val="center"/>
        </w:trPr>
        <w:tc>
          <w:tcPr>
            <w:tcW w:w="2427" w:type="dxa"/>
            <w:tcBorders>
              <w:top w:val="nil"/>
              <w:bottom w:val="nil"/>
            </w:tcBorders>
          </w:tcPr>
          <w:p w14:paraId="0CFEC20C" w14:textId="77777777" w:rsidR="00802F03" w:rsidRPr="00802F03" w:rsidRDefault="00802F03" w:rsidP="00802F03">
            <w:pPr>
              <w:rPr>
                <w:sz w:val="20"/>
                <w:szCs w:val="20"/>
              </w:rPr>
            </w:pPr>
            <w:r w:rsidRPr="00802F03">
              <w:rPr>
                <w:sz w:val="20"/>
                <w:szCs w:val="20"/>
              </w:rPr>
              <w:t>Azteca</w:t>
            </w:r>
          </w:p>
        </w:tc>
        <w:tc>
          <w:tcPr>
            <w:tcW w:w="1469" w:type="dxa"/>
            <w:tcBorders>
              <w:top w:val="nil"/>
              <w:left w:val="single" w:sz="4" w:space="0" w:color="auto"/>
              <w:bottom w:val="nil"/>
              <w:right w:val="single" w:sz="4" w:space="0" w:color="auto"/>
            </w:tcBorders>
          </w:tcPr>
          <w:p w14:paraId="2466F4F7" w14:textId="77777777" w:rsidR="00802F03" w:rsidRPr="00802F03" w:rsidRDefault="00802F03" w:rsidP="00802F03">
            <w:pPr>
              <w:ind w:right="227"/>
              <w:jc w:val="right"/>
              <w:rPr>
                <w:sz w:val="20"/>
                <w:szCs w:val="20"/>
              </w:rPr>
            </w:pPr>
            <w:r w:rsidRPr="00802F03">
              <w:rPr>
                <w:sz w:val="20"/>
                <w:szCs w:val="20"/>
              </w:rPr>
              <w:t>1 353 889</w:t>
            </w:r>
          </w:p>
        </w:tc>
        <w:tc>
          <w:tcPr>
            <w:tcW w:w="1921" w:type="dxa"/>
            <w:tcBorders>
              <w:top w:val="nil"/>
              <w:left w:val="single" w:sz="4" w:space="0" w:color="auto"/>
              <w:bottom w:val="nil"/>
              <w:right w:val="single" w:sz="4" w:space="0" w:color="auto"/>
            </w:tcBorders>
          </w:tcPr>
          <w:p w14:paraId="1CD080D3" w14:textId="77777777" w:rsidR="00802F03" w:rsidRPr="00802F03" w:rsidRDefault="00802F03" w:rsidP="00802F03">
            <w:pPr>
              <w:ind w:right="397"/>
              <w:jc w:val="right"/>
              <w:rPr>
                <w:sz w:val="20"/>
                <w:szCs w:val="20"/>
              </w:rPr>
            </w:pPr>
            <w:r w:rsidRPr="00802F03">
              <w:rPr>
                <w:sz w:val="20"/>
                <w:szCs w:val="20"/>
              </w:rPr>
              <w:t>448</w:t>
            </w:r>
          </w:p>
        </w:tc>
        <w:tc>
          <w:tcPr>
            <w:tcW w:w="1492" w:type="dxa"/>
            <w:tcBorders>
              <w:top w:val="nil"/>
              <w:bottom w:val="nil"/>
            </w:tcBorders>
          </w:tcPr>
          <w:p w14:paraId="05EAD102"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1C60EF9A" w14:textId="77777777" w:rsidR="00802F03" w:rsidRPr="00802F03" w:rsidRDefault="00802F03" w:rsidP="00802F03">
            <w:pPr>
              <w:ind w:right="340"/>
              <w:jc w:val="right"/>
              <w:rPr>
                <w:sz w:val="20"/>
                <w:szCs w:val="20"/>
              </w:rPr>
            </w:pPr>
            <w:r w:rsidRPr="00802F03">
              <w:rPr>
                <w:sz w:val="20"/>
                <w:szCs w:val="20"/>
              </w:rPr>
              <w:t>1 354 337</w:t>
            </w:r>
          </w:p>
        </w:tc>
      </w:tr>
      <w:tr w:rsidR="00802F03" w:rsidRPr="00802F03" w14:paraId="5552B61A" w14:textId="77777777" w:rsidTr="00892FE5">
        <w:trPr>
          <w:jc w:val="center"/>
        </w:trPr>
        <w:tc>
          <w:tcPr>
            <w:tcW w:w="2427" w:type="dxa"/>
            <w:tcBorders>
              <w:top w:val="nil"/>
              <w:left w:val="single" w:sz="4" w:space="0" w:color="auto"/>
              <w:bottom w:val="nil"/>
              <w:right w:val="single" w:sz="4" w:space="0" w:color="auto"/>
            </w:tcBorders>
          </w:tcPr>
          <w:p w14:paraId="73A76B33" w14:textId="77777777" w:rsidR="00802F03" w:rsidRPr="00802F03" w:rsidRDefault="00802F03" w:rsidP="00802F03">
            <w:pPr>
              <w:rPr>
                <w:sz w:val="20"/>
                <w:szCs w:val="20"/>
              </w:rPr>
            </w:pPr>
            <w:r w:rsidRPr="00802F03">
              <w:rPr>
                <w:sz w:val="20"/>
                <w:szCs w:val="20"/>
              </w:rPr>
              <w:t>Inbursa</w:t>
            </w:r>
          </w:p>
        </w:tc>
        <w:tc>
          <w:tcPr>
            <w:tcW w:w="1469" w:type="dxa"/>
            <w:tcBorders>
              <w:top w:val="nil"/>
              <w:bottom w:val="nil"/>
            </w:tcBorders>
          </w:tcPr>
          <w:p w14:paraId="78C8841A" w14:textId="77777777" w:rsidR="00802F03" w:rsidRPr="00802F03" w:rsidRDefault="00802F03" w:rsidP="00802F03">
            <w:pPr>
              <w:ind w:right="227"/>
              <w:jc w:val="right"/>
              <w:rPr>
                <w:sz w:val="20"/>
                <w:szCs w:val="20"/>
              </w:rPr>
            </w:pPr>
            <w:r w:rsidRPr="00802F03">
              <w:rPr>
                <w:sz w:val="20"/>
                <w:szCs w:val="20"/>
              </w:rPr>
              <w:t>1 135 249</w:t>
            </w:r>
          </w:p>
        </w:tc>
        <w:tc>
          <w:tcPr>
            <w:tcW w:w="1921" w:type="dxa"/>
            <w:tcBorders>
              <w:top w:val="nil"/>
              <w:bottom w:val="nil"/>
            </w:tcBorders>
          </w:tcPr>
          <w:p w14:paraId="3F80CDF6" w14:textId="77777777" w:rsidR="00802F03" w:rsidRPr="00802F03" w:rsidRDefault="00802F03" w:rsidP="00802F03">
            <w:pPr>
              <w:ind w:right="397"/>
              <w:jc w:val="right"/>
              <w:rPr>
                <w:sz w:val="20"/>
                <w:szCs w:val="20"/>
              </w:rPr>
            </w:pPr>
            <w:r w:rsidRPr="00802F03">
              <w:rPr>
                <w:sz w:val="20"/>
                <w:szCs w:val="20"/>
              </w:rPr>
              <w:t>644</w:t>
            </w:r>
          </w:p>
        </w:tc>
        <w:tc>
          <w:tcPr>
            <w:tcW w:w="1492" w:type="dxa"/>
            <w:tcBorders>
              <w:top w:val="nil"/>
              <w:left w:val="single" w:sz="4" w:space="0" w:color="auto"/>
              <w:bottom w:val="nil"/>
              <w:right w:val="single" w:sz="4" w:space="0" w:color="auto"/>
            </w:tcBorders>
          </w:tcPr>
          <w:p w14:paraId="4B6A1B3A"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left w:val="single" w:sz="4" w:space="0" w:color="auto"/>
              <w:bottom w:val="nil"/>
              <w:right w:val="single" w:sz="4" w:space="0" w:color="auto"/>
            </w:tcBorders>
          </w:tcPr>
          <w:p w14:paraId="40A35723" w14:textId="77777777" w:rsidR="00802F03" w:rsidRPr="00802F03" w:rsidRDefault="00802F03" w:rsidP="00802F03">
            <w:pPr>
              <w:ind w:right="340"/>
              <w:jc w:val="right"/>
              <w:rPr>
                <w:sz w:val="20"/>
                <w:szCs w:val="20"/>
              </w:rPr>
            </w:pPr>
            <w:r w:rsidRPr="00802F03">
              <w:rPr>
                <w:sz w:val="20"/>
                <w:szCs w:val="20"/>
              </w:rPr>
              <w:t>1 135 893</w:t>
            </w:r>
          </w:p>
        </w:tc>
      </w:tr>
      <w:tr w:rsidR="00802F03" w:rsidRPr="00802F03" w14:paraId="7C51765C" w14:textId="77777777" w:rsidTr="00892FE5">
        <w:trPr>
          <w:jc w:val="center"/>
        </w:trPr>
        <w:tc>
          <w:tcPr>
            <w:tcW w:w="2427" w:type="dxa"/>
            <w:tcBorders>
              <w:top w:val="nil"/>
              <w:bottom w:val="nil"/>
            </w:tcBorders>
          </w:tcPr>
          <w:p w14:paraId="6120DBDC" w14:textId="77777777" w:rsidR="00802F03" w:rsidRPr="00802F03" w:rsidRDefault="00802F03" w:rsidP="00802F03">
            <w:pPr>
              <w:rPr>
                <w:sz w:val="20"/>
                <w:szCs w:val="20"/>
              </w:rPr>
            </w:pPr>
            <w:r w:rsidRPr="00802F03">
              <w:rPr>
                <w:sz w:val="20"/>
                <w:szCs w:val="20"/>
              </w:rPr>
              <w:t>Metlife</w:t>
            </w:r>
          </w:p>
        </w:tc>
        <w:tc>
          <w:tcPr>
            <w:tcW w:w="1469" w:type="dxa"/>
            <w:tcBorders>
              <w:top w:val="nil"/>
              <w:bottom w:val="nil"/>
            </w:tcBorders>
          </w:tcPr>
          <w:p w14:paraId="449F6DA6" w14:textId="77777777" w:rsidR="00802F03" w:rsidRPr="00802F03" w:rsidRDefault="00802F03" w:rsidP="00802F03">
            <w:pPr>
              <w:ind w:right="227"/>
              <w:jc w:val="right"/>
              <w:rPr>
                <w:sz w:val="20"/>
                <w:szCs w:val="20"/>
              </w:rPr>
            </w:pPr>
            <w:r w:rsidRPr="00802F03">
              <w:rPr>
                <w:sz w:val="20"/>
                <w:szCs w:val="20"/>
              </w:rPr>
              <w:t>415 485</w:t>
            </w:r>
          </w:p>
        </w:tc>
        <w:tc>
          <w:tcPr>
            <w:tcW w:w="1921" w:type="dxa"/>
            <w:tcBorders>
              <w:top w:val="nil"/>
              <w:bottom w:val="nil"/>
            </w:tcBorders>
          </w:tcPr>
          <w:p w14:paraId="333E5445" w14:textId="77777777" w:rsidR="00802F03" w:rsidRPr="00802F03" w:rsidRDefault="00802F03" w:rsidP="00802F03">
            <w:pPr>
              <w:ind w:right="397"/>
              <w:jc w:val="right"/>
              <w:rPr>
                <w:sz w:val="20"/>
                <w:szCs w:val="20"/>
              </w:rPr>
            </w:pPr>
            <w:r w:rsidRPr="00802F03">
              <w:rPr>
                <w:sz w:val="20"/>
                <w:szCs w:val="20"/>
              </w:rPr>
              <w:t>574 012</w:t>
            </w:r>
          </w:p>
        </w:tc>
        <w:tc>
          <w:tcPr>
            <w:tcW w:w="1492" w:type="dxa"/>
            <w:tcBorders>
              <w:top w:val="nil"/>
              <w:bottom w:val="nil"/>
            </w:tcBorders>
          </w:tcPr>
          <w:p w14:paraId="7933A22C" w14:textId="77777777" w:rsidR="00802F03" w:rsidRPr="00802F03" w:rsidRDefault="00802F03" w:rsidP="00802F03">
            <w:pPr>
              <w:ind w:right="284"/>
              <w:jc w:val="right"/>
              <w:rPr>
                <w:sz w:val="20"/>
                <w:szCs w:val="20"/>
              </w:rPr>
            </w:pPr>
            <w:r w:rsidRPr="00802F03">
              <w:rPr>
                <w:sz w:val="20"/>
                <w:szCs w:val="20"/>
              </w:rPr>
              <w:t>-</w:t>
            </w:r>
          </w:p>
        </w:tc>
        <w:tc>
          <w:tcPr>
            <w:tcW w:w="1619" w:type="dxa"/>
            <w:tcBorders>
              <w:top w:val="nil"/>
              <w:bottom w:val="nil"/>
              <w:right w:val="single" w:sz="4" w:space="0" w:color="auto"/>
            </w:tcBorders>
          </w:tcPr>
          <w:p w14:paraId="4CE15A49" w14:textId="77777777" w:rsidR="00802F03" w:rsidRPr="00802F03" w:rsidRDefault="00802F03" w:rsidP="00802F03">
            <w:pPr>
              <w:ind w:right="340"/>
              <w:jc w:val="right"/>
              <w:rPr>
                <w:sz w:val="20"/>
                <w:szCs w:val="20"/>
              </w:rPr>
            </w:pPr>
            <w:r w:rsidRPr="00802F03">
              <w:rPr>
                <w:sz w:val="20"/>
                <w:szCs w:val="20"/>
              </w:rPr>
              <w:t>989 497</w:t>
            </w:r>
          </w:p>
        </w:tc>
      </w:tr>
      <w:tr w:rsidR="00802F03" w:rsidRPr="00802F03" w14:paraId="07648F9D" w14:textId="77777777" w:rsidTr="00892FE5">
        <w:trPr>
          <w:jc w:val="center"/>
        </w:trPr>
        <w:tc>
          <w:tcPr>
            <w:tcW w:w="2427" w:type="dxa"/>
            <w:tcBorders>
              <w:top w:val="nil"/>
              <w:bottom w:val="single" w:sz="4" w:space="0" w:color="auto"/>
            </w:tcBorders>
          </w:tcPr>
          <w:p w14:paraId="5C36B170" w14:textId="77777777" w:rsidR="00802F03" w:rsidRPr="00802F03" w:rsidRDefault="00802F03" w:rsidP="00802F03">
            <w:pPr>
              <w:rPr>
                <w:b/>
                <w:sz w:val="20"/>
                <w:szCs w:val="20"/>
              </w:rPr>
            </w:pPr>
            <w:r w:rsidRPr="00802F03">
              <w:rPr>
                <w:b/>
                <w:sz w:val="20"/>
                <w:szCs w:val="20"/>
              </w:rPr>
              <w:t>Total</w:t>
            </w:r>
          </w:p>
        </w:tc>
        <w:tc>
          <w:tcPr>
            <w:tcW w:w="1469" w:type="dxa"/>
            <w:tcBorders>
              <w:top w:val="nil"/>
              <w:bottom w:val="single" w:sz="4" w:space="0" w:color="auto"/>
            </w:tcBorders>
          </w:tcPr>
          <w:p w14:paraId="39420601" w14:textId="77777777" w:rsidR="00802F03" w:rsidRPr="00802F03" w:rsidRDefault="00802F03" w:rsidP="00802F03">
            <w:pPr>
              <w:ind w:right="227"/>
              <w:jc w:val="right"/>
              <w:rPr>
                <w:b/>
                <w:sz w:val="20"/>
                <w:szCs w:val="20"/>
              </w:rPr>
            </w:pPr>
            <w:r w:rsidRPr="00802F03">
              <w:rPr>
                <w:b/>
                <w:sz w:val="20"/>
                <w:szCs w:val="20"/>
              </w:rPr>
              <w:t>36 452 870</w:t>
            </w:r>
          </w:p>
        </w:tc>
        <w:tc>
          <w:tcPr>
            <w:tcW w:w="1921" w:type="dxa"/>
            <w:tcBorders>
              <w:top w:val="nil"/>
              <w:bottom w:val="single" w:sz="4" w:space="0" w:color="auto"/>
            </w:tcBorders>
          </w:tcPr>
          <w:p w14:paraId="34ED38EB" w14:textId="77777777" w:rsidR="00802F03" w:rsidRPr="00802F03" w:rsidRDefault="00802F03" w:rsidP="00802F03">
            <w:pPr>
              <w:ind w:right="397"/>
              <w:jc w:val="right"/>
              <w:rPr>
                <w:b/>
                <w:sz w:val="20"/>
                <w:szCs w:val="20"/>
              </w:rPr>
            </w:pPr>
            <w:r w:rsidRPr="00802F03">
              <w:rPr>
                <w:b/>
                <w:sz w:val="20"/>
                <w:szCs w:val="20"/>
              </w:rPr>
              <w:t>10 910 159</w:t>
            </w:r>
          </w:p>
        </w:tc>
        <w:tc>
          <w:tcPr>
            <w:tcW w:w="1492" w:type="dxa"/>
            <w:tcBorders>
              <w:top w:val="nil"/>
              <w:bottom w:val="single" w:sz="4" w:space="0" w:color="auto"/>
            </w:tcBorders>
          </w:tcPr>
          <w:p w14:paraId="0BAD6013" w14:textId="77777777" w:rsidR="00802F03" w:rsidRPr="00802F03" w:rsidRDefault="00802F03" w:rsidP="00802F03">
            <w:pPr>
              <w:ind w:right="284"/>
              <w:jc w:val="right"/>
              <w:rPr>
                <w:b/>
                <w:sz w:val="20"/>
                <w:szCs w:val="20"/>
              </w:rPr>
            </w:pPr>
            <w:r w:rsidRPr="00802F03">
              <w:rPr>
                <w:b/>
                <w:sz w:val="20"/>
                <w:szCs w:val="20"/>
              </w:rPr>
              <w:t>5 604 093</w:t>
            </w:r>
          </w:p>
        </w:tc>
        <w:tc>
          <w:tcPr>
            <w:tcW w:w="1619" w:type="dxa"/>
            <w:tcBorders>
              <w:top w:val="nil"/>
              <w:bottom w:val="single" w:sz="4" w:space="0" w:color="auto"/>
              <w:right w:val="single" w:sz="4" w:space="0" w:color="auto"/>
            </w:tcBorders>
          </w:tcPr>
          <w:p w14:paraId="154B5E12" w14:textId="77777777" w:rsidR="00802F03" w:rsidRPr="00802F03" w:rsidRDefault="00802F03" w:rsidP="00802F03">
            <w:pPr>
              <w:ind w:right="340"/>
              <w:jc w:val="right"/>
              <w:rPr>
                <w:b/>
                <w:sz w:val="20"/>
                <w:szCs w:val="20"/>
              </w:rPr>
            </w:pPr>
            <w:r w:rsidRPr="00802F03">
              <w:rPr>
                <w:b/>
                <w:sz w:val="20"/>
                <w:szCs w:val="20"/>
              </w:rPr>
              <w:t>52 967 122</w:t>
            </w:r>
          </w:p>
        </w:tc>
      </w:tr>
      <w:tr w:rsidR="00802F03" w:rsidRPr="00802F03" w14:paraId="3555520B" w14:textId="77777777" w:rsidTr="00892FE5">
        <w:trPr>
          <w:jc w:val="center"/>
        </w:trPr>
        <w:tc>
          <w:tcPr>
            <w:tcW w:w="8928" w:type="dxa"/>
            <w:gridSpan w:val="5"/>
            <w:tcBorders>
              <w:top w:val="single" w:sz="4" w:space="0" w:color="auto"/>
              <w:left w:val="nil"/>
              <w:bottom w:val="nil"/>
              <w:right w:val="nil"/>
            </w:tcBorders>
          </w:tcPr>
          <w:p w14:paraId="37E640EB" w14:textId="77777777" w:rsidR="00802F03" w:rsidRPr="00802F03" w:rsidRDefault="00802F03" w:rsidP="00802F03">
            <w:pPr>
              <w:ind w:left="227" w:hanging="227"/>
              <w:jc w:val="both"/>
              <w:rPr>
                <w:sz w:val="20"/>
                <w:szCs w:val="20"/>
              </w:rPr>
            </w:pPr>
            <w:r w:rsidRPr="00802F03">
              <w:rPr>
                <w:sz w:val="20"/>
                <w:szCs w:val="20"/>
                <w:u w:val="single"/>
              </w:rPr>
              <w:t>1</w:t>
            </w:r>
            <w:r w:rsidRPr="00802F03">
              <w:rPr>
                <w:sz w:val="20"/>
                <w:szCs w:val="20"/>
              </w:rPr>
              <w:t>/ Trabajadores que se registraron en alguna Afore. Incluye trabajadores independientes y cotizantes al ISSSTE.</w:t>
            </w:r>
          </w:p>
          <w:p w14:paraId="17554AC5" w14:textId="77777777" w:rsidR="00802F03" w:rsidRPr="00802F03" w:rsidRDefault="00802F03" w:rsidP="00802F03">
            <w:pPr>
              <w:ind w:left="215" w:hanging="215"/>
              <w:jc w:val="both"/>
              <w:rPr>
                <w:sz w:val="20"/>
                <w:szCs w:val="20"/>
              </w:rPr>
            </w:pPr>
            <w:r w:rsidRPr="00802F03">
              <w:rPr>
                <w:sz w:val="20"/>
                <w:szCs w:val="20"/>
                <w:u w:val="single"/>
              </w:rPr>
              <w:t>2</w:t>
            </w:r>
            <w:r w:rsidRPr="00802F03">
              <w:rPr>
                <w:sz w:val="20"/>
                <w:szCs w:val="20"/>
              </w:rPr>
              <w:t>/ Trabajadores que no se registraron en alguna Afore y la Consar los asignó a una de acuerdo con las reglas vigentes.</w:t>
            </w:r>
          </w:p>
          <w:p w14:paraId="3E222169" w14:textId="77777777" w:rsidR="00802F03" w:rsidRPr="00802F03" w:rsidRDefault="00802F03" w:rsidP="00802F03">
            <w:pPr>
              <w:ind w:left="244" w:hanging="244"/>
              <w:jc w:val="both"/>
              <w:rPr>
                <w:sz w:val="20"/>
                <w:szCs w:val="20"/>
              </w:rPr>
            </w:pPr>
            <w:r w:rsidRPr="00802F03">
              <w:rPr>
                <w:sz w:val="20"/>
                <w:szCs w:val="20"/>
                <w:u w:val="single"/>
              </w:rPr>
              <w:t>3</w:t>
            </w:r>
            <w:r w:rsidRPr="00802F03">
              <w:rPr>
                <w:sz w:val="20"/>
                <w:szCs w:val="20"/>
              </w:rPr>
              <w:t>/ Trabajadores que tienen una cuenta individual en Afore y que sus recursos están depositados en Siefores.</w:t>
            </w:r>
          </w:p>
          <w:p w14:paraId="3E689BAD" w14:textId="77777777" w:rsidR="00802F03" w:rsidRPr="00802F03" w:rsidRDefault="00802F03" w:rsidP="00802F03">
            <w:pPr>
              <w:ind w:left="227" w:hanging="227"/>
              <w:jc w:val="both"/>
              <w:rPr>
                <w:sz w:val="20"/>
                <w:szCs w:val="20"/>
              </w:rPr>
            </w:pPr>
            <w:r w:rsidRPr="00802F03">
              <w:rPr>
                <w:sz w:val="20"/>
                <w:szCs w:val="20"/>
                <w:u w:val="single"/>
              </w:rPr>
              <w:t>4</w:t>
            </w:r>
            <w:r w:rsidRPr="00802F03">
              <w:rPr>
                <w:sz w:val="20"/>
                <w:szCs w:val="20"/>
              </w:rPr>
              <w:t>/ Trabajadores que tienen una cuenta individual en Afore y que sus recursos están depositados en el Banxico. Incluye cuentas pendientes de ser asignadas.</w:t>
            </w:r>
          </w:p>
          <w:p w14:paraId="4E291037" w14:textId="77777777" w:rsidR="00802F03" w:rsidRPr="00802F03" w:rsidRDefault="00802F03" w:rsidP="00802F03">
            <w:pPr>
              <w:jc w:val="both"/>
              <w:rPr>
                <w:sz w:val="20"/>
                <w:szCs w:val="20"/>
              </w:rPr>
            </w:pPr>
            <w:r w:rsidRPr="00802F03">
              <w:rPr>
                <w:sz w:val="20"/>
                <w:szCs w:val="20"/>
                <w:u w:val="single"/>
              </w:rPr>
              <w:t>5</w:t>
            </w:r>
            <w:r w:rsidRPr="00802F03">
              <w:rPr>
                <w:sz w:val="20"/>
                <w:szCs w:val="20"/>
              </w:rPr>
              <w:t>/ Incluye cuentas pendientes de ser asignadas.</w:t>
            </w:r>
          </w:p>
          <w:p w14:paraId="185FFC0E" w14:textId="77777777" w:rsidR="00802F03" w:rsidRPr="00802F03" w:rsidRDefault="00802F03" w:rsidP="00802F03">
            <w:pPr>
              <w:jc w:val="both"/>
              <w:rPr>
                <w:sz w:val="20"/>
                <w:szCs w:val="20"/>
              </w:rPr>
            </w:pPr>
            <w:r w:rsidRPr="00802F03">
              <w:rPr>
                <w:sz w:val="20"/>
                <w:szCs w:val="20"/>
              </w:rPr>
              <w:t>FUENTE: Consar.</w:t>
            </w:r>
          </w:p>
        </w:tc>
      </w:tr>
    </w:tbl>
    <w:p w14:paraId="2539493D" w14:textId="77777777" w:rsidR="00802F03" w:rsidRPr="00802F03" w:rsidRDefault="00802F03" w:rsidP="00802F03">
      <w:pPr>
        <w:jc w:val="both"/>
      </w:pPr>
    </w:p>
    <w:p w14:paraId="21BB6973" w14:textId="77777777" w:rsidR="00802F03" w:rsidRPr="00802F03" w:rsidRDefault="00802F03" w:rsidP="00802F03">
      <w:pPr>
        <w:ind w:right="-159"/>
        <w:jc w:val="both"/>
        <w:rPr>
          <w:b/>
          <w:sz w:val="20"/>
          <w:szCs w:val="20"/>
        </w:rPr>
      </w:pPr>
      <w:r w:rsidRPr="00802F03">
        <w:rPr>
          <w:b/>
          <w:sz w:val="20"/>
          <w:szCs w:val="20"/>
        </w:rPr>
        <w:t>Fuente de información:</w:t>
      </w:r>
    </w:p>
    <w:p w14:paraId="2DC934C6" w14:textId="77777777" w:rsidR="00802F03" w:rsidRPr="00121C15" w:rsidRDefault="0045651A" w:rsidP="00802F03">
      <w:pPr>
        <w:ind w:right="-159"/>
        <w:jc w:val="both"/>
        <w:rPr>
          <w:color w:val="0000FF"/>
          <w:sz w:val="20"/>
          <w:szCs w:val="20"/>
        </w:rPr>
      </w:pPr>
      <w:hyperlink r:id="rId384" w:history="1">
        <w:r w:rsidR="00802F03" w:rsidRPr="00121C15">
          <w:rPr>
            <w:color w:val="0000FF"/>
            <w:sz w:val="20"/>
            <w:szCs w:val="20"/>
            <w:u w:val="single"/>
          </w:rPr>
          <w:t>http://www.consar.gob.mx/panorama_sar/cuentas_administrados.aspx</w:t>
        </w:r>
      </w:hyperlink>
    </w:p>
    <w:p w14:paraId="1187F576" w14:textId="77777777" w:rsidR="00802F03" w:rsidRPr="00802F03" w:rsidRDefault="00802F03" w:rsidP="00802F03">
      <w:pPr>
        <w:spacing w:after="360" w:line="360" w:lineRule="auto"/>
        <w:ind w:right="-159"/>
        <w:jc w:val="both"/>
        <w:rPr>
          <w:b/>
          <w:sz w:val="26"/>
          <w:szCs w:val="26"/>
        </w:rPr>
      </w:pPr>
    </w:p>
    <w:p w14:paraId="27E060DF" w14:textId="77777777" w:rsidR="00802F03" w:rsidRDefault="00802F03" w:rsidP="00802F03">
      <w:pPr>
        <w:spacing w:after="360" w:line="360" w:lineRule="auto"/>
        <w:ind w:right="-159"/>
        <w:jc w:val="both"/>
        <w:rPr>
          <w:b/>
          <w:sz w:val="26"/>
          <w:szCs w:val="26"/>
        </w:rPr>
      </w:pPr>
    </w:p>
    <w:p w14:paraId="5BB0DD4A" w14:textId="77777777" w:rsidR="002266DB" w:rsidRDefault="002266DB" w:rsidP="00802F03">
      <w:pPr>
        <w:spacing w:after="360" w:line="360" w:lineRule="auto"/>
        <w:ind w:right="-159"/>
        <w:jc w:val="both"/>
        <w:rPr>
          <w:b/>
          <w:sz w:val="26"/>
          <w:szCs w:val="26"/>
        </w:rPr>
      </w:pPr>
    </w:p>
    <w:p w14:paraId="2B2648A2" w14:textId="77777777" w:rsidR="002266DB" w:rsidRDefault="002266DB" w:rsidP="00802F03">
      <w:pPr>
        <w:spacing w:after="360" w:line="360" w:lineRule="auto"/>
        <w:ind w:right="-159"/>
        <w:jc w:val="both"/>
        <w:rPr>
          <w:b/>
          <w:sz w:val="26"/>
          <w:szCs w:val="26"/>
        </w:rPr>
      </w:pPr>
    </w:p>
    <w:p w14:paraId="76BD4624" w14:textId="77777777" w:rsidR="002266DB" w:rsidRDefault="002266DB" w:rsidP="00802F03">
      <w:pPr>
        <w:spacing w:after="360" w:line="360" w:lineRule="auto"/>
        <w:ind w:right="-159"/>
        <w:jc w:val="both"/>
        <w:rPr>
          <w:b/>
          <w:sz w:val="26"/>
          <w:szCs w:val="26"/>
        </w:rPr>
      </w:pPr>
    </w:p>
    <w:p w14:paraId="5638C45E" w14:textId="77777777" w:rsidR="002266DB" w:rsidRPr="00802F03" w:rsidRDefault="002266DB" w:rsidP="00802F03">
      <w:pPr>
        <w:spacing w:after="360" w:line="360" w:lineRule="auto"/>
        <w:ind w:right="-159"/>
        <w:jc w:val="both"/>
        <w:rPr>
          <w:b/>
          <w:sz w:val="26"/>
          <w:szCs w:val="26"/>
        </w:rPr>
      </w:pPr>
    </w:p>
    <w:tbl>
      <w:tblPr>
        <w:tblStyle w:val="Tablaconcuadrcula"/>
        <w:tblW w:w="9356" w:type="dxa"/>
        <w:tblInd w:w="-459" w:type="dxa"/>
        <w:tblLayout w:type="fixed"/>
        <w:tblLook w:val="04A0" w:firstRow="1" w:lastRow="0" w:firstColumn="1" w:lastColumn="0" w:noHBand="0" w:noVBand="1"/>
      </w:tblPr>
      <w:tblGrid>
        <w:gridCol w:w="1276"/>
        <w:gridCol w:w="992"/>
        <w:gridCol w:w="851"/>
        <w:gridCol w:w="850"/>
        <w:gridCol w:w="851"/>
        <w:gridCol w:w="984"/>
        <w:gridCol w:w="859"/>
        <w:gridCol w:w="842"/>
        <w:gridCol w:w="859"/>
        <w:gridCol w:w="992"/>
      </w:tblGrid>
      <w:tr w:rsidR="00802F03" w:rsidRPr="00802F03" w14:paraId="72C20E70" w14:textId="77777777" w:rsidTr="00892FE5">
        <w:tc>
          <w:tcPr>
            <w:tcW w:w="9356" w:type="dxa"/>
            <w:gridSpan w:val="10"/>
            <w:tcBorders>
              <w:top w:val="nil"/>
              <w:left w:val="nil"/>
              <w:right w:val="nil"/>
            </w:tcBorders>
          </w:tcPr>
          <w:p w14:paraId="6DEEDE93" w14:textId="77777777" w:rsidR="00802F03" w:rsidRPr="00802F03" w:rsidRDefault="00802F03" w:rsidP="00802F03">
            <w:pPr>
              <w:jc w:val="center"/>
              <w:rPr>
                <w:b/>
                <w:sz w:val="18"/>
                <w:szCs w:val="18"/>
              </w:rPr>
            </w:pPr>
            <w:r w:rsidRPr="00802F03">
              <w:rPr>
                <w:b/>
                <w:sz w:val="18"/>
                <w:szCs w:val="18"/>
              </w:rPr>
              <w:lastRenderedPageBreak/>
              <w:t>RECURSOS REGISTRADOS EN LAS AFORES</w:t>
            </w:r>
          </w:p>
          <w:p w14:paraId="7FDD95A0" w14:textId="77777777" w:rsidR="00802F03" w:rsidRPr="00802F03" w:rsidRDefault="00802F03" w:rsidP="00802F03">
            <w:pPr>
              <w:jc w:val="center"/>
              <w:rPr>
                <w:b/>
                <w:sz w:val="18"/>
                <w:szCs w:val="18"/>
              </w:rPr>
            </w:pPr>
            <w:r w:rsidRPr="00802F03">
              <w:rPr>
                <w:b/>
                <w:sz w:val="18"/>
                <w:szCs w:val="18"/>
              </w:rPr>
              <w:t>-Cifras en millones de pesos al cierre de marzo de 2015-</w:t>
            </w:r>
          </w:p>
        </w:tc>
      </w:tr>
      <w:tr w:rsidR="00802F03" w:rsidRPr="00802F03" w14:paraId="7371256E" w14:textId="77777777" w:rsidTr="00892FE5">
        <w:tc>
          <w:tcPr>
            <w:tcW w:w="1276" w:type="dxa"/>
            <w:vMerge w:val="restart"/>
            <w:vAlign w:val="center"/>
          </w:tcPr>
          <w:p w14:paraId="19B0CD82" w14:textId="77777777" w:rsidR="00802F03" w:rsidRPr="00802F03" w:rsidRDefault="00802F03" w:rsidP="00802F03">
            <w:pPr>
              <w:jc w:val="center"/>
              <w:rPr>
                <w:b/>
                <w:sz w:val="16"/>
                <w:szCs w:val="16"/>
              </w:rPr>
            </w:pPr>
            <w:r w:rsidRPr="00802F03">
              <w:rPr>
                <w:b/>
                <w:sz w:val="16"/>
                <w:szCs w:val="16"/>
              </w:rPr>
              <w:t>Afore</w:t>
            </w:r>
          </w:p>
        </w:tc>
        <w:tc>
          <w:tcPr>
            <w:tcW w:w="4528" w:type="dxa"/>
            <w:gridSpan w:val="5"/>
            <w:vAlign w:val="center"/>
          </w:tcPr>
          <w:p w14:paraId="2EC8C094" w14:textId="77777777" w:rsidR="00802F03" w:rsidRPr="00802F03" w:rsidRDefault="00802F03" w:rsidP="00802F03">
            <w:pPr>
              <w:jc w:val="center"/>
              <w:rPr>
                <w:b/>
                <w:sz w:val="16"/>
                <w:szCs w:val="16"/>
              </w:rPr>
            </w:pPr>
            <w:r w:rsidRPr="00802F03">
              <w:rPr>
                <w:b/>
                <w:sz w:val="16"/>
                <w:szCs w:val="16"/>
              </w:rPr>
              <w:t>Recursos Administrados por las Afores</w:t>
            </w:r>
          </w:p>
        </w:tc>
        <w:tc>
          <w:tcPr>
            <w:tcW w:w="2560" w:type="dxa"/>
            <w:gridSpan w:val="3"/>
            <w:vAlign w:val="center"/>
          </w:tcPr>
          <w:p w14:paraId="6690CB20" w14:textId="77777777" w:rsidR="00802F03" w:rsidRPr="00802F03" w:rsidRDefault="00802F03" w:rsidP="00802F03">
            <w:pPr>
              <w:jc w:val="center"/>
              <w:rPr>
                <w:b/>
                <w:sz w:val="16"/>
                <w:szCs w:val="16"/>
              </w:rPr>
            </w:pPr>
            <w:r w:rsidRPr="00802F03">
              <w:rPr>
                <w:b/>
                <w:sz w:val="16"/>
                <w:szCs w:val="16"/>
              </w:rPr>
              <w:t>Recursos Administrados por Otras Instituciones</w:t>
            </w:r>
          </w:p>
        </w:tc>
        <w:tc>
          <w:tcPr>
            <w:tcW w:w="992" w:type="dxa"/>
            <w:vMerge w:val="restart"/>
            <w:vAlign w:val="center"/>
          </w:tcPr>
          <w:p w14:paraId="5BCD70E7" w14:textId="77777777" w:rsidR="00802F03" w:rsidRPr="00802F03" w:rsidRDefault="00802F03" w:rsidP="00802F03">
            <w:pPr>
              <w:ind w:left="-57" w:right="-57"/>
              <w:jc w:val="center"/>
              <w:rPr>
                <w:b/>
                <w:sz w:val="16"/>
                <w:szCs w:val="16"/>
              </w:rPr>
            </w:pPr>
            <w:r w:rsidRPr="00802F03">
              <w:rPr>
                <w:b/>
                <w:sz w:val="16"/>
                <w:szCs w:val="16"/>
              </w:rPr>
              <w:t>Total de Recursos  Registrados en las Afores</w:t>
            </w:r>
            <w:r w:rsidRPr="00802F03">
              <w:rPr>
                <w:b/>
                <w:sz w:val="16"/>
                <w:szCs w:val="16"/>
                <w:u w:val="single"/>
                <w:vertAlign w:val="superscript"/>
              </w:rPr>
              <w:t>8</w:t>
            </w:r>
            <w:r w:rsidRPr="00802F03">
              <w:rPr>
                <w:b/>
                <w:sz w:val="16"/>
                <w:szCs w:val="16"/>
                <w:vertAlign w:val="superscript"/>
              </w:rPr>
              <w:t>/</w:t>
            </w:r>
          </w:p>
        </w:tc>
      </w:tr>
      <w:tr w:rsidR="00802F03" w:rsidRPr="00802F03" w14:paraId="6EE2AFF4" w14:textId="77777777" w:rsidTr="00892FE5">
        <w:tc>
          <w:tcPr>
            <w:tcW w:w="1276" w:type="dxa"/>
            <w:vMerge/>
            <w:vAlign w:val="center"/>
          </w:tcPr>
          <w:p w14:paraId="56B5F328" w14:textId="77777777" w:rsidR="00802F03" w:rsidRPr="00802F03" w:rsidRDefault="00802F03" w:rsidP="00802F03">
            <w:pPr>
              <w:jc w:val="center"/>
              <w:rPr>
                <w:b/>
                <w:sz w:val="16"/>
                <w:szCs w:val="16"/>
              </w:rPr>
            </w:pPr>
          </w:p>
        </w:tc>
        <w:tc>
          <w:tcPr>
            <w:tcW w:w="2693" w:type="dxa"/>
            <w:gridSpan w:val="3"/>
            <w:vAlign w:val="center"/>
          </w:tcPr>
          <w:p w14:paraId="1D3E2BA9" w14:textId="77777777" w:rsidR="00802F03" w:rsidRPr="00802F03" w:rsidRDefault="00802F03" w:rsidP="00802F03">
            <w:pPr>
              <w:jc w:val="center"/>
              <w:rPr>
                <w:b/>
                <w:sz w:val="16"/>
                <w:szCs w:val="16"/>
              </w:rPr>
            </w:pPr>
            <w:r w:rsidRPr="00802F03">
              <w:rPr>
                <w:b/>
                <w:sz w:val="16"/>
                <w:szCs w:val="16"/>
              </w:rPr>
              <w:t>Recursos de los trabajadores</w:t>
            </w:r>
          </w:p>
        </w:tc>
        <w:tc>
          <w:tcPr>
            <w:tcW w:w="851" w:type="dxa"/>
            <w:vMerge w:val="restart"/>
            <w:vAlign w:val="center"/>
          </w:tcPr>
          <w:p w14:paraId="751DBBF9" w14:textId="77777777" w:rsidR="00802F03" w:rsidRPr="00802F03" w:rsidRDefault="00802F03" w:rsidP="00802F03">
            <w:pPr>
              <w:jc w:val="center"/>
              <w:rPr>
                <w:b/>
                <w:sz w:val="16"/>
                <w:szCs w:val="16"/>
              </w:rPr>
            </w:pPr>
            <w:r w:rsidRPr="00802F03">
              <w:rPr>
                <w:b/>
                <w:sz w:val="16"/>
                <w:szCs w:val="16"/>
              </w:rPr>
              <w:t>Capital de las Afores</w:t>
            </w:r>
            <w:r w:rsidRPr="00802F03">
              <w:rPr>
                <w:b/>
                <w:sz w:val="16"/>
                <w:szCs w:val="16"/>
                <w:u w:val="single"/>
                <w:vertAlign w:val="superscript"/>
              </w:rPr>
              <w:t>4</w:t>
            </w:r>
            <w:r w:rsidRPr="00802F03">
              <w:rPr>
                <w:b/>
                <w:sz w:val="16"/>
                <w:szCs w:val="16"/>
                <w:vertAlign w:val="superscript"/>
              </w:rPr>
              <w:t>/</w:t>
            </w:r>
          </w:p>
        </w:tc>
        <w:tc>
          <w:tcPr>
            <w:tcW w:w="984" w:type="dxa"/>
            <w:vMerge w:val="restart"/>
            <w:vAlign w:val="center"/>
          </w:tcPr>
          <w:p w14:paraId="10C12789" w14:textId="77777777" w:rsidR="00802F03" w:rsidRPr="00802F03" w:rsidRDefault="00802F03" w:rsidP="00802F03">
            <w:pPr>
              <w:ind w:left="-57" w:right="-57"/>
              <w:jc w:val="center"/>
              <w:rPr>
                <w:b/>
                <w:sz w:val="16"/>
                <w:szCs w:val="16"/>
              </w:rPr>
            </w:pPr>
            <w:r w:rsidRPr="00802F03">
              <w:rPr>
                <w:b/>
                <w:sz w:val="16"/>
                <w:szCs w:val="16"/>
              </w:rPr>
              <w:t>Total de Recursos Administra-dos por las Afores</w:t>
            </w:r>
          </w:p>
        </w:tc>
        <w:tc>
          <w:tcPr>
            <w:tcW w:w="859" w:type="dxa"/>
            <w:vMerge w:val="restart"/>
            <w:vAlign w:val="center"/>
          </w:tcPr>
          <w:p w14:paraId="5D1671C8" w14:textId="77777777" w:rsidR="00802F03" w:rsidRPr="00802F03" w:rsidRDefault="00802F03" w:rsidP="00802F03">
            <w:pPr>
              <w:jc w:val="center"/>
              <w:rPr>
                <w:b/>
                <w:sz w:val="16"/>
                <w:szCs w:val="16"/>
              </w:rPr>
            </w:pPr>
            <w:r w:rsidRPr="00802F03">
              <w:rPr>
                <w:b/>
                <w:sz w:val="16"/>
                <w:szCs w:val="16"/>
              </w:rPr>
              <w:t>Bono de Pensión ISSSTE</w:t>
            </w:r>
            <w:r w:rsidRPr="00802F03">
              <w:rPr>
                <w:b/>
                <w:sz w:val="16"/>
                <w:szCs w:val="16"/>
                <w:u w:val="single"/>
                <w:vertAlign w:val="superscript"/>
              </w:rPr>
              <w:t>5</w:t>
            </w:r>
            <w:r w:rsidRPr="00802F03">
              <w:rPr>
                <w:b/>
                <w:sz w:val="16"/>
                <w:szCs w:val="16"/>
                <w:vertAlign w:val="superscript"/>
              </w:rPr>
              <w:t>/</w:t>
            </w:r>
          </w:p>
        </w:tc>
        <w:tc>
          <w:tcPr>
            <w:tcW w:w="842" w:type="dxa"/>
            <w:vMerge w:val="restart"/>
            <w:vAlign w:val="center"/>
          </w:tcPr>
          <w:p w14:paraId="4117FCA5" w14:textId="77777777" w:rsidR="00802F03" w:rsidRPr="00802F03" w:rsidRDefault="00802F03" w:rsidP="00802F03">
            <w:pPr>
              <w:ind w:left="-57" w:right="-57"/>
              <w:jc w:val="center"/>
              <w:rPr>
                <w:b/>
                <w:sz w:val="16"/>
                <w:szCs w:val="16"/>
              </w:rPr>
            </w:pPr>
            <w:r w:rsidRPr="00802F03">
              <w:rPr>
                <w:b/>
                <w:sz w:val="16"/>
                <w:szCs w:val="16"/>
              </w:rPr>
              <w:t>Vivienda</w:t>
            </w:r>
            <w:r w:rsidRPr="00802F03">
              <w:rPr>
                <w:b/>
                <w:sz w:val="16"/>
                <w:szCs w:val="16"/>
                <w:u w:val="single"/>
                <w:vertAlign w:val="superscript"/>
              </w:rPr>
              <w:t>6</w:t>
            </w:r>
            <w:r w:rsidRPr="00802F03">
              <w:rPr>
                <w:b/>
                <w:sz w:val="16"/>
                <w:szCs w:val="16"/>
                <w:vertAlign w:val="superscript"/>
              </w:rPr>
              <w:t>/</w:t>
            </w:r>
          </w:p>
        </w:tc>
        <w:tc>
          <w:tcPr>
            <w:tcW w:w="859" w:type="dxa"/>
            <w:vMerge w:val="restart"/>
            <w:vAlign w:val="center"/>
          </w:tcPr>
          <w:p w14:paraId="50440A80" w14:textId="77777777" w:rsidR="00802F03" w:rsidRPr="00802F03" w:rsidRDefault="00802F03" w:rsidP="00802F03">
            <w:pPr>
              <w:ind w:left="-57" w:right="-57"/>
              <w:jc w:val="center"/>
              <w:rPr>
                <w:b/>
                <w:sz w:val="16"/>
                <w:szCs w:val="16"/>
              </w:rPr>
            </w:pPr>
            <w:r w:rsidRPr="00802F03">
              <w:rPr>
                <w:b/>
                <w:sz w:val="16"/>
                <w:szCs w:val="16"/>
              </w:rPr>
              <w:t>Recursos Deposita-dos en Banco de México</w:t>
            </w:r>
            <w:r w:rsidRPr="00802F03">
              <w:rPr>
                <w:b/>
                <w:sz w:val="16"/>
                <w:szCs w:val="16"/>
                <w:u w:val="single"/>
                <w:vertAlign w:val="superscript"/>
              </w:rPr>
              <w:t>7</w:t>
            </w:r>
            <w:r w:rsidRPr="00802F03">
              <w:rPr>
                <w:b/>
                <w:sz w:val="16"/>
                <w:szCs w:val="16"/>
                <w:vertAlign w:val="superscript"/>
              </w:rPr>
              <w:t>/</w:t>
            </w:r>
          </w:p>
        </w:tc>
        <w:tc>
          <w:tcPr>
            <w:tcW w:w="992" w:type="dxa"/>
            <w:vMerge/>
            <w:vAlign w:val="center"/>
          </w:tcPr>
          <w:p w14:paraId="5D53B20E" w14:textId="77777777" w:rsidR="00802F03" w:rsidRPr="00802F03" w:rsidRDefault="00802F03" w:rsidP="00802F03">
            <w:pPr>
              <w:ind w:left="-57" w:right="-57"/>
              <w:jc w:val="center"/>
              <w:rPr>
                <w:b/>
                <w:sz w:val="16"/>
                <w:szCs w:val="16"/>
              </w:rPr>
            </w:pPr>
          </w:p>
        </w:tc>
      </w:tr>
      <w:tr w:rsidR="00802F03" w:rsidRPr="00802F03" w14:paraId="5CB27730" w14:textId="77777777" w:rsidTr="00892FE5">
        <w:tc>
          <w:tcPr>
            <w:tcW w:w="1276" w:type="dxa"/>
            <w:vMerge/>
            <w:vAlign w:val="center"/>
          </w:tcPr>
          <w:p w14:paraId="098520ED" w14:textId="77777777" w:rsidR="00802F03" w:rsidRPr="00802F03" w:rsidRDefault="00802F03" w:rsidP="00802F03">
            <w:pPr>
              <w:jc w:val="center"/>
              <w:rPr>
                <w:b/>
                <w:sz w:val="16"/>
                <w:szCs w:val="16"/>
              </w:rPr>
            </w:pPr>
          </w:p>
        </w:tc>
        <w:tc>
          <w:tcPr>
            <w:tcW w:w="992" w:type="dxa"/>
            <w:vAlign w:val="center"/>
          </w:tcPr>
          <w:p w14:paraId="534CCC2F" w14:textId="77777777" w:rsidR="00802F03" w:rsidRPr="00802F03" w:rsidRDefault="00802F03" w:rsidP="00802F03">
            <w:pPr>
              <w:jc w:val="center"/>
              <w:rPr>
                <w:b/>
                <w:sz w:val="16"/>
                <w:szCs w:val="16"/>
              </w:rPr>
            </w:pPr>
            <w:r w:rsidRPr="00802F03">
              <w:rPr>
                <w:b/>
                <w:sz w:val="16"/>
                <w:szCs w:val="16"/>
              </w:rPr>
              <w:t>RCV</w:t>
            </w:r>
            <w:r w:rsidRPr="00802F03">
              <w:rPr>
                <w:b/>
                <w:sz w:val="16"/>
                <w:szCs w:val="16"/>
                <w:u w:val="single"/>
                <w:vertAlign w:val="superscript"/>
              </w:rPr>
              <w:t>1</w:t>
            </w:r>
            <w:r w:rsidRPr="00802F03">
              <w:rPr>
                <w:b/>
                <w:sz w:val="16"/>
                <w:szCs w:val="16"/>
                <w:vertAlign w:val="superscript"/>
              </w:rPr>
              <w:t>/</w:t>
            </w:r>
          </w:p>
        </w:tc>
        <w:tc>
          <w:tcPr>
            <w:tcW w:w="851" w:type="dxa"/>
            <w:vAlign w:val="center"/>
          </w:tcPr>
          <w:p w14:paraId="444207BB" w14:textId="77777777" w:rsidR="00802F03" w:rsidRPr="00802F03" w:rsidRDefault="00802F03" w:rsidP="00802F03">
            <w:pPr>
              <w:ind w:left="-57" w:right="-57"/>
              <w:jc w:val="center"/>
              <w:rPr>
                <w:b/>
                <w:sz w:val="16"/>
                <w:szCs w:val="16"/>
              </w:rPr>
            </w:pPr>
            <w:r w:rsidRPr="00802F03">
              <w:rPr>
                <w:b/>
                <w:sz w:val="16"/>
                <w:szCs w:val="16"/>
              </w:rPr>
              <w:t>Ahorro Volunta-rio y Solidario</w:t>
            </w:r>
            <w:r w:rsidRPr="00802F03">
              <w:rPr>
                <w:b/>
                <w:sz w:val="16"/>
                <w:szCs w:val="16"/>
                <w:u w:val="single"/>
                <w:vertAlign w:val="superscript"/>
              </w:rPr>
              <w:t>2</w:t>
            </w:r>
            <w:r w:rsidRPr="00802F03">
              <w:rPr>
                <w:b/>
                <w:sz w:val="16"/>
                <w:szCs w:val="16"/>
                <w:vertAlign w:val="superscript"/>
              </w:rPr>
              <w:t>/</w:t>
            </w:r>
          </w:p>
        </w:tc>
        <w:tc>
          <w:tcPr>
            <w:tcW w:w="850" w:type="dxa"/>
            <w:vAlign w:val="center"/>
          </w:tcPr>
          <w:p w14:paraId="342F76E9" w14:textId="77777777" w:rsidR="00802F03" w:rsidRPr="00802F03" w:rsidRDefault="00802F03" w:rsidP="00802F03">
            <w:pPr>
              <w:ind w:left="-57" w:right="-57"/>
              <w:jc w:val="center"/>
              <w:rPr>
                <w:b/>
                <w:sz w:val="16"/>
                <w:szCs w:val="16"/>
              </w:rPr>
            </w:pPr>
            <w:r w:rsidRPr="00802F03">
              <w:rPr>
                <w:b/>
                <w:sz w:val="16"/>
                <w:szCs w:val="16"/>
              </w:rPr>
              <w:t>Fondos de Previsión Social</w:t>
            </w:r>
            <w:r w:rsidRPr="00802F03">
              <w:rPr>
                <w:b/>
                <w:sz w:val="16"/>
                <w:szCs w:val="16"/>
                <w:u w:val="single"/>
                <w:vertAlign w:val="superscript"/>
              </w:rPr>
              <w:t>3</w:t>
            </w:r>
            <w:r w:rsidRPr="00802F03">
              <w:rPr>
                <w:b/>
                <w:sz w:val="16"/>
                <w:szCs w:val="16"/>
                <w:vertAlign w:val="superscript"/>
              </w:rPr>
              <w:t>/</w:t>
            </w:r>
          </w:p>
        </w:tc>
        <w:tc>
          <w:tcPr>
            <w:tcW w:w="851" w:type="dxa"/>
            <w:vMerge/>
            <w:vAlign w:val="center"/>
          </w:tcPr>
          <w:p w14:paraId="1BF1AAA7" w14:textId="77777777" w:rsidR="00802F03" w:rsidRPr="00802F03" w:rsidRDefault="00802F03" w:rsidP="00802F03">
            <w:pPr>
              <w:jc w:val="center"/>
              <w:rPr>
                <w:b/>
                <w:sz w:val="16"/>
                <w:szCs w:val="16"/>
              </w:rPr>
            </w:pPr>
          </w:p>
        </w:tc>
        <w:tc>
          <w:tcPr>
            <w:tcW w:w="984" w:type="dxa"/>
            <w:vMerge/>
            <w:vAlign w:val="center"/>
          </w:tcPr>
          <w:p w14:paraId="212C92A0" w14:textId="77777777" w:rsidR="00802F03" w:rsidRPr="00802F03" w:rsidRDefault="00802F03" w:rsidP="00802F03">
            <w:pPr>
              <w:ind w:left="-57" w:right="-57"/>
              <w:jc w:val="center"/>
              <w:rPr>
                <w:b/>
                <w:sz w:val="16"/>
                <w:szCs w:val="16"/>
              </w:rPr>
            </w:pPr>
          </w:p>
        </w:tc>
        <w:tc>
          <w:tcPr>
            <w:tcW w:w="859" w:type="dxa"/>
            <w:vMerge/>
            <w:vAlign w:val="center"/>
          </w:tcPr>
          <w:p w14:paraId="4601C251" w14:textId="77777777" w:rsidR="00802F03" w:rsidRPr="00802F03" w:rsidRDefault="00802F03" w:rsidP="00802F03">
            <w:pPr>
              <w:jc w:val="center"/>
              <w:rPr>
                <w:b/>
                <w:sz w:val="16"/>
                <w:szCs w:val="16"/>
              </w:rPr>
            </w:pPr>
          </w:p>
        </w:tc>
        <w:tc>
          <w:tcPr>
            <w:tcW w:w="842" w:type="dxa"/>
            <w:vMerge/>
            <w:vAlign w:val="center"/>
          </w:tcPr>
          <w:p w14:paraId="4C886E20" w14:textId="77777777" w:rsidR="00802F03" w:rsidRPr="00802F03" w:rsidRDefault="00802F03" w:rsidP="00802F03">
            <w:pPr>
              <w:ind w:left="-57" w:right="-57"/>
              <w:jc w:val="center"/>
              <w:rPr>
                <w:b/>
                <w:sz w:val="16"/>
                <w:szCs w:val="16"/>
              </w:rPr>
            </w:pPr>
          </w:p>
        </w:tc>
        <w:tc>
          <w:tcPr>
            <w:tcW w:w="859" w:type="dxa"/>
            <w:vMerge/>
            <w:vAlign w:val="center"/>
          </w:tcPr>
          <w:p w14:paraId="28F58D28" w14:textId="77777777" w:rsidR="00802F03" w:rsidRPr="00802F03" w:rsidRDefault="00802F03" w:rsidP="00802F03">
            <w:pPr>
              <w:ind w:left="-57" w:right="-57"/>
              <w:jc w:val="center"/>
              <w:rPr>
                <w:b/>
                <w:sz w:val="16"/>
                <w:szCs w:val="16"/>
              </w:rPr>
            </w:pPr>
          </w:p>
        </w:tc>
        <w:tc>
          <w:tcPr>
            <w:tcW w:w="992" w:type="dxa"/>
            <w:vMerge/>
            <w:vAlign w:val="center"/>
          </w:tcPr>
          <w:p w14:paraId="6F34EE9A" w14:textId="77777777" w:rsidR="00802F03" w:rsidRPr="00802F03" w:rsidRDefault="00802F03" w:rsidP="00802F03">
            <w:pPr>
              <w:ind w:left="-57" w:right="-57"/>
              <w:jc w:val="center"/>
              <w:rPr>
                <w:b/>
                <w:sz w:val="16"/>
                <w:szCs w:val="16"/>
              </w:rPr>
            </w:pPr>
          </w:p>
        </w:tc>
      </w:tr>
      <w:tr w:rsidR="00802F03" w:rsidRPr="00802F03" w14:paraId="36C16897" w14:textId="77777777" w:rsidTr="00892FE5">
        <w:tc>
          <w:tcPr>
            <w:tcW w:w="1276" w:type="dxa"/>
          </w:tcPr>
          <w:p w14:paraId="45936659" w14:textId="77777777" w:rsidR="00802F03" w:rsidRPr="00802F03" w:rsidRDefault="00802F03" w:rsidP="00802F03">
            <w:pPr>
              <w:rPr>
                <w:sz w:val="16"/>
                <w:szCs w:val="16"/>
              </w:rPr>
            </w:pPr>
            <w:r w:rsidRPr="00802F03">
              <w:rPr>
                <w:sz w:val="16"/>
                <w:szCs w:val="16"/>
              </w:rPr>
              <w:t>Azteca</w:t>
            </w:r>
          </w:p>
        </w:tc>
        <w:tc>
          <w:tcPr>
            <w:tcW w:w="992" w:type="dxa"/>
          </w:tcPr>
          <w:p w14:paraId="42CA2C1D" w14:textId="77777777" w:rsidR="00802F03" w:rsidRPr="00802F03" w:rsidRDefault="00802F03" w:rsidP="004257D5">
            <w:pPr>
              <w:ind w:right="-57"/>
              <w:jc w:val="center"/>
              <w:rPr>
                <w:sz w:val="16"/>
                <w:szCs w:val="16"/>
              </w:rPr>
            </w:pPr>
            <w:r w:rsidRPr="00802F03">
              <w:rPr>
                <w:sz w:val="16"/>
                <w:szCs w:val="16"/>
              </w:rPr>
              <w:t>0</w:t>
            </w:r>
          </w:p>
        </w:tc>
        <w:tc>
          <w:tcPr>
            <w:tcW w:w="851" w:type="dxa"/>
          </w:tcPr>
          <w:p w14:paraId="610B2ED2" w14:textId="77777777" w:rsidR="00802F03" w:rsidRPr="00802F03" w:rsidRDefault="00802F03" w:rsidP="00802F03">
            <w:pPr>
              <w:ind w:right="-57"/>
              <w:jc w:val="right"/>
              <w:rPr>
                <w:sz w:val="16"/>
                <w:szCs w:val="16"/>
              </w:rPr>
            </w:pPr>
            <w:r w:rsidRPr="00802F03">
              <w:rPr>
                <w:sz w:val="16"/>
                <w:szCs w:val="16"/>
              </w:rPr>
              <w:t>50.6</w:t>
            </w:r>
          </w:p>
        </w:tc>
        <w:tc>
          <w:tcPr>
            <w:tcW w:w="850" w:type="dxa"/>
          </w:tcPr>
          <w:p w14:paraId="051029C6" w14:textId="77777777" w:rsidR="00802F03" w:rsidRPr="00802F03" w:rsidRDefault="00802F03" w:rsidP="00802F03">
            <w:pPr>
              <w:ind w:right="-57"/>
              <w:jc w:val="right"/>
              <w:rPr>
                <w:sz w:val="16"/>
                <w:szCs w:val="16"/>
              </w:rPr>
            </w:pPr>
            <w:r w:rsidRPr="00802F03">
              <w:rPr>
                <w:sz w:val="16"/>
                <w:szCs w:val="16"/>
              </w:rPr>
              <w:t>0</w:t>
            </w:r>
          </w:p>
        </w:tc>
        <w:tc>
          <w:tcPr>
            <w:tcW w:w="851" w:type="dxa"/>
          </w:tcPr>
          <w:p w14:paraId="581F5197" w14:textId="77777777" w:rsidR="00802F03" w:rsidRPr="00802F03" w:rsidRDefault="00802F03" w:rsidP="00802F03">
            <w:pPr>
              <w:ind w:right="-57"/>
              <w:jc w:val="right"/>
              <w:rPr>
                <w:sz w:val="16"/>
                <w:szCs w:val="16"/>
              </w:rPr>
            </w:pPr>
            <w:r w:rsidRPr="00802F03">
              <w:rPr>
                <w:sz w:val="16"/>
                <w:szCs w:val="16"/>
              </w:rPr>
              <w:t>442.6</w:t>
            </w:r>
          </w:p>
        </w:tc>
        <w:tc>
          <w:tcPr>
            <w:tcW w:w="984" w:type="dxa"/>
          </w:tcPr>
          <w:p w14:paraId="448A04B1" w14:textId="77777777" w:rsidR="00802F03" w:rsidRPr="00802F03" w:rsidRDefault="00802F03" w:rsidP="00802F03">
            <w:pPr>
              <w:ind w:right="-57"/>
              <w:jc w:val="right"/>
              <w:rPr>
                <w:sz w:val="16"/>
                <w:szCs w:val="16"/>
              </w:rPr>
            </w:pPr>
            <w:r w:rsidRPr="00802F03">
              <w:rPr>
                <w:sz w:val="16"/>
                <w:szCs w:val="16"/>
              </w:rPr>
              <w:t>35 244.5</w:t>
            </w:r>
          </w:p>
        </w:tc>
        <w:tc>
          <w:tcPr>
            <w:tcW w:w="859" w:type="dxa"/>
          </w:tcPr>
          <w:p w14:paraId="7DE2D749" w14:textId="77777777" w:rsidR="00802F03" w:rsidRPr="00802F03" w:rsidRDefault="00802F03" w:rsidP="00802F03">
            <w:pPr>
              <w:ind w:right="-57"/>
              <w:jc w:val="right"/>
              <w:rPr>
                <w:sz w:val="16"/>
                <w:szCs w:val="16"/>
              </w:rPr>
            </w:pPr>
            <w:r w:rsidRPr="00802F03">
              <w:rPr>
                <w:sz w:val="16"/>
                <w:szCs w:val="16"/>
              </w:rPr>
              <w:t>96.3</w:t>
            </w:r>
          </w:p>
        </w:tc>
        <w:tc>
          <w:tcPr>
            <w:tcW w:w="842" w:type="dxa"/>
          </w:tcPr>
          <w:p w14:paraId="0269F553" w14:textId="77777777" w:rsidR="00802F03" w:rsidRPr="00802F03" w:rsidRDefault="00802F03" w:rsidP="00802F03">
            <w:pPr>
              <w:ind w:right="-57"/>
              <w:jc w:val="right"/>
              <w:rPr>
                <w:sz w:val="16"/>
                <w:szCs w:val="16"/>
              </w:rPr>
            </w:pPr>
            <w:r w:rsidRPr="00802F03">
              <w:rPr>
                <w:sz w:val="16"/>
                <w:szCs w:val="16"/>
              </w:rPr>
              <w:t>14 161.5</w:t>
            </w:r>
          </w:p>
        </w:tc>
        <w:tc>
          <w:tcPr>
            <w:tcW w:w="859" w:type="dxa"/>
          </w:tcPr>
          <w:p w14:paraId="35F5108C" w14:textId="77777777" w:rsidR="00802F03" w:rsidRPr="00802F03" w:rsidRDefault="00802F03" w:rsidP="00802F03">
            <w:pPr>
              <w:ind w:right="-57"/>
              <w:jc w:val="right"/>
              <w:rPr>
                <w:sz w:val="16"/>
                <w:szCs w:val="16"/>
              </w:rPr>
            </w:pPr>
            <w:r w:rsidRPr="00802F03">
              <w:rPr>
                <w:sz w:val="16"/>
                <w:szCs w:val="16"/>
              </w:rPr>
              <w:t>0.0</w:t>
            </w:r>
          </w:p>
        </w:tc>
        <w:tc>
          <w:tcPr>
            <w:tcW w:w="992" w:type="dxa"/>
          </w:tcPr>
          <w:p w14:paraId="1588A8D3" w14:textId="77777777" w:rsidR="00802F03" w:rsidRPr="00802F03" w:rsidRDefault="00802F03" w:rsidP="00802F03">
            <w:pPr>
              <w:jc w:val="right"/>
              <w:rPr>
                <w:sz w:val="16"/>
                <w:szCs w:val="16"/>
              </w:rPr>
            </w:pPr>
            <w:r w:rsidRPr="00802F03">
              <w:rPr>
                <w:sz w:val="16"/>
                <w:szCs w:val="16"/>
              </w:rPr>
              <w:t>49 502.3</w:t>
            </w:r>
          </w:p>
        </w:tc>
      </w:tr>
      <w:tr w:rsidR="00802F03" w:rsidRPr="00802F03" w14:paraId="0177CB5B" w14:textId="77777777" w:rsidTr="00892FE5">
        <w:tc>
          <w:tcPr>
            <w:tcW w:w="1276" w:type="dxa"/>
          </w:tcPr>
          <w:p w14:paraId="34D63CB4" w14:textId="77777777" w:rsidR="00802F03" w:rsidRPr="00802F03" w:rsidRDefault="00802F03" w:rsidP="00802F03">
            <w:pPr>
              <w:rPr>
                <w:sz w:val="16"/>
                <w:szCs w:val="16"/>
              </w:rPr>
            </w:pPr>
            <w:r w:rsidRPr="00802F03">
              <w:rPr>
                <w:sz w:val="16"/>
                <w:szCs w:val="16"/>
              </w:rPr>
              <w:t>Banamex</w:t>
            </w:r>
          </w:p>
        </w:tc>
        <w:tc>
          <w:tcPr>
            <w:tcW w:w="992" w:type="dxa"/>
          </w:tcPr>
          <w:p w14:paraId="19E382AF" w14:textId="77777777" w:rsidR="00802F03" w:rsidRPr="00802F03" w:rsidRDefault="00802F03" w:rsidP="004257D5">
            <w:pPr>
              <w:ind w:right="-57"/>
              <w:jc w:val="center"/>
              <w:rPr>
                <w:sz w:val="16"/>
                <w:szCs w:val="16"/>
              </w:rPr>
            </w:pPr>
            <w:r w:rsidRPr="00802F03">
              <w:rPr>
                <w:sz w:val="16"/>
                <w:szCs w:val="16"/>
              </w:rPr>
              <w:t>0</w:t>
            </w:r>
          </w:p>
        </w:tc>
        <w:tc>
          <w:tcPr>
            <w:tcW w:w="851" w:type="dxa"/>
          </w:tcPr>
          <w:p w14:paraId="48193D61" w14:textId="77777777" w:rsidR="00802F03" w:rsidRPr="00802F03" w:rsidRDefault="00802F03" w:rsidP="00802F03">
            <w:pPr>
              <w:ind w:right="-57"/>
              <w:jc w:val="right"/>
              <w:rPr>
                <w:sz w:val="16"/>
                <w:szCs w:val="16"/>
              </w:rPr>
            </w:pPr>
            <w:r w:rsidRPr="00802F03">
              <w:rPr>
                <w:sz w:val="16"/>
                <w:szCs w:val="16"/>
              </w:rPr>
              <w:t>3 780.1</w:t>
            </w:r>
          </w:p>
        </w:tc>
        <w:tc>
          <w:tcPr>
            <w:tcW w:w="850" w:type="dxa"/>
          </w:tcPr>
          <w:p w14:paraId="0B5488DC" w14:textId="77777777" w:rsidR="00802F03" w:rsidRPr="00802F03" w:rsidRDefault="00802F03" w:rsidP="00802F03">
            <w:pPr>
              <w:ind w:right="-57"/>
              <w:jc w:val="right"/>
              <w:rPr>
                <w:sz w:val="16"/>
                <w:szCs w:val="16"/>
              </w:rPr>
            </w:pPr>
            <w:r w:rsidRPr="00802F03">
              <w:rPr>
                <w:sz w:val="16"/>
                <w:szCs w:val="16"/>
              </w:rPr>
              <w:t>0</w:t>
            </w:r>
          </w:p>
        </w:tc>
        <w:tc>
          <w:tcPr>
            <w:tcW w:w="851" w:type="dxa"/>
          </w:tcPr>
          <w:p w14:paraId="45131280" w14:textId="77777777" w:rsidR="00802F03" w:rsidRPr="00802F03" w:rsidRDefault="00802F03" w:rsidP="00802F03">
            <w:pPr>
              <w:ind w:right="-57"/>
              <w:jc w:val="right"/>
              <w:rPr>
                <w:sz w:val="16"/>
                <w:szCs w:val="16"/>
              </w:rPr>
            </w:pPr>
            <w:r w:rsidRPr="00802F03">
              <w:rPr>
                <w:sz w:val="16"/>
                <w:szCs w:val="16"/>
              </w:rPr>
              <w:t>2 957.6</w:t>
            </w:r>
          </w:p>
        </w:tc>
        <w:tc>
          <w:tcPr>
            <w:tcW w:w="984" w:type="dxa"/>
          </w:tcPr>
          <w:p w14:paraId="07B98348" w14:textId="77777777" w:rsidR="00802F03" w:rsidRPr="00802F03" w:rsidRDefault="00802F03" w:rsidP="00802F03">
            <w:pPr>
              <w:ind w:right="-57"/>
              <w:jc w:val="right"/>
              <w:rPr>
                <w:sz w:val="16"/>
                <w:szCs w:val="16"/>
              </w:rPr>
            </w:pPr>
            <w:r w:rsidRPr="00802F03">
              <w:rPr>
                <w:sz w:val="16"/>
                <w:szCs w:val="16"/>
              </w:rPr>
              <w:t>407 508.1</w:t>
            </w:r>
          </w:p>
        </w:tc>
        <w:tc>
          <w:tcPr>
            <w:tcW w:w="859" w:type="dxa"/>
          </w:tcPr>
          <w:p w14:paraId="72EE1F45" w14:textId="77777777" w:rsidR="00802F03" w:rsidRPr="00802F03" w:rsidRDefault="00802F03" w:rsidP="00802F03">
            <w:pPr>
              <w:ind w:right="-57"/>
              <w:jc w:val="right"/>
              <w:rPr>
                <w:sz w:val="16"/>
                <w:szCs w:val="16"/>
              </w:rPr>
            </w:pPr>
            <w:r w:rsidRPr="00802F03">
              <w:rPr>
                <w:sz w:val="16"/>
                <w:szCs w:val="16"/>
              </w:rPr>
              <w:t>7 938.7</w:t>
            </w:r>
          </w:p>
        </w:tc>
        <w:tc>
          <w:tcPr>
            <w:tcW w:w="842" w:type="dxa"/>
          </w:tcPr>
          <w:p w14:paraId="34328A29" w14:textId="77777777" w:rsidR="00802F03" w:rsidRPr="00802F03" w:rsidRDefault="00802F03" w:rsidP="00802F03">
            <w:pPr>
              <w:ind w:right="-57"/>
              <w:jc w:val="right"/>
              <w:rPr>
                <w:sz w:val="16"/>
                <w:szCs w:val="16"/>
              </w:rPr>
            </w:pPr>
            <w:r w:rsidRPr="00802F03">
              <w:rPr>
                <w:sz w:val="16"/>
                <w:szCs w:val="16"/>
              </w:rPr>
              <w:t>138 111.4</w:t>
            </w:r>
          </w:p>
        </w:tc>
        <w:tc>
          <w:tcPr>
            <w:tcW w:w="859" w:type="dxa"/>
          </w:tcPr>
          <w:p w14:paraId="11EB168C" w14:textId="77777777" w:rsidR="00802F03" w:rsidRPr="00802F03" w:rsidRDefault="00802F03" w:rsidP="00802F03">
            <w:pPr>
              <w:ind w:right="-57"/>
              <w:jc w:val="right"/>
              <w:rPr>
                <w:sz w:val="16"/>
                <w:szCs w:val="16"/>
              </w:rPr>
            </w:pPr>
            <w:r w:rsidRPr="00802F03">
              <w:rPr>
                <w:sz w:val="16"/>
                <w:szCs w:val="16"/>
              </w:rPr>
              <w:t>0.0</w:t>
            </w:r>
          </w:p>
        </w:tc>
        <w:tc>
          <w:tcPr>
            <w:tcW w:w="992" w:type="dxa"/>
          </w:tcPr>
          <w:p w14:paraId="02CCAF90" w14:textId="77777777" w:rsidR="00802F03" w:rsidRPr="00802F03" w:rsidRDefault="00802F03" w:rsidP="00802F03">
            <w:pPr>
              <w:jc w:val="right"/>
              <w:rPr>
                <w:sz w:val="16"/>
                <w:szCs w:val="16"/>
              </w:rPr>
            </w:pPr>
            <w:r w:rsidRPr="00802F03">
              <w:rPr>
                <w:sz w:val="16"/>
                <w:szCs w:val="16"/>
              </w:rPr>
              <w:t>553 558.2</w:t>
            </w:r>
          </w:p>
        </w:tc>
      </w:tr>
      <w:tr w:rsidR="00802F03" w:rsidRPr="00802F03" w14:paraId="6BD6024B" w14:textId="77777777" w:rsidTr="00892FE5">
        <w:tc>
          <w:tcPr>
            <w:tcW w:w="1276" w:type="dxa"/>
          </w:tcPr>
          <w:p w14:paraId="6BC123B2" w14:textId="77777777" w:rsidR="00802F03" w:rsidRPr="00802F03" w:rsidRDefault="00802F03" w:rsidP="00802F03">
            <w:pPr>
              <w:rPr>
                <w:sz w:val="16"/>
                <w:szCs w:val="16"/>
              </w:rPr>
            </w:pPr>
            <w:r w:rsidRPr="00802F03">
              <w:rPr>
                <w:sz w:val="16"/>
                <w:szCs w:val="16"/>
              </w:rPr>
              <w:t>Coppel</w:t>
            </w:r>
          </w:p>
        </w:tc>
        <w:tc>
          <w:tcPr>
            <w:tcW w:w="992" w:type="dxa"/>
          </w:tcPr>
          <w:p w14:paraId="6B8358FE" w14:textId="77777777" w:rsidR="00802F03" w:rsidRPr="00802F03" w:rsidRDefault="00802F03" w:rsidP="004257D5">
            <w:pPr>
              <w:ind w:right="-57"/>
              <w:jc w:val="center"/>
              <w:rPr>
                <w:sz w:val="16"/>
                <w:szCs w:val="16"/>
              </w:rPr>
            </w:pPr>
            <w:r w:rsidRPr="00802F03">
              <w:rPr>
                <w:sz w:val="16"/>
                <w:szCs w:val="16"/>
              </w:rPr>
              <w:t>0</w:t>
            </w:r>
          </w:p>
        </w:tc>
        <w:tc>
          <w:tcPr>
            <w:tcW w:w="851" w:type="dxa"/>
          </w:tcPr>
          <w:p w14:paraId="28FA06AE" w14:textId="77777777" w:rsidR="00802F03" w:rsidRPr="00802F03" w:rsidRDefault="00802F03" w:rsidP="00802F03">
            <w:pPr>
              <w:ind w:right="-57"/>
              <w:jc w:val="right"/>
              <w:rPr>
                <w:sz w:val="16"/>
                <w:szCs w:val="16"/>
              </w:rPr>
            </w:pPr>
            <w:r w:rsidRPr="00802F03">
              <w:rPr>
                <w:sz w:val="16"/>
                <w:szCs w:val="16"/>
              </w:rPr>
              <w:t>304.4</w:t>
            </w:r>
          </w:p>
        </w:tc>
        <w:tc>
          <w:tcPr>
            <w:tcW w:w="850" w:type="dxa"/>
          </w:tcPr>
          <w:p w14:paraId="1ADF052C" w14:textId="77777777" w:rsidR="00802F03" w:rsidRPr="00802F03" w:rsidRDefault="00802F03" w:rsidP="00802F03">
            <w:pPr>
              <w:ind w:right="-57"/>
              <w:jc w:val="right"/>
              <w:rPr>
                <w:sz w:val="16"/>
                <w:szCs w:val="16"/>
              </w:rPr>
            </w:pPr>
            <w:r w:rsidRPr="00802F03">
              <w:rPr>
                <w:sz w:val="16"/>
                <w:szCs w:val="16"/>
              </w:rPr>
              <w:t>0</w:t>
            </w:r>
          </w:p>
        </w:tc>
        <w:tc>
          <w:tcPr>
            <w:tcW w:w="851" w:type="dxa"/>
          </w:tcPr>
          <w:p w14:paraId="78D63928" w14:textId="77777777" w:rsidR="00802F03" w:rsidRPr="00802F03" w:rsidRDefault="00802F03" w:rsidP="00802F03">
            <w:pPr>
              <w:ind w:right="-57"/>
              <w:jc w:val="right"/>
              <w:rPr>
                <w:sz w:val="16"/>
                <w:szCs w:val="16"/>
              </w:rPr>
            </w:pPr>
            <w:r w:rsidRPr="00802F03">
              <w:rPr>
                <w:sz w:val="16"/>
                <w:szCs w:val="16"/>
              </w:rPr>
              <w:t>876.3</w:t>
            </w:r>
          </w:p>
        </w:tc>
        <w:tc>
          <w:tcPr>
            <w:tcW w:w="984" w:type="dxa"/>
          </w:tcPr>
          <w:p w14:paraId="4D5B9B02" w14:textId="77777777" w:rsidR="00802F03" w:rsidRPr="00802F03" w:rsidRDefault="00802F03" w:rsidP="00802F03">
            <w:pPr>
              <w:ind w:right="-57"/>
              <w:jc w:val="right"/>
              <w:rPr>
                <w:sz w:val="16"/>
                <w:szCs w:val="16"/>
              </w:rPr>
            </w:pPr>
            <w:r w:rsidRPr="00802F03">
              <w:rPr>
                <w:sz w:val="16"/>
                <w:szCs w:val="16"/>
              </w:rPr>
              <w:t>115 235.6</w:t>
            </w:r>
          </w:p>
        </w:tc>
        <w:tc>
          <w:tcPr>
            <w:tcW w:w="859" w:type="dxa"/>
          </w:tcPr>
          <w:p w14:paraId="4E566FB8" w14:textId="77777777" w:rsidR="00802F03" w:rsidRPr="00802F03" w:rsidRDefault="00802F03" w:rsidP="00802F03">
            <w:pPr>
              <w:ind w:right="-57"/>
              <w:jc w:val="right"/>
              <w:rPr>
                <w:sz w:val="16"/>
                <w:szCs w:val="16"/>
              </w:rPr>
            </w:pPr>
            <w:r w:rsidRPr="00802F03">
              <w:rPr>
                <w:sz w:val="16"/>
                <w:szCs w:val="16"/>
              </w:rPr>
              <w:t>427.3</w:t>
            </w:r>
          </w:p>
        </w:tc>
        <w:tc>
          <w:tcPr>
            <w:tcW w:w="842" w:type="dxa"/>
          </w:tcPr>
          <w:p w14:paraId="6508D76F" w14:textId="77777777" w:rsidR="00802F03" w:rsidRPr="00802F03" w:rsidRDefault="00802F03" w:rsidP="00802F03">
            <w:pPr>
              <w:ind w:right="-57"/>
              <w:jc w:val="right"/>
              <w:rPr>
                <w:sz w:val="16"/>
                <w:szCs w:val="16"/>
              </w:rPr>
            </w:pPr>
            <w:r w:rsidRPr="00802F03">
              <w:rPr>
                <w:sz w:val="16"/>
                <w:szCs w:val="16"/>
              </w:rPr>
              <w:t>48 410.7</w:t>
            </w:r>
          </w:p>
        </w:tc>
        <w:tc>
          <w:tcPr>
            <w:tcW w:w="859" w:type="dxa"/>
          </w:tcPr>
          <w:p w14:paraId="1F3DA541" w14:textId="77777777" w:rsidR="00802F03" w:rsidRPr="00802F03" w:rsidRDefault="00802F03" w:rsidP="00802F03">
            <w:pPr>
              <w:ind w:right="-57"/>
              <w:jc w:val="right"/>
              <w:rPr>
                <w:sz w:val="16"/>
                <w:szCs w:val="16"/>
              </w:rPr>
            </w:pPr>
            <w:r w:rsidRPr="00802F03">
              <w:rPr>
                <w:sz w:val="16"/>
                <w:szCs w:val="16"/>
              </w:rPr>
              <w:t>0.0</w:t>
            </w:r>
          </w:p>
        </w:tc>
        <w:tc>
          <w:tcPr>
            <w:tcW w:w="992" w:type="dxa"/>
          </w:tcPr>
          <w:p w14:paraId="1AF95F9E" w14:textId="77777777" w:rsidR="00802F03" w:rsidRPr="00802F03" w:rsidRDefault="00802F03" w:rsidP="00802F03">
            <w:pPr>
              <w:jc w:val="right"/>
              <w:rPr>
                <w:sz w:val="16"/>
                <w:szCs w:val="16"/>
              </w:rPr>
            </w:pPr>
            <w:r w:rsidRPr="00802F03">
              <w:rPr>
                <w:sz w:val="16"/>
                <w:szCs w:val="16"/>
              </w:rPr>
              <w:t>164 073.5</w:t>
            </w:r>
          </w:p>
        </w:tc>
      </w:tr>
      <w:tr w:rsidR="00802F03" w:rsidRPr="00802F03" w14:paraId="1034D98A" w14:textId="77777777" w:rsidTr="00892FE5">
        <w:tc>
          <w:tcPr>
            <w:tcW w:w="1276" w:type="dxa"/>
          </w:tcPr>
          <w:p w14:paraId="0C22E58B" w14:textId="77777777" w:rsidR="00802F03" w:rsidRPr="00802F03" w:rsidRDefault="00802F03" w:rsidP="00802F03">
            <w:pPr>
              <w:rPr>
                <w:sz w:val="16"/>
                <w:szCs w:val="16"/>
              </w:rPr>
            </w:pPr>
            <w:r w:rsidRPr="00802F03">
              <w:rPr>
                <w:sz w:val="16"/>
                <w:szCs w:val="16"/>
              </w:rPr>
              <w:t>Inbursa</w:t>
            </w:r>
          </w:p>
        </w:tc>
        <w:tc>
          <w:tcPr>
            <w:tcW w:w="992" w:type="dxa"/>
          </w:tcPr>
          <w:p w14:paraId="31CCC75C" w14:textId="77777777" w:rsidR="00802F03" w:rsidRPr="00802F03" w:rsidRDefault="00802F03" w:rsidP="004257D5">
            <w:pPr>
              <w:ind w:right="-57"/>
              <w:jc w:val="center"/>
              <w:rPr>
                <w:sz w:val="16"/>
                <w:szCs w:val="16"/>
              </w:rPr>
            </w:pPr>
            <w:r w:rsidRPr="00802F03">
              <w:rPr>
                <w:sz w:val="16"/>
                <w:szCs w:val="16"/>
              </w:rPr>
              <w:t>0</w:t>
            </w:r>
          </w:p>
        </w:tc>
        <w:tc>
          <w:tcPr>
            <w:tcW w:w="851" w:type="dxa"/>
          </w:tcPr>
          <w:p w14:paraId="1808E14D" w14:textId="77777777" w:rsidR="00802F03" w:rsidRPr="00802F03" w:rsidRDefault="00802F03" w:rsidP="00802F03">
            <w:pPr>
              <w:ind w:right="-57"/>
              <w:jc w:val="right"/>
              <w:rPr>
                <w:sz w:val="16"/>
                <w:szCs w:val="16"/>
              </w:rPr>
            </w:pPr>
            <w:r w:rsidRPr="00802F03">
              <w:rPr>
                <w:sz w:val="16"/>
                <w:szCs w:val="16"/>
              </w:rPr>
              <w:t>623.0</w:t>
            </w:r>
          </w:p>
        </w:tc>
        <w:tc>
          <w:tcPr>
            <w:tcW w:w="850" w:type="dxa"/>
          </w:tcPr>
          <w:p w14:paraId="27B80863" w14:textId="77777777" w:rsidR="00802F03" w:rsidRPr="00802F03" w:rsidRDefault="00802F03" w:rsidP="00802F03">
            <w:pPr>
              <w:ind w:right="-57"/>
              <w:jc w:val="right"/>
              <w:rPr>
                <w:sz w:val="16"/>
                <w:szCs w:val="16"/>
              </w:rPr>
            </w:pPr>
            <w:r w:rsidRPr="00802F03">
              <w:rPr>
                <w:sz w:val="16"/>
                <w:szCs w:val="16"/>
              </w:rPr>
              <w:t>0</w:t>
            </w:r>
          </w:p>
        </w:tc>
        <w:tc>
          <w:tcPr>
            <w:tcW w:w="851" w:type="dxa"/>
          </w:tcPr>
          <w:p w14:paraId="5A268765" w14:textId="77777777" w:rsidR="00802F03" w:rsidRPr="00802F03" w:rsidRDefault="00802F03" w:rsidP="00802F03">
            <w:pPr>
              <w:ind w:right="-57"/>
              <w:jc w:val="right"/>
              <w:rPr>
                <w:sz w:val="16"/>
                <w:szCs w:val="16"/>
              </w:rPr>
            </w:pPr>
            <w:r w:rsidRPr="00802F03">
              <w:rPr>
                <w:sz w:val="16"/>
                <w:szCs w:val="16"/>
              </w:rPr>
              <w:t>1 334.7</w:t>
            </w:r>
          </w:p>
        </w:tc>
        <w:tc>
          <w:tcPr>
            <w:tcW w:w="984" w:type="dxa"/>
          </w:tcPr>
          <w:p w14:paraId="132507D5" w14:textId="77777777" w:rsidR="00802F03" w:rsidRPr="00802F03" w:rsidRDefault="00802F03" w:rsidP="00802F03">
            <w:pPr>
              <w:ind w:right="-57"/>
              <w:jc w:val="right"/>
              <w:rPr>
                <w:sz w:val="16"/>
                <w:szCs w:val="16"/>
              </w:rPr>
            </w:pPr>
            <w:r w:rsidRPr="00802F03">
              <w:rPr>
                <w:sz w:val="16"/>
                <w:szCs w:val="16"/>
              </w:rPr>
              <w:t>104 073.1</w:t>
            </w:r>
          </w:p>
        </w:tc>
        <w:tc>
          <w:tcPr>
            <w:tcW w:w="859" w:type="dxa"/>
          </w:tcPr>
          <w:p w14:paraId="0EAA3D90" w14:textId="77777777" w:rsidR="00802F03" w:rsidRPr="00802F03" w:rsidRDefault="00802F03" w:rsidP="00802F03">
            <w:pPr>
              <w:ind w:right="-57"/>
              <w:jc w:val="right"/>
              <w:rPr>
                <w:sz w:val="16"/>
                <w:szCs w:val="16"/>
              </w:rPr>
            </w:pPr>
            <w:r w:rsidRPr="00802F03">
              <w:rPr>
                <w:sz w:val="16"/>
                <w:szCs w:val="16"/>
              </w:rPr>
              <w:t>2 159.6</w:t>
            </w:r>
          </w:p>
        </w:tc>
        <w:tc>
          <w:tcPr>
            <w:tcW w:w="842" w:type="dxa"/>
          </w:tcPr>
          <w:p w14:paraId="34088638" w14:textId="77777777" w:rsidR="00802F03" w:rsidRPr="00802F03" w:rsidRDefault="00802F03" w:rsidP="00802F03">
            <w:pPr>
              <w:ind w:right="-57"/>
              <w:jc w:val="right"/>
              <w:rPr>
                <w:sz w:val="16"/>
                <w:szCs w:val="16"/>
              </w:rPr>
            </w:pPr>
            <w:r w:rsidRPr="00802F03">
              <w:rPr>
                <w:sz w:val="16"/>
                <w:szCs w:val="16"/>
              </w:rPr>
              <w:t>36 668.2</w:t>
            </w:r>
          </w:p>
        </w:tc>
        <w:tc>
          <w:tcPr>
            <w:tcW w:w="859" w:type="dxa"/>
          </w:tcPr>
          <w:p w14:paraId="4611E211" w14:textId="77777777" w:rsidR="00802F03" w:rsidRPr="00802F03" w:rsidRDefault="00802F03" w:rsidP="00802F03">
            <w:pPr>
              <w:ind w:right="-57"/>
              <w:jc w:val="right"/>
              <w:rPr>
                <w:sz w:val="16"/>
                <w:szCs w:val="16"/>
              </w:rPr>
            </w:pPr>
            <w:r w:rsidRPr="00802F03">
              <w:rPr>
                <w:sz w:val="16"/>
                <w:szCs w:val="16"/>
              </w:rPr>
              <w:t>0.0</w:t>
            </w:r>
          </w:p>
        </w:tc>
        <w:tc>
          <w:tcPr>
            <w:tcW w:w="992" w:type="dxa"/>
          </w:tcPr>
          <w:p w14:paraId="371A8A35" w14:textId="77777777" w:rsidR="00802F03" w:rsidRPr="00802F03" w:rsidRDefault="00802F03" w:rsidP="00802F03">
            <w:pPr>
              <w:jc w:val="right"/>
              <w:rPr>
                <w:sz w:val="16"/>
                <w:szCs w:val="16"/>
              </w:rPr>
            </w:pPr>
            <w:r w:rsidRPr="00802F03">
              <w:rPr>
                <w:sz w:val="16"/>
                <w:szCs w:val="16"/>
              </w:rPr>
              <w:t>142 900.9</w:t>
            </w:r>
          </w:p>
        </w:tc>
      </w:tr>
      <w:tr w:rsidR="00802F03" w:rsidRPr="00802F03" w14:paraId="32B33803" w14:textId="77777777" w:rsidTr="00892FE5">
        <w:tc>
          <w:tcPr>
            <w:tcW w:w="1276" w:type="dxa"/>
          </w:tcPr>
          <w:p w14:paraId="568A4525" w14:textId="77777777" w:rsidR="00802F03" w:rsidRPr="00802F03" w:rsidRDefault="00802F03" w:rsidP="00802F03">
            <w:pPr>
              <w:rPr>
                <w:sz w:val="16"/>
                <w:szCs w:val="16"/>
              </w:rPr>
            </w:pPr>
            <w:r w:rsidRPr="00802F03">
              <w:rPr>
                <w:sz w:val="16"/>
                <w:szCs w:val="16"/>
              </w:rPr>
              <w:t>Invercap</w:t>
            </w:r>
          </w:p>
        </w:tc>
        <w:tc>
          <w:tcPr>
            <w:tcW w:w="992" w:type="dxa"/>
          </w:tcPr>
          <w:p w14:paraId="118B7742" w14:textId="77777777" w:rsidR="00802F03" w:rsidRPr="00802F03" w:rsidRDefault="00802F03" w:rsidP="004257D5">
            <w:pPr>
              <w:ind w:right="-57"/>
              <w:jc w:val="center"/>
              <w:rPr>
                <w:sz w:val="16"/>
                <w:szCs w:val="16"/>
              </w:rPr>
            </w:pPr>
            <w:r w:rsidRPr="00802F03">
              <w:rPr>
                <w:sz w:val="16"/>
                <w:szCs w:val="16"/>
              </w:rPr>
              <w:t>0</w:t>
            </w:r>
          </w:p>
        </w:tc>
        <w:tc>
          <w:tcPr>
            <w:tcW w:w="851" w:type="dxa"/>
          </w:tcPr>
          <w:p w14:paraId="2E6AD826" w14:textId="77777777" w:rsidR="00802F03" w:rsidRPr="00802F03" w:rsidRDefault="00802F03" w:rsidP="00802F03">
            <w:pPr>
              <w:ind w:right="-57"/>
              <w:jc w:val="right"/>
              <w:rPr>
                <w:sz w:val="16"/>
                <w:szCs w:val="16"/>
              </w:rPr>
            </w:pPr>
            <w:r w:rsidRPr="00802F03">
              <w:rPr>
                <w:sz w:val="16"/>
                <w:szCs w:val="16"/>
              </w:rPr>
              <w:t>554.6</w:t>
            </w:r>
          </w:p>
        </w:tc>
        <w:tc>
          <w:tcPr>
            <w:tcW w:w="850" w:type="dxa"/>
          </w:tcPr>
          <w:p w14:paraId="53F2F3FC" w14:textId="77777777" w:rsidR="00802F03" w:rsidRPr="00802F03" w:rsidRDefault="00802F03" w:rsidP="00802F03">
            <w:pPr>
              <w:ind w:right="-57"/>
              <w:jc w:val="right"/>
              <w:rPr>
                <w:sz w:val="16"/>
                <w:szCs w:val="16"/>
              </w:rPr>
            </w:pPr>
            <w:r w:rsidRPr="00802F03">
              <w:rPr>
                <w:sz w:val="16"/>
                <w:szCs w:val="16"/>
              </w:rPr>
              <w:t>0</w:t>
            </w:r>
          </w:p>
        </w:tc>
        <w:tc>
          <w:tcPr>
            <w:tcW w:w="851" w:type="dxa"/>
          </w:tcPr>
          <w:p w14:paraId="2A86DDA5" w14:textId="77777777" w:rsidR="00802F03" w:rsidRPr="00802F03" w:rsidRDefault="00802F03" w:rsidP="00802F03">
            <w:pPr>
              <w:ind w:right="-57"/>
              <w:jc w:val="right"/>
              <w:rPr>
                <w:sz w:val="16"/>
                <w:szCs w:val="16"/>
              </w:rPr>
            </w:pPr>
            <w:r w:rsidRPr="00802F03">
              <w:rPr>
                <w:sz w:val="16"/>
                <w:szCs w:val="16"/>
              </w:rPr>
              <w:t>1 153.3</w:t>
            </w:r>
          </w:p>
        </w:tc>
        <w:tc>
          <w:tcPr>
            <w:tcW w:w="984" w:type="dxa"/>
          </w:tcPr>
          <w:p w14:paraId="12F1C747" w14:textId="77777777" w:rsidR="00802F03" w:rsidRPr="00802F03" w:rsidRDefault="00802F03" w:rsidP="00802F03">
            <w:pPr>
              <w:ind w:right="-57"/>
              <w:jc w:val="right"/>
              <w:rPr>
                <w:sz w:val="16"/>
                <w:szCs w:val="16"/>
              </w:rPr>
            </w:pPr>
            <w:r w:rsidRPr="00802F03">
              <w:rPr>
                <w:sz w:val="16"/>
                <w:szCs w:val="16"/>
              </w:rPr>
              <w:t>159 218.3</w:t>
            </w:r>
          </w:p>
        </w:tc>
        <w:tc>
          <w:tcPr>
            <w:tcW w:w="859" w:type="dxa"/>
          </w:tcPr>
          <w:p w14:paraId="6076BB71" w14:textId="77777777" w:rsidR="00802F03" w:rsidRPr="00802F03" w:rsidRDefault="00802F03" w:rsidP="00802F03">
            <w:pPr>
              <w:ind w:right="-57"/>
              <w:jc w:val="right"/>
              <w:rPr>
                <w:sz w:val="16"/>
                <w:szCs w:val="16"/>
              </w:rPr>
            </w:pPr>
            <w:r w:rsidRPr="00802F03">
              <w:rPr>
                <w:sz w:val="16"/>
                <w:szCs w:val="16"/>
              </w:rPr>
              <w:t>904.6</w:t>
            </w:r>
          </w:p>
        </w:tc>
        <w:tc>
          <w:tcPr>
            <w:tcW w:w="842" w:type="dxa"/>
          </w:tcPr>
          <w:p w14:paraId="4601D749" w14:textId="77777777" w:rsidR="00802F03" w:rsidRPr="00802F03" w:rsidRDefault="00802F03" w:rsidP="00802F03">
            <w:pPr>
              <w:ind w:right="-57"/>
              <w:jc w:val="right"/>
              <w:rPr>
                <w:sz w:val="16"/>
                <w:szCs w:val="16"/>
              </w:rPr>
            </w:pPr>
            <w:r w:rsidRPr="00802F03">
              <w:rPr>
                <w:sz w:val="16"/>
                <w:szCs w:val="16"/>
              </w:rPr>
              <w:t>46 322.7</w:t>
            </w:r>
          </w:p>
        </w:tc>
        <w:tc>
          <w:tcPr>
            <w:tcW w:w="859" w:type="dxa"/>
          </w:tcPr>
          <w:p w14:paraId="4FACE150" w14:textId="77777777" w:rsidR="00802F03" w:rsidRPr="00802F03" w:rsidRDefault="00802F03" w:rsidP="00802F03">
            <w:pPr>
              <w:ind w:right="-57"/>
              <w:jc w:val="right"/>
              <w:rPr>
                <w:sz w:val="16"/>
                <w:szCs w:val="16"/>
              </w:rPr>
            </w:pPr>
            <w:r w:rsidRPr="00802F03">
              <w:rPr>
                <w:sz w:val="16"/>
                <w:szCs w:val="16"/>
              </w:rPr>
              <w:t>0.0</w:t>
            </w:r>
          </w:p>
        </w:tc>
        <w:tc>
          <w:tcPr>
            <w:tcW w:w="992" w:type="dxa"/>
          </w:tcPr>
          <w:p w14:paraId="364C9314" w14:textId="77777777" w:rsidR="00802F03" w:rsidRPr="00802F03" w:rsidRDefault="00802F03" w:rsidP="00802F03">
            <w:pPr>
              <w:jc w:val="right"/>
              <w:rPr>
                <w:sz w:val="16"/>
                <w:szCs w:val="16"/>
              </w:rPr>
            </w:pPr>
            <w:r w:rsidRPr="00802F03">
              <w:rPr>
                <w:sz w:val="16"/>
                <w:szCs w:val="16"/>
              </w:rPr>
              <w:t>206 445.6</w:t>
            </w:r>
          </w:p>
        </w:tc>
      </w:tr>
      <w:tr w:rsidR="00802F03" w:rsidRPr="00802F03" w14:paraId="253C9FCE" w14:textId="77777777" w:rsidTr="00892FE5">
        <w:tc>
          <w:tcPr>
            <w:tcW w:w="1276" w:type="dxa"/>
          </w:tcPr>
          <w:p w14:paraId="2078AB73" w14:textId="77777777" w:rsidR="00802F03" w:rsidRPr="00802F03" w:rsidRDefault="00802F03" w:rsidP="00802F03">
            <w:pPr>
              <w:rPr>
                <w:sz w:val="16"/>
                <w:szCs w:val="16"/>
              </w:rPr>
            </w:pPr>
            <w:r w:rsidRPr="00802F03">
              <w:rPr>
                <w:sz w:val="16"/>
                <w:szCs w:val="16"/>
              </w:rPr>
              <w:t>Metlife</w:t>
            </w:r>
          </w:p>
        </w:tc>
        <w:tc>
          <w:tcPr>
            <w:tcW w:w="992" w:type="dxa"/>
          </w:tcPr>
          <w:p w14:paraId="505624E1" w14:textId="77777777" w:rsidR="00802F03" w:rsidRPr="00802F03" w:rsidRDefault="00802F03" w:rsidP="004257D5">
            <w:pPr>
              <w:ind w:right="-57"/>
              <w:jc w:val="center"/>
              <w:rPr>
                <w:sz w:val="16"/>
                <w:szCs w:val="16"/>
              </w:rPr>
            </w:pPr>
            <w:r w:rsidRPr="00802F03">
              <w:rPr>
                <w:sz w:val="16"/>
                <w:szCs w:val="16"/>
              </w:rPr>
              <w:t>0</w:t>
            </w:r>
          </w:p>
        </w:tc>
        <w:tc>
          <w:tcPr>
            <w:tcW w:w="851" w:type="dxa"/>
          </w:tcPr>
          <w:p w14:paraId="13D1BE3B" w14:textId="77777777" w:rsidR="00802F03" w:rsidRPr="00802F03" w:rsidRDefault="00802F03" w:rsidP="00802F03">
            <w:pPr>
              <w:ind w:right="-57"/>
              <w:jc w:val="right"/>
              <w:rPr>
                <w:sz w:val="16"/>
                <w:szCs w:val="16"/>
              </w:rPr>
            </w:pPr>
            <w:r w:rsidRPr="00802F03">
              <w:rPr>
                <w:sz w:val="16"/>
                <w:szCs w:val="16"/>
              </w:rPr>
              <w:t>594.0</w:t>
            </w:r>
          </w:p>
        </w:tc>
        <w:tc>
          <w:tcPr>
            <w:tcW w:w="850" w:type="dxa"/>
          </w:tcPr>
          <w:p w14:paraId="707BA5E3" w14:textId="77777777" w:rsidR="00802F03" w:rsidRPr="00802F03" w:rsidRDefault="00802F03" w:rsidP="00802F03">
            <w:pPr>
              <w:ind w:right="-57"/>
              <w:jc w:val="right"/>
              <w:rPr>
                <w:sz w:val="16"/>
                <w:szCs w:val="16"/>
              </w:rPr>
            </w:pPr>
            <w:r w:rsidRPr="00802F03">
              <w:rPr>
                <w:sz w:val="16"/>
                <w:szCs w:val="16"/>
              </w:rPr>
              <w:t>0</w:t>
            </w:r>
          </w:p>
        </w:tc>
        <w:tc>
          <w:tcPr>
            <w:tcW w:w="851" w:type="dxa"/>
          </w:tcPr>
          <w:p w14:paraId="5297E81B" w14:textId="77777777" w:rsidR="00802F03" w:rsidRPr="00802F03" w:rsidRDefault="00802F03" w:rsidP="00802F03">
            <w:pPr>
              <w:ind w:right="-57"/>
              <w:jc w:val="right"/>
              <w:rPr>
                <w:sz w:val="16"/>
                <w:szCs w:val="16"/>
              </w:rPr>
            </w:pPr>
            <w:r w:rsidRPr="00802F03">
              <w:rPr>
                <w:sz w:val="16"/>
                <w:szCs w:val="16"/>
              </w:rPr>
              <w:t>542.3</w:t>
            </w:r>
          </w:p>
        </w:tc>
        <w:tc>
          <w:tcPr>
            <w:tcW w:w="984" w:type="dxa"/>
          </w:tcPr>
          <w:p w14:paraId="28B02A5A" w14:textId="77777777" w:rsidR="00802F03" w:rsidRPr="00802F03" w:rsidRDefault="00802F03" w:rsidP="00802F03">
            <w:pPr>
              <w:ind w:right="-57"/>
              <w:jc w:val="right"/>
              <w:rPr>
                <w:sz w:val="16"/>
                <w:szCs w:val="16"/>
              </w:rPr>
            </w:pPr>
            <w:r w:rsidRPr="00802F03">
              <w:rPr>
                <w:sz w:val="16"/>
                <w:szCs w:val="16"/>
              </w:rPr>
              <w:t>70 685.9</w:t>
            </w:r>
          </w:p>
        </w:tc>
        <w:tc>
          <w:tcPr>
            <w:tcW w:w="859" w:type="dxa"/>
          </w:tcPr>
          <w:p w14:paraId="095590AC" w14:textId="77777777" w:rsidR="00802F03" w:rsidRPr="00802F03" w:rsidRDefault="00802F03" w:rsidP="00802F03">
            <w:pPr>
              <w:ind w:right="-57"/>
              <w:jc w:val="right"/>
              <w:rPr>
                <w:sz w:val="16"/>
                <w:szCs w:val="16"/>
              </w:rPr>
            </w:pPr>
            <w:r w:rsidRPr="00802F03">
              <w:rPr>
                <w:sz w:val="16"/>
                <w:szCs w:val="16"/>
              </w:rPr>
              <w:t>4 344.7</w:t>
            </w:r>
          </w:p>
        </w:tc>
        <w:tc>
          <w:tcPr>
            <w:tcW w:w="842" w:type="dxa"/>
          </w:tcPr>
          <w:p w14:paraId="329BBF06" w14:textId="77777777" w:rsidR="00802F03" w:rsidRPr="00802F03" w:rsidRDefault="00802F03" w:rsidP="00802F03">
            <w:pPr>
              <w:ind w:right="-57"/>
              <w:jc w:val="right"/>
              <w:rPr>
                <w:sz w:val="16"/>
                <w:szCs w:val="16"/>
              </w:rPr>
            </w:pPr>
            <w:r w:rsidRPr="00802F03">
              <w:rPr>
                <w:sz w:val="16"/>
                <w:szCs w:val="16"/>
              </w:rPr>
              <w:t>22 078.9</w:t>
            </w:r>
          </w:p>
        </w:tc>
        <w:tc>
          <w:tcPr>
            <w:tcW w:w="859" w:type="dxa"/>
          </w:tcPr>
          <w:p w14:paraId="1BFC06EC" w14:textId="77777777" w:rsidR="00802F03" w:rsidRPr="00802F03" w:rsidRDefault="00802F03" w:rsidP="00802F03">
            <w:pPr>
              <w:ind w:right="-57"/>
              <w:jc w:val="right"/>
              <w:rPr>
                <w:sz w:val="16"/>
                <w:szCs w:val="16"/>
              </w:rPr>
            </w:pPr>
            <w:r w:rsidRPr="00802F03">
              <w:rPr>
                <w:sz w:val="16"/>
                <w:szCs w:val="16"/>
              </w:rPr>
              <w:t>0.0</w:t>
            </w:r>
          </w:p>
        </w:tc>
        <w:tc>
          <w:tcPr>
            <w:tcW w:w="992" w:type="dxa"/>
          </w:tcPr>
          <w:p w14:paraId="2EA258FD" w14:textId="77777777" w:rsidR="00802F03" w:rsidRPr="00802F03" w:rsidRDefault="00802F03" w:rsidP="00802F03">
            <w:pPr>
              <w:jc w:val="right"/>
              <w:rPr>
                <w:sz w:val="16"/>
                <w:szCs w:val="16"/>
              </w:rPr>
            </w:pPr>
            <w:r w:rsidRPr="00802F03">
              <w:rPr>
                <w:sz w:val="16"/>
                <w:szCs w:val="16"/>
              </w:rPr>
              <w:t>97 109.4</w:t>
            </w:r>
          </w:p>
        </w:tc>
      </w:tr>
      <w:tr w:rsidR="00802F03" w:rsidRPr="00802F03" w14:paraId="4A49FB11" w14:textId="77777777" w:rsidTr="00892FE5">
        <w:tc>
          <w:tcPr>
            <w:tcW w:w="1276" w:type="dxa"/>
          </w:tcPr>
          <w:p w14:paraId="21CB56AA" w14:textId="77777777" w:rsidR="00802F03" w:rsidRPr="00802F03" w:rsidRDefault="00802F03" w:rsidP="00802F03">
            <w:pPr>
              <w:rPr>
                <w:sz w:val="16"/>
                <w:szCs w:val="16"/>
              </w:rPr>
            </w:pPr>
            <w:r w:rsidRPr="00802F03">
              <w:rPr>
                <w:sz w:val="16"/>
                <w:szCs w:val="16"/>
              </w:rPr>
              <w:t>PensionISSSTE</w:t>
            </w:r>
          </w:p>
        </w:tc>
        <w:tc>
          <w:tcPr>
            <w:tcW w:w="992" w:type="dxa"/>
          </w:tcPr>
          <w:p w14:paraId="10C86D69" w14:textId="77777777" w:rsidR="00802F03" w:rsidRPr="00802F03" w:rsidRDefault="00802F03" w:rsidP="004257D5">
            <w:pPr>
              <w:ind w:right="-57"/>
              <w:jc w:val="center"/>
              <w:rPr>
                <w:sz w:val="16"/>
                <w:szCs w:val="16"/>
              </w:rPr>
            </w:pPr>
            <w:r w:rsidRPr="00802F03">
              <w:rPr>
                <w:sz w:val="16"/>
                <w:szCs w:val="16"/>
              </w:rPr>
              <w:t>0</w:t>
            </w:r>
          </w:p>
        </w:tc>
        <w:tc>
          <w:tcPr>
            <w:tcW w:w="851" w:type="dxa"/>
          </w:tcPr>
          <w:p w14:paraId="741A0AB7" w14:textId="77777777" w:rsidR="00802F03" w:rsidRPr="00802F03" w:rsidRDefault="00802F03" w:rsidP="00802F03">
            <w:pPr>
              <w:ind w:right="-57"/>
              <w:jc w:val="right"/>
              <w:rPr>
                <w:sz w:val="16"/>
                <w:szCs w:val="16"/>
              </w:rPr>
            </w:pPr>
            <w:r w:rsidRPr="00802F03">
              <w:rPr>
                <w:sz w:val="16"/>
                <w:szCs w:val="16"/>
              </w:rPr>
              <w:t>7 128.5</w:t>
            </w:r>
          </w:p>
        </w:tc>
        <w:tc>
          <w:tcPr>
            <w:tcW w:w="850" w:type="dxa"/>
          </w:tcPr>
          <w:p w14:paraId="261A09D0" w14:textId="77777777" w:rsidR="00802F03" w:rsidRPr="00802F03" w:rsidRDefault="00802F03" w:rsidP="00802F03">
            <w:pPr>
              <w:ind w:right="-57"/>
              <w:jc w:val="right"/>
              <w:rPr>
                <w:sz w:val="16"/>
                <w:szCs w:val="16"/>
              </w:rPr>
            </w:pPr>
            <w:r w:rsidRPr="00802F03">
              <w:rPr>
                <w:sz w:val="16"/>
                <w:szCs w:val="16"/>
              </w:rPr>
              <w:t>0</w:t>
            </w:r>
          </w:p>
        </w:tc>
        <w:tc>
          <w:tcPr>
            <w:tcW w:w="851" w:type="dxa"/>
          </w:tcPr>
          <w:p w14:paraId="4FF749CD" w14:textId="77777777" w:rsidR="00802F03" w:rsidRPr="00802F03" w:rsidRDefault="00802F03" w:rsidP="00802F03">
            <w:pPr>
              <w:ind w:right="-57"/>
              <w:jc w:val="right"/>
              <w:rPr>
                <w:sz w:val="16"/>
                <w:szCs w:val="16"/>
              </w:rPr>
            </w:pPr>
            <w:r w:rsidRPr="00802F03">
              <w:rPr>
                <w:sz w:val="16"/>
                <w:szCs w:val="16"/>
              </w:rPr>
              <w:t>991.1</w:t>
            </w:r>
          </w:p>
        </w:tc>
        <w:tc>
          <w:tcPr>
            <w:tcW w:w="984" w:type="dxa"/>
          </w:tcPr>
          <w:p w14:paraId="5CD7241F" w14:textId="77777777" w:rsidR="00802F03" w:rsidRPr="00802F03" w:rsidRDefault="00802F03" w:rsidP="00802F03">
            <w:pPr>
              <w:ind w:right="-57"/>
              <w:jc w:val="right"/>
              <w:rPr>
                <w:sz w:val="16"/>
                <w:szCs w:val="16"/>
              </w:rPr>
            </w:pPr>
            <w:r w:rsidRPr="00802F03">
              <w:rPr>
                <w:sz w:val="16"/>
                <w:szCs w:val="16"/>
              </w:rPr>
              <w:t>114 421.4</w:t>
            </w:r>
          </w:p>
        </w:tc>
        <w:tc>
          <w:tcPr>
            <w:tcW w:w="859" w:type="dxa"/>
          </w:tcPr>
          <w:p w14:paraId="4491B39F" w14:textId="77777777" w:rsidR="00802F03" w:rsidRPr="00802F03" w:rsidRDefault="00802F03" w:rsidP="00802F03">
            <w:pPr>
              <w:ind w:right="-57"/>
              <w:jc w:val="right"/>
              <w:rPr>
                <w:sz w:val="16"/>
                <w:szCs w:val="16"/>
              </w:rPr>
            </w:pPr>
            <w:r w:rsidRPr="00802F03">
              <w:rPr>
                <w:sz w:val="16"/>
                <w:szCs w:val="16"/>
              </w:rPr>
              <w:t>100 683.6</w:t>
            </w:r>
          </w:p>
        </w:tc>
        <w:tc>
          <w:tcPr>
            <w:tcW w:w="842" w:type="dxa"/>
          </w:tcPr>
          <w:p w14:paraId="24A4A5FE" w14:textId="77777777" w:rsidR="00802F03" w:rsidRPr="00802F03" w:rsidRDefault="00802F03" w:rsidP="00802F03">
            <w:pPr>
              <w:ind w:right="-57"/>
              <w:jc w:val="right"/>
              <w:rPr>
                <w:sz w:val="16"/>
                <w:szCs w:val="16"/>
              </w:rPr>
            </w:pPr>
            <w:r w:rsidRPr="00802F03">
              <w:rPr>
                <w:sz w:val="16"/>
                <w:szCs w:val="16"/>
              </w:rPr>
              <w:t>112 043.0</w:t>
            </w:r>
          </w:p>
        </w:tc>
        <w:tc>
          <w:tcPr>
            <w:tcW w:w="859" w:type="dxa"/>
          </w:tcPr>
          <w:p w14:paraId="5B80C2D6" w14:textId="77777777" w:rsidR="00802F03" w:rsidRPr="00802F03" w:rsidRDefault="00802F03" w:rsidP="00802F03">
            <w:pPr>
              <w:ind w:right="-57"/>
              <w:jc w:val="right"/>
              <w:rPr>
                <w:sz w:val="16"/>
                <w:szCs w:val="16"/>
              </w:rPr>
            </w:pPr>
            <w:r w:rsidRPr="00802F03">
              <w:rPr>
                <w:sz w:val="16"/>
                <w:szCs w:val="16"/>
              </w:rPr>
              <w:t>0.0</w:t>
            </w:r>
          </w:p>
        </w:tc>
        <w:tc>
          <w:tcPr>
            <w:tcW w:w="992" w:type="dxa"/>
          </w:tcPr>
          <w:p w14:paraId="75BF631B" w14:textId="77777777" w:rsidR="00802F03" w:rsidRPr="00802F03" w:rsidRDefault="00802F03" w:rsidP="00802F03">
            <w:pPr>
              <w:jc w:val="right"/>
              <w:rPr>
                <w:sz w:val="16"/>
                <w:szCs w:val="16"/>
              </w:rPr>
            </w:pPr>
            <w:r w:rsidRPr="00802F03">
              <w:rPr>
                <w:sz w:val="16"/>
                <w:szCs w:val="16"/>
              </w:rPr>
              <w:t>327 148.1</w:t>
            </w:r>
          </w:p>
        </w:tc>
      </w:tr>
      <w:tr w:rsidR="00802F03" w:rsidRPr="00802F03" w14:paraId="739DABE5" w14:textId="77777777" w:rsidTr="00892FE5">
        <w:tc>
          <w:tcPr>
            <w:tcW w:w="1276" w:type="dxa"/>
          </w:tcPr>
          <w:p w14:paraId="1331A98C" w14:textId="77777777" w:rsidR="00802F03" w:rsidRPr="00802F03" w:rsidRDefault="00802F03" w:rsidP="00802F03">
            <w:pPr>
              <w:rPr>
                <w:sz w:val="16"/>
                <w:szCs w:val="16"/>
              </w:rPr>
            </w:pPr>
            <w:r w:rsidRPr="00802F03">
              <w:rPr>
                <w:sz w:val="16"/>
                <w:szCs w:val="16"/>
              </w:rPr>
              <w:t>Principal</w:t>
            </w:r>
          </w:p>
        </w:tc>
        <w:tc>
          <w:tcPr>
            <w:tcW w:w="992" w:type="dxa"/>
          </w:tcPr>
          <w:p w14:paraId="734228B0" w14:textId="77777777" w:rsidR="00802F03" w:rsidRPr="00802F03" w:rsidRDefault="00802F03" w:rsidP="004257D5">
            <w:pPr>
              <w:ind w:right="-57"/>
              <w:jc w:val="center"/>
              <w:rPr>
                <w:sz w:val="16"/>
                <w:szCs w:val="16"/>
              </w:rPr>
            </w:pPr>
            <w:r w:rsidRPr="00802F03">
              <w:rPr>
                <w:sz w:val="16"/>
                <w:szCs w:val="16"/>
              </w:rPr>
              <w:t>0</w:t>
            </w:r>
          </w:p>
        </w:tc>
        <w:tc>
          <w:tcPr>
            <w:tcW w:w="851" w:type="dxa"/>
          </w:tcPr>
          <w:p w14:paraId="4C1FD70E" w14:textId="77777777" w:rsidR="00802F03" w:rsidRPr="00802F03" w:rsidRDefault="00802F03" w:rsidP="00802F03">
            <w:pPr>
              <w:ind w:right="-57"/>
              <w:jc w:val="right"/>
              <w:rPr>
                <w:sz w:val="16"/>
                <w:szCs w:val="16"/>
              </w:rPr>
            </w:pPr>
            <w:r w:rsidRPr="00802F03">
              <w:rPr>
                <w:sz w:val="16"/>
                <w:szCs w:val="16"/>
              </w:rPr>
              <w:t>597.5</w:t>
            </w:r>
          </w:p>
        </w:tc>
        <w:tc>
          <w:tcPr>
            <w:tcW w:w="850" w:type="dxa"/>
          </w:tcPr>
          <w:p w14:paraId="7C8A1C4F" w14:textId="77777777" w:rsidR="00802F03" w:rsidRPr="00802F03" w:rsidRDefault="00802F03" w:rsidP="00802F03">
            <w:pPr>
              <w:ind w:right="-57"/>
              <w:jc w:val="right"/>
              <w:rPr>
                <w:sz w:val="16"/>
                <w:szCs w:val="16"/>
              </w:rPr>
            </w:pPr>
            <w:r w:rsidRPr="00802F03">
              <w:rPr>
                <w:sz w:val="16"/>
                <w:szCs w:val="16"/>
              </w:rPr>
              <w:t>0</w:t>
            </w:r>
          </w:p>
        </w:tc>
        <w:tc>
          <w:tcPr>
            <w:tcW w:w="851" w:type="dxa"/>
          </w:tcPr>
          <w:p w14:paraId="596CF5F0" w14:textId="77777777" w:rsidR="00802F03" w:rsidRPr="00802F03" w:rsidRDefault="00802F03" w:rsidP="00802F03">
            <w:pPr>
              <w:ind w:right="-57"/>
              <w:jc w:val="right"/>
              <w:rPr>
                <w:sz w:val="16"/>
                <w:szCs w:val="16"/>
              </w:rPr>
            </w:pPr>
            <w:r w:rsidRPr="00802F03">
              <w:rPr>
                <w:sz w:val="16"/>
                <w:szCs w:val="16"/>
              </w:rPr>
              <w:t>1 328.4</w:t>
            </w:r>
          </w:p>
        </w:tc>
        <w:tc>
          <w:tcPr>
            <w:tcW w:w="984" w:type="dxa"/>
          </w:tcPr>
          <w:p w14:paraId="4423E01D" w14:textId="77777777" w:rsidR="00802F03" w:rsidRPr="00802F03" w:rsidRDefault="00802F03" w:rsidP="00802F03">
            <w:pPr>
              <w:ind w:right="-57"/>
              <w:jc w:val="right"/>
              <w:rPr>
                <w:sz w:val="16"/>
                <w:szCs w:val="16"/>
              </w:rPr>
            </w:pPr>
            <w:r w:rsidRPr="00802F03">
              <w:rPr>
                <w:sz w:val="16"/>
                <w:szCs w:val="16"/>
              </w:rPr>
              <w:t>150 410.6</w:t>
            </w:r>
          </w:p>
        </w:tc>
        <w:tc>
          <w:tcPr>
            <w:tcW w:w="859" w:type="dxa"/>
          </w:tcPr>
          <w:p w14:paraId="2F598FE7" w14:textId="77777777" w:rsidR="00802F03" w:rsidRPr="00802F03" w:rsidRDefault="00802F03" w:rsidP="00802F03">
            <w:pPr>
              <w:ind w:right="-57"/>
              <w:jc w:val="right"/>
              <w:rPr>
                <w:sz w:val="16"/>
                <w:szCs w:val="16"/>
              </w:rPr>
            </w:pPr>
            <w:r w:rsidRPr="00802F03">
              <w:rPr>
                <w:sz w:val="16"/>
                <w:szCs w:val="16"/>
              </w:rPr>
              <w:t>2 942.7</w:t>
            </w:r>
          </w:p>
        </w:tc>
        <w:tc>
          <w:tcPr>
            <w:tcW w:w="842" w:type="dxa"/>
          </w:tcPr>
          <w:p w14:paraId="19F262D1" w14:textId="77777777" w:rsidR="00802F03" w:rsidRPr="00802F03" w:rsidRDefault="00802F03" w:rsidP="00802F03">
            <w:pPr>
              <w:ind w:right="-57"/>
              <w:jc w:val="right"/>
              <w:rPr>
                <w:sz w:val="16"/>
                <w:szCs w:val="16"/>
              </w:rPr>
            </w:pPr>
            <w:r w:rsidRPr="00802F03">
              <w:rPr>
                <w:sz w:val="16"/>
                <w:szCs w:val="16"/>
              </w:rPr>
              <w:t>53 391.9</w:t>
            </w:r>
          </w:p>
        </w:tc>
        <w:tc>
          <w:tcPr>
            <w:tcW w:w="859" w:type="dxa"/>
          </w:tcPr>
          <w:p w14:paraId="02C5B3DC" w14:textId="77777777" w:rsidR="00802F03" w:rsidRPr="00802F03" w:rsidRDefault="00802F03" w:rsidP="00802F03">
            <w:pPr>
              <w:ind w:right="-57"/>
              <w:jc w:val="right"/>
              <w:rPr>
                <w:sz w:val="16"/>
                <w:szCs w:val="16"/>
              </w:rPr>
            </w:pPr>
            <w:r w:rsidRPr="00802F03">
              <w:rPr>
                <w:sz w:val="16"/>
                <w:szCs w:val="16"/>
              </w:rPr>
              <w:t>0.0</w:t>
            </w:r>
          </w:p>
        </w:tc>
        <w:tc>
          <w:tcPr>
            <w:tcW w:w="992" w:type="dxa"/>
          </w:tcPr>
          <w:p w14:paraId="7591C0C8" w14:textId="77777777" w:rsidR="00802F03" w:rsidRPr="00802F03" w:rsidRDefault="00802F03" w:rsidP="00802F03">
            <w:pPr>
              <w:jc w:val="right"/>
              <w:rPr>
                <w:sz w:val="16"/>
                <w:szCs w:val="16"/>
              </w:rPr>
            </w:pPr>
            <w:r w:rsidRPr="00802F03">
              <w:rPr>
                <w:sz w:val="16"/>
                <w:szCs w:val="16"/>
              </w:rPr>
              <w:t>206 745.2</w:t>
            </w:r>
          </w:p>
        </w:tc>
      </w:tr>
      <w:tr w:rsidR="00802F03" w:rsidRPr="00802F03" w14:paraId="45498D33" w14:textId="77777777" w:rsidTr="00892FE5">
        <w:tc>
          <w:tcPr>
            <w:tcW w:w="1276" w:type="dxa"/>
          </w:tcPr>
          <w:p w14:paraId="02D86F0D" w14:textId="77777777" w:rsidR="00802F03" w:rsidRPr="00802F03" w:rsidRDefault="00802F03" w:rsidP="00802F03">
            <w:pPr>
              <w:rPr>
                <w:sz w:val="16"/>
                <w:szCs w:val="16"/>
              </w:rPr>
            </w:pPr>
            <w:r w:rsidRPr="00802F03">
              <w:rPr>
                <w:sz w:val="16"/>
                <w:szCs w:val="16"/>
              </w:rPr>
              <w:t>Profuturo GNP</w:t>
            </w:r>
          </w:p>
        </w:tc>
        <w:tc>
          <w:tcPr>
            <w:tcW w:w="992" w:type="dxa"/>
          </w:tcPr>
          <w:p w14:paraId="4428E6C4" w14:textId="77777777" w:rsidR="00802F03" w:rsidRPr="00802F03" w:rsidRDefault="00802F03" w:rsidP="004257D5">
            <w:pPr>
              <w:ind w:right="-57"/>
              <w:jc w:val="center"/>
              <w:rPr>
                <w:sz w:val="16"/>
                <w:szCs w:val="16"/>
              </w:rPr>
            </w:pPr>
            <w:r w:rsidRPr="00802F03">
              <w:rPr>
                <w:sz w:val="16"/>
                <w:szCs w:val="16"/>
              </w:rPr>
              <w:t>0</w:t>
            </w:r>
          </w:p>
        </w:tc>
        <w:tc>
          <w:tcPr>
            <w:tcW w:w="851" w:type="dxa"/>
          </w:tcPr>
          <w:p w14:paraId="7029CB03" w14:textId="77777777" w:rsidR="00802F03" w:rsidRPr="00802F03" w:rsidRDefault="00802F03" w:rsidP="00802F03">
            <w:pPr>
              <w:ind w:right="-57"/>
              <w:jc w:val="right"/>
              <w:rPr>
                <w:sz w:val="16"/>
                <w:szCs w:val="16"/>
              </w:rPr>
            </w:pPr>
            <w:r w:rsidRPr="00802F03">
              <w:rPr>
                <w:sz w:val="16"/>
                <w:szCs w:val="16"/>
              </w:rPr>
              <w:t>2 203.6</w:t>
            </w:r>
          </w:p>
        </w:tc>
        <w:tc>
          <w:tcPr>
            <w:tcW w:w="850" w:type="dxa"/>
          </w:tcPr>
          <w:p w14:paraId="0E5E32D2" w14:textId="77777777" w:rsidR="00802F03" w:rsidRPr="00802F03" w:rsidRDefault="00802F03" w:rsidP="00802F03">
            <w:pPr>
              <w:ind w:right="-57"/>
              <w:jc w:val="right"/>
              <w:rPr>
                <w:sz w:val="16"/>
                <w:szCs w:val="16"/>
              </w:rPr>
            </w:pPr>
            <w:r w:rsidRPr="00802F03">
              <w:rPr>
                <w:sz w:val="16"/>
                <w:szCs w:val="16"/>
              </w:rPr>
              <w:t>0</w:t>
            </w:r>
          </w:p>
        </w:tc>
        <w:tc>
          <w:tcPr>
            <w:tcW w:w="851" w:type="dxa"/>
          </w:tcPr>
          <w:p w14:paraId="4ED05829" w14:textId="77777777" w:rsidR="00802F03" w:rsidRPr="00802F03" w:rsidRDefault="00802F03" w:rsidP="00802F03">
            <w:pPr>
              <w:ind w:right="-57"/>
              <w:jc w:val="right"/>
              <w:rPr>
                <w:sz w:val="16"/>
                <w:szCs w:val="16"/>
              </w:rPr>
            </w:pPr>
            <w:r w:rsidRPr="00802F03">
              <w:rPr>
                <w:sz w:val="16"/>
                <w:szCs w:val="16"/>
              </w:rPr>
              <w:t>2 241.6</w:t>
            </w:r>
          </w:p>
        </w:tc>
        <w:tc>
          <w:tcPr>
            <w:tcW w:w="984" w:type="dxa"/>
          </w:tcPr>
          <w:p w14:paraId="29D30DBD" w14:textId="77777777" w:rsidR="00802F03" w:rsidRPr="00802F03" w:rsidRDefault="00802F03" w:rsidP="00802F03">
            <w:pPr>
              <w:ind w:right="-57"/>
              <w:jc w:val="right"/>
              <w:rPr>
                <w:sz w:val="16"/>
                <w:szCs w:val="16"/>
              </w:rPr>
            </w:pPr>
            <w:r w:rsidRPr="00802F03">
              <w:rPr>
                <w:sz w:val="16"/>
                <w:szCs w:val="16"/>
              </w:rPr>
              <w:t>306 976.9</w:t>
            </w:r>
          </w:p>
        </w:tc>
        <w:tc>
          <w:tcPr>
            <w:tcW w:w="859" w:type="dxa"/>
          </w:tcPr>
          <w:p w14:paraId="20C2D445" w14:textId="77777777" w:rsidR="00802F03" w:rsidRPr="00802F03" w:rsidRDefault="00802F03" w:rsidP="00802F03">
            <w:pPr>
              <w:ind w:right="-57"/>
              <w:jc w:val="right"/>
              <w:rPr>
                <w:sz w:val="16"/>
                <w:szCs w:val="16"/>
              </w:rPr>
            </w:pPr>
            <w:r w:rsidRPr="00802F03">
              <w:rPr>
                <w:sz w:val="16"/>
                <w:szCs w:val="16"/>
              </w:rPr>
              <w:t>6 900.5</w:t>
            </w:r>
          </w:p>
        </w:tc>
        <w:tc>
          <w:tcPr>
            <w:tcW w:w="842" w:type="dxa"/>
          </w:tcPr>
          <w:p w14:paraId="6D560EEA" w14:textId="77777777" w:rsidR="00802F03" w:rsidRPr="00802F03" w:rsidRDefault="00802F03" w:rsidP="00802F03">
            <w:pPr>
              <w:ind w:right="-57"/>
              <w:jc w:val="right"/>
              <w:rPr>
                <w:sz w:val="16"/>
                <w:szCs w:val="16"/>
              </w:rPr>
            </w:pPr>
            <w:r w:rsidRPr="00802F03">
              <w:rPr>
                <w:sz w:val="16"/>
                <w:szCs w:val="16"/>
              </w:rPr>
              <w:t>85 959.2</w:t>
            </w:r>
          </w:p>
        </w:tc>
        <w:tc>
          <w:tcPr>
            <w:tcW w:w="859" w:type="dxa"/>
          </w:tcPr>
          <w:p w14:paraId="19871B86" w14:textId="77777777" w:rsidR="00802F03" w:rsidRPr="00802F03" w:rsidRDefault="00802F03" w:rsidP="00802F03">
            <w:pPr>
              <w:ind w:right="-57"/>
              <w:jc w:val="right"/>
              <w:rPr>
                <w:sz w:val="16"/>
                <w:szCs w:val="16"/>
              </w:rPr>
            </w:pPr>
            <w:r w:rsidRPr="00802F03">
              <w:rPr>
                <w:sz w:val="16"/>
                <w:szCs w:val="16"/>
              </w:rPr>
              <w:t>0.0</w:t>
            </w:r>
          </w:p>
        </w:tc>
        <w:tc>
          <w:tcPr>
            <w:tcW w:w="992" w:type="dxa"/>
          </w:tcPr>
          <w:p w14:paraId="6F37A889" w14:textId="77777777" w:rsidR="00802F03" w:rsidRPr="00802F03" w:rsidRDefault="00802F03" w:rsidP="00802F03">
            <w:pPr>
              <w:jc w:val="right"/>
              <w:rPr>
                <w:sz w:val="16"/>
                <w:szCs w:val="16"/>
              </w:rPr>
            </w:pPr>
            <w:r w:rsidRPr="00802F03">
              <w:rPr>
                <w:sz w:val="16"/>
                <w:szCs w:val="16"/>
              </w:rPr>
              <w:t>399 836.6</w:t>
            </w:r>
          </w:p>
        </w:tc>
      </w:tr>
      <w:tr w:rsidR="00802F03" w:rsidRPr="00802F03" w14:paraId="134F3E9E" w14:textId="77777777" w:rsidTr="00892FE5">
        <w:tc>
          <w:tcPr>
            <w:tcW w:w="1276" w:type="dxa"/>
          </w:tcPr>
          <w:p w14:paraId="31BABA11" w14:textId="77777777" w:rsidR="00802F03" w:rsidRPr="00802F03" w:rsidRDefault="00802F03" w:rsidP="00802F03">
            <w:pPr>
              <w:rPr>
                <w:sz w:val="16"/>
                <w:szCs w:val="16"/>
              </w:rPr>
            </w:pPr>
            <w:r w:rsidRPr="00802F03">
              <w:rPr>
                <w:sz w:val="16"/>
                <w:szCs w:val="16"/>
              </w:rPr>
              <w:t>SURA</w:t>
            </w:r>
          </w:p>
        </w:tc>
        <w:tc>
          <w:tcPr>
            <w:tcW w:w="992" w:type="dxa"/>
          </w:tcPr>
          <w:p w14:paraId="6380DE2A" w14:textId="77777777" w:rsidR="00802F03" w:rsidRPr="00802F03" w:rsidRDefault="00802F03" w:rsidP="004257D5">
            <w:pPr>
              <w:ind w:right="-57"/>
              <w:jc w:val="center"/>
              <w:rPr>
                <w:sz w:val="16"/>
                <w:szCs w:val="16"/>
              </w:rPr>
            </w:pPr>
            <w:r w:rsidRPr="00802F03">
              <w:rPr>
                <w:sz w:val="16"/>
                <w:szCs w:val="16"/>
              </w:rPr>
              <w:t>0</w:t>
            </w:r>
          </w:p>
        </w:tc>
        <w:tc>
          <w:tcPr>
            <w:tcW w:w="851" w:type="dxa"/>
          </w:tcPr>
          <w:p w14:paraId="61D7CFBE" w14:textId="77777777" w:rsidR="00802F03" w:rsidRPr="00802F03" w:rsidRDefault="00802F03" w:rsidP="00802F03">
            <w:pPr>
              <w:ind w:right="-57"/>
              <w:jc w:val="right"/>
              <w:rPr>
                <w:sz w:val="16"/>
                <w:szCs w:val="16"/>
              </w:rPr>
            </w:pPr>
            <w:r w:rsidRPr="00802F03">
              <w:rPr>
                <w:sz w:val="16"/>
                <w:szCs w:val="16"/>
              </w:rPr>
              <w:t>2 903.1</w:t>
            </w:r>
          </w:p>
        </w:tc>
        <w:tc>
          <w:tcPr>
            <w:tcW w:w="850" w:type="dxa"/>
          </w:tcPr>
          <w:p w14:paraId="2F4987BD" w14:textId="77777777" w:rsidR="00802F03" w:rsidRPr="00802F03" w:rsidRDefault="00802F03" w:rsidP="00802F03">
            <w:pPr>
              <w:ind w:right="-57"/>
              <w:jc w:val="right"/>
              <w:rPr>
                <w:sz w:val="16"/>
                <w:szCs w:val="16"/>
              </w:rPr>
            </w:pPr>
            <w:r w:rsidRPr="00802F03">
              <w:rPr>
                <w:sz w:val="16"/>
                <w:szCs w:val="16"/>
              </w:rPr>
              <w:t>0</w:t>
            </w:r>
          </w:p>
        </w:tc>
        <w:tc>
          <w:tcPr>
            <w:tcW w:w="851" w:type="dxa"/>
          </w:tcPr>
          <w:p w14:paraId="32E91DBA" w14:textId="77777777" w:rsidR="00802F03" w:rsidRPr="00802F03" w:rsidRDefault="00802F03" w:rsidP="00802F03">
            <w:pPr>
              <w:ind w:right="-57"/>
              <w:jc w:val="right"/>
              <w:rPr>
                <w:sz w:val="16"/>
                <w:szCs w:val="16"/>
              </w:rPr>
            </w:pPr>
            <w:r w:rsidRPr="00802F03">
              <w:rPr>
                <w:sz w:val="16"/>
                <w:szCs w:val="16"/>
              </w:rPr>
              <w:t>2 930.0</w:t>
            </w:r>
          </w:p>
        </w:tc>
        <w:tc>
          <w:tcPr>
            <w:tcW w:w="984" w:type="dxa"/>
          </w:tcPr>
          <w:p w14:paraId="342627A9" w14:textId="77777777" w:rsidR="00802F03" w:rsidRPr="00802F03" w:rsidRDefault="00802F03" w:rsidP="00802F03">
            <w:pPr>
              <w:ind w:right="-57"/>
              <w:jc w:val="right"/>
              <w:rPr>
                <w:sz w:val="16"/>
                <w:szCs w:val="16"/>
              </w:rPr>
            </w:pPr>
            <w:r w:rsidRPr="00802F03">
              <w:rPr>
                <w:sz w:val="16"/>
                <w:szCs w:val="16"/>
              </w:rPr>
              <w:t>365 168.1</w:t>
            </w:r>
          </w:p>
        </w:tc>
        <w:tc>
          <w:tcPr>
            <w:tcW w:w="859" w:type="dxa"/>
          </w:tcPr>
          <w:p w14:paraId="36CC55FD" w14:textId="77777777" w:rsidR="00802F03" w:rsidRPr="00802F03" w:rsidRDefault="00802F03" w:rsidP="00802F03">
            <w:pPr>
              <w:ind w:right="-57"/>
              <w:jc w:val="right"/>
              <w:rPr>
                <w:sz w:val="16"/>
                <w:szCs w:val="16"/>
              </w:rPr>
            </w:pPr>
            <w:r w:rsidRPr="00802F03">
              <w:rPr>
                <w:sz w:val="16"/>
                <w:szCs w:val="16"/>
              </w:rPr>
              <w:t>5 054.7</w:t>
            </w:r>
          </w:p>
        </w:tc>
        <w:tc>
          <w:tcPr>
            <w:tcW w:w="842" w:type="dxa"/>
          </w:tcPr>
          <w:p w14:paraId="580B8B59" w14:textId="77777777" w:rsidR="00802F03" w:rsidRPr="00802F03" w:rsidRDefault="00802F03" w:rsidP="00802F03">
            <w:pPr>
              <w:ind w:right="-57"/>
              <w:jc w:val="right"/>
              <w:rPr>
                <w:sz w:val="16"/>
                <w:szCs w:val="16"/>
              </w:rPr>
            </w:pPr>
            <w:r w:rsidRPr="00802F03">
              <w:rPr>
                <w:sz w:val="16"/>
                <w:szCs w:val="16"/>
              </w:rPr>
              <w:t>114 645.8</w:t>
            </w:r>
          </w:p>
        </w:tc>
        <w:tc>
          <w:tcPr>
            <w:tcW w:w="859" w:type="dxa"/>
          </w:tcPr>
          <w:p w14:paraId="4DEDB743" w14:textId="77777777" w:rsidR="00802F03" w:rsidRPr="00802F03" w:rsidRDefault="00802F03" w:rsidP="00802F03">
            <w:pPr>
              <w:ind w:right="-57"/>
              <w:jc w:val="right"/>
              <w:rPr>
                <w:sz w:val="16"/>
                <w:szCs w:val="16"/>
              </w:rPr>
            </w:pPr>
            <w:r w:rsidRPr="00802F03">
              <w:rPr>
                <w:sz w:val="16"/>
                <w:szCs w:val="16"/>
              </w:rPr>
              <w:t>0.0</w:t>
            </w:r>
          </w:p>
        </w:tc>
        <w:tc>
          <w:tcPr>
            <w:tcW w:w="992" w:type="dxa"/>
          </w:tcPr>
          <w:p w14:paraId="339C6EB1" w14:textId="77777777" w:rsidR="00802F03" w:rsidRPr="00802F03" w:rsidRDefault="00802F03" w:rsidP="00802F03">
            <w:pPr>
              <w:jc w:val="right"/>
              <w:rPr>
                <w:sz w:val="16"/>
                <w:szCs w:val="16"/>
              </w:rPr>
            </w:pPr>
            <w:r w:rsidRPr="00802F03">
              <w:rPr>
                <w:sz w:val="16"/>
                <w:szCs w:val="16"/>
              </w:rPr>
              <w:t>484 868.6</w:t>
            </w:r>
          </w:p>
        </w:tc>
      </w:tr>
      <w:tr w:rsidR="00802F03" w:rsidRPr="00802F03" w14:paraId="13D6D515" w14:textId="77777777" w:rsidTr="00892FE5">
        <w:tc>
          <w:tcPr>
            <w:tcW w:w="1276" w:type="dxa"/>
          </w:tcPr>
          <w:p w14:paraId="6221DD5B" w14:textId="77777777" w:rsidR="00802F03" w:rsidRPr="00802F03" w:rsidRDefault="00802F03" w:rsidP="00802F03">
            <w:pPr>
              <w:rPr>
                <w:sz w:val="16"/>
                <w:szCs w:val="16"/>
              </w:rPr>
            </w:pPr>
            <w:r w:rsidRPr="00802F03">
              <w:rPr>
                <w:sz w:val="16"/>
                <w:szCs w:val="16"/>
              </w:rPr>
              <w:t>XXI Banorte</w:t>
            </w:r>
          </w:p>
        </w:tc>
        <w:tc>
          <w:tcPr>
            <w:tcW w:w="992" w:type="dxa"/>
          </w:tcPr>
          <w:p w14:paraId="4835E179" w14:textId="77777777" w:rsidR="00802F03" w:rsidRPr="00802F03" w:rsidRDefault="00802F03" w:rsidP="004257D5">
            <w:pPr>
              <w:ind w:right="-57"/>
              <w:jc w:val="center"/>
              <w:rPr>
                <w:sz w:val="16"/>
                <w:szCs w:val="16"/>
              </w:rPr>
            </w:pPr>
            <w:r w:rsidRPr="00802F03">
              <w:rPr>
                <w:sz w:val="16"/>
                <w:szCs w:val="16"/>
              </w:rPr>
              <w:t>0</w:t>
            </w:r>
          </w:p>
        </w:tc>
        <w:tc>
          <w:tcPr>
            <w:tcW w:w="851" w:type="dxa"/>
          </w:tcPr>
          <w:p w14:paraId="5617AAA2" w14:textId="77777777" w:rsidR="00802F03" w:rsidRPr="00802F03" w:rsidRDefault="00802F03" w:rsidP="00802F03">
            <w:pPr>
              <w:ind w:right="-57"/>
              <w:jc w:val="right"/>
              <w:rPr>
                <w:sz w:val="16"/>
                <w:szCs w:val="16"/>
              </w:rPr>
            </w:pPr>
            <w:r w:rsidRPr="00802F03">
              <w:rPr>
                <w:sz w:val="16"/>
                <w:szCs w:val="16"/>
              </w:rPr>
              <w:t>10 210.8</w:t>
            </w:r>
          </w:p>
        </w:tc>
        <w:tc>
          <w:tcPr>
            <w:tcW w:w="850" w:type="dxa"/>
          </w:tcPr>
          <w:p w14:paraId="64F9F439" w14:textId="77777777" w:rsidR="00802F03" w:rsidRPr="00802F03" w:rsidRDefault="00802F03" w:rsidP="00802F03">
            <w:pPr>
              <w:ind w:right="-57"/>
              <w:jc w:val="right"/>
              <w:rPr>
                <w:sz w:val="16"/>
                <w:szCs w:val="16"/>
              </w:rPr>
            </w:pPr>
            <w:r w:rsidRPr="00802F03">
              <w:rPr>
                <w:sz w:val="16"/>
                <w:szCs w:val="16"/>
              </w:rPr>
              <w:t>32 741.4</w:t>
            </w:r>
          </w:p>
        </w:tc>
        <w:tc>
          <w:tcPr>
            <w:tcW w:w="851" w:type="dxa"/>
          </w:tcPr>
          <w:p w14:paraId="641B13B5" w14:textId="77777777" w:rsidR="00802F03" w:rsidRPr="00802F03" w:rsidRDefault="00802F03" w:rsidP="00802F03">
            <w:pPr>
              <w:ind w:right="-57"/>
              <w:jc w:val="right"/>
              <w:rPr>
                <w:sz w:val="16"/>
                <w:szCs w:val="16"/>
              </w:rPr>
            </w:pPr>
            <w:r w:rsidRPr="00802F03">
              <w:rPr>
                <w:sz w:val="16"/>
                <w:szCs w:val="16"/>
              </w:rPr>
              <w:t>4 199.1</w:t>
            </w:r>
          </w:p>
        </w:tc>
        <w:tc>
          <w:tcPr>
            <w:tcW w:w="984" w:type="dxa"/>
          </w:tcPr>
          <w:p w14:paraId="7DD00142" w14:textId="77777777" w:rsidR="00802F03" w:rsidRPr="00802F03" w:rsidRDefault="00802F03" w:rsidP="00802F03">
            <w:pPr>
              <w:ind w:right="-57"/>
              <w:jc w:val="right"/>
              <w:rPr>
                <w:sz w:val="16"/>
                <w:szCs w:val="16"/>
              </w:rPr>
            </w:pPr>
            <w:r w:rsidRPr="00802F03">
              <w:rPr>
                <w:sz w:val="16"/>
                <w:szCs w:val="16"/>
              </w:rPr>
              <w:t>616 373.9</w:t>
            </w:r>
          </w:p>
        </w:tc>
        <w:tc>
          <w:tcPr>
            <w:tcW w:w="859" w:type="dxa"/>
          </w:tcPr>
          <w:p w14:paraId="2FCD4081" w14:textId="77777777" w:rsidR="00802F03" w:rsidRPr="00802F03" w:rsidRDefault="00802F03" w:rsidP="00802F03">
            <w:pPr>
              <w:ind w:right="-57"/>
              <w:jc w:val="right"/>
              <w:rPr>
                <w:sz w:val="16"/>
                <w:szCs w:val="16"/>
              </w:rPr>
            </w:pPr>
            <w:r w:rsidRPr="00802F03">
              <w:rPr>
                <w:sz w:val="16"/>
                <w:szCs w:val="16"/>
              </w:rPr>
              <w:t>9 863.7</w:t>
            </w:r>
          </w:p>
        </w:tc>
        <w:tc>
          <w:tcPr>
            <w:tcW w:w="842" w:type="dxa"/>
          </w:tcPr>
          <w:p w14:paraId="703074B2" w14:textId="77777777" w:rsidR="00802F03" w:rsidRPr="00802F03" w:rsidRDefault="00802F03" w:rsidP="00802F03">
            <w:pPr>
              <w:ind w:right="-57"/>
              <w:jc w:val="right"/>
              <w:rPr>
                <w:sz w:val="16"/>
                <w:szCs w:val="16"/>
              </w:rPr>
            </w:pPr>
            <w:r w:rsidRPr="00802F03">
              <w:rPr>
                <w:sz w:val="16"/>
                <w:szCs w:val="16"/>
              </w:rPr>
              <w:t>197 229.3</w:t>
            </w:r>
          </w:p>
        </w:tc>
        <w:tc>
          <w:tcPr>
            <w:tcW w:w="859" w:type="dxa"/>
          </w:tcPr>
          <w:p w14:paraId="0DF9B6B8" w14:textId="77777777" w:rsidR="00802F03" w:rsidRPr="00802F03" w:rsidRDefault="00802F03" w:rsidP="00802F03">
            <w:pPr>
              <w:ind w:right="-57"/>
              <w:jc w:val="right"/>
              <w:rPr>
                <w:sz w:val="16"/>
                <w:szCs w:val="16"/>
              </w:rPr>
            </w:pPr>
            <w:r w:rsidRPr="00802F03">
              <w:rPr>
                <w:sz w:val="16"/>
                <w:szCs w:val="16"/>
              </w:rPr>
              <w:t>18 381.8</w:t>
            </w:r>
          </w:p>
        </w:tc>
        <w:tc>
          <w:tcPr>
            <w:tcW w:w="992" w:type="dxa"/>
          </w:tcPr>
          <w:p w14:paraId="3FE3739B" w14:textId="77777777" w:rsidR="00802F03" w:rsidRPr="00802F03" w:rsidRDefault="00802F03" w:rsidP="00802F03">
            <w:pPr>
              <w:jc w:val="right"/>
              <w:rPr>
                <w:sz w:val="16"/>
                <w:szCs w:val="16"/>
              </w:rPr>
            </w:pPr>
            <w:r w:rsidRPr="00802F03">
              <w:rPr>
                <w:sz w:val="16"/>
                <w:szCs w:val="16"/>
              </w:rPr>
              <w:t>841 848.8</w:t>
            </w:r>
          </w:p>
        </w:tc>
      </w:tr>
      <w:tr w:rsidR="00802F03" w:rsidRPr="00802F03" w14:paraId="7A947773" w14:textId="77777777" w:rsidTr="00892FE5">
        <w:tc>
          <w:tcPr>
            <w:tcW w:w="1276" w:type="dxa"/>
            <w:tcBorders>
              <w:bottom w:val="single" w:sz="4" w:space="0" w:color="auto"/>
            </w:tcBorders>
          </w:tcPr>
          <w:p w14:paraId="33B93CF4" w14:textId="77777777" w:rsidR="00802F03" w:rsidRPr="00802F03" w:rsidRDefault="00802F03" w:rsidP="00802F03">
            <w:pPr>
              <w:rPr>
                <w:b/>
                <w:sz w:val="16"/>
                <w:szCs w:val="16"/>
              </w:rPr>
            </w:pPr>
            <w:r w:rsidRPr="00802F03">
              <w:rPr>
                <w:b/>
                <w:sz w:val="16"/>
                <w:szCs w:val="16"/>
              </w:rPr>
              <w:t>Total</w:t>
            </w:r>
          </w:p>
        </w:tc>
        <w:tc>
          <w:tcPr>
            <w:tcW w:w="992" w:type="dxa"/>
          </w:tcPr>
          <w:p w14:paraId="64642A90" w14:textId="77777777" w:rsidR="00802F03" w:rsidRPr="00802F03" w:rsidRDefault="00802F03" w:rsidP="004257D5">
            <w:pPr>
              <w:ind w:right="-57"/>
              <w:jc w:val="center"/>
              <w:rPr>
                <w:b/>
                <w:sz w:val="16"/>
                <w:szCs w:val="16"/>
              </w:rPr>
            </w:pPr>
            <w:r w:rsidRPr="00802F03">
              <w:rPr>
                <w:b/>
                <w:sz w:val="16"/>
                <w:szCs w:val="16"/>
              </w:rPr>
              <w:t>0</w:t>
            </w:r>
          </w:p>
        </w:tc>
        <w:tc>
          <w:tcPr>
            <w:tcW w:w="851" w:type="dxa"/>
          </w:tcPr>
          <w:p w14:paraId="71C1D2EA" w14:textId="77777777" w:rsidR="00802F03" w:rsidRPr="00802F03" w:rsidRDefault="00802F03" w:rsidP="00802F03">
            <w:pPr>
              <w:ind w:right="-57"/>
              <w:jc w:val="right"/>
              <w:rPr>
                <w:b/>
                <w:sz w:val="16"/>
                <w:szCs w:val="16"/>
              </w:rPr>
            </w:pPr>
            <w:r w:rsidRPr="00802F03">
              <w:rPr>
                <w:b/>
                <w:sz w:val="16"/>
                <w:szCs w:val="16"/>
              </w:rPr>
              <w:t>28 950.3</w:t>
            </w:r>
          </w:p>
        </w:tc>
        <w:tc>
          <w:tcPr>
            <w:tcW w:w="850" w:type="dxa"/>
          </w:tcPr>
          <w:p w14:paraId="33C55DD5" w14:textId="77777777" w:rsidR="00802F03" w:rsidRPr="00802F03" w:rsidRDefault="00802F03" w:rsidP="00802F03">
            <w:pPr>
              <w:ind w:right="-57"/>
              <w:jc w:val="right"/>
              <w:rPr>
                <w:b/>
                <w:sz w:val="16"/>
                <w:szCs w:val="16"/>
              </w:rPr>
            </w:pPr>
            <w:r w:rsidRPr="00802F03">
              <w:rPr>
                <w:b/>
                <w:sz w:val="16"/>
                <w:szCs w:val="16"/>
              </w:rPr>
              <w:t>32 741.4</w:t>
            </w:r>
          </w:p>
        </w:tc>
        <w:tc>
          <w:tcPr>
            <w:tcW w:w="851" w:type="dxa"/>
          </w:tcPr>
          <w:p w14:paraId="35AD93EA" w14:textId="77777777" w:rsidR="00802F03" w:rsidRPr="00802F03" w:rsidRDefault="00802F03" w:rsidP="00802F03">
            <w:pPr>
              <w:ind w:right="-57"/>
              <w:jc w:val="right"/>
              <w:rPr>
                <w:b/>
                <w:sz w:val="16"/>
                <w:szCs w:val="16"/>
              </w:rPr>
            </w:pPr>
            <w:r w:rsidRPr="00802F03">
              <w:rPr>
                <w:b/>
                <w:sz w:val="16"/>
                <w:szCs w:val="16"/>
              </w:rPr>
              <w:t>18 996.9</w:t>
            </w:r>
          </w:p>
        </w:tc>
        <w:tc>
          <w:tcPr>
            <w:tcW w:w="984" w:type="dxa"/>
          </w:tcPr>
          <w:p w14:paraId="5F10422F" w14:textId="77777777" w:rsidR="00802F03" w:rsidRPr="00802F03" w:rsidRDefault="00802F03" w:rsidP="00802F03">
            <w:pPr>
              <w:ind w:right="-57"/>
              <w:jc w:val="right"/>
              <w:rPr>
                <w:b/>
                <w:sz w:val="16"/>
                <w:szCs w:val="16"/>
              </w:rPr>
            </w:pPr>
            <w:r w:rsidRPr="00802F03">
              <w:rPr>
                <w:b/>
                <w:sz w:val="16"/>
                <w:szCs w:val="16"/>
              </w:rPr>
              <w:t>2 445 316.4</w:t>
            </w:r>
          </w:p>
        </w:tc>
        <w:tc>
          <w:tcPr>
            <w:tcW w:w="859" w:type="dxa"/>
          </w:tcPr>
          <w:p w14:paraId="0DC7FE89" w14:textId="77777777" w:rsidR="00802F03" w:rsidRPr="00802F03" w:rsidRDefault="00802F03" w:rsidP="00802F03">
            <w:pPr>
              <w:ind w:left="-57" w:right="-57"/>
              <w:jc w:val="right"/>
              <w:rPr>
                <w:b/>
                <w:sz w:val="16"/>
                <w:szCs w:val="16"/>
              </w:rPr>
            </w:pPr>
            <w:r w:rsidRPr="00802F03">
              <w:rPr>
                <w:b/>
                <w:sz w:val="16"/>
                <w:szCs w:val="16"/>
              </w:rPr>
              <w:t>141 316.3</w:t>
            </w:r>
          </w:p>
        </w:tc>
        <w:tc>
          <w:tcPr>
            <w:tcW w:w="842" w:type="dxa"/>
          </w:tcPr>
          <w:p w14:paraId="4C7C921B" w14:textId="77777777" w:rsidR="00802F03" w:rsidRPr="00802F03" w:rsidRDefault="00802F03" w:rsidP="00802F03">
            <w:pPr>
              <w:ind w:right="-57"/>
              <w:jc w:val="right"/>
              <w:rPr>
                <w:b/>
                <w:sz w:val="16"/>
                <w:szCs w:val="16"/>
              </w:rPr>
            </w:pPr>
            <w:r w:rsidRPr="00802F03">
              <w:rPr>
                <w:b/>
                <w:sz w:val="16"/>
                <w:szCs w:val="16"/>
              </w:rPr>
              <w:t>869 022.6</w:t>
            </w:r>
          </w:p>
        </w:tc>
        <w:tc>
          <w:tcPr>
            <w:tcW w:w="859" w:type="dxa"/>
          </w:tcPr>
          <w:p w14:paraId="61FDE275" w14:textId="77777777" w:rsidR="00802F03" w:rsidRPr="00802F03" w:rsidRDefault="00802F03" w:rsidP="00802F03">
            <w:pPr>
              <w:ind w:right="-57"/>
              <w:jc w:val="right"/>
              <w:rPr>
                <w:b/>
                <w:sz w:val="16"/>
                <w:szCs w:val="16"/>
              </w:rPr>
            </w:pPr>
            <w:r w:rsidRPr="00802F03">
              <w:rPr>
                <w:b/>
                <w:sz w:val="16"/>
                <w:szCs w:val="16"/>
              </w:rPr>
              <w:t>18 381.8</w:t>
            </w:r>
          </w:p>
        </w:tc>
        <w:tc>
          <w:tcPr>
            <w:tcW w:w="992" w:type="dxa"/>
          </w:tcPr>
          <w:p w14:paraId="63E59BBC" w14:textId="77777777" w:rsidR="00802F03" w:rsidRPr="00802F03" w:rsidRDefault="00802F03" w:rsidP="00802F03">
            <w:pPr>
              <w:jc w:val="right"/>
              <w:rPr>
                <w:b/>
                <w:sz w:val="16"/>
                <w:szCs w:val="16"/>
              </w:rPr>
            </w:pPr>
            <w:r w:rsidRPr="00802F03">
              <w:rPr>
                <w:b/>
                <w:sz w:val="16"/>
                <w:szCs w:val="16"/>
              </w:rPr>
              <w:t>3 474 037.3</w:t>
            </w:r>
          </w:p>
        </w:tc>
      </w:tr>
      <w:tr w:rsidR="00802F03" w:rsidRPr="00802F03" w14:paraId="52C58F18" w14:textId="77777777" w:rsidTr="00892FE5">
        <w:tc>
          <w:tcPr>
            <w:tcW w:w="9356" w:type="dxa"/>
            <w:gridSpan w:val="10"/>
            <w:tcBorders>
              <w:left w:val="nil"/>
              <w:bottom w:val="nil"/>
              <w:right w:val="nil"/>
            </w:tcBorders>
          </w:tcPr>
          <w:p w14:paraId="2CB77628" w14:textId="77777777" w:rsidR="00802F03" w:rsidRPr="00802F03" w:rsidRDefault="00802F03" w:rsidP="00802F03">
            <w:pPr>
              <w:rPr>
                <w:sz w:val="16"/>
                <w:szCs w:val="16"/>
              </w:rPr>
            </w:pPr>
            <w:r w:rsidRPr="00802F03">
              <w:rPr>
                <w:sz w:val="16"/>
                <w:szCs w:val="16"/>
              </w:rPr>
              <w:t>La suma de las cifras parciales puede no coincidir con el total por redondeo.</w:t>
            </w:r>
          </w:p>
          <w:p w14:paraId="153CAE48" w14:textId="77777777" w:rsidR="00802F03" w:rsidRPr="00802F03" w:rsidRDefault="00802F03" w:rsidP="00802F03">
            <w:pPr>
              <w:rPr>
                <w:sz w:val="16"/>
                <w:szCs w:val="16"/>
              </w:rPr>
            </w:pPr>
            <w:r w:rsidRPr="00802F03">
              <w:rPr>
                <w:sz w:val="16"/>
                <w:szCs w:val="16"/>
              </w:rPr>
              <w:t xml:space="preserve">Cifras preliminares. </w:t>
            </w:r>
          </w:p>
          <w:p w14:paraId="53F6BA26" w14:textId="77777777" w:rsidR="00802F03" w:rsidRPr="00802F03" w:rsidRDefault="00802F03" w:rsidP="00802F03">
            <w:pPr>
              <w:rPr>
                <w:sz w:val="16"/>
                <w:szCs w:val="16"/>
              </w:rPr>
            </w:pPr>
            <w:r w:rsidRPr="00802F03">
              <w:rPr>
                <w:sz w:val="16"/>
                <w:szCs w:val="16"/>
              </w:rPr>
              <w:t xml:space="preserve">Montos calculados con la información contable del último día hábil del mes y que corresponde a los precios de las acciones de las Siefores registrados en la Bolsa Mexicana de Valores el primer día hábil del siguiente mes. </w:t>
            </w:r>
          </w:p>
          <w:p w14:paraId="3B503446" w14:textId="77777777" w:rsidR="00802F03" w:rsidRPr="00802F03" w:rsidRDefault="00802F03" w:rsidP="00802F03">
            <w:pPr>
              <w:ind w:left="170" w:hanging="170"/>
              <w:rPr>
                <w:sz w:val="16"/>
                <w:szCs w:val="16"/>
              </w:rPr>
            </w:pPr>
            <w:r w:rsidRPr="00802F03">
              <w:rPr>
                <w:sz w:val="16"/>
                <w:szCs w:val="16"/>
                <w:u w:val="single"/>
              </w:rPr>
              <w:t>1</w:t>
            </w:r>
            <w:r w:rsidRPr="00802F03">
              <w:rPr>
                <w:sz w:val="16"/>
                <w:szCs w:val="16"/>
              </w:rPr>
              <w:t xml:space="preserve">/ Retiro, Cesantía en Edad Avanzada y Vejez de trabajadores cotizantes al IMSS y al ISSSTE. Incluye los fondos de Retiro del SAR 92 de los trabajadores cotizantes al IMSS y los recursos del SAR ISSSTE. </w:t>
            </w:r>
          </w:p>
          <w:p w14:paraId="0EF22D8F" w14:textId="77777777" w:rsidR="00802F03" w:rsidRPr="00802F03" w:rsidRDefault="00802F03" w:rsidP="00802F03">
            <w:pPr>
              <w:rPr>
                <w:sz w:val="16"/>
                <w:szCs w:val="16"/>
              </w:rPr>
            </w:pPr>
            <w:r w:rsidRPr="00802F03">
              <w:rPr>
                <w:sz w:val="16"/>
                <w:szCs w:val="16"/>
                <w:u w:val="single"/>
              </w:rPr>
              <w:t>2</w:t>
            </w:r>
            <w:r w:rsidRPr="00802F03">
              <w:rPr>
                <w:sz w:val="16"/>
                <w:szCs w:val="16"/>
              </w:rPr>
              <w:t xml:space="preserve">/ Incluye Aportaciones Voluntarias, Aportaciones Complementarias de Retiro, Ahorro a Largo Plazo y Ahorro Solidario.  </w:t>
            </w:r>
          </w:p>
          <w:p w14:paraId="7BCA8F67" w14:textId="77777777" w:rsidR="00802F03" w:rsidRPr="00802F03" w:rsidRDefault="00802F03" w:rsidP="00802F03">
            <w:pPr>
              <w:rPr>
                <w:sz w:val="16"/>
                <w:szCs w:val="16"/>
              </w:rPr>
            </w:pPr>
            <w:r w:rsidRPr="00802F03">
              <w:rPr>
                <w:sz w:val="16"/>
                <w:szCs w:val="16"/>
                <w:u w:val="single"/>
              </w:rPr>
              <w:t>3</w:t>
            </w:r>
            <w:r w:rsidRPr="00802F03">
              <w:rPr>
                <w:sz w:val="16"/>
                <w:szCs w:val="16"/>
              </w:rPr>
              <w:t xml:space="preserve">/ Recursos de Previsión Social de entidades públicas y privadas administrados por las Afores. </w:t>
            </w:r>
          </w:p>
          <w:p w14:paraId="24EC550F" w14:textId="77777777" w:rsidR="00802F03" w:rsidRPr="00802F03" w:rsidRDefault="00802F03" w:rsidP="00802F03">
            <w:pPr>
              <w:rPr>
                <w:sz w:val="16"/>
                <w:szCs w:val="16"/>
              </w:rPr>
            </w:pPr>
            <w:r w:rsidRPr="00802F03">
              <w:rPr>
                <w:sz w:val="16"/>
                <w:szCs w:val="16"/>
                <w:u w:val="single"/>
              </w:rPr>
              <w:t>4</w:t>
            </w:r>
            <w:r w:rsidRPr="00802F03">
              <w:rPr>
                <w:sz w:val="16"/>
                <w:szCs w:val="16"/>
              </w:rPr>
              <w:t xml:space="preserve">/ Recursos de las Afores que, conforme a las normas de capitalización, deben mantener invertidos en las Siefores. </w:t>
            </w:r>
          </w:p>
          <w:p w14:paraId="1987F6FE" w14:textId="77777777" w:rsidR="00802F03" w:rsidRPr="00802F03" w:rsidRDefault="00802F03" w:rsidP="00802F03">
            <w:pPr>
              <w:ind w:left="170" w:hanging="170"/>
              <w:rPr>
                <w:sz w:val="16"/>
                <w:szCs w:val="16"/>
              </w:rPr>
            </w:pPr>
            <w:r w:rsidRPr="00802F03">
              <w:rPr>
                <w:sz w:val="16"/>
                <w:szCs w:val="16"/>
                <w:u w:val="single"/>
              </w:rPr>
              <w:t>5</w:t>
            </w:r>
            <w:r w:rsidRPr="00802F03">
              <w:rPr>
                <w:sz w:val="16"/>
                <w:szCs w:val="16"/>
              </w:rPr>
              <w:t xml:space="preserve">/ Conforme a la Ley del ISSSTE, las Afores llevan el registro del valor actualizado del Bono de Pensión ISSSTE en las cuentas individuales de los trabajadores. </w:t>
            </w:r>
          </w:p>
          <w:p w14:paraId="101B4040" w14:textId="77777777" w:rsidR="00802F03" w:rsidRPr="00802F03" w:rsidRDefault="00802F03" w:rsidP="00802F03">
            <w:pPr>
              <w:rPr>
                <w:sz w:val="16"/>
                <w:szCs w:val="16"/>
              </w:rPr>
            </w:pPr>
            <w:r w:rsidRPr="00802F03">
              <w:rPr>
                <w:sz w:val="16"/>
                <w:szCs w:val="16"/>
                <w:u w:val="single"/>
              </w:rPr>
              <w:t>6</w:t>
            </w:r>
            <w:r w:rsidRPr="00802F03">
              <w:rPr>
                <w:sz w:val="16"/>
                <w:szCs w:val="16"/>
              </w:rPr>
              <w:t xml:space="preserve">/ Los recursos de Vivienda son registrados por las Afores y administrados por el INFONAVIT y por el FOVISSSTE. </w:t>
            </w:r>
          </w:p>
          <w:p w14:paraId="007C7FCA" w14:textId="77777777" w:rsidR="00802F03" w:rsidRPr="00802F03" w:rsidRDefault="00802F03" w:rsidP="00802F03">
            <w:pPr>
              <w:ind w:left="170" w:hanging="170"/>
              <w:rPr>
                <w:sz w:val="16"/>
                <w:szCs w:val="16"/>
              </w:rPr>
            </w:pPr>
            <w:r w:rsidRPr="00802F03">
              <w:rPr>
                <w:sz w:val="16"/>
                <w:szCs w:val="16"/>
                <w:u w:val="single"/>
              </w:rPr>
              <w:t>7</w:t>
            </w:r>
            <w:r w:rsidRPr="00802F03">
              <w:rPr>
                <w:sz w:val="16"/>
                <w:szCs w:val="16"/>
              </w:rPr>
              <w:t xml:space="preserve">/ Corresponde a los recursos de cuentas administradas por Prestadoras de Servicios, que son registrados por las Afores e invertidos en el Banco de México (Banxico), de acuerdo a las reglas vigentes. </w:t>
            </w:r>
          </w:p>
          <w:p w14:paraId="433F2620" w14:textId="77777777" w:rsidR="00802F03" w:rsidRPr="00802F03" w:rsidRDefault="00802F03" w:rsidP="00802F03">
            <w:pPr>
              <w:rPr>
                <w:sz w:val="16"/>
                <w:szCs w:val="16"/>
              </w:rPr>
            </w:pPr>
            <w:r w:rsidRPr="00802F03">
              <w:rPr>
                <w:sz w:val="16"/>
                <w:szCs w:val="16"/>
                <w:u w:val="single"/>
              </w:rPr>
              <w:t>8</w:t>
            </w:r>
            <w:r w:rsidRPr="00802F03">
              <w:rPr>
                <w:sz w:val="16"/>
                <w:szCs w:val="16"/>
              </w:rPr>
              <w:t xml:space="preserve">/ A partir de enero de 2012 incluye los recursos de trabajadores pendientes de asignar, que son administrados por el Banco de México. </w:t>
            </w:r>
          </w:p>
          <w:p w14:paraId="68A666E0" w14:textId="77777777" w:rsidR="00802F03" w:rsidRPr="00802F03" w:rsidRDefault="00802F03" w:rsidP="00802F03">
            <w:pPr>
              <w:rPr>
                <w:sz w:val="16"/>
                <w:szCs w:val="16"/>
              </w:rPr>
            </w:pPr>
            <w:r w:rsidRPr="00802F03">
              <w:rPr>
                <w:sz w:val="16"/>
                <w:szCs w:val="16"/>
              </w:rPr>
              <w:t>FUENTE: Consar.</w:t>
            </w:r>
          </w:p>
        </w:tc>
      </w:tr>
    </w:tbl>
    <w:p w14:paraId="000F5EE5" w14:textId="77777777" w:rsidR="00802F03" w:rsidRPr="00802F03" w:rsidRDefault="00802F03" w:rsidP="00802F03">
      <w:pPr>
        <w:rPr>
          <w:sz w:val="20"/>
          <w:szCs w:val="20"/>
        </w:rPr>
      </w:pPr>
    </w:p>
    <w:p w14:paraId="68B81C21" w14:textId="77777777" w:rsidR="00802F03" w:rsidRPr="00802F03" w:rsidRDefault="00802F03" w:rsidP="00802F03">
      <w:pPr>
        <w:spacing w:after="360" w:line="360" w:lineRule="auto"/>
        <w:ind w:right="-159"/>
        <w:jc w:val="center"/>
        <w:rPr>
          <w:sz w:val="26"/>
          <w:szCs w:val="26"/>
        </w:rPr>
      </w:pPr>
    </w:p>
    <w:p w14:paraId="7A1C0CE1" w14:textId="77777777" w:rsidR="00802F03" w:rsidRPr="00802F03" w:rsidRDefault="00802F03" w:rsidP="00802F03">
      <w:pPr>
        <w:rPr>
          <w:b/>
          <w:sz w:val="20"/>
          <w:szCs w:val="20"/>
        </w:rPr>
      </w:pPr>
      <w:r w:rsidRPr="00802F03">
        <w:rPr>
          <w:b/>
          <w:sz w:val="20"/>
          <w:szCs w:val="20"/>
        </w:rPr>
        <w:t>Fuente de información:</w:t>
      </w:r>
    </w:p>
    <w:p w14:paraId="21271AFC" w14:textId="77777777" w:rsidR="00802F03" w:rsidRPr="00121C15" w:rsidRDefault="0045651A" w:rsidP="00121C15">
      <w:pPr>
        <w:spacing w:after="720"/>
        <w:rPr>
          <w:color w:val="0000FF"/>
          <w:sz w:val="20"/>
          <w:szCs w:val="20"/>
        </w:rPr>
      </w:pPr>
      <w:hyperlink r:id="rId385" w:history="1">
        <w:r w:rsidR="00802F03" w:rsidRPr="00121C15">
          <w:rPr>
            <w:color w:val="0000FF"/>
            <w:sz w:val="20"/>
            <w:szCs w:val="20"/>
            <w:u w:val="single"/>
          </w:rPr>
          <w:t>http://www.consar.gob.mx/SeriesTiempo/CuadroInicial.aspx?md=2</w:t>
        </w:r>
      </w:hyperlink>
    </w:p>
    <w:p w14:paraId="0ADAB6DA" w14:textId="77777777" w:rsidR="0085792A" w:rsidRPr="0085792A" w:rsidRDefault="0085792A" w:rsidP="0085792A">
      <w:pPr>
        <w:ind w:right="-159"/>
        <w:jc w:val="both"/>
        <w:rPr>
          <w:rFonts w:eastAsia="Calibri"/>
          <w:b/>
          <w:sz w:val="26"/>
          <w:szCs w:val="26"/>
          <w:lang w:eastAsia="en-US"/>
        </w:rPr>
      </w:pPr>
      <w:r w:rsidRPr="0085792A">
        <w:rPr>
          <w:rFonts w:eastAsia="Calibri"/>
          <w:b/>
          <w:sz w:val="26"/>
          <w:szCs w:val="26"/>
          <w:lang w:eastAsia="en-US"/>
        </w:rPr>
        <w:t xml:space="preserve">Adiciones a las Disposiciones de carácter general </w:t>
      </w:r>
    </w:p>
    <w:p w14:paraId="03A56F7D" w14:textId="77777777" w:rsidR="0085792A" w:rsidRPr="0085792A" w:rsidRDefault="0085792A" w:rsidP="0085792A">
      <w:pPr>
        <w:ind w:right="-159"/>
        <w:jc w:val="both"/>
        <w:rPr>
          <w:rFonts w:eastAsia="Calibri"/>
          <w:b/>
          <w:sz w:val="26"/>
          <w:szCs w:val="26"/>
          <w:lang w:eastAsia="en-US"/>
        </w:rPr>
      </w:pPr>
      <w:r w:rsidRPr="0085792A">
        <w:rPr>
          <w:rFonts w:eastAsia="Calibri"/>
          <w:b/>
          <w:sz w:val="26"/>
          <w:szCs w:val="26"/>
          <w:lang w:eastAsia="en-US"/>
        </w:rPr>
        <w:t xml:space="preserve">que establecen  el régimen  patrimonial  al que se </w:t>
      </w:r>
    </w:p>
    <w:p w14:paraId="7CB2BAEA" w14:textId="77777777" w:rsidR="0085792A" w:rsidRPr="0085792A" w:rsidRDefault="0085792A" w:rsidP="0085792A">
      <w:pPr>
        <w:ind w:right="-159"/>
        <w:jc w:val="both"/>
        <w:rPr>
          <w:rFonts w:eastAsia="Calibri"/>
          <w:b/>
          <w:sz w:val="26"/>
          <w:szCs w:val="26"/>
          <w:lang w:eastAsia="en-US"/>
        </w:rPr>
      </w:pPr>
      <w:r w:rsidRPr="0085792A">
        <w:rPr>
          <w:rFonts w:eastAsia="Calibri"/>
          <w:b/>
          <w:sz w:val="26"/>
          <w:szCs w:val="26"/>
          <w:lang w:eastAsia="en-US"/>
        </w:rPr>
        <w:t xml:space="preserve">sujetarán las  administradoras  de fondos para el </w:t>
      </w:r>
    </w:p>
    <w:p w14:paraId="6FB99F29" w14:textId="77777777" w:rsidR="0085792A" w:rsidRPr="0085792A" w:rsidRDefault="0085792A" w:rsidP="0085792A">
      <w:pPr>
        <w:ind w:right="-159"/>
        <w:jc w:val="both"/>
        <w:rPr>
          <w:rFonts w:eastAsia="Calibri"/>
          <w:b/>
          <w:sz w:val="26"/>
          <w:szCs w:val="26"/>
          <w:lang w:eastAsia="en-US"/>
        </w:rPr>
      </w:pPr>
      <w:r w:rsidRPr="0085792A">
        <w:rPr>
          <w:rFonts w:eastAsia="Calibri"/>
          <w:b/>
          <w:sz w:val="26"/>
          <w:szCs w:val="26"/>
          <w:lang w:eastAsia="en-US"/>
        </w:rPr>
        <w:t xml:space="preserve">retiro,  el  PENSIONISSSTE y las  sociedades  de </w:t>
      </w:r>
    </w:p>
    <w:p w14:paraId="3F1BE759" w14:textId="77777777" w:rsidR="0085792A" w:rsidRPr="0085792A" w:rsidRDefault="0085792A" w:rsidP="0085792A">
      <w:pPr>
        <w:ind w:right="-159"/>
        <w:jc w:val="both"/>
        <w:rPr>
          <w:rFonts w:eastAsia="Calibri"/>
          <w:b/>
          <w:sz w:val="26"/>
          <w:szCs w:val="26"/>
          <w:lang w:eastAsia="en-US"/>
        </w:rPr>
      </w:pPr>
      <w:r w:rsidRPr="0085792A">
        <w:rPr>
          <w:rFonts w:eastAsia="Calibri"/>
          <w:b/>
          <w:sz w:val="26"/>
          <w:szCs w:val="26"/>
          <w:lang w:eastAsia="en-US"/>
        </w:rPr>
        <w:t xml:space="preserve">inversión especializadas  de fondos  para el retiro </w:t>
      </w:r>
    </w:p>
    <w:p w14:paraId="2C871A20" w14:textId="77777777" w:rsidR="0085792A" w:rsidRPr="0085792A" w:rsidRDefault="0085792A" w:rsidP="0085792A">
      <w:pPr>
        <w:spacing w:after="360" w:line="360" w:lineRule="auto"/>
        <w:ind w:right="-159"/>
        <w:jc w:val="both"/>
        <w:rPr>
          <w:rFonts w:eastAsia="Calibri"/>
          <w:b/>
          <w:sz w:val="26"/>
          <w:szCs w:val="26"/>
          <w:lang w:eastAsia="en-US"/>
        </w:rPr>
      </w:pPr>
      <w:r w:rsidRPr="0085792A">
        <w:rPr>
          <w:rFonts w:eastAsia="Calibri"/>
          <w:b/>
          <w:sz w:val="26"/>
          <w:szCs w:val="26"/>
          <w:lang w:eastAsia="en-US"/>
        </w:rPr>
        <w:t>y la reserva especial (SHCP)</w:t>
      </w:r>
    </w:p>
    <w:p w14:paraId="5601FA77"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 xml:space="preserve">El 8 de abril de 2014, la Secretaría de Hacienda y Crédito Público (SHCP) publicó en el Diario Oficial de la Federación (DOF), las “Adiciones a las Disposiciones de carácter general que establecen el régimen patrimonial al que se sujetarán las administradoras </w:t>
      </w:r>
      <w:r w:rsidRPr="0085792A">
        <w:rPr>
          <w:rFonts w:eastAsia="Calibri"/>
          <w:sz w:val="26"/>
          <w:szCs w:val="26"/>
          <w:lang w:eastAsia="en-US"/>
        </w:rPr>
        <w:lastRenderedPageBreak/>
        <w:t>de fondos para el retiro, el PENSIONISSSTE y las sociedades de inversión especializadas de fondos para el retiro y la reserva especial”, las cuales se presentan a continuación.</w:t>
      </w:r>
    </w:p>
    <w:p w14:paraId="24F293F4" w14:textId="77777777" w:rsidR="0085792A" w:rsidRPr="0085792A" w:rsidRDefault="0085792A" w:rsidP="0085792A">
      <w:pPr>
        <w:spacing w:after="360"/>
        <w:ind w:right="-159"/>
        <w:jc w:val="both"/>
        <w:rPr>
          <w:rFonts w:eastAsia="Calibri"/>
          <w:b/>
          <w:sz w:val="26"/>
          <w:szCs w:val="26"/>
          <w:lang w:eastAsia="en-US"/>
        </w:rPr>
      </w:pPr>
      <w:r w:rsidRPr="0085792A">
        <w:rPr>
          <w:rFonts w:eastAsia="Calibri"/>
          <w:b/>
          <w:sz w:val="26"/>
          <w:szCs w:val="26"/>
          <w:lang w:eastAsia="en-US"/>
        </w:rPr>
        <w:t>ADICIONES A LAS DISPOSICIONES DE CARÁCTER GENERAL QUE ESTABLECEN EL RÉGIMEN PATRIMONIAL AL QUE SE SUJETARÁN LAS ADMINISTRADORAS DE FONDOS PARA EL RETIRO, EL PENSIONISSSTE Y LAS SOCIEDADES DE INVERSIÓN ESPECIALIZADAS DE FONDOS PARA EL RETIRO Y LA RESERVA ESPECIAL</w:t>
      </w:r>
    </w:p>
    <w:p w14:paraId="0922C0A0"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La Junta de Gobierno de la Comisión Nacional del Sistema de Ahorro para el Retiro, con fundamento en los artículos 5o., fracción II, 8o., fracción XII, 9o., 20, fracción II, 24, 27, 28 y 41, fracción II, de la Ley de los Sistemas de Ahorro para el Retiro, y 103 y 106 de la Ley del Instituto de Seguridad y Servicios Sociales de los Trabajadores del Estado, ha tenido a bien expedir las siguientes:</w:t>
      </w:r>
    </w:p>
    <w:p w14:paraId="15446A75" w14:textId="77777777" w:rsidR="0085792A" w:rsidRPr="0085792A" w:rsidRDefault="0085792A" w:rsidP="0085792A">
      <w:pPr>
        <w:spacing w:after="360"/>
        <w:ind w:right="-159"/>
        <w:jc w:val="both"/>
        <w:rPr>
          <w:rFonts w:eastAsia="Calibri"/>
          <w:b/>
          <w:sz w:val="26"/>
          <w:szCs w:val="26"/>
          <w:lang w:eastAsia="en-US"/>
        </w:rPr>
      </w:pPr>
      <w:r w:rsidRPr="0085792A">
        <w:rPr>
          <w:rFonts w:eastAsia="Calibri"/>
          <w:b/>
          <w:sz w:val="26"/>
          <w:szCs w:val="26"/>
          <w:lang w:eastAsia="en-US"/>
        </w:rPr>
        <w:t>ADICIONES A LAS DISPOSICIONES DE CARÁCTER GENERAL QUE ESTABLECEN EL RÉGIMEN PATRIMONIAL AL QUE SE SUJETARÁN LAS ADMINISTRADORAS DE FONDOS PARA EL RETIRO, EL PENSIONISSSTE Y LAS SOCIEDADES DE INVERSIÓN ESPECIALIZADAS DE FONDOS PARA EL RETIRO Y LA RESERVA ESPECIAL</w:t>
      </w:r>
    </w:p>
    <w:p w14:paraId="7CB4C40C"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 xml:space="preserve">PRIMERA. Se ADICIONAN las disposiciones SEXTA con un segundo párrafo y DÉCIMA con un segundo párrafo, de las Disposiciones de carácter general que establecen el régimen patrimonial al que se sujetarán las administradoras de fondos para el retiro, el PENSIONISSSTE y las sociedades de inversión especializadas de fondos para el retiro y la reserva especial, publicadas en el Diario Oficial de la Federación el 29 de mayo de 2014, para quedar como sigue: </w:t>
      </w:r>
    </w:p>
    <w:p w14:paraId="3DD1ED61"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“SEXTA. Las Administradoras, en términos del artículo 28 de la Ley, deberán mantener una reserva especial cuyo monto se determinará conforme a lo siguiente:</w:t>
      </w:r>
    </w:p>
    <w:p w14:paraId="398C872B"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I.     a IV. ...</w:t>
      </w:r>
    </w:p>
    <w:p w14:paraId="5F2A49CC" w14:textId="77777777" w:rsidR="0085792A" w:rsidRPr="0085792A" w:rsidRDefault="0085792A" w:rsidP="0085792A">
      <w:pPr>
        <w:spacing w:after="360" w:line="360" w:lineRule="auto"/>
        <w:ind w:right="-159"/>
        <w:jc w:val="both"/>
        <w:rPr>
          <w:rFonts w:eastAsia="Calibri"/>
          <w:b/>
          <w:sz w:val="26"/>
          <w:szCs w:val="26"/>
          <w:lang w:eastAsia="en-US"/>
        </w:rPr>
      </w:pPr>
      <w:r w:rsidRPr="0085792A">
        <w:rPr>
          <w:rFonts w:eastAsia="Calibri"/>
          <w:b/>
          <w:sz w:val="26"/>
          <w:szCs w:val="26"/>
          <w:lang w:eastAsia="en-US"/>
        </w:rPr>
        <w:lastRenderedPageBreak/>
        <w:t>La reserva especial que efectivamente deberán mantener las Administradoras en cada una de las Sociedades de Inversión que operen, se obtendrá de multiplicar el resultado de cada una de las fracciones I a IV anteriores por el siguiente factor: el número de acciones de los trabajadores cuyos recursos se encuentren invertidos en la Sociedad de Inversión que corresponda entre el número de acciones totales de dicha Sociedad de Inversión.</w:t>
      </w:r>
    </w:p>
    <w:p w14:paraId="745DF464"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w:t>
      </w:r>
    </w:p>
    <w:p w14:paraId="5375A600"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“DECIMA. El PENSIONISSSTE, en términos del artículo 28 de la Ley, deberá mantener una reserva especial, cuyo monto se determinará conforme a lo siguiente:</w:t>
      </w:r>
    </w:p>
    <w:p w14:paraId="636E29A3"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I.     a IV. ...</w:t>
      </w:r>
    </w:p>
    <w:p w14:paraId="144031AD" w14:textId="77777777" w:rsidR="0085792A" w:rsidRPr="0085792A" w:rsidRDefault="0085792A" w:rsidP="0085792A">
      <w:pPr>
        <w:spacing w:after="360" w:line="360" w:lineRule="auto"/>
        <w:ind w:right="-159"/>
        <w:jc w:val="both"/>
        <w:rPr>
          <w:rFonts w:eastAsia="Calibri"/>
          <w:b/>
          <w:sz w:val="26"/>
          <w:szCs w:val="26"/>
          <w:lang w:eastAsia="en-US"/>
        </w:rPr>
      </w:pPr>
      <w:r w:rsidRPr="0085792A">
        <w:rPr>
          <w:rFonts w:eastAsia="Calibri"/>
          <w:b/>
          <w:sz w:val="26"/>
          <w:szCs w:val="26"/>
          <w:lang w:eastAsia="en-US"/>
        </w:rPr>
        <w:t>La reserva especial que efectivamente deberá mantener el PENSIONISSSTE en cada una de las Sociedades de Inversión que opere, se obtendrá de multiplicar el resultado de cada una de las fracciones I a IV anteriores por el siguiente factor: el número de acciones de los trabajadores cuyos recursos se encuentren invertidos en la Sociedad de Inversión que corresponda entre el número de acciones totales de dicha Sociedad de Inversión.</w:t>
      </w:r>
    </w:p>
    <w:p w14:paraId="7DBE7D0E"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w:t>
      </w:r>
    </w:p>
    <w:p w14:paraId="0FD07FAB"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SEGUNDA. Se ADICIONA la disposición SEGUNDA Transitoria con un segundo párrafo, de las Disposiciones de carácter general que establecen el régimen patrimonial al que se sujetarán las administradoras de fondos para el retiro, el PENSIONISSSTE y las sociedades de inversión especializadas de fondos para el retiro y la reserva especial, publicadas en el Diario Oficial de la Federación el 29 de mayo de 2014, para quedar como sigue:</w:t>
      </w:r>
    </w:p>
    <w:p w14:paraId="4CBE8715" w14:textId="77777777" w:rsidR="0085792A" w:rsidRPr="0085792A" w:rsidRDefault="0085792A" w:rsidP="0085792A">
      <w:pPr>
        <w:spacing w:after="360" w:line="360" w:lineRule="auto"/>
        <w:ind w:right="-159"/>
        <w:jc w:val="center"/>
        <w:rPr>
          <w:rFonts w:eastAsia="Calibri"/>
          <w:b/>
          <w:sz w:val="26"/>
          <w:szCs w:val="26"/>
          <w:lang w:eastAsia="en-US"/>
        </w:rPr>
      </w:pPr>
      <w:r w:rsidRPr="0085792A">
        <w:rPr>
          <w:rFonts w:eastAsia="Calibri"/>
          <w:b/>
          <w:sz w:val="26"/>
          <w:szCs w:val="26"/>
          <w:lang w:eastAsia="en-US"/>
        </w:rPr>
        <w:lastRenderedPageBreak/>
        <w:t>“TRANSITORIAS</w:t>
      </w:r>
    </w:p>
    <w:p w14:paraId="445100CD"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w:t>
      </w:r>
    </w:p>
    <w:p w14:paraId="72989FF2"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SEGUNDA. A la entrada en vigor de las presentes disposiciones, el monto de la reserva especial de las Sociedades de Inversión Básicas 1 a 4 de las Administradoras y PENSIONISSSTE, se determinará conforme a lo siguiente:</w:t>
      </w:r>
    </w:p>
    <w:p w14:paraId="643D0132"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I.     y II. ...</w:t>
      </w:r>
    </w:p>
    <w:p w14:paraId="1363C5CA" w14:textId="77777777" w:rsidR="0085792A" w:rsidRPr="0085792A" w:rsidRDefault="0085792A" w:rsidP="0085792A">
      <w:pPr>
        <w:spacing w:after="360" w:line="360" w:lineRule="auto"/>
        <w:ind w:right="-159"/>
        <w:jc w:val="both"/>
        <w:rPr>
          <w:rFonts w:eastAsia="Calibri"/>
          <w:b/>
          <w:sz w:val="26"/>
          <w:szCs w:val="26"/>
          <w:lang w:eastAsia="en-US"/>
        </w:rPr>
      </w:pPr>
      <w:r w:rsidRPr="0085792A">
        <w:rPr>
          <w:rFonts w:eastAsia="Calibri"/>
          <w:b/>
          <w:sz w:val="26"/>
          <w:szCs w:val="26"/>
          <w:lang w:eastAsia="en-US"/>
        </w:rPr>
        <w:t>La reserva especial que efectivamente deberán mantener las Administradoras y el PENSIONISSSTE en cada una de las Sociedades de Inversión que operen, se obtendrá de multiplicar el resultado de cada una de las fracciones I a II anteriores por el siguiente factor: el número de acciones de los trabajadores cuyos recursos se encuentren invertidos en la Sociedad de Inversión que corresponda entre el número de acciones totales de dicha Sociedad de Inversión.</w:t>
      </w:r>
    </w:p>
    <w:p w14:paraId="75A79C10"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Lo anterior, hasta en tanto las Sociedades de Inversión Básicas 1 a 4 cumplan con lo siguiente:</w:t>
      </w:r>
    </w:p>
    <w:p w14:paraId="3A1B0F2B"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a. y b. ...</w:t>
      </w:r>
    </w:p>
    <w:p w14:paraId="3B21BA1D"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w:t>
      </w:r>
    </w:p>
    <w:p w14:paraId="17EDCE0B" w14:textId="77777777" w:rsidR="0085792A" w:rsidRPr="0085792A" w:rsidRDefault="0085792A" w:rsidP="0085792A">
      <w:pPr>
        <w:spacing w:after="360" w:line="360" w:lineRule="auto"/>
        <w:ind w:right="-159"/>
        <w:jc w:val="center"/>
        <w:rPr>
          <w:rFonts w:eastAsia="Calibri"/>
          <w:b/>
          <w:sz w:val="26"/>
          <w:szCs w:val="26"/>
          <w:lang w:eastAsia="en-US"/>
        </w:rPr>
      </w:pPr>
      <w:r w:rsidRPr="0085792A">
        <w:rPr>
          <w:rFonts w:eastAsia="Calibri"/>
          <w:b/>
          <w:sz w:val="26"/>
          <w:szCs w:val="26"/>
          <w:lang w:eastAsia="en-US"/>
        </w:rPr>
        <w:t>TRANSITORIA</w:t>
      </w:r>
    </w:p>
    <w:p w14:paraId="190637DE" w14:textId="77777777" w:rsidR="0085792A" w:rsidRPr="0085792A" w:rsidRDefault="0085792A" w:rsidP="0085792A">
      <w:pPr>
        <w:spacing w:after="360" w:line="360" w:lineRule="auto"/>
        <w:ind w:right="-159"/>
        <w:jc w:val="both"/>
        <w:rPr>
          <w:rFonts w:eastAsia="Calibri"/>
          <w:sz w:val="26"/>
          <w:szCs w:val="26"/>
          <w:lang w:eastAsia="en-US"/>
        </w:rPr>
      </w:pPr>
      <w:r w:rsidRPr="0085792A">
        <w:rPr>
          <w:rFonts w:eastAsia="Calibri"/>
          <w:sz w:val="26"/>
          <w:szCs w:val="26"/>
          <w:lang w:eastAsia="en-US"/>
        </w:rPr>
        <w:t>ÚNICA. La presente modificación entrará en vigor al día hábil siguiente de su publicación en el Diario Oficial de la Federación.</w:t>
      </w:r>
    </w:p>
    <w:p w14:paraId="1E99F826" w14:textId="77777777" w:rsidR="0085792A" w:rsidRPr="0085792A" w:rsidRDefault="0085792A" w:rsidP="0085792A">
      <w:pPr>
        <w:ind w:right="-159"/>
        <w:jc w:val="both"/>
        <w:rPr>
          <w:rFonts w:eastAsia="Calibri"/>
          <w:b/>
          <w:sz w:val="20"/>
          <w:szCs w:val="20"/>
          <w:lang w:eastAsia="en-US"/>
        </w:rPr>
      </w:pPr>
      <w:r w:rsidRPr="0085792A">
        <w:rPr>
          <w:rFonts w:eastAsia="Calibri"/>
          <w:b/>
          <w:sz w:val="20"/>
          <w:szCs w:val="20"/>
          <w:lang w:eastAsia="en-US"/>
        </w:rPr>
        <w:t>Fuente de información:</w:t>
      </w:r>
    </w:p>
    <w:p w14:paraId="13D17BA3" w14:textId="77777777" w:rsidR="0085792A" w:rsidRPr="00121C15" w:rsidRDefault="0045651A" w:rsidP="0085792A">
      <w:pPr>
        <w:ind w:right="-159"/>
        <w:jc w:val="both"/>
        <w:rPr>
          <w:rFonts w:eastAsia="Calibri"/>
          <w:color w:val="0000FF"/>
          <w:sz w:val="20"/>
          <w:szCs w:val="20"/>
          <w:lang w:eastAsia="en-US"/>
        </w:rPr>
      </w:pPr>
      <w:hyperlink r:id="rId386" w:history="1">
        <w:r w:rsidR="0085792A" w:rsidRPr="00121C15">
          <w:rPr>
            <w:rFonts w:eastAsia="Calibri"/>
            <w:color w:val="0000FF"/>
            <w:sz w:val="20"/>
            <w:szCs w:val="20"/>
            <w:u w:val="single"/>
            <w:lang w:eastAsia="en-US"/>
          </w:rPr>
          <w:t>http://dof.gob.mx/nota_detalle.php?codigo=5388193&amp;fecha=08/04/2015</w:t>
        </w:r>
      </w:hyperlink>
    </w:p>
    <w:p w14:paraId="6680C7AC" w14:textId="77777777" w:rsidR="0085792A" w:rsidRDefault="0085792A" w:rsidP="0085792A">
      <w:pPr>
        <w:spacing w:after="360" w:line="360" w:lineRule="auto"/>
        <w:ind w:right="-159"/>
        <w:jc w:val="both"/>
        <w:rPr>
          <w:rFonts w:eastAsia="Calibri"/>
          <w:sz w:val="26"/>
          <w:szCs w:val="26"/>
          <w:lang w:eastAsia="en-US"/>
        </w:rPr>
      </w:pPr>
    </w:p>
    <w:p w14:paraId="417499A3" w14:textId="77777777" w:rsidR="00E44D9B" w:rsidRPr="00E44D9B" w:rsidRDefault="00E44D9B" w:rsidP="00E44D9B">
      <w:pPr>
        <w:ind w:right="-159"/>
        <w:jc w:val="both"/>
        <w:rPr>
          <w:rFonts w:eastAsia="Calibri"/>
          <w:b/>
          <w:sz w:val="26"/>
          <w:szCs w:val="26"/>
          <w:lang w:eastAsia="en-US"/>
        </w:rPr>
      </w:pPr>
      <w:r w:rsidRPr="00E44D9B">
        <w:rPr>
          <w:rFonts w:eastAsia="Calibri"/>
          <w:b/>
          <w:sz w:val="26"/>
          <w:szCs w:val="26"/>
          <w:lang w:eastAsia="en-US"/>
        </w:rPr>
        <w:lastRenderedPageBreak/>
        <w:t>Peligran las pensiones para 80 millones de personas</w:t>
      </w:r>
    </w:p>
    <w:p w14:paraId="3136E39F"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en América Latina y el Caribe (BID)</w:t>
      </w:r>
    </w:p>
    <w:p w14:paraId="21C729B3"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20 de abril de 2015, el Banco Interamericano de Desarrollo (BID) comunicó que en ausencia de reformas, la creciente clase media de la región puede ser vulnerable a la pobreza en la tercera edad. A continuación los se presenta la información.</w:t>
      </w:r>
    </w:p>
    <w:p w14:paraId="709770D2" w14:textId="59594016"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Expertos y autoridades políticas se </w:t>
      </w:r>
      <w:r w:rsidR="00121C15">
        <w:rPr>
          <w:rFonts w:eastAsia="Calibri"/>
          <w:sz w:val="26"/>
          <w:szCs w:val="26"/>
          <w:lang w:eastAsia="en-US"/>
        </w:rPr>
        <w:t>vieron</w:t>
      </w:r>
      <w:r w:rsidRPr="00E44D9B">
        <w:rPr>
          <w:rFonts w:eastAsia="Calibri"/>
          <w:sz w:val="26"/>
          <w:szCs w:val="26"/>
          <w:lang w:eastAsia="en-US"/>
        </w:rPr>
        <w:t>, el 20 de abril de 2015, en la sede del BID para analizar el futuro de las pensiones en América Latina y el Caribe (ALyC). Un panel de alto nivel moderado por la periodista de CNN Gabriela Frías exploró diferentes enfoques de política para garantizar una mayor cobertura y sostenibilidad de los sistemas de pensiones en la región.</w:t>
      </w:r>
    </w:p>
    <w:p w14:paraId="7CD01C59" w14:textId="10F79CEC"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evento marcó el lanzamiento del informe “</w:t>
      </w:r>
      <w:r w:rsidRPr="00E44D9B">
        <w:rPr>
          <w:rFonts w:eastAsia="Calibri"/>
          <w:iCs/>
          <w:sz w:val="26"/>
          <w:szCs w:val="26"/>
          <w:lang w:eastAsia="en-US"/>
        </w:rPr>
        <w:t>Panorama de las Pensiones: América Latina y el Caribe”</w:t>
      </w:r>
      <w:r w:rsidRPr="00E44D9B">
        <w:rPr>
          <w:rFonts w:eastAsia="Calibri"/>
          <w:sz w:val="26"/>
          <w:szCs w:val="26"/>
          <w:vertAlign w:val="superscript"/>
          <w:lang w:eastAsia="en-US"/>
        </w:rPr>
        <w:footnoteReference w:id="74"/>
      </w:r>
      <w:r w:rsidR="004257D5">
        <w:rPr>
          <w:rFonts w:eastAsia="Calibri"/>
          <w:sz w:val="26"/>
          <w:szCs w:val="26"/>
          <w:lang w:eastAsia="en-US"/>
        </w:rPr>
        <w:t>,</w:t>
      </w:r>
      <w:r w:rsidRPr="00E44D9B">
        <w:rPr>
          <w:rFonts w:eastAsia="Calibri"/>
          <w:sz w:val="26"/>
          <w:szCs w:val="26"/>
          <w:lang w:eastAsia="en-US"/>
        </w:rPr>
        <w:t xml:space="preserve"> elaborado por el BID, la Organización para la Cooperación y el Desarrollo Económico (OCDE) y el Banco Mundial. El estudio ofrece indicadores comparativos de los modelos de pensiones de los 26 países de la región.</w:t>
      </w:r>
    </w:p>
    <w:p w14:paraId="56DC9078"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envejecimiento de la población amenaza con incrementar el gasto de las pensiones en ALyC. Al mismo tiempo, el elevado número de trabajadores en el sector informal que no hacen aportes para su pensión complicará el financiamiento de dichos costos. En la actualidad, sólo 45 de cada 100 trabajadores aportan a un plan de retiro, y este porcentaje apenas ha cambiado en las últimas décadas. Además de ser pocos, las contribuciones de estos trabajadores suelen ser demasiado irregulares para financiar unas prestaciones adecuadas. Para 2050, entre 63 y 83 millones de personas podrían no recibir una pensión adecuada en ausencia de reformas y de esfuerzos por aumentar el empleo en el sector formal, incluyendo el acceso a educación de calidad.</w:t>
      </w:r>
    </w:p>
    <w:p w14:paraId="669F3B76" w14:textId="4FFC79B0"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“Debemos actuar ahora para asegurar el futuro de las pensiones de la región” aseveró el Presidente del BID, durante la inauguración del evento. “En este momento estamos disfrutando de un bono demográfico que no podemos desaprovechar. Si logramos que más personas contribuyan a los sistemas de pensiones, y si ajustamos los sistemas al aumento de la esperanza de vida, podremos dotar a generaciones futuras de una cobertura adecuada.”</w:t>
      </w:r>
    </w:p>
    <w:p w14:paraId="05B8FEFA"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“Los gobiernos necesitan impulsar las oportunidades de empleo en el sector formal, particularmente para las mujeres, a fin de que más personas puedan beneficiarse de una pensión digna”, asegura el Secretario General de la OCDE en la inauguración del evento. “Demasiadas personas en la región aún están excluidas de los sistemas de pensiones. Son necesarias más reformas para incrementar la cobertura de las pensiones a fin de asegurar un ingreso decoroso al llegar al momento del retiro”.</w:t>
      </w:r>
    </w:p>
    <w:p w14:paraId="251A7FE2"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La tendencia más generalizada para solventar la brecha de personas que no cotizan a los sistemas de pensiones es ampliar las llamadas pensiones no contributivas o sociales. Estas ayudas del gobierno ayudan a disminuir la desigualdad y la pobreza, pero supondrán un reto fiscal a medida que la población envejezca y haya más solicitantes. Además ahora hay 8 personas en edad productiva por cada pensionista, pero se espera que, en 2050, la tasa disminuya a 2.5, cercano al promedio de 1.9 de la OCDE.</w:t>
      </w:r>
    </w:p>
    <w:p w14:paraId="04A8CA63"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Muchos países de la región aún carecen de los sistemas y el marco institucional que permitan una buena gestión de las pensiones, tanto contributivas como no contributivas. En ese sentido, inversiones en los sistemas y reformas en los marcos institucionales son un buen primer paso hacia lograr sistemas de mayor cobertura y sostenibilidad.</w:t>
      </w:r>
    </w:p>
    <w:p w14:paraId="5A68DDCD"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informe “</w:t>
      </w:r>
      <w:r w:rsidRPr="00E44D9B">
        <w:rPr>
          <w:rFonts w:eastAsia="Calibri"/>
          <w:iCs/>
          <w:sz w:val="26"/>
          <w:szCs w:val="26"/>
          <w:lang w:eastAsia="en-US"/>
        </w:rPr>
        <w:t>Panorama de las pensiones: América Latina y el Caribe”</w:t>
      </w:r>
      <w:r w:rsidRPr="00E44D9B">
        <w:rPr>
          <w:rFonts w:eastAsia="Calibri"/>
          <w:iCs/>
          <w:sz w:val="26"/>
          <w:szCs w:val="26"/>
          <w:vertAlign w:val="superscript"/>
          <w:lang w:eastAsia="en-US"/>
        </w:rPr>
        <w:footnoteReference w:id="75"/>
      </w:r>
      <w:r w:rsidRPr="00E44D9B">
        <w:rPr>
          <w:rFonts w:eastAsia="Calibri"/>
          <w:sz w:val="26"/>
          <w:szCs w:val="26"/>
          <w:lang w:eastAsia="en-US"/>
        </w:rPr>
        <w:t xml:space="preserve"> ofrece un análisis detallado de los sistemas de 26 países, atendiendo a su estructura, reglas y </w:t>
      </w:r>
      <w:r w:rsidRPr="00E44D9B">
        <w:rPr>
          <w:rFonts w:eastAsia="Calibri"/>
          <w:sz w:val="26"/>
          <w:szCs w:val="26"/>
          <w:lang w:eastAsia="en-US"/>
        </w:rPr>
        <w:lastRenderedPageBreak/>
        <w:t>parámetros. En ellos contempla las reformas recientes, e incluye indicadores comparables clave sobre demografía, gasto público en pensiones y derechos a pensión.</w:t>
      </w:r>
    </w:p>
    <w:p w14:paraId="0411F744"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En lo que sigue, los rasgos más sobresalientes del documento del BID: Resumen ejecutivo, Introducción; de los cuatro capítulos, los elementos clave y la conclusión, de ser el caso. </w:t>
      </w:r>
    </w:p>
    <w:p w14:paraId="40478D7F"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Panorama de las pensiones: América Latina y el Caribe</w:t>
      </w:r>
    </w:p>
    <w:p w14:paraId="140C17E8"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Resumen ejecutivo</w:t>
      </w:r>
    </w:p>
    <w:p w14:paraId="2EFDDFCC"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mayor desafío de la política de pensiones al que se enfrentan en la actualidad la mayoría de los países de América Latina y el Caribe (ALyC) es la baja cobertura de los sistemas de pensiones, tanto en términos de proporción de trabajadores que participan en los sistemas pensionales como la proporción de personas mayores que reciben algún tipo de pensión. Por lo tanto, los esfuerzos por cerrar la brecha en términos de cobertura, por ejemplo, a través de las pensiones no contributivas, están en el centro del debate sobre la política de pensiones en la región. Sin embargo, estas políticas podrían plantear desafíos fiscales significativos en las próximas décadas debido a que la población envejece. La segunda parte del libro presenta tres indicadores principales que describen las condiciones demográficas relevantes para la política de pensiones: las tasas de fecundidad, la esperanza de vida y las tasas de dependencia en la vejez. Posteriormente, la tercera parte del libro ofrece una comparación sistemática de los diseños de sistemas a lo largo de los países que utilizan el estándar de la tipología del Panorama de Pensiones de la OCDE y la presentación de una serie de indicadores clave de adecuación, incluyendo las tasas de reemplazo bruta y neta en función del género y de la riqueza de la pensión en los diferentes niveles de ingresos. Finalmente, la última parte presenta los perfiles de cada sistema de pensiones (por país) en ALyC en términos de estructura, reglas y parámetros.</w:t>
      </w:r>
    </w:p>
    <w:p w14:paraId="5C7F57A5"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lastRenderedPageBreak/>
        <w:t>Resultados clave</w:t>
      </w:r>
    </w:p>
    <w:p w14:paraId="1C523A2C"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b/>
          <w:sz w:val="26"/>
          <w:szCs w:val="26"/>
          <w:lang w:eastAsia="en-US"/>
        </w:rPr>
        <w:t>La cobertura activa, es decir, la proporción de trabajadores aportando a sistemas de pensiones obligatorios, es baja en los países de ALyC</w:t>
      </w:r>
      <w:r w:rsidRPr="00E44D9B">
        <w:rPr>
          <w:rFonts w:eastAsia="Calibri"/>
          <w:sz w:val="26"/>
          <w:szCs w:val="26"/>
          <w:lang w:eastAsia="en-US"/>
        </w:rPr>
        <w:t xml:space="preserve">. En promedio, en la región sólo 45 de cada 100 trabajadores están contribuyendo o están afiliados a un plan de pensiones, un porcentaje que no ha cambiado mucho en la última década, a pesar de las reformas estructurales de los sistemas de pensiones. Sin embargo, algunos países sí han logrado ampliar la proporción de personas de 65 años o más que reciben una pensión para la vejez, en su mayoría pensiones no contributivas y regímenes especiales de cuentas propias. El bajo nivel de aportes a los sistemas de pensiones está relacionado con una serie de características socio-económicas, en particular con la educación, el género y el nivel de ingresos. El nivel de educación tiene un impacto significativo puesto que los trabajadores más educados tienen más probabilidades de contribuir a los sistemas de pensiones que los trabajadores con un nivel educativo menor. La dimensión de género también es importante dado que la tasa media de participación de las mujeres en la fuerza laboral en ALyC es de 56% en comparación con 83% para los hombres. La brecha de género varía desde 20% en Bolivia, Chile, Jamaica y Uruguay hasta 40% en Guatemala, Honduras y </w:t>
      </w:r>
      <w:r w:rsidRPr="00E44D9B">
        <w:rPr>
          <w:rFonts w:eastAsia="Calibri"/>
          <w:b/>
          <w:sz w:val="26"/>
          <w:szCs w:val="26"/>
          <w:lang w:eastAsia="en-US"/>
        </w:rPr>
        <w:t>México</w:t>
      </w:r>
      <w:r w:rsidRPr="00E44D9B">
        <w:rPr>
          <w:rFonts w:eastAsia="Calibri"/>
          <w:sz w:val="26"/>
          <w:szCs w:val="26"/>
          <w:lang w:eastAsia="en-US"/>
        </w:rPr>
        <w:t>. Por último, las diferencias de ingresos entre los hogares tienen asimismo un importante impacto. Los trabajadores en el quintil más alto de la distribución de los ingresos tienen porcentajes relativamente altos de contribución, mientras que los trabajadores de bajos ingresos escasamente contribuyen a los sistemas previsionales. Sólo del 20 al 40% de los trabajadores de ingresos medios contribuyen a una pensión, lo cual les hace particularmente vulnerables a los riesgos de pobreza en la vejez.</w:t>
      </w:r>
    </w:p>
    <w:p w14:paraId="198E6CAC"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Un factor determinante de la cobertura de pensiones en ALyC es el tipo de empleo. En promedio, 64 de cada 100 trabajadores asalariados contribuyen a un plan de pensiones en ALyC, mientras que sólo lo hacen 17 de cada 100 trabajadores por cuenta propia. El tamaño de la empresa también es importante. En las grandes empresas con más de 50 </w:t>
      </w:r>
      <w:r w:rsidRPr="00E44D9B">
        <w:rPr>
          <w:rFonts w:eastAsia="Calibri"/>
          <w:sz w:val="26"/>
          <w:szCs w:val="26"/>
          <w:lang w:eastAsia="en-US"/>
        </w:rPr>
        <w:lastRenderedPageBreak/>
        <w:t>trabajadores, 71% de los trabajadores contribuyen, en comparación con el 51% en las empresas medianas (de 6 a 50 empleados) y el 24% en las pequeñas (menos de seis). Las transiciones frecuentes entre formalidad, informalidad e inactividad generan brechas de contribución significativas en las carreras de los trabajadores en ALyC, lo que puede poner en riesgo la adecuación de los futuros ingresos de jubilación. En casi todos los sistemas, los historiales incompletos de cotización dan lugar a derechos de pensión más bajos, o incluso a la inelegibilidad, lo que significa que tanto el tamaño de estas brechas de cotización como su distribución en el tiempo deben ser analizados.</w:t>
      </w:r>
    </w:p>
    <w:p w14:paraId="07EBCF4A"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Una gran parte de las personas mayores en ALyC tendrán que recurrir a otras fuentes de ingresos diferentes a las pensiones contributivas, como los ingresos provenientes del trabajo, activos inmobiliarios, las transferencias, las pensiones sociales y el apoyo familiar. La estructura de los hogares, un factor importante para el bienestar de las personas mayores, muestra que las personas más pobres de mayor edad tienen más probabilidades de estar viviendo con un miembro de su familia. La mayoría de los ancianos en situación de pobreza de la región viven en hogares multigeneracionales, lo que indica que su bienestar está estrechamente relacionado con el de su familia. Las tendencias a largo plazo de una urbanización creciente y la disminución de la fecundidad probablemente debilitarán estos lazos en el futuro y facilitarán el acceso al sistema formal de pensiones.</w:t>
      </w:r>
    </w:p>
    <w:p w14:paraId="7C7C0453" w14:textId="73FB1560"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El papel de las pensiones sociales en ALyC se está expandiendo y, en algunos países </w:t>
      </w:r>
      <w:r w:rsidR="00121C15">
        <w:rPr>
          <w:rFonts w:eastAsia="Calibri"/>
          <w:sz w:val="26"/>
          <w:szCs w:val="26"/>
          <w:lang w:eastAsia="en-US"/>
        </w:rPr>
        <w:t>é</w:t>
      </w:r>
      <w:r w:rsidRPr="00E44D9B">
        <w:rPr>
          <w:rFonts w:eastAsia="Calibri"/>
          <w:sz w:val="26"/>
          <w:szCs w:val="26"/>
          <w:lang w:eastAsia="en-US"/>
        </w:rPr>
        <w:t>stas ya constituyen un elemento importante del sistema de pensiones. Estos programas han tomado varias formas con diferentes resultados entre los países. En términos de cobertura y generosidad relativa, las pensiones sociales son más importantes en Guyana y Bolivia, seguidas por Venezuela y Brasil.</w:t>
      </w:r>
    </w:p>
    <w:p w14:paraId="3CBED811"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En resumen, es necesario adoptar un enfoque de dos vías con el fin de enfrentar la brecha de cobertura. Por un lado, es importante aumentar la participación formal del </w:t>
      </w:r>
      <w:r w:rsidRPr="00E44D9B">
        <w:rPr>
          <w:rFonts w:eastAsia="Calibri"/>
          <w:sz w:val="26"/>
          <w:szCs w:val="26"/>
          <w:lang w:eastAsia="en-US"/>
        </w:rPr>
        <w:lastRenderedPageBreak/>
        <w:t>mercado de trabajo, especialmente para las mujeres, para que la gente pueda construir sus propios derechos a una pensión. En la medida de lo posible, los trabajadores deben afiliarse en los sistemas contributivos para impulsar el ahorro en pensiones y garantizar la adecuación de las pensiones. Al mismo tiempo, el papel de las pensiones no contributivas (o sociales) está aumentando en toda la región y puede representar una herramienta fundamental para mejorar la situación económica y el bienestar de las personas mayores. Estos programas deben ser evaluados tanto desde la perspectiva de la adecuación y la sostenibilidad financiera, como desde la forma en que interactuarán con los otros elementos del sistema de protección social, incluyendo la asistencia social y las pensiones contributivas.</w:t>
      </w:r>
    </w:p>
    <w:p w14:paraId="0073DE05"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Introducción</w:t>
      </w:r>
    </w:p>
    <w:p w14:paraId="7819111F"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La serie bienal de “Panorama de las Pensiones de la OCDE” comenzó en 2005 para los países de la OCDE y en 2011 se amplió para incluir a los otros países del G-20. Tras el lanzamiento de “Panorama de las Pensiones en Asia-Pacífico” en 2009, esta nueva publicación regional analiza las pensiones en América Latina y el Caribe (ALyC); es un producto conjunto del Banco Interamericano de Desarrollo, la Organización para la Cooperación y el Desarrollo Económicos y el Banco Mundial.</w:t>
      </w:r>
    </w:p>
    <w:p w14:paraId="74B2D203"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objetivo principal de la serie “Panorama de las Pensiones” es presentar un conjunto de indicadores sobre los sistemas pensionales, utilizando una metodología estándar que permita realizar comparaciones. El propósito de estos indicadores no es demostrar la superioridad de alguno de los modelos, sino permitir comparaciones entre los países, teniendo en cuenta las limitaciones descritas a continuación. Como en volúmenes anteriores de la serie, este incluye un capítulo de análisis especial sobre un tema considerado de alta prioridad para la región. En esta edición se analizan la cobertura y adecuación de los sistemas de América Latina.</w:t>
      </w:r>
    </w:p>
    <w:p w14:paraId="0B2FBD4C"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En la década de los años 90, se introdujeron una serie de reformas pensionales en América Latina que alteraron el diseño fundamental de muchos sistemas en la región. En particular, un número de países cambiaron de un sistema público de pensiones por reparto a un sistema de cuentas individuales de administración privada orientadas principalmente a resolver el problema de la sostenibilidad financiera a largo plazo en el contexto de una población que envejece.</w:t>
      </w:r>
    </w:p>
    <w:p w14:paraId="417DB7FE"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A pesar de que la sostenibilidad mejoró en varios países, hubo muy poco o ningún progreso en el desempeño de una segunda medida clave del sistema pensional: la cobertura. De hecho, el desafío de una cobertura creciente, por pensiones no contributivas, se ha convertido en el problema más debatido hoy en la región.</w:t>
      </w:r>
    </w:p>
    <w:p w14:paraId="0F086BA2"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La cobertura, definida como la proporción de trabajadores que participan en los esquemas pensionales y también como la proporción de adultos mayores que reciben algún tipo de pensión, continúa siendo hoy en día el desafío más importante en la región. En las dos décadas siguientes a las reformas, la proporción de trabajadores que contribuyeron a algún tipo de sistema pensional apenas cambió en la mayoría de los países y esto dio lugar a un creciente énfasis en las políticas para abordar la brecha de cobertura. El Capítulo 1 de esta publicación trata del tema general de la cobertura y más específicamente de la densidad de cotización.</w:t>
      </w:r>
    </w:p>
    <w:p w14:paraId="5115EFF4"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Además de la sostenibilidad y la cobertura, la tercera medida clave de un sistema pensional es su adecuación y este libro busca proporcionar un conjunto de indicadores comparables a lo largo de la región. Esta primera edición de “Panorama de las Pensiones: América Latina y el Caribe” extiende el análisis comparativo de la adecuación y un diseño de beneficios que hasta ahora estaba limitado para los países de altos ingresos de la OCDE.</w:t>
      </w:r>
    </w:p>
    <w:p w14:paraId="51A35621"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Estas comparaciones son difíciles sin una metodología adecuada y la presentación de la información por país, de forma clara y comprensible, se convierte en un desafío. La </w:t>
      </w:r>
      <w:r w:rsidRPr="00E44D9B">
        <w:rPr>
          <w:rFonts w:eastAsia="Calibri"/>
          <w:sz w:val="26"/>
          <w:szCs w:val="26"/>
          <w:lang w:eastAsia="en-US"/>
        </w:rPr>
        <w:lastRenderedPageBreak/>
        <w:t>colaboración de las tres instituciones responsables de este estudio ha permitido ampliar el grupo de países en los cuales se pueden hacer estas comparaciones. Con este fin, el Capítulo 2 de este reporte presenta datos descriptivos según las condiciones demográficas subyacentes, particularmente aquellas relevantes para las políticas pensionales. Además, se realiza una comparación sistemática del diseño de los sistemas entre los diferentes países, utilizando la topología estándar de “Panorama de las Pensiones” de la OCDE. El Capítulo 3 brinda un análisis de los indicadores clave en términos de adecuación, incluyendo las tasas de reemplazo brutas y netas, y la riqueza de la pensión para las mujeres y los hombres, por diferentes niveles de ingreso.</w:t>
      </w:r>
    </w:p>
    <w:p w14:paraId="022C1ED0"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Capítulo 4 incluye los perfiles del sistema pensional en los 26 países de América Latina en términos de estructura, reglas y parámetros. Esta información es la base requerida para generar los indicadores comparativos de adecuación. También sirve como referencia para los investigadores y los políticos interesados en los detalles específicos a los diferentes países.</w:t>
      </w:r>
    </w:p>
    <w:p w14:paraId="71A6B779"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Este libro no defiende ningún tipo de sistema pensional o de reforma en particular. Su objetivo es alimentar los debates sobre los sistemas de ingreso para la jubilación, con datos que puedan ser utilizados como punto de referencia por personas con diferentes visiones para el futuro de las pensiones. Este enfoque positivo en el análisis de la adecuación también reconoce que el diseño de beneficios es, en gran medida, una decisión subjetiva que varía entre las diferentes sociedades. Al mismo tiempo, mientras que se analizan opciones de reformas en los diferentes países, es importante comprender las elecciones que implican en términos de políticas.</w:t>
      </w:r>
    </w:p>
    <w:p w14:paraId="23D999B8"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A través de comparaciones objetivas, los países pueden aprender valiosas lecciones de otros sistemas pensionales y de sus experiencias con las reformas. Sin embargo, como en todos los intentos de realizar comparaciones válidas a nivel internacional, se deben tener en cuenta algunas limitaciones. La metodología aplicada (descrita en el Capítulo </w:t>
      </w:r>
      <w:r w:rsidRPr="00E44D9B">
        <w:rPr>
          <w:rFonts w:eastAsia="Calibri"/>
          <w:sz w:val="26"/>
          <w:szCs w:val="26"/>
          <w:lang w:eastAsia="en-US"/>
        </w:rPr>
        <w:lastRenderedPageBreak/>
        <w:t>3) incluye la simulación de los resultados para los trabajadores individuales según ciertas hipótesis como el momento en el cual estas personas comienzan a trabajar, el tiempo durante el que contribuyen y las variables exógenas que afectan a estos resultados, incluyendo el crecimiento salarial, la mortalidad y las tasas de interés. Los beneficios de las pensiones están proyectados para los trabajadores con diferentes niveles de ingresos, cubren todas las fuentes obligatorias de pensiones para los trabajadores del sector privado e incluyen las pensiones mínimas, básicas y esquemas condicionales, los programas relacionados con los ingresos y los planes de aportación definida. También se considera el impacto del impuesto sobre la renta y las contribuciones a la seguridad social en las condiciones de vida en el trabajo y en la jubilación: todos los indicadores se presentan para los impuestos y contribuciones brutos y neto.</w:t>
      </w:r>
    </w:p>
    <w:p w14:paraId="6DEADC84"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La comparación no se realizó en términos de resultados pronosticados, sino en resultados entre individuos similares implicados por el diseño del esquema pensional. Por ejemplo, mientras dos países pueden tener diseños de sistemas similares o inclusivo idénticos, en la práctica una diferencia significativa en los esquemas de contribución o esperanza de vida en la edad de jubilación generaría diferentes resultados en la realidad. Teniendo en cuenta la particular importancia de esta limitación para América Latina, donde existen evidencias de bajas densidades de contribución (especialmente en las secciones inferiores de las escalas de ingreso), el Capítulo 1 del reporte amplía el análisis usual a nivel micro y presenta información sobre la sensibilidad de los resultados. El marco es flexible en términos de modificación de supuestos; puede simularse el impacto de las reformas de la política y los desarrollos económicos en los derechos a pensión.</w:t>
      </w:r>
    </w:p>
    <w:p w14:paraId="661AA864" w14:textId="77777777" w:rsidR="00E44D9B" w:rsidRPr="00E44D9B" w:rsidRDefault="00E44D9B" w:rsidP="00E44D9B">
      <w:pPr>
        <w:spacing w:after="360" w:line="360" w:lineRule="auto"/>
        <w:ind w:right="-159"/>
        <w:jc w:val="both"/>
        <w:rPr>
          <w:rFonts w:eastAsia="Calibri"/>
          <w:sz w:val="26"/>
          <w:szCs w:val="26"/>
          <w:highlight w:val="yellow"/>
          <w:lang w:eastAsia="en-US"/>
        </w:rPr>
      </w:pPr>
      <w:r w:rsidRPr="00E44D9B">
        <w:rPr>
          <w:rFonts w:eastAsia="Calibri"/>
          <w:sz w:val="26"/>
          <w:szCs w:val="26"/>
          <w:lang w:eastAsia="en-US"/>
        </w:rPr>
        <w:t xml:space="preserve">Fundamentalmente, los indicadores derivados del análisis se refieren a un individuo que entra en el mercado laboral a día de hoy. En este sentido, es posible que este enfoque tenga la ventaja de tomar en cuenta las reformas ya establecidas. Si no cuenta con esa </w:t>
      </w:r>
      <w:r w:rsidRPr="00E44D9B">
        <w:rPr>
          <w:rFonts w:eastAsia="Calibri"/>
          <w:sz w:val="26"/>
          <w:szCs w:val="26"/>
          <w:lang w:eastAsia="en-US"/>
        </w:rPr>
        <w:lastRenderedPageBreak/>
        <w:t>ventaja, el análisis permite comparar a los jubilados con normas anteriores. Esto pone de relieve que el plan de pensiones cambia con el tiempo y los indicadores tienen que ser actualizados en volúmenes futuros.</w:t>
      </w:r>
    </w:p>
    <w:p w14:paraId="27BAE8A9"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Capítulo 1: Temas relacionados con políticas: cobertura y adecuación</w:t>
      </w:r>
    </w:p>
    <w:p w14:paraId="487C5730"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tema general de la cobertura y, más concretamente la densidad de cotización, se presenta en el Capítulo 1. La cobertura, definida tanto como la proporción de trabajadores que cotizan en los sistemas pensionales como la proporción de personas mayores que reciben algún tipo de pensión, sigue siendo el reto más importante de la región. En las dos décadas que siguieron a las reformas de pensiones en América Latina, la participación de los trabajadores que cotizan a un sistema de pensiones de cualquier tipo aumentó muy poco en la mayoría países, dando lugar a un creciente énfasis en las políticas que abordan la falta de cobertura. Hay que tener en cuenta, además, que países diferentes pueden tener diseños de sistemas pensionales similares, incluso idénticos, pero una diferencia significativa en los patrones de cotización o esperanza de vida al jubilarse indica diferentes resultados en la práctica. Reconociendo la importancia particular de esta limitación para América Latina, donde existe evidencia de baja densidad de cotización, especialmente en el extremo inferior de las escalas de ingresos, el Capítulo 1 amplía el análisis habitual a nivel micro y hace un análisis de sensibilidad de los resultados.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30"/>
      </w:tblGrid>
      <w:tr w:rsidR="00E44D9B" w:rsidRPr="00E44D9B" w14:paraId="099206D5" w14:textId="77777777" w:rsidTr="004257D5">
        <w:trPr>
          <w:jc w:val="center"/>
        </w:trPr>
        <w:tc>
          <w:tcPr>
            <w:tcW w:w="0" w:type="auto"/>
          </w:tcPr>
          <w:p w14:paraId="6529A454" w14:textId="77777777" w:rsidR="00E44D9B" w:rsidRPr="00E44D9B" w:rsidRDefault="00E44D9B" w:rsidP="00E44D9B">
            <w:pPr>
              <w:spacing w:before="240" w:after="240" w:line="360" w:lineRule="auto"/>
              <w:jc w:val="both"/>
              <w:rPr>
                <w:rFonts w:eastAsia="Calibri"/>
                <w:b/>
                <w:sz w:val="26"/>
                <w:szCs w:val="26"/>
                <w:lang w:eastAsia="en-US"/>
              </w:rPr>
            </w:pPr>
            <w:r w:rsidRPr="00E44D9B">
              <w:rPr>
                <w:rFonts w:eastAsia="Calibri"/>
                <w:b/>
                <w:sz w:val="26"/>
                <w:szCs w:val="26"/>
                <w:lang w:eastAsia="en-US"/>
              </w:rPr>
              <w:t>Principales tendencias en los ahorros pensionales en ALyC desde los años 90</w:t>
            </w:r>
          </w:p>
        </w:tc>
      </w:tr>
      <w:tr w:rsidR="00E44D9B" w:rsidRPr="00E44D9B" w14:paraId="64A9CDB7" w14:textId="77777777" w:rsidTr="004257D5">
        <w:trPr>
          <w:jc w:val="center"/>
        </w:trPr>
        <w:tc>
          <w:tcPr>
            <w:tcW w:w="0" w:type="auto"/>
          </w:tcPr>
          <w:p w14:paraId="421CC476"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t xml:space="preserve">Utilizando datos disponibles en las encuestas en hogares, Rofman y Oliveri (2012) estudiaron las tasas de cobertura activa en la mayoría de los países de ALyC desde comienzos de la década de los años 90. Sus análisis confirmaron que las tasas de </w:t>
            </w:r>
            <w:r w:rsidRPr="00E44D9B">
              <w:rPr>
                <w:rFonts w:eastAsia="Calibri"/>
                <w:sz w:val="26"/>
                <w:szCs w:val="26"/>
                <w:lang w:eastAsia="en-US"/>
              </w:rPr>
              <w:lastRenderedPageBreak/>
              <w:t>cobertura activa no han aumentado significativamente en la región y se han mantenido en bajos niveles, sin importar el tipo de esquema pensional analizado.</w:t>
            </w:r>
          </w:p>
        </w:tc>
      </w:tr>
      <w:tr w:rsidR="00E44D9B" w:rsidRPr="00E44D9B" w14:paraId="4BE63D2B" w14:textId="77777777" w:rsidTr="004257D5">
        <w:trPr>
          <w:jc w:val="center"/>
        </w:trPr>
        <w:tc>
          <w:tcPr>
            <w:tcW w:w="0" w:type="auto"/>
          </w:tcPr>
          <w:p w14:paraId="6145C011"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lastRenderedPageBreak/>
              <w:t>El número de cotizantes o afiliados a un esquema pensional como porcentaje de la fuerza laboral activa se redujo de 42% a comienzos de los años 90 a aproximadamente 32% en los años 2000. Al finalizar la década, subió a 37%. En promedio, la cobertura pensional activa se redujo en la mayoría de los países de la región entre comienzos de la década de los años 90 y comienzos de la década de 2000, esto es, el período durante el cual se implementaron la mayoría de los esquemas pensionales privados. Las diferentes crisis financieras en el interior y en el exterior de la región, la privatización de los servicios públicos y la liberalización comercial son algunas de las razones de estas tendencias. A finales de la década del 2000, la cobertura entre la población económicamente activa era menor al 30% en ocho países (Bolivia, República Dominicana, El Salvador, Guatemala, Honduras, Nicaragua, Paraguay y Perú) y superior al 60% en solamente tres (Costa Rica, Uruguay y Chile).</w:t>
            </w:r>
          </w:p>
        </w:tc>
      </w:tr>
      <w:tr w:rsidR="00E44D9B" w:rsidRPr="00E44D9B" w14:paraId="63932A3A" w14:textId="77777777" w:rsidTr="004257D5">
        <w:trPr>
          <w:jc w:val="center"/>
        </w:trPr>
        <w:tc>
          <w:tcPr>
            <w:tcW w:w="0" w:type="auto"/>
          </w:tcPr>
          <w:p w14:paraId="5AC57129"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t>Sin embargo, existen diferencias significativas entre los países. En particular, aquellos con las mayores tasas de cobertura a comienzos de los años 90 (como Chile y Uruguay) continuaron consolidando sus sistemas pensionales, alcanzando tasas de cobertura actuales cercanas al 70%. Otros países como Perú y República Dominicana han aumentado de manera significativa sus tasas de cobertura activa desde la década de los años 90, aunque permanecen por debajo del 30%. En un tercer grupo en el que se encuentran Ecuador, Nicaragua y Paraguay, la tasa de cobertura continuó disminuyendo durante las últimas dos décadas. No se ha detectado una tendencia específica en el grupo restante de países.</w:t>
            </w:r>
          </w:p>
        </w:tc>
      </w:tr>
      <w:tr w:rsidR="00E44D9B" w:rsidRPr="00E44D9B" w14:paraId="5328E8FB" w14:textId="77777777" w:rsidTr="004257D5">
        <w:trPr>
          <w:jc w:val="center"/>
        </w:trPr>
        <w:tc>
          <w:tcPr>
            <w:tcW w:w="0" w:type="auto"/>
          </w:tcPr>
          <w:p w14:paraId="1FC7E856"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t xml:space="preserve">Teniendo en cuenta los bajos niveles de contribuciones pensionales, otros elementos de los mercados laborales actuales de América Latina y el débil impacto del crecimiento, es probable que la cobertura pensional continúe siendo baja en el </w:t>
            </w:r>
            <w:r w:rsidRPr="00E44D9B">
              <w:rPr>
                <w:rFonts w:eastAsia="Calibri"/>
                <w:sz w:val="26"/>
                <w:szCs w:val="26"/>
                <w:lang w:eastAsia="en-US"/>
              </w:rPr>
              <w:lastRenderedPageBreak/>
              <w:t>futuro y, por lo tanto, seguirá suponiendo uno de los desafíos más importantes en términos de políticas económicas y sociales.</w:t>
            </w:r>
          </w:p>
        </w:tc>
      </w:tr>
    </w:tbl>
    <w:p w14:paraId="637ED8CC" w14:textId="77777777" w:rsidR="00E44D9B" w:rsidRPr="00E44D9B" w:rsidRDefault="00E44D9B" w:rsidP="00E44D9B">
      <w:pPr>
        <w:spacing w:after="200" w:line="276" w:lineRule="auto"/>
        <w:rPr>
          <w:rFonts w:eastAsia="Calibri"/>
          <w:sz w:val="22"/>
          <w:szCs w:val="22"/>
          <w:lang w:eastAsia="en-US"/>
        </w:rPr>
      </w:pPr>
    </w:p>
    <w:tbl>
      <w:tblPr>
        <w:tblW w:w="0" w:type="auto"/>
        <w:jc w:val="center"/>
        <w:tblBorders>
          <w:top w:val="single" w:sz="2" w:space="0" w:color="auto"/>
          <w:left w:val="single" w:sz="2" w:space="0" w:color="auto"/>
          <w:bottom w:val="single" w:sz="2" w:space="0" w:color="auto"/>
          <w:right w:val="single" w:sz="2" w:space="0" w:color="auto"/>
          <w:insideV w:val="single" w:sz="2" w:space="0" w:color="auto"/>
        </w:tblBorders>
        <w:tblLook w:val="04A0" w:firstRow="1" w:lastRow="0" w:firstColumn="1" w:lastColumn="0" w:noHBand="0" w:noVBand="1"/>
      </w:tblPr>
      <w:tblGrid>
        <w:gridCol w:w="8834"/>
      </w:tblGrid>
      <w:tr w:rsidR="00E44D9B" w:rsidRPr="00E44D9B" w14:paraId="597840F9" w14:textId="77777777" w:rsidTr="001D740F">
        <w:trPr>
          <w:jc w:val="center"/>
        </w:trPr>
        <w:tc>
          <w:tcPr>
            <w:tcW w:w="0" w:type="auto"/>
          </w:tcPr>
          <w:p w14:paraId="144FEE5E" w14:textId="77777777" w:rsidR="00E44D9B" w:rsidRPr="00E44D9B" w:rsidRDefault="00E44D9B" w:rsidP="004257D5">
            <w:pPr>
              <w:spacing w:before="240" w:after="240"/>
              <w:jc w:val="both"/>
              <w:rPr>
                <w:rFonts w:eastAsia="Calibri"/>
                <w:b/>
                <w:sz w:val="26"/>
                <w:szCs w:val="26"/>
                <w:lang w:eastAsia="en-US"/>
              </w:rPr>
            </w:pPr>
            <w:r w:rsidRPr="00E44D9B">
              <w:rPr>
                <w:rFonts w:eastAsia="Calibri"/>
                <w:b/>
                <w:sz w:val="26"/>
                <w:szCs w:val="26"/>
                <w:lang w:eastAsia="en-US"/>
              </w:rPr>
              <w:t>Integrando pensiones contributivas y no contributivas: el nuevo pilar de la solidaridad en Chile</w:t>
            </w:r>
          </w:p>
        </w:tc>
      </w:tr>
      <w:tr w:rsidR="00E44D9B" w:rsidRPr="00E44D9B" w14:paraId="486BA4D6" w14:textId="77777777" w:rsidTr="001D740F">
        <w:trPr>
          <w:jc w:val="center"/>
        </w:trPr>
        <w:tc>
          <w:tcPr>
            <w:tcW w:w="0" w:type="auto"/>
          </w:tcPr>
          <w:p w14:paraId="75616C77"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t>Chile introdujo un nuevo pilar de solidaridad en 2008 como complemento al sistema de pensiones contributivas existente que se basa en la capitalización individual. En 1981, Chile reemplazó su sistema tradicional de regímenes de jubilación financiados por la vía de la distribución, por un sistema contributivo definido de cuentas individuales administradas por firmas privadas especializadas. Existían dos tipos de beneficios no contributivos: i) Una pensión de asistencia social orientada hacia el quintil inferior de la repartición del ingreso, cuya elegibilidad se anula al percibir otro tipo de ingreso pensional; y ii) una pensión mínima garantizada para contribuyentes a fondos de pensiones que alcanzaron saldos bajos después de mínimo 20 años de contribución.</w:t>
            </w:r>
          </w:p>
          <w:p w14:paraId="358B1388" w14:textId="77777777" w:rsidR="00E44D9B" w:rsidRPr="00E44D9B" w:rsidRDefault="00E44D9B" w:rsidP="00E44D9B">
            <w:pPr>
              <w:spacing w:after="360" w:line="360" w:lineRule="auto"/>
              <w:jc w:val="both"/>
              <w:rPr>
                <w:rFonts w:eastAsia="Calibri"/>
                <w:sz w:val="26"/>
                <w:szCs w:val="26"/>
                <w:lang w:eastAsia="en-US"/>
              </w:rPr>
            </w:pPr>
            <w:r w:rsidRPr="00E44D9B">
              <w:rPr>
                <w:rFonts w:eastAsia="Calibri"/>
                <w:sz w:val="26"/>
                <w:szCs w:val="26"/>
                <w:lang w:eastAsia="en-US"/>
              </w:rPr>
              <w:t xml:space="preserve">Hacia 2006, era evidente que si bien el sistema había sido muy exitoso para obtener tasas de retorno muy altas para los fondos pensionales, el nivel de las pensiones sería muy bajo para una gran porción de la población. La mayor parte de los afiliados no tenían una frecuencia de contribución suficiente para asegurar un saldo elevado de contribución y de esta manera pensiones aceptables. Aunque la proporción de la fuerza laboral perteneciente al sector formal era relativamente alta (alrededor del 60%), sólo una minoría mantenía empleos estables. Berstein et al. (2006) estimaron que alrededor del 50% de los miembros recibirían una pensión inferior a la pensión mínima y que muchos no alcanzarían los 20 años de contribución mínimos requeridos para la pensión garantizada. Por otra parte, muchos de estos individuos no serían suficientemente pobres para calificar para la </w:t>
            </w:r>
            <w:r w:rsidRPr="00E44D9B">
              <w:rPr>
                <w:rFonts w:eastAsia="Calibri"/>
                <w:sz w:val="26"/>
                <w:szCs w:val="26"/>
                <w:lang w:eastAsia="en-US"/>
              </w:rPr>
              <w:lastRenderedPageBreak/>
              <w:t>pensión de la asistencia social. Como resultado, individuos de ingresos bajos y medios cayeron en una brecha de cobertura.</w:t>
            </w:r>
          </w:p>
          <w:p w14:paraId="33791D73" w14:textId="77777777" w:rsidR="00E44D9B" w:rsidRPr="00E44D9B" w:rsidRDefault="00E44D9B" w:rsidP="00E44D9B">
            <w:pPr>
              <w:spacing w:after="240" w:line="360" w:lineRule="auto"/>
              <w:jc w:val="both"/>
              <w:rPr>
                <w:rFonts w:eastAsia="Calibri"/>
                <w:sz w:val="26"/>
                <w:szCs w:val="26"/>
                <w:lang w:eastAsia="en-US"/>
              </w:rPr>
            </w:pPr>
            <w:r w:rsidRPr="00E44D9B">
              <w:rPr>
                <w:rFonts w:eastAsia="Calibri"/>
                <w:sz w:val="26"/>
                <w:szCs w:val="26"/>
                <w:lang w:eastAsia="en-US"/>
              </w:rPr>
              <w:t xml:space="preserve">Con el fin de aumentar los niveles pensionales, el gobierno siguió una estrategia dual: i) expandiendo la cobertura contributiva para que todo aquel con capacidad de ahorro hiciera contribución para pensiones, ii) proporcionando un nivel mínimo de pensión no contributiva para las pensiones bajas mediante un pilar de solidaridad. Las medidas para expandir la base contributiva incluyeron la introducción gradual obligatoria de contribuciones para los trabajadores independientes a través del sistema tributario, fortaleciendo la aplicación y creando incentivos para que los trabajadores hicieran contribuciones voluntarias. Con respecto a los beneficios no contributivos, los formuladores de políticas en Chile tuvieron que enfrentarse al siguiente dilema: ofrecer protección de ingresos o reducir los incentivos de ahorro. El nuevo pilar de solidaridad fue diseñado en compatibilidad con los incentivos para contribuir con el sistema. Dado que ni la pensión de la asistencia social ni la pensión mínima garantizada proporcionaban un apoyo al ingreso suficiente para aliviar la pobreza de la población mayor, se decidió el reemplazo de ambos programas con la introducción del nuevo pilar. Con el fin de mantener algunos de los incentivos para la contribución, se diseñó el beneficio de contribución, no como un monto mínimo garantizado de pensión, sino como un mínimo de pensión para los individuos sin contribuciones y, adicionalmente, un pago extra para individuos con contribuciones. El monto del pago extra se estableció como inversamente proporcional al nivel de la pensión contributiva. Esta reducción se diseñó para que el total de la pensión (la suma de la pensión contributiva y no contributiva) aumentara constantemente en función del monto acumulado en la cuenta individual de contribución. En otras palabras, el nuevo pilar de solidaridad se diseñó como un beneficio de pensión mínimo con una “retroacción” como se puede apreciar en el diagrama de abajo. El monto de la pensión mínima se estableció a un nivel superior al de la pensión de la asistencia social existente (pero inferior a la pensión mínima </w:t>
            </w:r>
            <w:r w:rsidRPr="00E44D9B">
              <w:rPr>
                <w:rFonts w:eastAsia="Calibri"/>
                <w:sz w:val="26"/>
                <w:szCs w:val="26"/>
                <w:lang w:eastAsia="en-US"/>
              </w:rPr>
              <w:lastRenderedPageBreak/>
              <w:t>garantizada), y la tasa de retroacción se estableció al nivel de 30%. En lo operacional, el nuevo pilar de solidaridad se compuso de dos beneficios: i) la pensión básica de solidaridad (PBS) para individuos sin contribuciones y ii) un suplemento de pensión de solidaridad (APS), que era un monto extra para individuos que ya estuvieran recibiendo alguna pensión contributiva. El segmento de la población objetivo para los nuevos beneficios fue la porción de los adultos mayores de 65 años pertenecientes al 60% de los hogares más pobres y con un mínimo de 20 años de residencia en el país. Por ende, el beneficio mínimo pasó de ser un programa orientado al alivio de la pobreza a ser un programa general orientado a excluir a los más ricos, y la condición de contribución fue reemplazada por una condición de residencia.</w:t>
            </w:r>
          </w:p>
        </w:tc>
      </w:tr>
      <w:tr w:rsidR="00E44D9B" w:rsidRPr="00E44D9B" w14:paraId="552511DA" w14:textId="77777777" w:rsidTr="001D740F">
        <w:trPr>
          <w:jc w:val="center"/>
        </w:trPr>
        <w:tc>
          <w:tcPr>
            <w:tcW w:w="0" w:type="auto"/>
          </w:tcPr>
          <w:p w14:paraId="649F7A56" w14:textId="77777777" w:rsidR="00E44D9B" w:rsidRPr="00E44D9B" w:rsidRDefault="00E44D9B" w:rsidP="00E44D9B">
            <w:pPr>
              <w:spacing w:after="240" w:line="360" w:lineRule="auto"/>
              <w:jc w:val="center"/>
              <w:rPr>
                <w:rFonts w:eastAsia="Calibri"/>
                <w:sz w:val="26"/>
                <w:szCs w:val="26"/>
                <w:lang w:eastAsia="en-US"/>
              </w:rPr>
            </w:pPr>
            <w:r w:rsidRPr="00E44D9B">
              <w:rPr>
                <w:rFonts w:eastAsia="Calibri"/>
                <w:noProof/>
                <w:sz w:val="26"/>
                <w:szCs w:val="26"/>
                <w:lang w:eastAsia="es-MX"/>
              </w:rPr>
              <w:lastRenderedPageBreak/>
              <w:drawing>
                <wp:inline distT="0" distB="0" distL="0" distR="0" wp14:anchorId="4FE04C93" wp14:editId="6AE67359">
                  <wp:extent cx="4559300" cy="2852760"/>
                  <wp:effectExtent l="0" t="0" r="0" b="5080"/>
                  <wp:docPr id="1891" name="Imagen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7" cstate="print">
                            <a:extLst>
                              <a:ext uri="{28A0092B-C50C-407E-A947-70E740481C1C}">
                                <a14:useLocalDpi xmlns:a14="http://schemas.microsoft.com/office/drawing/2010/main" val="0"/>
                              </a:ext>
                            </a:extLst>
                          </a:blip>
                          <a:srcRect b="16836"/>
                          <a:stretch/>
                        </pic:blipFill>
                        <pic:spPr bwMode="auto">
                          <a:xfrm>
                            <a:off x="0" y="0"/>
                            <a:ext cx="4559300" cy="28527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A2AC585" w14:textId="77777777" w:rsidR="00E44D9B" w:rsidRPr="00E44D9B" w:rsidRDefault="00E44D9B" w:rsidP="00E44D9B">
      <w:pPr>
        <w:spacing w:after="360" w:line="360" w:lineRule="auto"/>
        <w:ind w:right="-159"/>
        <w:jc w:val="both"/>
        <w:rPr>
          <w:rFonts w:eastAsia="Calibri"/>
          <w:sz w:val="26"/>
          <w:szCs w:val="26"/>
          <w:lang w:eastAsia="en-US"/>
        </w:rPr>
      </w:pPr>
    </w:p>
    <w:p w14:paraId="58058683"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Conclusión</w:t>
      </w:r>
    </w:p>
    <w:p w14:paraId="6706327E"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Este capítulo se enfoca en la cobertura de los sistemas formales de pensión, tanto en términos de trabajadores activos que contribuyen como de personas de la tercera edad que reciben pensiones de forma creciente en modalidad de pensiones no contributivas. </w:t>
      </w:r>
      <w:r w:rsidRPr="00E44D9B">
        <w:rPr>
          <w:rFonts w:eastAsia="Calibri"/>
          <w:sz w:val="26"/>
          <w:szCs w:val="26"/>
          <w:lang w:eastAsia="en-US"/>
        </w:rPr>
        <w:lastRenderedPageBreak/>
        <w:t>La cobertura es un tema al que se le atribuye actualmente una alta importancia en la región y las brechas se explican por un gran número de factores, incluyendo:</w:t>
      </w:r>
    </w:p>
    <w:p w14:paraId="73CC02FB" w14:textId="77777777" w:rsidR="00E44D9B" w:rsidRPr="00E44D9B" w:rsidRDefault="00E44D9B" w:rsidP="00667577">
      <w:pPr>
        <w:numPr>
          <w:ilvl w:val="0"/>
          <w:numId w:val="178"/>
        </w:numPr>
        <w:spacing w:after="360" w:line="360" w:lineRule="auto"/>
        <w:ind w:right="-159"/>
        <w:jc w:val="both"/>
        <w:rPr>
          <w:rFonts w:eastAsia="Calibri"/>
          <w:sz w:val="26"/>
          <w:szCs w:val="26"/>
          <w:lang w:eastAsia="en-US"/>
        </w:rPr>
      </w:pPr>
      <w:r w:rsidRPr="00E44D9B">
        <w:rPr>
          <w:rFonts w:eastAsia="Calibri"/>
          <w:sz w:val="26"/>
          <w:szCs w:val="26"/>
          <w:lang w:eastAsia="en-US"/>
        </w:rPr>
        <w:t>La no conformidad o actividad laboral informal, que excluye la participación en sistemas de pensión contributiva.</w:t>
      </w:r>
    </w:p>
    <w:p w14:paraId="749B5702" w14:textId="77777777" w:rsidR="00E44D9B" w:rsidRPr="00E44D9B" w:rsidRDefault="00E44D9B" w:rsidP="00667577">
      <w:pPr>
        <w:numPr>
          <w:ilvl w:val="0"/>
          <w:numId w:val="178"/>
        </w:numPr>
        <w:spacing w:after="360" w:line="360" w:lineRule="auto"/>
        <w:ind w:right="-159"/>
        <w:jc w:val="both"/>
        <w:rPr>
          <w:rFonts w:eastAsia="Calibri"/>
          <w:sz w:val="26"/>
          <w:szCs w:val="26"/>
          <w:lang w:eastAsia="en-US"/>
        </w:rPr>
      </w:pPr>
      <w:r w:rsidRPr="00E44D9B">
        <w:rPr>
          <w:rFonts w:eastAsia="Calibri"/>
          <w:sz w:val="26"/>
          <w:szCs w:val="26"/>
          <w:lang w:eastAsia="en-US"/>
        </w:rPr>
        <w:t>La baja densidad de contribución, que a su vez afecta la adecuación de pensiones futuras para muchos individuos y especialmente aquellos con ingresos bajos.</w:t>
      </w:r>
    </w:p>
    <w:p w14:paraId="0665E370" w14:textId="77777777" w:rsidR="00E44D9B" w:rsidRPr="00E44D9B" w:rsidRDefault="00E44D9B" w:rsidP="00667577">
      <w:pPr>
        <w:numPr>
          <w:ilvl w:val="0"/>
          <w:numId w:val="178"/>
        </w:numPr>
        <w:spacing w:after="360" w:line="360" w:lineRule="auto"/>
        <w:ind w:right="-159"/>
        <w:jc w:val="both"/>
        <w:rPr>
          <w:rFonts w:eastAsia="Calibri"/>
          <w:sz w:val="26"/>
          <w:szCs w:val="26"/>
          <w:lang w:eastAsia="en-US"/>
        </w:rPr>
      </w:pPr>
      <w:r w:rsidRPr="00E44D9B">
        <w:rPr>
          <w:rFonts w:eastAsia="Calibri"/>
          <w:sz w:val="26"/>
          <w:szCs w:val="26"/>
          <w:lang w:eastAsia="en-US"/>
        </w:rPr>
        <w:t>Los adultos mayores que carecen de ingreso pensional reflejan estas dos dimensiones pero en el pasado.</w:t>
      </w:r>
    </w:p>
    <w:p w14:paraId="0DD2EEF8" w14:textId="77777777" w:rsidR="00E44D9B" w:rsidRPr="00E44D9B" w:rsidRDefault="00E44D9B" w:rsidP="00667577">
      <w:pPr>
        <w:numPr>
          <w:ilvl w:val="0"/>
          <w:numId w:val="178"/>
        </w:numPr>
        <w:spacing w:after="360" w:line="360" w:lineRule="auto"/>
        <w:ind w:right="-159"/>
        <w:jc w:val="both"/>
        <w:rPr>
          <w:rFonts w:eastAsia="Calibri"/>
          <w:sz w:val="26"/>
          <w:szCs w:val="26"/>
          <w:lang w:eastAsia="en-US"/>
        </w:rPr>
      </w:pPr>
      <w:r w:rsidRPr="00E44D9B">
        <w:rPr>
          <w:rFonts w:eastAsia="Calibri"/>
          <w:sz w:val="26"/>
          <w:szCs w:val="26"/>
          <w:lang w:eastAsia="en-US"/>
        </w:rPr>
        <w:t>La función y la cobertura de las pensiones sociales, por ejemplo, transferencias monetarias a las personas de la tercera edad que no están vinculadas con sistemas de pensión contributiva.</w:t>
      </w:r>
    </w:p>
    <w:p w14:paraId="70266B2B"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Los países de ALyC están intentando lidiar con los problemas de cobertura de diferentes maneras, pero la tendencia es evidente y la política que parece estar teniendo el mayor impacto es la extensión de las pensiones sociales. Además de su impacto en la cobertura, este cambio de política tiene implicaciones importantes a largo plazo en aquellos países donde la población está envejeciendo. También afecta el análisis del aspecto de adecuación, que es tema central en el resto de este informe. Por ejemplo, en países como Bolivia, donde la pensión social es la única fuente de ingreso para la gran mayoría de personas mayores, el diseño del sistema contributivo es menos relevante para evaluar la adecuación del sistema y para efectuar comparaciones internacionales. De forma similar, los países que están adoptando esquemas de pensiones sociales que complementen el ingreso pensional de algunos trabajadores que reciben pensiones contributivas, como Chile, deben tener cuidado en cuanto a las implicaciones de este enfoque en términos de adecuación.</w:t>
      </w:r>
    </w:p>
    <w:p w14:paraId="0CEA50FA"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lastRenderedPageBreak/>
        <w:t>Capítulo 2: Indicadores demográficos clave</w:t>
      </w:r>
    </w:p>
    <w:p w14:paraId="14314025" w14:textId="1A59F30E"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Aunque las tasas de fertilidad en la mayoría de los países de la región están por encima de la tasa de reemplazo de la población, </w:t>
      </w:r>
      <w:r w:rsidR="00121C15">
        <w:rPr>
          <w:rFonts w:eastAsia="Calibri"/>
          <w:sz w:val="26"/>
          <w:szCs w:val="26"/>
          <w:lang w:eastAsia="en-US"/>
        </w:rPr>
        <w:t>é</w:t>
      </w:r>
      <w:r w:rsidRPr="00E44D9B">
        <w:rPr>
          <w:rFonts w:eastAsia="Calibri"/>
          <w:sz w:val="26"/>
          <w:szCs w:val="26"/>
          <w:lang w:eastAsia="en-US"/>
        </w:rPr>
        <w:t>stas han disminuido en los últimos 30 años. El aumento de la esperanza de vida y la reducción de las tasas de fecundidad son las principales causas del envejecimiento de la población.</w:t>
      </w:r>
    </w:p>
    <w:p w14:paraId="40767D32"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primer indicador de este capítulo explora las tasas de fertilidad y cómo han cambiado con el tiempo, junto con un breve análisis de las explicaciones de las tendencias. Se muestran a través del tiempo los cambios en la esperanza de vida al nacer y a los 65 años de edad. También se presenta un breve análisis de la manera en que la esperanza de vida podría cambiar en el futuro.</w:t>
      </w:r>
    </w:p>
    <w:p w14:paraId="1CADB205"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envejecimiento de la población en sí es abordado por el tercer indicador, que representa la tasa de dependencia en la vejez equivalente a la cantidad de personas en edad de trabajar en relación con el número de pensiones de vejez. La tasa de dependencia en la vejez se muestra durante un siglo: los datos históricos datan de 1960 y las proyecciones llegan hasta 2060.</w:t>
      </w:r>
    </w:p>
    <w:p w14:paraId="4E932EE6"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Resultados clave</w:t>
      </w:r>
    </w:p>
    <w:p w14:paraId="7F7B1986" w14:textId="77777777" w:rsidR="00E44D9B" w:rsidRPr="00E44D9B" w:rsidRDefault="00E44D9B" w:rsidP="00667577">
      <w:pPr>
        <w:numPr>
          <w:ilvl w:val="0"/>
          <w:numId w:val="179"/>
        </w:numPr>
        <w:spacing w:after="360" w:line="360" w:lineRule="auto"/>
        <w:ind w:right="-159"/>
        <w:jc w:val="both"/>
        <w:rPr>
          <w:rFonts w:eastAsia="Calibri"/>
          <w:sz w:val="26"/>
          <w:szCs w:val="26"/>
          <w:lang w:eastAsia="en-US"/>
        </w:rPr>
      </w:pPr>
      <w:r w:rsidRPr="00E44D9B">
        <w:rPr>
          <w:rFonts w:eastAsia="Calibri"/>
          <w:sz w:val="26"/>
          <w:szCs w:val="26"/>
          <w:lang w:eastAsia="en-US"/>
        </w:rPr>
        <w:t>La tasa global de fertilidad superó el nivel de reemplazo (el número de niños requeridos para mantener constante la población total) en 20 de 26 países de ALyC durante los años 2005-2010. Las únicas excepciones fueron Bahamas, Brasil, Chile y Costa Rica (con una tasa de reemplazo de 1.9), Trinidad y Tobago y Barbados con 1.8. Sin embargo, los niveles de fertilidad han decaído en cada período de 10 años durante los últimos 30 años, con excepción de Barbados entre 1995 y 2005. Las tasas de fertilidad tienen profundas implicaciones en los sistemas pensionales, ya que junto con la esperanza de vida, son las causas que impulsan el envejecimiento de la población.</w:t>
      </w:r>
    </w:p>
    <w:p w14:paraId="308F2011" w14:textId="77777777" w:rsidR="00E44D9B" w:rsidRPr="00E44D9B" w:rsidRDefault="00E44D9B" w:rsidP="00667577">
      <w:pPr>
        <w:numPr>
          <w:ilvl w:val="0"/>
          <w:numId w:val="179"/>
        </w:num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 xml:space="preserve">La notable reducción de la mortalidad, evidenciada por el aumento de la esperanza de vida, es uno de los mayores logros del último siglo. Las vidas de las personas continúan alargándose y se predice que esta tendencia continuará. Durante 2010-2015, la esperanza de vida al nacer promedió 70.7 años para los hombres y 76.6 años para las mujeres. Entre las mujeres, esta cifra fue mayor en Chile (82.6 años), seguida por Costa Rica, Uruguay, Panamá, Argentina, </w:t>
      </w:r>
      <w:r w:rsidRPr="00E44D9B">
        <w:rPr>
          <w:rFonts w:eastAsia="Calibri"/>
          <w:b/>
          <w:sz w:val="26"/>
          <w:szCs w:val="26"/>
          <w:lang w:eastAsia="en-US"/>
        </w:rPr>
        <w:t>México</w:t>
      </w:r>
      <w:r w:rsidRPr="00E44D9B">
        <w:rPr>
          <w:rFonts w:eastAsia="Calibri"/>
          <w:sz w:val="26"/>
          <w:szCs w:val="26"/>
          <w:lang w:eastAsia="en-US"/>
        </w:rPr>
        <w:t xml:space="preserve"> y Ecuador, todos por encima de 79 años. Para los hombres, la esperanza de vida fue más alta en Costa Rica (77.7 años) seguida por Chile, </w:t>
      </w:r>
      <w:r w:rsidRPr="00E44D9B">
        <w:rPr>
          <w:rFonts w:eastAsia="Calibri"/>
          <w:b/>
          <w:sz w:val="26"/>
          <w:szCs w:val="26"/>
          <w:lang w:eastAsia="en-US"/>
        </w:rPr>
        <w:t>México</w:t>
      </w:r>
      <w:r w:rsidRPr="00E44D9B">
        <w:rPr>
          <w:rFonts w:eastAsia="Calibri"/>
          <w:sz w:val="26"/>
          <w:szCs w:val="26"/>
          <w:lang w:eastAsia="en-US"/>
        </w:rPr>
        <w:t xml:space="preserve"> y Panamá.</w:t>
      </w:r>
    </w:p>
    <w:p w14:paraId="7DCE05B6" w14:textId="77777777" w:rsidR="00E44D9B" w:rsidRPr="00E44D9B" w:rsidRDefault="00E44D9B" w:rsidP="00667577">
      <w:pPr>
        <w:numPr>
          <w:ilvl w:val="0"/>
          <w:numId w:val="179"/>
        </w:numPr>
        <w:spacing w:after="360" w:line="360" w:lineRule="auto"/>
        <w:ind w:right="-159"/>
        <w:jc w:val="both"/>
        <w:rPr>
          <w:rFonts w:eastAsia="Calibri"/>
          <w:sz w:val="26"/>
          <w:szCs w:val="26"/>
          <w:lang w:eastAsia="en-US"/>
        </w:rPr>
      </w:pPr>
      <w:r w:rsidRPr="00E44D9B">
        <w:rPr>
          <w:rFonts w:eastAsia="Calibri"/>
          <w:sz w:val="26"/>
          <w:szCs w:val="26"/>
          <w:lang w:eastAsia="en-US"/>
        </w:rPr>
        <w:t>El envejecimiento de la población es uno de los motores de cambio de la ola de reformas pensionales alrededor del mundo en los años recientes. La tasa de dependencia es un indicador importante de la presión que ejercen las cuestiones demográficas sobre los sistemas pensionales; mide el número de personas en edad productiva (20-64) en relación con el número de personas en edad de jubilación (65+). En el momento, existen en promedio casi un poco más de ocho personas en edad productiva por cada jubilado.</w:t>
      </w:r>
    </w:p>
    <w:p w14:paraId="63BE19A4" w14:textId="77777777" w:rsidR="00E44D9B" w:rsidRPr="00E44D9B" w:rsidRDefault="00E44D9B" w:rsidP="00667577">
      <w:pPr>
        <w:numPr>
          <w:ilvl w:val="0"/>
          <w:numId w:val="179"/>
        </w:numPr>
        <w:spacing w:after="360" w:line="360" w:lineRule="auto"/>
        <w:ind w:right="-159"/>
        <w:jc w:val="both"/>
        <w:rPr>
          <w:rFonts w:eastAsia="Calibri"/>
          <w:sz w:val="26"/>
          <w:szCs w:val="26"/>
          <w:lang w:eastAsia="en-US"/>
        </w:rPr>
      </w:pPr>
      <w:r w:rsidRPr="00E44D9B">
        <w:rPr>
          <w:rFonts w:eastAsia="Calibri"/>
          <w:sz w:val="26"/>
          <w:szCs w:val="26"/>
          <w:lang w:eastAsia="en-US"/>
        </w:rPr>
        <w:t>Los países de ALyC han estado envejeciendo durante un tiempo, pero en general a un ritmo lento: entre 1950 y 1980, la tasa de dependencia promedio se redujo de 13.4 a 10.2. Sin embargo, la disminución en períodos más recientes ha sido más lenta, con una caída de 10.2 a 8.4 en un lapso de 30 años. Desde 2010, se espera una aceleración en el envejecimiento de la población. Para 2030, se proyecta que la tasa de dependencia alcance 5.0 y se reduzca aún más, por debajo de 2.5 para 2060.</w:t>
      </w:r>
    </w:p>
    <w:p w14:paraId="0EEA929B"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Capítulo 3: Indicadores clave de políticas pensionales</w:t>
      </w:r>
    </w:p>
    <w:p w14:paraId="5806F89B"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 xml:space="preserve">Los derechos de pensión se calculan utilizando los modelos de pensiones de la OCDE. Los cálculos teóricos se basan en parámetros nacionales y normas aplicables en 2010 y </w:t>
      </w:r>
      <w:r w:rsidRPr="00E44D9B">
        <w:rPr>
          <w:rFonts w:eastAsia="Calibri"/>
          <w:sz w:val="26"/>
          <w:szCs w:val="26"/>
          <w:lang w:eastAsia="en-US"/>
        </w:rPr>
        <w:lastRenderedPageBreak/>
        <w:t>asumen que los trabajadores ingresan al mercado laboral a los 20 años. El impacto global de las reformas de las pensiones que ya han sido legisladas pero que están en proceso se toma en cuenta para los cálculos. Los indicadores son precedidos por una nota en la arquitectura de los sistemas nacionales de pensiones, seguido de una nota sobre la metodología y expectativas.</w:t>
      </w:r>
    </w:p>
    <w:p w14:paraId="1E7C4A45"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Los indicadores de los derechos de pensiones comienzan con la tasa de reemplazo: la proporción de la pensión con los ingresos individuales. El primer indicador mira las tasas de reemplazo brutas (antes de impuestos) de todas las fuentes obligatorias y cuasi-obligatorias, para una sola persona. El segundo indicador muestra un análisis del tratamiento fiscal de las pensiones y pensionados. El tercer indicador muestra las tasas de reemplazo en términos netos, teniendo en cuenta los impuestos y contribuciones pagados sobre ingresos y pensiones.</w:t>
      </w:r>
    </w:p>
    <w:p w14:paraId="213A0B7D"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Siguen tres indicadores de la “riqueza de la pensión”: el valor de la duración del flujo de beneficios de jubilación. Es una medida más amplia que las tasas de reemplazo porque tiene en cuenta la edad de jubilación, la indexación y la esperanza de vida. Los dos primeros indicadores son la riqueza de la pensión bruta y neta y la riqueza neta de las pensiones, el tercero es el cambio en la riqueza bruta de la pensión.</w:t>
      </w:r>
    </w:p>
    <w:p w14:paraId="4AD78CC2"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equilibrio entre dos objetivos de la política (proporcionar ingresos de jubilación adecuados y reemplazo de un recurso compartido de destino de los ingresos) se examina en el siguiente par de indicadores, que resumen la progresividad de fórmulas de beneficio a la pensión y el vínculo entre pensiones y beneficios.</w:t>
      </w:r>
    </w:p>
    <w:p w14:paraId="4A3FB9DB"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Los dos últimos indicadores dan un promedio de los derechos a la pensión entre los individuos con diferentes niveles de ingresos, muestran los niveles de pensiones, la riqueza de la pensión y el papel de cada parte del sistema de ingresos en la jubilación.</w:t>
      </w:r>
    </w:p>
    <w:p w14:paraId="09C9D610"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Los sistemas de ingreso por pensión son diversos y a menudo involucran un número de programas diferentes. Por lo tanto, clasificar los sistemas de pensión y los diferentes esquemas de ingreso por pensión es una tarea difícil. La taxonomía de las pensiones utilizada aquí consiste en dos “niveles” obligatorios: una parte redistributiva y una parte de ahorro. La provisión voluntaria, ya sea individual o suministrada por el empleador, constituye un tercer nivel.</w:t>
      </w:r>
    </w:p>
    <w:p w14:paraId="1F25CC93"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Como parte del análisis recogido en el Capítulo 1, los indicadores de derechos a pensión presentados a continuación en el Capítulo 3 y los resultados incluidos en el Capítulo 4 utilizan los modelos pensionales de la OCDE. La metodología y los supuestos son comunes para el análisis de todos los países, permitiendo la comparación directa del diseño de los sistemas pensionales. Los derechos en el futuro se calculan según los parámetros y reglas actuales.</w:t>
      </w:r>
    </w:p>
    <w:p w14:paraId="0825F60D"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Resultados clave</w:t>
      </w:r>
    </w:p>
    <w:p w14:paraId="335D119D"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 xml:space="preserve">La tasa bruta de reemplazo de las pensiones muestra el nivel de las pensiones en el momento de la jubilación en relación con los ingresos durante la vida laboral. Para trabajadores con ingresos promedio, la tasa bruta de reemplazo promedio es de 62% en los 26 países de ALyC. Existe, sin embargo una variación significativa entre los países. En el extremo inferior, República Dominicana, Haití, </w:t>
      </w:r>
      <w:r w:rsidRPr="00E44D9B">
        <w:rPr>
          <w:rFonts w:eastAsia="Calibri"/>
          <w:b/>
          <w:sz w:val="26"/>
          <w:szCs w:val="26"/>
          <w:lang w:eastAsia="en-US"/>
        </w:rPr>
        <w:t>México</w:t>
      </w:r>
      <w:r w:rsidRPr="00E44D9B">
        <w:rPr>
          <w:rFonts w:eastAsia="Calibri"/>
          <w:sz w:val="26"/>
          <w:szCs w:val="26"/>
          <w:lang w:eastAsia="en-US"/>
        </w:rPr>
        <w:t xml:space="preserve"> y Surinam ofrecen tasas de reemplazo futuras de menos de 30% para personas que empezaron a trabajar hoy con ingresos promedio a lo largo de sus carreras. Ecuador, Nicaragua, Paraguay y Venezuela, situados en el extremo superior, ofrecen tasas de más de 90%. Otros países con altas tasas de reemplazo proyectadas (entre 75 y 80%) son Argentina, Costa Rica y Panamá.</w:t>
      </w:r>
    </w:p>
    <w:p w14:paraId="1479730E"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 xml:space="preserve">El sistema de impuestos personales desempeña una importante función en la tasa de dependencia en la vejez. Con frecuencia, los pensionados no pagan las contribuciones de seguridad social. Los impuestos sobre los ingresos personales </w:t>
      </w:r>
      <w:r w:rsidRPr="00E44D9B">
        <w:rPr>
          <w:rFonts w:eastAsia="Calibri"/>
          <w:sz w:val="26"/>
          <w:szCs w:val="26"/>
          <w:lang w:eastAsia="en-US"/>
        </w:rPr>
        <w:lastRenderedPageBreak/>
        <w:t>son progresivos, y los derechos de pensión son usualmente más bajos que los ingresos antes de la jubilación. En ese sentido, el promedio de la tasa de los impuestos sobre los ingresos de la pensión es generalmente menor que la tarifa de impuestos sobre el ingreso devengado. Además, la mayoría de los sistemas de impuestos sobre los ingresos dan un tratamiento preferencial a los ingresos pensionales o a los pensionados, otorgando exenciones adicionales o créditos a las personas mayores.</w:t>
      </w:r>
    </w:p>
    <w:p w14:paraId="123F8A59"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Para los ingresos promedio, la tasa de reemplazo neta entre los países latinoamericanos promedia 66%, lo cual es cuatro puntos porcentuales por encima de la tasa de reemplazo bruta. Esto refleja que las personas pagan impuestos y contribuciones más altas sobre sus ingresos cuando trabajan que sobre sus pensiones durante la jubilación. De nuevo, las tasas netas de reemplazo varían entre un rango amplio, desde menos de 24% en República Dominicana, a más de 100% en Ecuador y Paraguay, para aquellos que reciben salarios promedio.</w:t>
      </w:r>
    </w:p>
    <w:p w14:paraId="2AAB3CE5"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Para las personas de bajos ingresos (con la mitad de los ingresos promedio), la tasa de reemplazo neta entre los países de América Latina es 76%. Para los que perciben ingresos más altos (300% de los ingresos promedio), el promedio de la tasa de reemplazo neta es 57%, menor que para aquellos con ingresos bajos. Al igual que las tasas de reemplazo brutas, las diferencias con los ingresos reflejan características progresivas de los sistemas de pensión, como las prestaciones mínimas y topes sobre los ingresos pensionables.</w:t>
      </w:r>
    </w:p>
    <w:p w14:paraId="064BD863"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La riqueza de la pensión mide el valor total del flujo del ingreso por pensión durante la vida. Para los hombres con ingreso promedio, la riqueza de la pensión es, de media, 11.6 veces el ingreso anual. La cifra es más alta entre las mujeres (13.3 veces el ingreso individual) debido a su mayor esperanza de vida.</w:t>
      </w:r>
    </w:p>
    <w:p w14:paraId="26B91479"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La riqueza de la pensión neta, como su indicador equivalente en términos brutos, representa el valor actual del flujo de prestaciones pensionales durante la vida. Pero también tiene en cuenta los impuestos y contribuciones cancelados sobre los ingresos de pensión. Ambas figuras sobre la riqueza de la pensión se expresan como múltiplo del ingreso individual bruto.</w:t>
      </w:r>
    </w:p>
    <w:p w14:paraId="25533CE0"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Para las personas con ingreso promedio, la riqueza de la pensión neta para los países de ALyC es en promedio 11.6 veces el ingreso individual bruto para los hombres y 13.3 para las mujeres. Las cifras son más altas para las mujeres porque tienen una mayor esperanza de vida.</w:t>
      </w:r>
    </w:p>
    <w:p w14:paraId="05532BD4"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En algunos países como Ecuador, Panamá y Paraguay existe una fuerte correlación entre el derecho a pensión y el ingreso previo al retiro. En contraste, las prestaciones planas de Surinam se traducen en una ausencia de relación entre la pensión y el ingreso.</w:t>
      </w:r>
    </w:p>
    <w:p w14:paraId="62C51E4F"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Hasta ahora, los indicadores han mostrado tasas de reemplazo, niveles pensionales relativos y riqueza de la pensión para individuos con diferentes ingresos. Al calcular promedios ponderados de estos indicadores sobre el rango de ingresos, los índices presentados aquí muestran el promedio del nivel pensional en el momento del retiro, así como la riqueza de la pensión, el valor de los pagos a pensión a lo largo de la vida.</w:t>
      </w:r>
    </w:p>
    <w:p w14:paraId="3F28A2AD"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El primero de ellos está diseñado para mostrar el nivel promedio de ingreso por pensión, tomando en cuenta el diferente tratamiento que reciben los trabajadores según sus ingresos. El nivel pensional promedio es 64.1% del ingreso promedio a nivel de la economía para los hombres y 62.2% para las mujeres de los países ALyC26.</w:t>
      </w:r>
    </w:p>
    <w:p w14:paraId="14F5A8DB"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lastRenderedPageBreak/>
        <w:t>El objetivo del segundo es resumir el costo total de la provisión de ingresos para la tercera edad. La riqueza de la pensión promedio ponderada es 12.2 veces el ingreso promedio a nivel de la economía para los hombres y 14 para las mujeres.</w:t>
      </w:r>
    </w:p>
    <w:p w14:paraId="2F5BA384" w14:textId="77777777" w:rsidR="00E44D9B" w:rsidRPr="00E44D9B" w:rsidRDefault="00E44D9B" w:rsidP="00667577">
      <w:pPr>
        <w:numPr>
          <w:ilvl w:val="0"/>
          <w:numId w:val="180"/>
        </w:numPr>
        <w:spacing w:after="360" w:line="360" w:lineRule="auto"/>
        <w:ind w:right="-159"/>
        <w:jc w:val="both"/>
        <w:rPr>
          <w:rFonts w:eastAsia="Calibri"/>
          <w:sz w:val="26"/>
          <w:szCs w:val="26"/>
          <w:lang w:eastAsia="en-US"/>
        </w:rPr>
      </w:pPr>
      <w:r w:rsidRPr="00E44D9B">
        <w:rPr>
          <w:rFonts w:eastAsia="Calibri"/>
          <w:sz w:val="26"/>
          <w:szCs w:val="26"/>
          <w:lang w:eastAsia="en-US"/>
        </w:rPr>
        <w:t>El paquete de ingreso por pensión se divide en diferentes componentes. Primero, tiene una parte de redistribución diseñada para asegurar a los pensionistas un nivel mínimo de vida. En segundo lugar, cuenta con una parte de ahorro creada con el fin de lograr un nivel de ingresos en la jubilación comparable con las ganancias de la vida activa. Este indicador muestra la división entre los sistemas nacionales de pensiones y los niveles de jubilación y entre la provisión pública y la privada. Se demuestran una vez más las diferencias sustanciales en las políticas nacionales.</w:t>
      </w:r>
    </w:p>
    <w:p w14:paraId="699CBD24" w14:textId="77777777" w:rsidR="00E44D9B" w:rsidRPr="00E44D9B" w:rsidRDefault="00E44D9B" w:rsidP="00E44D9B">
      <w:pPr>
        <w:spacing w:after="360" w:line="360" w:lineRule="auto"/>
        <w:ind w:right="-159"/>
        <w:jc w:val="both"/>
        <w:rPr>
          <w:rFonts w:eastAsia="Calibri"/>
          <w:b/>
          <w:sz w:val="26"/>
          <w:szCs w:val="26"/>
          <w:lang w:eastAsia="en-US"/>
        </w:rPr>
      </w:pPr>
      <w:r w:rsidRPr="00E44D9B">
        <w:rPr>
          <w:rFonts w:eastAsia="Calibri"/>
          <w:b/>
          <w:sz w:val="26"/>
          <w:szCs w:val="26"/>
          <w:lang w:eastAsia="en-US"/>
        </w:rPr>
        <w:t>Capítulo 4: Panorama de las Pensiones: América Latina y el Caribe Perfiles de los países</w:t>
      </w:r>
    </w:p>
    <w:p w14:paraId="3D110524" w14:textId="77777777" w:rsidR="00E44D9B" w:rsidRPr="00E44D9B" w:rsidRDefault="00E44D9B" w:rsidP="00E44D9B">
      <w:pPr>
        <w:spacing w:after="360" w:line="360" w:lineRule="auto"/>
        <w:ind w:right="-159"/>
        <w:jc w:val="both"/>
        <w:rPr>
          <w:rFonts w:eastAsia="Calibri"/>
          <w:sz w:val="26"/>
          <w:szCs w:val="26"/>
          <w:lang w:eastAsia="en-US"/>
        </w:rPr>
      </w:pPr>
      <w:r w:rsidRPr="00E44D9B">
        <w:rPr>
          <w:rFonts w:eastAsia="Calibri"/>
          <w:sz w:val="26"/>
          <w:szCs w:val="26"/>
          <w:lang w:eastAsia="en-US"/>
        </w:rPr>
        <w:t>El Capítulo 4 de “Panorama de las Pensiones: América Latina y el Caribe” presenta los perfiles de los sistemas nacionales de pensiones. En cada país, se resume la arquitectura de los sistemas nacionales y se proporcionan indicadores clave sobre la demografía, el gasto público en pensiones y los ingresos medios. Se detallan los parámetros y las reglas del sistema de pensiones en 2010, se explica el cálculo de los derechos a la pensión y se muestran los principales resultados.</w:t>
      </w:r>
    </w:p>
    <w:p w14:paraId="50FF019B" w14:textId="77777777" w:rsidR="00E44D9B" w:rsidRPr="00E44D9B" w:rsidRDefault="00E44D9B" w:rsidP="00E44D9B">
      <w:pPr>
        <w:ind w:right="-159"/>
        <w:jc w:val="both"/>
        <w:rPr>
          <w:rFonts w:eastAsia="Calibri"/>
          <w:b/>
          <w:sz w:val="20"/>
          <w:szCs w:val="20"/>
          <w:lang w:eastAsia="en-US"/>
        </w:rPr>
      </w:pPr>
      <w:r w:rsidRPr="00E44D9B">
        <w:rPr>
          <w:rFonts w:eastAsia="Calibri"/>
          <w:b/>
          <w:sz w:val="20"/>
          <w:szCs w:val="20"/>
          <w:lang w:eastAsia="en-US"/>
        </w:rPr>
        <w:t>Fuente de información:</w:t>
      </w:r>
    </w:p>
    <w:p w14:paraId="61ED74BE" w14:textId="77777777" w:rsidR="00E44D9B" w:rsidRPr="00121C15" w:rsidRDefault="0045651A" w:rsidP="00E44D9B">
      <w:pPr>
        <w:ind w:right="-159"/>
        <w:jc w:val="both"/>
        <w:rPr>
          <w:rFonts w:eastAsia="Calibri"/>
          <w:color w:val="0000FF"/>
          <w:sz w:val="20"/>
          <w:szCs w:val="20"/>
          <w:lang w:eastAsia="en-US"/>
        </w:rPr>
      </w:pPr>
      <w:hyperlink r:id="rId388" w:history="1">
        <w:r w:rsidR="00E44D9B" w:rsidRPr="00121C15">
          <w:rPr>
            <w:rFonts w:eastAsia="Calibri"/>
            <w:color w:val="0000FF"/>
            <w:sz w:val="20"/>
            <w:szCs w:val="20"/>
            <w:u w:val="single"/>
            <w:lang w:eastAsia="en-US"/>
          </w:rPr>
          <w:t>http://www.iadb.org/es/noticias/comunicados-de-prensa/2015-04-20/futuro-de-pensiones-de-america-latina-y-el-caribe%2c11144.html?WT.mc_id=NewsEmail_Short_11144&amp;wtSrc=Email&amp;wtType=Short&amp;wtArticleID=11144</w:t>
        </w:r>
      </w:hyperlink>
      <w:r w:rsidR="00E44D9B" w:rsidRPr="00121C15">
        <w:rPr>
          <w:rFonts w:eastAsia="Calibri"/>
          <w:color w:val="0000FF"/>
          <w:sz w:val="20"/>
          <w:szCs w:val="20"/>
          <w:lang w:eastAsia="en-US"/>
        </w:rPr>
        <w:t xml:space="preserve"> </w:t>
      </w:r>
    </w:p>
    <w:p w14:paraId="6DA48A44" w14:textId="77777777" w:rsidR="00E44D9B" w:rsidRPr="00121C15" w:rsidRDefault="0045651A" w:rsidP="00E44D9B">
      <w:pPr>
        <w:ind w:right="-159"/>
        <w:jc w:val="both"/>
        <w:rPr>
          <w:rFonts w:eastAsia="Calibri"/>
          <w:color w:val="0000FF"/>
          <w:sz w:val="20"/>
          <w:szCs w:val="20"/>
          <w:lang w:eastAsia="en-US"/>
        </w:rPr>
      </w:pPr>
      <w:hyperlink r:id="rId389" w:history="1">
        <w:r w:rsidR="00E44D9B" w:rsidRPr="00121C15">
          <w:rPr>
            <w:rFonts w:eastAsia="Calibri"/>
            <w:color w:val="0000FF"/>
            <w:sz w:val="20"/>
            <w:szCs w:val="20"/>
            <w:u w:val="single"/>
            <w:lang w:eastAsia="en-US"/>
          </w:rPr>
          <w:t>http://publications.iadb.org/bitstream/handle/11319/6892/Panorama_de_las_Pensiones_America_Latina_y_el_Caribe.pdf?sequence=1</w:t>
        </w:r>
      </w:hyperlink>
      <w:r w:rsidR="00E44D9B" w:rsidRPr="00121C15">
        <w:rPr>
          <w:rFonts w:eastAsia="Calibri"/>
          <w:color w:val="0000FF"/>
          <w:sz w:val="20"/>
          <w:szCs w:val="20"/>
          <w:lang w:eastAsia="en-US"/>
        </w:rPr>
        <w:t xml:space="preserve"> </w:t>
      </w:r>
    </w:p>
    <w:p w14:paraId="5C594C76" w14:textId="77777777" w:rsidR="00E44D9B" w:rsidRPr="00121C15" w:rsidRDefault="00E44D9B" w:rsidP="00E44D9B">
      <w:pPr>
        <w:ind w:right="-159"/>
        <w:jc w:val="both"/>
        <w:rPr>
          <w:rFonts w:eastAsia="Calibri"/>
          <w:sz w:val="20"/>
          <w:szCs w:val="20"/>
          <w:lang w:eastAsia="en-US"/>
        </w:rPr>
      </w:pPr>
      <w:r w:rsidRPr="00121C15">
        <w:rPr>
          <w:rFonts w:eastAsia="Calibri"/>
          <w:sz w:val="20"/>
          <w:szCs w:val="20"/>
          <w:lang w:eastAsia="en-US"/>
        </w:rPr>
        <w:t>Para tener acceso a información relacionada visite:</w:t>
      </w:r>
    </w:p>
    <w:p w14:paraId="68D72B26" w14:textId="77777777" w:rsidR="00E44D9B" w:rsidRPr="00121C15" w:rsidRDefault="0045651A" w:rsidP="00E44D9B">
      <w:pPr>
        <w:ind w:right="-159"/>
        <w:jc w:val="both"/>
        <w:rPr>
          <w:rFonts w:eastAsia="Calibri"/>
          <w:color w:val="0000FF"/>
          <w:sz w:val="20"/>
          <w:szCs w:val="20"/>
          <w:lang w:eastAsia="en-US"/>
        </w:rPr>
      </w:pPr>
      <w:hyperlink r:id="rId390" w:history="1">
        <w:r w:rsidR="00E44D9B" w:rsidRPr="00121C15">
          <w:rPr>
            <w:rFonts w:eastAsia="Calibri"/>
            <w:color w:val="0000FF"/>
            <w:sz w:val="20"/>
            <w:szCs w:val="20"/>
            <w:u w:val="single"/>
            <w:lang w:eastAsia="en-US"/>
          </w:rPr>
          <w:t>http://www.oecd-ilibrary.org/finance-and-investment/oecd-pensions-at-a-glance_pension_glance-2014-en</w:t>
        </w:r>
      </w:hyperlink>
      <w:r w:rsidR="00E44D9B" w:rsidRPr="00121C15">
        <w:rPr>
          <w:rFonts w:eastAsia="Calibri"/>
          <w:color w:val="0000FF"/>
          <w:sz w:val="20"/>
          <w:szCs w:val="20"/>
          <w:lang w:eastAsia="en-US"/>
        </w:rPr>
        <w:t xml:space="preserve"> </w:t>
      </w:r>
    </w:p>
    <w:p w14:paraId="219F3A4E" w14:textId="77777777" w:rsidR="00E44D9B" w:rsidRPr="00121C15" w:rsidRDefault="0045651A" w:rsidP="00E44D9B">
      <w:pPr>
        <w:ind w:right="-159"/>
        <w:jc w:val="both"/>
        <w:rPr>
          <w:rFonts w:eastAsia="Calibri"/>
          <w:color w:val="0000FF"/>
          <w:sz w:val="20"/>
          <w:szCs w:val="20"/>
          <w:lang w:eastAsia="en-US"/>
        </w:rPr>
      </w:pPr>
      <w:hyperlink r:id="rId391" w:history="1">
        <w:r w:rsidR="00E44D9B" w:rsidRPr="00121C15">
          <w:rPr>
            <w:rFonts w:eastAsia="Calibri"/>
            <w:color w:val="0000FF"/>
            <w:sz w:val="20"/>
            <w:szCs w:val="20"/>
            <w:u w:val="single"/>
            <w:lang w:eastAsia="en-US"/>
          </w:rPr>
          <w:t>http://publications.iadb.org/handle/11319/6892</w:t>
        </w:r>
      </w:hyperlink>
      <w:r w:rsidR="00E44D9B" w:rsidRPr="00121C15">
        <w:rPr>
          <w:rFonts w:eastAsia="Calibri"/>
          <w:color w:val="0000FF"/>
          <w:sz w:val="20"/>
          <w:szCs w:val="20"/>
          <w:lang w:eastAsia="en-US"/>
        </w:rPr>
        <w:t xml:space="preserve"> </w:t>
      </w:r>
    </w:p>
    <w:p w14:paraId="748C9295" w14:textId="77777777" w:rsidR="00E44D9B" w:rsidRPr="00E44D9B" w:rsidRDefault="00E44D9B" w:rsidP="00E44D9B">
      <w:pPr>
        <w:spacing w:after="360" w:line="360" w:lineRule="auto"/>
        <w:ind w:right="-159"/>
        <w:jc w:val="both"/>
        <w:rPr>
          <w:rFonts w:eastAsia="Calibri"/>
          <w:sz w:val="26"/>
          <w:szCs w:val="26"/>
          <w:lang w:eastAsia="en-US"/>
        </w:rPr>
      </w:pPr>
    </w:p>
    <w:p w14:paraId="709713CF" w14:textId="3772A197" w:rsidR="0087762B" w:rsidRPr="005F5958" w:rsidRDefault="004727D3" w:rsidP="00121C15">
      <w:pPr>
        <w:rPr>
          <w:rFonts w:eastAsia="Times New Roman"/>
          <w:b/>
          <w:color w:val="0000FF"/>
          <w:sz w:val="28"/>
          <w:szCs w:val="28"/>
        </w:rPr>
      </w:pPr>
      <w:r>
        <w:rPr>
          <w:sz w:val="26"/>
          <w:szCs w:val="26"/>
        </w:rPr>
        <w:br w:type="page"/>
      </w:r>
      <w:r w:rsidR="00BC5048" w:rsidRPr="005F5958">
        <w:rPr>
          <w:rFonts w:eastAsia="Times New Roman"/>
          <w:b/>
          <w:color w:val="0000FF"/>
          <w:sz w:val="28"/>
          <w:szCs w:val="28"/>
        </w:rPr>
        <w:lastRenderedPageBreak/>
        <w:t>POLÍTICA MONETARIA Y CAMBIARIA</w:t>
      </w:r>
    </w:p>
    <w:p w14:paraId="47F5824E" w14:textId="77777777" w:rsidR="00240D0E" w:rsidRDefault="00240D0E" w:rsidP="00121C15">
      <w:pPr>
        <w:rPr>
          <w:rFonts w:eastAsia="Times New Roman"/>
          <w:b/>
          <w:sz w:val="28"/>
          <w:szCs w:val="28"/>
        </w:rPr>
      </w:pPr>
    </w:p>
    <w:p w14:paraId="12B87AE9" w14:textId="77777777" w:rsidR="00A10293" w:rsidRPr="00A10293" w:rsidRDefault="00A10293" w:rsidP="00A10293">
      <w:pPr>
        <w:spacing w:after="360" w:line="360" w:lineRule="auto"/>
        <w:ind w:right="-159"/>
        <w:jc w:val="both"/>
        <w:rPr>
          <w:rFonts w:eastAsia="Calibri"/>
          <w:b/>
          <w:sz w:val="26"/>
          <w:szCs w:val="26"/>
          <w:lang w:eastAsia="en-US"/>
        </w:rPr>
      </w:pPr>
      <w:r w:rsidRPr="00A10293">
        <w:rPr>
          <w:rFonts w:eastAsia="Calibri"/>
          <w:b/>
          <w:bCs/>
          <w:sz w:val="26"/>
          <w:szCs w:val="26"/>
          <w:lang w:eastAsia="en-US"/>
        </w:rPr>
        <w:t>Anuncio de Política Monetaria</w:t>
      </w:r>
      <w:r w:rsidRPr="00A10293">
        <w:rPr>
          <w:rFonts w:eastAsia="Calibri"/>
          <w:b/>
          <w:sz w:val="26"/>
          <w:szCs w:val="26"/>
          <w:lang w:eastAsia="en-US"/>
        </w:rPr>
        <w:t xml:space="preserve"> (</w:t>
      </w:r>
      <w:r w:rsidRPr="00A10293">
        <w:rPr>
          <w:rFonts w:eastAsia="Calibri"/>
          <w:b/>
          <w:bCs/>
          <w:sz w:val="26"/>
          <w:szCs w:val="26"/>
          <w:lang w:eastAsia="en-US"/>
        </w:rPr>
        <w:t>Banxico</w:t>
      </w:r>
      <w:r w:rsidRPr="00A10293">
        <w:rPr>
          <w:rFonts w:eastAsia="Calibri"/>
          <w:b/>
          <w:sz w:val="26"/>
          <w:szCs w:val="26"/>
          <w:lang w:eastAsia="en-US"/>
        </w:rPr>
        <w:t>)</w:t>
      </w:r>
    </w:p>
    <w:p w14:paraId="4A4FF404" w14:textId="276D39C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bCs/>
          <w:sz w:val="26"/>
          <w:szCs w:val="26"/>
          <w:lang w:eastAsia="en-US"/>
        </w:rPr>
        <w:t xml:space="preserve">El 26 de marzo de 2015, </w:t>
      </w:r>
      <w:r w:rsidR="003E354C">
        <w:rPr>
          <w:rFonts w:eastAsia="Calibri"/>
          <w:bCs/>
          <w:sz w:val="26"/>
          <w:szCs w:val="26"/>
          <w:lang w:eastAsia="en-US"/>
        </w:rPr>
        <w:t xml:space="preserve">el </w:t>
      </w:r>
      <w:r w:rsidRPr="00A10293">
        <w:rPr>
          <w:rFonts w:eastAsia="Calibri"/>
          <w:bCs/>
          <w:sz w:val="26"/>
          <w:szCs w:val="26"/>
          <w:lang w:eastAsia="en-US"/>
        </w:rPr>
        <w:t>Banco de México (Banxico) dio a conocer su Anuncio de Política Monetaria, el cual se presenta a continuación.</w:t>
      </w:r>
    </w:p>
    <w:p w14:paraId="78512035"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La economía mundial ha seguido presentando un comportamiento débil, si bien recientemente la disminución en los precios internacionales del petróleo podría significar un apoyo neto para el crecimiento global, principalmente para el de las economías avanzadas. En Estados Unidos de Norteamérica el dinamismo de la economía se moderó en los primeros meses del año como reflejo, en parte, de factores transitorios, pero también a causa de la apreciación generalizada del dólar. El mercado laboral continúa recuperándose, aunque todavía no se observan presiones salariales. La inflación se mantiene en un nivel muy por debajo del objetivo de la Reserva Federal, sin embargo las expectativas apuntan a que paulatinamente retomará una tendencia de alza gradual hacia el objetivo referido. Dicha Institución ha reiterado que sus acciones futuras de política monetaria dependerán de la evolución de la actividad económica, del mercado laboral y de la inflación. De su última reunión, la percepción del mercado es que el movimiento inicial al alza en la tasa de fondos federales posiblemente se retrase con respecto a lo previsto hasta ese momento. En la zona del euro, al inicio de marzo el Banco Central Europeo profundizó su postura monetaria acomodaticia, al comenzar la compra masiva de títulos, incluyendo gubernamentales. Si bien en el margen ha mejorado el comportamiento de la actividad económica y de la inflación de la referida zona, la posibilidad de deflación no ha desaparecido. En las economías emergentes, en un entorno de gran volatilidad, las perspectivas de crecimiento se han revisado a la baja y prevalece el riesgo de que la reciente desaceleración se intensifique ante la posibilidad de que las condiciones en los mercados financieros se tornen más astringentes. En suma, el balance de riesgos para el crecimiento de la economía mundial y el correspondiente a la inflación se mantienen sin cambio con respecto a la reunión anterior.</w:t>
      </w:r>
    </w:p>
    <w:p w14:paraId="5B4D7A87"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lastRenderedPageBreak/>
        <w:t>La expectativa de apretamiento de la política monetaria en Estados Unidos de Norteamérica en algún momento durante este año, en combinación con la postura actual más laxa en la zona del euro y en Japón, dieron lugar a un incremento en la volatilidad en los mercados financieros internacionales en las últimas semanas. Esto se manifestó en depreciaciones adicionales de la mayoría de las monedas frente al dólar estadounidense, incluyendo al peso mexicano. Este último fenómeno, bajo la actitud vigilante de las autoridades, se ha reflejado en aumentos de las tasas de interés en México a todos sus plazos. Si bien estos ajustes se moderaron después del más reciente anuncio de política monetaria de la Reserva Federal, no puede descartarse un nuevo incremento en la volatilidad internacional y que ello tenga efectos sobre la cotización del peso, especialmente ante la incertidumbre acerca del inicio de la normalización de la postura monetaria en Estados Unidos de Norteamérica. Por tanto, será de gran importancia que se mantenga un marco macroeconómico sólido en México, tanto en lo fiscal como en lo monetario.</w:t>
      </w:r>
    </w:p>
    <w:p w14:paraId="46626ED3"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La actividad económica en México ha tenido un desempeño un tanto débil. Las exportaciones registraron un menor dinamismo al inicio del año, principalmente como resultado de una moderación en el ritmo de crecimiento de la actividad manufacturera en Estados Unidos de Norteamérica. Adicionalmente, continúa observándose una reducción en la plataforma de producción de petróleo, que ha contribuido al menor crecimiento de la producción industrial. Por su parte, la inversión sigue presentando una recuperación moderada, al tiempo que algunos de los indicadores más relevantes relacionados con el consumo continúan mostrando poco vigor.</w:t>
      </w:r>
    </w:p>
    <w:p w14:paraId="49427011"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En este entorno, prevalecen condiciones de holgura en el mercado laboral y en la economía en general, por lo que no se anticipan presiones generalizadas sobre los precios provenientes de la demanda agregada. Teniendo en cuenta lo anterior, se considera que el balance de riesgos para el crecimiento se ha deteriorado.</w:t>
      </w:r>
    </w:p>
    <w:p w14:paraId="14D206BB"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lastRenderedPageBreak/>
        <w:t>La evolución de la inflación durante 2015 ha sido favorable, alcanzando 3% en febrero y 2.97% en la primera quincena de marzo. Ello obedece a que los incrementos en los precios de las mercancías y de los servicios en el componente subyacente han sido menores que en años previos y, a disminuciones en los precios de algunos rubros del componente no subyacente. Hasta ahora, el efecto de la depreciación de la moneda nacional sobre los precios ha sido conforme a lo previsto, reflejándose fundamentalmente en los precios de los bienes comerciables, sin haberse generado efectos de segundo orden. En línea con lo anterior, las expectativas de inflación para el cierre de 2015 han disminuido, mientras que aquéllas para horizontes de mediano y largo plazo permanecen ancladas.</w:t>
      </w:r>
    </w:p>
    <w:p w14:paraId="58590382"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Como se señaló en el más reciente Informe Trimestral, se prevé que la inflación general anual se mantendrá cerca de 3% en los siguientes meses y que cerrará el año ligeramente por debajo de dicho nivel. Respecto a la inflación subyacente se anticipa que continuará por debajo de 3% durante todo el año. Para 2016, se estima que tanto la inflación general como la subyacente se mantengan en niveles cercanos a 3%. Naturalmente, esta previsión está sujeta a riesgos. Al alza, no se puede descartar la posibilidad de que la cotización de la moneda nacional registre episodios de depreciación adicionales, así como que se susciten otros choques de oferta. A la baja, existe la posibilidad de que la actividad económica en el país tenga un dinamismo menor, así como nuevas disminuciones en los precios de los servicios de telecomunicación y/o de los energéticos. En suma, se estima que el balance de riesgos para la inflación se mantiene sin cambios respecto a la decisión de política monetaria anterior.</w:t>
      </w:r>
    </w:p>
    <w:p w14:paraId="69E86851"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 xml:space="preserve">Teniendo en cuenta lo expuesto, la Junta de Gobierno ha decidido mantener en 3% el objetivo para la Tasa de Interés Interbancaria a un día, en virtud de que estima que la postura monetaria vigente es conducente a afianzar la convergencia de la inflación a la meta permanente de 3%. Actualmente, las condiciones cíclicas de la economía muestran debilidad, la inflación observada es inferior al objetivo y las expectativas de </w:t>
      </w:r>
      <w:r w:rsidRPr="00A10293">
        <w:rPr>
          <w:rFonts w:eastAsia="Calibri"/>
          <w:sz w:val="26"/>
          <w:szCs w:val="26"/>
          <w:lang w:eastAsia="en-US"/>
        </w:rPr>
        <w:lastRenderedPageBreak/>
        <w:t>inflación se encuentran ancladas. Por otro lado, al estar la economía mexicana altamente integrada a la global, en particular a la de Estados Unidos de Norteamérica, las acciones de política monetaria de ese país podrían tener repercusiones sobre el tipo de cambio, las expectativas de inflación y, por ello, sobre la dinámica de los precios en México. Por tanto, la Junta de Gobierno se mantendrá atenta a la evolución de todos los determinantes de la inflación y sus expectativas para horizontes de mediano y largo plazo, pero particularmente a la postura monetaria relativa entre México y Estados Unidos de Norteamérica, así como al desempeño del tipo de cambio. También le dará seguimiento a la evolución del grado de holgura en la economía. Todo esto con el fin de estar en posibilidad de tomar las medidas necesarias para asegurar la convergencia de la inflación al objetivo de 3% en 2015 y consolidarla.</w:t>
      </w:r>
    </w:p>
    <w:p w14:paraId="13F6E051" w14:textId="77777777" w:rsidR="00A10293" w:rsidRPr="00A10293" w:rsidRDefault="00A10293" w:rsidP="00A10293">
      <w:pPr>
        <w:ind w:right="-159"/>
        <w:jc w:val="both"/>
        <w:rPr>
          <w:rFonts w:eastAsia="Calibri"/>
          <w:b/>
          <w:sz w:val="20"/>
          <w:szCs w:val="20"/>
          <w:lang w:eastAsia="en-US"/>
        </w:rPr>
      </w:pPr>
      <w:r w:rsidRPr="00A10293">
        <w:rPr>
          <w:rFonts w:eastAsia="Calibri"/>
          <w:b/>
          <w:sz w:val="20"/>
          <w:szCs w:val="20"/>
          <w:lang w:eastAsia="en-US"/>
        </w:rPr>
        <w:t>Fuente de información:</w:t>
      </w:r>
    </w:p>
    <w:p w14:paraId="010844B1" w14:textId="77777777" w:rsidR="00A10293" w:rsidRPr="00240D0E" w:rsidRDefault="0045651A" w:rsidP="00240D0E">
      <w:pPr>
        <w:spacing w:after="720"/>
        <w:ind w:right="-159"/>
        <w:jc w:val="both"/>
        <w:rPr>
          <w:rFonts w:eastAsia="Calibri"/>
          <w:color w:val="0000FF"/>
          <w:sz w:val="20"/>
          <w:szCs w:val="20"/>
          <w:lang w:eastAsia="en-US"/>
        </w:rPr>
      </w:pPr>
      <w:hyperlink r:id="rId392" w:history="1">
        <w:r w:rsidR="00A10293" w:rsidRPr="00240D0E">
          <w:rPr>
            <w:rFonts w:eastAsia="Calibri"/>
            <w:color w:val="0000FF"/>
            <w:sz w:val="20"/>
            <w:szCs w:val="20"/>
            <w:u w:val="single"/>
            <w:lang w:eastAsia="en-US"/>
          </w:rPr>
          <w:t>http://www.banxico.org.mx/informacion-para-la-prensa/comunicados/politica-monetaria/boletines/%7bEB325C9D-0678-143E-F86F-74F765670CFC%7d.pdf</w:t>
        </w:r>
      </w:hyperlink>
      <w:r w:rsidR="00A10293" w:rsidRPr="00240D0E">
        <w:rPr>
          <w:rFonts w:eastAsia="Calibri"/>
          <w:color w:val="0000FF"/>
          <w:sz w:val="20"/>
          <w:szCs w:val="20"/>
          <w:lang w:eastAsia="en-US"/>
        </w:rPr>
        <w:t xml:space="preserve"> </w:t>
      </w:r>
    </w:p>
    <w:p w14:paraId="28B0639C"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Minuta número 34 (Banxico)</w:t>
      </w:r>
    </w:p>
    <w:p w14:paraId="11EA2394"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El 9 de abril de 2015 el Banco de México (Banxico) dio a conocer la Minuta número 34 “Reunión de la Junta de Gobierno del Banco de México, con motivo de la decisión de política monetaria anunciada el 26 de marzo de 2015” que se presenta a continuación.</w:t>
      </w:r>
    </w:p>
    <w:p w14:paraId="5E63985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
          <w:bCs/>
          <w:sz w:val="26"/>
          <w:szCs w:val="26"/>
          <w:lang w:val="es-ES"/>
        </w:rPr>
        <w:t>1.2. Fecha de la sesión de la Junta de Gobierno:</w:t>
      </w:r>
      <w:r w:rsidRPr="00744620">
        <w:rPr>
          <w:rFonts w:eastAsia="Times New Roman"/>
          <w:bCs/>
          <w:sz w:val="26"/>
          <w:szCs w:val="26"/>
          <w:lang w:val="es-ES"/>
        </w:rPr>
        <w:t xml:space="preserve"> 25 de marzo de 2014.</w:t>
      </w:r>
    </w:p>
    <w:p w14:paraId="2DD7341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
          <w:bCs/>
          <w:sz w:val="26"/>
          <w:szCs w:val="26"/>
          <w:lang w:val="es-ES"/>
        </w:rPr>
        <w:t xml:space="preserve">1.3. Asistentes: </w:t>
      </w:r>
      <w:r w:rsidRPr="00744620">
        <w:rPr>
          <w:rFonts w:eastAsia="Times New Roman"/>
          <w:bCs/>
          <w:sz w:val="26"/>
          <w:szCs w:val="26"/>
          <w:lang w:val="es-ES"/>
        </w:rPr>
        <w:t>Dr. Agustín Guillermo Carstens Carstens; Gobernador y Presidente de la sesión; Lic. Roberto Del Cueto Legaspi, Subgobernador; Lic. Javier Eduardo Guzmán Calafell, Subgobernador; Dr. Manuel Ramos Francia, Subgobernador; Dr. Manuel Sánchez González, Subgobernador; y el Lic. Fernando Luis Corvera Caraza, Secretario de la Junta de Gobierno.</w:t>
      </w:r>
    </w:p>
    <w:p w14:paraId="33F5457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lastRenderedPageBreak/>
        <w:t>Se hace constar que en fechas anteriores a la celebración de esta sesión, se desarrollaron trabajos preliminares en los que se analizó el entorno económico y financiero, así como la evolución de la inflación, sus determinantes y perspectivas.</w:t>
      </w:r>
    </w:p>
    <w:p w14:paraId="6375F503"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 Evolución económica y financiera reciente y perspectivas</w:t>
      </w:r>
    </w:p>
    <w:p w14:paraId="3F4562AF"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presente Sección fue elaborada por las Direcciones Generales de Investigación Económica y de Operaciones de Banca Central, ambas del Banco de México.</w:t>
      </w:r>
    </w:p>
    <w:p w14:paraId="63E7B14F"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2.1. Perspectiva económica internacional</w:t>
      </w:r>
    </w:p>
    <w:p w14:paraId="4A8A0674"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actividad económica mundial continúa sin mostrar señales claras de una recuperación (gráfica siguiente). Si bien la caída reciente en los precios del petróleo ha sido en balance un apoyo para el crecimiento económico, principalmente en las economías avanzadas, se siguen presentando marcadas divergencias entre regiones.</w:t>
      </w:r>
    </w:p>
    <w:p w14:paraId="2C26796B"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información más reciente sugiere que el dinamismo de la actividad económica en Estados Unidos de Norteamérica se vio afectado a principios de 2015 por factores transitorios y por la apreciación del dólar. En particular, la actividad manufacturera en ese país se desaceleró a principios del año debido en parte al mal tiempo y a disrupciones en las cadenas de suministro y en el envío de pedidos al exterior por disputas laborales en los principales puertos de la costa oeste de ese país. En este contexto, el crecimiento del consumo privado y de las exportaciones se moderó en los primeros meses del año.</w:t>
      </w:r>
    </w:p>
    <w:p w14:paraId="2AAFA403" w14:textId="77777777" w:rsidR="00240D0E" w:rsidRDefault="00240D0E" w:rsidP="00744620">
      <w:pPr>
        <w:spacing w:after="360" w:line="360" w:lineRule="auto"/>
        <w:ind w:right="-159"/>
        <w:jc w:val="both"/>
        <w:rPr>
          <w:rFonts w:eastAsia="Times New Roman"/>
          <w:bCs/>
          <w:sz w:val="26"/>
          <w:szCs w:val="26"/>
          <w:lang w:val="es-ES"/>
        </w:rPr>
      </w:pPr>
    </w:p>
    <w:p w14:paraId="2F33D77D" w14:textId="77777777" w:rsidR="00240D0E" w:rsidRDefault="00240D0E" w:rsidP="00744620">
      <w:pPr>
        <w:spacing w:after="360" w:line="360" w:lineRule="auto"/>
        <w:ind w:right="-159"/>
        <w:jc w:val="both"/>
        <w:rPr>
          <w:rFonts w:eastAsia="Times New Roman"/>
          <w:bCs/>
          <w:sz w:val="26"/>
          <w:szCs w:val="26"/>
          <w:lang w:val="es-ES"/>
        </w:rPr>
      </w:pPr>
    </w:p>
    <w:p w14:paraId="0384E265" w14:textId="77777777" w:rsidR="00786917" w:rsidRPr="00744620" w:rsidRDefault="00786917"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3AA21FA1" w14:textId="77777777" w:rsidTr="00276BC4">
        <w:tc>
          <w:tcPr>
            <w:tcW w:w="9180" w:type="dxa"/>
          </w:tcPr>
          <w:p w14:paraId="5B0CB937"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EVOLUCIÓN DE EXPECTATIVAS DE CRECIMIENTO DEL</w:t>
            </w:r>
          </w:p>
          <w:p w14:paraId="122A476E"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PIB PARA 2015 Y 2016</w:t>
            </w:r>
            <w:r w:rsidRPr="00744620">
              <w:rPr>
                <w:rFonts w:eastAsia="Times New Roman"/>
                <w:b/>
                <w:bCs/>
                <w:sz w:val="22"/>
                <w:szCs w:val="26"/>
                <w:u w:val="single"/>
                <w:vertAlign w:val="superscript"/>
                <w:lang w:val="es-ES"/>
              </w:rPr>
              <w:t>1</w:t>
            </w:r>
            <w:r w:rsidRPr="00744620">
              <w:rPr>
                <w:rFonts w:eastAsia="Times New Roman"/>
                <w:b/>
                <w:bCs/>
                <w:sz w:val="22"/>
                <w:szCs w:val="26"/>
                <w:vertAlign w:val="superscript"/>
                <w:lang w:val="es-ES"/>
              </w:rPr>
              <w:t>/</w:t>
            </w:r>
          </w:p>
          <w:p w14:paraId="7B02EF45"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-En por ciento-</w:t>
            </w:r>
          </w:p>
        </w:tc>
      </w:tr>
      <w:tr w:rsidR="00744620" w:rsidRPr="00744620" w14:paraId="4FCBD172" w14:textId="77777777" w:rsidTr="00276BC4">
        <w:tc>
          <w:tcPr>
            <w:tcW w:w="9180" w:type="dxa"/>
          </w:tcPr>
          <w:p w14:paraId="78A43D2D"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3B8F2FBB" wp14:editId="7F26ED39">
                  <wp:extent cx="4864201" cy="3060000"/>
                  <wp:effectExtent l="0" t="0" r="0" b="7620"/>
                  <wp:docPr id="1740" name="Imagen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3" cstate="print">
                            <a:extLst>
                              <a:ext uri="{28A0092B-C50C-407E-A947-70E740481C1C}">
                                <a14:useLocalDpi xmlns:a14="http://schemas.microsoft.com/office/drawing/2010/main" val="0"/>
                              </a:ext>
                            </a:extLst>
                          </a:blip>
                          <a:srcRect t="7556" b="1573"/>
                          <a:stretch/>
                        </pic:blipFill>
                        <pic:spPr bwMode="auto">
                          <a:xfrm>
                            <a:off x="0" y="0"/>
                            <a:ext cx="486420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5A557D89" w14:textId="77777777" w:rsidTr="00276BC4">
        <w:tc>
          <w:tcPr>
            <w:tcW w:w="9180" w:type="dxa"/>
          </w:tcPr>
          <w:p w14:paraId="592EE40B" w14:textId="77777777" w:rsidR="00744620" w:rsidRPr="00744620" w:rsidRDefault="00744620" w:rsidP="00744620">
            <w:pPr>
              <w:ind w:left="965" w:right="713" w:hanging="227"/>
              <w:jc w:val="both"/>
              <w:rPr>
                <w:rFonts w:eastAsia="Times New Roman"/>
                <w:bCs/>
                <w:sz w:val="20"/>
                <w:szCs w:val="26"/>
                <w:lang w:val="es-ES"/>
              </w:rPr>
            </w:pPr>
            <w:r w:rsidRPr="00744620">
              <w:rPr>
                <w:rFonts w:eastAsia="Times New Roman"/>
                <w:bCs/>
                <w:sz w:val="20"/>
                <w:szCs w:val="26"/>
                <w:u w:val="single"/>
                <w:lang w:val="es-ES"/>
              </w:rPr>
              <w:t>1</w:t>
            </w:r>
            <w:r w:rsidRPr="00744620">
              <w:rPr>
                <w:rFonts w:eastAsia="Times New Roman"/>
                <w:bCs/>
                <w:sz w:val="20"/>
                <w:szCs w:val="26"/>
                <w:lang w:val="es-ES"/>
              </w:rPr>
              <w:t>/ Promedio por región ponderado por la participación del PIB de cada país basado en la paridad de poder compra con respecto al PIB total mundial en el año correspondiente.</w:t>
            </w:r>
          </w:p>
          <w:p w14:paraId="76EF6DD5" w14:textId="77777777" w:rsidR="00744620" w:rsidRPr="00744620" w:rsidRDefault="00744620" w:rsidP="00744620">
            <w:pPr>
              <w:ind w:right="713" w:firstLine="738"/>
              <w:jc w:val="both"/>
              <w:rPr>
                <w:rFonts w:eastAsia="Times New Roman"/>
                <w:bCs/>
                <w:sz w:val="20"/>
                <w:szCs w:val="26"/>
                <w:lang w:val="es-ES"/>
              </w:rPr>
            </w:pPr>
            <w:r w:rsidRPr="00744620">
              <w:rPr>
                <w:rFonts w:eastAsia="Times New Roman"/>
                <w:bCs/>
                <w:sz w:val="20"/>
                <w:szCs w:val="26"/>
                <w:lang w:val="es-ES"/>
              </w:rPr>
              <w:t>FUENTE: Consensus Forecasts y Fondo Monetario Internacional.</w:t>
            </w:r>
          </w:p>
        </w:tc>
      </w:tr>
    </w:tbl>
    <w:p w14:paraId="1CBDE609" w14:textId="77777777" w:rsidR="00744620" w:rsidRPr="00744620" w:rsidRDefault="00744620" w:rsidP="00744620">
      <w:pPr>
        <w:spacing w:after="360" w:line="360" w:lineRule="auto"/>
        <w:ind w:right="-159"/>
        <w:jc w:val="both"/>
        <w:rPr>
          <w:rFonts w:eastAsia="Times New Roman"/>
          <w:bCs/>
          <w:sz w:val="26"/>
          <w:szCs w:val="26"/>
          <w:lang w:val="es-ES"/>
        </w:rPr>
      </w:pPr>
    </w:p>
    <w:p w14:paraId="3C2EA503"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A pesar de lo anterior, el mercado laboral estadounidense siguió recuperándose con sólidos aumentos en el nivel de empleo y una caída adicional en la tasa de desempleo. En febrero, ésta se ubicó en 5.5%, en un contexto en el que la participación laboral se mantuvo estable. Sin embargo, a pesar de esta mejoría, el crecimiento de los salarios se mantuvo en niveles bajos.</w:t>
      </w:r>
    </w:p>
    <w:p w14:paraId="647D3157"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En la zona del euro, la actividad económica continúa mostrando en términos generales debilidad, aunque en el margen presentó una mejoría, motivada en parte por menores precios de los energéticos y por la depreciación del euro en el contexto de una política monetaria más acomodaticia. Esto se ha traducido en un incipiente repunte en el ingreso personal disponible, una ligera recuperación del consumo y de las exportaciones, así como en cierta mejoría en las condiciones de financiamiento. Por su parte, en Grecia, a pesar del acuerdo tentativo alcanzado para extender hasta junio la asistencia financiera </w:t>
      </w:r>
      <w:r w:rsidRPr="00744620">
        <w:rPr>
          <w:rFonts w:eastAsia="Times New Roman"/>
          <w:bCs/>
          <w:sz w:val="26"/>
          <w:szCs w:val="26"/>
          <w:lang w:val="es-ES"/>
        </w:rPr>
        <w:lastRenderedPageBreak/>
        <w:t>por parte de la Facilidad Europea de Estabilidad Financiera, persisten las preocupaciones sobre la posibilidad de una crisis de liquidez en el gobierno y sobre la sostenibilidad de su deuda.</w:t>
      </w:r>
    </w:p>
    <w:p w14:paraId="31DABAD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las economías emergentes, la actividad económica siguió desacelerándose. A ello contribuyó el impacto de los menores precios de las materias primas sobre los términos de intercambio y sobre el ingreso real. En este entorno, destaca la revisión a la baja en las perspectivas de crecimiento de países como Brasil, China y Rusia. Hacia adelante, dicha desaceleración se podría intensificar ante la posibilidad de que las condiciones en los mercados financieros internacionales se tornen más astringentes durante este año.</w:t>
      </w:r>
    </w:p>
    <w:p w14:paraId="2F3F651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Después de la disminución que en los meses previos registraron los precios del petróleo, en las últimas semanas se observó un ligero incremento debido a un repunte en la demanda de productos refinados, a la acumulación de inventarios y a algunas interrupciones en el suministro de crudo, asociadas a conflictos geopolíticos y al mal tiempo. Por su parte, los precios de los granos, en general, siguieron cayendo ante la mayor oferta mundial y un panorama favorable para su producción. Finalmente, los precios de los metales industriales también mostraron un comportamiento a la baja debido a una menor demanda proveniente de China.</w:t>
      </w:r>
    </w:p>
    <w:p w14:paraId="2E16BF2F"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fuerte disminución en el precio internacional del petróleo desde mediados de 2014 hasta enero de este año ha contribuido a la reducción significativa de la inflación general en las principales economías avanzadas (gráfica siguiente) y en varias de las emergentes. Adicionalmente, la debilidad económica en algunos países también ha influenciado el desempeño reciente de la inflación. Ante la expectativa de que los precios de la energía se mantengan bajos y que la debilidad que prevalece en varias de estas economías continúe, no se prevé un incremento en la inflación mundial en el corto plazo. En algunos casos inclusive se han observado disminuciones en las expectativas de inflación de mediano y largo plazo.</w:t>
      </w:r>
    </w:p>
    <w:tbl>
      <w:tblPr>
        <w:tblW w:w="9180" w:type="dxa"/>
        <w:tblLook w:val="04A0" w:firstRow="1" w:lastRow="0" w:firstColumn="1" w:lastColumn="0" w:noHBand="0" w:noVBand="1"/>
      </w:tblPr>
      <w:tblGrid>
        <w:gridCol w:w="9180"/>
      </w:tblGrid>
      <w:tr w:rsidR="00744620" w:rsidRPr="00744620" w14:paraId="4D675A8A" w14:textId="77777777" w:rsidTr="00276BC4">
        <w:tc>
          <w:tcPr>
            <w:tcW w:w="9180" w:type="dxa"/>
          </w:tcPr>
          <w:p w14:paraId="39B14A0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ECONOMÍAS AVANZADAS: INFLACIÓN GENERAL</w:t>
            </w:r>
          </w:p>
          <w:p w14:paraId="61712A0F"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-Variación anual en por ciento-</w:t>
            </w:r>
          </w:p>
        </w:tc>
      </w:tr>
      <w:tr w:rsidR="00744620" w:rsidRPr="00744620" w14:paraId="29D6B912" w14:textId="77777777" w:rsidTr="00276BC4">
        <w:tc>
          <w:tcPr>
            <w:tcW w:w="9180" w:type="dxa"/>
          </w:tcPr>
          <w:p w14:paraId="110938DA"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1367B12D" wp14:editId="0C04BC6E">
                  <wp:extent cx="4940117" cy="3060000"/>
                  <wp:effectExtent l="0" t="0" r="0" b="7620"/>
                  <wp:docPr id="1741" name="Imagen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4" cstate="print">
                            <a:extLst>
                              <a:ext uri="{28A0092B-C50C-407E-A947-70E740481C1C}">
                                <a14:useLocalDpi xmlns:a14="http://schemas.microsoft.com/office/drawing/2010/main" val="0"/>
                              </a:ext>
                            </a:extLst>
                          </a:blip>
                          <a:srcRect t="7501" b="1584"/>
                          <a:stretch/>
                        </pic:blipFill>
                        <pic:spPr bwMode="auto">
                          <a:xfrm>
                            <a:off x="0" y="0"/>
                            <a:ext cx="4940117"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2368326D" w14:textId="77777777" w:rsidTr="00276BC4">
        <w:tc>
          <w:tcPr>
            <w:tcW w:w="9180" w:type="dxa"/>
          </w:tcPr>
          <w:p w14:paraId="2D86B205" w14:textId="77777777" w:rsidR="00744620" w:rsidRPr="00744620" w:rsidRDefault="00744620" w:rsidP="00744620">
            <w:pPr>
              <w:ind w:right="713" w:firstLine="738"/>
              <w:jc w:val="both"/>
              <w:rPr>
                <w:rFonts w:eastAsia="Times New Roman"/>
                <w:bCs/>
                <w:sz w:val="20"/>
                <w:szCs w:val="26"/>
                <w:lang w:val="es-ES"/>
              </w:rPr>
            </w:pPr>
            <w:r w:rsidRPr="00744620">
              <w:rPr>
                <w:rFonts w:eastAsia="Times New Roman"/>
                <w:bCs/>
                <w:sz w:val="20"/>
                <w:szCs w:val="26"/>
                <w:lang w:val="es-ES"/>
              </w:rPr>
              <w:t>FUENTE: BLS, Eurostat, Haver Analytics.</w:t>
            </w:r>
          </w:p>
        </w:tc>
      </w:tr>
    </w:tbl>
    <w:p w14:paraId="6F633372" w14:textId="77777777" w:rsidR="00744620" w:rsidRPr="00744620" w:rsidRDefault="00744620" w:rsidP="00744620">
      <w:pPr>
        <w:spacing w:after="360" w:line="360" w:lineRule="auto"/>
        <w:ind w:right="-159"/>
        <w:jc w:val="both"/>
        <w:rPr>
          <w:rFonts w:eastAsia="Times New Roman"/>
          <w:bCs/>
          <w:sz w:val="26"/>
          <w:szCs w:val="26"/>
          <w:lang w:val="es-ES"/>
        </w:rPr>
      </w:pPr>
    </w:p>
    <w:p w14:paraId="4BB990ED"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un entorno de bajo crecimiento en varias economías avanzadas y emergentes y de una reducción temporal de la inflación y de sus expectativas, se acentuó la postura monetaria acomodaticia en la mayoría de los países. Se espera que en muchos de ellos dicha postura continúe siendo acomodaticia en los siguientes meses. Por el contrario, en Estados Unidos de Norteamérica se ha mantenido la expectativa de un incremento en la tasa de referencia de la Reserva Federal durante este año.</w:t>
      </w:r>
    </w:p>
    <w:p w14:paraId="28F9BF5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En particular, la Reserva Federal, en su reunión de marzo, modificó la guía futura de su tasa de referencia, señalando que aumentará el rango objetivo de la tasa de fondos federales una vez que se observen avances adicionales en el mercado laboral y que se estime razonablemente en que la inflación regresará a su meta de 2% en el mediano plazo. Además, señaló que en línea con su comunicado previo, es poco probable que incremente la tasa de referencia en su próxima reunión de abril. La Reserva Federal enfatizó que este cambio en su guía futura no implica que se haya decidido cuándo tendrá lugar el primer incremento en su rango objetivo de tasas de interés y reiteró que </w:t>
      </w:r>
      <w:r w:rsidRPr="00744620">
        <w:rPr>
          <w:rFonts w:eastAsia="Times New Roman"/>
          <w:bCs/>
          <w:sz w:val="26"/>
          <w:szCs w:val="26"/>
          <w:lang w:val="es-ES"/>
        </w:rPr>
        <w:lastRenderedPageBreak/>
        <w:t>sus siguientes acciones de política monetaria dependerán del comportamiento de la actividad económica, del mercado laboral y de la inflación. Cabe destacar que en esta reunión, los participantes del Comité también revisaron a la baja sus previsiones de crecimiento, inflación y tasa de desempleo para 2015 y 2016. En congruencia con dichos pronósticos, la mediana de las expectativas de los miembros de dicho Comité respecto al nivel de la tasa de fondos federales para el cierre de dichos años resultó más baja.</w:t>
      </w:r>
    </w:p>
    <w:p w14:paraId="102D83D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la zona del euro, el Banco Central Europeo (BCE) en su reunión de marzo revisó a la baja su pronóstico de inflación para 2015, particularmente por la influencia de los precios del petróleo, pero lo elevó para 2016 y 2017 ante la expectativa de una recuperación moderada de los precios del crudo y de un cierre gradual en la brecha de producto. Adicionalmente, el BCE inició en marzo la compra de valores soberanos, con un impacto positivo en los mercados financieros y en las expectativas de inflación. Sin embargo, prevalecen riesgos deflacionarios en la región ante la posibilidad de que la inflación observada se mantenga en niveles muy bajos y de que las expectativas de inflación disminuyan más.</w:t>
      </w:r>
    </w:p>
    <w:p w14:paraId="3D2844F2"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2.2. Evolución financiera reciente</w:t>
      </w:r>
    </w:p>
    <w:p w14:paraId="4CE9D054"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2.2.1. Mercados financieros de países desarrollados</w:t>
      </w:r>
    </w:p>
    <w:p w14:paraId="40EA0D3E"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divergencia entre los ciclos económicos y las expectativas de política monetaria en países desarrollados ha sido un factor determinante en el comportamiento de la cotización de distintos activos financieros.</w:t>
      </w:r>
    </w:p>
    <w:p w14:paraId="6E0ADE7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En los mercados cambiarios, el dólar continuó fortaleciéndose frente a la mayoría de las divisas, alcanzando su nivel más apreciado de los últimos doce años (gráfica siguiente), ante la expectativa de que la Reserva Federal inicie su proceso de normalización de política monetaria en los siguientes meses. Vale la pena señalar que </w:t>
      </w:r>
      <w:r w:rsidRPr="00744620">
        <w:rPr>
          <w:rFonts w:eastAsia="Times New Roman"/>
          <w:bCs/>
          <w:sz w:val="26"/>
          <w:szCs w:val="26"/>
          <w:lang w:val="es-ES"/>
        </w:rPr>
        <w:lastRenderedPageBreak/>
        <w:t>muchas divisas acentuaron su depreciación frente al dólar debido a las acciones expansivas de los bancos centrales de sus países. Tal es el caso del euro, que acumula una depreciación de casi 10% frente al dólar en lo que va del año.</w:t>
      </w:r>
    </w:p>
    <w:tbl>
      <w:tblPr>
        <w:tblW w:w="9180" w:type="dxa"/>
        <w:tblLook w:val="04A0" w:firstRow="1" w:lastRow="0" w:firstColumn="1" w:lastColumn="0" w:noHBand="0" w:noVBand="1"/>
      </w:tblPr>
      <w:tblGrid>
        <w:gridCol w:w="9180"/>
      </w:tblGrid>
      <w:tr w:rsidR="00744620" w:rsidRPr="00744620" w14:paraId="2FBCAA1B" w14:textId="77777777" w:rsidTr="00276BC4">
        <w:tc>
          <w:tcPr>
            <w:tcW w:w="9180" w:type="dxa"/>
          </w:tcPr>
          <w:p w14:paraId="062C228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EVOLUCIÓN DEL DÓLAR</w:t>
            </w:r>
          </w:p>
          <w:p w14:paraId="6634BCDA"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 DXY* E ÍNDICE PONDERADO POR COMERCIO</w:t>
            </w:r>
          </w:p>
          <w:p w14:paraId="103DD90E"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 (30 de junio 2014=100)-</w:t>
            </w:r>
          </w:p>
        </w:tc>
      </w:tr>
      <w:tr w:rsidR="00744620" w:rsidRPr="00744620" w14:paraId="0A01DE7A" w14:textId="77777777" w:rsidTr="00276BC4">
        <w:tc>
          <w:tcPr>
            <w:tcW w:w="9180" w:type="dxa"/>
          </w:tcPr>
          <w:p w14:paraId="73D6943D"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2CBD7A77" wp14:editId="7C0FEB0A">
                  <wp:extent cx="4680000" cy="4173841"/>
                  <wp:effectExtent l="0" t="0" r="6350" b="0"/>
                  <wp:docPr id="1742" name="Imagen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95" cstate="print">
                            <a:extLst>
                              <a:ext uri="{28A0092B-C50C-407E-A947-70E740481C1C}">
                                <a14:useLocalDpi xmlns:a14="http://schemas.microsoft.com/office/drawing/2010/main" val="0"/>
                              </a:ext>
                            </a:extLst>
                          </a:blip>
                          <a:srcRect t="5838" b="1133"/>
                          <a:stretch/>
                        </pic:blipFill>
                        <pic:spPr bwMode="auto">
                          <a:xfrm>
                            <a:off x="0" y="0"/>
                            <a:ext cx="4680000" cy="41738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1ADDB132" w14:textId="77777777" w:rsidTr="00276BC4">
        <w:tc>
          <w:tcPr>
            <w:tcW w:w="9180" w:type="dxa"/>
          </w:tcPr>
          <w:p w14:paraId="04C09A9B"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Nota: DXY es el promedio ponderado calculado por el Intercontinental Exchange (ICE) del tipo de cambio nominal de las seis principales divisas operadas mundialmente con los siguientes pesos: EUR (57.6%), JPY (13.6%), GBP (11.9%), CAD (9.1%), SEK (4.2%) y CHF (3.6%).</w:t>
            </w:r>
          </w:p>
          <w:p w14:paraId="6BF7ED32" w14:textId="77777777" w:rsidR="00744620" w:rsidRPr="00744620" w:rsidRDefault="00744620" w:rsidP="00744620">
            <w:pPr>
              <w:ind w:left="1264" w:right="713"/>
              <w:jc w:val="both"/>
              <w:rPr>
                <w:rFonts w:eastAsia="Times New Roman"/>
                <w:bCs/>
                <w:sz w:val="20"/>
                <w:szCs w:val="26"/>
                <w:lang w:val="es-ES"/>
              </w:rPr>
            </w:pPr>
            <w:r w:rsidRPr="00744620">
              <w:rPr>
                <w:rFonts w:eastAsia="Times New Roman"/>
                <w:bCs/>
                <w:sz w:val="20"/>
                <w:szCs w:val="26"/>
                <w:lang w:val="es-ES"/>
              </w:rPr>
              <w:t>En el índice ponderado por comercio, los principales socios comerciales son: China (21.3%), Eurozona (16.4%), Canadá (12.7%), México (11.9%), Japón (6.9%) y Reino Unido (3.35%).</w:t>
            </w:r>
          </w:p>
          <w:p w14:paraId="21537C8B" w14:textId="77777777" w:rsidR="00744620" w:rsidRPr="00744620" w:rsidRDefault="00744620" w:rsidP="00744620">
            <w:pPr>
              <w:ind w:right="713" w:firstLine="738"/>
              <w:jc w:val="both"/>
              <w:rPr>
                <w:rFonts w:eastAsia="Times New Roman"/>
                <w:bCs/>
                <w:sz w:val="20"/>
                <w:szCs w:val="26"/>
                <w:lang w:val="es-ES"/>
              </w:rPr>
            </w:pPr>
            <w:r w:rsidRPr="00744620">
              <w:rPr>
                <w:rFonts w:eastAsia="Times New Roman"/>
                <w:bCs/>
                <w:sz w:val="20"/>
                <w:szCs w:val="26"/>
                <w:lang w:val="es-ES"/>
              </w:rPr>
              <w:t>FUENTE: Reserva Federal de Estados Unidos de Norteamérica.</w:t>
            </w:r>
          </w:p>
        </w:tc>
      </w:tr>
    </w:tbl>
    <w:p w14:paraId="45E396B1" w14:textId="77777777" w:rsidR="00744620" w:rsidRPr="00744620" w:rsidRDefault="00744620" w:rsidP="00744620">
      <w:pPr>
        <w:spacing w:after="360" w:line="360" w:lineRule="auto"/>
        <w:ind w:right="-159"/>
        <w:jc w:val="both"/>
        <w:rPr>
          <w:rFonts w:eastAsia="Times New Roman"/>
          <w:bCs/>
          <w:sz w:val="26"/>
          <w:szCs w:val="26"/>
          <w:lang w:val="es-ES"/>
        </w:rPr>
      </w:pPr>
    </w:p>
    <w:p w14:paraId="4718E1B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Por otro lado, las tasas de interés de instrumentos del Tesoro de Estados Unidos de Norteamérica aumentaron ligeramente desde finales de enero, mientras que las de los países de la Eurozona disminuyeron ante el inicio del programa de compra de bonos </w:t>
      </w:r>
      <w:r w:rsidRPr="00744620">
        <w:rPr>
          <w:rFonts w:eastAsia="Times New Roman"/>
          <w:bCs/>
          <w:sz w:val="26"/>
          <w:szCs w:val="26"/>
          <w:lang w:val="es-ES"/>
        </w:rPr>
        <w:lastRenderedPageBreak/>
        <w:t>soberanos por parte del Banco Central Europeo. De hecho, en varios de esos países las tasas de interés alcanzaron mínimos históricos, ubicándose incluso en niveles negativos. En este entorno, las primas por plazo en la mayoría de los países desarrollados continuaron con su tendencia a la baja (gráfica siguiente).</w:t>
      </w:r>
    </w:p>
    <w:tbl>
      <w:tblPr>
        <w:tblW w:w="9180" w:type="dxa"/>
        <w:tblLook w:val="04A0" w:firstRow="1" w:lastRow="0" w:firstColumn="1" w:lastColumn="0" w:noHBand="0" w:noVBand="1"/>
      </w:tblPr>
      <w:tblGrid>
        <w:gridCol w:w="9180"/>
      </w:tblGrid>
      <w:tr w:rsidR="00744620" w:rsidRPr="00744620" w14:paraId="21AA87CD" w14:textId="77777777" w:rsidTr="00276BC4">
        <w:tc>
          <w:tcPr>
            <w:tcW w:w="9180" w:type="dxa"/>
          </w:tcPr>
          <w:p w14:paraId="2098D68B"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TASAS DE INTERÉS DE BONOS SOBERANOS DE 10</w:t>
            </w:r>
          </w:p>
          <w:p w14:paraId="226B65E5"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AÑOS DE PAÍSES SELECCIONADOS</w:t>
            </w:r>
          </w:p>
          <w:p w14:paraId="0D30BC0A"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-Porcentaje-</w:t>
            </w:r>
          </w:p>
        </w:tc>
      </w:tr>
      <w:tr w:rsidR="00744620" w:rsidRPr="00744620" w14:paraId="7E56012C" w14:textId="77777777" w:rsidTr="00276BC4">
        <w:tc>
          <w:tcPr>
            <w:tcW w:w="9180" w:type="dxa"/>
          </w:tcPr>
          <w:p w14:paraId="262897D8"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09B8C73D" wp14:editId="10C01228">
                  <wp:extent cx="4711965" cy="3996000"/>
                  <wp:effectExtent l="0" t="0" r="0" b="5080"/>
                  <wp:docPr id="1743" name="Imagen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6" cstate="print">
                            <a:extLst>
                              <a:ext uri="{28A0092B-C50C-407E-A947-70E740481C1C}">
                                <a14:useLocalDpi xmlns:a14="http://schemas.microsoft.com/office/drawing/2010/main" val="0"/>
                              </a:ext>
                            </a:extLst>
                          </a:blip>
                          <a:srcRect t="7602" b="1035"/>
                          <a:stretch/>
                        </pic:blipFill>
                        <pic:spPr bwMode="auto">
                          <a:xfrm>
                            <a:off x="0" y="0"/>
                            <a:ext cx="4711965" cy="399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0CEA8314" w14:textId="77777777" w:rsidTr="00276BC4">
        <w:tc>
          <w:tcPr>
            <w:tcW w:w="9180" w:type="dxa"/>
          </w:tcPr>
          <w:p w14:paraId="4477EEAB" w14:textId="77777777" w:rsidR="00744620" w:rsidRPr="00744620" w:rsidRDefault="00744620" w:rsidP="00744620">
            <w:pPr>
              <w:ind w:left="1530" w:right="713" w:hanging="504"/>
              <w:jc w:val="both"/>
              <w:rPr>
                <w:rFonts w:eastAsia="Times New Roman"/>
                <w:bCs/>
                <w:sz w:val="20"/>
                <w:szCs w:val="26"/>
                <w:lang w:val="es-ES"/>
              </w:rPr>
            </w:pPr>
            <w:r w:rsidRPr="00744620">
              <w:rPr>
                <w:rFonts w:eastAsia="Times New Roman"/>
                <w:bCs/>
                <w:sz w:val="20"/>
                <w:szCs w:val="26"/>
                <w:lang w:val="es-ES"/>
              </w:rPr>
              <w:t>Nota: La línea negra vertical indica la última decisión de política monetaria de Banco de México</w:t>
            </w:r>
          </w:p>
          <w:p w14:paraId="480BEF5C" w14:textId="77777777" w:rsidR="00744620" w:rsidRPr="00744620" w:rsidRDefault="00744620" w:rsidP="00744620">
            <w:pPr>
              <w:ind w:right="713" w:firstLine="1026"/>
              <w:jc w:val="both"/>
              <w:rPr>
                <w:rFonts w:eastAsia="Times New Roman"/>
                <w:bCs/>
                <w:sz w:val="20"/>
                <w:szCs w:val="26"/>
                <w:lang w:val="es-ES"/>
              </w:rPr>
            </w:pPr>
            <w:r w:rsidRPr="00744620">
              <w:rPr>
                <w:rFonts w:eastAsia="Times New Roman"/>
                <w:bCs/>
                <w:sz w:val="20"/>
                <w:szCs w:val="26"/>
                <w:lang w:val="es-ES"/>
              </w:rPr>
              <w:t>FUENTE: Bloomberg.</w:t>
            </w:r>
          </w:p>
        </w:tc>
      </w:tr>
    </w:tbl>
    <w:p w14:paraId="1BB343E6" w14:textId="77777777" w:rsidR="00744620" w:rsidRPr="00744620" w:rsidRDefault="00744620" w:rsidP="00744620">
      <w:pPr>
        <w:spacing w:after="360" w:line="360" w:lineRule="auto"/>
        <w:ind w:right="-159"/>
        <w:jc w:val="both"/>
        <w:rPr>
          <w:rFonts w:eastAsia="Times New Roman"/>
          <w:bCs/>
          <w:sz w:val="26"/>
          <w:szCs w:val="26"/>
          <w:lang w:val="es-ES"/>
        </w:rPr>
      </w:pPr>
    </w:p>
    <w:p w14:paraId="474099C8"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Por su parte, los índices accionarios presentaron un comportamiento positivo, aunque con diferentes órdenes de magnitud. Sobresalió el avance de los índices de Japón y de la Eurozona que se beneficiaron de la política de relajamiento cuantitativo de sus bancos centrales. En cambio, los índices accionarios en Estados Unidos de Norteamérica y Reino Unido tuvieron ganancias modestas, afectados por la apreciación de sus divisas </w:t>
      </w:r>
      <w:r w:rsidRPr="00744620">
        <w:rPr>
          <w:rFonts w:eastAsia="Times New Roman"/>
          <w:bCs/>
          <w:sz w:val="26"/>
          <w:szCs w:val="26"/>
          <w:lang w:val="es-ES"/>
        </w:rPr>
        <w:lastRenderedPageBreak/>
        <w:t>y la expectativa de que la normalización de la política monetaria en sus países inicie en los próximos meses (gráfica siguiente).</w:t>
      </w:r>
    </w:p>
    <w:tbl>
      <w:tblPr>
        <w:tblW w:w="9180" w:type="dxa"/>
        <w:tblLook w:val="04A0" w:firstRow="1" w:lastRow="0" w:firstColumn="1" w:lastColumn="0" w:noHBand="0" w:noVBand="1"/>
      </w:tblPr>
      <w:tblGrid>
        <w:gridCol w:w="9180"/>
      </w:tblGrid>
      <w:tr w:rsidR="00744620" w:rsidRPr="00744620" w14:paraId="7A7A5F33" w14:textId="77777777" w:rsidTr="00276BC4">
        <w:tc>
          <w:tcPr>
            <w:tcW w:w="9180" w:type="dxa"/>
          </w:tcPr>
          <w:p w14:paraId="20A3AC7F"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RENDIMIENTO DE MERCADOS ACCIONARIOS SELECCIONADOS</w:t>
            </w:r>
          </w:p>
          <w:p w14:paraId="421D5609"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-Porcentaje-</w:t>
            </w:r>
          </w:p>
        </w:tc>
      </w:tr>
      <w:tr w:rsidR="00744620" w:rsidRPr="00744620" w14:paraId="61A02C10" w14:textId="77777777" w:rsidTr="00276BC4">
        <w:tc>
          <w:tcPr>
            <w:tcW w:w="9180" w:type="dxa"/>
          </w:tcPr>
          <w:p w14:paraId="43A30FC1"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33853557" wp14:editId="185C15E9">
                  <wp:extent cx="4970638" cy="3060000"/>
                  <wp:effectExtent l="0" t="0" r="0" b="7620"/>
                  <wp:docPr id="1744" name="Imagen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7" cstate="print">
                            <a:extLst>
                              <a:ext uri="{28A0092B-C50C-407E-A947-70E740481C1C}">
                                <a14:useLocalDpi xmlns:a14="http://schemas.microsoft.com/office/drawing/2010/main" val="0"/>
                              </a:ext>
                            </a:extLst>
                          </a:blip>
                          <a:srcRect t="5839" b="1823"/>
                          <a:stretch/>
                        </pic:blipFill>
                        <pic:spPr bwMode="auto">
                          <a:xfrm>
                            <a:off x="0" y="0"/>
                            <a:ext cx="497063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716A4341" w14:textId="77777777" w:rsidTr="00276BC4">
        <w:tc>
          <w:tcPr>
            <w:tcW w:w="9180" w:type="dxa"/>
          </w:tcPr>
          <w:p w14:paraId="58C7508E" w14:textId="77777777" w:rsidR="00744620" w:rsidRPr="00744620" w:rsidRDefault="00744620" w:rsidP="00744620">
            <w:pPr>
              <w:ind w:right="713" w:firstLine="738"/>
              <w:jc w:val="both"/>
              <w:rPr>
                <w:rFonts w:eastAsia="Times New Roman"/>
                <w:bCs/>
                <w:sz w:val="20"/>
                <w:szCs w:val="26"/>
                <w:lang w:val="es-ES"/>
              </w:rPr>
            </w:pPr>
            <w:r w:rsidRPr="00744620">
              <w:rPr>
                <w:rFonts w:eastAsia="Times New Roman"/>
                <w:bCs/>
                <w:sz w:val="20"/>
                <w:szCs w:val="26"/>
                <w:lang w:val="es-ES"/>
              </w:rPr>
              <w:t>FUENTE: Bloomberg.</w:t>
            </w:r>
          </w:p>
        </w:tc>
      </w:tr>
    </w:tbl>
    <w:p w14:paraId="14A3157E" w14:textId="77777777" w:rsidR="00744620" w:rsidRPr="00744620" w:rsidRDefault="00744620" w:rsidP="00744620">
      <w:pPr>
        <w:spacing w:after="360" w:line="360" w:lineRule="auto"/>
        <w:ind w:right="-159"/>
        <w:jc w:val="both"/>
        <w:rPr>
          <w:rFonts w:eastAsia="Times New Roman"/>
          <w:bCs/>
          <w:sz w:val="26"/>
          <w:szCs w:val="26"/>
          <w:lang w:val="es-ES"/>
        </w:rPr>
      </w:pPr>
    </w:p>
    <w:p w14:paraId="4F7C466F"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Finalmente, vale la pena resaltar que los niveles de volatilidad de los precios de varios activos financieros han empezado a incrementarse paulatinamente. La incertidumbre sobre el inicio, la velocidad y el impacto de la normalización de la política monetaria en Estados Unidos de Norteamérica es uno de los principales factores que explican este fenómeno. No obstante, las sorpresivas decisiones de política monetaria de otros bancos centrales, así como factores de riesgo geopolítico y nuevos períodos de nerviosismo asociados a la difícil situación fiscal de Grecia, también podrían ocasionar un repunte de la volatilidad en los siguientes meses (gráfica siguiente).</w:t>
      </w:r>
    </w:p>
    <w:p w14:paraId="4E6A482A" w14:textId="77777777" w:rsidR="002266DB" w:rsidRDefault="002266DB" w:rsidP="00744620">
      <w:pPr>
        <w:spacing w:after="360" w:line="360" w:lineRule="auto"/>
        <w:ind w:right="-159"/>
        <w:jc w:val="both"/>
        <w:rPr>
          <w:rFonts w:eastAsia="Times New Roman"/>
          <w:bCs/>
          <w:sz w:val="26"/>
          <w:szCs w:val="26"/>
          <w:lang w:val="es-ES"/>
        </w:rPr>
      </w:pPr>
    </w:p>
    <w:p w14:paraId="5E5F43A8" w14:textId="77777777" w:rsidR="002266DB" w:rsidRPr="00744620" w:rsidRDefault="002266DB"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6FBBFF49" w14:textId="77777777" w:rsidTr="00276BC4">
        <w:tc>
          <w:tcPr>
            <w:tcW w:w="9180" w:type="dxa"/>
          </w:tcPr>
          <w:p w14:paraId="4F400BF0"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RANGO DE VOLATILIDAD DE ACTIVOS SELECCIONADOS</w:t>
            </w:r>
          </w:p>
          <w:p w14:paraId="6716C622"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-Puntos base-</w:t>
            </w:r>
          </w:p>
        </w:tc>
      </w:tr>
      <w:tr w:rsidR="00744620" w:rsidRPr="00744620" w14:paraId="4290690C" w14:textId="77777777" w:rsidTr="00276BC4">
        <w:tc>
          <w:tcPr>
            <w:tcW w:w="9180" w:type="dxa"/>
          </w:tcPr>
          <w:p w14:paraId="1A3D73CE"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1FC1542D" wp14:editId="56C71598">
                  <wp:extent cx="4811001" cy="3600000"/>
                  <wp:effectExtent l="0" t="0" r="0" b="635"/>
                  <wp:docPr id="1745" name="Imagen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98" cstate="print">
                            <a:extLst>
                              <a:ext uri="{28A0092B-C50C-407E-A947-70E740481C1C}">
                                <a14:useLocalDpi xmlns:a14="http://schemas.microsoft.com/office/drawing/2010/main" val="0"/>
                              </a:ext>
                            </a:extLst>
                          </a:blip>
                          <a:srcRect t="6305" b="1342"/>
                          <a:stretch/>
                        </pic:blipFill>
                        <pic:spPr bwMode="auto">
                          <a:xfrm>
                            <a:off x="0" y="0"/>
                            <a:ext cx="4811001"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547974B6" w14:textId="77777777" w:rsidTr="00276BC4">
        <w:tc>
          <w:tcPr>
            <w:tcW w:w="9180" w:type="dxa"/>
          </w:tcPr>
          <w:p w14:paraId="391AC894"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Nota:</w:t>
            </w:r>
          </w:p>
          <w:p w14:paraId="538D99BA" w14:textId="77777777" w:rsidR="00744620" w:rsidRPr="00744620" w:rsidRDefault="00744620" w:rsidP="00744620">
            <w:pPr>
              <w:ind w:left="984" w:right="713" w:hanging="246"/>
              <w:jc w:val="both"/>
              <w:rPr>
                <w:rFonts w:eastAsia="Times New Roman"/>
                <w:bCs/>
                <w:sz w:val="20"/>
                <w:szCs w:val="26"/>
                <w:lang w:val="es-ES"/>
              </w:rPr>
            </w:pPr>
            <w:r w:rsidRPr="00744620">
              <w:rPr>
                <w:rFonts w:eastAsia="Times New Roman"/>
                <w:bCs/>
                <w:sz w:val="20"/>
                <w:szCs w:val="26"/>
                <w:u w:val="single"/>
                <w:lang w:val="es-ES"/>
              </w:rPr>
              <w:t>1</w:t>
            </w:r>
            <w:r w:rsidRPr="00744620">
              <w:rPr>
                <w:rFonts w:eastAsia="Times New Roman"/>
                <w:bCs/>
                <w:sz w:val="20"/>
                <w:szCs w:val="26"/>
                <w:lang w:val="es-ES"/>
              </w:rPr>
              <w:t>/ VIX (“CBOE Volatility Index”): Índice ponderado de volatilidad implícita a un mes en el mercado de opciones para el S&amp;P500.</w:t>
            </w:r>
          </w:p>
          <w:p w14:paraId="7A4F44BE" w14:textId="77777777" w:rsidR="00744620" w:rsidRPr="00744620" w:rsidRDefault="00744620" w:rsidP="00744620">
            <w:pPr>
              <w:ind w:left="956" w:right="713" w:hanging="218"/>
              <w:jc w:val="both"/>
              <w:rPr>
                <w:rFonts w:eastAsia="Times New Roman"/>
                <w:bCs/>
                <w:sz w:val="20"/>
                <w:szCs w:val="26"/>
                <w:lang w:val="es-ES"/>
              </w:rPr>
            </w:pPr>
            <w:r w:rsidRPr="00744620">
              <w:rPr>
                <w:rFonts w:eastAsia="Times New Roman"/>
                <w:bCs/>
                <w:sz w:val="20"/>
                <w:szCs w:val="26"/>
                <w:u w:val="single"/>
                <w:lang w:val="es-ES"/>
              </w:rPr>
              <w:t>2</w:t>
            </w:r>
            <w:r w:rsidRPr="00744620">
              <w:rPr>
                <w:rFonts w:eastAsia="Times New Roman"/>
                <w:bCs/>
                <w:sz w:val="20"/>
                <w:szCs w:val="26"/>
                <w:lang w:val="es-ES"/>
              </w:rPr>
              <w:t>/ CVIX: Volatilidad implícita a 3 meses de los tipos de cambio más operados con las siguientes ponderaciones: EUR-USD: 35.9%, USD-JPY: 21.79%, GBP-USD: 17.95%, USD-CHF: 5.13%, USD-CAD: 5.13%, AUDUSD: 6.14%, EUR-JPY: 3.85%, EUR-GBP: 2.56%, EUR-CHF: 1.28  por ciento.</w:t>
            </w:r>
          </w:p>
          <w:p w14:paraId="4E0D1480" w14:textId="77777777" w:rsidR="00744620" w:rsidRPr="00744620" w:rsidRDefault="00744620" w:rsidP="00744620">
            <w:pPr>
              <w:ind w:left="956" w:right="713" w:hanging="218"/>
              <w:jc w:val="both"/>
              <w:rPr>
                <w:rFonts w:eastAsia="Times New Roman"/>
                <w:bCs/>
                <w:sz w:val="20"/>
                <w:szCs w:val="26"/>
                <w:lang w:val="es-ES"/>
              </w:rPr>
            </w:pPr>
            <w:r w:rsidRPr="00744620">
              <w:rPr>
                <w:rFonts w:eastAsia="Times New Roman"/>
                <w:bCs/>
                <w:sz w:val="20"/>
                <w:szCs w:val="26"/>
                <w:u w:val="single"/>
                <w:lang w:val="es-ES"/>
              </w:rPr>
              <w:t>3</w:t>
            </w:r>
            <w:r w:rsidRPr="00744620">
              <w:rPr>
                <w:rFonts w:eastAsia="Times New Roman"/>
                <w:bCs/>
                <w:sz w:val="20"/>
                <w:szCs w:val="26"/>
                <w:lang w:val="es-ES"/>
              </w:rPr>
              <w:t xml:space="preserve">/ Volatilidad implícita en las opciones del WTI a tres meses </w:t>
            </w:r>
            <w:r w:rsidRPr="00744620">
              <w:rPr>
                <w:rFonts w:eastAsia="Times New Roman"/>
                <w:bCs/>
                <w:i/>
                <w:sz w:val="20"/>
                <w:szCs w:val="26"/>
                <w:lang w:val="es-ES"/>
              </w:rPr>
              <w:t>at the money</w:t>
            </w:r>
            <w:r w:rsidRPr="00744620">
              <w:rPr>
                <w:rFonts w:eastAsia="Times New Roman"/>
                <w:bCs/>
                <w:sz w:val="20"/>
                <w:szCs w:val="26"/>
                <w:lang w:val="es-ES"/>
              </w:rPr>
              <w:t>.</w:t>
            </w:r>
          </w:p>
          <w:p w14:paraId="66D8467E" w14:textId="77777777" w:rsidR="00744620" w:rsidRPr="00744620" w:rsidRDefault="00744620" w:rsidP="00744620">
            <w:pPr>
              <w:ind w:left="956" w:right="713" w:hanging="218"/>
              <w:jc w:val="both"/>
              <w:rPr>
                <w:rFonts w:eastAsia="Times New Roman"/>
                <w:bCs/>
                <w:sz w:val="20"/>
                <w:szCs w:val="26"/>
                <w:lang w:val="es-ES"/>
              </w:rPr>
            </w:pPr>
            <w:r w:rsidRPr="00744620">
              <w:rPr>
                <w:rFonts w:eastAsia="Times New Roman"/>
                <w:bCs/>
                <w:sz w:val="20"/>
                <w:szCs w:val="26"/>
                <w:u w:val="single"/>
                <w:lang w:val="es-ES"/>
              </w:rPr>
              <w:t>4</w:t>
            </w:r>
            <w:r w:rsidRPr="00744620">
              <w:rPr>
                <w:rFonts w:eastAsia="Times New Roman"/>
                <w:bCs/>
                <w:sz w:val="20"/>
                <w:szCs w:val="26"/>
                <w:lang w:val="es-ES"/>
              </w:rPr>
              <w:t xml:space="preserve">/ MOVE (Merrill Option Volatility Estimate): Índice de volatilidad implícita de opciones </w:t>
            </w:r>
            <w:r w:rsidRPr="00744620">
              <w:rPr>
                <w:rFonts w:eastAsia="Times New Roman"/>
                <w:bCs/>
                <w:i/>
                <w:sz w:val="20"/>
                <w:szCs w:val="26"/>
                <w:lang w:val="es-ES"/>
              </w:rPr>
              <w:t>at the money</w:t>
            </w:r>
            <w:r w:rsidRPr="00744620">
              <w:rPr>
                <w:rFonts w:eastAsia="Times New Roman"/>
                <w:bCs/>
                <w:sz w:val="20"/>
                <w:szCs w:val="26"/>
                <w:lang w:val="es-ES"/>
              </w:rPr>
              <w:t xml:space="preserve"> a un plazo a vencimiento de un mes sobre bonos del Tesoro con vencimiento de 2, 5, 10 y 30 años. El índice es calculado por Merrill Lynch/Bank of America.</w:t>
            </w:r>
          </w:p>
          <w:p w14:paraId="1215415E" w14:textId="77777777" w:rsidR="00744620" w:rsidRPr="00744620" w:rsidRDefault="00744620" w:rsidP="00744620">
            <w:pPr>
              <w:ind w:right="713" w:firstLine="738"/>
              <w:jc w:val="both"/>
              <w:rPr>
                <w:rFonts w:eastAsia="Times New Roman"/>
                <w:bCs/>
                <w:sz w:val="20"/>
                <w:szCs w:val="26"/>
                <w:lang w:val="es-ES"/>
              </w:rPr>
            </w:pPr>
            <w:r w:rsidRPr="00744620">
              <w:rPr>
                <w:rFonts w:eastAsia="Times New Roman"/>
                <w:bCs/>
                <w:sz w:val="20"/>
                <w:szCs w:val="26"/>
                <w:lang w:val="es-ES"/>
              </w:rPr>
              <w:t>FUENTE: Banco de México con datos de Bloomberg.</w:t>
            </w:r>
          </w:p>
        </w:tc>
      </w:tr>
    </w:tbl>
    <w:p w14:paraId="527F417C" w14:textId="77777777" w:rsidR="00744620" w:rsidRPr="00744620" w:rsidRDefault="00744620" w:rsidP="00744620">
      <w:pPr>
        <w:spacing w:after="360" w:line="360" w:lineRule="auto"/>
        <w:ind w:right="-159"/>
        <w:jc w:val="both"/>
        <w:rPr>
          <w:rFonts w:eastAsia="Times New Roman"/>
          <w:bCs/>
          <w:sz w:val="26"/>
          <w:szCs w:val="26"/>
          <w:lang w:val="es-ES"/>
        </w:rPr>
      </w:pPr>
    </w:p>
    <w:p w14:paraId="770003F1"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2.2.2 Mercados emergentes</w:t>
      </w:r>
    </w:p>
    <w:p w14:paraId="56A422D8"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Los activos financieros de los países emergentes mostraron un desempeño negativo durante las últimas semanas, en un ambiente en el que prevalecieron niveles elevados de volatilidad (gráfica siguiente). Los factores que explican en mayor medida este comportamiento fueron el buen desempeño de la economía de Estados Unidos de </w:t>
      </w:r>
      <w:r w:rsidRPr="00744620">
        <w:rPr>
          <w:rFonts w:eastAsia="Times New Roman"/>
          <w:bCs/>
          <w:sz w:val="26"/>
          <w:szCs w:val="26"/>
          <w:lang w:val="es-ES"/>
        </w:rPr>
        <w:lastRenderedPageBreak/>
        <w:t>Norteamérica y los ajustes en las expectativas del mercado respecto al inicio del ciclo de alza de tasas de interés por parte del Banco de la Reserva Federal.</w:t>
      </w:r>
    </w:p>
    <w:tbl>
      <w:tblPr>
        <w:tblW w:w="9180" w:type="dxa"/>
        <w:tblLook w:val="04A0" w:firstRow="1" w:lastRow="0" w:firstColumn="1" w:lastColumn="0" w:noHBand="0" w:noVBand="1"/>
      </w:tblPr>
      <w:tblGrid>
        <w:gridCol w:w="9180"/>
      </w:tblGrid>
      <w:tr w:rsidR="00744620" w:rsidRPr="00744620" w14:paraId="4E19B5D1" w14:textId="77777777" w:rsidTr="00276BC4">
        <w:tc>
          <w:tcPr>
            <w:tcW w:w="9180" w:type="dxa"/>
          </w:tcPr>
          <w:p w14:paraId="71D9A0B1"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RENDIMIENTO DE DIVERSOS ACTIVOS FINANCIEROS DE</w:t>
            </w:r>
          </w:p>
          <w:p w14:paraId="44F6998A"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PAÍSES EMERGENTES</w:t>
            </w:r>
          </w:p>
          <w:p w14:paraId="436D2B0F"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 (31 de diciembre 2013=100)-</w:t>
            </w:r>
          </w:p>
        </w:tc>
      </w:tr>
      <w:tr w:rsidR="00744620" w:rsidRPr="00744620" w14:paraId="5F373A95" w14:textId="77777777" w:rsidTr="00276BC4">
        <w:tc>
          <w:tcPr>
            <w:tcW w:w="9180" w:type="dxa"/>
          </w:tcPr>
          <w:p w14:paraId="4B60E4D2"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2E943A7E" wp14:editId="0794B830">
                  <wp:extent cx="4922109" cy="3060000"/>
                  <wp:effectExtent l="0" t="0" r="0" b="7620"/>
                  <wp:docPr id="1746" name="Imagen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99" cstate="print">
                            <a:extLst>
                              <a:ext uri="{28A0092B-C50C-407E-A947-70E740481C1C}">
                                <a14:useLocalDpi xmlns:a14="http://schemas.microsoft.com/office/drawing/2010/main" val="0"/>
                              </a:ext>
                            </a:extLst>
                          </a:blip>
                          <a:srcRect t="765" b="1525"/>
                          <a:stretch/>
                        </pic:blipFill>
                        <pic:spPr bwMode="auto">
                          <a:xfrm>
                            <a:off x="0" y="0"/>
                            <a:ext cx="4922109"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03E8B6E3" w14:textId="77777777" w:rsidTr="00276BC4">
        <w:tc>
          <w:tcPr>
            <w:tcW w:w="9180" w:type="dxa"/>
          </w:tcPr>
          <w:p w14:paraId="64CF4E5A"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Nota: Se presentan los índices JP Morgan de mercados emergentes para medir el desempeño de las divisas y tasas de bonos gubernamentales en moneda local. En el caso de la divisas se utilizó el índice EMCI, y para las tasas de interés el índice GBIEM. Para los índices accionarios se muestra el desempeño del índice MSCI en moneda local de mercados emergentes.</w:t>
            </w:r>
          </w:p>
          <w:p w14:paraId="7FFDC5EE" w14:textId="77777777" w:rsidR="00744620" w:rsidRPr="00744620" w:rsidRDefault="00744620" w:rsidP="00744620">
            <w:pPr>
              <w:ind w:left="1250" w:right="713" w:firstLine="14"/>
              <w:jc w:val="both"/>
              <w:rPr>
                <w:rFonts w:eastAsia="Times New Roman"/>
                <w:bCs/>
                <w:sz w:val="20"/>
                <w:szCs w:val="26"/>
                <w:lang w:val="es-ES"/>
              </w:rPr>
            </w:pPr>
            <w:r w:rsidRPr="00744620">
              <w:rPr>
                <w:rFonts w:eastAsia="Times New Roman"/>
                <w:bCs/>
                <w:sz w:val="20"/>
                <w:szCs w:val="26"/>
                <w:lang w:val="es-ES"/>
              </w:rPr>
              <w:t>Para medir el desempeño de las tasas de interés de bonos corporativos en moneda extranjera se utilizó el índice CEMBI de JP Morgan.</w:t>
            </w:r>
          </w:p>
          <w:p w14:paraId="459F499A"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La línea negra vertical indica la última decisión de política monetaria de Banco de México.</w:t>
            </w:r>
          </w:p>
          <w:p w14:paraId="0AD76274"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JP Morgan y Bloomberg.</w:t>
            </w:r>
          </w:p>
        </w:tc>
      </w:tr>
    </w:tbl>
    <w:p w14:paraId="11BCE587" w14:textId="77777777" w:rsidR="00744620" w:rsidRPr="00744620" w:rsidRDefault="00744620" w:rsidP="00744620">
      <w:pPr>
        <w:spacing w:after="360" w:line="360" w:lineRule="auto"/>
        <w:ind w:right="-159"/>
        <w:jc w:val="both"/>
        <w:rPr>
          <w:rFonts w:eastAsia="Times New Roman"/>
          <w:bCs/>
          <w:sz w:val="26"/>
          <w:szCs w:val="26"/>
          <w:lang w:val="es-ES"/>
        </w:rPr>
      </w:pPr>
    </w:p>
    <w:p w14:paraId="16BE3553"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este entorno, la mayoría de las divisas continuaron registrando depreciaciones importantes frente al dólar, alcanzando en varios casos niveles máximos históricos. En respuesta a este panorama, algunos bancos centrales siguieron interviniendo en sus mercados cambiarios. Por su parte, las tasas de interés de los instrumentos gubernamentales y los índices accionarios de este conjunto de países también observaron un desempeño negativo.</w:t>
      </w:r>
    </w:p>
    <w:p w14:paraId="1A107D5B"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lastRenderedPageBreak/>
        <w:t>2.2.3 Mercados en México</w:t>
      </w:r>
    </w:p>
    <w:p w14:paraId="05A5DB7D"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México, el mercado cambiario y de renta fija también presentaron desempeños negativos en un entorno en el que la volatilidad nuevamente repuntó. En este sentido, desde la última reunión de política monetaria a la fecha, el peso se depreció alrededor de 2%, alcanzando niveles máximos históricos durante el período. Si bien las condiciones de operación durante gran parte de estas semanas se mantuvieron estables, en los últimos días previos a la decisión de política monetaria del Banco de la Reserva Federal se observó un ligero deterioro en éstas. Es importante precisar que el reciente comportamiento de la divisa nacional obedeció a factores externos que han impulsado una fortaleza generalizada del dólar frente a la mayoría de las divisas de países tanto desarrollados como emergentes (gráfica siguiente), a lo que se le ha añadido la abrupta caída y debilidad de los precios del petróleo.</w:t>
      </w:r>
    </w:p>
    <w:p w14:paraId="46E1EC34" w14:textId="77777777" w:rsidR="00744620" w:rsidRPr="00744620" w:rsidRDefault="00744620" w:rsidP="00744620">
      <w:pPr>
        <w:spacing w:after="360" w:line="360" w:lineRule="auto"/>
        <w:ind w:right="-159"/>
        <w:jc w:val="both"/>
        <w:rPr>
          <w:rFonts w:eastAsia="Times New Roman"/>
          <w:bCs/>
          <w:sz w:val="26"/>
          <w:szCs w:val="26"/>
          <w:lang w:val="es-ES"/>
        </w:rPr>
      </w:pPr>
    </w:p>
    <w:p w14:paraId="642F5DA8" w14:textId="77777777" w:rsidR="00744620" w:rsidRPr="00744620" w:rsidRDefault="00744620" w:rsidP="00744620">
      <w:pPr>
        <w:spacing w:after="360" w:line="360" w:lineRule="auto"/>
        <w:ind w:right="-159"/>
        <w:jc w:val="both"/>
        <w:rPr>
          <w:rFonts w:eastAsia="Times New Roman"/>
          <w:bCs/>
          <w:sz w:val="26"/>
          <w:szCs w:val="26"/>
          <w:lang w:val="es-ES"/>
        </w:rPr>
      </w:pPr>
    </w:p>
    <w:p w14:paraId="0828DCE9" w14:textId="77777777" w:rsidR="00744620" w:rsidRPr="00744620" w:rsidRDefault="00744620" w:rsidP="00744620">
      <w:pPr>
        <w:spacing w:after="360" w:line="360" w:lineRule="auto"/>
        <w:ind w:right="-159"/>
        <w:jc w:val="both"/>
        <w:rPr>
          <w:rFonts w:eastAsia="Times New Roman"/>
          <w:bCs/>
          <w:sz w:val="26"/>
          <w:szCs w:val="26"/>
          <w:lang w:val="es-ES"/>
        </w:rPr>
      </w:pPr>
    </w:p>
    <w:p w14:paraId="22AF992F" w14:textId="77777777" w:rsidR="00744620" w:rsidRPr="00744620" w:rsidRDefault="00744620" w:rsidP="00744620">
      <w:pPr>
        <w:spacing w:after="360" w:line="360" w:lineRule="auto"/>
        <w:ind w:right="-159"/>
        <w:jc w:val="both"/>
        <w:rPr>
          <w:rFonts w:eastAsia="Times New Roman"/>
          <w:bCs/>
          <w:sz w:val="26"/>
          <w:szCs w:val="26"/>
          <w:lang w:val="es-ES"/>
        </w:rPr>
      </w:pPr>
    </w:p>
    <w:p w14:paraId="45945EF0" w14:textId="77777777" w:rsidR="00744620" w:rsidRPr="00744620" w:rsidRDefault="00744620" w:rsidP="00744620">
      <w:pPr>
        <w:spacing w:after="360" w:line="360" w:lineRule="auto"/>
        <w:ind w:right="-159"/>
        <w:jc w:val="both"/>
        <w:rPr>
          <w:rFonts w:eastAsia="Times New Roman"/>
          <w:bCs/>
          <w:sz w:val="26"/>
          <w:szCs w:val="26"/>
          <w:lang w:val="es-ES"/>
        </w:rPr>
      </w:pPr>
    </w:p>
    <w:p w14:paraId="680B063C" w14:textId="77777777" w:rsidR="00744620" w:rsidRPr="00744620" w:rsidRDefault="00744620" w:rsidP="00744620">
      <w:pPr>
        <w:spacing w:after="360" w:line="360" w:lineRule="auto"/>
        <w:ind w:right="-159"/>
        <w:jc w:val="both"/>
        <w:rPr>
          <w:rFonts w:eastAsia="Times New Roman"/>
          <w:bCs/>
          <w:sz w:val="26"/>
          <w:szCs w:val="26"/>
          <w:lang w:val="es-ES"/>
        </w:rPr>
      </w:pPr>
    </w:p>
    <w:p w14:paraId="09FB1EF7" w14:textId="77777777" w:rsidR="00744620" w:rsidRPr="00744620" w:rsidRDefault="00744620" w:rsidP="00744620">
      <w:pPr>
        <w:spacing w:after="360" w:line="360" w:lineRule="auto"/>
        <w:ind w:right="-159"/>
        <w:jc w:val="both"/>
        <w:rPr>
          <w:rFonts w:eastAsia="Times New Roman"/>
          <w:bCs/>
          <w:sz w:val="26"/>
          <w:szCs w:val="26"/>
          <w:lang w:val="es-ES"/>
        </w:rPr>
      </w:pPr>
    </w:p>
    <w:p w14:paraId="01DFA42E" w14:textId="77777777" w:rsidR="00744620" w:rsidRPr="00744620" w:rsidRDefault="00744620" w:rsidP="00744620">
      <w:pPr>
        <w:spacing w:after="360" w:line="360" w:lineRule="auto"/>
        <w:ind w:right="-159"/>
        <w:jc w:val="both"/>
        <w:rPr>
          <w:rFonts w:eastAsia="Times New Roman"/>
          <w:bCs/>
          <w:sz w:val="26"/>
          <w:szCs w:val="26"/>
          <w:lang w:val="es-ES"/>
        </w:rPr>
      </w:pPr>
    </w:p>
    <w:p w14:paraId="7BAA1FE5" w14:textId="77777777" w:rsidR="00744620" w:rsidRPr="00744620" w:rsidRDefault="00744620"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19B71FB2" w14:textId="77777777" w:rsidTr="00276BC4">
        <w:tc>
          <w:tcPr>
            <w:tcW w:w="9180" w:type="dxa"/>
          </w:tcPr>
          <w:p w14:paraId="48969452"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TIPO DE CAMBIO PESO MEXICANO – DÓLAR Y</w:t>
            </w:r>
          </w:p>
          <w:p w14:paraId="53C4EF92"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VOLUMEN DE OPERACIÓN AL CONTADO</w:t>
            </w:r>
          </w:p>
          <w:p w14:paraId="45278F74"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-Pesos por dólar-</w:t>
            </w:r>
          </w:p>
        </w:tc>
      </w:tr>
      <w:tr w:rsidR="00744620" w:rsidRPr="00744620" w14:paraId="58805D40" w14:textId="77777777" w:rsidTr="00276BC4">
        <w:tc>
          <w:tcPr>
            <w:tcW w:w="9180" w:type="dxa"/>
          </w:tcPr>
          <w:p w14:paraId="2147BF3D"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6F6AB6B1" wp14:editId="6BEF9969">
                  <wp:extent cx="4888723" cy="3600000"/>
                  <wp:effectExtent l="0" t="0" r="7620" b="0"/>
                  <wp:docPr id="1747" name="Imagen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0" cstate="print">
                            <a:extLst>
                              <a:ext uri="{28A0092B-C50C-407E-A947-70E740481C1C}">
                                <a14:useLocalDpi xmlns:a14="http://schemas.microsoft.com/office/drawing/2010/main" val="0"/>
                              </a:ext>
                            </a:extLst>
                          </a:blip>
                          <a:srcRect t="5693" b="1070"/>
                          <a:stretch/>
                        </pic:blipFill>
                        <pic:spPr bwMode="auto">
                          <a:xfrm>
                            <a:off x="0" y="0"/>
                            <a:ext cx="4888723" cy="36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5CC06F65" w14:textId="77777777" w:rsidTr="00276BC4">
        <w:tc>
          <w:tcPr>
            <w:tcW w:w="9180" w:type="dxa"/>
          </w:tcPr>
          <w:p w14:paraId="4F865523"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Nota: El volumen de operación al contado reportado por la banca local a Banco de México se clasificó de acuerdo con percentiles de su serie histórica desde enero 2013 a la fecha (0%-20%, de 21% a 40%, 41% a 60%, 61% a 80%, y 81% a 100%).</w:t>
            </w:r>
          </w:p>
          <w:p w14:paraId="6F7D0757"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La línea negra vertical indica la última decisión de política monetaria de Banco de México.</w:t>
            </w:r>
          </w:p>
          <w:p w14:paraId="2A8F7677"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JP Morgan y Bloomberg.</w:t>
            </w:r>
          </w:p>
        </w:tc>
      </w:tr>
    </w:tbl>
    <w:p w14:paraId="5D7E706C" w14:textId="77777777" w:rsidR="00744620" w:rsidRPr="00744620" w:rsidRDefault="00744620" w:rsidP="00744620">
      <w:pPr>
        <w:spacing w:after="360" w:line="360" w:lineRule="auto"/>
        <w:ind w:right="-159"/>
        <w:jc w:val="both"/>
        <w:rPr>
          <w:rFonts w:eastAsia="Times New Roman"/>
          <w:bCs/>
          <w:sz w:val="26"/>
          <w:szCs w:val="26"/>
          <w:lang w:val="es-ES"/>
        </w:rPr>
      </w:pPr>
    </w:p>
    <w:p w14:paraId="56ABCD4E"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este contexto, la posición larga en pesos de inversionistas extranjeros en instrumentos cambiarios y de renta fija de corto plazo se redujo durante las últimas semanas. En contraste, las tenencias de inversionistas extranjeros en instrumentos de mediano y largo plazo continuaron incrementándose (gráfica siguiente).</w:t>
      </w:r>
    </w:p>
    <w:p w14:paraId="17EFFCA9" w14:textId="77777777" w:rsidR="00744620" w:rsidRPr="00744620" w:rsidRDefault="00744620" w:rsidP="00744620">
      <w:pPr>
        <w:spacing w:after="360" w:line="360" w:lineRule="auto"/>
        <w:ind w:right="-159"/>
        <w:jc w:val="both"/>
        <w:rPr>
          <w:rFonts w:eastAsia="Times New Roman"/>
          <w:bCs/>
          <w:sz w:val="26"/>
          <w:szCs w:val="26"/>
          <w:lang w:val="es-ES"/>
        </w:rPr>
      </w:pPr>
    </w:p>
    <w:p w14:paraId="6CBC9245" w14:textId="77777777" w:rsidR="00744620" w:rsidRPr="00744620" w:rsidRDefault="00744620" w:rsidP="00744620">
      <w:pPr>
        <w:spacing w:after="360" w:line="360" w:lineRule="auto"/>
        <w:ind w:right="-159"/>
        <w:jc w:val="both"/>
        <w:rPr>
          <w:rFonts w:eastAsia="Times New Roman"/>
          <w:bCs/>
          <w:sz w:val="26"/>
          <w:szCs w:val="26"/>
          <w:lang w:val="es-ES"/>
        </w:rPr>
      </w:pPr>
    </w:p>
    <w:p w14:paraId="194447B9" w14:textId="77777777" w:rsidR="00744620" w:rsidRPr="00744620" w:rsidRDefault="00744620"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39C9FA5A" w14:textId="77777777" w:rsidTr="00276BC4">
        <w:tc>
          <w:tcPr>
            <w:tcW w:w="9180" w:type="dxa"/>
          </w:tcPr>
          <w:p w14:paraId="6B8031FC"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TENENCIA DE INVERSIONISTAS EXTRANJEROS EN</w:t>
            </w:r>
          </w:p>
          <w:p w14:paraId="300A901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VALORES GUBERNAMENTALES</w:t>
            </w:r>
          </w:p>
          <w:p w14:paraId="204608BD"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-Porcentaje del monto total colocado-</w:t>
            </w:r>
          </w:p>
        </w:tc>
      </w:tr>
      <w:tr w:rsidR="00744620" w:rsidRPr="00744620" w14:paraId="5C22C988" w14:textId="77777777" w:rsidTr="00276BC4">
        <w:tc>
          <w:tcPr>
            <w:tcW w:w="9180" w:type="dxa"/>
          </w:tcPr>
          <w:p w14:paraId="1496114F"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61DD4DC0" wp14:editId="01FC9B4A">
                  <wp:extent cx="4960395" cy="3060000"/>
                  <wp:effectExtent l="0" t="0" r="0" b="7620"/>
                  <wp:docPr id="1748" name="Imagen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1" cstate="print">
                            <a:extLst>
                              <a:ext uri="{28A0092B-C50C-407E-A947-70E740481C1C}">
                                <a14:useLocalDpi xmlns:a14="http://schemas.microsoft.com/office/drawing/2010/main" val="0"/>
                              </a:ext>
                            </a:extLst>
                          </a:blip>
                          <a:srcRect t="5474" b="1997"/>
                          <a:stretch/>
                        </pic:blipFill>
                        <pic:spPr bwMode="auto">
                          <a:xfrm>
                            <a:off x="0" y="0"/>
                            <a:ext cx="4960395"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0015B929" w14:textId="77777777" w:rsidTr="00276BC4">
        <w:tc>
          <w:tcPr>
            <w:tcW w:w="9180" w:type="dxa"/>
          </w:tcPr>
          <w:p w14:paraId="3D9A4B56"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Nota: El total del monto colocado incluye Bondes D e IPAB.</w:t>
            </w:r>
          </w:p>
          <w:p w14:paraId="6348EF6B"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Banco de México e Indeval.</w:t>
            </w:r>
          </w:p>
        </w:tc>
      </w:tr>
    </w:tbl>
    <w:p w14:paraId="5C6D12D7" w14:textId="77777777" w:rsidR="00744620" w:rsidRPr="00744620" w:rsidRDefault="00744620" w:rsidP="00744620">
      <w:pPr>
        <w:spacing w:after="360" w:line="360" w:lineRule="auto"/>
        <w:ind w:right="-159"/>
        <w:jc w:val="both"/>
        <w:rPr>
          <w:rFonts w:eastAsia="Times New Roman"/>
          <w:bCs/>
          <w:sz w:val="26"/>
          <w:szCs w:val="26"/>
          <w:lang w:val="es-ES"/>
        </w:rPr>
      </w:pPr>
    </w:p>
    <w:p w14:paraId="5F789DBE" w14:textId="3538D2E2"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respuesta al entorno de mayor volatilidad, la Comisión de Cambios decidió implementar medidas adicionales para proveer de liquidez al mercado cambiario mexicano. Por ello, desde el 11 de marzo y hasta el 8 de junio de 2015</w:t>
      </w:r>
      <w:r w:rsidR="003F3984">
        <w:rPr>
          <w:rFonts w:eastAsia="Times New Roman"/>
          <w:bCs/>
          <w:sz w:val="26"/>
          <w:szCs w:val="26"/>
          <w:lang w:val="es-ES"/>
        </w:rPr>
        <w:t>,</w:t>
      </w:r>
      <w:r w:rsidRPr="00744620">
        <w:rPr>
          <w:rFonts w:eastAsia="Times New Roman"/>
          <w:bCs/>
          <w:sz w:val="26"/>
          <w:szCs w:val="26"/>
          <w:lang w:val="es-ES"/>
        </w:rPr>
        <w:t xml:space="preserve"> el Banco de México ofrecerá diariamente 52 millones de dólares por medio de subastas sin precio mínimo. Asimismo, se anunció que el mecanismo de subastas con precio mínimo anunciado en diciembre de 2014 permanecería vigente hasta nuevo aviso. Dicho anuncio parece haber contribuido a mejorar las condiciones de operación en el mercado de cambios.</w:t>
      </w:r>
    </w:p>
    <w:p w14:paraId="31486F1F"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Por su parte, en el mercado de dinero las tasas de interés registraron incrementos significativos, mostrando una alta correlación con el comportamiento observado en las tasas de los bonos del Tesoro Norteamericano (gráfica siguiente).</w:t>
      </w:r>
    </w:p>
    <w:p w14:paraId="0C9BEAE4" w14:textId="77777777" w:rsidR="00786917" w:rsidRPr="00744620" w:rsidRDefault="00786917"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42F56EF5" w14:textId="77777777" w:rsidTr="00276BC4">
        <w:tc>
          <w:tcPr>
            <w:tcW w:w="9180" w:type="dxa"/>
          </w:tcPr>
          <w:p w14:paraId="42DBBDB8"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CURVA DE RENDIMIENTO DE VALORES</w:t>
            </w:r>
          </w:p>
          <w:p w14:paraId="030A244C"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GUBERNAMENTALES A TASA NOMINAL</w:t>
            </w:r>
          </w:p>
          <w:p w14:paraId="371F3307"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-Puntos base, porcentaje-</w:t>
            </w:r>
          </w:p>
        </w:tc>
      </w:tr>
      <w:tr w:rsidR="00744620" w:rsidRPr="00744620" w14:paraId="2F9FF0D2" w14:textId="77777777" w:rsidTr="00276BC4">
        <w:tc>
          <w:tcPr>
            <w:tcW w:w="9180" w:type="dxa"/>
          </w:tcPr>
          <w:p w14:paraId="5CAE8E8F"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52DE25DF" wp14:editId="2F5FBA80">
                  <wp:extent cx="4890378" cy="2880000"/>
                  <wp:effectExtent l="0" t="0" r="0" b="0"/>
                  <wp:docPr id="1749" name="Imagen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2" cstate="print">
                            <a:extLst>
                              <a:ext uri="{28A0092B-C50C-407E-A947-70E740481C1C}">
                                <a14:useLocalDpi xmlns:a14="http://schemas.microsoft.com/office/drawing/2010/main" val="0"/>
                              </a:ext>
                            </a:extLst>
                          </a:blip>
                          <a:srcRect t="8535" b="1654"/>
                          <a:stretch/>
                        </pic:blipFill>
                        <pic:spPr bwMode="auto">
                          <a:xfrm>
                            <a:off x="0" y="0"/>
                            <a:ext cx="489037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16AAE2B5" w14:textId="77777777" w:rsidTr="00276BC4">
        <w:tc>
          <w:tcPr>
            <w:tcW w:w="9180" w:type="dxa"/>
          </w:tcPr>
          <w:p w14:paraId="25E67F35"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PIP.</w:t>
            </w:r>
          </w:p>
        </w:tc>
      </w:tr>
    </w:tbl>
    <w:p w14:paraId="34C7F40D" w14:textId="77777777" w:rsidR="00744620" w:rsidRPr="00744620" w:rsidRDefault="00744620" w:rsidP="00744620">
      <w:pPr>
        <w:spacing w:after="360" w:line="360" w:lineRule="auto"/>
        <w:ind w:right="-159"/>
        <w:jc w:val="both"/>
        <w:rPr>
          <w:rFonts w:eastAsia="Times New Roman"/>
          <w:bCs/>
          <w:sz w:val="26"/>
          <w:szCs w:val="26"/>
          <w:lang w:val="es-ES"/>
        </w:rPr>
      </w:pPr>
    </w:p>
    <w:p w14:paraId="75EA5655"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Finalmente, las expectativas sobre el rumbo de la política monetaria implícitas en la estructura de la curva de rendimientos ahora anticipan que el primer incremento en la tasa de referencia por parte del Banco de México se presente durante el tercer trimestre de 2015 (gráfica siguiente).</w:t>
      </w:r>
    </w:p>
    <w:p w14:paraId="39FF0340" w14:textId="77777777" w:rsidR="00744620" w:rsidRPr="00744620" w:rsidRDefault="00744620" w:rsidP="00744620">
      <w:pPr>
        <w:spacing w:after="360" w:line="360" w:lineRule="auto"/>
        <w:ind w:right="-159"/>
        <w:jc w:val="both"/>
        <w:rPr>
          <w:rFonts w:eastAsia="Times New Roman"/>
          <w:bCs/>
          <w:sz w:val="26"/>
          <w:szCs w:val="26"/>
          <w:lang w:val="es-ES"/>
        </w:rPr>
      </w:pPr>
    </w:p>
    <w:p w14:paraId="072C7835" w14:textId="77777777" w:rsidR="00744620" w:rsidRPr="00744620" w:rsidRDefault="00744620" w:rsidP="00744620">
      <w:pPr>
        <w:spacing w:after="360" w:line="360" w:lineRule="auto"/>
        <w:ind w:right="-159"/>
        <w:jc w:val="both"/>
        <w:rPr>
          <w:rFonts w:eastAsia="Times New Roman"/>
          <w:bCs/>
          <w:sz w:val="26"/>
          <w:szCs w:val="26"/>
          <w:lang w:val="es-ES"/>
        </w:rPr>
      </w:pPr>
    </w:p>
    <w:p w14:paraId="500C4772" w14:textId="77777777" w:rsidR="00744620" w:rsidRPr="00744620" w:rsidRDefault="00744620" w:rsidP="00744620">
      <w:pPr>
        <w:spacing w:after="360" w:line="360" w:lineRule="auto"/>
        <w:ind w:right="-159"/>
        <w:jc w:val="both"/>
        <w:rPr>
          <w:rFonts w:eastAsia="Times New Roman"/>
          <w:bCs/>
          <w:sz w:val="26"/>
          <w:szCs w:val="26"/>
          <w:lang w:val="es-ES"/>
        </w:rPr>
      </w:pPr>
    </w:p>
    <w:p w14:paraId="021DB11E" w14:textId="77777777" w:rsidR="00744620" w:rsidRPr="00744620" w:rsidRDefault="00744620" w:rsidP="00744620">
      <w:pPr>
        <w:spacing w:after="360" w:line="360" w:lineRule="auto"/>
        <w:ind w:right="-159"/>
        <w:jc w:val="both"/>
        <w:rPr>
          <w:rFonts w:eastAsia="Times New Roman"/>
          <w:bCs/>
          <w:sz w:val="26"/>
          <w:szCs w:val="26"/>
          <w:lang w:val="es-ES"/>
        </w:rPr>
      </w:pPr>
    </w:p>
    <w:p w14:paraId="48207110" w14:textId="77777777" w:rsidR="00744620" w:rsidRPr="00744620" w:rsidRDefault="00744620" w:rsidP="00744620">
      <w:pPr>
        <w:spacing w:after="360" w:line="360" w:lineRule="auto"/>
        <w:ind w:right="-159"/>
        <w:jc w:val="both"/>
        <w:rPr>
          <w:rFonts w:eastAsia="Times New Roman"/>
          <w:bCs/>
          <w:sz w:val="26"/>
          <w:szCs w:val="26"/>
          <w:lang w:val="es-ES"/>
        </w:rPr>
      </w:pPr>
    </w:p>
    <w:p w14:paraId="1F9E5041" w14:textId="77777777" w:rsidR="00744620" w:rsidRPr="00744620" w:rsidRDefault="00744620"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6474A3FF" w14:textId="77777777" w:rsidTr="00276BC4">
        <w:tc>
          <w:tcPr>
            <w:tcW w:w="9180" w:type="dxa"/>
          </w:tcPr>
          <w:p w14:paraId="1779852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TASA DE FONDEO IMPLÍCITA EN LA CURVA DE SWAPS DE TIIE DE 28 DÍAS</w:t>
            </w:r>
          </w:p>
          <w:p w14:paraId="2BF55A0C"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PARA LAS FECHAS DE DECISIONES SELECCIONADAS</w:t>
            </w:r>
          </w:p>
          <w:p w14:paraId="7E8C3906"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-Porcentaje-</w:t>
            </w:r>
          </w:p>
        </w:tc>
      </w:tr>
      <w:tr w:rsidR="00744620" w:rsidRPr="00744620" w14:paraId="2DDF37FD" w14:textId="77777777" w:rsidTr="00276BC4">
        <w:tc>
          <w:tcPr>
            <w:tcW w:w="9180" w:type="dxa"/>
          </w:tcPr>
          <w:p w14:paraId="69C4618C"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06828CDB" wp14:editId="5962648E">
                  <wp:extent cx="4651924" cy="3420000"/>
                  <wp:effectExtent l="0" t="0" r="0" b="9525"/>
                  <wp:docPr id="1750" name="Imagen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3" cstate="print">
                            <a:extLst>
                              <a:ext uri="{28A0092B-C50C-407E-A947-70E740481C1C}">
                                <a14:useLocalDpi xmlns:a14="http://schemas.microsoft.com/office/drawing/2010/main" val="0"/>
                              </a:ext>
                            </a:extLst>
                          </a:blip>
                          <a:srcRect t="6281" r="9474" b="850"/>
                          <a:stretch/>
                        </pic:blipFill>
                        <pic:spPr bwMode="auto">
                          <a:xfrm>
                            <a:off x="0" y="0"/>
                            <a:ext cx="4651924" cy="34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113983B7" w14:textId="77777777" w:rsidTr="00276BC4">
        <w:tc>
          <w:tcPr>
            <w:tcW w:w="9180" w:type="dxa"/>
          </w:tcPr>
          <w:p w14:paraId="6773AF9D" w14:textId="77777777" w:rsidR="00744620" w:rsidRPr="00744620" w:rsidRDefault="00744620" w:rsidP="00744620">
            <w:pPr>
              <w:ind w:left="1250" w:right="713" w:hanging="512"/>
              <w:jc w:val="both"/>
              <w:rPr>
                <w:rFonts w:eastAsia="Times New Roman"/>
                <w:bCs/>
                <w:sz w:val="20"/>
                <w:szCs w:val="26"/>
                <w:lang w:val="es-ES"/>
              </w:rPr>
            </w:pPr>
            <w:r w:rsidRPr="00744620">
              <w:rPr>
                <w:rFonts w:eastAsia="Times New Roman"/>
                <w:bCs/>
                <w:sz w:val="20"/>
                <w:szCs w:val="26"/>
                <w:lang w:val="es-ES"/>
              </w:rPr>
              <w:t>Nota: La línea negra vertical indica la fecha de la reunión anterior de política monetaria del Banco de México.</w:t>
            </w:r>
          </w:p>
          <w:p w14:paraId="5C24F78B"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Banco de México con información de PIP.</w:t>
            </w:r>
          </w:p>
        </w:tc>
      </w:tr>
    </w:tbl>
    <w:p w14:paraId="667EAC64" w14:textId="77777777" w:rsidR="00744620" w:rsidRPr="00744620" w:rsidRDefault="00744620" w:rsidP="00744620">
      <w:pPr>
        <w:spacing w:after="360" w:line="360" w:lineRule="auto"/>
        <w:ind w:right="-159"/>
        <w:jc w:val="both"/>
        <w:rPr>
          <w:rFonts w:eastAsia="Times New Roman"/>
          <w:bCs/>
          <w:sz w:val="26"/>
          <w:szCs w:val="26"/>
          <w:lang w:val="es-ES"/>
        </w:rPr>
      </w:pPr>
    </w:p>
    <w:p w14:paraId="24A858EA"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2.3. Perspectivas para la actividad económica y la inflación en México</w:t>
      </w:r>
    </w:p>
    <w:p w14:paraId="6967C1A7"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2.3.1. Actividad económica</w:t>
      </w:r>
    </w:p>
    <w:p w14:paraId="4C7D09CB" w14:textId="5FFF06F6"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el último trimestre de 2014, la economía mexicana continuó presentando una moderada recuperación (gráfica siguiente). Este comportamiento fue reflejo, principalmente, de la expansión de la demanda externa. No obstante, en el primer mes de 2015</w:t>
      </w:r>
      <w:r w:rsidR="003F3984">
        <w:rPr>
          <w:rFonts w:eastAsia="Times New Roman"/>
          <w:bCs/>
          <w:sz w:val="26"/>
          <w:szCs w:val="26"/>
          <w:lang w:val="es-ES"/>
        </w:rPr>
        <w:t>,</w:t>
      </w:r>
      <w:r w:rsidRPr="00744620">
        <w:rPr>
          <w:rFonts w:eastAsia="Times New Roman"/>
          <w:bCs/>
          <w:sz w:val="26"/>
          <w:szCs w:val="26"/>
          <w:lang w:val="es-ES"/>
        </w:rPr>
        <w:t xml:space="preserve"> las exportaciones manufactureras mostraron una pérdida de dinamismo, posiblemente como consecuencia de los factores temporales que afectaron la actividad económica en Estados Unidos de Norteamérica. En cuanto a la demanda interna, el consumo privado siguió sin exhibir una clara reactivación, aunque algunos indicadores oportunos, como los ingresos por ventas en empresas comerciales y las ventas de la </w:t>
      </w:r>
      <w:r w:rsidRPr="00744620">
        <w:rPr>
          <w:rFonts w:eastAsia="Times New Roman"/>
          <w:bCs/>
          <w:sz w:val="26"/>
          <w:szCs w:val="26"/>
          <w:lang w:val="es-ES"/>
        </w:rPr>
        <w:lastRenderedPageBreak/>
        <w:t>Asociación Nacional de Tiendas de Autoservicio y Departamentales (ANTAD), mostraron una relativa mejoría en los primeros meses del año en curso. Por su parte, la inversión fija bruta continuó mostrando cierta recuperación en el último trimestre de 2014 y a principios de 2015.</w:t>
      </w:r>
    </w:p>
    <w:tbl>
      <w:tblPr>
        <w:tblW w:w="9180" w:type="dxa"/>
        <w:tblLook w:val="04A0" w:firstRow="1" w:lastRow="0" w:firstColumn="1" w:lastColumn="0" w:noHBand="0" w:noVBand="1"/>
      </w:tblPr>
      <w:tblGrid>
        <w:gridCol w:w="9180"/>
      </w:tblGrid>
      <w:tr w:rsidR="00744620" w:rsidRPr="00744620" w14:paraId="21B52078" w14:textId="77777777" w:rsidTr="00276BC4">
        <w:tc>
          <w:tcPr>
            <w:tcW w:w="9180" w:type="dxa"/>
          </w:tcPr>
          <w:p w14:paraId="73EDA0B0"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PRODUCTO INTERNO BRUTO</w:t>
            </w:r>
          </w:p>
          <w:p w14:paraId="7E3A6802"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-Variaciones porcentuales trimestrales, cifras con ajuste estacional-</w:t>
            </w:r>
          </w:p>
        </w:tc>
      </w:tr>
      <w:tr w:rsidR="00744620" w:rsidRPr="00744620" w14:paraId="176644C7" w14:textId="77777777" w:rsidTr="00276BC4">
        <w:tc>
          <w:tcPr>
            <w:tcW w:w="9180" w:type="dxa"/>
          </w:tcPr>
          <w:p w14:paraId="3CAB6C4B"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2EB881DD" wp14:editId="775AD2CC">
                  <wp:extent cx="5072672" cy="3240000"/>
                  <wp:effectExtent l="0" t="0" r="0" b="0"/>
                  <wp:docPr id="1751" name="Imagen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04" cstate="print">
                            <a:extLst>
                              <a:ext uri="{28A0092B-C50C-407E-A947-70E740481C1C}">
                                <a14:useLocalDpi xmlns:a14="http://schemas.microsoft.com/office/drawing/2010/main" val="0"/>
                              </a:ext>
                            </a:extLst>
                          </a:blip>
                          <a:srcRect t="2555" b="1643"/>
                          <a:stretch/>
                        </pic:blipFill>
                        <pic:spPr bwMode="auto">
                          <a:xfrm>
                            <a:off x="0" y="0"/>
                            <a:ext cx="5072672"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65640607" w14:textId="77777777" w:rsidTr="00276BC4">
        <w:tc>
          <w:tcPr>
            <w:tcW w:w="9180" w:type="dxa"/>
          </w:tcPr>
          <w:p w14:paraId="49693D5D"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Sistema de Cuentas Nacionales de México (SCNM), INEGI.</w:t>
            </w:r>
          </w:p>
        </w:tc>
      </w:tr>
    </w:tbl>
    <w:p w14:paraId="4948344D" w14:textId="77777777" w:rsidR="00744620" w:rsidRPr="00744620" w:rsidRDefault="00744620" w:rsidP="00744620">
      <w:pPr>
        <w:spacing w:after="360" w:line="360" w:lineRule="auto"/>
        <w:ind w:right="-159"/>
        <w:jc w:val="both"/>
        <w:rPr>
          <w:rFonts w:eastAsia="Times New Roman"/>
          <w:bCs/>
          <w:sz w:val="26"/>
          <w:szCs w:val="26"/>
          <w:lang w:val="es-ES"/>
        </w:rPr>
      </w:pPr>
    </w:p>
    <w:p w14:paraId="720B4E2E" w14:textId="77777777" w:rsidR="00744620" w:rsidRPr="00744620" w:rsidRDefault="00744620" w:rsidP="00744620">
      <w:pPr>
        <w:tabs>
          <w:tab w:val="left" w:pos="2694"/>
        </w:tabs>
        <w:spacing w:after="360" w:line="360" w:lineRule="auto"/>
        <w:ind w:right="-159"/>
        <w:jc w:val="both"/>
        <w:rPr>
          <w:rFonts w:eastAsia="Times New Roman"/>
          <w:bCs/>
          <w:sz w:val="26"/>
          <w:szCs w:val="26"/>
          <w:lang w:val="es-ES"/>
        </w:rPr>
      </w:pPr>
      <w:r w:rsidRPr="00744620">
        <w:rPr>
          <w:rFonts w:eastAsia="Times New Roman"/>
          <w:bCs/>
          <w:sz w:val="26"/>
          <w:szCs w:val="26"/>
          <w:lang w:val="es-ES"/>
        </w:rPr>
        <w:t>En relación con la actividad económica por el lado de la producción, la construcción y las manufacturas continuaron presentado una tendencia positiva, si bien en enero de 2015 registraron una caída. Lo anterior, aunado a la nueva caída en la plataforma de producción petrolera, condujo a que la actividad industrial mostrara en el primer mes del año en curso un menor dinamismo respecto al observado en el trimestre previo. No obstante, este comportamiento se vio más que compensado por un crecimiento de los servicios y del sector agropecuario, de modo que el Indicador Global de la Actividad Económica (IGAE) siguió exhibiendo una moderada recuperación (gráfica siguiente).</w:t>
      </w:r>
    </w:p>
    <w:p w14:paraId="36C31D3E" w14:textId="77777777" w:rsidR="00744620" w:rsidRPr="00744620" w:rsidRDefault="00744620" w:rsidP="00744620">
      <w:pPr>
        <w:tabs>
          <w:tab w:val="left" w:pos="2694"/>
        </w:tabs>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491C8BEA" w14:textId="77777777" w:rsidTr="00276BC4">
        <w:tc>
          <w:tcPr>
            <w:tcW w:w="9180" w:type="dxa"/>
          </w:tcPr>
          <w:p w14:paraId="7645A7F7"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INDICADOR GLOBAL DE LA ACTIVIDAD ECONÓMICA</w:t>
            </w:r>
          </w:p>
          <w:p w14:paraId="6949A3C4"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-Índices 2008 = 100, a.e.-</w:t>
            </w:r>
          </w:p>
        </w:tc>
      </w:tr>
      <w:tr w:rsidR="00744620" w:rsidRPr="00744620" w14:paraId="496783D6" w14:textId="77777777" w:rsidTr="00276BC4">
        <w:tc>
          <w:tcPr>
            <w:tcW w:w="9180" w:type="dxa"/>
          </w:tcPr>
          <w:p w14:paraId="6730778F"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7255E24E" wp14:editId="63D7B076">
                  <wp:extent cx="5101011" cy="3060000"/>
                  <wp:effectExtent l="0" t="0" r="0" b="0"/>
                  <wp:docPr id="1752" name="Imagen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05" cstate="print">
                            <a:extLst>
                              <a:ext uri="{28A0092B-C50C-407E-A947-70E740481C1C}">
                                <a14:useLocalDpi xmlns:a14="http://schemas.microsoft.com/office/drawing/2010/main" val="0"/>
                              </a:ext>
                            </a:extLst>
                          </a:blip>
                          <a:srcRect t="5114" b="1500"/>
                          <a:stretch/>
                        </pic:blipFill>
                        <pic:spPr bwMode="auto">
                          <a:xfrm>
                            <a:off x="0" y="0"/>
                            <a:ext cx="5101011"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160AFC63" w14:textId="77777777" w:rsidTr="00276BC4">
        <w:tc>
          <w:tcPr>
            <w:tcW w:w="9180" w:type="dxa"/>
          </w:tcPr>
          <w:p w14:paraId="23398F3F"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a.e. / Serie con ajuste estacional y serie de tendencia. La primera se representa con la línea sólida y la segunda con la punteada.</w:t>
            </w:r>
          </w:p>
          <w:p w14:paraId="723929F1" w14:textId="77777777" w:rsidR="00744620" w:rsidRPr="00744620" w:rsidRDefault="00744620" w:rsidP="00744620">
            <w:pPr>
              <w:ind w:left="743" w:right="713" w:hanging="5"/>
              <w:jc w:val="both"/>
              <w:rPr>
                <w:rFonts w:eastAsia="Times New Roman"/>
                <w:bCs/>
                <w:sz w:val="20"/>
                <w:szCs w:val="26"/>
                <w:lang w:val="es-ES"/>
              </w:rPr>
            </w:pPr>
            <w:r w:rsidRPr="00744620">
              <w:rPr>
                <w:rFonts w:eastAsia="Times New Roman"/>
                <w:bCs/>
                <w:sz w:val="20"/>
                <w:szCs w:val="26"/>
                <w:lang w:val="es-ES"/>
              </w:rPr>
              <w:t>Fuente: Sistema de Cuentas Nacionales de México, INEGI.</w:t>
            </w:r>
          </w:p>
        </w:tc>
      </w:tr>
    </w:tbl>
    <w:p w14:paraId="3E8122EE" w14:textId="77777777" w:rsidR="00744620" w:rsidRPr="00744620" w:rsidRDefault="00744620" w:rsidP="00744620">
      <w:pPr>
        <w:tabs>
          <w:tab w:val="left" w:pos="2694"/>
        </w:tabs>
        <w:spacing w:after="360" w:line="360" w:lineRule="auto"/>
        <w:ind w:right="-159"/>
        <w:jc w:val="both"/>
        <w:rPr>
          <w:rFonts w:eastAsia="Times New Roman"/>
          <w:bCs/>
          <w:sz w:val="26"/>
          <w:szCs w:val="26"/>
          <w:lang w:val="es-ES"/>
        </w:rPr>
      </w:pPr>
    </w:p>
    <w:p w14:paraId="7B25CA71"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2.3.2. Inflación</w:t>
      </w:r>
    </w:p>
    <w:p w14:paraId="73D443EA"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2.3.2.1. Determinantes de la inflación</w:t>
      </w:r>
    </w:p>
    <w:p w14:paraId="313E536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A pesar de la moderada recuperación de la actividad económica en los últimos trimestres, aún persisten condiciones de holgura en la economía. En particular, dada la desaceleración en el ritmo de crecimiento de la economía mexicana que se observó entre el segundo semestre de 2012 y principios de 2014, la brecha del producto permanece en niveles negativos (gráfica siguiente).</w:t>
      </w:r>
    </w:p>
    <w:p w14:paraId="3F119551" w14:textId="77777777" w:rsidR="00744620" w:rsidRPr="00744620" w:rsidRDefault="00744620" w:rsidP="00744620">
      <w:pPr>
        <w:spacing w:after="360" w:line="360" w:lineRule="auto"/>
        <w:ind w:right="-159"/>
        <w:jc w:val="both"/>
        <w:rPr>
          <w:rFonts w:eastAsia="Times New Roman"/>
          <w:bCs/>
          <w:sz w:val="26"/>
          <w:szCs w:val="26"/>
          <w:lang w:val="es-ES"/>
        </w:rPr>
      </w:pPr>
    </w:p>
    <w:p w14:paraId="209A1F8A" w14:textId="77777777" w:rsidR="00744620" w:rsidRPr="00744620" w:rsidRDefault="00744620"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3AF24660" w14:textId="77777777" w:rsidTr="00276BC4">
        <w:tc>
          <w:tcPr>
            <w:tcW w:w="9180" w:type="dxa"/>
          </w:tcPr>
          <w:p w14:paraId="53B8C62D"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ESTIMACIONES DE LA BRECHA DEL PRODUCTO</w:t>
            </w:r>
            <w:r w:rsidRPr="00744620">
              <w:rPr>
                <w:rFonts w:eastAsia="Times New Roman"/>
                <w:b/>
                <w:bCs/>
                <w:sz w:val="22"/>
                <w:szCs w:val="26"/>
                <w:u w:val="single"/>
                <w:vertAlign w:val="superscript"/>
                <w:lang w:val="es-ES"/>
              </w:rPr>
              <w:t>1</w:t>
            </w:r>
            <w:r w:rsidRPr="00744620">
              <w:rPr>
                <w:rFonts w:eastAsia="Times New Roman"/>
                <w:b/>
                <w:bCs/>
                <w:sz w:val="22"/>
                <w:szCs w:val="26"/>
                <w:vertAlign w:val="superscript"/>
                <w:lang w:val="es-ES"/>
              </w:rPr>
              <w:t>/</w:t>
            </w:r>
          </w:p>
          <w:p w14:paraId="72978C67"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-Porcentajes del producto potencial, a.e.-</w:t>
            </w:r>
          </w:p>
        </w:tc>
      </w:tr>
      <w:tr w:rsidR="00744620" w:rsidRPr="00744620" w14:paraId="5F493B3D" w14:textId="77777777" w:rsidTr="00276BC4">
        <w:tc>
          <w:tcPr>
            <w:tcW w:w="9180" w:type="dxa"/>
          </w:tcPr>
          <w:p w14:paraId="7B82AD8F"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64998EE2" wp14:editId="720B6324">
                  <wp:extent cx="5467496" cy="3060000"/>
                  <wp:effectExtent l="0" t="0" r="0" b="0"/>
                  <wp:docPr id="1753" name="Imagen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06" cstate="print">
                            <a:extLst>
                              <a:ext uri="{28A0092B-C50C-407E-A947-70E740481C1C}">
                                <a14:useLocalDpi xmlns:a14="http://schemas.microsoft.com/office/drawing/2010/main" val="0"/>
                              </a:ext>
                            </a:extLst>
                          </a:blip>
                          <a:srcRect t="2691" b="2057"/>
                          <a:stretch/>
                        </pic:blipFill>
                        <pic:spPr bwMode="auto">
                          <a:xfrm>
                            <a:off x="0" y="0"/>
                            <a:ext cx="5467496"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1D2A527F" w14:textId="77777777" w:rsidTr="00276BC4">
        <w:tc>
          <w:tcPr>
            <w:tcW w:w="9180" w:type="dxa"/>
          </w:tcPr>
          <w:p w14:paraId="17726968" w14:textId="77777777" w:rsidR="00744620" w:rsidRPr="00744620" w:rsidRDefault="00744620" w:rsidP="00744620">
            <w:pPr>
              <w:ind w:left="550" w:right="425" w:hanging="232"/>
              <w:jc w:val="both"/>
              <w:rPr>
                <w:rFonts w:eastAsia="Times New Roman"/>
                <w:bCs/>
                <w:sz w:val="20"/>
                <w:szCs w:val="26"/>
                <w:lang w:val="es-ES"/>
              </w:rPr>
            </w:pPr>
            <w:r w:rsidRPr="00744620">
              <w:rPr>
                <w:rFonts w:eastAsia="Times New Roman"/>
                <w:bCs/>
                <w:sz w:val="20"/>
                <w:szCs w:val="26"/>
                <w:u w:val="single"/>
                <w:lang w:val="es-ES"/>
              </w:rPr>
              <w:t>1</w:t>
            </w:r>
            <w:r w:rsidRPr="00744620">
              <w:rPr>
                <w:rFonts w:eastAsia="Times New Roman"/>
                <w:bCs/>
                <w:sz w:val="20"/>
                <w:szCs w:val="26"/>
                <w:lang w:val="es-ES"/>
              </w:rPr>
              <w:t>/ Estimadas con el filtro de Hodrick-Prescott con corrección de colas; ver Banco de México (2009), “Informe sobre la Inflación, Abril-Junio 2009”, pág.74.</w:t>
            </w:r>
          </w:p>
          <w:p w14:paraId="1B4270E2" w14:textId="77777777" w:rsidR="00744620" w:rsidRPr="00744620" w:rsidRDefault="00744620" w:rsidP="00744620">
            <w:pPr>
              <w:ind w:left="550" w:right="425" w:hanging="232"/>
              <w:jc w:val="both"/>
              <w:rPr>
                <w:rFonts w:eastAsia="Times New Roman"/>
                <w:bCs/>
                <w:sz w:val="20"/>
                <w:szCs w:val="26"/>
                <w:lang w:val="es-ES"/>
              </w:rPr>
            </w:pPr>
            <w:r w:rsidRPr="00744620">
              <w:rPr>
                <w:rFonts w:eastAsia="Times New Roman"/>
                <w:bCs/>
                <w:sz w:val="20"/>
                <w:szCs w:val="26"/>
                <w:u w:val="single"/>
                <w:lang w:val="es-ES"/>
              </w:rPr>
              <w:t>2</w:t>
            </w:r>
            <w:r w:rsidRPr="00744620">
              <w:rPr>
                <w:rFonts w:eastAsia="Times New Roman"/>
                <w:bCs/>
                <w:sz w:val="20"/>
                <w:szCs w:val="26"/>
                <w:lang w:val="es-ES"/>
              </w:rPr>
              <w:t>/ Cifras del PIB al cuarto trimestre de 2014; cifras del IGAE a enero de 2015.</w:t>
            </w:r>
          </w:p>
          <w:p w14:paraId="5EF1471F" w14:textId="77777777" w:rsidR="00744620" w:rsidRPr="00744620" w:rsidRDefault="00744620" w:rsidP="00744620">
            <w:pPr>
              <w:ind w:left="550" w:right="425" w:hanging="232"/>
              <w:jc w:val="both"/>
              <w:rPr>
                <w:rFonts w:eastAsia="Times New Roman"/>
                <w:bCs/>
                <w:sz w:val="20"/>
                <w:szCs w:val="26"/>
                <w:lang w:val="es-ES"/>
              </w:rPr>
            </w:pPr>
            <w:r w:rsidRPr="00744620">
              <w:rPr>
                <w:rFonts w:eastAsia="Times New Roman"/>
                <w:bCs/>
                <w:sz w:val="20"/>
                <w:szCs w:val="26"/>
                <w:u w:val="single"/>
                <w:lang w:val="es-ES"/>
              </w:rPr>
              <w:t>3</w:t>
            </w:r>
            <w:r w:rsidRPr="00744620">
              <w:rPr>
                <w:rFonts w:eastAsia="Times New Roman"/>
                <w:bCs/>
                <w:sz w:val="20"/>
                <w:szCs w:val="26"/>
                <w:lang w:val="es-ES"/>
              </w:rPr>
              <w:t>/ Intervalo de confianza de la brecha del producto calculado con un método de componentes no observados.</w:t>
            </w:r>
          </w:p>
          <w:p w14:paraId="694252DD" w14:textId="77777777" w:rsidR="00744620" w:rsidRPr="00744620" w:rsidRDefault="00744620" w:rsidP="00744620">
            <w:pPr>
              <w:ind w:left="743" w:right="425" w:hanging="425"/>
              <w:jc w:val="both"/>
              <w:rPr>
                <w:rFonts w:eastAsia="Times New Roman"/>
                <w:bCs/>
                <w:sz w:val="20"/>
                <w:szCs w:val="26"/>
                <w:lang w:val="es-ES"/>
              </w:rPr>
            </w:pPr>
            <w:r w:rsidRPr="00744620">
              <w:rPr>
                <w:rFonts w:eastAsia="Times New Roman"/>
                <w:bCs/>
                <w:sz w:val="20"/>
                <w:szCs w:val="26"/>
                <w:lang w:val="es-ES"/>
              </w:rPr>
              <w:t>a.e. / Elaboración a partir de cifras con ajuste estacional.</w:t>
            </w:r>
          </w:p>
          <w:p w14:paraId="3071E9FD" w14:textId="77777777" w:rsidR="00744620" w:rsidRPr="00744620" w:rsidRDefault="00744620" w:rsidP="00744620">
            <w:pPr>
              <w:ind w:left="743" w:right="713" w:hanging="425"/>
              <w:jc w:val="both"/>
              <w:rPr>
                <w:rFonts w:eastAsia="Times New Roman"/>
                <w:bCs/>
                <w:sz w:val="20"/>
                <w:szCs w:val="26"/>
                <w:lang w:val="es-ES"/>
              </w:rPr>
            </w:pPr>
            <w:r w:rsidRPr="00744620">
              <w:rPr>
                <w:rFonts w:eastAsia="Times New Roman"/>
                <w:bCs/>
                <w:sz w:val="20"/>
                <w:szCs w:val="26"/>
                <w:lang w:val="es-ES"/>
              </w:rPr>
              <w:t>FUENTE: Elaboración de Banco de México con información del INEGI.</w:t>
            </w:r>
          </w:p>
        </w:tc>
      </w:tr>
    </w:tbl>
    <w:p w14:paraId="7BABA5D4" w14:textId="77777777" w:rsidR="00744620" w:rsidRPr="00744620" w:rsidRDefault="00744620" w:rsidP="00744620">
      <w:pPr>
        <w:spacing w:after="360" w:line="360" w:lineRule="auto"/>
        <w:ind w:right="-159"/>
        <w:jc w:val="both"/>
        <w:rPr>
          <w:rFonts w:eastAsia="Times New Roman"/>
          <w:bCs/>
          <w:sz w:val="26"/>
          <w:szCs w:val="26"/>
          <w:lang w:val="es-ES"/>
        </w:rPr>
      </w:pPr>
    </w:p>
    <w:p w14:paraId="0305B21A"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el mercado laboral persisten condiciones de holgura, aunque las tasas de desocupación nacional y urbana han tenido un desempeño favorable. En este contexto, la tendencia a la baja del ingreso promedio real de la población ocupada, junto con el ligero incremento en la productividad laboral han contribuido a que los costos unitarios de la mano de obra para la economía en su conjunto permanezcan en niveles bajos (gráfica siguiente).</w:t>
      </w:r>
    </w:p>
    <w:p w14:paraId="0C8E3B22" w14:textId="77777777" w:rsidR="00744620" w:rsidRPr="00744620" w:rsidRDefault="00744620" w:rsidP="00744620">
      <w:pPr>
        <w:spacing w:after="360" w:line="360" w:lineRule="auto"/>
        <w:ind w:right="-159"/>
        <w:jc w:val="both"/>
        <w:rPr>
          <w:rFonts w:eastAsia="Times New Roman"/>
          <w:bCs/>
          <w:sz w:val="26"/>
          <w:szCs w:val="26"/>
          <w:lang w:val="es-ES"/>
        </w:rPr>
      </w:pPr>
    </w:p>
    <w:p w14:paraId="477F36DC" w14:textId="77777777" w:rsidR="00744620" w:rsidRPr="00744620" w:rsidRDefault="00744620" w:rsidP="00744620">
      <w:pPr>
        <w:spacing w:after="360" w:line="360" w:lineRule="auto"/>
        <w:ind w:right="-159"/>
        <w:jc w:val="both"/>
        <w:rPr>
          <w:rFonts w:eastAsia="Times New Roman"/>
          <w:bCs/>
          <w:sz w:val="26"/>
          <w:szCs w:val="26"/>
          <w:lang w:val="es-ES"/>
        </w:rPr>
      </w:pPr>
    </w:p>
    <w:p w14:paraId="76686688" w14:textId="77777777" w:rsidR="00744620" w:rsidRPr="00744620" w:rsidRDefault="00744620" w:rsidP="00744620">
      <w:pPr>
        <w:spacing w:after="360" w:line="360" w:lineRule="auto"/>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5F5D3867" w14:textId="77777777" w:rsidTr="00276BC4">
        <w:tc>
          <w:tcPr>
            <w:tcW w:w="9180" w:type="dxa"/>
          </w:tcPr>
          <w:p w14:paraId="1E327169"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ÍNDICE GLOBAL DE PRODUCTIVIDAD LABORAL DE LA ECONOMÍA (IGPLE)</w:t>
            </w:r>
          </w:p>
          <w:p w14:paraId="10358251"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Y DE COSTO UNITARIO DE LA MANO DE OBRA</w:t>
            </w:r>
            <w:r w:rsidRPr="00744620">
              <w:rPr>
                <w:rFonts w:eastAsia="Times New Roman"/>
                <w:b/>
                <w:bCs/>
                <w:sz w:val="22"/>
                <w:szCs w:val="26"/>
                <w:u w:val="single"/>
                <w:vertAlign w:val="superscript"/>
                <w:lang w:val="es-ES"/>
              </w:rPr>
              <w:t>1</w:t>
            </w:r>
            <w:r w:rsidRPr="00744620">
              <w:rPr>
                <w:rFonts w:eastAsia="Times New Roman"/>
                <w:b/>
                <w:bCs/>
                <w:sz w:val="22"/>
                <w:szCs w:val="26"/>
                <w:vertAlign w:val="superscript"/>
                <w:lang w:val="es-ES"/>
              </w:rPr>
              <w:t>/</w:t>
            </w:r>
          </w:p>
          <w:p w14:paraId="6FD5279A"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-Índices 2008 = 100, a.e.-</w:t>
            </w:r>
          </w:p>
        </w:tc>
      </w:tr>
      <w:tr w:rsidR="00744620" w:rsidRPr="00744620" w14:paraId="2445D56C" w14:textId="77777777" w:rsidTr="00276BC4">
        <w:tc>
          <w:tcPr>
            <w:tcW w:w="9180" w:type="dxa"/>
          </w:tcPr>
          <w:p w14:paraId="1649B232"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39E763A0" wp14:editId="7CE5BB3A">
                  <wp:extent cx="5111778" cy="3060000"/>
                  <wp:effectExtent l="0" t="0" r="0" b="0"/>
                  <wp:docPr id="1754" name="Imagen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07" cstate="print">
                            <a:extLst>
                              <a:ext uri="{28A0092B-C50C-407E-A947-70E740481C1C}">
                                <a14:useLocalDpi xmlns:a14="http://schemas.microsoft.com/office/drawing/2010/main" val="0"/>
                              </a:ext>
                            </a:extLst>
                          </a:blip>
                          <a:srcRect t="8910" b="1622"/>
                          <a:stretch/>
                        </pic:blipFill>
                        <pic:spPr bwMode="auto">
                          <a:xfrm>
                            <a:off x="0" y="0"/>
                            <a:ext cx="5111778"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5915C7F6" w14:textId="77777777" w:rsidTr="00276BC4">
        <w:tc>
          <w:tcPr>
            <w:tcW w:w="9180" w:type="dxa"/>
          </w:tcPr>
          <w:p w14:paraId="26195EFC" w14:textId="77777777" w:rsidR="00744620" w:rsidRPr="00744620" w:rsidRDefault="00744620" w:rsidP="00744620">
            <w:pPr>
              <w:ind w:left="1054" w:right="567" w:hanging="453"/>
              <w:jc w:val="both"/>
              <w:rPr>
                <w:rFonts w:eastAsia="Times New Roman"/>
                <w:bCs/>
                <w:sz w:val="20"/>
                <w:szCs w:val="26"/>
                <w:lang w:val="es-ES"/>
              </w:rPr>
            </w:pPr>
            <w:r w:rsidRPr="00744620">
              <w:rPr>
                <w:rFonts w:eastAsia="Times New Roman"/>
                <w:bCs/>
                <w:sz w:val="20"/>
                <w:szCs w:val="26"/>
                <w:lang w:val="es-ES"/>
              </w:rPr>
              <w:t>a.e. / Serie con ajuste estacional y serie de tendencia. La primera se representa con la línea sólida y la segunda con la punteada. Las series de tendencia fueron estimadas por el Banco de México.</w:t>
            </w:r>
          </w:p>
          <w:p w14:paraId="365DBFB7" w14:textId="77777777" w:rsidR="00744620" w:rsidRPr="00744620" w:rsidRDefault="00744620" w:rsidP="00744620">
            <w:pPr>
              <w:ind w:left="550" w:right="567" w:firstLine="51"/>
              <w:jc w:val="both"/>
              <w:rPr>
                <w:rFonts w:eastAsia="Times New Roman"/>
                <w:bCs/>
                <w:sz w:val="20"/>
                <w:szCs w:val="26"/>
                <w:lang w:val="es-ES"/>
              </w:rPr>
            </w:pPr>
            <w:r w:rsidRPr="00744620">
              <w:rPr>
                <w:rFonts w:eastAsia="Times New Roman"/>
                <w:bCs/>
                <w:sz w:val="20"/>
                <w:szCs w:val="26"/>
                <w:u w:val="single"/>
                <w:lang w:val="es-ES"/>
              </w:rPr>
              <w:t>1</w:t>
            </w:r>
            <w:r w:rsidRPr="00744620">
              <w:rPr>
                <w:rFonts w:eastAsia="Times New Roman"/>
                <w:bCs/>
                <w:sz w:val="20"/>
                <w:szCs w:val="26"/>
                <w:lang w:val="es-ES"/>
              </w:rPr>
              <w:t>/ Productividad con base en las horas trabajadas.</w:t>
            </w:r>
          </w:p>
          <w:p w14:paraId="4590A4F9" w14:textId="77777777" w:rsidR="00744620" w:rsidRPr="00744620" w:rsidRDefault="00744620" w:rsidP="00744620">
            <w:pPr>
              <w:ind w:left="1516" w:right="567" w:hanging="915"/>
              <w:jc w:val="both"/>
              <w:rPr>
                <w:rFonts w:eastAsia="Times New Roman"/>
                <w:bCs/>
                <w:sz w:val="20"/>
                <w:szCs w:val="26"/>
                <w:lang w:val="es-ES"/>
              </w:rPr>
            </w:pPr>
            <w:r w:rsidRPr="00744620">
              <w:rPr>
                <w:rFonts w:eastAsia="Times New Roman"/>
                <w:bCs/>
                <w:sz w:val="20"/>
                <w:szCs w:val="26"/>
                <w:lang w:val="es-ES"/>
              </w:rPr>
              <w:t>FUENTE: Costo Unitario elaborado por el Banco de México con cifras del INEGI. IGPLE publicado por INEGI.</w:t>
            </w:r>
          </w:p>
        </w:tc>
      </w:tr>
    </w:tbl>
    <w:p w14:paraId="33A50A99" w14:textId="77777777" w:rsidR="00744620" w:rsidRPr="00744620" w:rsidRDefault="00744620" w:rsidP="00744620">
      <w:pPr>
        <w:spacing w:after="360" w:line="360" w:lineRule="auto"/>
        <w:ind w:right="-159"/>
        <w:jc w:val="both"/>
        <w:rPr>
          <w:rFonts w:eastAsia="Times New Roman"/>
          <w:bCs/>
          <w:sz w:val="26"/>
          <w:szCs w:val="26"/>
          <w:lang w:val="es-ES"/>
        </w:rPr>
      </w:pPr>
    </w:p>
    <w:p w14:paraId="5D946E71"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Al cierre de 2014, el financiamiento al sector privado no financiero moderó su ritmo de expansión respecto del trimestre previo. Posteriormente, en enero de 2015 se observó un aumento en las tasas de crecimiento del financiamiento interno a las empresas y a los hogares. En cuanto a las tasas de interés asociadas al crédito a las empresas, éstas continúan alrededor de mínimos históricos, mientras que el índice de morosidad del crédito a este segmento permaneció en niveles bajos. Por su parte, las tasas de interés y la calidad de la cartera del crédito a los hogares continúan sin mostrar movimientos significativos en el margen. Lo anterior sugiere la ausencia de presiones de demanda en el mercado de fondos prestables.</w:t>
      </w:r>
    </w:p>
    <w:p w14:paraId="548EDB95" w14:textId="77777777" w:rsidR="00786917" w:rsidRPr="00744620" w:rsidRDefault="00786917" w:rsidP="00744620">
      <w:pPr>
        <w:spacing w:after="360" w:line="360" w:lineRule="auto"/>
        <w:ind w:right="-159"/>
        <w:jc w:val="both"/>
        <w:rPr>
          <w:rFonts w:eastAsia="Times New Roman"/>
          <w:bCs/>
          <w:sz w:val="26"/>
          <w:szCs w:val="26"/>
          <w:lang w:val="es-ES"/>
        </w:rPr>
      </w:pPr>
    </w:p>
    <w:p w14:paraId="225DBD3E"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lastRenderedPageBreak/>
        <w:t>2.3.2.2. Evolución y perspectivas de la inflación</w:t>
      </w:r>
    </w:p>
    <w:p w14:paraId="0131C559"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línea con la postura monetaria y sus demás determinantes, el desempeño de la inflación general anual durante los primeros meses del año ha sido favorable. Las tasas de crecimiento de los precios de las mercancías y de los servicios han resultado menores a las observadas en años previos, a la vez que se ha reducido la tasa de crecimiento de los precios de varios energéticos. De esta forma, la inflación general anual disminuyó de 3.08 a 2.97% entre la primera quincena de enero y la primera quincena de marzo (gráfica siguiente y cuadro siguiente).</w:t>
      </w:r>
    </w:p>
    <w:tbl>
      <w:tblPr>
        <w:tblW w:w="9180" w:type="dxa"/>
        <w:tblLook w:val="04A0" w:firstRow="1" w:lastRow="0" w:firstColumn="1" w:lastColumn="0" w:noHBand="0" w:noVBand="1"/>
      </w:tblPr>
      <w:tblGrid>
        <w:gridCol w:w="9180"/>
      </w:tblGrid>
      <w:tr w:rsidR="00744620" w:rsidRPr="00744620" w14:paraId="03586C43" w14:textId="77777777" w:rsidTr="00276BC4">
        <w:tc>
          <w:tcPr>
            <w:tcW w:w="9180" w:type="dxa"/>
          </w:tcPr>
          <w:p w14:paraId="6D6CA84B"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ÍNDICE NACIONAL DE PRECIOS AL CONSUMIDOR</w:t>
            </w:r>
          </w:p>
          <w:p w14:paraId="7C813197"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-Variación anual en por ciento-</w:t>
            </w:r>
          </w:p>
        </w:tc>
      </w:tr>
      <w:tr w:rsidR="00744620" w:rsidRPr="00744620" w14:paraId="511DFC25" w14:textId="77777777" w:rsidTr="00276BC4">
        <w:tc>
          <w:tcPr>
            <w:tcW w:w="9180" w:type="dxa"/>
          </w:tcPr>
          <w:p w14:paraId="723E0A4C"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144C9290" wp14:editId="589F66C4">
                  <wp:extent cx="5339550" cy="3060000"/>
                  <wp:effectExtent l="0" t="0" r="0" b="0"/>
                  <wp:docPr id="1755" name="Imagen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08" cstate="print">
                            <a:extLst>
                              <a:ext uri="{28A0092B-C50C-407E-A947-70E740481C1C}">
                                <a14:useLocalDpi xmlns:a14="http://schemas.microsoft.com/office/drawing/2010/main" val="0"/>
                              </a:ext>
                            </a:extLst>
                          </a:blip>
                          <a:srcRect t="2833" b="1818"/>
                          <a:stretch/>
                        </pic:blipFill>
                        <pic:spPr bwMode="auto">
                          <a:xfrm>
                            <a:off x="0" y="0"/>
                            <a:ext cx="533955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056C1109" w14:textId="77777777" w:rsidTr="00276BC4">
        <w:tc>
          <w:tcPr>
            <w:tcW w:w="9180" w:type="dxa"/>
          </w:tcPr>
          <w:p w14:paraId="065EFF12" w14:textId="77777777" w:rsidR="00744620" w:rsidRPr="00744620" w:rsidRDefault="00744620" w:rsidP="00744620">
            <w:pPr>
              <w:ind w:left="1516" w:right="567" w:hanging="915"/>
              <w:jc w:val="both"/>
              <w:rPr>
                <w:rFonts w:eastAsia="Times New Roman"/>
                <w:bCs/>
                <w:sz w:val="20"/>
                <w:szCs w:val="26"/>
                <w:lang w:val="es-ES"/>
              </w:rPr>
            </w:pPr>
            <w:r w:rsidRPr="00744620">
              <w:rPr>
                <w:rFonts w:eastAsia="Times New Roman"/>
                <w:bCs/>
                <w:sz w:val="20"/>
                <w:szCs w:val="26"/>
                <w:lang w:val="es-ES"/>
              </w:rPr>
              <w:t>FUENTE: Banco de México e INEGI.</w:t>
            </w:r>
          </w:p>
        </w:tc>
      </w:tr>
    </w:tbl>
    <w:p w14:paraId="1DD6424A" w14:textId="77777777" w:rsidR="00744620" w:rsidRPr="00744620" w:rsidRDefault="00744620" w:rsidP="00744620">
      <w:pPr>
        <w:spacing w:after="360" w:line="360" w:lineRule="auto"/>
        <w:ind w:right="-159"/>
        <w:jc w:val="both"/>
        <w:rPr>
          <w:rFonts w:eastAsia="Times New Roman"/>
          <w:bCs/>
          <w:sz w:val="26"/>
          <w:szCs w:val="26"/>
          <w:lang w:val="es-ES"/>
        </w:rPr>
      </w:pPr>
    </w:p>
    <w:p w14:paraId="3FB9D75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inflación subyacente anual se ha ubicado por debajo de 2.50% desde enero. En específico, la variación anual del índice de precios subyacente fue 2.43% en la primera quincena de enero y 2.42% en la primera quincena de marzo (gráfica anterior y cuadro siguiente). Al respecto, cabe señalar que, conforme a lo previsto, el efecto sobre los precios de la depreciación de la moneda nacional ha sido hasta ahora moderado y se ha </w:t>
      </w:r>
      <w:r w:rsidRPr="00744620">
        <w:rPr>
          <w:rFonts w:eastAsia="Times New Roman"/>
          <w:bCs/>
          <w:sz w:val="26"/>
          <w:szCs w:val="26"/>
          <w:lang w:val="es-ES"/>
        </w:rPr>
        <w:lastRenderedPageBreak/>
        <w:t>concentrado en algunas mercancías no alimenticias, en particular ciertos bienes durables. Adicionalmente, la evolución reciente de la inflación sugiere que no han tenido lugar efectos de segundo orden en los precios de otros bienes y servicios, ni en los salarios. De hecho, el subíndice de precios de los servicios ha exhibido una desaceleración en su tasa de crecimiento anual (gráfica siguiente).</w:t>
      </w:r>
    </w:p>
    <w:tbl>
      <w:tblPr>
        <w:tblW w:w="9180" w:type="dxa"/>
        <w:tblLook w:val="04A0" w:firstRow="1" w:lastRow="0" w:firstColumn="1" w:lastColumn="0" w:noHBand="0" w:noVBand="1"/>
      </w:tblPr>
      <w:tblGrid>
        <w:gridCol w:w="9180"/>
      </w:tblGrid>
      <w:tr w:rsidR="00744620" w:rsidRPr="00744620" w14:paraId="207534B3" w14:textId="77777777" w:rsidTr="00276BC4">
        <w:tc>
          <w:tcPr>
            <w:tcW w:w="9180" w:type="dxa"/>
          </w:tcPr>
          <w:p w14:paraId="57860E60"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SUBÍNDICES SUBYACENTES DE LAS MERCANCÍAS Y DE LOS SERVICIOS</w:t>
            </w:r>
          </w:p>
          <w:p w14:paraId="4CE24B72"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-Variación anual en por ciento-</w:t>
            </w:r>
          </w:p>
        </w:tc>
      </w:tr>
      <w:tr w:rsidR="00744620" w:rsidRPr="00744620" w14:paraId="28226D82" w14:textId="77777777" w:rsidTr="00276BC4">
        <w:tc>
          <w:tcPr>
            <w:tcW w:w="9180" w:type="dxa"/>
          </w:tcPr>
          <w:p w14:paraId="4B737A2A"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76365FD7" wp14:editId="1F07B7DD">
                  <wp:extent cx="5246430" cy="3060000"/>
                  <wp:effectExtent l="0" t="0" r="0" b="0"/>
                  <wp:docPr id="1756" name="Imagen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09" cstate="print">
                            <a:extLst>
                              <a:ext uri="{28A0092B-C50C-407E-A947-70E740481C1C}">
                                <a14:useLocalDpi xmlns:a14="http://schemas.microsoft.com/office/drawing/2010/main" val="0"/>
                              </a:ext>
                            </a:extLst>
                          </a:blip>
                          <a:srcRect t="4687" b="1559"/>
                          <a:stretch/>
                        </pic:blipFill>
                        <pic:spPr bwMode="auto">
                          <a:xfrm>
                            <a:off x="0" y="0"/>
                            <a:ext cx="524643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00439281" w14:textId="77777777" w:rsidTr="00276BC4">
        <w:tc>
          <w:tcPr>
            <w:tcW w:w="9180" w:type="dxa"/>
          </w:tcPr>
          <w:p w14:paraId="4BCFDC4F" w14:textId="77777777" w:rsidR="00744620" w:rsidRPr="00744620" w:rsidRDefault="00744620" w:rsidP="00744620">
            <w:pPr>
              <w:ind w:left="1516" w:right="567" w:hanging="915"/>
              <w:jc w:val="both"/>
              <w:rPr>
                <w:rFonts w:eastAsia="Times New Roman"/>
                <w:bCs/>
                <w:sz w:val="20"/>
                <w:szCs w:val="26"/>
                <w:lang w:val="es-ES"/>
              </w:rPr>
            </w:pPr>
            <w:r w:rsidRPr="00744620">
              <w:rPr>
                <w:rFonts w:eastAsia="Times New Roman"/>
                <w:bCs/>
                <w:sz w:val="20"/>
                <w:szCs w:val="26"/>
                <w:lang w:val="es-ES"/>
              </w:rPr>
              <w:t>FUENTE: Banco de México e INEGI.</w:t>
            </w:r>
          </w:p>
        </w:tc>
      </w:tr>
    </w:tbl>
    <w:p w14:paraId="3B57FD23" w14:textId="77777777" w:rsidR="00744620" w:rsidRPr="00744620" w:rsidRDefault="00744620" w:rsidP="00744620">
      <w:pPr>
        <w:spacing w:after="360" w:line="360" w:lineRule="auto"/>
        <w:ind w:right="-159"/>
        <w:jc w:val="both"/>
        <w:rPr>
          <w:rFonts w:eastAsia="Times New Roman"/>
          <w:bCs/>
          <w:sz w:val="26"/>
          <w:szCs w:val="26"/>
          <w:lang w:val="es-ES"/>
        </w:rPr>
      </w:pPr>
    </w:p>
    <w:p w14:paraId="3996E9E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El índice de precios no subyacente, por su parte, ha mantenido la tendencia a la baja que comenzó a mostrar desde finales del año previo, al pasar de una tasa de variación anual de 5.12 a una de 4.69% entre la primera quincena de enero y la primera quincena de marzo, respectivamente. Este comportamiento ha estado apoyado en las menores tasas de crecimiento de los precios de los productos agropecuarios, así como en los menores incrementos en los precios del gas doméstico y en las reducciones en las tarifas de electricidad (gráfica siguiente y cuadro siguiente).</w:t>
      </w:r>
    </w:p>
    <w:p w14:paraId="5BB9CD16" w14:textId="77777777" w:rsidR="00744620" w:rsidRPr="00744620" w:rsidRDefault="00744620" w:rsidP="00786917">
      <w:pPr>
        <w:spacing w:after="360"/>
        <w:ind w:right="-159"/>
        <w:jc w:val="both"/>
        <w:rPr>
          <w:rFonts w:eastAsia="Times New Roman"/>
          <w:bCs/>
          <w:sz w:val="26"/>
          <w:szCs w:val="26"/>
          <w:lang w:val="es-ES"/>
        </w:rPr>
      </w:pPr>
    </w:p>
    <w:tbl>
      <w:tblPr>
        <w:tblW w:w="9180" w:type="dxa"/>
        <w:tblLook w:val="04A0" w:firstRow="1" w:lastRow="0" w:firstColumn="1" w:lastColumn="0" w:noHBand="0" w:noVBand="1"/>
      </w:tblPr>
      <w:tblGrid>
        <w:gridCol w:w="9180"/>
      </w:tblGrid>
      <w:tr w:rsidR="00744620" w:rsidRPr="00744620" w14:paraId="387E07C5" w14:textId="77777777" w:rsidTr="00276BC4">
        <w:tc>
          <w:tcPr>
            <w:tcW w:w="9180" w:type="dxa"/>
          </w:tcPr>
          <w:p w14:paraId="01FD9E6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lastRenderedPageBreak/>
              <w:t>SUBÍNDICES NO SUBYACENTES</w:t>
            </w:r>
          </w:p>
          <w:p w14:paraId="79B1E3D3" w14:textId="77777777" w:rsidR="00744620" w:rsidRPr="00744620" w:rsidRDefault="00744620" w:rsidP="00744620">
            <w:pPr>
              <w:jc w:val="center"/>
              <w:rPr>
                <w:rFonts w:eastAsia="Times New Roman"/>
                <w:b/>
                <w:bCs/>
                <w:sz w:val="22"/>
                <w:szCs w:val="26"/>
                <w:lang w:val="es-ES"/>
              </w:rPr>
            </w:pPr>
            <w:r w:rsidRPr="00744620">
              <w:rPr>
                <w:rFonts w:eastAsia="Times New Roman"/>
                <w:b/>
                <w:bCs/>
                <w:sz w:val="22"/>
                <w:szCs w:val="26"/>
                <w:lang w:val="es-ES"/>
              </w:rPr>
              <w:t>-Variación anual en por ciento-</w:t>
            </w:r>
          </w:p>
        </w:tc>
      </w:tr>
      <w:tr w:rsidR="00744620" w:rsidRPr="00744620" w14:paraId="641819AC" w14:textId="77777777" w:rsidTr="00276BC4">
        <w:tc>
          <w:tcPr>
            <w:tcW w:w="9180" w:type="dxa"/>
          </w:tcPr>
          <w:p w14:paraId="55FCF38C" w14:textId="77777777" w:rsidR="00744620" w:rsidRPr="00744620" w:rsidRDefault="00744620" w:rsidP="00744620">
            <w:pPr>
              <w:jc w:val="center"/>
              <w:rPr>
                <w:rFonts w:eastAsia="Times New Roman"/>
                <w:bCs/>
                <w:sz w:val="22"/>
                <w:szCs w:val="26"/>
                <w:lang w:val="es-ES"/>
              </w:rPr>
            </w:pPr>
            <w:r w:rsidRPr="00744620">
              <w:rPr>
                <w:rFonts w:eastAsia="Times New Roman"/>
                <w:bCs/>
                <w:noProof/>
                <w:sz w:val="22"/>
                <w:szCs w:val="26"/>
                <w:lang w:eastAsia="es-MX"/>
              </w:rPr>
              <w:drawing>
                <wp:inline distT="0" distB="0" distL="0" distR="0" wp14:anchorId="06255D66" wp14:editId="627CC9CD">
                  <wp:extent cx="5057829" cy="2880000"/>
                  <wp:effectExtent l="0" t="0" r="0" b="0"/>
                  <wp:docPr id="1757" name="Imagen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10" cstate="print">
                            <a:extLst>
                              <a:ext uri="{28A0092B-C50C-407E-A947-70E740481C1C}">
                                <a14:useLocalDpi xmlns:a14="http://schemas.microsoft.com/office/drawing/2010/main" val="0"/>
                              </a:ext>
                            </a:extLst>
                          </a:blip>
                          <a:srcRect t="7198" b="1751"/>
                          <a:stretch/>
                        </pic:blipFill>
                        <pic:spPr bwMode="auto">
                          <a:xfrm>
                            <a:off x="0" y="0"/>
                            <a:ext cx="5057829"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44620" w:rsidRPr="00744620" w14:paraId="4155485E" w14:textId="77777777" w:rsidTr="00276BC4">
        <w:tc>
          <w:tcPr>
            <w:tcW w:w="9180" w:type="dxa"/>
          </w:tcPr>
          <w:p w14:paraId="0B9DD732" w14:textId="77777777" w:rsidR="00744620" w:rsidRPr="00744620" w:rsidRDefault="00744620" w:rsidP="00744620">
            <w:pPr>
              <w:ind w:left="1516" w:right="567" w:hanging="915"/>
              <w:jc w:val="both"/>
              <w:rPr>
                <w:rFonts w:eastAsia="Times New Roman"/>
                <w:bCs/>
                <w:sz w:val="20"/>
                <w:szCs w:val="26"/>
                <w:lang w:val="es-ES"/>
              </w:rPr>
            </w:pPr>
            <w:r w:rsidRPr="00744620">
              <w:rPr>
                <w:rFonts w:eastAsia="Times New Roman"/>
                <w:bCs/>
                <w:sz w:val="20"/>
                <w:szCs w:val="26"/>
                <w:lang w:val="es-ES"/>
              </w:rPr>
              <w:t>FUENTE: Banco de México e INEGI.</w:t>
            </w:r>
          </w:p>
        </w:tc>
      </w:tr>
    </w:tbl>
    <w:p w14:paraId="7FC6289E" w14:textId="77777777" w:rsidR="00744620" w:rsidRPr="00744620" w:rsidRDefault="00744620" w:rsidP="00744620">
      <w:pPr>
        <w:spacing w:after="360" w:line="360" w:lineRule="auto"/>
        <w:ind w:right="-159"/>
        <w:jc w:val="both"/>
        <w:rPr>
          <w:rFonts w:eastAsia="Times New Roman"/>
          <w:bCs/>
          <w:sz w:val="26"/>
          <w:szCs w:val="26"/>
          <w:lang w:val="es-ES"/>
        </w:rPr>
      </w:pPr>
    </w:p>
    <w:p w14:paraId="701139DE"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Las expectativas de inflación implícitas en las cotizaciones de instrumentos de mercado correspondientes a horizontes de largo plazo (extraídas de instrumentos gubernamentales con vencimiento a 10 años) se han mantenido estables en niveles cercanos a 3.2%, en tanto que la prima por riesgo inflacionario ha mostrado una disminución. De esta forma, la compensación por inflación y riesgo inflacionario continúa reduciéndose, registrando niveles mínimos históricos. Por su parte, las expectativas de inflación provenientes de la encuesta que levanta el Banco de México entre especialistas del sector privado para el cierre de 2015 se ubican en niveles muy cercanos a 3%. Las correspondientes a horizontes de mediano y largo plazo continúan estables alrededor de 3.5 por ciento.</w:t>
      </w:r>
    </w:p>
    <w:p w14:paraId="5FE5FF3E" w14:textId="77777777" w:rsidR="00744620" w:rsidRPr="00744620" w:rsidRDefault="00744620" w:rsidP="00744620">
      <w:pPr>
        <w:spacing w:after="360" w:line="360" w:lineRule="auto"/>
        <w:ind w:right="-159"/>
        <w:jc w:val="both"/>
        <w:rPr>
          <w:rFonts w:eastAsia="Times New Roman"/>
          <w:bCs/>
          <w:sz w:val="26"/>
          <w:szCs w:val="26"/>
          <w:lang w:val="es-ES"/>
        </w:rPr>
      </w:pPr>
    </w:p>
    <w:p w14:paraId="157DE8A2" w14:textId="77777777" w:rsidR="00744620" w:rsidRPr="00744620" w:rsidRDefault="00744620" w:rsidP="00744620">
      <w:pPr>
        <w:spacing w:after="360" w:line="360" w:lineRule="auto"/>
        <w:ind w:right="-159"/>
        <w:jc w:val="both"/>
        <w:rPr>
          <w:rFonts w:eastAsia="Times New Roman"/>
          <w:bCs/>
          <w:sz w:val="26"/>
          <w:szCs w:val="26"/>
          <w:lang w:val="es-ES"/>
        </w:rPr>
      </w:pPr>
    </w:p>
    <w:p w14:paraId="1A52530A" w14:textId="77777777" w:rsidR="00744620" w:rsidRPr="00744620" w:rsidRDefault="00744620" w:rsidP="00786917">
      <w:pPr>
        <w:spacing w:after="360"/>
        <w:ind w:right="-159"/>
        <w:jc w:val="both"/>
        <w:rPr>
          <w:rFonts w:eastAsia="Times New Roman"/>
          <w:bCs/>
          <w:sz w:val="26"/>
          <w:szCs w:val="26"/>
          <w:lang w:val="es-ES"/>
        </w:rPr>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5"/>
        <w:gridCol w:w="1597"/>
        <w:gridCol w:w="1735"/>
        <w:gridCol w:w="1588"/>
      </w:tblGrid>
      <w:tr w:rsidR="00744620" w:rsidRPr="00744620" w14:paraId="18500476" w14:textId="77777777" w:rsidTr="00276BC4">
        <w:trPr>
          <w:jc w:val="center"/>
        </w:trPr>
        <w:tc>
          <w:tcPr>
            <w:tcW w:w="8545" w:type="dxa"/>
            <w:gridSpan w:val="4"/>
            <w:tcBorders>
              <w:top w:val="nil"/>
              <w:left w:val="nil"/>
              <w:bottom w:val="single" w:sz="4" w:space="0" w:color="auto"/>
              <w:right w:val="nil"/>
            </w:tcBorders>
            <w:shd w:val="clear" w:color="auto" w:fill="auto"/>
          </w:tcPr>
          <w:p w14:paraId="63486559" w14:textId="77777777" w:rsidR="00744620" w:rsidRPr="00744620" w:rsidRDefault="00744620" w:rsidP="00744620">
            <w:pPr>
              <w:jc w:val="center"/>
              <w:rPr>
                <w:rFonts w:eastAsia="Times New Roman"/>
                <w:b/>
                <w:sz w:val="22"/>
                <w:szCs w:val="22"/>
                <w:lang w:val="es-ES"/>
              </w:rPr>
            </w:pPr>
            <w:r w:rsidRPr="00744620">
              <w:rPr>
                <w:rFonts w:eastAsia="Times New Roman"/>
                <w:b/>
                <w:sz w:val="22"/>
                <w:szCs w:val="22"/>
                <w:lang w:val="es-ES"/>
              </w:rPr>
              <w:lastRenderedPageBreak/>
              <w:t>ÍNDICE NACIONAL DE PRECIOS AL CONSUMIDOR Y COMPONENTES</w:t>
            </w:r>
          </w:p>
          <w:p w14:paraId="6B64E271" w14:textId="77777777" w:rsidR="00744620" w:rsidRPr="00744620" w:rsidRDefault="00744620" w:rsidP="00744620">
            <w:pPr>
              <w:jc w:val="center"/>
              <w:rPr>
                <w:rFonts w:eastAsia="Times New Roman"/>
                <w:b/>
                <w:sz w:val="22"/>
                <w:szCs w:val="22"/>
                <w:lang w:val="es-ES"/>
              </w:rPr>
            </w:pPr>
            <w:r w:rsidRPr="00744620">
              <w:rPr>
                <w:rFonts w:eastAsia="Times New Roman"/>
                <w:b/>
                <w:sz w:val="22"/>
                <w:szCs w:val="22"/>
                <w:lang w:val="es-ES"/>
              </w:rPr>
              <w:t>-Variación anual en por ciento-</w:t>
            </w:r>
          </w:p>
        </w:tc>
      </w:tr>
      <w:tr w:rsidR="00744620" w:rsidRPr="00744620" w14:paraId="4C0583D0" w14:textId="77777777" w:rsidTr="00276BC4">
        <w:trPr>
          <w:jc w:val="center"/>
        </w:trPr>
        <w:tc>
          <w:tcPr>
            <w:tcW w:w="3625" w:type="dxa"/>
            <w:tcBorders>
              <w:top w:val="single" w:sz="4" w:space="0" w:color="auto"/>
              <w:bottom w:val="single" w:sz="4" w:space="0" w:color="auto"/>
            </w:tcBorders>
            <w:shd w:val="clear" w:color="auto" w:fill="auto"/>
            <w:vAlign w:val="center"/>
          </w:tcPr>
          <w:p w14:paraId="50C7DCA3"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Concepto</w:t>
            </w:r>
          </w:p>
        </w:tc>
        <w:tc>
          <w:tcPr>
            <w:tcW w:w="1597" w:type="dxa"/>
            <w:tcBorders>
              <w:top w:val="single" w:sz="4" w:space="0" w:color="auto"/>
              <w:bottom w:val="single" w:sz="4" w:space="0" w:color="auto"/>
            </w:tcBorders>
            <w:shd w:val="clear" w:color="auto" w:fill="auto"/>
            <w:vAlign w:val="center"/>
          </w:tcPr>
          <w:p w14:paraId="1E6834C8"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 xml:space="preserve">Diciembre </w:t>
            </w:r>
          </w:p>
          <w:p w14:paraId="1EBD8EC9"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2014</w:t>
            </w:r>
          </w:p>
        </w:tc>
        <w:tc>
          <w:tcPr>
            <w:tcW w:w="1735" w:type="dxa"/>
            <w:tcBorders>
              <w:top w:val="single" w:sz="4" w:space="0" w:color="auto"/>
              <w:bottom w:val="single" w:sz="4" w:space="0" w:color="auto"/>
            </w:tcBorders>
            <w:shd w:val="clear" w:color="auto" w:fill="auto"/>
            <w:vAlign w:val="center"/>
          </w:tcPr>
          <w:p w14:paraId="691B7C59"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 xml:space="preserve">Enero I Quin. </w:t>
            </w:r>
          </w:p>
          <w:p w14:paraId="5E7E5F89"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2015</w:t>
            </w:r>
          </w:p>
        </w:tc>
        <w:tc>
          <w:tcPr>
            <w:tcW w:w="1588" w:type="dxa"/>
            <w:tcBorders>
              <w:top w:val="single" w:sz="4" w:space="0" w:color="auto"/>
              <w:bottom w:val="single" w:sz="4" w:space="0" w:color="auto"/>
            </w:tcBorders>
            <w:shd w:val="clear" w:color="auto" w:fill="auto"/>
            <w:vAlign w:val="center"/>
          </w:tcPr>
          <w:p w14:paraId="3123F89E" w14:textId="77777777" w:rsidR="00744620" w:rsidRPr="00744620" w:rsidRDefault="00744620" w:rsidP="00744620">
            <w:pPr>
              <w:spacing w:before="20" w:after="20"/>
              <w:jc w:val="center"/>
              <w:rPr>
                <w:rFonts w:eastAsia="Times New Roman"/>
                <w:b/>
                <w:bCs/>
                <w:sz w:val="18"/>
                <w:szCs w:val="18"/>
                <w:lang w:val="es-ES"/>
              </w:rPr>
            </w:pPr>
            <w:r w:rsidRPr="00744620">
              <w:rPr>
                <w:rFonts w:eastAsia="Times New Roman"/>
                <w:b/>
                <w:bCs/>
                <w:sz w:val="18"/>
                <w:szCs w:val="18"/>
                <w:lang w:val="es-ES"/>
              </w:rPr>
              <w:t>Marzo I Quin. 2015</w:t>
            </w:r>
          </w:p>
        </w:tc>
      </w:tr>
      <w:tr w:rsidR="00744620" w:rsidRPr="00744620" w14:paraId="15C384B9" w14:textId="77777777" w:rsidTr="00276BC4">
        <w:trPr>
          <w:jc w:val="center"/>
        </w:trPr>
        <w:tc>
          <w:tcPr>
            <w:tcW w:w="3625" w:type="dxa"/>
            <w:tcBorders>
              <w:bottom w:val="nil"/>
            </w:tcBorders>
            <w:shd w:val="clear" w:color="auto" w:fill="auto"/>
            <w:vAlign w:val="center"/>
          </w:tcPr>
          <w:p w14:paraId="0A9EA82B"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INPC</w:t>
            </w:r>
          </w:p>
        </w:tc>
        <w:tc>
          <w:tcPr>
            <w:tcW w:w="1597" w:type="dxa"/>
            <w:tcBorders>
              <w:bottom w:val="nil"/>
            </w:tcBorders>
            <w:shd w:val="clear" w:color="auto" w:fill="auto"/>
            <w:vAlign w:val="center"/>
          </w:tcPr>
          <w:p w14:paraId="03A638CA"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4.08</w:t>
            </w:r>
          </w:p>
        </w:tc>
        <w:tc>
          <w:tcPr>
            <w:tcW w:w="1735" w:type="dxa"/>
            <w:tcBorders>
              <w:bottom w:val="nil"/>
            </w:tcBorders>
            <w:shd w:val="clear" w:color="auto" w:fill="auto"/>
            <w:vAlign w:val="center"/>
          </w:tcPr>
          <w:p w14:paraId="1ADD5595"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3.08</w:t>
            </w:r>
          </w:p>
        </w:tc>
        <w:tc>
          <w:tcPr>
            <w:tcW w:w="1588" w:type="dxa"/>
            <w:tcBorders>
              <w:bottom w:val="nil"/>
            </w:tcBorders>
            <w:shd w:val="clear" w:color="auto" w:fill="auto"/>
            <w:vAlign w:val="center"/>
          </w:tcPr>
          <w:p w14:paraId="3828F172"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2.97</w:t>
            </w:r>
          </w:p>
        </w:tc>
      </w:tr>
      <w:tr w:rsidR="00744620" w:rsidRPr="00744620" w14:paraId="7CE7419B" w14:textId="77777777" w:rsidTr="00276BC4">
        <w:trPr>
          <w:jc w:val="center"/>
        </w:trPr>
        <w:tc>
          <w:tcPr>
            <w:tcW w:w="3625" w:type="dxa"/>
            <w:tcBorders>
              <w:top w:val="nil"/>
              <w:bottom w:val="nil"/>
            </w:tcBorders>
            <w:shd w:val="clear" w:color="auto" w:fill="auto"/>
            <w:vAlign w:val="center"/>
          </w:tcPr>
          <w:p w14:paraId="08C76CAD"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Subyacente</w:t>
            </w:r>
          </w:p>
        </w:tc>
        <w:tc>
          <w:tcPr>
            <w:tcW w:w="1597" w:type="dxa"/>
            <w:tcBorders>
              <w:top w:val="nil"/>
              <w:bottom w:val="nil"/>
            </w:tcBorders>
            <w:shd w:val="clear" w:color="auto" w:fill="auto"/>
            <w:vAlign w:val="center"/>
          </w:tcPr>
          <w:p w14:paraId="65A0D68D"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3.24</w:t>
            </w:r>
          </w:p>
        </w:tc>
        <w:tc>
          <w:tcPr>
            <w:tcW w:w="1735" w:type="dxa"/>
            <w:tcBorders>
              <w:top w:val="nil"/>
              <w:bottom w:val="nil"/>
            </w:tcBorders>
            <w:shd w:val="clear" w:color="auto" w:fill="auto"/>
            <w:vAlign w:val="center"/>
          </w:tcPr>
          <w:p w14:paraId="6653D7C8"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2.43</w:t>
            </w:r>
          </w:p>
        </w:tc>
        <w:tc>
          <w:tcPr>
            <w:tcW w:w="1588" w:type="dxa"/>
            <w:tcBorders>
              <w:top w:val="nil"/>
              <w:bottom w:val="nil"/>
            </w:tcBorders>
            <w:shd w:val="clear" w:color="auto" w:fill="auto"/>
            <w:vAlign w:val="center"/>
          </w:tcPr>
          <w:p w14:paraId="3989F776"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2.42</w:t>
            </w:r>
          </w:p>
        </w:tc>
      </w:tr>
      <w:tr w:rsidR="00744620" w:rsidRPr="00744620" w14:paraId="6A9DDE98" w14:textId="77777777" w:rsidTr="00276BC4">
        <w:trPr>
          <w:jc w:val="center"/>
        </w:trPr>
        <w:tc>
          <w:tcPr>
            <w:tcW w:w="3625" w:type="dxa"/>
            <w:tcBorders>
              <w:top w:val="nil"/>
              <w:bottom w:val="nil"/>
            </w:tcBorders>
            <w:shd w:val="clear" w:color="auto" w:fill="auto"/>
            <w:vAlign w:val="center"/>
          </w:tcPr>
          <w:p w14:paraId="4ECCCC0C"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Mercancías</w:t>
            </w:r>
          </w:p>
        </w:tc>
        <w:tc>
          <w:tcPr>
            <w:tcW w:w="1597" w:type="dxa"/>
            <w:tcBorders>
              <w:top w:val="nil"/>
              <w:bottom w:val="nil"/>
            </w:tcBorders>
            <w:shd w:val="clear" w:color="auto" w:fill="auto"/>
            <w:vAlign w:val="center"/>
          </w:tcPr>
          <w:p w14:paraId="21BCC233"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3.50</w:t>
            </w:r>
          </w:p>
        </w:tc>
        <w:tc>
          <w:tcPr>
            <w:tcW w:w="1735" w:type="dxa"/>
            <w:tcBorders>
              <w:top w:val="nil"/>
              <w:bottom w:val="nil"/>
            </w:tcBorders>
            <w:shd w:val="clear" w:color="auto" w:fill="auto"/>
            <w:vAlign w:val="center"/>
          </w:tcPr>
          <w:p w14:paraId="6172F033"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2.48</w:t>
            </w:r>
          </w:p>
        </w:tc>
        <w:tc>
          <w:tcPr>
            <w:tcW w:w="1588" w:type="dxa"/>
            <w:tcBorders>
              <w:top w:val="nil"/>
              <w:bottom w:val="nil"/>
            </w:tcBorders>
            <w:shd w:val="clear" w:color="auto" w:fill="auto"/>
            <w:vAlign w:val="center"/>
          </w:tcPr>
          <w:p w14:paraId="1175ADEC"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2.63</w:t>
            </w:r>
          </w:p>
        </w:tc>
      </w:tr>
      <w:tr w:rsidR="00744620" w:rsidRPr="00744620" w14:paraId="1A56EE80" w14:textId="77777777" w:rsidTr="00276BC4">
        <w:trPr>
          <w:jc w:val="center"/>
        </w:trPr>
        <w:tc>
          <w:tcPr>
            <w:tcW w:w="3625" w:type="dxa"/>
            <w:tcBorders>
              <w:top w:val="nil"/>
              <w:bottom w:val="nil"/>
            </w:tcBorders>
            <w:shd w:val="clear" w:color="auto" w:fill="auto"/>
            <w:vAlign w:val="center"/>
          </w:tcPr>
          <w:p w14:paraId="45715F56"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Alimentos, Bebidas y Tabaco</w:t>
            </w:r>
          </w:p>
        </w:tc>
        <w:tc>
          <w:tcPr>
            <w:tcW w:w="1597" w:type="dxa"/>
            <w:tcBorders>
              <w:top w:val="nil"/>
              <w:bottom w:val="nil"/>
            </w:tcBorders>
            <w:shd w:val="clear" w:color="auto" w:fill="auto"/>
            <w:vAlign w:val="center"/>
          </w:tcPr>
          <w:p w14:paraId="29633239"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5.31</w:t>
            </w:r>
          </w:p>
        </w:tc>
        <w:tc>
          <w:tcPr>
            <w:tcW w:w="1735" w:type="dxa"/>
            <w:tcBorders>
              <w:top w:val="nil"/>
              <w:bottom w:val="nil"/>
            </w:tcBorders>
            <w:shd w:val="clear" w:color="auto" w:fill="auto"/>
            <w:vAlign w:val="center"/>
          </w:tcPr>
          <w:p w14:paraId="5D8A6F39"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3.62</w:t>
            </w:r>
          </w:p>
        </w:tc>
        <w:tc>
          <w:tcPr>
            <w:tcW w:w="1588" w:type="dxa"/>
            <w:tcBorders>
              <w:top w:val="nil"/>
              <w:bottom w:val="nil"/>
            </w:tcBorders>
            <w:shd w:val="clear" w:color="auto" w:fill="auto"/>
            <w:vAlign w:val="center"/>
          </w:tcPr>
          <w:p w14:paraId="22D9D897"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3.04</w:t>
            </w:r>
          </w:p>
        </w:tc>
      </w:tr>
      <w:tr w:rsidR="00744620" w:rsidRPr="00744620" w14:paraId="6AB2B91B" w14:textId="77777777" w:rsidTr="00276BC4">
        <w:trPr>
          <w:jc w:val="center"/>
        </w:trPr>
        <w:tc>
          <w:tcPr>
            <w:tcW w:w="3625" w:type="dxa"/>
            <w:tcBorders>
              <w:top w:val="nil"/>
              <w:bottom w:val="nil"/>
            </w:tcBorders>
            <w:shd w:val="clear" w:color="auto" w:fill="auto"/>
            <w:vAlign w:val="center"/>
          </w:tcPr>
          <w:p w14:paraId="14086F95"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Mercancías no Alimenticias</w:t>
            </w:r>
          </w:p>
        </w:tc>
        <w:tc>
          <w:tcPr>
            <w:tcW w:w="1597" w:type="dxa"/>
            <w:tcBorders>
              <w:top w:val="nil"/>
              <w:bottom w:val="nil"/>
            </w:tcBorders>
            <w:shd w:val="clear" w:color="auto" w:fill="auto"/>
            <w:vAlign w:val="center"/>
          </w:tcPr>
          <w:p w14:paraId="22AD5AC2"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2.04</w:t>
            </w:r>
          </w:p>
        </w:tc>
        <w:tc>
          <w:tcPr>
            <w:tcW w:w="1735" w:type="dxa"/>
            <w:tcBorders>
              <w:top w:val="nil"/>
              <w:bottom w:val="nil"/>
            </w:tcBorders>
            <w:shd w:val="clear" w:color="auto" w:fill="auto"/>
            <w:vAlign w:val="center"/>
          </w:tcPr>
          <w:p w14:paraId="6F7F7DB8"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1.54</w:t>
            </w:r>
          </w:p>
        </w:tc>
        <w:tc>
          <w:tcPr>
            <w:tcW w:w="1588" w:type="dxa"/>
            <w:tcBorders>
              <w:top w:val="nil"/>
              <w:bottom w:val="nil"/>
            </w:tcBorders>
            <w:shd w:val="clear" w:color="auto" w:fill="auto"/>
            <w:vAlign w:val="center"/>
          </w:tcPr>
          <w:p w14:paraId="0906F35C"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2.28</w:t>
            </w:r>
          </w:p>
        </w:tc>
      </w:tr>
      <w:tr w:rsidR="00744620" w:rsidRPr="00744620" w14:paraId="3F86967B" w14:textId="77777777" w:rsidTr="00276BC4">
        <w:trPr>
          <w:jc w:val="center"/>
        </w:trPr>
        <w:tc>
          <w:tcPr>
            <w:tcW w:w="3625" w:type="dxa"/>
            <w:tcBorders>
              <w:top w:val="nil"/>
              <w:bottom w:val="nil"/>
            </w:tcBorders>
            <w:shd w:val="clear" w:color="auto" w:fill="auto"/>
            <w:vAlign w:val="center"/>
          </w:tcPr>
          <w:p w14:paraId="657432D9"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Servicios</w:t>
            </w:r>
          </w:p>
        </w:tc>
        <w:tc>
          <w:tcPr>
            <w:tcW w:w="1597" w:type="dxa"/>
            <w:tcBorders>
              <w:top w:val="nil"/>
              <w:bottom w:val="nil"/>
            </w:tcBorders>
            <w:shd w:val="clear" w:color="auto" w:fill="auto"/>
            <w:vAlign w:val="center"/>
          </w:tcPr>
          <w:p w14:paraId="35CF9A35"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3.03</w:t>
            </w:r>
          </w:p>
        </w:tc>
        <w:tc>
          <w:tcPr>
            <w:tcW w:w="1735" w:type="dxa"/>
            <w:tcBorders>
              <w:top w:val="nil"/>
              <w:bottom w:val="nil"/>
            </w:tcBorders>
            <w:shd w:val="clear" w:color="auto" w:fill="auto"/>
            <w:vAlign w:val="center"/>
          </w:tcPr>
          <w:p w14:paraId="785BA1E4"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2.38</w:t>
            </w:r>
          </w:p>
        </w:tc>
        <w:tc>
          <w:tcPr>
            <w:tcW w:w="1588" w:type="dxa"/>
            <w:tcBorders>
              <w:top w:val="nil"/>
              <w:bottom w:val="nil"/>
            </w:tcBorders>
            <w:shd w:val="clear" w:color="auto" w:fill="auto"/>
            <w:vAlign w:val="center"/>
          </w:tcPr>
          <w:p w14:paraId="6E5EA255"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2.25</w:t>
            </w:r>
          </w:p>
        </w:tc>
      </w:tr>
      <w:tr w:rsidR="00744620" w:rsidRPr="00744620" w14:paraId="4C9DFF90" w14:textId="77777777" w:rsidTr="00276BC4">
        <w:trPr>
          <w:jc w:val="center"/>
        </w:trPr>
        <w:tc>
          <w:tcPr>
            <w:tcW w:w="3625" w:type="dxa"/>
            <w:tcBorders>
              <w:top w:val="nil"/>
              <w:bottom w:val="nil"/>
            </w:tcBorders>
            <w:shd w:val="clear" w:color="auto" w:fill="auto"/>
            <w:vAlign w:val="center"/>
          </w:tcPr>
          <w:p w14:paraId="2947D369"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Vivienda</w:t>
            </w:r>
          </w:p>
        </w:tc>
        <w:tc>
          <w:tcPr>
            <w:tcW w:w="1597" w:type="dxa"/>
            <w:tcBorders>
              <w:top w:val="nil"/>
              <w:bottom w:val="nil"/>
            </w:tcBorders>
            <w:shd w:val="clear" w:color="auto" w:fill="auto"/>
            <w:vAlign w:val="center"/>
          </w:tcPr>
          <w:p w14:paraId="43863E1C"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2.14</w:t>
            </w:r>
          </w:p>
        </w:tc>
        <w:tc>
          <w:tcPr>
            <w:tcW w:w="1735" w:type="dxa"/>
            <w:tcBorders>
              <w:top w:val="nil"/>
              <w:bottom w:val="nil"/>
            </w:tcBorders>
            <w:shd w:val="clear" w:color="auto" w:fill="auto"/>
            <w:vAlign w:val="center"/>
          </w:tcPr>
          <w:p w14:paraId="10097F48"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2.15</w:t>
            </w:r>
          </w:p>
        </w:tc>
        <w:tc>
          <w:tcPr>
            <w:tcW w:w="1588" w:type="dxa"/>
            <w:tcBorders>
              <w:top w:val="nil"/>
              <w:bottom w:val="nil"/>
            </w:tcBorders>
            <w:shd w:val="clear" w:color="auto" w:fill="auto"/>
            <w:vAlign w:val="center"/>
          </w:tcPr>
          <w:p w14:paraId="5764AF18"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2.06</w:t>
            </w:r>
          </w:p>
        </w:tc>
      </w:tr>
      <w:tr w:rsidR="00744620" w:rsidRPr="00744620" w14:paraId="4DF935E0" w14:textId="77777777" w:rsidTr="00276BC4">
        <w:trPr>
          <w:jc w:val="center"/>
        </w:trPr>
        <w:tc>
          <w:tcPr>
            <w:tcW w:w="3625" w:type="dxa"/>
            <w:tcBorders>
              <w:top w:val="nil"/>
              <w:bottom w:val="nil"/>
            </w:tcBorders>
            <w:shd w:val="clear" w:color="auto" w:fill="auto"/>
            <w:vAlign w:val="center"/>
          </w:tcPr>
          <w:p w14:paraId="64621AF7"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Educación (Colegiaturas)</w:t>
            </w:r>
          </w:p>
        </w:tc>
        <w:tc>
          <w:tcPr>
            <w:tcW w:w="1597" w:type="dxa"/>
            <w:tcBorders>
              <w:top w:val="nil"/>
              <w:bottom w:val="nil"/>
            </w:tcBorders>
            <w:shd w:val="clear" w:color="auto" w:fill="auto"/>
            <w:vAlign w:val="center"/>
          </w:tcPr>
          <w:p w14:paraId="22B165E6"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4.30</w:t>
            </w:r>
          </w:p>
        </w:tc>
        <w:tc>
          <w:tcPr>
            <w:tcW w:w="1735" w:type="dxa"/>
            <w:tcBorders>
              <w:top w:val="nil"/>
              <w:bottom w:val="nil"/>
            </w:tcBorders>
            <w:shd w:val="clear" w:color="auto" w:fill="auto"/>
            <w:vAlign w:val="center"/>
          </w:tcPr>
          <w:p w14:paraId="0A9EFF2D"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4.20</w:t>
            </w:r>
          </w:p>
        </w:tc>
        <w:tc>
          <w:tcPr>
            <w:tcW w:w="1588" w:type="dxa"/>
            <w:tcBorders>
              <w:top w:val="nil"/>
              <w:bottom w:val="nil"/>
            </w:tcBorders>
            <w:shd w:val="clear" w:color="auto" w:fill="auto"/>
            <w:vAlign w:val="center"/>
          </w:tcPr>
          <w:p w14:paraId="10B013ED"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4.41</w:t>
            </w:r>
          </w:p>
        </w:tc>
      </w:tr>
      <w:tr w:rsidR="00744620" w:rsidRPr="00744620" w14:paraId="0E967F00" w14:textId="77777777" w:rsidTr="00276BC4">
        <w:trPr>
          <w:jc w:val="center"/>
        </w:trPr>
        <w:tc>
          <w:tcPr>
            <w:tcW w:w="3625" w:type="dxa"/>
            <w:tcBorders>
              <w:top w:val="nil"/>
              <w:bottom w:val="nil"/>
            </w:tcBorders>
            <w:shd w:val="clear" w:color="auto" w:fill="auto"/>
            <w:vAlign w:val="center"/>
          </w:tcPr>
          <w:p w14:paraId="6C94B6DA"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Otros Servicios</w:t>
            </w:r>
          </w:p>
        </w:tc>
        <w:tc>
          <w:tcPr>
            <w:tcW w:w="1597" w:type="dxa"/>
            <w:tcBorders>
              <w:top w:val="nil"/>
              <w:bottom w:val="nil"/>
            </w:tcBorders>
            <w:shd w:val="clear" w:color="auto" w:fill="auto"/>
            <w:vAlign w:val="center"/>
          </w:tcPr>
          <w:p w14:paraId="2037B94A"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3.60</w:t>
            </w:r>
          </w:p>
        </w:tc>
        <w:tc>
          <w:tcPr>
            <w:tcW w:w="1735" w:type="dxa"/>
            <w:tcBorders>
              <w:top w:val="nil"/>
              <w:bottom w:val="nil"/>
            </w:tcBorders>
            <w:shd w:val="clear" w:color="auto" w:fill="auto"/>
            <w:vAlign w:val="center"/>
          </w:tcPr>
          <w:p w14:paraId="14CC1B89"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2.08</w:t>
            </w:r>
          </w:p>
        </w:tc>
        <w:tc>
          <w:tcPr>
            <w:tcW w:w="1588" w:type="dxa"/>
            <w:tcBorders>
              <w:top w:val="nil"/>
              <w:bottom w:val="nil"/>
            </w:tcBorders>
            <w:shd w:val="clear" w:color="auto" w:fill="auto"/>
            <w:vAlign w:val="center"/>
          </w:tcPr>
          <w:p w14:paraId="75490D77"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1.81</w:t>
            </w:r>
          </w:p>
        </w:tc>
      </w:tr>
      <w:tr w:rsidR="00744620" w:rsidRPr="00744620" w14:paraId="32205669" w14:textId="77777777" w:rsidTr="00276BC4">
        <w:trPr>
          <w:jc w:val="center"/>
        </w:trPr>
        <w:tc>
          <w:tcPr>
            <w:tcW w:w="3625" w:type="dxa"/>
            <w:tcBorders>
              <w:top w:val="nil"/>
              <w:bottom w:val="nil"/>
            </w:tcBorders>
            <w:shd w:val="clear" w:color="auto" w:fill="auto"/>
            <w:vAlign w:val="center"/>
          </w:tcPr>
          <w:p w14:paraId="3E92E4B6"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No Subyacente</w:t>
            </w:r>
          </w:p>
        </w:tc>
        <w:tc>
          <w:tcPr>
            <w:tcW w:w="1597" w:type="dxa"/>
            <w:tcBorders>
              <w:top w:val="nil"/>
              <w:bottom w:val="nil"/>
            </w:tcBorders>
            <w:shd w:val="clear" w:color="auto" w:fill="auto"/>
            <w:vAlign w:val="center"/>
          </w:tcPr>
          <w:p w14:paraId="245CFF6C"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6.70</w:t>
            </w:r>
          </w:p>
        </w:tc>
        <w:tc>
          <w:tcPr>
            <w:tcW w:w="1735" w:type="dxa"/>
            <w:tcBorders>
              <w:top w:val="nil"/>
              <w:bottom w:val="nil"/>
            </w:tcBorders>
            <w:shd w:val="clear" w:color="auto" w:fill="auto"/>
            <w:vAlign w:val="center"/>
          </w:tcPr>
          <w:p w14:paraId="1EBF9BE4"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5.12</w:t>
            </w:r>
          </w:p>
        </w:tc>
        <w:tc>
          <w:tcPr>
            <w:tcW w:w="1588" w:type="dxa"/>
            <w:tcBorders>
              <w:top w:val="nil"/>
              <w:bottom w:val="nil"/>
            </w:tcBorders>
            <w:shd w:val="clear" w:color="auto" w:fill="auto"/>
            <w:vAlign w:val="center"/>
          </w:tcPr>
          <w:p w14:paraId="37CC4282"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4.69</w:t>
            </w:r>
          </w:p>
        </w:tc>
      </w:tr>
      <w:tr w:rsidR="00744620" w:rsidRPr="00744620" w14:paraId="45094093" w14:textId="77777777" w:rsidTr="00276BC4">
        <w:trPr>
          <w:jc w:val="center"/>
        </w:trPr>
        <w:tc>
          <w:tcPr>
            <w:tcW w:w="3625" w:type="dxa"/>
            <w:tcBorders>
              <w:top w:val="nil"/>
              <w:bottom w:val="nil"/>
            </w:tcBorders>
            <w:shd w:val="clear" w:color="auto" w:fill="auto"/>
            <w:vAlign w:val="center"/>
          </w:tcPr>
          <w:p w14:paraId="1D9FC42D"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Agropecuarios</w:t>
            </w:r>
          </w:p>
        </w:tc>
        <w:tc>
          <w:tcPr>
            <w:tcW w:w="1597" w:type="dxa"/>
            <w:tcBorders>
              <w:top w:val="nil"/>
              <w:bottom w:val="nil"/>
            </w:tcBorders>
            <w:shd w:val="clear" w:color="auto" w:fill="auto"/>
            <w:vAlign w:val="center"/>
          </w:tcPr>
          <w:p w14:paraId="1535B782"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8.61</w:t>
            </w:r>
          </w:p>
        </w:tc>
        <w:tc>
          <w:tcPr>
            <w:tcW w:w="1735" w:type="dxa"/>
            <w:tcBorders>
              <w:top w:val="nil"/>
              <w:bottom w:val="nil"/>
            </w:tcBorders>
            <w:shd w:val="clear" w:color="auto" w:fill="auto"/>
            <w:vAlign w:val="center"/>
          </w:tcPr>
          <w:p w14:paraId="48CDC2CE"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7.63</w:t>
            </w:r>
          </w:p>
        </w:tc>
        <w:tc>
          <w:tcPr>
            <w:tcW w:w="1588" w:type="dxa"/>
            <w:tcBorders>
              <w:top w:val="nil"/>
              <w:bottom w:val="nil"/>
            </w:tcBorders>
            <w:shd w:val="clear" w:color="auto" w:fill="auto"/>
            <w:vAlign w:val="center"/>
          </w:tcPr>
          <w:p w14:paraId="18B724BE"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6.90</w:t>
            </w:r>
          </w:p>
        </w:tc>
      </w:tr>
      <w:tr w:rsidR="00744620" w:rsidRPr="00744620" w14:paraId="31B3CE48" w14:textId="77777777" w:rsidTr="00276BC4">
        <w:trPr>
          <w:jc w:val="center"/>
        </w:trPr>
        <w:tc>
          <w:tcPr>
            <w:tcW w:w="3625" w:type="dxa"/>
            <w:tcBorders>
              <w:top w:val="nil"/>
              <w:bottom w:val="nil"/>
            </w:tcBorders>
            <w:shd w:val="clear" w:color="auto" w:fill="auto"/>
            <w:vAlign w:val="center"/>
          </w:tcPr>
          <w:p w14:paraId="0EFF200C"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Frutas y Verduras</w:t>
            </w:r>
          </w:p>
        </w:tc>
        <w:tc>
          <w:tcPr>
            <w:tcW w:w="1597" w:type="dxa"/>
            <w:tcBorders>
              <w:top w:val="nil"/>
              <w:bottom w:val="nil"/>
            </w:tcBorders>
            <w:shd w:val="clear" w:color="auto" w:fill="auto"/>
            <w:vAlign w:val="center"/>
          </w:tcPr>
          <w:p w14:paraId="6C7D1B43"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0.10</w:t>
            </w:r>
          </w:p>
        </w:tc>
        <w:tc>
          <w:tcPr>
            <w:tcW w:w="1735" w:type="dxa"/>
            <w:tcBorders>
              <w:top w:val="nil"/>
              <w:bottom w:val="nil"/>
            </w:tcBorders>
            <w:shd w:val="clear" w:color="auto" w:fill="auto"/>
            <w:vAlign w:val="center"/>
          </w:tcPr>
          <w:p w14:paraId="168BCE4E"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-2.57</w:t>
            </w:r>
          </w:p>
        </w:tc>
        <w:tc>
          <w:tcPr>
            <w:tcW w:w="1588" w:type="dxa"/>
            <w:tcBorders>
              <w:top w:val="nil"/>
              <w:bottom w:val="nil"/>
            </w:tcBorders>
            <w:shd w:val="clear" w:color="auto" w:fill="auto"/>
            <w:vAlign w:val="center"/>
          </w:tcPr>
          <w:p w14:paraId="0C764EA5"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-4.21</w:t>
            </w:r>
          </w:p>
        </w:tc>
      </w:tr>
      <w:tr w:rsidR="00744620" w:rsidRPr="00744620" w14:paraId="63F3385E" w14:textId="77777777" w:rsidTr="00276BC4">
        <w:trPr>
          <w:jc w:val="center"/>
        </w:trPr>
        <w:tc>
          <w:tcPr>
            <w:tcW w:w="3625" w:type="dxa"/>
            <w:tcBorders>
              <w:top w:val="nil"/>
              <w:bottom w:val="nil"/>
            </w:tcBorders>
            <w:shd w:val="clear" w:color="auto" w:fill="auto"/>
            <w:vAlign w:val="center"/>
          </w:tcPr>
          <w:p w14:paraId="59FD7ECA"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Pecuarios</w:t>
            </w:r>
          </w:p>
        </w:tc>
        <w:tc>
          <w:tcPr>
            <w:tcW w:w="1597" w:type="dxa"/>
            <w:tcBorders>
              <w:top w:val="nil"/>
              <w:bottom w:val="nil"/>
            </w:tcBorders>
            <w:shd w:val="clear" w:color="auto" w:fill="auto"/>
            <w:vAlign w:val="center"/>
          </w:tcPr>
          <w:p w14:paraId="6CF5F507"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14.03</w:t>
            </w:r>
          </w:p>
        </w:tc>
        <w:tc>
          <w:tcPr>
            <w:tcW w:w="1735" w:type="dxa"/>
            <w:tcBorders>
              <w:top w:val="nil"/>
              <w:bottom w:val="nil"/>
            </w:tcBorders>
            <w:shd w:val="clear" w:color="auto" w:fill="auto"/>
            <w:vAlign w:val="center"/>
          </w:tcPr>
          <w:p w14:paraId="32C61218"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13.82</w:t>
            </w:r>
          </w:p>
        </w:tc>
        <w:tc>
          <w:tcPr>
            <w:tcW w:w="1588" w:type="dxa"/>
            <w:tcBorders>
              <w:top w:val="nil"/>
              <w:bottom w:val="nil"/>
            </w:tcBorders>
            <w:shd w:val="clear" w:color="auto" w:fill="auto"/>
            <w:vAlign w:val="center"/>
          </w:tcPr>
          <w:p w14:paraId="73B0E2A1"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13.45</w:t>
            </w:r>
          </w:p>
        </w:tc>
      </w:tr>
      <w:tr w:rsidR="00744620" w:rsidRPr="00744620" w14:paraId="158F2CC5" w14:textId="77777777" w:rsidTr="00276BC4">
        <w:trPr>
          <w:jc w:val="center"/>
        </w:trPr>
        <w:tc>
          <w:tcPr>
            <w:tcW w:w="3625" w:type="dxa"/>
            <w:tcBorders>
              <w:top w:val="nil"/>
              <w:bottom w:val="nil"/>
            </w:tcBorders>
            <w:shd w:val="clear" w:color="auto" w:fill="auto"/>
            <w:vAlign w:val="center"/>
          </w:tcPr>
          <w:p w14:paraId="04C64DFC" w14:textId="77777777" w:rsidR="00744620" w:rsidRPr="00744620" w:rsidRDefault="00744620" w:rsidP="00744620">
            <w:pPr>
              <w:spacing w:before="20" w:after="20"/>
              <w:jc w:val="both"/>
              <w:rPr>
                <w:rFonts w:eastAsia="Times New Roman"/>
                <w:b/>
                <w:bCs/>
                <w:sz w:val="18"/>
                <w:szCs w:val="18"/>
                <w:lang w:val="es-ES"/>
              </w:rPr>
            </w:pPr>
            <w:r w:rsidRPr="00744620">
              <w:rPr>
                <w:rFonts w:eastAsia="Times New Roman"/>
                <w:b/>
                <w:bCs/>
                <w:sz w:val="18"/>
                <w:szCs w:val="18"/>
                <w:lang w:val="es-ES"/>
              </w:rPr>
              <w:t xml:space="preserve">   Energéticos y Tarifas Aut. por Gobierno</w:t>
            </w:r>
          </w:p>
        </w:tc>
        <w:tc>
          <w:tcPr>
            <w:tcW w:w="1597" w:type="dxa"/>
            <w:tcBorders>
              <w:top w:val="nil"/>
              <w:bottom w:val="nil"/>
            </w:tcBorders>
            <w:shd w:val="clear" w:color="auto" w:fill="auto"/>
            <w:vAlign w:val="center"/>
          </w:tcPr>
          <w:p w14:paraId="46AA7C3C" w14:textId="77777777" w:rsidR="00744620" w:rsidRPr="00744620" w:rsidRDefault="00744620" w:rsidP="00744620">
            <w:pPr>
              <w:spacing w:before="20" w:after="20"/>
              <w:ind w:right="441"/>
              <w:jc w:val="right"/>
              <w:rPr>
                <w:rFonts w:eastAsia="Times New Roman"/>
                <w:b/>
                <w:bCs/>
                <w:sz w:val="18"/>
                <w:szCs w:val="18"/>
                <w:lang w:val="es-ES"/>
              </w:rPr>
            </w:pPr>
            <w:r w:rsidRPr="00744620">
              <w:rPr>
                <w:rFonts w:eastAsia="Times New Roman"/>
                <w:b/>
                <w:bCs/>
                <w:sz w:val="18"/>
                <w:szCs w:val="18"/>
                <w:lang w:val="es-ES"/>
              </w:rPr>
              <w:t>5.55</w:t>
            </w:r>
          </w:p>
        </w:tc>
        <w:tc>
          <w:tcPr>
            <w:tcW w:w="1735" w:type="dxa"/>
            <w:tcBorders>
              <w:top w:val="nil"/>
              <w:bottom w:val="nil"/>
            </w:tcBorders>
            <w:shd w:val="clear" w:color="auto" w:fill="auto"/>
            <w:vAlign w:val="center"/>
          </w:tcPr>
          <w:p w14:paraId="156CF2C6" w14:textId="77777777" w:rsidR="00744620" w:rsidRPr="00744620" w:rsidRDefault="00744620" w:rsidP="00744620">
            <w:pPr>
              <w:spacing w:before="20" w:after="20"/>
              <w:ind w:right="617"/>
              <w:jc w:val="right"/>
              <w:rPr>
                <w:rFonts w:eastAsia="Times New Roman"/>
                <w:b/>
                <w:bCs/>
                <w:sz w:val="18"/>
                <w:szCs w:val="18"/>
                <w:lang w:val="es-ES"/>
              </w:rPr>
            </w:pPr>
            <w:r w:rsidRPr="00744620">
              <w:rPr>
                <w:rFonts w:eastAsia="Times New Roman"/>
                <w:b/>
                <w:bCs/>
                <w:sz w:val="18"/>
                <w:szCs w:val="18"/>
                <w:lang w:val="es-ES"/>
              </w:rPr>
              <w:t>3.65</w:t>
            </w:r>
          </w:p>
        </w:tc>
        <w:tc>
          <w:tcPr>
            <w:tcW w:w="1588" w:type="dxa"/>
            <w:tcBorders>
              <w:top w:val="nil"/>
              <w:bottom w:val="nil"/>
            </w:tcBorders>
            <w:shd w:val="clear" w:color="auto" w:fill="auto"/>
            <w:vAlign w:val="center"/>
          </w:tcPr>
          <w:p w14:paraId="0FAA5BC4" w14:textId="77777777" w:rsidR="00744620" w:rsidRPr="00744620" w:rsidRDefault="00744620" w:rsidP="00744620">
            <w:pPr>
              <w:spacing w:before="20" w:after="20"/>
              <w:ind w:right="504"/>
              <w:jc w:val="right"/>
              <w:rPr>
                <w:rFonts w:eastAsia="Times New Roman"/>
                <w:b/>
                <w:bCs/>
                <w:sz w:val="18"/>
                <w:szCs w:val="18"/>
                <w:lang w:val="es-ES"/>
              </w:rPr>
            </w:pPr>
            <w:r w:rsidRPr="00744620">
              <w:rPr>
                <w:rFonts w:eastAsia="Times New Roman"/>
                <w:b/>
                <w:bCs/>
                <w:sz w:val="18"/>
                <w:szCs w:val="18"/>
                <w:lang w:val="es-ES"/>
              </w:rPr>
              <w:t>3.40</w:t>
            </w:r>
          </w:p>
        </w:tc>
      </w:tr>
      <w:tr w:rsidR="00744620" w:rsidRPr="00744620" w14:paraId="5CFC993E" w14:textId="77777777" w:rsidTr="00276BC4">
        <w:trPr>
          <w:jc w:val="center"/>
        </w:trPr>
        <w:tc>
          <w:tcPr>
            <w:tcW w:w="3625" w:type="dxa"/>
            <w:tcBorders>
              <w:top w:val="nil"/>
              <w:bottom w:val="nil"/>
            </w:tcBorders>
            <w:shd w:val="clear" w:color="auto" w:fill="auto"/>
            <w:vAlign w:val="center"/>
          </w:tcPr>
          <w:p w14:paraId="30B54EBE"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Energéticos</w:t>
            </w:r>
          </w:p>
        </w:tc>
        <w:tc>
          <w:tcPr>
            <w:tcW w:w="1597" w:type="dxa"/>
            <w:tcBorders>
              <w:top w:val="nil"/>
              <w:bottom w:val="nil"/>
            </w:tcBorders>
            <w:shd w:val="clear" w:color="auto" w:fill="auto"/>
            <w:vAlign w:val="center"/>
          </w:tcPr>
          <w:p w14:paraId="369AAC4F"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6.43</w:t>
            </w:r>
          </w:p>
        </w:tc>
        <w:tc>
          <w:tcPr>
            <w:tcW w:w="1735" w:type="dxa"/>
            <w:tcBorders>
              <w:top w:val="nil"/>
              <w:bottom w:val="nil"/>
            </w:tcBorders>
            <w:shd w:val="clear" w:color="auto" w:fill="auto"/>
            <w:vAlign w:val="center"/>
          </w:tcPr>
          <w:p w14:paraId="66D13202"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4.44</w:t>
            </w:r>
          </w:p>
        </w:tc>
        <w:tc>
          <w:tcPr>
            <w:tcW w:w="1588" w:type="dxa"/>
            <w:tcBorders>
              <w:top w:val="nil"/>
              <w:bottom w:val="nil"/>
            </w:tcBorders>
            <w:shd w:val="clear" w:color="auto" w:fill="auto"/>
            <w:vAlign w:val="center"/>
          </w:tcPr>
          <w:p w14:paraId="0278525E"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3.91</w:t>
            </w:r>
          </w:p>
        </w:tc>
      </w:tr>
      <w:tr w:rsidR="00744620" w:rsidRPr="00744620" w14:paraId="10D3E85D" w14:textId="77777777" w:rsidTr="00276BC4">
        <w:trPr>
          <w:jc w:val="center"/>
        </w:trPr>
        <w:tc>
          <w:tcPr>
            <w:tcW w:w="3625" w:type="dxa"/>
            <w:tcBorders>
              <w:top w:val="nil"/>
              <w:bottom w:val="single" w:sz="4" w:space="0" w:color="auto"/>
            </w:tcBorders>
            <w:shd w:val="clear" w:color="auto" w:fill="auto"/>
            <w:vAlign w:val="center"/>
          </w:tcPr>
          <w:p w14:paraId="618FC919" w14:textId="77777777" w:rsidR="00744620" w:rsidRPr="00744620" w:rsidRDefault="00744620" w:rsidP="00744620">
            <w:pPr>
              <w:spacing w:before="20" w:after="20"/>
              <w:jc w:val="both"/>
              <w:rPr>
                <w:rFonts w:eastAsia="Times New Roman"/>
                <w:bCs/>
                <w:sz w:val="18"/>
                <w:szCs w:val="18"/>
                <w:lang w:val="es-ES"/>
              </w:rPr>
            </w:pPr>
            <w:r w:rsidRPr="00744620">
              <w:rPr>
                <w:rFonts w:eastAsia="Times New Roman"/>
                <w:bCs/>
                <w:sz w:val="18"/>
                <w:szCs w:val="18"/>
                <w:lang w:val="es-ES"/>
              </w:rPr>
              <w:t xml:space="preserve">      Tarifas Autorizadas por Gobierno</w:t>
            </w:r>
          </w:p>
        </w:tc>
        <w:tc>
          <w:tcPr>
            <w:tcW w:w="1597" w:type="dxa"/>
            <w:tcBorders>
              <w:top w:val="nil"/>
              <w:bottom w:val="single" w:sz="4" w:space="0" w:color="auto"/>
            </w:tcBorders>
            <w:shd w:val="clear" w:color="auto" w:fill="auto"/>
            <w:vAlign w:val="center"/>
          </w:tcPr>
          <w:p w14:paraId="6422B24D" w14:textId="77777777" w:rsidR="00744620" w:rsidRPr="00744620" w:rsidRDefault="00744620" w:rsidP="00744620">
            <w:pPr>
              <w:spacing w:before="20" w:after="20"/>
              <w:ind w:right="441"/>
              <w:jc w:val="right"/>
              <w:rPr>
                <w:rFonts w:eastAsia="Times New Roman"/>
                <w:bCs/>
                <w:sz w:val="18"/>
                <w:szCs w:val="18"/>
                <w:lang w:val="es-ES"/>
              </w:rPr>
            </w:pPr>
            <w:r w:rsidRPr="00744620">
              <w:rPr>
                <w:rFonts w:eastAsia="Times New Roman"/>
                <w:bCs/>
                <w:sz w:val="18"/>
                <w:szCs w:val="18"/>
                <w:lang w:val="es-ES"/>
              </w:rPr>
              <w:t>3.88</w:t>
            </w:r>
          </w:p>
        </w:tc>
        <w:tc>
          <w:tcPr>
            <w:tcW w:w="1735" w:type="dxa"/>
            <w:tcBorders>
              <w:top w:val="nil"/>
              <w:bottom w:val="single" w:sz="4" w:space="0" w:color="auto"/>
            </w:tcBorders>
            <w:shd w:val="clear" w:color="auto" w:fill="auto"/>
            <w:vAlign w:val="center"/>
          </w:tcPr>
          <w:p w14:paraId="221F153B" w14:textId="77777777" w:rsidR="00744620" w:rsidRPr="00744620" w:rsidRDefault="00744620" w:rsidP="00744620">
            <w:pPr>
              <w:spacing w:before="20" w:after="20"/>
              <w:ind w:right="617"/>
              <w:jc w:val="right"/>
              <w:rPr>
                <w:rFonts w:eastAsia="Times New Roman"/>
                <w:bCs/>
                <w:sz w:val="18"/>
                <w:szCs w:val="18"/>
                <w:lang w:val="es-ES"/>
              </w:rPr>
            </w:pPr>
            <w:r w:rsidRPr="00744620">
              <w:rPr>
                <w:rFonts w:eastAsia="Times New Roman"/>
                <w:bCs/>
                <w:sz w:val="18"/>
                <w:szCs w:val="18"/>
                <w:lang w:val="es-ES"/>
              </w:rPr>
              <w:t>2.15</w:t>
            </w:r>
          </w:p>
        </w:tc>
        <w:tc>
          <w:tcPr>
            <w:tcW w:w="1588" w:type="dxa"/>
            <w:tcBorders>
              <w:top w:val="nil"/>
              <w:bottom w:val="single" w:sz="4" w:space="0" w:color="auto"/>
            </w:tcBorders>
            <w:shd w:val="clear" w:color="auto" w:fill="auto"/>
            <w:vAlign w:val="center"/>
          </w:tcPr>
          <w:p w14:paraId="1D7E496F" w14:textId="77777777" w:rsidR="00744620" w:rsidRPr="00744620" w:rsidRDefault="00744620" w:rsidP="00744620">
            <w:pPr>
              <w:spacing w:before="20" w:after="20"/>
              <w:ind w:right="504"/>
              <w:jc w:val="right"/>
              <w:rPr>
                <w:rFonts w:eastAsia="Times New Roman"/>
                <w:bCs/>
                <w:sz w:val="18"/>
                <w:szCs w:val="18"/>
                <w:lang w:val="es-ES"/>
              </w:rPr>
            </w:pPr>
            <w:r w:rsidRPr="00744620">
              <w:rPr>
                <w:rFonts w:eastAsia="Times New Roman"/>
                <w:bCs/>
                <w:sz w:val="18"/>
                <w:szCs w:val="18"/>
                <w:lang w:val="es-ES"/>
              </w:rPr>
              <w:t>2.45</w:t>
            </w:r>
          </w:p>
        </w:tc>
      </w:tr>
      <w:tr w:rsidR="00744620" w:rsidRPr="00744620" w14:paraId="2C708F0B" w14:textId="77777777" w:rsidTr="00276BC4">
        <w:trPr>
          <w:jc w:val="center"/>
        </w:trPr>
        <w:tc>
          <w:tcPr>
            <w:tcW w:w="8545" w:type="dxa"/>
            <w:gridSpan w:val="4"/>
            <w:tcBorders>
              <w:top w:val="single" w:sz="4" w:space="0" w:color="auto"/>
              <w:left w:val="nil"/>
              <w:bottom w:val="nil"/>
              <w:right w:val="nil"/>
            </w:tcBorders>
            <w:shd w:val="clear" w:color="auto" w:fill="auto"/>
          </w:tcPr>
          <w:p w14:paraId="2C8604BD" w14:textId="77777777" w:rsidR="00744620" w:rsidRPr="00744620" w:rsidRDefault="00744620" w:rsidP="00744620">
            <w:pPr>
              <w:spacing w:before="20" w:after="20"/>
              <w:jc w:val="both"/>
              <w:rPr>
                <w:rFonts w:eastAsia="Times New Roman"/>
                <w:bCs/>
                <w:sz w:val="20"/>
                <w:szCs w:val="20"/>
                <w:lang w:val="es-ES"/>
              </w:rPr>
            </w:pPr>
            <w:r w:rsidRPr="00744620">
              <w:rPr>
                <w:rFonts w:eastAsia="Times New Roman"/>
                <w:bCs/>
                <w:sz w:val="20"/>
                <w:szCs w:val="20"/>
                <w:lang w:val="es-ES"/>
              </w:rPr>
              <w:t>FUENTE: INEGI.</w:t>
            </w:r>
          </w:p>
        </w:tc>
      </w:tr>
    </w:tbl>
    <w:p w14:paraId="752C5E4D" w14:textId="77777777" w:rsidR="00744620" w:rsidRPr="00744620" w:rsidRDefault="00744620" w:rsidP="00744620">
      <w:pPr>
        <w:spacing w:after="360" w:line="360" w:lineRule="auto"/>
        <w:ind w:right="-159"/>
        <w:jc w:val="both"/>
        <w:rPr>
          <w:rFonts w:eastAsia="Times New Roman"/>
          <w:bCs/>
          <w:sz w:val="26"/>
          <w:szCs w:val="26"/>
          <w:lang w:val="es-ES"/>
        </w:rPr>
      </w:pPr>
    </w:p>
    <w:p w14:paraId="422AB0D9"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Tomando en cuenta que la depreciación del tipo de cambio ha tenido un efecto en línea con lo anticipado, a la par de que se han observado menores incrementos en los precios de las mercancías y de los servicios en general durante los primeros meses del año, se prevé que durante 2015 la inflación general anual continúe en niveles cercanos a 3% y que cierre el año ligeramente por debajo de ese nivel. Por su parte, la estimación para la inflación subyacente la ubica por debajo de 3% en todo 2015. Para el siguiente año, se espera que ambos indicadores se mantengan en niveles cercanos a 3 por ciento.</w:t>
      </w:r>
    </w:p>
    <w:p w14:paraId="7ACF5EDA" w14:textId="77777777" w:rsid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previsión para la trayectoria de la inflación está sujeta a diversos riesgos. Al alza, destaca la posibilidad de que el tipo de cambio registre una nueva depreciación y/o que se presenten otros choques de oferta. A la baja, prevalece la posibilidad de un dinamismo menor al previsto para la actividad económica, así como disminuciones adicionales en los precios de los servicios de telecomunicaciones y/o energéticos.</w:t>
      </w:r>
    </w:p>
    <w:p w14:paraId="07B35A0D" w14:textId="77777777" w:rsidR="002266DB" w:rsidRPr="00744620" w:rsidRDefault="002266DB" w:rsidP="00744620">
      <w:pPr>
        <w:spacing w:after="360" w:line="360" w:lineRule="auto"/>
        <w:ind w:right="-159"/>
        <w:jc w:val="both"/>
        <w:rPr>
          <w:rFonts w:eastAsia="Times New Roman"/>
          <w:bCs/>
          <w:sz w:val="26"/>
          <w:szCs w:val="26"/>
          <w:lang w:val="es-ES"/>
        </w:rPr>
      </w:pPr>
    </w:p>
    <w:p w14:paraId="696BA674" w14:textId="4CFFD2B4"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lastRenderedPageBreak/>
        <w:t xml:space="preserve">3. Análisis y motivación de los votos de los miembros de la </w:t>
      </w:r>
      <w:r w:rsidR="007E4E57">
        <w:rPr>
          <w:rFonts w:eastAsia="Times New Roman"/>
          <w:b/>
          <w:bCs/>
          <w:sz w:val="26"/>
          <w:szCs w:val="26"/>
          <w:lang w:val="es-ES"/>
        </w:rPr>
        <w:t>J</w:t>
      </w:r>
      <w:r w:rsidRPr="00744620">
        <w:rPr>
          <w:rFonts w:eastAsia="Times New Roman"/>
          <w:b/>
          <w:bCs/>
          <w:sz w:val="26"/>
          <w:szCs w:val="26"/>
          <w:lang w:val="es-ES"/>
        </w:rPr>
        <w:t xml:space="preserve">unta de </w:t>
      </w:r>
      <w:r w:rsidR="007E4E57">
        <w:rPr>
          <w:rFonts w:eastAsia="Times New Roman"/>
          <w:b/>
          <w:bCs/>
          <w:sz w:val="26"/>
          <w:szCs w:val="26"/>
          <w:lang w:val="es-ES"/>
        </w:rPr>
        <w:t>G</w:t>
      </w:r>
      <w:r w:rsidRPr="00744620">
        <w:rPr>
          <w:rFonts w:eastAsia="Times New Roman"/>
          <w:b/>
          <w:bCs/>
          <w:sz w:val="26"/>
          <w:szCs w:val="26"/>
          <w:lang w:val="es-ES"/>
        </w:rPr>
        <w:t>obierno</w:t>
      </w:r>
    </w:p>
    <w:p w14:paraId="61DD907F"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En esta sección se presentan las consideraciones que manifestaron los miembros de la Junta de Gobierno respecto de la decisión de política monetaria.</w:t>
      </w:r>
    </w:p>
    <w:p w14:paraId="0BFD541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mayoría de los miembros destacó que la economía mundial ha seguido presentando un comportamiento débil, si bien la disminución en los precios internacionales del petróleo podría apoyar el crecimiento global. También mencionó que el balance de riesgos para el crecimiento y la inflación mundial se mantiene sin cambios respecto de la decisión anterior. En cuanto a la evolución de la economía mexicana, la mayoría señaló que ésta ha tenido un desempeño relativamente débil y considera que el balance de riesgos para el crecimiento se ha deteriorado. En este entorno, la mayoría de los miembros sostuvo que prevalecen condiciones de holgura en la economía y que no se anticipan presiones generalizadas y sostenidas sobre la inflación provenientes de la demanda agregada. En cuanto a la evolución de la inflación, la mayoría coincidió en que ésta ha sido favorable y refrendó la previsión de que la inflación general se mantendrá cerca de 3% en los siguientes meses y que cerrará el año ligeramente por debajo del mismo nivel. En resumen, la mayoría estimó que el balance de riesgos para la inflación se mantuvo sin cambios respecto a la decisión de política monetaria anterior.</w:t>
      </w:r>
    </w:p>
    <w:p w14:paraId="108EFAA7"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mayoría de los miembros opinó que la actividad económica mundial ha seguido mostrando un comportamiento débil, si bien con cierta mejoría a raíz de la disminución en los precios del petróleo. Un miembro añadió que las medidas de estímulo monetario implementadas por algunos bancos centrales también han contribuido a dicha mejoría. Algunos miembros mencionaron que se espera un fortalecimiento gradual del crecimiento global a lo largo de este año. Otros expresaron que las economías avanzadas atraviesan por distintas fases del ciclo económico, a lo cual uno añadió que considera que la recuperación de estas economías aún está lejos de ser sólida. Sin </w:t>
      </w:r>
      <w:r w:rsidRPr="00744620">
        <w:rPr>
          <w:rFonts w:eastAsia="Times New Roman"/>
          <w:bCs/>
          <w:sz w:val="26"/>
          <w:szCs w:val="26"/>
          <w:lang w:val="es-ES"/>
        </w:rPr>
        <w:lastRenderedPageBreak/>
        <w:t>embargo, la mayoría de los miembros concordó que el efecto de la caída de los precios del petróleo podría ser particularmente positivo para la actividad de los países industrializados. Por su parte, uno de ellos consideró que existe un conjunto de factores estructurales que podría estar complicando el crecimiento mundial. Entre estos destacan la posibilidad de una falta inherente de demanda agregada derivada del problema conocido como de estagnación secular, una posible desaceleración del ritmo de innovación tecnológica y, por lo tanto, de la productividad, en combinación con que aquellas tecnologías que sí se están desarrollando tienden a ser muy intensivas en el uso de capital y no en el de trabajo, un problema de sobreendeudamiento en algunas economías avanzadas y un importante choque en los términos de intercambio de ciertas economías emergentes cuyo modelo de crecimiento se ha basado en la exportación de materias primas.</w:t>
      </w:r>
    </w:p>
    <w:p w14:paraId="5832906A"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Algunos miembros señalaron que esta situación de bajo crecimiento económico y menores precios del petróleo y otras materias primas ha contribuido a un entorno de baja inflación global e, incluso, de riesgos de deflación en países avanzados. Otro miembro agregó que si bien en semanas recientes se observó cierta estabilización en los precios del petróleo, no se descartan reducciones adicionales a la luz de la elevada acumulación de inventarios.</w:t>
      </w:r>
    </w:p>
    <w:p w14:paraId="26DB11BE"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mayoría de los miembros destacó que la actividad económica en Estados Unidos de Norteamérica continúa mostrando cierta expansión, si bien todos apuntaron que ésta se moderó en los primeros meses del año como reflejo, principalmente, de factores transitorios y de la apreciación generalizada del dólar, que ha afectado las exportaciones en ese país. Un miembro añadió que ha habido claroscuros respecto al desempeño de la actividad económica en Estados Unidos de Norteamérica, en donde algunos factores detrás de la desaceleración podrían ser temporales, pero otros podrían estar reflejando elementos más fundamentales. Otro miembro apuntó que es de esperarse que la economía repunte a partir del segundo trimestre de 2015 al desvanecerse los factores </w:t>
      </w:r>
      <w:r w:rsidRPr="00744620">
        <w:rPr>
          <w:rFonts w:eastAsia="Times New Roman"/>
          <w:bCs/>
          <w:sz w:val="26"/>
          <w:szCs w:val="26"/>
          <w:lang w:val="es-ES"/>
        </w:rPr>
        <w:lastRenderedPageBreak/>
        <w:t>transitorios que la afectaron en el primero, en tanto que otro más añadió que el consenso de los analistas prevé que en los próximos dos años la economía estadounidense muestre tasas de crecimiento superiores a lo observado en 2014, y que la expansión observada en lo que va de 2015 se mantuvo impulsada por la demanda interna, principalmente por el consumo privado que, a su vez, se vio beneficiado por los menores precios de las gasolinas. En contraste, un integrante aclaró que hay estimaciones que indican que el efecto neto de la caída en los precios del petróleo sobre la actividad no sería necesariamente positivo sino neutral, principalmente debido a que está disminuyendo la inversión en el sector energético y se han cerrado un número importante de pozos petroleros. Respecto a la evolución del mercado laboral, la mayoría indicó que éste continúa recuperándose, aunque todavía no se observan presiones salariales. Por su parte, la mayoría mencionó que la inflación se mantiene en un nivel muy por debajo del objetivo de la Reserva Federal, si bien las expectativas apuntan a que paulatinamente retomará una tendencia de alza gradual hacia el objetivo referido.</w:t>
      </w:r>
    </w:p>
    <w:p w14:paraId="3D447AB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Respecto a la política monetaria en ese país, la mayoría recalcó que en su más reciente reunión el Comité Federal de Mercado Abierto del Banco de la Reserva Federal reiteró que sus acciones futuras de política monetaria dependerán de la evolución de la actividad económica, del mercado laboral y de la inflación. Uno de ellos destacó que en su último comunicado de política monetaria, este banco central eliminó el término “paciente”, calificativo que aplicaba a la actitud de dicho comité con respecto a su disposición de ajustar su postura de política. La mayoría de los miembros de la Junta de Gobierno apuntó que la información proporcionada en dicho comunicado, junto con la disminución en las proyecciones de los miembros del comité respecto al crecimiento económico y la inflación sugieren que el ciclo de normalización de la política monetaria será más gradual de lo que se había anticipado. Adicionalmente, uno de ellos subrayó que a esta situación se suma la preocupación que pudiera tener la Reserva Federal de que sus propias acciones pongan en riesgo la recuperación económica en ese país. La mayoría sostuvo que persiste incertidumbre respecto a la fecha en la que la Reserva </w:t>
      </w:r>
      <w:r w:rsidRPr="00744620">
        <w:rPr>
          <w:rFonts w:eastAsia="Times New Roman"/>
          <w:bCs/>
          <w:sz w:val="26"/>
          <w:szCs w:val="26"/>
          <w:lang w:val="es-ES"/>
        </w:rPr>
        <w:lastRenderedPageBreak/>
        <w:t>Federal comience a incrementar su tasa de referencia y, en su caso, al ritmo al que llevará a cabo los incrementos subsecuentes, por lo que no puede excluirse una sorpresa en los mercados respecto a la puesta en marcha de la normalización. Finalmente, algunos agregaron que es poco probable que el inicio de dicho ajuste ocurriera en abril, como lo mencionó la propia Reserva Federal, si bien el consenso de los analistas sí apunta a que se dará en algún momento de 2015, inclinándose las proyecciones más hacia septiembre de este año.</w:t>
      </w:r>
    </w:p>
    <w:p w14:paraId="0723BBE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mayoría de los miembros de la Junta mencionó que la actividad económica en la zona del euro ha mejorado en el margen, aunque a partir de una situación muy débil, apoyada en parte por los menores precios del petróleo y por las medidas de relajamiento monetario cuantitativo implementadas recientemente por el Banco Central Europeo, que inició su compra masiva de títulos de deuda en marzo. Uno de ellos señaló que se espera una gradual mejoría durante 2015 y 2016, no obstante, la mayoría recalcó que persiste un alto grado de preocupación por la posibilidad de entrar en un ciclo deflacionario y que hay posibilidades de que la crisis en Grecia y otros fenómenos geopolíticos pudieran tener una incidencia particular en Europa. Finalmente, algunos enfatizaron que una recuperación sostenida difícilmente se puede lograr principalmente a través de la política monetaria, por lo que para ello es necesario realizar reformas estructurales en la zona.</w:t>
      </w:r>
    </w:p>
    <w:p w14:paraId="00EB8FF1"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Sobre las economías emergentes, la mayoría de los miembros destacó que se han presentado revisiones a la baja para las perspectivas de crecimiento. Un miembro consideró que esto refleja la desaceleración, y en algunos casos la contracción, de varias de las principales economías del grupo, destacando el caso de China, ya que la información reciente apunta a un debilitamiento de la actividad económica mayor al anticipado en dicho país. A lo anterior, uno de ellos agregó que algunos países emergentes emblemáticos están teniendo problemas importantes de crecimiento, debido en parte a dificultades derivadas de políticas demasiado expansionistas en el </w:t>
      </w:r>
      <w:r w:rsidRPr="00744620">
        <w:rPr>
          <w:rFonts w:eastAsia="Times New Roman"/>
          <w:bCs/>
          <w:sz w:val="26"/>
          <w:szCs w:val="26"/>
          <w:lang w:val="es-ES"/>
        </w:rPr>
        <w:lastRenderedPageBreak/>
        <w:t>pasado y, también por temas estructurales, entre ellos, su dependencia de exportaciones de materias primas, las cuales son susceptibles a choques de los términos de intercambio. La mayoría de los miembros consideró que prevalece el riesgo de que la reciente desaceleración en los países emergentes se intensifique ante la posibilidad de que las condiciones en los mercados financieros se tornen más astringentes.</w:t>
      </w:r>
    </w:p>
    <w:p w14:paraId="67FDC4EC"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mayoría de los miembros de la Junta señaló que el balance de riesgos para el crecimiento mundial y el correspondiente a la inflación se mantuvieron sin cambios con respecto a la decisión de política monetaria pasada, aunque un miembro mencionó que existen importantes riesgos a la baja para la actividad económica global.</w:t>
      </w:r>
    </w:p>
    <w:p w14:paraId="0D7890AB"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Respecto a los mercados financieros internacionales, todos los miembros concordaron que se presentó un incremento en la volatilidad en estos mercados en respuesta, principalmente, a la expectativa del apretamiento de la política monetaria en Estados Unidos de Norteamérica en algún momento de este año, en combinación con una postura más laxa en la zona del euro y en Japón. Por su parte, un miembro agregó que la situación de Grecia, la caída de los precios del petróleo y los conflictos de naturaleza geopolítica en varias regiones también abonaron a incrementar la referida volatilidad. La mayoría puntualizó que lo anterior se manifestó en depreciaciones adicionales generalizadas de la mayoría de las monedas frente al dólar estadounidense y una tendencia al alza en las tasas de interés de largo plazo en las economías emergentes. Respecto a este tema un miembro destacó que también se observaron moderadas salidas de capital de estas economías y que, en contraste, se han reducido aún más las tasas de interés de bonos soberanos de los países europeos, alcanzando en varios de ellos niveles muy cercanos a cero o incluso negativos como resultado del programa de expansión monetaria en la zona del euro. La mayoría reconoció que estos ajustes se moderaron después del más reciente anuncio de política monetaria de la Reserva Federal, sin embargo afirmó que sigue latente el riesgo de cambios abruptos en el sentimiento de los mercados, por lo que no puede descartarse un nuevo incremento en la volatilidad en </w:t>
      </w:r>
      <w:r w:rsidRPr="00744620">
        <w:rPr>
          <w:rFonts w:eastAsia="Times New Roman"/>
          <w:bCs/>
          <w:sz w:val="26"/>
          <w:szCs w:val="26"/>
          <w:lang w:val="es-ES"/>
        </w:rPr>
        <w:lastRenderedPageBreak/>
        <w:t>los mercados financieros internacionales. Ante ello, algunos miembros enfatizaron la importancia de que las economías emergentes estén preparadas para hacer frente tanto a nuevos episodios de volatilidad, como a un escenario hacia adelante donde es probable que el financiamiento sea más restringido y a tasas más altas.</w:t>
      </w:r>
    </w:p>
    <w:p w14:paraId="6552A385"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Todos los integrantes de la Junta destacaron que la actividad económica en México ha mostrado un crecimiento un tanto débil durante el inicio de 2015. La mayoría puntualizó que este crecimiento fue menor a lo que se anticipaba previamente y añadió que ello obedeció en parte a que las exportaciones registraron un menor dinamismo al inicio del año, principalmente como resultado de que factores climáticos y conflictos laborales en algunos puertos de ese país afectaron el ritmo de crecimiento de la actividad manufacturera en Estados Unidos de Norteamérica. Con respecto a la demanda interna, la mayoría apuntó que algunos de los indicadores más relevantes relacionados con el consumo continúan mostrando poco vigor. En particular, algunos miembros notaron que la masa salarial real ha continuado disminuyendo y que la confianza del consumidor aún permanece en niveles bajos. No obstante, un miembro aclaró que el empleo formal continuó expandiéndose y la tasa de desocupación ha disminuido. Además, algunos integrantes mencionaron que las ventas al menudeo y las ventas de vehículos ligeros sugieren cierta mejoría en el consumo privado en el presente año. Por su parte, la mayoría de la Junta coincidió que la inversión sigue mostrando una recuperación moderada. En particular, uno de ellos indicó que lo anterior es reflejo, entre otros factores, del bajo dinamismo de las importaciones de bienes de capital en los primeros meses del año. Por el lado de la oferta, la mayoría destacó el menor crecimiento de la producción industrial como reflejo de la reducción en la plataforma de producción de petróleo, al tiempo que algunos miembros también señalaron que la construcción continúa débil.</w:t>
      </w:r>
    </w:p>
    <w:p w14:paraId="2E58166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mayoría de los miembros coincidió en que prevalecen condiciones de holgura en el mercado laboral y en la economía en general, por lo que no se anticipan presiones </w:t>
      </w:r>
      <w:r w:rsidRPr="00744620">
        <w:rPr>
          <w:rFonts w:eastAsia="Times New Roman"/>
          <w:bCs/>
          <w:sz w:val="26"/>
          <w:szCs w:val="26"/>
          <w:lang w:val="es-ES"/>
        </w:rPr>
        <w:lastRenderedPageBreak/>
        <w:t>generalizadas sobre los precios provenientes de la demanda agregada. Un integrante añadió que el crecimiento de los salarios ha sido acorde con la evolución de la economía y destacó que los incrementos del salario base de cotización del Instituto Mexicano del Seguro Social (IMSS) revirtieron la tendencia al alza que habían mostrado. Hacia adelante, la mayoría coincidió en que es de esperar que la brecha del producto continúe en terreno negativo durante el resto del año en curso y buena parte del próximo. Uno de ellos advirtió que la persistencia en la holgura y el bajo crecimiento puede afectar el crecimiento potencial de la economía y recalcó que para la conducción de la política monetaria es relevante conocer si la actual debilidad de la economía obedece a un menor crecimiento del Producto Interno Bruto (PIB) potencial o si es un fenómeno cíclico. Respecto a la holgura en el mercado laboral, mencionó que su lectura es complicada puesto que la tasa de informalidad sigue siendo elevada e incluso algunos indicadores sugieren que los empleos que se han venido generando son de menor remuneración en comparación con los que se destruyeron durante la crisis. En este contexto, destacó la retroalimentación negativa entre informalidad, baja productividad y bajo crecimiento económico. Asimismo, comentó que hay dos elementos principales que se complementan y que explican el problema de la informalidad. Uno hace referencia a distorsiones exógenas al mercado laboral, como la existencia de estructuras de mercado no competitivas en algunos sectores, mientras que el otro sugiere razones endógenas que tienen que ver con el elevado precio relativo de incorporarse a la formalidad. Finalmente, mencionó que se han hecho reformas importantes para incrementar la formalidad, pero apuntó que todavía hay un camino largo por recorrer en esta materia, principalmente a través de políticas que modifiquen los precios relativos, encareciendo la entrada a la informalidad y generando incentivos para una mayor educación y capacitación, así como para la adopción de mejores tecnologías.</w:t>
      </w:r>
    </w:p>
    <w:p w14:paraId="045F8B1E"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Algunos integrantes de la Junta destacaron que la expectativa para la actividad económica en México es que presente una gradual mejoría en los próximos meses. Uno de ellos añadió que la trayectoria esperada de la economía estadounidense a lo largo de </w:t>
      </w:r>
      <w:r w:rsidRPr="00744620">
        <w:rPr>
          <w:rFonts w:eastAsia="Times New Roman"/>
          <w:bCs/>
          <w:sz w:val="26"/>
          <w:szCs w:val="26"/>
          <w:lang w:val="es-ES"/>
        </w:rPr>
        <w:lastRenderedPageBreak/>
        <w:t>2015 y la depreciación del peso podrían apoyar al sector exportador. Además, agregó que la expansión del empleo, una mayor confianza de consumidores y empresas, y el incremento de las remesas de trabajadores en el exterior, entre otros factores, podrían incidir favorablemente en el consumo y la inversión privados. Sin embargo, también advirtió que el crecimiento del PIB durante el año posiblemente se ubicará en el segmento inferior del rango publicado en el último informe trimestral del Banco de México.</w:t>
      </w:r>
    </w:p>
    <w:p w14:paraId="6068A562"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Todos los miembros de la Junta coincidieron en que el balance de riesgos para el crecimiento se ha deteriorado. Al respecto, algunos integrantes mencionaron que no se pueden descartar disminuciones adicionales en la producción de petróleo y que persiste la incertidumbre sobre las implicaciones de la normalización de la política monetaria de Estados Unidos de Norteamérica. Uno de ellos agregó que si continúa la trayectoria descendente de la masa salarial real en 2015 se afectaría la recuperación del consumo privado y que los esfuerzos de consolidación fiscal podrían repercutir sobre la demanda interna de manera más acentuada de lo previsto. Adicionalmente, destacó que los conflictos sociales en algunas regiones del país y la inseguridad podrían incidir en el ritmo de crecimiento del PIB. Por su parte, otro integrante advirtió que desde una perspectiva de largo plazo se está observando un cambio en los precios relativos dentro de la industria manufacturera en Estados Unidos de Norteamérica hacia los bienes y servicios con mayor valor agregado frente a aquéllos con uno menor que son, en general, los bienes más intensivos en trabajo, como la mayoría de los que produce México. Añadió que estos cambios en los procesos manufactureros pueden tener importantes repercusiones en la sincronización de los ciclos económicos de México y Estados Unidos de Norteamérica. Finalmente, como otro riesgo de baja frecuencia, subrayó que la economía mexicana presenta una baja productividad factorial total desde hace por lo menos un par de décadas.</w:t>
      </w:r>
    </w:p>
    <w:p w14:paraId="299D963E" w14:textId="7DB8B6C4"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lastRenderedPageBreak/>
        <w:t>La mayoría de los miembros de la Junta coincidió en que la evolución de la inflación durante 2015 ha sido favorable. Adicionalmente, puntualizó que ésta ha tenido un comportamiento incluso mejor al previsto, a lo cual un miembro añadió que durante el período señalado se alcanzó la meta de 3% por primera vez desde mayo de 2006. La mayoría consideró que dicho resultado obedece a descensos tanto en la inflación subyacente, como en la no subyacente, si bien un miembro señal</w:t>
      </w:r>
      <w:r w:rsidR="003F3984">
        <w:rPr>
          <w:rFonts w:eastAsia="Times New Roman"/>
          <w:bCs/>
          <w:sz w:val="26"/>
          <w:szCs w:val="26"/>
          <w:lang w:val="es-ES"/>
        </w:rPr>
        <w:t>ó</w:t>
      </w:r>
      <w:r w:rsidRPr="00744620">
        <w:rPr>
          <w:rFonts w:eastAsia="Times New Roman"/>
          <w:bCs/>
          <w:sz w:val="26"/>
          <w:szCs w:val="26"/>
          <w:lang w:val="es-ES"/>
        </w:rPr>
        <w:t xml:space="preserve"> que esto ha sido resultado, principalmente, de la evolución de la inflación no subyacente, ya que la subyacente ha seguido un comportamiento más cercano a lo anticipado aunque por debajo de éste. En particular, algunos miembros consideraron que choques positivos de oferta, como los asociados a los precios de las telecomunicaciones y los energéticos, han favorecido la reducción de la inflación. Otro miembro señaló que dichos choques reflejan los efectos positivos de algunas reformas estructurales. Agregó que la inflación ha presentado niveles bajos debido también a la holgura que prevalece en la economía. Otro miembro añadió que al desempeño favorable de la inflación también ha contribuido el efecto base de comparación al no haberse repetido los aumentos de impuestos del año pasado. Finalmente, un integrante añadió que la evolución favorable de la inflación le proporciona espacio a la autoridad monetaria para acomodar algunos de los choques que podría enfrentar hacia adelante.</w:t>
      </w:r>
    </w:p>
    <w:p w14:paraId="1D9982BF"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mayoría de los integrantes de la Junta de Gobierno señaló que hasta ahora el efecto de la depreciación de la moneda nacional sobre los precios ha sido conforme a lo previsto, reflejándose fundamentalmente en los precios de los bienes comerciables sin haberse generado efectos de segundo orden. Un miembro enfatizó que esta circunstancia podría continuar hacia adelante. En línea con lo anterior, la mayoría de los miembros coincidió en que las expectativas de inflación para el cierre de 2015 han disminuido, mientras que aquéllas para horizontes de mediano y largo plazo permanecen ancladas. Algunos destacaron que las expectativas para el cierre de 2015 provenientes de encuestas han prácticamente convergido al objetivo de 3%. Uno de ellos indicó que la consolidación de los avances alcanzados en el control de la inflación </w:t>
      </w:r>
      <w:r w:rsidRPr="00744620">
        <w:rPr>
          <w:rFonts w:eastAsia="Times New Roman"/>
          <w:bCs/>
          <w:sz w:val="26"/>
          <w:szCs w:val="26"/>
          <w:lang w:val="es-ES"/>
        </w:rPr>
        <w:lastRenderedPageBreak/>
        <w:t>es fundamental para reducir las expectativas inflacionarias. No obstante, otros apuntaron que las correspondientes al mediano y largo plazos provenientes de encuestas entre analistas se mantienen por arriba de dicho objetivo, ubicándose alrededor de 3.5%. Por su parte, algunos integrantes señalaron que las expectativas implícitas en los instrumentos de mercado de largo plazo son las más relevantes y que éstas han continuado disminuyendo de manera importante situándose muy cercanas al 3%. Adicionalmente, un integrante de la Junta de Gobierno puntualizó que bajo el supuesto de mercados completos y un modelo de optimización intertemporal del consumo, el grado de co-variación del consumo y las expectativas de inflación debería ser nulo. Señaló que en una situación donde los mercados son incompletos, esta covarianza es positiva y, bajo ciertos supuestos, es posible demostrar que es proporcional a las primas de riesgo inflacionario. En este contexto, comentó que dicha covarianza cambia en la misma dirección que las expectativas de inflación, por lo que ello puede dar lugar a las reducidas primas de riesgo inflacionario que se han venido observando derivadas de información de mercado.</w:t>
      </w:r>
    </w:p>
    <w:p w14:paraId="25399209"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La mayoría de los miembros de la Junta de Gobierno ratificó su previsión de que la inflación general anual se mantendrá cerca de 3% en los siguientes meses y de que cerrará el año ligeramente por debajo de dicho nivel. Respecto a la inflación subyacente, refrendó su perspectiva de que continuará por debajo de 3% durante todo 2015. Para 2016, la mayoría estima que tanto la inflación general como la subyacente se mantendrán en niveles cercanos a 3%. Algunos integrantes advirtieron que es de esperarse cierto repunte de la inflación en los próximos meses, conforme los precios de frutas y verduras regresen a una trayectoria más acorde con su comportamiento de largo plazo, la depreciación del tipo de cambio incida sobre los precios internos, y el anticipado incremento del precio del petróleo se refleje en las cotizaciones de la gasolina en la frontera.</w:t>
      </w:r>
    </w:p>
    <w:p w14:paraId="2CA42309"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lastRenderedPageBreak/>
        <w:t>La mayoría de los miembros de la Junta de Gobierno estimó que el balance de riesgos para la inflación se mantiene sin cambios respecto a la decisión de política monetaria anterior. Si bien un integrante consideró que en el margen éste ha presentado una mejoría, sobre todo porque la inflación se ha comportado de manera más favorable que lo previsto, algunos miembros opinaron que dicho balance se encuentra sesgado al alza. En lo referente a los riesgos al alza, la mayoría de los integrantes destacó la posibilidad de que la cotización de la moneda nacional registre episodios de depreciación adicionales, a lo cual un miembro alertó sobre la posibilidad de que lo anterior pudiera traducirse en presiones generalizadas sobre los precios. Otro integrante enfatizó que éste constituye el mayor riesgo para la inflación, sobre todo a la luz de la trayectoria esperada de las tasas de interés en Estados Unidos de Norteamérica y ante la anticipada ausencia de presiones de demanda sobre los precios a lo largo del año en México. La mayoría de los miembros destacó también la posibilidad de que se susciten otros choques de oferta, si bien uno de ellos apuntó que el impacto de este tipo de choques es generalmente de corto plazo y no suele dar lugar a efectos de segundo orden. Adicionalmente, un miembro mencionó el hecho de que los choques positivos que han contribuido a la baja de la inflación son de carácter transitorio y el que la recuperación de la actividad económica pueda generar presiones de demanda. Enfatizó que en su conjunto, los riesgos al alza señalados son especialmente importantes si se tiene en cuenta que las expectativas de inflación para el próximo año y los subsecuentes se mantienen por arriba del objetivo. Entre los riesgos a la baja para la inflación, la mayoría de los miembros resaltó la posibilidad de que la actividad económica en el país tenga un dinamismo menor, así como nuevas disminuciones en los precios de los servicios de telecomunicación y/o de los energéticos.</w:t>
      </w:r>
    </w:p>
    <w:p w14:paraId="2FE0D9DA"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La mayoría de los miembros de la Junta de Gobierno señaló que ante la mayor volatilidad en los mercados financieros internacionales, tanto el tipo de cambio como las tasas de interés en México se han visto afectados. Respecto al tipo de cambio, la mayoría comentó que el peso ha registrado una depreciación significativa frente al dólar </w:t>
      </w:r>
      <w:r w:rsidRPr="00744620">
        <w:rPr>
          <w:rFonts w:eastAsia="Times New Roman"/>
          <w:bCs/>
          <w:sz w:val="26"/>
          <w:szCs w:val="26"/>
          <w:lang w:val="es-ES"/>
        </w:rPr>
        <w:lastRenderedPageBreak/>
        <w:t>y coincidió en que las medidas implementadas por la Comisión de Cambios han contribuido a preservar un funcionamiento ordenado del mercado cambiario. Por su parte, un miembro explicó que los choques que ha experimentado la economía mexicana deben conducir a una depreciación del tipo de cambio real. Así, para acomodar dicha depreciación, el tipo de cambio nominal pudo haber experimentado una sobre-reacción debido a que, ante ciertas rigideces o fricciones en la economía, la inflación de bienes comerciables tarda en aumentar respecto a la de bienes no comerciables. No obstante, a medida que la inflación de bienes comerciables (respecto a la de los bienes no comerciables) se acelere el sobreajuste en el tipo de cambio nominal tiende a disminuir. En cuanto a las tasas de interés, la mayoría señaló que las correspondientes a todos los plazos han mostrado una tendencia a la alza. Uno de ellos agregó que también han aumentado los diferenciales de rendimiento respecto a Estados Unidos de Norteamérica, si bien otro externó que el desplazamiento de la curva de rendimientos ha sido ordenado y sin salidas de capitales. Algunos enfatizaron que la tenencia de valores gubernamentales en manos de no residentes ha permanecido estable. En contraste, la mayoría de los miembros advirtió que, ante la incertidumbre sobre el proceso de normalización de la política monetaria en Estados Unidos de Norteamérica, no pueden descartarse nuevos incrementos en la volatilidad de los mercados financieros internacionales que pudieran afectar la cotización del peso y otras variables financieras en México. Un miembro alertó que existe la posibilidad de que el riesgo de mayor turbulencia se materialice incluso antes de que aumenten las tasas en Estados Unidos de Norteamérica y que se afecte la estabilidad financiera. Finalmente, otro miembro explicó que debido a ciertos problemas de agencia puede observarse un comportamiento de manada entre los inversionistas institucionales del exterior que también contribuya a que economías emergentes, como la mexicana, experimenten una mayor volatilidad en los flujos de capital, con sus consecuentes repercusiones sobre el tipo de cambio y las tasas de interés.</w:t>
      </w:r>
    </w:p>
    <w:p w14:paraId="601241E8"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lastRenderedPageBreak/>
        <w:t>Ante el entorno externo complejo, algunos miembros externaron la necesidad de fortalecer los fundamentos macroeconómicos y resaltaron la relevancia de las medidas fiscales recientemente implementadas. Uno de ellos destacó la importancia del ajuste fiscal reciente orientado a estabilizar el crecimiento de la razón deuda a PIB. Asimismo, explicó que dicho ajuste manda una señal sobre menores necesidades de financiamiento, ayuda a acomodar la depreciación del tipo de cambio real, al reducir incrementos sobre los precios de bienes no comerciables, y libera presiones sobre las tasas de interés. En efecto, una disminución persistente en el precio del petróleo implica menores posibilidades de expansión de la demanda agregada, si no se quiere elevar el déficit fiscal, lo que podría ser muy arriesgado bajo las condiciones actuales en los mercados financieros internacionales. Otro miembro advirtió sobre la necesidad de promover las fuentes internas de crecimiento, lo cual requiere de una correcta implementación de las reformas estructurales recientemente aprobadas, y del fortalecimiento de acciones en otras áreas, entre las que destacan las referentes al estado de derecho y al combate a la inseguridad.</w:t>
      </w:r>
    </w:p>
    <w:p w14:paraId="37774696" w14:textId="24053940"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Respecto a la postura de política monetaria, la mayoría de los miembros coincidió en la importancia de consolidar la convergencia de la inflación a su meta permanente de 3%. Uno destacó que la postura monetaria vigente es conducente a lograr dicha convergencia, mientras que otro subrayó la importancia de aprovechar la oportunidad para consolidar la convergencia de la inflación al objetivo de 3% a la luz de su reciente evolución favorable y del tiempo que transcurrió para alcanzarlo. Algunos de los miembros enfatizaron la compleja coyuntura por la que atraviesa la economía. Por un lado, las circunstancias cíclicas de la economía nacional reflejan que ésta aún opera bajo condiciones de holgura en sus diversos mercados y que incluso recientemente se ha debilitado. Por otro, la postura relativa de política monetaria de México respecto a Estados Unidos de Norteamérica podría tener un efecto sobre el comportamiento del tipo de cambio y, </w:t>
      </w:r>
      <w:r w:rsidR="003F3984">
        <w:rPr>
          <w:rFonts w:eastAsia="Times New Roman"/>
          <w:bCs/>
          <w:sz w:val="26"/>
          <w:szCs w:val="26"/>
          <w:lang w:val="es-ES"/>
        </w:rPr>
        <w:t>é</w:t>
      </w:r>
      <w:r w:rsidRPr="00744620">
        <w:rPr>
          <w:rFonts w:eastAsia="Times New Roman"/>
          <w:bCs/>
          <w:sz w:val="26"/>
          <w:szCs w:val="26"/>
          <w:lang w:val="es-ES"/>
        </w:rPr>
        <w:t>ste a su vez, sobre la inflación y sus expectativas.</w:t>
      </w:r>
    </w:p>
    <w:p w14:paraId="75DBB225"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lastRenderedPageBreak/>
        <w:t>Por su parte, siguiendo con esta discusión, otro de los miembros consideró que la postura relativa de la política monetaria se ha relajado ante las perspectivas de apretamiento en Estados Unidos de Norteamérica y que la significativa depreciación del peso es reflejo de ello. Asimismo señaló que es importante enviar al mercado la señal de que próximamente será necesario restringir la postura monetaria, que se tratará del inicio de un ciclo alcista de la tasa de interés que permita el ajuste de las condiciones monetarias holgadas y que será recomendable adelantarse a la decisión del Banco de la Reserva de Estados Unidos de Norteamérica con el fin de consolidar la baja de la inflación y proteger la estabilidad financiera en México.</w:t>
      </w:r>
    </w:p>
    <w:p w14:paraId="084E247D"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En relación con la discusión de la compleja coyuntura actual, uno señaló que ante la posibilidad de mayor turbulencia en los mercados financieros internacionales, el Banco de México debe estar preparado para modificar la postura de política monetaria, incluyendo la posibilidad de acciones previas a que las tasas de interés estadounidenses se ajusten a la alza, en la medida que sea necesario. Adicionalmente señaló que los detonantes de lo anterior serían, primero, que los ajustes en la valuación del peso dieran lugar a presiones inflacionarias que pusieran en riesgo los avances logrados en esta materia, y/o segundo, que el incremento esperado u observado en las tasas de interés estadounidenses generara el riesgo de movimientos desordenados de la paridad del peso, que pudieran detonar a su vez, ventas de bonos nacionales en los mercados secundarios, que acentuaran aún más la depreciación del tipo de cambio y provocaran ajustes bruscos de las tasas de interés internas. Además de comprometer la estabilidad financiera, movimientos de esta índole darían lugar a riesgos para la inflación. En este sentido, uno de los miembros destacó que a pesar de que existe el consenso de que es posible aislar las posturas monetarias de economías pequeñas, abiertas y emergentes, como la de México, a través de un tipo de cambio flexible, dado el tamaño de los flujos de capital y su volatilidad, resulta difícil hacerlo únicamente a través de dicho régimen cambiario. Ante ello, mecanismos como la provisión de liquidez son apropiados para garantizar que los mercados financieros funcionen adecuadamente y puedan </w:t>
      </w:r>
      <w:r w:rsidRPr="00744620">
        <w:rPr>
          <w:rFonts w:eastAsia="Times New Roman"/>
          <w:bCs/>
          <w:sz w:val="26"/>
          <w:szCs w:val="26"/>
          <w:lang w:val="es-ES"/>
        </w:rPr>
        <w:lastRenderedPageBreak/>
        <w:t>intermediar los choques que se enfrentan. A lo anterior, el mismo miembro y otro agregaron que a pesar de lo discutido, dadas las condiciones que enfrenta actualmente la política monetaria en donde se observa una inflación bien comportada, expectativas de la misma bien ancladas, un alza ordenada en la curva de rendimientos y un ciclo económico muy débil, no se ganaría mucho con adelantarse a las acciones de política monetaria en Estados Unidos de Norteamérica y que, incluso, podría ser un error ante la posición cíclica de la economía nacional. Adicionalmente, señalaron que existe un elevado grado de incertidumbre respecto de la fecha de la implementación del retiro del estímulo monetario en dicho país.</w:t>
      </w:r>
    </w:p>
    <w:p w14:paraId="38DA8A61" w14:textId="77777777" w:rsidR="00744620" w:rsidRPr="00744620" w:rsidRDefault="00744620" w:rsidP="00744620">
      <w:pPr>
        <w:spacing w:after="360" w:line="360" w:lineRule="auto"/>
        <w:ind w:right="-159"/>
        <w:jc w:val="both"/>
        <w:rPr>
          <w:rFonts w:eastAsia="Times New Roman"/>
          <w:b/>
          <w:bCs/>
          <w:sz w:val="26"/>
          <w:szCs w:val="26"/>
          <w:lang w:val="es-ES"/>
        </w:rPr>
      </w:pPr>
      <w:r w:rsidRPr="00744620">
        <w:rPr>
          <w:rFonts w:eastAsia="Times New Roman"/>
          <w:b/>
          <w:bCs/>
          <w:sz w:val="26"/>
          <w:szCs w:val="26"/>
          <w:lang w:val="es-ES"/>
        </w:rPr>
        <w:t>4. Decisión de política monetaria</w:t>
      </w:r>
    </w:p>
    <w:p w14:paraId="32FB8335"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Teniendo en cuenta lo expuesto, la Junta de Gobierno decidió por unanimidad mantener en 3% el objetivo para la Tasa de Interés Interbancaria a un día, en virtud de que estimó que la postura monetaria vigente es conducente a afianzar la convergencia de la inflación a la meta permanente de 3 por ciento.</w:t>
      </w:r>
    </w:p>
    <w:p w14:paraId="75E5452B" w14:textId="77777777" w:rsidR="00744620" w:rsidRPr="00744620" w:rsidRDefault="00744620" w:rsidP="00744620">
      <w:pPr>
        <w:spacing w:after="360" w:line="360" w:lineRule="auto"/>
        <w:ind w:right="-159"/>
        <w:jc w:val="both"/>
        <w:rPr>
          <w:rFonts w:eastAsia="Times New Roman"/>
          <w:bCs/>
          <w:sz w:val="26"/>
          <w:szCs w:val="26"/>
          <w:lang w:val="es-ES"/>
        </w:rPr>
      </w:pPr>
      <w:r w:rsidRPr="00744620">
        <w:rPr>
          <w:rFonts w:eastAsia="Times New Roman"/>
          <w:bCs/>
          <w:sz w:val="26"/>
          <w:szCs w:val="26"/>
          <w:lang w:val="es-ES"/>
        </w:rPr>
        <w:t xml:space="preserve">Actualmente, las condiciones cíclicas de la economía muestran debilidad, la inflación observada es inferior al objetivo y las expectativas de inflación se encuentran ancladas. Por otro lado, al estar la economía mexicana altamente integrada a la global, en particular a la de Estados Unidos de Norteamérica, las acciones de política monetaria de ese país podrían tener repercusiones sobre el tipo de cambio, las expectativas de inflación y, por ello, sobre la dinámica de los precios en México. Por tanto, la Junta de Gobierno se mantendrá atenta a la evolución de todos los determinantes de la inflación y sus expectativas para horizontes de mediano y largo plazo, pero particularmente a la postura monetaria relativa entre México y Estados Unidos de Norteamérica, así como al desempeño del tipo de cambio. También le dará seguimiento a la evolución del grado de holgura en la economía. Todo esto con el fin de estar en posibilidad de tomar las </w:t>
      </w:r>
      <w:r w:rsidRPr="00744620">
        <w:rPr>
          <w:rFonts w:eastAsia="Times New Roman"/>
          <w:bCs/>
          <w:sz w:val="26"/>
          <w:szCs w:val="26"/>
          <w:lang w:val="es-ES"/>
        </w:rPr>
        <w:lastRenderedPageBreak/>
        <w:t>medidas necesarias para asegurar la convergencia de la inflación al objetivo de 3% en 2015 y consolidarla.</w:t>
      </w:r>
    </w:p>
    <w:p w14:paraId="779B764F" w14:textId="77777777" w:rsidR="00744620" w:rsidRPr="00744620" w:rsidRDefault="00744620" w:rsidP="00744620">
      <w:pPr>
        <w:ind w:right="-159"/>
        <w:jc w:val="both"/>
        <w:rPr>
          <w:rFonts w:eastAsia="Times New Roman"/>
          <w:b/>
          <w:sz w:val="20"/>
          <w:szCs w:val="20"/>
        </w:rPr>
      </w:pPr>
      <w:r w:rsidRPr="00744620">
        <w:rPr>
          <w:rFonts w:eastAsia="Times New Roman"/>
          <w:b/>
          <w:sz w:val="20"/>
          <w:szCs w:val="20"/>
        </w:rPr>
        <w:t>Fuente de información:</w:t>
      </w:r>
    </w:p>
    <w:p w14:paraId="22169FEC" w14:textId="77777777" w:rsidR="00744620" w:rsidRPr="00240D0E" w:rsidRDefault="0045651A" w:rsidP="00240D0E">
      <w:pPr>
        <w:spacing w:after="720"/>
        <w:ind w:right="-159"/>
        <w:jc w:val="both"/>
        <w:rPr>
          <w:rFonts w:eastAsia="Times New Roman"/>
          <w:color w:val="0000FF"/>
          <w:sz w:val="20"/>
          <w:szCs w:val="20"/>
        </w:rPr>
      </w:pPr>
      <w:hyperlink r:id="rId411" w:history="1">
        <w:r w:rsidR="00744620" w:rsidRPr="00240D0E">
          <w:rPr>
            <w:rFonts w:eastAsia="Times New Roman"/>
            <w:color w:val="0000FF"/>
            <w:sz w:val="20"/>
            <w:szCs w:val="20"/>
            <w:u w:val="single"/>
          </w:rPr>
          <w:t>http://www.banxico.org.mx/informacion-para-la-prensa/comunicados/politica-monetaria/minutas-de-las-decisiones-de-politica-monetaria/%7B05587BEA-0FA7-03B3-6B2C-2AE0D6F17F87%7D.pdf</w:t>
        </w:r>
      </w:hyperlink>
    </w:p>
    <w:p w14:paraId="5EB29489" w14:textId="77777777" w:rsidR="001E63A3" w:rsidRPr="001E63A3" w:rsidRDefault="001E63A3" w:rsidP="001E63A3">
      <w:pPr>
        <w:ind w:right="-159"/>
        <w:jc w:val="both"/>
        <w:rPr>
          <w:rFonts w:eastAsia="Calibri"/>
          <w:b/>
          <w:bCs/>
          <w:sz w:val="26"/>
          <w:szCs w:val="26"/>
          <w:lang w:eastAsia="en-US"/>
        </w:rPr>
      </w:pPr>
      <w:r w:rsidRPr="001E63A3">
        <w:rPr>
          <w:rFonts w:eastAsia="Calibri"/>
          <w:b/>
          <w:bCs/>
          <w:sz w:val="26"/>
          <w:szCs w:val="26"/>
          <w:lang w:eastAsia="en-US"/>
        </w:rPr>
        <w:t>Se cumple con las mejores normas internacionales</w:t>
      </w:r>
    </w:p>
    <w:p w14:paraId="03F94349" w14:textId="77777777" w:rsidR="001E63A3" w:rsidRPr="001E63A3" w:rsidRDefault="001E63A3" w:rsidP="001E63A3">
      <w:pPr>
        <w:spacing w:after="360" w:line="360" w:lineRule="auto"/>
        <w:ind w:right="-159"/>
        <w:jc w:val="both"/>
        <w:rPr>
          <w:rFonts w:eastAsia="Calibri"/>
          <w:b/>
          <w:sz w:val="26"/>
          <w:szCs w:val="26"/>
          <w:lang w:eastAsia="en-US"/>
        </w:rPr>
      </w:pPr>
      <w:r w:rsidRPr="001E63A3">
        <w:rPr>
          <w:rFonts w:eastAsia="Calibri"/>
          <w:b/>
          <w:bCs/>
          <w:sz w:val="26"/>
          <w:szCs w:val="26"/>
          <w:lang w:eastAsia="en-US"/>
        </w:rPr>
        <w:t>en materia de auditoría interna</w:t>
      </w:r>
      <w:r w:rsidRPr="001E63A3">
        <w:rPr>
          <w:rFonts w:eastAsia="Calibri"/>
          <w:b/>
          <w:sz w:val="26"/>
          <w:szCs w:val="26"/>
          <w:lang w:eastAsia="en-US"/>
        </w:rPr>
        <w:t xml:space="preserve"> (Banxico)</w:t>
      </w:r>
    </w:p>
    <w:p w14:paraId="0C96F022" w14:textId="62313547"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t xml:space="preserve">El </w:t>
      </w:r>
      <w:r w:rsidRPr="001E63A3">
        <w:rPr>
          <w:rFonts w:eastAsia="Calibri"/>
          <w:bCs/>
          <w:sz w:val="26"/>
          <w:szCs w:val="26"/>
          <w:lang w:eastAsia="en-US"/>
        </w:rPr>
        <w:t xml:space="preserve">10 de abril de 2015, el Banco de México (Banxico) comunicó de su cumplimiento con las mejores normas internacionales en materia de auditoría interna de acuerdo con </w:t>
      </w:r>
      <w:r w:rsidRPr="001E63A3">
        <w:rPr>
          <w:rFonts w:eastAsia="Calibri"/>
          <w:bCs/>
          <w:i/>
          <w:sz w:val="26"/>
          <w:szCs w:val="26"/>
          <w:lang w:eastAsia="en-US"/>
        </w:rPr>
        <w:t>The Institute of Internal Auditors</w:t>
      </w:r>
      <w:r w:rsidRPr="001E63A3">
        <w:rPr>
          <w:rFonts w:eastAsia="Calibri"/>
          <w:bCs/>
          <w:sz w:val="26"/>
          <w:szCs w:val="26"/>
          <w:lang w:eastAsia="en-US"/>
        </w:rPr>
        <w:t xml:space="preserve"> (</w:t>
      </w:r>
      <w:r w:rsidRPr="001E63A3">
        <w:rPr>
          <w:rFonts w:eastAsia="Calibri"/>
          <w:bCs/>
          <w:i/>
          <w:sz w:val="26"/>
          <w:szCs w:val="26"/>
          <w:lang w:eastAsia="en-US"/>
        </w:rPr>
        <w:t>The IIA</w:t>
      </w:r>
      <w:r w:rsidRPr="001E63A3">
        <w:rPr>
          <w:rFonts w:eastAsia="Calibri"/>
          <w:bCs/>
          <w:sz w:val="26"/>
          <w:szCs w:val="26"/>
          <w:lang w:eastAsia="en-US"/>
        </w:rPr>
        <w:t xml:space="preserve">) </w:t>
      </w:r>
    </w:p>
    <w:p w14:paraId="15870D10" w14:textId="6A99D502"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t xml:space="preserve">Las normas y procedimientos de auditoría interna del Banco de México obtuvieron el certificado de calidad que otorga </w:t>
      </w:r>
      <w:r w:rsidRPr="001E63A3">
        <w:rPr>
          <w:rFonts w:eastAsia="Calibri"/>
          <w:i/>
          <w:sz w:val="26"/>
          <w:szCs w:val="26"/>
          <w:lang w:eastAsia="en-US"/>
        </w:rPr>
        <w:t>The Institute of Internal Auditors</w:t>
      </w:r>
      <w:r w:rsidRPr="001E63A3">
        <w:rPr>
          <w:rFonts w:eastAsia="Calibri"/>
          <w:sz w:val="26"/>
          <w:szCs w:val="26"/>
          <w:lang w:eastAsia="en-US"/>
        </w:rPr>
        <w:t xml:space="preserve"> (</w:t>
      </w:r>
      <w:r w:rsidRPr="001E63A3">
        <w:rPr>
          <w:rFonts w:eastAsia="Calibri"/>
          <w:i/>
          <w:sz w:val="26"/>
          <w:szCs w:val="26"/>
          <w:lang w:eastAsia="en-US"/>
        </w:rPr>
        <w:t>The IIA</w:t>
      </w:r>
      <w:r w:rsidRPr="001E63A3">
        <w:rPr>
          <w:rFonts w:eastAsia="Calibri"/>
          <w:sz w:val="26"/>
          <w:szCs w:val="26"/>
          <w:lang w:eastAsia="en-US"/>
        </w:rPr>
        <w:t>), con sede en Altamonte Springs, Florida, en Estados Unidos de Norteamérica.</w:t>
      </w:r>
    </w:p>
    <w:p w14:paraId="790CE7F0" w14:textId="157F15DB"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t xml:space="preserve">El certificado de calidad obtenido por la Dirección de Auditoría del Banco de México fue entregado por </w:t>
      </w:r>
      <w:r w:rsidRPr="001E63A3">
        <w:rPr>
          <w:rFonts w:eastAsia="Calibri"/>
          <w:i/>
          <w:sz w:val="26"/>
          <w:szCs w:val="26"/>
          <w:lang w:eastAsia="en-US"/>
        </w:rPr>
        <w:t>The IIA</w:t>
      </w:r>
      <w:r w:rsidRPr="001E63A3">
        <w:rPr>
          <w:rFonts w:eastAsia="Calibri"/>
          <w:sz w:val="26"/>
          <w:szCs w:val="26"/>
          <w:lang w:eastAsia="en-US"/>
        </w:rPr>
        <w:t xml:space="preserve"> al Presidente del Comité de Auditoría de la Institución, licenciado Roberto Del Cueto Legaspi, Subgobernador del Instituto Central. </w:t>
      </w:r>
    </w:p>
    <w:p w14:paraId="7F2AED2D" w14:textId="1B924DF4"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i/>
          <w:sz w:val="26"/>
          <w:szCs w:val="26"/>
          <w:lang w:eastAsia="en-US"/>
        </w:rPr>
        <w:t>The IIA</w:t>
      </w:r>
      <w:r w:rsidRPr="001E63A3">
        <w:rPr>
          <w:rFonts w:eastAsia="Calibri"/>
          <w:sz w:val="26"/>
          <w:szCs w:val="26"/>
          <w:lang w:eastAsia="en-US"/>
        </w:rPr>
        <w:t xml:space="preserve"> es reconocida a nivel internacional como una de las asociaciones profesionales con mayor autoridad global en la regulación de la práctica de la función de Auditoría Interna en entidades del sector público, empresas y organizaciones. México se encuentra representado en esa Institución —que agrupa a más de 180 mil miembros— a través del Instituto Mexicano de Auditores Internos, A. C. (IMAI).</w:t>
      </w:r>
    </w:p>
    <w:p w14:paraId="2CD9D574" w14:textId="255B474E"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t xml:space="preserve">Desde 2011, </w:t>
      </w:r>
      <w:r w:rsidR="003F3984">
        <w:rPr>
          <w:rFonts w:eastAsia="Calibri"/>
          <w:sz w:val="26"/>
          <w:szCs w:val="26"/>
          <w:lang w:eastAsia="en-US"/>
        </w:rPr>
        <w:t xml:space="preserve">el </w:t>
      </w:r>
      <w:r w:rsidRPr="001E63A3">
        <w:rPr>
          <w:rFonts w:eastAsia="Calibri"/>
          <w:sz w:val="26"/>
          <w:szCs w:val="26"/>
          <w:lang w:eastAsia="en-US"/>
        </w:rPr>
        <w:t xml:space="preserve">Banco de México se propuso lograr una mejora continua de sus procesos y normas de auditoría interna de acuerdo </w:t>
      </w:r>
      <w:r w:rsidR="003F3984">
        <w:rPr>
          <w:rFonts w:eastAsia="Calibri"/>
          <w:sz w:val="26"/>
          <w:szCs w:val="26"/>
          <w:lang w:eastAsia="en-US"/>
        </w:rPr>
        <w:t>con</w:t>
      </w:r>
      <w:r w:rsidRPr="001E63A3">
        <w:rPr>
          <w:rFonts w:eastAsia="Calibri"/>
          <w:sz w:val="26"/>
          <w:szCs w:val="26"/>
          <w:lang w:eastAsia="en-US"/>
        </w:rPr>
        <w:t xml:space="preserve"> los estándares internacionales establecidos por la citada institución internacional. </w:t>
      </w:r>
    </w:p>
    <w:p w14:paraId="3BDE9197" w14:textId="66F4A302"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lastRenderedPageBreak/>
        <w:t xml:space="preserve">La regulación internacional que deben observar los auditores internos en el cumplimiento de sus funciones, se encuentra establecida en el Marco para la Práctica Profesional emitido por </w:t>
      </w:r>
      <w:r w:rsidRPr="001E63A3">
        <w:rPr>
          <w:rFonts w:eastAsia="Calibri"/>
          <w:i/>
          <w:sz w:val="26"/>
          <w:szCs w:val="26"/>
          <w:lang w:eastAsia="en-US"/>
        </w:rPr>
        <w:t>The IIA</w:t>
      </w:r>
      <w:r w:rsidRPr="001E63A3">
        <w:rPr>
          <w:rFonts w:eastAsia="Calibri"/>
          <w:sz w:val="26"/>
          <w:szCs w:val="26"/>
          <w:lang w:eastAsia="en-US"/>
        </w:rPr>
        <w:t>. Cabe señalar, que para demostrar que los auditores internos cumplen con el Marco para la Práctica Profesional deben buscar y lograr individualmente la Certificación en Auditoría Interna (CIA), así como realizar evaluaciones internas de calidad de la función de auditoría interna y someterse a evaluaciones de calidad externas independientes para certificar que se cumple con el Marco para la Práctica Profesional.</w:t>
      </w:r>
    </w:p>
    <w:p w14:paraId="64842E83" w14:textId="77777777" w:rsidR="001E63A3" w:rsidRPr="001E63A3" w:rsidRDefault="001E63A3" w:rsidP="001E63A3">
      <w:pPr>
        <w:spacing w:after="360" w:line="360" w:lineRule="auto"/>
        <w:ind w:right="-159"/>
        <w:jc w:val="both"/>
        <w:rPr>
          <w:rFonts w:eastAsia="Calibri"/>
          <w:sz w:val="26"/>
          <w:szCs w:val="26"/>
          <w:lang w:eastAsia="en-US"/>
        </w:rPr>
      </w:pPr>
      <w:r w:rsidRPr="001E63A3">
        <w:rPr>
          <w:rFonts w:eastAsia="Calibri"/>
          <w:sz w:val="26"/>
          <w:szCs w:val="26"/>
          <w:lang w:eastAsia="en-US"/>
        </w:rPr>
        <w:t>La acreditación de que el Banco de México cumple satisfactoriamente con las normas y prácticas internacionales de Auditoría Interna fue entregada, en las instalaciones del propio Instituto Central, el pasado 27 de marzo, por el propio Presidente del IMAI.</w:t>
      </w:r>
    </w:p>
    <w:p w14:paraId="3DF93D91" w14:textId="77777777" w:rsidR="001E63A3" w:rsidRPr="001E63A3" w:rsidRDefault="001E63A3" w:rsidP="001E63A3">
      <w:pPr>
        <w:ind w:right="-159"/>
        <w:jc w:val="both"/>
        <w:rPr>
          <w:rFonts w:eastAsia="Calibri"/>
          <w:b/>
          <w:sz w:val="20"/>
          <w:szCs w:val="20"/>
          <w:lang w:eastAsia="en-US"/>
        </w:rPr>
      </w:pPr>
      <w:r w:rsidRPr="001E63A3">
        <w:rPr>
          <w:rFonts w:eastAsia="Calibri"/>
          <w:b/>
          <w:sz w:val="20"/>
          <w:szCs w:val="20"/>
          <w:lang w:eastAsia="en-US"/>
        </w:rPr>
        <w:t>Fuente de información:</w:t>
      </w:r>
    </w:p>
    <w:p w14:paraId="1DBBC5AF" w14:textId="77777777" w:rsidR="001E63A3" w:rsidRPr="00240D0E" w:rsidRDefault="0045651A" w:rsidP="00240D0E">
      <w:pPr>
        <w:spacing w:after="720"/>
        <w:ind w:right="-159"/>
        <w:jc w:val="both"/>
        <w:rPr>
          <w:rFonts w:eastAsia="Calibri"/>
          <w:color w:val="0000FF"/>
          <w:sz w:val="20"/>
          <w:szCs w:val="20"/>
          <w:lang w:eastAsia="en-US"/>
        </w:rPr>
      </w:pPr>
      <w:hyperlink r:id="rId412" w:history="1">
        <w:r w:rsidR="001E63A3" w:rsidRPr="00240D0E">
          <w:rPr>
            <w:rFonts w:eastAsia="Calibri"/>
            <w:color w:val="0000FF"/>
            <w:sz w:val="20"/>
            <w:szCs w:val="20"/>
            <w:u w:val="single"/>
            <w:lang w:eastAsia="en-US"/>
          </w:rPr>
          <w:t>http://www.banxico.org.mx/informacion-para-la-prensa/comunicados/miscelaneos/boletines/%7b4D25FCD5-51A5-0F09-0628-CCCDAB72B0FE%7d.pdf</w:t>
        </w:r>
      </w:hyperlink>
      <w:r w:rsidR="001E63A3" w:rsidRPr="00240D0E">
        <w:rPr>
          <w:rFonts w:eastAsia="Calibri"/>
          <w:color w:val="0000FF"/>
          <w:sz w:val="20"/>
          <w:szCs w:val="20"/>
          <w:lang w:eastAsia="en-US"/>
        </w:rPr>
        <w:t xml:space="preserve"> </w:t>
      </w:r>
    </w:p>
    <w:p w14:paraId="163FEB11" w14:textId="77777777" w:rsidR="00CB3495" w:rsidRPr="00CB3495" w:rsidRDefault="00CB3495" w:rsidP="00CB3495">
      <w:pPr>
        <w:ind w:right="-159"/>
        <w:jc w:val="both"/>
        <w:rPr>
          <w:rFonts w:eastAsia="Calibri"/>
          <w:b/>
          <w:sz w:val="26"/>
          <w:szCs w:val="26"/>
          <w:lang w:eastAsia="en-US"/>
        </w:rPr>
      </w:pPr>
      <w:r w:rsidRPr="00CB3495">
        <w:rPr>
          <w:rFonts w:eastAsia="Calibri"/>
          <w:b/>
          <w:sz w:val="26"/>
          <w:szCs w:val="26"/>
          <w:lang w:eastAsia="en-US"/>
        </w:rPr>
        <w:t>Anunció    de   la   Revisión   de   las   Decisiones</w:t>
      </w:r>
    </w:p>
    <w:p w14:paraId="2D29A686"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t>de Política Monetaria de la zona del euro (BCE)</w:t>
      </w:r>
    </w:p>
    <w:p w14:paraId="31E61C43"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sz w:val="26"/>
          <w:szCs w:val="26"/>
          <w:lang w:eastAsia="en-US"/>
        </w:rPr>
        <w:t>El 2 de abril de 2015, el Banco Central Europeo (BCE) dio a conocer en Nicosia, Chipre, el “Anunció de la Revisión de las Decisiones de Política Monetaria de la zona del euro” tomadas por el Presidente del BCE, Mario Draghi y el Vicepresidente, Coeuré en su reunión con el Consejo de Gobierno. A continuación se presentan los detalles.</w:t>
      </w:r>
    </w:p>
    <w:p w14:paraId="63D713A9" w14:textId="77777777" w:rsidR="00CB3495" w:rsidRPr="00CB3495" w:rsidRDefault="00CB3495" w:rsidP="00CB3495">
      <w:pPr>
        <w:spacing w:after="360"/>
        <w:ind w:right="-159"/>
        <w:jc w:val="both"/>
        <w:rPr>
          <w:rFonts w:eastAsia="Calibri"/>
          <w:b/>
          <w:sz w:val="26"/>
          <w:szCs w:val="26"/>
          <w:lang w:eastAsia="en-US"/>
        </w:rPr>
      </w:pPr>
      <w:r w:rsidRPr="00CB3495">
        <w:rPr>
          <w:rFonts w:eastAsia="Calibri"/>
          <w:b/>
          <w:sz w:val="26"/>
          <w:szCs w:val="26"/>
          <w:lang w:eastAsia="en-US"/>
        </w:rPr>
        <w:t xml:space="preserve">Revisión de los acontecimientos financieros, económicos y monetarios así como de las opciones posibles </w:t>
      </w:r>
    </w:p>
    <w:p w14:paraId="4D1A305E"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t>Evolución de los mercados financieros</w:t>
      </w:r>
    </w:p>
    <w:p w14:paraId="00BE72F3"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El Vicepresidente del BCE procedió a revisar la evolución reciente de los mercados financieros.</w:t>
      </w:r>
    </w:p>
    <w:p w14:paraId="254C7DDD"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Desde la última reunión de política monetaria del Consejo de Gobierno, el 21-22 de enero de 2015, el anunció del BCE de ampliar su programa de compras de activos (</w:t>
      </w:r>
      <w:r w:rsidRPr="00CB3495">
        <w:rPr>
          <w:rFonts w:eastAsia="Calibri"/>
          <w:i/>
          <w:sz w:val="26"/>
          <w:szCs w:val="26"/>
          <w:lang w:eastAsia="en-US"/>
        </w:rPr>
        <w:t>Asset Purchase Programme</w:t>
      </w:r>
      <w:r w:rsidRPr="00CB3495">
        <w:rPr>
          <w:rFonts w:eastAsia="Calibri"/>
          <w:sz w:val="26"/>
          <w:szCs w:val="26"/>
          <w:lang w:eastAsia="en-US"/>
        </w:rPr>
        <w:t xml:space="preserve"> –APP) tuvo un impacto importante en los mercados financieros de la zona del euro, contribuyendo a disminuir los rendimientos de los bonos del gobierno y las tasas del mercado monetario en particular aquellos a largo  plazo, mientras que el euro se había depreciado frente al dólar estadounidense, sobre todo días anteriores la reunión.</w:t>
      </w:r>
    </w:p>
    <w:p w14:paraId="028559DD" w14:textId="2852637F"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Con la decisión de ampliar el programa de compra de activos, es decir, añadir a los programas existentes de compra de activos del sector privado un programa de compras de valores del sector público (</w:t>
      </w:r>
      <w:r w:rsidRPr="00CB3495">
        <w:rPr>
          <w:rFonts w:eastAsia="Calibri"/>
          <w:i/>
          <w:sz w:val="26"/>
          <w:szCs w:val="26"/>
          <w:lang w:eastAsia="en-US"/>
        </w:rPr>
        <w:t>Public sector purchase programme</w:t>
      </w:r>
      <w:r w:rsidRPr="00CB3495">
        <w:rPr>
          <w:rFonts w:eastAsia="Calibri"/>
          <w:sz w:val="26"/>
          <w:szCs w:val="26"/>
          <w:lang w:eastAsia="en-US"/>
        </w:rPr>
        <w:t xml:space="preserve"> –PSPP)</w:t>
      </w:r>
      <w:r w:rsidR="001249A0">
        <w:rPr>
          <w:rFonts w:eastAsia="Calibri"/>
          <w:sz w:val="26"/>
          <w:szCs w:val="26"/>
          <w:lang w:eastAsia="en-US"/>
        </w:rPr>
        <w:t>.</w:t>
      </w:r>
      <w:r w:rsidRPr="00CB3495">
        <w:rPr>
          <w:rFonts w:eastAsia="Calibri"/>
          <w:sz w:val="26"/>
          <w:szCs w:val="26"/>
          <w:lang w:eastAsia="en-US"/>
        </w:rPr>
        <w:t xml:space="preserve"> Los rendimientos de la deuda pública de la zona del euro continuaron su tendencia a la baja, alcanzando mínimos históricos en la mayoría de los países, los rendimientos obligatorios se volvieron negativos desde la reunión de 21-22 de enero de 2015. Al mismo tiempo, las curvas de rendimientos soberanos continuaron aplanándose más. Las diferencias de rendimientos soberanos al interior de la zona del euro disminuyeron después de la ampliación inicial registrada en las semanas siguientes a la reunión de enero del Consejo de Gobierno sobre política monetaria.</w:t>
      </w:r>
    </w:p>
    <w:p w14:paraId="50D51258" w14:textId="7926E42B"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Las medidas de expectativas de inflación basadas en los mercados, como se presentan por ejemplo, en las tasas de interés anticipadas </w:t>
      </w:r>
      <w:r w:rsidR="001249A0">
        <w:rPr>
          <w:rFonts w:eastAsia="Calibri"/>
          <w:sz w:val="26"/>
          <w:szCs w:val="26"/>
          <w:lang w:eastAsia="en-US"/>
        </w:rPr>
        <w:t xml:space="preserve">en </w:t>
      </w:r>
      <w:r w:rsidRPr="00CB3495">
        <w:rPr>
          <w:rFonts w:eastAsia="Calibri"/>
          <w:sz w:val="26"/>
          <w:szCs w:val="26"/>
          <w:lang w:eastAsia="en-US"/>
        </w:rPr>
        <w:t>un período de cinco años, registraron incrementos en un primer momento después del anuncio del programa ampliado</w:t>
      </w:r>
      <w:r w:rsidR="001249A0">
        <w:rPr>
          <w:rFonts w:eastAsia="Calibri"/>
          <w:sz w:val="26"/>
          <w:szCs w:val="26"/>
          <w:lang w:eastAsia="en-US"/>
        </w:rPr>
        <w:t>,</w:t>
      </w:r>
      <w:r w:rsidRPr="00CB3495">
        <w:rPr>
          <w:rFonts w:eastAsia="Calibri"/>
          <w:sz w:val="26"/>
          <w:szCs w:val="26"/>
          <w:lang w:eastAsia="en-US"/>
        </w:rPr>
        <w:t xml:space="preserve"> pero disminuyeron posteriormente anulando la mayor parte del </w:t>
      </w:r>
      <w:r w:rsidR="001249A0">
        <w:rPr>
          <w:rFonts w:eastAsia="Calibri"/>
          <w:sz w:val="26"/>
          <w:szCs w:val="26"/>
          <w:lang w:eastAsia="en-US"/>
        </w:rPr>
        <w:t>incremento</w:t>
      </w:r>
      <w:r w:rsidRPr="00CB3495">
        <w:rPr>
          <w:rFonts w:eastAsia="Calibri"/>
          <w:sz w:val="26"/>
          <w:szCs w:val="26"/>
          <w:lang w:eastAsia="en-US"/>
        </w:rPr>
        <w:t>, para situarse ligeramente por encima de 1.60% a principios de marzo</w:t>
      </w:r>
      <w:r w:rsidR="001249A0">
        <w:rPr>
          <w:rFonts w:eastAsia="Calibri"/>
          <w:sz w:val="26"/>
          <w:szCs w:val="26"/>
          <w:lang w:eastAsia="en-US"/>
        </w:rPr>
        <w:t xml:space="preserve"> del presente año</w:t>
      </w:r>
      <w:r w:rsidRPr="00CB3495">
        <w:rPr>
          <w:rFonts w:eastAsia="Calibri"/>
          <w:sz w:val="26"/>
          <w:szCs w:val="26"/>
          <w:lang w:eastAsia="en-US"/>
        </w:rPr>
        <w:t xml:space="preserve">. </w:t>
      </w:r>
    </w:p>
    <w:p w14:paraId="192D8BC2" w14:textId="42FA9E8E"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Los mercados bursátiles de la zona del euro continuaron mostrando un buen desempeño después del anuncio del programa ampliado.</w:t>
      </w:r>
    </w:p>
    <w:p w14:paraId="035752BE"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lo que respecta a la implementación del programa, los participantes del mercado señalaron la posible escasez de bonos que cumplan con los criterios de compra de PSPP, </w:t>
      </w:r>
      <w:r w:rsidRPr="00CB3495">
        <w:rPr>
          <w:rFonts w:eastAsia="Calibri"/>
          <w:sz w:val="26"/>
          <w:szCs w:val="26"/>
          <w:lang w:eastAsia="en-US"/>
        </w:rPr>
        <w:lastRenderedPageBreak/>
        <w:t>refiriéndose a dos factores principales. En primer lugar, las emisiones netas de los Estados miembro de la zona del euro durante la vigencia del programa serían modestas, como ya se mostró en la valoración de pensiones entregadas a plazo en niveles muy negativos en algunos mercados, lo que refleja la escasez esperada en ciertos tipos de garantías. En segundo lugar, según los participantes del mercado, la base de inversionistas en bonos públicos en la zona del euro podría resistirse a renunciar a su cartera debido a restricciones reglamentarias, a la falta de otras oportunidades de inversión atractivas y a la gestión de inversionistas institucionales que posean una cartera a vencimiento (“comprar y mantener”).</w:t>
      </w:r>
    </w:p>
    <w:p w14:paraId="480DFE84"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Los mercados griegos han registrado varios episodios de alta volatilidad en respuesta a la secuencia de los acontecimientos, pero el contagio a otros mercados de deuda pública en la zona del euro ha permanecido limitado.</w:t>
      </w:r>
    </w:p>
    <w:p w14:paraId="5BE9F055"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el marco del tercer programa, las compras efectuadas de adquisición de bonos garantizados (CBPP3) y el programa de compra de bonos de titulización de activos de ABS (ABSPP) aumentaron a 51 mil 200 millones de euros y 3 mil 500 millones respectivamente, el 27 de febrero de 2015.</w:t>
      </w:r>
    </w:p>
    <w:p w14:paraId="38B5D9AD"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Conforme a las regularidades estacionales, las emisiones de bonos públicos garantizados están en recuperación en enero y se mantienen firmes. Las emisiones fueron hechas por una base más grande de emisores y de los Estados y también registraron en promedio un mayor vencimiento que el observado anteriormente. Los diferenciales de rendimiento en el mercado secundario continuaron disminuyendo para los bonos garantizados en la mayoría de países de la zona del euro, principalmente en España e Italia. Las compras efectuadas en el marco del ABSPP se mantuvieron bajas, lo que, de acuerdo con los participantes del mercado podría atribuirse a varios factores. La oferta se mantiene moderada, muchos bancos tienen otras oportunidades de financiamiento más atractivas que los ABS y estiman que las emisiones de ABS ofrecen </w:t>
      </w:r>
      <w:r w:rsidRPr="00CB3495">
        <w:rPr>
          <w:rFonts w:eastAsia="Calibri"/>
          <w:sz w:val="26"/>
          <w:szCs w:val="26"/>
          <w:lang w:eastAsia="en-US"/>
        </w:rPr>
        <w:lastRenderedPageBreak/>
        <w:t>pocas posibilidades para reducir sus necesidades de capital dada la ausencia de avances en el marco normativo. Una recuperación de nuevas emisiones se prevé, mientras que la actividad en el mercado secundario de ABS era estructuralmente débil y el mercado se caracterizaba por un comportamiento de freno hasta el vencimiento.</w:t>
      </w:r>
    </w:p>
    <w:p w14:paraId="336C91CC" w14:textId="5CD72085"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las operaciones de crédito del Eurosistema, la llegada del vencimiento de dos operaciones de refinanciamiento a largo plazo con una duración de tres años, el </w:t>
      </w:r>
      <w:r w:rsidR="001249A0">
        <w:rPr>
          <w:rFonts w:eastAsia="Calibri"/>
          <w:sz w:val="26"/>
          <w:szCs w:val="26"/>
          <w:lang w:eastAsia="en-US"/>
        </w:rPr>
        <w:t xml:space="preserve">    </w:t>
      </w:r>
      <w:r w:rsidRPr="00CB3495">
        <w:rPr>
          <w:rFonts w:eastAsia="Calibri"/>
          <w:sz w:val="26"/>
          <w:szCs w:val="26"/>
          <w:lang w:eastAsia="en-US"/>
        </w:rPr>
        <w:t xml:space="preserve">29 de enero y 26 de febrero de 2015 no tuvo un impacto significativo en el nivel de exceso de liquidez, así, las operaciones prosperaron en gran medida, ya que fueron renovadas bajo la forma de operaciones de inyección de liquidez del Eurosistema a corto plazo. Por otra parte, la evolución de los factores autónomos también tuvo un impacto favorable en el nivel de exceso de liquidez. Aunado a las decisiones de política monetaria adoptadas en la reunión del 21-22 de enero, el nivel de exceso de liquidez ejerció una nueva presión a la baja sobre las tasas del mercado monetario. Desde entonces, el Euribor a </w:t>
      </w:r>
      <w:r w:rsidR="001249A0">
        <w:rPr>
          <w:rFonts w:eastAsia="Calibri"/>
          <w:sz w:val="26"/>
          <w:szCs w:val="26"/>
          <w:lang w:eastAsia="en-US"/>
        </w:rPr>
        <w:t>tres</w:t>
      </w:r>
      <w:r w:rsidRPr="00CB3495">
        <w:rPr>
          <w:rFonts w:eastAsia="Calibri"/>
          <w:sz w:val="26"/>
          <w:szCs w:val="26"/>
          <w:lang w:eastAsia="en-US"/>
        </w:rPr>
        <w:t xml:space="preserve"> meses y </w:t>
      </w:r>
      <w:r w:rsidR="001249A0">
        <w:rPr>
          <w:rFonts w:eastAsia="Calibri"/>
          <w:sz w:val="26"/>
          <w:szCs w:val="26"/>
          <w:lang w:eastAsia="en-US"/>
        </w:rPr>
        <w:t>un</w:t>
      </w:r>
      <w:r w:rsidRPr="00CB3495">
        <w:rPr>
          <w:rFonts w:eastAsia="Calibri"/>
          <w:sz w:val="26"/>
          <w:szCs w:val="26"/>
          <w:lang w:eastAsia="en-US"/>
        </w:rPr>
        <w:t xml:space="preserve"> año continuó disminuyendo hasta alcanzar nuevos mínimos de 3.8 y 2.3 puntos base respectivamente, lo que refleja en parte las expectativas de persistencia de un significativo exceso de liquidez. El Eonia se mantuvo en niveles entre –4 y –6 puntos base en la mayor parte del período, no muy lejos del mínimo histórico de –8.5 puntos base. En los mercados de pensiones, las tasas a corto plazo de valores aceptados como garantía generalmente se registran entre –10 y –15 puntos base.</w:t>
      </w:r>
    </w:p>
    <w:p w14:paraId="672211AE"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las medidas basadas en las expectativas del mercado relativas a la política monetaria, la curva de tasas </w:t>
      </w:r>
      <w:r w:rsidRPr="00CB3495">
        <w:rPr>
          <w:rFonts w:eastAsia="Calibri"/>
          <w:i/>
          <w:sz w:val="26"/>
          <w:szCs w:val="26"/>
          <w:lang w:eastAsia="en-US"/>
        </w:rPr>
        <w:t>swap</w:t>
      </w:r>
      <w:r w:rsidRPr="00CB3495">
        <w:rPr>
          <w:rFonts w:eastAsia="Calibri"/>
          <w:sz w:val="26"/>
          <w:szCs w:val="26"/>
          <w:lang w:eastAsia="en-US"/>
        </w:rPr>
        <w:t xml:space="preserve"> de inflación en Eonia experimentó una disminución de 6 puntos base para vencimientos de más de dos años a partir de las expectativas, según, las cuales, el programa ampliado de compras de activos, mantendría un nivel significativo de exceso de liquidez a largo plazo.</w:t>
      </w:r>
    </w:p>
    <w:p w14:paraId="4407733F" w14:textId="77777777" w:rsidR="001249A0"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 xml:space="preserve">En cuanto a la evolución del mercado de divisas, el tipo de cambio del euro frente al dólar estadounidense se mantuvo relativamente estable durante la mayor parte del período transcurrido desde la reunión de política monetaria, antes de depreciarse en los días anteriores a la reunión del Consejo de Gobierno del BCE en Nicosia. </w:t>
      </w:r>
    </w:p>
    <w:p w14:paraId="210D207F" w14:textId="6CDD050F"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lo sucesivo, los participantes del mercado esperan una nueva depreciación del euro debido a la divergencia de la orientación de política monetaria entre Estados Unidos de Norteamérica y la zona del euro, las recientes mejoras en el mercado trabajo de Estados Unidos de Norteamérica han dado lugar a la expectativa de los mercados de un primer aumento de la tasa de los fondos federales. Por otra parte, según los participantes del mercado, el aumento de diferenciales de rendimiento pagado por los intercambios de divisas, especialmente en vencimientos mayores a dos años, se explica principalmente por el aumento esperado en el exceso de liquidez en la zona del euro como consecuencia del programa ampliado de compras de activos y el fuerte crecimiento de las emisiones en euros por las instituciones no europeas que se benefician de las condiciones de emisiones favorables, incluso después de convertir a dólares el producto de estas operaciones.</w:t>
      </w:r>
    </w:p>
    <w:p w14:paraId="0FA46B47"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Suiza, desde la decisión del Banco Nacional Suizo de eliminar la cotización impuesta de 1.20 francos suizos por euro, el 15 de enero de 2015, el franco suizo se depreció de 1.00 a 1.07 francos suizos por euro, lo que apunta un ajuste después de fuerte apreciación de la divisa suiza como consecuencia de la decisión.</w:t>
      </w:r>
    </w:p>
    <w:p w14:paraId="31B42CAE" w14:textId="77777777" w:rsid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A finales de febrero, el tipo de cambio de la corona danesa frente al euro que participa en el Mecanismo de Tipo de Cambio II (MTC II) se acercó nuevamente a las respectivas paridades centrales, los flujos de entrada de capitales en la corona danesa se desaceleran tras las medidas tomadas por las autoridades danesas para defender dicha paridad.</w:t>
      </w:r>
    </w:p>
    <w:p w14:paraId="04374DFC" w14:textId="77777777" w:rsidR="00786917" w:rsidRPr="00CB3495" w:rsidRDefault="00786917" w:rsidP="00CB3495">
      <w:pPr>
        <w:spacing w:after="360" w:line="360" w:lineRule="auto"/>
        <w:ind w:right="-159"/>
        <w:jc w:val="both"/>
        <w:rPr>
          <w:rFonts w:eastAsia="Calibri"/>
          <w:sz w:val="26"/>
          <w:szCs w:val="26"/>
          <w:lang w:eastAsia="en-US"/>
        </w:rPr>
      </w:pPr>
    </w:p>
    <w:p w14:paraId="6822D74A"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lastRenderedPageBreak/>
        <w:t>Entorno internacional y la evolución económica y monetaria en la zona del euro</w:t>
      </w:r>
    </w:p>
    <w:p w14:paraId="1BAA280C"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El vicepresidente del BCE llevó a cabo una revisión de la situación internacional y la reciente evolución económica y monetaria en la zona del euro.</w:t>
      </w:r>
    </w:p>
    <w:p w14:paraId="69CF18FE" w14:textId="39CB30C3"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La recuperación de la economía mundial debería continuar, pero sigue siendo desigual en las distintas regiones. Después de una ligera desaceleración en el cuarto trimestre de 2014, la dinámica del crecimiento mundial mostró signos de estabilización a principios de 2015, gracias a la disminución del precio del petróleo registrado anteriormente. Del mismo modo, el Índice PMI (</w:t>
      </w:r>
      <w:r w:rsidRPr="00CB3495">
        <w:rPr>
          <w:rFonts w:eastAsia="Calibri"/>
          <w:i/>
          <w:sz w:val="26"/>
          <w:szCs w:val="26"/>
          <w:lang w:eastAsia="en-US"/>
        </w:rPr>
        <w:t>Purchasing Managers Index</w:t>
      </w:r>
      <w:r w:rsidRPr="00CB3495">
        <w:rPr>
          <w:rFonts w:eastAsia="Calibri"/>
          <w:sz w:val="26"/>
          <w:szCs w:val="26"/>
          <w:lang w:eastAsia="en-US"/>
        </w:rPr>
        <w:t>) compuesto de producción de manufacturas y servicios reflejó un crecimiento sostenido a principios de 2015, después de cierta moderación en el cuarto trimestre de 2014. La inflación anual medida por el índice de precios al consumidor (IPC) en la los países de la Organización para la Cooperación y el Desarrollo Económicos (OCDE) disminuyó 0.5% en enero de 2015, bajo el efecto de una contribución negativa de los precios de la energía. Sin embargo, excluyendo alimentos y energía, se desacelero un poco, situándose en 1.7%. Desde la reunión de política monetaria del Consejo de Gobierno del 21 a 22 enero de 2015, los precios del Brent aumentaron más del 26% para establecerse en cerca de 61 dólares estadounidenses por barril, el 3 de marzo 2015, siendo un nivel aproximadamente 50% más bajo que el máximo nivel alcanzado a mediados de 2014. Los precios de las materias primas no energéticas disminuyeron 3%, debido principalmente a los cambios en los precios de los metales. El euro se depreció 4% frente al dólar y 2.2% en términos efectivos nominales.</w:t>
      </w:r>
    </w:p>
    <w:p w14:paraId="48FEB0CC"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la zona del euro, el PIB real creció 0.3% en tasa trimestral en el cuarto trimestre de 2014. A pesar de que aún no existe un desglose disponible, los indicadores a corto plazo y los datos disponibles por país sugieren que tanto la demanda interna como las exportaciones continuaron apoyando el crecimiento. La dinámica de crecimiento moderada observada en la zona del euro en los últimos trimestres se explica </w:t>
      </w:r>
      <w:r w:rsidRPr="00CB3495">
        <w:rPr>
          <w:rFonts w:eastAsia="Calibri"/>
          <w:sz w:val="26"/>
          <w:szCs w:val="26"/>
          <w:lang w:eastAsia="en-US"/>
        </w:rPr>
        <w:lastRenderedPageBreak/>
        <w:t>principalmente por la inversión lenta producto de la continua debilidad de las ganancias empresariales, de importantes capacidades de producción inutilizada, y de la incertidumbre acerca de las perspectivas de crecimiento. A pesar del aumento de la producción registrada en los últimos trimestres y la disminución de la tasa de desempleo con relación a su máximo presentado en 2013, la tasa de utilización de la capacidad de la economía sigue siendo débil.</w:t>
      </w:r>
    </w:p>
    <w:p w14:paraId="6DD16ADB"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Los indicadores disponibles apuntan a una recuperación de la economía a principios de 2015. El índice compuesto de gerentes de compras en la producción y el indicador de sentimiento económico (</w:t>
      </w:r>
      <w:r w:rsidRPr="00CB3495">
        <w:rPr>
          <w:rFonts w:eastAsia="Calibri"/>
          <w:i/>
          <w:sz w:val="26"/>
          <w:szCs w:val="26"/>
          <w:lang w:eastAsia="en-US"/>
        </w:rPr>
        <w:t>Economic Sentiment Indicator</w:t>
      </w:r>
      <w:r w:rsidRPr="00CB3495">
        <w:rPr>
          <w:rFonts w:eastAsia="Calibri"/>
          <w:sz w:val="26"/>
          <w:szCs w:val="26"/>
          <w:lang w:eastAsia="en-US"/>
        </w:rPr>
        <w:t>) de la Comisión Europea (CE) mejoró en enero y febrero, alcanzando un promedio por encima de sus respectivos niveles del cuarto trimestre de 2014. La dinámica del consumo privado se mantuvo, ya que, el volumen de ventas al por menor y las nuevas matriculaciones de automóviles particulares se incrementaron fuertemente en enero. Además, la confianza al consumidor aumentó notablemente en enero y febrero, alcanzando su nivel anterior a la crisis.</w:t>
      </w:r>
    </w:p>
    <w:p w14:paraId="15FD5137"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al mercado de trabajo, el empleo aumentó 0.2% en el tercer trimestre de 2014 y la productividad por persona empleada 0.2% anual. La tasa de desempleo continuó disminuyendo 0.1 puntos porcentuales para establecerse en 11.2% en enero de 2015, después de reducciones similares en los dos meses anteriores. Los datos de la encuesta indican un crecimiento moderado continuo del empleo en el cuarto trimestre de 2014 y en el primer trimestre de 2015.</w:t>
      </w:r>
    </w:p>
    <w:p w14:paraId="322175FC"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Las proyecciones macroeconómicas de marzo 2015 establecidas por los expertos del BCE para la zona del euro prevén un aumento anual del PIB de 1.5% en 2015, 1.9% en 2016 y 2.1% en 2017. En comparación con las proyecciones macroeconómicas de los expertos del Eurosistema publicadas en diciembre de 2014, las proyecciones de crecimiento del PIB real en 2015 y 2016 se han revisado al alza, lo que refleja el impacto </w:t>
      </w:r>
      <w:r w:rsidRPr="00CB3495">
        <w:rPr>
          <w:rFonts w:eastAsia="Calibri"/>
          <w:sz w:val="26"/>
          <w:szCs w:val="26"/>
          <w:lang w:eastAsia="en-US"/>
        </w:rPr>
        <w:lastRenderedPageBreak/>
        <w:t>favorable de la baja de los precios del petróleo, el debilitamiento del tipo de cambio efectivo del euro y los efectos de las medidas de política monetaria no convencionales adoptadas por el BCE desde junio de 2014. Con el objetivo de identificar y evaluar el impacto total de estas medidas sobre las perspectivas macroeconómicas, se adoptó un enfoque más amplio con el fin de incluir también los canales de transmisión que por lo general no son totalmente tomados en cuenta por la estructura de modelos estándar utilizados en el ejercicio de proyección, como el canal de reequilibrio de la cartera, algunos canales relacionados con las expectativas y los mecanismos de retroalimentación entre el ámbito real y financiero.</w:t>
      </w:r>
    </w:p>
    <w:p w14:paraId="48B81791"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los precios, la inflación en la zona euro se mantuvo muy baja y las perspectivas de evolución a corto plazo son moderadas. Según Eurostat, la variación anual del Índice Armonizado de Precios al Consumidor (IAPC) de la zona euro disminuyó de 0.2% en diciembre de 2014 a 0.6% en enero de 2015. En febrero, según la estimación preliminar de Eurostat, retrocedió a -0.3%, debido principalmente a un aumento en la tasa de variación anual de los componentes de energía y alimentos. La inflación medida por el IAPC, excluidos los alimentos y la energía fue de 0.6% en febrero, sin cambios desde enero y 0.1 puntos porcentuales por debajo de su nivel presentado en diciembre de 2014. </w:t>
      </w:r>
    </w:p>
    <w:p w14:paraId="596CF967"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Los datos de la encuesta del Índice PMI sobre los precios de insumos y productos finales en los sectores manufacturero y de servicios muestran un ligero repunte en febrero después de una fuerte disminución en enero. Los datos de febrero son más cercanos a los niveles observados en diciembre, pero continúan indicando presiones moderadas sobre los precios en los próximos meses. Del mismo modo, los datos de la encuesta de la Comisión Europea sobre los precios de venta en los principales sectores de la economía de la zona euro han estado recuperándose, especialmente en el sector del comercio al menudeo.</w:t>
      </w:r>
    </w:p>
    <w:p w14:paraId="44A8DB8E"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La evolución de la inflación medida por el Índice de Precios Industriales (IPRI) sigue siendo muy baja. La tasa de variación anual de los precios industriales, excluida la energía y de la industria de la construcción disminuyó aún más en enero al registrar un -0.7% frente al -0.4% en diciembre y -0.1% en noviembre. El aumento del componente de los precios industriales de los bienes de consumo no alimentario que tienen una tendencia a generar un aumento de los precios de los bienes manufactureros excluyendo la energía disminuyó en enero respecto a diciembre y noviembre. Al mismo tiempo, la tasa de variación anual de los precios de importación de bienes intermedios fue positivo por tercer mes consecutivo y la de los precios de importación para los bienes de consumo no alimentarios aumentó como resultado de la depreciación del euro. La tasa de variación anual de los precios industriales de los bienes de consumo alimentarios siguió disminuyendo desde mediados de 2014.</w:t>
      </w:r>
    </w:p>
    <w:p w14:paraId="1CFBA916"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al futuro, la información más reciente sugiere que la tasa de variación anual del Índice Armonizado de Precios al Consumidor (IAPC) debería permanecer muy baja o negativa durante algún tiempo, debido principalmente a las disminuciones pasadas de los precios del petróleo en dólares estadounidenses, que fueron parcialmente compensadas por la reciente depreciación del euro. A más largo plazo, la pendiente ascendente de la curva de los precios de compra de contratos a término o de ventas de petróleo indica que el impacto a la baja creado por la caída del precio del petróleo debería atenuarse más tarde en el año. Esta evolución, junto con la esperada recuperación de la demanda, los efectos de las medidas no convencionales de política monetaria puestas en marcha desde junio de 2014 y la depreciación del euro, debería continuar favoreciendo un aumento gradual de las tasas de inflación.</w:t>
      </w:r>
    </w:p>
    <w:p w14:paraId="7D9263F1"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Las proyecciones macroeconómicas de marzo 2015 para la zona del euro por los expertos del BCE prevén un aumento anual del IAPC de 0.0% en 2015, 1.5% en 2016 y 1.8% en 2017. En comparación con las proyecciones macroeconómicas de los expertos del Eurosistema publicadas en diciembre de 2014, la proyección de inflación </w:t>
      </w:r>
      <w:r w:rsidRPr="00CB3495">
        <w:rPr>
          <w:rFonts w:eastAsia="Calibri"/>
          <w:sz w:val="26"/>
          <w:szCs w:val="26"/>
          <w:lang w:eastAsia="en-US"/>
        </w:rPr>
        <w:lastRenderedPageBreak/>
        <w:t>para 2015, ha sido revisada a la baja debido principalmente a la caída de los precios del petróleo observada anteriormente. Por el contrario, la proyección de inflación para 2016 se revisó ligeramente al alza, reflejando también los efectos esperados de las recientes medidas de política monetaria. En cuanto a las medidas de expectativas de inflación a más largo plazo, la encuesta del BCE ante los expertos en previsión para el primer trimestre de 2015, indica que la tasa de inflación esperada en cinco años se fijó en 1.77%. Las medidas a mediano y largo plazo basadas en los indicadores del mercado, tales como la tasa de inflación esperada a partir de los swap de inflación, se han estabilizado desde la reunión de política monetaria anterior.</w:t>
      </w:r>
    </w:p>
    <w:p w14:paraId="7411022B"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lo que concierne a las condiciones monetarias y financieras, la curva de las tasas forward del Eonia se mantiene en valores cercanos a cero en los últimos meses en plazos muy cortos mientras que continuó registrando presión a la baja en los plazos más largos. Los rendimientos a largo plazo de la deuda soberana de la zona del euro también siguieron disminuyendo después del anuncio del programa ampliado de compra de activos. Los precios de las cotizaciones bursátiles aumentaron fuertemente en la zona del euro durante este período. Las tasas aplicadas a los préstamos bancarios han disminuido considerablemente desde el verano de 2014, el costo nominal de los préstamos bancarios para las sociedades no financieras (SNF) disminuye durante dos trimestres consecutivos y sigue disminuyendo en enero de 2015.</w:t>
      </w:r>
    </w:p>
    <w:p w14:paraId="4B8D21EF"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El crecimiento del dinero y del crédito continuó recuperándose, aunque a niveles bajos. La tasa de crecimiento anual de M3 aumentó hasta el 4.1% en enero de 2015, desde el 3.8% en diciembre. Esta evolución es principalmente atribuida al M1 y en particular, a los depósitos a la vista, mientras que otros depósitos a corto plazo continuaron frenando la dinámica monetaria. Estos efectos de sustitución pueden explicarse en parte por las tasas de interés muy bajas. La tasa de crecimiento anual del M1 alcanzó 9% en enero, lo que es coherente con una recuperación en la zona del euro en los próximos trimestres.</w:t>
      </w:r>
    </w:p>
    <w:p w14:paraId="005BA079"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La recuperación observada en la dinámica de los préstamos también ha continuado. La tasa de variación anual de los préstamos otorgados a las sociedades no financieras por las instituciones financieras monetarias (IFM), en datos ajustados de préstamos y de titulizaciones, seguió mejorando en enero de 2015, llegando a -0.9% desde el -1.1% en diciembre de 2014 después del -1.4% en noviembre y del -1.6% en octubre. La tasa de crecimiento anual de los préstamos destinados a los hogares originados por las IFM, ajustados de ventas y titulizaciones, aumentó ligeramente en enero hasta situarse en 0.9%, desde el 0.8% en diciembre. A tasa anual, las IMF han seguido aumentando sus carteras de valores inmobiliarios. En un período de doce meses acumulados que comprende hasta enero, las compras netas de valores para las IFM de la zona del euro permanecieron positivas, debido a un aumento en la retención de deuda soberana y a una reducción en los reembolsos netos de créditos privados.</w:t>
      </w:r>
    </w:p>
    <w:p w14:paraId="562802D8" w14:textId="68429F5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 otras contrapartes de M3, los flujos anuales registrados en la posición externa neta de las IFM todavía fueron moderados en enero de 2015, en comparación con el máximo histórico alcanzado a mediados de 2014. La reducción de los compromisos actuales de las IMF a largo plazo (excluidos capital y reservas), cuya tasa anual de variación se situó en -5.7% en enero, frente a -5.5% en diciembre, contribuy</w:t>
      </w:r>
      <w:r w:rsidR="003F3984">
        <w:rPr>
          <w:rFonts w:eastAsia="Calibri"/>
          <w:sz w:val="26"/>
          <w:szCs w:val="26"/>
          <w:lang w:eastAsia="en-US"/>
        </w:rPr>
        <w:t>ó</w:t>
      </w:r>
      <w:r w:rsidRPr="00CB3495">
        <w:rPr>
          <w:rFonts w:eastAsia="Calibri"/>
          <w:sz w:val="26"/>
          <w:szCs w:val="26"/>
          <w:lang w:eastAsia="en-US"/>
        </w:rPr>
        <w:t xml:space="preserve"> de manera significativa a la aceleración del crecimiento anual de M3.</w:t>
      </w:r>
    </w:p>
    <w:p w14:paraId="5801FDD9"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lo que concierne a las políticas fiscales, se espera que la política fiscal en la zona del euro se mantenga neutral en términos generales.</w:t>
      </w:r>
    </w:p>
    <w:p w14:paraId="5F744CD7"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t>Reflexiones y posibles opciones de política monetaria</w:t>
      </w:r>
    </w:p>
    <w:p w14:paraId="0BB4BA3C"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resumen, el vicepresidente del BCE dijo que la actividad económica se ha acelerado recientemente y que las últimas proyecciones de los expertos del BCE apuntaban a una mejora en las perspectivas del crecimiento económico para la zona del euro, aunque rodeado de riesgos a la baja. Además, se espera que la inflación medida por el IAPC de la zona del euro regrese gradualmente a niveles inferiores, pero cerca del 2% al </w:t>
      </w:r>
      <w:r w:rsidRPr="00CB3495">
        <w:rPr>
          <w:rFonts w:eastAsia="Calibri"/>
          <w:sz w:val="26"/>
          <w:szCs w:val="26"/>
          <w:lang w:eastAsia="en-US"/>
        </w:rPr>
        <w:lastRenderedPageBreak/>
        <w:t>panorama pertinente para la política monetaria bajo el efecto de la flexibilidad marcada de la orientación de la política monetaria creada por las medidas no convencionales adoptadas por el Consejo de Gobierno desde junio de 2014. Al coincidir los resultados del análisis económico con los del análisis monetario, se confirma que la dinámica monetaria y del crédito se ha reforzado aún más y también es coherente con las perspectivas de una lenta mejora en el entorno de crecimiento y la inflación en la zona del euro. En resumen, las decisiones tomadas por el Consejo de Gobierno, el 22 de enero de 2015 han contribuido fuertemente para enfrentar los riesgos de un prolongado período de baja inflación y dar razones para tener confianza. Sin embargo, el Consejo de Gobierno, debe ser prudente dado que la recuperación económica apenas inicia y la incertidumbre sigue siendo alta, sobre todo en lo que concierne a los últimos años del panorama de proyección, que se amplía hasta 2017.</w:t>
      </w:r>
    </w:p>
    <w:p w14:paraId="2F595961"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el marco de su evaluación de opciones de política monetaria para esta reunión, el vicepresidente del BCE señaló que el estado actual de la economía y la evolución prevista, así como el escenario de referencia para la estabilidad de precios fueron conforme a las calibraciones que se basan las últimas decisiones de política monetaria.</w:t>
      </w:r>
    </w:p>
    <w:p w14:paraId="11C69FF4" w14:textId="77777777" w:rsid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Por lo tanto, consideró que no era necesario, en la reunión, que el Consejo de Gobierno revisara los parámetros en que se basa el programa ampliado de compras de activos. Tampoco era necesario tener en cuenta una nueva iniciativa de política monetaria, ya que, el enfoque debería estar ahora en la aplicación de las medidas decididas antes. Al mismo tiempo, es importante reconocer que el alcance de la recuperación económica coyuntural en la zona del euro indicada en las proyecciones de marzo de 2015 establecidas por los expertos del BCE no dejaba ningún lugar a la confianza excesiva ya que importantes desafíos estructurales quedaban por abordar en particular el bajo crecimiento potencial y el alto nivel de desempleo estructural.</w:t>
      </w:r>
    </w:p>
    <w:p w14:paraId="61CDFEBA" w14:textId="77777777" w:rsidR="0047140D" w:rsidRPr="00CB3495" w:rsidRDefault="0047140D" w:rsidP="00CB3495">
      <w:pPr>
        <w:spacing w:after="360" w:line="360" w:lineRule="auto"/>
        <w:ind w:right="-159"/>
        <w:jc w:val="both"/>
        <w:rPr>
          <w:rFonts w:eastAsia="Calibri"/>
          <w:sz w:val="26"/>
          <w:szCs w:val="26"/>
          <w:lang w:eastAsia="en-US"/>
        </w:rPr>
      </w:pPr>
    </w:p>
    <w:p w14:paraId="0BF31295"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lastRenderedPageBreak/>
        <w:t>Debates en el Consejo de Gobierno y decisiones de política monetaria</w:t>
      </w:r>
    </w:p>
    <w:p w14:paraId="071CA7CA"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t>Análisis económico y monetario</w:t>
      </w:r>
    </w:p>
    <w:p w14:paraId="715D92B3" w14:textId="7D61161A"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al análisis económico, los miembros del Consejo de Gobierno comparten generalmente el análisis de las perspectivas y los riesgos relacionados con la actividad económica de la zona del euro por el vicepresidente del BCE en su introducción. Los datos económicos más recientes y</w:t>
      </w:r>
      <w:r w:rsidR="003F3984">
        <w:rPr>
          <w:rFonts w:eastAsia="Calibri"/>
          <w:sz w:val="26"/>
          <w:szCs w:val="26"/>
          <w:lang w:eastAsia="en-US"/>
        </w:rPr>
        <w:t>,</w:t>
      </w:r>
      <w:r w:rsidRPr="00CB3495">
        <w:rPr>
          <w:rFonts w:eastAsia="Calibri"/>
          <w:sz w:val="26"/>
          <w:szCs w:val="26"/>
          <w:lang w:eastAsia="en-US"/>
        </w:rPr>
        <w:t xml:space="preserve"> en particular, los resultados de las encuestas disponibles hasta febrero 2015, muestran que la actividad económica a principios de este año se dirige hacia una nueva mejora. Las diferentes medidas de política monetaria adoptadas por el Consejo de Gobierno, incluyendo las medidas anteriores y el reciente programa ampliado de compra de activos, parecen haber contribuido a esta mejora general, en particular mediante el fortalecimiento del papel de la confianza como un importante canal </w:t>
      </w:r>
      <w:r w:rsidR="003F3984">
        <w:rPr>
          <w:rFonts w:eastAsia="Calibri"/>
          <w:sz w:val="26"/>
          <w:szCs w:val="26"/>
          <w:lang w:eastAsia="en-US"/>
        </w:rPr>
        <w:t xml:space="preserve">de </w:t>
      </w:r>
      <w:r w:rsidRPr="00CB3495">
        <w:rPr>
          <w:rFonts w:eastAsia="Calibri"/>
          <w:sz w:val="26"/>
          <w:szCs w:val="26"/>
          <w:lang w:eastAsia="en-US"/>
        </w:rPr>
        <w:t>transmisión de la política monetaria. Los elementos también mostraron más claramente que la reciente caída de los precios del petróleo ha tenido un impacto positivo en la demanda agregada a corto plazo, mientras que el efecto estimulante sobre el crecimiento de la depreciación del euro se debería sentirse con un cierto retraso. En general, estos elementos se situaron dentro de la línea de ampliación y de fortalecimiento progresivo de la recuperación económica en la zona del euro en los próximos meses.</w:t>
      </w:r>
    </w:p>
    <w:p w14:paraId="2DD1BE36"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Esta evaluación también resalto en las proyecciones macroeconómicas de marzo de 2015, para la zona del euro por parte los expertos del BCE, según lo indica el vicepresidente del BCE.</w:t>
      </w:r>
    </w:p>
    <w:p w14:paraId="627AE7B8"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la medida en que las proyecciones de los expertos del BCE suponen la aplicación de todas las medidas que habían sido decididas en junio de 2014, se encontró que se estaba consolidando el compromiso y la confianza del Consejo de Gobierno en el eficacia de las medidas que fue corroborada después de una amplia gama de variables de los mercados financieros.</w:t>
      </w:r>
    </w:p>
    <w:p w14:paraId="20187056"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Los miembros han tomado nota  de la integración del impacto total de las medidas de política monetaria no convencionales en el escenario actual de referencia de las proyecciones que no había sido el caso en anteriores ejercicios de proyección, teniendo también en cuenta, además de los efectos que surgen de las hipótesis técnicas sobre los tasas de interés, a los tipos de cambio y los precios de las acciones, los canales de transmisión financieros que no son capturados normalmente por el marco de proyección estándar. El impacto del anuncio de la ampliación del programa de compra de activos con base a las proyecciones a través de una serie de supuestos técnicos representó una parte importante de las revisiones al alza. En este sentido, la importancia de este avance metodológico que permite tomar en cuenta los canales adicionales de transmisión financiera no debe ser sobrestimada, dada su incidencia cuantitativa relativamente limitada.</w:t>
      </w:r>
    </w:p>
    <w:p w14:paraId="649A5BB2"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Para completar sus reflexiones sobre las proyecciones de referencia, los miembros intercambiaron una serie de puntos de vista sobre las perspectivas de crecimiento. De acuerdo con la presentación del vicepresidente del BCE, el carácter cíclico de la aceleración esperada de crecimiento fue recalcado, el crecimiento potencial sigue siendo relativamente modesto, lo que subraya la necesidad de reformas estructurales con el fin de mejorar. Además, se señaló que las perspectivas de crecimiento para 2017, dependían de varios factores que podían llegar a ser menos favorable para el crecimiento hacia el final del panorama de proyección. Más específicamente, es difícil saber si la política monetaria será siempre tan acomodaticia en 2017, teniendo en cuenta que las compras mensuales de valores de la zona del euro realizadas en el marco del programa ampliado de compra de activos deberían durar hasta finales de septiembre de 2016 y en todo caso, hasta que el Consejo de Gobierno constate un ajuste sostenible de la tasa de inflación anual que sea coherente con el objetivo de tasas inferiores, aunque próximas al 2%. Además, la aceleración del crecimiento en el panorama de proyección también depende de las hipótesis de mantenimiento de los precios del petróleo en un nivel bajo y un nuevo fortalecimiento del comercio exterior. En este sentido, se ha </w:t>
      </w:r>
      <w:r w:rsidRPr="00CB3495">
        <w:rPr>
          <w:rFonts w:eastAsia="Calibri"/>
          <w:sz w:val="26"/>
          <w:szCs w:val="26"/>
          <w:lang w:eastAsia="en-US"/>
        </w:rPr>
        <w:lastRenderedPageBreak/>
        <w:t>argumentado que los precios del petróleo podrían ser más fuertes de lo que se supone actualmente, si la demanda mundial mejorara considerablemente. Por otra parte, el crecimiento también podría verse limitado por los cuellos de botella estructurales en algunos países.</w:t>
      </w:r>
    </w:p>
    <w:p w14:paraId="10BCAE4F"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los distintos componentes de la demanda se citaron varios factores que podrían indicar que el fortalecimiento del ingreso real disponible inducido por los precios del petróleo tiene un efecto relativamente fuerte en el consumo, tal y como se integra en las proyecciones de los expertos del BCE. Indicadores favorables de consumo a corto plazo, como registros de comercio al por menor y de matrículas de automóviles en algunos países de la zona euro se han citado. Un efecto de consumo relativamente fuerte también podría resultar de las recientes medidas de política monetaria, que podrían haber un aumentado de la propensión a consumir la ganancia del ingresos inducido por los precios del petróleo al reducir la incertidumbre, en particular con respecto a los posibles efectos de secundarios que resultan de la caída de los precios del petróleo. </w:t>
      </w:r>
    </w:p>
    <w:p w14:paraId="3177BCBB"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al perfil de las exportaciones de la zona del euro, se mencionó que no se puede excluir que el impacto de la depreciación del euro en el crecimiento de las exportaciones es ligeramente más fuerte de lo previsto actualmente, especialmente para algunas economías abiertas, donde el tipo de cambio actual permitió una mejora muy significativa en la competitividad de los precios. La inversión empresarial debería contribuir a la recuperación para ganar impulso en el panorama de proyección. Durante el debate, se presentaron varios argumentos para poner en evidencia diversos problemas que comprometen una rápida recuperación de la inversión de las empresas. Se señaló que la trayectoria prevista de ganancias y los márgenes podía considerarse optimista, dada la continua falta del poder del mercado de las empresas. Además, aunque las ganancias fueran evolucionando como se esperaba en las proyecciones, no es seguro que las ganancias no distribuidas sean necesariamente utilizadas para financiar más </w:t>
      </w:r>
      <w:r w:rsidRPr="00CB3495">
        <w:rPr>
          <w:rFonts w:eastAsia="Calibri"/>
          <w:sz w:val="26"/>
          <w:szCs w:val="26"/>
          <w:lang w:eastAsia="en-US"/>
        </w:rPr>
        <w:lastRenderedPageBreak/>
        <w:t xml:space="preserve">inversiones en la zona del euro antes que en el resto del mundo. Por otra, los datos fiables hasta ahora han proporcionado poca evidencia de los elementos que confirman la recuperación prevista de la inversión, que parecía apoyarse sobre el supuesto impacto del bajo nivel de las tasas de interés y sobre una recuperación de las ganancias, también podría ser determinada por las altas valoraciones de las acciones que resultan en un menor costo de reemplazo de capital de acuerdo con el mecanismo de tipo q de </w:t>
      </w:r>
      <w:r w:rsidRPr="00CB3495">
        <w:rPr>
          <w:rFonts w:eastAsia="Calibri"/>
          <w:i/>
          <w:sz w:val="26"/>
          <w:szCs w:val="26"/>
          <w:lang w:eastAsia="en-US"/>
        </w:rPr>
        <w:t>Tobin</w:t>
      </w:r>
      <w:r w:rsidRPr="00CB3495">
        <w:rPr>
          <w:rFonts w:eastAsia="Calibri"/>
          <w:sz w:val="26"/>
          <w:szCs w:val="26"/>
          <w:lang w:eastAsia="en-US"/>
        </w:rPr>
        <w:t>. También se mencionó que algunos factores favorables son menos relevantes para los gastos de inversión para las pequeñas y medianas empresas (PYME) que no tienen acceso a los mercados de capital y podrían también ser más afectados por las restricciones sobre el crédito bancario.</w:t>
      </w:r>
    </w:p>
    <w:p w14:paraId="599015F8"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Los miembros intercambiaron diferentes puntos de vista sobre la interacción entre las reformas estructurales y la brecha de producción. Por un lado, se sugirió que se podría esperar que las reformas estructurales especialmente las relativas al mercado de trabajo acentuaran en un primer momento la brecha de la producción, en la medida en que aumenten la producción potencial sin una recuperación correspondiente en el PIB real. Por otra parte, se señaló que algunas reformas estructurales en los mercados de trabajo y de bienes y servicios tenían la capacidad de generar efectos positivos a corto plazo sobre el crecimiento eficaz sobre todo en el caso de la liberalización de algunos mercados. Del mismo modo, las reformas que hacen más atractiva la inversión inicialmente ejercerían en primer lugar un fuerte efecto de la demanda antes de la formación de capital no terminada conducido a un aumento efectivo de la producción potencial. En consecuencia, se podría considerar que en lugar de reducir las presiones inflacionarias, las reformas estructurales las acentúan a través de su impacto positivo en la brecha de producción a corto plazo. Sin embargo, se reconoció que identificar las medidas susceptibles de ejercer efectivamente este impacto positivo no fue sencillo. En algunos casos, los efectos positivos sobre la producción potencial podrían ser muy lentos en materializarse, como en el caso de las reformas educativas. Esto se argumentaría a favor de una mayor urgencia en su implementación. En cualquier caso, </w:t>
      </w:r>
      <w:r w:rsidRPr="00CB3495">
        <w:rPr>
          <w:rFonts w:eastAsia="Calibri"/>
          <w:sz w:val="26"/>
          <w:szCs w:val="26"/>
          <w:lang w:eastAsia="en-US"/>
        </w:rPr>
        <w:lastRenderedPageBreak/>
        <w:t xml:space="preserve">distinguir la evolución potencial y coyuntural de la producción en tiempo real siempre es complicado. Se hizo referencia a la experiencia en los Estados Unidos de Norteamérica, que había demostrado que eso que había sido tomado por desempleo estructural finalmente se había convertido con el tiempo en cíclico, en el momento en que parecía que la demanda agregada había comenzado a fortalecerse. Un diagnóstico que indica que el desempleo es principalmente de carácter estructural, por tanto, no debe conducir necesariamente a la conclusión de que las políticas centradas sobre la demanda no son necesarias. </w:t>
      </w:r>
    </w:p>
    <w:p w14:paraId="07A7A23D"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Además, teniendo en cuenta la ampliación del panorama de proyección, fijado para 2017, se hizo hincapié en que el grado de incertidumbre que rodea las proyecciones, tiende acrecentarse con el prolongamiento del panorama. La incertidumbre no solamente está vinculada a los supuestos técnicos, tales como aquellos relacionados con los precios del petróleo y el tipo de cambio, así como al crecimiento potencial y a la política monetaria de otras áreas monetarias, sino también a la eficacia de las medidas de política monetaria que se han sido adoptadas. También se indicó que las complejidades técnicas asociadas a la plena integración del programa ampliado de compra de valores en las proyecciones que implicaban es muy probable que la incertidumbre era más fuerte que en anteriores ejercicios de proyección, sobre todo para los últimos años del panorama de proyección.</w:t>
      </w:r>
    </w:p>
    <w:p w14:paraId="4507BB27" w14:textId="78DF1E92"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general, los miembros consideraron que los riesgos entorno a las perspectivas económicas para la zona del euro seguían orientados a la baja, incluso si habían disminuido como resultado de las decisiones de política monetaria adoptadas recientemente y de la caída de los precios del petróleo. Los riesgos a la baja que pesan sobre el crecimiento se consideraron como derivados de los riesgos geopolíticos y políticos, tanto dentro como fuera de la zona del euro. La posibilidad de un crecimiento de inversión inferior a lo esperado también fue considerada como un riesgo a la baja. Además, se señaló que la materialización del escenario de referencia dependía de una </w:t>
      </w:r>
      <w:r w:rsidRPr="00CB3495">
        <w:rPr>
          <w:rFonts w:eastAsia="Calibri"/>
          <w:sz w:val="26"/>
          <w:szCs w:val="26"/>
          <w:lang w:eastAsia="en-US"/>
        </w:rPr>
        <w:lastRenderedPageBreak/>
        <w:t>serie de hipótesis, incluyendo el cierre de la brecha de la producción, una recuperación del crecimiento de la inversión, el fortalecimiento de la capacidad empresas para fijar sus precios y una repercusión significativa de la caída de los precios del petróleo en el consumo, que pueden ser consideradas como asociadas con riesgos a la baja. Se planteó la pregunta de saber si el fuerte repunte de la economía que result</w:t>
      </w:r>
      <w:r w:rsidR="003F3984">
        <w:rPr>
          <w:rFonts w:eastAsia="Calibri"/>
          <w:sz w:val="26"/>
          <w:szCs w:val="26"/>
          <w:lang w:eastAsia="en-US"/>
        </w:rPr>
        <w:t>ó</w:t>
      </w:r>
      <w:r w:rsidRPr="00CB3495">
        <w:rPr>
          <w:rFonts w:eastAsia="Calibri"/>
          <w:sz w:val="26"/>
          <w:szCs w:val="26"/>
          <w:lang w:eastAsia="en-US"/>
        </w:rPr>
        <w:t xml:space="preserve"> también en parte de las medidas de política monetaria, era plenamente compatible con los supuestos subyacentes de los mercados financieros, ya que las expectativas de una fuerte recuperación en el crecimiento no parecen coherentes con el sostenimiento prolongado muy acomodaticio de los tasas de interés y de las condiciones de la política monetaria. Sin embargo, también se podría argumentar que incluso si los supuestos técnicos integraran un nivel estable del tipo de cambio, su continuo debilitamiento podría afectar a otras variables como el crecimiento de las exportaciones y la actividad de inversión.</w:t>
      </w:r>
    </w:p>
    <w:p w14:paraId="54A39B76" w14:textId="41ACCC1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El riesgo de un avance insuficiente en las reformas estructurales también se presenta como un mayor riesgo a la baja. En este contexto, se ha argumentado que la esperada recuperación del crecimiento podría reducir los incentivos de los gobiernos para continuar las reformas estructurales necesarias, lo que afecta negativamente al crecimiento potencial. Se señaló que la recuperación económica que surge de las proyecciones macroeconómicas de marzo de 2015 establecidas por los expertos del BCE no autorizaba ningún exceso de confianza, teniendo en cuenta, el bajo nivel de crecimiento potencial y el alto nivel de desempleo estructural, como lo señaló el </w:t>
      </w:r>
      <w:r w:rsidR="003F3984">
        <w:rPr>
          <w:rFonts w:eastAsia="Calibri"/>
          <w:sz w:val="26"/>
          <w:szCs w:val="26"/>
          <w:lang w:eastAsia="en-US"/>
        </w:rPr>
        <w:t>Señor</w:t>
      </w:r>
      <w:r w:rsidRPr="00CB3495">
        <w:rPr>
          <w:rFonts w:eastAsia="Calibri"/>
          <w:sz w:val="26"/>
          <w:szCs w:val="26"/>
          <w:lang w:eastAsia="en-US"/>
        </w:rPr>
        <w:t xml:space="preserve"> Praet en su introducción. También señaló que la importancia de las reformas estructurales para el crecimiento a corto plazo no debe ser sobreestimada. Se ha argumentado que la fuerte contracción de la producción en el período 2008-2009 se debió principalmente a un choque de demanda negativa de gran amplitud, que se acentuó por la débil demanda debido al desendeudamiento. Sin embargo, las reformas estructurales, aunque políticamente difíciles de implementar, eran absolutamente necesarias en vista de las perspectivas de crecimiento a mediano plazo, especialmente </w:t>
      </w:r>
      <w:r w:rsidRPr="00CB3495">
        <w:rPr>
          <w:rFonts w:eastAsia="Calibri"/>
          <w:sz w:val="26"/>
          <w:szCs w:val="26"/>
          <w:lang w:eastAsia="en-US"/>
        </w:rPr>
        <w:lastRenderedPageBreak/>
        <w:t xml:space="preserve">teniendo en cuenta la evolución demográfica desfavorable, que requería esfuerzos compensatorios con el fin de aumentar la productividad total de los factores. </w:t>
      </w:r>
    </w:p>
    <w:p w14:paraId="238FE4F8"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A la luz de las recientes decisiones de la Comisión Europea en el marco del Pacto de Estabilidad y Crecimiento, se sugirió que la posibilidad de efectos a corto plazo sobre la demanda de una orientación de política fiscal más restrictiva debía ser calificada. En este sentido, también se observó que si la incidencia directa sobre el crecimiento a corto plazo de una interpretación flexible del Pacto de Estabilidad y Crecimiento era probablemente limitada, el efecto negativo a mediano y largo plazo en la credibilidad general del marco institucional de la UEM podía ser importante. Se observó que el debilitamiento de la credibilidad del marco fiscal también implicaba un riesgo de un impacto negativo sobre la eficacia del programa ampliado de compras de activos, ya que el aumento de la incertidumbre ejerce un efecto negativo en las expectativas y las primas de riesgo. Al mismo tiempo, se señaló que desde un punto de vista macroeconómico, era necesario ser prudente en el llamado a una orientación demasiado restrictiva de la política fiscal en la coyuntura actual.</w:t>
      </w:r>
    </w:p>
    <w:p w14:paraId="624FD589"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la evolución de los precios, hubo un amplio consenso sobre la evaluación presentada por el vicepresidente del BCE en su introducción. Se hizo referencia al resultado de la inflación para febrero, que es superior a los niveles proyectados por primera vez después de una larga serie de cifras más bajas de lo esperado, pero también se encontró al mismo tiempo la falta de una verdadera mejora en términos nominales. Sobre la base de la información disponible y de los precios registrados en los contratos de futuros sobre el petróleo, el aumento anual de la inflación medida por el IAPC debería mantenerse en niveles muy bajos o negativos en los próximos meses. Más tarde, en 2015, las tasas de inflación deberían comenzar a aumentar de nuevo, sostenidas principalmente por el impacto favorable de las medidas recientes de política monetaria sobre la demanda agregada. Este escenario también muestra ampliamente las </w:t>
      </w:r>
      <w:r w:rsidRPr="00CB3495">
        <w:rPr>
          <w:rFonts w:eastAsia="Calibri"/>
          <w:sz w:val="26"/>
          <w:szCs w:val="26"/>
          <w:lang w:eastAsia="en-US"/>
        </w:rPr>
        <w:lastRenderedPageBreak/>
        <w:t>proyecciones de marzo de 2015 establecidas por los expertos del BCE, previamente presentadas por el vicepresidente del BCE durante la reunión.</w:t>
      </w:r>
    </w:p>
    <w:p w14:paraId="2BBFC1A3"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Durante el debate sobre las perspectivas de inflación, los miembros presentaron una serie de reflexiones y problemas. En cuanto a la recuperación relativamente pronunciada de la tasa de inflación en el panorama de proyección, se observó que este desarrollo reflejaba en gran medida los efectos de base relacionados con la última fuerte caída de los precios del petróleo que se suponía  no iba a continuar. El papel crucial que desempeñan los factores externos, en particular los precios del petróleo y los del tipo de cambio, en la evolución de la inflación en el panorama de la proyección fue acentuada y su efecto debería ser temporal. La contribución que se espera de los efectos aplazados del tipo de cambio llevados a las tasas de inflación en niveles cercanos al 2% en 2017 fue particularmente enfatizado. Cierta prudencia se expresó en cuanto al grado en que se espera que la tasa de recuperación de la inflación debería mantenerse en 2017 y más allá del panorama de la proyección.</w:t>
      </w:r>
    </w:p>
    <w:p w14:paraId="76744E06"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Se observó que los acuerdos salariales recientes concluidos en grandes países de la zona del euro confirmaban que los efectos secundarios derivados de la pasada caída de los precios del petróleo serian probablemente limitados en dicho Estado miembro y que el posible impacto general en los precio sería limitado. Por lo tanto, la última fuerte caída de los precios del petróleo no ha tenido hasta ahora ningún impacto perceptible en las negociaciones salariales en un país donde la rigidez nominal no limitaba el alcance de la revisión a la baja de los acuerdos salariales. En muchos otros países, estos ajustes a la baja podrían estar limitados por la rigidez nominal, lo que implica que la evolución de los salarios no reflejaría plenamente el pasado descenso de los precios del petróleo. También se hicieron algunas observaciones sobre el papel fundamental desempeñado en las proyecciones de marzo de 2015 por la evolución de los márgenes empresariales para reducir la inflación en línea con el objetivo del Consejo de Gobierno de mantener la tasa de inflación en niveles inferiores, pero cerca del 2%. Los miembros del Consejo </w:t>
      </w:r>
      <w:r w:rsidRPr="00CB3495">
        <w:rPr>
          <w:rFonts w:eastAsia="Calibri"/>
          <w:sz w:val="26"/>
          <w:szCs w:val="26"/>
          <w:lang w:eastAsia="en-US"/>
        </w:rPr>
        <w:lastRenderedPageBreak/>
        <w:t>realizaron intercambios sobre los riesgos de las proyecciones de la inflación. Se observó que la inversión proyectada en la tendencia de la inflación podría ser el escenario más probable, pero una serie de factores requieren un seguimiento cuidadoso. Estos incluyen principalmente la tendencia de la inflación mundial y la posibilidad de que la pasada caída de los precios del petróleo sea más durable que la actualmente considerada. En cualquier caso, el Consejo de Gobierno seguirá vigilando de cerca todos los factores pertinentes, incluida la transmisión de sus medidas de política monetaria, la evolución geopolítica, las variaciones de los tipos de cambio y precios de la energía.</w:t>
      </w:r>
    </w:p>
    <w:p w14:paraId="66E224C7"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general, los miembros convinieron abstenerse de todo exceso de confianza, incluso si las proyecciones macroeconómicas de marzo de 2015 establecidas por los expertos del BCE indicaban que la tasa de inflación debería estar más cerca del 2% en el panorama de proyección. Se señaló que para que el escenario de referencia se concretice, el programa ampliado de compras de activos debía haberse completado y apoyado por una comunicación adecuada. Además, era esencial que las reformas estructurales se implementaran de forma ambiciosa, con el fin de apoyar las decisiones del sector privado favorables a la innovación.</w:t>
      </w:r>
    </w:p>
    <w:p w14:paraId="0CA9D604"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al análisis monetario, los miembros del Consejo estuvieron de acuerdo en la evaluación realizada por el vicepresidente del BCE en su introducción, la cual, datos recientes confirmaban el aumento gradual del crecimiento subyacente de dinero en sentido amplio y la recuperación gradual de los préstamos otorgados a las sociedades no financieras. A pesar de una mejora gradual, la dinámica de los préstamos a las sociedades no financieras se mantuvo moderada. El crecimiento anual de los préstamos a hogares se incrementó hasta el 0.9% en enero de 2015. Las recientes medidas de política monetaria deberían favorecer un aumento más rápido de los flujos de crédito.</w:t>
      </w:r>
    </w:p>
    <w:p w14:paraId="6A840442"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Se argumentó que la evolución de los datos monetarios había proporcionado regularmente información moderadamente positiva durante varios meses. Esto indica </w:t>
      </w:r>
      <w:r w:rsidRPr="00CB3495">
        <w:rPr>
          <w:rFonts w:eastAsia="Calibri"/>
          <w:sz w:val="26"/>
          <w:szCs w:val="26"/>
          <w:lang w:eastAsia="en-US"/>
        </w:rPr>
        <w:lastRenderedPageBreak/>
        <w:t>que el impacto de estas medidas de flexibilidad de crédito adoptadas en 2014 comenzaba a sentirse y que se podría estar seguro de su eficacia, también se planteó la cuestión de saber si la nueva expansión de los activos del balance de las IFM sin crecimiento simultáneo de la actividad de los préstamos bancarios, asociada principalmente a un aumento de la posición externa neta de las IMF, podría interpretarse como un síntoma de posiciones de especulación en el sistema bancario, lo que constituye quizá en parte un efecto secundario de los programas en curso de política monetaria. Sin embargo, se observó que una explicación más positiva de estos cambios se podría ofrecer, ya que, el aumento de los activos externos netos de las IMF refleja entradas de capital y de demanda exterior de bienes de la zona del euro.</w:t>
      </w:r>
    </w:p>
    <w:p w14:paraId="65A449A4" w14:textId="32D7F49B"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La correspondencia entre los resultados del análisis económico con los datos procedentes del análisis monetario confirm</w:t>
      </w:r>
      <w:r w:rsidR="003F3984">
        <w:rPr>
          <w:rFonts w:eastAsia="Calibri"/>
          <w:sz w:val="26"/>
          <w:szCs w:val="26"/>
          <w:lang w:eastAsia="en-US"/>
        </w:rPr>
        <w:t>ó</w:t>
      </w:r>
      <w:r w:rsidRPr="00CB3495">
        <w:rPr>
          <w:rFonts w:eastAsia="Calibri"/>
          <w:sz w:val="26"/>
          <w:szCs w:val="26"/>
          <w:lang w:eastAsia="en-US"/>
        </w:rPr>
        <w:t xml:space="preserve"> ampliamente la conveniencia de la acentuación de la orientación acomodaticia de la política monetaria aportada por las decisiones adoptadas el 22 de enero de 2015. Todas las medidas de la política monetaria adoptada deberían contribuir a una nueva mejora del flujo de crédito, apoyar la recuperación de la zona del euro y reducir las tasas de inflación a niveles inferiores, pero cercanos al 2% después de algún tiempo.</w:t>
      </w:r>
    </w:p>
    <w:p w14:paraId="6AAA0778"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t>Orientación y decisiones de política monetaria</w:t>
      </w:r>
    </w:p>
    <w:p w14:paraId="17ED8035" w14:textId="21CF9D66"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cuanto a la orientación de la política monetaria, en general los miembros comparten la evaluación, según, la cual, presentaron importantes efectos positivos las decisiones de política monetaria adoptada, el 22 de enero 2015, en combinación con el paquete de medidas aprobadas entre junio y septiembre 2014, eran ya evidentes, incluyendo una flexibilización de las condiciones en los mercados financieros y una disminución del costo del financiamiento externo para el sector privado. Por otra parte, datos recientes sobre la actividad económica fueron ligeramente positivos y los signos de inversión de la dinámica de la inflación se pudieron observar, en particular una estabilización en las </w:t>
      </w:r>
      <w:r w:rsidRPr="00CB3495">
        <w:rPr>
          <w:rFonts w:eastAsia="Calibri"/>
          <w:sz w:val="26"/>
          <w:szCs w:val="26"/>
          <w:lang w:eastAsia="en-US"/>
        </w:rPr>
        <w:lastRenderedPageBreak/>
        <w:t xml:space="preserve">medidas de las expectativas de inflación derivadas de los mercados. Estos elementos justifican un “optimismo prudente” respecto al escenario de una recuperación gradual y un retorno de las tasas de inflación a niveles más cercanos al 2%. Se recordó que las proyecciones macroeconómicas de marzo de 2015, establecidas </w:t>
      </w:r>
      <w:r w:rsidR="003F3984">
        <w:rPr>
          <w:rFonts w:eastAsia="Calibri"/>
          <w:sz w:val="26"/>
          <w:szCs w:val="26"/>
          <w:lang w:eastAsia="en-US"/>
        </w:rPr>
        <w:t xml:space="preserve">por </w:t>
      </w:r>
      <w:r w:rsidRPr="00CB3495">
        <w:rPr>
          <w:rFonts w:eastAsia="Calibri"/>
          <w:sz w:val="26"/>
          <w:szCs w:val="26"/>
          <w:lang w:eastAsia="en-US"/>
        </w:rPr>
        <w:t>los expertos del BCE se basaban en la aplicación de todas las medidas de política monetaria adoptadas por el Consejo de Gobierno, incluido el programa ampliado de compra de activos que comprende compras mensuales de más de 60 mil millones de euros hasta finales de septiembre de 2016 y en todo caso hasta que el Consejo de Gobierno constate un ajuste sostenido de la inflación en consonancia a su objetivo de tasas inferiores, pero cercanas al 2%. Las proyecciones de marzo de 2015 no deben por tanto interpretarse como si sugirieran que las últimas medidas de política monetaria son menos indispensables. Por el contrario, la aplicación total de estas últimas medidas es esencial para el cumplimiento de la misión del Consejo de Gobierno. Al mismo tiempo, el Consejo de Gobierno evaluará constantemente la eficacia de las medidas y revisara regularmente el progreso hacia el logro de la realización de los objetivos, a medida que los signos concretos se acumulen con el tiempo.</w:t>
      </w:r>
    </w:p>
    <w:p w14:paraId="0D5C1D2A"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El impacto favorable de las últimas medidas en los mercados financieros volvió a destacarse, sobre todo desde el punto de vista de la curva de rendimientos y en menor medida, hasta el momento de las expectativas de inflación. Esto confirma que las medidas se aplican como uno esperaría, en previsión de las compras que serán efectuadas en el marco del programa ampliado de compras de activos, sentando las bases de un escenario favorable. Esto subraya la necesidad de aplicar totalmente las medidas, porque de lo contrario, el riesgo sería que el impacto positivo en los mercados pueda revertirse. Por lo tanto, es esencial que el Consejo de Gobierno se mantenga firme y cumpla con las medidas adoptadas para que se alcancen los objetivos de acuerdo con su compromiso de mantener esta política durante el tiempo que sea necesario.</w:t>
      </w:r>
    </w:p>
    <w:p w14:paraId="21D798AB"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Al mismo tiempo, hay varias razones para ser prudentes con respecto a la materialización de la proyección de referencia establecida por los expertos del BCE en marzo y el calendario previsto para las medidas no convencionales, particularmente hacia el final del panorama. El alto grado de incertidumbre en torno a la transmisión de las medidas no convencionales y la falta de precedentes históricos fueron señalados, también el carácter limitado y contrastado de datos actualizados sobre el impacto de las anteriores medidas no convencionales. Además, otras áreas de la política económica deben apoyar a la contribución de una recuperación sostenida. Existe un consenso sobre el hecho de que, a partir de la base de la información disponible, el paquete de medidas de política monetaria adoptadas desde junio de 2014, incluido el programa de compra de activos ampliado estaba justificado y era totalmente apropiado para lograr gradualmente los objetivos deseados. Por ello, no es necesario tener en cuenta las nuevas iniciativas en esta etapa o reconsiderar los parámetros del programa de compras de valores del sector público (PSPP) decidido el 22 de enero de 2015. El objetivo debería ser la aplicación decidida de todas las medidas de política monetaria adoptadas en los últimos meses.</w:t>
      </w:r>
    </w:p>
    <w:p w14:paraId="6708ABBD"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Se expresaron varias ideas sobre el alcance y la eficacia de los programas de adquisición como base para el seguimiento de su aplicación en el futuro.</w:t>
      </w:r>
    </w:p>
    <w:p w14:paraId="52B166C6"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Se advirtió ser prudente acerca de ciertas percepciones de los mercados según la tasa aplicada a la facilidad de depósito podría caer por debajo de -20 puntos base. Lo que afirma que en este nivel debía ser considerada por el Consejo de Gobierno como bono cupón cero.</w:t>
      </w:r>
    </w:p>
    <w:p w14:paraId="7AC09018"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Con respecto a los parámetros de PSPP, se recordó que sería posible para una ocasión futura, ajustar el límite de emisión fijado inicialmente en un 25%, teniendo en cuenta las eventuales posibilidades de diferenciación de acuerdo con la ley en vigor de diferentes jurisdicciones para la minoría en las cláusulas de acción colectiva. </w:t>
      </w:r>
    </w:p>
    <w:p w14:paraId="4864E493"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lastRenderedPageBreak/>
        <w:t xml:space="preserve">En cuanto al perfil de vencimiento previsto para las compras se subrayó que para preservar la neutralidad del mercado era necesario realizar compras en las mismas proporciones en toda la curva de rendimientos. Sin embargo, el comportamiento de los beneficiarios de bonos en los diferentes segmentos de la curva de rendimiento puede variar significativamente, esto se debe tener en cuenta. Un constante seguimiento del impacto de las compras en las tasas de interés, así como los “hábitats”, donde se colocan los distintos inversionistas a lo largo de la curva de rendimiento es necesario. </w:t>
      </w:r>
    </w:p>
    <w:p w14:paraId="61A1BEFB"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 las compras efectuadas por los beneficiarios no residentes, se señaló que en este caso, el canal de transmisión que aporta de liquidez adicional no funcionaría de la misma manera como se supone por lo general por los sectores de cartera nacionales, pero dependería de la utilización que se haga de la liquidez adicional inyectada. En todo caso, se puede esperar un estímulo ya sea a través de un reequilibrio de las carteras en beneficio a otros activos de la zona del euro o por medio de un canal de tipo de cambio. De manera más general, la atención se centró en la necesidad de vigilar de cerca los cambios en el funcionamiento de los mercados financieros en los próximos años en un contexto de evolución de las estructuras financieras influenciadas por las políticas no convencionales de los rendimientos inusuales y los cambios en el apetito de riesgo junto con las reformas regulatorias. Es importante comprender estos cambios desde la perspectiva de la estabilidad financiera, pero también se considera como esencial para evaluar los mecanismos de transmisión de una política monetaria centrada en la estabilidad de precios.</w:t>
      </w:r>
    </w:p>
    <w:p w14:paraId="15288C63"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 xml:space="preserve">En general, fue ampliamente aceptado que las decisiones de política monetaria adoptadas por Consejo de Gobierno en enero de 2015 habían proporcionado un importante estímulo adicional y se habían desplegado prácticamente toda la gama de instrumentos a disposición de la política monetaria para apoyar la recuperación económica y el cumplimiento de su mandato de mantener la estabilidad de precios. Para complementar las medidas adoptadas por el BCE, se necesitan acciones determinadas </w:t>
      </w:r>
      <w:r w:rsidRPr="00CB3495">
        <w:rPr>
          <w:rFonts w:eastAsia="Calibri"/>
          <w:sz w:val="26"/>
          <w:szCs w:val="26"/>
          <w:lang w:eastAsia="en-US"/>
        </w:rPr>
        <w:lastRenderedPageBreak/>
        <w:t>en otras áreas de la política económica. En este sentido se justifica enviar un fuerte mensaje a los gobiernos para que aprovechen la oportunidad de establecer un nuevo impulso de reformas estructurales para estimular el crecimiento potencial. En este aspecto, también se consideró necesario un mayor esfuerzo a nivel europeo para explicar claramente que las medidas estructurales que apuntan a la tenían por objetivo incrementar la productividad, la competitividad y el empleo y por tanto el bienestar a largo plazo, aunque no se puede descartar cualquier impacto negativo a corto plazo sobre la demanda.</w:t>
      </w:r>
    </w:p>
    <w:p w14:paraId="4F9E6657"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 las políticas fiscales, los miembros subrayaron que la aplicación plena y coherente del Pacto de Estabilidad y Crecimiento fue esencial para la confianza en el marco fiscal de Europa. Aunque se señaló que el Consejo de Gobierno no debería interferir con la aplicación de las normas fiscales caso por caso, cuya supervisión es una prerrogativa de la Comisión Europea se expresaron temores acerca de la tendencia en las últimas decisiones de permitir una mayor discreción en la aplicación de las disposiciones legales y ha ser más flexible. Las dudas sobre la aplicación del Pacto de Estabilidad y Crecimiento se consideraron un factor de acentuación de la incertidumbre y un riesgo que debilita la credibilidad del marco fiscal a través del tiempo. Se consideró que la sensación impuesta por los daños duraderos para la confianza de un debilitamiento del enfoque basado en reglas eran significativamente mayores que las ganancias a corto plazo más limitadas que podrían surgir posiblemente mediante el apoyo de la orientación fiscal general, en contraposición a una aplicación total y coherente de las normas en la actualidad y en el futuro. Sin embargo, también se opinó que las recientes decisiones de la Comisión Europea podían justificarse desde un punto de vista macroeconómico y que estaban en línea con la política fiscal neutra contenida en las proyecciones. En general, se acepta ampliamente que el Consejo de Gobierno debería enviar un mensaje firme sobre la necesidad de la aplicación total y coherente de las normas fiscales.</w:t>
      </w:r>
    </w:p>
    <w:p w14:paraId="0AC8F02D" w14:textId="77777777" w:rsidR="00CB3495" w:rsidRPr="00CB3495" w:rsidRDefault="00CB3495" w:rsidP="00CB3495">
      <w:pPr>
        <w:spacing w:after="360" w:line="360" w:lineRule="auto"/>
        <w:ind w:right="-159"/>
        <w:jc w:val="both"/>
        <w:rPr>
          <w:rFonts w:eastAsia="Calibri"/>
          <w:b/>
          <w:sz w:val="26"/>
          <w:szCs w:val="26"/>
          <w:lang w:eastAsia="en-US"/>
        </w:rPr>
      </w:pPr>
      <w:r w:rsidRPr="00CB3495">
        <w:rPr>
          <w:rFonts w:eastAsia="Calibri"/>
          <w:b/>
          <w:sz w:val="26"/>
          <w:szCs w:val="26"/>
          <w:lang w:eastAsia="en-US"/>
        </w:rPr>
        <w:lastRenderedPageBreak/>
        <w:t>Decisiones y comunicación de política monetaria</w:t>
      </w:r>
    </w:p>
    <w:p w14:paraId="59B29648"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Teniendo en cuenta lo anterior, la propuesta del Presidente del Consejo de Gobierno del BCE decidió que la tasa de interés de las operaciones principales de refinanciamiento así como aquellas de la facilidad marginal de crédito y la facilidad de depósito se mantendrían sin cambios en 0.05, 0.30 y –0.20%, respectivamente.</w:t>
      </w:r>
    </w:p>
    <w:p w14:paraId="333C413E"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lo que concierne a la PSPP, el Consejo de Gobierno adoptó la decisión BCE sobre un programa de compras de activos del sector público en los mercados secundarios, estableciendo el PSPP y los criterios de elegibilidad (BCE/2015/10).</w:t>
      </w:r>
    </w:p>
    <w:p w14:paraId="299FAF62"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En cuanto a las cuestiones de aplicación relacionadas con la PSPP, el Consejo de Gobierno también aprobó la lista inicial de las agencias registradas en la zona del euro, que se aplicará a partir del 5 de marzo de 2015. Esta lista inicial de las entidades podrá ser modificada tras la reunión del Consejo de Gobierno el 15 de abril 2015, en función de las consideraciones de política monetaria y tomando debidamente en cuenta la gestión de riesgos. El Consejo de Gobierno por otra parte, hizo una lista de las organizaciones internacionales y bancos multilaterales de desarrollo elegibles establecidos en la zona del euro. Ambas listas se incluirán en el comunicado de prensa en relación con las “modalidades de la aplicación del programa de compras de valores del sector público”, publicado por el BCE en su sitio de internet.</w:t>
      </w:r>
    </w:p>
    <w:p w14:paraId="6E17FD7E" w14:textId="77777777" w:rsidR="00CB3495" w:rsidRPr="00CB3495" w:rsidRDefault="00CB3495" w:rsidP="00CB3495">
      <w:pPr>
        <w:spacing w:after="360" w:line="360" w:lineRule="auto"/>
        <w:ind w:right="-159"/>
        <w:jc w:val="both"/>
        <w:rPr>
          <w:rFonts w:eastAsia="Calibri"/>
          <w:sz w:val="26"/>
          <w:szCs w:val="26"/>
          <w:lang w:eastAsia="en-US"/>
        </w:rPr>
      </w:pPr>
      <w:r w:rsidRPr="00CB3495">
        <w:rPr>
          <w:rFonts w:eastAsia="Calibri"/>
          <w:sz w:val="26"/>
          <w:szCs w:val="26"/>
          <w:lang w:eastAsia="en-US"/>
        </w:rPr>
        <w:t>Posteriormente, los miembros del Consejo de Gobierno, finalizaron la declaración introductoria, que el Presidente y el Vicepresidente dirían, como de costumbre, en la conferencia de prensa al término de la reunión del Consejo de Gobierno.</w:t>
      </w:r>
    </w:p>
    <w:p w14:paraId="2964C223" w14:textId="77777777" w:rsidR="00CB3495" w:rsidRPr="00CB3495" w:rsidRDefault="00CB3495" w:rsidP="00CB3495">
      <w:pPr>
        <w:jc w:val="both"/>
        <w:rPr>
          <w:rFonts w:eastAsia="Calibri"/>
          <w:b/>
          <w:sz w:val="20"/>
          <w:szCs w:val="20"/>
          <w:lang w:eastAsia="en-US"/>
        </w:rPr>
      </w:pPr>
      <w:r w:rsidRPr="00CB3495">
        <w:rPr>
          <w:rFonts w:eastAsia="Calibri"/>
          <w:b/>
          <w:sz w:val="20"/>
          <w:szCs w:val="20"/>
          <w:lang w:eastAsia="en-US"/>
        </w:rPr>
        <w:t>Fuente de información:</w:t>
      </w:r>
    </w:p>
    <w:p w14:paraId="197879D5" w14:textId="77777777" w:rsidR="00CB3495" w:rsidRPr="00240D0E" w:rsidRDefault="0045651A" w:rsidP="00CB3495">
      <w:pPr>
        <w:jc w:val="both"/>
        <w:rPr>
          <w:rFonts w:eastAsia="Calibri"/>
          <w:color w:val="0000FF"/>
          <w:sz w:val="20"/>
          <w:szCs w:val="20"/>
          <w:lang w:eastAsia="en-US"/>
        </w:rPr>
      </w:pPr>
      <w:hyperlink r:id="rId413" w:history="1">
        <w:r w:rsidR="00CB3495" w:rsidRPr="00240D0E">
          <w:rPr>
            <w:rFonts w:eastAsia="Calibri"/>
            <w:color w:val="0000FF"/>
            <w:sz w:val="20"/>
            <w:szCs w:val="20"/>
            <w:u w:val="single"/>
            <w:lang w:eastAsia="en-US"/>
          </w:rPr>
          <w:t>https://www.banque-france.fr/fileadmin/user_upload/banque_de_france/Eurosysteme_et_international/CR-conseil-gouverneurs-reunion-politique-monetaire-02-04-2015.pdf</w:t>
        </w:r>
      </w:hyperlink>
    </w:p>
    <w:p w14:paraId="3DE68DF0" w14:textId="77777777" w:rsidR="00CB3495" w:rsidRPr="00DE4CC5" w:rsidRDefault="00CB3495" w:rsidP="00CB3495">
      <w:pPr>
        <w:spacing w:after="360" w:line="360" w:lineRule="auto"/>
        <w:ind w:right="-159"/>
        <w:jc w:val="both"/>
        <w:rPr>
          <w:rFonts w:eastAsia="Calibri"/>
          <w:sz w:val="26"/>
          <w:szCs w:val="26"/>
          <w:lang w:eastAsia="en-US"/>
        </w:rPr>
      </w:pPr>
    </w:p>
    <w:p w14:paraId="35606D1E" w14:textId="77777777" w:rsidR="00DE4CC5" w:rsidRPr="00DE4CC5" w:rsidRDefault="00DE4CC5" w:rsidP="00DE4CC5">
      <w:pPr>
        <w:ind w:right="-159"/>
        <w:jc w:val="both"/>
        <w:rPr>
          <w:rFonts w:eastAsia="Calibri"/>
          <w:b/>
          <w:bCs/>
          <w:sz w:val="26"/>
          <w:szCs w:val="26"/>
          <w:lang w:eastAsia="en-US"/>
        </w:rPr>
      </w:pPr>
      <w:r w:rsidRPr="00DE4CC5">
        <w:rPr>
          <w:rFonts w:eastAsia="Calibri"/>
          <w:b/>
          <w:bCs/>
          <w:sz w:val="26"/>
          <w:szCs w:val="26"/>
          <w:lang w:eastAsia="en-US"/>
        </w:rPr>
        <w:lastRenderedPageBreak/>
        <w:t>Comunicado del Comité Monetario y</w:t>
      </w:r>
    </w:p>
    <w:p w14:paraId="4F46E440" w14:textId="77777777" w:rsidR="00DE4CC5" w:rsidRPr="00DE4CC5" w:rsidRDefault="00DE4CC5" w:rsidP="00DE4CC5">
      <w:pPr>
        <w:spacing w:after="360" w:line="360" w:lineRule="auto"/>
        <w:ind w:right="-159"/>
        <w:jc w:val="both"/>
        <w:rPr>
          <w:rFonts w:eastAsia="Calibri"/>
          <w:b/>
          <w:sz w:val="26"/>
          <w:szCs w:val="26"/>
          <w:lang w:eastAsia="en-US"/>
        </w:rPr>
      </w:pPr>
      <w:r w:rsidRPr="00DE4CC5">
        <w:rPr>
          <w:rFonts w:eastAsia="Calibri"/>
          <w:b/>
          <w:bCs/>
          <w:sz w:val="26"/>
          <w:szCs w:val="26"/>
          <w:lang w:eastAsia="en-US"/>
        </w:rPr>
        <w:t xml:space="preserve">Financiero Internacional </w:t>
      </w:r>
      <w:r w:rsidRPr="00DE4CC5">
        <w:rPr>
          <w:rFonts w:eastAsia="Calibri"/>
          <w:b/>
          <w:sz w:val="26"/>
          <w:szCs w:val="26"/>
          <w:lang w:eastAsia="en-US"/>
        </w:rPr>
        <w:t>(FMI)</w:t>
      </w:r>
    </w:p>
    <w:p w14:paraId="6DAF489C" w14:textId="77777777" w:rsidR="00DE4CC5" w:rsidRPr="00DE4CC5" w:rsidRDefault="00DE4CC5" w:rsidP="00DE4CC5">
      <w:pPr>
        <w:spacing w:after="360" w:line="360" w:lineRule="auto"/>
        <w:ind w:right="-159"/>
        <w:jc w:val="both"/>
        <w:rPr>
          <w:rFonts w:eastAsia="Calibri"/>
          <w:bCs/>
          <w:sz w:val="26"/>
          <w:szCs w:val="26"/>
          <w:lang w:eastAsia="en-US"/>
        </w:rPr>
      </w:pPr>
      <w:r w:rsidRPr="00DE4CC5">
        <w:rPr>
          <w:rFonts w:eastAsia="Calibri"/>
          <w:sz w:val="26"/>
          <w:szCs w:val="26"/>
          <w:lang w:eastAsia="en-US"/>
        </w:rPr>
        <w:t xml:space="preserve">El 18 de abril de 2015, el Fondo Monetario Internacional (FMI) publicó el </w:t>
      </w:r>
      <w:r w:rsidRPr="00DE4CC5">
        <w:rPr>
          <w:rFonts w:eastAsia="Calibri"/>
          <w:bCs/>
          <w:sz w:val="26"/>
          <w:szCs w:val="26"/>
          <w:lang w:eastAsia="en-US"/>
        </w:rPr>
        <w:t>comunicado de la Trigésima Primera Reunión del Comité Monetario y Financiero Internacional (</w:t>
      </w:r>
      <w:r w:rsidRPr="00DE4CC5">
        <w:rPr>
          <w:rFonts w:eastAsia="Calibri"/>
          <w:sz w:val="26"/>
          <w:szCs w:val="26"/>
          <w:lang w:eastAsia="en-US"/>
        </w:rPr>
        <w:t xml:space="preserve">CMFI) </w:t>
      </w:r>
      <w:r w:rsidRPr="00DE4CC5">
        <w:rPr>
          <w:rFonts w:eastAsia="Calibri"/>
          <w:bCs/>
          <w:sz w:val="26"/>
          <w:szCs w:val="26"/>
          <w:lang w:eastAsia="en-US"/>
        </w:rPr>
        <w:t>bajo la Presidencia del Gobernador del Banco de México. A continuación se presenta el contenido del comunicado.</w:t>
      </w:r>
    </w:p>
    <w:p w14:paraId="78816EF2"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sz w:val="26"/>
          <w:szCs w:val="26"/>
          <w:lang w:eastAsia="en-US"/>
        </w:rPr>
        <w:t>El Comité expresa su profundo agradecimiento al Viceprimer Ministro Tharman por el servicio y la orientación brindados como presidente del CMFI durante tiempos difíciles. El Comité da la bienvenida al Gobernador Agustín Carstens como nuevo Presidente.</w:t>
      </w:r>
    </w:p>
    <w:p w14:paraId="188A37DF"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t>Economía mundial.</w:t>
      </w:r>
      <w:r w:rsidRPr="00DE4CC5">
        <w:rPr>
          <w:rFonts w:eastAsia="Calibri"/>
          <w:sz w:val="26"/>
          <w:szCs w:val="26"/>
          <w:lang w:eastAsia="en-US"/>
        </w:rPr>
        <w:t xml:space="preserve"> La recuperación mundial continúa, aunque el crecimiento sigue siendo moderado y con perspectivas desiguales. Se proyecta que el crecimiento se afianzará en las economías avanzadas, en algunos casos como consecuencia de una sólida recuperación, y en otros de unas perspectivas más favorables. En los países de mercados emergentes, que continúan aportando la mayor parte del crecimiento mundial, la actividad económica está moderándose en algunos casos, debido al descenso de los precios de las materias primas y las exportaciones, y a factores específicos de cada país. En muchos casos, los procesos de ajuste y consolidación están en marcha. En los países en desarrollo de bajo ingreso se prevé un crecimiento más lento pero aún vigoroso. El descenso de los precios del petróleo está teniendo un impacto neto positivo a nivel mundial, si bien los efectos varían entre los países. Persisten riesgos. Las fuertes fluctuaciones de los tipos de cambio y los precios de los activos, un período prolongado de inflación por debajo de las metas en algunas economías, las inquietudes en torno a la estabilidad financiera, los altos niveles de deuda y las tensiones geopolíticas requieren vigilancia. La posibilidad de que el crecimiento potencial sea menor se está convirtiendo en un desafío más importante a mediano plazo. Los desequilibrios mundiales se han reducido con respecto a años previos pero aún es necesario seguir reequilibrando la demanda.</w:t>
      </w:r>
    </w:p>
    <w:p w14:paraId="098E2687"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lastRenderedPageBreak/>
        <w:t>Políticas para promover un crecimiento sólido, equilibrado y sostenido.</w:t>
      </w:r>
      <w:r w:rsidRPr="00DE4CC5">
        <w:rPr>
          <w:rFonts w:eastAsia="Calibri"/>
          <w:sz w:val="26"/>
          <w:szCs w:val="26"/>
          <w:lang w:eastAsia="en-US"/>
        </w:rPr>
        <w:t xml:space="preserve"> Estamos comprometidos a adoptar nuevas medidas para promover el crecimiento efectivo y el crecimiento potencial, y para respaldar nuestro objetivo de crear una economía más robusta, equilibrada y con abundante empleo. A tales efectos, tenemos que apuntalar la confianza y reforzar la demanda de manera eficaz, adoptando un conjunto de políticas macroeconómicas que atiendan la urgente necesidad de promover el crecimiento, y a la vez preserven la sostenibilidad fiscal y la estabilidad financiera, y aceleren el diseño y la aplicación de reformas estructurales. Para apoyar la recuperación y promover el crecimiento potencial es importante realizar inversiones públicas y privadas, particularmente en infraestructura, que sean productivas y se ejecuten con eficiencia.</w:t>
      </w:r>
    </w:p>
    <w:p w14:paraId="2D68CB95"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i/>
          <w:iCs/>
          <w:sz w:val="26"/>
          <w:szCs w:val="26"/>
          <w:lang w:eastAsia="en-US"/>
        </w:rPr>
        <w:t>Política fiscal.</w:t>
      </w:r>
      <w:r w:rsidRPr="00DE4CC5">
        <w:rPr>
          <w:rFonts w:eastAsia="Calibri"/>
          <w:sz w:val="26"/>
          <w:szCs w:val="26"/>
          <w:lang w:eastAsia="en-US"/>
        </w:rPr>
        <w:t xml:space="preserve"> Continuaremos aplicando nuestras políticas fiscales de manera flexible, según corresponda, para apoyar el crecimiento y la creación de empleo, y encauzando el nivel de la deuda como proporción del PIB hacia una trayectoria sostenible. En muchas economías avanzadas sigue siendo vital formular e implementar planes concretos de consolidación fiscal a mediano plazo. Analizaremos de qué forma mejorar la composición de los gastos e ingresos públicos para potenciar su efecto en el crecimiento y para reforzar los marcos fiscales a fin de reducir los riesgos. La caída de los precios del petróleo brinda una oportunidad para reformar los subsidios energéticos ineficientes y los impuestos a la energía, según sea necesario, reforzando al mismo tiempo las redes de protección social de manera focalizada.</w:t>
      </w:r>
    </w:p>
    <w:p w14:paraId="2856D1FF"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i/>
          <w:iCs/>
          <w:sz w:val="26"/>
          <w:szCs w:val="26"/>
          <w:lang w:eastAsia="en-US"/>
        </w:rPr>
        <w:t>Política monetaria.</w:t>
      </w:r>
      <w:r w:rsidRPr="00DE4CC5">
        <w:rPr>
          <w:rFonts w:eastAsia="Calibri"/>
          <w:sz w:val="26"/>
          <w:szCs w:val="26"/>
          <w:lang w:eastAsia="en-US"/>
        </w:rPr>
        <w:t xml:space="preserve"> Cuando corresponda, debe mantenerse una orientación monetaria acomodaticia, conforme al mandato conferido a los bancos centrales. Somos conscientes de los riesgos para la estabilidad financiera. En muchas economías avanzadas, fortalecer la transmisión de la política monetaria implica seguir abordando los problemas de sobreendeudamiento y deterioro de los balances. La normalización de la política monetaria debe calibrarse con cautela y comunicarse de manera eficaz a fin de atenuar los efectos negativos de contagio y de rebote en un contexto de políticas </w:t>
      </w:r>
      <w:r w:rsidRPr="00DE4CC5">
        <w:rPr>
          <w:rFonts w:eastAsia="Calibri"/>
          <w:sz w:val="26"/>
          <w:szCs w:val="26"/>
          <w:lang w:eastAsia="en-US"/>
        </w:rPr>
        <w:lastRenderedPageBreak/>
        <w:t>monetarias asíncronas en las principales economías avanzadas. En las economías de mercados emergentes, el establecimiento de márgenes de maniobra de política económica adecuados puede ayudar a abordar la volatilidad en los mercados financieros. Las políticas macroeconómicas tienen que ser sólidas, y en este sentido, se debe permitir que los tipos de cambio respondan a la evolución de los fundamentos económicos y faciliten el ajuste externo. En los casos en que se deba hacer frente a riesgos derivados de flujos de capitales cuantiosos y volátiles, el necesario ajuste de política macroeconómica podría respaldarse con medidas macroprudenciales y, si corresponde, con medidas para gestionar los flujos de capitales.</w:t>
      </w:r>
    </w:p>
    <w:p w14:paraId="25C2E653"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i/>
          <w:iCs/>
          <w:sz w:val="26"/>
          <w:szCs w:val="26"/>
          <w:lang w:eastAsia="en-US"/>
        </w:rPr>
        <w:t>Políticas del sector financiero.</w:t>
      </w:r>
      <w:r w:rsidRPr="00DE4CC5">
        <w:rPr>
          <w:rFonts w:eastAsia="Calibri"/>
          <w:sz w:val="26"/>
          <w:szCs w:val="26"/>
          <w:lang w:eastAsia="en-US"/>
        </w:rPr>
        <w:t xml:space="preserve"> Sigue siendo prioridad salvaguardar la estabilidad financiera con medidas de política microprudencial y macroprudencial correctamente concebidas que contengan los excesos y ayuden a prevenir crisis financieras, respaldando así un crecimiento sostenido. Sigue siendo esencial que las instituciones financieras resuelvan los problemas heredados de la crisis financiera mundial y que, junto con los administradores de activos, sean resistentes a los riesgos de liquidez del mercado. Deben completarse las reformas de la regulación financiera mundial y ejecutarse sin demora y de manera coherente, y fortalecerse, según sea necesario. Brindamos nuestro firme respaldo al programa de trabajo del Consejo de Estabilidad Financiera y al papel del FMI.</w:t>
      </w:r>
    </w:p>
    <w:p w14:paraId="410ACAF4"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i/>
          <w:iCs/>
          <w:sz w:val="26"/>
          <w:szCs w:val="26"/>
          <w:lang w:eastAsia="en-US"/>
        </w:rPr>
        <w:t>Reformas estructurales</w:t>
      </w:r>
      <w:r w:rsidRPr="00DE4CC5">
        <w:rPr>
          <w:rFonts w:eastAsia="Calibri"/>
          <w:b/>
          <w:bCs/>
          <w:sz w:val="26"/>
          <w:szCs w:val="26"/>
          <w:lang w:eastAsia="en-US"/>
        </w:rPr>
        <w:t>.</w:t>
      </w:r>
      <w:r w:rsidRPr="00DE4CC5">
        <w:rPr>
          <w:rFonts w:eastAsia="Calibri"/>
          <w:sz w:val="26"/>
          <w:szCs w:val="26"/>
          <w:lang w:eastAsia="en-US"/>
        </w:rPr>
        <w:t xml:space="preserve"> Las reformas estructurales son cruciales para estimular la confianza, la inversión y la creación de empleo, especialmente para los jóvenes, por parte de las empresas, y para lograr un crecimiento sostenible y más inclusivo, sobre todo mediante un aumento de la productividad total de los factores, que fortalezca el papel de la mujer en la economía y mejore la educación y la capacitación. Las prioridades son, entre otras, las reformas de los mercados de productos y de trabajo, la profundización de los mercados financieros, el impulso a la calidad de la oferta de mano de obra y el empleo, la mejora de la gestión de gobierno, y la lucha contra la corrupción </w:t>
      </w:r>
      <w:r w:rsidRPr="00DE4CC5">
        <w:rPr>
          <w:rFonts w:eastAsia="Calibri"/>
          <w:sz w:val="26"/>
          <w:szCs w:val="26"/>
          <w:lang w:eastAsia="en-US"/>
        </w:rPr>
        <w:lastRenderedPageBreak/>
        <w:t>y la desigualdad. Las reformas del comercio exterior también podrían complementar y reforzar otras reformas.</w:t>
      </w:r>
    </w:p>
    <w:p w14:paraId="5618D372" w14:textId="6B9041A3"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t>Un nuevo multilateralismo para un futuro sostenible.</w:t>
      </w:r>
      <w:r w:rsidRPr="00DE4CC5">
        <w:rPr>
          <w:rFonts w:eastAsia="Calibri"/>
          <w:sz w:val="26"/>
          <w:szCs w:val="26"/>
          <w:lang w:eastAsia="en-US"/>
        </w:rPr>
        <w:t xml:space="preserve"> Deben renovarse los esfuerzos mancomunados para afianzar el sistema monetario internacional y facilitar una mayor integración de las economías de mercados emergentes dinámicas. Aguardamos con interés la labor del FMI con respecto a los desafíos a los que se enfrenta el sistema monetario internacional y al próximo examen de la cesta de monedas que integran el </w:t>
      </w:r>
      <w:r w:rsidR="00BD39EC">
        <w:rPr>
          <w:rFonts w:eastAsia="Calibri"/>
          <w:sz w:val="26"/>
          <w:szCs w:val="26"/>
          <w:lang w:eastAsia="en-US"/>
        </w:rPr>
        <w:t>D</w:t>
      </w:r>
      <w:r w:rsidRPr="00DE4CC5">
        <w:rPr>
          <w:rFonts w:eastAsia="Calibri"/>
          <w:sz w:val="26"/>
          <w:szCs w:val="26"/>
          <w:lang w:eastAsia="en-US"/>
        </w:rPr>
        <w:t xml:space="preserve">erecho </w:t>
      </w:r>
      <w:r w:rsidR="00BD39EC">
        <w:rPr>
          <w:rFonts w:eastAsia="Calibri"/>
          <w:sz w:val="26"/>
          <w:szCs w:val="26"/>
          <w:lang w:eastAsia="en-US"/>
        </w:rPr>
        <w:t>E</w:t>
      </w:r>
      <w:r w:rsidRPr="00DE4CC5">
        <w:rPr>
          <w:rFonts w:eastAsia="Calibri"/>
          <w:sz w:val="26"/>
          <w:szCs w:val="26"/>
          <w:lang w:eastAsia="en-US"/>
        </w:rPr>
        <w:t xml:space="preserve">special de </w:t>
      </w:r>
      <w:r w:rsidR="00BD39EC">
        <w:rPr>
          <w:rFonts w:eastAsia="Calibri"/>
          <w:sz w:val="26"/>
          <w:szCs w:val="26"/>
          <w:lang w:eastAsia="en-US"/>
        </w:rPr>
        <w:t>G</w:t>
      </w:r>
      <w:r w:rsidRPr="00DE4CC5">
        <w:rPr>
          <w:rFonts w:eastAsia="Calibri"/>
          <w:sz w:val="26"/>
          <w:szCs w:val="26"/>
          <w:lang w:eastAsia="en-US"/>
        </w:rPr>
        <w:t>iro (DEG). La comunidad internacional está procurando definir un nuevo marco mundial para el desarrollo sostenible que se extienda hasta 2030 y los años posteriores. Confiamos en que el FMI contribuirá activamente a este proceso en los campos correspondientes a su mandato, para lo cual se deben definir medidas para reforzar la capacidad de resistencia macrofinanciera, movilizar mayores recursos, ayudar a subsanar deficiencias de infraestructura, promover el fortalecimiento de las capacidades y fomentar un crecimiento inclusivo. Además, solicitamos al FMI que contribuya a hacer frente a los diversos desafíos a los que se enfrentan los Estados más pobres, frágiles y afectados por conflictos, y esperamos con interés el próximo examen sobre la interacción del FMI con los países miembros frágiles y afectados por conflictos. El FMI debería usar más eficazmente su actual marco de préstamos y considerar modificaciones a sus políticas de crédito, preservando la autosostenibilidad del Fondo Fiduciario para el Crecimiento y la Lucha contra la Pobreza (FFCLP). Pedimos al FMI que, en estrecha cooperación con el Banco Mundial, contribuya activamente a la consecución de resultados positivos en la Tercera Conferencia Internacional sobre la Financiación para el Desarrollo en Addis Abeba, la Cumbre sobre los Objetivos de Desarrollo Sostenible Posteriores a 2015 en Nueva York y la Conferencia de las Partes de la Convención Marco de Naciones Unidas sobre el Cambio Climático (COP 21) en París.</w:t>
      </w:r>
    </w:p>
    <w:p w14:paraId="1174B055"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lastRenderedPageBreak/>
        <w:t>Crédito, supervisión y fortalecimiento de las capacidades del FMI</w:t>
      </w:r>
      <w:r w:rsidRPr="00DE4CC5">
        <w:rPr>
          <w:rFonts w:eastAsia="Calibri"/>
          <w:b/>
          <w:bCs/>
          <w:i/>
          <w:iCs/>
          <w:sz w:val="26"/>
          <w:szCs w:val="26"/>
          <w:lang w:eastAsia="en-US"/>
        </w:rPr>
        <w:t>.</w:t>
      </w:r>
      <w:r w:rsidRPr="00DE4CC5">
        <w:rPr>
          <w:rFonts w:eastAsia="Calibri"/>
          <w:sz w:val="26"/>
          <w:szCs w:val="26"/>
          <w:lang w:eastAsia="en-US"/>
        </w:rPr>
        <w:t xml:space="preserve"> Pedimos al FMI que se mantenga preparado para proporcionar apoyo financiero, inclusive de carácter precautorio, para realizar reformas y ajustes apropiados y ayudar a protegerse contra los riesgos, y que tome los recaudos necesarios para que sus instrumentos de préstamo sean suficientes. Celebramos la labor que el FMI continúa realizando en los ámbitos de su especialización para garantizar la estabilidad financiera y la cooperación monetaria a escala internacional, evaluar los efectos de contagio transfronterizos y el impacto de la asincronía de las políticas monetarias, examinar el vínculo entre la política monetaria y la estabilidad financiera, reforzar los marcos fiscales, profundizar los análisis macrofinancieros y analizar cuestiones relativas a la tributación internacional. Nos complacen los estudios recientes del FMI sobre los problemas macroeconómicos de los Estados pequeños en desarrollo y alentamos a aplicarlos para afianzar la interacción con estos países miembros. Esperamos con interés la implementación de las recomendaciones del Examen Trienal de la Supervisión, la conclusión del examen de seguimiento de los programas para crisis, los estudios sobre reformas estructurales macroeconómicas de importancia crítica, la continuación de los análisis sobre cuestiones relacionadas con la deuda soberana a fin de lograr que los procesos de reestructuración de la deuda sean más ordenados y previsibles, y la aplicación de la nueva política sobre límites de endeudamiento. Reconocemos el valioso papel que desempeña el FMI en el fortalecimiento de las capacidades de sus países miembros.</w:t>
      </w:r>
    </w:p>
    <w:p w14:paraId="449D6048" w14:textId="77777777"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t>Fondo Fiduciario para Alivio y Contención de Catástrofes.</w:t>
      </w:r>
      <w:r w:rsidRPr="00DE4CC5">
        <w:rPr>
          <w:rFonts w:eastAsia="Calibri"/>
          <w:sz w:val="26"/>
          <w:szCs w:val="26"/>
          <w:lang w:eastAsia="en-US"/>
        </w:rPr>
        <w:t xml:space="preserve"> Encomiamos la rápida creación por parte del FMI del Fondo Fiduciario para Alivio y Contención de Catástrofes, la asistencia proporcionada a países afectados por el ébola y los generosos compromisos de varios países con el Fondo Fiduciario, entre otras formas por medio de la transferencia de contribuciones bilaterales en la Cuenta Fiduciaria IADM-II. Confiamos en que se realicen contribuciones adicionales que le permitan al Fondo Fiduciario para Alivio y Contención de Catástrofes brindar apoyo similar en el futuro a nuestros países miembros más pobres y vulnerables.</w:t>
      </w:r>
    </w:p>
    <w:p w14:paraId="648374DC" w14:textId="7B3649CB"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lastRenderedPageBreak/>
        <w:t>Estructura de gobierno.</w:t>
      </w:r>
      <w:r w:rsidRPr="00DE4CC5">
        <w:rPr>
          <w:rFonts w:eastAsia="Calibri"/>
          <w:sz w:val="26"/>
          <w:szCs w:val="26"/>
          <w:lang w:eastAsia="en-US"/>
        </w:rPr>
        <w:t xml:space="preserve"> Nos sigue decepcionando profundamente la persistente demora en la consecución de las reformas de 2010 sobre el régimen de cuotas y la estructura de gobierno del FMI. Reconociendo la importancia que revisten estas reformas para la credibilidad, legitimidad y eficacia del FMI, reafirmamos que implementarlas con la mayor prontitud sigue siendo nuestra máxima prioridad. Instamos una vez más a Estados Unidos </w:t>
      </w:r>
      <w:r w:rsidR="00A65144">
        <w:rPr>
          <w:rFonts w:eastAsia="Calibri"/>
          <w:sz w:val="26"/>
          <w:szCs w:val="26"/>
          <w:lang w:eastAsia="en-US"/>
        </w:rPr>
        <w:t xml:space="preserve">de Norteamérica </w:t>
      </w:r>
      <w:r w:rsidRPr="00DE4CC5">
        <w:rPr>
          <w:rFonts w:eastAsia="Calibri"/>
          <w:sz w:val="26"/>
          <w:szCs w:val="26"/>
          <w:lang w:eastAsia="en-US"/>
        </w:rPr>
        <w:t>a que ratifique las reformas de 2010 tan pronto como sea posible. Teniendo en cuenta los objetivos de las reformas de 2010, pedimos al Directorio Ejecutivo del FMI que adopte una solución provisional para que las cuotas relativas converjan de manera significativa, lo antes posible y en la medida de lo posible, hacia los niveles acordados en el marco de la Decimocuarta Revisión General de Cuotas. Tomaremos la Decimocuarta Revisión General de Cuotas como punto de partida para las labores relacionadas con la Decimoquinta Revisión General de Cuotas, incluida la determinación de una nueva fórmula para el cálculo de las cuotas. Reafirmamos nuestro compromiso de que el FMI siga siendo una institución sólida, con una dotación adecuada de recursos y basada en cuotas.</w:t>
      </w:r>
    </w:p>
    <w:p w14:paraId="2226F96F" w14:textId="6CB9E88E" w:rsidR="00DE4CC5" w:rsidRPr="00DE4CC5" w:rsidRDefault="00DE4CC5" w:rsidP="00DE4CC5">
      <w:pPr>
        <w:spacing w:after="360" w:line="360" w:lineRule="auto"/>
        <w:ind w:right="-159"/>
        <w:jc w:val="both"/>
        <w:rPr>
          <w:rFonts w:eastAsia="Calibri"/>
          <w:sz w:val="26"/>
          <w:szCs w:val="26"/>
          <w:lang w:eastAsia="en-US"/>
        </w:rPr>
      </w:pPr>
      <w:r w:rsidRPr="00DE4CC5">
        <w:rPr>
          <w:rFonts w:eastAsia="Calibri"/>
          <w:b/>
          <w:bCs/>
          <w:sz w:val="26"/>
          <w:szCs w:val="26"/>
          <w:lang w:eastAsia="en-US"/>
        </w:rPr>
        <w:t>Próxima reunión del CMFI.</w:t>
      </w:r>
      <w:r w:rsidRPr="00DE4CC5">
        <w:rPr>
          <w:rFonts w:eastAsia="Calibri"/>
          <w:sz w:val="26"/>
          <w:szCs w:val="26"/>
          <w:lang w:eastAsia="en-US"/>
        </w:rPr>
        <w:t xml:space="preserve"> Nuestra próxima reunión tendrá lugar en la ciudad de Lima, Perú, los días 9–10 de octubre de 2015</w:t>
      </w:r>
      <w:r w:rsidR="00A65144">
        <w:rPr>
          <w:rFonts w:eastAsia="Calibri"/>
          <w:sz w:val="26"/>
          <w:szCs w:val="26"/>
          <w:lang w:eastAsia="en-US"/>
        </w:rPr>
        <w:t>.</w:t>
      </w:r>
    </w:p>
    <w:p w14:paraId="4C3BE52D" w14:textId="77777777" w:rsidR="00DE4CC5" w:rsidRPr="00DE4CC5" w:rsidRDefault="00DE4CC5" w:rsidP="00DE4CC5">
      <w:pPr>
        <w:ind w:right="-159"/>
        <w:jc w:val="both"/>
        <w:rPr>
          <w:rFonts w:eastAsia="Calibri"/>
          <w:b/>
          <w:sz w:val="20"/>
          <w:szCs w:val="20"/>
          <w:lang w:eastAsia="en-US"/>
        </w:rPr>
      </w:pPr>
      <w:r w:rsidRPr="00DE4CC5">
        <w:rPr>
          <w:rFonts w:eastAsia="Calibri"/>
          <w:b/>
          <w:sz w:val="20"/>
          <w:szCs w:val="20"/>
          <w:lang w:eastAsia="en-US"/>
        </w:rPr>
        <w:t>Fuente de información:</w:t>
      </w:r>
    </w:p>
    <w:p w14:paraId="30D3BE9F" w14:textId="77777777" w:rsidR="00DE4CC5" w:rsidRPr="00A65144" w:rsidRDefault="0045651A" w:rsidP="00DE4CC5">
      <w:pPr>
        <w:ind w:right="-159"/>
        <w:jc w:val="both"/>
        <w:rPr>
          <w:rFonts w:eastAsia="Calibri"/>
          <w:color w:val="0000FF"/>
          <w:sz w:val="20"/>
          <w:szCs w:val="20"/>
          <w:lang w:eastAsia="en-US"/>
        </w:rPr>
      </w:pPr>
      <w:hyperlink r:id="rId414" w:history="1">
        <w:r w:rsidR="00DE4CC5" w:rsidRPr="00A65144">
          <w:rPr>
            <w:rFonts w:eastAsia="Calibri"/>
            <w:color w:val="0000FF"/>
            <w:sz w:val="20"/>
            <w:szCs w:val="20"/>
            <w:u w:val="single"/>
            <w:lang w:eastAsia="en-US"/>
          </w:rPr>
          <w:t>http://www.imf.org/external/spanish/np/sec/pr/2015/pr15173s.htm</w:t>
        </w:r>
      </w:hyperlink>
      <w:r w:rsidR="00DE4CC5" w:rsidRPr="00A65144">
        <w:rPr>
          <w:rFonts w:eastAsia="Calibri"/>
          <w:color w:val="0000FF"/>
          <w:sz w:val="20"/>
          <w:szCs w:val="20"/>
          <w:lang w:eastAsia="en-US"/>
        </w:rPr>
        <w:t xml:space="preserve"> </w:t>
      </w:r>
    </w:p>
    <w:p w14:paraId="4644BA58" w14:textId="77777777" w:rsidR="00DE4CC5" w:rsidRDefault="00DE4CC5" w:rsidP="00DE4CC5">
      <w:pPr>
        <w:spacing w:after="360" w:line="360" w:lineRule="auto"/>
        <w:ind w:right="-159"/>
        <w:jc w:val="both"/>
        <w:rPr>
          <w:rFonts w:eastAsia="Calibri"/>
          <w:sz w:val="26"/>
          <w:szCs w:val="26"/>
          <w:lang w:eastAsia="en-US"/>
        </w:rPr>
      </w:pPr>
    </w:p>
    <w:p w14:paraId="3A50CB8A" w14:textId="77777777" w:rsidR="002266DB" w:rsidRDefault="002266DB" w:rsidP="00DE4CC5">
      <w:pPr>
        <w:spacing w:after="360" w:line="360" w:lineRule="auto"/>
        <w:ind w:right="-159"/>
        <w:jc w:val="both"/>
        <w:rPr>
          <w:rFonts w:eastAsia="Calibri"/>
          <w:sz w:val="26"/>
          <w:szCs w:val="26"/>
          <w:lang w:eastAsia="en-US"/>
        </w:rPr>
      </w:pPr>
    </w:p>
    <w:p w14:paraId="489D4E9D" w14:textId="77777777" w:rsidR="002266DB" w:rsidRDefault="002266DB" w:rsidP="00DE4CC5">
      <w:pPr>
        <w:spacing w:after="360" w:line="360" w:lineRule="auto"/>
        <w:ind w:right="-159"/>
        <w:jc w:val="both"/>
        <w:rPr>
          <w:rFonts w:eastAsia="Calibri"/>
          <w:sz w:val="26"/>
          <w:szCs w:val="26"/>
          <w:lang w:eastAsia="en-US"/>
        </w:rPr>
      </w:pPr>
    </w:p>
    <w:p w14:paraId="55DDC2F0" w14:textId="77777777" w:rsidR="002266DB" w:rsidRDefault="002266DB" w:rsidP="00DE4CC5">
      <w:pPr>
        <w:spacing w:after="360" w:line="360" w:lineRule="auto"/>
        <w:ind w:right="-159"/>
        <w:jc w:val="both"/>
        <w:rPr>
          <w:rFonts w:eastAsia="Calibri"/>
          <w:sz w:val="26"/>
          <w:szCs w:val="26"/>
          <w:lang w:eastAsia="en-US"/>
        </w:rPr>
      </w:pPr>
    </w:p>
    <w:p w14:paraId="378C4C3A" w14:textId="77777777" w:rsidR="002266DB" w:rsidRPr="00DE4CC5" w:rsidRDefault="002266DB" w:rsidP="00DE4CC5">
      <w:pPr>
        <w:spacing w:after="360" w:line="360" w:lineRule="auto"/>
        <w:ind w:right="-159"/>
        <w:jc w:val="both"/>
        <w:rPr>
          <w:rFonts w:eastAsia="Calibri"/>
          <w:sz w:val="26"/>
          <w:szCs w:val="26"/>
          <w:lang w:eastAsia="en-US"/>
        </w:rPr>
      </w:pPr>
    </w:p>
    <w:p w14:paraId="3441DE49" w14:textId="77777777" w:rsidR="008726B8" w:rsidRPr="008726B8" w:rsidRDefault="008726B8" w:rsidP="008726B8">
      <w:pPr>
        <w:spacing w:after="360" w:line="360" w:lineRule="auto"/>
        <w:ind w:right="-159"/>
        <w:jc w:val="both"/>
        <w:rPr>
          <w:rFonts w:eastAsia="Calibri"/>
          <w:b/>
          <w:sz w:val="26"/>
          <w:szCs w:val="26"/>
          <w:lang w:eastAsia="en-US"/>
        </w:rPr>
      </w:pPr>
      <w:r w:rsidRPr="008726B8">
        <w:rPr>
          <w:rFonts w:eastAsia="Calibri"/>
          <w:b/>
          <w:sz w:val="26"/>
          <w:szCs w:val="26"/>
          <w:lang w:eastAsia="en-US"/>
        </w:rPr>
        <w:lastRenderedPageBreak/>
        <w:t>El error monetarista</w:t>
      </w:r>
      <w:r w:rsidRPr="008726B8">
        <w:rPr>
          <w:rFonts w:eastAsia="Calibri"/>
          <w:sz w:val="26"/>
          <w:szCs w:val="26"/>
          <w:lang w:eastAsia="en-US"/>
        </w:rPr>
        <w:t xml:space="preserve"> </w:t>
      </w:r>
      <w:r w:rsidRPr="008726B8">
        <w:rPr>
          <w:rFonts w:eastAsia="Calibri"/>
          <w:b/>
          <w:sz w:val="26"/>
          <w:szCs w:val="26"/>
          <w:lang w:eastAsia="en-US"/>
        </w:rPr>
        <w:t>(Project Syndicate)</w:t>
      </w:r>
    </w:p>
    <w:p w14:paraId="5DF95AC7"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El 30 de marzo de 2015, la organización Project Syndicate publicó el artículo “El error monetarista”, elaborado por J. Bradford DeLong</w:t>
      </w:r>
      <w:r w:rsidRPr="008726B8">
        <w:rPr>
          <w:rFonts w:eastAsia="Calibri"/>
          <w:sz w:val="26"/>
          <w:szCs w:val="26"/>
          <w:vertAlign w:val="superscript"/>
          <w:lang w:eastAsia="en-US"/>
        </w:rPr>
        <w:footnoteReference w:id="76"/>
      </w:r>
      <w:r w:rsidRPr="008726B8">
        <w:rPr>
          <w:rFonts w:eastAsia="Calibri"/>
          <w:sz w:val="26"/>
          <w:szCs w:val="26"/>
          <w:lang w:eastAsia="en-US"/>
        </w:rPr>
        <w:t>. A continuación se presenta el contenido.</w:t>
      </w:r>
    </w:p>
    <w:p w14:paraId="421C7057"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 xml:space="preserve">Las ideas importan. Esa es la lección de </w:t>
      </w:r>
      <w:r w:rsidRPr="008726B8">
        <w:rPr>
          <w:rFonts w:eastAsia="Calibri"/>
          <w:i/>
          <w:sz w:val="26"/>
          <w:szCs w:val="26"/>
          <w:lang w:eastAsia="en-US"/>
        </w:rPr>
        <w:t>Hall of Mirrors</w:t>
      </w:r>
      <w:r w:rsidRPr="008726B8">
        <w:rPr>
          <w:rFonts w:eastAsia="Calibri"/>
          <w:sz w:val="26"/>
          <w:szCs w:val="26"/>
          <w:lang w:eastAsia="en-US"/>
        </w:rPr>
        <w:t>, la crónica del economista norteamericano Barry Eichengreen de las dos mayores crisis económicas de los últimos 100 años: la Gran Depresión del siglo XX y la Gran Recesión en curso, de la cual todavía luchamos ineficazmente por recuperarnos.</w:t>
      </w:r>
    </w:p>
    <w:p w14:paraId="580E9099"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El autor es mi amigo, profesor y patrocinador, y su libro es, en mi opinión, la mejor explicación hasta la fecha de por qué los responsables de las políticas económicas en Europa y Estados Unidos de Norteamérica han reaccionado al colapso económico más dramático en casi cuatro generaciones con medidas tibias e intervenciones a medio terminar.</w:t>
      </w:r>
    </w:p>
    <w:p w14:paraId="41CE1300"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Según el autor, la Gran Depresión y la Gran Recesión están relacionadas. La respuesta inadecuada a nuestros problemas actuales se puede rastrear en el triunfo de los discípulos monetaristas de Milton Friedman sobre sus pares keynesianos y los seguidores de Minsky al describir la historia de la Gran Depresión.</w:t>
      </w:r>
    </w:p>
    <w:p w14:paraId="19BBC38A" w14:textId="7464192C"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 xml:space="preserve">En </w:t>
      </w:r>
      <w:r>
        <w:rPr>
          <w:rFonts w:eastAsia="Calibri"/>
          <w:sz w:val="26"/>
          <w:szCs w:val="26"/>
          <w:lang w:eastAsia="en-US"/>
        </w:rPr>
        <w:t>“</w:t>
      </w:r>
      <w:r w:rsidRPr="008726B8">
        <w:rPr>
          <w:rFonts w:eastAsia="Calibri"/>
          <w:sz w:val="26"/>
          <w:szCs w:val="26"/>
          <w:lang w:eastAsia="en-US"/>
        </w:rPr>
        <w:t>Una historia monetaria de los Estados Unidos de Norteamérica</w:t>
      </w:r>
      <w:r>
        <w:rPr>
          <w:rFonts w:eastAsia="Calibri"/>
          <w:sz w:val="26"/>
          <w:szCs w:val="26"/>
          <w:lang w:eastAsia="en-US"/>
        </w:rPr>
        <w:t>”</w:t>
      </w:r>
      <w:r w:rsidRPr="008726B8">
        <w:rPr>
          <w:rFonts w:eastAsia="Calibri"/>
          <w:sz w:val="26"/>
          <w:szCs w:val="26"/>
          <w:lang w:eastAsia="en-US"/>
        </w:rPr>
        <w:t xml:space="preserve">, publicado en 1963, Friedman y Anna Jacobson Schwartz, como todo el mundo sabe, sostenían que la Gran Depresión se debía exclusiva y absolutamente al fracaso de la Reserva Federal de Estados Unidos de Norteamérica a la hora de expandir la base monetaria del país y </w:t>
      </w:r>
      <w:r w:rsidRPr="008726B8">
        <w:rPr>
          <w:rFonts w:eastAsia="Calibri"/>
          <w:sz w:val="26"/>
          <w:szCs w:val="26"/>
          <w:lang w:eastAsia="en-US"/>
        </w:rPr>
        <w:lastRenderedPageBreak/>
        <w:t>así mantener la economía en un sendero de crecimiento estable. Si no hubiera habido una caída de la masa monetaria, dice su argumento, no habría existido la Gran Depresión.</w:t>
      </w:r>
    </w:p>
    <w:p w14:paraId="5349451F"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Esta interpretación tiene cierto sentido, pero se basa en una presunción crítica. La receta de los autores habría funcionado sólo si las tasas de interés y lo que los economistas llaman la “velocidad del dinero” —el ritmo al que el dinero cambia de manos— hubieran sido ampliamente independientes entre sí.</w:t>
      </w:r>
    </w:p>
    <w:p w14:paraId="3CED94BF"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Sin embargo, lo más probable es que la caída de las tasas de interés como consecuencia de las intervenciones necesarias para expandir la oferta de dinero del país habría puesto un freno a la velocidad del dinero, minando la cura propuesta. En ese caso, poner fin a la Gran Depresión también habría exigido la expansión fiscal reclamada por John Maynard Keynes y las políticas de apoyo respecto del mercado de crédito prescriptas por Hyman Minsky.</w:t>
      </w:r>
    </w:p>
    <w:p w14:paraId="01703F1A"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El debate sobre qué intervenciones serían necesarias para poner un freno a algo como la Gran Depresión debería haberse centrado, lisa y llanamente, en analizar la evidencia. En tiempos económicos difíciles, ¿las tasas de interés tuvieron poco impacto en la velocidad del dinero, como sugería Friedman? ¿Keynes estaba en lo cierto cuando describió el concepto de una trampa de liquidez, una situación en la que un mayor alivio de la política monetaria no resulta efectivo? ¿La masa monetaria en una economía es un indicador adecuado del gasto total, como decía Friedman, o el funcionamiento aceitado de los canales de crédito es un factor más importante, como sostenía Minsky?</w:t>
      </w:r>
    </w:p>
    <w:p w14:paraId="4A318882"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 xml:space="preserve">Estos interrogantes se pueden debatir. Pero resulta bastante claro que incluso en los años 1970 no había suficiente evidencia empírica en respaldo de las ideas de Friedman para justificar su creciente dominancia. Y, por cierto, tampoco se puede negar el hecho de que la cura de Friedman resultó una respuesta inadecuada para la Gran Recesión      </w:t>
      </w:r>
      <w:r w:rsidRPr="008726B8">
        <w:rPr>
          <w:rFonts w:eastAsia="Calibri"/>
          <w:sz w:val="26"/>
          <w:szCs w:val="26"/>
          <w:lang w:eastAsia="en-US"/>
        </w:rPr>
        <w:lastRenderedPageBreak/>
        <w:t>—lo que sugiere enfáticamente que habría resultado igualmente inapropiada si se la hubiera aplicado durante la Gran Depresión—.</w:t>
      </w:r>
    </w:p>
    <w:p w14:paraId="694EC8AE"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La predominancia de las ideas de Friedman al inicio de la Gran Recesión tiene menos que ver con la evidencia que las respalda que con el hecho de que la ciencia de la economía muchas veces está teñida por la política. En este caso, la contaminación era tan mala que los responsables de las políticas económicas no estaban dispuestos a ir más allá de Friedman y aplicar políticas propuestas por Keynes y Minsky en una escala lo suficientemente grande como para abordar los problemas que presentaba la Gran Recesión.</w:t>
      </w:r>
    </w:p>
    <w:p w14:paraId="0E759E45"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Admitir que la cura monetarista era inadecuada habría demandado que los economistas establecidos nadaran contra las corrientes neoliberales de nuestro tiempo. Habría exigido reconocer que las causas de la Gran Depresión iban mucho más allá de un fracaso tecnocrático a la hora de gestionar la oferta monetaria de manera apropiada. Y hacer eso habría sido equivalente a admitir los méritos de la democracia social y a reconocer que el fracaso de los mercados a veces puede ser un peligro mayor que la ineficiencia de los gobiernos.</w:t>
      </w:r>
    </w:p>
    <w:p w14:paraId="5145757D" w14:textId="77777777" w:rsidR="008726B8" w:rsidRPr="008726B8" w:rsidRDefault="008726B8" w:rsidP="008726B8">
      <w:pPr>
        <w:spacing w:after="360" w:line="360" w:lineRule="auto"/>
        <w:ind w:right="-159"/>
        <w:jc w:val="both"/>
        <w:rPr>
          <w:rFonts w:eastAsia="Calibri"/>
          <w:sz w:val="26"/>
          <w:szCs w:val="26"/>
          <w:lang w:eastAsia="en-US"/>
        </w:rPr>
      </w:pPr>
      <w:r w:rsidRPr="008726B8">
        <w:rPr>
          <w:rFonts w:eastAsia="Calibri"/>
          <w:sz w:val="26"/>
          <w:szCs w:val="26"/>
          <w:lang w:eastAsia="en-US"/>
        </w:rPr>
        <w:t>El resultado fue una serie de políticas basadas, no en la evidencia, sino en ideas examinadas de manera inadecuada. Y todavía hoy estamos pagando el precio por ese error intelectual.</w:t>
      </w:r>
    </w:p>
    <w:p w14:paraId="70B90DA1" w14:textId="77777777" w:rsidR="008726B8" w:rsidRPr="008726B8" w:rsidRDefault="008726B8" w:rsidP="008726B8">
      <w:pPr>
        <w:ind w:right="-159"/>
        <w:jc w:val="both"/>
        <w:rPr>
          <w:rFonts w:eastAsia="Calibri"/>
          <w:b/>
          <w:sz w:val="20"/>
          <w:szCs w:val="26"/>
          <w:lang w:eastAsia="en-US"/>
        </w:rPr>
      </w:pPr>
      <w:r w:rsidRPr="008726B8">
        <w:rPr>
          <w:rFonts w:eastAsia="Calibri"/>
          <w:b/>
          <w:sz w:val="20"/>
          <w:szCs w:val="26"/>
          <w:lang w:eastAsia="en-US"/>
        </w:rPr>
        <w:t>Fuente de información:</w:t>
      </w:r>
    </w:p>
    <w:p w14:paraId="064CD5CC" w14:textId="77777777" w:rsidR="008726B8" w:rsidRPr="00A65144" w:rsidRDefault="0045651A" w:rsidP="008726B8">
      <w:pPr>
        <w:ind w:right="-159"/>
        <w:jc w:val="both"/>
        <w:rPr>
          <w:rFonts w:eastAsia="Calibri"/>
          <w:color w:val="0000FF"/>
          <w:sz w:val="20"/>
          <w:szCs w:val="20"/>
          <w:lang w:eastAsia="en-US"/>
        </w:rPr>
      </w:pPr>
      <w:hyperlink r:id="rId415" w:history="1">
        <w:r w:rsidR="008726B8" w:rsidRPr="00A65144">
          <w:rPr>
            <w:rFonts w:eastAsia="Calibri"/>
            <w:color w:val="0000FF"/>
            <w:sz w:val="20"/>
            <w:szCs w:val="20"/>
            <w:u w:val="single"/>
            <w:lang w:eastAsia="en-US"/>
          </w:rPr>
          <w:t>http://www.project-syndicate.org/commentary/friedman-ideas-great-recession-by-j--bradford-delong-2015-03/spanish</w:t>
        </w:r>
      </w:hyperlink>
      <w:r w:rsidR="008726B8" w:rsidRPr="00A65144">
        <w:rPr>
          <w:rFonts w:eastAsia="Calibri"/>
          <w:color w:val="0000FF"/>
          <w:sz w:val="20"/>
          <w:szCs w:val="20"/>
          <w:lang w:eastAsia="en-US"/>
        </w:rPr>
        <w:t xml:space="preserve"> </w:t>
      </w:r>
    </w:p>
    <w:p w14:paraId="17F4C6E1" w14:textId="77777777" w:rsidR="008726B8" w:rsidRDefault="008726B8" w:rsidP="00A10293">
      <w:pPr>
        <w:spacing w:after="360" w:line="360" w:lineRule="auto"/>
        <w:ind w:right="-159"/>
        <w:jc w:val="both"/>
        <w:rPr>
          <w:rFonts w:eastAsia="Calibri"/>
          <w:sz w:val="26"/>
          <w:szCs w:val="26"/>
          <w:lang w:eastAsia="en-US"/>
        </w:rPr>
      </w:pPr>
    </w:p>
    <w:p w14:paraId="1C551B26" w14:textId="77777777" w:rsidR="002266DB" w:rsidRDefault="002266DB" w:rsidP="00A10293">
      <w:pPr>
        <w:spacing w:after="360" w:line="360" w:lineRule="auto"/>
        <w:ind w:right="-159"/>
        <w:jc w:val="both"/>
        <w:rPr>
          <w:rFonts w:eastAsia="Calibri"/>
          <w:sz w:val="26"/>
          <w:szCs w:val="26"/>
          <w:lang w:eastAsia="en-US"/>
        </w:rPr>
      </w:pPr>
    </w:p>
    <w:p w14:paraId="07FF3EA0" w14:textId="77777777" w:rsidR="002266DB" w:rsidRDefault="002266DB" w:rsidP="00A10293">
      <w:pPr>
        <w:spacing w:after="360" w:line="360" w:lineRule="auto"/>
        <w:ind w:right="-159"/>
        <w:jc w:val="both"/>
        <w:rPr>
          <w:rFonts w:eastAsia="Calibri"/>
          <w:sz w:val="26"/>
          <w:szCs w:val="26"/>
          <w:lang w:eastAsia="en-US"/>
        </w:rPr>
      </w:pPr>
    </w:p>
    <w:p w14:paraId="4BA8F4CB" w14:textId="77777777" w:rsidR="00996BD9" w:rsidRPr="00996BD9" w:rsidRDefault="00996BD9" w:rsidP="00996BD9">
      <w:pPr>
        <w:ind w:right="-159"/>
        <w:jc w:val="both"/>
        <w:rPr>
          <w:rFonts w:eastAsia="Calibri"/>
          <w:b/>
          <w:sz w:val="26"/>
          <w:szCs w:val="26"/>
          <w:lang w:eastAsia="en-US"/>
        </w:rPr>
      </w:pPr>
      <w:r w:rsidRPr="00996BD9">
        <w:rPr>
          <w:rFonts w:eastAsia="Calibri"/>
          <w:b/>
          <w:sz w:val="26"/>
          <w:szCs w:val="26"/>
          <w:lang w:eastAsia="en-US"/>
        </w:rPr>
        <w:lastRenderedPageBreak/>
        <w:t>Los fondos de inversión convencionales</w:t>
      </w:r>
    </w:p>
    <w:p w14:paraId="2BC3E817" w14:textId="77777777" w:rsidR="00996BD9" w:rsidRPr="00996BD9" w:rsidRDefault="00996BD9" w:rsidP="00996BD9">
      <w:pPr>
        <w:spacing w:after="360" w:line="360" w:lineRule="auto"/>
        <w:ind w:right="-159"/>
        <w:jc w:val="both"/>
        <w:rPr>
          <w:rFonts w:eastAsia="Calibri"/>
          <w:b/>
          <w:sz w:val="26"/>
          <w:szCs w:val="26"/>
          <w:lang w:eastAsia="en-US"/>
        </w:rPr>
      </w:pPr>
      <w:r w:rsidRPr="00996BD9">
        <w:rPr>
          <w:rFonts w:eastAsia="Calibri"/>
          <w:b/>
          <w:sz w:val="26"/>
          <w:szCs w:val="26"/>
          <w:lang w:eastAsia="en-US"/>
        </w:rPr>
        <w:t>pueden   plantear   riesgos   (FMI)</w:t>
      </w:r>
    </w:p>
    <w:p w14:paraId="15AB73C1"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El 8 de abril de 2015, el Fondo Monetario Internacional (FMI) informó que los fondos de inversión convencionales pueden plantear riesgos. A continuación se presenta la información.</w:t>
      </w:r>
    </w:p>
    <w:p w14:paraId="6D846BD5"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Incluso los fondos de inversión simples, como los fondos comunes de inversión, pueden acarrear riesgos para la estabilidad financiera, y los reguladores necesitan conocer más sobre esos riesgos a través de una supervisión activa y basada en mejores datos y vigilancia, según un nuevo estudio del FMI.</w:t>
      </w:r>
    </w:p>
    <w:p w14:paraId="0C29B77A"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Las empresas de gestión de activos facilitan la diversificación de los activos de los inversionistas. El sector también puede actuar como una “rueda de repuesto” para el financiamiento de la economía real cuando los bancos atraviesan dificultades. En comparación con los bancos, los fondos de inversión ofrecidos por los gestores de activos son menos propensos a caer en incumplimiento porque los inversionistas finales son los que absorben las pérdidas y ganancias de los activos.</w:t>
      </w:r>
    </w:p>
    <w:p w14:paraId="377088C8"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En el más reciente estudio para el Informe sobre la estabilidad financiera mundial (</w:t>
      </w:r>
      <w:r w:rsidRPr="00996BD9">
        <w:rPr>
          <w:rFonts w:eastAsia="Calibri"/>
          <w:i/>
          <w:sz w:val="26"/>
          <w:szCs w:val="26"/>
          <w:lang w:eastAsia="en-US"/>
        </w:rPr>
        <w:t>Global Financial Stability Report</w:t>
      </w:r>
      <w:r w:rsidRPr="00996BD9">
        <w:rPr>
          <w:rFonts w:eastAsia="Calibri"/>
          <w:sz w:val="26"/>
          <w:szCs w:val="26"/>
          <w:lang w:eastAsia="en-US"/>
        </w:rPr>
        <w:t>, o Informe GFSR), el FMI señaló que se ha intensificado el debate sobre los posibles riesgos vinculados al sector. Los riesgos derivados de ciertos segmentos del sector —fondos de cobertura (</w:t>
      </w:r>
      <w:r w:rsidRPr="00996BD9">
        <w:rPr>
          <w:rFonts w:eastAsia="Calibri"/>
          <w:i/>
          <w:sz w:val="26"/>
          <w:szCs w:val="26"/>
          <w:lang w:eastAsia="en-US"/>
        </w:rPr>
        <w:t>hedge funds</w:t>
      </w:r>
      <w:r w:rsidRPr="00996BD9">
        <w:rPr>
          <w:rFonts w:eastAsia="Calibri"/>
          <w:sz w:val="26"/>
          <w:szCs w:val="26"/>
          <w:lang w:eastAsia="en-US"/>
        </w:rPr>
        <w:t>) y fondos de inversión en el mercado monetario— están ampliamente reconocidos. Sin embargo, los riesgos derivados de los productos de inversión convencionales y menos apalancados (</w:t>
      </w:r>
      <w:r w:rsidRPr="00996BD9">
        <w:rPr>
          <w:rFonts w:eastAsia="Calibri"/>
          <w:i/>
          <w:sz w:val="26"/>
          <w:szCs w:val="26"/>
          <w:lang w:eastAsia="en-US"/>
        </w:rPr>
        <w:t>plain-vanilla</w:t>
      </w:r>
      <w:r w:rsidRPr="00996BD9">
        <w:rPr>
          <w:rFonts w:eastAsia="Calibri"/>
          <w:sz w:val="26"/>
          <w:szCs w:val="26"/>
          <w:lang w:eastAsia="en-US"/>
        </w:rPr>
        <w:t>), como los fondos comunes de inversión y los fondos cotizados en bolsa que invierten en bonos y acciones, son en la actualidad objeto de deliberación.</w:t>
      </w:r>
    </w:p>
    <w:p w14:paraId="733C22BD"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lastRenderedPageBreak/>
        <w:t>“La atención reciente prestada a los posibles riesgos relacionados con la gestión de activos se debe al crecimiento del sector, su mayor tendencia a invertir en bonos menos líquidos, y a la inquietud de que en algunas economías avanzadas muchos fondos hayan estado dedicándose cada vez más a comprar activos similares, en tanto que los bancos se han retirado de las actividades de formación de mercado”, explicó el Jefe de la División de Análisis de la Estabilidad Financiera Mundial del FMI.</w:t>
      </w:r>
    </w:p>
    <w:p w14:paraId="650DB4CE" w14:textId="77777777" w:rsidR="00996BD9" w:rsidRPr="00996BD9" w:rsidRDefault="00996BD9" w:rsidP="00996BD9">
      <w:pPr>
        <w:spacing w:after="360" w:line="360" w:lineRule="auto"/>
        <w:ind w:right="-159"/>
        <w:jc w:val="both"/>
        <w:rPr>
          <w:rFonts w:eastAsia="Calibri"/>
          <w:b/>
          <w:sz w:val="26"/>
          <w:szCs w:val="26"/>
          <w:lang w:eastAsia="en-US"/>
        </w:rPr>
      </w:pPr>
      <w:r w:rsidRPr="00996BD9">
        <w:rPr>
          <w:rFonts w:eastAsia="Calibri"/>
          <w:b/>
          <w:sz w:val="26"/>
          <w:szCs w:val="26"/>
          <w:lang w:eastAsia="en-US"/>
        </w:rPr>
        <w:t>Tamaño y alcance</w:t>
      </w:r>
    </w:p>
    <w:p w14:paraId="59DE1E52" w14:textId="77777777" w:rsid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El sector gestiona más de 75 billones de dólares de activos a escala mundial, lo cual supera el 100% del PIB mundial, señaló el FMI. En particular, los fondos colocados en bonos han crecido significativamente, invirtiendo en activos menos líquidos como bonos de mercados emergentes y bonos empresariales de alto rendimiento. Esto ha ampliado el descalce entre la liquidez de los activos y de los pasivos de los fondos, ya que muchos fondos permiten a los inversionistas realizar rescates a diario.</w:t>
      </w:r>
    </w:p>
    <w:p w14:paraId="6FE92D98" w14:textId="77777777" w:rsidR="00786917" w:rsidRDefault="00786917" w:rsidP="00996BD9">
      <w:pPr>
        <w:spacing w:after="360" w:line="360" w:lineRule="auto"/>
        <w:ind w:right="-159"/>
        <w:jc w:val="both"/>
        <w:rPr>
          <w:rFonts w:eastAsia="Calibri"/>
          <w:sz w:val="26"/>
          <w:szCs w:val="26"/>
          <w:lang w:eastAsia="en-US"/>
        </w:rPr>
      </w:pPr>
    </w:p>
    <w:p w14:paraId="5F8712A2" w14:textId="77777777" w:rsidR="00786917" w:rsidRDefault="00786917" w:rsidP="00996BD9">
      <w:pPr>
        <w:spacing w:after="360" w:line="360" w:lineRule="auto"/>
        <w:ind w:right="-159"/>
        <w:jc w:val="both"/>
        <w:rPr>
          <w:rFonts w:eastAsia="Calibri"/>
          <w:sz w:val="26"/>
          <w:szCs w:val="26"/>
          <w:lang w:eastAsia="en-US"/>
        </w:rPr>
      </w:pPr>
    </w:p>
    <w:p w14:paraId="5BE2B8C7" w14:textId="77777777" w:rsidR="00786917" w:rsidRDefault="00786917" w:rsidP="00996BD9">
      <w:pPr>
        <w:spacing w:after="360" w:line="360" w:lineRule="auto"/>
        <w:ind w:right="-159"/>
        <w:jc w:val="both"/>
        <w:rPr>
          <w:rFonts w:eastAsia="Calibri"/>
          <w:sz w:val="26"/>
          <w:szCs w:val="26"/>
          <w:lang w:eastAsia="en-US"/>
        </w:rPr>
      </w:pPr>
    </w:p>
    <w:p w14:paraId="23D781A9" w14:textId="77777777" w:rsidR="00786917" w:rsidRDefault="00786917" w:rsidP="00996BD9">
      <w:pPr>
        <w:spacing w:after="360" w:line="360" w:lineRule="auto"/>
        <w:ind w:right="-159"/>
        <w:jc w:val="both"/>
        <w:rPr>
          <w:rFonts w:eastAsia="Calibri"/>
          <w:sz w:val="26"/>
          <w:szCs w:val="26"/>
          <w:lang w:eastAsia="en-US"/>
        </w:rPr>
      </w:pPr>
    </w:p>
    <w:p w14:paraId="1D96024B" w14:textId="77777777" w:rsidR="00786917" w:rsidRDefault="00786917" w:rsidP="00996BD9">
      <w:pPr>
        <w:spacing w:after="360" w:line="360" w:lineRule="auto"/>
        <w:ind w:right="-159"/>
        <w:jc w:val="both"/>
        <w:rPr>
          <w:rFonts w:eastAsia="Calibri"/>
          <w:sz w:val="26"/>
          <w:szCs w:val="26"/>
          <w:lang w:eastAsia="en-US"/>
        </w:rPr>
      </w:pPr>
    </w:p>
    <w:p w14:paraId="1EE2BF2E" w14:textId="77777777" w:rsidR="00786917" w:rsidRDefault="00786917" w:rsidP="00996BD9">
      <w:pPr>
        <w:spacing w:after="360" w:line="360" w:lineRule="auto"/>
        <w:ind w:right="-159"/>
        <w:jc w:val="both"/>
        <w:rPr>
          <w:rFonts w:eastAsia="Calibri"/>
          <w:sz w:val="26"/>
          <w:szCs w:val="26"/>
          <w:lang w:eastAsia="en-US"/>
        </w:rPr>
      </w:pPr>
    </w:p>
    <w:p w14:paraId="7BCD0992" w14:textId="77777777" w:rsidR="00786917" w:rsidRPr="00996BD9" w:rsidRDefault="00786917" w:rsidP="00996BD9">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7268"/>
      </w:tblGrid>
      <w:tr w:rsidR="00996BD9" w:rsidRPr="00996BD9" w14:paraId="2510D771" w14:textId="77777777" w:rsidTr="00835D95">
        <w:trPr>
          <w:jc w:val="center"/>
        </w:trPr>
        <w:tc>
          <w:tcPr>
            <w:tcW w:w="7268" w:type="dxa"/>
          </w:tcPr>
          <w:p w14:paraId="393E27AD" w14:textId="77777777" w:rsidR="00996BD9" w:rsidRPr="00996BD9" w:rsidRDefault="00996BD9" w:rsidP="00996BD9">
            <w:pPr>
              <w:jc w:val="center"/>
              <w:rPr>
                <w:rFonts w:eastAsia="Calibri"/>
                <w:b/>
                <w:sz w:val="22"/>
                <w:szCs w:val="26"/>
                <w:lang w:eastAsia="en-US"/>
              </w:rPr>
            </w:pPr>
            <w:r w:rsidRPr="00996BD9">
              <w:rPr>
                <w:rFonts w:eastAsia="Calibri"/>
                <w:b/>
                <w:sz w:val="22"/>
                <w:szCs w:val="26"/>
                <w:lang w:eastAsia="en-US"/>
              </w:rPr>
              <w:lastRenderedPageBreak/>
              <w:t>LOS FONDOS DE INVERSIÓN CONVENCIONALES (PLAIN VANILLA) PUEDEN ACARREAR RIESGOS</w:t>
            </w:r>
          </w:p>
          <w:p w14:paraId="2084E34D" w14:textId="77777777" w:rsidR="00996BD9" w:rsidRPr="00996BD9" w:rsidRDefault="00996BD9" w:rsidP="00996BD9">
            <w:pPr>
              <w:jc w:val="center"/>
              <w:rPr>
                <w:rFonts w:eastAsia="Calibri"/>
                <w:b/>
                <w:sz w:val="22"/>
                <w:szCs w:val="26"/>
                <w:lang w:eastAsia="en-US"/>
              </w:rPr>
            </w:pPr>
            <w:r w:rsidRPr="00996BD9">
              <w:rPr>
                <w:rFonts w:eastAsia="Calibri"/>
                <w:b/>
                <w:sz w:val="22"/>
                <w:szCs w:val="26"/>
                <w:lang w:eastAsia="en-US"/>
              </w:rPr>
              <w:t>Las condiciones favorables de rescate pueden exacerbar el riesgo de un retiro masivo por parte de los inversionistas</w:t>
            </w:r>
          </w:p>
        </w:tc>
      </w:tr>
      <w:tr w:rsidR="00996BD9" w:rsidRPr="00996BD9" w14:paraId="506B4D1B" w14:textId="77777777" w:rsidTr="00835D95">
        <w:trPr>
          <w:jc w:val="center"/>
        </w:trPr>
        <w:tc>
          <w:tcPr>
            <w:tcW w:w="7268" w:type="dxa"/>
          </w:tcPr>
          <w:p w14:paraId="1225D50F" w14:textId="77777777" w:rsidR="00996BD9" w:rsidRPr="00996BD9" w:rsidRDefault="00996BD9" w:rsidP="00996BD9">
            <w:pPr>
              <w:jc w:val="center"/>
              <w:rPr>
                <w:rFonts w:eastAsia="Calibri"/>
                <w:sz w:val="26"/>
                <w:szCs w:val="26"/>
                <w:lang w:eastAsia="en-US"/>
              </w:rPr>
            </w:pPr>
            <w:r w:rsidRPr="00996BD9">
              <w:rPr>
                <w:rFonts w:ascii="Calibri" w:eastAsia="Calibri" w:hAnsi="Calibri"/>
                <w:noProof/>
                <w:sz w:val="22"/>
                <w:szCs w:val="22"/>
                <w:lang w:eastAsia="es-MX"/>
              </w:rPr>
              <w:drawing>
                <wp:inline distT="0" distB="0" distL="0" distR="0" wp14:anchorId="713100DD" wp14:editId="7FFB205B">
                  <wp:extent cx="4058275" cy="3060000"/>
                  <wp:effectExtent l="0" t="0" r="0" b="7620"/>
                  <wp:docPr id="1739" name="Imagen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4058275" cy="3060000"/>
                          </a:xfrm>
                          <a:prstGeom prst="rect">
                            <a:avLst/>
                          </a:prstGeom>
                        </pic:spPr>
                      </pic:pic>
                    </a:graphicData>
                  </a:graphic>
                </wp:inline>
              </w:drawing>
            </w:r>
          </w:p>
        </w:tc>
      </w:tr>
      <w:tr w:rsidR="00996BD9" w:rsidRPr="00996BD9" w14:paraId="5E0D84C7" w14:textId="77777777" w:rsidTr="00835D95">
        <w:trPr>
          <w:jc w:val="center"/>
        </w:trPr>
        <w:tc>
          <w:tcPr>
            <w:tcW w:w="7268" w:type="dxa"/>
          </w:tcPr>
          <w:p w14:paraId="3F79E88A" w14:textId="77777777" w:rsidR="00996BD9" w:rsidRPr="00996BD9" w:rsidRDefault="00996BD9" w:rsidP="00996BD9">
            <w:pPr>
              <w:jc w:val="both"/>
              <w:rPr>
                <w:rFonts w:eastAsia="Calibri"/>
                <w:sz w:val="20"/>
                <w:szCs w:val="26"/>
                <w:lang w:eastAsia="en-US"/>
              </w:rPr>
            </w:pPr>
            <w:r w:rsidRPr="00996BD9">
              <w:rPr>
                <w:rFonts w:eastAsia="Calibri"/>
                <w:sz w:val="20"/>
                <w:szCs w:val="26"/>
                <w:lang w:eastAsia="en-US"/>
              </w:rPr>
              <w:t>Nota: EA = Economías avanzadas; ME = Mercados emergentes; FCB = Fondos cotizados en bolsa; FIMM = Fondos de inversión en el mercado monetario.</w:t>
            </w:r>
          </w:p>
          <w:p w14:paraId="42DAC6E8" w14:textId="77777777" w:rsidR="00996BD9" w:rsidRPr="00996BD9" w:rsidRDefault="00996BD9" w:rsidP="00996BD9">
            <w:pPr>
              <w:ind w:left="907" w:hanging="907"/>
              <w:jc w:val="both"/>
              <w:rPr>
                <w:rFonts w:eastAsia="Calibri"/>
                <w:sz w:val="20"/>
                <w:szCs w:val="26"/>
                <w:lang w:eastAsia="en-US"/>
              </w:rPr>
            </w:pPr>
            <w:r w:rsidRPr="00996BD9">
              <w:rPr>
                <w:rFonts w:eastAsia="Calibri"/>
                <w:sz w:val="20"/>
                <w:szCs w:val="26"/>
                <w:lang w:eastAsia="en-US"/>
              </w:rPr>
              <w:t xml:space="preserve">FUENTE: </w:t>
            </w:r>
            <w:r w:rsidRPr="00996BD9">
              <w:rPr>
                <w:rFonts w:eastAsia="Calibri"/>
                <w:i/>
                <w:sz w:val="20"/>
                <w:szCs w:val="26"/>
                <w:lang w:eastAsia="en-US"/>
              </w:rPr>
              <w:t>BarclayHedge; Deutsche Bank</w:t>
            </w:r>
            <w:r w:rsidRPr="00996BD9">
              <w:rPr>
                <w:rFonts w:eastAsia="Calibri"/>
                <w:sz w:val="20"/>
                <w:szCs w:val="26"/>
                <w:lang w:eastAsia="en-US"/>
              </w:rPr>
              <w:t xml:space="preserve">; EFAMA, Asociación Europea de Fondos y Gestión de Activos; </w:t>
            </w:r>
            <w:r w:rsidRPr="00996BD9">
              <w:rPr>
                <w:rFonts w:eastAsia="Calibri"/>
                <w:i/>
                <w:sz w:val="20"/>
                <w:szCs w:val="26"/>
                <w:lang w:eastAsia="en-US"/>
              </w:rPr>
              <w:t>Lipper; Preqin</w:t>
            </w:r>
            <w:r w:rsidRPr="00996BD9">
              <w:rPr>
                <w:rFonts w:eastAsia="Calibri"/>
                <w:sz w:val="20"/>
                <w:szCs w:val="26"/>
                <w:lang w:eastAsia="en-US"/>
              </w:rPr>
              <w:t>, y estimaciones del personal técnico del FMI.</w:t>
            </w:r>
          </w:p>
        </w:tc>
      </w:tr>
    </w:tbl>
    <w:p w14:paraId="47AB9F9B" w14:textId="77777777" w:rsidR="00996BD9" w:rsidRPr="00996BD9" w:rsidRDefault="00996BD9" w:rsidP="00996BD9">
      <w:pPr>
        <w:spacing w:after="360" w:line="360" w:lineRule="auto"/>
        <w:ind w:right="-159"/>
        <w:jc w:val="both"/>
        <w:rPr>
          <w:rFonts w:eastAsia="Calibri"/>
          <w:sz w:val="26"/>
          <w:szCs w:val="26"/>
          <w:lang w:eastAsia="en-US"/>
        </w:rPr>
      </w:pPr>
    </w:p>
    <w:p w14:paraId="1E16EAEE"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Los rescates a gran escala de estos fondos —quizá desencadenados por un acontecimiento externo, como un aumento imprevistamente rápido de las tasas de interés en Estados Unidos de Norteamérica— pueden tener un impacto generalizado en el mercado, sobre todo si los bancos no pueden o no quieren intervenir para proporcionar liquidez en una situación así.</w:t>
      </w:r>
    </w:p>
    <w:p w14:paraId="703F7C55"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En la edición más reciente del Informe GFSR, el FMI presenta un análisis detallado de las diversas características del sector que generan riesgos, así como recomendaciones para reforzar la supervisión del mismo.</w:t>
      </w:r>
    </w:p>
    <w:p w14:paraId="4E91BAD8"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 xml:space="preserve">El análisis subraya que es importante distinguir conceptualmente los riesgos introducidos por la presencia de los fondos, de los riesgos que existirían incluso si no </w:t>
      </w:r>
      <w:r w:rsidRPr="00996BD9">
        <w:rPr>
          <w:rFonts w:eastAsia="Calibri"/>
          <w:sz w:val="26"/>
          <w:szCs w:val="26"/>
          <w:lang w:eastAsia="en-US"/>
        </w:rPr>
        <w:lastRenderedPageBreak/>
        <w:t>hubiera fondos; es decir, si los inversionistas compraran títulos en forma directa. Las conclusiones del FMI son las siguientes:</w:t>
      </w:r>
    </w:p>
    <w:p w14:paraId="47B9D4F3"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En primer lugar, las inversiones en fondos comunes afectan los precios de los activos, al menos en los mercados menos líquidos, como el de bonos de mercados emergentes. Los flujos de los fondos comunes de inversión determinan los movimientos en estos mercados. Los precios de los activos acaparados por estos fondos caen más drásticamente durante períodos de nerviosismo en el mercado.</w:t>
      </w:r>
    </w:p>
    <w:p w14:paraId="3F2B3802"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En segundo lugar, las opciones favorables de rescate que ofrecen estos fondos pueden exacerbar el riesgo de retiros masivos por parte de inversionistas que quieren su dinero todos al mismo tiempo, a diferencia de una situación en que los inversionistas poseen activos directamente. Algunos fondos tienen prácticas de valoración de activos y determinación del valor de las cuotas que otorgan ventajas a los inversionistas “pioneros” (</w:t>
      </w:r>
      <w:r w:rsidRPr="00996BD9">
        <w:rPr>
          <w:rFonts w:eastAsia="Calibri"/>
          <w:i/>
          <w:sz w:val="26"/>
          <w:szCs w:val="26"/>
          <w:lang w:eastAsia="en-US"/>
        </w:rPr>
        <w:t>first-movers</w:t>
      </w:r>
      <w:r w:rsidRPr="00996BD9">
        <w:rPr>
          <w:rFonts w:eastAsia="Calibri"/>
          <w:sz w:val="26"/>
          <w:szCs w:val="26"/>
          <w:lang w:eastAsia="en-US"/>
        </w:rPr>
        <w:t>), es decir, los inversionistas que rescatan sus cuotas antes de que otros puedan recuperar más dinero. En cierta medida, este riesgo está mitigado por el hecho de que los fondos más “riesgosos” —los que invierten en activos líquidos y más vulnerables a rescates masivos— se protegen a sí mismos manteniendo más activos líquidos y cobrando cargos por rescate más altos. Y estos cargos por rescate son de hecho eficaces para mitigar las presiones de rescate durante períodos de tensión.</w:t>
      </w:r>
    </w:p>
    <w:p w14:paraId="7810745F"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En tercer lugar, la delegación de la gestión diaria de la cartera de inversión introduce problemas de incentivos entre los inversionistas finales y los administradores de las carteras. Como resultado, los gestores de activos pueden presentar un comportamiento de manada (</w:t>
      </w:r>
      <w:r w:rsidRPr="00996BD9">
        <w:rPr>
          <w:rFonts w:eastAsia="Calibri"/>
          <w:i/>
          <w:sz w:val="26"/>
          <w:szCs w:val="26"/>
          <w:lang w:eastAsia="en-US"/>
        </w:rPr>
        <w:t>herding</w:t>
      </w:r>
      <w:r w:rsidRPr="00996BD9">
        <w:rPr>
          <w:rFonts w:eastAsia="Calibri"/>
          <w:sz w:val="26"/>
          <w:szCs w:val="26"/>
          <w:lang w:eastAsia="en-US"/>
        </w:rPr>
        <w:t>), es decir, realizar operaciones en el mismo sentido que los otros gestores. Los indicadores del comportamiento de manada han aumentado en los últimos años, posiblemente debido a la búsqueda generalizada de rendimientos en un entorno de bajas tasas de interés que llevaron a estos fondos a invertir en activos similares.</w:t>
      </w:r>
    </w:p>
    <w:p w14:paraId="2A4D63F0"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lastRenderedPageBreak/>
        <w:t>En cuarto lugar, a diferencia de los bancos, los fondos más grandes y los fondos que pertenecen a empresas de gestión de activos de mayor envergadura no contribuyen necesariamente a un mayor riesgo sistémico. Más bien, la naturaleza de estos activos parece ser relativamente más importante que su tamaño. Este es un factor importante que se debe tener en cuenta a la hora de buscar la mejor manera de identificar los gestores de activos y los productos de importancia sistémica; este es un tema que los reguladores en todo el mundo están debatiendo activamente.</w:t>
      </w:r>
    </w:p>
    <w:p w14:paraId="75FFB8BD"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Los datos apuntan a la necesidad de una mejor supervisión de los riesgos a nivel de las instituciones. En la actualidad, la supervisión del sector se centra en la protección del inversionista y la divulgación de información, y en la mayoría de los países los reguladores realizan un monitoreo escaso. Según el FMI, los reguladores de            títulos-valores deberían adoptar un modelo de supervisión más activo, con mejores datos, mejores indicadores de riesgo y análisis, e incluso llevar a cabo pruebas de tensión. Es esencial establecer normas mundiales de supervisión sobre la vigilancia y supervisión del sector.</w:t>
      </w:r>
    </w:p>
    <w:p w14:paraId="6E5F2098" w14:textId="77777777"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Las autoridades y los reguladores deben adoptar un enfoque macroprudencial para evaluar el impacto de todo el sector en la estabilidad del sistema financiero. En este contexto, los supervisores y reguladores tienen que reexaminar las funciones y la idoneidad de las actuales herramientas de gestión de riesgo.</w:t>
      </w:r>
    </w:p>
    <w:p w14:paraId="527263D3" w14:textId="34D629A6" w:rsidR="00996BD9" w:rsidRPr="00996BD9" w:rsidRDefault="00996BD9" w:rsidP="00996BD9">
      <w:pPr>
        <w:spacing w:after="360" w:line="360" w:lineRule="auto"/>
        <w:ind w:right="-159"/>
        <w:jc w:val="both"/>
        <w:rPr>
          <w:rFonts w:eastAsia="Calibri"/>
          <w:sz w:val="26"/>
          <w:szCs w:val="26"/>
          <w:lang w:eastAsia="en-US"/>
        </w:rPr>
      </w:pPr>
      <w:r w:rsidRPr="00996BD9">
        <w:rPr>
          <w:rFonts w:eastAsia="Calibri"/>
          <w:sz w:val="26"/>
          <w:szCs w:val="26"/>
          <w:lang w:eastAsia="en-US"/>
        </w:rPr>
        <w:t xml:space="preserve">“En particular, los reguladores deberían encontrar formas de reducir el incentivo que tienen los inversionistas para retirar su dinero cuando ven a otros hacer lo mismo”, indicó el Jefe de la División de Análisis de la Estabilidad Financiera Mundial del FMI. “Esto podría hacerse, por ejemplo, con cargos por rescate bien diseñados que no perjudiquen a los inversionistas en general, por ejemplo si los ingresos se acumulan en el valor neto de los activos del fondo. Por otro lado, </w:t>
      </w:r>
      <w:r w:rsidR="003F3984">
        <w:rPr>
          <w:rFonts w:eastAsia="Calibri"/>
          <w:sz w:val="26"/>
          <w:szCs w:val="26"/>
          <w:lang w:eastAsia="en-US"/>
        </w:rPr>
        <w:t xml:space="preserve">el </w:t>
      </w:r>
      <w:r w:rsidRPr="00996BD9">
        <w:rPr>
          <w:rFonts w:eastAsia="Calibri"/>
          <w:sz w:val="26"/>
          <w:szCs w:val="26"/>
          <w:lang w:eastAsia="en-US"/>
        </w:rPr>
        <w:t xml:space="preserve">valor de las cuotas del fondo </w:t>
      </w:r>
      <w:r w:rsidRPr="00996BD9">
        <w:rPr>
          <w:rFonts w:eastAsia="Calibri"/>
          <w:sz w:val="26"/>
          <w:szCs w:val="26"/>
          <w:lang w:eastAsia="en-US"/>
        </w:rPr>
        <w:lastRenderedPageBreak/>
        <w:t>debería fijarse de tal manera que los inversionistas que se retiran no trasladen el costo de liquidez a los que se quedan”.</w:t>
      </w:r>
    </w:p>
    <w:p w14:paraId="096C7231" w14:textId="77777777" w:rsidR="00996BD9" w:rsidRPr="00996BD9" w:rsidRDefault="00996BD9" w:rsidP="00996BD9">
      <w:pPr>
        <w:ind w:right="-159"/>
        <w:jc w:val="both"/>
        <w:rPr>
          <w:rFonts w:eastAsia="Calibri"/>
          <w:b/>
          <w:sz w:val="20"/>
          <w:szCs w:val="26"/>
          <w:lang w:eastAsia="en-US"/>
        </w:rPr>
      </w:pPr>
      <w:r w:rsidRPr="00996BD9">
        <w:rPr>
          <w:rFonts w:eastAsia="Calibri"/>
          <w:b/>
          <w:sz w:val="20"/>
          <w:szCs w:val="26"/>
          <w:lang w:eastAsia="en-US"/>
        </w:rPr>
        <w:t>Fuente de información:</w:t>
      </w:r>
    </w:p>
    <w:p w14:paraId="206581CB" w14:textId="77777777" w:rsidR="00996BD9" w:rsidRPr="00A65144" w:rsidRDefault="0045651A" w:rsidP="00A65144">
      <w:pPr>
        <w:spacing w:after="720"/>
        <w:ind w:right="-159"/>
        <w:jc w:val="both"/>
        <w:rPr>
          <w:rFonts w:eastAsia="Calibri"/>
          <w:color w:val="0000FF"/>
          <w:sz w:val="20"/>
          <w:szCs w:val="20"/>
          <w:lang w:eastAsia="en-US"/>
        </w:rPr>
      </w:pPr>
      <w:hyperlink r:id="rId417" w:history="1">
        <w:r w:rsidR="00996BD9" w:rsidRPr="00A65144">
          <w:rPr>
            <w:rFonts w:eastAsia="Calibri"/>
            <w:color w:val="0000FF"/>
            <w:sz w:val="20"/>
            <w:szCs w:val="20"/>
            <w:u w:val="single"/>
            <w:lang w:eastAsia="en-US"/>
          </w:rPr>
          <w:t>http://www.imf.org/external/spanish/pubs/ft/survey/so/2015/pol040815bs.htm</w:t>
        </w:r>
      </w:hyperlink>
      <w:r w:rsidR="00996BD9" w:rsidRPr="00A65144">
        <w:rPr>
          <w:rFonts w:eastAsia="Calibri"/>
          <w:color w:val="0000FF"/>
          <w:sz w:val="20"/>
          <w:szCs w:val="20"/>
          <w:lang w:eastAsia="en-US"/>
        </w:rPr>
        <w:t xml:space="preserve"> </w:t>
      </w:r>
    </w:p>
    <w:p w14:paraId="331540FA" w14:textId="77777777" w:rsidR="00C365A6" w:rsidRPr="00C365A6" w:rsidRDefault="00C365A6" w:rsidP="00C365A6">
      <w:pPr>
        <w:spacing w:after="360" w:line="360" w:lineRule="auto"/>
        <w:ind w:right="-159"/>
        <w:jc w:val="both"/>
        <w:rPr>
          <w:rFonts w:eastAsia="Calibri"/>
          <w:b/>
          <w:sz w:val="26"/>
          <w:szCs w:val="26"/>
          <w:lang w:eastAsia="en-US"/>
        </w:rPr>
      </w:pPr>
      <w:r w:rsidRPr="00C365A6">
        <w:rPr>
          <w:rFonts w:eastAsia="Calibri"/>
          <w:b/>
          <w:sz w:val="26"/>
          <w:szCs w:val="26"/>
          <w:lang w:eastAsia="en-US"/>
        </w:rPr>
        <w:t>Una nueva oleada de relajación monetaria</w:t>
      </w:r>
      <w:r w:rsidRPr="00C365A6">
        <w:rPr>
          <w:rFonts w:eastAsia="Calibri"/>
          <w:b/>
          <w:sz w:val="26"/>
          <w:szCs w:val="26"/>
          <w:vertAlign w:val="superscript"/>
          <w:lang w:eastAsia="en-US"/>
        </w:rPr>
        <w:footnoteReference w:id="77"/>
      </w:r>
      <w:r w:rsidRPr="00C365A6">
        <w:rPr>
          <w:rFonts w:eastAsia="Calibri"/>
          <w:b/>
          <w:sz w:val="26"/>
          <w:szCs w:val="26"/>
          <w:lang w:eastAsia="en-US"/>
        </w:rPr>
        <w:t xml:space="preserve"> (BPI)</w:t>
      </w:r>
    </w:p>
    <w:p w14:paraId="516A777C" w14:textId="58F1A8D9"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El 18 de marzo de 2015, el Banco de Pagos Internacionales (BPI) publicó en su </w:t>
      </w:r>
      <w:r w:rsidR="001C7810">
        <w:rPr>
          <w:rFonts w:eastAsia="Calibri"/>
          <w:sz w:val="26"/>
          <w:szCs w:val="26"/>
          <w:lang w:eastAsia="en-US"/>
        </w:rPr>
        <w:t>I</w:t>
      </w:r>
      <w:r w:rsidRPr="00C365A6">
        <w:rPr>
          <w:rFonts w:eastAsia="Calibri"/>
          <w:sz w:val="26"/>
          <w:szCs w:val="26"/>
          <w:lang w:eastAsia="en-US"/>
        </w:rPr>
        <w:t xml:space="preserve">nforme </w:t>
      </w:r>
      <w:r w:rsidR="001C7810">
        <w:rPr>
          <w:rFonts w:eastAsia="Calibri"/>
          <w:sz w:val="26"/>
          <w:szCs w:val="26"/>
          <w:lang w:eastAsia="en-US"/>
        </w:rPr>
        <w:t>T</w:t>
      </w:r>
      <w:r w:rsidRPr="00C365A6">
        <w:rPr>
          <w:rFonts w:eastAsia="Calibri"/>
          <w:sz w:val="26"/>
          <w:szCs w:val="26"/>
          <w:lang w:eastAsia="en-US"/>
        </w:rPr>
        <w:t>rimestral de marzo</w:t>
      </w:r>
      <w:r w:rsidR="001C7810">
        <w:rPr>
          <w:rFonts w:eastAsia="Calibri"/>
          <w:sz w:val="26"/>
          <w:szCs w:val="26"/>
          <w:lang w:eastAsia="en-US"/>
        </w:rPr>
        <w:t>,</w:t>
      </w:r>
      <w:r w:rsidRPr="00C365A6">
        <w:rPr>
          <w:rFonts w:eastAsia="Calibri"/>
          <w:sz w:val="26"/>
          <w:szCs w:val="26"/>
          <w:lang w:eastAsia="en-US"/>
        </w:rPr>
        <w:t xml:space="preserve"> el artículo “Una nueva oleada de relajación monetaria”. A continuación se presenta la información.</w:t>
      </w:r>
    </w:p>
    <w:p w14:paraId="7C76A084"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De manera imprevista, una oleada de política monetaria acomodaticia ha adquirido protagonismo en los mercados financieros internacionales en los últimos meses. En un contexto de desplome de los precios del petróleo y de crecientes tensiones en los tipos de cambio, numerosos bancos centrales de economías avanzadas y emergentes han introducido nuevos estímulos. El Banco Central Europeo (BCE) anunció un programa ampliado de compras de activos, más cuantioso y duradero de lo previsto inicialmente por los mercados.  </w:t>
      </w:r>
    </w:p>
    <w:p w14:paraId="6DF8EB4D"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El período de volatilidad excepcionalmente reducida en los mercados parecía estar tocando a su fin, conforme la volatilidad de la mayoría de las clases de activos revertía a niveles más próximos a sus promedios históricos. Este proceso fue más acusado en los mercados de materias primas, cuya volatilidad se disparó a principios de febrero ante la brusca caída de los precios del petróleo. La volatilidad repuntó también en los mercados de divisas, conforme las políticas monetarias más laxas comenzaron a presionar sobre los tipos de cambio controlados. El Banco Nacional de Suiza dio la </w:t>
      </w:r>
      <w:r w:rsidRPr="00C365A6">
        <w:rPr>
          <w:rFonts w:eastAsia="Calibri"/>
          <w:sz w:val="26"/>
          <w:szCs w:val="26"/>
          <w:lang w:eastAsia="en-US"/>
        </w:rPr>
        <w:lastRenderedPageBreak/>
        <w:t xml:space="preserve">sorpresa al eliminar su tipo de cambio mínimo franco suizo/euro, mientras otros bancos centrales reajustaban sus políticas en defensa de sus objetivos de tipo de cambio o de inflación. El dólar continuó apreciándose en un contexto de políticas monetarias divergentes y abaratando las materias primas.  </w:t>
      </w:r>
    </w:p>
    <w:p w14:paraId="0167D2DA" w14:textId="4157C9DB"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 mayor relajación efectiva y anticipada de la política monetaria por los bancos centrales generó condiciones inéditas en los mercados de deuda, aun comparadas con las de hace apenas un par de meses. Una considerable y creciente proporción de la deuda soberana cotizó con rendimientos negativos, cayendo incluso por debajo de cero en el caso de algunas emisiones de deuda corporativa de elevada calificación crediticia. Las tasas de interés extraordinariamente bajas y las reducidas primas de riesgo empujaron nuevamente a los </w:t>
      </w:r>
      <w:r w:rsidR="00BA61DD">
        <w:rPr>
          <w:rFonts w:eastAsia="Calibri"/>
          <w:sz w:val="26"/>
          <w:szCs w:val="26"/>
          <w:lang w:eastAsia="en-US"/>
        </w:rPr>
        <w:t>inversionistas</w:t>
      </w:r>
      <w:r w:rsidRPr="00C365A6">
        <w:rPr>
          <w:rFonts w:eastAsia="Calibri"/>
          <w:sz w:val="26"/>
          <w:szCs w:val="26"/>
          <w:lang w:eastAsia="en-US"/>
        </w:rPr>
        <w:t xml:space="preserve"> en busca de rendimiento hacia activos de mayor riesgo, impulsando los precios de la mayoría de las clases de activos hacia niveles máximos a primeros de marzo.</w:t>
      </w:r>
    </w:p>
    <w:p w14:paraId="07109BA3" w14:textId="77777777" w:rsidR="00C365A6" w:rsidRPr="00C365A6" w:rsidRDefault="00C365A6" w:rsidP="00C365A6">
      <w:pPr>
        <w:spacing w:after="360" w:line="360" w:lineRule="auto"/>
        <w:ind w:right="-159"/>
        <w:jc w:val="both"/>
        <w:rPr>
          <w:rFonts w:eastAsia="Calibri"/>
          <w:b/>
          <w:sz w:val="26"/>
          <w:szCs w:val="26"/>
          <w:lang w:eastAsia="en-US"/>
        </w:rPr>
      </w:pPr>
      <w:r w:rsidRPr="00C365A6">
        <w:rPr>
          <w:rFonts w:eastAsia="Calibri"/>
          <w:b/>
          <w:sz w:val="26"/>
          <w:szCs w:val="26"/>
          <w:lang w:eastAsia="en-US"/>
        </w:rPr>
        <w:t xml:space="preserve">Volatilidad y precios de los activos al alza </w:t>
      </w:r>
    </w:p>
    <w:p w14:paraId="232F76AA"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En los últimos meses, las volatilidades abandonaron sus excepcionales niveles mínimos de mediados de 2014, situándose más en consonancia con sus promedios históricos de largo plazo (ver la gráfica siguiente, panel izquierdo). Cambios en el clima de confianza de los mercados, principalmente inducidos por el abaratamiento del petróleo y los acontecimientos en Rusia y Grecia, se tradujeron en mayores volatilidades implícitas (prospectivas) de las principales clases de activos. La volatilidad más afectada fue la de los mercados de materias primas, con subidas de los precios del petróleo de hasta un 9% algunos días (ver la gráfica siguiente, panel central). Los mercados bursátiles también se mostraron más volátiles que durante el período septiembre-noviembre de 2014. La volatilidad de los tipos de cambio aumentó considerablemente, debido en parte a la divergencia de las políticas monetarias, disparándose tras la decisión del </w:t>
      </w:r>
      <w:r w:rsidRPr="00C365A6">
        <w:rPr>
          <w:rFonts w:eastAsia="Calibri"/>
          <w:sz w:val="26"/>
          <w:szCs w:val="26"/>
          <w:lang w:eastAsia="en-US"/>
        </w:rPr>
        <w:lastRenderedPageBreak/>
        <w:t xml:space="preserve">Banco Nacional de Suiza de abandonar el tipo de cambio mínimo franco suizo/euro (ver la gráfica siguiente, panel derecho).  </w:t>
      </w: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1F54FE41" w14:textId="77777777" w:rsidTr="00786917">
        <w:trPr>
          <w:jc w:val="center"/>
        </w:trPr>
        <w:tc>
          <w:tcPr>
            <w:tcW w:w="8840" w:type="dxa"/>
          </w:tcPr>
          <w:p w14:paraId="4231532B"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 xml:space="preserve">VUELVE LA VOLATILIDAD </w:t>
            </w:r>
          </w:p>
          <w:p w14:paraId="79507993"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-En puntos porcentuales-</w:t>
            </w:r>
          </w:p>
        </w:tc>
      </w:tr>
      <w:tr w:rsidR="00C365A6" w:rsidRPr="00C365A6" w14:paraId="26C24B0A" w14:textId="77777777" w:rsidTr="00786917">
        <w:trPr>
          <w:jc w:val="center"/>
        </w:trPr>
        <w:tc>
          <w:tcPr>
            <w:tcW w:w="8840" w:type="dxa"/>
          </w:tcPr>
          <w:p w14:paraId="1AAAD536"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16EEF02B" wp14:editId="67805FE2">
                  <wp:extent cx="5554014" cy="2412000"/>
                  <wp:effectExtent l="0" t="0" r="8890" b="7620"/>
                  <wp:docPr id="1543" name="Imagen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554014" cy="2412000"/>
                          </a:xfrm>
                          <a:prstGeom prst="rect">
                            <a:avLst/>
                          </a:prstGeom>
                          <a:noFill/>
                          <a:ln>
                            <a:noFill/>
                          </a:ln>
                        </pic:spPr>
                      </pic:pic>
                    </a:graphicData>
                  </a:graphic>
                </wp:inline>
              </w:drawing>
            </w:r>
          </w:p>
        </w:tc>
      </w:tr>
      <w:tr w:rsidR="00C365A6" w:rsidRPr="00C365A6" w14:paraId="2D937A06" w14:textId="77777777" w:rsidTr="00786917">
        <w:trPr>
          <w:jc w:val="center"/>
        </w:trPr>
        <w:tc>
          <w:tcPr>
            <w:tcW w:w="8840" w:type="dxa"/>
          </w:tcPr>
          <w:p w14:paraId="06C590FC"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Las líneas verticales de los paneles central y derecho indican: (i) el anuncio por parte del Banco de Japón de una ampliación de su programa de Relajación Monetaria Cuantitativa y Cualitativa (31 de octubre de 2014); (ii) el abandono por parte del Banco Nacional de Suiza del tipo de cambio mínimo de 1.2 francos suizos por euro (15 de enero de 2015); (iii) el anuncio por parte del BCE de su programa ampliado de compras de activos (22 de enero de 2015).</w:t>
            </w:r>
          </w:p>
          <w:p w14:paraId="6457B88F"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Volatilidad implícita de los índices bursátiles S&amp;P 500, EURO STOXX 50, FTSE 100 y Nikkei 225; media ponderada basada en la capitalización de mercado de los respectivos índices.    </w:t>
            </w:r>
          </w:p>
          <w:p w14:paraId="14503BD0"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Media simple de la volatilidad implícita de las opciones </w:t>
            </w:r>
            <w:r w:rsidRPr="00C365A6">
              <w:rPr>
                <w:rFonts w:eastAsia="Calibri"/>
                <w:i/>
                <w:sz w:val="20"/>
                <w:szCs w:val="20"/>
                <w:lang w:eastAsia="en-US"/>
              </w:rPr>
              <w:t>at-the-money</w:t>
            </w:r>
            <w:r w:rsidRPr="00C365A6">
              <w:rPr>
                <w:rFonts w:eastAsia="Calibri"/>
                <w:sz w:val="20"/>
                <w:szCs w:val="20"/>
                <w:lang w:eastAsia="en-US"/>
              </w:rPr>
              <w:t xml:space="preserve"> sobre contratos de futuros sobre petróleo, oro y cobre.    </w:t>
            </w:r>
          </w:p>
          <w:p w14:paraId="651369AF"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xml:space="preserve">/ Volatilidad implícita de las opciones </w:t>
            </w:r>
            <w:r w:rsidRPr="00C365A6">
              <w:rPr>
                <w:rFonts w:eastAsia="Calibri"/>
                <w:i/>
                <w:sz w:val="20"/>
                <w:szCs w:val="20"/>
                <w:lang w:eastAsia="en-US"/>
              </w:rPr>
              <w:t>at-the-money</w:t>
            </w:r>
            <w:r w:rsidRPr="00C365A6">
              <w:rPr>
                <w:rFonts w:eastAsia="Calibri"/>
                <w:sz w:val="20"/>
                <w:szCs w:val="20"/>
                <w:lang w:eastAsia="en-US"/>
              </w:rPr>
              <w:t xml:space="preserve"> sobre futuros de deuda a largo plazo de Alemania, Estados Unidos de Norteamérica, Japón y el Reino Unido; media ponderada calculada utilizando el PIB y los tipos de cambio PPA.</w:t>
            </w:r>
          </w:p>
          <w:p w14:paraId="34CA5796"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lang w:eastAsia="en-US"/>
              </w:rPr>
              <w:t xml:space="preserve">4/ Índice JPMorgan VXY Global, un índice, ponderado por el volumen de contratación, de la volatilidad implícita de las opciones </w:t>
            </w:r>
            <w:r w:rsidRPr="00C365A6">
              <w:rPr>
                <w:rFonts w:eastAsia="Calibri"/>
                <w:i/>
                <w:sz w:val="20"/>
                <w:szCs w:val="20"/>
                <w:lang w:eastAsia="en-US"/>
              </w:rPr>
              <w:t>at-the-money</w:t>
            </w:r>
            <w:r w:rsidRPr="00C365A6">
              <w:rPr>
                <w:rFonts w:eastAsia="Calibri"/>
                <w:sz w:val="20"/>
                <w:szCs w:val="20"/>
                <w:lang w:eastAsia="en-US"/>
              </w:rPr>
              <w:t xml:space="preserve"> a tres meses sobre 23 tipos de cambio frente al dólar estadounidense.    </w:t>
            </w:r>
          </w:p>
          <w:p w14:paraId="518ED661"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5</w:t>
            </w:r>
            <w:r w:rsidRPr="00C365A6">
              <w:rPr>
                <w:rFonts w:eastAsia="Calibri"/>
                <w:sz w:val="20"/>
                <w:szCs w:val="20"/>
                <w:lang w:eastAsia="en-US"/>
              </w:rPr>
              <w:t>/ Los datos comienzan en 2001.</w:t>
            </w:r>
          </w:p>
          <w:p w14:paraId="6FC32C9D"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Bloomberg</w:t>
            </w:r>
            <w:r w:rsidRPr="00C365A6">
              <w:rPr>
                <w:rFonts w:eastAsia="Calibri"/>
                <w:sz w:val="20"/>
                <w:szCs w:val="20"/>
                <w:lang w:eastAsia="en-US"/>
              </w:rPr>
              <w:t>; cálculos del BPI.</w:t>
            </w:r>
          </w:p>
        </w:tc>
      </w:tr>
    </w:tbl>
    <w:p w14:paraId="0DBCFCBE" w14:textId="77777777" w:rsidR="00C365A6" w:rsidRPr="00C365A6" w:rsidRDefault="00C365A6" w:rsidP="00C365A6">
      <w:pPr>
        <w:spacing w:after="360" w:line="360" w:lineRule="auto"/>
        <w:ind w:right="-159"/>
        <w:jc w:val="both"/>
        <w:rPr>
          <w:rFonts w:eastAsia="Calibri"/>
          <w:sz w:val="26"/>
          <w:szCs w:val="26"/>
          <w:lang w:eastAsia="en-US"/>
        </w:rPr>
      </w:pPr>
    </w:p>
    <w:p w14:paraId="2638C038"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Pese a los episodios más acusados de volatilidad, los precios de la mayoría de las clases de activos alcanzaron o rozaron nuevos máximos. Tras las bruscas correcciones de diciembre y comienzos de enero, las bolsas se dispararon en todo el mundo, ante las políticas monetarias más laxas adoptadas tanto en economías avanzadas como emergentes (ver la gráfica siguiente, panel izquierdo). Los rendimientos de la deuda pública continuaron cayendo, en muchos casos hasta nuevos mínimos (ver la gráfica </w:t>
      </w:r>
      <w:r w:rsidRPr="00C365A6">
        <w:rPr>
          <w:rFonts w:eastAsia="Calibri"/>
          <w:sz w:val="26"/>
          <w:szCs w:val="26"/>
          <w:lang w:eastAsia="en-US"/>
        </w:rPr>
        <w:lastRenderedPageBreak/>
        <w:t>siguiente, panel central). Los diferenciales de rendimiento de la deuda corporativa cayeron tras su repunte en diciembre, tanto en economías avanzadas como emergentes (ver la gráfica siguiente, panel derecho). El abaratamiento del petróleo había ampliado los diferenciales de rendimiento de las empresas estadounidenses en particular</w:t>
      </w:r>
      <w:r w:rsidRPr="00C365A6">
        <w:rPr>
          <w:rFonts w:eastAsia="Calibri"/>
          <w:sz w:val="26"/>
          <w:szCs w:val="26"/>
          <w:vertAlign w:val="superscript"/>
          <w:lang w:eastAsia="en-US"/>
        </w:rPr>
        <w:footnoteReference w:id="78"/>
      </w:r>
      <w:r w:rsidRPr="00C365A6">
        <w:rPr>
          <w:rFonts w:eastAsia="Calibri"/>
          <w:sz w:val="26"/>
          <w:szCs w:val="26"/>
          <w:lang w:eastAsia="en-US"/>
        </w:rPr>
        <w:t xml:space="preserve">, si bien comenzaron a retroceder con la recuperación de los precios del petróleo a partir de principios de febrero.  </w:t>
      </w: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3E68841D" w14:textId="77777777" w:rsidTr="00EA3974">
        <w:trPr>
          <w:jc w:val="center"/>
        </w:trPr>
        <w:tc>
          <w:tcPr>
            <w:tcW w:w="9259" w:type="dxa"/>
          </w:tcPr>
          <w:p w14:paraId="6A32EAD9"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LOS MERCADOS FINANCIEROS CONTINÚAN ALCISTAS</w:t>
            </w:r>
          </w:p>
        </w:tc>
      </w:tr>
      <w:tr w:rsidR="00C365A6" w:rsidRPr="00C365A6" w14:paraId="21951635" w14:textId="77777777" w:rsidTr="00EA3974">
        <w:trPr>
          <w:jc w:val="center"/>
        </w:trPr>
        <w:tc>
          <w:tcPr>
            <w:tcW w:w="9259" w:type="dxa"/>
          </w:tcPr>
          <w:p w14:paraId="4AA11AFC"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42EB5F22" wp14:editId="5AAD62C2">
                  <wp:extent cx="5581420" cy="2628000"/>
                  <wp:effectExtent l="0" t="0" r="635" b="1270"/>
                  <wp:docPr id="1544" name="Imagen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5581420" cy="2628000"/>
                          </a:xfrm>
                          <a:prstGeom prst="rect">
                            <a:avLst/>
                          </a:prstGeom>
                          <a:noFill/>
                          <a:ln>
                            <a:noFill/>
                          </a:ln>
                        </pic:spPr>
                      </pic:pic>
                    </a:graphicData>
                  </a:graphic>
                </wp:inline>
              </w:drawing>
            </w:r>
          </w:p>
        </w:tc>
      </w:tr>
      <w:tr w:rsidR="00C365A6" w:rsidRPr="00C365A6" w14:paraId="32894950" w14:textId="77777777" w:rsidTr="00EA3974">
        <w:trPr>
          <w:jc w:val="center"/>
        </w:trPr>
        <w:tc>
          <w:tcPr>
            <w:tcW w:w="9259" w:type="dxa"/>
          </w:tcPr>
          <w:p w14:paraId="6F81AEDE" w14:textId="77777777" w:rsidR="00C365A6" w:rsidRPr="00C365A6" w:rsidRDefault="00C365A6" w:rsidP="00C365A6">
            <w:pPr>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Índices bursátiles, en moneda local.</w:t>
            </w:r>
          </w:p>
          <w:p w14:paraId="5D1E5CA7" w14:textId="77777777" w:rsidR="00C365A6" w:rsidRPr="00C365A6" w:rsidRDefault="00C365A6" w:rsidP="00C365A6">
            <w:pPr>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Diferenciales, ajustados de opciones, de un índice de deuda no soberana.</w:t>
            </w:r>
          </w:p>
          <w:p w14:paraId="70D562FC" w14:textId="77777777" w:rsidR="00C365A6" w:rsidRPr="00C365A6" w:rsidRDefault="00C365A6" w:rsidP="00C365A6">
            <w:pPr>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xml:space="preserve">/ Índice MSCI </w:t>
            </w:r>
            <w:r w:rsidRPr="00C365A6">
              <w:rPr>
                <w:rFonts w:eastAsia="Calibri"/>
                <w:i/>
                <w:sz w:val="20"/>
                <w:szCs w:val="20"/>
                <w:lang w:eastAsia="en-US"/>
              </w:rPr>
              <w:t>Emerging Markets</w:t>
            </w:r>
            <w:r w:rsidRPr="00C365A6">
              <w:rPr>
                <w:rFonts w:eastAsia="Calibri"/>
                <w:sz w:val="20"/>
                <w:szCs w:val="20"/>
                <w:lang w:eastAsia="en-US"/>
              </w:rPr>
              <w:t xml:space="preserve">.    </w:t>
            </w:r>
          </w:p>
          <w:p w14:paraId="4543421A"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4</w:t>
            </w:r>
            <w:r w:rsidRPr="00C365A6">
              <w:rPr>
                <w:rFonts w:eastAsia="Calibri"/>
                <w:sz w:val="20"/>
                <w:szCs w:val="20"/>
                <w:lang w:eastAsia="en-US"/>
              </w:rPr>
              <w:t xml:space="preserve">/ Índice JPMorgan GBI-EM </w:t>
            </w:r>
            <w:r w:rsidRPr="00C365A6">
              <w:rPr>
                <w:rFonts w:eastAsia="Calibri"/>
                <w:i/>
                <w:sz w:val="20"/>
                <w:szCs w:val="20"/>
                <w:lang w:eastAsia="en-US"/>
              </w:rPr>
              <w:t>Broad Diversified</w:t>
            </w:r>
            <w:r w:rsidRPr="00C365A6">
              <w:rPr>
                <w:rFonts w:eastAsia="Calibri"/>
                <w:sz w:val="20"/>
                <w:szCs w:val="20"/>
                <w:lang w:eastAsia="en-US"/>
              </w:rPr>
              <w:t xml:space="preserve">, rendimiento al vencimiento. Este índice ofrece un indicador agregado de la deuda pública a tasa de interés fija emitida en las economías de mercado emergentes en moneda local.    </w:t>
            </w:r>
          </w:p>
          <w:p w14:paraId="404BB04B" w14:textId="77777777" w:rsidR="00C365A6" w:rsidRPr="00C365A6" w:rsidRDefault="00C365A6" w:rsidP="00C365A6">
            <w:pPr>
              <w:jc w:val="both"/>
              <w:rPr>
                <w:rFonts w:eastAsia="Calibri"/>
                <w:sz w:val="20"/>
                <w:szCs w:val="20"/>
                <w:lang w:eastAsia="en-US"/>
              </w:rPr>
            </w:pPr>
            <w:r w:rsidRPr="00C365A6">
              <w:rPr>
                <w:rFonts w:eastAsia="Calibri"/>
                <w:sz w:val="20"/>
                <w:szCs w:val="20"/>
                <w:u w:val="single"/>
                <w:lang w:eastAsia="en-US"/>
              </w:rPr>
              <w:t>5</w:t>
            </w:r>
            <w:r w:rsidRPr="00C365A6">
              <w:rPr>
                <w:rFonts w:eastAsia="Calibri"/>
                <w:sz w:val="20"/>
                <w:szCs w:val="20"/>
                <w:lang w:eastAsia="en-US"/>
              </w:rPr>
              <w:t xml:space="preserve">/ Rendimientos de la deuda pública a 10 años. </w:t>
            </w:r>
          </w:p>
          <w:p w14:paraId="32B706B6"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Bank of America Merrill Lynch; Bloomberg; Datastream</w:t>
            </w:r>
            <w:r w:rsidRPr="00C365A6">
              <w:rPr>
                <w:rFonts w:eastAsia="Calibri"/>
                <w:sz w:val="20"/>
                <w:szCs w:val="20"/>
                <w:lang w:eastAsia="en-US"/>
              </w:rPr>
              <w:t>; datos nacionales.</w:t>
            </w:r>
          </w:p>
        </w:tc>
      </w:tr>
    </w:tbl>
    <w:p w14:paraId="57CE49B1" w14:textId="77777777" w:rsidR="00C365A6" w:rsidRPr="00C365A6" w:rsidRDefault="00C365A6" w:rsidP="00C365A6">
      <w:pPr>
        <w:spacing w:after="360" w:line="360" w:lineRule="auto"/>
        <w:ind w:right="-159"/>
        <w:jc w:val="both"/>
        <w:rPr>
          <w:rFonts w:eastAsia="Calibri"/>
          <w:sz w:val="26"/>
          <w:szCs w:val="26"/>
          <w:lang w:eastAsia="en-US"/>
        </w:rPr>
      </w:pPr>
    </w:p>
    <w:p w14:paraId="1FEDFE05" w14:textId="77777777" w:rsidR="00C365A6" w:rsidRPr="00C365A6" w:rsidRDefault="00C365A6" w:rsidP="00C365A6">
      <w:pPr>
        <w:spacing w:after="360" w:line="360" w:lineRule="auto"/>
        <w:ind w:right="-159"/>
        <w:jc w:val="both"/>
        <w:rPr>
          <w:rFonts w:eastAsia="Calibri"/>
          <w:b/>
          <w:sz w:val="26"/>
          <w:szCs w:val="26"/>
          <w:lang w:eastAsia="en-US"/>
        </w:rPr>
      </w:pPr>
      <w:r w:rsidRPr="00C365A6">
        <w:rPr>
          <w:rFonts w:eastAsia="Calibri"/>
          <w:b/>
          <w:sz w:val="26"/>
          <w:szCs w:val="26"/>
          <w:lang w:eastAsia="en-US"/>
        </w:rPr>
        <w:t xml:space="preserve">Convulsión en los mercados de materias primas </w:t>
      </w:r>
    </w:p>
    <w:p w14:paraId="0836BCD1"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Las fuertes oscilaciones del precio del petróleo impulsaron la volatilidad de las materias primas (ver la gráfica siguiente, panel izquierdo). El precio del Brent pasó de 71 dólares por barril a primeros de diciembre a 45 dólares a mediados de enero, si bien luego se </w:t>
      </w:r>
      <w:r w:rsidRPr="00C365A6">
        <w:rPr>
          <w:rFonts w:eastAsia="Calibri"/>
          <w:sz w:val="26"/>
          <w:szCs w:val="26"/>
          <w:lang w:eastAsia="en-US"/>
        </w:rPr>
        <w:lastRenderedPageBreak/>
        <w:t>recuperó y estabilizó a 60 dólares a mediados de febrero. En este sentido, resultó clave el aumento de la oferta y, en particular, los cambios de los objetivos de producción de los principales países exportadores. Además, los factores financieros podrían haber amplificado y agudizado la caída inicial</w:t>
      </w:r>
      <w:r w:rsidRPr="00C365A6">
        <w:rPr>
          <w:rFonts w:eastAsia="Calibri"/>
          <w:sz w:val="26"/>
          <w:szCs w:val="26"/>
          <w:vertAlign w:val="superscript"/>
          <w:lang w:eastAsia="en-US"/>
        </w:rPr>
        <w:footnoteReference w:id="79"/>
      </w:r>
      <w:r w:rsidRPr="00C365A6">
        <w:rPr>
          <w:rFonts w:eastAsia="Calibri"/>
          <w:sz w:val="26"/>
          <w:szCs w:val="26"/>
          <w:lang w:eastAsia="en-US"/>
        </w:rPr>
        <w:t xml:space="preserve">. La incertidumbre asociada a estos elementos generó una creciente dispersión de las previsiones sobre los precios del petróleo (ver la gráfica siguiente, panel derecho).  </w:t>
      </w: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247AD8A0" w14:textId="77777777" w:rsidTr="00EA3974">
        <w:trPr>
          <w:jc w:val="center"/>
        </w:trPr>
        <w:tc>
          <w:tcPr>
            <w:tcW w:w="9259" w:type="dxa"/>
          </w:tcPr>
          <w:p w14:paraId="36F65DD7"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DESPLOME DE LOS PRECIOS DEL PETRÓLEO</w:t>
            </w:r>
          </w:p>
        </w:tc>
      </w:tr>
      <w:tr w:rsidR="00C365A6" w:rsidRPr="00C365A6" w14:paraId="67F64C45" w14:textId="77777777" w:rsidTr="00EA3974">
        <w:trPr>
          <w:jc w:val="center"/>
        </w:trPr>
        <w:tc>
          <w:tcPr>
            <w:tcW w:w="9259" w:type="dxa"/>
          </w:tcPr>
          <w:p w14:paraId="17D52B99"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48B28A49" wp14:editId="046FFC3F">
                  <wp:extent cx="5573903" cy="2376000"/>
                  <wp:effectExtent l="0" t="0" r="0" b="5715"/>
                  <wp:docPr id="1545" name="Imagen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5573903" cy="2376000"/>
                          </a:xfrm>
                          <a:prstGeom prst="rect">
                            <a:avLst/>
                          </a:prstGeom>
                          <a:noFill/>
                          <a:ln>
                            <a:noFill/>
                          </a:ln>
                        </pic:spPr>
                      </pic:pic>
                    </a:graphicData>
                  </a:graphic>
                </wp:inline>
              </w:drawing>
            </w:r>
          </w:p>
        </w:tc>
      </w:tr>
      <w:tr w:rsidR="00C365A6" w:rsidRPr="00C365A6" w14:paraId="59FC44F1" w14:textId="77777777" w:rsidTr="00EA3974">
        <w:trPr>
          <w:jc w:val="center"/>
        </w:trPr>
        <w:tc>
          <w:tcPr>
            <w:tcW w:w="9259" w:type="dxa"/>
          </w:tcPr>
          <w:p w14:paraId="6ED8DC0A"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Desviación típica transversal de las previsiones de los participantes en la encuesta de </w:t>
            </w:r>
            <w:r w:rsidRPr="00C365A6">
              <w:rPr>
                <w:rFonts w:eastAsia="Calibri"/>
                <w:i/>
                <w:sz w:val="20"/>
                <w:szCs w:val="20"/>
                <w:lang w:eastAsia="en-US"/>
              </w:rPr>
              <w:t>Bloomberg</w:t>
            </w:r>
            <w:r w:rsidRPr="00C365A6">
              <w:rPr>
                <w:rFonts w:eastAsia="Calibri"/>
                <w:sz w:val="20"/>
                <w:szCs w:val="20"/>
                <w:lang w:eastAsia="en-US"/>
              </w:rPr>
              <w:t xml:space="preserve"> sobre precios de las materias primas a seis meses vista, dividida entre la media transversal comparable. </w:t>
            </w:r>
          </w:p>
          <w:p w14:paraId="107E57D5"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Bloomberg; Datastream</w:t>
            </w:r>
            <w:r w:rsidRPr="00C365A6">
              <w:rPr>
                <w:rFonts w:eastAsia="Calibri"/>
                <w:sz w:val="20"/>
                <w:szCs w:val="20"/>
                <w:lang w:eastAsia="en-US"/>
              </w:rPr>
              <w:t>; cálculos del BPI.</w:t>
            </w:r>
          </w:p>
        </w:tc>
      </w:tr>
    </w:tbl>
    <w:p w14:paraId="3DEDC517" w14:textId="77777777" w:rsidR="00C365A6" w:rsidRPr="00C365A6" w:rsidRDefault="00C365A6" w:rsidP="00C365A6">
      <w:pPr>
        <w:spacing w:after="360" w:line="360" w:lineRule="auto"/>
        <w:ind w:right="-159"/>
        <w:jc w:val="both"/>
        <w:rPr>
          <w:rFonts w:eastAsia="Calibri"/>
          <w:sz w:val="26"/>
          <w:szCs w:val="26"/>
          <w:lang w:eastAsia="en-US"/>
        </w:rPr>
      </w:pPr>
    </w:p>
    <w:p w14:paraId="65AEE0A4" w14:textId="569AC866"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Los precios de los metales industriales y de las materias primas agrícolas también retrocedieron, aunque menos que los del petróleo, suscitando dudas sobre la importancia de los factores de demanda como inductores del abaratamiento del petróleo. El precio del cobre, habitualmente un indicador robusto de la actividad a escala mundial, cayó un 10% durante el período analizado. Gran parte de este descenso obedeció a ventas masivas aparentemente realizadas a mediados de enero por </w:t>
      </w:r>
      <w:r w:rsidRPr="00C365A6">
        <w:rPr>
          <w:rFonts w:eastAsia="Calibri"/>
          <w:i/>
          <w:sz w:val="26"/>
          <w:szCs w:val="26"/>
          <w:lang w:eastAsia="en-US"/>
        </w:rPr>
        <w:t>hedge funds</w:t>
      </w:r>
      <w:r w:rsidRPr="00C365A6">
        <w:rPr>
          <w:rFonts w:eastAsia="Calibri"/>
          <w:sz w:val="26"/>
          <w:szCs w:val="26"/>
          <w:lang w:eastAsia="en-US"/>
        </w:rPr>
        <w:t xml:space="preserve"> radicados en China, preocupados por el menor crecimiento en ese país y ante unas </w:t>
      </w:r>
      <w:r w:rsidRPr="00C365A6">
        <w:rPr>
          <w:rFonts w:eastAsia="Calibri"/>
          <w:sz w:val="26"/>
          <w:szCs w:val="26"/>
          <w:lang w:eastAsia="en-US"/>
        </w:rPr>
        <w:lastRenderedPageBreak/>
        <w:t xml:space="preserve">perspectivas generalmente negativas de los </w:t>
      </w:r>
      <w:r w:rsidR="00BA61DD">
        <w:rPr>
          <w:rFonts w:eastAsia="Calibri"/>
          <w:sz w:val="26"/>
          <w:szCs w:val="26"/>
          <w:lang w:eastAsia="en-US"/>
        </w:rPr>
        <w:t>inversionistas</w:t>
      </w:r>
      <w:r w:rsidRPr="00C365A6">
        <w:rPr>
          <w:rFonts w:eastAsia="Calibri"/>
          <w:sz w:val="26"/>
          <w:szCs w:val="26"/>
          <w:lang w:eastAsia="en-US"/>
        </w:rPr>
        <w:t xml:space="preserve"> financieros sobre la evolución de las materias primas. </w:t>
      </w:r>
    </w:p>
    <w:p w14:paraId="00ECD2E4" w14:textId="77777777"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Las caídas de los precios del petróleo lastraron gravemente la rentabilidad y las perspectivas de las empresas relacionadas con la energía. Como consecuencia, las cotizaciones bursátiles de estas empresas se desplomaron y los costes de su deuda se dispararon, aunque más adelante las primeras se estabilizaron y los segundos revertieron parcialmente al remontar los precios del petróleo en febrero (ver la gráfica siguiente, paneles izquierdo y central). Las elevadas cargas de la deuda podrían obligar a estas empresas a mantener la producción pese a la caída de los precios a fin de generar el flujo de caja necesario para afrontar el servicio de la deuda, introduciendo así nuevas presiones bajistas sobre el precio del petróleo.</w:t>
      </w:r>
    </w:p>
    <w:p w14:paraId="03F51948" w14:textId="77777777" w:rsidR="00786917" w:rsidRDefault="00786917" w:rsidP="00C365A6">
      <w:pPr>
        <w:spacing w:after="360" w:line="360" w:lineRule="auto"/>
        <w:ind w:right="-159"/>
        <w:jc w:val="both"/>
        <w:rPr>
          <w:rFonts w:eastAsia="Calibri"/>
          <w:sz w:val="26"/>
          <w:szCs w:val="26"/>
          <w:lang w:eastAsia="en-US"/>
        </w:rPr>
      </w:pPr>
    </w:p>
    <w:p w14:paraId="6CD7A0B7" w14:textId="77777777" w:rsidR="00786917" w:rsidRDefault="00786917" w:rsidP="00C365A6">
      <w:pPr>
        <w:spacing w:after="360" w:line="360" w:lineRule="auto"/>
        <w:ind w:right="-159"/>
        <w:jc w:val="both"/>
        <w:rPr>
          <w:rFonts w:eastAsia="Calibri"/>
          <w:sz w:val="26"/>
          <w:szCs w:val="26"/>
          <w:lang w:eastAsia="en-US"/>
        </w:rPr>
      </w:pPr>
    </w:p>
    <w:p w14:paraId="273D8A36" w14:textId="77777777" w:rsidR="00786917" w:rsidRDefault="00786917" w:rsidP="00C365A6">
      <w:pPr>
        <w:spacing w:after="360" w:line="360" w:lineRule="auto"/>
        <w:ind w:right="-159"/>
        <w:jc w:val="both"/>
        <w:rPr>
          <w:rFonts w:eastAsia="Calibri"/>
          <w:sz w:val="26"/>
          <w:szCs w:val="26"/>
          <w:lang w:eastAsia="en-US"/>
        </w:rPr>
      </w:pPr>
    </w:p>
    <w:p w14:paraId="7EEC0BA9" w14:textId="77777777" w:rsidR="00786917" w:rsidRDefault="00786917" w:rsidP="00C365A6">
      <w:pPr>
        <w:spacing w:after="360" w:line="360" w:lineRule="auto"/>
        <w:ind w:right="-159"/>
        <w:jc w:val="both"/>
        <w:rPr>
          <w:rFonts w:eastAsia="Calibri"/>
          <w:sz w:val="26"/>
          <w:szCs w:val="26"/>
          <w:lang w:eastAsia="en-US"/>
        </w:rPr>
      </w:pPr>
    </w:p>
    <w:p w14:paraId="40884EA0" w14:textId="77777777" w:rsidR="00786917" w:rsidRDefault="00786917" w:rsidP="00C365A6">
      <w:pPr>
        <w:spacing w:after="360" w:line="360" w:lineRule="auto"/>
        <w:ind w:right="-159"/>
        <w:jc w:val="both"/>
        <w:rPr>
          <w:rFonts w:eastAsia="Calibri"/>
          <w:sz w:val="26"/>
          <w:szCs w:val="26"/>
          <w:lang w:eastAsia="en-US"/>
        </w:rPr>
      </w:pPr>
    </w:p>
    <w:p w14:paraId="483D3042" w14:textId="77777777" w:rsidR="00786917" w:rsidRDefault="00786917" w:rsidP="00C365A6">
      <w:pPr>
        <w:spacing w:after="360" w:line="360" w:lineRule="auto"/>
        <w:ind w:right="-159"/>
        <w:jc w:val="both"/>
        <w:rPr>
          <w:rFonts w:eastAsia="Calibri"/>
          <w:sz w:val="26"/>
          <w:szCs w:val="26"/>
          <w:lang w:eastAsia="en-US"/>
        </w:rPr>
      </w:pPr>
    </w:p>
    <w:p w14:paraId="6E712F89" w14:textId="77777777" w:rsidR="00786917" w:rsidRDefault="00786917" w:rsidP="00C365A6">
      <w:pPr>
        <w:spacing w:after="360" w:line="360" w:lineRule="auto"/>
        <w:ind w:right="-159"/>
        <w:jc w:val="both"/>
        <w:rPr>
          <w:rFonts w:eastAsia="Calibri"/>
          <w:sz w:val="26"/>
          <w:szCs w:val="26"/>
          <w:lang w:eastAsia="en-US"/>
        </w:rPr>
      </w:pPr>
    </w:p>
    <w:p w14:paraId="073999A0" w14:textId="77777777" w:rsidR="00786917" w:rsidRDefault="00786917" w:rsidP="00C365A6">
      <w:pPr>
        <w:spacing w:after="360" w:line="360" w:lineRule="auto"/>
        <w:ind w:right="-159"/>
        <w:jc w:val="both"/>
        <w:rPr>
          <w:rFonts w:eastAsia="Calibri"/>
          <w:sz w:val="26"/>
          <w:szCs w:val="26"/>
          <w:lang w:eastAsia="en-US"/>
        </w:rPr>
      </w:pPr>
    </w:p>
    <w:p w14:paraId="47C75688" w14:textId="77777777" w:rsidR="00786917" w:rsidRPr="00C365A6" w:rsidRDefault="00786917" w:rsidP="00C365A6">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2F5306E8" w14:textId="77777777" w:rsidTr="00EA3974">
        <w:trPr>
          <w:jc w:val="center"/>
        </w:trPr>
        <w:tc>
          <w:tcPr>
            <w:tcW w:w="9259" w:type="dxa"/>
          </w:tcPr>
          <w:p w14:paraId="18632A1B"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lastRenderedPageBreak/>
              <w:t>LA CAÍDA DE LOS PRECIOS DEL PETRÓLEO AGITA LOS MERCADOS FINANCIEROS</w:t>
            </w:r>
          </w:p>
        </w:tc>
      </w:tr>
      <w:tr w:rsidR="00C365A6" w:rsidRPr="00C365A6" w14:paraId="78C4B623" w14:textId="77777777" w:rsidTr="00EA3974">
        <w:trPr>
          <w:jc w:val="center"/>
        </w:trPr>
        <w:tc>
          <w:tcPr>
            <w:tcW w:w="9259" w:type="dxa"/>
          </w:tcPr>
          <w:p w14:paraId="1F3CC0FF"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572CBBAD" wp14:editId="6A28BDED">
                  <wp:extent cx="5576636" cy="2700000"/>
                  <wp:effectExtent l="0" t="0" r="5080" b="5715"/>
                  <wp:docPr id="1546" name="Imagen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576636" cy="2700000"/>
                          </a:xfrm>
                          <a:prstGeom prst="rect">
                            <a:avLst/>
                          </a:prstGeom>
                          <a:noFill/>
                          <a:ln>
                            <a:noFill/>
                          </a:ln>
                        </pic:spPr>
                      </pic:pic>
                    </a:graphicData>
                  </a:graphic>
                </wp:inline>
              </w:drawing>
            </w:r>
          </w:p>
        </w:tc>
      </w:tr>
      <w:tr w:rsidR="00C365A6" w:rsidRPr="00C365A6" w14:paraId="04761A30" w14:textId="77777777" w:rsidTr="00EA3974">
        <w:trPr>
          <w:jc w:val="center"/>
        </w:trPr>
        <w:tc>
          <w:tcPr>
            <w:tcW w:w="9259" w:type="dxa"/>
          </w:tcPr>
          <w:p w14:paraId="2D8C477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lang w:eastAsia="en-US"/>
              </w:rPr>
              <w:t>* EEUU: Estados Unidos de Norteamérica.</w:t>
            </w:r>
          </w:p>
          <w:p w14:paraId="799DEA3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Diferenciales, ajustados de opciones, de un índice de deuda no soberana con grado de inversión. El índice del sector energético de las EME incluye deuda no soberana, tanto con grado de inversión como de alta rentabilidad. En el caso de los índices del sector energético de Estados Unidos de Norteamérica y la zona del euro, los datos de marzo de 2015 se calculan a partir de los componentes del índice y sus respectivas ponderaciones a finales de febrero de 2015.    </w:t>
            </w:r>
          </w:p>
          <w:p w14:paraId="3A2ECE8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Dólares estadounidenses por unidad de moneda local. Un descenso indica una depreciación de la moneda local.    </w:t>
            </w:r>
          </w:p>
          <w:p w14:paraId="30B58116"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xml:space="preserve">/ Índice bursátil S&amp;P 500.    </w:t>
            </w:r>
          </w:p>
          <w:p w14:paraId="3E25E862"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4</w:t>
            </w:r>
            <w:r w:rsidRPr="00C365A6">
              <w:rPr>
                <w:rFonts w:eastAsia="Calibri"/>
                <w:sz w:val="20"/>
                <w:szCs w:val="20"/>
                <w:lang w:eastAsia="en-US"/>
              </w:rPr>
              <w:t xml:space="preserve">/ Índice bursátil MSCI </w:t>
            </w:r>
            <w:r w:rsidRPr="00C365A6">
              <w:rPr>
                <w:rFonts w:eastAsia="Calibri"/>
                <w:i/>
                <w:sz w:val="20"/>
                <w:szCs w:val="20"/>
                <w:lang w:eastAsia="en-US"/>
              </w:rPr>
              <w:t>European Economic and Monetary Union</w:t>
            </w:r>
            <w:r w:rsidRPr="00C365A6">
              <w:rPr>
                <w:rFonts w:eastAsia="Calibri"/>
                <w:sz w:val="20"/>
                <w:szCs w:val="20"/>
                <w:lang w:eastAsia="en-US"/>
              </w:rPr>
              <w:t xml:space="preserve">.    </w:t>
            </w:r>
          </w:p>
          <w:p w14:paraId="4F50C4B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5</w:t>
            </w:r>
            <w:r w:rsidRPr="00C365A6">
              <w:rPr>
                <w:rFonts w:eastAsia="Calibri"/>
                <w:sz w:val="20"/>
                <w:szCs w:val="20"/>
                <w:lang w:eastAsia="en-US"/>
              </w:rPr>
              <w:t xml:space="preserve">/ Índice bursátil MSCI </w:t>
            </w:r>
            <w:r w:rsidRPr="00C365A6">
              <w:rPr>
                <w:rFonts w:eastAsia="Calibri"/>
                <w:i/>
                <w:sz w:val="20"/>
                <w:szCs w:val="20"/>
                <w:lang w:eastAsia="en-US"/>
              </w:rPr>
              <w:t>Emerging Markets</w:t>
            </w:r>
            <w:r w:rsidRPr="00C365A6">
              <w:rPr>
                <w:rFonts w:eastAsia="Calibri"/>
                <w:sz w:val="20"/>
                <w:szCs w:val="20"/>
                <w:lang w:eastAsia="en-US"/>
              </w:rPr>
              <w:t xml:space="preserve">. </w:t>
            </w:r>
          </w:p>
          <w:p w14:paraId="689703B5"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Bank of America Merrill Lynch; Bloomberg; Datastream; </w:t>
            </w:r>
            <w:r w:rsidRPr="00C365A6">
              <w:rPr>
                <w:rFonts w:eastAsia="Calibri"/>
                <w:sz w:val="20"/>
                <w:szCs w:val="20"/>
                <w:lang w:eastAsia="en-US"/>
              </w:rPr>
              <w:t>datos nacionales; cálculos del BPI.</w:t>
            </w:r>
          </w:p>
        </w:tc>
      </w:tr>
    </w:tbl>
    <w:p w14:paraId="41D75856" w14:textId="77777777" w:rsidR="00C365A6" w:rsidRPr="00C365A6" w:rsidRDefault="00C365A6" w:rsidP="00C365A6">
      <w:pPr>
        <w:spacing w:after="360" w:line="360" w:lineRule="auto"/>
        <w:ind w:right="-159"/>
        <w:jc w:val="both"/>
        <w:rPr>
          <w:rFonts w:eastAsia="Calibri"/>
          <w:sz w:val="26"/>
          <w:szCs w:val="26"/>
          <w:lang w:eastAsia="en-US"/>
        </w:rPr>
      </w:pPr>
    </w:p>
    <w:p w14:paraId="7D64BE38"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 caída de los precios de las materias primas depreció los tipos de cambio de los países exportadores netos (ver la gráfica anterior, panel derecho). Los bancos centrales de Noruega y Canadá respondieron al riesgo de una desaceleración económica reduciendo sus tasas de interés, acentuando así las presiones bajistas sobre los tipos de cambio. A comienzos de febrero, el Banco de la Reserva de Australia recortó en 25 puntos básicos su principal tasa de interés oficial, hasta el 2.25%, apelando a su preocupación por la débil demanda interna. El banco central de Brasil, donde la exportación neta de materias primas representa el 36% de las exportaciones totales de bienes, constituyó una notable excepción a esta tendencia, al elevar su principal tasa de interés oficial en tres pasos, </w:t>
      </w:r>
      <w:r w:rsidRPr="00C365A6">
        <w:rPr>
          <w:rFonts w:eastAsia="Calibri"/>
          <w:sz w:val="26"/>
          <w:szCs w:val="26"/>
          <w:lang w:eastAsia="en-US"/>
        </w:rPr>
        <w:lastRenderedPageBreak/>
        <w:t>desde el 11.25 al 12.75%, alegando su preocupación ante una inflación superior al objetivo.</w:t>
      </w:r>
    </w:p>
    <w:p w14:paraId="1CE26887"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Entre las principales economías exportadoras de materias primas, Rusia se vio particularmente afectada por la convulsión en el mercado del petróleo. El rublo se desplomó un 18% entre principios de diciembre y finales de febrero, a consecuencia del efecto conjunto de los menores precios del petróleo, las sanciones internacionales y la abultada deuda exterior de sus empresas. El banco central ruso elevó su principal tasa de interés oficial del 10.5 al 17% a mediados de diciembre con el fin de apuntalar su moneda, para luego recortarla al 15% a finales de enero. La moneda rusa alcanzó un mínimo intradía histórico en 79 rublos por dólar el 16 de diciembre, ante la inquietud de que un importante productor de petróleo pudiera convertir en dólares estadounidenses los ingresos de una cuantiosa emisión de deuda.  </w:t>
      </w:r>
    </w:p>
    <w:p w14:paraId="34D0B206" w14:textId="77777777" w:rsidR="00C365A6" w:rsidRPr="00C365A6" w:rsidRDefault="00C365A6" w:rsidP="00C365A6">
      <w:pPr>
        <w:spacing w:after="360" w:line="360" w:lineRule="auto"/>
        <w:ind w:right="-159"/>
        <w:jc w:val="both"/>
        <w:rPr>
          <w:rFonts w:eastAsia="Calibri"/>
          <w:b/>
          <w:sz w:val="26"/>
          <w:szCs w:val="26"/>
          <w:lang w:eastAsia="en-US"/>
        </w:rPr>
      </w:pPr>
      <w:r w:rsidRPr="00C365A6">
        <w:rPr>
          <w:rFonts w:eastAsia="Calibri"/>
          <w:b/>
          <w:sz w:val="26"/>
          <w:szCs w:val="26"/>
          <w:lang w:eastAsia="en-US"/>
        </w:rPr>
        <w:t xml:space="preserve">Fortaleza del dólar, debilidad del euro </w:t>
      </w:r>
    </w:p>
    <w:p w14:paraId="454A65BF"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El desplome de los precios del petróleo coincidió con una continua apreciación del dólar estadounidense. Desde comienzos de diciembre de 2014 hasta primeros de marzo de 2015, el dólar se apreció alrededor de un 6%, ponderado por el comercio exterior (Gráfica siguiente, panel izquierdo). En particular, el billete verde se afianzó frente al euro y las monedas de un gran número de economías de mercado emergentes, tanto productoras como consumidoras de materias primas (Gráfica siguiente, panel derecho). Desde el inicio de la acusada caída de los precios de las materias primas a principios de junio de 2014 hasta el 4 de marzo, el dólar se ha apreciado más de un 12% en términos efectivos. Históricamente, un dólar fuerte ha venido acompañado de caídas de los precios de las materias primas. Esto refleja, en parte, el uso internacional del dólar como moneda de facturación: una apreciación del dólar provoca un encarecimiento de las materias primas en moneda local, lo que exige una caída de los precios para equilibrar la oferta y la demanda mundiales. Otras explicaciones podrían provenir de factores </w:t>
      </w:r>
      <w:r w:rsidRPr="00C365A6">
        <w:rPr>
          <w:rFonts w:eastAsia="Calibri"/>
          <w:sz w:val="26"/>
          <w:szCs w:val="26"/>
          <w:lang w:eastAsia="en-US"/>
        </w:rPr>
        <w:lastRenderedPageBreak/>
        <w:t>financieros</w:t>
      </w:r>
      <w:r w:rsidRPr="00C365A6">
        <w:rPr>
          <w:rFonts w:eastAsia="Calibri"/>
          <w:sz w:val="26"/>
          <w:szCs w:val="26"/>
          <w:vertAlign w:val="superscript"/>
          <w:lang w:eastAsia="en-US"/>
        </w:rPr>
        <w:footnoteReference w:id="80"/>
      </w:r>
      <w:r w:rsidRPr="00C365A6">
        <w:rPr>
          <w:rFonts w:eastAsia="Calibri"/>
          <w:sz w:val="26"/>
          <w:szCs w:val="26"/>
          <w:lang w:eastAsia="en-US"/>
        </w:rPr>
        <w:t xml:space="preserve"> y de unos menores flujos de capital hacia los productores de materias primas. </w:t>
      </w: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5294E808" w14:textId="77777777" w:rsidTr="00EA3974">
        <w:trPr>
          <w:jc w:val="center"/>
        </w:trPr>
        <w:tc>
          <w:tcPr>
            <w:tcW w:w="9259" w:type="dxa"/>
          </w:tcPr>
          <w:p w14:paraId="522E3ADC"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EL DÓLAR CONTINÚA APRECIÁNDOSE</w:t>
            </w:r>
          </w:p>
        </w:tc>
      </w:tr>
      <w:tr w:rsidR="00C365A6" w:rsidRPr="00C365A6" w14:paraId="640CEBBF" w14:textId="77777777" w:rsidTr="00EA3974">
        <w:trPr>
          <w:jc w:val="center"/>
        </w:trPr>
        <w:tc>
          <w:tcPr>
            <w:tcW w:w="9259" w:type="dxa"/>
          </w:tcPr>
          <w:p w14:paraId="35965A24"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380B2462" wp14:editId="1E7FA409">
                  <wp:extent cx="5565008" cy="2376000"/>
                  <wp:effectExtent l="0" t="0" r="0" b="5715"/>
                  <wp:docPr id="1547" name="Imagen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5565008" cy="2376000"/>
                          </a:xfrm>
                          <a:prstGeom prst="rect">
                            <a:avLst/>
                          </a:prstGeom>
                          <a:noFill/>
                          <a:ln>
                            <a:noFill/>
                          </a:ln>
                        </pic:spPr>
                      </pic:pic>
                    </a:graphicData>
                  </a:graphic>
                </wp:inline>
              </w:drawing>
            </w:r>
          </w:p>
        </w:tc>
      </w:tr>
      <w:tr w:rsidR="00C365A6" w:rsidRPr="00C365A6" w14:paraId="656D8A04" w14:textId="77777777" w:rsidTr="00EA3974">
        <w:trPr>
          <w:jc w:val="center"/>
        </w:trPr>
        <w:tc>
          <w:tcPr>
            <w:tcW w:w="9259" w:type="dxa"/>
          </w:tcPr>
          <w:p w14:paraId="5EBCE1F7"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lang w:eastAsia="en-US"/>
              </w:rPr>
              <w:t>* EEUU: Estados Unidos de Norteamérica.</w:t>
            </w:r>
          </w:p>
          <w:p w14:paraId="0F35A9EF"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Dólares de Estados Unidos de Norteamérica por unidad de moneda local. Un descenso indica una depreciación de la moneda local.    </w:t>
            </w:r>
          </w:p>
          <w:p w14:paraId="18C4EA3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Índices amplios del BPI sobre tipos de cambio efectivos nominales. Los índices se calculan como la media geométrica ponderada de una cesta de tipos de cambio bilaterales, derivándose las ponderaciones a partir de los flujos de comercio de manufacturas. Un descenso indica una depreciación de la moneda local. </w:t>
            </w:r>
          </w:p>
          <w:p w14:paraId="55597F17"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Datastream; </w:t>
            </w:r>
            <w:r w:rsidRPr="00C365A6">
              <w:rPr>
                <w:rFonts w:eastAsia="Calibri"/>
                <w:sz w:val="20"/>
                <w:szCs w:val="20"/>
                <w:lang w:eastAsia="en-US"/>
              </w:rPr>
              <w:t>datos nacionales; BPI; cálculos del BPI.</w:t>
            </w:r>
          </w:p>
        </w:tc>
      </w:tr>
    </w:tbl>
    <w:p w14:paraId="3654B48A" w14:textId="77777777" w:rsidR="00C365A6" w:rsidRPr="00C365A6" w:rsidRDefault="00C365A6" w:rsidP="00C365A6">
      <w:pPr>
        <w:spacing w:after="360" w:line="360" w:lineRule="auto"/>
        <w:ind w:right="-159"/>
        <w:jc w:val="both"/>
        <w:rPr>
          <w:rFonts w:eastAsia="Calibri"/>
          <w:sz w:val="26"/>
          <w:szCs w:val="26"/>
          <w:lang w:eastAsia="en-US"/>
        </w:rPr>
      </w:pPr>
    </w:p>
    <w:p w14:paraId="6A9ED9FD" w14:textId="77777777"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 fortaleza del dólar reflejó básicamente la solidez de la economía de Estados Unidos de Norteamérica. En este país, los valores medios de los índices de directores de compras del sector manufacturero (PMI) del período diciembre 2014–febrero 2015 fueron similares a los del primer semestre de 2014, indicando la consolidación de una fuerte actividad económica (Gráfica siguiente, panel izquierdo). Simultáneamente, las perspectivas de actividad económica continuaron débiles en muchas otras economías, pese a la caída de los precios del petróleo. Tanto el Banco Mundial como el Fondo Monetario Internacional (FMI) rebajaron sus previsiones de crecimiento mundial en enero, siendo la revisión del FMI la más acusada en tres años. </w:t>
      </w:r>
    </w:p>
    <w:p w14:paraId="454F7D37" w14:textId="77777777" w:rsidR="00786917" w:rsidRPr="00C365A6" w:rsidRDefault="00786917" w:rsidP="009543B0">
      <w:pPr>
        <w:spacing w:after="240"/>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6A96629E" w14:textId="77777777" w:rsidTr="00EA3974">
        <w:trPr>
          <w:jc w:val="center"/>
        </w:trPr>
        <w:tc>
          <w:tcPr>
            <w:tcW w:w="9259" w:type="dxa"/>
          </w:tcPr>
          <w:p w14:paraId="6B1DA02A"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FACTORES DETERMINANTES DE LA FORTALEZA DEL DÓLAR</w:t>
            </w:r>
          </w:p>
        </w:tc>
      </w:tr>
      <w:tr w:rsidR="00C365A6" w:rsidRPr="00C365A6" w14:paraId="39DD1B4C" w14:textId="77777777" w:rsidTr="00EA3974">
        <w:trPr>
          <w:jc w:val="center"/>
        </w:trPr>
        <w:tc>
          <w:tcPr>
            <w:tcW w:w="9259" w:type="dxa"/>
          </w:tcPr>
          <w:p w14:paraId="26522EE0"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21C4BE58" wp14:editId="13C6FDFA">
                  <wp:extent cx="5521273" cy="2592000"/>
                  <wp:effectExtent l="0" t="0" r="3810" b="0"/>
                  <wp:docPr id="1548" name="Imagen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5521273" cy="2592000"/>
                          </a:xfrm>
                          <a:prstGeom prst="rect">
                            <a:avLst/>
                          </a:prstGeom>
                          <a:noFill/>
                          <a:ln>
                            <a:noFill/>
                          </a:ln>
                        </pic:spPr>
                      </pic:pic>
                    </a:graphicData>
                  </a:graphic>
                </wp:inline>
              </w:drawing>
            </w:r>
          </w:p>
        </w:tc>
      </w:tr>
      <w:tr w:rsidR="00C365A6" w:rsidRPr="00C365A6" w14:paraId="2763ABCD" w14:textId="77777777" w:rsidTr="00EA3974">
        <w:trPr>
          <w:jc w:val="center"/>
        </w:trPr>
        <w:tc>
          <w:tcPr>
            <w:tcW w:w="9259" w:type="dxa"/>
          </w:tcPr>
          <w:p w14:paraId="726CF6DE"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lang w:eastAsia="en-US"/>
              </w:rPr>
              <w:t>* EEUU: Estados Unidos de Norteamérica.</w:t>
            </w:r>
          </w:p>
          <w:p w14:paraId="59478EB2"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BR = Brasil; CN = China; DE = Alemania; FR = Francia; GB = Reino Unido; IN = India; JP = Japón; TR = Turquía; US = Estados Unidos de Norteamérica; XM = zona del euro.</w:t>
            </w:r>
          </w:p>
          <w:p w14:paraId="293A19CF"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Índices de directores de compras (PMI) a partir de encuestas mensuales a empresas del sector privado. Cifras superiores (inferiores) a 50 indican una expansión (contracción).    </w:t>
            </w:r>
          </w:p>
          <w:p w14:paraId="34FCD731"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Basados en </w:t>
            </w:r>
            <w:r w:rsidRPr="00C365A6">
              <w:rPr>
                <w:rFonts w:eastAsia="Calibri"/>
                <w:i/>
                <w:sz w:val="20"/>
                <w:szCs w:val="20"/>
                <w:lang w:eastAsia="en-US"/>
              </w:rPr>
              <w:t>swaps</w:t>
            </w:r>
            <w:r w:rsidRPr="00C365A6">
              <w:rPr>
                <w:rFonts w:eastAsia="Calibri"/>
                <w:sz w:val="20"/>
                <w:szCs w:val="20"/>
                <w:lang w:eastAsia="en-US"/>
              </w:rPr>
              <w:t xml:space="preserve"> de tasas de interés. Media ponderada, basada en el comercio bilateral en 2008–10 de Australia, Canadá, la zona del euro, Japón, Noruega, Suecia, Suiza y el Reino Unido.    </w:t>
            </w:r>
          </w:p>
          <w:p w14:paraId="62D84718"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xml:space="preserve">/ Futuros sobre fondos federales a 30 días.    </w:t>
            </w:r>
          </w:p>
          <w:p w14:paraId="1E2C4AD3"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4</w:t>
            </w:r>
            <w:r w:rsidRPr="00C365A6">
              <w:rPr>
                <w:rFonts w:eastAsia="Calibri"/>
                <w:sz w:val="20"/>
                <w:szCs w:val="20"/>
                <w:lang w:eastAsia="en-US"/>
              </w:rPr>
              <w:t>/ Futuros sobre Euribor a tres meses.</w:t>
            </w:r>
          </w:p>
          <w:p w14:paraId="243F31BB"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Bloomberg; Datastream; </w:t>
            </w:r>
            <w:r w:rsidRPr="00C365A6">
              <w:rPr>
                <w:rFonts w:eastAsia="Calibri"/>
                <w:sz w:val="20"/>
                <w:szCs w:val="20"/>
                <w:lang w:eastAsia="en-US"/>
              </w:rPr>
              <w:t>HSBC; cálculos del BPI.</w:t>
            </w:r>
          </w:p>
        </w:tc>
      </w:tr>
    </w:tbl>
    <w:p w14:paraId="35C29B49" w14:textId="77777777" w:rsidR="00C365A6" w:rsidRPr="00C365A6" w:rsidRDefault="00C365A6" w:rsidP="00C365A6">
      <w:pPr>
        <w:spacing w:after="360" w:line="360" w:lineRule="auto"/>
        <w:ind w:right="-159"/>
        <w:jc w:val="both"/>
        <w:rPr>
          <w:rFonts w:eastAsia="Calibri"/>
          <w:sz w:val="26"/>
          <w:szCs w:val="26"/>
          <w:lang w:eastAsia="en-US"/>
        </w:rPr>
      </w:pPr>
    </w:p>
    <w:p w14:paraId="05CC01C3"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La divergencia de perspectivas económicas se reflejó en políticas monetarias aún más divergentes, que se transmitieron a los mercados de divisas. En medio de la oleada de acomodación monetaria de los últimos meses entre los bancos centrales de las economías avanzadas, la Reserva Federal constituyó la principal excepción. Los diferenciales de las tasas de interés estadounidenses frente a las de otras economías avanzadas crecieron a lo largo de la curva a plazos, potenciando un dólar fuerte frente a las principales monedas (Gráfica anterior, panel central). Los mercados continuaban esperando que la Fed comenzara a elevar su tasa de interés objetivo de los fondos federales en torno al verano (Gráfica anterior, panel derecho).</w:t>
      </w:r>
    </w:p>
    <w:p w14:paraId="7E6C38D4"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lastRenderedPageBreak/>
        <w:t xml:space="preserve">En cambio, el BCE aplicó un estímulo monetario adicional, lo cual impulsó a la baja las tasas de interés a plazo y el tipo de cambio del euro ponderado por el comercio exterior (Gráfica </w:t>
      </w:r>
      <w:r w:rsidRPr="00C365A6">
        <w:rPr>
          <w:rFonts w:eastAsia="Calibri"/>
          <w:i/>
          <w:sz w:val="26"/>
          <w:szCs w:val="26"/>
          <w:lang w:eastAsia="en-US"/>
        </w:rPr>
        <w:t>El dólar continúa apreciándose</w:t>
      </w:r>
      <w:r w:rsidRPr="00C365A6">
        <w:rPr>
          <w:rFonts w:eastAsia="Calibri"/>
          <w:sz w:val="26"/>
          <w:szCs w:val="26"/>
          <w:lang w:eastAsia="en-US"/>
        </w:rPr>
        <w:t xml:space="preserve">, panel izquierdo; Gráfica </w:t>
      </w:r>
      <w:r w:rsidRPr="00C365A6">
        <w:rPr>
          <w:rFonts w:eastAsia="Calibri"/>
          <w:i/>
          <w:sz w:val="26"/>
          <w:szCs w:val="26"/>
          <w:lang w:eastAsia="en-US"/>
        </w:rPr>
        <w:t>Factores determinantes de la fortaleza del dólar</w:t>
      </w:r>
      <w:r w:rsidRPr="00C365A6">
        <w:rPr>
          <w:rFonts w:eastAsia="Calibri"/>
          <w:sz w:val="26"/>
          <w:szCs w:val="26"/>
          <w:lang w:eastAsia="en-US"/>
        </w:rPr>
        <w:t xml:space="preserve">, panel derecho). El 22 de enero, el BCE anunció un programa ampliado de compras de activos de unos 1.1 billones de euros que engloba los vigentes programas de compras de bonos de titulización de activos y bonos garantizados, pero también incluye compras adicionales de deuda emitida por administraciones centrales y agencias de países de la zona del euro e instituciones europeas. Las compras mensuales comenzaron el 9 de marzo por un monto de 60 mil millones de euros y durarán al menos hasta finales de septiembre de 2016, aunque podrían continuar hasta que la inflación general se alinee con el objetivo del BCE de una tasa a medio plazo inferior pero próxima al 2 por ciento.  </w:t>
      </w:r>
    </w:p>
    <w:p w14:paraId="18CD168D" w14:textId="4780B5C4"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Al ser el programa más cuantioso y duradero de lo previsto inicialmente por los mercados, se produjo una subida de los precios de los activos, pese a que ya habían repuntado antes de la reunión del Consejo de Gobierno del BCE en enero. El día del anuncio, las cotizaciones bursátiles subieron entre el 1.3 y el 2.4% en los principales países centrales y periféricos de la zona del euro, mientras caían los rendimientos de sus bonos soberanos (Gráfica siguiente, paneles superiores). El euro se depreció alrededor de un 1.5% frente al dólar estadounidense y las estimaciones de expectativas de inflación implícitas en instrumentos de mercado tendieron al alza, como refleja el aumento de la tasa </w:t>
      </w:r>
      <w:r w:rsidRPr="00C365A6">
        <w:rPr>
          <w:rFonts w:eastAsia="Calibri"/>
          <w:i/>
          <w:sz w:val="26"/>
          <w:szCs w:val="26"/>
          <w:lang w:eastAsia="en-US"/>
        </w:rPr>
        <w:t>swap</w:t>
      </w:r>
      <w:r w:rsidRPr="00C365A6">
        <w:rPr>
          <w:rFonts w:eastAsia="Calibri"/>
          <w:sz w:val="26"/>
          <w:szCs w:val="26"/>
          <w:lang w:eastAsia="en-US"/>
        </w:rPr>
        <w:t xml:space="preserve"> ind</w:t>
      </w:r>
      <w:r w:rsidR="003E354C">
        <w:rPr>
          <w:rFonts w:eastAsia="Calibri"/>
          <w:sz w:val="26"/>
          <w:szCs w:val="26"/>
          <w:lang w:eastAsia="en-US"/>
        </w:rPr>
        <w:t>exada</w:t>
      </w:r>
      <w:r w:rsidRPr="00C365A6">
        <w:rPr>
          <w:rFonts w:eastAsia="Calibri"/>
          <w:sz w:val="26"/>
          <w:szCs w:val="26"/>
          <w:lang w:eastAsia="en-US"/>
        </w:rPr>
        <w:t xml:space="preserve"> a la inflación futura a cinco años para un horizonte de cinco años (Gráfica siguiente, panel inferior izquierdo). Este indicador, estrechamente vigilado por el BCE y los mercados, retrocedió posteriormente, aunque volvió a subir poco antes de la reunión del Consejo de Gobierno celebrada en marzo. </w:t>
      </w:r>
    </w:p>
    <w:p w14:paraId="158390B5" w14:textId="77777777" w:rsidR="00786917" w:rsidRDefault="00786917" w:rsidP="00C365A6">
      <w:pPr>
        <w:spacing w:after="360" w:line="360" w:lineRule="auto"/>
        <w:ind w:right="-159"/>
        <w:jc w:val="both"/>
        <w:rPr>
          <w:rFonts w:eastAsia="Calibri"/>
          <w:sz w:val="26"/>
          <w:szCs w:val="26"/>
          <w:lang w:eastAsia="en-US"/>
        </w:rPr>
      </w:pPr>
    </w:p>
    <w:p w14:paraId="73532E8A" w14:textId="77777777" w:rsidR="00786917" w:rsidRPr="00C365A6" w:rsidRDefault="00786917" w:rsidP="00C365A6">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4BC5C551" w14:textId="77777777" w:rsidTr="00EA3974">
        <w:trPr>
          <w:jc w:val="center"/>
        </w:trPr>
        <w:tc>
          <w:tcPr>
            <w:tcW w:w="9259" w:type="dxa"/>
          </w:tcPr>
          <w:p w14:paraId="0EE6EAAE"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lastRenderedPageBreak/>
              <w:t>EL BCE ANUNCIA COMPRAS DE ACTIVOS AMPLIADAS</w:t>
            </w:r>
          </w:p>
        </w:tc>
      </w:tr>
      <w:tr w:rsidR="00C365A6" w:rsidRPr="00C365A6" w14:paraId="223871FC" w14:textId="77777777" w:rsidTr="00EA3974">
        <w:trPr>
          <w:jc w:val="center"/>
        </w:trPr>
        <w:tc>
          <w:tcPr>
            <w:tcW w:w="9259" w:type="dxa"/>
          </w:tcPr>
          <w:p w14:paraId="7D2F7F6D"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540A28A6" wp14:editId="24C6576D">
                  <wp:extent cx="5503348" cy="2412000"/>
                  <wp:effectExtent l="0" t="0" r="2540" b="7620"/>
                  <wp:docPr id="1549" name="Imagen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503348" cy="2412000"/>
                          </a:xfrm>
                          <a:prstGeom prst="rect">
                            <a:avLst/>
                          </a:prstGeom>
                          <a:noFill/>
                          <a:ln>
                            <a:noFill/>
                          </a:ln>
                        </pic:spPr>
                      </pic:pic>
                    </a:graphicData>
                  </a:graphic>
                </wp:inline>
              </w:drawing>
            </w:r>
          </w:p>
        </w:tc>
      </w:tr>
      <w:tr w:rsidR="00C365A6" w:rsidRPr="00C365A6" w14:paraId="54461AC8" w14:textId="77777777" w:rsidTr="00EA3974">
        <w:trPr>
          <w:jc w:val="center"/>
        </w:trPr>
        <w:tc>
          <w:tcPr>
            <w:tcW w:w="9259" w:type="dxa"/>
          </w:tcPr>
          <w:p w14:paraId="6A798DE9"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6814B262" wp14:editId="7D0C45DF">
                  <wp:extent cx="5514245" cy="2448000"/>
                  <wp:effectExtent l="0" t="0" r="0" b="0"/>
                  <wp:docPr id="1550" name="Imagen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5514245" cy="2448000"/>
                          </a:xfrm>
                          <a:prstGeom prst="rect">
                            <a:avLst/>
                          </a:prstGeom>
                          <a:noFill/>
                          <a:ln>
                            <a:noFill/>
                          </a:ln>
                        </pic:spPr>
                      </pic:pic>
                    </a:graphicData>
                  </a:graphic>
                </wp:inline>
              </w:drawing>
            </w:r>
          </w:p>
        </w:tc>
      </w:tr>
      <w:tr w:rsidR="00C365A6" w:rsidRPr="00C365A6" w14:paraId="42C0C57D" w14:textId="77777777" w:rsidTr="00EA3974">
        <w:trPr>
          <w:jc w:val="center"/>
        </w:trPr>
        <w:tc>
          <w:tcPr>
            <w:tcW w:w="9259" w:type="dxa"/>
          </w:tcPr>
          <w:p w14:paraId="207E3D28"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La línea vertical indica el 21 de enero de 2015, el día anterior al anuncio del BCE de su programa ampliado de compras de activos.</w:t>
            </w:r>
          </w:p>
          <w:p w14:paraId="25FCDA7C"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Índices bursátiles, en moneda local.</w:t>
            </w:r>
          </w:p>
          <w:p w14:paraId="70568E4D"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Diferencial entre los rendimientos de la deuda pública a 10 años y los rendimientos de los bonos alemanes comparables.    </w:t>
            </w:r>
          </w:p>
          <w:p w14:paraId="439E1636"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Dólares de Estados Unidos de Norteamérica por euro. Un descenso indica una depreciación del euro.</w:t>
            </w:r>
          </w:p>
          <w:p w14:paraId="22C6E15F"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Bloomberg; Datastream; </w:t>
            </w:r>
            <w:r w:rsidRPr="00C365A6">
              <w:rPr>
                <w:rFonts w:eastAsia="Calibri"/>
                <w:sz w:val="20"/>
                <w:szCs w:val="20"/>
                <w:lang w:eastAsia="en-US"/>
              </w:rPr>
              <w:t>datos nacionales; cálculos del BPI.</w:t>
            </w:r>
          </w:p>
        </w:tc>
      </w:tr>
    </w:tbl>
    <w:p w14:paraId="78652D4A" w14:textId="77777777" w:rsidR="00C365A6" w:rsidRPr="00C365A6" w:rsidRDefault="00C365A6" w:rsidP="00C365A6">
      <w:pPr>
        <w:spacing w:after="360" w:line="360" w:lineRule="auto"/>
        <w:ind w:right="-159"/>
        <w:jc w:val="both"/>
        <w:rPr>
          <w:rFonts w:eastAsia="Calibri"/>
          <w:sz w:val="26"/>
          <w:szCs w:val="26"/>
          <w:lang w:eastAsia="en-US"/>
        </w:rPr>
      </w:pPr>
    </w:p>
    <w:p w14:paraId="5C876AC4"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Al mismo tiempo, la incertidumbre sobre las políticas del nuevo gobierno griego lastró la confianza en los mercados. La preocupación por los progresos en las negociaciones entre Grecia y sus acreedores sobre las condiciones del programa de rescate generó episodios de volatilidad e impulsó los rendimientos de la deuda soberana griega a sus niveles más altos desde julio de 2013. No obstante, el contagio fue limitado, con una </w:t>
      </w:r>
      <w:r w:rsidRPr="00C365A6">
        <w:rPr>
          <w:rFonts w:eastAsia="Calibri"/>
          <w:sz w:val="26"/>
          <w:szCs w:val="26"/>
          <w:lang w:eastAsia="en-US"/>
        </w:rPr>
        <w:lastRenderedPageBreak/>
        <w:t>clara desvinculación de los rendimientos de la deuda pública española, italiana y portuguesa (Gráfica anterior, panel inferior derecho).</w:t>
      </w:r>
    </w:p>
    <w:p w14:paraId="5217B6D8" w14:textId="49E77C66"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 fortaleza del dólar y la debilidad del euro indujeron nuevas rondas de relajación de políticas en todo el mundo. Las presiones arreciaron especialmente sobre los tipos de cambio fijados al euro. El Banco Nacional de Suiza (SNB), que venía manteniendo un tipo de cambio mínimo de 1.2 francos suizos por euro, introdujo el 18 de diciembre una tasa de interés negativa (0.25%) sobre los depósitos a la vista cuantiosos con el fin de atenuar las presiones alcistas sobre su moneda. Estas tensiones obedecían a una mayor aversión al riesgo y a los repuntes de volatilidad en los mercados financieros internacionales, que alentaron la demanda de activos seguros. La defensa del tipo de cambio mínimo había generado un aumento de los activos totales del SNB hasta el 87% del Producto Interno Bruto (PIB) en diciembre (Gráfica siguiente, panel izquierdo). El 15 de enero, una semana antes de que el BCE anunciara su programa ampliado de compras de activos, el SNB eliminó el tipo de cambio mínimo, alegando como principales motivos las divergencias entre las políticas monetarias de las principales áreas cambiarias y la apreciación del dólar. El banco central también volvió a reducir su tasa de depósito hasta el </w:t>
      </w:r>
      <w:r w:rsidR="001C7810">
        <w:rPr>
          <w:rFonts w:eastAsia="Calibri"/>
          <w:sz w:val="26"/>
          <w:szCs w:val="26"/>
          <w:lang w:eastAsia="en-US"/>
        </w:rPr>
        <w:t>-</w:t>
      </w:r>
      <w:r w:rsidRPr="00C365A6">
        <w:rPr>
          <w:rFonts w:eastAsia="Calibri"/>
          <w:sz w:val="26"/>
          <w:szCs w:val="26"/>
          <w:lang w:eastAsia="en-US"/>
        </w:rPr>
        <w:t xml:space="preserve">0.75 por ciento. </w:t>
      </w:r>
    </w:p>
    <w:p w14:paraId="72CE6DE8"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Los mercados financieros reaccionaron enérgicamente a la eliminación del tipo de cambio mínimo. El principal índice bursátil suizo se desplomó casi un 9% ese mismo día y los rendimientos de la deuda pública suiza a plazos largos cayeron por debajo de cero. Inmediatamente después del anuncio, el franco suizo cayó en picado hasta mínimos históricos frente al euro y el dólar estadounidense, antes de retornar a niveles más estables conforme avanzaba el día (Gráfica siguiente, panel central). La negociación en los mercados de divisas al contado EUR/CHF y USD/CHF aumentó considerablemente hasta niveles inéditos desde mayo de 2010 y agosto de 2011, respectivamente (Gráfica siguiente, panel derecho). Tras el anuncio del SNB, el forinto húngaro y el zloty polaco se debilitaron notablemente, ante el temor a la propagación </w:t>
      </w:r>
      <w:r w:rsidRPr="00C365A6">
        <w:rPr>
          <w:rFonts w:eastAsia="Calibri"/>
          <w:sz w:val="26"/>
          <w:szCs w:val="26"/>
          <w:lang w:eastAsia="en-US"/>
        </w:rPr>
        <w:lastRenderedPageBreak/>
        <w:t xml:space="preserve">de los efectos de un franco suizo más fuerte a sus respectivas economías (Gráfica </w:t>
      </w:r>
      <w:r w:rsidRPr="00C365A6">
        <w:rPr>
          <w:rFonts w:eastAsia="Calibri"/>
          <w:i/>
          <w:sz w:val="26"/>
          <w:szCs w:val="26"/>
          <w:lang w:eastAsia="en-US"/>
        </w:rPr>
        <w:t>El dólar continúa apreciándose</w:t>
      </w:r>
      <w:r w:rsidRPr="00C365A6">
        <w:rPr>
          <w:rFonts w:eastAsia="Calibri"/>
          <w:sz w:val="26"/>
          <w:szCs w:val="26"/>
          <w:lang w:eastAsia="en-US"/>
        </w:rPr>
        <w:t xml:space="preserve">, panel derecho). </w:t>
      </w: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7023EF88" w14:textId="77777777" w:rsidTr="00EA3974">
        <w:trPr>
          <w:jc w:val="center"/>
        </w:trPr>
        <w:tc>
          <w:tcPr>
            <w:tcW w:w="9259" w:type="dxa"/>
          </w:tcPr>
          <w:p w14:paraId="745B5DA1"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t>EL SNB ELIMINA EL TIPO DE CAMBIO MÍNIMO</w:t>
            </w:r>
          </w:p>
        </w:tc>
      </w:tr>
      <w:tr w:rsidR="00C365A6" w:rsidRPr="00C365A6" w14:paraId="4F14D943" w14:textId="77777777" w:rsidTr="00EA3974">
        <w:trPr>
          <w:jc w:val="center"/>
        </w:trPr>
        <w:tc>
          <w:tcPr>
            <w:tcW w:w="9259" w:type="dxa"/>
          </w:tcPr>
          <w:p w14:paraId="2DA932F6"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5AE167E8" wp14:editId="145C1EB4">
                  <wp:extent cx="5497173" cy="2484000"/>
                  <wp:effectExtent l="0" t="0" r="8890" b="0"/>
                  <wp:docPr id="1551" name="Imagen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97173" cy="2484000"/>
                          </a:xfrm>
                          <a:prstGeom prst="rect">
                            <a:avLst/>
                          </a:prstGeom>
                          <a:noFill/>
                          <a:ln>
                            <a:noFill/>
                          </a:ln>
                        </pic:spPr>
                      </pic:pic>
                    </a:graphicData>
                  </a:graphic>
                </wp:inline>
              </w:drawing>
            </w:r>
          </w:p>
        </w:tc>
      </w:tr>
      <w:tr w:rsidR="00C365A6" w:rsidRPr="00C365A6" w14:paraId="64081507" w14:textId="77777777" w:rsidTr="00EA3974">
        <w:trPr>
          <w:jc w:val="center"/>
        </w:trPr>
        <w:tc>
          <w:tcPr>
            <w:tcW w:w="9259" w:type="dxa"/>
          </w:tcPr>
          <w:p w14:paraId="6DDFCDA2"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lang w:eastAsia="en-US"/>
              </w:rPr>
              <w:t>* EEUU: Estados Unidos de Norteamérica.</w:t>
            </w:r>
          </w:p>
          <w:p w14:paraId="3DE0A814"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Negociación de divisas al contado en EBS; volumen medio diario.    </w:t>
            </w:r>
          </w:p>
          <w:p w14:paraId="6E9CD437"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Un descenso indica una apreciación del franco suizo.</w:t>
            </w:r>
          </w:p>
          <w:p w14:paraId="118630BA"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Bloomberg; Datastream; </w:t>
            </w:r>
            <w:r w:rsidRPr="00C365A6">
              <w:rPr>
                <w:rFonts w:eastAsia="Calibri"/>
                <w:sz w:val="20"/>
                <w:szCs w:val="20"/>
                <w:lang w:eastAsia="en-US"/>
              </w:rPr>
              <w:t>ICAP; datos nacionales; cálculos del BPI.</w:t>
            </w:r>
          </w:p>
        </w:tc>
      </w:tr>
    </w:tbl>
    <w:p w14:paraId="251B95FF" w14:textId="77777777" w:rsidR="00C365A6" w:rsidRPr="00C365A6" w:rsidRDefault="00C365A6" w:rsidP="00C365A6">
      <w:pPr>
        <w:spacing w:after="360" w:line="360" w:lineRule="auto"/>
        <w:ind w:right="-159"/>
        <w:jc w:val="both"/>
        <w:rPr>
          <w:rFonts w:eastAsia="Calibri"/>
          <w:sz w:val="26"/>
          <w:szCs w:val="26"/>
          <w:lang w:eastAsia="en-US"/>
        </w:rPr>
      </w:pPr>
    </w:p>
    <w:p w14:paraId="2E56130E" w14:textId="509C40A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Las presiones sobre la corona danesa derivadas de un euro más débil también comenzaron a arreciar. En sólo tres semanas, el </w:t>
      </w:r>
      <w:r w:rsidRPr="00C365A6">
        <w:rPr>
          <w:rFonts w:eastAsia="Calibri"/>
          <w:i/>
          <w:sz w:val="26"/>
          <w:szCs w:val="26"/>
          <w:lang w:eastAsia="en-US"/>
        </w:rPr>
        <w:t>Danmarks Nationalbank</w:t>
      </w:r>
      <w:r w:rsidRPr="00C365A6">
        <w:rPr>
          <w:rFonts w:eastAsia="Calibri"/>
          <w:sz w:val="26"/>
          <w:szCs w:val="26"/>
          <w:lang w:eastAsia="en-US"/>
        </w:rPr>
        <w:t xml:space="preserve"> redujo cuatro veces las tasas de interés de los certificados de depósito hasta el </w:t>
      </w:r>
      <w:r w:rsidR="001C7810">
        <w:rPr>
          <w:rFonts w:eastAsia="Calibri"/>
          <w:sz w:val="26"/>
          <w:szCs w:val="26"/>
          <w:lang w:eastAsia="en-US"/>
        </w:rPr>
        <w:t>-</w:t>
      </w:r>
      <w:r w:rsidRPr="00C365A6">
        <w:rPr>
          <w:rFonts w:eastAsia="Calibri"/>
          <w:sz w:val="26"/>
          <w:szCs w:val="26"/>
          <w:lang w:eastAsia="en-US"/>
        </w:rPr>
        <w:t xml:space="preserve">0.75% el 5 de febrero, con el fin de defender la paridad fija de la divisa danesa frente al euro. Según datos publicados en su sitio web, en sus intervenciones el banco central danés vendió en enero 106 mil 300 millones de coronas danesas (16 mil millones de dólares), y en febrero alcanzó un récord mensual con 168 mil 700 millones de coronas danesas (26 mil millones de dólares), en torno al 9% del PIB. </w:t>
      </w:r>
    </w:p>
    <w:p w14:paraId="3725DB80" w14:textId="15691A37"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Estos bancos centrales no fueron los únicos en adoptar políticas de relajación monetaria, sino que más de una docena de bancos centrales adoptaron políticas más acomodaticias en los tres últimos meses, en un contexto desinflacionista con el desplome de los precios del petróleo y las crecientes tensiones en los mercados de divisas (Cuadro siguiente). A </w:t>
      </w:r>
      <w:r w:rsidRPr="00C365A6">
        <w:rPr>
          <w:rFonts w:eastAsia="Calibri"/>
          <w:sz w:val="26"/>
          <w:szCs w:val="26"/>
          <w:lang w:eastAsia="en-US"/>
        </w:rPr>
        <w:lastRenderedPageBreak/>
        <w:t xml:space="preserve">comienzos de marzo, las tasas de interés oficiales de cuatro bancos centrales —el BCE y los bancos centrales de Dinamarca, Suecia y Suiza— eran inferiores a cero. Estas decisiones frecuentemente sorprendieron a los mercados financieros, alentando la asunción de riesgos y la búsqueda del rendimiento e impulsando al alza las valoraciones de los activos de riesgo. El 12 de febrero, el </w:t>
      </w:r>
      <w:r w:rsidRPr="00C365A6">
        <w:rPr>
          <w:rFonts w:eastAsia="Calibri"/>
          <w:i/>
          <w:sz w:val="26"/>
          <w:szCs w:val="26"/>
          <w:lang w:eastAsia="en-US"/>
        </w:rPr>
        <w:t>Sveriges Riksbank</w:t>
      </w:r>
      <w:r w:rsidRPr="00C365A6">
        <w:rPr>
          <w:rFonts w:eastAsia="Calibri"/>
          <w:sz w:val="26"/>
          <w:szCs w:val="26"/>
          <w:lang w:eastAsia="en-US"/>
        </w:rPr>
        <w:t xml:space="preserve"> (Suecia) redujo su tasa repo en 10 puntos básicos hasta el </w:t>
      </w:r>
      <w:r w:rsidR="001C7810">
        <w:rPr>
          <w:rFonts w:eastAsia="Calibri"/>
          <w:sz w:val="26"/>
          <w:szCs w:val="26"/>
          <w:lang w:eastAsia="en-US"/>
        </w:rPr>
        <w:t>-</w:t>
      </w:r>
      <w:r w:rsidRPr="00C365A6">
        <w:rPr>
          <w:rFonts w:eastAsia="Calibri"/>
          <w:sz w:val="26"/>
          <w:szCs w:val="26"/>
          <w:lang w:eastAsia="en-US"/>
        </w:rPr>
        <w:t xml:space="preserve">0.1% y anunció el inicio de compras de deuda pública por un importe total de 10 mil millones de coronas suecas. El </w:t>
      </w:r>
      <w:r w:rsidRPr="00C365A6">
        <w:rPr>
          <w:rFonts w:eastAsia="Calibri"/>
          <w:i/>
          <w:sz w:val="26"/>
          <w:szCs w:val="26"/>
          <w:lang w:eastAsia="en-US"/>
        </w:rPr>
        <w:t>Riksbank</w:t>
      </w:r>
      <w:r w:rsidRPr="00C365A6">
        <w:rPr>
          <w:rFonts w:eastAsia="Calibri"/>
          <w:sz w:val="26"/>
          <w:szCs w:val="26"/>
          <w:lang w:eastAsia="en-US"/>
        </w:rPr>
        <w:t xml:space="preserve"> consideró necesaria una política monetaria más expansiva para garantizar que las expectativas de inflación a largo plazo fueran compatibles con su objetivo de política.  </w:t>
      </w:r>
    </w:p>
    <w:p w14:paraId="6FC509AC" w14:textId="77777777" w:rsidR="00216674" w:rsidRDefault="00216674" w:rsidP="00C365A6">
      <w:pPr>
        <w:spacing w:after="360" w:line="360" w:lineRule="auto"/>
        <w:ind w:right="-159"/>
        <w:jc w:val="both"/>
        <w:rPr>
          <w:rFonts w:eastAsia="Calibri"/>
          <w:sz w:val="26"/>
          <w:szCs w:val="26"/>
          <w:lang w:eastAsia="en-US"/>
        </w:rPr>
      </w:pPr>
    </w:p>
    <w:p w14:paraId="592D6C93" w14:textId="77777777" w:rsidR="00786917" w:rsidRDefault="00786917" w:rsidP="00C365A6">
      <w:pPr>
        <w:spacing w:after="360" w:line="360" w:lineRule="auto"/>
        <w:ind w:right="-159"/>
        <w:jc w:val="both"/>
        <w:rPr>
          <w:rFonts w:eastAsia="Calibri"/>
          <w:sz w:val="26"/>
          <w:szCs w:val="26"/>
          <w:lang w:eastAsia="en-US"/>
        </w:rPr>
      </w:pPr>
    </w:p>
    <w:p w14:paraId="75110324" w14:textId="77777777" w:rsidR="00216674" w:rsidRDefault="00216674" w:rsidP="00C365A6">
      <w:pPr>
        <w:spacing w:after="360" w:line="360" w:lineRule="auto"/>
        <w:ind w:right="-159"/>
        <w:jc w:val="both"/>
        <w:rPr>
          <w:rFonts w:eastAsia="Calibri"/>
          <w:sz w:val="26"/>
          <w:szCs w:val="26"/>
          <w:lang w:eastAsia="en-US"/>
        </w:rPr>
      </w:pPr>
    </w:p>
    <w:p w14:paraId="28B27F6E" w14:textId="77777777" w:rsidR="00216674" w:rsidRDefault="00216674" w:rsidP="00C365A6">
      <w:pPr>
        <w:spacing w:after="360" w:line="360" w:lineRule="auto"/>
        <w:ind w:right="-159"/>
        <w:jc w:val="both"/>
        <w:rPr>
          <w:rFonts w:eastAsia="Calibri"/>
          <w:sz w:val="26"/>
          <w:szCs w:val="26"/>
          <w:lang w:eastAsia="en-US"/>
        </w:rPr>
      </w:pPr>
    </w:p>
    <w:p w14:paraId="62CF6278" w14:textId="77777777" w:rsidR="00216674" w:rsidRDefault="00216674" w:rsidP="00C365A6">
      <w:pPr>
        <w:spacing w:after="360" w:line="360" w:lineRule="auto"/>
        <w:ind w:right="-159"/>
        <w:jc w:val="both"/>
        <w:rPr>
          <w:rFonts w:eastAsia="Calibri"/>
          <w:sz w:val="26"/>
          <w:szCs w:val="26"/>
          <w:lang w:eastAsia="en-US"/>
        </w:rPr>
      </w:pPr>
    </w:p>
    <w:p w14:paraId="490188AF" w14:textId="77777777" w:rsidR="00216674" w:rsidRDefault="00216674" w:rsidP="00C365A6">
      <w:pPr>
        <w:spacing w:after="360" w:line="360" w:lineRule="auto"/>
        <w:ind w:right="-159"/>
        <w:jc w:val="both"/>
        <w:rPr>
          <w:rFonts w:eastAsia="Calibri"/>
          <w:sz w:val="26"/>
          <w:szCs w:val="26"/>
          <w:lang w:eastAsia="en-US"/>
        </w:rPr>
      </w:pPr>
    </w:p>
    <w:p w14:paraId="5AE57B69" w14:textId="77777777" w:rsidR="00216674" w:rsidRDefault="00216674" w:rsidP="00C365A6">
      <w:pPr>
        <w:spacing w:after="360" w:line="360" w:lineRule="auto"/>
        <w:ind w:right="-159"/>
        <w:jc w:val="both"/>
        <w:rPr>
          <w:rFonts w:eastAsia="Calibri"/>
          <w:sz w:val="26"/>
          <w:szCs w:val="26"/>
          <w:lang w:eastAsia="en-US"/>
        </w:rPr>
      </w:pPr>
    </w:p>
    <w:p w14:paraId="30BC632E" w14:textId="77777777" w:rsidR="00216674" w:rsidRDefault="00216674" w:rsidP="00C365A6">
      <w:pPr>
        <w:spacing w:after="360" w:line="360" w:lineRule="auto"/>
        <w:ind w:right="-159"/>
        <w:jc w:val="both"/>
        <w:rPr>
          <w:rFonts w:eastAsia="Calibri"/>
          <w:sz w:val="26"/>
          <w:szCs w:val="26"/>
          <w:lang w:eastAsia="en-US"/>
        </w:rPr>
      </w:pPr>
    </w:p>
    <w:p w14:paraId="4635B51A" w14:textId="77777777" w:rsidR="00216674" w:rsidRDefault="00216674" w:rsidP="00C365A6">
      <w:pPr>
        <w:spacing w:after="360" w:line="360" w:lineRule="auto"/>
        <w:ind w:right="-159"/>
        <w:jc w:val="both"/>
        <w:rPr>
          <w:rFonts w:eastAsia="Calibri"/>
          <w:sz w:val="26"/>
          <w:szCs w:val="26"/>
          <w:lang w:eastAsia="en-US"/>
        </w:rPr>
      </w:pPr>
    </w:p>
    <w:p w14:paraId="157174AC" w14:textId="77777777" w:rsidR="00216674" w:rsidRDefault="00216674" w:rsidP="00C365A6">
      <w:pPr>
        <w:spacing w:after="360" w:line="360" w:lineRule="auto"/>
        <w:ind w:right="-159"/>
        <w:jc w:val="both"/>
        <w:rPr>
          <w:rFonts w:eastAsia="Calibri"/>
          <w:sz w:val="26"/>
          <w:szCs w:val="26"/>
          <w:lang w:eastAsia="en-US"/>
        </w:rPr>
      </w:pPr>
    </w:p>
    <w:p w14:paraId="3C95B63D" w14:textId="77777777" w:rsidR="00216674" w:rsidRPr="00C365A6" w:rsidRDefault="00216674" w:rsidP="00C365A6">
      <w:pPr>
        <w:spacing w:after="360" w:line="360" w:lineRule="auto"/>
        <w:ind w:right="-159"/>
        <w:jc w:val="both"/>
        <w:rPr>
          <w:rFonts w:eastAsia="Calibri"/>
          <w:sz w:val="26"/>
          <w:szCs w:val="26"/>
          <w:lang w:eastAsia="en-US"/>
        </w:rPr>
      </w:pPr>
    </w:p>
    <w:tbl>
      <w:tblPr>
        <w:tblW w:w="0" w:type="auto"/>
        <w:tblLook w:val="04A0" w:firstRow="1" w:lastRow="0" w:firstColumn="1" w:lastColumn="0" w:noHBand="0" w:noVBand="1"/>
      </w:tblPr>
      <w:tblGrid>
        <w:gridCol w:w="2550"/>
        <w:gridCol w:w="992"/>
        <w:gridCol w:w="869"/>
        <w:gridCol w:w="706"/>
        <w:gridCol w:w="1276"/>
        <w:gridCol w:w="2447"/>
      </w:tblGrid>
      <w:tr w:rsidR="00C365A6" w:rsidRPr="00C365A6" w14:paraId="590A50A9" w14:textId="77777777" w:rsidTr="00A573F8">
        <w:tc>
          <w:tcPr>
            <w:tcW w:w="8828" w:type="dxa"/>
            <w:gridSpan w:val="6"/>
            <w:tcBorders>
              <w:bottom w:val="single" w:sz="4" w:space="0" w:color="auto"/>
            </w:tcBorders>
          </w:tcPr>
          <w:p w14:paraId="4262880E" w14:textId="77777777" w:rsidR="00C365A6" w:rsidRPr="00C365A6" w:rsidRDefault="00C365A6" w:rsidP="00C365A6">
            <w:pPr>
              <w:jc w:val="center"/>
              <w:rPr>
                <w:rFonts w:eastAsia="Calibri"/>
                <w:b/>
                <w:sz w:val="20"/>
                <w:szCs w:val="18"/>
                <w:lang w:eastAsia="en-US"/>
              </w:rPr>
            </w:pPr>
            <w:r w:rsidRPr="00C365A6">
              <w:rPr>
                <w:rFonts w:eastAsia="Calibri"/>
                <w:b/>
                <w:sz w:val="20"/>
                <w:szCs w:val="18"/>
                <w:lang w:eastAsia="en-US"/>
              </w:rPr>
              <w:lastRenderedPageBreak/>
              <w:t>RESUMEN DE LAS MEDIDAS EXPANSIVAS DE LOS PRINCIPALES BANCOS CENTRALES</w:t>
            </w:r>
            <w:r w:rsidRPr="00C365A6">
              <w:rPr>
                <w:rFonts w:eastAsia="Calibri"/>
                <w:b/>
                <w:sz w:val="20"/>
                <w:szCs w:val="18"/>
                <w:u w:val="single"/>
                <w:vertAlign w:val="superscript"/>
                <w:lang w:eastAsia="en-US"/>
              </w:rPr>
              <w:t>1</w:t>
            </w:r>
            <w:r w:rsidRPr="00C365A6">
              <w:rPr>
                <w:rFonts w:eastAsia="Calibri"/>
                <w:b/>
                <w:sz w:val="20"/>
                <w:szCs w:val="18"/>
                <w:vertAlign w:val="superscript"/>
                <w:lang w:eastAsia="en-US"/>
              </w:rPr>
              <w:t>/</w:t>
            </w:r>
          </w:p>
        </w:tc>
      </w:tr>
      <w:tr w:rsidR="00C365A6" w:rsidRPr="00A573F8" w14:paraId="7684EF08" w14:textId="77777777" w:rsidTr="00A573F8">
        <w:tc>
          <w:tcPr>
            <w:tcW w:w="2552" w:type="dxa"/>
            <w:tcBorders>
              <w:top w:val="single" w:sz="4" w:space="0" w:color="auto"/>
              <w:left w:val="single" w:sz="4" w:space="0" w:color="auto"/>
              <w:bottom w:val="single" w:sz="4" w:space="0" w:color="auto"/>
              <w:right w:val="single" w:sz="4" w:space="0" w:color="auto"/>
            </w:tcBorders>
          </w:tcPr>
          <w:p w14:paraId="7BC5397C" w14:textId="77777777" w:rsidR="00C365A6" w:rsidRPr="00A573F8" w:rsidRDefault="00C365A6" w:rsidP="00C365A6">
            <w:pPr>
              <w:jc w:val="both"/>
              <w:rPr>
                <w:rFonts w:eastAsia="Calibri"/>
                <w:b/>
                <w:sz w:val="18"/>
                <w:szCs w:val="18"/>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14:paraId="583B3EEF" w14:textId="77777777" w:rsidR="00C365A6" w:rsidRPr="00A573F8" w:rsidRDefault="00C365A6" w:rsidP="00C365A6">
            <w:pPr>
              <w:jc w:val="center"/>
              <w:rPr>
                <w:rFonts w:eastAsia="Calibri"/>
                <w:b/>
                <w:sz w:val="18"/>
                <w:szCs w:val="18"/>
                <w:lang w:eastAsia="en-US"/>
              </w:rPr>
            </w:pPr>
            <w:r w:rsidRPr="00A573F8">
              <w:rPr>
                <w:rFonts w:eastAsia="Calibri"/>
                <w:b/>
                <w:sz w:val="18"/>
                <w:szCs w:val="18"/>
                <w:lang w:eastAsia="en-US"/>
              </w:rPr>
              <w:t>Fecha de la decisión</w:t>
            </w:r>
          </w:p>
        </w:tc>
        <w:tc>
          <w:tcPr>
            <w:tcW w:w="869" w:type="dxa"/>
            <w:tcBorders>
              <w:top w:val="single" w:sz="4" w:space="0" w:color="auto"/>
              <w:left w:val="single" w:sz="4" w:space="0" w:color="auto"/>
              <w:bottom w:val="single" w:sz="4" w:space="0" w:color="auto"/>
              <w:right w:val="single" w:sz="4" w:space="0" w:color="auto"/>
            </w:tcBorders>
            <w:vAlign w:val="center"/>
          </w:tcPr>
          <w:p w14:paraId="73EA3E72" w14:textId="77777777" w:rsidR="00C365A6" w:rsidRPr="00A573F8" w:rsidRDefault="00C365A6" w:rsidP="00C365A6">
            <w:pPr>
              <w:jc w:val="center"/>
              <w:rPr>
                <w:rFonts w:eastAsia="Calibri"/>
                <w:b/>
                <w:sz w:val="18"/>
                <w:szCs w:val="18"/>
                <w:lang w:eastAsia="en-US"/>
              </w:rPr>
            </w:pPr>
            <w:r w:rsidRPr="00A573F8">
              <w:rPr>
                <w:rFonts w:eastAsia="Calibri"/>
                <w:b/>
                <w:sz w:val="18"/>
                <w:szCs w:val="18"/>
                <w:lang w:eastAsia="en-US"/>
              </w:rPr>
              <w:t>Recorte de la tasa oficial (pb)</w:t>
            </w:r>
          </w:p>
        </w:tc>
        <w:tc>
          <w:tcPr>
            <w:tcW w:w="690" w:type="dxa"/>
            <w:tcBorders>
              <w:top w:val="single" w:sz="4" w:space="0" w:color="auto"/>
              <w:left w:val="single" w:sz="4" w:space="0" w:color="auto"/>
              <w:bottom w:val="single" w:sz="4" w:space="0" w:color="auto"/>
              <w:right w:val="single" w:sz="4" w:space="0" w:color="auto"/>
            </w:tcBorders>
            <w:vAlign w:val="center"/>
          </w:tcPr>
          <w:p w14:paraId="7C6AA3A1" w14:textId="77777777" w:rsidR="00C365A6" w:rsidRPr="00A573F8" w:rsidRDefault="00C365A6" w:rsidP="00C365A6">
            <w:pPr>
              <w:jc w:val="center"/>
              <w:rPr>
                <w:rFonts w:eastAsia="Calibri"/>
                <w:b/>
                <w:sz w:val="18"/>
                <w:szCs w:val="18"/>
                <w:lang w:eastAsia="en-US"/>
              </w:rPr>
            </w:pPr>
            <w:r w:rsidRPr="00A573F8">
              <w:rPr>
                <w:rFonts w:eastAsia="Calibri"/>
                <w:b/>
                <w:sz w:val="18"/>
                <w:szCs w:val="18"/>
                <w:lang w:eastAsia="en-US"/>
              </w:rPr>
              <w:t>Nueva tasa oficial (%)</w:t>
            </w:r>
          </w:p>
        </w:tc>
        <w:tc>
          <w:tcPr>
            <w:tcW w:w="1276" w:type="dxa"/>
            <w:tcBorders>
              <w:top w:val="single" w:sz="4" w:space="0" w:color="auto"/>
              <w:left w:val="single" w:sz="4" w:space="0" w:color="auto"/>
              <w:bottom w:val="single" w:sz="4" w:space="0" w:color="auto"/>
              <w:right w:val="single" w:sz="4" w:space="0" w:color="auto"/>
            </w:tcBorders>
            <w:vAlign w:val="center"/>
          </w:tcPr>
          <w:p w14:paraId="22146062" w14:textId="77777777" w:rsidR="00C365A6" w:rsidRPr="00A573F8" w:rsidRDefault="00C365A6" w:rsidP="00C365A6">
            <w:pPr>
              <w:jc w:val="center"/>
              <w:rPr>
                <w:rFonts w:eastAsia="Calibri"/>
                <w:b/>
                <w:sz w:val="18"/>
                <w:szCs w:val="18"/>
                <w:lang w:eastAsia="en-US"/>
              </w:rPr>
            </w:pPr>
            <w:r w:rsidRPr="00A573F8">
              <w:rPr>
                <w:rFonts w:eastAsia="Calibri"/>
                <w:b/>
                <w:sz w:val="18"/>
                <w:szCs w:val="18"/>
                <w:lang w:eastAsia="en-US"/>
              </w:rPr>
              <w:t>Programa de compras de activos</w:t>
            </w:r>
          </w:p>
        </w:tc>
        <w:tc>
          <w:tcPr>
            <w:tcW w:w="2449" w:type="dxa"/>
            <w:tcBorders>
              <w:top w:val="single" w:sz="4" w:space="0" w:color="auto"/>
              <w:left w:val="single" w:sz="4" w:space="0" w:color="auto"/>
              <w:bottom w:val="single" w:sz="4" w:space="0" w:color="auto"/>
              <w:right w:val="single" w:sz="4" w:space="0" w:color="auto"/>
            </w:tcBorders>
            <w:vAlign w:val="center"/>
          </w:tcPr>
          <w:p w14:paraId="02C2640D" w14:textId="77777777" w:rsidR="00C365A6" w:rsidRPr="00A573F8" w:rsidRDefault="00C365A6" w:rsidP="00C365A6">
            <w:pPr>
              <w:jc w:val="center"/>
              <w:rPr>
                <w:rFonts w:eastAsia="Calibri"/>
                <w:b/>
                <w:sz w:val="18"/>
                <w:szCs w:val="18"/>
                <w:lang w:eastAsia="en-US"/>
              </w:rPr>
            </w:pPr>
            <w:r w:rsidRPr="00A573F8">
              <w:rPr>
                <w:rFonts w:eastAsia="Calibri"/>
                <w:b/>
                <w:sz w:val="18"/>
                <w:szCs w:val="18"/>
                <w:lang w:eastAsia="en-US"/>
              </w:rPr>
              <w:t>Otras medidas</w:t>
            </w:r>
          </w:p>
        </w:tc>
      </w:tr>
      <w:tr w:rsidR="00C365A6" w:rsidRPr="00C365A6" w14:paraId="03110754" w14:textId="77777777" w:rsidTr="00A573F8">
        <w:tc>
          <w:tcPr>
            <w:tcW w:w="2552" w:type="dxa"/>
            <w:tcBorders>
              <w:top w:val="single" w:sz="4" w:space="0" w:color="auto"/>
              <w:left w:val="single" w:sz="4" w:space="0" w:color="auto"/>
              <w:bottom w:val="single" w:sz="4" w:space="0" w:color="auto"/>
              <w:right w:val="single" w:sz="4" w:space="0" w:color="auto"/>
            </w:tcBorders>
          </w:tcPr>
          <w:p w14:paraId="64D2FB78"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Islandia</w:t>
            </w:r>
          </w:p>
        </w:tc>
        <w:tc>
          <w:tcPr>
            <w:tcW w:w="992" w:type="dxa"/>
            <w:tcBorders>
              <w:top w:val="single" w:sz="4" w:space="0" w:color="auto"/>
              <w:left w:val="single" w:sz="4" w:space="0" w:color="auto"/>
              <w:bottom w:val="single" w:sz="4" w:space="0" w:color="auto"/>
              <w:right w:val="single" w:sz="4" w:space="0" w:color="auto"/>
            </w:tcBorders>
          </w:tcPr>
          <w:p w14:paraId="0D061B37"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10 dic 14</w:t>
            </w:r>
          </w:p>
        </w:tc>
        <w:tc>
          <w:tcPr>
            <w:tcW w:w="869" w:type="dxa"/>
            <w:tcBorders>
              <w:top w:val="single" w:sz="4" w:space="0" w:color="auto"/>
              <w:left w:val="single" w:sz="4" w:space="0" w:color="auto"/>
              <w:bottom w:val="single" w:sz="4" w:space="0" w:color="auto"/>
              <w:right w:val="single" w:sz="4" w:space="0" w:color="auto"/>
            </w:tcBorders>
          </w:tcPr>
          <w:p w14:paraId="3E4EC0AE"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50</w:t>
            </w:r>
          </w:p>
        </w:tc>
        <w:tc>
          <w:tcPr>
            <w:tcW w:w="690" w:type="dxa"/>
            <w:tcBorders>
              <w:top w:val="single" w:sz="4" w:space="0" w:color="auto"/>
              <w:left w:val="single" w:sz="4" w:space="0" w:color="auto"/>
              <w:bottom w:val="single" w:sz="4" w:space="0" w:color="auto"/>
              <w:right w:val="single" w:sz="4" w:space="0" w:color="auto"/>
            </w:tcBorders>
          </w:tcPr>
          <w:p w14:paraId="6E42B9C9"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5.25</w:t>
            </w:r>
          </w:p>
        </w:tc>
        <w:tc>
          <w:tcPr>
            <w:tcW w:w="1276" w:type="dxa"/>
            <w:tcBorders>
              <w:top w:val="single" w:sz="4" w:space="0" w:color="auto"/>
              <w:left w:val="single" w:sz="4" w:space="0" w:color="auto"/>
              <w:bottom w:val="single" w:sz="4" w:space="0" w:color="auto"/>
              <w:right w:val="single" w:sz="4" w:space="0" w:color="auto"/>
            </w:tcBorders>
          </w:tcPr>
          <w:p w14:paraId="10DE476A"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3A66567F" w14:textId="77777777" w:rsidR="00C365A6" w:rsidRPr="00C365A6" w:rsidRDefault="00C365A6" w:rsidP="00C365A6">
            <w:pPr>
              <w:jc w:val="both"/>
              <w:rPr>
                <w:rFonts w:eastAsia="Calibri"/>
                <w:sz w:val="18"/>
                <w:szCs w:val="18"/>
                <w:lang w:eastAsia="en-US"/>
              </w:rPr>
            </w:pPr>
          </w:p>
        </w:tc>
      </w:tr>
      <w:tr w:rsidR="00C365A6" w:rsidRPr="00C365A6" w14:paraId="65F2FD7E" w14:textId="77777777" w:rsidTr="00A573F8">
        <w:tc>
          <w:tcPr>
            <w:tcW w:w="2552" w:type="dxa"/>
            <w:tcBorders>
              <w:top w:val="single" w:sz="4" w:space="0" w:color="auto"/>
              <w:left w:val="single" w:sz="4" w:space="0" w:color="auto"/>
              <w:bottom w:val="single" w:sz="4" w:space="0" w:color="auto"/>
              <w:right w:val="single" w:sz="4" w:space="0" w:color="auto"/>
            </w:tcBorders>
          </w:tcPr>
          <w:p w14:paraId="3F52D60A"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Noruega</w:t>
            </w:r>
          </w:p>
        </w:tc>
        <w:tc>
          <w:tcPr>
            <w:tcW w:w="992" w:type="dxa"/>
            <w:tcBorders>
              <w:top w:val="single" w:sz="4" w:space="0" w:color="auto"/>
              <w:left w:val="single" w:sz="4" w:space="0" w:color="auto"/>
              <w:bottom w:val="single" w:sz="4" w:space="0" w:color="auto"/>
              <w:right w:val="single" w:sz="4" w:space="0" w:color="auto"/>
            </w:tcBorders>
          </w:tcPr>
          <w:p w14:paraId="67EA2423"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11 dic 14</w:t>
            </w:r>
          </w:p>
        </w:tc>
        <w:tc>
          <w:tcPr>
            <w:tcW w:w="869" w:type="dxa"/>
            <w:tcBorders>
              <w:top w:val="single" w:sz="4" w:space="0" w:color="auto"/>
              <w:left w:val="single" w:sz="4" w:space="0" w:color="auto"/>
              <w:bottom w:val="single" w:sz="4" w:space="0" w:color="auto"/>
              <w:right w:val="single" w:sz="4" w:space="0" w:color="auto"/>
            </w:tcBorders>
          </w:tcPr>
          <w:p w14:paraId="1C792FC7"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702AAFB2"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1.25</w:t>
            </w:r>
          </w:p>
        </w:tc>
        <w:tc>
          <w:tcPr>
            <w:tcW w:w="1276" w:type="dxa"/>
            <w:tcBorders>
              <w:top w:val="single" w:sz="4" w:space="0" w:color="auto"/>
              <w:left w:val="single" w:sz="4" w:space="0" w:color="auto"/>
              <w:bottom w:val="single" w:sz="4" w:space="0" w:color="auto"/>
              <w:right w:val="single" w:sz="4" w:space="0" w:color="auto"/>
            </w:tcBorders>
          </w:tcPr>
          <w:p w14:paraId="30A327AA"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7E358317" w14:textId="77777777" w:rsidR="00C365A6" w:rsidRPr="00C365A6" w:rsidRDefault="00C365A6" w:rsidP="00C365A6">
            <w:pPr>
              <w:jc w:val="both"/>
              <w:rPr>
                <w:rFonts w:eastAsia="Calibri"/>
                <w:sz w:val="18"/>
                <w:szCs w:val="18"/>
                <w:lang w:eastAsia="en-US"/>
              </w:rPr>
            </w:pPr>
          </w:p>
        </w:tc>
      </w:tr>
      <w:tr w:rsidR="00C365A6" w:rsidRPr="00C365A6" w14:paraId="26A0D6D4" w14:textId="77777777" w:rsidTr="00A573F8">
        <w:tc>
          <w:tcPr>
            <w:tcW w:w="2552" w:type="dxa"/>
            <w:tcBorders>
              <w:top w:val="single" w:sz="4" w:space="0" w:color="auto"/>
              <w:left w:val="single" w:sz="4" w:space="0" w:color="auto"/>
              <w:bottom w:val="single" w:sz="4" w:space="0" w:color="auto"/>
              <w:right w:val="single" w:sz="4" w:space="0" w:color="auto"/>
            </w:tcBorders>
          </w:tcPr>
          <w:p w14:paraId="35F3B998"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Nacional de Suiza</w:t>
            </w:r>
          </w:p>
        </w:tc>
        <w:tc>
          <w:tcPr>
            <w:tcW w:w="992" w:type="dxa"/>
            <w:tcBorders>
              <w:top w:val="single" w:sz="4" w:space="0" w:color="auto"/>
              <w:left w:val="single" w:sz="4" w:space="0" w:color="auto"/>
              <w:bottom w:val="single" w:sz="4" w:space="0" w:color="auto"/>
              <w:right w:val="single" w:sz="4" w:space="0" w:color="auto"/>
            </w:tcBorders>
          </w:tcPr>
          <w:p w14:paraId="6223C87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18 dic 14</w:t>
            </w:r>
          </w:p>
        </w:tc>
        <w:tc>
          <w:tcPr>
            <w:tcW w:w="869" w:type="dxa"/>
            <w:tcBorders>
              <w:top w:val="single" w:sz="4" w:space="0" w:color="auto"/>
              <w:left w:val="single" w:sz="4" w:space="0" w:color="auto"/>
              <w:bottom w:val="single" w:sz="4" w:space="0" w:color="auto"/>
              <w:right w:val="single" w:sz="4" w:space="0" w:color="auto"/>
            </w:tcBorders>
          </w:tcPr>
          <w:p w14:paraId="11CF8688"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6168D370"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-0.25</w:t>
            </w:r>
          </w:p>
        </w:tc>
        <w:tc>
          <w:tcPr>
            <w:tcW w:w="1276" w:type="dxa"/>
            <w:tcBorders>
              <w:top w:val="single" w:sz="4" w:space="0" w:color="auto"/>
              <w:left w:val="single" w:sz="4" w:space="0" w:color="auto"/>
              <w:bottom w:val="single" w:sz="4" w:space="0" w:color="auto"/>
              <w:right w:val="single" w:sz="4" w:space="0" w:color="auto"/>
            </w:tcBorders>
          </w:tcPr>
          <w:p w14:paraId="0D846D32"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2C5DD428" w14:textId="77777777" w:rsidR="00C365A6" w:rsidRPr="00C365A6" w:rsidRDefault="00C365A6" w:rsidP="00C365A6">
            <w:pPr>
              <w:jc w:val="both"/>
              <w:rPr>
                <w:rFonts w:eastAsia="Calibri"/>
                <w:sz w:val="18"/>
                <w:szCs w:val="18"/>
                <w:lang w:eastAsia="en-US"/>
              </w:rPr>
            </w:pPr>
          </w:p>
        </w:tc>
      </w:tr>
      <w:tr w:rsidR="00C365A6" w:rsidRPr="00C365A6" w14:paraId="5D1B95E3" w14:textId="77777777" w:rsidTr="00A573F8">
        <w:tc>
          <w:tcPr>
            <w:tcW w:w="2552" w:type="dxa"/>
            <w:tcBorders>
              <w:top w:val="single" w:sz="4" w:space="0" w:color="auto"/>
              <w:left w:val="single" w:sz="4" w:space="0" w:color="auto"/>
              <w:bottom w:val="single" w:sz="4" w:space="0" w:color="auto"/>
              <w:right w:val="single" w:sz="4" w:space="0" w:color="auto"/>
            </w:tcBorders>
          </w:tcPr>
          <w:p w14:paraId="035E43C2"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Reserva del Perú</w:t>
            </w:r>
          </w:p>
        </w:tc>
        <w:tc>
          <w:tcPr>
            <w:tcW w:w="992" w:type="dxa"/>
            <w:tcBorders>
              <w:top w:val="single" w:sz="4" w:space="0" w:color="auto"/>
              <w:left w:val="single" w:sz="4" w:space="0" w:color="auto"/>
              <w:bottom w:val="single" w:sz="4" w:space="0" w:color="auto"/>
              <w:right w:val="single" w:sz="4" w:space="0" w:color="auto"/>
            </w:tcBorders>
            <w:vAlign w:val="center"/>
          </w:tcPr>
          <w:p w14:paraId="525A1A8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15 ene 15</w:t>
            </w:r>
          </w:p>
        </w:tc>
        <w:tc>
          <w:tcPr>
            <w:tcW w:w="869" w:type="dxa"/>
            <w:tcBorders>
              <w:top w:val="single" w:sz="4" w:space="0" w:color="auto"/>
              <w:left w:val="single" w:sz="4" w:space="0" w:color="auto"/>
              <w:bottom w:val="single" w:sz="4" w:space="0" w:color="auto"/>
              <w:right w:val="single" w:sz="4" w:space="0" w:color="auto"/>
            </w:tcBorders>
            <w:vAlign w:val="center"/>
          </w:tcPr>
          <w:p w14:paraId="65B99273"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vAlign w:val="center"/>
          </w:tcPr>
          <w:p w14:paraId="1B342FF4"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3.25</w:t>
            </w:r>
          </w:p>
        </w:tc>
        <w:tc>
          <w:tcPr>
            <w:tcW w:w="1276" w:type="dxa"/>
            <w:tcBorders>
              <w:top w:val="single" w:sz="4" w:space="0" w:color="auto"/>
              <w:left w:val="single" w:sz="4" w:space="0" w:color="auto"/>
              <w:bottom w:val="single" w:sz="4" w:space="0" w:color="auto"/>
              <w:right w:val="single" w:sz="4" w:space="0" w:color="auto"/>
            </w:tcBorders>
          </w:tcPr>
          <w:p w14:paraId="3C2065E1"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41F13218" w14:textId="77777777" w:rsidR="00C365A6" w:rsidRPr="00C365A6" w:rsidRDefault="00C365A6" w:rsidP="00C365A6">
            <w:pPr>
              <w:jc w:val="both"/>
              <w:rPr>
                <w:rFonts w:eastAsia="Calibri"/>
                <w:sz w:val="18"/>
                <w:szCs w:val="18"/>
                <w:lang w:eastAsia="en-US"/>
              </w:rPr>
            </w:pPr>
          </w:p>
        </w:tc>
      </w:tr>
      <w:tr w:rsidR="00C365A6" w:rsidRPr="00C365A6" w14:paraId="189107FC" w14:textId="77777777" w:rsidTr="00A573F8">
        <w:tc>
          <w:tcPr>
            <w:tcW w:w="2552" w:type="dxa"/>
            <w:tcBorders>
              <w:top w:val="single" w:sz="4" w:space="0" w:color="auto"/>
              <w:left w:val="single" w:sz="4" w:space="0" w:color="auto"/>
              <w:bottom w:val="single" w:sz="4" w:space="0" w:color="auto"/>
              <w:right w:val="single" w:sz="4" w:space="0" w:color="auto"/>
            </w:tcBorders>
          </w:tcPr>
          <w:p w14:paraId="06521723"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Reserva de la India</w:t>
            </w:r>
          </w:p>
        </w:tc>
        <w:tc>
          <w:tcPr>
            <w:tcW w:w="992" w:type="dxa"/>
            <w:tcBorders>
              <w:top w:val="single" w:sz="4" w:space="0" w:color="auto"/>
              <w:left w:val="single" w:sz="4" w:space="0" w:color="auto"/>
              <w:bottom w:val="single" w:sz="4" w:space="0" w:color="auto"/>
              <w:right w:val="single" w:sz="4" w:space="0" w:color="auto"/>
            </w:tcBorders>
          </w:tcPr>
          <w:p w14:paraId="164E3BE3"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15 ene 15</w:t>
            </w:r>
          </w:p>
        </w:tc>
        <w:tc>
          <w:tcPr>
            <w:tcW w:w="869" w:type="dxa"/>
            <w:tcBorders>
              <w:top w:val="single" w:sz="4" w:space="0" w:color="auto"/>
              <w:left w:val="single" w:sz="4" w:space="0" w:color="auto"/>
              <w:bottom w:val="single" w:sz="4" w:space="0" w:color="auto"/>
              <w:right w:val="single" w:sz="4" w:space="0" w:color="auto"/>
            </w:tcBorders>
          </w:tcPr>
          <w:p w14:paraId="525C2059"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3351C89B"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7.75</w:t>
            </w:r>
          </w:p>
        </w:tc>
        <w:tc>
          <w:tcPr>
            <w:tcW w:w="1276" w:type="dxa"/>
            <w:tcBorders>
              <w:top w:val="single" w:sz="4" w:space="0" w:color="auto"/>
              <w:left w:val="single" w:sz="4" w:space="0" w:color="auto"/>
              <w:bottom w:val="single" w:sz="4" w:space="0" w:color="auto"/>
              <w:right w:val="single" w:sz="4" w:space="0" w:color="auto"/>
            </w:tcBorders>
          </w:tcPr>
          <w:p w14:paraId="6389A6B7"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32CDB477" w14:textId="77777777" w:rsidR="00C365A6" w:rsidRPr="00C365A6" w:rsidRDefault="00C365A6" w:rsidP="00C365A6">
            <w:pPr>
              <w:jc w:val="both"/>
              <w:rPr>
                <w:rFonts w:eastAsia="Calibri"/>
                <w:sz w:val="18"/>
                <w:szCs w:val="18"/>
                <w:lang w:eastAsia="en-US"/>
              </w:rPr>
            </w:pPr>
          </w:p>
        </w:tc>
      </w:tr>
      <w:tr w:rsidR="00C365A6" w:rsidRPr="00C365A6" w14:paraId="28A95344"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0EEBFE5B"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Nacional de Suiza</w:t>
            </w:r>
          </w:p>
        </w:tc>
        <w:tc>
          <w:tcPr>
            <w:tcW w:w="992" w:type="dxa"/>
            <w:tcBorders>
              <w:top w:val="single" w:sz="4" w:space="0" w:color="auto"/>
              <w:left w:val="single" w:sz="4" w:space="0" w:color="auto"/>
              <w:bottom w:val="single" w:sz="4" w:space="0" w:color="auto"/>
              <w:right w:val="single" w:sz="4" w:space="0" w:color="auto"/>
            </w:tcBorders>
            <w:vAlign w:val="center"/>
          </w:tcPr>
          <w:p w14:paraId="0E899831"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15 ene 15</w:t>
            </w:r>
          </w:p>
        </w:tc>
        <w:tc>
          <w:tcPr>
            <w:tcW w:w="869" w:type="dxa"/>
            <w:tcBorders>
              <w:top w:val="single" w:sz="4" w:space="0" w:color="auto"/>
              <w:left w:val="single" w:sz="4" w:space="0" w:color="auto"/>
              <w:bottom w:val="single" w:sz="4" w:space="0" w:color="auto"/>
              <w:right w:val="single" w:sz="4" w:space="0" w:color="auto"/>
            </w:tcBorders>
            <w:vAlign w:val="center"/>
          </w:tcPr>
          <w:p w14:paraId="4FA04CF1"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50</w:t>
            </w:r>
          </w:p>
        </w:tc>
        <w:tc>
          <w:tcPr>
            <w:tcW w:w="690" w:type="dxa"/>
            <w:tcBorders>
              <w:top w:val="single" w:sz="4" w:space="0" w:color="auto"/>
              <w:left w:val="single" w:sz="4" w:space="0" w:color="auto"/>
              <w:bottom w:val="single" w:sz="4" w:space="0" w:color="auto"/>
              <w:right w:val="single" w:sz="4" w:space="0" w:color="auto"/>
            </w:tcBorders>
            <w:vAlign w:val="center"/>
          </w:tcPr>
          <w:p w14:paraId="53B49BC8"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-0.75</w:t>
            </w:r>
          </w:p>
        </w:tc>
        <w:tc>
          <w:tcPr>
            <w:tcW w:w="1276" w:type="dxa"/>
            <w:tcBorders>
              <w:top w:val="single" w:sz="4" w:space="0" w:color="auto"/>
              <w:left w:val="single" w:sz="4" w:space="0" w:color="auto"/>
              <w:bottom w:val="single" w:sz="4" w:space="0" w:color="auto"/>
              <w:right w:val="single" w:sz="4" w:space="0" w:color="auto"/>
            </w:tcBorders>
          </w:tcPr>
          <w:p w14:paraId="52C92684"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9D76E26"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Eliminación de tipo de cambio mínimo</w:t>
            </w:r>
          </w:p>
        </w:tc>
      </w:tr>
      <w:tr w:rsidR="00C365A6" w:rsidRPr="00C365A6" w14:paraId="33FC899B" w14:textId="77777777" w:rsidTr="00A573F8">
        <w:tc>
          <w:tcPr>
            <w:tcW w:w="2552" w:type="dxa"/>
            <w:tcBorders>
              <w:top w:val="single" w:sz="4" w:space="0" w:color="auto"/>
              <w:left w:val="single" w:sz="4" w:space="0" w:color="auto"/>
              <w:bottom w:val="single" w:sz="4" w:space="0" w:color="auto"/>
              <w:right w:val="single" w:sz="4" w:space="0" w:color="auto"/>
            </w:tcBorders>
          </w:tcPr>
          <w:p w14:paraId="02EC18AC" w14:textId="722E4DCE" w:rsidR="00C365A6" w:rsidRPr="00C365A6" w:rsidRDefault="00C365A6" w:rsidP="003E354C">
            <w:pPr>
              <w:jc w:val="both"/>
              <w:rPr>
                <w:rFonts w:eastAsia="Calibri"/>
                <w:i/>
                <w:sz w:val="18"/>
                <w:szCs w:val="18"/>
                <w:lang w:eastAsia="en-US"/>
              </w:rPr>
            </w:pPr>
            <w:r w:rsidRPr="00C365A6">
              <w:rPr>
                <w:rFonts w:eastAsia="Calibri"/>
                <w:i/>
                <w:sz w:val="18"/>
                <w:szCs w:val="18"/>
                <w:lang w:eastAsia="en-US"/>
              </w:rPr>
              <w:t>Danmarks Na</w:t>
            </w:r>
            <w:r w:rsidR="003E354C">
              <w:rPr>
                <w:rFonts w:eastAsia="Calibri"/>
                <w:i/>
                <w:sz w:val="18"/>
                <w:szCs w:val="18"/>
                <w:lang w:eastAsia="en-US"/>
              </w:rPr>
              <w:t>t</w:t>
            </w:r>
            <w:r w:rsidRPr="00C365A6">
              <w:rPr>
                <w:rFonts w:eastAsia="Calibri"/>
                <w:i/>
                <w:sz w:val="18"/>
                <w:szCs w:val="18"/>
                <w:lang w:eastAsia="en-US"/>
              </w:rPr>
              <w:t>ionalbank</w:t>
            </w:r>
          </w:p>
        </w:tc>
        <w:tc>
          <w:tcPr>
            <w:tcW w:w="992" w:type="dxa"/>
            <w:tcBorders>
              <w:top w:val="single" w:sz="4" w:space="0" w:color="auto"/>
              <w:left w:val="single" w:sz="4" w:space="0" w:color="auto"/>
              <w:bottom w:val="single" w:sz="4" w:space="0" w:color="auto"/>
              <w:right w:val="single" w:sz="4" w:space="0" w:color="auto"/>
            </w:tcBorders>
          </w:tcPr>
          <w:p w14:paraId="367B1E1B"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19 ene 15</w:t>
            </w:r>
          </w:p>
        </w:tc>
        <w:tc>
          <w:tcPr>
            <w:tcW w:w="869" w:type="dxa"/>
            <w:tcBorders>
              <w:top w:val="single" w:sz="4" w:space="0" w:color="auto"/>
              <w:left w:val="single" w:sz="4" w:space="0" w:color="auto"/>
              <w:bottom w:val="single" w:sz="4" w:space="0" w:color="auto"/>
              <w:right w:val="single" w:sz="4" w:space="0" w:color="auto"/>
            </w:tcBorders>
          </w:tcPr>
          <w:p w14:paraId="2C3EBE50"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15</w:t>
            </w:r>
          </w:p>
        </w:tc>
        <w:tc>
          <w:tcPr>
            <w:tcW w:w="690" w:type="dxa"/>
            <w:tcBorders>
              <w:top w:val="single" w:sz="4" w:space="0" w:color="auto"/>
              <w:left w:val="single" w:sz="4" w:space="0" w:color="auto"/>
              <w:bottom w:val="single" w:sz="4" w:space="0" w:color="auto"/>
              <w:right w:val="single" w:sz="4" w:space="0" w:color="auto"/>
            </w:tcBorders>
          </w:tcPr>
          <w:p w14:paraId="7E17DEFF"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-0.20</w:t>
            </w:r>
          </w:p>
        </w:tc>
        <w:tc>
          <w:tcPr>
            <w:tcW w:w="1276" w:type="dxa"/>
            <w:tcBorders>
              <w:top w:val="single" w:sz="4" w:space="0" w:color="auto"/>
              <w:left w:val="single" w:sz="4" w:space="0" w:color="auto"/>
              <w:bottom w:val="single" w:sz="4" w:space="0" w:color="auto"/>
              <w:right w:val="single" w:sz="4" w:space="0" w:color="auto"/>
            </w:tcBorders>
          </w:tcPr>
          <w:p w14:paraId="74D2D7F7"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57B41E55" w14:textId="77777777" w:rsidR="00C365A6" w:rsidRPr="00C365A6" w:rsidRDefault="00C365A6" w:rsidP="00C365A6">
            <w:pPr>
              <w:jc w:val="both"/>
              <w:rPr>
                <w:rFonts w:eastAsia="Calibri"/>
                <w:sz w:val="18"/>
                <w:szCs w:val="18"/>
                <w:lang w:eastAsia="en-US"/>
              </w:rPr>
            </w:pPr>
          </w:p>
        </w:tc>
      </w:tr>
      <w:tr w:rsidR="00C365A6" w:rsidRPr="00C365A6" w14:paraId="514C36CB" w14:textId="77777777" w:rsidTr="00A573F8">
        <w:tc>
          <w:tcPr>
            <w:tcW w:w="2552" w:type="dxa"/>
            <w:tcBorders>
              <w:top w:val="single" w:sz="4" w:space="0" w:color="auto"/>
              <w:left w:val="single" w:sz="4" w:space="0" w:color="auto"/>
              <w:bottom w:val="single" w:sz="4" w:space="0" w:color="auto"/>
              <w:right w:val="single" w:sz="4" w:space="0" w:color="auto"/>
            </w:tcBorders>
          </w:tcPr>
          <w:p w14:paraId="7A37DA45"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la República de Turquía</w:t>
            </w:r>
          </w:p>
        </w:tc>
        <w:tc>
          <w:tcPr>
            <w:tcW w:w="992" w:type="dxa"/>
            <w:tcBorders>
              <w:top w:val="single" w:sz="4" w:space="0" w:color="auto"/>
              <w:left w:val="single" w:sz="4" w:space="0" w:color="auto"/>
              <w:bottom w:val="single" w:sz="4" w:space="0" w:color="auto"/>
              <w:right w:val="single" w:sz="4" w:space="0" w:color="auto"/>
            </w:tcBorders>
          </w:tcPr>
          <w:p w14:paraId="4BBD7689"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20 ene 15</w:t>
            </w:r>
          </w:p>
        </w:tc>
        <w:tc>
          <w:tcPr>
            <w:tcW w:w="869" w:type="dxa"/>
            <w:tcBorders>
              <w:top w:val="single" w:sz="4" w:space="0" w:color="auto"/>
              <w:left w:val="single" w:sz="4" w:space="0" w:color="auto"/>
              <w:bottom w:val="single" w:sz="4" w:space="0" w:color="auto"/>
              <w:right w:val="single" w:sz="4" w:space="0" w:color="auto"/>
            </w:tcBorders>
          </w:tcPr>
          <w:p w14:paraId="3E794E25"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50</w:t>
            </w:r>
          </w:p>
        </w:tc>
        <w:tc>
          <w:tcPr>
            <w:tcW w:w="690" w:type="dxa"/>
            <w:tcBorders>
              <w:top w:val="single" w:sz="4" w:space="0" w:color="auto"/>
              <w:left w:val="single" w:sz="4" w:space="0" w:color="auto"/>
              <w:bottom w:val="single" w:sz="4" w:space="0" w:color="auto"/>
              <w:right w:val="single" w:sz="4" w:space="0" w:color="auto"/>
            </w:tcBorders>
          </w:tcPr>
          <w:p w14:paraId="4EB7BC41"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7.75</w:t>
            </w:r>
          </w:p>
        </w:tc>
        <w:tc>
          <w:tcPr>
            <w:tcW w:w="1276" w:type="dxa"/>
            <w:tcBorders>
              <w:top w:val="single" w:sz="4" w:space="0" w:color="auto"/>
              <w:left w:val="single" w:sz="4" w:space="0" w:color="auto"/>
              <w:bottom w:val="single" w:sz="4" w:space="0" w:color="auto"/>
              <w:right w:val="single" w:sz="4" w:space="0" w:color="auto"/>
            </w:tcBorders>
          </w:tcPr>
          <w:p w14:paraId="79BDE925"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5A620FD" w14:textId="77777777" w:rsidR="00C365A6" w:rsidRPr="00C365A6" w:rsidRDefault="00C365A6" w:rsidP="00C365A6">
            <w:pPr>
              <w:jc w:val="both"/>
              <w:rPr>
                <w:rFonts w:eastAsia="Calibri"/>
                <w:sz w:val="18"/>
                <w:szCs w:val="18"/>
                <w:lang w:eastAsia="en-US"/>
              </w:rPr>
            </w:pPr>
          </w:p>
        </w:tc>
      </w:tr>
      <w:tr w:rsidR="00C365A6" w:rsidRPr="00C365A6" w14:paraId="51E029A9" w14:textId="77777777" w:rsidTr="00A573F8">
        <w:tc>
          <w:tcPr>
            <w:tcW w:w="2552" w:type="dxa"/>
            <w:tcBorders>
              <w:top w:val="single" w:sz="4" w:space="0" w:color="auto"/>
              <w:left w:val="single" w:sz="4" w:space="0" w:color="auto"/>
              <w:bottom w:val="single" w:sz="4" w:space="0" w:color="auto"/>
              <w:right w:val="single" w:sz="4" w:space="0" w:color="auto"/>
            </w:tcBorders>
          </w:tcPr>
          <w:p w14:paraId="73DEDC04"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Canadá</w:t>
            </w:r>
          </w:p>
        </w:tc>
        <w:tc>
          <w:tcPr>
            <w:tcW w:w="992" w:type="dxa"/>
            <w:tcBorders>
              <w:top w:val="single" w:sz="4" w:space="0" w:color="auto"/>
              <w:left w:val="single" w:sz="4" w:space="0" w:color="auto"/>
              <w:bottom w:val="single" w:sz="4" w:space="0" w:color="auto"/>
              <w:right w:val="single" w:sz="4" w:space="0" w:color="auto"/>
            </w:tcBorders>
          </w:tcPr>
          <w:p w14:paraId="47AB703A"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21 ene 15</w:t>
            </w:r>
          </w:p>
        </w:tc>
        <w:tc>
          <w:tcPr>
            <w:tcW w:w="869" w:type="dxa"/>
            <w:tcBorders>
              <w:top w:val="single" w:sz="4" w:space="0" w:color="auto"/>
              <w:left w:val="single" w:sz="4" w:space="0" w:color="auto"/>
              <w:bottom w:val="single" w:sz="4" w:space="0" w:color="auto"/>
              <w:right w:val="single" w:sz="4" w:space="0" w:color="auto"/>
            </w:tcBorders>
          </w:tcPr>
          <w:p w14:paraId="16FD34C5"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0ADE18ED"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0.75</w:t>
            </w:r>
          </w:p>
        </w:tc>
        <w:tc>
          <w:tcPr>
            <w:tcW w:w="1276" w:type="dxa"/>
            <w:tcBorders>
              <w:top w:val="single" w:sz="4" w:space="0" w:color="auto"/>
              <w:left w:val="single" w:sz="4" w:space="0" w:color="auto"/>
              <w:bottom w:val="single" w:sz="4" w:space="0" w:color="auto"/>
              <w:right w:val="single" w:sz="4" w:space="0" w:color="auto"/>
            </w:tcBorders>
          </w:tcPr>
          <w:p w14:paraId="056EE7C9"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ABEB987" w14:textId="77777777" w:rsidR="00C365A6" w:rsidRPr="00C365A6" w:rsidRDefault="00C365A6" w:rsidP="00C365A6">
            <w:pPr>
              <w:jc w:val="both"/>
              <w:rPr>
                <w:rFonts w:eastAsia="Calibri"/>
                <w:sz w:val="18"/>
                <w:szCs w:val="18"/>
                <w:lang w:eastAsia="en-US"/>
              </w:rPr>
            </w:pPr>
          </w:p>
        </w:tc>
      </w:tr>
      <w:tr w:rsidR="00C365A6" w:rsidRPr="00C365A6" w14:paraId="56CE8602" w14:textId="77777777" w:rsidTr="00A573F8">
        <w:tc>
          <w:tcPr>
            <w:tcW w:w="2552" w:type="dxa"/>
            <w:tcBorders>
              <w:top w:val="single" w:sz="4" w:space="0" w:color="auto"/>
              <w:left w:val="single" w:sz="4" w:space="0" w:color="auto"/>
              <w:bottom w:val="single" w:sz="4" w:space="0" w:color="auto"/>
              <w:right w:val="single" w:sz="4" w:space="0" w:color="auto"/>
            </w:tcBorders>
          </w:tcPr>
          <w:p w14:paraId="1FAB2C63" w14:textId="41FEAF67" w:rsidR="00C365A6" w:rsidRPr="00C365A6" w:rsidRDefault="00C365A6" w:rsidP="003E354C">
            <w:pPr>
              <w:jc w:val="both"/>
              <w:rPr>
                <w:rFonts w:eastAsia="Calibri"/>
                <w:sz w:val="18"/>
                <w:szCs w:val="18"/>
                <w:lang w:eastAsia="en-US"/>
              </w:rPr>
            </w:pPr>
            <w:r w:rsidRPr="00C365A6">
              <w:rPr>
                <w:rFonts w:eastAsia="Calibri"/>
                <w:i/>
                <w:sz w:val="18"/>
                <w:szCs w:val="18"/>
                <w:lang w:eastAsia="en-US"/>
              </w:rPr>
              <w:t>Danmarks Na</w:t>
            </w:r>
            <w:r w:rsidR="003E354C">
              <w:rPr>
                <w:rFonts w:eastAsia="Calibri"/>
                <w:i/>
                <w:sz w:val="18"/>
                <w:szCs w:val="18"/>
                <w:lang w:eastAsia="en-US"/>
              </w:rPr>
              <w:t>t</w:t>
            </w:r>
            <w:r w:rsidRPr="00C365A6">
              <w:rPr>
                <w:rFonts w:eastAsia="Calibri"/>
                <w:i/>
                <w:sz w:val="18"/>
                <w:szCs w:val="18"/>
                <w:lang w:eastAsia="en-US"/>
              </w:rPr>
              <w:t>ionalbank</w:t>
            </w:r>
          </w:p>
        </w:tc>
        <w:tc>
          <w:tcPr>
            <w:tcW w:w="992" w:type="dxa"/>
            <w:tcBorders>
              <w:top w:val="single" w:sz="4" w:space="0" w:color="auto"/>
              <w:left w:val="single" w:sz="4" w:space="0" w:color="auto"/>
              <w:bottom w:val="single" w:sz="4" w:space="0" w:color="auto"/>
              <w:right w:val="single" w:sz="4" w:space="0" w:color="auto"/>
            </w:tcBorders>
          </w:tcPr>
          <w:p w14:paraId="04D28C57"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22 ene 15</w:t>
            </w:r>
          </w:p>
        </w:tc>
        <w:tc>
          <w:tcPr>
            <w:tcW w:w="869" w:type="dxa"/>
            <w:tcBorders>
              <w:top w:val="single" w:sz="4" w:space="0" w:color="auto"/>
              <w:left w:val="single" w:sz="4" w:space="0" w:color="auto"/>
              <w:bottom w:val="single" w:sz="4" w:space="0" w:color="auto"/>
              <w:right w:val="single" w:sz="4" w:space="0" w:color="auto"/>
            </w:tcBorders>
          </w:tcPr>
          <w:p w14:paraId="1C5E85D4"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15</w:t>
            </w:r>
          </w:p>
        </w:tc>
        <w:tc>
          <w:tcPr>
            <w:tcW w:w="690" w:type="dxa"/>
            <w:tcBorders>
              <w:top w:val="single" w:sz="4" w:space="0" w:color="auto"/>
              <w:left w:val="single" w:sz="4" w:space="0" w:color="auto"/>
              <w:bottom w:val="single" w:sz="4" w:space="0" w:color="auto"/>
              <w:right w:val="single" w:sz="4" w:space="0" w:color="auto"/>
            </w:tcBorders>
          </w:tcPr>
          <w:p w14:paraId="7140CD89"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-0.35</w:t>
            </w:r>
          </w:p>
        </w:tc>
        <w:tc>
          <w:tcPr>
            <w:tcW w:w="1276" w:type="dxa"/>
            <w:tcBorders>
              <w:top w:val="single" w:sz="4" w:space="0" w:color="auto"/>
              <w:left w:val="single" w:sz="4" w:space="0" w:color="auto"/>
              <w:bottom w:val="single" w:sz="4" w:space="0" w:color="auto"/>
              <w:right w:val="single" w:sz="4" w:space="0" w:color="auto"/>
            </w:tcBorders>
          </w:tcPr>
          <w:p w14:paraId="5E19F176"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24511CE7" w14:textId="77777777" w:rsidR="00C365A6" w:rsidRPr="00C365A6" w:rsidRDefault="00C365A6" w:rsidP="00C365A6">
            <w:pPr>
              <w:jc w:val="both"/>
              <w:rPr>
                <w:rFonts w:eastAsia="Calibri"/>
                <w:sz w:val="18"/>
                <w:szCs w:val="18"/>
                <w:lang w:eastAsia="en-US"/>
              </w:rPr>
            </w:pPr>
          </w:p>
        </w:tc>
      </w:tr>
      <w:tr w:rsidR="00C365A6" w:rsidRPr="00C365A6" w14:paraId="1F790303"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4BF7EE7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BCE</w:t>
            </w:r>
          </w:p>
        </w:tc>
        <w:tc>
          <w:tcPr>
            <w:tcW w:w="992" w:type="dxa"/>
            <w:tcBorders>
              <w:top w:val="single" w:sz="4" w:space="0" w:color="auto"/>
              <w:left w:val="single" w:sz="4" w:space="0" w:color="auto"/>
              <w:bottom w:val="single" w:sz="4" w:space="0" w:color="auto"/>
              <w:right w:val="single" w:sz="4" w:space="0" w:color="auto"/>
            </w:tcBorders>
            <w:vAlign w:val="center"/>
          </w:tcPr>
          <w:p w14:paraId="0185239B"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22 ene 15</w:t>
            </w:r>
          </w:p>
        </w:tc>
        <w:tc>
          <w:tcPr>
            <w:tcW w:w="869" w:type="dxa"/>
            <w:tcBorders>
              <w:top w:val="single" w:sz="4" w:space="0" w:color="auto"/>
              <w:left w:val="single" w:sz="4" w:space="0" w:color="auto"/>
              <w:bottom w:val="single" w:sz="4" w:space="0" w:color="auto"/>
              <w:right w:val="single" w:sz="4" w:space="0" w:color="auto"/>
            </w:tcBorders>
          </w:tcPr>
          <w:p w14:paraId="6BB39DE3" w14:textId="77777777" w:rsidR="00C365A6" w:rsidRPr="00C365A6" w:rsidRDefault="00C365A6" w:rsidP="00C365A6">
            <w:pPr>
              <w:jc w:val="center"/>
              <w:rPr>
                <w:rFonts w:eastAsia="Calibri"/>
                <w:sz w:val="18"/>
                <w:szCs w:val="18"/>
                <w:lang w:eastAsia="en-US"/>
              </w:rPr>
            </w:pPr>
          </w:p>
        </w:tc>
        <w:tc>
          <w:tcPr>
            <w:tcW w:w="690" w:type="dxa"/>
            <w:tcBorders>
              <w:top w:val="single" w:sz="4" w:space="0" w:color="auto"/>
              <w:left w:val="single" w:sz="4" w:space="0" w:color="auto"/>
              <w:bottom w:val="single" w:sz="4" w:space="0" w:color="auto"/>
              <w:right w:val="single" w:sz="4" w:space="0" w:color="auto"/>
            </w:tcBorders>
          </w:tcPr>
          <w:p w14:paraId="64BD1097" w14:textId="77777777" w:rsidR="00C365A6" w:rsidRPr="00C365A6" w:rsidRDefault="00C365A6" w:rsidP="00C365A6">
            <w:pPr>
              <w:ind w:right="57"/>
              <w:jc w:val="right"/>
              <w:rPr>
                <w:rFonts w:eastAsia="Calibri"/>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432514A" w14:textId="77777777" w:rsidR="00C365A6" w:rsidRPr="00C365A6" w:rsidRDefault="00C365A6" w:rsidP="00C365A6">
            <w:pPr>
              <w:jc w:val="both"/>
              <w:rPr>
                <w:rFonts w:eastAsia="Calibri"/>
                <w:sz w:val="18"/>
                <w:szCs w:val="18"/>
                <w:lang w:eastAsia="en-US"/>
              </w:rPr>
            </w:pPr>
            <w:r w:rsidRPr="00C365A6">
              <w:rPr>
                <w:rFonts w:eastAsia="Calibri"/>
                <w:sz w:val="18"/>
                <w:szCs w:val="18"/>
                <w:u w:val="single"/>
                <w:lang w:eastAsia="en-US"/>
              </w:rPr>
              <w:t>&gt;</w:t>
            </w:r>
            <w:r w:rsidRPr="00C365A6">
              <w:rPr>
                <w:rFonts w:eastAsia="Calibri"/>
                <w:sz w:val="18"/>
                <w:szCs w:val="18"/>
                <w:lang w:eastAsia="en-US"/>
              </w:rPr>
              <w:t xml:space="preserve"> 1.1 billones de euros</w:t>
            </w:r>
          </w:p>
        </w:tc>
        <w:tc>
          <w:tcPr>
            <w:tcW w:w="2449" w:type="dxa"/>
            <w:tcBorders>
              <w:top w:val="single" w:sz="4" w:space="0" w:color="auto"/>
              <w:left w:val="single" w:sz="4" w:space="0" w:color="auto"/>
              <w:bottom w:val="single" w:sz="4" w:space="0" w:color="auto"/>
              <w:right w:val="single" w:sz="4" w:space="0" w:color="auto"/>
            </w:tcBorders>
          </w:tcPr>
          <w:p w14:paraId="596554F4"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Eliminación del diferencial de 10 pb a TLTRO</w:t>
            </w:r>
          </w:p>
        </w:tc>
      </w:tr>
      <w:tr w:rsidR="00C365A6" w:rsidRPr="00C365A6" w14:paraId="7920137E"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007552ED"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Reserva del Perú</w:t>
            </w:r>
          </w:p>
        </w:tc>
        <w:tc>
          <w:tcPr>
            <w:tcW w:w="992" w:type="dxa"/>
            <w:tcBorders>
              <w:top w:val="single" w:sz="4" w:space="0" w:color="auto"/>
              <w:left w:val="single" w:sz="4" w:space="0" w:color="auto"/>
              <w:bottom w:val="single" w:sz="4" w:space="0" w:color="auto"/>
              <w:right w:val="single" w:sz="4" w:space="0" w:color="auto"/>
            </w:tcBorders>
            <w:vAlign w:val="center"/>
          </w:tcPr>
          <w:p w14:paraId="2FFAF07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28 ene 15</w:t>
            </w:r>
          </w:p>
        </w:tc>
        <w:tc>
          <w:tcPr>
            <w:tcW w:w="869" w:type="dxa"/>
            <w:tcBorders>
              <w:top w:val="single" w:sz="4" w:space="0" w:color="auto"/>
              <w:left w:val="single" w:sz="4" w:space="0" w:color="auto"/>
              <w:bottom w:val="single" w:sz="4" w:space="0" w:color="auto"/>
              <w:right w:val="single" w:sz="4" w:space="0" w:color="auto"/>
            </w:tcBorders>
          </w:tcPr>
          <w:p w14:paraId="48E8D390" w14:textId="77777777" w:rsidR="00C365A6" w:rsidRPr="00C365A6" w:rsidRDefault="00C365A6" w:rsidP="00C365A6">
            <w:pPr>
              <w:jc w:val="center"/>
              <w:rPr>
                <w:rFonts w:eastAsia="Calibri"/>
                <w:sz w:val="18"/>
                <w:szCs w:val="18"/>
                <w:lang w:eastAsia="en-US"/>
              </w:rPr>
            </w:pPr>
          </w:p>
        </w:tc>
        <w:tc>
          <w:tcPr>
            <w:tcW w:w="690" w:type="dxa"/>
            <w:tcBorders>
              <w:top w:val="single" w:sz="4" w:space="0" w:color="auto"/>
              <w:left w:val="single" w:sz="4" w:space="0" w:color="auto"/>
              <w:bottom w:val="single" w:sz="4" w:space="0" w:color="auto"/>
              <w:right w:val="single" w:sz="4" w:space="0" w:color="auto"/>
            </w:tcBorders>
          </w:tcPr>
          <w:p w14:paraId="27090CB9" w14:textId="77777777" w:rsidR="00C365A6" w:rsidRPr="00C365A6" w:rsidRDefault="00C365A6" w:rsidP="00C365A6">
            <w:pPr>
              <w:ind w:right="57"/>
              <w:jc w:val="right"/>
              <w:rPr>
                <w:rFonts w:eastAsia="Calibri"/>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2139E96E"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45BCDABB"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Recorte de 50 pb (hasta el 8.5%) del coeficiente de reservas bancarias obligatorias en moneda local</w:t>
            </w:r>
          </w:p>
        </w:tc>
      </w:tr>
      <w:tr w:rsidR="00C365A6" w:rsidRPr="00C365A6" w14:paraId="3D22F2D4"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5E98C7A0"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Autoridad Monetaria de Singapur</w:t>
            </w:r>
          </w:p>
        </w:tc>
        <w:tc>
          <w:tcPr>
            <w:tcW w:w="992" w:type="dxa"/>
            <w:tcBorders>
              <w:top w:val="single" w:sz="4" w:space="0" w:color="auto"/>
              <w:left w:val="single" w:sz="4" w:space="0" w:color="auto"/>
              <w:bottom w:val="single" w:sz="4" w:space="0" w:color="auto"/>
              <w:right w:val="single" w:sz="4" w:space="0" w:color="auto"/>
            </w:tcBorders>
            <w:vAlign w:val="center"/>
          </w:tcPr>
          <w:p w14:paraId="262F32E6"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28 ene 15</w:t>
            </w:r>
          </w:p>
        </w:tc>
        <w:tc>
          <w:tcPr>
            <w:tcW w:w="869" w:type="dxa"/>
            <w:tcBorders>
              <w:top w:val="single" w:sz="4" w:space="0" w:color="auto"/>
              <w:left w:val="single" w:sz="4" w:space="0" w:color="auto"/>
              <w:bottom w:val="single" w:sz="4" w:space="0" w:color="auto"/>
              <w:right w:val="single" w:sz="4" w:space="0" w:color="auto"/>
            </w:tcBorders>
          </w:tcPr>
          <w:p w14:paraId="7BC05900" w14:textId="77777777" w:rsidR="00C365A6" w:rsidRPr="00C365A6" w:rsidRDefault="00C365A6" w:rsidP="00C365A6">
            <w:pPr>
              <w:jc w:val="center"/>
              <w:rPr>
                <w:rFonts w:eastAsia="Calibri"/>
                <w:sz w:val="18"/>
                <w:szCs w:val="18"/>
                <w:lang w:eastAsia="en-US"/>
              </w:rPr>
            </w:pPr>
          </w:p>
        </w:tc>
        <w:tc>
          <w:tcPr>
            <w:tcW w:w="690" w:type="dxa"/>
            <w:tcBorders>
              <w:top w:val="single" w:sz="4" w:space="0" w:color="auto"/>
              <w:left w:val="single" w:sz="4" w:space="0" w:color="auto"/>
              <w:bottom w:val="single" w:sz="4" w:space="0" w:color="auto"/>
              <w:right w:val="single" w:sz="4" w:space="0" w:color="auto"/>
            </w:tcBorders>
          </w:tcPr>
          <w:p w14:paraId="1D233EBA" w14:textId="77777777" w:rsidR="00C365A6" w:rsidRPr="00C365A6" w:rsidRDefault="00C365A6" w:rsidP="00C365A6">
            <w:pPr>
              <w:ind w:right="57"/>
              <w:jc w:val="right"/>
              <w:rPr>
                <w:rFonts w:eastAsia="Calibri"/>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6C2A246F"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27C49F60"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Reducción del ritmo de apreciación del tipo de cambio ponderado por el comercio exterior del SGD</w:t>
            </w:r>
          </w:p>
        </w:tc>
      </w:tr>
      <w:tr w:rsidR="00C365A6" w:rsidRPr="00C365A6" w14:paraId="64C0980A" w14:textId="77777777" w:rsidTr="00A573F8">
        <w:tc>
          <w:tcPr>
            <w:tcW w:w="2552" w:type="dxa"/>
            <w:tcBorders>
              <w:top w:val="single" w:sz="4" w:space="0" w:color="auto"/>
              <w:left w:val="single" w:sz="4" w:space="0" w:color="auto"/>
              <w:bottom w:val="single" w:sz="4" w:space="0" w:color="auto"/>
              <w:right w:val="single" w:sz="4" w:space="0" w:color="auto"/>
            </w:tcBorders>
          </w:tcPr>
          <w:p w14:paraId="00CA7767" w14:textId="0EF371F2" w:rsidR="00C365A6" w:rsidRPr="00C365A6" w:rsidRDefault="00C365A6" w:rsidP="003E354C">
            <w:pPr>
              <w:jc w:val="both"/>
              <w:rPr>
                <w:rFonts w:eastAsia="Calibri"/>
                <w:sz w:val="18"/>
                <w:szCs w:val="18"/>
                <w:lang w:eastAsia="en-US"/>
              </w:rPr>
            </w:pPr>
            <w:r w:rsidRPr="00C365A6">
              <w:rPr>
                <w:rFonts w:eastAsia="Calibri"/>
                <w:i/>
                <w:sz w:val="18"/>
                <w:szCs w:val="18"/>
                <w:lang w:eastAsia="en-US"/>
              </w:rPr>
              <w:t>Danmarks Na</w:t>
            </w:r>
            <w:r w:rsidR="003E354C">
              <w:rPr>
                <w:rFonts w:eastAsia="Calibri"/>
                <w:i/>
                <w:sz w:val="18"/>
                <w:szCs w:val="18"/>
                <w:lang w:eastAsia="en-US"/>
              </w:rPr>
              <w:t>t</w:t>
            </w:r>
            <w:r w:rsidRPr="00C365A6">
              <w:rPr>
                <w:rFonts w:eastAsia="Calibri"/>
                <w:i/>
                <w:sz w:val="18"/>
                <w:szCs w:val="18"/>
                <w:lang w:eastAsia="en-US"/>
              </w:rPr>
              <w:t>ionalbank</w:t>
            </w:r>
          </w:p>
        </w:tc>
        <w:tc>
          <w:tcPr>
            <w:tcW w:w="992" w:type="dxa"/>
            <w:tcBorders>
              <w:top w:val="single" w:sz="4" w:space="0" w:color="auto"/>
              <w:left w:val="single" w:sz="4" w:space="0" w:color="auto"/>
              <w:bottom w:val="single" w:sz="4" w:space="0" w:color="auto"/>
              <w:right w:val="single" w:sz="4" w:space="0" w:color="auto"/>
            </w:tcBorders>
          </w:tcPr>
          <w:p w14:paraId="7253495C"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29 ene 15</w:t>
            </w:r>
          </w:p>
        </w:tc>
        <w:tc>
          <w:tcPr>
            <w:tcW w:w="869" w:type="dxa"/>
            <w:tcBorders>
              <w:top w:val="single" w:sz="4" w:space="0" w:color="auto"/>
              <w:left w:val="single" w:sz="4" w:space="0" w:color="auto"/>
              <w:bottom w:val="single" w:sz="4" w:space="0" w:color="auto"/>
              <w:right w:val="single" w:sz="4" w:space="0" w:color="auto"/>
            </w:tcBorders>
          </w:tcPr>
          <w:p w14:paraId="00324F4E"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15</w:t>
            </w:r>
          </w:p>
        </w:tc>
        <w:tc>
          <w:tcPr>
            <w:tcW w:w="690" w:type="dxa"/>
            <w:tcBorders>
              <w:top w:val="single" w:sz="4" w:space="0" w:color="auto"/>
              <w:left w:val="single" w:sz="4" w:space="0" w:color="auto"/>
              <w:bottom w:val="single" w:sz="4" w:space="0" w:color="auto"/>
              <w:right w:val="single" w:sz="4" w:space="0" w:color="auto"/>
            </w:tcBorders>
          </w:tcPr>
          <w:p w14:paraId="25190C2D"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-0.50</w:t>
            </w:r>
          </w:p>
        </w:tc>
        <w:tc>
          <w:tcPr>
            <w:tcW w:w="1276" w:type="dxa"/>
            <w:tcBorders>
              <w:top w:val="single" w:sz="4" w:space="0" w:color="auto"/>
              <w:left w:val="single" w:sz="4" w:space="0" w:color="auto"/>
              <w:bottom w:val="single" w:sz="4" w:space="0" w:color="auto"/>
              <w:right w:val="single" w:sz="4" w:space="0" w:color="auto"/>
            </w:tcBorders>
          </w:tcPr>
          <w:p w14:paraId="4CF4CD9A"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66805819" w14:textId="77777777" w:rsidR="00C365A6" w:rsidRPr="00C365A6" w:rsidRDefault="00C365A6" w:rsidP="00C365A6">
            <w:pPr>
              <w:jc w:val="both"/>
              <w:rPr>
                <w:rFonts w:eastAsia="Calibri"/>
                <w:sz w:val="18"/>
                <w:szCs w:val="18"/>
                <w:lang w:eastAsia="en-US"/>
              </w:rPr>
            </w:pPr>
          </w:p>
        </w:tc>
      </w:tr>
      <w:tr w:rsidR="00C365A6" w:rsidRPr="00C365A6" w14:paraId="03D2E43F"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4B95931F"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la Reserva de Australia</w:t>
            </w:r>
          </w:p>
        </w:tc>
        <w:tc>
          <w:tcPr>
            <w:tcW w:w="992" w:type="dxa"/>
            <w:tcBorders>
              <w:top w:val="single" w:sz="4" w:space="0" w:color="auto"/>
              <w:left w:val="single" w:sz="4" w:space="0" w:color="auto"/>
              <w:bottom w:val="single" w:sz="4" w:space="0" w:color="auto"/>
              <w:right w:val="single" w:sz="4" w:space="0" w:color="auto"/>
            </w:tcBorders>
            <w:vAlign w:val="center"/>
          </w:tcPr>
          <w:p w14:paraId="4439DDC9"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3 feb 15</w:t>
            </w:r>
          </w:p>
        </w:tc>
        <w:tc>
          <w:tcPr>
            <w:tcW w:w="869" w:type="dxa"/>
            <w:tcBorders>
              <w:top w:val="single" w:sz="4" w:space="0" w:color="auto"/>
              <w:left w:val="single" w:sz="4" w:space="0" w:color="auto"/>
              <w:bottom w:val="single" w:sz="4" w:space="0" w:color="auto"/>
              <w:right w:val="single" w:sz="4" w:space="0" w:color="auto"/>
            </w:tcBorders>
            <w:vAlign w:val="center"/>
          </w:tcPr>
          <w:p w14:paraId="7AFE3378"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vAlign w:val="center"/>
          </w:tcPr>
          <w:p w14:paraId="05097F6E"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2.25</w:t>
            </w:r>
          </w:p>
        </w:tc>
        <w:tc>
          <w:tcPr>
            <w:tcW w:w="1276" w:type="dxa"/>
            <w:tcBorders>
              <w:top w:val="single" w:sz="4" w:space="0" w:color="auto"/>
              <w:left w:val="single" w:sz="4" w:space="0" w:color="auto"/>
              <w:bottom w:val="single" w:sz="4" w:space="0" w:color="auto"/>
              <w:right w:val="single" w:sz="4" w:space="0" w:color="auto"/>
            </w:tcBorders>
          </w:tcPr>
          <w:p w14:paraId="586A43C0"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7FB5FDB4" w14:textId="77777777" w:rsidR="00C365A6" w:rsidRPr="00C365A6" w:rsidRDefault="00C365A6" w:rsidP="00C365A6">
            <w:pPr>
              <w:jc w:val="both"/>
              <w:rPr>
                <w:rFonts w:eastAsia="Calibri"/>
                <w:sz w:val="18"/>
                <w:szCs w:val="18"/>
                <w:lang w:eastAsia="en-US"/>
              </w:rPr>
            </w:pPr>
          </w:p>
        </w:tc>
      </w:tr>
      <w:tr w:rsidR="00C365A6" w:rsidRPr="00C365A6" w14:paraId="50974856" w14:textId="77777777" w:rsidTr="00A573F8">
        <w:tc>
          <w:tcPr>
            <w:tcW w:w="2552" w:type="dxa"/>
            <w:tcBorders>
              <w:top w:val="single" w:sz="4" w:space="0" w:color="auto"/>
              <w:left w:val="single" w:sz="4" w:space="0" w:color="auto"/>
              <w:bottom w:val="single" w:sz="4" w:space="0" w:color="auto"/>
              <w:right w:val="single" w:sz="4" w:space="0" w:color="auto"/>
            </w:tcBorders>
          </w:tcPr>
          <w:p w14:paraId="4C8AF01F"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Nacional de Rumania</w:t>
            </w:r>
          </w:p>
        </w:tc>
        <w:tc>
          <w:tcPr>
            <w:tcW w:w="992" w:type="dxa"/>
            <w:tcBorders>
              <w:top w:val="single" w:sz="4" w:space="0" w:color="auto"/>
              <w:left w:val="single" w:sz="4" w:space="0" w:color="auto"/>
              <w:bottom w:val="single" w:sz="4" w:space="0" w:color="auto"/>
              <w:right w:val="single" w:sz="4" w:space="0" w:color="auto"/>
            </w:tcBorders>
          </w:tcPr>
          <w:p w14:paraId="092AA7B0"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4 feb 15</w:t>
            </w:r>
          </w:p>
        </w:tc>
        <w:tc>
          <w:tcPr>
            <w:tcW w:w="869" w:type="dxa"/>
            <w:tcBorders>
              <w:top w:val="single" w:sz="4" w:space="0" w:color="auto"/>
              <w:left w:val="single" w:sz="4" w:space="0" w:color="auto"/>
              <w:bottom w:val="single" w:sz="4" w:space="0" w:color="auto"/>
              <w:right w:val="single" w:sz="4" w:space="0" w:color="auto"/>
            </w:tcBorders>
          </w:tcPr>
          <w:p w14:paraId="446FB6EC"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0CC9471E"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2.25</w:t>
            </w:r>
          </w:p>
        </w:tc>
        <w:tc>
          <w:tcPr>
            <w:tcW w:w="1276" w:type="dxa"/>
            <w:tcBorders>
              <w:top w:val="single" w:sz="4" w:space="0" w:color="auto"/>
              <w:left w:val="single" w:sz="4" w:space="0" w:color="auto"/>
              <w:bottom w:val="single" w:sz="4" w:space="0" w:color="auto"/>
              <w:right w:val="single" w:sz="4" w:space="0" w:color="auto"/>
            </w:tcBorders>
          </w:tcPr>
          <w:p w14:paraId="20B9F309"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18AD6F66" w14:textId="77777777" w:rsidR="00C365A6" w:rsidRPr="00C365A6" w:rsidRDefault="00C365A6" w:rsidP="00C365A6">
            <w:pPr>
              <w:jc w:val="both"/>
              <w:rPr>
                <w:rFonts w:eastAsia="Calibri"/>
                <w:sz w:val="18"/>
                <w:szCs w:val="18"/>
                <w:lang w:eastAsia="en-US"/>
              </w:rPr>
            </w:pPr>
          </w:p>
        </w:tc>
      </w:tr>
      <w:tr w:rsidR="00C365A6" w:rsidRPr="00C365A6" w14:paraId="0E03D2F3"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56BEF27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Popular de China</w:t>
            </w:r>
          </w:p>
        </w:tc>
        <w:tc>
          <w:tcPr>
            <w:tcW w:w="992" w:type="dxa"/>
            <w:tcBorders>
              <w:top w:val="single" w:sz="4" w:space="0" w:color="auto"/>
              <w:left w:val="single" w:sz="4" w:space="0" w:color="auto"/>
              <w:bottom w:val="single" w:sz="4" w:space="0" w:color="auto"/>
              <w:right w:val="single" w:sz="4" w:space="0" w:color="auto"/>
            </w:tcBorders>
            <w:vAlign w:val="center"/>
          </w:tcPr>
          <w:p w14:paraId="7669B126"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4 feb 15</w:t>
            </w:r>
          </w:p>
        </w:tc>
        <w:tc>
          <w:tcPr>
            <w:tcW w:w="869" w:type="dxa"/>
            <w:tcBorders>
              <w:top w:val="single" w:sz="4" w:space="0" w:color="auto"/>
              <w:left w:val="single" w:sz="4" w:space="0" w:color="auto"/>
              <w:bottom w:val="single" w:sz="4" w:space="0" w:color="auto"/>
              <w:right w:val="single" w:sz="4" w:space="0" w:color="auto"/>
            </w:tcBorders>
          </w:tcPr>
          <w:p w14:paraId="4FBDF5CA" w14:textId="77777777" w:rsidR="00C365A6" w:rsidRPr="00C365A6" w:rsidRDefault="00C365A6" w:rsidP="00C365A6">
            <w:pPr>
              <w:jc w:val="both"/>
              <w:rPr>
                <w:rFonts w:eastAsia="Calibri"/>
                <w:sz w:val="18"/>
                <w:szCs w:val="18"/>
                <w:lang w:eastAsia="en-US"/>
              </w:rPr>
            </w:pPr>
          </w:p>
        </w:tc>
        <w:tc>
          <w:tcPr>
            <w:tcW w:w="690" w:type="dxa"/>
            <w:tcBorders>
              <w:top w:val="single" w:sz="4" w:space="0" w:color="auto"/>
              <w:left w:val="single" w:sz="4" w:space="0" w:color="auto"/>
              <w:bottom w:val="single" w:sz="4" w:space="0" w:color="auto"/>
              <w:right w:val="single" w:sz="4" w:space="0" w:color="auto"/>
            </w:tcBorders>
          </w:tcPr>
          <w:p w14:paraId="458B314E" w14:textId="77777777" w:rsidR="00C365A6" w:rsidRPr="00C365A6" w:rsidRDefault="00C365A6" w:rsidP="00C365A6">
            <w:pPr>
              <w:jc w:val="both"/>
              <w:rPr>
                <w:rFonts w:eastAsia="Calibri"/>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07EF5EE5"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5183DB4"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Recorte de 50 pb del coeficiente de reservas obligatorio</w:t>
            </w:r>
          </w:p>
        </w:tc>
      </w:tr>
      <w:tr w:rsidR="00C365A6" w:rsidRPr="00C365A6" w14:paraId="3CDCE29E" w14:textId="77777777" w:rsidTr="00A573F8">
        <w:tc>
          <w:tcPr>
            <w:tcW w:w="2552" w:type="dxa"/>
            <w:tcBorders>
              <w:top w:val="single" w:sz="4" w:space="0" w:color="auto"/>
              <w:left w:val="single" w:sz="4" w:space="0" w:color="auto"/>
              <w:bottom w:val="single" w:sz="4" w:space="0" w:color="auto"/>
              <w:right w:val="single" w:sz="4" w:space="0" w:color="auto"/>
            </w:tcBorders>
          </w:tcPr>
          <w:p w14:paraId="43C05C5D" w14:textId="0A229F58" w:rsidR="00C365A6" w:rsidRPr="00C365A6" w:rsidRDefault="00C365A6" w:rsidP="003E354C">
            <w:pPr>
              <w:jc w:val="both"/>
              <w:rPr>
                <w:rFonts w:eastAsia="Calibri"/>
                <w:sz w:val="18"/>
                <w:szCs w:val="18"/>
                <w:lang w:eastAsia="en-US"/>
              </w:rPr>
            </w:pPr>
            <w:r w:rsidRPr="00C365A6">
              <w:rPr>
                <w:rFonts w:eastAsia="Calibri"/>
                <w:i/>
                <w:sz w:val="18"/>
                <w:szCs w:val="18"/>
                <w:lang w:eastAsia="en-US"/>
              </w:rPr>
              <w:t>Danmarks Na</w:t>
            </w:r>
            <w:r w:rsidR="003E354C">
              <w:rPr>
                <w:rFonts w:eastAsia="Calibri"/>
                <w:i/>
                <w:sz w:val="18"/>
                <w:szCs w:val="18"/>
                <w:lang w:eastAsia="en-US"/>
              </w:rPr>
              <w:t>t</w:t>
            </w:r>
            <w:r w:rsidRPr="00C365A6">
              <w:rPr>
                <w:rFonts w:eastAsia="Calibri"/>
                <w:i/>
                <w:sz w:val="18"/>
                <w:szCs w:val="18"/>
                <w:lang w:eastAsia="en-US"/>
              </w:rPr>
              <w:t>ionalbank</w:t>
            </w:r>
          </w:p>
        </w:tc>
        <w:tc>
          <w:tcPr>
            <w:tcW w:w="992" w:type="dxa"/>
            <w:tcBorders>
              <w:top w:val="single" w:sz="4" w:space="0" w:color="auto"/>
              <w:left w:val="single" w:sz="4" w:space="0" w:color="auto"/>
              <w:bottom w:val="single" w:sz="4" w:space="0" w:color="auto"/>
              <w:right w:val="single" w:sz="4" w:space="0" w:color="auto"/>
            </w:tcBorders>
          </w:tcPr>
          <w:p w14:paraId="45A43C71"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5 feb 15</w:t>
            </w:r>
          </w:p>
        </w:tc>
        <w:tc>
          <w:tcPr>
            <w:tcW w:w="869" w:type="dxa"/>
            <w:tcBorders>
              <w:top w:val="single" w:sz="4" w:space="0" w:color="auto"/>
              <w:left w:val="single" w:sz="4" w:space="0" w:color="auto"/>
              <w:bottom w:val="single" w:sz="4" w:space="0" w:color="auto"/>
              <w:right w:val="single" w:sz="4" w:space="0" w:color="auto"/>
            </w:tcBorders>
          </w:tcPr>
          <w:p w14:paraId="48AFA107"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14C16B8D"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-0.75</w:t>
            </w:r>
          </w:p>
        </w:tc>
        <w:tc>
          <w:tcPr>
            <w:tcW w:w="1276" w:type="dxa"/>
            <w:tcBorders>
              <w:top w:val="single" w:sz="4" w:space="0" w:color="auto"/>
              <w:left w:val="single" w:sz="4" w:space="0" w:color="auto"/>
              <w:bottom w:val="single" w:sz="4" w:space="0" w:color="auto"/>
              <w:right w:val="single" w:sz="4" w:space="0" w:color="auto"/>
            </w:tcBorders>
          </w:tcPr>
          <w:p w14:paraId="5B47CA2D"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6C2404E6" w14:textId="77777777" w:rsidR="00C365A6" w:rsidRPr="00C365A6" w:rsidRDefault="00C365A6" w:rsidP="00C365A6">
            <w:pPr>
              <w:jc w:val="both"/>
              <w:rPr>
                <w:rFonts w:eastAsia="Calibri"/>
                <w:sz w:val="18"/>
                <w:szCs w:val="18"/>
                <w:lang w:eastAsia="en-US"/>
              </w:rPr>
            </w:pPr>
          </w:p>
        </w:tc>
      </w:tr>
      <w:tr w:rsidR="00C365A6" w:rsidRPr="00C365A6" w14:paraId="2608A8F5" w14:textId="77777777" w:rsidTr="00A573F8">
        <w:tc>
          <w:tcPr>
            <w:tcW w:w="2552" w:type="dxa"/>
            <w:tcBorders>
              <w:top w:val="single" w:sz="4" w:space="0" w:color="auto"/>
              <w:left w:val="single" w:sz="4" w:space="0" w:color="auto"/>
              <w:bottom w:val="single" w:sz="4" w:space="0" w:color="auto"/>
              <w:right w:val="single" w:sz="4" w:space="0" w:color="auto"/>
            </w:tcBorders>
          </w:tcPr>
          <w:p w14:paraId="00EE9301" w14:textId="77777777" w:rsidR="00C365A6" w:rsidRPr="00C365A6" w:rsidRDefault="00C365A6" w:rsidP="00C365A6">
            <w:pPr>
              <w:jc w:val="both"/>
              <w:rPr>
                <w:rFonts w:eastAsia="Calibri"/>
                <w:i/>
                <w:sz w:val="18"/>
                <w:szCs w:val="18"/>
                <w:lang w:eastAsia="en-US"/>
              </w:rPr>
            </w:pPr>
            <w:r w:rsidRPr="00C365A6">
              <w:rPr>
                <w:rFonts w:eastAsia="Calibri"/>
                <w:i/>
                <w:sz w:val="18"/>
                <w:szCs w:val="18"/>
                <w:lang w:eastAsia="en-US"/>
              </w:rPr>
              <w:t>Sveriges Riksbank</w:t>
            </w:r>
          </w:p>
        </w:tc>
        <w:tc>
          <w:tcPr>
            <w:tcW w:w="992" w:type="dxa"/>
            <w:tcBorders>
              <w:top w:val="single" w:sz="4" w:space="0" w:color="auto"/>
              <w:left w:val="single" w:sz="4" w:space="0" w:color="auto"/>
              <w:bottom w:val="single" w:sz="4" w:space="0" w:color="auto"/>
              <w:right w:val="single" w:sz="4" w:space="0" w:color="auto"/>
            </w:tcBorders>
          </w:tcPr>
          <w:p w14:paraId="5B8A4B67"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12 feb 15</w:t>
            </w:r>
          </w:p>
        </w:tc>
        <w:tc>
          <w:tcPr>
            <w:tcW w:w="869" w:type="dxa"/>
            <w:tcBorders>
              <w:top w:val="single" w:sz="4" w:space="0" w:color="auto"/>
              <w:left w:val="single" w:sz="4" w:space="0" w:color="auto"/>
              <w:bottom w:val="single" w:sz="4" w:space="0" w:color="auto"/>
              <w:right w:val="single" w:sz="4" w:space="0" w:color="auto"/>
            </w:tcBorders>
          </w:tcPr>
          <w:p w14:paraId="637B978B"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10</w:t>
            </w:r>
          </w:p>
        </w:tc>
        <w:tc>
          <w:tcPr>
            <w:tcW w:w="690" w:type="dxa"/>
            <w:tcBorders>
              <w:top w:val="single" w:sz="4" w:space="0" w:color="auto"/>
              <w:left w:val="single" w:sz="4" w:space="0" w:color="auto"/>
              <w:bottom w:val="single" w:sz="4" w:space="0" w:color="auto"/>
              <w:right w:val="single" w:sz="4" w:space="0" w:color="auto"/>
            </w:tcBorders>
          </w:tcPr>
          <w:p w14:paraId="17718EBC"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-0.10</w:t>
            </w:r>
          </w:p>
        </w:tc>
        <w:tc>
          <w:tcPr>
            <w:tcW w:w="1276" w:type="dxa"/>
            <w:tcBorders>
              <w:top w:val="single" w:sz="4" w:space="0" w:color="auto"/>
              <w:left w:val="single" w:sz="4" w:space="0" w:color="auto"/>
              <w:bottom w:val="single" w:sz="4" w:space="0" w:color="auto"/>
              <w:right w:val="single" w:sz="4" w:space="0" w:color="auto"/>
            </w:tcBorders>
          </w:tcPr>
          <w:p w14:paraId="7A7D7099" w14:textId="77777777" w:rsidR="00C365A6" w:rsidRPr="00C365A6" w:rsidRDefault="00C365A6" w:rsidP="00C365A6">
            <w:pPr>
              <w:jc w:val="both"/>
              <w:rPr>
                <w:rFonts w:eastAsia="Calibri"/>
                <w:sz w:val="18"/>
                <w:szCs w:val="18"/>
                <w:lang w:eastAsia="en-US"/>
              </w:rPr>
            </w:pPr>
            <w:r w:rsidRPr="00C365A6">
              <w:rPr>
                <w:rFonts w:eastAsia="Calibri"/>
                <w:sz w:val="18"/>
                <w:szCs w:val="18"/>
                <w:u w:val="single"/>
                <w:lang w:eastAsia="en-US"/>
              </w:rPr>
              <w:t>&gt;</w:t>
            </w:r>
            <w:r w:rsidRPr="00C365A6">
              <w:rPr>
                <w:rFonts w:eastAsia="Calibri"/>
                <w:sz w:val="18"/>
                <w:szCs w:val="18"/>
                <w:lang w:eastAsia="en-US"/>
              </w:rPr>
              <w:t xml:space="preserve"> 10 mm SEK</w:t>
            </w:r>
          </w:p>
        </w:tc>
        <w:tc>
          <w:tcPr>
            <w:tcW w:w="2449" w:type="dxa"/>
            <w:tcBorders>
              <w:top w:val="single" w:sz="4" w:space="0" w:color="auto"/>
              <w:left w:val="single" w:sz="4" w:space="0" w:color="auto"/>
              <w:bottom w:val="single" w:sz="4" w:space="0" w:color="auto"/>
              <w:right w:val="single" w:sz="4" w:space="0" w:color="auto"/>
            </w:tcBorders>
          </w:tcPr>
          <w:p w14:paraId="3955A787" w14:textId="77777777" w:rsidR="00C365A6" w:rsidRPr="00C365A6" w:rsidRDefault="00C365A6" w:rsidP="00C365A6">
            <w:pPr>
              <w:jc w:val="both"/>
              <w:rPr>
                <w:rFonts w:eastAsia="Calibri"/>
                <w:sz w:val="18"/>
                <w:szCs w:val="18"/>
                <w:lang w:eastAsia="en-US"/>
              </w:rPr>
            </w:pPr>
          </w:p>
        </w:tc>
      </w:tr>
      <w:tr w:rsidR="00C365A6" w:rsidRPr="00C365A6" w14:paraId="1CBA96E2" w14:textId="77777777" w:rsidTr="00A573F8">
        <w:tc>
          <w:tcPr>
            <w:tcW w:w="2552" w:type="dxa"/>
            <w:tcBorders>
              <w:top w:val="single" w:sz="4" w:space="0" w:color="auto"/>
              <w:left w:val="single" w:sz="4" w:space="0" w:color="auto"/>
              <w:bottom w:val="single" w:sz="4" w:space="0" w:color="auto"/>
              <w:right w:val="single" w:sz="4" w:space="0" w:color="auto"/>
            </w:tcBorders>
          </w:tcPr>
          <w:p w14:paraId="35467A59"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Indonesia</w:t>
            </w:r>
          </w:p>
        </w:tc>
        <w:tc>
          <w:tcPr>
            <w:tcW w:w="992" w:type="dxa"/>
            <w:tcBorders>
              <w:top w:val="single" w:sz="4" w:space="0" w:color="auto"/>
              <w:left w:val="single" w:sz="4" w:space="0" w:color="auto"/>
              <w:bottom w:val="single" w:sz="4" w:space="0" w:color="auto"/>
              <w:right w:val="single" w:sz="4" w:space="0" w:color="auto"/>
            </w:tcBorders>
          </w:tcPr>
          <w:p w14:paraId="6BD07CC6"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17 feb 15</w:t>
            </w:r>
          </w:p>
        </w:tc>
        <w:tc>
          <w:tcPr>
            <w:tcW w:w="869" w:type="dxa"/>
            <w:tcBorders>
              <w:top w:val="single" w:sz="4" w:space="0" w:color="auto"/>
              <w:left w:val="single" w:sz="4" w:space="0" w:color="auto"/>
              <w:bottom w:val="single" w:sz="4" w:space="0" w:color="auto"/>
              <w:right w:val="single" w:sz="4" w:space="0" w:color="auto"/>
            </w:tcBorders>
          </w:tcPr>
          <w:p w14:paraId="384FACF8"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63AB7571"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7.5</w:t>
            </w:r>
          </w:p>
        </w:tc>
        <w:tc>
          <w:tcPr>
            <w:tcW w:w="1276" w:type="dxa"/>
            <w:tcBorders>
              <w:top w:val="single" w:sz="4" w:space="0" w:color="auto"/>
              <w:left w:val="single" w:sz="4" w:space="0" w:color="auto"/>
              <w:bottom w:val="single" w:sz="4" w:space="0" w:color="auto"/>
              <w:right w:val="single" w:sz="4" w:space="0" w:color="auto"/>
            </w:tcBorders>
          </w:tcPr>
          <w:p w14:paraId="43C5579A"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4BE89D6" w14:textId="77777777" w:rsidR="00C365A6" w:rsidRPr="00C365A6" w:rsidRDefault="00C365A6" w:rsidP="00C365A6">
            <w:pPr>
              <w:jc w:val="both"/>
              <w:rPr>
                <w:rFonts w:eastAsia="Calibri"/>
                <w:sz w:val="18"/>
                <w:szCs w:val="18"/>
                <w:lang w:eastAsia="en-US"/>
              </w:rPr>
            </w:pPr>
          </w:p>
        </w:tc>
      </w:tr>
      <w:tr w:rsidR="00C365A6" w:rsidRPr="00C365A6" w14:paraId="673DF401" w14:textId="77777777" w:rsidTr="00A573F8">
        <w:tc>
          <w:tcPr>
            <w:tcW w:w="2552" w:type="dxa"/>
            <w:tcBorders>
              <w:top w:val="single" w:sz="4" w:space="0" w:color="auto"/>
              <w:left w:val="single" w:sz="4" w:space="0" w:color="auto"/>
              <w:bottom w:val="single" w:sz="4" w:space="0" w:color="auto"/>
              <w:right w:val="single" w:sz="4" w:space="0" w:color="auto"/>
            </w:tcBorders>
          </w:tcPr>
          <w:p w14:paraId="3D3B2229"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Israel</w:t>
            </w:r>
          </w:p>
        </w:tc>
        <w:tc>
          <w:tcPr>
            <w:tcW w:w="992" w:type="dxa"/>
            <w:tcBorders>
              <w:top w:val="single" w:sz="4" w:space="0" w:color="auto"/>
              <w:left w:val="single" w:sz="4" w:space="0" w:color="auto"/>
              <w:bottom w:val="single" w:sz="4" w:space="0" w:color="auto"/>
              <w:right w:val="single" w:sz="4" w:space="0" w:color="auto"/>
            </w:tcBorders>
          </w:tcPr>
          <w:p w14:paraId="209A525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23 feb 15</w:t>
            </w:r>
          </w:p>
        </w:tc>
        <w:tc>
          <w:tcPr>
            <w:tcW w:w="869" w:type="dxa"/>
            <w:tcBorders>
              <w:top w:val="single" w:sz="4" w:space="0" w:color="auto"/>
              <w:left w:val="single" w:sz="4" w:space="0" w:color="auto"/>
              <w:bottom w:val="single" w:sz="4" w:space="0" w:color="auto"/>
              <w:right w:val="single" w:sz="4" w:space="0" w:color="auto"/>
            </w:tcBorders>
          </w:tcPr>
          <w:p w14:paraId="5B56A0F6"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15</w:t>
            </w:r>
          </w:p>
        </w:tc>
        <w:tc>
          <w:tcPr>
            <w:tcW w:w="690" w:type="dxa"/>
            <w:tcBorders>
              <w:top w:val="single" w:sz="4" w:space="0" w:color="auto"/>
              <w:left w:val="single" w:sz="4" w:space="0" w:color="auto"/>
              <w:bottom w:val="single" w:sz="4" w:space="0" w:color="auto"/>
              <w:right w:val="single" w:sz="4" w:space="0" w:color="auto"/>
            </w:tcBorders>
          </w:tcPr>
          <w:p w14:paraId="2569DBC7"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0.1</w:t>
            </w:r>
          </w:p>
        </w:tc>
        <w:tc>
          <w:tcPr>
            <w:tcW w:w="1276" w:type="dxa"/>
            <w:tcBorders>
              <w:top w:val="single" w:sz="4" w:space="0" w:color="auto"/>
              <w:left w:val="single" w:sz="4" w:space="0" w:color="auto"/>
              <w:bottom w:val="single" w:sz="4" w:space="0" w:color="auto"/>
              <w:right w:val="single" w:sz="4" w:space="0" w:color="auto"/>
            </w:tcBorders>
          </w:tcPr>
          <w:p w14:paraId="69213609"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3A22E1D1" w14:textId="77777777" w:rsidR="00C365A6" w:rsidRPr="00C365A6" w:rsidRDefault="00C365A6" w:rsidP="00C365A6">
            <w:pPr>
              <w:jc w:val="both"/>
              <w:rPr>
                <w:rFonts w:eastAsia="Calibri"/>
                <w:sz w:val="18"/>
                <w:szCs w:val="18"/>
                <w:lang w:eastAsia="en-US"/>
              </w:rPr>
            </w:pPr>
          </w:p>
        </w:tc>
      </w:tr>
      <w:tr w:rsidR="00C365A6" w:rsidRPr="00C365A6" w14:paraId="2E0813F3"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4EC6A57A"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la República de Turquía</w:t>
            </w:r>
          </w:p>
        </w:tc>
        <w:tc>
          <w:tcPr>
            <w:tcW w:w="992" w:type="dxa"/>
            <w:tcBorders>
              <w:top w:val="single" w:sz="4" w:space="0" w:color="auto"/>
              <w:left w:val="single" w:sz="4" w:space="0" w:color="auto"/>
              <w:bottom w:val="single" w:sz="4" w:space="0" w:color="auto"/>
              <w:right w:val="single" w:sz="4" w:space="0" w:color="auto"/>
            </w:tcBorders>
            <w:vAlign w:val="center"/>
          </w:tcPr>
          <w:p w14:paraId="35C70E5D"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24 feb 15</w:t>
            </w:r>
          </w:p>
        </w:tc>
        <w:tc>
          <w:tcPr>
            <w:tcW w:w="869" w:type="dxa"/>
            <w:tcBorders>
              <w:top w:val="single" w:sz="4" w:space="0" w:color="auto"/>
              <w:left w:val="single" w:sz="4" w:space="0" w:color="auto"/>
              <w:bottom w:val="single" w:sz="4" w:space="0" w:color="auto"/>
              <w:right w:val="single" w:sz="4" w:space="0" w:color="auto"/>
            </w:tcBorders>
            <w:vAlign w:val="center"/>
          </w:tcPr>
          <w:p w14:paraId="307EE5D8"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vAlign w:val="center"/>
          </w:tcPr>
          <w:p w14:paraId="0F446411"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7.5</w:t>
            </w:r>
          </w:p>
        </w:tc>
        <w:tc>
          <w:tcPr>
            <w:tcW w:w="1276" w:type="dxa"/>
            <w:tcBorders>
              <w:top w:val="single" w:sz="4" w:space="0" w:color="auto"/>
              <w:left w:val="single" w:sz="4" w:space="0" w:color="auto"/>
              <w:bottom w:val="single" w:sz="4" w:space="0" w:color="auto"/>
              <w:right w:val="single" w:sz="4" w:space="0" w:color="auto"/>
            </w:tcBorders>
          </w:tcPr>
          <w:p w14:paraId="4DBF966C"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49FA9A8E" w14:textId="77777777" w:rsidR="00C365A6" w:rsidRPr="00C365A6" w:rsidRDefault="00C365A6" w:rsidP="00C365A6">
            <w:pPr>
              <w:jc w:val="both"/>
              <w:rPr>
                <w:rFonts w:eastAsia="Calibri"/>
                <w:sz w:val="18"/>
                <w:szCs w:val="18"/>
                <w:lang w:eastAsia="en-US"/>
              </w:rPr>
            </w:pPr>
          </w:p>
        </w:tc>
      </w:tr>
      <w:tr w:rsidR="00C365A6" w:rsidRPr="00C365A6" w14:paraId="578902AE" w14:textId="77777777" w:rsidTr="00A573F8">
        <w:tc>
          <w:tcPr>
            <w:tcW w:w="2552" w:type="dxa"/>
            <w:tcBorders>
              <w:top w:val="single" w:sz="4" w:space="0" w:color="auto"/>
              <w:left w:val="single" w:sz="4" w:space="0" w:color="auto"/>
              <w:bottom w:val="single" w:sz="4" w:space="0" w:color="auto"/>
              <w:right w:val="single" w:sz="4" w:space="0" w:color="auto"/>
            </w:tcBorders>
            <w:vAlign w:val="center"/>
          </w:tcPr>
          <w:p w14:paraId="06F22D5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Central de Reserva del Perú</w:t>
            </w:r>
          </w:p>
        </w:tc>
        <w:tc>
          <w:tcPr>
            <w:tcW w:w="992" w:type="dxa"/>
            <w:tcBorders>
              <w:top w:val="single" w:sz="4" w:space="0" w:color="auto"/>
              <w:left w:val="single" w:sz="4" w:space="0" w:color="auto"/>
              <w:bottom w:val="single" w:sz="4" w:space="0" w:color="auto"/>
              <w:right w:val="single" w:sz="4" w:space="0" w:color="auto"/>
            </w:tcBorders>
            <w:vAlign w:val="center"/>
          </w:tcPr>
          <w:p w14:paraId="13C32BB2"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26 feb 15</w:t>
            </w:r>
          </w:p>
        </w:tc>
        <w:tc>
          <w:tcPr>
            <w:tcW w:w="869" w:type="dxa"/>
            <w:tcBorders>
              <w:top w:val="single" w:sz="4" w:space="0" w:color="auto"/>
              <w:left w:val="single" w:sz="4" w:space="0" w:color="auto"/>
              <w:bottom w:val="single" w:sz="4" w:space="0" w:color="auto"/>
              <w:right w:val="single" w:sz="4" w:space="0" w:color="auto"/>
            </w:tcBorders>
          </w:tcPr>
          <w:p w14:paraId="416FF626" w14:textId="77777777" w:rsidR="00C365A6" w:rsidRPr="00C365A6" w:rsidRDefault="00C365A6" w:rsidP="00C365A6">
            <w:pPr>
              <w:jc w:val="center"/>
              <w:rPr>
                <w:rFonts w:eastAsia="Calibri"/>
                <w:sz w:val="18"/>
                <w:szCs w:val="18"/>
                <w:lang w:eastAsia="en-US"/>
              </w:rPr>
            </w:pPr>
          </w:p>
        </w:tc>
        <w:tc>
          <w:tcPr>
            <w:tcW w:w="690" w:type="dxa"/>
            <w:tcBorders>
              <w:top w:val="single" w:sz="4" w:space="0" w:color="auto"/>
              <w:left w:val="single" w:sz="4" w:space="0" w:color="auto"/>
              <w:bottom w:val="single" w:sz="4" w:space="0" w:color="auto"/>
              <w:right w:val="single" w:sz="4" w:space="0" w:color="auto"/>
            </w:tcBorders>
          </w:tcPr>
          <w:p w14:paraId="7F42E944" w14:textId="77777777" w:rsidR="00C365A6" w:rsidRPr="00C365A6" w:rsidRDefault="00C365A6" w:rsidP="00C365A6">
            <w:pPr>
              <w:ind w:right="57"/>
              <w:jc w:val="right"/>
              <w:rPr>
                <w:rFonts w:eastAsia="Calibri"/>
                <w:sz w:val="18"/>
                <w:szCs w:val="18"/>
                <w:lang w:eastAsia="en-US"/>
              </w:rPr>
            </w:pPr>
          </w:p>
        </w:tc>
        <w:tc>
          <w:tcPr>
            <w:tcW w:w="1276" w:type="dxa"/>
            <w:tcBorders>
              <w:top w:val="single" w:sz="4" w:space="0" w:color="auto"/>
              <w:left w:val="single" w:sz="4" w:space="0" w:color="auto"/>
              <w:bottom w:val="single" w:sz="4" w:space="0" w:color="auto"/>
              <w:right w:val="single" w:sz="4" w:space="0" w:color="auto"/>
            </w:tcBorders>
          </w:tcPr>
          <w:p w14:paraId="44FBD143"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0B97BF0D" w14:textId="6D47AE16" w:rsidR="00C365A6" w:rsidRPr="00C365A6" w:rsidRDefault="00C365A6" w:rsidP="00C365A6">
            <w:pPr>
              <w:jc w:val="both"/>
              <w:rPr>
                <w:rFonts w:eastAsia="Calibri"/>
                <w:sz w:val="18"/>
                <w:szCs w:val="18"/>
                <w:lang w:eastAsia="en-US"/>
              </w:rPr>
            </w:pPr>
            <w:r w:rsidRPr="00C365A6">
              <w:rPr>
                <w:rFonts w:eastAsia="Calibri"/>
                <w:sz w:val="18"/>
                <w:szCs w:val="18"/>
                <w:lang w:eastAsia="en-US"/>
              </w:rPr>
              <w:t>Recorte de 50 pb (hasta 8.0%</w:t>
            </w:r>
            <w:r w:rsidR="003E354C">
              <w:rPr>
                <w:rFonts w:eastAsia="Calibri"/>
                <w:sz w:val="18"/>
                <w:szCs w:val="18"/>
                <w:lang w:eastAsia="en-US"/>
              </w:rPr>
              <w:t>)</w:t>
            </w:r>
            <w:r w:rsidRPr="00C365A6">
              <w:rPr>
                <w:rFonts w:eastAsia="Calibri"/>
                <w:sz w:val="18"/>
                <w:szCs w:val="18"/>
                <w:lang w:eastAsia="en-US"/>
              </w:rPr>
              <w:t xml:space="preserve"> del coeficiente de reservas bancarias obligatorias en moneda local</w:t>
            </w:r>
          </w:p>
        </w:tc>
      </w:tr>
      <w:tr w:rsidR="00C365A6" w:rsidRPr="00C365A6" w14:paraId="1430F2C9" w14:textId="77777777" w:rsidTr="00A573F8">
        <w:tc>
          <w:tcPr>
            <w:tcW w:w="2552" w:type="dxa"/>
            <w:tcBorders>
              <w:top w:val="single" w:sz="4" w:space="0" w:color="auto"/>
              <w:left w:val="single" w:sz="4" w:space="0" w:color="auto"/>
              <w:bottom w:val="single" w:sz="4" w:space="0" w:color="auto"/>
              <w:right w:val="single" w:sz="4" w:space="0" w:color="auto"/>
            </w:tcBorders>
          </w:tcPr>
          <w:p w14:paraId="3E38A673"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Popular de China</w:t>
            </w:r>
          </w:p>
        </w:tc>
        <w:tc>
          <w:tcPr>
            <w:tcW w:w="992" w:type="dxa"/>
            <w:tcBorders>
              <w:top w:val="single" w:sz="4" w:space="0" w:color="auto"/>
              <w:left w:val="single" w:sz="4" w:space="0" w:color="auto"/>
              <w:bottom w:val="single" w:sz="4" w:space="0" w:color="auto"/>
              <w:right w:val="single" w:sz="4" w:space="0" w:color="auto"/>
            </w:tcBorders>
          </w:tcPr>
          <w:p w14:paraId="1E56706E"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28 feb 15</w:t>
            </w:r>
          </w:p>
        </w:tc>
        <w:tc>
          <w:tcPr>
            <w:tcW w:w="869" w:type="dxa"/>
            <w:tcBorders>
              <w:top w:val="single" w:sz="4" w:space="0" w:color="auto"/>
              <w:left w:val="single" w:sz="4" w:space="0" w:color="auto"/>
              <w:bottom w:val="single" w:sz="4" w:space="0" w:color="auto"/>
              <w:right w:val="single" w:sz="4" w:space="0" w:color="auto"/>
            </w:tcBorders>
          </w:tcPr>
          <w:p w14:paraId="7523FFF4"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011F253C"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5.35</w:t>
            </w:r>
          </w:p>
        </w:tc>
        <w:tc>
          <w:tcPr>
            <w:tcW w:w="1276" w:type="dxa"/>
            <w:tcBorders>
              <w:top w:val="single" w:sz="4" w:space="0" w:color="auto"/>
              <w:left w:val="single" w:sz="4" w:space="0" w:color="auto"/>
              <w:bottom w:val="single" w:sz="4" w:space="0" w:color="auto"/>
              <w:right w:val="single" w:sz="4" w:space="0" w:color="auto"/>
            </w:tcBorders>
          </w:tcPr>
          <w:p w14:paraId="22E4305C"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272010CB" w14:textId="77777777" w:rsidR="00C365A6" w:rsidRPr="00C365A6" w:rsidRDefault="00C365A6" w:rsidP="00C365A6">
            <w:pPr>
              <w:jc w:val="both"/>
              <w:rPr>
                <w:rFonts w:eastAsia="Calibri"/>
                <w:sz w:val="18"/>
                <w:szCs w:val="18"/>
                <w:lang w:eastAsia="en-US"/>
              </w:rPr>
            </w:pPr>
          </w:p>
        </w:tc>
      </w:tr>
      <w:tr w:rsidR="00C365A6" w:rsidRPr="00C365A6" w14:paraId="4508D1D4" w14:textId="77777777" w:rsidTr="00A573F8">
        <w:tc>
          <w:tcPr>
            <w:tcW w:w="2552" w:type="dxa"/>
            <w:tcBorders>
              <w:top w:val="single" w:sz="4" w:space="0" w:color="auto"/>
              <w:left w:val="single" w:sz="4" w:space="0" w:color="auto"/>
              <w:bottom w:val="single" w:sz="4" w:space="0" w:color="auto"/>
              <w:right w:val="single" w:sz="4" w:space="0" w:color="auto"/>
            </w:tcBorders>
          </w:tcPr>
          <w:p w14:paraId="34DEB93D"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Nacional de Polonia</w:t>
            </w:r>
          </w:p>
        </w:tc>
        <w:tc>
          <w:tcPr>
            <w:tcW w:w="992" w:type="dxa"/>
            <w:tcBorders>
              <w:top w:val="single" w:sz="4" w:space="0" w:color="auto"/>
              <w:left w:val="single" w:sz="4" w:space="0" w:color="auto"/>
              <w:bottom w:val="single" w:sz="4" w:space="0" w:color="auto"/>
              <w:right w:val="single" w:sz="4" w:space="0" w:color="auto"/>
            </w:tcBorders>
          </w:tcPr>
          <w:p w14:paraId="5F751B6F"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4 mar 15</w:t>
            </w:r>
          </w:p>
        </w:tc>
        <w:tc>
          <w:tcPr>
            <w:tcW w:w="869" w:type="dxa"/>
            <w:tcBorders>
              <w:top w:val="single" w:sz="4" w:space="0" w:color="auto"/>
              <w:left w:val="single" w:sz="4" w:space="0" w:color="auto"/>
              <w:bottom w:val="single" w:sz="4" w:space="0" w:color="auto"/>
              <w:right w:val="single" w:sz="4" w:space="0" w:color="auto"/>
            </w:tcBorders>
          </w:tcPr>
          <w:p w14:paraId="2AAA5159"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50</w:t>
            </w:r>
          </w:p>
        </w:tc>
        <w:tc>
          <w:tcPr>
            <w:tcW w:w="690" w:type="dxa"/>
            <w:tcBorders>
              <w:top w:val="single" w:sz="4" w:space="0" w:color="auto"/>
              <w:left w:val="single" w:sz="4" w:space="0" w:color="auto"/>
              <w:bottom w:val="single" w:sz="4" w:space="0" w:color="auto"/>
              <w:right w:val="single" w:sz="4" w:space="0" w:color="auto"/>
            </w:tcBorders>
          </w:tcPr>
          <w:p w14:paraId="62FF8139"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1.50</w:t>
            </w:r>
          </w:p>
        </w:tc>
        <w:tc>
          <w:tcPr>
            <w:tcW w:w="1276" w:type="dxa"/>
            <w:tcBorders>
              <w:top w:val="single" w:sz="4" w:space="0" w:color="auto"/>
              <w:left w:val="single" w:sz="4" w:space="0" w:color="auto"/>
              <w:bottom w:val="single" w:sz="4" w:space="0" w:color="auto"/>
              <w:right w:val="single" w:sz="4" w:space="0" w:color="auto"/>
            </w:tcBorders>
          </w:tcPr>
          <w:p w14:paraId="7F0D42E4"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3ACC2734" w14:textId="77777777" w:rsidR="00C365A6" w:rsidRPr="00C365A6" w:rsidRDefault="00C365A6" w:rsidP="00C365A6">
            <w:pPr>
              <w:jc w:val="both"/>
              <w:rPr>
                <w:rFonts w:eastAsia="Calibri"/>
                <w:sz w:val="18"/>
                <w:szCs w:val="18"/>
                <w:lang w:eastAsia="en-US"/>
              </w:rPr>
            </w:pPr>
          </w:p>
        </w:tc>
      </w:tr>
      <w:tr w:rsidR="00C365A6" w:rsidRPr="00C365A6" w14:paraId="489BADF6" w14:textId="77777777" w:rsidTr="00A573F8">
        <w:tc>
          <w:tcPr>
            <w:tcW w:w="2552" w:type="dxa"/>
            <w:tcBorders>
              <w:top w:val="single" w:sz="4" w:space="0" w:color="auto"/>
              <w:left w:val="single" w:sz="4" w:space="0" w:color="auto"/>
              <w:bottom w:val="single" w:sz="4" w:space="0" w:color="auto"/>
              <w:right w:val="single" w:sz="4" w:space="0" w:color="auto"/>
            </w:tcBorders>
          </w:tcPr>
          <w:p w14:paraId="7E6686FB"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Banco de la Reserva de la India</w:t>
            </w:r>
          </w:p>
        </w:tc>
        <w:tc>
          <w:tcPr>
            <w:tcW w:w="992" w:type="dxa"/>
            <w:tcBorders>
              <w:top w:val="single" w:sz="4" w:space="0" w:color="auto"/>
              <w:left w:val="single" w:sz="4" w:space="0" w:color="auto"/>
              <w:bottom w:val="single" w:sz="4" w:space="0" w:color="auto"/>
              <w:right w:val="single" w:sz="4" w:space="0" w:color="auto"/>
            </w:tcBorders>
          </w:tcPr>
          <w:p w14:paraId="3E554AA3" w14:textId="77777777" w:rsidR="00C365A6" w:rsidRPr="00C365A6" w:rsidRDefault="00C365A6" w:rsidP="00C365A6">
            <w:pPr>
              <w:ind w:right="113"/>
              <w:jc w:val="right"/>
              <w:rPr>
                <w:rFonts w:eastAsia="Calibri"/>
                <w:sz w:val="18"/>
                <w:szCs w:val="18"/>
                <w:lang w:eastAsia="en-US"/>
              </w:rPr>
            </w:pPr>
            <w:r w:rsidRPr="00C365A6">
              <w:rPr>
                <w:rFonts w:eastAsia="Calibri"/>
                <w:sz w:val="18"/>
                <w:szCs w:val="18"/>
                <w:lang w:eastAsia="en-US"/>
              </w:rPr>
              <w:t>4 mar 15</w:t>
            </w:r>
          </w:p>
        </w:tc>
        <w:tc>
          <w:tcPr>
            <w:tcW w:w="869" w:type="dxa"/>
            <w:tcBorders>
              <w:top w:val="single" w:sz="4" w:space="0" w:color="auto"/>
              <w:left w:val="single" w:sz="4" w:space="0" w:color="auto"/>
              <w:bottom w:val="single" w:sz="4" w:space="0" w:color="auto"/>
              <w:right w:val="single" w:sz="4" w:space="0" w:color="auto"/>
            </w:tcBorders>
          </w:tcPr>
          <w:p w14:paraId="691D2801" w14:textId="77777777" w:rsidR="00C365A6" w:rsidRPr="00C365A6" w:rsidRDefault="00C365A6" w:rsidP="00C365A6">
            <w:pPr>
              <w:jc w:val="center"/>
              <w:rPr>
                <w:rFonts w:eastAsia="Calibri"/>
                <w:sz w:val="18"/>
                <w:szCs w:val="18"/>
                <w:lang w:eastAsia="en-US"/>
              </w:rPr>
            </w:pPr>
            <w:r w:rsidRPr="00C365A6">
              <w:rPr>
                <w:rFonts w:eastAsia="Calibri"/>
                <w:sz w:val="18"/>
                <w:szCs w:val="18"/>
                <w:lang w:eastAsia="en-US"/>
              </w:rPr>
              <w:t>25</w:t>
            </w:r>
          </w:p>
        </w:tc>
        <w:tc>
          <w:tcPr>
            <w:tcW w:w="690" w:type="dxa"/>
            <w:tcBorders>
              <w:top w:val="single" w:sz="4" w:space="0" w:color="auto"/>
              <w:left w:val="single" w:sz="4" w:space="0" w:color="auto"/>
              <w:bottom w:val="single" w:sz="4" w:space="0" w:color="auto"/>
              <w:right w:val="single" w:sz="4" w:space="0" w:color="auto"/>
            </w:tcBorders>
          </w:tcPr>
          <w:p w14:paraId="1E949192" w14:textId="77777777" w:rsidR="00C365A6" w:rsidRPr="00C365A6" w:rsidRDefault="00C365A6" w:rsidP="00C365A6">
            <w:pPr>
              <w:ind w:right="57"/>
              <w:jc w:val="right"/>
              <w:rPr>
                <w:rFonts w:eastAsia="Calibri"/>
                <w:sz w:val="18"/>
                <w:szCs w:val="18"/>
                <w:lang w:eastAsia="en-US"/>
              </w:rPr>
            </w:pPr>
            <w:r w:rsidRPr="00C365A6">
              <w:rPr>
                <w:rFonts w:eastAsia="Calibri"/>
                <w:sz w:val="18"/>
                <w:szCs w:val="18"/>
                <w:lang w:eastAsia="en-US"/>
              </w:rPr>
              <w:t>7.50</w:t>
            </w:r>
          </w:p>
        </w:tc>
        <w:tc>
          <w:tcPr>
            <w:tcW w:w="1276" w:type="dxa"/>
            <w:tcBorders>
              <w:top w:val="single" w:sz="4" w:space="0" w:color="auto"/>
              <w:left w:val="single" w:sz="4" w:space="0" w:color="auto"/>
              <w:bottom w:val="single" w:sz="4" w:space="0" w:color="auto"/>
              <w:right w:val="single" w:sz="4" w:space="0" w:color="auto"/>
            </w:tcBorders>
          </w:tcPr>
          <w:p w14:paraId="44A15466" w14:textId="77777777" w:rsidR="00C365A6" w:rsidRPr="00C365A6" w:rsidRDefault="00C365A6" w:rsidP="00C365A6">
            <w:pPr>
              <w:jc w:val="both"/>
              <w:rPr>
                <w:rFonts w:eastAsia="Calibri"/>
                <w:sz w:val="18"/>
                <w:szCs w:val="18"/>
                <w:lang w:eastAsia="en-US"/>
              </w:rPr>
            </w:pPr>
          </w:p>
        </w:tc>
        <w:tc>
          <w:tcPr>
            <w:tcW w:w="2449" w:type="dxa"/>
            <w:tcBorders>
              <w:top w:val="single" w:sz="4" w:space="0" w:color="auto"/>
              <w:left w:val="single" w:sz="4" w:space="0" w:color="auto"/>
              <w:bottom w:val="single" w:sz="4" w:space="0" w:color="auto"/>
              <w:right w:val="single" w:sz="4" w:space="0" w:color="auto"/>
            </w:tcBorders>
          </w:tcPr>
          <w:p w14:paraId="7C2F9608" w14:textId="77777777" w:rsidR="00C365A6" w:rsidRPr="00C365A6" w:rsidRDefault="00C365A6" w:rsidP="00C365A6">
            <w:pPr>
              <w:jc w:val="both"/>
              <w:rPr>
                <w:rFonts w:eastAsia="Calibri"/>
                <w:sz w:val="18"/>
                <w:szCs w:val="18"/>
                <w:lang w:eastAsia="en-US"/>
              </w:rPr>
            </w:pPr>
          </w:p>
        </w:tc>
      </w:tr>
      <w:tr w:rsidR="00C365A6" w:rsidRPr="00C365A6" w14:paraId="116AD286" w14:textId="77777777" w:rsidTr="00A573F8">
        <w:tc>
          <w:tcPr>
            <w:tcW w:w="8828" w:type="dxa"/>
            <w:gridSpan w:val="6"/>
            <w:tcBorders>
              <w:top w:val="single" w:sz="4" w:space="0" w:color="auto"/>
            </w:tcBorders>
          </w:tcPr>
          <w:p w14:paraId="176D965A" w14:textId="77777777" w:rsidR="00C365A6" w:rsidRPr="00C365A6" w:rsidRDefault="00C365A6" w:rsidP="00C365A6">
            <w:pPr>
              <w:jc w:val="both"/>
              <w:rPr>
                <w:rFonts w:eastAsia="Calibri"/>
                <w:sz w:val="18"/>
                <w:szCs w:val="18"/>
                <w:lang w:eastAsia="en-US"/>
              </w:rPr>
            </w:pPr>
            <w:r w:rsidRPr="00C365A6">
              <w:rPr>
                <w:rFonts w:eastAsia="Calibri"/>
                <w:sz w:val="18"/>
                <w:szCs w:val="18"/>
                <w:u w:val="single"/>
                <w:lang w:eastAsia="en-US"/>
              </w:rPr>
              <w:t>1</w:t>
            </w:r>
            <w:r w:rsidRPr="00C365A6">
              <w:rPr>
                <w:rFonts w:eastAsia="Calibri"/>
                <w:sz w:val="18"/>
                <w:szCs w:val="18"/>
                <w:lang w:eastAsia="en-US"/>
              </w:rPr>
              <w:t>/ Sólo incluye bancos centrales miembros de BPI.</w:t>
            </w:r>
          </w:p>
          <w:p w14:paraId="622DC852" w14:textId="77777777" w:rsidR="00C365A6" w:rsidRPr="00C365A6" w:rsidRDefault="00C365A6" w:rsidP="00C365A6">
            <w:pPr>
              <w:jc w:val="both"/>
              <w:rPr>
                <w:rFonts w:eastAsia="Calibri"/>
                <w:sz w:val="18"/>
                <w:szCs w:val="18"/>
                <w:lang w:eastAsia="en-US"/>
              </w:rPr>
            </w:pPr>
            <w:r w:rsidRPr="00C365A6">
              <w:rPr>
                <w:rFonts w:eastAsia="Calibri"/>
                <w:sz w:val="18"/>
                <w:szCs w:val="18"/>
                <w:lang w:eastAsia="en-US"/>
              </w:rPr>
              <w:t>FUENTE</w:t>
            </w:r>
            <w:r w:rsidRPr="003E354C">
              <w:rPr>
                <w:rFonts w:eastAsia="Calibri"/>
                <w:i/>
                <w:sz w:val="18"/>
                <w:szCs w:val="18"/>
                <w:lang w:eastAsia="en-US"/>
              </w:rPr>
              <w:t>: Bloomberg</w:t>
            </w:r>
            <w:r w:rsidRPr="00C365A6">
              <w:rPr>
                <w:rFonts w:eastAsia="Calibri"/>
                <w:sz w:val="18"/>
                <w:szCs w:val="18"/>
                <w:lang w:eastAsia="en-US"/>
              </w:rPr>
              <w:t>: datos nacionales.</w:t>
            </w:r>
          </w:p>
        </w:tc>
      </w:tr>
    </w:tbl>
    <w:p w14:paraId="4A1B2543" w14:textId="77777777" w:rsidR="00C365A6" w:rsidRPr="00C365A6" w:rsidRDefault="00C365A6" w:rsidP="00C365A6">
      <w:pPr>
        <w:spacing w:after="360" w:line="360" w:lineRule="auto"/>
        <w:ind w:right="-159"/>
        <w:jc w:val="both"/>
        <w:rPr>
          <w:rFonts w:eastAsia="Calibri"/>
          <w:sz w:val="26"/>
          <w:szCs w:val="26"/>
          <w:lang w:eastAsia="en-US"/>
        </w:rPr>
      </w:pPr>
    </w:p>
    <w:p w14:paraId="0E71593A"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Las presiones desinflacionistas indujeron a varios bancos centrales a relajar sus políticas. Ante la perspectiva de una caída de la inflación medida por el IPC por debajo del objetivo para 2016, el Banco de la Reserva de la India sorprendió el 15 de enero a </w:t>
      </w:r>
      <w:r w:rsidRPr="00C365A6">
        <w:rPr>
          <w:rFonts w:eastAsia="Calibri"/>
          <w:sz w:val="26"/>
          <w:szCs w:val="26"/>
          <w:lang w:eastAsia="en-US"/>
        </w:rPr>
        <w:lastRenderedPageBreak/>
        <w:t xml:space="preserve">los mercados al rebajar en 25 puntos básicos su principal tasa de interés oficial, hasta el 7.75%, la primera reducción en 20 meses. El banco central volvió a sorprender a los mercados el 4 de marzo al recortar nuevamente sus tasas en otros 25 puntos básicos, en una decisión adoptada fuera de su programa de reuniones regulares. La Autoridad Monetaria de Singapur (MAS) relajó inesperadamente su política el 28 de enero. La Autoridad gestiona un régimen cambiario flexible controlado para el dólar de Singapur, por el que se permite la fluctuación del tipo de cambio ponderado por el comercio exterior dentro de una banda oficial. La MAS anunció que mantendría su política de apreciación gradual y moderada de la banda, si bien reduciría el ritmo de apreciación para moderar las presiones desinflacionistas. El día del anuncio, el dólar de Singapur se depreció alrededor del 1% frente al dólar estadounidense, alcanzando su nivel más bajo desde mayo de 2010 (Gráfica </w:t>
      </w:r>
      <w:r w:rsidRPr="00C365A6">
        <w:rPr>
          <w:rFonts w:eastAsia="Calibri"/>
          <w:i/>
          <w:sz w:val="26"/>
          <w:szCs w:val="26"/>
          <w:lang w:eastAsia="en-US"/>
        </w:rPr>
        <w:t>El dólar continúa apreciándose</w:t>
      </w:r>
      <w:r w:rsidRPr="00C365A6">
        <w:rPr>
          <w:rFonts w:eastAsia="Calibri"/>
          <w:sz w:val="26"/>
          <w:szCs w:val="26"/>
          <w:lang w:eastAsia="en-US"/>
        </w:rPr>
        <w:t xml:space="preserve">, panel derecho). </w:t>
      </w:r>
    </w:p>
    <w:p w14:paraId="2D78D067"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El 4 de febrero, el Banco de la República Popular de China (PBC) anunció inesperadamente una reducción de 50 puntos básicos en el coeficiente de reservas obligatorias para una amplia gama de bancos —el primer recorte para todo el sector desde mayo de 2012—. Más tarde, el 28 de febrero, el PBC redujo sus tasas oficiales de referencia, tras los recortes adoptados en noviembre de 2014. Las tasas de referencia para depósitos y créditos a un año se recortaron 25 puntos básicos, hasta el 2.5 y el 5.35%, respectivamente. Otras tasas de referencia para depósitos y créditos también se redujeron. El PBC anunció asimismo medidas para seguir liberalizando las tasas de los depósitos, en un paso más hacia la eliminación total de los controles sobre tasas de interés en China.  </w:t>
      </w:r>
    </w:p>
    <w:p w14:paraId="0EDFBA17" w14:textId="77777777" w:rsidR="00C365A6" w:rsidRPr="00C365A6" w:rsidRDefault="00C365A6" w:rsidP="00C365A6">
      <w:pPr>
        <w:spacing w:after="360" w:line="360" w:lineRule="auto"/>
        <w:ind w:right="-159"/>
        <w:jc w:val="both"/>
        <w:rPr>
          <w:rFonts w:eastAsia="Calibri"/>
          <w:b/>
          <w:sz w:val="26"/>
          <w:szCs w:val="26"/>
          <w:lang w:eastAsia="en-US"/>
        </w:rPr>
      </w:pPr>
      <w:r w:rsidRPr="00C365A6">
        <w:rPr>
          <w:rFonts w:eastAsia="Calibri"/>
          <w:b/>
          <w:sz w:val="26"/>
          <w:szCs w:val="26"/>
          <w:lang w:eastAsia="en-US"/>
        </w:rPr>
        <w:t xml:space="preserve">Las tasas de interés caen todavía más  </w:t>
      </w:r>
    </w:p>
    <w:p w14:paraId="37F2C073" w14:textId="77777777"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Las políticas monetarias extraordinariamente laxas se transmitieron a unas condiciones excepcionales en los mercados de deuda. Los rendimientos de la deuda pública negociada en numerosos mercados alcanzaron mínimos históricos, a menudo negativos </w:t>
      </w:r>
      <w:r w:rsidRPr="00C365A6">
        <w:rPr>
          <w:rFonts w:eastAsia="Calibri"/>
          <w:sz w:val="26"/>
          <w:szCs w:val="26"/>
          <w:lang w:eastAsia="en-US"/>
        </w:rPr>
        <w:lastRenderedPageBreak/>
        <w:t xml:space="preserve">(Gráfica siguiente, panel izquierdo). Las tasas de interés a lo largo de toda la estructura de vencimientos, desde dos a 30 años, descendieron a mínimos récord en varios países europeos. El descenso fue más acusado en los plazos más largos, con caídas en torno a los 60 puntos básicos de los rendimientos de la deuda a 30 años alemana, francesa y danesa, y de 90 y 100 puntos básicos, respectivamente, en los casos español e italiano. Los rendimientos de los bonos del Tesoro estadounidense a 30 años cayeron a un mínimo histórico del 2.2% a finales de enero. Los rendimientos de numerosos bonos soberanos se situaron por debajo de cero en los plazos hasta cinco años, y en el caso de Suiza, hasta 10 años. En Dinamarca, Suecia y Suiza, los rendimientos se hundieron aún más cuando las tasas oficiales de sus bancos centrales perforaron el límite inferior cero. En algunos soberanos, incluso los rendimientos a la emisión cayeron por debajo de cero. A finales de febrero, alrededor de 2.4 billones de dólares de deuda soberana a largo plazo cotizaba en todo el mundo con rendimientos negativos, de los cuales más de 1.9 billones eran emisiones de soberanos de la zona del euro. </w:t>
      </w:r>
    </w:p>
    <w:p w14:paraId="567D0E23" w14:textId="77777777" w:rsidR="00216674" w:rsidRDefault="00216674" w:rsidP="00C365A6">
      <w:pPr>
        <w:spacing w:after="360" w:line="360" w:lineRule="auto"/>
        <w:ind w:right="-159"/>
        <w:jc w:val="both"/>
        <w:rPr>
          <w:rFonts w:eastAsia="Calibri"/>
          <w:sz w:val="26"/>
          <w:szCs w:val="26"/>
          <w:lang w:eastAsia="en-US"/>
        </w:rPr>
      </w:pPr>
    </w:p>
    <w:p w14:paraId="1694359A" w14:textId="77777777" w:rsidR="00216674" w:rsidRDefault="00216674" w:rsidP="00C365A6">
      <w:pPr>
        <w:spacing w:after="360" w:line="360" w:lineRule="auto"/>
        <w:ind w:right="-159"/>
        <w:jc w:val="both"/>
        <w:rPr>
          <w:rFonts w:eastAsia="Calibri"/>
          <w:sz w:val="26"/>
          <w:szCs w:val="26"/>
          <w:lang w:eastAsia="en-US"/>
        </w:rPr>
      </w:pPr>
    </w:p>
    <w:p w14:paraId="4ED9031A" w14:textId="77777777" w:rsidR="00216674" w:rsidRDefault="00216674" w:rsidP="00C365A6">
      <w:pPr>
        <w:spacing w:after="360" w:line="360" w:lineRule="auto"/>
        <w:ind w:right="-159"/>
        <w:jc w:val="both"/>
        <w:rPr>
          <w:rFonts w:eastAsia="Calibri"/>
          <w:sz w:val="26"/>
          <w:szCs w:val="26"/>
          <w:lang w:eastAsia="en-US"/>
        </w:rPr>
      </w:pPr>
    </w:p>
    <w:p w14:paraId="7658D216" w14:textId="77777777" w:rsidR="00216674" w:rsidRDefault="00216674" w:rsidP="00C365A6">
      <w:pPr>
        <w:spacing w:after="360" w:line="360" w:lineRule="auto"/>
        <w:ind w:right="-159"/>
        <w:jc w:val="both"/>
        <w:rPr>
          <w:rFonts w:eastAsia="Calibri"/>
          <w:sz w:val="26"/>
          <w:szCs w:val="26"/>
          <w:lang w:eastAsia="en-US"/>
        </w:rPr>
      </w:pPr>
    </w:p>
    <w:p w14:paraId="4880876F" w14:textId="77777777" w:rsidR="00216674" w:rsidRDefault="00216674" w:rsidP="00C365A6">
      <w:pPr>
        <w:spacing w:after="360" w:line="360" w:lineRule="auto"/>
        <w:ind w:right="-159"/>
        <w:jc w:val="both"/>
        <w:rPr>
          <w:rFonts w:eastAsia="Calibri"/>
          <w:sz w:val="26"/>
          <w:szCs w:val="26"/>
          <w:lang w:eastAsia="en-US"/>
        </w:rPr>
      </w:pPr>
    </w:p>
    <w:p w14:paraId="05D88778" w14:textId="77777777" w:rsidR="00216674" w:rsidRDefault="00216674" w:rsidP="00C365A6">
      <w:pPr>
        <w:spacing w:after="360" w:line="360" w:lineRule="auto"/>
        <w:ind w:right="-159"/>
        <w:jc w:val="both"/>
        <w:rPr>
          <w:rFonts w:eastAsia="Calibri"/>
          <w:sz w:val="26"/>
          <w:szCs w:val="26"/>
          <w:lang w:eastAsia="en-US"/>
        </w:rPr>
      </w:pPr>
    </w:p>
    <w:p w14:paraId="5ED1A769" w14:textId="77777777" w:rsidR="00216674" w:rsidRDefault="00216674" w:rsidP="00C365A6">
      <w:pPr>
        <w:spacing w:after="360" w:line="360" w:lineRule="auto"/>
        <w:ind w:right="-159"/>
        <w:jc w:val="both"/>
        <w:rPr>
          <w:rFonts w:eastAsia="Calibri"/>
          <w:sz w:val="26"/>
          <w:szCs w:val="26"/>
          <w:lang w:eastAsia="en-US"/>
        </w:rPr>
      </w:pPr>
    </w:p>
    <w:p w14:paraId="2C10566A" w14:textId="77777777" w:rsidR="00216674" w:rsidRPr="00C365A6" w:rsidRDefault="00216674" w:rsidP="00C365A6">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4CD3D607" w14:textId="77777777" w:rsidTr="00216674">
        <w:trPr>
          <w:jc w:val="center"/>
        </w:trPr>
        <w:tc>
          <w:tcPr>
            <w:tcW w:w="8840" w:type="dxa"/>
          </w:tcPr>
          <w:p w14:paraId="09604215"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lastRenderedPageBreak/>
              <w:t>LAS TASAS DE INTERÉS ALCANZAN NUEVOS MÍNIMOS</w:t>
            </w:r>
          </w:p>
        </w:tc>
      </w:tr>
      <w:tr w:rsidR="00C365A6" w:rsidRPr="00C365A6" w14:paraId="5FDF5DCF" w14:textId="77777777" w:rsidTr="00216674">
        <w:trPr>
          <w:jc w:val="center"/>
        </w:trPr>
        <w:tc>
          <w:tcPr>
            <w:tcW w:w="8840" w:type="dxa"/>
          </w:tcPr>
          <w:p w14:paraId="75C69F6F"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2D1296B0" wp14:editId="3D2BB9BA">
                  <wp:extent cx="5581099" cy="2484000"/>
                  <wp:effectExtent l="0" t="0" r="0" b="0"/>
                  <wp:docPr id="1552" name="Imagen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581099" cy="2484000"/>
                          </a:xfrm>
                          <a:prstGeom prst="rect">
                            <a:avLst/>
                          </a:prstGeom>
                          <a:noFill/>
                          <a:ln>
                            <a:noFill/>
                          </a:ln>
                        </pic:spPr>
                      </pic:pic>
                    </a:graphicData>
                  </a:graphic>
                </wp:inline>
              </w:drawing>
            </w:r>
          </w:p>
        </w:tc>
      </w:tr>
      <w:tr w:rsidR="00C365A6" w:rsidRPr="00C365A6" w14:paraId="56C99766" w14:textId="77777777" w:rsidTr="00216674">
        <w:trPr>
          <w:jc w:val="center"/>
        </w:trPr>
        <w:tc>
          <w:tcPr>
            <w:tcW w:w="8840" w:type="dxa"/>
          </w:tcPr>
          <w:p w14:paraId="171EAB0A"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EEUU: Estados Unidos de Norteamérica.</w:t>
            </w:r>
          </w:p>
          <w:p w14:paraId="0E945423"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CH = Suiza; DE = Alemania; DK = Dinamarca; ES = España; FR = Francia; GB = Reino Unido; IT = Italia; JP = Japón; SE = Suecia; US = Estados Unidos de Norteamérica.</w:t>
            </w:r>
          </w:p>
          <w:p w14:paraId="6B6C6A59"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Basados en rendimientos mínimos intradía de la deuda pública genérica. Los horizontes temporales de los datos disponibles varían por países y plazos, pero todas las series comienzan al menos en 1997, excepto en el caso del rendimiento a dos años en Estados Unidos de Norteamérica (desde 1998) y a 30 años en España (desde 1998), Japón y Suiza (desde 1999) y Suecia (desde 2009). Para cada país, la primera barra representa el rendimiento a dos años, la segunda a cinco años, la tercera a 10 años y la cuarta a 30 años.    </w:t>
            </w:r>
          </w:p>
          <w:p w14:paraId="3938DBE8"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Descomposición del rendimiento nominal a 10 años basada en un modelo conjunto macroeconómico y de estructura temporal; en el caso de la zona del euro, se utilizan datos de deuda pública francesa. Véase P. Hördahl y O. Tristani, “</w:t>
            </w:r>
            <w:r w:rsidRPr="00C365A6">
              <w:rPr>
                <w:rFonts w:eastAsia="Calibri"/>
                <w:i/>
                <w:sz w:val="20"/>
                <w:szCs w:val="20"/>
                <w:lang w:eastAsia="en-US"/>
              </w:rPr>
              <w:t>Inflation risk premia in the euro area and the United States”, International Journal of Central Banking</w:t>
            </w:r>
            <w:r w:rsidRPr="00C365A6">
              <w:rPr>
                <w:rFonts w:eastAsia="Calibri"/>
                <w:sz w:val="20"/>
                <w:szCs w:val="20"/>
                <w:lang w:eastAsia="en-US"/>
              </w:rPr>
              <w:t xml:space="preserve">, septiembre de 2014.    </w:t>
            </w:r>
          </w:p>
          <w:p w14:paraId="55592B9F"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Precio WTI al contado.</w:t>
            </w:r>
          </w:p>
          <w:p w14:paraId="58EB5285"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Bloomberg; Datastream; </w:t>
            </w:r>
            <w:r w:rsidRPr="00C365A6">
              <w:rPr>
                <w:rFonts w:eastAsia="Calibri"/>
                <w:sz w:val="20"/>
                <w:szCs w:val="20"/>
                <w:lang w:eastAsia="en-US"/>
              </w:rPr>
              <w:t>cálculos del BPI.</w:t>
            </w:r>
          </w:p>
        </w:tc>
      </w:tr>
    </w:tbl>
    <w:p w14:paraId="0EC21127" w14:textId="77777777" w:rsidR="00C365A6" w:rsidRPr="00C365A6" w:rsidRDefault="00C365A6" w:rsidP="00C365A6">
      <w:pPr>
        <w:spacing w:after="360" w:line="360" w:lineRule="auto"/>
        <w:ind w:right="-159"/>
        <w:jc w:val="both"/>
        <w:rPr>
          <w:rFonts w:eastAsia="Calibri"/>
          <w:sz w:val="26"/>
          <w:szCs w:val="26"/>
          <w:lang w:eastAsia="en-US"/>
        </w:rPr>
      </w:pPr>
    </w:p>
    <w:p w14:paraId="4618CAA0"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Las estimaciones indican que la brusca caída de los rendimientos a largo plazo en Estados Unidos de Norteamérica y la zona del euro obedeció básicamente a una reducción de las primas por plazo y, en menor medida, a las menores expectativas de inflación (Gráfica anterior, paneles central y derecho). Las estimaciones de la prima por plazo, es decir, la compensación por el riesgo de mantener deuda de larga duración expuesta a futuras oscilaciones de las tasas nominales, continuaron perforando territorio negativo. La caída de las primas por plazo podría reflejar la búsqueda de duración ante el programa ampliado de adquisiciones de activos del BCE y los efectos de reajuste en las carteras internacionales. Simultáneamente, la reducción de las expectativas de inflación en Estados Unidos de Norteamérica y la zona del euro estuvo asociada a la caída de los precios del petróleo (Gráfica anterior, panel derecho). </w:t>
      </w:r>
    </w:p>
    <w:p w14:paraId="40224493" w14:textId="1EF3013F" w:rsid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lastRenderedPageBreak/>
        <w:t xml:space="preserve">El impacto del anuncio por parte del BCE del inicio de su programa de relajación cuantitativa a gran escala a partir de marzo de 2015 trascendió los mercados inmediatamente afectados. Las tasas de interés históricamente bajas y las reducidas primas de riesgo impulsaron a los </w:t>
      </w:r>
      <w:r w:rsidR="00BA61DD">
        <w:rPr>
          <w:rFonts w:eastAsia="Calibri"/>
          <w:sz w:val="26"/>
          <w:szCs w:val="26"/>
          <w:lang w:eastAsia="en-US"/>
        </w:rPr>
        <w:t>inversionistas</w:t>
      </w:r>
      <w:r w:rsidRPr="00C365A6">
        <w:rPr>
          <w:rFonts w:eastAsia="Calibri"/>
          <w:sz w:val="26"/>
          <w:szCs w:val="26"/>
          <w:lang w:eastAsia="en-US"/>
        </w:rPr>
        <w:t xml:space="preserve">, en su búsqueda del rendimiento, hacia activos de mayor riesgo. En las cuatro semanas siguientes al anuncio, los fondos de inversión en renta variable europea registraron entradas acumuladas por valor de casi 19 mil millones de dólares, el mayor importe jamás registrado en un período similar (Gráfica siguiente, panel izquierdo). El apetito por la deuda corporativa de mayor rentabilidad también creció notablemente, como reflejaron las mayores entradas en un año en los fondos de inversión en deuda corporativa europea de alta rentabilidad. Las condiciones en los mercados de deuda corporativa reflejaron las de los mercados de deuda soberana cuando, el 3 de febrero, el rendimiento de un bono de Nestlé a cuatro años denominado en euros se tornó negativo.   </w:t>
      </w:r>
    </w:p>
    <w:p w14:paraId="09CFF03C" w14:textId="77777777" w:rsidR="00216674" w:rsidRDefault="00216674" w:rsidP="00C365A6">
      <w:pPr>
        <w:spacing w:after="360" w:line="360" w:lineRule="auto"/>
        <w:ind w:right="-159"/>
        <w:jc w:val="both"/>
        <w:rPr>
          <w:rFonts w:eastAsia="Calibri"/>
          <w:sz w:val="26"/>
          <w:szCs w:val="26"/>
          <w:lang w:eastAsia="en-US"/>
        </w:rPr>
      </w:pPr>
    </w:p>
    <w:p w14:paraId="093FEB77" w14:textId="77777777" w:rsidR="00216674" w:rsidRDefault="00216674" w:rsidP="00C365A6">
      <w:pPr>
        <w:spacing w:after="360" w:line="360" w:lineRule="auto"/>
        <w:ind w:right="-159"/>
        <w:jc w:val="both"/>
        <w:rPr>
          <w:rFonts w:eastAsia="Calibri"/>
          <w:sz w:val="26"/>
          <w:szCs w:val="26"/>
          <w:lang w:eastAsia="en-US"/>
        </w:rPr>
      </w:pPr>
    </w:p>
    <w:p w14:paraId="7438FA83" w14:textId="77777777" w:rsidR="00216674" w:rsidRDefault="00216674" w:rsidP="00C365A6">
      <w:pPr>
        <w:spacing w:after="360" w:line="360" w:lineRule="auto"/>
        <w:ind w:right="-159"/>
        <w:jc w:val="both"/>
        <w:rPr>
          <w:rFonts w:eastAsia="Calibri"/>
          <w:sz w:val="26"/>
          <w:szCs w:val="26"/>
          <w:lang w:eastAsia="en-US"/>
        </w:rPr>
      </w:pPr>
    </w:p>
    <w:p w14:paraId="48EF5BF7" w14:textId="77777777" w:rsidR="00216674" w:rsidRDefault="00216674" w:rsidP="00C365A6">
      <w:pPr>
        <w:spacing w:after="360" w:line="360" w:lineRule="auto"/>
        <w:ind w:right="-159"/>
        <w:jc w:val="both"/>
        <w:rPr>
          <w:rFonts w:eastAsia="Calibri"/>
          <w:sz w:val="26"/>
          <w:szCs w:val="26"/>
          <w:lang w:eastAsia="en-US"/>
        </w:rPr>
      </w:pPr>
    </w:p>
    <w:p w14:paraId="21A7ED9F" w14:textId="77777777" w:rsidR="00216674" w:rsidRDefault="00216674" w:rsidP="00C365A6">
      <w:pPr>
        <w:spacing w:after="360" w:line="360" w:lineRule="auto"/>
        <w:ind w:right="-159"/>
        <w:jc w:val="both"/>
        <w:rPr>
          <w:rFonts w:eastAsia="Calibri"/>
          <w:sz w:val="26"/>
          <w:szCs w:val="26"/>
          <w:lang w:eastAsia="en-US"/>
        </w:rPr>
      </w:pPr>
    </w:p>
    <w:p w14:paraId="4253ACE7" w14:textId="77777777" w:rsidR="00216674" w:rsidRDefault="00216674" w:rsidP="00C365A6">
      <w:pPr>
        <w:spacing w:after="360" w:line="360" w:lineRule="auto"/>
        <w:ind w:right="-159"/>
        <w:jc w:val="both"/>
        <w:rPr>
          <w:rFonts w:eastAsia="Calibri"/>
          <w:sz w:val="26"/>
          <w:szCs w:val="26"/>
          <w:lang w:eastAsia="en-US"/>
        </w:rPr>
      </w:pPr>
    </w:p>
    <w:p w14:paraId="1F1CDFFA" w14:textId="77777777" w:rsidR="00216674" w:rsidRDefault="00216674" w:rsidP="00C365A6">
      <w:pPr>
        <w:spacing w:after="360" w:line="360" w:lineRule="auto"/>
        <w:ind w:right="-159"/>
        <w:jc w:val="both"/>
        <w:rPr>
          <w:rFonts w:eastAsia="Calibri"/>
          <w:sz w:val="26"/>
          <w:szCs w:val="26"/>
          <w:lang w:eastAsia="en-US"/>
        </w:rPr>
      </w:pPr>
    </w:p>
    <w:p w14:paraId="31C94D4B" w14:textId="77777777" w:rsidR="00216674" w:rsidRPr="00C365A6" w:rsidRDefault="00216674" w:rsidP="00C365A6">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840"/>
      </w:tblGrid>
      <w:tr w:rsidR="00C365A6" w:rsidRPr="00C365A6" w14:paraId="0873EF7E" w14:textId="77777777" w:rsidTr="00EA3974">
        <w:trPr>
          <w:jc w:val="center"/>
        </w:trPr>
        <w:tc>
          <w:tcPr>
            <w:tcW w:w="9259" w:type="dxa"/>
          </w:tcPr>
          <w:p w14:paraId="7DAD9D2E" w14:textId="77777777" w:rsidR="00C365A6" w:rsidRPr="00C365A6" w:rsidRDefault="00C365A6" w:rsidP="00C365A6">
            <w:pPr>
              <w:jc w:val="center"/>
              <w:rPr>
                <w:rFonts w:eastAsia="Calibri"/>
                <w:b/>
                <w:sz w:val="22"/>
                <w:szCs w:val="20"/>
                <w:lang w:eastAsia="en-US"/>
              </w:rPr>
            </w:pPr>
            <w:r w:rsidRPr="00C365A6">
              <w:rPr>
                <w:rFonts w:eastAsia="Calibri"/>
                <w:b/>
                <w:sz w:val="22"/>
                <w:szCs w:val="20"/>
                <w:lang w:eastAsia="en-US"/>
              </w:rPr>
              <w:lastRenderedPageBreak/>
              <w:t>LOS FLUJOS HACIA FONDOS SE AJUSTAN A LA DIVERGENCIA DE POLÍTICAS MONETARIAS</w:t>
            </w:r>
          </w:p>
        </w:tc>
      </w:tr>
      <w:tr w:rsidR="00C365A6" w:rsidRPr="00C365A6" w14:paraId="2EDCCB4E" w14:textId="77777777" w:rsidTr="00EA3974">
        <w:trPr>
          <w:jc w:val="center"/>
        </w:trPr>
        <w:tc>
          <w:tcPr>
            <w:tcW w:w="9259" w:type="dxa"/>
          </w:tcPr>
          <w:p w14:paraId="62B758F6" w14:textId="77777777" w:rsidR="00C365A6" w:rsidRPr="00C365A6" w:rsidRDefault="00C365A6" w:rsidP="00C365A6">
            <w:pPr>
              <w:jc w:val="center"/>
              <w:rPr>
                <w:rFonts w:eastAsia="Calibri"/>
                <w:sz w:val="20"/>
                <w:szCs w:val="20"/>
                <w:lang w:eastAsia="en-US"/>
              </w:rPr>
            </w:pPr>
            <w:r w:rsidRPr="00C365A6">
              <w:rPr>
                <w:rFonts w:eastAsia="Calibri"/>
                <w:noProof/>
                <w:sz w:val="20"/>
                <w:szCs w:val="20"/>
                <w:lang w:eastAsia="es-MX"/>
              </w:rPr>
              <w:drawing>
                <wp:inline distT="0" distB="0" distL="0" distR="0" wp14:anchorId="5180DB9A" wp14:editId="57758447">
                  <wp:extent cx="5538243" cy="2628000"/>
                  <wp:effectExtent l="0" t="0" r="5715" b="1270"/>
                  <wp:docPr id="1553" name="Imagen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538243" cy="2628000"/>
                          </a:xfrm>
                          <a:prstGeom prst="rect">
                            <a:avLst/>
                          </a:prstGeom>
                          <a:noFill/>
                          <a:ln>
                            <a:noFill/>
                          </a:ln>
                        </pic:spPr>
                      </pic:pic>
                    </a:graphicData>
                  </a:graphic>
                </wp:inline>
              </w:drawing>
            </w:r>
          </w:p>
        </w:tc>
      </w:tr>
      <w:tr w:rsidR="00C365A6" w:rsidRPr="00C365A6" w14:paraId="5AE6DFD5" w14:textId="77777777" w:rsidTr="00EA3974">
        <w:trPr>
          <w:jc w:val="center"/>
        </w:trPr>
        <w:tc>
          <w:tcPr>
            <w:tcW w:w="9259" w:type="dxa"/>
          </w:tcPr>
          <w:p w14:paraId="6770456D"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EEUU: Estados Unidos de Norteamérica.</w:t>
            </w:r>
          </w:p>
          <w:p w14:paraId="59245B7C"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IG = grado de inversión; HY = alta rentabilidad.</w:t>
            </w:r>
          </w:p>
          <w:p w14:paraId="62D68BAC"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1</w:t>
            </w:r>
            <w:r w:rsidRPr="00C365A6">
              <w:rPr>
                <w:rFonts w:eastAsia="Calibri"/>
                <w:sz w:val="20"/>
                <w:szCs w:val="20"/>
                <w:lang w:eastAsia="en-US"/>
              </w:rPr>
              <w:t xml:space="preserve">/ Diferencial entre los rendimientos de la deuda pública a 10 años y los rendimientos de los bonos estadounidenses comparables.    </w:t>
            </w:r>
          </w:p>
          <w:p w14:paraId="5BB92757"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2</w:t>
            </w:r>
            <w:r w:rsidRPr="00C365A6">
              <w:rPr>
                <w:rFonts w:eastAsia="Calibri"/>
                <w:sz w:val="20"/>
                <w:szCs w:val="20"/>
                <w:lang w:eastAsia="en-US"/>
              </w:rPr>
              <w:t xml:space="preserve">/ Media móvil de cuatro semanas.    </w:t>
            </w:r>
          </w:p>
          <w:p w14:paraId="692716FC"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3</w:t>
            </w:r>
            <w:r w:rsidRPr="00C365A6">
              <w:rPr>
                <w:rFonts w:eastAsia="Calibri"/>
                <w:sz w:val="20"/>
                <w:szCs w:val="20"/>
                <w:lang w:eastAsia="en-US"/>
              </w:rPr>
              <w:t xml:space="preserve">/ Suma de todos los tipos de fondos de inversión en deuda enumerados.    </w:t>
            </w:r>
          </w:p>
          <w:p w14:paraId="1BA9AE58"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4</w:t>
            </w:r>
            <w:r w:rsidRPr="00C365A6">
              <w:rPr>
                <w:rFonts w:eastAsia="Calibri"/>
                <w:sz w:val="20"/>
                <w:szCs w:val="20"/>
                <w:lang w:eastAsia="en-US"/>
              </w:rPr>
              <w:t xml:space="preserve">/ Fondos de deuda pública central y municipal.    </w:t>
            </w:r>
          </w:p>
          <w:p w14:paraId="579235EB" w14:textId="77777777" w:rsidR="00C365A6" w:rsidRPr="00C365A6" w:rsidRDefault="00C365A6" w:rsidP="00C365A6">
            <w:pPr>
              <w:ind w:left="227" w:hanging="227"/>
              <w:jc w:val="both"/>
              <w:rPr>
                <w:rFonts w:eastAsia="Calibri"/>
                <w:sz w:val="20"/>
                <w:szCs w:val="20"/>
                <w:lang w:eastAsia="en-US"/>
              </w:rPr>
            </w:pPr>
            <w:r w:rsidRPr="00C365A6">
              <w:rPr>
                <w:rFonts w:eastAsia="Calibri"/>
                <w:sz w:val="20"/>
                <w:szCs w:val="20"/>
                <w:u w:val="single"/>
                <w:lang w:eastAsia="en-US"/>
              </w:rPr>
              <w:t>5</w:t>
            </w:r>
            <w:r w:rsidRPr="00C365A6">
              <w:rPr>
                <w:rFonts w:eastAsia="Calibri"/>
                <w:sz w:val="20"/>
                <w:szCs w:val="20"/>
                <w:lang w:eastAsia="en-US"/>
              </w:rPr>
              <w:t>/ Fondos de renta fija mixta, préstamos bancarios, protegidos de inflación, bonos de titulización hipotecaria y rendimiento total.</w:t>
            </w:r>
          </w:p>
          <w:p w14:paraId="1F2B4AF2" w14:textId="77777777" w:rsidR="00C365A6" w:rsidRPr="00C365A6" w:rsidRDefault="00C365A6" w:rsidP="00C365A6">
            <w:pPr>
              <w:jc w:val="both"/>
              <w:rPr>
                <w:rFonts w:eastAsia="Calibri"/>
                <w:sz w:val="20"/>
                <w:szCs w:val="20"/>
                <w:lang w:eastAsia="en-US"/>
              </w:rPr>
            </w:pPr>
            <w:r w:rsidRPr="00C365A6">
              <w:rPr>
                <w:rFonts w:eastAsia="Calibri"/>
                <w:sz w:val="20"/>
                <w:szCs w:val="20"/>
                <w:lang w:eastAsia="en-US"/>
              </w:rPr>
              <w:t xml:space="preserve">FUENTE: </w:t>
            </w:r>
            <w:r w:rsidRPr="00C365A6">
              <w:rPr>
                <w:rFonts w:eastAsia="Calibri"/>
                <w:i/>
                <w:sz w:val="20"/>
                <w:szCs w:val="20"/>
                <w:lang w:eastAsia="en-US"/>
              </w:rPr>
              <w:t xml:space="preserve">Bloomberg; Datastream; </w:t>
            </w:r>
            <w:r w:rsidRPr="00C365A6">
              <w:rPr>
                <w:rFonts w:eastAsia="Calibri"/>
                <w:sz w:val="20"/>
                <w:szCs w:val="20"/>
                <w:lang w:eastAsia="en-US"/>
              </w:rPr>
              <w:t>cálculos del BPI.</w:t>
            </w:r>
          </w:p>
        </w:tc>
      </w:tr>
    </w:tbl>
    <w:p w14:paraId="6625D7E0" w14:textId="77777777" w:rsidR="00C365A6" w:rsidRPr="00C365A6" w:rsidRDefault="00C365A6" w:rsidP="00C365A6">
      <w:pPr>
        <w:spacing w:after="360" w:line="360" w:lineRule="auto"/>
        <w:ind w:right="-159"/>
        <w:jc w:val="both"/>
        <w:rPr>
          <w:rFonts w:eastAsia="Calibri"/>
          <w:sz w:val="26"/>
          <w:szCs w:val="26"/>
          <w:lang w:eastAsia="en-US"/>
        </w:rPr>
      </w:pPr>
    </w:p>
    <w:p w14:paraId="54D7A2FC" w14:textId="77777777"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La caída conjunta de los rendimientos en Estados Unidos de Norteamérica y la zona del euro pese a sus políticas monetarias divergentes sugiere una posible propagación desde los mercados de deuda europeos hacia los estadounidenses. De hecho, en el contexto de un dólar estadounidense más fuerte y diferenciales de rendimiento crecientes entre la deuda soberana alemana y estadounidense, los fondos invertidos en bonos del Tesoro estadounidense durante la semana posterior al anuncio del BCE de su programa ampliado de compras de activos se situaron en máximos desde finales de enero de 2014  (Gráfica anterior, paneles central y derecho). En total, los fondos de inversión en deuda domiciliados en Estados Unidos de Norteamérica se anotaron entradas históricamente elevadas próximas a los 40 mil millones de dólares durante el período de cuatro semanas posterior al anuncio del BCE, triplicando el promedio de entradas en dichos fondos registradas en períodos de cuatro semanas durante 2014. Estos cuantiosos flujos </w:t>
      </w:r>
      <w:r w:rsidRPr="00C365A6">
        <w:rPr>
          <w:rFonts w:eastAsia="Calibri"/>
          <w:sz w:val="26"/>
          <w:szCs w:val="26"/>
          <w:lang w:eastAsia="en-US"/>
        </w:rPr>
        <w:lastRenderedPageBreak/>
        <w:t xml:space="preserve">de entrada incluyeron inversiones por valor de 15 mil millones de dólares en fondos de deuda corporativa, asociadas a la ampliación de los diferenciales de rendimiento entre la deuda corporativa estadounidense y la de la zona del euro. </w:t>
      </w:r>
    </w:p>
    <w:p w14:paraId="6F948BFD" w14:textId="2EE9DFC0" w:rsidR="00C365A6" w:rsidRPr="00C365A6" w:rsidRDefault="00C365A6" w:rsidP="00C365A6">
      <w:pPr>
        <w:spacing w:after="360" w:line="360" w:lineRule="auto"/>
        <w:ind w:right="-159"/>
        <w:jc w:val="both"/>
        <w:rPr>
          <w:rFonts w:eastAsia="Calibri"/>
          <w:sz w:val="26"/>
          <w:szCs w:val="26"/>
          <w:lang w:eastAsia="en-US"/>
        </w:rPr>
      </w:pPr>
      <w:r w:rsidRPr="00C365A6">
        <w:rPr>
          <w:rFonts w:eastAsia="Calibri"/>
          <w:sz w:val="26"/>
          <w:szCs w:val="26"/>
          <w:lang w:eastAsia="en-US"/>
        </w:rPr>
        <w:t xml:space="preserve">Los flujos hacia fondos de las EME resultaron más débiles ante la preocupación por las perspectivas de crecimiento de Brasil, China y Rusia. Al mismo tiempo, esta evolución podría estar vinculada al atractivo de los activos estadounidenses para los </w:t>
      </w:r>
      <w:r w:rsidR="00BA61DD">
        <w:rPr>
          <w:rFonts w:eastAsia="Calibri"/>
          <w:sz w:val="26"/>
          <w:szCs w:val="26"/>
          <w:lang w:eastAsia="en-US"/>
        </w:rPr>
        <w:t>inversionistas</w:t>
      </w:r>
      <w:r w:rsidRPr="00C365A6">
        <w:rPr>
          <w:rFonts w:eastAsia="Calibri"/>
          <w:sz w:val="26"/>
          <w:szCs w:val="26"/>
          <w:lang w:eastAsia="en-US"/>
        </w:rPr>
        <w:t xml:space="preserve"> internacionales en busca de rendimiento. No obstante, las cifras medias correspondientes a las EME ocultan importantes diferencias por regiones. Mientras que los fondos de inversión en renta variable de economías europeas emergentes y latinoamericanas registraron salidas netas desde comienzos de febrero, en Asia se han producido entradas sustanciales.</w:t>
      </w:r>
    </w:p>
    <w:p w14:paraId="30CB5F13" w14:textId="77777777" w:rsidR="00C365A6" w:rsidRPr="00C365A6" w:rsidRDefault="00C365A6" w:rsidP="00C365A6">
      <w:pPr>
        <w:ind w:right="-159"/>
        <w:jc w:val="both"/>
        <w:rPr>
          <w:rFonts w:eastAsia="Calibri"/>
          <w:b/>
          <w:sz w:val="20"/>
          <w:szCs w:val="26"/>
          <w:lang w:eastAsia="en-US"/>
        </w:rPr>
      </w:pPr>
      <w:r w:rsidRPr="00C365A6">
        <w:rPr>
          <w:rFonts w:eastAsia="Calibri"/>
          <w:b/>
          <w:sz w:val="20"/>
          <w:szCs w:val="26"/>
          <w:lang w:eastAsia="en-US"/>
        </w:rPr>
        <w:t>Fuente de información:</w:t>
      </w:r>
    </w:p>
    <w:p w14:paraId="050B209E" w14:textId="77777777" w:rsidR="00C365A6" w:rsidRPr="00A65144" w:rsidRDefault="0045651A" w:rsidP="00A65144">
      <w:pPr>
        <w:spacing w:after="720"/>
        <w:ind w:right="-159"/>
        <w:jc w:val="both"/>
        <w:rPr>
          <w:rFonts w:eastAsia="Calibri"/>
          <w:color w:val="0000FF"/>
          <w:sz w:val="20"/>
          <w:szCs w:val="20"/>
          <w:lang w:eastAsia="en-US"/>
        </w:rPr>
      </w:pPr>
      <w:hyperlink r:id="rId429" w:history="1">
        <w:r w:rsidR="00C365A6" w:rsidRPr="00A65144">
          <w:rPr>
            <w:rFonts w:eastAsia="Calibri"/>
            <w:color w:val="0000FF"/>
            <w:sz w:val="20"/>
            <w:szCs w:val="20"/>
            <w:u w:val="single"/>
            <w:lang w:eastAsia="en-US"/>
          </w:rPr>
          <w:t>http://www.bis.org/publ/qtrpdf/r_qt1503a_es.pdf</w:t>
        </w:r>
      </w:hyperlink>
      <w:r w:rsidR="00C365A6" w:rsidRPr="00A65144">
        <w:rPr>
          <w:rFonts w:eastAsia="Calibri"/>
          <w:color w:val="0000FF"/>
          <w:sz w:val="20"/>
          <w:szCs w:val="20"/>
          <w:lang w:eastAsia="en-US"/>
        </w:rPr>
        <w:t xml:space="preserve"> </w:t>
      </w:r>
    </w:p>
    <w:p w14:paraId="603591F4" w14:textId="77777777" w:rsidR="00080407" w:rsidRPr="00080407" w:rsidRDefault="00080407" w:rsidP="00080407">
      <w:pPr>
        <w:ind w:right="-159"/>
        <w:jc w:val="both"/>
        <w:rPr>
          <w:rFonts w:eastAsia="Calibri"/>
          <w:b/>
          <w:sz w:val="26"/>
          <w:szCs w:val="26"/>
          <w:lang w:eastAsia="en-US"/>
        </w:rPr>
      </w:pPr>
      <w:r w:rsidRPr="00080407">
        <w:rPr>
          <w:rFonts w:eastAsia="Calibri"/>
          <w:b/>
          <w:sz w:val="26"/>
          <w:szCs w:val="26"/>
          <w:lang w:eastAsia="en-US"/>
        </w:rPr>
        <w:t>Grupo    Intergubernamental    de   los</w:t>
      </w:r>
    </w:p>
    <w:p w14:paraId="022D35E8" w14:textId="77777777" w:rsidR="00080407" w:rsidRPr="00080407" w:rsidRDefault="00080407" w:rsidP="00080407">
      <w:pPr>
        <w:ind w:right="-159"/>
        <w:jc w:val="both"/>
        <w:rPr>
          <w:rFonts w:eastAsia="Calibri"/>
          <w:b/>
          <w:sz w:val="26"/>
          <w:szCs w:val="26"/>
          <w:lang w:eastAsia="en-US"/>
        </w:rPr>
      </w:pPr>
      <w:r w:rsidRPr="00080407">
        <w:rPr>
          <w:rFonts w:eastAsia="Calibri"/>
          <w:b/>
          <w:sz w:val="26"/>
          <w:szCs w:val="26"/>
          <w:lang w:eastAsia="en-US"/>
        </w:rPr>
        <w:t>Veinticuatro para Asuntos Monetarios</w:t>
      </w:r>
    </w:p>
    <w:p w14:paraId="1B79A6DA"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b/>
          <w:sz w:val="26"/>
          <w:szCs w:val="26"/>
          <w:lang w:eastAsia="en-US"/>
        </w:rPr>
        <w:t>Internacionales    y    Desarrollo (FMI</w:t>
      </w:r>
      <w:r w:rsidRPr="00080407">
        <w:rPr>
          <w:rFonts w:eastAsia="Calibri"/>
          <w:sz w:val="26"/>
          <w:szCs w:val="26"/>
          <w:lang w:eastAsia="en-US"/>
        </w:rPr>
        <w:t>)</w:t>
      </w:r>
    </w:p>
    <w:p w14:paraId="2502BB10" w14:textId="77777777" w:rsidR="00080407" w:rsidRPr="00080407" w:rsidRDefault="00080407" w:rsidP="00080407">
      <w:pPr>
        <w:spacing w:after="360" w:line="360" w:lineRule="auto"/>
        <w:ind w:right="-159"/>
        <w:jc w:val="both"/>
        <w:rPr>
          <w:rFonts w:eastAsia="Calibri"/>
          <w:sz w:val="26"/>
          <w:szCs w:val="26"/>
          <w:lang w:eastAsia="en-US"/>
        </w:rPr>
      </w:pPr>
      <w:r w:rsidRPr="00080407">
        <w:rPr>
          <w:rFonts w:eastAsia="Calibri"/>
          <w:sz w:val="26"/>
          <w:szCs w:val="26"/>
          <w:lang w:eastAsia="en-US"/>
        </w:rPr>
        <w:t xml:space="preserve">El 16 de abril de 2015, el Fondo Monetario Internacional (FMI) dio a conocer el comunicado del “Grupo Intergubernamental de los Veinticuatro para Asuntos Monetarios Internacionales y Desarrollo”. A continuación se presenta el contenido. </w:t>
      </w:r>
    </w:p>
    <w:p w14:paraId="74CF1253" w14:textId="77777777" w:rsidR="00080407" w:rsidRPr="00080407" w:rsidRDefault="00080407" w:rsidP="000A364F">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Los Ministros del Grupo Intergubernamental de los Veinticuatro para Asuntos Monetarios Internacionales y Desarrollo celebraron su 93ª reunión en Washington, D.C., el 16 de abril de 2015. Presidió la reunión el Sr. Alain Bifani, Director General del Ministerio de Hacienda de Líbano, y actuaron como Primer Vicepresidente el Sr. Andrés Escobar, Viceministro de Hacienda y Crédito Público de Colombia, y como Segundo Vicepresidente el Sr. Sufian Ahmed, Ministro de Hacienda de Etiopía.</w:t>
      </w:r>
    </w:p>
    <w:p w14:paraId="46FEFF3A" w14:textId="77777777" w:rsidR="00080407" w:rsidRPr="00080407" w:rsidRDefault="00080407" w:rsidP="00080407">
      <w:pPr>
        <w:spacing w:after="360" w:line="360" w:lineRule="auto"/>
        <w:ind w:right="-159"/>
        <w:jc w:val="both"/>
        <w:rPr>
          <w:rFonts w:eastAsia="Calibri"/>
          <w:b/>
          <w:sz w:val="26"/>
          <w:szCs w:val="26"/>
          <w:lang w:eastAsia="en-US"/>
        </w:rPr>
      </w:pPr>
      <w:r w:rsidRPr="00080407">
        <w:rPr>
          <w:rFonts w:eastAsia="Calibri"/>
          <w:b/>
          <w:sz w:val="26"/>
          <w:szCs w:val="26"/>
          <w:lang w:eastAsia="en-US"/>
        </w:rPr>
        <w:lastRenderedPageBreak/>
        <w:t>La economía mundial y las implicaciones para los países en desarrollo</w:t>
      </w:r>
    </w:p>
    <w:p w14:paraId="3F921E53" w14:textId="19FB7C2A"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La recuperación mundial sigue siendo dispar, con divergencias entre los distintos países y regiones. Los países de mercados emergentes y en desarrollo siguen proporcionando el mayor impulso al crecimiento mundial, si bien el crecimiento se está moderando en algunos países. Persiste la atonía en la zona del euro y Japón, en tanto que en Estados Unidos </w:t>
      </w:r>
      <w:r w:rsidR="00A65144">
        <w:rPr>
          <w:rFonts w:eastAsia="Calibri"/>
          <w:sz w:val="26"/>
          <w:szCs w:val="26"/>
          <w:lang w:eastAsia="en-US"/>
        </w:rPr>
        <w:t xml:space="preserve">de Norteamérica </w:t>
      </w:r>
      <w:r w:rsidRPr="00080407">
        <w:rPr>
          <w:rFonts w:eastAsia="Calibri"/>
          <w:sz w:val="26"/>
          <w:szCs w:val="26"/>
          <w:lang w:eastAsia="en-US"/>
        </w:rPr>
        <w:t xml:space="preserve">el crecimiento muestra una cierta mejoría. Sigue habiendo importantes riesgos a la baja. Nos preocupan las posibles repercusiones en los países de mercados emergentes y en desarrollo derivadas de la normalización de la política monetaria en Estados Unidos </w:t>
      </w:r>
      <w:r w:rsidR="00A65144">
        <w:rPr>
          <w:rFonts w:eastAsia="Calibri"/>
          <w:sz w:val="26"/>
          <w:szCs w:val="26"/>
          <w:lang w:eastAsia="en-US"/>
        </w:rPr>
        <w:t xml:space="preserve">de Norteamérica </w:t>
      </w:r>
      <w:r w:rsidRPr="00080407">
        <w:rPr>
          <w:rFonts w:eastAsia="Calibri"/>
          <w:sz w:val="26"/>
          <w:szCs w:val="26"/>
          <w:lang w:eastAsia="en-US"/>
        </w:rPr>
        <w:t>y de las divergencias en las políticas monetarias de las economías avanzadas, y el consiguiente riesgo de una mayor volatilidad de los tipos de cambio y los flujos de capital. También nos preocupan la incertidumbre que persiste en torno a la situación de Grecia y sus eventuales derivaciones. Se requerirán esfuerzos colectivos de coordinación internacional y acción concertada para estimular la demanda y revitalizar la confianza de las empresas, a fin de mejorar las perspectivas para los años futuros. En el contexto de vientos económicos en contra, los países del G24 se comprometen a perseverar en sus esfuerzos para adoptar políticas macroeconómicas y estructurales sólidas que respalden un crecimiento económico más vigoroso y más inclusivo.</w:t>
      </w:r>
    </w:p>
    <w:p w14:paraId="63A23037"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La caída de los precios del petróleo ha tenido un impacto en general positivo en la economía mundial. Además del efecto ingreso producido por el descenso de precios, se ha ampliado el margen de maniobra fiscal en los países importadores de petróleo. En cambio, los exportadores de petróleo y materias primas se enfrentan al desafío de gestionar la situación de sus finanzas públicas y reforzar su capacidad de resistencia a shocks de precios del petróleo, entre otras formas diversificando sus exportaciones. Celebramos las oportunas medidas adoptadas para reformar los subsidios y los impuestos sobre la energía. El reciente acuerdo </w:t>
      </w:r>
      <w:r w:rsidRPr="00080407">
        <w:rPr>
          <w:rFonts w:eastAsia="Calibri"/>
          <w:sz w:val="26"/>
          <w:szCs w:val="26"/>
          <w:lang w:eastAsia="en-US"/>
        </w:rPr>
        <w:lastRenderedPageBreak/>
        <w:t>marco entre Irán y los países del P5+1 probablemente tenga a largo plazo un efecto estabilizador sobre los mercados petroleros.</w:t>
      </w:r>
    </w:p>
    <w:p w14:paraId="6020948E" w14:textId="602CF926"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Los esfuerzos internos para reforzar la capacidad de resistencia a los shocks externos siguen siendo esenciales, y deben complementarse con un apoyo financiero adecuado, en especial del FMI y otras </w:t>
      </w:r>
      <w:r w:rsidR="00BD39EC">
        <w:rPr>
          <w:rFonts w:eastAsia="Calibri"/>
          <w:sz w:val="26"/>
          <w:szCs w:val="26"/>
          <w:lang w:eastAsia="en-US"/>
        </w:rPr>
        <w:t>I</w:t>
      </w:r>
      <w:r w:rsidRPr="00080407">
        <w:rPr>
          <w:rFonts w:eastAsia="Calibri"/>
          <w:sz w:val="26"/>
          <w:szCs w:val="26"/>
          <w:lang w:eastAsia="en-US"/>
        </w:rPr>
        <w:t xml:space="preserve">nstituciones </w:t>
      </w:r>
      <w:r w:rsidR="00BD39EC">
        <w:rPr>
          <w:rFonts w:eastAsia="Calibri"/>
          <w:sz w:val="26"/>
          <w:szCs w:val="26"/>
          <w:lang w:eastAsia="en-US"/>
        </w:rPr>
        <w:t>F</w:t>
      </w:r>
      <w:r w:rsidRPr="00080407">
        <w:rPr>
          <w:rFonts w:eastAsia="Calibri"/>
          <w:sz w:val="26"/>
          <w:szCs w:val="26"/>
          <w:lang w:eastAsia="en-US"/>
        </w:rPr>
        <w:t xml:space="preserve">inancieras </w:t>
      </w:r>
      <w:r w:rsidR="00BD39EC">
        <w:rPr>
          <w:rFonts w:eastAsia="Calibri"/>
          <w:sz w:val="26"/>
          <w:szCs w:val="26"/>
          <w:lang w:eastAsia="en-US"/>
        </w:rPr>
        <w:t>I</w:t>
      </w:r>
      <w:r w:rsidRPr="00080407">
        <w:rPr>
          <w:rFonts w:eastAsia="Calibri"/>
          <w:sz w:val="26"/>
          <w:szCs w:val="26"/>
          <w:lang w:eastAsia="en-US"/>
        </w:rPr>
        <w:t>nternacionales (IFI). En este contexto, esperamos con interés el avance de los trabajos en el FMI para fortalecer sus instrumentos de crédito, entre otros objetivos a fin de proteger los recursos de la institución, asimilando las enseñanzas de los casos recientes de reestructuración. También celebramos el avance logrado en la aplicación del Acuerdo de Reservas de Contingencia del grupo BRICS. Respaldamos la continuación de las reformas mundiales para fortalecer la regulación financiera, pero instamos a vigilar de cerca la posibilidad de consecuencias no deseadas, en especial en lo que respecta a la disponibilidad de financiamiento a largo plazo y a la inclusión y profundización financieras.</w:t>
      </w:r>
    </w:p>
    <w:p w14:paraId="5CEFFEF9"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Nos preocupan la agudización de las tensiones geopolíticas y los problemas de seguridad, en particular en Oriente Medio, Ucrania y África occidental, que tienen repercusiones de alcance regional y mundial. Algunos países, como Líbano, Chad, Jordania y Níger, se han visto afectados de manera desproporcionada, entre otras formas a través del impacto económico y social de una afluencia masiva de refugiados, lo cual hace necesario el respaldo continuo de la comunidad internacional. Respaldamos los esfuerzos diplomáticos encaminados a resolver las tensiones regionales, dado que la estabilidad política en estas regiones mejoraría las perspectivas de crecimiento.</w:t>
      </w:r>
    </w:p>
    <w:p w14:paraId="7E158C2A" w14:textId="77777777" w:rsidR="00080407" w:rsidRDefault="00080407" w:rsidP="003518F4">
      <w:pPr>
        <w:numPr>
          <w:ilvl w:val="0"/>
          <w:numId w:val="140"/>
        </w:numPr>
        <w:spacing w:after="360" w:line="360" w:lineRule="auto"/>
        <w:ind w:right="-159"/>
        <w:contextualSpacing/>
        <w:jc w:val="both"/>
        <w:rPr>
          <w:rFonts w:eastAsia="Calibri"/>
          <w:sz w:val="26"/>
          <w:szCs w:val="26"/>
          <w:lang w:eastAsia="en-US"/>
        </w:rPr>
      </w:pPr>
      <w:r w:rsidRPr="00080407">
        <w:rPr>
          <w:rFonts w:eastAsia="Calibri"/>
          <w:sz w:val="26"/>
          <w:szCs w:val="26"/>
          <w:lang w:eastAsia="en-US"/>
        </w:rPr>
        <w:t xml:space="preserve">Celebramos los esfuerzos continuos desplegados por los organismos internacionales para ayudar a los países afectados por la epidemia de ébola y establecer mecanismos que mejoren la capacidad de prevención y respuesta a </w:t>
      </w:r>
      <w:r w:rsidRPr="00080407">
        <w:rPr>
          <w:rFonts w:eastAsia="Calibri"/>
          <w:sz w:val="26"/>
          <w:szCs w:val="26"/>
          <w:lang w:eastAsia="en-US"/>
        </w:rPr>
        <w:lastRenderedPageBreak/>
        <w:t xml:space="preserve">futuras epidemias y catástrofes mundiales. En particular, celebramos la creación del Fondo Fiduciario para Alivio y Contención de Catástrofes por parte del Fondo Monetario Internacional (FMI), y esperamos con interés el avance de los trabajos del Grupo Banco Mundial para establecer el Mecanismo de Emergencia para Casos de Pandemia. </w:t>
      </w:r>
    </w:p>
    <w:p w14:paraId="5FD704BD" w14:textId="77777777" w:rsidR="00A65144" w:rsidRPr="00080407" w:rsidRDefault="00A65144" w:rsidP="00A65144">
      <w:pPr>
        <w:spacing w:after="360" w:line="360" w:lineRule="auto"/>
        <w:ind w:left="720" w:right="-159"/>
        <w:contextualSpacing/>
        <w:jc w:val="both"/>
        <w:rPr>
          <w:rFonts w:eastAsia="Calibri"/>
          <w:sz w:val="26"/>
          <w:szCs w:val="26"/>
          <w:lang w:eastAsia="en-US"/>
        </w:rPr>
      </w:pPr>
    </w:p>
    <w:p w14:paraId="1BAF352D"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Nos siguen preocupando las persistentes dificultades con que se ven confrontados los países frágiles y afectados por conflictos. Esperamos con interés el próximo examen del FMI sobre su interacción con estos países e instamos a adoptar nuevas directrices al respecto. Solicitamos que las IFI presten mayor atención y respaldo a los países frágiles, entre otras formas mediante niveles más altos de acceso al financiamiento concesionario. </w:t>
      </w:r>
    </w:p>
    <w:p w14:paraId="2B97B406" w14:textId="77777777" w:rsidR="00080407" w:rsidRPr="00080407" w:rsidRDefault="00080407" w:rsidP="000A364F">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Celebramos el debate en torno a los problemas macroeconómicos de los Estados pequeños en desarrollo, y alentamos a aprovechar la oportunidad para intensificar la interacción de las IFI con estos países. Solicitamos un mayor respaldo de las IFI a los Estados pequeños en desarrollo, entre otras formas mediante la ampliación de su acceso al financiamiento concesionario.</w:t>
      </w:r>
    </w:p>
    <w:p w14:paraId="75E21841" w14:textId="77777777" w:rsidR="00080407" w:rsidRPr="00080407" w:rsidRDefault="00080407" w:rsidP="00080407">
      <w:pPr>
        <w:spacing w:after="360" w:line="360" w:lineRule="auto"/>
        <w:ind w:right="-159"/>
        <w:jc w:val="both"/>
        <w:rPr>
          <w:rFonts w:eastAsia="Calibri"/>
          <w:b/>
          <w:sz w:val="26"/>
          <w:szCs w:val="26"/>
          <w:lang w:eastAsia="en-US"/>
        </w:rPr>
      </w:pPr>
      <w:r w:rsidRPr="00080407">
        <w:rPr>
          <w:rFonts w:eastAsia="Calibri"/>
          <w:b/>
          <w:sz w:val="26"/>
          <w:szCs w:val="26"/>
          <w:lang w:eastAsia="en-US"/>
        </w:rPr>
        <w:t>Financiamiento para el desarrollo</w:t>
      </w:r>
    </w:p>
    <w:p w14:paraId="7DC959CA" w14:textId="66E128A2"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El año 2015 es decisivo en lo que respecta a la acción en materia de desarrollo y cambio climático, y es el año en que se cumple el plazo fijado para alcanzar los Objetivos de Desarrollo del Milenio. Esperamos con interés la Tercera Conferencia Internacional sobre la Financiación para el Desarrollo, el lanzamiento del programa de desarrollo para después de 2015, incluidos los Objetivos de Desarrollo Sostenible (ODS) y la Conferencia de las Naciones Unidas sobre Cambio Climático (COP21). Esperamos con interés el establecimiento de un marco de financiamiento creíble para los ODS. A fin de </w:t>
      </w:r>
      <w:r w:rsidRPr="00080407">
        <w:rPr>
          <w:rFonts w:eastAsia="Calibri"/>
          <w:sz w:val="26"/>
          <w:szCs w:val="26"/>
          <w:lang w:eastAsia="en-US"/>
        </w:rPr>
        <w:lastRenderedPageBreak/>
        <w:t xml:space="preserve">alcanzar los ODS será necesario que cada país tome medidas, pero también será esencial actuar a escala mundial para respaldar dichas medidas y abordar los desafíos de carácter colectivo. Celebramos el interés y la colaboración del Grupo Banco Mundial, el FMI y otros </w:t>
      </w:r>
      <w:r w:rsidR="00BD39EC">
        <w:rPr>
          <w:rFonts w:eastAsia="Calibri"/>
          <w:sz w:val="26"/>
          <w:szCs w:val="26"/>
          <w:lang w:eastAsia="en-US"/>
        </w:rPr>
        <w:t>B</w:t>
      </w:r>
      <w:r w:rsidRPr="00080407">
        <w:rPr>
          <w:rFonts w:eastAsia="Calibri"/>
          <w:sz w:val="26"/>
          <w:szCs w:val="26"/>
          <w:lang w:eastAsia="en-US"/>
        </w:rPr>
        <w:t xml:space="preserve">ancos </w:t>
      </w:r>
      <w:r w:rsidR="00BD39EC">
        <w:rPr>
          <w:rFonts w:eastAsia="Calibri"/>
          <w:sz w:val="26"/>
          <w:szCs w:val="26"/>
          <w:lang w:eastAsia="en-US"/>
        </w:rPr>
        <w:t>M</w:t>
      </w:r>
      <w:r w:rsidRPr="00080407">
        <w:rPr>
          <w:rFonts w:eastAsia="Calibri"/>
          <w:sz w:val="26"/>
          <w:szCs w:val="26"/>
          <w:lang w:eastAsia="en-US"/>
        </w:rPr>
        <w:t xml:space="preserve">ultilaterales de </w:t>
      </w:r>
      <w:r w:rsidR="00BD39EC">
        <w:rPr>
          <w:rFonts w:eastAsia="Calibri"/>
          <w:sz w:val="26"/>
          <w:szCs w:val="26"/>
          <w:lang w:eastAsia="en-US"/>
        </w:rPr>
        <w:t>D</w:t>
      </w:r>
      <w:r w:rsidRPr="00080407">
        <w:rPr>
          <w:rFonts w:eastAsia="Calibri"/>
          <w:sz w:val="26"/>
          <w:szCs w:val="26"/>
          <w:lang w:eastAsia="en-US"/>
        </w:rPr>
        <w:t>esarrollo (BMD) en lo que respecta a la Tercera Conferencia sobre la Financiación para el Desarrollo, en el contexto de sus respectivos mandatos y campos de especialización. Asimismo, respaldamos una revisión del papel, escala y eficacia de los BMD existentes, a fin de determinar cómo pueden dar un mayor apoyo en la implementación de los ODS.</w:t>
      </w:r>
    </w:p>
    <w:p w14:paraId="3086950B"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Tomamos nota del “Borrador Cero del Documento sobre Resultados de la Tercera Conferencia Internacional sobre la Financiación para el Desarrollo”, en el que se asigna importancia a la movilización de diversas fuentes de financiamiento público y privado para el desarrollo, lo cual constituye un buen punto de partida. Apoyamos el énfasis que pone, entre otros aspectos, en la inversión en recursos humanos y en infraestructura sostenible, que propiciará la transformación de nuestros países si alcanza la escala adecuada. Hacemos hincapié en que, para que el marco del financiamiento para el desarrollo sea sólido, debe estar sustentado en esfuerzos concertados en pos de un crecimiento sostenido e inclusivo que genere empleo, reduzca la pobreza y aborde el problema de la desigualdad.</w:t>
      </w:r>
    </w:p>
    <w:p w14:paraId="361087CF"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Subrayamos que la movilización de recursos internos es una fuente importante de financiamiento para el desarrollo. Existe margen para generar mayores ingresos tributarios, así como para mejorar la eficiencia del gasto público y desarrollar mercados de capitales internos, de manera de promover el crecimiento y la equidad. Instamos a una mayor cooperación mundial para combatir las prácticas tributarias perjudiciales que erosionan la base de recursos internos en los países en desarrollo. Destacamos las iniciativas del G20 y la </w:t>
      </w:r>
      <w:r w:rsidRPr="00080407">
        <w:rPr>
          <w:rFonts w:eastAsia="Calibri"/>
          <w:sz w:val="26"/>
          <w:szCs w:val="26"/>
          <w:lang w:eastAsia="en-US"/>
        </w:rPr>
        <w:lastRenderedPageBreak/>
        <w:t>OCDE sobre la erosión de la base imponible y el traslado de beneficios y sobre el intercambio automático de información (BEPS y AEoI, respectivamente, por sus siglas en inglés). Celebramos los esfuerzos continuados para lograr que los países en desarrollo participen en el proceso de adopción e implementación de las iniciativas BEPS y AEoI, de manera significativa y en pie de igualdad, teniendo en cuenta al mismo tiempo los diferentes niveles de capacidad y preparación de los distintos países. También celebramos las recomendaciones del Panel de Alto Nivel sobre Flujos Financieros Ilícitos procedentes de África, que ponen de relieve el impacto negativo de la salida de capitales derivada de prácticas transfronterizas lícitas pero perjudiciales, así como la salida ilícita de capitales vinculada a la corrupción y a actividades delictivas. Solicitamos que la comunidad internacional adopte enérgicas medidas de respaldo y se comprometa a ayudar a los países a frenar estos flujos de capitales, así como a facilitar la recuperación de activos y la repatriación de los fondos a sus países de origen.</w:t>
      </w:r>
    </w:p>
    <w:p w14:paraId="3336EE9C" w14:textId="0BC3B07A"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Los flujos de </w:t>
      </w:r>
      <w:r w:rsidR="00BD39EC">
        <w:rPr>
          <w:rFonts w:eastAsia="Calibri"/>
          <w:sz w:val="26"/>
          <w:szCs w:val="26"/>
          <w:lang w:eastAsia="en-US"/>
        </w:rPr>
        <w:t>A</w:t>
      </w:r>
      <w:r w:rsidRPr="00080407">
        <w:rPr>
          <w:rFonts w:eastAsia="Calibri"/>
          <w:sz w:val="26"/>
          <w:szCs w:val="26"/>
          <w:lang w:eastAsia="en-US"/>
        </w:rPr>
        <w:t xml:space="preserve">sistencia </w:t>
      </w:r>
      <w:r w:rsidR="00BD39EC">
        <w:rPr>
          <w:rFonts w:eastAsia="Calibri"/>
          <w:sz w:val="26"/>
          <w:szCs w:val="26"/>
          <w:lang w:eastAsia="en-US"/>
        </w:rPr>
        <w:t>O</w:t>
      </w:r>
      <w:r w:rsidRPr="00080407">
        <w:rPr>
          <w:rFonts w:eastAsia="Calibri"/>
          <w:sz w:val="26"/>
          <w:szCs w:val="26"/>
          <w:lang w:eastAsia="en-US"/>
        </w:rPr>
        <w:t xml:space="preserve">ficial para el </w:t>
      </w:r>
      <w:r w:rsidR="00BD39EC">
        <w:rPr>
          <w:rFonts w:eastAsia="Calibri"/>
          <w:sz w:val="26"/>
          <w:szCs w:val="26"/>
          <w:lang w:eastAsia="en-US"/>
        </w:rPr>
        <w:t>D</w:t>
      </w:r>
      <w:r w:rsidRPr="00080407">
        <w:rPr>
          <w:rFonts w:eastAsia="Calibri"/>
          <w:sz w:val="26"/>
          <w:szCs w:val="26"/>
          <w:lang w:eastAsia="en-US"/>
        </w:rPr>
        <w:t>esarrollo (AOD) siguen siendo una fuente esencial de financiamiento para el desarrollo y cumplen una eficaz función catalizadora de la inversión privada. Instamos a las economías avanzadas a honrar sus compromisos de AOD y a todos los socios en el desarrollo a seguir proporcionando asistencia, destinando una mayor proporción a los países menos adelantados y reforzando las sinergias para maximizar el impacto de sus recursos. También es necesario explorar nuevas fuentes de financiamiento para el desarrollo.</w:t>
      </w:r>
    </w:p>
    <w:p w14:paraId="5D6CAB6A"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La mitigación del cambio climático y la adaptación a sus efectos están íntimamente relacionadas con los desafíos de desarrollo, crecimiento, reducción de la pobreza y sostenibilidad. Subrayamos que, en consonancia con los compromisos asumidos, es necesario que haya financiamiento suficiente, nuevo </w:t>
      </w:r>
      <w:r w:rsidRPr="00080407">
        <w:rPr>
          <w:rFonts w:eastAsia="Calibri"/>
          <w:sz w:val="26"/>
          <w:szCs w:val="26"/>
          <w:lang w:eastAsia="en-US"/>
        </w:rPr>
        <w:lastRenderedPageBreak/>
        <w:t>y complementario para ayudar a los países en desarrollo, en particular a los más vulnerables al cambio climático.</w:t>
      </w:r>
    </w:p>
    <w:p w14:paraId="2CF8EC0F"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 Destacamos la importancia vital de la inversión en infraestructura para lograr un mayor crecimiento. Subrayamos el papel central del sector público en el establecimiento de políticas regulatorias sólidas, la preparación de proyectos y la gestión de los pasivos contingentes. Es crucial potenciar el financiamiento privado para inversiones a largo plazo, incluida la inversión en infraestructura, para lo cual se requerirán enfoques eficaces e instrumentos innovadores. Es necesario que los BMD desempeñen un papel más relevante en apoyo de los esfuerzos de los gobiernos por incrementar sus inversiones en infraestructura. Esperamos con interés la plena implementación de los diversos mecanismos de financiamiento y de desarrollo de las capacidades en marcha en los BMD existentes, y la adopción de medidas ambiciosas para incrementar su financiamiento para infraestructura, movilizando al mismo tiempo el financiamiento del sector privado. A este respecto, también esperamos con interés el lanzamiento operativo del Nuevo Banco de Desarrollo y el establecimiento del Banco Asiático de Inversión en Infraestructura.</w:t>
      </w:r>
    </w:p>
    <w:p w14:paraId="6484BA2A"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Tomamos nota de la reforma reciente de la política del FMI sobre límites de endeudamiento, que reconoce que algunos países de bajo ingreso deben recurrir a los mercados financieros externos para paliar la insuficiencia de financiamiento concesionario y las limitaciones de sus recursos financieros internos. Solicitamos que esta política se aplique de manera flexible teniendo en cuenta las diferentes capacidades y necesidades de los países miembros, y preservando al mismo tiempo la imparcialidad. Hacemos hincapié en que el acceso al financiamiento externo, conjugado con una sólida gestión de la deuda y la utilización eficaz de los fondos obtenidos en préstamo, permitiría financiar inversiones productivas. Celebramos la prórroga por parte del FMI, hasta </w:t>
      </w:r>
      <w:r w:rsidRPr="00080407">
        <w:rPr>
          <w:rFonts w:eastAsia="Calibri"/>
          <w:sz w:val="26"/>
          <w:szCs w:val="26"/>
          <w:lang w:eastAsia="en-US"/>
        </w:rPr>
        <w:lastRenderedPageBreak/>
        <w:t>diciembre de 2016, de la exención temporal de las tasas de interés aplicables al Fondo Fiduciario para el Crecimiento y la Lucha contra la Pobreza.</w:t>
      </w:r>
    </w:p>
    <w:p w14:paraId="52E6B85F"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Reiteramos nuestra solicitud de que se revise y flexibilice con urgencia la política de la Asociación Internacional de Fomento (AIF) sobre préstamos no concesionarios para los países de bajo ingreso, teniendo en cuenta las cuantiosas necesidades de financiamiento de estos países y la evolución de las modalidades de financiamiento mundial. Llamamos a actuar con atención y cautela al considerar cualquier propuesta de movilización de los recursos de la AIF para incrementar la deuda de manera de proporcionar préstamos no concesionarios a los países, dado que esto modificaría de manera fundamental el carácter de la institución y reduciría la disponibilidad de fondos concesionarios a disposición de los países de bajo ingreso.</w:t>
      </w:r>
    </w:p>
    <w:p w14:paraId="783BE98D" w14:textId="77777777" w:rsidR="00080407" w:rsidRPr="00080407" w:rsidRDefault="00080407" w:rsidP="000A364F">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A los efectos de abordar incentivos para la conducta </w:t>
      </w:r>
      <w:r w:rsidRPr="00A65144">
        <w:rPr>
          <w:rFonts w:eastAsia="Calibri"/>
          <w:i/>
          <w:sz w:val="26"/>
          <w:szCs w:val="26"/>
          <w:lang w:eastAsia="en-US"/>
        </w:rPr>
        <w:t>holdout</w:t>
      </w:r>
      <w:r w:rsidRPr="00080407">
        <w:rPr>
          <w:rFonts w:eastAsia="Calibri"/>
          <w:sz w:val="26"/>
          <w:szCs w:val="26"/>
          <w:lang w:eastAsia="en-US"/>
        </w:rPr>
        <w:t xml:space="preserve"> que atenta seriamente contra los procesos de reestructuración de la deuda soberana, encomiamos los avances, dentro del contexto del FMI, para reforzar el Marco contractual de Emisión de Títulos de Deuda, en particular en lo que respecta a la reforma de las cláusulas pari passu y de acción colectiva. Asimismo reconocemos como positiva la creación del Comité Especial de Naciones Unidas sobre los Procesos de Reestructuración de la Deuda Soberana, que examinará esta cuestión en el curso de los próximos meses.</w:t>
      </w:r>
    </w:p>
    <w:p w14:paraId="2D7BCCA5" w14:textId="77777777" w:rsidR="00080407" w:rsidRPr="00080407" w:rsidRDefault="00080407" w:rsidP="00080407">
      <w:pPr>
        <w:spacing w:after="360" w:line="360" w:lineRule="auto"/>
        <w:ind w:right="-159"/>
        <w:jc w:val="both"/>
        <w:rPr>
          <w:rFonts w:eastAsia="Calibri"/>
          <w:b/>
          <w:sz w:val="26"/>
          <w:szCs w:val="26"/>
          <w:lang w:eastAsia="en-US"/>
        </w:rPr>
      </w:pPr>
      <w:r w:rsidRPr="00080407">
        <w:rPr>
          <w:rFonts w:eastAsia="Calibri"/>
          <w:b/>
          <w:sz w:val="26"/>
          <w:szCs w:val="26"/>
          <w:lang w:eastAsia="en-US"/>
        </w:rPr>
        <w:t>Reforma y gestión de las instituciones financieras internacionales</w:t>
      </w:r>
    </w:p>
    <w:p w14:paraId="0166AAB0" w14:textId="6B260C89"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Reiteramos nuestra profunda decepción por la falta de avance en la implementación de las reformas del régimen de cuotas y la estructura de gobierno del FMI acordadas en 2010, e instamos firmemente a Estados Unidos </w:t>
      </w:r>
      <w:r w:rsidR="00A65144">
        <w:rPr>
          <w:rFonts w:eastAsia="Calibri"/>
          <w:sz w:val="26"/>
          <w:szCs w:val="26"/>
          <w:lang w:eastAsia="en-US"/>
        </w:rPr>
        <w:t xml:space="preserve">de Norteamérica </w:t>
      </w:r>
      <w:r w:rsidRPr="00080407">
        <w:rPr>
          <w:rFonts w:eastAsia="Calibri"/>
          <w:sz w:val="26"/>
          <w:szCs w:val="26"/>
          <w:lang w:eastAsia="en-US"/>
        </w:rPr>
        <w:t xml:space="preserve">a proceder a su plena ratificación. Esto sigue representando un obstáculo a la credibilidad, legitimidad y eficacia del FMI y ha retrasado </w:t>
      </w:r>
      <w:r w:rsidRPr="00080407">
        <w:rPr>
          <w:rFonts w:eastAsia="Calibri"/>
          <w:sz w:val="26"/>
          <w:szCs w:val="26"/>
          <w:lang w:eastAsia="en-US"/>
        </w:rPr>
        <w:lastRenderedPageBreak/>
        <w:t>considerablemente los compromisos a futuro, en concreto, la determinación de una nueva fórmula para el cálculo de las cuotas y la Decimoquinta Revisión General de Cuotas. La aplicación de las reformas de 2010 sigue siendo nuestra prioridad fundamental. Sin embargo, consideramos que la decisión de disociar la reforma de las cuotas de la enmienda que modifica la composición del Directorio Ejecutivo, que es el componente de las reformas de 2010 que requiere la ratificación por parte del Congreso de Estados Unidos</w:t>
      </w:r>
      <w:r w:rsidR="00A65144">
        <w:rPr>
          <w:rFonts w:eastAsia="Calibri"/>
          <w:sz w:val="26"/>
          <w:szCs w:val="26"/>
          <w:lang w:eastAsia="en-US"/>
        </w:rPr>
        <w:t xml:space="preserve"> de Norteamérica</w:t>
      </w:r>
      <w:r w:rsidRPr="00080407">
        <w:rPr>
          <w:rFonts w:eastAsia="Calibri"/>
          <w:sz w:val="26"/>
          <w:szCs w:val="26"/>
          <w:lang w:eastAsia="en-US"/>
        </w:rPr>
        <w:t>, sería la solución provisional preferida, puesto que amplía los recursos del FMI a la vez que realinea las cuotas para que reflejen el mayor peso económico que han adquirido los países de mercados emergentes y en desarrollo. La opción alternativa, consistente en aumentos ad hoc provisionales, si está correctamente diseñada puede facilitar un avance significativo para modificar la representación según lo previsto en las reformas de 2010, aunque solo produciría un ligero aumento de los recursos del FMI provenientes de las cuotas. Es importante que cualquier medida provisional se conciba de manera tal que no reduzca los incentivos para completar la Decimocuarta Revisión General de Cuotas.</w:t>
      </w:r>
    </w:p>
    <w:p w14:paraId="5AAEE61F" w14:textId="640073BF"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Solicitamos se inicien sin más dilación las labores relacionadas con la Decimoquinta Revisión General de Cuotas del FMI, incluida la determinación de una nueva fórmula para el cálculo de las cuotas, a fin de que dicha revisión quede concluida para diciembre de 2015, de conformidad con lo dispuesto en el Convenio Constitutivo. Reiteramos el pedido que venimos realizando desde hace mucho tiempo de asignar un tercer representante a África </w:t>
      </w:r>
      <w:r w:rsidR="001611C8">
        <w:rPr>
          <w:rFonts w:eastAsia="Calibri"/>
          <w:sz w:val="26"/>
          <w:szCs w:val="26"/>
          <w:lang w:eastAsia="en-US"/>
        </w:rPr>
        <w:t>Subsahariana</w:t>
      </w:r>
      <w:r w:rsidRPr="00080407">
        <w:rPr>
          <w:rFonts w:eastAsia="Calibri"/>
          <w:sz w:val="26"/>
          <w:szCs w:val="26"/>
          <w:lang w:eastAsia="en-US"/>
        </w:rPr>
        <w:t xml:space="preserve"> en el Directorio Ejecutivo del FMI, siempre que no sea a expensas de la representación de otros países de mercados emergentes o en desarrollo.</w:t>
      </w:r>
    </w:p>
    <w:p w14:paraId="02BF1858"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 xml:space="preserve">Reiteramos nuestro compromiso de concluir el próximo examen de la participación accionaria del Banco Mundial a más tardar en octubre de 2015, tal como lo acordaron nuestros Gobernadores en 2010, y solicitamos que se </w:t>
      </w:r>
      <w:r w:rsidRPr="00080407">
        <w:rPr>
          <w:rFonts w:eastAsia="Calibri"/>
          <w:sz w:val="26"/>
          <w:szCs w:val="26"/>
          <w:lang w:eastAsia="en-US"/>
        </w:rPr>
        <w:lastRenderedPageBreak/>
        <w:t>establezca una hoja de ruta para la realización de este examen. Hacemos hincapié en que cualquier propuesta de realineación de la participación accionaria que se presente en el futuro debe aumentar significativamente el número de votos de los países en desarrollo y en transición y debe permitir avances hacia una distribución más equitativa del poder de voto, protegiendo al mismo tiempo el número de votos de los países pobres más pequeños.</w:t>
      </w:r>
    </w:p>
    <w:p w14:paraId="7815A82E"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Celebramos los avances logrados en la ejecución de la agenda de reformas del Grupo Banco Mundial, en especial en la definición de un nuevo modelo de interacción con los países. Solicitamos al Banco Mundial que siga consolidando su modelo de operaciones a fin de reforzar su relación con los clientes y alcanzar mejores resultados en materia de desarrollo. Celebramos las revisiones de las políticas de salvaguardias y adquisiciones que está realizando el Banco Mundial, con el fin de actualizar las políticas de protección ambiental y social y de reemplazar la política de adquisiciones genérica con una política adaptada a objetivos específicos. Asimismo, consideramos positivo que se prevea ampliar el uso de los sistemas nacionales y aguardamos con interés que se revisen las políticas para reconocer la diversidad entre los países y promover el fortalecimiento de las capacidades. En el futuro, instamos al Banco Mundial a que siga tomando en cuenta las opiniones de los países en desarrollo y a asegurarse de que los nuevos marcos y su aplicación contribuyan a lograr mayor eficiencia en las operaciones y mejores resultados en materia de desarrollo, sin imponer una carga excesiva a los prestatarios.</w:t>
      </w:r>
    </w:p>
    <w:p w14:paraId="71E1E01A" w14:textId="77777777" w:rsidR="00080407" w:rsidRPr="00080407" w:rsidRDefault="00080407" w:rsidP="003518F4">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Seguimos considerando que el financiamiento de las IFI, en particular el Grupo Banco Mundial, debe basarse exclusivamente en las condiciones económicas de los países, con prescindencia de consideraciones políticas.</w:t>
      </w:r>
    </w:p>
    <w:p w14:paraId="015F2BE0" w14:textId="77777777" w:rsidR="00080407" w:rsidRPr="00080407" w:rsidRDefault="00080407" w:rsidP="000A364F">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lastRenderedPageBreak/>
        <w:t>Solicitamos que se realicen esfuerzos concretos para aumentar la representación de ciudadanos provenientes de regiones y países subrepresentados por medio de la contratación, el avance profesional y los ascensos, a fin de lograr una representación equilibrada en el Grupo Banco Mundial y el FMI. A tal fin, reiteramos la importancia de la diversidad del personal y del equilibrio de género en todos los niveles, incluida la diversidad de instituciones educativas.</w:t>
      </w:r>
    </w:p>
    <w:p w14:paraId="3B22EF8A" w14:textId="77777777" w:rsidR="00080407" w:rsidRPr="00080407" w:rsidRDefault="00080407" w:rsidP="00080407">
      <w:pPr>
        <w:spacing w:after="360" w:line="360" w:lineRule="auto"/>
        <w:ind w:right="-159"/>
        <w:jc w:val="both"/>
        <w:rPr>
          <w:rFonts w:eastAsia="Calibri"/>
          <w:b/>
          <w:sz w:val="26"/>
          <w:szCs w:val="26"/>
          <w:lang w:eastAsia="en-US"/>
        </w:rPr>
      </w:pPr>
      <w:r w:rsidRPr="00080407">
        <w:rPr>
          <w:rFonts w:eastAsia="Calibri"/>
          <w:b/>
          <w:sz w:val="26"/>
          <w:szCs w:val="26"/>
          <w:lang w:eastAsia="en-US"/>
        </w:rPr>
        <w:t>Otros asuntos</w:t>
      </w:r>
    </w:p>
    <w:p w14:paraId="464C5FB2" w14:textId="77777777" w:rsidR="00080407" w:rsidRPr="00080407" w:rsidRDefault="00080407" w:rsidP="000A364F">
      <w:pPr>
        <w:numPr>
          <w:ilvl w:val="0"/>
          <w:numId w:val="140"/>
        </w:numPr>
        <w:spacing w:after="360" w:line="360" w:lineRule="auto"/>
        <w:ind w:left="714" w:right="-159" w:hanging="357"/>
        <w:jc w:val="both"/>
        <w:rPr>
          <w:rFonts w:eastAsia="Calibri"/>
          <w:sz w:val="26"/>
          <w:szCs w:val="26"/>
          <w:lang w:eastAsia="en-US"/>
        </w:rPr>
      </w:pPr>
      <w:r w:rsidRPr="00080407">
        <w:rPr>
          <w:rFonts w:eastAsia="Calibri"/>
          <w:sz w:val="26"/>
          <w:szCs w:val="26"/>
          <w:lang w:eastAsia="en-US"/>
        </w:rPr>
        <w:t>La próxima reunión de los Ministros del G-24 está prevista para el 8 de octubre de 2015 en Lima, Perú.</w:t>
      </w:r>
    </w:p>
    <w:p w14:paraId="7AFFF771" w14:textId="77777777" w:rsidR="00080407" w:rsidRPr="00080407" w:rsidRDefault="00080407" w:rsidP="00080407">
      <w:pPr>
        <w:ind w:right="-159"/>
        <w:jc w:val="both"/>
        <w:rPr>
          <w:rFonts w:eastAsia="Calibri"/>
          <w:b/>
          <w:sz w:val="20"/>
          <w:szCs w:val="20"/>
          <w:lang w:eastAsia="en-US"/>
        </w:rPr>
      </w:pPr>
      <w:r w:rsidRPr="00080407">
        <w:rPr>
          <w:rFonts w:eastAsia="Calibri"/>
          <w:b/>
          <w:sz w:val="20"/>
          <w:szCs w:val="20"/>
          <w:lang w:eastAsia="en-US"/>
        </w:rPr>
        <w:t>Fuente de información:</w:t>
      </w:r>
    </w:p>
    <w:p w14:paraId="48C4AAB4" w14:textId="77777777" w:rsidR="00080407" w:rsidRPr="00A65144" w:rsidRDefault="0045651A" w:rsidP="00A65144">
      <w:pPr>
        <w:spacing w:after="720"/>
        <w:ind w:right="-159"/>
        <w:jc w:val="both"/>
        <w:rPr>
          <w:rFonts w:eastAsia="Calibri"/>
          <w:color w:val="0000FF"/>
          <w:sz w:val="20"/>
          <w:szCs w:val="20"/>
          <w:lang w:eastAsia="en-US"/>
        </w:rPr>
      </w:pPr>
      <w:hyperlink r:id="rId430" w:history="1">
        <w:r w:rsidR="00080407" w:rsidRPr="00A65144">
          <w:rPr>
            <w:rFonts w:eastAsia="Calibri"/>
            <w:color w:val="0000FF"/>
            <w:sz w:val="20"/>
            <w:szCs w:val="20"/>
            <w:u w:val="single"/>
            <w:lang w:eastAsia="en-US"/>
          </w:rPr>
          <w:t>http://www.imf.org/external/spanish/np/cm/2015/041615s.htm</w:t>
        </w:r>
      </w:hyperlink>
    </w:p>
    <w:p w14:paraId="1B163B67" w14:textId="20E2018D" w:rsidR="00B26EC9" w:rsidRPr="000E3A45" w:rsidRDefault="000B0616" w:rsidP="00B26EC9">
      <w:pPr>
        <w:tabs>
          <w:tab w:val="left" w:pos="9072"/>
        </w:tabs>
        <w:spacing w:after="360" w:line="360" w:lineRule="auto"/>
        <w:ind w:right="-159"/>
        <w:jc w:val="both"/>
        <w:rPr>
          <w:b/>
          <w:sz w:val="26"/>
          <w:szCs w:val="26"/>
          <w:lang w:val="es-ES"/>
        </w:rPr>
      </w:pPr>
      <w:r>
        <w:rPr>
          <w:b/>
          <w:sz w:val="26"/>
          <w:szCs w:val="26"/>
          <w:lang w:val="es-ES"/>
        </w:rPr>
        <w:t>R</w:t>
      </w:r>
      <w:r w:rsidR="00B26EC9" w:rsidRPr="000E3A45">
        <w:rPr>
          <w:b/>
          <w:sz w:val="26"/>
          <w:szCs w:val="26"/>
          <w:lang w:val="es-ES"/>
        </w:rPr>
        <w:t>eserva internacional (Banxico)</w:t>
      </w:r>
    </w:p>
    <w:p w14:paraId="3EF19BA3" w14:textId="2DC64C4F" w:rsidR="00B26EC9" w:rsidRPr="000E3A45" w:rsidRDefault="00B26EC9" w:rsidP="00B26EC9">
      <w:pPr>
        <w:tabs>
          <w:tab w:val="left" w:pos="9072"/>
        </w:tabs>
        <w:spacing w:after="360" w:line="360" w:lineRule="auto"/>
        <w:ind w:right="-159"/>
        <w:jc w:val="both"/>
        <w:rPr>
          <w:sz w:val="26"/>
          <w:szCs w:val="20"/>
          <w:lang w:val="es-ES"/>
        </w:rPr>
      </w:pPr>
      <w:r w:rsidRPr="000E3A45">
        <w:rPr>
          <w:sz w:val="26"/>
          <w:szCs w:val="20"/>
        </w:rPr>
        <w:t xml:space="preserve">El </w:t>
      </w:r>
      <w:r w:rsidR="008B3DA6">
        <w:rPr>
          <w:sz w:val="26"/>
          <w:szCs w:val="20"/>
        </w:rPr>
        <w:t>2</w:t>
      </w:r>
      <w:r w:rsidR="00D445C9">
        <w:rPr>
          <w:sz w:val="26"/>
          <w:szCs w:val="20"/>
        </w:rPr>
        <w:t>1</w:t>
      </w:r>
      <w:r w:rsidRPr="000E3A45">
        <w:rPr>
          <w:sz w:val="26"/>
          <w:szCs w:val="20"/>
        </w:rPr>
        <w:t xml:space="preserve"> de </w:t>
      </w:r>
      <w:r w:rsidR="00F73247">
        <w:rPr>
          <w:sz w:val="26"/>
          <w:szCs w:val="20"/>
        </w:rPr>
        <w:t>a</w:t>
      </w:r>
      <w:r w:rsidR="008B3DA6">
        <w:rPr>
          <w:sz w:val="26"/>
          <w:szCs w:val="20"/>
        </w:rPr>
        <w:t>bril</w:t>
      </w:r>
      <w:r w:rsidRPr="000E3A45">
        <w:rPr>
          <w:sz w:val="26"/>
          <w:szCs w:val="20"/>
        </w:rPr>
        <w:t xml:space="preserve"> de 201</w:t>
      </w:r>
      <w:r w:rsidR="00ED39CD">
        <w:rPr>
          <w:sz w:val="26"/>
          <w:szCs w:val="20"/>
        </w:rPr>
        <w:t>5</w:t>
      </w:r>
      <w:r w:rsidRPr="000E3A45">
        <w:rPr>
          <w:sz w:val="26"/>
          <w:szCs w:val="20"/>
        </w:rPr>
        <w:t>, el Banco de México (Banxico) publicó en su “</w:t>
      </w:r>
      <w:r w:rsidRPr="000E3A45">
        <w:rPr>
          <w:sz w:val="26"/>
          <w:szCs w:val="20"/>
          <w:lang w:val="es-ES"/>
        </w:rPr>
        <w:t>Boletín Semanal sobre el Estado de Cuenta”</w:t>
      </w:r>
      <w:r w:rsidRPr="000E3A45">
        <w:rPr>
          <w:sz w:val="26"/>
          <w:szCs w:val="20"/>
        </w:rPr>
        <w:t xml:space="preserve">, que el saldo de la reserva </w:t>
      </w:r>
      <w:r w:rsidRPr="000E3A45">
        <w:rPr>
          <w:sz w:val="26"/>
          <w:szCs w:val="20"/>
          <w:lang w:val="es-ES"/>
        </w:rPr>
        <w:t xml:space="preserve">internacional </w:t>
      </w:r>
      <w:r w:rsidRPr="000E3A45">
        <w:rPr>
          <w:sz w:val="26"/>
          <w:szCs w:val="20"/>
        </w:rPr>
        <w:t>al 1</w:t>
      </w:r>
      <w:r w:rsidR="008B3DA6">
        <w:rPr>
          <w:sz w:val="26"/>
          <w:szCs w:val="20"/>
        </w:rPr>
        <w:t>7</w:t>
      </w:r>
      <w:r w:rsidRPr="000E3A45">
        <w:rPr>
          <w:sz w:val="26"/>
          <w:szCs w:val="20"/>
        </w:rPr>
        <w:t xml:space="preserve"> de </w:t>
      </w:r>
      <w:r w:rsidR="00F73247">
        <w:rPr>
          <w:sz w:val="26"/>
          <w:szCs w:val="20"/>
        </w:rPr>
        <w:t>a</w:t>
      </w:r>
      <w:r w:rsidR="008B3DA6">
        <w:rPr>
          <w:sz w:val="26"/>
          <w:szCs w:val="20"/>
        </w:rPr>
        <w:t>b</w:t>
      </w:r>
      <w:r w:rsidR="00F73247">
        <w:rPr>
          <w:sz w:val="26"/>
          <w:szCs w:val="20"/>
        </w:rPr>
        <w:t>r</w:t>
      </w:r>
      <w:r w:rsidR="008B3DA6">
        <w:rPr>
          <w:sz w:val="26"/>
          <w:szCs w:val="20"/>
        </w:rPr>
        <w:t>il</w:t>
      </w:r>
      <w:r w:rsidR="002F6284">
        <w:rPr>
          <w:sz w:val="26"/>
          <w:szCs w:val="20"/>
        </w:rPr>
        <w:t xml:space="preserve"> </w:t>
      </w:r>
      <w:r w:rsidRPr="000E3A45">
        <w:rPr>
          <w:sz w:val="26"/>
          <w:szCs w:val="20"/>
        </w:rPr>
        <w:t>de 201</w:t>
      </w:r>
      <w:r w:rsidR="002F6284">
        <w:rPr>
          <w:sz w:val="26"/>
          <w:szCs w:val="20"/>
        </w:rPr>
        <w:t>5</w:t>
      </w:r>
      <w:r w:rsidRPr="000E3A45">
        <w:rPr>
          <w:sz w:val="26"/>
          <w:szCs w:val="20"/>
        </w:rPr>
        <w:t xml:space="preserve"> fue de 1</w:t>
      </w:r>
      <w:r w:rsidR="00E83CD9" w:rsidRPr="000E3A45">
        <w:rPr>
          <w:sz w:val="26"/>
          <w:szCs w:val="20"/>
        </w:rPr>
        <w:t>9</w:t>
      </w:r>
      <w:r w:rsidR="00D445C9">
        <w:rPr>
          <w:sz w:val="26"/>
          <w:szCs w:val="20"/>
        </w:rPr>
        <w:t>5</w:t>
      </w:r>
      <w:r w:rsidRPr="000E3A45">
        <w:rPr>
          <w:sz w:val="26"/>
          <w:szCs w:val="20"/>
          <w:lang w:val="es-ES"/>
        </w:rPr>
        <w:t xml:space="preserve"> mil </w:t>
      </w:r>
      <w:r w:rsidR="008B3DA6">
        <w:rPr>
          <w:sz w:val="26"/>
          <w:szCs w:val="20"/>
          <w:lang w:val="es-ES"/>
        </w:rPr>
        <w:t>910</w:t>
      </w:r>
      <w:r w:rsidRPr="000E3A45">
        <w:rPr>
          <w:sz w:val="26"/>
          <w:szCs w:val="20"/>
          <w:lang w:val="es-ES"/>
        </w:rPr>
        <w:t xml:space="preserve"> millones de dólares, lo que </w:t>
      </w:r>
      <w:r w:rsidR="002F6284">
        <w:rPr>
          <w:sz w:val="26"/>
          <w:szCs w:val="20"/>
          <w:lang w:val="es-ES"/>
        </w:rPr>
        <w:t>representó</w:t>
      </w:r>
      <w:r w:rsidRPr="000E3A45">
        <w:rPr>
          <w:sz w:val="26"/>
          <w:szCs w:val="20"/>
          <w:lang w:val="es-ES"/>
        </w:rPr>
        <w:t xml:space="preserve"> un</w:t>
      </w:r>
      <w:r w:rsidR="00E83CD9" w:rsidRPr="000E3A45">
        <w:rPr>
          <w:sz w:val="26"/>
          <w:szCs w:val="20"/>
          <w:lang w:val="es-ES"/>
        </w:rPr>
        <w:t xml:space="preserve"> </w:t>
      </w:r>
      <w:r w:rsidR="002F6284">
        <w:rPr>
          <w:sz w:val="26"/>
          <w:szCs w:val="20"/>
          <w:lang w:val="es-ES"/>
        </w:rPr>
        <w:t>aumento</w:t>
      </w:r>
      <w:r w:rsidRPr="000E3A45">
        <w:rPr>
          <w:sz w:val="26"/>
          <w:szCs w:val="20"/>
          <w:lang w:val="es-ES"/>
        </w:rPr>
        <w:t xml:space="preserve"> semanal de </w:t>
      </w:r>
      <w:r w:rsidR="008B3DA6">
        <w:rPr>
          <w:sz w:val="26"/>
          <w:szCs w:val="20"/>
          <w:lang w:val="es-ES"/>
        </w:rPr>
        <w:t>1 mil 83</w:t>
      </w:r>
      <w:r w:rsidRPr="000E3A45">
        <w:rPr>
          <w:sz w:val="26"/>
          <w:szCs w:val="20"/>
          <w:lang w:val="es-ES"/>
        </w:rPr>
        <w:t xml:space="preserve"> millones de dólares y un crecimiento acumulado, respecto al cierre de 201</w:t>
      </w:r>
      <w:r w:rsidR="002F6284">
        <w:rPr>
          <w:sz w:val="26"/>
          <w:szCs w:val="20"/>
          <w:lang w:val="es-ES"/>
        </w:rPr>
        <w:t>4</w:t>
      </w:r>
      <w:r w:rsidRPr="000E3A45">
        <w:rPr>
          <w:sz w:val="26"/>
          <w:szCs w:val="20"/>
          <w:lang w:val="es-ES"/>
        </w:rPr>
        <w:t xml:space="preserve">, de </w:t>
      </w:r>
      <w:r w:rsidR="002F6284">
        <w:rPr>
          <w:sz w:val="26"/>
          <w:szCs w:val="20"/>
          <w:lang w:val="es-ES"/>
        </w:rPr>
        <w:t>2</w:t>
      </w:r>
      <w:r w:rsidRPr="000E3A45">
        <w:rPr>
          <w:sz w:val="26"/>
          <w:szCs w:val="20"/>
          <w:lang w:val="es-ES"/>
        </w:rPr>
        <w:t xml:space="preserve"> </w:t>
      </w:r>
      <w:r w:rsidR="00D445C9">
        <w:rPr>
          <w:sz w:val="26"/>
          <w:szCs w:val="20"/>
          <w:lang w:val="es-ES"/>
        </w:rPr>
        <w:t xml:space="preserve">mil </w:t>
      </w:r>
      <w:r w:rsidR="00F73247">
        <w:rPr>
          <w:sz w:val="26"/>
          <w:szCs w:val="20"/>
          <w:lang w:val="es-ES"/>
        </w:rPr>
        <w:t>6</w:t>
      </w:r>
      <w:r w:rsidR="008B3DA6">
        <w:rPr>
          <w:sz w:val="26"/>
          <w:szCs w:val="20"/>
          <w:lang w:val="es-ES"/>
        </w:rPr>
        <w:t>71</w:t>
      </w:r>
      <w:r w:rsidR="00D445C9">
        <w:rPr>
          <w:sz w:val="26"/>
          <w:szCs w:val="20"/>
          <w:lang w:val="es-ES"/>
        </w:rPr>
        <w:t xml:space="preserve"> </w:t>
      </w:r>
      <w:r w:rsidRPr="000E3A45">
        <w:rPr>
          <w:sz w:val="26"/>
          <w:szCs w:val="20"/>
          <w:lang w:val="es-ES"/>
        </w:rPr>
        <w:t>millones de dólares (1</w:t>
      </w:r>
      <w:r w:rsidR="002F6284">
        <w:rPr>
          <w:sz w:val="26"/>
          <w:szCs w:val="20"/>
          <w:lang w:val="es-ES"/>
        </w:rPr>
        <w:t>93</w:t>
      </w:r>
      <w:r w:rsidRPr="000E3A45">
        <w:rPr>
          <w:sz w:val="26"/>
          <w:szCs w:val="20"/>
          <w:lang w:val="es-ES"/>
        </w:rPr>
        <w:t xml:space="preserve"> mil 2</w:t>
      </w:r>
      <w:r w:rsidR="002F6284">
        <w:rPr>
          <w:sz w:val="26"/>
          <w:szCs w:val="20"/>
          <w:lang w:val="es-ES"/>
        </w:rPr>
        <w:t>39</w:t>
      </w:r>
      <w:r w:rsidRPr="000E3A45">
        <w:rPr>
          <w:sz w:val="26"/>
          <w:szCs w:val="20"/>
          <w:lang w:val="es-ES"/>
        </w:rPr>
        <w:t xml:space="preserve"> millones de dólares).</w:t>
      </w:r>
    </w:p>
    <w:p w14:paraId="4BA69C0C" w14:textId="051ED72F" w:rsidR="00C90872" w:rsidRDefault="00B26EC9" w:rsidP="00B26EC9">
      <w:pPr>
        <w:tabs>
          <w:tab w:val="left" w:pos="9072"/>
        </w:tabs>
        <w:spacing w:after="360" w:line="360" w:lineRule="auto"/>
        <w:ind w:right="-159"/>
        <w:jc w:val="both"/>
        <w:rPr>
          <w:sz w:val="26"/>
          <w:lang w:val="es-ES"/>
        </w:rPr>
      </w:pPr>
      <w:r w:rsidRPr="000E3A45">
        <w:rPr>
          <w:sz w:val="26"/>
          <w:lang w:val="es-ES"/>
        </w:rPr>
        <w:t>La variación semanal en la reserva internacional de</w:t>
      </w:r>
      <w:r w:rsidR="00C90872" w:rsidRPr="000E3A45">
        <w:rPr>
          <w:sz w:val="26"/>
          <w:lang w:val="es-ES"/>
        </w:rPr>
        <w:t xml:space="preserve"> </w:t>
      </w:r>
      <w:r w:rsidR="008B3DA6">
        <w:rPr>
          <w:sz w:val="26"/>
          <w:lang w:val="es-ES"/>
        </w:rPr>
        <w:t>1 mil 83</w:t>
      </w:r>
      <w:r w:rsidRPr="000E3A45">
        <w:rPr>
          <w:sz w:val="26"/>
          <w:lang w:val="es-ES"/>
        </w:rPr>
        <w:t xml:space="preserve"> millones de dólares fue resultado principalmente de</w:t>
      </w:r>
      <w:r w:rsidR="00F73247">
        <w:rPr>
          <w:sz w:val="26"/>
          <w:lang w:val="es-ES"/>
        </w:rPr>
        <w:t>:</w:t>
      </w:r>
    </w:p>
    <w:p w14:paraId="71E65B95" w14:textId="5985A78E" w:rsidR="00F73247" w:rsidRPr="00F73247" w:rsidRDefault="00F73247" w:rsidP="005F5467">
      <w:pPr>
        <w:pStyle w:val="Prrafodelista"/>
        <w:numPr>
          <w:ilvl w:val="0"/>
          <w:numId w:val="15"/>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t xml:space="preserve">La venta de dólares del Gobierno Federal al Banco de México por </w:t>
      </w:r>
      <w:r w:rsidR="008B3DA6">
        <w:rPr>
          <w:rFonts w:ascii="Times New Roman" w:hAnsi="Times New Roman" w:cs="Times New Roman"/>
          <w:sz w:val="26"/>
          <w:lang w:val="es-ES"/>
        </w:rPr>
        <w:t>953</w:t>
      </w:r>
      <w:r w:rsidRPr="00F73247">
        <w:rPr>
          <w:rFonts w:ascii="Times New Roman" w:hAnsi="Times New Roman" w:cs="Times New Roman"/>
          <w:sz w:val="26"/>
          <w:lang w:val="es-ES"/>
        </w:rPr>
        <w:t xml:space="preserve"> millones de dól</w:t>
      </w:r>
      <w:r w:rsidR="00922A0D">
        <w:rPr>
          <w:rFonts w:ascii="Times New Roman" w:hAnsi="Times New Roman" w:cs="Times New Roman"/>
          <w:sz w:val="26"/>
          <w:lang w:val="es-ES"/>
        </w:rPr>
        <w:t>a</w:t>
      </w:r>
      <w:r w:rsidRPr="00F73247">
        <w:rPr>
          <w:rFonts w:ascii="Times New Roman" w:hAnsi="Times New Roman" w:cs="Times New Roman"/>
          <w:sz w:val="26"/>
          <w:lang w:val="es-ES"/>
        </w:rPr>
        <w:t>res.</w:t>
      </w:r>
    </w:p>
    <w:p w14:paraId="1A81B979" w14:textId="36EBC7C0" w:rsidR="00F73247" w:rsidRPr="00F73247" w:rsidRDefault="00F73247" w:rsidP="005F5467">
      <w:pPr>
        <w:pStyle w:val="Prrafodelista"/>
        <w:numPr>
          <w:ilvl w:val="0"/>
          <w:numId w:val="15"/>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lastRenderedPageBreak/>
        <w:t xml:space="preserve">Una reducción de </w:t>
      </w:r>
      <w:r w:rsidR="008B3DA6">
        <w:rPr>
          <w:rFonts w:ascii="Times New Roman" w:hAnsi="Times New Roman" w:cs="Times New Roman"/>
          <w:sz w:val="26"/>
          <w:lang w:val="es-ES"/>
        </w:rPr>
        <w:t>260</w:t>
      </w:r>
      <w:r w:rsidRPr="00F73247">
        <w:rPr>
          <w:rFonts w:ascii="Times New Roman" w:hAnsi="Times New Roman" w:cs="Times New Roman"/>
          <w:sz w:val="26"/>
          <w:lang w:val="es-ES"/>
        </w:rPr>
        <w:t xml:space="preserve"> millones de dó</w:t>
      </w:r>
      <w:r w:rsidR="00A65144">
        <w:rPr>
          <w:rFonts w:ascii="Times New Roman" w:hAnsi="Times New Roman" w:cs="Times New Roman"/>
          <w:sz w:val="26"/>
          <w:lang w:val="es-ES"/>
        </w:rPr>
        <w:t>la</w:t>
      </w:r>
      <w:r w:rsidRPr="00F73247">
        <w:rPr>
          <w:rFonts w:ascii="Times New Roman" w:hAnsi="Times New Roman" w:cs="Times New Roman"/>
          <w:sz w:val="26"/>
          <w:lang w:val="es-ES"/>
        </w:rPr>
        <w:t>res resultado de la asignación en las subastas diarias de dólares sin precio mínimo, conforme al mecanismo autorizado por la Comisión de Cambios</w:t>
      </w:r>
      <w:r w:rsidRPr="00F73247">
        <w:rPr>
          <w:rStyle w:val="Refdenotaalpie"/>
          <w:rFonts w:ascii="Times New Roman" w:hAnsi="Times New Roman" w:cs="Times New Roman"/>
          <w:sz w:val="26"/>
          <w:lang w:val="es-ES"/>
        </w:rPr>
        <w:footnoteReference w:id="81"/>
      </w:r>
      <w:r w:rsidRPr="00F73247">
        <w:rPr>
          <w:rFonts w:ascii="Times New Roman" w:hAnsi="Times New Roman" w:cs="Times New Roman"/>
          <w:sz w:val="26"/>
          <w:lang w:val="es-ES"/>
        </w:rPr>
        <w:t>.</w:t>
      </w:r>
    </w:p>
    <w:p w14:paraId="169E3DCA" w14:textId="44F85691" w:rsidR="00F73247" w:rsidRPr="00F73247" w:rsidRDefault="00F73247" w:rsidP="005F5467">
      <w:pPr>
        <w:pStyle w:val="Prrafodelista"/>
        <w:numPr>
          <w:ilvl w:val="0"/>
          <w:numId w:val="15"/>
        </w:numPr>
        <w:tabs>
          <w:tab w:val="left" w:pos="9072"/>
        </w:tabs>
        <w:spacing w:after="360" w:line="360" w:lineRule="auto"/>
        <w:ind w:left="714" w:right="-159" w:hanging="357"/>
        <w:jc w:val="both"/>
        <w:rPr>
          <w:rFonts w:ascii="Times New Roman" w:hAnsi="Times New Roman" w:cs="Times New Roman"/>
          <w:sz w:val="26"/>
          <w:lang w:val="es-ES"/>
        </w:rPr>
      </w:pPr>
      <w:r w:rsidRPr="00F73247">
        <w:rPr>
          <w:rFonts w:ascii="Times New Roman" w:hAnsi="Times New Roman" w:cs="Times New Roman"/>
          <w:sz w:val="26"/>
          <w:lang w:val="es-ES"/>
        </w:rPr>
        <w:t xml:space="preserve">Un </w:t>
      </w:r>
      <w:r w:rsidR="008B3DA6">
        <w:rPr>
          <w:rFonts w:ascii="Times New Roman" w:hAnsi="Times New Roman" w:cs="Times New Roman"/>
          <w:sz w:val="26"/>
          <w:lang w:val="es-ES"/>
        </w:rPr>
        <w:t>incremento de 390</w:t>
      </w:r>
      <w:r w:rsidRPr="00F73247">
        <w:rPr>
          <w:rFonts w:ascii="Times New Roman" w:hAnsi="Times New Roman" w:cs="Times New Roman"/>
          <w:sz w:val="26"/>
          <w:lang w:val="es-ES"/>
        </w:rPr>
        <w:t xml:space="preserve"> millones de dólares resultado principalmente, del cambio en la valuación de los activos internacionales del Instituto Central.</w:t>
      </w:r>
    </w:p>
    <w:p w14:paraId="6CD2F075" w14:textId="182CFA07" w:rsidR="00B26EC9" w:rsidRPr="000E3A45" w:rsidRDefault="00B26EC9" w:rsidP="00B26EC9">
      <w:pPr>
        <w:tabs>
          <w:tab w:val="left" w:pos="9072"/>
        </w:tabs>
        <w:spacing w:after="360" w:line="360" w:lineRule="auto"/>
        <w:ind w:right="-159"/>
        <w:jc w:val="both"/>
        <w:rPr>
          <w:sz w:val="26"/>
          <w:szCs w:val="20"/>
        </w:rPr>
      </w:pPr>
      <w:bookmarkStart w:id="16" w:name="OLE_LINK55"/>
      <w:bookmarkStart w:id="17" w:name="OLE_LINK56"/>
      <w:r w:rsidRPr="000E3A45">
        <w:rPr>
          <w:sz w:val="26"/>
          <w:szCs w:val="20"/>
          <w:lang w:val="es-ES"/>
        </w:rPr>
        <w:t xml:space="preserve">Asimismo, el aumento </w:t>
      </w:r>
      <w:r w:rsidRPr="000E3A45">
        <w:rPr>
          <w:sz w:val="26"/>
          <w:szCs w:val="20"/>
        </w:rPr>
        <w:t>en la reserva internacional del 31 de diciembre de 201</w:t>
      </w:r>
      <w:r w:rsidR="002F6284">
        <w:rPr>
          <w:sz w:val="26"/>
          <w:szCs w:val="20"/>
        </w:rPr>
        <w:t>4</w:t>
      </w:r>
      <w:r w:rsidRPr="000E3A45">
        <w:rPr>
          <w:sz w:val="26"/>
          <w:szCs w:val="20"/>
        </w:rPr>
        <w:t xml:space="preserve"> al 1</w:t>
      </w:r>
      <w:r w:rsidR="008B3DA6">
        <w:rPr>
          <w:sz w:val="26"/>
          <w:szCs w:val="20"/>
        </w:rPr>
        <w:t>7</w:t>
      </w:r>
      <w:r w:rsidRPr="000E3A45">
        <w:rPr>
          <w:sz w:val="26"/>
          <w:szCs w:val="20"/>
        </w:rPr>
        <w:t xml:space="preserve"> de </w:t>
      </w:r>
      <w:r w:rsidR="00F73247">
        <w:rPr>
          <w:sz w:val="26"/>
          <w:szCs w:val="20"/>
        </w:rPr>
        <w:t>a</w:t>
      </w:r>
      <w:r w:rsidR="008B3DA6">
        <w:rPr>
          <w:sz w:val="26"/>
          <w:szCs w:val="20"/>
        </w:rPr>
        <w:t>b</w:t>
      </w:r>
      <w:r w:rsidR="00F73247">
        <w:rPr>
          <w:sz w:val="26"/>
          <w:szCs w:val="20"/>
        </w:rPr>
        <w:t>r</w:t>
      </w:r>
      <w:r w:rsidR="008B3DA6">
        <w:rPr>
          <w:sz w:val="26"/>
          <w:szCs w:val="20"/>
        </w:rPr>
        <w:t>il</w:t>
      </w:r>
      <w:r w:rsidRPr="000E3A45">
        <w:rPr>
          <w:sz w:val="26"/>
          <w:szCs w:val="20"/>
        </w:rPr>
        <w:t xml:space="preserve"> de 201</w:t>
      </w:r>
      <w:r w:rsidR="002F6284">
        <w:rPr>
          <w:sz w:val="26"/>
          <w:szCs w:val="20"/>
        </w:rPr>
        <w:t>5</w:t>
      </w:r>
      <w:r w:rsidRPr="000E3A45">
        <w:rPr>
          <w:sz w:val="26"/>
          <w:szCs w:val="20"/>
        </w:rPr>
        <w:t xml:space="preserve"> (reserva bruta menos pasivos a menos de seis meses), se explicó por los siguientes factores:</w:t>
      </w:r>
    </w:p>
    <w:p w14:paraId="735FB76E" w14:textId="19EC6721" w:rsidR="00B26EC9" w:rsidRDefault="00B26EC9" w:rsidP="00B26E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 xml:space="preserve">Ingresos por operaciones con Pemex por </w:t>
      </w:r>
      <w:r w:rsidR="00F73247">
        <w:rPr>
          <w:rFonts w:ascii="Times New Roman" w:hAnsi="Times New Roman" w:cs="Times New Roman"/>
          <w:sz w:val="26"/>
          <w:lang w:val="es-ES"/>
        </w:rPr>
        <w:t>3</w:t>
      </w:r>
      <w:r w:rsidR="00D445C9">
        <w:rPr>
          <w:rFonts w:ascii="Times New Roman" w:hAnsi="Times New Roman" w:cs="Times New Roman"/>
          <w:sz w:val="26"/>
          <w:lang w:val="es-ES"/>
        </w:rPr>
        <w:t xml:space="preserve"> mil </w:t>
      </w:r>
      <w:r w:rsidR="00F73247">
        <w:rPr>
          <w:rFonts w:ascii="Times New Roman" w:hAnsi="Times New Roman" w:cs="Times New Roman"/>
          <w:sz w:val="26"/>
          <w:lang w:val="es-ES"/>
        </w:rPr>
        <w:t>2</w:t>
      </w:r>
      <w:r w:rsidR="00802F03">
        <w:rPr>
          <w:rFonts w:ascii="Times New Roman" w:hAnsi="Times New Roman" w:cs="Times New Roman"/>
          <w:sz w:val="26"/>
          <w:lang w:val="es-ES"/>
        </w:rPr>
        <w:t>87</w:t>
      </w:r>
      <w:r w:rsidRPr="000E3A45">
        <w:rPr>
          <w:rFonts w:ascii="Times New Roman" w:hAnsi="Times New Roman" w:cs="Times New Roman"/>
          <w:sz w:val="26"/>
          <w:lang w:val="es-ES"/>
        </w:rPr>
        <w:t xml:space="preserve"> millones de dólares.</w:t>
      </w:r>
    </w:p>
    <w:p w14:paraId="6390E0BA" w14:textId="5E98F327" w:rsidR="00D445C9" w:rsidRPr="000E3A45" w:rsidRDefault="00802F03" w:rsidP="00D445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Pr>
          <w:rFonts w:ascii="Times New Roman" w:hAnsi="Times New Roman" w:cs="Times New Roman"/>
          <w:sz w:val="26"/>
          <w:lang w:val="es-ES"/>
        </w:rPr>
        <w:t>Ingresos</w:t>
      </w:r>
      <w:r w:rsidR="00D445C9" w:rsidRPr="000E3A45">
        <w:rPr>
          <w:rFonts w:ascii="Times New Roman" w:hAnsi="Times New Roman" w:cs="Times New Roman"/>
          <w:sz w:val="26"/>
          <w:lang w:val="es-ES"/>
        </w:rPr>
        <w:t xml:space="preserve"> por operaciones del Gobierno Federal por </w:t>
      </w:r>
      <w:r>
        <w:rPr>
          <w:rFonts w:ascii="Times New Roman" w:hAnsi="Times New Roman" w:cs="Times New Roman"/>
          <w:sz w:val="26"/>
          <w:lang w:val="es-ES"/>
        </w:rPr>
        <w:t>937</w:t>
      </w:r>
      <w:r w:rsidR="00D445C9" w:rsidRPr="000E3A45">
        <w:rPr>
          <w:rFonts w:ascii="Times New Roman" w:hAnsi="Times New Roman" w:cs="Times New Roman"/>
          <w:sz w:val="26"/>
          <w:lang w:val="es-ES"/>
        </w:rPr>
        <w:t xml:space="preserve"> millo</w:t>
      </w:r>
      <w:r w:rsidR="0034778F">
        <w:rPr>
          <w:rFonts w:ascii="Times New Roman" w:hAnsi="Times New Roman" w:cs="Times New Roman"/>
          <w:sz w:val="26"/>
          <w:lang w:val="es-ES"/>
        </w:rPr>
        <w:t>mer</w:t>
      </w:r>
      <w:r w:rsidR="00D445C9" w:rsidRPr="000E3A45">
        <w:rPr>
          <w:rFonts w:ascii="Times New Roman" w:hAnsi="Times New Roman" w:cs="Times New Roman"/>
          <w:sz w:val="26"/>
          <w:lang w:val="es-ES"/>
        </w:rPr>
        <w:t>nes de dólares.</w:t>
      </w:r>
    </w:p>
    <w:p w14:paraId="117AB9C5" w14:textId="15C9B7A8" w:rsidR="00273DF3" w:rsidRDefault="00273DF3" w:rsidP="00273DF3">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 xml:space="preserve">Otros </w:t>
      </w:r>
      <w:r w:rsidR="00D445C9">
        <w:rPr>
          <w:rFonts w:ascii="Times New Roman" w:hAnsi="Times New Roman" w:cs="Times New Roman"/>
          <w:sz w:val="26"/>
          <w:lang w:val="es-ES"/>
        </w:rPr>
        <w:t>egresos</w:t>
      </w:r>
      <w:r w:rsidRPr="000E3A45">
        <w:rPr>
          <w:rFonts w:ascii="Times New Roman" w:hAnsi="Times New Roman" w:cs="Times New Roman"/>
          <w:sz w:val="26"/>
          <w:lang w:val="es-ES"/>
        </w:rPr>
        <w:t xml:space="preserve"> por </w:t>
      </w:r>
      <w:r w:rsidR="00802F03">
        <w:rPr>
          <w:rFonts w:ascii="Times New Roman" w:hAnsi="Times New Roman" w:cs="Times New Roman"/>
          <w:sz w:val="26"/>
          <w:lang w:val="es-ES"/>
        </w:rPr>
        <w:t>331</w:t>
      </w:r>
      <w:r w:rsidRPr="000E3A45">
        <w:rPr>
          <w:rFonts w:ascii="Times New Roman" w:hAnsi="Times New Roman" w:cs="Times New Roman"/>
          <w:sz w:val="26"/>
          <w:lang w:val="es-ES"/>
        </w:rPr>
        <w:t xml:space="preserve"> millones de dólares.</w:t>
      </w:r>
    </w:p>
    <w:p w14:paraId="5712E7F6" w14:textId="5A3472AF" w:rsidR="00F73247" w:rsidRPr="000E3A45" w:rsidRDefault="00802F03" w:rsidP="00273DF3">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Pr>
          <w:rFonts w:ascii="Times New Roman" w:hAnsi="Times New Roman" w:cs="Times New Roman"/>
          <w:sz w:val="26"/>
          <w:lang w:val="es-ES"/>
        </w:rPr>
        <w:t xml:space="preserve">Egresos por </w:t>
      </w:r>
      <w:r w:rsidR="00F73247">
        <w:rPr>
          <w:rFonts w:ascii="Times New Roman" w:hAnsi="Times New Roman" w:cs="Times New Roman"/>
          <w:sz w:val="26"/>
          <w:lang w:val="es-ES"/>
        </w:rPr>
        <w:t xml:space="preserve">Operaciones de Mercado por </w:t>
      </w:r>
      <w:r>
        <w:rPr>
          <w:rFonts w:ascii="Times New Roman" w:hAnsi="Times New Roman" w:cs="Times New Roman"/>
          <w:sz w:val="26"/>
          <w:lang w:val="es-ES"/>
        </w:rPr>
        <w:t>1 mil 396</w:t>
      </w:r>
      <w:r w:rsidR="00F73247">
        <w:rPr>
          <w:rFonts w:ascii="Times New Roman" w:hAnsi="Times New Roman" w:cs="Times New Roman"/>
          <w:sz w:val="26"/>
          <w:lang w:val="es-ES"/>
        </w:rPr>
        <w:t xml:space="preserve"> millones de dólares</w:t>
      </w:r>
      <w:r w:rsidR="00F73247">
        <w:rPr>
          <w:rStyle w:val="Refdenotaalpie"/>
          <w:rFonts w:ascii="Times New Roman" w:hAnsi="Times New Roman" w:cs="Times New Roman"/>
          <w:sz w:val="26"/>
          <w:lang w:val="es-ES"/>
        </w:rPr>
        <w:footnoteReference w:id="82"/>
      </w:r>
      <w:r w:rsidR="00F73247">
        <w:rPr>
          <w:rFonts w:ascii="Times New Roman" w:hAnsi="Times New Roman" w:cs="Times New Roman"/>
          <w:sz w:val="26"/>
          <w:lang w:val="es-ES"/>
        </w:rPr>
        <w:t>.</w:t>
      </w:r>
    </w:p>
    <w:p w14:paraId="3D069F57" w14:textId="0FA54CE7" w:rsidR="00B26EC9" w:rsidRPr="009543B0" w:rsidRDefault="00273DF3" w:rsidP="00B26EC9">
      <w:pPr>
        <w:pStyle w:val="Prrafodelista"/>
        <w:numPr>
          <w:ilvl w:val="0"/>
          <w:numId w:val="12"/>
        </w:numPr>
        <w:tabs>
          <w:tab w:val="left" w:pos="9072"/>
        </w:tabs>
        <w:spacing w:after="360" w:line="360" w:lineRule="auto"/>
        <w:ind w:right="-159"/>
        <w:jc w:val="both"/>
        <w:rPr>
          <w:rFonts w:ascii="Times New Roman" w:hAnsi="Times New Roman" w:cs="Times New Roman"/>
          <w:sz w:val="26"/>
          <w:lang w:val="es-ES"/>
        </w:rPr>
      </w:pPr>
      <w:r w:rsidRPr="000E3A45">
        <w:rPr>
          <w:rFonts w:ascii="Times New Roman" w:hAnsi="Times New Roman" w:cs="Times New Roman"/>
          <w:sz w:val="26"/>
          <w:lang w:val="es-ES"/>
        </w:rPr>
        <w:t>E</w:t>
      </w:r>
      <w:r w:rsidR="00E83CD9" w:rsidRPr="000E3A45">
        <w:rPr>
          <w:rFonts w:ascii="Times New Roman" w:hAnsi="Times New Roman" w:cs="Times New Roman"/>
          <w:sz w:val="26"/>
          <w:lang w:val="es-ES"/>
        </w:rPr>
        <w:t>gresos</w:t>
      </w:r>
      <w:r w:rsidR="00B26EC9" w:rsidRPr="000E3A45">
        <w:rPr>
          <w:rFonts w:ascii="Times New Roman" w:hAnsi="Times New Roman" w:cs="Times New Roman"/>
          <w:sz w:val="26"/>
          <w:lang w:val="es-ES"/>
        </w:rPr>
        <w:t xml:space="preserve"> por pasivos a menos de seis meses que se componen principalmente por las cuentas corrientes en moneda extranjera del Gobierno Federal y Pemex p</w:t>
      </w:r>
      <w:r w:rsidR="00B26EC9" w:rsidRPr="000E3A45">
        <w:rPr>
          <w:rFonts w:ascii="Times New Roman" w:hAnsi="Times New Roman" w:cs="Times New Roman"/>
          <w:sz w:val="26"/>
          <w:szCs w:val="26"/>
          <w:lang w:val="es-ES"/>
        </w:rPr>
        <w:t xml:space="preserve">or </w:t>
      </w:r>
      <w:r w:rsidR="00F73247">
        <w:rPr>
          <w:rFonts w:ascii="Times New Roman" w:hAnsi="Times New Roman" w:cs="Times New Roman"/>
          <w:sz w:val="26"/>
          <w:szCs w:val="26"/>
          <w:lang w:val="es-ES"/>
        </w:rPr>
        <w:t>1</w:t>
      </w:r>
      <w:r w:rsidR="00802F03">
        <w:rPr>
          <w:rFonts w:ascii="Times New Roman" w:hAnsi="Times New Roman" w:cs="Times New Roman"/>
          <w:sz w:val="26"/>
          <w:szCs w:val="26"/>
          <w:lang w:val="es-ES"/>
        </w:rPr>
        <w:t>74</w:t>
      </w:r>
      <w:r w:rsidR="00B26EC9" w:rsidRPr="000E3A45">
        <w:rPr>
          <w:rFonts w:ascii="Times New Roman" w:hAnsi="Times New Roman" w:cs="Times New Roman"/>
          <w:sz w:val="26"/>
          <w:szCs w:val="26"/>
          <w:lang w:val="es-ES"/>
        </w:rPr>
        <w:t xml:space="preserve"> millones de dólares.</w:t>
      </w:r>
    </w:p>
    <w:p w14:paraId="23B9A07D" w14:textId="77777777" w:rsidR="009543B0" w:rsidRDefault="009543B0" w:rsidP="009543B0">
      <w:pPr>
        <w:tabs>
          <w:tab w:val="left" w:pos="9072"/>
        </w:tabs>
        <w:spacing w:after="360" w:line="360" w:lineRule="auto"/>
        <w:ind w:right="-159"/>
        <w:jc w:val="both"/>
        <w:rPr>
          <w:sz w:val="26"/>
          <w:lang w:val="es-ES"/>
        </w:rPr>
      </w:pPr>
    </w:p>
    <w:p w14:paraId="71B1111A" w14:textId="77777777" w:rsidR="009543B0" w:rsidRPr="009543B0" w:rsidRDefault="009543B0" w:rsidP="009543B0">
      <w:pPr>
        <w:tabs>
          <w:tab w:val="left" w:pos="9072"/>
        </w:tabs>
        <w:spacing w:after="240"/>
        <w:ind w:right="-159"/>
        <w:jc w:val="both"/>
        <w:rPr>
          <w:sz w:val="26"/>
          <w:lang w:val="es-ES"/>
        </w:rPr>
      </w:pPr>
    </w:p>
    <w:tbl>
      <w:tblPr>
        <w:tblW w:w="8215" w:type="dxa"/>
        <w:jc w:val="center"/>
        <w:tblLook w:val="0000" w:firstRow="0" w:lastRow="0" w:firstColumn="0" w:lastColumn="0" w:noHBand="0" w:noVBand="0"/>
      </w:tblPr>
      <w:tblGrid>
        <w:gridCol w:w="1510"/>
        <w:gridCol w:w="1266"/>
        <w:gridCol w:w="1004"/>
        <w:gridCol w:w="1004"/>
        <w:gridCol w:w="1010"/>
        <w:gridCol w:w="1107"/>
        <w:gridCol w:w="1314"/>
      </w:tblGrid>
      <w:tr w:rsidR="00B26EC9" w:rsidRPr="000E3A45" w14:paraId="5354BC7A" w14:textId="77777777" w:rsidTr="00E329D8">
        <w:trPr>
          <w:jc w:val="center"/>
        </w:trPr>
        <w:tc>
          <w:tcPr>
            <w:tcW w:w="8215" w:type="dxa"/>
            <w:gridSpan w:val="7"/>
          </w:tcPr>
          <w:bookmarkEnd w:id="16"/>
          <w:bookmarkEnd w:id="17"/>
          <w:p w14:paraId="421BAA7E" w14:textId="77777777" w:rsidR="00B26EC9" w:rsidRPr="000E3A45" w:rsidRDefault="00B26EC9" w:rsidP="00611131">
            <w:pPr>
              <w:jc w:val="center"/>
              <w:rPr>
                <w:b/>
                <w:sz w:val="22"/>
                <w:szCs w:val="22"/>
                <w:lang w:val="es-ES"/>
              </w:rPr>
            </w:pPr>
            <w:r w:rsidRPr="000E3A45">
              <w:rPr>
                <w:b/>
                <w:sz w:val="22"/>
                <w:szCs w:val="22"/>
                <w:lang w:val="es-ES"/>
              </w:rPr>
              <w:t>RESERVA INTERNACIONAL</w:t>
            </w:r>
            <w:r w:rsidRPr="000E3A45">
              <w:rPr>
                <w:sz w:val="18"/>
                <w:szCs w:val="18"/>
                <w:u w:val="single"/>
                <w:vertAlign w:val="superscript"/>
              </w:rPr>
              <w:t>1</w:t>
            </w:r>
            <w:r w:rsidRPr="000E3A45">
              <w:rPr>
                <w:sz w:val="18"/>
                <w:szCs w:val="18"/>
                <w:vertAlign w:val="superscript"/>
              </w:rPr>
              <w:t>/</w:t>
            </w:r>
          </w:p>
          <w:p w14:paraId="3A686E1A" w14:textId="77777777" w:rsidR="00B26EC9" w:rsidRPr="000E3A45" w:rsidRDefault="00B26EC9" w:rsidP="00611131">
            <w:pPr>
              <w:spacing w:after="60"/>
              <w:jc w:val="center"/>
              <w:rPr>
                <w:b/>
                <w:sz w:val="18"/>
                <w:szCs w:val="18"/>
              </w:rPr>
            </w:pPr>
            <w:r w:rsidRPr="000E3A45">
              <w:rPr>
                <w:b/>
                <w:sz w:val="22"/>
                <w:szCs w:val="22"/>
                <w:lang w:val="es-ES"/>
              </w:rPr>
              <w:t>- Cifras en millones de dólares -</w:t>
            </w:r>
          </w:p>
        </w:tc>
      </w:tr>
      <w:tr w:rsidR="0090608F" w:rsidRPr="000E3A45" w14:paraId="0D26E680" w14:textId="77777777" w:rsidTr="0090608F">
        <w:trPr>
          <w:jc w:val="center"/>
        </w:trPr>
        <w:tc>
          <w:tcPr>
            <w:tcW w:w="1510" w:type="dxa"/>
            <w:vMerge w:val="restart"/>
            <w:tcBorders>
              <w:top w:val="single" w:sz="4" w:space="0" w:color="auto"/>
              <w:left w:val="single" w:sz="4" w:space="0" w:color="auto"/>
              <w:right w:val="single" w:sz="4" w:space="0" w:color="auto"/>
            </w:tcBorders>
            <w:vAlign w:val="center"/>
          </w:tcPr>
          <w:p w14:paraId="74CF76C6" w14:textId="77777777" w:rsidR="0090608F" w:rsidRPr="000E3A45" w:rsidRDefault="0090608F" w:rsidP="00611131">
            <w:pPr>
              <w:spacing w:before="240"/>
              <w:jc w:val="center"/>
              <w:rPr>
                <w:b/>
                <w:sz w:val="18"/>
                <w:szCs w:val="18"/>
              </w:rPr>
            </w:pPr>
            <w:r w:rsidRPr="000E3A45">
              <w:rPr>
                <w:b/>
                <w:sz w:val="18"/>
                <w:szCs w:val="18"/>
              </w:rPr>
              <w:t>Concepto</w:t>
            </w:r>
          </w:p>
        </w:tc>
        <w:tc>
          <w:tcPr>
            <w:tcW w:w="1266" w:type="dxa"/>
            <w:tcBorders>
              <w:top w:val="single" w:sz="4" w:space="0" w:color="auto"/>
              <w:left w:val="single" w:sz="4" w:space="0" w:color="auto"/>
              <w:bottom w:val="single" w:sz="4" w:space="0" w:color="auto"/>
              <w:right w:val="single" w:sz="4" w:space="0" w:color="auto"/>
            </w:tcBorders>
          </w:tcPr>
          <w:p w14:paraId="09801036" w14:textId="4666D854" w:rsidR="0090608F" w:rsidRPr="000E3A45" w:rsidRDefault="0090608F" w:rsidP="0090608F">
            <w:pPr>
              <w:jc w:val="center"/>
              <w:rPr>
                <w:b/>
                <w:sz w:val="18"/>
                <w:szCs w:val="18"/>
              </w:rPr>
            </w:pPr>
            <w:r w:rsidRPr="000E3A45">
              <w:rPr>
                <w:b/>
                <w:sz w:val="18"/>
                <w:szCs w:val="18"/>
              </w:rPr>
              <w:t>201</w:t>
            </w:r>
            <w:r>
              <w:rPr>
                <w:b/>
                <w:sz w:val="18"/>
                <w:szCs w:val="18"/>
              </w:rPr>
              <w:t>4</w:t>
            </w:r>
          </w:p>
        </w:tc>
        <w:tc>
          <w:tcPr>
            <w:tcW w:w="4125" w:type="dxa"/>
            <w:gridSpan w:val="4"/>
            <w:tcBorders>
              <w:top w:val="single" w:sz="4" w:space="0" w:color="auto"/>
              <w:left w:val="single" w:sz="4" w:space="0" w:color="auto"/>
              <w:bottom w:val="single" w:sz="4" w:space="0" w:color="auto"/>
              <w:right w:val="single" w:sz="4" w:space="0" w:color="auto"/>
            </w:tcBorders>
          </w:tcPr>
          <w:p w14:paraId="383EE191" w14:textId="0F61A781" w:rsidR="0090608F" w:rsidRPr="000E3A45" w:rsidRDefault="0090608F" w:rsidP="00611131">
            <w:pPr>
              <w:jc w:val="center"/>
              <w:rPr>
                <w:b/>
                <w:sz w:val="18"/>
                <w:szCs w:val="18"/>
              </w:rPr>
            </w:pPr>
            <w:r>
              <w:rPr>
                <w:b/>
                <w:sz w:val="18"/>
                <w:szCs w:val="18"/>
              </w:rPr>
              <w:t>2015</w:t>
            </w:r>
          </w:p>
        </w:tc>
        <w:tc>
          <w:tcPr>
            <w:tcW w:w="1314" w:type="dxa"/>
            <w:tcBorders>
              <w:top w:val="single" w:sz="4" w:space="0" w:color="auto"/>
              <w:left w:val="single" w:sz="4" w:space="0" w:color="auto"/>
              <w:right w:val="single" w:sz="4" w:space="0" w:color="auto"/>
            </w:tcBorders>
          </w:tcPr>
          <w:p w14:paraId="5F605197" w14:textId="77777777" w:rsidR="0090608F" w:rsidRPr="000E3A45" w:rsidRDefault="0090608F" w:rsidP="00611131">
            <w:pPr>
              <w:jc w:val="center"/>
              <w:rPr>
                <w:b/>
                <w:sz w:val="18"/>
                <w:szCs w:val="18"/>
              </w:rPr>
            </w:pPr>
            <w:r w:rsidRPr="000E3A45">
              <w:rPr>
                <w:b/>
                <w:sz w:val="18"/>
                <w:szCs w:val="18"/>
              </w:rPr>
              <w:t>Variación</w:t>
            </w:r>
          </w:p>
        </w:tc>
      </w:tr>
      <w:tr w:rsidR="0090608F" w:rsidRPr="000E3A45" w14:paraId="0C00B8C0" w14:textId="77777777" w:rsidTr="00E329D8">
        <w:trPr>
          <w:jc w:val="center"/>
        </w:trPr>
        <w:tc>
          <w:tcPr>
            <w:tcW w:w="1510" w:type="dxa"/>
            <w:vMerge/>
            <w:tcBorders>
              <w:left w:val="single" w:sz="4" w:space="0" w:color="auto"/>
              <w:bottom w:val="single" w:sz="4" w:space="0" w:color="auto"/>
              <w:right w:val="single" w:sz="4" w:space="0" w:color="auto"/>
            </w:tcBorders>
          </w:tcPr>
          <w:p w14:paraId="28656B68" w14:textId="77777777" w:rsidR="0090608F" w:rsidRPr="000E3A45" w:rsidRDefault="0090608F" w:rsidP="0090608F">
            <w:pPr>
              <w:spacing w:before="240"/>
              <w:jc w:val="center"/>
              <w:rPr>
                <w:b/>
                <w:sz w:val="18"/>
                <w:szCs w:val="18"/>
              </w:rPr>
            </w:pPr>
          </w:p>
        </w:tc>
        <w:tc>
          <w:tcPr>
            <w:tcW w:w="1266" w:type="dxa"/>
            <w:tcBorders>
              <w:left w:val="single" w:sz="4" w:space="0" w:color="auto"/>
              <w:bottom w:val="single" w:sz="4" w:space="0" w:color="auto"/>
              <w:right w:val="single" w:sz="4" w:space="0" w:color="auto"/>
            </w:tcBorders>
          </w:tcPr>
          <w:p w14:paraId="55D64361" w14:textId="1DC6CCE1" w:rsidR="0090608F" w:rsidRPr="000E3A45" w:rsidRDefault="0090608F" w:rsidP="0090608F">
            <w:pPr>
              <w:spacing w:before="240"/>
              <w:jc w:val="center"/>
              <w:rPr>
                <w:b/>
                <w:sz w:val="18"/>
                <w:szCs w:val="18"/>
              </w:rPr>
            </w:pPr>
            <w:r w:rsidRPr="000E3A45">
              <w:rPr>
                <w:b/>
                <w:sz w:val="18"/>
                <w:szCs w:val="18"/>
              </w:rPr>
              <w:t>31/Dic.</w:t>
            </w:r>
          </w:p>
        </w:tc>
        <w:tc>
          <w:tcPr>
            <w:tcW w:w="1004" w:type="dxa"/>
            <w:tcBorders>
              <w:left w:val="single" w:sz="4" w:space="0" w:color="auto"/>
              <w:bottom w:val="single" w:sz="4" w:space="0" w:color="auto"/>
              <w:right w:val="single" w:sz="4" w:space="0" w:color="auto"/>
            </w:tcBorders>
          </w:tcPr>
          <w:p w14:paraId="17E3CED6" w14:textId="7760E23A" w:rsidR="0090608F" w:rsidRPr="000E3A45" w:rsidRDefault="0090608F" w:rsidP="0090608F">
            <w:pPr>
              <w:spacing w:before="240"/>
              <w:jc w:val="center"/>
              <w:rPr>
                <w:b/>
                <w:sz w:val="18"/>
                <w:szCs w:val="18"/>
              </w:rPr>
            </w:pPr>
            <w:r>
              <w:rPr>
                <w:b/>
                <w:sz w:val="18"/>
                <w:szCs w:val="18"/>
              </w:rPr>
              <w:t>30</w:t>
            </w:r>
            <w:r w:rsidRPr="000E3A45">
              <w:rPr>
                <w:b/>
                <w:sz w:val="18"/>
                <w:szCs w:val="18"/>
              </w:rPr>
              <w:t>/Ene.</w:t>
            </w:r>
          </w:p>
        </w:tc>
        <w:tc>
          <w:tcPr>
            <w:tcW w:w="1004" w:type="dxa"/>
            <w:tcBorders>
              <w:left w:val="single" w:sz="4" w:space="0" w:color="auto"/>
              <w:bottom w:val="single" w:sz="4" w:space="0" w:color="auto"/>
              <w:right w:val="single" w:sz="4" w:space="0" w:color="auto"/>
            </w:tcBorders>
          </w:tcPr>
          <w:p w14:paraId="19829F1E" w14:textId="5AD3B398" w:rsidR="0090608F" w:rsidRPr="000E3A45" w:rsidRDefault="0090608F" w:rsidP="0090608F">
            <w:pPr>
              <w:spacing w:before="240"/>
              <w:jc w:val="center"/>
              <w:rPr>
                <w:b/>
                <w:sz w:val="18"/>
                <w:szCs w:val="18"/>
              </w:rPr>
            </w:pPr>
            <w:r>
              <w:rPr>
                <w:b/>
                <w:sz w:val="18"/>
                <w:szCs w:val="18"/>
              </w:rPr>
              <w:t>27/Feb.</w:t>
            </w:r>
          </w:p>
        </w:tc>
        <w:tc>
          <w:tcPr>
            <w:tcW w:w="1010" w:type="dxa"/>
            <w:tcBorders>
              <w:left w:val="single" w:sz="4" w:space="0" w:color="auto"/>
              <w:bottom w:val="single" w:sz="4" w:space="0" w:color="auto"/>
              <w:right w:val="single" w:sz="4" w:space="0" w:color="auto"/>
            </w:tcBorders>
          </w:tcPr>
          <w:p w14:paraId="431EFE4A" w14:textId="52E55488" w:rsidR="0090608F" w:rsidRPr="000E3A45" w:rsidRDefault="0090608F" w:rsidP="003C4135">
            <w:pPr>
              <w:spacing w:before="240"/>
              <w:jc w:val="center"/>
              <w:rPr>
                <w:b/>
                <w:sz w:val="18"/>
                <w:szCs w:val="18"/>
              </w:rPr>
            </w:pPr>
            <w:r>
              <w:rPr>
                <w:b/>
                <w:sz w:val="18"/>
                <w:szCs w:val="18"/>
              </w:rPr>
              <w:t>3</w:t>
            </w:r>
            <w:r w:rsidR="003C4135">
              <w:rPr>
                <w:b/>
                <w:sz w:val="18"/>
                <w:szCs w:val="18"/>
              </w:rPr>
              <w:t>1</w:t>
            </w:r>
            <w:r>
              <w:rPr>
                <w:b/>
                <w:sz w:val="18"/>
                <w:szCs w:val="18"/>
              </w:rPr>
              <w:t>/Mar.</w:t>
            </w:r>
          </w:p>
        </w:tc>
        <w:tc>
          <w:tcPr>
            <w:tcW w:w="1107" w:type="dxa"/>
            <w:tcBorders>
              <w:left w:val="single" w:sz="4" w:space="0" w:color="auto"/>
              <w:bottom w:val="single" w:sz="4" w:space="0" w:color="auto"/>
              <w:right w:val="single" w:sz="4" w:space="0" w:color="auto"/>
            </w:tcBorders>
          </w:tcPr>
          <w:p w14:paraId="170E4629" w14:textId="2F35E831" w:rsidR="0090608F" w:rsidRPr="000E3A45" w:rsidRDefault="0090608F" w:rsidP="008B3DA6">
            <w:pPr>
              <w:spacing w:before="240"/>
              <w:jc w:val="center"/>
              <w:rPr>
                <w:b/>
                <w:sz w:val="18"/>
                <w:szCs w:val="18"/>
              </w:rPr>
            </w:pPr>
            <w:r>
              <w:rPr>
                <w:b/>
                <w:sz w:val="18"/>
                <w:szCs w:val="18"/>
              </w:rPr>
              <w:t>1</w:t>
            </w:r>
            <w:r w:rsidR="008B3DA6">
              <w:rPr>
                <w:b/>
                <w:sz w:val="18"/>
                <w:szCs w:val="18"/>
              </w:rPr>
              <w:t>7</w:t>
            </w:r>
            <w:r w:rsidRPr="0090608F">
              <w:rPr>
                <w:b/>
                <w:sz w:val="18"/>
                <w:szCs w:val="18"/>
              </w:rPr>
              <w:t>/</w:t>
            </w:r>
            <w:r>
              <w:rPr>
                <w:b/>
                <w:sz w:val="18"/>
                <w:szCs w:val="18"/>
              </w:rPr>
              <w:t>Ab</w:t>
            </w:r>
            <w:r w:rsidRPr="0090608F">
              <w:rPr>
                <w:b/>
                <w:sz w:val="18"/>
                <w:szCs w:val="18"/>
              </w:rPr>
              <w:t>r</w:t>
            </w:r>
            <w:r>
              <w:rPr>
                <w:b/>
                <w:sz w:val="18"/>
                <w:szCs w:val="18"/>
              </w:rPr>
              <w:t>.</w:t>
            </w:r>
          </w:p>
        </w:tc>
        <w:tc>
          <w:tcPr>
            <w:tcW w:w="1314" w:type="dxa"/>
            <w:tcBorders>
              <w:left w:val="single" w:sz="4" w:space="0" w:color="auto"/>
              <w:bottom w:val="single" w:sz="4" w:space="0" w:color="auto"/>
              <w:right w:val="single" w:sz="4" w:space="0" w:color="auto"/>
            </w:tcBorders>
          </w:tcPr>
          <w:p w14:paraId="19A64E3E" w14:textId="77777777" w:rsidR="0090608F" w:rsidRPr="000E3A45" w:rsidRDefault="0090608F" w:rsidP="0090608F">
            <w:pPr>
              <w:jc w:val="center"/>
              <w:rPr>
                <w:b/>
                <w:sz w:val="18"/>
                <w:szCs w:val="18"/>
              </w:rPr>
            </w:pPr>
            <w:r w:rsidRPr="000E3A45">
              <w:rPr>
                <w:b/>
                <w:sz w:val="18"/>
                <w:szCs w:val="18"/>
              </w:rPr>
              <w:t>%</w:t>
            </w:r>
          </w:p>
          <w:p w14:paraId="1C144E9B" w14:textId="61F58CF2" w:rsidR="0090608F" w:rsidRPr="000E3A45" w:rsidRDefault="0090608F" w:rsidP="0090608F">
            <w:pPr>
              <w:jc w:val="center"/>
              <w:rPr>
                <w:b/>
                <w:sz w:val="18"/>
                <w:szCs w:val="18"/>
              </w:rPr>
            </w:pPr>
            <w:r w:rsidRPr="000E3A45">
              <w:rPr>
                <w:b/>
                <w:sz w:val="18"/>
                <w:szCs w:val="18"/>
              </w:rPr>
              <w:t>1</w:t>
            </w:r>
            <w:r w:rsidR="008B3DA6">
              <w:rPr>
                <w:b/>
                <w:sz w:val="18"/>
                <w:szCs w:val="18"/>
              </w:rPr>
              <w:t>7</w:t>
            </w:r>
            <w:r w:rsidRPr="000E3A45">
              <w:rPr>
                <w:b/>
                <w:sz w:val="18"/>
                <w:szCs w:val="18"/>
              </w:rPr>
              <w:t>/</w:t>
            </w:r>
            <w:r>
              <w:rPr>
                <w:b/>
                <w:sz w:val="18"/>
                <w:szCs w:val="18"/>
              </w:rPr>
              <w:t>Abr</w:t>
            </w:r>
            <w:r w:rsidRPr="000E3A45">
              <w:rPr>
                <w:b/>
                <w:sz w:val="18"/>
                <w:szCs w:val="18"/>
              </w:rPr>
              <w:t>./2015</w:t>
            </w:r>
          </w:p>
          <w:p w14:paraId="52185EFC" w14:textId="428AED98" w:rsidR="0090608F" w:rsidRPr="000E3A45" w:rsidRDefault="0090608F" w:rsidP="0090608F">
            <w:pPr>
              <w:jc w:val="center"/>
              <w:rPr>
                <w:b/>
                <w:sz w:val="18"/>
                <w:szCs w:val="18"/>
              </w:rPr>
            </w:pPr>
            <w:r w:rsidRPr="000E3A45">
              <w:rPr>
                <w:b/>
                <w:sz w:val="18"/>
                <w:szCs w:val="18"/>
              </w:rPr>
              <w:t>31/Dic./2014</w:t>
            </w:r>
          </w:p>
        </w:tc>
      </w:tr>
      <w:tr w:rsidR="0090608F" w:rsidRPr="000E3A45" w14:paraId="0644B666" w14:textId="77777777" w:rsidTr="00E329D8">
        <w:trPr>
          <w:jc w:val="center"/>
        </w:trPr>
        <w:tc>
          <w:tcPr>
            <w:tcW w:w="1510" w:type="dxa"/>
            <w:tcBorders>
              <w:left w:val="single" w:sz="4" w:space="0" w:color="auto"/>
              <w:right w:val="single" w:sz="4" w:space="0" w:color="auto"/>
            </w:tcBorders>
          </w:tcPr>
          <w:p w14:paraId="12BC5101" w14:textId="77777777" w:rsidR="0090608F" w:rsidRPr="000E3A45" w:rsidRDefault="0090608F" w:rsidP="0090608F">
            <w:pPr>
              <w:rPr>
                <w:sz w:val="18"/>
                <w:szCs w:val="18"/>
              </w:rPr>
            </w:pPr>
            <w:bookmarkStart w:id="18" w:name="_Hlk52092346"/>
            <w:bookmarkStart w:id="19" w:name="_Hlk38791944"/>
            <w:r w:rsidRPr="000E3A45">
              <w:rPr>
                <w:sz w:val="18"/>
                <w:szCs w:val="18"/>
              </w:rPr>
              <w:t>(A) Reserva internacional (dólares)</w:t>
            </w:r>
            <w:r w:rsidRPr="000E3A45">
              <w:rPr>
                <w:sz w:val="18"/>
                <w:szCs w:val="18"/>
                <w:u w:val="single"/>
                <w:vertAlign w:val="superscript"/>
              </w:rPr>
              <w:t>2</w:t>
            </w:r>
            <w:r w:rsidRPr="000E3A45">
              <w:rPr>
                <w:sz w:val="18"/>
                <w:szCs w:val="18"/>
                <w:vertAlign w:val="superscript"/>
              </w:rPr>
              <w:t>/</w:t>
            </w:r>
          </w:p>
        </w:tc>
        <w:tc>
          <w:tcPr>
            <w:tcW w:w="1266" w:type="dxa"/>
            <w:tcBorders>
              <w:left w:val="single" w:sz="4" w:space="0" w:color="auto"/>
              <w:right w:val="single" w:sz="4" w:space="0" w:color="auto"/>
            </w:tcBorders>
            <w:vAlign w:val="center"/>
          </w:tcPr>
          <w:p w14:paraId="5D7C5021" w14:textId="6EAE93F3" w:rsidR="0090608F" w:rsidRPr="000E3A45" w:rsidRDefault="0090608F" w:rsidP="0090608F">
            <w:pPr>
              <w:ind w:right="227"/>
              <w:jc w:val="right"/>
              <w:rPr>
                <w:sz w:val="18"/>
                <w:szCs w:val="18"/>
              </w:rPr>
            </w:pPr>
            <w:r w:rsidRPr="000E3A45">
              <w:rPr>
                <w:sz w:val="18"/>
                <w:szCs w:val="18"/>
              </w:rPr>
              <w:t>193 239</w:t>
            </w:r>
          </w:p>
        </w:tc>
        <w:tc>
          <w:tcPr>
            <w:tcW w:w="1004" w:type="dxa"/>
            <w:tcBorders>
              <w:left w:val="single" w:sz="4" w:space="0" w:color="auto"/>
              <w:right w:val="single" w:sz="4" w:space="0" w:color="auto"/>
            </w:tcBorders>
            <w:vAlign w:val="center"/>
          </w:tcPr>
          <w:p w14:paraId="051AE7BF" w14:textId="6B83FF41" w:rsidR="0090608F" w:rsidRPr="000E3A45" w:rsidRDefault="0090608F" w:rsidP="0090608F">
            <w:pPr>
              <w:ind w:right="113"/>
              <w:jc w:val="right"/>
              <w:rPr>
                <w:sz w:val="18"/>
                <w:szCs w:val="18"/>
              </w:rPr>
            </w:pPr>
            <w:r>
              <w:rPr>
                <w:sz w:val="18"/>
                <w:szCs w:val="18"/>
              </w:rPr>
              <w:t>196 010</w:t>
            </w:r>
          </w:p>
        </w:tc>
        <w:tc>
          <w:tcPr>
            <w:tcW w:w="1004" w:type="dxa"/>
            <w:tcBorders>
              <w:left w:val="single" w:sz="4" w:space="0" w:color="auto"/>
              <w:right w:val="single" w:sz="4" w:space="0" w:color="auto"/>
            </w:tcBorders>
            <w:vAlign w:val="center"/>
          </w:tcPr>
          <w:p w14:paraId="7439311F" w14:textId="41E44DC9" w:rsidR="0090608F" w:rsidRPr="000E3A45" w:rsidRDefault="0090608F" w:rsidP="0090608F">
            <w:pPr>
              <w:ind w:right="113"/>
              <w:jc w:val="right"/>
              <w:rPr>
                <w:sz w:val="18"/>
                <w:szCs w:val="18"/>
              </w:rPr>
            </w:pPr>
            <w:r>
              <w:rPr>
                <w:sz w:val="18"/>
                <w:szCs w:val="18"/>
              </w:rPr>
              <w:t>195 739</w:t>
            </w:r>
          </w:p>
        </w:tc>
        <w:tc>
          <w:tcPr>
            <w:tcW w:w="1010" w:type="dxa"/>
            <w:tcBorders>
              <w:left w:val="single" w:sz="4" w:space="0" w:color="auto"/>
              <w:right w:val="single" w:sz="4" w:space="0" w:color="auto"/>
            </w:tcBorders>
            <w:vAlign w:val="center"/>
          </w:tcPr>
          <w:p w14:paraId="511E6EF1" w14:textId="42E8D99F" w:rsidR="0090608F" w:rsidRPr="000E3A45" w:rsidRDefault="003C4135" w:rsidP="0090608F">
            <w:pPr>
              <w:ind w:right="113"/>
              <w:jc w:val="right"/>
              <w:rPr>
                <w:sz w:val="18"/>
                <w:szCs w:val="18"/>
              </w:rPr>
            </w:pPr>
            <w:r>
              <w:rPr>
                <w:sz w:val="18"/>
                <w:szCs w:val="18"/>
              </w:rPr>
              <w:t>195 150</w:t>
            </w:r>
          </w:p>
        </w:tc>
        <w:tc>
          <w:tcPr>
            <w:tcW w:w="1107" w:type="dxa"/>
            <w:tcBorders>
              <w:left w:val="single" w:sz="4" w:space="0" w:color="auto"/>
              <w:right w:val="single" w:sz="4" w:space="0" w:color="auto"/>
            </w:tcBorders>
            <w:vAlign w:val="center"/>
          </w:tcPr>
          <w:p w14:paraId="1792F6FC" w14:textId="242CFD80" w:rsidR="0090608F" w:rsidRPr="000E3A45" w:rsidRDefault="008B3DA6" w:rsidP="0090608F">
            <w:pPr>
              <w:ind w:right="113"/>
              <w:jc w:val="right"/>
              <w:rPr>
                <w:sz w:val="18"/>
                <w:szCs w:val="18"/>
              </w:rPr>
            </w:pPr>
            <w:r>
              <w:rPr>
                <w:sz w:val="18"/>
                <w:szCs w:val="18"/>
              </w:rPr>
              <w:t>195 910</w:t>
            </w:r>
          </w:p>
        </w:tc>
        <w:tc>
          <w:tcPr>
            <w:tcW w:w="1314" w:type="dxa"/>
            <w:tcBorders>
              <w:left w:val="single" w:sz="4" w:space="0" w:color="auto"/>
              <w:right w:val="single" w:sz="4" w:space="0" w:color="auto"/>
            </w:tcBorders>
            <w:vAlign w:val="center"/>
          </w:tcPr>
          <w:p w14:paraId="7C19D671" w14:textId="420BB6F9" w:rsidR="0090608F" w:rsidRPr="000E3A45" w:rsidRDefault="0090608F" w:rsidP="00892FE5">
            <w:pPr>
              <w:ind w:right="284"/>
              <w:jc w:val="right"/>
              <w:rPr>
                <w:sz w:val="18"/>
                <w:szCs w:val="18"/>
              </w:rPr>
            </w:pPr>
            <w:r>
              <w:rPr>
                <w:sz w:val="18"/>
                <w:szCs w:val="18"/>
              </w:rPr>
              <w:t>1.3</w:t>
            </w:r>
            <w:r w:rsidR="00892FE5">
              <w:rPr>
                <w:sz w:val="18"/>
                <w:szCs w:val="18"/>
              </w:rPr>
              <w:t>8</w:t>
            </w:r>
          </w:p>
        </w:tc>
      </w:tr>
      <w:tr w:rsidR="0090608F" w:rsidRPr="000E3A45" w14:paraId="4837CCDB" w14:textId="77777777" w:rsidTr="00E329D8">
        <w:trPr>
          <w:jc w:val="center"/>
        </w:trPr>
        <w:tc>
          <w:tcPr>
            <w:tcW w:w="1510" w:type="dxa"/>
            <w:tcBorders>
              <w:left w:val="single" w:sz="4" w:space="0" w:color="auto"/>
              <w:right w:val="single" w:sz="4" w:space="0" w:color="auto"/>
            </w:tcBorders>
          </w:tcPr>
          <w:p w14:paraId="15161896" w14:textId="77777777" w:rsidR="0090608F" w:rsidRPr="000E3A45" w:rsidRDefault="0090608F" w:rsidP="0090608F">
            <w:pPr>
              <w:rPr>
                <w:sz w:val="18"/>
                <w:szCs w:val="18"/>
              </w:rPr>
            </w:pPr>
            <w:r w:rsidRPr="000E3A45">
              <w:rPr>
                <w:sz w:val="18"/>
                <w:szCs w:val="18"/>
              </w:rPr>
              <w:t>(B) Reserva Bruta</w:t>
            </w:r>
          </w:p>
        </w:tc>
        <w:tc>
          <w:tcPr>
            <w:tcW w:w="1266" w:type="dxa"/>
            <w:tcBorders>
              <w:left w:val="single" w:sz="4" w:space="0" w:color="auto"/>
              <w:right w:val="single" w:sz="4" w:space="0" w:color="auto"/>
            </w:tcBorders>
            <w:vAlign w:val="center"/>
          </w:tcPr>
          <w:p w14:paraId="0BB9E872" w14:textId="3A6EC4AB" w:rsidR="0090608F" w:rsidRPr="000E3A45" w:rsidRDefault="0090608F" w:rsidP="0090608F">
            <w:pPr>
              <w:ind w:right="227"/>
              <w:jc w:val="right"/>
              <w:rPr>
                <w:sz w:val="18"/>
                <w:szCs w:val="18"/>
              </w:rPr>
            </w:pPr>
            <w:r w:rsidRPr="000E3A45">
              <w:rPr>
                <w:sz w:val="18"/>
                <w:szCs w:val="18"/>
              </w:rPr>
              <w:t>195 682</w:t>
            </w:r>
          </w:p>
        </w:tc>
        <w:tc>
          <w:tcPr>
            <w:tcW w:w="1004" w:type="dxa"/>
            <w:tcBorders>
              <w:left w:val="single" w:sz="4" w:space="0" w:color="auto"/>
              <w:right w:val="single" w:sz="4" w:space="0" w:color="auto"/>
            </w:tcBorders>
            <w:vAlign w:val="center"/>
          </w:tcPr>
          <w:p w14:paraId="7617087F" w14:textId="14B3AD9E" w:rsidR="0090608F" w:rsidRPr="000E3A45" w:rsidRDefault="0090608F" w:rsidP="0090608F">
            <w:pPr>
              <w:ind w:right="113"/>
              <w:jc w:val="right"/>
              <w:rPr>
                <w:sz w:val="18"/>
                <w:szCs w:val="18"/>
              </w:rPr>
            </w:pPr>
            <w:r>
              <w:rPr>
                <w:sz w:val="18"/>
                <w:szCs w:val="18"/>
              </w:rPr>
              <w:t>199 161</w:t>
            </w:r>
          </w:p>
        </w:tc>
        <w:tc>
          <w:tcPr>
            <w:tcW w:w="1004" w:type="dxa"/>
            <w:tcBorders>
              <w:left w:val="single" w:sz="4" w:space="0" w:color="auto"/>
              <w:right w:val="single" w:sz="4" w:space="0" w:color="auto"/>
            </w:tcBorders>
            <w:vAlign w:val="center"/>
          </w:tcPr>
          <w:p w14:paraId="6CADDAFB" w14:textId="4C183E12" w:rsidR="0090608F" w:rsidRPr="000E3A45" w:rsidRDefault="0090608F" w:rsidP="0090608F">
            <w:pPr>
              <w:ind w:right="113"/>
              <w:jc w:val="right"/>
              <w:rPr>
                <w:sz w:val="18"/>
                <w:szCs w:val="18"/>
              </w:rPr>
            </w:pPr>
            <w:r>
              <w:rPr>
                <w:sz w:val="18"/>
                <w:szCs w:val="18"/>
              </w:rPr>
              <w:t>198 222</w:t>
            </w:r>
          </w:p>
        </w:tc>
        <w:tc>
          <w:tcPr>
            <w:tcW w:w="1010" w:type="dxa"/>
            <w:tcBorders>
              <w:left w:val="single" w:sz="4" w:space="0" w:color="auto"/>
              <w:right w:val="single" w:sz="4" w:space="0" w:color="auto"/>
            </w:tcBorders>
            <w:vAlign w:val="center"/>
          </w:tcPr>
          <w:p w14:paraId="64B6D048" w14:textId="79F17808" w:rsidR="0090608F" w:rsidRPr="000E3A45" w:rsidRDefault="003C4135" w:rsidP="0090608F">
            <w:pPr>
              <w:ind w:right="113"/>
              <w:jc w:val="right"/>
              <w:rPr>
                <w:sz w:val="18"/>
                <w:szCs w:val="18"/>
              </w:rPr>
            </w:pPr>
            <w:r>
              <w:rPr>
                <w:sz w:val="18"/>
                <w:szCs w:val="18"/>
              </w:rPr>
              <w:t>197 765</w:t>
            </w:r>
          </w:p>
        </w:tc>
        <w:tc>
          <w:tcPr>
            <w:tcW w:w="1107" w:type="dxa"/>
            <w:tcBorders>
              <w:left w:val="single" w:sz="4" w:space="0" w:color="auto"/>
              <w:right w:val="single" w:sz="4" w:space="0" w:color="auto"/>
            </w:tcBorders>
            <w:vAlign w:val="center"/>
          </w:tcPr>
          <w:p w14:paraId="54615929" w14:textId="6D05EC51" w:rsidR="0090608F" w:rsidRPr="000E3A45" w:rsidRDefault="008B3DA6" w:rsidP="0090608F">
            <w:pPr>
              <w:ind w:right="113"/>
              <w:jc w:val="right"/>
              <w:rPr>
                <w:sz w:val="18"/>
                <w:szCs w:val="18"/>
              </w:rPr>
            </w:pPr>
            <w:r>
              <w:rPr>
                <w:sz w:val="18"/>
                <w:szCs w:val="18"/>
              </w:rPr>
              <w:t>198 178</w:t>
            </w:r>
          </w:p>
        </w:tc>
        <w:tc>
          <w:tcPr>
            <w:tcW w:w="1314" w:type="dxa"/>
            <w:tcBorders>
              <w:left w:val="single" w:sz="4" w:space="0" w:color="auto"/>
              <w:right w:val="single" w:sz="4" w:space="0" w:color="auto"/>
            </w:tcBorders>
            <w:vAlign w:val="center"/>
          </w:tcPr>
          <w:p w14:paraId="35A64F2A" w14:textId="39EC53F8" w:rsidR="0090608F" w:rsidRPr="000E3A45" w:rsidRDefault="0090608F" w:rsidP="00892FE5">
            <w:pPr>
              <w:ind w:right="284"/>
              <w:jc w:val="right"/>
              <w:rPr>
                <w:sz w:val="18"/>
                <w:szCs w:val="18"/>
              </w:rPr>
            </w:pPr>
            <w:r>
              <w:rPr>
                <w:sz w:val="18"/>
                <w:szCs w:val="18"/>
              </w:rPr>
              <w:t>1.2</w:t>
            </w:r>
            <w:r w:rsidR="00892FE5">
              <w:rPr>
                <w:sz w:val="18"/>
                <w:szCs w:val="18"/>
              </w:rPr>
              <w:t>8</w:t>
            </w:r>
          </w:p>
        </w:tc>
      </w:tr>
      <w:tr w:rsidR="0090608F" w:rsidRPr="000E3A45" w14:paraId="58C11E79" w14:textId="77777777" w:rsidTr="00E329D8">
        <w:trPr>
          <w:jc w:val="center"/>
        </w:trPr>
        <w:tc>
          <w:tcPr>
            <w:tcW w:w="1510" w:type="dxa"/>
            <w:tcBorders>
              <w:left w:val="single" w:sz="4" w:space="0" w:color="auto"/>
              <w:bottom w:val="single" w:sz="4" w:space="0" w:color="auto"/>
              <w:right w:val="single" w:sz="4" w:space="0" w:color="auto"/>
            </w:tcBorders>
          </w:tcPr>
          <w:p w14:paraId="1FBADC28" w14:textId="77777777" w:rsidR="0090608F" w:rsidRPr="000E3A45" w:rsidRDefault="0090608F" w:rsidP="0090608F">
            <w:pPr>
              <w:rPr>
                <w:sz w:val="18"/>
                <w:szCs w:val="18"/>
              </w:rPr>
            </w:pPr>
            <w:r w:rsidRPr="000E3A45">
              <w:rPr>
                <w:sz w:val="18"/>
                <w:szCs w:val="18"/>
              </w:rPr>
              <w:t>(C) Pasivos a menos de seis meses</w:t>
            </w:r>
            <w:r w:rsidRPr="000E3A45">
              <w:rPr>
                <w:sz w:val="18"/>
                <w:szCs w:val="18"/>
                <w:u w:val="single"/>
                <w:vertAlign w:val="superscript"/>
              </w:rPr>
              <w:t>3</w:t>
            </w:r>
            <w:r w:rsidRPr="000E3A45">
              <w:rPr>
                <w:sz w:val="18"/>
                <w:szCs w:val="18"/>
                <w:vertAlign w:val="superscript"/>
              </w:rPr>
              <w:t>/</w:t>
            </w:r>
          </w:p>
        </w:tc>
        <w:tc>
          <w:tcPr>
            <w:tcW w:w="1266" w:type="dxa"/>
            <w:tcBorders>
              <w:left w:val="single" w:sz="4" w:space="0" w:color="auto"/>
              <w:bottom w:val="single" w:sz="4" w:space="0" w:color="auto"/>
              <w:right w:val="single" w:sz="4" w:space="0" w:color="auto"/>
            </w:tcBorders>
            <w:vAlign w:val="center"/>
          </w:tcPr>
          <w:p w14:paraId="5E9CA1E7" w14:textId="467BA378" w:rsidR="0090608F" w:rsidRPr="000E3A45" w:rsidRDefault="0090608F" w:rsidP="0090608F">
            <w:pPr>
              <w:ind w:right="227"/>
              <w:jc w:val="right"/>
              <w:rPr>
                <w:sz w:val="18"/>
                <w:szCs w:val="18"/>
              </w:rPr>
            </w:pPr>
            <w:r w:rsidRPr="000E3A45">
              <w:rPr>
                <w:sz w:val="18"/>
                <w:szCs w:val="18"/>
              </w:rPr>
              <w:t>2 443</w:t>
            </w:r>
          </w:p>
        </w:tc>
        <w:tc>
          <w:tcPr>
            <w:tcW w:w="1004" w:type="dxa"/>
            <w:tcBorders>
              <w:left w:val="single" w:sz="4" w:space="0" w:color="auto"/>
              <w:bottom w:val="single" w:sz="4" w:space="0" w:color="auto"/>
              <w:right w:val="single" w:sz="4" w:space="0" w:color="auto"/>
            </w:tcBorders>
            <w:vAlign w:val="center"/>
          </w:tcPr>
          <w:p w14:paraId="39FBFDAD" w14:textId="251B87A1" w:rsidR="0090608F" w:rsidRPr="000E3A45" w:rsidRDefault="0090608F" w:rsidP="0090608F">
            <w:pPr>
              <w:ind w:right="113"/>
              <w:jc w:val="right"/>
              <w:rPr>
                <w:sz w:val="18"/>
                <w:szCs w:val="18"/>
              </w:rPr>
            </w:pPr>
            <w:r>
              <w:rPr>
                <w:sz w:val="18"/>
                <w:szCs w:val="18"/>
              </w:rPr>
              <w:t>3 151</w:t>
            </w:r>
          </w:p>
        </w:tc>
        <w:tc>
          <w:tcPr>
            <w:tcW w:w="1004" w:type="dxa"/>
            <w:tcBorders>
              <w:left w:val="single" w:sz="4" w:space="0" w:color="auto"/>
              <w:bottom w:val="single" w:sz="4" w:space="0" w:color="auto"/>
              <w:right w:val="single" w:sz="4" w:space="0" w:color="auto"/>
            </w:tcBorders>
            <w:vAlign w:val="center"/>
          </w:tcPr>
          <w:p w14:paraId="133F98C3" w14:textId="2C2EE855" w:rsidR="0090608F" w:rsidRPr="000E3A45" w:rsidRDefault="0090608F" w:rsidP="0090608F">
            <w:pPr>
              <w:ind w:right="113"/>
              <w:jc w:val="right"/>
              <w:rPr>
                <w:sz w:val="18"/>
                <w:szCs w:val="18"/>
              </w:rPr>
            </w:pPr>
            <w:r>
              <w:rPr>
                <w:sz w:val="18"/>
                <w:szCs w:val="18"/>
              </w:rPr>
              <w:t>2 483</w:t>
            </w:r>
          </w:p>
        </w:tc>
        <w:tc>
          <w:tcPr>
            <w:tcW w:w="1010" w:type="dxa"/>
            <w:tcBorders>
              <w:left w:val="single" w:sz="4" w:space="0" w:color="auto"/>
              <w:bottom w:val="single" w:sz="4" w:space="0" w:color="auto"/>
              <w:right w:val="single" w:sz="4" w:space="0" w:color="auto"/>
            </w:tcBorders>
            <w:vAlign w:val="center"/>
          </w:tcPr>
          <w:p w14:paraId="09D42C30" w14:textId="3F96D1DA" w:rsidR="0090608F" w:rsidRPr="000E3A45" w:rsidRDefault="003C4135" w:rsidP="0090608F">
            <w:pPr>
              <w:ind w:right="113"/>
              <w:jc w:val="right"/>
              <w:rPr>
                <w:sz w:val="18"/>
                <w:szCs w:val="18"/>
              </w:rPr>
            </w:pPr>
            <w:r>
              <w:rPr>
                <w:sz w:val="18"/>
                <w:szCs w:val="18"/>
              </w:rPr>
              <w:t>2 615</w:t>
            </w:r>
          </w:p>
        </w:tc>
        <w:tc>
          <w:tcPr>
            <w:tcW w:w="1107" w:type="dxa"/>
            <w:tcBorders>
              <w:left w:val="single" w:sz="4" w:space="0" w:color="auto"/>
              <w:bottom w:val="single" w:sz="4" w:space="0" w:color="auto"/>
              <w:right w:val="single" w:sz="4" w:space="0" w:color="auto"/>
            </w:tcBorders>
            <w:vAlign w:val="center"/>
          </w:tcPr>
          <w:p w14:paraId="2BAFDB85" w14:textId="1747D0F2" w:rsidR="0090608F" w:rsidRPr="000E3A45" w:rsidRDefault="008B3DA6" w:rsidP="0090608F">
            <w:pPr>
              <w:ind w:right="113"/>
              <w:jc w:val="right"/>
              <w:rPr>
                <w:sz w:val="18"/>
                <w:szCs w:val="18"/>
              </w:rPr>
            </w:pPr>
            <w:r>
              <w:rPr>
                <w:sz w:val="18"/>
                <w:szCs w:val="18"/>
              </w:rPr>
              <w:t>2 269</w:t>
            </w:r>
          </w:p>
        </w:tc>
        <w:tc>
          <w:tcPr>
            <w:tcW w:w="1314" w:type="dxa"/>
            <w:tcBorders>
              <w:left w:val="single" w:sz="4" w:space="0" w:color="auto"/>
              <w:bottom w:val="single" w:sz="4" w:space="0" w:color="auto"/>
              <w:right w:val="single" w:sz="4" w:space="0" w:color="auto"/>
            </w:tcBorders>
            <w:vAlign w:val="center"/>
          </w:tcPr>
          <w:p w14:paraId="14854BFE" w14:textId="4B1793AF" w:rsidR="0090608F" w:rsidRPr="000E3A45" w:rsidRDefault="0090608F" w:rsidP="00892FE5">
            <w:pPr>
              <w:ind w:right="284"/>
              <w:jc w:val="right"/>
              <w:rPr>
                <w:sz w:val="18"/>
                <w:szCs w:val="18"/>
              </w:rPr>
            </w:pPr>
            <w:r>
              <w:rPr>
                <w:sz w:val="18"/>
                <w:szCs w:val="18"/>
              </w:rPr>
              <w:t>-7.1</w:t>
            </w:r>
            <w:r w:rsidR="00892FE5">
              <w:rPr>
                <w:sz w:val="18"/>
                <w:szCs w:val="18"/>
              </w:rPr>
              <w:t>2</w:t>
            </w:r>
          </w:p>
        </w:tc>
      </w:tr>
      <w:tr w:rsidR="0090608F" w:rsidRPr="000E3A45" w14:paraId="085D3424" w14:textId="77777777" w:rsidTr="00E329D8">
        <w:trPr>
          <w:jc w:val="center"/>
        </w:trPr>
        <w:tc>
          <w:tcPr>
            <w:tcW w:w="8215" w:type="dxa"/>
            <w:gridSpan w:val="7"/>
            <w:tcBorders>
              <w:top w:val="single" w:sz="4" w:space="0" w:color="auto"/>
            </w:tcBorders>
          </w:tcPr>
          <w:p w14:paraId="03BAE193" w14:textId="68D5B025" w:rsidR="0090608F" w:rsidRPr="000E3A45" w:rsidRDefault="0090608F" w:rsidP="0090608F">
            <w:pPr>
              <w:jc w:val="both"/>
              <w:rPr>
                <w:sz w:val="18"/>
              </w:rPr>
            </w:pPr>
            <w:r w:rsidRPr="000E3A45">
              <w:rPr>
                <w:sz w:val="18"/>
                <w:u w:val="single"/>
              </w:rPr>
              <w:t>1</w:t>
            </w:r>
            <w:r w:rsidRPr="000E3A45">
              <w:rPr>
                <w:sz w:val="18"/>
              </w:rPr>
              <w:t>/  Cifras preliminares. La suma de las partes puede no coincidir con el total debido al redondeo.</w:t>
            </w:r>
          </w:p>
          <w:p w14:paraId="336C812C" w14:textId="52AD45A3" w:rsidR="0090608F" w:rsidRPr="000E3A45" w:rsidRDefault="0090608F" w:rsidP="0090608F">
            <w:pPr>
              <w:ind w:left="244" w:hanging="244"/>
              <w:jc w:val="both"/>
              <w:rPr>
                <w:sz w:val="18"/>
              </w:rPr>
            </w:pPr>
            <w:r w:rsidRPr="000E3A45">
              <w:rPr>
                <w:sz w:val="18"/>
                <w:u w:val="single"/>
              </w:rPr>
              <w:t>2</w:t>
            </w:r>
            <w:r w:rsidRPr="000E3A45">
              <w:rPr>
                <w:sz w:val="18"/>
              </w:rPr>
              <w:t>/  Según se define en el artículo 19 de la Ley del Banco de México. La reserva internacional se obtiene como la diferencia entre la reserva bruta y los pasivos a menos de seis meses.</w:t>
            </w:r>
          </w:p>
          <w:p w14:paraId="64A4345F" w14:textId="77777777" w:rsidR="0090608F" w:rsidRPr="000E3A45" w:rsidRDefault="0090608F" w:rsidP="0090608F">
            <w:pPr>
              <w:ind w:left="198" w:hanging="198"/>
              <w:jc w:val="both"/>
              <w:rPr>
                <w:sz w:val="18"/>
              </w:rPr>
            </w:pPr>
            <w:r w:rsidRPr="000E3A45">
              <w:rPr>
                <w:sz w:val="18"/>
                <w:u w:val="single"/>
              </w:rPr>
              <w:t>3</w:t>
            </w:r>
            <w:r w:rsidRPr="000E3A45">
              <w:rPr>
                <w:sz w:val="18"/>
              </w:rPr>
              <w:t>/ Se refiere a los pasivos en moneda extranjera a un plazo menor a seis meses y se componen principalmente por las cuentas corrientes en moneda extranjera del Gobierno Federal y Pemex.</w:t>
            </w:r>
          </w:p>
          <w:p w14:paraId="0A7A13FB" w14:textId="77777777" w:rsidR="0090608F" w:rsidRPr="000E3A45" w:rsidRDefault="0090608F" w:rsidP="0090608F">
            <w:pPr>
              <w:ind w:left="828" w:hanging="828"/>
              <w:jc w:val="both"/>
              <w:rPr>
                <w:sz w:val="18"/>
                <w:szCs w:val="18"/>
              </w:rPr>
            </w:pPr>
            <w:r w:rsidRPr="000E3A45">
              <w:rPr>
                <w:sz w:val="18"/>
              </w:rPr>
              <w:t>FUENTE: Banco de México.</w:t>
            </w:r>
          </w:p>
        </w:tc>
      </w:tr>
      <w:bookmarkEnd w:id="18"/>
      <w:bookmarkEnd w:id="19"/>
    </w:tbl>
    <w:p w14:paraId="7AA60624" w14:textId="77777777" w:rsidR="00B26EC9" w:rsidRPr="000E3A45" w:rsidRDefault="00B26EC9" w:rsidP="00B26EC9">
      <w:pPr>
        <w:autoSpaceDE w:val="0"/>
        <w:autoSpaceDN w:val="0"/>
        <w:adjustRightInd w:val="0"/>
        <w:spacing w:line="360" w:lineRule="auto"/>
        <w:ind w:right="170"/>
        <w:jc w:val="both"/>
        <w:rPr>
          <w:sz w:val="26"/>
          <w:szCs w:val="26"/>
          <w:lang w:val="es-ES"/>
        </w:rPr>
      </w:pPr>
    </w:p>
    <w:p w14:paraId="4E4694B4" w14:textId="77777777" w:rsidR="00B26EC9" w:rsidRPr="000E3A45" w:rsidRDefault="00B26EC9" w:rsidP="00B26EC9">
      <w:pPr>
        <w:ind w:right="-159"/>
        <w:jc w:val="both"/>
        <w:rPr>
          <w:b/>
          <w:sz w:val="20"/>
          <w:szCs w:val="20"/>
        </w:rPr>
      </w:pPr>
    </w:p>
    <w:p w14:paraId="04C3A086" w14:textId="77777777" w:rsidR="00B26EC9" w:rsidRPr="000E3A45" w:rsidRDefault="00B26EC9" w:rsidP="00B26EC9">
      <w:pPr>
        <w:ind w:right="-159"/>
        <w:jc w:val="both"/>
        <w:rPr>
          <w:b/>
          <w:sz w:val="20"/>
          <w:szCs w:val="20"/>
        </w:rPr>
      </w:pPr>
      <w:r w:rsidRPr="000E3A45">
        <w:rPr>
          <w:b/>
          <w:sz w:val="20"/>
          <w:szCs w:val="20"/>
        </w:rPr>
        <w:t>Fuente de información:</w:t>
      </w:r>
    </w:p>
    <w:p w14:paraId="7D8AF644" w14:textId="68D3B34D" w:rsidR="00892FE5" w:rsidRPr="00A65144" w:rsidRDefault="0045651A" w:rsidP="00B26EC9">
      <w:pPr>
        <w:ind w:right="-159"/>
        <w:rPr>
          <w:color w:val="0000FF"/>
          <w:sz w:val="20"/>
          <w:szCs w:val="20"/>
        </w:rPr>
      </w:pPr>
      <w:hyperlink r:id="rId431" w:history="1">
        <w:r w:rsidR="00892FE5" w:rsidRPr="00A65144">
          <w:rPr>
            <w:rStyle w:val="Hipervnculo"/>
            <w:sz w:val="20"/>
            <w:szCs w:val="20"/>
          </w:rPr>
          <w:t>http://www.banxico.org.mx/informacion-para-la-prensa/comunicados/banco-de-mexico/edo-cuenta-semanal/%7B6783DCED-57A7-7E03-D304-1EA578FC5CF8%7D.pdf</w:t>
        </w:r>
      </w:hyperlink>
    </w:p>
    <w:p w14:paraId="1172C982" w14:textId="7F1F7420" w:rsidR="00ED39CD" w:rsidRPr="00A65144" w:rsidRDefault="0045651A" w:rsidP="00A65144">
      <w:pPr>
        <w:spacing w:after="720"/>
        <w:ind w:right="-159"/>
        <w:rPr>
          <w:rStyle w:val="Hipervnculo"/>
          <w:sz w:val="20"/>
          <w:szCs w:val="20"/>
        </w:rPr>
      </w:pPr>
      <w:hyperlink r:id="rId432" w:history="1">
        <w:r w:rsidR="003C4135" w:rsidRPr="00A65144">
          <w:rPr>
            <w:rStyle w:val="Hipervnculo"/>
            <w:sz w:val="20"/>
            <w:szCs w:val="20"/>
          </w:rPr>
          <w:t>http://www.banxico.org.mx/informacion-para-la-prensa/comunicados/banco-de-mexico/edo-cuenta-semanal/%7BDDC88015-A6B7-6D87-E0E2-2F179087ABA3%7D.pdf</w:t>
        </w:r>
      </w:hyperlink>
    </w:p>
    <w:p w14:paraId="1742DFD8" w14:textId="2E92CBC9" w:rsidR="009F4E3E" w:rsidRPr="000E3A45" w:rsidRDefault="009F4E3E" w:rsidP="009F4E3E">
      <w:pPr>
        <w:spacing w:after="360" w:line="360" w:lineRule="auto"/>
        <w:ind w:right="-159"/>
        <w:jc w:val="both"/>
        <w:rPr>
          <w:b/>
          <w:bCs/>
          <w:sz w:val="26"/>
        </w:rPr>
      </w:pPr>
      <w:r w:rsidRPr="000E3A45">
        <w:rPr>
          <w:b/>
          <w:bCs/>
          <w:sz w:val="26"/>
        </w:rPr>
        <w:t>Reservas internacionales (Banxico)</w:t>
      </w:r>
    </w:p>
    <w:p w14:paraId="7B921E88" w14:textId="63D61AD4" w:rsidR="009F4E3E" w:rsidRPr="000E3A45" w:rsidRDefault="009F4E3E" w:rsidP="009F4E3E">
      <w:pPr>
        <w:spacing w:after="360" w:line="360" w:lineRule="auto"/>
        <w:ind w:right="-159"/>
        <w:jc w:val="both"/>
        <w:rPr>
          <w:sz w:val="26"/>
          <w:szCs w:val="26"/>
          <w:lang w:val="es-ES"/>
        </w:rPr>
      </w:pPr>
      <w:r w:rsidRPr="000E3A45">
        <w:rPr>
          <w:sz w:val="26"/>
          <w:szCs w:val="26"/>
        </w:rPr>
        <w:t xml:space="preserve">De </w:t>
      </w:r>
      <w:r w:rsidR="007D6E43" w:rsidRPr="000E3A45">
        <w:rPr>
          <w:sz w:val="26"/>
          <w:szCs w:val="26"/>
        </w:rPr>
        <w:t>acuerdo</w:t>
      </w:r>
      <w:r w:rsidRPr="000E3A45">
        <w:rPr>
          <w:sz w:val="26"/>
          <w:szCs w:val="26"/>
        </w:rPr>
        <w:t xml:space="preserve"> con información del </w:t>
      </w:r>
      <w:r w:rsidRPr="000E3A45">
        <w:rPr>
          <w:sz w:val="26"/>
          <w:szCs w:val="26"/>
          <w:lang w:val="es-ES"/>
        </w:rPr>
        <w:t xml:space="preserve">Banco de México (Banxico), las reservas internacionales están integradas por las divisas y el oro propiedad del Banco Central que se hallan libres de todo gravamen y cuya disponibilidad no está sujeta a restricción alguna; la posición a favor de México con el Fondo Monetario Internacional (FMI) derivada de las aportaciones efectuadas a dicho organismo; las divisas provenientes de financiamientos obtenidos con propósito de regulación cambiaria del FMI y otros organismos de cooperación financiera internacional o que agrupen a bancos centrales, de bancos centrales y de otras personas morales extranjeras que ejerzan funciones de autoridad en materia financiera. </w:t>
      </w:r>
    </w:p>
    <w:p w14:paraId="3EF1D6C8" w14:textId="28033AD1" w:rsidR="00B548C6" w:rsidRDefault="00F909B5" w:rsidP="009F4E3E">
      <w:pPr>
        <w:spacing w:after="360" w:line="360" w:lineRule="auto"/>
        <w:ind w:right="-159"/>
        <w:jc w:val="both"/>
        <w:rPr>
          <w:sz w:val="26"/>
          <w:szCs w:val="26"/>
        </w:rPr>
      </w:pPr>
      <w:r>
        <w:rPr>
          <w:sz w:val="26"/>
          <w:szCs w:val="26"/>
        </w:rPr>
        <w:lastRenderedPageBreak/>
        <w:t>En este contexto, a</w:t>
      </w:r>
      <w:r w:rsidR="00B548C6" w:rsidRPr="000E3A45">
        <w:rPr>
          <w:sz w:val="26"/>
          <w:szCs w:val="26"/>
        </w:rPr>
        <w:t>l 1</w:t>
      </w:r>
      <w:r w:rsidR="00892FE5">
        <w:rPr>
          <w:sz w:val="26"/>
          <w:szCs w:val="26"/>
        </w:rPr>
        <w:t>7</w:t>
      </w:r>
      <w:r w:rsidR="00ED39CD">
        <w:rPr>
          <w:sz w:val="26"/>
          <w:szCs w:val="26"/>
        </w:rPr>
        <w:t xml:space="preserve"> de </w:t>
      </w:r>
      <w:r w:rsidR="005F4641">
        <w:rPr>
          <w:sz w:val="26"/>
          <w:szCs w:val="26"/>
        </w:rPr>
        <w:t>a</w:t>
      </w:r>
      <w:r w:rsidR="00892FE5">
        <w:rPr>
          <w:sz w:val="26"/>
          <w:szCs w:val="26"/>
        </w:rPr>
        <w:t>b</w:t>
      </w:r>
      <w:r w:rsidR="005F4641">
        <w:rPr>
          <w:sz w:val="26"/>
          <w:szCs w:val="26"/>
        </w:rPr>
        <w:t>r</w:t>
      </w:r>
      <w:r w:rsidR="00892FE5">
        <w:rPr>
          <w:sz w:val="26"/>
          <w:szCs w:val="26"/>
        </w:rPr>
        <w:t>il</w:t>
      </w:r>
      <w:r w:rsidR="00ED39CD">
        <w:rPr>
          <w:sz w:val="26"/>
          <w:szCs w:val="26"/>
        </w:rPr>
        <w:t xml:space="preserve"> de 2015, las reservas internacionales se ubicaron en </w:t>
      </w:r>
      <w:r w:rsidR="00892FE5">
        <w:rPr>
          <w:sz w:val="26"/>
          <w:szCs w:val="26"/>
        </w:rPr>
        <w:t xml:space="preserve">         </w:t>
      </w:r>
      <w:r w:rsidR="00ED39CD">
        <w:rPr>
          <w:sz w:val="26"/>
          <w:szCs w:val="26"/>
        </w:rPr>
        <w:t>19</w:t>
      </w:r>
      <w:r w:rsidR="00BB6CBD">
        <w:rPr>
          <w:sz w:val="26"/>
          <w:szCs w:val="26"/>
        </w:rPr>
        <w:t>5</w:t>
      </w:r>
      <w:r w:rsidR="00ED39CD">
        <w:rPr>
          <w:sz w:val="26"/>
          <w:szCs w:val="26"/>
        </w:rPr>
        <w:t xml:space="preserve"> mil </w:t>
      </w:r>
      <w:r w:rsidR="00892FE5">
        <w:rPr>
          <w:sz w:val="26"/>
          <w:szCs w:val="26"/>
        </w:rPr>
        <w:t>910</w:t>
      </w:r>
      <w:r w:rsidR="00ED39CD">
        <w:rPr>
          <w:sz w:val="26"/>
          <w:szCs w:val="26"/>
        </w:rPr>
        <w:t xml:space="preserve"> millones de dólares, lo que significó un</w:t>
      </w:r>
      <w:r>
        <w:rPr>
          <w:sz w:val="26"/>
          <w:szCs w:val="26"/>
        </w:rPr>
        <w:t xml:space="preserve"> </w:t>
      </w:r>
      <w:r w:rsidR="002D24B8">
        <w:rPr>
          <w:sz w:val="26"/>
          <w:szCs w:val="26"/>
        </w:rPr>
        <w:t>incremento</w:t>
      </w:r>
      <w:r>
        <w:rPr>
          <w:sz w:val="26"/>
          <w:szCs w:val="26"/>
        </w:rPr>
        <w:t xml:space="preserve"> de </w:t>
      </w:r>
      <w:r w:rsidR="00ED39CD">
        <w:rPr>
          <w:sz w:val="26"/>
          <w:szCs w:val="26"/>
        </w:rPr>
        <w:t>0.</w:t>
      </w:r>
      <w:r w:rsidR="002D24B8">
        <w:rPr>
          <w:sz w:val="26"/>
          <w:szCs w:val="26"/>
        </w:rPr>
        <w:t>39</w:t>
      </w:r>
      <w:r w:rsidR="00ED39CD">
        <w:rPr>
          <w:sz w:val="26"/>
          <w:szCs w:val="26"/>
        </w:rPr>
        <w:t>% con respecto al cierre de</w:t>
      </w:r>
      <w:r>
        <w:rPr>
          <w:sz w:val="26"/>
          <w:szCs w:val="26"/>
        </w:rPr>
        <w:t>l mes inmediato anterior y superior en 1.3</w:t>
      </w:r>
      <w:r w:rsidR="00892FE5">
        <w:rPr>
          <w:sz w:val="26"/>
          <w:szCs w:val="26"/>
        </w:rPr>
        <w:t>8</w:t>
      </w:r>
      <w:r>
        <w:rPr>
          <w:sz w:val="26"/>
          <w:szCs w:val="26"/>
        </w:rPr>
        <w:t>% con relación a</w:t>
      </w:r>
      <w:r w:rsidR="00ED39CD">
        <w:rPr>
          <w:sz w:val="26"/>
          <w:szCs w:val="26"/>
        </w:rPr>
        <w:t xml:space="preserve"> diciembre de 2014.</w:t>
      </w:r>
    </w:p>
    <w:p w14:paraId="32C09B0A" w14:textId="435C9510" w:rsidR="009F4E3E" w:rsidRPr="000E3A45" w:rsidRDefault="008B3DA6" w:rsidP="009F4E3E">
      <w:pPr>
        <w:spacing w:after="360" w:line="360" w:lineRule="auto"/>
        <w:ind w:right="-159"/>
        <w:jc w:val="center"/>
        <w:rPr>
          <w:sz w:val="26"/>
          <w:szCs w:val="26"/>
        </w:rPr>
      </w:pPr>
      <w:r w:rsidRPr="008B3DA6">
        <w:rPr>
          <w:rFonts w:ascii="Calibri" w:eastAsia="Calibri" w:hAnsi="Calibri"/>
          <w:sz w:val="22"/>
          <w:szCs w:val="22"/>
          <w:lang w:eastAsia="en-US"/>
        </w:rPr>
        <w:fldChar w:fldCharType="begin"/>
      </w:r>
      <w:r w:rsidRPr="008B3DA6">
        <w:rPr>
          <w:rFonts w:ascii="Calibri" w:eastAsia="Calibri" w:hAnsi="Calibri"/>
          <w:sz w:val="22"/>
          <w:szCs w:val="22"/>
          <w:lang w:eastAsia="en-US"/>
        </w:rPr>
        <w:instrText xml:space="preserve"> LINK PowerPoint.Slide.8 "D:\\2015\\ABRIL\\GRÁFICAS POWER POINT\\30.-GRÁFICA DE RESERVAS.pptx!259" "" \a \p </w:instrText>
      </w:r>
      <w:r w:rsidRPr="008B3DA6">
        <w:rPr>
          <w:rFonts w:ascii="Calibri" w:eastAsia="Calibri" w:hAnsi="Calibri"/>
          <w:sz w:val="22"/>
          <w:szCs w:val="22"/>
          <w:lang w:eastAsia="en-US"/>
        </w:rPr>
        <w:fldChar w:fldCharType="separate"/>
      </w:r>
      <w:r w:rsidRPr="008B3DA6">
        <w:rPr>
          <w:rFonts w:ascii="Calibri" w:eastAsia="Calibri" w:hAnsi="Calibri"/>
          <w:noProof/>
          <w:sz w:val="22"/>
          <w:szCs w:val="22"/>
          <w:lang w:eastAsia="es-MX"/>
        </w:rPr>
        <w:drawing>
          <wp:inline distT="0" distB="0" distL="0" distR="0" wp14:anchorId="6D3DB3B2" wp14:editId="4290AD7E">
            <wp:extent cx="3509010" cy="3107690"/>
            <wp:effectExtent l="0" t="0" r="0" b="0"/>
            <wp:docPr id="1878" name="Imagen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433" cstate="print">
                      <a:extLst>
                        <a:ext uri="{28A0092B-C50C-407E-A947-70E740481C1C}">
                          <a14:useLocalDpi xmlns:a14="http://schemas.microsoft.com/office/drawing/2010/main" val="0"/>
                        </a:ext>
                      </a:extLst>
                    </a:blip>
                    <a:srcRect l="8525" t="3781" r="14363" b="5580"/>
                    <a:stretch>
                      <a:fillRect/>
                    </a:stretch>
                  </pic:blipFill>
                  <pic:spPr bwMode="auto">
                    <a:xfrm>
                      <a:off x="0" y="0"/>
                      <a:ext cx="3509010" cy="3107690"/>
                    </a:xfrm>
                    <a:prstGeom prst="rect">
                      <a:avLst/>
                    </a:prstGeom>
                    <a:noFill/>
                    <a:ln>
                      <a:noFill/>
                    </a:ln>
                  </pic:spPr>
                </pic:pic>
              </a:graphicData>
            </a:graphic>
          </wp:inline>
        </w:drawing>
      </w:r>
      <w:r w:rsidRPr="008B3DA6">
        <w:rPr>
          <w:rFonts w:ascii="Calibri" w:eastAsia="Calibri" w:hAnsi="Calibri"/>
          <w:sz w:val="22"/>
          <w:szCs w:val="22"/>
          <w:lang w:eastAsia="en-US"/>
        </w:rPr>
        <w:fldChar w:fldCharType="end"/>
      </w:r>
    </w:p>
    <w:p w14:paraId="22088E06" w14:textId="77777777" w:rsidR="009F4E3E" w:rsidRPr="000E3A45" w:rsidRDefault="009F4E3E" w:rsidP="009F4E3E">
      <w:pPr>
        <w:ind w:right="-159"/>
        <w:jc w:val="both"/>
        <w:rPr>
          <w:rFonts w:eastAsia="Times New Roman"/>
          <w:b/>
          <w:sz w:val="20"/>
          <w:szCs w:val="20"/>
        </w:rPr>
      </w:pPr>
      <w:r w:rsidRPr="000E3A45">
        <w:rPr>
          <w:rFonts w:eastAsia="Times New Roman"/>
          <w:b/>
          <w:sz w:val="20"/>
          <w:szCs w:val="20"/>
        </w:rPr>
        <w:t>Fuente de información:</w:t>
      </w:r>
    </w:p>
    <w:p w14:paraId="1C9289FC" w14:textId="11C46651" w:rsidR="00892FE5" w:rsidRPr="00A65144" w:rsidRDefault="0045651A" w:rsidP="0008260E">
      <w:pPr>
        <w:ind w:right="-159"/>
        <w:jc w:val="both"/>
        <w:rPr>
          <w:color w:val="0000FF"/>
          <w:sz w:val="20"/>
          <w:szCs w:val="20"/>
        </w:rPr>
      </w:pPr>
      <w:hyperlink r:id="rId434" w:history="1">
        <w:r w:rsidR="00892FE5" w:rsidRPr="00A65144">
          <w:rPr>
            <w:rStyle w:val="Hipervnculo"/>
            <w:sz w:val="20"/>
            <w:szCs w:val="20"/>
          </w:rPr>
          <w:t>http://www.banxico.org.mx/informacion-para-la-prensa/comunicados/banco-de-mexico/edo-cuenta-semanal/%7B6783DCED-57A7-7E03-D304-1EA578FC5CF8%7D.pdf</w:t>
        </w:r>
      </w:hyperlink>
    </w:p>
    <w:p w14:paraId="1C6FACCB" w14:textId="1882BA65" w:rsidR="00D445C9" w:rsidRPr="00A65144" w:rsidRDefault="0045651A" w:rsidP="00A65144">
      <w:pPr>
        <w:spacing w:after="720"/>
        <w:ind w:right="-159"/>
        <w:jc w:val="both"/>
        <w:rPr>
          <w:color w:val="0000FF"/>
          <w:sz w:val="20"/>
          <w:szCs w:val="20"/>
        </w:rPr>
      </w:pPr>
      <w:hyperlink r:id="rId435" w:history="1">
        <w:r w:rsidR="00892FE5" w:rsidRPr="00A65144">
          <w:rPr>
            <w:rStyle w:val="Hipervnculo"/>
            <w:sz w:val="20"/>
            <w:szCs w:val="20"/>
          </w:rPr>
          <w:t>http://www.banxico.org.mx/informacion-para-la-prensa/comunicados/banco-de-mexico/edo-cuenta-semanal/%7BDDC88015-A6B7-6D87-E0E2-2F179087ABA3%7D.pdf</w:t>
        </w:r>
      </w:hyperlink>
    </w:p>
    <w:p w14:paraId="3A32CF83" w14:textId="77777777" w:rsidR="00956231" w:rsidRPr="00956231" w:rsidRDefault="00956231" w:rsidP="00956231">
      <w:pPr>
        <w:spacing w:after="360" w:line="360" w:lineRule="auto"/>
        <w:ind w:right="-159"/>
        <w:jc w:val="both"/>
        <w:rPr>
          <w:rFonts w:eastAsia="Times New Roman"/>
          <w:b/>
          <w:sz w:val="26"/>
          <w:szCs w:val="26"/>
          <w:lang w:eastAsia="es-MX"/>
        </w:rPr>
      </w:pPr>
      <w:r w:rsidRPr="00956231">
        <w:rPr>
          <w:rFonts w:eastAsia="Times New Roman"/>
          <w:b/>
          <w:sz w:val="26"/>
          <w:szCs w:val="26"/>
          <w:lang w:eastAsia="es-MX"/>
        </w:rPr>
        <w:t>Base Monetaria (Banxico)</w:t>
      </w:r>
    </w:p>
    <w:p w14:paraId="4A4FBA58" w14:textId="53FF460D" w:rsidR="00956231" w:rsidRPr="00956231" w:rsidRDefault="00956231" w:rsidP="00956231">
      <w:pPr>
        <w:spacing w:after="360" w:line="360" w:lineRule="auto"/>
        <w:ind w:right="-159"/>
        <w:jc w:val="both"/>
        <w:rPr>
          <w:rFonts w:eastAsia="Times New Roman"/>
          <w:sz w:val="26"/>
          <w:szCs w:val="26"/>
          <w:lang w:eastAsia="es-MX"/>
        </w:rPr>
      </w:pPr>
      <w:r w:rsidRPr="00956231">
        <w:rPr>
          <w:rFonts w:eastAsia="Times New Roman"/>
          <w:sz w:val="26"/>
          <w:szCs w:val="26"/>
          <w:lang w:eastAsia="es-MX"/>
        </w:rPr>
        <w:t xml:space="preserve">El 31 de marzo de 2015, el Banco de México (Banxico) informó en su publicación mensual: “Agregados Monetarios y Actividad Financiera”, que la base monetaria, que por el lado de sus usos se define como la suma de billetes y monedas en circulación más el saldo neto acreedor de las cuentas corrientes que Banxico lleva a las instituciones de crédito, en tanto que por el lado de sus fuentes se define como la suma de los activos internacionales netos en moneda nacional y el crédito interno neto, registró al cierre de </w:t>
      </w:r>
      <w:r w:rsidRPr="00956231">
        <w:rPr>
          <w:rFonts w:eastAsia="Times New Roman"/>
          <w:sz w:val="26"/>
          <w:szCs w:val="26"/>
          <w:lang w:eastAsia="es-MX"/>
        </w:rPr>
        <w:lastRenderedPageBreak/>
        <w:t xml:space="preserve">febrero de 2015 un saldo nominal de </w:t>
      </w:r>
      <w:r w:rsidR="00A573F8">
        <w:rPr>
          <w:rFonts w:eastAsia="Times New Roman"/>
          <w:sz w:val="26"/>
          <w:szCs w:val="26"/>
          <w:lang w:eastAsia="es-MX"/>
        </w:rPr>
        <w:t>un</w:t>
      </w:r>
      <w:r w:rsidRPr="00956231">
        <w:rPr>
          <w:rFonts w:eastAsia="Times New Roman"/>
          <w:sz w:val="26"/>
          <w:szCs w:val="26"/>
          <w:lang w:eastAsia="es-MX"/>
        </w:rPr>
        <w:t xml:space="preserve"> billón 25 mil 400 millones de pesos, cantidad 0.07% mayor con relación al mes inmediato anterior, superior en 18.63% respecto a febrero de 2014 (864 mil 400 millones de pesos).</w:t>
      </w:r>
    </w:p>
    <w:p w14:paraId="6FAC8F11" w14:textId="77777777" w:rsidR="00956231" w:rsidRPr="00956231" w:rsidRDefault="00956231" w:rsidP="00956231">
      <w:pPr>
        <w:spacing w:after="360" w:line="360" w:lineRule="auto"/>
        <w:ind w:right="-159"/>
        <w:jc w:val="center"/>
        <w:rPr>
          <w:rFonts w:eastAsia="Times New Roman"/>
          <w:sz w:val="26"/>
          <w:szCs w:val="26"/>
          <w:lang w:eastAsia="es-MX"/>
        </w:rPr>
      </w:pPr>
      <w:r w:rsidRPr="00956231">
        <w:fldChar w:fldCharType="begin"/>
      </w:r>
      <w:r w:rsidRPr="00956231">
        <w:instrText xml:space="preserve"> LINK PowerPoint.Slide.8 "D:\\2015\\ABRIL\\GRÁFICAS POWER POINT\\4.- GRÁFICAS DE BASE MONETARIA.pptx!261" "" \a \p </w:instrText>
      </w:r>
      <w:r w:rsidRPr="00956231">
        <w:fldChar w:fldCharType="separate"/>
      </w:r>
      <w:r w:rsidRPr="00956231">
        <w:rPr>
          <w:noProof/>
          <w:lang w:eastAsia="es-MX"/>
        </w:rPr>
        <w:drawing>
          <wp:inline distT="0" distB="0" distL="0" distR="0" wp14:anchorId="4437DFBF" wp14:editId="2E8F73FC">
            <wp:extent cx="4559935" cy="3200400"/>
            <wp:effectExtent l="0" t="0" r="0" b="0"/>
            <wp:docPr id="1599" name="Imagen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436" cstate="print">
                      <a:extLst>
                        <a:ext uri="{28A0092B-C50C-407E-A947-70E740481C1C}">
                          <a14:useLocalDpi xmlns:a14="http://schemas.microsoft.com/office/drawing/2010/main" val="0"/>
                        </a:ext>
                      </a:extLst>
                    </a:blip>
                    <a:srcRect t="2499" b="4167"/>
                    <a:stretch>
                      <a:fillRect/>
                    </a:stretch>
                  </pic:blipFill>
                  <pic:spPr bwMode="auto">
                    <a:xfrm>
                      <a:off x="0" y="0"/>
                      <a:ext cx="4559935" cy="3200400"/>
                    </a:xfrm>
                    <a:prstGeom prst="rect">
                      <a:avLst/>
                    </a:prstGeom>
                    <a:noFill/>
                    <a:ln>
                      <a:noFill/>
                    </a:ln>
                  </pic:spPr>
                </pic:pic>
              </a:graphicData>
            </a:graphic>
          </wp:inline>
        </w:drawing>
      </w:r>
      <w:r w:rsidRPr="00956231">
        <w:fldChar w:fldCharType="end"/>
      </w:r>
    </w:p>
    <w:p w14:paraId="49F97BDB" w14:textId="77777777" w:rsidR="00956231" w:rsidRPr="00956231" w:rsidRDefault="00956231" w:rsidP="00956231">
      <w:pPr>
        <w:ind w:right="-159"/>
        <w:jc w:val="both"/>
        <w:rPr>
          <w:rFonts w:eastAsia="Times New Roman"/>
          <w:b/>
          <w:sz w:val="20"/>
          <w:szCs w:val="20"/>
          <w:lang w:eastAsia="es-MX"/>
        </w:rPr>
      </w:pPr>
      <w:r w:rsidRPr="00956231">
        <w:rPr>
          <w:rFonts w:eastAsia="Times New Roman"/>
          <w:b/>
          <w:sz w:val="20"/>
          <w:szCs w:val="20"/>
          <w:lang w:eastAsia="es-MX"/>
        </w:rPr>
        <w:t>Fuente de información:</w:t>
      </w:r>
    </w:p>
    <w:p w14:paraId="031163FE" w14:textId="77777777" w:rsidR="00956231" w:rsidRPr="00A65144" w:rsidRDefault="0045651A" w:rsidP="00A65144">
      <w:pPr>
        <w:spacing w:after="720"/>
        <w:ind w:right="-159"/>
        <w:jc w:val="both"/>
        <w:rPr>
          <w:rFonts w:eastAsia="Times New Roman"/>
          <w:b/>
          <w:color w:val="0000FF"/>
          <w:sz w:val="20"/>
          <w:szCs w:val="20"/>
          <w:lang w:eastAsia="es-MX"/>
        </w:rPr>
      </w:pPr>
      <w:hyperlink r:id="rId437" w:history="1">
        <w:r w:rsidR="00956231" w:rsidRPr="00A65144">
          <w:rPr>
            <w:color w:val="0000FF"/>
            <w:sz w:val="20"/>
            <w:szCs w:val="20"/>
            <w:u w:val="single"/>
          </w:rPr>
          <w:t>http://www.banxico.org.mx/informacion-para-la-prensa/comunicados/sector-financiero/agregados-monetarios/%7B32145847-BF5F-48FE-8EB4-DB997AA5A4AC%7D.pdf</w:t>
        </w:r>
      </w:hyperlink>
      <w:r w:rsidR="00956231" w:rsidRPr="00A65144">
        <w:rPr>
          <w:color w:val="0000FF"/>
          <w:sz w:val="20"/>
          <w:szCs w:val="20"/>
        </w:rPr>
        <w:t xml:space="preserve"> </w:t>
      </w:r>
    </w:p>
    <w:p w14:paraId="2180C6F8" w14:textId="77777777" w:rsidR="00956231" w:rsidRPr="00956231" w:rsidRDefault="00956231" w:rsidP="00956231">
      <w:pPr>
        <w:spacing w:after="360" w:line="360" w:lineRule="auto"/>
        <w:ind w:right="-159"/>
        <w:jc w:val="both"/>
        <w:rPr>
          <w:rFonts w:eastAsia="Times New Roman"/>
          <w:b/>
          <w:sz w:val="26"/>
          <w:szCs w:val="26"/>
          <w:lang w:eastAsia="es-MX"/>
        </w:rPr>
      </w:pPr>
      <w:r w:rsidRPr="00956231">
        <w:rPr>
          <w:rFonts w:eastAsia="Times New Roman"/>
          <w:b/>
          <w:sz w:val="26"/>
          <w:szCs w:val="26"/>
          <w:lang w:eastAsia="es-MX"/>
        </w:rPr>
        <w:t>Medio circulante (Banxico)</w:t>
      </w:r>
    </w:p>
    <w:p w14:paraId="645DE08C" w14:textId="77777777" w:rsidR="00956231" w:rsidRPr="00956231" w:rsidRDefault="00956231" w:rsidP="00956231">
      <w:pPr>
        <w:spacing w:after="360" w:line="360" w:lineRule="auto"/>
        <w:ind w:right="-159"/>
        <w:jc w:val="both"/>
        <w:rPr>
          <w:rFonts w:eastAsia="Times New Roman"/>
          <w:sz w:val="26"/>
          <w:szCs w:val="26"/>
          <w:lang w:eastAsia="es-MX"/>
        </w:rPr>
      </w:pPr>
      <w:r w:rsidRPr="00956231">
        <w:rPr>
          <w:rFonts w:eastAsia="Times New Roman"/>
          <w:sz w:val="26"/>
          <w:szCs w:val="26"/>
          <w:lang w:eastAsia="es-MX"/>
        </w:rPr>
        <w:t xml:space="preserve">El saldo nominal del medio circulante que se reportó en los Agregados Monetarios del Banco de México, en febrero de 2015, fue de 2 billones 871 mil 500 millones de pesos, cantidad en términos nominales, 0.63% menor respecto al mes inmediato anterior y mayor en 17.67% con relación a febrero de 2014. </w:t>
      </w:r>
    </w:p>
    <w:p w14:paraId="007C4D81" w14:textId="77777777" w:rsidR="00956231" w:rsidRPr="00956231" w:rsidRDefault="00956231" w:rsidP="00956231">
      <w:pPr>
        <w:spacing w:after="360" w:line="360" w:lineRule="auto"/>
        <w:ind w:right="-159"/>
        <w:jc w:val="both"/>
        <w:rPr>
          <w:rFonts w:eastAsia="Times New Roman"/>
          <w:sz w:val="26"/>
          <w:szCs w:val="26"/>
          <w:lang w:eastAsia="es-MX"/>
        </w:rPr>
      </w:pPr>
      <w:r w:rsidRPr="00956231">
        <w:rPr>
          <w:rFonts w:eastAsia="Times New Roman"/>
          <w:sz w:val="26"/>
          <w:szCs w:val="26"/>
          <w:lang w:eastAsia="es-MX"/>
        </w:rPr>
        <w:t xml:space="preserve">En términos reales, en el período de febrero de 2014 a febrero de 2015, el medio circulante creció 14.2%. Así, en el segundo mes de 2015, la suma de billetes y monedas (esta suma se obtiene excluyendo de los billetes y monedas en circulación, la caja de </w:t>
      </w:r>
      <w:r w:rsidRPr="00956231">
        <w:rPr>
          <w:rFonts w:eastAsia="Times New Roman"/>
          <w:sz w:val="26"/>
          <w:szCs w:val="26"/>
          <w:lang w:eastAsia="es-MX"/>
        </w:rPr>
        <w:lastRenderedPageBreak/>
        <w:t xml:space="preserve">los bancos) observó un aumento de 15.4%, al registrar un saldo de 918 mil 200 millones de pesos; las cuentas de cheques en poder del público en moneda nacional aumentó 12.6%, al alcanzar la cifra de 1 billón 195 mil millones de pesos, y en moneda extranjera aumentaron 27.2%, para totalizar 246 mil 500 millones de pesos. Por su parte, los depósitos en cuenta corriente, que incluyen las tarjetas de débito, aumentaron 10.6%, para llegar a un saldo de 499 mil 300 millones de pesos y los depósitos a la vista en Entidades de Ahorro y Crédito Popular se incrementaron 9.3%, y reportaron un saldo de 12 mil 600 millones de pesos. </w:t>
      </w:r>
    </w:p>
    <w:p w14:paraId="3BB5FDE5" w14:textId="77777777" w:rsidR="00956231" w:rsidRPr="00956231" w:rsidRDefault="00956231" w:rsidP="00956231">
      <w:pPr>
        <w:spacing w:after="360" w:line="360" w:lineRule="auto"/>
        <w:ind w:right="-159"/>
        <w:jc w:val="both"/>
        <w:rPr>
          <w:rFonts w:eastAsia="Times New Roman"/>
          <w:sz w:val="26"/>
          <w:szCs w:val="26"/>
          <w:lang w:eastAsia="es-MX"/>
        </w:rPr>
      </w:pPr>
      <w:r w:rsidRPr="00956231">
        <w:rPr>
          <w:rFonts w:eastAsia="Times New Roman"/>
          <w:sz w:val="26"/>
          <w:szCs w:val="26"/>
          <w:lang w:eastAsia="es-MX"/>
        </w:rPr>
        <w:t>Hasta junio de 2009, este último rubro presentaba únicamente las cifras de Sociedades de Ahorro y Préstamo (SAP’s); a partir de septiembre de 2009, se le incorporan las cifras de las Sociedades Financieras Populares (Sofipos) y Sociedades Cooperativas de Ahorro y Préstamo (SCAP).</w:t>
      </w:r>
    </w:p>
    <w:p w14:paraId="4FD9FE3A" w14:textId="77777777" w:rsidR="00956231" w:rsidRPr="00956231" w:rsidRDefault="00956231" w:rsidP="00956231">
      <w:pPr>
        <w:spacing w:after="360" w:line="360" w:lineRule="auto"/>
        <w:ind w:right="-159"/>
        <w:jc w:val="center"/>
        <w:rPr>
          <w:rFonts w:eastAsia="Times New Roman"/>
          <w:sz w:val="26"/>
          <w:szCs w:val="26"/>
          <w:lang w:eastAsia="es-MX"/>
        </w:rPr>
      </w:pPr>
      <w:r w:rsidRPr="00956231">
        <w:fldChar w:fldCharType="begin"/>
      </w:r>
      <w:r w:rsidRPr="00956231">
        <w:instrText xml:space="preserve"> LINK PowerPoint.Slide.8 "D:\\2015\\ABRIL\\GRÁFICAS POWER POINT\\4.- GRÁFICAS DE BASE MONETARIA.pptx!260" "" \a \p </w:instrText>
      </w:r>
      <w:r w:rsidRPr="00956231">
        <w:fldChar w:fldCharType="separate"/>
      </w:r>
      <w:r w:rsidRPr="00956231">
        <w:rPr>
          <w:noProof/>
          <w:lang w:eastAsia="es-MX"/>
        </w:rPr>
        <w:drawing>
          <wp:inline distT="0" distB="0" distL="0" distR="0" wp14:anchorId="50615CF8" wp14:editId="42386871">
            <wp:extent cx="4559935" cy="2829560"/>
            <wp:effectExtent l="0" t="0" r="0" b="8890"/>
            <wp:docPr id="1600" name="Imagen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38" cstate="print">
                      <a:extLst>
                        <a:ext uri="{28A0092B-C50C-407E-A947-70E740481C1C}">
                          <a14:useLocalDpi xmlns:a14="http://schemas.microsoft.com/office/drawing/2010/main" val="0"/>
                        </a:ext>
                      </a:extLst>
                    </a:blip>
                    <a:srcRect t="13333" b="4167"/>
                    <a:stretch>
                      <a:fillRect/>
                    </a:stretch>
                  </pic:blipFill>
                  <pic:spPr bwMode="auto">
                    <a:xfrm>
                      <a:off x="0" y="0"/>
                      <a:ext cx="4559935" cy="2829560"/>
                    </a:xfrm>
                    <a:prstGeom prst="rect">
                      <a:avLst/>
                    </a:prstGeom>
                    <a:noFill/>
                    <a:ln>
                      <a:noFill/>
                    </a:ln>
                  </pic:spPr>
                </pic:pic>
              </a:graphicData>
            </a:graphic>
          </wp:inline>
        </w:drawing>
      </w:r>
      <w:r w:rsidRPr="00956231">
        <w:fldChar w:fldCharType="end"/>
      </w:r>
    </w:p>
    <w:p w14:paraId="78FAD9AC" w14:textId="77777777" w:rsidR="00956231" w:rsidRPr="00956231" w:rsidRDefault="00956231" w:rsidP="00956231">
      <w:pPr>
        <w:spacing w:after="360" w:line="360" w:lineRule="auto"/>
        <w:ind w:right="-159"/>
        <w:jc w:val="center"/>
        <w:rPr>
          <w:rFonts w:eastAsia="Times New Roman"/>
          <w:sz w:val="26"/>
          <w:szCs w:val="26"/>
          <w:lang w:eastAsia="es-MX"/>
        </w:rPr>
      </w:pPr>
    </w:p>
    <w:p w14:paraId="4A7D9D2F" w14:textId="77777777" w:rsidR="00956231" w:rsidRPr="00956231" w:rsidRDefault="00956231" w:rsidP="00956231">
      <w:pPr>
        <w:ind w:right="-159"/>
        <w:jc w:val="both"/>
        <w:rPr>
          <w:rFonts w:eastAsia="Times New Roman"/>
          <w:b/>
          <w:sz w:val="20"/>
          <w:szCs w:val="20"/>
          <w:lang w:eastAsia="es-MX"/>
        </w:rPr>
      </w:pPr>
      <w:r w:rsidRPr="00956231">
        <w:rPr>
          <w:rFonts w:eastAsia="Times New Roman"/>
          <w:b/>
          <w:sz w:val="20"/>
          <w:szCs w:val="20"/>
          <w:lang w:eastAsia="es-MX"/>
        </w:rPr>
        <w:t>Fuente de información:</w:t>
      </w:r>
    </w:p>
    <w:p w14:paraId="5003FE19" w14:textId="77777777" w:rsidR="00956231" w:rsidRPr="00A65144" w:rsidRDefault="0045651A" w:rsidP="00956231">
      <w:pPr>
        <w:rPr>
          <w:color w:val="0000FF"/>
          <w:sz w:val="20"/>
          <w:szCs w:val="20"/>
        </w:rPr>
      </w:pPr>
      <w:hyperlink r:id="rId439" w:history="1">
        <w:r w:rsidR="00956231" w:rsidRPr="00A65144">
          <w:rPr>
            <w:color w:val="0000FF"/>
            <w:sz w:val="20"/>
            <w:szCs w:val="20"/>
            <w:u w:val="single"/>
          </w:rPr>
          <w:t>http://www.banxico.org.mx/informacion-para-la-prensa/comunicados/sector-financiero/agregados-monetarios/%7B32145847-BF5F-48FE-8EB4-DB997AA5A4AC%7D.pdf</w:t>
        </w:r>
      </w:hyperlink>
      <w:r w:rsidR="00956231" w:rsidRPr="00A65144">
        <w:rPr>
          <w:color w:val="0000FF"/>
          <w:sz w:val="20"/>
          <w:szCs w:val="20"/>
        </w:rPr>
        <w:t xml:space="preserve"> </w:t>
      </w:r>
    </w:p>
    <w:p w14:paraId="52EFFC20" w14:textId="147DD3CB" w:rsidR="0090608F" w:rsidRDefault="0090608F" w:rsidP="00E327DB">
      <w:pPr>
        <w:spacing w:after="360" w:line="360" w:lineRule="auto"/>
        <w:ind w:right="-159"/>
        <w:jc w:val="both"/>
        <w:rPr>
          <w:rFonts w:eastAsia="Times New Roman"/>
          <w:sz w:val="26"/>
          <w:szCs w:val="26"/>
          <w:lang w:eastAsia="es-MX"/>
        </w:rPr>
      </w:pPr>
    </w:p>
    <w:p w14:paraId="1FB4145D" w14:textId="18F13844" w:rsidR="0039467A" w:rsidRDefault="00AE40CF" w:rsidP="009F3400">
      <w:pPr>
        <w:spacing w:after="360"/>
        <w:ind w:right="-159"/>
        <w:jc w:val="both"/>
        <w:rPr>
          <w:b/>
          <w:sz w:val="26"/>
          <w:szCs w:val="26"/>
        </w:rPr>
      </w:pPr>
      <w:r>
        <w:rPr>
          <w:b/>
          <w:sz w:val="26"/>
          <w:szCs w:val="26"/>
        </w:rPr>
        <w:lastRenderedPageBreak/>
        <w:t>T</w:t>
      </w:r>
      <w:r w:rsidR="0039467A" w:rsidRPr="000E3A45">
        <w:rPr>
          <w:b/>
          <w:sz w:val="26"/>
          <w:szCs w:val="26"/>
        </w:rPr>
        <w:t>asas de interés de referencia</w:t>
      </w:r>
    </w:p>
    <w:p w14:paraId="5898FCCA" w14:textId="77777777" w:rsidR="00383193" w:rsidRPr="00383193" w:rsidRDefault="00383193" w:rsidP="00383193">
      <w:pPr>
        <w:ind w:right="-159"/>
        <w:jc w:val="both"/>
        <w:rPr>
          <w:rFonts w:eastAsia="Calibri"/>
          <w:b/>
          <w:sz w:val="26"/>
          <w:szCs w:val="26"/>
          <w:lang w:eastAsia="en-US"/>
        </w:rPr>
      </w:pPr>
      <w:r w:rsidRPr="00383193">
        <w:rPr>
          <w:rFonts w:eastAsia="Calibri"/>
          <w:b/>
          <w:sz w:val="26"/>
          <w:szCs w:val="26"/>
          <w:lang w:eastAsia="en-US"/>
        </w:rPr>
        <w:t xml:space="preserve">Programa de subasta de valores gubernamentales </w:t>
      </w:r>
    </w:p>
    <w:p w14:paraId="0026A575"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para el segundo trimestre de 2015 (SHCP)</w:t>
      </w:r>
    </w:p>
    <w:p w14:paraId="65A62556" w14:textId="15AC4399"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El 27 de marzo de 2015, la Secretaría de Hacienda y Crédito Público (SHCP) dio a conocer el “Programa de subasta de valores gubernamentales para el segundo trimestre de 2015”</w:t>
      </w:r>
      <w:r w:rsidR="005C693D">
        <w:rPr>
          <w:rFonts w:eastAsia="Calibri"/>
          <w:sz w:val="26"/>
          <w:szCs w:val="26"/>
          <w:lang w:eastAsia="en-US"/>
        </w:rPr>
        <w:t>,</w:t>
      </w:r>
      <w:r w:rsidRPr="00383193">
        <w:rPr>
          <w:rFonts w:eastAsia="Calibri"/>
          <w:sz w:val="26"/>
          <w:szCs w:val="26"/>
          <w:lang w:eastAsia="en-US"/>
        </w:rPr>
        <w:t xml:space="preserve"> el cual se presenta a continuación.</w:t>
      </w:r>
    </w:p>
    <w:p w14:paraId="31F3380D"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El Presidente de la República ha destacado el firme compromiso de su administración por consolidar la estabilidad macroeconómica, contar con finanzas públicas sanas y hacer un uso responsable del endeudamiento público. Al respecto, y con el objetivo de mantener y fortalecer la política de comunicación y transparencia sobre el manejo del endeudamiento público, la SHCP anunció el programa de colocación de valores gubernamentales correspondiente al primer trimestre de 2015. El programa de colocación es congruente con el Programa Económico aprobado por el Congreso de la Unión para el ejercicio fiscal de 2015 y con el Plan Anual de Financiamiento para el año 2015 dado a conocer el 16 de diciembre de 2014.</w:t>
      </w:r>
    </w:p>
    <w:p w14:paraId="5ABA0A7C"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Aspectos Relevantes</w:t>
      </w:r>
    </w:p>
    <w:p w14:paraId="2E3126FE"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Los aspectos más relevantes del calendario de colocación de valores gubernamentales para el primer trimestre de 2015 son los siguientes:</w:t>
      </w:r>
    </w:p>
    <w:p w14:paraId="2EB19FFD" w14:textId="77777777"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t>Se mantienen los montos a subastar de Cetes a seis y 12 meses, Bonos a Tasa Fija (3, 5, 10, 20 y 30 años), Udibonos (3, 10 y 30 años) y Bondes D.</w:t>
      </w:r>
    </w:p>
    <w:p w14:paraId="6F536BD9" w14:textId="77777777"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t>Se mantiene el mecanismo de colocación para los Cetes a 28 y 91 días, por el cual se anuncia un monto mínimo y uno máximo a colocar semanalmente, permitiendo que la cantidad de títulos a subastar en cualquier semana se encuentre entre dichos montos.</w:t>
      </w:r>
    </w:p>
    <w:p w14:paraId="6E5D53D9" w14:textId="77777777"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En el segundo trimestre de 2015, los rangos para Cetes 28 tendrán un mínimo de 4 mil y un máximo de 11 mil millones de pesos (mdp). Por su parte, los Cetes a 91 días tendrán un mínimo de 7 mil y un máximo de 14 mil mdp. El monto específico a subastar cada semana de Cetes a 28 y 91 días será dado a conocer en la convocatoria respectiva a través del Banco de México (Banxico) e iniciarán el segundo trimestre en el mismo nivel que tuvieron durante el primer trimestre que fue de 5 mil 500 y 9 mil 500 mdp para los Cetes 28 y 91 días, respectivamente.</w:t>
      </w:r>
    </w:p>
    <w:p w14:paraId="0D669AF4" w14:textId="77777777"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t>Como se dio a conocer anteriormente, las subastas sindicadas se realizan con un formato más flexible, ya no se anuncian como parte de la colocación trimestral y como sustituto de las subastas primarias que correspondían a ese plazo en dicho trimestre. Las subastas sindicadas pueden ser realizadas en cualquiera de los trimestres del año y el monto a subastar puede ser adicional a la colocación trimestral programada para ese instrumento. El anuncio de la subasta sindicada se realizará en la semana previa a su colocación. Este formato permite aprovechar de mejor manera los períodos en los que se perciba mayor interés por parte de los inversionistas por alguna de estas operaciones. Una vez emitidas estas referencias, se continúa con la política de reapertura.</w:t>
      </w:r>
    </w:p>
    <w:p w14:paraId="34534481" w14:textId="77777777"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t>Las subastas sindicadas de segregados de Udibonos a plazo de 30 años continuarán realizándose con una frecuencia de 12 semanas. Al igual que en las subasta anteriores, el monto a subastar será dado a conocer en la convocatoria correspondiente.</w:t>
      </w:r>
    </w:p>
    <w:p w14:paraId="7977D5BD" w14:textId="0CA9FAC2" w:rsidR="00383193" w:rsidRPr="00383193" w:rsidRDefault="00383193" w:rsidP="003B27DE">
      <w:pPr>
        <w:numPr>
          <w:ilvl w:val="0"/>
          <w:numId w:val="25"/>
        </w:numPr>
        <w:spacing w:after="360" w:line="360" w:lineRule="auto"/>
        <w:ind w:right="-159"/>
        <w:jc w:val="both"/>
        <w:rPr>
          <w:rFonts w:eastAsia="Calibri"/>
          <w:sz w:val="26"/>
          <w:szCs w:val="26"/>
          <w:lang w:eastAsia="en-US"/>
        </w:rPr>
      </w:pPr>
      <w:r w:rsidRPr="00383193">
        <w:rPr>
          <w:rFonts w:eastAsia="Calibri"/>
          <w:sz w:val="26"/>
          <w:szCs w:val="26"/>
          <w:lang w:eastAsia="en-US"/>
        </w:rPr>
        <w:t>Las subastas de Cetes, Bonos a Tasa Fija, Udibonos y Bondes D</w:t>
      </w:r>
      <w:r w:rsidR="005C693D">
        <w:rPr>
          <w:rFonts w:eastAsia="Calibri"/>
          <w:sz w:val="26"/>
          <w:szCs w:val="26"/>
          <w:lang w:eastAsia="en-US"/>
        </w:rPr>
        <w:t>,</w:t>
      </w:r>
      <w:r w:rsidRPr="00383193">
        <w:rPr>
          <w:rFonts w:eastAsia="Calibri"/>
          <w:sz w:val="26"/>
          <w:szCs w:val="26"/>
          <w:lang w:eastAsia="en-US"/>
        </w:rPr>
        <w:t xml:space="preserve"> así como las subastas sindicadas de segregados de Udibonos que se realizarán durante el segundo trimestre tendrán las características que se detallan a continuación.</w:t>
      </w:r>
    </w:p>
    <w:p w14:paraId="054F9B71" w14:textId="77777777" w:rsidR="00383193" w:rsidRDefault="00383193" w:rsidP="00383193">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1804"/>
        <w:gridCol w:w="1596"/>
        <w:gridCol w:w="1344"/>
        <w:gridCol w:w="1343"/>
        <w:gridCol w:w="1344"/>
        <w:gridCol w:w="1335"/>
      </w:tblGrid>
      <w:tr w:rsidR="00383193" w:rsidRPr="00383193" w14:paraId="01DC4859" w14:textId="77777777" w:rsidTr="00A573F8">
        <w:trPr>
          <w:jc w:val="center"/>
        </w:trPr>
        <w:tc>
          <w:tcPr>
            <w:tcW w:w="8766" w:type="dxa"/>
            <w:gridSpan w:val="6"/>
            <w:tcBorders>
              <w:top w:val="nil"/>
              <w:left w:val="nil"/>
              <w:bottom w:val="single" w:sz="4" w:space="0" w:color="auto"/>
              <w:right w:val="nil"/>
            </w:tcBorders>
          </w:tcPr>
          <w:p w14:paraId="5A0AE131"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lastRenderedPageBreak/>
              <w:t xml:space="preserve">SUBASTA DE VALORES GUBERNAMENTALES DURANTE EL </w:t>
            </w:r>
          </w:p>
          <w:p w14:paraId="6E6DF5E8"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SEGUNDO TRIMESTRE DE 2015</w:t>
            </w:r>
          </w:p>
          <w:p w14:paraId="0B7FAEB5"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Montos Ofrecidos por Subasta</w:t>
            </w:r>
          </w:p>
          <w:p w14:paraId="3C5E1F1C" w14:textId="77777777" w:rsidR="00383193" w:rsidRPr="00383193" w:rsidRDefault="00383193" w:rsidP="00383193">
            <w:pPr>
              <w:jc w:val="center"/>
              <w:rPr>
                <w:rFonts w:eastAsia="Calibri"/>
                <w:b/>
                <w:sz w:val="20"/>
                <w:szCs w:val="20"/>
                <w:lang w:eastAsia="en-US"/>
              </w:rPr>
            </w:pPr>
            <w:r w:rsidRPr="00383193">
              <w:rPr>
                <w:rFonts w:eastAsia="Calibri"/>
                <w:b/>
                <w:sz w:val="20"/>
                <w:szCs w:val="20"/>
                <w:lang w:eastAsia="en-US"/>
              </w:rPr>
              <w:t>-En millones de pesos-</w:t>
            </w:r>
          </w:p>
        </w:tc>
      </w:tr>
      <w:tr w:rsidR="00383193" w:rsidRPr="00383193" w14:paraId="5AF49525"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vAlign w:val="center"/>
          </w:tcPr>
          <w:p w14:paraId="7AD02345"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Instrumento</w:t>
            </w:r>
          </w:p>
        </w:tc>
        <w:tc>
          <w:tcPr>
            <w:tcW w:w="1596" w:type="dxa"/>
            <w:tcBorders>
              <w:top w:val="single" w:sz="4" w:space="0" w:color="auto"/>
              <w:left w:val="single" w:sz="4" w:space="0" w:color="auto"/>
              <w:bottom w:val="single" w:sz="4" w:space="0" w:color="auto"/>
              <w:right w:val="single" w:sz="4" w:space="0" w:color="auto"/>
            </w:tcBorders>
            <w:vAlign w:val="center"/>
          </w:tcPr>
          <w:p w14:paraId="1DE5FCF7"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Periodicidad</w:t>
            </w:r>
          </w:p>
        </w:tc>
        <w:tc>
          <w:tcPr>
            <w:tcW w:w="1344" w:type="dxa"/>
            <w:tcBorders>
              <w:top w:val="single" w:sz="4" w:space="0" w:color="auto"/>
              <w:left w:val="single" w:sz="4" w:space="0" w:color="auto"/>
              <w:bottom w:val="single" w:sz="4" w:space="0" w:color="auto"/>
              <w:right w:val="single" w:sz="4" w:space="0" w:color="auto"/>
            </w:tcBorders>
            <w:vAlign w:val="center"/>
          </w:tcPr>
          <w:p w14:paraId="1B2653B1"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Subasta 3er.  trimestre 2014</w:t>
            </w:r>
          </w:p>
        </w:tc>
        <w:tc>
          <w:tcPr>
            <w:tcW w:w="1343" w:type="dxa"/>
            <w:tcBorders>
              <w:top w:val="single" w:sz="4" w:space="0" w:color="auto"/>
              <w:left w:val="single" w:sz="4" w:space="0" w:color="auto"/>
              <w:bottom w:val="single" w:sz="4" w:space="0" w:color="auto"/>
              <w:right w:val="single" w:sz="4" w:space="0" w:color="auto"/>
            </w:tcBorders>
            <w:vAlign w:val="center"/>
          </w:tcPr>
          <w:p w14:paraId="28657D7A"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Subasta 4to. trimestre 2014</w:t>
            </w:r>
          </w:p>
        </w:tc>
        <w:tc>
          <w:tcPr>
            <w:tcW w:w="1344" w:type="dxa"/>
            <w:tcBorders>
              <w:top w:val="single" w:sz="4" w:space="0" w:color="auto"/>
              <w:left w:val="single" w:sz="4" w:space="0" w:color="auto"/>
              <w:bottom w:val="single" w:sz="4" w:space="0" w:color="auto"/>
              <w:right w:val="single" w:sz="4" w:space="0" w:color="auto"/>
            </w:tcBorders>
            <w:vAlign w:val="center"/>
          </w:tcPr>
          <w:p w14:paraId="588B726F"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Subasta 1er. trimestre 2015</w:t>
            </w:r>
          </w:p>
        </w:tc>
        <w:tc>
          <w:tcPr>
            <w:tcW w:w="1335" w:type="dxa"/>
            <w:tcBorders>
              <w:top w:val="single" w:sz="4" w:space="0" w:color="auto"/>
              <w:left w:val="single" w:sz="4" w:space="0" w:color="auto"/>
              <w:bottom w:val="single" w:sz="4" w:space="0" w:color="auto"/>
              <w:right w:val="single" w:sz="4" w:space="0" w:color="auto"/>
            </w:tcBorders>
            <w:vAlign w:val="center"/>
          </w:tcPr>
          <w:p w14:paraId="78B1E03E" w14:textId="77777777" w:rsidR="00383193" w:rsidRPr="00383193" w:rsidRDefault="00383193" w:rsidP="00383193">
            <w:pPr>
              <w:ind w:left="-57" w:right="-57"/>
              <w:jc w:val="center"/>
              <w:rPr>
                <w:rFonts w:eastAsia="Calibri"/>
                <w:b/>
                <w:sz w:val="18"/>
                <w:szCs w:val="18"/>
                <w:lang w:eastAsia="en-US"/>
              </w:rPr>
            </w:pPr>
            <w:r w:rsidRPr="00383193">
              <w:rPr>
                <w:rFonts w:eastAsia="Calibri"/>
                <w:b/>
                <w:sz w:val="18"/>
                <w:szCs w:val="18"/>
                <w:lang w:eastAsia="en-US"/>
              </w:rPr>
              <w:t>Nueva subasta 2do. trimestre 2015</w:t>
            </w:r>
          </w:p>
        </w:tc>
      </w:tr>
      <w:tr w:rsidR="00383193" w:rsidRPr="00383193" w14:paraId="558BAA46" w14:textId="77777777" w:rsidTr="00A573F8">
        <w:trPr>
          <w:jc w:val="center"/>
        </w:trPr>
        <w:tc>
          <w:tcPr>
            <w:tcW w:w="8766" w:type="dxa"/>
            <w:gridSpan w:val="6"/>
            <w:tcBorders>
              <w:top w:val="single" w:sz="4" w:space="0" w:color="auto"/>
              <w:left w:val="single" w:sz="4" w:space="0" w:color="auto"/>
              <w:bottom w:val="single" w:sz="4" w:space="0" w:color="auto"/>
              <w:right w:val="single" w:sz="4" w:space="0" w:color="auto"/>
            </w:tcBorders>
          </w:tcPr>
          <w:p w14:paraId="740A988F"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Cetes</w:t>
            </w:r>
          </w:p>
        </w:tc>
      </w:tr>
      <w:tr w:rsidR="00383193" w:rsidRPr="00383193" w14:paraId="52BB3673"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vAlign w:val="center"/>
          </w:tcPr>
          <w:p w14:paraId="6A1010E0"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Cetes 28 días</w:t>
            </w:r>
          </w:p>
        </w:tc>
        <w:tc>
          <w:tcPr>
            <w:tcW w:w="1596" w:type="dxa"/>
            <w:tcBorders>
              <w:top w:val="single" w:sz="4" w:space="0" w:color="auto"/>
              <w:left w:val="single" w:sz="4" w:space="0" w:color="auto"/>
              <w:bottom w:val="single" w:sz="4" w:space="0" w:color="auto"/>
              <w:right w:val="single" w:sz="4" w:space="0" w:color="auto"/>
            </w:tcBorders>
            <w:vAlign w:val="center"/>
          </w:tcPr>
          <w:p w14:paraId="05644C3A"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Rango Semanal</w:t>
            </w:r>
          </w:p>
        </w:tc>
        <w:tc>
          <w:tcPr>
            <w:tcW w:w="1344" w:type="dxa"/>
            <w:tcBorders>
              <w:top w:val="single" w:sz="4" w:space="0" w:color="auto"/>
              <w:left w:val="single" w:sz="4" w:space="0" w:color="auto"/>
              <w:bottom w:val="single" w:sz="4" w:space="0" w:color="auto"/>
              <w:right w:val="single" w:sz="4" w:space="0" w:color="auto"/>
            </w:tcBorders>
          </w:tcPr>
          <w:p w14:paraId="73CD014B"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4 000</w:t>
            </w:r>
          </w:p>
          <w:p w14:paraId="1AB78B3E"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9 000</w:t>
            </w:r>
          </w:p>
        </w:tc>
        <w:tc>
          <w:tcPr>
            <w:tcW w:w="1343" w:type="dxa"/>
            <w:tcBorders>
              <w:top w:val="single" w:sz="4" w:space="0" w:color="auto"/>
              <w:left w:val="single" w:sz="4" w:space="0" w:color="auto"/>
              <w:bottom w:val="single" w:sz="4" w:space="0" w:color="auto"/>
              <w:right w:val="single" w:sz="4" w:space="0" w:color="auto"/>
            </w:tcBorders>
          </w:tcPr>
          <w:p w14:paraId="0E6579B5"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4 000</w:t>
            </w:r>
          </w:p>
          <w:p w14:paraId="65FAC05C"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9 000</w:t>
            </w:r>
          </w:p>
        </w:tc>
        <w:tc>
          <w:tcPr>
            <w:tcW w:w="1344" w:type="dxa"/>
            <w:tcBorders>
              <w:top w:val="single" w:sz="4" w:space="0" w:color="auto"/>
              <w:left w:val="single" w:sz="4" w:space="0" w:color="auto"/>
              <w:bottom w:val="single" w:sz="4" w:space="0" w:color="auto"/>
              <w:right w:val="single" w:sz="4" w:space="0" w:color="auto"/>
            </w:tcBorders>
          </w:tcPr>
          <w:p w14:paraId="5FB27EAF"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4 000</w:t>
            </w:r>
          </w:p>
          <w:p w14:paraId="5DB2E3AD"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9 000</w:t>
            </w:r>
          </w:p>
        </w:tc>
        <w:tc>
          <w:tcPr>
            <w:tcW w:w="1335" w:type="dxa"/>
            <w:tcBorders>
              <w:top w:val="single" w:sz="4" w:space="0" w:color="auto"/>
              <w:left w:val="single" w:sz="4" w:space="0" w:color="auto"/>
              <w:bottom w:val="single" w:sz="4" w:space="0" w:color="auto"/>
              <w:right w:val="single" w:sz="4" w:space="0" w:color="auto"/>
            </w:tcBorders>
          </w:tcPr>
          <w:p w14:paraId="32D55777"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4 000</w:t>
            </w:r>
          </w:p>
          <w:p w14:paraId="3D892E1F"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máx. 11 000</w:t>
            </w:r>
          </w:p>
        </w:tc>
      </w:tr>
      <w:tr w:rsidR="00383193" w:rsidRPr="00383193" w14:paraId="04576BEE"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vAlign w:val="center"/>
          </w:tcPr>
          <w:p w14:paraId="7324B5C9"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Cetes 91 días</w:t>
            </w:r>
          </w:p>
        </w:tc>
        <w:tc>
          <w:tcPr>
            <w:tcW w:w="1596" w:type="dxa"/>
            <w:tcBorders>
              <w:top w:val="single" w:sz="4" w:space="0" w:color="auto"/>
              <w:left w:val="single" w:sz="4" w:space="0" w:color="auto"/>
              <w:bottom w:val="single" w:sz="4" w:space="0" w:color="auto"/>
              <w:right w:val="single" w:sz="4" w:space="0" w:color="auto"/>
            </w:tcBorders>
            <w:vAlign w:val="center"/>
          </w:tcPr>
          <w:p w14:paraId="625EE251"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Rango Semanal</w:t>
            </w:r>
          </w:p>
        </w:tc>
        <w:tc>
          <w:tcPr>
            <w:tcW w:w="1344" w:type="dxa"/>
            <w:tcBorders>
              <w:top w:val="single" w:sz="4" w:space="0" w:color="auto"/>
              <w:left w:val="single" w:sz="4" w:space="0" w:color="auto"/>
              <w:bottom w:val="single" w:sz="4" w:space="0" w:color="auto"/>
              <w:right w:val="single" w:sz="4" w:space="0" w:color="auto"/>
            </w:tcBorders>
          </w:tcPr>
          <w:p w14:paraId="6D1D38D5"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7 000</w:t>
            </w:r>
          </w:p>
          <w:p w14:paraId="151A2371"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12 000</w:t>
            </w:r>
          </w:p>
        </w:tc>
        <w:tc>
          <w:tcPr>
            <w:tcW w:w="1343" w:type="dxa"/>
            <w:tcBorders>
              <w:top w:val="single" w:sz="4" w:space="0" w:color="auto"/>
              <w:left w:val="single" w:sz="4" w:space="0" w:color="auto"/>
              <w:bottom w:val="single" w:sz="4" w:space="0" w:color="auto"/>
              <w:right w:val="single" w:sz="4" w:space="0" w:color="auto"/>
            </w:tcBorders>
          </w:tcPr>
          <w:p w14:paraId="26CE546F"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7 000</w:t>
            </w:r>
          </w:p>
          <w:p w14:paraId="5489EA82"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12 000</w:t>
            </w:r>
          </w:p>
        </w:tc>
        <w:tc>
          <w:tcPr>
            <w:tcW w:w="1344" w:type="dxa"/>
            <w:tcBorders>
              <w:top w:val="single" w:sz="4" w:space="0" w:color="auto"/>
              <w:left w:val="single" w:sz="4" w:space="0" w:color="auto"/>
              <w:bottom w:val="single" w:sz="4" w:space="0" w:color="auto"/>
              <w:right w:val="single" w:sz="4" w:space="0" w:color="auto"/>
            </w:tcBorders>
          </w:tcPr>
          <w:p w14:paraId="49F6624E"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7 000</w:t>
            </w:r>
          </w:p>
          <w:p w14:paraId="0C262574"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máx. 12 000</w:t>
            </w:r>
          </w:p>
        </w:tc>
        <w:tc>
          <w:tcPr>
            <w:tcW w:w="1335" w:type="dxa"/>
            <w:tcBorders>
              <w:top w:val="single" w:sz="4" w:space="0" w:color="auto"/>
              <w:left w:val="single" w:sz="4" w:space="0" w:color="auto"/>
              <w:bottom w:val="single" w:sz="4" w:space="0" w:color="auto"/>
              <w:right w:val="single" w:sz="4" w:space="0" w:color="auto"/>
            </w:tcBorders>
          </w:tcPr>
          <w:p w14:paraId="2E7781D3"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mín. 7 000</w:t>
            </w:r>
          </w:p>
          <w:p w14:paraId="39BC3559"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máx. 14 000</w:t>
            </w:r>
          </w:p>
        </w:tc>
      </w:tr>
      <w:tr w:rsidR="00383193" w:rsidRPr="00383193" w14:paraId="535861CD"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28D43FB6"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Cetes 182 días</w:t>
            </w:r>
          </w:p>
        </w:tc>
        <w:tc>
          <w:tcPr>
            <w:tcW w:w="1596" w:type="dxa"/>
            <w:tcBorders>
              <w:top w:val="single" w:sz="4" w:space="0" w:color="auto"/>
              <w:left w:val="single" w:sz="4" w:space="0" w:color="auto"/>
              <w:bottom w:val="single" w:sz="4" w:space="0" w:color="auto"/>
              <w:right w:val="single" w:sz="4" w:space="0" w:color="auto"/>
            </w:tcBorders>
          </w:tcPr>
          <w:p w14:paraId="719CF012"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Semanal</w:t>
            </w:r>
          </w:p>
        </w:tc>
        <w:tc>
          <w:tcPr>
            <w:tcW w:w="1344" w:type="dxa"/>
            <w:tcBorders>
              <w:top w:val="single" w:sz="4" w:space="0" w:color="auto"/>
              <w:left w:val="single" w:sz="4" w:space="0" w:color="auto"/>
              <w:bottom w:val="single" w:sz="4" w:space="0" w:color="auto"/>
              <w:right w:val="single" w:sz="4" w:space="0" w:color="auto"/>
            </w:tcBorders>
          </w:tcPr>
          <w:p w14:paraId="2CB2E344"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43" w:type="dxa"/>
            <w:tcBorders>
              <w:top w:val="single" w:sz="4" w:space="0" w:color="auto"/>
              <w:left w:val="single" w:sz="4" w:space="0" w:color="auto"/>
              <w:bottom w:val="single" w:sz="4" w:space="0" w:color="auto"/>
              <w:right w:val="single" w:sz="4" w:space="0" w:color="auto"/>
            </w:tcBorders>
          </w:tcPr>
          <w:p w14:paraId="65C583F0"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44" w:type="dxa"/>
            <w:tcBorders>
              <w:top w:val="single" w:sz="4" w:space="0" w:color="auto"/>
              <w:left w:val="single" w:sz="4" w:space="0" w:color="auto"/>
              <w:bottom w:val="single" w:sz="4" w:space="0" w:color="auto"/>
              <w:right w:val="single" w:sz="4" w:space="0" w:color="auto"/>
            </w:tcBorders>
          </w:tcPr>
          <w:p w14:paraId="65637F07"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35" w:type="dxa"/>
            <w:tcBorders>
              <w:top w:val="single" w:sz="4" w:space="0" w:color="auto"/>
              <w:left w:val="single" w:sz="4" w:space="0" w:color="auto"/>
              <w:bottom w:val="single" w:sz="4" w:space="0" w:color="auto"/>
              <w:right w:val="single" w:sz="4" w:space="0" w:color="auto"/>
            </w:tcBorders>
          </w:tcPr>
          <w:p w14:paraId="350D1E83"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r>
      <w:tr w:rsidR="00383193" w:rsidRPr="00383193" w14:paraId="1B8136C7"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00ACE9FE"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Cetes 364 días</w:t>
            </w:r>
          </w:p>
        </w:tc>
        <w:tc>
          <w:tcPr>
            <w:tcW w:w="1596" w:type="dxa"/>
            <w:tcBorders>
              <w:top w:val="single" w:sz="4" w:space="0" w:color="auto"/>
              <w:left w:val="single" w:sz="4" w:space="0" w:color="auto"/>
              <w:bottom w:val="single" w:sz="4" w:space="0" w:color="auto"/>
              <w:right w:val="single" w:sz="4" w:space="0" w:color="auto"/>
            </w:tcBorders>
          </w:tcPr>
          <w:p w14:paraId="049953B3"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092CA3C4"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43" w:type="dxa"/>
            <w:tcBorders>
              <w:top w:val="single" w:sz="4" w:space="0" w:color="auto"/>
              <w:left w:val="single" w:sz="4" w:space="0" w:color="auto"/>
              <w:bottom w:val="single" w:sz="4" w:space="0" w:color="auto"/>
              <w:right w:val="single" w:sz="4" w:space="0" w:color="auto"/>
            </w:tcBorders>
          </w:tcPr>
          <w:p w14:paraId="10935BD9"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44" w:type="dxa"/>
            <w:tcBorders>
              <w:top w:val="single" w:sz="4" w:space="0" w:color="auto"/>
              <w:left w:val="single" w:sz="4" w:space="0" w:color="auto"/>
              <w:bottom w:val="single" w:sz="4" w:space="0" w:color="auto"/>
              <w:right w:val="single" w:sz="4" w:space="0" w:color="auto"/>
            </w:tcBorders>
          </w:tcPr>
          <w:p w14:paraId="00374C8A"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c>
          <w:tcPr>
            <w:tcW w:w="1335" w:type="dxa"/>
            <w:tcBorders>
              <w:top w:val="single" w:sz="4" w:space="0" w:color="auto"/>
              <w:left w:val="single" w:sz="4" w:space="0" w:color="auto"/>
              <w:bottom w:val="single" w:sz="4" w:space="0" w:color="auto"/>
              <w:right w:val="single" w:sz="4" w:space="0" w:color="auto"/>
            </w:tcBorders>
          </w:tcPr>
          <w:p w14:paraId="647FF259"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11 000</w:t>
            </w:r>
          </w:p>
        </w:tc>
      </w:tr>
      <w:tr w:rsidR="00383193" w:rsidRPr="00383193" w14:paraId="15019C52" w14:textId="77777777" w:rsidTr="00A573F8">
        <w:trPr>
          <w:jc w:val="center"/>
        </w:trPr>
        <w:tc>
          <w:tcPr>
            <w:tcW w:w="8766" w:type="dxa"/>
            <w:gridSpan w:val="6"/>
            <w:tcBorders>
              <w:top w:val="single" w:sz="4" w:space="0" w:color="auto"/>
              <w:left w:val="single" w:sz="4" w:space="0" w:color="auto"/>
              <w:bottom w:val="single" w:sz="4" w:space="0" w:color="auto"/>
              <w:right w:val="single" w:sz="4" w:space="0" w:color="auto"/>
            </w:tcBorders>
          </w:tcPr>
          <w:p w14:paraId="471F40B1"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Bonos a Tasa Nominal Fija</w:t>
            </w:r>
          </w:p>
        </w:tc>
      </w:tr>
      <w:tr w:rsidR="00383193" w:rsidRPr="00383193" w14:paraId="029FA806"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79D6BD58"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Bonos 3 años</w:t>
            </w:r>
          </w:p>
        </w:tc>
        <w:tc>
          <w:tcPr>
            <w:tcW w:w="1596" w:type="dxa"/>
            <w:tcBorders>
              <w:top w:val="single" w:sz="4" w:space="0" w:color="auto"/>
              <w:left w:val="single" w:sz="4" w:space="0" w:color="auto"/>
              <w:bottom w:val="single" w:sz="4" w:space="0" w:color="auto"/>
              <w:right w:val="single" w:sz="4" w:space="0" w:color="auto"/>
            </w:tcBorders>
          </w:tcPr>
          <w:p w14:paraId="3E2AC4B7"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09C9821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10 000</w:t>
            </w:r>
          </w:p>
        </w:tc>
        <w:tc>
          <w:tcPr>
            <w:tcW w:w="1343" w:type="dxa"/>
            <w:tcBorders>
              <w:top w:val="single" w:sz="4" w:space="0" w:color="auto"/>
              <w:left w:val="single" w:sz="4" w:space="0" w:color="auto"/>
              <w:bottom w:val="single" w:sz="4" w:space="0" w:color="auto"/>
              <w:right w:val="single" w:sz="4" w:space="0" w:color="auto"/>
            </w:tcBorders>
          </w:tcPr>
          <w:p w14:paraId="12916004"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10 000</w:t>
            </w:r>
          </w:p>
        </w:tc>
        <w:tc>
          <w:tcPr>
            <w:tcW w:w="1344" w:type="dxa"/>
            <w:tcBorders>
              <w:top w:val="single" w:sz="4" w:space="0" w:color="auto"/>
              <w:left w:val="single" w:sz="4" w:space="0" w:color="auto"/>
              <w:bottom w:val="single" w:sz="4" w:space="0" w:color="auto"/>
              <w:right w:val="single" w:sz="4" w:space="0" w:color="auto"/>
            </w:tcBorders>
          </w:tcPr>
          <w:p w14:paraId="6E1D25E2"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9 500</w:t>
            </w:r>
          </w:p>
        </w:tc>
        <w:tc>
          <w:tcPr>
            <w:tcW w:w="1335" w:type="dxa"/>
            <w:tcBorders>
              <w:top w:val="single" w:sz="4" w:space="0" w:color="auto"/>
              <w:left w:val="single" w:sz="4" w:space="0" w:color="auto"/>
              <w:bottom w:val="single" w:sz="4" w:space="0" w:color="auto"/>
              <w:right w:val="single" w:sz="4" w:space="0" w:color="auto"/>
            </w:tcBorders>
          </w:tcPr>
          <w:p w14:paraId="6F434449"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9 500</w:t>
            </w:r>
          </w:p>
        </w:tc>
      </w:tr>
      <w:tr w:rsidR="00383193" w:rsidRPr="00383193" w14:paraId="270C4661"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41FD9943"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Bonos 5 años</w:t>
            </w:r>
          </w:p>
        </w:tc>
        <w:tc>
          <w:tcPr>
            <w:tcW w:w="1596" w:type="dxa"/>
            <w:tcBorders>
              <w:top w:val="single" w:sz="4" w:space="0" w:color="auto"/>
              <w:left w:val="single" w:sz="4" w:space="0" w:color="auto"/>
              <w:bottom w:val="single" w:sz="4" w:space="0" w:color="auto"/>
              <w:right w:val="single" w:sz="4" w:space="0" w:color="auto"/>
            </w:tcBorders>
          </w:tcPr>
          <w:p w14:paraId="38ED8A31"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0BDB4508"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9 500</w:t>
            </w:r>
          </w:p>
        </w:tc>
        <w:tc>
          <w:tcPr>
            <w:tcW w:w="1343" w:type="dxa"/>
            <w:tcBorders>
              <w:top w:val="single" w:sz="4" w:space="0" w:color="auto"/>
              <w:left w:val="single" w:sz="4" w:space="0" w:color="auto"/>
              <w:bottom w:val="single" w:sz="4" w:space="0" w:color="auto"/>
              <w:right w:val="single" w:sz="4" w:space="0" w:color="auto"/>
            </w:tcBorders>
          </w:tcPr>
          <w:p w14:paraId="75F40577"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9 500</w:t>
            </w:r>
          </w:p>
        </w:tc>
        <w:tc>
          <w:tcPr>
            <w:tcW w:w="1344" w:type="dxa"/>
            <w:tcBorders>
              <w:top w:val="single" w:sz="4" w:space="0" w:color="auto"/>
              <w:left w:val="single" w:sz="4" w:space="0" w:color="auto"/>
              <w:bottom w:val="single" w:sz="4" w:space="0" w:color="auto"/>
              <w:right w:val="single" w:sz="4" w:space="0" w:color="auto"/>
            </w:tcBorders>
          </w:tcPr>
          <w:p w14:paraId="2D82A3F6"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9 000</w:t>
            </w:r>
          </w:p>
        </w:tc>
        <w:tc>
          <w:tcPr>
            <w:tcW w:w="1335" w:type="dxa"/>
            <w:tcBorders>
              <w:top w:val="single" w:sz="4" w:space="0" w:color="auto"/>
              <w:left w:val="single" w:sz="4" w:space="0" w:color="auto"/>
              <w:bottom w:val="single" w:sz="4" w:space="0" w:color="auto"/>
              <w:right w:val="single" w:sz="4" w:space="0" w:color="auto"/>
            </w:tcBorders>
          </w:tcPr>
          <w:p w14:paraId="07D8E66B"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9 000</w:t>
            </w:r>
          </w:p>
        </w:tc>
      </w:tr>
      <w:tr w:rsidR="00383193" w:rsidRPr="00383193" w14:paraId="2DB7AAE1"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1CF4B0DC"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Bonos 10 años</w:t>
            </w:r>
          </w:p>
        </w:tc>
        <w:tc>
          <w:tcPr>
            <w:tcW w:w="1596" w:type="dxa"/>
            <w:tcBorders>
              <w:top w:val="single" w:sz="4" w:space="0" w:color="auto"/>
              <w:left w:val="single" w:sz="4" w:space="0" w:color="auto"/>
              <w:bottom w:val="single" w:sz="4" w:space="0" w:color="auto"/>
              <w:right w:val="single" w:sz="4" w:space="0" w:color="auto"/>
            </w:tcBorders>
          </w:tcPr>
          <w:p w14:paraId="7231B58B"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6 semanas</w:t>
            </w:r>
          </w:p>
        </w:tc>
        <w:tc>
          <w:tcPr>
            <w:tcW w:w="1344" w:type="dxa"/>
            <w:tcBorders>
              <w:top w:val="single" w:sz="4" w:space="0" w:color="auto"/>
              <w:left w:val="single" w:sz="4" w:space="0" w:color="auto"/>
              <w:bottom w:val="single" w:sz="4" w:space="0" w:color="auto"/>
              <w:right w:val="single" w:sz="4" w:space="0" w:color="auto"/>
            </w:tcBorders>
          </w:tcPr>
          <w:p w14:paraId="780E9C97"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8 500</w:t>
            </w:r>
          </w:p>
        </w:tc>
        <w:tc>
          <w:tcPr>
            <w:tcW w:w="1343" w:type="dxa"/>
            <w:tcBorders>
              <w:top w:val="single" w:sz="4" w:space="0" w:color="auto"/>
              <w:left w:val="single" w:sz="4" w:space="0" w:color="auto"/>
              <w:bottom w:val="single" w:sz="4" w:space="0" w:color="auto"/>
              <w:right w:val="single" w:sz="4" w:space="0" w:color="auto"/>
            </w:tcBorders>
          </w:tcPr>
          <w:p w14:paraId="639A39E0"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8 500</w:t>
            </w:r>
          </w:p>
        </w:tc>
        <w:tc>
          <w:tcPr>
            <w:tcW w:w="1344" w:type="dxa"/>
            <w:tcBorders>
              <w:top w:val="single" w:sz="4" w:space="0" w:color="auto"/>
              <w:left w:val="single" w:sz="4" w:space="0" w:color="auto"/>
              <w:bottom w:val="single" w:sz="4" w:space="0" w:color="auto"/>
              <w:right w:val="single" w:sz="4" w:space="0" w:color="auto"/>
            </w:tcBorders>
          </w:tcPr>
          <w:p w14:paraId="2EAB2B4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8 000</w:t>
            </w:r>
          </w:p>
        </w:tc>
        <w:tc>
          <w:tcPr>
            <w:tcW w:w="1335" w:type="dxa"/>
            <w:tcBorders>
              <w:top w:val="single" w:sz="4" w:space="0" w:color="auto"/>
              <w:left w:val="single" w:sz="4" w:space="0" w:color="auto"/>
              <w:bottom w:val="single" w:sz="4" w:space="0" w:color="auto"/>
              <w:right w:val="single" w:sz="4" w:space="0" w:color="auto"/>
            </w:tcBorders>
          </w:tcPr>
          <w:p w14:paraId="77A91C82"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8 000</w:t>
            </w:r>
          </w:p>
        </w:tc>
      </w:tr>
      <w:tr w:rsidR="00383193" w:rsidRPr="00383193" w14:paraId="1391B983"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7A2332C1"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Bonos 20años</w:t>
            </w:r>
          </w:p>
        </w:tc>
        <w:tc>
          <w:tcPr>
            <w:tcW w:w="1596" w:type="dxa"/>
            <w:tcBorders>
              <w:top w:val="single" w:sz="4" w:space="0" w:color="auto"/>
              <w:left w:val="single" w:sz="4" w:space="0" w:color="auto"/>
              <w:bottom w:val="single" w:sz="4" w:space="0" w:color="auto"/>
              <w:right w:val="single" w:sz="4" w:space="0" w:color="auto"/>
            </w:tcBorders>
          </w:tcPr>
          <w:p w14:paraId="335F1F15"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6 semanas</w:t>
            </w:r>
          </w:p>
        </w:tc>
        <w:tc>
          <w:tcPr>
            <w:tcW w:w="1344" w:type="dxa"/>
            <w:tcBorders>
              <w:top w:val="single" w:sz="4" w:space="0" w:color="auto"/>
              <w:left w:val="single" w:sz="4" w:space="0" w:color="auto"/>
              <w:bottom w:val="single" w:sz="4" w:space="0" w:color="auto"/>
              <w:right w:val="single" w:sz="4" w:space="0" w:color="auto"/>
            </w:tcBorders>
          </w:tcPr>
          <w:p w14:paraId="633843F7"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3 500</w:t>
            </w:r>
          </w:p>
        </w:tc>
        <w:tc>
          <w:tcPr>
            <w:tcW w:w="1343" w:type="dxa"/>
            <w:tcBorders>
              <w:top w:val="single" w:sz="4" w:space="0" w:color="auto"/>
              <w:left w:val="single" w:sz="4" w:space="0" w:color="auto"/>
              <w:bottom w:val="single" w:sz="4" w:space="0" w:color="auto"/>
              <w:right w:val="single" w:sz="4" w:space="0" w:color="auto"/>
            </w:tcBorders>
          </w:tcPr>
          <w:p w14:paraId="009444AF"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3 500</w:t>
            </w:r>
          </w:p>
        </w:tc>
        <w:tc>
          <w:tcPr>
            <w:tcW w:w="1344" w:type="dxa"/>
            <w:tcBorders>
              <w:top w:val="single" w:sz="4" w:space="0" w:color="auto"/>
              <w:left w:val="single" w:sz="4" w:space="0" w:color="auto"/>
              <w:bottom w:val="single" w:sz="4" w:space="0" w:color="auto"/>
              <w:right w:val="single" w:sz="4" w:space="0" w:color="auto"/>
            </w:tcBorders>
          </w:tcPr>
          <w:p w14:paraId="531B9AE8"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35" w:type="dxa"/>
            <w:tcBorders>
              <w:top w:val="single" w:sz="4" w:space="0" w:color="auto"/>
              <w:left w:val="single" w:sz="4" w:space="0" w:color="auto"/>
              <w:bottom w:val="single" w:sz="4" w:space="0" w:color="auto"/>
              <w:right w:val="single" w:sz="4" w:space="0" w:color="auto"/>
            </w:tcBorders>
          </w:tcPr>
          <w:p w14:paraId="65128C00"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r>
      <w:tr w:rsidR="00383193" w:rsidRPr="00383193" w14:paraId="24818A47"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5886A470"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Bonos 30 años</w:t>
            </w:r>
          </w:p>
        </w:tc>
        <w:tc>
          <w:tcPr>
            <w:tcW w:w="1596" w:type="dxa"/>
            <w:tcBorders>
              <w:top w:val="single" w:sz="4" w:space="0" w:color="auto"/>
              <w:left w:val="single" w:sz="4" w:space="0" w:color="auto"/>
              <w:bottom w:val="single" w:sz="4" w:space="0" w:color="auto"/>
              <w:right w:val="single" w:sz="4" w:space="0" w:color="auto"/>
            </w:tcBorders>
          </w:tcPr>
          <w:p w14:paraId="405F5253"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6 semanas</w:t>
            </w:r>
          </w:p>
        </w:tc>
        <w:tc>
          <w:tcPr>
            <w:tcW w:w="1344" w:type="dxa"/>
            <w:tcBorders>
              <w:top w:val="single" w:sz="4" w:space="0" w:color="auto"/>
              <w:left w:val="single" w:sz="4" w:space="0" w:color="auto"/>
              <w:bottom w:val="single" w:sz="4" w:space="0" w:color="auto"/>
              <w:right w:val="single" w:sz="4" w:space="0" w:color="auto"/>
            </w:tcBorders>
          </w:tcPr>
          <w:p w14:paraId="23E61ABD"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43" w:type="dxa"/>
            <w:tcBorders>
              <w:top w:val="single" w:sz="4" w:space="0" w:color="auto"/>
              <w:left w:val="single" w:sz="4" w:space="0" w:color="auto"/>
              <w:bottom w:val="single" w:sz="4" w:space="0" w:color="auto"/>
              <w:right w:val="single" w:sz="4" w:space="0" w:color="auto"/>
            </w:tcBorders>
          </w:tcPr>
          <w:p w14:paraId="4D9C7D4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44" w:type="dxa"/>
            <w:tcBorders>
              <w:top w:val="single" w:sz="4" w:space="0" w:color="auto"/>
              <w:left w:val="single" w:sz="4" w:space="0" w:color="auto"/>
              <w:bottom w:val="single" w:sz="4" w:space="0" w:color="auto"/>
              <w:right w:val="single" w:sz="4" w:space="0" w:color="auto"/>
            </w:tcBorders>
          </w:tcPr>
          <w:p w14:paraId="077FFF78"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2 500</w:t>
            </w:r>
          </w:p>
        </w:tc>
        <w:tc>
          <w:tcPr>
            <w:tcW w:w="1335" w:type="dxa"/>
            <w:tcBorders>
              <w:top w:val="single" w:sz="4" w:space="0" w:color="auto"/>
              <w:left w:val="single" w:sz="4" w:space="0" w:color="auto"/>
              <w:bottom w:val="single" w:sz="4" w:space="0" w:color="auto"/>
              <w:right w:val="single" w:sz="4" w:space="0" w:color="auto"/>
            </w:tcBorders>
          </w:tcPr>
          <w:p w14:paraId="547841CF"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2 500</w:t>
            </w:r>
          </w:p>
        </w:tc>
      </w:tr>
      <w:tr w:rsidR="00383193" w:rsidRPr="00383193" w14:paraId="2DCAE9F4" w14:textId="77777777" w:rsidTr="00A573F8">
        <w:trPr>
          <w:jc w:val="center"/>
        </w:trPr>
        <w:tc>
          <w:tcPr>
            <w:tcW w:w="8766" w:type="dxa"/>
            <w:gridSpan w:val="6"/>
            <w:tcBorders>
              <w:top w:val="single" w:sz="4" w:space="0" w:color="auto"/>
              <w:left w:val="single" w:sz="4" w:space="0" w:color="auto"/>
              <w:bottom w:val="single" w:sz="4" w:space="0" w:color="auto"/>
              <w:right w:val="single" w:sz="4" w:space="0" w:color="auto"/>
            </w:tcBorders>
          </w:tcPr>
          <w:p w14:paraId="18A284BC"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Udibonos (Millones de Udis)</w:t>
            </w:r>
          </w:p>
        </w:tc>
      </w:tr>
      <w:tr w:rsidR="00383193" w:rsidRPr="00383193" w14:paraId="160D97E4"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5C7DFE52"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Udibono 3 años</w:t>
            </w:r>
          </w:p>
        </w:tc>
        <w:tc>
          <w:tcPr>
            <w:tcW w:w="1596" w:type="dxa"/>
            <w:tcBorders>
              <w:top w:val="single" w:sz="4" w:space="0" w:color="auto"/>
              <w:left w:val="single" w:sz="4" w:space="0" w:color="auto"/>
              <w:bottom w:val="single" w:sz="4" w:space="0" w:color="auto"/>
              <w:right w:val="single" w:sz="4" w:space="0" w:color="auto"/>
            </w:tcBorders>
          </w:tcPr>
          <w:p w14:paraId="689270F8"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5504CA7C"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900</w:t>
            </w:r>
          </w:p>
        </w:tc>
        <w:tc>
          <w:tcPr>
            <w:tcW w:w="1343" w:type="dxa"/>
            <w:tcBorders>
              <w:top w:val="single" w:sz="4" w:space="0" w:color="auto"/>
              <w:left w:val="single" w:sz="4" w:space="0" w:color="auto"/>
              <w:bottom w:val="single" w:sz="4" w:space="0" w:color="auto"/>
              <w:right w:val="single" w:sz="4" w:space="0" w:color="auto"/>
            </w:tcBorders>
          </w:tcPr>
          <w:p w14:paraId="33D8E292"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900</w:t>
            </w:r>
          </w:p>
        </w:tc>
        <w:tc>
          <w:tcPr>
            <w:tcW w:w="1344" w:type="dxa"/>
            <w:tcBorders>
              <w:top w:val="single" w:sz="4" w:space="0" w:color="auto"/>
              <w:left w:val="single" w:sz="4" w:space="0" w:color="auto"/>
              <w:bottom w:val="single" w:sz="4" w:space="0" w:color="auto"/>
              <w:right w:val="single" w:sz="4" w:space="0" w:color="auto"/>
            </w:tcBorders>
          </w:tcPr>
          <w:p w14:paraId="2278C79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850</w:t>
            </w:r>
          </w:p>
        </w:tc>
        <w:tc>
          <w:tcPr>
            <w:tcW w:w="1335" w:type="dxa"/>
            <w:tcBorders>
              <w:top w:val="single" w:sz="4" w:space="0" w:color="auto"/>
              <w:left w:val="single" w:sz="4" w:space="0" w:color="auto"/>
              <w:bottom w:val="single" w:sz="4" w:space="0" w:color="auto"/>
              <w:right w:val="single" w:sz="4" w:space="0" w:color="auto"/>
            </w:tcBorders>
          </w:tcPr>
          <w:p w14:paraId="0E8EC44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850</w:t>
            </w:r>
          </w:p>
        </w:tc>
      </w:tr>
      <w:tr w:rsidR="00383193" w:rsidRPr="00383193" w14:paraId="6142E596"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2288B81B"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Udibono 10 años</w:t>
            </w:r>
          </w:p>
        </w:tc>
        <w:tc>
          <w:tcPr>
            <w:tcW w:w="1596" w:type="dxa"/>
            <w:tcBorders>
              <w:top w:val="single" w:sz="4" w:space="0" w:color="auto"/>
              <w:left w:val="single" w:sz="4" w:space="0" w:color="auto"/>
              <w:bottom w:val="single" w:sz="4" w:space="0" w:color="auto"/>
              <w:right w:val="single" w:sz="4" w:space="0" w:color="auto"/>
            </w:tcBorders>
          </w:tcPr>
          <w:p w14:paraId="720BB913"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46C802DE"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800</w:t>
            </w:r>
          </w:p>
        </w:tc>
        <w:tc>
          <w:tcPr>
            <w:tcW w:w="1343" w:type="dxa"/>
            <w:tcBorders>
              <w:top w:val="single" w:sz="4" w:space="0" w:color="auto"/>
              <w:left w:val="single" w:sz="4" w:space="0" w:color="auto"/>
              <w:bottom w:val="single" w:sz="4" w:space="0" w:color="auto"/>
              <w:right w:val="single" w:sz="4" w:space="0" w:color="auto"/>
            </w:tcBorders>
          </w:tcPr>
          <w:p w14:paraId="0222C6F5"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800</w:t>
            </w:r>
          </w:p>
        </w:tc>
        <w:tc>
          <w:tcPr>
            <w:tcW w:w="1344" w:type="dxa"/>
            <w:tcBorders>
              <w:top w:val="single" w:sz="4" w:space="0" w:color="auto"/>
              <w:left w:val="single" w:sz="4" w:space="0" w:color="auto"/>
              <w:bottom w:val="single" w:sz="4" w:space="0" w:color="auto"/>
              <w:right w:val="single" w:sz="4" w:space="0" w:color="auto"/>
            </w:tcBorders>
          </w:tcPr>
          <w:p w14:paraId="0B376359"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750</w:t>
            </w:r>
          </w:p>
        </w:tc>
        <w:tc>
          <w:tcPr>
            <w:tcW w:w="1335" w:type="dxa"/>
            <w:tcBorders>
              <w:top w:val="single" w:sz="4" w:space="0" w:color="auto"/>
              <w:left w:val="single" w:sz="4" w:space="0" w:color="auto"/>
              <w:bottom w:val="single" w:sz="4" w:space="0" w:color="auto"/>
              <w:right w:val="single" w:sz="4" w:space="0" w:color="auto"/>
            </w:tcBorders>
          </w:tcPr>
          <w:p w14:paraId="66EB059A"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750</w:t>
            </w:r>
          </w:p>
        </w:tc>
      </w:tr>
      <w:tr w:rsidR="00383193" w:rsidRPr="00383193" w14:paraId="7CF80363"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5E6E97B0"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Udibono 30 años</w:t>
            </w:r>
          </w:p>
        </w:tc>
        <w:tc>
          <w:tcPr>
            <w:tcW w:w="1596" w:type="dxa"/>
            <w:tcBorders>
              <w:top w:val="single" w:sz="4" w:space="0" w:color="auto"/>
              <w:left w:val="single" w:sz="4" w:space="0" w:color="auto"/>
              <w:bottom w:val="single" w:sz="4" w:space="0" w:color="auto"/>
              <w:right w:val="single" w:sz="4" w:space="0" w:color="auto"/>
            </w:tcBorders>
          </w:tcPr>
          <w:p w14:paraId="53BE1FDD"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4 semanas</w:t>
            </w:r>
          </w:p>
        </w:tc>
        <w:tc>
          <w:tcPr>
            <w:tcW w:w="1344" w:type="dxa"/>
            <w:tcBorders>
              <w:top w:val="single" w:sz="4" w:space="0" w:color="auto"/>
              <w:left w:val="single" w:sz="4" w:space="0" w:color="auto"/>
              <w:bottom w:val="single" w:sz="4" w:space="0" w:color="auto"/>
              <w:right w:val="single" w:sz="4" w:space="0" w:color="auto"/>
            </w:tcBorders>
          </w:tcPr>
          <w:p w14:paraId="3FD954D3"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550</w:t>
            </w:r>
          </w:p>
        </w:tc>
        <w:tc>
          <w:tcPr>
            <w:tcW w:w="1343" w:type="dxa"/>
            <w:tcBorders>
              <w:top w:val="single" w:sz="4" w:space="0" w:color="auto"/>
              <w:left w:val="single" w:sz="4" w:space="0" w:color="auto"/>
              <w:bottom w:val="single" w:sz="4" w:space="0" w:color="auto"/>
              <w:right w:val="single" w:sz="4" w:space="0" w:color="auto"/>
            </w:tcBorders>
          </w:tcPr>
          <w:p w14:paraId="0F97FFF1"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550</w:t>
            </w:r>
          </w:p>
        </w:tc>
        <w:tc>
          <w:tcPr>
            <w:tcW w:w="1344" w:type="dxa"/>
            <w:tcBorders>
              <w:top w:val="single" w:sz="4" w:space="0" w:color="auto"/>
              <w:left w:val="single" w:sz="4" w:space="0" w:color="auto"/>
              <w:bottom w:val="single" w:sz="4" w:space="0" w:color="auto"/>
              <w:right w:val="single" w:sz="4" w:space="0" w:color="auto"/>
            </w:tcBorders>
          </w:tcPr>
          <w:p w14:paraId="5542797F"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500</w:t>
            </w:r>
          </w:p>
        </w:tc>
        <w:tc>
          <w:tcPr>
            <w:tcW w:w="1335" w:type="dxa"/>
            <w:tcBorders>
              <w:top w:val="single" w:sz="4" w:space="0" w:color="auto"/>
              <w:left w:val="single" w:sz="4" w:space="0" w:color="auto"/>
              <w:bottom w:val="single" w:sz="4" w:space="0" w:color="auto"/>
              <w:right w:val="single" w:sz="4" w:space="0" w:color="auto"/>
            </w:tcBorders>
          </w:tcPr>
          <w:p w14:paraId="723BD8C5"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500</w:t>
            </w:r>
          </w:p>
        </w:tc>
      </w:tr>
      <w:tr w:rsidR="00383193" w:rsidRPr="00383193" w14:paraId="4D3F3617"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51A6D6B0" w14:textId="77777777" w:rsidR="00383193" w:rsidRPr="00383193" w:rsidRDefault="00383193" w:rsidP="00383193">
            <w:pPr>
              <w:rPr>
                <w:rFonts w:eastAsia="Calibri"/>
                <w:b/>
                <w:sz w:val="18"/>
                <w:szCs w:val="18"/>
                <w:lang w:eastAsia="en-US"/>
              </w:rPr>
            </w:pPr>
            <w:r w:rsidRPr="00383193">
              <w:rPr>
                <w:rFonts w:eastAsia="Calibri"/>
                <w:b/>
                <w:sz w:val="18"/>
                <w:szCs w:val="18"/>
                <w:lang w:eastAsia="en-US"/>
              </w:rPr>
              <w:t>Segregados de Udibonos 30 años</w:t>
            </w:r>
            <w:r w:rsidRPr="00383193">
              <w:rPr>
                <w:rFonts w:eastAsia="Calibri"/>
                <w:b/>
                <w:sz w:val="18"/>
                <w:szCs w:val="18"/>
                <w:u w:val="single"/>
                <w:vertAlign w:val="superscript"/>
                <w:lang w:eastAsia="en-US"/>
              </w:rPr>
              <w:t>1</w:t>
            </w:r>
            <w:r w:rsidRPr="00383193">
              <w:rPr>
                <w:rFonts w:eastAsia="Calibri"/>
                <w:b/>
                <w:sz w:val="18"/>
                <w:szCs w:val="18"/>
                <w:vertAlign w:val="superscript"/>
                <w:lang w:eastAsia="en-US"/>
              </w:rPr>
              <w:t>/</w:t>
            </w:r>
          </w:p>
        </w:tc>
        <w:tc>
          <w:tcPr>
            <w:tcW w:w="1596" w:type="dxa"/>
            <w:tcBorders>
              <w:top w:val="single" w:sz="4" w:space="0" w:color="auto"/>
              <w:left w:val="single" w:sz="4" w:space="0" w:color="auto"/>
              <w:bottom w:val="single" w:sz="4" w:space="0" w:color="auto"/>
              <w:right w:val="single" w:sz="4" w:space="0" w:color="auto"/>
            </w:tcBorders>
            <w:vAlign w:val="center"/>
          </w:tcPr>
          <w:p w14:paraId="0887032B"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12 semanas</w:t>
            </w:r>
          </w:p>
        </w:tc>
        <w:tc>
          <w:tcPr>
            <w:tcW w:w="1344" w:type="dxa"/>
            <w:tcBorders>
              <w:top w:val="single" w:sz="4" w:space="0" w:color="auto"/>
              <w:left w:val="single" w:sz="4" w:space="0" w:color="auto"/>
              <w:bottom w:val="single" w:sz="4" w:space="0" w:color="auto"/>
              <w:right w:val="single" w:sz="4" w:space="0" w:color="auto"/>
            </w:tcBorders>
          </w:tcPr>
          <w:p w14:paraId="3E914B4F"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2 500 lotes de SP</w:t>
            </w:r>
            <w:r w:rsidRPr="00383193">
              <w:rPr>
                <w:rFonts w:eastAsia="Calibri"/>
                <w:sz w:val="18"/>
                <w:szCs w:val="18"/>
                <w:u w:val="single"/>
                <w:vertAlign w:val="superscript"/>
                <w:lang w:eastAsia="en-US"/>
              </w:rPr>
              <w:t>2</w:t>
            </w:r>
            <w:r w:rsidRPr="00383193">
              <w:rPr>
                <w:rFonts w:eastAsia="Calibri"/>
                <w:sz w:val="18"/>
                <w:szCs w:val="18"/>
                <w:vertAlign w:val="superscript"/>
                <w:lang w:eastAsia="en-US"/>
              </w:rPr>
              <w:t>/</w:t>
            </w:r>
            <w:r w:rsidRPr="00383193">
              <w:rPr>
                <w:rFonts w:eastAsia="Calibri"/>
                <w:sz w:val="18"/>
                <w:szCs w:val="18"/>
                <w:lang w:eastAsia="en-US"/>
              </w:rPr>
              <w:t xml:space="preserve"> y SC</w:t>
            </w:r>
            <w:r w:rsidRPr="00383193">
              <w:rPr>
                <w:rFonts w:eastAsia="Calibri"/>
                <w:sz w:val="18"/>
                <w:szCs w:val="18"/>
                <w:u w:val="single"/>
                <w:vertAlign w:val="superscript"/>
                <w:lang w:eastAsia="en-US"/>
              </w:rPr>
              <w:t>3</w:t>
            </w:r>
            <w:r w:rsidRPr="00383193">
              <w:rPr>
                <w:rFonts w:eastAsia="Calibri"/>
                <w:sz w:val="18"/>
                <w:szCs w:val="18"/>
                <w:vertAlign w:val="superscript"/>
                <w:lang w:eastAsia="en-US"/>
              </w:rPr>
              <w:t>/</w:t>
            </w:r>
          </w:p>
        </w:tc>
        <w:tc>
          <w:tcPr>
            <w:tcW w:w="1343" w:type="dxa"/>
            <w:tcBorders>
              <w:top w:val="single" w:sz="4" w:space="0" w:color="auto"/>
              <w:left w:val="single" w:sz="4" w:space="0" w:color="auto"/>
              <w:bottom w:val="single" w:sz="4" w:space="0" w:color="auto"/>
              <w:right w:val="single" w:sz="4" w:space="0" w:color="auto"/>
            </w:tcBorders>
          </w:tcPr>
          <w:p w14:paraId="6702E280"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2 500 lotes de SP y SC</w:t>
            </w:r>
          </w:p>
        </w:tc>
        <w:tc>
          <w:tcPr>
            <w:tcW w:w="1344" w:type="dxa"/>
            <w:tcBorders>
              <w:top w:val="single" w:sz="4" w:space="0" w:color="auto"/>
              <w:left w:val="single" w:sz="4" w:space="0" w:color="auto"/>
              <w:bottom w:val="single" w:sz="4" w:space="0" w:color="auto"/>
              <w:right w:val="single" w:sz="4" w:space="0" w:color="auto"/>
            </w:tcBorders>
          </w:tcPr>
          <w:p w14:paraId="74B8294E"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2 500 lotes de SP y SC</w:t>
            </w:r>
          </w:p>
        </w:tc>
        <w:tc>
          <w:tcPr>
            <w:tcW w:w="1335" w:type="dxa"/>
            <w:tcBorders>
              <w:top w:val="single" w:sz="4" w:space="0" w:color="auto"/>
              <w:left w:val="single" w:sz="4" w:space="0" w:color="auto"/>
              <w:bottom w:val="single" w:sz="4" w:space="0" w:color="auto"/>
              <w:right w:val="single" w:sz="4" w:space="0" w:color="auto"/>
            </w:tcBorders>
            <w:vAlign w:val="center"/>
          </w:tcPr>
          <w:p w14:paraId="58158940"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Por definir</w:t>
            </w:r>
          </w:p>
        </w:tc>
      </w:tr>
      <w:tr w:rsidR="00383193" w:rsidRPr="00383193" w14:paraId="758DFFEE" w14:textId="77777777" w:rsidTr="00A573F8">
        <w:trPr>
          <w:jc w:val="center"/>
        </w:trPr>
        <w:tc>
          <w:tcPr>
            <w:tcW w:w="8766" w:type="dxa"/>
            <w:gridSpan w:val="6"/>
            <w:tcBorders>
              <w:top w:val="single" w:sz="4" w:space="0" w:color="auto"/>
              <w:left w:val="single" w:sz="4" w:space="0" w:color="auto"/>
              <w:bottom w:val="single" w:sz="4" w:space="0" w:color="auto"/>
              <w:right w:val="single" w:sz="4" w:space="0" w:color="auto"/>
            </w:tcBorders>
          </w:tcPr>
          <w:p w14:paraId="0D0AE208" w14:textId="77777777" w:rsidR="00383193" w:rsidRPr="00383193" w:rsidRDefault="00383193" w:rsidP="00383193">
            <w:pPr>
              <w:jc w:val="center"/>
              <w:rPr>
                <w:rFonts w:eastAsia="Calibri"/>
                <w:b/>
                <w:sz w:val="18"/>
                <w:szCs w:val="18"/>
                <w:lang w:eastAsia="en-US"/>
              </w:rPr>
            </w:pPr>
            <w:r w:rsidRPr="00383193">
              <w:rPr>
                <w:rFonts w:eastAsia="Calibri"/>
                <w:b/>
                <w:sz w:val="18"/>
                <w:szCs w:val="18"/>
                <w:lang w:eastAsia="en-US"/>
              </w:rPr>
              <w:t>Bondes D</w:t>
            </w:r>
          </w:p>
        </w:tc>
      </w:tr>
      <w:tr w:rsidR="00383193" w:rsidRPr="00383193" w14:paraId="71567184" w14:textId="77777777" w:rsidTr="00A573F8">
        <w:trPr>
          <w:jc w:val="center"/>
        </w:trPr>
        <w:tc>
          <w:tcPr>
            <w:tcW w:w="1804" w:type="dxa"/>
            <w:tcBorders>
              <w:top w:val="single" w:sz="4" w:space="0" w:color="auto"/>
              <w:left w:val="single" w:sz="4" w:space="0" w:color="auto"/>
              <w:bottom w:val="single" w:sz="4" w:space="0" w:color="auto"/>
              <w:right w:val="single" w:sz="4" w:space="0" w:color="auto"/>
            </w:tcBorders>
          </w:tcPr>
          <w:p w14:paraId="63A0420C"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Bondes D 5 años</w:t>
            </w:r>
          </w:p>
        </w:tc>
        <w:tc>
          <w:tcPr>
            <w:tcW w:w="1596" w:type="dxa"/>
            <w:tcBorders>
              <w:top w:val="single" w:sz="4" w:space="0" w:color="auto"/>
              <w:left w:val="single" w:sz="4" w:space="0" w:color="auto"/>
              <w:bottom w:val="single" w:sz="4" w:space="0" w:color="auto"/>
              <w:right w:val="single" w:sz="4" w:space="0" w:color="auto"/>
            </w:tcBorders>
          </w:tcPr>
          <w:p w14:paraId="1612B87A" w14:textId="77777777" w:rsidR="00383193" w:rsidRPr="00383193" w:rsidRDefault="00383193" w:rsidP="00383193">
            <w:pPr>
              <w:jc w:val="center"/>
              <w:rPr>
                <w:rFonts w:eastAsia="Calibri"/>
                <w:sz w:val="18"/>
                <w:szCs w:val="18"/>
                <w:lang w:eastAsia="en-US"/>
              </w:rPr>
            </w:pPr>
            <w:r w:rsidRPr="00383193">
              <w:rPr>
                <w:rFonts w:eastAsia="Calibri"/>
                <w:sz w:val="18"/>
                <w:szCs w:val="18"/>
                <w:lang w:eastAsia="en-US"/>
              </w:rPr>
              <w:t>Cada 2 semanas</w:t>
            </w:r>
          </w:p>
        </w:tc>
        <w:tc>
          <w:tcPr>
            <w:tcW w:w="1344" w:type="dxa"/>
            <w:tcBorders>
              <w:top w:val="single" w:sz="4" w:space="0" w:color="auto"/>
              <w:left w:val="single" w:sz="4" w:space="0" w:color="auto"/>
              <w:bottom w:val="single" w:sz="4" w:space="0" w:color="auto"/>
              <w:right w:val="single" w:sz="4" w:space="0" w:color="auto"/>
            </w:tcBorders>
          </w:tcPr>
          <w:p w14:paraId="673BEC4C"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43" w:type="dxa"/>
            <w:tcBorders>
              <w:top w:val="single" w:sz="4" w:space="0" w:color="auto"/>
              <w:left w:val="single" w:sz="4" w:space="0" w:color="auto"/>
              <w:bottom w:val="single" w:sz="4" w:space="0" w:color="auto"/>
              <w:right w:val="single" w:sz="4" w:space="0" w:color="auto"/>
            </w:tcBorders>
          </w:tcPr>
          <w:p w14:paraId="00E5007F"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44" w:type="dxa"/>
            <w:tcBorders>
              <w:top w:val="single" w:sz="4" w:space="0" w:color="auto"/>
              <w:left w:val="single" w:sz="4" w:space="0" w:color="auto"/>
              <w:bottom w:val="single" w:sz="4" w:space="0" w:color="auto"/>
              <w:right w:val="single" w:sz="4" w:space="0" w:color="auto"/>
            </w:tcBorders>
          </w:tcPr>
          <w:p w14:paraId="6C50B64A"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c>
          <w:tcPr>
            <w:tcW w:w="1335" w:type="dxa"/>
            <w:tcBorders>
              <w:top w:val="single" w:sz="4" w:space="0" w:color="auto"/>
              <w:left w:val="single" w:sz="4" w:space="0" w:color="auto"/>
              <w:bottom w:val="single" w:sz="4" w:space="0" w:color="auto"/>
              <w:right w:val="single" w:sz="4" w:space="0" w:color="auto"/>
            </w:tcBorders>
          </w:tcPr>
          <w:p w14:paraId="6F6E30E3" w14:textId="77777777" w:rsidR="00383193" w:rsidRPr="00383193" w:rsidRDefault="00383193" w:rsidP="00383193">
            <w:pPr>
              <w:ind w:right="284"/>
              <w:jc w:val="right"/>
              <w:rPr>
                <w:rFonts w:eastAsia="Calibri"/>
                <w:sz w:val="18"/>
                <w:szCs w:val="18"/>
                <w:lang w:eastAsia="en-US"/>
              </w:rPr>
            </w:pPr>
            <w:r w:rsidRPr="00383193">
              <w:rPr>
                <w:rFonts w:eastAsia="Calibri"/>
                <w:sz w:val="18"/>
                <w:szCs w:val="18"/>
                <w:lang w:eastAsia="en-US"/>
              </w:rPr>
              <w:t>3 000</w:t>
            </w:r>
          </w:p>
        </w:tc>
      </w:tr>
      <w:tr w:rsidR="00383193" w:rsidRPr="00383193" w14:paraId="7A85F0BB" w14:textId="77777777" w:rsidTr="00EA3974">
        <w:trPr>
          <w:jc w:val="center"/>
        </w:trPr>
        <w:tc>
          <w:tcPr>
            <w:tcW w:w="8766" w:type="dxa"/>
            <w:gridSpan w:val="6"/>
            <w:tcBorders>
              <w:left w:val="nil"/>
              <w:bottom w:val="nil"/>
              <w:right w:val="nil"/>
            </w:tcBorders>
          </w:tcPr>
          <w:p w14:paraId="1C4DDB4D" w14:textId="77777777" w:rsidR="00383193" w:rsidRPr="00383193" w:rsidRDefault="00383193" w:rsidP="00383193">
            <w:pPr>
              <w:jc w:val="both"/>
              <w:rPr>
                <w:rFonts w:eastAsia="Calibri"/>
                <w:sz w:val="18"/>
                <w:szCs w:val="18"/>
                <w:lang w:eastAsia="en-US"/>
              </w:rPr>
            </w:pPr>
            <w:r w:rsidRPr="00383193">
              <w:rPr>
                <w:rFonts w:eastAsia="Calibri"/>
                <w:sz w:val="18"/>
                <w:szCs w:val="18"/>
                <w:u w:val="single"/>
                <w:lang w:eastAsia="en-US"/>
              </w:rPr>
              <w:t>1</w:t>
            </w:r>
            <w:r w:rsidRPr="00383193">
              <w:rPr>
                <w:rFonts w:eastAsia="Calibri"/>
                <w:sz w:val="18"/>
                <w:szCs w:val="18"/>
                <w:lang w:eastAsia="en-US"/>
              </w:rPr>
              <w:t>/ Instrumentos considerados para colocación sindicada.</w:t>
            </w:r>
          </w:p>
          <w:p w14:paraId="71E2E6AC" w14:textId="77777777" w:rsidR="00383193" w:rsidRPr="00383193" w:rsidRDefault="00383193" w:rsidP="00383193">
            <w:pPr>
              <w:jc w:val="both"/>
              <w:rPr>
                <w:rFonts w:eastAsia="Calibri"/>
                <w:sz w:val="18"/>
                <w:szCs w:val="18"/>
                <w:lang w:eastAsia="en-US"/>
              </w:rPr>
            </w:pPr>
            <w:r w:rsidRPr="00383193">
              <w:rPr>
                <w:rFonts w:eastAsia="Calibri"/>
                <w:sz w:val="18"/>
                <w:szCs w:val="18"/>
                <w:u w:val="single"/>
                <w:lang w:eastAsia="en-US"/>
              </w:rPr>
              <w:t>2</w:t>
            </w:r>
            <w:r w:rsidRPr="00383193">
              <w:rPr>
                <w:rFonts w:eastAsia="Calibri"/>
                <w:sz w:val="18"/>
                <w:szCs w:val="18"/>
                <w:lang w:eastAsia="en-US"/>
              </w:rPr>
              <w:t>/ Principales Segregados.</w:t>
            </w:r>
          </w:p>
          <w:p w14:paraId="28B83C30" w14:textId="77777777" w:rsidR="00383193" w:rsidRPr="00383193" w:rsidRDefault="00383193" w:rsidP="00383193">
            <w:pPr>
              <w:jc w:val="both"/>
              <w:rPr>
                <w:rFonts w:eastAsia="Calibri"/>
                <w:sz w:val="18"/>
                <w:szCs w:val="18"/>
                <w:lang w:eastAsia="en-US"/>
              </w:rPr>
            </w:pPr>
            <w:r w:rsidRPr="00383193">
              <w:rPr>
                <w:rFonts w:eastAsia="Calibri"/>
                <w:sz w:val="18"/>
                <w:szCs w:val="18"/>
                <w:u w:val="single"/>
                <w:lang w:eastAsia="en-US"/>
              </w:rPr>
              <w:t>3</w:t>
            </w:r>
            <w:r w:rsidRPr="00383193">
              <w:rPr>
                <w:rFonts w:eastAsia="Calibri"/>
                <w:sz w:val="18"/>
                <w:szCs w:val="18"/>
                <w:lang w:eastAsia="en-US"/>
              </w:rPr>
              <w:t>/ Cupones Segregados.</w:t>
            </w:r>
          </w:p>
          <w:p w14:paraId="3EE9BFE6" w14:textId="77777777" w:rsidR="00383193" w:rsidRPr="00383193" w:rsidRDefault="00383193" w:rsidP="00383193">
            <w:pPr>
              <w:jc w:val="both"/>
              <w:rPr>
                <w:rFonts w:eastAsia="Calibri"/>
                <w:sz w:val="18"/>
                <w:szCs w:val="18"/>
                <w:lang w:eastAsia="en-US"/>
              </w:rPr>
            </w:pPr>
            <w:r w:rsidRPr="00383193">
              <w:rPr>
                <w:rFonts w:eastAsia="Calibri"/>
                <w:sz w:val="18"/>
                <w:szCs w:val="18"/>
                <w:lang w:eastAsia="en-US"/>
              </w:rPr>
              <w:t>FUENTE: SHCP.</w:t>
            </w:r>
          </w:p>
          <w:p w14:paraId="2873B8D1" w14:textId="77777777" w:rsidR="00383193" w:rsidRPr="00383193" w:rsidRDefault="00383193" w:rsidP="00383193">
            <w:pPr>
              <w:jc w:val="both"/>
              <w:rPr>
                <w:rFonts w:eastAsia="Calibri"/>
                <w:sz w:val="18"/>
                <w:szCs w:val="18"/>
                <w:lang w:eastAsia="en-US"/>
              </w:rPr>
            </w:pPr>
          </w:p>
        </w:tc>
      </w:tr>
    </w:tbl>
    <w:p w14:paraId="7F7128B8" w14:textId="77777777" w:rsidR="00383193" w:rsidRPr="00383193" w:rsidRDefault="00383193" w:rsidP="00383193">
      <w:pPr>
        <w:spacing w:after="360" w:line="360" w:lineRule="auto"/>
        <w:ind w:right="-159"/>
        <w:jc w:val="both"/>
        <w:rPr>
          <w:rFonts w:eastAsia="Calibri"/>
          <w:sz w:val="26"/>
          <w:szCs w:val="26"/>
          <w:lang w:eastAsia="en-US"/>
        </w:rPr>
      </w:pPr>
    </w:p>
    <w:p w14:paraId="3334258A" w14:textId="77777777" w:rsidR="00383193" w:rsidRPr="00383193" w:rsidRDefault="00383193" w:rsidP="00383193">
      <w:pPr>
        <w:spacing w:after="360" w:line="360" w:lineRule="auto"/>
        <w:ind w:right="-159"/>
        <w:jc w:val="both"/>
        <w:rPr>
          <w:rFonts w:eastAsia="Calibri"/>
          <w:sz w:val="26"/>
          <w:szCs w:val="26"/>
          <w:lang w:eastAsia="en-US"/>
        </w:rPr>
      </w:pPr>
    </w:p>
    <w:p w14:paraId="7290DAFF" w14:textId="77777777" w:rsidR="00383193" w:rsidRPr="00383193" w:rsidRDefault="00383193" w:rsidP="00383193">
      <w:pPr>
        <w:spacing w:after="360" w:line="360" w:lineRule="auto"/>
        <w:ind w:right="-159"/>
        <w:jc w:val="both"/>
        <w:rPr>
          <w:rFonts w:eastAsia="Calibri"/>
          <w:sz w:val="26"/>
          <w:szCs w:val="26"/>
          <w:lang w:eastAsia="en-US"/>
        </w:rPr>
      </w:pPr>
    </w:p>
    <w:p w14:paraId="3A2E6DDC" w14:textId="77777777" w:rsidR="00383193" w:rsidRPr="00383193" w:rsidRDefault="00383193" w:rsidP="00383193">
      <w:pPr>
        <w:spacing w:after="360" w:line="360" w:lineRule="auto"/>
        <w:ind w:right="-159"/>
        <w:jc w:val="both"/>
        <w:rPr>
          <w:rFonts w:eastAsia="Calibri"/>
          <w:sz w:val="26"/>
          <w:szCs w:val="26"/>
          <w:lang w:eastAsia="en-US"/>
        </w:rPr>
      </w:pPr>
    </w:p>
    <w:p w14:paraId="22396944" w14:textId="77777777" w:rsidR="00383193" w:rsidRPr="00383193" w:rsidRDefault="00383193" w:rsidP="00383193">
      <w:pPr>
        <w:spacing w:after="360" w:line="360" w:lineRule="auto"/>
        <w:ind w:right="-159"/>
        <w:jc w:val="both"/>
        <w:rPr>
          <w:rFonts w:eastAsia="Calibri"/>
          <w:sz w:val="26"/>
          <w:szCs w:val="26"/>
          <w:lang w:eastAsia="en-US"/>
        </w:rPr>
      </w:pPr>
    </w:p>
    <w:p w14:paraId="0F880F1A" w14:textId="77777777" w:rsidR="00383193" w:rsidRPr="00383193" w:rsidRDefault="00383193" w:rsidP="00383193">
      <w:pPr>
        <w:spacing w:after="360" w:line="360" w:lineRule="auto"/>
        <w:ind w:right="-159"/>
        <w:jc w:val="both"/>
        <w:rPr>
          <w:rFonts w:eastAsia="Calibri"/>
          <w:sz w:val="26"/>
          <w:szCs w:val="26"/>
          <w:lang w:eastAsia="en-US"/>
        </w:rPr>
      </w:pPr>
    </w:p>
    <w:p w14:paraId="71B8112A" w14:textId="77777777" w:rsidR="00383193" w:rsidRPr="00383193" w:rsidRDefault="00383193" w:rsidP="00383193">
      <w:pPr>
        <w:spacing w:after="360" w:line="360" w:lineRule="auto"/>
        <w:ind w:right="-159"/>
        <w:jc w:val="both"/>
        <w:rPr>
          <w:rFonts w:eastAsia="Calibri"/>
          <w:sz w:val="26"/>
          <w:szCs w:val="26"/>
          <w:lang w:eastAsia="en-US"/>
        </w:rPr>
      </w:pPr>
    </w:p>
    <w:tbl>
      <w:tblPr>
        <w:tblW w:w="9598" w:type="dxa"/>
        <w:jc w:val="center"/>
        <w:tblLayout w:type="fixed"/>
        <w:tblCellMar>
          <w:left w:w="70" w:type="dxa"/>
          <w:right w:w="70" w:type="dxa"/>
        </w:tblCellMar>
        <w:tblLook w:val="0000" w:firstRow="0" w:lastRow="0" w:firstColumn="0" w:lastColumn="0" w:noHBand="0" w:noVBand="0"/>
      </w:tblPr>
      <w:tblGrid>
        <w:gridCol w:w="1294"/>
        <w:gridCol w:w="2340"/>
        <w:gridCol w:w="2160"/>
        <w:gridCol w:w="2016"/>
        <w:gridCol w:w="1788"/>
      </w:tblGrid>
      <w:tr w:rsidR="00383193" w:rsidRPr="00383193" w14:paraId="2277C568" w14:textId="77777777" w:rsidTr="00EA3974">
        <w:trPr>
          <w:trHeight w:val="486"/>
          <w:jc w:val="center"/>
        </w:trPr>
        <w:tc>
          <w:tcPr>
            <w:tcW w:w="9598" w:type="dxa"/>
            <w:gridSpan w:val="5"/>
            <w:tcBorders>
              <w:bottom w:val="single" w:sz="4" w:space="0" w:color="auto"/>
            </w:tcBorders>
          </w:tcPr>
          <w:p w14:paraId="3D77655B" w14:textId="77777777" w:rsidR="00383193" w:rsidRPr="00383193" w:rsidRDefault="00383193" w:rsidP="00383193">
            <w:pPr>
              <w:jc w:val="center"/>
              <w:rPr>
                <w:rFonts w:eastAsia="Times New Roman"/>
                <w:b/>
                <w:bCs/>
                <w:sz w:val="20"/>
                <w:szCs w:val="20"/>
              </w:rPr>
            </w:pPr>
            <w:r w:rsidRPr="00383193">
              <w:rPr>
                <w:rFonts w:eastAsia="Times New Roman"/>
                <w:b/>
                <w:bCs/>
                <w:sz w:val="20"/>
                <w:szCs w:val="20"/>
              </w:rPr>
              <w:lastRenderedPageBreak/>
              <w:t>CALENDARIO DE VALORES GUBERNAMENTALES</w:t>
            </w:r>
          </w:p>
          <w:p w14:paraId="28781985" w14:textId="77777777" w:rsidR="00383193" w:rsidRPr="00383193" w:rsidRDefault="00383193" w:rsidP="00383193">
            <w:pPr>
              <w:jc w:val="center"/>
              <w:rPr>
                <w:rFonts w:eastAsia="Times New Roman"/>
                <w:b/>
                <w:sz w:val="20"/>
                <w:szCs w:val="20"/>
              </w:rPr>
            </w:pPr>
            <w:r w:rsidRPr="00383193">
              <w:rPr>
                <w:rFonts w:eastAsia="Times New Roman"/>
                <w:b/>
                <w:sz w:val="20"/>
                <w:szCs w:val="20"/>
              </w:rPr>
              <w:t>Abril-Junio 2015</w:t>
            </w:r>
          </w:p>
        </w:tc>
      </w:tr>
      <w:tr w:rsidR="00383193" w:rsidRPr="00383193" w14:paraId="4A4E3030" w14:textId="77777777" w:rsidTr="00EA3974">
        <w:trPr>
          <w:trHeight w:val="486"/>
          <w:jc w:val="center"/>
        </w:trPr>
        <w:tc>
          <w:tcPr>
            <w:tcW w:w="1294" w:type="dxa"/>
            <w:tcBorders>
              <w:top w:val="single" w:sz="4" w:space="0" w:color="auto"/>
              <w:left w:val="single" w:sz="4" w:space="0" w:color="auto"/>
              <w:bottom w:val="single" w:sz="4" w:space="0" w:color="auto"/>
              <w:right w:val="single" w:sz="4" w:space="0" w:color="auto"/>
            </w:tcBorders>
            <w:vAlign w:val="center"/>
          </w:tcPr>
          <w:p w14:paraId="67DCE233" w14:textId="77777777" w:rsidR="00383193" w:rsidRPr="00383193" w:rsidRDefault="00383193" w:rsidP="00383193">
            <w:pPr>
              <w:jc w:val="center"/>
              <w:rPr>
                <w:rFonts w:eastAsia="Times New Roman"/>
                <w:b/>
                <w:sz w:val="18"/>
                <w:szCs w:val="18"/>
              </w:rPr>
            </w:pPr>
            <w:r w:rsidRPr="00383193">
              <w:rPr>
                <w:rFonts w:eastAsia="Times New Roman"/>
                <w:b/>
                <w:sz w:val="18"/>
                <w:szCs w:val="18"/>
              </w:rPr>
              <w:t>Fecha</w:t>
            </w:r>
          </w:p>
        </w:tc>
        <w:tc>
          <w:tcPr>
            <w:tcW w:w="2340" w:type="dxa"/>
            <w:tcBorders>
              <w:top w:val="single" w:sz="4" w:space="0" w:color="auto"/>
              <w:left w:val="single" w:sz="4" w:space="0" w:color="auto"/>
              <w:right w:val="single" w:sz="4" w:space="0" w:color="auto"/>
            </w:tcBorders>
            <w:vAlign w:val="center"/>
          </w:tcPr>
          <w:p w14:paraId="1FDE99F1" w14:textId="77777777" w:rsidR="00383193" w:rsidRPr="00383193" w:rsidRDefault="00383193" w:rsidP="00383193">
            <w:pPr>
              <w:jc w:val="center"/>
              <w:rPr>
                <w:rFonts w:eastAsia="Times New Roman"/>
                <w:b/>
                <w:sz w:val="18"/>
                <w:szCs w:val="18"/>
              </w:rPr>
            </w:pPr>
            <w:r w:rsidRPr="00383193">
              <w:rPr>
                <w:rFonts w:eastAsia="Times New Roman"/>
                <w:b/>
                <w:sz w:val="18"/>
                <w:szCs w:val="18"/>
              </w:rPr>
              <w:t>Fija Corto Plazo</w:t>
            </w:r>
          </w:p>
        </w:tc>
        <w:tc>
          <w:tcPr>
            <w:tcW w:w="2160" w:type="dxa"/>
            <w:tcBorders>
              <w:top w:val="single" w:sz="4" w:space="0" w:color="auto"/>
              <w:right w:val="single" w:sz="4" w:space="0" w:color="auto"/>
            </w:tcBorders>
            <w:vAlign w:val="center"/>
          </w:tcPr>
          <w:p w14:paraId="39C47D1B" w14:textId="77777777" w:rsidR="00383193" w:rsidRPr="00383193" w:rsidRDefault="00383193" w:rsidP="00383193">
            <w:pPr>
              <w:jc w:val="center"/>
              <w:rPr>
                <w:rFonts w:eastAsia="Times New Roman"/>
                <w:b/>
                <w:sz w:val="18"/>
                <w:szCs w:val="18"/>
              </w:rPr>
            </w:pPr>
            <w:r w:rsidRPr="00383193">
              <w:rPr>
                <w:rFonts w:eastAsia="Times New Roman"/>
                <w:b/>
                <w:sz w:val="18"/>
                <w:szCs w:val="18"/>
              </w:rPr>
              <w:t>Fija Largo Plazo</w:t>
            </w:r>
          </w:p>
        </w:tc>
        <w:tc>
          <w:tcPr>
            <w:tcW w:w="2016" w:type="dxa"/>
            <w:tcBorders>
              <w:top w:val="single" w:sz="4" w:space="0" w:color="auto"/>
              <w:right w:val="single" w:sz="4" w:space="0" w:color="auto"/>
            </w:tcBorders>
            <w:vAlign w:val="center"/>
          </w:tcPr>
          <w:p w14:paraId="42004462" w14:textId="77777777" w:rsidR="00383193" w:rsidRPr="00383193" w:rsidRDefault="00383193" w:rsidP="00383193">
            <w:pPr>
              <w:jc w:val="center"/>
              <w:rPr>
                <w:rFonts w:eastAsia="Times New Roman"/>
                <w:b/>
                <w:sz w:val="18"/>
                <w:szCs w:val="18"/>
              </w:rPr>
            </w:pPr>
            <w:r w:rsidRPr="00383193">
              <w:rPr>
                <w:rFonts w:eastAsia="Times New Roman"/>
                <w:b/>
                <w:sz w:val="18"/>
                <w:szCs w:val="18"/>
              </w:rPr>
              <w:t>Udizado</w:t>
            </w:r>
          </w:p>
        </w:tc>
        <w:tc>
          <w:tcPr>
            <w:tcW w:w="1788" w:type="dxa"/>
            <w:tcBorders>
              <w:top w:val="single" w:sz="4" w:space="0" w:color="auto"/>
              <w:right w:val="single" w:sz="4" w:space="0" w:color="auto"/>
            </w:tcBorders>
            <w:vAlign w:val="center"/>
          </w:tcPr>
          <w:p w14:paraId="1F4C39B2" w14:textId="77777777" w:rsidR="00383193" w:rsidRPr="00383193" w:rsidRDefault="00383193" w:rsidP="00383193">
            <w:pPr>
              <w:jc w:val="center"/>
              <w:rPr>
                <w:rFonts w:eastAsia="Times New Roman"/>
                <w:b/>
                <w:sz w:val="18"/>
                <w:szCs w:val="18"/>
              </w:rPr>
            </w:pPr>
            <w:r w:rsidRPr="00383193">
              <w:rPr>
                <w:rFonts w:eastAsia="Times New Roman"/>
                <w:b/>
                <w:sz w:val="18"/>
                <w:szCs w:val="18"/>
              </w:rPr>
              <w:t>Revisable</w:t>
            </w:r>
          </w:p>
        </w:tc>
      </w:tr>
      <w:tr w:rsidR="00383193" w:rsidRPr="00383193" w14:paraId="1B807D15"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349B8910" w14:textId="77777777" w:rsidR="00383193" w:rsidRPr="00383193" w:rsidRDefault="00383193" w:rsidP="00383193">
            <w:pPr>
              <w:jc w:val="center"/>
              <w:rPr>
                <w:rFonts w:eastAsia="Times New Roman"/>
                <w:sz w:val="18"/>
                <w:szCs w:val="18"/>
              </w:rPr>
            </w:pPr>
            <w:r w:rsidRPr="00383193">
              <w:rPr>
                <w:rFonts w:eastAsia="Times New Roman"/>
                <w:sz w:val="18"/>
                <w:szCs w:val="18"/>
              </w:rPr>
              <w:t>30-mar-15</w:t>
            </w:r>
          </w:p>
        </w:tc>
        <w:tc>
          <w:tcPr>
            <w:tcW w:w="2340" w:type="dxa"/>
            <w:tcBorders>
              <w:top w:val="single" w:sz="4" w:space="0" w:color="auto"/>
              <w:left w:val="single" w:sz="4" w:space="0" w:color="auto"/>
              <w:bottom w:val="single" w:sz="4" w:space="0" w:color="auto"/>
              <w:right w:val="single" w:sz="4" w:space="0" w:color="auto"/>
            </w:tcBorders>
            <w:vAlign w:val="center"/>
          </w:tcPr>
          <w:p w14:paraId="4DE60CAB"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Cetes 1, 3, 6 y 12 meses</w:t>
            </w:r>
          </w:p>
        </w:tc>
        <w:tc>
          <w:tcPr>
            <w:tcW w:w="2160" w:type="dxa"/>
            <w:tcBorders>
              <w:top w:val="single" w:sz="4" w:space="0" w:color="auto"/>
              <w:left w:val="single" w:sz="4" w:space="0" w:color="auto"/>
              <w:bottom w:val="single" w:sz="4" w:space="0" w:color="auto"/>
              <w:right w:val="single" w:sz="4" w:space="0" w:color="auto"/>
            </w:tcBorders>
          </w:tcPr>
          <w:p w14:paraId="0D80DE81"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20 años</w:t>
            </w:r>
          </w:p>
          <w:p w14:paraId="23E4C14C"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341123</w:t>
            </w:r>
          </w:p>
        </w:tc>
        <w:tc>
          <w:tcPr>
            <w:tcW w:w="2016" w:type="dxa"/>
            <w:tcBorders>
              <w:top w:val="single" w:sz="4" w:space="0" w:color="auto"/>
              <w:left w:val="single" w:sz="4" w:space="0" w:color="auto"/>
              <w:bottom w:val="single" w:sz="4" w:space="0" w:color="auto"/>
              <w:right w:val="single" w:sz="4" w:space="0" w:color="auto"/>
            </w:tcBorders>
          </w:tcPr>
          <w:p w14:paraId="19D8508F"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30 años</w:t>
            </w:r>
          </w:p>
          <w:p w14:paraId="1A975086"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461108</w:t>
            </w:r>
          </w:p>
        </w:tc>
        <w:tc>
          <w:tcPr>
            <w:tcW w:w="1788" w:type="dxa"/>
            <w:tcBorders>
              <w:top w:val="single" w:sz="4" w:space="0" w:color="auto"/>
              <w:left w:val="single" w:sz="4" w:space="0" w:color="auto"/>
              <w:bottom w:val="single" w:sz="4" w:space="0" w:color="auto"/>
              <w:right w:val="single" w:sz="4" w:space="0" w:color="auto"/>
            </w:tcBorders>
            <w:vAlign w:val="center"/>
          </w:tcPr>
          <w:p w14:paraId="39F8DE9A"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18865118"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2B4B5EE1" w14:textId="77777777" w:rsidR="00383193" w:rsidRPr="00383193" w:rsidRDefault="00383193" w:rsidP="00383193">
            <w:pPr>
              <w:spacing w:before="60" w:after="60"/>
              <w:jc w:val="center"/>
              <w:rPr>
                <w:rFonts w:eastAsia="Times New Roman"/>
                <w:sz w:val="18"/>
                <w:szCs w:val="18"/>
              </w:rPr>
            </w:pPr>
            <w:r w:rsidRPr="00383193">
              <w:rPr>
                <w:rFonts w:eastAsia="Times New Roman"/>
                <w:sz w:val="18"/>
                <w:szCs w:val="18"/>
              </w:rPr>
              <w:t>07-abr-15</w:t>
            </w:r>
          </w:p>
        </w:tc>
        <w:tc>
          <w:tcPr>
            <w:tcW w:w="2340" w:type="dxa"/>
            <w:tcBorders>
              <w:top w:val="single" w:sz="4" w:space="0" w:color="auto"/>
              <w:left w:val="single" w:sz="4" w:space="0" w:color="auto"/>
              <w:bottom w:val="single" w:sz="4" w:space="0" w:color="auto"/>
              <w:right w:val="single" w:sz="4" w:space="0" w:color="auto"/>
            </w:tcBorders>
            <w:vAlign w:val="center"/>
          </w:tcPr>
          <w:p w14:paraId="0583A5D3"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267D3917"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3 años</w:t>
            </w:r>
          </w:p>
          <w:p w14:paraId="2D03EBFE"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181213</w:t>
            </w:r>
          </w:p>
        </w:tc>
        <w:tc>
          <w:tcPr>
            <w:tcW w:w="2016" w:type="dxa"/>
            <w:tcBorders>
              <w:top w:val="single" w:sz="4" w:space="0" w:color="auto"/>
              <w:left w:val="single" w:sz="4" w:space="0" w:color="auto"/>
              <w:bottom w:val="single" w:sz="4" w:space="0" w:color="auto"/>
              <w:right w:val="single" w:sz="4" w:space="0" w:color="auto"/>
            </w:tcBorders>
          </w:tcPr>
          <w:p w14:paraId="0A81317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 años</w:t>
            </w:r>
          </w:p>
          <w:p w14:paraId="1952581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190613</w:t>
            </w:r>
          </w:p>
        </w:tc>
        <w:tc>
          <w:tcPr>
            <w:tcW w:w="1788" w:type="dxa"/>
            <w:tcBorders>
              <w:top w:val="single" w:sz="4" w:space="0" w:color="auto"/>
              <w:left w:val="single" w:sz="4" w:space="0" w:color="auto"/>
              <w:bottom w:val="single" w:sz="4" w:space="0" w:color="auto"/>
              <w:right w:val="single" w:sz="4" w:space="0" w:color="auto"/>
            </w:tcBorders>
            <w:vAlign w:val="center"/>
          </w:tcPr>
          <w:p w14:paraId="0709A833"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32289F88"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73E1D1C5" w14:textId="77777777" w:rsidR="00383193" w:rsidRPr="00383193" w:rsidRDefault="00383193" w:rsidP="00383193">
            <w:pPr>
              <w:jc w:val="center"/>
              <w:rPr>
                <w:rFonts w:eastAsia="Times New Roman"/>
                <w:sz w:val="18"/>
                <w:szCs w:val="18"/>
              </w:rPr>
            </w:pPr>
            <w:r w:rsidRPr="00383193">
              <w:rPr>
                <w:rFonts w:eastAsia="Times New Roman"/>
                <w:sz w:val="18"/>
                <w:szCs w:val="18"/>
              </w:rPr>
              <w:t>14-abr-15</w:t>
            </w:r>
          </w:p>
        </w:tc>
        <w:tc>
          <w:tcPr>
            <w:tcW w:w="2340" w:type="dxa"/>
            <w:tcBorders>
              <w:top w:val="single" w:sz="4" w:space="0" w:color="auto"/>
              <w:left w:val="single" w:sz="4" w:space="0" w:color="auto"/>
              <w:bottom w:val="single" w:sz="4" w:space="0" w:color="auto"/>
              <w:right w:val="single" w:sz="4" w:space="0" w:color="auto"/>
            </w:tcBorders>
            <w:vAlign w:val="center"/>
          </w:tcPr>
          <w:p w14:paraId="39395A6B"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684E8B6B"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30 años</w:t>
            </w:r>
          </w:p>
          <w:p w14:paraId="28476BD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421113</w:t>
            </w:r>
          </w:p>
        </w:tc>
        <w:tc>
          <w:tcPr>
            <w:tcW w:w="2016" w:type="dxa"/>
            <w:tcBorders>
              <w:top w:val="single" w:sz="4" w:space="0" w:color="auto"/>
              <w:left w:val="single" w:sz="4" w:space="0" w:color="auto"/>
              <w:bottom w:val="single" w:sz="4" w:space="0" w:color="auto"/>
              <w:right w:val="single" w:sz="4" w:space="0" w:color="auto"/>
            </w:tcBorders>
          </w:tcPr>
          <w:p w14:paraId="57006354" w14:textId="77777777" w:rsidR="00383193" w:rsidRPr="00383193" w:rsidRDefault="00383193" w:rsidP="00383193">
            <w:pPr>
              <w:autoSpaceDE w:val="0"/>
              <w:autoSpaceDN w:val="0"/>
              <w:adjustRightInd w:val="0"/>
              <w:jc w:val="center"/>
              <w:rPr>
                <w:rFonts w:eastAsia="Times New Roman"/>
                <w:sz w:val="18"/>
                <w:szCs w:val="18"/>
                <w:lang w:val="es-ES"/>
              </w:rPr>
            </w:pPr>
          </w:p>
        </w:tc>
        <w:tc>
          <w:tcPr>
            <w:tcW w:w="1788" w:type="dxa"/>
            <w:tcBorders>
              <w:top w:val="single" w:sz="4" w:space="0" w:color="auto"/>
              <w:left w:val="single" w:sz="4" w:space="0" w:color="auto"/>
              <w:bottom w:val="single" w:sz="4" w:space="0" w:color="auto"/>
              <w:right w:val="single" w:sz="4" w:space="0" w:color="auto"/>
            </w:tcBorders>
            <w:vAlign w:val="center"/>
          </w:tcPr>
          <w:p w14:paraId="44EF7A03"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1554B67D"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5B7CE119" w14:textId="77777777" w:rsidR="00383193" w:rsidRPr="00383193" w:rsidRDefault="00383193" w:rsidP="00383193">
            <w:pPr>
              <w:jc w:val="center"/>
              <w:rPr>
                <w:rFonts w:eastAsia="Times New Roman"/>
                <w:sz w:val="18"/>
                <w:szCs w:val="18"/>
              </w:rPr>
            </w:pPr>
            <w:r w:rsidRPr="00383193">
              <w:rPr>
                <w:rFonts w:eastAsia="Times New Roman"/>
                <w:sz w:val="18"/>
                <w:szCs w:val="18"/>
              </w:rPr>
              <w:t>21-abr-15</w:t>
            </w:r>
          </w:p>
        </w:tc>
        <w:tc>
          <w:tcPr>
            <w:tcW w:w="2340" w:type="dxa"/>
            <w:tcBorders>
              <w:top w:val="single" w:sz="4" w:space="0" w:color="auto"/>
              <w:left w:val="single" w:sz="4" w:space="0" w:color="auto"/>
              <w:bottom w:val="single" w:sz="4" w:space="0" w:color="auto"/>
              <w:right w:val="single" w:sz="4" w:space="0" w:color="auto"/>
            </w:tcBorders>
            <w:vAlign w:val="center"/>
          </w:tcPr>
          <w:p w14:paraId="60D45ADD"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4DAEC7DF"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5 años</w:t>
            </w:r>
          </w:p>
          <w:p w14:paraId="45368BF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191211</w:t>
            </w:r>
          </w:p>
        </w:tc>
        <w:tc>
          <w:tcPr>
            <w:tcW w:w="2016" w:type="dxa"/>
            <w:tcBorders>
              <w:top w:val="single" w:sz="4" w:space="0" w:color="auto"/>
              <w:left w:val="single" w:sz="4" w:space="0" w:color="auto"/>
              <w:bottom w:val="single" w:sz="4" w:space="0" w:color="auto"/>
              <w:right w:val="single" w:sz="4" w:space="0" w:color="auto"/>
            </w:tcBorders>
          </w:tcPr>
          <w:p w14:paraId="58A3F697"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Udibonos10 años</w:t>
            </w:r>
          </w:p>
          <w:p w14:paraId="2537EEBA"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251204</w:t>
            </w:r>
          </w:p>
        </w:tc>
        <w:tc>
          <w:tcPr>
            <w:tcW w:w="1788" w:type="dxa"/>
            <w:tcBorders>
              <w:top w:val="single" w:sz="4" w:space="0" w:color="auto"/>
              <w:left w:val="single" w:sz="4" w:space="0" w:color="auto"/>
              <w:bottom w:val="single" w:sz="4" w:space="0" w:color="auto"/>
              <w:right w:val="single" w:sz="4" w:space="0" w:color="auto"/>
            </w:tcBorders>
            <w:vAlign w:val="center"/>
          </w:tcPr>
          <w:p w14:paraId="6DCE1050"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5A06F646"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6DE9A2C3" w14:textId="77777777" w:rsidR="00383193" w:rsidRPr="00383193" w:rsidRDefault="00383193" w:rsidP="00383193">
            <w:pPr>
              <w:jc w:val="center"/>
              <w:rPr>
                <w:rFonts w:eastAsia="Times New Roman"/>
                <w:sz w:val="18"/>
                <w:szCs w:val="18"/>
              </w:rPr>
            </w:pPr>
            <w:r w:rsidRPr="00383193">
              <w:rPr>
                <w:rFonts w:eastAsia="Times New Roman"/>
                <w:sz w:val="18"/>
                <w:szCs w:val="18"/>
              </w:rPr>
              <w:t>28-abr-15</w:t>
            </w:r>
          </w:p>
        </w:tc>
        <w:tc>
          <w:tcPr>
            <w:tcW w:w="2340" w:type="dxa"/>
            <w:tcBorders>
              <w:top w:val="single" w:sz="4" w:space="0" w:color="auto"/>
              <w:left w:val="single" w:sz="4" w:space="0" w:color="auto"/>
              <w:bottom w:val="single" w:sz="4" w:space="0" w:color="auto"/>
              <w:right w:val="single" w:sz="4" w:space="0" w:color="auto"/>
            </w:tcBorders>
            <w:vAlign w:val="center"/>
          </w:tcPr>
          <w:p w14:paraId="37160C6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6 y 12 meses</w:t>
            </w:r>
          </w:p>
        </w:tc>
        <w:tc>
          <w:tcPr>
            <w:tcW w:w="2160" w:type="dxa"/>
            <w:tcBorders>
              <w:top w:val="single" w:sz="4" w:space="0" w:color="auto"/>
              <w:left w:val="single" w:sz="4" w:space="0" w:color="auto"/>
              <w:bottom w:val="single" w:sz="4" w:space="0" w:color="auto"/>
              <w:right w:val="single" w:sz="4" w:space="0" w:color="auto"/>
            </w:tcBorders>
          </w:tcPr>
          <w:p w14:paraId="63E58A53"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10 años</w:t>
            </w:r>
          </w:p>
          <w:p w14:paraId="77F88EFB"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241205</w:t>
            </w:r>
          </w:p>
        </w:tc>
        <w:tc>
          <w:tcPr>
            <w:tcW w:w="2016" w:type="dxa"/>
            <w:tcBorders>
              <w:top w:val="single" w:sz="4" w:space="0" w:color="auto"/>
              <w:left w:val="single" w:sz="4" w:space="0" w:color="auto"/>
              <w:bottom w:val="single" w:sz="4" w:space="0" w:color="auto"/>
              <w:right w:val="single" w:sz="4" w:space="0" w:color="auto"/>
            </w:tcBorders>
          </w:tcPr>
          <w:p w14:paraId="1592248E"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30 años</w:t>
            </w:r>
          </w:p>
          <w:p w14:paraId="22910852"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461108</w:t>
            </w:r>
          </w:p>
        </w:tc>
        <w:tc>
          <w:tcPr>
            <w:tcW w:w="1788" w:type="dxa"/>
            <w:tcBorders>
              <w:top w:val="single" w:sz="4" w:space="0" w:color="auto"/>
              <w:left w:val="single" w:sz="4" w:space="0" w:color="auto"/>
              <w:bottom w:val="single" w:sz="4" w:space="0" w:color="auto"/>
              <w:right w:val="single" w:sz="4" w:space="0" w:color="auto"/>
            </w:tcBorders>
            <w:vAlign w:val="center"/>
          </w:tcPr>
          <w:p w14:paraId="30F8F620"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54E15DD8"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5822D4AA" w14:textId="77777777" w:rsidR="00383193" w:rsidRPr="00383193" w:rsidRDefault="00383193" w:rsidP="00383193">
            <w:pPr>
              <w:jc w:val="center"/>
              <w:rPr>
                <w:rFonts w:eastAsia="Times New Roman"/>
                <w:sz w:val="18"/>
                <w:szCs w:val="18"/>
              </w:rPr>
            </w:pPr>
            <w:r w:rsidRPr="00383193">
              <w:rPr>
                <w:rFonts w:eastAsia="Times New Roman"/>
                <w:sz w:val="18"/>
                <w:szCs w:val="18"/>
              </w:rPr>
              <w:t>05-may-15</w:t>
            </w:r>
          </w:p>
        </w:tc>
        <w:tc>
          <w:tcPr>
            <w:tcW w:w="2340" w:type="dxa"/>
            <w:tcBorders>
              <w:top w:val="single" w:sz="4" w:space="0" w:color="auto"/>
              <w:left w:val="single" w:sz="4" w:space="0" w:color="auto"/>
              <w:bottom w:val="single" w:sz="4" w:space="0" w:color="auto"/>
              <w:right w:val="single" w:sz="4" w:space="0" w:color="auto"/>
            </w:tcBorders>
            <w:vAlign w:val="center"/>
          </w:tcPr>
          <w:p w14:paraId="4B45538D"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3DA3213D"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3 años</w:t>
            </w:r>
          </w:p>
          <w:p w14:paraId="363EF2E8"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181213</w:t>
            </w:r>
          </w:p>
        </w:tc>
        <w:tc>
          <w:tcPr>
            <w:tcW w:w="2016" w:type="dxa"/>
            <w:tcBorders>
              <w:top w:val="single" w:sz="4" w:space="0" w:color="auto"/>
              <w:left w:val="single" w:sz="4" w:space="0" w:color="auto"/>
              <w:bottom w:val="single" w:sz="4" w:space="0" w:color="auto"/>
              <w:right w:val="single" w:sz="4" w:space="0" w:color="auto"/>
            </w:tcBorders>
          </w:tcPr>
          <w:p w14:paraId="27F98EA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 años</w:t>
            </w:r>
          </w:p>
          <w:p w14:paraId="2BE1F3AF"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190613</w:t>
            </w:r>
          </w:p>
        </w:tc>
        <w:tc>
          <w:tcPr>
            <w:tcW w:w="1788" w:type="dxa"/>
            <w:tcBorders>
              <w:top w:val="single" w:sz="4" w:space="0" w:color="auto"/>
              <w:left w:val="single" w:sz="4" w:space="0" w:color="auto"/>
              <w:bottom w:val="single" w:sz="4" w:space="0" w:color="auto"/>
              <w:right w:val="single" w:sz="4" w:space="0" w:color="auto"/>
            </w:tcBorders>
            <w:vAlign w:val="center"/>
          </w:tcPr>
          <w:p w14:paraId="164E4CB4"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6C0CCC29"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64DA1A1B" w14:textId="77777777" w:rsidR="00383193" w:rsidRPr="00383193" w:rsidRDefault="00383193" w:rsidP="00383193">
            <w:pPr>
              <w:jc w:val="center"/>
              <w:rPr>
                <w:rFonts w:eastAsia="Times New Roman"/>
                <w:sz w:val="18"/>
                <w:szCs w:val="18"/>
              </w:rPr>
            </w:pPr>
            <w:r w:rsidRPr="00383193">
              <w:rPr>
                <w:rFonts w:eastAsia="Times New Roman"/>
                <w:sz w:val="18"/>
                <w:szCs w:val="18"/>
              </w:rPr>
              <w:t>12-may-15</w:t>
            </w:r>
          </w:p>
        </w:tc>
        <w:tc>
          <w:tcPr>
            <w:tcW w:w="2340" w:type="dxa"/>
            <w:tcBorders>
              <w:top w:val="single" w:sz="4" w:space="0" w:color="auto"/>
              <w:left w:val="single" w:sz="4" w:space="0" w:color="auto"/>
              <w:bottom w:val="single" w:sz="4" w:space="0" w:color="auto"/>
              <w:right w:val="single" w:sz="4" w:space="0" w:color="auto"/>
            </w:tcBorders>
            <w:vAlign w:val="center"/>
          </w:tcPr>
          <w:p w14:paraId="1E287A91"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11F2D0B7"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20 años</w:t>
            </w:r>
          </w:p>
          <w:p w14:paraId="2B3DAD43"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341123</w:t>
            </w:r>
          </w:p>
        </w:tc>
        <w:tc>
          <w:tcPr>
            <w:tcW w:w="2016" w:type="dxa"/>
            <w:tcBorders>
              <w:top w:val="single" w:sz="4" w:space="0" w:color="auto"/>
              <w:left w:val="single" w:sz="4" w:space="0" w:color="auto"/>
              <w:bottom w:val="single" w:sz="4" w:space="0" w:color="auto"/>
              <w:right w:val="single" w:sz="4" w:space="0" w:color="auto"/>
            </w:tcBorders>
          </w:tcPr>
          <w:p w14:paraId="782CA054" w14:textId="77777777" w:rsidR="00383193" w:rsidRPr="00383193" w:rsidRDefault="00383193" w:rsidP="00383193">
            <w:pPr>
              <w:autoSpaceDE w:val="0"/>
              <w:autoSpaceDN w:val="0"/>
              <w:adjustRightInd w:val="0"/>
              <w:jc w:val="center"/>
              <w:rPr>
                <w:rFonts w:eastAsia="Times New Roman"/>
                <w:sz w:val="18"/>
                <w:szCs w:val="18"/>
                <w:lang w:val="es-ES"/>
              </w:rPr>
            </w:pPr>
          </w:p>
        </w:tc>
        <w:tc>
          <w:tcPr>
            <w:tcW w:w="1788" w:type="dxa"/>
            <w:tcBorders>
              <w:top w:val="single" w:sz="4" w:space="0" w:color="auto"/>
              <w:left w:val="single" w:sz="4" w:space="0" w:color="auto"/>
              <w:bottom w:val="single" w:sz="4" w:space="0" w:color="auto"/>
              <w:right w:val="single" w:sz="4" w:space="0" w:color="auto"/>
            </w:tcBorders>
            <w:vAlign w:val="center"/>
          </w:tcPr>
          <w:p w14:paraId="630FB12C"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78039749"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42011F4E" w14:textId="77777777" w:rsidR="00383193" w:rsidRPr="00383193" w:rsidRDefault="00383193" w:rsidP="00383193">
            <w:pPr>
              <w:spacing w:before="60" w:after="60"/>
              <w:jc w:val="center"/>
              <w:rPr>
                <w:rFonts w:eastAsia="Times New Roman"/>
                <w:sz w:val="18"/>
                <w:szCs w:val="18"/>
              </w:rPr>
            </w:pPr>
            <w:r w:rsidRPr="00383193">
              <w:rPr>
                <w:rFonts w:eastAsia="Times New Roman"/>
                <w:sz w:val="18"/>
                <w:szCs w:val="18"/>
              </w:rPr>
              <w:t>19-may-15</w:t>
            </w:r>
          </w:p>
        </w:tc>
        <w:tc>
          <w:tcPr>
            <w:tcW w:w="2340" w:type="dxa"/>
            <w:tcBorders>
              <w:top w:val="single" w:sz="4" w:space="0" w:color="auto"/>
              <w:left w:val="single" w:sz="4" w:space="0" w:color="auto"/>
              <w:bottom w:val="single" w:sz="4" w:space="0" w:color="auto"/>
              <w:right w:val="single" w:sz="4" w:space="0" w:color="auto"/>
            </w:tcBorders>
            <w:vAlign w:val="center"/>
          </w:tcPr>
          <w:p w14:paraId="401AC815"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5E7A91D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5 años</w:t>
            </w:r>
          </w:p>
          <w:p w14:paraId="1F38BDA5"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191211</w:t>
            </w:r>
          </w:p>
        </w:tc>
        <w:tc>
          <w:tcPr>
            <w:tcW w:w="2016" w:type="dxa"/>
            <w:tcBorders>
              <w:top w:val="single" w:sz="4" w:space="0" w:color="auto"/>
              <w:left w:val="single" w:sz="4" w:space="0" w:color="auto"/>
              <w:bottom w:val="single" w:sz="4" w:space="0" w:color="auto"/>
              <w:right w:val="single" w:sz="4" w:space="0" w:color="auto"/>
            </w:tcBorders>
          </w:tcPr>
          <w:p w14:paraId="5ED017B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Udibonos10 años</w:t>
            </w:r>
          </w:p>
          <w:p w14:paraId="7029B657"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251204</w:t>
            </w:r>
          </w:p>
        </w:tc>
        <w:tc>
          <w:tcPr>
            <w:tcW w:w="1788" w:type="dxa"/>
            <w:tcBorders>
              <w:top w:val="single" w:sz="4" w:space="0" w:color="auto"/>
              <w:left w:val="single" w:sz="4" w:space="0" w:color="auto"/>
              <w:bottom w:val="single" w:sz="4" w:space="0" w:color="auto"/>
              <w:right w:val="single" w:sz="4" w:space="0" w:color="auto"/>
            </w:tcBorders>
            <w:vAlign w:val="center"/>
          </w:tcPr>
          <w:p w14:paraId="0B452E08"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2DD1441D"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3CCFB611" w14:textId="77777777" w:rsidR="00383193" w:rsidRPr="00383193" w:rsidRDefault="00383193" w:rsidP="00383193">
            <w:pPr>
              <w:jc w:val="center"/>
              <w:rPr>
                <w:rFonts w:eastAsia="Times New Roman"/>
                <w:sz w:val="18"/>
                <w:szCs w:val="18"/>
              </w:rPr>
            </w:pPr>
            <w:r w:rsidRPr="00383193">
              <w:rPr>
                <w:rFonts w:eastAsia="Times New Roman"/>
                <w:sz w:val="18"/>
                <w:szCs w:val="18"/>
              </w:rPr>
              <w:t>26-may-15</w:t>
            </w:r>
          </w:p>
        </w:tc>
        <w:tc>
          <w:tcPr>
            <w:tcW w:w="2340" w:type="dxa"/>
            <w:tcBorders>
              <w:top w:val="single" w:sz="4" w:space="0" w:color="auto"/>
              <w:left w:val="single" w:sz="4" w:space="0" w:color="auto"/>
              <w:bottom w:val="single" w:sz="4" w:space="0" w:color="auto"/>
              <w:right w:val="single" w:sz="4" w:space="0" w:color="auto"/>
            </w:tcBorders>
            <w:vAlign w:val="center"/>
          </w:tcPr>
          <w:p w14:paraId="07888F68"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6 y 12 meses</w:t>
            </w:r>
          </w:p>
        </w:tc>
        <w:tc>
          <w:tcPr>
            <w:tcW w:w="2160" w:type="dxa"/>
            <w:tcBorders>
              <w:top w:val="single" w:sz="4" w:space="0" w:color="auto"/>
              <w:left w:val="single" w:sz="4" w:space="0" w:color="auto"/>
              <w:bottom w:val="single" w:sz="4" w:space="0" w:color="auto"/>
              <w:right w:val="single" w:sz="4" w:space="0" w:color="auto"/>
            </w:tcBorders>
          </w:tcPr>
          <w:p w14:paraId="1CF24B78"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30 años</w:t>
            </w:r>
          </w:p>
          <w:p w14:paraId="16460766"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421113</w:t>
            </w:r>
          </w:p>
        </w:tc>
        <w:tc>
          <w:tcPr>
            <w:tcW w:w="2016" w:type="dxa"/>
            <w:tcBorders>
              <w:top w:val="single" w:sz="4" w:space="0" w:color="auto"/>
              <w:left w:val="single" w:sz="4" w:space="0" w:color="auto"/>
              <w:bottom w:val="single" w:sz="4" w:space="0" w:color="auto"/>
              <w:right w:val="single" w:sz="4" w:space="0" w:color="auto"/>
            </w:tcBorders>
          </w:tcPr>
          <w:p w14:paraId="17968E80" w14:textId="77777777" w:rsidR="00383193" w:rsidRPr="00383193" w:rsidRDefault="00383193" w:rsidP="00383193">
            <w:pPr>
              <w:autoSpaceDE w:val="0"/>
              <w:autoSpaceDN w:val="0"/>
              <w:adjustRightInd w:val="0"/>
              <w:jc w:val="center"/>
              <w:rPr>
                <w:rFonts w:eastAsia="Times New Roman"/>
                <w:b/>
                <w:sz w:val="18"/>
                <w:szCs w:val="18"/>
                <w:lang w:val="es-ES"/>
              </w:rPr>
            </w:pPr>
            <w:r w:rsidRPr="00383193">
              <w:rPr>
                <w:rFonts w:eastAsia="Times New Roman"/>
                <w:b/>
                <w:sz w:val="18"/>
                <w:szCs w:val="18"/>
                <w:lang w:val="es-ES"/>
              </w:rPr>
              <w:t>* Udibonos 30 años</w:t>
            </w:r>
          </w:p>
          <w:p w14:paraId="05E5920E" w14:textId="77777777" w:rsidR="00383193" w:rsidRPr="00383193" w:rsidRDefault="00383193" w:rsidP="00383193">
            <w:pPr>
              <w:autoSpaceDE w:val="0"/>
              <w:autoSpaceDN w:val="0"/>
              <w:adjustRightInd w:val="0"/>
              <w:jc w:val="center"/>
              <w:rPr>
                <w:rFonts w:eastAsia="Times New Roman"/>
                <w:b/>
                <w:sz w:val="18"/>
                <w:szCs w:val="18"/>
                <w:lang w:val="es-ES"/>
              </w:rPr>
            </w:pPr>
            <w:r w:rsidRPr="00383193">
              <w:rPr>
                <w:rFonts w:eastAsia="Times New Roman"/>
                <w:b/>
                <w:sz w:val="18"/>
                <w:szCs w:val="18"/>
                <w:lang w:val="es-ES"/>
              </w:rPr>
              <w:t>Clave: S 461108</w:t>
            </w:r>
          </w:p>
        </w:tc>
        <w:tc>
          <w:tcPr>
            <w:tcW w:w="1788" w:type="dxa"/>
            <w:tcBorders>
              <w:top w:val="single" w:sz="4" w:space="0" w:color="auto"/>
              <w:left w:val="single" w:sz="4" w:space="0" w:color="auto"/>
              <w:bottom w:val="single" w:sz="4" w:space="0" w:color="auto"/>
              <w:right w:val="single" w:sz="4" w:space="0" w:color="auto"/>
            </w:tcBorders>
            <w:vAlign w:val="center"/>
          </w:tcPr>
          <w:p w14:paraId="5320D67C"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54E0CC83"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502EEA0C" w14:textId="77777777" w:rsidR="00383193" w:rsidRPr="00383193" w:rsidRDefault="00383193" w:rsidP="00383193">
            <w:pPr>
              <w:jc w:val="center"/>
              <w:rPr>
                <w:rFonts w:eastAsia="Times New Roman"/>
                <w:sz w:val="18"/>
                <w:szCs w:val="18"/>
              </w:rPr>
            </w:pPr>
            <w:r w:rsidRPr="00383193">
              <w:rPr>
                <w:rFonts w:eastAsia="Times New Roman"/>
                <w:sz w:val="18"/>
                <w:szCs w:val="18"/>
              </w:rPr>
              <w:t>02-jun-15</w:t>
            </w:r>
          </w:p>
        </w:tc>
        <w:tc>
          <w:tcPr>
            <w:tcW w:w="2340" w:type="dxa"/>
            <w:tcBorders>
              <w:top w:val="single" w:sz="4" w:space="0" w:color="auto"/>
              <w:left w:val="single" w:sz="4" w:space="0" w:color="auto"/>
              <w:bottom w:val="single" w:sz="4" w:space="0" w:color="auto"/>
              <w:right w:val="single" w:sz="4" w:space="0" w:color="auto"/>
            </w:tcBorders>
            <w:vAlign w:val="center"/>
          </w:tcPr>
          <w:p w14:paraId="32D59C36"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47D692E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3 años</w:t>
            </w:r>
          </w:p>
          <w:p w14:paraId="0DCE156A"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181213</w:t>
            </w:r>
          </w:p>
        </w:tc>
        <w:tc>
          <w:tcPr>
            <w:tcW w:w="2016" w:type="dxa"/>
            <w:tcBorders>
              <w:top w:val="single" w:sz="4" w:space="0" w:color="auto"/>
              <w:left w:val="single" w:sz="4" w:space="0" w:color="auto"/>
              <w:bottom w:val="single" w:sz="4" w:space="0" w:color="auto"/>
              <w:right w:val="single" w:sz="4" w:space="0" w:color="auto"/>
            </w:tcBorders>
          </w:tcPr>
          <w:p w14:paraId="36183C28"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 años</w:t>
            </w:r>
          </w:p>
          <w:p w14:paraId="5AC88A4B"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190613</w:t>
            </w:r>
          </w:p>
        </w:tc>
        <w:tc>
          <w:tcPr>
            <w:tcW w:w="1788" w:type="dxa"/>
            <w:tcBorders>
              <w:top w:val="single" w:sz="4" w:space="0" w:color="auto"/>
              <w:left w:val="single" w:sz="4" w:space="0" w:color="auto"/>
              <w:bottom w:val="single" w:sz="4" w:space="0" w:color="auto"/>
              <w:right w:val="single" w:sz="4" w:space="0" w:color="auto"/>
            </w:tcBorders>
            <w:vAlign w:val="center"/>
          </w:tcPr>
          <w:p w14:paraId="5A6E4F30"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633A099E"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4F12A2E4" w14:textId="77777777" w:rsidR="00383193" w:rsidRPr="00383193" w:rsidRDefault="00383193" w:rsidP="00383193">
            <w:pPr>
              <w:jc w:val="center"/>
              <w:rPr>
                <w:rFonts w:eastAsia="Times New Roman"/>
                <w:sz w:val="18"/>
                <w:szCs w:val="18"/>
              </w:rPr>
            </w:pPr>
            <w:r w:rsidRPr="00383193">
              <w:rPr>
                <w:rFonts w:eastAsia="Times New Roman"/>
                <w:sz w:val="18"/>
                <w:szCs w:val="18"/>
              </w:rPr>
              <w:t>09-jun-15</w:t>
            </w:r>
          </w:p>
        </w:tc>
        <w:tc>
          <w:tcPr>
            <w:tcW w:w="2340" w:type="dxa"/>
            <w:tcBorders>
              <w:top w:val="single" w:sz="4" w:space="0" w:color="auto"/>
              <w:left w:val="single" w:sz="4" w:space="0" w:color="auto"/>
              <w:bottom w:val="single" w:sz="4" w:space="0" w:color="auto"/>
              <w:right w:val="single" w:sz="4" w:space="0" w:color="auto"/>
            </w:tcBorders>
            <w:vAlign w:val="center"/>
          </w:tcPr>
          <w:p w14:paraId="18FFF4D9"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2E60F18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10 años</w:t>
            </w:r>
          </w:p>
          <w:p w14:paraId="581E0FC5"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241205</w:t>
            </w:r>
          </w:p>
        </w:tc>
        <w:tc>
          <w:tcPr>
            <w:tcW w:w="2016" w:type="dxa"/>
            <w:tcBorders>
              <w:top w:val="single" w:sz="4" w:space="0" w:color="auto"/>
              <w:left w:val="single" w:sz="4" w:space="0" w:color="auto"/>
              <w:bottom w:val="single" w:sz="4" w:space="0" w:color="auto"/>
              <w:right w:val="single" w:sz="4" w:space="0" w:color="auto"/>
            </w:tcBorders>
          </w:tcPr>
          <w:p w14:paraId="144FE8F6" w14:textId="77777777" w:rsidR="00383193" w:rsidRPr="00383193" w:rsidRDefault="00383193" w:rsidP="00383193">
            <w:pPr>
              <w:autoSpaceDE w:val="0"/>
              <w:autoSpaceDN w:val="0"/>
              <w:adjustRightInd w:val="0"/>
              <w:jc w:val="center"/>
              <w:rPr>
                <w:rFonts w:eastAsia="Times New Roman"/>
                <w:sz w:val="18"/>
                <w:szCs w:val="18"/>
                <w:lang w:val="es-ES"/>
              </w:rPr>
            </w:pPr>
          </w:p>
        </w:tc>
        <w:tc>
          <w:tcPr>
            <w:tcW w:w="1788" w:type="dxa"/>
            <w:tcBorders>
              <w:top w:val="single" w:sz="4" w:space="0" w:color="auto"/>
              <w:left w:val="single" w:sz="4" w:space="0" w:color="auto"/>
              <w:bottom w:val="single" w:sz="4" w:space="0" w:color="auto"/>
              <w:right w:val="single" w:sz="4" w:space="0" w:color="auto"/>
            </w:tcBorders>
            <w:vAlign w:val="center"/>
          </w:tcPr>
          <w:p w14:paraId="58A8EA86"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5338F66A"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448FE4AA" w14:textId="77777777" w:rsidR="00383193" w:rsidRPr="00383193" w:rsidRDefault="00383193" w:rsidP="00383193">
            <w:pPr>
              <w:jc w:val="center"/>
              <w:rPr>
                <w:rFonts w:eastAsia="Times New Roman"/>
                <w:sz w:val="18"/>
                <w:szCs w:val="18"/>
              </w:rPr>
            </w:pPr>
            <w:r w:rsidRPr="00383193">
              <w:rPr>
                <w:rFonts w:eastAsia="Times New Roman"/>
                <w:sz w:val="18"/>
                <w:szCs w:val="18"/>
              </w:rPr>
              <w:t>16-jun-15</w:t>
            </w:r>
          </w:p>
        </w:tc>
        <w:tc>
          <w:tcPr>
            <w:tcW w:w="2340" w:type="dxa"/>
            <w:tcBorders>
              <w:top w:val="single" w:sz="4" w:space="0" w:color="auto"/>
              <w:left w:val="single" w:sz="4" w:space="0" w:color="auto"/>
              <w:bottom w:val="single" w:sz="4" w:space="0" w:color="auto"/>
              <w:right w:val="single" w:sz="4" w:space="0" w:color="auto"/>
            </w:tcBorders>
            <w:vAlign w:val="center"/>
          </w:tcPr>
          <w:p w14:paraId="5F4427AC"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Cetes 1, 3 y 6 meses</w:t>
            </w:r>
          </w:p>
        </w:tc>
        <w:tc>
          <w:tcPr>
            <w:tcW w:w="2160" w:type="dxa"/>
            <w:tcBorders>
              <w:top w:val="single" w:sz="4" w:space="0" w:color="auto"/>
              <w:left w:val="single" w:sz="4" w:space="0" w:color="auto"/>
              <w:bottom w:val="single" w:sz="4" w:space="0" w:color="auto"/>
              <w:right w:val="single" w:sz="4" w:space="0" w:color="auto"/>
            </w:tcBorders>
          </w:tcPr>
          <w:p w14:paraId="54B2CA2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5 años</w:t>
            </w:r>
          </w:p>
          <w:p w14:paraId="6A0102E4"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191211</w:t>
            </w:r>
          </w:p>
        </w:tc>
        <w:tc>
          <w:tcPr>
            <w:tcW w:w="2016" w:type="dxa"/>
            <w:tcBorders>
              <w:top w:val="single" w:sz="4" w:space="0" w:color="auto"/>
              <w:left w:val="single" w:sz="4" w:space="0" w:color="auto"/>
              <w:bottom w:val="single" w:sz="4" w:space="0" w:color="auto"/>
              <w:right w:val="single" w:sz="4" w:space="0" w:color="auto"/>
            </w:tcBorders>
          </w:tcPr>
          <w:p w14:paraId="43D8D9CB"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Udibonos10 años</w:t>
            </w:r>
          </w:p>
          <w:p w14:paraId="712808F9"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251204</w:t>
            </w:r>
          </w:p>
        </w:tc>
        <w:tc>
          <w:tcPr>
            <w:tcW w:w="1788" w:type="dxa"/>
            <w:tcBorders>
              <w:top w:val="single" w:sz="4" w:space="0" w:color="auto"/>
              <w:left w:val="single" w:sz="4" w:space="0" w:color="auto"/>
              <w:bottom w:val="single" w:sz="4" w:space="0" w:color="auto"/>
              <w:right w:val="single" w:sz="4" w:space="0" w:color="auto"/>
            </w:tcBorders>
            <w:vAlign w:val="center"/>
          </w:tcPr>
          <w:p w14:paraId="27ED3C8F"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p>
        </w:tc>
      </w:tr>
      <w:tr w:rsidR="00383193" w:rsidRPr="00383193" w14:paraId="769CC5B6" w14:textId="77777777" w:rsidTr="00EA3974">
        <w:trPr>
          <w:jc w:val="center"/>
        </w:trPr>
        <w:tc>
          <w:tcPr>
            <w:tcW w:w="1294" w:type="dxa"/>
            <w:tcBorders>
              <w:top w:val="single" w:sz="4" w:space="0" w:color="auto"/>
              <w:left w:val="single" w:sz="4" w:space="0" w:color="auto"/>
              <w:bottom w:val="single" w:sz="4" w:space="0" w:color="auto"/>
              <w:right w:val="single" w:sz="4" w:space="0" w:color="auto"/>
            </w:tcBorders>
            <w:vAlign w:val="center"/>
          </w:tcPr>
          <w:p w14:paraId="4B5230C0" w14:textId="77777777" w:rsidR="00383193" w:rsidRPr="00383193" w:rsidRDefault="00383193" w:rsidP="00383193">
            <w:pPr>
              <w:jc w:val="center"/>
              <w:rPr>
                <w:rFonts w:eastAsia="Times New Roman"/>
                <w:sz w:val="18"/>
                <w:szCs w:val="18"/>
              </w:rPr>
            </w:pPr>
            <w:r w:rsidRPr="00383193">
              <w:rPr>
                <w:rFonts w:eastAsia="Times New Roman"/>
                <w:sz w:val="18"/>
                <w:szCs w:val="18"/>
              </w:rPr>
              <w:t>23-jun-15</w:t>
            </w:r>
          </w:p>
        </w:tc>
        <w:tc>
          <w:tcPr>
            <w:tcW w:w="2340" w:type="dxa"/>
            <w:tcBorders>
              <w:top w:val="single" w:sz="4" w:space="0" w:color="auto"/>
              <w:left w:val="single" w:sz="4" w:space="0" w:color="auto"/>
              <w:bottom w:val="single" w:sz="4" w:space="0" w:color="auto"/>
              <w:right w:val="single" w:sz="4" w:space="0" w:color="auto"/>
            </w:tcBorders>
            <w:vAlign w:val="center"/>
          </w:tcPr>
          <w:p w14:paraId="2B251356"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Cetes 1, 3, 6 y 12 meses</w:t>
            </w:r>
          </w:p>
        </w:tc>
        <w:tc>
          <w:tcPr>
            <w:tcW w:w="2160" w:type="dxa"/>
            <w:tcBorders>
              <w:top w:val="single" w:sz="4" w:space="0" w:color="auto"/>
              <w:left w:val="single" w:sz="4" w:space="0" w:color="auto"/>
              <w:bottom w:val="single" w:sz="4" w:space="0" w:color="auto"/>
              <w:right w:val="single" w:sz="4" w:space="0" w:color="auto"/>
            </w:tcBorders>
          </w:tcPr>
          <w:p w14:paraId="48639F1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Bonos 20 años</w:t>
            </w:r>
          </w:p>
          <w:p w14:paraId="30D9F3F8"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M 341123</w:t>
            </w:r>
          </w:p>
        </w:tc>
        <w:tc>
          <w:tcPr>
            <w:tcW w:w="2016" w:type="dxa"/>
            <w:tcBorders>
              <w:top w:val="single" w:sz="4" w:space="0" w:color="auto"/>
              <w:left w:val="single" w:sz="4" w:space="0" w:color="auto"/>
              <w:bottom w:val="single" w:sz="4" w:space="0" w:color="auto"/>
              <w:right w:val="single" w:sz="4" w:space="0" w:color="auto"/>
            </w:tcBorders>
          </w:tcPr>
          <w:p w14:paraId="34712BB0"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Udibonos 30 años</w:t>
            </w:r>
          </w:p>
          <w:p w14:paraId="74A5DA6C" w14:textId="77777777" w:rsidR="00383193" w:rsidRPr="00383193" w:rsidRDefault="00383193" w:rsidP="00383193">
            <w:pPr>
              <w:autoSpaceDE w:val="0"/>
              <w:autoSpaceDN w:val="0"/>
              <w:adjustRightInd w:val="0"/>
              <w:jc w:val="center"/>
              <w:rPr>
                <w:rFonts w:eastAsia="Times New Roman"/>
                <w:sz w:val="18"/>
                <w:szCs w:val="18"/>
                <w:lang w:val="es-ES"/>
              </w:rPr>
            </w:pPr>
            <w:r w:rsidRPr="00383193">
              <w:rPr>
                <w:rFonts w:eastAsia="Times New Roman"/>
                <w:sz w:val="18"/>
                <w:szCs w:val="18"/>
                <w:lang w:val="es-ES"/>
              </w:rPr>
              <w:t>Clave: S 461108</w:t>
            </w:r>
          </w:p>
        </w:tc>
        <w:tc>
          <w:tcPr>
            <w:tcW w:w="1788" w:type="dxa"/>
            <w:tcBorders>
              <w:top w:val="single" w:sz="4" w:space="0" w:color="auto"/>
              <w:left w:val="single" w:sz="4" w:space="0" w:color="auto"/>
              <w:bottom w:val="single" w:sz="4" w:space="0" w:color="auto"/>
              <w:right w:val="single" w:sz="4" w:space="0" w:color="auto"/>
            </w:tcBorders>
            <w:vAlign w:val="center"/>
          </w:tcPr>
          <w:p w14:paraId="19B9591F" w14:textId="77777777" w:rsidR="00383193" w:rsidRPr="00383193" w:rsidRDefault="00383193" w:rsidP="00383193">
            <w:pPr>
              <w:autoSpaceDE w:val="0"/>
              <w:autoSpaceDN w:val="0"/>
              <w:adjustRightInd w:val="0"/>
              <w:spacing w:before="60" w:after="60"/>
              <w:jc w:val="center"/>
              <w:rPr>
                <w:rFonts w:eastAsia="Times New Roman"/>
                <w:sz w:val="18"/>
                <w:szCs w:val="18"/>
                <w:lang w:val="es-ES"/>
              </w:rPr>
            </w:pPr>
            <w:r w:rsidRPr="00383193">
              <w:rPr>
                <w:rFonts w:eastAsia="Times New Roman"/>
                <w:sz w:val="18"/>
                <w:szCs w:val="18"/>
                <w:lang w:val="es-ES"/>
              </w:rPr>
              <w:t>Bondes D 5 años</w:t>
            </w:r>
          </w:p>
        </w:tc>
      </w:tr>
      <w:tr w:rsidR="00383193" w:rsidRPr="00383193" w14:paraId="73E21ABA" w14:textId="77777777" w:rsidTr="00EA3974">
        <w:trPr>
          <w:jc w:val="center"/>
        </w:trPr>
        <w:tc>
          <w:tcPr>
            <w:tcW w:w="9598" w:type="dxa"/>
            <w:gridSpan w:val="5"/>
            <w:tcBorders>
              <w:top w:val="single" w:sz="4" w:space="0" w:color="auto"/>
            </w:tcBorders>
          </w:tcPr>
          <w:p w14:paraId="7759D3F2" w14:textId="77777777" w:rsidR="00383193" w:rsidRPr="00383193" w:rsidRDefault="00383193" w:rsidP="00383193">
            <w:pPr>
              <w:jc w:val="both"/>
              <w:rPr>
                <w:rFonts w:eastAsia="Times New Roman"/>
                <w:sz w:val="18"/>
                <w:szCs w:val="18"/>
              </w:rPr>
            </w:pPr>
            <w:r w:rsidRPr="00383193">
              <w:rPr>
                <w:rFonts w:eastAsia="Times New Roman"/>
                <w:b/>
                <w:sz w:val="18"/>
                <w:szCs w:val="18"/>
              </w:rPr>
              <w:t>IMPORTANTE:</w:t>
            </w:r>
            <w:r w:rsidRPr="00383193">
              <w:rPr>
                <w:rFonts w:eastAsia="Times New Roman"/>
                <w:sz w:val="18"/>
                <w:szCs w:val="18"/>
              </w:rPr>
              <w:t xml:space="preserve"> En caso que se lleve a cabo la colocación de un instrumento mediante el método de subasta sindicada, el instrumento sindicado sustituirá al que venía siendo colocado en las subastas primarias. </w:t>
            </w:r>
          </w:p>
          <w:p w14:paraId="4C24DC6E" w14:textId="77777777" w:rsidR="00383193" w:rsidRPr="00383193" w:rsidRDefault="00383193" w:rsidP="00383193">
            <w:pPr>
              <w:ind w:left="142" w:hanging="142"/>
              <w:jc w:val="both"/>
              <w:rPr>
                <w:rFonts w:eastAsia="Times New Roman"/>
                <w:sz w:val="18"/>
                <w:szCs w:val="18"/>
              </w:rPr>
            </w:pPr>
            <w:r w:rsidRPr="00383193">
              <w:rPr>
                <w:rFonts w:eastAsia="Times New Roman"/>
                <w:sz w:val="18"/>
                <w:szCs w:val="18"/>
                <w:lang w:val="es-ES"/>
              </w:rPr>
              <w:t xml:space="preserve">* </w:t>
            </w:r>
            <w:r w:rsidRPr="00383193">
              <w:rPr>
                <w:rFonts w:eastAsia="Times New Roman"/>
                <w:sz w:val="18"/>
                <w:szCs w:val="18"/>
              </w:rPr>
              <w:t>La subasta sindicada de segregados de Udibonos a plazo de 30 años se realizará al día hábil siguiente de la subasta primaria de Udibonos.</w:t>
            </w:r>
          </w:p>
          <w:p w14:paraId="3D2948FE" w14:textId="77777777" w:rsidR="00383193" w:rsidRPr="00383193" w:rsidRDefault="00383193" w:rsidP="00383193">
            <w:pPr>
              <w:jc w:val="both"/>
              <w:rPr>
                <w:rFonts w:eastAsia="Times New Roman"/>
                <w:sz w:val="18"/>
                <w:szCs w:val="18"/>
              </w:rPr>
            </w:pPr>
            <w:r w:rsidRPr="00383193">
              <w:rPr>
                <w:rFonts w:eastAsia="Times New Roman"/>
                <w:sz w:val="18"/>
                <w:szCs w:val="18"/>
              </w:rPr>
              <w:t>FUENTE: SHCP.</w:t>
            </w:r>
          </w:p>
        </w:tc>
      </w:tr>
    </w:tbl>
    <w:p w14:paraId="44284556" w14:textId="77777777" w:rsidR="00383193" w:rsidRPr="00383193" w:rsidRDefault="00383193" w:rsidP="00383193">
      <w:pPr>
        <w:spacing w:after="360" w:line="360" w:lineRule="auto"/>
        <w:ind w:right="-159"/>
        <w:jc w:val="center"/>
        <w:rPr>
          <w:rFonts w:eastAsia="Calibri"/>
          <w:sz w:val="26"/>
          <w:szCs w:val="26"/>
          <w:lang w:eastAsia="en-US"/>
        </w:rPr>
      </w:pPr>
    </w:p>
    <w:p w14:paraId="57F8C025" w14:textId="77777777" w:rsidR="00383193" w:rsidRPr="00383193" w:rsidRDefault="00383193" w:rsidP="00383193">
      <w:pPr>
        <w:spacing w:after="360" w:line="360" w:lineRule="auto"/>
        <w:ind w:right="-159"/>
        <w:jc w:val="both"/>
        <w:rPr>
          <w:rFonts w:eastAsia="Calibri"/>
          <w:b/>
          <w:sz w:val="26"/>
          <w:szCs w:val="26"/>
          <w:lang w:eastAsia="en-US"/>
        </w:rPr>
      </w:pPr>
      <w:r w:rsidRPr="00383193">
        <w:rPr>
          <w:rFonts w:eastAsia="Calibri"/>
          <w:b/>
          <w:sz w:val="26"/>
          <w:szCs w:val="26"/>
          <w:lang w:eastAsia="en-US"/>
        </w:rPr>
        <w:t>Otras Operaciones</w:t>
      </w:r>
    </w:p>
    <w:p w14:paraId="7CF0255A"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La SHCP podrá realizar operaciones de permuta y recompra de valores gubernamentales durante el segundo trimestre de 2015. Estas operaciones podrán involucrar los diferentes instrumentos que se colocan.</w:t>
      </w:r>
    </w:p>
    <w:p w14:paraId="23D5ECB3"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t>Se podrán realizar múltiples operaciones de permuta y recompra y se llevarán a cabo cuando las condiciones del mercado sean propicias para dichos ejercicios.</w:t>
      </w:r>
    </w:p>
    <w:p w14:paraId="60E6645E" w14:textId="77777777" w:rsidR="00383193" w:rsidRPr="00383193" w:rsidRDefault="00383193" w:rsidP="00383193">
      <w:pPr>
        <w:spacing w:after="360" w:line="360" w:lineRule="auto"/>
        <w:ind w:right="-159"/>
        <w:jc w:val="both"/>
        <w:rPr>
          <w:rFonts w:eastAsia="Calibri"/>
          <w:sz w:val="26"/>
          <w:szCs w:val="26"/>
          <w:lang w:eastAsia="en-US"/>
        </w:rPr>
      </w:pPr>
      <w:r w:rsidRPr="00383193">
        <w:rPr>
          <w:rFonts w:eastAsia="Calibri"/>
          <w:sz w:val="26"/>
          <w:szCs w:val="26"/>
          <w:lang w:eastAsia="en-US"/>
        </w:rPr>
        <w:lastRenderedPageBreak/>
        <w:t>En caso de llevarse a cabo alguna de las operaciones anteriores, la SHCP dará a conocer a través del Banxico la convocatoria respectiva, en la que se especificará el tipo de instrumento, los montos, así como las emisiones involucradas.</w:t>
      </w:r>
    </w:p>
    <w:p w14:paraId="01A56615" w14:textId="77777777" w:rsidR="00383193" w:rsidRPr="00383193" w:rsidRDefault="00383193" w:rsidP="00383193">
      <w:pPr>
        <w:ind w:right="-159"/>
        <w:jc w:val="both"/>
        <w:rPr>
          <w:rFonts w:eastAsia="Calibri"/>
          <w:b/>
          <w:sz w:val="20"/>
          <w:szCs w:val="20"/>
          <w:lang w:eastAsia="en-US"/>
        </w:rPr>
      </w:pPr>
      <w:r w:rsidRPr="00383193">
        <w:rPr>
          <w:rFonts w:eastAsia="Calibri"/>
          <w:b/>
          <w:sz w:val="20"/>
          <w:szCs w:val="20"/>
          <w:lang w:eastAsia="en-US"/>
        </w:rPr>
        <w:t>Fuente de información:</w:t>
      </w:r>
    </w:p>
    <w:p w14:paraId="4149F7BD" w14:textId="77777777" w:rsidR="00383193" w:rsidRPr="00A65144" w:rsidRDefault="0045651A" w:rsidP="00A65144">
      <w:pPr>
        <w:spacing w:after="720"/>
        <w:ind w:right="-159"/>
        <w:jc w:val="both"/>
        <w:rPr>
          <w:rFonts w:eastAsia="Calibri"/>
          <w:color w:val="0000FF"/>
          <w:sz w:val="20"/>
          <w:szCs w:val="20"/>
          <w:lang w:eastAsia="en-US"/>
        </w:rPr>
      </w:pPr>
      <w:hyperlink r:id="rId440" w:history="1">
        <w:r w:rsidR="00383193" w:rsidRPr="00A65144">
          <w:rPr>
            <w:rFonts w:eastAsia="Calibri"/>
            <w:color w:val="0000FF"/>
            <w:sz w:val="20"/>
            <w:szCs w:val="20"/>
            <w:u w:val="single"/>
            <w:lang w:eastAsia="en-US"/>
          </w:rPr>
          <w:t>http://www.shcp.gob.mx/Biblioteca_noticias_home/comunicado_027_2015.pdf</w:t>
        </w:r>
      </w:hyperlink>
    </w:p>
    <w:p w14:paraId="34EE3F13" w14:textId="4A119518" w:rsidR="005A4CA6" w:rsidRDefault="005A4CA6" w:rsidP="005A4CA6">
      <w:pPr>
        <w:ind w:right="-159"/>
        <w:jc w:val="both"/>
        <w:rPr>
          <w:rFonts w:eastAsia="Calibri"/>
          <w:b/>
          <w:sz w:val="26"/>
          <w:szCs w:val="26"/>
          <w:lang w:eastAsia="en-US"/>
        </w:rPr>
      </w:pPr>
      <w:r w:rsidRPr="005A4CA6">
        <w:rPr>
          <w:rFonts w:eastAsia="Calibri"/>
          <w:b/>
          <w:sz w:val="26"/>
          <w:szCs w:val="26"/>
          <w:lang w:eastAsia="en-US"/>
        </w:rPr>
        <w:t xml:space="preserve">El </w:t>
      </w:r>
      <w:r>
        <w:rPr>
          <w:rFonts w:eastAsia="Calibri"/>
          <w:b/>
          <w:sz w:val="26"/>
          <w:szCs w:val="26"/>
          <w:lang w:eastAsia="en-US"/>
        </w:rPr>
        <w:t xml:space="preserve"> </w:t>
      </w:r>
      <w:r w:rsidRPr="005A4CA6">
        <w:rPr>
          <w:rFonts w:eastAsia="Calibri"/>
          <w:b/>
          <w:sz w:val="26"/>
          <w:szCs w:val="26"/>
          <w:lang w:eastAsia="en-US"/>
        </w:rPr>
        <w:t xml:space="preserve">Gobierno </w:t>
      </w:r>
      <w:r>
        <w:rPr>
          <w:rFonts w:eastAsia="Calibri"/>
          <w:b/>
          <w:sz w:val="26"/>
          <w:szCs w:val="26"/>
          <w:lang w:eastAsia="en-US"/>
        </w:rPr>
        <w:t xml:space="preserve"> </w:t>
      </w:r>
      <w:r w:rsidRPr="005A4CA6">
        <w:rPr>
          <w:rFonts w:eastAsia="Calibri"/>
          <w:b/>
          <w:sz w:val="26"/>
          <w:szCs w:val="26"/>
          <w:lang w:eastAsia="en-US"/>
        </w:rPr>
        <w:t xml:space="preserve">Federal </w:t>
      </w:r>
      <w:r>
        <w:rPr>
          <w:rFonts w:eastAsia="Calibri"/>
          <w:b/>
          <w:sz w:val="26"/>
          <w:szCs w:val="26"/>
          <w:lang w:eastAsia="en-US"/>
        </w:rPr>
        <w:t xml:space="preserve"> </w:t>
      </w:r>
      <w:r w:rsidRPr="005A4CA6">
        <w:rPr>
          <w:rFonts w:eastAsia="Calibri"/>
          <w:b/>
          <w:sz w:val="26"/>
          <w:szCs w:val="26"/>
          <w:lang w:eastAsia="en-US"/>
        </w:rPr>
        <w:t xml:space="preserve">emitió </w:t>
      </w:r>
      <w:r>
        <w:rPr>
          <w:rFonts w:eastAsia="Calibri"/>
          <w:b/>
          <w:sz w:val="26"/>
          <w:szCs w:val="26"/>
          <w:lang w:eastAsia="en-US"/>
        </w:rPr>
        <w:t xml:space="preserve"> </w:t>
      </w:r>
      <w:r w:rsidRPr="005A4CA6">
        <w:rPr>
          <w:rFonts w:eastAsia="Calibri"/>
          <w:b/>
          <w:sz w:val="26"/>
          <w:szCs w:val="26"/>
          <w:lang w:eastAsia="en-US"/>
        </w:rPr>
        <w:t>un</w:t>
      </w:r>
    </w:p>
    <w:p w14:paraId="34CA9DD8" w14:textId="32F67D8A" w:rsidR="005A4CA6" w:rsidRPr="005A4CA6" w:rsidRDefault="005A4CA6" w:rsidP="005A4CA6">
      <w:pPr>
        <w:spacing w:after="360" w:line="360" w:lineRule="auto"/>
        <w:ind w:right="-159"/>
        <w:jc w:val="both"/>
        <w:rPr>
          <w:rFonts w:eastAsia="Calibri"/>
          <w:b/>
          <w:sz w:val="26"/>
          <w:szCs w:val="26"/>
          <w:lang w:eastAsia="en-US"/>
        </w:rPr>
      </w:pPr>
      <w:r w:rsidRPr="005A4CA6">
        <w:rPr>
          <w:rFonts w:eastAsia="Calibri"/>
          <w:b/>
          <w:sz w:val="26"/>
          <w:szCs w:val="26"/>
          <w:lang w:eastAsia="en-US"/>
        </w:rPr>
        <w:t>bono a 100 años en euros (SHCP)</w:t>
      </w:r>
    </w:p>
    <w:p w14:paraId="5C164008" w14:textId="77777777" w:rsidR="005A4CA6" w:rsidRPr="005A4CA6" w:rsidRDefault="005A4CA6" w:rsidP="005A4CA6">
      <w:pPr>
        <w:spacing w:after="360" w:line="360" w:lineRule="auto"/>
        <w:ind w:right="-159"/>
        <w:jc w:val="both"/>
        <w:rPr>
          <w:rFonts w:eastAsia="Calibri"/>
          <w:sz w:val="26"/>
          <w:szCs w:val="26"/>
          <w:lang w:eastAsia="en-US"/>
        </w:rPr>
      </w:pPr>
      <w:r w:rsidRPr="005A4CA6">
        <w:rPr>
          <w:rFonts w:eastAsia="Calibri"/>
          <w:sz w:val="26"/>
          <w:szCs w:val="26"/>
          <w:lang w:eastAsia="en-US"/>
        </w:rPr>
        <w:t>El 8 de abril de 2015, la Secretaría de Hacienda y Crédito Público (SHCP) dio conocer el documento “El Gobierno Federal emitió un bono a 100 años en euros”, el cual se presenta a continuación.</w:t>
      </w:r>
    </w:p>
    <w:p w14:paraId="5CA36791" w14:textId="15A390CB" w:rsidR="005A4CA6" w:rsidRPr="005A4CA6" w:rsidRDefault="005A4CA6" w:rsidP="005A4CA6">
      <w:pPr>
        <w:spacing w:after="360" w:line="360" w:lineRule="auto"/>
        <w:ind w:right="-159"/>
        <w:jc w:val="both"/>
        <w:rPr>
          <w:rFonts w:eastAsia="Calibri"/>
          <w:sz w:val="26"/>
          <w:szCs w:val="26"/>
          <w:lang w:eastAsia="en-US"/>
        </w:rPr>
      </w:pPr>
      <w:r w:rsidRPr="005A4CA6">
        <w:rPr>
          <w:rFonts w:eastAsia="Calibri"/>
          <w:sz w:val="26"/>
          <w:szCs w:val="26"/>
          <w:lang w:eastAsia="en-US"/>
        </w:rPr>
        <w:t xml:space="preserve">La SHCP realizó la emisión de un nuevo bono de referencia en euros a 100 años, por un total de un mil 500 millones de euros, aproximadamente un mil 620 millones de dólares. </w:t>
      </w:r>
      <w:r w:rsidR="00177A9B">
        <w:rPr>
          <w:rFonts w:eastAsia="Calibri"/>
          <w:sz w:val="26"/>
          <w:szCs w:val="26"/>
          <w:lang w:eastAsia="en-US"/>
        </w:rPr>
        <w:t>É</w:t>
      </w:r>
      <w:r w:rsidRPr="005A4CA6">
        <w:rPr>
          <w:rFonts w:eastAsia="Calibri"/>
          <w:sz w:val="26"/>
          <w:szCs w:val="26"/>
          <w:lang w:eastAsia="en-US"/>
        </w:rPr>
        <w:t>sta es la primera emisión soberana en el mercado en euros a 100 años y cumple con los siguientes objetivos:</w:t>
      </w:r>
    </w:p>
    <w:p w14:paraId="03C91EC4" w14:textId="77777777" w:rsidR="005A4CA6" w:rsidRPr="005A4CA6" w:rsidRDefault="005A4CA6" w:rsidP="002D3902">
      <w:pPr>
        <w:numPr>
          <w:ilvl w:val="0"/>
          <w:numId w:val="74"/>
        </w:numPr>
        <w:spacing w:after="360" w:line="360" w:lineRule="auto"/>
        <w:ind w:left="714" w:right="-159" w:hanging="357"/>
        <w:jc w:val="both"/>
        <w:rPr>
          <w:rFonts w:eastAsia="Calibri"/>
          <w:sz w:val="26"/>
          <w:szCs w:val="26"/>
          <w:lang w:eastAsia="en-US"/>
        </w:rPr>
      </w:pPr>
      <w:r w:rsidRPr="005A4CA6">
        <w:rPr>
          <w:rFonts w:eastAsia="Calibri"/>
          <w:sz w:val="26"/>
          <w:szCs w:val="26"/>
          <w:lang w:eastAsia="en-US"/>
        </w:rPr>
        <w:t>Cubrir necesidades de financiamiento del Gobierno Federal a un costo bajo;</w:t>
      </w:r>
    </w:p>
    <w:p w14:paraId="55ADE6B2" w14:textId="77777777" w:rsidR="005A4CA6" w:rsidRPr="005A4CA6" w:rsidRDefault="005A4CA6" w:rsidP="002D3902">
      <w:pPr>
        <w:numPr>
          <w:ilvl w:val="0"/>
          <w:numId w:val="74"/>
        </w:numPr>
        <w:spacing w:after="360" w:line="360" w:lineRule="auto"/>
        <w:ind w:left="714" w:right="-159" w:hanging="357"/>
        <w:jc w:val="both"/>
        <w:rPr>
          <w:rFonts w:eastAsia="Calibri"/>
          <w:sz w:val="26"/>
          <w:szCs w:val="26"/>
          <w:lang w:eastAsia="en-US"/>
        </w:rPr>
      </w:pPr>
      <w:r w:rsidRPr="005A4CA6">
        <w:rPr>
          <w:rFonts w:eastAsia="Calibri"/>
          <w:sz w:val="26"/>
          <w:szCs w:val="26"/>
          <w:lang w:eastAsia="en-US"/>
        </w:rPr>
        <w:t>Extender el perfil de amortizaciones de los bonos de referencia en moneda extranjera; y</w:t>
      </w:r>
    </w:p>
    <w:p w14:paraId="0B781BED" w14:textId="77777777" w:rsidR="005A4CA6" w:rsidRPr="005A4CA6" w:rsidRDefault="005A4CA6" w:rsidP="002D3902">
      <w:pPr>
        <w:numPr>
          <w:ilvl w:val="0"/>
          <w:numId w:val="74"/>
        </w:numPr>
        <w:spacing w:after="360" w:line="360" w:lineRule="auto"/>
        <w:ind w:left="714" w:right="-159" w:hanging="357"/>
        <w:jc w:val="both"/>
        <w:rPr>
          <w:rFonts w:eastAsia="Calibri"/>
          <w:sz w:val="26"/>
          <w:szCs w:val="26"/>
          <w:lang w:eastAsia="en-US"/>
        </w:rPr>
      </w:pPr>
      <w:r w:rsidRPr="005A4CA6">
        <w:rPr>
          <w:rFonts w:eastAsia="Calibri"/>
          <w:sz w:val="26"/>
          <w:szCs w:val="26"/>
          <w:lang w:eastAsia="en-US"/>
        </w:rPr>
        <w:t>Diversificar y extender la base de inversionistas con un horizonte de largo plazo.</w:t>
      </w:r>
    </w:p>
    <w:p w14:paraId="19D3FDBC" w14:textId="77777777" w:rsidR="005A4CA6" w:rsidRPr="005A4CA6" w:rsidRDefault="005A4CA6" w:rsidP="005A4CA6">
      <w:pPr>
        <w:spacing w:after="360" w:line="360" w:lineRule="auto"/>
        <w:ind w:right="-159"/>
        <w:jc w:val="both"/>
        <w:rPr>
          <w:rFonts w:eastAsia="Calibri"/>
          <w:sz w:val="26"/>
          <w:szCs w:val="26"/>
          <w:lang w:eastAsia="en-US"/>
        </w:rPr>
      </w:pPr>
      <w:r w:rsidRPr="005A4CA6">
        <w:rPr>
          <w:rFonts w:eastAsia="Calibri"/>
          <w:sz w:val="26"/>
          <w:szCs w:val="26"/>
          <w:lang w:eastAsia="en-US"/>
        </w:rPr>
        <w:t xml:space="preserve">La emisión del bono a 100 años en euros tuvo una demanda de 6 mil 343 millones de euros (4.2 veces el monto emitido), con una participación de 238 inversionistas institucionales. Esta emisión a 100 años cuenta con las nuevas cláusulas introducidas por el Gobierno Federal a partir de noviembre de 2014 en sus contratos de deuda externa (Acción Colectiva y </w:t>
      </w:r>
      <w:r w:rsidRPr="005A4CA6">
        <w:rPr>
          <w:rFonts w:eastAsia="Calibri"/>
          <w:i/>
          <w:sz w:val="26"/>
          <w:szCs w:val="26"/>
          <w:lang w:eastAsia="en-US"/>
        </w:rPr>
        <w:t>Pari Passu</w:t>
      </w:r>
      <w:r w:rsidRPr="005A4CA6">
        <w:rPr>
          <w:rFonts w:eastAsia="Calibri"/>
          <w:sz w:val="26"/>
          <w:szCs w:val="26"/>
          <w:lang w:eastAsia="en-US"/>
        </w:rPr>
        <w:t>).</w:t>
      </w:r>
    </w:p>
    <w:p w14:paraId="74B9D655" w14:textId="77777777" w:rsidR="005A4CA6" w:rsidRPr="005A4CA6" w:rsidRDefault="005A4CA6" w:rsidP="005A4CA6">
      <w:pPr>
        <w:spacing w:after="360" w:line="360" w:lineRule="auto"/>
        <w:ind w:right="-159"/>
        <w:jc w:val="both"/>
        <w:rPr>
          <w:rFonts w:eastAsia="Calibri"/>
          <w:sz w:val="26"/>
          <w:szCs w:val="26"/>
          <w:lang w:eastAsia="en-US"/>
        </w:rPr>
      </w:pPr>
      <w:r w:rsidRPr="005A4CA6">
        <w:rPr>
          <w:rFonts w:eastAsia="Calibri"/>
          <w:sz w:val="26"/>
          <w:szCs w:val="26"/>
          <w:lang w:eastAsia="en-US"/>
        </w:rPr>
        <w:lastRenderedPageBreak/>
        <w:t>El bono con vencimiento en marzo de 2115 contará con un monto total en circulación de un mil 500 millones de euros y pagará un cupón anual de 4.00%. Con esta emisión en euros a 100 años, el público inversionista recibirá un rendimiento al vencimiento de 4.20 por ciento.</w:t>
      </w:r>
    </w:p>
    <w:tbl>
      <w:tblPr>
        <w:tblW w:w="0" w:type="auto"/>
        <w:jc w:val="center"/>
        <w:tblLook w:val="04A0" w:firstRow="1" w:lastRow="0" w:firstColumn="1" w:lastColumn="0" w:noHBand="0" w:noVBand="1"/>
      </w:tblPr>
      <w:tblGrid>
        <w:gridCol w:w="1765"/>
        <w:gridCol w:w="1349"/>
        <w:gridCol w:w="1417"/>
        <w:gridCol w:w="1701"/>
        <w:gridCol w:w="1985"/>
      </w:tblGrid>
      <w:tr w:rsidR="005A4CA6" w:rsidRPr="005A4CA6" w14:paraId="5AD26C0A" w14:textId="77777777" w:rsidTr="00AC0335">
        <w:trPr>
          <w:jc w:val="center"/>
        </w:trPr>
        <w:tc>
          <w:tcPr>
            <w:tcW w:w="8217" w:type="dxa"/>
            <w:gridSpan w:val="5"/>
            <w:tcBorders>
              <w:bottom w:val="single" w:sz="4" w:space="0" w:color="auto"/>
            </w:tcBorders>
          </w:tcPr>
          <w:p w14:paraId="46703C9F" w14:textId="77777777" w:rsidR="005A4CA6" w:rsidRPr="005A4CA6" w:rsidRDefault="005A4CA6" w:rsidP="005A4CA6">
            <w:pPr>
              <w:jc w:val="center"/>
              <w:rPr>
                <w:rFonts w:eastAsia="Calibri"/>
                <w:b/>
                <w:sz w:val="22"/>
                <w:szCs w:val="22"/>
                <w:lang w:eastAsia="en-US"/>
              </w:rPr>
            </w:pPr>
            <w:r w:rsidRPr="005A4CA6">
              <w:rPr>
                <w:rFonts w:eastAsia="Calibri"/>
                <w:b/>
                <w:sz w:val="22"/>
                <w:szCs w:val="22"/>
                <w:lang w:eastAsia="en-US"/>
              </w:rPr>
              <w:t>EMISIONES A 100 AÑOS DEL GOBIERNO FEDERAL</w:t>
            </w:r>
          </w:p>
        </w:tc>
      </w:tr>
      <w:tr w:rsidR="005A4CA6" w:rsidRPr="005A4CA6" w14:paraId="66CCD4C7" w14:textId="77777777" w:rsidTr="00AC0335">
        <w:trPr>
          <w:jc w:val="center"/>
        </w:trPr>
        <w:tc>
          <w:tcPr>
            <w:tcW w:w="1765" w:type="dxa"/>
            <w:tcBorders>
              <w:top w:val="single" w:sz="4" w:space="0" w:color="auto"/>
              <w:left w:val="single" w:sz="4" w:space="0" w:color="auto"/>
              <w:bottom w:val="single" w:sz="4" w:space="0" w:color="auto"/>
              <w:right w:val="single" w:sz="4" w:space="0" w:color="auto"/>
            </w:tcBorders>
          </w:tcPr>
          <w:p w14:paraId="55879206" w14:textId="77777777" w:rsidR="005A4CA6" w:rsidRPr="005A4CA6" w:rsidRDefault="005A4CA6" w:rsidP="005A4CA6">
            <w:pPr>
              <w:jc w:val="center"/>
              <w:rPr>
                <w:rFonts w:eastAsia="Calibri"/>
                <w:b/>
                <w:sz w:val="20"/>
                <w:szCs w:val="20"/>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CF9DA94"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Rendimiento</w:t>
            </w:r>
          </w:p>
          <w:p w14:paraId="284336E9"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359E45A3"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Cupón</w:t>
            </w:r>
          </w:p>
          <w:p w14:paraId="13E25283"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w:t>
            </w:r>
          </w:p>
        </w:tc>
        <w:tc>
          <w:tcPr>
            <w:tcW w:w="1701" w:type="dxa"/>
            <w:tcBorders>
              <w:top w:val="single" w:sz="4" w:space="0" w:color="auto"/>
              <w:left w:val="single" w:sz="4" w:space="0" w:color="auto"/>
              <w:bottom w:val="single" w:sz="4" w:space="0" w:color="auto"/>
              <w:right w:val="single" w:sz="4" w:space="0" w:color="auto"/>
            </w:tcBorders>
          </w:tcPr>
          <w:p w14:paraId="6C842C53"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 xml:space="preserve">Monto </w:t>
            </w:r>
          </w:p>
          <w:p w14:paraId="25A569F5"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(millones)</w:t>
            </w:r>
          </w:p>
        </w:tc>
        <w:tc>
          <w:tcPr>
            <w:tcW w:w="1985" w:type="dxa"/>
            <w:tcBorders>
              <w:top w:val="single" w:sz="4" w:space="0" w:color="auto"/>
              <w:left w:val="single" w:sz="4" w:space="0" w:color="auto"/>
              <w:bottom w:val="single" w:sz="4" w:space="0" w:color="auto"/>
              <w:right w:val="single" w:sz="4" w:space="0" w:color="auto"/>
            </w:tcBorders>
          </w:tcPr>
          <w:p w14:paraId="55DEB4F1"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 xml:space="preserve">Demanda </w:t>
            </w:r>
          </w:p>
          <w:p w14:paraId="5BD072B1" w14:textId="77777777" w:rsidR="005A4CA6" w:rsidRPr="005A4CA6" w:rsidRDefault="005A4CA6" w:rsidP="005A4CA6">
            <w:pPr>
              <w:jc w:val="center"/>
              <w:rPr>
                <w:rFonts w:eastAsia="Calibri"/>
                <w:b/>
                <w:sz w:val="20"/>
                <w:szCs w:val="20"/>
                <w:lang w:eastAsia="en-US"/>
              </w:rPr>
            </w:pPr>
            <w:r w:rsidRPr="005A4CA6">
              <w:rPr>
                <w:rFonts w:eastAsia="Calibri"/>
                <w:b/>
                <w:sz w:val="20"/>
                <w:szCs w:val="20"/>
                <w:lang w:eastAsia="en-US"/>
              </w:rPr>
              <w:t>Total</w:t>
            </w:r>
          </w:p>
        </w:tc>
      </w:tr>
      <w:tr w:rsidR="005A4CA6" w:rsidRPr="005A4CA6" w14:paraId="70D64F58" w14:textId="77777777" w:rsidTr="00AC0335">
        <w:trPr>
          <w:jc w:val="center"/>
        </w:trPr>
        <w:tc>
          <w:tcPr>
            <w:tcW w:w="1765" w:type="dxa"/>
            <w:tcBorders>
              <w:top w:val="single" w:sz="4" w:space="0" w:color="auto"/>
              <w:left w:val="single" w:sz="4" w:space="0" w:color="auto"/>
              <w:right w:val="single" w:sz="4" w:space="0" w:color="auto"/>
            </w:tcBorders>
          </w:tcPr>
          <w:p w14:paraId="5B0BC662" w14:textId="77777777" w:rsidR="005A4CA6" w:rsidRPr="005A4CA6" w:rsidRDefault="005A4CA6" w:rsidP="005A4CA6">
            <w:pPr>
              <w:jc w:val="both"/>
              <w:rPr>
                <w:rFonts w:eastAsia="Calibri"/>
                <w:b/>
                <w:sz w:val="20"/>
                <w:szCs w:val="20"/>
                <w:lang w:eastAsia="en-US"/>
              </w:rPr>
            </w:pPr>
            <w:r w:rsidRPr="005A4CA6">
              <w:rPr>
                <w:rFonts w:eastAsia="Calibri"/>
                <w:b/>
                <w:sz w:val="20"/>
                <w:szCs w:val="20"/>
                <w:lang w:eastAsia="en-US"/>
              </w:rPr>
              <w:t>Dólares</w:t>
            </w:r>
          </w:p>
        </w:tc>
        <w:tc>
          <w:tcPr>
            <w:tcW w:w="1349" w:type="dxa"/>
            <w:tcBorders>
              <w:top w:val="single" w:sz="4" w:space="0" w:color="auto"/>
              <w:left w:val="single" w:sz="4" w:space="0" w:color="auto"/>
              <w:right w:val="single" w:sz="4" w:space="0" w:color="auto"/>
            </w:tcBorders>
          </w:tcPr>
          <w:p w14:paraId="6DC6939C" w14:textId="77777777" w:rsidR="005A4CA6" w:rsidRPr="005A4CA6" w:rsidRDefault="005A4CA6" w:rsidP="005A4CA6">
            <w:pPr>
              <w:jc w:val="both"/>
              <w:rPr>
                <w:rFonts w:eastAsia="Calibri"/>
                <w:b/>
                <w:sz w:val="20"/>
                <w:szCs w:val="20"/>
                <w:lang w:eastAsia="en-US"/>
              </w:rPr>
            </w:pPr>
          </w:p>
        </w:tc>
        <w:tc>
          <w:tcPr>
            <w:tcW w:w="1417" w:type="dxa"/>
            <w:tcBorders>
              <w:top w:val="single" w:sz="4" w:space="0" w:color="auto"/>
              <w:left w:val="single" w:sz="4" w:space="0" w:color="auto"/>
              <w:right w:val="single" w:sz="4" w:space="0" w:color="auto"/>
            </w:tcBorders>
          </w:tcPr>
          <w:p w14:paraId="7619CB18" w14:textId="77777777" w:rsidR="005A4CA6" w:rsidRPr="005A4CA6" w:rsidRDefault="005A4CA6" w:rsidP="005A4CA6">
            <w:pPr>
              <w:jc w:val="both"/>
              <w:rPr>
                <w:rFonts w:eastAsia="Calibri"/>
                <w:b/>
                <w:sz w:val="20"/>
                <w:szCs w:val="20"/>
                <w:lang w:eastAsia="en-US"/>
              </w:rPr>
            </w:pPr>
          </w:p>
        </w:tc>
        <w:tc>
          <w:tcPr>
            <w:tcW w:w="1701" w:type="dxa"/>
            <w:tcBorders>
              <w:top w:val="single" w:sz="4" w:space="0" w:color="auto"/>
              <w:left w:val="single" w:sz="4" w:space="0" w:color="auto"/>
              <w:right w:val="single" w:sz="4" w:space="0" w:color="auto"/>
            </w:tcBorders>
          </w:tcPr>
          <w:p w14:paraId="569148A2" w14:textId="77777777" w:rsidR="005A4CA6" w:rsidRPr="005A4CA6" w:rsidRDefault="005A4CA6" w:rsidP="005A4CA6">
            <w:pPr>
              <w:jc w:val="both"/>
              <w:rPr>
                <w:rFonts w:eastAsia="Calibri"/>
                <w:b/>
                <w:sz w:val="20"/>
                <w:szCs w:val="20"/>
                <w:lang w:eastAsia="en-US"/>
              </w:rPr>
            </w:pPr>
          </w:p>
        </w:tc>
        <w:tc>
          <w:tcPr>
            <w:tcW w:w="1985" w:type="dxa"/>
            <w:tcBorders>
              <w:top w:val="single" w:sz="4" w:space="0" w:color="auto"/>
              <w:left w:val="single" w:sz="4" w:space="0" w:color="auto"/>
              <w:right w:val="single" w:sz="4" w:space="0" w:color="auto"/>
            </w:tcBorders>
          </w:tcPr>
          <w:p w14:paraId="1E9C64DE" w14:textId="77777777" w:rsidR="005A4CA6" w:rsidRPr="005A4CA6" w:rsidRDefault="005A4CA6" w:rsidP="005A4CA6">
            <w:pPr>
              <w:jc w:val="both"/>
              <w:rPr>
                <w:rFonts w:eastAsia="Calibri"/>
                <w:b/>
                <w:sz w:val="20"/>
                <w:szCs w:val="20"/>
                <w:lang w:eastAsia="en-US"/>
              </w:rPr>
            </w:pPr>
          </w:p>
        </w:tc>
      </w:tr>
      <w:tr w:rsidR="005A4CA6" w:rsidRPr="005A4CA6" w14:paraId="510A9AA1" w14:textId="77777777" w:rsidTr="00AC0335">
        <w:trPr>
          <w:jc w:val="center"/>
        </w:trPr>
        <w:tc>
          <w:tcPr>
            <w:tcW w:w="1765" w:type="dxa"/>
            <w:tcBorders>
              <w:left w:val="single" w:sz="4" w:space="0" w:color="auto"/>
              <w:right w:val="single" w:sz="4" w:space="0" w:color="auto"/>
            </w:tcBorders>
            <w:vAlign w:val="center"/>
          </w:tcPr>
          <w:p w14:paraId="68AED3BC" w14:textId="77777777" w:rsidR="005A4CA6" w:rsidRPr="005A4CA6" w:rsidRDefault="005A4CA6" w:rsidP="005A4CA6">
            <w:pPr>
              <w:jc w:val="both"/>
              <w:rPr>
                <w:rFonts w:eastAsia="Calibri"/>
                <w:sz w:val="20"/>
                <w:szCs w:val="20"/>
                <w:lang w:eastAsia="en-US"/>
              </w:rPr>
            </w:pPr>
            <w:r w:rsidRPr="005A4CA6">
              <w:rPr>
                <w:rFonts w:eastAsia="Calibri"/>
                <w:sz w:val="20"/>
                <w:szCs w:val="20"/>
                <w:lang w:eastAsia="en-US"/>
              </w:rPr>
              <w:t>Octubre 2010</w:t>
            </w:r>
          </w:p>
        </w:tc>
        <w:tc>
          <w:tcPr>
            <w:tcW w:w="1349" w:type="dxa"/>
            <w:tcBorders>
              <w:left w:val="single" w:sz="4" w:space="0" w:color="auto"/>
              <w:right w:val="single" w:sz="4" w:space="0" w:color="auto"/>
            </w:tcBorders>
            <w:vAlign w:val="center"/>
          </w:tcPr>
          <w:p w14:paraId="15FDBB60"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6.10</w:t>
            </w:r>
          </w:p>
        </w:tc>
        <w:tc>
          <w:tcPr>
            <w:tcW w:w="1417" w:type="dxa"/>
            <w:tcBorders>
              <w:left w:val="single" w:sz="4" w:space="0" w:color="auto"/>
              <w:right w:val="single" w:sz="4" w:space="0" w:color="auto"/>
            </w:tcBorders>
            <w:vAlign w:val="center"/>
          </w:tcPr>
          <w:p w14:paraId="420A10D1"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 xml:space="preserve">5.75 </w:t>
            </w:r>
          </w:p>
        </w:tc>
        <w:tc>
          <w:tcPr>
            <w:tcW w:w="1701" w:type="dxa"/>
            <w:tcBorders>
              <w:left w:val="single" w:sz="4" w:space="0" w:color="auto"/>
              <w:right w:val="single" w:sz="4" w:space="0" w:color="auto"/>
            </w:tcBorders>
            <w:vAlign w:val="center"/>
          </w:tcPr>
          <w:p w14:paraId="1733EB95"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1 000 mdd</w:t>
            </w:r>
          </w:p>
        </w:tc>
        <w:tc>
          <w:tcPr>
            <w:tcW w:w="1985" w:type="dxa"/>
            <w:tcBorders>
              <w:left w:val="single" w:sz="4" w:space="0" w:color="auto"/>
              <w:right w:val="single" w:sz="4" w:space="0" w:color="auto"/>
            </w:tcBorders>
            <w:vAlign w:val="center"/>
          </w:tcPr>
          <w:p w14:paraId="3DE17BCF"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 xml:space="preserve">2 500 mdd </w:t>
            </w:r>
          </w:p>
          <w:p w14:paraId="0E579562"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(2.5x)</w:t>
            </w:r>
          </w:p>
        </w:tc>
      </w:tr>
      <w:tr w:rsidR="005A4CA6" w:rsidRPr="005A4CA6" w14:paraId="66F41CB0" w14:textId="77777777" w:rsidTr="00AC0335">
        <w:trPr>
          <w:jc w:val="center"/>
        </w:trPr>
        <w:tc>
          <w:tcPr>
            <w:tcW w:w="1765" w:type="dxa"/>
            <w:tcBorders>
              <w:left w:val="single" w:sz="4" w:space="0" w:color="auto"/>
              <w:right w:val="single" w:sz="4" w:space="0" w:color="auto"/>
            </w:tcBorders>
            <w:vAlign w:val="center"/>
          </w:tcPr>
          <w:p w14:paraId="1EDAFE03" w14:textId="77777777" w:rsidR="005A4CA6" w:rsidRPr="005A4CA6" w:rsidRDefault="005A4CA6" w:rsidP="005A4CA6">
            <w:pPr>
              <w:jc w:val="both"/>
              <w:rPr>
                <w:rFonts w:eastAsia="Calibri"/>
                <w:sz w:val="20"/>
                <w:szCs w:val="20"/>
                <w:lang w:eastAsia="en-US"/>
              </w:rPr>
            </w:pPr>
          </w:p>
        </w:tc>
        <w:tc>
          <w:tcPr>
            <w:tcW w:w="1349" w:type="dxa"/>
            <w:tcBorders>
              <w:left w:val="single" w:sz="4" w:space="0" w:color="auto"/>
              <w:right w:val="single" w:sz="4" w:space="0" w:color="auto"/>
            </w:tcBorders>
            <w:vAlign w:val="center"/>
          </w:tcPr>
          <w:p w14:paraId="524F85AA" w14:textId="77777777" w:rsidR="005A4CA6" w:rsidRPr="005A4CA6" w:rsidRDefault="005A4CA6" w:rsidP="005A4CA6">
            <w:pPr>
              <w:ind w:right="397"/>
              <w:jc w:val="right"/>
              <w:rPr>
                <w:rFonts w:eastAsia="Calibri"/>
                <w:sz w:val="20"/>
                <w:szCs w:val="20"/>
                <w:lang w:eastAsia="en-US"/>
              </w:rPr>
            </w:pPr>
          </w:p>
        </w:tc>
        <w:tc>
          <w:tcPr>
            <w:tcW w:w="1417" w:type="dxa"/>
            <w:tcBorders>
              <w:left w:val="single" w:sz="4" w:space="0" w:color="auto"/>
              <w:right w:val="single" w:sz="4" w:space="0" w:color="auto"/>
            </w:tcBorders>
            <w:vAlign w:val="center"/>
          </w:tcPr>
          <w:p w14:paraId="4FC7BD06" w14:textId="77777777" w:rsidR="005A4CA6" w:rsidRPr="005A4CA6" w:rsidRDefault="005A4CA6" w:rsidP="005A4CA6">
            <w:pPr>
              <w:ind w:right="397"/>
              <w:jc w:val="right"/>
              <w:rPr>
                <w:rFonts w:eastAsia="Calibri"/>
                <w:sz w:val="20"/>
                <w:szCs w:val="20"/>
                <w:lang w:eastAsia="en-US"/>
              </w:rPr>
            </w:pPr>
          </w:p>
        </w:tc>
        <w:tc>
          <w:tcPr>
            <w:tcW w:w="1701" w:type="dxa"/>
            <w:tcBorders>
              <w:left w:val="single" w:sz="4" w:space="0" w:color="auto"/>
              <w:right w:val="single" w:sz="4" w:space="0" w:color="auto"/>
            </w:tcBorders>
            <w:vAlign w:val="center"/>
          </w:tcPr>
          <w:p w14:paraId="3CAB6918" w14:textId="77777777" w:rsidR="005A4CA6" w:rsidRPr="005A4CA6" w:rsidRDefault="005A4CA6" w:rsidP="005A4CA6">
            <w:pPr>
              <w:jc w:val="center"/>
              <w:rPr>
                <w:rFonts w:eastAsia="Calibri"/>
                <w:sz w:val="20"/>
                <w:szCs w:val="20"/>
                <w:lang w:eastAsia="en-US"/>
              </w:rPr>
            </w:pPr>
          </w:p>
        </w:tc>
        <w:tc>
          <w:tcPr>
            <w:tcW w:w="1985" w:type="dxa"/>
            <w:tcBorders>
              <w:left w:val="single" w:sz="4" w:space="0" w:color="auto"/>
              <w:right w:val="single" w:sz="4" w:space="0" w:color="auto"/>
            </w:tcBorders>
            <w:vAlign w:val="center"/>
          </w:tcPr>
          <w:p w14:paraId="16EB965D" w14:textId="77777777" w:rsidR="005A4CA6" w:rsidRPr="005A4CA6" w:rsidRDefault="005A4CA6" w:rsidP="005A4CA6">
            <w:pPr>
              <w:jc w:val="center"/>
              <w:rPr>
                <w:rFonts w:eastAsia="Calibri"/>
                <w:sz w:val="20"/>
                <w:szCs w:val="20"/>
                <w:lang w:eastAsia="en-US"/>
              </w:rPr>
            </w:pPr>
          </w:p>
        </w:tc>
      </w:tr>
      <w:tr w:rsidR="005A4CA6" w:rsidRPr="005A4CA6" w14:paraId="1BFE6098" w14:textId="77777777" w:rsidTr="00AC0335">
        <w:trPr>
          <w:jc w:val="center"/>
        </w:trPr>
        <w:tc>
          <w:tcPr>
            <w:tcW w:w="1765" w:type="dxa"/>
            <w:tcBorders>
              <w:left w:val="single" w:sz="4" w:space="0" w:color="auto"/>
              <w:right w:val="single" w:sz="4" w:space="0" w:color="auto"/>
            </w:tcBorders>
            <w:vAlign w:val="center"/>
          </w:tcPr>
          <w:p w14:paraId="3DFD80E7" w14:textId="77777777" w:rsidR="005A4CA6" w:rsidRPr="005A4CA6" w:rsidRDefault="005A4CA6" w:rsidP="005A4CA6">
            <w:pPr>
              <w:jc w:val="both"/>
              <w:rPr>
                <w:rFonts w:eastAsia="Calibri"/>
                <w:sz w:val="20"/>
                <w:szCs w:val="20"/>
                <w:lang w:eastAsia="en-US"/>
              </w:rPr>
            </w:pPr>
            <w:r w:rsidRPr="005A4CA6">
              <w:rPr>
                <w:rFonts w:eastAsia="Calibri"/>
                <w:sz w:val="20"/>
                <w:szCs w:val="20"/>
                <w:lang w:eastAsia="en-US"/>
              </w:rPr>
              <w:t>Agosto 2011</w:t>
            </w:r>
          </w:p>
        </w:tc>
        <w:tc>
          <w:tcPr>
            <w:tcW w:w="1349" w:type="dxa"/>
            <w:tcBorders>
              <w:left w:val="single" w:sz="4" w:space="0" w:color="auto"/>
              <w:right w:val="single" w:sz="4" w:space="0" w:color="auto"/>
            </w:tcBorders>
            <w:vAlign w:val="center"/>
          </w:tcPr>
          <w:p w14:paraId="4146E626"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5.96</w:t>
            </w:r>
          </w:p>
        </w:tc>
        <w:tc>
          <w:tcPr>
            <w:tcW w:w="1417" w:type="dxa"/>
            <w:tcBorders>
              <w:left w:val="single" w:sz="4" w:space="0" w:color="auto"/>
              <w:right w:val="single" w:sz="4" w:space="0" w:color="auto"/>
            </w:tcBorders>
            <w:vAlign w:val="center"/>
          </w:tcPr>
          <w:p w14:paraId="57F81D8A"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5.75</w:t>
            </w:r>
          </w:p>
        </w:tc>
        <w:tc>
          <w:tcPr>
            <w:tcW w:w="1701" w:type="dxa"/>
            <w:tcBorders>
              <w:left w:val="single" w:sz="4" w:space="0" w:color="auto"/>
              <w:right w:val="single" w:sz="4" w:space="0" w:color="auto"/>
            </w:tcBorders>
            <w:vAlign w:val="center"/>
          </w:tcPr>
          <w:p w14:paraId="649219E3"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1 000 mdd</w:t>
            </w:r>
          </w:p>
        </w:tc>
        <w:tc>
          <w:tcPr>
            <w:tcW w:w="1985" w:type="dxa"/>
            <w:tcBorders>
              <w:left w:val="single" w:sz="4" w:space="0" w:color="auto"/>
              <w:right w:val="single" w:sz="4" w:space="0" w:color="auto"/>
            </w:tcBorders>
            <w:vAlign w:val="center"/>
          </w:tcPr>
          <w:p w14:paraId="53F802BD"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1 800 mdd</w:t>
            </w:r>
          </w:p>
          <w:p w14:paraId="6C8DEE5D"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(1.8x)</w:t>
            </w:r>
          </w:p>
        </w:tc>
      </w:tr>
      <w:tr w:rsidR="005A4CA6" w:rsidRPr="005A4CA6" w14:paraId="5D89C5D0" w14:textId="77777777" w:rsidTr="00AC0335">
        <w:trPr>
          <w:jc w:val="center"/>
        </w:trPr>
        <w:tc>
          <w:tcPr>
            <w:tcW w:w="1765" w:type="dxa"/>
            <w:tcBorders>
              <w:left w:val="single" w:sz="4" w:space="0" w:color="auto"/>
              <w:right w:val="single" w:sz="4" w:space="0" w:color="auto"/>
            </w:tcBorders>
            <w:vAlign w:val="center"/>
          </w:tcPr>
          <w:p w14:paraId="08CC75F9" w14:textId="77777777" w:rsidR="005A4CA6" w:rsidRPr="005A4CA6" w:rsidRDefault="005A4CA6" w:rsidP="005A4CA6">
            <w:pPr>
              <w:jc w:val="both"/>
              <w:rPr>
                <w:rFonts w:eastAsia="Calibri"/>
                <w:b/>
                <w:sz w:val="20"/>
                <w:szCs w:val="20"/>
                <w:lang w:eastAsia="en-US"/>
              </w:rPr>
            </w:pPr>
            <w:r w:rsidRPr="005A4CA6">
              <w:rPr>
                <w:rFonts w:eastAsia="Calibri"/>
                <w:b/>
                <w:sz w:val="20"/>
                <w:szCs w:val="20"/>
                <w:lang w:eastAsia="en-US"/>
              </w:rPr>
              <w:t>Libras Esterlinas</w:t>
            </w:r>
          </w:p>
        </w:tc>
        <w:tc>
          <w:tcPr>
            <w:tcW w:w="1349" w:type="dxa"/>
            <w:tcBorders>
              <w:left w:val="single" w:sz="4" w:space="0" w:color="auto"/>
              <w:right w:val="single" w:sz="4" w:space="0" w:color="auto"/>
            </w:tcBorders>
            <w:vAlign w:val="center"/>
          </w:tcPr>
          <w:p w14:paraId="26D68143" w14:textId="77777777" w:rsidR="005A4CA6" w:rsidRPr="005A4CA6" w:rsidRDefault="005A4CA6" w:rsidP="005A4CA6">
            <w:pPr>
              <w:ind w:right="397"/>
              <w:jc w:val="right"/>
              <w:rPr>
                <w:rFonts w:eastAsia="Calibri"/>
                <w:b/>
                <w:sz w:val="20"/>
                <w:szCs w:val="20"/>
                <w:lang w:eastAsia="en-US"/>
              </w:rPr>
            </w:pPr>
          </w:p>
        </w:tc>
        <w:tc>
          <w:tcPr>
            <w:tcW w:w="1417" w:type="dxa"/>
            <w:tcBorders>
              <w:left w:val="single" w:sz="4" w:space="0" w:color="auto"/>
              <w:right w:val="single" w:sz="4" w:space="0" w:color="auto"/>
            </w:tcBorders>
            <w:vAlign w:val="center"/>
          </w:tcPr>
          <w:p w14:paraId="0E29BCD6" w14:textId="77777777" w:rsidR="005A4CA6" w:rsidRPr="005A4CA6" w:rsidRDefault="005A4CA6" w:rsidP="005A4CA6">
            <w:pPr>
              <w:ind w:right="397"/>
              <w:jc w:val="right"/>
              <w:rPr>
                <w:rFonts w:eastAsia="Calibri"/>
                <w:b/>
                <w:sz w:val="20"/>
                <w:szCs w:val="20"/>
                <w:lang w:eastAsia="en-US"/>
              </w:rPr>
            </w:pPr>
          </w:p>
        </w:tc>
        <w:tc>
          <w:tcPr>
            <w:tcW w:w="1701" w:type="dxa"/>
            <w:tcBorders>
              <w:left w:val="single" w:sz="4" w:space="0" w:color="auto"/>
              <w:right w:val="single" w:sz="4" w:space="0" w:color="auto"/>
            </w:tcBorders>
            <w:vAlign w:val="center"/>
          </w:tcPr>
          <w:p w14:paraId="723E1AE2" w14:textId="77777777" w:rsidR="005A4CA6" w:rsidRPr="005A4CA6" w:rsidRDefault="005A4CA6" w:rsidP="005A4CA6">
            <w:pPr>
              <w:jc w:val="center"/>
              <w:rPr>
                <w:rFonts w:eastAsia="Calibri"/>
                <w:b/>
                <w:sz w:val="20"/>
                <w:szCs w:val="20"/>
                <w:lang w:eastAsia="en-US"/>
              </w:rPr>
            </w:pPr>
          </w:p>
        </w:tc>
        <w:tc>
          <w:tcPr>
            <w:tcW w:w="1985" w:type="dxa"/>
            <w:tcBorders>
              <w:left w:val="single" w:sz="4" w:space="0" w:color="auto"/>
              <w:right w:val="single" w:sz="4" w:space="0" w:color="auto"/>
            </w:tcBorders>
            <w:vAlign w:val="center"/>
          </w:tcPr>
          <w:p w14:paraId="539A3255" w14:textId="77777777" w:rsidR="005A4CA6" w:rsidRPr="005A4CA6" w:rsidRDefault="005A4CA6" w:rsidP="005A4CA6">
            <w:pPr>
              <w:jc w:val="center"/>
              <w:rPr>
                <w:rFonts w:eastAsia="Calibri"/>
                <w:b/>
                <w:sz w:val="20"/>
                <w:szCs w:val="20"/>
                <w:lang w:eastAsia="en-US"/>
              </w:rPr>
            </w:pPr>
          </w:p>
        </w:tc>
      </w:tr>
      <w:tr w:rsidR="005A4CA6" w:rsidRPr="005A4CA6" w14:paraId="4CDFB345" w14:textId="77777777" w:rsidTr="00AC0335">
        <w:trPr>
          <w:jc w:val="center"/>
        </w:trPr>
        <w:tc>
          <w:tcPr>
            <w:tcW w:w="1765" w:type="dxa"/>
            <w:tcBorders>
              <w:left w:val="single" w:sz="4" w:space="0" w:color="auto"/>
              <w:right w:val="single" w:sz="4" w:space="0" w:color="auto"/>
            </w:tcBorders>
            <w:vAlign w:val="center"/>
          </w:tcPr>
          <w:p w14:paraId="09769BBA" w14:textId="77777777" w:rsidR="005A4CA6" w:rsidRPr="005A4CA6" w:rsidRDefault="005A4CA6" w:rsidP="005A4CA6">
            <w:pPr>
              <w:jc w:val="both"/>
              <w:rPr>
                <w:rFonts w:eastAsia="Calibri"/>
                <w:sz w:val="20"/>
                <w:szCs w:val="20"/>
                <w:lang w:eastAsia="en-US"/>
              </w:rPr>
            </w:pPr>
            <w:r w:rsidRPr="005A4CA6">
              <w:rPr>
                <w:rFonts w:eastAsia="Calibri"/>
                <w:sz w:val="20"/>
                <w:szCs w:val="20"/>
                <w:lang w:eastAsia="en-US"/>
              </w:rPr>
              <w:t>Marzo 2014</w:t>
            </w:r>
          </w:p>
        </w:tc>
        <w:tc>
          <w:tcPr>
            <w:tcW w:w="1349" w:type="dxa"/>
            <w:tcBorders>
              <w:left w:val="single" w:sz="4" w:space="0" w:color="auto"/>
              <w:right w:val="single" w:sz="4" w:space="0" w:color="auto"/>
            </w:tcBorders>
            <w:vAlign w:val="center"/>
          </w:tcPr>
          <w:p w14:paraId="2640D5E9"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5.75</w:t>
            </w:r>
          </w:p>
        </w:tc>
        <w:tc>
          <w:tcPr>
            <w:tcW w:w="1417" w:type="dxa"/>
            <w:tcBorders>
              <w:left w:val="single" w:sz="4" w:space="0" w:color="auto"/>
              <w:right w:val="single" w:sz="4" w:space="0" w:color="auto"/>
            </w:tcBorders>
            <w:vAlign w:val="center"/>
          </w:tcPr>
          <w:p w14:paraId="205B0CFC"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5.625</w:t>
            </w:r>
          </w:p>
        </w:tc>
        <w:tc>
          <w:tcPr>
            <w:tcW w:w="1701" w:type="dxa"/>
            <w:tcBorders>
              <w:left w:val="single" w:sz="4" w:space="0" w:color="auto"/>
              <w:right w:val="single" w:sz="4" w:space="0" w:color="auto"/>
            </w:tcBorders>
            <w:vAlign w:val="center"/>
          </w:tcPr>
          <w:p w14:paraId="600DE202"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1 000 mdl</w:t>
            </w:r>
          </w:p>
        </w:tc>
        <w:tc>
          <w:tcPr>
            <w:tcW w:w="1985" w:type="dxa"/>
            <w:tcBorders>
              <w:left w:val="single" w:sz="4" w:space="0" w:color="auto"/>
              <w:right w:val="single" w:sz="4" w:space="0" w:color="auto"/>
            </w:tcBorders>
            <w:vAlign w:val="center"/>
          </w:tcPr>
          <w:p w14:paraId="0FA444FD"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2 500 mdl</w:t>
            </w:r>
          </w:p>
          <w:p w14:paraId="2BF764B8"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(2.5x)</w:t>
            </w:r>
          </w:p>
        </w:tc>
      </w:tr>
      <w:tr w:rsidR="005A4CA6" w:rsidRPr="005A4CA6" w14:paraId="67EA1793" w14:textId="77777777" w:rsidTr="00AC0335">
        <w:trPr>
          <w:jc w:val="center"/>
        </w:trPr>
        <w:tc>
          <w:tcPr>
            <w:tcW w:w="1765" w:type="dxa"/>
            <w:tcBorders>
              <w:left w:val="single" w:sz="4" w:space="0" w:color="auto"/>
              <w:right w:val="single" w:sz="4" w:space="0" w:color="auto"/>
            </w:tcBorders>
            <w:vAlign w:val="center"/>
          </w:tcPr>
          <w:p w14:paraId="3CED4265" w14:textId="77777777" w:rsidR="005A4CA6" w:rsidRPr="005A4CA6" w:rsidRDefault="005A4CA6" w:rsidP="005A4CA6">
            <w:pPr>
              <w:jc w:val="both"/>
              <w:rPr>
                <w:rFonts w:eastAsia="Calibri"/>
                <w:b/>
                <w:sz w:val="20"/>
                <w:szCs w:val="20"/>
                <w:lang w:eastAsia="en-US"/>
              </w:rPr>
            </w:pPr>
            <w:r w:rsidRPr="005A4CA6">
              <w:rPr>
                <w:rFonts w:eastAsia="Calibri"/>
                <w:b/>
                <w:sz w:val="20"/>
                <w:szCs w:val="20"/>
                <w:lang w:eastAsia="en-US"/>
              </w:rPr>
              <w:t>Euros</w:t>
            </w:r>
          </w:p>
        </w:tc>
        <w:tc>
          <w:tcPr>
            <w:tcW w:w="1349" w:type="dxa"/>
            <w:tcBorders>
              <w:left w:val="single" w:sz="4" w:space="0" w:color="auto"/>
              <w:right w:val="single" w:sz="4" w:space="0" w:color="auto"/>
            </w:tcBorders>
            <w:vAlign w:val="center"/>
          </w:tcPr>
          <w:p w14:paraId="7518FED8" w14:textId="77777777" w:rsidR="005A4CA6" w:rsidRPr="005A4CA6" w:rsidRDefault="005A4CA6" w:rsidP="005A4CA6">
            <w:pPr>
              <w:ind w:right="397"/>
              <w:jc w:val="right"/>
              <w:rPr>
                <w:rFonts w:eastAsia="Calibri"/>
                <w:b/>
                <w:sz w:val="20"/>
                <w:szCs w:val="20"/>
                <w:lang w:eastAsia="en-US"/>
              </w:rPr>
            </w:pPr>
          </w:p>
        </w:tc>
        <w:tc>
          <w:tcPr>
            <w:tcW w:w="1417" w:type="dxa"/>
            <w:tcBorders>
              <w:left w:val="single" w:sz="4" w:space="0" w:color="auto"/>
              <w:right w:val="single" w:sz="4" w:space="0" w:color="auto"/>
            </w:tcBorders>
            <w:vAlign w:val="center"/>
          </w:tcPr>
          <w:p w14:paraId="5AF5A2B9" w14:textId="77777777" w:rsidR="005A4CA6" w:rsidRPr="005A4CA6" w:rsidRDefault="005A4CA6" w:rsidP="005A4CA6">
            <w:pPr>
              <w:ind w:right="397"/>
              <w:jc w:val="right"/>
              <w:rPr>
                <w:rFonts w:eastAsia="Calibri"/>
                <w:b/>
                <w:sz w:val="20"/>
                <w:szCs w:val="20"/>
                <w:lang w:eastAsia="en-US"/>
              </w:rPr>
            </w:pPr>
          </w:p>
        </w:tc>
        <w:tc>
          <w:tcPr>
            <w:tcW w:w="1701" w:type="dxa"/>
            <w:tcBorders>
              <w:left w:val="single" w:sz="4" w:space="0" w:color="auto"/>
              <w:right w:val="single" w:sz="4" w:space="0" w:color="auto"/>
            </w:tcBorders>
            <w:vAlign w:val="center"/>
          </w:tcPr>
          <w:p w14:paraId="1C706F99" w14:textId="77777777" w:rsidR="005A4CA6" w:rsidRPr="005A4CA6" w:rsidRDefault="005A4CA6" w:rsidP="005A4CA6">
            <w:pPr>
              <w:jc w:val="center"/>
              <w:rPr>
                <w:rFonts w:eastAsia="Calibri"/>
                <w:b/>
                <w:sz w:val="20"/>
                <w:szCs w:val="20"/>
                <w:lang w:eastAsia="en-US"/>
              </w:rPr>
            </w:pPr>
          </w:p>
        </w:tc>
        <w:tc>
          <w:tcPr>
            <w:tcW w:w="1985" w:type="dxa"/>
            <w:tcBorders>
              <w:left w:val="single" w:sz="4" w:space="0" w:color="auto"/>
              <w:right w:val="single" w:sz="4" w:space="0" w:color="auto"/>
            </w:tcBorders>
            <w:vAlign w:val="center"/>
          </w:tcPr>
          <w:p w14:paraId="2075F2A3" w14:textId="77777777" w:rsidR="005A4CA6" w:rsidRPr="005A4CA6" w:rsidRDefault="005A4CA6" w:rsidP="005A4CA6">
            <w:pPr>
              <w:jc w:val="center"/>
              <w:rPr>
                <w:rFonts w:eastAsia="Calibri"/>
                <w:b/>
                <w:sz w:val="20"/>
                <w:szCs w:val="20"/>
                <w:lang w:eastAsia="en-US"/>
              </w:rPr>
            </w:pPr>
          </w:p>
        </w:tc>
      </w:tr>
      <w:tr w:rsidR="005A4CA6" w:rsidRPr="005A4CA6" w14:paraId="3977DBB3" w14:textId="77777777" w:rsidTr="00AC0335">
        <w:trPr>
          <w:jc w:val="center"/>
        </w:trPr>
        <w:tc>
          <w:tcPr>
            <w:tcW w:w="1765" w:type="dxa"/>
            <w:tcBorders>
              <w:left w:val="single" w:sz="4" w:space="0" w:color="auto"/>
              <w:bottom w:val="single" w:sz="4" w:space="0" w:color="auto"/>
              <w:right w:val="single" w:sz="4" w:space="0" w:color="auto"/>
            </w:tcBorders>
            <w:vAlign w:val="center"/>
          </w:tcPr>
          <w:p w14:paraId="1A9763BB" w14:textId="77777777" w:rsidR="005A4CA6" w:rsidRPr="005A4CA6" w:rsidRDefault="005A4CA6" w:rsidP="005A4CA6">
            <w:pPr>
              <w:jc w:val="both"/>
              <w:rPr>
                <w:rFonts w:eastAsia="Calibri"/>
                <w:sz w:val="20"/>
                <w:szCs w:val="20"/>
                <w:lang w:eastAsia="en-US"/>
              </w:rPr>
            </w:pPr>
            <w:r w:rsidRPr="005A4CA6">
              <w:rPr>
                <w:rFonts w:eastAsia="Calibri"/>
                <w:sz w:val="20"/>
                <w:szCs w:val="20"/>
                <w:lang w:eastAsia="en-US"/>
              </w:rPr>
              <w:t>Abril 2015</w:t>
            </w:r>
          </w:p>
        </w:tc>
        <w:tc>
          <w:tcPr>
            <w:tcW w:w="1349" w:type="dxa"/>
            <w:tcBorders>
              <w:left w:val="single" w:sz="4" w:space="0" w:color="auto"/>
              <w:bottom w:val="single" w:sz="4" w:space="0" w:color="auto"/>
              <w:right w:val="single" w:sz="4" w:space="0" w:color="auto"/>
            </w:tcBorders>
            <w:vAlign w:val="center"/>
          </w:tcPr>
          <w:p w14:paraId="3CD9C40B"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4.20</w:t>
            </w:r>
          </w:p>
        </w:tc>
        <w:tc>
          <w:tcPr>
            <w:tcW w:w="1417" w:type="dxa"/>
            <w:tcBorders>
              <w:left w:val="single" w:sz="4" w:space="0" w:color="auto"/>
              <w:bottom w:val="single" w:sz="4" w:space="0" w:color="auto"/>
              <w:right w:val="single" w:sz="4" w:space="0" w:color="auto"/>
            </w:tcBorders>
            <w:vAlign w:val="center"/>
          </w:tcPr>
          <w:p w14:paraId="09429BF0" w14:textId="77777777" w:rsidR="005A4CA6" w:rsidRPr="005A4CA6" w:rsidRDefault="005A4CA6" w:rsidP="005A4CA6">
            <w:pPr>
              <w:ind w:right="397"/>
              <w:jc w:val="right"/>
              <w:rPr>
                <w:rFonts w:eastAsia="Calibri"/>
                <w:sz w:val="20"/>
                <w:szCs w:val="20"/>
                <w:lang w:eastAsia="en-US"/>
              </w:rPr>
            </w:pPr>
            <w:r w:rsidRPr="005A4CA6">
              <w:rPr>
                <w:rFonts w:eastAsia="Calibri"/>
                <w:sz w:val="20"/>
                <w:szCs w:val="20"/>
                <w:lang w:eastAsia="en-US"/>
              </w:rPr>
              <w:t>4.00</w:t>
            </w:r>
          </w:p>
        </w:tc>
        <w:tc>
          <w:tcPr>
            <w:tcW w:w="1701" w:type="dxa"/>
            <w:tcBorders>
              <w:left w:val="single" w:sz="4" w:space="0" w:color="auto"/>
              <w:bottom w:val="single" w:sz="4" w:space="0" w:color="auto"/>
              <w:right w:val="single" w:sz="4" w:space="0" w:color="auto"/>
            </w:tcBorders>
            <w:vAlign w:val="center"/>
          </w:tcPr>
          <w:p w14:paraId="5B64F3AB"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1 500 mde</w:t>
            </w:r>
          </w:p>
        </w:tc>
        <w:tc>
          <w:tcPr>
            <w:tcW w:w="1985" w:type="dxa"/>
            <w:tcBorders>
              <w:left w:val="single" w:sz="4" w:space="0" w:color="auto"/>
              <w:bottom w:val="single" w:sz="4" w:space="0" w:color="auto"/>
              <w:right w:val="single" w:sz="4" w:space="0" w:color="auto"/>
            </w:tcBorders>
            <w:vAlign w:val="center"/>
          </w:tcPr>
          <w:p w14:paraId="4AE4CAC6"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6 343 mde</w:t>
            </w:r>
          </w:p>
          <w:p w14:paraId="4643FE19" w14:textId="77777777" w:rsidR="005A4CA6" w:rsidRPr="005A4CA6" w:rsidRDefault="005A4CA6" w:rsidP="005A4CA6">
            <w:pPr>
              <w:jc w:val="center"/>
              <w:rPr>
                <w:rFonts w:eastAsia="Calibri"/>
                <w:sz w:val="20"/>
                <w:szCs w:val="20"/>
                <w:lang w:eastAsia="en-US"/>
              </w:rPr>
            </w:pPr>
            <w:r w:rsidRPr="005A4CA6">
              <w:rPr>
                <w:rFonts w:eastAsia="Calibri"/>
                <w:sz w:val="20"/>
                <w:szCs w:val="20"/>
                <w:lang w:eastAsia="en-US"/>
              </w:rPr>
              <w:t>(4.2x)</w:t>
            </w:r>
          </w:p>
        </w:tc>
      </w:tr>
      <w:tr w:rsidR="005A4CA6" w:rsidRPr="005A4CA6" w14:paraId="5CC706DF" w14:textId="77777777" w:rsidTr="00AC0335">
        <w:trPr>
          <w:jc w:val="center"/>
        </w:trPr>
        <w:tc>
          <w:tcPr>
            <w:tcW w:w="8217" w:type="dxa"/>
            <w:gridSpan w:val="5"/>
            <w:tcBorders>
              <w:top w:val="single" w:sz="4" w:space="0" w:color="auto"/>
            </w:tcBorders>
          </w:tcPr>
          <w:p w14:paraId="46343AF8" w14:textId="77777777" w:rsidR="005A4CA6" w:rsidRPr="005A4CA6" w:rsidRDefault="005A4CA6" w:rsidP="005A4CA6">
            <w:pPr>
              <w:jc w:val="both"/>
              <w:rPr>
                <w:rFonts w:eastAsia="Calibri"/>
                <w:sz w:val="20"/>
                <w:szCs w:val="20"/>
                <w:lang w:eastAsia="en-US"/>
              </w:rPr>
            </w:pPr>
            <w:r w:rsidRPr="005A4CA6">
              <w:rPr>
                <w:rFonts w:eastAsia="Calibri"/>
                <w:sz w:val="20"/>
                <w:szCs w:val="20"/>
                <w:lang w:eastAsia="en-US"/>
              </w:rPr>
              <w:t>FUENTE: SHCP.</w:t>
            </w:r>
          </w:p>
        </w:tc>
      </w:tr>
    </w:tbl>
    <w:p w14:paraId="5A5F7D7D" w14:textId="77777777" w:rsidR="005A4CA6" w:rsidRPr="005A4CA6" w:rsidRDefault="005A4CA6" w:rsidP="005A4CA6">
      <w:pPr>
        <w:spacing w:after="360" w:line="360" w:lineRule="auto"/>
        <w:ind w:right="-159"/>
        <w:jc w:val="both"/>
        <w:rPr>
          <w:rFonts w:eastAsia="Calibri"/>
          <w:sz w:val="26"/>
          <w:szCs w:val="26"/>
          <w:lang w:eastAsia="en-US"/>
        </w:rPr>
      </w:pPr>
    </w:p>
    <w:p w14:paraId="1C5E1481" w14:textId="77777777" w:rsidR="005A4CA6" w:rsidRPr="005A4CA6" w:rsidRDefault="005A4CA6" w:rsidP="005A4CA6">
      <w:pPr>
        <w:ind w:right="-159"/>
        <w:jc w:val="both"/>
        <w:rPr>
          <w:rFonts w:eastAsia="Calibri"/>
          <w:b/>
          <w:sz w:val="20"/>
          <w:szCs w:val="20"/>
          <w:lang w:eastAsia="en-US"/>
        </w:rPr>
      </w:pPr>
      <w:r w:rsidRPr="005A4CA6">
        <w:rPr>
          <w:rFonts w:eastAsia="Calibri"/>
          <w:b/>
          <w:sz w:val="20"/>
          <w:szCs w:val="20"/>
          <w:lang w:eastAsia="en-US"/>
        </w:rPr>
        <w:t>Fuente de información:</w:t>
      </w:r>
    </w:p>
    <w:p w14:paraId="60456883" w14:textId="77777777" w:rsidR="005A4CA6" w:rsidRPr="005E7F2D" w:rsidRDefault="0045651A" w:rsidP="005E7F2D">
      <w:pPr>
        <w:spacing w:after="720"/>
        <w:ind w:right="-159"/>
        <w:jc w:val="both"/>
        <w:rPr>
          <w:rFonts w:eastAsia="Calibri"/>
          <w:color w:val="0000FF"/>
          <w:sz w:val="20"/>
          <w:szCs w:val="20"/>
          <w:lang w:eastAsia="en-US"/>
        </w:rPr>
      </w:pPr>
      <w:hyperlink r:id="rId441" w:history="1">
        <w:r w:rsidR="005A4CA6" w:rsidRPr="005E7F2D">
          <w:rPr>
            <w:rFonts w:eastAsia="Calibri"/>
            <w:color w:val="0000FF"/>
            <w:sz w:val="20"/>
            <w:szCs w:val="20"/>
            <w:u w:val="single"/>
            <w:lang w:eastAsia="en-US"/>
          </w:rPr>
          <w:t>http://www.shcp.gob.mx/Biblioteca_noticias_home/comunicado_031_2015.pdf</w:t>
        </w:r>
      </w:hyperlink>
    </w:p>
    <w:p w14:paraId="5D2FFA14" w14:textId="48399738" w:rsidR="0039467A" w:rsidRPr="000E3A45" w:rsidRDefault="0039467A" w:rsidP="009E223C">
      <w:pPr>
        <w:ind w:right="-159"/>
        <w:jc w:val="both"/>
        <w:rPr>
          <w:b/>
          <w:sz w:val="26"/>
          <w:szCs w:val="26"/>
        </w:rPr>
      </w:pPr>
      <w:r w:rsidRPr="000E3A45">
        <w:rPr>
          <w:b/>
          <w:sz w:val="26"/>
          <w:szCs w:val="26"/>
        </w:rPr>
        <w:t xml:space="preserve">Tasas de Rendimiento </w:t>
      </w:r>
      <w:r w:rsidR="00132F94" w:rsidRPr="000E3A45">
        <w:rPr>
          <w:b/>
          <w:sz w:val="26"/>
          <w:szCs w:val="26"/>
        </w:rPr>
        <w:t xml:space="preserve"> </w:t>
      </w:r>
      <w:r w:rsidRPr="000E3A45">
        <w:rPr>
          <w:b/>
          <w:sz w:val="26"/>
          <w:szCs w:val="26"/>
        </w:rPr>
        <w:t xml:space="preserve">de </w:t>
      </w:r>
      <w:r w:rsidR="00132F94" w:rsidRPr="000E3A45">
        <w:rPr>
          <w:b/>
          <w:sz w:val="26"/>
          <w:szCs w:val="26"/>
        </w:rPr>
        <w:t xml:space="preserve"> </w:t>
      </w:r>
      <w:r w:rsidRPr="000E3A45">
        <w:rPr>
          <w:b/>
          <w:sz w:val="26"/>
          <w:szCs w:val="26"/>
        </w:rPr>
        <w:t>los Certificados</w:t>
      </w:r>
    </w:p>
    <w:p w14:paraId="1499BC91" w14:textId="30FA3B93" w:rsidR="0039467A" w:rsidRPr="000E3A45" w:rsidRDefault="00132F94" w:rsidP="0039467A">
      <w:pPr>
        <w:spacing w:after="360" w:line="360" w:lineRule="auto"/>
        <w:ind w:right="-159"/>
        <w:jc w:val="both"/>
        <w:rPr>
          <w:b/>
          <w:sz w:val="26"/>
          <w:szCs w:val="26"/>
        </w:rPr>
      </w:pPr>
      <w:r w:rsidRPr="000E3A45">
        <w:rPr>
          <w:b/>
          <w:sz w:val="26"/>
          <w:szCs w:val="26"/>
        </w:rPr>
        <w:t xml:space="preserve">de </w:t>
      </w:r>
      <w:r w:rsidR="0039467A" w:rsidRPr="000E3A45">
        <w:rPr>
          <w:b/>
          <w:sz w:val="26"/>
          <w:szCs w:val="26"/>
        </w:rPr>
        <w:t>la Tesorería de la Federación</w:t>
      </w:r>
      <w:r w:rsidRPr="000E3A45">
        <w:rPr>
          <w:b/>
          <w:sz w:val="26"/>
          <w:szCs w:val="26"/>
        </w:rPr>
        <w:t xml:space="preserve"> </w:t>
      </w:r>
      <w:r w:rsidR="0039467A" w:rsidRPr="000E3A45">
        <w:rPr>
          <w:b/>
          <w:sz w:val="26"/>
          <w:szCs w:val="26"/>
        </w:rPr>
        <w:t>(Banxico)</w:t>
      </w:r>
    </w:p>
    <w:p w14:paraId="7F325E92" w14:textId="2BA611C0" w:rsidR="005D132B" w:rsidRDefault="0049793C" w:rsidP="00B67C40">
      <w:pPr>
        <w:spacing w:after="360" w:line="360" w:lineRule="auto"/>
        <w:ind w:right="-159"/>
        <w:jc w:val="both"/>
        <w:rPr>
          <w:rFonts w:eastAsia="Times New Roman"/>
          <w:sz w:val="26"/>
          <w:szCs w:val="26"/>
          <w:lang w:val="es-ES"/>
        </w:rPr>
      </w:pPr>
      <w:r w:rsidRPr="000E3A45">
        <w:rPr>
          <w:rFonts w:eastAsia="Times New Roman"/>
          <w:sz w:val="26"/>
          <w:szCs w:val="26"/>
          <w:lang w:val="es-ES"/>
        </w:rPr>
        <w:t>D</w:t>
      </w:r>
      <w:r w:rsidR="005B224D" w:rsidRPr="000E3A45">
        <w:rPr>
          <w:rFonts w:eastAsia="Times New Roman"/>
          <w:sz w:val="26"/>
          <w:szCs w:val="26"/>
          <w:lang w:val="es-ES"/>
        </w:rPr>
        <w:t xml:space="preserve">e </w:t>
      </w:r>
      <w:r w:rsidR="005D132B">
        <w:rPr>
          <w:rFonts w:eastAsia="Times New Roman"/>
          <w:sz w:val="26"/>
          <w:szCs w:val="26"/>
          <w:lang w:val="es-ES"/>
        </w:rPr>
        <w:t>acuerdo con el Anuncio de Política Monetaria del 2</w:t>
      </w:r>
      <w:r w:rsidR="00312F61">
        <w:rPr>
          <w:rFonts w:eastAsia="Times New Roman"/>
          <w:sz w:val="26"/>
          <w:szCs w:val="26"/>
          <w:lang w:val="es-ES"/>
        </w:rPr>
        <w:t>6</w:t>
      </w:r>
      <w:r w:rsidR="005D132B">
        <w:rPr>
          <w:rFonts w:eastAsia="Times New Roman"/>
          <w:sz w:val="26"/>
          <w:szCs w:val="26"/>
          <w:lang w:val="es-ES"/>
        </w:rPr>
        <w:t xml:space="preserve"> de </w:t>
      </w:r>
      <w:r w:rsidR="00312F61">
        <w:rPr>
          <w:rFonts w:eastAsia="Times New Roman"/>
          <w:sz w:val="26"/>
          <w:szCs w:val="26"/>
          <w:lang w:val="es-ES"/>
        </w:rPr>
        <w:t>marzo</w:t>
      </w:r>
      <w:r w:rsidR="005D132B">
        <w:rPr>
          <w:rFonts w:eastAsia="Times New Roman"/>
          <w:sz w:val="26"/>
          <w:szCs w:val="26"/>
          <w:lang w:val="es-ES"/>
        </w:rPr>
        <w:t xml:space="preserve"> de 2015, la Junta de Gobierno del Banco de México decidió mantener el objetivo de la Tasa de Interés Interbancaria a un día en 3.0%, lo cual ocurre desde el 11 de julio de 2014.</w:t>
      </w:r>
    </w:p>
    <w:p w14:paraId="32560CBD" w14:textId="0F0B5099" w:rsidR="005239AE" w:rsidRDefault="005239AE" w:rsidP="00B67C40">
      <w:pPr>
        <w:spacing w:after="360" w:line="360" w:lineRule="auto"/>
        <w:ind w:right="-159"/>
        <w:jc w:val="both"/>
        <w:rPr>
          <w:rFonts w:eastAsia="Times New Roman"/>
          <w:sz w:val="26"/>
          <w:szCs w:val="26"/>
          <w:lang w:val="es-ES"/>
        </w:rPr>
      </w:pPr>
      <w:r>
        <w:rPr>
          <w:rFonts w:eastAsia="Times New Roman"/>
          <w:sz w:val="26"/>
          <w:szCs w:val="26"/>
          <w:lang w:val="es-ES"/>
        </w:rPr>
        <w:t>En congruencia con el Programa Monetario para 2015, e</w:t>
      </w:r>
      <w:r w:rsidRPr="00C7548D">
        <w:rPr>
          <w:rFonts w:eastAsia="Calibri"/>
          <w:sz w:val="26"/>
          <w:szCs w:val="26"/>
          <w:lang w:eastAsia="en-US"/>
        </w:rPr>
        <w:t xml:space="preserve">l Banco de México, como muchos bancos centrales, utiliza la tasa de interés interbancaria a un día como el principal instrumento de política monetaria. Para ello, el Instituto Central establece un objetivo para dicha tasa de interés, que se conoce como tasa de referencia de política monetaria, y modifica las condiciones bajo las que proporciona liquidez al mercado de </w:t>
      </w:r>
      <w:r w:rsidRPr="00C7548D">
        <w:rPr>
          <w:rFonts w:eastAsia="Calibri"/>
          <w:sz w:val="26"/>
          <w:szCs w:val="26"/>
          <w:lang w:eastAsia="en-US"/>
        </w:rPr>
        <w:lastRenderedPageBreak/>
        <w:t>dinero buscando que la tasa de interés en el mercado interbancario se ubique en el nivel que se ha planteado como objetivo. A su vez, lo anterior incide sobre la economía a través de diferentes canales</w:t>
      </w:r>
      <w:r w:rsidRPr="00C7548D">
        <w:rPr>
          <w:rFonts w:eastAsia="Calibri"/>
          <w:sz w:val="26"/>
          <w:szCs w:val="26"/>
          <w:vertAlign w:val="superscript"/>
          <w:lang w:eastAsia="en-US"/>
        </w:rPr>
        <w:footnoteReference w:id="83"/>
      </w:r>
      <w:r>
        <w:rPr>
          <w:rFonts w:eastAsia="Calibri"/>
          <w:sz w:val="26"/>
          <w:szCs w:val="26"/>
          <w:lang w:eastAsia="en-US"/>
        </w:rPr>
        <w:t>.</w:t>
      </w:r>
      <w:r w:rsidRPr="00C7548D">
        <w:rPr>
          <w:rFonts w:eastAsia="Calibri"/>
          <w:sz w:val="26"/>
          <w:szCs w:val="26"/>
          <w:lang w:eastAsia="en-US"/>
        </w:rPr>
        <w:t xml:space="preserve"> En primer término, ajustes en la tasa de referencia afectan variables como las expectativas de los agentes económicos, las tasas de interés a diferentes plazos, el crédito, los precios de los activos y la cotización de la divisa nacional frente a otras divisas. Posteriormente, los cambios en estas variables inciden, primordialmente, sobre la demanda agregada y, en última instancia, sobre la inflación.</w:t>
      </w:r>
    </w:p>
    <w:p w14:paraId="1D03B211" w14:textId="032DFC51" w:rsidR="00312F61" w:rsidRDefault="00312F61" w:rsidP="00BD4438">
      <w:pPr>
        <w:spacing w:after="360" w:line="360" w:lineRule="auto"/>
        <w:ind w:right="-159"/>
        <w:jc w:val="both"/>
        <w:rPr>
          <w:rFonts w:eastAsia="Calibri"/>
          <w:sz w:val="26"/>
          <w:szCs w:val="26"/>
          <w:lang w:eastAsia="en-US"/>
        </w:rPr>
      </w:pPr>
      <w:r>
        <w:rPr>
          <w:rFonts w:eastAsia="Calibri"/>
          <w:sz w:val="26"/>
          <w:szCs w:val="26"/>
          <w:lang w:eastAsia="en-US"/>
        </w:rPr>
        <w:t>En este sentido, se prevé que l</w:t>
      </w:r>
      <w:r w:rsidRPr="00A10293">
        <w:rPr>
          <w:rFonts w:eastAsia="Calibri"/>
          <w:sz w:val="26"/>
          <w:szCs w:val="26"/>
          <w:lang w:eastAsia="en-US"/>
        </w:rPr>
        <w:t>a expectativa de apretamiento de la política monetaria en Estados Unidos de Norteamérica en algún momento durante este año, en combinación con la postura actual más laxa en la zona del euro y en Japón, dieron lugar a un incremento en la volatilidad en los mercados financieros internacionales en las últimas semanas. Esto se manifestó en depreciaciones adicionales de la mayoría de las monedas frente al dólar estadounidense, incluyendo al peso mexicano. Este último fenómeno, bajo la actitud vigilante de las autoridades, se ha reflejado en aumentos de las tasas de interés en México a todos sus plazos. Si bien estos ajustes se moderaron después del más reciente anuncio de política monetaria de la Reserva Federal, no puede descartarse un nuevo incremento en la volatilidad internacional y que ello tenga efectos sobre la cotización del peso, especialmente ante la incertidumbre acerca del inicio de la normalización de la postura monetaria en Estados Unidos de Norteamérica. Por tanto, será de gran importancia que se mantenga un marco macroeconómico sólido en México, tanto en lo fiscal como en lo monetario.</w:t>
      </w:r>
    </w:p>
    <w:p w14:paraId="1404CBDF" w14:textId="363249A5" w:rsidR="00BD4438" w:rsidRPr="000E3A45" w:rsidRDefault="00BD4438" w:rsidP="00BD4438">
      <w:pPr>
        <w:spacing w:after="360" w:line="360" w:lineRule="auto"/>
        <w:ind w:right="-159"/>
        <w:jc w:val="both"/>
        <w:rPr>
          <w:rFonts w:eastAsia="Calibri"/>
          <w:sz w:val="26"/>
          <w:szCs w:val="26"/>
          <w:lang w:eastAsia="en-US"/>
        </w:rPr>
      </w:pPr>
      <w:r w:rsidRPr="000E3A45">
        <w:rPr>
          <w:rFonts w:eastAsia="Calibri"/>
          <w:sz w:val="26"/>
          <w:szCs w:val="26"/>
          <w:lang w:eastAsia="en-US"/>
        </w:rPr>
        <w:t xml:space="preserve">Sin embargo, </w:t>
      </w:r>
      <w:r w:rsidR="0079581F">
        <w:rPr>
          <w:rFonts w:eastAsia="Calibri"/>
          <w:sz w:val="26"/>
          <w:szCs w:val="26"/>
          <w:lang w:eastAsia="en-US"/>
        </w:rPr>
        <w:t>el banco central ha comenzado a e</w:t>
      </w:r>
      <w:r w:rsidR="00312F61">
        <w:rPr>
          <w:rFonts w:eastAsia="Calibri"/>
          <w:sz w:val="26"/>
          <w:szCs w:val="26"/>
          <w:lang w:eastAsia="en-US"/>
        </w:rPr>
        <w:t>le</w:t>
      </w:r>
      <w:r w:rsidR="0079581F">
        <w:rPr>
          <w:rFonts w:eastAsia="Calibri"/>
          <w:sz w:val="26"/>
          <w:szCs w:val="26"/>
          <w:lang w:eastAsia="en-US"/>
        </w:rPr>
        <w:t xml:space="preserve">var las tasas de referencia de corto plazo para mantener tasas de interés reales positivas en el mercado de bonos </w:t>
      </w:r>
      <w:r w:rsidR="0079581F">
        <w:rPr>
          <w:rFonts w:eastAsia="Calibri"/>
          <w:sz w:val="26"/>
          <w:szCs w:val="26"/>
          <w:lang w:eastAsia="en-US"/>
        </w:rPr>
        <w:lastRenderedPageBreak/>
        <w:t>gubernamentales con una a</w:t>
      </w:r>
      <w:r w:rsidR="008E01FF">
        <w:rPr>
          <w:rFonts w:eastAsia="Calibri"/>
          <w:sz w:val="26"/>
          <w:szCs w:val="26"/>
          <w:lang w:eastAsia="en-US"/>
        </w:rPr>
        <w:t>d</w:t>
      </w:r>
      <w:r w:rsidR="0079581F">
        <w:rPr>
          <w:rFonts w:eastAsia="Calibri"/>
          <w:sz w:val="26"/>
          <w:szCs w:val="26"/>
          <w:lang w:eastAsia="en-US"/>
        </w:rPr>
        <w:t xml:space="preserve">ecuada liquidez y evitar una intensificación de la </w:t>
      </w:r>
      <w:r w:rsidRPr="000E3A45">
        <w:rPr>
          <w:rFonts w:eastAsia="Calibri"/>
          <w:sz w:val="26"/>
          <w:szCs w:val="26"/>
          <w:lang w:eastAsia="en-US"/>
        </w:rPr>
        <w:t xml:space="preserve">volatilidad en </w:t>
      </w:r>
      <w:r w:rsidR="0079581F">
        <w:rPr>
          <w:rFonts w:eastAsia="Calibri"/>
          <w:sz w:val="26"/>
          <w:szCs w:val="26"/>
          <w:lang w:eastAsia="en-US"/>
        </w:rPr>
        <w:t>el</w:t>
      </w:r>
      <w:r w:rsidRPr="000E3A45">
        <w:rPr>
          <w:rFonts w:eastAsia="Calibri"/>
          <w:sz w:val="26"/>
          <w:szCs w:val="26"/>
          <w:lang w:eastAsia="en-US"/>
        </w:rPr>
        <w:t xml:space="preserve"> mercado </w:t>
      </w:r>
      <w:r w:rsidR="0079581F">
        <w:rPr>
          <w:rFonts w:eastAsia="Calibri"/>
          <w:sz w:val="26"/>
          <w:szCs w:val="26"/>
          <w:lang w:eastAsia="en-US"/>
        </w:rPr>
        <w:t>local.</w:t>
      </w:r>
    </w:p>
    <w:p w14:paraId="77933576" w14:textId="596E052F" w:rsidR="00782691" w:rsidRPr="000E3A45" w:rsidRDefault="00E069AC" w:rsidP="00782691">
      <w:pPr>
        <w:spacing w:after="360" w:line="360" w:lineRule="auto"/>
        <w:ind w:right="-159"/>
        <w:jc w:val="both"/>
        <w:rPr>
          <w:sz w:val="26"/>
          <w:szCs w:val="26"/>
        </w:rPr>
      </w:pPr>
      <w:r>
        <w:rPr>
          <w:sz w:val="26"/>
          <w:szCs w:val="26"/>
        </w:rPr>
        <w:t xml:space="preserve">Así, en </w:t>
      </w:r>
      <w:r w:rsidR="00312F61">
        <w:rPr>
          <w:sz w:val="26"/>
          <w:szCs w:val="26"/>
        </w:rPr>
        <w:t>marzo</w:t>
      </w:r>
      <w:r w:rsidR="00782691">
        <w:rPr>
          <w:sz w:val="26"/>
          <w:szCs w:val="26"/>
        </w:rPr>
        <w:t xml:space="preserve"> de 201</w:t>
      </w:r>
      <w:r>
        <w:rPr>
          <w:sz w:val="26"/>
          <w:szCs w:val="26"/>
        </w:rPr>
        <w:t>5</w:t>
      </w:r>
      <w:r w:rsidR="00782691">
        <w:rPr>
          <w:sz w:val="26"/>
          <w:szCs w:val="26"/>
        </w:rPr>
        <w:t xml:space="preserve">, el promedio de rendimiento de los Cetes a 28 días fue de </w:t>
      </w:r>
      <w:r w:rsidR="00312F61">
        <w:rPr>
          <w:sz w:val="26"/>
          <w:szCs w:val="26"/>
        </w:rPr>
        <w:t>3.03</w:t>
      </w:r>
      <w:r w:rsidR="00782691">
        <w:rPr>
          <w:sz w:val="26"/>
          <w:szCs w:val="26"/>
        </w:rPr>
        <w:t xml:space="preserve">%, porcentaje </w:t>
      </w:r>
      <w:r w:rsidR="00312F61">
        <w:rPr>
          <w:sz w:val="26"/>
          <w:szCs w:val="26"/>
        </w:rPr>
        <w:t>superior</w:t>
      </w:r>
      <w:r w:rsidR="00782691">
        <w:rPr>
          <w:sz w:val="26"/>
          <w:szCs w:val="26"/>
        </w:rPr>
        <w:t xml:space="preserve"> en </w:t>
      </w:r>
      <w:r>
        <w:rPr>
          <w:sz w:val="26"/>
          <w:szCs w:val="26"/>
        </w:rPr>
        <w:t>1</w:t>
      </w:r>
      <w:r w:rsidR="00312F61">
        <w:rPr>
          <w:sz w:val="26"/>
          <w:szCs w:val="26"/>
        </w:rPr>
        <w:t>2</w:t>
      </w:r>
      <w:r w:rsidR="00782691">
        <w:rPr>
          <w:sz w:val="26"/>
          <w:szCs w:val="26"/>
        </w:rPr>
        <w:t xml:space="preserve"> centésimas de punto porcentual respecto a </w:t>
      </w:r>
      <w:r w:rsidR="00312F61">
        <w:rPr>
          <w:sz w:val="26"/>
          <w:szCs w:val="26"/>
        </w:rPr>
        <w:t>febrero</w:t>
      </w:r>
      <w:r w:rsidR="0079581F">
        <w:rPr>
          <w:sz w:val="26"/>
          <w:szCs w:val="26"/>
        </w:rPr>
        <w:t xml:space="preserve"> pasado (2.</w:t>
      </w:r>
      <w:r w:rsidR="00312F61">
        <w:rPr>
          <w:sz w:val="26"/>
          <w:szCs w:val="26"/>
        </w:rPr>
        <w:t>81</w:t>
      </w:r>
      <w:r w:rsidR="0079581F">
        <w:rPr>
          <w:sz w:val="26"/>
          <w:szCs w:val="26"/>
        </w:rPr>
        <w:t xml:space="preserve">%) e idéntica a la observada en </w:t>
      </w:r>
      <w:r>
        <w:rPr>
          <w:sz w:val="26"/>
          <w:szCs w:val="26"/>
        </w:rPr>
        <w:t>diciembre</w:t>
      </w:r>
      <w:r w:rsidR="00782691">
        <w:rPr>
          <w:sz w:val="26"/>
          <w:szCs w:val="26"/>
        </w:rPr>
        <w:t xml:space="preserve"> </w:t>
      </w:r>
      <w:r w:rsidR="00782691" w:rsidRPr="000E3A45">
        <w:rPr>
          <w:sz w:val="26"/>
          <w:szCs w:val="26"/>
        </w:rPr>
        <w:t>pasado (2.</w:t>
      </w:r>
      <w:r w:rsidR="00782691">
        <w:rPr>
          <w:sz w:val="26"/>
          <w:szCs w:val="26"/>
        </w:rPr>
        <w:t>8</w:t>
      </w:r>
      <w:r>
        <w:rPr>
          <w:sz w:val="26"/>
          <w:szCs w:val="26"/>
        </w:rPr>
        <w:t>1</w:t>
      </w:r>
      <w:r w:rsidR="00782691" w:rsidRPr="000E3A45">
        <w:rPr>
          <w:sz w:val="26"/>
          <w:szCs w:val="26"/>
        </w:rPr>
        <w:t>%)</w:t>
      </w:r>
      <w:r>
        <w:rPr>
          <w:sz w:val="26"/>
          <w:szCs w:val="26"/>
        </w:rPr>
        <w:t>,</w:t>
      </w:r>
      <w:r w:rsidR="00782691" w:rsidRPr="000E3A45">
        <w:rPr>
          <w:sz w:val="26"/>
          <w:szCs w:val="26"/>
        </w:rPr>
        <w:t xml:space="preserve"> en tanto que en el plazo a 91 días el promedio fue de </w:t>
      </w:r>
      <w:r w:rsidR="00312F61">
        <w:rPr>
          <w:sz w:val="26"/>
          <w:szCs w:val="26"/>
        </w:rPr>
        <w:t>3.12</w:t>
      </w:r>
      <w:r w:rsidR="00782691" w:rsidRPr="000E3A45">
        <w:rPr>
          <w:sz w:val="26"/>
          <w:szCs w:val="26"/>
        </w:rPr>
        <w:t xml:space="preserve">%, cifra </w:t>
      </w:r>
      <w:r w:rsidR="0079581F">
        <w:rPr>
          <w:sz w:val="26"/>
          <w:szCs w:val="26"/>
        </w:rPr>
        <w:t>mayor</w:t>
      </w:r>
      <w:r>
        <w:rPr>
          <w:sz w:val="26"/>
          <w:szCs w:val="26"/>
        </w:rPr>
        <w:t xml:space="preserve"> en </w:t>
      </w:r>
      <w:r w:rsidR="00312F61">
        <w:rPr>
          <w:sz w:val="26"/>
          <w:szCs w:val="26"/>
        </w:rPr>
        <w:t>18</w:t>
      </w:r>
      <w:r>
        <w:rPr>
          <w:sz w:val="26"/>
          <w:szCs w:val="26"/>
        </w:rPr>
        <w:t xml:space="preserve"> décima</w:t>
      </w:r>
      <w:r w:rsidR="00922A0D">
        <w:rPr>
          <w:sz w:val="26"/>
          <w:szCs w:val="26"/>
        </w:rPr>
        <w:t>s</w:t>
      </w:r>
      <w:r>
        <w:rPr>
          <w:sz w:val="26"/>
          <w:szCs w:val="26"/>
        </w:rPr>
        <w:t xml:space="preserve"> de punto respecto a la </w:t>
      </w:r>
      <w:r w:rsidR="00782691">
        <w:rPr>
          <w:sz w:val="26"/>
          <w:szCs w:val="26"/>
        </w:rPr>
        <w:t>observada en el mes inmediato anterior</w:t>
      </w:r>
      <w:r w:rsidR="00782691" w:rsidRPr="000E3A45">
        <w:rPr>
          <w:sz w:val="26"/>
          <w:szCs w:val="26"/>
        </w:rPr>
        <w:t xml:space="preserve"> (2.9</w:t>
      </w:r>
      <w:r w:rsidR="00312F61">
        <w:rPr>
          <w:sz w:val="26"/>
          <w:szCs w:val="26"/>
        </w:rPr>
        <w:t>4</w:t>
      </w:r>
      <w:r w:rsidR="00782691" w:rsidRPr="000E3A45">
        <w:rPr>
          <w:sz w:val="26"/>
          <w:szCs w:val="26"/>
        </w:rPr>
        <w:t>%)</w:t>
      </w:r>
      <w:r w:rsidR="0079581F">
        <w:rPr>
          <w:sz w:val="26"/>
          <w:szCs w:val="26"/>
        </w:rPr>
        <w:t xml:space="preserve"> y y mayor en </w:t>
      </w:r>
      <w:r w:rsidR="00107631">
        <w:rPr>
          <w:sz w:val="26"/>
          <w:szCs w:val="26"/>
        </w:rPr>
        <w:t>20</w:t>
      </w:r>
      <w:r w:rsidR="0079581F">
        <w:rPr>
          <w:sz w:val="26"/>
          <w:szCs w:val="26"/>
        </w:rPr>
        <w:t xml:space="preserve"> centésimas de punto con relación a diciembre anterior (2.92%)</w:t>
      </w:r>
      <w:r>
        <w:rPr>
          <w:sz w:val="26"/>
          <w:szCs w:val="26"/>
        </w:rPr>
        <w:t>.</w:t>
      </w:r>
    </w:p>
    <w:p w14:paraId="133D2E90" w14:textId="2C29D5CF" w:rsidR="00FE7E49" w:rsidRDefault="00782691" w:rsidP="00B41064">
      <w:pPr>
        <w:spacing w:after="360" w:line="360" w:lineRule="auto"/>
        <w:ind w:right="-159"/>
        <w:jc w:val="both"/>
        <w:rPr>
          <w:sz w:val="26"/>
          <w:szCs w:val="26"/>
        </w:rPr>
      </w:pPr>
      <w:r>
        <w:rPr>
          <w:sz w:val="26"/>
          <w:szCs w:val="26"/>
        </w:rPr>
        <w:t>Finalmente, d</w:t>
      </w:r>
      <w:r w:rsidR="00A91897" w:rsidRPr="000E3A45">
        <w:rPr>
          <w:sz w:val="26"/>
          <w:szCs w:val="26"/>
        </w:rPr>
        <w:t xml:space="preserve">urante las </w:t>
      </w:r>
      <w:r w:rsidR="00062BB6" w:rsidRPr="000E3A45">
        <w:rPr>
          <w:sz w:val="26"/>
          <w:szCs w:val="26"/>
        </w:rPr>
        <w:t>tres</w:t>
      </w:r>
      <w:r w:rsidR="00A91897" w:rsidRPr="000E3A45">
        <w:rPr>
          <w:sz w:val="26"/>
          <w:szCs w:val="26"/>
        </w:rPr>
        <w:t xml:space="preserve"> primeras subastas de </w:t>
      </w:r>
      <w:r w:rsidR="0079581F">
        <w:rPr>
          <w:sz w:val="26"/>
          <w:szCs w:val="26"/>
        </w:rPr>
        <w:t>a</w:t>
      </w:r>
      <w:r w:rsidR="00107631">
        <w:rPr>
          <w:sz w:val="26"/>
          <w:szCs w:val="26"/>
        </w:rPr>
        <w:t>b</w:t>
      </w:r>
      <w:r w:rsidR="0079581F">
        <w:rPr>
          <w:sz w:val="26"/>
          <w:szCs w:val="26"/>
        </w:rPr>
        <w:t>r</w:t>
      </w:r>
      <w:r w:rsidR="00107631">
        <w:rPr>
          <w:sz w:val="26"/>
          <w:szCs w:val="26"/>
        </w:rPr>
        <w:t>il</w:t>
      </w:r>
      <w:r w:rsidR="0018124A" w:rsidRPr="000E3A45">
        <w:rPr>
          <w:sz w:val="26"/>
          <w:szCs w:val="26"/>
        </w:rPr>
        <w:t xml:space="preserve"> de 2015, </w:t>
      </w:r>
      <w:r w:rsidR="00A91897" w:rsidRPr="000E3A45">
        <w:rPr>
          <w:sz w:val="26"/>
          <w:szCs w:val="26"/>
        </w:rPr>
        <w:t>los Cetes a 28 días re</w:t>
      </w:r>
      <w:r w:rsidR="005B224D" w:rsidRPr="000E3A45">
        <w:rPr>
          <w:sz w:val="26"/>
          <w:szCs w:val="26"/>
        </w:rPr>
        <w:t>gistraron</w:t>
      </w:r>
      <w:r w:rsidR="00A91897" w:rsidRPr="000E3A45">
        <w:rPr>
          <w:sz w:val="26"/>
          <w:szCs w:val="26"/>
        </w:rPr>
        <w:t xml:space="preserve"> una tasa de rendimiento </w:t>
      </w:r>
      <w:r w:rsidR="00312914" w:rsidRPr="000E3A45">
        <w:rPr>
          <w:sz w:val="26"/>
          <w:szCs w:val="26"/>
        </w:rPr>
        <w:t xml:space="preserve">de </w:t>
      </w:r>
      <w:r w:rsidR="00107631">
        <w:rPr>
          <w:sz w:val="26"/>
          <w:szCs w:val="26"/>
        </w:rPr>
        <w:t>2.99</w:t>
      </w:r>
      <w:r w:rsidR="00A91897" w:rsidRPr="000E3A45">
        <w:rPr>
          <w:sz w:val="26"/>
          <w:szCs w:val="26"/>
        </w:rPr>
        <w:t xml:space="preserve">%, </w:t>
      </w:r>
      <w:r w:rsidR="005B224D" w:rsidRPr="000E3A45">
        <w:rPr>
          <w:sz w:val="26"/>
          <w:szCs w:val="26"/>
        </w:rPr>
        <w:t xml:space="preserve">porcentaje </w:t>
      </w:r>
      <w:r w:rsidR="00107631">
        <w:rPr>
          <w:sz w:val="26"/>
          <w:szCs w:val="26"/>
        </w:rPr>
        <w:t>infe</w:t>
      </w:r>
      <w:r w:rsidR="008F1125">
        <w:rPr>
          <w:sz w:val="26"/>
          <w:szCs w:val="26"/>
        </w:rPr>
        <w:t>rior</w:t>
      </w:r>
      <w:r w:rsidR="00312914" w:rsidRPr="000E3A45">
        <w:rPr>
          <w:sz w:val="26"/>
          <w:szCs w:val="26"/>
        </w:rPr>
        <w:t xml:space="preserve"> en </w:t>
      </w:r>
      <w:r w:rsidR="00107631">
        <w:rPr>
          <w:sz w:val="26"/>
          <w:szCs w:val="26"/>
        </w:rPr>
        <w:t>cuatro</w:t>
      </w:r>
      <w:r w:rsidR="00312914" w:rsidRPr="000E3A45">
        <w:rPr>
          <w:sz w:val="26"/>
          <w:szCs w:val="26"/>
        </w:rPr>
        <w:t xml:space="preserve"> c</w:t>
      </w:r>
      <w:r w:rsidR="00132F94" w:rsidRPr="000E3A45">
        <w:rPr>
          <w:sz w:val="26"/>
          <w:szCs w:val="26"/>
        </w:rPr>
        <w:t>e</w:t>
      </w:r>
      <w:r w:rsidR="00312914" w:rsidRPr="000E3A45">
        <w:rPr>
          <w:sz w:val="26"/>
          <w:szCs w:val="26"/>
        </w:rPr>
        <w:t>nt</w:t>
      </w:r>
      <w:r w:rsidR="00132F94" w:rsidRPr="000E3A45">
        <w:rPr>
          <w:sz w:val="26"/>
          <w:szCs w:val="26"/>
        </w:rPr>
        <w:t>é</w:t>
      </w:r>
      <w:r w:rsidR="00312914" w:rsidRPr="000E3A45">
        <w:rPr>
          <w:sz w:val="26"/>
          <w:szCs w:val="26"/>
        </w:rPr>
        <w:t xml:space="preserve">simas de punto porcentual respecto a </w:t>
      </w:r>
      <w:r w:rsidR="00107631">
        <w:rPr>
          <w:sz w:val="26"/>
          <w:szCs w:val="26"/>
        </w:rPr>
        <w:t>marzo</w:t>
      </w:r>
      <w:r w:rsidR="00B05AA1">
        <w:rPr>
          <w:sz w:val="26"/>
          <w:szCs w:val="26"/>
        </w:rPr>
        <w:t xml:space="preserve"> anterior (</w:t>
      </w:r>
      <w:r w:rsidR="00107631">
        <w:rPr>
          <w:sz w:val="26"/>
          <w:szCs w:val="26"/>
        </w:rPr>
        <w:t>3.03</w:t>
      </w:r>
      <w:r w:rsidR="00B05AA1">
        <w:rPr>
          <w:sz w:val="26"/>
          <w:szCs w:val="26"/>
        </w:rPr>
        <w:t>%)</w:t>
      </w:r>
      <w:r w:rsidR="00FE7E49">
        <w:rPr>
          <w:sz w:val="26"/>
          <w:szCs w:val="26"/>
        </w:rPr>
        <w:t>;</w:t>
      </w:r>
      <w:r w:rsidR="00B05AA1">
        <w:rPr>
          <w:sz w:val="26"/>
          <w:szCs w:val="26"/>
        </w:rPr>
        <w:t xml:space="preserve"> </w:t>
      </w:r>
      <w:r w:rsidR="00107631">
        <w:rPr>
          <w:sz w:val="26"/>
          <w:szCs w:val="26"/>
        </w:rPr>
        <w:t>y superior en ocho centésimas de punto con relación</w:t>
      </w:r>
      <w:r w:rsidR="0079581F">
        <w:rPr>
          <w:sz w:val="26"/>
          <w:szCs w:val="26"/>
        </w:rPr>
        <w:t xml:space="preserve"> a la tasa de rédito observada en </w:t>
      </w:r>
      <w:r w:rsidR="00B05AA1">
        <w:rPr>
          <w:sz w:val="26"/>
          <w:szCs w:val="26"/>
        </w:rPr>
        <w:t>diciembre pasado (2.81%);</w:t>
      </w:r>
      <w:r w:rsidR="00FE7E49">
        <w:rPr>
          <w:sz w:val="26"/>
          <w:szCs w:val="26"/>
        </w:rPr>
        <w:t xml:space="preserve"> mientras que en el plazo a 91 días, el promedio de </w:t>
      </w:r>
      <w:r w:rsidR="00B05AA1">
        <w:rPr>
          <w:sz w:val="26"/>
          <w:szCs w:val="26"/>
        </w:rPr>
        <w:t xml:space="preserve">rendimiento </w:t>
      </w:r>
      <w:r w:rsidR="00FE7E49">
        <w:rPr>
          <w:sz w:val="26"/>
          <w:szCs w:val="26"/>
        </w:rPr>
        <w:t xml:space="preserve">fue </w:t>
      </w:r>
      <w:r w:rsidR="00B05AA1">
        <w:rPr>
          <w:sz w:val="26"/>
          <w:szCs w:val="26"/>
        </w:rPr>
        <w:t xml:space="preserve">de </w:t>
      </w:r>
      <w:r w:rsidR="0079581F">
        <w:rPr>
          <w:sz w:val="26"/>
          <w:szCs w:val="26"/>
        </w:rPr>
        <w:t>3.</w:t>
      </w:r>
      <w:r w:rsidR="00107631">
        <w:rPr>
          <w:sz w:val="26"/>
          <w:szCs w:val="26"/>
        </w:rPr>
        <w:t>09</w:t>
      </w:r>
      <w:r>
        <w:rPr>
          <w:sz w:val="26"/>
          <w:szCs w:val="26"/>
        </w:rPr>
        <w:t>%, cifra m</w:t>
      </w:r>
      <w:r w:rsidR="00107631">
        <w:rPr>
          <w:sz w:val="26"/>
          <w:szCs w:val="26"/>
        </w:rPr>
        <w:t>enor</w:t>
      </w:r>
      <w:r>
        <w:rPr>
          <w:sz w:val="26"/>
          <w:szCs w:val="26"/>
        </w:rPr>
        <w:t xml:space="preserve"> en </w:t>
      </w:r>
      <w:r w:rsidR="00107631">
        <w:rPr>
          <w:sz w:val="26"/>
          <w:szCs w:val="26"/>
        </w:rPr>
        <w:t>tres</w:t>
      </w:r>
      <w:r>
        <w:rPr>
          <w:sz w:val="26"/>
          <w:szCs w:val="26"/>
        </w:rPr>
        <w:t xml:space="preserve"> centésima</w:t>
      </w:r>
      <w:r w:rsidR="005E7F2D">
        <w:rPr>
          <w:sz w:val="26"/>
          <w:szCs w:val="26"/>
        </w:rPr>
        <w:t>s</w:t>
      </w:r>
      <w:r>
        <w:rPr>
          <w:sz w:val="26"/>
          <w:szCs w:val="26"/>
        </w:rPr>
        <w:t xml:space="preserve"> de punto con relación al mes inmediato anterior</w:t>
      </w:r>
      <w:r w:rsidR="00B05AA1">
        <w:rPr>
          <w:sz w:val="26"/>
          <w:szCs w:val="26"/>
        </w:rPr>
        <w:t xml:space="preserve"> (</w:t>
      </w:r>
      <w:r w:rsidR="00107631">
        <w:rPr>
          <w:sz w:val="26"/>
          <w:szCs w:val="26"/>
        </w:rPr>
        <w:t>3.12</w:t>
      </w:r>
      <w:r w:rsidR="00B05AA1">
        <w:rPr>
          <w:sz w:val="26"/>
          <w:szCs w:val="26"/>
        </w:rPr>
        <w:t xml:space="preserve">%), </w:t>
      </w:r>
      <w:r w:rsidR="0079581F">
        <w:rPr>
          <w:sz w:val="26"/>
          <w:szCs w:val="26"/>
        </w:rPr>
        <w:t xml:space="preserve">y superior en </w:t>
      </w:r>
      <w:r w:rsidR="00107631">
        <w:rPr>
          <w:sz w:val="26"/>
          <w:szCs w:val="26"/>
        </w:rPr>
        <w:t>17</w:t>
      </w:r>
      <w:r w:rsidR="0079581F">
        <w:rPr>
          <w:sz w:val="26"/>
          <w:szCs w:val="26"/>
        </w:rPr>
        <w:t xml:space="preserve"> centésimas de punto con relación a </w:t>
      </w:r>
      <w:r w:rsidR="00B05AA1">
        <w:rPr>
          <w:sz w:val="26"/>
          <w:szCs w:val="26"/>
        </w:rPr>
        <w:t>diciembre de 2014 (2.92%)</w:t>
      </w:r>
      <w:r>
        <w:rPr>
          <w:sz w:val="26"/>
          <w:szCs w:val="26"/>
        </w:rPr>
        <w:t>.</w:t>
      </w:r>
    </w:p>
    <w:tbl>
      <w:tblPr>
        <w:tblW w:w="5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613"/>
        <w:gridCol w:w="655"/>
        <w:gridCol w:w="628"/>
        <w:gridCol w:w="588"/>
        <w:gridCol w:w="611"/>
        <w:gridCol w:w="589"/>
        <w:gridCol w:w="578"/>
        <w:gridCol w:w="611"/>
        <w:gridCol w:w="579"/>
        <w:gridCol w:w="658"/>
        <w:gridCol w:w="589"/>
        <w:gridCol w:w="644"/>
        <w:gridCol w:w="730"/>
      </w:tblGrid>
      <w:tr w:rsidR="00B41064" w:rsidRPr="000E3A45" w14:paraId="55B41633" w14:textId="77777777" w:rsidTr="00F603D9">
        <w:trPr>
          <w:jc w:val="center"/>
        </w:trPr>
        <w:tc>
          <w:tcPr>
            <w:tcW w:w="5000" w:type="pct"/>
            <w:gridSpan w:val="14"/>
            <w:tcBorders>
              <w:top w:val="nil"/>
              <w:left w:val="nil"/>
              <w:right w:val="nil"/>
            </w:tcBorders>
          </w:tcPr>
          <w:p w14:paraId="1690AA60" w14:textId="77777777" w:rsidR="00B41064" w:rsidRPr="000E3A45" w:rsidRDefault="00B41064" w:rsidP="00621AF5">
            <w:pPr>
              <w:jc w:val="center"/>
              <w:rPr>
                <w:b/>
                <w:sz w:val="20"/>
                <w:szCs w:val="20"/>
              </w:rPr>
            </w:pPr>
            <w:r w:rsidRPr="000E3A45">
              <w:rPr>
                <w:b/>
                <w:sz w:val="20"/>
                <w:szCs w:val="20"/>
              </w:rPr>
              <w:t>PROMEDIO DE LAS TASAS DE RENDIMIENTO MENSUALES DE LOS CERTIFICADOS</w:t>
            </w:r>
          </w:p>
          <w:p w14:paraId="46E4E1B7" w14:textId="77777777" w:rsidR="00B41064" w:rsidRPr="000E3A45" w:rsidRDefault="00B41064" w:rsidP="00161606">
            <w:pPr>
              <w:jc w:val="center"/>
              <w:rPr>
                <w:sz w:val="20"/>
                <w:szCs w:val="20"/>
              </w:rPr>
            </w:pPr>
            <w:r w:rsidRPr="000E3A45">
              <w:rPr>
                <w:b/>
                <w:sz w:val="20"/>
                <w:szCs w:val="20"/>
              </w:rPr>
              <w:t>DE LA TESORERÍA DE LA FEDERACIÓN</w:t>
            </w:r>
          </w:p>
        </w:tc>
      </w:tr>
      <w:tr w:rsidR="00312F61" w:rsidRPr="000E3A45" w14:paraId="4F37E380" w14:textId="77777777" w:rsidTr="00312F61">
        <w:trPr>
          <w:jc w:val="center"/>
        </w:trPr>
        <w:tc>
          <w:tcPr>
            <w:tcW w:w="597" w:type="pct"/>
            <w:vAlign w:val="center"/>
          </w:tcPr>
          <w:p w14:paraId="78C491DE" w14:textId="77777777" w:rsidR="00312F61" w:rsidRPr="000E3A45" w:rsidRDefault="00312F61" w:rsidP="00161606">
            <w:pPr>
              <w:jc w:val="center"/>
              <w:rPr>
                <w:b/>
                <w:sz w:val="20"/>
                <w:szCs w:val="20"/>
              </w:rPr>
            </w:pPr>
            <w:r w:rsidRPr="000E3A45">
              <w:rPr>
                <w:b/>
                <w:sz w:val="20"/>
                <w:szCs w:val="20"/>
              </w:rPr>
              <w:t>Año</w:t>
            </w:r>
          </w:p>
        </w:tc>
        <w:tc>
          <w:tcPr>
            <w:tcW w:w="2974" w:type="pct"/>
            <w:gridSpan w:val="9"/>
            <w:vAlign w:val="center"/>
          </w:tcPr>
          <w:p w14:paraId="31B4C864" w14:textId="016FA8C3" w:rsidR="00312F61" w:rsidRPr="000E3A45" w:rsidRDefault="00312F61" w:rsidP="00464243">
            <w:pPr>
              <w:jc w:val="center"/>
              <w:rPr>
                <w:b/>
                <w:sz w:val="20"/>
                <w:szCs w:val="20"/>
              </w:rPr>
            </w:pPr>
            <w:r w:rsidRPr="000E3A45">
              <w:rPr>
                <w:b/>
                <w:sz w:val="20"/>
                <w:szCs w:val="20"/>
              </w:rPr>
              <w:t>2014</w:t>
            </w:r>
          </w:p>
        </w:tc>
        <w:tc>
          <w:tcPr>
            <w:tcW w:w="1429" w:type="pct"/>
            <w:gridSpan w:val="4"/>
            <w:vAlign w:val="center"/>
          </w:tcPr>
          <w:p w14:paraId="78FE4F5F" w14:textId="3B0BBA51" w:rsidR="00312F61" w:rsidRPr="000E3A45" w:rsidRDefault="00312F61" w:rsidP="00464243">
            <w:pPr>
              <w:jc w:val="center"/>
              <w:rPr>
                <w:b/>
                <w:sz w:val="20"/>
                <w:szCs w:val="20"/>
              </w:rPr>
            </w:pPr>
            <w:r w:rsidRPr="000E3A45">
              <w:rPr>
                <w:b/>
                <w:sz w:val="20"/>
                <w:szCs w:val="20"/>
              </w:rPr>
              <w:t>2015</w:t>
            </w:r>
          </w:p>
        </w:tc>
      </w:tr>
      <w:tr w:rsidR="00312F61" w:rsidRPr="000E3A45" w14:paraId="0A4B25DC" w14:textId="77777777" w:rsidTr="00312F61">
        <w:trPr>
          <w:trHeight w:val="356"/>
          <w:jc w:val="center"/>
        </w:trPr>
        <w:tc>
          <w:tcPr>
            <w:tcW w:w="597" w:type="pct"/>
            <w:vAlign w:val="center"/>
          </w:tcPr>
          <w:p w14:paraId="2E1F863C" w14:textId="77777777" w:rsidR="00312F61" w:rsidRPr="000E3A45" w:rsidRDefault="00312F61" w:rsidP="00312F61">
            <w:pPr>
              <w:jc w:val="center"/>
              <w:rPr>
                <w:b/>
                <w:sz w:val="20"/>
                <w:szCs w:val="20"/>
              </w:rPr>
            </w:pPr>
            <w:r w:rsidRPr="000E3A45">
              <w:rPr>
                <w:b/>
                <w:sz w:val="20"/>
                <w:szCs w:val="20"/>
              </w:rPr>
              <w:t>Mes/Plazo</w:t>
            </w:r>
          </w:p>
        </w:tc>
        <w:tc>
          <w:tcPr>
            <w:tcW w:w="335" w:type="pct"/>
            <w:vAlign w:val="center"/>
          </w:tcPr>
          <w:p w14:paraId="0A6D7262" w14:textId="7F62D532" w:rsidR="00312F61" w:rsidRPr="000E3A45" w:rsidRDefault="00312F61" w:rsidP="00312F61">
            <w:pPr>
              <w:jc w:val="center"/>
              <w:rPr>
                <w:b/>
                <w:sz w:val="20"/>
                <w:szCs w:val="20"/>
              </w:rPr>
            </w:pPr>
            <w:r w:rsidRPr="000E3A45">
              <w:rPr>
                <w:b/>
                <w:sz w:val="20"/>
                <w:szCs w:val="20"/>
              </w:rPr>
              <w:t>Abr.</w:t>
            </w:r>
          </w:p>
        </w:tc>
        <w:tc>
          <w:tcPr>
            <w:tcW w:w="357" w:type="pct"/>
            <w:vAlign w:val="center"/>
          </w:tcPr>
          <w:p w14:paraId="23C9D120" w14:textId="0D99D481" w:rsidR="00312F61" w:rsidRPr="000E3A45" w:rsidRDefault="00312F61" w:rsidP="00312F61">
            <w:pPr>
              <w:jc w:val="center"/>
              <w:rPr>
                <w:b/>
                <w:sz w:val="20"/>
                <w:szCs w:val="20"/>
              </w:rPr>
            </w:pPr>
            <w:r w:rsidRPr="000E3A45">
              <w:rPr>
                <w:b/>
                <w:sz w:val="20"/>
                <w:szCs w:val="20"/>
              </w:rPr>
              <w:t>May.</w:t>
            </w:r>
          </w:p>
        </w:tc>
        <w:tc>
          <w:tcPr>
            <w:tcW w:w="343" w:type="pct"/>
            <w:vAlign w:val="center"/>
          </w:tcPr>
          <w:p w14:paraId="106882F5" w14:textId="617A1DB8" w:rsidR="00312F61" w:rsidRPr="000E3A45" w:rsidRDefault="00312F61" w:rsidP="00312F61">
            <w:pPr>
              <w:jc w:val="center"/>
              <w:rPr>
                <w:b/>
                <w:sz w:val="20"/>
                <w:szCs w:val="20"/>
              </w:rPr>
            </w:pPr>
            <w:r w:rsidRPr="000E3A45">
              <w:rPr>
                <w:b/>
                <w:sz w:val="20"/>
                <w:szCs w:val="20"/>
              </w:rPr>
              <w:t>Jun.</w:t>
            </w:r>
          </w:p>
        </w:tc>
        <w:tc>
          <w:tcPr>
            <w:tcW w:w="321" w:type="pct"/>
            <w:vAlign w:val="center"/>
          </w:tcPr>
          <w:p w14:paraId="1474ABAD" w14:textId="24D31947" w:rsidR="00312F61" w:rsidRPr="000E3A45" w:rsidRDefault="00312F61" w:rsidP="00312F61">
            <w:pPr>
              <w:jc w:val="center"/>
              <w:rPr>
                <w:b/>
                <w:sz w:val="20"/>
                <w:szCs w:val="20"/>
              </w:rPr>
            </w:pPr>
            <w:r w:rsidRPr="000E3A45">
              <w:rPr>
                <w:b/>
                <w:sz w:val="20"/>
                <w:szCs w:val="20"/>
              </w:rPr>
              <w:t>Jul.</w:t>
            </w:r>
          </w:p>
        </w:tc>
        <w:tc>
          <w:tcPr>
            <w:tcW w:w="333" w:type="pct"/>
            <w:vAlign w:val="center"/>
          </w:tcPr>
          <w:p w14:paraId="5AEAC7F0" w14:textId="517D6ED1" w:rsidR="00312F61" w:rsidRPr="000E3A45" w:rsidRDefault="00312F61" w:rsidP="00312F61">
            <w:pPr>
              <w:jc w:val="center"/>
              <w:rPr>
                <w:b/>
                <w:sz w:val="20"/>
                <w:szCs w:val="20"/>
              </w:rPr>
            </w:pPr>
            <w:r w:rsidRPr="000E3A45">
              <w:rPr>
                <w:b/>
                <w:sz w:val="20"/>
                <w:szCs w:val="20"/>
              </w:rPr>
              <w:t>Ago.</w:t>
            </w:r>
          </w:p>
        </w:tc>
        <w:tc>
          <w:tcPr>
            <w:tcW w:w="321" w:type="pct"/>
            <w:vAlign w:val="center"/>
          </w:tcPr>
          <w:p w14:paraId="7C0535F3" w14:textId="54112057" w:rsidR="00312F61" w:rsidRPr="000E3A45" w:rsidRDefault="00312F61" w:rsidP="00312F61">
            <w:pPr>
              <w:jc w:val="center"/>
              <w:rPr>
                <w:b/>
                <w:sz w:val="20"/>
                <w:szCs w:val="20"/>
              </w:rPr>
            </w:pPr>
            <w:r w:rsidRPr="000E3A45">
              <w:rPr>
                <w:b/>
                <w:sz w:val="20"/>
                <w:szCs w:val="20"/>
              </w:rPr>
              <w:t>Sep.</w:t>
            </w:r>
          </w:p>
        </w:tc>
        <w:tc>
          <w:tcPr>
            <w:tcW w:w="315" w:type="pct"/>
            <w:vAlign w:val="center"/>
          </w:tcPr>
          <w:p w14:paraId="6EF39D77" w14:textId="30129055" w:rsidR="00312F61" w:rsidRPr="000E3A45" w:rsidRDefault="00312F61" w:rsidP="00312F61">
            <w:pPr>
              <w:jc w:val="center"/>
              <w:rPr>
                <w:b/>
                <w:sz w:val="20"/>
                <w:szCs w:val="20"/>
              </w:rPr>
            </w:pPr>
            <w:r w:rsidRPr="000E3A45">
              <w:rPr>
                <w:b/>
                <w:sz w:val="20"/>
                <w:szCs w:val="20"/>
              </w:rPr>
              <w:t>Oct.</w:t>
            </w:r>
          </w:p>
        </w:tc>
        <w:tc>
          <w:tcPr>
            <w:tcW w:w="333" w:type="pct"/>
            <w:vAlign w:val="center"/>
          </w:tcPr>
          <w:p w14:paraId="12ECD78B" w14:textId="5337E7D7" w:rsidR="00312F61" w:rsidRPr="000E3A45" w:rsidRDefault="00312F61" w:rsidP="00312F61">
            <w:pPr>
              <w:jc w:val="center"/>
              <w:rPr>
                <w:b/>
                <w:sz w:val="20"/>
                <w:szCs w:val="20"/>
              </w:rPr>
            </w:pPr>
            <w:r w:rsidRPr="000E3A45">
              <w:rPr>
                <w:b/>
                <w:sz w:val="20"/>
                <w:szCs w:val="20"/>
              </w:rPr>
              <w:t>Nov.</w:t>
            </w:r>
          </w:p>
        </w:tc>
        <w:tc>
          <w:tcPr>
            <w:tcW w:w="315" w:type="pct"/>
            <w:vAlign w:val="center"/>
          </w:tcPr>
          <w:p w14:paraId="2315A5F9" w14:textId="22C61094" w:rsidR="00312F61" w:rsidRPr="000E3A45" w:rsidRDefault="00312F61" w:rsidP="00312F61">
            <w:pPr>
              <w:jc w:val="center"/>
              <w:rPr>
                <w:b/>
                <w:sz w:val="20"/>
                <w:szCs w:val="20"/>
              </w:rPr>
            </w:pPr>
            <w:r w:rsidRPr="000E3A45">
              <w:rPr>
                <w:b/>
                <w:sz w:val="20"/>
                <w:szCs w:val="20"/>
              </w:rPr>
              <w:t>Dic.</w:t>
            </w:r>
          </w:p>
        </w:tc>
        <w:tc>
          <w:tcPr>
            <w:tcW w:w="359" w:type="pct"/>
            <w:vAlign w:val="center"/>
          </w:tcPr>
          <w:p w14:paraId="108CF6F6" w14:textId="2376BFB4" w:rsidR="00312F61" w:rsidRPr="000E3A45" w:rsidRDefault="00312F61" w:rsidP="00312F61">
            <w:pPr>
              <w:jc w:val="center"/>
              <w:rPr>
                <w:b/>
                <w:sz w:val="20"/>
                <w:szCs w:val="20"/>
              </w:rPr>
            </w:pPr>
            <w:r w:rsidRPr="000E3A45">
              <w:rPr>
                <w:b/>
                <w:sz w:val="20"/>
                <w:szCs w:val="20"/>
              </w:rPr>
              <w:t>Ene.</w:t>
            </w:r>
          </w:p>
        </w:tc>
        <w:tc>
          <w:tcPr>
            <w:tcW w:w="321" w:type="pct"/>
            <w:vAlign w:val="center"/>
          </w:tcPr>
          <w:p w14:paraId="0AEAE302" w14:textId="1DA5303D" w:rsidR="00312F61" w:rsidRPr="000E3A45" w:rsidRDefault="00312F61" w:rsidP="00312F61">
            <w:pPr>
              <w:jc w:val="center"/>
              <w:rPr>
                <w:b/>
                <w:sz w:val="20"/>
                <w:szCs w:val="20"/>
              </w:rPr>
            </w:pPr>
            <w:r>
              <w:rPr>
                <w:b/>
                <w:sz w:val="20"/>
                <w:szCs w:val="20"/>
              </w:rPr>
              <w:t>Feb.</w:t>
            </w:r>
          </w:p>
        </w:tc>
        <w:tc>
          <w:tcPr>
            <w:tcW w:w="351" w:type="pct"/>
            <w:vAlign w:val="center"/>
          </w:tcPr>
          <w:p w14:paraId="70137A92" w14:textId="12B48C6D" w:rsidR="00312F61" w:rsidRPr="000E3A45" w:rsidRDefault="00312F61" w:rsidP="00312F61">
            <w:pPr>
              <w:jc w:val="center"/>
              <w:rPr>
                <w:b/>
                <w:sz w:val="20"/>
                <w:szCs w:val="20"/>
              </w:rPr>
            </w:pPr>
            <w:r>
              <w:rPr>
                <w:b/>
                <w:sz w:val="20"/>
                <w:szCs w:val="20"/>
              </w:rPr>
              <w:t>Mar.</w:t>
            </w:r>
          </w:p>
        </w:tc>
        <w:tc>
          <w:tcPr>
            <w:tcW w:w="397" w:type="pct"/>
            <w:vAlign w:val="center"/>
          </w:tcPr>
          <w:p w14:paraId="365231BE" w14:textId="337BFD47" w:rsidR="00312F61" w:rsidRPr="000E3A45" w:rsidRDefault="00312F61" w:rsidP="00312F61">
            <w:pPr>
              <w:jc w:val="center"/>
              <w:rPr>
                <w:b/>
                <w:sz w:val="20"/>
                <w:szCs w:val="20"/>
              </w:rPr>
            </w:pPr>
            <w:r>
              <w:rPr>
                <w:b/>
                <w:sz w:val="20"/>
                <w:szCs w:val="20"/>
              </w:rPr>
              <w:t>Abr.*</w:t>
            </w:r>
          </w:p>
        </w:tc>
      </w:tr>
      <w:tr w:rsidR="00312F61" w:rsidRPr="000E3A45" w14:paraId="0429C3EF" w14:textId="77777777" w:rsidTr="00312F61">
        <w:trPr>
          <w:trHeight w:val="356"/>
          <w:jc w:val="center"/>
        </w:trPr>
        <w:tc>
          <w:tcPr>
            <w:tcW w:w="597" w:type="pct"/>
            <w:vAlign w:val="center"/>
          </w:tcPr>
          <w:p w14:paraId="7FF8289B" w14:textId="77777777" w:rsidR="00312F61" w:rsidRPr="000E3A45" w:rsidRDefault="00312F61" w:rsidP="00312F61">
            <w:pPr>
              <w:jc w:val="center"/>
              <w:rPr>
                <w:sz w:val="20"/>
                <w:szCs w:val="20"/>
              </w:rPr>
            </w:pPr>
            <w:r w:rsidRPr="000E3A45">
              <w:rPr>
                <w:sz w:val="20"/>
                <w:szCs w:val="20"/>
              </w:rPr>
              <w:t>28 días</w:t>
            </w:r>
          </w:p>
        </w:tc>
        <w:tc>
          <w:tcPr>
            <w:tcW w:w="335" w:type="pct"/>
            <w:vAlign w:val="center"/>
          </w:tcPr>
          <w:p w14:paraId="6E3AD1A5" w14:textId="3C9998F2" w:rsidR="00312F61" w:rsidRPr="000E3A45" w:rsidRDefault="00312F61" w:rsidP="00312F61">
            <w:pPr>
              <w:jc w:val="center"/>
              <w:rPr>
                <w:bCs/>
                <w:sz w:val="20"/>
                <w:szCs w:val="20"/>
              </w:rPr>
            </w:pPr>
            <w:r w:rsidRPr="000E3A45">
              <w:rPr>
                <w:bCs/>
                <w:sz w:val="20"/>
                <w:szCs w:val="20"/>
              </w:rPr>
              <w:t>3.23</w:t>
            </w:r>
          </w:p>
        </w:tc>
        <w:tc>
          <w:tcPr>
            <w:tcW w:w="357" w:type="pct"/>
            <w:vAlign w:val="center"/>
          </w:tcPr>
          <w:p w14:paraId="61899336" w14:textId="6B8D5287" w:rsidR="00312F61" w:rsidRPr="000E3A45" w:rsidRDefault="00312F61" w:rsidP="00312F61">
            <w:pPr>
              <w:jc w:val="center"/>
              <w:rPr>
                <w:bCs/>
                <w:sz w:val="20"/>
                <w:szCs w:val="20"/>
              </w:rPr>
            </w:pPr>
            <w:r w:rsidRPr="000E3A45">
              <w:rPr>
                <w:bCs/>
                <w:sz w:val="20"/>
                <w:szCs w:val="20"/>
              </w:rPr>
              <w:t>3.28</w:t>
            </w:r>
          </w:p>
        </w:tc>
        <w:tc>
          <w:tcPr>
            <w:tcW w:w="343" w:type="pct"/>
            <w:vAlign w:val="center"/>
          </w:tcPr>
          <w:p w14:paraId="75E16A96" w14:textId="27A40459" w:rsidR="00312F61" w:rsidRPr="000E3A45" w:rsidRDefault="00312F61" w:rsidP="00312F61">
            <w:pPr>
              <w:jc w:val="center"/>
              <w:rPr>
                <w:bCs/>
                <w:sz w:val="20"/>
                <w:szCs w:val="20"/>
              </w:rPr>
            </w:pPr>
            <w:r w:rsidRPr="000E3A45">
              <w:rPr>
                <w:bCs/>
                <w:sz w:val="20"/>
                <w:szCs w:val="20"/>
              </w:rPr>
              <w:t>3.02</w:t>
            </w:r>
          </w:p>
        </w:tc>
        <w:tc>
          <w:tcPr>
            <w:tcW w:w="321" w:type="pct"/>
            <w:vAlign w:val="center"/>
          </w:tcPr>
          <w:p w14:paraId="63C2F2E1" w14:textId="5A47952F" w:rsidR="00312F61" w:rsidRPr="000E3A45" w:rsidRDefault="00312F61" w:rsidP="00312F61">
            <w:pPr>
              <w:jc w:val="center"/>
              <w:rPr>
                <w:bCs/>
                <w:sz w:val="20"/>
                <w:szCs w:val="20"/>
              </w:rPr>
            </w:pPr>
            <w:r w:rsidRPr="000E3A45">
              <w:rPr>
                <w:bCs/>
                <w:sz w:val="20"/>
                <w:szCs w:val="20"/>
              </w:rPr>
              <w:t>2.83</w:t>
            </w:r>
          </w:p>
        </w:tc>
        <w:tc>
          <w:tcPr>
            <w:tcW w:w="333" w:type="pct"/>
            <w:vAlign w:val="center"/>
          </w:tcPr>
          <w:p w14:paraId="48EC7B47" w14:textId="07331786" w:rsidR="00312F61" w:rsidRPr="000E3A45" w:rsidRDefault="00312F61" w:rsidP="00312F61">
            <w:pPr>
              <w:jc w:val="center"/>
              <w:rPr>
                <w:bCs/>
                <w:sz w:val="20"/>
                <w:szCs w:val="20"/>
              </w:rPr>
            </w:pPr>
            <w:r w:rsidRPr="000E3A45">
              <w:rPr>
                <w:bCs/>
                <w:sz w:val="20"/>
                <w:szCs w:val="20"/>
              </w:rPr>
              <w:t>2.77</w:t>
            </w:r>
          </w:p>
        </w:tc>
        <w:tc>
          <w:tcPr>
            <w:tcW w:w="321" w:type="pct"/>
            <w:vAlign w:val="center"/>
          </w:tcPr>
          <w:p w14:paraId="33422EF5" w14:textId="4E1A354A" w:rsidR="00312F61" w:rsidRPr="000E3A45" w:rsidRDefault="00312F61" w:rsidP="00312F61">
            <w:pPr>
              <w:jc w:val="center"/>
              <w:rPr>
                <w:bCs/>
                <w:sz w:val="20"/>
                <w:szCs w:val="20"/>
              </w:rPr>
            </w:pPr>
            <w:r w:rsidRPr="000E3A45">
              <w:rPr>
                <w:bCs/>
                <w:sz w:val="20"/>
                <w:szCs w:val="20"/>
              </w:rPr>
              <w:t>2.83</w:t>
            </w:r>
          </w:p>
        </w:tc>
        <w:tc>
          <w:tcPr>
            <w:tcW w:w="315" w:type="pct"/>
            <w:vAlign w:val="center"/>
          </w:tcPr>
          <w:p w14:paraId="0D103085" w14:textId="5E7B27E8" w:rsidR="00312F61" w:rsidRPr="000E3A45" w:rsidRDefault="00312F61" w:rsidP="00312F61">
            <w:pPr>
              <w:jc w:val="center"/>
              <w:rPr>
                <w:bCs/>
                <w:sz w:val="20"/>
                <w:szCs w:val="20"/>
              </w:rPr>
            </w:pPr>
            <w:r w:rsidRPr="000E3A45">
              <w:rPr>
                <w:bCs/>
                <w:sz w:val="20"/>
                <w:szCs w:val="20"/>
              </w:rPr>
              <w:t>2.91</w:t>
            </w:r>
          </w:p>
        </w:tc>
        <w:tc>
          <w:tcPr>
            <w:tcW w:w="333" w:type="pct"/>
            <w:vAlign w:val="center"/>
          </w:tcPr>
          <w:p w14:paraId="412204AE" w14:textId="35B6C8D2" w:rsidR="00312F61" w:rsidRPr="000E3A45" w:rsidRDefault="00312F61" w:rsidP="00312F61">
            <w:pPr>
              <w:jc w:val="center"/>
              <w:rPr>
                <w:bCs/>
                <w:sz w:val="20"/>
                <w:szCs w:val="20"/>
              </w:rPr>
            </w:pPr>
            <w:r>
              <w:rPr>
                <w:bCs/>
                <w:sz w:val="20"/>
                <w:szCs w:val="20"/>
              </w:rPr>
              <w:t>2.85</w:t>
            </w:r>
          </w:p>
        </w:tc>
        <w:tc>
          <w:tcPr>
            <w:tcW w:w="315" w:type="pct"/>
            <w:vAlign w:val="center"/>
          </w:tcPr>
          <w:p w14:paraId="511A610D" w14:textId="4042FC73" w:rsidR="00312F61" w:rsidRPr="000E3A45" w:rsidRDefault="00312F61" w:rsidP="00312F61">
            <w:pPr>
              <w:jc w:val="center"/>
              <w:rPr>
                <w:bCs/>
                <w:sz w:val="20"/>
                <w:szCs w:val="20"/>
              </w:rPr>
            </w:pPr>
            <w:r>
              <w:rPr>
                <w:bCs/>
                <w:sz w:val="20"/>
                <w:szCs w:val="20"/>
              </w:rPr>
              <w:t>2.81</w:t>
            </w:r>
          </w:p>
        </w:tc>
        <w:tc>
          <w:tcPr>
            <w:tcW w:w="359" w:type="pct"/>
            <w:vAlign w:val="center"/>
          </w:tcPr>
          <w:p w14:paraId="7C0A0164" w14:textId="64DBB1A6" w:rsidR="00312F61" w:rsidRPr="000E3A45" w:rsidRDefault="00312F61" w:rsidP="00312F61">
            <w:pPr>
              <w:jc w:val="center"/>
              <w:rPr>
                <w:bCs/>
                <w:sz w:val="20"/>
                <w:szCs w:val="20"/>
              </w:rPr>
            </w:pPr>
            <w:r>
              <w:rPr>
                <w:bCs/>
                <w:sz w:val="20"/>
                <w:szCs w:val="20"/>
              </w:rPr>
              <w:t>2.67</w:t>
            </w:r>
          </w:p>
        </w:tc>
        <w:tc>
          <w:tcPr>
            <w:tcW w:w="321" w:type="pct"/>
            <w:vAlign w:val="center"/>
          </w:tcPr>
          <w:p w14:paraId="26E45915" w14:textId="5B3B2065" w:rsidR="00312F61" w:rsidRPr="000E3A45" w:rsidRDefault="00312F61" w:rsidP="00312F61">
            <w:pPr>
              <w:jc w:val="center"/>
              <w:rPr>
                <w:bCs/>
                <w:sz w:val="20"/>
                <w:szCs w:val="20"/>
              </w:rPr>
            </w:pPr>
            <w:r>
              <w:rPr>
                <w:bCs/>
                <w:sz w:val="20"/>
                <w:szCs w:val="20"/>
              </w:rPr>
              <w:t>2.81</w:t>
            </w:r>
          </w:p>
        </w:tc>
        <w:tc>
          <w:tcPr>
            <w:tcW w:w="351" w:type="pct"/>
            <w:vAlign w:val="center"/>
          </w:tcPr>
          <w:p w14:paraId="213A48EE" w14:textId="06569C89" w:rsidR="00312F61" w:rsidRPr="000E3A45" w:rsidRDefault="00312F61" w:rsidP="00312F61">
            <w:pPr>
              <w:jc w:val="center"/>
              <w:rPr>
                <w:bCs/>
                <w:sz w:val="20"/>
                <w:szCs w:val="20"/>
              </w:rPr>
            </w:pPr>
            <w:r>
              <w:rPr>
                <w:bCs/>
                <w:sz w:val="20"/>
                <w:szCs w:val="20"/>
              </w:rPr>
              <w:t>3.03</w:t>
            </w:r>
          </w:p>
        </w:tc>
        <w:tc>
          <w:tcPr>
            <w:tcW w:w="397" w:type="pct"/>
            <w:vAlign w:val="center"/>
          </w:tcPr>
          <w:p w14:paraId="540CA52E" w14:textId="36B051CE" w:rsidR="00312F61" w:rsidRPr="000E3A45" w:rsidRDefault="00312F61" w:rsidP="00312F61">
            <w:pPr>
              <w:jc w:val="center"/>
              <w:rPr>
                <w:bCs/>
                <w:sz w:val="20"/>
                <w:szCs w:val="20"/>
              </w:rPr>
            </w:pPr>
            <w:r>
              <w:rPr>
                <w:bCs/>
                <w:sz w:val="20"/>
                <w:szCs w:val="20"/>
              </w:rPr>
              <w:t>2.99</w:t>
            </w:r>
          </w:p>
        </w:tc>
      </w:tr>
      <w:tr w:rsidR="00312F61" w:rsidRPr="000E3A45" w14:paraId="25B1FF50" w14:textId="77777777" w:rsidTr="00312F61">
        <w:trPr>
          <w:trHeight w:val="356"/>
          <w:jc w:val="center"/>
        </w:trPr>
        <w:tc>
          <w:tcPr>
            <w:tcW w:w="597" w:type="pct"/>
            <w:shd w:val="clear" w:color="auto" w:fill="auto"/>
            <w:vAlign w:val="center"/>
          </w:tcPr>
          <w:p w14:paraId="514E62B8" w14:textId="77777777" w:rsidR="00312F61" w:rsidRPr="000E3A45" w:rsidRDefault="00312F61" w:rsidP="00312F61">
            <w:pPr>
              <w:jc w:val="center"/>
              <w:rPr>
                <w:sz w:val="20"/>
                <w:szCs w:val="20"/>
              </w:rPr>
            </w:pPr>
            <w:r w:rsidRPr="000E3A45">
              <w:rPr>
                <w:sz w:val="20"/>
                <w:szCs w:val="20"/>
              </w:rPr>
              <w:t>91 días</w:t>
            </w:r>
          </w:p>
        </w:tc>
        <w:tc>
          <w:tcPr>
            <w:tcW w:w="335" w:type="pct"/>
            <w:vAlign w:val="center"/>
          </w:tcPr>
          <w:p w14:paraId="472DFDD7" w14:textId="43BFDF14" w:rsidR="00312F61" w:rsidRPr="000E3A45" w:rsidRDefault="00312F61" w:rsidP="00312F61">
            <w:pPr>
              <w:jc w:val="center"/>
              <w:rPr>
                <w:bCs/>
                <w:sz w:val="20"/>
                <w:szCs w:val="20"/>
              </w:rPr>
            </w:pPr>
            <w:r w:rsidRPr="000E3A45">
              <w:rPr>
                <w:bCs/>
                <w:sz w:val="20"/>
                <w:szCs w:val="20"/>
              </w:rPr>
              <w:t>3.37</w:t>
            </w:r>
          </w:p>
        </w:tc>
        <w:tc>
          <w:tcPr>
            <w:tcW w:w="357" w:type="pct"/>
            <w:vAlign w:val="center"/>
          </w:tcPr>
          <w:p w14:paraId="4A700882" w14:textId="32DDDBA8" w:rsidR="00312F61" w:rsidRPr="000E3A45" w:rsidRDefault="00312F61" w:rsidP="00312F61">
            <w:pPr>
              <w:jc w:val="center"/>
              <w:rPr>
                <w:bCs/>
                <w:sz w:val="20"/>
                <w:szCs w:val="20"/>
              </w:rPr>
            </w:pPr>
            <w:r w:rsidRPr="000E3A45">
              <w:rPr>
                <w:bCs/>
                <w:sz w:val="20"/>
                <w:szCs w:val="20"/>
              </w:rPr>
              <w:t>3.42</w:t>
            </w:r>
          </w:p>
        </w:tc>
        <w:tc>
          <w:tcPr>
            <w:tcW w:w="343" w:type="pct"/>
            <w:vAlign w:val="center"/>
          </w:tcPr>
          <w:p w14:paraId="4703302E" w14:textId="04408A43" w:rsidR="00312F61" w:rsidRPr="000E3A45" w:rsidRDefault="00312F61" w:rsidP="00312F61">
            <w:pPr>
              <w:jc w:val="center"/>
              <w:rPr>
                <w:bCs/>
                <w:sz w:val="20"/>
                <w:szCs w:val="20"/>
              </w:rPr>
            </w:pPr>
            <w:r w:rsidRPr="000E3A45">
              <w:rPr>
                <w:bCs/>
                <w:sz w:val="20"/>
                <w:szCs w:val="20"/>
              </w:rPr>
              <w:t>3.08</w:t>
            </w:r>
          </w:p>
        </w:tc>
        <w:tc>
          <w:tcPr>
            <w:tcW w:w="321" w:type="pct"/>
            <w:vAlign w:val="center"/>
          </w:tcPr>
          <w:p w14:paraId="605C1D17" w14:textId="3B04D1BB" w:rsidR="00312F61" w:rsidRPr="000E3A45" w:rsidRDefault="00312F61" w:rsidP="00312F61">
            <w:pPr>
              <w:jc w:val="center"/>
              <w:rPr>
                <w:bCs/>
                <w:sz w:val="20"/>
                <w:szCs w:val="20"/>
              </w:rPr>
            </w:pPr>
            <w:r w:rsidRPr="000E3A45">
              <w:rPr>
                <w:bCs/>
                <w:sz w:val="20"/>
                <w:szCs w:val="20"/>
              </w:rPr>
              <w:t>2.90</w:t>
            </w:r>
          </w:p>
        </w:tc>
        <w:tc>
          <w:tcPr>
            <w:tcW w:w="333" w:type="pct"/>
            <w:vAlign w:val="center"/>
          </w:tcPr>
          <w:p w14:paraId="48D4E707" w14:textId="42EEBEE9" w:rsidR="00312F61" w:rsidRPr="000E3A45" w:rsidRDefault="00312F61" w:rsidP="00312F61">
            <w:pPr>
              <w:jc w:val="center"/>
              <w:rPr>
                <w:bCs/>
                <w:sz w:val="20"/>
                <w:szCs w:val="20"/>
              </w:rPr>
            </w:pPr>
            <w:r w:rsidRPr="000E3A45">
              <w:rPr>
                <w:bCs/>
                <w:sz w:val="20"/>
                <w:szCs w:val="20"/>
              </w:rPr>
              <w:t>2.89</w:t>
            </w:r>
          </w:p>
        </w:tc>
        <w:tc>
          <w:tcPr>
            <w:tcW w:w="321" w:type="pct"/>
            <w:vAlign w:val="center"/>
          </w:tcPr>
          <w:p w14:paraId="2AAFD20F" w14:textId="5C1ED187" w:rsidR="00312F61" w:rsidRPr="000E3A45" w:rsidRDefault="00312F61" w:rsidP="00312F61">
            <w:pPr>
              <w:jc w:val="center"/>
              <w:rPr>
                <w:bCs/>
                <w:sz w:val="20"/>
                <w:szCs w:val="20"/>
              </w:rPr>
            </w:pPr>
            <w:r w:rsidRPr="000E3A45">
              <w:rPr>
                <w:bCs/>
                <w:sz w:val="20"/>
                <w:szCs w:val="20"/>
              </w:rPr>
              <w:t>2.88</w:t>
            </w:r>
          </w:p>
        </w:tc>
        <w:tc>
          <w:tcPr>
            <w:tcW w:w="315" w:type="pct"/>
            <w:vAlign w:val="center"/>
          </w:tcPr>
          <w:p w14:paraId="361A4D1C" w14:textId="2558FC90" w:rsidR="00312F61" w:rsidRPr="000E3A45" w:rsidRDefault="00312F61" w:rsidP="00312F61">
            <w:pPr>
              <w:jc w:val="center"/>
              <w:rPr>
                <w:bCs/>
                <w:sz w:val="20"/>
                <w:szCs w:val="20"/>
              </w:rPr>
            </w:pPr>
            <w:r w:rsidRPr="000E3A45">
              <w:rPr>
                <w:bCs/>
                <w:sz w:val="20"/>
                <w:szCs w:val="20"/>
              </w:rPr>
              <w:t>2.96</w:t>
            </w:r>
          </w:p>
        </w:tc>
        <w:tc>
          <w:tcPr>
            <w:tcW w:w="333" w:type="pct"/>
            <w:vAlign w:val="center"/>
          </w:tcPr>
          <w:p w14:paraId="2A0D05D6" w14:textId="61DDF5F4" w:rsidR="00312F61" w:rsidRPr="000E3A45" w:rsidRDefault="00312F61" w:rsidP="00312F61">
            <w:pPr>
              <w:jc w:val="center"/>
              <w:rPr>
                <w:bCs/>
                <w:sz w:val="20"/>
                <w:szCs w:val="20"/>
              </w:rPr>
            </w:pPr>
            <w:r>
              <w:rPr>
                <w:bCs/>
                <w:sz w:val="20"/>
                <w:szCs w:val="20"/>
              </w:rPr>
              <w:t>2.92</w:t>
            </w:r>
          </w:p>
        </w:tc>
        <w:tc>
          <w:tcPr>
            <w:tcW w:w="315" w:type="pct"/>
            <w:vAlign w:val="center"/>
          </w:tcPr>
          <w:p w14:paraId="50A5B457" w14:textId="1B318316" w:rsidR="00312F61" w:rsidRPr="000E3A45" w:rsidRDefault="00312F61" w:rsidP="00312F61">
            <w:pPr>
              <w:jc w:val="center"/>
              <w:rPr>
                <w:bCs/>
                <w:sz w:val="20"/>
                <w:szCs w:val="20"/>
              </w:rPr>
            </w:pPr>
            <w:r>
              <w:rPr>
                <w:bCs/>
                <w:sz w:val="20"/>
                <w:szCs w:val="20"/>
              </w:rPr>
              <w:t>2.92</w:t>
            </w:r>
          </w:p>
        </w:tc>
        <w:tc>
          <w:tcPr>
            <w:tcW w:w="359" w:type="pct"/>
            <w:vAlign w:val="center"/>
          </w:tcPr>
          <w:p w14:paraId="00044008" w14:textId="557E969E" w:rsidR="00312F61" w:rsidRPr="000E3A45" w:rsidRDefault="00312F61" w:rsidP="00312F61">
            <w:pPr>
              <w:jc w:val="center"/>
              <w:rPr>
                <w:bCs/>
                <w:sz w:val="20"/>
                <w:szCs w:val="20"/>
              </w:rPr>
            </w:pPr>
            <w:r>
              <w:rPr>
                <w:bCs/>
                <w:sz w:val="20"/>
                <w:szCs w:val="20"/>
              </w:rPr>
              <w:t>2.91</w:t>
            </w:r>
          </w:p>
        </w:tc>
        <w:tc>
          <w:tcPr>
            <w:tcW w:w="321" w:type="pct"/>
            <w:vAlign w:val="center"/>
          </w:tcPr>
          <w:p w14:paraId="3E191EE4" w14:textId="74650B01" w:rsidR="00312F61" w:rsidRPr="000E3A45" w:rsidRDefault="00312F61" w:rsidP="00312F61">
            <w:pPr>
              <w:jc w:val="center"/>
              <w:rPr>
                <w:bCs/>
                <w:sz w:val="20"/>
                <w:szCs w:val="20"/>
              </w:rPr>
            </w:pPr>
            <w:r>
              <w:rPr>
                <w:bCs/>
                <w:sz w:val="20"/>
                <w:szCs w:val="20"/>
              </w:rPr>
              <w:t>2.94</w:t>
            </w:r>
          </w:p>
        </w:tc>
        <w:tc>
          <w:tcPr>
            <w:tcW w:w="351" w:type="pct"/>
            <w:vAlign w:val="center"/>
          </w:tcPr>
          <w:p w14:paraId="64C2DC35" w14:textId="63641CDF" w:rsidR="00312F61" w:rsidRPr="000E3A45" w:rsidRDefault="00312F61" w:rsidP="00312F61">
            <w:pPr>
              <w:jc w:val="center"/>
              <w:rPr>
                <w:bCs/>
                <w:sz w:val="20"/>
                <w:szCs w:val="20"/>
              </w:rPr>
            </w:pPr>
            <w:r>
              <w:rPr>
                <w:bCs/>
                <w:sz w:val="20"/>
                <w:szCs w:val="20"/>
              </w:rPr>
              <w:t>3.12</w:t>
            </w:r>
          </w:p>
        </w:tc>
        <w:tc>
          <w:tcPr>
            <w:tcW w:w="397" w:type="pct"/>
            <w:vAlign w:val="center"/>
          </w:tcPr>
          <w:p w14:paraId="2286BA9E" w14:textId="253F0A7A" w:rsidR="00312F61" w:rsidRPr="000E3A45" w:rsidRDefault="00312F61" w:rsidP="00312F61">
            <w:pPr>
              <w:jc w:val="center"/>
              <w:rPr>
                <w:bCs/>
                <w:sz w:val="20"/>
                <w:szCs w:val="20"/>
              </w:rPr>
            </w:pPr>
            <w:r>
              <w:rPr>
                <w:bCs/>
                <w:sz w:val="20"/>
                <w:szCs w:val="20"/>
              </w:rPr>
              <w:t>3.09</w:t>
            </w:r>
          </w:p>
        </w:tc>
      </w:tr>
    </w:tbl>
    <w:p w14:paraId="389C7794" w14:textId="05C2DC93" w:rsidR="00DC56DB" w:rsidRPr="000E3A45" w:rsidRDefault="00DC56DB" w:rsidP="009568DD">
      <w:pPr>
        <w:ind w:left="-113" w:right="-159"/>
        <w:jc w:val="both"/>
        <w:rPr>
          <w:sz w:val="20"/>
          <w:szCs w:val="20"/>
        </w:rPr>
      </w:pPr>
      <w:r w:rsidRPr="000E3A45">
        <w:rPr>
          <w:sz w:val="20"/>
          <w:szCs w:val="20"/>
        </w:rPr>
        <w:t xml:space="preserve">* Promedio a la </w:t>
      </w:r>
      <w:r w:rsidR="00646957" w:rsidRPr="000E3A45">
        <w:rPr>
          <w:sz w:val="20"/>
          <w:szCs w:val="20"/>
        </w:rPr>
        <w:t>tercera</w:t>
      </w:r>
      <w:r w:rsidRPr="000E3A45">
        <w:rPr>
          <w:sz w:val="20"/>
          <w:szCs w:val="20"/>
        </w:rPr>
        <w:t xml:space="preserve"> subasta.</w:t>
      </w:r>
    </w:p>
    <w:p w14:paraId="65A44899" w14:textId="77777777" w:rsidR="00B41064" w:rsidRPr="000E3A45" w:rsidRDefault="00B41064" w:rsidP="009568DD">
      <w:pPr>
        <w:ind w:left="-113" w:right="-159"/>
        <w:jc w:val="both"/>
        <w:rPr>
          <w:sz w:val="20"/>
          <w:szCs w:val="20"/>
        </w:rPr>
      </w:pPr>
      <w:r w:rsidRPr="000E3A45">
        <w:rPr>
          <w:sz w:val="20"/>
          <w:szCs w:val="20"/>
        </w:rPr>
        <w:t>FUENTE: Banco de México.</w:t>
      </w:r>
    </w:p>
    <w:p w14:paraId="7761237B" w14:textId="77777777" w:rsidR="00F93947" w:rsidRDefault="00F93947" w:rsidP="00DC56DB">
      <w:pPr>
        <w:spacing w:after="360" w:line="360" w:lineRule="auto"/>
        <w:ind w:right="-159"/>
        <w:jc w:val="center"/>
      </w:pPr>
    </w:p>
    <w:p w14:paraId="304A6916" w14:textId="0B89B388" w:rsidR="00716B48" w:rsidRPr="000E3A45" w:rsidRDefault="00107631" w:rsidP="00DC56DB">
      <w:pPr>
        <w:spacing w:after="360" w:line="360" w:lineRule="auto"/>
        <w:ind w:right="-159"/>
        <w:jc w:val="center"/>
      </w:pPr>
      <w:r w:rsidRPr="00107631">
        <w:rPr>
          <w:rFonts w:ascii="Calibri" w:eastAsia="Calibri" w:hAnsi="Calibri"/>
          <w:sz w:val="22"/>
          <w:szCs w:val="22"/>
          <w:lang w:eastAsia="en-US"/>
        </w:rPr>
        <w:lastRenderedPageBreak/>
        <w:fldChar w:fldCharType="begin"/>
      </w:r>
      <w:r w:rsidRPr="00107631">
        <w:rPr>
          <w:rFonts w:ascii="Calibri" w:eastAsia="Calibri" w:hAnsi="Calibri"/>
          <w:sz w:val="22"/>
          <w:szCs w:val="22"/>
          <w:lang w:eastAsia="en-US"/>
        </w:rPr>
        <w:instrText xml:space="preserve"> LINK PowerPoint.Slide.8 "D:\\2015\\ABRIL\\GRÁFICAS POWER POINT\\32.- GRÁFICA DE CETES.pptx!265" "" \a \p </w:instrText>
      </w:r>
      <w:r w:rsidRPr="00107631">
        <w:rPr>
          <w:rFonts w:ascii="Calibri" w:eastAsia="Calibri" w:hAnsi="Calibri"/>
          <w:sz w:val="22"/>
          <w:szCs w:val="22"/>
          <w:lang w:eastAsia="en-US"/>
        </w:rPr>
        <w:fldChar w:fldCharType="separate"/>
      </w:r>
      <w:r w:rsidRPr="00107631">
        <w:rPr>
          <w:rFonts w:ascii="Calibri" w:eastAsia="Calibri" w:hAnsi="Calibri"/>
          <w:noProof/>
          <w:sz w:val="22"/>
          <w:szCs w:val="22"/>
          <w:lang w:eastAsia="es-MX"/>
        </w:rPr>
        <w:drawing>
          <wp:inline distT="0" distB="0" distL="0" distR="0" wp14:anchorId="3219FB81" wp14:editId="0F7B62CB">
            <wp:extent cx="5103495" cy="2823210"/>
            <wp:effectExtent l="0" t="0" r="1905" b="0"/>
            <wp:docPr id="1879" name="Imagen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442" cstate="print">
                      <a:extLst>
                        <a:ext uri="{28A0092B-C50C-407E-A947-70E740481C1C}">
                          <a14:useLocalDpi xmlns:a14="http://schemas.microsoft.com/office/drawing/2010/main" val="0"/>
                        </a:ext>
                      </a:extLst>
                    </a:blip>
                    <a:srcRect l="8618" t="11182" r="7608" b="6184"/>
                    <a:stretch>
                      <a:fillRect/>
                    </a:stretch>
                  </pic:blipFill>
                  <pic:spPr bwMode="auto">
                    <a:xfrm>
                      <a:off x="0" y="0"/>
                      <a:ext cx="5103495" cy="2823210"/>
                    </a:xfrm>
                    <a:prstGeom prst="rect">
                      <a:avLst/>
                    </a:prstGeom>
                    <a:noFill/>
                    <a:ln>
                      <a:noFill/>
                    </a:ln>
                  </pic:spPr>
                </pic:pic>
              </a:graphicData>
            </a:graphic>
          </wp:inline>
        </w:drawing>
      </w:r>
      <w:r w:rsidRPr="00107631">
        <w:rPr>
          <w:rFonts w:ascii="Calibri" w:eastAsia="Calibri" w:hAnsi="Calibri"/>
          <w:sz w:val="22"/>
          <w:szCs w:val="22"/>
          <w:lang w:eastAsia="en-US"/>
        </w:rPr>
        <w:fldChar w:fldCharType="end"/>
      </w:r>
    </w:p>
    <w:p w14:paraId="179F5ED4" w14:textId="77777777" w:rsidR="00A1402D" w:rsidRPr="000E3A45" w:rsidRDefault="00A1402D" w:rsidP="00B813D4">
      <w:pPr>
        <w:ind w:right="-159"/>
        <w:jc w:val="both"/>
        <w:rPr>
          <w:b/>
          <w:sz w:val="20"/>
          <w:szCs w:val="20"/>
        </w:rPr>
      </w:pPr>
      <w:r w:rsidRPr="000E3A45">
        <w:rPr>
          <w:b/>
          <w:sz w:val="20"/>
          <w:szCs w:val="20"/>
        </w:rPr>
        <w:t>Fuente de información:</w:t>
      </w:r>
    </w:p>
    <w:p w14:paraId="76756B01" w14:textId="26DD48F6" w:rsidR="0079581F" w:rsidRPr="00E146C7" w:rsidRDefault="0045651A" w:rsidP="00E146C7">
      <w:pPr>
        <w:spacing w:after="720"/>
        <w:ind w:right="-159"/>
        <w:jc w:val="both"/>
        <w:rPr>
          <w:color w:val="0000FF"/>
          <w:sz w:val="20"/>
          <w:szCs w:val="20"/>
        </w:rPr>
      </w:pPr>
      <w:hyperlink r:id="rId443" w:history="1">
        <w:r w:rsidR="0079581F" w:rsidRPr="00E146C7">
          <w:rPr>
            <w:rStyle w:val="Hipervnculo"/>
            <w:sz w:val="20"/>
            <w:szCs w:val="20"/>
          </w:rPr>
          <w:t>http://www.banxico.org.mx/stdview.html?url=/portal-mercado-valores/informacion-oportuna/subasta-y-colocacion-de-valores/resultados/primarias-de-valores-gubernamentales/ResuSubaPrimaNew-1.html</w:t>
        </w:r>
      </w:hyperlink>
    </w:p>
    <w:p w14:paraId="59031383" w14:textId="2CF616EA" w:rsidR="007E25B7" w:rsidRPr="000E3A45" w:rsidRDefault="007E25B7" w:rsidP="007E25B7">
      <w:pPr>
        <w:spacing w:after="360" w:line="360" w:lineRule="auto"/>
        <w:ind w:right="-159"/>
        <w:jc w:val="both"/>
        <w:rPr>
          <w:b/>
          <w:sz w:val="26"/>
          <w:szCs w:val="26"/>
        </w:rPr>
      </w:pPr>
      <w:r w:rsidRPr="000E3A45">
        <w:rPr>
          <w:b/>
          <w:sz w:val="26"/>
          <w:szCs w:val="26"/>
        </w:rPr>
        <w:t>Tasa de Interés Interbancaria de Equilibrio (Banxico)</w:t>
      </w:r>
    </w:p>
    <w:p w14:paraId="661068DF" w14:textId="77777777" w:rsidR="007E25B7" w:rsidRPr="000E3A45" w:rsidRDefault="007E25B7" w:rsidP="007E25B7">
      <w:pPr>
        <w:spacing w:after="360" w:line="360" w:lineRule="auto"/>
        <w:ind w:right="-159"/>
        <w:jc w:val="both"/>
        <w:rPr>
          <w:sz w:val="26"/>
          <w:szCs w:val="26"/>
        </w:rPr>
      </w:pPr>
      <w:r w:rsidRPr="000E3A45">
        <w:rPr>
          <w:sz w:val="26"/>
          <w:szCs w:val="26"/>
        </w:rPr>
        <w:t>La Tasa de Interés Interbancaria de Equilibrio (TIIE) se utiliza por el mercado bancario nacional como referencia para el otorgamiento de créditos hipotecarios, de consumo y de otras inversiones en el aparato productivo nacional.</w:t>
      </w:r>
    </w:p>
    <w:p w14:paraId="1E941C83" w14:textId="4A5002E8" w:rsidR="00C2512B" w:rsidRPr="000E3A45" w:rsidRDefault="002338FA" w:rsidP="007E25B7">
      <w:pPr>
        <w:spacing w:after="360" w:line="360" w:lineRule="auto"/>
        <w:ind w:right="-159"/>
        <w:jc w:val="both"/>
        <w:rPr>
          <w:sz w:val="26"/>
          <w:szCs w:val="26"/>
        </w:rPr>
      </w:pPr>
      <w:r w:rsidRPr="000E3A45">
        <w:rPr>
          <w:sz w:val="26"/>
          <w:szCs w:val="26"/>
        </w:rPr>
        <w:t xml:space="preserve">A consecuencia de la </w:t>
      </w:r>
      <w:r w:rsidR="00353E1A">
        <w:rPr>
          <w:sz w:val="26"/>
          <w:szCs w:val="26"/>
        </w:rPr>
        <w:t xml:space="preserve">estabilidad </w:t>
      </w:r>
      <w:r w:rsidRPr="000E3A45">
        <w:rPr>
          <w:sz w:val="26"/>
          <w:szCs w:val="26"/>
        </w:rPr>
        <w:t>de la tasa de interés interbancaria a un día</w:t>
      </w:r>
      <w:r w:rsidR="00CC4B15" w:rsidRPr="000E3A45">
        <w:rPr>
          <w:sz w:val="26"/>
          <w:szCs w:val="26"/>
        </w:rPr>
        <w:t xml:space="preserve"> </w:t>
      </w:r>
      <w:r w:rsidR="00353E1A">
        <w:rPr>
          <w:sz w:val="26"/>
          <w:szCs w:val="26"/>
        </w:rPr>
        <w:t xml:space="preserve">en 3.0%, la volatilidad en los mercados financieros y cambiarios ha propiciado un </w:t>
      </w:r>
      <w:r w:rsidR="009B14E1">
        <w:rPr>
          <w:sz w:val="26"/>
          <w:szCs w:val="26"/>
        </w:rPr>
        <w:t xml:space="preserve">aumento moderado </w:t>
      </w:r>
      <w:r w:rsidR="00353E1A">
        <w:rPr>
          <w:sz w:val="26"/>
          <w:szCs w:val="26"/>
        </w:rPr>
        <w:t>en las</w:t>
      </w:r>
      <w:r w:rsidR="00CC4B15" w:rsidRPr="000E3A45">
        <w:rPr>
          <w:sz w:val="26"/>
          <w:szCs w:val="26"/>
        </w:rPr>
        <w:t xml:space="preserve"> tasas de interés de referencia del mercado financiero</w:t>
      </w:r>
      <w:r w:rsidR="00031D8E" w:rsidRPr="000E3A45">
        <w:rPr>
          <w:sz w:val="26"/>
          <w:szCs w:val="26"/>
        </w:rPr>
        <w:t xml:space="preserve"> durante el presente año</w:t>
      </w:r>
      <w:r w:rsidRPr="000E3A45">
        <w:rPr>
          <w:sz w:val="26"/>
          <w:szCs w:val="26"/>
        </w:rPr>
        <w:t xml:space="preserve">, </w:t>
      </w:r>
      <w:r w:rsidR="008B3D0A" w:rsidRPr="000E3A45">
        <w:rPr>
          <w:sz w:val="26"/>
          <w:szCs w:val="26"/>
        </w:rPr>
        <w:t xml:space="preserve">la </w:t>
      </w:r>
      <w:r w:rsidR="00821EAC" w:rsidRPr="000E3A45">
        <w:rPr>
          <w:sz w:val="26"/>
          <w:szCs w:val="26"/>
        </w:rPr>
        <w:t xml:space="preserve">TIIE </w:t>
      </w:r>
      <w:r w:rsidR="00CC4B15" w:rsidRPr="000E3A45">
        <w:rPr>
          <w:sz w:val="26"/>
          <w:szCs w:val="26"/>
        </w:rPr>
        <w:t xml:space="preserve">también ha registrado un comportamiento </w:t>
      </w:r>
      <w:r w:rsidR="00987A74">
        <w:rPr>
          <w:sz w:val="26"/>
          <w:szCs w:val="26"/>
        </w:rPr>
        <w:t>estable</w:t>
      </w:r>
      <w:r w:rsidRPr="000E3A45">
        <w:rPr>
          <w:sz w:val="26"/>
          <w:szCs w:val="26"/>
        </w:rPr>
        <w:t>.</w:t>
      </w:r>
      <w:r w:rsidR="00DF38F2" w:rsidRPr="000E3A45">
        <w:rPr>
          <w:sz w:val="26"/>
          <w:szCs w:val="26"/>
        </w:rPr>
        <w:t xml:space="preserve"> </w:t>
      </w:r>
      <w:r w:rsidRPr="000E3A45">
        <w:rPr>
          <w:sz w:val="26"/>
          <w:szCs w:val="26"/>
        </w:rPr>
        <w:t xml:space="preserve">Así, el </w:t>
      </w:r>
      <w:r w:rsidR="00DF38F2" w:rsidRPr="000E3A45">
        <w:rPr>
          <w:sz w:val="26"/>
          <w:szCs w:val="26"/>
        </w:rPr>
        <w:t>promedio</w:t>
      </w:r>
      <w:r w:rsidRPr="000E3A45">
        <w:rPr>
          <w:sz w:val="26"/>
          <w:szCs w:val="26"/>
        </w:rPr>
        <w:t xml:space="preserve"> de la TIIE</w:t>
      </w:r>
      <w:r w:rsidR="00DF38F2" w:rsidRPr="000E3A45">
        <w:rPr>
          <w:sz w:val="26"/>
          <w:szCs w:val="26"/>
        </w:rPr>
        <w:t xml:space="preserve">, en las </w:t>
      </w:r>
      <w:r w:rsidR="00A8478F" w:rsidRPr="000E3A45">
        <w:rPr>
          <w:sz w:val="26"/>
          <w:szCs w:val="26"/>
        </w:rPr>
        <w:t>tres</w:t>
      </w:r>
      <w:r w:rsidR="00DF38F2" w:rsidRPr="000E3A45">
        <w:rPr>
          <w:sz w:val="26"/>
          <w:szCs w:val="26"/>
        </w:rPr>
        <w:t xml:space="preserve"> primeras </w:t>
      </w:r>
      <w:r w:rsidR="005E38D8" w:rsidRPr="000E3A45">
        <w:rPr>
          <w:sz w:val="26"/>
          <w:szCs w:val="26"/>
        </w:rPr>
        <w:t xml:space="preserve">semanas </w:t>
      </w:r>
      <w:r w:rsidR="00DF38F2" w:rsidRPr="000E3A45">
        <w:rPr>
          <w:sz w:val="26"/>
          <w:szCs w:val="26"/>
        </w:rPr>
        <w:t xml:space="preserve">de </w:t>
      </w:r>
      <w:r w:rsidR="009B14E1">
        <w:rPr>
          <w:sz w:val="26"/>
          <w:szCs w:val="26"/>
        </w:rPr>
        <w:t>a</w:t>
      </w:r>
      <w:r w:rsidR="00987A74">
        <w:rPr>
          <w:sz w:val="26"/>
          <w:szCs w:val="26"/>
        </w:rPr>
        <w:t>b</w:t>
      </w:r>
      <w:r w:rsidR="009B14E1">
        <w:rPr>
          <w:sz w:val="26"/>
          <w:szCs w:val="26"/>
        </w:rPr>
        <w:t>r</w:t>
      </w:r>
      <w:r w:rsidR="00987A74">
        <w:rPr>
          <w:sz w:val="26"/>
          <w:szCs w:val="26"/>
        </w:rPr>
        <w:t>il</w:t>
      </w:r>
      <w:r w:rsidR="00CC4B15" w:rsidRPr="000E3A45">
        <w:rPr>
          <w:sz w:val="26"/>
          <w:szCs w:val="26"/>
        </w:rPr>
        <w:t xml:space="preserve"> </w:t>
      </w:r>
      <w:r w:rsidR="004B4F25" w:rsidRPr="000E3A45">
        <w:rPr>
          <w:sz w:val="26"/>
          <w:szCs w:val="26"/>
        </w:rPr>
        <w:t>de 201</w:t>
      </w:r>
      <w:r w:rsidR="004503DA">
        <w:rPr>
          <w:sz w:val="26"/>
          <w:szCs w:val="26"/>
        </w:rPr>
        <w:t>5</w:t>
      </w:r>
      <w:r w:rsidR="00DF38F2" w:rsidRPr="000E3A45">
        <w:rPr>
          <w:sz w:val="26"/>
          <w:szCs w:val="26"/>
        </w:rPr>
        <w:t>,</w:t>
      </w:r>
      <w:r w:rsidR="00821EAC" w:rsidRPr="000E3A45">
        <w:rPr>
          <w:sz w:val="26"/>
          <w:szCs w:val="26"/>
        </w:rPr>
        <w:t xml:space="preserve"> </w:t>
      </w:r>
      <w:r w:rsidR="00F341DE" w:rsidRPr="000E3A45">
        <w:rPr>
          <w:sz w:val="26"/>
          <w:szCs w:val="26"/>
        </w:rPr>
        <w:t xml:space="preserve">registró </w:t>
      </w:r>
      <w:r w:rsidR="00821EAC" w:rsidRPr="000E3A45">
        <w:rPr>
          <w:sz w:val="26"/>
          <w:szCs w:val="26"/>
        </w:rPr>
        <w:t xml:space="preserve">una tasa de interés anual promedio de </w:t>
      </w:r>
      <w:r w:rsidR="00CD23EE" w:rsidRPr="000E3A45">
        <w:rPr>
          <w:sz w:val="26"/>
          <w:szCs w:val="26"/>
        </w:rPr>
        <w:t>3</w:t>
      </w:r>
      <w:r w:rsidR="00E14A9F" w:rsidRPr="000E3A45">
        <w:rPr>
          <w:sz w:val="26"/>
          <w:szCs w:val="26"/>
        </w:rPr>
        <w:t>.</w:t>
      </w:r>
      <w:r w:rsidR="00987A74">
        <w:rPr>
          <w:sz w:val="26"/>
          <w:szCs w:val="26"/>
        </w:rPr>
        <w:t>2965</w:t>
      </w:r>
      <w:r w:rsidR="00821EAC" w:rsidRPr="000E3A45">
        <w:rPr>
          <w:sz w:val="26"/>
          <w:szCs w:val="26"/>
        </w:rPr>
        <w:t xml:space="preserve">%, </w:t>
      </w:r>
      <w:r w:rsidR="00DE7F1B" w:rsidRPr="000E3A45">
        <w:rPr>
          <w:sz w:val="26"/>
          <w:szCs w:val="26"/>
        </w:rPr>
        <w:t xml:space="preserve">cifra </w:t>
      </w:r>
      <w:r w:rsidR="009B14E1">
        <w:rPr>
          <w:sz w:val="26"/>
          <w:szCs w:val="26"/>
        </w:rPr>
        <w:t>6</w:t>
      </w:r>
      <w:r w:rsidR="003F5418">
        <w:rPr>
          <w:sz w:val="26"/>
          <w:szCs w:val="26"/>
        </w:rPr>
        <w:t>2</w:t>
      </w:r>
      <w:r w:rsidR="00830B8E" w:rsidRPr="000E3A45">
        <w:rPr>
          <w:sz w:val="26"/>
          <w:szCs w:val="26"/>
        </w:rPr>
        <w:t xml:space="preserve"> diezmilésimas de punto porcentual m</w:t>
      </w:r>
      <w:r w:rsidR="003F5418">
        <w:rPr>
          <w:sz w:val="26"/>
          <w:szCs w:val="26"/>
        </w:rPr>
        <w:t>enos</w:t>
      </w:r>
      <w:r w:rsidR="00830B8E" w:rsidRPr="000E3A45">
        <w:rPr>
          <w:sz w:val="26"/>
          <w:szCs w:val="26"/>
        </w:rPr>
        <w:t xml:space="preserve"> a la observada</w:t>
      </w:r>
      <w:r w:rsidR="00672845" w:rsidRPr="000E3A45">
        <w:rPr>
          <w:sz w:val="26"/>
          <w:szCs w:val="26"/>
        </w:rPr>
        <w:t xml:space="preserve"> </w:t>
      </w:r>
      <w:r w:rsidR="00830B8E" w:rsidRPr="000E3A45">
        <w:rPr>
          <w:sz w:val="26"/>
          <w:szCs w:val="26"/>
        </w:rPr>
        <w:t xml:space="preserve">en </w:t>
      </w:r>
      <w:r w:rsidR="00353E1A">
        <w:rPr>
          <w:sz w:val="26"/>
          <w:szCs w:val="26"/>
        </w:rPr>
        <w:t>el mes inmediato anterior (3.</w:t>
      </w:r>
      <w:r w:rsidR="003F5418">
        <w:rPr>
          <w:sz w:val="26"/>
          <w:szCs w:val="26"/>
        </w:rPr>
        <w:t>3027</w:t>
      </w:r>
      <w:r w:rsidR="00353E1A">
        <w:rPr>
          <w:sz w:val="26"/>
          <w:szCs w:val="26"/>
        </w:rPr>
        <w:t xml:space="preserve">%), </w:t>
      </w:r>
      <w:r w:rsidR="003F5418">
        <w:rPr>
          <w:sz w:val="26"/>
          <w:szCs w:val="26"/>
        </w:rPr>
        <w:t>inferior</w:t>
      </w:r>
      <w:r w:rsidR="00353E1A">
        <w:rPr>
          <w:sz w:val="26"/>
          <w:szCs w:val="26"/>
        </w:rPr>
        <w:t xml:space="preserve"> en </w:t>
      </w:r>
      <w:r w:rsidR="003F5418">
        <w:rPr>
          <w:sz w:val="26"/>
          <w:szCs w:val="26"/>
        </w:rPr>
        <w:t>46</w:t>
      </w:r>
      <w:r w:rsidR="00353E1A">
        <w:rPr>
          <w:sz w:val="26"/>
          <w:szCs w:val="26"/>
        </w:rPr>
        <w:t xml:space="preserve"> diezmilésimas con relación a </w:t>
      </w:r>
      <w:r w:rsidR="00F83B40">
        <w:rPr>
          <w:sz w:val="26"/>
          <w:szCs w:val="26"/>
        </w:rPr>
        <w:t xml:space="preserve">diciembre </w:t>
      </w:r>
      <w:r w:rsidR="00672845" w:rsidRPr="000E3A45">
        <w:rPr>
          <w:sz w:val="26"/>
          <w:szCs w:val="26"/>
        </w:rPr>
        <w:t>anterior</w:t>
      </w:r>
      <w:r w:rsidR="00830B8E" w:rsidRPr="000E3A45">
        <w:rPr>
          <w:sz w:val="26"/>
          <w:szCs w:val="26"/>
        </w:rPr>
        <w:t xml:space="preserve"> (3.</w:t>
      </w:r>
      <w:r w:rsidR="004503DA">
        <w:rPr>
          <w:sz w:val="26"/>
          <w:szCs w:val="26"/>
        </w:rPr>
        <w:t>3011</w:t>
      </w:r>
      <w:r w:rsidR="00830B8E" w:rsidRPr="000E3A45">
        <w:rPr>
          <w:sz w:val="26"/>
          <w:szCs w:val="26"/>
        </w:rPr>
        <w:t>%)</w:t>
      </w:r>
      <w:r w:rsidR="00353E1A">
        <w:rPr>
          <w:sz w:val="26"/>
          <w:szCs w:val="26"/>
        </w:rPr>
        <w:t xml:space="preserve"> y </w:t>
      </w:r>
      <w:r w:rsidR="007C20DC">
        <w:rPr>
          <w:sz w:val="26"/>
          <w:szCs w:val="26"/>
        </w:rPr>
        <w:t xml:space="preserve">menor en </w:t>
      </w:r>
      <w:r w:rsidR="003F5418">
        <w:rPr>
          <w:sz w:val="26"/>
          <w:szCs w:val="26"/>
        </w:rPr>
        <w:t>5089</w:t>
      </w:r>
      <w:r w:rsidR="007C20DC">
        <w:rPr>
          <w:sz w:val="26"/>
          <w:szCs w:val="26"/>
        </w:rPr>
        <w:t xml:space="preserve"> diezmilésimas  si se le compara con el promedio de </w:t>
      </w:r>
      <w:r w:rsidR="009B14E1">
        <w:rPr>
          <w:sz w:val="26"/>
          <w:szCs w:val="26"/>
        </w:rPr>
        <w:t>a</w:t>
      </w:r>
      <w:r w:rsidR="003F5418">
        <w:rPr>
          <w:sz w:val="26"/>
          <w:szCs w:val="26"/>
        </w:rPr>
        <w:t>b</w:t>
      </w:r>
      <w:r w:rsidR="009B14E1">
        <w:rPr>
          <w:sz w:val="26"/>
          <w:szCs w:val="26"/>
        </w:rPr>
        <w:t>r</w:t>
      </w:r>
      <w:r w:rsidR="003F5418">
        <w:rPr>
          <w:sz w:val="26"/>
          <w:szCs w:val="26"/>
        </w:rPr>
        <w:t>il</w:t>
      </w:r>
      <w:r w:rsidR="007C20DC">
        <w:rPr>
          <w:sz w:val="26"/>
          <w:szCs w:val="26"/>
        </w:rPr>
        <w:t xml:space="preserve"> de 2014 (3.8</w:t>
      </w:r>
      <w:r w:rsidR="009B14E1">
        <w:rPr>
          <w:sz w:val="26"/>
          <w:szCs w:val="26"/>
        </w:rPr>
        <w:t>0</w:t>
      </w:r>
      <w:r w:rsidR="003F5418">
        <w:rPr>
          <w:sz w:val="26"/>
          <w:szCs w:val="26"/>
        </w:rPr>
        <w:t>54</w:t>
      </w:r>
      <w:r w:rsidR="007C20DC">
        <w:rPr>
          <w:sz w:val="26"/>
          <w:szCs w:val="26"/>
        </w:rPr>
        <w:t>%)</w:t>
      </w:r>
      <w:r w:rsidR="00F83B40">
        <w:rPr>
          <w:sz w:val="26"/>
          <w:szCs w:val="26"/>
        </w:rPr>
        <w:t>.</w:t>
      </w:r>
    </w:p>
    <w:p w14:paraId="33169DD7" w14:textId="59AFF056" w:rsidR="00266AB1" w:rsidRPr="000E3A45" w:rsidRDefault="00987A74" w:rsidP="00266AB1">
      <w:pPr>
        <w:spacing w:after="360" w:line="360" w:lineRule="auto"/>
        <w:ind w:right="-159"/>
        <w:jc w:val="center"/>
        <w:rPr>
          <w:sz w:val="26"/>
          <w:szCs w:val="26"/>
        </w:rPr>
      </w:pPr>
      <w:r w:rsidRPr="00987A74">
        <w:rPr>
          <w:rFonts w:ascii="Calibri" w:eastAsia="Calibri" w:hAnsi="Calibri"/>
          <w:sz w:val="22"/>
          <w:szCs w:val="22"/>
          <w:lang w:eastAsia="en-US"/>
        </w:rPr>
        <w:lastRenderedPageBreak/>
        <w:fldChar w:fldCharType="begin"/>
      </w:r>
      <w:r w:rsidRPr="00987A74">
        <w:rPr>
          <w:rFonts w:ascii="Calibri" w:eastAsia="Calibri" w:hAnsi="Calibri"/>
          <w:sz w:val="22"/>
          <w:szCs w:val="22"/>
          <w:lang w:eastAsia="en-US"/>
        </w:rPr>
        <w:instrText xml:space="preserve"> LINK PowerPoint.Slide.8 "D:\\2015\\ABRIL\\GRÁFICAS POWER POINT\\33.- GRÁFICA DE LATIEE.pptx!264" "" \a \p </w:instrText>
      </w:r>
      <w:r w:rsidRPr="00987A74">
        <w:rPr>
          <w:rFonts w:ascii="Calibri" w:eastAsia="Calibri" w:hAnsi="Calibri"/>
          <w:sz w:val="22"/>
          <w:szCs w:val="22"/>
          <w:lang w:eastAsia="en-US"/>
        </w:rPr>
        <w:fldChar w:fldCharType="separate"/>
      </w:r>
      <w:r w:rsidRPr="00987A74">
        <w:rPr>
          <w:rFonts w:ascii="Calibri" w:eastAsia="Calibri" w:hAnsi="Calibri"/>
          <w:noProof/>
          <w:sz w:val="22"/>
          <w:szCs w:val="22"/>
          <w:lang w:eastAsia="es-MX"/>
        </w:rPr>
        <w:drawing>
          <wp:inline distT="0" distB="0" distL="0" distR="0" wp14:anchorId="6E715567" wp14:editId="252D6607">
            <wp:extent cx="5140325" cy="3317875"/>
            <wp:effectExtent l="0" t="0" r="3175" b="0"/>
            <wp:docPr id="1890" name="Imagen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444" cstate="print">
                      <a:extLst>
                        <a:ext uri="{28A0092B-C50C-407E-A947-70E740481C1C}">
                          <a14:useLocalDpi xmlns:a14="http://schemas.microsoft.com/office/drawing/2010/main" val="0"/>
                        </a:ext>
                      </a:extLst>
                    </a:blip>
                    <a:srcRect l="8733" r="6940" b="2991"/>
                    <a:stretch>
                      <a:fillRect/>
                    </a:stretch>
                  </pic:blipFill>
                  <pic:spPr bwMode="auto">
                    <a:xfrm>
                      <a:off x="0" y="0"/>
                      <a:ext cx="5140325" cy="3317875"/>
                    </a:xfrm>
                    <a:prstGeom prst="rect">
                      <a:avLst/>
                    </a:prstGeom>
                    <a:noFill/>
                    <a:ln>
                      <a:noFill/>
                    </a:ln>
                  </pic:spPr>
                </pic:pic>
              </a:graphicData>
            </a:graphic>
          </wp:inline>
        </w:drawing>
      </w:r>
      <w:r w:rsidRPr="00987A74">
        <w:rPr>
          <w:rFonts w:ascii="Calibri" w:eastAsia="Calibri" w:hAnsi="Calibri"/>
          <w:sz w:val="22"/>
          <w:szCs w:val="22"/>
          <w:lang w:eastAsia="en-US"/>
        </w:rPr>
        <w:fldChar w:fldCharType="end"/>
      </w:r>
    </w:p>
    <w:p w14:paraId="05B20931" w14:textId="77777777" w:rsidR="00CF72DA" w:rsidRPr="000E3A45" w:rsidRDefault="007E25B7" w:rsidP="0059482D">
      <w:pPr>
        <w:ind w:right="-159"/>
        <w:jc w:val="both"/>
        <w:rPr>
          <w:b/>
          <w:sz w:val="20"/>
          <w:szCs w:val="20"/>
        </w:rPr>
      </w:pPr>
      <w:r w:rsidRPr="000E3A45">
        <w:rPr>
          <w:b/>
          <w:sz w:val="20"/>
          <w:szCs w:val="20"/>
        </w:rPr>
        <w:t>Fuente de información:</w:t>
      </w:r>
    </w:p>
    <w:p w14:paraId="1A17463D" w14:textId="77777777" w:rsidR="00426A55" w:rsidRPr="00E146C7" w:rsidRDefault="0045651A" w:rsidP="00E146C7">
      <w:pPr>
        <w:spacing w:after="720"/>
        <w:jc w:val="both"/>
        <w:rPr>
          <w:rFonts w:ascii="Calibri" w:eastAsia="Times New Roman" w:hAnsi="Calibri" w:cs="Calibri"/>
          <w:color w:val="0000FF"/>
          <w:sz w:val="20"/>
          <w:szCs w:val="20"/>
          <w:u w:val="single"/>
          <w:lang w:eastAsia="es-MX"/>
        </w:rPr>
      </w:pPr>
      <w:hyperlink r:id="rId445" w:history="1">
        <w:r w:rsidR="00426A55" w:rsidRPr="00E146C7">
          <w:rPr>
            <w:rFonts w:eastAsia="Times New Roman"/>
            <w:color w:val="0000FF"/>
            <w:sz w:val="20"/>
            <w:szCs w:val="20"/>
            <w:u w:val="single"/>
            <w:lang w:eastAsia="es-MX"/>
          </w:rPr>
          <w:t>http://www.banxico.org.mx/SieInternet/consultarDirectorioInternetAction.do?accion=consultarCuadro&amp;idCuadro=CF101&amp;sector=18&amp;locale=es</w:t>
        </w:r>
      </w:hyperlink>
    </w:p>
    <w:p w14:paraId="17849246" w14:textId="14EF80B9" w:rsidR="00833432" w:rsidRPr="000E3A45" w:rsidRDefault="00833432" w:rsidP="00833432">
      <w:pPr>
        <w:spacing w:after="360" w:line="360" w:lineRule="auto"/>
        <w:ind w:right="-159"/>
        <w:rPr>
          <w:b/>
          <w:sz w:val="26"/>
          <w:szCs w:val="26"/>
        </w:rPr>
      </w:pPr>
      <w:r w:rsidRPr="000E3A45">
        <w:rPr>
          <w:b/>
          <w:sz w:val="26"/>
          <w:szCs w:val="26"/>
        </w:rPr>
        <w:t>Costo Porcentual Promedio (CPP)</w:t>
      </w:r>
    </w:p>
    <w:p w14:paraId="53EC49D1" w14:textId="238347B8" w:rsidR="00833432" w:rsidRDefault="009273D9" w:rsidP="00833432">
      <w:pPr>
        <w:spacing w:after="360" w:line="360" w:lineRule="auto"/>
        <w:ind w:right="-159"/>
        <w:jc w:val="both"/>
        <w:rPr>
          <w:sz w:val="26"/>
          <w:szCs w:val="26"/>
          <w:lang w:val="es-ES"/>
        </w:rPr>
      </w:pPr>
      <w:r w:rsidRPr="000E3A45">
        <w:rPr>
          <w:sz w:val="26"/>
          <w:szCs w:val="26"/>
          <w:lang w:val="es-ES"/>
        </w:rPr>
        <w:t>E</w:t>
      </w:r>
      <w:r w:rsidR="00833432" w:rsidRPr="000E3A45">
        <w:rPr>
          <w:sz w:val="26"/>
          <w:szCs w:val="26"/>
          <w:lang w:val="es-ES"/>
        </w:rPr>
        <w:t xml:space="preserve">l Banco de México informó que el Costo Porcentual Promedio (CPP), que incluye depósitos bancarios a plazo, pagarés con rendimiento liquidable al vencimiento, otros depósitos (excepto vista y ahorro), aceptaciones bancarias y papel comercial con aval bancario, y que se considera un parámetro del mercado que representa el costo porcentual promedio de captación, reportó en </w:t>
      </w:r>
      <w:r w:rsidR="00553826">
        <w:rPr>
          <w:sz w:val="26"/>
          <w:szCs w:val="26"/>
          <w:lang w:val="es-ES"/>
        </w:rPr>
        <w:t>marzo</w:t>
      </w:r>
      <w:r w:rsidR="00833432" w:rsidRPr="000E3A45">
        <w:rPr>
          <w:sz w:val="26"/>
          <w:szCs w:val="26"/>
          <w:lang w:val="es-ES"/>
        </w:rPr>
        <w:t xml:space="preserve"> de 201</w:t>
      </w:r>
      <w:r w:rsidR="00372AC7">
        <w:rPr>
          <w:sz w:val="26"/>
          <w:szCs w:val="26"/>
          <w:lang w:val="es-ES"/>
        </w:rPr>
        <w:t>5</w:t>
      </w:r>
      <w:r w:rsidR="00833432" w:rsidRPr="000E3A45">
        <w:rPr>
          <w:sz w:val="26"/>
          <w:szCs w:val="26"/>
          <w:lang w:val="es-ES"/>
        </w:rPr>
        <w:t>, una tasa de interés anual de 2.</w:t>
      </w:r>
      <w:r w:rsidR="00372AC7">
        <w:rPr>
          <w:sz w:val="26"/>
          <w:szCs w:val="26"/>
          <w:lang w:val="es-ES"/>
        </w:rPr>
        <w:t>2</w:t>
      </w:r>
      <w:r w:rsidR="00553826">
        <w:rPr>
          <w:sz w:val="26"/>
          <w:szCs w:val="26"/>
          <w:lang w:val="es-ES"/>
        </w:rPr>
        <w:t>1</w:t>
      </w:r>
      <w:r w:rsidR="00833432" w:rsidRPr="000E3A45">
        <w:rPr>
          <w:sz w:val="26"/>
          <w:szCs w:val="26"/>
          <w:lang w:val="es-ES"/>
        </w:rPr>
        <w:t xml:space="preserve">%, cifra </w:t>
      </w:r>
      <w:r w:rsidR="00BF4AFC" w:rsidRPr="000E3A45">
        <w:rPr>
          <w:sz w:val="26"/>
          <w:szCs w:val="26"/>
          <w:lang w:val="es-ES"/>
        </w:rPr>
        <w:t>m</w:t>
      </w:r>
      <w:r w:rsidR="00553826">
        <w:rPr>
          <w:sz w:val="26"/>
          <w:szCs w:val="26"/>
          <w:lang w:val="es-ES"/>
        </w:rPr>
        <w:t>enor</w:t>
      </w:r>
      <w:r w:rsidR="00833432" w:rsidRPr="000E3A45">
        <w:rPr>
          <w:sz w:val="26"/>
          <w:szCs w:val="26"/>
          <w:lang w:val="es-ES"/>
        </w:rPr>
        <w:t xml:space="preserve"> en </w:t>
      </w:r>
      <w:r w:rsidR="00553826">
        <w:rPr>
          <w:sz w:val="26"/>
          <w:szCs w:val="26"/>
          <w:lang w:val="es-ES"/>
        </w:rPr>
        <w:t>tres</w:t>
      </w:r>
      <w:r w:rsidR="00833432" w:rsidRPr="000E3A45">
        <w:rPr>
          <w:sz w:val="26"/>
          <w:szCs w:val="26"/>
          <w:lang w:val="es-ES"/>
        </w:rPr>
        <w:t xml:space="preserve"> centésimas de punto porcentual a la observada en el mes inmediato anterior (2</w:t>
      </w:r>
      <w:r w:rsidR="00372AC7">
        <w:rPr>
          <w:sz w:val="26"/>
          <w:szCs w:val="26"/>
          <w:lang w:val="es-ES"/>
        </w:rPr>
        <w:t>.</w:t>
      </w:r>
      <w:r w:rsidR="00445B89">
        <w:rPr>
          <w:sz w:val="26"/>
          <w:szCs w:val="26"/>
          <w:lang w:val="es-ES"/>
        </w:rPr>
        <w:t>2</w:t>
      </w:r>
      <w:r w:rsidR="00553826">
        <w:rPr>
          <w:sz w:val="26"/>
          <w:szCs w:val="26"/>
          <w:lang w:val="es-ES"/>
        </w:rPr>
        <w:t>4</w:t>
      </w:r>
      <w:r w:rsidR="00833432" w:rsidRPr="000E3A45">
        <w:rPr>
          <w:sz w:val="26"/>
          <w:szCs w:val="26"/>
          <w:lang w:val="es-ES"/>
        </w:rPr>
        <w:t xml:space="preserve">%), </w:t>
      </w:r>
      <w:r w:rsidR="00445B89">
        <w:rPr>
          <w:sz w:val="26"/>
          <w:szCs w:val="26"/>
          <w:lang w:val="es-ES"/>
        </w:rPr>
        <w:t>y</w:t>
      </w:r>
      <w:r w:rsidR="00DB2A13" w:rsidRPr="000E3A45">
        <w:rPr>
          <w:sz w:val="26"/>
          <w:szCs w:val="26"/>
          <w:lang w:val="es-ES"/>
        </w:rPr>
        <w:t xml:space="preserve"> </w:t>
      </w:r>
      <w:r w:rsidR="00445B89">
        <w:rPr>
          <w:sz w:val="26"/>
          <w:szCs w:val="26"/>
          <w:lang w:val="es-ES"/>
        </w:rPr>
        <w:t>superior</w:t>
      </w:r>
      <w:r w:rsidR="00833432" w:rsidRPr="000E3A45">
        <w:rPr>
          <w:sz w:val="26"/>
          <w:szCs w:val="26"/>
          <w:lang w:val="es-ES"/>
        </w:rPr>
        <w:t xml:space="preserve"> en </w:t>
      </w:r>
      <w:r w:rsidR="00553826">
        <w:rPr>
          <w:sz w:val="26"/>
          <w:szCs w:val="26"/>
          <w:lang w:val="es-ES"/>
        </w:rPr>
        <w:t>seis</w:t>
      </w:r>
      <w:r w:rsidR="00445B89">
        <w:rPr>
          <w:sz w:val="26"/>
          <w:szCs w:val="26"/>
          <w:lang w:val="es-ES"/>
        </w:rPr>
        <w:t xml:space="preserve"> </w:t>
      </w:r>
      <w:r w:rsidR="00833432" w:rsidRPr="000E3A45">
        <w:rPr>
          <w:sz w:val="26"/>
          <w:szCs w:val="26"/>
          <w:lang w:val="es-ES"/>
        </w:rPr>
        <w:t xml:space="preserve">centésimas de punto con relación a </w:t>
      </w:r>
      <w:r w:rsidR="00445B89">
        <w:rPr>
          <w:sz w:val="26"/>
          <w:szCs w:val="26"/>
          <w:lang w:val="es-ES"/>
        </w:rPr>
        <w:t>diciembre pasado (2.15%), y 3</w:t>
      </w:r>
      <w:r w:rsidR="00553826">
        <w:rPr>
          <w:sz w:val="26"/>
          <w:szCs w:val="26"/>
          <w:lang w:val="es-ES"/>
        </w:rPr>
        <w:t>3</w:t>
      </w:r>
      <w:r w:rsidR="00445B89">
        <w:rPr>
          <w:sz w:val="26"/>
          <w:szCs w:val="26"/>
          <w:lang w:val="es-ES"/>
        </w:rPr>
        <w:t xml:space="preserve"> centésimas menos si se le compara con</w:t>
      </w:r>
      <w:r w:rsidR="00833432" w:rsidRPr="000E3A45">
        <w:rPr>
          <w:sz w:val="26"/>
          <w:szCs w:val="26"/>
          <w:lang w:val="es-ES"/>
        </w:rPr>
        <w:t xml:space="preserve"> la de </w:t>
      </w:r>
      <w:r w:rsidR="00553826">
        <w:rPr>
          <w:sz w:val="26"/>
          <w:szCs w:val="26"/>
          <w:lang w:val="es-ES"/>
        </w:rPr>
        <w:t>marzo</w:t>
      </w:r>
      <w:r w:rsidR="00833432" w:rsidRPr="000E3A45">
        <w:rPr>
          <w:sz w:val="26"/>
          <w:szCs w:val="26"/>
          <w:lang w:val="es-ES"/>
        </w:rPr>
        <w:t xml:space="preserve"> de 201</w:t>
      </w:r>
      <w:r w:rsidR="00372AC7">
        <w:rPr>
          <w:sz w:val="26"/>
          <w:szCs w:val="26"/>
          <w:lang w:val="es-ES"/>
        </w:rPr>
        <w:t>4</w:t>
      </w:r>
      <w:r w:rsidR="00833432" w:rsidRPr="000E3A45">
        <w:rPr>
          <w:sz w:val="26"/>
          <w:szCs w:val="26"/>
          <w:lang w:val="es-ES"/>
        </w:rPr>
        <w:t xml:space="preserve"> (</w:t>
      </w:r>
      <w:r w:rsidR="00553826">
        <w:rPr>
          <w:sz w:val="26"/>
          <w:szCs w:val="26"/>
          <w:lang w:val="es-ES"/>
        </w:rPr>
        <w:t>2.54</w:t>
      </w:r>
      <w:r w:rsidR="00833432" w:rsidRPr="000E3A45">
        <w:rPr>
          <w:sz w:val="26"/>
          <w:szCs w:val="26"/>
          <w:lang w:val="es-ES"/>
        </w:rPr>
        <w:t>%)</w:t>
      </w:r>
      <w:r w:rsidR="00DB2A13" w:rsidRPr="000E3A45">
        <w:rPr>
          <w:sz w:val="26"/>
          <w:szCs w:val="26"/>
          <w:lang w:val="es-ES"/>
        </w:rPr>
        <w:t>.</w:t>
      </w:r>
    </w:p>
    <w:p w14:paraId="52DDF987" w14:textId="39E70519" w:rsidR="00445B89" w:rsidRDefault="00445B89" w:rsidP="00833432">
      <w:pPr>
        <w:spacing w:after="360" w:line="360" w:lineRule="auto"/>
        <w:ind w:right="-159"/>
        <w:jc w:val="both"/>
        <w:rPr>
          <w:sz w:val="26"/>
          <w:szCs w:val="26"/>
          <w:lang w:val="es-ES"/>
        </w:rPr>
      </w:pPr>
      <w:r>
        <w:rPr>
          <w:sz w:val="26"/>
          <w:szCs w:val="26"/>
          <w:lang w:val="es-ES"/>
        </w:rPr>
        <w:lastRenderedPageBreak/>
        <w:t xml:space="preserve">Cabe destacar que durante el primer </w:t>
      </w:r>
      <w:r w:rsidR="00553826">
        <w:rPr>
          <w:sz w:val="26"/>
          <w:szCs w:val="26"/>
          <w:lang w:val="es-ES"/>
        </w:rPr>
        <w:t>tri</w:t>
      </w:r>
      <w:r>
        <w:rPr>
          <w:sz w:val="26"/>
          <w:szCs w:val="26"/>
          <w:lang w:val="es-ES"/>
        </w:rPr>
        <w:t>mestre de 2015, el CPP registró una tasa de interés promedio de 2.22%, lo que significó una disminución de 3</w:t>
      </w:r>
      <w:r w:rsidR="005C693D">
        <w:rPr>
          <w:sz w:val="26"/>
          <w:szCs w:val="26"/>
          <w:lang w:val="es-ES"/>
        </w:rPr>
        <w:t>5</w:t>
      </w:r>
      <w:r>
        <w:rPr>
          <w:sz w:val="26"/>
          <w:szCs w:val="26"/>
          <w:lang w:val="es-ES"/>
        </w:rPr>
        <w:t xml:space="preserve"> centésimas de punto porcentual respecto al mismo período de 2014 (2.5</w:t>
      </w:r>
      <w:r w:rsidR="00553826">
        <w:rPr>
          <w:sz w:val="26"/>
          <w:szCs w:val="26"/>
          <w:lang w:val="es-ES"/>
        </w:rPr>
        <w:t>7</w:t>
      </w:r>
      <w:r>
        <w:rPr>
          <w:sz w:val="26"/>
          <w:szCs w:val="26"/>
          <w:lang w:val="es-ES"/>
        </w:rPr>
        <w:t>%).</w:t>
      </w:r>
    </w:p>
    <w:p w14:paraId="05E5E54B" w14:textId="63E79CB9" w:rsidR="009C7184" w:rsidRPr="000E3A45" w:rsidRDefault="00227846" w:rsidP="009C7184">
      <w:pPr>
        <w:spacing w:after="360" w:line="360" w:lineRule="auto"/>
        <w:ind w:right="-159"/>
        <w:jc w:val="center"/>
        <w:rPr>
          <w:sz w:val="26"/>
          <w:szCs w:val="26"/>
          <w:lang w:val="es-ES"/>
        </w:rPr>
      </w:pPr>
      <w:r w:rsidRPr="00227846">
        <w:rPr>
          <w:rFonts w:ascii="Calibri" w:eastAsia="Calibri" w:hAnsi="Calibri"/>
          <w:sz w:val="22"/>
          <w:szCs w:val="22"/>
          <w:lang w:eastAsia="en-US"/>
        </w:rPr>
        <w:fldChar w:fldCharType="begin"/>
      </w:r>
      <w:r w:rsidRPr="00227846">
        <w:rPr>
          <w:rFonts w:ascii="Calibri" w:eastAsia="Calibri" w:hAnsi="Calibri"/>
          <w:sz w:val="22"/>
          <w:szCs w:val="22"/>
          <w:lang w:eastAsia="en-US"/>
        </w:rPr>
        <w:instrText xml:space="preserve"> LINK PowerPoint.Slide.8 "D:\\2015\\ABRIL\\GRÁFICAS POWER POINT\\5.- GRÁFICAS DE COSTOS PORCENTUALES.pptx!264" "" \a \p </w:instrText>
      </w:r>
      <w:r w:rsidRPr="00227846">
        <w:rPr>
          <w:rFonts w:ascii="Calibri" w:eastAsia="Calibri" w:hAnsi="Calibri"/>
          <w:sz w:val="22"/>
          <w:szCs w:val="22"/>
          <w:lang w:eastAsia="en-US"/>
        </w:rPr>
        <w:fldChar w:fldCharType="separate"/>
      </w:r>
      <w:r w:rsidRPr="00227846">
        <w:rPr>
          <w:rFonts w:ascii="Calibri" w:eastAsia="Calibri" w:hAnsi="Calibri"/>
          <w:noProof/>
          <w:sz w:val="22"/>
          <w:szCs w:val="22"/>
          <w:lang w:eastAsia="es-MX"/>
        </w:rPr>
        <w:drawing>
          <wp:inline distT="0" distB="0" distL="0" distR="0" wp14:anchorId="00A9037C" wp14:editId="0198F47A">
            <wp:extent cx="4263390" cy="3095625"/>
            <wp:effectExtent l="0" t="0" r="3810" b="9525"/>
            <wp:docPr id="1816" name="Imagen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446" cstate="print">
                      <a:extLst>
                        <a:ext uri="{28A0092B-C50C-407E-A947-70E740481C1C}">
                          <a14:useLocalDpi xmlns:a14="http://schemas.microsoft.com/office/drawing/2010/main" val="0"/>
                        </a:ext>
                      </a:extLst>
                    </a:blip>
                    <a:srcRect l="1920" t="5095" r="4703" b="4652"/>
                    <a:stretch>
                      <a:fillRect/>
                    </a:stretch>
                  </pic:blipFill>
                  <pic:spPr bwMode="auto">
                    <a:xfrm>
                      <a:off x="0" y="0"/>
                      <a:ext cx="4263390" cy="3095625"/>
                    </a:xfrm>
                    <a:prstGeom prst="rect">
                      <a:avLst/>
                    </a:prstGeom>
                    <a:noFill/>
                    <a:ln>
                      <a:noFill/>
                    </a:ln>
                  </pic:spPr>
                </pic:pic>
              </a:graphicData>
            </a:graphic>
          </wp:inline>
        </w:drawing>
      </w:r>
      <w:r w:rsidRPr="00227846">
        <w:rPr>
          <w:rFonts w:ascii="Calibri" w:eastAsia="Calibri" w:hAnsi="Calibri"/>
          <w:sz w:val="22"/>
          <w:szCs w:val="22"/>
          <w:lang w:eastAsia="en-US"/>
        </w:rPr>
        <w:fldChar w:fldCharType="end"/>
      </w:r>
    </w:p>
    <w:p w14:paraId="0559FA7C" w14:textId="77777777" w:rsidR="00093FAF" w:rsidRPr="000E3A45" w:rsidRDefault="00093FAF" w:rsidP="00334723">
      <w:pPr>
        <w:tabs>
          <w:tab w:val="left" w:pos="1800"/>
        </w:tabs>
        <w:ind w:right="-159"/>
        <w:jc w:val="both"/>
        <w:rPr>
          <w:b/>
          <w:sz w:val="20"/>
          <w:szCs w:val="20"/>
        </w:rPr>
      </w:pPr>
      <w:r w:rsidRPr="000E3A45">
        <w:rPr>
          <w:b/>
          <w:sz w:val="20"/>
          <w:szCs w:val="20"/>
        </w:rPr>
        <w:t xml:space="preserve">Fuente de información: </w:t>
      </w:r>
    </w:p>
    <w:p w14:paraId="67EB2888" w14:textId="77777777" w:rsidR="004A1C13" w:rsidRPr="00E146C7" w:rsidRDefault="0045651A" w:rsidP="00242D0E">
      <w:pPr>
        <w:spacing w:after="720"/>
        <w:ind w:right="-159"/>
        <w:jc w:val="both"/>
        <w:rPr>
          <w:rStyle w:val="Hipervnculo"/>
          <w:sz w:val="20"/>
          <w:szCs w:val="20"/>
        </w:rPr>
      </w:pPr>
      <w:hyperlink r:id="rId447" w:history="1">
        <w:r w:rsidR="008D67E2" w:rsidRPr="00E146C7">
          <w:rPr>
            <w:rStyle w:val="Hipervnculo"/>
            <w:sz w:val="20"/>
            <w:szCs w:val="20"/>
          </w:rPr>
          <w:t>http://www.banxico.org.mx/SieInternet/consultarDirectorioInternetAction.do?accion=consultarCuadro&amp;idCuadro=CF112&amp;sector=18&amp;locale=es</w:t>
        </w:r>
      </w:hyperlink>
    </w:p>
    <w:p w14:paraId="2947AA70" w14:textId="2C4E860A" w:rsidR="00D31904" w:rsidRPr="000E3A45" w:rsidRDefault="00D31904" w:rsidP="00D31904">
      <w:pPr>
        <w:ind w:right="-159"/>
        <w:jc w:val="both"/>
        <w:rPr>
          <w:b/>
          <w:sz w:val="26"/>
          <w:szCs w:val="26"/>
        </w:rPr>
      </w:pPr>
      <w:r w:rsidRPr="000E3A45">
        <w:rPr>
          <w:b/>
          <w:sz w:val="26"/>
          <w:szCs w:val="26"/>
        </w:rPr>
        <w:t xml:space="preserve">Costo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 xml:space="preserve">Captación </w:t>
      </w:r>
      <w:r w:rsidR="00372AC7">
        <w:rPr>
          <w:b/>
          <w:sz w:val="26"/>
          <w:szCs w:val="26"/>
        </w:rPr>
        <w:t xml:space="preserve">  </w:t>
      </w:r>
      <w:r w:rsidRPr="000E3A45">
        <w:rPr>
          <w:b/>
          <w:sz w:val="26"/>
          <w:szCs w:val="26"/>
        </w:rPr>
        <w:t>a</w:t>
      </w:r>
      <w:r w:rsidR="00372AC7">
        <w:rPr>
          <w:b/>
          <w:sz w:val="26"/>
          <w:szCs w:val="26"/>
        </w:rPr>
        <w:t xml:space="preserve">  </w:t>
      </w:r>
      <w:r w:rsidRPr="000E3A45">
        <w:rPr>
          <w:b/>
          <w:sz w:val="26"/>
          <w:szCs w:val="26"/>
        </w:rPr>
        <w:t xml:space="preserve"> Plazo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Pasivos</w:t>
      </w:r>
    </w:p>
    <w:p w14:paraId="3D62461B" w14:textId="25113126" w:rsidR="00D31904" w:rsidRPr="000E3A45" w:rsidRDefault="00372AC7" w:rsidP="00D31904">
      <w:pPr>
        <w:spacing w:after="360" w:line="360" w:lineRule="auto"/>
        <w:ind w:right="-159"/>
        <w:jc w:val="both"/>
        <w:rPr>
          <w:sz w:val="26"/>
          <w:szCs w:val="26"/>
        </w:rPr>
      </w:pPr>
      <w:r>
        <w:rPr>
          <w:b/>
          <w:sz w:val="26"/>
          <w:szCs w:val="26"/>
        </w:rPr>
        <w:t xml:space="preserve">denominados </w:t>
      </w:r>
      <w:r w:rsidR="00D31904" w:rsidRPr="000E3A45">
        <w:rPr>
          <w:b/>
          <w:sz w:val="26"/>
          <w:szCs w:val="26"/>
        </w:rPr>
        <w:t>en moneda nacional (CCP-pesos)</w:t>
      </w:r>
    </w:p>
    <w:p w14:paraId="7E285538" w14:textId="77777777" w:rsidR="00D31904" w:rsidRPr="000E3A45" w:rsidRDefault="00D31904" w:rsidP="00D31904">
      <w:pPr>
        <w:spacing w:after="360" w:line="420" w:lineRule="exact"/>
        <w:ind w:right="-159"/>
        <w:jc w:val="both"/>
        <w:rPr>
          <w:sz w:val="26"/>
          <w:szCs w:val="26"/>
          <w:lang w:val="es-ES"/>
        </w:rPr>
      </w:pPr>
      <w:r w:rsidRPr="000E3A45">
        <w:rPr>
          <w:sz w:val="26"/>
          <w:szCs w:val="26"/>
        </w:rPr>
        <w:t>El CCP-pesos</w:t>
      </w:r>
      <w:r w:rsidRPr="000E3A45">
        <w:rPr>
          <w:sz w:val="26"/>
          <w:szCs w:val="26"/>
          <w:lang w:val="es-ES"/>
        </w:rPr>
        <w:t xml:space="preserve"> incluye las tasas de interés de los pasivos a plazo en moneda nacional a cargo de la banca múltiple, excepto los pasivos que se derivan de obligaciones subordinadas susceptibles de conversión a capital, del otorgamiento de avales y de la celebración de operaciones entre instituciones de crédito.</w:t>
      </w:r>
    </w:p>
    <w:p w14:paraId="6C5A3642" w14:textId="6EBB7169" w:rsidR="00833432" w:rsidRDefault="00D31904" w:rsidP="00D31904">
      <w:pPr>
        <w:spacing w:after="360" w:line="360" w:lineRule="auto"/>
        <w:ind w:right="-159"/>
        <w:jc w:val="both"/>
        <w:rPr>
          <w:sz w:val="26"/>
          <w:szCs w:val="26"/>
          <w:lang w:val="es-ES"/>
        </w:rPr>
      </w:pPr>
      <w:r w:rsidRPr="000E3A45">
        <w:rPr>
          <w:sz w:val="26"/>
          <w:szCs w:val="26"/>
          <w:lang w:val="es-ES"/>
        </w:rPr>
        <w:t xml:space="preserve">El CCP denominado en pesos registró en </w:t>
      </w:r>
      <w:r w:rsidR="00553826">
        <w:rPr>
          <w:sz w:val="26"/>
          <w:szCs w:val="26"/>
          <w:lang w:val="es-ES"/>
        </w:rPr>
        <w:t>marzo</w:t>
      </w:r>
      <w:r w:rsidRPr="000E3A45">
        <w:rPr>
          <w:sz w:val="26"/>
          <w:szCs w:val="26"/>
          <w:lang w:val="es-ES"/>
        </w:rPr>
        <w:t xml:space="preserve"> de 201</w:t>
      </w:r>
      <w:r w:rsidR="00372AC7">
        <w:rPr>
          <w:sz w:val="26"/>
          <w:szCs w:val="26"/>
          <w:lang w:val="es-ES"/>
        </w:rPr>
        <w:t>5</w:t>
      </w:r>
      <w:r w:rsidRPr="000E3A45">
        <w:rPr>
          <w:sz w:val="26"/>
          <w:szCs w:val="26"/>
          <w:lang w:val="es-ES"/>
        </w:rPr>
        <w:t>, una tasa de rendimiento anual de 3.</w:t>
      </w:r>
      <w:r w:rsidR="005C7727" w:rsidRPr="000E3A45">
        <w:rPr>
          <w:sz w:val="26"/>
          <w:szCs w:val="26"/>
          <w:lang w:val="es-ES"/>
        </w:rPr>
        <w:t>0</w:t>
      </w:r>
      <w:r w:rsidRPr="000E3A45">
        <w:rPr>
          <w:sz w:val="26"/>
          <w:szCs w:val="26"/>
          <w:lang w:val="es-ES"/>
        </w:rPr>
        <w:t xml:space="preserve">%, porcentaje </w:t>
      </w:r>
      <w:r w:rsidR="00553826">
        <w:rPr>
          <w:sz w:val="26"/>
          <w:szCs w:val="26"/>
          <w:lang w:val="es-ES"/>
        </w:rPr>
        <w:t xml:space="preserve">menor en una centésima de punto porcentual </w:t>
      </w:r>
      <w:r w:rsidR="00B84E29">
        <w:rPr>
          <w:sz w:val="26"/>
          <w:szCs w:val="26"/>
          <w:lang w:val="es-ES"/>
        </w:rPr>
        <w:t xml:space="preserve">al observado en </w:t>
      </w:r>
      <w:r w:rsidR="00553826">
        <w:rPr>
          <w:sz w:val="26"/>
          <w:szCs w:val="26"/>
          <w:lang w:val="es-ES"/>
        </w:rPr>
        <w:t>febrer</w:t>
      </w:r>
      <w:r w:rsidR="00B84E29">
        <w:rPr>
          <w:sz w:val="26"/>
          <w:szCs w:val="26"/>
          <w:lang w:val="es-ES"/>
        </w:rPr>
        <w:t xml:space="preserve">o pasado (3.01%), inferior en </w:t>
      </w:r>
      <w:r w:rsidR="00553826">
        <w:rPr>
          <w:sz w:val="26"/>
          <w:szCs w:val="26"/>
          <w:lang w:val="es-ES"/>
        </w:rPr>
        <w:t>tres</w:t>
      </w:r>
      <w:r w:rsidR="00B84E29">
        <w:rPr>
          <w:sz w:val="26"/>
          <w:szCs w:val="26"/>
          <w:lang w:val="es-ES"/>
        </w:rPr>
        <w:t xml:space="preserve"> centésimas de punto </w:t>
      </w:r>
      <w:r w:rsidRPr="000E3A45">
        <w:rPr>
          <w:sz w:val="26"/>
          <w:szCs w:val="26"/>
          <w:lang w:val="es-ES"/>
        </w:rPr>
        <w:t xml:space="preserve">con respecto a </w:t>
      </w:r>
      <w:r w:rsidR="00372AC7">
        <w:rPr>
          <w:sz w:val="26"/>
          <w:szCs w:val="26"/>
          <w:lang w:val="es-ES"/>
        </w:rPr>
        <w:t>diciembre</w:t>
      </w:r>
      <w:r w:rsidR="00E85466" w:rsidRPr="000E3A45">
        <w:rPr>
          <w:sz w:val="26"/>
          <w:szCs w:val="26"/>
          <w:lang w:val="es-ES"/>
        </w:rPr>
        <w:t xml:space="preserve"> </w:t>
      </w:r>
      <w:r w:rsidRPr="000E3A45">
        <w:rPr>
          <w:sz w:val="26"/>
          <w:szCs w:val="26"/>
          <w:lang w:val="es-ES"/>
        </w:rPr>
        <w:lastRenderedPageBreak/>
        <w:t>anterior (3.</w:t>
      </w:r>
      <w:r w:rsidR="00886682" w:rsidRPr="000E3A45">
        <w:rPr>
          <w:sz w:val="26"/>
          <w:szCs w:val="26"/>
          <w:lang w:val="es-ES"/>
        </w:rPr>
        <w:t>0</w:t>
      </w:r>
      <w:r w:rsidR="00372AC7">
        <w:rPr>
          <w:sz w:val="26"/>
          <w:szCs w:val="26"/>
          <w:lang w:val="es-ES"/>
        </w:rPr>
        <w:t>3</w:t>
      </w:r>
      <w:r w:rsidRPr="000E3A45">
        <w:rPr>
          <w:sz w:val="26"/>
          <w:szCs w:val="26"/>
          <w:lang w:val="es-ES"/>
        </w:rPr>
        <w:t xml:space="preserve">%), </w:t>
      </w:r>
      <w:r w:rsidR="00B84E29">
        <w:rPr>
          <w:sz w:val="26"/>
          <w:szCs w:val="26"/>
          <w:lang w:val="es-ES"/>
        </w:rPr>
        <w:t xml:space="preserve">y menor en </w:t>
      </w:r>
      <w:r w:rsidRPr="000E3A45">
        <w:rPr>
          <w:sz w:val="26"/>
          <w:szCs w:val="26"/>
          <w:lang w:val="es-ES"/>
        </w:rPr>
        <w:t xml:space="preserve"> en </w:t>
      </w:r>
      <w:r w:rsidR="005C7727" w:rsidRPr="000E3A45">
        <w:rPr>
          <w:sz w:val="26"/>
          <w:szCs w:val="26"/>
          <w:lang w:val="es-ES"/>
        </w:rPr>
        <w:t>4</w:t>
      </w:r>
      <w:r w:rsidR="00553826">
        <w:rPr>
          <w:sz w:val="26"/>
          <w:szCs w:val="26"/>
          <w:lang w:val="es-ES"/>
        </w:rPr>
        <w:t>4</w:t>
      </w:r>
      <w:r w:rsidR="00F04532" w:rsidRPr="000E3A45">
        <w:rPr>
          <w:sz w:val="26"/>
          <w:szCs w:val="26"/>
          <w:lang w:val="es-ES"/>
        </w:rPr>
        <w:t xml:space="preserve"> </w:t>
      </w:r>
      <w:r w:rsidR="00445159" w:rsidRPr="000E3A45">
        <w:rPr>
          <w:sz w:val="26"/>
          <w:szCs w:val="26"/>
          <w:lang w:val="es-ES"/>
        </w:rPr>
        <w:t xml:space="preserve">centésimas de punto con relación a </w:t>
      </w:r>
      <w:r w:rsidR="00553826">
        <w:rPr>
          <w:sz w:val="26"/>
          <w:szCs w:val="26"/>
          <w:lang w:val="es-ES"/>
        </w:rPr>
        <w:t>marzo</w:t>
      </w:r>
      <w:r w:rsidR="00372AC7">
        <w:rPr>
          <w:sz w:val="26"/>
          <w:szCs w:val="26"/>
          <w:lang w:val="es-ES"/>
        </w:rPr>
        <w:t xml:space="preserve"> de 2014</w:t>
      </w:r>
      <w:r w:rsidR="00445159" w:rsidRPr="000E3A45">
        <w:rPr>
          <w:sz w:val="26"/>
          <w:szCs w:val="26"/>
          <w:lang w:val="es-ES"/>
        </w:rPr>
        <w:t xml:space="preserve"> (3.</w:t>
      </w:r>
      <w:r w:rsidR="00372AC7">
        <w:rPr>
          <w:sz w:val="26"/>
          <w:szCs w:val="26"/>
          <w:lang w:val="es-ES"/>
        </w:rPr>
        <w:t>4</w:t>
      </w:r>
      <w:r w:rsidR="00553826">
        <w:rPr>
          <w:sz w:val="26"/>
          <w:szCs w:val="26"/>
          <w:lang w:val="es-ES"/>
        </w:rPr>
        <w:t>4</w:t>
      </w:r>
      <w:r w:rsidR="00445159" w:rsidRPr="000E3A45">
        <w:rPr>
          <w:sz w:val="26"/>
          <w:szCs w:val="26"/>
          <w:lang w:val="es-ES"/>
        </w:rPr>
        <w:t>%)</w:t>
      </w:r>
      <w:r w:rsidR="0089684C" w:rsidRPr="000E3A45">
        <w:rPr>
          <w:sz w:val="26"/>
          <w:szCs w:val="26"/>
          <w:lang w:val="es-ES"/>
        </w:rPr>
        <w:t>.</w:t>
      </w:r>
    </w:p>
    <w:p w14:paraId="500FF666" w14:textId="14C6C617" w:rsidR="00B84E29" w:rsidRPr="000E3A45" w:rsidRDefault="00B84E29" w:rsidP="00D31904">
      <w:pPr>
        <w:spacing w:after="360" w:line="360" w:lineRule="auto"/>
        <w:ind w:right="-159"/>
        <w:jc w:val="both"/>
        <w:rPr>
          <w:sz w:val="26"/>
          <w:szCs w:val="26"/>
          <w:lang w:val="es-ES"/>
        </w:rPr>
      </w:pPr>
      <w:r>
        <w:rPr>
          <w:sz w:val="26"/>
          <w:szCs w:val="26"/>
          <w:lang w:val="es-ES"/>
        </w:rPr>
        <w:t>Asimismo, durante el período enero-</w:t>
      </w:r>
      <w:r w:rsidR="00553826">
        <w:rPr>
          <w:sz w:val="26"/>
          <w:szCs w:val="26"/>
          <w:lang w:val="es-ES"/>
        </w:rPr>
        <w:t>marzo</w:t>
      </w:r>
      <w:r>
        <w:rPr>
          <w:sz w:val="26"/>
          <w:szCs w:val="26"/>
          <w:lang w:val="es-ES"/>
        </w:rPr>
        <w:t xml:space="preserve"> de 2015, el CPP denominado en pesos registró una tasa de </w:t>
      </w:r>
      <w:r w:rsidR="005C693D">
        <w:rPr>
          <w:sz w:val="26"/>
          <w:szCs w:val="26"/>
          <w:lang w:val="es-ES"/>
        </w:rPr>
        <w:t>interés</w:t>
      </w:r>
      <w:r>
        <w:rPr>
          <w:sz w:val="26"/>
          <w:szCs w:val="26"/>
          <w:lang w:val="es-ES"/>
        </w:rPr>
        <w:t xml:space="preserve"> anual promedio de 3.01%, lo que representó una reducción de 4</w:t>
      </w:r>
      <w:r w:rsidR="00553826">
        <w:rPr>
          <w:sz w:val="26"/>
          <w:szCs w:val="26"/>
          <w:lang w:val="es-ES"/>
        </w:rPr>
        <w:t>5</w:t>
      </w:r>
      <w:r>
        <w:rPr>
          <w:sz w:val="26"/>
          <w:szCs w:val="26"/>
          <w:lang w:val="es-ES"/>
        </w:rPr>
        <w:t xml:space="preserve"> centésimas de puntos con respecto al mismo lapso del año anterior</w:t>
      </w:r>
      <w:r w:rsidR="00553826">
        <w:rPr>
          <w:sz w:val="26"/>
          <w:szCs w:val="26"/>
          <w:lang w:val="es-ES"/>
        </w:rPr>
        <w:t xml:space="preserve"> (3.46%)</w:t>
      </w:r>
      <w:r>
        <w:rPr>
          <w:sz w:val="26"/>
          <w:szCs w:val="26"/>
          <w:lang w:val="es-ES"/>
        </w:rPr>
        <w:t>.</w:t>
      </w:r>
    </w:p>
    <w:p w14:paraId="2A2357BC" w14:textId="3CAA27E6" w:rsidR="00833432" w:rsidRPr="000E3A45" w:rsidRDefault="00956231" w:rsidP="009273D9">
      <w:pPr>
        <w:spacing w:after="360"/>
        <w:ind w:right="-159"/>
        <w:jc w:val="center"/>
        <w:rPr>
          <w:sz w:val="26"/>
          <w:szCs w:val="26"/>
        </w:rPr>
      </w:pPr>
      <w:r w:rsidRPr="00956231">
        <w:rPr>
          <w:rFonts w:ascii="Calibri" w:eastAsia="Calibri" w:hAnsi="Calibri"/>
          <w:sz w:val="22"/>
          <w:szCs w:val="22"/>
          <w:lang w:eastAsia="en-US"/>
        </w:rPr>
        <w:fldChar w:fldCharType="begin"/>
      </w:r>
      <w:r w:rsidRPr="00956231">
        <w:rPr>
          <w:rFonts w:ascii="Calibri" w:eastAsia="Calibri" w:hAnsi="Calibri"/>
          <w:sz w:val="22"/>
          <w:szCs w:val="22"/>
          <w:lang w:eastAsia="en-US"/>
        </w:rPr>
        <w:instrText xml:space="preserve"> LINK PowerPoint.Slide.8 "D:\\2015\\ABRIL\\GRÁFICAS POWER POINT\\5.- GRÁFICAS DE COSTOS PORCENTUALES.pptx!273" "" \a \p </w:instrText>
      </w:r>
      <w:r w:rsidRPr="00956231">
        <w:rPr>
          <w:rFonts w:ascii="Calibri" w:eastAsia="Calibri" w:hAnsi="Calibri"/>
          <w:sz w:val="22"/>
          <w:szCs w:val="22"/>
          <w:lang w:eastAsia="en-US"/>
        </w:rPr>
        <w:fldChar w:fldCharType="separate"/>
      </w:r>
      <w:r w:rsidRPr="00956231">
        <w:rPr>
          <w:rFonts w:ascii="Calibri" w:eastAsia="Calibri" w:hAnsi="Calibri"/>
          <w:noProof/>
          <w:sz w:val="22"/>
          <w:szCs w:val="22"/>
          <w:lang w:eastAsia="es-MX"/>
        </w:rPr>
        <w:drawing>
          <wp:inline distT="0" distB="0" distL="0" distR="0" wp14:anchorId="046AEF59" wp14:editId="701DA75A">
            <wp:extent cx="4343400" cy="3126105"/>
            <wp:effectExtent l="0" t="0" r="0" b="0"/>
            <wp:docPr id="1593" name="Imagen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448" cstate="print">
                      <a:extLst>
                        <a:ext uri="{28A0092B-C50C-407E-A947-70E740481C1C}">
                          <a14:useLocalDpi xmlns:a14="http://schemas.microsoft.com/office/drawing/2010/main" val="0"/>
                        </a:ext>
                      </a:extLst>
                    </a:blip>
                    <a:srcRect l="1462" t="4167" r="3340" b="4723"/>
                    <a:stretch>
                      <a:fillRect/>
                    </a:stretch>
                  </pic:blipFill>
                  <pic:spPr bwMode="auto">
                    <a:xfrm>
                      <a:off x="0" y="0"/>
                      <a:ext cx="4343400" cy="3126105"/>
                    </a:xfrm>
                    <a:prstGeom prst="rect">
                      <a:avLst/>
                    </a:prstGeom>
                    <a:noFill/>
                    <a:ln>
                      <a:noFill/>
                    </a:ln>
                  </pic:spPr>
                </pic:pic>
              </a:graphicData>
            </a:graphic>
          </wp:inline>
        </w:drawing>
      </w:r>
      <w:r w:rsidRPr="00956231">
        <w:rPr>
          <w:rFonts w:ascii="Calibri" w:eastAsia="Calibri" w:hAnsi="Calibri"/>
          <w:sz w:val="22"/>
          <w:szCs w:val="22"/>
          <w:lang w:eastAsia="en-US"/>
        </w:rPr>
        <w:fldChar w:fldCharType="end"/>
      </w:r>
    </w:p>
    <w:p w14:paraId="28E984D1" w14:textId="77777777" w:rsidR="00093FAF" w:rsidRPr="000E3A45" w:rsidRDefault="00093FAF" w:rsidP="00093FAF">
      <w:pPr>
        <w:ind w:right="-159"/>
        <w:jc w:val="both"/>
        <w:rPr>
          <w:b/>
          <w:sz w:val="20"/>
          <w:szCs w:val="20"/>
        </w:rPr>
      </w:pPr>
      <w:r w:rsidRPr="000E3A45">
        <w:rPr>
          <w:b/>
          <w:sz w:val="20"/>
          <w:szCs w:val="20"/>
        </w:rPr>
        <w:t xml:space="preserve">Fuente de información: </w:t>
      </w:r>
    </w:p>
    <w:p w14:paraId="2198FE46" w14:textId="77777777" w:rsidR="007E68AF" w:rsidRPr="00E146C7" w:rsidRDefault="0045651A" w:rsidP="00242D0E">
      <w:pPr>
        <w:spacing w:after="720"/>
        <w:ind w:right="-159"/>
        <w:jc w:val="both"/>
        <w:rPr>
          <w:color w:val="0000FF"/>
          <w:sz w:val="20"/>
          <w:szCs w:val="20"/>
        </w:rPr>
      </w:pPr>
      <w:hyperlink r:id="rId449" w:history="1">
        <w:r w:rsidR="008D67E2" w:rsidRPr="00E146C7">
          <w:rPr>
            <w:rStyle w:val="Hipervnculo"/>
            <w:sz w:val="20"/>
            <w:szCs w:val="20"/>
          </w:rPr>
          <w:t>http://www.banxico.org.mx/SieInternet/consultarDirectorioInternetAction.do?accion=consultarCuadro&amp;idCuadro=CF112&amp;sector=18&amp;locale=es</w:t>
        </w:r>
      </w:hyperlink>
    </w:p>
    <w:p w14:paraId="055F8DB0" w14:textId="3DAED579" w:rsidR="00905A4D" w:rsidRPr="000E3A45" w:rsidRDefault="007836E1" w:rsidP="00747268">
      <w:pPr>
        <w:ind w:right="-159"/>
        <w:jc w:val="both"/>
        <w:rPr>
          <w:b/>
          <w:sz w:val="26"/>
          <w:szCs w:val="26"/>
        </w:rPr>
      </w:pPr>
      <w:r w:rsidRPr="000E3A45">
        <w:rPr>
          <w:b/>
          <w:sz w:val="26"/>
          <w:szCs w:val="26"/>
        </w:rPr>
        <w:t xml:space="preserve">Costo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 xml:space="preserve">Captación </w:t>
      </w:r>
      <w:r w:rsidR="00372AC7">
        <w:rPr>
          <w:b/>
          <w:sz w:val="26"/>
          <w:szCs w:val="26"/>
        </w:rPr>
        <w:t xml:space="preserve">    </w:t>
      </w:r>
      <w:r w:rsidRPr="000E3A45">
        <w:rPr>
          <w:b/>
          <w:sz w:val="26"/>
          <w:szCs w:val="26"/>
        </w:rPr>
        <w:t xml:space="preserve">a </w:t>
      </w:r>
      <w:r w:rsidR="00372AC7">
        <w:rPr>
          <w:b/>
          <w:sz w:val="26"/>
          <w:szCs w:val="26"/>
        </w:rPr>
        <w:t xml:space="preserve">    </w:t>
      </w:r>
      <w:r w:rsidRPr="000E3A45">
        <w:rPr>
          <w:b/>
          <w:sz w:val="26"/>
          <w:szCs w:val="26"/>
        </w:rPr>
        <w:t xml:space="preserve">Plazo </w:t>
      </w:r>
      <w:r w:rsidR="00372AC7">
        <w:rPr>
          <w:b/>
          <w:sz w:val="26"/>
          <w:szCs w:val="26"/>
        </w:rPr>
        <w:t xml:space="preserve">    </w:t>
      </w:r>
      <w:r w:rsidRPr="000E3A45">
        <w:rPr>
          <w:b/>
          <w:sz w:val="26"/>
          <w:szCs w:val="26"/>
        </w:rPr>
        <w:t xml:space="preserve">de </w:t>
      </w:r>
      <w:r w:rsidR="00372AC7">
        <w:rPr>
          <w:b/>
          <w:sz w:val="26"/>
          <w:szCs w:val="26"/>
        </w:rPr>
        <w:t xml:space="preserve">    </w:t>
      </w:r>
      <w:r w:rsidRPr="000E3A45">
        <w:rPr>
          <w:b/>
          <w:sz w:val="26"/>
          <w:szCs w:val="26"/>
        </w:rPr>
        <w:t>Pasivos</w:t>
      </w:r>
    </w:p>
    <w:p w14:paraId="3DCB4CA3" w14:textId="2C1282CE" w:rsidR="007836E1" w:rsidRPr="000E3A45" w:rsidRDefault="00372AC7" w:rsidP="00905A4D">
      <w:pPr>
        <w:spacing w:after="360" w:line="360" w:lineRule="auto"/>
        <w:ind w:right="-159"/>
        <w:jc w:val="both"/>
        <w:rPr>
          <w:b/>
          <w:sz w:val="26"/>
          <w:szCs w:val="26"/>
        </w:rPr>
      </w:pPr>
      <w:r>
        <w:rPr>
          <w:b/>
          <w:sz w:val="26"/>
          <w:szCs w:val="26"/>
        </w:rPr>
        <w:t xml:space="preserve">denominados </w:t>
      </w:r>
      <w:r w:rsidR="00747268" w:rsidRPr="000E3A45">
        <w:rPr>
          <w:b/>
          <w:sz w:val="26"/>
          <w:szCs w:val="26"/>
        </w:rPr>
        <w:t>en Unidades de Inversión (C</w:t>
      </w:r>
      <w:r w:rsidR="004C320F" w:rsidRPr="000E3A45">
        <w:rPr>
          <w:b/>
          <w:sz w:val="26"/>
          <w:szCs w:val="26"/>
        </w:rPr>
        <w:t>C</w:t>
      </w:r>
      <w:r w:rsidR="00747268" w:rsidRPr="000E3A45">
        <w:rPr>
          <w:b/>
          <w:sz w:val="26"/>
          <w:szCs w:val="26"/>
        </w:rPr>
        <w:t>P-Udis)</w:t>
      </w:r>
    </w:p>
    <w:p w14:paraId="3B47EFCB" w14:textId="77777777" w:rsidR="00747268" w:rsidRPr="000E3A45" w:rsidRDefault="00263ECA" w:rsidP="00747268">
      <w:pPr>
        <w:spacing w:after="360" w:line="360" w:lineRule="auto"/>
        <w:ind w:right="-159"/>
        <w:jc w:val="both"/>
        <w:rPr>
          <w:sz w:val="26"/>
          <w:szCs w:val="26"/>
        </w:rPr>
      </w:pPr>
      <w:r w:rsidRPr="000E3A45">
        <w:rPr>
          <w:sz w:val="26"/>
          <w:szCs w:val="26"/>
        </w:rPr>
        <w:t>E</w:t>
      </w:r>
      <w:r w:rsidR="00747268" w:rsidRPr="000E3A45">
        <w:rPr>
          <w:sz w:val="26"/>
          <w:szCs w:val="26"/>
        </w:rPr>
        <w:t xml:space="preserve">n el CCP-Udis se toma en cuenta el mismo tipo de instrumentos que se incluyen en el CCP, pero que están denominados en Udis; esto es, incluye los pasivos a plazo en moneda nacional a cargo de la banca múltiple, excepto los pasivos que se derivan de obligaciones subordinadas susceptibles de conversión a capital, del otorgamiento de </w:t>
      </w:r>
      <w:r w:rsidR="00747268" w:rsidRPr="000E3A45">
        <w:rPr>
          <w:sz w:val="26"/>
          <w:szCs w:val="26"/>
        </w:rPr>
        <w:lastRenderedPageBreak/>
        <w:t>avales y de la celebración de operaciones entre instituciones de crédito, pero que están denominados en Unidades de Inversión (Udis).</w:t>
      </w:r>
    </w:p>
    <w:p w14:paraId="51C70BC6" w14:textId="318FDEA7" w:rsidR="00D31904" w:rsidRDefault="00D31904" w:rsidP="00747268">
      <w:pPr>
        <w:spacing w:after="360" w:line="360" w:lineRule="auto"/>
        <w:ind w:right="-159"/>
        <w:jc w:val="both"/>
        <w:rPr>
          <w:sz w:val="26"/>
          <w:szCs w:val="26"/>
        </w:rPr>
      </w:pPr>
      <w:r w:rsidRPr="000E3A45">
        <w:rPr>
          <w:sz w:val="26"/>
          <w:szCs w:val="26"/>
        </w:rPr>
        <w:t xml:space="preserve">En </w:t>
      </w:r>
      <w:r w:rsidR="00E36015" w:rsidRPr="000E3A45">
        <w:rPr>
          <w:sz w:val="26"/>
          <w:szCs w:val="26"/>
        </w:rPr>
        <w:t xml:space="preserve">el </w:t>
      </w:r>
      <w:r w:rsidR="00553826">
        <w:rPr>
          <w:sz w:val="26"/>
          <w:szCs w:val="26"/>
        </w:rPr>
        <w:t>tercer</w:t>
      </w:r>
      <w:r w:rsidR="0089684C" w:rsidRPr="000E3A45">
        <w:rPr>
          <w:sz w:val="26"/>
          <w:szCs w:val="26"/>
        </w:rPr>
        <w:t xml:space="preserve"> </w:t>
      </w:r>
      <w:r w:rsidR="00E36015" w:rsidRPr="000E3A45">
        <w:rPr>
          <w:sz w:val="26"/>
          <w:szCs w:val="26"/>
        </w:rPr>
        <w:t xml:space="preserve">mes de </w:t>
      </w:r>
      <w:r w:rsidRPr="000E3A45">
        <w:rPr>
          <w:sz w:val="26"/>
          <w:szCs w:val="26"/>
        </w:rPr>
        <w:t>201</w:t>
      </w:r>
      <w:r w:rsidR="00372AC7">
        <w:rPr>
          <w:sz w:val="26"/>
          <w:szCs w:val="26"/>
        </w:rPr>
        <w:t>5</w:t>
      </w:r>
      <w:r w:rsidRPr="000E3A45">
        <w:rPr>
          <w:sz w:val="26"/>
          <w:szCs w:val="26"/>
        </w:rPr>
        <w:t>, de acuerdo con información del Banco de México (Banxico), el CCP-Udis se ubicó en una tasa de interés anual de 4.</w:t>
      </w:r>
      <w:r w:rsidR="00E85466" w:rsidRPr="000E3A45">
        <w:rPr>
          <w:sz w:val="26"/>
          <w:szCs w:val="26"/>
        </w:rPr>
        <w:t>3</w:t>
      </w:r>
      <w:r w:rsidR="00E36015" w:rsidRPr="000E3A45">
        <w:rPr>
          <w:sz w:val="26"/>
          <w:szCs w:val="26"/>
        </w:rPr>
        <w:t>2</w:t>
      </w:r>
      <w:r w:rsidRPr="000E3A45">
        <w:rPr>
          <w:sz w:val="26"/>
          <w:szCs w:val="26"/>
        </w:rPr>
        <w:t xml:space="preserve">%, cifra </w:t>
      </w:r>
      <w:r w:rsidR="00764E1A" w:rsidRPr="000E3A45">
        <w:rPr>
          <w:sz w:val="26"/>
          <w:szCs w:val="26"/>
        </w:rPr>
        <w:t>idéntica</w:t>
      </w:r>
      <w:r w:rsidR="00905F1B" w:rsidRPr="000E3A45">
        <w:rPr>
          <w:sz w:val="26"/>
          <w:szCs w:val="26"/>
        </w:rPr>
        <w:t xml:space="preserve"> </w:t>
      </w:r>
      <w:r w:rsidR="00764E1A" w:rsidRPr="000E3A45">
        <w:rPr>
          <w:sz w:val="26"/>
          <w:szCs w:val="26"/>
        </w:rPr>
        <w:t xml:space="preserve">a </w:t>
      </w:r>
      <w:r w:rsidR="00905F1B" w:rsidRPr="000E3A45">
        <w:rPr>
          <w:sz w:val="26"/>
          <w:szCs w:val="26"/>
        </w:rPr>
        <w:t xml:space="preserve">la </w:t>
      </w:r>
      <w:r w:rsidR="00553826">
        <w:rPr>
          <w:sz w:val="26"/>
          <w:szCs w:val="26"/>
        </w:rPr>
        <w:t>registrada</w:t>
      </w:r>
      <w:r w:rsidR="00905F1B" w:rsidRPr="000E3A45">
        <w:rPr>
          <w:sz w:val="26"/>
          <w:szCs w:val="26"/>
        </w:rPr>
        <w:t xml:space="preserve"> en </w:t>
      </w:r>
      <w:r w:rsidR="00B84E29">
        <w:rPr>
          <w:sz w:val="26"/>
          <w:szCs w:val="26"/>
        </w:rPr>
        <w:t>febrero y diciembre</w:t>
      </w:r>
      <w:r w:rsidR="000D254C">
        <w:rPr>
          <w:sz w:val="26"/>
          <w:szCs w:val="26"/>
        </w:rPr>
        <w:t xml:space="preserve"> pasado</w:t>
      </w:r>
      <w:r w:rsidR="0011560C">
        <w:rPr>
          <w:sz w:val="26"/>
          <w:szCs w:val="26"/>
        </w:rPr>
        <w:t xml:space="preserve"> </w:t>
      </w:r>
      <w:r w:rsidR="00B84E29">
        <w:rPr>
          <w:sz w:val="26"/>
          <w:szCs w:val="26"/>
        </w:rPr>
        <w:t xml:space="preserve">(4.32%), </w:t>
      </w:r>
      <w:r w:rsidR="00F04532" w:rsidRPr="000E3A45">
        <w:rPr>
          <w:sz w:val="26"/>
          <w:szCs w:val="26"/>
        </w:rPr>
        <w:t xml:space="preserve"> </w:t>
      </w:r>
      <w:r w:rsidR="0089684C" w:rsidRPr="000E3A45">
        <w:rPr>
          <w:sz w:val="26"/>
          <w:szCs w:val="26"/>
        </w:rPr>
        <w:t xml:space="preserve">y </w:t>
      </w:r>
      <w:r w:rsidR="00E85466" w:rsidRPr="000E3A45">
        <w:rPr>
          <w:sz w:val="26"/>
          <w:szCs w:val="26"/>
        </w:rPr>
        <w:t>s</w:t>
      </w:r>
      <w:r w:rsidR="00E36015" w:rsidRPr="000E3A45">
        <w:rPr>
          <w:sz w:val="26"/>
          <w:szCs w:val="26"/>
        </w:rPr>
        <w:t>e</w:t>
      </w:r>
      <w:r w:rsidR="00553826">
        <w:rPr>
          <w:sz w:val="26"/>
          <w:szCs w:val="26"/>
        </w:rPr>
        <w:t>is</w:t>
      </w:r>
      <w:r w:rsidR="00E36015" w:rsidRPr="000E3A45">
        <w:rPr>
          <w:sz w:val="26"/>
          <w:szCs w:val="26"/>
        </w:rPr>
        <w:t xml:space="preserve"> </w:t>
      </w:r>
      <w:r w:rsidR="00F04532" w:rsidRPr="000E3A45">
        <w:rPr>
          <w:sz w:val="26"/>
          <w:szCs w:val="26"/>
        </w:rPr>
        <w:t>centésimas de punto m</w:t>
      </w:r>
      <w:r w:rsidR="00E85466" w:rsidRPr="000E3A45">
        <w:rPr>
          <w:sz w:val="26"/>
          <w:szCs w:val="26"/>
        </w:rPr>
        <w:t>ás</w:t>
      </w:r>
      <w:r w:rsidR="00F04532" w:rsidRPr="000E3A45">
        <w:rPr>
          <w:sz w:val="26"/>
          <w:szCs w:val="26"/>
        </w:rPr>
        <w:t xml:space="preserve"> a la re</w:t>
      </w:r>
      <w:r w:rsidR="00553826">
        <w:rPr>
          <w:sz w:val="26"/>
          <w:szCs w:val="26"/>
        </w:rPr>
        <w:t xml:space="preserve">portada </w:t>
      </w:r>
      <w:r w:rsidR="00F04532" w:rsidRPr="000E3A45">
        <w:rPr>
          <w:sz w:val="26"/>
          <w:szCs w:val="26"/>
        </w:rPr>
        <w:t xml:space="preserve">en </w:t>
      </w:r>
      <w:r w:rsidR="00553826">
        <w:rPr>
          <w:sz w:val="26"/>
          <w:szCs w:val="26"/>
        </w:rPr>
        <w:t>marzo</w:t>
      </w:r>
      <w:r w:rsidRPr="000E3A45">
        <w:rPr>
          <w:sz w:val="26"/>
          <w:szCs w:val="26"/>
        </w:rPr>
        <w:t xml:space="preserve"> </w:t>
      </w:r>
      <w:r w:rsidR="0089684C" w:rsidRPr="000E3A45">
        <w:rPr>
          <w:sz w:val="26"/>
          <w:szCs w:val="26"/>
        </w:rPr>
        <w:t>de 201</w:t>
      </w:r>
      <w:r w:rsidR="00372AC7">
        <w:rPr>
          <w:sz w:val="26"/>
          <w:szCs w:val="26"/>
        </w:rPr>
        <w:t>4</w:t>
      </w:r>
      <w:r w:rsidRPr="000E3A45">
        <w:rPr>
          <w:sz w:val="26"/>
          <w:szCs w:val="26"/>
        </w:rPr>
        <w:t xml:space="preserve"> (4.2</w:t>
      </w:r>
      <w:r w:rsidR="00553826">
        <w:rPr>
          <w:sz w:val="26"/>
          <w:szCs w:val="26"/>
        </w:rPr>
        <w:t>6</w:t>
      </w:r>
      <w:r w:rsidRPr="000E3A45">
        <w:rPr>
          <w:sz w:val="26"/>
          <w:szCs w:val="26"/>
        </w:rPr>
        <w:t>%)</w:t>
      </w:r>
      <w:r w:rsidR="0089684C" w:rsidRPr="000E3A45">
        <w:rPr>
          <w:sz w:val="26"/>
          <w:szCs w:val="26"/>
        </w:rPr>
        <w:t>.</w:t>
      </w:r>
    </w:p>
    <w:p w14:paraId="5F133556" w14:textId="6820E0B7" w:rsidR="00B84E29" w:rsidRPr="000E3A45" w:rsidRDefault="00B84E29" w:rsidP="00747268">
      <w:pPr>
        <w:spacing w:after="360" w:line="360" w:lineRule="auto"/>
        <w:ind w:right="-159"/>
        <w:jc w:val="both"/>
        <w:rPr>
          <w:sz w:val="26"/>
          <w:szCs w:val="26"/>
        </w:rPr>
      </w:pPr>
      <w:r>
        <w:rPr>
          <w:sz w:val="26"/>
          <w:szCs w:val="26"/>
        </w:rPr>
        <w:t xml:space="preserve">En el primer </w:t>
      </w:r>
      <w:r w:rsidR="00553826">
        <w:rPr>
          <w:sz w:val="26"/>
          <w:szCs w:val="26"/>
        </w:rPr>
        <w:t>tri</w:t>
      </w:r>
      <w:r>
        <w:rPr>
          <w:sz w:val="26"/>
          <w:szCs w:val="26"/>
        </w:rPr>
        <w:t>mestre de 2015, el CPP denominado en Udis reportó una tasa de int</w:t>
      </w:r>
      <w:r w:rsidR="0011560C">
        <w:rPr>
          <w:sz w:val="26"/>
          <w:szCs w:val="26"/>
        </w:rPr>
        <w:t>erés</w:t>
      </w:r>
      <w:r>
        <w:rPr>
          <w:sz w:val="26"/>
          <w:szCs w:val="26"/>
        </w:rPr>
        <w:t xml:space="preserve"> anual </w:t>
      </w:r>
      <w:r w:rsidR="0011560C">
        <w:rPr>
          <w:sz w:val="26"/>
          <w:szCs w:val="26"/>
        </w:rPr>
        <w:t>promedio de 4.32%, porcentaje superior en siete centésimas de punto porcentual respecto a la observada en el mismo período del año anterior (4.25%).</w:t>
      </w:r>
    </w:p>
    <w:p w14:paraId="252EDD59" w14:textId="664161A3" w:rsidR="00D31904" w:rsidRPr="000E3A45" w:rsidRDefault="00956231" w:rsidP="00D31904">
      <w:pPr>
        <w:spacing w:after="360" w:line="360" w:lineRule="auto"/>
        <w:ind w:right="-159"/>
        <w:jc w:val="center"/>
        <w:rPr>
          <w:sz w:val="26"/>
          <w:szCs w:val="26"/>
        </w:rPr>
      </w:pPr>
      <w:r w:rsidRPr="00956231">
        <w:rPr>
          <w:rFonts w:ascii="Calibri" w:eastAsia="Calibri" w:hAnsi="Calibri"/>
          <w:sz w:val="22"/>
          <w:szCs w:val="22"/>
          <w:lang w:eastAsia="en-US"/>
        </w:rPr>
        <w:fldChar w:fldCharType="begin"/>
      </w:r>
      <w:r w:rsidRPr="00956231">
        <w:rPr>
          <w:rFonts w:ascii="Calibri" w:eastAsia="Calibri" w:hAnsi="Calibri"/>
          <w:sz w:val="22"/>
          <w:szCs w:val="22"/>
          <w:lang w:eastAsia="en-US"/>
        </w:rPr>
        <w:instrText xml:space="preserve"> LINK PowerPoint.Slide.8 "D:\\2015\\ABRIL\\GRÁFICAS POWER POINT\\5.- GRÁFICAS DE COSTOS PORCENTUALES.pptx!266" "" \a \p </w:instrText>
      </w:r>
      <w:r w:rsidRPr="00956231">
        <w:rPr>
          <w:rFonts w:ascii="Calibri" w:eastAsia="Calibri" w:hAnsi="Calibri"/>
          <w:sz w:val="22"/>
          <w:szCs w:val="22"/>
          <w:lang w:eastAsia="en-US"/>
        </w:rPr>
        <w:fldChar w:fldCharType="separate"/>
      </w:r>
      <w:r w:rsidRPr="00956231">
        <w:rPr>
          <w:rFonts w:ascii="Calibri" w:eastAsia="Calibri" w:hAnsi="Calibri"/>
          <w:noProof/>
          <w:sz w:val="22"/>
          <w:szCs w:val="22"/>
          <w:lang w:eastAsia="es-MX"/>
        </w:rPr>
        <w:drawing>
          <wp:inline distT="0" distB="0" distL="0" distR="0" wp14:anchorId="3C7027AF" wp14:editId="77F0A6F1">
            <wp:extent cx="4269105" cy="3194050"/>
            <wp:effectExtent l="0" t="0" r="0" b="6350"/>
            <wp:docPr id="1594" name="Imagen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450" cstate="print">
                      <a:extLst>
                        <a:ext uri="{28A0092B-C50C-407E-A947-70E740481C1C}">
                          <a14:useLocalDpi xmlns:a14="http://schemas.microsoft.com/office/drawing/2010/main" val="0"/>
                        </a:ext>
                      </a:extLst>
                    </a:blip>
                    <a:srcRect l="3131" t="4445" r="3340" b="2499"/>
                    <a:stretch>
                      <a:fillRect/>
                    </a:stretch>
                  </pic:blipFill>
                  <pic:spPr bwMode="auto">
                    <a:xfrm>
                      <a:off x="0" y="0"/>
                      <a:ext cx="4269105" cy="3194050"/>
                    </a:xfrm>
                    <a:prstGeom prst="rect">
                      <a:avLst/>
                    </a:prstGeom>
                    <a:noFill/>
                    <a:ln>
                      <a:noFill/>
                    </a:ln>
                  </pic:spPr>
                </pic:pic>
              </a:graphicData>
            </a:graphic>
          </wp:inline>
        </w:drawing>
      </w:r>
      <w:r w:rsidRPr="00956231">
        <w:rPr>
          <w:rFonts w:ascii="Calibri" w:eastAsia="Calibri" w:hAnsi="Calibri"/>
          <w:sz w:val="22"/>
          <w:szCs w:val="22"/>
          <w:lang w:eastAsia="en-US"/>
        </w:rPr>
        <w:fldChar w:fldCharType="end"/>
      </w:r>
    </w:p>
    <w:p w14:paraId="11EE53DC" w14:textId="77777777" w:rsidR="00093FAF" w:rsidRPr="000E3A45" w:rsidRDefault="00093FAF" w:rsidP="00093FAF">
      <w:pPr>
        <w:ind w:right="-159"/>
        <w:jc w:val="both"/>
        <w:rPr>
          <w:b/>
          <w:sz w:val="20"/>
          <w:szCs w:val="20"/>
        </w:rPr>
      </w:pPr>
      <w:r w:rsidRPr="000E3A45">
        <w:rPr>
          <w:b/>
          <w:sz w:val="20"/>
          <w:szCs w:val="20"/>
        </w:rPr>
        <w:t xml:space="preserve">Fuente de información: </w:t>
      </w:r>
    </w:p>
    <w:p w14:paraId="7F13DF0F" w14:textId="77777777" w:rsidR="00EA6210" w:rsidRPr="00E146C7" w:rsidRDefault="0045651A" w:rsidP="00242D0E">
      <w:pPr>
        <w:spacing w:after="720"/>
        <w:ind w:right="-159"/>
        <w:jc w:val="both"/>
        <w:rPr>
          <w:rStyle w:val="Hipervnculo"/>
          <w:sz w:val="20"/>
          <w:szCs w:val="20"/>
        </w:rPr>
      </w:pPr>
      <w:hyperlink r:id="rId451" w:history="1">
        <w:r w:rsidR="00F9772A" w:rsidRPr="00E146C7">
          <w:rPr>
            <w:rStyle w:val="Hipervnculo"/>
            <w:sz w:val="20"/>
            <w:szCs w:val="20"/>
          </w:rPr>
          <w:t>http://www.banxico.org.mx/SieInternet/consultarDirectorioInternetAction.do?accion=consultarCuadro&amp;idCuadro=CF112&amp;sector=18&amp;locale=es</w:t>
        </w:r>
      </w:hyperlink>
    </w:p>
    <w:p w14:paraId="5CBACE36" w14:textId="77777777" w:rsidR="00CB7B3D" w:rsidRDefault="00CB7B3D" w:rsidP="0031713A">
      <w:pPr>
        <w:ind w:right="-159"/>
        <w:jc w:val="both"/>
        <w:rPr>
          <w:b/>
          <w:sz w:val="26"/>
          <w:szCs w:val="26"/>
        </w:rPr>
      </w:pPr>
    </w:p>
    <w:p w14:paraId="4A1B775D" w14:textId="77777777" w:rsidR="00216674" w:rsidRDefault="00216674" w:rsidP="0031713A">
      <w:pPr>
        <w:ind w:right="-159"/>
        <w:jc w:val="both"/>
        <w:rPr>
          <w:b/>
          <w:sz w:val="26"/>
          <w:szCs w:val="26"/>
        </w:rPr>
      </w:pPr>
    </w:p>
    <w:p w14:paraId="1ABF0B85" w14:textId="77777777" w:rsidR="00216674" w:rsidRDefault="00216674" w:rsidP="0031713A">
      <w:pPr>
        <w:ind w:right="-159"/>
        <w:jc w:val="both"/>
        <w:rPr>
          <w:b/>
          <w:sz w:val="26"/>
          <w:szCs w:val="26"/>
        </w:rPr>
      </w:pPr>
    </w:p>
    <w:p w14:paraId="16F43205" w14:textId="34109A5B" w:rsidR="0031713A" w:rsidRPr="000E3A45" w:rsidRDefault="0031713A" w:rsidP="0031713A">
      <w:pPr>
        <w:ind w:right="-159"/>
        <w:jc w:val="both"/>
        <w:rPr>
          <w:b/>
          <w:sz w:val="26"/>
          <w:szCs w:val="26"/>
        </w:rPr>
      </w:pPr>
      <w:r w:rsidRPr="000E3A45">
        <w:rPr>
          <w:b/>
          <w:sz w:val="26"/>
          <w:szCs w:val="26"/>
        </w:rPr>
        <w:lastRenderedPageBreak/>
        <w:t xml:space="preserve">Costo </w:t>
      </w:r>
      <w:r w:rsidR="00372AC7">
        <w:rPr>
          <w:b/>
          <w:sz w:val="26"/>
          <w:szCs w:val="26"/>
        </w:rPr>
        <w:t xml:space="preserve"> </w:t>
      </w:r>
      <w:r w:rsidRPr="000E3A45">
        <w:rPr>
          <w:b/>
          <w:sz w:val="26"/>
          <w:szCs w:val="26"/>
        </w:rPr>
        <w:t>de Captación a Plazo de Pasivos</w:t>
      </w:r>
    </w:p>
    <w:p w14:paraId="312FB9B1" w14:textId="3F71E8EF" w:rsidR="0031713A" w:rsidRPr="000E3A45" w:rsidRDefault="00372AC7" w:rsidP="0031713A">
      <w:pPr>
        <w:spacing w:after="360" w:line="360" w:lineRule="auto"/>
        <w:ind w:right="-159"/>
        <w:jc w:val="both"/>
        <w:rPr>
          <w:sz w:val="26"/>
          <w:szCs w:val="26"/>
        </w:rPr>
      </w:pPr>
      <w:r>
        <w:rPr>
          <w:b/>
          <w:sz w:val="26"/>
          <w:szCs w:val="26"/>
        </w:rPr>
        <w:t xml:space="preserve">denominados </w:t>
      </w:r>
      <w:r w:rsidR="0031713A" w:rsidRPr="000E3A45">
        <w:rPr>
          <w:b/>
          <w:sz w:val="26"/>
          <w:szCs w:val="26"/>
        </w:rPr>
        <w:t>en dólares (CCP-dólares)</w:t>
      </w:r>
    </w:p>
    <w:p w14:paraId="0EF386E8" w14:textId="1292C011" w:rsidR="0031713A" w:rsidRPr="000E3A45" w:rsidRDefault="0031713A" w:rsidP="0031713A">
      <w:pPr>
        <w:spacing w:after="360" w:line="360" w:lineRule="auto"/>
        <w:ind w:right="-159"/>
        <w:jc w:val="both"/>
        <w:rPr>
          <w:sz w:val="26"/>
          <w:szCs w:val="26"/>
        </w:rPr>
      </w:pPr>
      <w:r w:rsidRPr="000E3A45">
        <w:rPr>
          <w:sz w:val="26"/>
          <w:szCs w:val="26"/>
        </w:rPr>
        <w:t>De acuerdo con información del Banco de México (Banxico)</w:t>
      </w:r>
      <w:r w:rsidR="00E146C7">
        <w:rPr>
          <w:sz w:val="26"/>
          <w:szCs w:val="26"/>
        </w:rPr>
        <w:t>,</w:t>
      </w:r>
      <w:r w:rsidRPr="000E3A45">
        <w:rPr>
          <w:sz w:val="26"/>
          <w:szCs w:val="26"/>
        </w:rPr>
        <w:t xml:space="preserve"> el CPP-dólares incluye, además de los pasivos a plazo, los préstamos de bancos del extranjero a cargo de instituciones de la banca múltiple, excepto aquellos que se derivan de las obligaciones subordinadas susceptibles de convertirse en títulos representativos del capital social de instituciones de crédito, del otorgamiento de avales, de la celebración de operaciones entre instituciones de crédito, así como de los financiamientos recibidos del Export-Import Bank, de la Commodity Credit Corporation y de otros organismos similares. </w:t>
      </w:r>
    </w:p>
    <w:p w14:paraId="2F8B3053" w14:textId="54B3D96B" w:rsidR="0031713A" w:rsidRDefault="0031713A" w:rsidP="0031713A">
      <w:pPr>
        <w:spacing w:after="360" w:line="360" w:lineRule="auto"/>
        <w:ind w:right="-159"/>
        <w:jc w:val="both"/>
        <w:rPr>
          <w:sz w:val="26"/>
          <w:szCs w:val="26"/>
        </w:rPr>
      </w:pPr>
      <w:r w:rsidRPr="000E3A45">
        <w:rPr>
          <w:sz w:val="26"/>
          <w:szCs w:val="26"/>
        </w:rPr>
        <w:t xml:space="preserve">En </w:t>
      </w:r>
      <w:r w:rsidR="002960C1">
        <w:rPr>
          <w:sz w:val="26"/>
          <w:szCs w:val="26"/>
        </w:rPr>
        <w:t>marzo</w:t>
      </w:r>
      <w:r w:rsidRPr="000E3A45">
        <w:rPr>
          <w:sz w:val="26"/>
          <w:szCs w:val="26"/>
        </w:rPr>
        <w:t xml:space="preserve"> de 201</w:t>
      </w:r>
      <w:r w:rsidR="00C31451">
        <w:rPr>
          <w:sz w:val="26"/>
          <w:szCs w:val="26"/>
        </w:rPr>
        <w:t>5</w:t>
      </w:r>
      <w:r w:rsidRPr="000E3A45">
        <w:rPr>
          <w:sz w:val="26"/>
          <w:szCs w:val="26"/>
        </w:rPr>
        <w:t>, el CCP en dólares registró una tasa de rendimiento anual de 3.</w:t>
      </w:r>
      <w:r w:rsidR="002960C1">
        <w:rPr>
          <w:sz w:val="26"/>
          <w:szCs w:val="26"/>
        </w:rPr>
        <w:t>59</w:t>
      </w:r>
      <w:r w:rsidRPr="000E3A45">
        <w:rPr>
          <w:sz w:val="26"/>
          <w:szCs w:val="26"/>
        </w:rPr>
        <w:t>%, cifra m</w:t>
      </w:r>
      <w:r w:rsidR="002960C1">
        <w:rPr>
          <w:sz w:val="26"/>
          <w:szCs w:val="26"/>
        </w:rPr>
        <w:t>enor</w:t>
      </w:r>
      <w:r w:rsidRPr="000E3A45">
        <w:rPr>
          <w:sz w:val="26"/>
          <w:szCs w:val="26"/>
        </w:rPr>
        <w:t xml:space="preserve"> en </w:t>
      </w:r>
      <w:r w:rsidR="002960C1">
        <w:rPr>
          <w:sz w:val="26"/>
          <w:szCs w:val="26"/>
        </w:rPr>
        <w:t>18</w:t>
      </w:r>
      <w:r w:rsidRPr="000E3A45">
        <w:rPr>
          <w:sz w:val="26"/>
          <w:szCs w:val="26"/>
        </w:rPr>
        <w:t xml:space="preserve"> centésima</w:t>
      </w:r>
      <w:r w:rsidR="00C66788" w:rsidRPr="000E3A45">
        <w:rPr>
          <w:sz w:val="26"/>
          <w:szCs w:val="26"/>
        </w:rPr>
        <w:t>s</w:t>
      </w:r>
      <w:r w:rsidRPr="000E3A45">
        <w:rPr>
          <w:sz w:val="26"/>
          <w:szCs w:val="26"/>
        </w:rPr>
        <w:t xml:space="preserve"> de punto porcentual con relación al mes inmediato anterior (3.</w:t>
      </w:r>
      <w:r w:rsidR="002960C1">
        <w:rPr>
          <w:sz w:val="26"/>
          <w:szCs w:val="26"/>
        </w:rPr>
        <w:t>77</w:t>
      </w:r>
      <w:r w:rsidRPr="000E3A45">
        <w:rPr>
          <w:sz w:val="26"/>
          <w:szCs w:val="26"/>
        </w:rPr>
        <w:t xml:space="preserve">%), </w:t>
      </w:r>
      <w:r w:rsidR="002960C1">
        <w:rPr>
          <w:sz w:val="26"/>
          <w:szCs w:val="26"/>
        </w:rPr>
        <w:t>inferior</w:t>
      </w:r>
      <w:r w:rsidRPr="000E3A45">
        <w:rPr>
          <w:sz w:val="26"/>
          <w:szCs w:val="26"/>
        </w:rPr>
        <w:t xml:space="preserve"> en </w:t>
      </w:r>
      <w:r w:rsidR="002960C1">
        <w:rPr>
          <w:sz w:val="26"/>
          <w:szCs w:val="26"/>
        </w:rPr>
        <w:t>dos</w:t>
      </w:r>
      <w:r w:rsidRPr="000E3A45">
        <w:rPr>
          <w:sz w:val="26"/>
          <w:szCs w:val="26"/>
        </w:rPr>
        <w:t xml:space="preserve"> centésimas de punto respecto a </w:t>
      </w:r>
      <w:r w:rsidR="000E3478">
        <w:rPr>
          <w:sz w:val="26"/>
          <w:szCs w:val="26"/>
        </w:rPr>
        <w:t xml:space="preserve">diciembre </w:t>
      </w:r>
      <w:r w:rsidR="004503DA">
        <w:rPr>
          <w:sz w:val="26"/>
          <w:szCs w:val="26"/>
        </w:rPr>
        <w:t xml:space="preserve">de </w:t>
      </w:r>
      <w:r w:rsidRPr="000E3A45">
        <w:rPr>
          <w:sz w:val="26"/>
          <w:szCs w:val="26"/>
        </w:rPr>
        <w:t>201</w:t>
      </w:r>
      <w:r w:rsidR="00C31451">
        <w:rPr>
          <w:sz w:val="26"/>
          <w:szCs w:val="26"/>
        </w:rPr>
        <w:t>4</w:t>
      </w:r>
      <w:r w:rsidRPr="000E3A45">
        <w:rPr>
          <w:sz w:val="26"/>
          <w:szCs w:val="26"/>
        </w:rPr>
        <w:t xml:space="preserve"> (3.</w:t>
      </w:r>
      <w:r w:rsidR="000E3478">
        <w:rPr>
          <w:sz w:val="26"/>
          <w:szCs w:val="26"/>
        </w:rPr>
        <w:t>61</w:t>
      </w:r>
      <w:r w:rsidRPr="000E3A45">
        <w:rPr>
          <w:sz w:val="26"/>
          <w:szCs w:val="26"/>
        </w:rPr>
        <w:t>%)</w:t>
      </w:r>
      <w:r w:rsidR="000E3478">
        <w:rPr>
          <w:sz w:val="26"/>
          <w:szCs w:val="26"/>
        </w:rPr>
        <w:t xml:space="preserve"> y menor en 1</w:t>
      </w:r>
      <w:r w:rsidR="002960C1">
        <w:rPr>
          <w:sz w:val="26"/>
          <w:szCs w:val="26"/>
        </w:rPr>
        <w:t>4</w:t>
      </w:r>
      <w:r w:rsidR="000E3478">
        <w:rPr>
          <w:sz w:val="26"/>
          <w:szCs w:val="26"/>
        </w:rPr>
        <w:t xml:space="preserve"> centésimas de punto si se le compara con </w:t>
      </w:r>
      <w:r w:rsidR="002960C1">
        <w:rPr>
          <w:sz w:val="26"/>
          <w:szCs w:val="26"/>
        </w:rPr>
        <w:t>marzo</w:t>
      </w:r>
      <w:r w:rsidR="000E3478">
        <w:rPr>
          <w:sz w:val="26"/>
          <w:szCs w:val="26"/>
        </w:rPr>
        <w:t xml:space="preserve"> del año anterior (3.</w:t>
      </w:r>
      <w:r w:rsidR="002960C1">
        <w:rPr>
          <w:sz w:val="26"/>
          <w:szCs w:val="26"/>
        </w:rPr>
        <w:t>73</w:t>
      </w:r>
      <w:r w:rsidR="000E3478">
        <w:rPr>
          <w:sz w:val="26"/>
          <w:szCs w:val="26"/>
        </w:rPr>
        <w:t>%)</w:t>
      </w:r>
      <w:r w:rsidRPr="000E3A45">
        <w:rPr>
          <w:sz w:val="26"/>
          <w:szCs w:val="26"/>
        </w:rPr>
        <w:t>.</w:t>
      </w:r>
    </w:p>
    <w:p w14:paraId="167E4C07" w14:textId="3B2BC709" w:rsidR="000E3478" w:rsidRPr="000E3A45" w:rsidRDefault="000E3478" w:rsidP="0031713A">
      <w:pPr>
        <w:spacing w:after="360" w:line="360" w:lineRule="auto"/>
        <w:ind w:right="-159"/>
        <w:jc w:val="both"/>
        <w:rPr>
          <w:sz w:val="26"/>
          <w:szCs w:val="26"/>
        </w:rPr>
      </w:pPr>
      <w:r>
        <w:rPr>
          <w:sz w:val="26"/>
          <w:szCs w:val="26"/>
        </w:rPr>
        <w:t xml:space="preserve">Cabe destacar que  durante el primer </w:t>
      </w:r>
      <w:r w:rsidR="002960C1">
        <w:rPr>
          <w:sz w:val="26"/>
          <w:szCs w:val="26"/>
        </w:rPr>
        <w:t>tri</w:t>
      </w:r>
      <w:r>
        <w:rPr>
          <w:sz w:val="26"/>
          <w:szCs w:val="26"/>
        </w:rPr>
        <w:t xml:space="preserve">mestre de 2015, el CCP denominado en dólares registró un promdio </w:t>
      </w:r>
      <w:r w:rsidR="002960C1">
        <w:rPr>
          <w:sz w:val="26"/>
          <w:szCs w:val="26"/>
        </w:rPr>
        <w:t xml:space="preserve">anual </w:t>
      </w:r>
      <w:r>
        <w:rPr>
          <w:sz w:val="26"/>
          <w:szCs w:val="26"/>
        </w:rPr>
        <w:t>de 3.</w:t>
      </w:r>
      <w:r w:rsidR="002960C1">
        <w:rPr>
          <w:sz w:val="26"/>
          <w:szCs w:val="26"/>
        </w:rPr>
        <w:t>59</w:t>
      </w:r>
      <w:r>
        <w:rPr>
          <w:sz w:val="26"/>
          <w:szCs w:val="26"/>
        </w:rPr>
        <w:t>%, porcentaje inferior en 1</w:t>
      </w:r>
      <w:r w:rsidR="002960C1">
        <w:rPr>
          <w:sz w:val="26"/>
          <w:szCs w:val="26"/>
        </w:rPr>
        <w:t>5</w:t>
      </w:r>
      <w:r>
        <w:rPr>
          <w:sz w:val="26"/>
          <w:szCs w:val="26"/>
        </w:rPr>
        <w:t xml:space="preserve"> centésimas de punto porcentual respecto al mismo período del año anterior (3.7</w:t>
      </w:r>
      <w:r w:rsidR="002960C1">
        <w:rPr>
          <w:sz w:val="26"/>
          <w:szCs w:val="26"/>
        </w:rPr>
        <w:t>4</w:t>
      </w:r>
      <w:r>
        <w:rPr>
          <w:sz w:val="26"/>
          <w:szCs w:val="26"/>
        </w:rPr>
        <w:t>%).</w:t>
      </w:r>
    </w:p>
    <w:p w14:paraId="240BE97B" w14:textId="053F2267" w:rsidR="0031713A" w:rsidRPr="000E3A45" w:rsidRDefault="00357B50" w:rsidP="0031713A">
      <w:pPr>
        <w:spacing w:after="360" w:line="360" w:lineRule="auto"/>
        <w:ind w:right="-159"/>
        <w:jc w:val="center"/>
        <w:rPr>
          <w:rFonts w:eastAsia="Calibri"/>
          <w:sz w:val="26"/>
          <w:szCs w:val="26"/>
          <w:lang w:eastAsia="en-US"/>
        </w:rPr>
      </w:pPr>
      <w:r w:rsidRPr="00357B50">
        <w:rPr>
          <w:rFonts w:ascii="Calibri" w:eastAsia="Calibri" w:hAnsi="Calibri"/>
          <w:sz w:val="22"/>
          <w:szCs w:val="22"/>
          <w:lang w:eastAsia="en-US"/>
        </w:rPr>
        <w:lastRenderedPageBreak/>
        <w:fldChar w:fldCharType="begin"/>
      </w:r>
      <w:r w:rsidRPr="00357B50">
        <w:rPr>
          <w:rFonts w:ascii="Calibri" w:eastAsia="Calibri" w:hAnsi="Calibri"/>
          <w:sz w:val="22"/>
          <w:szCs w:val="22"/>
          <w:lang w:eastAsia="en-US"/>
        </w:rPr>
        <w:instrText xml:space="preserve"> LINK PowerPoint.Slide.8 "D:\\2015\\ABRIL\\GRÁFICAS POWER POINT\\5.- GRÁFICAS DE COSTOS PORCENTUALES.pptx!263" "" \a \p </w:instrText>
      </w:r>
      <w:r w:rsidRPr="00357B50">
        <w:rPr>
          <w:rFonts w:ascii="Calibri" w:eastAsia="Calibri" w:hAnsi="Calibri"/>
          <w:sz w:val="22"/>
          <w:szCs w:val="22"/>
          <w:lang w:eastAsia="en-US"/>
        </w:rPr>
        <w:fldChar w:fldCharType="separate"/>
      </w:r>
      <w:r w:rsidRPr="00357B50">
        <w:rPr>
          <w:rFonts w:ascii="Calibri" w:eastAsia="Calibri" w:hAnsi="Calibri"/>
          <w:noProof/>
          <w:sz w:val="22"/>
          <w:szCs w:val="22"/>
          <w:lang w:eastAsia="es-MX"/>
        </w:rPr>
        <w:drawing>
          <wp:inline distT="0" distB="0" distL="0" distR="0" wp14:anchorId="65560586" wp14:editId="2BB9780C">
            <wp:extent cx="4207510" cy="3021330"/>
            <wp:effectExtent l="0" t="0" r="254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452" cstate="print">
                      <a:extLst>
                        <a:ext uri="{28A0092B-C50C-407E-A947-70E740481C1C}">
                          <a14:useLocalDpi xmlns:a14="http://schemas.microsoft.com/office/drawing/2010/main" val="0"/>
                        </a:ext>
                      </a:extLst>
                    </a:blip>
                    <a:srcRect l="3311" t="8116" r="4535" b="3706"/>
                    <a:stretch>
                      <a:fillRect/>
                    </a:stretch>
                  </pic:blipFill>
                  <pic:spPr bwMode="auto">
                    <a:xfrm>
                      <a:off x="0" y="0"/>
                      <a:ext cx="4207510" cy="3021330"/>
                    </a:xfrm>
                    <a:prstGeom prst="rect">
                      <a:avLst/>
                    </a:prstGeom>
                    <a:noFill/>
                    <a:ln>
                      <a:noFill/>
                    </a:ln>
                  </pic:spPr>
                </pic:pic>
              </a:graphicData>
            </a:graphic>
          </wp:inline>
        </w:drawing>
      </w:r>
      <w:r w:rsidRPr="00357B50">
        <w:rPr>
          <w:rFonts w:ascii="Calibri" w:eastAsia="Calibri" w:hAnsi="Calibri"/>
          <w:sz w:val="22"/>
          <w:szCs w:val="22"/>
          <w:lang w:eastAsia="en-US"/>
        </w:rPr>
        <w:fldChar w:fldCharType="end"/>
      </w:r>
    </w:p>
    <w:p w14:paraId="31C12AD1" w14:textId="77777777" w:rsidR="00E70C0A" w:rsidRPr="000E3A45" w:rsidRDefault="00E70C0A" w:rsidP="00E70C0A">
      <w:pPr>
        <w:ind w:right="-159"/>
        <w:jc w:val="both"/>
        <w:rPr>
          <w:b/>
          <w:sz w:val="20"/>
          <w:szCs w:val="20"/>
        </w:rPr>
      </w:pPr>
      <w:r w:rsidRPr="000E3A45">
        <w:rPr>
          <w:b/>
          <w:sz w:val="20"/>
          <w:szCs w:val="20"/>
        </w:rPr>
        <w:t xml:space="preserve">Fuente de información: </w:t>
      </w:r>
    </w:p>
    <w:p w14:paraId="46A17B78" w14:textId="5A946A51" w:rsidR="00E8321B" w:rsidRPr="00E146C7" w:rsidRDefault="0045651A" w:rsidP="00E146C7">
      <w:pPr>
        <w:spacing w:after="720"/>
        <w:ind w:right="-159"/>
        <w:jc w:val="both"/>
        <w:rPr>
          <w:rFonts w:eastAsia="Calibri"/>
          <w:color w:val="0000FF"/>
          <w:sz w:val="20"/>
          <w:szCs w:val="20"/>
          <w:lang w:val="es-ES" w:eastAsia="en-US"/>
        </w:rPr>
      </w:pPr>
      <w:hyperlink r:id="rId453" w:history="1">
        <w:r w:rsidR="00E70C0A" w:rsidRPr="00E146C7">
          <w:rPr>
            <w:rStyle w:val="Hipervnculo"/>
            <w:sz w:val="20"/>
            <w:szCs w:val="20"/>
          </w:rPr>
          <w:t>http://www.banxico.org.mx/SieInternet/consultarDirectorioInternetAction.do?accion=consultarCuadro&amp;idCuadro=CF112&amp;sector=18&amp;locale=es</w:t>
        </w:r>
      </w:hyperlink>
    </w:p>
    <w:p w14:paraId="53E78FED" w14:textId="77777777" w:rsidR="00732F87" w:rsidRPr="00732F87" w:rsidRDefault="00732F87" w:rsidP="00732F87">
      <w:pPr>
        <w:spacing w:after="360" w:line="360" w:lineRule="auto"/>
        <w:ind w:right="-159"/>
        <w:jc w:val="both"/>
        <w:rPr>
          <w:rFonts w:eastAsia="Calibri"/>
          <w:b/>
          <w:sz w:val="26"/>
          <w:szCs w:val="26"/>
          <w:lang w:eastAsia="en-US"/>
        </w:rPr>
      </w:pPr>
      <w:r w:rsidRPr="00732F87">
        <w:rPr>
          <w:rFonts w:eastAsia="Calibri"/>
          <w:b/>
          <w:sz w:val="26"/>
          <w:szCs w:val="26"/>
          <w:lang w:eastAsia="en-US"/>
        </w:rPr>
        <w:t>Dinero para nada (Project Syndicate)</w:t>
      </w:r>
    </w:p>
    <w:p w14:paraId="75895D12"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El 10 de abril de 2015, la organización Project Syndicate (</w:t>
      </w:r>
      <w:r w:rsidRPr="00732F87">
        <w:rPr>
          <w:rFonts w:eastAsia="Calibri"/>
          <w:i/>
          <w:sz w:val="26"/>
          <w:szCs w:val="26"/>
          <w:lang w:val="es-ES" w:eastAsia="en-US"/>
        </w:rPr>
        <w:t>PS</w:t>
      </w:r>
      <w:r w:rsidRPr="00732F87">
        <w:rPr>
          <w:rFonts w:eastAsia="Calibri"/>
          <w:sz w:val="26"/>
          <w:szCs w:val="26"/>
          <w:lang w:val="es-ES" w:eastAsia="en-US"/>
        </w:rPr>
        <w:t>) publicó los comentarios de Daniel Gros</w:t>
      </w:r>
      <w:r w:rsidRPr="00732F87">
        <w:rPr>
          <w:rFonts w:eastAsia="Calibri"/>
          <w:sz w:val="26"/>
          <w:szCs w:val="26"/>
          <w:vertAlign w:val="superscript"/>
          <w:lang w:val="es-ES" w:eastAsia="en-US"/>
        </w:rPr>
        <w:footnoteReference w:id="84"/>
      </w:r>
      <w:r w:rsidRPr="00732F87">
        <w:rPr>
          <w:rFonts w:eastAsia="Calibri"/>
          <w:sz w:val="26"/>
          <w:szCs w:val="26"/>
          <w:lang w:val="es-ES" w:eastAsia="en-US"/>
        </w:rPr>
        <w:t xml:space="preserve"> sobre el entorno de interés cero a largo plazo en el mundo desarrollado. A continuación se presenta la información.</w:t>
      </w:r>
    </w:p>
    <w:p w14:paraId="31C483E9"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 xml:space="preserve">El mundo desarrollado parece estar desplazándose hacia un entorno de interés cero a largo plazo. Si bien Estados Unidos de Norteamérica, el Reino Unido, Japón y la eurozona han mantenido, ya durante varios años, en cero las tasas de interés fijadas según la política de sus bancos centrales, la percepción de que dicho nivel fuese una aberración temporal se tradujo en que a las tasas de mediano a largo plazo se </w:t>
      </w:r>
      <w:r w:rsidRPr="00732F87">
        <w:rPr>
          <w:rFonts w:eastAsia="Calibri"/>
          <w:sz w:val="26"/>
          <w:szCs w:val="26"/>
          <w:lang w:val="es-ES" w:eastAsia="en-US"/>
        </w:rPr>
        <w:lastRenderedPageBreak/>
        <w:t>mantuvieran sustanciales. Sin embargo, esta situación puede estar cambiando, especialmente en la eurozona.</w:t>
      </w:r>
    </w:p>
    <w:p w14:paraId="5B054B99"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En rigor de la verdad, las tasas cero se cumplen sólo para la deuda nominal y de mediano plazo, misma que se percibe como libre de riesgo. No obstante, a lo largo de la eurozona, las tasas están cerca a cero —y son negativas para una parte sustancial de la deuda pública— y, desde hace ya bastante tiempo atrás, se espera que dichas tasas permanezcan bajas.</w:t>
      </w:r>
    </w:p>
    <w:p w14:paraId="75321122"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En Alemania, por ejemplo, las tasas de interés de la deuda pública con un plazo de hasta cinco años serán negativas, y sólo ligeramente positivas si el plazo se extiende más allá, con lo que se produce un promedio ponderado de cero. Claramente, el entorno de tasas de interés cerca a cero del Japón ya no es único.</w:t>
      </w:r>
    </w:p>
    <w:p w14:paraId="1CC83C6A"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Sin lugar a dudas, el programa de compras de bonos públicos a gran escala del Banco Central Europeo (BCE) podría estar conteniendo las tasas de interés de manera temporal, y, una vez que las compras se detengan el año que viene, dichas tasas podrían subir nuevamente. Sin embargo, no parece que los inversionistas piensen que esto pasará. De hecho, el rendimiento del bono alemán a 30 años es más bajo del 0.7%, lo que indica que se espera que las tasas sean ultra bajas durante un lapso de tiempo muy largo. Además, muchos emisores están ampliando la estructura de vencimientos de sus obligaciones para inmovilizar las tasas actuales, mismas que no pueden bajar mucho más (sin embargo, potencialmente podrían subir mucho).</w:t>
      </w:r>
    </w:p>
    <w:p w14:paraId="48C27A1C"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De todas maneras, la eurozona parece estar ligada sin escapatoria a las tasas cercanas a cero, a plazos cada vez más largos. ¿Qué significa esto, realmente, para sus inversionistas y deudores?</w:t>
      </w:r>
    </w:p>
    <w:p w14:paraId="67D36893"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 xml:space="preserve">En este punto, se tiene que considerar no sólo la tasa de interés nominal, sino también la tasa de interés real (ajustada por la inflación). Una tasa de interés nominal muy baja </w:t>
      </w:r>
      <w:r w:rsidRPr="00732F87">
        <w:rPr>
          <w:rFonts w:eastAsia="Calibri"/>
          <w:sz w:val="26"/>
          <w:szCs w:val="26"/>
          <w:lang w:val="es-ES" w:eastAsia="en-US"/>
        </w:rPr>
        <w:lastRenderedPageBreak/>
        <w:t>—o incluso negativa—  podría producir un rendimiento real positivo para un ahorrista, si los precios caen lo suficiente. De hecho, los ahorristas japoneses se han beneficiado de este fenómeno desde hace más de una década, cosechando mayores retornos reales que sus contrapartes en Estados Unidos de Norteamérica, a pesar de que las tasas de interés nominales en niveles casi cero de Japón son mucho más bajas que las estadounidenses.</w:t>
      </w:r>
    </w:p>
    <w:p w14:paraId="345FB887"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Sin embargo, las tasas nominales sí tienen importancia. Cuando son insignificantes, son halagüeñas para los estados financieros de pérdidas y ganancias, mientras que se acumulan lentamente problemas en las hojas de balance.</w:t>
      </w:r>
    </w:p>
    <w:p w14:paraId="5736E6D0"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Dado que la contabilidad de las hojas de balance se elabora de acuerdo con una curiosa mezcla de valores nominales y de mercado, puede ser opaca y fácil de manipular. Si los precios —y por lo tanto, la capacidad promedio de servicio de la deuda— cae, la carga real de la deuda aumenta. Pero, esto se hace evidente sólo cuando la deuda tiene que ser refinanciada o las tasas de interés se elevan.</w:t>
      </w:r>
    </w:p>
    <w:p w14:paraId="7041963F" w14:textId="34CBB3A4"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 xml:space="preserve">En un entorno de tasas de interés cero o casi cero, los acreedores tienen un incentivo para “extender o fingir”  —es decir, para refinanciar su deuda que está por vencer, de esta forma ellos pueden mantener sus problemas ocultos por más tiempo. Debido a que se puede refinanciar la deuda a tasas que son tan bajas, el riesgo de refinanciamiento es muy bajo, lo que permite a los deudores que serían considerados como insolventes bajo circunstancias normales se mantengan vigentes por un lapso mucho más largo del que por el contrario podrían mantenerse. Al fin de cuentas, si la deuda se puede refinanciar perenemente a tasas cero, realmente esto no tiene importancia— y nadie puede ser considerado como insolvente. La deuda se convierte en perpetua, </w:t>
      </w:r>
      <w:r w:rsidRPr="00732F87">
        <w:rPr>
          <w:rFonts w:eastAsia="Calibri"/>
          <w:i/>
          <w:sz w:val="26"/>
          <w:szCs w:val="26"/>
          <w:lang w:val="es-ES" w:eastAsia="en-US"/>
        </w:rPr>
        <w:t>de facto</w:t>
      </w:r>
      <w:r w:rsidRPr="00732F87">
        <w:rPr>
          <w:rFonts w:eastAsia="Calibri"/>
          <w:sz w:val="26"/>
          <w:szCs w:val="26"/>
          <w:lang w:val="es-ES" w:eastAsia="en-US"/>
        </w:rPr>
        <w:t>.</w:t>
      </w:r>
    </w:p>
    <w:p w14:paraId="1F2DE32E"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 xml:space="preserve">La experiencia de Japón ilustra este fenómeno perfectamente. Al situarse en un nivel que supera el 200% del Producto Interno Bruto (PIB), la montaña de la deuda gubernamental japonesa parece invencible. Pero, el servicio de esa deuda cuesta sólo </w:t>
      </w:r>
      <w:r w:rsidRPr="00732F87">
        <w:rPr>
          <w:rFonts w:eastAsia="Calibri"/>
          <w:sz w:val="26"/>
          <w:szCs w:val="26"/>
          <w:lang w:val="es-ES" w:eastAsia="en-US"/>
        </w:rPr>
        <w:lastRenderedPageBreak/>
        <w:t>entre el 1 al 2% del PIB, lo que permite que Japón continúe siendo un país solvente. Del mismo modo, Grecia ahora puede manejar su carga de deuda pública, que se sitúa en alrededor del 175% del PIB, gracias a las tasas de interés ultra bajas y los plazos de vencimiento largos (superiores a los de la deuda de Japón) otorgados por sus socios europeos.</w:t>
      </w:r>
    </w:p>
    <w:p w14:paraId="3E710B97"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En resumen, al estar las tasas de interés lo suficientemente bajas, cualquier relación deuda-PIB es manejable. Es por esta razón que en el entorno actual de tasas de interés la limitación del nivel de deuda pública a un 60% del PIB, tal como lo requiere el Tratado de Maastricht, no tiene sentido —y es por esto que el denominado “pacto fiscal” que requiere que los países realicen avances continuos hacia dicho nivel debe ser reconsiderado—.</w:t>
      </w:r>
    </w:p>
    <w:p w14:paraId="11D67C52" w14:textId="77777777"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De hecho, las tasas de interés cerca de cero socavan la noción misma de una “deuda pendiente” en países como Grecia, Irlanda, Portugal y España. Si bien estos países sí acumularon un enorme volumen de deuda durante el auge del crédito que acabó estrepitosamente el año 2008, el costo del servicio de la deuda ahora es demasiado bajo para tener el impacto que normalmente uno esperaría: por ejemplo, en la forma de una reducción de los ingresos, el impedimento de un retorno al crecimiento y la generación de incertidumbre entre los inversionistas. Hoy en día, estos países simplemente pueden refinanciar sus obligaciones a plazos de vencimiento más largos.</w:t>
      </w:r>
    </w:p>
    <w:p w14:paraId="6C6C0ECF" w14:textId="05B77851" w:rsidR="00732F87" w:rsidRPr="00732F87" w:rsidRDefault="00732F87" w:rsidP="00732F87">
      <w:pPr>
        <w:spacing w:after="360" w:line="360" w:lineRule="auto"/>
        <w:ind w:right="-159"/>
        <w:jc w:val="both"/>
        <w:rPr>
          <w:rFonts w:eastAsia="Calibri"/>
          <w:sz w:val="26"/>
          <w:szCs w:val="26"/>
          <w:lang w:val="es-ES" w:eastAsia="en-US"/>
        </w:rPr>
      </w:pPr>
      <w:r w:rsidRPr="00732F87">
        <w:rPr>
          <w:rFonts w:eastAsia="Calibri"/>
          <w:sz w:val="26"/>
          <w:szCs w:val="26"/>
          <w:lang w:val="es-ES" w:eastAsia="en-US"/>
        </w:rPr>
        <w:t>No cabe duda que las deudas de los países juegan un papel vital en el sistema financiero mundial. Sin embargo, en un entorno de tasas de interés cero, ese papel debe ser reevaluado.</w:t>
      </w:r>
    </w:p>
    <w:p w14:paraId="0880FDCF" w14:textId="77777777" w:rsidR="00732F87" w:rsidRPr="00732F87" w:rsidRDefault="00732F87" w:rsidP="00732F87">
      <w:pPr>
        <w:ind w:right="-159"/>
        <w:jc w:val="both"/>
        <w:rPr>
          <w:rFonts w:eastAsia="Calibri"/>
          <w:b/>
          <w:sz w:val="20"/>
          <w:szCs w:val="20"/>
          <w:lang w:eastAsia="en-US"/>
        </w:rPr>
      </w:pPr>
      <w:r w:rsidRPr="00732F87">
        <w:rPr>
          <w:rFonts w:eastAsia="Calibri"/>
          <w:b/>
          <w:sz w:val="20"/>
          <w:szCs w:val="20"/>
          <w:lang w:eastAsia="en-US"/>
        </w:rPr>
        <w:t>Fuente de información:</w:t>
      </w:r>
    </w:p>
    <w:p w14:paraId="5795A32C" w14:textId="77777777" w:rsidR="00732F87" w:rsidRPr="00E146C7" w:rsidRDefault="0045651A" w:rsidP="00E146C7">
      <w:pPr>
        <w:spacing w:after="720"/>
        <w:ind w:right="-159"/>
        <w:jc w:val="both"/>
        <w:rPr>
          <w:rFonts w:eastAsia="Calibri"/>
          <w:color w:val="0000FF"/>
          <w:sz w:val="20"/>
          <w:szCs w:val="20"/>
          <w:lang w:val="es-ES" w:eastAsia="en-US"/>
        </w:rPr>
      </w:pPr>
      <w:hyperlink r:id="rId454" w:history="1">
        <w:r w:rsidR="00732F87" w:rsidRPr="00E146C7">
          <w:rPr>
            <w:rFonts w:eastAsia="Calibri"/>
            <w:color w:val="0000FF"/>
            <w:sz w:val="20"/>
            <w:szCs w:val="20"/>
            <w:u w:val="single"/>
            <w:lang w:val="es-ES" w:eastAsia="en-US"/>
          </w:rPr>
          <w:t>http://www.project-syndicate.org/commentary/eurozone-zero-interest-rates-by-daniel-gros-2015-04/spanish</w:t>
        </w:r>
      </w:hyperlink>
    </w:p>
    <w:p w14:paraId="5EF221FB" w14:textId="77777777" w:rsidR="008E27D4" w:rsidRDefault="008E27D4" w:rsidP="00F0285F">
      <w:pPr>
        <w:spacing w:after="360" w:line="360" w:lineRule="auto"/>
        <w:ind w:right="-159"/>
        <w:jc w:val="both"/>
        <w:rPr>
          <w:sz w:val="26"/>
          <w:szCs w:val="26"/>
        </w:rPr>
      </w:pPr>
    </w:p>
    <w:p w14:paraId="12476697" w14:textId="77777777" w:rsidR="00D35DAA" w:rsidRPr="00D35DAA" w:rsidRDefault="00D35DAA" w:rsidP="00D35DAA">
      <w:pPr>
        <w:ind w:right="-159"/>
        <w:jc w:val="both"/>
        <w:rPr>
          <w:rFonts w:eastAsia="Calibri"/>
          <w:b/>
          <w:sz w:val="26"/>
          <w:szCs w:val="26"/>
          <w:lang w:eastAsia="en-US"/>
        </w:rPr>
      </w:pPr>
      <w:r w:rsidRPr="00D35DAA">
        <w:rPr>
          <w:rFonts w:eastAsia="Calibri"/>
          <w:b/>
          <w:sz w:val="26"/>
          <w:szCs w:val="26"/>
          <w:lang w:eastAsia="en-US"/>
        </w:rPr>
        <w:lastRenderedPageBreak/>
        <w:t>Habrá fuga de capitales de México por</w:t>
      </w:r>
    </w:p>
    <w:p w14:paraId="58376135" w14:textId="77777777" w:rsidR="00D35DAA" w:rsidRPr="00D35DAA" w:rsidRDefault="00D35DAA" w:rsidP="00D35DAA">
      <w:pPr>
        <w:spacing w:after="360" w:line="360" w:lineRule="auto"/>
        <w:ind w:right="-159"/>
        <w:jc w:val="both"/>
        <w:rPr>
          <w:rFonts w:eastAsia="Calibri"/>
          <w:b/>
          <w:sz w:val="26"/>
          <w:szCs w:val="26"/>
          <w:lang w:eastAsia="en-US"/>
        </w:rPr>
      </w:pPr>
      <w:r w:rsidRPr="00D35DAA">
        <w:rPr>
          <w:rFonts w:eastAsia="Calibri"/>
          <w:b/>
          <w:sz w:val="26"/>
          <w:szCs w:val="26"/>
          <w:lang w:eastAsia="en-US"/>
        </w:rPr>
        <w:t>8  mil  mdd  en  2015   (Forbes México)</w:t>
      </w:r>
    </w:p>
    <w:p w14:paraId="5F990A7D" w14:textId="7D9C1875"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 xml:space="preserve">El 26 de marzo de 2015, la edición online de la revista de negocios Forbes México señaló que tras </w:t>
      </w:r>
      <w:r w:rsidR="00D97227">
        <w:rPr>
          <w:rFonts w:eastAsia="Calibri"/>
          <w:sz w:val="26"/>
          <w:szCs w:val="26"/>
          <w:lang w:val="es-ES" w:eastAsia="en-US"/>
        </w:rPr>
        <w:t>el</w:t>
      </w:r>
      <w:r w:rsidRPr="00D35DAA">
        <w:rPr>
          <w:rFonts w:eastAsia="Calibri"/>
          <w:sz w:val="26"/>
          <w:szCs w:val="26"/>
          <w:lang w:val="es-ES" w:eastAsia="en-US"/>
        </w:rPr>
        <w:t xml:space="preserve"> alza de las tasas de interés de la Reserva Federal, el mercado de capitales en México podría ver una salida de entre 5 mil y 8 mil millones de dólares. La cifra podría llegar a 12 mil millones de dólares si se acentúan las dificultades globales.</w:t>
      </w:r>
    </w:p>
    <w:p w14:paraId="0D344E41"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Durante 2015, México verá una salida de capitales por entre 5 mil y 8 mil millones de dólares como consecuencia de la normalización de tasas por parte de la Reserva Federal.</w:t>
      </w:r>
    </w:p>
    <w:p w14:paraId="2AAADC38"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El monto podría alcanzar cerca de un 5% del total de 248 mil 165 millones de dólares que ingresaron al mercado de capitales como inversión de cartera entre 2008 y finales de 2014, según cálculos de Banco Base.</w:t>
      </w:r>
    </w:p>
    <w:p w14:paraId="77CF2A8E"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“Si se acentúan los escenarios de riesgo global, la cifra podría alcanzar 12 mil millones de dólares este año”, dijo en conferencia de prensa la directora de análisis de la institución.</w:t>
      </w:r>
    </w:p>
    <w:p w14:paraId="61A07E19"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Se prevé que la Reserva Federal empiece su proceso de normalización en junio, con un alza de 25 puntos base, para después realizar otro movimiento igual en septiembre.</w:t>
      </w:r>
    </w:p>
    <w:p w14:paraId="6512704D"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Como una medida precautoria, el Banco de México anunciaría un alza en los tipos de interés en abril.</w:t>
      </w:r>
    </w:p>
    <w:p w14:paraId="0F6B3768"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Desde que la Reserva Federal inició con la estrategia de política acomodaticia, México y Brasil han recibido un tercio de la liquidez disponible en los mercados. La analista considera que, a diferencia de Brasil, México tiene fortalezas macroeconómicas que impiden una fuga masiva de capital.</w:t>
      </w:r>
    </w:p>
    <w:p w14:paraId="1F3946CF"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lastRenderedPageBreak/>
        <w:t>Pese a que se prevé una salida moderada, cabe señalar que los llamados “capitales golondrinos” que han llegado a México son equivalentes a 55% del valor del capital bursátil en el país y a 19.38% del Producto Interno Bruto (PIB).</w:t>
      </w:r>
    </w:p>
    <w:p w14:paraId="735E2540"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El escenario plantea volatilidad cambiaria, de tal modo que se prevé que el tipo de cambio alcance un máximo de 15.80 para cerrar el año en alrededor de 15.10 pesos por dólar.</w:t>
      </w:r>
    </w:p>
    <w:p w14:paraId="7DC7EEF9" w14:textId="77777777" w:rsidR="00D35DAA" w:rsidRPr="00D35DAA" w:rsidRDefault="00D35DAA" w:rsidP="00D35DAA">
      <w:pPr>
        <w:spacing w:after="360" w:line="360" w:lineRule="auto"/>
        <w:ind w:right="-159"/>
        <w:jc w:val="both"/>
        <w:rPr>
          <w:rFonts w:eastAsia="Calibri"/>
          <w:b/>
          <w:sz w:val="26"/>
          <w:szCs w:val="26"/>
          <w:lang w:val="es-ES" w:eastAsia="en-US"/>
        </w:rPr>
      </w:pPr>
      <w:r w:rsidRPr="00D35DAA">
        <w:rPr>
          <w:rFonts w:eastAsia="Calibri"/>
          <w:b/>
          <w:sz w:val="26"/>
          <w:szCs w:val="26"/>
          <w:lang w:val="es-ES" w:eastAsia="en-US"/>
        </w:rPr>
        <w:t>Un año difícil</w:t>
      </w:r>
    </w:p>
    <w:p w14:paraId="7A27C7DB"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En materia de tipo de cambio, la apreciación del peso que se ha registrado en las últimas jornadas podría ser un episodio de corta duración. Según explica la directora de análisis de Banco Base, la volatilidad suele acentuarse pues, cuando se detecta un movimiento a la baja en el tipo de cambio se dan compras anticipadas de exportadores e inversionistas para prever el cumplimento de obligaciones financieras.</w:t>
      </w:r>
    </w:p>
    <w:p w14:paraId="632B1112"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Banco Base espera que la volatilidad alcance variaciones de hasta 25%, sobre todo si la Reserva Federal demora la decisión de aumentar sus tasas de interés, que actualmente se encuentran en un rango de 0 a 0.25 por ciento.</w:t>
      </w:r>
    </w:p>
    <w:p w14:paraId="063ACAC4"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La volatilidad depende en gran parte de los movimientos especulativos, en el mercado de futuros de Chicago pueden observarse operaciones claramente especulativas contra el peso.</w:t>
      </w:r>
    </w:p>
    <w:p w14:paraId="188171E9"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El peso mexicano es la octava moneda que registra más operaciones en el mercado de futuros, esto tiene que ver con que se trata de una divisa líquida, que es una moneda sustituto de otras divisas no entregables (sobre todo del real brasileño) y que las variaciones reportadas entre 2008 y 2009 llamaron la atención de los especuladores.</w:t>
      </w:r>
    </w:p>
    <w:p w14:paraId="38FBADAB"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lastRenderedPageBreak/>
        <w:t>Ante el complicado escenario en los mercados financieros, el banco prevé que la economía mexicana crecerá entre 1.8 y 2.3% en 2015.</w:t>
      </w:r>
    </w:p>
    <w:p w14:paraId="2A42518A" w14:textId="77777777" w:rsidR="00D35DAA" w:rsidRPr="00D35DAA" w:rsidRDefault="00D35DAA" w:rsidP="00D35DAA">
      <w:pPr>
        <w:spacing w:after="360" w:line="360" w:lineRule="auto"/>
        <w:ind w:right="-159"/>
        <w:jc w:val="both"/>
        <w:rPr>
          <w:rFonts w:eastAsia="Calibri"/>
          <w:sz w:val="26"/>
          <w:szCs w:val="26"/>
          <w:lang w:val="es-ES" w:eastAsia="en-US"/>
        </w:rPr>
      </w:pPr>
      <w:r w:rsidRPr="00D35DAA">
        <w:rPr>
          <w:rFonts w:eastAsia="Calibri"/>
          <w:sz w:val="26"/>
          <w:szCs w:val="26"/>
          <w:lang w:val="es-ES" w:eastAsia="en-US"/>
        </w:rPr>
        <w:t>“Hablamos de un complicado escenario en materia de tipo de cambio y flujos de capitales, si a eso se suman el bajo precio del petróleo y los efectos en la demanda por el alza de tasas de interés de Banxico, podemos pensar que el crecimiento estará más cerca de 1.8% que de 2.3%”, advierte la directora de análisis de Banco Base.</w:t>
      </w:r>
    </w:p>
    <w:p w14:paraId="4D3EDB7F" w14:textId="77777777" w:rsidR="00D35DAA" w:rsidRPr="00D35DAA" w:rsidRDefault="00D35DAA" w:rsidP="00D35DAA">
      <w:pPr>
        <w:ind w:right="-159"/>
        <w:jc w:val="both"/>
        <w:rPr>
          <w:rFonts w:eastAsia="Calibri"/>
          <w:b/>
          <w:sz w:val="20"/>
          <w:szCs w:val="20"/>
          <w:lang w:eastAsia="en-US"/>
        </w:rPr>
      </w:pPr>
      <w:r w:rsidRPr="00D35DAA">
        <w:rPr>
          <w:rFonts w:eastAsia="Calibri"/>
          <w:b/>
          <w:sz w:val="20"/>
          <w:szCs w:val="20"/>
          <w:lang w:eastAsia="en-US"/>
        </w:rPr>
        <w:t>Fuente de información:</w:t>
      </w:r>
    </w:p>
    <w:p w14:paraId="7F777219" w14:textId="77777777" w:rsidR="00D35DAA" w:rsidRPr="00E146C7" w:rsidRDefault="0045651A" w:rsidP="00E146C7">
      <w:pPr>
        <w:spacing w:after="720"/>
        <w:ind w:right="-159"/>
        <w:jc w:val="both"/>
        <w:rPr>
          <w:rFonts w:eastAsia="Calibri"/>
          <w:b/>
          <w:color w:val="0000FF"/>
          <w:sz w:val="20"/>
          <w:szCs w:val="20"/>
          <w:lang w:val="es-ES" w:eastAsia="en-US"/>
        </w:rPr>
      </w:pPr>
      <w:hyperlink r:id="rId455" w:history="1">
        <w:r w:rsidR="00D35DAA" w:rsidRPr="00E146C7">
          <w:rPr>
            <w:rFonts w:eastAsia="Calibri"/>
            <w:color w:val="0000FF"/>
            <w:sz w:val="20"/>
            <w:szCs w:val="20"/>
            <w:u w:val="single"/>
            <w:lang w:val="es-ES" w:eastAsia="en-US"/>
          </w:rPr>
          <w:t>http://www.forbes.com.mx/habra-fuga-de-capitales-de-mexico-por-8000-mdd-en-2015/</w:t>
        </w:r>
      </w:hyperlink>
    </w:p>
    <w:p w14:paraId="47D40D72" w14:textId="0DDDA7E6" w:rsidR="00803FC6" w:rsidRPr="00803FC6" w:rsidRDefault="00803FC6" w:rsidP="00F0285F">
      <w:pPr>
        <w:spacing w:after="360" w:line="360" w:lineRule="auto"/>
        <w:ind w:right="-159"/>
        <w:jc w:val="both"/>
        <w:rPr>
          <w:b/>
          <w:sz w:val="26"/>
          <w:szCs w:val="26"/>
        </w:rPr>
      </w:pPr>
      <w:r w:rsidRPr="00803FC6">
        <w:rPr>
          <w:b/>
          <w:sz w:val="26"/>
          <w:szCs w:val="26"/>
        </w:rPr>
        <w:t>Mercado bursátil</w:t>
      </w:r>
    </w:p>
    <w:p w14:paraId="50652382" w14:textId="4663CA73" w:rsidR="00B9039C" w:rsidRPr="000E3A45" w:rsidRDefault="001360C4" w:rsidP="00F0285F">
      <w:pPr>
        <w:spacing w:after="360" w:line="360" w:lineRule="auto"/>
        <w:ind w:right="-159"/>
        <w:jc w:val="both"/>
        <w:rPr>
          <w:b/>
          <w:sz w:val="26"/>
          <w:szCs w:val="26"/>
        </w:rPr>
      </w:pPr>
      <w:r w:rsidRPr="000E3A45">
        <w:rPr>
          <w:b/>
          <w:sz w:val="26"/>
          <w:szCs w:val="26"/>
        </w:rPr>
        <w:t>Evolución de la Bolsa Mexicana de Valores (BMV)</w:t>
      </w:r>
    </w:p>
    <w:p w14:paraId="53100027" w14:textId="549AA493" w:rsidR="0019257D" w:rsidRDefault="002C377C" w:rsidP="00F0285F">
      <w:pPr>
        <w:spacing w:after="360" w:line="360" w:lineRule="auto"/>
        <w:ind w:right="-159"/>
        <w:jc w:val="both"/>
        <w:rPr>
          <w:sz w:val="26"/>
          <w:szCs w:val="26"/>
        </w:rPr>
      </w:pPr>
      <w:r>
        <w:rPr>
          <w:sz w:val="26"/>
          <w:szCs w:val="26"/>
        </w:rPr>
        <w:t>Al cierre de la jornada de</w:t>
      </w:r>
      <w:r w:rsidR="007B4FC9">
        <w:rPr>
          <w:sz w:val="26"/>
          <w:szCs w:val="26"/>
        </w:rPr>
        <w:t>l</w:t>
      </w:r>
      <w:r w:rsidR="00C86A64" w:rsidRPr="000E3A45">
        <w:rPr>
          <w:sz w:val="26"/>
          <w:szCs w:val="26"/>
        </w:rPr>
        <w:t xml:space="preserve"> </w:t>
      </w:r>
      <w:r w:rsidR="0077186B">
        <w:rPr>
          <w:sz w:val="26"/>
          <w:szCs w:val="26"/>
        </w:rPr>
        <w:t>2</w:t>
      </w:r>
      <w:r w:rsidR="00EA7FDB" w:rsidRPr="000E3A45">
        <w:rPr>
          <w:sz w:val="26"/>
          <w:szCs w:val="26"/>
        </w:rPr>
        <w:t>1</w:t>
      </w:r>
      <w:r w:rsidR="00C86A64" w:rsidRPr="000E3A45">
        <w:rPr>
          <w:sz w:val="26"/>
          <w:szCs w:val="26"/>
        </w:rPr>
        <w:t xml:space="preserve"> de </w:t>
      </w:r>
      <w:r>
        <w:rPr>
          <w:sz w:val="26"/>
          <w:szCs w:val="26"/>
        </w:rPr>
        <w:t>a</w:t>
      </w:r>
      <w:r w:rsidR="0077186B">
        <w:rPr>
          <w:sz w:val="26"/>
          <w:szCs w:val="26"/>
        </w:rPr>
        <w:t>b</w:t>
      </w:r>
      <w:r>
        <w:rPr>
          <w:sz w:val="26"/>
          <w:szCs w:val="26"/>
        </w:rPr>
        <w:t>r</w:t>
      </w:r>
      <w:r w:rsidR="0077186B">
        <w:rPr>
          <w:sz w:val="26"/>
          <w:szCs w:val="26"/>
        </w:rPr>
        <w:t>il</w:t>
      </w:r>
      <w:r w:rsidR="00331E16" w:rsidRPr="000E3A45">
        <w:rPr>
          <w:sz w:val="26"/>
          <w:szCs w:val="26"/>
        </w:rPr>
        <w:t xml:space="preserve"> </w:t>
      </w:r>
      <w:r w:rsidR="00C86A64" w:rsidRPr="000E3A45">
        <w:rPr>
          <w:sz w:val="26"/>
          <w:szCs w:val="26"/>
        </w:rPr>
        <w:t xml:space="preserve">de </w:t>
      </w:r>
      <w:r w:rsidR="00CD2BE2" w:rsidRPr="000E3A45">
        <w:rPr>
          <w:sz w:val="26"/>
          <w:szCs w:val="26"/>
        </w:rPr>
        <w:t>201</w:t>
      </w:r>
      <w:r w:rsidR="007B4FC9">
        <w:rPr>
          <w:sz w:val="26"/>
          <w:szCs w:val="26"/>
        </w:rPr>
        <w:t>5</w:t>
      </w:r>
      <w:r w:rsidR="00890372" w:rsidRPr="000E3A45">
        <w:rPr>
          <w:sz w:val="26"/>
          <w:szCs w:val="26"/>
        </w:rPr>
        <w:t xml:space="preserve">, el Índice de Precios y Cotizaciones (IPyC) de la Bolsa Mexicana de Valores (BMV) </w:t>
      </w:r>
      <w:r w:rsidR="00E146C7">
        <w:rPr>
          <w:sz w:val="26"/>
          <w:szCs w:val="26"/>
        </w:rPr>
        <w:t>s</w:t>
      </w:r>
      <w:r w:rsidR="00890372" w:rsidRPr="000E3A45">
        <w:rPr>
          <w:sz w:val="26"/>
          <w:szCs w:val="26"/>
        </w:rPr>
        <w:t xml:space="preserve">e ubicó en </w:t>
      </w:r>
      <w:r w:rsidR="00A90DAD" w:rsidRPr="000E3A45">
        <w:rPr>
          <w:sz w:val="26"/>
          <w:szCs w:val="26"/>
        </w:rPr>
        <w:t>4</w:t>
      </w:r>
      <w:r w:rsidR="0077186B">
        <w:rPr>
          <w:sz w:val="26"/>
          <w:szCs w:val="26"/>
        </w:rPr>
        <w:t>5</w:t>
      </w:r>
      <w:r w:rsidR="00890372" w:rsidRPr="000E3A45">
        <w:rPr>
          <w:sz w:val="26"/>
          <w:szCs w:val="26"/>
        </w:rPr>
        <w:t xml:space="preserve"> mil </w:t>
      </w:r>
      <w:r w:rsidR="0077186B">
        <w:rPr>
          <w:sz w:val="26"/>
          <w:szCs w:val="26"/>
        </w:rPr>
        <w:t>29</w:t>
      </w:r>
      <w:r w:rsidR="000472DC">
        <w:rPr>
          <w:sz w:val="26"/>
          <w:szCs w:val="26"/>
        </w:rPr>
        <w:t>6</w:t>
      </w:r>
      <w:r w:rsidR="0077186B">
        <w:rPr>
          <w:sz w:val="26"/>
          <w:szCs w:val="26"/>
        </w:rPr>
        <w:t>.91</w:t>
      </w:r>
      <w:r w:rsidR="00890372" w:rsidRPr="000E3A45">
        <w:rPr>
          <w:sz w:val="26"/>
          <w:szCs w:val="26"/>
        </w:rPr>
        <w:t xml:space="preserve"> unidades lo que significó una </w:t>
      </w:r>
      <w:r>
        <w:rPr>
          <w:sz w:val="26"/>
          <w:szCs w:val="26"/>
        </w:rPr>
        <w:t>ganancia</w:t>
      </w:r>
      <w:r w:rsidR="00890372" w:rsidRPr="000E3A45">
        <w:rPr>
          <w:sz w:val="26"/>
          <w:szCs w:val="26"/>
        </w:rPr>
        <w:t xml:space="preserve"> </w:t>
      </w:r>
      <w:r w:rsidR="000A5B57" w:rsidRPr="000E3A45">
        <w:rPr>
          <w:sz w:val="26"/>
          <w:szCs w:val="26"/>
        </w:rPr>
        <w:t xml:space="preserve">nominal </w:t>
      </w:r>
      <w:r w:rsidR="00890372" w:rsidRPr="000E3A45">
        <w:rPr>
          <w:sz w:val="26"/>
          <w:szCs w:val="26"/>
        </w:rPr>
        <w:t xml:space="preserve">acumulada en el año de </w:t>
      </w:r>
      <w:r w:rsidR="000472DC">
        <w:rPr>
          <w:sz w:val="26"/>
          <w:szCs w:val="26"/>
        </w:rPr>
        <w:t>4</w:t>
      </w:r>
      <w:r w:rsidR="0077186B">
        <w:rPr>
          <w:sz w:val="26"/>
          <w:szCs w:val="26"/>
        </w:rPr>
        <w:t>.99</w:t>
      </w:r>
      <w:r w:rsidR="007B4FC9">
        <w:rPr>
          <w:sz w:val="26"/>
          <w:szCs w:val="26"/>
        </w:rPr>
        <w:t xml:space="preserve"> por ciento.</w:t>
      </w:r>
    </w:p>
    <w:p w14:paraId="45F163C4" w14:textId="60930652" w:rsidR="0077186B" w:rsidRDefault="0077186B" w:rsidP="0077186B">
      <w:pPr>
        <w:spacing w:after="360" w:line="360" w:lineRule="auto"/>
        <w:ind w:right="-159"/>
        <w:jc w:val="both"/>
        <w:rPr>
          <w:sz w:val="26"/>
          <w:szCs w:val="26"/>
        </w:rPr>
      </w:pPr>
      <w:r w:rsidRPr="0077186B">
        <w:rPr>
          <w:sz w:val="26"/>
          <w:szCs w:val="26"/>
        </w:rPr>
        <w:t>La Bolsa Mexicana de Valores gana en sus primeras operaciones de la mano de las plazas de Wall Street y animada por las acciones de la minorista Walmart de México (Walmex), que report</w:t>
      </w:r>
      <w:r w:rsidR="007E61E5">
        <w:rPr>
          <w:sz w:val="26"/>
          <w:szCs w:val="26"/>
        </w:rPr>
        <w:t>ó</w:t>
      </w:r>
      <w:r w:rsidRPr="0077186B">
        <w:rPr>
          <w:sz w:val="26"/>
          <w:szCs w:val="26"/>
        </w:rPr>
        <w:t xml:space="preserve"> un alza en su ganancia neta del primer trimestre.</w:t>
      </w:r>
    </w:p>
    <w:p w14:paraId="0366529B" w14:textId="77777777" w:rsidR="007E61E5" w:rsidRDefault="007E61E5" w:rsidP="0077186B">
      <w:pPr>
        <w:spacing w:after="360" w:line="360" w:lineRule="auto"/>
        <w:ind w:right="-159"/>
        <w:jc w:val="both"/>
        <w:rPr>
          <w:sz w:val="26"/>
          <w:szCs w:val="26"/>
        </w:rPr>
      </w:pPr>
    </w:p>
    <w:p w14:paraId="077BBD7C" w14:textId="2D626794" w:rsidR="007E61E5" w:rsidRDefault="004B199F" w:rsidP="004B199F">
      <w:pPr>
        <w:spacing w:after="360" w:line="360" w:lineRule="auto"/>
        <w:ind w:right="-159"/>
        <w:jc w:val="center"/>
        <w:rPr>
          <w:sz w:val="26"/>
          <w:szCs w:val="26"/>
        </w:rPr>
      </w:pPr>
      <w:r w:rsidRPr="004B199F">
        <w:rPr>
          <w:rFonts w:ascii="Calibri" w:eastAsia="Calibri" w:hAnsi="Calibri"/>
          <w:sz w:val="22"/>
          <w:szCs w:val="22"/>
          <w:lang w:eastAsia="en-US"/>
        </w:rPr>
        <w:lastRenderedPageBreak/>
        <w:fldChar w:fldCharType="begin"/>
      </w:r>
      <w:r w:rsidRPr="004B199F">
        <w:rPr>
          <w:rFonts w:ascii="Calibri" w:eastAsia="Calibri" w:hAnsi="Calibri"/>
          <w:sz w:val="22"/>
          <w:szCs w:val="22"/>
          <w:lang w:eastAsia="en-US"/>
        </w:rPr>
        <w:instrText xml:space="preserve"> LINK PowerPoint.Slide.8 "D:\\2015\\ABRIL\\GRÁFICAS POWER POINT\\28.-GRÁFICAS DE BOLSAS.pptx!291"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7AAF567C" wp14:editId="4F73ED46">
            <wp:extent cx="4386580" cy="2835910"/>
            <wp:effectExtent l="0" t="0" r="0" b="2540"/>
            <wp:docPr id="1892" name="Imagen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456" cstate="print">
                      <a:extLst>
                        <a:ext uri="{28A0092B-C50C-407E-A947-70E740481C1C}">
                          <a14:useLocalDpi xmlns:a14="http://schemas.microsoft.com/office/drawing/2010/main" val="0"/>
                        </a:ext>
                      </a:extLst>
                    </a:blip>
                    <a:srcRect l="2243" r="1505" b="17126"/>
                    <a:stretch>
                      <a:fillRect/>
                    </a:stretch>
                  </pic:blipFill>
                  <pic:spPr bwMode="auto">
                    <a:xfrm>
                      <a:off x="0" y="0"/>
                      <a:ext cx="4386580" cy="2835910"/>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64170490" w14:textId="77777777" w:rsidR="000D697D" w:rsidRDefault="000D697D" w:rsidP="007B498C">
      <w:pPr>
        <w:spacing w:after="360" w:line="360" w:lineRule="auto"/>
        <w:ind w:right="-159"/>
        <w:jc w:val="center"/>
        <w:rPr>
          <w:sz w:val="26"/>
          <w:szCs w:val="26"/>
        </w:rPr>
      </w:pPr>
    </w:p>
    <w:p w14:paraId="0FA03BC3" w14:textId="77777777" w:rsidR="009543B0" w:rsidRDefault="009543B0" w:rsidP="007B498C">
      <w:pPr>
        <w:spacing w:after="360" w:line="360" w:lineRule="auto"/>
        <w:ind w:right="-159"/>
        <w:jc w:val="center"/>
        <w:rPr>
          <w:sz w:val="26"/>
          <w:szCs w:val="26"/>
        </w:rPr>
      </w:pPr>
    </w:p>
    <w:p w14:paraId="11216B0E" w14:textId="77777777" w:rsidR="009543B0" w:rsidRDefault="009543B0" w:rsidP="007B498C">
      <w:pPr>
        <w:spacing w:after="360" w:line="360" w:lineRule="auto"/>
        <w:ind w:right="-159"/>
        <w:jc w:val="center"/>
        <w:rPr>
          <w:sz w:val="26"/>
          <w:szCs w:val="26"/>
        </w:rPr>
      </w:pPr>
    </w:p>
    <w:p w14:paraId="4A14A8F0" w14:textId="77777777" w:rsidR="009543B0" w:rsidRDefault="009543B0" w:rsidP="007B498C">
      <w:pPr>
        <w:spacing w:after="360" w:line="360" w:lineRule="auto"/>
        <w:ind w:right="-159"/>
        <w:jc w:val="center"/>
        <w:rPr>
          <w:sz w:val="26"/>
          <w:szCs w:val="26"/>
        </w:rPr>
      </w:pPr>
    </w:p>
    <w:p w14:paraId="15A1E983" w14:textId="77777777" w:rsidR="009543B0" w:rsidRDefault="009543B0" w:rsidP="007B498C">
      <w:pPr>
        <w:spacing w:after="360" w:line="360" w:lineRule="auto"/>
        <w:ind w:right="-159"/>
        <w:jc w:val="center"/>
        <w:rPr>
          <w:sz w:val="26"/>
          <w:szCs w:val="26"/>
        </w:rPr>
      </w:pPr>
    </w:p>
    <w:p w14:paraId="7F8816C2" w14:textId="77777777" w:rsidR="009543B0" w:rsidRDefault="009543B0" w:rsidP="007B498C">
      <w:pPr>
        <w:spacing w:after="360" w:line="360" w:lineRule="auto"/>
        <w:ind w:right="-159"/>
        <w:jc w:val="center"/>
        <w:rPr>
          <w:sz w:val="26"/>
          <w:szCs w:val="26"/>
        </w:rPr>
      </w:pPr>
    </w:p>
    <w:p w14:paraId="22DE1E51" w14:textId="77777777" w:rsidR="009543B0" w:rsidRDefault="009543B0" w:rsidP="007B498C">
      <w:pPr>
        <w:spacing w:after="360" w:line="360" w:lineRule="auto"/>
        <w:ind w:right="-159"/>
        <w:jc w:val="center"/>
        <w:rPr>
          <w:sz w:val="26"/>
          <w:szCs w:val="26"/>
        </w:rPr>
      </w:pPr>
    </w:p>
    <w:p w14:paraId="3E3DDD6C" w14:textId="77777777" w:rsidR="009543B0" w:rsidRDefault="009543B0" w:rsidP="007B498C">
      <w:pPr>
        <w:spacing w:after="360" w:line="360" w:lineRule="auto"/>
        <w:ind w:right="-159"/>
        <w:jc w:val="center"/>
        <w:rPr>
          <w:sz w:val="26"/>
          <w:szCs w:val="26"/>
        </w:rPr>
      </w:pPr>
    </w:p>
    <w:p w14:paraId="66644376" w14:textId="77777777" w:rsidR="009543B0" w:rsidRDefault="009543B0" w:rsidP="007B498C">
      <w:pPr>
        <w:spacing w:after="360" w:line="360" w:lineRule="auto"/>
        <w:ind w:right="-159"/>
        <w:jc w:val="center"/>
        <w:rPr>
          <w:sz w:val="26"/>
          <w:szCs w:val="26"/>
        </w:rPr>
      </w:pPr>
    </w:p>
    <w:p w14:paraId="2F7CEDCB" w14:textId="77777777" w:rsidR="009543B0" w:rsidRDefault="009543B0" w:rsidP="007B498C">
      <w:pPr>
        <w:spacing w:after="360" w:line="360" w:lineRule="auto"/>
        <w:ind w:right="-159"/>
        <w:jc w:val="center"/>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1800"/>
        <w:gridCol w:w="1800"/>
        <w:gridCol w:w="1568"/>
      </w:tblGrid>
      <w:tr w:rsidR="00ED553C" w:rsidRPr="000E3A45" w14:paraId="5486F943" w14:textId="77777777" w:rsidTr="00846735">
        <w:trPr>
          <w:cantSplit/>
          <w:jc w:val="center"/>
        </w:trPr>
        <w:tc>
          <w:tcPr>
            <w:tcW w:w="6968" w:type="dxa"/>
            <w:gridSpan w:val="4"/>
            <w:tcBorders>
              <w:top w:val="nil"/>
              <w:left w:val="nil"/>
              <w:bottom w:val="single" w:sz="4" w:space="0" w:color="auto"/>
              <w:right w:val="nil"/>
            </w:tcBorders>
          </w:tcPr>
          <w:p w14:paraId="191E0E9F" w14:textId="77777777" w:rsidR="00ED553C" w:rsidRPr="000E3A45" w:rsidRDefault="00ED553C" w:rsidP="0069057C">
            <w:pPr>
              <w:widowControl w:val="0"/>
              <w:adjustRightInd w:val="0"/>
              <w:jc w:val="center"/>
              <w:textAlignment w:val="baseline"/>
              <w:rPr>
                <w:b/>
                <w:bCs/>
                <w:sz w:val="22"/>
                <w:lang w:eastAsia="en-US"/>
              </w:rPr>
            </w:pPr>
            <w:r w:rsidRPr="000E3A45">
              <w:rPr>
                <w:b/>
                <w:bCs/>
                <w:sz w:val="22"/>
                <w:lang w:eastAsia="en-US"/>
              </w:rPr>
              <w:lastRenderedPageBreak/>
              <w:t xml:space="preserve">RENDIMIENTO DEL </w:t>
            </w:r>
            <w:r w:rsidR="00023871" w:rsidRPr="000E3A45">
              <w:rPr>
                <w:b/>
                <w:bCs/>
                <w:sz w:val="22"/>
                <w:lang w:eastAsia="en-US"/>
              </w:rPr>
              <w:t>Í</w:t>
            </w:r>
            <w:r w:rsidR="008B6ECA" w:rsidRPr="000E3A45">
              <w:rPr>
                <w:b/>
                <w:bCs/>
                <w:sz w:val="22"/>
                <w:lang w:eastAsia="en-US"/>
              </w:rPr>
              <w:t>NDICE</w:t>
            </w:r>
            <w:r w:rsidRPr="000E3A45">
              <w:rPr>
                <w:b/>
                <w:bCs/>
                <w:sz w:val="22"/>
                <w:lang w:eastAsia="en-US"/>
              </w:rPr>
              <w:t xml:space="preserve"> DE PRECIOS Y COTIZACIONES</w:t>
            </w:r>
          </w:p>
          <w:p w14:paraId="3123AD59" w14:textId="77777777" w:rsidR="00ED553C" w:rsidRPr="000E3A45" w:rsidRDefault="00ED553C" w:rsidP="0069057C">
            <w:pPr>
              <w:widowControl w:val="0"/>
              <w:adjustRightInd w:val="0"/>
              <w:jc w:val="center"/>
              <w:textAlignment w:val="baseline"/>
              <w:rPr>
                <w:b/>
                <w:bCs/>
                <w:sz w:val="22"/>
                <w:lang w:eastAsia="en-US"/>
              </w:rPr>
            </w:pPr>
            <w:r w:rsidRPr="000E3A45">
              <w:rPr>
                <w:b/>
                <w:bCs/>
                <w:sz w:val="22"/>
                <w:lang w:eastAsia="en-US"/>
              </w:rPr>
              <w:t>DE LA BOLSA MEXICANA DE VALORES</w:t>
            </w:r>
          </w:p>
          <w:p w14:paraId="40BE0307" w14:textId="77777777" w:rsidR="00ED553C" w:rsidRPr="000E3A45" w:rsidRDefault="00ED553C" w:rsidP="0069057C">
            <w:pPr>
              <w:widowControl w:val="0"/>
              <w:adjustRightInd w:val="0"/>
              <w:spacing w:after="60"/>
              <w:jc w:val="center"/>
              <w:textAlignment w:val="baseline"/>
              <w:rPr>
                <w:b/>
                <w:bCs/>
                <w:sz w:val="22"/>
              </w:rPr>
            </w:pPr>
            <w:r w:rsidRPr="000E3A45">
              <w:rPr>
                <w:b/>
                <w:bCs/>
                <w:sz w:val="22"/>
              </w:rPr>
              <w:t>- Por ciento -</w:t>
            </w:r>
          </w:p>
        </w:tc>
      </w:tr>
      <w:tr w:rsidR="00ED553C" w:rsidRPr="000E3A45" w14:paraId="4D0C20E0" w14:textId="77777777" w:rsidTr="00846735">
        <w:trPr>
          <w:jc w:val="center"/>
        </w:trPr>
        <w:tc>
          <w:tcPr>
            <w:tcW w:w="1800" w:type="dxa"/>
            <w:tcBorders>
              <w:bottom w:val="single" w:sz="4" w:space="0" w:color="auto"/>
            </w:tcBorders>
          </w:tcPr>
          <w:p w14:paraId="59155163" w14:textId="77777777" w:rsidR="00ED553C" w:rsidRPr="000E3A45" w:rsidRDefault="00ED553C" w:rsidP="00773E01">
            <w:pPr>
              <w:widowControl w:val="0"/>
              <w:adjustRightInd w:val="0"/>
              <w:jc w:val="center"/>
              <w:textAlignment w:val="baseline"/>
              <w:rPr>
                <w:b/>
                <w:sz w:val="20"/>
              </w:rPr>
            </w:pPr>
            <w:r w:rsidRPr="000E3A45">
              <w:rPr>
                <w:b/>
                <w:sz w:val="20"/>
              </w:rPr>
              <w:t>Diciembre de cada año</w:t>
            </w:r>
          </w:p>
        </w:tc>
        <w:tc>
          <w:tcPr>
            <w:tcW w:w="1800" w:type="dxa"/>
            <w:tcBorders>
              <w:bottom w:val="single" w:sz="4" w:space="0" w:color="auto"/>
            </w:tcBorders>
          </w:tcPr>
          <w:p w14:paraId="21E018D6" w14:textId="77777777" w:rsidR="00ED553C" w:rsidRPr="000E3A45" w:rsidRDefault="00ED553C" w:rsidP="00773E01">
            <w:pPr>
              <w:widowControl w:val="0"/>
              <w:adjustRightInd w:val="0"/>
              <w:jc w:val="center"/>
              <w:textAlignment w:val="baseline"/>
              <w:rPr>
                <w:b/>
                <w:sz w:val="20"/>
              </w:rPr>
            </w:pPr>
            <w:r w:rsidRPr="000E3A45">
              <w:rPr>
                <w:b/>
                <w:sz w:val="20"/>
              </w:rPr>
              <w:t>Rendimiento nominal anual</w:t>
            </w:r>
          </w:p>
        </w:tc>
        <w:tc>
          <w:tcPr>
            <w:tcW w:w="1800" w:type="dxa"/>
            <w:tcBorders>
              <w:bottom w:val="single" w:sz="4" w:space="0" w:color="auto"/>
            </w:tcBorders>
            <w:vAlign w:val="center"/>
          </w:tcPr>
          <w:p w14:paraId="2D25835D" w14:textId="77777777" w:rsidR="00ED553C" w:rsidRPr="000E3A45" w:rsidRDefault="00ED553C" w:rsidP="00773E01">
            <w:pPr>
              <w:widowControl w:val="0"/>
              <w:adjustRightInd w:val="0"/>
              <w:jc w:val="center"/>
              <w:textAlignment w:val="baseline"/>
              <w:rPr>
                <w:b/>
                <w:sz w:val="20"/>
              </w:rPr>
            </w:pPr>
            <w:r w:rsidRPr="000E3A45">
              <w:rPr>
                <w:b/>
                <w:sz w:val="20"/>
              </w:rPr>
              <w:t xml:space="preserve">Inflación anual </w:t>
            </w:r>
          </w:p>
        </w:tc>
        <w:tc>
          <w:tcPr>
            <w:tcW w:w="1568" w:type="dxa"/>
            <w:tcBorders>
              <w:bottom w:val="single" w:sz="4" w:space="0" w:color="auto"/>
            </w:tcBorders>
          </w:tcPr>
          <w:p w14:paraId="132D546A" w14:textId="77777777" w:rsidR="00ED553C" w:rsidRPr="000E3A45" w:rsidRDefault="00ED553C" w:rsidP="00773E01">
            <w:pPr>
              <w:widowControl w:val="0"/>
              <w:adjustRightInd w:val="0"/>
              <w:jc w:val="center"/>
              <w:textAlignment w:val="baseline"/>
              <w:rPr>
                <w:b/>
                <w:sz w:val="20"/>
              </w:rPr>
            </w:pPr>
            <w:r w:rsidRPr="000E3A45">
              <w:rPr>
                <w:b/>
                <w:sz w:val="20"/>
              </w:rPr>
              <w:t>Rendimiento real</w:t>
            </w:r>
          </w:p>
        </w:tc>
      </w:tr>
      <w:tr w:rsidR="00ED553C" w:rsidRPr="000E3A45" w14:paraId="3EAD1EB2" w14:textId="77777777" w:rsidTr="00846735">
        <w:trPr>
          <w:jc w:val="center"/>
        </w:trPr>
        <w:tc>
          <w:tcPr>
            <w:tcW w:w="1800" w:type="dxa"/>
            <w:tcBorders>
              <w:top w:val="nil"/>
              <w:bottom w:val="nil"/>
              <w:right w:val="single" w:sz="4" w:space="0" w:color="auto"/>
            </w:tcBorders>
          </w:tcPr>
          <w:p w14:paraId="65561E52" w14:textId="77777777" w:rsidR="00ED553C" w:rsidRPr="000E3A45" w:rsidRDefault="00ED553C" w:rsidP="00773E01">
            <w:pPr>
              <w:widowControl w:val="0"/>
              <w:adjustRightInd w:val="0"/>
              <w:jc w:val="center"/>
              <w:textAlignment w:val="baseline"/>
              <w:rPr>
                <w:bCs/>
                <w:sz w:val="20"/>
              </w:rPr>
            </w:pPr>
            <w:r w:rsidRPr="000E3A45">
              <w:rPr>
                <w:bCs/>
                <w:sz w:val="20"/>
              </w:rPr>
              <w:t>2006</w:t>
            </w:r>
          </w:p>
        </w:tc>
        <w:tc>
          <w:tcPr>
            <w:tcW w:w="1800" w:type="dxa"/>
            <w:tcBorders>
              <w:top w:val="nil"/>
              <w:left w:val="single" w:sz="4" w:space="0" w:color="auto"/>
              <w:bottom w:val="nil"/>
              <w:right w:val="single" w:sz="4" w:space="0" w:color="auto"/>
            </w:tcBorders>
          </w:tcPr>
          <w:p w14:paraId="33D60DAD" w14:textId="77777777" w:rsidR="00ED553C" w:rsidRPr="000E3A45" w:rsidRDefault="00ED553C" w:rsidP="00773E01">
            <w:pPr>
              <w:widowControl w:val="0"/>
              <w:adjustRightInd w:val="0"/>
              <w:ind w:right="510"/>
              <w:jc w:val="right"/>
              <w:textAlignment w:val="baseline"/>
              <w:rPr>
                <w:sz w:val="20"/>
              </w:rPr>
            </w:pPr>
            <w:r w:rsidRPr="000E3A45">
              <w:rPr>
                <w:sz w:val="20"/>
              </w:rPr>
              <w:t>48.56</w:t>
            </w:r>
          </w:p>
        </w:tc>
        <w:tc>
          <w:tcPr>
            <w:tcW w:w="1800" w:type="dxa"/>
            <w:tcBorders>
              <w:top w:val="nil"/>
              <w:left w:val="single" w:sz="4" w:space="0" w:color="auto"/>
              <w:bottom w:val="nil"/>
              <w:right w:val="single" w:sz="4" w:space="0" w:color="auto"/>
            </w:tcBorders>
          </w:tcPr>
          <w:p w14:paraId="35D7702D" w14:textId="77777777" w:rsidR="00ED553C" w:rsidRPr="000E3A45" w:rsidRDefault="00ED553C" w:rsidP="00773E01">
            <w:pPr>
              <w:widowControl w:val="0"/>
              <w:adjustRightInd w:val="0"/>
              <w:ind w:right="510"/>
              <w:jc w:val="right"/>
              <w:textAlignment w:val="baseline"/>
              <w:rPr>
                <w:sz w:val="20"/>
              </w:rPr>
            </w:pPr>
            <w:r w:rsidRPr="000E3A45">
              <w:rPr>
                <w:sz w:val="20"/>
              </w:rPr>
              <w:t>4.05</w:t>
            </w:r>
          </w:p>
        </w:tc>
        <w:tc>
          <w:tcPr>
            <w:tcW w:w="1568" w:type="dxa"/>
            <w:tcBorders>
              <w:top w:val="nil"/>
              <w:left w:val="single" w:sz="4" w:space="0" w:color="auto"/>
              <w:bottom w:val="nil"/>
            </w:tcBorders>
          </w:tcPr>
          <w:p w14:paraId="24F74F62" w14:textId="77777777" w:rsidR="00ED553C" w:rsidRPr="000E3A45" w:rsidRDefault="00ED553C" w:rsidP="00773E01">
            <w:pPr>
              <w:widowControl w:val="0"/>
              <w:adjustRightInd w:val="0"/>
              <w:ind w:right="510"/>
              <w:jc w:val="right"/>
              <w:textAlignment w:val="baseline"/>
              <w:rPr>
                <w:sz w:val="20"/>
                <w:szCs w:val="20"/>
              </w:rPr>
            </w:pPr>
            <w:r w:rsidRPr="000E3A45">
              <w:rPr>
                <w:sz w:val="20"/>
                <w:szCs w:val="20"/>
              </w:rPr>
              <w:t>42.78</w:t>
            </w:r>
          </w:p>
        </w:tc>
      </w:tr>
      <w:tr w:rsidR="0082781C" w:rsidRPr="000E3A45" w14:paraId="1B5823C3" w14:textId="77777777" w:rsidTr="00846735">
        <w:trPr>
          <w:jc w:val="center"/>
        </w:trPr>
        <w:tc>
          <w:tcPr>
            <w:tcW w:w="1800" w:type="dxa"/>
            <w:tcBorders>
              <w:top w:val="nil"/>
              <w:bottom w:val="nil"/>
              <w:right w:val="single" w:sz="4" w:space="0" w:color="auto"/>
            </w:tcBorders>
          </w:tcPr>
          <w:p w14:paraId="127F6011" w14:textId="77777777" w:rsidR="0082781C" w:rsidRPr="000E3A45" w:rsidRDefault="0082781C" w:rsidP="00773E01">
            <w:pPr>
              <w:widowControl w:val="0"/>
              <w:adjustRightInd w:val="0"/>
              <w:jc w:val="center"/>
              <w:textAlignment w:val="baseline"/>
              <w:rPr>
                <w:bCs/>
                <w:sz w:val="20"/>
              </w:rPr>
            </w:pPr>
            <w:r w:rsidRPr="000E3A45">
              <w:rPr>
                <w:bCs/>
                <w:sz w:val="20"/>
              </w:rPr>
              <w:t>2007</w:t>
            </w:r>
          </w:p>
        </w:tc>
        <w:tc>
          <w:tcPr>
            <w:tcW w:w="1800" w:type="dxa"/>
            <w:tcBorders>
              <w:top w:val="nil"/>
              <w:left w:val="single" w:sz="4" w:space="0" w:color="auto"/>
              <w:bottom w:val="nil"/>
              <w:right w:val="single" w:sz="4" w:space="0" w:color="auto"/>
            </w:tcBorders>
          </w:tcPr>
          <w:p w14:paraId="3B953801" w14:textId="77777777" w:rsidR="0082781C" w:rsidRPr="000E3A45" w:rsidRDefault="0082781C" w:rsidP="00773E01">
            <w:pPr>
              <w:widowControl w:val="0"/>
              <w:adjustRightInd w:val="0"/>
              <w:ind w:right="510"/>
              <w:jc w:val="right"/>
              <w:textAlignment w:val="baseline"/>
              <w:rPr>
                <w:sz w:val="20"/>
              </w:rPr>
            </w:pPr>
            <w:r w:rsidRPr="000E3A45">
              <w:rPr>
                <w:sz w:val="20"/>
              </w:rPr>
              <w:t>11.68</w:t>
            </w:r>
          </w:p>
        </w:tc>
        <w:tc>
          <w:tcPr>
            <w:tcW w:w="1800" w:type="dxa"/>
            <w:tcBorders>
              <w:top w:val="nil"/>
              <w:left w:val="single" w:sz="4" w:space="0" w:color="auto"/>
              <w:bottom w:val="nil"/>
              <w:right w:val="single" w:sz="4" w:space="0" w:color="auto"/>
            </w:tcBorders>
          </w:tcPr>
          <w:p w14:paraId="6692514F" w14:textId="77777777" w:rsidR="0082781C" w:rsidRPr="000E3A45" w:rsidRDefault="0082781C" w:rsidP="00773E01">
            <w:pPr>
              <w:widowControl w:val="0"/>
              <w:adjustRightInd w:val="0"/>
              <w:ind w:right="510"/>
              <w:jc w:val="right"/>
              <w:textAlignment w:val="baseline"/>
              <w:rPr>
                <w:sz w:val="20"/>
              </w:rPr>
            </w:pPr>
            <w:r w:rsidRPr="000E3A45">
              <w:rPr>
                <w:sz w:val="20"/>
              </w:rPr>
              <w:t>3.79</w:t>
            </w:r>
          </w:p>
        </w:tc>
        <w:tc>
          <w:tcPr>
            <w:tcW w:w="1568" w:type="dxa"/>
            <w:tcBorders>
              <w:top w:val="nil"/>
              <w:left w:val="single" w:sz="4" w:space="0" w:color="auto"/>
              <w:bottom w:val="nil"/>
            </w:tcBorders>
          </w:tcPr>
          <w:p w14:paraId="16462077" w14:textId="77777777" w:rsidR="0082781C" w:rsidRPr="000E3A45" w:rsidRDefault="0082781C" w:rsidP="00773E01">
            <w:pPr>
              <w:widowControl w:val="0"/>
              <w:adjustRightInd w:val="0"/>
              <w:ind w:right="510"/>
              <w:jc w:val="right"/>
              <w:textAlignment w:val="baseline"/>
              <w:rPr>
                <w:sz w:val="20"/>
                <w:szCs w:val="20"/>
              </w:rPr>
            </w:pPr>
            <w:r w:rsidRPr="000E3A45">
              <w:rPr>
                <w:sz w:val="20"/>
                <w:szCs w:val="20"/>
              </w:rPr>
              <w:t>7.64</w:t>
            </w:r>
          </w:p>
        </w:tc>
      </w:tr>
      <w:tr w:rsidR="000C3610" w:rsidRPr="000E3A45" w14:paraId="618750D2" w14:textId="77777777" w:rsidTr="00846735">
        <w:trPr>
          <w:jc w:val="center"/>
        </w:trPr>
        <w:tc>
          <w:tcPr>
            <w:tcW w:w="1800" w:type="dxa"/>
            <w:tcBorders>
              <w:top w:val="nil"/>
              <w:bottom w:val="nil"/>
              <w:right w:val="single" w:sz="4" w:space="0" w:color="auto"/>
            </w:tcBorders>
          </w:tcPr>
          <w:p w14:paraId="1F60C1F7" w14:textId="77777777" w:rsidR="000C3610" w:rsidRPr="000E3A45" w:rsidRDefault="000C3610" w:rsidP="002635A8">
            <w:pPr>
              <w:widowControl w:val="0"/>
              <w:adjustRightInd w:val="0"/>
              <w:jc w:val="center"/>
              <w:textAlignment w:val="baseline"/>
              <w:rPr>
                <w:bCs/>
                <w:sz w:val="20"/>
              </w:rPr>
            </w:pPr>
            <w:r w:rsidRPr="000E3A45">
              <w:rPr>
                <w:bCs/>
                <w:sz w:val="20"/>
              </w:rPr>
              <w:t>2008</w:t>
            </w:r>
          </w:p>
        </w:tc>
        <w:tc>
          <w:tcPr>
            <w:tcW w:w="1800" w:type="dxa"/>
            <w:tcBorders>
              <w:top w:val="nil"/>
              <w:left w:val="single" w:sz="4" w:space="0" w:color="auto"/>
              <w:bottom w:val="nil"/>
              <w:right w:val="single" w:sz="4" w:space="0" w:color="auto"/>
            </w:tcBorders>
          </w:tcPr>
          <w:p w14:paraId="5DFDD734" w14:textId="77777777" w:rsidR="000C3610" w:rsidRPr="000E3A45" w:rsidRDefault="000C3610" w:rsidP="008C5352">
            <w:pPr>
              <w:widowControl w:val="0"/>
              <w:adjustRightInd w:val="0"/>
              <w:ind w:right="510"/>
              <w:jc w:val="right"/>
              <w:textAlignment w:val="baseline"/>
              <w:rPr>
                <w:sz w:val="20"/>
              </w:rPr>
            </w:pPr>
            <w:r w:rsidRPr="000E3A45">
              <w:rPr>
                <w:sz w:val="20"/>
              </w:rPr>
              <w:t>-24.23</w:t>
            </w:r>
          </w:p>
        </w:tc>
        <w:tc>
          <w:tcPr>
            <w:tcW w:w="1800" w:type="dxa"/>
            <w:tcBorders>
              <w:top w:val="nil"/>
              <w:left w:val="single" w:sz="4" w:space="0" w:color="auto"/>
              <w:bottom w:val="nil"/>
              <w:right w:val="single" w:sz="4" w:space="0" w:color="auto"/>
            </w:tcBorders>
          </w:tcPr>
          <w:p w14:paraId="6E35C1C0" w14:textId="77777777" w:rsidR="000C3610" w:rsidRPr="000E3A45" w:rsidRDefault="000C3610" w:rsidP="008C5352">
            <w:pPr>
              <w:widowControl w:val="0"/>
              <w:adjustRightInd w:val="0"/>
              <w:ind w:right="510"/>
              <w:jc w:val="right"/>
              <w:textAlignment w:val="baseline"/>
              <w:rPr>
                <w:sz w:val="20"/>
              </w:rPr>
            </w:pPr>
            <w:r w:rsidRPr="000E3A45">
              <w:rPr>
                <w:sz w:val="20"/>
              </w:rPr>
              <w:t>6.53</w:t>
            </w:r>
          </w:p>
        </w:tc>
        <w:tc>
          <w:tcPr>
            <w:tcW w:w="1568" w:type="dxa"/>
            <w:tcBorders>
              <w:top w:val="nil"/>
              <w:left w:val="single" w:sz="4" w:space="0" w:color="auto"/>
              <w:bottom w:val="nil"/>
            </w:tcBorders>
          </w:tcPr>
          <w:p w14:paraId="1F56D71E" w14:textId="77777777" w:rsidR="000C3610" w:rsidRPr="000E3A45" w:rsidRDefault="000C3610" w:rsidP="008C5352">
            <w:pPr>
              <w:widowControl w:val="0"/>
              <w:adjustRightInd w:val="0"/>
              <w:ind w:right="510"/>
              <w:jc w:val="right"/>
              <w:textAlignment w:val="baseline"/>
              <w:rPr>
                <w:sz w:val="20"/>
                <w:szCs w:val="20"/>
              </w:rPr>
            </w:pPr>
            <w:r w:rsidRPr="000E3A45">
              <w:rPr>
                <w:sz w:val="20"/>
                <w:szCs w:val="20"/>
              </w:rPr>
              <w:t>-32.24</w:t>
            </w:r>
          </w:p>
        </w:tc>
      </w:tr>
      <w:tr w:rsidR="000C3610" w:rsidRPr="000E3A45" w14:paraId="7E111C93" w14:textId="77777777" w:rsidTr="00846735">
        <w:trPr>
          <w:jc w:val="center"/>
        </w:trPr>
        <w:tc>
          <w:tcPr>
            <w:tcW w:w="1800" w:type="dxa"/>
            <w:tcBorders>
              <w:top w:val="nil"/>
              <w:bottom w:val="nil"/>
              <w:right w:val="single" w:sz="4" w:space="0" w:color="auto"/>
            </w:tcBorders>
          </w:tcPr>
          <w:p w14:paraId="1F34679A" w14:textId="77777777" w:rsidR="000C3610" w:rsidRPr="000E3A45" w:rsidRDefault="000C3610" w:rsidP="008C5352">
            <w:pPr>
              <w:widowControl w:val="0"/>
              <w:adjustRightInd w:val="0"/>
              <w:jc w:val="center"/>
              <w:textAlignment w:val="baseline"/>
              <w:rPr>
                <w:bCs/>
                <w:sz w:val="20"/>
              </w:rPr>
            </w:pPr>
            <w:r w:rsidRPr="000E3A45">
              <w:rPr>
                <w:bCs/>
                <w:sz w:val="20"/>
              </w:rPr>
              <w:t>2009</w:t>
            </w:r>
          </w:p>
        </w:tc>
        <w:tc>
          <w:tcPr>
            <w:tcW w:w="1800" w:type="dxa"/>
            <w:tcBorders>
              <w:top w:val="nil"/>
              <w:left w:val="single" w:sz="4" w:space="0" w:color="auto"/>
              <w:bottom w:val="nil"/>
              <w:right w:val="single" w:sz="4" w:space="0" w:color="auto"/>
            </w:tcBorders>
          </w:tcPr>
          <w:p w14:paraId="38773438" w14:textId="77777777" w:rsidR="000C3610" w:rsidRPr="000E3A45" w:rsidRDefault="000C3610" w:rsidP="00F542BF">
            <w:pPr>
              <w:widowControl w:val="0"/>
              <w:adjustRightInd w:val="0"/>
              <w:ind w:right="510"/>
              <w:jc w:val="right"/>
              <w:textAlignment w:val="baseline"/>
              <w:rPr>
                <w:sz w:val="20"/>
              </w:rPr>
            </w:pPr>
            <w:r w:rsidRPr="000E3A45">
              <w:rPr>
                <w:sz w:val="20"/>
              </w:rPr>
              <w:t>43.52</w:t>
            </w:r>
          </w:p>
        </w:tc>
        <w:tc>
          <w:tcPr>
            <w:tcW w:w="1800" w:type="dxa"/>
            <w:tcBorders>
              <w:top w:val="nil"/>
              <w:left w:val="single" w:sz="4" w:space="0" w:color="auto"/>
              <w:bottom w:val="nil"/>
              <w:right w:val="single" w:sz="4" w:space="0" w:color="auto"/>
            </w:tcBorders>
          </w:tcPr>
          <w:p w14:paraId="501B27CD" w14:textId="77777777" w:rsidR="000C3610" w:rsidRPr="000E3A45" w:rsidRDefault="000C3610" w:rsidP="00801DCF">
            <w:pPr>
              <w:widowControl w:val="0"/>
              <w:adjustRightInd w:val="0"/>
              <w:ind w:right="510"/>
              <w:jc w:val="right"/>
              <w:textAlignment w:val="baseline"/>
              <w:rPr>
                <w:sz w:val="20"/>
              </w:rPr>
            </w:pPr>
            <w:r w:rsidRPr="000E3A45">
              <w:rPr>
                <w:sz w:val="20"/>
              </w:rPr>
              <w:t>3.57</w:t>
            </w:r>
          </w:p>
        </w:tc>
        <w:tc>
          <w:tcPr>
            <w:tcW w:w="1568" w:type="dxa"/>
            <w:tcBorders>
              <w:top w:val="nil"/>
              <w:left w:val="single" w:sz="4" w:space="0" w:color="auto"/>
              <w:bottom w:val="nil"/>
            </w:tcBorders>
          </w:tcPr>
          <w:p w14:paraId="3CD2CD0C" w14:textId="77777777" w:rsidR="000C3610" w:rsidRPr="000E3A45" w:rsidRDefault="000C3610" w:rsidP="00801DCF">
            <w:pPr>
              <w:widowControl w:val="0"/>
              <w:adjustRightInd w:val="0"/>
              <w:ind w:right="510"/>
              <w:jc w:val="right"/>
              <w:textAlignment w:val="baseline"/>
              <w:rPr>
                <w:sz w:val="20"/>
                <w:szCs w:val="20"/>
              </w:rPr>
            </w:pPr>
            <w:r w:rsidRPr="000E3A45">
              <w:rPr>
                <w:sz w:val="20"/>
                <w:szCs w:val="20"/>
              </w:rPr>
              <w:t>38.57</w:t>
            </w:r>
          </w:p>
        </w:tc>
      </w:tr>
      <w:tr w:rsidR="00D67994" w:rsidRPr="000E3A45" w14:paraId="5960DF96" w14:textId="77777777" w:rsidTr="00846735">
        <w:trPr>
          <w:jc w:val="center"/>
        </w:trPr>
        <w:tc>
          <w:tcPr>
            <w:tcW w:w="1800" w:type="dxa"/>
            <w:tcBorders>
              <w:top w:val="nil"/>
              <w:bottom w:val="nil"/>
              <w:right w:val="single" w:sz="4" w:space="0" w:color="auto"/>
            </w:tcBorders>
          </w:tcPr>
          <w:p w14:paraId="71821DB9" w14:textId="77777777" w:rsidR="00D67994" w:rsidRPr="000E3A45" w:rsidRDefault="00D67994" w:rsidP="008C5352">
            <w:pPr>
              <w:widowControl w:val="0"/>
              <w:adjustRightInd w:val="0"/>
              <w:jc w:val="center"/>
              <w:textAlignment w:val="baseline"/>
              <w:rPr>
                <w:bCs/>
                <w:sz w:val="20"/>
              </w:rPr>
            </w:pPr>
            <w:r w:rsidRPr="000E3A45">
              <w:rPr>
                <w:bCs/>
                <w:sz w:val="20"/>
              </w:rPr>
              <w:t>2010</w:t>
            </w:r>
          </w:p>
        </w:tc>
        <w:tc>
          <w:tcPr>
            <w:tcW w:w="1800" w:type="dxa"/>
            <w:tcBorders>
              <w:top w:val="nil"/>
              <w:left w:val="single" w:sz="4" w:space="0" w:color="auto"/>
              <w:bottom w:val="nil"/>
              <w:right w:val="single" w:sz="4" w:space="0" w:color="auto"/>
            </w:tcBorders>
          </w:tcPr>
          <w:p w14:paraId="27BB38D2" w14:textId="77777777" w:rsidR="00D67994" w:rsidRPr="000E3A45" w:rsidRDefault="00D67994" w:rsidP="00F542BF">
            <w:pPr>
              <w:widowControl w:val="0"/>
              <w:adjustRightInd w:val="0"/>
              <w:ind w:right="510"/>
              <w:jc w:val="right"/>
              <w:textAlignment w:val="baseline"/>
              <w:rPr>
                <w:sz w:val="20"/>
              </w:rPr>
            </w:pPr>
            <w:r w:rsidRPr="000E3A45">
              <w:rPr>
                <w:sz w:val="20"/>
              </w:rPr>
              <w:t>20.02</w:t>
            </w:r>
          </w:p>
        </w:tc>
        <w:tc>
          <w:tcPr>
            <w:tcW w:w="1800" w:type="dxa"/>
            <w:tcBorders>
              <w:top w:val="nil"/>
              <w:left w:val="single" w:sz="4" w:space="0" w:color="auto"/>
              <w:bottom w:val="nil"/>
              <w:right w:val="single" w:sz="4" w:space="0" w:color="auto"/>
            </w:tcBorders>
          </w:tcPr>
          <w:p w14:paraId="547F9872" w14:textId="77777777" w:rsidR="00D67994" w:rsidRPr="000E3A45" w:rsidRDefault="00D67994" w:rsidP="00801DCF">
            <w:pPr>
              <w:widowControl w:val="0"/>
              <w:adjustRightInd w:val="0"/>
              <w:ind w:right="510"/>
              <w:jc w:val="right"/>
              <w:textAlignment w:val="baseline"/>
              <w:rPr>
                <w:sz w:val="20"/>
              </w:rPr>
            </w:pPr>
            <w:r w:rsidRPr="000E3A45">
              <w:rPr>
                <w:sz w:val="20"/>
              </w:rPr>
              <w:t>4.40</w:t>
            </w:r>
          </w:p>
        </w:tc>
        <w:tc>
          <w:tcPr>
            <w:tcW w:w="1568" w:type="dxa"/>
            <w:tcBorders>
              <w:top w:val="nil"/>
              <w:left w:val="single" w:sz="4" w:space="0" w:color="auto"/>
              <w:bottom w:val="nil"/>
            </w:tcBorders>
          </w:tcPr>
          <w:p w14:paraId="3E08242E" w14:textId="77777777" w:rsidR="00D67994" w:rsidRPr="000E3A45" w:rsidRDefault="00D67994" w:rsidP="00801DCF">
            <w:pPr>
              <w:widowControl w:val="0"/>
              <w:adjustRightInd w:val="0"/>
              <w:ind w:right="510"/>
              <w:jc w:val="right"/>
              <w:textAlignment w:val="baseline"/>
              <w:rPr>
                <w:sz w:val="20"/>
                <w:szCs w:val="20"/>
              </w:rPr>
            </w:pPr>
            <w:r w:rsidRPr="000E3A45">
              <w:rPr>
                <w:sz w:val="20"/>
                <w:szCs w:val="20"/>
              </w:rPr>
              <w:t>14.96</w:t>
            </w:r>
          </w:p>
        </w:tc>
      </w:tr>
      <w:tr w:rsidR="009E0298" w:rsidRPr="000E3A45" w14:paraId="433C5127" w14:textId="77777777" w:rsidTr="002E524C">
        <w:trPr>
          <w:jc w:val="center"/>
        </w:trPr>
        <w:tc>
          <w:tcPr>
            <w:tcW w:w="1800" w:type="dxa"/>
            <w:tcBorders>
              <w:top w:val="nil"/>
              <w:bottom w:val="nil"/>
              <w:right w:val="single" w:sz="4" w:space="0" w:color="auto"/>
            </w:tcBorders>
          </w:tcPr>
          <w:p w14:paraId="746E6664" w14:textId="77777777" w:rsidR="009E0298" w:rsidRPr="000E3A45" w:rsidRDefault="009E0298" w:rsidP="008C5352">
            <w:pPr>
              <w:widowControl w:val="0"/>
              <w:adjustRightInd w:val="0"/>
              <w:jc w:val="center"/>
              <w:textAlignment w:val="baseline"/>
              <w:rPr>
                <w:bCs/>
                <w:sz w:val="20"/>
              </w:rPr>
            </w:pPr>
            <w:r w:rsidRPr="000E3A45">
              <w:rPr>
                <w:bCs/>
                <w:sz w:val="20"/>
              </w:rPr>
              <w:t>2011</w:t>
            </w:r>
          </w:p>
        </w:tc>
        <w:tc>
          <w:tcPr>
            <w:tcW w:w="1800" w:type="dxa"/>
            <w:tcBorders>
              <w:top w:val="nil"/>
              <w:left w:val="single" w:sz="4" w:space="0" w:color="auto"/>
              <w:bottom w:val="nil"/>
              <w:right w:val="single" w:sz="4" w:space="0" w:color="auto"/>
            </w:tcBorders>
          </w:tcPr>
          <w:p w14:paraId="4A5AEF8E" w14:textId="77777777" w:rsidR="009E0298" w:rsidRPr="000E3A45" w:rsidRDefault="009E0298" w:rsidP="00F542BF">
            <w:pPr>
              <w:widowControl w:val="0"/>
              <w:adjustRightInd w:val="0"/>
              <w:ind w:right="510"/>
              <w:jc w:val="right"/>
              <w:textAlignment w:val="baseline"/>
              <w:rPr>
                <w:sz w:val="20"/>
              </w:rPr>
            </w:pPr>
            <w:r w:rsidRPr="000E3A45">
              <w:rPr>
                <w:sz w:val="20"/>
              </w:rPr>
              <w:t>-3.82</w:t>
            </w:r>
          </w:p>
        </w:tc>
        <w:tc>
          <w:tcPr>
            <w:tcW w:w="1800" w:type="dxa"/>
            <w:tcBorders>
              <w:top w:val="nil"/>
              <w:left w:val="single" w:sz="4" w:space="0" w:color="auto"/>
              <w:bottom w:val="nil"/>
              <w:right w:val="single" w:sz="4" w:space="0" w:color="auto"/>
            </w:tcBorders>
          </w:tcPr>
          <w:p w14:paraId="1DA503B6" w14:textId="77777777" w:rsidR="009E0298" w:rsidRPr="000E3A45" w:rsidRDefault="009E0298" w:rsidP="00801DCF">
            <w:pPr>
              <w:widowControl w:val="0"/>
              <w:adjustRightInd w:val="0"/>
              <w:ind w:right="510"/>
              <w:jc w:val="right"/>
              <w:textAlignment w:val="baseline"/>
              <w:rPr>
                <w:sz w:val="20"/>
              </w:rPr>
            </w:pPr>
            <w:r w:rsidRPr="000E3A45">
              <w:rPr>
                <w:sz w:val="20"/>
              </w:rPr>
              <w:t>3.82</w:t>
            </w:r>
          </w:p>
        </w:tc>
        <w:tc>
          <w:tcPr>
            <w:tcW w:w="1568" w:type="dxa"/>
            <w:tcBorders>
              <w:top w:val="nil"/>
              <w:left w:val="single" w:sz="4" w:space="0" w:color="auto"/>
              <w:bottom w:val="nil"/>
            </w:tcBorders>
          </w:tcPr>
          <w:p w14:paraId="5E8C30E3" w14:textId="77777777" w:rsidR="009E0298" w:rsidRPr="000E3A45" w:rsidRDefault="009E0298" w:rsidP="00801DCF">
            <w:pPr>
              <w:widowControl w:val="0"/>
              <w:adjustRightInd w:val="0"/>
              <w:ind w:right="510"/>
              <w:jc w:val="right"/>
              <w:textAlignment w:val="baseline"/>
              <w:rPr>
                <w:sz w:val="20"/>
                <w:szCs w:val="20"/>
              </w:rPr>
            </w:pPr>
            <w:r w:rsidRPr="000E3A45">
              <w:rPr>
                <w:sz w:val="20"/>
                <w:szCs w:val="20"/>
              </w:rPr>
              <w:t>-7.79</w:t>
            </w:r>
          </w:p>
        </w:tc>
      </w:tr>
      <w:tr w:rsidR="00233C7A" w:rsidRPr="000E3A45" w14:paraId="1A2CF380" w14:textId="77777777" w:rsidTr="00846735">
        <w:trPr>
          <w:jc w:val="center"/>
        </w:trPr>
        <w:tc>
          <w:tcPr>
            <w:tcW w:w="1800" w:type="dxa"/>
            <w:tcBorders>
              <w:top w:val="nil"/>
              <w:bottom w:val="single" w:sz="4" w:space="0" w:color="auto"/>
              <w:right w:val="single" w:sz="4" w:space="0" w:color="auto"/>
            </w:tcBorders>
          </w:tcPr>
          <w:p w14:paraId="7C021317" w14:textId="77777777" w:rsidR="00233C7A" w:rsidRPr="000E3A45" w:rsidRDefault="00233C7A" w:rsidP="00233C7A">
            <w:pPr>
              <w:widowControl w:val="0"/>
              <w:adjustRightInd w:val="0"/>
              <w:jc w:val="center"/>
              <w:textAlignment w:val="baseline"/>
              <w:rPr>
                <w:bCs/>
                <w:sz w:val="20"/>
              </w:rPr>
            </w:pPr>
            <w:r w:rsidRPr="000E3A45">
              <w:rPr>
                <w:bCs/>
                <w:sz w:val="20"/>
              </w:rPr>
              <w:t>2012</w:t>
            </w:r>
          </w:p>
        </w:tc>
        <w:tc>
          <w:tcPr>
            <w:tcW w:w="1800" w:type="dxa"/>
            <w:tcBorders>
              <w:top w:val="nil"/>
              <w:left w:val="single" w:sz="4" w:space="0" w:color="auto"/>
              <w:bottom w:val="single" w:sz="4" w:space="0" w:color="auto"/>
              <w:right w:val="single" w:sz="4" w:space="0" w:color="auto"/>
            </w:tcBorders>
          </w:tcPr>
          <w:p w14:paraId="76A355F5" w14:textId="77777777" w:rsidR="00233C7A" w:rsidRPr="000E3A45" w:rsidRDefault="00233C7A" w:rsidP="00233C7A">
            <w:pPr>
              <w:widowControl w:val="0"/>
              <w:adjustRightInd w:val="0"/>
              <w:ind w:right="510"/>
              <w:jc w:val="right"/>
              <w:textAlignment w:val="baseline"/>
              <w:rPr>
                <w:sz w:val="20"/>
              </w:rPr>
            </w:pPr>
            <w:r w:rsidRPr="000E3A45">
              <w:rPr>
                <w:sz w:val="20"/>
              </w:rPr>
              <w:t>17.88</w:t>
            </w:r>
          </w:p>
        </w:tc>
        <w:tc>
          <w:tcPr>
            <w:tcW w:w="1800" w:type="dxa"/>
            <w:tcBorders>
              <w:top w:val="nil"/>
              <w:left w:val="single" w:sz="4" w:space="0" w:color="auto"/>
              <w:bottom w:val="single" w:sz="4" w:space="0" w:color="auto"/>
              <w:right w:val="single" w:sz="4" w:space="0" w:color="auto"/>
            </w:tcBorders>
          </w:tcPr>
          <w:p w14:paraId="73259AE7" w14:textId="77777777" w:rsidR="00233C7A" w:rsidRPr="000E3A45" w:rsidRDefault="00233C7A" w:rsidP="00233C7A">
            <w:pPr>
              <w:widowControl w:val="0"/>
              <w:adjustRightInd w:val="0"/>
              <w:ind w:right="510"/>
              <w:jc w:val="right"/>
              <w:textAlignment w:val="baseline"/>
              <w:rPr>
                <w:sz w:val="20"/>
              </w:rPr>
            </w:pPr>
            <w:r w:rsidRPr="000E3A45">
              <w:rPr>
                <w:sz w:val="20"/>
              </w:rPr>
              <w:t>3.57</w:t>
            </w:r>
          </w:p>
        </w:tc>
        <w:tc>
          <w:tcPr>
            <w:tcW w:w="1568" w:type="dxa"/>
            <w:tcBorders>
              <w:top w:val="nil"/>
              <w:left w:val="single" w:sz="4" w:space="0" w:color="auto"/>
              <w:bottom w:val="single" w:sz="4" w:space="0" w:color="auto"/>
            </w:tcBorders>
          </w:tcPr>
          <w:p w14:paraId="04B47659" w14:textId="77777777" w:rsidR="00233C7A" w:rsidRPr="000E3A45" w:rsidRDefault="00233C7A" w:rsidP="00233C7A">
            <w:pPr>
              <w:widowControl w:val="0"/>
              <w:adjustRightInd w:val="0"/>
              <w:ind w:right="510"/>
              <w:jc w:val="right"/>
              <w:textAlignment w:val="baseline"/>
              <w:rPr>
                <w:sz w:val="20"/>
              </w:rPr>
            </w:pPr>
            <w:r w:rsidRPr="000E3A45">
              <w:rPr>
                <w:sz w:val="20"/>
              </w:rPr>
              <w:t>13.82</w:t>
            </w:r>
          </w:p>
        </w:tc>
      </w:tr>
      <w:tr w:rsidR="00233C7A" w:rsidRPr="000E3A45" w14:paraId="3B93E858" w14:textId="77777777" w:rsidTr="00846735">
        <w:trPr>
          <w:jc w:val="center"/>
        </w:trPr>
        <w:tc>
          <w:tcPr>
            <w:tcW w:w="6968" w:type="dxa"/>
            <w:gridSpan w:val="4"/>
            <w:tcBorders>
              <w:top w:val="single" w:sz="4" w:space="0" w:color="auto"/>
              <w:bottom w:val="single" w:sz="4" w:space="0" w:color="auto"/>
            </w:tcBorders>
          </w:tcPr>
          <w:p w14:paraId="49862DB2" w14:textId="77777777" w:rsidR="00233C7A" w:rsidRPr="008E01FF" w:rsidRDefault="00233C7A" w:rsidP="00233C7A">
            <w:pPr>
              <w:widowControl w:val="0"/>
              <w:tabs>
                <w:tab w:val="left" w:pos="1057"/>
              </w:tabs>
              <w:adjustRightInd w:val="0"/>
              <w:ind w:right="414"/>
              <w:jc w:val="center"/>
              <w:textAlignment w:val="baseline"/>
              <w:rPr>
                <w:b/>
                <w:sz w:val="20"/>
              </w:rPr>
            </w:pPr>
            <w:r w:rsidRPr="008E01FF">
              <w:rPr>
                <w:b/>
                <w:sz w:val="20"/>
              </w:rPr>
              <w:t>2013</w:t>
            </w:r>
          </w:p>
        </w:tc>
      </w:tr>
      <w:tr w:rsidR="00233C7A" w:rsidRPr="000E3A45" w14:paraId="27357264" w14:textId="77777777" w:rsidTr="00846735">
        <w:trPr>
          <w:jc w:val="center"/>
        </w:trPr>
        <w:tc>
          <w:tcPr>
            <w:tcW w:w="1800" w:type="dxa"/>
            <w:tcBorders>
              <w:top w:val="single" w:sz="4" w:space="0" w:color="auto"/>
              <w:bottom w:val="nil"/>
              <w:right w:val="single" w:sz="4" w:space="0" w:color="auto"/>
            </w:tcBorders>
          </w:tcPr>
          <w:p w14:paraId="34455A47" w14:textId="77777777" w:rsidR="00233C7A" w:rsidRPr="000E3A45" w:rsidRDefault="00233C7A" w:rsidP="00233C7A">
            <w:pPr>
              <w:widowControl w:val="0"/>
              <w:adjustRightInd w:val="0"/>
              <w:ind w:right="-159"/>
              <w:jc w:val="both"/>
              <w:textAlignment w:val="baseline"/>
              <w:rPr>
                <w:bCs/>
                <w:sz w:val="20"/>
              </w:rPr>
            </w:pPr>
            <w:r w:rsidRPr="000E3A45">
              <w:rPr>
                <w:bCs/>
                <w:sz w:val="20"/>
              </w:rPr>
              <w:t>Enero</w:t>
            </w:r>
          </w:p>
        </w:tc>
        <w:tc>
          <w:tcPr>
            <w:tcW w:w="1800" w:type="dxa"/>
            <w:tcBorders>
              <w:top w:val="single" w:sz="4" w:space="0" w:color="auto"/>
              <w:left w:val="single" w:sz="4" w:space="0" w:color="auto"/>
              <w:bottom w:val="nil"/>
              <w:right w:val="single" w:sz="4" w:space="0" w:color="auto"/>
            </w:tcBorders>
          </w:tcPr>
          <w:p w14:paraId="63A5154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3.60</w:t>
            </w:r>
          </w:p>
        </w:tc>
        <w:tc>
          <w:tcPr>
            <w:tcW w:w="1800" w:type="dxa"/>
            <w:tcBorders>
              <w:top w:val="single" w:sz="4" w:space="0" w:color="auto"/>
              <w:left w:val="single" w:sz="4" w:space="0" w:color="auto"/>
              <w:bottom w:val="nil"/>
              <w:right w:val="single" w:sz="4" w:space="0" w:color="auto"/>
            </w:tcBorders>
          </w:tcPr>
          <w:p w14:paraId="4F2D590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0.40</w:t>
            </w:r>
          </w:p>
        </w:tc>
        <w:tc>
          <w:tcPr>
            <w:tcW w:w="1568" w:type="dxa"/>
            <w:tcBorders>
              <w:top w:val="single" w:sz="4" w:space="0" w:color="auto"/>
              <w:left w:val="single" w:sz="4" w:space="0" w:color="auto"/>
              <w:bottom w:val="nil"/>
            </w:tcBorders>
          </w:tcPr>
          <w:p w14:paraId="19BDF38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3.19</w:t>
            </w:r>
          </w:p>
        </w:tc>
      </w:tr>
      <w:tr w:rsidR="00233C7A" w:rsidRPr="000E3A45" w14:paraId="26B47079" w14:textId="77777777" w:rsidTr="00846735">
        <w:trPr>
          <w:jc w:val="center"/>
        </w:trPr>
        <w:tc>
          <w:tcPr>
            <w:tcW w:w="1800" w:type="dxa"/>
            <w:tcBorders>
              <w:top w:val="nil"/>
              <w:bottom w:val="nil"/>
              <w:right w:val="single" w:sz="4" w:space="0" w:color="auto"/>
            </w:tcBorders>
          </w:tcPr>
          <w:p w14:paraId="48723E12" w14:textId="77777777" w:rsidR="00233C7A" w:rsidRPr="000E3A45" w:rsidRDefault="00233C7A" w:rsidP="00233C7A">
            <w:pPr>
              <w:widowControl w:val="0"/>
              <w:adjustRightInd w:val="0"/>
              <w:ind w:right="-159"/>
              <w:jc w:val="both"/>
              <w:textAlignment w:val="baseline"/>
              <w:rPr>
                <w:bCs/>
                <w:sz w:val="20"/>
              </w:rPr>
            </w:pPr>
            <w:r w:rsidRPr="000E3A45">
              <w:rPr>
                <w:bCs/>
                <w:sz w:val="20"/>
              </w:rPr>
              <w:t>Febrero</w:t>
            </w:r>
            <w:r w:rsidRPr="000E3A45">
              <w:rPr>
                <w:sz w:val="20"/>
                <w:szCs w:val="20"/>
                <w:u w:val="single"/>
                <w:vertAlign w:val="superscript"/>
              </w:rPr>
              <w:t>2</w:t>
            </w:r>
            <w:r w:rsidRPr="000E3A45">
              <w:rPr>
                <w:sz w:val="20"/>
                <w:szCs w:val="20"/>
                <w:vertAlign w:val="superscript"/>
              </w:rPr>
              <w:t>/</w:t>
            </w:r>
          </w:p>
        </w:tc>
        <w:tc>
          <w:tcPr>
            <w:tcW w:w="1800" w:type="dxa"/>
            <w:tcBorders>
              <w:top w:val="nil"/>
              <w:left w:val="single" w:sz="4" w:space="0" w:color="auto"/>
              <w:bottom w:val="nil"/>
              <w:right w:val="single" w:sz="4" w:space="0" w:color="auto"/>
            </w:tcBorders>
          </w:tcPr>
          <w:p w14:paraId="61C406EA"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0.95</w:t>
            </w:r>
          </w:p>
        </w:tc>
        <w:tc>
          <w:tcPr>
            <w:tcW w:w="1800" w:type="dxa"/>
            <w:tcBorders>
              <w:top w:val="nil"/>
              <w:left w:val="single" w:sz="4" w:space="0" w:color="auto"/>
              <w:bottom w:val="nil"/>
              <w:right w:val="single" w:sz="4" w:space="0" w:color="auto"/>
            </w:tcBorders>
          </w:tcPr>
          <w:p w14:paraId="384A18B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0.90</w:t>
            </w:r>
          </w:p>
        </w:tc>
        <w:tc>
          <w:tcPr>
            <w:tcW w:w="1568" w:type="dxa"/>
            <w:tcBorders>
              <w:top w:val="nil"/>
              <w:left w:val="single" w:sz="4" w:space="0" w:color="auto"/>
              <w:bottom w:val="nil"/>
            </w:tcBorders>
          </w:tcPr>
          <w:p w14:paraId="0DA24EC4"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0.05</w:t>
            </w:r>
          </w:p>
        </w:tc>
      </w:tr>
      <w:tr w:rsidR="00233C7A" w:rsidRPr="000E3A45" w14:paraId="5B563E40" w14:textId="77777777" w:rsidTr="00846735">
        <w:trPr>
          <w:jc w:val="center"/>
        </w:trPr>
        <w:tc>
          <w:tcPr>
            <w:tcW w:w="1800" w:type="dxa"/>
            <w:tcBorders>
              <w:top w:val="nil"/>
              <w:bottom w:val="nil"/>
              <w:right w:val="single" w:sz="4" w:space="0" w:color="auto"/>
            </w:tcBorders>
          </w:tcPr>
          <w:p w14:paraId="734B9F6E" w14:textId="77777777" w:rsidR="00233C7A" w:rsidRPr="000E3A45" w:rsidRDefault="00233C7A" w:rsidP="00233C7A">
            <w:pPr>
              <w:widowControl w:val="0"/>
              <w:adjustRightInd w:val="0"/>
              <w:ind w:right="-159"/>
              <w:jc w:val="both"/>
              <w:textAlignment w:val="baseline"/>
              <w:rPr>
                <w:bCs/>
                <w:sz w:val="20"/>
              </w:rPr>
            </w:pPr>
            <w:r w:rsidRPr="000E3A45">
              <w:rPr>
                <w:bCs/>
                <w:sz w:val="20"/>
              </w:rPr>
              <w:t>Marzo</w:t>
            </w:r>
          </w:p>
        </w:tc>
        <w:tc>
          <w:tcPr>
            <w:tcW w:w="1800" w:type="dxa"/>
            <w:tcBorders>
              <w:top w:val="nil"/>
              <w:left w:val="single" w:sz="4" w:space="0" w:color="auto"/>
              <w:bottom w:val="nil"/>
              <w:right w:val="single" w:sz="4" w:space="0" w:color="auto"/>
            </w:tcBorders>
          </w:tcPr>
          <w:p w14:paraId="3730381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0.85</w:t>
            </w:r>
          </w:p>
        </w:tc>
        <w:tc>
          <w:tcPr>
            <w:tcW w:w="1800" w:type="dxa"/>
            <w:tcBorders>
              <w:top w:val="nil"/>
              <w:left w:val="single" w:sz="4" w:space="0" w:color="auto"/>
              <w:bottom w:val="nil"/>
              <w:right w:val="single" w:sz="4" w:space="0" w:color="auto"/>
            </w:tcBorders>
          </w:tcPr>
          <w:p w14:paraId="4FE5CC29"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1.64</w:t>
            </w:r>
          </w:p>
        </w:tc>
        <w:tc>
          <w:tcPr>
            <w:tcW w:w="1568" w:type="dxa"/>
            <w:tcBorders>
              <w:top w:val="nil"/>
              <w:left w:val="single" w:sz="4" w:space="0" w:color="auto"/>
              <w:bottom w:val="nil"/>
            </w:tcBorders>
          </w:tcPr>
          <w:p w14:paraId="3DD62500"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-0.78</w:t>
            </w:r>
          </w:p>
        </w:tc>
      </w:tr>
      <w:tr w:rsidR="00233C7A" w:rsidRPr="000E3A45" w14:paraId="3D3B39C4" w14:textId="77777777" w:rsidTr="00846735">
        <w:trPr>
          <w:jc w:val="center"/>
        </w:trPr>
        <w:tc>
          <w:tcPr>
            <w:tcW w:w="1800" w:type="dxa"/>
            <w:tcBorders>
              <w:top w:val="nil"/>
              <w:bottom w:val="nil"/>
              <w:right w:val="single" w:sz="4" w:space="0" w:color="auto"/>
            </w:tcBorders>
          </w:tcPr>
          <w:p w14:paraId="169F0182" w14:textId="77777777" w:rsidR="00233C7A" w:rsidRPr="000E3A45" w:rsidRDefault="00233C7A" w:rsidP="00233C7A">
            <w:pPr>
              <w:widowControl w:val="0"/>
              <w:adjustRightInd w:val="0"/>
              <w:ind w:right="-159"/>
              <w:jc w:val="both"/>
              <w:textAlignment w:val="baseline"/>
              <w:rPr>
                <w:bCs/>
                <w:sz w:val="20"/>
              </w:rPr>
            </w:pPr>
            <w:r w:rsidRPr="000E3A45">
              <w:rPr>
                <w:bCs/>
                <w:sz w:val="20"/>
              </w:rPr>
              <w:t>Abril</w:t>
            </w:r>
          </w:p>
        </w:tc>
        <w:tc>
          <w:tcPr>
            <w:tcW w:w="1800" w:type="dxa"/>
            <w:tcBorders>
              <w:top w:val="nil"/>
              <w:left w:val="single" w:sz="4" w:space="0" w:color="auto"/>
              <w:bottom w:val="nil"/>
              <w:right w:val="single" w:sz="4" w:space="0" w:color="auto"/>
            </w:tcBorders>
          </w:tcPr>
          <w:p w14:paraId="6D098D0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-3.30</w:t>
            </w:r>
          </w:p>
        </w:tc>
        <w:tc>
          <w:tcPr>
            <w:tcW w:w="1800" w:type="dxa"/>
            <w:tcBorders>
              <w:top w:val="nil"/>
              <w:left w:val="single" w:sz="4" w:space="0" w:color="auto"/>
              <w:bottom w:val="nil"/>
              <w:right w:val="single" w:sz="4" w:space="0" w:color="auto"/>
            </w:tcBorders>
          </w:tcPr>
          <w:p w14:paraId="227507BD"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1.70</w:t>
            </w:r>
          </w:p>
        </w:tc>
        <w:tc>
          <w:tcPr>
            <w:tcW w:w="1568" w:type="dxa"/>
            <w:tcBorders>
              <w:top w:val="nil"/>
              <w:left w:val="single" w:sz="4" w:space="0" w:color="auto"/>
              <w:bottom w:val="nil"/>
            </w:tcBorders>
          </w:tcPr>
          <w:p w14:paraId="7EB6933B"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-5.06</w:t>
            </w:r>
          </w:p>
        </w:tc>
      </w:tr>
      <w:tr w:rsidR="00233C7A" w:rsidRPr="000E3A45" w14:paraId="304957BA" w14:textId="77777777" w:rsidTr="00846735">
        <w:trPr>
          <w:jc w:val="center"/>
        </w:trPr>
        <w:tc>
          <w:tcPr>
            <w:tcW w:w="1800" w:type="dxa"/>
            <w:tcBorders>
              <w:top w:val="nil"/>
              <w:bottom w:val="nil"/>
              <w:right w:val="single" w:sz="4" w:space="0" w:color="auto"/>
            </w:tcBorders>
          </w:tcPr>
          <w:p w14:paraId="2423ED72" w14:textId="77777777" w:rsidR="00233C7A" w:rsidRPr="000E3A45" w:rsidRDefault="00233C7A" w:rsidP="00233C7A">
            <w:pPr>
              <w:widowControl w:val="0"/>
              <w:adjustRightInd w:val="0"/>
              <w:ind w:right="-159"/>
              <w:jc w:val="both"/>
              <w:textAlignment w:val="baseline"/>
              <w:rPr>
                <w:bCs/>
                <w:sz w:val="20"/>
              </w:rPr>
            </w:pPr>
            <w:r w:rsidRPr="000E3A45">
              <w:rPr>
                <w:bCs/>
                <w:sz w:val="20"/>
              </w:rPr>
              <w:t>Mayo</w:t>
            </w:r>
          </w:p>
        </w:tc>
        <w:tc>
          <w:tcPr>
            <w:tcW w:w="1800" w:type="dxa"/>
            <w:tcBorders>
              <w:top w:val="nil"/>
              <w:left w:val="single" w:sz="4" w:space="0" w:color="auto"/>
              <w:bottom w:val="nil"/>
              <w:right w:val="single" w:sz="4" w:space="0" w:color="auto"/>
            </w:tcBorders>
          </w:tcPr>
          <w:p w14:paraId="1158EEB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-4.84</w:t>
            </w:r>
          </w:p>
        </w:tc>
        <w:tc>
          <w:tcPr>
            <w:tcW w:w="1800" w:type="dxa"/>
            <w:tcBorders>
              <w:top w:val="nil"/>
              <w:left w:val="single" w:sz="4" w:space="0" w:color="auto"/>
              <w:bottom w:val="nil"/>
              <w:right w:val="single" w:sz="4" w:space="0" w:color="auto"/>
            </w:tcBorders>
          </w:tcPr>
          <w:p w14:paraId="1BCA436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1.37</w:t>
            </w:r>
          </w:p>
        </w:tc>
        <w:tc>
          <w:tcPr>
            <w:tcW w:w="1568" w:type="dxa"/>
            <w:tcBorders>
              <w:top w:val="nil"/>
              <w:left w:val="single" w:sz="4" w:space="0" w:color="auto"/>
              <w:bottom w:val="nil"/>
            </w:tcBorders>
          </w:tcPr>
          <w:p w14:paraId="3987F832"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-6.28</w:t>
            </w:r>
          </w:p>
        </w:tc>
      </w:tr>
      <w:tr w:rsidR="00233C7A" w:rsidRPr="000E3A45" w14:paraId="3FDAB43E" w14:textId="77777777" w:rsidTr="002E524C">
        <w:trPr>
          <w:jc w:val="center"/>
        </w:trPr>
        <w:tc>
          <w:tcPr>
            <w:tcW w:w="1800" w:type="dxa"/>
            <w:tcBorders>
              <w:top w:val="nil"/>
              <w:bottom w:val="nil"/>
              <w:right w:val="single" w:sz="4" w:space="0" w:color="auto"/>
            </w:tcBorders>
          </w:tcPr>
          <w:p w14:paraId="08B751F1" w14:textId="77777777" w:rsidR="00233C7A" w:rsidRPr="000E3A45" w:rsidRDefault="00233C7A" w:rsidP="00233C7A">
            <w:pPr>
              <w:widowControl w:val="0"/>
              <w:adjustRightInd w:val="0"/>
              <w:ind w:right="-159"/>
              <w:jc w:val="both"/>
              <w:textAlignment w:val="baseline"/>
              <w:rPr>
                <w:bCs/>
                <w:sz w:val="20"/>
              </w:rPr>
            </w:pPr>
            <w:r w:rsidRPr="000E3A45">
              <w:rPr>
                <w:bCs/>
                <w:sz w:val="20"/>
              </w:rPr>
              <w:t>Junio</w:t>
            </w:r>
          </w:p>
        </w:tc>
        <w:tc>
          <w:tcPr>
            <w:tcW w:w="1800" w:type="dxa"/>
            <w:tcBorders>
              <w:top w:val="nil"/>
              <w:left w:val="single" w:sz="4" w:space="0" w:color="auto"/>
              <w:bottom w:val="nil"/>
              <w:right w:val="single" w:sz="4" w:space="0" w:color="auto"/>
            </w:tcBorders>
          </w:tcPr>
          <w:p w14:paraId="7BCF361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-7.05</w:t>
            </w:r>
          </w:p>
        </w:tc>
        <w:tc>
          <w:tcPr>
            <w:tcW w:w="1800" w:type="dxa"/>
            <w:tcBorders>
              <w:top w:val="nil"/>
              <w:left w:val="single" w:sz="4" w:space="0" w:color="auto"/>
              <w:bottom w:val="nil"/>
              <w:right w:val="single" w:sz="4" w:space="0" w:color="auto"/>
            </w:tcBorders>
          </w:tcPr>
          <w:p w14:paraId="575AB1EC"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1.30</w:t>
            </w:r>
          </w:p>
        </w:tc>
        <w:tc>
          <w:tcPr>
            <w:tcW w:w="1568" w:type="dxa"/>
            <w:tcBorders>
              <w:top w:val="nil"/>
              <w:left w:val="single" w:sz="4" w:space="0" w:color="auto"/>
              <w:bottom w:val="nil"/>
            </w:tcBorders>
          </w:tcPr>
          <w:p w14:paraId="4D6892F6"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-8.44</w:t>
            </w:r>
          </w:p>
        </w:tc>
      </w:tr>
      <w:tr w:rsidR="00233C7A" w:rsidRPr="000E3A45" w14:paraId="7AAE8867" w14:textId="77777777" w:rsidTr="002E524C">
        <w:trPr>
          <w:jc w:val="center"/>
        </w:trPr>
        <w:tc>
          <w:tcPr>
            <w:tcW w:w="1800" w:type="dxa"/>
            <w:tcBorders>
              <w:top w:val="nil"/>
              <w:bottom w:val="nil"/>
              <w:right w:val="single" w:sz="4" w:space="0" w:color="auto"/>
            </w:tcBorders>
          </w:tcPr>
          <w:p w14:paraId="4441964D" w14:textId="77777777" w:rsidR="00233C7A" w:rsidRPr="000E3A45" w:rsidRDefault="00233C7A" w:rsidP="00233C7A">
            <w:pPr>
              <w:widowControl w:val="0"/>
              <w:adjustRightInd w:val="0"/>
              <w:ind w:right="-159"/>
              <w:jc w:val="both"/>
              <w:textAlignment w:val="baseline"/>
              <w:rPr>
                <w:bCs/>
                <w:sz w:val="20"/>
              </w:rPr>
            </w:pPr>
            <w:r w:rsidRPr="000E3A45">
              <w:rPr>
                <w:bCs/>
                <w:sz w:val="20"/>
              </w:rPr>
              <w:t>Julio</w:t>
            </w:r>
          </w:p>
        </w:tc>
        <w:tc>
          <w:tcPr>
            <w:tcW w:w="1800" w:type="dxa"/>
            <w:tcBorders>
              <w:top w:val="nil"/>
              <w:left w:val="single" w:sz="4" w:space="0" w:color="auto"/>
              <w:bottom w:val="nil"/>
              <w:right w:val="single" w:sz="4" w:space="0" w:color="auto"/>
            </w:tcBorders>
          </w:tcPr>
          <w:p w14:paraId="232FD16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-6.56</w:t>
            </w:r>
          </w:p>
        </w:tc>
        <w:tc>
          <w:tcPr>
            <w:tcW w:w="1800" w:type="dxa"/>
            <w:tcBorders>
              <w:top w:val="nil"/>
              <w:left w:val="single" w:sz="4" w:space="0" w:color="auto"/>
              <w:bottom w:val="nil"/>
              <w:right w:val="single" w:sz="4" w:space="0" w:color="auto"/>
            </w:tcBorders>
          </w:tcPr>
          <w:p w14:paraId="7C81368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1.27</w:t>
            </w:r>
          </w:p>
        </w:tc>
        <w:tc>
          <w:tcPr>
            <w:tcW w:w="1568" w:type="dxa"/>
            <w:tcBorders>
              <w:top w:val="nil"/>
              <w:left w:val="single" w:sz="4" w:space="0" w:color="auto"/>
              <w:bottom w:val="nil"/>
            </w:tcBorders>
          </w:tcPr>
          <w:p w14:paraId="0416D32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-7.91</w:t>
            </w:r>
          </w:p>
        </w:tc>
      </w:tr>
      <w:tr w:rsidR="00233C7A" w:rsidRPr="000E3A45" w14:paraId="66EBD8BB" w14:textId="77777777" w:rsidTr="005D1442">
        <w:trPr>
          <w:jc w:val="center"/>
        </w:trPr>
        <w:tc>
          <w:tcPr>
            <w:tcW w:w="1800" w:type="dxa"/>
            <w:tcBorders>
              <w:top w:val="nil"/>
              <w:bottom w:val="nil"/>
              <w:right w:val="single" w:sz="4" w:space="0" w:color="auto"/>
            </w:tcBorders>
          </w:tcPr>
          <w:p w14:paraId="14B3DB72" w14:textId="77777777" w:rsidR="00233C7A" w:rsidRPr="000E3A45" w:rsidRDefault="00233C7A" w:rsidP="00233C7A">
            <w:pPr>
              <w:widowControl w:val="0"/>
              <w:adjustRightInd w:val="0"/>
              <w:ind w:right="-159"/>
              <w:jc w:val="both"/>
              <w:textAlignment w:val="baseline"/>
              <w:rPr>
                <w:bCs/>
                <w:sz w:val="20"/>
              </w:rPr>
            </w:pPr>
            <w:r w:rsidRPr="000E3A45">
              <w:rPr>
                <w:bCs/>
                <w:sz w:val="20"/>
              </w:rPr>
              <w:t>Agosto</w:t>
            </w:r>
          </w:p>
        </w:tc>
        <w:tc>
          <w:tcPr>
            <w:tcW w:w="1800" w:type="dxa"/>
            <w:tcBorders>
              <w:top w:val="nil"/>
              <w:left w:val="single" w:sz="4" w:space="0" w:color="auto"/>
              <w:bottom w:val="nil"/>
              <w:right w:val="single" w:sz="4" w:space="0" w:color="auto"/>
            </w:tcBorders>
          </w:tcPr>
          <w:p w14:paraId="52F659FD"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-9.64</w:t>
            </w:r>
          </w:p>
        </w:tc>
        <w:tc>
          <w:tcPr>
            <w:tcW w:w="1800" w:type="dxa"/>
            <w:tcBorders>
              <w:top w:val="nil"/>
              <w:left w:val="single" w:sz="4" w:space="0" w:color="auto"/>
              <w:bottom w:val="nil"/>
              <w:right w:val="single" w:sz="4" w:space="0" w:color="auto"/>
            </w:tcBorders>
          </w:tcPr>
          <w:p w14:paraId="4FE713E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1.56</w:t>
            </w:r>
          </w:p>
        </w:tc>
        <w:tc>
          <w:tcPr>
            <w:tcW w:w="1568" w:type="dxa"/>
            <w:tcBorders>
              <w:top w:val="nil"/>
              <w:left w:val="single" w:sz="4" w:space="0" w:color="auto"/>
              <w:bottom w:val="nil"/>
            </w:tcBorders>
          </w:tcPr>
          <w:p w14:paraId="6EF277D3"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-11.35</w:t>
            </w:r>
          </w:p>
        </w:tc>
      </w:tr>
      <w:tr w:rsidR="00233C7A" w:rsidRPr="000E3A45" w14:paraId="4B46C944" w14:textId="77777777" w:rsidTr="005D1442">
        <w:trPr>
          <w:jc w:val="center"/>
        </w:trPr>
        <w:tc>
          <w:tcPr>
            <w:tcW w:w="1800" w:type="dxa"/>
            <w:tcBorders>
              <w:top w:val="nil"/>
              <w:bottom w:val="nil"/>
              <w:right w:val="single" w:sz="4" w:space="0" w:color="auto"/>
            </w:tcBorders>
          </w:tcPr>
          <w:p w14:paraId="00E65A2D" w14:textId="77777777" w:rsidR="00233C7A" w:rsidRPr="000E3A45" w:rsidRDefault="00233C7A" w:rsidP="00233C7A">
            <w:pPr>
              <w:widowControl w:val="0"/>
              <w:adjustRightInd w:val="0"/>
              <w:ind w:right="-159"/>
              <w:jc w:val="both"/>
              <w:textAlignment w:val="baseline"/>
              <w:rPr>
                <w:bCs/>
                <w:sz w:val="20"/>
              </w:rPr>
            </w:pPr>
            <w:r w:rsidRPr="000E3A45">
              <w:rPr>
                <w:bCs/>
                <w:sz w:val="20"/>
              </w:rPr>
              <w:t>Septiembre</w:t>
            </w:r>
          </w:p>
        </w:tc>
        <w:tc>
          <w:tcPr>
            <w:tcW w:w="1800" w:type="dxa"/>
            <w:tcBorders>
              <w:top w:val="nil"/>
              <w:left w:val="single" w:sz="4" w:space="0" w:color="auto"/>
              <w:bottom w:val="nil"/>
              <w:right w:val="single" w:sz="4" w:space="0" w:color="auto"/>
            </w:tcBorders>
          </w:tcPr>
          <w:p w14:paraId="201E1477"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-8.06</w:t>
            </w:r>
          </w:p>
        </w:tc>
        <w:tc>
          <w:tcPr>
            <w:tcW w:w="1800" w:type="dxa"/>
            <w:tcBorders>
              <w:top w:val="nil"/>
              <w:left w:val="single" w:sz="4" w:space="0" w:color="auto"/>
              <w:bottom w:val="nil"/>
              <w:right w:val="single" w:sz="4" w:space="0" w:color="auto"/>
            </w:tcBorders>
          </w:tcPr>
          <w:p w14:paraId="3D03E1D6"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1.94</w:t>
            </w:r>
          </w:p>
        </w:tc>
        <w:tc>
          <w:tcPr>
            <w:tcW w:w="1568" w:type="dxa"/>
            <w:tcBorders>
              <w:top w:val="nil"/>
              <w:left w:val="single" w:sz="4" w:space="0" w:color="auto"/>
              <w:bottom w:val="nil"/>
            </w:tcBorders>
          </w:tcPr>
          <w:p w14:paraId="58FBB47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-10.16</w:t>
            </w:r>
          </w:p>
        </w:tc>
      </w:tr>
      <w:tr w:rsidR="00233C7A" w:rsidRPr="000E3A45" w14:paraId="36EE65D3" w14:textId="77777777" w:rsidTr="005D1442">
        <w:trPr>
          <w:jc w:val="center"/>
        </w:trPr>
        <w:tc>
          <w:tcPr>
            <w:tcW w:w="1800" w:type="dxa"/>
            <w:tcBorders>
              <w:top w:val="nil"/>
              <w:bottom w:val="nil"/>
              <w:right w:val="single" w:sz="4" w:space="0" w:color="auto"/>
            </w:tcBorders>
          </w:tcPr>
          <w:p w14:paraId="75A40A98" w14:textId="77777777" w:rsidR="00233C7A" w:rsidRPr="000E3A45" w:rsidRDefault="00233C7A" w:rsidP="00233C7A">
            <w:pPr>
              <w:widowControl w:val="0"/>
              <w:adjustRightInd w:val="0"/>
              <w:ind w:right="-159"/>
              <w:jc w:val="both"/>
              <w:textAlignment w:val="baseline"/>
              <w:rPr>
                <w:bCs/>
                <w:sz w:val="20"/>
              </w:rPr>
            </w:pPr>
            <w:r w:rsidRPr="000E3A45">
              <w:rPr>
                <w:bCs/>
                <w:sz w:val="20"/>
              </w:rPr>
              <w:t>Octubre</w:t>
            </w:r>
          </w:p>
        </w:tc>
        <w:tc>
          <w:tcPr>
            <w:tcW w:w="1800" w:type="dxa"/>
            <w:tcBorders>
              <w:top w:val="nil"/>
              <w:left w:val="single" w:sz="4" w:space="0" w:color="auto"/>
              <w:bottom w:val="nil"/>
              <w:right w:val="single" w:sz="4" w:space="0" w:color="auto"/>
            </w:tcBorders>
          </w:tcPr>
          <w:p w14:paraId="313761B4"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-6.10</w:t>
            </w:r>
          </w:p>
        </w:tc>
        <w:tc>
          <w:tcPr>
            <w:tcW w:w="1800" w:type="dxa"/>
            <w:tcBorders>
              <w:top w:val="nil"/>
              <w:left w:val="single" w:sz="4" w:space="0" w:color="auto"/>
              <w:bottom w:val="nil"/>
              <w:right w:val="single" w:sz="4" w:space="0" w:color="auto"/>
            </w:tcBorders>
          </w:tcPr>
          <w:p w14:paraId="34AC133A"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2.43</w:t>
            </w:r>
          </w:p>
        </w:tc>
        <w:tc>
          <w:tcPr>
            <w:tcW w:w="1568" w:type="dxa"/>
            <w:tcBorders>
              <w:top w:val="nil"/>
              <w:left w:val="single" w:sz="4" w:space="0" w:color="auto"/>
              <w:bottom w:val="nil"/>
            </w:tcBorders>
          </w:tcPr>
          <w:p w14:paraId="486A73E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-8.68</w:t>
            </w:r>
          </w:p>
        </w:tc>
      </w:tr>
      <w:tr w:rsidR="00233C7A" w:rsidRPr="000E3A45" w14:paraId="7E49260F" w14:textId="77777777" w:rsidTr="000F3535">
        <w:trPr>
          <w:jc w:val="center"/>
        </w:trPr>
        <w:tc>
          <w:tcPr>
            <w:tcW w:w="1800" w:type="dxa"/>
            <w:tcBorders>
              <w:top w:val="nil"/>
              <w:bottom w:val="nil"/>
              <w:right w:val="single" w:sz="4" w:space="0" w:color="auto"/>
            </w:tcBorders>
          </w:tcPr>
          <w:p w14:paraId="72C52CDC" w14:textId="77777777" w:rsidR="00233C7A" w:rsidRPr="000E3A45" w:rsidRDefault="00233C7A" w:rsidP="00233C7A">
            <w:pPr>
              <w:widowControl w:val="0"/>
              <w:adjustRightInd w:val="0"/>
              <w:ind w:right="-159"/>
              <w:jc w:val="both"/>
              <w:textAlignment w:val="baseline"/>
              <w:rPr>
                <w:bCs/>
                <w:sz w:val="20"/>
              </w:rPr>
            </w:pPr>
            <w:r w:rsidRPr="000E3A45">
              <w:rPr>
                <w:bCs/>
                <w:sz w:val="20"/>
              </w:rPr>
              <w:t>Noviembre</w:t>
            </w:r>
          </w:p>
        </w:tc>
        <w:tc>
          <w:tcPr>
            <w:tcW w:w="1800" w:type="dxa"/>
            <w:tcBorders>
              <w:top w:val="nil"/>
              <w:left w:val="single" w:sz="4" w:space="0" w:color="auto"/>
              <w:bottom w:val="nil"/>
              <w:right w:val="single" w:sz="4" w:space="0" w:color="auto"/>
            </w:tcBorders>
          </w:tcPr>
          <w:p w14:paraId="1156F2A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-2.76</w:t>
            </w:r>
          </w:p>
        </w:tc>
        <w:tc>
          <w:tcPr>
            <w:tcW w:w="1800" w:type="dxa"/>
            <w:tcBorders>
              <w:top w:val="nil"/>
              <w:left w:val="single" w:sz="4" w:space="0" w:color="auto"/>
              <w:bottom w:val="nil"/>
              <w:right w:val="single" w:sz="4" w:space="0" w:color="auto"/>
            </w:tcBorders>
          </w:tcPr>
          <w:p w14:paraId="4FA6C3F5"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3.38</w:t>
            </w:r>
          </w:p>
        </w:tc>
        <w:tc>
          <w:tcPr>
            <w:tcW w:w="1568" w:type="dxa"/>
            <w:tcBorders>
              <w:top w:val="nil"/>
              <w:left w:val="single" w:sz="4" w:space="0" w:color="auto"/>
              <w:bottom w:val="nil"/>
            </w:tcBorders>
          </w:tcPr>
          <w:p w14:paraId="4BB8740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-6.23</w:t>
            </w:r>
          </w:p>
        </w:tc>
      </w:tr>
      <w:tr w:rsidR="00233C7A" w:rsidRPr="000E3A45" w14:paraId="56A30584" w14:textId="77777777" w:rsidTr="00846735">
        <w:trPr>
          <w:jc w:val="center"/>
        </w:trPr>
        <w:tc>
          <w:tcPr>
            <w:tcW w:w="1800" w:type="dxa"/>
            <w:tcBorders>
              <w:top w:val="nil"/>
              <w:bottom w:val="single" w:sz="4" w:space="0" w:color="auto"/>
              <w:right w:val="single" w:sz="4" w:space="0" w:color="auto"/>
            </w:tcBorders>
          </w:tcPr>
          <w:p w14:paraId="5745F9A5" w14:textId="77777777" w:rsidR="00233C7A" w:rsidRPr="000E3A45" w:rsidRDefault="00233C7A" w:rsidP="00233C7A">
            <w:pPr>
              <w:widowControl w:val="0"/>
              <w:adjustRightInd w:val="0"/>
              <w:ind w:right="-159"/>
              <w:jc w:val="both"/>
              <w:textAlignment w:val="baseline"/>
              <w:rPr>
                <w:bCs/>
                <w:sz w:val="20"/>
              </w:rPr>
            </w:pPr>
            <w:r w:rsidRPr="000E3A45">
              <w:rPr>
                <w:bCs/>
                <w:sz w:val="20"/>
              </w:rPr>
              <w:t>Diciembre</w:t>
            </w:r>
          </w:p>
        </w:tc>
        <w:tc>
          <w:tcPr>
            <w:tcW w:w="1800" w:type="dxa"/>
            <w:tcBorders>
              <w:top w:val="nil"/>
              <w:left w:val="single" w:sz="4" w:space="0" w:color="auto"/>
              <w:bottom w:val="single" w:sz="4" w:space="0" w:color="auto"/>
              <w:right w:val="single" w:sz="4" w:space="0" w:color="auto"/>
            </w:tcBorders>
          </w:tcPr>
          <w:p w14:paraId="328713D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-2.24</w:t>
            </w:r>
          </w:p>
        </w:tc>
        <w:tc>
          <w:tcPr>
            <w:tcW w:w="1800" w:type="dxa"/>
            <w:tcBorders>
              <w:top w:val="nil"/>
              <w:left w:val="single" w:sz="4" w:space="0" w:color="auto"/>
              <w:bottom w:val="single" w:sz="4" w:space="0" w:color="auto"/>
              <w:right w:val="single" w:sz="4" w:space="0" w:color="auto"/>
            </w:tcBorders>
          </w:tcPr>
          <w:p w14:paraId="03121F31"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3.97</w:t>
            </w:r>
          </w:p>
        </w:tc>
        <w:tc>
          <w:tcPr>
            <w:tcW w:w="1568" w:type="dxa"/>
            <w:tcBorders>
              <w:top w:val="nil"/>
              <w:left w:val="single" w:sz="4" w:space="0" w:color="auto"/>
              <w:bottom w:val="single" w:sz="4" w:space="0" w:color="auto"/>
            </w:tcBorders>
          </w:tcPr>
          <w:p w14:paraId="694351B9"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-6.30</w:t>
            </w:r>
          </w:p>
        </w:tc>
      </w:tr>
      <w:tr w:rsidR="00233C7A" w:rsidRPr="000E3A45" w14:paraId="6D531C9C" w14:textId="77777777" w:rsidTr="0042319C">
        <w:trPr>
          <w:jc w:val="center"/>
        </w:trPr>
        <w:tc>
          <w:tcPr>
            <w:tcW w:w="6968" w:type="dxa"/>
            <w:gridSpan w:val="4"/>
            <w:tcBorders>
              <w:top w:val="nil"/>
              <w:bottom w:val="single" w:sz="4" w:space="0" w:color="auto"/>
            </w:tcBorders>
          </w:tcPr>
          <w:p w14:paraId="47178B98" w14:textId="77777777" w:rsidR="00233C7A" w:rsidRPr="000E3A45" w:rsidRDefault="00233C7A" w:rsidP="00233C7A">
            <w:pPr>
              <w:widowControl w:val="0"/>
              <w:tabs>
                <w:tab w:val="left" w:pos="1057"/>
              </w:tabs>
              <w:adjustRightInd w:val="0"/>
              <w:ind w:right="414"/>
              <w:jc w:val="center"/>
              <w:textAlignment w:val="baseline"/>
              <w:rPr>
                <w:sz w:val="20"/>
              </w:rPr>
            </w:pPr>
            <w:r w:rsidRPr="008E01FF">
              <w:rPr>
                <w:b/>
                <w:sz w:val="20"/>
              </w:rPr>
              <w:t>2014</w:t>
            </w:r>
            <w:r w:rsidRPr="008E01FF">
              <w:rPr>
                <w:b/>
                <w:sz w:val="20"/>
                <w:szCs w:val="20"/>
                <w:u w:val="single"/>
                <w:vertAlign w:val="superscript"/>
              </w:rPr>
              <w:t>1</w:t>
            </w:r>
            <w:r w:rsidRPr="000E3A45">
              <w:rPr>
                <w:sz w:val="20"/>
                <w:szCs w:val="20"/>
                <w:vertAlign w:val="superscript"/>
              </w:rPr>
              <w:t>/</w:t>
            </w:r>
          </w:p>
        </w:tc>
      </w:tr>
      <w:tr w:rsidR="00233C7A" w:rsidRPr="000E3A45" w14:paraId="35B36103" w14:textId="77777777" w:rsidTr="002E524C">
        <w:trPr>
          <w:jc w:val="center"/>
        </w:trPr>
        <w:tc>
          <w:tcPr>
            <w:tcW w:w="1800" w:type="dxa"/>
            <w:tcBorders>
              <w:top w:val="nil"/>
              <w:bottom w:val="nil"/>
              <w:right w:val="single" w:sz="4" w:space="0" w:color="auto"/>
            </w:tcBorders>
          </w:tcPr>
          <w:p w14:paraId="287D7712" w14:textId="77777777" w:rsidR="00233C7A" w:rsidRPr="000E3A45" w:rsidRDefault="00233C7A" w:rsidP="00233C7A">
            <w:pPr>
              <w:widowControl w:val="0"/>
              <w:adjustRightInd w:val="0"/>
              <w:ind w:right="-159"/>
              <w:jc w:val="both"/>
              <w:textAlignment w:val="baseline"/>
              <w:rPr>
                <w:bCs/>
                <w:sz w:val="20"/>
              </w:rPr>
            </w:pPr>
            <w:r w:rsidRPr="000E3A45">
              <w:rPr>
                <w:bCs/>
                <w:sz w:val="20"/>
              </w:rPr>
              <w:t>Enero</w:t>
            </w:r>
          </w:p>
        </w:tc>
        <w:tc>
          <w:tcPr>
            <w:tcW w:w="1800" w:type="dxa"/>
            <w:tcBorders>
              <w:top w:val="nil"/>
              <w:left w:val="single" w:sz="4" w:space="0" w:color="auto"/>
              <w:bottom w:val="nil"/>
              <w:right w:val="single" w:sz="4" w:space="0" w:color="auto"/>
            </w:tcBorders>
          </w:tcPr>
          <w:p w14:paraId="704DC4AE"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-4.32</w:t>
            </w:r>
          </w:p>
        </w:tc>
        <w:tc>
          <w:tcPr>
            <w:tcW w:w="1800" w:type="dxa"/>
            <w:tcBorders>
              <w:top w:val="nil"/>
              <w:left w:val="single" w:sz="4" w:space="0" w:color="auto"/>
              <w:bottom w:val="nil"/>
              <w:right w:val="single" w:sz="4" w:space="0" w:color="auto"/>
            </w:tcBorders>
          </w:tcPr>
          <w:p w14:paraId="727F2A90"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0.89</w:t>
            </w:r>
          </w:p>
        </w:tc>
        <w:tc>
          <w:tcPr>
            <w:tcW w:w="1568" w:type="dxa"/>
            <w:tcBorders>
              <w:top w:val="nil"/>
              <w:left w:val="single" w:sz="4" w:space="0" w:color="auto"/>
              <w:bottom w:val="nil"/>
            </w:tcBorders>
          </w:tcPr>
          <w:p w14:paraId="1390D11F"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-5.25</w:t>
            </w:r>
          </w:p>
        </w:tc>
      </w:tr>
      <w:tr w:rsidR="00233C7A" w:rsidRPr="000E3A45" w14:paraId="10677300" w14:textId="77777777" w:rsidTr="002E524C">
        <w:trPr>
          <w:jc w:val="center"/>
        </w:trPr>
        <w:tc>
          <w:tcPr>
            <w:tcW w:w="1800" w:type="dxa"/>
            <w:tcBorders>
              <w:top w:val="nil"/>
              <w:bottom w:val="nil"/>
              <w:right w:val="single" w:sz="4" w:space="0" w:color="auto"/>
            </w:tcBorders>
          </w:tcPr>
          <w:p w14:paraId="3D9D8642" w14:textId="77777777" w:rsidR="00233C7A" w:rsidRPr="000E3A45" w:rsidRDefault="00233C7A" w:rsidP="00233C7A">
            <w:pPr>
              <w:widowControl w:val="0"/>
              <w:adjustRightInd w:val="0"/>
              <w:ind w:right="-159"/>
              <w:jc w:val="both"/>
              <w:textAlignment w:val="baseline"/>
              <w:rPr>
                <w:bCs/>
                <w:sz w:val="20"/>
              </w:rPr>
            </w:pPr>
            <w:r w:rsidRPr="000E3A45">
              <w:rPr>
                <w:bCs/>
                <w:sz w:val="20"/>
              </w:rPr>
              <w:t>Febrero</w:t>
            </w:r>
          </w:p>
        </w:tc>
        <w:tc>
          <w:tcPr>
            <w:tcW w:w="1800" w:type="dxa"/>
            <w:tcBorders>
              <w:top w:val="nil"/>
              <w:left w:val="single" w:sz="4" w:space="0" w:color="auto"/>
              <w:bottom w:val="nil"/>
              <w:right w:val="single" w:sz="4" w:space="0" w:color="auto"/>
            </w:tcBorders>
          </w:tcPr>
          <w:p w14:paraId="5F34677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-9.23</w:t>
            </w:r>
          </w:p>
        </w:tc>
        <w:tc>
          <w:tcPr>
            <w:tcW w:w="1800" w:type="dxa"/>
            <w:tcBorders>
              <w:top w:val="nil"/>
              <w:left w:val="single" w:sz="4" w:space="0" w:color="auto"/>
              <w:bottom w:val="nil"/>
              <w:right w:val="single" w:sz="4" w:space="0" w:color="auto"/>
            </w:tcBorders>
          </w:tcPr>
          <w:p w14:paraId="78724A18" w14:textId="77777777" w:rsidR="00233C7A" w:rsidRPr="000E3A45" w:rsidRDefault="00233C7A" w:rsidP="00233C7A">
            <w:pPr>
              <w:widowControl w:val="0"/>
              <w:tabs>
                <w:tab w:val="left" w:pos="1057"/>
              </w:tabs>
              <w:adjustRightInd w:val="0"/>
              <w:ind w:right="510"/>
              <w:jc w:val="right"/>
              <w:textAlignment w:val="baseline"/>
              <w:rPr>
                <w:sz w:val="20"/>
              </w:rPr>
            </w:pPr>
            <w:r w:rsidRPr="000E3A45">
              <w:rPr>
                <w:sz w:val="20"/>
              </w:rPr>
              <w:t>1.15</w:t>
            </w:r>
          </w:p>
        </w:tc>
        <w:tc>
          <w:tcPr>
            <w:tcW w:w="1568" w:type="dxa"/>
            <w:tcBorders>
              <w:top w:val="nil"/>
              <w:left w:val="single" w:sz="4" w:space="0" w:color="auto"/>
              <w:bottom w:val="nil"/>
            </w:tcBorders>
          </w:tcPr>
          <w:p w14:paraId="53918350" w14:textId="77777777" w:rsidR="00233C7A" w:rsidRPr="000E3A45" w:rsidRDefault="0024055A" w:rsidP="00233C7A">
            <w:pPr>
              <w:widowControl w:val="0"/>
              <w:tabs>
                <w:tab w:val="left" w:pos="1057"/>
              </w:tabs>
              <w:adjustRightInd w:val="0"/>
              <w:ind w:right="510"/>
              <w:jc w:val="right"/>
              <w:textAlignment w:val="baseline"/>
              <w:rPr>
                <w:sz w:val="20"/>
              </w:rPr>
            </w:pPr>
            <w:r w:rsidRPr="000E3A45">
              <w:rPr>
                <w:sz w:val="20"/>
              </w:rPr>
              <w:t>-10.49</w:t>
            </w:r>
          </w:p>
        </w:tc>
      </w:tr>
      <w:tr w:rsidR="008A1F79" w:rsidRPr="000E3A45" w14:paraId="05448765" w14:textId="77777777" w:rsidTr="002E524C">
        <w:trPr>
          <w:jc w:val="center"/>
        </w:trPr>
        <w:tc>
          <w:tcPr>
            <w:tcW w:w="1800" w:type="dxa"/>
            <w:tcBorders>
              <w:top w:val="nil"/>
              <w:bottom w:val="nil"/>
              <w:right w:val="single" w:sz="4" w:space="0" w:color="auto"/>
            </w:tcBorders>
          </w:tcPr>
          <w:p w14:paraId="6BB37FCB" w14:textId="77777777" w:rsidR="008A1F79" w:rsidRPr="000E3A45" w:rsidRDefault="008A1F79" w:rsidP="008A1F79">
            <w:pPr>
              <w:widowControl w:val="0"/>
              <w:adjustRightInd w:val="0"/>
              <w:ind w:right="-159"/>
              <w:jc w:val="both"/>
              <w:textAlignment w:val="baseline"/>
              <w:rPr>
                <w:bCs/>
                <w:sz w:val="20"/>
              </w:rPr>
            </w:pPr>
            <w:r w:rsidRPr="000E3A45">
              <w:rPr>
                <w:bCs/>
                <w:sz w:val="20"/>
              </w:rPr>
              <w:t>Marzo</w:t>
            </w:r>
          </w:p>
        </w:tc>
        <w:tc>
          <w:tcPr>
            <w:tcW w:w="1800" w:type="dxa"/>
            <w:tcBorders>
              <w:top w:val="nil"/>
              <w:left w:val="single" w:sz="4" w:space="0" w:color="auto"/>
              <w:bottom w:val="nil"/>
              <w:right w:val="single" w:sz="4" w:space="0" w:color="auto"/>
            </w:tcBorders>
          </w:tcPr>
          <w:p w14:paraId="603A82CF" w14:textId="77777777" w:rsidR="008A1F79" w:rsidRPr="000E3A45" w:rsidRDefault="008A1F79" w:rsidP="005540CD">
            <w:pPr>
              <w:widowControl w:val="0"/>
              <w:tabs>
                <w:tab w:val="left" w:pos="1057"/>
              </w:tabs>
              <w:adjustRightInd w:val="0"/>
              <w:ind w:right="510"/>
              <w:jc w:val="right"/>
              <w:textAlignment w:val="baseline"/>
              <w:rPr>
                <w:sz w:val="20"/>
              </w:rPr>
            </w:pPr>
            <w:r w:rsidRPr="000E3A45">
              <w:rPr>
                <w:sz w:val="20"/>
              </w:rPr>
              <w:t>-</w:t>
            </w:r>
            <w:r w:rsidR="005540CD" w:rsidRPr="000E3A45">
              <w:rPr>
                <w:sz w:val="20"/>
              </w:rPr>
              <w:t>5.30</w:t>
            </w:r>
          </w:p>
        </w:tc>
        <w:tc>
          <w:tcPr>
            <w:tcW w:w="1800" w:type="dxa"/>
            <w:tcBorders>
              <w:top w:val="nil"/>
              <w:left w:val="single" w:sz="4" w:space="0" w:color="auto"/>
              <w:bottom w:val="nil"/>
              <w:right w:val="single" w:sz="4" w:space="0" w:color="auto"/>
            </w:tcBorders>
          </w:tcPr>
          <w:p w14:paraId="3FB926FA" w14:textId="77777777" w:rsidR="008A1F79" w:rsidRPr="000E3A45" w:rsidRDefault="008A1F79" w:rsidP="008A1F79">
            <w:pPr>
              <w:widowControl w:val="0"/>
              <w:tabs>
                <w:tab w:val="left" w:pos="1057"/>
              </w:tabs>
              <w:adjustRightInd w:val="0"/>
              <w:ind w:right="510"/>
              <w:jc w:val="right"/>
              <w:textAlignment w:val="baseline"/>
              <w:rPr>
                <w:sz w:val="20"/>
              </w:rPr>
            </w:pPr>
            <w:r w:rsidRPr="000E3A45">
              <w:rPr>
                <w:sz w:val="20"/>
              </w:rPr>
              <w:t>1.</w:t>
            </w:r>
            <w:r w:rsidR="0011762B" w:rsidRPr="000E3A45">
              <w:rPr>
                <w:sz w:val="20"/>
              </w:rPr>
              <w:t>43</w:t>
            </w:r>
          </w:p>
        </w:tc>
        <w:tc>
          <w:tcPr>
            <w:tcW w:w="1568" w:type="dxa"/>
            <w:tcBorders>
              <w:top w:val="nil"/>
              <w:left w:val="single" w:sz="4" w:space="0" w:color="auto"/>
              <w:bottom w:val="nil"/>
            </w:tcBorders>
          </w:tcPr>
          <w:p w14:paraId="3D190E40" w14:textId="77777777" w:rsidR="008A1F79" w:rsidRPr="000E3A45" w:rsidRDefault="009A4175" w:rsidP="0011762B">
            <w:pPr>
              <w:widowControl w:val="0"/>
              <w:tabs>
                <w:tab w:val="left" w:pos="1057"/>
              </w:tabs>
              <w:adjustRightInd w:val="0"/>
              <w:ind w:right="510"/>
              <w:jc w:val="right"/>
              <w:textAlignment w:val="baseline"/>
              <w:rPr>
                <w:sz w:val="20"/>
              </w:rPr>
            </w:pPr>
            <w:r w:rsidRPr="000E3A45">
              <w:rPr>
                <w:sz w:val="20"/>
              </w:rPr>
              <w:t>-</w:t>
            </w:r>
            <w:r w:rsidR="0011762B" w:rsidRPr="000E3A45">
              <w:rPr>
                <w:sz w:val="20"/>
              </w:rPr>
              <w:t>6.81</w:t>
            </w:r>
          </w:p>
        </w:tc>
      </w:tr>
      <w:tr w:rsidR="009F525E" w:rsidRPr="000E3A45" w14:paraId="5B3CF4FF" w14:textId="77777777" w:rsidTr="002E524C">
        <w:trPr>
          <w:jc w:val="center"/>
        </w:trPr>
        <w:tc>
          <w:tcPr>
            <w:tcW w:w="1800" w:type="dxa"/>
            <w:tcBorders>
              <w:top w:val="nil"/>
              <w:bottom w:val="nil"/>
              <w:right w:val="single" w:sz="4" w:space="0" w:color="auto"/>
            </w:tcBorders>
          </w:tcPr>
          <w:p w14:paraId="310ACE83" w14:textId="77777777" w:rsidR="009F525E" w:rsidRPr="000E3A45" w:rsidRDefault="009F525E" w:rsidP="009F525E">
            <w:pPr>
              <w:widowControl w:val="0"/>
              <w:adjustRightInd w:val="0"/>
              <w:ind w:right="-159"/>
              <w:jc w:val="both"/>
              <w:textAlignment w:val="baseline"/>
              <w:rPr>
                <w:bCs/>
                <w:sz w:val="20"/>
              </w:rPr>
            </w:pPr>
            <w:r w:rsidRPr="000E3A45">
              <w:rPr>
                <w:bCs/>
                <w:sz w:val="20"/>
              </w:rPr>
              <w:t>Abril</w:t>
            </w:r>
          </w:p>
        </w:tc>
        <w:tc>
          <w:tcPr>
            <w:tcW w:w="1800" w:type="dxa"/>
            <w:tcBorders>
              <w:top w:val="nil"/>
              <w:left w:val="single" w:sz="4" w:space="0" w:color="auto"/>
              <w:bottom w:val="nil"/>
              <w:right w:val="single" w:sz="4" w:space="0" w:color="auto"/>
            </w:tcBorders>
          </w:tcPr>
          <w:p w14:paraId="06A14080"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-4.72</w:t>
            </w:r>
          </w:p>
        </w:tc>
        <w:tc>
          <w:tcPr>
            <w:tcW w:w="1800" w:type="dxa"/>
            <w:tcBorders>
              <w:top w:val="nil"/>
              <w:left w:val="single" w:sz="4" w:space="0" w:color="auto"/>
              <w:bottom w:val="nil"/>
              <w:right w:val="single" w:sz="4" w:space="0" w:color="auto"/>
            </w:tcBorders>
          </w:tcPr>
          <w:p w14:paraId="733417DC"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1.24</w:t>
            </w:r>
          </w:p>
        </w:tc>
        <w:tc>
          <w:tcPr>
            <w:tcW w:w="1568" w:type="dxa"/>
            <w:tcBorders>
              <w:top w:val="nil"/>
              <w:left w:val="single" w:sz="4" w:space="0" w:color="auto"/>
              <w:bottom w:val="nil"/>
            </w:tcBorders>
          </w:tcPr>
          <w:p w14:paraId="308436F4" w14:textId="77777777" w:rsidR="009F525E" w:rsidRPr="000E3A45" w:rsidRDefault="009F525E" w:rsidP="009F525E">
            <w:pPr>
              <w:widowControl w:val="0"/>
              <w:tabs>
                <w:tab w:val="left" w:pos="1057"/>
              </w:tabs>
              <w:adjustRightInd w:val="0"/>
              <w:ind w:right="510"/>
              <w:jc w:val="right"/>
              <w:textAlignment w:val="baseline"/>
              <w:rPr>
                <w:sz w:val="20"/>
              </w:rPr>
            </w:pPr>
            <w:r w:rsidRPr="000E3A45">
              <w:rPr>
                <w:sz w:val="20"/>
              </w:rPr>
              <w:t>-6.02</w:t>
            </w:r>
          </w:p>
        </w:tc>
      </w:tr>
      <w:tr w:rsidR="00E238B1" w:rsidRPr="000E3A45" w14:paraId="1DD52F34" w14:textId="77777777" w:rsidTr="002E524C">
        <w:trPr>
          <w:jc w:val="center"/>
        </w:trPr>
        <w:tc>
          <w:tcPr>
            <w:tcW w:w="1800" w:type="dxa"/>
            <w:tcBorders>
              <w:top w:val="nil"/>
              <w:bottom w:val="nil"/>
              <w:right w:val="single" w:sz="4" w:space="0" w:color="auto"/>
            </w:tcBorders>
          </w:tcPr>
          <w:p w14:paraId="4C8FC9FB" w14:textId="77777777" w:rsidR="00E238B1" w:rsidRPr="000E3A45" w:rsidRDefault="00E238B1" w:rsidP="00E238B1">
            <w:pPr>
              <w:widowControl w:val="0"/>
              <w:adjustRightInd w:val="0"/>
              <w:ind w:right="-159"/>
              <w:jc w:val="both"/>
              <w:textAlignment w:val="baseline"/>
              <w:rPr>
                <w:bCs/>
                <w:sz w:val="20"/>
              </w:rPr>
            </w:pPr>
            <w:r w:rsidRPr="000E3A45">
              <w:rPr>
                <w:bCs/>
                <w:sz w:val="20"/>
              </w:rPr>
              <w:t>Mayo</w:t>
            </w:r>
          </w:p>
        </w:tc>
        <w:tc>
          <w:tcPr>
            <w:tcW w:w="1800" w:type="dxa"/>
            <w:tcBorders>
              <w:top w:val="nil"/>
              <w:left w:val="single" w:sz="4" w:space="0" w:color="auto"/>
              <w:bottom w:val="nil"/>
              <w:right w:val="single" w:sz="4" w:space="0" w:color="auto"/>
            </w:tcBorders>
          </w:tcPr>
          <w:p w14:paraId="434478E0" w14:textId="77777777" w:rsidR="00E238B1" w:rsidRPr="000E3A45" w:rsidRDefault="00E238B1" w:rsidP="00665639">
            <w:pPr>
              <w:widowControl w:val="0"/>
              <w:tabs>
                <w:tab w:val="left" w:pos="1057"/>
              </w:tabs>
              <w:adjustRightInd w:val="0"/>
              <w:ind w:right="510"/>
              <w:jc w:val="right"/>
              <w:textAlignment w:val="baseline"/>
              <w:rPr>
                <w:sz w:val="20"/>
              </w:rPr>
            </w:pPr>
            <w:r w:rsidRPr="000E3A45">
              <w:rPr>
                <w:sz w:val="20"/>
              </w:rPr>
              <w:t>-</w:t>
            </w:r>
            <w:r w:rsidR="00665639" w:rsidRPr="000E3A45">
              <w:rPr>
                <w:sz w:val="20"/>
              </w:rPr>
              <w:t>3.19</w:t>
            </w:r>
          </w:p>
        </w:tc>
        <w:tc>
          <w:tcPr>
            <w:tcW w:w="1800" w:type="dxa"/>
            <w:tcBorders>
              <w:top w:val="nil"/>
              <w:left w:val="single" w:sz="4" w:space="0" w:color="auto"/>
              <w:bottom w:val="nil"/>
              <w:right w:val="single" w:sz="4" w:space="0" w:color="auto"/>
            </w:tcBorders>
          </w:tcPr>
          <w:p w14:paraId="34DE0949" w14:textId="77777777" w:rsidR="00E238B1" w:rsidRPr="000E3A45" w:rsidRDefault="00665639" w:rsidP="00665639">
            <w:pPr>
              <w:widowControl w:val="0"/>
              <w:tabs>
                <w:tab w:val="left" w:pos="1057"/>
              </w:tabs>
              <w:adjustRightInd w:val="0"/>
              <w:ind w:right="510"/>
              <w:jc w:val="right"/>
              <w:textAlignment w:val="baseline"/>
              <w:rPr>
                <w:sz w:val="20"/>
              </w:rPr>
            </w:pPr>
            <w:r w:rsidRPr="000E3A45">
              <w:rPr>
                <w:sz w:val="20"/>
              </w:rPr>
              <w:t>0.91</w:t>
            </w:r>
          </w:p>
        </w:tc>
        <w:tc>
          <w:tcPr>
            <w:tcW w:w="1568" w:type="dxa"/>
            <w:tcBorders>
              <w:top w:val="nil"/>
              <w:left w:val="single" w:sz="4" w:space="0" w:color="auto"/>
              <w:bottom w:val="nil"/>
            </w:tcBorders>
          </w:tcPr>
          <w:p w14:paraId="4516FC2D" w14:textId="77777777" w:rsidR="00E238B1" w:rsidRPr="000E3A45" w:rsidRDefault="00E238B1" w:rsidP="00665639">
            <w:pPr>
              <w:widowControl w:val="0"/>
              <w:tabs>
                <w:tab w:val="left" w:pos="1057"/>
              </w:tabs>
              <w:adjustRightInd w:val="0"/>
              <w:ind w:right="510"/>
              <w:jc w:val="right"/>
              <w:textAlignment w:val="baseline"/>
              <w:rPr>
                <w:sz w:val="20"/>
              </w:rPr>
            </w:pPr>
            <w:r w:rsidRPr="000E3A45">
              <w:rPr>
                <w:sz w:val="20"/>
              </w:rPr>
              <w:t>-</w:t>
            </w:r>
            <w:r w:rsidR="00665639" w:rsidRPr="000E3A45">
              <w:rPr>
                <w:sz w:val="20"/>
              </w:rPr>
              <w:t>4.13</w:t>
            </w:r>
          </w:p>
        </w:tc>
      </w:tr>
      <w:tr w:rsidR="00EC5744" w:rsidRPr="000E3A45" w14:paraId="5D9A20B0" w14:textId="77777777" w:rsidTr="002E524C">
        <w:trPr>
          <w:jc w:val="center"/>
        </w:trPr>
        <w:tc>
          <w:tcPr>
            <w:tcW w:w="1800" w:type="dxa"/>
            <w:tcBorders>
              <w:top w:val="nil"/>
              <w:bottom w:val="nil"/>
              <w:right w:val="single" w:sz="4" w:space="0" w:color="auto"/>
            </w:tcBorders>
          </w:tcPr>
          <w:p w14:paraId="1680A41A" w14:textId="26016EB8" w:rsidR="00EC5744" w:rsidRPr="000E3A45" w:rsidRDefault="00EC5744" w:rsidP="00EC5744">
            <w:pPr>
              <w:widowControl w:val="0"/>
              <w:adjustRightInd w:val="0"/>
              <w:ind w:right="-159"/>
              <w:jc w:val="both"/>
              <w:textAlignment w:val="baseline"/>
              <w:rPr>
                <w:bCs/>
                <w:sz w:val="20"/>
              </w:rPr>
            </w:pPr>
            <w:r w:rsidRPr="000E3A45">
              <w:rPr>
                <w:bCs/>
                <w:sz w:val="20"/>
              </w:rPr>
              <w:t>Junio</w:t>
            </w:r>
          </w:p>
        </w:tc>
        <w:tc>
          <w:tcPr>
            <w:tcW w:w="1800" w:type="dxa"/>
            <w:tcBorders>
              <w:top w:val="nil"/>
              <w:left w:val="single" w:sz="4" w:space="0" w:color="auto"/>
              <w:bottom w:val="nil"/>
              <w:right w:val="single" w:sz="4" w:space="0" w:color="auto"/>
            </w:tcBorders>
          </w:tcPr>
          <w:p w14:paraId="6024347D" w14:textId="1EDBDD7D" w:rsidR="00EC5744" w:rsidRPr="000E3A45" w:rsidRDefault="00EC5744" w:rsidP="00EC5744">
            <w:pPr>
              <w:widowControl w:val="0"/>
              <w:tabs>
                <w:tab w:val="left" w:pos="1057"/>
              </w:tabs>
              <w:adjustRightInd w:val="0"/>
              <w:ind w:right="510"/>
              <w:jc w:val="right"/>
              <w:textAlignment w:val="baseline"/>
              <w:rPr>
                <w:sz w:val="20"/>
              </w:rPr>
            </w:pPr>
            <w:r w:rsidRPr="000E3A45">
              <w:rPr>
                <w:sz w:val="20"/>
              </w:rPr>
              <w:t>0.02</w:t>
            </w:r>
          </w:p>
        </w:tc>
        <w:tc>
          <w:tcPr>
            <w:tcW w:w="1800" w:type="dxa"/>
            <w:tcBorders>
              <w:top w:val="nil"/>
              <w:left w:val="single" w:sz="4" w:space="0" w:color="auto"/>
              <w:bottom w:val="nil"/>
              <w:right w:val="single" w:sz="4" w:space="0" w:color="auto"/>
            </w:tcBorders>
          </w:tcPr>
          <w:p w14:paraId="67FE7E58" w14:textId="5BE2C336" w:rsidR="00EC5744" w:rsidRPr="000E3A45" w:rsidRDefault="00EC5744" w:rsidP="00EC5744">
            <w:pPr>
              <w:widowControl w:val="0"/>
              <w:tabs>
                <w:tab w:val="left" w:pos="1057"/>
              </w:tabs>
              <w:adjustRightInd w:val="0"/>
              <w:ind w:right="510"/>
              <w:jc w:val="right"/>
              <w:textAlignment w:val="baseline"/>
              <w:rPr>
                <w:sz w:val="20"/>
              </w:rPr>
            </w:pPr>
            <w:r w:rsidRPr="000E3A45">
              <w:rPr>
                <w:sz w:val="20"/>
              </w:rPr>
              <w:t>1.09</w:t>
            </w:r>
          </w:p>
        </w:tc>
        <w:tc>
          <w:tcPr>
            <w:tcW w:w="1568" w:type="dxa"/>
            <w:tcBorders>
              <w:top w:val="nil"/>
              <w:left w:val="single" w:sz="4" w:space="0" w:color="auto"/>
              <w:bottom w:val="nil"/>
            </w:tcBorders>
          </w:tcPr>
          <w:p w14:paraId="2941D521" w14:textId="745E682E" w:rsidR="00EC5744" w:rsidRPr="000E3A45" w:rsidRDefault="00EC5744" w:rsidP="00EC5744">
            <w:pPr>
              <w:widowControl w:val="0"/>
              <w:tabs>
                <w:tab w:val="left" w:pos="1057"/>
              </w:tabs>
              <w:adjustRightInd w:val="0"/>
              <w:ind w:right="510"/>
              <w:jc w:val="right"/>
              <w:textAlignment w:val="baseline"/>
              <w:rPr>
                <w:sz w:val="20"/>
              </w:rPr>
            </w:pPr>
            <w:r w:rsidRPr="000E3A45">
              <w:rPr>
                <w:sz w:val="20"/>
              </w:rPr>
              <w:t>-0.88</w:t>
            </w:r>
          </w:p>
        </w:tc>
      </w:tr>
      <w:tr w:rsidR="002F4497" w:rsidRPr="000E3A45" w14:paraId="1CB51F07" w14:textId="77777777" w:rsidTr="002E524C">
        <w:trPr>
          <w:jc w:val="center"/>
        </w:trPr>
        <w:tc>
          <w:tcPr>
            <w:tcW w:w="1800" w:type="dxa"/>
            <w:tcBorders>
              <w:top w:val="nil"/>
              <w:bottom w:val="nil"/>
              <w:right w:val="single" w:sz="4" w:space="0" w:color="auto"/>
            </w:tcBorders>
          </w:tcPr>
          <w:p w14:paraId="4ECBBC5C" w14:textId="6B740F88" w:rsidR="002F4497" w:rsidRPr="000E3A45" w:rsidRDefault="002F4497" w:rsidP="00EC5744">
            <w:pPr>
              <w:widowControl w:val="0"/>
              <w:adjustRightInd w:val="0"/>
              <w:ind w:right="-159"/>
              <w:jc w:val="both"/>
              <w:textAlignment w:val="baseline"/>
              <w:rPr>
                <w:bCs/>
                <w:sz w:val="20"/>
              </w:rPr>
            </w:pPr>
            <w:r w:rsidRPr="000E3A45">
              <w:rPr>
                <w:bCs/>
                <w:sz w:val="20"/>
              </w:rPr>
              <w:t>Julio</w:t>
            </w:r>
          </w:p>
        </w:tc>
        <w:tc>
          <w:tcPr>
            <w:tcW w:w="1800" w:type="dxa"/>
            <w:tcBorders>
              <w:top w:val="nil"/>
              <w:left w:val="single" w:sz="4" w:space="0" w:color="auto"/>
              <w:bottom w:val="nil"/>
              <w:right w:val="single" w:sz="4" w:space="0" w:color="auto"/>
            </w:tcBorders>
          </w:tcPr>
          <w:p w14:paraId="7905E90A" w14:textId="3F98ADCE" w:rsidR="002F4497" w:rsidRPr="000E3A45" w:rsidRDefault="002F4497" w:rsidP="00EC5744">
            <w:pPr>
              <w:widowControl w:val="0"/>
              <w:tabs>
                <w:tab w:val="left" w:pos="1057"/>
              </w:tabs>
              <w:adjustRightInd w:val="0"/>
              <w:ind w:right="510"/>
              <w:jc w:val="right"/>
              <w:textAlignment w:val="baseline"/>
              <w:rPr>
                <w:sz w:val="20"/>
              </w:rPr>
            </w:pPr>
            <w:r w:rsidRPr="000E3A45">
              <w:rPr>
                <w:sz w:val="20"/>
              </w:rPr>
              <w:t>2.55</w:t>
            </w:r>
          </w:p>
        </w:tc>
        <w:tc>
          <w:tcPr>
            <w:tcW w:w="1800" w:type="dxa"/>
            <w:tcBorders>
              <w:top w:val="nil"/>
              <w:left w:val="single" w:sz="4" w:space="0" w:color="auto"/>
              <w:bottom w:val="nil"/>
              <w:right w:val="single" w:sz="4" w:space="0" w:color="auto"/>
            </w:tcBorders>
          </w:tcPr>
          <w:p w14:paraId="72CA19BE" w14:textId="218E0B88" w:rsidR="002F4497" w:rsidRPr="000E3A45" w:rsidRDefault="00712034" w:rsidP="00EC5744">
            <w:pPr>
              <w:widowControl w:val="0"/>
              <w:tabs>
                <w:tab w:val="left" w:pos="1057"/>
              </w:tabs>
              <w:adjustRightInd w:val="0"/>
              <w:ind w:right="510"/>
              <w:jc w:val="right"/>
              <w:textAlignment w:val="baseline"/>
              <w:rPr>
                <w:sz w:val="20"/>
              </w:rPr>
            </w:pPr>
            <w:r w:rsidRPr="000E3A45">
              <w:rPr>
                <w:sz w:val="20"/>
              </w:rPr>
              <w:t>1.37</w:t>
            </w:r>
          </w:p>
        </w:tc>
        <w:tc>
          <w:tcPr>
            <w:tcW w:w="1568" w:type="dxa"/>
            <w:tcBorders>
              <w:top w:val="nil"/>
              <w:left w:val="single" w:sz="4" w:space="0" w:color="auto"/>
              <w:bottom w:val="nil"/>
            </w:tcBorders>
          </w:tcPr>
          <w:p w14:paraId="4E4A8AA1" w14:textId="180FB984" w:rsidR="002F4497" w:rsidRPr="000E3A45" w:rsidRDefault="00712034" w:rsidP="00EC5744">
            <w:pPr>
              <w:widowControl w:val="0"/>
              <w:tabs>
                <w:tab w:val="left" w:pos="1057"/>
              </w:tabs>
              <w:adjustRightInd w:val="0"/>
              <w:ind w:right="510"/>
              <w:jc w:val="right"/>
              <w:textAlignment w:val="baseline"/>
              <w:rPr>
                <w:sz w:val="20"/>
              </w:rPr>
            </w:pPr>
            <w:r w:rsidRPr="000E3A45">
              <w:rPr>
                <w:sz w:val="20"/>
              </w:rPr>
              <w:t>1.16</w:t>
            </w:r>
          </w:p>
        </w:tc>
      </w:tr>
      <w:tr w:rsidR="005B4C2A" w:rsidRPr="000E3A45" w14:paraId="457B0432" w14:textId="77777777" w:rsidTr="002E524C">
        <w:trPr>
          <w:jc w:val="center"/>
        </w:trPr>
        <w:tc>
          <w:tcPr>
            <w:tcW w:w="1800" w:type="dxa"/>
            <w:tcBorders>
              <w:top w:val="nil"/>
              <w:bottom w:val="nil"/>
              <w:right w:val="single" w:sz="4" w:space="0" w:color="auto"/>
            </w:tcBorders>
          </w:tcPr>
          <w:p w14:paraId="411CA759" w14:textId="1B5CCBA2" w:rsidR="005B4C2A" w:rsidRPr="000E3A45" w:rsidRDefault="005B4C2A" w:rsidP="00EC5744">
            <w:pPr>
              <w:widowControl w:val="0"/>
              <w:adjustRightInd w:val="0"/>
              <w:ind w:right="-159"/>
              <w:jc w:val="both"/>
              <w:textAlignment w:val="baseline"/>
              <w:rPr>
                <w:bCs/>
                <w:sz w:val="20"/>
              </w:rPr>
            </w:pPr>
            <w:r w:rsidRPr="000E3A45">
              <w:rPr>
                <w:bCs/>
                <w:sz w:val="20"/>
              </w:rPr>
              <w:t>Agosto</w:t>
            </w:r>
          </w:p>
        </w:tc>
        <w:tc>
          <w:tcPr>
            <w:tcW w:w="1800" w:type="dxa"/>
            <w:tcBorders>
              <w:top w:val="nil"/>
              <w:left w:val="single" w:sz="4" w:space="0" w:color="auto"/>
              <w:bottom w:val="nil"/>
              <w:right w:val="single" w:sz="4" w:space="0" w:color="auto"/>
            </w:tcBorders>
          </w:tcPr>
          <w:p w14:paraId="034CDEC6" w14:textId="6ECFFC5D" w:rsidR="005B4C2A" w:rsidRPr="000E3A45" w:rsidRDefault="005B4C2A" w:rsidP="00EC5744">
            <w:pPr>
              <w:widowControl w:val="0"/>
              <w:tabs>
                <w:tab w:val="left" w:pos="1057"/>
              </w:tabs>
              <w:adjustRightInd w:val="0"/>
              <w:ind w:right="510"/>
              <w:jc w:val="right"/>
              <w:textAlignment w:val="baseline"/>
              <w:rPr>
                <w:sz w:val="20"/>
              </w:rPr>
            </w:pPr>
            <w:r w:rsidRPr="000E3A45">
              <w:rPr>
                <w:sz w:val="20"/>
              </w:rPr>
              <w:t>6.79</w:t>
            </w:r>
          </w:p>
        </w:tc>
        <w:tc>
          <w:tcPr>
            <w:tcW w:w="1800" w:type="dxa"/>
            <w:tcBorders>
              <w:top w:val="nil"/>
              <w:left w:val="single" w:sz="4" w:space="0" w:color="auto"/>
              <w:bottom w:val="nil"/>
              <w:right w:val="single" w:sz="4" w:space="0" w:color="auto"/>
            </w:tcBorders>
          </w:tcPr>
          <w:p w14:paraId="370AF273" w14:textId="4FBBB307" w:rsidR="005B4C2A" w:rsidRPr="000E3A45" w:rsidRDefault="005B4C2A" w:rsidP="00EC5744">
            <w:pPr>
              <w:widowControl w:val="0"/>
              <w:tabs>
                <w:tab w:val="left" w:pos="1057"/>
              </w:tabs>
              <w:adjustRightInd w:val="0"/>
              <w:ind w:right="510"/>
              <w:jc w:val="right"/>
              <w:textAlignment w:val="baseline"/>
              <w:rPr>
                <w:sz w:val="20"/>
              </w:rPr>
            </w:pPr>
            <w:r w:rsidRPr="000E3A45">
              <w:rPr>
                <w:sz w:val="20"/>
              </w:rPr>
              <w:t>1.73</w:t>
            </w:r>
          </w:p>
        </w:tc>
        <w:tc>
          <w:tcPr>
            <w:tcW w:w="1568" w:type="dxa"/>
            <w:tcBorders>
              <w:top w:val="nil"/>
              <w:left w:val="single" w:sz="4" w:space="0" w:color="auto"/>
              <w:bottom w:val="nil"/>
            </w:tcBorders>
          </w:tcPr>
          <w:p w14:paraId="3A03F92D" w14:textId="0D43D075" w:rsidR="005B4C2A" w:rsidRPr="000E3A45" w:rsidRDefault="005B4C2A" w:rsidP="00EC5744">
            <w:pPr>
              <w:widowControl w:val="0"/>
              <w:tabs>
                <w:tab w:val="left" w:pos="1057"/>
              </w:tabs>
              <w:adjustRightInd w:val="0"/>
              <w:ind w:right="510"/>
              <w:jc w:val="right"/>
              <w:textAlignment w:val="baseline"/>
              <w:rPr>
                <w:sz w:val="20"/>
              </w:rPr>
            </w:pPr>
            <w:r w:rsidRPr="000E3A45">
              <w:rPr>
                <w:sz w:val="20"/>
              </w:rPr>
              <w:t>4.97</w:t>
            </w:r>
          </w:p>
        </w:tc>
      </w:tr>
      <w:tr w:rsidR="005C03F9" w:rsidRPr="000E3A45" w14:paraId="534B3C8D" w14:textId="77777777" w:rsidTr="002E524C">
        <w:trPr>
          <w:jc w:val="center"/>
        </w:trPr>
        <w:tc>
          <w:tcPr>
            <w:tcW w:w="1800" w:type="dxa"/>
            <w:tcBorders>
              <w:top w:val="nil"/>
              <w:bottom w:val="nil"/>
              <w:right w:val="single" w:sz="4" w:space="0" w:color="auto"/>
            </w:tcBorders>
          </w:tcPr>
          <w:p w14:paraId="3C39FEC7" w14:textId="085EBEF9" w:rsidR="005C03F9" w:rsidRPr="000E3A45" w:rsidRDefault="005C03F9" w:rsidP="00EC5744">
            <w:pPr>
              <w:widowControl w:val="0"/>
              <w:adjustRightInd w:val="0"/>
              <w:ind w:right="-159"/>
              <w:jc w:val="both"/>
              <w:textAlignment w:val="baseline"/>
              <w:rPr>
                <w:bCs/>
                <w:sz w:val="20"/>
              </w:rPr>
            </w:pPr>
            <w:r w:rsidRPr="000E3A45">
              <w:rPr>
                <w:bCs/>
                <w:sz w:val="20"/>
              </w:rPr>
              <w:t>Septiembre</w:t>
            </w:r>
          </w:p>
        </w:tc>
        <w:tc>
          <w:tcPr>
            <w:tcW w:w="1800" w:type="dxa"/>
            <w:tcBorders>
              <w:top w:val="nil"/>
              <w:left w:val="single" w:sz="4" w:space="0" w:color="auto"/>
              <w:bottom w:val="nil"/>
              <w:right w:val="single" w:sz="4" w:space="0" w:color="auto"/>
            </w:tcBorders>
          </w:tcPr>
          <w:p w14:paraId="17EFF475" w14:textId="294E34A7" w:rsidR="005C03F9" w:rsidRPr="000E3A45" w:rsidRDefault="005C03F9" w:rsidP="005C03F9">
            <w:pPr>
              <w:widowControl w:val="0"/>
              <w:tabs>
                <w:tab w:val="left" w:pos="1057"/>
              </w:tabs>
              <w:adjustRightInd w:val="0"/>
              <w:ind w:right="510"/>
              <w:jc w:val="right"/>
              <w:textAlignment w:val="baseline"/>
              <w:rPr>
                <w:sz w:val="20"/>
              </w:rPr>
            </w:pPr>
            <w:r w:rsidRPr="000E3A45">
              <w:rPr>
                <w:sz w:val="20"/>
              </w:rPr>
              <w:t>5.29</w:t>
            </w:r>
          </w:p>
        </w:tc>
        <w:tc>
          <w:tcPr>
            <w:tcW w:w="1800" w:type="dxa"/>
            <w:tcBorders>
              <w:top w:val="nil"/>
              <w:left w:val="single" w:sz="4" w:space="0" w:color="auto"/>
              <w:bottom w:val="nil"/>
              <w:right w:val="single" w:sz="4" w:space="0" w:color="auto"/>
            </w:tcBorders>
          </w:tcPr>
          <w:p w14:paraId="6B81F003" w14:textId="253F159E" w:rsidR="005C03F9" w:rsidRPr="000E3A45" w:rsidRDefault="005C03F9" w:rsidP="00EC5744">
            <w:pPr>
              <w:widowControl w:val="0"/>
              <w:tabs>
                <w:tab w:val="left" w:pos="1057"/>
              </w:tabs>
              <w:adjustRightInd w:val="0"/>
              <w:ind w:right="510"/>
              <w:jc w:val="right"/>
              <w:textAlignment w:val="baseline"/>
              <w:rPr>
                <w:sz w:val="20"/>
              </w:rPr>
            </w:pPr>
            <w:r w:rsidRPr="000E3A45">
              <w:rPr>
                <w:sz w:val="20"/>
              </w:rPr>
              <w:t>2.18</w:t>
            </w:r>
          </w:p>
        </w:tc>
        <w:tc>
          <w:tcPr>
            <w:tcW w:w="1568" w:type="dxa"/>
            <w:tcBorders>
              <w:top w:val="nil"/>
              <w:left w:val="single" w:sz="4" w:space="0" w:color="auto"/>
              <w:bottom w:val="nil"/>
            </w:tcBorders>
          </w:tcPr>
          <w:p w14:paraId="72E1962D" w14:textId="52081F87" w:rsidR="005C03F9" w:rsidRPr="000E3A45" w:rsidRDefault="005C03F9" w:rsidP="00EC5744">
            <w:pPr>
              <w:widowControl w:val="0"/>
              <w:tabs>
                <w:tab w:val="left" w:pos="1057"/>
              </w:tabs>
              <w:adjustRightInd w:val="0"/>
              <w:ind w:right="510"/>
              <w:jc w:val="right"/>
              <w:textAlignment w:val="baseline"/>
              <w:rPr>
                <w:sz w:val="20"/>
              </w:rPr>
            </w:pPr>
            <w:r w:rsidRPr="000E3A45">
              <w:rPr>
                <w:sz w:val="20"/>
              </w:rPr>
              <w:t>3.04</w:t>
            </w:r>
          </w:p>
        </w:tc>
      </w:tr>
      <w:tr w:rsidR="00085854" w:rsidRPr="000E3A45" w14:paraId="00B2680F" w14:textId="77777777" w:rsidTr="000F3535">
        <w:trPr>
          <w:jc w:val="center"/>
        </w:trPr>
        <w:tc>
          <w:tcPr>
            <w:tcW w:w="1800" w:type="dxa"/>
            <w:tcBorders>
              <w:top w:val="nil"/>
              <w:bottom w:val="nil"/>
              <w:right w:val="single" w:sz="4" w:space="0" w:color="auto"/>
            </w:tcBorders>
          </w:tcPr>
          <w:p w14:paraId="5D070D1D" w14:textId="6F1F0202" w:rsidR="00085854" w:rsidRPr="000E3A45" w:rsidRDefault="00085854" w:rsidP="00085854">
            <w:pPr>
              <w:widowControl w:val="0"/>
              <w:adjustRightInd w:val="0"/>
              <w:ind w:right="-159"/>
              <w:jc w:val="both"/>
              <w:textAlignment w:val="baseline"/>
              <w:rPr>
                <w:bCs/>
                <w:sz w:val="20"/>
              </w:rPr>
            </w:pPr>
            <w:r w:rsidRPr="000E3A45">
              <w:rPr>
                <w:bCs/>
                <w:sz w:val="20"/>
              </w:rPr>
              <w:t>Octubre</w:t>
            </w:r>
          </w:p>
        </w:tc>
        <w:tc>
          <w:tcPr>
            <w:tcW w:w="1800" w:type="dxa"/>
            <w:tcBorders>
              <w:top w:val="nil"/>
              <w:left w:val="single" w:sz="4" w:space="0" w:color="auto"/>
              <w:bottom w:val="nil"/>
              <w:right w:val="single" w:sz="4" w:space="0" w:color="auto"/>
            </w:tcBorders>
          </w:tcPr>
          <w:p w14:paraId="728EFE67" w14:textId="6D0C16AD" w:rsidR="00085854" w:rsidRPr="000E3A45" w:rsidRDefault="00F2019A" w:rsidP="00F2019A">
            <w:pPr>
              <w:widowControl w:val="0"/>
              <w:tabs>
                <w:tab w:val="left" w:pos="1057"/>
              </w:tabs>
              <w:adjustRightInd w:val="0"/>
              <w:ind w:right="510"/>
              <w:jc w:val="right"/>
              <w:textAlignment w:val="baseline"/>
              <w:rPr>
                <w:sz w:val="20"/>
              </w:rPr>
            </w:pPr>
            <w:r w:rsidRPr="000E3A45">
              <w:rPr>
                <w:sz w:val="20"/>
              </w:rPr>
              <w:t>5.38</w:t>
            </w:r>
          </w:p>
        </w:tc>
        <w:tc>
          <w:tcPr>
            <w:tcW w:w="1800" w:type="dxa"/>
            <w:tcBorders>
              <w:top w:val="nil"/>
              <w:left w:val="single" w:sz="4" w:space="0" w:color="auto"/>
              <w:bottom w:val="nil"/>
              <w:right w:val="single" w:sz="4" w:space="0" w:color="auto"/>
            </w:tcBorders>
          </w:tcPr>
          <w:p w14:paraId="72C2B2B2" w14:textId="65EEFE0C" w:rsidR="00085854" w:rsidRPr="000E3A45" w:rsidRDefault="00EA7FDB" w:rsidP="00EA7FDB">
            <w:pPr>
              <w:widowControl w:val="0"/>
              <w:tabs>
                <w:tab w:val="left" w:pos="1057"/>
              </w:tabs>
              <w:adjustRightInd w:val="0"/>
              <w:ind w:right="510"/>
              <w:jc w:val="right"/>
              <w:textAlignment w:val="baseline"/>
              <w:rPr>
                <w:sz w:val="20"/>
              </w:rPr>
            </w:pPr>
            <w:r w:rsidRPr="000E3A45">
              <w:rPr>
                <w:sz w:val="20"/>
              </w:rPr>
              <w:t>2.75</w:t>
            </w:r>
          </w:p>
        </w:tc>
        <w:tc>
          <w:tcPr>
            <w:tcW w:w="1568" w:type="dxa"/>
            <w:tcBorders>
              <w:top w:val="nil"/>
              <w:left w:val="single" w:sz="4" w:space="0" w:color="auto"/>
              <w:bottom w:val="nil"/>
            </w:tcBorders>
          </w:tcPr>
          <w:p w14:paraId="324E4B7A" w14:textId="26D5FE04" w:rsidR="00085854" w:rsidRPr="000E3A45" w:rsidRDefault="00F2019A" w:rsidP="00F2019A">
            <w:pPr>
              <w:widowControl w:val="0"/>
              <w:tabs>
                <w:tab w:val="left" w:pos="1057"/>
              </w:tabs>
              <w:adjustRightInd w:val="0"/>
              <w:ind w:right="510"/>
              <w:jc w:val="right"/>
              <w:textAlignment w:val="baseline"/>
              <w:rPr>
                <w:sz w:val="20"/>
              </w:rPr>
            </w:pPr>
            <w:r w:rsidRPr="000E3A45">
              <w:rPr>
                <w:sz w:val="20"/>
              </w:rPr>
              <w:t>2.56</w:t>
            </w:r>
          </w:p>
        </w:tc>
      </w:tr>
      <w:tr w:rsidR="006B1925" w:rsidRPr="000E3A45" w14:paraId="6175C869" w14:textId="77777777" w:rsidTr="000F3535">
        <w:trPr>
          <w:jc w:val="center"/>
        </w:trPr>
        <w:tc>
          <w:tcPr>
            <w:tcW w:w="1800" w:type="dxa"/>
            <w:tcBorders>
              <w:top w:val="nil"/>
              <w:bottom w:val="nil"/>
              <w:right w:val="single" w:sz="4" w:space="0" w:color="auto"/>
            </w:tcBorders>
          </w:tcPr>
          <w:p w14:paraId="39BB4002" w14:textId="7C0A548E" w:rsidR="006B1925" w:rsidRPr="000E3A45" w:rsidRDefault="006B1925" w:rsidP="006B1925">
            <w:pPr>
              <w:widowControl w:val="0"/>
              <w:adjustRightInd w:val="0"/>
              <w:ind w:right="-159"/>
              <w:jc w:val="both"/>
              <w:textAlignment w:val="baseline"/>
              <w:rPr>
                <w:bCs/>
                <w:sz w:val="20"/>
              </w:rPr>
            </w:pPr>
            <w:r w:rsidRPr="000E3A45">
              <w:rPr>
                <w:bCs/>
                <w:sz w:val="20"/>
              </w:rPr>
              <w:t>Noviembre</w:t>
            </w:r>
          </w:p>
        </w:tc>
        <w:tc>
          <w:tcPr>
            <w:tcW w:w="1800" w:type="dxa"/>
            <w:tcBorders>
              <w:top w:val="nil"/>
              <w:left w:val="single" w:sz="4" w:space="0" w:color="auto"/>
              <w:bottom w:val="nil"/>
              <w:right w:val="single" w:sz="4" w:space="0" w:color="auto"/>
            </w:tcBorders>
          </w:tcPr>
          <w:p w14:paraId="5F935063" w14:textId="194B3B37" w:rsidR="006B1925" w:rsidRPr="000E3A45" w:rsidRDefault="00442302" w:rsidP="00442302">
            <w:pPr>
              <w:widowControl w:val="0"/>
              <w:tabs>
                <w:tab w:val="left" w:pos="1057"/>
              </w:tabs>
              <w:adjustRightInd w:val="0"/>
              <w:ind w:right="510"/>
              <w:jc w:val="right"/>
              <w:textAlignment w:val="baseline"/>
              <w:rPr>
                <w:sz w:val="20"/>
              </w:rPr>
            </w:pPr>
            <w:r>
              <w:rPr>
                <w:sz w:val="20"/>
              </w:rPr>
              <w:t>3.42</w:t>
            </w:r>
          </w:p>
        </w:tc>
        <w:tc>
          <w:tcPr>
            <w:tcW w:w="1800" w:type="dxa"/>
            <w:tcBorders>
              <w:top w:val="nil"/>
              <w:left w:val="single" w:sz="4" w:space="0" w:color="auto"/>
              <w:bottom w:val="nil"/>
              <w:right w:val="single" w:sz="4" w:space="0" w:color="auto"/>
            </w:tcBorders>
          </w:tcPr>
          <w:p w14:paraId="317FC0A1" w14:textId="1EA6CEEF" w:rsidR="006B1925" w:rsidRPr="000E3A45" w:rsidRDefault="00442302" w:rsidP="00442302">
            <w:pPr>
              <w:widowControl w:val="0"/>
              <w:tabs>
                <w:tab w:val="left" w:pos="1057"/>
              </w:tabs>
              <w:adjustRightInd w:val="0"/>
              <w:ind w:right="510"/>
              <w:jc w:val="right"/>
              <w:textAlignment w:val="baseline"/>
              <w:rPr>
                <w:sz w:val="20"/>
              </w:rPr>
            </w:pPr>
            <w:r>
              <w:rPr>
                <w:sz w:val="20"/>
              </w:rPr>
              <w:t>3</w:t>
            </w:r>
            <w:r w:rsidR="006B1925" w:rsidRPr="000E3A45">
              <w:rPr>
                <w:sz w:val="20"/>
              </w:rPr>
              <w:t>.</w:t>
            </w:r>
            <w:r>
              <w:rPr>
                <w:sz w:val="20"/>
              </w:rPr>
              <w:t>5</w:t>
            </w:r>
            <w:r w:rsidR="006B1925" w:rsidRPr="000E3A45">
              <w:rPr>
                <w:sz w:val="20"/>
              </w:rPr>
              <w:t>7</w:t>
            </w:r>
          </w:p>
        </w:tc>
        <w:tc>
          <w:tcPr>
            <w:tcW w:w="1568" w:type="dxa"/>
            <w:tcBorders>
              <w:top w:val="nil"/>
              <w:left w:val="single" w:sz="4" w:space="0" w:color="auto"/>
              <w:bottom w:val="nil"/>
            </w:tcBorders>
          </w:tcPr>
          <w:p w14:paraId="0D0DB217" w14:textId="216C4B40" w:rsidR="006B1925" w:rsidRPr="000E3A45" w:rsidRDefault="00442302" w:rsidP="00442302">
            <w:pPr>
              <w:widowControl w:val="0"/>
              <w:tabs>
                <w:tab w:val="left" w:pos="1057"/>
              </w:tabs>
              <w:adjustRightInd w:val="0"/>
              <w:ind w:right="510"/>
              <w:jc w:val="right"/>
              <w:textAlignment w:val="baseline"/>
              <w:rPr>
                <w:sz w:val="20"/>
              </w:rPr>
            </w:pPr>
            <w:r>
              <w:rPr>
                <w:sz w:val="20"/>
              </w:rPr>
              <w:t>-0</w:t>
            </w:r>
            <w:r w:rsidR="006B1925" w:rsidRPr="000E3A45">
              <w:rPr>
                <w:sz w:val="20"/>
              </w:rPr>
              <w:t>.</w:t>
            </w:r>
            <w:r>
              <w:rPr>
                <w:sz w:val="20"/>
              </w:rPr>
              <w:t>14</w:t>
            </w:r>
          </w:p>
        </w:tc>
      </w:tr>
      <w:tr w:rsidR="006B1925" w:rsidRPr="000E3A45" w14:paraId="78408AC7" w14:textId="77777777" w:rsidTr="000F3535">
        <w:trPr>
          <w:jc w:val="center"/>
        </w:trPr>
        <w:tc>
          <w:tcPr>
            <w:tcW w:w="1800" w:type="dxa"/>
            <w:tcBorders>
              <w:top w:val="nil"/>
              <w:bottom w:val="single" w:sz="4" w:space="0" w:color="auto"/>
              <w:right w:val="single" w:sz="4" w:space="0" w:color="auto"/>
            </w:tcBorders>
          </w:tcPr>
          <w:p w14:paraId="4810F2F9" w14:textId="335ACDAA" w:rsidR="006B1925" w:rsidRPr="000E3A45" w:rsidRDefault="006B1925" w:rsidP="00085854">
            <w:pPr>
              <w:widowControl w:val="0"/>
              <w:adjustRightInd w:val="0"/>
              <w:ind w:right="-159"/>
              <w:jc w:val="both"/>
              <w:textAlignment w:val="baseline"/>
              <w:rPr>
                <w:bCs/>
                <w:sz w:val="20"/>
              </w:rPr>
            </w:pPr>
            <w:r>
              <w:rPr>
                <w:bCs/>
                <w:sz w:val="20"/>
              </w:rPr>
              <w:t>Diciembre</w:t>
            </w:r>
          </w:p>
        </w:tc>
        <w:tc>
          <w:tcPr>
            <w:tcW w:w="1800" w:type="dxa"/>
            <w:tcBorders>
              <w:top w:val="nil"/>
              <w:left w:val="single" w:sz="4" w:space="0" w:color="auto"/>
              <w:bottom w:val="single" w:sz="4" w:space="0" w:color="auto"/>
              <w:right w:val="single" w:sz="4" w:space="0" w:color="auto"/>
            </w:tcBorders>
          </w:tcPr>
          <w:p w14:paraId="4D460C0E" w14:textId="3C9E8B96" w:rsidR="006B1925" w:rsidRPr="000E3A45" w:rsidRDefault="00442302" w:rsidP="00442302">
            <w:pPr>
              <w:widowControl w:val="0"/>
              <w:tabs>
                <w:tab w:val="left" w:pos="1057"/>
              </w:tabs>
              <w:adjustRightInd w:val="0"/>
              <w:ind w:right="510"/>
              <w:jc w:val="right"/>
              <w:textAlignment w:val="baseline"/>
              <w:rPr>
                <w:sz w:val="20"/>
              </w:rPr>
            </w:pPr>
            <w:r>
              <w:rPr>
                <w:sz w:val="20"/>
              </w:rPr>
              <w:t>0.98</w:t>
            </w:r>
          </w:p>
        </w:tc>
        <w:tc>
          <w:tcPr>
            <w:tcW w:w="1800" w:type="dxa"/>
            <w:tcBorders>
              <w:top w:val="nil"/>
              <w:left w:val="single" w:sz="4" w:space="0" w:color="auto"/>
              <w:bottom w:val="single" w:sz="4" w:space="0" w:color="auto"/>
              <w:right w:val="single" w:sz="4" w:space="0" w:color="auto"/>
            </w:tcBorders>
          </w:tcPr>
          <w:p w14:paraId="13494783" w14:textId="281F924E" w:rsidR="006B1925" w:rsidRPr="000E3A45" w:rsidRDefault="00442302" w:rsidP="00442302">
            <w:pPr>
              <w:widowControl w:val="0"/>
              <w:tabs>
                <w:tab w:val="left" w:pos="1057"/>
              </w:tabs>
              <w:adjustRightInd w:val="0"/>
              <w:ind w:right="510"/>
              <w:jc w:val="right"/>
              <w:textAlignment w:val="baseline"/>
              <w:rPr>
                <w:sz w:val="20"/>
              </w:rPr>
            </w:pPr>
            <w:r>
              <w:rPr>
                <w:sz w:val="20"/>
              </w:rPr>
              <w:t>4.08</w:t>
            </w:r>
          </w:p>
        </w:tc>
        <w:tc>
          <w:tcPr>
            <w:tcW w:w="1568" w:type="dxa"/>
            <w:tcBorders>
              <w:top w:val="nil"/>
              <w:left w:val="single" w:sz="4" w:space="0" w:color="auto"/>
              <w:bottom w:val="single" w:sz="4" w:space="0" w:color="auto"/>
            </w:tcBorders>
          </w:tcPr>
          <w:p w14:paraId="7D491892" w14:textId="7BC222C5" w:rsidR="006B1925" w:rsidRPr="000E3A45" w:rsidRDefault="00E54669" w:rsidP="00442302">
            <w:pPr>
              <w:widowControl w:val="0"/>
              <w:tabs>
                <w:tab w:val="left" w:pos="1057"/>
              </w:tabs>
              <w:adjustRightInd w:val="0"/>
              <w:ind w:right="510"/>
              <w:jc w:val="right"/>
              <w:textAlignment w:val="baseline"/>
              <w:rPr>
                <w:sz w:val="20"/>
              </w:rPr>
            </w:pPr>
            <w:r>
              <w:rPr>
                <w:sz w:val="20"/>
              </w:rPr>
              <w:t>-2.99</w:t>
            </w:r>
          </w:p>
        </w:tc>
      </w:tr>
      <w:tr w:rsidR="006B1925" w:rsidRPr="000E3A45" w14:paraId="0956C104" w14:textId="77777777" w:rsidTr="000F3535">
        <w:trPr>
          <w:jc w:val="center"/>
        </w:trPr>
        <w:tc>
          <w:tcPr>
            <w:tcW w:w="6968" w:type="dxa"/>
            <w:gridSpan w:val="4"/>
            <w:tcBorders>
              <w:top w:val="nil"/>
              <w:bottom w:val="single" w:sz="4" w:space="0" w:color="auto"/>
            </w:tcBorders>
          </w:tcPr>
          <w:p w14:paraId="0BB06671" w14:textId="28E3E63E" w:rsidR="006B1925" w:rsidRPr="000E3A45" w:rsidRDefault="006B1925" w:rsidP="006B1925">
            <w:pPr>
              <w:widowControl w:val="0"/>
              <w:tabs>
                <w:tab w:val="left" w:pos="1057"/>
              </w:tabs>
              <w:adjustRightInd w:val="0"/>
              <w:ind w:right="397"/>
              <w:jc w:val="center"/>
              <w:textAlignment w:val="baseline"/>
              <w:rPr>
                <w:sz w:val="20"/>
              </w:rPr>
            </w:pPr>
            <w:r w:rsidRPr="008E01FF">
              <w:rPr>
                <w:b/>
                <w:sz w:val="20"/>
              </w:rPr>
              <w:t>2015</w:t>
            </w:r>
            <w:r w:rsidRPr="000E3A45">
              <w:rPr>
                <w:sz w:val="20"/>
                <w:szCs w:val="20"/>
                <w:u w:val="single"/>
                <w:vertAlign w:val="superscript"/>
              </w:rPr>
              <w:t>1</w:t>
            </w:r>
            <w:r w:rsidRPr="000E3A45">
              <w:rPr>
                <w:sz w:val="20"/>
                <w:szCs w:val="20"/>
                <w:vertAlign w:val="superscript"/>
              </w:rPr>
              <w:t>/</w:t>
            </w:r>
          </w:p>
        </w:tc>
      </w:tr>
      <w:tr w:rsidR="00AB7F1E" w:rsidRPr="000E3A45" w14:paraId="11336730" w14:textId="77777777" w:rsidTr="000F3535">
        <w:trPr>
          <w:jc w:val="center"/>
        </w:trPr>
        <w:tc>
          <w:tcPr>
            <w:tcW w:w="1800" w:type="dxa"/>
            <w:tcBorders>
              <w:top w:val="single" w:sz="4" w:space="0" w:color="auto"/>
              <w:bottom w:val="nil"/>
              <w:right w:val="single" w:sz="4" w:space="0" w:color="auto"/>
            </w:tcBorders>
          </w:tcPr>
          <w:p w14:paraId="26E40567" w14:textId="042FDBAB" w:rsidR="00AB7F1E" w:rsidRPr="000E3A45" w:rsidRDefault="00AB7F1E" w:rsidP="004046E8">
            <w:pPr>
              <w:widowControl w:val="0"/>
              <w:adjustRightInd w:val="0"/>
              <w:ind w:right="-159"/>
              <w:jc w:val="both"/>
              <w:textAlignment w:val="baseline"/>
              <w:rPr>
                <w:bCs/>
                <w:sz w:val="20"/>
              </w:rPr>
            </w:pPr>
            <w:r>
              <w:rPr>
                <w:bCs/>
                <w:sz w:val="20"/>
              </w:rPr>
              <w:t>Enero</w:t>
            </w:r>
          </w:p>
        </w:tc>
        <w:tc>
          <w:tcPr>
            <w:tcW w:w="1800" w:type="dxa"/>
            <w:tcBorders>
              <w:top w:val="single" w:sz="4" w:space="0" w:color="auto"/>
              <w:left w:val="single" w:sz="4" w:space="0" w:color="auto"/>
              <w:bottom w:val="nil"/>
              <w:right w:val="single" w:sz="4" w:space="0" w:color="auto"/>
            </w:tcBorders>
          </w:tcPr>
          <w:p w14:paraId="14B0176A" w14:textId="5C2661F9" w:rsidR="00AB7F1E" w:rsidRPr="000E3A45" w:rsidRDefault="004046E8" w:rsidP="004046E8">
            <w:pPr>
              <w:widowControl w:val="0"/>
              <w:tabs>
                <w:tab w:val="left" w:pos="1057"/>
              </w:tabs>
              <w:adjustRightInd w:val="0"/>
              <w:ind w:right="510"/>
              <w:jc w:val="right"/>
              <w:textAlignment w:val="baseline"/>
              <w:rPr>
                <w:sz w:val="20"/>
              </w:rPr>
            </w:pPr>
            <w:r>
              <w:rPr>
                <w:sz w:val="20"/>
              </w:rPr>
              <w:t>5.09</w:t>
            </w:r>
          </w:p>
        </w:tc>
        <w:tc>
          <w:tcPr>
            <w:tcW w:w="1800" w:type="dxa"/>
            <w:tcBorders>
              <w:top w:val="single" w:sz="4" w:space="0" w:color="auto"/>
              <w:left w:val="single" w:sz="4" w:space="0" w:color="auto"/>
              <w:bottom w:val="nil"/>
              <w:right w:val="single" w:sz="4" w:space="0" w:color="auto"/>
            </w:tcBorders>
          </w:tcPr>
          <w:p w14:paraId="427EEC90" w14:textId="2B9A4F58" w:rsidR="00AB7F1E" w:rsidRPr="000E3A45" w:rsidRDefault="004046E8" w:rsidP="004046E8">
            <w:pPr>
              <w:widowControl w:val="0"/>
              <w:tabs>
                <w:tab w:val="left" w:pos="1057"/>
              </w:tabs>
              <w:adjustRightInd w:val="0"/>
              <w:ind w:right="510"/>
              <w:jc w:val="right"/>
              <w:textAlignment w:val="baseline"/>
              <w:rPr>
                <w:sz w:val="20"/>
              </w:rPr>
            </w:pPr>
            <w:r>
              <w:rPr>
                <w:sz w:val="20"/>
              </w:rPr>
              <w:t>-0.09</w:t>
            </w:r>
          </w:p>
        </w:tc>
        <w:tc>
          <w:tcPr>
            <w:tcW w:w="1568" w:type="dxa"/>
            <w:tcBorders>
              <w:top w:val="single" w:sz="4" w:space="0" w:color="auto"/>
              <w:left w:val="single" w:sz="4" w:space="0" w:color="auto"/>
              <w:bottom w:val="nil"/>
            </w:tcBorders>
          </w:tcPr>
          <w:p w14:paraId="1A462CDA" w14:textId="347BEFE8" w:rsidR="00AB7F1E" w:rsidRPr="000E3A45" w:rsidRDefault="00AB7F1E" w:rsidP="004046E8">
            <w:pPr>
              <w:widowControl w:val="0"/>
              <w:tabs>
                <w:tab w:val="left" w:pos="1057"/>
              </w:tabs>
              <w:adjustRightInd w:val="0"/>
              <w:ind w:right="510"/>
              <w:jc w:val="right"/>
              <w:textAlignment w:val="baseline"/>
              <w:rPr>
                <w:sz w:val="20"/>
              </w:rPr>
            </w:pPr>
            <w:r>
              <w:rPr>
                <w:sz w:val="20"/>
              </w:rPr>
              <w:t>-</w:t>
            </w:r>
            <w:r w:rsidR="004046E8">
              <w:rPr>
                <w:sz w:val="20"/>
              </w:rPr>
              <w:t>5.18</w:t>
            </w:r>
          </w:p>
        </w:tc>
      </w:tr>
      <w:tr w:rsidR="00AB7F1E" w:rsidRPr="000E3A45" w14:paraId="0D5C55A5" w14:textId="77777777" w:rsidTr="000B0616">
        <w:trPr>
          <w:jc w:val="center"/>
        </w:trPr>
        <w:tc>
          <w:tcPr>
            <w:tcW w:w="1800" w:type="dxa"/>
            <w:tcBorders>
              <w:top w:val="nil"/>
              <w:bottom w:val="nil"/>
              <w:right w:val="single" w:sz="4" w:space="0" w:color="auto"/>
            </w:tcBorders>
          </w:tcPr>
          <w:p w14:paraId="43379B79" w14:textId="119A5065" w:rsidR="00AB7F1E" w:rsidRDefault="00AB7F1E" w:rsidP="00DF5D2D">
            <w:pPr>
              <w:widowControl w:val="0"/>
              <w:adjustRightInd w:val="0"/>
              <w:ind w:right="-159"/>
              <w:jc w:val="both"/>
              <w:textAlignment w:val="baseline"/>
              <w:rPr>
                <w:bCs/>
                <w:sz w:val="20"/>
              </w:rPr>
            </w:pPr>
            <w:r>
              <w:rPr>
                <w:bCs/>
                <w:sz w:val="20"/>
              </w:rPr>
              <w:t>Febrero</w:t>
            </w:r>
          </w:p>
        </w:tc>
        <w:tc>
          <w:tcPr>
            <w:tcW w:w="1800" w:type="dxa"/>
            <w:tcBorders>
              <w:top w:val="nil"/>
              <w:left w:val="single" w:sz="4" w:space="0" w:color="auto"/>
              <w:bottom w:val="nil"/>
              <w:right w:val="single" w:sz="4" w:space="0" w:color="auto"/>
            </w:tcBorders>
          </w:tcPr>
          <w:p w14:paraId="47544C4B" w14:textId="287EB2E0" w:rsidR="00AB7F1E" w:rsidRDefault="002C377C" w:rsidP="00DF5D2D">
            <w:pPr>
              <w:widowControl w:val="0"/>
              <w:tabs>
                <w:tab w:val="left" w:pos="1057"/>
              </w:tabs>
              <w:adjustRightInd w:val="0"/>
              <w:ind w:right="510"/>
              <w:jc w:val="right"/>
              <w:textAlignment w:val="baseline"/>
              <w:rPr>
                <w:sz w:val="20"/>
              </w:rPr>
            </w:pPr>
            <w:r>
              <w:rPr>
                <w:sz w:val="20"/>
              </w:rPr>
              <w:t>2.42</w:t>
            </w:r>
          </w:p>
        </w:tc>
        <w:tc>
          <w:tcPr>
            <w:tcW w:w="1800" w:type="dxa"/>
            <w:tcBorders>
              <w:top w:val="nil"/>
              <w:left w:val="single" w:sz="4" w:space="0" w:color="auto"/>
              <w:bottom w:val="nil"/>
              <w:right w:val="single" w:sz="4" w:space="0" w:color="auto"/>
            </w:tcBorders>
          </w:tcPr>
          <w:p w14:paraId="07FFC333" w14:textId="18B34DBF" w:rsidR="00AB7F1E" w:rsidRDefault="002C377C" w:rsidP="002C377C">
            <w:pPr>
              <w:widowControl w:val="0"/>
              <w:tabs>
                <w:tab w:val="left" w:pos="1057"/>
              </w:tabs>
              <w:adjustRightInd w:val="0"/>
              <w:ind w:right="510"/>
              <w:jc w:val="right"/>
              <w:textAlignment w:val="baseline"/>
              <w:rPr>
                <w:sz w:val="20"/>
              </w:rPr>
            </w:pPr>
            <w:r>
              <w:rPr>
                <w:sz w:val="20"/>
              </w:rPr>
              <w:t>0.10</w:t>
            </w:r>
          </w:p>
        </w:tc>
        <w:tc>
          <w:tcPr>
            <w:tcW w:w="1568" w:type="dxa"/>
            <w:tcBorders>
              <w:top w:val="nil"/>
              <w:left w:val="single" w:sz="4" w:space="0" w:color="auto"/>
              <w:bottom w:val="nil"/>
            </w:tcBorders>
          </w:tcPr>
          <w:p w14:paraId="79F028DB" w14:textId="3500C5D9" w:rsidR="00AB7F1E" w:rsidRPr="000E3A45" w:rsidRDefault="002C377C" w:rsidP="00DF5D2D">
            <w:pPr>
              <w:widowControl w:val="0"/>
              <w:tabs>
                <w:tab w:val="left" w:pos="1057"/>
              </w:tabs>
              <w:adjustRightInd w:val="0"/>
              <w:ind w:right="510"/>
              <w:jc w:val="right"/>
              <w:textAlignment w:val="baseline"/>
              <w:rPr>
                <w:sz w:val="20"/>
              </w:rPr>
            </w:pPr>
            <w:r>
              <w:rPr>
                <w:sz w:val="20"/>
              </w:rPr>
              <w:t>2.32</w:t>
            </w:r>
          </w:p>
        </w:tc>
      </w:tr>
      <w:tr w:rsidR="00DF5D2D" w:rsidRPr="000E3A45" w14:paraId="1D746595" w14:textId="77777777" w:rsidTr="000A364F">
        <w:trPr>
          <w:jc w:val="center"/>
        </w:trPr>
        <w:tc>
          <w:tcPr>
            <w:tcW w:w="1800" w:type="dxa"/>
            <w:tcBorders>
              <w:top w:val="nil"/>
              <w:bottom w:val="nil"/>
              <w:right w:val="single" w:sz="4" w:space="0" w:color="auto"/>
            </w:tcBorders>
          </w:tcPr>
          <w:p w14:paraId="55D7206A" w14:textId="4D39D774" w:rsidR="00DF5D2D" w:rsidRDefault="00DF5D2D" w:rsidP="003063F3">
            <w:pPr>
              <w:widowControl w:val="0"/>
              <w:adjustRightInd w:val="0"/>
              <w:ind w:right="-159"/>
              <w:jc w:val="both"/>
              <w:textAlignment w:val="baseline"/>
              <w:rPr>
                <w:bCs/>
                <w:sz w:val="20"/>
              </w:rPr>
            </w:pPr>
            <w:r>
              <w:rPr>
                <w:bCs/>
                <w:sz w:val="20"/>
              </w:rPr>
              <w:t>Marzo</w:t>
            </w:r>
          </w:p>
        </w:tc>
        <w:tc>
          <w:tcPr>
            <w:tcW w:w="1800" w:type="dxa"/>
            <w:tcBorders>
              <w:top w:val="nil"/>
              <w:left w:val="single" w:sz="4" w:space="0" w:color="auto"/>
              <w:bottom w:val="nil"/>
              <w:right w:val="single" w:sz="4" w:space="0" w:color="auto"/>
            </w:tcBorders>
          </w:tcPr>
          <w:p w14:paraId="39035800" w14:textId="4E52724A" w:rsidR="00DF5D2D" w:rsidRDefault="0077186B" w:rsidP="0077186B">
            <w:pPr>
              <w:widowControl w:val="0"/>
              <w:tabs>
                <w:tab w:val="left" w:pos="1057"/>
              </w:tabs>
              <w:adjustRightInd w:val="0"/>
              <w:ind w:right="510"/>
              <w:jc w:val="right"/>
              <w:textAlignment w:val="baseline"/>
              <w:rPr>
                <w:sz w:val="20"/>
              </w:rPr>
            </w:pPr>
            <w:r>
              <w:rPr>
                <w:sz w:val="20"/>
              </w:rPr>
              <w:t>1.34</w:t>
            </w:r>
          </w:p>
        </w:tc>
        <w:tc>
          <w:tcPr>
            <w:tcW w:w="1800" w:type="dxa"/>
            <w:tcBorders>
              <w:top w:val="nil"/>
              <w:left w:val="single" w:sz="4" w:space="0" w:color="auto"/>
              <w:bottom w:val="nil"/>
              <w:right w:val="single" w:sz="4" w:space="0" w:color="auto"/>
            </w:tcBorders>
          </w:tcPr>
          <w:p w14:paraId="5053DB81" w14:textId="723C5C65" w:rsidR="00DF5D2D" w:rsidRDefault="0077186B" w:rsidP="003063F3">
            <w:pPr>
              <w:widowControl w:val="0"/>
              <w:tabs>
                <w:tab w:val="left" w:pos="1057"/>
              </w:tabs>
              <w:adjustRightInd w:val="0"/>
              <w:ind w:right="510"/>
              <w:jc w:val="right"/>
              <w:textAlignment w:val="baseline"/>
              <w:rPr>
                <w:sz w:val="20"/>
              </w:rPr>
            </w:pPr>
            <w:r>
              <w:rPr>
                <w:sz w:val="20"/>
              </w:rPr>
              <w:t>0.51</w:t>
            </w:r>
          </w:p>
        </w:tc>
        <w:tc>
          <w:tcPr>
            <w:tcW w:w="1568" w:type="dxa"/>
            <w:tcBorders>
              <w:top w:val="nil"/>
              <w:left w:val="single" w:sz="4" w:space="0" w:color="auto"/>
              <w:bottom w:val="nil"/>
            </w:tcBorders>
          </w:tcPr>
          <w:p w14:paraId="3C18C618" w14:textId="10B18CE0" w:rsidR="00DF5D2D" w:rsidRPr="000E3A45" w:rsidRDefault="0077186B" w:rsidP="003063F3">
            <w:pPr>
              <w:widowControl w:val="0"/>
              <w:tabs>
                <w:tab w:val="left" w:pos="1057"/>
              </w:tabs>
              <w:adjustRightInd w:val="0"/>
              <w:ind w:right="510"/>
              <w:jc w:val="right"/>
              <w:textAlignment w:val="baseline"/>
              <w:rPr>
                <w:sz w:val="20"/>
              </w:rPr>
            </w:pPr>
            <w:r>
              <w:rPr>
                <w:sz w:val="20"/>
              </w:rPr>
              <w:t>0.83</w:t>
            </w:r>
          </w:p>
        </w:tc>
      </w:tr>
      <w:tr w:rsidR="003063F3" w:rsidRPr="000E3A45" w14:paraId="0DDF5E85" w14:textId="77777777" w:rsidTr="000F3535">
        <w:trPr>
          <w:jc w:val="center"/>
        </w:trPr>
        <w:tc>
          <w:tcPr>
            <w:tcW w:w="1800" w:type="dxa"/>
            <w:tcBorders>
              <w:top w:val="nil"/>
              <w:bottom w:val="single" w:sz="4" w:space="0" w:color="auto"/>
              <w:right w:val="single" w:sz="4" w:space="0" w:color="auto"/>
            </w:tcBorders>
          </w:tcPr>
          <w:p w14:paraId="75D9B57B" w14:textId="3F0B58E4" w:rsidR="003063F3" w:rsidRDefault="003063F3" w:rsidP="003063F3">
            <w:pPr>
              <w:widowControl w:val="0"/>
              <w:adjustRightInd w:val="0"/>
              <w:ind w:right="-159"/>
              <w:jc w:val="both"/>
              <w:textAlignment w:val="baseline"/>
              <w:rPr>
                <w:bCs/>
                <w:sz w:val="20"/>
              </w:rPr>
            </w:pPr>
            <w:r>
              <w:rPr>
                <w:bCs/>
                <w:sz w:val="20"/>
              </w:rPr>
              <w:t>Abril*</w:t>
            </w:r>
          </w:p>
        </w:tc>
        <w:tc>
          <w:tcPr>
            <w:tcW w:w="1800" w:type="dxa"/>
            <w:tcBorders>
              <w:top w:val="nil"/>
              <w:left w:val="single" w:sz="4" w:space="0" w:color="auto"/>
              <w:bottom w:val="single" w:sz="4" w:space="0" w:color="auto"/>
              <w:right w:val="single" w:sz="4" w:space="0" w:color="auto"/>
            </w:tcBorders>
          </w:tcPr>
          <w:p w14:paraId="3C141C7B" w14:textId="544B9267" w:rsidR="003063F3" w:rsidRDefault="0077186B" w:rsidP="0077186B">
            <w:pPr>
              <w:widowControl w:val="0"/>
              <w:tabs>
                <w:tab w:val="left" w:pos="1057"/>
              </w:tabs>
              <w:adjustRightInd w:val="0"/>
              <w:ind w:right="397"/>
              <w:jc w:val="right"/>
              <w:textAlignment w:val="baseline"/>
              <w:rPr>
                <w:sz w:val="20"/>
              </w:rPr>
            </w:pPr>
            <w:r>
              <w:rPr>
                <w:sz w:val="20"/>
              </w:rPr>
              <w:t>4.99</w:t>
            </w:r>
            <w:r w:rsidRPr="000E3A45">
              <w:rPr>
                <w:sz w:val="20"/>
                <w:szCs w:val="20"/>
                <w:u w:val="single"/>
                <w:vertAlign w:val="superscript"/>
              </w:rPr>
              <w:t>2</w:t>
            </w:r>
            <w:r w:rsidRPr="000E3A45">
              <w:rPr>
                <w:sz w:val="20"/>
                <w:szCs w:val="20"/>
                <w:vertAlign w:val="superscript"/>
              </w:rPr>
              <w:t>/</w:t>
            </w:r>
          </w:p>
        </w:tc>
        <w:tc>
          <w:tcPr>
            <w:tcW w:w="1800" w:type="dxa"/>
            <w:tcBorders>
              <w:top w:val="nil"/>
              <w:left w:val="single" w:sz="4" w:space="0" w:color="auto"/>
              <w:bottom w:val="single" w:sz="4" w:space="0" w:color="auto"/>
              <w:right w:val="single" w:sz="4" w:space="0" w:color="auto"/>
            </w:tcBorders>
          </w:tcPr>
          <w:p w14:paraId="6A956AA1" w14:textId="08056466" w:rsidR="003063F3" w:rsidRDefault="003063F3" w:rsidP="003063F3">
            <w:pPr>
              <w:widowControl w:val="0"/>
              <w:tabs>
                <w:tab w:val="left" w:pos="1057"/>
              </w:tabs>
              <w:adjustRightInd w:val="0"/>
              <w:ind w:right="397"/>
              <w:jc w:val="right"/>
              <w:textAlignment w:val="baseline"/>
              <w:rPr>
                <w:sz w:val="20"/>
              </w:rPr>
            </w:pPr>
            <w:r>
              <w:rPr>
                <w:sz w:val="20"/>
              </w:rPr>
              <w:t>0</w:t>
            </w:r>
            <w:r w:rsidRPr="000E3A45">
              <w:rPr>
                <w:sz w:val="20"/>
              </w:rPr>
              <w:t>.</w:t>
            </w:r>
            <w:r>
              <w:rPr>
                <w:sz w:val="20"/>
              </w:rPr>
              <w:t>7</w:t>
            </w:r>
            <w:r w:rsidRPr="000E3A45">
              <w:rPr>
                <w:sz w:val="20"/>
              </w:rPr>
              <w:t>0</w:t>
            </w:r>
            <w:r w:rsidRPr="000E3A45">
              <w:rPr>
                <w:sz w:val="20"/>
                <w:szCs w:val="20"/>
                <w:u w:val="single"/>
                <w:vertAlign w:val="superscript"/>
              </w:rPr>
              <w:t>3</w:t>
            </w:r>
            <w:r w:rsidRPr="000E3A45">
              <w:rPr>
                <w:sz w:val="20"/>
                <w:szCs w:val="20"/>
                <w:vertAlign w:val="superscript"/>
              </w:rPr>
              <w:t>/</w:t>
            </w:r>
          </w:p>
        </w:tc>
        <w:tc>
          <w:tcPr>
            <w:tcW w:w="1568" w:type="dxa"/>
            <w:tcBorders>
              <w:top w:val="nil"/>
              <w:left w:val="single" w:sz="4" w:space="0" w:color="auto"/>
              <w:bottom w:val="single" w:sz="4" w:space="0" w:color="auto"/>
            </w:tcBorders>
          </w:tcPr>
          <w:p w14:paraId="01289B6D" w14:textId="7C2AA4A0" w:rsidR="003063F3" w:rsidRDefault="0077186B" w:rsidP="0077186B">
            <w:pPr>
              <w:widowControl w:val="0"/>
              <w:tabs>
                <w:tab w:val="left" w:pos="1057"/>
              </w:tabs>
              <w:adjustRightInd w:val="0"/>
              <w:ind w:right="397"/>
              <w:jc w:val="right"/>
              <w:textAlignment w:val="baseline"/>
              <w:rPr>
                <w:sz w:val="20"/>
              </w:rPr>
            </w:pPr>
            <w:r>
              <w:rPr>
                <w:sz w:val="20"/>
              </w:rPr>
              <w:t>4.26</w:t>
            </w:r>
            <w:r w:rsidR="003063F3" w:rsidRPr="000E3A45">
              <w:rPr>
                <w:sz w:val="20"/>
                <w:szCs w:val="20"/>
                <w:u w:val="single"/>
                <w:vertAlign w:val="superscript"/>
              </w:rPr>
              <w:t>3</w:t>
            </w:r>
            <w:r w:rsidR="003063F3" w:rsidRPr="000E3A45">
              <w:rPr>
                <w:sz w:val="20"/>
                <w:szCs w:val="20"/>
                <w:vertAlign w:val="superscript"/>
              </w:rPr>
              <w:t>/</w:t>
            </w:r>
          </w:p>
        </w:tc>
      </w:tr>
      <w:tr w:rsidR="003063F3" w:rsidRPr="000E3A45" w14:paraId="27AE1831" w14:textId="77777777" w:rsidTr="0014579A">
        <w:trPr>
          <w:jc w:val="center"/>
        </w:trPr>
        <w:tc>
          <w:tcPr>
            <w:tcW w:w="6968" w:type="dxa"/>
            <w:gridSpan w:val="4"/>
            <w:tcBorders>
              <w:top w:val="single" w:sz="4" w:space="0" w:color="auto"/>
              <w:left w:val="nil"/>
              <w:bottom w:val="nil"/>
              <w:right w:val="nil"/>
            </w:tcBorders>
          </w:tcPr>
          <w:p w14:paraId="7CE4E7A3" w14:textId="77777777" w:rsidR="003063F3" w:rsidRPr="000E3A45" w:rsidRDefault="003063F3" w:rsidP="003063F3">
            <w:pPr>
              <w:widowControl w:val="0"/>
              <w:tabs>
                <w:tab w:val="left" w:pos="1057"/>
              </w:tabs>
              <w:adjustRightInd w:val="0"/>
              <w:ind w:left="227" w:right="386" w:hanging="227"/>
              <w:jc w:val="both"/>
              <w:textAlignment w:val="baseline"/>
              <w:rPr>
                <w:sz w:val="20"/>
              </w:rPr>
            </w:pPr>
            <w:r w:rsidRPr="000E3A45">
              <w:rPr>
                <w:sz w:val="20"/>
                <w:u w:val="single"/>
              </w:rPr>
              <w:t>1</w:t>
            </w:r>
            <w:r w:rsidRPr="000E3A45">
              <w:rPr>
                <w:sz w:val="20"/>
              </w:rPr>
              <w:t>/ A partir de enero de 2014, las cifras que se reportan son con respecto a diciembre del 2013.</w:t>
            </w:r>
          </w:p>
          <w:p w14:paraId="74974109" w14:textId="525BE7A1" w:rsidR="003063F3" w:rsidRPr="000E3A45" w:rsidRDefault="003063F3" w:rsidP="003063F3">
            <w:pPr>
              <w:widowControl w:val="0"/>
              <w:tabs>
                <w:tab w:val="left" w:pos="1057"/>
              </w:tabs>
              <w:adjustRightInd w:val="0"/>
              <w:ind w:right="386"/>
              <w:jc w:val="both"/>
              <w:textAlignment w:val="baseline"/>
              <w:rPr>
                <w:sz w:val="20"/>
              </w:rPr>
            </w:pPr>
            <w:r w:rsidRPr="000E3A45">
              <w:rPr>
                <w:sz w:val="20"/>
                <w:u w:val="single"/>
              </w:rPr>
              <w:t>2</w:t>
            </w:r>
            <w:r w:rsidRPr="000E3A45">
              <w:rPr>
                <w:sz w:val="20"/>
              </w:rPr>
              <w:t xml:space="preserve">/ Al día </w:t>
            </w:r>
            <w:r w:rsidR="0077186B">
              <w:rPr>
                <w:sz w:val="20"/>
              </w:rPr>
              <w:t>2</w:t>
            </w:r>
            <w:r w:rsidRPr="000E3A45">
              <w:rPr>
                <w:sz w:val="20"/>
              </w:rPr>
              <w:t>1.</w:t>
            </w:r>
          </w:p>
          <w:p w14:paraId="69A6FAF7" w14:textId="77777777" w:rsidR="003063F3" w:rsidRPr="000E3A45" w:rsidRDefault="003063F3" w:rsidP="003063F3">
            <w:pPr>
              <w:widowControl w:val="0"/>
              <w:tabs>
                <w:tab w:val="left" w:pos="1057"/>
              </w:tabs>
              <w:adjustRightInd w:val="0"/>
              <w:ind w:right="386"/>
              <w:jc w:val="both"/>
              <w:textAlignment w:val="baseline"/>
              <w:rPr>
                <w:sz w:val="20"/>
              </w:rPr>
            </w:pPr>
            <w:r w:rsidRPr="000E3A45">
              <w:rPr>
                <w:sz w:val="20"/>
                <w:u w:val="single"/>
              </w:rPr>
              <w:t>3</w:t>
            </w:r>
            <w:r w:rsidRPr="000E3A45">
              <w:rPr>
                <w:sz w:val="20"/>
              </w:rPr>
              <w:t>/ Estimada.</w:t>
            </w:r>
          </w:p>
          <w:p w14:paraId="45F6C9F2" w14:textId="77777777" w:rsidR="003063F3" w:rsidRPr="000E3A45" w:rsidRDefault="003063F3" w:rsidP="003063F3">
            <w:pPr>
              <w:widowControl w:val="0"/>
              <w:tabs>
                <w:tab w:val="left" w:pos="1057"/>
              </w:tabs>
              <w:adjustRightInd w:val="0"/>
              <w:ind w:right="386"/>
              <w:jc w:val="both"/>
              <w:textAlignment w:val="baseline"/>
              <w:rPr>
                <w:sz w:val="20"/>
              </w:rPr>
            </w:pPr>
            <w:r w:rsidRPr="000E3A45">
              <w:rPr>
                <w:sz w:val="20"/>
              </w:rPr>
              <w:t>FUENTE: Bolsa Mexicana de Valores.</w:t>
            </w:r>
          </w:p>
        </w:tc>
      </w:tr>
    </w:tbl>
    <w:p w14:paraId="5CE2CA05" w14:textId="77777777" w:rsidR="00B63DD8" w:rsidRPr="000E3A45" w:rsidRDefault="00B63DD8" w:rsidP="00ED553C">
      <w:pPr>
        <w:spacing w:after="360" w:line="360" w:lineRule="auto"/>
        <w:ind w:right="-159"/>
        <w:jc w:val="both"/>
        <w:rPr>
          <w:sz w:val="26"/>
          <w:szCs w:val="26"/>
        </w:rPr>
      </w:pPr>
    </w:p>
    <w:p w14:paraId="036D00D4" w14:textId="10FC80CA" w:rsidR="001D3995" w:rsidRPr="000E3A45" w:rsidRDefault="00C71B3C" w:rsidP="001D3995">
      <w:pPr>
        <w:spacing w:after="360" w:line="360" w:lineRule="auto"/>
        <w:ind w:right="-159"/>
        <w:jc w:val="both"/>
        <w:rPr>
          <w:sz w:val="26"/>
          <w:szCs w:val="26"/>
          <w:lang w:val="es-ES"/>
        </w:rPr>
      </w:pPr>
      <w:r w:rsidRPr="000E3A45">
        <w:rPr>
          <w:sz w:val="26"/>
          <w:szCs w:val="26"/>
          <w:lang w:val="es-ES"/>
        </w:rPr>
        <w:t>E</w:t>
      </w:r>
      <w:r w:rsidR="008B4C33" w:rsidRPr="000E3A45">
        <w:rPr>
          <w:sz w:val="26"/>
          <w:szCs w:val="26"/>
          <w:lang w:val="es-ES"/>
        </w:rPr>
        <w:t xml:space="preserve">l IPyC de la </w:t>
      </w:r>
      <w:r w:rsidR="00A22D85" w:rsidRPr="000E3A45">
        <w:rPr>
          <w:sz w:val="26"/>
          <w:szCs w:val="26"/>
          <w:lang w:val="es-ES"/>
        </w:rPr>
        <w:t xml:space="preserve">BMV registró </w:t>
      </w:r>
      <w:r w:rsidR="00CB7CAC" w:rsidRPr="000E3A45">
        <w:rPr>
          <w:sz w:val="26"/>
          <w:szCs w:val="26"/>
          <w:lang w:val="es-ES"/>
        </w:rPr>
        <w:t xml:space="preserve">durante </w:t>
      </w:r>
      <w:r w:rsidR="00191616" w:rsidRPr="000E3A45">
        <w:rPr>
          <w:sz w:val="26"/>
          <w:szCs w:val="26"/>
          <w:lang w:val="es-ES"/>
        </w:rPr>
        <w:t xml:space="preserve">los primeros </w:t>
      </w:r>
      <w:r w:rsidR="004B199F">
        <w:rPr>
          <w:sz w:val="26"/>
          <w:szCs w:val="26"/>
          <w:lang w:val="es-ES"/>
        </w:rPr>
        <w:t>21</w:t>
      </w:r>
      <w:r w:rsidR="00191616" w:rsidRPr="000E3A45">
        <w:rPr>
          <w:sz w:val="26"/>
          <w:szCs w:val="26"/>
          <w:lang w:val="es-ES"/>
        </w:rPr>
        <w:t xml:space="preserve"> días de </w:t>
      </w:r>
      <w:r w:rsidR="00B941C1">
        <w:rPr>
          <w:sz w:val="26"/>
          <w:szCs w:val="26"/>
          <w:lang w:val="es-ES"/>
        </w:rPr>
        <w:t>a</w:t>
      </w:r>
      <w:r w:rsidR="004B199F">
        <w:rPr>
          <w:sz w:val="26"/>
          <w:szCs w:val="26"/>
          <w:lang w:val="es-ES"/>
        </w:rPr>
        <w:t>b</w:t>
      </w:r>
      <w:r w:rsidR="00B941C1">
        <w:rPr>
          <w:sz w:val="26"/>
          <w:szCs w:val="26"/>
          <w:lang w:val="es-ES"/>
        </w:rPr>
        <w:t>r</w:t>
      </w:r>
      <w:r w:rsidR="004B199F">
        <w:rPr>
          <w:sz w:val="26"/>
          <w:szCs w:val="26"/>
          <w:lang w:val="es-ES"/>
        </w:rPr>
        <w:t>il</w:t>
      </w:r>
      <w:r w:rsidR="00B941C1">
        <w:rPr>
          <w:sz w:val="26"/>
          <w:szCs w:val="26"/>
          <w:lang w:val="es-ES"/>
        </w:rPr>
        <w:t xml:space="preserve"> </w:t>
      </w:r>
      <w:r w:rsidR="008B4C33" w:rsidRPr="000E3A45">
        <w:rPr>
          <w:sz w:val="26"/>
          <w:szCs w:val="26"/>
          <w:lang w:val="es-ES"/>
        </w:rPr>
        <w:t>de 201</w:t>
      </w:r>
      <w:r w:rsidR="007B4FC9">
        <w:rPr>
          <w:sz w:val="26"/>
          <w:szCs w:val="26"/>
          <w:lang w:val="es-ES"/>
        </w:rPr>
        <w:t>5</w:t>
      </w:r>
      <w:r w:rsidR="006E0561" w:rsidRPr="000E3A45">
        <w:rPr>
          <w:sz w:val="26"/>
          <w:szCs w:val="26"/>
          <w:lang w:val="es-ES"/>
        </w:rPr>
        <w:t>,</w:t>
      </w:r>
      <w:r w:rsidR="00CB7CAC" w:rsidRPr="000E3A45">
        <w:rPr>
          <w:sz w:val="26"/>
          <w:szCs w:val="26"/>
          <w:lang w:val="es-ES"/>
        </w:rPr>
        <w:t xml:space="preserve"> </w:t>
      </w:r>
      <w:r w:rsidR="00A22D85" w:rsidRPr="000E3A45">
        <w:rPr>
          <w:sz w:val="26"/>
          <w:szCs w:val="26"/>
          <w:lang w:val="es-ES"/>
        </w:rPr>
        <w:t xml:space="preserve">una </w:t>
      </w:r>
      <w:r w:rsidR="004B199F">
        <w:rPr>
          <w:sz w:val="26"/>
          <w:szCs w:val="26"/>
          <w:lang w:val="es-ES"/>
        </w:rPr>
        <w:t>ruta ascendente</w:t>
      </w:r>
      <w:r w:rsidR="00B941C1">
        <w:rPr>
          <w:sz w:val="26"/>
          <w:szCs w:val="26"/>
          <w:lang w:val="es-ES"/>
        </w:rPr>
        <w:t xml:space="preserve"> en línea con los mercados estadounidenses</w:t>
      </w:r>
      <w:r w:rsidR="005D42CC" w:rsidRPr="000E3A45">
        <w:rPr>
          <w:sz w:val="26"/>
          <w:szCs w:val="26"/>
          <w:lang w:val="es-ES"/>
        </w:rPr>
        <w:t xml:space="preserve">. De hecho, </w:t>
      </w:r>
      <w:r w:rsidR="00B941C1">
        <w:rPr>
          <w:sz w:val="26"/>
          <w:szCs w:val="26"/>
          <w:lang w:val="es-ES"/>
        </w:rPr>
        <w:t xml:space="preserve">el índice </w:t>
      </w:r>
      <w:r w:rsidR="004B199F">
        <w:rPr>
          <w:sz w:val="26"/>
          <w:szCs w:val="26"/>
          <w:lang w:val="es-ES"/>
        </w:rPr>
        <w:t xml:space="preserve">comenzó el </w:t>
      </w:r>
      <w:r w:rsidR="004B199F">
        <w:rPr>
          <w:sz w:val="26"/>
          <w:szCs w:val="26"/>
          <w:lang w:val="es-ES"/>
        </w:rPr>
        <w:lastRenderedPageBreak/>
        <w:t xml:space="preserve">mes con </w:t>
      </w:r>
      <w:r w:rsidR="00B941C1">
        <w:rPr>
          <w:sz w:val="26"/>
          <w:szCs w:val="26"/>
          <w:lang w:val="es-ES"/>
        </w:rPr>
        <w:t>4</w:t>
      </w:r>
      <w:r w:rsidR="004B199F">
        <w:rPr>
          <w:sz w:val="26"/>
          <w:szCs w:val="26"/>
          <w:lang w:val="es-ES"/>
        </w:rPr>
        <w:t>4</w:t>
      </w:r>
      <w:r w:rsidR="00B941C1">
        <w:rPr>
          <w:sz w:val="26"/>
          <w:szCs w:val="26"/>
          <w:lang w:val="es-ES"/>
        </w:rPr>
        <w:t xml:space="preserve"> mil 2</w:t>
      </w:r>
      <w:r w:rsidR="004B199F">
        <w:rPr>
          <w:sz w:val="26"/>
          <w:szCs w:val="26"/>
          <w:lang w:val="es-ES"/>
        </w:rPr>
        <w:t>02</w:t>
      </w:r>
      <w:r w:rsidR="00B941C1">
        <w:rPr>
          <w:sz w:val="26"/>
          <w:szCs w:val="26"/>
          <w:lang w:val="es-ES"/>
        </w:rPr>
        <w:t>.</w:t>
      </w:r>
      <w:r w:rsidR="004B199F">
        <w:rPr>
          <w:sz w:val="26"/>
          <w:szCs w:val="26"/>
          <w:lang w:val="es-ES"/>
        </w:rPr>
        <w:t>94</w:t>
      </w:r>
      <w:r w:rsidR="00B941C1">
        <w:rPr>
          <w:sz w:val="26"/>
          <w:szCs w:val="26"/>
          <w:lang w:val="es-ES"/>
        </w:rPr>
        <w:t xml:space="preserve"> puntos,</w:t>
      </w:r>
      <w:r w:rsidR="00205410" w:rsidRPr="000E3A45">
        <w:rPr>
          <w:sz w:val="26"/>
          <w:szCs w:val="26"/>
          <w:lang w:val="es-ES"/>
        </w:rPr>
        <w:t xml:space="preserve"> </w:t>
      </w:r>
      <w:r w:rsidR="005D42CC" w:rsidRPr="000E3A45">
        <w:rPr>
          <w:sz w:val="26"/>
          <w:szCs w:val="26"/>
          <w:lang w:val="es-ES"/>
        </w:rPr>
        <w:t xml:space="preserve">para alcanzar el día </w:t>
      </w:r>
      <w:r w:rsidR="00205410" w:rsidRPr="000E3A45">
        <w:rPr>
          <w:sz w:val="26"/>
          <w:szCs w:val="26"/>
          <w:lang w:val="es-ES"/>
        </w:rPr>
        <w:t>1</w:t>
      </w:r>
      <w:r w:rsidR="004B199F">
        <w:rPr>
          <w:sz w:val="26"/>
          <w:szCs w:val="26"/>
          <w:lang w:val="es-ES"/>
        </w:rPr>
        <w:t>6</w:t>
      </w:r>
      <w:r w:rsidR="00205410" w:rsidRPr="000E3A45">
        <w:rPr>
          <w:sz w:val="26"/>
          <w:szCs w:val="26"/>
          <w:lang w:val="es-ES"/>
        </w:rPr>
        <w:t xml:space="preserve"> del mes </w:t>
      </w:r>
      <w:r w:rsidR="005D42CC" w:rsidRPr="000E3A45">
        <w:rPr>
          <w:sz w:val="26"/>
          <w:szCs w:val="26"/>
          <w:lang w:val="es-ES"/>
        </w:rPr>
        <w:t xml:space="preserve"> </w:t>
      </w:r>
      <w:r w:rsidR="00BB03B9">
        <w:rPr>
          <w:sz w:val="26"/>
          <w:szCs w:val="26"/>
          <w:lang w:val="es-ES"/>
        </w:rPr>
        <w:t>su punto m</w:t>
      </w:r>
      <w:r w:rsidR="004046E8">
        <w:rPr>
          <w:sz w:val="26"/>
          <w:szCs w:val="26"/>
          <w:lang w:val="es-ES"/>
        </w:rPr>
        <w:t>áximo</w:t>
      </w:r>
      <w:r w:rsidR="00BB03B9">
        <w:rPr>
          <w:sz w:val="26"/>
          <w:szCs w:val="26"/>
          <w:lang w:val="es-ES"/>
        </w:rPr>
        <w:t xml:space="preserve"> de</w:t>
      </w:r>
      <w:r w:rsidR="00205410" w:rsidRPr="000E3A45">
        <w:rPr>
          <w:sz w:val="26"/>
          <w:szCs w:val="26"/>
          <w:lang w:val="es-ES"/>
        </w:rPr>
        <w:t xml:space="preserve"> </w:t>
      </w:r>
      <w:r w:rsidR="004B199F">
        <w:rPr>
          <w:sz w:val="26"/>
          <w:szCs w:val="26"/>
          <w:lang w:val="es-ES"/>
        </w:rPr>
        <w:t xml:space="preserve">     </w:t>
      </w:r>
      <w:r w:rsidR="00630603" w:rsidRPr="000E3A45">
        <w:rPr>
          <w:sz w:val="26"/>
          <w:szCs w:val="26"/>
          <w:lang w:val="es-ES"/>
        </w:rPr>
        <w:t>4</w:t>
      </w:r>
      <w:r w:rsidR="004B199F">
        <w:rPr>
          <w:sz w:val="26"/>
          <w:szCs w:val="26"/>
          <w:lang w:val="es-ES"/>
        </w:rPr>
        <w:t>5</w:t>
      </w:r>
      <w:r w:rsidR="00320E9A" w:rsidRPr="000E3A45">
        <w:rPr>
          <w:sz w:val="26"/>
          <w:szCs w:val="26"/>
          <w:lang w:val="es-ES"/>
        </w:rPr>
        <w:t xml:space="preserve"> mil </w:t>
      </w:r>
      <w:r w:rsidR="004B199F">
        <w:rPr>
          <w:sz w:val="26"/>
          <w:szCs w:val="26"/>
          <w:lang w:val="es-ES"/>
        </w:rPr>
        <w:t>480</w:t>
      </w:r>
      <w:r w:rsidR="00B941C1">
        <w:rPr>
          <w:sz w:val="26"/>
          <w:szCs w:val="26"/>
          <w:lang w:val="es-ES"/>
        </w:rPr>
        <w:t>.</w:t>
      </w:r>
      <w:r w:rsidR="004B199F">
        <w:rPr>
          <w:sz w:val="26"/>
          <w:szCs w:val="26"/>
          <w:lang w:val="es-ES"/>
        </w:rPr>
        <w:t>23</w:t>
      </w:r>
      <w:r w:rsidR="00A51A46" w:rsidRPr="000E3A45">
        <w:rPr>
          <w:sz w:val="26"/>
          <w:szCs w:val="26"/>
          <w:lang w:val="es-ES"/>
        </w:rPr>
        <w:t xml:space="preserve"> puntos</w:t>
      </w:r>
      <w:r w:rsidR="00B941C1">
        <w:rPr>
          <w:sz w:val="26"/>
          <w:szCs w:val="26"/>
          <w:lang w:val="es-ES"/>
        </w:rPr>
        <w:t>.</w:t>
      </w:r>
      <w:r w:rsidR="005D42CC" w:rsidRPr="000E3A45">
        <w:rPr>
          <w:sz w:val="26"/>
          <w:szCs w:val="26"/>
          <w:lang w:val="es-ES"/>
        </w:rPr>
        <w:t xml:space="preserve"> </w:t>
      </w:r>
      <w:r w:rsidR="00B941C1">
        <w:rPr>
          <w:sz w:val="26"/>
          <w:szCs w:val="26"/>
          <w:lang w:val="es-ES"/>
        </w:rPr>
        <w:t xml:space="preserve">En este sentido, se prevé que el mercado bursátil nacional  seguirá </w:t>
      </w:r>
      <w:r w:rsidR="004B199F">
        <w:rPr>
          <w:sz w:val="26"/>
          <w:szCs w:val="26"/>
          <w:lang w:val="es-ES"/>
        </w:rPr>
        <w:t xml:space="preserve">recuperándose a pesar de la </w:t>
      </w:r>
      <w:r w:rsidR="00B941C1">
        <w:rPr>
          <w:sz w:val="26"/>
          <w:szCs w:val="26"/>
          <w:lang w:val="es-ES"/>
        </w:rPr>
        <w:t xml:space="preserve">volatilidad del tipo de cambio y la expectativa de elevación de las tasas de interés por parte de la Reserva Federal de los Estados Unidos de Norteamérica y de un </w:t>
      </w:r>
      <w:r w:rsidR="00AD058C">
        <w:rPr>
          <w:sz w:val="26"/>
          <w:szCs w:val="26"/>
          <w:lang w:val="es-ES"/>
        </w:rPr>
        <w:t>repunte</w:t>
      </w:r>
      <w:r w:rsidR="00B941C1">
        <w:rPr>
          <w:sz w:val="26"/>
          <w:szCs w:val="26"/>
          <w:lang w:val="es-ES"/>
        </w:rPr>
        <w:t xml:space="preserve"> de la </w:t>
      </w:r>
      <w:r w:rsidR="00BB03B9">
        <w:rPr>
          <w:sz w:val="26"/>
          <w:szCs w:val="26"/>
          <w:lang w:val="es-ES"/>
        </w:rPr>
        <w:t>economía mexicana</w:t>
      </w:r>
      <w:r w:rsidR="00BB2780" w:rsidRPr="000E3A45">
        <w:rPr>
          <w:sz w:val="26"/>
          <w:szCs w:val="26"/>
          <w:lang w:val="es-ES"/>
        </w:rPr>
        <w:t>.</w:t>
      </w:r>
      <w:r w:rsidR="00A22D85" w:rsidRPr="000E3A45">
        <w:rPr>
          <w:sz w:val="26"/>
          <w:szCs w:val="26"/>
          <w:lang w:val="es-ES"/>
        </w:rPr>
        <w:t xml:space="preserve"> </w:t>
      </w:r>
    </w:p>
    <w:p w14:paraId="07C584C9" w14:textId="18E0F80B" w:rsidR="00497CA8" w:rsidRPr="000E3A45" w:rsidRDefault="004B199F" w:rsidP="00497CA8">
      <w:pPr>
        <w:spacing w:after="360" w:line="360" w:lineRule="auto"/>
        <w:ind w:right="-159"/>
        <w:jc w:val="center"/>
        <w:rPr>
          <w:sz w:val="26"/>
          <w:szCs w:val="26"/>
          <w:lang w:val="es-ES"/>
        </w:rPr>
      </w:pPr>
      <w:r w:rsidRPr="004B199F">
        <w:rPr>
          <w:rFonts w:ascii="Calibri" w:eastAsia="Calibri" w:hAnsi="Calibri"/>
          <w:sz w:val="22"/>
          <w:szCs w:val="22"/>
          <w:lang w:eastAsia="en-US"/>
        </w:rPr>
        <w:fldChar w:fldCharType="begin"/>
      </w:r>
      <w:r w:rsidRPr="004B199F">
        <w:rPr>
          <w:rFonts w:ascii="Calibri" w:eastAsia="Calibri" w:hAnsi="Calibri"/>
          <w:sz w:val="22"/>
          <w:szCs w:val="22"/>
          <w:lang w:eastAsia="en-US"/>
        </w:rPr>
        <w:instrText xml:space="preserve"> LINK PowerPoint.Slide.8 "D:\\2015\\ABRIL\\GRÁFICAS POWER POINT\\28.-GRÁFICAS DE BOLSAS.pptx!289"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08ABCD05" wp14:editId="6C447247">
            <wp:extent cx="4232275" cy="3120390"/>
            <wp:effectExtent l="0" t="0" r="0" b="3810"/>
            <wp:docPr id="1817" name="Imagen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457" cstate="print">
                      <a:extLst>
                        <a:ext uri="{28A0092B-C50C-407E-A947-70E740481C1C}">
                          <a14:useLocalDpi xmlns:a14="http://schemas.microsoft.com/office/drawing/2010/main" val="0"/>
                        </a:ext>
                      </a:extLst>
                    </a:blip>
                    <a:srcRect l="1797" t="4578" r="5377" b="4395"/>
                    <a:stretch>
                      <a:fillRect/>
                    </a:stretch>
                  </pic:blipFill>
                  <pic:spPr bwMode="auto">
                    <a:xfrm>
                      <a:off x="0" y="0"/>
                      <a:ext cx="4232275" cy="3120390"/>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3F83B63C" w14:textId="77777777" w:rsidR="00367580" w:rsidRPr="000E3A45" w:rsidRDefault="00367580" w:rsidP="00ED553C">
      <w:pPr>
        <w:spacing w:after="360" w:line="360" w:lineRule="auto"/>
        <w:ind w:right="-159"/>
        <w:jc w:val="both"/>
        <w:rPr>
          <w:b/>
          <w:sz w:val="26"/>
          <w:szCs w:val="26"/>
          <w:lang w:val="es-ES"/>
        </w:rPr>
      </w:pPr>
      <w:r w:rsidRPr="000E3A45">
        <w:rPr>
          <w:b/>
          <w:sz w:val="26"/>
          <w:szCs w:val="26"/>
          <w:lang w:val="es-ES"/>
        </w:rPr>
        <w:t>IPyC mensual</w:t>
      </w:r>
    </w:p>
    <w:p w14:paraId="3AF303DF" w14:textId="2E4C8DEF" w:rsidR="00594061" w:rsidRPr="000E3A45" w:rsidRDefault="00DC0B1A" w:rsidP="00367580">
      <w:pPr>
        <w:spacing w:after="360" w:line="360" w:lineRule="auto"/>
        <w:ind w:right="-159"/>
        <w:jc w:val="both"/>
        <w:rPr>
          <w:sz w:val="26"/>
          <w:szCs w:val="26"/>
        </w:rPr>
      </w:pPr>
      <w:r w:rsidRPr="000E3A45">
        <w:rPr>
          <w:sz w:val="26"/>
          <w:szCs w:val="26"/>
        </w:rPr>
        <w:t xml:space="preserve">Durante </w:t>
      </w:r>
      <w:r w:rsidR="00D51683">
        <w:rPr>
          <w:sz w:val="26"/>
          <w:szCs w:val="26"/>
        </w:rPr>
        <w:t>marzo</w:t>
      </w:r>
      <w:r w:rsidRPr="000E3A45">
        <w:rPr>
          <w:sz w:val="26"/>
          <w:szCs w:val="26"/>
        </w:rPr>
        <w:t xml:space="preserve"> de 201</w:t>
      </w:r>
      <w:r w:rsidR="00ED2813">
        <w:rPr>
          <w:sz w:val="26"/>
          <w:szCs w:val="26"/>
        </w:rPr>
        <w:t>5</w:t>
      </w:r>
      <w:r w:rsidRPr="000E3A45">
        <w:rPr>
          <w:sz w:val="26"/>
          <w:szCs w:val="26"/>
        </w:rPr>
        <w:t xml:space="preserve">, el </w:t>
      </w:r>
      <w:r w:rsidR="00594061" w:rsidRPr="000E3A45">
        <w:rPr>
          <w:sz w:val="26"/>
          <w:szCs w:val="26"/>
        </w:rPr>
        <w:t xml:space="preserve">IPyC registró una </w:t>
      </w:r>
      <w:r w:rsidR="00D51683">
        <w:rPr>
          <w:sz w:val="26"/>
          <w:szCs w:val="26"/>
        </w:rPr>
        <w:t xml:space="preserve">pérdida </w:t>
      </w:r>
      <w:r w:rsidR="00BB03B9">
        <w:rPr>
          <w:sz w:val="26"/>
          <w:szCs w:val="26"/>
        </w:rPr>
        <w:t>de capital</w:t>
      </w:r>
      <w:r w:rsidR="00594061" w:rsidRPr="000E3A45">
        <w:rPr>
          <w:sz w:val="26"/>
          <w:szCs w:val="26"/>
        </w:rPr>
        <w:t xml:space="preserve"> de </w:t>
      </w:r>
      <w:r w:rsidR="00D51683">
        <w:rPr>
          <w:sz w:val="26"/>
          <w:szCs w:val="26"/>
        </w:rPr>
        <w:t>1.05</w:t>
      </w:r>
      <w:r w:rsidR="00D34EAF" w:rsidRPr="000E3A45">
        <w:rPr>
          <w:sz w:val="26"/>
          <w:szCs w:val="26"/>
        </w:rPr>
        <w:t>%</w:t>
      </w:r>
      <w:r w:rsidR="00B65B20" w:rsidRPr="000E3A45">
        <w:rPr>
          <w:sz w:val="26"/>
          <w:szCs w:val="26"/>
        </w:rPr>
        <w:t xml:space="preserve"> con respecto al mes inmediato anterior;</w:t>
      </w:r>
      <w:r w:rsidR="00D34EAF" w:rsidRPr="000E3A45">
        <w:rPr>
          <w:sz w:val="26"/>
          <w:szCs w:val="26"/>
        </w:rPr>
        <w:t xml:space="preserve"> mientras que en los primeros </w:t>
      </w:r>
      <w:r w:rsidR="00D51683">
        <w:rPr>
          <w:sz w:val="26"/>
          <w:szCs w:val="26"/>
        </w:rPr>
        <w:t>2</w:t>
      </w:r>
      <w:r w:rsidR="00B65B20" w:rsidRPr="000E3A45">
        <w:rPr>
          <w:sz w:val="26"/>
          <w:szCs w:val="26"/>
        </w:rPr>
        <w:t>1</w:t>
      </w:r>
      <w:r w:rsidR="00D34EAF" w:rsidRPr="000E3A45">
        <w:rPr>
          <w:sz w:val="26"/>
          <w:szCs w:val="26"/>
        </w:rPr>
        <w:t xml:space="preserve"> días de </w:t>
      </w:r>
      <w:r w:rsidR="00770ED0">
        <w:rPr>
          <w:sz w:val="26"/>
          <w:szCs w:val="26"/>
        </w:rPr>
        <w:t>a</w:t>
      </w:r>
      <w:r w:rsidR="00D51683">
        <w:rPr>
          <w:sz w:val="26"/>
          <w:szCs w:val="26"/>
        </w:rPr>
        <w:t>b</w:t>
      </w:r>
      <w:r w:rsidR="00770ED0">
        <w:rPr>
          <w:sz w:val="26"/>
          <w:szCs w:val="26"/>
        </w:rPr>
        <w:t>r</w:t>
      </w:r>
      <w:r w:rsidR="00D51683">
        <w:rPr>
          <w:sz w:val="26"/>
          <w:szCs w:val="26"/>
        </w:rPr>
        <w:t>il</w:t>
      </w:r>
      <w:r w:rsidR="00D34EAF" w:rsidRPr="000E3A45">
        <w:rPr>
          <w:sz w:val="26"/>
          <w:szCs w:val="26"/>
        </w:rPr>
        <w:t xml:space="preserve"> </w:t>
      </w:r>
      <w:r w:rsidR="00BB03B9">
        <w:rPr>
          <w:sz w:val="26"/>
          <w:szCs w:val="26"/>
        </w:rPr>
        <w:t xml:space="preserve">de 2015, </w:t>
      </w:r>
      <w:r w:rsidR="00D34EAF" w:rsidRPr="000E3A45">
        <w:rPr>
          <w:sz w:val="26"/>
          <w:szCs w:val="26"/>
        </w:rPr>
        <w:t xml:space="preserve">reportó una </w:t>
      </w:r>
      <w:r w:rsidR="00D51683">
        <w:rPr>
          <w:sz w:val="26"/>
          <w:szCs w:val="26"/>
        </w:rPr>
        <w:t>utilidad</w:t>
      </w:r>
      <w:r w:rsidR="00B65B20" w:rsidRPr="000E3A45">
        <w:rPr>
          <w:sz w:val="26"/>
          <w:szCs w:val="26"/>
        </w:rPr>
        <w:t xml:space="preserve"> de </w:t>
      </w:r>
      <w:r w:rsidR="00D51683">
        <w:rPr>
          <w:sz w:val="26"/>
          <w:szCs w:val="26"/>
        </w:rPr>
        <w:t>3.60</w:t>
      </w:r>
      <w:r w:rsidR="00B65B20" w:rsidRPr="000E3A45">
        <w:rPr>
          <w:sz w:val="26"/>
          <w:szCs w:val="26"/>
        </w:rPr>
        <w:t xml:space="preserve">% con relación al cierre de </w:t>
      </w:r>
      <w:r w:rsidR="00BB03B9">
        <w:rPr>
          <w:sz w:val="26"/>
          <w:szCs w:val="26"/>
        </w:rPr>
        <w:t>diciembre</w:t>
      </w:r>
      <w:r w:rsidR="00B65B20" w:rsidRPr="000E3A45">
        <w:rPr>
          <w:sz w:val="26"/>
          <w:szCs w:val="26"/>
        </w:rPr>
        <w:t xml:space="preserve"> </w:t>
      </w:r>
      <w:r w:rsidR="00770ED0">
        <w:rPr>
          <w:sz w:val="26"/>
          <w:szCs w:val="26"/>
        </w:rPr>
        <w:t>de 2014</w:t>
      </w:r>
      <w:r w:rsidR="00594061" w:rsidRPr="000E3A45">
        <w:rPr>
          <w:sz w:val="26"/>
          <w:szCs w:val="26"/>
        </w:rPr>
        <w:t>.</w:t>
      </w:r>
    </w:p>
    <w:p w14:paraId="17E86751" w14:textId="03119DD3" w:rsidR="00AC53E0" w:rsidRPr="000E3A45" w:rsidRDefault="004B199F" w:rsidP="00AC53E0">
      <w:pPr>
        <w:spacing w:after="360" w:line="360" w:lineRule="auto"/>
        <w:ind w:right="-159"/>
        <w:jc w:val="center"/>
        <w:rPr>
          <w:sz w:val="26"/>
          <w:szCs w:val="26"/>
        </w:rPr>
      </w:pPr>
      <w:r w:rsidRPr="004B199F">
        <w:rPr>
          <w:rFonts w:ascii="Calibri" w:eastAsia="Calibri" w:hAnsi="Calibri"/>
          <w:sz w:val="22"/>
          <w:szCs w:val="22"/>
          <w:lang w:eastAsia="en-US"/>
        </w:rPr>
        <w:lastRenderedPageBreak/>
        <w:fldChar w:fldCharType="begin"/>
      </w:r>
      <w:r w:rsidRPr="004B199F">
        <w:rPr>
          <w:rFonts w:ascii="Calibri" w:eastAsia="Calibri" w:hAnsi="Calibri"/>
          <w:sz w:val="22"/>
          <w:szCs w:val="22"/>
          <w:lang w:eastAsia="en-US"/>
        </w:rPr>
        <w:instrText xml:space="preserve"> LINK PowerPoint.Slide.8 "D:\\2015\\ABRIL\\GRÁFICAS POWER POINT\\28.-GRÁFICAS DE BOLSAS.pptx!276"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4B68AB3C" wp14:editId="570201F3">
            <wp:extent cx="4225925" cy="3200400"/>
            <wp:effectExtent l="0" t="0" r="3175" b="0"/>
            <wp:docPr id="1893" name="Imagen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458" cstate="print">
                      <a:extLst>
                        <a:ext uri="{28A0092B-C50C-407E-A947-70E740481C1C}">
                          <a14:useLocalDpi xmlns:a14="http://schemas.microsoft.com/office/drawing/2010/main" val="0"/>
                        </a:ext>
                      </a:extLst>
                    </a:blip>
                    <a:srcRect l="3748" t="6561" r="3593"/>
                    <a:stretch>
                      <a:fillRect/>
                    </a:stretch>
                  </pic:blipFill>
                  <pic:spPr bwMode="auto">
                    <a:xfrm>
                      <a:off x="0" y="0"/>
                      <a:ext cx="4225925" cy="3200400"/>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49D05814" w14:textId="77777777" w:rsidR="00ED553C" w:rsidRPr="000E3A45" w:rsidRDefault="00ED553C" w:rsidP="00ED553C">
      <w:pPr>
        <w:spacing w:after="360" w:line="360" w:lineRule="auto"/>
        <w:ind w:right="-159"/>
        <w:rPr>
          <w:b/>
          <w:sz w:val="26"/>
          <w:szCs w:val="26"/>
          <w:lang w:val="es-ES"/>
        </w:rPr>
      </w:pPr>
      <w:bookmarkStart w:id="20" w:name="OLE_LINK40"/>
      <w:bookmarkStart w:id="21" w:name="OLE_LINK42"/>
      <w:r w:rsidRPr="000E3A45">
        <w:rPr>
          <w:b/>
          <w:sz w:val="26"/>
          <w:szCs w:val="26"/>
          <w:lang w:val="es-ES"/>
        </w:rPr>
        <w:t>Índices sectoriales</w:t>
      </w:r>
    </w:p>
    <w:p w14:paraId="58CFE64F" w14:textId="194D55B2" w:rsidR="001C1ED2" w:rsidRPr="000E3A45" w:rsidRDefault="00DC0B1A" w:rsidP="00ED553C">
      <w:pPr>
        <w:spacing w:after="360" w:line="360" w:lineRule="auto"/>
        <w:ind w:right="-159"/>
        <w:jc w:val="both"/>
        <w:rPr>
          <w:sz w:val="26"/>
          <w:szCs w:val="26"/>
        </w:rPr>
      </w:pPr>
      <w:r w:rsidRPr="000E3A45">
        <w:rPr>
          <w:sz w:val="26"/>
          <w:szCs w:val="26"/>
        </w:rPr>
        <w:t>D</w:t>
      </w:r>
      <w:r w:rsidR="001C1ED2" w:rsidRPr="000E3A45">
        <w:rPr>
          <w:sz w:val="26"/>
          <w:szCs w:val="26"/>
        </w:rPr>
        <w:t>el 31 de diciembre de 201</w:t>
      </w:r>
      <w:r w:rsidR="00BB03B9">
        <w:rPr>
          <w:sz w:val="26"/>
          <w:szCs w:val="26"/>
        </w:rPr>
        <w:t>4</w:t>
      </w:r>
      <w:r w:rsidR="001C1ED2" w:rsidRPr="000E3A45">
        <w:rPr>
          <w:sz w:val="26"/>
          <w:szCs w:val="26"/>
        </w:rPr>
        <w:t xml:space="preserve"> al </w:t>
      </w:r>
      <w:r w:rsidR="00EE2614">
        <w:rPr>
          <w:sz w:val="26"/>
          <w:szCs w:val="26"/>
        </w:rPr>
        <w:t>2</w:t>
      </w:r>
      <w:r w:rsidR="00EA7FDB" w:rsidRPr="000E3A45">
        <w:rPr>
          <w:sz w:val="26"/>
          <w:szCs w:val="26"/>
        </w:rPr>
        <w:t>1</w:t>
      </w:r>
      <w:r w:rsidR="001C1ED2" w:rsidRPr="000E3A45">
        <w:rPr>
          <w:sz w:val="26"/>
          <w:szCs w:val="26"/>
        </w:rPr>
        <w:t xml:space="preserve"> de </w:t>
      </w:r>
      <w:r w:rsidR="0034778F">
        <w:rPr>
          <w:sz w:val="26"/>
          <w:szCs w:val="26"/>
        </w:rPr>
        <w:t>a</w:t>
      </w:r>
      <w:r w:rsidR="00EE2614">
        <w:rPr>
          <w:sz w:val="26"/>
          <w:szCs w:val="26"/>
        </w:rPr>
        <w:t>b</w:t>
      </w:r>
      <w:r w:rsidR="0034778F">
        <w:rPr>
          <w:sz w:val="26"/>
          <w:szCs w:val="26"/>
        </w:rPr>
        <w:t>r</w:t>
      </w:r>
      <w:r w:rsidR="00EE2614">
        <w:rPr>
          <w:sz w:val="26"/>
          <w:szCs w:val="26"/>
        </w:rPr>
        <w:t>il</w:t>
      </w:r>
      <w:r w:rsidR="00BB03B9">
        <w:rPr>
          <w:sz w:val="26"/>
          <w:szCs w:val="26"/>
        </w:rPr>
        <w:t xml:space="preserve"> de 2015</w:t>
      </w:r>
      <w:r w:rsidR="001C1ED2" w:rsidRPr="000E3A45">
        <w:rPr>
          <w:sz w:val="26"/>
          <w:szCs w:val="26"/>
        </w:rPr>
        <w:t xml:space="preserve">, </w:t>
      </w:r>
      <w:r w:rsidR="00BB03B9">
        <w:rPr>
          <w:sz w:val="26"/>
          <w:szCs w:val="26"/>
        </w:rPr>
        <w:t xml:space="preserve">todos </w:t>
      </w:r>
      <w:r w:rsidR="004E1268" w:rsidRPr="000E3A45">
        <w:rPr>
          <w:sz w:val="26"/>
          <w:szCs w:val="26"/>
        </w:rPr>
        <w:t>los</w:t>
      </w:r>
      <w:r w:rsidR="001C1ED2" w:rsidRPr="000E3A45">
        <w:rPr>
          <w:sz w:val="26"/>
          <w:szCs w:val="26"/>
        </w:rPr>
        <w:t xml:space="preserve"> índice</w:t>
      </w:r>
      <w:r w:rsidR="004E1268" w:rsidRPr="000E3A45">
        <w:rPr>
          <w:sz w:val="26"/>
          <w:szCs w:val="26"/>
        </w:rPr>
        <w:t>s</w:t>
      </w:r>
      <w:r w:rsidR="001C1ED2" w:rsidRPr="000E3A45">
        <w:rPr>
          <w:sz w:val="26"/>
          <w:szCs w:val="26"/>
        </w:rPr>
        <w:t xml:space="preserve"> sectorial</w:t>
      </w:r>
      <w:r w:rsidR="004E1268" w:rsidRPr="000E3A45">
        <w:rPr>
          <w:sz w:val="26"/>
          <w:szCs w:val="26"/>
        </w:rPr>
        <w:t>es</w:t>
      </w:r>
      <w:r w:rsidR="001C1ED2" w:rsidRPr="000E3A45">
        <w:rPr>
          <w:sz w:val="26"/>
          <w:szCs w:val="26"/>
        </w:rPr>
        <w:t xml:space="preserve"> que eport</w:t>
      </w:r>
      <w:r w:rsidR="004E1268" w:rsidRPr="000E3A45">
        <w:rPr>
          <w:sz w:val="26"/>
          <w:szCs w:val="26"/>
        </w:rPr>
        <w:t>aron</w:t>
      </w:r>
      <w:r w:rsidR="001C1ED2" w:rsidRPr="000E3A45">
        <w:rPr>
          <w:sz w:val="26"/>
          <w:szCs w:val="26"/>
        </w:rPr>
        <w:t xml:space="preserve"> </w:t>
      </w:r>
      <w:r w:rsidR="0034778F">
        <w:rPr>
          <w:sz w:val="26"/>
          <w:szCs w:val="26"/>
        </w:rPr>
        <w:t>ganancias fueron los siguientes</w:t>
      </w:r>
      <w:r w:rsidR="004E1268" w:rsidRPr="000E3A45">
        <w:rPr>
          <w:sz w:val="26"/>
          <w:szCs w:val="26"/>
        </w:rPr>
        <w:t>:</w:t>
      </w:r>
      <w:r w:rsidR="001C1ED2" w:rsidRPr="000E3A45">
        <w:rPr>
          <w:sz w:val="26"/>
          <w:szCs w:val="26"/>
        </w:rPr>
        <w:t xml:space="preserve"> </w:t>
      </w:r>
      <w:r w:rsidR="0034778F" w:rsidRPr="000E3A45">
        <w:rPr>
          <w:sz w:val="26"/>
          <w:szCs w:val="26"/>
        </w:rPr>
        <w:t>productos de consumo frecuentes (</w:t>
      </w:r>
      <w:r w:rsidR="00EE2614">
        <w:rPr>
          <w:sz w:val="26"/>
          <w:szCs w:val="26"/>
        </w:rPr>
        <w:t>7.60</w:t>
      </w:r>
      <w:r w:rsidR="0034778F" w:rsidRPr="000E3A45">
        <w:rPr>
          <w:sz w:val="26"/>
          <w:szCs w:val="26"/>
        </w:rPr>
        <w:t>%)</w:t>
      </w:r>
      <w:r w:rsidR="0034778F">
        <w:rPr>
          <w:sz w:val="26"/>
          <w:szCs w:val="26"/>
        </w:rPr>
        <w:t xml:space="preserve">, </w:t>
      </w:r>
      <w:r w:rsidR="0034778F" w:rsidRPr="000E3A45">
        <w:rPr>
          <w:sz w:val="26"/>
          <w:szCs w:val="26"/>
        </w:rPr>
        <w:t>servicios de bienes de consumo no básicos (</w:t>
      </w:r>
      <w:r w:rsidR="00EE2614">
        <w:rPr>
          <w:sz w:val="26"/>
          <w:szCs w:val="26"/>
        </w:rPr>
        <w:t>7.35</w:t>
      </w:r>
      <w:r w:rsidR="0034778F" w:rsidRPr="000E3A45">
        <w:rPr>
          <w:sz w:val="26"/>
          <w:szCs w:val="26"/>
        </w:rPr>
        <w:t>%),</w:t>
      </w:r>
      <w:r w:rsidR="0034778F">
        <w:rPr>
          <w:sz w:val="26"/>
          <w:szCs w:val="26"/>
        </w:rPr>
        <w:t xml:space="preserve"> </w:t>
      </w:r>
      <w:r w:rsidR="00D51683" w:rsidRPr="000E3A45">
        <w:rPr>
          <w:sz w:val="26"/>
          <w:szCs w:val="26"/>
        </w:rPr>
        <w:t>servicios de telecomunicaciones (</w:t>
      </w:r>
      <w:r w:rsidR="00D51683">
        <w:rPr>
          <w:sz w:val="26"/>
          <w:szCs w:val="26"/>
        </w:rPr>
        <w:t>4.35</w:t>
      </w:r>
      <w:r w:rsidR="00D51683" w:rsidRPr="000E3A45">
        <w:rPr>
          <w:sz w:val="26"/>
          <w:szCs w:val="26"/>
        </w:rPr>
        <w:t>%)</w:t>
      </w:r>
      <w:r w:rsidR="00D51683">
        <w:rPr>
          <w:sz w:val="26"/>
          <w:szCs w:val="26"/>
        </w:rPr>
        <w:t xml:space="preserve">, </w:t>
      </w:r>
      <w:r w:rsidR="0034778F">
        <w:rPr>
          <w:sz w:val="26"/>
          <w:szCs w:val="26"/>
        </w:rPr>
        <w:t>servicios financieros (</w:t>
      </w:r>
      <w:r w:rsidR="00EE2614">
        <w:rPr>
          <w:sz w:val="26"/>
          <w:szCs w:val="26"/>
        </w:rPr>
        <w:t>1.19</w:t>
      </w:r>
      <w:r w:rsidR="0034778F">
        <w:rPr>
          <w:sz w:val="26"/>
          <w:szCs w:val="26"/>
        </w:rPr>
        <w:t xml:space="preserve">%) </w:t>
      </w:r>
      <w:r w:rsidR="00D51683">
        <w:rPr>
          <w:sz w:val="26"/>
          <w:szCs w:val="26"/>
        </w:rPr>
        <w:t xml:space="preserve">e industrial (1.14%). </w:t>
      </w:r>
      <w:r w:rsidR="0034778F">
        <w:rPr>
          <w:sz w:val="26"/>
          <w:szCs w:val="26"/>
        </w:rPr>
        <w:t xml:space="preserve">Por el contrario registraron pérdidas, </w:t>
      </w:r>
      <w:r w:rsidR="00BB03B9">
        <w:rPr>
          <w:sz w:val="26"/>
          <w:szCs w:val="26"/>
        </w:rPr>
        <w:t>salud (</w:t>
      </w:r>
      <w:r w:rsidR="00EE2614">
        <w:rPr>
          <w:sz w:val="26"/>
          <w:szCs w:val="26"/>
        </w:rPr>
        <w:t>17.27</w:t>
      </w:r>
      <w:r w:rsidR="00BB03B9">
        <w:rPr>
          <w:sz w:val="26"/>
          <w:szCs w:val="26"/>
        </w:rPr>
        <w:t>%)</w:t>
      </w:r>
      <w:r w:rsidR="00D51683">
        <w:rPr>
          <w:sz w:val="26"/>
          <w:szCs w:val="26"/>
        </w:rPr>
        <w:t xml:space="preserve"> y </w:t>
      </w:r>
      <w:r w:rsidR="0034778F">
        <w:rPr>
          <w:sz w:val="26"/>
          <w:szCs w:val="26"/>
        </w:rPr>
        <w:t>materiales (</w:t>
      </w:r>
      <w:r w:rsidR="00EE2614">
        <w:rPr>
          <w:sz w:val="26"/>
          <w:szCs w:val="26"/>
        </w:rPr>
        <w:t>1.24</w:t>
      </w:r>
      <w:r w:rsidR="0034778F">
        <w:rPr>
          <w:sz w:val="26"/>
          <w:szCs w:val="26"/>
        </w:rPr>
        <w:t>%)</w:t>
      </w:r>
      <w:r w:rsidR="00D51683">
        <w:rPr>
          <w:sz w:val="26"/>
          <w:szCs w:val="26"/>
        </w:rPr>
        <w:t>.</w:t>
      </w:r>
    </w:p>
    <w:p w14:paraId="3AC345E2" w14:textId="0F9A674B" w:rsidR="00665639" w:rsidRPr="000E3A45" w:rsidRDefault="004B199F" w:rsidP="00665639">
      <w:pPr>
        <w:spacing w:after="360" w:line="360" w:lineRule="auto"/>
        <w:ind w:right="-159"/>
        <w:jc w:val="center"/>
        <w:rPr>
          <w:sz w:val="26"/>
          <w:szCs w:val="26"/>
        </w:rPr>
      </w:pPr>
      <w:r w:rsidRPr="004B199F">
        <w:rPr>
          <w:rFonts w:ascii="Calibri" w:eastAsia="Calibri" w:hAnsi="Calibri"/>
          <w:sz w:val="22"/>
          <w:szCs w:val="22"/>
          <w:lang w:eastAsia="en-US"/>
        </w:rPr>
        <w:lastRenderedPageBreak/>
        <w:fldChar w:fldCharType="begin"/>
      </w:r>
      <w:r w:rsidRPr="004B199F">
        <w:rPr>
          <w:rFonts w:ascii="Calibri" w:eastAsia="Calibri" w:hAnsi="Calibri"/>
          <w:sz w:val="22"/>
          <w:szCs w:val="22"/>
          <w:lang w:eastAsia="en-US"/>
        </w:rPr>
        <w:instrText xml:space="preserve"> LINK PowerPoint.Slide.8 "D:\\2015\\ABRIL\\GRÁFICAS POWER POINT\\28.-GRÁFICAS DE BOLSAS.pptx!288"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76212FCC" wp14:editId="52833BCF">
            <wp:extent cx="4349750" cy="2897505"/>
            <wp:effectExtent l="0" t="0" r="0" b="0"/>
            <wp:docPr id="1894" name="Imagen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459" cstate="print">
                      <a:extLst>
                        <a:ext uri="{28A0092B-C50C-407E-A947-70E740481C1C}">
                          <a14:useLocalDpi xmlns:a14="http://schemas.microsoft.com/office/drawing/2010/main" val="0"/>
                        </a:ext>
                      </a:extLst>
                    </a:blip>
                    <a:srcRect l="2534" t="7787" r="2090" b="7562"/>
                    <a:stretch>
                      <a:fillRect/>
                    </a:stretch>
                  </pic:blipFill>
                  <pic:spPr bwMode="auto">
                    <a:xfrm>
                      <a:off x="0" y="0"/>
                      <a:ext cx="4349750" cy="2897505"/>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705CB921" w14:textId="77777777" w:rsidR="00ED553C" w:rsidRPr="000E3A45" w:rsidRDefault="00ED553C" w:rsidP="00E062AC">
      <w:pPr>
        <w:ind w:right="-159"/>
        <w:jc w:val="both"/>
        <w:rPr>
          <w:b/>
          <w:sz w:val="20"/>
          <w:szCs w:val="20"/>
          <w:lang w:val="es-ES"/>
        </w:rPr>
      </w:pPr>
      <w:r w:rsidRPr="000E3A45">
        <w:rPr>
          <w:b/>
          <w:sz w:val="20"/>
          <w:szCs w:val="20"/>
          <w:lang w:val="es-ES"/>
        </w:rPr>
        <w:t xml:space="preserve">Fuente de información: </w:t>
      </w:r>
    </w:p>
    <w:p w14:paraId="30371283" w14:textId="77777777" w:rsidR="000A4187" w:rsidRPr="00E146C7" w:rsidRDefault="0045651A" w:rsidP="00FE6308">
      <w:pPr>
        <w:ind w:right="-159"/>
        <w:jc w:val="both"/>
        <w:rPr>
          <w:rStyle w:val="Hipervnculo"/>
          <w:sz w:val="20"/>
          <w:szCs w:val="20"/>
        </w:rPr>
      </w:pPr>
      <w:hyperlink r:id="rId460" w:history="1">
        <w:r w:rsidR="000A4187" w:rsidRPr="00E146C7">
          <w:rPr>
            <w:rStyle w:val="Hipervnculo"/>
            <w:sz w:val="20"/>
            <w:szCs w:val="20"/>
          </w:rPr>
          <w:t>http://www.bmv.com.mx/</w:t>
        </w:r>
      </w:hyperlink>
    </w:p>
    <w:p w14:paraId="4BCDF83E" w14:textId="59B2CA95" w:rsidR="00135DE5" w:rsidRPr="00E146C7" w:rsidRDefault="00921FE8" w:rsidP="00E146C7">
      <w:pPr>
        <w:spacing w:after="720" w:line="360" w:lineRule="auto"/>
        <w:ind w:right="-159"/>
        <w:jc w:val="both"/>
        <w:rPr>
          <w:rFonts w:eastAsia="Calibri"/>
          <w:color w:val="0000FF"/>
          <w:sz w:val="20"/>
          <w:szCs w:val="20"/>
          <w:lang w:val="es-ES" w:eastAsia="en-US"/>
        </w:rPr>
      </w:pPr>
      <w:r w:rsidRPr="00E146C7">
        <w:rPr>
          <w:rFonts w:eastAsia="Calibri"/>
          <w:color w:val="0000FF"/>
          <w:sz w:val="20"/>
          <w:szCs w:val="20"/>
          <w:lang w:val="es-ES" w:eastAsia="en-US"/>
        </w:rPr>
        <w:t xml:space="preserve">Periódico </w:t>
      </w:r>
      <w:r w:rsidR="00097EFB" w:rsidRPr="00E146C7">
        <w:rPr>
          <w:rFonts w:eastAsia="Calibri"/>
          <w:color w:val="0000FF"/>
          <w:sz w:val="20"/>
          <w:szCs w:val="20"/>
          <w:lang w:val="es-ES" w:eastAsia="en-US"/>
        </w:rPr>
        <w:t>Reforma</w:t>
      </w:r>
      <w:r w:rsidRPr="00E146C7">
        <w:rPr>
          <w:rFonts w:eastAsia="Calibri"/>
          <w:color w:val="0000FF"/>
          <w:sz w:val="20"/>
          <w:szCs w:val="20"/>
          <w:lang w:val="es-ES" w:eastAsia="en-US"/>
        </w:rPr>
        <w:t xml:space="preserve">, </w:t>
      </w:r>
      <w:r w:rsidR="004B199F" w:rsidRPr="00E146C7">
        <w:rPr>
          <w:rFonts w:eastAsia="Calibri"/>
          <w:color w:val="0000FF"/>
          <w:sz w:val="20"/>
          <w:szCs w:val="20"/>
          <w:lang w:val="es-ES" w:eastAsia="en-US"/>
        </w:rPr>
        <w:t>22</w:t>
      </w:r>
      <w:r w:rsidRPr="00E146C7">
        <w:rPr>
          <w:rFonts w:eastAsia="Calibri"/>
          <w:color w:val="0000FF"/>
          <w:sz w:val="20"/>
          <w:szCs w:val="20"/>
          <w:lang w:val="es-ES" w:eastAsia="en-US"/>
        </w:rPr>
        <w:t xml:space="preserve"> de </w:t>
      </w:r>
      <w:r w:rsidR="00770ED0" w:rsidRPr="00E146C7">
        <w:rPr>
          <w:rFonts w:eastAsia="Calibri"/>
          <w:color w:val="0000FF"/>
          <w:sz w:val="20"/>
          <w:szCs w:val="20"/>
          <w:lang w:val="es-ES" w:eastAsia="en-US"/>
        </w:rPr>
        <w:t>a</w:t>
      </w:r>
      <w:r w:rsidR="004B199F" w:rsidRPr="00E146C7">
        <w:rPr>
          <w:rFonts w:eastAsia="Calibri"/>
          <w:color w:val="0000FF"/>
          <w:sz w:val="20"/>
          <w:szCs w:val="20"/>
          <w:lang w:val="es-ES" w:eastAsia="en-US"/>
        </w:rPr>
        <w:t>bril</w:t>
      </w:r>
      <w:r w:rsidRPr="00E146C7">
        <w:rPr>
          <w:rFonts w:eastAsia="Calibri"/>
          <w:color w:val="0000FF"/>
          <w:sz w:val="20"/>
          <w:szCs w:val="20"/>
          <w:lang w:val="es-ES" w:eastAsia="en-US"/>
        </w:rPr>
        <w:t xml:space="preserve"> de 201</w:t>
      </w:r>
      <w:r w:rsidR="006B0002" w:rsidRPr="00E146C7">
        <w:rPr>
          <w:rFonts w:eastAsia="Calibri"/>
          <w:color w:val="0000FF"/>
          <w:sz w:val="20"/>
          <w:szCs w:val="20"/>
          <w:lang w:val="es-ES" w:eastAsia="en-US"/>
        </w:rPr>
        <w:t>5</w:t>
      </w:r>
      <w:r w:rsidRPr="00E146C7">
        <w:rPr>
          <w:rFonts w:eastAsia="Calibri"/>
          <w:color w:val="0000FF"/>
          <w:sz w:val="20"/>
          <w:szCs w:val="20"/>
          <w:lang w:val="es-ES" w:eastAsia="en-US"/>
        </w:rPr>
        <w:t xml:space="preserve">, sección </w:t>
      </w:r>
      <w:r w:rsidR="00097EFB" w:rsidRPr="00E146C7">
        <w:rPr>
          <w:rFonts w:eastAsia="Calibri"/>
          <w:color w:val="0000FF"/>
          <w:sz w:val="20"/>
          <w:szCs w:val="20"/>
          <w:lang w:val="es-ES" w:eastAsia="en-US"/>
        </w:rPr>
        <w:t>negocios</w:t>
      </w:r>
      <w:r w:rsidRPr="00E146C7">
        <w:rPr>
          <w:rFonts w:eastAsia="Calibri"/>
          <w:color w:val="0000FF"/>
          <w:sz w:val="20"/>
          <w:szCs w:val="20"/>
          <w:lang w:val="es-ES" w:eastAsia="en-US"/>
        </w:rPr>
        <w:t>, México.</w:t>
      </w:r>
    </w:p>
    <w:p w14:paraId="19580F90" w14:textId="77777777" w:rsidR="004E3C9B" w:rsidRPr="004E3C9B" w:rsidRDefault="004E3C9B" w:rsidP="004E3C9B">
      <w:pPr>
        <w:spacing w:after="360" w:line="360" w:lineRule="auto"/>
        <w:ind w:right="-159"/>
        <w:jc w:val="both"/>
        <w:rPr>
          <w:rFonts w:eastAsia="Times New Roman"/>
          <w:b/>
          <w:bCs/>
          <w:sz w:val="26"/>
          <w:szCs w:val="26"/>
          <w:lang w:val="es-ES"/>
        </w:rPr>
      </w:pPr>
      <w:r w:rsidRPr="004E3C9B">
        <w:rPr>
          <w:rFonts w:eastAsia="Times New Roman"/>
          <w:b/>
          <w:bCs/>
          <w:sz w:val="26"/>
          <w:szCs w:val="26"/>
          <w:lang w:val="es-ES"/>
        </w:rPr>
        <w:t>Rebalanceo del Índice BMV-Rentable (BMV)</w:t>
      </w:r>
    </w:p>
    <w:p w14:paraId="6259CD98" w14:textId="77777777" w:rsidR="004E3C9B" w:rsidRDefault="004E3C9B" w:rsidP="004E3C9B">
      <w:pPr>
        <w:spacing w:after="360" w:line="360" w:lineRule="auto"/>
        <w:ind w:right="-159"/>
        <w:jc w:val="both"/>
        <w:rPr>
          <w:rFonts w:eastAsia="Times New Roman"/>
          <w:bCs/>
          <w:sz w:val="26"/>
          <w:szCs w:val="26"/>
          <w:lang w:val="es-ES"/>
        </w:rPr>
      </w:pPr>
      <w:r w:rsidRPr="004E3C9B">
        <w:rPr>
          <w:rFonts w:eastAsia="Times New Roman"/>
          <w:bCs/>
          <w:sz w:val="26"/>
          <w:szCs w:val="26"/>
          <w:lang w:val="es-ES"/>
        </w:rPr>
        <w:t>El 20 de marzo de 2015, la Bolsa Mexicana de Valores (BMV) comunicó que, únicamente con fines informativos, el número de acciones y los pesos relativos preliminares que formarán parte de la muestra del índice “BMV-Rentable”, derivados del rebalanceo cuatrimestral que será efectivo a partir del 1° de abril de 2015.</w:t>
      </w:r>
    </w:p>
    <w:p w14:paraId="3F3A5FCC" w14:textId="77777777" w:rsidR="009543B0" w:rsidRDefault="009543B0" w:rsidP="004E3C9B">
      <w:pPr>
        <w:spacing w:after="360" w:line="360" w:lineRule="auto"/>
        <w:ind w:right="-159"/>
        <w:jc w:val="both"/>
        <w:rPr>
          <w:rFonts w:eastAsia="Times New Roman"/>
          <w:bCs/>
          <w:sz w:val="26"/>
          <w:szCs w:val="26"/>
          <w:lang w:val="es-ES"/>
        </w:rPr>
      </w:pPr>
    </w:p>
    <w:p w14:paraId="3D79EF40" w14:textId="77777777" w:rsidR="009543B0" w:rsidRDefault="009543B0" w:rsidP="004E3C9B">
      <w:pPr>
        <w:spacing w:after="360" w:line="360" w:lineRule="auto"/>
        <w:ind w:right="-159"/>
        <w:jc w:val="both"/>
        <w:rPr>
          <w:rFonts w:eastAsia="Times New Roman"/>
          <w:bCs/>
          <w:sz w:val="26"/>
          <w:szCs w:val="26"/>
          <w:lang w:val="es-ES"/>
        </w:rPr>
      </w:pPr>
    </w:p>
    <w:p w14:paraId="09DC316F" w14:textId="77777777" w:rsidR="009543B0" w:rsidRDefault="009543B0" w:rsidP="004E3C9B">
      <w:pPr>
        <w:spacing w:after="360" w:line="360" w:lineRule="auto"/>
        <w:ind w:right="-159"/>
        <w:jc w:val="both"/>
        <w:rPr>
          <w:rFonts w:eastAsia="Times New Roman"/>
          <w:bCs/>
          <w:sz w:val="26"/>
          <w:szCs w:val="26"/>
          <w:lang w:val="es-ES"/>
        </w:rPr>
      </w:pPr>
    </w:p>
    <w:p w14:paraId="5F61383A" w14:textId="77777777" w:rsidR="009543B0" w:rsidRPr="004E3C9B" w:rsidRDefault="009543B0" w:rsidP="004E3C9B">
      <w:pPr>
        <w:spacing w:after="360" w:line="360" w:lineRule="auto"/>
        <w:ind w:right="-159"/>
        <w:jc w:val="both"/>
        <w:rPr>
          <w:rFonts w:eastAsia="Times New Roman"/>
          <w:bCs/>
          <w:sz w:val="26"/>
          <w:szCs w:val="26"/>
          <w:lang w:val="es-ES"/>
        </w:rPr>
      </w:pPr>
    </w:p>
    <w:tbl>
      <w:tblPr>
        <w:tblW w:w="0" w:type="auto"/>
        <w:jc w:val="center"/>
        <w:tblBorders>
          <w:top w:val="nil"/>
          <w:left w:val="nil"/>
          <w:bottom w:val="nil"/>
          <w:right w:val="nil"/>
        </w:tblBorders>
        <w:tblLayout w:type="fixed"/>
        <w:tblLook w:val="0000" w:firstRow="0" w:lastRow="0" w:firstColumn="0" w:lastColumn="0" w:noHBand="0" w:noVBand="0"/>
      </w:tblPr>
      <w:tblGrid>
        <w:gridCol w:w="986"/>
        <w:gridCol w:w="1957"/>
        <w:gridCol w:w="1418"/>
        <w:gridCol w:w="2415"/>
        <w:gridCol w:w="1564"/>
      </w:tblGrid>
      <w:tr w:rsidR="004E3C9B" w:rsidRPr="004E3C9B" w14:paraId="33B03D3B" w14:textId="77777777" w:rsidTr="004E3C9B">
        <w:trPr>
          <w:trHeight w:val="93"/>
          <w:jc w:val="center"/>
        </w:trPr>
        <w:tc>
          <w:tcPr>
            <w:tcW w:w="8340" w:type="dxa"/>
            <w:gridSpan w:val="5"/>
            <w:tcBorders>
              <w:top w:val="nil"/>
              <w:left w:val="nil"/>
              <w:bottom w:val="single" w:sz="4" w:space="0" w:color="auto"/>
              <w:right w:val="nil"/>
            </w:tcBorders>
            <w:shd w:val="clear" w:color="auto" w:fill="auto"/>
            <w:vAlign w:val="center"/>
          </w:tcPr>
          <w:p w14:paraId="2A312898" w14:textId="77777777" w:rsidR="004E3C9B" w:rsidRPr="004E3C9B" w:rsidRDefault="004E3C9B" w:rsidP="004E3C9B">
            <w:pPr>
              <w:autoSpaceDE w:val="0"/>
              <w:autoSpaceDN w:val="0"/>
              <w:adjustRightInd w:val="0"/>
              <w:jc w:val="center"/>
              <w:rPr>
                <w:rFonts w:eastAsia="Calibri"/>
                <w:b/>
                <w:bCs/>
                <w:sz w:val="22"/>
                <w:szCs w:val="22"/>
                <w:lang w:eastAsia="en-US"/>
              </w:rPr>
            </w:pPr>
            <w:r w:rsidRPr="004E3C9B">
              <w:rPr>
                <w:rFonts w:eastAsia="Calibri"/>
                <w:b/>
                <w:bCs/>
                <w:sz w:val="22"/>
                <w:szCs w:val="22"/>
                <w:lang w:eastAsia="en-US"/>
              </w:rPr>
              <w:lastRenderedPageBreak/>
              <w:t xml:space="preserve">ÍNDICE BMV-RENTABLE, DERIVADOS DEL REBALANCEO CUATRIMESTRAL QUE SERÁ EFECTIVO </w:t>
            </w:r>
          </w:p>
          <w:p w14:paraId="042C5472" w14:textId="32685515" w:rsidR="004E3C9B" w:rsidRPr="004E3C9B" w:rsidRDefault="004E3C9B" w:rsidP="004E3C9B">
            <w:pPr>
              <w:autoSpaceDE w:val="0"/>
              <w:autoSpaceDN w:val="0"/>
              <w:adjustRightInd w:val="0"/>
              <w:jc w:val="center"/>
              <w:rPr>
                <w:rFonts w:eastAsia="Calibri"/>
                <w:b/>
                <w:bCs/>
                <w:sz w:val="22"/>
                <w:szCs w:val="22"/>
                <w:lang w:eastAsia="en-US"/>
              </w:rPr>
            </w:pPr>
            <w:r w:rsidRPr="004E3C9B">
              <w:rPr>
                <w:rFonts w:eastAsia="Calibri"/>
                <w:b/>
                <w:bCs/>
                <w:sz w:val="22"/>
                <w:szCs w:val="22"/>
                <w:lang w:eastAsia="en-US"/>
              </w:rPr>
              <w:t>A PARTIR DEL 1° DE ABRIL DE 2015</w:t>
            </w:r>
          </w:p>
        </w:tc>
      </w:tr>
      <w:tr w:rsidR="004E3C9B" w:rsidRPr="004E3C9B" w14:paraId="1D0CA9F9" w14:textId="77777777" w:rsidTr="004E3C9B">
        <w:trPr>
          <w:trHeight w:val="93"/>
          <w:jc w:val="center"/>
        </w:trPr>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B29D388" w14:textId="77777777" w:rsidR="004E3C9B" w:rsidRPr="004E3C9B" w:rsidRDefault="004E3C9B" w:rsidP="004E3C9B">
            <w:pPr>
              <w:autoSpaceDE w:val="0"/>
              <w:autoSpaceDN w:val="0"/>
              <w:adjustRightInd w:val="0"/>
              <w:jc w:val="center"/>
              <w:rPr>
                <w:rFonts w:eastAsia="Calibri"/>
                <w:sz w:val="20"/>
                <w:szCs w:val="20"/>
                <w:lang w:eastAsia="en-US"/>
              </w:rPr>
            </w:pPr>
            <w:r w:rsidRPr="004E3C9B">
              <w:rPr>
                <w:rFonts w:eastAsia="Calibri"/>
                <w:b/>
                <w:bCs/>
                <w:sz w:val="20"/>
                <w:szCs w:val="20"/>
                <w:lang w:eastAsia="en-US"/>
              </w:rPr>
              <w:t>N°</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14:paraId="5EA4CCBD" w14:textId="77777777" w:rsidR="004E3C9B" w:rsidRPr="004E3C9B" w:rsidRDefault="004E3C9B" w:rsidP="004E3C9B">
            <w:pPr>
              <w:autoSpaceDE w:val="0"/>
              <w:autoSpaceDN w:val="0"/>
              <w:adjustRightInd w:val="0"/>
              <w:jc w:val="center"/>
              <w:rPr>
                <w:rFonts w:eastAsia="Calibri"/>
                <w:sz w:val="20"/>
                <w:szCs w:val="20"/>
                <w:lang w:eastAsia="en-US"/>
              </w:rPr>
            </w:pPr>
            <w:r w:rsidRPr="004E3C9B">
              <w:rPr>
                <w:rFonts w:eastAsia="Calibri"/>
                <w:b/>
                <w:bCs/>
                <w:sz w:val="20"/>
                <w:szCs w:val="20"/>
                <w:lang w:eastAsia="en-US"/>
              </w:rPr>
              <w:t>Emisora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4F61AC" w14:textId="77777777" w:rsidR="004E3C9B" w:rsidRPr="004E3C9B" w:rsidRDefault="004E3C9B" w:rsidP="004E3C9B">
            <w:pPr>
              <w:autoSpaceDE w:val="0"/>
              <w:autoSpaceDN w:val="0"/>
              <w:adjustRightInd w:val="0"/>
              <w:jc w:val="center"/>
              <w:rPr>
                <w:rFonts w:eastAsia="Calibri"/>
                <w:sz w:val="20"/>
                <w:szCs w:val="20"/>
                <w:lang w:eastAsia="en-US"/>
              </w:rPr>
            </w:pPr>
            <w:r w:rsidRPr="004E3C9B">
              <w:rPr>
                <w:rFonts w:eastAsia="Calibri"/>
                <w:b/>
                <w:bCs/>
                <w:sz w:val="20"/>
                <w:szCs w:val="20"/>
                <w:lang w:eastAsia="en-US"/>
              </w:rPr>
              <w:t>Serie</w:t>
            </w:r>
          </w:p>
        </w:tc>
        <w:tc>
          <w:tcPr>
            <w:tcW w:w="2415" w:type="dxa"/>
            <w:tcBorders>
              <w:top w:val="single" w:sz="4" w:space="0" w:color="auto"/>
              <w:left w:val="single" w:sz="4" w:space="0" w:color="auto"/>
              <w:bottom w:val="single" w:sz="4" w:space="0" w:color="auto"/>
              <w:right w:val="single" w:sz="4" w:space="0" w:color="auto"/>
            </w:tcBorders>
            <w:shd w:val="clear" w:color="auto" w:fill="auto"/>
            <w:vAlign w:val="center"/>
          </w:tcPr>
          <w:p w14:paraId="4762FCB8" w14:textId="77777777" w:rsidR="004E3C9B" w:rsidRPr="004E3C9B" w:rsidRDefault="004E3C9B" w:rsidP="004E3C9B">
            <w:pPr>
              <w:autoSpaceDE w:val="0"/>
              <w:autoSpaceDN w:val="0"/>
              <w:adjustRightInd w:val="0"/>
              <w:jc w:val="center"/>
              <w:rPr>
                <w:rFonts w:eastAsia="Calibri"/>
                <w:sz w:val="20"/>
                <w:szCs w:val="20"/>
                <w:lang w:eastAsia="en-US"/>
              </w:rPr>
            </w:pPr>
            <w:r w:rsidRPr="004E3C9B">
              <w:rPr>
                <w:rFonts w:eastAsia="Calibri"/>
                <w:b/>
                <w:bCs/>
                <w:sz w:val="20"/>
                <w:szCs w:val="20"/>
                <w:lang w:eastAsia="en-US"/>
              </w:rPr>
              <w:t>Acciones en el Índice</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85F4C9" w14:textId="77777777" w:rsidR="004E3C9B" w:rsidRPr="004E3C9B" w:rsidRDefault="004E3C9B" w:rsidP="004E3C9B">
            <w:pPr>
              <w:autoSpaceDE w:val="0"/>
              <w:autoSpaceDN w:val="0"/>
              <w:adjustRightInd w:val="0"/>
              <w:jc w:val="center"/>
              <w:rPr>
                <w:rFonts w:eastAsia="Calibri"/>
                <w:sz w:val="20"/>
                <w:szCs w:val="20"/>
                <w:lang w:eastAsia="en-US"/>
              </w:rPr>
            </w:pPr>
            <w:r w:rsidRPr="004E3C9B">
              <w:rPr>
                <w:rFonts w:eastAsia="Calibri"/>
                <w:b/>
                <w:bCs/>
                <w:sz w:val="20"/>
                <w:szCs w:val="20"/>
                <w:lang w:eastAsia="en-US"/>
              </w:rPr>
              <w:t>%</w:t>
            </w:r>
          </w:p>
        </w:tc>
      </w:tr>
      <w:tr w:rsidR="004E3C9B" w:rsidRPr="004E3C9B" w14:paraId="32FC74C3" w14:textId="77777777" w:rsidTr="004E3C9B">
        <w:trPr>
          <w:trHeight w:val="93"/>
          <w:jc w:val="center"/>
        </w:trPr>
        <w:tc>
          <w:tcPr>
            <w:tcW w:w="986" w:type="dxa"/>
            <w:tcBorders>
              <w:top w:val="single" w:sz="4" w:space="0" w:color="auto"/>
              <w:left w:val="single" w:sz="4" w:space="0" w:color="auto"/>
              <w:bottom w:val="nil"/>
              <w:right w:val="single" w:sz="4" w:space="0" w:color="auto"/>
            </w:tcBorders>
            <w:shd w:val="clear" w:color="auto" w:fill="auto"/>
            <w:vAlign w:val="center"/>
          </w:tcPr>
          <w:p w14:paraId="09E17EF7" w14:textId="77777777" w:rsidR="004E3C9B" w:rsidRPr="004E3C9B" w:rsidRDefault="004E3C9B" w:rsidP="004E3C9B">
            <w:pPr>
              <w:autoSpaceDE w:val="0"/>
              <w:autoSpaceDN w:val="0"/>
              <w:adjustRightInd w:val="0"/>
              <w:spacing w:before="120" w:after="40"/>
              <w:jc w:val="center"/>
              <w:rPr>
                <w:rFonts w:eastAsia="Calibri"/>
                <w:sz w:val="20"/>
                <w:szCs w:val="20"/>
                <w:lang w:eastAsia="en-US"/>
              </w:rPr>
            </w:pPr>
            <w:r w:rsidRPr="004E3C9B">
              <w:rPr>
                <w:rFonts w:eastAsia="Calibri"/>
                <w:sz w:val="20"/>
                <w:szCs w:val="20"/>
                <w:lang w:eastAsia="en-US"/>
              </w:rPr>
              <w:t>1</w:t>
            </w:r>
          </w:p>
        </w:tc>
        <w:tc>
          <w:tcPr>
            <w:tcW w:w="1957" w:type="dxa"/>
            <w:tcBorders>
              <w:top w:val="single" w:sz="4" w:space="0" w:color="auto"/>
              <w:left w:val="single" w:sz="4" w:space="0" w:color="auto"/>
              <w:bottom w:val="nil"/>
              <w:right w:val="single" w:sz="4" w:space="0" w:color="auto"/>
            </w:tcBorders>
            <w:shd w:val="clear" w:color="auto" w:fill="auto"/>
            <w:vAlign w:val="center"/>
          </w:tcPr>
          <w:p w14:paraId="2AD0847A" w14:textId="77777777" w:rsidR="004E3C9B" w:rsidRPr="004E3C9B" w:rsidRDefault="004E3C9B" w:rsidP="004E3C9B">
            <w:pPr>
              <w:autoSpaceDE w:val="0"/>
              <w:autoSpaceDN w:val="0"/>
              <w:adjustRightInd w:val="0"/>
              <w:spacing w:before="120" w:after="40"/>
              <w:jc w:val="center"/>
              <w:rPr>
                <w:rFonts w:eastAsia="Calibri"/>
                <w:sz w:val="20"/>
                <w:szCs w:val="20"/>
                <w:lang w:eastAsia="en-US"/>
              </w:rPr>
            </w:pPr>
            <w:r w:rsidRPr="004E3C9B">
              <w:rPr>
                <w:rFonts w:eastAsia="Calibri"/>
                <w:sz w:val="20"/>
                <w:szCs w:val="20"/>
                <w:lang w:eastAsia="en-US"/>
              </w:rPr>
              <w:t>AC</w:t>
            </w:r>
          </w:p>
        </w:tc>
        <w:tc>
          <w:tcPr>
            <w:tcW w:w="1418" w:type="dxa"/>
            <w:tcBorders>
              <w:top w:val="single" w:sz="4" w:space="0" w:color="auto"/>
              <w:left w:val="single" w:sz="4" w:space="0" w:color="auto"/>
              <w:bottom w:val="nil"/>
              <w:right w:val="single" w:sz="4" w:space="0" w:color="auto"/>
            </w:tcBorders>
            <w:shd w:val="clear" w:color="auto" w:fill="auto"/>
            <w:vAlign w:val="center"/>
          </w:tcPr>
          <w:p w14:paraId="1C76FF62" w14:textId="77777777" w:rsidR="004E3C9B" w:rsidRPr="004E3C9B" w:rsidRDefault="004E3C9B" w:rsidP="004E3C9B">
            <w:pPr>
              <w:autoSpaceDE w:val="0"/>
              <w:autoSpaceDN w:val="0"/>
              <w:adjustRightInd w:val="0"/>
              <w:spacing w:before="120" w:after="40"/>
              <w:jc w:val="center"/>
              <w:rPr>
                <w:rFonts w:eastAsia="Calibri"/>
                <w:sz w:val="20"/>
                <w:szCs w:val="20"/>
                <w:lang w:eastAsia="en-US"/>
              </w:rPr>
            </w:pPr>
            <w:r w:rsidRPr="004E3C9B">
              <w:rPr>
                <w:rFonts w:eastAsia="Calibri"/>
                <w:sz w:val="20"/>
                <w:szCs w:val="20"/>
                <w:lang w:eastAsia="en-US"/>
              </w:rPr>
              <w:t>*</w:t>
            </w:r>
          </w:p>
        </w:tc>
        <w:tc>
          <w:tcPr>
            <w:tcW w:w="2415" w:type="dxa"/>
            <w:tcBorders>
              <w:top w:val="single" w:sz="4" w:space="0" w:color="auto"/>
              <w:left w:val="single" w:sz="4" w:space="0" w:color="auto"/>
              <w:bottom w:val="nil"/>
              <w:right w:val="single" w:sz="4" w:space="0" w:color="auto"/>
            </w:tcBorders>
            <w:shd w:val="clear" w:color="auto" w:fill="auto"/>
            <w:vAlign w:val="center"/>
          </w:tcPr>
          <w:p w14:paraId="1C301BE2" w14:textId="77777777" w:rsidR="004E3C9B" w:rsidRPr="004E3C9B" w:rsidRDefault="004E3C9B" w:rsidP="004E3C9B">
            <w:pPr>
              <w:autoSpaceDE w:val="0"/>
              <w:autoSpaceDN w:val="0"/>
              <w:adjustRightInd w:val="0"/>
              <w:spacing w:before="120" w:after="40"/>
              <w:ind w:right="397"/>
              <w:jc w:val="right"/>
              <w:rPr>
                <w:rFonts w:eastAsia="Calibri"/>
                <w:sz w:val="20"/>
                <w:szCs w:val="20"/>
                <w:lang w:eastAsia="en-US"/>
              </w:rPr>
            </w:pPr>
            <w:r w:rsidRPr="004E3C9B">
              <w:rPr>
                <w:rFonts w:eastAsia="Calibri"/>
                <w:sz w:val="20"/>
                <w:szCs w:val="20"/>
                <w:lang w:eastAsia="en-US"/>
              </w:rPr>
              <w:t>322 252 715</w:t>
            </w:r>
          </w:p>
        </w:tc>
        <w:tc>
          <w:tcPr>
            <w:tcW w:w="1564" w:type="dxa"/>
            <w:tcBorders>
              <w:top w:val="single" w:sz="4" w:space="0" w:color="auto"/>
              <w:left w:val="single" w:sz="4" w:space="0" w:color="auto"/>
              <w:bottom w:val="nil"/>
              <w:right w:val="single" w:sz="4" w:space="0" w:color="auto"/>
            </w:tcBorders>
            <w:shd w:val="clear" w:color="auto" w:fill="auto"/>
            <w:vAlign w:val="center"/>
          </w:tcPr>
          <w:p w14:paraId="7CAA794D" w14:textId="77777777" w:rsidR="004E3C9B" w:rsidRPr="004E3C9B" w:rsidRDefault="004E3C9B" w:rsidP="004E3C9B">
            <w:pPr>
              <w:autoSpaceDE w:val="0"/>
              <w:autoSpaceDN w:val="0"/>
              <w:adjustRightInd w:val="0"/>
              <w:spacing w:before="120" w:after="40"/>
              <w:ind w:right="397"/>
              <w:jc w:val="right"/>
              <w:rPr>
                <w:rFonts w:eastAsia="Calibri"/>
                <w:sz w:val="20"/>
                <w:szCs w:val="20"/>
                <w:lang w:eastAsia="en-US"/>
              </w:rPr>
            </w:pPr>
            <w:r w:rsidRPr="004E3C9B">
              <w:rPr>
                <w:rFonts w:eastAsia="Calibri"/>
                <w:sz w:val="20"/>
                <w:szCs w:val="20"/>
                <w:lang w:eastAsia="en-US"/>
              </w:rPr>
              <w:t>1.56</w:t>
            </w:r>
          </w:p>
        </w:tc>
      </w:tr>
      <w:tr w:rsidR="004E3C9B" w:rsidRPr="004E3C9B" w14:paraId="67ECAE3E"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1A182500"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2</w:t>
            </w:r>
          </w:p>
        </w:tc>
        <w:tc>
          <w:tcPr>
            <w:tcW w:w="1957" w:type="dxa"/>
            <w:tcBorders>
              <w:top w:val="nil"/>
              <w:left w:val="single" w:sz="4" w:space="0" w:color="auto"/>
              <w:bottom w:val="nil"/>
              <w:right w:val="single" w:sz="4" w:space="0" w:color="auto"/>
            </w:tcBorders>
            <w:shd w:val="clear" w:color="auto" w:fill="auto"/>
            <w:vAlign w:val="center"/>
          </w:tcPr>
          <w:p w14:paraId="2B502168"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ALFA</w:t>
            </w:r>
          </w:p>
        </w:tc>
        <w:tc>
          <w:tcPr>
            <w:tcW w:w="1418" w:type="dxa"/>
            <w:tcBorders>
              <w:top w:val="nil"/>
              <w:left w:val="single" w:sz="4" w:space="0" w:color="auto"/>
              <w:bottom w:val="nil"/>
              <w:right w:val="single" w:sz="4" w:space="0" w:color="auto"/>
            </w:tcBorders>
            <w:shd w:val="clear" w:color="auto" w:fill="auto"/>
            <w:vAlign w:val="center"/>
          </w:tcPr>
          <w:p w14:paraId="3C1E534C"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w:t>
            </w:r>
          </w:p>
        </w:tc>
        <w:tc>
          <w:tcPr>
            <w:tcW w:w="2415" w:type="dxa"/>
            <w:tcBorders>
              <w:top w:val="nil"/>
              <w:left w:val="single" w:sz="4" w:space="0" w:color="auto"/>
              <w:bottom w:val="nil"/>
              <w:right w:val="single" w:sz="4" w:space="0" w:color="auto"/>
            </w:tcBorders>
            <w:shd w:val="clear" w:color="auto" w:fill="auto"/>
            <w:vAlign w:val="center"/>
          </w:tcPr>
          <w:p w14:paraId="726E4D25"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3 850 875 000</w:t>
            </w:r>
          </w:p>
        </w:tc>
        <w:tc>
          <w:tcPr>
            <w:tcW w:w="1564" w:type="dxa"/>
            <w:tcBorders>
              <w:top w:val="nil"/>
              <w:left w:val="single" w:sz="4" w:space="0" w:color="auto"/>
              <w:bottom w:val="nil"/>
              <w:right w:val="single" w:sz="4" w:space="0" w:color="auto"/>
            </w:tcBorders>
            <w:shd w:val="clear" w:color="auto" w:fill="auto"/>
            <w:vAlign w:val="center"/>
          </w:tcPr>
          <w:p w14:paraId="0C9269AC"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6.59</w:t>
            </w:r>
          </w:p>
        </w:tc>
      </w:tr>
      <w:tr w:rsidR="004E3C9B" w:rsidRPr="004E3C9B" w14:paraId="48B9DDFB"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7DE57AA7"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3</w:t>
            </w:r>
          </w:p>
        </w:tc>
        <w:tc>
          <w:tcPr>
            <w:tcW w:w="1957" w:type="dxa"/>
            <w:tcBorders>
              <w:top w:val="nil"/>
              <w:left w:val="single" w:sz="4" w:space="0" w:color="auto"/>
              <w:bottom w:val="nil"/>
              <w:right w:val="single" w:sz="4" w:space="0" w:color="auto"/>
            </w:tcBorders>
            <w:shd w:val="clear" w:color="auto" w:fill="auto"/>
            <w:vAlign w:val="center"/>
          </w:tcPr>
          <w:p w14:paraId="679F5BB7"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ALSEA</w:t>
            </w:r>
          </w:p>
        </w:tc>
        <w:tc>
          <w:tcPr>
            <w:tcW w:w="1418" w:type="dxa"/>
            <w:tcBorders>
              <w:top w:val="nil"/>
              <w:left w:val="single" w:sz="4" w:space="0" w:color="auto"/>
              <w:bottom w:val="nil"/>
              <w:right w:val="single" w:sz="4" w:space="0" w:color="auto"/>
            </w:tcBorders>
            <w:shd w:val="clear" w:color="auto" w:fill="auto"/>
            <w:vAlign w:val="center"/>
          </w:tcPr>
          <w:p w14:paraId="678E6FD8"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w:t>
            </w:r>
          </w:p>
        </w:tc>
        <w:tc>
          <w:tcPr>
            <w:tcW w:w="2415" w:type="dxa"/>
            <w:tcBorders>
              <w:top w:val="nil"/>
              <w:left w:val="single" w:sz="4" w:space="0" w:color="auto"/>
              <w:bottom w:val="nil"/>
              <w:right w:val="single" w:sz="4" w:space="0" w:color="auto"/>
            </w:tcBorders>
            <w:shd w:val="clear" w:color="auto" w:fill="auto"/>
            <w:vAlign w:val="center"/>
          </w:tcPr>
          <w:p w14:paraId="5E658EAE"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502 857 975</w:t>
            </w:r>
          </w:p>
        </w:tc>
        <w:tc>
          <w:tcPr>
            <w:tcW w:w="1564" w:type="dxa"/>
            <w:tcBorders>
              <w:top w:val="nil"/>
              <w:left w:val="single" w:sz="4" w:space="0" w:color="auto"/>
              <w:bottom w:val="nil"/>
              <w:right w:val="single" w:sz="4" w:space="0" w:color="auto"/>
            </w:tcBorders>
            <w:shd w:val="clear" w:color="auto" w:fill="auto"/>
            <w:vAlign w:val="center"/>
          </w:tcPr>
          <w:p w14:paraId="791F818C"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1.24</w:t>
            </w:r>
          </w:p>
        </w:tc>
      </w:tr>
      <w:tr w:rsidR="004E3C9B" w:rsidRPr="004E3C9B" w14:paraId="5209F3D3"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1D85C56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4</w:t>
            </w:r>
          </w:p>
        </w:tc>
        <w:tc>
          <w:tcPr>
            <w:tcW w:w="1957" w:type="dxa"/>
            <w:tcBorders>
              <w:top w:val="nil"/>
              <w:left w:val="single" w:sz="4" w:space="0" w:color="auto"/>
              <w:bottom w:val="nil"/>
              <w:right w:val="single" w:sz="4" w:space="0" w:color="auto"/>
            </w:tcBorders>
            <w:shd w:val="clear" w:color="auto" w:fill="auto"/>
            <w:vAlign w:val="center"/>
          </w:tcPr>
          <w:p w14:paraId="2FF36E8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AMX</w:t>
            </w:r>
          </w:p>
        </w:tc>
        <w:tc>
          <w:tcPr>
            <w:tcW w:w="1418" w:type="dxa"/>
            <w:tcBorders>
              <w:top w:val="nil"/>
              <w:left w:val="single" w:sz="4" w:space="0" w:color="auto"/>
              <w:bottom w:val="nil"/>
              <w:right w:val="single" w:sz="4" w:space="0" w:color="auto"/>
            </w:tcBorders>
            <w:shd w:val="clear" w:color="auto" w:fill="auto"/>
            <w:vAlign w:val="center"/>
          </w:tcPr>
          <w:p w14:paraId="28E487B7"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L</w:t>
            </w:r>
          </w:p>
        </w:tc>
        <w:tc>
          <w:tcPr>
            <w:tcW w:w="2415" w:type="dxa"/>
            <w:tcBorders>
              <w:top w:val="nil"/>
              <w:left w:val="single" w:sz="4" w:space="0" w:color="auto"/>
              <w:bottom w:val="nil"/>
              <w:right w:val="single" w:sz="4" w:space="0" w:color="auto"/>
            </w:tcBorders>
            <w:shd w:val="clear" w:color="auto" w:fill="auto"/>
            <w:vAlign w:val="center"/>
          </w:tcPr>
          <w:p w14:paraId="62373A51"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12 051 985 218</w:t>
            </w:r>
          </w:p>
        </w:tc>
        <w:tc>
          <w:tcPr>
            <w:tcW w:w="1564" w:type="dxa"/>
            <w:tcBorders>
              <w:top w:val="nil"/>
              <w:left w:val="single" w:sz="4" w:space="0" w:color="auto"/>
              <w:bottom w:val="nil"/>
              <w:right w:val="single" w:sz="4" w:space="0" w:color="auto"/>
            </w:tcBorders>
            <w:shd w:val="clear" w:color="auto" w:fill="auto"/>
            <w:vAlign w:val="center"/>
          </w:tcPr>
          <w:p w14:paraId="7BC51029"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6C590ADF"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62DBB41A"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5</w:t>
            </w:r>
          </w:p>
        </w:tc>
        <w:tc>
          <w:tcPr>
            <w:tcW w:w="1957" w:type="dxa"/>
            <w:tcBorders>
              <w:top w:val="nil"/>
              <w:left w:val="single" w:sz="4" w:space="0" w:color="auto"/>
              <w:bottom w:val="nil"/>
              <w:right w:val="single" w:sz="4" w:space="0" w:color="auto"/>
            </w:tcBorders>
            <w:shd w:val="clear" w:color="auto" w:fill="auto"/>
            <w:vAlign w:val="center"/>
          </w:tcPr>
          <w:p w14:paraId="21992A1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ASUR</w:t>
            </w:r>
          </w:p>
        </w:tc>
        <w:tc>
          <w:tcPr>
            <w:tcW w:w="1418" w:type="dxa"/>
            <w:tcBorders>
              <w:top w:val="nil"/>
              <w:left w:val="single" w:sz="4" w:space="0" w:color="auto"/>
              <w:bottom w:val="nil"/>
              <w:right w:val="single" w:sz="4" w:space="0" w:color="auto"/>
            </w:tcBorders>
            <w:shd w:val="clear" w:color="auto" w:fill="auto"/>
            <w:vAlign w:val="center"/>
          </w:tcPr>
          <w:p w14:paraId="0BF10D6D"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B</w:t>
            </w:r>
          </w:p>
        </w:tc>
        <w:tc>
          <w:tcPr>
            <w:tcW w:w="2415" w:type="dxa"/>
            <w:tcBorders>
              <w:top w:val="nil"/>
              <w:left w:val="single" w:sz="4" w:space="0" w:color="auto"/>
              <w:bottom w:val="nil"/>
              <w:right w:val="single" w:sz="4" w:space="0" w:color="auto"/>
            </w:tcBorders>
            <w:shd w:val="clear" w:color="auto" w:fill="auto"/>
            <w:vAlign w:val="center"/>
          </w:tcPr>
          <w:p w14:paraId="399CCA3E"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207 787 500</w:t>
            </w:r>
          </w:p>
        </w:tc>
        <w:tc>
          <w:tcPr>
            <w:tcW w:w="1564" w:type="dxa"/>
            <w:tcBorders>
              <w:top w:val="nil"/>
              <w:left w:val="single" w:sz="4" w:space="0" w:color="auto"/>
              <w:bottom w:val="nil"/>
              <w:right w:val="single" w:sz="4" w:space="0" w:color="auto"/>
            </w:tcBorders>
            <w:shd w:val="clear" w:color="auto" w:fill="auto"/>
            <w:vAlign w:val="center"/>
          </w:tcPr>
          <w:p w14:paraId="4F07767A"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2.28</w:t>
            </w:r>
          </w:p>
        </w:tc>
      </w:tr>
      <w:tr w:rsidR="004E3C9B" w:rsidRPr="004E3C9B" w14:paraId="192A89DC"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2F030413"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6</w:t>
            </w:r>
          </w:p>
        </w:tc>
        <w:tc>
          <w:tcPr>
            <w:tcW w:w="1957" w:type="dxa"/>
            <w:tcBorders>
              <w:top w:val="nil"/>
              <w:left w:val="single" w:sz="4" w:space="0" w:color="auto"/>
              <w:bottom w:val="nil"/>
              <w:right w:val="single" w:sz="4" w:space="0" w:color="auto"/>
            </w:tcBorders>
            <w:shd w:val="clear" w:color="auto" w:fill="auto"/>
            <w:vAlign w:val="center"/>
          </w:tcPr>
          <w:p w14:paraId="21C01882"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BOLSA</w:t>
            </w:r>
          </w:p>
        </w:tc>
        <w:tc>
          <w:tcPr>
            <w:tcW w:w="1418" w:type="dxa"/>
            <w:tcBorders>
              <w:top w:val="nil"/>
              <w:left w:val="single" w:sz="4" w:space="0" w:color="auto"/>
              <w:bottom w:val="nil"/>
              <w:right w:val="single" w:sz="4" w:space="0" w:color="auto"/>
            </w:tcBorders>
            <w:shd w:val="clear" w:color="auto" w:fill="auto"/>
            <w:vAlign w:val="center"/>
          </w:tcPr>
          <w:p w14:paraId="6178F144"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w:t>
            </w:r>
          </w:p>
        </w:tc>
        <w:tc>
          <w:tcPr>
            <w:tcW w:w="2415" w:type="dxa"/>
            <w:tcBorders>
              <w:top w:val="nil"/>
              <w:left w:val="single" w:sz="4" w:space="0" w:color="auto"/>
              <w:bottom w:val="nil"/>
              <w:right w:val="single" w:sz="4" w:space="0" w:color="auto"/>
            </w:tcBorders>
            <w:shd w:val="clear" w:color="auto" w:fill="auto"/>
            <w:vAlign w:val="center"/>
          </w:tcPr>
          <w:p w14:paraId="77CCA6D3"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385 442 853</w:t>
            </w:r>
          </w:p>
        </w:tc>
        <w:tc>
          <w:tcPr>
            <w:tcW w:w="1564" w:type="dxa"/>
            <w:tcBorders>
              <w:top w:val="nil"/>
              <w:left w:val="single" w:sz="4" w:space="0" w:color="auto"/>
              <w:bottom w:val="nil"/>
              <w:right w:val="single" w:sz="4" w:space="0" w:color="auto"/>
            </w:tcBorders>
            <w:shd w:val="clear" w:color="auto" w:fill="auto"/>
            <w:vAlign w:val="center"/>
          </w:tcPr>
          <w:p w14:paraId="0128E6CA"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0.54</w:t>
            </w:r>
          </w:p>
        </w:tc>
      </w:tr>
      <w:tr w:rsidR="004E3C9B" w:rsidRPr="004E3C9B" w14:paraId="43881D03"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0FF7726D"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7</w:t>
            </w:r>
          </w:p>
        </w:tc>
        <w:tc>
          <w:tcPr>
            <w:tcW w:w="1957" w:type="dxa"/>
            <w:tcBorders>
              <w:top w:val="nil"/>
              <w:left w:val="single" w:sz="4" w:space="0" w:color="auto"/>
              <w:bottom w:val="nil"/>
              <w:right w:val="single" w:sz="4" w:space="0" w:color="auto"/>
            </w:tcBorders>
            <w:shd w:val="clear" w:color="auto" w:fill="auto"/>
            <w:vAlign w:val="center"/>
          </w:tcPr>
          <w:p w14:paraId="22ED72BD"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CEMEX</w:t>
            </w:r>
          </w:p>
        </w:tc>
        <w:tc>
          <w:tcPr>
            <w:tcW w:w="1418" w:type="dxa"/>
            <w:tcBorders>
              <w:top w:val="nil"/>
              <w:left w:val="single" w:sz="4" w:space="0" w:color="auto"/>
              <w:bottom w:val="nil"/>
              <w:right w:val="single" w:sz="4" w:space="0" w:color="auto"/>
            </w:tcBorders>
            <w:shd w:val="clear" w:color="auto" w:fill="auto"/>
            <w:vAlign w:val="center"/>
          </w:tcPr>
          <w:p w14:paraId="0A57822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CPO</w:t>
            </w:r>
          </w:p>
        </w:tc>
        <w:tc>
          <w:tcPr>
            <w:tcW w:w="2415" w:type="dxa"/>
            <w:tcBorders>
              <w:top w:val="nil"/>
              <w:left w:val="single" w:sz="4" w:space="0" w:color="auto"/>
              <w:bottom w:val="nil"/>
              <w:right w:val="single" w:sz="4" w:space="0" w:color="auto"/>
            </w:tcBorders>
            <w:shd w:val="clear" w:color="auto" w:fill="auto"/>
            <w:vAlign w:val="center"/>
          </w:tcPr>
          <w:p w14:paraId="5A291148"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12 283 988 994</w:t>
            </w:r>
          </w:p>
        </w:tc>
        <w:tc>
          <w:tcPr>
            <w:tcW w:w="1564" w:type="dxa"/>
            <w:tcBorders>
              <w:top w:val="nil"/>
              <w:left w:val="single" w:sz="4" w:space="0" w:color="auto"/>
              <w:bottom w:val="nil"/>
              <w:right w:val="single" w:sz="4" w:space="0" w:color="auto"/>
            </w:tcBorders>
            <w:shd w:val="clear" w:color="auto" w:fill="auto"/>
            <w:vAlign w:val="center"/>
          </w:tcPr>
          <w:p w14:paraId="7488EA0E"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9.27</w:t>
            </w:r>
          </w:p>
        </w:tc>
      </w:tr>
      <w:tr w:rsidR="004E3C9B" w:rsidRPr="004E3C9B" w14:paraId="1F659BD7"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57CDD4B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8</w:t>
            </w:r>
          </w:p>
        </w:tc>
        <w:tc>
          <w:tcPr>
            <w:tcW w:w="1957" w:type="dxa"/>
            <w:tcBorders>
              <w:top w:val="nil"/>
              <w:left w:val="single" w:sz="4" w:space="0" w:color="auto"/>
              <w:bottom w:val="nil"/>
              <w:right w:val="single" w:sz="4" w:space="0" w:color="auto"/>
            </w:tcBorders>
            <w:shd w:val="clear" w:color="auto" w:fill="auto"/>
            <w:vAlign w:val="center"/>
          </w:tcPr>
          <w:p w14:paraId="0E66DF3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FEMSA</w:t>
            </w:r>
          </w:p>
        </w:tc>
        <w:tc>
          <w:tcPr>
            <w:tcW w:w="1418" w:type="dxa"/>
            <w:tcBorders>
              <w:top w:val="nil"/>
              <w:left w:val="single" w:sz="4" w:space="0" w:color="auto"/>
              <w:bottom w:val="nil"/>
              <w:right w:val="single" w:sz="4" w:space="0" w:color="auto"/>
            </w:tcBorders>
            <w:shd w:val="clear" w:color="auto" w:fill="auto"/>
            <w:vAlign w:val="center"/>
          </w:tcPr>
          <w:p w14:paraId="1B8D9C7E"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UBD</w:t>
            </w:r>
          </w:p>
        </w:tc>
        <w:tc>
          <w:tcPr>
            <w:tcW w:w="2415" w:type="dxa"/>
            <w:tcBorders>
              <w:top w:val="nil"/>
              <w:left w:val="single" w:sz="4" w:space="0" w:color="auto"/>
              <w:bottom w:val="nil"/>
              <w:right w:val="single" w:sz="4" w:space="0" w:color="auto"/>
            </w:tcBorders>
            <w:shd w:val="clear" w:color="auto" w:fill="auto"/>
            <w:vAlign w:val="center"/>
          </w:tcPr>
          <w:p w14:paraId="22B95602"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1 352 299 840</w:t>
            </w:r>
          </w:p>
        </w:tc>
        <w:tc>
          <w:tcPr>
            <w:tcW w:w="1564" w:type="dxa"/>
            <w:tcBorders>
              <w:top w:val="nil"/>
              <w:left w:val="single" w:sz="4" w:space="0" w:color="auto"/>
              <w:bottom w:val="nil"/>
              <w:right w:val="single" w:sz="4" w:space="0" w:color="auto"/>
            </w:tcBorders>
            <w:shd w:val="clear" w:color="auto" w:fill="auto"/>
            <w:vAlign w:val="center"/>
          </w:tcPr>
          <w:p w14:paraId="3B254219"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4DA8BD6F"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18184A0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9</w:t>
            </w:r>
          </w:p>
        </w:tc>
        <w:tc>
          <w:tcPr>
            <w:tcW w:w="1957" w:type="dxa"/>
            <w:tcBorders>
              <w:top w:val="nil"/>
              <w:left w:val="single" w:sz="4" w:space="0" w:color="auto"/>
              <w:bottom w:val="nil"/>
              <w:right w:val="single" w:sz="4" w:space="0" w:color="auto"/>
            </w:tcBorders>
            <w:shd w:val="clear" w:color="auto" w:fill="auto"/>
            <w:vAlign w:val="center"/>
          </w:tcPr>
          <w:p w14:paraId="76DC5D28"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GAP</w:t>
            </w:r>
          </w:p>
        </w:tc>
        <w:tc>
          <w:tcPr>
            <w:tcW w:w="1418" w:type="dxa"/>
            <w:tcBorders>
              <w:top w:val="nil"/>
              <w:left w:val="single" w:sz="4" w:space="0" w:color="auto"/>
              <w:bottom w:val="nil"/>
              <w:right w:val="single" w:sz="4" w:space="0" w:color="auto"/>
            </w:tcBorders>
            <w:shd w:val="clear" w:color="auto" w:fill="auto"/>
            <w:vAlign w:val="center"/>
          </w:tcPr>
          <w:p w14:paraId="7EEEC25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B</w:t>
            </w:r>
          </w:p>
        </w:tc>
        <w:tc>
          <w:tcPr>
            <w:tcW w:w="2415" w:type="dxa"/>
            <w:tcBorders>
              <w:top w:val="nil"/>
              <w:left w:val="single" w:sz="4" w:space="0" w:color="auto"/>
              <w:bottom w:val="nil"/>
              <w:right w:val="single" w:sz="4" w:space="0" w:color="auto"/>
            </w:tcBorders>
            <w:shd w:val="clear" w:color="auto" w:fill="auto"/>
            <w:vAlign w:val="center"/>
          </w:tcPr>
          <w:p w14:paraId="28A2525B"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262 267 500</w:t>
            </w:r>
          </w:p>
        </w:tc>
        <w:tc>
          <w:tcPr>
            <w:tcW w:w="1564" w:type="dxa"/>
            <w:tcBorders>
              <w:top w:val="nil"/>
              <w:left w:val="single" w:sz="4" w:space="0" w:color="auto"/>
              <w:bottom w:val="nil"/>
              <w:right w:val="single" w:sz="4" w:space="0" w:color="auto"/>
            </w:tcBorders>
            <w:shd w:val="clear" w:color="auto" w:fill="auto"/>
            <w:vAlign w:val="center"/>
          </w:tcPr>
          <w:p w14:paraId="763E434C"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1.37</w:t>
            </w:r>
          </w:p>
        </w:tc>
      </w:tr>
      <w:tr w:rsidR="004E3C9B" w:rsidRPr="004E3C9B" w14:paraId="0BC911C8"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5D782AD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10</w:t>
            </w:r>
          </w:p>
        </w:tc>
        <w:tc>
          <w:tcPr>
            <w:tcW w:w="1957" w:type="dxa"/>
            <w:tcBorders>
              <w:top w:val="nil"/>
              <w:left w:val="single" w:sz="4" w:space="0" w:color="auto"/>
              <w:bottom w:val="nil"/>
              <w:right w:val="single" w:sz="4" w:space="0" w:color="auto"/>
            </w:tcBorders>
            <w:shd w:val="clear" w:color="auto" w:fill="auto"/>
            <w:vAlign w:val="center"/>
          </w:tcPr>
          <w:p w14:paraId="6611041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GENTERA</w:t>
            </w:r>
          </w:p>
        </w:tc>
        <w:tc>
          <w:tcPr>
            <w:tcW w:w="1418" w:type="dxa"/>
            <w:tcBorders>
              <w:top w:val="nil"/>
              <w:left w:val="single" w:sz="4" w:space="0" w:color="auto"/>
              <w:bottom w:val="nil"/>
              <w:right w:val="single" w:sz="4" w:space="0" w:color="auto"/>
            </w:tcBorders>
            <w:shd w:val="clear" w:color="auto" w:fill="auto"/>
            <w:vAlign w:val="center"/>
          </w:tcPr>
          <w:p w14:paraId="35D72C8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w:t>
            </w:r>
          </w:p>
        </w:tc>
        <w:tc>
          <w:tcPr>
            <w:tcW w:w="2415" w:type="dxa"/>
            <w:tcBorders>
              <w:top w:val="nil"/>
              <w:left w:val="single" w:sz="4" w:space="0" w:color="auto"/>
              <w:bottom w:val="nil"/>
              <w:right w:val="single" w:sz="4" w:space="0" w:color="auto"/>
            </w:tcBorders>
            <w:shd w:val="clear" w:color="auto" w:fill="auto"/>
            <w:vAlign w:val="center"/>
          </w:tcPr>
          <w:p w14:paraId="1AD494D5"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906 516 345</w:t>
            </w:r>
          </w:p>
        </w:tc>
        <w:tc>
          <w:tcPr>
            <w:tcW w:w="1564" w:type="dxa"/>
            <w:tcBorders>
              <w:top w:val="nil"/>
              <w:left w:val="single" w:sz="4" w:space="0" w:color="auto"/>
              <w:bottom w:val="nil"/>
              <w:right w:val="single" w:sz="4" w:space="0" w:color="auto"/>
            </w:tcBorders>
            <w:shd w:val="clear" w:color="auto" w:fill="auto"/>
            <w:vAlign w:val="center"/>
          </w:tcPr>
          <w:p w14:paraId="685E7C07"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1.33</w:t>
            </w:r>
          </w:p>
        </w:tc>
      </w:tr>
      <w:tr w:rsidR="004E3C9B" w:rsidRPr="004E3C9B" w14:paraId="0F42D489"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3BBBD51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11</w:t>
            </w:r>
          </w:p>
        </w:tc>
        <w:tc>
          <w:tcPr>
            <w:tcW w:w="1957" w:type="dxa"/>
            <w:tcBorders>
              <w:top w:val="nil"/>
              <w:left w:val="single" w:sz="4" w:space="0" w:color="auto"/>
              <w:bottom w:val="nil"/>
              <w:right w:val="single" w:sz="4" w:space="0" w:color="auto"/>
            </w:tcBorders>
            <w:shd w:val="clear" w:color="auto" w:fill="auto"/>
            <w:vAlign w:val="center"/>
          </w:tcPr>
          <w:p w14:paraId="2FEA8602"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GFINBUR</w:t>
            </w:r>
          </w:p>
        </w:tc>
        <w:tc>
          <w:tcPr>
            <w:tcW w:w="1418" w:type="dxa"/>
            <w:tcBorders>
              <w:top w:val="nil"/>
              <w:left w:val="single" w:sz="4" w:space="0" w:color="auto"/>
              <w:bottom w:val="nil"/>
              <w:right w:val="single" w:sz="4" w:space="0" w:color="auto"/>
            </w:tcBorders>
            <w:shd w:val="clear" w:color="auto" w:fill="auto"/>
            <w:vAlign w:val="center"/>
          </w:tcPr>
          <w:p w14:paraId="5323CC7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O</w:t>
            </w:r>
          </w:p>
        </w:tc>
        <w:tc>
          <w:tcPr>
            <w:tcW w:w="2415" w:type="dxa"/>
            <w:tcBorders>
              <w:top w:val="nil"/>
              <w:left w:val="single" w:sz="4" w:space="0" w:color="auto"/>
              <w:bottom w:val="nil"/>
              <w:right w:val="single" w:sz="4" w:space="0" w:color="auto"/>
            </w:tcBorders>
            <w:shd w:val="clear" w:color="auto" w:fill="auto"/>
            <w:vAlign w:val="center"/>
          </w:tcPr>
          <w:p w14:paraId="1F681E51"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1 666 756 987</w:t>
            </w:r>
          </w:p>
        </w:tc>
        <w:tc>
          <w:tcPr>
            <w:tcW w:w="1564" w:type="dxa"/>
            <w:tcBorders>
              <w:top w:val="nil"/>
              <w:left w:val="single" w:sz="4" w:space="0" w:color="auto"/>
              <w:bottom w:val="nil"/>
              <w:right w:val="single" w:sz="4" w:space="0" w:color="auto"/>
            </w:tcBorders>
            <w:shd w:val="clear" w:color="auto" w:fill="auto"/>
            <w:vAlign w:val="center"/>
          </w:tcPr>
          <w:p w14:paraId="785FD387"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3.50</w:t>
            </w:r>
          </w:p>
        </w:tc>
      </w:tr>
      <w:tr w:rsidR="004E3C9B" w:rsidRPr="004E3C9B" w14:paraId="4413F422"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11E0543A"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12</w:t>
            </w:r>
          </w:p>
        </w:tc>
        <w:tc>
          <w:tcPr>
            <w:tcW w:w="1957" w:type="dxa"/>
            <w:tcBorders>
              <w:top w:val="nil"/>
              <w:left w:val="single" w:sz="4" w:space="0" w:color="auto"/>
              <w:bottom w:val="nil"/>
              <w:right w:val="single" w:sz="4" w:space="0" w:color="auto"/>
            </w:tcBorders>
            <w:shd w:val="clear" w:color="auto" w:fill="auto"/>
            <w:vAlign w:val="center"/>
          </w:tcPr>
          <w:p w14:paraId="660C0158"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GFNORTE</w:t>
            </w:r>
          </w:p>
        </w:tc>
        <w:tc>
          <w:tcPr>
            <w:tcW w:w="1418" w:type="dxa"/>
            <w:tcBorders>
              <w:top w:val="nil"/>
              <w:left w:val="single" w:sz="4" w:space="0" w:color="auto"/>
              <w:bottom w:val="nil"/>
              <w:right w:val="single" w:sz="4" w:space="0" w:color="auto"/>
            </w:tcBorders>
            <w:shd w:val="clear" w:color="auto" w:fill="auto"/>
            <w:vAlign w:val="center"/>
          </w:tcPr>
          <w:p w14:paraId="759C89B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O</w:t>
            </w:r>
          </w:p>
        </w:tc>
        <w:tc>
          <w:tcPr>
            <w:tcW w:w="2415" w:type="dxa"/>
            <w:tcBorders>
              <w:top w:val="nil"/>
              <w:left w:val="single" w:sz="4" w:space="0" w:color="auto"/>
              <w:bottom w:val="nil"/>
              <w:right w:val="single" w:sz="4" w:space="0" w:color="auto"/>
            </w:tcBorders>
            <w:shd w:val="clear" w:color="auto" w:fill="auto"/>
            <w:vAlign w:val="center"/>
          </w:tcPr>
          <w:p w14:paraId="115C689C"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2 174 419 920</w:t>
            </w:r>
          </w:p>
        </w:tc>
        <w:tc>
          <w:tcPr>
            <w:tcW w:w="1564" w:type="dxa"/>
            <w:tcBorders>
              <w:top w:val="nil"/>
              <w:left w:val="single" w:sz="4" w:space="0" w:color="auto"/>
              <w:bottom w:val="nil"/>
              <w:right w:val="single" w:sz="4" w:space="0" w:color="auto"/>
            </w:tcBorders>
            <w:shd w:val="clear" w:color="auto" w:fill="auto"/>
            <w:vAlign w:val="center"/>
          </w:tcPr>
          <w:p w14:paraId="2125D974"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5BC6A55D"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4C8990A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13</w:t>
            </w:r>
          </w:p>
        </w:tc>
        <w:tc>
          <w:tcPr>
            <w:tcW w:w="1957" w:type="dxa"/>
            <w:tcBorders>
              <w:top w:val="nil"/>
              <w:left w:val="single" w:sz="4" w:space="0" w:color="auto"/>
              <w:bottom w:val="nil"/>
              <w:right w:val="single" w:sz="4" w:space="0" w:color="auto"/>
            </w:tcBorders>
            <w:shd w:val="clear" w:color="auto" w:fill="auto"/>
            <w:vAlign w:val="center"/>
          </w:tcPr>
          <w:p w14:paraId="547EF10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GMEXICO</w:t>
            </w:r>
          </w:p>
        </w:tc>
        <w:tc>
          <w:tcPr>
            <w:tcW w:w="1418" w:type="dxa"/>
            <w:tcBorders>
              <w:top w:val="nil"/>
              <w:left w:val="single" w:sz="4" w:space="0" w:color="auto"/>
              <w:bottom w:val="nil"/>
              <w:right w:val="single" w:sz="4" w:space="0" w:color="auto"/>
            </w:tcBorders>
            <w:shd w:val="clear" w:color="auto" w:fill="auto"/>
            <w:vAlign w:val="center"/>
          </w:tcPr>
          <w:p w14:paraId="24F20A70"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B</w:t>
            </w:r>
          </w:p>
        </w:tc>
        <w:tc>
          <w:tcPr>
            <w:tcW w:w="2415" w:type="dxa"/>
            <w:tcBorders>
              <w:top w:val="nil"/>
              <w:left w:val="single" w:sz="4" w:space="0" w:color="auto"/>
              <w:bottom w:val="nil"/>
              <w:right w:val="single" w:sz="4" w:space="0" w:color="auto"/>
            </w:tcBorders>
            <w:shd w:val="clear" w:color="auto" w:fill="auto"/>
            <w:vAlign w:val="center"/>
          </w:tcPr>
          <w:p w14:paraId="7487438D"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4 124 911 989</w:t>
            </w:r>
          </w:p>
        </w:tc>
        <w:tc>
          <w:tcPr>
            <w:tcW w:w="1564" w:type="dxa"/>
            <w:tcBorders>
              <w:top w:val="nil"/>
              <w:left w:val="single" w:sz="4" w:space="0" w:color="auto"/>
              <w:bottom w:val="nil"/>
              <w:right w:val="single" w:sz="4" w:space="0" w:color="auto"/>
            </w:tcBorders>
            <w:shd w:val="clear" w:color="auto" w:fill="auto"/>
            <w:vAlign w:val="center"/>
          </w:tcPr>
          <w:p w14:paraId="04376266"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46872A50"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6EC2D778"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14</w:t>
            </w:r>
          </w:p>
        </w:tc>
        <w:tc>
          <w:tcPr>
            <w:tcW w:w="1957" w:type="dxa"/>
            <w:tcBorders>
              <w:top w:val="nil"/>
              <w:left w:val="single" w:sz="4" w:space="0" w:color="auto"/>
              <w:bottom w:val="nil"/>
              <w:right w:val="single" w:sz="4" w:space="0" w:color="auto"/>
            </w:tcBorders>
            <w:shd w:val="clear" w:color="auto" w:fill="auto"/>
            <w:vAlign w:val="center"/>
          </w:tcPr>
          <w:p w14:paraId="43D10C02"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KIMBER</w:t>
            </w:r>
          </w:p>
        </w:tc>
        <w:tc>
          <w:tcPr>
            <w:tcW w:w="1418" w:type="dxa"/>
            <w:tcBorders>
              <w:top w:val="nil"/>
              <w:left w:val="single" w:sz="4" w:space="0" w:color="auto"/>
              <w:bottom w:val="nil"/>
              <w:right w:val="single" w:sz="4" w:space="0" w:color="auto"/>
            </w:tcBorders>
            <w:shd w:val="clear" w:color="auto" w:fill="auto"/>
            <w:vAlign w:val="center"/>
          </w:tcPr>
          <w:p w14:paraId="45C6747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A</w:t>
            </w:r>
          </w:p>
        </w:tc>
        <w:tc>
          <w:tcPr>
            <w:tcW w:w="2415" w:type="dxa"/>
            <w:tcBorders>
              <w:top w:val="nil"/>
              <w:left w:val="single" w:sz="4" w:space="0" w:color="auto"/>
              <w:bottom w:val="nil"/>
              <w:right w:val="single" w:sz="4" w:space="0" w:color="auto"/>
            </w:tcBorders>
            <w:shd w:val="clear" w:color="auto" w:fill="auto"/>
            <w:vAlign w:val="center"/>
          </w:tcPr>
          <w:p w14:paraId="696F5EA9"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1 450 328 904</w:t>
            </w:r>
          </w:p>
        </w:tc>
        <w:tc>
          <w:tcPr>
            <w:tcW w:w="1564" w:type="dxa"/>
            <w:tcBorders>
              <w:top w:val="nil"/>
              <w:left w:val="single" w:sz="4" w:space="0" w:color="auto"/>
              <w:bottom w:val="nil"/>
              <w:right w:val="single" w:sz="4" w:space="0" w:color="auto"/>
            </w:tcBorders>
            <w:shd w:val="clear" w:color="auto" w:fill="auto"/>
            <w:vAlign w:val="center"/>
          </w:tcPr>
          <w:p w14:paraId="708F5A46"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2.37</w:t>
            </w:r>
          </w:p>
        </w:tc>
      </w:tr>
      <w:tr w:rsidR="004E3C9B" w:rsidRPr="004E3C9B" w14:paraId="1A23041A"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4A6F14B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15</w:t>
            </w:r>
          </w:p>
        </w:tc>
        <w:tc>
          <w:tcPr>
            <w:tcW w:w="1957" w:type="dxa"/>
            <w:tcBorders>
              <w:top w:val="nil"/>
              <w:left w:val="single" w:sz="4" w:space="0" w:color="auto"/>
              <w:bottom w:val="nil"/>
              <w:right w:val="single" w:sz="4" w:space="0" w:color="auto"/>
            </w:tcBorders>
            <w:shd w:val="clear" w:color="auto" w:fill="auto"/>
            <w:vAlign w:val="center"/>
          </w:tcPr>
          <w:p w14:paraId="227A2ED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KOF</w:t>
            </w:r>
          </w:p>
        </w:tc>
        <w:tc>
          <w:tcPr>
            <w:tcW w:w="1418" w:type="dxa"/>
            <w:tcBorders>
              <w:top w:val="nil"/>
              <w:left w:val="single" w:sz="4" w:space="0" w:color="auto"/>
              <w:bottom w:val="nil"/>
              <w:right w:val="single" w:sz="4" w:space="0" w:color="auto"/>
            </w:tcBorders>
            <w:shd w:val="clear" w:color="auto" w:fill="auto"/>
            <w:vAlign w:val="center"/>
          </w:tcPr>
          <w:p w14:paraId="44637B5E"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L</w:t>
            </w:r>
          </w:p>
        </w:tc>
        <w:tc>
          <w:tcPr>
            <w:tcW w:w="2415" w:type="dxa"/>
            <w:tcBorders>
              <w:top w:val="nil"/>
              <w:left w:val="single" w:sz="4" w:space="0" w:color="auto"/>
              <w:bottom w:val="nil"/>
              <w:right w:val="single" w:sz="4" w:space="0" w:color="auto"/>
            </w:tcBorders>
            <w:shd w:val="clear" w:color="auto" w:fill="auto"/>
            <w:vAlign w:val="center"/>
          </w:tcPr>
          <w:p w14:paraId="3780A4C2"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497 298 032</w:t>
            </w:r>
          </w:p>
        </w:tc>
        <w:tc>
          <w:tcPr>
            <w:tcW w:w="1564" w:type="dxa"/>
            <w:tcBorders>
              <w:top w:val="nil"/>
              <w:left w:val="single" w:sz="4" w:space="0" w:color="auto"/>
              <w:bottom w:val="nil"/>
              <w:right w:val="single" w:sz="4" w:space="0" w:color="auto"/>
            </w:tcBorders>
            <w:shd w:val="clear" w:color="auto" w:fill="auto"/>
            <w:vAlign w:val="center"/>
          </w:tcPr>
          <w:p w14:paraId="5D3D779F"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3.21</w:t>
            </w:r>
          </w:p>
        </w:tc>
      </w:tr>
      <w:tr w:rsidR="004E3C9B" w:rsidRPr="004E3C9B" w14:paraId="18FA57F9"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4C611E27"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16</w:t>
            </w:r>
          </w:p>
        </w:tc>
        <w:tc>
          <w:tcPr>
            <w:tcW w:w="1957" w:type="dxa"/>
            <w:tcBorders>
              <w:top w:val="nil"/>
              <w:left w:val="single" w:sz="4" w:space="0" w:color="auto"/>
              <w:bottom w:val="nil"/>
              <w:right w:val="single" w:sz="4" w:space="0" w:color="auto"/>
            </w:tcBorders>
            <w:shd w:val="clear" w:color="auto" w:fill="auto"/>
            <w:vAlign w:val="center"/>
          </w:tcPr>
          <w:p w14:paraId="44CEADA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MEXCHEM</w:t>
            </w:r>
          </w:p>
        </w:tc>
        <w:tc>
          <w:tcPr>
            <w:tcW w:w="1418" w:type="dxa"/>
            <w:tcBorders>
              <w:top w:val="nil"/>
              <w:left w:val="single" w:sz="4" w:space="0" w:color="auto"/>
              <w:bottom w:val="nil"/>
              <w:right w:val="single" w:sz="4" w:space="0" w:color="auto"/>
            </w:tcBorders>
            <w:shd w:val="clear" w:color="auto" w:fill="auto"/>
            <w:vAlign w:val="center"/>
          </w:tcPr>
          <w:p w14:paraId="47E9110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w:t>
            </w:r>
          </w:p>
        </w:tc>
        <w:tc>
          <w:tcPr>
            <w:tcW w:w="2415" w:type="dxa"/>
            <w:tcBorders>
              <w:top w:val="nil"/>
              <w:left w:val="single" w:sz="4" w:space="0" w:color="auto"/>
              <w:bottom w:val="nil"/>
              <w:right w:val="single" w:sz="4" w:space="0" w:color="auto"/>
            </w:tcBorders>
            <w:shd w:val="clear" w:color="auto" w:fill="auto"/>
            <w:vAlign w:val="center"/>
          </w:tcPr>
          <w:p w14:paraId="533EEAD8"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945 000 000</w:t>
            </w:r>
          </w:p>
        </w:tc>
        <w:tc>
          <w:tcPr>
            <w:tcW w:w="1564" w:type="dxa"/>
            <w:tcBorders>
              <w:top w:val="nil"/>
              <w:left w:val="single" w:sz="4" w:space="0" w:color="auto"/>
              <w:bottom w:val="nil"/>
              <w:right w:val="single" w:sz="4" w:space="0" w:color="auto"/>
            </w:tcBorders>
            <w:shd w:val="clear" w:color="auto" w:fill="auto"/>
            <w:vAlign w:val="center"/>
          </w:tcPr>
          <w:p w14:paraId="2FC44E3D"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2.07</w:t>
            </w:r>
          </w:p>
        </w:tc>
      </w:tr>
      <w:tr w:rsidR="004E3C9B" w:rsidRPr="004E3C9B" w14:paraId="1FD1046F"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570DAED1"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17</w:t>
            </w:r>
          </w:p>
        </w:tc>
        <w:tc>
          <w:tcPr>
            <w:tcW w:w="1957" w:type="dxa"/>
            <w:tcBorders>
              <w:top w:val="nil"/>
              <w:left w:val="single" w:sz="4" w:space="0" w:color="auto"/>
              <w:bottom w:val="nil"/>
              <w:right w:val="single" w:sz="4" w:space="0" w:color="auto"/>
            </w:tcBorders>
            <w:shd w:val="clear" w:color="auto" w:fill="auto"/>
            <w:vAlign w:val="center"/>
          </w:tcPr>
          <w:p w14:paraId="42F86D14"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PE&amp;OLES</w:t>
            </w:r>
          </w:p>
        </w:tc>
        <w:tc>
          <w:tcPr>
            <w:tcW w:w="1418" w:type="dxa"/>
            <w:tcBorders>
              <w:top w:val="nil"/>
              <w:left w:val="single" w:sz="4" w:space="0" w:color="auto"/>
              <w:bottom w:val="nil"/>
              <w:right w:val="single" w:sz="4" w:space="0" w:color="auto"/>
            </w:tcBorders>
            <w:shd w:val="clear" w:color="auto" w:fill="auto"/>
            <w:vAlign w:val="center"/>
          </w:tcPr>
          <w:p w14:paraId="4F7D7A59"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w:t>
            </w:r>
          </w:p>
        </w:tc>
        <w:tc>
          <w:tcPr>
            <w:tcW w:w="2415" w:type="dxa"/>
            <w:tcBorders>
              <w:top w:val="nil"/>
              <w:left w:val="single" w:sz="4" w:space="0" w:color="auto"/>
              <w:bottom w:val="nil"/>
              <w:right w:val="single" w:sz="4" w:space="0" w:color="auto"/>
            </w:tcBorders>
            <w:shd w:val="clear" w:color="auto" w:fill="auto"/>
            <w:vAlign w:val="center"/>
          </w:tcPr>
          <w:p w14:paraId="1BCB7942"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99 368 937</w:t>
            </w:r>
          </w:p>
        </w:tc>
        <w:tc>
          <w:tcPr>
            <w:tcW w:w="1564" w:type="dxa"/>
            <w:tcBorders>
              <w:top w:val="nil"/>
              <w:left w:val="single" w:sz="4" w:space="0" w:color="auto"/>
              <w:bottom w:val="nil"/>
              <w:right w:val="single" w:sz="4" w:space="0" w:color="auto"/>
            </w:tcBorders>
            <w:shd w:val="clear" w:color="auto" w:fill="auto"/>
            <w:vAlign w:val="center"/>
          </w:tcPr>
          <w:p w14:paraId="67F7930B"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1.40</w:t>
            </w:r>
          </w:p>
        </w:tc>
      </w:tr>
      <w:tr w:rsidR="004E3C9B" w:rsidRPr="004E3C9B" w14:paraId="60F9F027"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30A3DE5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18</w:t>
            </w:r>
          </w:p>
        </w:tc>
        <w:tc>
          <w:tcPr>
            <w:tcW w:w="1957" w:type="dxa"/>
            <w:tcBorders>
              <w:top w:val="nil"/>
              <w:left w:val="single" w:sz="4" w:space="0" w:color="auto"/>
              <w:bottom w:val="nil"/>
              <w:right w:val="single" w:sz="4" w:space="0" w:color="auto"/>
            </w:tcBorders>
            <w:shd w:val="clear" w:color="auto" w:fill="auto"/>
            <w:vAlign w:val="center"/>
          </w:tcPr>
          <w:p w14:paraId="19952BB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SANMEX</w:t>
            </w:r>
          </w:p>
        </w:tc>
        <w:tc>
          <w:tcPr>
            <w:tcW w:w="1418" w:type="dxa"/>
            <w:tcBorders>
              <w:top w:val="nil"/>
              <w:left w:val="single" w:sz="4" w:space="0" w:color="auto"/>
              <w:bottom w:val="nil"/>
              <w:right w:val="single" w:sz="4" w:space="0" w:color="auto"/>
            </w:tcBorders>
            <w:shd w:val="clear" w:color="auto" w:fill="auto"/>
            <w:vAlign w:val="center"/>
          </w:tcPr>
          <w:p w14:paraId="0ABAADE0"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B</w:t>
            </w:r>
          </w:p>
        </w:tc>
        <w:tc>
          <w:tcPr>
            <w:tcW w:w="2415" w:type="dxa"/>
            <w:tcBorders>
              <w:top w:val="nil"/>
              <w:left w:val="single" w:sz="4" w:space="0" w:color="auto"/>
              <w:bottom w:val="nil"/>
              <w:right w:val="single" w:sz="4" w:space="0" w:color="auto"/>
            </w:tcBorders>
            <w:shd w:val="clear" w:color="auto" w:fill="auto"/>
            <w:vAlign w:val="center"/>
          </w:tcPr>
          <w:p w14:paraId="36AD2C2A"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1 827 147 172</w:t>
            </w:r>
          </w:p>
        </w:tc>
        <w:tc>
          <w:tcPr>
            <w:tcW w:w="1564" w:type="dxa"/>
            <w:tcBorders>
              <w:top w:val="nil"/>
              <w:left w:val="single" w:sz="4" w:space="0" w:color="auto"/>
              <w:bottom w:val="nil"/>
              <w:right w:val="single" w:sz="4" w:space="0" w:color="auto"/>
            </w:tcBorders>
            <w:shd w:val="clear" w:color="auto" w:fill="auto"/>
            <w:vAlign w:val="center"/>
          </w:tcPr>
          <w:p w14:paraId="2C840D2B"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3.28</w:t>
            </w:r>
          </w:p>
        </w:tc>
      </w:tr>
      <w:tr w:rsidR="004E3C9B" w:rsidRPr="004E3C9B" w14:paraId="4B12F835" w14:textId="77777777" w:rsidTr="004E3C9B">
        <w:trPr>
          <w:trHeight w:val="93"/>
          <w:jc w:val="center"/>
        </w:trPr>
        <w:tc>
          <w:tcPr>
            <w:tcW w:w="986" w:type="dxa"/>
            <w:tcBorders>
              <w:top w:val="nil"/>
              <w:left w:val="single" w:sz="4" w:space="0" w:color="auto"/>
              <w:bottom w:val="nil"/>
              <w:right w:val="single" w:sz="4" w:space="0" w:color="auto"/>
            </w:tcBorders>
            <w:shd w:val="clear" w:color="auto" w:fill="auto"/>
            <w:vAlign w:val="center"/>
          </w:tcPr>
          <w:p w14:paraId="6F7EF795"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19</w:t>
            </w:r>
          </w:p>
        </w:tc>
        <w:tc>
          <w:tcPr>
            <w:tcW w:w="1957" w:type="dxa"/>
            <w:tcBorders>
              <w:top w:val="nil"/>
              <w:left w:val="single" w:sz="4" w:space="0" w:color="auto"/>
              <w:bottom w:val="nil"/>
              <w:right w:val="single" w:sz="4" w:space="0" w:color="auto"/>
            </w:tcBorders>
            <w:shd w:val="clear" w:color="auto" w:fill="auto"/>
            <w:vAlign w:val="center"/>
          </w:tcPr>
          <w:p w14:paraId="74ED1326"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TLEVISA</w:t>
            </w:r>
          </w:p>
        </w:tc>
        <w:tc>
          <w:tcPr>
            <w:tcW w:w="1418" w:type="dxa"/>
            <w:tcBorders>
              <w:top w:val="nil"/>
              <w:left w:val="single" w:sz="4" w:space="0" w:color="auto"/>
              <w:bottom w:val="nil"/>
              <w:right w:val="single" w:sz="4" w:space="0" w:color="auto"/>
            </w:tcBorders>
            <w:shd w:val="clear" w:color="auto" w:fill="auto"/>
            <w:vAlign w:val="center"/>
          </w:tcPr>
          <w:p w14:paraId="46049B1B" w14:textId="77777777" w:rsidR="004E3C9B" w:rsidRPr="004E3C9B" w:rsidRDefault="004E3C9B" w:rsidP="004E3C9B">
            <w:pPr>
              <w:autoSpaceDE w:val="0"/>
              <w:autoSpaceDN w:val="0"/>
              <w:adjustRightInd w:val="0"/>
              <w:spacing w:before="40" w:after="40"/>
              <w:jc w:val="center"/>
              <w:rPr>
                <w:rFonts w:eastAsia="Calibri"/>
                <w:sz w:val="20"/>
                <w:szCs w:val="20"/>
                <w:lang w:eastAsia="en-US"/>
              </w:rPr>
            </w:pPr>
            <w:r w:rsidRPr="004E3C9B">
              <w:rPr>
                <w:rFonts w:eastAsia="Calibri"/>
                <w:sz w:val="20"/>
                <w:szCs w:val="20"/>
                <w:lang w:eastAsia="en-US"/>
              </w:rPr>
              <w:t>CPO</w:t>
            </w:r>
          </w:p>
        </w:tc>
        <w:tc>
          <w:tcPr>
            <w:tcW w:w="2415" w:type="dxa"/>
            <w:tcBorders>
              <w:top w:val="nil"/>
              <w:left w:val="single" w:sz="4" w:space="0" w:color="auto"/>
              <w:bottom w:val="nil"/>
              <w:right w:val="single" w:sz="4" w:space="0" w:color="auto"/>
            </w:tcBorders>
            <w:shd w:val="clear" w:color="auto" w:fill="auto"/>
            <w:vAlign w:val="center"/>
          </w:tcPr>
          <w:p w14:paraId="39BF2FDA"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1 828 914 062</w:t>
            </w:r>
          </w:p>
        </w:tc>
        <w:tc>
          <w:tcPr>
            <w:tcW w:w="1564" w:type="dxa"/>
            <w:tcBorders>
              <w:top w:val="nil"/>
              <w:left w:val="single" w:sz="4" w:space="0" w:color="auto"/>
              <w:bottom w:val="nil"/>
              <w:right w:val="single" w:sz="4" w:space="0" w:color="auto"/>
            </w:tcBorders>
            <w:shd w:val="clear" w:color="auto" w:fill="auto"/>
            <w:vAlign w:val="center"/>
          </w:tcPr>
          <w:p w14:paraId="769B9E40"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300BFF7A" w14:textId="77777777" w:rsidTr="004E3C9B">
        <w:trPr>
          <w:trHeight w:val="93"/>
          <w:jc w:val="center"/>
        </w:trPr>
        <w:tc>
          <w:tcPr>
            <w:tcW w:w="986" w:type="dxa"/>
            <w:tcBorders>
              <w:top w:val="nil"/>
              <w:left w:val="single" w:sz="4" w:space="0" w:color="auto"/>
              <w:bottom w:val="single" w:sz="4" w:space="0" w:color="auto"/>
              <w:right w:val="single" w:sz="4" w:space="0" w:color="auto"/>
            </w:tcBorders>
            <w:shd w:val="clear" w:color="auto" w:fill="auto"/>
            <w:vAlign w:val="center"/>
          </w:tcPr>
          <w:p w14:paraId="31C8E5F1" w14:textId="77777777" w:rsidR="004E3C9B" w:rsidRPr="004E3C9B" w:rsidRDefault="004E3C9B" w:rsidP="004E3C9B">
            <w:pPr>
              <w:autoSpaceDE w:val="0"/>
              <w:autoSpaceDN w:val="0"/>
              <w:adjustRightInd w:val="0"/>
              <w:spacing w:before="40" w:after="120"/>
              <w:jc w:val="center"/>
              <w:rPr>
                <w:rFonts w:eastAsia="Calibri"/>
                <w:sz w:val="20"/>
                <w:szCs w:val="20"/>
                <w:lang w:eastAsia="en-US"/>
              </w:rPr>
            </w:pPr>
            <w:r w:rsidRPr="004E3C9B">
              <w:rPr>
                <w:rFonts w:eastAsia="Calibri"/>
                <w:sz w:val="20"/>
                <w:szCs w:val="20"/>
                <w:lang w:eastAsia="en-US"/>
              </w:rPr>
              <w:t>20</w:t>
            </w:r>
          </w:p>
        </w:tc>
        <w:tc>
          <w:tcPr>
            <w:tcW w:w="1957" w:type="dxa"/>
            <w:tcBorders>
              <w:top w:val="nil"/>
              <w:left w:val="single" w:sz="4" w:space="0" w:color="auto"/>
              <w:bottom w:val="single" w:sz="4" w:space="0" w:color="auto"/>
              <w:right w:val="single" w:sz="4" w:space="0" w:color="auto"/>
            </w:tcBorders>
            <w:shd w:val="clear" w:color="auto" w:fill="auto"/>
            <w:vAlign w:val="center"/>
          </w:tcPr>
          <w:p w14:paraId="032A1C7B" w14:textId="77777777" w:rsidR="004E3C9B" w:rsidRPr="004E3C9B" w:rsidRDefault="004E3C9B" w:rsidP="004E3C9B">
            <w:pPr>
              <w:autoSpaceDE w:val="0"/>
              <w:autoSpaceDN w:val="0"/>
              <w:adjustRightInd w:val="0"/>
              <w:spacing w:before="40" w:after="120"/>
              <w:jc w:val="center"/>
              <w:rPr>
                <w:rFonts w:eastAsia="Calibri"/>
                <w:sz w:val="20"/>
                <w:szCs w:val="20"/>
                <w:lang w:eastAsia="en-US"/>
              </w:rPr>
            </w:pPr>
            <w:r w:rsidRPr="004E3C9B">
              <w:rPr>
                <w:rFonts w:eastAsia="Calibri"/>
                <w:sz w:val="20"/>
                <w:szCs w:val="20"/>
                <w:lang w:eastAsia="en-US"/>
              </w:rPr>
              <w:t>WALMEX</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934A91" w14:textId="77777777" w:rsidR="004E3C9B" w:rsidRPr="004E3C9B" w:rsidRDefault="004E3C9B" w:rsidP="004E3C9B">
            <w:pPr>
              <w:autoSpaceDE w:val="0"/>
              <w:autoSpaceDN w:val="0"/>
              <w:adjustRightInd w:val="0"/>
              <w:spacing w:before="40" w:after="120"/>
              <w:jc w:val="center"/>
              <w:rPr>
                <w:rFonts w:eastAsia="Calibri"/>
                <w:sz w:val="20"/>
                <w:szCs w:val="20"/>
                <w:lang w:eastAsia="en-US"/>
              </w:rPr>
            </w:pPr>
            <w:r w:rsidRPr="004E3C9B">
              <w:rPr>
                <w:rFonts w:eastAsia="Calibri"/>
                <w:sz w:val="20"/>
                <w:szCs w:val="20"/>
                <w:lang w:eastAsia="en-US"/>
              </w:rPr>
              <w:t>*</w:t>
            </w:r>
          </w:p>
        </w:tc>
        <w:tc>
          <w:tcPr>
            <w:tcW w:w="2415" w:type="dxa"/>
            <w:tcBorders>
              <w:top w:val="nil"/>
              <w:left w:val="single" w:sz="4" w:space="0" w:color="auto"/>
              <w:bottom w:val="single" w:sz="4" w:space="0" w:color="auto"/>
              <w:right w:val="single" w:sz="4" w:space="0" w:color="auto"/>
            </w:tcBorders>
            <w:shd w:val="clear" w:color="auto" w:fill="auto"/>
            <w:vAlign w:val="center"/>
          </w:tcPr>
          <w:p w14:paraId="0AA052C8"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5 127 393 982</w:t>
            </w:r>
          </w:p>
        </w:tc>
        <w:tc>
          <w:tcPr>
            <w:tcW w:w="1564" w:type="dxa"/>
            <w:tcBorders>
              <w:top w:val="nil"/>
              <w:left w:val="single" w:sz="4" w:space="0" w:color="auto"/>
              <w:bottom w:val="single" w:sz="4" w:space="0" w:color="auto"/>
              <w:right w:val="single" w:sz="4" w:space="0" w:color="auto"/>
            </w:tcBorders>
            <w:shd w:val="clear" w:color="auto" w:fill="auto"/>
            <w:vAlign w:val="center"/>
          </w:tcPr>
          <w:p w14:paraId="43946C50" w14:textId="77777777" w:rsidR="004E3C9B" w:rsidRPr="004E3C9B" w:rsidRDefault="004E3C9B" w:rsidP="004E3C9B">
            <w:pPr>
              <w:autoSpaceDE w:val="0"/>
              <w:autoSpaceDN w:val="0"/>
              <w:adjustRightInd w:val="0"/>
              <w:spacing w:before="40" w:after="40"/>
              <w:ind w:right="397"/>
              <w:jc w:val="right"/>
              <w:rPr>
                <w:rFonts w:eastAsia="Calibri"/>
                <w:sz w:val="20"/>
                <w:szCs w:val="20"/>
                <w:lang w:eastAsia="en-US"/>
              </w:rPr>
            </w:pPr>
            <w:r w:rsidRPr="004E3C9B">
              <w:rPr>
                <w:rFonts w:eastAsia="Calibri"/>
                <w:sz w:val="20"/>
                <w:szCs w:val="20"/>
                <w:lang w:eastAsia="en-US"/>
              </w:rPr>
              <w:t>10.00</w:t>
            </w:r>
          </w:p>
        </w:tc>
      </w:tr>
      <w:tr w:rsidR="004E3C9B" w:rsidRPr="004E3C9B" w14:paraId="69CEEB0E" w14:textId="77777777" w:rsidTr="004E3C9B">
        <w:trPr>
          <w:trHeight w:val="93"/>
          <w:jc w:val="center"/>
        </w:trPr>
        <w:tc>
          <w:tcPr>
            <w:tcW w:w="8340" w:type="dxa"/>
            <w:gridSpan w:val="5"/>
            <w:tcBorders>
              <w:top w:val="single" w:sz="4" w:space="0" w:color="auto"/>
            </w:tcBorders>
            <w:shd w:val="clear" w:color="auto" w:fill="auto"/>
            <w:vAlign w:val="center"/>
          </w:tcPr>
          <w:p w14:paraId="5754C323" w14:textId="77777777" w:rsidR="004E3C9B" w:rsidRPr="004E3C9B" w:rsidRDefault="004E3C9B" w:rsidP="004E3C9B">
            <w:pPr>
              <w:autoSpaceDE w:val="0"/>
              <w:autoSpaceDN w:val="0"/>
              <w:adjustRightInd w:val="0"/>
              <w:spacing w:before="120"/>
              <w:jc w:val="both"/>
              <w:rPr>
                <w:rFonts w:eastAsia="Calibri"/>
                <w:sz w:val="20"/>
                <w:szCs w:val="20"/>
                <w:lang w:eastAsia="en-US"/>
              </w:rPr>
            </w:pPr>
            <w:r w:rsidRPr="004E3C9B">
              <w:rPr>
                <w:rFonts w:eastAsia="Calibri"/>
                <w:sz w:val="20"/>
                <w:szCs w:val="20"/>
                <w:lang w:eastAsia="en-US"/>
              </w:rPr>
              <w:t>FUENTE: BMV.</w:t>
            </w:r>
          </w:p>
        </w:tc>
      </w:tr>
    </w:tbl>
    <w:p w14:paraId="421C7404" w14:textId="77777777" w:rsidR="004E3C9B" w:rsidRPr="004E3C9B" w:rsidRDefault="004E3C9B" w:rsidP="004E3C9B">
      <w:pPr>
        <w:spacing w:after="360" w:line="360" w:lineRule="auto"/>
        <w:ind w:right="-159"/>
        <w:jc w:val="both"/>
        <w:rPr>
          <w:rFonts w:eastAsia="Times New Roman"/>
          <w:bCs/>
          <w:sz w:val="26"/>
          <w:szCs w:val="26"/>
          <w:lang w:val="es-ES"/>
        </w:rPr>
      </w:pPr>
    </w:p>
    <w:p w14:paraId="589BA7ED" w14:textId="77777777" w:rsidR="004E3C9B" w:rsidRPr="004E3C9B" w:rsidRDefault="004E3C9B" w:rsidP="004E3C9B">
      <w:pPr>
        <w:ind w:right="-159"/>
        <w:jc w:val="both"/>
        <w:rPr>
          <w:rFonts w:eastAsia="Calibri"/>
          <w:b/>
          <w:sz w:val="20"/>
          <w:szCs w:val="20"/>
          <w:lang w:val="es-ES" w:eastAsia="en-US"/>
        </w:rPr>
      </w:pPr>
      <w:r w:rsidRPr="004E3C9B">
        <w:rPr>
          <w:rFonts w:eastAsia="Calibri"/>
          <w:b/>
          <w:sz w:val="20"/>
          <w:szCs w:val="20"/>
          <w:lang w:val="es-ES" w:eastAsia="en-US"/>
        </w:rPr>
        <w:t>Fuente de información:</w:t>
      </w:r>
    </w:p>
    <w:p w14:paraId="66860D35" w14:textId="77777777" w:rsidR="004E3C9B" w:rsidRPr="00E146C7" w:rsidRDefault="0045651A" w:rsidP="00E146C7">
      <w:pPr>
        <w:spacing w:after="720"/>
        <w:ind w:right="-159"/>
        <w:jc w:val="both"/>
        <w:rPr>
          <w:rFonts w:eastAsia="Calibri"/>
          <w:sz w:val="20"/>
          <w:szCs w:val="20"/>
          <w:lang w:eastAsia="en-US"/>
        </w:rPr>
      </w:pPr>
      <w:hyperlink r:id="rId461" w:history="1"/>
      <w:hyperlink r:id="rId462" w:history="1">
        <w:r w:rsidR="004E3C9B" w:rsidRPr="00E146C7">
          <w:rPr>
            <w:rFonts w:eastAsia="Calibri"/>
            <w:color w:val="0000FF"/>
            <w:sz w:val="20"/>
            <w:szCs w:val="20"/>
            <w:u w:val="single"/>
            <w:lang w:eastAsia="en-US"/>
          </w:rPr>
          <w:t>http://www.bmv.com.mx/wb3/wb/BMV/BMV_repositorio/_vtp/BMV/BMV_1139_bmv_informa/_rid/223/_mto/3/Previo_RebRentable_Mar2015.pdf</w:t>
        </w:r>
      </w:hyperlink>
      <w:r w:rsidR="004E3C9B" w:rsidRPr="00E146C7">
        <w:rPr>
          <w:rFonts w:eastAsia="Calibri"/>
          <w:sz w:val="20"/>
          <w:szCs w:val="20"/>
          <w:u w:val="single"/>
          <w:lang w:eastAsia="en-US"/>
        </w:rPr>
        <w:t xml:space="preserve"> </w:t>
      </w:r>
    </w:p>
    <w:p w14:paraId="75A90807" w14:textId="77777777" w:rsidR="00326A44" w:rsidRPr="00326A44" w:rsidRDefault="00326A44" w:rsidP="00326A44">
      <w:pPr>
        <w:ind w:right="-159"/>
        <w:jc w:val="both"/>
        <w:rPr>
          <w:rFonts w:eastAsia="Calibri"/>
          <w:b/>
          <w:bCs/>
          <w:sz w:val="26"/>
          <w:szCs w:val="26"/>
          <w:lang w:eastAsia="en-US"/>
        </w:rPr>
      </w:pPr>
      <w:r w:rsidRPr="00326A44">
        <w:rPr>
          <w:rFonts w:eastAsia="Calibri"/>
          <w:b/>
          <w:bCs/>
          <w:sz w:val="26"/>
          <w:szCs w:val="26"/>
          <w:lang w:eastAsia="en-US"/>
        </w:rPr>
        <w:t>Modificaciones a las reglas para la realización</w:t>
      </w:r>
    </w:p>
    <w:p w14:paraId="70A5E83B" w14:textId="77777777" w:rsidR="00326A44" w:rsidRPr="00326A44" w:rsidRDefault="00326A44" w:rsidP="00326A44">
      <w:pPr>
        <w:spacing w:after="360" w:line="360" w:lineRule="auto"/>
        <w:ind w:right="-159"/>
        <w:jc w:val="both"/>
        <w:rPr>
          <w:rFonts w:eastAsia="Calibri"/>
          <w:b/>
          <w:sz w:val="26"/>
          <w:szCs w:val="26"/>
          <w:lang w:eastAsia="en-US"/>
        </w:rPr>
      </w:pPr>
      <w:r w:rsidRPr="00326A44">
        <w:rPr>
          <w:rFonts w:eastAsia="Calibri"/>
          <w:b/>
          <w:bCs/>
          <w:sz w:val="26"/>
          <w:szCs w:val="26"/>
          <w:lang w:eastAsia="en-US"/>
        </w:rPr>
        <w:t>de operaciones derivadas</w:t>
      </w:r>
      <w:r w:rsidRPr="00326A44">
        <w:rPr>
          <w:rFonts w:eastAsia="Calibri"/>
          <w:b/>
          <w:sz w:val="26"/>
          <w:szCs w:val="26"/>
          <w:lang w:eastAsia="en-US"/>
        </w:rPr>
        <w:t xml:space="preserve"> (Banxico)</w:t>
      </w:r>
    </w:p>
    <w:p w14:paraId="27CB0AA8" w14:textId="17586F7D"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 xml:space="preserve">El </w:t>
      </w:r>
      <w:r w:rsidRPr="00326A44">
        <w:rPr>
          <w:rFonts w:eastAsia="Calibri"/>
          <w:bCs/>
          <w:sz w:val="26"/>
          <w:szCs w:val="26"/>
          <w:lang w:eastAsia="en-US"/>
        </w:rPr>
        <w:t xml:space="preserve">17 de abril de 2015, </w:t>
      </w:r>
      <w:r w:rsidRPr="00326A44">
        <w:rPr>
          <w:rFonts w:eastAsia="Calibri"/>
          <w:sz w:val="26"/>
          <w:szCs w:val="26"/>
          <w:lang w:eastAsia="en-US"/>
        </w:rPr>
        <w:t xml:space="preserve">el Banco de México (Banxico), con la finalidad de continuar promoviendo el sano desarrollo del sistema financiero y de propiciar el buen </w:t>
      </w:r>
      <w:r w:rsidRPr="00326A44">
        <w:rPr>
          <w:rFonts w:eastAsia="Calibri"/>
          <w:sz w:val="26"/>
          <w:szCs w:val="26"/>
          <w:lang w:eastAsia="en-US"/>
        </w:rPr>
        <w:lastRenderedPageBreak/>
        <w:t>funcionamiento de los sistemas de pagos, publica el día de hoy modificaciones a sus “Reglas para la realización de operaciones derivadas” (Circular 4/2012)</w:t>
      </w:r>
      <w:r w:rsidRPr="00326A44">
        <w:rPr>
          <w:rFonts w:eastAsia="Calibri"/>
          <w:sz w:val="26"/>
          <w:szCs w:val="26"/>
          <w:vertAlign w:val="superscript"/>
          <w:lang w:eastAsia="en-US"/>
        </w:rPr>
        <w:footnoteReference w:id="85"/>
      </w:r>
      <w:r w:rsidR="00432922">
        <w:rPr>
          <w:rFonts w:eastAsia="Calibri"/>
          <w:sz w:val="26"/>
          <w:szCs w:val="26"/>
          <w:lang w:eastAsia="en-US"/>
        </w:rPr>
        <w:t>.</w:t>
      </w:r>
    </w:p>
    <w:p w14:paraId="3364A62D"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Estos cambios tienen por objeto fortalecer los mercados en los que se celebran y liquidan las operaciones derivadas, así como fomentar la transparencia y liquidez del mercado, fortalecer la administración de riesgos y, de esa forma, promover una supervisión eficiente.</w:t>
      </w:r>
    </w:p>
    <w:p w14:paraId="3747C957"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Entre las modificaciones más relevantes a la referida Circular, resaltan las siguientes:</w:t>
      </w:r>
    </w:p>
    <w:p w14:paraId="5803E2E6" w14:textId="77777777" w:rsidR="00326A44" w:rsidRPr="00326A44" w:rsidRDefault="00326A44" w:rsidP="003518F4">
      <w:pPr>
        <w:numPr>
          <w:ilvl w:val="0"/>
          <w:numId w:val="139"/>
        </w:numPr>
        <w:spacing w:after="360" w:line="360" w:lineRule="auto"/>
        <w:ind w:left="714" w:right="-159" w:hanging="357"/>
        <w:jc w:val="both"/>
        <w:rPr>
          <w:rFonts w:eastAsia="Calibri"/>
          <w:sz w:val="26"/>
          <w:szCs w:val="26"/>
          <w:lang w:eastAsia="en-US"/>
        </w:rPr>
      </w:pPr>
      <w:r w:rsidRPr="00326A44">
        <w:rPr>
          <w:rFonts w:eastAsia="Calibri"/>
          <w:sz w:val="26"/>
          <w:szCs w:val="26"/>
          <w:lang w:eastAsia="en-US"/>
        </w:rPr>
        <w:t xml:space="preserve">Se requiere a los bancos y a las casas de bolsa que sus operaciones de </w:t>
      </w:r>
      <w:r w:rsidRPr="00326A44">
        <w:rPr>
          <w:rFonts w:eastAsia="Calibri"/>
          <w:i/>
          <w:iCs/>
          <w:sz w:val="26"/>
          <w:szCs w:val="26"/>
          <w:lang w:eastAsia="en-US"/>
        </w:rPr>
        <w:t xml:space="preserve">swaps </w:t>
      </w:r>
      <w:r w:rsidRPr="00326A44">
        <w:rPr>
          <w:rFonts w:eastAsia="Calibri"/>
          <w:sz w:val="26"/>
          <w:szCs w:val="26"/>
          <w:lang w:eastAsia="en-US"/>
        </w:rPr>
        <w:t>de la Tasa de Interés Interbancaria de Equilibrio (TIIE) se negocien en bolsas de derivados y plataformas electrónicas, establecidas en México o en el exterior, reconocidas por las autoridades financieras mexicanas.</w:t>
      </w:r>
    </w:p>
    <w:p w14:paraId="282478A8" w14:textId="77777777" w:rsidR="00326A44" w:rsidRPr="00326A44" w:rsidRDefault="00326A44" w:rsidP="003518F4">
      <w:pPr>
        <w:numPr>
          <w:ilvl w:val="0"/>
          <w:numId w:val="139"/>
        </w:numPr>
        <w:spacing w:after="360" w:line="360" w:lineRule="auto"/>
        <w:ind w:left="714" w:right="-159" w:hanging="357"/>
        <w:jc w:val="both"/>
        <w:rPr>
          <w:rFonts w:eastAsia="Calibri"/>
          <w:sz w:val="26"/>
          <w:szCs w:val="26"/>
          <w:lang w:eastAsia="en-US"/>
        </w:rPr>
      </w:pPr>
      <w:r w:rsidRPr="00326A44">
        <w:rPr>
          <w:rFonts w:eastAsia="Calibri"/>
          <w:sz w:val="26"/>
          <w:szCs w:val="26"/>
          <w:lang w:eastAsia="en-US"/>
        </w:rPr>
        <w:t>También se requiere que los contratos señalados se compensen y liquiden en cámaras de compensación establecidas en México o mediante contrapartes centrales del exterior que el Banco de México reconozca.</w:t>
      </w:r>
    </w:p>
    <w:p w14:paraId="1A359C7A" w14:textId="77777777" w:rsidR="00326A44" w:rsidRPr="00326A44" w:rsidRDefault="00326A44" w:rsidP="003518F4">
      <w:pPr>
        <w:numPr>
          <w:ilvl w:val="0"/>
          <w:numId w:val="139"/>
        </w:numPr>
        <w:spacing w:after="360" w:line="360" w:lineRule="auto"/>
        <w:ind w:left="714" w:right="-159" w:hanging="357"/>
        <w:jc w:val="both"/>
        <w:rPr>
          <w:rFonts w:eastAsia="Calibri"/>
          <w:sz w:val="26"/>
          <w:szCs w:val="26"/>
          <w:lang w:eastAsia="en-US"/>
        </w:rPr>
      </w:pPr>
      <w:r w:rsidRPr="00326A44">
        <w:rPr>
          <w:rFonts w:eastAsia="Calibri"/>
          <w:sz w:val="26"/>
          <w:szCs w:val="26"/>
          <w:lang w:eastAsia="en-US"/>
        </w:rPr>
        <w:t>Asimismo, se establece que la entrada en vigor de estos requerimientos será gradual, iniciando en abril de 2016 para las operaciones que lleven a cabo las instituciones de crédito y casas de bolsa entre sí o con inversionistas institucionales nacionales; en tanto que en noviembre de 2016 entrarán en vigor para aquellas que realicen las instituciones de crédito y casas de bolsa con entidades financieras del exterior.</w:t>
      </w:r>
    </w:p>
    <w:p w14:paraId="15C0A6D3" w14:textId="1916091E"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 xml:space="preserve">A continuación </w:t>
      </w:r>
      <w:r>
        <w:rPr>
          <w:rFonts w:eastAsia="Calibri"/>
          <w:sz w:val="26"/>
          <w:szCs w:val="26"/>
          <w:lang w:eastAsia="en-US"/>
        </w:rPr>
        <w:t>se presentan</w:t>
      </w:r>
      <w:r w:rsidRPr="00326A44">
        <w:rPr>
          <w:rFonts w:eastAsia="Calibri"/>
          <w:sz w:val="26"/>
          <w:szCs w:val="26"/>
          <w:lang w:eastAsia="en-US"/>
        </w:rPr>
        <w:t xml:space="preserve"> estas modificaciones.</w:t>
      </w:r>
    </w:p>
    <w:p w14:paraId="1ACCB077"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lastRenderedPageBreak/>
        <w:t>A</w:t>
      </w:r>
      <w:r w:rsidRPr="00326A44">
        <w:rPr>
          <w:rFonts w:eastAsia="Calibri"/>
          <w:b/>
          <w:sz w:val="26"/>
          <w:szCs w:val="26"/>
          <w:lang w:eastAsia="en-US"/>
        </w:rPr>
        <w:t>ntecedentes</w:t>
      </w:r>
    </w:p>
    <w:p w14:paraId="399A8778"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Los derivados financieros permiten administrar mejor los riesgos que enfrentan los participantes del sistema financiero, a la vez que representan una alternativa de inversión. Los mercados de derivados complementan a los mercados de contado y contribuyen a mejorar su liquidez y profundidad.</w:t>
      </w:r>
    </w:p>
    <w:p w14:paraId="784BCFF2"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Los derivados pueden categorizarse en bursátiles o extrabursátiles (</w:t>
      </w:r>
      <w:r w:rsidRPr="00326A44">
        <w:rPr>
          <w:rFonts w:eastAsia="Calibri"/>
          <w:i/>
          <w:iCs/>
          <w:sz w:val="26"/>
          <w:szCs w:val="26"/>
          <w:lang w:eastAsia="en-US"/>
        </w:rPr>
        <w:t>over the counter</w:t>
      </w:r>
      <w:r w:rsidRPr="00326A44">
        <w:rPr>
          <w:rFonts w:eastAsia="Calibri"/>
          <w:sz w:val="26"/>
          <w:szCs w:val="26"/>
          <w:lang w:eastAsia="en-US"/>
        </w:rPr>
        <w:t>) dependiendo del mercado en el que se ejecutan. Los primeros se celebran en mercados organizados o bolsas de derivados, mientras que los segundos se pactan ya sea directamente de manera bilateral o en plataformas de negociación. En los mercados organizados, las bolsas determinan las características precisas de los contratos de derivados que se negocian y tales características no admiten variaciones por parte de los participantes. Por su parte, los mercados extrabursátiles brindan mayor flexibilidad a los participantes para establecer las características de los contratos que desean pactar, cubriendo con ello riesgos que no podrían administrarse a través de mercados organizados.</w:t>
      </w:r>
    </w:p>
    <w:p w14:paraId="0F757073"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La existencia de riesgos comunes para un gran número de agentes ha propiciado la homologación y estandarización de las características de instrumentos derivados. Dicha estandarización ha propiciado que su negociación migre hacia las bolsas de derivados y plataformas electrónicas de negociación. Al concentrar posturas sobre instrumentos derivados en las bolsas o plataformas electrónicas se proporciona más información al proceso de formación de precios y se reflejan de mejor manera las condiciones del mercado.</w:t>
      </w:r>
    </w:p>
    <w:p w14:paraId="2767B73B" w14:textId="11A3EAD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 xml:space="preserve">Por otra parte, la estandarización y mayor disponibilidad de precios confiables de los instrumentos que se negocian en bolsas y plataformas electrónicas los convierten en </w:t>
      </w:r>
      <w:r w:rsidRPr="00326A44">
        <w:rPr>
          <w:rFonts w:eastAsia="Calibri"/>
          <w:sz w:val="26"/>
          <w:szCs w:val="26"/>
          <w:lang w:eastAsia="en-US"/>
        </w:rPr>
        <w:lastRenderedPageBreak/>
        <w:t xml:space="preserve">candidatos a ser compensados y liquidados a través de </w:t>
      </w:r>
      <w:r w:rsidRPr="00432922">
        <w:rPr>
          <w:rFonts w:eastAsia="Calibri"/>
          <w:iCs/>
          <w:sz w:val="26"/>
          <w:szCs w:val="26"/>
          <w:lang w:eastAsia="en-US"/>
        </w:rPr>
        <w:t>contrapartes centrales</w:t>
      </w:r>
      <w:r w:rsidRPr="00326A44">
        <w:rPr>
          <w:rFonts w:eastAsia="Calibri"/>
          <w:sz w:val="26"/>
          <w:szCs w:val="26"/>
          <w:vertAlign w:val="superscript"/>
          <w:lang w:eastAsia="en-US"/>
        </w:rPr>
        <w:footnoteReference w:id="86"/>
      </w:r>
      <w:r w:rsidR="00432922">
        <w:rPr>
          <w:rFonts w:eastAsia="Calibri"/>
          <w:sz w:val="26"/>
          <w:szCs w:val="26"/>
          <w:lang w:eastAsia="en-US"/>
        </w:rPr>
        <w:t>,</w:t>
      </w:r>
      <w:r w:rsidRPr="00326A44">
        <w:rPr>
          <w:rFonts w:eastAsia="Calibri"/>
          <w:sz w:val="26"/>
          <w:szCs w:val="26"/>
          <w:lang w:eastAsia="en-US"/>
        </w:rPr>
        <w:t xml:space="preserve"> a fin de beneficiarse de una administración de riesgos más segura y eficiente. Esto se debe a que una contraparte central que opera apropiadamente genera diversos beneficios. Por un lado, ofrece ganancias en eficiencia respecto de una gestión bilateral de las operaciones y sus riesgos, a causa de la compensación multilateral. Adicionalmente, contribuye a contener la probabilidad de contagio que resultaría del incumplimiento de un participante, ya que cuenta con requerimientos de garantías para cubrir exposiciones crediticias.</w:t>
      </w:r>
    </w:p>
    <w:p w14:paraId="50ED28E6" w14:textId="77777777" w:rsidR="00326A44" w:rsidRPr="00326A44" w:rsidRDefault="00326A44" w:rsidP="00326A44">
      <w:pPr>
        <w:spacing w:after="360" w:line="360" w:lineRule="auto"/>
        <w:ind w:right="-159"/>
        <w:jc w:val="both"/>
        <w:rPr>
          <w:rFonts w:eastAsia="Calibri"/>
          <w:b/>
          <w:sz w:val="26"/>
          <w:szCs w:val="26"/>
          <w:lang w:eastAsia="en-US"/>
        </w:rPr>
      </w:pPr>
      <w:r w:rsidRPr="00326A44">
        <w:rPr>
          <w:rFonts w:eastAsia="Calibri"/>
          <w:b/>
          <w:sz w:val="26"/>
          <w:szCs w:val="26"/>
          <w:lang w:eastAsia="en-US"/>
        </w:rPr>
        <w:t>Modificaciones a las reglas</w:t>
      </w:r>
    </w:p>
    <w:p w14:paraId="3546F0EC"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En línea con las tendencias observadas en los mercados de derivados, el Banco de México resolvió modificar las “Reglas para la realización de operaciones derivadas”, las cuales tienen como objetivo fortalecer los mercados en los que se celebran y liquidan las operaciones derivadas. Los cambios que hoy se publican incorporan, entre otros aspectos, los siguientes:</w:t>
      </w:r>
    </w:p>
    <w:p w14:paraId="7D9560C0" w14:textId="77777777" w:rsidR="00326A44" w:rsidRPr="00326A44" w:rsidRDefault="00326A44" w:rsidP="003518F4">
      <w:pPr>
        <w:numPr>
          <w:ilvl w:val="0"/>
          <w:numId w:val="138"/>
        </w:numPr>
        <w:spacing w:after="360" w:line="360" w:lineRule="auto"/>
        <w:ind w:right="-159"/>
        <w:jc w:val="both"/>
        <w:rPr>
          <w:rFonts w:eastAsia="Calibri"/>
          <w:sz w:val="26"/>
          <w:szCs w:val="26"/>
          <w:lang w:eastAsia="en-US"/>
        </w:rPr>
      </w:pPr>
      <w:r w:rsidRPr="00326A44">
        <w:rPr>
          <w:rFonts w:eastAsia="Calibri"/>
          <w:b/>
          <w:bCs/>
          <w:sz w:val="26"/>
          <w:szCs w:val="26"/>
          <w:lang w:eastAsia="en-US"/>
        </w:rPr>
        <w:t xml:space="preserve">Operaciones derivadas estandarizadas: </w:t>
      </w:r>
      <w:r w:rsidRPr="00326A44">
        <w:rPr>
          <w:rFonts w:eastAsia="Calibri"/>
          <w:sz w:val="26"/>
          <w:szCs w:val="26"/>
          <w:lang w:eastAsia="en-US"/>
        </w:rPr>
        <w:t>Se determinan como operaciones derivadas estandarizadas a los contratos de intercambio de flujos respecto de la Tasa de Interés Interbancaria de Equilibrio a 28 días (swaps TIIE). Lo anterior se decidió tomando en cuenta la liquidez, el volumen operado y el grado de estandarización de dichos contratos.</w:t>
      </w:r>
    </w:p>
    <w:p w14:paraId="66ADAFD7" w14:textId="77777777" w:rsidR="00326A44" w:rsidRPr="00326A44" w:rsidRDefault="00326A44" w:rsidP="003518F4">
      <w:pPr>
        <w:numPr>
          <w:ilvl w:val="0"/>
          <w:numId w:val="138"/>
        </w:numPr>
        <w:spacing w:after="360" w:line="360" w:lineRule="auto"/>
        <w:ind w:right="-159"/>
        <w:jc w:val="both"/>
        <w:rPr>
          <w:rFonts w:eastAsia="Calibri"/>
          <w:sz w:val="26"/>
          <w:szCs w:val="26"/>
          <w:lang w:eastAsia="en-US"/>
        </w:rPr>
      </w:pPr>
      <w:r w:rsidRPr="00326A44">
        <w:rPr>
          <w:rFonts w:eastAsia="Calibri"/>
          <w:b/>
          <w:bCs/>
          <w:sz w:val="26"/>
          <w:szCs w:val="26"/>
          <w:lang w:eastAsia="en-US"/>
        </w:rPr>
        <w:t xml:space="preserve">Obligación de negociar las operaciones derivadas estandarizadas en bolsas o plataformas electrónicas: </w:t>
      </w:r>
      <w:r w:rsidRPr="00326A44">
        <w:rPr>
          <w:rFonts w:eastAsia="Calibri"/>
          <w:sz w:val="26"/>
          <w:szCs w:val="26"/>
          <w:lang w:eastAsia="en-US"/>
        </w:rPr>
        <w:t xml:space="preserve">Se prevé la obligación de las instituciones de crédito y casas de bolsa de celebrar las operaciones referidas en: i) bolsas de derivados establecidas en México o del exterior reconocidas por el Banco de México; o ii) plataformas electrónicas establecidas en México y autorizadas por </w:t>
      </w:r>
      <w:r w:rsidRPr="00326A44">
        <w:rPr>
          <w:rFonts w:eastAsia="Calibri"/>
          <w:sz w:val="26"/>
          <w:szCs w:val="26"/>
          <w:lang w:eastAsia="en-US"/>
        </w:rPr>
        <w:lastRenderedPageBreak/>
        <w:t>la Comisión Nacional Bancaria y de Valores (CNBV), o del exterior reconocidas por dicha Comisión.</w:t>
      </w:r>
    </w:p>
    <w:p w14:paraId="303FC251" w14:textId="77777777" w:rsidR="00326A44" w:rsidRPr="00326A44" w:rsidRDefault="00326A44" w:rsidP="003518F4">
      <w:pPr>
        <w:numPr>
          <w:ilvl w:val="0"/>
          <w:numId w:val="138"/>
        </w:numPr>
        <w:spacing w:after="360" w:line="360" w:lineRule="auto"/>
        <w:ind w:right="-159"/>
        <w:jc w:val="both"/>
        <w:rPr>
          <w:rFonts w:eastAsia="Calibri"/>
          <w:sz w:val="26"/>
          <w:szCs w:val="26"/>
          <w:lang w:eastAsia="en-US"/>
        </w:rPr>
      </w:pPr>
      <w:r w:rsidRPr="00326A44">
        <w:rPr>
          <w:rFonts w:eastAsia="Calibri"/>
          <w:b/>
          <w:bCs/>
          <w:sz w:val="26"/>
          <w:szCs w:val="26"/>
          <w:lang w:eastAsia="en-US"/>
        </w:rPr>
        <w:t xml:space="preserve">Obligación de liquidar las operaciones derivadas estandarizadas en cámaras de compensación: </w:t>
      </w:r>
      <w:r w:rsidRPr="00326A44">
        <w:rPr>
          <w:rFonts w:eastAsia="Calibri"/>
          <w:sz w:val="26"/>
          <w:szCs w:val="26"/>
          <w:lang w:eastAsia="en-US"/>
        </w:rPr>
        <w:t xml:space="preserve">Se adiciona la obligación de que las operaciones estandarizadas se liquiden en cámaras de compensación establecidas en México y autorizadas por la Secretaría de Hacienda y Crédito Público (SHCP); o en instituciones del exterior que actúen como contrapartes centrales reconocidas por el Banco de México. </w:t>
      </w:r>
    </w:p>
    <w:p w14:paraId="190E76E5" w14:textId="77777777" w:rsidR="00326A44" w:rsidRPr="00326A44" w:rsidRDefault="00326A44" w:rsidP="003518F4">
      <w:pPr>
        <w:numPr>
          <w:ilvl w:val="0"/>
          <w:numId w:val="138"/>
        </w:numPr>
        <w:spacing w:after="360" w:line="360" w:lineRule="auto"/>
        <w:ind w:right="-159"/>
        <w:jc w:val="both"/>
        <w:rPr>
          <w:rFonts w:eastAsia="Calibri"/>
          <w:sz w:val="26"/>
          <w:szCs w:val="26"/>
          <w:lang w:eastAsia="en-US"/>
        </w:rPr>
      </w:pPr>
      <w:r w:rsidRPr="00326A44">
        <w:rPr>
          <w:rFonts w:eastAsia="Calibri"/>
          <w:b/>
          <w:bCs/>
          <w:sz w:val="26"/>
          <w:szCs w:val="26"/>
          <w:lang w:eastAsia="en-US"/>
        </w:rPr>
        <w:t xml:space="preserve">Régimen transitorio: </w:t>
      </w:r>
      <w:r w:rsidRPr="00326A44">
        <w:rPr>
          <w:rFonts w:eastAsia="Calibri"/>
          <w:sz w:val="26"/>
          <w:szCs w:val="26"/>
          <w:lang w:eastAsia="en-US"/>
        </w:rPr>
        <w:t>La reforma prevé una entrada en vigor gradual para los requerimientos de negociación y compensación centralizada, iniciando en abril de 2016 para las operaciones que lleven a cabo las instituciones de crédito y casas de bolsa entre sí o con inversionistas institucionales nacionales, y en noviembre de 2016 para aquéllas que realicen las instituciones de crédito y casas de bolsa con entidades financieras del exterior.</w:t>
      </w:r>
    </w:p>
    <w:p w14:paraId="5AF3DE05" w14:textId="77777777" w:rsidR="00326A44" w:rsidRP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Las reformas a la Circular 4/2012 forman parte de los esfuerzos que el Banco de México, la SHCP y la CNBV promueven para el fortalecimiento del mercado de derivados, y son congruentes con las acciones que han acordado promover las autoridades financieras del G20 y diversos organismos internacionales.</w:t>
      </w:r>
    </w:p>
    <w:p w14:paraId="589953CF" w14:textId="2C8E8CD6" w:rsidR="00326A44" w:rsidRDefault="00326A44" w:rsidP="00326A44">
      <w:pPr>
        <w:spacing w:after="360" w:line="360" w:lineRule="auto"/>
        <w:ind w:right="-159"/>
        <w:jc w:val="both"/>
        <w:rPr>
          <w:rFonts w:eastAsia="Calibri"/>
          <w:sz w:val="26"/>
          <w:szCs w:val="26"/>
          <w:lang w:eastAsia="en-US"/>
        </w:rPr>
      </w:pPr>
      <w:r w:rsidRPr="00326A44">
        <w:rPr>
          <w:rFonts w:eastAsia="Calibri"/>
          <w:sz w:val="26"/>
          <w:szCs w:val="26"/>
          <w:lang w:eastAsia="en-US"/>
        </w:rPr>
        <w:t>Las modificaciones a que se refiere el presente comunicado pueden consultarse a través de la siguiente liga:</w:t>
      </w:r>
      <w:r>
        <w:rPr>
          <w:rFonts w:eastAsia="Calibri"/>
          <w:sz w:val="26"/>
          <w:szCs w:val="26"/>
          <w:lang w:eastAsia="en-US"/>
        </w:rPr>
        <w:t xml:space="preserve"> </w:t>
      </w:r>
    </w:p>
    <w:p w14:paraId="2FB6FF29" w14:textId="77777777" w:rsidR="009543B0" w:rsidRDefault="009543B0" w:rsidP="00326A44">
      <w:pPr>
        <w:spacing w:after="360" w:line="360" w:lineRule="auto"/>
        <w:ind w:right="-159"/>
        <w:jc w:val="both"/>
        <w:rPr>
          <w:rFonts w:eastAsia="Calibri"/>
          <w:sz w:val="26"/>
          <w:szCs w:val="26"/>
          <w:lang w:eastAsia="en-US"/>
        </w:rPr>
      </w:pPr>
    </w:p>
    <w:p w14:paraId="1A678590" w14:textId="77777777" w:rsidR="009543B0" w:rsidRPr="00326A44" w:rsidRDefault="009543B0" w:rsidP="00326A44">
      <w:pPr>
        <w:spacing w:after="360" w:line="360" w:lineRule="auto"/>
        <w:ind w:right="-159"/>
        <w:jc w:val="both"/>
        <w:rPr>
          <w:rFonts w:eastAsia="Calibri"/>
          <w:sz w:val="26"/>
          <w:szCs w:val="26"/>
          <w:lang w:eastAsia="en-US"/>
        </w:rPr>
      </w:pPr>
    </w:p>
    <w:p w14:paraId="0D311EEB" w14:textId="77777777" w:rsidR="00326A44" w:rsidRPr="00E146C7" w:rsidRDefault="0045651A" w:rsidP="00326A44">
      <w:pPr>
        <w:spacing w:after="360" w:line="360" w:lineRule="auto"/>
        <w:ind w:right="-159"/>
        <w:jc w:val="both"/>
        <w:rPr>
          <w:rFonts w:eastAsia="Calibri"/>
          <w:color w:val="0000FF"/>
          <w:sz w:val="26"/>
          <w:szCs w:val="26"/>
          <w:lang w:eastAsia="en-US"/>
        </w:rPr>
      </w:pPr>
      <w:hyperlink r:id="rId463" w:history="1">
        <w:r w:rsidR="00326A44" w:rsidRPr="00E146C7">
          <w:rPr>
            <w:rFonts w:eastAsia="Calibri"/>
            <w:color w:val="0000FF"/>
            <w:sz w:val="26"/>
            <w:szCs w:val="26"/>
            <w:u w:val="single"/>
            <w:lang w:eastAsia="en-US"/>
          </w:rPr>
          <w:t>http://www.banxico.org.mx/sistema-financiero/disposiciones/circulares-emitidas-que-aun-n.html</w:t>
        </w:r>
      </w:hyperlink>
      <w:r w:rsidR="00326A44" w:rsidRPr="00E146C7">
        <w:rPr>
          <w:rFonts w:eastAsia="Calibri"/>
          <w:color w:val="0000FF"/>
          <w:sz w:val="26"/>
          <w:szCs w:val="26"/>
          <w:lang w:eastAsia="en-US"/>
        </w:rPr>
        <w:t xml:space="preserve"> </w:t>
      </w:r>
    </w:p>
    <w:p w14:paraId="307BD45F" w14:textId="77777777" w:rsidR="00326A44" w:rsidRPr="00326A44" w:rsidRDefault="00326A44" w:rsidP="00326A44">
      <w:pPr>
        <w:ind w:right="-159"/>
        <w:jc w:val="both"/>
        <w:rPr>
          <w:rFonts w:eastAsia="Calibri"/>
          <w:b/>
          <w:sz w:val="20"/>
          <w:szCs w:val="20"/>
          <w:lang w:eastAsia="en-US"/>
        </w:rPr>
      </w:pPr>
      <w:r w:rsidRPr="00326A44">
        <w:rPr>
          <w:rFonts w:eastAsia="Calibri"/>
          <w:b/>
          <w:sz w:val="20"/>
          <w:szCs w:val="20"/>
          <w:lang w:eastAsia="en-US"/>
        </w:rPr>
        <w:t>Fuente de información:</w:t>
      </w:r>
    </w:p>
    <w:p w14:paraId="198F006E" w14:textId="77777777" w:rsidR="00326A44" w:rsidRPr="00E146C7" w:rsidRDefault="0045651A" w:rsidP="00326A44">
      <w:pPr>
        <w:ind w:right="-159"/>
        <w:jc w:val="both"/>
        <w:rPr>
          <w:rFonts w:eastAsia="Calibri"/>
          <w:color w:val="0000FF"/>
          <w:sz w:val="20"/>
          <w:szCs w:val="20"/>
          <w:lang w:eastAsia="en-US"/>
        </w:rPr>
      </w:pPr>
      <w:hyperlink r:id="rId464" w:history="1">
        <w:r w:rsidR="00326A44" w:rsidRPr="00E146C7">
          <w:rPr>
            <w:rFonts w:eastAsia="Calibri"/>
            <w:color w:val="0000FF"/>
            <w:sz w:val="20"/>
            <w:szCs w:val="20"/>
            <w:u w:val="single"/>
            <w:lang w:eastAsia="en-US"/>
          </w:rPr>
          <w:t>http://www.banxico.org.mx/informacion-para-la-prensa/comunicados/miscelaneos/boletines/%7bBF267A42-FC1F-D483-0A5B-04266FA20FE7%7d.pdf</w:t>
        </w:r>
      </w:hyperlink>
      <w:r w:rsidR="00326A44" w:rsidRPr="00E146C7">
        <w:rPr>
          <w:rFonts w:eastAsia="Calibri"/>
          <w:color w:val="0000FF"/>
          <w:sz w:val="20"/>
          <w:szCs w:val="20"/>
          <w:lang w:eastAsia="en-US"/>
        </w:rPr>
        <w:t xml:space="preserve"> </w:t>
      </w:r>
    </w:p>
    <w:p w14:paraId="1E102D1E" w14:textId="77777777" w:rsidR="00326A44" w:rsidRPr="00E146C7" w:rsidRDefault="00326A44" w:rsidP="00326A44">
      <w:pPr>
        <w:ind w:right="-159"/>
        <w:jc w:val="both"/>
        <w:rPr>
          <w:rFonts w:eastAsia="Calibri"/>
          <w:sz w:val="20"/>
          <w:szCs w:val="20"/>
          <w:lang w:eastAsia="en-US"/>
        </w:rPr>
      </w:pPr>
      <w:r w:rsidRPr="00E146C7">
        <w:rPr>
          <w:rFonts w:eastAsia="Calibri"/>
          <w:sz w:val="20"/>
          <w:szCs w:val="20"/>
          <w:lang w:eastAsia="en-US"/>
        </w:rPr>
        <w:t>Para tener acceso a información relacionada visite:</w:t>
      </w:r>
    </w:p>
    <w:p w14:paraId="6D9F915E" w14:textId="77777777" w:rsidR="00326A44" w:rsidRPr="00E146C7" w:rsidRDefault="0045651A" w:rsidP="00326A44">
      <w:pPr>
        <w:ind w:right="-159"/>
        <w:jc w:val="both"/>
        <w:rPr>
          <w:rFonts w:eastAsia="Calibri"/>
          <w:color w:val="0000FF"/>
          <w:sz w:val="20"/>
          <w:szCs w:val="20"/>
          <w:lang w:eastAsia="en-US"/>
        </w:rPr>
      </w:pPr>
      <w:hyperlink r:id="rId465" w:history="1">
        <w:r w:rsidR="00326A44" w:rsidRPr="00E146C7">
          <w:rPr>
            <w:rFonts w:eastAsia="Calibri"/>
            <w:color w:val="0000FF"/>
            <w:sz w:val="20"/>
            <w:szCs w:val="20"/>
            <w:u w:val="single"/>
            <w:lang w:eastAsia="en-US"/>
          </w:rPr>
          <w:t>http://www.banxico.org.mx/publicaciones-y-discursos/discursos-y-presentaciones/presentaciones/%7b996A2DD5-6CD0-67B0-F249-DA77AFB7C1C0%7d.pdf</w:t>
        </w:r>
      </w:hyperlink>
      <w:r w:rsidR="00326A44" w:rsidRPr="00E146C7">
        <w:rPr>
          <w:rFonts w:eastAsia="Calibri"/>
          <w:color w:val="0000FF"/>
          <w:sz w:val="20"/>
          <w:szCs w:val="20"/>
          <w:lang w:eastAsia="en-US"/>
        </w:rPr>
        <w:t xml:space="preserve"> </w:t>
      </w:r>
    </w:p>
    <w:p w14:paraId="1D98A934" w14:textId="77777777" w:rsidR="00326A44" w:rsidRPr="00E146C7" w:rsidRDefault="0045651A" w:rsidP="00E146C7">
      <w:pPr>
        <w:spacing w:after="720"/>
        <w:ind w:right="-159"/>
        <w:jc w:val="both"/>
        <w:rPr>
          <w:rFonts w:eastAsia="Calibri"/>
          <w:color w:val="0000FF"/>
          <w:sz w:val="20"/>
          <w:szCs w:val="20"/>
          <w:lang w:eastAsia="en-US"/>
        </w:rPr>
      </w:pPr>
      <w:hyperlink r:id="rId466" w:history="1">
        <w:r w:rsidR="00326A44" w:rsidRPr="00E146C7">
          <w:rPr>
            <w:rFonts w:eastAsia="Calibri"/>
            <w:color w:val="0000FF"/>
            <w:sz w:val="20"/>
            <w:szCs w:val="20"/>
            <w:u w:val="single"/>
            <w:lang w:eastAsia="en-US"/>
          </w:rPr>
          <w:t>http://www.cnbv.gob.mx/PRENSA/Prensa%20%20Otros/Comunicado_Prensa_Redes_de_Medios_de_Disposicion.pdf</w:t>
        </w:r>
      </w:hyperlink>
      <w:r w:rsidR="00326A44" w:rsidRPr="00E146C7">
        <w:rPr>
          <w:rFonts w:eastAsia="Calibri"/>
          <w:color w:val="0000FF"/>
          <w:sz w:val="20"/>
          <w:szCs w:val="20"/>
          <w:lang w:eastAsia="en-US"/>
        </w:rPr>
        <w:t xml:space="preserve"> </w:t>
      </w:r>
    </w:p>
    <w:p w14:paraId="2D502481" w14:textId="0B87528B" w:rsidR="00DD3F4A" w:rsidRPr="000E3A45" w:rsidRDefault="00F4765E" w:rsidP="002F2116">
      <w:pPr>
        <w:autoSpaceDE w:val="0"/>
        <w:autoSpaceDN w:val="0"/>
        <w:adjustRightInd w:val="0"/>
        <w:spacing w:after="360" w:line="360" w:lineRule="auto"/>
        <w:ind w:right="-159"/>
        <w:jc w:val="both"/>
        <w:rPr>
          <w:b/>
          <w:sz w:val="26"/>
          <w:szCs w:val="26"/>
        </w:rPr>
      </w:pPr>
      <w:r w:rsidRPr="000E3A45">
        <w:rPr>
          <w:b/>
          <w:sz w:val="26"/>
          <w:szCs w:val="26"/>
        </w:rPr>
        <w:t>Mercados bursátiles internacionales</w:t>
      </w:r>
    </w:p>
    <w:p w14:paraId="28310808" w14:textId="5A6EA320" w:rsidR="00A743B1" w:rsidRPr="000E3A45" w:rsidRDefault="001228D7" w:rsidP="00D90375">
      <w:pPr>
        <w:tabs>
          <w:tab w:val="left" w:pos="154"/>
        </w:tabs>
        <w:autoSpaceDE w:val="0"/>
        <w:autoSpaceDN w:val="0"/>
        <w:adjustRightInd w:val="0"/>
        <w:spacing w:after="360" w:line="360" w:lineRule="auto"/>
        <w:ind w:right="-159"/>
        <w:jc w:val="both"/>
        <w:rPr>
          <w:sz w:val="26"/>
          <w:szCs w:val="26"/>
        </w:rPr>
      </w:pPr>
      <w:r w:rsidRPr="000E3A45">
        <w:rPr>
          <w:sz w:val="26"/>
          <w:szCs w:val="26"/>
        </w:rPr>
        <w:t xml:space="preserve">A consecuencia de </w:t>
      </w:r>
      <w:r w:rsidR="00CE726E">
        <w:rPr>
          <w:sz w:val="26"/>
          <w:szCs w:val="26"/>
        </w:rPr>
        <w:t xml:space="preserve">volatilidad en los mercados financieros internacionales, </w:t>
      </w:r>
      <w:r w:rsidRPr="000E3A45">
        <w:rPr>
          <w:sz w:val="26"/>
          <w:szCs w:val="26"/>
        </w:rPr>
        <w:t xml:space="preserve">la </w:t>
      </w:r>
      <w:r w:rsidR="00CE726E">
        <w:rPr>
          <w:sz w:val="26"/>
          <w:szCs w:val="26"/>
        </w:rPr>
        <w:t>fragilidad</w:t>
      </w:r>
      <w:r w:rsidR="004046E8">
        <w:rPr>
          <w:sz w:val="26"/>
          <w:szCs w:val="26"/>
        </w:rPr>
        <w:t xml:space="preserve"> </w:t>
      </w:r>
      <w:r w:rsidR="00A743B1" w:rsidRPr="000E3A45">
        <w:rPr>
          <w:sz w:val="26"/>
          <w:szCs w:val="26"/>
        </w:rPr>
        <w:t xml:space="preserve">en el crecimiento de la economía mundial, de la </w:t>
      </w:r>
      <w:r w:rsidRPr="000E3A45">
        <w:rPr>
          <w:sz w:val="26"/>
          <w:szCs w:val="26"/>
        </w:rPr>
        <w:t xml:space="preserve">caída del </w:t>
      </w:r>
      <w:r w:rsidR="00A743B1" w:rsidRPr="000E3A45">
        <w:rPr>
          <w:sz w:val="26"/>
          <w:szCs w:val="26"/>
        </w:rPr>
        <w:t xml:space="preserve">precio del </w:t>
      </w:r>
      <w:r w:rsidRPr="000E3A45">
        <w:rPr>
          <w:sz w:val="26"/>
          <w:szCs w:val="26"/>
        </w:rPr>
        <w:t xml:space="preserve">petróleo </w:t>
      </w:r>
      <w:r w:rsidR="00A743B1" w:rsidRPr="000E3A45">
        <w:rPr>
          <w:sz w:val="26"/>
          <w:szCs w:val="26"/>
        </w:rPr>
        <w:t>y de otras materias primas</w:t>
      </w:r>
      <w:r w:rsidR="00CE726E">
        <w:rPr>
          <w:sz w:val="26"/>
          <w:szCs w:val="26"/>
        </w:rPr>
        <w:t xml:space="preserve"> y de la incertidumbre respecto al futuro de las tasas de interés, </w:t>
      </w:r>
      <w:r w:rsidR="00A743B1" w:rsidRPr="000E3A45">
        <w:rPr>
          <w:sz w:val="26"/>
          <w:szCs w:val="26"/>
        </w:rPr>
        <w:t xml:space="preserve">los mercados accionarios </w:t>
      </w:r>
      <w:r w:rsidR="00CE726E">
        <w:rPr>
          <w:sz w:val="26"/>
          <w:szCs w:val="26"/>
        </w:rPr>
        <w:t>se han movido en una trayectoria mixta</w:t>
      </w:r>
      <w:r w:rsidR="000A4481">
        <w:rPr>
          <w:sz w:val="26"/>
          <w:szCs w:val="26"/>
        </w:rPr>
        <w:t>. Sin embargo, en abril registró alzas importantes aunque no suficientes para compensar las pérdidas en el primer trimestre</w:t>
      </w:r>
      <w:r w:rsidR="00A743B1" w:rsidRPr="000E3A45">
        <w:rPr>
          <w:sz w:val="26"/>
          <w:szCs w:val="26"/>
        </w:rPr>
        <w:t>.</w:t>
      </w:r>
    </w:p>
    <w:p w14:paraId="370E0F4C" w14:textId="59EF3F2E" w:rsidR="00DC0577" w:rsidRDefault="00F1463E" w:rsidP="002F2116">
      <w:pPr>
        <w:autoSpaceDE w:val="0"/>
        <w:autoSpaceDN w:val="0"/>
        <w:adjustRightInd w:val="0"/>
        <w:spacing w:after="360" w:line="360" w:lineRule="auto"/>
        <w:ind w:right="-159"/>
        <w:jc w:val="both"/>
        <w:rPr>
          <w:sz w:val="26"/>
          <w:szCs w:val="26"/>
        </w:rPr>
      </w:pPr>
      <w:r w:rsidRPr="000E3A45">
        <w:rPr>
          <w:sz w:val="26"/>
          <w:szCs w:val="26"/>
        </w:rPr>
        <w:t xml:space="preserve">En este </w:t>
      </w:r>
      <w:r w:rsidR="008C5A67" w:rsidRPr="000E3A45">
        <w:rPr>
          <w:sz w:val="26"/>
          <w:szCs w:val="26"/>
        </w:rPr>
        <w:t>contexto</w:t>
      </w:r>
      <w:r w:rsidRPr="000E3A45">
        <w:rPr>
          <w:sz w:val="26"/>
          <w:szCs w:val="26"/>
        </w:rPr>
        <w:t xml:space="preserve">, </w:t>
      </w:r>
      <w:r w:rsidR="006B0002">
        <w:rPr>
          <w:sz w:val="26"/>
          <w:szCs w:val="26"/>
        </w:rPr>
        <w:t xml:space="preserve">del 31 de diciembre de 2014 </w:t>
      </w:r>
      <w:r w:rsidRPr="000E3A45">
        <w:rPr>
          <w:sz w:val="26"/>
          <w:szCs w:val="26"/>
        </w:rPr>
        <w:t>a</w:t>
      </w:r>
      <w:r w:rsidR="00A20233" w:rsidRPr="000E3A45">
        <w:rPr>
          <w:sz w:val="26"/>
          <w:szCs w:val="26"/>
        </w:rPr>
        <w:t xml:space="preserve">l </w:t>
      </w:r>
      <w:r w:rsidR="000A4481">
        <w:rPr>
          <w:sz w:val="26"/>
          <w:szCs w:val="26"/>
        </w:rPr>
        <w:t>2</w:t>
      </w:r>
      <w:r w:rsidR="004658AB" w:rsidRPr="000E3A45">
        <w:rPr>
          <w:sz w:val="26"/>
          <w:szCs w:val="26"/>
        </w:rPr>
        <w:t>1</w:t>
      </w:r>
      <w:r w:rsidR="00A20233" w:rsidRPr="000E3A45">
        <w:rPr>
          <w:sz w:val="26"/>
          <w:szCs w:val="26"/>
        </w:rPr>
        <w:t xml:space="preserve"> </w:t>
      </w:r>
      <w:r w:rsidR="00CE726E">
        <w:rPr>
          <w:sz w:val="26"/>
          <w:szCs w:val="26"/>
        </w:rPr>
        <w:t>a</w:t>
      </w:r>
      <w:r w:rsidR="000A4481">
        <w:rPr>
          <w:sz w:val="26"/>
          <w:szCs w:val="26"/>
        </w:rPr>
        <w:t>b</w:t>
      </w:r>
      <w:r w:rsidR="00CE726E">
        <w:rPr>
          <w:sz w:val="26"/>
          <w:szCs w:val="26"/>
        </w:rPr>
        <w:t>r</w:t>
      </w:r>
      <w:r w:rsidR="000A4481">
        <w:rPr>
          <w:sz w:val="26"/>
          <w:szCs w:val="26"/>
        </w:rPr>
        <w:t>il</w:t>
      </w:r>
      <w:r w:rsidR="00DC0577" w:rsidRPr="000E3A45">
        <w:rPr>
          <w:sz w:val="26"/>
          <w:szCs w:val="26"/>
        </w:rPr>
        <w:t xml:space="preserve"> de 201</w:t>
      </w:r>
      <w:r w:rsidR="006B0002">
        <w:rPr>
          <w:sz w:val="26"/>
          <w:szCs w:val="26"/>
        </w:rPr>
        <w:t>5</w:t>
      </w:r>
      <w:r w:rsidR="00DC0577" w:rsidRPr="000E3A45">
        <w:rPr>
          <w:sz w:val="26"/>
          <w:szCs w:val="26"/>
        </w:rPr>
        <w:t xml:space="preserve">, el índice Dow Jones reportó un nivel de </w:t>
      </w:r>
      <w:r w:rsidR="000A4481" w:rsidRPr="000A4481">
        <w:rPr>
          <w:rFonts w:eastAsia="Calibri"/>
          <w:sz w:val="26"/>
          <w:szCs w:val="26"/>
          <w:lang w:eastAsia="en-US"/>
        </w:rPr>
        <w:t>17</w:t>
      </w:r>
      <w:r w:rsidR="000A4481">
        <w:rPr>
          <w:rFonts w:eastAsia="Calibri"/>
          <w:sz w:val="26"/>
          <w:szCs w:val="26"/>
          <w:lang w:eastAsia="en-US"/>
        </w:rPr>
        <w:t xml:space="preserve"> mil </w:t>
      </w:r>
      <w:r w:rsidR="000A4481" w:rsidRPr="000A4481">
        <w:rPr>
          <w:rFonts w:eastAsia="Calibri"/>
          <w:sz w:val="26"/>
          <w:szCs w:val="26"/>
          <w:lang w:eastAsia="en-US"/>
        </w:rPr>
        <w:t>949</w:t>
      </w:r>
      <w:r w:rsidR="000A4481">
        <w:rPr>
          <w:rFonts w:eastAsia="Calibri"/>
          <w:sz w:val="26"/>
          <w:szCs w:val="26"/>
          <w:lang w:eastAsia="en-US"/>
        </w:rPr>
        <w:t>.</w:t>
      </w:r>
      <w:r w:rsidR="000A4481" w:rsidRPr="000A4481">
        <w:rPr>
          <w:rFonts w:eastAsia="Calibri"/>
          <w:sz w:val="26"/>
          <w:szCs w:val="26"/>
          <w:lang w:eastAsia="en-US"/>
        </w:rPr>
        <w:t>59 enteros,</w:t>
      </w:r>
      <w:r w:rsidR="00DC0577" w:rsidRPr="000E3A45">
        <w:rPr>
          <w:sz w:val="26"/>
          <w:szCs w:val="26"/>
        </w:rPr>
        <w:t xml:space="preserve"> lo que </w:t>
      </w:r>
      <w:r w:rsidR="000A4481">
        <w:rPr>
          <w:sz w:val="26"/>
          <w:szCs w:val="26"/>
        </w:rPr>
        <w:t>representó</w:t>
      </w:r>
      <w:r w:rsidR="00DC0577" w:rsidRPr="000E3A45">
        <w:rPr>
          <w:sz w:val="26"/>
          <w:szCs w:val="26"/>
        </w:rPr>
        <w:t xml:space="preserve"> una </w:t>
      </w:r>
      <w:r w:rsidR="00ED2813">
        <w:rPr>
          <w:sz w:val="26"/>
          <w:szCs w:val="26"/>
        </w:rPr>
        <w:t>utilidad de capital d</w:t>
      </w:r>
      <w:r w:rsidR="006B0002">
        <w:rPr>
          <w:sz w:val="26"/>
          <w:szCs w:val="26"/>
        </w:rPr>
        <w:t xml:space="preserve">e </w:t>
      </w:r>
      <w:r w:rsidR="00CE726E">
        <w:rPr>
          <w:sz w:val="26"/>
          <w:szCs w:val="26"/>
        </w:rPr>
        <w:t>0.</w:t>
      </w:r>
      <w:r w:rsidR="000A4481">
        <w:rPr>
          <w:sz w:val="26"/>
          <w:szCs w:val="26"/>
        </w:rPr>
        <w:t>7</w:t>
      </w:r>
      <w:r w:rsidR="00CE726E">
        <w:rPr>
          <w:sz w:val="26"/>
          <w:szCs w:val="26"/>
        </w:rPr>
        <w:t>1</w:t>
      </w:r>
      <w:r w:rsidR="000A4481">
        <w:rPr>
          <w:sz w:val="26"/>
          <w:szCs w:val="26"/>
        </w:rPr>
        <w:t xml:space="preserve"> por ciento</w:t>
      </w:r>
      <w:r w:rsidR="00CE726E">
        <w:rPr>
          <w:sz w:val="26"/>
          <w:szCs w:val="26"/>
        </w:rPr>
        <w:t>.</w:t>
      </w:r>
    </w:p>
    <w:p w14:paraId="275E9FFC" w14:textId="402268EA" w:rsidR="000A4481" w:rsidRPr="000A4481" w:rsidRDefault="000A4481" w:rsidP="000A4481">
      <w:pPr>
        <w:spacing w:after="360" w:line="360" w:lineRule="auto"/>
        <w:ind w:right="-159"/>
        <w:jc w:val="both"/>
        <w:rPr>
          <w:rFonts w:eastAsia="Calibri"/>
          <w:sz w:val="26"/>
          <w:szCs w:val="26"/>
          <w:lang w:eastAsia="en-US"/>
        </w:rPr>
      </w:pPr>
      <w:r w:rsidRPr="000A4481">
        <w:rPr>
          <w:rFonts w:eastAsia="Calibri"/>
          <w:sz w:val="26"/>
          <w:szCs w:val="26"/>
          <w:lang w:eastAsia="en-US"/>
        </w:rPr>
        <w:t>Dentro del grupo de treinta empresas del Dow Jones de Industriales, la que cerró mejor fue la firma Visa, que avanzó 0</w:t>
      </w:r>
      <w:r w:rsidR="00F81AE9">
        <w:rPr>
          <w:rFonts w:eastAsia="Calibri"/>
          <w:sz w:val="26"/>
          <w:szCs w:val="26"/>
          <w:lang w:eastAsia="en-US"/>
        </w:rPr>
        <w:t>.</w:t>
      </w:r>
      <w:r w:rsidRPr="000A4481">
        <w:rPr>
          <w:rFonts w:eastAsia="Calibri"/>
          <w:sz w:val="26"/>
          <w:szCs w:val="26"/>
          <w:lang w:eastAsia="en-US"/>
        </w:rPr>
        <w:t xml:space="preserve">97%, seguida de la compañía tecnológica Cisco </w:t>
      </w:r>
      <w:r w:rsidR="00F81AE9">
        <w:rPr>
          <w:rFonts w:eastAsia="Calibri"/>
          <w:sz w:val="26"/>
          <w:szCs w:val="26"/>
          <w:lang w:eastAsia="en-US"/>
        </w:rPr>
        <w:t xml:space="preserve">que ganó </w:t>
      </w:r>
      <w:r w:rsidRPr="000A4481">
        <w:rPr>
          <w:rFonts w:eastAsia="Calibri"/>
          <w:sz w:val="26"/>
          <w:szCs w:val="26"/>
          <w:lang w:eastAsia="en-US"/>
        </w:rPr>
        <w:t>0</w:t>
      </w:r>
      <w:r w:rsidR="00F81AE9">
        <w:rPr>
          <w:rFonts w:eastAsia="Calibri"/>
          <w:sz w:val="26"/>
          <w:szCs w:val="26"/>
          <w:lang w:eastAsia="en-US"/>
        </w:rPr>
        <w:t>.</w:t>
      </w:r>
      <w:r w:rsidRPr="000A4481">
        <w:rPr>
          <w:rFonts w:eastAsia="Calibri"/>
          <w:sz w:val="26"/>
          <w:szCs w:val="26"/>
          <w:lang w:eastAsia="en-US"/>
        </w:rPr>
        <w:t xml:space="preserve">74% y la empresa del sector de salud United Health </w:t>
      </w:r>
      <w:r w:rsidR="00F81AE9">
        <w:rPr>
          <w:rFonts w:eastAsia="Calibri"/>
          <w:sz w:val="26"/>
          <w:szCs w:val="26"/>
          <w:lang w:eastAsia="en-US"/>
        </w:rPr>
        <w:t xml:space="preserve">que subió </w:t>
      </w:r>
      <w:r w:rsidRPr="000A4481">
        <w:rPr>
          <w:rFonts w:eastAsia="Calibri"/>
          <w:sz w:val="26"/>
          <w:szCs w:val="26"/>
          <w:lang w:eastAsia="en-US"/>
        </w:rPr>
        <w:t>0</w:t>
      </w:r>
      <w:r w:rsidR="00F81AE9">
        <w:rPr>
          <w:rFonts w:eastAsia="Calibri"/>
          <w:sz w:val="26"/>
          <w:szCs w:val="26"/>
          <w:lang w:eastAsia="en-US"/>
        </w:rPr>
        <w:t>.</w:t>
      </w:r>
      <w:r w:rsidRPr="000A4481">
        <w:rPr>
          <w:rFonts w:eastAsia="Calibri"/>
          <w:sz w:val="26"/>
          <w:szCs w:val="26"/>
          <w:lang w:eastAsia="en-US"/>
        </w:rPr>
        <w:t>59%</w:t>
      </w:r>
      <w:r w:rsidR="00F81AE9">
        <w:rPr>
          <w:rFonts w:eastAsia="Calibri"/>
          <w:sz w:val="26"/>
          <w:szCs w:val="26"/>
          <w:lang w:eastAsia="en-US"/>
        </w:rPr>
        <w:t xml:space="preserve">. </w:t>
      </w:r>
      <w:r w:rsidRPr="000A4481">
        <w:rPr>
          <w:rFonts w:eastAsia="Calibri"/>
          <w:sz w:val="26"/>
          <w:szCs w:val="26"/>
          <w:lang w:eastAsia="en-US"/>
        </w:rPr>
        <w:t xml:space="preserve">Los </w:t>
      </w:r>
      <w:r w:rsidR="00F81AE9">
        <w:rPr>
          <w:rFonts w:eastAsia="Calibri"/>
          <w:sz w:val="26"/>
          <w:szCs w:val="26"/>
          <w:lang w:eastAsia="en-US"/>
        </w:rPr>
        <w:t xml:space="preserve">mayores </w:t>
      </w:r>
      <w:r w:rsidRPr="000A4481">
        <w:rPr>
          <w:rFonts w:eastAsia="Calibri"/>
          <w:sz w:val="26"/>
          <w:szCs w:val="26"/>
          <w:lang w:eastAsia="en-US"/>
        </w:rPr>
        <w:t xml:space="preserve">descensos fueron los de dos empresas que anunciaron resultados peores a lo esperado: la aseguradora Travelers </w:t>
      </w:r>
      <w:r w:rsidR="00F81AE9">
        <w:rPr>
          <w:rFonts w:eastAsia="Calibri"/>
          <w:sz w:val="26"/>
          <w:szCs w:val="26"/>
          <w:lang w:eastAsia="en-US"/>
        </w:rPr>
        <w:t xml:space="preserve">que perdió </w:t>
      </w:r>
      <w:r w:rsidRPr="000A4481">
        <w:rPr>
          <w:rFonts w:eastAsia="Calibri"/>
          <w:sz w:val="26"/>
          <w:szCs w:val="26"/>
          <w:lang w:eastAsia="en-US"/>
        </w:rPr>
        <w:t>4</w:t>
      </w:r>
      <w:r w:rsidR="00F81AE9">
        <w:rPr>
          <w:rFonts w:eastAsia="Calibri"/>
          <w:sz w:val="26"/>
          <w:szCs w:val="26"/>
          <w:lang w:eastAsia="en-US"/>
        </w:rPr>
        <w:t>.</w:t>
      </w:r>
      <w:r w:rsidRPr="000A4481">
        <w:rPr>
          <w:rFonts w:eastAsia="Calibri"/>
          <w:sz w:val="26"/>
          <w:szCs w:val="26"/>
          <w:lang w:eastAsia="en-US"/>
        </w:rPr>
        <w:t xml:space="preserve">01% y la agroquímica DuPont </w:t>
      </w:r>
      <w:r w:rsidR="00F81AE9">
        <w:rPr>
          <w:rFonts w:eastAsia="Calibri"/>
          <w:sz w:val="26"/>
          <w:szCs w:val="26"/>
          <w:lang w:eastAsia="en-US"/>
        </w:rPr>
        <w:t xml:space="preserve">que cayó </w:t>
      </w:r>
      <w:r w:rsidRPr="000A4481">
        <w:rPr>
          <w:rFonts w:eastAsia="Calibri"/>
          <w:sz w:val="26"/>
          <w:szCs w:val="26"/>
          <w:lang w:eastAsia="en-US"/>
        </w:rPr>
        <w:t>2</w:t>
      </w:r>
      <w:r w:rsidR="00F81AE9">
        <w:rPr>
          <w:rFonts w:eastAsia="Calibri"/>
          <w:sz w:val="26"/>
          <w:szCs w:val="26"/>
          <w:lang w:eastAsia="en-US"/>
        </w:rPr>
        <w:t>.</w:t>
      </w:r>
      <w:r w:rsidRPr="000A4481">
        <w:rPr>
          <w:rFonts w:eastAsia="Calibri"/>
          <w:sz w:val="26"/>
          <w:szCs w:val="26"/>
          <w:lang w:eastAsia="en-US"/>
        </w:rPr>
        <w:t>95</w:t>
      </w:r>
      <w:r w:rsidR="00F81AE9">
        <w:rPr>
          <w:rFonts w:eastAsia="Calibri"/>
          <w:sz w:val="26"/>
          <w:szCs w:val="26"/>
          <w:lang w:eastAsia="en-US"/>
        </w:rPr>
        <w:t xml:space="preserve">%, y </w:t>
      </w:r>
      <w:r w:rsidRPr="000A4481">
        <w:rPr>
          <w:rFonts w:eastAsia="Calibri"/>
          <w:sz w:val="26"/>
          <w:szCs w:val="26"/>
          <w:lang w:eastAsia="en-US"/>
        </w:rPr>
        <w:t xml:space="preserve">General Electric que </w:t>
      </w:r>
      <w:r w:rsidR="00F81AE9">
        <w:rPr>
          <w:rFonts w:eastAsia="Calibri"/>
          <w:sz w:val="26"/>
          <w:szCs w:val="26"/>
          <w:lang w:eastAsia="en-US"/>
        </w:rPr>
        <w:t xml:space="preserve">descendió </w:t>
      </w:r>
      <w:r w:rsidRPr="000A4481">
        <w:rPr>
          <w:rFonts w:eastAsia="Calibri"/>
          <w:sz w:val="26"/>
          <w:szCs w:val="26"/>
          <w:lang w:eastAsia="en-US"/>
        </w:rPr>
        <w:t>1</w:t>
      </w:r>
      <w:r w:rsidR="00F81AE9">
        <w:rPr>
          <w:rFonts w:eastAsia="Calibri"/>
          <w:sz w:val="26"/>
          <w:szCs w:val="26"/>
          <w:lang w:eastAsia="en-US"/>
        </w:rPr>
        <w:t>.</w:t>
      </w:r>
      <w:r w:rsidRPr="000A4481">
        <w:rPr>
          <w:rFonts w:eastAsia="Calibri"/>
          <w:sz w:val="26"/>
          <w:szCs w:val="26"/>
          <w:lang w:eastAsia="en-US"/>
        </w:rPr>
        <w:t>48</w:t>
      </w:r>
      <w:r w:rsidR="00F81AE9">
        <w:rPr>
          <w:rFonts w:eastAsia="Calibri"/>
          <w:sz w:val="26"/>
          <w:szCs w:val="26"/>
          <w:lang w:eastAsia="en-US"/>
        </w:rPr>
        <w:t xml:space="preserve"> por ciento</w:t>
      </w:r>
      <w:r w:rsidRPr="000A4481">
        <w:rPr>
          <w:rFonts w:eastAsia="Calibri"/>
          <w:sz w:val="26"/>
          <w:szCs w:val="26"/>
          <w:lang w:eastAsia="en-US"/>
        </w:rPr>
        <w:t>.</w:t>
      </w:r>
    </w:p>
    <w:p w14:paraId="316DA55C" w14:textId="2B20DDF7" w:rsidR="00AC53E0" w:rsidRPr="000E3A45" w:rsidRDefault="004B199F" w:rsidP="00AC53E0">
      <w:pPr>
        <w:autoSpaceDE w:val="0"/>
        <w:autoSpaceDN w:val="0"/>
        <w:adjustRightInd w:val="0"/>
        <w:spacing w:after="360" w:line="360" w:lineRule="auto"/>
        <w:ind w:right="-159"/>
        <w:jc w:val="center"/>
        <w:rPr>
          <w:sz w:val="26"/>
          <w:szCs w:val="26"/>
        </w:rPr>
      </w:pPr>
      <w:r w:rsidRPr="004B199F">
        <w:rPr>
          <w:rFonts w:ascii="Calibri" w:eastAsia="Calibri" w:hAnsi="Calibri"/>
          <w:sz w:val="22"/>
          <w:szCs w:val="22"/>
          <w:lang w:eastAsia="en-US"/>
        </w:rPr>
        <w:lastRenderedPageBreak/>
        <w:fldChar w:fldCharType="begin"/>
      </w:r>
      <w:r w:rsidRPr="004B199F">
        <w:rPr>
          <w:rFonts w:ascii="Calibri" w:eastAsia="Calibri" w:hAnsi="Calibri"/>
          <w:sz w:val="22"/>
          <w:szCs w:val="22"/>
          <w:lang w:eastAsia="en-US"/>
        </w:rPr>
        <w:instrText xml:space="preserve"> LINK PowerPoint.Slide.8 "D:\\2015\\ABRIL\\GRÁFICAS POWER POINT\\28.-GRÁFICAS DE BOLSAS.pptx!268"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5B46C24E" wp14:editId="5BECEBD9">
            <wp:extent cx="4559935" cy="2879090"/>
            <wp:effectExtent l="0" t="0" r="0" b="0"/>
            <wp:docPr id="1895" name="Imagen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467" cstate="print">
                      <a:extLst>
                        <a:ext uri="{28A0092B-C50C-407E-A947-70E740481C1C}">
                          <a14:useLocalDpi xmlns:a14="http://schemas.microsoft.com/office/drawing/2010/main" val="0"/>
                        </a:ext>
                      </a:extLst>
                    </a:blip>
                    <a:srcRect t="8952" b="6969"/>
                    <a:stretch>
                      <a:fillRect/>
                    </a:stretch>
                  </pic:blipFill>
                  <pic:spPr bwMode="auto">
                    <a:xfrm>
                      <a:off x="0" y="0"/>
                      <a:ext cx="4559935" cy="2879090"/>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566D9097" w14:textId="2D4A1474" w:rsidR="005C1D57" w:rsidRPr="000E3A45" w:rsidRDefault="000A4481" w:rsidP="000A4481">
      <w:pPr>
        <w:spacing w:after="360" w:line="360" w:lineRule="auto"/>
        <w:ind w:right="-159"/>
        <w:jc w:val="both"/>
        <w:rPr>
          <w:sz w:val="26"/>
          <w:szCs w:val="26"/>
        </w:rPr>
      </w:pPr>
      <w:r w:rsidRPr="000A4481">
        <w:rPr>
          <w:rFonts w:eastAsia="Calibri"/>
          <w:sz w:val="26"/>
          <w:szCs w:val="26"/>
          <w:lang w:eastAsia="en-US"/>
        </w:rPr>
        <w:t xml:space="preserve">Por su parte, </w:t>
      </w:r>
      <w:r>
        <w:rPr>
          <w:rFonts w:eastAsia="Calibri"/>
          <w:sz w:val="26"/>
          <w:szCs w:val="26"/>
          <w:lang w:eastAsia="en-US"/>
        </w:rPr>
        <w:t xml:space="preserve">al cierre de la jornada bursátil del 21 de abril de 2015, </w:t>
      </w:r>
      <w:r w:rsidRPr="000A4481">
        <w:rPr>
          <w:rFonts w:eastAsia="Calibri"/>
          <w:sz w:val="26"/>
          <w:szCs w:val="26"/>
          <w:lang w:eastAsia="en-US"/>
        </w:rPr>
        <w:t>el índice compuesto del mercado Nasdaq, en el que operan las principales firmas tecnológicas, s</w:t>
      </w:r>
      <w:r>
        <w:rPr>
          <w:rFonts w:eastAsia="Calibri"/>
          <w:sz w:val="26"/>
          <w:szCs w:val="26"/>
          <w:lang w:eastAsia="en-US"/>
        </w:rPr>
        <w:t xml:space="preserve">e ubicó en </w:t>
      </w:r>
      <w:r w:rsidRPr="000A4481">
        <w:rPr>
          <w:rFonts w:eastAsia="Calibri"/>
          <w:sz w:val="26"/>
          <w:szCs w:val="26"/>
          <w:lang w:eastAsia="en-US"/>
        </w:rPr>
        <w:t>5</w:t>
      </w:r>
      <w:r>
        <w:rPr>
          <w:rFonts w:eastAsia="Calibri"/>
          <w:sz w:val="26"/>
          <w:szCs w:val="26"/>
          <w:lang w:eastAsia="en-US"/>
        </w:rPr>
        <w:t xml:space="preserve"> mil </w:t>
      </w:r>
      <w:r w:rsidRPr="000A4481">
        <w:rPr>
          <w:rFonts w:eastAsia="Calibri"/>
          <w:sz w:val="26"/>
          <w:szCs w:val="26"/>
          <w:lang w:eastAsia="en-US"/>
        </w:rPr>
        <w:t>14</w:t>
      </w:r>
      <w:r>
        <w:rPr>
          <w:rFonts w:eastAsia="Calibri"/>
          <w:sz w:val="26"/>
          <w:szCs w:val="26"/>
          <w:lang w:eastAsia="en-US"/>
        </w:rPr>
        <w:t>.</w:t>
      </w:r>
      <w:r w:rsidRPr="000A4481">
        <w:rPr>
          <w:rFonts w:eastAsia="Calibri"/>
          <w:sz w:val="26"/>
          <w:szCs w:val="26"/>
          <w:lang w:eastAsia="en-US"/>
        </w:rPr>
        <w:t xml:space="preserve">10 </w:t>
      </w:r>
      <w:r>
        <w:rPr>
          <w:rFonts w:eastAsia="Calibri"/>
          <w:sz w:val="26"/>
          <w:szCs w:val="26"/>
          <w:lang w:eastAsia="en-US"/>
        </w:rPr>
        <w:t>unidades, lo que significó una ganancia acumulada en el año de 5.87%</w:t>
      </w:r>
      <w:r w:rsidRPr="000A4481">
        <w:rPr>
          <w:rFonts w:eastAsia="Calibri"/>
          <w:sz w:val="26"/>
          <w:szCs w:val="26"/>
          <w:lang w:eastAsia="en-US"/>
        </w:rPr>
        <w:t>.</w:t>
      </w:r>
      <w:r>
        <w:rPr>
          <w:rFonts w:eastAsia="Calibri"/>
          <w:sz w:val="26"/>
          <w:szCs w:val="26"/>
          <w:lang w:eastAsia="en-US"/>
        </w:rPr>
        <w:t xml:space="preserve"> </w:t>
      </w:r>
      <w:r w:rsidRPr="000A4481">
        <w:rPr>
          <w:rFonts w:eastAsia="Calibri"/>
          <w:sz w:val="26"/>
          <w:szCs w:val="26"/>
          <w:lang w:eastAsia="en-US"/>
        </w:rPr>
        <w:t>Con es</w:t>
      </w:r>
      <w:r>
        <w:rPr>
          <w:rFonts w:eastAsia="Calibri"/>
          <w:sz w:val="26"/>
          <w:szCs w:val="26"/>
          <w:lang w:eastAsia="en-US"/>
        </w:rPr>
        <w:t>t</w:t>
      </w:r>
      <w:r w:rsidRPr="000A4481">
        <w:rPr>
          <w:rFonts w:eastAsia="Calibri"/>
          <w:sz w:val="26"/>
          <w:szCs w:val="26"/>
          <w:lang w:eastAsia="en-US"/>
        </w:rPr>
        <w:t xml:space="preserve">e resultado, el Nasdaq se quedó a doce puntos de su máximo en quince años, </w:t>
      </w:r>
      <w:r>
        <w:rPr>
          <w:rFonts w:eastAsia="Calibri"/>
          <w:sz w:val="26"/>
          <w:szCs w:val="26"/>
          <w:lang w:eastAsia="en-US"/>
        </w:rPr>
        <w:t xml:space="preserve">que ocurrió </w:t>
      </w:r>
      <w:r w:rsidRPr="000A4481">
        <w:rPr>
          <w:rFonts w:eastAsia="Calibri"/>
          <w:sz w:val="26"/>
          <w:szCs w:val="26"/>
          <w:lang w:eastAsia="en-US"/>
        </w:rPr>
        <w:t>el 20 de marzo pasado</w:t>
      </w:r>
      <w:r w:rsidR="00F81AE9">
        <w:rPr>
          <w:rFonts w:eastAsia="Calibri"/>
          <w:sz w:val="26"/>
          <w:szCs w:val="26"/>
          <w:lang w:eastAsia="en-US"/>
        </w:rPr>
        <w:t xml:space="preserve"> (5 mil 26.42 unidades)</w:t>
      </w:r>
      <w:r w:rsidRPr="000A4481">
        <w:rPr>
          <w:rFonts w:eastAsia="Calibri"/>
          <w:sz w:val="26"/>
          <w:szCs w:val="26"/>
          <w:lang w:eastAsia="en-US"/>
        </w:rPr>
        <w:t>.</w:t>
      </w:r>
      <w:r w:rsidR="001C56E4">
        <w:rPr>
          <w:rFonts w:eastAsia="Calibri"/>
          <w:sz w:val="26"/>
          <w:szCs w:val="26"/>
          <w:lang w:eastAsia="en-US"/>
        </w:rPr>
        <w:t xml:space="preserve"> </w:t>
      </w:r>
      <w:r w:rsidR="001C56E4" w:rsidRPr="001C56E4">
        <w:rPr>
          <w:rFonts w:eastAsia="Calibri"/>
          <w:sz w:val="26"/>
          <w:szCs w:val="26"/>
          <w:lang w:eastAsia="en-US"/>
        </w:rPr>
        <w:t>A</w:t>
      </w:r>
      <w:r w:rsidR="001C56E4">
        <w:rPr>
          <w:rFonts w:eastAsia="Calibri"/>
          <w:sz w:val="26"/>
          <w:szCs w:val="26"/>
          <w:lang w:eastAsia="en-US"/>
        </w:rPr>
        <w:t xml:space="preserve">unque se acerca a </w:t>
      </w:r>
      <w:r w:rsidR="001C56E4" w:rsidRPr="001C56E4">
        <w:rPr>
          <w:rFonts w:eastAsia="Calibri"/>
          <w:sz w:val="26"/>
          <w:szCs w:val="26"/>
          <w:lang w:eastAsia="en-US"/>
        </w:rPr>
        <w:t>los 5</w:t>
      </w:r>
      <w:r w:rsidR="001C56E4">
        <w:rPr>
          <w:rFonts w:eastAsia="Calibri"/>
          <w:sz w:val="26"/>
          <w:szCs w:val="26"/>
          <w:lang w:eastAsia="en-US"/>
        </w:rPr>
        <w:t xml:space="preserve"> mil </w:t>
      </w:r>
      <w:r w:rsidR="001C56E4" w:rsidRPr="001C56E4">
        <w:rPr>
          <w:rFonts w:eastAsia="Calibri"/>
          <w:sz w:val="26"/>
          <w:szCs w:val="26"/>
          <w:lang w:eastAsia="en-US"/>
        </w:rPr>
        <w:t>48</w:t>
      </w:r>
      <w:r w:rsidR="001C56E4">
        <w:rPr>
          <w:rFonts w:eastAsia="Calibri"/>
          <w:sz w:val="26"/>
          <w:szCs w:val="26"/>
          <w:lang w:eastAsia="en-US"/>
        </w:rPr>
        <w:t>.</w:t>
      </w:r>
      <w:r w:rsidR="001C56E4" w:rsidRPr="001C56E4">
        <w:rPr>
          <w:rFonts w:eastAsia="Calibri"/>
          <w:sz w:val="26"/>
          <w:szCs w:val="26"/>
          <w:lang w:eastAsia="en-US"/>
        </w:rPr>
        <w:t xml:space="preserve">62 </w:t>
      </w:r>
      <w:r w:rsidR="001C56E4">
        <w:rPr>
          <w:rFonts w:eastAsia="Calibri"/>
          <w:sz w:val="26"/>
          <w:szCs w:val="26"/>
          <w:lang w:eastAsia="en-US"/>
        </w:rPr>
        <w:t>unidades</w:t>
      </w:r>
      <w:r w:rsidR="001C56E4" w:rsidRPr="001C56E4">
        <w:rPr>
          <w:rFonts w:eastAsia="Calibri"/>
          <w:sz w:val="26"/>
          <w:szCs w:val="26"/>
          <w:lang w:eastAsia="en-US"/>
        </w:rPr>
        <w:t xml:space="preserve"> de su récord </w:t>
      </w:r>
      <w:r w:rsidR="001C56E4">
        <w:rPr>
          <w:rFonts w:eastAsia="Calibri"/>
          <w:sz w:val="26"/>
          <w:szCs w:val="26"/>
          <w:lang w:eastAsia="en-US"/>
        </w:rPr>
        <w:t>d</w:t>
      </w:r>
      <w:r w:rsidR="001C56E4" w:rsidRPr="001C56E4">
        <w:rPr>
          <w:rFonts w:eastAsia="Calibri"/>
          <w:sz w:val="26"/>
          <w:szCs w:val="26"/>
          <w:lang w:eastAsia="en-US"/>
        </w:rPr>
        <w:t>el 10 de marzo del 2000</w:t>
      </w:r>
      <w:r w:rsidR="001C56E4">
        <w:rPr>
          <w:rFonts w:eastAsia="Calibri"/>
          <w:sz w:val="26"/>
          <w:szCs w:val="26"/>
          <w:lang w:eastAsia="en-US"/>
        </w:rPr>
        <w:t>.</w:t>
      </w:r>
    </w:p>
    <w:p w14:paraId="4450C659" w14:textId="1AF59469" w:rsidR="00883C19" w:rsidRPr="000E3A45" w:rsidRDefault="004B199F" w:rsidP="00883C19">
      <w:pPr>
        <w:spacing w:after="360" w:line="360" w:lineRule="auto"/>
        <w:ind w:right="-159"/>
        <w:jc w:val="center"/>
        <w:rPr>
          <w:sz w:val="26"/>
          <w:szCs w:val="26"/>
        </w:rPr>
      </w:pPr>
      <w:r w:rsidRPr="004B199F">
        <w:rPr>
          <w:rFonts w:ascii="Calibri" w:eastAsia="Calibri" w:hAnsi="Calibri"/>
          <w:sz w:val="22"/>
          <w:szCs w:val="22"/>
          <w:lang w:eastAsia="en-US"/>
        </w:rPr>
        <w:fldChar w:fldCharType="begin"/>
      </w:r>
      <w:r w:rsidRPr="004B199F">
        <w:rPr>
          <w:rFonts w:ascii="Calibri" w:eastAsia="Calibri" w:hAnsi="Calibri"/>
          <w:sz w:val="22"/>
          <w:szCs w:val="22"/>
          <w:lang w:eastAsia="en-US"/>
        </w:rPr>
        <w:instrText xml:space="preserve"> LINK PowerPoint.Slide.8 "D:\\2015\\ABRIL\\GRÁFICAS POWER POINT\\28.-GRÁFICAS DE BOLSAS.pptx!271"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0228FE9E" wp14:editId="5CE010E9">
            <wp:extent cx="4497705" cy="2953385"/>
            <wp:effectExtent l="0" t="0" r="0" b="0"/>
            <wp:docPr id="1896" name="Imagen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468" cstate="print">
                      <a:extLst>
                        <a:ext uri="{28A0092B-C50C-407E-A947-70E740481C1C}">
                          <a14:useLocalDpi xmlns:a14="http://schemas.microsoft.com/office/drawing/2010/main" val="0"/>
                        </a:ext>
                      </a:extLst>
                    </a:blip>
                    <a:srcRect l="1653" t="6204" b="7391"/>
                    <a:stretch>
                      <a:fillRect/>
                    </a:stretch>
                  </pic:blipFill>
                  <pic:spPr bwMode="auto">
                    <a:xfrm>
                      <a:off x="0" y="0"/>
                      <a:ext cx="4497705" cy="2953385"/>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1947314A" w14:textId="7003125F" w:rsidR="006B0002" w:rsidRDefault="00866747" w:rsidP="006F3718">
      <w:pPr>
        <w:spacing w:after="360" w:line="360" w:lineRule="auto"/>
        <w:ind w:right="-159"/>
        <w:jc w:val="both"/>
        <w:rPr>
          <w:sz w:val="26"/>
          <w:szCs w:val="26"/>
        </w:rPr>
      </w:pPr>
      <w:r w:rsidRPr="000E3A45">
        <w:rPr>
          <w:sz w:val="26"/>
          <w:szCs w:val="26"/>
        </w:rPr>
        <w:lastRenderedPageBreak/>
        <w:t xml:space="preserve">En Europa, </w:t>
      </w:r>
      <w:r w:rsidR="00D752B3">
        <w:rPr>
          <w:sz w:val="26"/>
          <w:szCs w:val="26"/>
        </w:rPr>
        <w:t xml:space="preserve">la evolución de los mercados accionarios </w:t>
      </w:r>
      <w:r w:rsidR="00CE726E">
        <w:rPr>
          <w:sz w:val="26"/>
          <w:szCs w:val="26"/>
        </w:rPr>
        <w:t xml:space="preserve">fue el </w:t>
      </w:r>
      <w:r w:rsidR="00D752B3">
        <w:rPr>
          <w:sz w:val="26"/>
          <w:szCs w:val="26"/>
        </w:rPr>
        <w:t>reflejo del</w:t>
      </w:r>
      <w:r w:rsidR="00F81AE9">
        <w:rPr>
          <w:sz w:val="26"/>
          <w:szCs w:val="26"/>
        </w:rPr>
        <w:t xml:space="preserve"> alza en los mercados estadounidenses</w:t>
      </w:r>
      <w:r w:rsidR="00D752B3">
        <w:rPr>
          <w:sz w:val="26"/>
          <w:szCs w:val="26"/>
        </w:rPr>
        <w:t>.</w:t>
      </w:r>
    </w:p>
    <w:p w14:paraId="69D627D6" w14:textId="031FB074" w:rsidR="006F3718" w:rsidRPr="000E3A45" w:rsidRDefault="009F7F1B" w:rsidP="006F3718">
      <w:pPr>
        <w:spacing w:after="360" w:line="360" w:lineRule="auto"/>
        <w:ind w:right="-159"/>
        <w:jc w:val="both"/>
        <w:rPr>
          <w:sz w:val="26"/>
          <w:szCs w:val="26"/>
        </w:rPr>
      </w:pPr>
      <w:r w:rsidRPr="000E3A45">
        <w:rPr>
          <w:sz w:val="26"/>
          <w:szCs w:val="26"/>
        </w:rPr>
        <w:t xml:space="preserve">Así, </w:t>
      </w:r>
      <w:r w:rsidR="001F1CEA">
        <w:rPr>
          <w:sz w:val="26"/>
          <w:szCs w:val="26"/>
        </w:rPr>
        <w:t>del 31 de diciembre de 2014 al</w:t>
      </w:r>
      <w:r w:rsidR="006F3718" w:rsidRPr="000E3A45">
        <w:rPr>
          <w:sz w:val="26"/>
          <w:szCs w:val="26"/>
        </w:rPr>
        <w:t xml:space="preserve"> </w:t>
      </w:r>
      <w:r w:rsidR="00F81AE9">
        <w:rPr>
          <w:sz w:val="26"/>
          <w:szCs w:val="26"/>
        </w:rPr>
        <w:t>2</w:t>
      </w:r>
      <w:r w:rsidR="004658AB" w:rsidRPr="000E3A45">
        <w:rPr>
          <w:sz w:val="26"/>
          <w:szCs w:val="26"/>
        </w:rPr>
        <w:t>1</w:t>
      </w:r>
      <w:r w:rsidR="006F3718" w:rsidRPr="000E3A45">
        <w:rPr>
          <w:sz w:val="26"/>
          <w:szCs w:val="26"/>
        </w:rPr>
        <w:t xml:space="preserve"> de </w:t>
      </w:r>
      <w:r w:rsidR="00CE726E">
        <w:rPr>
          <w:sz w:val="26"/>
          <w:szCs w:val="26"/>
        </w:rPr>
        <w:t>a</w:t>
      </w:r>
      <w:r w:rsidR="00F81AE9">
        <w:rPr>
          <w:sz w:val="26"/>
          <w:szCs w:val="26"/>
        </w:rPr>
        <w:t>b</w:t>
      </w:r>
      <w:r w:rsidR="00CE726E">
        <w:rPr>
          <w:sz w:val="26"/>
          <w:szCs w:val="26"/>
        </w:rPr>
        <w:t>r</w:t>
      </w:r>
      <w:r w:rsidR="00F81AE9">
        <w:rPr>
          <w:sz w:val="26"/>
          <w:szCs w:val="26"/>
        </w:rPr>
        <w:t>il</w:t>
      </w:r>
      <w:r w:rsidR="006F3718" w:rsidRPr="000E3A45">
        <w:rPr>
          <w:sz w:val="26"/>
          <w:szCs w:val="26"/>
        </w:rPr>
        <w:t xml:space="preserve"> de 201</w:t>
      </w:r>
      <w:r w:rsidR="006B0002">
        <w:rPr>
          <w:sz w:val="26"/>
          <w:szCs w:val="26"/>
        </w:rPr>
        <w:t>5</w:t>
      </w:r>
      <w:r w:rsidR="006F3718" w:rsidRPr="000E3A45">
        <w:rPr>
          <w:sz w:val="26"/>
          <w:szCs w:val="26"/>
        </w:rPr>
        <w:t xml:space="preserve">, </w:t>
      </w:r>
      <w:r w:rsidR="006862EC" w:rsidRPr="000E3A45">
        <w:rPr>
          <w:sz w:val="26"/>
          <w:szCs w:val="26"/>
        </w:rPr>
        <w:t xml:space="preserve">el índice accionario de Alemania  (Dax) </w:t>
      </w:r>
      <w:r w:rsidR="00F81AE9">
        <w:rPr>
          <w:sz w:val="26"/>
          <w:szCs w:val="26"/>
        </w:rPr>
        <w:t>r</w:t>
      </w:r>
      <w:r w:rsidR="001F1CEA">
        <w:rPr>
          <w:sz w:val="26"/>
          <w:szCs w:val="26"/>
        </w:rPr>
        <w:t>eportó</w:t>
      </w:r>
      <w:r w:rsidR="006862EC" w:rsidRPr="000E3A45">
        <w:rPr>
          <w:sz w:val="26"/>
          <w:szCs w:val="26"/>
        </w:rPr>
        <w:t xml:space="preserve"> una </w:t>
      </w:r>
      <w:r w:rsidR="00A52055">
        <w:rPr>
          <w:sz w:val="26"/>
          <w:szCs w:val="26"/>
        </w:rPr>
        <w:t>ganancia</w:t>
      </w:r>
      <w:r w:rsidR="006862EC" w:rsidRPr="000E3A45">
        <w:rPr>
          <w:sz w:val="26"/>
          <w:szCs w:val="26"/>
        </w:rPr>
        <w:t xml:space="preserve"> de capital de </w:t>
      </w:r>
      <w:r w:rsidR="001F1CEA">
        <w:rPr>
          <w:sz w:val="26"/>
          <w:szCs w:val="26"/>
        </w:rPr>
        <w:t>2</w:t>
      </w:r>
      <w:r w:rsidR="00F81AE9">
        <w:rPr>
          <w:sz w:val="26"/>
          <w:szCs w:val="26"/>
        </w:rPr>
        <w:t>1</w:t>
      </w:r>
      <w:r w:rsidR="001F1CEA">
        <w:rPr>
          <w:sz w:val="26"/>
          <w:szCs w:val="26"/>
        </w:rPr>
        <w:t>.</w:t>
      </w:r>
      <w:r w:rsidR="00F81AE9">
        <w:rPr>
          <w:sz w:val="26"/>
          <w:szCs w:val="26"/>
        </w:rPr>
        <w:t>76</w:t>
      </w:r>
      <w:r w:rsidR="006862EC" w:rsidRPr="000E3A45">
        <w:rPr>
          <w:sz w:val="26"/>
          <w:szCs w:val="26"/>
        </w:rPr>
        <w:t>%</w:t>
      </w:r>
      <w:r w:rsidR="001F1CEA">
        <w:rPr>
          <w:sz w:val="26"/>
          <w:szCs w:val="26"/>
        </w:rPr>
        <w:t>;</w:t>
      </w:r>
      <w:r w:rsidR="00A52055">
        <w:rPr>
          <w:sz w:val="26"/>
          <w:szCs w:val="26"/>
        </w:rPr>
        <w:t xml:space="preserve"> </w:t>
      </w:r>
      <w:r w:rsidR="00E62314" w:rsidRPr="000E3A45">
        <w:rPr>
          <w:sz w:val="26"/>
          <w:szCs w:val="26"/>
        </w:rPr>
        <w:t xml:space="preserve">mientras que </w:t>
      </w:r>
      <w:r w:rsidR="009D3D3A" w:rsidRPr="000E3A45">
        <w:rPr>
          <w:sz w:val="26"/>
          <w:szCs w:val="26"/>
        </w:rPr>
        <w:t xml:space="preserve">el </w:t>
      </w:r>
      <w:r w:rsidR="006F3718" w:rsidRPr="000E3A45">
        <w:rPr>
          <w:sz w:val="26"/>
          <w:szCs w:val="26"/>
        </w:rPr>
        <w:t>í</w:t>
      </w:r>
      <w:r w:rsidR="00E62314" w:rsidRPr="000E3A45">
        <w:rPr>
          <w:sz w:val="26"/>
          <w:szCs w:val="26"/>
        </w:rPr>
        <w:t>n</w:t>
      </w:r>
      <w:r w:rsidR="006F3718" w:rsidRPr="000E3A45">
        <w:rPr>
          <w:sz w:val="26"/>
          <w:szCs w:val="26"/>
        </w:rPr>
        <w:t xml:space="preserve">dice bursátil de </w:t>
      </w:r>
      <w:r w:rsidR="00802464" w:rsidRPr="000E3A45">
        <w:rPr>
          <w:sz w:val="26"/>
          <w:szCs w:val="26"/>
        </w:rPr>
        <w:t>Inglaterra (FTSE-100)</w:t>
      </w:r>
      <w:r w:rsidR="009D3D3A" w:rsidRPr="000E3A45">
        <w:rPr>
          <w:sz w:val="26"/>
          <w:szCs w:val="26"/>
        </w:rPr>
        <w:t xml:space="preserve"> </w:t>
      </w:r>
      <w:r w:rsidR="001F1CEA">
        <w:rPr>
          <w:sz w:val="26"/>
          <w:szCs w:val="26"/>
        </w:rPr>
        <w:t xml:space="preserve">registró una utilidad de </w:t>
      </w:r>
      <w:r w:rsidR="00F81AE9">
        <w:rPr>
          <w:sz w:val="26"/>
          <w:szCs w:val="26"/>
        </w:rPr>
        <w:t>7.57</w:t>
      </w:r>
      <w:r w:rsidRPr="000E3A45">
        <w:rPr>
          <w:sz w:val="26"/>
          <w:szCs w:val="26"/>
        </w:rPr>
        <w:t>%.</w:t>
      </w:r>
      <w:r w:rsidR="009D3D3A" w:rsidRPr="000E3A45">
        <w:rPr>
          <w:sz w:val="26"/>
          <w:szCs w:val="26"/>
        </w:rPr>
        <w:t xml:space="preserve"> </w:t>
      </w:r>
      <w:r w:rsidR="001F1CEA">
        <w:rPr>
          <w:sz w:val="26"/>
          <w:szCs w:val="26"/>
        </w:rPr>
        <w:t xml:space="preserve">Asimismo, </w:t>
      </w:r>
      <w:r w:rsidR="008C5A67" w:rsidRPr="000E3A45">
        <w:rPr>
          <w:sz w:val="26"/>
          <w:szCs w:val="26"/>
        </w:rPr>
        <w:t xml:space="preserve">los mercados bursátiles </w:t>
      </w:r>
      <w:r w:rsidR="00E62314" w:rsidRPr="000E3A45">
        <w:rPr>
          <w:sz w:val="26"/>
          <w:szCs w:val="26"/>
        </w:rPr>
        <w:t>en Asia</w:t>
      </w:r>
      <w:r w:rsidR="00A52055">
        <w:rPr>
          <w:sz w:val="26"/>
          <w:szCs w:val="26"/>
        </w:rPr>
        <w:t xml:space="preserve"> registraron </w:t>
      </w:r>
      <w:r w:rsidR="00EC2E65">
        <w:rPr>
          <w:sz w:val="26"/>
          <w:szCs w:val="26"/>
        </w:rPr>
        <w:t>incrementos</w:t>
      </w:r>
      <w:r w:rsidR="00671E53" w:rsidRPr="000E3A45">
        <w:rPr>
          <w:sz w:val="26"/>
          <w:szCs w:val="26"/>
        </w:rPr>
        <w:t>,</w:t>
      </w:r>
      <w:r w:rsidR="00E62314" w:rsidRPr="000E3A45">
        <w:rPr>
          <w:sz w:val="26"/>
          <w:szCs w:val="26"/>
        </w:rPr>
        <w:t xml:space="preserve"> </w:t>
      </w:r>
      <w:r w:rsidR="001F1CEA">
        <w:rPr>
          <w:sz w:val="26"/>
          <w:szCs w:val="26"/>
        </w:rPr>
        <w:t>e</w:t>
      </w:r>
      <w:r w:rsidR="00F81AE9">
        <w:rPr>
          <w:sz w:val="26"/>
          <w:szCs w:val="26"/>
        </w:rPr>
        <w:t xml:space="preserve">l índice accionario de </w:t>
      </w:r>
      <w:r w:rsidR="00F81AE9" w:rsidRPr="000E3A45">
        <w:rPr>
          <w:sz w:val="26"/>
          <w:szCs w:val="26"/>
        </w:rPr>
        <w:t xml:space="preserve">China (Hang Seng) </w:t>
      </w:r>
      <w:r w:rsidR="00F81AE9">
        <w:rPr>
          <w:sz w:val="26"/>
          <w:szCs w:val="26"/>
        </w:rPr>
        <w:t xml:space="preserve">obtuvo una ganancia de 16.84% y el de </w:t>
      </w:r>
      <w:r w:rsidR="001F1CEA" w:rsidRPr="000E3A45">
        <w:rPr>
          <w:sz w:val="26"/>
          <w:szCs w:val="26"/>
        </w:rPr>
        <w:t xml:space="preserve">Japón (Nikkei) </w:t>
      </w:r>
      <w:r w:rsidR="001F1CEA">
        <w:rPr>
          <w:sz w:val="26"/>
          <w:szCs w:val="26"/>
        </w:rPr>
        <w:t>se elevó 1</w:t>
      </w:r>
      <w:r w:rsidR="00F81AE9">
        <w:rPr>
          <w:sz w:val="26"/>
          <w:szCs w:val="26"/>
        </w:rPr>
        <w:t>4.09 por ciento.</w:t>
      </w:r>
    </w:p>
    <w:p w14:paraId="57C31EF9" w14:textId="383EDD5E" w:rsidR="006F3718" w:rsidRPr="000E3A45" w:rsidRDefault="004B199F" w:rsidP="006F3718">
      <w:pPr>
        <w:spacing w:after="360" w:line="360" w:lineRule="auto"/>
        <w:ind w:right="-159"/>
        <w:jc w:val="center"/>
        <w:rPr>
          <w:sz w:val="26"/>
          <w:szCs w:val="26"/>
        </w:rPr>
      </w:pPr>
      <w:r w:rsidRPr="004B199F">
        <w:rPr>
          <w:rFonts w:ascii="Calibri" w:eastAsia="Calibri" w:hAnsi="Calibri"/>
          <w:sz w:val="22"/>
          <w:szCs w:val="22"/>
          <w:lang w:eastAsia="en-US"/>
        </w:rPr>
        <w:fldChar w:fldCharType="begin"/>
      </w:r>
      <w:r w:rsidRPr="004B199F">
        <w:rPr>
          <w:rFonts w:ascii="Calibri" w:eastAsia="Calibri" w:hAnsi="Calibri"/>
          <w:sz w:val="22"/>
          <w:szCs w:val="22"/>
          <w:lang w:eastAsia="en-US"/>
        </w:rPr>
        <w:instrText xml:space="preserve"> LINK PowerPoint.Slide.8 "D:\\2015\\ABRIL\\GRÁFICAS POWER POINT\\28.-GRÁFICAS DE BOLSAS.pptx!260"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765DC67B" wp14:editId="6A64CDFA">
            <wp:extent cx="4232275" cy="3008630"/>
            <wp:effectExtent l="0" t="0" r="0" b="1270"/>
            <wp:docPr id="1897" name="Imagen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8"/>
                    <pic:cNvPicPr>
                      <a:picLocks noChangeAspect="1" noChangeArrowheads="1"/>
                    </pic:cNvPicPr>
                  </pic:nvPicPr>
                  <pic:blipFill>
                    <a:blip r:embed="rId469" cstate="print">
                      <a:extLst>
                        <a:ext uri="{28A0092B-C50C-407E-A947-70E740481C1C}">
                          <a14:useLocalDpi xmlns:a14="http://schemas.microsoft.com/office/drawing/2010/main" val="0"/>
                        </a:ext>
                      </a:extLst>
                    </a:blip>
                    <a:srcRect l="3287" t="5376" r="3886" b="6766"/>
                    <a:stretch>
                      <a:fillRect/>
                    </a:stretch>
                  </pic:blipFill>
                  <pic:spPr bwMode="auto">
                    <a:xfrm>
                      <a:off x="0" y="0"/>
                      <a:ext cx="4232275" cy="3008630"/>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73881550" w14:textId="77777777" w:rsidR="00890B91" w:rsidRPr="000E3A45" w:rsidRDefault="00890B91" w:rsidP="00890B91">
      <w:pPr>
        <w:ind w:right="-159"/>
        <w:rPr>
          <w:b/>
          <w:sz w:val="20"/>
          <w:szCs w:val="20"/>
        </w:rPr>
      </w:pPr>
      <w:r w:rsidRPr="000E3A45">
        <w:rPr>
          <w:b/>
          <w:sz w:val="20"/>
          <w:szCs w:val="20"/>
        </w:rPr>
        <w:t>Fuente de información:</w:t>
      </w:r>
    </w:p>
    <w:p w14:paraId="00D32B4D" w14:textId="1CD565F3" w:rsidR="006F3718" w:rsidRPr="000E3A45" w:rsidRDefault="00890B91" w:rsidP="00890B91">
      <w:pPr>
        <w:ind w:right="-159"/>
        <w:rPr>
          <w:sz w:val="20"/>
          <w:szCs w:val="20"/>
        </w:rPr>
      </w:pPr>
      <w:r w:rsidRPr="000E3A45">
        <w:rPr>
          <w:sz w:val="20"/>
          <w:szCs w:val="20"/>
        </w:rPr>
        <w:t xml:space="preserve">Periódico </w:t>
      </w:r>
      <w:r w:rsidR="00097EFB" w:rsidRPr="000E3A45">
        <w:rPr>
          <w:sz w:val="20"/>
          <w:szCs w:val="20"/>
        </w:rPr>
        <w:t>Reforma</w:t>
      </w:r>
      <w:r w:rsidRPr="000E3A45">
        <w:rPr>
          <w:sz w:val="20"/>
          <w:szCs w:val="20"/>
        </w:rPr>
        <w:t xml:space="preserve">, </w:t>
      </w:r>
      <w:r w:rsidR="00F81AE9">
        <w:rPr>
          <w:sz w:val="20"/>
          <w:szCs w:val="20"/>
        </w:rPr>
        <w:t>22</w:t>
      </w:r>
      <w:r w:rsidR="00331E16" w:rsidRPr="000E3A45">
        <w:rPr>
          <w:sz w:val="20"/>
          <w:szCs w:val="20"/>
        </w:rPr>
        <w:t xml:space="preserve"> </w:t>
      </w:r>
      <w:r w:rsidRPr="000E3A45">
        <w:rPr>
          <w:sz w:val="20"/>
          <w:szCs w:val="20"/>
        </w:rPr>
        <w:t xml:space="preserve">de </w:t>
      </w:r>
      <w:r w:rsidR="00770ED0">
        <w:rPr>
          <w:sz w:val="20"/>
          <w:szCs w:val="20"/>
        </w:rPr>
        <w:t>a</w:t>
      </w:r>
      <w:r w:rsidR="00F81AE9">
        <w:rPr>
          <w:sz w:val="20"/>
          <w:szCs w:val="20"/>
        </w:rPr>
        <w:t>b</w:t>
      </w:r>
      <w:r w:rsidR="00770ED0">
        <w:rPr>
          <w:sz w:val="20"/>
          <w:szCs w:val="20"/>
        </w:rPr>
        <w:t>r</w:t>
      </w:r>
      <w:r w:rsidR="00F81AE9">
        <w:rPr>
          <w:sz w:val="20"/>
          <w:szCs w:val="20"/>
        </w:rPr>
        <w:t>il</w:t>
      </w:r>
      <w:r w:rsidR="00331E16" w:rsidRPr="000E3A45">
        <w:rPr>
          <w:sz w:val="20"/>
          <w:szCs w:val="20"/>
        </w:rPr>
        <w:t xml:space="preserve"> d</w:t>
      </w:r>
      <w:r w:rsidRPr="000E3A45">
        <w:rPr>
          <w:sz w:val="20"/>
          <w:szCs w:val="20"/>
        </w:rPr>
        <w:t>e 201</w:t>
      </w:r>
      <w:r w:rsidR="005B763B">
        <w:rPr>
          <w:sz w:val="20"/>
          <w:szCs w:val="20"/>
        </w:rPr>
        <w:t>5</w:t>
      </w:r>
      <w:r w:rsidR="00097EFB" w:rsidRPr="000E3A45">
        <w:rPr>
          <w:sz w:val="20"/>
          <w:szCs w:val="20"/>
        </w:rPr>
        <w:t>, sección negocios</w:t>
      </w:r>
      <w:r w:rsidRPr="000E3A45">
        <w:rPr>
          <w:sz w:val="20"/>
          <w:szCs w:val="20"/>
        </w:rPr>
        <w:t>. México.</w:t>
      </w:r>
    </w:p>
    <w:p w14:paraId="4030CA8A" w14:textId="77777777" w:rsidR="006F3718" w:rsidRPr="00E146C7" w:rsidRDefault="00DD7A09" w:rsidP="00E146C7">
      <w:pPr>
        <w:spacing w:after="720" w:line="360" w:lineRule="auto"/>
        <w:ind w:right="-159"/>
        <w:jc w:val="both"/>
        <w:rPr>
          <w:color w:val="0000FF"/>
          <w:sz w:val="20"/>
          <w:szCs w:val="20"/>
          <w:u w:val="single"/>
        </w:rPr>
      </w:pPr>
      <w:r w:rsidRPr="00E146C7">
        <w:rPr>
          <w:color w:val="0000FF"/>
          <w:sz w:val="20"/>
          <w:szCs w:val="20"/>
          <w:u w:val="single"/>
        </w:rPr>
        <w:t>http://economia.terra.com.mx/mercados/indices/</w:t>
      </w:r>
    </w:p>
    <w:p w14:paraId="2AD6F85C" w14:textId="3BAF335E" w:rsidR="007144B7" w:rsidRPr="000E3A45" w:rsidRDefault="00817D67" w:rsidP="009D3D3A">
      <w:pPr>
        <w:spacing w:after="360" w:line="360" w:lineRule="auto"/>
        <w:rPr>
          <w:b/>
          <w:sz w:val="26"/>
          <w:szCs w:val="26"/>
        </w:rPr>
      </w:pPr>
      <w:r w:rsidRPr="000E3A45">
        <w:rPr>
          <w:b/>
          <w:sz w:val="26"/>
          <w:szCs w:val="26"/>
        </w:rPr>
        <w:t>Mercado</w:t>
      </w:r>
      <w:r w:rsidR="00F72F18" w:rsidRPr="000E3A45">
        <w:rPr>
          <w:b/>
          <w:sz w:val="26"/>
          <w:szCs w:val="26"/>
        </w:rPr>
        <w:t>s</w:t>
      </w:r>
      <w:r w:rsidRPr="000E3A45">
        <w:rPr>
          <w:b/>
          <w:sz w:val="26"/>
          <w:szCs w:val="26"/>
        </w:rPr>
        <w:t xml:space="preserve"> bursátil</w:t>
      </w:r>
      <w:r w:rsidR="00F72F18" w:rsidRPr="000E3A45">
        <w:rPr>
          <w:b/>
          <w:sz w:val="26"/>
          <w:szCs w:val="26"/>
        </w:rPr>
        <w:t>e</w:t>
      </w:r>
      <w:r w:rsidRPr="000E3A45">
        <w:rPr>
          <w:b/>
          <w:sz w:val="26"/>
          <w:szCs w:val="26"/>
        </w:rPr>
        <w:t xml:space="preserve">s de </w:t>
      </w:r>
      <w:r w:rsidR="007144B7" w:rsidRPr="000E3A45">
        <w:rPr>
          <w:b/>
          <w:sz w:val="26"/>
          <w:szCs w:val="26"/>
        </w:rPr>
        <w:t>América Latina</w:t>
      </w:r>
    </w:p>
    <w:p w14:paraId="55C73176" w14:textId="63328353" w:rsidR="00A20233" w:rsidRPr="000E3A45" w:rsidRDefault="00770ED0" w:rsidP="00F22055">
      <w:pPr>
        <w:spacing w:after="360" w:line="360" w:lineRule="auto"/>
        <w:ind w:right="-159"/>
        <w:jc w:val="both"/>
        <w:rPr>
          <w:sz w:val="26"/>
          <w:szCs w:val="26"/>
        </w:rPr>
      </w:pPr>
      <w:r>
        <w:rPr>
          <w:sz w:val="26"/>
          <w:szCs w:val="26"/>
        </w:rPr>
        <w:t xml:space="preserve">A consecuencia de la </w:t>
      </w:r>
      <w:r w:rsidR="0077186B">
        <w:rPr>
          <w:sz w:val="26"/>
          <w:szCs w:val="26"/>
        </w:rPr>
        <w:t xml:space="preserve">continuidad en la </w:t>
      </w:r>
      <w:r w:rsidR="00D752B3">
        <w:rPr>
          <w:sz w:val="26"/>
          <w:szCs w:val="26"/>
        </w:rPr>
        <w:t xml:space="preserve">volatilidad en </w:t>
      </w:r>
      <w:r w:rsidR="009F7F1B" w:rsidRPr="000E3A45">
        <w:rPr>
          <w:sz w:val="26"/>
          <w:szCs w:val="26"/>
        </w:rPr>
        <w:t xml:space="preserve">los mercados accionarios </w:t>
      </w:r>
      <w:r>
        <w:rPr>
          <w:sz w:val="26"/>
          <w:szCs w:val="26"/>
        </w:rPr>
        <w:t xml:space="preserve">y cambiarios </w:t>
      </w:r>
      <w:r w:rsidR="009F7F1B" w:rsidRPr="000E3A45">
        <w:rPr>
          <w:sz w:val="26"/>
          <w:szCs w:val="26"/>
        </w:rPr>
        <w:t>internacionales, las bo</w:t>
      </w:r>
      <w:r w:rsidR="008C5A67" w:rsidRPr="000E3A45">
        <w:rPr>
          <w:sz w:val="26"/>
          <w:szCs w:val="26"/>
        </w:rPr>
        <w:t>l</w:t>
      </w:r>
      <w:r w:rsidR="009F7F1B" w:rsidRPr="000E3A45">
        <w:rPr>
          <w:sz w:val="26"/>
          <w:szCs w:val="26"/>
        </w:rPr>
        <w:t xml:space="preserve">sas de </w:t>
      </w:r>
      <w:r w:rsidR="00D55960" w:rsidRPr="000E3A45">
        <w:rPr>
          <w:sz w:val="26"/>
          <w:szCs w:val="26"/>
        </w:rPr>
        <w:t xml:space="preserve">América Latina </w:t>
      </w:r>
      <w:r>
        <w:rPr>
          <w:sz w:val="26"/>
          <w:szCs w:val="26"/>
        </w:rPr>
        <w:t xml:space="preserve">se movieron en línea con los </w:t>
      </w:r>
      <w:r>
        <w:rPr>
          <w:sz w:val="26"/>
          <w:szCs w:val="26"/>
        </w:rPr>
        <w:lastRenderedPageBreak/>
        <w:t xml:space="preserve">mercados estadounidenses en una trayectoria </w:t>
      </w:r>
      <w:r w:rsidR="0077186B">
        <w:rPr>
          <w:sz w:val="26"/>
          <w:szCs w:val="26"/>
        </w:rPr>
        <w:t>al alza</w:t>
      </w:r>
      <w:r w:rsidR="009F7F1B" w:rsidRPr="000E3A45">
        <w:rPr>
          <w:sz w:val="26"/>
          <w:szCs w:val="26"/>
        </w:rPr>
        <w:t>.</w:t>
      </w:r>
      <w:r w:rsidR="00D55960" w:rsidRPr="000E3A45">
        <w:rPr>
          <w:sz w:val="26"/>
          <w:szCs w:val="26"/>
        </w:rPr>
        <w:t xml:space="preserve"> De hecho, d</w:t>
      </w:r>
      <w:r w:rsidR="00952450" w:rsidRPr="000E3A45">
        <w:rPr>
          <w:sz w:val="26"/>
          <w:szCs w:val="26"/>
        </w:rPr>
        <w:t>el 31 de diciembre de 201</w:t>
      </w:r>
      <w:r w:rsidR="005B763B">
        <w:rPr>
          <w:sz w:val="26"/>
          <w:szCs w:val="26"/>
        </w:rPr>
        <w:t>4</w:t>
      </w:r>
      <w:r w:rsidR="00952450" w:rsidRPr="000E3A45">
        <w:rPr>
          <w:sz w:val="26"/>
          <w:szCs w:val="26"/>
        </w:rPr>
        <w:t xml:space="preserve"> al </w:t>
      </w:r>
      <w:r w:rsidR="0077186B">
        <w:rPr>
          <w:sz w:val="26"/>
          <w:szCs w:val="26"/>
        </w:rPr>
        <w:t>2</w:t>
      </w:r>
      <w:r w:rsidR="004658AB" w:rsidRPr="000E3A45">
        <w:rPr>
          <w:sz w:val="26"/>
          <w:szCs w:val="26"/>
        </w:rPr>
        <w:t>1</w:t>
      </w:r>
      <w:r w:rsidR="00952450" w:rsidRPr="000E3A45">
        <w:rPr>
          <w:sz w:val="26"/>
          <w:szCs w:val="26"/>
        </w:rPr>
        <w:t xml:space="preserve"> de </w:t>
      </w:r>
      <w:r>
        <w:rPr>
          <w:sz w:val="26"/>
          <w:szCs w:val="26"/>
        </w:rPr>
        <w:t>a</w:t>
      </w:r>
      <w:r w:rsidR="0077186B">
        <w:rPr>
          <w:sz w:val="26"/>
          <w:szCs w:val="26"/>
        </w:rPr>
        <w:t>b</w:t>
      </w:r>
      <w:r>
        <w:rPr>
          <w:sz w:val="26"/>
          <w:szCs w:val="26"/>
        </w:rPr>
        <w:t>r</w:t>
      </w:r>
      <w:r w:rsidR="0077186B">
        <w:rPr>
          <w:sz w:val="26"/>
          <w:szCs w:val="26"/>
        </w:rPr>
        <w:t>il</w:t>
      </w:r>
      <w:r w:rsidR="00952450" w:rsidRPr="000E3A45">
        <w:rPr>
          <w:sz w:val="26"/>
          <w:szCs w:val="26"/>
        </w:rPr>
        <w:t xml:space="preserve"> de 201</w:t>
      </w:r>
      <w:r w:rsidR="00A52055">
        <w:rPr>
          <w:sz w:val="26"/>
          <w:szCs w:val="26"/>
        </w:rPr>
        <w:t>5</w:t>
      </w:r>
      <w:r w:rsidR="00952450" w:rsidRPr="000E3A45">
        <w:rPr>
          <w:sz w:val="26"/>
          <w:szCs w:val="26"/>
        </w:rPr>
        <w:t xml:space="preserve">, </w:t>
      </w:r>
      <w:r w:rsidR="00BB2780" w:rsidRPr="000E3A45">
        <w:rPr>
          <w:sz w:val="26"/>
          <w:szCs w:val="26"/>
        </w:rPr>
        <w:t xml:space="preserve">en </w:t>
      </w:r>
      <w:r w:rsidR="00671E53" w:rsidRPr="000E3A45">
        <w:rPr>
          <w:sz w:val="26"/>
          <w:szCs w:val="26"/>
        </w:rPr>
        <w:t xml:space="preserve">Argentina </w:t>
      </w:r>
      <w:r w:rsidR="00952450" w:rsidRPr="000E3A45">
        <w:rPr>
          <w:sz w:val="26"/>
          <w:szCs w:val="26"/>
        </w:rPr>
        <w:t xml:space="preserve">el índice accionario de Merval reportó una utilidad de capital de </w:t>
      </w:r>
      <w:r w:rsidR="0077186B">
        <w:rPr>
          <w:sz w:val="26"/>
          <w:szCs w:val="26"/>
        </w:rPr>
        <w:t>31.67</w:t>
      </w:r>
      <w:r w:rsidR="005B763B">
        <w:rPr>
          <w:sz w:val="26"/>
          <w:szCs w:val="26"/>
        </w:rPr>
        <w:t xml:space="preserve"> por ciento.</w:t>
      </w:r>
    </w:p>
    <w:p w14:paraId="1402B9C4" w14:textId="23E4F8BF" w:rsidR="00952450" w:rsidRPr="000E3A45" w:rsidRDefault="00A20233" w:rsidP="00F22055">
      <w:pPr>
        <w:spacing w:after="360" w:line="360" w:lineRule="auto"/>
        <w:ind w:right="-159"/>
        <w:jc w:val="both"/>
        <w:rPr>
          <w:sz w:val="26"/>
          <w:szCs w:val="26"/>
        </w:rPr>
      </w:pPr>
      <w:r w:rsidRPr="000E3A45">
        <w:rPr>
          <w:sz w:val="26"/>
          <w:szCs w:val="26"/>
        </w:rPr>
        <w:t xml:space="preserve">Por su parte, </w:t>
      </w:r>
      <w:r w:rsidR="00770ED0">
        <w:rPr>
          <w:sz w:val="26"/>
          <w:szCs w:val="26"/>
        </w:rPr>
        <w:t>durante el período de referencia</w:t>
      </w:r>
      <w:r w:rsidR="00A52055">
        <w:rPr>
          <w:sz w:val="26"/>
          <w:szCs w:val="26"/>
        </w:rPr>
        <w:t>,</w:t>
      </w:r>
      <w:r w:rsidR="005B763B">
        <w:rPr>
          <w:sz w:val="26"/>
          <w:szCs w:val="26"/>
        </w:rPr>
        <w:t xml:space="preserve"> </w:t>
      </w:r>
      <w:r w:rsidR="00770ED0">
        <w:rPr>
          <w:sz w:val="26"/>
          <w:szCs w:val="26"/>
        </w:rPr>
        <w:t>la bolsa de</w:t>
      </w:r>
      <w:r w:rsidR="005B763B">
        <w:rPr>
          <w:sz w:val="26"/>
          <w:szCs w:val="26"/>
        </w:rPr>
        <w:t xml:space="preserve"> </w:t>
      </w:r>
      <w:r w:rsidR="00A52055" w:rsidRPr="000E3A45">
        <w:rPr>
          <w:sz w:val="26"/>
          <w:szCs w:val="26"/>
        </w:rPr>
        <w:t>Brasil (Bovespa</w:t>
      </w:r>
      <w:r w:rsidR="00E74EB3">
        <w:rPr>
          <w:sz w:val="26"/>
          <w:szCs w:val="26"/>
        </w:rPr>
        <w:t xml:space="preserve">) </w:t>
      </w:r>
      <w:r w:rsidR="00770ED0">
        <w:rPr>
          <w:sz w:val="26"/>
          <w:szCs w:val="26"/>
        </w:rPr>
        <w:t>registró una utilidad de capital de</w:t>
      </w:r>
      <w:r w:rsidR="0077186B">
        <w:rPr>
          <w:sz w:val="26"/>
          <w:szCs w:val="26"/>
        </w:rPr>
        <w:t xml:space="preserve"> 7</w:t>
      </w:r>
      <w:r w:rsidR="00770ED0">
        <w:rPr>
          <w:sz w:val="26"/>
          <w:szCs w:val="26"/>
        </w:rPr>
        <w:t>.5</w:t>
      </w:r>
      <w:r w:rsidR="0077186B">
        <w:rPr>
          <w:sz w:val="26"/>
          <w:szCs w:val="26"/>
        </w:rPr>
        <w:t>1</w:t>
      </w:r>
      <w:r w:rsidR="00770ED0">
        <w:rPr>
          <w:sz w:val="26"/>
          <w:szCs w:val="26"/>
        </w:rPr>
        <w:t>%, en tanto que el mercado accionario de Chile (IPGA</w:t>
      </w:r>
      <w:r w:rsidR="00CC3DE7" w:rsidRPr="000E3A45">
        <w:rPr>
          <w:sz w:val="26"/>
          <w:szCs w:val="26"/>
        </w:rPr>
        <w:t xml:space="preserve"> </w:t>
      </w:r>
      <w:r w:rsidR="00770ED0">
        <w:rPr>
          <w:sz w:val="26"/>
          <w:szCs w:val="26"/>
        </w:rPr>
        <w:t xml:space="preserve">reportó una </w:t>
      </w:r>
      <w:r w:rsidR="0077186B">
        <w:rPr>
          <w:sz w:val="26"/>
          <w:szCs w:val="26"/>
        </w:rPr>
        <w:t xml:space="preserve">ganancia </w:t>
      </w:r>
      <w:r w:rsidR="00770ED0">
        <w:rPr>
          <w:sz w:val="26"/>
          <w:szCs w:val="26"/>
        </w:rPr>
        <w:t xml:space="preserve">de </w:t>
      </w:r>
      <w:r w:rsidR="0077186B">
        <w:rPr>
          <w:sz w:val="26"/>
          <w:szCs w:val="26"/>
        </w:rPr>
        <w:t>3.74</w:t>
      </w:r>
      <w:r w:rsidR="00770ED0">
        <w:rPr>
          <w:sz w:val="26"/>
          <w:szCs w:val="26"/>
        </w:rPr>
        <w:t xml:space="preserve"> por ciento</w:t>
      </w:r>
    </w:p>
    <w:p w14:paraId="479D4D99" w14:textId="66AF7379" w:rsidR="002F01FC" w:rsidRPr="000E3A45" w:rsidRDefault="004B199F" w:rsidP="002F01FC">
      <w:pPr>
        <w:spacing w:after="360" w:line="360" w:lineRule="auto"/>
        <w:ind w:right="-159"/>
        <w:jc w:val="center"/>
        <w:rPr>
          <w:sz w:val="26"/>
          <w:szCs w:val="26"/>
        </w:rPr>
      </w:pPr>
      <w:r w:rsidRPr="004B199F">
        <w:rPr>
          <w:rFonts w:ascii="Calibri" w:eastAsia="Calibri" w:hAnsi="Calibri"/>
          <w:sz w:val="22"/>
          <w:szCs w:val="22"/>
          <w:lang w:eastAsia="en-US"/>
        </w:rPr>
        <w:fldChar w:fldCharType="begin"/>
      </w:r>
      <w:r w:rsidRPr="004B199F">
        <w:rPr>
          <w:rFonts w:ascii="Calibri" w:eastAsia="Calibri" w:hAnsi="Calibri"/>
          <w:sz w:val="22"/>
          <w:szCs w:val="22"/>
          <w:lang w:eastAsia="en-US"/>
        </w:rPr>
        <w:instrText xml:space="preserve"> LINK PowerPoint.Slide.8 "D:\\2015\\ABRIL\\GRÁFICAS POWER POINT\\28.-GRÁFICAS DE BOLSAS.pptx!265" "" \a \p </w:instrText>
      </w:r>
      <w:r w:rsidRPr="004B199F">
        <w:rPr>
          <w:rFonts w:ascii="Calibri" w:eastAsia="Calibri" w:hAnsi="Calibri"/>
          <w:sz w:val="22"/>
          <w:szCs w:val="22"/>
          <w:lang w:eastAsia="en-US"/>
        </w:rPr>
        <w:fldChar w:fldCharType="separate"/>
      </w:r>
      <w:r w:rsidRPr="004B199F">
        <w:rPr>
          <w:rFonts w:ascii="Calibri" w:eastAsia="Calibri" w:hAnsi="Calibri"/>
          <w:noProof/>
          <w:sz w:val="22"/>
          <w:szCs w:val="22"/>
          <w:lang w:eastAsia="es-MX"/>
        </w:rPr>
        <w:drawing>
          <wp:inline distT="0" distB="0" distL="0" distR="0" wp14:anchorId="4B66EA33" wp14:editId="1D15C190">
            <wp:extent cx="4040505" cy="2996565"/>
            <wp:effectExtent l="0" t="0" r="0" b="0"/>
            <wp:docPr id="1898" name="Imagen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470" cstate="print">
                      <a:extLst>
                        <a:ext uri="{28A0092B-C50C-407E-A947-70E740481C1C}">
                          <a14:useLocalDpi xmlns:a14="http://schemas.microsoft.com/office/drawing/2010/main" val="0"/>
                        </a:ext>
                      </a:extLst>
                    </a:blip>
                    <a:srcRect l="6436" r="4945" b="12549"/>
                    <a:stretch>
                      <a:fillRect/>
                    </a:stretch>
                  </pic:blipFill>
                  <pic:spPr bwMode="auto">
                    <a:xfrm>
                      <a:off x="0" y="0"/>
                      <a:ext cx="4040505" cy="2996565"/>
                    </a:xfrm>
                    <a:prstGeom prst="rect">
                      <a:avLst/>
                    </a:prstGeom>
                    <a:noFill/>
                    <a:ln>
                      <a:noFill/>
                    </a:ln>
                  </pic:spPr>
                </pic:pic>
              </a:graphicData>
            </a:graphic>
          </wp:inline>
        </w:drawing>
      </w:r>
      <w:r w:rsidRPr="004B199F">
        <w:rPr>
          <w:rFonts w:ascii="Calibri" w:eastAsia="Calibri" w:hAnsi="Calibri"/>
          <w:sz w:val="22"/>
          <w:szCs w:val="22"/>
          <w:lang w:eastAsia="en-US"/>
        </w:rPr>
        <w:fldChar w:fldCharType="end"/>
      </w:r>
    </w:p>
    <w:p w14:paraId="78B6C5AA" w14:textId="77777777" w:rsidR="002F01FC" w:rsidRPr="000E3A45" w:rsidRDefault="002F01FC" w:rsidP="002F01FC">
      <w:pPr>
        <w:ind w:right="-159"/>
        <w:rPr>
          <w:b/>
          <w:sz w:val="20"/>
          <w:szCs w:val="20"/>
        </w:rPr>
      </w:pPr>
      <w:r w:rsidRPr="000E3A45">
        <w:rPr>
          <w:b/>
          <w:sz w:val="20"/>
          <w:szCs w:val="20"/>
        </w:rPr>
        <w:t>Fuente de información:</w:t>
      </w:r>
    </w:p>
    <w:p w14:paraId="16C9F7DB" w14:textId="5050470C" w:rsidR="002F01FC" w:rsidRPr="00E146C7" w:rsidRDefault="00241758" w:rsidP="00E146C7">
      <w:pPr>
        <w:spacing w:after="720"/>
        <w:ind w:right="-159"/>
        <w:rPr>
          <w:color w:val="0000FF"/>
          <w:sz w:val="26"/>
          <w:szCs w:val="26"/>
        </w:rPr>
      </w:pPr>
      <w:r w:rsidRPr="00E146C7">
        <w:rPr>
          <w:color w:val="0000FF"/>
          <w:sz w:val="20"/>
          <w:szCs w:val="20"/>
        </w:rPr>
        <w:t xml:space="preserve">Periódico </w:t>
      </w:r>
      <w:r w:rsidR="00097EFB" w:rsidRPr="00E146C7">
        <w:rPr>
          <w:color w:val="0000FF"/>
          <w:sz w:val="20"/>
          <w:szCs w:val="20"/>
        </w:rPr>
        <w:t>Reforma</w:t>
      </w:r>
      <w:r w:rsidR="002F01FC" w:rsidRPr="00E146C7">
        <w:rPr>
          <w:color w:val="0000FF"/>
          <w:sz w:val="20"/>
          <w:szCs w:val="20"/>
        </w:rPr>
        <w:t xml:space="preserve">, </w:t>
      </w:r>
      <w:r w:rsidR="0077186B" w:rsidRPr="00E146C7">
        <w:rPr>
          <w:color w:val="0000FF"/>
          <w:sz w:val="20"/>
          <w:szCs w:val="20"/>
        </w:rPr>
        <w:t>22</w:t>
      </w:r>
      <w:r w:rsidR="002F01FC" w:rsidRPr="00E146C7">
        <w:rPr>
          <w:color w:val="0000FF"/>
          <w:sz w:val="20"/>
          <w:szCs w:val="20"/>
        </w:rPr>
        <w:t xml:space="preserve"> de</w:t>
      </w:r>
      <w:r w:rsidR="00EA7FDB" w:rsidRPr="00E146C7">
        <w:rPr>
          <w:color w:val="0000FF"/>
          <w:sz w:val="20"/>
          <w:szCs w:val="20"/>
        </w:rPr>
        <w:t xml:space="preserve"> </w:t>
      </w:r>
      <w:r w:rsidR="00770ED0" w:rsidRPr="00E146C7">
        <w:rPr>
          <w:color w:val="0000FF"/>
          <w:sz w:val="20"/>
          <w:szCs w:val="20"/>
        </w:rPr>
        <w:t>a</w:t>
      </w:r>
      <w:r w:rsidR="0077186B" w:rsidRPr="00E146C7">
        <w:rPr>
          <w:color w:val="0000FF"/>
          <w:sz w:val="20"/>
          <w:szCs w:val="20"/>
        </w:rPr>
        <w:t>b</w:t>
      </w:r>
      <w:r w:rsidR="00770ED0" w:rsidRPr="00E146C7">
        <w:rPr>
          <w:color w:val="0000FF"/>
          <w:sz w:val="20"/>
          <w:szCs w:val="20"/>
        </w:rPr>
        <w:t>r</w:t>
      </w:r>
      <w:r w:rsidR="0077186B" w:rsidRPr="00E146C7">
        <w:rPr>
          <w:color w:val="0000FF"/>
          <w:sz w:val="20"/>
          <w:szCs w:val="20"/>
        </w:rPr>
        <w:t>il</w:t>
      </w:r>
      <w:r w:rsidR="002F01FC" w:rsidRPr="00E146C7">
        <w:rPr>
          <w:color w:val="0000FF"/>
          <w:sz w:val="20"/>
          <w:szCs w:val="20"/>
        </w:rPr>
        <w:t xml:space="preserve"> de 201</w:t>
      </w:r>
      <w:r w:rsidR="00E74EB3" w:rsidRPr="00E146C7">
        <w:rPr>
          <w:color w:val="0000FF"/>
          <w:sz w:val="20"/>
          <w:szCs w:val="20"/>
        </w:rPr>
        <w:t>5</w:t>
      </w:r>
      <w:r w:rsidR="002F01FC" w:rsidRPr="00E146C7">
        <w:rPr>
          <w:color w:val="0000FF"/>
          <w:sz w:val="20"/>
          <w:szCs w:val="20"/>
        </w:rPr>
        <w:t xml:space="preserve">. </w:t>
      </w:r>
      <w:r w:rsidR="00097EFB" w:rsidRPr="00E146C7">
        <w:rPr>
          <w:color w:val="0000FF"/>
          <w:sz w:val="20"/>
          <w:szCs w:val="20"/>
        </w:rPr>
        <w:t xml:space="preserve">Sección negocios, </w:t>
      </w:r>
      <w:r w:rsidR="002F01FC" w:rsidRPr="00E146C7">
        <w:rPr>
          <w:color w:val="0000FF"/>
          <w:sz w:val="20"/>
          <w:szCs w:val="20"/>
        </w:rPr>
        <w:t>México.</w:t>
      </w:r>
    </w:p>
    <w:p w14:paraId="591E233B" w14:textId="77777777" w:rsidR="00CB1803" w:rsidRDefault="00CD6E15" w:rsidP="00CB1803">
      <w:pPr>
        <w:ind w:right="-159"/>
        <w:jc w:val="both"/>
        <w:rPr>
          <w:rFonts w:eastAsia="Calibri"/>
          <w:b/>
          <w:sz w:val="26"/>
          <w:szCs w:val="26"/>
          <w:lang w:eastAsia="en-US"/>
        </w:rPr>
      </w:pPr>
      <w:r w:rsidRPr="00CD6E15">
        <w:rPr>
          <w:rFonts w:eastAsia="Calibri"/>
          <w:b/>
          <w:sz w:val="26"/>
          <w:szCs w:val="26"/>
          <w:lang w:eastAsia="en-US"/>
        </w:rPr>
        <w:t>¿Una bolsa de valores común en Centroamérica</w:t>
      </w:r>
    </w:p>
    <w:p w14:paraId="5A12205F" w14:textId="52FE697A" w:rsidR="00CD6E15" w:rsidRPr="00CD6E15" w:rsidRDefault="00CD6E15" w:rsidP="00CD6E15">
      <w:pPr>
        <w:spacing w:after="360" w:line="360" w:lineRule="auto"/>
        <w:ind w:right="-159"/>
        <w:jc w:val="both"/>
        <w:rPr>
          <w:rFonts w:eastAsia="Calibri"/>
          <w:b/>
          <w:sz w:val="26"/>
          <w:szCs w:val="26"/>
          <w:lang w:eastAsia="en-US"/>
        </w:rPr>
      </w:pPr>
      <w:r w:rsidRPr="00CD6E15">
        <w:rPr>
          <w:rFonts w:eastAsia="Calibri"/>
          <w:b/>
          <w:sz w:val="26"/>
          <w:szCs w:val="26"/>
          <w:lang w:eastAsia="en-US"/>
        </w:rPr>
        <w:t>es sólo un sueño?</w:t>
      </w:r>
      <w:r w:rsidR="00CB1803">
        <w:rPr>
          <w:rFonts w:eastAsia="Calibri"/>
          <w:b/>
          <w:sz w:val="26"/>
          <w:szCs w:val="26"/>
          <w:lang w:eastAsia="en-US"/>
        </w:rPr>
        <w:t xml:space="preserve"> </w:t>
      </w:r>
      <w:r w:rsidRPr="00CD6E15">
        <w:rPr>
          <w:rFonts w:eastAsia="Calibri"/>
          <w:b/>
          <w:sz w:val="26"/>
          <w:szCs w:val="26"/>
          <w:lang w:eastAsia="en-US"/>
        </w:rPr>
        <w:t xml:space="preserve">(Forbes México) </w:t>
      </w:r>
    </w:p>
    <w:p w14:paraId="0470CA23"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El 30 de marzo de 2015, la edición online de la revista de negocios Forbes México señaló que llevamos años de escuchar sobre el potencial que tiene una posible bolsa de valores común en Centroamérica. Pero, ¿existe voluntad para avanzar en este megaproyecto?</w:t>
      </w:r>
    </w:p>
    <w:p w14:paraId="76074A39"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lastRenderedPageBreak/>
        <w:t>Los empresarios latinoamericanos están invirtiendo en sus países y manejan cerca de 3 billones de dólares en activos y patrimonio, de los cuales una buena parte, aunque no la más grande, está en Centroamérica. Sin embargo, sus mercados bursátiles aún no han terminado de despegar y el sueño de una integración de bolsas de valores regional ha tenido sus altas y bajas.</w:t>
      </w:r>
    </w:p>
    <w:p w14:paraId="10B75EAD"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Las cifras del mercado son contundentes: Latinoamérica representa 8% del Producto Interno Bruto (PIB) global y 6% de la población mundial. No obstante, en capitalización de mercado de acciones representa únicamente 3% contra 40% de Estados Unidos de Norteamérica, 30% de Asia Pacífico y 24% de Europa.</w:t>
      </w:r>
    </w:p>
    <w:p w14:paraId="65B7D0F6"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En materia de volumen transado en acciones Latinoamérica representa 1.3% del volumen mundial. Brasil es el líder regional en mercado de acciones. El Mercado Integrado Latinoamericano (Mila) consolida a los mercados más desarrollados de la región después de Brasil, que son Chile, Colombia, México y Perú. El resto de mercados accionarios latinoamericanos, entre los que se ubica Panamá, presentan un menor nivel de desarrollo.</w:t>
      </w:r>
    </w:p>
    <w:p w14:paraId="57D85D75"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 xml:space="preserve">En América Latina hay 1 mil 483 emisores de acciones. Brasil tiene 367 emisores. El Mila representa 767 emisores. Panamá tiene 28 emisores. Barsallo explica que el dato más revelador es el </w:t>
      </w:r>
      <w:r w:rsidRPr="00CD6E15">
        <w:rPr>
          <w:rFonts w:eastAsia="Calibri"/>
          <w:i/>
          <w:sz w:val="26"/>
          <w:szCs w:val="26"/>
          <w:lang w:val="es-ES" w:eastAsia="en-US"/>
        </w:rPr>
        <w:t>turn over</w:t>
      </w:r>
      <w:r w:rsidRPr="00CD6E15">
        <w:rPr>
          <w:rFonts w:eastAsia="Calibri"/>
          <w:sz w:val="26"/>
          <w:szCs w:val="26"/>
          <w:lang w:val="es-ES" w:eastAsia="en-US"/>
        </w:rPr>
        <w:t>, es decir, la rotación o cantidad de veces que se compran y venden las acciones. Un mercado de valores desarrollado requiere una alta rotación. El promedio en Latinoamérica es de 47.4%. Brasil tiene una rotación de 79.3%. El Mila de 23.6%. Y la de Panamá apenas llega a 0.9 por ciento.</w:t>
      </w:r>
    </w:p>
    <w:p w14:paraId="22864785"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 xml:space="preserve">De acuerdo con el excomisionado de valores para el desarrollo del mercado bursátil panameño y regional, son numerosos los elementos que hace falta fortalecer, pero en conjunto y haciendo salvedad que es muy difícil reducirlo a uno o dos elementos, son mejorar el nivel educativo, una cultura de inversión, la oferta de valores por empresas con buen gobierno corporativo y la voluntad política real para una integración </w:t>
      </w:r>
      <w:r w:rsidRPr="00CD6E15">
        <w:rPr>
          <w:rFonts w:eastAsia="Calibri"/>
          <w:sz w:val="26"/>
          <w:szCs w:val="26"/>
          <w:lang w:val="es-ES" w:eastAsia="en-US"/>
        </w:rPr>
        <w:lastRenderedPageBreak/>
        <w:t>imprescindible para un mercado de valores como el panameño, que no cuenta con el tamaño ni el volumen para desarrollarse de forma óptima.</w:t>
      </w:r>
    </w:p>
    <w:p w14:paraId="14727004"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Pese que aún hace falta mucho, algunos de las bolsas han visto avances que los consideran importantes, el gerente de la Bolsa de Valores de Nicaragua, resalta que en 2014 esta empresa de intermediación financiera transó valores por un monto cercano a 1 mil millones de dólares, lo que representa 8.5% del PIB de ese país centroamericano.</w:t>
      </w:r>
    </w:p>
    <w:p w14:paraId="054013DC" w14:textId="28AA260A" w:rsid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Para el ejecutivo nicaragüense, en 2014</w:t>
      </w:r>
      <w:r w:rsidR="005C693D">
        <w:rPr>
          <w:rFonts w:eastAsia="Calibri"/>
          <w:sz w:val="26"/>
          <w:szCs w:val="26"/>
          <w:lang w:val="es-ES" w:eastAsia="en-US"/>
        </w:rPr>
        <w:t>,</w:t>
      </w:r>
      <w:r w:rsidRPr="00CD6E15">
        <w:rPr>
          <w:rFonts w:eastAsia="Calibri"/>
          <w:sz w:val="26"/>
          <w:szCs w:val="26"/>
          <w:lang w:val="es-ES" w:eastAsia="en-US"/>
        </w:rPr>
        <w:t xml:space="preserve"> los mayores avances, además del crecimiento de 15% en volumen de transacciones, fueron la entrada de la banca y financieras como emisores de renta fija y la autorización de la primera Administradora de Fondos de Inversión que lanzará al mercado sus primeros productos en el corriente año, lo que sin lugar a dudas vendrá a dinamizar las transacciones y la oferta de instrumentos.</w:t>
      </w:r>
    </w:p>
    <w:p w14:paraId="7372CE97" w14:textId="77777777" w:rsidR="009543B0" w:rsidRDefault="009543B0" w:rsidP="00CD6E15">
      <w:pPr>
        <w:spacing w:after="360" w:line="360" w:lineRule="auto"/>
        <w:ind w:right="-159"/>
        <w:jc w:val="both"/>
        <w:rPr>
          <w:rFonts w:eastAsia="Calibri"/>
          <w:sz w:val="26"/>
          <w:szCs w:val="26"/>
          <w:lang w:val="es-ES" w:eastAsia="en-US"/>
        </w:rPr>
      </w:pPr>
    </w:p>
    <w:p w14:paraId="166C7809" w14:textId="77777777" w:rsidR="009543B0" w:rsidRDefault="009543B0" w:rsidP="00CD6E15">
      <w:pPr>
        <w:spacing w:after="360" w:line="360" w:lineRule="auto"/>
        <w:ind w:right="-159"/>
        <w:jc w:val="both"/>
        <w:rPr>
          <w:rFonts w:eastAsia="Calibri"/>
          <w:sz w:val="26"/>
          <w:szCs w:val="26"/>
          <w:lang w:val="es-ES" w:eastAsia="en-US"/>
        </w:rPr>
      </w:pPr>
    </w:p>
    <w:p w14:paraId="5A45AA70" w14:textId="77777777" w:rsidR="009543B0" w:rsidRDefault="009543B0" w:rsidP="00CD6E15">
      <w:pPr>
        <w:spacing w:after="360" w:line="360" w:lineRule="auto"/>
        <w:ind w:right="-159"/>
        <w:jc w:val="both"/>
        <w:rPr>
          <w:rFonts w:eastAsia="Calibri"/>
          <w:sz w:val="26"/>
          <w:szCs w:val="26"/>
          <w:lang w:val="es-ES" w:eastAsia="en-US"/>
        </w:rPr>
      </w:pPr>
    </w:p>
    <w:p w14:paraId="3DA87B3B" w14:textId="77777777" w:rsidR="009543B0" w:rsidRDefault="009543B0" w:rsidP="00CD6E15">
      <w:pPr>
        <w:spacing w:after="360" w:line="360" w:lineRule="auto"/>
        <w:ind w:right="-159"/>
        <w:jc w:val="both"/>
        <w:rPr>
          <w:rFonts w:eastAsia="Calibri"/>
          <w:sz w:val="26"/>
          <w:szCs w:val="26"/>
          <w:lang w:val="es-ES" w:eastAsia="en-US"/>
        </w:rPr>
      </w:pPr>
    </w:p>
    <w:p w14:paraId="038C5988" w14:textId="77777777" w:rsidR="009543B0" w:rsidRDefault="009543B0" w:rsidP="00CD6E15">
      <w:pPr>
        <w:spacing w:after="360" w:line="360" w:lineRule="auto"/>
        <w:ind w:right="-159"/>
        <w:jc w:val="both"/>
        <w:rPr>
          <w:rFonts w:eastAsia="Calibri"/>
          <w:sz w:val="26"/>
          <w:szCs w:val="26"/>
          <w:lang w:val="es-ES" w:eastAsia="en-US"/>
        </w:rPr>
      </w:pPr>
    </w:p>
    <w:p w14:paraId="3A537ABE" w14:textId="77777777" w:rsidR="009543B0" w:rsidRDefault="009543B0" w:rsidP="00CD6E15">
      <w:pPr>
        <w:spacing w:after="360" w:line="360" w:lineRule="auto"/>
        <w:ind w:right="-159"/>
        <w:jc w:val="both"/>
        <w:rPr>
          <w:rFonts w:eastAsia="Calibri"/>
          <w:sz w:val="26"/>
          <w:szCs w:val="26"/>
          <w:lang w:val="es-ES" w:eastAsia="en-US"/>
        </w:rPr>
      </w:pPr>
    </w:p>
    <w:p w14:paraId="2F9897AD" w14:textId="77777777" w:rsidR="009543B0" w:rsidRDefault="009543B0" w:rsidP="00CD6E15">
      <w:pPr>
        <w:spacing w:after="360" w:line="360" w:lineRule="auto"/>
        <w:ind w:right="-159"/>
        <w:jc w:val="both"/>
        <w:rPr>
          <w:rFonts w:eastAsia="Calibri"/>
          <w:sz w:val="26"/>
          <w:szCs w:val="26"/>
          <w:lang w:val="es-ES" w:eastAsia="en-US"/>
        </w:rPr>
      </w:pPr>
    </w:p>
    <w:p w14:paraId="0BFF9AB9" w14:textId="77777777" w:rsidR="009543B0" w:rsidRDefault="009543B0" w:rsidP="00CD6E15">
      <w:pPr>
        <w:spacing w:after="360" w:line="360" w:lineRule="auto"/>
        <w:ind w:right="-159"/>
        <w:jc w:val="both"/>
        <w:rPr>
          <w:rFonts w:eastAsia="Calibri"/>
          <w:sz w:val="26"/>
          <w:szCs w:val="26"/>
          <w:lang w:val="es-ES" w:eastAsia="en-US"/>
        </w:rPr>
      </w:pPr>
    </w:p>
    <w:p w14:paraId="67DF5AA2" w14:textId="77777777" w:rsidR="009543B0" w:rsidRPr="00CD6E15" w:rsidRDefault="009543B0" w:rsidP="00CD6E15">
      <w:pPr>
        <w:spacing w:after="360" w:line="360" w:lineRule="auto"/>
        <w:ind w:right="-159"/>
        <w:jc w:val="both"/>
        <w:rPr>
          <w:rFonts w:eastAsia="Calibri"/>
          <w:sz w:val="26"/>
          <w:szCs w:val="26"/>
          <w:lang w:val="es-ES" w:eastAsia="en-US"/>
        </w:rPr>
      </w:pPr>
    </w:p>
    <w:tbl>
      <w:tblPr>
        <w:tblW w:w="9351" w:type="dxa"/>
        <w:tblLook w:val="04A0" w:firstRow="1" w:lastRow="0" w:firstColumn="1" w:lastColumn="0" w:noHBand="0" w:noVBand="1"/>
      </w:tblPr>
      <w:tblGrid>
        <w:gridCol w:w="9351"/>
      </w:tblGrid>
      <w:tr w:rsidR="00CD6E15" w:rsidRPr="00CD6E15" w14:paraId="3AAF709C" w14:textId="77777777" w:rsidTr="00EA3974">
        <w:tc>
          <w:tcPr>
            <w:tcW w:w="9351" w:type="dxa"/>
          </w:tcPr>
          <w:p w14:paraId="43435B29" w14:textId="77777777" w:rsidR="00CD6E15" w:rsidRPr="00CD6E15" w:rsidRDefault="00CD6E15" w:rsidP="009543B0">
            <w:pPr>
              <w:jc w:val="center"/>
              <w:rPr>
                <w:rFonts w:eastAsia="Calibri"/>
                <w:b/>
                <w:sz w:val="22"/>
                <w:szCs w:val="26"/>
                <w:lang w:val="es-ES" w:eastAsia="en-US"/>
              </w:rPr>
            </w:pPr>
            <w:r w:rsidRPr="00CD6E15">
              <w:rPr>
                <w:rFonts w:eastAsia="Calibri"/>
                <w:b/>
                <w:sz w:val="22"/>
                <w:szCs w:val="26"/>
                <w:lang w:val="es-ES" w:eastAsia="en-US"/>
              </w:rPr>
              <w:lastRenderedPageBreak/>
              <w:t>SIN INTERÉS NI RENDIMIENTO</w:t>
            </w:r>
          </w:p>
          <w:p w14:paraId="0A0D0E56" w14:textId="77777777" w:rsidR="00CD6E15" w:rsidRPr="00CD6E15" w:rsidRDefault="00CD6E15" w:rsidP="009543B0">
            <w:pPr>
              <w:jc w:val="center"/>
              <w:rPr>
                <w:rFonts w:eastAsia="Calibri"/>
                <w:b/>
                <w:sz w:val="22"/>
                <w:szCs w:val="26"/>
                <w:lang w:val="es-ES" w:eastAsia="en-US"/>
              </w:rPr>
            </w:pPr>
            <w:r w:rsidRPr="00CD6E15">
              <w:rPr>
                <w:rFonts w:eastAsia="Calibri"/>
                <w:b/>
                <w:sz w:val="22"/>
                <w:szCs w:val="26"/>
                <w:lang w:val="es-ES" w:eastAsia="en-US"/>
              </w:rPr>
              <w:t>-Las empresas acuden a sus respectivas bolsas de valores para colocar acciones o bonos de deuda. La diferencia la hacen el tamaño de los corporativos y el de sus economías-</w:t>
            </w:r>
          </w:p>
          <w:p w14:paraId="31EBB5EF" w14:textId="77777777" w:rsidR="00CD6E15" w:rsidRPr="00CD6E15" w:rsidRDefault="00CD6E15" w:rsidP="009543B0">
            <w:pPr>
              <w:jc w:val="center"/>
              <w:rPr>
                <w:rFonts w:eastAsia="Calibri"/>
                <w:b/>
                <w:sz w:val="22"/>
                <w:szCs w:val="26"/>
                <w:lang w:val="es-ES" w:eastAsia="en-US"/>
              </w:rPr>
            </w:pPr>
            <w:r w:rsidRPr="00CD6E15">
              <w:rPr>
                <w:rFonts w:eastAsia="Calibri"/>
                <w:b/>
                <w:sz w:val="22"/>
                <w:szCs w:val="26"/>
                <w:lang w:val="es-ES" w:eastAsia="en-US"/>
              </w:rPr>
              <w:t>-Número de emisores de bonos y de acciones por país-</w:t>
            </w:r>
          </w:p>
        </w:tc>
      </w:tr>
      <w:tr w:rsidR="00CD6E15" w:rsidRPr="00CD6E15" w14:paraId="0009E423" w14:textId="77777777" w:rsidTr="00EA3974">
        <w:tc>
          <w:tcPr>
            <w:tcW w:w="9351" w:type="dxa"/>
          </w:tcPr>
          <w:p w14:paraId="777FE1E4" w14:textId="77777777" w:rsidR="00CD6E15" w:rsidRPr="00CD6E15" w:rsidRDefault="00CD6E15" w:rsidP="009543B0">
            <w:pPr>
              <w:jc w:val="center"/>
              <w:rPr>
                <w:rFonts w:eastAsia="Calibri"/>
                <w:sz w:val="22"/>
                <w:szCs w:val="26"/>
                <w:lang w:val="es-ES" w:eastAsia="en-US"/>
              </w:rPr>
            </w:pPr>
            <w:r w:rsidRPr="00CD6E15">
              <w:rPr>
                <w:rFonts w:eastAsia="Calibri"/>
                <w:noProof/>
                <w:sz w:val="22"/>
                <w:szCs w:val="26"/>
                <w:lang w:eastAsia="es-MX"/>
              </w:rPr>
              <w:drawing>
                <wp:inline distT="0" distB="0" distL="0" distR="0" wp14:anchorId="523085BE" wp14:editId="2A87BA58">
                  <wp:extent cx="5752329" cy="3534770"/>
                  <wp:effectExtent l="0" t="0" r="0" b="8890"/>
                  <wp:docPr id="1554" name="Imagen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1" cstate="print">
                            <a:extLst>
                              <a:ext uri="{28A0092B-C50C-407E-A947-70E740481C1C}">
                                <a14:useLocalDpi xmlns:a14="http://schemas.microsoft.com/office/drawing/2010/main" val="0"/>
                              </a:ext>
                            </a:extLst>
                          </a:blip>
                          <a:srcRect t="6406" b="1415"/>
                          <a:stretch/>
                        </pic:blipFill>
                        <pic:spPr bwMode="auto">
                          <a:xfrm>
                            <a:off x="0" y="0"/>
                            <a:ext cx="5752465" cy="3534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D6E15" w:rsidRPr="00CD6E15" w14:paraId="0D9700B7" w14:textId="77777777" w:rsidTr="00EA3974">
        <w:tc>
          <w:tcPr>
            <w:tcW w:w="9351" w:type="dxa"/>
          </w:tcPr>
          <w:p w14:paraId="1681D361" w14:textId="77777777" w:rsidR="00CD6E15" w:rsidRPr="00CD6E15" w:rsidRDefault="00CD6E15" w:rsidP="009543B0">
            <w:pPr>
              <w:ind w:firstLine="176"/>
              <w:jc w:val="both"/>
              <w:rPr>
                <w:rFonts w:eastAsia="Calibri"/>
                <w:sz w:val="20"/>
                <w:szCs w:val="26"/>
                <w:lang w:val="es-ES" w:eastAsia="en-US"/>
              </w:rPr>
            </w:pPr>
            <w:r w:rsidRPr="00CD6E15">
              <w:rPr>
                <w:rFonts w:eastAsia="Calibri"/>
                <w:sz w:val="20"/>
                <w:szCs w:val="26"/>
                <w:lang w:val="es-ES" w:eastAsia="en-US"/>
              </w:rPr>
              <w:t>FUENTE: Forbes México.</w:t>
            </w:r>
          </w:p>
        </w:tc>
      </w:tr>
    </w:tbl>
    <w:p w14:paraId="750330C2" w14:textId="77777777" w:rsidR="00CD6E15" w:rsidRPr="00CD6E15" w:rsidRDefault="00CD6E15" w:rsidP="00CD6E15">
      <w:pPr>
        <w:spacing w:after="360" w:line="360" w:lineRule="auto"/>
        <w:ind w:right="-159"/>
        <w:jc w:val="both"/>
        <w:rPr>
          <w:rFonts w:eastAsia="Calibri"/>
          <w:sz w:val="26"/>
          <w:szCs w:val="26"/>
          <w:lang w:val="es-ES" w:eastAsia="en-US"/>
        </w:rPr>
      </w:pPr>
    </w:p>
    <w:p w14:paraId="167266AD" w14:textId="77777777" w:rsidR="00CD6E15" w:rsidRPr="00CD6E15" w:rsidRDefault="00CD6E15" w:rsidP="00CD6E15">
      <w:pPr>
        <w:spacing w:after="360" w:line="360" w:lineRule="auto"/>
        <w:ind w:right="-159"/>
        <w:jc w:val="both"/>
        <w:rPr>
          <w:rFonts w:eastAsia="Calibri"/>
          <w:b/>
          <w:sz w:val="26"/>
          <w:szCs w:val="26"/>
          <w:lang w:val="es-ES" w:eastAsia="en-US"/>
        </w:rPr>
      </w:pPr>
      <w:r w:rsidRPr="00CD6E15">
        <w:rPr>
          <w:rFonts w:eastAsia="Calibri"/>
          <w:b/>
          <w:sz w:val="26"/>
          <w:szCs w:val="26"/>
          <w:lang w:val="es-ES" w:eastAsia="en-US"/>
        </w:rPr>
        <w:t>¿Bolsa regional para qué?</w:t>
      </w:r>
    </w:p>
    <w:p w14:paraId="3DD9C75A" w14:textId="75C3E38A"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 xml:space="preserve">El gerente de la Bolsa de Valores de Nicaragua es además el actual presidente de Bolcen, una organización que aglutina a todas las bolsas de valores de Centroamérica y República Dominicana. La define como un foro que les permite intercambiar información y acompañar estos procesos integracionistas que está convencido seguirán avanzando en los años </w:t>
      </w:r>
      <w:r w:rsidR="005C693D">
        <w:rPr>
          <w:rFonts w:eastAsia="Calibri"/>
          <w:sz w:val="26"/>
          <w:szCs w:val="26"/>
          <w:lang w:val="es-ES" w:eastAsia="en-US"/>
        </w:rPr>
        <w:t>por</w:t>
      </w:r>
      <w:r w:rsidRPr="00CD6E15">
        <w:rPr>
          <w:rFonts w:eastAsia="Calibri"/>
          <w:sz w:val="26"/>
          <w:szCs w:val="26"/>
          <w:lang w:val="es-ES" w:eastAsia="en-US"/>
        </w:rPr>
        <w:t xml:space="preserve"> venir.</w:t>
      </w:r>
    </w:p>
    <w:p w14:paraId="66C18CA1"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“Yo veo el tema de la integración como un proceso que va más allá de la integración de las infraestructuras de las bolsas de valores, más bien como un proceso de descubrimiento de las oportunidades de negocios entre nuestros mercados, por parte de todos los actores que dan vida a esta industria”, dice.</w:t>
      </w:r>
    </w:p>
    <w:p w14:paraId="2A3CDA86"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lastRenderedPageBreak/>
        <w:t>El presidente de Bolcen explica que los mercados de capitales no se limitan a las bolsas de valores, aunque sin lugar a dudas conforman “su corazón”, por lo que ya existen puestos de bolsa integrados, con presencia regional; las centrales de depósito de valores están todas interconectadas, lo que permite transferir valores de un país a otro y efectuar operaciones bursátiles transfronterizas. Y las calificadoras de riesgo se han regionalizado: emisores colocan valores en varias bolsas de la región e inversionistas de Centroamérica aprovechan las bondades que ofrecen las diferentes bolsas de valores.</w:t>
      </w:r>
    </w:p>
    <w:p w14:paraId="7B981EF1"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Las bolsas de valores han logrado establecer acuerdos para facilitar estos procesos. En el caso puntual de Nicaragua, firmó una alianza con la Bolsa Nacional de Valores de Costa Rica con el objetivo de incentivar los negocios entre los actores de nuestros mercados y se conectaron a los sistemas de negociación de Costa Rica los puestos de bolsa de ese país. Esto ha permitido el listado y negociación en Nicaragua de la mayor parte de los fondos inmobiliarios negociables en el mercado costarricense, y se ha iniciado el proceso de listado de un primer programa de un emisor costarricense.</w:t>
      </w:r>
    </w:p>
    <w:p w14:paraId="15E802B5"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“Todo esto forma parte de un proceso mediante el cual vamos tomando provecho de las complementariedades que ofrecen nuestros mercados y abriendo canales para que emisores nuestros puedan negociar sus valores en ese mercado vecino”, indica el gerente de la Bolsa de Valores de Nicaragua.</w:t>
      </w:r>
    </w:p>
    <w:p w14:paraId="00BC96AD"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La expectativa es que en la medida que estos negocios se desarrollen para ir viendo sobre la marcha qué medidas adicionales se podrán ir adoptando para encausar el desarrollo de los mercados.</w:t>
      </w:r>
    </w:p>
    <w:p w14:paraId="5DED11CF"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Precisamente Costa Rica ha puesto empeño en su marco institucional, lo que se ha convertido en su elemento más valioso, destaca el gerente de la Bolsa de Valores de ese país.</w:t>
      </w:r>
    </w:p>
    <w:p w14:paraId="6AD11D6C"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lastRenderedPageBreak/>
        <w:t>Agrega que este fortalecimiento institucional ha permitido un financiamiento del sector público y privado en condiciones competitivas y transparentes, pero reconoce que hay que ir más allá.</w:t>
      </w:r>
    </w:p>
    <w:p w14:paraId="73629AC3"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“Se deben ampliar las opciones para incluir instrumentos que atiendan las necesidades de capital de empresas innovadoras con potencial de alto crecimiento, ajustando la normativa de forma tal que estos instrumentos puedan ser de acceso a inversionistas institucionales”, dice.</w:t>
      </w:r>
    </w:p>
    <w:p w14:paraId="28D825A6"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En cuanto a la integración, indica que es “una prioridad” que no termina de verse así por parte de las autoridades públicas. “El tamaño de los mercados de la región es el mayor obstáculo a vencer para lograr una profundización del negocio de bolsa y esto pasa necesariamente por su integración. Pese a esto, hace ocho años que se presentó la propuesta y no hemos sido eficientes en generar el apoyo político para logar las reformas legales requeridas”, sentencia el ejecutivo costarricense.</w:t>
      </w:r>
    </w:p>
    <w:p w14:paraId="0729200F" w14:textId="77777777" w:rsidR="00CD6E15" w:rsidRPr="00CD6E15" w:rsidRDefault="00CD6E15" w:rsidP="00CD6E15">
      <w:pPr>
        <w:spacing w:after="360" w:line="360" w:lineRule="auto"/>
        <w:ind w:right="-159"/>
        <w:jc w:val="both"/>
        <w:rPr>
          <w:rFonts w:eastAsia="Calibri"/>
          <w:b/>
          <w:sz w:val="26"/>
          <w:szCs w:val="26"/>
          <w:lang w:val="es-ES" w:eastAsia="en-US"/>
        </w:rPr>
      </w:pPr>
      <w:r w:rsidRPr="00CD6E15">
        <w:rPr>
          <w:rFonts w:eastAsia="Calibri"/>
          <w:b/>
          <w:sz w:val="26"/>
          <w:szCs w:val="26"/>
          <w:lang w:val="es-ES" w:eastAsia="en-US"/>
        </w:rPr>
        <w:t>Historias del mercado</w:t>
      </w:r>
    </w:p>
    <w:p w14:paraId="4FBF8F41"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Con cierta frecuencia, el gerente de Bolsa de Valores de Nicaragua conversa con personas que le piden recomendaciones para invertir mejor sus recursos. Sobre todo en un mundo de bajos rendimientos, mejorar la rentabilidad de las finanzas personales puede ser un asunto vital, indica.</w:t>
      </w:r>
    </w:p>
    <w:p w14:paraId="02E7861C"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“Siempre constato la gran necesidad y demanda que existe por la asesoría financiera profesional y siempre termino dando la única recomendación que mi cargo me permite: Contacte un puesto de bolsa, nada mejor que un profesional para diseñar una estrategia financiera”. La demanda por este tipo de servicios es inmensa, está largo de estar satisfecha y no tengo duda que los mercados bursátiles en la región tenemos todavía una gran avenida para correr.</w:t>
      </w:r>
    </w:p>
    <w:p w14:paraId="07109D51"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lastRenderedPageBreak/>
        <w:t>Un caso de éxito dentro del mercado es Durman Esquivel, hoy Aliaxis Latinoamérica, que paso de ser una empresa familiar a una multilatina costarricense con operaciones en siete países antes de ser adquirida por el Grupo Aliaxis de Bélgica. Esto lo hizo potenciando su crecimiento con emisiones de acciones y deuda en nuestro mercado de valores, señala el presidente de la bolsa de Costa Rica.</w:t>
      </w:r>
    </w:p>
    <w:p w14:paraId="236FE84C"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 xml:space="preserve">La estrategia de Nicaragua para atraer más inversionistas al mercado se focalizó en desarrollar una campaña publicitaria en algunos medios de comunicación, que incluye </w:t>
      </w:r>
      <w:r w:rsidRPr="00CD6E15">
        <w:rPr>
          <w:rFonts w:eastAsia="Calibri"/>
          <w:i/>
          <w:sz w:val="26"/>
          <w:szCs w:val="26"/>
          <w:lang w:val="es-ES" w:eastAsia="en-US"/>
        </w:rPr>
        <w:t>spots</w:t>
      </w:r>
      <w:r w:rsidRPr="00CD6E15">
        <w:rPr>
          <w:rFonts w:eastAsia="Calibri"/>
          <w:sz w:val="26"/>
          <w:szCs w:val="26"/>
          <w:lang w:val="es-ES" w:eastAsia="en-US"/>
        </w:rPr>
        <w:t xml:space="preserve"> publicitarios, así como Facebook.</w:t>
      </w:r>
    </w:p>
    <w:p w14:paraId="172F7B1A"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También han efectuado eventos de capacitación, tanto para inversionistas como para potenciales emisores. El esfuerzo de promoción de los servicios bursátiles es y debe ser un esfuerzo conjunto de toda la industria y en este sentido, “hemos estado trabajando de la mano de los puestos de bolsa autorizados en nuestro país”, indica el gerente de la Bolsa de Valores de Nicaragua.</w:t>
      </w:r>
    </w:p>
    <w:p w14:paraId="13925453"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En Panamá la superintendencia del Mercado de Valores ha intensificado y reforzado la unidad de educación al inversionista y ha hecho alianzas con universidades para llevar al mercado a estudiantes, pero no solo a nivel superior, sino de las primarias para que se vayan familiarizando con esta actividad y la comprendan.</w:t>
      </w:r>
    </w:p>
    <w:p w14:paraId="6FB9B500" w14:textId="77777777" w:rsidR="00CD6E15" w:rsidRPr="00CD6E15" w:rsidRDefault="00CD6E15" w:rsidP="00CD6E15">
      <w:pPr>
        <w:spacing w:after="360" w:line="360" w:lineRule="auto"/>
        <w:ind w:right="-159"/>
        <w:jc w:val="both"/>
        <w:rPr>
          <w:rFonts w:eastAsia="Calibri"/>
          <w:sz w:val="26"/>
          <w:szCs w:val="26"/>
          <w:lang w:val="es-ES" w:eastAsia="en-US"/>
        </w:rPr>
      </w:pPr>
      <w:r w:rsidRPr="00CD6E15">
        <w:rPr>
          <w:rFonts w:eastAsia="Calibri"/>
          <w:sz w:val="26"/>
          <w:szCs w:val="26"/>
          <w:lang w:val="es-ES" w:eastAsia="en-US"/>
        </w:rPr>
        <w:t>Pero cada país tiene su propio escenario. En Costa Rica, inversionistas hay suficientes, según el gerente de la Bolsa de Valores de Costa Rica. Esto aun cuando su acceso es a través de los fondos mancomunados (inversión, pensiones), pero la necesidad es lograr crear un mercado que permita desarrollar economías de escala y alcance, sin esto será muy difícil poder tener un número de empresas listadas que permita avanzar de mercados frontera a mercados emergentes.</w:t>
      </w:r>
    </w:p>
    <w:p w14:paraId="4261B613" w14:textId="77777777" w:rsidR="00CD6E15" w:rsidRPr="00CD6E15" w:rsidRDefault="00CD6E15" w:rsidP="00CD6E15">
      <w:pPr>
        <w:ind w:right="-159"/>
        <w:jc w:val="both"/>
        <w:rPr>
          <w:rFonts w:eastAsia="Calibri"/>
          <w:b/>
          <w:sz w:val="20"/>
          <w:szCs w:val="20"/>
          <w:lang w:eastAsia="en-US"/>
        </w:rPr>
      </w:pPr>
      <w:r w:rsidRPr="00CD6E15">
        <w:rPr>
          <w:rFonts w:eastAsia="Calibri"/>
          <w:b/>
          <w:sz w:val="20"/>
          <w:szCs w:val="20"/>
          <w:lang w:eastAsia="en-US"/>
        </w:rPr>
        <w:t>Fuente de información:</w:t>
      </w:r>
    </w:p>
    <w:p w14:paraId="3992DCE1" w14:textId="77777777" w:rsidR="00CD6E15" w:rsidRPr="005F5958" w:rsidRDefault="0045651A" w:rsidP="00CD6E15">
      <w:pPr>
        <w:ind w:right="-159"/>
        <w:jc w:val="both"/>
        <w:rPr>
          <w:rFonts w:eastAsia="Calibri"/>
          <w:b/>
          <w:color w:val="0000FF"/>
          <w:sz w:val="20"/>
          <w:szCs w:val="20"/>
          <w:lang w:val="es-ES" w:eastAsia="en-US"/>
        </w:rPr>
      </w:pPr>
      <w:hyperlink r:id="rId472" w:history="1">
        <w:r w:rsidR="00CD6E15" w:rsidRPr="005F5958">
          <w:rPr>
            <w:rFonts w:eastAsia="Calibri"/>
            <w:color w:val="0000FF"/>
            <w:sz w:val="20"/>
            <w:szCs w:val="20"/>
            <w:u w:val="single"/>
            <w:lang w:val="es-ES" w:eastAsia="en-US"/>
          </w:rPr>
          <w:t>http://www.forbes.com.mx/una-bolsa-de-valores-comun-en-centroamerica-es-solo-un-sueno/</w:t>
        </w:r>
      </w:hyperlink>
    </w:p>
    <w:p w14:paraId="6C4464A5" w14:textId="77777777" w:rsidR="00C31A64" w:rsidRDefault="00C31A64" w:rsidP="006E0901">
      <w:pPr>
        <w:spacing w:after="360" w:line="360" w:lineRule="auto"/>
        <w:ind w:right="-159"/>
        <w:jc w:val="both"/>
        <w:rPr>
          <w:rFonts w:eastAsia="Calibri"/>
          <w:sz w:val="26"/>
          <w:szCs w:val="26"/>
          <w:lang w:eastAsia="en-US"/>
        </w:rPr>
      </w:pPr>
    </w:p>
    <w:p w14:paraId="1B01ADAB" w14:textId="570287B5" w:rsidR="00770ED0" w:rsidRDefault="00770ED0" w:rsidP="00240532">
      <w:pPr>
        <w:spacing w:after="360" w:line="360" w:lineRule="auto"/>
        <w:ind w:right="-159"/>
        <w:rPr>
          <w:b/>
          <w:sz w:val="26"/>
          <w:szCs w:val="26"/>
        </w:rPr>
      </w:pPr>
      <w:r w:rsidRPr="00770ED0">
        <w:rPr>
          <w:b/>
          <w:sz w:val="26"/>
          <w:szCs w:val="26"/>
        </w:rPr>
        <w:lastRenderedPageBreak/>
        <w:t>Mercado cambiario</w:t>
      </w:r>
    </w:p>
    <w:p w14:paraId="686DBEB2" w14:textId="38F704CF" w:rsidR="00026736" w:rsidRPr="000E3A45" w:rsidRDefault="001F7E63" w:rsidP="007806DF">
      <w:pPr>
        <w:spacing w:after="360" w:line="360" w:lineRule="auto"/>
        <w:ind w:right="-159"/>
        <w:jc w:val="both"/>
        <w:rPr>
          <w:sz w:val="26"/>
          <w:szCs w:val="26"/>
          <w:lang w:val="es-ES"/>
        </w:rPr>
      </w:pPr>
      <w:bookmarkStart w:id="22" w:name="OLE_LINK50"/>
      <w:bookmarkStart w:id="23" w:name="OLE_LINK51"/>
      <w:bookmarkEnd w:id="20"/>
      <w:bookmarkEnd w:id="21"/>
      <w:r w:rsidRPr="000E3A45">
        <w:rPr>
          <w:b/>
          <w:sz w:val="26"/>
          <w:szCs w:val="26"/>
          <w:lang w:val="es-ES"/>
        </w:rPr>
        <w:t>Paridad cambiaria</w:t>
      </w:r>
      <w:r w:rsidR="007717CE" w:rsidRPr="000E3A45">
        <w:rPr>
          <w:b/>
          <w:sz w:val="26"/>
          <w:szCs w:val="26"/>
          <w:lang w:val="es-ES"/>
        </w:rPr>
        <w:t xml:space="preserve"> (Banxico)</w:t>
      </w:r>
    </w:p>
    <w:p w14:paraId="2428B8D5" w14:textId="0C8E24DE" w:rsidR="00435D91" w:rsidRDefault="00C41EFC" w:rsidP="00C77FA1">
      <w:pPr>
        <w:spacing w:after="360" w:line="360" w:lineRule="auto"/>
        <w:ind w:right="-159"/>
        <w:jc w:val="both"/>
        <w:rPr>
          <w:rFonts w:eastAsia="Times New Roman"/>
          <w:sz w:val="26"/>
          <w:szCs w:val="26"/>
        </w:rPr>
      </w:pPr>
      <w:r w:rsidRPr="000E3A45">
        <w:rPr>
          <w:rFonts w:eastAsia="Times New Roman"/>
          <w:sz w:val="26"/>
          <w:szCs w:val="26"/>
        </w:rPr>
        <w:t xml:space="preserve">Durante </w:t>
      </w:r>
      <w:r w:rsidR="008B574F">
        <w:rPr>
          <w:rFonts w:eastAsia="Times New Roman"/>
          <w:sz w:val="26"/>
          <w:szCs w:val="26"/>
        </w:rPr>
        <w:t xml:space="preserve">el </w:t>
      </w:r>
      <w:r w:rsidR="001346B6">
        <w:rPr>
          <w:rFonts w:eastAsia="Times New Roman"/>
          <w:sz w:val="26"/>
          <w:szCs w:val="26"/>
        </w:rPr>
        <w:t xml:space="preserve">primer </w:t>
      </w:r>
      <w:r w:rsidR="00761CAE">
        <w:rPr>
          <w:rFonts w:eastAsia="Times New Roman"/>
          <w:sz w:val="26"/>
          <w:szCs w:val="26"/>
        </w:rPr>
        <w:t>cua</w:t>
      </w:r>
      <w:r w:rsidR="00435D91">
        <w:rPr>
          <w:rFonts w:eastAsia="Times New Roman"/>
          <w:sz w:val="26"/>
          <w:szCs w:val="26"/>
        </w:rPr>
        <w:t>tri</w:t>
      </w:r>
      <w:r w:rsidR="001346B6">
        <w:rPr>
          <w:rFonts w:eastAsia="Times New Roman"/>
          <w:sz w:val="26"/>
          <w:szCs w:val="26"/>
        </w:rPr>
        <w:t>mestre de 2015</w:t>
      </w:r>
      <w:r w:rsidR="00B917D7" w:rsidRPr="000E3A45">
        <w:rPr>
          <w:rFonts w:eastAsia="Times New Roman"/>
          <w:sz w:val="26"/>
          <w:szCs w:val="26"/>
        </w:rPr>
        <w:t xml:space="preserve">, </w:t>
      </w:r>
      <w:r w:rsidR="00F823F1" w:rsidRPr="000E3A45">
        <w:rPr>
          <w:rFonts w:eastAsia="Times New Roman"/>
          <w:sz w:val="26"/>
          <w:szCs w:val="26"/>
        </w:rPr>
        <w:t xml:space="preserve">la paridad del peso frente al dólar estadounidenseen </w:t>
      </w:r>
      <w:r w:rsidR="001346B6">
        <w:rPr>
          <w:rFonts w:eastAsia="Times New Roman"/>
          <w:sz w:val="26"/>
          <w:szCs w:val="26"/>
        </w:rPr>
        <w:t xml:space="preserve">en </w:t>
      </w:r>
      <w:r w:rsidR="00F823F1" w:rsidRPr="000E3A45">
        <w:rPr>
          <w:rFonts w:eastAsia="Times New Roman"/>
          <w:sz w:val="26"/>
          <w:szCs w:val="26"/>
        </w:rPr>
        <w:t xml:space="preserve">el </w:t>
      </w:r>
      <w:r w:rsidR="00391E97" w:rsidRPr="000E3A45">
        <w:rPr>
          <w:rFonts w:eastAsia="Times New Roman"/>
          <w:sz w:val="26"/>
          <w:szCs w:val="26"/>
        </w:rPr>
        <w:t xml:space="preserve">mercado cambiario </w:t>
      </w:r>
      <w:r w:rsidR="007B63A8" w:rsidRPr="000E3A45">
        <w:rPr>
          <w:rFonts w:eastAsia="Times New Roman"/>
          <w:sz w:val="26"/>
          <w:szCs w:val="26"/>
        </w:rPr>
        <w:t xml:space="preserve">se vio afectado por la volatilidad en los mercados financieros y cambiarios del mundo. De hecho, la tendencia de devaluación </w:t>
      </w:r>
      <w:r w:rsidR="00435D91">
        <w:rPr>
          <w:rFonts w:eastAsia="Times New Roman"/>
          <w:sz w:val="26"/>
          <w:szCs w:val="26"/>
        </w:rPr>
        <w:t xml:space="preserve">de las monedas del mundo se exacerbó debido a la apreciación del dólar estadounidense. Así, durante </w:t>
      </w:r>
      <w:r w:rsidR="00761CAE">
        <w:rPr>
          <w:rFonts w:eastAsia="Times New Roman"/>
          <w:sz w:val="26"/>
          <w:szCs w:val="26"/>
        </w:rPr>
        <w:t>los primeros cuatro meses</w:t>
      </w:r>
      <w:r w:rsidR="00435D91">
        <w:rPr>
          <w:rFonts w:eastAsia="Times New Roman"/>
          <w:sz w:val="26"/>
          <w:szCs w:val="26"/>
        </w:rPr>
        <w:t xml:space="preserve"> el deslizamiento del tipo de cambio fue mayor, </w:t>
      </w:r>
      <w:r w:rsidR="001346B6">
        <w:rPr>
          <w:rFonts w:eastAsia="Times New Roman"/>
          <w:sz w:val="26"/>
          <w:szCs w:val="26"/>
        </w:rPr>
        <w:t>alcanzando un tipo de cambio de 15.</w:t>
      </w:r>
      <w:r w:rsidR="00761CAE">
        <w:rPr>
          <w:rFonts w:eastAsia="Times New Roman"/>
          <w:sz w:val="26"/>
          <w:szCs w:val="26"/>
        </w:rPr>
        <w:t>7</w:t>
      </w:r>
      <w:r w:rsidR="001346B6">
        <w:rPr>
          <w:rFonts w:eastAsia="Times New Roman"/>
          <w:sz w:val="26"/>
          <w:szCs w:val="26"/>
        </w:rPr>
        <w:t xml:space="preserve">8 pesos por dólar en el mercado cambiario </w:t>
      </w:r>
      <w:r w:rsidR="001346B6" w:rsidRPr="00D752B3">
        <w:rPr>
          <w:rFonts w:eastAsia="Times New Roman"/>
          <w:i/>
          <w:sz w:val="26"/>
          <w:szCs w:val="26"/>
        </w:rPr>
        <w:t>spot</w:t>
      </w:r>
      <w:r w:rsidR="001346B6">
        <w:rPr>
          <w:rFonts w:eastAsia="Times New Roman"/>
          <w:sz w:val="26"/>
          <w:szCs w:val="26"/>
        </w:rPr>
        <w:t xml:space="preserve">, </w:t>
      </w:r>
      <w:r w:rsidR="00435D91">
        <w:rPr>
          <w:rFonts w:eastAsia="Times New Roman"/>
          <w:sz w:val="26"/>
          <w:szCs w:val="26"/>
        </w:rPr>
        <w:t xml:space="preserve">lo cual propició que </w:t>
      </w:r>
      <w:r w:rsidR="00761CAE">
        <w:rPr>
          <w:rFonts w:eastAsia="Times New Roman"/>
          <w:sz w:val="26"/>
          <w:szCs w:val="26"/>
        </w:rPr>
        <w:t xml:space="preserve">desde </w:t>
      </w:r>
      <w:r w:rsidR="00435D91">
        <w:rPr>
          <w:rFonts w:eastAsia="Times New Roman"/>
          <w:sz w:val="26"/>
          <w:szCs w:val="26"/>
        </w:rPr>
        <w:t xml:space="preserve">el 12 de marzo del presente año, la Comisión de Cambios </w:t>
      </w:r>
      <w:r w:rsidR="00761CAE">
        <w:rPr>
          <w:rFonts w:eastAsia="Times New Roman"/>
          <w:sz w:val="26"/>
          <w:szCs w:val="26"/>
        </w:rPr>
        <w:t xml:space="preserve">pusiera en marcha el mecanismo de </w:t>
      </w:r>
      <w:r w:rsidR="00435D91">
        <w:rPr>
          <w:rFonts w:eastAsia="Times New Roman"/>
          <w:sz w:val="26"/>
          <w:szCs w:val="26"/>
        </w:rPr>
        <w:t>subasta de 52 millones de dólares diarios, la cual se suma a la anterior subasta de 200 millones de dólares diarios que se realizaría cuando el precio del peso frente al dólar superará el 1.5% encima de la cotización FIX, lo cual solamente ha ocurrido el 11 de diciembre de 2014 y el 6 de marzo de 2015.</w:t>
      </w:r>
    </w:p>
    <w:p w14:paraId="56C6F44C" w14:textId="3661FF16" w:rsidR="00435D91" w:rsidRDefault="00435D91" w:rsidP="00C77FA1">
      <w:pPr>
        <w:spacing w:after="360" w:line="360" w:lineRule="auto"/>
        <w:ind w:right="-159"/>
        <w:jc w:val="both"/>
        <w:rPr>
          <w:rFonts w:eastAsia="Times New Roman"/>
          <w:sz w:val="26"/>
          <w:szCs w:val="26"/>
        </w:rPr>
      </w:pPr>
      <w:r>
        <w:rPr>
          <w:rFonts w:eastAsia="Times New Roman"/>
          <w:sz w:val="26"/>
          <w:szCs w:val="26"/>
        </w:rPr>
        <w:t>Sin embargo, la puesta en marcha del mecanismo de subasta por 52 millones de dólares diarios no ha logrado atenuar la depreciación de manera completa, en virtud de que la volatilidad mundial y los procesos de especulación externa no ha cesado y parecería que continuará por los tres meses próximoa.</w:t>
      </w:r>
    </w:p>
    <w:p w14:paraId="67E66B2C" w14:textId="4600589A" w:rsidR="00433909" w:rsidRDefault="00153BD8" w:rsidP="00C77FA1">
      <w:pPr>
        <w:spacing w:after="360" w:line="360" w:lineRule="auto"/>
        <w:ind w:right="-159"/>
        <w:jc w:val="both"/>
        <w:rPr>
          <w:rFonts w:eastAsia="Calibri"/>
          <w:sz w:val="26"/>
          <w:szCs w:val="26"/>
          <w:lang w:eastAsia="en-US"/>
        </w:rPr>
      </w:pPr>
      <w:r>
        <w:rPr>
          <w:sz w:val="26"/>
          <w:szCs w:val="26"/>
        </w:rPr>
        <w:t xml:space="preserve">Cabe destacar que </w:t>
      </w:r>
      <w:r w:rsidRPr="00C7548D">
        <w:rPr>
          <w:rFonts w:eastAsia="Calibri"/>
          <w:sz w:val="26"/>
          <w:szCs w:val="26"/>
          <w:lang w:eastAsia="en-US"/>
        </w:rPr>
        <w:t>la paridad del peso mexicano frente al dólar estadounidense p</w:t>
      </w:r>
      <w:r w:rsidR="00761CAE">
        <w:rPr>
          <w:rFonts w:eastAsia="Calibri"/>
          <w:sz w:val="26"/>
          <w:szCs w:val="26"/>
          <w:lang w:eastAsia="en-US"/>
        </w:rPr>
        <w:t xml:space="preserve">odría seguir siendo afectado por diversos </w:t>
      </w:r>
      <w:r w:rsidRPr="00C7548D">
        <w:rPr>
          <w:rFonts w:eastAsia="Calibri"/>
          <w:sz w:val="26"/>
          <w:szCs w:val="26"/>
          <w:lang w:eastAsia="en-US"/>
        </w:rPr>
        <w:t>factores como las perspectivas económicas de México y de Estados Unidos</w:t>
      </w:r>
      <w:r>
        <w:rPr>
          <w:rFonts w:eastAsia="Calibri"/>
          <w:sz w:val="26"/>
          <w:szCs w:val="26"/>
          <w:lang w:eastAsia="en-US"/>
        </w:rPr>
        <w:t xml:space="preserve"> de Norteamérica</w:t>
      </w:r>
      <w:r w:rsidRPr="00C7548D">
        <w:rPr>
          <w:rFonts w:eastAsia="Calibri"/>
          <w:sz w:val="26"/>
          <w:szCs w:val="26"/>
          <w:lang w:eastAsia="en-US"/>
        </w:rPr>
        <w:t xml:space="preserve">, la evolución de los términos de intercambio y el apetito por riesgo de los inversionistas internacionales, entre otros. </w:t>
      </w:r>
    </w:p>
    <w:p w14:paraId="5EE8754A" w14:textId="012B43CA" w:rsidR="00433909" w:rsidRDefault="00761CAE" w:rsidP="00C77FA1">
      <w:pPr>
        <w:spacing w:after="360" w:line="360" w:lineRule="auto"/>
        <w:ind w:right="-159"/>
        <w:jc w:val="both"/>
        <w:rPr>
          <w:sz w:val="26"/>
          <w:szCs w:val="26"/>
        </w:rPr>
      </w:pPr>
      <w:r>
        <w:rPr>
          <w:rFonts w:eastAsia="Calibri"/>
          <w:sz w:val="26"/>
          <w:szCs w:val="26"/>
          <w:lang w:eastAsia="en-US"/>
        </w:rPr>
        <w:t xml:space="preserve">Sin embargo, se estima que la </w:t>
      </w:r>
      <w:r w:rsidR="00435D91">
        <w:rPr>
          <w:rFonts w:eastAsia="Calibri"/>
          <w:sz w:val="26"/>
          <w:szCs w:val="26"/>
          <w:lang w:eastAsia="en-US"/>
        </w:rPr>
        <w:t>aplicación de una política monetaria congruente con el objetivo de inflación y de garantizar el poder de compra de la moneda podrían surtir efecto en la medid</w:t>
      </w:r>
      <w:r w:rsidR="00E146C7">
        <w:rPr>
          <w:rFonts w:eastAsia="Calibri"/>
          <w:sz w:val="26"/>
          <w:szCs w:val="26"/>
          <w:lang w:eastAsia="en-US"/>
        </w:rPr>
        <w:t>a</w:t>
      </w:r>
      <w:r w:rsidR="00435D91">
        <w:rPr>
          <w:rFonts w:eastAsia="Calibri"/>
          <w:sz w:val="26"/>
          <w:szCs w:val="26"/>
          <w:lang w:eastAsia="en-US"/>
        </w:rPr>
        <w:t xml:space="preserve"> que los factores que ocasionan la volatilidad se vean frenados y se </w:t>
      </w:r>
      <w:r w:rsidR="00435D91">
        <w:rPr>
          <w:rFonts w:eastAsia="Calibri"/>
          <w:sz w:val="26"/>
          <w:szCs w:val="26"/>
          <w:lang w:eastAsia="en-US"/>
        </w:rPr>
        <w:lastRenderedPageBreak/>
        <w:t>reto</w:t>
      </w:r>
      <w:r w:rsidR="00E146C7">
        <w:rPr>
          <w:rFonts w:eastAsia="Calibri"/>
          <w:sz w:val="26"/>
          <w:szCs w:val="26"/>
          <w:lang w:eastAsia="en-US"/>
        </w:rPr>
        <w:t>r</w:t>
      </w:r>
      <w:r w:rsidR="00435D91">
        <w:rPr>
          <w:rFonts w:eastAsia="Calibri"/>
          <w:sz w:val="26"/>
          <w:szCs w:val="26"/>
          <w:lang w:eastAsia="en-US"/>
        </w:rPr>
        <w:t>ne a una tendencia más estable en los mercados cambiarios internacionales y el de México.</w:t>
      </w:r>
      <w:r w:rsidR="00435D91">
        <w:rPr>
          <w:sz w:val="26"/>
          <w:szCs w:val="26"/>
        </w:rPr>
        <w:t xml:space="preserve"> </w:t>
      </w:r>
      <w:r w:rsidR="00513C90">
        <w:rPr>
          <w:sz w:val="26"/>
          <w:szCs w:val="26"/>
        </w:rPr>
        <w:t xml:space="preserve">Habría que agregar que la incertidumbre respecto a la </w:t>
      </w:r>
      <w:r w:rsidR="00435D91">
        <w:rPr>
          <w:sz w:val="26"/>
          <w:szCs w:val="26"/>
        </w:rPr>
        <w:t xml:space="preserve">política monetaria de la Reserva Federal estadounidense en el sentido de no mover las tasas de interés interbancarias, </w:t>
      </w:r>
      <w:r w:rsidR="00513C90">
        <w:rPr>
          <w:sz w:val="26"/>
          <w:szCs w:val="26"/>
        </w:rPr>
        <w:t xml:space="preserve">no ha coadyuvado a atenuar la </w:t>
      </w:r>
      <w:r w:rsidR="00435D91">
        <w:rPr>
          <w:sz w:val="26"/>
          <w:szCs w:val="26"/>
        </w:rPr>
        <w:t>volatilidad y la especualación en los mercados financieros internacionales</w:t>
      </w:r>
      <w:r w:rsidR="00433909">
        <w:rPr>
          <w:sz w:val="26"/>
          <w:szCs w:val="26"/>
        </w:rPr>
        <w:t>.</w:t>
      </w:r>
    </w:p>
    <w:p w14:paraId="2E47BE32" w14:textId="339B1600" w:rsidR="00CD6253" w:rsidRDefault="000F394D" w:rsidP="00C77FA1">
      <w:pPr>
        <w:spacing w:after="360" w:line="360" w:lineRule="auto"/>
        <w:ind w:right="-159"/>
        <w:jc w:val="both"/>
        <w:rPr>
          <w:sz w:val="26"/>
          <w:szCs w:val="26"/>
        </w:rPr>
      </w:pPr>
      <w:r w:rsidRPr="000E3A45">
        <w:rPr>
          <w:sz w:val="26"/>
          <w:szCs w:val="26"/>
        </w:rPr>
        <w:t xml:space="preserve">En este </w:t>
      </w:r>
      <w:r w:rsidR="00167645" w:rsidRPr="000E3A45">
        <w:rPr>
          <w:sz w:val="26"/>
          <w:szCs w:val="26"/>
        </w:rPr>
        <w:t>contexto</w:t>
      </w:r>
      <w:r w:rsidRPr="000E3A45">
        <w:rPr>
          <w:sz w:val="26"/>
          <w:szCs w:val="26"/>
        </w:rPr>
        <w:t xml:space="preserve">, </w:t>
      </w:r>
      <w:r w:rsidR="00D05DEF" w:rsidRPr="000E3A45">
        <w:rPr>
          <w:sz w:val="26"/>
          <w:szCs w:val="26"/>
        </w:rPr>
        <w:t xml:space="preserve">la cotización </w:t>
      </w:r>
      <w:r w:rsidR="00A84F0F" w:rsidRPr="000E3A45">
        <w:rPr>
          <w:sz w:val="26"/>
          <w:szCs w:val="26"/>
        </w:rPr>
        <w:t xml:space="preserve">promedio </w:t>
      </w:r>
      <w:r w:rsidR="00D05DEF" w:rsidRPr="000E3A45">
        <w:rPr>
          <w:sz w:val="26"/>
          <w:szCs w:val="26"/>
        </w:rPr>
        <w:t xml:space="preserve">del peso </w:t>
      </w:r>
      <w:r w:rsidR="00BB5FF6" w:rsidRPr="000E3A45">
        <w:rPr>
          <w:sz w:val="26"/>
          <w:szCs w:val="26"/>
        </w:rPr>
        <w:t>interbancario a 48 horas</w:t>
      </w:r>
      <w:r w:rsidR="00C53C3E" w:rsidRPr="000E3A45">
        <w:rPr>
          <w:rStyle w:val="Refdenotaalpie"/>
          <w:sz w:val="26"/>
          <w:szCs w:val="26"/>
        </w:rPr>
        <w:footnoteReference w:id="87"/>
      </w:r>
      <w:r w:rsidR="00BB5FF6" w:rsidRPr="000E3A45">
        <w:rPr>
          <w:sz w:val="26"/>
          <w:szCs w:val="26"/>
        </w:rPr>
        <w:t xml:space="preserve"> </w:t>
      </w:r>
      <w:r w:rsidR="00D05DEF" w:rsidRPr="000E3A45">
        <w:rPr>
          <w:sz w:val="26"/>
          <w:szCs w:val="26"/>
        </w:rPr>
        <w:t>frente al dólar</w:t>
      </w:r>
      <w:r w:rsidR="008E189D" w:rsidRPr="000E3A45">
        <w:rPr>
          <w:sz w:val="26"/>
          <w:szCs w:val="26"/>
        </w:rPr>
        <w:t xml:space="preserve"> </w:t>
      </w:r>
      <w:r w:rsidR="005A110C">
        <w:rPr>
          <w:sz w:val="26"/>
          <w:szCs w:val="26"/>
        </w:rPr>
        <w:t>e</w:t>
      </w:r>
      <w:r w:rsidR="0075157C">
        <w:rPr>
          <w:sz w:val="26"/>
          <w:szCs w:val="26"/>
        </w:rPr>
        <w:t>n</w:t>
      </w:r>
      <w:r w:rsidR="00291C3D" w:rsidRPr="000E3A45">
        <w:rPr>
          <w:sz w:val="26"/>
          <w:szCs w:val="26"/>
        </w:rPr>
        <w:t xml:space="preserve"> </w:t>
      </w:r>
      <w:r w:rsidR="00E81452">
        <w:rPr>
          <w:sz w:val="26"/>
          <w:szCs w:val="26"/>
        </w:rPr>
        <w:t>marzo</w:t>
      </w:r>
      <w:r w:rsidR="00A9248B" w:rsidRPr="000E3A45">
        <w:rPr>
          <w:sz w:val="26"/>
          <w:szCs w:val="26"/>
        </w:rPr>
        <w:t xml:space="preserve"> </w:t>
      </w:r>
      <w:r w:rsidR="004E524C" w:rsidRPr="000E3A45">
        <w:rPr>
          <w:sz w:val="26"/>
          <w:szCs w:val="26"/>
        </w:rPr>
        <w:t>de 201</w:t>
      </w:r>
      <w:r w:rsidR="005A110C">
        <w:rPr>
          <w:sz w:val="26"/>
          <w:szCs w:val="26"/>
        </w:rPr>
        <w:t>5</w:t>
      </w:r>
      <w:r w:rsidR="00E45A4B" w:rsidRPr="000E3A45">
        <w:rPr>
          <w:sz w:val="26"/>
          <w:szCs w:val="26"/>
        </w:rPr>
        <w:t xml:space="preserve">, fue de </w:t>
      </w:r>
      <w:r w:rsidR="00D05DEF" w:rsidRPr="000E3A45">
        <w:rPr>
          <w:sz w:val="26"/>
          <w:szCs w:val="26"/>
        </w:rPr>
        <w:t>1</w:t>
      </w:r>
      <w:r w:rsidR="00E81452">
        <w:rPr>
          <w:sz w:val="26"/>
          <w:szCs w:val="26"/>
        </w:rPr>
        <w:t>5</w:t>
      </w:r>
      <w:r w:rsidR="00CA33ED" w:rsidRPr="000E3A45">
        <w:rPr>
          <w:sz w:val="26"/>
          <w:szCs w:val="26"/>
        </w:rPr>
        <w:t>.</w:t>
      </w:r>
      <w:r w:rsidR="00E81452">
        <w:rPr>
          <w:sz w:val="26"/>
          <w:szCs w:val="26"/>
        </w:rPr>
        <w:t>2323</w:t>
      </w:r>
      <w:r w:rsidR="00D05DEF" w:rsidRPr="000E3A45">
        <w:rPr>
          <w:sz w:val="26"/>
          <w:szCs w:val="26"/>
        </w:rPr>
        <w:t xml:space="preserve"> pesos por dólar,</w:t>
      </w:r>
      <w:r w:rsidR="000F4224" w:rsidRPr="000E3A45">
        <w:rPr>
          <w:sz w:val="26"/>
          <w:szCs w:val="26"/>
        </w:rPr>
        <w:t xml:space="preserve"> lo </w:t>
      </w:r>
      <w:r w:rsidR="00FF5F51" w:rsidRPr="000E3A45">
        <w:rPr>
          <w:sz w:val="26"/>
          <w:szCs w:val="26"/>
        </w:rPr>
        <w:t xml:space="preserve">que </w:t>
      </w:r>
      <w:r w:rsidR="008263E0" w:rsidRPr="000E3A45">
        <w:rPr>
          <w:sz w:val="26"/>
          <w:szCs w:val="26"/>
        </w:rPr>
        <w:t>significó</w:t>
      </w:r>
      <w:r w:rsidR="00291C3D" w:rsidRPr="000E3A45">
        <w:rPr>
          <w:sz w:val="26"/>
          <w:szCs w:val="26"/>
        </w:rPr>
        <w:t xml:space="preserve"> una </w:t>
      </w:r>
      <w:r w:rsidR="00CA33ED" w:rsidRPr="000E3A45">
        <w:rPr>
          <w:sz w:val="26"/>
          <w:szCs w:val="26"/>
        </w:rPr>
        <w:t>de</w:t>
      </w:r>
      <w:r w:rsidR="00A9248B" w:rsidRPr="000E3A45">
        <w:rPr>
          <w:sz w:val="26"/>
          <w:szCs w:val="26"/>
        </w:rPr>
        <w:t>p</w:t>
      </w:r>
      <w:r w:rsidR="008263E0" w:rsidRPr="000E3A45">
        <w:rPr>
          <w:sz w:val="26"/>
          <w:szCs w:val="26"/>
        </w:rPr>
        <w:t>re</w:t>
      </w:r>
      <w:r w:rsidR="005A3BA5">
        <w:rPr>
          <w:sz w:val="26"/>
          <w:szCs w:val="26"/>
        </w:rPr>
        <w:t>c</w:t>
      </w:r>
      <w:r w:rsidR="008263E0" w:rsidRPr="000E3A45">
        <w:rPr>
          <w:sz w:val="26"/>
          <w:szCs w:val="26"/>
        </w:rPr>
        <w:t>iación</w:t>
      </w:r>
      <w:r w:rsidR="00BB5FF6" w:rsidRPr="000E3A45">
        <w:rPr>
          <w:sz w:val="26"/>
          <w:szCs w:val="26"/>
        </w:rPr>
        <w:t xml:space="preserve"> de </w:t>
      </w:r>
      <w:r w:rsidR="00E81452">
        <w:rPr>
          <w:sz w:val="26"/>
          <w:szCs w:val="26"/>
        </w:rPr>
        <w:t>2.10</w:t>
      </w:r>
      <w:r w:rsidR="00BB5FF6" w:rsidRPr="000E3A45">
        <w:rPr>
          <w:sz w:val="26"/>
          <w:szCs w:val="26"/>
        </w:rPr>
        <w:t>% respecto a</w:t>
      </w:r>
      <w:r w:rsidR="00167645" w:rsidRPr="000E3A45">
        <w:rPr>
          <w:sz w:val="26"/>
          <w:szCs w:val="26"/>
        </w:rPr>
        <w:t xml:space="preserve">l </w:t>
      </w:r>
      <w:r w:rsidR="00CD6253" w:rsidRPr="000E3A45">
        <w:rPr>
          <w:sz w:val="26"/>
          <w:szCs w:val="26"/>
        </w:rPr>
        <w:t>promedio de</w:t>
      </w:r>
      <w:r w:rsidR="00167645" w:rsidRPr="000E3A45">
        <w:rPr>
          <w:sz w:val="26"/>
          <w:szCs w:val="26"/>
        </w:rPr>
        <w:t>l mes inmediato anterior</w:t>
      </w:r>
      <w:r w:rsidR="008E58BE" w:rsidRPr="000E3A45">
        <w:rPr>
          <w:sz w:val="26"/>
          <w:szCs w:val="26"/>
        </w:rPr>
        <w:t xml:space="preserve"> (1</w:t>
      </w:r>
      <w:r w:rsidR="005A110C">
        <w:rPr>
          <w:sz w:val="26"/>
          <w:szCs w:val="26"/>
        </w:rPr>
        <w:t>4.</w:t>
      </w:r>
      <w:r w:rsidR="00433909">
        <w:rPr>
          <w:sz w:val="26"/>
          <w:szCs w:val="26"/>
        </w:rPr>
        <w:t>9</w:t>
      </w:r>
      <w:r w:rsidR="00E81452">
        <w:rPr>
          <w:sz w:val="26"/>
          <w:szCs w:val="26"/>
        </w:rPr>
        <w:t>18</w:t>
      </w:r>
      <w:r w:rsidR="00433909">
        <w:rPr>
          <w:sz w:val="26"/>
          <w:szCs w:val="26"/>
        </w:rPr>
        <w:t>4</w:t>
      </w:r>
      <w:r w:rsidR="008E58BE" w:rsidRPr="000E3A45">
        <w:rPr>
          <w:sz w:val="26"/>
          <w:szCs w:val="26"/>
        </w:rPr>
        <w:t xml:space="preserve"> pesos por dólar)</w:t>
      </w:r>
      <w:r w:rsidR="00167645" w:rsidRPr="000E3A45">
        <w:rPr>
          <w:sz w:val="26"/>
          <w:szCs w:val="26"/>
        </w:rPr>
        <w:t xml:space="preserve">, </w:t>
      </w:r>
      <w:r w:rsidR="0081400D" w:rsidRPr="000E3A45">
        <w:rPr>
          <w:sz w:val="26"/>
          <w:szCs w:val="26"/>
        </w:rPr>
        <w:t xml:space="preserve">una </w:t>
      </w:r>
      <w:r w:rsidR="008E58BE" w:rsidRPr="000E3A45">
        <w:rPr>
          <w:sz w:val="26"/>
          <w:szCs w:val="26"/>
        </w:rPr>
        <w:t>d</w:t>
      </w:r>
      <w:r w:rsidR="006C2FE9" w:rsidRPr="000E3A45">
        <w:rPr>
          <w:sz w:val="26"/>
          <w:szCs w:val="26"/>
        </w:rPr>
        <w:t xml:space="preserve">e </w:t>
      </w:r>
      <w:r w:rsidR="00E81452">
        <w:rPr>
          <w:sz w:val="26"/>
          <w:szCs w:val="26"/>
        </w:rPr>
        <w:t>4.91</w:t>
      </w:r>
      <w:r w:rsidR="00167645" w:rsidRPr="000E3A45">
        <w:rPr>
          <w:sz w:val="26"/>
          <w:szCs w:val="26"/>
        </w:rPr>
        <w:t xml:space="preserve">% </w:t>
      </w:r>
      <w:r w:rsidR="006B3A5F" w:rsidRPr="000E3A45">
        <w:rPr>
          <w:sz w:val="26"/>
          <w:szCs w:val="26"/>
        </w:rPr>
        <w:t xml:space="preserve">con relación a </w:t>
      </w:r>
      <w:r w:rsidR="00433909">
        <w:rPr>
          <w:sz w:val="26"/>
          <w:szCs w:val="26"/>
        </w:rPr>
        <w:t xml:space="preserve">diciembre </w:t>
      </w:r>
      <w:r w:rsidR="00F407BA">
        <w:rPr>
          <w:sz w:val="26"/>
          <w:szCs w:val="26"/>
        </w:rPr>
        <w:t>pasado</w:t>
      </w:r>
      <w:r w:rsidR="008E58BE" w:rsidRPr="000E3A45">
        <w:rPr>
          <w:sz w:val="26"/>
          <w:szCs w:val="26"/>
        </w:rPr>
        <w:t xml:space="preserve"> (1</w:t>
      </w:r>
      <w:r w:rsidR="00433909">
        <w:rPr>
          <w:sz w:val="26"/>
          <w:szCs w:val="26"/>
        </w:rPr>
        <w:t>4</w:t>
      </w:r>
      <w:r w:rsidR="008E58BE" w:rsidRPr="000E3A45">
        <w:rPr>
          <w:sz w:val="26"/>
          <w:szCs w:val="26"/>
        </w:rPr>
        <w:t>.</w:t>
      </w:r>
      <w:r w:rsidR="00433909">
        <w:rPr>
          <w:sz w:val="26"/>
          <w:szCs w:val="26"/>
        </w:rPr>
        <w:t>5198</w:t>
      </w:r>
      <w:r w:rsidR="008E58BE" w:rsidRPr="000E3A45">
        <w:rPr>
          <w:sz w:val="26"/>
          <w:szCs w:val="26"/>
        </w:rPr>
        <w:t xml:space="preserve"> pesos por dólar)</w:t>
      </w:r>
      <w:r w:rsidR="00F407BA">
        <w:rPr>
          <w:sz w:val="26"/>
          <w:szCs w:val="26"/>
        </w:rPr>
        <w:t>, y de 1</w:t>
      </w:r>
      <w:r w:rsidR="00E81452">
        <w:rPr>
          <w:sz w:val="26"/>
          <w:szCs w:val="26"/>
        </w:rPr>
        <w:t>5</w:t>
      </w:r>
      <w:r w:rsidR="00F407BA">
        <w:rPr>
          <w:sz w:val="26"/>
          <w:szCs w:val="26"/>
        </w:rPr>
        <w:t>.</w:t>
      </w:r>
      <w:r w:rsidR="0075157C">
        <w:rPr>
          <w:sz w:val="26"/>
          <w:szCs w:val="26"/>
        </w:rPr>
        <w:t>3</w:t>
      </w:r>
      <w:r w:rsidR="00E146C7">
        <w:rPr>
          <w:sz w:val="26"/>
          <w:szCs w:val="26"/>
        </w:rPr>
        <w:t>6</w:t>
      </w:r>
      <w:r w:rsidR="00F407BA">
        <w:rPr>
          <w:sz w:val="26"/>
          <w:szCs w:val="26"/>
        </w:rPr>
        <w:t xml:space="preserve">% si se le compara con </w:t>
      </w:r>
      <w:r w:rsidR="00E81452">
        <w:rPr>
          <w:sz w:val="26"/>
          <w:szCs w:val="26"/>
        </w:rPr>
        <w:t>marzo</w:t>
      </w:r>
      <w:r w:rsidR="00F407BA">
        <w:rPr>
          <w:sz w:val="26"/>
          <w:szCs w:val="26"/>
        </w:rPr>
        <w:t xml:space="preserve"> de 2014 (13.2</w:t>
      </w:r>
      <w:r w:rsidR="00E81452">
        <w:rPr>
          <w:sz w:val="26"/>
          <w:szCs w:val="26"/>
        </w:rPr>
        <w:t>036</w:t>
      </w:r>
      <w:r w:rsidR="00F407BA">
        <w:rPr>
          <w:sz w:val="26"/>
          <w:szCs w:val="26"/>
        </w:rPr>
        <w:t xml:space="preserve"> pesos por dólar).</w:t>
      </w:r>
    </w:p>
    <w:p w14:paraId="15B0268E" w14:textId="3682EE5B" w:rsidR="0075157C" w:rsidRPr="000E3A45" w:rsidRDefault="0075157C" w:rsidP="00C77FA1">
      <w:pPr>
        <w:spacing w:after="360" w:line="360" w:lineRule="auto"/>
        <w:ind w:right="-159"/>
        <w:jc w:val="both"/>
        <w:rPr>
          <w:sz w:val="26"/>
          <w:szCs w:val="26"/>
        </w:rPr>
      </w:pPr>
      <w:r>
        <w:rPr>
          <w:sz w:val="26"/>
          <w:szCs w:val="26"/>
        </w:rPr>
        <w:t xml:space="preserve">Asimismo, </w:t>
      </w:r>
      <w:r w:rsidRPr="000E3A45">
        <w:rPr>
          <w:sz w:val="26"/>
          <w:szCs w:val="26"/>
        </w:rPr>
        <w:t xml:space="preserve">la cotización promedio del peso interbancario a 48 horas frente al dólar </w:t>
      </w:r>
      <w:r>
        <w:rPr>
          <w:sz w:val="26"/>
          <w:szCs w:val="26"/>
        </w:rPr>
        <w:t xml:space="preserve">del 1º al </w:t>
      </w:r>
      <w:r w:rsidR="00E81452">
        <w:rPr>
          <w:sz w:val="26"/>
          <w:szCs w:val="26"/>
        </w:rPr>
        <w:t>2</w:t>
      </w:r>
      <w:r>
        <w:rPr>
          <w:sz w:val="26"/>
          <w:szCs w:val="26"/>
        </w:rPr>
        <w:t>1 de</w:t>
      </w:r>
      <w:r w:rsidRPr="000E3A45">
        <w:rPr>
          <w:sz w:val="26"/>
          <w:szCs w:val="26"/>
        </w:rPr>
        <w:t xml:space="preserve"> </w:t>
      </w:r>
      <w:r>
        <w:rPr>
          <w:sz w:val="26"/>
          <w:szCs w:val="26"/>
        </w:rPr>
        <w:t>a</w:t>
      </w:r>
      <w:r w:rsidR="00E81452">
        <w:rPr>
          <w:sz w:val="26"/>
          <w:szCs w:val="26"/>
        </w:rPr>
        <w:t>b</w:t>
      </w:r>
      <w:r>
        <w:rPr>
          <w:sz w:val="26"/>
          <w:szCs w:val="26"/>
        </w:rPr>
        <w:t>r</w:t>
      </w:r>
      <w:r w:rsidR="00E81452">
        <w:rPr>
          <w:sz w:val="26"/>
          <w:szCs w:val="26"/>
        </w:rPr>
        <w:t>il</w:t>
      </w:r>
      <w:r w:rsidRPr="000E3A45">
        <w:rPr>
          <w:sz w:val="26"/>
          <w:szCs w:val="26"/>
        </w:rPr>
        <w:t xml:space="preserve"> de 201</w:t>
      </w:r>
      <w:r>
        <w:rPr>
          <w:sz w:val="26"/>
          <w:szCs w:val="26"/>
        </w:rPr>
        <w:t>5</w:t>
      </w:r>
      <w:r w:rsidRPr="000E3A45">
        <w:rPr>
          <w:sz w:val="26"/>
          <w:szCs w:val="26"/>
        </w:rPr>
        <w:t>, fue de 1</w:t>
      </w:r>
      <w:r>
        <w:rPr>
          <w:sz w:val="26"/>
          <w:szCs w:val="26"/>
        </w:rPr>
        <w:t>5</w:t>
      </w:r>
      <w:r w:rsidRPr="000E3A45">
        <w:rPr>
          <w:sz w:val="26"/>
          <w:szCs w:val="26"/>
        </w:rPr>
        <w:t>.</w:t>
      </w:r>
      <w:r w:rsidR="00E81452">
        <w:rPr>
          <w:sz w:val="26"/>
          <w:szCs w:val="26"/>
        </w:rPr>
        <w:t>1867</w:t>
      </w:r>
      <w:r w:rsidRPr="000E3A45">
        <w:rPr>
          <w:sz w:val="26"/>
          <w:szCs w:val="26"/>
        </w:rPr>
        <w:t xml:space="preserve"> pesos por dólar, lo que </w:t>
      </w:r>
      <w:r>
        <w:rPr>
          <w:sz w:val="26"/>
          <w:szCs w:val="26"/>
        </w:rPr>
        <w:t>representó</w:t>
      </w:r>
      <w:r w:rsidRPr="000E3A45">
        <w:rPr>
          <w:sz w:val="26"/>
          <w:szCs w:val="26"/>
        </w:rPr>
        <w:t xml:space="preserve"> una </w:t>
      </w:r>
      <w:r w:rsidR="00E81452">
        <w:rPr>
          <w:sz w:val="26"/>
          <w:szCs w:val="26"/>
        </w:rPr>
        <w:t>a</w:t>
      </w:r>
      <w:r w:rsidRPr="000E3A45">
        <w:rPr>
          <w:sz w:val="26"/>
          <w:szCs w:val="26"/>
        </w:rPr>
        <w:t>pre</w:t>
      </w:r>
      <w:r>
        <w:rPr>
          <w:sz w:val="26"/>
          <w:szCs w:val="26"/>
        </w:rPr>
        <w:t>c</w:t>
      </w:r>
      <w:r w:rsidRPr="000E3A45">
        <w:rPr>
          <w:sz w:val="26"/>
          <w:szCs w:val="26"/>
        </w:rPr>
        <w:t xml:space="preserve">iación de </w:t>
      </w:r>
      <w:r w:rsidR="00E81452">
        <w:rPr>
          <w:sz w:val="26"/>
          <w:szCs w:val="26"/>
        </w:rPr>
        <w:t>0.30</w:t>
      </w:r>
      <w:r w:rsidRPr="000E3A45">
        <w:rPr>
          <w:sz w:val="26"/>
          <w:szCs w:val="26"/>
        </w:rPr>
        <w:t xml:space="preserve">% con respecto al promedio de </w:t>
      </w:r>
      <w:r w:rsidR="00E81452">
        <w:rPr>
          <w:sz w:val="26"/>
          <w:szCs w:val="26"/>
        </w:rPr>
        <w:t>marzo</w:t>
      </w:r>
      <w:r w:rsidRPr="000E3A45">
        <w:rPr>
          <w:sz w:val="26"/>
          <w:szCs w:val="26"/>
        </w:rPr>
        <w:t xml:space="preserve"> </w:t>
      </w:r>
      <w:r>
        <w:rPr>
          <w:sz w:val="26"/>
          <w:szCs w:val="26"/>
        </w:rPr>
        <w:t>pasado</w:t>
      </w:r>
      <w:r w:rsidRPr="000E3A45">
        <w:rPr>
          <w:sz w:val="26"/>
          <w:szCs w:val="26"/>
        </w:rPr>
        <w:t xml:space="preserve"> (1</w:t>
      </w:r>
      <w:r w:rsidR="00E81452">
        <w:rPr>
          <w:sz w:val="26"/>
          <w:szCs w:val="26"/>
        </w:rPr>
        <w:t>5</w:t>
      </w:r>
      <w:r>
        <w:rPr>
          <w:sz w:val="26"/>
          <w:szCs w:val="26"/>
        </w:rPr>
        <w:t>.</w:t>
      </w:r>
      <w:r w:rsidR="00E81452">
        <w:rPr>
          <w:sz w:val="26"/>
          <w:szCs w:val="26"/>
        </w:rPr>
        <w:t>2323</w:t>
      </w:r>
      <w:r w:rsidRPr="000E3A45">
        <w:rPr>
          <w:sz w:val="26"/>
          <w:szCs w:val="26"/>
        </w:rPr>
        <w:t xml:space="preserve"> pesos por dólar), una </w:t>
      </w:r>
      <w:r w:rsidR="00E81452">
        <w:rPr>
          <w:sz w:val="26"/>
          <w:szCs w:val="26"/>
        </w:rPr>
        <w:t xml:space="preserve">depreciación </w:t>
      </w:r>
      <w:r w:rsidRPr="000E3A45">
        <w:rPr>
          <w:sz w:val="26"/>
          <w:szCs w:val="26"/>
        </w:rPr>
        <w:t xml:space="preserve">de </w:t>
      </w:r>
      <w:r w:rsidR="00E81452">
        <w:rPr>
          <w:sz w:val="26"/>
          <w:szCs w:val="26"/>
        </w:rPr>
        <w:t>4.59</w:t>
      </w:r>
      <w:r w:rsidRPr="000E3A45">
        <w:rPr>
          <w:sz w:val="26"/>
          <w:szCs w:val="26"/>
        </w:rPr>
        <w:t xml:space="preserve">% con relación a </w:t>
      </w:r>
      <w:r>
        <w:rPr>
          <w:sz w:val="26"/>
          <w:szCs w:val="26"/>
        </w:rPr>
        <w:t>diciembre pasado</w:t>
      </w:r>
      <w:r w:rsidRPr="000E3A45">
        <w:rPr>
          <w:sz w:val="26"/>
          <w:szCs w:val="26"/>
        </w:rPr>
        <w:t xml:space="preserve"> (1</w:t>
      </w:r>
      <w:r>
        <w:rPr>
          <w:sz w:val="26"/>
          <w:szCs w:val="26"/>
        </w:rPr>
        <w:t>4</w:t>
      </w:r>
      <w:r w:rsidRPr="000E3A45">
        <w:rPr>
          <w:sz w:val="26"/>
          <w:szCs w:val="26"/>
        </w:rPr>
        <w:t>.</w:t>
      </w:r>
      <w:r>
        <w:rPr>
          <w:sz w:val="26"/>
          <w:szCs w:val="26"/>
        </w:rPr>
        <w:t>5198</w:t>
      </w:r>
      <w:r w:rsidRPr="000E3A45">
        <w:rPr>
          <w:sz w:val="26"/>
          <w:szCs w:val="26"/>
        </w:rPr>
        <w:t xml:space="preserve"> pesos por dólar)</w:t>
      </w:r>
      <w:r>
        <w:rPr>
          <w:sz w:val="26"/>
          <w:szCs w:val="26"/>
        </w:rPr>
        <w:t>, y de 16.</w:t>
      </w:r>
      <w:r w:rsidR="00E81452">
        <w:rPr>
          <w:sz w:val="26"/>
          <w:szCs w:val="26"/>
        </w:rPr>
        <w:t>24</w:t>
      </w:r>
      <w:r>
        <w:rPr>
          <w:sz w:val="26"/>
          <w:szCs w:val="26"/>
        </w:rPr>
        <w:t>% si se le compara con el promedio de a</w:t>
      </w:r>
      <w:r w:rsidR="00E81452">
        <w:rPr>
          <w:sz w:val="26"/>
          <w:szCs w:val="26"/>
        </w:rPr>
        <w:t>b</w:t>
      </w:r>
      <w:r>
        <w:rPr>
          <w:sz w:val="26"/>
          <w:szCs w:val="26"/>
        </w:rPr>
        <w:t>r</w:t>
      </w:r>
      <w:r w:rsidR="00E81452">
        <w:rPr>
          <w:sz w:val="26"/>
          <w:szCs w:val="26"/>
        </w:rPr>
        <w:t>il</w:t>
      </w:r>
      <w:r>
        <w:rPr>
          <w:sz w:val="26"/>
          <w:szCs w:val="26"/>
        </w:rPr>
        <w:t xml:space="preserve"> de 2014 (13.06</w:t>
      </w:r>
      <w:r w:rsidR="00E81452">
        <w:rPr>
          <w:sz w:val="26"/>
          <w:szCs w:val="26"/>
        </w:rPr>
        <w:t>50</w:t>
      </w:r>
      <w:r>
        <w:rPr>
          <w:sz w:val="26"/>
          <w:szCs w:val="26"/>
        </w:rPr>
        <w:t xml:space="preserve"> pesos por dólar).</w:t>
      </w:r>
    </w:p>
    <w:p w14:paraId="04691191" w14:textId="3C38F12E" w:rsidR="00021710" w:rsidRPr="000E3A45" w:rsidRDefault="00987A74" w:rsidP="00021710">
      <w:pPr>
        <w:spacing w:after="360" w:line="360" w:lineRule="auto"/>
        <w:ind w:right="-159"/>
        <w:jc w:val="center"/>
        <w:rPr>
          <w:sz w:val="26"/>
          <w:szCs w:val="26"/>
        </w:rPr>
      </w:pPr>
      <w:r w:rsidRPr="00987A74">
        <w:rPr>
          <w:rFonts w:ascii="Calibri" w:eastAsia="Calibri" w:hAnsi="Calibri"/>
          <w:sz w:val="22"/>
          <w:szCs w:val="22"/>
          <w:lang w:eastAsia="en-US"/>
        </w:rPr>
        <w:lastRenderedPageBreak/>
        <w:fldChar w:fldCharType="begin"/>
      </w:r>
      <w:r w:rsidRPr="00987A74">
        <w:rPr>
          <w:rFonts w:ascii="Calibri" w:eastAsia="Calibri" w:hAnsi="Calibri"/>
          <w:sz w:val="22"/>
          <w:szCs w:val="22"/>
          <w:lang w:eastAsia="en-US"/>
        </w:rPr>
        <w:instrText xml:space="preserve"> LINK PowerPoint.Slide.8 "D:\\2015\\ABRIL\\GRÁFICAS POWER POINT\\29.-GRÁFICAS DE TIPO DE CAMBIO.pptx!268" "" \a \p </w:instrText>
      </w:r>
      <w:r w:rsidRPr="00987A74">
        <w:rPr>
          <w:rFonts w:ascii="Calibri" w:eastAsia="Calibri" w:hAnsi="Calibri"/>
          <w:sz w:val="22"/>
          <w:szCs w:val="22"/>
          <w:lang w:eastAsia="en-US"/>
        </w:rPr>
        <w:fldChar w:fldCharType="separate"/>
      </w:r>
      <w:r w:rsidRPr="00987A74">
        <w:rPr>
          <w:rFonts w:ascii="Calibri" w:eastAsia="Calibri" w:hAnsi="Calibri"/>
          <w:noProof/>
          <w:sz w:val="22"/>
          <w:szCs w:val="22"/>
          <w:lang w:eastAsia="es-MX"/>
        </w:rPr>
        <w:drawing>
          <wp:inline distT="0" distB="0" distL="0" distR="0" wp14:anchorId="7CFA2CDE" wp14:editId="527A631B">
            <wp:extent cx="4572000" cy="3256280"/>
            <wp:effectExtent l="0" t="0" r="0" b="1270"/>
            <wp:docPr id="1888" name="Imagen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473" cstate="print">
                      <a:extLst>
                        <a:ext uri="{28A0092B-C50C-407E-A947-70E740481C1C}">
                          <a14:useLocalDpi xmlns:a14="http://schemas.microsoft.com/office/drawing/2010/main" val="0"/>
                        </a:ext>
                      </a:extLst>
                    </a:blip>
                    <a:srcRect b="4791"/>
                    <a:stretch>
                      <a:fillRect/>
                    </a:stretch>
                  </pic:blipFill>
                  <pic:spPr bwMode="auto">
                    <a:xfrm>
                      <a:off x="0" y="0"/>
                      <a:ext cx="4572000" cy="3256280"/>
                    </a:xfrm>
                    <a:prstGeom prst="rect">
                      <a:avLst/>
                    </a:prstGeom>
                    <a:noFill/>
                    <a:ln>
                      <a:noFill/>
                    </a:ln>
                  </pic:spPr>
                </pic:pic>
              </a:graphicData>
            </a:graphic>
          </wp:inline>
        </w:drawing>
      </w:r>
      <w:r w:rsidRPr="00987A74">
        <w:rPr>
          <w:rFonts w:ascii="Calibri" w:eastAsia="Calibri" w:hAnsi="Calibri"/>
          <w:sz w:val="22"/>
          <w:szCs w:val="22"/>
          <w:lang w:eastAsia="en-US"/>
        </w:rPr>
        <w:fldChar w:fldCharType="end"/>
      </w:r>
    </w:p>
    <w:p w14:paraId="4DD3A32B" w14:textId="3CF80A2E" w:rsidR="009234DA" w:rsidRPr="000E3A45" w:rsidRDefault="000431E5" w:rsidP="00352D4E">
      <w:pPr>
        <w:spacing w:after="360" w:line="360" w:lineRule="auto"/>
        <w:ind w:right="-159"/>
        <w:jc w:val="both"/>
        <w:rPr>
          <w:sz w:val="26"/>
          <w:szCs w:val="26"/>
        </w:rPr>
      </w:pPr>
      <w:r>
        <w:rPr>
          <w:sz w:val="26"/>
          <w:szCs w:val="26"/>
        </w:rPr>
        <w:t xml:space="preserve">A consecuencia de la persistente </w:t>
      </w:r>
      <w:r w:rsidR="00EB4F55" w:rsidRPr="000E3A45">
        <w:rPr>
          <w:sz w:val="26"/>
          <w:szCs w:val="26"/>
        </w:rPr>
        <w:t xml:space="preserve">volatilidad </w:t>
      </w:r>
      <w:r w:rsidR="0064323D" w:rsidRPr="000E3A45">
        <w:rPr>
          <w:sz w:val="26"/>
          <w:szCs w:val="26"/>
        </w:rPr>
        <w:t>en los mercados cambiarios internacionales, d</w:t>
      </w:r>
      <w:r w:rsidR="00527E00" w:rsidRPr="000E3A45">
        <w:rPr>
          <w:sz w:val="26"/>
          <w:szCs w:val="26"/>
        </w:rPr>
        <w:t>urante</w:t>
      </w:r>
      <w:r w:rsidR="006C2ED6" w:rsidRPr="000E3A45">
        <w:rPr>
          <w:sz w:val="26"/>
          <w:szCs w:val="26"/>
        </w:rPr>
        <w:t xml:space="preserve"> </w:t>
      </w:r>
      <w:r w:rsidR="00BF1DD9" w:rsidRPr="000E3A45">
        <w:rPr>
          <w:sz w:val="26"/>
          <w:szCs w:val="26"/>
        </w:rPr>
        <w:t xml:space="preserve">los primeros </w:t>
      </w:r>
      <w:r w:rsidR="000C7242">
        <w:rPr>
          <w:sz w:val="26"/>
          <w:szCs w:val="26"/>
        </w:rPr>
        <w:t>2</w:t>
      </w:r>
      <w:r w:rsidR="00EB4F55" w:rsidRPr="000E3A45">
        <w:rPr>
          <w:sz w:val="26"/>
          <w:szCs w:val="26"/>
        </w:rPr>
        <w:t>1</w:t>
      </w:r>
      <w:r w:rsidR="00BF1DD9" w:rsidRPr="000E3A45">
        <w:rPr>
          <w:sz w:val="26"/>
          <w:szCs w:val="26"/>
        </w:rPr>
        <w:t xml:space="preserve"> días de </w:t>
      </w:r>
      <w:r w:rsidR="00435D91">
        <w:rPr>
          <w:sz w:val="26"/>
          <w:szCs w:val="26"/>
        </w:rPr>
        <w:t>a</w:t>
      </w:r>
      <w:r w:rsidR="000C7242">
        <w:rPr>
          <w:sz w:val="26"/>
          <w:szCs w:val="26"/>
        </w:rPr>
        <w:t>b</w:t>
      </w:r>
      <w:r w:rsidR="00435D91">
        <w:rPr>
          <w:sz w:val="26"/>
          <w:szCs w:val="26"/>
        </w:rPr>
        <w:t>r</w:t>
      </w:r>
      <w:r w:rsidR="000C7242">
        <w:rPr>
          <w:sz w:val="26"/>
          <w:szCs w:val="26"/>
        </w:rPr>
        <w:t>il</w:t>
      </w:r>
      <w:r w:rsidR="00527E00" w:rsidRPr="000E3A45">
        <w:rPr>
          <w:sz w:val="26"/>
          <w:szCs w:val="26"/>
        </w:rPr>
        <w:t xml:space="preserve"> del </w:t>
      </w:r>
      <w:r>
        <w:rPr>
          <w:sz w:val="26"/>
          <w:szCs w:val="26"/>
        </w:rPr>
        <w:t xml:space="preserve">presente </w:t>
      </w:r>
      <w:r w:rsidR="00527E00" w:rsidRPr="000E3A45">
        <w:rPr>
          <w:sz w:val="26"/>
          <w:szCs w:val="26"/>
        </w:rPr>
        <w:t xml:space="preserve">año, </w:t>
      </w:r>
      <w:r w:rsidR="00CD6253" w:rsidRPr="000E3A45">
        <w:rPr>
          <w:sz w:val="26"/>
          <w:szCs w:val="26"/>
        </w:rPr>
        <w:t>la cotización promedio del peso interbancario a 48 horas frente al dólar</w:t>
      </w:r>
      <w:r w:rsidR="00F473CA" w:rsidRPr="000E3A45">
        <w:rPr>
          <w:sz w:val="26"/>
          <w:szCs w:val="26"/>
        </w:rPr>
        <w:t xml:space="preserve"> re</w:t>
      </w:r>
      <w:r w:rsidR="0064323D" w:rsidRPr="000E3A45">
        <w:rPr>
          <w:sz w:val="26"/>
          <w:szCs w:val="26"/>
        </w:rPr>
        <w:t>portó una t</w:t>
      </w:r>
      <w:r w:rsidR="000C7242">
        <w:rPr>
          <w:sz w:val="26"/>
          <w:szCs w:val="26"/>
        </w:rPr>
        <w:t>endencia</w:t>
      </w:r>
      <w:r w:rsidR="0064323D" w:rsidRPr="000E3A45">
        <w:rPr>
          <w:sz w:val="26"/>
          <w:szCs w:val="26"/>
        </w:rPr>
        <w:t xml:space="preserve"> </w:t>
      </w:r>
      <w:r w:rsidR="00EB4F55" w:rsidRPr="000E3A45">
        <w:rPr>
          <w:sz w:val="26"/>
          <w:szCs w:val="26"/>
        </w:rPr>
        <w:t>mixta</w:t>
      </w:r>
      <w:r w:rsidR="00435D91">
        <w:rPr>
          <w:sz w:val="26"/>
          <w:szCs w:val="26"/>
        </w:rPr>
        <w:t xml:space="preserve"> aunque por encima de los 15 pesos por dólar</w:t>
      </w:r>
      <w:r w:rsidR="000C7242">
        <w:rPr>
          <w:sz w:val="26"/>
          <w:szCs w:val="26"/>
        </w:rPr>
        <w:t>. Así, el punto mínimo lo alcancó el día 6</w:t>
      </w:r>
      <w:r w:rsidR="00435D91">
        <w:rPr>
          <w:sz w:val="26"/>
          <w:szCs w:val="26"/>
        </w:rPr>
        <w:t xml:space="preserve">, </w:t>
      </w:r>
      <w:r w:rsidR="000C7242">
        <w:rPr>
          <w:sz w:val="26"/>
          <w:szCs w:val="26"/>
        </w:rPr>
        <w:t xml:space="preserve">con una cotización de 14.8850 y </w:t>
      </w:r>
      <w:r w:rsidR="00F41370">
        <w:rPr>
          <w:sz w:val="26"/>
          <w:szCs w:val="26"/>
        </w:rPr>
        <w:t>del día</w:t>
      </w:r>
      <w:r w:rsidR="00A150C3">
        <w:rPr>
          <w:sz w:val="26"/>
          <w:szCs w:val="26"/>
        </w:rPr>
        <w:t xml:space="preserve"> 9 al 21 se ubicó por arriba de los 15 pesos por dólar cuando alcanzó</w:t>
      </w:r>
      <w:r w:rsidR="00E146C7">
        <w:rPr>
          <w:sz w:val="26"/>
          <w:szCs w:val="26"/>
        </w:rPr>
        <w:t>,</w:t>
      </w:r>
      <w:r w:rsidR="00A150C3">
        <w:rPr>
          <w:sz w:val="26"/>
          <w:szCs w:val="26"/>
        </w:rPr>
        <w:t xml:space="preserve"> el día 21, </w:t>
      </w:r>
      <w:r w:rsidR="00CD6253" w:rsidRPr="000E3A45">
        <w:rPr>
          <w:sz w:val="26"/>
          <w:szCs w:val="26"/>
        </w:rPr>
        <w:t xml:space="preserve">el </w:t>
      </w:r>
      <w:r w:rsidR="008352F9" w:rsidRPr="000E3A45">
        <w:rPr>
          <w:sz w:val="26"/>
          <w:szCs w:val="26"/>
        </w:rPr>
        <w:t xml:space="preserve">nivel </w:t>
      </w:r>
      <w:r w:rsidR="007B27C0" w:rsidRPr="000E3A45">
        <w:rPr>
          <w:sz w:val="26"/>
          <w:szCs w:val="26"/>
        </w:rPr>
        <w:t xml:space="preserve">máximo </w:t>
      </w:r>
      <w:r w:rsidR="00A150C3">
        <w:rPr>
          <w:sz w:val="26"/>
          <w:szCs w:val="26"/>
        </w:rPr>
        <w:t xml:space="preserve">de </w:t>
      </w:r>
      <w:r w:rsidR="001A729C" w:rsidRPr="000E3A45">
        <w:rPr>
          <w:sz w:val="26"/>
          <w:szCs w:val="26"/>
        </w:rPr>
        <w:t>1</w:t>
      </w:r>
      <w:r w:rsidR="005E48CC">
        <w:rPr>
          <w:sz w:val="26"/>
          <w:szCs w:val="26"/>
        </w:rPr>
        <w:t>5</w:t>
      </w:r>
      <w:r w:rsidR="000C43DF" w:rsidRPr="000E3A45">
        <w:rPr>
          <w:sz w:val="26"/>
          <w:szCs w:val="26"/>
        </w:rPr>
        <w:t>.</w:t>
      </w:r>
      <w:r w:rsidR="00A150C3">
        <w:rPr>
          <w:sz w:val="26"/>
          <w:szCs w:val="26"/>
        </w:rPr>
        <w:t>4</w:t>
      </w:r>
      <w:r w:rsidR="005E48CC">
        <w:rPr>
          <w:sz w:val="26"/>
          <w:szCs w:val="26"/>
        </w:rPr>
        <w:t>6</w:t>
      </w:r>
      <w:r w:rsidR="00A150C3">
        <w:rPr>
          <w:sz w:val="26"/>
          <w:szCs w:val="26"/>
        </w:rPr>
        <w:t>8</w:t>
      </w:r>
      <w:r w:rsidR="005E48CC">
        <w:rPr>
          <w:sz w:val="26"/>
          <w:szCs w:val="26"/>
        </w:rPr>
        <w:t>0</w:t>
      </w:r>
      <w:r w:rsidR="00667320" w:rsidRPr="000E3A45">
        <w:rPr>
          <w:sz w:val="26"/>
          <w:szCs w:val="26"/>
        </w:rPr>
        <w:t xml:space="preserve"> </w:t>
      </w:r>
      <w:r w:rsidR="001A729C" w:rsidRPr="000E3A45">
        <w:rPr>
          <w:sz w:val="26"/>
          <w:szCs w:val="26"/>
        </w:rPr>
        <w:t>pesos por dólar</w:t>
      </w:r>
      <w:r w:rsidR="007B27C0" w:rsidRPr="000E3A45">
        <w:rPr>
          <w:sz w:val="26"/>
          <w:szCs w:val="26"/>
        </w:rPr>
        <w:t>.</w:t>
      </w:r>
    </w:p>
    <w:p w14:paraId="04B6DA30" w14:textId="6A5AA191" w:rsidR="00591AF2" w:rsidRPr="00522F10" w:rsidRDefault="00987A74" w:rsidP="00591AF2">
      <w:pPr>
        <w:spacing w:after="360" w:line="360" w:lineRule="auto"/>
        <w:ind w:right="-159"/>
        <w:jc w:val="center"/>
        <w:rPr>
          <w:rFonts w:eastAsia="Calibri"/>
          <w:sz w:val="26"/>
          <w:szCs w:val="26"/>
          <w:lang w:eastAsia="en-US"/>
        </w:rPr>
      </w:pPr>
      <w:r w:rsidRPr="00987A74">
        <w:rPr>
          <w:rFonts w:ascii="Calibri" w:eastAsia="Calibri" w:hAnsi="Calibri"/>
          <w:sz w:val="22"/>
          <w:szCs w:val="22"/>
          <w:lang w:eastAsia="en-US"/>
        </w:rPr>
        <w:lastRenderedPageBreak/>
        <w:fldChar w:fldCharType="begin"/>
      </w:r>
      <w:r w:rsidRPr="00987A74">
        <w:rPr>
          <w:rFonts w:ascii="Calibri" w:eastAsia="Calibri" w:hAnsi="Calibri"/>
          <w:sz w:val="22"/>
          <w:szCs w:val="22"/>
          <w:lang w:eastAsia="en-US"/>
        </w:rPr>
        <w:instrText xml:space="preserve"> LINK PowerPoint.Slide.8 "D:\\2015\\ABRIL\\GRÁFICAS POWER POINT\\29.-GRÁFICAS DE TIPO DE CAMBIO.pptx!271" "" \a \p </w:instrText>
      </w:r>
      <w:r w:rsidRPr="00987A74">
        <w:rPr>
          <w:rFonts w:ascii="Calibri" w:eastAsia="Calibri" w:hAnsi="Calibri"/>
          <w:sz w:val="22"/>
          <w:szCs w:val="22"/>
          <w:lang w:eastAsia="en-US"/>
        </w:rPr>
        <w:fldChar w:fldCharType="separate"/>
      </w:r>
      <w:r w:rsidRPr="00987A74">
        <w:rPr>
          <w:rFonts w:ascii="Calibri" w:eastAsia="Calibri" w:hAnsi="Calibri"/>
          <w:noProof/>
          <w:sz w:val="22"/>
          <w:szCs w:val="22"/>
          <w:lang w:eastAsia="es-MX"/>
        </w:rPr>
        <w:drawing>
          <wp:inline distT="0" distB="0" distL="0" distR="0" wp14:anchorId="610FB6D0" wp14:editId="03839793">
            <wp:extent cx="4281805" cy="2959735"/>
            <wp:effectExtent l="0" t="0" r="4445" b="0"/>
            <wp:docPr id="1889" name="Imagen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8"/>
                    <pic:cNvPicPr>
                      <a:picLocks noChangeAspect="1" noChangeArrowheads="1"/>
                    </pic:cNvPicPr>
                  </pic:nvPicPr>
                  <pic:blipFill>
                    <a:blip r:embed="rId474" cstate="print">
                      <a:extLst>
                        <a:ext uri="{28A0092B-C50C-407E-A947-70E740481C1C}">
                          <a14:useLocalDpi xmlns:a14="http://schemas.microsoft.com/office/drawing/2010/main" val="0"/>
                        </a:ext>
                      </a:extLst>
                    </a:blip>
                    <a:srcRect l="3430" t="9584" r="2986" b="3789"/>
                    <a:stretch>
                      <a:fillRect/>
                    </a:stretch>
                  </pic:blipFill>
                  <pic:spPr bwMode="auto">
                    <a:xfrm>
                      <a:off x="0" y="0"/>
                      <a:ext cx="4281805" cy="2959735"/>
                    </a:xfrm>
                    <a:prstGeom prst="rect">
                      <a:avLst/>
                    </a:prstGeom>
                    <a:noFill/>
                    <a:ln>
                      <a:noFill/>
                    </a:ln>
                  </pic:spPr>
                </pic:pic>
              </a:graphicData>
            </a:graphic>
          </wp:inline>
        </w:drawing>
      </w:r>
      <w:r w:rsidRPr="00987A74">
        <w:rPr>
          <w:rFonts w:ascii="Calibri" w:eastAsia="Calibri" w:hAnsi="Calibri"/>
          <w:sz w:val="22"/>
          <w:szCs w:val="22"/>
          <w:lang w:eastAsia="en-US"/>
        </w:rPr>
        <w:fldChar w:fldCharType="end"/>
      </w:r>
    </w:p>
    <w:p w14:paraId="57E5CF65" w14:textId="77777777" w:rsidR="000B0616" w:rsidRDefault="000B0616" w:rsidP="00591AF2">
      <w:pPr>
        <w:spacing w:after="360" w:line="360" w:lineRule="auto"/>
        <w:ind w:right="-159"/>
        <w:jc w:val="center"/>
        <w:rPr>
          <w:rFonts w:ascii="Calibri" w:eastAsia="Calibri" w:hAnsi="Calibri"/>
          <w:sz w:val="22"/>
          <w:szCs w:val="22"/>
          <w:lang w:eastAsia="en-US"/>
        </w:rPr>
      </w:pPr>
    </w:p>
    <w:p w14:paraId="7F6DFF03" w14:textId="77777777" w:rsidR="009543B0" w:rsidRDefault="009543B0" w:rsidP="00591AF2">
      <w:pPr>
        <w:spacing w:after="360" w:line="360" w:lineRule="auto"/>
        <w:ind w:right="-159"/>
        <w:jc w:val="center"/>
        <w:rPr>
          <w:rFonts w:ascii="Calibri" w:eastAsia="Calibri" w:hAnsi="Calibri"/>
          <w:sz w:val="22"/>
          <w:szCs w:val="22"/>
          <w:lang w:eastAsia="en-US"/>
        </w:rPr>
      </w:pPr>
    </w:p>
    <w:p w14:paraId="10E76DB8" w14:textId="77777777" w:rsidR="009543B0" w:rsidRDefault="009543B0" w:rsidP="00591AF2">
      <w:pPr>
        <w:spacing w:after="360" w:line="360" w:lineRule="auto"/>
        <w:ind w:right="-159"/>
        <w:jc w:val="center"/>
        <w:rPr>
          <w:rFonts w:ascii="Calibri" w:eastAsia="Calibri" w:hAnsi="Calibri"/>
          <w:sz w:val="22"/>
          <w:szCs w:val="22"/>
          <w:lang w:eastAsia="en-US"/>
        </w:rPr>
      </w:pPr>
    </w:p>
    <w:p w14:paraId="1968E7B7" w14:textId="77777777" w:rsidR="009543B0" w:rsidRDefault="009543B0" w:rsidP="00591AF2">
      <w:pPr>
        <w:spacing w:after="360" w:line="360" w:lineRule="auto"/>
        <w:ind w:right="-159"/>
        <w:jc w:val="center"/>
        <w:rPr>
          <w:rFonts w:ascii="Calibri" w:eastAsia="Calibri" w:hAnsi="Calibri"/>
          <w:sz w:val="22"/>
          <w:szCs w:val="22"/>
          <w:lang w:eastAsia="en-US"/>
        </w:rPr>
      </w:pPr>
    </w:p>
    <w:p w14:paraId="688E0FF9" w14:textId="77777777" w:rsidR="009543B0" w:rsidRDefault="009543B0" w:rsidP="00591AF2">
      <w:pPr>
        <w:spacing w:after="360" w:line="360" w:lineRule="auto"/>
        <w:ind w:right="-159"/>
        <w:jc w:val="center"/>
        <w:rPr>
          <w:rFonts w:ascii="Calibri" w:eastAsia="Calibri" w:hAnsi="Calibri"/>
          <w:sz w:val="22"/>
          <w:szCs w:val="22"/>
          <w:lang w:eastAsia="en-US"/>
        </w:rPr>
      </w:pPr>
    </w:p>
    <w:p w14:paraId="2D07C203" w14:textId="77777777" w:rsidR="009543B0" w:rsidRDefault="009543B0" w:rsidP="00591AF2">
      <w:pPr>
        <w:spacing w:after="360" w:line="360" w:lineRule="auto"/>
        <w:ind w:right="-159"/>
        <w:jc w:val="center"/>
        <w:rPr>
          <w:rFonts w:ascii="Calibri" w:eastAsia="Calibri" w:hAnsi="Calibri"/>
          <w:sz w:val="22"/>
          <w:szCs w:val="22"/>
          <w:lang w:eastAsia="en-US"/>
        </w:rPr>
      </w:pPr>
    </w:p>
    <w:p w14:paraId="1DAABEEA" w14:textId="77777777" w:rsidR="009543B0" w:rsidRDefault="009543B0" w:rsidP="00591AF2">
      <w:pPr>
        <w:spacing w:after="360" w:line="360" w:lineRule="auto"/>
        <w:ind w:right="-159"/>
        <w:jc w:val="center"/>
        <w:rPr>
          <w:rFonts w:ascii="Calibri" w:eastAsia="Calibri" w:hAnsi="Calibri"/>
          <w:sz w:val="22"/>
          <w:szCs w:val="22"/>
          <w:lang w:eastAsia="en-US"/>
        </w:rPr>
      </w:pPr>
    </w:p>
    <w:p w14:paraId="3A6AD7F9" w14:textId="77777777" w:rsidR="009543B0" w:rsidRDefault="009543B0" w:rsidP="00591AF2">
      <w:pPr>
        <w:spacing w:after="360" w:line="360" w:lineRule="auto"/>
        <w:ind w:right="-159"/>
        <w:jc w:val="center"/>
        <w:rPr>
          <w:rFonts w:ascii="Calibri" w:eastAsia="Calibri" w:hAnsi="Calibri"/>
          <w:sz w:val="22"/>
          <w:szCs w:val="22"/>
          <w:lang w:eastAsia="en-US"/>
        </w:rPr>
      </w:pPr>
    </w:p>
    <w:p w14:paraId="2FEC3171" w14:textId="77777777" w:rsidR="009543B0" w:rsidRDefault="009543B0" w:rsidP="00591AF2">
      <w:pPr>
        <w:spacing w:after="360" w:line="360" w:lineRule="auto"/>
        <w:ind w:right="-159"/>
        <w:jc w:val="center"/>
        <w:rPr>
          <w:rFonts w:ascii="Calibri" w:eastAsia="Calibri" w:hAnsi="Calibri"/>
          <w:sz w:val="22"/>
          <w:szCs w:val="22"/>
          <w:lang w:eastAsia="en-US"/>
        </w:rPr>
      </w:pPr>
    </w:p>
    <w:p w14:paraId="1331888E" w14:textId="77777777" w:rsidR="009543B0" w:rsidRDefault="009543B0" w:rsidP="00591AF2">
      <w:pPr>
        <w:spacing w:after="360" w:line="360" w:lineRule="auto"/>
        <w:ind w:right="-159"/>
        <w:jc w:val="center"/>
        <w:rPr>
          <w:rFonts w:ascii="Calibri" w:eastAsia="Calibri" w:hAnsi="Calibri"/>
          <w:sz w:val="22"/>
          <w:szCs w:val="22"/>
          <w:lang w:eastAsia="en-US"/>
        </w:rPr>
      </w:pPr>
    </w:p>
    <w:p w14:paraId="098BA151" w14:textId="77777777" w:rsidR="0029441E" w:rsidRDefault="0029441E" w:rsidP="0029441E">
      <w:pPr>
        <w:ind w:right="-15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2348"/>
        <w:gridCol w:w="2238"/>
        <w:gridCol w:w="2238"/>
      </w:tblGrid>
      <w:tr w:rsidR="004D2A7C" w:rsidRPr="000E3A45" w14:paraId="1FC4CCD9" w14:textId="77777777" w:rsidTr="00772451">
        <w:trPr>
          <w:jc w:val="center"/>
        </w:trPr>
        <w:tc>
          <w:tcPr>
            <w:tcW w:w="8051" w:type="dxa"/>
            <w:gridSpan w:val="4"/>
            <w:tcBorders>
              <w:top w:val="nil"/>
              <w:left w:val="nil"/>
              <w:right w:val="nil"/>
            </w:tcBorders>
            <w:vAlign w:val="center"/>
          </w:tcPr>
          <w:p w14:paraId="759B71EF" w14:textId="77777777" w:rsidR="004D2A7C" w:rsidRPr="000E3A45" w:rsidRDefault="004D2A7C" w:rsidP="00161606">
            <w:pPr>
              <w:widowControl w:val="0"/>
              <w:adjustRightInd w:val="0"/>
              <w:jc w:val="center"/>
              <w:textAlignment w:val="baseline"/>
              <w:rPr>
                <w:b/>
                <w:bCs/>
                <w:sz w:val="22"/>
                <w:szCs w:val="22"/>
                <w:lang w:val="es-ES"/>
              </w:rPr>
            </w:pPr>
            <w:r w:rsidRPr="000E3A45">
              <w:rPr>
                <w:b/>
                <w:bCs/>
                <w:sz w:val="22"/>
                <w:szCs w:val="22"/>
                <w:lang w:val="es-ES"/>
              </w:rPr>
              <w:t>VARIACIONES DEL PESO FRENTE AL DÓLAR ESTADOUNIDENSE</w:t>
            </w:r>
          </w:p>
          <w:p w14:paraId="676EC692" w14:textId="77777777" w:rsidR="004D2A7C" w:rsidRPr="000E3A45" w:rsidRDefault="004D2A7C" w:rsidP="00161606">
            <w:pPr>
              <w:widowControl w:val="0"/>
              <w:adjustRightInd w:val="0"/>
              <w:jc w:val="center"/>
              <w:textAlignment w:val="baseline"/>
              <w:rPr>
                <w:b/>
                <w:bCs/>
                <w:sz w:val="22"/>
                <w:szCs w:val="22"/>
                <w:lang w:val="es-ES"/>
              </w:rPr>
            </w:pPr>
            <w:r w:rsidRPr="000E3A45">
              <w:rPr>
                <w:b/>
                <w:bCs/>
                <w:sz w:val="22"/>
                <w:szCs w:val="22"/>
                <w:lang w:val="es-ES"/>
              </w:rPr>
              <w:t>- Porcentaje -</w:t>
            </w:r>
          </w:p>
        </w:tc>
      </w:tr>
      <w:tr w:rsidR="004D2A7C" w:rsidRPr="000E3A45" w14:paraId="5C1CFC65" w14:textId="77777777" w:rsidTr="00772451">
        <w:trPr>
          <w:jc w:val="center"/>
        </w:trPr>
        <w:tc>
          <w:tcPr>
            <w:tcW w:w="1227" w:type="dxa"/>
            <w:vAlign w:val="center"/>
          </w:tcPr>
          <w:p w14:paraId="5BF35355" w14:textId="77777777" w:rsidR="004D2A7C" w:rsidRPr="000E3A45" w:rsidRDefault="004D2A7C" w:rsidP="00161606">
            <w:pPr>
              <w:widowControl w:val="0"/>
              <w:adjustRightInd w:val="0"/>
              <w:ind w:right="-57"/>
              <w:jc w:val="center"/>
              <w:textAlignment w:val="baseline"/>
              <w:rPr>
                <w:b/>
                <w:bCs/>
                <w:sz w:val="20"/>
                <w:szCs w:val="20"/>
                <w:lang w:val="es-ES"/>
              </w:rPr>
            </w:pPr>
          </w:p>
        </w:tc>
        <w:tc>
          <w:tcPr>
            <w:tcW w:w="2348" w:type="dxa"/>
            <w:vAlign w:val="center"/>
          </w:tcPr>
          <w:p w14:paraId="20D0CE0E"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Promedio de la cotización del peso frente al dólar estadounidense</w:t>
            </w:r>
          </w:p>
        </w:tc>
        <w:tc>
          <w:tcPr>
            <w:tcW w:w="2238" w:type="dxa"/>
            <w:vAlign w:val="center"/>
          </w:tcPr>
          <w:p w14:paraId="057DB154"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Variación respecto al mes inmediato anterior</w:t>
            </w:r>
          </w:p>
        </w:tc>
        <w:tc>
          <w:tcPr>
            <w:tcW w:w="2238" w:type="dxa"/>
            <w:vAlign w:val="center"/>
          </w:tcPr>
          <w:p w14:paraId="42088682" w14:textId="77777777" w:rsidR="004D2A7C" w:rsidRPr="000E3A45" w:rsidRDefault="004D2A7C" w:rsidP="00161606">
            <w:pPr>
              <w:widowControl w:val="0"/>
              <w:adjustRightInd w:val="0"/>
              <w:ind w:right="-57"/>
              <w:jc w:val="center"/>
              <w:textAlignment w:val="baseline"/>
              <w:rPr>
                <w:b/>
                <w:bCs/>
                <w:sz w:val="20"/>
                <w:szCs w:val="20"/>
                <w:lang w:val="es-ES"/>
              </w:rPr>
            </w:pPr>
            <w:r w:rsidRPr="000E3A45">
              <w:rPr>
                <w:b/>
                <w:bCs/>
                <w:sz w:val="20"/>
                <w:szCs w:val="20"/>
                <w:lang w:val="es-ES"/>
              </w:rPr>
              <w:t>Variación respecto a diciembre anterior</w:t>
            </w:r>
          </w:p>
        </w:tc>
      </w:tr>
      <w:tr w:rsidR="004D2A7C" w:rsidRPr="000E3A45" w14:paraId="2D790539" w14:textId="77777777" w:rsidTr="000F3535">
        <w:trPr>
          <w:jc w:val="center"/>
        </w:trPr>
        <w:tc>
          <w:tcPr>
            <w:tcW w:w="1227" w:type="dxa"/>
            <w:tcBorders>
              <w:bottom w:val="nil"/>
            </w:tcBorders>
            <w:vAlign w:val="center"/>
          </w:tcPr>
          <w:p w14:paraId="5F0BA05B"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2003</w:t>
            </w:r>
          </w:p>
        </w:tc>
        <w:tc>
          <w:tcPr>
            <w:tcW w:w="2348" w:type="dxa"/>
            <w:tcBorders>
              <w:bottom w:val="nil"/>
            </w:tcBorders>
            <w:vAlign w:val="center"/>
          </w:tcPr>
          <w:p w14:paraId="5C13B1F3"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11.2527</w:t>
            </w:r>
          </w:p>
        </w:tc>
        <w:tc>
          <w:tcPr>
            <w:tcW w:w="2238" w:type="dxa"/>
            <w:tcBorders>
              <w:bottom w:val="nil"/>
            </w:tcBorders>
            <w:vAlign w:val="center"/>
          </w:tcPr>
          <w:p w14:paraId="7A9EB0E2"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0.93</w:t>
            </w:r>
          </w:p>
        </w:tc>
        <w:tc>
          <w:tcPr>
            <w:tcW w:w="2238" w:type="dxa"/>
            <w:tcBorders>
              <w:bottom w:val="nil"/>
            </w:tcBorders>
            <w:vAlign w:val="center"/>
          </w:tcPr>
          <w:p w14:paraId="34F4C6BD"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9.93</w:t>
            </w:r>
          </w:p>
        </w:tc>
      </w:tr>
      <w:tr w:rsidR="004D2A7C" w:rsidRPr="000E3A45" w14:paraId="177D4414" w14:textId="77777777" w:rsidTr="000F3535">
        <w:trPr>
          <w:jc w:val="center"/>
        </w:trPr>
        <w:tc>
          <w:tcPr>
            <w:tcW w:w="1227" w:type="dxa"/>
            <w:tcBorders>
              <w:top w:val="nil"/>
              <w:bottom w:val="nil"/>
            </w:tcBorders>
            <w:vAlign w:val="center"/>
          </w:tcPr>
          <w:p w14:paraId="16CA16E7" w14:textId="77777777" w:rsidR="004D2A7C" w:rsidRPr="000E3A45" w:rsidRDefault="004D2A7C" w:rsidP="00161606">
            <w:pPr>
              <w:widowControl w:val="0"/>
              <w:adjustRightInd w:val="0"/>
              <w:ind w:right="-159"/>
              <w:jc w:val="both"/>
              <w:textAlignment w:val="baseline"/>
              <w:rPr>
                <w:bCs/>
                <w:sz w:val="20"/>
                <w:szCs w:val="20"/>
                <w:lang w:val="en-US"/>
              </w:rPr>
            </w:pPr>
            <w:r w:rsidRPr="000E3A45">
              <w:rPr>
                <w:bCs/>
                <w:sz w:val="20"/>
                <w:szCs w:val="20"/>
                <w:lang w:val="en-US"/>
              </w:rPr>
              <w:t>Dic. 2004</w:t>
            </w:r>
          </w:p>
        </w:tc>
        <w:tc>
          <w:tcPr>
            <w:tcW w:w="2348" w:type="dxa"/>
            <w:tcBorders>
              <w:top w:val="nil"/>
              <w:bottom w:val="nil"/>
            </w:tcBorders>
            <w:vAlign w:val="center"/>
          </w:tcPr>
          <w:p w14:paraId="61DD626C"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11.2007</w:t>
            </w:r>
          </w:p>
        </w:tc>
        <w:tc>
          <w:tcPr>
            <w:tcW w:w="2238" w:type="dxa"/>
            <w:tcBorders>
              <w:top w:val="nil"/>
              <w:bottom w:val="nil"/>
            </w:tcBorders>
            <w:vAlign w:val="center"/>
          </w:tcPr>
          <w:p w14:paraId="0515C685"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-1.47</w:t>
            </w:r>
          </w:p>
        </w:tc>
        <w:tc>
          <w:tcPr>
            <w:tcW w:w="2238" w:type="dxa"/>
            <w:tcBorders>
              <w:top w:val="nil"/>
              <w:bottom w:val="nil"/>
            </w:tcBorders>
            <w:vAlign w:val="center"/>
          </w:tcPr>
          <w:p w14:paraId="2F6D8468"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-0.46</w:t>
            </w:r>
          </w:p>
        </w:tc>
      </w:tr>
      <w:tr w:rsidR="004D2A7C" w:rsidRPr="000E3A45" w14:paraId="3682CB77" w14:textId="77777777" w:rsidTr="000F3535">
        <w:trPr>
          <w:jc w:val="center"/>
        </w:trPr>
        <w:tc>
          <w:tcPr>
            <w:tcW w:w="1227" w:type="dxa"/>
            <w:tcBorders>
              <w:top w:val="nil"/>
              <w:bottom w:val="nil"/>
            </w:tcBorders>
            <w:vAlign w:val="center"/>
          </w:tcPr>
          <w:p w14:paraId="3BA972E1"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2005</w:t>
            </w:r>
          </w:p>
        </w:tc>
        <w:tc>
          <w:tcPr>
            <w:tcW w:w="2348" w:type="dxa"/>
            <w:tcBorders>
              <w:top w:val="nil"/>
              <w:bottom w:val="nil"/>
            </w:tcBorders>
            <w:vAlign w:val="center"/>
          </w:tcPr>
          <w:p w14:paraId="6EA903BE"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10.6303</w:t>
            </w:r>
          </w:p>
        </w:tc>
        <w:tc>
          <w:tcPr>
            <w:tcW w:w="2238" w:type="dxa"/>
            <w:tcBorders>
              <w:top w:val="nil"/>
              <w:bottom w:val="nil"/>
            </w:tcBorders>
            <w:vAlign w:val="center"/>
          </w:tcPr>
          <w:p w14:paraId="65018057" w14:textId="77777777" w:rsidR="004D2A7C" w:rsidRPr="000E3A45" w:rsidRDefault="005F41D2" w:rsidP="00161606">
            <w:pPr>
              <w:widowControl w:val="0"/>
              <w:adjustRightInd w:val="0"/>
              <w:ind w:right="851"/>
              <w:jc w:val="right"/>
              <w:textAlignment w:val="baseline"/>
              <w:rPr>
                <w:bCs/>
                <w:sz w:val="20"/>
                <w:szCs w:val="20"/>
                <w:lang w:val="es-ES"/>
              </w:rPr>
            </w:pPr>
            <w:r w:rsidRPr="000E3A45">
              <w:rPr>
                <w:bCs/>
                <w:sz w:val="20"/>
                <w:szCs w:val="20"/>
                <w:lang w:val="es-ES"/>
              </w:rPr>
              <w:t>-0.33</w:t>
            </w:r>
          </w:p>
        </w:tc>
        <w:tc>
          <w:tcPr>
            <w:tcW w:w="2238" w:type="dxa"/>
            <w:tcBorders>
              <w:top w:val="nil"/>
              <w:bottom w:val="nil"/>
            </w:tcBorders>
            <w:vAlign w:val="center"/>
          </w:tcPr>
          <w:p w14:paraId="05A56E3D"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-5.09</w:t>
            </w:r>
          </w:p>
        </w:tc>
      </w:tr>
      <w:tr w:rsidR="004D2A7C" w:rsidRPr="000E3A45" w14:paraId="57AC749E" w14:textId="77777777" w:rsidTr="000F3535">
        <w:trPr>
          <w:jc w:val="center"/>
        </w:trPr>
        <w:tc>
          <w:tcPr>
            <w:tcW w:w="1227" w:type="dxa"/>
            <w:tcBorders>
              <w:top w:val="nil"/>
              <w:bottom w:val="nil"/>
            </w:tcBorders>
            <w:vAlign w:val="center"/>
          </w:tcPr>
          <w:p w14:paraId="52C45BA3"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 2006</w:t>
            </w:r>
          </w:p>
        </w:tc>
        <w:tc>
          <w:tcPr>
            <w:tcW w:w="2348" w:type="dxa"/>
            <w:tcBorders>
              <w:top w:val="nil"/>
              <w:bottom w:val="nil"/>
            </w:tcBorders>
            <w:vAlign w:val="center"/>
          </w:tcPr>
          <w:p w14:paraId="51FC5A06"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w:t>
            </w:r>
            <w:r w:rsidR="005B3EAF" w:rsidRPr="000E3A45">
              <w:rPr>
                <w:bCs/>
                <w:sz w:val="20"/>
                <w:szCs w:val="20"/>
                <w:lang w:val="es-ES"/>
              </w:rPr>
              <w:t>8</w:t>
            </w:r>
            <w:r w:rsidR="005F41D2" w:rsidRPr="000E3A45">
              <w:rPr>
                <w:bCs/>
                <w:sz w:val="20"/>
                <w:szCs w:val="20"/>
                <w:lang w:val="es-ES"/>
              </w:rPr>
              <w:t>4</w:t>
            </w:r>
            <w:r w:rsidR="005B3EAF" w:rsidRPr="000E3A45">
              <w:rPr>
                <w:bCs/>
                <w:sz w:val="20"/>
                <w:szCs w:val="20"/>
                <w:lang w:val="es-ES"/>
              </w:rPr>
              <w:t>81</w:t>
            </w:r>
          </w:p>
        </w:tc>
        <w:tc>
          <w:tcPr>
            <w:tcW w:w="2238" w:type="dxa"/>
            <w:tcBorders>
              <w:top w:val="nil"/>
              <w:bottom w:val="nil"/>
            </w:tcBorders>
            <w:vAlign w:val="center"/>
          </w:tcPr>
          <w:p w14:paraId="591681E7"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w:t>
            </w:r>
            <w:r w:rsidR="005B3EAF" w:rsidRPr="000E3A45">
              <w:rPr>
                <w:bCs/>
                <w:sz w:val="20"/>
                <w:szCs w:val="20"/>
                <w:lang w:val="es-ES"/>
              </w:rPr>
              <w:t>67</w:t>
            </w:r>
          </w:p>
        </w:tc>
        <w:tc>
          <w:tcPr>
            <w:tcW w:w="2238" w:type="dxa"/>
            <w:tcBorders>
              <w:top w:val="nil"/>
              <w:bottom w:val="nil"/>
            </w:tcBorders>
            <w:vAlign w:val="center"/>
          </w:tcPr>
          <w:p w14:paraId="4F826012"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w:t>
            </w:r>
            <w:r w:rsidR="005B3EAF" w:rsidRPr="000E3A45">
              <w:rPr>
                <w:bCs/>
                <w:sz w:val="20"/>
                <w:szCs w:val="20"/>
                <w:lang w:val="es-ES"/>
              </w:rPr>
              <w:t>2.05</w:t>
            </w:r>
          </w:p>
        </w:tc>
      </w:tr>
      <w:tr w:rsidR="004D2A7C" w:rsidRPr="000E3A45" w14:paraId="0E724684" w14:textId="77777777" w:rsidTr="000F3535">
        <w:trPr>
          <w:jc w:val="center"/>
        </w:trPr>
        <w:tc>
          <w:tcPr>
            <w:tcW w:w="1227" w:type="dxa"/>
            <w:tcBorders>
              <w:top w:val="nil"/>
              <w:bottom w:val="nil"/>
            </w:tcBorders>
            <w:vAlign w:val="center"/>
          </w:tcPr>
          <w:p w14:paraId="0E02C8B0" w14:textId="77777777" w:rsidR="004D2A7C" w:rsidRPr="000E3A45" w:rsidRDefault="004D2A7C" w:rsidP="00161606">
            <w:pPr>
              <w:widowControl w:val="0"/>
              <w:adjustRightInd w:val="0"/>
              <w:ind w:right="-159"/>
              <w:jc w:val="both"/>
              <w:textAlignment w:val="baseline"/>
              <w:rPr>
                <w:bCs/>
                <w:sz w:val="20"/>
                <w:szCs w:val="20"/>
                <w:lang w:val="es-ES"/>
              </w:rPr>
            </w:pPr>
            <w:r w:rsidRPr="000E3A45">
              <w:rPr>
                <w:bCs/>
                <w:sz w:val="20"/>
                <w:szCs w:val="20"/>
                <w:lang w:val="es-ES"/>
              </w:rPr>
              <w:t>Dic</w:t>
            </w:r>
            <w:r w:rsidR="00E75244" w:rsidRPr="000E3A45">
              <w:rPr>
                <w:bCs/>
                <w:sz w:val="20"/>
                <w:szCs w:val="20"/>
                <w:lang w:val="es-ES"/>
              </w:rPr>
              <w:t>. 2007</w:t>
            </w:r>
          </w:p>
        </w:tc>
        <w:tc>
          <w:tcPr>
            <w:tcW w:w="2348" w:type="dxa"/>
            <w:tcBorders>
              <w:top w:val="nil"/>
              <w:bottom w:val="nil"/>
            </w:tcBorders>
            <w:vAlign w:val="center"/>
          </w:tcPr>
          <w:p w14:paraId="1BD9C202" w14:textId="77777777" w:rsidR="004D2A7C" w:rsidRPr="000E3A45" w:rsidRDefault="004D2A7C" w:rsidP="00161606">
            <w:pPr>
              <w:widowControl w:val="0"/>
              <w:adjustRightInd w:val="0"/>
              <w:jc w:val="center"/>
              <w:textAlignment w:val="baseline"/>
              <w:rPr>
                <w:bCs/>
                <w:sz w:val="20"/>
                <w:szCs w:val="20"/>
                <w:lang w:val="es-ES"/>
              </w:rPr>
            </w:pPr>
            <w:r w:rsidRPr="000E3A45">
              <w:rPr>
                <w:bCs/>
                <w:sz w:val="20"/>
                <w:szCs w:val="20"/>
                <w:lang w:val="es-ES"/>
              </w:rPr>
              <w:t>10.8</w:t>
            </w:r>
            <w:r w:rsidR="007B6E99" w:rsidRPr="000E3A45">
              <w:rPr>
                <w:bCs/>
                <w:sz w:val="20"/>
                <w:szCs w:val="20"/>
                <w:lang w:val="es-ES"/>
              </w:rPr>
              <w:t>507</w:t>
            </w:r>
          </w:p>
        </w:tc>
        <w:tc>
          <w:tcPr>
            <w:tcW w:w="2238" w:type="dxa"/>
            <w:tcBorders>
              <w:top w:val="nil"/>
              <w:bottom w:val="nil"/>
            </w:tcBorders>
            <w:vAlign w:val="center"/>
          </w:tcPr>
          <w:p w14:paraId="0BF497CD" w14:textId="77777777" w:rsidR="004D2A7C" w:rsidRPr="000E3A45" w:rsidRDefault="007B6E99" w:rsidP="00161606">
            <w:pPr>
              <w:widowControl w:val="0"/>
              <w:adjustRightInd w:val="0"/>
              <w:ind w:right="851"/>
              <w:jc w:val="right"/>
              <w:textAlignment w:val="baseline"/>
              <w:rPr>
                <w:bCs/>
                <w:sz w:val="20"/>
                <w:szCs w:val="20"/>
                <w:lang w:val="es-ES"/>
              </w:rPr>
            </w:pPr>
            <w:r w:rsidRPr="000E3A45">
              <w:rPr>
                <w:bCs/>
                <w:sz w:val="20"/>
                <w:szCs w:val="20"/>
                <w:lang w:val="es-ES"/>
              </w:rPr>
              <w:t xml:space="preserve">- </w:t>
            </w:r>
            <w:r w:rsidR="004D2A7C" w:rsidRPr="000E3A45">
              <w:rPr>
                <w:bCs/>
                <w:sz w:val="20"/>
                <w:szCs w:val="20"/>
                <w:lang w:val="es-ES"/>
              </w:rPr>
              <w:t>0.</w:t>
            </w:r>
            <w:r w:rsidRPr="000E3A45">
              <w:rPr>
                <w:bCs/>
                <w:sz w:val="20"/>
                <w:szCs w:val="20"/>
                <w:lang w:val="es-ES"/>
              </w:rPr>
              <w:t>35</w:t>
            </w:r>
          </w:p>
        </w:tc>
        <w:tc>
          <w:tcPr>
            <w:tcW w:w="2238" w:type="dxa"/>
            <w:tcBorders>
              <w:top w:val="nil"/>
              <w:bottom w:val="nil"/>
            </w:tcBorders>
            <w:vAlign w:val="center"/>
          </w:tcPr>
          <w:p w14:paraId="41705B7B" w14:textId="77777777" w:rsidR="004D2A7C" w:rsidRPr="000E3A45" w:rsidRDefault="004D2A7C" w:rsidP="00161606">
            <w:pPr>
              <w:widowControl w:val="0"/>
              <w:adjustRightInd w:val="0"/>
              <w:ind w:right="851"/>
              <w:jc w:val="right"/>
              <w:textAlignment w:val="baseline"/>
              <w:rPr>
                <w:bCs/>
                <w:sz w:val="20"/>
                <w:szCs w:val="20"/>
                <w:lang w:val="es-ES"/>
              </w:rPr>
            </w:pPr>
            <w:r w:rsidRPr="000E3A45">
              <w:rPr>
                <w:bCs/>
                <w:sz w:val="20"/>
                <w:szCs w:val="20"/>
                <w:lang w:val="es-ES"/>
              </w:rPr>
              <w:t>0.0</w:t>
            </w:r>
            <w:r w:rsidR="007B6E99" w:rsidRPr="000E3A45">
              <w:rPr>
                <w:bCs/>
                <w:sz w:val="20"/>
                <w:szCs w:val="20"/>
                <w:lang w:val="es-ES"/>
              </w:rPr>
              <w:t>2</w:t>
            </w:r>
          </w:p>
        </w:tc>
      </w:tr>
      <w:tr w:rsidR="00C279E1" w:rsidRPr="000E3A45" w14:paraId="05E4104D" w14:textId="77777777" w:rsidTr="000F3535">
        <w:trPr>
          <w:jc w:val="center"/>
        </w:trPr>
        <w:tc>
          <w:tcPr>
            <w:tcW w:w="1227" w:type="dxa"/>
            <w:tcBorders>
              <w:top w:val="nil"/>
              <w:bottom w:val="nil"/>
            </w:tcBorders>
            <w:vAlign w:val="center"/>
          </w:tcPr>
          <w:p w14:paraId="5107FEB5" w14:textId="77777777" w:rsidR="00C279E1" w:rsidRPr="000E3A45" w:rsidRDefault="00C279E1" w:rsidP="00161606">
            <w:pPr>
              <w:widowControl w:val="0"/>
              <w:adjustRightInd w:val="0"/>
              <w:ind w:right="-159"/>
              <w:jc w:val="both"/>
              <w:textAlignment w:val="baseline"/>
              <w:rPr>
                <w:bCs/>
                <w:sz w:val="20"/>
                <w:szCs w:val="20"/>
                <w:lang w:val="es-ES"/>
              </w:rPr>
            </w:pPr>
            <w:r w:rsidRPr="000E3A45">
              <w:rPr>
                <w:bCs/>
                <w:sz w:val="20"/>
                <w:szCs w:val="20"/>
                <w:lang w:val="es-ES"/>
              </w:rPr>
              <w:t>Dic</w:t>
            </w:r>
            <w:r w:rsidR="00524CFB" w:rsidRPr="000E3A45">
              <w:rPr>
                <w:bCs/>
                <w:sz w:val="20"/>
                <w:szCs w:val="20"/>
                <w:lang w:val="es-ES"/>
              </w:rPr>
              <w:t>. 2008</w:t>
            </w:r>
          </w:p>
        </w:tc>
        <w:tc>
          <w:tcPr>
            <w:tcW w:w="2348" w:type="dxa"/>
            <w:tcBorders>
              <w:top w:val="nil"/>
              <w:bottom w:val="nil"/>
            </w:tcBorders>
            <w:vAlign w:val="center"/>
          </w:tcPr>
          <w:p w14:paraId="3AC34DE8" w14:textId="77777777" w:rsidR="00C279E1" w:rsidRPr="000E3A45" w:rsidRDefault="0056306A" w:rsidP="00161606">
            <w:pPr>
              <w:widowControl w:val="0"/>
              <w:adjustRightInd w:val="0"/>
              <w:jc w:val="center"/>
              <w:textAlignment w:val="baseline"/>
              <w:rPr>
                <w:bCs/>
                <w:sz w:val="20"/>
                <w:szCs w:val="20"/>
                <w:lang w:val="es-ES"/>
              </w:rPr>
            </w:pPr>
            <w:r w:rsidRPr="000E3A45">
              <w:rPr>
                <w:bCs/>
                <w:sz w:val="20"/>
                <w:szCs w:val="20"/>
                <w:lang w:val="es-ES"/>
              </w:rPr>
              <w:t xml:space="preserve">13 </w:t>
            </w:r>
            <w:r w:rsidR="00020FF3" w:rsidRPr="000E3A45">
              <w:rPr>
                <w:bCs/>
                <w:sz w:val="20"/>
                <w:szCs w:val="20"/>
                <w:lang w:val="es-ES"/>
              </w:rPr>
              <w:t>4348</w:t>
            </w:r>
          </w:p>
        </w:tc>
        <w:tc>
          <w:tcPr>
            <w:tcW w:w="2238" w:type="dxa"/>
            <w:tcBorders>
              <w:top w:val="nil"/>
              <w:bottom w:val="nil"/>
            </w:tcBorders>
            <w:vAlign w:val="center"/>
          </w:tcPr>
          <w:p w14:paraId="71908330" w14:textId="77777777" w:rsidR="00C279E1" w:rsidRPr="000E3A45" w:rsidRDefault="0056306A" w:rsidP="00161606">
            <w:pPr>
              <w:widowControl w:val="0"/>
              <w:adjustRightInd w:val="0"/>
              <w:ind w:right="851"/>
              <w:jc w:val="right"/>
              <w:textAlignment w:val="baseline"/>
              <w:rPr>
                <w:bCs/>
                <w:sz w:val="20"/>
                <w:szCs w:val="20"/>
                <w:lang w:val="es-ES"/>
              </w:rPr>
            </w:pPr>
            <w:r w:rsidRPr="000E3A45">
              <w:rPr>
                <w:bCs/>
                <w:sz w:val="20"/>
                <w:szCs w:val="20"/>
                <w:lang w:val="es-ES"/>
              </w:rPr>
              <w:t>2.50</w:t>
            </w:r>
          </w:p>
        </w:tc>
        <w:tc>
          <w:tcPr>
            <w:tcW w:w="2238" w:type="dxa"/>
            <w:tcBorders>
              <w:top w:val="nil"/>
              <w:bottom w:val="nil"/>
            </w:tcBorders>
            <w:vAlign w:val="center"/>
          </w:tcPr>
          <w:p w14:paraId="5005B455" w14:textId="77777777" w:rsidR="00C279E1" w:rsidRPr="000E3A45" w:rsidRDefault="0056306A" w:rsidP="00161606">
            <w:pPr>
              <w:widowControl w:val="0"/>
              <w:adjustRightInd w:val="0"/>
              <w:ind w:right="851"/>
              <w:jc w:val="right"/>
              <w:textAlignment w:val="baseline"/>
              <w:rPr>
                <w:bCs/>
                <w:sz w:val="20"/>
                <w:szCs w:val="20"/>
                <w:lang w:val="es-ES"/>
              </w:rPr>
            </w:pPr>
            <w:r w:rsidRPr="000E3A45">
              <w:rPr>
                <w:bCs/>
                <w:sz w:val="20"/>
                <w:szCs w:val="20"/>
                <w:lang w:val="es-ES"/>
              </w:rPr>
              <w:t>23.82</w:t>
            </w:r>
          </w:p>
        </w:tc>
      </w:tr>
      <w:tr w:rsidR="00505CA4" w:rsidRPr="000E3A45" w14:paraId="51A57667" w14:textId="77777777" w:rsidTr="000F3535">
        <w:trPr>
          <w:jc w:val="center"/>
        </w:trPr>
        <w:tc>
          <w:tcPr>
            <w:tcW w:w="1227" w:type="dxa"/>
            <w:tcBorders>
              <w:top w:val="nil"/>
              <w:bottom w:val="nil"/>
            </w:tcBorders>
            <w:vAlign w:val="center"/>
          </w:tcPr>
          <w:p w14:paraId="19521146" w14:textId="77777777" w:rsidR="00505CA4" w:rsidRPr="000E3A45" w:rsidRDefault="00505CA4" w:rsidP="00161606">
            <w:pPr>
              <w:widowControl w:val="0"/>
              <w:adjustRightInd w:val="0"/>
              <w:ind w:right="-159"/>
              <w:jc w:val="both"/>
              <w:textAlignment w:val="baseline"/>
              <w:rPr>
                <w:bCs/>
                <w:sz w:val="20"/>
                <w:szCs w:val="20"/>
                <w:lang w:val="es-ES"/>
              </w:rPr>
            </w:pPr>
            <w:r w:rsidRPr="000E3A45">
              <w:rPr>
                <w:bCs/>
                <w:sz w:val="20"/>
                <w:szCs w:val="20"/>
                <w:lang w:val="es-ES"/>
              </w:rPr>
              <w:t>Dic</w:t>
            </w:r>
            <w:r w:rsidR="00FC1BF1" w:rsidRPr="000E3A45">
              <w:rPr>
                <w:bCs/>
                <w:sz w:val="20"/>
                <w:szCs w:val="20"/>
                <w:lang w:val="es-ES"/>
              </w:rPr>
              <w:t>. 2009</w:t>
            </w:r>
          </w:p>
        </w:tc>
        <w:tc>
          <w:tcPr>
            <w:tcW w:w="2348" w:type="dxa"/>
            <w:tcBorders>
              <w:top w:val="nil"/>
              <w:bottom w:val="nil"/>
            </w:tcBorders>
            <w:vAlign w:val="center"/>
          </w:tcPr>
          <w:p w14:paraId="7C6D5FDA" w14:textId="77777777" w:rsidR="00505CA4" w:rsidRPr="000E3A45" w:rsidRDefault="0035270A" w:rsidP="00161606">
            <w:pPr>
              <w:widowControl w:val="0"/>
              <w:adjustRightInd w:val="0"/>
              <w:jc w:val="center"/>
              <w:textAlignment w:val="baseline"/>
              <w:rPr>
                <w:bCs/>
                <w:sz w:val="20"/>
                <w:szCs w:val="20"/>
                <w:lang w:val="es-ES"/>
              </w:rPr>
            </w:pPr>
            <w:r w:rsidRPr="000E3A45">
              <w:rPr>
                <w:bCs/>
                <w:sz w:val="20"/>
                <w:szCs w:val="20"/>
                <w:lang w:val="es-ES"/>
              </w:rPr>
              <w:t>12.8570</w:t>
            </w:r>
          </w:p>
        </w:tc>
        <w:tc>
          <w:tcPr>
            <w:tcW w:w="2238" w:type="dxa"/>
            <w:tcBorders>
              <w:top w:val="nil"/>
              <w:bottom w:val="nil"/>
            </w:tcBorders>
            <w:vAlign w:val="center"/>
          </w:tcPr>
          <w:p w14:paraId="0B031B98" w14:textId="77777777" w:rsidR="00505CA4" w:rsidRPr="000E3A45" w:rsidRDefault="0035270A" w:rsidP="00161606">
            <w:pPr>
              <w:widowControl w:val="0"/>
              <w:adjustRightInd w:val="0"/>
              <w:ind w:right="851"/>
              <w:jc w:val="right"/>
              <w:textAlignment w:val="baseline"/>
              <w:rPr>
                <w:bCs/>
                <w:sz w:val="20"/>
                <w:szCs w:val="20"/>
                <w:lang w:val="es-ES"/>
              </w:rPr>
            </w:pPr>
            <w:r w:rsidRPr="000E3A45">
              <w:rPr>
                <w:bCs/>
                <w:sz w:val="20"/>
                <w:szCs w:val="20"/>
                <w:lang w:val="es-ES"/>
              </w:rPr>
              <w:t>-1.89</w:t>
            </w:r>
          </w:p>
        </w:tc>
        <w:tc>
          <w:tcPr>
            <w:tcW w:w="2238" w:type="dxa"/>
            <w:tcBorders>
              <w:top w:val="nil"/>
              <w:bottom w:val="nil"/>
            </w:tcBorders>
            <w:vAlign w:val="center"/>
          </w:tcPr>
          <w:p w14:paraId="11465131" w14:textId="77777777" w:rsidR="00505CA4" w:rsidRPr="000E3A45" w:rsidRDefault="0035270A" w:rsidP="00161606">
            <w:pPr>
              <w:widowControl w:val="0"/>
              <w:adjustRightInd w:val="0"/>
              <w:ind w:right="851"/>
              <w:jc w:val="right"/>
              <w:textAlignment w:val="baseline"/>
              <w:rPr>
                <w:bCs/>
                <w:sz w:val="20"/>
                <w:szCs w:val="20"/>
                <w:lang w:val="es-ES"/>
              </w:rPr>
            </w:pPr>
            <w:r w:rsidRPr="000E3A45">
              <w:rPr>
                <w:bCs/>
                <w:sz w:val="20"/>
                <w:szCs w:val="20"/>
                <w:lang w:val="es-ES"/>
              </w:rPr>
              <w:t>-4.30</w:t>
            </w:r>
          </w:p>
        </w:tc>
      </w:tr>
      <w:tr w:rsidR="00FC1BF1" w:rsidRPr="000E3A45" w14:paraId="2D28C9F2" w14:textId="77777777" w:rsidTr="000F3535">
        <w:trPr>
          <w:jc w:val="center"/>
        </w:trPr>
        <w:tc>
          <w:tcPr>
            <w:tcW w:w="1227" w:type="dxa"/>
            <w:tcBorders>
              <w:top w:val="nil"/>
              <w:bottom w:val="nil"/>
            </w:tcBorders>
            <w:vAlign w:val="center"/>
          </w:tcPr>
          <w:p w14:paraId="53BC30B2" w14:textId="77777777" w:rsidR="00FC1BF1" w:rsidRPr="000E3A45" w:rsidRDefault="00FC1BF1" w:rsidP="00C3769D">
            <w:pPr>
              <w:widowControl w:val="0"/>
              <w:adjustRightInd w:val="0"/>
              <w:ind w:right="-159"/>
              <w:jc w:val="both"/>
              <w:textAlignment w:val="baseline"/>
              <w:rPr>
                <w:bCs/>
                <w:sz w:val="20"/>
                <w:szCs w:val="20"/>
                <w:lang w:val="es-ES"/>
              </w:rPr>
            </w:pPr>
            <w:bookmarkStart w:id="24" w:name="_Hlk285694486"/>
            <w:r w:rsidRPr="000E3A45">
              <w:rPr>
                <w:bCs/>
                <w:sz w:val="20"/>
                <w:szCs w:val="20"/>
                <w:lang w:val="es-ES"/>
              </w:rPr>
              <w:t>Dic</w:t>
            </w:r>
            <w:r w:rsidR="00C3769D" w:rsidRPr="000E3A45">
              <w:rPr>
                <w:bCs/>
                <w:sz w:val="20"/>
                <w:szCs w:val="20"/>
                <w:lang w:val="es-ES"/>
              </w:rPr>
              <w:t>. 2010</w:t>
            </w:r>
          </w:p>
        </w:tc>
        <w:tc>
          <w:tcPr>
            <w:tcW w:w="2348" w:type="dxa"/>
            <w:tcBorders>
              <w:top w:val="nil"/>
              <w:bottom w:val="nil"/>
            </w:tcBorders>
            <w:vAlign w:val="center"/>
          </w:tcPr>
          <w:p w14:paraId="75A5105A" w14:textId="77777777" w:rsidR="00FC1BF1" w:rsidRPr="000E3A45" w:rsidRDefault="00BA69A9" w:rsidP="00161606">
            <w:pPr>
              <w:widowControl w:val="0"/>
              <w:adjustRightInd w:val="0"/>
              <w:jc w:val="center"/>
              <w:textAlignment w:val="baseline"/>
              <w:rPr>
                <w:bCs/>
                <w:sz w:val="20"/>
                <w:szCs w:val="20"/>
                <w:lang w:val="es-ES"/>
              </w:rPr>
            </w:pPr>
            <w:r w:rsidRPr="000E3A45">
              <w:rPr>
                <w:bCs/>
                <w:sz w:val="20"/>
                <w:szCs w:val="20"/>
                <w:lang w:val="es-ES"/>
              </w:rPr>
              <w:t>12.3960</w:t>
            </w:r>
          </w:p>
        </w:tc>
        <w:tc>
          <w:tcPr>
            <w:tcW w:w="2238" w:type="dxa"/>
            <w:tcBorders>
              <w:top w:val="nil"/>
              <w:bottom w:val="nil"/>
            </w:tcBorders>
            <w:vAlign w:val="center"/>
          </w:tcPr>
          <w:p w14:paraId="587137EB" w14:textId="77777777" w:rsidR="00FC1BF1" w:rsidRPr="000E3A45" w:rsidRDefault="00BA69A9" w:rsidP="00161606">
            <w:pPr>
              <w:widowControl w:val="0"/>
              <w:adjustRightInd w:val="0"/>
              <w:ind w:right="851"/>
              <w:jc w:val="right"/>
              <w:textAlignment w:val="baseline"/>
              <w:rPr>
                <w:bCs/>
                <w:sz w:val="20"/>
                <w:szCs w:val="20"/>
                <w:lang w:val="es-ES"/>
              </w:rPr>
            </w:pPr>
            <w:r w:rsidRPr="000E3A45">
              <w:rPr>
                <w:bCs/>
                <w:sz w:val="20"/>
                <w:szCs w:val="20"/>
                <w:lang w:val="es-ES"/>
              </w:rPr>
              <w:t>0.48</w:t>
            </w:r>
          </w:p>
        </w:tc>
        <w:tc>
          <w:tcPr>
            <w:tcW w:w="2238" w:type="dxa"/>
            <w:tcBorders>
              <w:top w:val="nil"/>
              <w:bottom w:val="nil"/>
            </w:tcBorders>
            <w:vAlign w:val="center"/>
          </w:tcPr>
          <w:p w14:paraId="0A7B0984" w14:textId="77777777" w:rsidR="00FC1BF1" w:rsidRPr="000E3A45" w:rsidRDefault="00BA69A9" w:rsidP="00161606">
            <w:pPr>
              <w:widowControl w:val="0"/>
              <w:adjustRightInd w:val="0"/>
              <w:ind w:right="851"/>
              <w:jc w:val="right"/>
              <w:textAlignment w:val="baseline"/>
              <w:rPr>
                <w:bCs/>
                <w:sz w:val="20"/>
                <w:szCs w:val="20"/>
                <w:lang w:val="es-ES"/>
              </w:rPr>
            </w:pPr>
            <w:r w:rsidRPr="000E3A45">
              <w:rPr>
                <w:bCs/>
                <w:sz w:val="20"/>
                <w:szCs w:val="20"/>
                <w:lang w:val="es-ES"/>
              </w:rPr>
              <w:t>-3.59</w:t>
            </w:r>
          </w:p>
        </w:tc>
      </w:tr>
      <w:bookmarkEnd w:id="24"/>
      <w:tr w:rsidR="00CB6A1E" w:rsidRPr="000E3A45" w14:paraId="3CE6141C" w14:textId="77777777" w:rsidTr="000F3535">
        <w:trPr>
          <w:jc w:val="center"/>
        </w:trPr>
        <w:tc>
          <w:tcPr>
            <w:tcW w:w="1227" w:type="dxa"/>
            <w:tcBorders>
              <w:top w:val="nil"/>
              <w:bottom w:val="nil"/>
            </w:tcBorders>
            <w:vAlign w:val="center"/>
          </w:tcPr>
          <w:p w14:paraId="10D81D36" w14:textId="77777777" w:rsidR="00CB6A1E" w:rsidRPr="000E3A45" w:rsidRDefault="00CB6A1E" w:rsidP="002D2405">
            <w:pPr>
              <w:widowControl w:val="0"/>
              <w:adjustRightInd w:val="0"/>
              <w:ind w:right="-159"/>
              <w:jc w:val="both"/>
              <w:textAlignment w:val="baseline"/>
              <w:rPr>
                <w:bCs/>
                <w:sz w:val="20"/>
                <w:szCs w:val="20"/>
                <w:lang w:val="es-ES"/>
              </w:rPr>
            </w:pPr>
            <w:r w:rsidRPr="000E3A45">
              <w:rPr>
                <w:bCs/>
                <w:sz w:val="20"/>
                <w:szCs w:val="20"/>
                <w:lang w:val="es-ES"/>
              </w:rPr>
              <w:t>Dic</w:t>
            </w:r>
            <w:r w:rsidR="002D2405" w:rsidRPr="000E3A45">
              <w:rPr>
                <w:bCs/>
                <w:sz w:val="20"/>
                <w:szCs w:val="20"/>
                <w:lang w:val="es-ES"/>
              </w:rPr>
              <w:t>. 2011</w:t>
            </w:r>
          </w:p>
        </w:tc>
        <w:tc>
          <w:tcPr>
            <w:tcW w:w="2348" w:type="dxa"/>
            <w:tcBorders>
              <w:top w:val="nil"/>
              <w:bottom w:val="nil"/>
            </w:tcBorders>
            <w:vAlign w:val="center"/>
          </w:tcPr>
          <w:p w14:paraId="4DE5615B" w14:textId="77777777" w:rsidR="00CB6A1E" w:rsidRPr="000E3A45" w:rsidRDefault="00C464D1" w:rsidP="00161606">
            <w:pPr>
              <w:widowControl w:val="0"/>
              <w:adjustRightInd w:val="0"/>
              <w:jc w:val="center"/>
              <w:textAlignment w:val="baseline"/>
              <w:rPr>
                <w:bCs/>
                <w:sz w:val="20"/>
                <w:szCs w:val="20"/>
                <w:lang w:val="es-ES"/>
              </w:rPr>
            </w:pPr>
            <w:r w:rsidRPr="000E3A45">
              <w:rPr>
                <w:bCs/>
                <w:sz w:val="20"/>
                <w:szCs w:val="20"/>
                <w:lang w:val="es-ES"/>
              </w:rPr>
              <w:t>13.1577</w:t>
            </w:r>
          </w:p>
        </w:tc>
        <w:tc>
          <w:tcPr>
            <w:tcW w:w="2238" w:type="dxa"/>
            <w:tcBorders>
              <w:top w:val="nil"/>
              <w:bottom w:val="nil"/>
            </w:tcBorders>
            <w:vAlign w:val="center"/>
          </w:tcPr>
          <w:p w14:paraId="73D4B77F" w14:textId="77777777" w:rsidR="00CB6A1E" w:rsidRPr="000E3A45" w:rsidRDefault="00D04FED" w:rsidP="00161606">
            <w:pPr>
              <w:widowControl w:val="0"/>
              <w:adjustRightInd w:val="0"/>
              <w:ind w:right="851"/>
              <w:jc w:val="right"/>
              <w:textAlignment w:val="baseline"/>
              <w:rPr>
                <w:bCs/>
                <w:sz w:val="20"/>
                <w:szCs w:val="20"/>
                <w:lang w:val="es-ES"/>
              </w:rPr>
            </w:pPr>
            <w:r w:rsidRPr="000E3A45">
              <w:rPr>
                <w:bCs/>
                <w:sz w:val="20"/>
                <w:szCs w:val="20"/>
                <w:lang w:val="es-ES"/>
              </w:rPr>
              <w:t>-4.10</w:t>
            </w:r>
          </w:p>
        </w:tc>
        <w:tc>
          <w:tcPr>
            <w:tcW w:w="2238" w:type="dxa"/>
            <w:tcBorders>
              <w:top w:val="nil"/>
              <w:bottom w:val="nil"/>
            </w:tcBorders>
            <w:vAlign w:val="center"/>
          </w:tcPr>
          <w:p w14:paraId="4290825D" w14:textId="77777777" w:rsidR="00CB6A1E" w:rsidRPr="000E3A45" w:rsidRDefault="00D04FED" w:rsidP="00161606">
            <w:pPr>
              <w:widowControl w:val="0"/>
              <w:adjustRightInd w:val="0"/>
              <w:ind w:right="851"/>
              <w:jc w:val="right"/>
              <w:textAlignment w:val="baseline"/>
              <w:rPr>
                <w:bCs/>
                <w:sz w:val="20"/>
                <w:szCs w:val="20"/>
                <w:lang w:val="es-ES"/>
              </w:rPr>
            </w:pPr>
            <w:r w:rsidRPr="000E3A45">
              <w:rPr>
                <w:bCs/>
                <w:sz w:val="20"/>
                <w:szCs w:val="20"/>
                <w:lang w:val="es-ES"/>
              </w:rPr>
              <w:t>6.14</w:t>
            </w:r>
          </w:p>
        </w:tc>
      </w:tr>
      <w:tr w:rsidR="00AF7A61" w:rsidRPr="000E3A45" w14:paraId="5AFE8689" w14:textId="77777777" w:rsidTr="000F3535">
        <w:trPr>
          <w:jc w:val="center"/>
        </w:trPr>
        <w:tc>
          <w:tcPr>
            <w:tcW w:w="1227" w:type="dxa"/>
            <w:tcBorders>
              <w:top w:val="nil"/>
              <w:bottom w:val="nil"/>
            </w:tcBorders>
            <w:vAlign w:val="center"/>
          </w:tcPr>
          <w:p w14:paraId="0569B03B" w14:textId="36436824" w:rsidR="00AF7A61" w:rsidRPr="000E3A45" w:rsidRDefault="00AF7A61" w:rsidP="00BF19E2">
            <w:pPr>
              <w:widowControl w:val="0"/>
              <w:adjustRightInd w:val="0"/>
              <w:ind w:right="-159"/>
              <w:jc w:val="both"/>
              <w:textAlignment w:val="baseline"/>
              <w:rPr>
                <w:bCs/>
                <w:sz w:val="20"/>
                <w:szCs w:val="20"/>
                <w:lang w:val="es-ES"/>
              </w:rPr>
            </w:pPr>
            <w:r w:rsidRPr="000E3A45">
              <w:rPr>
                <w:bCs/>
                <w:sz w:val="20"/>
                <w:szCs w:val="20"/>
                <w:lang w:val="es-ES"/>
              </w:rPr>
              <w:t>Dic</w:t>
            </w:r>
            <w:r w:rsidR="00BF19E2" w:rsidRPr="000E3A45">
              <w:rPr>
                <w:bCs/>
                <w:sz w:val="20"/>
                <w:szCs w:val="20"/>
                <w:lang w:val="es-ES"/>
              </w:rPr>
              <w:t>. 2012</w:t>
            </w:r>
          </w:p>
        </w:tc>
        <w:tc>
          <w:tcPr>
            <w:tcW w:w="2348" w:type="dxa"/>
            <w:tcBorders>
              <w:top w:val="nil"/>
              <w:bottom w:val="nil"/>
            </w:tcBorders>
            <w:vAlign w:val="center"/>
          </w:tcPr>
          <w:p w14:paraId="429A8566" w14:textId="77777777" w:rsidR="00AF7A61" w:rsidRPr="000E3A45" w:rsidRDefault="00AF7A61" w:rsidP="008F2B2E">
            <w:pPr>
              <w:widowControl w:val="0"/>
              <w:adjustRightInd w:val="0"/>
              <w:jc w:val="center"/>
              <w:textAlignment w:val="baseline"/>
              <w:rPr>
                <w:bCs/>
                <w:sz w:val="20"/>
                <w:szCs w:val="20"/>
                <w:lang w:val="es-ES"/>
              </w:rPr>
            </w:pPr>
            <w:r w:rsidRPr="000E3A45">
              <w:rPr>
                <w:bCs/>
                <w:sz w:val="20"/>
                <w:szCs w:val="20"/>
                <w:lang w:val="es-ES"/>
              </w:rPr>
              <w:t>12.8729</w:t>
            </w:r>
          </w:p>
        </w:tc>
        <w:tc>
          <w:tcPr>
            <w:tcW w:w="2238" w:type="dxa"/>
            <w:tcBorders>
              <w:top w:val="nil"/>
              <w:bottom w:val="nil"/>
            </w:tcBorders>
            <w:vAlign w:val="center"/>
          </w:tcPr>
          <w:p w14:paraId="3CFC7C36" w14:textId="77777777" w:rsidR="00AF7A61" w:rsidRPr="000E3A45" w:rsidRDefault="00AF7A61" w:rsidP="008F2B2E">
            <w:pPr>
              <w:widowControl w:val="0"/>
              <w:adjustRightInd w:val="0"/>
              <w:ind w:right="851"/>
              <w:jc w:val="right"/>
              <w:textAlignment w:val="baseline"/>
              <w:rPr>
                <w:bCs/>
                <w:sz w:val="20"/>
                <w:szCs w:val="20"/>
                <w:lang w:val="es-ES"/>
              </w:rPr>
            </w:pPr>
            <w:r w:rsidRPr="000E3A45">
              <w:rPr>
                <w:bCs/>
                <w:sz w:val="20"/>
                <w:szCs w:val="20"/>
                <w:lang w:val="es-ES"/>
              </w:rPr>
              <w:t>-1.52</w:t>
            </w:r>
          </w:p>
        </w:tc>
        <w:tc>
          <w:tcPr>
            <w:tcW w:w="2238" w:type="dxa"/>
            <w:tcBorders>
              <w:top w:val="nil"/>
              <w:bottom w:val="nil"/>
            </w:tcBorders>
            <w:vAlign w:val="center"/>
          </w:tcPr>
          <w:p w14:paraId="3D35FB82" w14:textId="77777777" w:rsidR="00AF7A61" w:rsidRPr="000E3A45" w:rsidRDefault="00AF7A61" w:rsidP="008F2B2E">
            <w:pPr>
              <w:widowControl w:val="0"/>
              <w:adjustRightInd w:val="0"/>
              <w:ind w:right="851"/>
              <w:jc w:val="right"/>
              <w:textAlignment w:val="baseline"/>
              <w:rPr>
                <w:bCs/>
                <w:sz w:val="20"/>
                <w:szCs w:val="20"/>
                <w:lang w:val="es-ES"/>
              </w:rPr>
            </w:pPr>
            <w:r w:rsidRPr="000E3A45">
              <w:rPr>
                <w:bCs/>
                <w:sz w:val="20"/>
                <w:szCs w:val="20"/>
                <w:lang w:val="es-ES"/>
              </w:rPr>
              <w:t>-2.16</w:t>
            </w:r>
          </w:p>
        </w:tc>
      </w:tr>
      <w:tr w:rsidR="007B6FD5" w:rsidRPr="000E3A45" w14:paraId="148B5302" w14:textId="77777777" w:rsidTr="000F3535">
        <w:trPr>
          <w:jc w:val="center"/>
        </w:trPr>
        <w:tc>
          <w:tcPr>
            <w:tcW w:w="1227" w:type="dxa"/>
            <w:tcBorders>
              <w:top w:val="nil"/>
              <w:bottom w:val="single" w:sz="4" w:space="0" w:color="auto"/>
            </w:tcBorders>
            <w:vAlign w:val="center"/>
          </w:tcPr>
          <w:p w14:paraId="3AC9B795" w14:textId="3AC075E4" w:rsidR="007B6FD5" w:rsidRPr="000E3A45" w:rsidRDefault="007B6FD5" w:rsidP="001835F8">
            <w:pPr>
              <w:widowControl w:val="0"/>
              <w:adjustRightInd w:val="0"/>
              <w:ind w:right="-159"/>
              <w:jc w:val="both"/>
              <w:textAlignment w:val="baseline"/>
              <w:rPr>
                <w:bCs/>
                <w:sz w:val="20"/>
                <w:szCs w:val="20"/>
                <w:lang w:val="es-ES"/>
              </w:rPr>
            </w:pPr>
            <w:r w:rsidRPr="000E3A45">
              <w:rPr>
                <w:bCs/>
                <w:sz w:val="20"/>
                <w:szCs w:val="20"/>
                <w:lang w:val="es-ES"/>
              </w:rPr>
              <w:t>Dic</w:t>
            </w:r>
            <w:r w:rsidR="001835F8" w:rsidRPr="000E3A45">
              <w:rPr>
                <w:bCs/>
                <w:sz w:val="20"/>
                <w:szCs w:val="20"/>
                <w:lang w:val="es-ES"/>
              </w:rPr>
              <w:t>. 2013</w:t>
            </w:r>
          </w:p>
        </w:tc>
        <w:tc>
          <w:tcPr>
            <w:tcW w:w="2348" w:type="dxa"/>
            <w:tcBorders>
              <w:top w:val="nil"/>
              <w:bottom w:val="single" w:sz="4" w:space="0" w:color="auto"/>
            </w:tcBorders>
            <w:vAlign w:val="center"/>
          </w:tcPr>
          <w:p w14:paraId="6794B2C8" w14:textId="77777777" w:rsidR="007B6FD5" w:rsidRPr="000E3A45" w:rsidRDefault="0056282C" w:rsidP="007263DA">
            <w:pPr>
              <w:widowControl w:val="0"/>
              <w:adjustRightInd w:val="0"/>
              <w:jc w:val="center"/>
              <w:textAlignment w:val="baseline"/>
              <w:rPr>
                <w:bCs/>
                <w:sz w:val="20"/>
                <w:szCs w:val="20"/>
                <w:lang w:val="es-ES"/>
              </w:rPr>
            </w:pPr>
            <w:r w:rsidRPr="000E3A45">
              <w:rPr>
                <w:bCs/>
                <w:sz w:val="20"/>
                <w:szCs w:val="20"/>
                <w:lang w:val="es-ES"/>
              </w:rPr>
              <w:t>13.0083</w:t>
            </w:r>
          </w:p>
        </w:tc>
        <w:tc>
          <w:tcPr>
            <w:tcW w:w="2238" w:type="dxa"/>
            <w:tcBorders>
              <w:top w:val="nil"/>
              <w:bottom w:val="single" w:sz="4" w:space="0" w:color="auto"/>
            </w:tcBorders>
            <w:vAlign w:val="center"/>
          </w:tcPr>
          <w:p w14:paraId="4E9B92D3" w14:textId="77777777" w:rsidR="007B6FD5" w:rsidRPr="000E3A45" w:rsidRDefault="0056282C" w:rsidP="008F2B2E">
            <w:pPr>
              <w:widowControl w:val="0"/>
              <w:adjustRightInd w:val="0"/>
              <w:ind w:right="851"/>
              <w:jc w:val="right"/>
              <w:textAlignment w:val="baseline"/>
              <w:rPr>
                <w:bCs/>
                <w:sz w:val="20"/>
                <w:szCs w:val="20"/>
                <w:lang w:val="es-ES"/>
              </w:rPr>
            </w:pPr>
            <w:r w:rsidRPr="000E3A45">
              <w:rPr>
                <w:bCs/>
                <w:sz w:val="20"/>
                <w:szCs w:val="20"/>
                <w:lang w:val="es-ES"/>
              </w:rPr>
              <w:t>-0.57</w:t>
            </w:r>
          </w:p>
        </w:tc>
        <w:tc>
          <w:tcPr>
            <w:tcW w:w="2238" w:type="dxa"/>
            <w:tcBorders>
              <w:top w:val="nil"/>
              <w:bottom w:val="single" w:sz="4" w:space="0" w:color="auto"/>
            </w:tcBorders>
            <w:vAlign w:val="center"/>
          </w:tcPr>
          <w:p w14:paraId="415C7F45" w14:textId="77777777" w:rsidR="007B6FD5" w:rsidRPr="000E3A45" w:rsidRDefault="0056282C" w:rsidP="008F2B2E">
            <w:pPr>
              <w:widowControl w:val="0"/>
              <w:adjustRightInd w:val="0"/>
              <w:ind w:right="851"/>
              <w:jc w:val="right"/>
              <w:textAlignment w:val="baseline"/>
              <w:rPr>
                <w:bCs/>
                <w:sz w:val="20"/>
                <w:szCs w:val="20"/>
                <w:lang w:val="es-ES"/>
              </w:rPr>
            </w:pPr>
            <w:r w:rsidRPr="000E3A45">
              <w:rPr>
                <w:bCs/>
                <w:sz w:val="20"/>
                <w:szCs w:val="20"/>
                <w:lang w:val="es-ES"/>
              </w:rPr>
              <w:t>1.05</w:t>
            </w:r>
          </w:p>
        </w:tc>
      </w:tr>
      <w:tr w:rsidR="007B6FD5" w:rsidRPr="000E3A45" w14:paraId="4AF6BF57" w14:textId="77777777" w:rsidTr="00772451">
        <w:trPr>
          <w:jc w:val="center"/>
        </w:trPr>
        <w:tc>
          <w:tcPr>
            <w:tcW w:w="8051" w:type="dxa"/>
            <w:gridSpan w:val="4"/>
            <w:tcBorders>
              <w:bottom w:val="single" w:sz="4" w:space="0" w:color="auto"/>
            </w:tcBorders>
            <w:vAlign w:val="center"/>
          </w:tcPr>
          <w:p w14:paraId="3FFC3E81" w14:textId="77777777" w:rsidR="007B6FD5" w:rsidRPr="000E3A45" w:rsidRDefault="007B6FD5" w:rsidP="007B6FD5">
            <w:pPr>
              <w:widowControl w:val="0"/>
              <w:adjustRightInd w:val="0"/>
              <w:ind w:right="851"/>
              <w:jc w:val="center"/>
              <w:textAlignment w:val="baseline"/>
              <w:rPr>
                <w:b/>
                <w:bCs/>
                <w:sz w:val="20"/>
                <w:szCs w:val="20"/>
                <w:lang w:val="es-ES"/>
              </w:rPr>
            </w:pPr>
            <w:r w:rsidRPr="000E3A45">
              <w:rPr>
                <w:b/>
                <w:bCs/>
                <w:sz w:val="20"/>
                <w:szCs w:val="20"/>
                <w:lang w:val="es-ES"/>
              </w:rPr>
              <w:t>2014</w:t>
            </w:r>
          </w:p>
        </w:tc>
      </w:tr>
      <w:tr w:rsidR="007B6FD5" w:rsidRPr="000E3A45" w14:paraId="0DCCF641" w14:textId="77777777" w:rsidTr="000F3535">
        <w:trPr>
          <w:jc w:val="center"/>
        </w:trPr>
        <w:tc>
          <w:tcPr>
            <w:tcW w:w="1227" w:type="dxa"/>
            <w:tcBorders>
              <w:bottom w:val="nil"/>
            </w:tcBorders>
            <w:vAlign w:val="center"/>
          </w:tcPr>
          <w:p w14:paraId="77175CB2" w14:textId="77777777" w:rsidR="007B6FD5" w:rsidRPr="000E3A45" w:rsidRDefault="007B6FD5" w:rsidP="003C1623">
            <w:pPr>
              <w:widowControl w:val="0"/>
              <w:adjustRightInd w:val="0"/>
              <w:ind w:right="-159"/>
              <w:jc w:val="both"/>
              <w:textAlignment w:val="baseline"/>
              <w:rPr>
                <w:bCs/>
                <w:sz w:val="20"/>
                <w:szCs w:val="20"/>
                <w:lang w:val="es-ES"/>
              </w:rPr>
            </w:pPr>
            <w:r w:rsidRPr="000E3A45">
              <w:rPr>
                <w:bCs/>
                <w:sz w:val="20"/>
                <w:szCs w:val="20"/>
                <w:lang w:val="es-ES"/>
              </w:rPr>
              <w:t>Enero</w:t>
            </w:r>
          </w:p>
        </w:tc>
        <w:tc>
          <w:tcPr>
            <w:tcW w:w="2348" w:type="dxa"/>
            <w:tcBorders>
              <w:bottom w:val="nil"/>
            </w:tcBorders>
            <w:vAlign w:val="center"/>
          </w:tcPr>
          <w:p w14:paraId="564C0EAD" w14:textId="77777777" w:rsidR="007B6FD5" w:rsidRPr="000E3A45" w:rsidRDefault="0056282C" w:rsidP="006D45C3">
            <w:pPr>
              <w:widowControl w:val="0"/>
              <w:adjustRightInd w:val="0"/>
              <w:jc w:val="center"/>
              <w:textAlignment w:val="baseline"/>
              <w:rPr>
                <w:bCs/>
                <w:sz w:val="20"/>
                <w:szCs w:val="20"/>
                <w:lang w:val="es-ES"/>
              </w:rPr>
            </w:pPr>
            <w:r w:rsidRPr="000E3A45">
              <w:rPr>
                <w:bCs/>
                <w:sz w:val="20"/>
                <w:szCs w:val="20"/>
                <w:lang w:val="es-ES"/>
              </w:rPr>
              <w:t>13.</w:t>
            </w:r>
            <w:r w:rsidR="003C1623" w:rsidRPr="000E3A45">
              <w:rPr>
                <w:bCs/>
                <w:sz w:val="20"/>
                <w:szCs w:val="20"/>
                <w:lang w:val="es-ES"/>
              </w:rPr>
              <w:t>2</w:t>
            </w:r>
            <w:r w:rsidR="006D45C3" w:rsidRPr="000E3A45">
              <w:rPr>
                <w:bCs/>
                <w:sz w:val="20"/>
                <w:szCs w:val="20"/>
                <w:lang w:val="es-ES"/>
              </w:rPr>
              <w:t>845</w:t>
            </w:r>
          </w:p>
        </w:tc>
        <w:tc>
          <w:tcPr>
            <w:tcW w:w="2238" w:type="dxa"/>
            <w:tcBorders>
              <w:bottom w:val="nil"/>
            </w:tcBorders>
            <w:vAlign w:val="center"/>
          </w:tcPr>
          <w:p w14:paraId="3EDBDFFC" w14:textId="77777777" w:rsidR="007B6FD5" w:rsidRPr="000E3A45" w:rsidRDefault="000C43DF" w:rsidP="000C43DF">
            <w:pPr>
              <w:widowControl w:val="0"/>
              <w:adjustRightInd w:val="0"/>
              <w:ind w:right="851"/>
              <w:jc w:val="right"/>
              <w:textAlignment w:val="baseline"/>
              <w:rPr>
                <w:bCs/>
                <w:sz w:val="20"/>
                <w:szCs w:val="20"/>
                <w:lang w:val="es-ES"/>
              </w:rPr>
            </w:pPr>
            <w:r w:rsidRPr="000E3A45">
              <w:rPr>
                <w:bCs/>
                <w:sz w:val="20"/>
                <w:szCs w:val="20"/>
                <w:lang w:val="es-ES"/>
              </w:rPr>
              <w:t>1.63</w:t>
            </w:r>
          </w:p>
        </w:tc>
        <w:tc>
          <w:tcPr>
            <w:tcW w:w="2238" w:type="dxa"/>
            <w:tcBorders>
              <w:bottom w:val="nil"/>
            </w:tcBorders>
            <w:vAlign w:val="center"/>
          </w:tcPr>
          <w:p w14:paraId="142C97EC" w14:textId="77777777" w:rsidR="007B6FD5" w:rsidRPr="000E3A45" w:rsidRDefault="000C43DF" w:rsidP="000C43DF">
            <w:pPr>
              <w:widowControl w:val="0"/>
              <w:adjustRightInd w:val="0"/>
              <w:ind w:right="851"/>
              <w:jc w:val="right"/>
              <w:textAlignment w:val="baseline"/>
              <w:rPr>
                <w:bCs/>
                <w:sz w:val="20"/>
                <w:szCs w:val="20"/>
                <w:lang w:val="es-ES"/>
              </w:rPr>
            </w:pPr>
            <w:r w:rsidRPr="000E3A45">
              <w:rPr>
                <w:bCs/>
                <w:sz w:val="20"/>
                <w:szCs w:val="20"/>
                <w:lang w:val="es-ES"/>
              </w:rPr>
              <w:t>1.63</w:t>
            </w:r>
          </w:p>
        </w:tc>
      </w:tr>
      <w:tr w:rsidR="003C1623" w:rsidRPr="000E3A45" w14:paraId="49CB1033" w14:textId="77777777" w:rsidTr="000F3535">
        <w:trPr>
          <w:jc w:val="center"/>
        </w:trPr>
        <w:tc>
          <w:tcPr>
            <w:tcW w:w="1227" w:type="dxa"/>
            <w:tcBorders>
              <w:top w:val="nil"/>
              <w:bottom w:val="nil"/>
            </w:tcBorders>
            <w:vAlign w:val="center"/>
          </w:tcPr>
          <w:p w14:paraId="0B0FD3F7" w14:textId="77777777" w:rsidR="003C1623" w:rsidRPr="000E3A45" w:rsidRDefault="003C1623" w:rsidP="009B77C4">
            <w:pPr>
              <w:widowControl w:val="0"/>
              <w:adjustRightInd w:val="0"/>
              <w:ind w:right="-159"/>
              <w:jc w:val="both"/>
              <w:textAlignment w:val="baseline"/>
              <w:rPr>
                <w:bCs/>
                <w:sz w:val="20"/>
                <w:szCs w:val="20"/>
                <w:lang w:val="es-ES"/>
              </w:rPr>
            </w:pPr>
            <w:r w:rsidRPr="000E3A45">
              <w:rPr>
                <w:bCs/>
                <w:sz w:val="20"/>
                <w:szCs w:val="20"/>
                <w:lang w:val="es-ES"/>
              </w:rPr>
              <w:t>Febrero</w:t>
            </w:r>
          </w:p>
        </w:tc>
        <w:tc>
          <w:tcPr>
            <w:tcW w:w="2348" w:type="dxa"/>
            <w:tcBorders>
              <w:top w:val="nil"/>
              <w:bottom w:val="nil"/>
            </w:tcBorders>
            <w:vAlign w:val="center"/>
          </w:tcPr>
          <w:p w14:paraId="79434E9E" w14:textId="77777777" w:rsidR="003C1623" w:rsidRPr="000E3A45" w:rsidRDefault="003C1623" w:rsidP="009B77C4">
            <w:pPr>
              <w:widowControl w:val="0"/>
              <w:adjustRightInd w:val="0"/>
              <w:jc w:val="center"/>
              <w:textAlignment w:val="baseline"/>
              <w:rPr>
                <w:bCs/>
                <w:sz w:val="20"/>
                <w:szCs w:val="20"/>
                <w:lang w:val="es-ES"/>
              </w:rPr>
            </w:pPr>
            <w:r w:rsidRPr="000E3A45">
              <w:rPr>
                <w:bCs/>
                <w:sz w:val="20"/>
                <w:szCs w:val="20"/>
                <w:lang w:val="es-ES"/>
              </w:rPr>
              <w:t>13.</w:t>
            </w:r>
            <w:r w:rsidR="00D96D2D" w:rsidRPr="000E3A45">
              <w:rPr>
                <w:bCs/>
                <w:sz w:val="20"/>
                <w:szCs w:val="20"/>
                <w:lang w:val="es-ES"/>
              </w:rPr>
              <w:t>2784</w:t>
            </w:r>
          </w:p>
        </w:tc>
        <w:tc>
          <w:tcPr>
            <w:tcW w:w="2238" w:type="dxa"/>
            <w:tcBorders>
              <w:top w:val="nil"/>
              <w:bottom w:val="nil"/>
            </w:tcBorders>
            <w:vAlign w:val="center"/>
          </w:tcPr>
          <w:p w14:paraId="262C03D4" w14:textId="77777777" w:rsidR="003C1623" w:rsidRPr="000E3A45" w:rsidRDefault="00D96D2D" w:rsidP="00D96D2D">
            <w:pPr>
              <w:widowControl w:val="0"/>
              <w:adjustRightInd w:val="0"/>
              <w:ind w:right="851"/>
              <w:jc w:val="right"/>
              <w:textAlignment w:val="baseline"/>
              <w:rPr>
                <w:bCs/>
                <w:sz w:val="20"/>
                <w:szCs w:val="20"/>
                <w:lang w:val="es-ES"/>
              </w:rPr>
            </w:pPr>
            <w:r w:rsidRPr="000E3A45">
              <w:rPr>
                <w:bCs/>
                <w:sz w:val="20"/>
                <w:szCs w:val="20"/>
                <w:lang w:val="es-ES"/>
              </w:rPr>
              <w:t>0.44</w:t>
            </w:r>
          </w:p>
        </w:tc>
        <w:tc>
          <w:tcPr>
            <w:tcW w:w="2238" w:type="dxa"/>
            <w:tcBorders>
              <w:top w:val="nil"/>
              <w:bottom w:val="nil"/>
            </w:tcBorders>
            <w:vAlign w:val="center"/>
          </w:tcPr>
          <w:p w14:paraId="019B9C62" w14:textId="77777777" w:rsidR="003C1623" w:rsidRPr="000E3A45" w:rsidRDefault="000C43DF" w:rsidP="009B77C4">
            <w:pPr>
              <w:widowControl w:val="0"/>
              <w:adjustRightInd w:val="0"/>
              <w:ind w:right="851"/>
              <w:jc w:val="right"/>
              <w:textAlignment w:val="baseline"/>
              <w:rPr>
                <w:bCs/>
                <w:sz w:val="20"/>
                <w:szCs w:val="20"/>
                <w:lang w:val="es-ES"/>
              </w:rPr>
            </w:pPr>
            <w:r w:rsidRPr="000E3A45">
              <w:rPr>
                <w:bCs/>
                <w:sz w:val="20"/>
                <w:szCs w:val="20"/>
                <w:lang w:val="es-ES"/>
              </w:rPr>
              <w:t>2.</w:t>
            </w:r>
            <w:r w:rsidR="00D96D2D" w:rsidRPr="000E3A45">
              <w:rPr>
                <w:bCs/>
                <w:sz w:val="20"/>
                <w:szCs w:val="20"/>
                <w:lang w:val="es-ES"/>
              </w:rPr>
              <w:t>08</w:t>
            </w:r>
          </w:p>
        </w:tc>
      </w:tr>
      <w:tr w:rsidR="009B77C4" w:rsidRPr="000E3A45" w14:paraId="579D7537" w14:textId="77777777" w:rsidTr="000F3535">
        <w:trPr>
          <w:jc w:val="center"/>
        </w:trPr>
        <w:tc>
          <w:tcPr>
            <w:tcW w:w="1227" w:type="dxa"/>
            <w:tcBorders>
              <w:top w:val="nil"/>
              <w:bottom w:val="nil"/>
            </w:tcBorders>
            <w:vAlign w:val="center"/>
          </w:tcPr>
          <w:p w14:paraId="0E396201" w14:textId="77777777" w:rsidR="009B77C4" w:rsidRPr="000E3A45" w:rsidRDefault="009B77C4" w:rsidP="008A1F79">
            <w:pPr>
              <w:widowControl w:val="0"/>
              <w:adjustRightInd w:val="0"/>
              <w:ind w:right="-159"/>
              <w:jc w:val="both"/>
              <w:textAlignment w:val="baseline"/>
              <w:rPr>
                <w:bCs/>
                <w:sz w:val="20"/>
                <w:szCs w:val="20"/>
                <w:lang w:val="es-ES"/>
              </w:rPr>
            </w:pPr>
            <w:r w:rsidRPr="000E3A45">
              <w:rPr>
                <w:bCs/>
                <w:sz w:val="20"/>
                <w:szCs w:val="20"/>
                <w:lang w:val="es-ES"/>
              </w:rPr>
              <w:t>Marzo</w:t>
            </w:r>
          </w:p>
        </w:tc>
        <w:tc>
          <w:tcPr>
            <w:tcW w:w="2348" w:type="dxa"/>
            <w:tcBorders>
              <w:top w:val="nil"/>
              <w:bottom w:val="nil"/>
            </w:tcBorders>
            <w:vAlign w:val="center"/>
          </w:tcPr>
          <w:p w14:paraId="4A716767" w14:textId="77777777" w:rsidR="009B77C4" w:rsidRPr="000E3A45" w:rsidRDefault="00A87336" w:rsidP="007263DA">
            <w:pPr>
              <w:widowControl w:val="0"/>
              <w:adjustRightInd w:val="0"/>
              <w:jc w:val="center"/>
              <w:textAlignment w:val="baseline"/>
              <w:rPr>
                <w:bCs/>
                <w:sz w:val="20"/>
                <w:szCs w:val="20"/>
                <w:lang w:val="es-ES"/>
              </w:rPr>
            </w:pPr>
            <w:r w:rsidRPr="000E3A45">
              <w:rPr>
                <w:bCs/>
                <w:sz w:val="20"/>
                <w:szCs w:val="20"/>
                <w:lang w:val="es-ES"/>
              </w:rPr>
              <w:t>13.2036</w:t>
            </w:r>
          </w:p>
        </w:tc>
        <w:tc>
          <w:tcPr>
            <w:tcW w:w="2238" w:type="dxa"/>
            <w:tcBorders>
              <w:top w:val="nil"/>
              <w:bottom w:val="nil"/>
            </w:tcBorders>
            <w:vAlign w:val="center"/>
          </w:tcPr>
          <w:p w14:paraId="7B98A63E" w14:textId="77777777" w:rsidR="009B77C4" w:rsidRPr="000E3A45" w:rsidRDefault="00BF1DD9" w:rsidP="008F2B2E">
            <w:pPr>
              <w:widowControl w:val="0"/>
              <w:adjustRightInd w:val="0"/>
              <w:ind w:right="851"/>
              <w:jc w:val="right"/>
              <w:textAlignment w:val="baseline"/>
              <w:rPr>
                <w:bCs/>
                <w:sz w:val="20"/>
                <w:szCs w:val="20"/>
                <w:lang w:val="es-ES"/>
              </w:rPr>
            </w:pPr>
            <w:r w:rsidRPr="000E3A45">
              <w:rPr>
                <w:bCs/>
                <w:sz w:val="20"/>
                <w:szCs w:val="20"/>
                <w:lang w:val="es-ES"/>
              </w:rPr>
              <w:t>-0.56</w:t>
            </w:r>
          </w:p>
        </w:tc>
        <w:tc>
          <w:tcPr>
            <w:tcW w:w="2238" w:type="dxa"/>
            <w:tcBorders>
              <w:top w:val="nil"/>
              <w:bottom w:val="nil"/>
            </w:tcBorders>
            <w:vAlign w:val="center"/>
          </w:tcPr>
          <w:p w14:paraId="2A2E91D6" w14:textId="77777777" w:rsidR="009B77C4" w:rsidRPr="000E3A45" w:rsidRDefault="00104B1F" w:rsidP="008F2B2E">
            <w:pPr>
              <w:widowControl w:val="0"/>
              <w:adjustRightInd w:val="0"/>
              <w:ind w:right="851"/>
              <w:jc w:val="right"/>
              <w:textAlignment w:val="baseline"/>
              <w:rPr>
                <w:bCs/>
                <w:sz w:val="20"/>
                <w:szCs w:val="20"/>
                <w:lang w:val="es-ES"/>
              </w:rPr>
            </w:pPr>
            <w:r w:rsidRPr="000E3A45">
              <w:rPr>
                <w:bCs/>
                <w:sz w:val="20"/>
                <w:szCs w:val="20"/>
                <w:lang w:val="es-ES"/>
              </w:rPr>
              <w:t>1.50</w:t>
            </w:r>
          </w:p>
        </w:tc>
      </w:tr>
      <w:tr w:rsidR="008A1F79" w:rsidRPr="000E3A45" w14:paraId="440A471B" w14:textId="77777777" w:rsidTr="000F3535">
        <w:trPr>
          <w:jc w:val="center"/>
        </w:trPr>
        <w:tc>
          <w:tcPr>
            <w:tcW w:w="1227" w:type="dxa"/>
            <w:tcBorders>
              <w:top w:val="nil"/>
              <w:bottom w:val="nil"/>
            </w:tcBorders>
            <w:vAlign w:val="center"/>
          </w:tcPr>
          <w:p w14:paraId="4EA69AD8" w14:textId="77777777" w:rsidR="008A1F79" w:rsidRPr="000E3A45" w:rsidRDefault="008A1F79" w:rsidP="006F23EB">
            <w:pPr>
              <w:widowControl w:val="0"/>
              <w:adjustRightInd w:val="0"/>
              <w:ind w:right="-159"/>
              <w:jc w:val="both"/>
              <w:textAlignment w:val="baseline"/>
              <w:rPr>
                <w:bCs/>
                <w:sz w:val="20"/>
                <w:szCs w:val="20"/>
                <w:lang w:val="es-ES"/>
              </w:rPr>
            </w:pPr>
            <w:r w:rsidRPr="000E3A45">
              <w:rPr>
                <w:bCs/>
                <w:sz w:val="20"/>
                <w:szCs w:val="20"/>
                <w:lang w:val="es-ES"/>
              </w:rPr>
              <w:t>Abril</w:t>
            </w:r>
          </w:p>
        </w:tc>
        <w:tc>
          <w:tcPr>
            <w:tcW w:w="2348" w:type="dxa"/>
            <w:tcBorders>
              <w:top w:val="nil"/>
              <w:bottom w:val="nil"/>
            </w:tcBorders>
            <w:vAlign w:val="center"/>
          </w:tcPr>
          <w:p w14:paraId="688F1E78" w14:textId="77777777" w:rsidR="008A1F79" w:rsidRPr="000E3A45" w:rsidRDefault="00E80AEE" w:rsidP="007263DA">
            <w:pPr>
              <w:widowControl w:val="0"/>
              <w:adjustRightInd w:val="0"/>
              <w:jc w:val="center"/>
              <w:textAlignment w:val="baseline"/>
              <w:rPr>
                <w:bCs/>
                <w:sz w:val="20"/>
                <w:szCs w:val="20"/>
                <w:lang w:val="es-ES"/>
              </w:rPr>
            </w:pPr>
            <w:r w:rsidRPr="000E3A45">
              <w:rPr>
                <w:bCs/>
                <w:sz w:val="20"/>
                <w:szCs w:val="20"/>
                <w:lang w:val="es-ES"/>
              </w:rPr>
              <w:t>13.0650</w:t>
            </w:r>
          </w:p>
        </w:tc>
        <w:tc>
          <w:tcPr>
            <w:tcW w:w="2238" w:type="dxa"/>
            <w:tcBorders>
              <w:top w:val="nil"/>
              <w:bottom w:val="nil"/>
            </w:tcBorders>
            <w:vAlign w:val="center"/>
          </w:tcPr>
          <w:p w14:paraId="5590BECE" w14:textId="77777777" w:rsidR="008A1F79" w:rsidRPr="000E3A45" w:rsidRDefault="00E80AEE" w:rsidP="008F2B2E">
            <w:pPr>
              <w:widowControl w:val="0"/>
              <w:adjustRightInd w:val="0"/>
              <w:ind w:right="851"/>
              <w:jc w:val="right"/>
              <w:textAlignment w:val="baseline"/>
              <w:rPr>
                <w:bCs/>
                <w:sz w:val="20"/>
                <w:szCs w:val="20"/>
                <w:lang w:val="es-ES"/>
              </w:rPr>
            </w:pPr>
            <w:r w:rsidRPr="000E3A45">
              <w:rPr>
                <w:bCs/>
                <w:sz w:val="20"/>
                <w:szCs w:val="20"/>
                <w:lang w:val="es-ES"/>
              </w:rPr>
              <w:t>-1.05</w:t>
            </w:r>
          </w:p>
        </w:tc>
        <w:tc>
          <w:tcPr>
            <w:tcW w:w="2238" w:type="dxa"/>
            <w:tcBorders>
              <w:top w:val="nil"/>
              <w:bottom w:val="nil"/>
            </w:tcBorders>
            <w:vAlign w:val="center"/>
          </w:tcPr>
          <w:p w14:paraId="2CF4BD2E" w14:textId="77777777" w:rsidR="008A1F79" w:rsidRPr="000E3A45" w:rsidRDefault="00E80AEE" w:rsidP="008F2B2E">
            <w:pPr>
              <w:widowControl w:val="0"/>
              <w:adjustRightInd w:val="0"/>
              <w:ind w:right="851"/>
              <w:jc w:val="right"/>
              <w:textAlignment w:val="baseline"/>
              <w:rPr>
                <w:bCs/>
                <w:sz w:val="20"/>
                <w:szCs w:val="20"/>
                <w:lang w:val="es-ES"/>
              </w:rPr>
            </w:pPr>
            <w:r w:rsidRPr="000E3A45">
              <w:rPr>
                <w:bCs/>
                <w:sz w:val="20"/>
                <w:szCs w:val="20"/>
                <w:lang w:val="es-ES"/>
              </w:rPr>
              <w:t>0.44</w:t>
            </w:r>
          </w:p>
        </w:tc>
      </w:tr>
      <w:tr w:rsidR="006F23EB" w:rsidRPr="000E3A45" w14:paraId="38EB13EC" w14:textId="77777777" w:rsidTr="000F3535">
        <w:trPr>
          <w:jc w:val="center"/>
        </w:trPr>
        <w:tc>
          <w:tcPr>
            <w:tcW w:w="1227" w:type="dxa"/>
            <w:tcBorders>
              <w:top w:val="nil"/>
              <w:bottom w:val="nil"/>
            </w:tcBorders>
            <w:vAlign w:val="center"/>
          </w:tcPr>
          <w:p w14:paraId="5956B5E4" w14:textId="77777777" w:rsidR="006F23EB" w:rsidRPr="000E3A45" w:rsidRDefault="006F23EB" w:rsidP="00953D3E">
            <w:pPr>
              <w:widowControl w:val="0"/>
              <w:adjustRightInd w:val="0"/>
              <w:ind w:right="-159"/>
              <w:jc w:val="both"/>
              <w:textAlignment w:val="baseline"/>
              <w:rPr>
                <w:bCs/>
                <w:sz w:val="20"/>
                <w:szCs w:val="20"/>
                <w:lang w:val="es-ES"/>
              </w:rPr>
            </w:pPr>
            <w:r w:rsidRPr="000E3A45">
              <w:rPr>
                <w:bCs/>
                <w:sz w:val="20"/>
                <w:szCs w:val="20"/>
                <w:lang w:val="es-ES"/>
              </w:rPr>
              <w:t>Mayo</w:t>
            </w:r>
          </w:p>
        </w:tc>
        <w:tc>
          <w:tcPr>
            <w:tcW w:w="2348" w:type="dxa"/>
            <w:tcBorders>
              <w:top w:val="nil"/>
              <w:bottom w:val="nil"/>
            </w:tcBorders>
            <w:vAlign w:val="center"/>
          </w:tcPr>
          <w:p w14:paraId="6E8CD8EC" w14:textId="61DF06D8" w:rsidR="006F23EB" w:rsidRPr="000E3A45" w:rsidRDefault="005A10FA" w:rsidP="005A10FA">
            <w:pPr>
              <w:widowControl w:val="0"/>
              <w:adjustRightInd w:val="0"/>
              <w:jc w:val="center"/>
              <w:textAlignment w:val="baseline"/>
              <w:rPr>
                <w:bCs/>
                <w:sz w:val="20"/>
                <w:szCs w:val="20"/>
                <w:lang w:val="es-ES"/>
              </w:rPr>
            </w:pPr>
            <w:r w:rsidRPr="000E3A45">
              <w:rPr>
                <w:bCs/>
                <w:sz w:val="20"/>
                <w:szCs w:val="20"/>
                <w:lang w:val="es-ES"/>
              </w:rPr>
              <w:t>12.9242</w:t>
            </w:r>
          </w:p>
        </w:tc>
        <w:tc>
          <w:tcPr>
            <w:tcW w:w="2238" w:type="dxa"/>
            <w:tcBorders>
              <w:top w:val="nil"/>
              <w:bottom w:val="nil"/>
            </w:tcBorders>
            <w:vAlign w:val="center"/>
          </w:tcPr>
          <w:p w14:paraId="2C6AC18F" w14:textId="0329D9C9" w:rsidR="006F23EB"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-1.08</w:t>
            </w:r>
          </w:p>
        </w:tc>
        <w:tc>
          <w:tcPr>
            <w:tcW w:w="2238" w:type="dxa"/>
            <w:tcBorders>
              <w:top w:val="nil"/>
              <w:bottom w:val="nil"/>
            </w:tcBorders>
            <w:vAlign w:val="center"/>
          </w:tcPr>
          <w:p w14:paraId="16904D1D" w14:textId="1FC3BE2A" w:rsidR="006F23EB"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-0.65</w:t>
            </w:r>
          </w:p>
        </w:tc>
      </w:tr>
      <w:tr w:rsidR="00953D3E" w:rsidRPr="000E3A45" w14:paraId="1925CF2B" w14:textId="77777777" w:rsidTr="000F3535">
        <w:trPr>
          <w:jc w:val="center"/>
        </w:trPr>
        <w:tc>
          <w:tcPr>
            <w:tcW w:w="1227" w:type="dxa"/>
            <w:tcBorders>
              <w:top w:val="nil"/>
              <w:bottom w:val="nil"/>
            </w:tcBorders>
            <w:vAlign w:val="center"/>
          </w:tcPr>
          <w:p w14:paraId="2D681C07" w14:textId="77777777" w:rsidR="00953D3E" w:rsidRPr="000E3A45" w:rsidRDefault="00953D3E" w:rsidP="00AF7A61">
            <w:pPr>
              <w:widowControl w:val="0"/>
              <w:adjustRightInd w:val="0"/>
              <w:ind w:right="-159"/>
              <w:jc w:val="both"/>
              <w:textAlignment w:val="baseline"/>
              <w:rPr>
                <w:bCs/>
                <w:sz w:val="20"/>
                <w:szCs w:val="20"/>
                <w:lang w:val="es-ES"/>
              </w:rPr>
            </w:pPr>
            <w:r w:rsidRPr="000E3A45">
              <w:rPr>
                <w:bCs/>
                <w:sz w:val="20"/>
                <w:szCs w:val="20"/>
                <w:lang w:val="es-ES"/>
              </w:rPr>
              <w:t>Junio</w:t>
            </w:r>
          </w:p>
        </w:tc>
        <w:tc>
          <w:tcPr>
            <w:tcW w:w="2348" w:type="dxa"/>
            <w:tcBorders>
              <w:top w:val="nil"/>
              <w:bottom w:val="nil"/>
            </w:tcBorders>
            <w:vAlign w:val="center"/>
          </w:tcPr>
          <w:p w14:paraId="0E08037A" w14:textId="4416766B" w:rsidR="00953D3E" w:rsidRPr="000E3A45" w:rsidRDefault="005A10FA" w:rsidP="005A10FA">
            <w:pPr>
              <w:widowControl w:val="0"/>
              <w:adjustRightInd w:val="0"/>
              <w:jc w:val="center"/>
              <w:textAlignment w:val="baseline"/>
              <w:rPr>
                <w:bCs/>
                <w:sz w:val="20"/>
                <w:szCs w:val="20"/>
                <w:lang w:val="es-ES"/>
              </w:rPr>
            </w:pPr>
            <w:r w:rsidRPr="000E3A45">
              <w:rPr>
                <w:bCs/>
                <w:sz w:val="20"/>
                <w:szCs w:val="20"/>
                <w:lang w:val="es-ES"/>
              </w:rPr>
              <w:t>12.9945</w:t>
            </w:r>
          </w:p>
        </w:tc>
        <w:tc>
          <w:tcPr>
            <w:tcW w:w="2238" w:type="dxa"/>
            <w:tcBorders>
              <w:top w:val="nil"/>
              <w:bottom w:val="nil"/>
            </w:tcBorders>
            <w:vAlign w:val="center"/>
          </w:tcPr>
          <w:p w14:paraId="647A0502" w14:textId="7794ABFD" w:rsidR="00953D3E"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0.54</w:t>
            </w:r>
          </w:p>
        </w:tc>
        <w:tc>
          <w:tcPr>
            <w:tcW w:w="2238" w:type="dxa"/>
            <w:tcBorders>
              <w:top w:val="nil"/>
              <w:bottom w:val="nil"/>
            </w:tcBorders>
            <w:vAlign w:val="center"/>
          </w:tcPr>
          <w:p w14:paraId="381F0594" w14:textId="336307F5" w:rsidR="00953D3E" w:rsidRPr="000E3A45" w:rsidRDefault="005A10FA" w:rsidP="005A10FA">
            <w:pPr>
              <w:widowControl w:val="0"/>
              <w:adjustRightInd w:val="0"/>
              <w:ind w:right="851"/>
              <w:jc w:val="right"/>
              <w:textAlignment w:val="baseline"/>
              <w:rPr>
                <w:bCs/>
                <w:sz w:val="20"/>
                <w:szCs w:val="20"/>
                <w:lang w:val="es-ES"/>
              </w:rPr>
            </w:pPr>
            <w:r w:rsidRPr="000E3A45">
              <w:rPr>
                <w:bCs/>
                <w:sz w:val="20"/>
                <w:szCs w:val="20"/>
                <w:lang w:val="es-ES"/>
              </w:rPr>
              <w:t>-0.11</w:t>
            </w:r>
          </w:p>
        </w:tc>
      </w:tr>
      <w:tr w:rsidR="005A10FA" w:rsidRPr="000E3A45" w14:paraId="676117C5" w14:textId="77777777" w:rsidTr="000F3535">
        <w:trPr>
          <w:jc w:val="center"/>
        </w:trPr>
        <w:tc>
          <w:tcPr>
            <w:tcW w:w="1227" w:type="dxa"/>
            <w:tcBorders>
              <w:top w:val="nil"/>
              <w:bottom w:val="nil"/>
            </w:tcBorders>
            <w:vAlign w:val="center"/>
          </w:tcPr>
          <w:p w14:paraId="60EFEC68" w14:textId="7334A123" w:rsidR="005A10FA" w:rsidRPr="000E3A45" w:rsidRDefault="005A10FA" w:rsidP="00E556D9">
            <w:pPr>
              <w:widowControl w:val="0"/>
              <w:adjustRightInd w:val="0"/>
              <w:ind w:right="-159"/>
              <w:jc w:val="both"/>
              <w:textAlignment w:val="baseline"/>
              <w:rPr>
                <w:bCs/>
                <w:sz w:val="20"/>
                <w:szCs w:val="20"/>
                <w:lang w:val="es-ES"/>
              </w:rPr>
            </w:pPr>
            <w:r w:rsidRPr="000E3A45">
              <w:rPr>
                <w:bCs/>
                <w:sz w:val="20"/>
                <w:szCs w:val="20"/>
                <w:lang w:val="es-ES"/>
              </w:rPr>
              <w:t>Julio</w:t>
            </w:r>
          </w:p>
        </w:tc>
        <w:tc>
          <w:tcPr>
            <w:tcW w:w="2348" w:type="dxa"/>
            <w:tcBorders>
              <w:top w:val="nil"/>
              <w:bottom w:val="nil"/>
            </w:tcBorders>
            <w:vAlign w:val="center"/>
          </w:tcPr>
          <w:p w14:paraId="6F4D411F" w14:textId="09F12ACC" w:rsidR="005A10FA" w:rsidRPr="000E3A45" w:rsidRDefault="005A10FA" w:rsidP="00F53D5B">
            <w:pPr>
              <w:widowControl w:val="0"/>
              <w:adjustRightInd w:val="0"/>
              <w:jc w:val="center"/>
              <w:textAlignment w:val="baseline"/>
              <w:rPr>
                <w:bCs/>
                <w:sz w:val="20"/>
                <w:szCs w:val="20"/>
                <w:lang w:val="es-ES"/>
              </w:rPr>
            </w:pPr>
            <w:r w:rsidRPr="000E3A45">
              <w:rPr>
                <w:bCs/>
                <w:sz w:val="20"/>
                <w:szCs w:val="20"/>
                <w:lang w:val="es-ES"/>
              </w:rPr>
              <w:t>12.9</w:t>
            </w:r>
            <w:r w:rsidR="00F53D5B" w:rsidRPr="000E3A45">
              <w:rPr>
                <w:bCs/>
                <w:sz w:val="20"/>
                <w:szCs w:val="20"/>
                <w:lang w:val="es-ES"/>
              </w:rPr>
              <w:t>894</w:t>
            </w:r>
          </w:p>
        </w:tc>
        <w:tc>
          <w:tcPr>
            <w:tcW w:w="2238" w:type="dxa"/>
            <w:tcBorders>
              <w:top w:val="nil"/>
              <w:bottom w:val="nil"/>
            </w:tcBorders>
            <w:vAlign w:val="center"/>
          </w:tcPr>
          <w:p w14:paraId="01C83F52" w14:textId="036AFAD3" w:rsidR="005A10FA" w:rsidRPr="000E3A45" w:rsidRDefault="005A10FA" w:rsidP="00F53D5B">
            <w:pPr>
              <w:widowControl w:val="0"/>
              <w:adjustRightInd w:val="0"/>
              <w:ind w:right="851"/>
              <w:jc w:val="right"/>
              <w:textAlignment w:val="baseline"/>
              <w:rPr>
                <w:bCs/>
                <w:sz w:val="20"/>
                <w:szCs w:val="20"/>
                <w:lang w:val="es-ES"/>
              </w:rPr>
            </w:pPr>
            <w:r w:rsidRPr="000E3A45">
              <w:rPr>
                <w:bCs/>
                <w:sz w:val="20"/>
                <w:szCs w:val="20"/>
                <w:lang w:val="es-ES"/>
              </w:rPr>
              <w:t>-0.</w:t>
            </w:r>
            <w:r w:rsidR="00F53D5B" w:rsidRPr="000E3A45">
              <w:rPr>
                <w:bCs/>
                <w:sz w:val="20"/>
                <w:szCs w:val="20"/>
                <w:lang w:val="es-ES"/>
              </w:rPr>
              <w:t>04</w:t>
            </w:r>
          </w:p>
        </w:tc>
        <w:tc>
          <w:tcPr>
            <w:tcW w:w="2238" w:type="dxa"/>
            <w:tcBorders>
              <w:top w:val="nil"/>
              <w:bottom w:val="nil"/>
            </w:tcBorders>
            <w:vAlign w:val="center"/>
          </w:tcPr>
          <w:p w14:paraId="7A31E668" w14:textId="0E2F1499" w:rsidR="005A10FA" w:rsidRPr="000E3A45" w:rsidRDefault="005A10FA" w:rsidP="00F53D5B">
            <w:pPr>
              <w:widowControl w:val="0"/>
              <w:adjustRightInd w:val="0"/>
              <w:ind w:right="851"/>
              <w:jc w:val="right"/>
              <w:textAlignment w:val="baseline"/>
              <w:rPr>
                <w:bCs/>
                <w:sz w:val="20"/>
                <w:szCs w:val="20"/>
                <w:lang w:val="es-ES"/>
              </w:rPr>
            </w:pPr>
            <w:r w:rsidRPr="000E3A45">
              <w:rPr>
                <w:bCs/>
                <w:sz w:val="20"/>
                <w:szCs w:val="20"/>
                <w:lang w:val="es-ES"/>
              </w:rPr>
              <w:t>-0.</w:t>
            </w:r>
            <w:r w:rsidR="00F53D5B" w:rsidRPr="000E3A45">
              <w:rPr>
                <w:bCs/>
                <w:sz w:val="20"/>
                <w:szCs w:val="20"/>
                <w:lang w:val="es-ES"/>
              </w:rPr>
              <w:t>14</w:t>
            </w:r>
          </w:p>
        </w:tc>
      </w:tr>
      <w:tr w:rsidR="00E556D9" w:rsidRPr="000E3A45" w14:paraId="0380AACB" w14:textId="77777777" w:rsidTr="000F3535">
        <w:trPr>
          <w:jc w:val="center"/>
        </w:trPr>
        <w:tc>
          <w:tcPr>
            <w:tcW w:w="1227" w:type="dxa"/>
            <w:tcBorders>
              <w:top w:val="nil"/>
              <w:bottom w:val="nil"/>
            </w:tcBorders>
            <w:vAlign w:val="center"/>
          </w:tcPr>
          <w:p w14:paraId="3E24B511" w14:textId="436FE656" w:rsidR="00E556D9" w:rsidRPr="000E3A45" w:rsidRDefault="00E556D9" w:rsidP="000008FE">
            <w:pPr>
              <w:widowControl w:val="0"/>
              <w:adjustRightInd w:val="0"/>
              <w:ind w:right="-159"/>
              <w:jc w:val="both"/>
              <w:textAlignment w:val="baseline"/>
              <w:rPr>
                <w:bCs/>
                <w:sz w:val="20"/>
                <w:szCs w:val="20"/>
                <w:lang w:val="es-ES"/>
              </w:rPr>
            </w:pPr>
            <w:r w:rsidRPr="000E3A45">
              <w:rPr>
                <w:bCs/>
                <w:sz w:val="20"/>
                <w:szCs w:val="20"/>
                <w:lang w:val="es-ES"/>
              </w:rPr>
              <w:t>Agosto</w:t>
            </w:r>
          </w:p>
        </w:tc>
        <w:tc>
          <w:tcPr>
            <w:tcW w:w="2348" w:type="dxa"/>
            <w:tcBorders>
              <w:top w:val="nil"/>
              <w:bottom w:val="nil"/>
            </w:tcBorders>
            <w:vAlign w:val="center"/>
          </w:tcPr>
          <w:p w14:paraId="214319C1" w14:textId="421BE1FA" w:rsidR="00E556D9" w:rsidRPr="000E3A45" w:rsidRDefault="00CA33ED" w:rsidP="007263DA">
            <w:pPr>
              <w:widowControl w:val="0"/>
              <w:adjustRightInd w:val="0"/>
              <w:jc w:val="center"/>
              <w:textAlignment w:val="baseline"/>
              <w:rPr>
                <w:bCs/>
                <w:sz w:val="20"/>
                <w:szCs w:val="20"/>
                <w:lang w:val="es-ES"/>
              </w:rPr>
            </w:pPr>
            <w:r w:rsidRPr="000E3A45">
              <w:rPr>
                <w:bCs/>
                <w:sz w:val="20"/>
                <w:szCs w:val="20"/>
                <w:lang w:val="es-ES"/>
              </w:rPr>
              <w:t>13.1452</w:t>
            </w:r>
          </w:p>
        </w:tc>
        <w:tc>
          <w:tcPr>
            <w:tcW w:w="2238" w:type="dxa"/>
            <w:tcBorders>
              <w:top w:val="nil"/>
              <w:bottom w:val="nil"/>
            </w:tcBorders>
            <w:vAlign w:val="center"/>
          </w:tcPr>
          <w:p w14:paraId="263FCD04" w14:textId="77F870D3" w:rsidR="00E556D9" w:rsidRPr="000E3A45" w:rsidRDefault="00CA33ED" w:rsidP="005A10FA">
            <w:pPr>
              <w:widowControl w:val="0"/>
              <w:adjustRightInd w:val="0"/>
              <w:ind w:right="851"/>
              <w:jc w:val="right"/>
              <w:textAlignment w:val="baseline"/>
              <w:rPr>
                <w:bCs/>
                <w:sz w:val="20"/>
                <w:szCs w:val="20"/>
                <w:lang w:val="es-ES"/>
              </w:rPr>
            </w:pPr>
            <w:r w:rsidRPr="000E3A45">
              <w:rPr>
                <w:bCs/>
                <w:sz w:val="20"/>
                <w:szCs w:val="20"/>
                <w:lang w:val="es-ES"/>
              </w:rPr>
              <w:t>1.20</w:t>
            </w:r>
          </w:p>
        </w:tc>
        <w:tc>
          <w:tcPr>
            <w:tcW w:w="2238" w:type="dxa"/>
            <w:tcBorders>
              <w:top w:val="nil"/>
              <w:bottom w:val="nil"/>
            </w:tcBorders>
            <w:vAlign w:val="center"/>
          </w:tcPr>
          <w:p w14:paraId="78A8EC5D" w14:textId="44D0CDBD" w:rsidR="00E556D9" w:rsidRPr="000E3A45" w:rsidRDefault="00CA33ED" w:rsidP="008F2B2E">
            <w:pPr>
              <w:widowControl w:val="0"/>
              <w:adjustRightInd w:val="0"/>
              <w:ind w:right="851"/>
              <w:jc w:val="right"/>
              <w:textAlignment w:val="baseline"/>
              <w:rPr>
                <w:bCs/>
                <w:sz w:val="20"/>
                <w:szCs w:val="20"/>
                <w:lang w:val="es-ES"/>
              </w:rPr>
            </w:pPr>
            <w:r w:rsidRPr="000E3A45">
              <w:rPr>
                <w:bCs/>
                <w:sz w:val="20"/>
                <w:szCs w:val="20"/>
                <w:lang w:val="es-ES"/>
              </w:rPr>
              <w:t>1.05</w:t>
            </w:r>
          </w:p>
        </w:tc>
      </w:tr>
      <w:tr w:rsidR="000008FE" w:rsidRPr="000E3A45" w14:paraId="7652BB81" w14:textId="77777777" w:rsidTr="000F3535">
        <w:trPr>
          <w:jc w:val="center"/>
        </w:trPr>
        <w:tc>
          <w:tcPr>
            <w:tcW w:w="1227" w:type="dxa"/>
            <w:tcBorders>
              <w:top w:val="nil"/>
              <w:bottom w:val="nil"/>
            </w:tcBorders>
            <w:vAlign w:val="center"/>
          </w:tcPr>
          <w:p w14:paraId="2D181912" w14:textId="0DA81CFC" w:rsidR="000008FE" w:rsidRPr="000E3A45" w:rsidRDefault="000008FE" w:rsidP="005C0BCB">
            <w:pPr>
              <w:widowControl w:val="0"/>
              <w:adjustRightInd w:val="0"/>
              <w:ind w:right="-159"/>
              <w:jc w:val="both"/>
              <w:textAlignment w:val="baseline"/>
              <w:rPr>
                <w:bCs/>
                <w:sz w:val="20"/>
                <w:szCs w:val="20"/>
                <w:lang w:val="es-ES"/>
              </w:rPr>
            </w:pPr>
            <w:r w:rsidRPr="000E3A45">
              <w:rPr>
                <w:bCs/>
                <w:sz w:val="20"/>
                <w:szCs w:val="20"/>
                <w:lang w:val="es-ES"/>
              </w:rPr>
              <w:t>Septiembre</w:t>
            </w:r>
          </w:p>
        </w:tc>
        <w:tc>
          <w:tcPr>
            <w:tcW w:w="2348" w:type="dxa"/>
            <w:tcBorders>
              <w:top w:val="nil"/>
              <w:bottom w:val="nil"/>
            </w:tcBorders>
            <w:vAlign w:val="center"/>
          </w:tcPr>
          <w:p w14:paraId="1086A1C2" w14:textId="28CEA751" w:rsidR="000008FE" w:rsidRPr="000E3A45" w:rsidRDefault="00CA33ED" w:rsidP="005C0BCB">
            <w:pPr>
              <w:widowControl w:val="0"/>
              <w:adjustRightInd w:val="0"/>
              <w:jc w:val="center"/>
              <w:textAlignment w:val="baseline"/>
              <w:rPr>
                <w:bCs/>
                <w:sz w:val="20"/>
                <w:szCs w:val="20"/>
                <w:lang w:val="es-ES"/>
              </w:rPr>
            </w:pPr>
            <w:r w:rsidRPr="000E3A45">
              <w:rPr>
                <w:bCs/>
                <w:sz w:val="20"/>
                <w:szCs w:val="20"/>
                <w:lang w:val="es-ES"/>
              </w:rPr>
              <w:t>13.</w:t>
            </w:r>
            <w:r w:rsidR="005C0BCB" w:rsidRPr="000E3A45">
              <w:rPr>
                <w:bCs/>
                <w:sz w:val="20"/>
                <w:szCs w:val="20"/>
                <w:lang w:val="es-ES"/>
              </w:rPr>
              <w:t>2398</w:t>
            </w:r>
          </w:p>
        </w:tc>
        <w:tc>
          <w:tcPr>
            <w:tcW w:w="2238" w:type="dxa"/>
            <w:tcBorders>
              <w:top w:val="nil"/>
              <w:bottom w:val="nil"/>
            </w:tcBorders>
            <w:vAlign w:val="center"/>
          </w:tcPr>
          <w:p w14:paraId="17F83744" w14:textId="36F73213" w:rsidR="000008FE" w:rsidRPr="000E3A45" w:rsidRDefault="00CA33ED" w:rsidP="005C0BCB">
            <w:pPr>
              <w:widowControl w:val="0"/>
              <w:adjustRightInd w:val="0"/>
              <w:ind w:right="851"/>
              <w:jc w:val="right"/>
              <w:textAlignment w:val="baseline"/>
              <w:rPr>
                <w:bCs/>
                <w:sz w:val="20"/>
                <w:szCs w:val="20"/>
                <w:lang w:val="es-ES"/>
              </w:rPr>
            </w:pPr>
            <w:r w:rsidRPr="000E3A45">
              <w:rPr>
                <w:bCs/>
                <w:sz w:val="20"/>
                <w:szCs w:val="20"/>
                <w:lang w:val="es-ES"/>
              </w:rPr>
              <w:t>0.</w:t>
            </w:r>
            <w:r w:rsidR="005C0BCB" w:rsidRPr="000E3A45">
              <w:rPr>
                <w:bCs/>
                <w:sz w:val="20"/>
                <w:szCs w:val="20"/>
                <w:lang w:val="es-ES"/>
              </w:rPr>
              <w:t>72</w:t>
            </w:r>
          </w:p>
        </w:tc>
        <w:tc>
          <w:tcPr>
            <w:tcW w:w="2238" w:type="dxa"/>
            <w:tcBorders>
              <w:top w:val="nil"/>
              <w:bottom w:val="nil"/>
            </w:tcBorders>
            <w:vAlign w:val="center"/>
          </w:tcPr>
          <w:p w14:paraId="286CF07D" w14:textId="151AA635" w:rsidR="000008FE" w:rsidRPr="000E3A45" w:rsidRDefault="00CA33ED" w:rsidP="005C0BCB">
            <w:pPr>
              <w:widowControl w:val="0"/>
              <w:adjustRightInd w:val="0"/>
              <w:ind w:right="851"/>
              <w:jc w:val="right"/>
              <w:textAlignment w:val="baseline"/>
              <w:rPr>
                <w:bCs/>
                <w:sz w:val="20"/>
                <w:szCs w:val="20"/>
                <w:lang w:val="es-ES"/>
              </w:rPr>
            </w:pPr>
            <w:r w:rsidRPr="000E3A45">
              <w:rPr>
                <w:bCs/>
                <w:sz w:val="20"/>
                <w:szCs w:val="20"/>
                <w:lang w:val="es-ES"/>
              </w:rPr>
              <w:t>1.</w:t>
            </w:r>
            <w:r w:rsidR="005C0BCB" w:rsidRPr="000E3A45">
              <w:rPr>
                <w:bCs/>
                <w:sz w:val="20"/>
                <w:szCs w:val="20"/>
                <w:lang w:val="es-ES"/>
              </w:rPr>
              <w:t>78</w:t>
            </w:r>
          </w:p>
        </w:tc>
      </w:tr>
      <w:tr w:rsidR="00F4518C" w:rsidRPr="000E3A45" w14:paraId="023E58E9" w14:textId="77777777" w:rsidTr="000F3535">
        <w:trPr>
          <w:jc w:val="center"/>
        </w:trPr>
        <w:tc>
          <w:tcPr>
            <w:tcW w:w="1227" w:type="dxa"/>
            <w:tcBorders>
              <w:top w:val="nil"/>
              <w:bottom w:val="nil"/>
            </w:tcBorders>
            <w:vAlign w:val="center"/>
          </w:tcPr>
          <w:p w14:paraId="058293FC" w14:textId="77777777" w:rsidR="00F4518C" w:rsidRPr="000E3A45" w:rsidRDefault="00F4518C" w:rsidP="009446C6">
            <w:pPr>
              <w:widowControl w:val="0"/>
              <w:adjustRightInd w:val="0"/>
              <w:ind w:right="-159"/>
              <w:jc w:val="both"/>
              <w:textAlignment w:val="baseline"/>
              <w:rPr>
                <w:bCs/>
                <w:sz w:val="20"/>
                <w:szCs w:val="20"/>
                <w:lang w:val="es-ES"/>
              </w:rPr>
            </w:pPr>
            <w:r w:rsidRPr="000E3A45">
              <w:rPr>
                <w:bCs/>
                <w:sz w:val="20"/>
                <w:szCs w:val="20"/>
                <w:lang w:val="es-ES"/>
              </w:rPr>
              <w:t>Octubre</w:t>
            </w:r>
          </w:p>
        </w:tc>
        <w:tc>
          <w:tcPr>
            <w:tcW w:w="2348" w:type="dxa"/>
            <w:tcBorders>
              <w:top w:val="nil"/>
              <w:bottom w:val="nil"/>
            </w:tcBorders>
            <w:vAlign w:val="center"/>
          </w:tcPr>
          <w:p w14:paraId="7D73CF09" w14:textId="40CD893D" w:rsidR="00F4518C" w:rsidRPr="000E3A45" w:rsidRDefault="00F4518C" w:rsidP="007B27C0">
            <w:pPr>
              <w:widowControl w:val="0"/>
              <w:adjustRightInd w:val="0"/>
              <w:jc w:val="center"/>
              <w:textAlignment w:val="baseline"/>
              <w:rPr>
                <w:bCs/>
                <w:sz w:val="20"/>
                <w:szCs w:val="20"/>
                <w:lang w:val="es-ES"/>
              </w:rPr>
            </w:pPr>
            <w:r w:rsidRPr="000E3A45">
              <w:rPr>
                <w:bCs/>
                <w:sz w:val="20"/>
                <w:szCs w:val="20"/>
                <w:lang w:val="es-ES"/>
              </w:rPr>
              <w:t>13.4</w:t>
            </w:r>
            <w:r w:rsidR="007B27C0" w:rsidRPr="000E3A45">
              <w:rPr>
                <w:bCs/>
                <w:sz w:val="20"/>
                <w:szCs w:val="20"/>
                <w:lang w:val="es-ES"/>
              </w:rPr>
              <w:t>807</w:t>
            </w:r>
          </w:p>
        </w:tc>
        <w:tc>
          <w:tcPr>
            <w:tcW w:w="2238" w:type="dxa"/>
            <w:tcBorders>
              <w:top w:val="nil"/>
              <w:bottom w:val="nil"/>
            </w:tcBorders>
            <w:vAlign w:val="center"/>
          </w:tcPr>
          <w:p w14:paraId="5EDA77B7" w14:textId="3AAC66DD" w:rsidR="00F4518C" w:rsidRPr="000E3A45" w:rsidRDefault="00F4518C" w:rsidP="007B27C0">
            <w:pPr>
              <w:widowControl w:val="0"/>
              <w:adjustRightInd w:val="0"/>
              <w:ind w:right="851"/>
              <w:jc w:val="right"/>
              <w:textAlignment w:val="baseline"/>
              <w:rPr>
                <w:bCs/>
                <w:sz w:val="20"/>
                <w:szCs w:val="20"/>
                <w:lang w:val="es-ES"/>
              </w:rPr>
            </w:pPr>
            <w:r w:rsidRPr="000E3A45">
              <w:rPr>
                <w:bCs/>
                <w:sz w:val="20"/>
                <w:szCs w:val="20"/>
                <w:lang w:val="es-ES"/>
              </w:rPr>
              <w:t>1.</w:t>
            </w:r>
            <w:r w:rsidR="007B27C0" w:rsidRPr="000E3A45">
              <w:rPr>
                <w:bCs/>
                <w:sz w:val="20"/>
                <w:szCs w:val="20"/>
                <w:lang w:val="es-ES"/>
              </w:rPr>
              <w:t>82</w:t>
            </w:r>
          </w:p>
        </w:tc>
        <w:tc>
          <w:tcPr>
            <w:tcW w:w="2238" w:type="dxa"/>
            <w:tcBorders>
              <w:top w:val="nil"/>
              <w:bottom w:val="nil"/>
            </w:tcBorders>
            <w:vAlign w:val="center"/>
          </w:tcPr>
          <w:p w14:paraId="7E2F9399" w14:textId="04CA13B2" w:rsidR="00F4518C" w:rsidRPr="000E3A45" w:rsidRDefault="00F4518C" w:rsidP="007B27C0">
            <w:pPr>
              <w:widowControl w:val="0"/>
              <w:adjustRightInd w:val="0"/>
              <w:ind w:right="851"/>
              <w:jc w:val="right"/>
              <w:textAlignment w:val="baseline"/>
              <w:rPr>
                <w:bCs/>
                <w:sz w:val="20"/>
                <w:szCs w:val="20"/>
                <w:lang w:val="es-ES"/>
              </w:rPr>
            </w:pPr>
            <w:r w:rsidRPr="000E3A45">
              <w:rPr>
                <w:bCs/>
                <w:sz w:val="20"/>
                <w:szCs w:val="20"/>
                <w:lang w:val="es-ES"/>
              </w:rPr>
              <w:t>3.</w:t>
            </w:r>
            <w:r w:rsidR="007B27C0" w:rsidRPr="000E3A45">
              <w:rPr>
                <w:bCs/>
                <w:sz w:val="20"/>
                <w:szCs w:val="20"/>
                <w:lang w:val="es-ES"/>
              </w:rPr>
              <w:t>63</w:t>
            </w:r>
          </w:p>
        </w:tc>
      </w:tr>
      <w:tr w:rsidR="005C0BCB" w:rsidRPr="000E3A45" w14:paraId="50E412AE" w14:textId="77777777" w:rsidTr="000F3535">
        <w:trPr>
          <w:jc w:val="center"/>
        </w:trPr>
        <w:tc>
          <w:tcPr>
            <w:tcW w:w="1227" w:type="dxa"/>
            <w:tcBorders>
              <w:top w:val="nil"/>
              <w:bottom w:val="nil"/>
            </w:tcBorders>
            <w:vAlign w:val="center"/>
          </w:tcPr>
          <w:p w14:paraId="211D701F" w14:textId="0399B7B7" w:rsidR="005C0BCB" w:rsidRPr="000E3A45" w:rsidRDefault="00F4518C" w:rsidP="001835F8">
            <w:pPr>
              <w:widowControl w:val="0"/>
              <w:adjustRightInd w:val="0"/>
              <w:ind w:right="-159"/>
              <w:jc w:val="both"/>
              <w:textAlignment w:val="baseline"/>
              <w:rPr>
                <w:bCs/>
                <w:sz w:val="20"/>
                <w:szCs w:val="20"/>
                <w:lang w:val="es-ES"/>
              </w:rPr>
            </w:pPr>
            <w:r w:rsidRPr="000E3A45">
              <w:rPr>
                <w:bCs/>
                <w:sz w:val="20"/>
                <w:szCs w:val="20"/>
                <w:lang w:val="es-ES"/>
              </w:rPr>
              <w:t>Noviembre</w:t>
            </w:r>
          </w:p>
        </w:tc>
        <w:tc>
          <w:tcPr>
            <w:tcW w:w="2348" w:type="dxa"/>
            <w:tcBorders>
              <w:top w:val="nil"/>
              <w:bottom w:val="nil"/>
            </w:tcBorders>
            <w:vAlign w:val="center"/>
          </w:tcPr>
          <w:p w14:paraId="01631195" w14:textId="59234689" w:rsidR="005C0BCB" w:rsidRPr="000E3A45" w:rsidRDefault="005C0BCB" w:rsidP="001835F8">
            <w:pPr>
              <w:widowControl w:val="0"/>
              <w:adjustRightInd w:val="0"/>
              <w:jc w:val="center"/>
              <w:textAlignment w:val="baseline"/>
              <w:rPr>
                <w:bCs/>
                <w:sz w:val="20"/>
                <w:szCs w:val="20"/>
                <w:lang w:val="es-ES"/>
              </w:rPr>
            </w:pPr>
            <w:r w:rsidRPr="000E3A45">
              <w:rPr>
                <w:bCs/>
                <w:sz w:val="20"/>
                <w:szCs w:val="20"/>
                <w:lang w:val="es-ES"/>
              </w:rPr>
              <w:t>13.</w:t>
            </w:r>
            <w:r w:rsidR="001835F8" w:rsidRPr="000E3A45">
              <w:rPr>
                <w:bCs/>
                <w:sz w:val="20"/>
                <w:szCs w:val="20"/>
                <w:lang w:val="es-ES"/>
              </w:rPr>
              <w:t>6284</w:t>
            </w:r>
          </w:p>
        </w:tc>
        <w:tc>
          <w:tcPr>
            <w:tcW w:w="2238" w:type="dxa"/>
            <w:tcBorders>
              <w:top w:val="nil"/>
              <w:bottom w:val="nil"/>
            </w:tcBorders>
            <w:vAlign w:val="center"/>
          </w:tcPr>
          <w:p w14:paraId="50A63D12" w14:textId="50C9B9B0" w:rsidR="005C0BCB" w:rsidRPr="000E3A45" w:rsidRDefault="001835F8" w:rsidP="001835F8">
            <w:pPr>
              <w:widowControl w:val="0"/>
              <w:adjustRightInd w:val="0"/>
              <w:ind w:right="851"/>
              <w:jc w:val="right"/>
              <w:textAlignment w:val="baseline"/>
              <w:rPr>
                <w:bCs/>
                <w:sz w:val="20"/>
                <w:szCs w:val="20"/>
                <w:lang w:val="es-ES"/>
              </w:rPr>
            </w:pPr>
            <w:r w:rsidRPr="000E3A45">
              <w:rPr>
                <w:bCs/>
                <w:sz w:val="20"/>
                <w:szCs w:val="20"/>
                <w:lang w:val="es-ES"/>
              </w:rPr>
              <w:t>1.10</w:t>
            </w:r>
          </w:p>
        </w:tc>
        <w:tc>
          <w:tcPr>
            <w:tcW w:w="2238" w:type="dxa"/>
            <w:tcBorders>
              <w:top w:val="nil"/>
              <w:bottom w:val="nil"/>
            </w:tcBorders>
            <w:vAlign w:val="center"/>
          </w:tcPr>
          <w:p w14:paraId="1481C15F" w14:textId="5921875F" w:rsidR="005C0BCB" w:rsidRPr="000E3A45" w:rsidRDefault="001835F8" w:rsidP="001835F8">
            <w:pPr>
              <w:widowControl w:val="0"/>
              <w:adjustRightInd w:val="0"/>
              <w:ind w:right="851"/>
              <w:jc w:val="right"/>
              <w:textAlignment w:val="baseline"/>
              <w:rPr>
                <w:bCs/>
                <w:sz w:val="20"/>
                <w:szCs w:val="20"/>
                <w:lang w:val="es-ES"/>
              </w:rPr>
            </w:pPr>
            <w:r w:rsidRPr="000E3A45">
              <w:rPr>
                <w:bCs/>
                <w:sz w:val="20"/>
                <w:szCs w:val="20"/>
                <w:lang w:val="es-ES"/>
              </w:rPr>
              <w:t>4.77</w:t>
            </w:r>
          </w:p>
        </w:tc>
      </w:tr>
      <w:tr w:rsidR="001835F8" w:rsidRPr="000E3A45" w14:paraId="1F10696C" w14:textId="77777777" w:rsidTr="000F3535">
        <w:trPr>
          <w:jc w:val="center"/>
        </w:trPr>
        <w:tc>
          <w:tcPr>
            <w:tcW w:w="1227" w:type="dxa"/>
            <w:tcBorders>
              <w:top w:val="nil"/>
              <w:bottom w:val="single" w:sz="4" w:space="0" w:color="auto"/>
            </w:tcBorders>
            <w:vAlign w:val="center"/>
          </w:tcPr>
          <w:p w14:paraId="0969F349" w14:textId="3B299D81" w:rsidR="001835F8" w:rsidRPr="000E3A45" w:rsidRDefault="001835F8" w:rsidP="00F4518C">
            <w:pPr>
              <w:widowControl w:val="0"/>
              <w:adjustRightInd w:val="0"/>
              <w:ind w:right="-159"/>
              <w:jc w:val="both"/>
              <w:textAlignment w:val="baseline"/>
              <w:rPr>
                <w:bCs/>
                <w:sz w:val="20"/>
                <w:szCs w:val="20"/>
                <w:lang w:val="es-ES"/>
              </w:rPr>
            </w:pPr>
            <w:r w:rsidRPr="000E3A45">
              <w:rPr>
                <w:bCs/>
                <w:sz w:val="20"/>
                <w:szCs w:val="20"/>
                <w:lang w:val="es-ES"/>
              </w:rPr>
              <w:t>Diciembre</w:t>
            </w:r>
          </w:p>
        </w:tc>
        <w:tc>
          <w:tcPr>
            <w:tcW w:w="2348" w:type="dxa"/>
            <w:tcBorders>
              <w:top w:val="nil"/>
              <w:bottom w:val="single" w:sz="4" w:space="0" w:color="auto"/>
            </w:tcBorders>
            <w:vAlign w:val="center"/>
          </w:tcPr>
          <w:p w14:paraId="40A6FC4E" w14:textId="1F50AEE2" w:rsidR="001835F8" w:rsidRPr="000E3A45" w:rsidRDefault="003A7692" w:rsidP="007B27C0">
            <w:pPr>
              <w:widowControl w:val="0"/>
              <w:adjustRightInd w:val="0"/>
              <w:jc w:val="center"/>
              <w:textAlignment w:val="baseline"/>
              <w:rPr>
                <w:bCs/>
                <w:sz w:val="20"/>
                <w:szCs w:val="20"/>
                <w:lang w:val="es-ES"/>
              </w:rPr>
            </w:pPr>
            <w:r w:rsidRPr="000E3A45">
              <w:rPr>
                <w:bCs/>
                <w:sz w:val="20"/>
                <w:szCs w:val="20"/>
                <w:lang w:val="es-ES"/>
              </w:rPr>
              <w:t>14.5198</w:t>
            </w:r>
          </w:p>
        </w:tc>
        <w:tc>
          <w:tcPr>
            <w:tcW w:w="2238" w:type="dxa"/>
            <w:tcBorders>
              <w:top w:val="nil"/>
              <w:bottom w:val="single" w:sz="4" w:space="0" w:color="auto"/>
            </w:tcBorders>
            <w:vAlign w:val="center"/>
          </w:tcPr>
          <w:p w14:paraId="612A0C6F" w14:textId="7551D237" w:rsidR="001835F8" w:rsidRPr="000E3A45" w:rsidRDefault="003A7692" w:rsidP="007B27C0">
            <w:pPr>
              <w:widowControl w:val="0"/>
              <w:adjustRightInd w:val="0"/>
              <w:ind w:right="851"/>
              <w:jc w:val="right"/>
              <w:textAlignment w:val="baseline"/>
              <w:rPr>
                <w:bCs/>
                <w:sz w:val="20"/>
                <w:szCs w:val="20"/>
                <w:lang w:val="es-ES"/>
              </w:rPr>
            </w:pPr>
            <w:r w:rsidRPr="000E3A45">
              <w:rPr>
                <w:bCs/>
                <w:sz w:val="20"/>
                <w:szCs w:val="20"/>
                <w:lang w:val="es-ES"/>
              </w:rPr>
              <w:t>6.54</w:t>
            </w:r>
          </w:p>
        </w:tc>
        <w:tc>
          <w:tcPr>
            <w:tcW w:w="2238" w:type="dxa"/>
            <w:tcBorders>
              <w:top w:val="nil"/>
              <w:bottom w:val="single" w:sz="4" w:space="0" w:color="auto"/>
            </w:tcBorders>
            <w:vAlign w:val="center"/>
          </w:tcPr>
          <w:p w14:paraId="252BDED5" w14:textId="5EFA7812" w:rsidR="001835F8" w:rsidRPr="000E3A45" w:rsidRDefault="003A7692" w:rsidP="007B27C0">
            <w:pPr>
              <w:widowControl w:val="0"/>
              <w:adjustRightInd w:val="0"/>
              <w:ind w:right="851"/>
              <w:jc w:val="right"/>
              <w:textAlignment w:val="baseline"/>
              <w:rPr>
                <w:bCs/>
                <w:sz w:val="20"/>
                <w:szCs w:val="20"/>
                <w:lang w:val="es-ES"/>
              </w:rPr>
            </w:pPr>
            <w:r w:rsidRPr="000E3A45">
              <w:rPr>
                <w:bCs/>
                <w:sz w:val="20"/>
                <w:szCs w:val="20"/>
                <w:lang w:val="es-ES"/>
              </w:rPr>
              <w:t>11.62</w:t>
            </w:r>
          </w:p>
        </w:tc>
      </w:tr>
      <w:tr w:rsidR="001835F8" w:rsidRPr="000E3A45" w14:paraId="1CC66EEA" w14:textId="77777777" w:rsidTr="000F3535">
        <w:trPr>
          <w:jc w:val="center"/>
        </w:trPr>
        <w:tc>
          <w:tcPr>
            <w:tcW w:w="8051" w:type="dxa"/>
            <w:gridSpan w:val="4"/>
            <w:tcBorders>
              <w:bottom w:val="single" w:sz="4" w:space="0" w:color="auto"/>
            </w:tcBorders>
            <w:vAlign w:val="center"/>
          </w:tcPr>
          <w:p w14:paraId="1AE9F771" w14:textId="586F1021" w:rsidR="001835F8" w:rsidRPr="008E01FF" w:rsidRDefault="001835F8" w:rsidP="001835F8">
            <w:pPr>
              <w:widowControl w:val="0"/>
              <w:adjustRightInd w:val="0"/>
              <w:ind w:right="851"/>
              <w:jc w:val="center"/>
              <w:textAlignment w:val="baseline"/>
              <w:rPr>
                <w:b/>
                <w:bCs/>
                <w:sz w:val="20"/>
                <w:szCs w:val="20"/>
                <w:lang w:val="es-ES"/>
              </w:rPr>
            </w:pPr>
            <w:r w:rsidRPr="008E01FF">
              <w:rPr>
                <w:b/>
                <w:bCs/>
                <w:sz w:val="20"/>
                <w:szCs w:val="20"/>
                <w:lang w:val="es-ES"/>
              </w:rPr>
              <w:t>2015</w:t>
            </w:r>
          </w:p>
        </w:tc>
      </w:tr>
      <w:tr w:rsidR="001835F8" w:rsidRPr="000E3A45" w14:paraId="34D2FE74" w14:textId="77777777" w:rsidTr="000C7043">
        <w:trPr>
          <w:jc w:val="center"/>
        </w:trPr>
        <w:tc>
          <w:tcPr>
            <w:tcW w:w="1227" w:type="dxa"/>
            <w:tcBorders>
              <w:bottom w:val="nil"/>
            </w:tcBorders>
            <w:vAlign w:val="center"/>
          </w:tcPr>
          <w:p w14:paraId="651F1348" w14:textId="4235EA97" w:rsidR="001835F8" w:rsidRPr="000E3A45" w:rsidRDefault="001835F8" w:rsidP="005B763B">
            <w:pPr>
              <w:widowControl w:val="0"/>
              <w:adjustRightInd w:val="0"/>
              <w:ind w:right="-159"/>
              <w:jc w:val="both"/>
              <w:textAlignment w:val="baseline"/>
              <w:rPr>
                <w:bCs/>
                <w:sz w:val="20"/>
                <w:szCs w:val="20"/>
                <w:lang w:val="es-ES"/>
              </w:rPr>
            </w:pPr>
            <w:r w:rsidRPr="000E3A45">
              <w:rPr>
                <w:bCs/>
                <w:sz w:val="20"/>
                <w:szCs w:val="20"/>
                <w:lang w:val="es-ES"/>
              </w:rPr>
              <w:t>Enero</w:t>
            </w:r>
          </w:p>
        </w:tc>
        <w:tc>
          <w:tcPr>
            <w:tcW w:w="2348" w:type="dxa"/>
            <w:tcBorders>
              <w:bottom w:val="nil"/>
            </w:tcBorders>
            <w:vAlign w:val="center"/>
          </w:tcPr>
          <w:p w14:paraId="7433A418" w14:textId="6998FCDA" w:rsidR="001835F8" w:rsidRPr="000E3A45" w:rsidRDefault="000431E5" w:rsidP="005B763B">
            <w:pPr>
              <w:widowControl w:val="0"/>
              <w:adjustRightInd w:val="0"/>
              <w:jc w:val="center"/>
              <w:textAlignment w:val="baseline"/>
              <w:rPr>
                <w:bCs/>
                <w:sz w:val="20"/>
                <w:szCs w:val="20"/>
                <w:lang w:val="es-ES"/>
              </w:rPr>
            </w:pPr>
            <w:r>
              <w:rPr>
                <w:bCs/>
                <w:sz w:val="20"/>
                <w:szCs w:val="20"/>
                <w:lang w:val="es-ES"/>
              </w:rPr>
              <w:t>14.69</w:t>
            </w:r>
            <w:r w:rsidR="005B763B">
              <w:rPr>
                <w:bCs/>
                <w:sz w:val="20"/>
                <w:szCs w:val="20"/>
                <w:lang w:val="es-ES"/>
              </w:rPr>
              <w:t>64</w:t>
            </w:r>
          </w:p>
        </w:tc>
        <w:tc>
          <w:tcPr>
            <w:tcW w:w="2238" w:type="dxa"/>
            <w:tcBorders>
              <w:bottom w:val="nil"/>
            </w:tcBorders>
            <w:vAlign w:val="center"/>
          </w:tcPr>
          <w:p w14:paraId="7C2B1EFB" w14:textId="624D6917" w:rsidR="001835F8" w:rsidRPr="000E3A45" w:rsidRDefault="000431E5" w:rsidP="005B763B">
            <w:pPr>
              <w:widowControl w:val="0"/>
              <w:adjustRightInd w:val="0"/>
              <w:ind w:right="851"/>
              <w:jc w:val="right"/>
              <w:textAlignment w:val="baseline"/>
              <w:rPr>
                <w:bCs/>
                <w:sz w:val="20"/>
                <w:szCs w:val="20"/>
                <w:lang w:val="es-ES"/>
              </w:rPr>
            </w:pPr>
            <w:r>
              <w:rPr>
                <w:bCs/>
                <w:sz w:val="20"/>
                <w:szCs w:val="20"/>
                <w:lang w:val="es-ES"/>
              </w:rPr>
              <w:t>1.</w:t>
            </w:r>
            <w:r w:rsidR="005B763B">
              <w:rPr>
                <w:bCs/>
                <w:sz w:val="20"/>
                <w:szCs w:val="20"/>
                <w:lang w:val="es-ES"/>
              </w:rPr>
              <w:t>22</w:t>
            </w:r>
          </w:p>
        </w:tc>
        <w:tc>
          <w:tcPr>
            <w:tcW w:w="2238" w:type="dxa"/>
            <w:tcBorders>
              <w:bottom w:val="nil"/>
            </w:tcBorders>
            <w:vAlign w:val="center"/>
          </w:tcPr>
          <w:p w14:paraId="1D50838A" w14:textId="7626349D" w:rsidR="001835F8" w:rsidRPr="000E3A45" w:rsidRDefault="000431E5" w:rsidP="005B763B">
            <w:pPr>
              <w:widowControl w:val="0"/>
              <w:adjustRightInd w:val="0"/>
              <w:ind w:right="851"/>
              <w:jc w:val="right"/>
              <w:textAlignment w:val="baseline"/>
              <w:rPr>
                <w:bCs/>
                <w:sz w:val="20"/>
                <w:szCs w:val="20"/>
                <w:lang w:val="es-ES"/>
              </w:rPr>
            </w:pPr>
            <w:r>
              <w:rPr>
                <w:bCs/>
                <w:sz w:val="20"/>
                <w:szCs w:val="20"/>
                <w:lang w:val="es-ES"/>
              </w:rPr>
              <w:t>1.</w:t>
            </w:r>
            <w:r w:rsidR="005B763B">
              <w:rPr>
                <w:bCs/>
                <w:sz w:val="20"/>
                <w:szCs w:val="20"/>
                <w:lang w:val="es-ES"/>
              </w:rPr>
              <w:t>22</w:t>
            </w:r>
          </w:p>
        </w:tc>
      </w:tr>
      <w:tr w:rsidR="002E7AD3" w:rsidRPr="000E3A45" w14:paraId="6F81E53A" w14:textId="77777777" w:rsidTr="000C7043">
        <w:trPr>
          <w:jc w:val="center"/>
        </w:trPr>
        <w:tc>
          <w:tcPr>
            <w:tcW w:w="1227" w:type="dxa"/>
            <w:tcBorders>
              <w:top w:val="nil"/>
              <w:bottom w:val="nil"/>
            </w:tcBorders>
            <w:vAlign w:val="center"/>
          </w:tcPr>
          <w:p w14:paraId="002B5F29" w14:textId="5A04F2E3" w:rsidR="002E7AD3" w:rsidRPr="000E3A45" w:rsidRDefault="002E7AD3" w:rsidP="008D2FBE">
            <w:pPr>
              <w:widowControl w:val="0"/>
              <w:adjustRightInd w:val="0"/>
              <w:ind w:right="-159"/>
              <w:jc w:val="both"/>
              <w:textAlignment w:val="baseline"/>
              <w:rPr>
                <w:bCs/>
                <w:sz w:val="20"/>
                <w:szCs w:val="20"/>
                <w:lang w:val="es-ES"/>
              </w:rPr>
            </w:pPr>
            <w:r>
              <w:rPr>
                <w:bCs/>
                <w:sz w:val="20"/>
                <w:szCs w:val="20"/>
                <w:lang w:val="es-ES"/>
              </w:rPr>
              <w:t>Febrero</w:t>
            </w:r>
          </w:p>
        </w:tc>
        <w:tc>
          <w:tcPr>
            <w:tcW w:w="2348" w:type="dxa"/>
            <w:tcBorders>
              <w:top w:val="nil"/>
              <w:bottom w:val="nil"/>
            </w:tcBorders>
            <w:vAlign w:val="center"/>
          </w:tcPr>
          <w:p w14:paraId="1AEE560E" w14:textId="3B779701" w:rsidR="002E7AD3" w:rsidRDefault="0075157C" w:rsidP="007B27C0">
            <w:pPr>
              <w:widowControl w:val="0"/>
              <w:adjustRightInd w:val="0"/>
              <w:jc w:val="center"/>
              <w:textAlignment w:val="baseline"/>
              <w:rPr>
                <w:bCs/>
                <w:sz w:val="20"/>
                <w:szCs w:val="20"/>
                <w:lang w:val="es-ES"/>
              </w:rPr>
            </w:pPr>
            <w:r>
              <w:rPr>
                <w:bCs/>
                <w:sz w:val="20"/>
                <w:szCs w:val="20"/>
                <w:lang w:val="es-ES"/>
              </w:rPr>
              <w:t>14.9184</w:t>
            </w:r>
          </w:p>
        </w:tc>
        <w:tc>
          <w:tcPr>
            <w:tcW w:w="2238" w:type="dxa"/>
            <w:tcBorders>
              <w:top w:val="nil"/>
              <w:bottom w:val="nil"/>
            </w:tcBorders>
            <w:vAlign w:val="center"/>
          </w:tcPr>
          <w:p w14:paraId="4468065E" w14:textId="5BDFC6CE" w:rsidR="002E7AD3" w:rsidRDefault="0075157C" w:rsidP="0075157C">
            <w:pPr>
              <w:widowControl w:val="0"/>
              <w:adjustRightInd w:val="0"/>
              <w:ind w:right="851"/>
              <w:jc w:val="right"/>
              <w:textAlignment w:val="baseline"/>
              <w:rPr>
                <w:bCs/>
                <w:sz w:val="20"/>
                <w:szCs w:val="20"/>
                <w:lang w:val="es-ES"/>
              </w:rPr>
            </w:pPr>
            <w:r>
              <w:rPr>
                <w:bCs/>
                <w:sz w:val="20"/>
                <w:szCs w:val="20"/>
                <w:lang w:val="es-ES"/>
              </w:rPr>
              <w:t>1.51</w:t>
            </w:r>
          </w:p>
        </w:tc>
        <w:tc>
          <w:tcPr>
            <w:tcW w:w="2238" w:type="dxa"/>
            <w:tcBorders>
              <w:top w:val="nil"/>
              <w:bottom w:val="nil"/>
            </w:tcBorders>
            <w:vAlign w:val="center"/>
          </w:tcPr>
          <w:p w14:paraId="65C91D9C" w14:textId="32DAAF38" w:rsidR="002E7AD3" w:rsidRDefault="0075157C" w:rsidP="007B27C0">
            <w:pPr>
              <w:widowControl w:val="0"/>
              <w:adjustRightInd w:val="0"/>
              <w:ind w:right="851"/>
              <w:jc w:val="right"/>
              <w:textAlignment w:val="baseline"/>
              <w:rPr>
                <w:bCs/>
                <w:sz w:val="20"/>
                <w:szCs w:val="20"/>
                <w:lang w:val="es-ES"/>
              </w:rPr>
            </w:pPr>
            <w:r>
              <w:rPr>
                <w:bCs/>
                <w:sz w:val="20"/>
                <w:szCs w:val="20"/>
                <w:lang w:val="es-ES"/>
              </w:rPr>
              <w:t>2.75</w:t>
            </w:r>
          </w:p>
        </w:tc>
      </w:tr>
      <w:tr w:rsidR="00DF5D2D" w:rsidRPr="000E3A45" w14:paraId="43A9C1D8" w14:textId="77777777" w:rsidTr="000A364F">
        <w:trPr>
          <w:jc w:val="center"/>
        </w:trPr>
        <w:tc>
          <w:tcPr>
            <w:tcW w:w="1227" w:type="dxa"/>
            <w:tcBorders>
              <w:top w:val="nil"/>
              <w:bottom w:val="nil"/>
            </w:tcBorders>
            <w:vAlign w:val="center"/>
          </w:tcPr>
          <w:p w14:paraId="25D7A442" w14:textId="6C13F714" w:rsidR="00DF5D2D" w:rsidRDefault="008D2FBE" w:rsidP="00A150C3">
            <w:pPr>
              <w:widowControl w:val="0"/>
              <w:adjustRightInd w:val="0"/>
              <w:ind w:right="-159"/>
              <w:jc w:val="both"/>
              <w:textAlignment w:val="baseline"/>
              <w:rPr>
                <w:bCs/>
                <w:sz w:val="20"/>
                <w:szCs w:val="20"/>
                <w:lang w:val="es-ES"/>
              </w:rPr>
            </w:pPr>
            <w:r>
              <w:rPr>
                <w:bCs/>
                <w:sz w:val="20"/>
                <w:szCs w:val="20"/>
                <w:lang w:val="es-ES"/>
              </w:rPr>
              <w:t>Marzo</w:t>
            </w:r>
          </w:p>
        </w:tc>
        <w:tc>
          <w:tcPr>
            <w:tcW w:w="2348" w:type="dxa"/>
            <w:tcBorders>
              <w:top w:val="nil"/>
              <w:bottom w:val="nil"/>
            </w:tcBorders>
            <w:vAlign w:val="center"/>
          </w:tcPr>
          <w:p w14:paraId="5CC5303F" w14:textId="321268E4" w:rsidR="00DF5D2D" w:rsidRDefault="0075157C" w:rsidP="00A150C3">
            <w:pPr>
              <w:widowControl w:val="0"/>
              <w:adjustRightInd w:val="0"/>
              <w:jc w:val="center"/>
              <w:textAlignment w:val="baseline"/>
              <w:rPr>
                <w:bCs/>
                <w:sz w:val="20"/>
                <w:szCs w:val="20"/>
                <w:lang w:val="es-ES"/>
              </w:rPr>
            </w:pPr>
            <w:r>
              <w:rPr>
                <w:bCs/>
                <w:sz w:val="20"/>
                <w:szCs w:val="20"/>
                <w:lang w:val="es-ES"/>
              </w:rPr>
              <w:t>15.</w:t>
            </w:r>
            <w:r w:rsidR="00A150C3">
              <w:rPr>
                <w:bCs/>
                <w:sz w:val="20"/>
                <w:szCs w:val="20"/>
                <w:lang w:val="es-ES"/>
              </w:rPr>
              <w:t>2</w:t>
            </w:r>
            <w:r>
              <w:rPr>
                <w:bCs/>
                <w:sz w:val="20"/>
                <w:szCs w:val="20"/>
                <w:lang w:val="es-ES"/>
              </w:rPr>
              <w:t>3</w:t>
            </w:r>
            <w:r w:rsidR="00A150C3">
              <w:rPr>
                <w:bCs/>
                <w:sz w:val="20"/>
                <w:szCs w:val="20"/>
                <w:lang w:val="es-ES"/>
              </w:rPr>
              <w:t>23</w:t>
            </w:r>
          </w:p>
        </w:tc>
        <w:tc>
          <w:tcPr>
            <w:tcW w:w="2238" w:type="dxa"/>
            <w:tcBorders>
              <w:top w:val="nil"/>
              <w:bottom w:val="nil"/>
            </w:tcBorders>
            <w:vAlign w:val="center"/>
          </w:tcPr>
          <w:p w14:paraId="13D8CA8A" w14:textId="1C53BDC0" w:rsidR="00DF5D2D" w:rsidRDefault="0075157C" w:rsidP="00A150C3">
            <w:pPr>
              <w:widowControl w:val="0"/>
              <w:adjustRightInd w:val="0"/>
              <w:ind w:right="851"/>
              <w:jc w:val="right"/>
              <w:textAlignment w:val="baseline"/>
              <w:rPr>
                <w:bCs/>
                <w:sz w:val="20"/>
                <w:szCs w:val="20"/>
                <w:lang w:val="es-ES"/>
              </w:rPr>
            </w:pPr>
            <w:r>
              <w:rPr>
                <w:bCs/>
                <w:sz w:val="20"/>
                <w:szCs w:val="20"/>
                <w:lang w:val="es-ES"/>
              </w:rPr>
              <w:t>2.</w:t>
            </w:r>
            <w:r w:rsidR="00A150C3">
              <w:rPr>
                <w:bCs/>
                <w:sz w:val="20"/>
                <w:szCs w:val="20"/>
                <w:lang w:val="es-ES"/>
              </w:rPr>
              <w:t>10</w:t>
            </w:r>
          </w:p>
        </w:tc>
        <w:tc>
          <w:tcPr>
            <w:tcW w:w="2238" w:type="dxa"/>
            <w:tcBorders>
              <w:top w:val="nil"/>
              <w:bottom w:val="nil"/>
            </w:tcBorders>
            <w:vAlign w:val="center"/>
          </w:tcPr>
          <w:p w14:paraId="7EDEC7F3" w14:textId="681F6715" w:rsidR="00DF5D2D" w:rsidRDefault="00A150C3" w:rsidP="00A150C3">
            <w:pPr>
              <w:widowControl w:val="0"/>
              <w:adjustRightInd w:val="0"/>
              <w:ind w:right="851"/>
              <w:jc w:val="right"/>
              <w:textAlignment w:val="baseline"/>
              <w:rPr>
                <w:bCs/>
                <w:sz w:val="20"/>
                <w:szCs w:val="20"/>
                <w:lang w:val="es-ES"/>
              </w:rPr>
            </w:pPr>
            <w:r>
              <w:rPr>
                <w:bCs/>
                <w:sz w:val="20"/>
                <w:szCs w:val="20"/>
                <w:lang w:val="es-ES"/>
              </w:rPr>
              <w:t>4.91</w:t>
            </w:r>
          </w:p>
        </w:tc>
      </w:tr>
      <w:tr w:rsidR="00A150C3" w:rsidRPr="000E3A45" w14:paraId="3F441CBD" w14:textId="77777777" w:rsidTr="000C7043">
        <w:trPr>
          <w:jc w:val="center"/>
        </w:trPr>
        <w:tc>
          <w:tcPr>
            <w:tcW w:w="1227" w:type="dxa"/>
            <w:tcBorders>
              <w:top w:val="nil"/>
              <w:bottom w:val="single" w:sz="4" w:space="0" w:color="auto"/>
            </w:tcBorders>
            <w:vAlign w:val="center"/>
          </w:tcPr>
          <w:p w14:paraId="5F2C1F77" w14:textId="330F4698" w:rsidR="00A150C3" w:rsidRDefault="00A150C3" w:rsidP="008D2FBE">
            <w:pPr>
              <w:widowControl w:val="0"/>
              <w:adjustRightInd w:val="0"/>
              <w:ind w:right="-159"/>
              <w:jc w:val="both"/>
              <w:textAlignment w:val="baseline"/>
              <w:rPr>
                <w:bCs/>
                <w:sz w:val="20"/>
                <w:szCs w:val="20"/>
                <w:lang w:val="es-ES"/>
              </w:rPr>
            </w:pPr>
            <w:r>
              <w:rPr>
                <w:bCs/>
                <w:sz w:val="20"/>
                <w:szCs w:val="20"/>
                <w:lang w:val="es-ES"/>
              </w:rPr>
              <w:t>Abril*</w:t>
            </w:r>
          </w:p>
        </w:tc>
        <w:tc>
          <w:tcPr>
            <w:tcW w:w="2348" w:type="dxa"/>
            <w:tcBorders>
              <w:top w:val="nil"/>
              <w:bottom w:val="single" w:sz="4" w:space="0" w:color="auto"/>
            </w:tcBorders>
            <w:vAlign w:val="center"/>
          </w:tcPr>
          <w:p w14:paraId="3ABFFA76" w14:textId="074EB4EB" w:rsidR="00A150C3" w:rsidRDefault="00A150C3" w:rsidP="007B27C0">
            <w:pPr>
              <w:widowControl w:val="0"/>
              <w:adjustRightInd w:val="0"/>
              <w:jc w:val="center"/>
              <w:textAlignment w:val="baseline"/>
              <w:rPr>
                <w:bCs/>
                <w:sz w:val="20"/>
                <w:szCs w:val="20"/>
                <w:lang w:val="es-ES"/>
              </w:rPr>
            </w:pPr>
            <w:r>
              <w:rPr>
                <w:bCs/>
                <w:sz w:val="20"/>
                <w:szCs w:val="20"/>
                <w:lang w:val="es-ES"/>
              </w:rPr>
              <w:t>15.1867</w:t>
            </w:r>
          </w:p>
        </w:tc>
        <w:tc>
          <w:tcPr>
            <w:tcW w:w="2238" w:type="dxa"/>
            <w:tcBorders>
              <w:top w:val="nil"/>
              <w:bottom w:val="single" w:sz="4" w:space="0" w:color="auto"/>
            </w:tcBorders>
            <w:vAlign w:val="center"/>
          </w:tcPr>
          <w:p w14:paraId="71F85FB9" w14:textId="53A340A5" w:rsidR="00A150C3" w:rsidRDefault="00A150C3" w:rsidP="007B27C0">
            <w:pPr>
              <w:widowControl w:val="0"/>
              <w:adjustRightInd w:val="0"/>
              <w:ind w:right="851"/>
              <w:jc w:val="right"/>
              <w:textAlignment w:val="baseline"/>
              <w:rPr>
                <w:bCs/>
                <w:sz w:val="20"/>
                <w:szCs w:val="20"/>
                <w:lang w:val="es-ES"/>
              </w:rPr>
            </w:pPr>
            <w:r>
              <w:rPr>
                <w:bCs/>
                <w:sz w:val="20"/>
                <w:szCs w:val="20"/>
                <w:lang w:val="es-ES"/>
              </w:rPr>
              <w:t>-0.30</w:t>
            </w:r>
          </w:p>
        </w:tc>
        <w:tc>
          <w:tcPr>
            <w:tcW w:w="2238" w:type="dxa"/>
            <w:tcBorders>
              <w:top w:val="nil"/>
              <w:bottom w:val="single" w:sz="4" w:space="0" w:color="auto"/>
            </w:tcBorders>
            <w:vAlign w:val="center"/>
          </w:tcPr>
          <w:p w14:paraId="607D3AC2" w14:textId="17C26DD8" w:rsidR="00A150C3" w:rsidRDefault="00A150C3" w:rsidP="007B27C0">
            <w:pPr>
              <w:widowControl w:val="0"/>
              <w:adjustRightInd w:val="0"/>
              <w:ind w:right="851"/>
              <w:jc w:val="right"/>
              <w:textAlignment w:val="baseline"/>
              <w:rPr>
                <w:bCs/>
                <w:sz w:val="20"/>
                <w:szCs w:val="20"/>
                <w:lang w:val="es-ES"/>
              </w:rPr>
            </w:pPr>
            <w:r>
              <w:rPr>
                <w:bCs/>
                <w:sz w:val="20"/>
                <w:szCs w:val="20"/>
                <w:lang w:val="es-ES"/>
              </w:rPr>
              <w:t>4.59</w:t>
            </w:r>
          </w:p>
        </w:tc>
      </w:tr>
      <w:tr w:rsidR="006909C8" w:rsidRPr="000E3A45" w14:paraId="081681C0" w14:textId="77777777" w:rsidTr="00772451">
        <w:trPr>
          <w:jc w:val="center"/>
        </w:trPr>
        <w:tc>
          <w:tcPr>
            <w:tcW w:w="8051" w:type="dxa"/>
            <w:gridSpan w:val="4"/>
            <w:tcBorders>
              <w:left w:val="nil"/>
              <w:bottom w:val="nil"/>
              <w:right w:val="nil"/>
            </w:tcBorders>
            <w:vAlign w:val="center"/>
          </w:tcPr>
          <w:p w14:paraId="5A895446" w14:textId="77777777" w:rsidR="006909C8" w:rsidRPr="000E3A45" w:rsidRDefault="006909C8" w:rsidP="00EC36A9">
            <w:pPr>
              <w:widowControl w:val="0"/>
              <w:adjustRightInd w:val="0"/>
              <w:ind w:left="567" w:hanging="567"/>
              <w:jc w:val="both"/>
              <w:textAlignment w:val="baseline"/>
              <w:rPr>
                <w:bCs/>
                <w:sz w:val="20"/>
                <w:szCs w:val="20"/>
              </w:rPr>
            </w:pPr>
            <w:r w:rsidRPr="000E3A45">
              <w:rPr>
                <w:bCs/>
                <w:sz w:val="20"/>
                <w:szCs w:val="20"/>
              </w:rPr>
              <w:t>Nota: Las variaciones con signo negativo representan apreciación y con signo positivo depreciación.</w:t>
            </w:r>
          </w:p>
          <w:p w14:paraId="6172EF59" w14:textId="388FCAC4" w:rsidR="006909C8" w:rsidRPr="000E3A45" w:rsidRDefault="006909C8" w:rsidP="00161606">
            <w:pPr>
              <w:widowControl w:val="0"/>
              <w:adjustRightInd w:val="0"/>
              <w:jc w:val="both"/>
              <w:textAlignment w:val="baseline"/>
              <w:rPr>
                <w:bCs/>
                <w:sz w:val="20"/>
                <w:szCs w:val="20"/>
              </w:rPr>
            </w:pPr>
            <w:r w:rsidRPr="000E3A45">
              <w:rPr>
                <w:bCs/>
                <w:sz w:val="20"/>
                <w:szCs w:val="20"/>
              </w:rPr>
              <w:t>* Promedio del 1</w:t>
            </w:r>
            <w:r w:rsidR="007729DD" w:rsidRPr="000E3A45">
              <w:rPr>
                <w:bCs/>
                <w:sz w:val="20"/>
                <w:szCs w:val="20"/>
              </w:rPr>
              <w:t xml:space="preserve">º </w:t>
            </w:r>
            <w:r w:rsidRPr="000E3A45">
              <w:rPr>
                <w:bCs/>
                <w:sz w:val="20"/>
                <w:szCs w:val="20"/>
              </w:rPr>
              <w:t xml:space="preserve">al </w:t>
            </w:r>
            <w:r w:rsidR="00A150C3">
              <w:rPr>
                <w:bCs/>
                <w:sz w:val="20"/>
                <w:szCs w:val="20"/>
              </w:rPr>
              <w:t>2</w:t>
            </w:r>
            <w:r w:rsidR="00F4518C" w:rsidRPr="000E3A45">
              <w:rPr>
                <w:bCs/>
                <w:sz w:val="20"/>
                <w:szCs w:val="20"/>
              </w:rPr>
              <w:t>1</w:t>
            </w:r>
            <w:r w:rsidRPr="000E3A45">
              <w:rPr>
                <w:bCs/>
                <w:sz w:val="20"/>
                <w:szCs w:val="20"/>
              </w:rPr>
              <w:t>.</w:t>
            </w:r>
          </w:p>
          <w:p w14:paraId="11551515" w14:textId="77777777" w:rsidR="006909C8" w:rsidRPr="000E3A45" w:rsidRDefault="006909C8" w:rsidP="00161606">
            <w:pPr>
              <w:widowControl w:val="0"/>
              <w:adjustRightInd w:val="0"/>
              <w:jc w:val="both"/>
              <w:textAlignment w:val="baseline"/>
              <w:rPr>
                <w:bCs/>
                <w:sz w:val="20"/>
                <w:szCs w:val="20"/>
                <w:lang w:val="es-ES"/>
              </w:rPr>
            </w:pPr>
            <w:r w:rsidRPr="000E3A45">
              <w:rPr>
                <w:bCs/>
                <w:sz w:val="20"/>
                <w:szCs w:val="20"/>
              </w:rPr>
              <w:t>FUENTE: Banco de México.</w:t>
            </w:r>
          </w:p>
        </w:tc>
      </w:tr>
    </w:tbl>
    <w:p w14:paraId="3E486C02" w14:textId="77777777" w:rsidR="00226516" w:rsidRPr="000E3A45" w:rsidRDefault="00226516" w:rsidP="00597283">
      <w:pPr>
        <w:ind w:right="-159"/>
        <w:jc w:val="both"/>
        <w:rPr>
          <w:b/>
          <w:sz w:val="20"/>
          <w:szCs w:val="20"/>
          <w:lang w:val="es-ES"/>
        </w:rPr>
      </w:pPr>
    </w:p>
    <w:p w14:paraId="7B646D5A" w14:textId="77777777" w:rsidR="00226516" w:rsidRPr="000E3A45" w:rsidRDefault="00226516" w:rsidP="00597283">
      <w:pPr>
        <w:ind w:right="-159"/>
        <w:jc w:val="both"/>
        <w:rPr>
          <w:b/>
          <w:sz w:val="20"/>
          <w:szCs w:val="20"/>
          <w:lang w:val="es-ES"/>
        </w:rPr>
      </w:pPr>
    </w:p>
    <w:p w14:paraId="627C624A" w14:textId="77777777" w:rsidR="008B0DC3" w:rsidRPr="000E3A45" w:rsidRDefault="0097586A" w:rsidP="00597283">
      <w:pPr>
        <w:ind w:right="-159"/>
        <w:jc w:val="both"/>
        <w:rPr>
          <w:b/>
          <w:sz w:val="20"/>
          <w:szCs w:val="20"/>
          <w:lang w:val="es-ES"/>
        </w:rPr>
      </w:pPr>
      <w:r w:rsidRPr="000E3A45">
        <w:rPr>
          <w:b/>
          <w:sz w:val="20"/>
          <w:szCs w:val="20"/>
          <w:lang w:val="es-ES"/>
        </w:rPr>
        <w:t>Fuente de información:</w:t>
      </w:r>
    </w:p>
    <w:p w14:paraId="58D38BEB" w14:textId="77777777" w:rsidR="007137CC" w:rsidRPr="00E146C7" w:rsidRDefault="0045651A" w:rsidP="00E146C7">
      <w:pPr>
        <w:spacing w:after="720"/>
        <w:ind w:right="-159"/>
        <w:jc w:val="both"/>
        <w:rPr>
          <w:color w:val="0000FF"/>
          <w:sz w:val="20"/>
          <w:szCs w:val="20"/>
        </w:rPr>
      </w:pPr>
      <w:hyperlink r:id="rId475" w:history="1">
        <w:r w:rsidR="0095569F" w:rsidRPr="00E146C7">
          <w:rPr>
            <w:rStyle w:val="Hipervnculo"/>
            <w:sz w:val="20"/>
            <w:szCs w:val="20"/>
          </w:rPr>
          <w:t>http://www.banxico.org.mx/SieInternet/consultarDirectorioInternetAction.do?accion=consultarCuadroAnalitico&amp;idCuadro=CA91&amp;sector=6&amp;locale=es</w:t>
        </w:r>
      </w:hyperlink>
    </w:p>
    <w:bookmarkEnd w:id="22"/>
    <w:bookmarkEnd w:id="23"/>
    <w:p w14:paraId="645F6136" w14:textId="77777777" w:rsidR="00627BC6" w:rsidRPr="000E3A45" w:rsidRDefault="00627BC6" w:rsidP="00627BC6">
      <w:pPr>
        <w:spacing w:after="360" w:line="360" w:lineRule="auto"/>
        <w:ind w:right="-159"/>
        <w:jc w:val="both"/>
        <w:rPr>
          <w:b/>
          <w:sz w:val="26"/>
          <w:szCs w:val="26"/>
          <w:lang w:val="es-ES"/>
        </w:rPr>
      </w:pPr>
      <w:r w:rsidRPr="000E3A45">
        <w:rPr>
          <w:b/>
          <w:sz w:val="26"/>
          <w:szCs w:val="26"/>
          <w:lang w:val="es-ES"/>
        </w:rPr>
        <w:t>Mercado de futuros del peso (CME)</w:t>
      </w:r>
    </w:p>
    <w:p w14:paraId="3A215006" w14:textId="46C690F6" w:rsidR="00627BC6" w:rsidRPr="000E3A45" w:rsidRDefault="00627BC6" w:rsidP="00627BC6">
      <w:pPr>
        <w:spacing w:after="360" w:line="420" w:lineRule="exact"/>
        <w:ind w:right="-159"/>
        <w:jc w:val="both"/>
        <w:rPr>
          <w:sz w:val="26"/>
          <w:szCs w:val="26"/>
          <w:lang w:val="es-ES"/>
        </w:rPr>
      </w:pPr>
      <w:r w:rsidRPr="000E3A45">
        <w:rPr>
          <w:sz w:val="26"/>
          <w:szCs w:val="26"/>
          <w:lang w:val="es-ES"/>
        </w:rPr>
        <w:t xml:space="preserve">México inició operaciones en el mercado a futuros, en abril de 1995, en el Mercantil Exchange de Chicago (CME), a raíz de la devaluación del peso en diciembre de 1994, </w:t>
      </w:r>
      <w:r w:rsidRPr="000E3A45">
        <w:rPr>
          <w:sz w:val="26"/>
          <w:szCs w:val="26"/>
          <w:lang w:val="es-ES"/>
        </w:rPr>
        <w:lastRenderedPageBreak/>
        <w:t>por lo cual algunos agentes económicos adversos al riesgo y especuladores tendieron a protegerse de las fluctuaciones que se presentaban en el mercado cambiario de contado, acudiendo al mercado de futuro del peso, para así garantizar sus transacciones económicas.</w:t>
      </w:r>
    </w:p>
    <w:p w14:paraId="2B07D63D" w14:textId="77777777" w:rsidR="00627BC6" w:rsidRPr="000E3A45" w:rsidRDefault="00627BC6" w:rsidP="00627BC6">
      <w:pPr>
        <w:spacing w:after="360" w:line="420" w:lineRule="exact"/>
        <w:ind w:right="-159"/>
        <w:jc w:val="both"/>
        <w:rPr>
          <w:sz w:val="26"/>
          <w:szCs w:val="26"/>
        </w:rPr>
      </w:pPr>
      <w:r w:rsidRPr="000E3A45">
        <w:rPr>
          <w:sz w:val="26"/>
          <w:szCs w:val="26"/>
        </w:rPr>
        <w:t xml:space="preserve">En este sentido, en el CME se comercian los futuros de divisas y de diversos </w:t>
      </w:r>
      <w:r w:rsidRPr="000E3A45">
        <w:rPr>
          <w:i/>
          <w:sz w:val="26"/>
          <w:szCs w:val="26"/>
        </w:rPr>
        <w:t>commoditie</w:t>
      </w:r>
      <w:r w:rsidRPr="000E3A45">
        <w:rPr>
          <w:sz w:val="26"/>
          <w:szCs w:val="26"/>
        </w:rPr>
        <w:t>s. Un futuro es un derivado que se vende en un mercado estandarizado y que asegura al comprador y al vendedor que una transacción se realizará en una fecha específica, a un determinado precio y sobre una cantidad dada. En el CME se hacen futuros del peso mexicano, en donde cada contrato tiene un valor de 500 mil pesos y vencimientos en los meses de marzo, junio, septiembre y diciembre.</w:t>
      </w:r>
    </w:p>
    <w:p w14:paraId="66B2B6C1" w14:textId="1A35FE85" w:rsidR="00627BC6" w:rsidRDefault="00627BC6" w:rsidP="00627BC6">
      <w:pPr>
        <w:spacing w:after="360" w:line="420" w:lineRule="exact"/>
        <w:ind w:right="-159"/>
        <w:jc w:val="both"/>
        <w:rPr>
          <w:sz w:val="26"/>
          <w:szCs w:val="26"/>
        </w:rPr>
      </w:pPr>
      <w:r w:rsidRPr="000E3A45">
        <w:rPr>
          <w:sz w:val="26"/>
          <w:szCs w:val="26"/>
        </w:rPr>
        <w:t xml:space="preserve">En este contexto, al </w:t>
      </w:r>
      <w:r w:rsidR="00C60BE0">
        <w:rPr>
          <w:sz w:val="26"/>
          <w:szCs w:val="26"/>
        </w:rPr>
        <w:t>2</w:t>
      </w:r>
      <w:r w:rsidRPr="000E3A45">
        <w:rPr>
          <w:sz w:val="26"/>
          <w:szCs w:val="26"/>
        </w:rPr>
        <w:t xml:space="preserve">1 de </w:t>
      </w:r>
      <w:r w:rsidR="00770ED0">
        <w:rPr>
          <w:sz w:val="26"/>
          <w:szCs w:val="26"/>
        </w:rPr>
        <w:t>a</w:t>
      </w:r>
      <w:r w:rsidR="00C60BE0">
        <w:rPr>
          <w:sz w:val="26"/>
          <w:szCs w:val="26"/>
        </w:rPr>
        <w:t>b</w:t>
      </w:r>
      <w:r w:rsidR="00770ED0">
        <w:rPr>
          <w:sz w:val="26"/>
          <w:szCs w:val="26"/>
        </w:rPr>
        <w:t>r</w:t>
      </w:r>
      <w:r w:rsidR="00C60BE0">
        <w:rPr>
          <w:sz w:val="26"/>
          <w:szCs w:val="26"/>
        </w:rPr>
        <w:t>il</w:t>
      </w:r>
      <w:r w:rsidRPr="000E3A45">
        <w:rPr>
          <w:sz w:val="26"/>
          <w:szCs w:val="26"/>
        </w:rPr>
        <w:t xml:space="preserve"> de 201</w:t>
      </w:r>
      <w:r>
        <w:rPr>
          <w:sz w:val="26"/>
          <w:szCs w:val="26"/>
        </w:rPr>
        <w:t>5</w:t>
      </w:r>
      <w:r w:rsidRPr="000E3A45">
        <w:rPr>
          <w:sz w:val="26"/>
          <w:szCs w:val="26"/>
        </w:rPr>
        <w:t xml:space="preserve">, las cotizaciones en los contratos del peso en el CME para </w:t>
      </w:r>
      <w:r w:rsidR="00770ED0">
        <w:rPr>
          <w:sz w:val="26"/>
          <w:szCs w:val="26"/>
        </w:rPr>
        <w:t>junio</w:t>
      </w:r>
      <w:r w:rsidRPr="000E3A45">
        <w:rPr>
          <w:sz w:val="26"/>
          <w:szCs w:val="26"/>
        </w:rPr>
        <w:t xml:space="preserve"> de 201</w:t>
      </w:r>
      <w:r>
        <w:rPr>
          <w:sz w:val="26"/>
          <w:szCs w:val="26"/>
        </w:rPr>
        <w:t>5</w:t>
      </w:r>
      <w:r w:rsidRPr="000E3A45">
        <w:rPr>
          <w:sz w:val="26"/>
          <w:szCs w:val="26"/>
        </w:rPr>
        <w:t>, se ubicaron en 1</w:t>
      </w:r>
      <w:r w:rsidR="00986637">
        <w:rPr>
          <w:sz w:val="26"/>
          <w:szCs w:val="26"/>
        </w:rPr>
        <w:t>5</w:t>
      </w:r>
      <w:r w:rsidRPr="000E3A45">
        <w:rPr>
          <w:sz w:val="26"/>
          <w:szCs w:val="26"/>
        </w:rPr>
        <w:t>.</w:t>
      </w:r>
      <w:r w:rsidR="00C60BE0">
        <w:rPr>
          <w:sz w:val="26"/>
          <w:szCs w:val="26"/>
        </w:rPr>
        <w:t>5279</w:t>
      </w:r>
      <w:r w:rsidRPr="000E3A45">
        <w:rPr>
          <w:sz w:val="26"/>
          <w:szCs w:val="26"/>
        </w:rPr>
        <w:t xml:space="preserve"> pesos por dólar, cotización </w:t>
      </w:r>
      <w:r w:rsidR="00C60BE0">
        <w:rPr>
          <w:sz w:val="26"/>
          <w:szCs w:val="26"/>
        </w:rPr>
        <w:t>2.25</w:t>
      </w:r>
      <w:r w:rsidRPr="000E3A45">
        <w:rPr>
          <w:sz w:val="26"/>
          <w:szCs w:val="26"/>
        </w:rPr>
        <w:t xml:space="preserve">% por </w:t>
      </w:r>
      <w:r w:rsidR="005E48CC">
        <w:rPr>
          <w:sz w:val="26"/>
          <w:szCs w:val="26"/>
        </w:rPr>
        <w:t>arriba</w:t>
      </w:r>
      <w:r w:rsidRPr="000E3A45">
        <w:rPr>
          <w:sz w:val="26"/>
          <w:szCs w:val="26"/>
        </w:rPr>
        <w:t xml:space="preserve"> del promedio del dólar interbancario a 48 horas en los primeros </w:t>
      </w:r>
      <w:r w:rsidR="00C60BE0">
        <w:rPr>
          <w:sz w:val="26"/>
          <w:szCs w:val="26"/>
        </w:rPr>
        <w:t>2</w:t>
      </w:r>
      <w:r w:rsidRPr="000E3A45">
        <w:rPr>
          <w:sz w:val="26"/>
          <w:szCs w:val="26"/>
        </w:rPr>
        <w:t xml:space="preserve">1 días de </w:t>
      </w:r>
      <w:r w:rsidR="00770ED0">
        <w:rPr>
          <w:sz w:val="26"/>
          <w:szCs w:val="26"/>
        </w:rPr>
        <w:t>a</w:t>
      </w:r>
      <w:r w:rsidR="00C60BE0">
        <w:rPr>
          <w:sz w:val="26"/>
          <w:szCs w:val="26"/>
        </w:rPr>
        <w:t>b</w:t>
      </w:r>
      <w:r w:rsidR="00770ED0">
        <w:rPr>
          <w:sz w:val="26"/>
          <w:szCs w:val="26"/>
        </w:rPr>
        <w:t>r</w:t>
      </w:r>
      <w:r w:rsidR="00C60BE0">
        <w:rPr>
          <w:sz w:val="26"/>
          <w:szCs w:val="26"/>
        </w:rPr>
        <w:t>il de 2015</w:t>
      </w:r>
      <w:r w:rsidRPr="000E3A45">
        <w:rPr>
          <w:sz w:val="26"/>
          <w:szCs w:val="26"/>
        </w:rPr>
        <w:t xml:space="preserve"> (1</w:t>
      </w:r>
      <w:r w:rsidR="00770ED0">
        <w:rPr>
          <w:sz w:val="26"/>
          <w:szCs w:val="26"/>
        </w:rPr>
        <w:t>5</w:t>
      </w:r>
      <w:r w:rsidRPr="000E3A45">
        <w:rPr>
          <w:sz w:val="26"/>
          <w:szCs w:val="26"/>
        </w:rPr>
        <w:t>.</w:t>
      </w:r>
      <w:r w:rsidR="00C60BE0">
        <w:rPr>
          <w:sz w:val="26"/>
          <w:szCs w:val="26"/>
        </w:rPr>
        <w:t>1867</w:t>
      </w:r>
      <w:r w:rsidRPr="000E3A45">
        <w:rPr>
          <w:sz w:val="26"/>
          <w:szCs w:val="26"/>
        </w:rPr>
        <w:t xml:space="preserve"> pesos por dólar). Con ello, los inversionistas en el mercado de futuros estan tomando posiciones </w:t>
      </w:r>
      <w:r w:rsidR="005E48CC">
        <w:rPr>
          <w:sz w:val="26"/>
          <w:szCs w:val="26"/>
        </w:rPr>
        <w:t>largas</w:t>
      </w:r>
      <w:r w:rsidRPr="000E3A45">
        <w:rPr>
          <w:sz w:val="26"/>
          <w:szCs w:val="26"/>
        </w:rPr>
        <w:t xml:space="preserve"> ante un </w:t>
      </w:r>
      <w:r w:rsidR="005E48CC">
        <w:rPr>
          <w:sz w:val="26"/>
          <w:szCs w:val="26"/>
        </w:rPr>
        <w:t xml:space="preserve">posible </w:t>
      </w:r>
      <w:r w:rsidRPr="000E3A45">
        <w:rPr>
          <w:sz w:val="26"/>
          <w:szCs w:val="26"/>
        </w:rPr>
        <w:t xml:space="preserve">margen mayor de </w:t>
      </w:r>
      <w:r w:rsidR="005E48CC">
        <w:rPr>
          <w:sz w:val="26"/>
          <w:szCs w:val="26"/>
        </w:rPr>
        <w:t>de</w:t>
      </w:r>
      <w:r w:rsidRPr="000E3A45">
        <w:rPr>
          <w:sz w:val="26"/>
          <w:szCs w:val="26"/>
        </w:rPr>
        <w:t xml:space="preserve">preciación del peso mexicano. De hecho, se están adquiriendo contratros a </w:t>
      </w:r>
      <w:r w:rsidR="00986637">
        <w:rPr>
          <w:sz w:val="26"/>
          <w:szCs w:val="26"/>
        </w:rPr>
        <w:t>septiembre</w:t>
      </w:r>
      <w:r w:rsidRPr="000E3A45">
        <w:rPr>
          <w:sz w:val="26"/>
          <w:szCs w:val="26"/>
        </w:rPr>
        <w:t xml:space="preserve"> de 2015, en 1</w:t>
      </w:r>
      <w:r w:rsidR="0086144D">
        <w:rPr>
          <w:sz w:val="26"/>
          <w:szCs w:val="26"/>
        </w:rPr>
        <w:t>5</w:t>
      </w:r>
      <w:r w:rsidRPr="000E3A45">
        <w:rPr>
          <w:sz w:val="26"/>
          <w:szCs w:val="26"/>
        </w:rPr>
        <w:t>.</w:t>
      </w:r>
      <w:r w:rsidR="00986637">
        <w:rPr>
          <w:sz w:val="26"/>
          <w:szCs w:val="26"/>
        </w:rPr>
        <w:t>6</w:t>
      </w:r>
      <w:r w:rsidR="00C60BE0">
        <w:rPr>
          <w:sz w:val="26"/>
          <w:szCs w:val="26"/>
        </w:rPr>
        <w:t>250</w:t>
      </w:r>
      <w:r w:rsidRPr="000E3A45">
        <w:rPr>
          <w:sz w:val="26"/>
          <w:szCs w:val="26"/>
        </w:rPr>
        <w:t xml:space="preserve"> pesos por dólar </w:t>
      </w:r>
      <w:r w:rsidR="00986637">
        <w:rPr>
          <w:sz w:val="26"/>
          <w:szCs w:val="26"/>
        </w:rPr>
        <w:t xml:space="preserve">y para diciembre en 15.7232 pesos por dólar, lo cual permite prever que el mercado de futuros esta anticipando que la moneda mexicana seguirá </w:t>
      </w:r>
      <w:r w:rsidR="00C60BE0">
        <w:rPr>
          <w:sz w:val="26"/>
          <w:szCs w:val="26"/>
        </w:rPr>
        <w:t>depreciándose debido al entorno de volatilidad cambiaria mundial y de la apreciación del dólar estadounidense</w:t>
      </w:r>
      <w:r w:rsidRPr="000E3A45">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0"/>
        <w:gridCol w:w="2520"/>
      </w:tblGrid>
      <w:tr w:rsidR="00627BC6" w:rsidRPr="000E3A45" w14:paraId="09B53488" w14:textId="77777777" w:rsidTr="00630566">
        <w:trPr>
          <w:jc w:val="center"/>
        </w:trPr>
        <w:tc>
          <w:tcPr>
            <w:tcW w:w="4470" w:type="dxa"/>
            <w:gridSpan w:val="2"/>
            <w:tcBorders>
              <w:top w:val="nil"/>
              <w:left w:val="nil"/>
              <w:right w:val="nil"/>
            </w:tcBorders>
          </w:tcPr>
          <w:p w14:paraId="7119E6B9" w14:textId="77777777" w:rsidR="00627BC6" w:rsidRPr="000E3A45" w:rsidRDefault="00627BC6" w:rsidP="00630566">
            <w:pPr>
              <w:spacing w:after="120"/>
              <w:ind w:right="-159"/>
              <w:jc w:val="center"/>
              <w:rPr>
                <w:b/>
                <w:sz w:val="22"/>
                <w:szCs w:val="22"/>
                <w:lang w:val="es-ES"/>
              </w:rPr>
            </w:pPr>
            <w:r w:rsidRPr="000E3A45">
              <w:rPr>
                <w:b/>
                <w:sz w:val="22"/>
                <w:szCs w:val="22"/>
                <w:lang w:val="es-ES"/>
              </w:rPr>
              <w:t>COTIZACIONES DE FUTUROS EN EL MERCADO DE CHICAGO (CME)</w:t>
            </w:r>
          </w:p>
        </w:tc>
      </w:tr>
      <w:tr w:rsidR="00627BC6" w:rsidRPr="000E3A45" w14:paraId="1D341F72" w14:textId="77777777" w:rsidTr="00630566">
        <w:trPr>
          <w:jc w:val="center"/>
        </w:trPr>
        <w:tc>
          <w:tcPr>
            <w:tcW w:w="1950" w:type="dxa"/>
          </w:tcPr>
          <w:p w14:paraId="07ACF97C" w14:textId="77777777" w:rsidR="00627BC6" w:rsidRPr="000E3A45" w:rsidRDefault="00627BC6" w:rsidP="00630566">
            <w:pPr>
              <w:ind w:right="-159"/>
              <w:jc w:val="center"/>
              <w:rPr>
                <w:b/>
                <w:sz w:val="20"/>
                <w:szCs w:val="20"/>
                <w:lang w:val="es-ES"/>
              </w:rPr>
            </w:pPr>
            <w:r w:rsidRPr="000E3A45">
              <w:rPr>
                <w:b/>
                <w:sz w:val="20"/>
                <w:szCs w:val="20"/>
                <w:lang w:val="es-ES"/>
              </w:rPr>
              <w:t>201</w:t>
            </w:r>
            <w:r>
              <w:rPr>
                <w:b/>
                <w:sz w:val="20"/>
                <w:szCs w:val="20"/>
                <w:lang w:val="es-ES"/>
              </w:rPr>
              <w:t>5</w:t>
            </w:r>
          </w:p>
        </w:tc>
        <w:tc>
          <w:tcPr>
            <w:tcW w:w="2520" w:type="dxa"/>
          </w:tcPr>
          <w:p w14:paraId="11EBC6BE" w14:textId="77777777" w:rsidR="00627BC6" w:rsidRPr="000E3A45" w:rsidRDefault="00627BC6" w:rsidP="00630566">
            <w:pPr>
              <w:ind w:right="-159"/>
              <w:jc w:val="center"/>
              <w:rPr>
                <w:b/>
                <w:sz w:val="20"/>
                <w:szCs w:val="20"/>
                <w:lang w:val="es-ES"/>
              </w:rPr>
            </w:pPr>
            <w:r w:rsidRPr="000E3A45">
              <w:rPr>
                <w:b/>
                <w:sz w:val="20"/>
                <w:szCs w:val="20"/>
                <w:lang w:val="es-ES"/>
              </w:rPr>
              <w:t>Peso/dólar</w:t>
            </w:r>
          </w:p>
        </w:tc>
      </w:tr>
      <w:tr w:rsidR="00627BC6" w:rsidRPr="000E3A45" w14:paraId="4E126D8F" w14:textId="77777777" w:rsidTr="00630566">
        <w:trPr>
          <w:jc w:val="center"/>
        </w:trPr>
        <w:tc>
          <w:tcPr>
            <w:tcW w:w="1950" w:type="dxa"/>
          </w:tcPr>
          <w:p w14:paraId="73A729A2" w14:textId="53E246C8" w:rsidR="00627BC6" w:rsidRPr="000E3A45" w:rsidRDefault="0099403A" w:rsidP="00630566">
            <w:pPr>
              <w:ind w:right="-159"/>
              <w:jc w:val="both"/>
              <w:rPr>
                <w:sz w:val="20"/>
                <w:szCs w:val="20"/>
                <w:lang w:val="es-ES"/>
              </w:rPr>
            </w:pPr>
            <w:r>
              <w:rPr>
                <w:sz w:val="20"/>
                <w:szCs w:val="20"/>
                <w:lang w:val="es-ES"/>
              </w:rPr>
              <w:t>Junio</w:t>
            </w:r>
          </w:p>
        </w:tc>
        <w:tc>
          <w:tcPr>
            <w:tcW w:w="2520" w:type="dxa"/>
          </w:tcPr>
          <w:p w14:paraId="6EF52828" w14:textId="1B3433CE" w:rsidR="00627BC6" w:rsidRPr="000E3A45" w:rsidRDefault="00627BC6" w:rsidP="00AD058C">
            <w:pPr>
              <w:ind w:right="-159"/>
              <w:jc w:val="center"/>
              <w:rPr>
                <w:sz w:val="20"/>
                <w:szCs w:val="20"/>
                <w:lang w:val="es-ES"/>
              </w:rPr>
            </w:pPr>
            <w:r>
              <w:rPr>
                <w:sz w:val="20"/>
                <w:szCs w:val="20"/>
                <w:lang w:val="es-ES"/>
              </w:rPr>
              <w:t>1</w:t>
            </w:r>
            <w:r w:rsidR="0099403A">
              <w:rPr>
                <w:sz w:val="20"/>
                <w:szCs w:val="20"/>
                <w:lang w:val="es-ES"/>
              </w:rPr>
              <w:t>5.</w:t>
            </w:r>
            <w:r w:rsidR="00AD058C">
              <w:rPr>
                <w:sz w:val="20"/>
                <w:szCs w:val="20"/>
                <w:lang w:val="es-ES"/>
              </w:rPr>
              <w:t>5279</w:t>
            </w:r>
          </w:p>
        </w:tc>
      </w:tr>
      <w:tr w:rsidR="00627BC6" w:rsidRPr="000E3A45" w14:paraId="4CDDE308" w14:textId="77777777" w:rsidTr="00630566">
        <w:trPr>
          <w:jc w:val="center"/>
        </w:trPr>
        <w:tc>
          <w:tcPr>
            <w:tcW w:w="1950" w:type="dxa"/>
          </w:tcPr>
          <w:p w14:paraId="3401D780" w14:textId="042A2DD7" w:rsidR="00627BC6" w:rsidRPr="000E3A45" w:rsidRDefault="0099403A" w:rsidP="0099403A">
            <w:pPr>
              <w:ind w:right="-159"/>
              <w:jc w:val="both"/>
              <w:rPr>
                <w:sz w:val="20"/>
                <w:szCs w:val="20"/>
                <w:lang w:val="es-ES"/>
              </w:rPr>
            </w:pPr>
            <w:r>
              <w:rPr>
                <w:sz w:val="20"/>
                <w:szCs w:val="20"/>
                <w:lang w:val="es-ES"/>
              </w:rPr>
              <w:t>Septiembre</w:t>
            </w:r>
          </w:p>
        </w:tc>
        <w:tc>
          <w:tcPr>
            <w:tcW w:w="2520" w:type="dxa"/>
          </w:tcPr>
          <w:p w14:paraId="45B50717" w14:textId="78039418" w:rsidR="00627BC6" w:rsidRPr="000E3A45" w:rsidRDefault="00627BC6" w:rsidP="00AD058C">
            <w:pPr>
              <w:ind w:right="-159"/>
              <w:jc w:val="center"/>
              <w:rPr>
                <w:sz w:val="20"/>
                <w:szCs w:val="20"/>
                <w:lang w:val="es-ES"/>
              </w:rPr>
            </w:pPr>
            <w:r w:rsidRPr="000E3A45">
              <w:rPr>
                <w:sz w:val="20"/>
                <w:szCs w:val="20"/>
                <w:lang w:val="es-ES"/>
              </w:rPr>
              <w:t>1</w:t>
            </w:r>
            <w:r>
              <w:rPr>
                <w:sz w:val="20"/>
                <w:szCs w:val="20"/>
                <w:lang w:val="es-ES"/>
              </w:rPr>
              <w:t>5.</w:t>
            </w:r>
            <w:r w:rsidR="0099403A">
              <w:rPr>
                <w:sz w:val="20"/>
                <w:szCs w:val="20"/>
                <w:lang w:val="es-ES"/>
              </w:rPr>
              <w:t>6</w:t>
            </w:r>
            <w:r w:rsidR="00AD058C">
              <w:rPr>
                <w:sz w:val="20"/>
                <w:szCs w:val="20"/>
                <w:lang w:val="es-ES"/>
              </w:rPr>
              <w:t>250</w:t>
            </w:r>
          </w:p>
        </w:tc>
      </w:tr>
      <w:tr w:rsidR="00627BC6" w:rsidRPr="000E3A45" w14:paraId="65F0FFB0" w14:textId="77777777" w:rsidTr="00630566">
        <w:trPr>
          <w:jc w:val="center"/>
        </w:trPr>
        <w:tc>
          <w:tcPr>
            <w:tcW w:w="1950" w:type="dxa"/>
            <w:tcBorders>
              <w:bottom w:val="single" w:sz="4" w:space="0" w:color="auto"/>
            </w:tcBorders>
          </w:tcPr>
          <w:p w14:paraId="775B9666" w14:textId="12AD650D" w:rsidR="00627BC6" w:rsidRPr="000E3A45" w:rsidRDefault="0099403A" w:rsidP="0099403A">
            <w:pPr>
              <w:ind w:right="-159"/>
              <w:jc w:val="both"/>
              <w:rPr>
                <w:sz w:val="20"/>
                <w:szCs w:val="20"/>
                <w:lang w:val="es-ES"/>
              </w:rPr>
            </w:pPr>
            <w:r>
              <w:rPr>
                <w:sz w:val="20"/>
                <w:szCs w:val="20"/>
                <w:lang w:val="es-ES"/>
              </w:rPr>
              <w:t>Diciembre</w:t>
            </w:r>
          </w:p>
        </w:tc>
        <w:tc>
          <w:tcPr>
            <w:tcW w:w="2520" w:type="dxa"/>
            <w:tcBorders>
              <w:bottom w:val="single" w:sz="4" w:space="0" w:color="auto"/>
            </w:tcBorders>
          </w:tcPr>
          <w:p w14:paraId="0FA5C7DC" w14:textId="77961B97" w:rsidR="00627BC6" w:rsidRPr="000E3A45" w:rsidRDefault="00627BC6" w:rsidP="0099403A">
            <w:pPr>
              <w:ind w:right="-159"/>
              <w:jc w:val="center"/>
              <w:rPr>
                <w:sz w:val="20"/>
                <w:szCs w:val="20"/>
                <w:lang w:val="es-ES"/>
              </w:rPr>
            </w:pPr>
            <w:r w:rsidRPr="000E3A45">
              <w:rPr>
                <w:sz w:val="20"/>
                <w:szCs w:val="20"/>
                <w:lang w:val="es-ES"/>
              </w:rPr>
              <w:t>1</w:t>
            </w:r>
            <w:r>
              <w:rPr>
                <w:sz w:val="20"/>
                <w:szCs w:val="20"/>
                <w:lang w:val="es-ES"/>
              </w:rPr>
              <w:t>5.</w:t>
            </w:r>
            <w:r w:rsidR="0099403A">
              <w:rPr>
                <w:sz w:val="20"/>
                <w:szCs w:val="20"/>
                <w:lang w:val="es-ES"/>
              </w:rPr>
              <w:t>7232</w:t>
            </w:r>
          </w:p>
        </w:tc>
      </w:tr>
      <w:tr w:rsidR="00627BC6" w:rsidRPr="000E3A45" w14:paraId="04249B68" w14:textId="77777777" w:rsidTr="00630566">
        <w:trPr>
          <w:jc w:val="center"/>
        </w:trPr>
        <w:tc>
          <w:tcPr>
            <w:tcW w:w="4470" w:type="dxa"/>
            <w:gridSpan w:val="2"/>
            <w:tcBorders>
              <w:left w:val="nil"/>
              <w:bottom w:val="nil"/>
              <w:right w:val="nil"/>
            </w:tcBorders>
          </w:tcPr>
          <w:p w14:paraId="698DE8B0" w14:textId="4BE2B3E8" w:rsidR="00627BC6" w:rsidRPr="000E3A45" w:rsidRDefault="00627BC6" w:rsidP="00AD058C">
            <w:pPr>
              <w:ind w:left="794" w:hanging="794"/>
              <w:jc w:val="both"/>
              <w:rPr>
                <w:sz w:val="18"/>
                <w:szCs w:val="18"/>
                <w:lang w:val="es-ES"/>
              </w:rPr>
            </w:pPr>
            <w:r w:rsidRPr="000E3A45">
              <w:rPr>
                <w:sz w:val="18"/>
                <w:szCs w:val="18"/>
                <w:lang w:val="es-ES"/>
              </w:rPr>
              <w:t xml:space="preserve">FUENTE: CME-Diario </w:t>
            </w:r>
            <w:r w:rsidRPr="000E3A45">
              <w:rPr>
                <w:i/>
                <w:sz w:val="18"/>
                <w:szCs w:val="18"/>
                <w:lang w:val="es-ES"/>
              </w:rPr>
              <w:t>Reforma</w:t>
            </w:r>
            <w:r w:rsidRPr="000E3A45">
              <w:rPr>
                <w:sz w:val="18"/>
                <w:szCs w:val="18"/>
                <w:lang w:val="es-ES"/>
              </w:rPr>
              <w:t xml:space="preserve">, sección Negocios, pág. 2 del </w:t>
            </w:r>
            <w:r w:rsidR="00AD058C">
              <w:rPr>
                <w:sz w:val="18"/>
                <w:szCs w:val="18"/>
                <w:lang w:val="es-ES"/>
              </w:rPr>
              <w:t>22</w:t>
            </w:r>
            <w:r w:rsidRPr="000E3A45">
              <w:rPr>
                <w:sz w:val="18"/>
                <w:szCs w:val="18"/>
                <w:lang w:val="es-ES"/>
              </w:rPr>
              <w:t xml:space="preserve"> de </w:t>
            </w:r>
            <w:r w:rsidR="0099403A">
              <w:rPr>
                <w:sz w:val="18"/>
                <w:szCs w:val="18"/>
                <w:lang w:val="es-ES"/>
              </w:rPr>
              <w:t>a</w:t>
            </w:r>
            <w:r w:rsidR="00AD058C">
              <w:rPr>
                <w:sz w:val="18"/>
                <w:szCs w:val="18"/>
                <w:lang w:val="es-ES"/>
              </w:rPr>
              <w:t>b</w:t>
            </w:r>
            <w:r w:rsidR="0099403A">
              <w:rPr>
                <w:sz w:val="18"/>
                <w:szCs w:val="18"/>
                <w:lang w:val="es-ES"/>
              </w:rPr>
              <w:t>r</w:t>
            </w:r>
            <w:r w:rsidR="00AD058C">
              <w:rPr>
                <w:sz w:val="18"/>
                <w:szCs w:val="18"/>
                <w:lang w:val="es-ES"/>
              </w:rPr>
              <w:t>il</w:t>
            </w:r>
            <w:r w:rsidRPr="000E3A45">
              <w:rPr>
                <w:sz w:val="18"/>
                <w:szCs w:val="18"/>
                <w:lang w:val="es-ES"/>
              </w:rPr>
              <w:t xml:space="preserve"> de 201</w:t>
            </w:r>
            <w:r>
              <w:rPr>
                <w:sz w:val="18"/>
                <w:szCs w:val="18"/>
                <w:lang w:val="es-ES"/>
              </w:rPr>
              <w:t>5</w:t>
            </w:r>
            <w:r w:rsidRPr="000E3A45">
              <w:rPr>
                <w:sz w:val="18"/>
                <w:szCs w:val="18"/>
                <w:lang w:val="es-ES"/>
              </w:rPr>
              <w:t>.</w:t>
            </w:r>
          </w:p>
        </w:tc>
      </w:tr>
    </w:tbl>
    <w:p w14:paraId="0B6A94BD" w14:textId="77777777" w:rsidR="00627BC6" w:rsidRPr="000E3A45" w:rsidRDefault="00627BC6" w:rsidP="00627BC6">
      <w:pPr>
        <w:ind w:right="-159"/>
        <w:jc w:val="both"/>
        <w:rPr>
          <w:b/>
          <w:sz w:val="20"/>
          <w:szCs w:val="20"/>
          <w:lang w:val="es-ES"/>
        </w:rPr>
      </w:pPr>
    </w:p>
    <w:p w14:paraId="12D8D3BB" w14:textId="77777777" w:rsidR="00627BC6" w:rsidRPr="000E3A45" w:rsidRDefault="00627BC6" w:rsidP="00627BC6">
      <w:pPr>
        <w:ind w:right="-159"/>
        <w:jc w:val="both"/>
        <w:rPr>
          <w:b/>
          <w:sz w:val="20"/>
          <w:szCs w:val="20"/>
          <w:lang w:val="es-ES"/>
        </w:rPr>
      </w:pPr>
    </w:p>
    <w:p w14:paraId="233F61D6" w14:textId="77777777" w:rsidR="00627BC6" w:rsidRPr="000E3A45" w:rsidRDefault="00627BC6" w:rsidP="00627BC6">
      <w:pPr>
        <w:ind w:right="-159"/>
        <w:jc w:val="both"/>
        <w:rPr>
          <w:b/>
          <w:sz w:val="20"/>
          <w:szCs w:val="20"/>
          <w:lang w:val="es-ES"/>
        </w:rPr>
      </w:pPr>
      <w:r w:rsidRPr="000E3A45">
        <w:rPr>
          <w:b/>
          <w:sz w:val="20"/>
          <w:szCs w:val="20"/>
          <w:lang w:val="es-ES"/>
        </w:rPr>
        <w:t>Fuente de información:</w:t>
      </w:r>
    </w:p>
    <w:p w14:paraId="51990B5C" w14:textId="4EA34EAC" w:rsidR="00627BC6" w:rsidRPr="00E146C7" w:rsidRDefault="00627BC6" w:rsidP="00627BC6">
      <w:pPr>
        <w:ind w:right="-159"/>
        <w:jc w:val="both"/>
        <w:rPr>
          <w:color w:val="0000FF"/>
          <w:sz w:val="20"/>
          <w:szCs w:val="20"/>
          <w:lang w:val="es-ES"/>
        </w:rPr>
      </w:pPr>
      <w:r w:rsidRPr="00E146C7">
        <w:rPr>
          <w:color w:val="0000FF"/>
          <w:sz w:val="20"/>
          <w:szCs w:val="20"/>
          <w:lang w:val="es-ES"/>
        </w:rPr>
        <w:t>Periódico Reform</w:t>
      </w:r>
      <w:r w:rsidRPr="00E146C7">
        <w:rPr>
          <w:i/>
          <w:color w:val="0000FF"/>
          <w:sz w:val="20"/>
          <w:szCs w:val="20"/>
          <w:lang w:val="es-ES"/>
        </w:rPr>
        <w:t>a</w:t>
      </w:r>
      <w:r w:rsidRPr="00E146C7">
        <w:rPr>
          <w:color w:val="0000FF"/>
          <w:sz w:val="20"/>
          <w:szCs w:val="20"/>
          <w:lang w:val="es-ES"/>
        </w:rPr>
        <w:t xml:space="preserve">, Sección Negocios, pág. 2, </w:t>
      </w:r>
      <w:r w:rsidR="00C60BE0" w:rsidRPr="00E146C7">
        <w:rPr>
          <w:color w:val="0000FF"/>
          <w:sz w:val="20"/>
          <w:szCs w:val="20"/>
          <w:lang w:val="es-ES"/>
        </w:rPr>
        <w:t>22</w:t>
      </w:r>
      <w:r w:rsidRPr="00E146C7">
        <w:rPr>
          <w:color w:val="0000FF"/>
          <w:sz w:val="20"/>
          <w:szCs w:val="20"/>
          <w:lang w:val="es-ES"/>
        </w:rPr>
        <w:t xml:space="preserve"> de </w:t>
      </w:r>
      <w:r w:rsidR="0099403A" w:rsidRPr="00E146C7">
        <w:rPr>
          <w:color w:val="0000FF"/>
          <w:sz w:val="20"/>
          <w:szCs w:val="20"/>
          <w:lang w:val="es-ES"/>
        </w:rPr>
        <w:t>a</w:t>
      </w:r>
      <w:r w:rsidR="00C60BE0" w:rsidRPr="00E146C7">
        <w:rPr>
          <w:color w:val="0000FF"/>
          <w:sz w:val="20"/>
          <w:szCs w:val="20"/>
          <w:lang w:val="es-ES"/>
        </w:rPr>
        <w:t>b</w:t>
      </w:r>
      <w:r w:rsidR="0099403A" w:rsidRPr="00E146C7">
        <w:rPr>
          <w:color w:val="0000FF"/>
          <w:sz w:val="20"/>
          <w:szCs w:val="20"/>
          <w:lang w:val="es-ES"/>
        </w:rPr>
        <w:t>r</w:t>
      </w:r>
      <w:r w:rsidR="00C60BE0" w:rsidRPr="00E146C7">
        <w:rPr>
          <w:color w:val="0000FF"/>
          <w:sz w:val="20"/>
          <w:szCs w:val="20"/>
          <w:lang w:val="es-ES"/>
        </w:rPr>
        <w:t>il</w:t>
      </w:r>
      <w:r w:rsidRPr="00E146C7">
        <w:rPr>
          <w:color w:val="0000FF"/>
          <w:sz w:val="20"/>
          <w:szCs w:val="20"/>
          <w:lang w:val="es-ES"/>
        </w:rPr>
        <w:t xml:space="preserve"> de 2015.</w:t>
      </w:r>
    </w:p>
    <w:p w14:paraId="7755A03C" w14:textId="77777777" w:rsidR="00627BC6" w:rsidRDefault="00627BC6" w:rsidP="00627BC6">
      <w:pPr>
        <w:spacing w:after="360" w:line="360" w:lineRule="auto"/>
        <w:rPr>
          <w:rFonts w:eastAsia="Calibri"/>
          <w:sz w:val="26"/>
          <w:szCs w:val="26"/>
          <w:lang w:eastAsia="en-US"/>
        </w:rPr>
      </w:pPr>
    </w:p>
    <w:p w14:paraId="745FBC9D" w14:textId="77777777" w:rsidR="000C26C0" w:rsidRPr="000C26C0" w:rsidRDefault="000C26C0" w:rsidP="000C26C0">
      <w:pPr>
        <w:ind w:right="-159"/>
        <w:jc w:val="both"/>
        <w:rPr>
          <w:rFonts w:eastAsia="Calibri"/>
          <w:b/>
          <w:sz w:val="26"/>
          <w:szCs w:val="26"/>
          <w:lang w:eastAsia="en-US"/>
        </w:rPr>
      </w:pPr>
      <w:r w:rsidRPr="000C26C0">
        <w:rPr>
          <w:rFonts w:eastAsia="Calibri"/>
          <w:b/>
          <w:sz w:val="26"/>
          <w:szCs w:val="26"/>
          <w:lang w:eastAsia="en-US"/>
        </w:rPr>
        <w:lastRenderedPageBreak/>
        <w:t>La salida de capitales de la zona euro</w:t>
      </w:r>
    </w:p>
    <w:p w14:paraId="17D3B6B1" w14:textId="03E2252B" w:rsidR="000C26C0" w:rsidRPr="000C26C0" w:rsidRDefault="000C26C0" w:rsidP="000C26C0">
      <w:pPr>
        <w:ind w:right="-159"/>
        <w:jc w:val="both"/>
        <w:rPr>
          <w:rFonts w:eastAsia="Calibri"/>
          <w:b/>
          <w:sz w:val="26"/>
          <w:szCs w:val="26"/>
          <w:lang w:eastAsia="en-US"/>
        </w:rPr>
      </w:pPr>
      <w:r w:rsidRPr="000C26C0">
        <w:rPr>
          <w:rFonts w:eastAsia="Calibri"/>
          <w:b/>
          <w:sz w:val="26"/>
          <w:szCs w:val="26"/>
          <w:lang w:eastAsia="en-US"/>
        </w:rPr>
        <w:t xml:space="preserve">exacerba el </w:t>
      </w:r>
      <w:r w:rsidR="00D46FA9">
        <w:rPr>
          <w:rFonts w:eastAsia="Calibri"/>
          <w:b/>
          <w:sz w:val="26"/>
          <w:szCs w:val="26"/>
          <w:lang w:eastAsia="en-US"/>
        </w:rPr>
        <w:t xml:space="preserve"> </w:t>
      </w:r>
      <w:r w:rsidRPr="000C26C0">
        <w:rPr>
          <w:rFonts w:eastAsia="Calibri"/>
          <w:b/>
          <w:sz w:val="26"/>
          <w:szCs w:val="26"/>
          <w:lang w:eastAsia="en-US"/>
        </w:rPr>
        <w:t>fortalecimiento del dólar</w:t>
      </w:r>
    </w:p>
    <w:p w14:paraId="30146E42" w14:textId="77777777" w:rsidR="000C26C0" w:rsidRPr="000C26C0" w:rsidRDefault="000C26C0" w:rsidP="000C26C0">
      <w:pPr>
        <w:spacing w:after="360" w:line="360" w:lineRule="auto"/>
        <w:ind w:right="-159"/>
        <w:jc w:val="both"/>
        <w:rPr>
          <w:rFonts w:eastAsia="Calibri"/>
          <w:b/>
          <w:sz w:val="26"/>
          <w:szCs w:val="26"/>
          <w:lang w:eastAsia="en-US"/>
        </w:rPr>
      </w:pPr>
      <w:r w:rsidRPr="000C26C0">
        <w:rPr>
          <w:rFonts w:eastAsia="Calibri"/>
          <w:b/>
          <w:sz w:val="26"/>
          <w:szCs w:val="26"/>
          <w:lang w:eastAsia="en-US"/>
        </w:rPr>
        <w:t>(WSJ)</w:t>
      </w:r>
    </w:p>
    <w:p w14:paraId="1AD6982B"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El 23 de marzo de 2015, el periódico </w:t>
      </w:r>
      <w:r w:rsidRPr="000C26C0">
        <w:rPr>
          <w:rFonts w:eastAsia="Calibri"/>
          <w:i/>
          <w:sz w:val="26"/>
          <w:szCs w:val="26"/>
          <w:lang w:eastAsia="en-US"/>
        </w:rPr>
        <w:t>The Wall Street Journal</w:t>
      </w:r>
      <w:r w:rsidRPr="000C26C0">
        <w:rPr>
          <w:rFonts w:eastAsia="Calibri"/>
          <w:sz w:val="26"/>
          <w:szCs w:val="26"/>
          <w:lang w:eastAsia="en-US"/>
        </w:rPr>
        <w:t xml:space="preserve"> (WSJ) publicó la nota “La salida de capitales de la zona euro exacerba el fortalecimiento del dólar”. A continuación se presenta la información.</w:t>
      </w:r>
    </w:p>
    <w:p w14:paraId="35987A52" w14:textId="77777777" w:rsidR="000C26C0" w:rsidRPr="000C26C0" w:rsidRDefault="000C26C0" w:rsidP="000C26C0">
      <w:pPr>
        <w:spacing w:after="360" w:line="360" w:lineRule="auto"/>
        <w:ind w:right="-159"/>
        <w:jc w:val="center"/>
        <w:rPr>
          <w:rFonts w:eastAsia="Calibri"/>
          <w:sz w:val="26"/>
          <w:szCs w:val="26"/>
          <w:lang w:eastAsia="en-US"/>
        </w:rPr>
      </w:pPr>
      <w:r w:rsidRPr="000C26C0">
        <w:rPr>
          <w:rFonts w:ascii="Calibri" w:eastAsia="Calibri" w:hAnsi="Calibri"/>
          <w:noProof/>
          <w:sz w:val="22"/>
          <w:szCs w:val="22"/>
          <w:lang w:eastAsia="es-MX"/>
        </w:rPr>
        <w:drawing>
          <wp:inline distT="0" distB="0" distL="0" distR="0" wp14:anchorId="4E852BDA" wp14:editId="65F01A11">
            <wp:extent cx="5612130" cy="4440119"/>
            <wp:effectExtent l="0" t="0" r="0" b="0"/>
            <wp:docPr id="1560" name="Imagen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5612130" cy="4440119"/>
                    </a:xfrm>
                    <a:prstGeom prst="rect">
                      <a:avLst/>
                    </a:prstGeom>
                    <a:noFill/>
                    <a:ln>
                      <a:noFill/>
                    </a:ln>
                  </pic:spPr>
                </pic:pic>
              </a:graphicData>
            </a:graphic>
          </wp:inline>
        </w:drawing>
      </w:r>
    </w:p>
    <w:p w14:paraId="35996751"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Un cambio profundo en el flujo de dinero alrededor del mundo está llevando el euro a la baja con gran velocidad, el dólar al alza y dejando a los países más pequeños frente a las consecuencias de una avalancha de efectivo.</w:t>
      </w:r>
    </w:p>
    <w:p w14:paraId="591D6BDC"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lastRenderedPageBreak/>
        <w:t>Una ola de dinero está saliendo de la zona euro, donde los rendimientos sobre activos seguros son ínfimos —si es que hay tasas de interés positivas—, camino hacia Estados Unidos de Norteamérica y a refugios como Dinamarca y Suiza.</w:t>
      </w:r>
    </w:p>
    <w:p w14:paraId="58BFC42B"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En menos de un año, la moneda común europea ha caído 22% frente al dólar, de 1.39 a 1.08 dólares. Este mes, el euro tocó un mínimo de 12 años de menos 1.05 dólares.</w:t>
      </w:r>
    </w:p>
    <w:p w14:paraId="4FD57904"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El Banco Central Europeo está frenando las tasas de interés, mientras que la Reserva Federal de Estados Unidos de Norteamérica espera subirlas, una combinación que ejerce presión sobre el euro frente al dólar.</w:t>
      </w:r>
    </w:p>
    <w:p w14:paraId="4B906EA9"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Pero la caída, dicen varios analistas, ha sido exacerbada por la voluntad de los grandes inversionistas de desligar sus activos del euro, no sólo de especuladores que apuestan a que la moneda común seguirá en caída.</w:t>
      </w:r>
    </w:p>
    <w:p w14:paraId="7EF22BEC"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Los caminos divergentes que han tomado las políticas monetarias de Europa y Estados Unidos de Norteamérica han sido el detonante para que los ahorristas y los inversionistas europeos le otorguen una mayor preponderancia a Estados Unidos de Norteamérica en sus portafolios, a expensas de Europa, en busca de retornos más jugosos. Los grandes bancos centrales, como el de China y los de varios países de Medio Oriente, que habían invertido sus reservas en euros, están siguiendo el ejemplo.</w:t>
      </w:r>
    </w:p>
    <w:p w14:paraId="2B8BF778"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“Lo único que importa son los flujos de capital”, asevera Roger Hallam, Director de inversión de divisas de </w:t>
      </w:r>
      <w:r w:rsidRPr="000C26C0">
        <w:rPr>
          <w:rFonts w:eastAsia="Calibri"/>
          <w:i/>
          <w:sz w:val="26"/>
          <w:szCs w:val="26"/>
          <w:lang w:eastAsia="en-US"/>
        </w:rPr>
        <w:t>J.P. Morgan Asset Management</w:t>
      </w:r>
      <w:r w:rsidRPr="000C26C0">
        <w:rPr>
          <w:rFonts w:eastAsia="Calibri"/>
          <w:sz w:val="26"/>
          <w:szCs w:val="26"/>
          <w:lang w:eastAsia="en-US"/>
        </w:rPr>
        <w:t>, que supervisa 1.7 billones de dólares. La firma ha apostado a un euro más débil a lo largo del reciente declive y cree que caerá aun más.</w:t>
      </w:r>
    </w:p>
    <w:p w14:paraId="33A17E73" w14:textId="7D2D7298"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A mediados del año pasado, el Banco Central Europeo</w:t>
      </w:r>
      <w:r w:rsidR="003647A3">
        <w:rPr>
          <w:rFonts w:eastAsia="Calibri"/>
          <w:sz w:val="26"/>
          <w:szCs w:val="26"/>
          <w:lang w:eastAsia="en-US"/>
        </w:rPr>
        <w:t xml:space="preserve"> (BCE)</w:t>
      </w:r>
      <w:r w:rsidRPr="000C26C0">
        <w:rPr>
          <w:rFonts w:eastAsia="Calibri"/>
          <w:sz w:val="26"/>
          <w:szCs w:val="26"/>
          <w:lang w:eastAsia="en-US"/>
        </w:rPr>
        <w:t xml:space="preserve"> redujo las tasas de interés a casi cero y la tasa que paga por guardar depósitos de bancos comerciales con tasas de interés negativas. </w:t>
      </w:r>
    </w:p>
    <w:p w14:paraId="557CE309"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lastRenderedPageBreak/>
        <w:t>Desde que en junio el BCE empezó a fijar tasas de interés negativas sobre depósitos, más dinero ha salido de la zona euro para comprar acciones y bonos en otras regiones comparado con el que ha ingresado, muestran datos del banco central. Últimamente, ese flujo constante se ha convertido en un torrente. En el último trimestre de 2014, la brecha era de 124 mil 400 millones de euros (134 mil 350 millones de dólares). El euro ha caído, pero las acciones y bonos europeos han repuntado. Esto se debe en parte a la flexibilización cuantitativa, que suele llevar a los inversionistas a comprar activos de mayor riesgo como acciones, mientras el propio programa de compras de bonos del BCE apoya el mercado, incluso cuando algunos inversionistas salen de la zona euro.</w:t>
      </w:r>
    </w:p>
    <w:p w14:paraId="331EA145"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Las consecuencias más drásticas de estos cambios se pueden apreciar en los vecinos más pequeños de la zona euro. El banco central de Dinamarca, por ejemplo, ha reducido este año las tasas de interés en cuatro ocasiones en un esfuerzo por impedir que los inversionistas foráneos disparen el valor de la corona danesa. La entidad ha impreso enormes cantidades de coronas para vender por euros e impedir su apreciación. La corona danesa tiene paridad con el euro. </w:t>
      </w:r>
    </w:p>
    <w:p w14:paraId="391D951B"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El ingreso de capitales a Suiza fue tan abrumador, que el banco central no tuvo más remedio que dejar que el mercado determinara el valor de la moneda, lo que produjo un alza de 40% en el valor del franco suizo en un día.</w:t>
      </w:r>
    </w:p>
    <w:p w14:paraId="3EEDF9C3"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Estados Unidos de Norteamérica tampoco ha salido ileso. La gigantesca demanda europea ha contribuido al alza del dólar este año y ha alimentado un repunte de los bonos del Tesoro, pese a que la Reserva Federal está cada vez más cerca de empezar a subir las tasas de interés de corto plazo. En 2014, los inversionistas extranjeros aumentaron sus tenencias de bonos del Tesoro estadounidense en 374 mil 300 millones de dólares, según datos de la Fed. La tendencia ha persistido durante este año. </w:t>
      </w:r>
    </w:p>
    <w:p w14:paraId="4A937638"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Otro factor ha potenciado el flujo de fondos de Europa hacia Estados Unidos de Norteamérica. El programa de flexibilización cuantitativa del BCE tiene lugar en un </w:t>
      </w:r>
      <w:r w:rsidRPr="000C26C0">
        <w:rPr>
          <w:rFonts w:eastAsia="Calibri"/>
          <w:sz w:val="26"/>
          <w:szCs w:val="26"/>
          <w:lang w:eastAsia="en-US"/>
        </w:rPr>
        <w:lastRenderedPageBreak/>
        <w:t>momento en que los gobiernos europeos se están ajustando el cinturón. Eso implica una menor emisión de bonos soberanos, lo que les da a los inversionistas una nueva razón para salir en busca de mejores retornos en lugar de tener que pagar caro por activos relativamente escasos o enfrentarse a la posibilidad de tener que pagar por mantener efectivo en euros.</w:t>
      </w:r>
    </w:p>
    <w:p w14:paraId="162B2E05"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La demanda del BCE ha elevado los precios de los bonos y llevado sus retornos, que se mueven en la dirección opuesta, a mínimos históricos. La deuda del gobierno alemán a 10 años rinde apenas 0.18% y la de vencimientos de siete años y menos tiene tasas negativas. </w:t>
      </w:r>
    </w:p>
    <w:p w14:paraId="119129F8"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APG Groep N.V., una entidad que supervisa unos 415 mil millones de euros en fondos de pensiones en Holanda, ha estado trasladando una mayor proporción de sus inversiones fuera de Europa.</w:t>
      </w:r>
    </w:p>
    <w:p w14:paraId="0903D2C2"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“En momentos en que las tasas de interés en la zona euro están tan bajas y el euro está cayendo, es lógico que acudamos a (bonos soberanos de) Estados Unidos de Norteamérica o Gran Bretaña puesto que han cobrado mayor atractivo, tanto desde el punto de vista de preservación de capital como de retornos”, dice Harmen Geers, portavoz de la firma de gestión de activos.</w:t>
      </w:r>
    </w:p>
    <w:p w14:paraId="72B910C6"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Los inversionistas europeos tienen que tomar una decisión, dice Stephan Hirschbrich, que gestiona una cartera de renta fija de unos 232 mil 100 millones para la firma alemana </w:t>
      </w:r>
      <w:r w:rsidRPr="000C26C0">
        <w:rPr>
          <w:rFonts w:eastAsia="Calibri"/>
          <w:i/>
          <w:sz w:val="26"/>
          <w:szCs w:val="26"/>
          <w:lang w:eastAsia="en-US"/>
        </w:rPr>
        <w:t>Union Asset Management Holding</w:t>
      </w:r>
      <w:r w:rsidRPr="000C26C0">
        <w:rPr>
          <w:rFonts w:eastAsia="Calibri"/>
          <w:sz w:val="26"/>
          <w:szCs w:val="26"/>
          <w:lang w:eastAsia="en-US"/>
        </w:rPr>
        <w:t xml:space="preserve"> </w:t>
      </w:r>
      <w:r w:rsidRPr="000C26C0">
        <w:rPr>
          <w:rFonts w:eastAsia="Calibri"/>
          <w:i/>
          <w:sz w:val="26"/>
          <w:szCs w:val="26"/>
          <w:lang w:eastAsia="en-US"/>
        </w:rPr>
        <w:t>AG</w:t>
      </w:r>
      <w:r w:rsidRPr="000C26C0">
        <w:rPr>
          <w:rFonts w:eastAsia="Calibri"/>
          <w:sz w:val="26"/>
          <w:szCs w:val="26"/>
          <w:lang w:eastAsia="en-US"/>
        </w:rPr>
        <w:t xml:space="preserve">: invertir en deuda de plazos más largos o mayor riesgo o salir fuera de Europa. “Para los clientes que pueden hacerlo, hemos estado entrando en Estados Unidos de Norteamérica, donde nos podemos beneficiar del alza del dólar y rendimientos más altos”, aseveró. </w:t>
      </w:r>
    </w:p>
    <w:p w14:paraId="40C573E4" w14:textId="77777777" w:rsidR="000C26C0" w:rsidRPr="000C26C0" w:rsidRDefault="000C26C0" w:rsidP="000C26C0">
      <w:pPr>
        <w:spacing w:after="360" w:line="360" w:lineRule="auto"/>
        <w:ind w:right="-159"/>
        <w:jc w:val="both"/>
        <w:rPr>
          <w:rFonts w:eastAsia="Calibri"/>
          <w:sz w:val="26"/>
          <w:szCs w:val="26"/>
          <w:lang w:eastAsia="en-US"/>
        </w:rPr>
      </w:pPr>
      <w:r w:rsidRPr="000C26C0">
        <w:rPr>
          <w:rFonts w:eastAsia="Calibri"/>
          <w:sz w:val="26"/>
          <w:szCs w:val="26"/>
          <w:lang w:eastAsia="en-US"/>
        </w:rPr>
        <w:t xml:space="preserve">Algunos analistas creen que las grandes salidas de capital desde la zona euro seguirán.  </w:t>
      </w:r>
      <w:r w:rsidRPr="000C26C0">
        <w:rPr>
          <w:rFonts w:eastAsia="Calibri"/>
          <w:i/>
          <w:sz w:val="26"/>
          <w:szCs w:val="26"/>
          <w:lang w:eastAsia="en-US"/>
        </w:rPr>
        <w:t>Deutsche Bank</w:t>
      </w:r>
      <w:r w:rsidRPr="000C26C0">
        <w:rPr>
          <w:rFonts w:eastAsia="Calibri"/>
          <w:sz w:val="26"/>
          <w:szCs w:val="26"/>
          <w:lang w:eastAsia="en-US"/>
        </w:rPr>
        <w:t xml:space="preserve"> prevé que el euro descenderá a 85 centavos de dólar en 2017 a medida </w:t>
      </w:r>
      <w:r w:rsidRPr="000C26C0">
        <w:rPr>
          <w:rFonts w:eastAsia="Calibri"/>
          <w:sz w:val="26"/>
          <w:szCs w:val="26"/>
          <w:lang w:eastAsia="en-US"/>
        </w:rPr>
        <w:lastRenderedPageBreak/>
        <w:t>que un exceso importante de ahorro, en especial de economías como las de Alemania y Holanda, desembarca en países fuera de la zona euro.</w:t>
      </w:r>
    </w:p>
    <w:p w14:paraId="71FBC452" w14:textId="77777777" w:rsidR="000C26C0" w:rsidRPr="000C26C0" w:rsidRDefault="000C26C0" w:rsidP="000C26C0">
      <w:pPr>
        <w:ind w:right="-159"/>
        <w:jc w:val="both"/>
        <w:rPr>
          <w:rFonts w:eastAsia="Calibri"/>
          <w:b/>
          <w:sz w:val="20"/>
          <w:szCs w:val="26"/>
          <w:lang w:eastAsia="en-US"/>
        </w:rPr>
      </w:pPr>
      <w:r w:rsidRPr="000C26C0">
        <w:rPr>
          <w:rFonts w:eastAsia="Calibri"/>
          <w:b/>
          <w:sz w:val="20"/>
          <w:szCs w:val="26"/>
          <w:lang w:eastAsia="en-US"/>
        </w:rPr>
        <w:t>Fuente de información:</w:t>
      </w:r>
    </w:p>
    <w:p w14:paraId="6150D120" w14:textId="77777777" w:rsidR="00E53453" w:rsidRPr="00E146C7" w:rsidRDefault="0045651A" w:rsidP="00E53453">
      <w:pPr>
        <w:ind w:right="-159"/>
        <w:jc w:val="both"/>
        <w:rPr>
          <w:rFonts w:eastAsia="Calibri"/>
          <w:color w:val="0000FF"/>
          <w:sz w:val="20"/>
          <w:szCs w:val="20"/>
          <w:lang w:eastAsia="en-US"/>
        </w:rPr>
      </w:pPr>
      <w:hyperlink r:id="rId477" w:history="1">
        <w:r w:rsidR="00E53453" w:rsidRPr="00E146C7">
          <w:rPr>
            <w:rFonts w:eastAsia="Calibri"/>
            <w:color w:val="0000FF"/>
            <w:sz w:val="20"/>
            <w:szCs w:val="20"/>
            <w:u w:val="single"/>
            <w:lang w:eastAsia="en-US"/>
          </w:rPr>
          <w:t>http://lat.wsj.com/articles/SB11176737279175213769504580534744182771902?tesla=y</w:t>
        </w:r>
      </w:hyperlink>
      <w:r w:rsidR="00E53453" w:rsidRPr="00E146C7">
        <w:rPr>
          <w:rFonts w:eastAsia="Calibri"/>
          <w:color w:val="0000FF"/>
          <w:sz w:val="20"/>
          <w:szCs w:val="20"/>
          <w:lang w:eastAsia="en-US"/>
        </w:rPr>
        <w:t xml:space="preserve"> </w:t>
      </w:r>
    </w:p>
    <w:sectPr w:rsidR="00E53453" w:rsidRPr="00E146C7" w:rsidSect="00B87215">
      <w:headerReference w:type="even" r:id="rId478"/>
      <w:headerReference w:type="default" r:id="rId479"/>
      <w:pgSz w:w="12242" w:h="15842" w:code="1"/>
      <w:pgMar w:top="1417" w:right="1701" w:bottom="1417"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922540" w14:textId="77777777" w:rsidR="0045651A" w:rsidRDefault="0045651A">
      <w:r>
        <w:separator/>
      </w:r>
    </w:p>
  </w:endnote>
  <w:endnote w:type="continuationSeparator" w:id="0">
    <w:p w14:paraId="0FB6F666" w14:textId="77777777" w:rsidR="0045651A" w:rsidRDefault="00456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ladimir Script">
    <w:panose1 w:val="03050402040407070305"/>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yriad Pro Light">
    <w:altName w:val="Myriad Pro 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D50FFA" w14:textId="77777777" w:rsidR="0045651A" w:rsidRDefault="0045651A">
      <w:r>
        <w:separator/>
      </w:r>
    </w:p>
  </w:footnote>
  <w:footnote w:type="continuationSeparator" w:id="0">
    <w:p w14:paraId="77B9E458" w14:textId="77777777" w:rsidR="0045651A" w:rsidRDefault="0045651A">
      <w:r>
        <w:continuationSeparator/>
      </w:r>
    </w:p>
  </w:footnote>
  <w:footnote w:id="1">
    <w:p w14:paraId="07DB4638" w14:textId="77777777" w:rsidR="007846AF" w:rsidRPr="00AF4B25" w:rsidRDefault="007846AF" w:rsidP="00F8193F">
      <w:pPr>
        <w:pStyle w:val="Textonotapie"/>
        <w:rPr>
          <w:color w:val="0000FF"/>
        </w:rPr>
      </w:pPr>
      <w:r w:rsidRPr="00F8193F">
        <w:rPr>
          <w:rStyle w:val="Refdenotaalpie"/>
        </w:rPr>
        <w:footnoteRef/>
      </w:r>
      <w:r w:rsidRPr="00F8193F">
        <w:t xml:space="preserve"> </w:t>
      </w:r>
      <w:hyperlink r:id="rId1" w:history="1">
        <w:r w:rsidRPr="00AF4B25">
          <w:rPr>
            <w:rStyle w:val="Hipervnculo"/>
          </w:rPr>
          <w:t>http://www.dof.gob.mx/nota_detalle.php?codigo=5386422&amp;fecha=24/03/2015</w:t>
        </w:r>
      </w:hyperlink>
      <w:r w:rsidRPr="00AF4B25">
        <w:rPr>
          <w:rStyle w:val="Hipervnculo"/>
        </w:rPr>
        <w:t xml:space="preserve"> </w:t>
      </w:r>
    </w:p>
  </w:footnote>
  <w:footnote w:id="2">
    <w:p w14:paraId="62F14186" w14:textId="77777777" w:rsidR="007846AF" w:rsidRPr="00372137" w:rsidRDefault="007846AF" w:rsidP="00CF5217">
      <w:pPr>
        <w:pStyle w:val="Textonotapie"/>
        <w:ind w:left="113" w:hanging="113"/>
        <w:rPr>
          <w:color w:val="0000FF"/>
        </w:rPr>
      </w:pPr>
      <w:r w:rsidRPr="008D28ED">
        <w:rPr>
          <w:rStyle w:val="Refdenotaalpie"/>
        </w:rPr>
        <w:footnoteRef/>
      </w:r>
      <w:r w:rsidRPr="008D28ED">
        <w:t xml:space="preserve"> </w:t>
      </w:r>
      <w:hyperlink r:id="rId2" w:history="1">
        <w:r w:rsidRPr="00372137">
          <w:rPr>
            <w:rStyle w:val="Hipervnculo"/>
          </w:rPr>
          <w:t>http://www.sct.gob.mx/despliega-noticias/article/se-instalo-mesa-de-coordinacion-mexico-conectado-en-nuevo-leon/</w:t>
        </w:r>
      </w:hyperlink>
    </w:p>
    <w:p w14:paraId="5C6BAAD6" w14:textId="77777777" w:rsidR="007846AF" w:rsidRPr="008D28ED" w:rsidRDefault="007846AF" w:rsidP="00CF5217">
      <w:pPr>
        <w:pStyle w:val="Textonotapie"/>
      </w:pPr>
      <w:r w:rsidRPr="00372137">
        <w:rPr>
          <w:color w:val="0000FF"/>
        </w:rPr>
        <w:t xml:space="preserve">  </w:t>
      </w:r>
      <w:hyperlink r:id="rId3" w:history="1">
        <w:r w:rsidRPr="00372137">
          <w:rPr>
            <w:rStyle w:val="Hipervnculo"/>
          </w:rPr>
          <w:t>http://www.sct.gob.mx/despliega-noticias/article/mexico-conectado-acceso-gratuito-a-internet/</w:t>
        </w:r>
      </w:hyperlink>
    </w:p>
  </w:footnote>
  <w:footnote w:id="3">
    <w:p w14:paraId="29A710D8" w14:textId="77777777" w:rsidR="007846AF" w:rsidRPr="00505C4C" w:rsidRDefault="007846AF" w:rsidP="008D28ED">
      <w:pPr>
        <w:pStyle w:val="Textonotapie"/>
        <w:ind w:left="113" w:right="-159" w:hanging="113"/>
        <w:jc w:val="both"/>
        <w:rPr>
          <w:lang w:val="es-MX"/>
        </w:rPr>
      </w:pPr>
      <w:r w:rsidRPr="008D28ED">
        <w:rPr>
          <w:rStyle w:val="TextonotapieCar"/>
          <w:vertAlign w:val="superscript"/>
        </w:rPr>
        <w:footnoteRef/>
      </w:r>
      <w:r w:rsidRPr="00505C4C">
        <w:t xml:space="preserve"> </w:t>
      </w:r>
      <w:r>
        <w:t>La gran mayoría de las series económicas se ven afectadas por factores estacionales y de calendario. El ajuste de las cifras por dichos factores permite obtener las cifras desestacionalizadas, cuyo análisis ayuda a realizar un mejor diagnóstico de la evolución de las variables.</w:t>
      </w:r>
    </w:p>
  </w:footnote>
  <w:footnote w:id="4">
    <w:p w14:paraId="093DEA44" w14:textId="77777777" w:rsidR="007846AF" w:rsidRPr="00505C4C" w:rsidRDefault="007846AF" w:rsidP="00D82731">
      <w:pPr>
        <w:pStyle w:val="Textonotapie"/>
        <w:ind w:left="170" w:hanging="170"/>
        <w:jc w:val="both"/>
        <w:rPr>
          <w:lang w:val="es-MX"/>
        </w:rPr>
      </w:pPr>
      <w:r w:rsidRPr="008D28ED">
        <w:rPr>
          <w:rStyle w:val="TextonotapieCar"/>
          <w:vertAlign w:val="superscript"/>
        </w:rPr>
        <w:footnoteRef/>
      </w:r>
      <w:r w:rsidRPr="00505C4C">
        <w:t xml:space="preserve"> </w:t>
      </w:r>
      <w:r w:rsidRPr="00727E52">
        <w:t>Variación anual de las cifras desestacionalizadas.</w:t>
      </w:r>
    </w:p>
  </w:footnote>
  <w:footnote w:id="5">
    <w:p w14:paraId="02D0F010" w14:textId="77777777" w:rsidR="007846AF" w:rsidRPr="00372137" w:rsidRDefault="007846AF" w:rsidP="00A55790">
      <w:pPr>
        <w:pStyle w:val="Textonotapie"/>
        <w:ind w:left="113" w:hanging="113"/>
        <w:rPr>
          <w:color w:val="0000FF"/>
        </w:rPr>
      </w:pPr>
      <w:r w:rsidRPr="009940FA">
        <w:rPr>
          <w:rStyle w:val="Refdenotaalpie"/>
        </w:rPr>
        <w:footnoteRef/>
      </w:r>
      <w:r w:rsidRPr="009940FA">
        <w:t xml:space="preserve"> </w:t>
      </w:r>
      <w:hyperlink r:id="rId4" w:history="1">
        <w:r w:rsidRPr="00372137">
          <w:rPr>
            <w:rStyle w:val="Hipervnculo"/>
          </w:rPr>
          <w:t>http://www.sct.gob.mx/despliega-noticias/article/libramiento-oriente-de-chihuahua-obra-que-fortalece-el-sistema-carretero-en-la-zona-norte-del-pais/</w:t>
        </w:r>
      </w:hyperlink>
    </w:p>
  </w:footnote>
  <w:footnote w:id="6">
    <w:p w14:paraId="61799BE3" w14:textId="77777777" w:rsidR="007846AF" w:rsidRPr="00372137" w:rsidRDefault="007846AF" w:rsidP="00E6455F">
      <w:pPr>
        <w:pStyle w:val="Textonotapie"/>
        <w:ind w:left="113" w:hanging="113"/>
        <w:rPr>
          <w:color w:val="0000FF"/>
        </w:rPr>
      </w:pPr>
      <w:r w:rsidRPr="008D28ED">
        <w:rPr>
          <w:rStyle w:val="Refdenotaalpie"/>
        </w:rPr>
        <w:footnoteRef/>
      </w:r>
      <w:r w:rsidRPr="008D28ED">
        <w:t xml:space="preserve"> </w:t>
      </w:r>
      <w:hyperlink r:id="rId5" w:history="1">
        <w:r w:rsidRPr="00372137">
          <w:rPr>
            <w:rStyle w:val="Hipervnculo"/>
          </w:rPr>
          <w:t>http://www.sct.gob.mx/despliega-noticias/article/inversion-sin-precedente-de-la-sct-por-3-mil-mdp-en-infraestructura-carretera-en-tlaxcala/</w:t>
        </w:r>
      </w:hyperlink>
    </w:p>
  </w:footnote>
  <w:footnote w:id="7">
    <w:p w14:paraId="5BCEC1CA" w14:textId="57FF5317" w:rsidR="007846AF" w:rsidRPr="00471B7E" w:rsidRDefault="007846AF" w:rsidP="00372137">
      <w:pPr>
        <w:pStyle w:val="Textonotapie"/>
        <w:ind w:left="154" w:right="-159" w:hanging="154"/>
        <w:jc w:val="both"/>
      </w:pPr>
      <w:r w:rsidRPr="00471B7E">
        <w:rPr>
          <w:rStyle w:val="Refdenotaalpie"/>
        </w:rPr>
        <w:footnoteRef/>
      </w:r>
      <w:r>
        <w:tab/>
      </w:r>
      <w:r w:rsidRPr="00471B7E">
        <w:t>Mide el comportamiento del gasto realizado por los hogares residentes del país en bienes y servicios de consumo, tanto de origen nacional como importado; quedan excluidas las compras de viviendas u objetos valiosos.</w:t>
      </w:r>
    </w:p>
  </w:footnote>
  <w:footnote w:id="8">
    <w:p w14:paraId="25ED42E4" w14:textId="5F24010D" w:rsidR="007846AF" w:rsidRPr="00471B7E" w:rsidRDefault="007846AF" w:rsidP="00372137">
      <w:pPr>
        <w:pStyle w:val="Textonotapie"/>
        <w:ind w:left="154" w:right="-159" w:hanging="154"/>
        <w:jc w:val="both"/>
      </w:pPr>
      <w:r w:rsidRPr="00471B7E">
        <w:rPr>
          <w:rStyle w:val="Refdenotaalpie"/>
        </w:rPr>
        <w:footnoteRef/>
      </w:r>
      <w:r>
        <w:tab/>
      </w:r>
      <w:r w:rsidRPr="00471B7E">
        <w:t>La gran mayoría de las series económicas se ven afectadas por factores estacionales y de calendario. El ajuste de las cifras por dichos factores permite obtener las cifras desestacionalizadas, cuyo análisis ayuda a realizar un mejor diagnóstico de la evolución de las variables.</w:t>
      </w:r>
    </w:p>
  </w:footnote>
  <w:footnote w:id="9">
    <w:p w14:paraId="1A2BFCDF" w14:textId="2B89AB6E" w:rsidR="007846AF" w:rsidRPr="00471B7E" w:rsidRDefault="007846AF" w:rsidP="00372137">
      <w:pPr>
        <w:pStyle w:val="Textonotapie"/>
        <w:ind w:left="154" w:right="-159" w:hanging="154"/>
        <w:jc w:val="both"/>
      </w:pPr>
      <w:r w:rsidRPr="00471B7E">
        <w:rPr>
          <w:rStyle w:val="Refdenotaalpie"/>
        </w:rPr>
        <w:footnoteRef/>
      </w:r>
      <w:r>
        <w:tab/>
      </w:r>
      <w:r w:rsidRPr="00471B7E">
        <w:t>Variación anual de las cifras desestacionalizadas.</w:t>
      </w:r>
    </w:p>
  </w:footnote>
  <w:footnote w:id="10">
    <w:p w14:paraId="3E5CFD39" w14:textId="77777777" w:rsidR="007846AF" w:rsidRPr="0047597A" w:rsidRDefault="007846AF" w:rsidP="00D97E73">
      <w:pPr>
        <w:autoSpaceDE w:val="0"/>
        <w:autoSpaceDN w:val="0"/>
        <w:adjustRightInd w:val="0"/>
        <w:ind w:left="187" w:right="-159" w:hanging="187"/>
        <w:jc w:val="both"/>
        <w:rPr>
          <w:sz w:val="20"/>
          <w:szCs w:val="20"/>
        </w:rPr>
      </w:pPr>
      <w:r w:rsidRPr="0047597A">
        <w:rPr>
          <w:rStyle w:val="Refdenotaalpie"/>
          <w:sz w:val="20"/>
          <w:szCs w:val="20"/>
        </w:rPr>
        <w:footnoteRef/>
      </w:r>
      <w:r w:rsidRPr="0047597A">
        <w:rPr>
          <w:sz w:val="20"/>
          <w:szCs w:val="20"/>
        </w:rPr>
        <w:t xml:space="preserve"> </w:t>
      </w:r>
      <w:r w:rsidRPr="0047597A">
        <w:rPr>
          <w:rFonts w:eastAsia="Calibri"/>
          <w:sz w:val="20"/>
          <w:szCs w:val="20"/>
          <w:lang w:eastAsia="en-US"/>
        </w:rPr>
        <w:t>Por el número de eventos disponibles a la fecha, aún no es posible la desestacionalización de las Expectativas Empresariales de los sectores de la Construcción y del Comercio. En cuanto se tenga la longitud necesaria de las series se realizará el ajuste estacional.</w:t>
      </w:r>
    </w:p>
  </w:footnote>
  <w:footnote w:id="11">
    <w:p w14:paraId="214DB2F0" w14:textId="77777777" w:rsidR="007846AF" w:rsidRPr="00E630EC" w:rsidRDefault="007846AF" w:rsidP="008C5D2D">
      <w:pPr>
        <w:pStyle w:val="Textonotapie"/>
        <w:rPr>
          <w:color w:val="0000FF"/>
        </w:rPr>
      </w:pPr>
      <w:r w:rsidRPr="00512C3D">
        <w:rPr>
          <w:rStyle w:val="Refdenotaalpie"/>
        </w:rPr>
        <w:footnoteRef/>
      </w:r>
      <w:r w:rsidRPr="00512C3D">
        <w:t xml:space="preserve"> </w:t>
      </w:r>
      <w:hyperlink r:id="rId6" w:history="1">
        <w:r w:rsidRPr="00E630EC">
          <w:rPr>
            <w:rStyle w:val="Hipervnculo"/>
          </w:rPr>
          <w:t>http://gaceta.diputados.gob.mx/PDF/62/2015/mar/20150331-I.pdf</w:t>
        </w:r>
      </w:hyperlink>
      <w:r w:rsidRPr="00E630EC">
        <w:rPr>
          <w:color w:val="0000FF"/>
        </w:rPr>
        <w:t xml:space="preserve"> </w:t>
      </w:r>
    </w:p>
  </w:footnote>
  <w:footnote w:id="12">
    <w:p w14:paraId="117ED838" w14:textId="77777777" w:rsidR="007846AF" w:rsidRPr="00E630EC" w:rsidRDefault="007846AF" w:rsidP="002D432B">
      <w:pPr>
        <w:pStyle w:val="Textonotapie"/>
        <w:ind w:left="170" w:hanging="170"/>
        <w:rPr>
          <w:color w:val="0000FF"/>
        </w:rPr>
      </w:pPr>
      <w:r w:rsidRPr="00D93A0C">
        <w:rPr>
          <w:rStyle w:val="Refdenotaalpie"/>
        </w:rPr>
        <w:footnoteRef/>
      </w:r>
      <w:r w:rsidRPr="00D93A0C">
        <w:t xml:space="preserve"> </w:t>
      </w:r>
      <w:hyperlink r:id="rId7" w:history="1">
        <w:r w:rsidRPr="00E630EC">
          <w:rPr>
            <w:rStyle w:val="Hipervnculo"/>
          </w:rPr>
          <w:t>http://www.conacyt.mx/index.php/comunicacion/comunicados-prensa/458-preside-enrique-pena-nieto-el-consejo-general-de-investigacion-cientifica-y-desarrollo-tecnologico-e-innovacion</w:t>
        </w:r>
      </w:hyperlink>
      <w:r w:rsidRPr="00E630EC">
        <w:rPr>
          <w:color w:val="0000FF"/>
        </w:rPr>
        <w:t xml:space="preserve"> </w:t>
      </w:r>
    </w:p>
  </w:footnote>
  <w:footnote w:id="13">
    <w:p w14:paraId="2071284E" w14:textId="77777777" w:rsidR="007846AF" w:rsidRPr="004337CD" w:rsidRDefault="007846AF" w:rsidP="00E6455F">
      <w:pPr>
        <w:pStyle w:val="Textonotapie"/>
        <w:ind w:left="170" w:right="-159" w:hanging="170"/>
        <w:rPr>
          <w:color w:val="0000FF"/>
        </w:rPr>
      </w:pPr>
      <w:r w:rsidRPr="00E6455F">
        <w:rPr>
          <w:rStyle w:val="Refdenotaalpie"/>
        </w:rPr>
        <w:footnoteRef/>
      </w:r>
      <w:r w:rsidRPr="00E6455F">
        <w:t xml:space="preserve"> </w:t>
      </w:r>
      <w:hyperlink r:id="rId8" w:history="1">
        <w:r w:rsidRPr="004337CD">
          <w:rPr>
            <w:rStyle w:val="Hipervnculo"/>
          </w:rPr>
          <w:t>http://www.presidencia.gob.mx/articulos-prensa/diversas-intervenciones-durante-el-anuncio-de-inversion-de-los-proyectos-de-motores-y-transmisiones-de-ford-motor-company/</w:t>
        </w:r>
      </w:hyperlink>
      <w:r w:rsidRPr="004337CD">
        <w:rPr>
          <w:color w:val="0000FF"/>
        </w:rPr>
        <w:t xml:space="preserve"> </w:t>
      </w:r>
    </w:p>
  </w:footnote>
  <w:footnote w:id="14">
    <w:p w14:paraId="302408E3" w14:textId="77777777" w:rsidR="007846AF" w:rsidRPr="004337CD" w:rsidRDefault="007846AF" w:rsidP="0062180C">
      <w:pPr>
        <w:pStyle w:val="Textonotapie"/>
        <w:rPr>
          <w:color w:val="0000FF"/>
        </w:rPr>
      </w:pPr>
      <w:r w:rsidRPr="00E6455F">
        <w:rPr>
          <w:rStyle w:val="Refdenotaalpie"/>
        </w:rPr>
        <w:footnoteRef/>
      </w:r>
      <w:r w:rsidRPr="00E6455F">
        <w:t xml:space="preserve"> </w:t>
      </w:r>
      <w:hyperlink r:id="rId9" w:history="1">
        <w:r w:rsidRPr="004337CD">
          <w:rPr>
            <w:rStyle w:val="Hipervnculo"/>
          </w:rPr>
          <w:t>http://www.economia.gob.mx/eventos-noticias/informacion-relevante/11009-pie15-04-17</w:t>
        </w:r>
      </w:hyperlink>
    </w:p>
  </w:footnote>
  <w:footnote w:id="15">
    <w:p w14:paraId="7175AA0E" w14:textId="77777777" w:rsidR="007846AF" w:rsidRPr="004337CD" w:rsidRDefault="007846AF" w:rsidP="00E6455F">
      <w:pPr>
        <w:pStyle w:val="Textonotapie"/>
        <w:ind w:left="170" w:right="-159" w:hanging="170"/>
        <w:rPr>
          <w:color w:val="0000FF"/>
        </w:rPr>
      </w:pPr>
      <w:r w:rsidRPr="00E6455F">
        <w:rPr>
          <w:rStyle w:val="Refdenotaalpie"/>
        </w:rPr>
        <w:footnoteRef/>
      </w:r>
      <w:r w:rsidRPr="00E6455F">
        <w:t xml:space="preserve"> </w:t>
      </w:r>
      <w:hyperlink r:id="rId10" w:history="1">
        <w:r w:rsidRPr="004337CD">
          <w:rPr>
            <w:rStyle w:val="Hipervnculo"/>
          </w:rPr>
          <w:t>https://media.ford.com/content/fordmedia/fna/us/en/news/2015/04/17/ford-announces-2-5-billion-usd-investment.html</w:t>
        </w:r>
      </w:hyperlink>
      <w:r w:rsidRPr="004337CD">
        <w:rPr>
          <w:color w:val="0000FF"/>
        </w:rPr>
        <w:t xml:space="preserve"> </w:t>
      </w:r>
    </w:p>
  </w:footnote>
  <w:footnote w:id="16">
    <w:p w14:paraId="119C670C" w14:textId="77777777" w:rsidR="007846AF" w:rsidRPr="00BA4D74" w:rsidRDefault="007846AF" w:rsidP="0085792A">
      <w:pPr>
        <w:pStyle w:val="Textonotapie"/>
        <w:ind w:left="113" w:hanging="113"/>
        <w:rPr>
          <w:lang w:val="es-MX"/>
        </w:rPr>
      </w:pPr>
      <w:r w:rsidRPr="00BA4D74">
        <w:rPr>
          <w:rStyle w:val="Refdenotaalpie"/>
        </w:rPr>
        <w:footnoteRef/>
      </w:r>
      <w:r>
        <w:rPr>
          <w:lang w:val="es-MX"/>
        </w:rPr>
        <w:t xml:space="preserve"> </w:t>
      </w:r>
      <w:r w:rsidRPr="00502494">
        <w:rPr>
          <w:lang w:val="es-MX"/>
        </w:rPr>
        <w:t>Naciones Unidas. Centro de Noticias ONU, comunicado de prensa publicado el 01 de abril de 2015</w:t>
      </w:r>
      <w:r w:rsidRPr="00BA4D74">
        <w:rPr>
          <w:lang w:val="es-MX"/>
        </w:rPr>
        <w:t>.</w:t>
      </w:r>
    </w:p>
  </w:footnote>
  <w:footnote w:id="17">
    <w:p w14:paraId="3829E285" w14:textId="77777777" w:rsidR="007846AF" w:rsidRPr="00325F6A" w:rsidRDefault="007846AF" w:rsidP="00D97E73">
      <w:pPr>
        <w:pStyle w:val="Textonotapie"/>
        <w:ind w:left="187" w:right="-159" w:hanging="187"/>
        <w:jc w:val="both"/>
        <w:rPr>
          <w:lang w:val="es-MX"/>
        </w:rPr>
      </w:pPr>
      <w:r>
        <w:rPr>
          <w:rStyle w:val="Refdenotaalpie"/>
        </w:rPr>
        <w:footnoteRef/>
      </w:r>
      <w:r>
        <w:t xml:space="preserve"> </w:t>
      </w:r>
      <w:r>
        <w:rPr>
          <w:lang w:val="es-MX"/>
        </w:rPr>
        <w:t>Banco de México. Encuesta sobre las expectativas de los especialistas en economía del sector privado: Marzo 2015, publicado el 5 de marzo de 2015.</w:t>
      </w:r>
    </w:p>
  </w:footnote>
  <w:footnote w:id="18">
    <w:p w14:paraId="39E3D3C5" w14:textId="484FBB81" w:rsidR="007846AF" w:rsidRPr="00EB5A79" w:rsidRDefault="007846AF" w:rsidP="00D97E73">
      <w:pPr>
        <w:pStyle w:val="Textonotapie"/>
        <w:ind w:left="227" w:right="-159" w:hanging="227"/>
        <w:jc w:val="both"/>
        <w:rPr>
          <w:lang w:val="es-MX"/>
        </w:rPr>
      </w:pPr>
      <w:r w:rsidRPr="00EB5A79">
        <w:rPr>
          <w:rStyle w:val="Refdenotaalpie"/>
        </w:rPr>
        <w:footnoteRef/>
      </w:r>
      <w:r w:rsidRPr="00EB5A79">
        <w:t xml:space="preserve"> </w:t>
      </w:r>
      <w:r w:rsidRPr="00AF7C3F">
        <w:t xml:space="preserve">FUENTE: </w:t>
      </w:r>
      <w:r w:rsidRPr="00AF7C3F">
        <w:rPr>
          <w:rFonts w:eastAsia="Times New Roman"/>
          <w:i/>
          <w:iCs/>
          <w:lang w:val="es-MX"/>
        </w:rPr>
        <w:t>International Organization of Motor Vehicle Manufacturers – www.oica.net</w:t>
      </w:r>
    </w:p>
  </w:footnote>
  <w:footnote w:id="19">
    <w:p w14:paraId="04015562" w14:textId="77777777" w:rsidR="007846AF" w:rsidRPr="00A36E30" w:rsidRDefault="007846AF" w:rsidP="00380EBF">
      <w:pPr>
        <w:autoSpaceDE w:val="0"/>
        <w:autoSpaceDN w:val="0"/>
        <w:adjustRightInd w:val="0"/>
        <w:ind w:left="187" w:right="-159" w:hanging="187"/>
        <w:jc w:val="both"/>
        <w:rPr>
          <w:sz w:val="20"/>
          <w:szCs w:val="20"/>
        </w:rPr>
      </w:pPr>
      <w:r w:rsidRPr="00A36E30">
        <w:rPr>
          <w:rStyle w:val="Refdenotaalpie"/>
          <w:sz w:val="20"/>
          <w:szCs w:val="20"/>
        </w:rPr>
        <w:footnoteRef/>
      </w:r>
      <w:r w:rsidRPr="00A36E30">
        <w:rPr>
          <w:sz w:val="20"/>
          <w:szCs w:val="20"/>
        </w:rPr>
        <w:t xml:space="preserve"> En específico, se muestra en las gráficas la media, la mediana y el intervalo intercuartil. La media representa el promedio de las respuestas de los analistas en cada encuesta mensual. La mediana es el valor que divide a la mitad a la distribución de las respuestas obtenidas cada mes, una vez que éstas han sido ordenadas de menor a mayor; es decir, es el valor en el cual se acumula el 50% de la distribución de los datos. El intervalo intercuartil corresponde al rango de valores entre el primer y el tercer cuartil de la distribución de respuestas obtenidas de los analistas cada mes.</w:t>
      </w:r>
    </w:p>
  </w:footnote>
  <w:footnote w:id="20">
    <w:p w14:paraId="4235528A" w14:textId="77777777" w:rsidR="007846AF" w:rsidRPr="00A26826" w:rsidRDefault="007846AF" w:rsidP="00380EBF">
      <w:pPr>
        <w:pStyle w:val="Textonotapie"/>
        <w:autoSpaceDE w:val="0"/>
        <w:autoSpaceDN w:val="0"/>
        <w:adjustRightInd w:val="0"/>
        <w:ind w:left="170" w:right="-159" w:hanging="170"/>
        <w:jc w:val="both"/>
      </w:pPr>
      <w:r>
        <w:rPr>
          <w:rStyle w:val="Refdenotaalpie"/>
        </w:rPr>
        <w:footnoteRef/>
      </w:r>
      <w:r>
        <w:t xml:space="preserve"> </w:t>
      </w:r>
      <w:r w:rsidRPr="00A26826">
        <w:t xml:space="preserve">A cada especialista encuestado se le pregunta la probabilidad de que la variable de interés se encuentre en un rango específico de valores para </w:t>
      </w:r>
      <w:r>
        <w:t>el perí</w:t>
      </w:r>
      <w:r w:rsidRPr="00A26826">
        <w:t>odo de tiempo indicado. Así, cada especialista, en cada encuesta, le asigna a cada rango un número entre cero y cien, bajo la restricción</w:t>
      </w:r>
      <w:r>
        <w:t xml:space="preserve"> </w:t>
      </w:r>
      <w:r w:rsidRPr="00A26826">
        <w:t>de que la suma de las respuestas de todos los rangos de valores sea</w:t>
      </w:r>
      <w:r>
        <w:t xml:space="preserve"> </w:t>
      </w:r>
      <w:r w:rsidRPr="00A26826">
        <w:t>igual a cien. En las gráficas correspondientes de este reporte se muestra</w:t>
      </w:r>
      <w:r>
        <w:t xml:space="preserve"> </w:t>
      </w:r>
      <w:r w:rsidRPr="00A26826">
        <w:t>para cada rango el promedio de las respuestas de los analistas</w:t>
      </w:r>
      <w:r>
        <w:t xml:space="preserve"> </w:t>
      </w:r>
      <w:r w:rsidRPr="00A26826">
        <w:t>encuestados, de modo que se presenta una distribución de probabilidad</w:t>
      </w:r>
      <w:r>
        <w:t xml:space="preserve"> </w:t>
      </w:r>
      <w:r w:rsidRPr="00A26826">
        <w:t>“promedio”.</w:t>
      </w:r>
    </w:p>
  </w:footnote>
  <w:footnote w:id="21">
    <w:p w14:paraId="12AC4BFB" w14:textId="77777777" w:rsidR="007846AF" w:rsidRPr="00A36E30" w:rsidRDefault="007846AF" w:rsidP="008552DB">
      <w:pPr>
        <w:autoSpaceDE w:val="0"/>
        <w:autoSpaceDN w:val="0"/>
        <w:adjustRightInd w:val="0"/>
        <w:ind w:left="198" w:right="-159" w:hanging="198"/>
        <w:jc w:val="both"/>
        <w:rPr>
          <w:sz w:val="20"/>
          <w:szCs w:val="20"/>
        </w:rPr>
      </w:pPr>
      <w:r w:rsidRPr="00A36E30">
        <w:rPr>
          <w:rStyle w:val="Refdenotaalpie"/>
          <w:sz w:val="20"/>
          <w:szCs w:val="20"/>
        </w:rPr>
        <w:footnoteRef/>
      </w:r>
      <w:r w:rsidRPr="00A36E30">
        <w:rPr>
          <w:sz w:val="20"/>
          <w:szCs w:val="20"/>
        </w:rPr>
        <w:t xml:space="preserve"> La opción sobre la plataforma de producción petrolera se incorporó por primera vez como factor que podría obstaculizar el crecimiento económico de México en la encuesta de marzo de 2015.</w:t>
      </w:r>
    </w:p>
  </w:footnote>
  <w:footnote w:id="22">
    <w:p w14:paraId="19DE30B5" w14:textId="77777777" w:rsidR="007846AF" w:rsidRPr="00022974" w:rsidRDefault="007846AF" w:rsidP="00022974">
      <w:pPr>
        <w:pStyle w:val="Textonotapie"/>
        <w:jc w:val="both"/>
      </w:pPr>
      <w:r w:rsidRPr="00022974">
        <w:rPr>
          <w:rStyle w:val="Refdenotaalpie"/>
        </w:rPr>
        <w:footnoteRef/>
      </w:r>
      <w:r w:rsidRPr="00022974">
        <w:t xml:space="preserve"> De acuerdo con el Programa Anual de Financiamiento. </w:t>
      </w:r>
    </w:p>
    <w:p w14:paraId="7BFF5356" w14:textId="2F531AFD" w:rsidR="007846AF" w:rsidRPr="00710C76" w:rsidRDefault="0045651A" w:rsidP="00D1555E">
      <w:pPr>
        <w:pStyle w:val="Textonotapie"/>
        <w:ind w:left="187"/>
        <w:jc w:val="both"/>
        <w:rPr>
          <w:color w:val="0000FF"/>
        </w:rPr>
      </w:pPr>
      <w:hyperlink r:id="rId11" w:history="1">
        <w:r w:rsidR="007846AF" w:rsidRPr="00710C76">
          <w:rPr>
            <w:rStyle w:val="Hipervnculo"/>
          </w:rPr>
          <w:t>http://www.hacienda.gob.mx/POLITICAFINANCIERA/credito_publico_ ii/pol_credito_publico/plan_anual/PAF2015.pdf</w:t>
        </w:r>
      </w:hyperlink>
      <w:r w:rsidR="007846AF" w:rsidRPr="00710C76">
        <w:rPr>
          <w:color w:val="0000FF"/>
        </w:rPr>
        <w:t xml:space="preserve"> </w:t>
      </w:r>
    </w:p>
  </w:footnote>
  <w:footnote w:id="23">
    <w:p w14:paraId="0D2D044E" w14:textId="7C02378F" w:rsidR="007846AF" w:rsidRPr="0024578F" w:rsidRDefault="007846AF" w:rsidP="00710C76">
      <w:pPr>
        <w:pStyle w:val="Textonotapie"/>
        <w:ind w:left="210" w:right="-159" w:hanging="210"/>
        <w:jc w:val="both"/>
      </w:pPr>
      <w:r w:rsidRPr="0024578F">
        <w:rPr>
          <w:rStyle w:val="Refdenotaalpie"/>
        </w:rPr>
        <w:footnoteRef/>
      </w:r>
      <w:r>
        <w:tab/>
      </w:r>
      <w:r w:rsidRPr="0024578F">
        <w:t>Permiten que una mayoría de inversionistas en bonos individuales acuerden colectivamente los términos de una reestructura, de modo que el 75% del total de tenedores de bonos de un país puedan obligar al resto a aceptar los términos de la reestructura y que las votaciones puedan realizarse a través de todo el acervo (stock) de deuda del país.</w:t>
      </w:r>
    </w:p>
  </w:footnote>
  <w:footnote w:id="24">
    <w:p w14:paraId="130AD3C5" w14:textId="19DC8A8A" w:rsidR="007846AF" w:rsidRPr="0024578F" w:rsidRDefault="007846AF" w:rsidP="00710C76">
      <w:pPr>
        <w:pStyle w:val="Textonotapie"/>
        <w:ind w:left="210" w:right="-159" w:hanging="210"/>
        <w:jc w:val="both"/>
      </w:pPr>
      <w:r w:rsidRPr="0024578F">
        <w:rPr>
          <w:rStyle w:val="Refdenotaalpie"/>
        </w:rPr>
        <w:footnoteRef/>
      </w:r>
      <w:r>
        <w:tab/>
      </w:r>
      <w:r w:rsidRPr="0024578F">
        <w:t>Establece “igualdad de trato” para los acreedores, debiendo guardar los mismos derechos y obligaciones y la misma prelación de pagos, sin beneficiar a unos por encima de otros.</w:t>
      </w:r>
    </w:p>
  </w:footnote>
  <w:footnote w:id="25">
    <w:p w14:paraId="13265BAA" w14:textId="77777777" w:rsidR="007846AF" w:rsidRPr="0081441B" w:rsidRDefault="007846AF" w:rsidP="00233DB3">
      <w:pPr>
        <w:pStyle w:val="Textonotapie"/>
        <w:ind w:left="227" w:right="-159" w:hanging="227"/>
        <w:jc w:val="both"/>
      </w:pPr>
      <w:r w:rsidRPr="0081441B">
        <w:rPr>
          <w:rStyle w:val="Refdenotaalpie"/>
        </w:rPr>
        <w:footnoteRef/>
      </w:r>
      <w:r w:rsidRPr="0081441B">
        <w:t xml:space="preserve"> </w:t>
      </w:r>
      <w:r w:rsidRPr="0081441B">
        <w:rPr>
          <w:i/>
        </w:rPr>
        <w:t>Organization for Economic Cooperation and Development</w:t>
      </w:r>
      <w:r w:rsidRPr="0081441B">
        <w:t>. TERCERA REUNIÓN DEL FORO OCDE SOBRE ADMINISTRACIÓN TRIBUTARIA. 14-15 septiembre de 2006. Seúl, Corea.</w:t>
      </w:r>
    </w:p>
  </w:footnote>
  <w:footnote w:id="26">
    <w:p w14:paraId="419737BD" w14:textId="14B7F7B8" w:rsidR="007846AF" w:rsidRPr="0081441B" w:rsidRDefault="007846AF" w:rsidP="00D1555E">
      <w:pPr>
        <w:pStyle w:val="Textonotapie"/>
        <w:ind w:left="187" w:right="-159" w:hanging="187"/>
        <w:jc w:val="both"/>
      </w:pPr>
      <w:r w:rsidRPr="0081441B">
        <w:rPr>
          <w:rStyle w:val="Refdenotaalpie"/>
        </w:rPr>
        <w:footnoteRef/>
      </w:r>
      <w:r w:rsidRPr="0081441B">
        <w:t xml:space="preserve"> Artículos 2 y 3 del Acuerdo Entre la Secretar</w:t>
      </w:r>
      <w:r>
        <w:t>í</w:t>
      </w:r>
      <w:r w:rsidRPr="0081441B">
        <w:t>a de Hacienda y Crédito Público y el Departamento del Tesoro de Estados Unidos de Norteamérica en Materia de Intercambio de Información Financiera con Respecto a FATCA.</w:t>
      </w:r>
    </w:p>
  </w:footnote>
  <w:footnote w:id="27">
    <w:p w14:paraId="6142233A" w14:textId="77777777" w:rsidR="007846AF" w:rsidRPr="0081441B" w:rsidRDefault="007846AF" w:rsidP="00D1555E">
      <w:pPr>
        <w:pStyle w:val="Textonotapie"/>
        <w:ind w:left="198" w:right="-159" w:hanging="198"/>
        <w:jc w:val="both"/>
      </w:pPr>
      <w:r w:rsidRPr="0081441B">
        <w:rPr>
          <w:rStyle w:val="Refdenotaalpie"/>
        </w:rPr>
        <w:footnoteRef/>
      </w:r>
      <w:r w:rsidRPr="0081441B">
        <w:t xml:space="preserve"> </w:t>
      </w:r>
      <w:r w:rsidRPr="006A1EB1">
        <w:t>Comunicado de prensa de la SHCP del 11 de junio de 2013: “México solicita participar en la iniciativa multilateral del intercambio automático de información en materia fiscal”.</w:t>
      </w:r>
    </w:p>
  </w:footnote>
  <w:footnote w:id="28">
    <w:p w14:paraId="31B0844B" w14:textId="77777777" w:rsidR="007846AF" w:rsidRPr="007846AF" w:rsidRDefault="007846AF" w:rsidP="00F55EB8">
      <w:pPr>
        <w:pStyle w:val="Textonotapie"/>
        <w:rPr>
          <w:color w:val="0000FF"/>
        </w:rPr>
      </w:pPr>
      <w:r w:rsidRPr="00E055D6">
        <w:rPr>
          <w:rStyle w:val="Refdenotaalpie"/>
        </w:rPr>
        <w:footnoteRef/>
      </w:r>
      <w:r w:rsidRPr="00E055D6">
        <w:t xml:space="preserve"> </w:t>
      </w:r>
      <w:hyperlink r:id="rId12" w:history="1">
        <w:r w:rsidRPr="007846AF">
          <w:rPr>
            <w:rStyle w:val="Hipervnculo"/>
          </w:rPr>
          <w:t>http://www.ilo.org/wcmsp5/groups/public/---americas/---ro-lima/documents/publication/wcms_357452.pdf</w:t>
        </w:r>
      </w:hyperlink>
    </w:p>
  </w:footnote>
  <w:footnote w:id="29">
    <w:p w14:paraId="5BCFF7C1" w14:textId="77777777" w:rsidR="007846AF" w:rsidRPr="00977015" w:rsidRDefault="007846AF" w:rsidP="00F55EB8">
      <w:pPr>
        <w:pStyle w:val="Textonotapie"/>
      </w:pPr>
      <w:r w:rsidRPr="00977015">
        <w:rPr>
          <w:rStyle w:val="Refdenotaalpie"/>
        </w:rPr>
        <w:footnoteRef/>
      </w:r>
      <w:r w:rsidRPr="00977015">
        <w:t xml:space="preserve"> E</w:t>
      </w:r>
      <w:r>
        <w:t>xpresados en moneda local.</w:t>
      </w:r>
    </w:p>
  </w:footnote>
  <w:footnote w:id="30">
    <w:p w14:paraId="351979FE" w14:textId="77777777" w:rsidR="007846AF" w:rsidRPr="00261605" w:rsidRDefault="007846AF" w:rsidP="005B5C5D">
      <w:pPr>
        <w:pStyle w:val="Textonotapie"/>
        <w:ind w:left="187" w:right="-159" w:hanging="187"/>
        <w:jc w:val="both"/>
      </w:pPr>
      <w:r w:rsidRPr="00E06EFC">
        <w:rPr>
          <w:rStyle w:val="Refdenotaalpie"/>
        </w:rPr>
        <w:footnoteRef/>
      </w:r>
      <w:r w:rsidRPr="00E06EFC">
        <w:t xml:space="preserve"> </w:t>
      </w:r>
      <w:r>
        <w:t xml:space="preserve">Robert Skidelsky </w:t>
      </w:r>
      <w:r w:rsidRPr="00575828">
        <w:t>es profesor emérito de Economía Política en la Universidad de Warwick y miembro de la Academia Británica de historia y economía, es miembro de la Cámara Británica de los Lores. Autor de una biografía en tres volúmenes de John Maynard Keynes, que comenzó su carrera política en el Partido Laborista, se convirtió en el vocero del Partido Conservador para Asuntos del Tesoro de la Cámara de los Lores, y finalmente fue expulsado del Partido Conservador por su oposición a la intervención de la Organización del Tratado del Atlántico Norte (OTAN) en Kosovo en 1999.</w:t>
      </w:r>
    </w:p>
  </w:footnote>
  <w:footnote w:id="31">
    <w:p w14:paraId="35057F40" w14:textId="1D02EDEB" w:rsidR="007846AF" w:rsidRPr="007846AF" w:rsidRDefault="007846AF" w:rsidP="005F5958">
      <w:pPr>
        <w:pStyle w:val="Textonotapie"/>
        <w:ind w:left="140" w:hanging="140"/>
        <w:rPr>
          <w:u w:val="single"/>
        </w:rPr>
      </w:pPr>
      <w:r w:rsidRPr="00CC659A">
        <w:rPr>
          <w:rStyle w:val="Refdenotaalpie"/>
        </w:rPr>
        <w:footnoteRef/>
      </w:r>
      <w:hyperlink r:id="rId13" w:history="1">
        <w:r w:rsidRPr="007846AF">
          <w:rPr>
            <w:rStyle w:val="Hipervnculo"/>
          </w:rPr>
          <w:t>http://www.cnbv.gob.mx/Normatividad/Ley%20para%20la%20Transparencia%20y%20Ordenamiento%20de%20los%20Servicios%20Financieros.pdf</w:t>
        </w:r>
      </w:hyperlink>
      <w:r w:rsidRPr="007846AF">
        <w:rPr>
          <w:u w:val="single"/>
        </w:rPr>
        <w:t xml:space="preserve"> </w:t>
      </w:r>
    </w:p>
  </w:footnote>
  <w:footnote w:id="32">
    <w:p w14:paraId="57EAF23B" w14:textId="355B5B4E" w:rsidR="007846AF" w:rsidRPr="005A4BCE" w:rsidRDefault="007846AF" w:rsidP="00C91122">
      <w:pPr>
        <w:pStyle w:val="Textonotapie"/>
        <w:ind w:left="210" w:right="-159" w:hanging="210"/>
        <w:jc w:val="both"/>
      </w:pPr>
      <w:r w:rsidRPr="005A4BCE">
        <w:rPr>
          <w:rStyle w:val="Refdenotaalpie"/>
        </w:rPr>
        <w:footnoteRef/>
      </w:r>
      <w:r w:rsidRPr="005A4BCE">
        <w:t xml:space="preserve"> En caso de encontrarse inconsistencias en la calidad de la información reportada, se considerará el realizar las observaciones correspondientes y</w:t>
      </w:r>
      <w:r w:rsidR="00922A0D">
        <w:t>,</w:t>
      </w:r>
      <w:r w:rsidRPr="005A4BCE">
        <w:t xml:space="preserve"> en su caso, el inicio de procedimiento sancionatorio, de conformidad con las disposiciones jurídicas aplicables.</w:t>
      </w:r>
    </w:p>
  </w:footnote>
  <w:footnote w:id="33">
    <w:p w14:paraId="2D77B4EF" w14:textId="77777777" w:rsidR="007846AF" w:rsidRPr="00161854" w:rsidRDefault="007846AF" w:rsidP="00E57236">
      <w:pPr>
        <w:pStyle w:val="Textonotapie"/>
        <w:ind w:left="187" w:right="-159" w:hanging="187"/>
        <w:jc w:val="both"/>
      </w:pPr>
      <w:r w:rsidRPr="00161854">
        <w:rPr>
          <w:rStyle w:val="Refdenotaalpie"/>
        </w:rPr>
        <w:footnoteRef/>
      </w:r>
      <w:r w:rsidRPr="00161854">
        <w:t xml:space="preserve"> El contenido que se presenta en este comunicado compara el mes de diciembre de 2014 con el mismo período del año anterior. Adicionalmente y con el propósito de brindar mayor información, en algunos cuadros se presentan los comparativos contra el trimestre inmediato anterior.</w:t>
      </w:r>
    </w:p>
  </w:footnote>
  <w:footnote w:id="34">
    <w:p w14:paraId="6464F483" w14:textId="1E8DDE25" w:rsidR="007846AF" w:rsidRPr="00161854" w:rsidRDefault="007846AF" w:rsidP="008749C7">
      <w:pPr>
        <w:pStyle w:val="Textonotapie"/>
        <w:ind w:left="224" w:right="-159" w:hanging="224"/>
        <w:jc w:val="both"/>
      </w:pPr>
      <w:r w:rsidRPr="00161854">
        <w:rPr>
          <w:rStyle w:val="Refdenotaalpie"/>
        </w:rPr>
        <w:footnoteRef/>
      </w:r>
      <w:r w:rsidR="001256B5">
        <w:tab/>
      </w:r>
      <w:r w:rsidRPr="00161854">
        <w:t>Este aumento es derivado principalmente del crecimiento en el rubro de cancelación de excedentes de Estimación Preventiva para Riesgos Crediticios del grupo Financiero Inbursa, al pasar de 36 mdp en diciembre de 2013 a 13 mil 123 mdp en el mismo período de 2014.</w:t>
      </w:r>
    </w:p>
  </w:footnote>
  <w:footnote w:id="35">
    <w:p w14:paraId="10052E91" w14:textId="03EBCA6D" w:rsidR="007846AF" w:rsidRPr="00161854" w:rsidRDefault="007846AF" w:rsidP="008749C7">
      <w:pPr>
        <w:pStyle w:val="Textonotapie"/>
        <w:ind w:left="224" w:hanging="224"/>
      </w:pPr>
      <w:r w:rsidRPr="00161854">
        <w:rPr>
          <w:rStyle w:val="Refdenotaalpie"/>
        </w:rPr>
        <w:footnoteRef/>
      </w:r>
      <w:r w:rsidR="001256B5">
        <w:tab/>
      </w:r>
      <w:r w:rsidRPr="00161854">
        <w:t>ROA = Resultado neto (acumulado 12 meses) / Activo total, promedio 12 meses.</w:t>
      </w:r>
    </w:p>
  </w:footnote>
  <w:footnote w:id="36">
    <w:p w14:paraId="31D83683" w14:textId="1F726964" w:rsidR="007846AF" w:rsidRPr="00161854" w:rsidRDefault="007846AF" w:rsidP="008749C7">
      <w:pPr>
        <w:pStyle w:val="Textonotapie"/>
        <w:ind w:left="224" w:hanging="224"/>
      </w:pPr>
      <w:r w:rsidRPr="00161854">
        <w:rPr>
          <w:rStyle w:val="Refdenotaalpie"/>
        </w:rPr>
        <w:footnoteRef/>
      </w:r>
      <w:r w:rsidR="001256B5">
        <w:tab/>
      </w:r>
      <w:r w:rsidRPr="00161854">
        <w:t>ROE = Resultado neto (acumulado 12 meses) / Capital contable, promedio 12 meses.</w:t>
      </w:r>
    </w:p>
  </w:footnote>
  <w:footnote w:id="37">
    <w:p w14:paraId="43776089" w14:textId="13508EDE" w:rsidR="007846AF" w:rsidRPr="003252F3" w:rsidRDefault="007846AF" w:rsidP="001256B5">
      <w:pPr>
        <w:autoSpaceDE w:val="0"/>
        <w:autoSpaceDN w:val="0"/>
        <w:adjustRightInd w:val="0"/>
        <w:ind w:left="210" w:right="-159" w:hanging="210"/>
        <w:jc w:val="both"/>
      </w:pPr>
      <w:r w:rsidRPr="003252F3">
        <w:rPr>
          <w:rStyle w:val="Refdenotaalpie"/>
          <w:sz w:val="20"/>
          <w:szCs w:val="20"/>
        </w:rPr>
        <w:footnoteRef/>
      </w:r>
      <w:r w:rsidR="001256B5">
        <w:rPr>
          <w:rFonts w:eastAsia="Calibri"/>
          <w:sz w:val="20"/>
          <w:szCs w:val="20"/>
          <w:lang w:eastAsia="en-US"/>
        </w:rPr>
        <w:tab/>
      </w:r>
      <w:r w:rsidRPr="003252F3">
        <w:rPr>
          <w:rFonts w:eastAsia="Calibri"/>
          <w:sz w:val="20"/>
          <w:szCs w:val="20"/>
          <w:lang w:eastAsia="en-US"/>
        </w:rPr>
        <w:t>Incluye el crédito otorgado por las sofomes reguladas de tarjetas de crédito: Tarjetas Banamex, Santander Consumo, Ixe Tarjetas y Sociedad Financiera Inbursa (véase Nota Aclaratoria en el comunicado de prensa de Agregados Monetarios y Actividad Financiera del 29 de enero de 2010).</w:t>
      </w:r>
    </w:p>
  </w:footnote>
  <w:footnote w:id="38">
    <w:p w14:paraId="2E68025D" w14:textId="30AAC091" w:rsidR="007846AF" w:rsidRPr="002B76D2" w:rsidRDefault="007846AF" w:rsidP="007B0259">
      <w:pPr>
        <w:pStyle w:val="Textonotapie"/>
        <w:ind w:left="224" w:right="-159" w:hanging="224"/>
        <w:jc w:val="both"/>
      </w:pPr>
      <w:r w:rsidRPr="000D31C7">
        <w:rPr>
          <w:vertAlign w:val="superscript"/>
        </w:rPr>
        <w:footnoteRef/>
      </w:r>
      <w:r w:rsidR="007B0259">
        <w:tab/>
      </w:r>
      <w:r w:rsidRPr="002B76D2">
        <w:t>El contenido que se presenta compara diciembre de 2014 con el mismo período de 2013. Adicionalmente, y con el propósito de brindar mayor información, en algunos cuadros se presentan los comparativos contra el trimestre anterior.</w:t>
      </w:r>
    </w:p>
  </w:footnote>
  <w:footnote w:id="39">
    <w:p w14:paraId="672F875E" w14:textId="1D5F6A4D" w:rsidR="007846AF" w:rsidRPr="002B76D2" w:rsidRDefault="007846AF" w:rsidP="007B0259">
      <w:pPr>
        <w:pStyle w:val="Textonotapie"/>
        <w:ind w:left="224" w:right="-159" w:hanging="224"/>
      </w:pPr>
      <w:r w:rsidRPr="000D31C7">
        <w:rPr>
          <w:vertAlign w:val="superscript"/>
        </w:rPr>
        <w:footnoteRef/>
      </w:r>
      <w:r w:rsidR="007B0259">
        <w:tab/>
      </w:r>
      <w:r w:rsidRPr="002B76D2">
        <w:t>Unión de Crédito (UC) del Transporte Público; UC de Servicios Financieros de Occidente y UC Starfin.</w:t>
      </w:r>
    </w:p>
  </w:footnote>
  <w:footnote w:id="40">
    <w:p w14:paraId="25691C55" w14:textId="261D4E4F" w:rsidR="007846AF" w:rsidRPr="002B76D2" w:rsidRDefault="007846AF" w:rsidP="007B0259">
      <w:pPr>
        <w:pStyle w:val="Textonotapie"/>
        <w:ind w:left="224" w:right="-159" w:hanging="224"/>
        <w:jc w:val="both"/>
      </w:pPr>
      <w:r w:rsidRPr="00DA7FF3">
        <w:rPr>
          <w:vertAlign w:val="superscript"/>
        </w:rPr>
        <w:footnoteRef/>
      </w:r>
      <w:r w:rsidR="007B0259">
        <w:tab/>
      </w:r>
      <w:r w:rsidRPr="002B76D2">
        <w:t>Las uniones de crédito que no enviaron información en tiempo y forma a diciembre de 2014 son: UC Agrícola del Mayo; UC Alpura; UC de los Fundidores y Maquinadores; UC Empresarial; UC Ejidal, Agropecuaria e Industrial del Municipio de angostura</w:t>
      </w:r>
      <w:r>
        <w:t>.</w:t>
      </w:r>
    </w:p>
  </w:footnote>
  <w:footnote w:id="41">
    <w:p w14:paraId="488B3C45" w14:textId="77777777" w:rsidR="007846AF" w:rsidRPr="002A1CE8" w:rsidRDefault="007846AF" w:rsidP="001C7F15">
      <w:pPr>
        <w:pStyle w:val="Textonotapie"/>
        <w:ind w:left="227" w:right="-159" w:hanging="227"/>
        <w:jc w:val="both"/>
      </w:pPr>
      <w:r w:rsidRPr="002A1CE8">
        <w:rPr>
          <w:rStyle w:val="Refdenotaalpie"/>
        </w:rPr>
        <w:footnoteRef/>
      </w:r>
      <w:r w:rsidRPr="002A1CE8">
        <w:t xml:space="preserve">  Artículo 4 Bis 2: “Con el objeto de incrementar la competencia en el sistema financiero, el Banco de México publicará bimestralmente información e indicadores sobre el comportamiento de las tasas de interés y comisiones correspondientes a los diferentes segmentos del mercado, a fin de que los usuarios cuenten con información que les permita comparar el costo que cobran las instituciones de crédito, sociedades financieras de objeto limitado y sociedades financieras de objeto múltiple reguladas en los diferentes productos que ofrecen”.</w:t>
      </w:r>
    </w:p>
  </w:footnote>
  <w:footnote w:id="42">
    <w:p w14:paraId="209406E0" w14:textId="77777777" w:rsidR="007846AF" w:rsidRPr="002A1CE8" w:rsidRDefault="007846AF" w:rsidP="001C7F15">
      <w:pPr>
        <w:pStyle w:val="Textonotapie"/>
        <w:ind w:left="170" w:right="-159" w:hanging="170"/>
        <w:jc w:val="both"/>
      </w:pPr>
      <w:r w:rsidRPr="002A1CE8">
        <w:rPr>
          <w:rStyle w:val="Refdenotaalpie"/>
        </w:rPr>
        <w:footnoteRef/>
      </w:r>
      <w:r w:rsidRPr="002A1CE8">
        <w:t xml:space="preserve">  Las tarjetas que solamente se aceptan en comercios específicos no están incluidas en el reporte.</w:t>
      </w:r>
    </w:p>
  </w:footnote>
  <w:footnote w:id="43">
    <w:p w14:paraId="69D870C0" w14:textId="77777777" w:rsidR="007846AF" w:rsidRPr="000A6A0B" w:rsidRDefault="007846AF" w:rsidP="008749C7">
      <w:pPr>
        <w:pStyle w:val="Textonotapie"/>
        <w:ind w:left="266" w:right="-159" w:hanging="266"/>
        <w:jc w:val="both"/>
      </w:pPr>
      <w:r w:rsidRPr="000A6A0B">
        <w:rPr>
          <w:rStyle w:val="Refdenotaalpie"/>
        </w:rPr>
        <w:footnoteRef/>
      </w:r>
      <w:r w:rsidRPr="000A6A0B">
        <w:t xml:space="preserve">  Se conoce como cliente “totalero” al que paga el saldo de la tarjeta de crédito cada mes y como “no totalero” al que no lo hace así.</w:t>
      </w:r>
    </w:p>
  </w:footnote>
  <w:footnote w:id="44">
    <w:p w14:paraId="2F6A6A7D" w14:textId="77777777" w:rsidR="007846AF" w:rsidRPr="000A6A0B" w:rsidRDefault="007846AF" w:rsidP="008749C7">
      <w:pPr>
        <w:pStyle w:val="Textonotapie"/>
        <w:ind w:left="266" w:right="-159" w:hanging="266"/>
        <w:jc w:val="both"/>
      </w:pPr>
      <w:r w:rsidRPr="000A6A0B">
        <w:rPr>
          <w:rStyle w:val="Refdenotaalpie"/>
        </w:rPr>
        <w:footnoteRef/>
      </w:r>
      <w:r w:rsidRPr="000A6A0B">
        <w:t xml:space="preserve">  La tasa efectiva se obtiene de anualizar el cociente de los intereses generados en el período entre el saldo correspondiente de cada tarjeta. Para obtener la tasa efectiva promedio ponderada, se multiplica la tasa efectiva de cada tarjeta por su participación en el saldo total y se agrega </w:t>
      </w:r>
      <w:r>
        <w:t>a través de todas las tarjetas</w:t>
      </w:r>
      <w:r w:rsidRPr="000A6A0B">
        <w:t>.</w:t>
      </w:r>
    </w:p>
  </w:footnote>
  <w:footnote w:id="45">
    <w:p w14:paraId="2084171A" w14:textId="77777777" w:rsidR="007846AF" w:rsidRPr="001F2779" w:rsidRDefault="007846AF" w:rsidP="008749C7">
      <w:pPr>
        <w:pStyle w:val="Textonotapie"/>
        <w:ind w:left="266" w:right="-159" w:hanging="238"/>
        <w:jc w:val="both"/>
      </w:pPr>
      <w:r w:rsidRPr="001F2779">
        <w:rPr>
          <w:rStyle w:val="Refdenotaalpie"/>
        </w:rPr>
        <w:footnoteRef/>
      </w:r>
      <w:r w:rsidRPr="001F2779">
        <w:t xml:space="preserve">  El producto representativo de la institución es el que tiene el mayor saldo de crédito entre los productos del mismo tipo (o segmento) que dicha institución ofrece.</w:t>
      </w:r>
    </w:p>
  </w:footnote>
  <w:footnote w:id="46">
    <w:p w14:paraId="0677042F" w14:textId="77777777" w:rsidR="007846AF" w:rsidRDefault="007846AF" w:rsidP="00E30FD5">
      <w:pPr>
        <w:pStyle w:val="Textonotapie"/>
        <w:ind w:left="266" w:right="-159" w:hanging="266"/>
        <w:jc w:val="both"/>
      </w:pPr>
      <w:r>
        <w:rPr>
          <w:rStyle w:val="Refdenotaalpie"/>
        </w:rPr>
        <w:footnoteRef/>
      </w:r>
      <w:r>
        <w:t xml:space="preserve"> </w:t>
      </w:r>
      <w:r w:rsidRPr="001F2779">
        <w:t xml:space="preserve"> Los productos representativos de las tarjetas “Clásicas” o equivalentes con límite de crédito hasta 4 </w:t>
      </w:r>
      <w:r>
        <w:t xml:space="preserve">mil </w:t>
      </w:r>
      <w:r w:rsidRPr="001F2779">
        <w:t>500 pesos incluidos en el cuadro</w:t>
      </w:r>
      <w:r>
        <w:t xml:space="preserve"> </w:t>
      </w:r>
      <w:r w:rsidRPr="007514F2">
        <w:t>“Productos Representativos por Institución, para Clientes no Totaleros en el Segmento de Tarjetas “Clásicas” o Equivalentes con Límite de Crédito hasta 4 mil 500 pesos”</w:t>
      </w:r>
      <w:r w:rsidRPr="001F2779">
        <w:t xml:space="preserve"> representan el 70.8% del saldo de crédito en ese segmento de límite de crédito; con límite de crédito de 4 </w:t>
      </w:r>
      <w:r>
        <w:t xml:space="preserve">mil </w:t>
      </w:r>
      <w:r w:rsidRPr="001F2779">
        <w:t xml:space="preserve">501 a 8 </w:t>
      </w:r>
      <w:r>
        <w:t xml:space="preserve">mil </w:t>
      </w:r>
      <w:r w:rsidRPr="001F2779">
        <w:t>pesos, el 73.6% (cuadro</w:t>
      </w:r>
      <w:r>
        <w:t xml:space="preserve"> </w:t>
      </w:r>
      <w:r w:rsidRPr="0027100A">
        <w:t>“Productos Representativos por Institución, para Clientes no Totaleros en el Segmento de Tarjetas “Clásicas” o Equivalentes con Límite de Crédito entre 4 mil 501 y 8 mil pesos”</w:t>
      </w:r>
      <w:r w:rsidRPr="001F2779">
        <w:t xml:space="preserve">); con límite de crédito entre 8 </w:t>
      </w:r>
      <w:r>
        <w:t xml:space="preserve">mil </w:t>
      </w:r>
      <w:r w:rsidRPr="001F2779">
        <w:t>1 y 15</w:t>
      </w:r>
      <w:r>
        <w:t xml:space="preserve"> mil </w:t>
      </w:r>
      <w:r w:rsidRPr="001F2779">
        <w:t>pesos, el 69.6% (cuadro</w:t>
      </w:r>
      <w:r>
        <w:t xml:space="preserve"> </w:t>
      </w:r>
      <w:r w:rsidRPr="00027236">
        <w:t>“Productos Representativos por Institución, para Clientes no Totaleros en el Segmento de Tarjetas “Clásicas” o Equivalentes con Límite de Crédito entre 8 mil 1 y 15 mil pesos”</w:t>
      </w:r>
      <w:r w:rsidRPr="001F2779">
        <w:t xml:space="preserve">) y con límite de crédito mayor a 15 </w:t>
      </w:r>
      <w:r>
        <w:t>mil el 72.4% (cuadro</w:t>
      </w:r>
      <w:r w:rsidRPr="00671ABF">
        <w:rPr>
          <w:bCs/>
        </w:rPr>
        <w:t xml:space="preserve"> “Productos Representativos por Institución, para Clientes no Totaleros en el Segmento de Tarjetas “Clásicas” o Equivalentes con Límite de Crédito Mayor a 15 mil pesos”</w:t>
      </w:r>
      <w:r w:rsidRPr="001F2779">
        <w:t>).</w:t>
      </w:r>
    </w:p>
  </w:footnote>
  <w:footnote w:id="47">
    <w:p w14:paraId="1EE83A58" w14:textId="45ADB4A5" w:rsidR="007846AF" w:rsidRPr="00A50800" w:rsidRDefault="007846AF" w:rsidP="008F5FED">
      <w:pPr>
        <w:pStyle w:val="Textonotapie"/>
        <w:ind w:left="210" w:right="-159" w:hanging="210"/>
        <w:jc w:val="both"/>
      </w:pPr>
      <w:r w:rsidRPr="00A50800">
        <w:rPr>
          <w:rStyle w:val="Refdenotaalpie"/>
        </w:rPr>
        <w:footnoteRef/>
      </w:r>
      <w:r w:rsidR="008F5FED">
        <w:tab/>
      </w:r>
      <w:r w:rsidRPr="00221DE5">
        <w:t>En esta sección sólo se consideran productos que tengan al menos 0.1% del número de tarjetas en el segmento, que hayan reportado información al Banco de México durante al menos 6 meses y que sean considerados como “estables” o “maduros” por este Instituto Central. Esto con el fin de evitar la volatilidad excesiva de las tasas y CAT correspondientes.</w:t>
      </w:r>
    </w:p>
  </w:footnote>
  <w:footnote w:id="48">
    <w:p w14:paraId="4E130F72" w14:textId="4D116C7F" w:rsidR="007846AF" w:rsidRPr="00A50800" w:rsidRDefault="007846AF" w:rsidP="008F5FED">
      <w:pPr>
        <w:pStyle w:val="Textonotapie"/>
        <w:ind w:left="210" w:right="-159" w:hanging="210"/>
        <w:jc w:val="both"/>
      </w:pPr>
      <w:r w:rsidRPr="00A50800">
        <w:rPr>
          <w:rStyle w:val="Refdenotaalpie"/>
        </w:rPr>
        <w:footnoteRef/>
      </w:r>
      <w:r w:rsidR="008F5FED">
        <w:tab/>
      </w:r>
      <w:r w:rsidRPr="00221DE5">
        <w:t>Algunos productos de tarjeta imponen ciertas restricciones a los clientes potenciales, como ser miembro de algún grupo o consumir algún otro producto.</w:t>
      </w:r>
    </w:p>
  </w:footnote>
  <w:footnote w:id="49">
    <w:p w14:paraId="4C445B36" w14:textId="77777777" w:rsidR="007846AF" w:rsidRPr="00A50800" w:rsidRDefault="007846AF" w:rsidP="008F5FED">
      <w:pPr>
        <w:pStyle w:val="Textonotapie"/>
        <w:ind w:left="238" w:right="-159" w:hanging="238"/>
        <w:jc w:val="both"/>
      </w:pPr>
      <w:r w:rsidRPr="00A50800">
        <w:rPr>
          <w:rStyle w:val="Refdenotaalpie"/>
        </w:rPr>
        <w:footnoteRef/>
      </w:r>
      <w:r w:rsidRPr="00A50800">
        <w:t xml:space="preserve"> </w:t>
      </w:r>
      <w:r w:rsidRPr="00221DE5">
        <w:t xml:space="preserve"> Los umbrales que determinan la pertenencia a los segmentos de tarjetas clásicas por límite de crédito resultan de un análisis de conglomerados que, por medio de métodos iterativos, genera conjuntos de manera tal que la similitud (medida como la distancia euclidiana inversa) de las observaciones entre un mismo conjunto es máxima, y la similitud de las observaciones entre diferentes conjuntos es mínima.</w:t>
      </w:r>
    </w:p>
  </w:footnote>
  <w:footnote w:id="50">
    <w:p w14:paraId="6FF3BF0F" w14:textId="41146699" w:rsidR="007846AF" w:rsidRPr="00A00F2B" w:rsidRDefault="007846AF" w:rsidP="004D3FE5">
      <w:pPr>
        <w:autoSpaceDE w:val="0"/>
        <w:autoSpaceDN w:val="0"/>
        <w:adjustRightInd w:val="0"/>
        <w:ind w:left="227" w:right="-159" w:hanging="227"/>
        <w:jc w:val="both"/>
        <w:rPr>
          <w:sz w:val="20"/>
          <w:szCs w:val="20"/>
        </w:rPr>
      </w:pPr>
      <w:r w:rsidRPr="00A00F2B">
        <w:rPr>
          <w:rStyle w:val="Refdenotaalpie"/>
          <w:sz w:val="20"/>
          <w:szCs w:val="20"/>
        </w:rPr>
        <w:footnoteRef/>
      </w:r>
      <w:r w:rsidRPr="00A00F2B">
        <w:rPr>
          <w:sz w:val="20"/>
          <w:szCs w:val="20"/>
        </w:rPr>
        <w:t>Este artículo ha sido elaborado por Benjamin Cohen (ben.cohen@bis.org) y Cathérine Koch (catherine.koch@bis.org). Pablo Garcia-Luna, Sebastian Goerlich, Branimir Gruic, Jeff Slee y Jhuvesh Sobrun han proporcionado apoyo estadístico.</w:t>
      </w:r>
    </w:p>
  </w:footnote>
  <w:footnote w:id="51">
    <w:p w14:paraId="74F587D3" w14:textId="77777777" w:rsidR="007846AF" w:rsidRPr="00A00F2B" w:rsidRDefault="007846AF" w:rsidP="008F5FED">
      <w:pPr>
        <w:autoSpaceDE w:val="0"/>
        <w:autoSpaceDN w:val="0"/>
        <w:adjustRightInd w:val="0"/>
        <w:ind w:left="238" w:right="-159" w:hanging="223"/>
        <w:jc w:val="both"/>
        <w:rPr>
          <w:sz w:val="20"/>
          <w:szCs w:val="20"/>
        </w:rPr>
      </w:pPr>
      <w:r w:rsidRPr="00A00F2B">
        <w:rPr>
          <w:rStyle w:val="Refdenotaalpie"/>
          <w:sz w:val="20"/>
          <w:szCs w:val="20"/>
        </w:rPr>
        <w:footnoteRef/>
      </w:r>
      <w:r w:rsidRPr="00A00F2B">
        <w:rPr>
          <w:sz w:val="20"/>
          <w:szCs w:val="20"/>
        </w:rPr>
        <w:t xml:space="preserve"> Véase Shin, Hyun Song, (2013), </w:t>
      </w:r>
      <w:r w:rsidRPr="00A00F2B">
        <w:rPr>
          <w:i/>
          <w:sz w:val="20"/>
          <w:szCs w:val="20"/>
        </w:rPr>
        <w:t>The second phase of global liquidity and its impact on emerging economies</w:t>
      </w:r>
      <w:r w:rsidRPr="00A00F2B">
        <w:rPr>
          <w:sz w:val="20"/>
          <w:szCs w:val="20"/>
        </w:rPr>
        <w:t xml:space="preserve">, </w:t>
      </w:r>
      <w:r w:rsidRPr="00A00F2B">
        <w:rPr>
          <w:i/>
          <w:iCs/>
          <w:sz w:val="20"/>
          <w:szCs w:val="20"/>
        </w:rPr>
        <w:t>proceedings of the Federal Reserve Bank of San Francisco Asia Economic Policy Conference</w:t>
      </w:r>
      <w:r w:rsidRPr="00A00F2B">
        <w:rPr>
          <w:sz w:val="20"/>
          <w:szCs w:val="20"/>
        </w:rPr>
        <w:t>, noviembre, pp. 1–10.</w:t>
      </w:r>
    </w:p>
  </w:footnote>
  <w:footnote w:id="52">
    <w:p w14:paraId="0A68A0B8" w14:textId="389C5595" w:rsidR="007846AF" w:rsidRPr="00172472" w:rsidRDefault="007846AF" w:rsidP="008F5FED">
      <w:pPr>
        <w:pStyle w:val="Textonotapie"/>
        <w:ind w:left="238" w:hanging="238"/>
        <w:jc w:val="both"/>
      </w:pPr>
      <w:r w:rsidRPr="00172472">
        <w:rPr>
          <w:rStyle w:val="Refdenotaalpie"/>
        </w:rPr>
        <w:footnoteRef/>
      </w:r>
      <w:r w:rsidR="008F5FED">
        <w:tab/>
      </w:r>
      <w:r w:rsidRPr="00172472">
        <w:t xml:space="preserve">Véase “Una nueva oleada de acomodación monetaria”, </w:t>
      </w:r>
      <w:r w:rsidRPr="00172472">
        <w:rPr>
          <w:iCs/>
        </w:rPr>
        <w:t>Informe Trimestral del BPI,</w:t>
      </w:r>
      <w:r w:rsidRPr="00172472">
        <w:t xml:space="preserve"> marzo de 2015.</w:t>
      </w:r>
    </w:p>
  </w:footnote>
  <w:footnote w:id="53">
    <w:p w14:paraId="6AEA5815" w14:textId="784F4FF4" w:rsidR="007846AF" w:rsidRPr="00172472" w:rsidRDefault="007846AF" w:rsidP="008F5FED">
      <w:pPr>
        <w:autoSpaceDE w:val="0"/>
        <w:autoSpaceDN w:val="0"/>
        <w:adjustRightInd w:val="0"/>
        <w:ind w:left="238" w:right="-159" w:hanging="238"/>
        <w:jc w:val="both"/>
        <w:rPr>
          <w:sz w:val="20"/>
          <w:szCs w:val="20"/>
        </w:rPr>
      </w:pPr>
      <w:r w:rsidRPr="00172472">
        <w:rPr>
          <w:rStyle w:val="Refdenotaalpie"/>
          <w:sz w:val="20"/>
          <w:szCs w:val="20"/>
        </w:rPr>
        <w:footnoteRef/>
      </w:r>
      <w:r w:rsidR="008F5FED">
        <w:rPr>
          <w:sz w:val="20"/>
          <w:szCs w:val="20"/>
        </w:rPr>
        <w:tab/>
      </w:r>
      <w:r w:rsidRPr="00172472">
        <w:rPr>
          <w:sz w:val="20"/>
          <w:szCs w:val="20"/>
        </w:rPr>
        <w:t xml:space="preserve">Los flujos financieros, representados por las cifras de emisión de títulos en el panel inferior de la Gráfica </w:t>
      </w:r>
      <w:r w:rsidRPr="00172472">
        <w:rPr>
          <w:i/>
          <w:sz w:val="20"/>
          <w:szCs w:val="20"/>
        </w:rPr>
        <w:t xml:space="preserve">Activos bancarios internacionales, títulos de </w:t>
      </w:r>
      <w:proofErr w:type="gramStart"/>
      <w:r w:rsidRPr="00172472">
        <w:rPr>
          <w:i/>
          <w:sz w:val="20"/>
          <w:szCs w:val="20"/>
        </w:rPr>
        <w:t>deuda internacionales</w:t>
      </w:r>
      <w:proofErr w:type="gramEnd"/>
      <w:r w:rsidRPr="00172472">
        <w:rPr>
          <w:i/>
          <w:sz w:val="20"/>
          <w:szCs w:val="20"/>
        </w:rPr>
        <w:t xml:space="preserve"> y volatilidad</w:t>
      </w:r>
      <w:r w:rsidRPr="00172472">
        <w:rPr>
          <w:sz w:val="20"/>
          <w:szCs w:val="20"/>
        </w:rPr>
        <w:t xml:space="preserve">, no son estrictamente comparables con los activos bancarios del panel superior. Más concretamente, los datos sobre activos bancarios se basan en conceptos de balanza de pagos, al contrario que los datos sobre la emisión de títulos. Por ejemplo: parte de los “títulos de deuda internacionales” (básicamente títulos emitidos por no residentes) son adquiridos por residentes locales (lo que se contabilizaría como inversión transfronteriza), mientras que los títulos locales (títulos no clasificados aquí como internacionales) los compran a menudo los no residentes.  </w:t>
      </w:r>
    </w:p>
  </w:footnote>
  <w:footnote w:id="54">
    <w:p w14:paraId="3B420209" w14:textId="77777777" w:rsidR="007846AF" w:rsidRPr="00034F13" w:rsidRDefault="007846AF" w:rsidP="005061B6">
      <w:pPr>
        <w:autoSpaceDE w:val="0"/>
        <w:autoSpaceDN w:val="0"/>
        <w:adjustRightInd w:val="0"/>
        <w:ind w:left="187" w:right="-159" w:hanging="187"/>
        <w:jc w:val="both"/>
        <w:rPr>
          <w:sz w:val="20"/>
          <w:szCs w:val="20"/>
        </w:rPr>
      </w:pPr>
      <w:r w:rsidRPr="00034F13">
        <w:rPr>
          <w:rStyle w:val="Refdenotaalpie"/>
          <w:sz w:val="20"/>
          <w:szCs w:val="20"/>
        </w:rPr>
        <w:footnoteRef/>
      </w:r>
      <w:r w:rsidRPr="00034F13">
        <w:rPr>
          <w:sz w:val="20"/>
          <w:szCs w:val="20"/>
        </w:rPr>
        <w:t xml:space="preserve"> Véase R. McCauley, P. McGuire y V. Sushko, </w:t>
      </w:r>
      <w:r w:rsidRPr="00034F13">
        <w:rPr>
          <w:i/>
          <w:sz w:val="20"/>
          <w:szCs w:val="20"/>
        </w:rPr>
        <w:t>Global dollar credit: links to US monetary policy and leverage</w:t>
      </w:r>
      <w:r w:rsidRPr="00034F13">
        <w:rPr>
          <w:sz w:val="20"/>
          <w:szCs w:val="20"/>
        </w:rPr>
        <w:t xml:space="preserve">, </w:t>
      </w:r>
      <w:r w:rsidRPr="00034F13">
        <w:rPr>
          <w:i/>
          <w:iCs/>
          <w:sz w:val="20"/>
          <w:szCs w:val="20"/>
        </w:rPr>
        <w:t>BIS Working Papers</w:t>
      </w:r>
      <w:r w:rsidRPr="00034F13">
        <w:rPr>
          <w:sz w:val="20"/>
          <w:szCs w:val="20"/>
        </w:rPr>
        <w:t>, nº 483, enero de 2015.</w:t>
      </w:r>
    </w:p>
  </w:footnote>
  <w:footnote w:id="55">
    <w:p w14:paraId="6E54D607" w14:textId="5DE3624A" w:rsidR="007846AF" w:rsidRPr="00034F13" w:rsidRDefault="007846AF" w:rsidP="008F5FED">
      <w:pPr>
        <w:autoSpaceDE w:val="0"/>
        <w:autoSpaceDN w:val="0"/>
        <w:adjustRightInd w:val="0"/>
        <w:ind w:left="210" w:right="-159" w:hanging="210"/>
        <w:jc w:val="both"/>
        <w:rPr>
          <w:sz w:val="20"/>
          <w:szCs w:val="20"/>
        </w:rPr>
      </w:pPr>
      <w:r w:rsidRPr="00034F13">
        <w:rPr>
          <w:rStyle w:val="Refdenotaalpie"/>
          <w:sz w:val="20"/>
          <w:szCs w:val="20"/>
        </w:rPr>
        <w:footnoteRef/>
      </w:r>
      <w:r w:rsidRPr="00034F13">
        <w:rPr>
          <w:sz w:val="20"/>
          <w:szCs w:val="20"/>
        </w:rPr>
        <w:t xml:space="preserve"> Las estadísticas bancarias territoriales se estructuran en base al país de residencia de las oficinas bancarias y recogen la actividad de todas las sucursales activas a nivel internacional ubicadas en el país declarante, independientemente de la nacionalidad de la matriz. Los bancos contabilizan sus posiciones en términos no consolidados, incluyéndose por tanto las que mantienen frente a sus propias sucursales de otros países. La depreciación del euro y otras principales monedas frente al dólar estadounidense entre finales de junio y finales de septiembre de 2014 redujo el valor declarado en dólares estadounidenses del </w:t>
      </w:r>
      <w:r w:rsidRPr="00034F13">
        <w:rPr>
          <w:iCs/>
          <w:sz w:val="20"/>
          <w:szCs w:val="20"/>
        </w:rPr>
        <w:t>volumen en vigor</w:t>
      </w:r>
      <w:r w:rsidRPr="00034F13">
        <w:rPr>
          <w:sz w:val="20"/>
          <w:szCs w:val="20"/>
        </w:rPr>
        <w:t xml:space="preserve"> de activos denominados en monedas distintas del dólar. Nótese sin embargo que las </w:t>
      </w:r>
      <w:r w:rsidRPr="00034F13">
        <w:rPr>
          <w:iCs/>
          <w:sz w:val="20"/>
          <w:szCs w:val="20"/>
        </w:rPr>
        <w:t>tasas de crecimiento</w:t>
      </w:r>
      <w:r w:rsidRPr="00034F13">
        <w:rPr>
          <w:sz w:val="20"/>
          <w:szCs w:val="20"/>
        </w:rPr>
        <w:t xml:space="preserve"> aquí recogidas se ajustan por efectos del tipo de cambio</w:t>
      </w:r>
      <w:r>
        <w:rPr>
          <w:sz w:val="20"/>
          <w:szCs w:val="20"/>
        </w:rPr>
        <w:t>.</w:t>
      </w:r>
    </w:p>
  </w:footnote>
  <w:footnote w:id="56">
    <w:p w14:paraId="47A3C4AD" w14:textId="77777777" w:rsidR="007846AF" w:rsidRPr="00634E36" w:rsidRDefault="007846AF" w:rsidP="00634E36">
      <w:pPr>
        <w:autoSpaceDE w:val="0"/>
        <w:autoSpaceDN w:val="0"/>
        <w:adjustRightInd w:val="0"/>
        <w:ind w:left="170" w:right="-159" w:hanging="170"/>
        <w:jc w:val="both"/>
        <w:rPr>
          <w:sz w:val="20"/>
          <w:szCs w:val="20"/>
        </w:rPr>
      </w:pPr>
      <w:r w:rsidRPr="00634E36">
        <w:rPr>
          <w:rStyle w:val="Refdenotaalpie"/>
          <w:sz w:val="20"/>
          <w:szCs w:val="20"/>
        </w:rPr>
        <w:footnoteRef/>
      </w:r>
      <w:r w:rsidRPr="00634E36">
        <w:rPr>
          <w:sz w:val="20"/>
          <w:szCs w:val="20"/>
        </w:rPr>
        <w:t xml:space="preserve"> Las estadísticas bancarias consolidadas se estructuran en función de la nacionalidad de los bancos declarantes y se presentan consolidadas a nivel mundial, es decir, excluyendo las posiciones entre sucursales bancarias de un mismo grupo. Los bancos consolidan sus posiciones intragrupo y declaran solamente los activos frente a prestatarios no relacionados. Las estadísticas bancarias consolidadas no se desglosan por monedas y, por tanto y a diferencia de lo que ocurre con las estadísticas bancarias territoriales, no pueden calcularse cambios ajustados en función del tipo de cambio.</w:t>
      </w:r>
    </w:p>
  </w:footnote>
  <w:footnote w:id="57">
    <w:p w14:paraId="70BCFDAE" w14:textId="77777777" w:rsidR="007846AF" w:rsidRPr="00634E36" w:rsidRDefault="007846AF" w:rsidP="00A5240C">
      <w:pPr>
        <w:autoSpaceDE w:val="0"/>
        <w:autoSpaceDN w:val="0"/>
        <w:adjustRightInd w:val="0"/>
        <w:ind w:left="198" w:right="-159" w:hanging="198"/>
        <w:jc w:val="both"/>
        <w:rPr>
          <w:sz w:val="20"/>
          <w:szCs w:val="20"/>
        </w:rPr>
      </w:pPr>
      <w:r w:rsidRPr="00634E36">
        <w:rPr>
          <w:rStyle w:val="Refdenotaalpie"/>
          <w:sz w:val="20"/>
          <w:szCs w:val="20"/>
        </w:rPr>
        <w:footnoteRef/>
      </w:r>
      <w:r w:rsidRPr="00634E36">
        <w:rPr>
          <w:sz w:val="20"/>
          <w:szCs w:val="20"/>
        </w:rPr>
        <w:t xml:space="preserve"> Los activos transfronterizos en las estadísticas bancarias territoriales difieren de los que aparecen en las estadísticas bancarias consolidadas, debido principalmente a que el universo de declarantes es diferente y a que los activos intragrupo se incluyen en las primeras pero no en las segundas</w:t>
      </w:r>
    </w:p>
  </w:footnote>
  <w:footnote w:id="58">
    <w:p w14:paraId="1D5CFE70" w14:textId="77777777" w:rsidR="007846AF" w:rsidRPr="00634E36" w:rsidRDefault="007846AF" w:rsidP="00172472">
      <w:pPr>
        <w:pStyle w:val="Textonotapie"/>
      </w:pPr>
      <w:r w:rsidRPr="00634E36">
        <w:rPr>
          <w:rStyle w:val="Refdenotaalpie"/>
        </w:rPr>
        <w:footnoteRef/>
      </w:r>
      <w:r w:rsidRPr="00634E36">
        <w:t xml:space="preserve"> Véase “Las políticas se acomodan aún más”, </w:t>
      </w:r>
      <w:r w:rsidRPr="00634E36">
        <w:rPr>
          <w:iCs/>
        </w:rPr>
        <w:t>Informe Trimestral del BPI,</w:t>
      </w:r>
      <w:r w:rsidRPr="00634E36">
        <w:t xml:space="preserve"> marzo de 2015.</w:t>
      </w:r>
    </w:p>
  </w:footnote>
  <w:footnote w:id="59">
    <w:p w14:paraId="1399DCD7" w14:textId="0193BC46" w:rsidR="007846AF" w:rsidRPr="00634E36" w:rsidRDefault="007846AF" w:rsidP="00EF184E">
      <w:pPr>
        <w:autoSpaceDE w:val="0"/>
        <w:autoSpaceDN w:val="0"/>
        <w:adjustRightInd w:val="0"/>
        <w:ind w:left="224" w:right="-159" w:hanging="226"/>
        <w:jc w:val="both"/>
        <w:rPr>
          <w:sz w:val="20"/>
          <w:szCs w:val="20"/>
        </w:rPr>
      </w:pPr>
      <w:r w:rsidRPr="00634E36">
        <w:rPr>
          <w:rStyle w:val="Refdenotaalpie"/>
          <w:sz w:val="20"/>
          <w:szCs w:val="20"/>
        </w:rPr>
        <w:footnoteRef/>
      </w:r>
      <w:r w:rsidR="00EF184E">
        <w:rPr>
          <w:sz w:val="20"/>
          <w:szCs w:val="20"/>
        </w:rPr>
        <w:tab/>
      </w:r>
      <w:r w:rsidRPr="00634E36">
        <w:rPr>
          <w:sz w:val="20"/>
          <w:szCs w:val="20"/>
        </w:rPr>
        <w:t xml:space="preserve">Véase B. Cohen, “Elección de moneda en la emisión de deuda internacional”, </w:t>
      </w:r>
      <w:r w:rsidRPr="00634E36">
        <w:rPr>
          <w:iCs/>
          <w:sz w:val="20"/>
          <w:szCs w:val="20"/>
        </w:rPr>
        <w:t>Informe Trimestral del BPI</w:t>
      </w:r>
      <w:r w:rsidRPr="00634E36">
        <w:rPr>
          <w:sz w:val="20"/>
          <w:szCs w:val="20"/>
        </w:rPr>
        <w:t>, junio de 2005.</w:t>
      </w:r>
    </w:p>
  </w:footnote>
  <w:footnote w:id="60">
    <w:p w14:paraId="10B9E8E5" w14:textId="73D1E11E" w:rsidR="007846AF" w:rsidRPr="00634E36" w:rsidRDefault="007846AF" w:rsidP="00EF184E">
      <w:pPr>
        <w:autoSpaceDE w:val="0"/>
        <w:autoSpaceDN w:val="0"/>
        <w:adjustRightInd w:val="0"/>
        <w:ind w:left="224" w:right="-159" w:hanging="226"/>
        <w:jc w:val="both"/>
        <w:rPr>
          <w:sz w:val="20"/>
          <w:szCs w:val="20"/>
        </w:rPr>
      </w:pPr>
      <w:r w:rsidRPr="00634E36">
        <w:rPr>
          <w:rStyle w:val="Refdenotaalpie"/>
          <w:sz w:val="20"/>
          <w:szCs w:val="20"/>
        </w:rPr>
        <w:footnoteRef/>
      </w:r>
      <w:r w:rsidR="00EF184E">
        <w:rPr>
          <w:sz w:val="20"/>
          <w:szCs w:val="20"/>
        </w:rPr>
        <w:tab/>
      </w:r>
      <w:r w:rsidRPr="00634E36">
        <w:rPr>
          <w:sz w:val="20"/>
          <w:szCs w:val="20"/>
        </w:rPr>
        <w:t xml:space="preserve">Véase más informaciónen D. Domanski, H. S. Shin, M. Lombardi y J. Kearns, “Petróleo y deuda”, </w:t>
      </w:r>
      <w:r w:rsidRPr="00634E36">
        <w:rPr>
          <w:iCs/>
          <w:sz w:val="20"/>
          <w:szCs w:val="20"/>
        </w:rPr>
        <w:t>Informe Trimestral del BPI</w:t>
      </w:r>
      <w:r w:rsidRPr="00634E36">
        <w:rPr>
          <w:sz w:val="20"/>
          <w:szCs w:val="20"/>
        </w:rPr>
        <w:t>, marzo de 2015.</w:t>
      </w:r>
    </w:p>
  </w:footnote>
  <w:footnote w:id="61">
    <w:p w14:paraId="472842ED" w14:textId="5C3F13B9" w:rsidR="007846AF" w:rsidRPr="001C7810" w:rsidRDefault="007846AF" w:rsidP="00EF184E">
      <w:pPr>
        <w:autoSpaceDE w:val="0"/>
        <w:autoSpaceDN w:val="0"/>
        <w:adjustRightInd w:val="0"/>
        <w:ind w:left="238" w:right="-159" w:hanging="238"/>
        <w:jc w:val="both"/>
        <w:rPr>
          <w:sz w:val="20"/>
          <w:szCs w:val="20"/>
        </w:rPr>
      </w:pPr>
      <w:r w:rsidRPr="001C7810">
        <w:rPr>
          <w:rStyle w:val="Refdenotaalpie"/>
          <w:sz w:val="20"/>
          <w:szCs w:val="20"/>
        </w:rPr>
        <w:footnoteRef/>
      </w:r>
      <w:r w:rsidR="00EF184E">
        <w:rPr>
          <w:sz w:val="20"/>
          <w:szCs w:val="20"/>
        </w:rPr>
        <w:tab/>
      </w:r>
      <w:r w:rsidRPr="001C7810">
        <w:rPr>
          <w:sz w:val="20"/>
          <w:szCs w:val="20"/>
        </w:rPr>
        <w:t xml:space="preserve">Véase M. Drehmann y M. Juselius (2014) </w:t>
      </w:r>
      <w:r w:rsidRPr="001C7810">
        <w:rPr>
          <w:i/>
          <w:sz w:val="20"/>
          <w:szCs w:val="20"/>
        </w:rPr>
        <w:t>Evaluating early warning indicators of banking crises: satisfying policy requirements</w:t>
      </w:r>
      <w:r w:rsidRPr="001C7810">
        <w:rPr>
          <w:sz w:val="20"/>
          <w:szCs w:val="20"/>
        </w:rPr>
        <w:t xml:space="preserve">, </w:t>
      </w:r>
      <w:r w:rsidRPr="001C7810">
        <w:rPr>
          <w:i/>
          <w:iCs/>
          <w:sz w:val="20"/>
          <w:szCs w:val="20"/>
        </w:rPr>
        <w:t xml:space="preserve">BIS Working Papers, </w:t>
      </w:r>
      <w:r w:rsidRPr="001C7810">
        <w:rPr>
          <w:sz w:val="20"/>
          <w:szCs w:val="20"/>
        </w:rPr>
        <w:t>nº 421, agosto de 2013; y M. Drehmann y M. Juselius, “Afectan los costes del servicio de la deuda a la estabilidad macroeconómica y financiera</w:t>
      </w:r>
      <w:proofErr w:type="gramStart"/>
      <w:r w:rsidRPr="001C7810">
        <w:rPr>
          <w:sz w:val="20"/>
          <w:szCs w:val="20"/>
        </w:rPr>
        <w:t>?</w:t>
      </w:r>
      <w:proofErr w:type="gramEnd"/>
      <w:r w:rsidRPr="001C7810">
        <w:rPr>
          <w:sz w:val="20"/>
          <w:szCs w:val="20"/>
        </w:rPr>
        <w:t xml:space="preserve">”, </w:t>
      </w:r>
      <w:r w:rsidRPr="001C7810">
        <w:rPr>
          <w:iCs/>
          <w:sz w:val="20"/>
          <w:szCs w:val="20"/>
        </w:rPr>
        <w:t>Informe Trimestral del BPI</w:t>
      </w:r>
      <w:r w:rsidRPr="001C7810">
        <w:rPr>
          <w:i/>
          <w:iCs/>
          <w:sz w:val="20"/>
          <w:szCs w:val="20"/>
        </w:rPr>
        <w:t xml:space="preserve">, </w:t>
      </w:r>
      <w:r w:rsidRPr="001C7810">
        <w:rPr>
          <w:sz w:val="20"/>
          <w:szCs w:val="20"/>
        </w:rPr>
        <w:t xml:space="preserve">septiembre de 2012. </w:t>
      </w:r>
    </w:p>
  </w:footnote>
  <w:footnote w:id="62">
    <w:p w14:paraId="6E9C5E9A" w14:textId="2BBD5DED" w:rsidR="007846AF" w:rsidRPr="001C7810" w:rsidRDefault="007846AF" w:rsidP="00EF184E">
      <w:pPr>
        <w:pStyle w:val="Textonotapie"/>
        <w:ind w:left="238" w:hanging="238"/>
      </w:pPr>
      <w:r w:rsidRPr="001C7810">
        <w:rPr>
          <w:rStyle w:val="Refdenotaalpie"/>
        </w:rPr>
        <w:footnoteRef/>
      </w:r>
      <w:r w:rsidR="00EF184E">
        <w:tab/>
      </w:r>
      <w:r w:rsidRPr="001C7810">
        <w:t xml:space="preserve">Véase un análisis más profundo en BPI, </w:t>
      </w:r>
      <w:r w:rsidRPr="001C7810">
        <w:rPr>
          <w:iCs/>
        </w:rPr>
        <w:t>84 Informe Anual</w:t>
      </w:r>
      <w:r w:rsidRPr="001C7810">
        <w:t>, junio de 2014, Capítulo IV.</w:t>
      </w:r>
    </w:p>
  </w:footnote>
  <w:footnote w:id="63">
    <w:p w14:paraId="7FE63859" w14:textId="77777777" w:rsidR="007846AF" w:rsidRPr="00634E36" w:rsidRDefault="007846AF" w:rsidP="00634E36">
      <w:pPr>
        <w:autoSpaceDE w:val="0"/>
        <w:autoSpaceDN w:val="0"/>
        <w:adjustRightInd w:val="0"/>
        <w:ind w:left="198" w:right="-159" w:hanging="198"/>
        <w:jc w:val="both"/>
        <w:rPr>
          <w:sz w:val="20"/>
          <w:szCs w:val="20"/>
        </w:rPr>
      </w:pPr>
      <w:r w:rsidRPr="00634E36">
        <w:rPr>
          <w:rStyle w:val="Refdenotaalpie"/>
          <w:sz w:val="20"/>
          <w:szCs w:val="20"/>
        </w:rPr>
        <w:footnoteRef/>
      </w:r>
      <w:r w:rsidRPr="00634E36">
        <w:rPr>
          <w:sz w:val="20"/>
          <w:szCs w:val="20"/>
        </w:rPr>
        <w:t xml:space="preserve"> Véase S. Avdjiev, R. McCauley y P. McGuire, </w:t>
      </w:r>
      <w:r w:rsidRPr="00634E36">
        <w:rPr>
          <w:i/>
          <w:sz w:val="20"/>
          <w:szCs w:val="20"/>
        </w:rPr>
        <w:t>Rapid credit growth and international credit: challenges for Asia</w:t>
      </w:r>
      <w:r w:rsidRPr="00634E36">
        <w:rPr>
          <w:sz w:val="20"/>
          <w:szCs w:val="20"/>
        </w:rPr>
        <w:t xml:space="preserve">, </w:t>
      </w:r>
      <w:r w:rsidRPr="00634E36">
        <w:rPr>
          <w:i/>
          <w:iCs/>
          <w:sz w:val="20"/>
          <w:szCs w:val="20"/>
        </w:rPr>
        <w:t>BIS Working Papers</w:t>
      </w:r>
      <w:r w:rsidRPr="00634E36">
        <w:rPr>
          <w:sz w:val="20"/>
          <w:szCs w:val="20"/>
        </w:rPr>
        <w:t>, nº 377, abril 2012.</w:t>
      </w:r>
    </w:p>
  </w:footnote>
  <w:footnote w:id="64">
    <w:p w14:paraId="31A94870" w14:textId="77777777" w:rsidR="007846AF" w:rsidRPr="00E4291E" w:rsidRDefault="007846AF" w:rsidP="00634E36">
      <w:pPr>
        <w:pStyle w:val="Textonotapie"/>
        <w:ind w:left="198" w:right="-159" w:hanging="198"/>
        <w:jc w:val="both"/>
      </w:pPr>
      <w:r w:rsidRPr="00E4291E">
        <w:rPr>
          <w:rStyle w:val="Refdenotaalpie"/>
        </w:rPr>
        <w:footnoteRef/>
      </w:r>
      <w:r w:rsidRPr="00E4291E">
        <w:t xml:space="preserve"> El TNRS incluye las actividades que los miembros de los hogares destinan a la prevención, cuidado y mantenimiento de la salud en el hogar, fuera del hogar y el trabajo voluntario realizado en organizaciones no lucrativas.</w:t>
      </w:r>
    </w:p>
  </w:footnote>
  <w:footnote w:id="65">
    <w:p w14:paraId="464CAF67" w14:textId="77777777" w:rsidR="007846AF" w:rsidRPr="00E4291E" w:rsidRDefault="007846AF" w:rsidP="00A5240C">
      <w:pPr>
        <w:pStyle w:val="Textonotapie"/>
        <w:ind w:left="227" w:right="-159" w:hanging="227"/>
        <w:jc w:val="both"/>
      </w:pPr>
      <w:r w:rsidRPr="00E4291E">
        <w:rPr>
          <w:rStyle w:val="Refdenotaalpie"/>
        </w:rPr>
        <w:footnoteRef/>
      </w:r>
      <w:r w:rsidRPr="00E4291E">
        <w:t xml:space="preserve"> </w:t>
      </w:r>
      <w:r>
        <w:t xml:space="preserve"> </w:t>
      </w:r>
      <w:r w:rsidRPr="00E4291E">
        <w:t>El PIB Ampliado agrega al valor de la producción del sector salud la valoración del trabajo no remunerado de los hogares que destinan a las actividades de prevención, curación y mantenimiento de la salud.</w:t>
      </w:r>
    </w:p>
  </w:footnote>
  <w:footnote w:id="66">
    <w:p w14:paraId="06F1DD89" w14:textId="77777777" w:rsidR="007846AF" w:rsidRPr="00E4291E" w:rsidRDefault="007846AF" w:rsidP="00D31338">
      <w:pPr>
        <w:pStyle w:val="Textonotapie"/>
        <w:ind w:left="170" w:right="-159" w:hanging="170"/>
        <w:jc w:val="both"/>
      </w:pPr>
      <w:r w:rsidRPr="00E4291E">
        <w:rPr>
          <w:rStyle w:val="Refdenotaalpie"/>
        </w:rPr>
        <w:footnoteRef/>
      </w:r>
      <w:r w:rsidRPr="00E4291E">
        <w:t xml:space="preserve">  Es decir no se incluyen los impuestos a los productos netos de subsidios.</w:t>
      </w:r>
    </w:p>
  </w:footnote>
  <w:footnote w:id="67">
    <w:p w14:paraId="07CC7F74" w14:textId="4EFA084E" w:rsidR="007846AF" w:rsidRPr="009B6D97" w:rsidRDefault="007846AF" w:rsidP="00EF184E">
      <w:pPr>
        <w:pStyle w:val="Textonotapie"/>
        <w:ind w:left="196" w:right="-159" w:hanging="196"/>
        <w:jc w:val="both"/>
      </w:pPr>
      <w:r w:rsidRPr="009B6D97">
        <w:rPr>
          <w:rStyle w:val="Refdenotaalpie"/>
        </w:rPr>
        <w:footnoteRef/>
      </w:r>
      <w:r w:rsidRPr="009B6D97">
        <w:t xml:space="preserve"> El rubro “otros bienes y servicios” incluye bienes como estetoscopios, termómetros, libros y revistas de salud; y servicios como seguros médicos, actividades de investigación y desarrollo, capacitación de personal, entre otros.</w:t>
      </w:r>
    </w:p>
  </w:footnote>
  <w:footnote w:id="68">
    <w:p w14:paraId="4B423ED6" w14:textId="735E2525" w:rsidR="007846AF" w:rsidRPr="006E7BA6" w:rsidRDefault="007846AF" w:rsidP="00EF184E">
      <w:pPr>
        <w:pStyle w:val="Textonotapie"/>
        <w:ind w:left="196" w:right="-159" w:hanging="196"/>
        <w:jc w:val="both"/>
      </w:pPr>
      <w:r w:rsidRPr="006E7BA6">
        <w:rPr>
          <w:rStyle w:val="Refdenotaalpie"/>
        </w:rPr>
        <w:footnoteRef/>
      </w:r>
      <w:r w:rsidRPr="006E7BA6">
        <w:t xml:space="preserve"> El gasto de consumo final lo realizan los hogares, las instituciones sin fines de lucro que sirv</w:t>
      </w:r>
      <w:r>
        <w:t>en a los hogares y el gobierno.</w:t>
      </w:r>
    </w:p>
  </w:footnote>
  <w:footnote w:id="69">
    <w:p w14:paraId="47716C56" w14:textId="7DC3F080" w:rsidR="007846AF" w:rsidRPr="006E7BA6" w:rsidRDefault="007846AF" w:rsidP="00EF184E">
      <w:pPr>
        <w:pStyle w:val="Textonotapie"/>
        <w:ind w:left="196" w:right="-159" w:hanging="209"/>
        <w:jc w:val="both"/>
      </w:pPr>
      <w:r w:rsidRPr="006E7BA6">
        <w:rPr>
          <w:rStyle w:val="Refdenotaalpie"/>
        </w:rPr>
        <w:footnoteRef/>
      </w:r>
      <w:r w:rsidRPr="006E7BA6">
        <w:t xml:space="preserve"> El TNRS de los hogares incluye las actividades relacionadas con la prevención, cuidado y mantenimiento de la salud en el propio hogar, en hogares de terceros y en las instituciones sin fines de lucro.</w:t>
      </w:r>
    </w:p>
  </w:footnote>
  <w:footnote w:id="70">
    <w:p w14:paraId="52748401" w14:textId="77777777" w:rsidR="007846AF" w:rsidRPr="00C81A27" w:rsidRDefault="007846AF" w:rsidP="00535E63">
      <w:pPr>
        <w:pStyle w:val="Textonotapie"/>
        <w:ind w:left="198" w:hanging="198"/>
        <w:jc w:val="both"/>
      </w:pPr>
      <w:r w:rsidRPr="00535E63">
        <w:rPr>
          <w:rStyle w:val="Nmerodepgina"/>
          <w:vertAlign w:val="superscript"/>
        </w:rPr>
        <w:footnoteRef/>
      </w:r>
      <w:r w:rsidRPr="00C81A27">
        <w:t xml:space="preserve"> Un análisis más amplio sobre el tema de las tasas de reemplazo se encuentra en el blog: “¿Qué factores determinan mi pensión? Una visión sobre tasas de reemplazo” (www.consar.gob.mx).</w:t>
      </w:r>
    </w:p>
  </w:footnote>
  <w:footnote w:id="71">
    <w:p w14:paraId="5AF8FB8B" w14:textId="77777777" w:rsidR="007846AF" w:rsidRPr="00C37FE0" w:rsidRDefault="007846AF" w:rsidP="00A25C2F">
      <w:pPr>
        <w:pStyle w:val="Textonotapie"/>
      </w:pPr>
      <w:r w:rsidRPr="00535E63">
        <w:rPr>
          <w:rStyle w:val="Nmerodepgina"/>
          <w:vertAlign w:val="superscript"/>
        </w:rPr>
        <w:footnoteRef/>
      </w:r>
      <w:r w:rsidRPr="00C37FE0">
        <w:t xml:space="preserve"> Véase Ibíd.</w:t>
      </w:r>
    </w:p>
  </w:footnote>
  <w:footnote w:id="72">
    <w:p w14:paraId="1CD6F3E4" w14:textId="77777777" w:rsidR="007846AF" w:rsidRDefault="007846AF" w:rsidP="00A25C2F">
      <w:pPr>
        <w:pStyle w:val="Textonotapie"/>
      </w:pPr>
      <w:r w:rsidRPr="00535E63">
        <w:rPr>
          <w:rStyle w:val="Nmerodepgina"/>
          <w:vertAlign w:val="superscript"/>
        </w:rPr>
        <w:footnoteRef/>
      </w:r>
      <w:r>
        <w:t xml:space="preserve"> </w:t>
      </w:r>
      <w:r w:rsidRPr="00C37FE0">
        <w:t>Véase Ibíd.</w:t>
      </w:r>
    </w:p>
  </w:footnote>
  <w:footnote w:id="73">
    <w:p w14:paraId="7D5736FC" w14:textId="77777777" w:rsidR="007846AF" w:rsidRPr="00936524" w:rsidRDefault="007846AF" w:rsidP="00A25C2F">
      <w:pPr>
        <w:pStyle w:val="Textonotapie"/>
        <w:ind w:left="198" w:hanging="198"/>
        <w:jc w:val="both"/>
      </w:pPr>
      <w:r w:rsidRPr="00A25C2F">
        <w:rPr>
          <w:rStyle w:val="Nmerodepgina"/>
          <w:vertAlign w:val="superscript"/>
        </w:rPr>
        <w:footnoteRef/>
      </w:r>
      <w:r>
        <w:t xml:space="preserve"> Los supuestos para este ejercicio son: </w:t>
      </w:r>
      <w:r w:rsidRPr="00644EEB">
        <w:t xml:space="preserve">carrera salarial plana de 40 años, edad inicial de cotización a los 25 años, edad de retiro de 65 años, densidad de cotización de 80%, cuota social vigente a febrero de 2015, rendimiento neto de comisiones de 4%, género masculino, saldo inicial de cero pesos, porcentaje de aportación obligatoria de 6.5%. La estimación de pensión corresponde al primer pago por retiro programado para un trabajador sin beneficiarios, </w:t>
      </w:r>
      <w:r w:rsidRPr="0061480B">
        <w:t xml:space="preserve">Unidad de Rentas Vitalicias </w:t>
      </w:r>
      <w:r>
        <w:t>(</w:t>
      </w:r>
      <w:r w:rsidRPr="00644EEB">
        <w:t>URV</w:t>
      </w:r>
      <w:r>
        <w:t>)</w:t>
      </w:r>
      <w:r w:rsidRPr="00644EEB">
        <w:t xml:space="preserve"> vigente al 12 de febrero de 2015, el ingreso varía en términos del salario mínimo vigente en la zona A.</w:t>
      </w:r>
    </w:p>
  </w:footnote>
  <w:footnote w:id="74">
    <w:p w14:paraId="25E41645" w14:textId="77777777" w:rsidR="007846AF" w:rsidRPr="00121C15" w:rsidRDefault="007846AF" w:rsidP="004257D5">
      <w:pPr>
        <w:pStyle w:val="Textonotapie"/>
        <w:ind w:left="187" w:right="-159" w:hanging="187"/>
        <w:rPr>
          <w:color w:val="0000FF"/>
        </w:rPr>
      </w:pPr>
      <w:r w:rsidRPr="004257D5">
        <w:rPr>
          <w:rStyle w:val="Refdenotaalpie"/>
        </w:rPr>
        <w:footnoteRef/>
      </w:r>
      <w:r w:rsidRPr="004257D5">
        <w:t xml:space="preserve"> </w:t>
      </w:r>
      <w:hyperlink r:id="rId14" w:history="1">
        <w:r w:rsidRPr="00121C15">
          <w:rPr>
            <w:rStyle w:val="Hipervnculo"/>
          </w:rPr>
          <w:t>http://www.iadb.org/es/temas/trabajo-y-pensiones/el-futuro-de-las-pensiones-en-america-latina-y-el-caribe,18369.html</w:t>
        </w:r>
      </w:hyperlink>
      <w:r w:rsidRPr="00121C15">
        <w:rPr>
          <w:color w:val="0000FF"/>
        </w:rPr>
        <w:t xml:space="preserve"> </w:t>
      </w:r>
    </w:p>
  </w:footnote>
  <w:footnote w:id="75">
    <w:p w14:paraId="3A370F23" w14:textId="77777777" w:rsidR="007846AF" w:rsidRPr="00121C15" w:rsidRDefault="007846AF" w:rsidP="004257D5">
      <w:pPr>
        <w:pStyle w:val="Textonotapie"/>
        <w:ind w:left="170" w:right="-159" w:hanging="170"/>
        <w:rPr>
          <w:color w:val="0000FF"/>
        </w:rPr>
      </w:pPr>
      <w:r w:rsidRPr="004257D5">
        <w:rPr>
          <w:rStyle w:val="Refdenotaalpie"/>
        </w:rPr>
        <w:footnoteRef/>
      </w:r>
      <w:r w:rsidRPr="004257D5">
        <w:t xml:space="preserve"> </w:t>
      </w:r>
      <w:hyperlink r:id="rId15" w:anchor="page5" w:history="1">
        <w:r w:rsidRPr="00121C15">
          <w:rPr>
            <w:rStyle w:val="Hipervnculo"/>
          </w:rPr>
          <w:t>http://www.keepeek.com/Digital-Asset-Management/oecd/finance-and-investment/oecd-pensions-at-a-glance_pension_glance-2014-en#page5</w:t>
        </w:r>
      </w:hyperlink>
      <w:r w:rsidRPr="00121C15">
        <w:rPr>
          <w:color w:val="0000FF"/>
        </w:rPr>
        <w:t xml:space="preserve"> </w:t>
      </w:r>
    </w:p>
  </w:footnote>
  <w:footnote w:id="76">
    <w:p w14:paraId="4CB2B3C6" w14:textId="77777777" w:rsidR="007846AF" w:rsidRPr="00B25296" w:rsidRDefault="007846AF" w:rsidP="00131CDE">
      <w:pPr>
        <w:pStyle w:val="Textonotapie"/>
        <w:ind w:left="187" w:right="-159" w:hanging="187"/>
        <w:jc w:val="both"/>
      </w:pPr>
      <w:r w:rsidRPr="00B25296">
        <w:rPr>
          <w:rStyle w:val="Refdenotaalpie"/>
        </w:rPr>
        <w:footnoteRef/>
      </w:r>
      <w:r w:rsidRPr="00B25296">
        <w:t xml:space="preserve"> </w:t>
      </w:r>
      <w:r w:rsidRPr="005F6546">
        <w:t>J. Bradford DeLong es profesor de economía en la Universidad de California en Berkeley e investigador asociado en la Oficina Nacional de Investigación Económica. Fue secretario del Tesoro Adjunto durante la administración Clinton, donde estuvo muy involucrado en las negociaciones presupuestarias y comerciales. Su papel en el diseño del plan de rescate de México durante la crisis del peso de 1994 lo colocó a la vanguardia de la transformación de América Latina en una región de las economías abiertas, y consolidó su posición como una voz líder en los debates de política económica.</w:t>
      </w:r>
    </w:p>
  </w:footnote>
  <w:footnote w:id="77">
    <w:p w14:paraId="52606FC2" w14:textId="56464FB7" w:rsidR="007846AF" w:rsidRPr="00C365A6" w:rsidRDefault="007846AF" w:rsidP="00A65144">
      <w:pPr>
        <w:autoSpaceDE w:val="0"/>
        <w:autoSpaceDN w:val="0"/>
        <w:adjustRightInd w:val="0"/>
        <w:ind w:left="196" w:right="-159" w:hanging="196"/>
        <w:jc w:val="both"/>
        <w:rPr>
          <w:sz w:val="20"/>
          <w:szCs w:val="20"/>
        </w:rPr>
      </w:pPr>
      <w:r w:rsidRPr="00C365A6">
        <w:rPr>
          <w:rStyle w:val="Refdenotaalpie"/>
          <w:sz w:val="20"/>
          <w:szCs w:val="20"/>
        </w:rPr>
        <w:footnoteRef/>
      </w:r>
      <w:r w:rsidR="00A65144">
        <w:rPr>
          <w:sz w:val="20"/>
          <w:szCs w:val="20"/>
        </w:rPr>
        <w:tab/>
      </w:r>
      <w:r w:rsidRPr="00C365A6">
        <w:rPr>
          <w:sz w:val="20"/>
          <w:szCs w:val="20"/>
        </w:rPr>
        <w:t>Este artículo ha sido elaborado por el Departamento Monetario y Económico del BPI. Las preguntas acerca del mismo pueden dirigirse a Aytek Malkhozov (aytek.malkhozov@bis.org) y Adrian van Rixtel (adrian.vanrixtel@bis.org). Las cuestiones sobre datos y gráficos deben dirigirse a Alan Villegas (alan.villegas@bis.org).</w:t>
      </w:r>
    </w:p>
  </w:footnote>
  <w:footnote w:id="78">
    <w:p w14:paraId="58AC48C1" w14:textId="77777777" w:rsidR="007846AF" w:rsidRPr="00A573F8" w:rsidRDefault="007846AF" w:rsidP="00A65144">
      <w:pPr>
        <w:autoSpaceDE w:val="0"/>
        <w:autoSpaceDN w:val="0"/>
        <w:adjustRightInd w:val="0"/>
        <w:ind w:left="210" w:right="-159" w:hanging="210"/>
        <w:jc w:val="both"/>
        <w:rPr>
          <w:sz w:val="20"/>
          <w:szCs w:val="20"/>
        </w:rPr>
      </w:pPr>
      <w:r w:rsidRPr="00A573F8">
        <w:rPr>
          <w:rStyle w:val="Refdenotaalpie"/>
          <w:sz w:val="20"/>
          <w:szCs w:val="20"/>
        </w:rPr>
        <w:footnoteRef/>
      </w:r>
      <w:r w:rsidRPr="00A573F8">
        <w:rPr>
          <w:sz w:val="20"/>
          <w:szCs w:val="20"/>
        </w:rPr>
        <w:t xml:space="preserve"> Véase D. Domanski, H. S. Shin, M. Lombardi y J. Kearns, “Petróleo y deuda”, </w:t>
      </w:r>
      <w:r w:rsidRPr="00A573F8">
        <w:rPr>
          <w:i/>
          <w:iCs/>
          <w:sz w:val="20"/>
          <w:szCs w:val="20"/>
        </w:rPr>
        <w:t>Informe Trimestral del BPI</w:t>
      </w:r>
      <w:r w:rsidRPr="00A573F8">
        <w:rPr>
          <w:sz w:val="20"/>
          <w:szCs w:val="20"/>
        </w:rPr>
        <w:t>, marzo de 2015.</w:t>
      </w:r>
    </w:p>
  </w:footnote>
  <w:footnote w:id="79">
    <w:p w14:paraId="647007CD" w14:textId="77777777" w:rsidR="007846AF" w:rsidRPr="00A573F8" w:rsidRDefault="007846AF" w:rsidP="00C365A6">
      <w:pPr>
        <w:pStyle w:val="Textonotapie"/>
      </w:pPr>
      <w:r w:rsidRPr="00A573F8">
        <w:rPr>
          <w:rStyle w:val="Refdenotaalpie"/>
        </w:rPr>
        <w:footnoteRef/>
      </w:r>
      <w:r w:rsidRPr="00A573F8">
        <w:t xml:space="preserve"> Véase Domanski et al, op. cit.</w:t>
      </w:r>
    </w:p>
  </w:footnote>
  <w:footnote w:id="80">
    <w:p w14:paraId="38E82EB2" w14:textId="77777777" w:rsidR="007846AF" w:rsidRPr="00A573F8" w:rsidRDefault="007846AF" w:rsidP="00C365A6">
      <w:pPr>
        <w:pStyle w:val="Textonotapie"/>
      </w:pPr>
      <w:r w:rsidRPr="00A573F8">
        <w:rPr>
          <w:rStyle w:val="Refdenotaalpie"/>
        </w:rPr>
        <w:footnoteRef/>
      </w:r>
      <w:r w:rsidRPr="00A573F8">
        <w:t xml:space="preserve"> Véase Domanski et al, op. cit.</w:t>
      </w:r>
    </w:p>
  </w:footnote>
  <w:footnote w:id="81">
    <w:p w14:paraId="7D4B4F5F" w14:textId="7F700DA3" w:rsidR="007846AF" w:rsidRPr="00F73247" w:rsidRDefault="007846AF" w:rsidP="009543B0">
      <w:pPr>
        <w:pStyle w:val="Textonotapie"/>
        <w:ind w:left="198" w:right="-159" w:hanging="198"/>
        <w:jc w:val="both"/>
        <w:rPr>
          <w:lang w:val="es-MX"/>
        </w:rPr>
      </w:pPr>
      <w:r>
        <w:rPr>
          <w:rStyle w:val="Refdenotaalpie"/>
        </w:rPr>
        <w:footnoteRef/>
      </w:r>
      <w:r>
        <w:t xml:space="preserve"> </w:t>
      </w:r>
      <w:r>
        <w:rPr>
          <w:lang w:val="es-MX"/>
        </w:rPr>
        <w:t>La asignación diaria por 52 millones de dólares tuvo lugar los días 13, 14, 15, 16 y 17 de abril. Con respecto al mecanismo autorizado por la Comisión de Cambios, véase el comunicado de prensa del 11 de marzo de 2015.</w:t>
      </w:r>
    </w:p>
  </w:footnote>
  <w:footnote w:id="82">
    <w:p w14:paraId="1F53E886" w14:textId="559ECD9E" w:rsidR="007846AF" w:rsidRPr="00F73247" w:rsidRDefault="007846AF" w:rsidP="000A364F">
      <w:pPr>
        <w:pStyle w:val="Textonotapie"/>
        <w:ind w:left="187" w:right="-159" w:hanging="187"/>
        <w:jc w:val="both"/>
        <w:rPr>
          <w:lang w:val="es-MX"/>
        </w:rPr>
      </w:pPr>
      <w:r>
        <w:rPr>
          <w:rStyle w:val="Refdenotaalpie"/>
        </w:rPr>
        <w:footnoteRef/>
      </w:r>
      <w:r>
        <w:t xml:space="preserve"> </w:t>
      </w:r>
      <w:r w:rsidRPr="00F73247">
        <w:rPr>
          <w:lang w:val="es-MX"/>
        </w:rPr>
        <w:t>Incluye las subastas de venta de dólares al mercado. No considera la venta de divisas pendientes de liquidación, que se realiza</w:t>
      </w:r>
      <w:r>
        <w:rPr>
          <w:lang w:val="es-MX"/>
        </w:rPr>
        <w:t xml:space="preserve"> el segundo día hábil </w:t>
      </w:r>
      <w:r w:rsidRPr="00F73247">
        <w:rPr>
          <w:lang w:val="es-MX"/>
        </w:rPr>
        <w:t>bancario siguiente. Estas ope</w:t>
      </w:r>
      <w:r>
        <w:rPr>
          <w:lang w:val="es-MX"/>
        </w:rPr>
        <w:t xml:space="preserve">raciones pendientes de liquidar </w:t>
      </w:r>
      <w:r w:rsidRPr="00F73247">
        <w:rPr>
          <w:lang w:val="es-MX"/>
        </w:rPr>
        <w:t>constituyen un pasivo a menos de seis meses y se incluyen en el renglón (C). En esta semana</w:t>
      </w:r>
      <w:r>
        <w:rPr>
          <w:lang w:val="es-MX"/>
        </w:rPr>
        <w:t xml:space="preserve"> </w:t>
      </w:r>
      <w:r w:rsidRPr="00F73247">
        <w:rPr>
          <w:lang w:val="es-MX"/>
        </w:rPr>
        <w:t xml:space="preserve">se asignaron </w:t>
      </w:r>
      <w:r>
        <w:rPr>
          <w:lang w:val="es-MX"/>
        </w:rPr>
        <w:t>2</w:t>
      </w:r>
      <w:r w:rsidRPr="00F73247">
        <w:rPr>
          <w:lang w:val="es-MX"/>
        </w:rPr>
        <w:t>6</w:t>
      </w:r>
      <w:r>
        <w:rPr>
          <w:lang w:val="es-MX"/>
        </w:rPr>
        <w:t>0</w:t>
      </w:r>
      <w:r w:rsidRPr="00F73247">
        <w:rPr>
          <w:lang w:val="es-MX"/>
        </w:rPr>
        <w:t xml:space="preserve"> m</w:t>
      </w:r>
      <w:r>
        <w:rPr>
          <w:lang w:val="es-MX"/>
        </w:rPr>
        <w:t>illones de dólares</w:t>
      </w:r>
      <w:r w:rsidRPr="00F73247">
        <w:rPr>
          <w:lang w:val="es-MX"/>
        </w:rPr>
        <w:t xml:space="preserve"> en las subastas diarias de dólares sin precio mínimo, de los cuales están pendientes de liquidación 104 m</w:t>
      </w:r>
      <w:r>
        <w:rPr>
          <w:lang w:val="es-MX"/>
        </w:rPr>
        <w:t>illones de dólares</w:t>
      </w:r>
      <w:r w:rsidRPr="00F73247">
        <w:rPr>
          <w:lang w:val="es-MX"/>
        </w:rPr>
        <w:t>. Adicionalmente, se</w:t>
      </w:r>
      <w:r>
        <w:rPr>
          <w:lang w:val="es-MX"/>
        </w:rPr>
        <w:t xml:space="preserve"> </w:t>
      </w:r>
      <w:r w:rsidRPr="00F73247">
        <w:rPr>
          <w:lang w:val="es-MX"/>
        </w:rPr>
        <w:t xml:space="preserve">liquidaron </w:t>
      </w:r>
      <w:r>
        <w:rPr>
          <w:lang w:val="es-MX"/>
        </w:rPr>
        <w:t>104</w:t>
      </w:r>
      <w:r w:rsidRPr="00F73247">
        <w:rPr>
          <w:lang w:val="es-MX"/>
        </w:rPr>
        <w:t xml:space="preserve"> m</w:t>
      </w:r>
      <w:r>
        <w:rPr>
          <w:lang w:val="es-MX"/>
        </w:rPr>
        <w:t>illones de dólares</w:t>
      </w:r>
      <w:r w:rsidRPr="00F73247">
        <w:rPr>
          <w:lang w:val="es-MX"/>
        </w:rPr>
        <w:t xml:space="preserve"> que se asignaron la semana anterior</w:t>
      </w:r>
      <w:r>
        <w:rPr>
          <w:lang w:val="es-MX"/>
        </w:rPr>
        <w:t xml:space="preserve"> y que se encontraban pendientes de liquidación</w:t>
      </w:r>
      <w:r w:rsidRPr="00F73247">
        <w:rPr>
          <w:lang w:val="es-MX"/>
        </w:rPr>
        <w:t>.</w:t>
      </w:r>
    </w:p>
  </w:footnote>
  <w:footnote w:id="83">
    <w:p w14:paraId="21F177CA" w14:textId="77777777" w:rsidR="007846AF" w:rsidRPr="00EC51F3" w:rsidRDefault="007846AF" w:rsidP="00131CDE">
      <w:pPr>
        <w:pStyle w:val="Textonotapie"/>
        <w:ind w:left="187" w:right="-159" w:hanging="187"/>
        <w:jc w:val="both"/>
      </w:pPr>
      <w:r w:rsidRPr="00EC51F3">
        <w:rPr>
          <w:rStyle w:val="Refdenotaalpie"/>
        </w:rPr>
        <w:footnoteRef/>
      </w:r>
      <w:r w:rsidRPr="00EC51F3">
        <w:t xml:space="preserve"> Para una explicación detallada de los principales canales del mecanismo de transmisión de la política monetaria ver el Programa Monetario para 2013.</w:t>
      </w:r>
    </w:p>
  </w:footnote>
  <w:footnote w:id="84">
    <w:p w14:paraId="22A1B8EF" w14:textId="77777777" w:rsidR="007846AF" w:rsidRPr="00261605" w:rsidRDefault="007846AF" w:rsidP="00E146C7">
      <w:pPr>
        <w:pStyle w:val="Textonotapie"/>
        <w:ind w:left="210" w:right="-159" w:hanging="210"/>
        <w:jc w:val="both"/>
      </w:pPr>
      <w:r w:rsidRPr="00E06EFC">
        <w:rPr>
          <w:rStyle w:val="Refdenotaalpie"/>
        </w:rPr>
        <w:footnoteRef/>
      </w:r>
      <w:r w:rsidRPr="00E06EFC">
        <w:t xml:space="preserve"> </w:t>
      </w:r>
      <w:r w:rsidRPr="00A65C02">
        <w:t>Daniel Gros es director del Centro de Estudios de Política Europea con sede en Bruselas. Ha trabajado para el Fondo Monetario Internacional</w:t>
      </w:r>
      <w:r>
        <w:t xml:space="preserve"> (FMI)</w:t>
      </w:r>
      <w:r w:rsidRPr="00A65C02">
        <w:t>, y se desempeñó como asesor económico de la Comisión Europea, el Parlamento Europeo y del primer ministro francés y ministro de Hacienda. Es el editor de Economía Internacional y Finanzas Internacionales.</w:t>
      </w:r>
    </w:p>
  </w:footnote>
  <w:footnote w:id="85">
    <w:p w14:paraId="072CC471" w14:textId="77777777" w:rsidR="007846AF" w:rsidRPr="001A4730" w:rsidRDefault="007846AF" w:rsidP="00326A44">
      <w:pPr>
        <w:pStyle w:val="Textonotapie"/>
        <w:jc w:val="both"/>
      </w:pPr>
      <w:r w:rsidRPr="001A4730">
        <w:rPr>
          <w:rStyle w:val="Refdenotaalpie"/>
        </w:rPr>
        <w:footnoteRef/>
      </w:r>
      <w:r w:rsidRPr="001A4730">
        <w:t xml:space="preserve"> </w:t>
      </w:r>
      <w:hyperlink r:id="rId16" w:history="1">
        <w:r w:rsidRPr="00E146C7">
          <w:rPr>
            <w:rStyle w:val="Hipervnculo"/>
          </w:rPr>
          <w:t>http://dof.gob.mx/nota_detalle.php?codigo=5389274&amp;fecha=17/04/2015</w:t>
        </w:r>
      </w:hyperlink>
      <w:r w:rsidRPr="00E146C7">
        <w:rPr>
          <w:color w:val="0000FF"/>
        </w:rPr>
        <w:t xml:space="preserve"> </w:t>
      </w:r>
    </w:p>
  </w:footnote>
  <w:footnote w:id="86">
    <w:p w14:paraId="5B78D95F" w14:textId="77777777" w:rsidR="007846AF" w:rsidRPr="00B65734" w:rsidRDefault="007846AF" w:rsidP="00E146C7">
      <w:pPr>
        <w:pStyle w:val="Textonotapie"/>
        <w:ind w:left="210" w:right="-159" w:hanging="210"/>
        <w:jc w:val="both"/>
      </w:pPr>
      <w:r w:rsidRPr="00B65734">
        <w:rPr>
          <w:rStyle w:val="Refdenotaalpie"/>
        </w:rPr>
        <w:footnoteRef/>
      </w:r>
      <w:r w:rsidRPr="00B65734">
        <w:t xml:space="preserve"> Una contraparte central es una entidad que se interpone entre las partes originales de un contrato de derivados financieros, para convertirse en el comprador de todo vendedor y en el vendedor de todo comprador.</w:t>
      </w:r>
    </w:p>
  </w:footnote>
  <w:footnote w:id="87">
    <w:p w14:paraId="5AC1F1E8" w14:textId="77777777" w:rsidR="007846AF" w:rsidRPr="003F1ECD" w:rsidRDefault="007846AF" w:rsidP="000A364F">
      <w:pPr>
        <w:ind w:left="187" w:right="-159" w:hanging="187"/>
        <w:jc w:val="both"/>
        <w:rPr>
          <w:sz w:val="20"/>
          <w:szCs w:val="20"/>
        </w:rPr>
      </w:pPr>
      <w:r w:rsidRPr="0006056A">
        <w:rPr>
          <w:rStyle w:val="Refdenotaalpie"/>
          <w:sz w:val="20"/>
          <w:szCs w:val="20"/>
        </w:rPr>
        <w:footnoteRef/>
      </w:r>
      <w:r w:rsidRPr="0006056A">
        <w:rPr>
          <w:sz w:val="20"/>
          <w:szCs w:val="20"/>
        </w:rPr>
        <w:t xml:space="preserve"> Para operaciones al mayoreo entre bancos, casas de bolsa, casas de cambio, particulares. Este tipo de cambio es aplicable para liquidar operaciones el segundo día hábil bancario inmediato siguiente a la fecha de su concertación. Los valores son los prevalecientes en el mercado a las horas referidas. Los niveles máximo y mínimo son posturas de venta durante el período de observación (9:00-13:30 hrs). El Banco de México da a conocer estos tipos de cambio a las 13:30 horas todos los días hábiles bancarios. </w:t>
      </w:r>
      <w:r w:rsidRPr="003F1ECD">
        <w:rPr>
          <w:sz w:val="20"/>
          <w:szCs w:val="20"/>
        </w:rPr>
        <w:t xml:space="preserve">Fuente: </w:t>
      </w:r>
      <w:r w:rsidRPr="00D80D27">
        <w:rPr>
          <w:i/>
          <w:sz w:val="20"/>
          <w:szCs w:val="20"/>
        </w:rPr>
        <w:t>Reuters Dealing 3000 Matching</w:t>
      </w:r>
      <w:r w:rsidRPr="003F1ECD">
        <w:rPr>
          <w:sz w:val="20"/>
          <w:szCs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7846AF" w:rsidRPr="007D2609" w:rsidRDefault="007846AF" w:rsidP="007D2609">
    <w:pPr>
      <w:pStyle w:val="Encabezado"/>
      <w:pBdr>
        <w:bottom w:val="single" w:sz="4" w:space="1" w:color="660033"/>
      </w:pBdr>
      <w:tabs>
        <w:tab w:val="clear" w:pos="8504"/>
        <w:tab w:val="left" w:pos="4545"/>
        <w:tab w:val="right" w:pos="8820"/>
      </w:tabs>
      <w:ind w:right="-159"/>
      <w:rPr>
        <w:i/>
        <w:color w:val="660033"/>
        <w:sz w:val="22"/>
        <w:szCs w:val="22"/>
      </w:rPr>
    </w:pPr>
    <w:r w:rsidRPr="007D2609">
      <w:rPr>
        <w:rStyle w:val="Nmerodepgina"/>
        <w:i/>
        <w:color w:val="660033"/>
        <w:sz w:val="22"/>
        <w:szCs w:val="22"/>
      </w:rPr>
      <w:fldChar w:fldCharType="begin"/>
    </w:r>
    <w:r w:rsidRPr="007D2609">
      <w:rPr>
        <w:rStyle w:val="Nmerodepgina"/>
        <w:i/>
        <w:color w:val="660033"/>
        <w:sz w:val="22"/>
        <w:szCs w:val="22"/>
      </w:rPr>
      <w:instrText xml:space="preserve"> PAGE </w:instrText>
    </w:r>
    <w:r w:rsidRPr="007D2609">
      <w:rPr>
        <w:rStyle w:val="Nmerodepgina"/>
        <w:i/>
        <w:color w:val="660033"/>
        <w:sz w:val="22"/>
        <w:szCs w:val="22"/>
      </w:rPr>
      <w:fldChar w:fldCharType="separate"/>
    </w:r>
    <w:r w:rsidR="007D2609">
      <w:rPr>
        <w:rStyle w:val="Nmerodepgina"/>
        <w:i/>
        <w:noProof/>
        <w:color w:val="660033"/>
        <w:sz w:val="22"/>
        <w:szCs w:val="22"/>
      </w:rPr>
      <w:t>554</w:t>
    </w:r>
    <w:r w:rsidRPr="007D2609">
      <w:rPr>
        <w:rStyle w:val="Nmerodepgina"/>
        <w:i/>
        <w:color w:val="660033"/>
        <w:sz w:val="22"/>
        <w:szCs w:val="22"/>
      </w:rPr>
      <w:fldChar w:fldCharType="end"/>
    </w:r>
    <w:r w:rsidRPr="007D2609">
      <w:rPr>
        <w:rStyle w:val="Nmerodepgina"/>
        <w:i/>
        <w:color w:val="660033"/>
        <w:sz w:val="22"/>
        <w:szCs w:val="22"/>
      </w:rPr>
      <w:tab/>
    </w:r>
    <w:r w:rsidRPr="007D2609">
      <w:rPr>
        <w:rStyle w:val="Nmerodepgina"/>
        <w:i/>
        <w:color w:val="660033"/>
        <w:sz w:val="22"/>
        <w:szCs w:val="22"/>
      </w:rPr>
      <w:tab/>
    </w:r>
    <w:r w:rsidRPr="007D2609">
      <w:rPr>
        <w:rStyle w:val="Nmerodepgina"/>
        <w:i/>
        <w:color w:val="660033"/>
        <w:sz w:val="22"/>
        <w:szCs w:val="22"/>
      </w:rPr>
      <w:tab/>
    </w:r>
    <w:r w:rsidRPr="007D2609">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77777777" w:rsidR="007846AF" w:rsidRPr="007D2609" w:rsidRDefault="007846AF" w:rsidP="007D2609">
    <w:pPr>
      <w:pStyle w:val="Encabezado"/>
      <w:pBdr>
        <w:bottom w:val="single" w:sz="4" w:space="1" w:color="660033"/>
      </w:pBdr>
      <w:tabs>
        <w:tab w:val="clear" w:pos="8504"/>
        <w:tab w:val="right" w:pos="9000"/>
      </w:tabs>
      <w:ind w:right="-159"/>
      <w:rPr>
        <w:i/>
        <w:color w:val="660033"/>
        <w:sz w:val="22"/>
        <w:szCs w:val="22"/>
      </w:rPr>
    </w:pPr>
    <w:r w:rsidRPr="007D2609">
      <w:rPr>
        <w:i/>
        <w:color w:val="660033"/>
        <w:sz w:val="22"/>
        <w:szCs w:val="22"/>
      </w:rPr>
      <w:t>Condiciones Generales de la Economía</w:t>
    </w:r>
    <w:r w:rsidRPr="007D2609">
      <w:rPr>
        <w:i/>
        <w:color w:val="660033"/>
        <w:sz w:val="22"/>
        <w:szCs w:val="22"/>
      </w:rPr>
      <w:tab/>
    </w:r>
    <w:r w:rsidRPr="007D2609">
      <w:rPr>
        <w:i/>
        <w:color w:val="660033"/>
        <w:sz w:val="22"/>
        <w:szCs w:val="22"/>
      </w:rPr>
      <w:tab/>
      <w:t xml:space="preserve">    </w:t>
    </w:r>
    <w:r w:rsidRPr="007D2609">
      <w:rPr>
        <w:rStyle w:val="Nmerodepgina"/>
        <w:i/>
        <w:color w:val="660033"/>
        <w:sz w:val="22"/>
        <w:szCs w:val="22"/>
      </w:rPr>
      <w:fldChar w:fldCharType="begin"/>
    </w:r>
    <w:r w:rsidRPr="007D2609">
      <w:rPr>
        <w:rStyle w:val="Nmerodepgina"/>
        <w:i/>
        <w:color w:val="660033"/>
        <w:sz w:val="22"/>
        <w:szCs w:val="22"/>
      </w:rPr>
      <w:instrText xml:space="preserve"> PAGE </w:instrText>
    </w:r>
    <w:r w:rsidRPr="007D2609">
      <w:rPr>
        <w:rStyle w:val="Nmerodepgina"/>
        <w:i/>
        <w:color w:val="660033"/>
        <w:sz w:val="22"/>
        <w:szCs w:val="22"/>
      </w:rPr>
      <w:fldChar w:fldCharType="separate"/>
    </w:r>
    <w:r w:rsidR="007D2609">
      <w:rPr>
        <w:rStyle w:val="Nmerodepgina"/>
        <w:i/>
        <w:noProof/>
        <w:color w:val="660033"/>
        <w:sz w:val="22"/>
        <w:szCs w:val="22"/>
      </w:rPr>
      <w:t>553</w:t>
    </w:r>
    <w:r w:rsidRPr="007D2609">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10669AE"/>
    <w:multiLevelType w:val="hybridMultilevel"/>
    <w:tmpl w:val="FEF82AFC"/>
    <w:lvl w:ilvl="0" w:tplc="7520DBFC">
      <w:start w:val="1"/>
      <w:numFmt w:val="bullet"/>
      <w:lvlText w:val="–"/>
      <w:lvlJc w:val="left"/>
      <w:pPr>
        <w:ind w:left="1008" w:hanging="360"/>
      </w:pPr>
      <w:rPr>
        <w:rFonts w:ascii="Times New Roman" w:hAnsi="Times New Roman" w:cs="Times New Roman"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
    <w:nsid w:val="014C6262"/>
    <w:multiLevelType w:val="hybridMultilevel"/>
    <w:tmpl w:val="16C4B478"/>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8">
    <w:nsid w:val="03324292"/>
    <w:multiLevelType w:val="hybridMultilevel"/>
    <w:tmpl w:val="29AAD4A0"/>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38F225A"/>
    <w:multiLevelType w:val="hybridMultilevel"/>
    <w:tmpl w:val="30DCB6D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39A66FE"/>
    <w:multiLevelType w:val="hybridMultilevel"/>
    <w:tmpl w:val="F89614BA"/>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AD38EC"/>
    <w:multiLevelType w:val="hybridMultilevel"/>
    <w:tmpl w:val="186ADAFC"/>
    <w:lvl w:ilvl="0" w:tplc="07128468">
      <w:start w:val="6"/>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2">
    <w:nsid w:val="03ED418D"/>
    <w:multiLevelType w:val="hybridMultilevel"/>
    <w:tmpl w:val="0DCA6E6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04240CCD"/>
    <w:multiLevelType w:val="hybridMultilevel"/>
    <w:tmpl w:val="95CEA89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16">
    <w:nsid w:val="04776FA3"/>
    <w:multiLevelType w:val="hybridMultilevel"/>
    <w:tmpl w:val="93EC457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04E61AE8"/>
    <w:multiLevelType w:val="hybridMultilevel"/>
    <w:tmpl w:val="37B8DFE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nsid w:val="053C00B6"/>
    <w:multiLevelType w:val="hybridMultilevel"/>
    <w:tmpl w:val="EEA0355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063F5FAC"/>
    <w:multiLevelType w:val="hybridMultilevel"/>
    <w:tmpl w:val="76E0139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71A2032"/>
    <w:multiLevelType w:val="hybridMultilevel"/>
    <w:tmpl w:val="CD34BEC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073B2070"/>
    <w:multiLevelType w:val="hybridMultilevel"/>
    <w:tmpl w:val="4D04F5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081C3F12"/>
    <w:multiLevelType w:val="hybridMultilevel"/>
    <w:tmpl w:val="BED8E8F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08B065C7"/>
    <w:multiLevelType w:val="hybridMultilevel"/>
    <w:tmpl w:val="2FE00C9E"/>
    <w:lvl w:ilvl="0" w:tplc="E654A1BE">
      <w:start w:val="1"/>
      <w:numFmt w:val="bullet"/>
      <w:lvlText w:val=""/>
      <w:lvlJc w:val="left"/>
      <w:pPr>
        <w:ind w:left="720" w:hanging="360"/>
      </w:pPr>
      <w:rPr>
        <w:rFonts w:ascii="Symbol" w:hAnsi="Symbol" w:hint="default"/>
      </w:rPr>
    </w:lvl>
    <w:lvl w:ilvl="1" w:tplc="49FE2694">
      <w:start w:val="3"/>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0B1026E1"/>
    <w:multiLevelType w:val="hybridMultilevel"/>
    <w:tmpl w:val="688638C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0BE2036D"/>
    <w:multiLevelType w:val="hybridMultilevel"/>
    <w:tmpl w:val="3DF8E34E"/>
    <w:lvl w:ilvl="0" w:tplc="A41C4156">
      <w:start w:val="1"/>
      <w:numFmt w:val="bullet"/>
      <w:lvlText w:val="–"/>
      <w:lvlJc w:val="left"/>
      <w:pPr>
        <w:ind w:left="-1068" w:hanging="360"/>
      </w:pPr>
      <w:rPr>
        <w:rFonts w:ascii="Vrinda" w:hAnsi="Vrinda" w:hint="default"/>
        <w:sz w:val="24"/>
      </w:rPr>
    </w:lvl>
    <w:lvl w:ilvl="1" w:tplc="B14AE8D8">
      <w:start w:val="3"/>
      <w:numFmt w:val="bullet"/>
      <w:lvlText w:val="–"/>
      <w:lvlJc w:val="left"/>
      <w:pPr>
        <w:ind w:left="-348" w:hanging="360"/>
      </w:pPr>
      <w:rPr>
        <w:rFonts w:ascii="Times New Roman" w:eastAsiaTheme="minorHAnsi" w:hAnsi="Times New Roman" w:cs="Times New Roman" w:hint="default"/>
      </w:rPr>
    </w:lvl>
    <w:lvl w:ilvl="2" w:tplc="080A0005" w:tentative="1">
      <w:start w:val="1"/>
      <w:numFmt w:val="bullet"/>
      <w:lvlText w:val=""/>
      <w:lvlJc w:val="left"/>
      <w:pPr>
        <w:ind w:left="372" w:hanging="360"/>
      </w:pPr>
      <w:rPr>
        <w:rFonts w:ascii="Wingdings" w:hAnsi="Wingdings" w:hint="default"/>
      </w:rPr>
    </w:lvl>
    <w:lvl w:ilvl="3" w:tplc="080A0001" w:tentative="1">
      <w:start w:val="1"/>
      <w:numFmt w:val="bullet"/>
      <w:lvlText w:val=""/>
      <w:lvlJc w:val="left"/>
      <w:pPr>
        <w:ind w:left="1092" w:hanging="360"/>
      </w:pPr>
      <w:rPr>
        <w:rFonts w:ascii="Symbol" w:hAnsi="Symbol" w:hint="default"/>
      </w:rPr>
    </w:lvl>
    <w:lvl w:ilvl="4" w:tplc="080A0003" w:tentative="1">
      <w:start w:val="1"/>
      <w:numFmt w:val="bullet"/>
      <w:lvlText w:val="o"/>
      <w:lvlJc w:val="left"/>
      <w:pPr>
        <w:ind w:left="1812" w:hanging="360"/>
      </w:pPr>
      <w:rPr>
        <w:rFonts w:ascii="Courier New" w:hAnsi="Courier New" w:cs="Courier New" w:hint="default"/>
      </w:rPr>
    </w:lvl>
    <w:lvl w:ilvl="5" w:tplc="080A0005" w:tentative="1">
      <w:start w:val="1"/>
      <w:numFmt w:val="bullet"/>
      <w:lvlText w:val=""/>
      <w:lvlJc w:val="left"/>
      <w:pPr>
        <w:ind w:left="2532" w:hanging="360"/>
      </w:pPr>
      <w:rPr>
        <w:rFonts w:ascii="Wingdings" w:hAnsi="Wingdings" w:hint="default"/>
      </w:rPr>
    </w:lvl>
    <w:lvl w:ilvl="6" w:tplc="080A0001" w:tentative="1">
      <w:start w:val="1"/>
      <w:numFmt w:val="bullet"/>
      <w:lvlText w:val=""/>
      <w:lvlJc w:val="left"/>
      <w:pPr>
        <w:ind w:left="3252" w:hanging="360"/>
      </w:pPr>
      <w:rPr>
        <w:rFonts w:ascii="Symbol" w:hAnsi="Symbol" w:hint="default"/>
      </w:rPr>
    </w:lvl>
    <w:lvl w:ilvl="7" w:tplc="080A0003" w:tentative="1">
      <w:start w:val="1"/>
      <w:numFmt w:val="bullet"/>
      <w:lvlText w:val="o"/>
      <w:lvlJc w:val="left"/>
      <w:pPr>
        <w:ind w:left="3972" w:hanging="360"/>
      </w:pPr>
      <w:rPr>
        <w:rFonts w:ascii="Courier New" w:hAnsi="Courier New" w:cs="Courier New" w:hint="default"/>
      </w:rPr>
    </w:lvl>
    <w:lvl w:ilvl="8" w:tplc="080A0005" w:tentative="1">
      <w:start w:val="1"/>
      <w:numFmt w:val="bullet"/>
      <w:lvlText w:val=""/>
      <w:lvlJc w:val="left"/>
      <w:pPr>
        <w:ind w:left="4692" w:hanging="360"/>
      </w:pPr>
      <w:rPr>
        <w:rFonts w:ascii="Wingdings" w:hAnsi="Wingdings" w:hint="default"/>
      </w:rPr>
    </w:lvl>
  </w:abstractNum>
  <w:abstractNum w:abstractNumId="2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0C750696"/>
    <w:multiLevelType w:val="hybridMultilevel"/>
    <w:tmpl w:val="B23ADF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0F8B6779"/>
    <w:multiLevelType w:val="hybridMultilevel"/>
    <w:tmpl w:val="C8CCACD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10E30907"/>
    <w:multiLevelType w:val="hybridMultilevel"/>
    <w:tmpl w:val="1BE6A3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1243C34"/>
    <w:multiLevelType w:val="hybridMultilevel"/>
    <w:tmpl w:val="5BD43F66"/>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11FD3EE8"/>
    <w:multiLevelType w:val="hybridMultilevel"/>
    <w:tmpl w:val="F34E83C0"/>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126015CC"/>
    <w:multiLevelType w:val="hybridMultilevel"/>
    <w:tmpl w:val="FC2CCB36"/>
    <w:lvl w:ilvl="0" w:tplc="E654A1BE">
      <w:start w:val="1"/>
      <w:numFmt w:val="bullet"/>
      <w:lvlText w:val=""/>
      <w:lvlJc w:val="left"/>
      <w:pPr>
        <w:ind w:left="720" w:hanging="360"/>
      </w:pPr>
      <w:rPr>
        <w:rFonts w:ascii="Symbol" w:hAnsi="Symbol" w:hint="default"/>
      </w:rPr>
    </w:lvl>
    <w:lvl w:ilvl="1" w:tplc="C818FEF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12737A20"/>
    <w:multiLevelType w:val="hybridMultilevel"/>
    <w:tmpl w:val="68DC60D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12A90822"/>
    <w:multiLevelType w:val="hybridMultilevel"/>
    <w:tmpl w:val="AC443DB4"/>
    <w:lvl w:ilvl="0" w:tplc="91F25FC6">
      <w:start w:val="1"/>
      <w:numFmt w:val="upperRoman"/>
      <w:lvlText w:val="%1."/>
      <w:lvlJc w:val="left"/>
      <w:pPr>
        <w:ind w:left="720" w:hanging="720"/>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132A657A"/>
    <w:multiLevelType w:val="multilevel"/>
    <w:tmpl w:val="74DE0B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13487507"/>
    <w:multiLevelType w:val="hybridMultilevel"/>
    <w:tmpl w:val="A268FCE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3C636B7"/>
    <w:multiLevelType w:val="hybridMultilevel"/>
    <w:tmpl w:val="B75E38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15383E0C"/>
    <w:multiLevelType w:val="hybridMultilevel"/>
    <w:tmpl w:val="A0B26F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B85466"/>
    <w:multiLevelType w:val="hybridMultilevel"/>
    <w:tmpl w:val="B1466566"/>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17085024"/>
    <w:multiLevelType w:val="hybridMultilevel"/>
    <w:tmpl w:val="5A62D89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8036C5F"/>
    <w:multiLevelType w:val="hybridMultilevel"/>
    <w:tmpl w:val="88FCBF42"/>
    <w:lvl w:ilvl="0" w:tplc="A41C4156">
      <w:start w:val="1"/>
      <w:numFmt w:val="bullet"/>
      <w:lvlText w:val="–"/>
      <w:lvlJc w:val="left"/>
      <w:pPr>
        <w:ind w:left="360" w:hanging="360"/>
      </w:pPr>
      <w:rPr>
        <w:rFonts w:ascii="Vrinda" w:hAnsi="Vrinda"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181C1064"/>
    <w:multiLevelType w:val="hybridMultilevel"/>
    <w:tmpl w:val="508459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18AE0BAA"/>
    <w:multiLevelType w:val="hybridMultilevel"/>
    <w:tmpl w:val="E6DC1962"/>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1A7820A3"/>
    <w:multiLevelType w:val="hybridMultilevel"/>
    <w:tmpl w:val="784EB0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1ABC6539"/>
    <w:multiLevelType w:val="hybridMultilevel"/>
    <w:tmpl w:val="0646107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1B5F4E9D"/>
    <w:multiLevelType w:val="hybridMultilevel"/>
    <w:tmpl w:val="33246E2E"/>
    <w:lvl w:ilvl="0" w:tplc="52DC1858">
      <w:start w:val="1"/>
      <w:numFmt w:val="decimal"/>
      <w:lvlText w:val="%1."/>
      <w:lvlJc w:val="left"/>
      <w:pPr>
        <w:ind w:left="720" w:hanging="360"/>
      </w:pPr>
      <w:rPr>
        <w:rFonts w:ascii="Times New Roman" w:hAnsi="Times New Roman" w:hint="default"/>
        <w:sz w:val="26"/>
        <w:szCs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1BF77B2B"/>
    <w:multiLevelType w:val="hybridMultilevel"/>
    <w:tmpl w:val="21480D6C"/>
    <w:lvl w:ilvl="0" w:tplc="DA7C6524">
      <w:start w:val="1"/>
      <w:numFmt w:val="decimal"/>
      <w:lvlText w:val="%1."/>
      <w:lvlJc w:val="left"/>
      <w:pPr>
        <w:ind w:left="720" w:hanging="360"/>
      </w:pPr>
      <w:rPr>
        <w:rFonts w:ascii="Times New Roman" w:hAnsi="Times New Roman"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6A5476B2">
      <w:start w:val="1"/>
      <w:numFmt w:val="decimal"/>
      <w:lvlText w:val="%4."/>
      <w:lvlJc w:val="left"/>
      <w:pPr>
        <w:ind w:left="2880" w:hanging="360"/>
      </w:pPr>
      <w:rPr>
        <w:rFonts w:ascii="Times New Roman" w:hAnsi="Times New Roman" w:hint="default"/>
        <w:b w:val="0"/>
        <w:i w:val="0"/>
        <w:sz w:val="26"/>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1C4365E5"/>
    <w:multiLevelType w:val="hybridMultilevel"/>
    <w:tmpl w:val="B3E87E9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1D7D687D"/>
    <w:multiLevelType w:val="hybridMultilevel"/>
    <w:tmpl w:val="42DC7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1DE463C8"/>
    <w:multiLevelType w:val="hybridMultilevel"/>
    <w:tmpl w:val="52B2FDF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1F4A15A5"/>
    <w:multiLevelType w:val="hybridMultilevel"/>
    <w:tmpl w:val="8428873C"/>
    <w:lvl w:ilvl="0" w:tplc="E654A1BE">
      <w:start w:val="1"/>
      <w:numFmt w:val="bullet"/>
      <w:lvlText w:val=""/>
      <w:lvlJc w:val="left"/>
      <w:pPr>
        <w:ind w:left="720" w:hanging="360"/>
      </w:pPr>
      <w:rPr>
        <w:rFonts w:ascii="Symbol" w:hAnsi="Symbol" w:hint="default"/>
      </w:rPr>
    </w:lvl>
    <w:lvl w:ilvl="1" w:tplc="8238193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1FFC518B"/>
    <w:multiLevelType w:val="hybridMultilevel"/>
    <w:tmpl w:val="F90AA23C"/>
    <w:lvl w:ilvl="0" w:tplc="AD90E8EA">
      <w:start w:val="1"/>
      <w:numFmt w:val="bullet"/>
      <w:lvlText w:val="-"/>
      <w:lvlJc w:val="left"/>
      <w:pPr>
        <w:ind w:left="1440" w:hanging="360"/>
      </w:pPr>
      <w:rPr>
        <w:rFonts w:ascii="Courier New" w:hAnsi="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8">
    <w:nsid w:val="21336BE7"/>
    <w:multiLevelType w:val="hybridMultilevel"/>
    <w:tmpl w:val="BC0CB0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218D57A5"/>
    <w:multiLevelType w:val="hybridMultilevel"/>
    <w:tmpl w:val="4364EA5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224C7F8C"/>
    <w:multiLevelType w:val="hybridMultilevel"/>
    <w:tmpl w:val="0A140990"/>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nsid w:val="229A3551"/>
    <w:multiLevelType w:val="hybridMultilevel"/>
    <w:tmpl w:val="5A8E4F1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22F134CC"/>
    <w:multiLevelType w:val="hybridMultilevel"/>
    <w:tmpl w:val="85A6C5E6"/>
    <w:lvl w:ilvl="0" w:tplc="8ED02F22">
      <w:start w:val="1"/>
      <w:numFmt w:val="decimal"/>
      <w:lvlText w:val="%1."/>
      <w:lvlJc w:val="left"/>
      <w:pPr>
        <w:ind w:left="720" w:hanging="360"/>
      </w:pPr>
      <w:rPr>
        <w:rFonts w:ascii="Times New Roman" w:hAnsi="Times New Roman" w:cs="Tahoma"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23EE19A4"/>
    <w:multiLevelType w:val="hybridMultilevel"/>
    <w:tmpl w:val="B4408604"/>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256015D5"/>
    <w:multiLevelType w:val="hybridMultilevel"/>
    <w:tmpl w:val="85404C7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265C6305"/>
    <w:multiLevelType w:val="hybridMultilevel"/>
    <w:tmpl w:val="F04A0100"/>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8">
    <w:nsid w:val="2853409C"/>
    <w:multiLevelType w:val="hybridMultilevel"/>
    <w:tmpl w:val="CFDA89A2"/>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nsid w:val="28627A17"/>
    <w:multiLevelType w:val="hybridMultilevel"/>
    <w:tmpl w:val="AEBA83A8"/>
    <w:lvl w:ilvl="0" w:tplc="E654A1BE">
      <w:start w:val="1"/>
      <w:numFmt w:val="bullet"/>
      <w:lvlText w:val=""/>
      <w:lvlJc w:val="left"/>
      <w:pPr>
        <w:ind w:left="720" w:hanging="360"/>
      </w:pPr>
      <w:rPr>
        <w:rFonts w:ascii="Symbol" w:hAnsi="Symbol" w:hint="default"/>
      </w:rPr>
    </w:lvl>
    <w:lvl w:ilvl="1" w:tplc="E654A1BE">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28BF6E27"/>
    <w:multiLevelType w:val="hybridMultilevel"/>
    <w:tmpl w:val="17662C76"/>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29350233"/>
    <w:multiLevelType w:val="hybridMultilevel"/>
    <w:tmpl w:val="07D036F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2A5408D4"/>
    <w:multiLevelType w:val="hybridMultilevel"/>
    <w:tmpl w:val="CF50C44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2AA83CBF"/>
    <w:multiLevelType w:val="hybridMultilevel"/>
    <w:tmpl w:val="4D02C960"/>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4">
    <w:nsid w:val="2B0214B8"/>
    <w:multiLevelType w:val="hybridMultilevel"/>
    <w:tmpl w:val="D060B23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5">
    <w:nsid w:val="2C100D17"/>
    <w:multiLevelType w:val="hybridMultilevel"/>
    <w:tmpl w:val="CC0A20D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2CC531D6"/>
    <w:multiLevelType w:val="hybridMultilevel"/>
    <w:tmpl w:val="17E2A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2D7E771E"/>
    <w:multiLevelType w:val="hybridMultilevel"/>
    <w:tmpl w:val="0488183C"/>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nsid w:val="2DFB4279"/>
    <w:multiLevelType w:val="hybridMultilevel"/>
    <w:tmpl w:val="9FA4FBF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2F382C25"/>
    <w:multiLevelType w:val="hybridMultilevel"/>
    <w:tmpl w:val="06542D02"/>
    <w:lvl w:ilvl="0" w:tplc="100CF0A2">
      <w:start w:val="1"/>
      <w:numFmt w:val="upperRoman"/>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F411138"/>
    <w:multiLevelType w:val="hybridMultilevel"/>
    <w:tmpl w:val="4112C450"/>
    <w:lvl w:ilvl="0" w:tplc="90C665FC">
      <w:start w:val="1"/>
      <w:numFmt w:val="upperRoman"/>
      <w:lvlText w:val="%1."/>
      <w:lvlJc w:val="left"/>
      <w:pPr>
        <w:ind w:left="720" w:hanging="360"/>
      </w:pPr>
      <w:rPr>
        <w:rFonts w:hint="default"/>
        <w:b w:val="0"/>
        <w:i w:val="0"/>
        <w:snapToGrid/>
        <w:spacing w:val="16"/>
        <w:sz w:val="26"/>
        <w:szCs w:val="14"/>
      </w:rPr>
    </w:lvl>
    <w:lvl w:ilvl="1" w:tplc="D0ACF0B0">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2F6E3B9C"/>
    <w:multiLevelType w:val="hybridMultilevel"/>
    <w:tmpl w:val="2E92235E"/>
    <w:lvl w:ilvl="0" w:tplc="7520DBFC">
      <w:start w:val="1"/>
      <w:numFmt w:val="bullet"/>
      <w:lvlText w:val="–"/>
      <w:lvlJc w:val="left"/>
      <w:pPr>
        <w:ind w:left="6" w:hanging="360"/>
      </w:pPr>
      <w:rPr>
        <w:rFonts w:ascii="Times New Roman" w:hAnsi="Times New Roman" w:cs="Times New Roman" w:hint="default"/>
        <w:sz w:val="24"/>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84">
    <w:nsid w:val="305C69E5"/>
    <w:multiLevelType w:val="hybridMultilevel"/>
    <w:tmpl w:val="8FDA113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nsid w:val="3076629F"/>
    <w:multiLevelType w:val="hybridMultilevel"/>
    <w:tmpl w:val="74D69C8A"/>
    <w:lvl w:ilvl="0" w:tplc="7E16A0F6">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1471DA7"/>
    <w:multiLevelType w:val="hybridMultilevel"/>
    <w:tmpl w:val="A62EA11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34D22412"/>
    <w:multiLevelType w:val="hybridMultilevel"/>
    <w:tmpl w:val="042667B8"/>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3746488B"/>
    <w:multiLevelType w:val="hybridMultilevel"/>
    <w:tmpl w:val="A0C086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0">
    <w:nsid w:val="388F07E9"/>
    <w:multiLevelType w:val="hybridMultilevel"/>
    <w:tmpl w:val="5D78472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3A0E79AB"/>
    <w:multiLevelType w:val="hybridMultilevel"/>
    <w:tmpl w:val="B45E0D6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3BCE0B84"/>
    <w:multiLevelType w:val="hybridMultilevel"/>
    <w:tmpl w:val="D2CA187A"/>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3CC05D43"/>
    <w:multiLevelType w:val="hybridMultilevel"/>
    <w:tmpl w:val="2D92A790"/>
    <w:lvl w:ilvl="0" w:tplc="AD90E8EA">
      <w:start w:val="1"/>
      <w:numFmt w:val="bullet"/>
      <w:lvlText w:val="-"/>
      <w:lvlJc w:val="left"/>
      <w:pPr>
        <w:ind w:left="1077" w:hanging="360"/>
      </w:pPr>
      <w:rPr>
        <w:rFonts w:ascii="Courier New" w:hAnsi="Courier New"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5">
    <w:nsid w:val="3DBE66E2"/>
    <w:multiLevelType w:val="hybridMultilevel"/>
    <w:tmpl w:val="EE8E4820"/>
    <w:lvl w:ilvl="0" w:tplc="AD90E8EA">
      <w:start w:val="1"/>
      <w:numFmt w:val="bullet"/>
      <w:lvlText w:val="-"/>
      <w:lvlJc w:val="left"/>
      <w:pPr>
        <w:ind w:left="720" w:hanging="360"/>
      </w:pPr>
      <w:rPr>
        <w:rFonts w:ascii="Courier New" w:hAnsi="Courier New" w:hint="default"/>
      </w:rPr>
    </w:lvl>
    <w:lvl w:ilvl="1" w:tplc="8A8EF62E">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nsid w:val="3E0E61DA"/>
    <w:multiLevelType w:val="hybridMultilevel"/>
    <w:tmpl w:val="DD9405BA"/>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99ACF712">
      <w:start w:val="1"/>
      <w:numFmt w:val="lowerLetter"/>
      <w:lvlText w:val="%2)"/>
      <w:lvlJc w:val="left"/>
      <w:pPr>
        <w:ind w:left="1440" w:hanging="360"/>
      </w:pPr>
      <w:rPr>
        <w:rFonts w:ascii="Times New Roman" w:hAnsi="Times New Roman" w:hint="default"/>
        <w:b w:val="0"/>
        <w:i w:val="0"/>
        <w:snapToGrid/>
        <w:spacing w:val="16"/>
        <w:sz w:val="26"/>
        <w:szCs w:val="14"/>
      </w:rPr>
    </w:lvl>
    <w:lvl w:ilvl="2" w:tplc="BD66A882">
      <w:start w:val="1"/>
      <w:numFmt w:val="upperRoman"/>
      <w:lvlText w:val="%3."/>
      <w:lvlJc w:val="left"/>
      <w:pPr>
        <w:ind w:left="2700" w:hanging="720"/>
      </w:pPr>
      <w:rPr>
        <w:rFonts w:hint="default"/>
      </w:rPr>
    </w:lvl>
    <w:lvl w:ilvl="3" w:tplc="FDC65120">
      <w:start w:val="1"/>
      <w:numFmt w:val="decimal"/>
      <w:lvlText w:val="%4."/>
      <w:lvlJc w:val="left"/>
      <w:pPr>
        <w:ind w:left="2880" w:hanging="360"/>
      </w:pPr>
      <w:rPr>
        <w:rFonts w:hint="default"/>
        <w:b/>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3E307B8B"/>
    <w:multiLevelType w:val="hybridMultilevel"/>
    <w:tmpl w:val="CC6838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3E5B691F"/>
    <w:multiLevelType w:val="hybridMultilevel"/>
    <w:tmpl w:val="4014A86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9">
    <w:nsid w:val="3EEC2827"/>
    <w:multiLevelType w:val="hybridMultilevel"/>
    <w:tmpl w:val="95D482D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nsid w:val="3F9150FB"/>
    <w:multiLevelType w:val="hybridMultilevel"/>
    <w:tmpl w:val="E3EC71E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41383FE1"/>
    <w:multiLevelType w:val="hybridMultilevel"/>
    <w:tmpl w:val="D77AF8D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nsid w:val="414A7B48"/>
    <w:multiLevelType w:val="hybridMultilevel"/>
    <w:tmpl w:val="ED928E6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nsid w:val="42A56AB9"/>
    <w:multiLevelType w:val="hybridMultilevel"/>
    <w:tmpl w:val="E246400E"/>
    <w:lvl w:ilvl="0" w:tplc="080A0017">
      <w:start w:val="1"/>
      <w:numFmt w:val="lowerLetter"/>
      <w:lvlText w:val="%1)"/>
      <w:lvlJc w:val="left"/>
      <w:pPr>
        <w:ind w:left="360" w:hanging="360"/>
      </w:pPr>
      <w:rPr>
        <w:rFonts w:hint="default"/>
      </w:rPr>
    </w:lvl>
    <w:lvl w:ilvl="1" w:tplc="AECE8746">
      <w:start w:val="2"/>
      <w:numFmt w:val="bullet"/>
      <w:lvlText w:val=""/>
      <w:lvlJc w:val="left"/>
      <w:pPr>
        <w:ind w:left="1080" w:hanging="360"/>
      </w:pPr>
      <w:rPr>
        <w:rFonts w:ascii="Symbol" w:eastAsiaTheme="minorHAnsi" w:hAnsi="Symbol" w:cs="Times New Roman"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4">
    <w:nsid w:val="439F656F"/>
    <w:multiLevelType w:val="hybridMultilevel"/>
    <w:tmpl w:val="CA2217FC"/>
    <w:lvl w:ilvl="0" w:tplc="A15CEA5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44BE68E5"/>
    <w:multiLevelType w:val="hybridMultilevel"/>
    <w:tmpl w:val="C900964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46920168"/>
    <w:multiLevelType w:val="hybridMultilevel"/>
    <w:tmpl w:val="9968A0EE"/>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nsid w:val="478623A5"/>
    <w:multiLevelType w:val="hybridMultilevel"/>
    <w:tmpl w:val="4BB48668"/>
    <w:lvl w:ilvl="0" w:tplc="B77A6332">
      <w:start w:val="2"/>
      <w:numFmt w:val="bullet"/>
      <w:lvlText w:val=""/>
      <w:lvlJc w:val="left"/>
      <w:pPr>
        <w:ind w:left="360" w:hanging="360"/>
      </w:pPr>
      <w:rPr>
        <w:rFonts w:ascii="Symbol" w:eastAsiaTheme="minorHAnsi" w:hAnsi="Symbol"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nsid w:val="479322D5"/>
    <w:multiLevelType w:val="hybridMultilevel"/>
    <w:tmpl w:val="EAA4278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47D041BE"/>
    <w:multiLevelType w:val="hybridMultilevel"/>
    <w:tmpl w:val="C60660CC"/>
    <w:lvl w:ilvl="0" w:tplc="90C665FC">
      <w:start w:val="1"/>
      <w:numFmt w:val="upperRoman"/>
      <w:lvlText w:val="%1."/>
      <w:lvlJc w:val="left"/>
      <w:pPr>
        <w:ind w:left="720" w:hanging="360"/>
      </w:pPr>
      <w:rPr>
        <w:rFonts w:hint="default"/>
        <w:b w:val="0"/>
        <w:i w:val="0"/>
        <w:snapToGrid/>
        <w:spacing w:val="16"/>
        <w:sz w:val="26"/>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88B39C5"/>
    <w:multiLevelType w:val="hybridMultilevel"/>
    <w:tmpl w:val="F800E2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48C97BDD"/>
    <w:multiLevelType w:val="hybridMultilevel"/>
    <w:tmpl w:val="56A8E27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nsid w:val="4B055361"/>
    <w:multiLevelType w:val="hybridMultilevel"/>
    <w:tmpl w:val="FD86C128"/>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5">
    <w:nsid w:val="4C691FC3"/>
    <w:multiLevelType w:val="hybridMultilevel"/>
    <w:tmpl w:val="84841B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6">
    <w:nsid w:val="4C842DD1"/>
    <w:multiLevelType w:val="hybridMultilevel"/>
    <w:tmpl w:val="BCEC5E46"/>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7">
    <w:nsid w:val="4CC309D3"/>
    <w:multiLevelType w:val="hybridMultilevel"/>
    <w:tmpl w:val="80B661E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4D3D5A9E"/>
    <w:multiLevelType w:val="hybridMultilevel"/>
    <w:tmpl w:val="1D280514"/>
    <w:lvl w:ilvl="0" w:tplc="1B54B1CC">
      <w:start w:val="1"/>
      <w:numFmt w:val="decimal"/>
      <w:lvlText w:val="%1."/>
      <w:lvlJc w:val="left"/>
      <w:pPr>
        <w:ind w:left="360" w:hanging="360"/>
      </w:pPr>
      <w:rPr>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nsid w:val="4DE74F38"/>
    <w:multiLevelType w:val="hybridMultilevel"/>
    <w:tmpl w:val="D712535A"/>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0">
    <w:nsid w:val="4E386FB0"/>
    <w:multiLevelType w:val="hybridMultilevel"/>
    <w:tmpl w:val="1E82C76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4E512FEB"/>
    <w:multiLevelType w:val="hybridMultilevel"/>
    <w:tmpl w:val="0FF68C6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23">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nsid w:val="4F4F4942"/>
    <w:multiLevelType w:val="hybridMultilevel"/>
    <w:tmpl w:val="B1E42B30"/>
    <w:lvl w:ilvl="0" w:tplc="A2A62EE0">
      <w:start w:val="1"/>
      <w:numFmt w:val="upperRoman"/>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508C4DB5"/>
    <w:multiLevelType w:val="hybridMultilevel"/>
    <w:tmpl w:val="E80A7062"/>
    <w:lvl w:ilvl="0" w:tplc="E654A1BE">
      <w:start w:val="1"/>
      <w:numFmt w:val="bullet"/>
      <w:lvlText w:val=""/>
      <w:lvlJc w:val="left"/>
      <w:pPr>
        <w:ind w:left="720" w:hanging="360"/>
      </w:pPr>
      <w:rPr>
        <w:rFonts w:ascii="Symbol" w:hAnsi="Symbol" w:hint="default"/>
      </w:rPr>
    </w:lvl>
    <w:lvl w:ilvl="1" w:tplc="02F81D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50E537BF"/>
    <w:multiLevelType w:val="hybridMultilevel"/>
    <w:tmpl w:val="CEB2415E"/>
    <w:lvl w:ilvl="0" w:tplc="6A5476B2">
      <w:start w:val="1"/>
      <w:numFmt w:val="decimal"/>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nsid w:val="50F8741C"/>
    <w:multiLevelType w:val="hybridMultilevel"/>
    <w:tmpl w:val="4A40F74A"/>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nsid w:val="51224C0A"/>
    <w:multiLevelType w:val="hybridMultilevel"/>
    <w:tmpl w:val="D6B475A0"/>
    <w:lvl w:ilvl="0" w:tplc="B6B003C4">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nsid w:val="52DE4C44"/>
    <w:multiLevelType w:val="hybridMultilevel"/>
    <w:tmpl w:val="1E6C8C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nsid w:val="539A011A"/>
    <w:multiLevelType w:val="hybridMultilevel"/>
    <w:tmpl w:val="EBC6C9B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555D2B91"/>
    <w:multiLevelType w:val="hybridMultilevel"/>
    <w:tmpl w:val="976A2BD4"/>
    <w:lvl w:ilvl="0" w:tplc="080A000F">
      <w:start w:val="1"/>
      <w:numFmt w:val="decimal"/>
      <w:lvlText w:val="%1."/>
      <w:lvlJc w:val="left"/>
      <w:pPr>
        <w:ind w:left="-351" w:hanging="360"/>
      </w:pPr>
      <w:rPr>
        <w:rFonts w:hint="default"/>
      </w:r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132">
    <w:nsid w:val="55FA238E"/>
    <w:multiLevelType w:val="hybridMultilevel"/>
    <w:tmpl w:val="AEAC7422"/>
    <w:lvl w:ilvl="0" w:tplc="E654A1BE">
      <w:start w:val="1"/>
      <w:numFmt w:val="bullet"/>
      <w:lvlText w:val=""/>
      <w:lvlJc w:val="left"/>
      <w:pPr>
        <w:ind w:left="720" w:hanging="360"/>
      </w:pPr>
      <w:rPr>
        <w:rFonts w:ascii="Symbol" w:hAnsi="Symbol" w:hint="default"/>
      </w:rPr>
    </w:lvl>
    <w:lvl w:ilvl="1" w:tplc="BF943E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56AA6D5F"/>
    <w:multiLevelType w:val="hybridMultilevel"/>
    <w:tmpl w:val="5E6A7092"/>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nsid w:val="56D15058"/>
    <w:multiLevelType w:val="hybridMultilevel"/>
    <w:tmpl w:val="062E60E2"/>
    <w:lvl w:ilvl="0" w:tplc="6A4ECC3A">
      <w:start w:val="1"/>
      <w:numFmt w:val="upperRoman"/>
      <w:lvlText w:val="%1."/>
      <w:lvlJc w:val="left"/>
      <w:pPr>
        <w:ind w:left="720" w:hanging="360"/>
      </w:pPr>
      <w:rPr>
        <w:rFonts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nsid w:val="57DC5B7F"/>
    <w:multiLevelType w:val="hybridMultilevel"/>
    <w:tmpl w:val="C28E572E"/>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80924DD"/>
    <w:multiLevelType w:val="hybridMultilevel"/>
    <w:tmpl w:val="CBD07EA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5840490A"/>
    <w:multiLevelType w:val="hybridMultilevel"/>
    <w:tmpl w:val="39E6898E"/>
    <w:lvl w:ilvl="0" w:tplc="080A0017">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nsid w:val="5A7D446E"/>
    <w:multiLevelType w:val="hybridMultilevel"/>
    <w:tmpl w:val="B1BCE87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nsid w:val="5AED04B7"/>
    <w:multiLevelType w:val="hybridMultilevel"/>
    <w:tmpl w:val="0CFC9932"/>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5DDA4EE9"/>
    <w:multiLevelType w:val="hybridMultilevel"/>
    <w:tmpl w:val="0C406864"/>
    <w:lvl w:ilvl="0" w:tplc="7520DBFC">
      <w:start w:val="1"/>
      <w:numFmt w:val="bullet"/>
      <w:lvlText w:val="–"/>
      <w:lvlJc w:val="left"/>
      <w:pPr>
        <w:ind w:left="360" w:hanging="360"/>
      </w:pPr>
      <w:rPr>
        <w:rFonts w:ascii="Times New Roman" w:hAnsi="Times New Roman" w:cs="Times New Roman" w:hint="default"/>
        <w:sz w:val="24"/>
      </w:rPr>
    </w:lvl>
    <w:lvl w:ilvl="1" w:tplc="2A4AD092">
      <w:start w:val="1"/>
      <w:numFmt w:val="bullet"/>
      <w:lvlText w:val=""/>
      <w:lvlJc w:val="left"/>
      <w:pPr>
        <w:ind w:left="1080" w:hanging="360"/>
      </w:pPr>
      <w:rPr>
        <w:rFonts w:ascii="Symbol" w:eastAsia="Times New Roman" w:hAnsi="Symbol"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2">
    <w:nsid w:val="5E1214A8"/>
    <w:multiLevelType w:val="hybridMultilevel"/>
    <w:tmpl w:val="99721684"/>
    <w:lvl w:ilvl="0" w:tplc="551EB9D4">
      <w:start w:val="1"/>
      <w:numFmt w:val="decimal"/>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E4F46A9"/>
    <w:multiLevelType w:val="hybridMultilevel"/>
    <w:tmpl w:val="E65029C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nsid w:val="5F1C7C60"/>
    <w:multiLevelType w:val="hybridMultilevel"/>
    <w:tmpl w:val="69009FF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5">
    <w:nsid w:val="5F9A5BAA"/>
    <w:multiLevelType w:val="hybridMultilevel"/>
    <w:tmpl w:val="ADC8677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FAF0E6E"/>
    <w:multiLevelType w:val="hybridMultilevel"/>
    <w:tmpl w:val="A9F0C9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nsid w:val="5FF1687A"/>
    <w:multiLevelType w:val="hybridMultilevel"/>
    <w:tmpl w:val="B5065A88"/>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8">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nsid w:val="60C531C7"/>
    <w:multiLevelType w:val="hybridMultilevel"/>
    <w:tmpl w:val="937443E0"/>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0">
    <w:nsid w:val="61C50542"/>
    <w:multiLevelType w:val="hybridMultilevel"/>
    <w:tmpl w:val="7592C65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nsid w:val="623F6801"/>
    <w:multiLevelType w:val="hybridMultilevel"/>
    <w:tmpl w:val="525AC3C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nsid w:val="62B32F3C"/>
    <w:multiLevelType w:val="hybridMultilevel"/>
    <w:tmpl w:val="0AA4A240"/>
    <w:lvl w:ilvl="0" w:tplc="EA78A8BC">
      <w:start w:val="1"/>
      <w:numFmt w:val="lowerLetter"/>
      <w:lvlText w:val="%1)"/>
      <w:lvlJc w:val="left"/>
      <w:pPr>
        <w:ind w:left="6" w:hanging="360"/>
      </w:pPr>
      <w:rPr>
        <w:b w:val="0"/>
      </w:rPr>
    </w:lvl>
    <w:lvl w:ilvl="1" w:tplc="080A0019" w:tentative="1">
      <w:start w:val="1"/>
      <w:numFmt w:val="lowerLetter"/>
      <w:lvlText w:val="%2."/>
      <w:lvlJc w:val="left"/>
      <w:pPr>
        <w:ind w:left="726" w:hanging="360"/>
      </w:pPr>
    </w:lvl>
    <w:lvl w:ilvl="2" w:tplc="080A001B" w:tentative="1">
      <w:start w:val="1"/>
      <w:numFmt w:val="lowerRoman"/>
      <w:lvlText w:val="%3."/>
      <w:lvlJc w:val="right"/>
      <w:pPr>
        <w:ind w:left="1446" w:hanging="180"/>
      </w:pPr>
    </w:lvl>
    <w:lvl w:ilvl="3" w:tplc="080A000F" w:tentative="1">
      <w:start w:val="1"/>
      <w:numFmt w:val="decimal"/>
      <w:lvlText w:val="%4."/>
      <w:lvlJc w:val="left"/>
      <w:pPr>
        <w:ind w:left="2166" w:hanging="360"/>
      </w:pPr>
    </w:lvl>
    <w:lvl w:ilvl="4" w:tplc="080A0019" w:tentative="1">
      <w:start w:val="1"/>
      <w:numFmt w:val="lowerLetter"/>
      <w:lvlText w:val="%5."/>
      <w:lvlJc w:val="left"/>
      <w:pPr>
        <w:ind w:left="2886" w:hanging="360"/>
      </w:pPr>
    </w:lvl>
    <w:lvl w:ilvl="5" w:tplc="080A001B" w:tentative="1">
      <w:start w:val="1"/>
      <w:numFmt w:val="lowerRoman"/>
      <w:lvlText w:val="%6."/>
      <w:lvlJc w:val="right"/>
      <w:pPr>
        <w:ind w:left="3606" w:hanging="180"/>
      </w:pPr>
    </w:lvl>
    <w:lvl w:ilvl="6" w:tplc="080A000F" w:tentative="1">
      <w:start w:val="1"/>
      <w:numFmt w:val="decimal"/>
      <w:lvlText w:val="%7."/>
      <w:lvlJc w:val="left"/>
      <w:pPr>
        <w:ind w:left="4326" w:hanging="360"/>
      </w:pPr>
    </w:lvl>
    <w:lvl w:ilvl="7" w:tplc="080A0019" w:tentative="1">
      <w:start w:val="1"/>
      <w:numFmt w:val="lowerLetter"/>
      <w:lvlText w:val="%8."/>
      <w:lvlJc w:val="left"/>
      <w:pPr>
        <w:ind w:left="5046" w:hanging="360"/>
      </w:pPr>
    </w:lvl>
    <w:lvl w:ilvl="8" w:tplc="080A001B" w:tentative="1">
      <w:start w:val="1"/>
      <w:numFmt w:val="lowerRoman"/>
      <w:lvlText w:val="%9."/>
      <w:lvlJc w:val="right"/>
      <w:pPr>
        <w:ind w:left="5766" w:hanging="180"/>
      </w:pPr>
    </w:lvl>
  </w:abstractNum>
  <w:abstractNum w:abstractNumId="153">
    <w:nsid w:val="644737D1"/>
    <w:multiLevelType w:val="multilevel"/>
    <w:tmpl w:val="F3EE74E0"/>
    <w:lvl w:ilvl="0">
      <w:start w:val="1"/>
      <w:numFmt w:val="bullet"/>
      <w:lvlText w:val="–"/>
      <w:lvlJc w:val="left"/>
      <w:pPr>
        <w:tabs>
          <w:tab w:val="num" w:pos="360"/>
        </w:tabs>
        <w:ind w:left="360" w:hanging="360"/>
      </w:pPr>
      <w:rPr>
        <w:rFonts w:ascii="Vrinda" w:hAnsi="Vrinda"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4">
    <w:nsid w:val="647A7724"/>
    <w:multiLevelType w:val="hybridMultilevel"/>
    <w:tmpl w:val="CF0691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nsid w:val="657C1826"/>
    <w:multiLevelType w:val="hybridMultilevel"/>
    <w:tmpl w:val="C79AF1D8"/>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6">
    <w:nsid w:val="65A12B27"/>
    <w:multiLevelType w:val="hybridMultilevel"/>
    <w:tmpl w:val="483238A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nsid w:val="662441DD"/>
    <w:multiLevelType w:val="hybridMultilevel"/>
    <w:tmpl w:val="E7287344"/>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8">
    <w:nsid w:val="66CE3A06"/>
    <w:multiLevelType w:val="hybridMultilevel"/>
    <w:tmpl w:val="80942BA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9">
    <w:nsid w:val="66D835FE"/>
    <w:multiLevelType w:val="hybridMultilevel"/>
    <w:tmpl w:val="41CC7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nsid w:val="67A73DD8"/>
    <w:multiLevelType w:val="hybridMultilevel"/>
    <w:tmpl w:val="94528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7AD3688"/>
    <w:multiLevelType w:val="hybridMultilevel"/>
    <w:tmpl w:val="3890351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nsid w:val="68F67111"/>
    <w:multiLevelType w:val="hybridMultilevel"/>
    <w:tmpl w:val="E9DC487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64">
    <w:nsid w:val="6BC40618"/>
    <w:multiLevelType w:val="hybridMultilevel"/>
    <w:tmpl w:val="DE2CBC1E"/>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5">
    <w:nsid w:val="6BD476F3"/>
    <w:multiLevelType w:val="multilevel"/>
    <w:tmpl w:val="4D08C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C6D5AB4"/>
    <w:multiLevelType w:val="hybridMultilevel"/>
    <w:tmpl w:val="BA5C0230"/>
    <w:lvl w:ilvl="0" w:tplc="9FB2E6D8">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7">
    <w:nsid w:val="6C956331"/>
    <w:multiLevelType w:val="hybridMultilevel"/>
    <w:tmpl w:val="3C04E33E"/>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8">
    <w:nsid w:val="6CB36300"/>
    <w:multiLevelType w:val="hybridMultilevel"/>
    <w:tmpl w:val="377C135C"/>
    <w:lvl w:ilvl="0" w:tplc="288E1828">
      <w:start w:val="1"/>
      <w:numFmt w:val="upperRoman"/>
      <w:lvlText w:val="%1."/>
      <w:lvlJc w:val="righ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nsid w:val="6D366E2A"/>
    <w:multiLevelType w:val="hybridMultilevel"/>
    <w:tmpl w:val="4532DD26"/>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171">
    <w:nsid w:val="7008290E"/>
    <w:multiLevelType w:val="hybridMultilevel"/>
    <w:tmpl w:val="768EC8AC"/>
    <w:lvl w:ilvl="0" w:tplc="7520DBFC">
      <w:start w:val="1"/>
      <w:numFmt w:val="bullet"/>
      <w:lvlText w:val="–"/>
      <w:lvlJc w:val="left"/>
      <w:pPr>
        <w:ind w:left="360" w:hanging="360"/>
      </w:pPr>
      <w:rPr>
        <w:rFonts w:ascii="Times New Roman" w:hAnsi="Times New Roman" w:cs="Times New Roman" w:hint="default"/>
        <w:sz w:val="24"/>
      </w:rPr>
    </w:lvl>
    <w:lvl w:ilvl="1" w:tplc="7520DBFC">
      <w:start w:val="1"/>
      <w:numFmt w:val="bullet"/>
      <w:lvlText w:val="–"/>
      <w:lvlJc w:val="left"/>
      <w:pPr>
        <w:ind w:left="1080" w:hanging="360"/>
      </w:pPr>
      <w:rPr>
        <w:rFonts w:ascii="Times New Roman" w:hAnsi="Times New Roman" w:cs="Times New Roman"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2">
    <w:nsid w:val="70A37F99"/>
    <w:multiLevelType w:val="hybridMultilevel"/>
    <w:tmpl w:val="2620F3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3">
    <w:nsid w:val="710356B7"/>
    <w:multiLevelType w:val="hybridMultilevel"/>
    <w:tmpl w:val="E084DD8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nsid w:val="717741DF"/>
    <w:multiLevelType w:val="hybridMultilevel"/>
    <w:tmpl w:val="808290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5">
    <w:nsid w:val="71AD3C57"/>
    <w:multiLevelType w:val="hybridMultilevel"/>
    <w:tmpl w:val="17EC1F9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6">
    <w:nsid w:val="71CA3013"/>
    <w:multiLevelType w:val="hybridMultilevel"/>
    <w:tmpl w:val="55760B96"/>
    <w:lvl w:ilvl="0" w:tplc="5CB61D60">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58B1D60"/>
    <w:multiLevelType w:val="hybridMultilevel"/>
    <w:tmpl w:val="240EB6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8">
    <w:nsid w:val="76766A3D"/>
    <w:multiLevelType w:val="hybridMultilevel"/>
    <w:tmpl w:val="04F0C60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79F5309"/>
    <w:multiLevelType w:val="hybridMultilevel"/>
    <w:tmpl w:val="72685D52"/>
    <w:lvl w:ilvl="0" w:tplc="887CA48E">
      <w:start w:val="1"/>
      <w:numFmt w:val="decimal"/>
      <w:lvlText w:val="%1."/>
      <w:lvlJc w:val="left"/>
      <w:pPr>
        <w:ind w:left="644" w:hanging="360"/>
      </w:pPr>
      <w:rPr>
        <w:rFonts w:hint="default"/>
        <w:b w:val="0"/>
        <w:i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80">
    <w:nsid w:val="78D5620A"/>
    <w:multiLevelType w:val="hybridMultilevel"/>
    <w:tmpl w:val="E8209ED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94B756F"/>
    <w:multiLevelType w:val="hybridMultilevel"/>
    <w:tmpl w:val="9C4CA55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nsid w:val="79807063"/>
    <w:multiLevelType w:val="hybridMultilevel"/>
    <w:tmpl w:val="6C4ACD8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nsid w:val="7B030847"/>
    <w:multiLevelType w:val="hybridMultilevel"/>
    <w:tmpl w:val="87EE579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nsid w:val="7CEC4DAF"/>
    <w:multiLevelType w:val="hybridMultilevel"/>
    <w:tmpl w:val="E564E0E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6">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nsid w:val="7DF444EE"/>
    <w:multiLevelType w:val="hybridMultilevel"/>
    <w:tmpl w:val="47947598"/>
    <w:lvl w:ilvl="0" w:tplc="80187B4A">
      <w:start w:val="1"/>
      <w:numFmt w:val="decimal"/>
      <w:lvlText w:val="%1."/>
      <w:lvlJc w:val="left"/>
      <w:pPr>
        <w:ind w:left="720" w:hanging="360"/>
      </w:pPr>
      <w:rPr>
        <w:rFonts w:hint="default"/>
        <w:b/>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nsid w:val="7FCA372B"/>
    <w:multiLevelType w:val="hybridMultilevel"/>
    <w:tmpl w:val="42D20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0">
    <w:nsid w:val="7FEB3A3B"/>
    <w:multiLevelType w:val="hybridMultilevel"/>
    <w:tmpl w:val="4A42349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3"/>
  </w:num>
  <w:num w:numId="3">
    <w:abstractNumId w:val="4"/>
  </w:num>
  <w:num w:numId="4">
    <w:abstractNumId w:val="2"/>
  </w:num>
  <w:num w:numId="5">
    <w:abstractNumId w:val="7"/>
  </w:num>
  <w:num w:numId="6">
    <w:abstractNumId w:val="163"/>
  </w:num>
  <w:num w:numId="7">
    <w:abstractNumId w:val="47"/>
  </w:num>
  <w:num w:numId="8">
    <w:abstractNumId w:val="1"/>
  </w:num>
  <w:num w:numId="9">
    <w:abstractNumId w:val="66"/>
  </w:num>
  <w:num w:numId="10">
    <w:abstractNumId w:val="123"/>
  </w:num>
  <w:num w:numId="11">
    <w:abstractNumId w:val="0"/>
  </w:num>
  <w:num w:numId="12">
    <w:abstractNumId w:val="105"/>
  </w:num>
  <w:num w:numId="13">
    <w:abstractNumId w:val="89"/>
  </w:num>
  <w:num w:numId="14">
    <w:abstractNumId w:val="184"/>
  </w:num>
  <w:num w:numId="15">
    <w:abstractNumId w:val="76"/>
  </w:num>
  <w:num w:numId="16">
    <w:abstractNumId w:val="19"/>
  </w:num>
  <w:num w:numId="17">
    <w:abstractNumId w:val="104"/>
  </w:num>
  <w:num w:numId="18">
    <w:abstractNumId w:val="32"/>
  </w:num>
  <w:num w:numId="19">
    <w:abstractNumId w:val="128"/>
  </w:num>
  <w:num w:numId="20">
    <w:abstractNumId w:val="176"/>
  </w:num>
  <w:num w:numId="21">
    <w:abstractNumId w:val="156"/>
  </w:num>
  <w:num w:numId="22">
    <w:abstractNumId w:val="97"/>
  </w:num>
  <w:num w:numId="23">
    <w:abstractNumId w:val="111"/>
  </w:num>
  <w:num w:numId="24">
    <w:abstractNumId w:val="173"/>
  </w:num>
  <w:num w:numId="25">
    <w:abstractNumId w:val="79"/>
  </w:num>
  <w:num w:numId="26">
    <w:abstractNumId w:val="35"/>
  </w:num>
  <w:num w:numId="27">
    <w:abstractNumId w:val="56"/>
  </w:num>
  <w:num w:numId="28">
    <w:abstractNumId w:val="15"/>
  </w:num>
  <w:num w:numId="29">
    <w:abstractNumId w:val="55"/>
  </w:num>
  <w:num w:numId="30">
    <w:abstractNumId w:val="67"/>
  </w:num>
  <w:num w:numId="31">
    <w:abstractNumId w:val="122"/>
  </w:num>
  <w:num w:numId="32">
    <w:abstractNumId w:val="82"/>
  </w:num>
  <w:num w:numId="33">
    <w:abstractNumId w:val="75"/>
  </w:num>
  <w:num w:numId="34">
    <w:abstractNumId w:val="96"/>
  </w:num>
  <w:num w:numId="35">
    <w:abstractNumId w:val="124"/>
  </w:num>
  <w:num w:numId="36">
    <w:abstractNumId w:val="110"/>
  </w:num>
  <w:num w:numId="37">
    <w:abstractNumId w:val="54"/>
  </w:num>
  <w:num w:numId="38">
    <w:abstractNumId w:val="94"/>
  </w:num>
  <w:num w:numId="39">
    <w:abstractNumId w:val="62"/>
  </w:num>
  <w:num w:numId="40">
    <w:abstractNumId w:val="139"/>
  </w:num>
  <w:num w:numId="41">
    <w:abstractNumId w:val="179"/>
  </w:num>
  <w:num w:numId="42">
    <w:abstractNumId w:val="71"/>
  </w:num>
  <w:num w:numId="43">
    <w:abstractNumId w:val="98"/>
  </w:num>
  <w:num w:numId="44">
    <w:abstractNumId w:val="186"/>
  </w:num>
  <w:num w:numId="45">
    <w:abstractNumId w:val="17"/>
  </w:num>
  <w:num w:numId="46">
    <w:abstractNumId w:val="5"/>
  </w:num>
  <w:num w:numId="47">
    <w:abstractNumId w:val="188"/>
  </w:num>
  <w:num w:numId="48">
    <w:abstractNumId w:val="14"/>
  </w:num>
  <w:num w:numId="49">
    <w:abstractNumId w:val="45"/>
  </w:num>
  <w:num w:numId="50">
    <w:abstractNumId w:val="138"/>
  </w:num>
  <w:num w:numId="51">
    <w:abstractNumId w:val="11"/>
  </w:num>
  <w:num w:numId="52">
    <w:abstractNumId w:val="16"/>
  </w:num>
  <w:num w:numId="53">
    <w:abstractNumId w:val="165"/>
  </w:num>
  <w:num w:numId="54">
    <w:abstractNumId w:val="51"/>
  </w:num>
  <w:num w:numId="55">
    <w:abstractNumId w:val="37"/>
  </w:num>
  <w:num w:numId="56">
    <w:abstractNumId w:val="129"/>
  </w:num>
  <w:num w:numId="57">
    <w:abstractNumId w:val="159"/>
  </w:num>
  <w:num w:numId="58">
    <w:abstractNumId w:val="125"/>
  </w:num>
  <w:num w:numId="59">
    <w:abstractNumId w:val="88"/>
  </w:num>
  <w:num w:numId="60">
    <w:abstractNumId w:val="36"/>
  </w:num>
  <w:num w:numId="61">
    <w:abstractNumId w:val="90"/>
  </w:num>
  <w:num w:numId="62">
    <w:abstractNumId w:val="169"/>
  </w:num>
  <w:num w:numId="63">
    <w:abstractNumId w:val="44"/>
  </w:num>
  <w:num w:numId="64">
    <w:abstractNumId w:val="30"/>
  </w:num>
  <w:num w:numId="65">
    <w:abstractNumId w:val="133"/>
  </w:num>
  <w:num w:numId="66">
    <w:abstractNumId w:val="170"/>
  </w:num>
  <w:num w:numId="67">
    <w:abstractNumId w:val="126"/>
  </w:num>
  <w:num w:numId="68">
    <w:abstractNumId w:val="25"/>
  </w:num>
  <w:num w:numId="69">
    <w:abstractNumId w:val="178"/>
  </w:num>
  <w:num w:numId="70">
    <w:abstractNumId w:val="91"/>
  </w:num>
  <w:num w:numId="71">
    <w:abstractNumId w:val="40"/>
  </w:num>
  <w:num w:numId="72">
    <w:abstractNumId w:val="150"/>
  </w:num>
  <w:num w:numId="73">
    <w:abstractNumId w:val="143"/>
  </w:num>
  <w:num w:numId="74">
    <w:abstractNumId w:val="151"/>
  </w:num>
  <w:num w:numId="75">
    <w:abstractNumId w:val="114"/>
  </w:num>
  <w:num w:numId="76">
    <w:abstractNumId w:val="166"/>
  </w:num>
  <w:num w:numId="77">
    <w:abstractNumId w:val="162"/>
  </w:num>
  <w:num w:numId="78">
    <w:abstractNumId w:val="103"/>
  </w:num>
  <w:num w:numId="79">
    <w:abstractNumId w:val="33"/>
  </w:num>
  <w:num w:numId="80">
    <w:abstractNumId w:val="108"/>
  </w:num>
  <w:num w:numId="81">
    <w:abstractNumId w:val="107"/>
  </w:num>
  <w:num w:numId="82">
    <w:abstractNumId w:val="46"/>
  </w:num>
  <w:num w:numId="83">
    <w:abstractNumId w:val="26"/>
  </w:num>
  <w:num w:numId="84">
    <w:abstractNumId w:val="189"/>
  </w:num>
  <w:num w:numId="85">
    <w:abstractNumId w:val="146"/>
  </w:num>
  <w:num w:numId="86">
    <w:abstractNumId w:val="154"/>
  </w:num>
  <w:num w:numId="87">
    <w:abstractNumId w:val="175"/>
  </w:num>
  <w:num w:numId="88">
    <w:abstractNumId w:val="59"/>
  </w:num>
  <w:num w:numId="89">
    <w:abstractNumId w:val="70"/>
  </w:num>
  <w:num w:numId="90">
    <w:abstractNumId w:val="68"/>
  </w:num>
  <w:num w:numId="91">
    <w:abstractNumId w:val="63"/>
  </w:num>
  <w:num w:numId="92">
    <w:abstractNumId w:val="116"/>
  </w:num>
  <w:num w:numId="93">
    <w:abstractNumId w:val="158"/>
  </w:num>
  <w:num w:numId="94">
    <w:abstractNumId w:val="34"/>
  </w:num>
  <w:num w:numId="95">
    <w:abstractNumId w:val="83"/>
  </w:num>
  <w:num w:numId="96">
    <w:abstractNumId w:val="92"/>
  </w:num>
  <w:num w:numId="97">
    <w:abstractNumId w:val="100"/>
  </w:num>
  <w:num w:numId="98">
    <w:abstractNumId w:val="132"/>
  </w:num>
  <w:num w:numId="99">
    <w:abstractNumId w:val="93"/>
  </w:num>
  <w:num w:numId="100">
    <w:abstractNumId w:val="140"/>
  </w:num>
  <w:num w:numId="101">
    <w:abstractNumId w:val="185"/>
  </w:num>
  <w:num w:numId="102">
    <w:abstractNumId w:val="168"/>
  </w:num>
  <w:num w:numId="103">
    <w:abstractNumId w:val="152"/>
  </w:num>
  <w:num w:numId="104">
    <w:abstractNumId w:val="81"/>
  </w:num>
  <w:num w:numId="105">
    <w:abstractNumId w:val="49"/>
  </w:num>
  <w:num w:numId="106">
    <w:abstractNumId w:val="8"/>
  </w:num>
  <w:num w:numId="107">
    <w:abstractNumId w:val="117"/>
  </w:num>
  <w:num w:numId="108">
    <w:abstractNumId w:val="172"/>
  </w:num>
  <w:num w:numId="109">
    <w:abstractNumId w:val="121"/>
  </w:num>
  <w:num w:numId="110">
    <w:abstractNumId w:val="106"/>
  </w:num>
  <w:num w:numId="111">
    <w:abstractNumId w:val="181"/>
  </w:num>
  <w:num w:numId="112">
    <w:abstractNumId w:val="23"/>
  </w:num>
  <w:num w:numId="113">
    <w:abstractNumId w:val="102"/>
  </w:num>
  <w:num w:numId="114">
    <w:abstractNumId w:val="69"/>
  </w:num>
  <w:num w:numId="115">
    <w:abstractNumId w:val="182"/>
  </w:num>
  <w:num w:numId="116">
    <w:abstractNumId w:val="41"/>
  </w:num>
  <w:num w:numId="117">
    <w:abstractNumId w:val="174"/>
  </w:num>
  <w:num w:numId="118">
    <w:abstractNumId w:val="72"/>
  </w:num>
  <w:num w:numId="119">
    <w:abstractNumId w:val="20"/>
  </w:num>
  <w:num w:numId="120">
    <w:abstractNumId w:val="9"/>
  </w:num>
  <w:num w:numId="121">
    <w:abstractNumId w:val="157"/>
  </w:num>
  <w:num w:numId="122">
    <w:abstractNumId w:val="153"/>
  </w:num>
  <w:num w:numId="123">
    <w:abstractNumId w:val="38"/>
  </w:num>
  <w:num w:numId="124">
    <w:abstractNumId w:val="53"/>
  </w:num>
  <w:num w:numId="125">
    <w:abstractNumId w:val="12"/>
  </w:num>
  <w:num w:numId="126">
    <w:abstractNumId w:val="73"/>
  </w:num>
  <w:num w:numId="127">
    <w:abstractNumId w:val="119"/>
  </w:num>
  <w:num w:numId="128">
    <w:abstractNumId w:val="27"/>
  </w:num>
  <w:num w:numId="129">
    <w:abstractNumId w:val="28"/>
  </w:num>
  <w:num w:numId="130">
    <w:abstractNumId w:val="144"/>
  </w:num>
  <w:num w:numId="131">
    <w:abstractNumId w:val="115"/>
  </w:num>
  <w:num w:numId="132">
    <w:abstractNumId w:val="99"/>
  </w:num>
  <w:num w:numId="133">
    <w:abstractNumId w:val="127"/>
  </w:num>
  <w:num w:numId="134">
    <w:abstractNumId w:val="136"/>
  </w:num>
  <w:num w:numId="135">
    <w:abstractNumId w:val="61"/>
  </w:num>
  <w:num w:numId="136">
    <w:abstractNumId w:val="87"/>
  </w:num>
  <w:num w:numId="137">
    <w:abstractNumId w:val="145"/>
  </w:num>
  <w:num w:numId="138">
    <w:abstractNumId w:val="64"/>
  </w:num>
  <w:num w:numId="139">
    <w:abstractNumId w:val="167"/>
  </w:num>
  <w:num w:numId="140">
    <w:abstractNumId w:val="50"/>
  </w:num>
  <w:num w:numId="141">
    <w:abstractNumId w:val="118"/>
  </w:num>
  <w:num w:numId="142">
    <w:abstractNumId w:val="74"/>
  </w:num>
  <w:num w:numId="143">
    <w:abstractNumId w:val="135"/>
  </w:num>
  <w:num w:numId="144">
    <w:abstractNumId w:val="131"/>
  </w:num>
  <w:num w:numId="145">
    <w:abstractNumId w:val="148"/>
  </w:num>
  <w:num w:numId="146">
    <w:abstractNumId w:val="80"/>
  </w:num>
  <w:num w:numId="147">
    <w:abstractNumId w:val="48"/>
  </w:num>
  <w:num w:numId="148">
    <w:abstractNumId w:val="43"/>
  </w:num>
  <w:num w:numId="149">
    <w:abstractNumId w:val="180"/>
  </w:num>
  <w:num w:numId="150">
    <w:abstractNumId w:val="95"/>
  </w:num>
  <w:num w:numId="151">
    <w:abstractNumId w:val="57"/>
  </w:num>
  <w:num w:numId="152">
    <w:abstractNumId w:val="137"/>
  </w:num>
  <w:num w:numId="153">
    <w:abstractNumId w:val="65"/>
  </w:num>
  <w:num w:numId="154">
    <w:abstractNumId w:val="183"/>
  </w:num>
  <w:num w:numId="155">
    <w:abstractNumId w:val="86"/>
  </w:num>
  <w:num w:numId="156">
    <w:abstractNumId w:val="160"/>
  </w:num>
  <w:num w:numId="157">
    <w:abstractNumId w:val="77"/>
  </w:num>
  <w:num w:numId="158">
    <w:abstractNumId w:val="113"/>
  </w:num>
  <w:num w:numId="159">
    <w:abstractNumId w:val="13"/>
  </w:num>
  <w:num w:numId="160">
    <w:abstractNumId w:val="164"/>
  </w:num>
  <w:num w:numId="161">
    <w:abstractNumId w:val="39"/>
  </w:num>
  <w:num w:numId="162">
    <w:abstractNumId w:val="52"/>
  </w:num>
  <w:num w:numId="163">
    <w:abstractNumId w:val="24"/>
  </w:num>
  <w:num w:numId="164">
    <w:abstractNumId w:val="120"/>
  </w:num>
  <w:num w:numId="165">
    <w:abstractNumId w:val="58"/>
  </w:num>
  <w:num w:numId="166">
    <w:abstractNumId w:val="177"/>
  </w:num>
  <w:num w:numId="167">
    <w:abstractNumId w:val="85"/>
  </w:num>
  <w:num w:numId="168">
    <w:abstractNumId w:val="130"/>
  </w:num>
  <w:num w:numId="169">
    <w:abstractNumId w:val="161"/>
  </w:num>
  <w:num w:numId="170">
    <w:abstractNumId w:val="22"/>
  </w:num>
  <w:num w:numId="171">
    <w:abstractNumId w:val="84"/>
  </w:num>
  <w:num w:numId="172">
    <w:abstractNumId w:val="101"/>
  </w:num>
  <w:num w:numId="173">
    <w:abstractNumId w:val="142"/>
  </w:num>
  <w:num w:numId="174">
    <w:abstractNumId w:val="109"/>
  </w:num>
  <w:num w:numId="175">
    <w:abstractNumId w:val="21"/>
  </w:num>
  <w:num w:numId="176">
    <w:abstractNumId w:val="18"/>
  </w:num>
  <w:num w:numId="177">
    <w:abstractNumId w:val="190"/>
  </w:num>
  <w:num w:numId="178">
    <w:abstractNumId w:val="60"/>
  </w:num>
  <w:num w:numId="179">
    <w:abstractNumId w:val="31"/>
  </w:num>
  <w:num w:numId="180">
    <w:abstractNumId w:val="10"/>
  </w:num>
  <w:num w:numId="181">
    <w:abstractNumId w:val="147"/>
  </w:num>
  <w:num w:numId="182">
    <w:abstractNumId w:val="78"/>
  </w:num>
  <w:num w:numId="183">
    <w:abstractNumId w:val="112"/>
  </w:num>
  <w:num w:numId="184">
    <w:abstractNumId w:val="141"/>
  </w:num>
  <w:num w:numId="185">
    <w:abstractNumId w:val="187"/>
  </w:num>
  <w:num w:numId="186">
    <w:abstractNumId w:val="6"/>
  </w:num>
  <w:num w:numId="187">
    <w:abstractNumId w:val="171"/>
  </w:num>
  <w:num w:numId="188">
    <w:abstractNumId w:val="42"/>
  </w:num>
  <w:num w:numId="189">
    <w:abstractNumId w:val="134"/>
  </w:num>
  <w:num w:numId="190">
    <w:abstractNumId w:val="155"/>
  </w:num>
  <w:num w:numId="191">
    <w:abstractNumId w:val="14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92B"/>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1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1B"/>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084"/>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58"/>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196"/>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2E1"/>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09"/>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0D"/>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1C"/>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7AA"/>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2EB1"/>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53"/>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48"/>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emf"/><Relationship Id="rId299" Type="http://schemas.openxmlformats.org/officeDocument/2006/relationships/image" Target="media/image174.emf"/><Relationship Id="rId21" Type="http://schemas.openxmlformats.org/officeDocument/2006/relationships/image" Target="media/image13.emf"/><Relationship Id="rId63" Type="http://schemas.openxmlformats.org/officeDocument/2006/relationships/hyperlink" Target="http://www.forbes.com.mx/inversion-la-pieza-que-falta-para-crecer-en-mexico-y-al/" TargetMode="External"/><Relationship Id="rId159" Type="http://schemas.openxmlformats.org/officeDocument/2006/relationships/hyperlink" Target="http://www.sentidocomun.com.mx/articulo.phtml?id=19239" TargetMode="External"/><Relationship Id="rId324" Type="http://schemas.openxmlformats.org/officeDocument/2006/relationships/image" Target="media/image193.emf"/><Relationship Id="rId366" Type="http://schemas.openxmlformats.org/officeDocument/2006/relationships/image" Target="media/image227.emf"/><Relationship Id="rId170" Type="http://schemas.openxmlformats.org/officeDocument/2006/relationships/image" Target="media/image103.emf"/><Relationship Id="rId226" Type="http://schemas.openxmlformats.org/officeDocument/2006/relationships/hyperlink" Target="http://www.sat.gob.mx" TargetMode="External"/><Relationship Id="rId433" Type="http://schemas.openxmlformats.org/officeDocument/2006/relationships/image" Target="media/image271.emf"/><Relationship Id="rId268" Type="http://schemas.openxmlformats.org/officeDocument/2006/relationships/hyperlink" Target="http://www.fitchratings.mx/ArchivosHTML/Coment_13972.pdf" TargetMode="External"/><Relationship Id="rId475" Type="http://schemas.openxmlformats.org/officeDocument/2006/relationships/hyperlink" Target="http://www.banxico.org.mx/SieInternet/consultarDirectorioInternetAction.do?accion=consultarCuadroAnalitico&amp;idCuadro=CA91&amp;sector=6&amp;locale=es" TargetMode="External"/><Relationship Id="rId32" Type="http://schemas.openxmlformats.org/officeDocument/2006/relationships/image" Target="media/image23.emf"/><Relationship Id="rId74" Type="http://schemas.openxmlformats.org/officeDocument/2006/relationships/image" Target="media/image47.emf"/><Relationship Id="rId128" Type="http://schemas.openxmlformats.org/officeDocument/2006/relationships/hyperlink" Target="http://www.cce.org.mx/?p=11182" TargetMode="External"/><Relationship Id="rId335" Type="http://schemas.openxmlformats.org/officeDocument/2006/relationships/hyperlink" Target="http://www.consar.gob.mx/sala_prensa/PDF/presentaciones/AMEXCAP%20CRF%20%20marzo%202015.pdf" TargetMode="External"/><Relationship Id="rId377" Type="http://schemas.openxmlformats.org/officeDocument/2006/relationships/image" Target="media/image236.emf"/><Relationship Id="rId5" Type="http://schemas.openxmlformats.org/officeDocument/2006/relationships/webSettings" Target="webSettings.xml"/><Relationship Id="rId181" Type="http://schemas.openxmlformats.org/officeDocument/2006/relationships/image" Target="media/image114.emf"/><Relationship Id="rId237" Type="http://schemas.openxmlformats.org/officeDocument/2006/relationships/hyperlink" Target="https://www.imf.org/external/spanish/pubs/ft/fm/2015/01/pdf/fmexss.pdf" TargetMode="External"/><Relationship Id="rId402" Type="http://schemas.openxmlformats.org/officeDocument/2006/relationships/image" Target="media/image250.emf"/><Relationship Id="rId279" Type="http://schemas.openxmlformats.org/officeDocument/2006/relationships/image" Target="media/image168.png"/><Relationship Id="rId444" Type="http://schemas.openxmlformats.org/officeDocument/2006/relationships/image" Target="media/image275.emf"/><Relationship Id="rId43" Type="http://schemas.openxmlformats.org/officeDocument/2006/relationships/image" Target="media/image28.emf"/><Relationship Id="rId139" Type="http://schemas.openxmlformats.org/officeDocument/2006/relationships/hyperlink" Target="http://www.economia.gob.mx/eventos-noticias/sala-de-prensa/comunicados/10964-comunicado15-028" TargetMode="External"/><Relationship Id="rId290" Type="http://schemas.openxmlformats.org/officeDocument/2006/relationships/hyperlink" Target="http://www.imf.org/external/pubs/cat/longres.aspx?sk=42827.0" TargetMode="External"/><Relationship Id="rId304" Type="http://schemas.openxmlformats.org/officeDocument/2006/relationships/image" Target="media/image179.emf"/><Relationship Id="rId346" Type="http://schemas.openxmlformats.org/officeDocument/2006/relationships/image" Target="media/image208.emf"/><Relationship Id="rId388" Type="http://schemas.openxmlformats.org/officeDocument/2006/relationships/hyperlink" Target="http://www.iadb.org/es/noticias/comunicados-de-prensa/2015-04-20/futuro-de-pensiones-de-america-latina-y-el-caribe%2c11144.html?WT.mc_id=NewsEmail_Short_11144&amp;wtSrc=Email&amp;wtType=Short&amp;wtArticleID=11144" TargetMode="External"/><Relationship Id="rId85" Type="http://schemas.openxmlformats.org/officeDocument/2006/relationships/image" Target="media/image54.emf"/><Relationship Id="rId150" Type="http://schemas.openxmlformats.org/officeDocument/2006/relationships/image" Target="media/image93.emf"/><Relationship Id="rId192" Type="http://schemas.openxmlformats.org/officeDocument/2006/relationships/image" Target="media/image125.emf"/><Relationship Id="rId206" Type="http://schemas.openxmlformats.org/officeDocument/2006/relationships/image" Target="media/image139.emf"/><Relationship Id="rId413" Type="http://schemas.openxmlformats.org/officeDocument/2006/relationships/hyperlink" Target="https://www.banque-france.fr/fileadmin/user_upload/banque_de_france/Eurosysteme_et_international/CR-conseil-gouverneurs-reunion-politique-monetaire-02-04-2015.pdf" TargetMode="External"/><Relationship Id="rId248" Type="http://schemas.openxmlformats.org/officeDocument/2006/relationships/image" Target="media/image152.emf"/><Relationship Id="rId455" Type="http://schemas.openxmlformats.org/officeDocument/2006/relationships/hyperlink" Target="http://www.forbes.com.mx/habra-fuga-de-capitales-de-mexico-por-8000-mdd-en-2015/" TargetMode="External"/><Relationship Id="rId12" Type="http://schemas.openxmlformats.org/officeDocument/2006/relationships/image" Target="media/image5.emf"/><Relationship Id="rId108" Type="http://schemas.openxmlformats.org/officeDocument/2006/relationships/image" Target="media/image74.emf"/><Relationship Id="rId315" Type="http://schemas.openxmlformats.org/officeDocument/2006/relationships/image" Target="media/image188.emf"/><Relationship Id="rId357" Type="http://schemas.openxmlformats.org/officeDocument/2006/relationships/image" Target="media/image219.emf"/><Relationship Id="rId54" Type="http://schemas.openxmlformats.org/officeDocument/2006/relationships/image" Target="media/image35.emf"/><Relationship Id="rId96" Type="http://schemas.openxmlformats.org/officeDocument/2006/relationships/hyperlink" Target="http://www.inegi.org.mx/saladeprensa/boletines/2015/invfibu/invfibu2015_04.pdf" TargetMode="External"/><Relationship Id="rId161" Type="http://schemas.openxmlformats.org/officeDocument/2006/relationships/image" Target="media/image96.emf"/><Relationship Id="rId217" Type="http://schemas.openxmlformats.org/officeDocument/2006/relationships/image" Target="media/image150.emf"/><Relationship Id="rId399" Type="http://schemas.openxmlformats.org/officeDocument/2006/relationships/image" Target="media/image247.emf"/><Relationship Id="rId259" Type="http://schemas.openxmlformats.org/officeDocument/2006/relationships/hyperlink" Target="http://www.cnbv.gob.mx/SECTORES-SUPERVISADOS/BANCA-MULTIPLE/Prensa%20%20Sector%20Bancario/Comunicado_de_Prensa_Banca_Multiple_Feb_15.pdf" TargetMode="External"/><Relationship Id="rId424" Type="http://schemas.openxmlformats.org/officeDocument/2006/relationships/image" Target="media/image266.emf"/><Relationship Id="rId466" Type="http://schemas.openxmlformats.org/officeDocument/2006/relationships/hyperlink" Target="http://www.cnbv.gob.mx/PRENSA/Prensa%20%20Otros/Comunicado_Prensa_Redes_de_Medios_de_Disposicion.pdf" TargetMode="External"/><Relationship Id="rId23" Type="http://schemas.openxmlformats.org/officeDocument/2006/relationships/image" Target="media/image15.emf"/><Relationship Id="rId119" Type="http://schemas.openxmlformats.org/officeDocument/2006/relationships/image" Target="media/image83.emf"/><Relationship Id="rId270" Type="http://schemas.openxmlformats.org/officeDocument/2006/relationships/image" Target="media/image163.emf"/><Relationship Id="rId326" Type="http://schemas.openxmlformats.org/officeDocument/2006/relationships/image" Target="media/image195.emf"/><Relationship Id="rId65" Type="http://schemas.openxmlformats.org/officeDocument/2006/relationships/image" Target="media/image38.emf"/><Relationship Id="rId130" Type="http://schemas.openxmlformats.org/officeDocument/2006/relationships/hyperlink" Target="http://www.coparmex.org.mx/index.php?option=com_content&amp;view=article&amp;id=1058:senal-coparmex-compromisos-para-preservar-el-empleo-y-la-inversion&amp;catid=22:senal-coparmex&amp;Itemid=226" TargetMode="External"/><Relationship Id="rId368" Type="http://schemas.openxmlformats.org/officeDocument/2006/relationships/image" Target="media/image229.emf"/><Relationship Id="rId172" Type="http://schemas.openxmlformats.org/officeDocument/2006/relationships/image" Target="media/image105.emf"/><Relationship Id="rId228" Type="http://schemas.openxmlformats.org/officeDocument/2006/relationships/hyperlink" Target="http://www.shcp.gob.mx/Biblioteca_noticias_home/comunicado_026_2015.pdf" TargetMode="External"/><Relationship Id="rId435" Type="http://schemas.openxmlformats.org/officeDocument/2006/relationships/hyperlink" Target="http://www.banxico.org.mx/informacion-para-la-prensa/comunicados/banco-de-mexico/edo-cuenta-semanal/%7BDDC88015-A6B7-6D87-E0E2-2F179087ABA3%7D.pdf" TargetMode="External"/><Relationship Id="rId477" Type="http://schemas.openxmlformats.org/officeDocument/2006/relationships/hyperlink" Target="http://lat.wsj.com/articles/SB11176737279175213769504580534744182771902?tesla=y" TargetMode="External"/><Relationship Id="rId281" Type="http://schemas.openxmlformats.org/officeDocument/2006/relationships/oleObject" Target="embeddings/oleObject3.bin"/><Relationship Id="rId337" Type="http://schemas.openxmlformats.org/officeDocument/2006/relationships/image" Target="media/image205.emf"/><Relationship Id="rId34" Type="http://schemas.openxmlformats.org/officeDocument/2006/relationships/hyperlink" Target="http://www.mexicocomovamos.mx/expertos-opinan-medidas-puntuales-para-elevar-el-crecimiento-ante-la-caida-del-precio-del-petroleo-y-la-expectativa-de-un-incremento-en-las-tasas-de-interes-en-eua/" TargetMode="External"/><Relationship Id="rId76" Type="http://schemas.openxmlformats.org/officeDocument/2006/relationships/image" Target="media/image48.emf"/><Relationship Id="rId141" Type="http://schemas.openxmlformats.org/officeDocument/2006/relationships/hyperlink" Target="http://www.economia.gob.mx/eventos-noticias/sala-de-prensa/comunicados/10955-comunicado15-26" TargetMode="External"/><Relationship Id="rId379" Type="http://schemas.openxmlformats.org/officeDocument/2006/relationships/image" Target="media/image238.emf"/><Relationship Id="rId7" Type="http://schemas.openxmlformats.org/officeDocument/2006/relationships/endnotes" Target="endnotes.xml"/><Relationship Id="rId183" Type="http://schemas.openxmlformats.org/officeDocument/2006/relationships/image" Target="media/image116.emf"/><Relationship Id="rId239" Type="http://schemas.openxmlformats.org/officeDocument/2006/relationships/hyperlink" Target="http://www.lamoncloa.gob.es/consejodeministros/Paginas/enlaces/270315enlaceasiatico.aspx" TargetMode="External"/><Relationship Id="rId390" Type="http://schemas.openxmlformats.org/officeDocument/2006/relationships/hyperlink" Target="http://www.oecd-ilibrary.org/finance-and-investment/oecd-pensions-at-a-glance_pension_glance-2014-en" TargetMode="External"/><Relationship Id="rId404" Type="http://schemas.openxmlformats.org/officeDocument/2006/relationships/image" Target="media/image252.emf"/><Relationship Id="rId446" Type="http://schemas.openxmlformats.org/officeDocument/2006/relationships/image" Target="media/image276.emf"/><Relationship Id="rId250" Type="http://schemas.openxmlformats.org/officeDocument/2006/relationships/image" Target="media/image154.emf"/><Relationship Id="rId292" Type="http://schemas.openxmlformats.org/officeDocument/2006/relationships/image" Target="media/image169.emf"/><Relationship Id="rId306" Type="http://schemas.openxmlformats.org/officeDocument/2006/relationships/image" Target="media/image181.emf"/><Relationship Id="rId45" Type="http://schemas.openxmlformats.org/officeDocument/2006/relationships/image" Target="media/image30.emf"/><Relationship Id="rId87" Type="http://schemas.openxmlformats.org/officeDocument/2006/relationships/image" Target="media/image56.emf"/><Relationship Id="rId110" Type="http://schemas.openxmlformats.org/officeDocument/2006/relationships/image" Target="media/image75.emf"/><Relationship Id="rId348" Type="http://schemas.openxmlformats.org/officeDocument/2006/relationships/image" Target="media/image210.emf"/><Relationship Id="rId152" Type="http://schemas.openxmlformats.org/officeDocument/2006/relationships/hyperlink" Target="http://www.amia.com.mx/" TargetMode="External"/><Relationship Id="rId194" Type="http://schemas.openxmlformats.org/officeDocument/2006/relationships/image" Target="media/image127.emf"/><Relationship Id="rId208" Type="http://schemas.openxmlformats.org/officeDocument/2006/relationships/image" Target="media/image141.emf"/><Relationship Id="rId415" Type="http://schemas.openxmlformats.org/officeDocument/2006/relationships/hyperlink" Target="http://www.project-syndicate.org/commentary/friedman-ideas-great-recession-by-j--bradford-delong-2015-03/spanish" TargetMode="External"/><Relationship Id="rId457" Type="http://schemas.openxmlformats.org/officeDocument/2006/relationships/image" Target="media/image281.emf"/><Relationship Id="rId261" Type="http://schemas.openxmlformats.org/officeDocument/2006/relationships/hyperlink" Target="http://www.cnbv.gob.mx/SECTORES-SUPERVISADOS/OTROS-SUPERVISADOS/Boletines-de-Prensa/Prensa%20%20Grupos%20Financieros/Comunicado_GF_Diciembre_2014.pdf" TargetMode="External"/><Relationship Id="rId14" Type="http://schemas.openxmlformats.org/officeDocument/2006/relationships/hyperlink" Target="http://www.inegi.org.mx/saladeprensa/boletines/2015/igae/igae2015_04.pdf" TargetMode="External"/><Relationship Id="rId56" Type="http://schemas.openxmlformats.org/officeDocument/2006/relationships/hyperlink" Target="http://www.inegi.org.mx/saladeprensa/notasinformativas/2015/ind_miner/ind_miner2015_03.pdf" TargetMode="External"/><Relationship Id="rId317" Type="http://schemas.openxmlformats.org/officeDocument/2006/relationships/hyperlink" Target="http://www.inegi.org.mx/est/contenidos/proyectos/cn/salud/default.aspx" TargetMode="External"/><Relationship Id="rId359" Type="http://schemas.openxmlformats.org/officeDocument/2006/relationships/image" Target="media/image221.emf"/><Relationship Id="rId98" Type="http://schemas.openxmlformats.org/officeDocument/2006/relationships/image" Target="media/image65.emf"/><Relationship Id="rId121" Type="http://schemas.openxmlformats.org/officeDocument/2006/relationships/image" Target="media/image85.emf"/><Relationship Id="rId163" Type="http://schemas.openxmlformats.org/officeDocument/2006/relationships/image" Target="media/image98.emf"/><Relationship Id="rId219" Type="http://schemas.openxmlformats.org/officeDocument/2006/relationships/hyperlink" Target="http://www.shcp.gob.mx/Biblioteca_noticias_home/comunicado_028_2015.pdf" TargetMode="External"/><Relationship Id="rId370" Type="http://schemas.openxmlformats.org/officeDocument/2006/relationships/image" Target="media/image231.emf"/><Relationship Id="rId426" Type="http://schemas.openxmlformats.org/officeDocument/2006/relationships/image" Target="media/image268.emf"/><Relationship Id="rId230" Type="http://schemas.openxmlformats.org/officeDocument/2006/relationships/hyperlink" Target="http://imcp.org.mx/wp-content/uploads/2015/03/ANEXO-NOTICIAS-FISCALES-93.pdf" TargetMode="External"/><Relationship Id="rId468" Type="http://schemas.openxmlformats.org/officeDocument/2006/relationships/image" Target="media/image285.emf"/><Relationship Id="rId25" Type="http://schemas.openxmlformats.org/officeDocument/2006/relationships/image" Target="media/image17.emf"/><Relationship Id="rId67" Type="http://schemas.openxmlformats.org/officeDocument/2006/relationships/image" Target="media/image40.emf"/><Relationship Id="rId272" Type="http://schemas.openxmlformats.org/officeDocument/2006/relationships/image" Target="media/image165.emf"/><Relationship Id="rId328" Type="http://schemas.openxmlformats.org/officeDocument/2006/relationships/image" Target="media/image197.emf"/><Relationship Id="rId132" Type="http://schemas.openxmlformats.org/officeDocument/2006/relationships/image" Target="media/image90.emf"/><Relationship Id="rId174" Type="http://schemas.openxmlformats.org/officeDocument/2006/relationships/image" Target="media/image107.emf"/><Relationship Id="rId381" Type="http://schemas.openxmlformats.org/officeDocument/2006/relationships/hyperlink" Target="http://www.consar.gob.mx/sala_prensa/PDF/presentaciones/Seguridad%20Social%20en%20el%20siglo%20XXI%20Coparmex.pdf" TargetMode="External"/><Relationship Id="rId241" Type="http://schemas.openxmlformats.org/officeDocument/2006/relationships/hyperlink" Target="http://www.project-syndicate.org/commentary/economic-policies-public-expectations-by-robert-skidelsky-2015-03/spanish" TargetMode="External"/><Relationship Id="rId437" Type="http://schemas.openxmlformats.org/officeDocument/2006/relationships/hyperlink" Target="http://www.banxico.org.mx/informacion-para-la-prensa/comunicados/sector-financiero/agregados-monetarios/%7B32145847-BF5F-48FE-8EB4-DB997AA5A4AC%7D.pdf" TargetMode="External"/><Relationship Id="rId479" Type="http://schemas.openxmlformats.org/officeDocument/2006/relationships/header" Target="header2.xml"/><Relationship Id="rId36" Type="http://schemas.openxmlformats.org/officeDocument/2006/relationships/hyperlink" Target="http://www.sagarpa.gob.mx/saladeprensa/2012/Paginas/2015B219.aspx" TargetMode="External"/><Relationship Id="rId283" Type="http://schemas.openxmlformats.org/officeDocument/2006/relationships/oleObject" Target="embeddings/oleObject5.bin"/><Relationship Id="rId339" Type="http://schemas.openxmlformats.org/officeDocument/2006/relationships/hyperlink" Target="http://www.consar.gob.mx/sala_prensa/PDF/boletines/BP-12-2015%20desempleo%20VF.pdf" TargetMode="External"/><Relationship Id="rId78" Type="http://schemas.openxmlformats.org/officeDocument/2006/relationships/image" Target="media/image50.emf"/><Relationship Id="rId101" Type="http://schemas.openxmlformats.org/officeDocument/2006/relationships/image" Target="media/image67.emf"/><Relationship Id="rId143" Type="http://schemas.openxmlformats.org/officeDocument/2006/relationships/hyperlink" Target="http://www.forbes.com.mx/mexico-en-espana-la-otra-conquista/" TargetMode="External"/><Relationship Id="rId185" Type="http://schemas.openxmlformats.org/officeDocument/2006/relationships/image" Target="media/image118.emf"/><Relationship Id="rId350" Type="http://schemas.openxmlformats.org/officeDocument/2006/relationships/image" Target="media/image212.png"/><Relationship Id="rId406" Type="http://schemas.openxmlformats.org/officeDocument/2006/relationships/image" Target="media/image254.emf"/><Relationship Id="rId9" Type="http://schemas.openxmlformats.org/officeDocument/2006/relationships/image" Target="media/image2.emf"/><Relationship Id="rId210" Type="http://schemas.openxmlformats.org/officeDocument/2006/relationships/image" Target="media/image143.emf"/><Relationship Id="rId392" Type="http://schemas.openxmlformats.org/officeDocument/2006/relationships/hyperlink" Target="http://www.banxico.org.mx/informacion-para-la-prensa/comunicados/politica-monetaria/boletines/%7bEB325C9D-0678-143E-F86F-74F765670CFC%7d.pdf" TargetMode="External"/><Relationship Id="rId448" Type="http://schemas.openxmlformats.org/officeDocument/2006/relationships/image" Target="media/image277.emf"/><Relationship Id="rId252" Type="http://schemas.openxmlformats.org/officeDocument/2006/relationships/image" Target="media/image156.emf"/><Relationship Id="rId294" Type="http://schemas.openxmlformats.org/officeDocument/2006/relationships/hyperlink" Target="http://www.imf.org/external/spanish/pubs/ft/gfsr/2015/01/pdf/sums.pdf" TargetMode="External"/><Relationship Id="rId308" Type="http://schemas.openxmlformats.org/officeDocument/2006/relationships/hyperlink" Target="http://www.bis.org/publ/qtrpdf/r_qt1503b_es.pdf" TargetMode="External"/><Relationship Id="rId47" Type="http://schemas.openxmlformats.org/officeDocument/2006/relationships/image" Target="media/image32.emf"/><Relationship Id="rId89" Type="http://schemas.openxmlformats.org/officeDocument/2006/relationships/image" Target="media/image58.emf"/><Relationship Id="rId112" Type="http://schemas.openxmlformats.org/officeDocument/2006/relationships/image" Target="media/image77.emf"/><Relationship Id="rId154" Type="http://schemas.openxmlformats.org/officeDocument/2006/relationships/hyperlink" Target="http://nissannews.com/es-MX/nissan/mexico/releases/nissan-reporta-ventas-de-marzo-2015-y-ventas-totales-de-su-a-o-fiscal-2014-en-estados-unidos" TargetMode="External"/><Relationship Id="rId361" Type="http://schemas.openxmlformats.org/officeDocument/2006/relationships/image" Target="media/image223.emf"/><Relationship Id="rId196" Type="http://schemas.openxmlformats.org/officeDocument/2006/relationships/image" Target="media/image129.emf"/><Relationship Id="rId417" Type="http://schemas.openxmlformats.org/officeDocument/2006/relationships/hyperlink" Target="http://www.imf.org/external/spanish/pubs/ft/survey/so/2015/pol040815bs.htm" TargetMode="External"/><Relationship Id="rId459" Type="http://schemas.openxmlformats.org/officeDocument/2006/relationships/image" Target="media/image283.emf"/><Relationship Id="rId16" Type="http://schemas.openxmlformats.org/officeDocument/2006/relationships/image" Target="media/image8.emf"/><Relationship Id="rId221" Type="http://schemas.openxmlformats.org/officeDocument/2006/relationships/hyperlink" Target="http://www.hacienda.gob.mx/SALAPRENSA/doc_informe_vocero/2015/vocero_15_2015.pdf" TargetMode="External"/><Relationship Id="rId263" Type="http://schemas.openxmlformats.org/officeDocument/2006/relationships/hyperlink" Target="http://www.banxico.org.mx/informacion-para-la-prensa/comunicados/sector-financiero/agregados-monetarios/%7B32145847-BF5F-48FE-8EB4-DB997AA5A4AC%7D.pdf" TargetMode="External"/><Relationship Id="rId319" Type="http://schemas.openxmlformats.org/officeDocument/2006/relationships/hyperlink" Target="http://www.inegi.org.mx/saladeprensa/aproposito/2015/salud0.pdf" TargetMode="External"/><Relationship Id="rId470" Type="http://schemas.openxmlformats.org/officeDocument/2006/relationships/image" Target="media/image287.emf"/><Relationship Id="rId58" Type="http://schemas.openxmlformats.org/officeDocument/2006/relationships/hyperlink" Target="http://www.presidencia.gob.mx/articulos-prensa/entrego-el-presidente-enrique-pena-nieto-el-libramiento-de-tlaxcala/" TargetMode="External"/><Relationship Id="rId123" Type="http://schemas.openxmlformats.org/officeDocument/2006/relationships/image" Target="media/image87.emf"/><Relationship Id="rId330" Type="http://schemas.openxmlformats.org/officeDocument/2006/relationships/image" Target="media/image199.emf"/><Relationship Id="rId165" Type="http://schemas.openxmlformats.org/officeDocument/2006/relationships/image" Target="media/image100.emf"/><Relationship Id="rId372" Type="http://schemas.openxmlformats.org/officeDocument/2006/relationships/image" Target="media/image233.emf"/><Relationship Id="rId428" Type="http://schemas.openxmlformats.org/officeDocument/2006/relationships/image" Target="media/image270.emf"/><Relationship Id="rId232" Type="http://schemas.openxmlformats.org/officeDocument/2006/relationships/hyperlink" Target="http://www.forbes.com.mx/mapa-electoral-2015-violencia-y-deuda-en-los-estados/" TargetMode="External"/><Relationship Id="rId274" Type="http://schemas.openxmlformats.org/officeDocument/2006/relationships/hyperlink" Target="http://www.banxico.org.mx/sistema-financiero/publicaciones/reporte-de-tasas-de-interes-efectivas-de-tarjetas-/%7b39F5C814-8007-90B1-B61F-47785D515954%7d.pdf" TargetMode="External"/><Relationship Id="rId481" Type="http://schemas.openxmlformats.org/officeDocument/2006/relationships/theme" Target="theme/theme1.xml"/><Relationship Id="rId27" Type="http://schemas.openxmlformats.org/officeDocument/2006/relationships/image" Target="media/image19.emf"/><Relationship Id="rId69" Type="http://schemas.openxmlformats.org/officeDocument/2006/relationships/image" Target="media/image42.emf"/><Relationship Id="rId134" Type="http://schemas.openxmlformats.org/officeDocument/2006/relationships/image" Target="media/image92.emf"/><Relationship Id="rId80" Type="http://schemas.openxmlformats.org/officeDocument/2006/relationships/hyperlink" Target="http://www.inegi.org.mx/saladeprensa/boletines/2015/imcpmi/imcpmi2015_03.xls" TargetMode="External"/><Relationship Id="rId176" Type="http://schemas.openxmlformats.org/officeDocument/2006/relationships/image" Target="media/image109.emf"/><Relationship Id="rId341" Type="http://schemas.openxmlformats.org/officeDocument/2006/relationships/hyperlink" Target="http://www.forbes.com.mx/ahorro-para-el-retiro-la-formula-perfecta/" TargetMode="External"/><Relationship Id="rId383" Type="http://schemas.openxmlformats.org/officeDocument/2006/relationships/hyperlink" Target="http://www.consar.gob.mx/rendimiento_neto/rendimiento_neto_promedio.aspx" TargetMode="External"/><Relationship Id="rId439" Type="http://schemas.openxmlformats.org/officeDocument/2006/relationships/hyperlink" Target="http://www.banxico.org.mx/informacion-para-la-prensa/comunicados/sector-financiero/agregados-monetarios/%7B32145847-BF5F-48FE-8EB4-DB997AA5A4AC%7D.pdf" TargetMode="External"/><Relationship Id="rId201" Type="http://schemas.openxmlformats.org/officeDocument/2006/relationships/image" Target="media/image134.emf"/><Relationship Id="rId243" Type="http://schemas.openxmlformats.org/officeDocument/2006/relationships/hyperlink" Target="http://comunicacion.senado.gob.mx/index.php/informacion/boletines/20065-en-mayo-inicia-pago-al-80-por-ciento-de-defraudados-por-ficrea-anuncian-legisladores.html" TargetMode="External"/><Relationship Id="rId285" Type="http://schemas.openxmlformats.org/officeDocument/2006/relationships/hyperlink" Target="http://www.condusef.gob.mx/PDF-s/estadistica/evolucion-reclamaciones-11-14.pdf" TargetMode="External"/><Relationship Id="rId450" Type="http://schemas.openxmlformats.org/officeDocument/2006/relationships/image" Target="media/image278.emf"/><Relationship Id="rId38" Type="http://schemas.openxmlformats.org/officeDocument/2006/relationships/hyperlink" Target="http://www.siap.gob.mx/ganaderia-avance-comparativo/" TargetMode="External"/><Relationship Id="rId103" Type="http://schemas.openxmlformats.org/officeDocument/2006/relationships/image" Target="media/image69.emf"/><Relationship Id="rId310" Type="http://schemas.openxmlformats.org/officeDocument/2006/relationships/image" Target="media/image183.emf"/><Relationship Id="rId91" Type="http://schemas.openxmlformats.org/officeDocument/2006/relationships/image" Target="media/image59.emf"/><Relationship Id="rId145" Type="http://schemas.openxmlformats.org/officeDocument/2006/relationships/hyperlink" Target="http://www.economia.gob.mx/eventos-noticias/sala-de-prensa/comunicados/10958-comunicado-conjunto15-0323" TargetMode="External"/><Relationship Id="rId187" Type="http://schemas.openxmlformats.org/officeDocument/2006/relationships/image" Target="media/image120.emf"/><Relationship Id="rId352" Type="http://schemas.openxmlformats.org/officeDocument/2006/relationships/image" Target="media/image214.emf"/><Relationship Id="rId394" Type="http://schemas.openxmlformats.org/officeDocument/2006/relationships/image" Target="media/image242.emf"/><Relationship Id="rId408" Type="http://schemas.openxmlformats.org/officeDocument/2006/relationships/image" Target="media/image256.emf"/><Relationship Id="rId212" Type="http://schemas.openxmlformats.org/officeDocument/2006/relationships/image" Target="media/image145.emf"/><Relationship Id="rId254" Type="http://schemas.openxmlformats.org/officeDocument/2006/relationships/image" Target="media/image158.emf"/><Relationship Id="rId49" Type="http://schemas.openxmlformats.org/officeDocument/2006/relationships/image" Target="media/image34.emf"/><Relationship Id="rId114" Type="http://schemas.openxmlformats.org/officeDocument/2006/relationships/image" Target="media/image79.emf"/><Relationship Id="rId296" Type="http://schemas.openxmlformats.org/officeDocument/2006/relationships/image" Target="media/image171.emf"/><Relationship Id="rId461" Type="http://schemas.openxmlformats.org/officeDocument/2006/relationships/hyperlink" Target="http://www.bmv.com.mx/wb3/wb/BMV/BMV_repositorio/_vtp/BMV/BMV_1139_bmv_informa/_rid/223/_mto/3/AvisoNvasMestrasBMVFibras_Mzo2015.pdf" TargetMode="External"/><Relationship Id="rId60" Type="http://schemas.openxmlformats.org/officeDocument/2006/relationships/hyperlink" Target="http://www.pemex.com/saladeprensa/boletines_nacionales/Paginas/2015-035-nacional.aspx" TargetMode="External"/><Relationship Id="rId156" Type="http://schemas.openxmlformats.org/officeDocument/2006/relationships/hyperlink" Target="http://nissannews.com/es-MX/nissan/mexico/releases/nissan-anuncia-ventas-de-marzo-2015-y-ventas-totales-de-su-a-o-fiscal-2014-en-mexico" TargetMode="External"/><Relationship Id="rId198" Type="http://schemas.openxmlformats.org/officeDocument/2006/relationships/image" Target="media/image131.emf"/><Relationship Id="rId321" Type="http://schemas.openxmlformats.org/officeDocument/2006/relationships/image" Target="media/image190.emf"/><Relationship Id="rId363" Type="http://schemas.openxmlformats.org/officeDocument/2006/relationships/image" Target="media/image225.emf"/><Relationship Id="rId419" Type="http://schemas.openxmlformats.org/officeDocument/2006/relationships/image" Target="media/image261.emf"/><Relationship Id="rId223" Type="http://schemas.openxmlformats.org/officeDocument/2006/relationships/hyperlink" Target="http://www.sat.gob.mx" TargetMode="External"/><Relationship Id="rId430" Type="http://schemas.openxmlformats.org/officeDocument/2006/relationships/hyperlink" Target="http://www.imf.org/external/spanish/np/cm/2015/041615s.htm" TargetMode="External"/><Relationship Id="rId18" Type="http://schemas.openxmlformats.org/officeDocument/2006/relationships/image" Target="media/image10.emf"/><Relationship Id="rId265" Type="http://schemas.openxmlformats.org/officeDocument/2006/relationships/hyperlink" Target="http://portafoliodeinformacion.cnbv.gob.mx/oaacs1/Paginas/uc_infosituacion.aspx" TargetMode="External"/><Relationship Id="rId472" Type="http://schemas.openxmlformats.org/officeDocument/2006/relationships/hyperlink" Target="http://www.forbes.com.mx/una-bolsa-de-valores-comun-en-centroamerica-es-solo-un-sueno/" TargetMode="External"/><Relationship Id="rId125" Type="http://schemas.openxmlformats.org/officeDocument/2006/relationships/image" Target="media/image89.emf"/><Relationship Id="rId167" Type="http://schemas.openxmlformats.org/officeDocument/2006/relationships/hyperlink" Target="http://d1siz4j9sp99t0.cloudfront.net/images/stories/estadisticas/coyuntura/2015/ventas/1503Reporte_Mercado_Automotor.pdf" TargetMode="External"/><Relationship Id="rId332" Type="http://schemas.openxmlformats.org/officeDocument/2006/relationships/image" Target="media/image201.emf"/><Relationship Id="rId374" Type="http://schemas.openxmlformats.org/officeDocument/2006/relationships/hyperlink" Target="http://www.forbes.com.mx/cuanto-dinero-debo-ahorrar-para-alcanzar-una-buena-pension-i/" TargetMode="External"/><Relationship Id="rId71" Type="http://schemas.openxmlformats.org/officeDocument/2006/relationships/image" Target="media/image44.emf"/><Relationship Id="rId234" Type="http://schemas.openxmlformats.org/officeDocument/2006/relationships/hyperlink" Target="http://imcp.org.mx/wp-content/uploads/2015/04/Fiscoactualidades-abril_n%C3%BAm_071.pdf" TargetMode="External"/><Relationship Id="rId2" Type="http://schemas.openxmlformats.org/officeDocument/2006/relationships/numbering" Target="numbering.xml"/><Relationship Id="rId29" Type="http://schemas.openxmlformats.org/officeDocument/2006/relationships/hyperlink" Target="http://www.inegi.org.mx/saladeprensa/boletines/2015/sic_cya/sic_cya2015_04.pdf" TargetMode="External"/><Relationship Id="rId276" Type="http://schemas.openxmlformats.org/officeDocument/2006/relationships/hyperlink" Target="http://www.condusef.gob.mx/PDF-s/Comunicados/2015/act-buro-marzo-2015.pdf" TargetMode="External"/><Relationship Id="rId441" Type="http://schemas.openxmlformats.org/officeDocument/2006/relationships/hyperlink" Target="http://www.shcp.gob.mx/Biblioteca_noticias_home/comunicado_031_2015.pdf" TargetMode="External"/><Relationship Id="rId40" Type="http://schemas.openxmlformats.org/officeDocument/2006/relationships/image" Target="media/image25.emf"/><Relationship Id="rId136" Type="http://schemas.openxmlformats.org/officeDocument/2006/relationships/hyperlink" Target="http://www.presidencia.gob.mx/articulos-prensa/el-gobierno-de-la-republica-esta-comprometido-en-transformar-a-mexico-en-una-sociedad-del-conocimiento-enrique-pena-nieto/" TargetMode="External"/><Relationship Id="rId178" Type="http://schemas.openxmlformats.org/officeDocument/2006/relationships/image" Target="media/image111.emf"/><Relationship Id="rId301" Type="http://schemas.openxmlformats.org/officeDocument/2006/relationships/image" Target="media/image176.png"/><Relationship Id="rId343" Type="http://schemas.openxmlformats.org/officeDocument/2006/relationships/hyperlink" Target="http://www.forbes.com.mx/los-5-obstaculos-para-un-retiro-digno/" TargetMode="External"/><Relationship Id="rId82" Type="http://schemas.openxmlformats.org/officeDocument/2006/relationships/image" Target="media/image51.emf"/><Relationship Id="rId203" Type="http://schemas.openxmlformats.org/officeDocument/2006/relationships/image" Target="media/image136.emf"/><Relationship Id="rId385" Type="http://schemas.openxmlformats.org/officeDocument/2006/relationships/hyperlink" Target="http://www.consar.gob.mx/SeriesTiempo/CuadroInicial.aspx?md=2" TargetMode="External"/><Relationship Id="rId245" Type="http://schemas.openxmlformats.org/officeDocument/2006/relationships/hyperlink" Target="http://www.cnbv.gob.mx/SECTORES-SUPERVISADOS/SECTOR-POPULAR/Difusi&#243;n/Prensa%20%20Sociedades%20Financieras%20Populares/Comunicado_de_Prensa_Resolucion_IFAI_Ficrea.pdf" TargetMode="External"/><Relationship Id="rId287" Type="http://schemas.openxmlformats.org/officeDocument/2006/relationships/hyperlink" Target="http://www.imf.org/external/pubs/ft/scr/2015/cr1590.pdf" TargetMode="External"/><Relationship Id="rId410" Type="http://schemas.openxmlformats.org/officeDocument/2006/relationships/image" Target="media/image258.emf"/><Relationship Id="rId452" Type="http://schemas.openxmlformats.org/officeDocument/2006/relationships/image" Target="media/image279.emf"/><Relationship Id="rId105" Type="http://schemas.openxmlformats.org/officeDocument/2006/relationships/image" Target="media/image71.png"/><Relationship Id="rId147" Type="http://schemas.openxmlformats.org/officeDocument/2006/relationships/hyperlink" Target="http://www.presidencia.gob.mx/articulos-prensa/mexico-es-ya-una-potencia-mundial-en-el-sector-automotriz-enrique-pena-nieto/" TargetMode="External"/><Relationship Id="rId312" Type="http://schemas.openxmlformats.org/officeDocument/2006/relationships/image" Target="media/image185.emf"/><Relationship Id="rId354" Type="http://schemas.openxmlformats.org/officeDocument/2006/relationships/image" Target="media/image216.emf"/><Relationship Id="rId51" Type="http://schemas.openxmlformats.org/officeDocument/2006/relationships/hyperlink" Target="http://www.presidencia.gob.mx/articulos-prensa/mayor-conectividad-y-el-uso-de-nuevas-herramientas-tecnologicas-permitiran-alcanzar-el-mexico-prospero-que-todos-queremos-enrique-pena-nieto/" TargetMode="External"/><Relationship Id="rId93" Type="http://schemas.openxmlformats.org/officeDocument/2006/relationships/image" Target="media/image61.emf"/><Relationship Id="rId189" Type="http://schemas.openxmlformats.org/officeDocument/2006/relationships/image" Target="media/image122.emf"/><Relationship Id="rId396" Type="http://schemas.openxmlformats.org/officeDocument/2006/relationships/image" Target="media/image244.emf"/><Relationship Id="rId3" Type="http://schemas.openxmlformats.org/officeDocument/2006/relationships/styles" Target="styles.xml"/><Relationship Id="rId214" Type="http://schemas.openxmlformats.org/officeDocument/2006/relationships/image" Target="media/image147.emf"/><Relationship Id="rId235" Type="http://schemas.openxmlformats.org/officeDocument/2006/relationships/hyperlink" Target="http://www.ilo.org/americas/sala-de-prensa/WCMS_357467/lang--es/index.htm" TargetMode="External"/><Relationship Id="rId256" Type="http://schemas.openxmlformats.org/officeDocument/2006/relationships/image" Target="media/image160.emf"/><Relationship Id="rId277" Type="http://schemas.openxmlformats.org/officeDocument/2006/relationships/image" Target="media/image167.png"/><Relationship Id="rId298" Type="http://schemas.openxmlformats.org/officeDocument/2006/relationships/image" Target="media/image173.emf"/><Relationship Id="rId400" Type="http://schemas.openxmlformats.org/officeDocument/2006/relationships/image" Target="media/image248.emf"/><Relationship Id="rId421" Type="http://schemas.openxmlformats.org/officeDocument/2006/relationships/image" Target="media/image263.emf"/><Relationship Id="rId442" Type="http://schemas.openxmlformats.org/officeDocument/2006/relationships/image" Target="media/image274.emf"/><Relationship Id="rId463" Type="http://schemas.openxmlformats.org/officeDocument/2006/relationships/hyperlink" Target="http://www.banxico.org.mx/sistema-financiero/disposiciones/circulares-emitidas-que-aun-n.html" TargetMode="External"/><Relationship Id="rId116" Type="http://schemas.openxmlformats.org/officeDocument/2006/relationships/image" Target="media/image80.emf"/><Relationship Id="rId137" Type="http://schemas.openxmlformats.org/officeDocument/2006/relationships/hyperlink" Target="http://www.presidencia.gob.mx/entrega-del-premio-de-investigacion-de-la-academia-mexicana-de-ciencias/" TargetMode="External"/><Relationship Id="rId158" Type="http://schemas.openxmlformats.org/officeDocument/2006/relationships/hyperlink" Target="http://www.sentidocomun.com.mx/articulo.phtml?id=19046" TargetMode="External"/><Relationship Id="rId302" Type="http://schemas.openxmlformats.org/officeDocument/2006/relationships/image" Target="media/image177.emf"/><Relationship Id="rId323" Type="http://schemas.openxmlformats.org/officeDocument/2006/relationships/image" Target="media/image192.emf"/><Relationship Id="rId344" Type="http://schemas.openxmlformats.org/officeDocument/2006/relationships/hyperlink" Target="http://www.forbes.com.mx/beneficios-fiscales-del-ahorro-voluntario-para-el-retiro/" TargetMode="External"/><Relationship Id="rId20" Type="http://schemas.openxmlformats.org/officeDocument/2006/relationships/image" Target="media/image12.emf"/><Relationship Id="rId41" Type="http://schemas.openxmlformats.org/officeDocument/2006/relationships/image" Target="media/image26.emf"/><Relationship Id="rId62" Type="http://schemas.openxmlformats.org/officeDocument/2006/relationships/hyperlink" Target="http://www.forbes.com.mx/los-9-estados-preferidos-para-invertir-en-2015/" TargetMode="External"/><Relationship Id="rId83" Type="http://schemas.openxmlformats.org/officeDocument/2006/relationships/image" Target="media/image52.emf"/><Relationship Id="rId179" Type="http://schemas.openxmlformats.org/officeDocument/2006/relationships/image" Target="media/image112.emf"/><Relationship Id="rId365" Type="http://schemas.openxmlformats.org/officeDocument/2006/relationships/image" Target="media/image226.emf"/><Relationship Id="rId386" Type="http://schemas.openxmlformats.org/officeDocument/2006/relationships/hyperlink" Target="http://dof.gob.mx/nota_detalle.php?codigo=5388193&amp;fecha=08/04/2015" TargetMode="External"/><Relationship Id="rId190" Type="http://schemas.openxmlformats.org/officeDocument/2006/relationships/image" Target="media/image123.emf"/><Relationship Id="rId204" Type="http://schemas.openxmlformats.org/officeDocument/2006/relationships/image" Target="media/image137.emf"/><Relationship Id="rId225" Type="http://schemas.openxmlformats.org/officeDocument/2006/relationships/hyperlink" Target="http://www.sat.gob.mx/sala_prensa/comunicados_nacionales/Paginas/com2015_039.aspx" TargetMode="External"/><Relationship Id="rId246" Type="http://schemas.openxmlformats.org/officeDocument/2006/relationships/hyperlink" Target="http://www.cnbv.gob.mx/SECTORES-SUPERVISADOS/SECTOR-POPULAR/Difusi&#243;n/Prensa%20%20Sociedades%20Financieras%20Populares/Comunicado%20de%20proceso%20de%20liquidaci&#243;n%20Ficrea%20mar6.pdf" TargetMode="External"/><Relationship Id="rId267" Type="http://schemas.openxmlformats.org/officeDocument/2006/relationships/hyperlink" Target="http://imcp.org.mx/wp-content/uploads/2015/04/ANEXO-NOTICIAS-FISCALES-115.pdf" TargetMode="External"/><Relationship Id="rId288" Type="http://schemas.openxmlformats.org/officeDocument/2006/relationships/hyperlink" Target="http://www.imf.org/external/pubs/cat/longres.aspx?sk=42826.0" TargetMode="External"/><Relationship Id="rId411" Type="http://schemas.openxmlformats.org/officeDocument/2006/relationships/hyperlink" Target="http://www.banxico.org.mx/informacion-para-la-prensa/comunicados/politica-monetaria/minutas-de-las-decisiones-de-politica-monetaria/%7B05587BEA-0FA7-03B3-6B2C-2AE0D6F17F87%7D.pdf" TargetMode="External"/><Relationship Id="rId432" Type="http://schemas.openxmlformats.org/officeDocument/2006/relationships/hyperlink" Target="http://www.banxico.org.mx/informacion-para-la-prensa/comunicados/banco-de-mexico/edo-cuenta-semanal/%7BDDC88015-A6B7-6D87-E0E2-2F179087ABA3%7D.pdf" TargetMode="External"/><Relationship Id="rId453" Type="http://schemas.openxmlformats.org/officeDocument/2006/relationships/hyperlink" Target="http://www.banxico.org.mx/SieInternet/consultarDirectorioInternetAction.do?accion=consultarCuadro&amp;idCuadro=CF112&amp;sector=18&amp;locale=es" TargetMode="External"/><Relationship Id="rId474" Type="http://schemas.openxmlformats.org/officeDocument/2006/relationships/image" Target="media/image290.emf"/><Relationship Id="rId106" Type="http://schemas.openxmlformats.org/officeDocument/2006/relationships/image" Target="media/image72.emf"/><Relationship Id="rId127" Type="http://schemas.openxmlformats.org/officeDocument/2006/relationships/hyperlink" Target="http://www.presidencia.gob.mx/articulos-prensa/palabras-del-presidente-de-los-estados-unidos-mexicanos-licenciado-enrique-pena-nieto-durante-la-convencion-nacional-de-industriales-2015/" TargetMode="External"/><Relationship Id="rId313" Type="http://schemas.openxmlformats.org/officeDocument/2006/relationships/image" Target="media/image186.emf"/><Relationship Id="rId10" Type="http://schemas.openxmlformats.org/officeDocument/2006/relationships/image" Target="media/image3.emf"/><Relationship Id="rId31" Type="http://schemas.openxmlformats.org/officeDocument/2006/relationships/image" Target="media/image22.emf"/><Relationship Id="rId52" Type="http://schemas.openxmlformats.org/officeDocument/2006/relationships/hyperlink" Target="http://www.sedatu.gob.mx/sraweb/noticias/noticias-2015/marzo-2015/21187/" TargetMode="External"/><Relationship Id="rId73" Type="http://schemas.openxmlformats.org/officeDocument/2006/relationships/image" Target="media/image46.emf"/><Relationship Id="rId94" Type="http://schemas.openxmlformats.org/officeDocument/2006/relationships/image" Target="media/image62.emf"/><Relationship Id="rId148" Type="http://schemas.openxmlformats.org/officeDocument/2006/relationships/hyperlink" Target="http://www.presidencia.gob.mx/articulos-prensa/diversas-intervenciones-durante-el-anuncio-de-inversion-de-los-proyectos-de-motores-y-transmisiones-de-ford-motor-company/" TargetMode="External"/><Relationship Id="rId169" Type="http://schemas.openxmlformats.org/officeDocument/2006/relationships/hyperlink" Target="http://www.forbes.com.mx/de-verdad-mexico-es-importante-en-la-industria-automotriz/" TargetMode="External"/><Relationship Id="rId334" Type="http://schemas.openxmlformats.org/officeDocument/2006/relationships/image" Target="media/image203.emf"/><Relationship Id="rId355" Type="http://schemas.openxmlformats.org/officeDocument/2006/relationships/image" Target="media/image217.emf"/><Relationship Id="rId376" Type="http://schemas.openxmlformats.org/officeDocument/2006/relationships/image" Target="media/image235.emf"/><Relationship Id="rId397" Type="http://schemas.openxmlformats.org/officeDocument/2006/relationships/image" Target="media/image245.emf"/><Relationship Id="rId4" Type="http://schemas.openxmlformats.org/officeDocument/2006/relationships/settings" Target="settings.xml"/><Relationship Id="rId180" Type="http://schemas.openxmlformats.org/officeDocument/2006/relationships/image" Target="media/image113.emf"/><Relationship Id="rId215" Type="http://schemas.openxmlformats.org/officeDocument/2006/relationships/image" Target="media/image148.emf"/><Relationship Id="rId236" Type="http://schemas.openxmlformats.org/officeDocument/2006/relationships/hyperlink" Target="http://www.ilo.org/wcmsp5/groups/public/---americas/---ro-lima/documents/publication/wcms_357452.pdf" TargetMode="External"/><Relationship Id="rId257" Type="http://schemas.openxmlformats.org/officeDocument/2006/relationships/image" Target="media/image161.emf"/><Relationship Id="rId278" Type="http://schemas.openxmlformats.org/officeDocument/2006/relationships/oleObject" Target="embeddings/oleObject1.bin"/><Relationship Id="rId401" Type="http://schemas.openxmlformats.org/officeDocument/2006/relationships/image" Target="media/image249.emf"/><Relationship Id="rId422" Type="http://schemas.openxmlformats.org/officeDocument/2006/relationships/image" Target="media/image264.emf"/><Relationship Id="rId443" Type="http://schemas.openxmlformats.org/officeDocument/2006/relationships/hyperlink" Target="http://www.banxico.org.mx/stdview.html?url=/portal-mercado-valores/informacion-oportuna/subasta-y-colocacion-de-valores/resultados/primarias-de-valores-gubernamentales/ResuSubaPrimaNew-1.html" TargetMode="External"/><Relationship Id="rId464" Type="http://schemas.openxmlformats.org/officeDocument/2006/relationships/hyperlink" Target="http://www.banxico.org.mx/informacion-para-la-prensa/comunicados/miscelaneos/boletines/%7bBF267A42-FC1F-D483-0A5B-04266FA20FE7%7d.pdf" TargetMode="External"/><Relationship Id="rId303" Type="http://schemas.openxmlformats.org/officeDocument/2006/relationships/image" Target="media/image178.emf"/><Relationship Id="rId42" Type="http://schemas.openxmlformats.org/officeDocument/2006/relationships/image" Target="media/image27.emf"/><Relationship Id="rId84" Type="http://schemas.openxmlformats.org/officeDocument/2006/relationships/image" Target="media/image53.emf"/><Relationship Id="rId138" Type="http://schemas.openxmlformats.org/officeDocument/2006/relationships/hyperlink" Target="http://www.cnnexpansion.com/economia/2015/04/13/que-tan-caro-resulta-volverse-formal-en-mexico?newscnn1=%5b20150414%5d" TargetMode="External"/><Relationship Id="rId345" Type="http://schemas.openxmlformats.org/officeDocument/2006/relationships/image" Target="media/image207.emf"/><Relationship Id="rId387" Type="http://schemas.openxmlformats.org/officeDocument/2006/relationships/image" Target="media/image240.emf"/><Relationship Id="rId191" Type="http://schemas.openxmlformats.org/officeDocument/2006/relationships/image" Target="media/image124.emf"/><Relationship Id="rId205" Type="http://schemas.openxmlformats.org/officeDocument/2006/relationships/image" Target="media/image138.emf"/><Relationship Id="rId247" Type="http://schemas.openxmlformats.org/officeDocument/2006/relationships/hyperlink" Target="http://www.banxico.org.mx/informacion-para-la-prensa/comunicados/miscelaneos/boletines/%7b331FE908-CFF0-3152-61E4-C893FBEB3A59%7d.pdf" TargetMode="External"/><Relationship Id="rId412" Type="http://schemas.openxmlformats.org/officeDocument/2006/relationships/hyperlink" Target="http://www.banxico.org.mx/informacion-para-la-prensa/comunicados/miscelaneos/boletines/%7b4D25FCD5-51A5-0F09-0628-CCCDAB72B0FE%7d.pdf" TargetMode="External"/><Relationship Id="rId107" Type="http://schemas.openxmlformats.org/officeDocument/2006/relationships/image" Target="media/image73.emf"/><Relationship Id="rId289" Type="http://schemas.openxmlformats.org/officeDocument/2006/relationships/hyperlink" Target="http://www.imf.org/external/np/sec/pr/2015/pr15152.htm" TargetMode="External"/><Relationship Id="rId454" Type="http://schemas.openxmlformats.org/officeDocument/2006/relationships/hyperlink" Target="http://www.project-syndicate.org/commentary/eurozone-zero-interest-rates-by-daniel-gros-2015-04/spanish" TargetMode="External"/><Relationship Id="rId11" Type="http://schemas.openxmlformats.org/officeDocument/2006/relationships/image" Target="media/image4.emf"/><Relationship Id="rId53" Type="http://schemas.openxmlformats.org/officeDocument/2006/relationships/hyperlink" Target="http://www.sedatu.gob.mx/sraweb/discursos/discursos-2015/marzo-2015-discursos-2015/21204/" TargetMode="External"/><Relationship Id="rId149" Type="http://schemas.openxmlformats.org/officeDocument/2006/relationships/hyperlink" Target="http://www.presidencia.gob.mx/articulos-prensa/las-inversiones-en-mexico-reafirman-la-confianza-que-hay-en-nuestro-pais-enrique-pena-nieto/" TargetMode="External"/><Relationship Id="rId314" Type="http://schemas.openxmlformats.org/officeDocument/2006/relationships/image" Target="media/image187.emf"/><Relationship Id="rId356" Type="http://schemas.openxmlformats.org/officeDocument/2006/relationships/image" Target="media/image218.emf"/><Relationship Id="rId398" Type="http://schemas.openxmlformats.org/officeDocument/2006/relationships/image" Target="media/image246.emf"/><Relationship Id="rId95" Type="http://schemas.openxmlformats.org/officeDocument/2006/relationships/image" Target="media/image63.emf"/><Relationship Id="rId160" Type="http://schemas.openxmlformats.org/officeDocument/2006/relationships/image" Target="media/image95.emf"/><Relationship Id="rId216" Type="http://schemas.openxmlformats.org/officeDocument/2006/relationships/image" Target="media/image149.emf"/><Relationship Id="rId423" Type="http://schemas.openxmlformats.org/officeDocument/2006/relationships/image" Target="media/image265.emf"/><Relationship Id="rId258" Type="http://schemas.openxmlformats.org/officeDocument/2006/relationships/hyperlink" Target="http://www.banxico.org.mx/publicaciones-y-discursos/discursos-y-presentaciones/presentaciones/%7b996A2DD5-6CD0-67B0-F249-DA77AFB7C1C0%7d.pdf" TargetMode="External"/><Relationship Id="rId465" Type="http://schemas.openxmlformats.org/officeDocument/2006/relationships/hyperlink" Target="http://www.banxico.org.mx/publicaciones-y-discursos/discursos-y-presentaciones/presentaciones/%7b996A2DD5-6CD0-67B0-F249-DA77AFB7C1C0%7d.pdf" TargetMode="External"/><Relationship Id="rId22" Type="http://schemas.openxmlformats.org/officeDocument/2006/relationships/image" Target="media/image14.emf"/><Relationship Id="rId64" Type="http://schemas.openxmlformats.org/officeDocument/2006/relationships/image" Target="media/image37.emf"/><Relationship Id="rId118" Type="http://schemas.openxmlformats.org/officeDocument/2006/relationships/image" Target="media/image82.emf"/><Relationship Id="rId325" Type="http://schemas.openxmlformats.org/officeDocument/2006/relationships/image" Target="media/image194.emf"/><Relationship Id="rId367" Type="http://schemas.openxmlformats.org/officeDocument/2006/relationships/image" Target="media/image228.emf"/><Relationship Id="rId171" Type="http://schemas.openxmlformats.org/officeDocument/2006/relationships/image" Target="media/image104.emf"/><Relationship Id="rId227" Type="http://schemas.openxmlformats.org/officeDocument/2006/relationships/hyperlink" Target="http://www.sat.gob.mx/sala_prensa/comunicados_nacionales/Paginas/com2015_039.aspx" TargetMode="External"/><Relationship Id="rId269" Type="http://schemas.openxmlformats.org/officeDocument/2006/relationships/image" Target="media/image162.emf"/><Relationship Id="rId434" Type="http://schemas.openxmlformats.org/officeDocument/2006/relationships/hyperlink" Target="http://www.banxico.org.mx/informacion-para-la-prensa/comunicados/banco-de-mexico/edo-cuenta-semanal/%7B6783DCED-57A7-7E03-D304-1EA578FC5CF8%7D.pdf" TargetMode="External"/><Relationship Id="rId476" Type="http://schemas.openxmlformats.org/officeDocument/2006/relationships/image" Target="media/image291.emf"/><Relationship Id="rId33" Type="http://schemas.openxmlformats.org/officeDocument/2006/relationships/hyperlink" Target="http://ceesp.org.mx/aeje/AEJE_23Mar2015.pdf" TargetMode="External"/><Relationship Id="rId129" Type="http://schemas.openxmlformats.org/officeDocument/2006/relationships/hyperlink" Target="http://www.cce.org.mx/?p=11195" TargetMode="External"/><Relationship Id="rId280" Type="http://schemas.openxmlformats.org/officeDocument/2006/relationships/oleObject" Target="embeddings/oleObject2.bin"/><Relationship Id="rId336" Type="http://schemas.openxmlformats.org/officeDocument/2006/relationships/image" Target="media/image204.emf"/><Relationship Id="rId75" Type="http://schemas.openxmlformats.org/officeDocument/2006/relationships/hyperlink" Target="http://www.amafore.org/sites/default/files/Amafore_BoletinSARMexico_Vol2_No2_Abril2015.pdf" TargetMode="External"/><Relationship Id="rId140" Type="http://schemas.openxmlformats.org/officeDocument/2006/relationships/hyperlink" Target="http://www.economia.gob.mx/eventos-noticias/sala-de-prensa/comunicados/10961-comunicado15-27" TargetMode="External"/><Relationship Id="rId182" Type="http://schemas.openxmlformats.org/officeDocument/2006/relationships/image" Target="media/image115.emf"/><Relationship Id="rId378" Type="http://schemas.openxmlformats.org/officeDocument/2006/relationships/image" Target="media/image237.emf"/><Relationship Id="rId403" Type="http://schemas.openxmlformats.org/officeDocument/2006/relationships/image" Target="media/image251.emf"/><Relationship Id="rId6" Type="http://schemas.openxmlformats.org/officeDocument/2006/relationships/footnotes" Target="footnotes.xml"/><Relationship Id="rId238" Type="http://schemas.openxmlformats.org/officeDocument/2006/relationships/hyperlink" Target="http://economy.blogs.ie.edu/archives/2015/03/el-crecimiento-se-intensifica-y-se-reducen-los-desequilibrios.php" TargetMode="External"/><Relationship Id="rId445" Type="http://schemas.openxmlformats.org/officeDocument/2006/relationships/hyperlink" Target="http://www.banxico.org.mx/SieInternet/consultarDirectorioInternetAction.do?accion=consultarCuadro&amp;idCuadro=CF101&amp;sector=18&amp;locale=es" TargetMode="External"/><Relationship Id="rId291" Type="http://schemas.openxmlformats.org/officeDocument/2006/relationships/hyperlink" Target="http://www.imf.org/external/pubs/cat/longres.aspx?sk=42825.0" TargetMode="External"/><Relationship Id="rId305" Type="http://schemas.openxmlformats.org/officeDocument/2006/relationships/image" Target="media/image180.emf"/><Relationship Id="rId347" Type="http://schemas.openxmlformats.org/officeDocument/2006/relationships/image" Target="media/image209.emf"/><Relationship Id="rId44" Type="http://schemas.openxmlformats.org/officeDocument/2006/relationships/image" Target="media/image29.emf"/><Relationship Id="rId86" Type="http://schemas.openxmlformats.org/officeDocument/2006/relationships/image" Target="media/image55.emf"/><Relationship Id="rId151" Type="http://schemas.openxmlformats.org/officeDocument/2006/relationships/image" Target="media/image94.emf"/><Relationship Id="rId389" Type="http://schemas.openxmlformats.org/officeDocument/2006/relationships/hyperlink" Target="http://publications.iadb.org/bitstream/handle/11319/6892/Panorama_de_las_Pensiones_America_Latina_y_el_Caribe.pdf?sequence=1" TargetMode="External"/><Relationship Id="rId193" Type="http://schemas.openxmlformats.org/officeDocument/2006/relationships/image" Target="media/image126.emf"/><Relationship Id="rId207" Type="http://schemas.openxmlformats.org/officeDocument/2006/relationships/image" Target="media/image140.emf"/><Relationship Id="rId249" Type="http://schemas.openxmlformats.org/officeDocument/2006/relationships/image" Target="media/image153.emf"/><Relationship Id="rId414" Type="http://schemas.openxmlformats.org/officeDocument/2006/relationships/hyperlink" Target="http://www.imf.org/external/spanish/np/sec/pr/2015/pr15173s.htm" TargetMode="External"/><Relationship Id="rId456" Type="http://schemas.openxmlformats.org/officeDocument/2006/relationships/image" Target="media/image280.emf"/><Relationship Id="rId13" Type="http://schemas.openxmlformats.org/officeDocument/2006/relationships/image" Target="media/image6.emf"/><Relationship Id="rId109" Type="http://schemas.openxmlformats.org/officeDocument/2006/relationships/hyperlink" Target="http://www.inegi.org.mx/saladeprensa/boletines/2015/ice/ice2015_04.pdf" TargetMode="External"/><Relationship Id="rId260" Type="http://schemas.openxmlformats.org/officeDocument/2006/relationships/hyperlink" Target="http://portafoliodeinformacion.cnbv.gob.mx/bm1/Paginas/infosituacion.aspx" TargetMode="External"/><Relationship Id="rId316" Type="http://schemas.openxmlformats.org/officeDocument/2006/relationships/image" Target="media/image189.emf"/><Relationship Id="rId55" Type="http://schemas.openxmlformats.org/officeDocument/2006/relationships/image" Target="media/image36.emf"/><Relationship Id="rId97" Type="http://schemas.openxmlformats.org/officeDocument/2006/relationships/image" Target="media/image64.emf"/><Relationship Id="rId120" Type="http://schemas.openxmlformats.org/officeDocument/2006/relationships/image" Target="media/image84.emf"/><Relationship Id="rId358" Type="http://schemas.openxmlformats.org/officeDocument/2006/relationships/image" Target="media/image220.emf"/><Relationship Id="rId162" Type="http://schemas.openxmlformats.org/officeDocument/2006/relationships/image" Target="media/image97.emf"/><Relationship Id="rId218" Type="http://schemas.openxmlformats.org/officeDocument/2006/relationships/hyperlink" Target="http://www.banxico.org.mx/informacion-para-la-prensa/comunicados/resultados-de-encuestas/expectativas-de-los-especialistas/%7B71F0B6AD-3E63-0FA4-6A6D-6A31D5ACE9AE%7D.pdf" TargetMode="External"/><Relationship Id="rId425" Type="http://schemas.openxmlformats.org/officeDocument/2006/relationships/image" Target="media/image267.emf"/><Relationship Id="rId467" Type="http://schemas.openxmlformats.org/officeDocument/2006/relationships/image" Target="media/image284.emf"/><Relationship Id="rId271" Type="http://schemas.openxmlformats.org/officeDocument/2006/relationships/image" Target="media/image164.emf"/><Relationship Id="rId24" Type="http://schemas.openxmlformats.org/officeDocument/2006/relationships/image" Target="media/image16.emf"/><Relationship Id="rId66" Type="http://schemas.openxmlformats.org/officeDocument/2006/relationships/image" Target="media/image39.emf"/><Relationship Id="rId131" Type="http://schemas.openxmlformats.org/officeDocument/2006/relationships/hyperlink" Target="http://gaceta.diputados.gob.mx/PDF/62/2015/mar/20150331-I.pdf" TargetMode="External"/><Relationship Id="rId327" Type="http://schemas.openxmlformats.org/officeDocument/2006/relationships/image" Target="media/image196.emf"/><Relationship Id="rId369" Type="http://schemas.openxmlformats.org/officeDocument/2006/relationships/image" Target="media/image230.emf"/><Relationship Id="rId173" Type="http://schemas.openxmlformats.org/officeDocument/2006/relationships/image" Target="media/image106.emf"/><Relationship Id="rId229" Type="http://schemas.openxmlformats.org/officeDocument/2006/relationships/hyperlink" Target="http://www.dof.gob.mx/nota_detalle.php?codigo=5386772&amp;fecha=26/03/2015" TargetMode="External"/><Relationship Id="rId380" Type="http://schemas.openxmlformats.org/officeDocument/2006/relationships/image" Target="media/image239.emf"/><Relationship Id="rId436" Type="http://schemas.openxmlformats.org/officeDocument/2006/relationships/image" Target="media/image272.emf"/><Relationship Id="rId240" Type="http://schemas.openxmlformats.org/officeDocument/2006/relationships/hyperlink" Target="http://www.iadb.org/es/noticias/comunicados-de-prensa/2015-03-29/informe-macroeconomico-del-bid-2015,11104.html" TargetMode="External"/><Relationship Id="rId478" Type="http://schemas.openxmlformats.org/officeDocument/2006/relationships/header" Target="header1.xml"/><Relationship Id="rId35" Type="http://schemas.openxmlformats.org/officeDocument/2006/relationships/hyperlink" Target="http://www.shcp.gob.mx/SALAPRENSA/doc_comunicados_prensa/2015/marzo/comunicado_024_2015.pdf" TargetMode="External"/><Relationship Id="rId77" Type="http://schemas.openxmlformats.org/officeDocument/2006/relationships/image" Target="media/image49.emf"/><Relationship Id="rId100" Type="http://schemas.openxmlformats.org/officeDocument/2006/relationships/hyperlink" Target="http://www.inegi.org.mx/saladeprensa/boletines/2015/ee/ee2015_04.pdf" TargetMode="External"/><Relationship Id="rId282" Type="http://schemas.openxmlformats.org/officeDocument/2006/relationships/oleObject" Target="embeddings/oleObject4.bin"/><Relationship Id="rId338" Type="http://schemas.openxmlformats.org/officeDocument/2006/relationships/image" Target="media/image206.emf"/><Relationship Id="rId8" Type="http://schemas.openxmlformats.org/officeDocument/2006/relationships/image" Target="media/image1.emf"/><Relationship Id="rId142" Type="http://schemas.openxmlformats.org/officeDocument/2006/relationships/hyperlink" Target="http://dof.gob.mx/nota_detalle.php?codigo=5388503&amp;fecha=10/04/2015" TargetMode="External"/><Relationship Id="rId184" Type="http://schemas.openxmlformats.org/officeDocument/2006/relationships/image" Target="media/image117.emf"/><Relationship Id="rId391" Type="http://schemas.openxmlformats.org/officeDocument/2006/relationships/hyperlink" Target="http://publications.iadb.org/handle/11319/6892" TargetMode="External"/><Relationship Id="rId405" Type="http://schemas.openxmlformats.org/officeDocument/2006/relationships/image" Target="media/image253.emf"/><Relationship Id="rId447" Type="http://schemas.openxmlformats.org/officeDocument/2006/relationships/hyperlink" Target="http://www.banxico.org.mx/SieInternet/consultarDirectorioInternetAction.do?accion=consultarCuadro&amp;idCuadro=CF112&amp;sector=18&amp;locale=es" TargetMode="External"/><Relationship Id="rId251" Type="http://schemas.openxmlformats.org/officeDocument/2006/relationships/image" Target="media/image155.emf"/><Relationship Id="rId46" Type="http://schemas.openxmlformats.org/officeDocument/2006/relationships/image" Target="media/image31.emf"/><Relationship Id="rId293" Type="http://schemas.openxmlformats.org/officeDocument/2006/relationships/hyperlink" Target="http://www.imf.org/external/spanish/pubs/ft/survey/so/2015/pol040815as.htm" TargetMode="External"/><Relationship Id="rId307" Type="http://schemas.openxmlformats.org/officeDocument/2006/relationships/image" Target="media/image182.emf"/><Relationship Id="rId349" Type="http://schemas.openxmlformats.org/officeDocument/2006/relationships/image" Target="media/image211.emf"/><Relationship Id="rId88" Type="http://schemas.openxmlformats.org/officeDocument/2006/relationships/image" Target="media/image57.emf"/><Relationship Id="rId111" Type="http://schemas.openxmlformats.org/officeDocument/2006/relationships/image" Target="media/image76.emf"/><Relationship Id="rId153" Type="http://schemas.openxmlformats.org/officeDocument/2006/relationships/hyperlink" Target="http://nissannews.com/es-MX/nissan/mexico/releases/nissan-anuncia-ventas-de-marzo-2015-y-ventas-totales-de-su-a-o-fiscal-2014-en-mexico" TargetMode="External"/><Relationship Id="rId195" Type="http://schemas.openxmlformats.org/officeDocument/2006/relationships/image" Target="media/image128.emf"/><Relationship Id="rId209" Type="http://schemas.openxmlformats.org/officeDocument/2006/relationships/image" Target="media/image142.emf"/><Relationship Id="rId360" Type="http://schemas.openxmlformats.org/officeDocument/2006/relationships/image" Target="media/image222.emf"/><Relationship Id="rId416" Type="http://schemas.openxmlformats.org/officeDocument/2006/relationships/image" Target="media/image259.png"/><Relationship Id="rId220" Type="http://schemas.openxmlformats.org/officeDocument/2006/relationships/image" Target="media/image151.emf"/><Relationship Id="rId458" Type="http://schemas.openxmlformats.org/officeDocument/2006/relationships/image" Target="media/image282.emf"/><Relationship Id="rId15" Type="http://schemas.openxmlformats.org/officeDocument/2006/relationships/image" Target="media/image7.emf"/><Relationship Id="rId57" Type="http://schemas.openxmlformats.org/officeDocument/2006/relationships/hyperlink" Target="http://www.presidencia.gob.mx/articulos-prensa/en-mexico-hay-seguridad-juridica-certidumbre-y-confianza-en-el-rumbo-que-lleva-el-pais-condiciones-que-favorecen-a-la-inversion-enrique-pena-nieto/" TargetMode="External"/><Relationship Id="rId262" Type="http://schemas.openxmlformats.org/officeDocument/2006/relationships/hyperlink" Target="http://portafoliodeinformacion.cnbv.gob.mx/gf1/Paginas/infosituacion.aspx" TargetMode="External"/><Relationship Id="rId318" Type="http://schemas.openxmlformats.org/officeDocument/2006/relationships/hyperlink" Target="http://www.inegi.org.mx/saladeprensa/boletines/2015/especiales/especiales2015_03_5.pdf" TargetMode="External"/><Relationship Id="rId99" Type="http://schemas.openxmlformats.org/officeDocument/2006/relationships/image" Target="media/image66.emf"/><Relationship Id="rId122" Type="http://schemas.openxmlformats.org/officeDocument/2006/relationships/image" Target="media/image86.emf"/><Relationship Id="rId164" Type="http://schemas.openxmlformats.org/officeDocument/2006/relationships/image" Target="media/image99.emf"/><Relationship Id="rId371" Type="http://schemas.openxmlformats.org/officeDocument/2006/relationships/image" Target="media/image232.emf"/><Relationship Id="rId427" Type="http://schemas.openxmlformats.org/officeDocument/2006/relationships/image" Target="media/image269.emf"/><Relationship Id="rId469" Type="http://schemas.openxmlformats.org/officeDocument/2006/relationships/image" Target="media/image286.emf"/><Relationship Id="rId26" Type="http://schemas.openxmlformats.org/officeDocument/2006/relationships/image" Target="media/image18.emf"/><Relationship Id="rId231" Type="http://schemas.openxmlformats.org/officeDocument/2006/relationships/hyperlink" Target="http://dof.gob.mx/nota_detalle.php?codigo=5386773&amp;fecha=26/03/2015" TargetMode="External"/><Relationship Id="rId273" Type="http://schemas.openxmlformats.org/officeDocument/2006/relationships/image" Target="media/image166.emf"/><Relationship Id="rId329" Type="http://schemas.openxmlformats.org/officeDocument/2006/relationships/image" Target="media/image198.emf"/><Relationship Id="rId480" Type="http://schemas.openxmlformats.org/officeDocument/2006/relationships/fontTable" Target="fontTable.xml"/><Relationship Id="rId68" Type="http://schemas.openxmlformats.org/officeDocument/2006/relationships/image" Target="media/image41.emf"/><Relationship Id="rId133" Type="http://schemas.openxmlformats.org/officeDocument/2006/relationships/image" Target="media/image91.emf"/><Relationship Id="rId175" Type="http://schemas.openxmlformats.org/officeDocument/2006/relationships/image" Target="media/image108.emf"/><Relationship Id="rId340" Type="http://schemas.openxmlformats.org/officeDocument/2006/relationships/hyperlink" Target="http://www.forbes.com.mx/retiro-por-desempleo-mas-informacion-para-una-mejor-decision/" TargetMode="External"/><Relationship Id="rId200" Type="http://schemas.openxmlformats.org/officeDocument/2006/relationships/image" Target="media/image133.emf"/><Relationship Id="rId382" Type="http://schemas.openxmlformats.org/officeDocument/2006/relationships/hyperlink" Target="http://www.consar.gob.mx/sala_prensa/PDF/boletines/BP-13-2015.pdf" TargetMode="External"/><Relationship Id="rId438" Type="http://schemas.openxmlformats.org/officeDocument/2006/relationships/image" Target="media/image273.emf"/><Relationship Id="rId242" Type="http://schemas.openxmlformats.org/officeDocument/2006/relationships/hyperlink" Target="http://www5.diputados.gob.mx/index.php/esl/Comunicacion/Boletines/2015/Abril/22/5512-Aprueban-diputados-Ley-de-Ahorro-y-Credito-Popular-la-envian-al-Senado" TargetMode="External"/><Relationship Id="rId284" Type="http://schemas.openxmlformats.org/officeDocument/2006/relationships/hyperlink" Target="http://www.condusef.gob.mx/index.php/prensa/comunicados-2015/1181-en-2014-el-numero-de-reclamaciones-imputables-a-un-posible-fraude-se-ubico-en-2-millones-890-mil-693" TargetMode="External"/><Relationship Id="rId37" Type="http://schemas.openxmlformats.org/officeDocument/2006/relationships/hyperlink" Target="http://www.fao.org/news/story/es/item/281796/icode/" TargetMode="External"/><Relationship Id="rId79" Type="http://schemas.openxmlformats.org/officeDocument/2006/relationships/hyperlink" Target="http://www.inegi.org.mx/saladeprensa/boletines/2015/imcpmi/imcpmi2015_04.pdf" TargetMode="External"/><Relationship Id="rId102" Type="http://schemas.openxmlformats.org/officeDocument/2006/relationships/image" Target="media/image68.emf"/><Relationship Id="rId144" Type="http://schemas.openxmlformats.org/officeDocument/2006/relationships/hyperlink" Target="http://www.leanstartupsmx.com" TargetMode="External"/><Relationship Id="rId90" Type="http://schemas.openxmlformats.org/officeDocument/2006/relationships/hyperlink" Target="http://www.inegi.org.mx/saladeprensa/notasinformativas/2015/ofe_deman/ofe_deman2015_03.pdf" TargetMode="External"/><Relationship Id="rId186" Type="http://schemas.openxmlformats.org/officeDocument/2006/relationships/image" Target="media/image119.emf"/><Relationship Id="rId351" Type="http://schemas.openxmlformats.org/officeDocument/2006/relationships/image" Target="media/image213.emf"/><Relationship Id="rId393" Type="http://schemas.openxmlformats.org/officeDocument/2006/relationships/image" Target="media/image241.emf"/><Relationship Id="rId407" Type="http://schemas.openxmlformats.org/officeDocument/2006/relationships/image" Target="media/image255.emf"/><Relationship Id="rId449" Type="http://schemas.openxmlformats.org/officeDocument/2006/relationships/hyperlink" Target="http://www.banxico.org.mx/SieInternet/consultarDirectorioInternetAction.do?accion=consultarCuadro&amp;idCuadro=CF112&amp;sector=18&amp;locale=es" TargetMode="External"/><Relationship Id="rId211" Type="http://schemas.openxmlformats.org/officeDocument/2006/relationships/image" Target="media/image144.emf"/><Relationship Id="rId253" Type="http://schemas.openxmlformats.org/officeDocument/2006/relationships/image" Target="media/image157.emf"/><Relationship Id="rId295" Type="http://schemas.openxmlformats.org/officeDocument/2006/relationships/image" Target="media/image170.emf"/><Relationship Id="rId309" Type="http://schemas.openxmlformats.org/officeDocument/2006/relationships/hyperlink" Target="http://www.iadb.org/es/noticias/comunicados-de-prensa/2015-03-29/cii-respaldo-a-40000-pymes-en-la-region-en-2014,11095.html" TargetMode="External"/><Relationship Id="rId460" Type="http://schemas.openxmlformats.org/officeDocument/2006/relationships/hyperlink" Target="http://www.bmv.com.mx/" TargetMode="External"/><Relationship Id="rId48" Type="http://schemas.openxmlformats.org/officeDocument/2006/relationships/image" Target="media/image33.emf"/><Relationship Id="rId113" Type="http://schemas.openxmlformats.org/officeDocument/2006/relationships/image" Target="media/image78.emf"/><Relationship Id="rId320" Type="http://schemas.openxmlformats.org/officeDocument/2006/relationships/hyperlink" Target="http://www.consar.gob.mx/sala_prensa/PDF/boletines/BP-11-2015.pdf" TargetMode="External"/><Relationship Id="rId155" Type="http://schemas.openxmlformats.org/officeDocument/2006/relationships/hyperlink" Target="http://nissannews.com/es-MX/nissan/mexico/releases/nissan-reporta-ventas-de-marzo-2015-y-ventas-totales-de-su-a-o-fiscal-2014-en-estados-unidos" TargetMode="External"/><Relationship Id="rId197" Type="http://schemas.openxmlformats.org/officeDocument/2006/relationships/image" Target="media/image130.emf"/><Relationship Id="rId362" Type="http://schemas.openxmlformats.org/officeDocument/2006/relationships/image" Target="media/image224.emf"/><Relationship Id="rId418" Type="http://schemas.openxmlformats.org/officeDocument/2006/relationships/image" Target="media/image260.emf"/><Relationship Id="rId222" Type="http://schemas.openxmlformats.org/officeDocument/2006/relationships/hyperlink" Target="http://www.hacienda.gob.mx/Biblioteca_noticias_home/comunicado_031_2015.pdf" TargetMode="External"/><Relationship Id="rId264" Type="http://schemas.openxmlformats.org/officeDocument/2006/relationships/hyperlink" Target="http://www.cnbv.gob.mx/SECTORES-SUPERVISADOS/UNIONES-DE-CREDITO/Prensa%20%20Uniones%20de%20Crdito/Comunicado%20de%20Prensa%20Uniones%20de%20Cr&#233;dito%20Dic14.pdf" TargetMode="External"/><Relationship Id="rId471" Type="http://schemas.openxmlformats.org/officeDocument/2006/relationships/image" Target="media/image288.emf"/><Relationship Id="rId17" Type="http://schemas.openxmlformats.org/officeDocument/2006/relationships/image" Target="media/image9.emf"/><Relationship Id="rId59" Type="http://schemas.openxmlformats.org/officeDocument/2006/relationships/hyperlink" Target="http://www.economia.gob.mx/eventos-noticias/sala-de-prensa/comunicados/10978-comunicado15-030" TargetMode="External"/><Relationship Id="rId124" Type="http://schemas.openxmlformats.org/officeDocument/2006/relationships/image" Target="media/image88.emf"/><Relationship Id="rId70" Type="http://schemas.openxmlformats.org/officeDocument/2006/relationships/image" Target="media/image43.emf"/><Relationship Id="rId166" Type="http://schemas.openxmlformats.org/officeDocument/2006/relationships/image" Target="media/image101.emf"/><Relationship Id="rId331" Type="http://schemas.openxmlformats.org/officeDocument/2006/relationships/image" Target="media/image200.emf"/><Relationship Id="rId373" Type="http://schemas.openxmlformats.org/officeDocument/2006/relationships/hyperlink" Target="http://www.amafore.org/sites/default/files/BP%2005-2015%20%288%20abril%202015%29.pdf" TargetMode="External"/><Relationship Id="rId429" Type="http://schemas.openxmlformats.org/officeDocument/2006/relationships/hyperlink" Target="http://www.bis.org/publ/qtrpdf/r_qt1503a_es.pdf" TargetMode="External"/><Relationship Id="rId1" Type="http://schemas.openxmlformats.org/officeDocument/2006/relationships/customXml" Target="../customXml/item1.xml"/><Relationship Id="rId233" Type="http://schemas.openxmlformats.org/officeDocument/2006/relationships/hyperlink" Target="http://www.forbes.com.mx/4-razones-por-las-que-se-disparara-la-deuda-de-los-estados/" TargetMode="External"/><Relationship Id="rId440" Type="http://schemas.openxmlformats.org/officeDocument/2006/relationships/hyperlink" Target="http://www.shcp.gob.mx/Biblioteca_noticias_home/comunicado_027_2015.pdf" TargetMode="External"/><Relationship Id="rId28" Type="http://schemas.openxmlformats.org/officeDocument/2006/relationships/image" Target="media/image20.emf"/><Relationship Id="rId275" Type="http://schemas.openxmlformats.org/officeDocument/2006/relationships/hyperlink" Target="http://www.condusef.gob.mx/index.php/prensa/comunicados-2015/1179-aumentan-reclmaciones-en-el-sector-de-banca-multiple" TargetMode="External"/><Relationship Id="rId300" Type="http://schemas.openxmlformats.org/officeDocument/2006/relationships/image" Target="media/image175.emf"/><Relationship Id="rId81" Type="http://schemas.openxmlformats.org/officeDocument/2006/relationships/hyperlink" Target="http://www.inegi.org.mx/est/contenidos/proyectos/graficas_temas/economia/Graficas/imcpmi/cptotal1.htm?s=est&amp;c=34000" TargetMode="External"/><Relationship Id="rId135" Type="http://schemas.openxmlformats.org/officeDocument/2006/relationships/hyperlink" Target="http://www.iieem.org.mx/Boletin.pdf?submit=Bolet%C3%ADn+T%C3%A9cnico+del+Mes" TargetMode="External"/><Relationship Id="rId177" Type="http://schemas.openxmlformats.org/officeDocument/2006/relationships/image" Target="media/image110.emf"/><Relationship Id="rId342" Type="http://schemas.openxmlformats.org/officeDocument/2006/relationships/hyperlink" Target="http://www.forbes.com.mx/en-julio-se-crean-37000-empleos-la-menor-cifra-del-ano-imss/" TargetMode="External"/><Relationship Id="rId384" Type="http://schemas.openxmlformats.org/officeDocument/2006/relationships/hyperlink" Target="http://www.consar.gob.mx/panorama_sar/cuentas_administrados.aspx" TargetMode="External"/><Relationship Id="rId202" Type="http://schemas.openxmlformats.org/officeDocument/2006/relationships/image" Target="media/image135.emf"/><Relationship Id="rId244" Type="http://schemas.openxmlformats.org/officeDocument/2006/relationships/hyperlink" Target="http://www.cnbv.gob.mx/SECTORES-SUPERVISADOS/SECTOR-POPULAR/Difusi&#243;n/Prensa%20%20Sociedades%20Financieras%20Populares/Comunicado%20de%20Prensa%20del%20proceso%20de%20liquidaci&#243;n%20de%20Ficrea%20Abr.pdf" TargetMode="External"/><Relationship Id="rId39" Type="http://schemas.openxmlformats.org/officeDocument/2006/relationships/image" Target="media/image24.emf"/><Relationship Id="rId286" Type="http://schemas.openxmlformats.org/officeDocument/2006/relationships/hyperlink" Target="http://www.dof.gob.mx/nota_detalle.php?codigo=5386322&amp;fecha=23/03/2015" TargetMode="External"/><Relationship Id="rId451" Type="http://schemas.openxmlformats.org/officeDocument/2006/relationships/hyperlink" Target="http://www.banxico.org.mx/SieInternet/consultarDirectorioInternetAction.do?accion=consultarCuadro&amp;idCuadro=CF112&amp;sector=18&amp;locale=es" TargetMode="External"/><Relationship Id="rId50" Type="http://schemas.openxmlformats.org/officeDocument/2006/relationships/hyperlink" Target="http://www.inegi.org.mx/saladeprensa/boletines/2015/actind/actind2015_04.pdf" TargetMode="External"/><Relationship Id="rId104" Type="http://schemas.openxmlformats.org/officeDocument/2006/relationships/image" Target="media/image70.emf"/><Relationship Id="rId146" Type="http://schemas.openxmlformats.org/officeDocument/2006/relationships/hyperlink" Target="http://www.presidencia.gob.mx/articulos-prensa/las-inversiones-en-mexico-reafirman-la-confianza-que-hay-en-nuestro-pais-enrique-pena-nieto/" TargetMode="External"/><Relationship Id="rId188" Type="http://schemas.openxmlformats.org/officeDocument/2006/relationships/image" Target="media/image121.emf"/><Relationship Id="rId311" Type="http://schemas.openxmlformats.org/officeDocument/2006/relationships/image" Target="media/image184.emf"/><Relationship Id="rId353" Type="http://schemas.openxmlformats.org/officeDocument/2006/relationships/image" Target="media/image215.emf"/><Relationship Id="rId395" Type="http://schemas.openxmlformats.org/officeDocument/2006/relationships/image" Target="media/image243.emf"/><Relationship Id="rId409" Type="http://schemas.openxmlformats.org/officeDocument/2006/relationships/image" Target="media/image257.emf"/><Relationship Id="rId92" Type="http://schemas.openxmlformats.org/officeDocument/2006/relationships/image" Target="media/image60.emf"/><Relationship Id="rId213" Type="http://schemas.openxmlformats.org/officeDocument/2006/relationships/image" Target="media/image146.emf"/><Relationship Id="rId420" Type="http://schemas.openxmlformats.org/officeDocument/2006/relationships/image" Target="media/image262.emf"/><Relationship Id="rId255" Type="http://schemas.openxmlformats.org/officeDocument/2006/relationships/image" Target="media/image159.emf"/><Relationship Id="rId297" Type="http://schemas.openxmlformats.org/officeDocument/2006/relationships/image" Target="media/image172.png"/><Relationship Id="rId462" Type="http://schemas.openxmlformats.org/officeDocument/2006/relationships/hyperlink" Target="http://www.bmv.com.mx/wb3/wb/BMV/BMV_repositorio/_vtp/BMV/BMV_1139_bmv_informa/_rid/223/_mto/3/Previo_RebRentable_Mar2015.pdf" TargetMode="External"/><Relationship Id="rId115" Type="http://schemas.openxmlformats.org/officeDocument/2006/relationships/hyperlink" Target="http://www.inegi.org.mx/saladeprensa/boletines/2015/ipm/ipm2015_04.pdf" TargetMode="External"/><Relationship Id="rId157" Type="http://schemas.openxmlformats.org/officeDocument/2006/relationships/hyperlink" Target="http://nissannews.com/es-MX/nissan/mexico/releases/movilidad-el-ctrica-la-respuesta-frente-a-la-alza-en-el-precio-de-la-gasolina" TargetMode="External"/><Relationship Id="rId322" Type="http://schemas.openxmlformats.org/officeDocument/2006/relationships/image" Target="media/image191.emf"/><Relationship Id="rId364" Type="http://schemas.openxmlformats.org/officeDocument/2006/relationships/hyperlink" Target="http://www.consar.gob.mx/sala_prensa/PDF/presentaciones/PPT%20FCA%20UNAM%20CRF%202015.pdf" TargetMode="External"/><Relationship Id="rId61" Type="http://schemas.openxmlformats.org/officeDocument/2006/relationships/hyperlink" Target="http://www.iadb.org/es/noticias/comunicados-de-prensa/2015-04-14/informe-infrascopio-2014-clima-para-app-ha-mejorado,11132.html" TargetMode="External"/><Relationship Id="rId199" Type="http://schemas.openxmlformats.org/officeDocument/2006/relationships/image" Target="media/image132.emf"/><Relationship Id="rId19" Type="http://schemas.openxmlformats.org/officeDocument/2006/relationships/image" Target="media/image11.emf"/><Relationship Id="rId224" Type="http://schemas.openxmlformats.org/officeDocument/2006/relationships/hyperlink" Target="http://www.sat.gob.mx/sala_prensa/comunicados_nacionales/Paginas/com2015_037.aspx" TargetMode="External"/><Relationship Id="rId266" Type="http://schemas.openxmlformats.org/officeDocument/2006/relationships/hyperlink" Target="http://www.dof.gob.mx/nota_detalle.php?codigo=5388289&amp;fecha=09/04/2015" TargetMode="External"/><Relationship Id="rId431" Type="http://schemas.openxmlformats.org/officeDocument/2006/relationships/hyperlink" Target="http://www.banxico.org.mx/informacion-para-la-prensa/comunicados/banco-de-mexico/edo-cuenta-semanal/%7B6783DCED-57A7-7E03-D304-1EA578FC5CF8%7D.pdf" TargetMode="External"/><Relationship Id="rId473" Type="http://schemas.openxmlformats.org/officeDocument/2006/relationships/image" Target="media/image289.emf"/><Relationship Id="rId30" Type="http://schemas.openxmlformats.org/officeDocument/2006/relationships/image" Target="media/image21.emf"/><Relationship Id="rId126" Type="http://schemas.openxmlformats.org/officeDocument/2006/relationships/hyperlink" Target="http://www.inegi.org.mx/saladeprensa/boletines/2015/concon/concon2015_04.pdf" TargetMode="External"/><Relationship Id="rId168" Type="http://schemas.openxmlformats.org/officeDocument/2006/relationships/image" Target="media/image102.emf"/><Relationship Id="rId333" Type="http://schemas.openxmlformats.org/officeDocument/2006/relationships/image" Target="media/image202.emf"/><Relationship Id="rId72" Type="http://schemas.openxmlformats.org/officeDocument/2006/relationships/image" Target="media/image45.emf"/><Relationship Id="rId375" Type="http://schemas.openxmlformats.org/officeDocument/2006/relationships/image" Target="media/image234.emf"/></Relationships>
</file>

<file path=word/_rels/footnotes.xml.rels><?xml version="1.0" encoding="UTF-8" standalone="yes"?>
<Relationships xmlns="http://schemas.openxmlformats.org/package/2006/relationships"><Relationship Id="rId8" Type="http://schemas.openxmlformats.org/officeDocument/2006/relationships/hyperlink" Target="http://www.presidencia.gob.mx/articulos-prensa/diversas-intervenciones-durante-el-anuncio-de-inversion-de-los-proyectos-de-motores-y-transmisiones-de-ford-motor-company/" TargetMode="External"/><Relationship Id="rId13" Type="http://schemas.openxmlformats.org/officeDocument/2006/relationships/hyperlink" Target="http://www.cnbv.gob.mx/Normatividad/Ley%20para%20la%20Transparencia%20y%20Ordenamiento%20de%20los%20Servicios%20Financieros.pdf" TargetMode="External"/><Relationship Id="rId3" Type="http://schemas.openxmlformats.org/officeDocument/2006/relationships/hyperlink" Target="http://www.sct.gob.mx/despliega-noticias/article/mexico-conectado-acceso-gratuito-a-internet/" TargetMode="External"/><Relationship Id="rId7" Type="http://schemas.openxmlformats.org/officeDocument/2006/relationships/hyperlink" Target="http://www.conacyt.mx/index.php/comunicacion/comunicados-prensa/458-preside-enrique-pena-nieto-el-consejo-general-de-investigacion-cientifica-y-desarrollo-tecnologico-e-innovacion" TargetMode="External"/><Relationship Id="rId12" Type="http://schemas.openxmlformats.org/officeDocument/2006/relationships/hyperlink" Target="http://www.ilo.org/wcmsp5/groups/public/---americas/---ro-lima/documents/publication/wcms_357452.pdf" TargetMode="External"/><Relationship Id="rId2" Type="http://schemas.openxmlformats.org/officeDocument/2006/relationships/hyperlink" Target="http://www.sct.gob.mx/despliega-noticias/article/se-instalo-mesa-de-coordinacion-mexico-conectado-en-nuevo-leon/" TargetMode="External"/><Relationship Id="rId16" Type="http://schemas.openxmlformats.org/officeDocument/2006/relationships/hyperlink" Target="http://dof.gob.mx/nota_detalle.php?codigo=5389274&amp;fecha=17/04/2015" TargetMode="External"/><Relationship Id="rId1" Type="http://schemas.openxmlformats.org/officeDocument/2006/relationships/hyperlink" Target="http://www.dof.gob.mx/nota_detalle.php?codigo=5386422&amp;fecha=24/03/2015" TargetMode="External"/><Relationship Id="rId6" Type="http://schemas.openxmlformats.org/officeDocument/2006/relationships/hyperlink" Target="http://gaceta.diputados.gob.mx/PDF/62/2015/mar/20150331-I.pdf" TargetMode="External"/><Relationship Id="rId11" Type="http://schemas.openxmlformats.org/officeDocument/2006/relationships/hyperlink" Target="http://www.hacienda.gob.mx/POLITICAFINANCIERA/credito_publico_%20ii/pol_credito_publico/plan_anual/PAF2015.pdf" TargetMode="External"/><Relationship Id="rId5" Type="http://schemas.openxmlformats.org/officeDocument/2006/relationships/hyperlink" Target="http://www.sct.gob.mx/despliega-noticias/article/inversion-sin-precedente-de-la-sct-por-3-mil-mdp-en-infraestructura-carretera-en-tlaxcala/" TargetMode="External"/><Relationship Id="rId15" Type="http://schemas.openxmlformats.org/officeDocument/2006/relationships/hyperlink" Target="http://www.keepeek.com/Digital-Asset-Management/oecd/finance-and-investment/oecd-pensions-at-a-glance_pension_glance-2014-en" TargetMode="External"/><Relationship Id="rId10" Type="http://schemas.openxmlformats.org/officeDocument/2006/relationships/hyperlink" Target="https://media.ford.com/content/fordmedia/fna/us/en/news/2015/04/17/ford-announces-2-5-billion-usd-investment.html" TargetMode="External"/><Relationship Id="rId4" Type="http://schemas.openxmlformats.org/officeDocument/2006/relationships/hyperlink" Target="http://www.sct.gob.mx/despliega-noticias/article/libramiento-oriente-de-chihuahua-obra-que-fortalece-el-sistema-carretero-en-la-zona-norte-del-pais/" TargetMode="External"/><Relationship Id="rId9" Type="http://schemas.openxmlformats.org/officeDocument/2006/relationships/hyperlink" Target="http://www.economia.gob.mx/eventos-noticias/informacion-relevante/11009-pie15-04-17" TargetMode="External"/><Relationship Id="rId14" Type="http://schemas.openxmlformats.org/officeDocument/2006/relationships/hyperlink" Target="http://www.iadb.org/es/temas/trabajo-y-pensiones/el-futuro-de-las-pensiones-en-america-latina-y-el-caribe,18369.html"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58DB14-6156-4734-871E-B854F1DDD0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757</Pages>
  <Words>169073</Words>
  <Characters>929906</Characters>
  <Application>Microsoft Office Word</Application>
  <DocSecurity>0</DocSecurity>
  <Lines>7749</Lines>
  <Paragraphs>2193</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1096786</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35</cp:revision>
  <cp:lastPrinted>2015-04-28T15:21:00Z</cp:lastPrinted>
  <dcterms:created xsi:type="dcterms:W3CDTF">2015-04-23T19:29:00Z</dcterms:created>
  <dcterms:modified xsi:type="dcterms:W3CDTF">2015-04-30T14:13:00Z</dcterms:modified>
</cp:coreProperties>
</file>